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8D2D1" w14:textId="77777777" w:rsidR="003D5471" w:rsidRPr="007548C8" w:rsidRDefault="007548C8">
      <w:pPr>
        <w:pStyle w:val="Typedudocument"/>
      </w:pPr>
      <w:r w:rsidRPr="007548C8">
        <w:t xml:space="preserve">Izvedbena uredba Komisije </w:t>
      </w:r>
      <w:r w:rsidR="00C81CD0" w:rsidRPr="007548C8">
        <w:t xml:space="preserve">(EU) </w:t>
      </w:r>
      <w:r w:rsidRPr="007548C8">
        <w:t>2021</w:t>
      </w:r>
      <w:r w:rsidR="00C81CD0" w:rsidRPr="007548C8">
        <w:t>/…</w:t>
      </w:r>
    </w:p>
    <w:p w14:paraId="28EC5D91" w14:textId="77777777" w:rsidR="003D5471" w:rsidRPr="007548C8" w:rsidRDefault="00C81CD0">
      <w:pPr>
        <w:pStyle w:val="Datedadoption"/>
      </w:pPr>
      <w:r w:rsidRPr="007548C8">
        <w:t xml:space="preserve">z dne </w:t>
      </w:r>
      <w:r w:rsidR="007548C8" w:rsidRPr="007548C8">
        <w:t>6. decembra 2021</w:t>
      </w:r>
    </w:p>
    <w:p w14:paraId="0ECE3BA7" w14:textId="77777777" w:rsidR="003D5471" w:rsidRPr="007548C8" w:rsidRDefault="00C81CD0">
      <w:pPr>
        <w:pStyle w:val="Titreobjet"/>
      </w:pPr>
      <w:r w:rsidRPr="007548C8">
        <w:t>o določitvi izvedbenih tehničnih standardov za uporabo Uredbe (EU) 2019/2033 Evropskega parlamenta in Sveta v zvezi z nadzorniškim poročanjem in razkritji investicijskih podjetij</w:t>
      </w:r>
    </w:p>
    <w:p w14:paraId="18D31D15" w14:textId="77777777" w:rsidR="003D5471" w:rsidRPr="007548C8" w:rsidRDefault="00C81CD0">
      <w:pPr>
        <w:pStyle w:val="IntrtEEE"/>
      </w:pPr>
      <w:r w:rsidRPr="007548C8">
        <w:t>(Besedilo velja za EGP)</w:t>
      </w:r>
    </w:p>
    <w:p w14:paraId="760F76EF" w14:textId="77777777" w:rsidR="003D5471" w:rsidRPr="007548C8" w:rsidRDefault="00C81CD0">
      <w:pPr>
        <w:pStyle w:val="Institutionquiagit"/>
      </w:pPr>
      <w:r w:rsidRPr="007548C8">
        <w:t>EVROPSKA KOMISIJA JE –</w:t>
      </w:r>
    </w:p>
    <w:p w14:paraId="4A529387" w14:textId="77777777" w:rsidR="003D5471" w:rsidRPr="007548C8" w:rsidRDefault="00C81CD0">
      <w:r w:rsidRPr="007548C8">
        <w:rPr>
          <w:color w:val="000000"/>
        </w:rPr>
        <w:t>ob upoštevanju Pogodbe o delovanju Evropske unije</w:t>
      </w:r>
      <w:r w:rsidRPr="007548C8">
        <w:t>,</w:t>
      </w:r>
    </w:p>
    <w:p w14:paraId="5CF280AD" w14:textId="77777777" w:rsidR="003D5471" w:rsidRPr="007548C8" w:rsidRDefault="00C81CD0">
      <w:r w:rsidRPr="007548C8">
        <w:t>ob upoštevanju Uredbe (EU) 2019/2033 Evropskega parlamenta in Sveta z dne 27. novembra 2019 o bonitetnih zahtevah za investicijska podjetja ter o spremembi uredb (EU) št. 1093/2010, (EU) št. 575/2013, (EU) št. 600/2014 in (EU) št. 806/2014 </w:t>
      </w:r>
      <w:r w:rsidRPr="007548C8">
        <w:rPr>
          <w:rStyle w:val="FootnoteReference"/>
        </w:rPr>
        <w:footnoteReference w:id="1"/>
      </w:r>
      <w:r w:rsidRPr="007548C8">
        <w:t xml:space="preserve"> ter zlasti člena 49(2) in člena 54(3) Uredbe,</w:t>
      </w:r>
    </w:p>
    <w:p w14:paraId="5E3F567F" w14:textId="77777777" w:rsidR="003D5471" w:rsidRPr="007548C8" w:rsidRDefault="00C81CD0">
      <w:r w:rsidRPr="007548C8">
        <w:t>ob upoštevanju naslednjega:</w:t>
      </w:r>
    </w:p>
    <w:p w14:paraId="3EE62452" w14:textId="77777777" w:rsidR="003D5471" w:rsidRPr="007548C8" w:rsidRDefault="00C81CD0">
      <w:pPr>
        <w:pStyle w:val="Considrant"/>
        <w:numPr>
          <w:ilvl w:val="0"/>
          <w:numId w:val="0"/>
        </w:numPr>
        <w:tabs>
          <w:tab w:val="left" w:pos="709"/>
        </w:tabs>
        <w:ind w:left="709" w:hanging="709"/>
      </w:pPr>
      <w:r w:rsidRPr="007548C8">
        <w:t>(1)</w:t>
      </w:r>
      <w:r w:rsidRPr="007548C8">
        <w:tab/>
        <w:t>Zahteve glede poročanja za investicijska podjetja, določene v členu 54 Uredbe (EU) 2019/2033, bi morale biti prilagojene poslovanju investicijskih podjetij in sorazmerne z velikostjo ter kompleksnostjo različnih investicijskih podjetij. Pri teh zahtevah bi bilo treba zlasti upoštevati, da je treba nekatera investicijska podjetja šteti za mala in nepovezana skladno s pogoji iz člena 12 Uredbe (EU) 2019/2033.</w:t>
      </w:r>
    </w:p>
    <w:p w14:paraId="1E0C43FE" w14:textId="77777777" w:rsidR="003D5471" w:rsidRPr="007548C8" w:rsidRDefault="00C81CD0">
      <w:pPr>
        <w:pStyle w:val="Considrant"/>
        <w:numPr>
          <w:ilvl w:val="0"/>
          <w:numId w:val="0"/>
        </w:numPr>
        <w:tabs>
          <w:tab w:val="left" w:pos="709"/>
        </w:tabs>
        <w:ind w:left="709" w:hanging="709"/>
      </w:pPr>
      <w:r w:rsidRPr="007548C8">
        <w:t>(2)</w:t>
      </w:r>
      <w:r w:rsidRPr="007548C8">
        <w:tab/>
        <w:t xml:space="preserve">V skladu s členom 54(1) Uredbe (EU) 2019/2033 morajo mala in nepovezana investicijska podjetja poročati informacije o ravni in sestavi kapitala, kapitalskih zahtevah, podlagi za izračun kapitalskih zahtev ter stopnji dejavnosti v zvezi s pogoji iz člena 12(1) Uredbe (EU) 2019/2033. Malim in nepovezanim podjetjem tako informacij ni treba poročati na enaki ravni podrobnosti kot drugim investicijskim podjetjem, za katera velja Uredba (EU) 2019/2033. Predloge za poročanje v zvezi z izračunom faktorja K se zato ne bi smele uporabljati za mala in nepovezana investicijska podjetja. Poleg tega v skladu s členom 54(2), tretji pododstavek, Uredbe (EU) 2019/2033 </w:t>
      </w:r>
      <w:bookmarkStart w:id="0" w:name="_DV_C108"/>
      <w:r w:rsidRPr="007548C8">
        <w:t>malim in nepovezanim podjetjem ni treba poročati o tveganju koncentracije, pristojni organi pa lahko mala in nepovezana podjetja izvzamejo iz obveznosti poročanja o likvidnostnih zahtevah</w:t>
      </w:r>
      <w:bookmarkStart w:id="1" w:name="_DV_M108"/>
      <w:bookmarkEnd w:id="0"/>
      <w:bookmarkEnd w:id="1"/>
      <w:r w:rsidRPr="007548C8">
        <w:t>.</w:t>
      </w:r>
    </w:p>
    <w:p w14:paraId="579937D2" w14:textId="77777777" w:rsidR="003D5471" w:rsidRPr="007548C8" w:rsidRDefault="00C81CD0">
      <w:pPr>
        <w:pStyle w:val="Considrant"/>
        <w:numPr>
          <w:ilvl w:val="0"/>
          <w:numId w:val="0"/>
        </w:numPr>
        <w:tabs>
          <w:tab w:val="left" w:pos="709"/>
        </w:tabs>
        <w:ind w:left="709" w:hanging="709"/>
      </w:pPr>
      <w:r w:rsidRPr="007548C8">
        <w:t>(3)</w:t>
      </w:r>
      <w:r w:rsidRPr="007548C8">
        <w:tab/>
        <w:t>Vsa investicijska podjetja, za katera velja Uredba (EU) 2019/2033, bi morala poročati o profilu in obsegu dejavnosti, da lahko pristojni organi ocenijo, ali ta investicijska podjetja izpolnjujejo pogoje iz člena 12 Uredbe (EU) 2019/2033, da se lahko razvrstijo kot mala in nepovezana investicijska podjetja.</w:t>
      </w:r>
    </w:p>
    <w:p w14:paraId="2BFF573F" w14:textId="77777777" w:rsidR="003D5471" w:rsidRPr="007548C8" w:rsidRDefault="00C81CD0">
      <w:pPr>
        <w:pStyle w:val="Considrant"/>
        <w:numPr>
          <w:ilvl w:val="0"/>
          <w:numId w:val="0"/>
        </w:numPr>
        <w:tabs>
          <w:tab w:val="left" w:pos="709"/>
        </w:tabs>
        <w:ind w:left="709" w:hanging="709"/>
      </w:pPr>
      <w:r w:rsidRPr="007548C8">
        <w:t>(4)</w:t>
      </w:r>
      <w:r w:rsidRPr="007548C8">
        <w:tab/>
        <w:t>Za zagotovitev preglednosti njihovim vlagateljem in na širših trgih člen 46 Uredbe (EU) 2019/2033 od investicijskih podjetij, ki niso mala in nepovezana, zahteva javno razkritje informacij iz dela 6 navedene uredbe. Zahteve za ta razkritja ne veljajo za mala in nepovezana investicijska podjetja, razen kadar izdajo instrumente dodatnega temeljnega kapitala, da bi se zagotovila preglednost za investitorje v te instrumente.</w:t>
      </w:r>
    </w:p>
    <w:p w14:paraId="7DC2CB33" w14:textId="77777777" w:rsidR="003D5471" w:rsidRPr="007548C8" w:rsidRDefault="00C81CD0">
      <w:pPr>
        <w:pStyle w:val="Considrant"/>
        <w:numPr>
          <w:ilvl w:val="0"/>
          <w:numId w:val="0"/>
        </w:numPr>
        <w:tabs>
          <w:tab w:val="left" w:pos="709"/>
        </w:tabs>
        <w:ind w:left="709" w:hanging="709"/>
      </w:pPr>
      <w:r w:rsidRPr="007548C8">
        <w:lastRenderedPageBreak/>
        <w:t>(5)</w:t>
      </w:r>
      <w:r w:rsidRPr="007548C8">
        <w:tab/>
        <w:t>Ta uredba bi morala investicijskim podjetjem zagotoviti predloge in razpredelnice za predstavitev dovolj izčrpnih in primerljivih informacij o sestavi ter kakovosti njihovega kapitala. Konkretno je treba uvesti predlogo za kvantitativna razkritja o sestavi kapitala in prilagodljivo predlogo o uskladitvi regulativnega kapitala z revidiranimi računovodskimi izkazi. Iz istega razloga je treba določiti tudi predlogo z informacijami o najpomembnejših značilnostih kapitalskih instrumentov, ki jih izdaja investicijsko podjetje.</w:t>
      </w:r>
    </w:p>
    <w:p w14:paraId="34FA5006" w14:textId="77777777" w:rsidR="003D5471" w:rsidRPr="007548C8" w:rsidRDefault="00C81CD0">
      <w:pPr>
        <w:pStyle w:val="Considrant"/>
        <w:numPr>
          <w:ilvl w:val="0"/>
          <w:numId w:val="0"/>
        </w:numPr>
        <w:tabs>
          <w:tab w:val="left" w:pos="709"/>
        </w:tabs>
        <w:ind w:left="709" w:hanging="709"/>
      </w:pPr>
      <w:r w:rsidRPr="007548C8">
        <w:t>(6)</w:t>
      </w:r>
      <w:r w:rsidRPr="007548C8">
        <w:tab/>
      </w:r>
      <w:r w:rsidRPr="007548C8">
        <w:rPr>
          <w:color w:val="000000"/>
        </w:rPr>
        <w:t>Za olajšanje izvajanja zahtev glede poročanja in razkritij je treba predloge za poročanje in predloge za razkritja bolj uskladiti. Predloga za razkritja o sestavi kapitala bi morala biti zato tesno usklajena s povezano predlogo za poročanje o ravni in sestavi kapitala. Iz istega razloga bi morala biti predloga za razkritje o celoviti uskladitvi kapitala z revidiranimi računovodskimi izkazi prilagodljiva, in sicer bi morala struktura predloge temeljiti na strukturi bilance stanja v revidiranih računovodskih izkazih investicijskega podjetja. Poleg tega bi morala biti predloga za razkritje informacij o glavnih značilnostih regulativnega kapitala fiksna, njena kompleksnost pa bi morala biti odvisna od kompleksnosti kapitalskih instrumentov.</w:t>
      </w:r>
    </w:p>
    <w:p w14:paraId="01DCD09F" w14:textId="77777777" w:rsidR="003D5471" w:rsidRPr="007548C8" w:rsidRDefault="00C81CD0">
      <w:pPr>
        <w:pStyle w:val="Considrant"/>
        <w:numPr>
          <w:ilvl w:val="0"/>
          <w:numId w:val="0"/>
        </w:numPr>
        <w:tabs>
          <w:tab w:val="left" w:pos="709"/>
        </w:tabs>
        <w:ind w:left="709" w:hanging="709"/>
      </w:pPr>
      <w:r w:rsidRPr="007548C8">
        <w:t>(7)</w:t>
      </w:r>
      <w:r w:rsidRPr="007548C8">
        <w:tab/>
        <w:t>Za zagotovitev, da se stroški zagotavljanja skladnosti s predpisi za investicijska podjetja ne povečajo nerazumno in da se ohrani kakovost podatkov, bi morale biti zahteve glede poročanja in zahteve glede razkritij vsebinsko v največji možni meri usklajene. Zato je primerno, da se v eni sami uredbi določijo standardi, ki se uporabljajo tako za zahteve za poročanje kot zahteve za razkritja.</w:t>
      </w:r>
    </w:p>
    <w:p w14:paraId="10B5E0EE" w14:textId="264F18E6" w:rsidR="003D5471" w:rsidRPr="007548C8" w:rsidRDefault="00C81CD0">
      <w:pPr>
        <w:pStyle w:val="Considrant"/>
        <w:numPr>
          <w:ilvl w:val="0"/>
          <w:numId w:val="0"/>
        </w:numPr>
        <w:tabs>
          <w:tab w:val="left" w:pos="709"/>
        </w:tabs>
        <w:ind w:left="709" w:hanging="709"/>
      </w:pPr>
      <w:r w:rsidRPr="007548C8">
        <w:t>(</w:t>
      </w:r>
      <w:r w:rsidR="00831A2E">
        <w:t>8</w:t>
      </w:r>
      <w:r w:rsidRPr="007548C8">
        <w:t>)</w:t>
      </w:r>
      <w:r w:rsidRPr="007548C8">
        <w:tab/>
        <w:t>Ta uredba temelji na osnutku izvedbenih tehničnih standardov, ki ga je Komisiji predložil Evropski bančni organ (EBA) po posvetovanju z Evropskim organom za vrednostne papirje in trge.</w:t>
      </w:r>
    </w:p>
    <w:p w14:paraId="2C82CC53" w14:textId="5F4FD9F4" w:rsidR="003D5471" w:rsidRPr="007548C8" w:rsidRDefault="00C81CD0">
      <w:pPr>
        <w:pStyle w:val="Considrant"/>
        <w:numPr>
          <w:ilvl w:val="0"/>
          <w:numId w:val="0"/>
        </w:numPr>
        <w:tabs>
          <w:tab w:val="left" w:pos="709"/>
        </w:tabs>
        <w:ind w:left="709" w:hanging="709"/>
      </w:pPr>
      <w:r w:rsidRPr="007548C8">
        <w:t>(</w:t>
      </w:r>
      <w:r w:rsidR="00831A2E">
        <w:t>9</w:t>
      </w:r>
      <w:r w:rsidRPr="007548C8">
        <w:t>)</w:t>
      </w:r>
      <w:r w:rsidRPr="007548C8">
        <w:tab/>
        <w:t>EBA je opravil odprta javna posvetovanja o osnutku izvedbenih tehničnih standardov, na katerem temelji ta uredba, analiziral potencialne povezane stroške in koristi ter prosil za nasvet interesno skupino za bančništvo, ustanovljeno v skladu s členom 37 Uredbe (EU) št. 1093/2010 Evropskega parlamenta in Sveta </w:t>
      </w:r>
      <w:r w:rsidRPr="007548C8">
        <w:rPr>
          <w:rStyle w:val="FootnoteReference"/>
        </w:rPr>
        <w:footnoteReference w:id="2"/>
      </w:r>
      <w:r w:rsidR="007548C8">
        <w:t> </w:t>
      </w:r>
      <w:r w:rsidRPr="007548C8">
        <w:t>–</w:t>
      </w:r>
    </w:p>
    <w:p w14:paraId="30E55908" w14:textId="77777777" w:rsidR="003D5471" w:rsidRPr="007548C8" w:rsidRDefault="00C81CD0">
      <w:pPr>
        <w:pStyle w:val="Formuledadoption"/>
      </w:pPr>
      <w:r w:rsidRPr="007548C8">
        <w:t>SPREJELA NASLEDNJO UREDBO:</w:t>
      </w:r>
    </w:p>
    <w:p w14:paraId="69954951" w14:textId="77777777" w:rsidR="003D5471" w:rsidRPr="007548C8" w:rsidRDefault="00C81CD0">
      <w:pPr>
        <w:pStyle w:val="ChapterTitle"/>
      </w:pPr>
      <w:r w:rsidRPr="007548C8">
        <w:t>POGLAVJE I</w:t>
      </w:r>
    </w:p>
    <w:p w14:paraId="1F2A9839" w14:textId="77777777" w:rsidR="003D5471" w:rsidRPr="007548C8" w:rsidRDefault="00C81CD0">
      <w:pPr>
        <w:pStyle w:val="ChapterTitle"/>
      </w:pPr>
      <w:r w:rsidRPr="007548C8">
        <w:t>NADZORNIŠKO POROČANJE</w:t>
      </w:r>
    </w:p>
    <w:p w14:paraId="401E767C" w14:textId="77777777" w:rsidR="003D5471" w:rsidRPr="007548C8" w:rsidRDefault="00C81CD0">
      <w:pPr>
        <w:pStyle w:val="Titrearticle"/>
      </w:pPr>
      <w:r w:rsidRPr="007548C8">
        <w:t>Člen 1</w:t>
      </w:r>
    </w:p>
    <w:p w14:paraId="6BB43A3A" w14:textId="77777777" w:rsidR="003D5471" w:rsidRPr="007548C8" w:rsidRDefault="00C81CD0">
      <w:pPr>
        <w:pStyle w:val="Titrearticle"/>
        <w:spacing w:before="120"/>
        <w:rPr>
          <w:b/>
          <w:i w:val="0"/>
        </w:rPr>
      </w:pPr>
      <w:r w:rsidRPr="007548C8">
        <w:rPr>
          <w:b/>
          <w:i w:val="0"/>
        </w:rPr>
        <w:t>Referenčni datumi poročanja</w:t>
      </w:r>
    </w:p>
    <w:p w14:paraId="7C2AB256" w14:textId="77777777" w:rsidR="003D5471" w:rsidRPr="007548C8" w:rsidRDefault="00C81CD0">
      <w:pPr>
        <w:pStyle w:val="NumPar1"/>
        <w:numPr>
          <w:ilvl w:val="0"/>
          <w:numId w:val="0"/>
        </w:numPr>
        <w:tabs>
          <w:tab w:val="left" w:pos="567"/>
        </w:tabs>
      </w:pPr>
      <w:r w:rsidRPr="007548C8">
        <w:t>1.</w:t>
      </w:r>
      <w:r w:rsidRPr="007548C8">
        <w:tab/>
        <w:t>Informacije iz člena 54(1) Uredbe se poročajo po njihovem stanju na naslednje referenčne datume poročanja:</w:t>
      </w:r>
    </w:p>
    <w:p w14:paraId="0D088368" w14:textId="77777777" w:rsidR="003D5471" w:rsidRPr="007548C8" w:rsidRDefault="00C81CD0">
      <w:pPr>
        <w:pStyle w:val="Point1letter"/>
        <w:numPr>
          <w:ilvl w:val="0"/>
          <w:numId w:val="0"/>
        </w:numPr>
        <w:ind w:left="567" w:hanging="567"/>
      </w:pPr>
      <w:r w:rsidRPr="007548C8">
        <w:t>(a)</w:t>
      </w:r>
      <w:r w:rsidRPr="007548C8">
        <w:tab/>
        <w:t>četrtletno poročanje: 31. marca, 30. junija, 30. septembra in 31. decembra;</w:t>
      </w:r>
    </w:p>
    <w:p w14:paraId="1AA5F17E" w14:textId="77777777" w:rsidR="003D5471" w:rsidRPr="007548C8" w:rsidRDefault="00C81CD0">
      <w:pPr>
        <w:pStyle w:val="Point1letter"/>
        <w:numPr>
          <w:ilvl w:val="0"/>
          <w:numId w:val="0"/>
        </w:numPr>
        <w:ind w:left="567" w:hanging="567"/>
      </w:pPr>
      <w:r w:rsidRPr="007548C8">
        <w:t>(b)</w:t>
      </w:r>
      <w:r w:rsidRPr="007548C8">
        <w:tab/>
        <w:t>letno poročanje: 31. decembra.</w:t>
      </w:r>
    </w:p>
    <w:p w14:paraId="6B2E37E7" w14:textId="77777777" w:rsidR="003D5471" w:rsidRPr="007548C8" w:rsidRDefault="00C81CD0">
      <w:pPr>
        <w:pStyle w:val="NumPar1"/>
        <w:numPr>
          <w:ilvl w:val="0"/>
          <w:numId w:val="0"/>
        </w:numPr>
        <w:tabs>
          <w:tab w:val="left" w:pos="567"/>
        </w:tabs>
      </w:pPr>
      <w:r w:rsidRPr="007548C8">
        <w:t>2.</w:t>
      </w:r>
      <w:r w:rsidRPr="007548C8">
        <w:tab/>
        <w:t xml:space="preserve">Referenčni datumi poročanja iz odstavka 1 se lahko prilagodijo, kadar zakonodaja investicijskim podjetjem dovoljuje poročanje finančnih informacij na podlagi njihovega računovodskega leta, ki se razlikuje od koledarskega, tako da četrtletno poročanje informacij </w:t>
      </w:r>
      <w:r w:rsidRPr="007548C8">
        <w:lastRenderedPageBreak/>
        <w:t>poteka vsake tri mesece zadevnega računovodskega leta, letno poročanja pa na koncu računovodskega leta.</w:t>
      </w:r>
    </w:p>
    <w:p w14:paraId="67237D8B" w14:textId="77777777" w:rsidR="003D5471" w:rsidRPr="007548C8" w:rsidRDefault="00C81CD0">
      <w:pPr>
        <w:pStyle w:val="Titrearticle"/>
      </w:pPr>
      <w:r w:rsidRPr="007548C8">
        <w:t>Člen 2</w:t>
      </w:r>
    </w:p>
    <w:p w14:paraId="57943B99" w14:textId="77777777" w:rsidR="003D5471" w:rsidRPr="007548C8" w:rsidRDefault="00C81CD0">
      <w:pPr>
        <w:pStyle w:val="Titrearticle"/>
        <w:spacing w:before="120"/>
        <w:rPr>
          <w:b/>
          <w:i w:val="0"/>
        </w:rPr>
      </w:pPr>
      <w:r w:rsidRPr="007548C8">
        <w:rPr>
          <w:b/>
          <w:i w:val="0"/>
        </w:rPr>
        <w:t>Datumi predložitve</w:t>
      </w:r>
    </w:p>
    <w:p w14:paraId="6CBF5151" w14:textId="77777777" w:rsidR="003D5471" w:rsidRPr="007548C8" w:rsidRDefault="00C81CD0">
      <w:pPr>
        <w:pStyle w:val="NumPar1"/>
        <w:numPr>
          <w:ilvl w:val="0"/>
          <w:numId w:val="0"/>
        </w:numPr>
        <w:tabs>
          <w:tab w:val="left" w:pos="567"/>
        </w:tabs>
      </w:pPr>
      <w:r w:rsidRPr="007548C8">
        <w:t>1.</w:t>
      </w:r>
      <w:r w:rsidRPr="007548C8">
        <w:tab/>
        <w:t>Informacije iz člena 54(1) Uredbe (EU) 2019/2033 se predložijo do konca delovnega dne na naslednje datume predložitve:</w:t>
      </w:r>
    </w:p>
    <w:p w14:paraId="029F907B" w14:textId="77777777" w:rsidR="003D5471" w:rsidRPr="007548C8" w:rsidRDefault="00C81CD0">
      <w:pPr>
        <w:pStyle w:val="Point1letter"/>
        <w:numPr>
          <w:ilvl w:val="0"/>
          <w:numId w:val="0"/>
        </w:numPr>
        <w:ind w:left="567" w:hanging="567"/>
      </w:pPr>
      <w:r w:rsidRPr="007548C8">
        <w:t>(a)</w:t>
      </w:r>
      <w:r w:rsidRPr="007548C8">
        <w:tab/>
        <w:t>četrtletno poročanje: 12. maja, 11. avgusta, 11. novembra in 11. februarja;</w:t>
      </w:r>
    </w:p>
    <w:p w14:paraId="3E76827E" w14:textId="77777777" w:rsidR="003D5471" w:rsidRPr="007548C8" w:rsidRDefault="00C81CD0">
      <w:pPr>
        <w:pStyle w:val="Point1letter"/>
        <w:numPr>
          <w:ilvl w:val="0"/>
          <w:numId w:val="0"/>
        </w:numPr>
        <w:ind w:left="567" w:hanging="567"/>
      </w:pPr>
      <w:r w:rsidRPr="007548C8">
        <w:t>(b)</w:t>
      </w:r>
      <w:r w:rsidRPr="007548C8">
        <w:tab/>
        <w:t>letno poročanje: 11. februarja.</w:t>
      </w:r>
    </w:p>
    <w:p w14:paraId="63790460" w14:textId="77777777" w:rsidR="003D5471" w:rsidRPr="007548C8" w:rsidRDefault="00C81CD0">
      <w:pPr>
        <w:pStyle w:val="NumPar1"/>
        <w:numPr>
          <w:ilvl w:val="0"/>
          <w:numId w:val="0"/>
        </w:numPr>
        <w:tabs>
          <w:tab w:val="left" w:pos="567"/>
        </w:tabs>
      </w:pPr>
      <w:r w:rsidRPr="007548C8">
        <w:t>2.</w:t>
      </w:r>
      <w:r w:rsidRPr="007548C8">
        <w:tab/>
        <w:t>Če je datum predložitve državni praznik v državi članici pristojnega organa, ki mu je treba predložiti poročilo, oziroma sobota ali nedelja, je datum predložitve naslednji delovni dan.</w:t>
      </w:r>
    </w:p>
    <w:p w14:paraId="34A9B73C" w14:textId="77777777" w:rsidR="003D5471" w:rsidRPr="007548C8" w:rsidRDefault="00C81CD0">
      <w:pPr>
        <w:pStyle w:val="NumPar1"/>
        <w:numPr>
          <w:ilvl w:val="0"/>
          <w:numId w:val="0"/>
        </w:numPr>
        <w:tabs>
          <w:tab w:val="left" w:pos="567"/>
        </w:tabs>
      </w:pPr>
      <w:r w:rsidRPr="007548C8">
        <w:t>3.</w:t>
      </w:r>
      <w:r w:rsidRPr="007548C8">
        <w:tab/>
        <w:t>Če investicijska podjetja informacije poročajo s prilagojenimi referenčnimi datumi poročanja na podlagi računovodskega leta, kot je določeno v členu 1(2), je treba datume predložitve ustrezno prilagoditi, tako da se ohrani enako obdobje za predložitev glede na prilagojeni referenčni datum poročanja.</w:t>
      </w:r>
    </w:p>
    <w:p w14:paraId="6DE742E6" w14:textId="77777777" w:rsidR="003D5471" w:rsidRPr="007548C8" w:rsidRDefault="00C81CD0">
      <w:pPr>
        <w:pStyle w:val="NumPar1"/>
        <w:numPr>
          <w:ilvl w:val="0"/>
          <w:numId w:val="0"/>
        </w:numPr>
        <w:tabs>
          <w:tab w:val="left" w:pos="567"/>
        </w:tabs>
      </w:pPr>
      <w:r w:rsidRPr="007548C8">
        <w:t>4.</w:t>
      </w:r>
      <w:r w:rsidRPr="007548C8">
        <w:tab/>
        <w:t>Investicijska podjetja lahko predložijo nerevidirane podatke. Če revidirani podatki odstopajo od predloženih nerevidiranih podatkov, se brez nepotrebnega odlašanja predložijo revidirani podatki. Za namene tega člena so nerevidirani podatki podatki, za katere ni bilo dano mnenje zunanjega revizorja, revidirani podatki pa so podatki, ki jih je revidiral zunanji revizor, ki je dal revizijsko mnenje.</w:t>
      </w:r>
    </w:p>
    <w:p w14:paraId="5BFE640B" w14:textId="77777777" w:rsidR="003D5471" w:rsidRPr="007548C8" w:rsidRDefault="00C81CD0">
      <w:pPr>
        <w:pStyle w:val="NumPar1"/>
        <w:numPr>
          <w:ilvl w:val="0"/>
          <w:numId w:val="0"/>
        </w:numPr>
        <w:tabs>
          <w:tab w:val="left" w:pos="567"/>
        </w:tabs>
      </w:pPr>
      <w:r w:rsidRPr="007548C8">
        <w:t>5.</w:t>
      </w:r>
      <w:r w:rsidRPr="007548C8">
        <w:tab/>
        <w:t>Pristojnim organom se brez odlašanja predložijo popravki predloženih poročil.</w:t>
      </w:r>
    </w:p>
    <w:p w14:paraId="4950E8D1" w14:textId="77777777" w:rsidR="003D5471" w:rsidRPr="007548C8" w:rsidRDefault="00C81CD0">
      <w:pPr>
        <w:pStyle w:val="Titrearticle"/>
      </w:pPr>
      <w:r w:rsidRPr="007548C8">
        <w:t>Člen 3</w:t>
      </w:r>
    </w:p>
    <w:p w14:paraId="40006634" w14:textId="77777777" w:rsidR="003D5471" w:rsidRPr="007548C8" w:rsidRDefault="00C81CD0">
      <w:pPr>
        <w:pStyle w:val="Titrearticle"/>
        <w:spacing w:before="120"/>
        <w:rPr>
          <w:b/>
          <w:i w:val="0"/>
        </w:rPr>
      </w:pPr>
      <w:r w:rsidRPr="007548C8">
        <w:rPr>
          <w:b/>
          <w:i w:val="0"/>
        </w:rPr>
        <w:t>Uporaba zahtev glede poročanja na posamični podlagi</w:t>
      </w:r>
    </w:p>
    <w:p w14:paraId="6A5DAF48" w14:textId="77777777" w:rsidR="003D5471" w:rsidRPr="007548C8" w:rsidRDefault="00C81CD0">
      <w:r w:rsidRPr="007548C8">
        <w:t>Za izpolnjevanje zahtev glede poročanja iz člena 54 Uredbe (EU) 2019/2033 na posamični podlagi investicijska podjetja poročajo informacije, določene v členih 5, 6 in 7 te uredbe, in sicer tako pogosto, kot je tam določeno.</w:t>
      </w:r>
    </w:p>
    <w:p w14:paraId="271A478E" w14:textId="77777777" w:rsidR="003D5471" w:rsidRPr="007548C8" w:rsidRDefault="00C81CD0">
      <w:pPr>
        <w:pStyle w:val="Titrearticle"/>
      </w:pPr>
      <w:r w:rsidRPr="007548C8">
        <w:t>Člen 4</w:t>
      </w:r>
    </w:p>
    <w:p w14:paraId="3637E9BA" w14:textId="77777777" w:rsidR="003D5471" w:rsidRPr="007548C8" w:rsidRDefault="00C81CD0">
      <w:pPr>
        <w:pStyle w:val="Titrearticle"/>
        <w:spacing w:before="120"/>
        <w:rPr>
          <w:b/>
          <w:i w:val="0"/>
        </w:rPr>
      </w:pPr>
      <w:r w:rsidRPr="007548C8">
        <w:rPr>
          <w:b/>
          <w:i w:val="0"/>
        </w:rPr>
        <w:t>Uporaba zahtev glede poročanja na konsolidirani podlagi</w:t>
      </w:r>
    </w:p>
    <w:p w14:paraId="1A0E67EE" w14:textId="77777777" w:rsidR="003D5471" w:rsidRPr="007548C8" w:rsidRDefault="00C81CD0">
      <w:pPr>
        <w:rPr>
          <w:i/>
        </w:rPr>
      </w:pPr>
      <w:r w:rsidRPr="007548C8">
        <w:t>Za izpolnjevanje zahtev glede poročanja iz člena 54 Uredbe (EU) 2019/2033 na konsolidirani podlagi investicijska podjetja poročajo inf</w:t>
      </w:r>
      <w:r w:rsidR="005919B3">
        <w:t>ormacije, določene v členih 5</w:t>
      </w:r>
      <w:r w:rsidRPr="007548C8">
        <w:t xml:space="preserve"> in 6 te izvedbene uredbe, in sicer tako pogosto, kot je tam določeno.</w:t>
      </w:r>
    </w:p>
    <w:p w14:paraId="35B5C365" w14:textId="77777777" w:rsidR="003D5471" w:rsidRPr="007548C8" w:rsidRDefault="00C81CD0">
      <w:pPr>
        <w:pStyle w:val="Titrearticle"/>
      </w:pPr>
      <w:r w:rsidRPr="007548C8">
        <w:t>Člen 5</w:t>
      </w:r>
    </w:p>
    <w:p w14:paraId="1915BA6F" w14:textId="77777777" w:rsidR="003D5471" w:rsidRPr="007548C8" w:rsidRDefault="00C81CD0">
      <w:pPr>
        <w:pStyle w:val="Titrearticle"/>
        <w:spacing w:before="120"/>
        <w:rPr>
          <w:b/>
          <w:i w:val="0"/>
        </w:rPr>
      </w:pPr>
      <w:r w:rsidRPr="007548C8">
        <w:rPr>
          <w:b/>
          <w:i w:val="0"/>
        </w:rPr>
        <w:t>Oblika in pogostost poročanja investicijskih podjetij, ki niso mala in nepovezana investicijska podjetja</w:t>
      </w:r>
    </w:p>
    <w:p w14:paraId="719DE566" w14:textId="77777777" w:rsidR="003D5471" w:rsidRPr="007548C8" w:rsidRDefault="00C81CD0">
      <w:pPr>
        <w:pStyle w:val="NumPar1"/>
        <w:numPr>
          <w:ilvl w:val="0"/>
          <w:numId w:val="0"/>
        </w:numPr>
        <w:tabs>
          <w:tab w:val="left" w:pos="567"/>
        </w:tabs>
      </w:pPr>
      <w:r w:rsidRPr="007548C8">
        <w:t>1.</w:t>
      </w:r>
      <w:r w:rsidRPr="007548C8">
        <w:tab/>
        <w:t>Investicijska podjetja, ki niso mala in nepovezana investicijska podjetja, vsako četrtletje poročajo informacije, ki se zahtevajo v odstavkih 1 in 2 člena 54 Uredbe (EU) 2019/2033 z uporabo predlog iz Priloge I k tej uredbi v skladu z navodili iz Priloge II k tej uredbi.</w:t>
      </w:r>
    </w:p>
    <w:p w14:paraId="51767948" w14:textId="77777777" w:rsidR="003D5471" w:rsidRPr="007548C8" w:rsidRDefault="00C81CD0">
      <w:pPr>
        <w:pStyle w:val="NumPar1"/>
        <w:numPr>
          <w:ilvl w:val="0"/>
          <w:numId w:val="0"/>
        </w:numPr>
        <w:tabs>
          <w:tab w:val="left" w:pos="567"/>
        </w:tabs>
        <w:rPr>
          <w:szCs w:val="24"/>
        </w:rPr>
      </w:pPr>
      <w:r w:rsidRPr="007548C8">
        <w:rPr>
          <w:szCs w:val="24"/>
        </w:rPr>
        <w:t>2.</w:t>
      </w:r>
      <w:r w:rsidRPr="007548C8">
        <w:rPr>
          <w:szCs w:val="24"/>
        </w:rPr>
        <w:tab/>
      </w:r>
      <w:r w:rsidRPr="007548C8">
        <w:t xml:space="preserve">Investicijska podjetja, ki niso mala in nepovezana investicijska podjetja, ki določajo zahtevo za faktor K RtM na podlagi K-NPR v skladu s členom 21(1) Uredbe (EU) 2019/2033, vsako četrtletje poročajo informacije iz predlog C 18.00 do C 24.00 Priloge I k Izvedbeni </w:t>
      </w:r>
      <w:r w:rsidRPr="007548C8">
        <w:lastRenderedPageBreak/>
        <w:t>uredbi Komisije (EU) 2021/451</w:t>
      </w:r>
      <w:r w:rsidR="007548C8">
        <w:rPr>
          <w:rStyle w:val="FootnoteReference"/>
        </w:rPr>
        <w:footnoteReference w:id="3"/>
      </w:r>
      <w:r w:rsidRPr="007548C8">
        <w:t xml:space="preserve"> v skladu z navodili iz dela 2 Priloge II k navedeni izvedbeni uredbi.</w:t>
      </w:r>
    </w:p>
    <w:p w14:paraId="4917A97B" w14:textId="77777777" w:rsidR="003D5471" w:rsidRPr="007548C8" w:rsidRDefault="00C81CD0">
      <w:pPr>
        <w:pStyle w:val="NumPar1"/>
        <w:numPr>
          <w:ilvl w:val="0"/>
          <w:numId w:val="0"/>
        </w:numPr>
        <w:tabs>
          <w:tab w:val="left" w:pos="567"/>
        </w:tabs>
        <w:rPr>
          <w:szCs w:val="24"/>
        </w:rPr>
      </w:pPr>
      <w:r w:rsidRPr="007548C8">
        <w:rPr>
          <w:szCs w:val="24"/>
        </w:rPr>
        <w:t>3.</w:t>
      </w:r>
      <w:r w:rsidRPr="007548C8">
        <w:rPr>
          <w:szCs w:val="24"/>
        </w:rPr>
        <w:tab/>
      </w:r>
      <w:r w:rsidRPr="007548C8">
        <w:t>Investicijska podjetja, ki niso mala in nepovezana investicijska podjetja, ki uporabljajo odstopanje iz člena 25(4) Uredbe (EU) 2019/2033, vsako četrtletje poročajo informacije iz predloge C 34.02 Priloge I k Izvedbeni uredbi (EU) 2021/451 v skladu z navodili iz dela 2 Priloge II k navedeni izvedbeni uredbi.</w:t>
      </w:r>
    </w:p>
    <w:p w14:paraId="2BCDA3DC" w14:textId="77777777" w:rsidR="003D5471" w:rsidRPr="007548C8" w:rsidRDefault="00C81CD0">
      <w:pPr>
        <w:pStyle w:val="NumPar1"/>
        <w:numPr>
          <w:ilvl w:val="0"/>
          <w:numId w:val="0"/>
        </w:numPr>
        <w:tabs>
          <w:tab w:val="left" w:pos="567"/>
        </w:tabs>
        <w:rPr>
          <w:szCs w:val="24"/>
        </w:rPr>
      </w:pPr>
      <w:r w:rsidRPr="007548C8">
        <w:rPr>
          <w:szCs w:val="24"/>
        </w:rPr>
        <w:t>4.</w:t>
      </w:r>
      <w:r w:rsidRPr="007548C8">
        <w:rPr>
          <w:szCs w:val="24"/>
        </w:rPr>
        <w:tab/>
      </w:r>
      <w:r w:rsidRPr="007548C8">
        <w:t>Investicijska podjetja, ki niso mala in nepovezana investicijska podjetja, ki uporabljajo odstopanje iz člena 25(5), drugi pododstavek, Uredbe (EU) 2019/2033, vsako četrtletje poročajo informacije iz predloge C 25.00 Priloge I k Izvedbeni uredbi (EU) 2021/451 v skladu z navodili iz dela 2 Priloge II k navedeni izvedbeni uredbi.</w:t>
      </w:r>
    </w:p>
    <w:p w14:paraId="0B13F00A" w14:textId="77777777" w:rsidR="003D5471" w:rsidRPr="007548C8" w:rsidRDefault="00C81CD0">
      <w:pPr>
        <w:pStyle w:val="Titrearticle"/>
      </w:pPr>
      <w:r w:rsidRPr="007548C8">
        <w:t>Člen 6</w:t>
      </w:r>
    </w:p>
    <w:p w14:paraId="16EC5D31" w14:textId="77777777" w:rsidR="003D5471" w:rsidRPr="007548C8" w:rsidRDefault="00C81CD0">
      <w:pPr>
        <w:pStyle w:val="Titrearticle"/>
        <w:spacing w:before="120"/>
        <w:rPr>
          <w:b/>
          <w:i w:val="0"/>
        </w:rPr>
      </w:pPr>
      <w:r w:rsidRPr="007548C8">
        <w:rPr>
          <w:b/>
          <w:i w:val="0"/>
        </w:rPr>
        <w:t>Oblika in pogostost poročanja malih in nepovezanih investicijskih podjetij</w:t>
      </w:r>
    </w:p>
    <w:p w14:paraId="04BFE510" w14:textId="77777777" w:rsidR="003D5471" w:rsidRPr="007548C8" w:rsidRDefault="00C81CD0">
      <w:pPr>
        <w:pStyle w:val="NumPar1"/>
        <w:numPr>
          <w:ilvl w:val="0"/>
          <w:numId w:val="0"/>
        </w:numPr>
        <w:tabs>
          <w:tab w:val="left" w:pos="567"/>
        </w:tabs>
      </w:pPr>
      <w:r w:rsidRPr="007548C8">
        <w:t>1.</w:t>
      </w:r>
      <w:r w:rsidRPr="007548C8">
        <w:tab/>
        <w:t>Mala in nepovezana investicijska podjetja vsako leto poročajo informacije iz predlog v Prilogi III k tej uredbi v skladu z navodili iz Priloge IV k tej uredbi. Investicijska podjetja, ki imajo korist od izvzetja iz člena 43(1), drugi pododstavek, Uredbe (EU) 2019/2033, so izvzeta iz obveznosti predložitve informacij iz predloge IF 09.01 iz Priloge III k tej uredbi.</w:t>
      </w:r>
    </w:p>
    <w:p w14:paraId="50C35C7F" w14:textId="77777777" w:rsidR="003D5471" w:rsidRPr="007548C8" w:rsidRDefault="00C81CD0">
      <w:pPr>
        <w:pStyle w:val="Titrearticle"/>
      </w:pPr>
      <w:r w:rsidRPr="007548C8">
        <w:t>Člen 7</w:t>
      </w:r>
    </w:p>
    <w:p w14:paraId="71C04B20" w14:textId="77777777" w:rsidR="003D5471" w:rsidRPr="007548C8" w:rsidRDefault="00C81CD0">
      <w:pPr>
        <w:pStyle w:val="Titrearticle"/>
        <w:spacing w:before="120"/>
        <w:rPr>
          <w:b/>
          <w:i w:val="0"/>
        </w:rPr>
      </w:pPr>
      <w:r w:rsidRPr="007548C8">
        <w:rPr>
          <w:b/>
          <w:i w:val="0"/>
        </w:rPr>
        <w:t>Oblika in pogostost poročanja subjektov, ki imajo korist od uporabe člena 8 Uredbe (EU) 2019/2033</w:t>
      </w:r>
    </w:p>
    <w:p w14:paraId="790F0667" w14:textId="77777777" w:rsidR="003D5471" w:rsidRPr="007548C8" w:rsidRDefault="00C81CD0">
      <w:pPr>
        <w:rPr>
          <w:rFonts w:eastAsia="Times New Roman"/>
          <w:szCs w:val="24"/>
        </w:rPr>
      </w:pPr>
      <w:r w:rsidRPr="007548C8">
        <w:t>Z odstopanjem od člena 4 te uredbe subjekti iz člena 8(3) Uredbe (EU) 2019/2033, ki imajo korist od uporabe navedenega člena, vsako četrtletje poročajo informacije iz predlog v Prilogi VIII k tej uredbi v skladu z navodili iz Priloge IX k tej uredbi.</w:t>
      </w:r>
    </w:p>
    <w:p w14:paraId="5075A051" w14:textId="77777777" w:rsidR="003D5471" w:rsidRPr="007548C8" w:rsidRDefault="00C81CD0">
      <w:pPr>
        <w:pStyle w:val="Titrearticle"/>
      </w:pPr>
      <w:r w:rsidRPr="007548C8">
        <w:t>Člen 8</w:t>
      </w:r>
    </w:p>
    <w:p w14:paraId="4B9429DA" w14:textId="77777777" w:rsidR="003D5471" w:rsidRPr="007548C8" w:rsidRDefault="00C81CD0">
      <w:pPr>
        <w:pStyle w:val="Titrearticle"/>
        <w:spacing w:before="120"/>
        <w:rPr>
          <w:b/>
          <w:i w:val="0"/>
        </w:rPr>
      </w:pPr>
      <w:r w:rsidRPr="007548C8">
        <w:rPr>
          <w:b/>
          <w:i w:val="0"/>
        </w:rPr>
        <w:t>Natančnost podatkov in informacije, povezane s predloženimi podatki</w:t>
      </w:r>
    </w:p>
    <w:p w14:paraId="0E1675A7" w14:textId="77777777" w:rsidR="003D5471" w:rsidRPr="007548C8" w:rsidRDefault="00C81CD0">
      <w:pPr>
        <w:pStyle w:val="NumPar1"/>
        <w:numPr>
          <w:ilvl w:val="0"/>
          <w:numId w:val="0"/>
        </w:numPr>
        <w:tabs>
          <w:tab w:val="left" w:pos="567"/>
        </w:tabs>
      </w:pPr>
      <w:r w:rsidRPr="007548C8">
        <w:t>1.</w:t>
      </w:r>
      <w:r w:rsidRPr="007548C8">
        <w:tab/>
        <w:t>Investicijska podjetja informacije, določene v tej uredbi, predložijo v oblikah izmenjave podatkov in predstavljanja, ki jih določijo pristojni organi, pri čemer upoštevajo opredelitev podatkovne točke modela podatkovnih točk in formule za validacijo iz Priloge V ter naslednje zahteve:</w:t>
      </w:r>
    </w:p>
    <w:p w14:paraId="0EAC38E6" w14:textId="77777777" w:rsidR="003D5471" w:rsidRPr="007548C8" w:rsidRDefault="00C81CD0">
      <w:pPr>
        <w:pStyle w:val="Point1letter"/>
        <w:numPr>
          <w:ilvl w:val="0"/>
          <w:numId w:val="0"/>
        </w:numPr>
        <w:ind w:left="567" w:hanging="567"/>
      </w:pPr>
      <w:r w:rsidRPr="007548C8">
        <w:t>(a)</w:t>
      </w:r>
      <w:r w:rsidRPr="007548C8">
        <w:tab/>
        <w:t>informacije, ki niso zahtevane ali relevantne, se ne vključijo v predložene podatke;</w:t>
      </w:r>
    </w:p>
    <w:p w14:paraId="000F8FFF" w14:textId="77777777" w:rsidR="003D5471" w:rsidRPr="007548C8" w:rsidRDefault="00C81CD0">
      <w:pPr>
        <w:pStyle w:val="Point1letter"/>
        <w:numPr>
          <w:ilvl w:val="0"/>
          <w:numId w:val="0"/>
        </w:numPr>
        <w:ind w:left="567" w:hanging="567"/>
      </w:pPr>
      <w:r w:rsidRPr="007548C8">
        <w:t>(b)</w:t>
      </w:r>
      <w:r w:rsidRPr="007548C8">
        <w:tab/>
        <w:t>numerične vrednosti se predložijo kot dejstva v skladu z naslednjimi dogovori:</w:t>
      </w:r>
    </w:p>
    <w:p w14:paraId="7013E534" w14:textId="77777777" w:rsidR="003D5471" w:rsidRPr="007548C8" w:rsidRDefault="00C81CD0">
      <w:pPr>
        <w:pStyle w:val="Point2"/>
        <w:ind w:left="1134"/>
      </w:pPr>
      <w:r w:rsidRPr="007548C8">
        <w:t>(i)</w:t>
      </w:r>
      <w:r w:rsidRPr="007548C8">
        <w:tab/>
        <w:t>podatkovne točke podatkov vrste „monetarno“ se poročajo z najmanjšim ekvivalentom natančnosti na tisoč enot;</w:t>
      </w:r>
    </w:p>
    <w:p w14:paraId="464CE53E" w14:textId="77777777" w:rsidR="003D5471" w:rsidRPr="007548C8" w:rsidRDefault="00C81CD0">
      <w:pPr>
        <w:pStyle w:val="Point2"/>
        <w:ind w:left="1134"/>
      </w:pPr>
      <w:r w:rsidRPr="007548C8">
        <w:t>(ii)</w:t>
      </w:r>
      <w:r w:rsidRPr="007548C8">
        <w:tab/>
        <w:t>podatkovne točke podatkov vrste „odstotek“ se izrazijo na enoto z najmanjšim ekvivalentom natančnosti na štiri decimalna mesta;</w:t>
      </w:r>
    </w:p>
    <w:p w14:paraId="0F034BA0" w14:textId="77777777" w:rsidR="003D5471" w:rsidRPr="007548C8" w:rsidRDefault="00C81CD0">
      <w:pPr>
        <w:pStyle w:val="Point2"/>
        <w:ind w:left="1134"/>
      </w:pPr>
      <w:r w:rsidRPr="007548C8">
        <w:t>(iii)</w:t>
      </w:r>
      <w:r w:rsidRPr="007548C8">
        <w:tab/>
        <w:t>podatkovne točke podatkov tipa „celo število“ se poročajo brez decimalnih mest in z ekvivalentom natančnosti na enoto.</w:t>
      </w:r>
    </w:p>
    <w:p w14:paraId="0C78F346" w14:textId="77777777" w:rsidR="003D5471" w:rsidRPr="007548C8" w:rsidRDefault="00C81CD0">
      <w:pPr>
        <w:pStyle w:val="NumPar1"/>
        <w:numPr>
          <w:ilvl w:val="0"/>
          <w:numId w:val="0"/>
        </w:numPr>
        <w:tabs>
          <w:tab w:val="left" w:pos="567"/>
        </w:tabs>
      </w:pPr>
      <w:r w:rsidRPr="007548C8">
        <w:lastRenderedPageBreak/>
        <w:t>2.</w:t>
      </w:r>
      <w:r w:rsidRPr="007548C8">
        <w:tab/>
        <w:t>Investicijska podjetja se identificirajo z njihovim identifikatorjem pravnih subjektov (LEI). Pravne osebe in nasprotne stranke, ki niso investicijska podjetja, se identificirajo z LEI, če je na voljo.</w:t>
      </w:r>
    </w:p>
    <w:p w14:paraId="1719761C" w14:textId="77777777" w:rsidR="003D5471" w:rsidRPr="007548C8" w:rsidRDefault="00C81CD0">
      <w:pPr>
        <w:pStyle w:val="NumPar1"/>
        <w:numPr>
          <w:ilvl w:val="0"/>
          <w:numId w:val="0"/>
        </w:numPr>
        <w:tabs>
          <w:tab w:val="left" w:pos="567"/>
        </w:tabs>
      </w:pPr>
      <w:r w:rsidRPr="007548C8">
        <w:t>3.</w:t>
      </w:r>
      <w:r w:rsidRPr="007548C8">
        <w:tab/>
        <w:t>Informacijam, ki jih predložijo investicijska podjetja v skladu s to uredbo, se priložijo naslednje informacije:</w:t>
      </w:r>
    </w:p>
    <w:p w14:paraId="46D4D40F" w14:textId="77777777" w:rsidR="003D5471" w:rsidRPr="007548C8" w:rsidRDefault="00C81CD0">
      <w:pPr>
        <w:pStyle w:val="Point1letter"/>
        <w:numPr>
          <w:ilvl w:val="0"/>
          <w:numId w:val="0"/>
        </w:numPr>
        <w:ind w:left="567" w:hanging="567"/>
      </w:pPr>
      <w:r w:rsidRPr="007548C8">
        <w:t>(a)</w:t>
      </w:r>
      <w:r w:rsidRPr="007548C8">
        <w:tab/>
        <w:t>referenčni datum poročanja in referenčno obdobje;</w:t>
      </w:r>
    </w:p>
    <w:p w14:paraId="6DD80CA7" w14:textId="77777777" w:rsidR="003D5471" w:rsidRPr="007548C8" w:rsidRDefault="00C81CD0">
      <w:pPr>
        <w:pStyle w:val="Point1letter"/>
        <w:numPr>
          <w:ilvl w:val="0"/>
          <w:numId w:val="0"/>
        </w:numPr>
        <w:ind w:left="567" w:hanging="567"/>
      </w:pPr>
      <w:r w:rsidRPr="007548C8">
        <w:t>(b)</w:t>
      </w:r>
      <w:r w:rsidRPr="007548C8">
        <w:tab/>
        <w:t>valuta poročanja;</w:t>
      </w:r>
    </w:p>
    <w:p w14:paraId="146A4E45" w14:textId="77777777" w:rsidR="003D5471" w:rsidRPr="007548C8" w:rsidRDefault="00C81CD0">
      <w:pPr>
        <w:pStyle w:val="Point1letter"/>
        <w:numPr>
          <w:ilvl w:val="0"/>
          <w:numId w:val="0"/>
        </w:numPr>
        <w:ind w:left="567" w:hanging="567"/>
      </w:pPr>
      <w:r w:rsidRPr="007548C8">
        <w:t>(c)</w:t>
      </w:r>
      <w:r w:rsidRPr="007548C8">
        <w:tab/>
        <w:t>računovodski standard;</w:t>
      </w:r>
    </w:p>
    <w:p w14:paraId="4D495A3F" w14:textId="77777777" w:rsidR="003D5471" w:rsidRPr="007548C8" w:rsidRDefault="00C81CD0">
      <w:pPr>
        <w:pStyle w:val="Point1letter"/>
        <w:numPr>
          <w:ilvl w:val="0"/>
          <w:numId w:val="0"/>
        </w:numPr>
        <w:ind w:left="567" w:hanging="567"/>
      </w:pPr>
      <w:r w:rsidRPr="007548C8">
        <w:t>(d)</w:t>
      </w:r>
      <w:r w:rsidRPr="007548C8">
        <w:tab/>
        <w:t>identifikator pravnih subjektov (LEI) institucije poročevalke;</w:t>
      </w:r>
    </w:p>
    <w:p w14:paraId="12181109" w14:textId="77777777" w:rsidR="003D5471" w:rsidRPr="007548C8" w:rsidRDefault="00C81CD0">
      <w:pPr>
        <w:pStyle w:val="Point1letter"/>
        <w:numPr>
          <w:ilvl w:val="0"/>
          <w:numId w:val="0"/>
        </w:numPr>
        <w:ind w:left="567" w:hanging="567"/>
      </w:pPr>
      <w:r w:rsidRPr="007548C8">
        <w:t>(e)</w:t>
      </w:r>
      <w:r w:rsidRPr="007548C8">
        <w:tab/>
        <w:t>obseg konsolidacije.</w:t>
      </w:r>
    </w:p>
    <w:p w14:paraId="40523A32" w14:textId="77777777" w:rsidR="003D5471" w:rsidRPr="007548C8" w:rsidRDefault="00C81CD0">
      <w:pPr>
        <w:pStyle w:val="ChapterTitle"/>
      </w:pPr>
      <w:r w:rsidRPr="007548C8">
        <w:t>POGLAVJE II</w:t>
      </w:r>
    </w:p>
    <w:p w14:paraId="2D8F6549" w14:textId="77777777" w:rsidR="003D5471" w:rsidRPr="007548C8" w:rsidRDefault="00C81CD0">
      <w:pPr>
        <w:pStyle w:val="ChapterTitle"/>
      </w:pPr>
      <w:r w:rsidRPr="007548C8">
        <w:t>JAVNA RAZKRITJA INVESTICIJSKIH PODJETIJ</w:t>
      </w:r>
    </w:p>
    <w:p w14:paraId="712D622E" w14:textId="77777777" w:rsidR="003D5471" w:rsidRPr="007548C8" w:rsidRDefault="00C81CD0">
      <w:pPr>
        <w:pStyle w:val="Titrearticle"/>
      </w:pPr>
      <w:r w:rsidRPr="007548C8">
        <w:t>Člen 9</w:t>
      </w:r>
    </w:p>
    <w:p w14:paraId="751C758B" w14:textId="77777777" w:rsidR="003D5471" w:rsidRPr="007548C8" w:rsidRDefault="00C81CD0">
      <w:pPr>
        <w:pStyle w:val="Titrearticle"/>
        <w:spacing w:before="120"/>
        <w:rPr>
          <w:b/>
          <w:i w:val="0"/>
        </w:rPr>
      </w:pPr>
      <w:r w:rsidRPr="007548C8">
        <w:rPr>
          <w:b/>
          <w:i w:val="0"/>
        </w:rPr>
        <w:t>Načela, ki se uporabljajo za razkritja</w:t>
      </w:r>
    </w:p>
    <w:p w14:paraId="5FD658FE" w14:textId="77777777" w:rsidR="003D5471" w:rsidRPr="007548C8" w:rsidRDefault="00C81CD0">
      <w:pPr>
        <w:pStyle w:val="NumPar1"/>
        <w:numPr>
          <w:ilvl w:val="0"/>
          <w:numId w:val="0"/>
        </w:numPr>
      </w:pPr>
      <w:r w:rsidRPr="007548C8">
        <w:t>1.</w:t>
      </w:r>
      <w:r w:rsidRPr="007548C8">
        <w:tab/>
        <w:t>Za informacije, ki jih je treba razkriti v skladu s to uredbo, se uporabljajo naslednja načela:</w:t>
      </w:r>
    </w:p>
    <w:p w14:paraId="3D210016" w14:textId="77777777" w:rsidR="003D5471" w:rsidRPr="007548C8" w:rsidRDefault="00C81CD0">
      <w:pPr>
        <w:pStyle w:val="Point1letter"/>
        <w:numPr>
          <w:ilvl w:val="0"/>
          <w:numId w:val="0"/>
        </w:numPr>
        <w:ind w:left="567" w:hanging="567"/>
      </w:pPr>
      <w:r w:rsidRPr="007548C8">
        <w:t>(a)</w:t>
      </w:r>
      <w:r w:rsidRPr="007548C8">
        <w:tab/>
        <w:t>za razkritja se izvaja enako intenzivno notranje preverjanje kot za poročilo poslovodstva, vključeno v računovodsko poročilo investicijskega podjetja;</w:t>
      </w:r>
    </w:p>
    <w:p w14:paraId="360D107A" w14:textId="77777777" w:rsidR="003D5471" w:rsidRPr="007548C8" w:rsidRDefault="00C81CD0">
      <w:pPr>
        <w:pStyle w:val="Point1letter"/>
        <w:numPr>
          <w:ilvl w:val="0"/>
          <w:numId w:val="0"/>
        </w:numPr>
        <w:ind w:left="567" w:hanging="567"/>
      </w:pPr>
      <w:r w:rsidRPr="007548C8">
        <w:t>(b)</w:t>
      </w:r>
      <w:r w:rsidRPr="007548C8">
        <w:tab/>
        <w:t>razkritja so jasna, predstavljena v obliki, ki je uporabnikom informacij razumljiva, in predložena na dostopnem nosilcu podatkov. Pomembna sporočila so poudarjena in jih je lahko najti. Zapletene zadeve so pojasnjene v preprostem jeziku. Povezane informacije so predstavljene skupaj;</w:t>
      </w:r>
    </w:p>
    <w:p w14:paraId="2E3DF2E9" w14:textId="77777777" w:rsidR="003D5471" w:rsidRPr="007548C8" w:rsidRDefault="00C81CD0">
      <w:pPr>
        <w:pStyle w:val="Point1letter"/>
        <w:numPr>
          <w:ilvl w:val="0"/>
          <w:numId w:val="0"/>
        </w:numPr>
        <w:ind w:left="567" w:hanging="567"/>
      </w:pPr>
      <w:r w:rsidRPr="007548C8">
        <w:t>(c)</w:t>
      </w:r>
      <w:r w:rsidRPr="007548C8">
        <w:tab/>
        <w:t>razkritja so smiselna in dosledna skozi čas, da se uporabnikom informacij omogoči primerjava informacij med obdobji razkritja;</w:t>
      </w:r>
    </w:p>
    <w:p w14:paraId="199C9F47" w14:textId="77777777" w:rsidR="003D5471" w:rsidRPr="007548C8" w:rsidRDefault="00C81CD0">
      <w:pPr>
        <w:pStyle w:val="Point1letter"/>
        <w:numPr>
          <w:ilvl w:val="0"/>
          <w:numId w:val="0"/>
        </w:numPr>
        <w:ind w:left="567" w:hanging="567"/>
      </w:pPr>
      <w:r w:rsidRPr="007548C8">
        <w:t>(d)</w:t>
      </w:r>
      <w:r w:rsidRPr="007548C8">
        <w:tab/>
        <w:t>kvantitativna razkritja spremljajo kvalitativna pojasnila in vse druge dodatne informacije, ki so morda potrebne, da uporabniki teh informacij razumejo ta razkritja, pri čemer se zlasti navedejo vse pomembne spremembe posameznega razkritja v primerjavi z informacijami iz prejšnjih razkritij.</w:t>
      </w:r>
    </w:p>
    <w:p w14:paraId="289716F9" w14:textId="77777777" w:rsidR="003D5471" w:rsidRPr="007548C8" w:rsidRDefault="00C81CD0">
      <w:pPr>
        <w:pStyle w:val="Titrearticle"/>
      </w:pPr>
      <w:r w:rsidRPr="007548C8">
        <w:t>Člen 10</w:t>
      </w:r>
    </w:p>
    <w:p w14:paraId="4759206E" w14:textId="77777777" w:rsidR="003D5471" w:rsidRPr="007548C8" w:rsidRDefault="00C81CD0">
      <w:pPr>
        <w:pStyle w:val="Titrearticle"/>
        <w:spacing w:before="120"/>
        <w:rPr>
          <w:b/>
          <w:i w:val="0"/>
        </w:rPr>
      </w:pPr>
      <w:r w:rsidRPr="007548C8">
        <w:rPr>
          <w:b/>
          <w:i w:val="0"/>
        </w:rPr>
        <w:t>Razkritja investicijskih podjetij v zvezi s kapitalom</w:t>
      </w:r>
    </w:p>
    <w:p w14:paraId="413DEADC" w14:textId="77777777" w:rsidR="003D5471" w:rsidRPr="007548C8" w:rsidRDefault="00C81CD0">
      <w:r w:rsidRPr="007548C8">
        <w:t>Investicijska podjetja opravijo razkritja v zvezi s kapitalom, kot se zahteva v členu 49(1) Uredbe (EU) 2019/2033, z uporabo predlog iz Priloge VI k tej uredbi in v skladu z ustreznimi navodili iz Priloge VII k tej uredbi.</w:t>
      </w:r>
    </w:p>
    <w:p w14:paraId="7F67DE06" w14:textId="77777777" w:rsidR="003D5471" w:rsidRPr="007548C8" w:rsidRDefault="00C81CD0">
      <w:pPr>
        <w:pStyle w:val="Titrearticle"/>
      </w:pPr>
      <w:r w:rsidRPr="007548C8">
        <w:t>Člen 11</w:t>
      </w:r>
    </w:p>
    <w:p w14:paraId="4EBD7FCB" w14:textId="77777777" w:rsidR="003D5471" w:rsidRPr="007548C8" w:rsidRDefault="00C81CD0">
      <w:pPr>
        <w:pStyle w:val="Titrearticle"/>
        <w:spacing w:before="120"/>
        <w:rPr>
          <w:b/>
          <w:i w:val="0"/>
        </w:rPr>
      </w:pPr>
      <w:r w:rsidRPr="007548C8">
        <w:rPr>
          <w:b/>
          <w:i w:val="0"/>
        </w:rPr>
        <w:t>Splošne določbe glede razkritij</w:t>
      </w:r>
    </w:p>
    <w:p w14:paraId="56DC7313" w14:textId="77777777" w:rsidR="003D5471" w:rsidRPr="007548C8" w:rsidRDefault="00C81CD0">
      <w:pPr>
        <w:pStyle w:val="NumPar1"/>
        <w:numPr>
          <w:ilvl w:val="0"/>
          <w:numId w:val="0"/>
        </w:numPr>
        <w:tabs>
          <w:tab w:val="left" w:pos="567"/>
        </w:tabs>
      </w:pPr>
      <w:r w:rsidRPr="007548C8">
        <w:t>1.</w:t>
      </w:r>
      <w:r w:rsidRPr="007548C8">
        <w:tab/>
        <w:t>Investicijska podjetja pri razkrivanju informacij iz člena 10 te uredbe zagotovijo, da so numerične vrednosti predložene kot dejstva v skladu z naslednjim:</w:t>
      </w:r>
    </w:p>
    <w:p w14:paraId="6237820F" w14:textId="77777777" w:rsidR="003D5471" w:rsidRPr="007548C8" w:rsidRDefault="00C81CD0">
      <w:pPr>
        <w:pStyle w:val="Point1letter"/>
        <w:numPr>
          <w:ilvl w:val="0"/>
          <w:numId w:val="0"/>
        </w:numPr>
        <w:ind w:left="567" w:hanging="567"/>
      </w:pPr>
      <w:r w:rsidRPr="007548C8">
        <w:lastRenderedPageBreak/>
        <w:t>(a)</w:t>
      </w:r>
      <w:r w:rsidRPr="007548C8">
        <w:tab/>
        <w:t>kvantitativni monetarni podatki se razkrijejo z najmanjšim ekvivalentom natančnosti na tisoč enot;</w:t>
      </w:r>
    </w:p>
    <w:p w14:paraId="06855158" w14:textId="77777777" w:rsidR="003D5471" w:rsidRPr="007548C8" w:rsidRDefault="00C81CD0">
      <w:pPr>
        <w:pStyle w:val="Point1letter"/>
        <w:numPr>
          <w:ilvl w:val="0"/>
          <w:numId w:val="0"/>
        </w:numPr>
        <w:ind w:left="567" w:hanging="567"/>
      </w:pPr>
      <w:r w:rsidRPr="007548C8">
        <w:t>(b)</w:t>
      </w:r>
      <w:r w:rsidRPr="007548C8">
        <w:tab/>
        <w:t>kvantitativni podatki, razkriti kot „odstotek“, se izrazijo na enoto z najmanjšim ekvivalentom natančnosti na štiri decimalna mesta.</w:t>
      </w:r>
    </w:p>
    <w:p w14:paraId="438E52EB" w14:textId="77777777" w:rsidR="003D5471" w:rsidRPr="007548C8" w:rsidRDefault="00C81CD0">
      <w:pPr>
        <w:pStyle w:val="NumPar1"/>
        <w:numPr>
          <w:ilvl w:val="0"/>
          <w:numId w:val="0"/>
        </w:numPr>
        <w:tabs>
          <w:tab w:val="left" w:pos="567"/>
        </w:tabs>
      </w:pPr>
      <w:r w:rsidRPr="007548C8">
        <w:t>2.</w:t>
      </w:r>
      <w:r w:rsidRPr="007548C8">
        <w:tab/>
        <w:t>Investicijska podjetja pri razkrivanju informacij iz člena 10 te uredbe zagotovijo, da so podatki povezani z vsemi naslednjimi informacijami:</w:t>
      </w:r>
    </w:p>
    <w:p w14:paraId="460FD2D1" w14:textId="77777777" w:rsidR="003D5471" w:rsidRPr="007548C8" w:rsidRDefault="00C81CD0">
      <w:pPr>
        <w:pStyle w:val="Point1letter"/>
        <w:numPr>
          <w:ilvl w:val="0"/>
          <w:numId w:val="0"/>
        </w:numPr>
        <w:ind w:left="567" w:hanging="567"/>
      </w:pPr>
      <w:r w:rsidRPr="007548C8">
        <w:t>(a)</w:t>
      </w:r>
      <w:r w:rsidRPr="007548C8">
        <w:tab/>
        <w:t>referenčni datum in referenčno obdobje razkritja;</w:t>
      </w:r>
    </w:p>
    <w:p w14:paraId="681786C5" w14:textId="77777777" w:rsidR="003D5471" w:rsidRPr="007548C8" w:rsidRDefault="00C81CD0">
      <w:pPr>
        <w:pStyle w:val="Point1letter"/>
        <w:numPr>
          <w:ilvl w:val="0"/>
          <w:numId w:val="0"/>
        </w:numPr>
        <w:ind w:left="567" w:hanging="567"/>
      </w:pPr>
      <w:r w:rsidRPr="007548C8">
        <w:t>(b)</w:t>
      </w:r>
      <w:r w:rsidRPr="007548C8">
        <w:tab/>
        <w:t>valuta razkritja;</w:t>
      </w:r>
    </w:p>
    <w:p w14:paraId="699A3484" w14:textId="77777777" w:rsidR="003D5471" w:rsidRPr="007548C8" w:rsidRDefault="00C81CD0">
      <w:pPr>
        <w:pStyle w:val="Point1letter"/>
        <w:numPr>
          <w:ilvl w:val="0"/>
          <w:numId w:val="0"/>
        </w:numPr>
        <w:ind w:left="567" w:hanging="567"/>
      </w:pPr>
      <w:r w:rsidRPr="007548C8">
        <w:t>(c)</w:t>
      </w:r>
      <w:r w:rsidRPr="007548C8">
        <w:tab/>
        <w:t>ime in, kjer je relevantno, identifikator pravnih subjektov (LEI) institucije, ki opravlja razkritja;</w:t>
      </w:r>
    </w:p>
    <w:p w14:paraId="5BDD9CF2" w14:textId="77777777" w:rsidR="003D5471" w:rsidRPr="007548C8" w:rsidRDefault="00C81CD0">
      <w:pPr>
        <w:pStyle w:val="Point1letter"/>
        <w:numPr>
          <w:ilvl w:val="0"/>
          <w:numId w:val="0"/>
        </w:numPr>
        <w:ind w:left="567" w:hanging="567"/>
      </w:pPr>
      <w:r w:rsidRPr="007548C8">
        <w:t>(d)</w:t>
      </w:r>
      <w:r w:rsidRPr="007548C8">
        <w:tab/>
        <w:t>kjer je relevantno, računovodski standard;</w:t>
      </w:r>
    </w:p>
    <w:p w14:paraId="5FDAC674" w14:textId="77777777" w:rsidR="003D5471" w:rsidRPr="007548C8" w:rsidRDefault="00C81CD0">
      <w:pPr>
        <w:pStyle w:val="Point1letter"/>
        <w:numPr>
          <w:ilvl w:val="0"/>
          <w:numId w:val="0"/>
        </w:numPr>
        <w:ind w:left="567" w:hanging="567"/>
      </w:pPr>
      <w:r w:rsidRPr="007548C8">
        <w:t>(e)</w:t>
      </w:r>
      <w:r w:rsidRPr="007548C8">
        <w:tab/>
        <w:t>kjer je relevantno, obseg konsolidacije.</w:t>
      </w:r>
    </w:p>
    <w:p w14:paraId="66FC4879" w14:textId="77777777" w:rsidR="003D5471" w:rsidRPr="007548C8" w:rsidRDefault="00C81CD0">
      <w:pPr>
        <w:pStyle w:val="ChapterTitle"/>
      </w:pPr>
      <w:r w:rsidRPr="007548C8">
        <w:t>POGLAVJE III</w:t>
      </w:r>
    </w:p>
    <w:p w14:paraId="77753F37" w14:textId="77777777" w:rsidR="003D5471" w:rsidRPr="007548C8" w:rsidRDefault="00C81CD0">
      <w:pPr>
        <w:pStyle w:val="ChapterTitle"/>
      </w:pPr>
      <w:r w:rsidRPr="007548C8">
        <w:t>KONČNE DOLOČBE</w:t>
      </w:r>
    </w:p>
    <w:p w14:paraId="68072B72" w14:textId="77777777" w:rsidR="003D5471" w:rsidRPr="007548C8" w:rsidRDefault="00C81CD0">
      <w:pPr>
        <w:pStyle w:val="Titrearticle"/>
        <w:spacing w:before="120"/>
      </w:pPr>
      <w:r w:rsidRPr="007548C8">
        <w:t>Člen 12</w:t>
      </w:r>
    </w:p>
    <w:p w14:paraId="761AA807" w14:textId="156941BB" w:rsidR="003D5471" w:rsidRPr="007548C8" w:rsidRDefault="00C81CD0">
      <w:pPr>
        <w:pStyle w:val="Titrearticle"/>
        <w:spacing w:before="120"/>
        <w:rPr>
          <w:b/>
          <w:i w:val="0"/>
        </w:rPr>
      </w:pPr>
      <w:r w:rsidRPr="007548C8">
        <w:rPr>
          <w:b/>
          <w:i w:val="0"/>
        </w:rPr>
        <w:t xml:space="preserve">Začetek veljavnosti </w:t>
      </w:r>
    </w:p>
    <w:p w14:paraId="77ACF8CB" w14:textId="77777777" w:rsidR="003D5471" w:rsidRPr="007548C8" w:rsidRDefault="00C81CD0">
      <w:r w:rsidRPr="007548C8">
        <w:t xml:space="preserve">Ta uredba začne veljati dvajseti dan po objavi v </w:t>
      </w:r>
      <w:r w:rsidRPr="007548C8">
        <w:rPr>
          <w:i/>
        </w:rPr>
        <w:t>Uradnem listu Evropske unije</w:t>
      </w:r>
      <w:r w:rsidRPr="007548C8">
        <w:t>.</w:t>
      </w:r>
    </w:p>
    <w:p w14:paraId="41D18572" w14:textId="77777777" w:rsidR="003D5471" w:rsidRPr="007548C8" w:rsidRDefault="00C81CD0">
      <w:pPr>
        <w:pStyle w:val="Applicationdirecte"/>
      </w:pPr>
      <w:r w:rsidRPr="007548C8">
        <w:t>Ta uredba je v celoti zavezujoča in se neposredno uporablja v vseh državah članicah.</w:t>
      </w:r>
    </w:p>
    <w:p w14:paraId="1DF95071" w14:textId="77777777" w:rsidR="003D5471" w:rsidRPr="007548C8" w:rsidRDefault="00C81CD0">
      <w:pPr>
        <w:pStyle w:val="Fait"/>
      </w:pPr>
      <w:r w:rsidRPr="007548C8">
        <w:t>V Bruslju,</w:t>
      </w:r>
      <w:r w:rsidR="007548C8">
        <w:t xml:space="preserve"> 6. decembra 2021</w:t>
      </w:r>
    </w:p>
    <w:p w14:paraId="008FB35B" w14:textId="77777777" w:rsidR="003D5471" w:rsidRPr="007548C8" w:rsidRDefault="00C81CD0">
      <w:pPr>
        <w:pStyle w:val="Institutionquisigne"/>
      </w:pPr>
      <w:r w:rsidRPr="007548C8">
        <w:tab/>
        <w:t>Za Komisijo</w:t>
      </w:r>
    </w:p>
    <w:p w14:paraId="23E0554B" w14:textId="77777777" w:rsidR="003D5471" w:rsidRPr="007548C8" w:rsidRDefault="00C81CD0">
      <w:pPr>
        <w:pStyle w:val="Personnequisigne"/>
      </w:pPr>
      <w:r w:rsidRPr="007548C8">
        <w:tab/>
        <w:t>predsednica</w:t>
      </w:r>
    </w:p>
    <w:p w14:paraId="7034F0AA" w14:textId="77777777" w:rsidR="003D5471" w:rsidRPr="007548C8" w:rsidRDefault="00C81CD0">
      <w:pPr>
        <w:pStyle w:val="Personnequisigne"/>
        <w:rPr>
          <w:i w:val="0"/>
        </w:rPr>
      </w:pPr>
      <w:r w:rsidRPr="007548C8">
        <w:rPr>
          <w:i w:val="0"/>
        </w:rPr>
        <w:tab/>
        <w:t xml:space="preserve">Ursula </w:t>
      </w:r>
      <w:r w:rsidR="007548C8" w:rsidRPr="007548C8">
        <w:rPr>
          <w:i w:val="0"/>
        </w:rPr>
        <w:t>VON DER LEYEN</w:t>
      </w:r>
    </w:p>
    <w:sectPr w:rsidR="003D5471" w:rsidRPr="007548C8">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8083A" w14:textId="77777777" w:rsidR="003D5471" w:rsidRDefault="00C81CD0">
      <w:pPr>
        <w:spacing w:before="0" w:after="0"/>
      </w:pPr>
      <w:r>
        <w:separator/>
      </w:r>
    </w:p>
  </w:endnote>
  <w:endnote w:type="continuationSeparator" w:id="0">
    <w:p w14:paraId="12BA4EBA" w14:textId="77777777" w:rsidR="003D5471" w:rsidRDefault="00C81CD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08AF4" w14:textId="77777777" w:rsidR="00831A2E" w:rsidRDefault="00831A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024F8" w14:textId="77777777" w:rsidR="003D5471" w:rsidRDefault="00C81CD0">
    <w:pPr>
      <w:pStyle w:val="Footer"/>
      <w:tabs>
        <w:tab w:val="clear" w:pos="4535"/>
        <w:tab w:val="clear" w:pos="9921"/>
      </w:tabs>
      <w:ind w:left="0" w:right="0"/>
    </w:pPr>
    <w:r>
      <w:t>SL - Cleaned document</w:t>
    </w:r>
    <w:r>
      <w:tab/>
    </w:r>
    <w:r>
      <w:fldChar w:fldCharType="begin"/>
    </w:r>
    <w:r>
      <w:instrText xml:space="preserve"> PAGE \* MERGEFORMAT </w:instrText>
    </w:r>
    <w:r>
      <w:fldChar w:fldCharType="separate"/>
    </w:r>
    <w:r w:rsidR="005919B3">
      <w:rPr>
        <w:noProof/>
      </w:rPr>
      <w:t>3</w:t>
    </w:r>
    <w:r>
      <w:fldChar w:fldCharType="end"/>
    </w:r>
    <w:r>
      <w:t>/</w:t>
    </w:r>
    <w:r w:rsidR="00831A2E">
      <w:fldChar w:fldCharType="begin"/>
    </w:r>
    <w:r w:rsidR="00831A2E">
      <w:instrText xml:space="preserve"> NUMPAGES \* MERGEFORMAT </w:instrText>
    </w:r>
    <w:r w:rsidR="00831A2E">
      <w:fldChar w:fldCharType="separate"/>
    </w:r>
    <w:r w:rsidR="005919B3">
      <w:rPr>
        <w:noProof/>
      </w:rPr>
      <w:t>6</w:t>
    </w:r>
    <w:r w:rsidR="00831A2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5EF6" w14:textId="77777777" w:rsidR="00831A2E" w:rsidRDefault="00831A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BDD3B" w14:textId="77777777" w:rsidR="003D5471" w:rsidRDefault="00C81CD0">
      <w:pPr>
        <w:spacing w:before="0" w:after="0"/>
      </w:pPr>
      <w:r>
        <w:separator/>
      </w:r>
    </w:p>
  </w:footnote>
  <w:footnote w:type="continuationSeparator" w:id="0">
    <w:p w14:paraId="789C1F3C" w14:textId="77777777" w:rsidR="003D5471" w:rsidRDefault="00C81CD0">
      <w:pPr>
        <w:spacing w:before="0" w:after="0"/>
      </w:pPr>
      <w:r>
        <w:continuationSeparator/>
      </w:r>
    </w:p>
  </w:footnote>
  <w:footnote w:id="1">
    <w:p w14:paraId="6F7986B3" w14:textId="77777777" w:rsidR="003D5471" w:rsidRDefault="00C81CD0">
      <w:pPr>
        <w:pStyle w:val="FootnoteText"/>
      </w:pPr>
      <w:r>
        <w:rPr>
          <w:rStyle w:val="FootnoteReference"/>
        </w:rPr>
        <w:footnoteRef/>
      </w:r>
      <w:r>
        <w:tab/>
        <w:t>UL L 314, 5.12.2019, str. 1.</w:t>
      </w:r>
    </w:p>
  </w:footnote>
  <w:footnote w:id="2">
    <w:p w14:paraId="24316D4D" w14:textId="77777777" w:rsidR="003D5471" w:rsidRDefault="00C81CD0">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w:t>
      </w:r>
    </w:p>
  </w:footnote>
  <w:footnote w:id="3">
    <w:p w14:paraId="173AE895" w14:textId="77777777" w:rsidR="007548C8" w:rsidRDefault="007548C8">
      <w:pPr>
        <w:pStyle w:val="FootnoteText"/>
      </w:pPr>
      <w:r>
        <w:rPr>
          <w:rStyle w:val="FootnoteReference"/>
        </w:rPr>
        <w:footnoteRef/>
      </w:r>
      <w:r>
        <w:t xml:space="preserve"> </w:t>
      </w:r>
      <w:r w:rsidR="00C81CD0">
        <w:tab/>
      </w:r>
      <w:r w:rsidR="00C81CD0" w:rsidRPr="00C81CD0">
        <w:t>Izvedbena uredba Komisije (EU) 2021/451 z dne 17. decembra 2020 o določitvi izvedbenih tehničnih standardov za uporabo Uredbe (EU) št. 575/2013 Evropskega parlamenta in Sveta v zvezi z nadzorniškim poročanjem institucij in razveljavitvi Izvedbene uredbe (EU) št. 680/2014 (UL L 97, 19.3.2021,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9C2C" w14:textId="77777777" w:rsidR="00831A2E" w:rsidRDefault="00831A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F32D" w14:textId="76476B47" w:rsidR="00831A2E" w:rsidRDefault="00831A2E">
    <w:pPr>
      <w:pStyle w:val="Header"/>
    </w:pPr>
    <w:r>
      <w:rPr>
        <w:noProof/>
      </w:rPr>
      <mc:AlternateContent>
        <mc:Choice Requires="wps">
          <w:drawing>
            <wp:anchor distT="0" distB="0" distL="114300" distR="114300" simplePos="0" relativeHeight="251659264" behindDoc="0" locked="0" layoutInCell="0" allowOverlap="1" wp14:anchorId="2CEB6DF1" wp14:editId="321E14F5">
              <wp:simplePos x="0" y="0"/>
              <wp:positionH relativeFrom="page">
                <wp:posOffset>0</wp:posOffset>
              </wp:positionH>
              <wp:positionV relativeFrom="page">
                <wp:posOffset>190500</wp:posOffset>
              </wp:positionV>
              <wp:extent cx="7560945" cy="273050"/>
              <wp:effectExtent l="0" t="0" r="0" b="12700"/>
              <wp:wrapNone/>
              <wp:docPr id="1" name="MSIPCM25074150bc2b0ccde8d238f6"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BB139A" w14:textId="4E8DEF37" w:rsidR="00831A2E" w:rsidRPr="00831A2E" w:rsidRDefault="00831A2E" w:rsidP="00831A2E">
                          <w:pPr>
                            <w:spacing w:before="0" w:after="0"/>
                            <w:jc w:val="left"/>
                            <w:rPr>
                              <w:rFonts w:ascii="Calibri" w:hAnsi="Calibri" w:cs="Calibri"/>
                              <w:color w:val="000000"/>
                            </w:rPr>
                          </w:pPr>
                          <w:r w:rsidRPr="00831A2E">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2CEB6DF1" id="_x0000_t202" coordsize="21600,21600" o:spt="202" path="m,l,21600r21600,l21600,xe">
              <v:stroke joinstyle="miter"/>
              <v:path gradientshapeok="t" o:connecttype="rect"/>
            </v:shapetype>
            <v:shape id="MSIPCM25074150bc2b0ccde8d238f6"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" o:allowincell="f" filled="f" stroked="f" strokeweight=".5pt">
              <v:fill o:detectmouseclick="t"/>
              <v:textbox inset="20pt,0,,0">
                <w:txbxContent>
                  <w:p w14:paraId="15BB139A" w14:textId="4E8DEF37" w:rsidR="00831A2E" w:rsidRPr="00831A2E" w:rsidRDefault="00831A2E" w:rsidP="00831A2E">
                    <w:pPr>
                      <w:spacing w:before="0" w:after="0"/>
                      <w:jc w:val="left"/>
                      <w:rPr>
                        <w:rFonts w:ascii="Calibri" w:hAnsi="Calibri" w:cs="Calibri"/>
                        <w:color w:val="000000"/>
                      </w:rPr>
                    </w:pPr>
                    <w:r w:rsidRPr="00831A2E">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1FE4C" w14:textId="77777777" w:rsidR="00831A2E" w:rsidRDefault="00831A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defaultTabStop w:val="72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7 15:28:0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1E6B0C98-CB56-4855-B126-ABD33FE1BE16"/>
    <w:docVar w:name="LW_COVERPAGE_TYPE" w:val="1"/>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dolo\u269?itvi izvedbenih tehni\u269?nih standardov za uporabo Uredbe (EU) 2019/2033 Evropskega parlamenta in Sveta v zvezi z nadzorni\u353?kim poro\u269?anjem in razkritji investicijskih podjetij"/>
    <w:docVar w:name="LW_TYPE.DOC.CP" w:val="IZVEDBENA UREDBA KOMISIJE (EU) \u8230?/\u8230?"/>
  </w:docVars>
  <w:rsids>
    <w:rsidRoot w:val="003D5471"/>
    <w:rsid w:val="003D5471"/>
    <w:rsid w:val="005919B3"/>
    <w:rsid w:val="007548C8"/>
    <w:rsid w:val="00831A2E"/>
    <w:rsid w:val="00C81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4CA1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sl-SI"/>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sl-SI"/>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3D05C-F200-4DA8-B715-B4F8EEB0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2014</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2022-01-14T15:20:00Z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2022-01-14T15:20:41Z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5b4355ff-d1d0-4c22-be9d-5e25ba099360</vt:lpwstr>
  </property>
  <property fmtid="{D5CDD505-2E9C-101B-9397-08002B2CF9AE}" pid="15" name="MSIP_Label_5c7eb9de-735b-4a68-8fe4-c9c62709b012_ContentBits">
    <vt:lpwstr>1</vt:lpwstr>
  </property>
</Properties>
</file>