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AC9C8" w14:textId="77777777" w:rsidR="0065631A" w:rsidRPr="00B236B5" w:rsidRDefault="00B236B5">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B236B5">
        <w:rPr>
          <w:rFonts w:ascii="Times New Roman" w:hAnsi="Times New Roman"/>
          <w:b/>
          <w:sz w:val="24"/>
          <w:szCs w:val="24"/>
        </w:rPr>
        <w:t>ET</w:t>
      </w:r>
      <w:r w:rsidRPr="00B236B5">
        <w:br/>
      </w:r>
      <w:r w:rsidRPr="00B236B5">
        <w:rPr>
          <w:rFonts w:ascii="Times New Roman" w:hAnsi="Times New Roman"/>
          <w:b/>
          <w:sz w:val="24"/>
          <w:szCs w:val="20"/>
        </w:rPr>
        <w:t>IV LISA</w:t>
      </w:r>
    </w:p>
    <w:p w14:paraId="703BFBC2" w14:textId="77777777" w:rsidR="0065631A" w:rsidRPr="00B236B5" w:rsidRDefault="00B236B5">
      <w:pPr>
        <w:spacing w:after="240" w:line="240" w:lineRule="auto"/>
        <w:jc w:val="center"/>
        <w:rPr>
          <w:rFonts w:ascii="Times New Roman" w:eastAsia="Times New Roman" w:hAnsi="Times New Roman" w:cs="Times New Roman"/>
          <w:b/>
          <w:sz w:val="24"/>
          <w:szCs w:val="20"/>
          <w:u w:val="single"/>
        </w:rPr>
      </w:pPr>
      <w:r w:rsidRPr="00B236B5">
        <w:rPr>
          <w:rFonts w:ascii="Times New Roman" w:hAnsi="Times New Roman"/>
          <w:b/>
          <w:sz w:val="24"/>
          <w:szCs w:val="20"/>
          <w:u w:val="single"/>
        </w:rPr>
        <w:t>„IV </w:t>
      </w:r>
      <w:bookmarkEnd w:id="0"/>
      <w:bookmarkEnd w:id="1"/>
      <w:r w:rsidRPr="00B236B5">
        <w:rPr>
          <w:rFonts w:ascii="Times New Roman" w:hAnsi="Times New Roman"/>
          <w:b/>
          <w:sz w:val="24"/>
          <w:szCs w:val="20"/>
          <w:u w:val="single"/>
        </w:rPr>
        <w:t>LISA</w:t>
      </w:r>
    </w:p>
    <w:p w14:paraId="4836364A" w14:textId="77777777" w:rsidR="0065631A" w:rsidRPr="00B236B5" w:rsidRDefault="00B236B5">
      <w:pPr>
        <w:spacing w:after="240" w:line="240" w:lineRule="auto"/>
        <w:jc w:val="center"/>
        <w:rPr>
          <w:rFonts w:ascii="Times New Roman" w:eastAsia="Times New Roman" w:hAnsi="Times New Roman" w:cs="Times New Roman"/>
          <w:b/>
          <w:sz w:val="24"/>
          <w:szCs w:val="20"/>
        </w:rPr>
      </w:pPr>
      <w:r w:rsidRPr="00B236B5">
        <w:rPr>
          <w:rFonts w:ascii="Times New Roman" w:hAnsi="Times New Roman"/>
          <w:b/>
          <w:sz w:val="24"/>
          <w:szCs w:val="20"/>
        </w:rPr>
        <w:t>ARUANDLUS VÄIKESTE JA MITTESEOTUD INVESTEERIMISÜHINGUTE PUHUL</w:t>
      </w:r>
    </w:p>
    <w:p w14:paraId="62CD959D" w14:textId="77777777" w:rsidR="0065631A" w:rsidRPr="00B236B5" w:rsidRDefault="00B236B5">
      <w:pPr>
        <w:spacing w:after="0" w:line="240" w:lineRule="auto"/>
        <w:rPr>
          <w:rFonts w:ascii="Times New Roman" w:eastAsia="Times New Roman" w:hAnsi="Times New Roman" w:cs="Times New Roman"/>
          <w:sz w:val="24"/>
          <w:szCs w:val="24"/>
        </w:rPr>
      </w:pPr>
      <w:r w:rsidRPr="00B236B5">
        <w:rPr>
          <w:rFonts w:ascii="Times New Roman" w:hAnsi="Times New Roman"/>
          <w:sz w:val="24"/>
          <w:szCs w:val="24"/>
        </w:rPr>
        <w:t>Sisukord</w:t>
      </w:r>
    </w:p>
    <w:p w14:paraId="03F194FC" w14:textId="77777777" w:rsidR="0065631A" w:rsidRPr="00B236B5" w:rsidRDefault="00B236B5">
      <w:pPr>
        <w:pStyle w:val="TOC2"/>
        <w:rPr>
          <w:rFonts w:eastAsiaTheme="minorEastAsia"/>
          <w:noProof/>
          <w:lang w:eastAsia="en-IE"/>
        </w:rPr>
      </w:pPr>
      <w:r w:rsidRPr="00B236B5">
        <w:rPr>
          <w:rFonts w:ascii="Times New Roman" w:hAnsi="Times New Roman"/>
          <w:noProof/>
        </w:rPr>
        <w:t>I OSA. ÜLDISED JUHISED</w:t>
      </w:r>
      <w:r w:rsidRPr="00B236B5">
        <w:rPr>
          <w:noProof/>
        </w:rPr>
        <w:tab/>
        <w:t>2</w:t>
      </w:r>
    </w:p>
    <w:p w14:paraId="65ED3F11" w14:textId="77777777" w:rsidR="0065631A" w:rsidRPr="00B236B5" w:rsidRDefault="00B236B5">
      <w:pPr>
        <w:pStyle w:val="TOC2"/>
        <w:rPr>
          <w:rFonts w:eastAsiaTheme="minorEastAsia"/>
          <w:noProof/>
          <w:lang w:eastAsia="en-IE"/>
        </w:rPr>
      </w:pPr>
      <w:r w:rsidRPr="00B236B5">
        <w:rPr>
          <w:rFonts w:ascii="Times New Roman" w:hAnsi="Times New Roman"/>
          <w:noProof/>
        </w:rPr>
        <w:t>1. Struktuur ja põhimõtted</w:t>
      </w:r>
      <w:r w:rsidRPr="00B236B5">
        <w:rPr>
          <w:noProof/>
        </w:rPr>
        <w:tab/>
        <w:t>2</w:t>
      </w:r>
    </w:p>
    <w:p w14:paraId="59995FDE" w14:textId="77777777" w:rsidR="0065631A" w:rsidRPr="00B236B5" w:rsidRDefault="00B236B5">
      <w:pPr>
        <w:pStyle w:val="TOC2"/>
        <w:rPr>
          <w:rFonts w:eastAsiaTheme="minorEastAsia"/>
          <w:noProof/>
          <w:lang w:eastAsia="en-IE"/>
        </w:rPr>
      </w:pPr>
      <w:r w:rsidRPr="00B236B5">
        <w:rPr>
          <w:rFonts w:ascii="Times New Roman" w:hAnsi="Times New Roman"/>
          <w:noProof/>
          <w:u w:val="single"/>
        </w:rPr>
        <w:t>1.1</w:t>
      </w:r>
      <w:r w:rsidRPr="00B236B5">
        <w:rPr>
          <w:rFonts w:ascii="Times New Roman" w:hAnsi="Times New Roman"/>
          <w:noProof/>
          <w:u w:val="single"/>
        </w:rPr>
        <w:t xml:space="preserve"> Struktuur</w:t>
      </w:r>
      <w:r w:rsidRPr="00B236B5">
        <w:rPr>
          <w:noProof/>
        </w:rPr>
        <w:tab/>
        <w:t>2</w:t>
      </w:r>
    </w:p>
    <w:p w14:paraId="6BFFA8AE" w14:textId="77777777" w:rsidR="0065631A" w:rsidRPr="00B236B5" w:rsidRDefault="00B236B5">
      <w:pPr>
        <w:pStyle w:val="TOC2"/>
        <w:rPr>
          <w:rFonts w:eastAsiaTheme="minorEastAsia"/>
          <w:noProof/>
          <w:lang w:eastAsia="en-IE"/>
        </w:rPr>
      </w:pPr>
      <w:r w:rsidRPr="00B236B5">
        <w:rPr>
          <w:rFonts w:ascii="Times New Roman" w:hAnsi="Times New Roman"/>
          <w:noProof/>
          <w:u w:val="single"/>
        </w:rPr>
        <w:t>1.2</w:t>
      </w:r>
      <w:r w:rsidRPr="00B236B5">
        <w:rPr>
          <w:rFonts w:ascii="Times New Roman" w:hAnsi="Times New Roman"/>
          <w:noProof/>
          <w:u w:val="single"/>
        </w:rPr>
        <w:t xml:space="preserve"> Nummerdamise põhimõtted</w:t>
      </w:r>
      <w:r w:rsidRPr="00B236B5">
        <w:rPr>
          <w:noProof/>
        </w:rPr>
        <w:tab/>
        <w:t>2</w:t>
      </w:r>
    </w:p>
    <w:p w14:paraId="49F6FDAB" w14:textId="77777777" w:rsidR="0065631A" w:rsidRPr="00B236B5" w:rsidRDefault="00B236B5">
      <w:pPr>
        <w:pStyle w:val="TOC2"/>
        <w:rPr>
          <w:rFonts w:eastAsiaTheme="minorEastAsia"/>
          <w:noProof/>
          <w:lang w:eastAsia="en-IE"/>
        </w:rPr>
      </w:pPr>
      <w:r w:rsidRPr="00B236B5">
        <w:rPr>
          <w:rFonts w:ascii="Times New Roman" w:hAnsi="Times New Roman"/>
          <w:noProof/>
          <w:u w:val="single"/>
        </w:rPr>
        <w:t>1.3</w:t>
      </w:r>
      <w:r w:rsidRPr="00B236B5">
        <w:rPr>
          <w:rFonts w:ascii="Times New Roman" w:hAnsi="Times New Roman"/>
          <w:noProof/>
          <w:u w:val="single"/>
        </w:rPr>
        <w:t xml:space="preserve"> Märgipõhimõtted</w:t>
      </w:r>
      <w:r w:rsidRPr="00B236B5">
        <w:rPr>
          <w:noProof/>
        </w:rPr>
        <w:tab/>
        <w:t>2</w:t>
      </w:r>
    </w:p>
    <w:p w14:paraId="236E56AD" w14:textId="77777777" w:rsidR="0065631A" w:rsidRPr="00B236B5" w:rsidRDefault="00B236B5">
      <w:pPr>
        <w:pStyle w:val="TOC2"/>
        <w:rPr>
          <w:rFonts w:eastAsiaTheme="minorEastAsia"/>
          <w:noProof/>
          <w:lang w:eastAsia="en-IE"/>
        </w:rPr>
      </w:pPr>
      <w:r w:rsidRPr="00B236B5">
        <w:rPr>
          <w:rFonts w:ascii="Times New Roman" w:hAnsi="Times New Roman"/>
          <w:noProof/>
          <w:u w:val="single"/>
        </w:rPr>
        <w:t>1.4</w:t>
      </w:r>
      <w:r w:rsidRPr="00B236B5">
        <w:rPr>
          <w:rFonts w:ascii="Times New Roman" w:hAnsi="Times New Roman"/>
          <w:noProof/>
          <w:u w:val="single"/>
        </w:rPr>
        <w:t xml:space="preserve"> Usaldatavusnõuete kohane konsolideerimine</w:t>
      </w:r>
      <w:r w:rsidRPr="00B236B5">
        <w:rPr>
          <w:noProof/>
        </w:rPr>
        <w:tab/>
        <w:t>2</w:t>
      </w:r>
    </w:p>
    <w:p w14:paraId="5AFFDE3F" w14:textId="77777777" w:rsidR="0065631A" w:rsidRPr="00B236B5" w:rsidRDefault="00B236B5">
      <w:pPr>
        <w:pStyle w:val="TOC2"/>
        <w:rPr>
          <w:rFonts w:eastAsiaTheme="minorEastAsia"/>
          <w:noProof/>
          <w:lang w:val="fi-FI" w:eastAsia="en-IE"/>
        </w:rPr>
      </w:pPr>
      <w:r w:rsidRPr="00B236B5">
        <w:rPr>
          <w:rFonts w:ascii="Times New Roman" w:hAnsi="Times New Roman"/>
          <w:noProof/>
        </w:rPr>
        <w:t>II OSA. VORMIDE TÄITMISE JUHISED</w:t>
      </w:r>
      <w:r w:rsidRPr="00B236B5">
        <w:rPr>
          <w:noProof/>
        </w:rPr>
        <w:tab/>
        <w:t>3</w:t>
      </w:r>
    </w:p>
    <w:p w14:paraId="24FE07F5" w14:textId="77777777" w:rsidR="0065631A" w:rsidRPr="00B236B5" w:rsidRDefault="00B236B5">
      <w:pPr>
        <w:pStyle w:val="TOC2"/>
        <w:rPr>
          <w:rFonts w:eastAsiaTheme="minorEastAsia"/>
          <w:noProof/>
          <w:lang w:val="fi-FI" w:eastAsia="en-IE"/>
        </w:rPr>
      </w:pPr>
      <w:r w:rsidRPr="00B236B5">
        <w:rPr>
          <w:rFonts w:ascii="Times New Roman" w:hAnsi="Times New Roman"/>
          <w:b/>
          <w:noProof/>
        </w:rPr>
        <w:t>1. OMAVAHENDID: TASE, KOOSSEIS, NÕUDED JA ARVUTAMINE</w:t>
      </w:r>
      <w:r w:rsidRPr="00B236B5">
        <w:rPr>
          <w:noProof/>
        </w:rPr>
        <w:tab/>
        <w:t>3</w:t>
      </w:r>
    </w:p>
    <w:p w14:paraId="4083F927" w14:textId="77777777" w:rsidR="0065631A" w:rsidRPr="00B236B5" w:rsidRDefault="00B236B5">
      <w:pPr>
        <w:pStyle w:val="TOC2"/>
        <w:rPr>
          <w:rFonts w:eastAsiaTheme="minorEastAsia"/>
          <w:noProof/>
          <w:lang w:val="fi-FI" w:eastAsia="en-IE"/>
        </w:rPr>
      </w:pPr>
      <w:r w:rsidRPr="00B236B5">
        <w:rPr>
          <w:rFonts w:ascii="Times New Roman" w:hAnsi="Times New Roman"/>
          <w:noProof/>
        </w:rPr>
        <w:t>1.1</w:t>
      </w:r>
      <w:r w:rsidRPr="00B236B5">
        <w:rPr>
          <w:rFonts w:ascii="Times New Roman" w:hAnsi="Times New Roman"/>
          <w:noProof/>
        </w:rPr>
        <w:t xml:space="preserve"> Üldised märkused</w:t>
      </w:r>
      <w:r w:rsidRPr="00B236B5">
        <w:rPr>
          <w:noProof/>
        </w:rPr>
        <w:tab/>
        <w:t>3</w:t>
      </w:r>
    </w:p>
    <w:p w14:paraId="21FA1B05" w14:textId="77777777" w:rsidR="0065631A" w:rsidRPr="00B236B5" w:rsidRDefault="00B236B5">
      <w:pPr>
        <w:pStyle w:val="TOC2"/>
        <w:rPr>
          <w:rFonts w:eastAsiaTheme="minorEastAsia"/>
          <w:noProof/>
          <w:lang w:val="fi-FI" w:eastAsia="en-IE"/>
        </w:rPr>
      </w:pPr>
      <w:r w:rsidRPr="00B236B5">
        <w:rPr>
          <w:rFonts w:ascii="Times New Roman" w:hAnsi="Times New Roman"/>
          <w:noProof/>
        </w:rPr>
        <w:t>1.2.</w:t>
      </w:r>
      <w:r w:rsidRPr="00B236B5">
        <w:rPr>
          <w:rFonts w:ascii="Times New Roman" w:hAnsi="Times New Roman"/>
          <w:noProof/>
        </w:rPr>
        <w:t xml:space="preserve"> I </w:t>
      </w:r>
      <w:r w:rsidRPr="00B236B5">
        <w:rPr>
          <w:rFonts w:ascii="Times New Roman" w:hAnsi="Times New Roman"/>
          <w:noProof/>
        </w:rPr>
        <w:t>01.01</w:t>
      </w:r>
      <w:r w:rsidRPr="00B236B5">
        <w:rPr>
          <w:rFonts w:ascii="Times New Roman" w:hAnsi="Times New Roman"/>
          <w:noProof/>
        </w:rPr>
        <w:t xml:space="preserve"> – OMAVAHENDITE KOOSSEIS (I </w:t>
      </w:r>
      <w:r w:rsidRPr="00B236B5">
        <w:rPr>
          <w:rFonts w:ascii="Times New Roman" w:hAnsi="Times New Roman"/>
          <w:noProof/>
        </w:rPr>
        <w:t>1.1</w:t>
      </w:r>
      <w:r w:rsidRPr="00B236B5">
        <w:rPr>
          <w:rFonts w:ascii="Times New Roman" w:hAnsi="Times New Roman"/>
          <w:noProof/>
        </w:rPr>
        <w:t>)</w:t>
      </w:r>
      <w:r w:rsidRPr="00B236B5">
        <w:rPr>
          <w:noProof/>
        </w:rPr>
        <w:tab/>
        <w:t>3</w:t>
      </w:r>
    </w:p>
    <w:p w14:paraId="12EB5E18" w14:textId="77777777" w:rsidR="0065631A" w:rsidRPr="00B236B5" w:rsidRDefault="00B236B5">
      <w:pPr>
        <w:pStyle w:val="TOC2"/>
        <w:rPr>
          <w:rFonts w:eastAsiaTheme="minorEastAsia"/>
          <w:noProof/>
          <w:lang w:val="fi-FI" w:eastAsia="en-IE"/>
        </w:rPr>
      </w:pPr>
      <w:r w:rsidRPr="00B236B5">
        <w:rPr>
          <w:rFonts w:ascii="Times New Roman" w:hAnsi="Times New Roman"/>
          <w:noProof/>
        </w:rPr>
        <w:t>1.2.1.</w:t>
      </w:r>
      <w:r w:rsidRPr="00B236B5">
        <w:rPr>
          <w:rFonts w:eastAsiaTheme="minorEastAsia"/>
          <w:noProof/>
          <w:lang w:val="fi-FI" w:eastAsia="en-IE"/>
        </w:rPr>
        <w:tab/>
      </w:r>
      <w:r w:rsidRPr="00B236B5">
        <w:rPr>
          <w:rFonts w:ascii="Times New Roman" w:hAnsi="Times New Roman"/>
          <w:noProof/>
        </w:rPr>
        <w:t>Juhised konkreetsete kirjete kohta</w:t>
      </w:r>
      <w:r w:rsidRPr="00B236B5">
        <w:rPr>
          <w:noProof/>
        </w:rPr>
        <w:tab/>
        <w:t>3</w:t>
      </w:r>
    </w:p>
    <w:p w14:paraId="6A8578F0" w14:textId="77777777" w:rsidR="0065631A" w:rsidRPr="00B236B5" w:rsidRDefault="00B236B5">
      <w:pPr>
        <w:pStyle w:val="TOC2"/>
        <w:rPr>
          <w:rFonts w:eastAsiaTheme="minorEastAsia"/>
          <w:noProof/>
          <w:lang w:val="fi-FI" w:eastAsia="en-IE"/>
        </w:rPr>
      </w:pPr>
      <w:r w:rsidRPr="00B236B5">
        <w:rPr>
          <w:rFonts w:ascii="Times New Roman" w:hAnsi="Times New Roman"/>
          <w:noProof/>
        </w:rPr>
        <w:t>1.3</w:t>
      </w:r>
      <w:r w:rsidRPr="00B236B5">
        <w:rPr>
          <w:rFonts w:ascii="Times New Roman" w:hAnsi="Times New Roman"/>
          <w:noProof/>
        </w:rPr>
        <w:t xml:space="preserve"> I </w:t>
      </w:r>
      <w:r w:rsidRPr="00B236B5">
        <w:rPr>
          <w:rFonts w:ascii="Times New Roman" w:hAnsi="Times New Roman"/>
          <w:noProof/>
        </w:rPr>
        <w:t>02.03</w:t>
      </w:r>
      <w:r w:rsidRPr="00B236B5">
        <w:rPr>
          <w:rFonts w:ascii="Times New Roman" w:hAnsi="Times New Roman"/>
          <w:noProof/>
        </w:rPr>
        <w:t xml:space="preserve"> – OMAVAHENDITE NÕUDED (I </w:t>
      </w:r>
      <w:r w:rsidRPr="00B236B5">
        <w:rPr>
          <w:rFonts w:ascii="Times New Roman" w:hAnsi="Times New Roman"/>
          <w:noProof/>
        </w:rPr>
        <w:t>2.3</w:t>
      </w:r>
      <w:r w:rsidRPr="00B236B5">
        <w:rPr>
          <w:rFonts w:ascii="Times New Roman" w:hAnsi="Times New Roman"/>
          <w:noProof/>
        </w:rPr>
        <w:t>)</w:t>
      </w:r>
      <w:r w:rsidRPr="00B236B5">
        <w:rPr>
          <w:noProof/>
        </w:rPr>
        <w:tab/>
        <w:t>8</w:t>
      </w:r>
    </w:p>
    <w:p w14:paraId="1D7D6E33" w14:textId="77777777" w:rsidR="0065631A" w:rsidRPr="00B236B5" w:rsidRDefault="00B236B5">
      <w:pPr>
        <w:pStyle w:val="TOC2"/>
        <w:rPr>
          <w:rFonts w:eastAsiaTheme="minorEastAsia"/>
          <w:noProof/>
          <w:lang w:val="fi-FI" w:eastAsia="en-IE"/>
        </w:rPr>
      </w:pPr>
      <w:r w:rsidRPr="00B236B5">
        <w:rPr>
          <w:rFonts w:ascii="Times New Roman" w:hAnsi="Times New Roman"/>
          <w:noProof/>
        </w:rPr>
        <w:t>1.3.1.</w:t>
      </w:r>
      <w:r w:rsidRPr="00B236B5">
        <w:rPr>
          <w:rFonts w:eastAsiaTheme="minorEastAsia"/>
          <w:noProof/>
          <w:lang w:val="fi-FI" w:eastAsia="en-IE"/>
        </w:rPr>
        <w:tab/>
      </w:r>
      <w:r w:rsidRPr="00B236B5">
        <w:rPr>
          <w:rFonts w:ascii="Times New Roman" w:hAnsi="Times New Roman"/>
          <w:noProof/>
          <w:u w:val="single"/>
        </w:rPr>
        <w:t>Juhised konkreetsete kirjete kohta</w:t>
      </w:r>
      <w:r w:rsidRPr="00B236B5">
        <w:rPr>
          <w:noProof/>
        </w:rPr>
        <w:tab/>
        <w:t>8</w:t>
      </w:r>
    </w:p>
    <w:p w14:paraId="6FF95A4A" w14:textId="77777777" w:rsidR="0065631A" w:rsidRPr="00B236B5" w:rsidRDefault="00B236B5">
      <w:pPr>
        <w:pStyle w:val="TOC2"/>
        <w:rPr>
          <w:rFonts w:eastAsiaTheme="minorEastAsia"/>
          <w:noProof/>
          <w:lang w:val="fi-FI" w:eastAsia="en-IE"/>
        </w:rPr>
      </w:pPr>
      <w:r w:rsidRPr="00B236B5">
        <w:rPr>
          <w:rFonts w:ascii="Times New Roman" w:hAnsi="Times New Roman"/>
          <w:noProof/>
        </w:rPr>
        <w:t>1.4.</w:t>
      </w:r>
      <w:r w:rsidRPr="00B236B5">
        <w:rPr>
          <w:rFonts w:ascii="Times New Roman" w:hAnsi="Times New Roman"/>
          <w:noProof/>
        </w:rPr>
        <w:t xml:space="preserve"> I </w:t>
      </w:r>
      <w:r w:rsidRPr="00B236B5">
        <w:rPr>
          <w:rFonts w:ascii="Times New Roman" w:hAnsi="Times New Roman"/>
          <w:noProof/>
        </w:rPr>
        <w:t>02.04</w:t>
      </w:r>
      <w:r w:rsidRPr="00B236B5">
        <w:rPr>
          <w:rFonts w:ascii="Times New Roman" w:hAnsi="Times New Roman"/>
          <w:noProof/>
        </w:rPr>
        <w:t xml:space="preserve"> – OMAVAHENDITE SUHTARVUD (I </w:t>
      </w:r>
      <w:r w:rsidRPr="00B236B5">
        <w:rPr>
          <w:rFonts w:ascii="Times New Roman" w:hAnsi="Times New Roman"/>
          <w:noProof/>
        </w:rPr>
        <w:t>2.4</w:t>
      </w:r>
      <w:r w:rsidRPr="00B236B5">
        <w:rPr>
          <w:rFonts w:ascii="Times New Roman" w:hAnsi="Times New Roman"/>
          <w:noProof/>
        </w:rPr>
        <w:t>)</w:t>
      </w:r>
      <w:r w:rsidRPr="00B236B5">
        <w:rPr>
          <w:noProof/>
        </w:rPr>
        <w:tab/>
        <w:t>9</w:t>
      </w:r>
    </w:p>
    <w:p w14:paraId="4C09B8D3" w14:textId="77777777" w:rsidR="0065631A" w:rsidRPr="00B236B5" w:rsidRDefault="00B236B5">
      <w:pPr>
        <w:pStyle w:val="TOC2"/>
        <w:rPr>
          <w:rFonts w:eastAsiaTheme="minorEastAsia"/>
          <w:noProof/>
          <w:lang w:val="fi-FI" w:eastAsia="en-IE"/>
        </w:rPr>
      </w:pPr>
      <w:r w:rsidRPr="00B236B5">
        <w:rPr>
          <w:rFonts w:ascii="Times New Roman" w:hAnsi="Times New Roman"/>
          <w:noProof/>
        </w:rPr>
        <w:t>1.4.1.</w:t>
      </w:r>
      <w:r w:rsidRPr="00B236B5">
        <w:rPr>
          <w:rFonts w:eastAsiaTheme="minorEastAsia"/>
          <w:noProof/>
          <w:lang w:val="fi-FI" w:eastAsia="en-IE"/>
        </w:rPr>
        <w:tab/>
      </w:r>
      <w:r w:rsidRPr="00B236B5">
        <w:rPr>
          <w:rFonts w:ascii="Times New Roman" w:hAnsi="Times New Roman"/>
          <w:noProof/>
          <w:u w:val="single"/>
        </w:rPr>
        <w:t>Juhised konkreetsete kirjete kohta</w:t>
      </w:r>
      <w:r w:rsidRPr="00B236B5">
        <w:rPr>
          <w:noProof/>
        </w:rPr>
        <w:tab/>
        <w:t>9</w:t>
      </w:r>
    </w:p>
    <w:p w14:paraId="2C045EE1" w14:textId="77777777" w:rsidR="0065631A" w:rsidRPr="00B236B5" w:rsidRDefault="00B236B5">
      <w:pPr>
        <w:pStyle w:val="TOC2"/>
        <w:rPr>
          <w:rFonts w:eastAsiaTheme="minorEastAsia"/>
          <w:noProof/>
          <w:lang w:val="it-IT" w:eastAsia="en-IE"/>
        </w:rPr>
      </w:pPr>
      <w:r w:rsidRPr="00B236B5">
        <w:rPr>
          <w:rFonts w:ascii="Times New Roman" w:hAnsi="Times New Roman"/>
          <w:noProof/>
        </w:rPr>
        <w:t>1.5.</w:t>
      </w:r>
      <w:r w:rsidRPr="00B236B5">
        <w:rPr>
          <w:rFonts w:ascii="Times New Roman" w:hAnsi="Times New Roman"/>
          <w:noProof/>
        </w:rPr>
        <w:t xml:space="preserve"> I </w:t>
      </w:r>
      <w:r w:rsidRPr="00B236B5">
        <w:rPr>
          <w:rFonts w:ascii="Times New Roman" w:hAnsi="Times New Roman"/>
          <w:noProof/>
        </w:rPr>
        <w:t>03.01</w:t>
      </w:r>
      <w:r w:rsidRPr="00B236B5">
        <w:rPr>
          <w:rFonts w:ascii="Times New Roman" w:hAnsi="Times New Roman"/>
          <w:noProof/>
        </w:rPr>
        <w:t xml:space="preserve"> – PÜSIVATE ÜLDKULUDE NÕUDE ARVUTAMINE (I </w:t>
      </w:r>
      <w:r w:rsidRPr="00B236B5">
        <w:rPr>
          <w:rFonts w:ascii="Times New Roman" w:hAnsi="Times New Roman"/>
          <w:noProof/>
        </w:rPr>
        <w:t>3.1</w:t>
      </w:r>
      <w:r w:rsidRPr="00B236B5">
        <w:rPr>
          <w:rFonts w:ascii="Times New Roman" w:hAnsi="Times New Roman"/>
          <w:noProof/>
        </w:rPr>
        <w:t>)</w:t>
      </w:r>
      <w:r w:rsidRPr="00B236B5">
        <w:rPr>
          <w:noProof/>
        </w:rPr>
        <w:tab/>
        <w:t>11</w:t>
      </w:r>
    </w:p>
    <w:p w14:paraId="3EB8AA9D" w14:textId="77777777" w:rsidR="0065631A" w:rsidRPr="00B236B5" w:rsidRDefault="00B236B5">
      <w:pPr>
        <w:pStyle w:val="TOC2"/>
        <w:rPr>
          <w:rFonts w:eastAsiaTheme="minorEastAsia"/>
          <w:noProof/>
          <w:lang w:val="fi-FI" w:eastAsia="en-IE"/>
        </w:rPr>
      </w:pPr>
      <w:r w:rsidRPr="00B236B5">
        <w:rPr>
          <w:rFonts w:ascii="Times New Roman" w:hAnsi="Times New Roman"/>
          <w:noProof/>
        </w:rPr>
        <w:t>1.5.1.</w:t>
      </w:r>
      <w:r w:rsidRPr="00B236B5">
        <w:rPr>
          <w:rFonts w:ascii="Times New Roman" w:hAnsi="Times New Roman"/>
          <w:noProof/>
        </w:rPr>
        <w:tab/>
      </w:r>
      <w:r w:rsidRPr="00B236B5">
        <w:rPr>
          <w:rFonts w:ascii="Times New Roman" w:hAnsi="Times New Roman"/>
          <w:noProof/>
          <w:u w:val="single"/>
        </w:rPr>
        <w:t>Juhised ko</w:t>
      </w:r>
      <w:r w:rsidRPr="00B236B5">
        <w:rPr>
          <w:rFonts w:ascii="Times New Roman" w:hAnsi="Times New Roman"/>
          <w:noProof/>
          <w:u w:val="single"/>
        </w:rPr>
        <w:t>nkreetsete kirjete kohta</w:t>
      </w:r>
      <w:r w:rsidRPr="00B236B5">
        <w:rPr>
          <w:noProof/>
        </w:rPr>
        <w:tab/>
        <w:t>11</w:t>
      </w:r>
    </w:p>
    <w:p w14:paraId="4D7630CF" w14:textId="77777777" w:rsidR="0065631A" w:rsidRPr="00B236B5" w:rsidRDefault="00B236B5">
      <w:pPr>
        <w:pStyle w:val="TOC2"/>
        <w:rPr>
          <w:rFonts w:eastAsiaTheme="minorEastAsia"/>
          <w:noProof/>
          <w:lang w:val="fi-FI" w:eastAsia="en-IE"/>
        </w:rPr>
      </w:pPr>
      <w:r w:rsidRPr="00B236B5">
        <w:rPr>
          <w:rFonts w:ascii="Times New Roman" w:hAnsi="Times New Roman"/>
          <w:noProof/>
        </w:rPr>
        <w:t>2. VÄIKESED JA MITTESEOTUD INVESTEERIMISÜHINGUD</w:t>
      </w:r>
      <w:r w:rsidRPr="00B236B5">
        <w:rPr>
          <w:noProof/>
        </w:rPr>
        <w:tab/>
        <w:t>13</w:t>
      </w:r>
    </w:p>
    <w:p w14:paraId="4A3B64FE" w14:textId="77777777" w:rsidR="0065631A" w:rsidRPr="00B236B5" w:rsidRDefault="00B236B5">
      <w:pPr>
        <w:pStyle w:val="TOC2"/>
        <w:rPr>
          <w:rFonts w:eastAsiaTheme="minorEastAsia"/>
          <w:noProof/>
          <w:lang w:val="fi-FI" w:eastAsia="en-IE"/>
        </w:rPr>
      </w:pPr>
      <w:r w:rsidRPr="00B236B5">
        <w:rPr>
          <w:rFonts w:ascii="Times New Roman" w:hAnsi="Times New Roman"/>
          <w:noProof/>
        </w:rPr>
        <w:t>2.1.</w:t>
      </w:r>
      <w:r w:rsidRPr="00B236B5">
        <w:rPr>
          <w:rFonts w:ascii="Times New Roman" w:hAnsi="Times New Roman"/>
          <w:noProof/>
        </w:rPr>
        <w:tab/>
      </w:r>
      <w:r w:rsidRPr="00B236B5">
        <w:rPr>
          <w:rFonts w:ascii="Times New Roman" w:hAnsi="Times New Roman"/>
          <w:noProof/>
          <w:u w:val="single"/>
        </w:rPr>
        <w:t xml:space="preserve">I </w:t>
      </w:r>
      <w:r w:rsidRPr="00B236B5">
        <w:rPr>
          <w:rFonts w:ascii="Times New Roman" w:hAnsi="Times New Roman"/>
          <w:noProof/>
          <w:u w:val="single"/>
        </w:rPr>
        <w:t>05.00</w:t>
      </w:r>
      <w:r w:rsidRPr="00B236B5">
        <w:rPr>
          <w:rFonts w:ascii="Times New Roman" w:hAnsi="Times New Roman"/>
          <w:noProof/>
          <w:u w:val="single"/>
        </w:rPr>
        <w:t xml:space="preserve"> – TEGEVUSE TASE – KÜNNISE LÄBIVAATAMINE (I 5)</w:t>
      </w:r>
      <w:r w:rsidRPr="00B236B5">
        <w:rPr>
          <w:noProof/>
        </w:rPr>
        <w:tab/>
        <w:t>13</w:t>
      </w:r>
    </w:p>
    <w:p w14:paraId="639E3E69" w14:textId="77777777" w:rsidR="0065631A" w:rsidRPr="00B236B5" w:rsidRDefault="00B236B5">
      <w:pPr>
        <w:pStyle w:val="TOC2"/>
        <w:rPr>
          <w:rFonts w:eastAsiaTheme="minorEastAsia"/>
          <w:noProof/>
          <w:lang w:val="fi-FI" w:eastAsia="en-IE"/>
        </w:rPr>
      </w:pPr>
      <w:r w:rsidRPr="00B236B5">
        <w:rPr>
          <w:rFonts w:ascii="Times New Roman" w:hAnsi="Times New Roman"/>
          <w:noProof/>
        </w:rPr>
        <w:t>2.1.1.</w:t>
      </w:r>
      <w:r w:rsidRPr="00B236B5">
        <w:rPr>
          <w:rFonts w:eastAsiaTheme="minorEastAsia"/>
          <w:noProof/>
          <w:lang w:val="fi-FI" w:eastAsia="en-IE"/>
        </w:rPr>
        <w:tab/>
      </w:r>
      <w:r w:rsidRPr="00B236B5">
        <w:rPr>
          <w:rFonts w:ascii="Times New Roman" w:hAnsi="Times New Roman"/>
          <w:noProof/>
          <w:u w:val="single"/>
        </w:rPr>
        <w:t>Juhised konkreetsete kirjete kohta</w:t>
      </w:r>
      <w:r w:rsidRPr="00B236B5">
        <w:rPr>
          <w:noProof/>
        </w:rPr>
        <w:tab/>
        <w:t>13</w:t>
      </w:r>
    </w:p>
    <w:p w14:paraId="48CD2FB1" w14:textId="77777777" w:rsidR="0065631A" w:rsidRPr="00B236B5" w:rsidRDefault="00B236B5">
      <w:pPr>
        <w:pStyle w:val="TOC2"/>
        <w:rPr>
          <w:rFonts w:eastAsiaTheme="minorEastAsia"/>
          <w:noProof/>
          <w:lang w:val="fi-FI" w:eastAsia="en-IE"/>
        </w:rPr>
      </w:pPr>
      <w:r w:rsidRPr="00B236B5">
        <w:rPr>
          <w:rFonts w:ascii="Times New Roman" w:hAnsi="Times New Roman"/>
          <w:b/>
          <w:noProof/>
        </w:rPr>
        <w:t>3. LIKVIIDSUSNÕUDED</w:t>
      </w:r>
      <w:r w:rsidRPr="00B236B5">
        <w:rPr>
          <w:noProof/>
        </w:rPr>
        <w:tab/>
        <w:t>16</w:t>
      </w:r>
    </w:p>
    <w:p w14:paraId="02AB6236" w14:textId="77777777" w:rsidR="0065631A" w:rsidRPr="00B236B5" w:rsidRDefault="00B236B5">
      <w:pPr>
        <w:pStyle w:val="TOC2"/>
        <w:rPr>
          <w:rFonts w:eastAsiaTheme="minorEastAsia"/>
          <w:noProof/>
          <w:lang w:val="fi-FI" w:eastAsia="en-IE"/>
        </w:rPr>
      </w:pPr>
      <w:r w:rsidRPr="00B236B5">
        <w:rPr>
          <w:rFonts w:ascii="Times New Roman" w:hAnsi="Times New Roman"/>
          <w:noProof/>
          <w:u w:val="single"/>
        </w:rPr>
        <w:t>3.1</w:t>
      </w:r>
      <w:r w:rsidRPr="00B236B5">
        <w:rPr>
          <w:rFonts w:ascii="Times New Roman" w:hAnsi="Times New Roman"/>
          <w:noProof/>
          <w:u w:val="single"/>
        </w:rPr>
        <w:t xml:space="preserve"> I </w:t>
      </w:r>
      <w:r w:rsidRPr="00B236B5">
        <w:rPr>
          <w:rFonts w:ascii="Times New Roman" w:hAnsi="Times New Roman"/>
          <w:noProof/>
          <w:u w:val="single"/>
        </w:rPr>
        <w:t>09.01</w:t>
      </w:r>
      <w:r w:rsidRPr="00B236B5">
        <w:rPr>
          <w:rFonts w:ascii="Times New Roman" w:hAnsi="Times New Roman"/>
          <w:noProof/>
          <w:u w:val="single"/>
        </w:rPr>
        <w:t xml:space="preserve"> – LIKVIIDSUSNÕUDED (I </w:t>
      </w:r>
      <w:r w:rsidRPr="00B236B5">
        <w:rPr>
          <w:rFonts w:ascii="Times New Roman" w:hAnsi="Times New Roman"/>
          <w:noProof/>
          <w:u w:val="single"/>
        </w:rPr>
        <w:t>9.1</w:t>
      </w:r>
      <w:r w:rsidRPr="00B236B5">
        <w:rPr>
          <w:rFonts w:ascii="Times New Roman" w:hAnsi="Times New Roman"/>
          <w:noProof/>
          <w:u w:val="single"/>
        </w:rPr>
        <w:t>)</w:t>
      </w:r>
      <w:r w:rsidRPr="00B236B5">
        <w:rPr>
          <w:noProof/>
        </w:rPr>
        <w:tab/>
        <w:t>16</w:t>
      </w:r>
    </w:p>
    <w:p w14:paraId="03E35AFB" w14:textId="77777777" w:rsidR="0065631A" w:rsidRPr="00B236B5" w:rsidRDefault="00B236B5">
      <w:pPr>
        <w:pStyle w:val="TOC2"/>
        <w:rPr>
          <w:rFonts w:eastAsiaTheme="minorEastAsia"/>
          <w:noProof/>
          <w:lang w:val="fi-FI" w:eastAsia="en-IE"/>
        </w:rPr>
      </w:pPr>
      <w:r w:rsidRPr="00B236B5">
        <w:rPr>
          <w:rFonts w:ascii="Times New Roman" w:hAnsi="Times New Roman"/>
          <w:noProof/>
        </w:rPr>
        <w:t>3.1.1.</w:t>
      </w:r>
      <w:r w:rsidRPr="00B236B5">
        <w:rPr>
          <w:rFonts w:eastAsiaTheme="minorEastAsia"/>
          <w:noProof/>
          <w:lang w:val="fi-FI" w:eastAsia="en-IE"/>
        </w:rPr>
        <w:tab/>
      </w:r>
      <w:r w:rsidRPr="00B236B5">
        <w:rPr>
          <w:rFonts w:ascii="Times New Roman" w:hAnsi="Times New Roman"/>
          <w:noProof/>
          <w:u w:val="single"/>
        </w:rPr>
        <w:t>Juhised konkreetsete kirjete kohta</w:t>
      </w:r>
      <w:r w:rsidRPr="00B236B5">
        <w:rPr>
          <w:noProof/>
        </w:rPr>
        <w:tab/>
        <w:t>16</w:t>
      </w:r>
      <w:bookmarkStart w:id="6" w:name="_Toc360188322"/>
      <w:bookmarkStart w:id="7" w:name="_Toc473560870"/>
      <w:bookmarkStart w:id="8" w:name="_Toc7084155"/>
    </w:p>
    <w:p w14:paraId="44260CDA" w14:textId="77777777" w:rsidR="0065631A" w:rsidRPr="00B236B5" w:rsidRDefault="00B236B5">
      <w:pPr>
        <w:pStyle w:val="Heading2"/>
        <w:rPr>
          <w:rFonts w:ascii="Times New Roman" w:hAnsi="Times New Roman"/>
        </w:rPr>
      </w:pPr>
      <w:bookmarkStart w:id="9" w:name="_Toc88215223"/>
      <w:r w:rsidRPr="00B236B5">
        <w:rPr>
          <w:rFonts w:ascii="Times New Roman" w:hAnsi="Times New Roman"/>
        </w:rPr>
        <w:t>I OSA. ÜLDISED JUHISED</w:t>
      </w:r>
      <w:bookmarkEnd w:id="9"/>
    </w:p>
    <w:p w14:paraId="02C7E47A" w14:textId="77777777" w:rsidR="0065631A" w:rsidRPr="00B236B5" w:rsidRDefault="00B236B5">
      <w:pPr>
        <w:keepNext/>
        <w:spacing w:before="240" w:after="240" w:line="240" w:lineRule="auto"/>
        <w:jc w:val="both"/>
        <w:outlineLvl w:val="1"/>
        <w:rPr>
          <w:rFonts w:ascii="Times New Roman" w:eastAsia="Arial" w:hAnsi="Times New Roman" w:cs="Times New Roman"/>
          <w:sz w:val="24"/>
          <w:szCs w:val="24"/>
        </w:rPr>
      </w:pPr>
      <w:bookmarkStart w:id="10" w:name="_Toc88215224"/>
      <w:r w:rsidRPr="00B236B5">
        <w:rPr>
          <w:rFonts w:ascii="Times New Roman" w:hAnsi="Times New Roman"/>
          <w:sz w:val="24"/>
          <w:szCs w:val="24"/>
        </w:rPr>
        <w:t>1. Struktuur ja põhimõtted</w:t>
      </w:r>
      <w:bookmarkEnd w:id="10"/>
    </w:p>
    <w:p w14:paraId="4994C5FB" w14:textId="77777777" w:rsidR="0065631A" w:rsidRPr="00B236B5" w:rsidRDefault="00B236B5">
      <w:pPr>
        <w:keepNext/>
        <w:spacing w:before="240" w:after="240" w:line="240" w:lineRule="auto"/>
        <w:jc w:val="both"/>
        <w:outlineLvl w:val="1"/>
        <w:rPr>
          <w:rFonts w:ascii="Times New Roman" w:eastAsia="Arial" w:hAnsi="Times New Roman" w:cs="Times New Roman"/>
          <w:sz w:val="24"/>
          <w:szCs w:val="24"/>
          <w:u w:val="single"/>
        </w:rPr>
      </w:pPr>
      <w:bookmarkStart w:id="11" w:name="_Toc88215225"/>
      <w:r w:rsidRPr="00B236B5">
        <w:rPr>
          <w:rFonts w:ascii="Times New Roman" w:hAnsi="Times New Roman"/>
          <w:sz w:val="24"/>
          <w:szCs w:val="24"/>
          <w:u w:val="single"/>
        </w:rPr>
        <w:t>1.1</w:t>
      </w:r>
      <w:r w:rsidRPr="00B236B5">
        <w:rPr>
          <w:rFonts w:ascii="Times New Roman" w:hAnsi="Times New Roman"/>
          <w:sz w:val="24"/>
          <w:szCs w:val="24"/>
          <w:u w:val="single"/>
        </w:rPr>
        <w:t xml:space="preserve"> Struktuur</w:t>
      </w:r>
      <w:bookmarkEnd w:id="11"/>
    </w:p>
    <w:p w14:paraId="6B7C07B9" w14:textId="77777777" w:rsidR="0065631A" w:rsidRPr="00B236B5" w:rsidRDefault="00B236B5">
      <w:pPr>
        <w:spacing w:line="256" w:lineRule="auto"/>
        <w:ind w:left="993" w:hanging="504"/>
        <w:jc w:val="both"/>
        <w:rPr>
          <w:rFonts w:ascii="Times New Roman" w:hAnsi="Times New Roman" w:cs="Times New Roman"/>
        </w:rPr>
      </w:pPr>
      <w:r w:rsidRPr="00B236B5">
        <w:rPr>
          <w:rFonts w:ascii="Times New Roman" w:hAnsi="Times New Roman" w:cs="Times New Roman"/>
        </w:rPr>
        <w:t>1.</w:t>
      </w:r>
      <w:r w:rsidRPr="00B236B5">
        <w:rPr>
          <w:rFonts w:ascii="Times New Roman" w:hAnsi="Times New Roman" w:cs="Times New Roman"/>
        </w:rPr>
        <w:tab/>
      </w:r>
      <w:r w:rsidRPr="00B236B5">
        <w:rPr>
          <w:rFonts w:ascii="Times New Roman" w:hAnsi="Times New Roman"/>
        </w:rPr>
        <w:t>Üldiselt koosneb raamistik järgmistest teabeplokkidest:</w:t>
      </w:r>
    </w:p>
    <w:p w14:paraId="10413760" w14:textId="77777777" w:rsidR="0065631A" w:rsidRPr="00B236B5" w:rsidRDefault="00B236B5">
      <w:pPr>
        <w:spacing w:line="256" w:lineRule="auto"/>
        <w:ind w:left="1728" w:hanging="648"/>
        <w:jc w:val="both"/>
        <w:rPr>
          <w:rFonts w:ascii="Times New Roman" w:hAnsi="Times New Roman" w:cs="Times New Roman"/>
        </w:rPr>
      </w:pPr>
      <w:r w:rsidRPr="00B236B5">
        <w:rPr>
          <w:rFonts w:ascii="Times New Roman" w:hAnsi="Times New Roman" w:cs="Times New Roman"/>
        </w:rPr>
        <w:t>a)</w:t>
      </w:r>
      <w:r w:rsidRPr="00B236B5">
        <w:rPr>
          <w:rFonts w:ascii="Times New Roman" w:hAnsi="Times New Roman" w:cs="Times New Roman"/>
        </w:rPr>
        <w:tab/>
      </w:r>
      <w:r w:rsidRPr="00B236B5">
        <w:rPr>
          <w:rFonts w:ascii="Times New Roman" w:hAnsi="Times New Roman"/>
        </w:rPr>
        <w:t>omavahendid;</w:t>
      </w:r>
    </w:p>
    <w:p w14:paraId="30F61865" w14:textId="77777777" w:rsidR="0065631A" w:rsidRPr="00B236B5" w:rsidRDefault="00B236B5">
      <w:pPr>
        <w:spacing w:line="256" w:lineRule="auto"/>
        <w:ind w:left="1728" w:hanging="648"/>
        <w:jc w:val="both"/>
        <w:rPr>
          <w:rFonts w:ascii="Times New Roman" w:hAnsi="Times New Roman" w:cs="Times New Roman"/>
        </w:rPr>
      </w:pPr>
      <w:r w:rsidRPr="00B236B5">
        <w:rPr>
          <w:rFonts w:ascii="Times New Roman" w:hAnsi="Times New Roman" w:cs="Times New Roman"/>
        </w:rPr>
        <w:lastRenderedPageBreak/>
        <w:t>b)</w:t>
      </w:r>
      <w:r w:rsidRPr="00B236B5">
        <w:rPr>
          <w:rFonts w:ascii="Times New Roman" w:hAnsi="Times New Roman" w:cs="Times New Roman"/>
        </w:rPr>
        <w:tab/>
      </w:r>
      <w:r w:rsidRPr="00B236B5">
        <w:rPr>
          <w:rFonts w:ascii="Times New Roman" w:hAnsi="Times New Roman"/>
        </w:rPr>
        <w:t>omavahendite nõuete arvutamine;</w:t>
      </w:r>
    </w:p>
    <w:p w14:paraId="6C12AF35" w14:textId="77777777" w:rsidR="0065631A" w:rsidRPr="00B236B5" w:rsidRDefault="00B236B5">
      <w:pPr>
        <w:spacing w:line="256" w:lineRule="auto"/>
        <w:ind w:left="1728" w:hanging="648"/>
        <w:jc w:val="both"/>
        <w:rPr>
          <w:rFonts w:ascii="Times New Roman" w:hAnsi="Times New Roman" w:cs="Times New Roman"/>
        </w:rPr>
      </w:pPr>
      <w:r w:rsidRPr="00B236B5">
        <w:rPr>
          <w:rFonts w:ascii="Times New Roman" w:hAnsi="Times New Roman" w:cs="Times New Roman"/>
        </w:rPr>
        <w:t>c)</w:t>
      </w:r>
      <w:r w:rsidRPr="00B236B5">
        <w:rPr>
          <w:rFonts w:ascii="Times New Roman" w:hAnsi="Times New Roman" w:cs="Times New Roman"/>
        </w:rPr>
        <w:tab/>
      </w:r>
      <w:r w:rsidRPr="00B236B5">
        <w:rPr>
          <w:rFonts w:ascii="Times New Roman" w:hAnsi="Times New Roman"/>
        </w:rPr>
        <w:t>püsivate üldkulude nõuete arvutamine;</w:t>
      </w:r>
    </w:p>
    <w:p w14:paraId="23D88043" w14:textId="77777777" w:rsidR="0065631A" w:rsidRPr="00B236B5" w:rsidRDefault="00B236B5">
      <w:pPr>
        <w:spacing w:line="256" w:lineRule="auto"/>
        <w:ind w:left="1728" w:hanging="648"/>
        <w:jc w:val="both"/>
        <w:rPr>
          <w:rFonts w:ascii="Times New Roman" w:hAnsi="Times New Roman" w:cs="Times New Roman"/>
        </w:rPr>
      </w:pPr>
      <w:r w:rsidRPr="00B236B5">
        <w:rPr>
          <w:rFonts w:ascii="Times New Roman" w:hAnsi="Times New Roman" w:cs="Times New Roman"/>
        </w:rPr>
        <w:t>d)</w:t>
      </w:r>
      <w:r w:rsidRPr="00B236B5">
        <w:rPr>
          <w:rFonts w:ascii="Times New Roman" w:hAnsi="Times New Roman" w:cs="Times New Roman"/>
        </w:rPr>
        <w:tab/>
      </w:r>
      <w:r w:rsidRPr="00B236B5">
        <w:rPr>
          <w:rFonts w:ascii="Times New Roman" w:hAnsi="Times New Roman"/>
        </w:rPr>
        <w:t xml:space="preserve">tegevuse tase vastavalt määruse (EL) </w:t>
      </w:r>
      <w:r w:rsidRPr="00B236B5">
        <w:rPr>
          <w:rFonts w:ascii="Times New Roman" w:hAnsi="Times New Roman"/>
        </w:rPr>
        <w:t>2019/2033</w:t>
      </w:r>
      <w:r w:rsidRPr="00B236B5">
        <w:rPr>
          <w:rFonts w:ascii="Times New Roman" w:hAnsi="Times New Roman"/>
        </w:rPr>
        <w:t xml:space="preserve"> artikli 12 lõikes 1 sätestatud tingimustele;</w:t>
      </w:r>
    </w:p>
    <w:p w14:paraId="43BD557E" w14:textId="77777777" w:rsidR="0065631A" w:rsidRPr="00B236B5" w:rsidRDefault="00B236B5">
      <w:pPr>
        <w:spacing w:line="256" w:lineRule="auto"/>
        <w:ind w:left="1728" w:hanging="648"/>
        <w:jc w:val="both"/>
        <w:rPr>
          <w:rFonts w:ascii="Times New Roman" w:hAnsi="Times New Roman" w:cs="Times New Roman"/>
        </w:rPr>
      </w:pPr>
      <w:r w:rsidRPr="00B236B5">
        <w:rPr>
          <w:rFonts w:ascii="Times New Roman" w:hAnsi="Times New Roman" w:cs="Times New Roman"/>
        </w:rPr>
        <w:t>e)</w:t>
      </w:r>
      <w:r w:rsidRPr="00B236B5">
        <w:rPr>
          <w:rFonts w:ascii="Times New Roman" w:hAnsi="Times New Roman" w:cs="Times New Roman"/>
        </w:rPr>
        <w:tab/>
      </w:r>
      <w:r w:rsidRPr="00B236B5">
        <w:rPr>
          <w:rFonts w:ascii="Times New Roman" w:hAnsi="Times New Roman"/>
        </w:rPr>
        <w:t>likviidsusnõuded.</w:t>
      </w:r>
    </w:p>
    <w:p w14:paraId="5185A3BB" w14:textId="77777777" w:rsidR="0065631A" w:rsidRPr="00B236B5" w:rsidRDefault="00B236B5">
      <w:pPr>
        <w:pStyle w:val="InstructionsText2"/>
        <w:numPr>
          <w:ilvl w:val="0"/>
          <w:numId w:val="0"/>
        </w:numPr>
        <w:ind w:left="360" w:hanging="360"/>
      </w:pPr>
      <w:r w:rsidRPr="00B236B5">
        <w:t>2.</w:t>
      </w:r>
      <w:r w:rsidRPr="00B236B5">
        <w:tab/>
        <w:t>Iga vormi puhul on esitatud viited õigussätetele. Üksikasjalikum teave iga vormide kogumi esitamise</w:t>
      </w:r>
      <w:r w:rsidRPr="00B236B5">
        <w:t xml:space="preserve"> üldpõhimõtete kohta, juhised konkreetsete kirjete kohta ja valideerimiseeskirjad esitatakse käesoleva rakendusmääruse selles osas.</w:t>
      </w:r>
    </w:p>
    <w:p w14:paraId="0EE7186D" w14:textId="77777777" w:rsidR="0065631A" w:rsidRPr="00B236B5" w:rsidRDefault="00B236B5">
      <w:pPr>
        <w:keepNext/>
        <w:spacing w:before="240" w:after="240" w:line="240" w:lineRule="auto"/>
        <w:jc w:val="both"/>
        <w:outlineLvl w:val="1"/>
        <w:rPr>
          <w:rFonts w:ascii="Times New Roman" w:eastAsia="Arial" w:hAnsi="Times New Roman" w:cs="Times New Roman"/>
          <w:sz w:val="24"/>
          <w:szCs w:val="24"/>
          <w:u w:val="single"/>
        </w:rPr>
      </w:pPr>
      <w:bookmarkStart w:id="12" w:name="_Toc88215226"/>
      <w:r w:rsidRPr="00B236B5">
        <w:rPr>
          <w:rFonts w:ascii="Times New Roman" w:hAnsi="Times New Roman"/>
          <w:sz w:val="24"/>
          <w:szCs w:val="24"/>
          <w:u w:val="single"/>
        </w:rPr>
        <w:t>1.2</w:t>
      </w:r>
      <w:r w:rsidRPr="00B236B5">
        <w:rPr>
          <w:rFonts w:ascii="Times New Roman" w:hAnsi="Times New Roman"/>
          <w:sz w:val="24"/>
          <w:szCs w:val="24"/>
          <w:u w:val="single"/>
        </w:rPr>
        <w:t xml:space="preserve"> Nummerdamise põhimõtted</w:t>
      </w:r>
      <w:bookmarkEnd w:id="12"/>
    </w:p>
    <w:p w14:paraId="52A0B8C1" w14:textId="77777777" w:rsidR="0065631A" w:rsidRPr="00B236B5" w:rsidRDefault="00B236B5">
      <w:pPr>
        <w:pStyle w:val="InstructionsText2"/>
        <w:numPr>
          <w:ilvl w:val="0"/>
          <w:numId w:val="0"/>
        </w:numPr>
        <w:ind w:left="360" w:hanging="360"/>
      </w:pPr>
      <w:r w:rsidRPr="00B236B5">
        <w:t>3.</w:t>
      </w:r>
      <w:r w:rsidRPr="00B236B5">
        <w:tab/>
        <w:t xml:space="preserve">Vormide veergudele, ridadele ja lahtritele viitamisel on käesolevas dokumendis aluseks </w:t>
      </w:r>
      <w:r w:rsidRPr="00B236B5">
        <w:t>võetud punktides 4–7 kirjeldatud nummerdamispõhimõtted. Need numbrilised koodid on valideerimiseeskirjades laialdaselt kasutusel.</w:t>
      </w:r>
    </w:p>
    <w:p w14:paraId="7ADCB5ED" w14:textId="77777777" w:rsidR="0065631A" w:rsidRPr="00B236B5" w:rsidRDefault="00B236B5">
      <w:pPr>
        <w:pStyle w:val="InstructionsText2"/>
        <w:numPr>
          <w:ilvl w:val="0"/>
          <w:numId w:val="0"/>
        </w:numPr>
        <w:ind w:left="360" w:hanging="360"/>
      </w:pPr>
      <w:r w:rsidRPr="00B236B5">
        <w:t>4.</w:t>
      </w:r>
      <w:r w:rsidRPr="00B236B5">
        <w:tab/>
        <w:t>Juhistes kasutatakse järgmisel kujul olevat üldist märget: {vorm; rida; veerg}.</w:t>
      </w:r>
    </w:p>
    <w:p w14:paraId="003C41EF" w14:textId="77777777" w:rsidR="0065631A" w:rsidRPr="00B236B5" w:rsidRDefault="00B236B5">
      <w:pPr>
        <w:pStyle w:val="InstructionsText2"/>
        <w:numPr>
          <w:ilvl w:val="0"/>
          <w:numId w:val="0"/>
        </w:numPr>
        <w:ind w:left="360" w:hanging="360"/>
      </w:pPr>
      <w:r w:rsidRPr="00B236B5">
        <w:t>5.</w:t>
      </w:r>
      <w:r w:rsidRPr="00B236B5">
        <w:tab/>
        <w:t>Kui ühe vormi sees tehtavate valideerimi</w:t>
      </w:r>
      <w:r w:rsidRPr="00B236B5">
        <w:t>ste korral kasutatakse ainult selles vormis sisalduvaid andmepunkte, siis vormile märkes ei viidata: {rida; veerg}.</w:t>
      </w:r>
    </w:p>
    <w:p w14:paraId="22BA129E" w14:textId="77777777" w:rsidR="0065631A" w:rsidRPr="00B236B5" w:rsidRDefault="00B236B5">
      <w:pPr>
        <w:pStyle w:val="InstructionsText2"/>
        <w:numPr>
          <w:ilvl w:val="0"/>
          <w:numId w:val="0"/>
        </w:numPr>
        <w:ind w:left="360" w:hanging="360"/>
      </w:pPr>
      <w:r w:rsidRPr="00B236B5">
        <w:t>6.</w:t>
      </w:r>
      <w:r w:rsidRPr="00B236B5">
        <w:tab/>
        <w:t>Ainult ühte veergu sisaldavate vormide puhul viidatakse ainult ridadele: {vorm; rida}</w:t>
      </w:r>
    </w:p>
    <w:p w14:paraId="5768F1FE" w14:textId="77777777" w:rsidR="0065631A" w:rsidRPr="00B236B5" w:rsidRDefault="00B236B5">
      <w:pPr>
        <w:pStyle w:val="InstructionsText2"/>
        <w:numPr>
          <w:ilvl w:val="0"/>
          <w:numId w:val="0"/>
        </w:numPr>
        <w:ind w:left="360" w:hanging="360"/>
      </w:pPr>
      <w:r w:rsidRPr="00B236B5">
        <w:t>7.</w:t>
      </w:r>
      <w:r w:rsidRPr="00B236B5">
        <w:tab/>
        <w:t>Tärni kasutatakse selle tähistamiseks, et valide</w:t>
      </w:r>
      <w:r w:rsidRPr="00B236B5">
        <w:t>erimisele kuulub eelnevalt kindlaks määratud rida või veerg.</w:t>
      </w:r>
    </w:p>
    <w:p w14:paraId="70188725" w14:textId="77777777" w:rsidR="0065631A" w:rsidRPr="00B236B5" w:rsidRDefault="00B236B5">
      <w:pPr>
        <w:keepNext/>
        <w:spacing w:before="240" w:after="240" w:line="240" w:lineRule="auto"/>
        <w:jc w:val="both"/>
        <w:outlineLvl w:val="1"/>
        <w:rPr>
          <w:rFonts w:ascii="Times New Roman" w:eastAsia="Arial" w:hAnsi="Times New Roman" w:cs="Times New Roman"/>
          <w:sz w:val="24"/>
          <w:szCs w:val="24"/>
          <w:u w:val="single"/>
        </w:rPr>
      </w:pPr>
      <w:bookmarkStart w:id="13" w:name="_Toc88215227"/>
      <w:r w:rsidRPr="00B236B5">
        <w:rPr>
          <w:rFonts w:ascii="Times New Roman" w:hAnsi="Times New Roman"/>
          <w:sz w:val="24"/>
          <w:szCs w:val="24"/>
          <w:u w:val="single"/>
        </w:rPr>
        <w:t>1.3</w:t>
      </w:r>
      <w:r w:rsidRPr="00B236B5">
        <w:rPr>
          <w:rFonts w:ascii="Times New Roman" w:hAnsi="Times New Roman"/>
          <w:sz w:val="24"/>
          <w:szCs w:val="24"/>
          <w:u w:val="single"/>
        </w:rPr>
        <w:t xml:space="preserve"> Märgipõhimõtted</w:t>
      </w:r>
      <w:bookmarkEnd w:id="13"/>
    </w:p>
    <w:p w14:paraId="78058987" w14:textId="77777777" w:rsidR="0065631A" w:rsidRPr="00B236B5" w:rsidRDefault="00B236B5">
      <w:pPr>
        <w:pStyle w:val="InstructionsText2"/>
        <w:numPr>
          <w:ilvl w:val="0"/>
          <w:numId w:val="0"/>
        </w:numPr>
        <w:ind w:left="360" w:hanging="360"/>
      </w:pPr>
      <w:r w:rsidRPr="00B236B5">
        <w:t>8.</w:t>
      </w:r>
      <w:r w:rsidRPr="00B236B5">
        <w:tab/>
        <w:t>Mis tahes summa, mis suurendab omavahendeid või omavahendite nõudeid või likviidsusnõudeid kajastatakse aruandes positiivse arvuna. Seevastu iga summa, mis vähendab summaar</w:t>
      </w:r>
      <w:r w:rsidRPr="00B236B5">
        <w:t>seid omavahendeid või omavahendite nõudeid, kajastatakse aruandes negatiivse arvuna. Kui kirje nimetuse ees on miinusmärk (-), ei esitata kõnealuse kirje puhul positiivset arvu.</w:t>
      </w:r>
    </w:p>
    <w:p w14:paraId="077A0040" w14:textId="77777777" w:rsidR="0065631A" w:rsidRPr="00B236B5" w:rsidRDefault="00B236B5">
      <w:pPr>
        <w:keepNext/>
        <w:spacing w:before="240" w:after="240" w:line="240" w:lineRule="auto"/>
        <w:jc w:val="both"/>
        <w:outlineLvl w:val="1"/>
        <w:rPr>
          <w:rFonts w:ascii="Times New Roman" w:eastAsia="Arial" w:hAnsi="Times New Roman" w:cs="Times New Roman"/>
          <w:sz w:val="24"/>
          <w:szCs w:val="24"/>
          <w:u w:val="single"/>
        </w:rPr>
      </w:pPr>
      <w:bookmarkStart w:id="14" w:name="_Toc88215228"/>
      <w:r w:rsidRPr="00B236B5">
        <w:rPr>
          <w:rFonts w:ascii="Times New Roman" w:hAnsi="Times New Roman"/>
          <w:sz w:val="24"/>
          <w:szCs w:val="24"/>
          <w:u w:val="single"/>
        </w:rPr>
        <w:t>1.4</w:t>
      </w:r>
      <w:r w:rsidRPr="00B236B5">
        <w:rPr>
          <w:rFonts w:ascii="Times New Roman" w:hAnsi="Times New Roman"/>
          <w:sz w:val="24"/>
          <w:szCs w:val="24"/>
          <w:u w:val="single"/>
        </w:rPr>
        <w:t xml:space="preserve"> Usaldatavusnõuete kohane konsolideerimine</w:t>
      </w:r>
      <w:bookmarkEnd w:id="14"/>
    </w:p>
    <w:p w14:paraId="6E6842A2" w14:textId="77777777" w:rsidR="0065631A" w:rsidRPr="00B236B5" w:rsidRDefault="00B236B5">
      <w:pPr>
        <w:spacing w:line="256" w:lineRule="auto"/>
        <w:ind w:left="360" w:hanging="360"/>
        <w:jc w:val="both"/>
        <w:rPr>
          <w:rFonts w:ascii="Times New Roman" w:hAnsi="Times New Roman" w:cs="Times New Roman"/>
          <w:sz w:val="24"/>
        </w:rPr>
      </w:pPr>
      <w:r w:rsidRPr="00B236B5">
        <w:rPr>
          <w:rFonts w:ascii="Times New Roman" w:hAnsi="Times New Roman" w:cs="Times New Roman"/>
          <w:sz w:val="24"/>
        </w:rPr>
        <w:t>9.</w:t>
      </w:r>
      <w:r w:rsidRPr="00B236B5">
        <w:rPr>
          <w:rFonts w:ascii="Times New Roman" w:hAnsi="Times New Roman" w:cs="Times New Roman"/>
          <w:sz w:val="24"/>
        </w:rPr>
        <w:tab/>
      </w:r>
      <w:r w:rsidRPr="00B236B5">
        <w:rPr>
          <w:rFonts w:ascii="Times New Roman" w:hAnsi="Times New Roman"/>
          <w:sz w:val="24"/>
        </w:rPr>
        <w:t>Kui ei ole tehtud erandit, ko</w:t>
      </w:r>
      <w:r w:rsidRPr="00B236B5">
        <w:rPr>
          <w:rFonts w:ascii="Times New Roman" w:hAnsi="Times New Roman"/>
          <w:sz w:val="24"/>
        </w:rPr>
        <w:t xml:space="preserve">haldatakse investeerimisühingute suhtes individuaalselt ja konsolideeritud alusel määrust (EL) </w:t>
      </w:r>
      <w:r w:rsidRPr="00B236B5">
        <w:rPr>
          <w:rFonts w:ascii="Times New Roman" w:hAnsi="Times New Roman"/>
          <w:sz w:val="24"/>
        </w:rPr>
        <w:t>2019/2033</w:t>
      </w:r>
      <w:r w:rsidRPr="00B236B5">
        <w:rPr>
          <w:rFonts w:ascii="Times New Roman" w:hAnsi="Times New Roman"/>
          <w:sz w:val="24"/>
        </w:rPr>
        <w:t xml:space="preserve"> ja direktiivi (EL) </w:t>
      </w:r>
      <w:r w:rsidRPr="00B236B5">
        <w:rPr>
          <w:rFonts w:ascii="Times New Roman" w:hAnsi="Times New Roman"/>
          <w:sz w:val="24"/>
        </w:rPr>
        <w:t>2019/2034</w:t>
      </w:r>
      <w:r w:rsidRPr="00B236B5">
        <w:rPr>
          <w:rFonts w:ascii="Times New Roman" w:hAnsi="Times New Roman"/>
          <w:sz w:val="24"/>
        </w:rPr>
        <w:t xml:space="preserve">, sealhulgas määruse (EL) </w:t>
      </w:r>
      <w:r w:rsidRPr="00B236B5">
        <w:rPr>
          <w:rFonts w:ascii="Times New Roman" w:hAnsi="Times New Roman"/>
          <w:sz w:val="24"/>
        </w:rPr>
        <w:t>2019/2033</w:t>
      </w:r>
      <w:r w:rsidRPr="00B236B5">
        <w:rPr>
          <w:rFonts w:ascii="Times New Roman" w:hAnsi="Times New Roman"/>
          <w:sz w:val="24"/>
        </w:rPr>
        <w:t xml:space="preserve"> VII osas sätestatud aruandlusnõudeid. Määruse (EL) </w:t>
      </w:r>
      <w:r w:rsidRPr="00B236B5">
        <w:rPr>
          <w:rFonts w:ascii="Times New Roman" w:hAnsi="Times New Roman"/>
          <w:sz w:val="24"/>
        </w:rPr>
        <w:t>2019/2033</w:t>
      </w:r>
      <w:r w:rsidRPr="00B236B5">
        <w:rPr>
          <w:rFonts w:ascii="Times New Roman" w:hAnsi="Times New Roman"/>
          <w:sz w:val="24"/>
        </w:rPr>
        <w:t xml:space="preserve"> artikli 4 lõike 1 punktis </w:t>
      </w:r>
      <w:r w:rsidRPr="00B236B5">
        <w:rPr>
          <w:rFonts w:ascii="Times New Roman" w:hAnsi="Times New Roman"/>
          <w:sz w:val="24"/>
        </w:rPr>
        <w:t xml:space="preserve">11 on konsolideeritud olukord määratletud olukorrana, mis tuleneb määruse (EL) </w:t>
      </w:r>
      <w:r w:rsidRPr="00B236B5">
        <w:rPr>
          <w:rFonts w:ascii="Times New Roman" w:hAnsi="Times New Roman"/>
          <w:sz w:val="24"/>
        </w:rPr>
        <w:t>2019/2033</w:t>
      </w:r>
      <w:r w:rsidRPr="00B236B5">
        <w:rPr>
          <w:rFonts w:ascii="Times New Roman" w:hAnsi="Times New Roman"/>
          <w:sz w:val="24"/>
        </w:rPr>
        <w:t xml:space="preserve"> nõuete kohaldamisest investeerimisühingugrupi suhtes nii, nagu moodustaksid grupi ettevõtjad koos ühe investeerimisühingu. Määruse (EL) </w:t>
      </w:r>
      <w:r w:rsidRPr="00B236B5">
        <w:rPr>
          <w:rFonts w:ascii="Times New Roman" w:hAnsi="Times New Roman"/>
          <w:sz w:val="24"/>
        </w:rPr>
        <w:t>2019/2033</w:t>
      </w:r>
      <w:r w:rsidRPr="00B236B5">
        <w:rPr>
          <w:rFonts w:ascii="Times New Roman" w:hAnsi="Times New Roman"/>
          <w:sz w:val="24"/>
        </w:rPr>
        <w:t xml:space="preserve"> artikli 7 kohaldamise</w:t>
      </w:r>
      <w:r w:rsidRPr="00B236B5">
        <w:rPr>
          <w:rFonts w:ascii="Times New Roman" w:hAnsi="Times New Roman"/>
          <w:sz w:val="24"/>
        </w:rPr>
        <w:t>l täidavad investeerimisühingugrupid aruandlusnõudeid kõigis vormides nende usaldatavusnõuete kohase konsolideerimise ulatuse põhjal (mis võib erineda nende raamatupidamisliku konsolideerimise ulatusest).</w:t>
      </w:r>
    </w:p>
    <w:p w14:paraId="30D12136" w14:textId="77777777" w:rsidR="0065631A" w:rsidRPr="00B236B5" w:rsidRDefault="00B236B5">
      <w:pPr>
        <w:pStyle w:val="Heading2"/>
        <w:rPr>
          <w:rFonts w:ascii="Times New Roman" w:hAnsi="Times New Roman"/>
        </w:rPr>
      </w:pPr>
      <w:bookmarkStart w:id="15" w:name="_Toc88215229"/>
      <w:r w:rsidRPr="00B236B5">
        <w:rPr>
          <w:rFonts w:ascii="Times New Roman" w:hAnsi="Times New Roman"/>
        </w:rPr>
        <w:lastRenderedPageBreak/>
        <w:t>II OSA. VORMIDE TÄITMISE JUHISED</w:t>
      </w:r>
      <w:bookmarkEnd w:id="6"/>
      <w:bookmarkEnd w:id="7"/>
      <w:bookmarkEnd w:id="8"/>
      <w:bookmarkEnd w:id="15"/>
    </w:p>
    <w:p w14:paraId="61F3DEDF" w14:textId="77777777" w:rsidR="0065631A" w:rsidRPr="00B236B5" w:rsidRDefault="00B236B5">
      <w:pPr>
        <w:pStyle w:val="Instructionsberschrift2"/>
        <w:ind w:left="357" w:hanging="357"/>
        <w:rPr>
          <w:rFonts w:ascii="Times New Roman" w:hAnsi="Times New Roman" w:cs="Times New Roman"/>
          <w:b/>
          <w:sz w:val="24"/>
        </w:rPr>
      </w:pPr>
      <w:bookmarkStart w:id="16" w:name="_Toc88215230"/>
      <w:r w:rsidRPr="00B236B5">
        <w:rPr>
          <w:rFonts w:ascii="Times New Roman" w:hAnsi="Times New Roman"/>
          <w:b/>
          <w:sz w:val="24"/>
          <w:u w:val="none"/>
        </w:rPr>
        <w:t xml:space="preserve">1. </w:t>
      </w:r>
      <w:r w:rsidRPr="00B236B5">
        <w:rPr>
          <w:rFonts w:ascii="Times New Roman" w:hAnsi="Times New Roman"/>
          <w:b/>
          <w:sz w:val="24"/>
          <w:u w:val="none"/>
        </w:rPr>
        <w:t>OMAVAHENDID: TASE, KOOSSEIS, NÕUDED JA ARVUTAMINE</w:t>
      </w:r>
      <w:bookmarkEnd w:id="16"/>
    </w:p>
    <w:p w14:paraId="63B9EB13" w14:textId="77777777" w:rsidR="0065631A" w:rsidRPr="00B236B5" w:rsidRDefault="00B236B5">
      <w:pPr>
        <w:pStyle w:val="Instructionsberschrift2"/>
        <w:ind w:left="357" w:hanging="357"/>
        <w:rPr>
          <w:rFonts w:ascii="Times New Roman" w:hAnsi="Times New Roman" w:cs="Times New Roman"/>
          <w:sz w:val="24"/>
        </w:rPr>
      </w:pPr>
      <w:bookmarkStart w:id="17" w:name="_Toc88215231"/>
      <w:r w:rsidRPr="00B236B5">
        <w:rPr>
          <w:rFonts w:ascii="Times New Roman" w:hAnsi="Times New Roman"/>
          <w:sz w:val="24"/>
          <w:u w:val="none"/>
        </w:rPr>
        <w:t>1.1</w:t>
      </w:r>
      <w:r w:rsidRPr="00B236B5">
        <w:rPr>
          <w:rFonts w:ascii="Times New Roman" w:hAnsi="Times New Roman"/>
          <w:sz w:val="24"/>
          <w:u w:val="none"/>
        </w:rPr>
        <w:t xml:space="preserve"> </w:t>
      </w:r>
      <w:r w:rsidRPr="00B236B5">
        <w:rPr>
          <w:rFonts w:ascii="Times New Roman" w:hAnsi="Times New Roman"/>
          <w:sz w:val="24"/>
        </w:rPr>
        <w:t>Üldised märkused</w:t>
      </w:r>
      <w:bookmarkEnd w:id="17"/>
    </w:p>
    <w:p w14:paraId="6E7C1E7A" w14:textId="77777777" w:rsidR="0065631A" w:rsidRPr="00B236B5" w:rsidRDefault="00B236B5">
      <w:pPr>
        <w:spacing w:line="256" w:lineRule="auto"/>
        <w:ind w:left="993" w:hanging="567"/>
        <w:jc w:val="both"/>
        <w:rPr>
          <w:rFonts w:ascii="Times New Roman" w:hAnsi="Times New Roman" w:cs="Times New Roman"/>
          <w:sz w:val="24"/>
        </w:rPr>
      </w:pPr>
      <w:r w:rsidRPr="00B236B5">
        <w:rPr>
          <w:rFonts w:ascii="Times New Roman" w:hAnsi="Times New Roman" w:cs="Times New Roman"/>
          <w:sz w:val="24"/>
        </w:rPr>
        <w:t>10.</w:t>
      </w:r>
      <w:r w:rsidRPr="00B236B5">
        <w:rPr>
          <w:rFonts w:ascii="Times New Roman" w:hAnsi="Times New Roman" w:cs="Times New Roman"/>
          <w:sz w:val="24"/>
        </w:rPr>
        <w:tab/>
      </w:r>
      <w:r w:rsidRPr="00B236B5">
        <w:rPr>
          <w:rFonts w:ascii="Times New Roman" w:hAnsi="Times New Roman"/>
          <w:sz w:val="24"/>
        </w:rPr>
        <w:t>Omavahendite ülevaate jaotis sisaldab teavet investeerimisühingu hoitavate omavahendite ja tema omavahendite nõuete kohta. See koosneb kahest vormist.</w:t>
      </w:r>
    </w:p>
    <w:p w14:paraId="2AAA21B6" w14:textId="77777777" w:rsidR="0065631A" w:rsidRPr="00B236B5" w:rsidRDefault="00B236B5">
      <w:pPr>
        <w:spacing w:line="256" w:lineRule="auto"/>
        <w:ind w:left="1728" w:hanging="648"/>
        <w:jc w:val="both"/>
        <w:rPr>
          <w:rFonts w:ascii="Times New Roman" w:hAnsi="Times New Roman" w:cs="Times New Roman"/>
          <w:sz w:val="24"/>
        </w:rPr>
      </w:pPr>
      <w:r w:rsidRPr="00B236B5">
        <w:rPr>
          <w:rFonts w:ascii="Times New Roman" w:hAnsi="Times New Roman" w:cs="Times New Roman"/>
          <w:sz w:val="24"/>
        </w:rPr>
        <w:t>a)</w:t>
      </w:r>
      <w:r w:rsidRPr="00B236B5">
        <w:rPr>
          <w:rFonts w:ascii="Times New Roman" w:hAnsi="Times New Roman" w:cs="Times New Roman"/>
          <w:sz w:val="24"/>
        </w:rPr>
        <w:tab/>
      </w:r>
      <w:r w:rsidRPr="00B236B5">
        <w:rPr>
          <w:rFonts w:ascii="Times New Roman" w:hAnsi="Times New Roman"/>
          <w:sz w:val="24"/>
        </w:rPr>
        <w:t xml:space="preserve">Vormis I </w:t>
      </w:r>
      <w:r w:rsidRPr="00B236B5">
        <w:rPr>
          <w:rFonts w:ascii="Times New Roman" w:hAnsi="Times New Roman"/>
          <w:sz w:val="24"/>
        </w:rPr>
        <w:t>01.01</w:t>
      </w:r>
      <w:r w:rsidRPr="00B236B5">
        <w:rPr>
          <w:rFonts w:ascii="Times New Roman" w:hAnsi="Times New Roman"/>
          <w:sz w:val="24"/>
        </w:rPr>
        <w:t xml:space="preserve"> kajastatakse</w:t>
      </w:r>
      <w:r w:rsidRPr="00B236B5">
        <w:rPr>
          <w:rFonts w:ascii="Times New Roman" w:hAnsi="Times New Roman"/>
          <w:sz w:val="24"/>
        </w:rPr>
        <w:t xml:space="preserve"> investeerimisühingu hoitavate omavahendite koosseisu: esimese taseme põhiomavahendid, täiendavad esimese taseme omavahendid ja teise taseme omavahendid.</w:t>
      </w:r>
    </w:p>
    <w:p w14:paraId="5BDC1277" w14:textId="77777777" w:rsidR="0065631A" w:rsidRPr="00B236B5" w:rsidRDefault="00B236B5">
      <w:pPr>
        <w:spacing w:line="256" w:lineRule="auto"/>
        <w:ind w:left="1728" w:hanging="648"/>
        <w:jc w:val="both"/>
        <w:rPr>
          <w:rFonts w:ascii="Times New Roman" w:hAnsi="Times New Roman" w:cs="Times New Roman"/>
          <w:sz w:val="24"/>
        </w:rPr>
      </w:pPr>
      <w:r w:rsidRPr="00B236B5">
        <w:rPr>
          <w:rFonts w:ascii="Times New Roman" w:hAnsi="Times New Roman" w:cs="Times New Roman"/>
          <w:sz w:val="24"/>
        </w:rPr>
        <w:t>b)</w:t>
      </w:r>
      <w:r w:rsidRPr="00B236B5">
        <w:rPr>
          <w:rFonts w:ascii="Times New Roman" w:hAnsi="Times New Roman" w:cs="Times New Roman"/>
          <w:sz w:val="24"/>
        </w:rPr>
        <w:tab/>
      </w:r>
      <w:r w:rsidRPr="00B236B5">
        <w:rPr>
          <w:rFonts w:ascii="Times New Roman" w:hAnsi="Times New Roman"/>
          <w:sz w:val="24"/>
        </w:rPr>
        <w:t xml:space="preserve">Vormides I </w:t>
      </w:r>
      <w:r w:rsidRPr="00B236B5">
        <w:rPr>
          <w:rFonts w:ascii="Times New Roman" w:hAnsi="Times New Roman"/>
          <w:sz w:val="24"/>
        </w:rPr>
        <w:t>02.03</w:t>
      </w:r>
      <w:r w:rsidRPr="00B236B5">
        <w:rPr>
          <w:rFonts w:ascii="Times New Roman" w:hAnsi="Times New Roman"/>
          <w:sz w:val="24"/>
        </w:rPr>
        <w:t xml:space="preserve"> ja I </w:t>
      </w:r>
      <w:r w:rsidRPr="00B236B5">
        <w:rPr>
          <w:rFonts w:ascii="Times New Roman" w:hAnsi="Times New Roman"/>
          <w:sz w:val="24"/>
        </w:rPr>
        <w:t>02.04</w:t>
      </w:r>
      <w:r w:rsidRPr="00B236B5">
        <w:rPr>
          <w:rFonts w:ascii="Times New Roman" w:hAnsi="Times New Roman"/>
          <w:sz w:val="24"/>
        </w:rPr>
        <w:t xml:space="preserve"> esitatakse teave omavahendite kogunõude, püsiva miinimumkapitalinõude, </w:t>
      </w:r>
      <w:r w:rsidRPr="00B236B5">
        <w:rPr>
          <w:rFonts w:ascii="Times New Roman" w:hAnsi="Times New Roman"/>
          <w:sz w:val="24"/>
        </w:rPr>
        <w:t>püsivate üldkulude nõude, mis tahes täiendavate omavahendite nõude ja suunise ning üleminekulise omavahendite nõude ja omavahendite suhtarvude kohta.</w:t>
      </w:r>
    </w:p>
    <w:p w14:paraId="24BD46C9" w14:textId="77777777" w:rsidR="0065631A" w:rsidRPr="00B236B5" w:rsidRDefault="00B236B5">
      <w:pPr>
        <w:spacing w:line="256" w:lineRule="auto"/>
        <w:ind w:left="1728" w:hanging="648"/>
        <w:jc w:val="both"/>
        <w:rPr>
          <w:rFonts w:ascii="Times New Roman" w:hAnsi="Times New Roman" w:cs="Times New Roman"/>
          <w:sz w:val="24"/>
        </w:rPr>
      </w:pPr>
      <w:r w:rsidRPr="00B236B5">
        <w:rPr>
          <w:rFonts w:ascii="Times New Roman" w:hAnsi="Times New Roman" w:cs="Times New Roman"/>
          <w:sz w:val="24"/>
        </w:rPr>
        <w:t>c)</w:t>
      </w:r>
      <w:r w:rsidRPr="00B236B5">
        <w:rPr>
          <w:rFonts w:ascii="Times New Roman" w:hAnsi="Times New Roman" w:cs="Times New Roman"/>
          <w:sz w:val="24"/>
        </w:rPr>
        <w:tab/>
      </w:r>
      <w:r w:rsidRPr="00B236B5">
        <w:rPr>
          <w:rFonts w:ascii="Times New Roman" w:hAnsi="Times New Roman"/>
          <w:sz w:val="24"/>
        </w:rPr>
        <w:t xml:space="preserve">Vormis I </w:t>
      </w:r>
      <w:r w:rsidRPr="00B236B5">
        <w:rPr>
          <w:rFonts w:ascii="Times New Roman" w:hAnsi="Times New Roman"/>
          <w:sz w:val="24"/>
        </w:rPr>
        <w:t>03.01</w:t>
      </w:r>
      <w:r w:rsidRPr="00B236B5">
        <w:rPr>
          <w:rFonts w:ascii="Times New Roman" w:hAnsi="Times New Roman"/>
          <w:sz w:val="24"/>
        </w:rPr>
        <w:t xml:space="preserve"> esitatakse teave püsivate üldkulude nõude arvutamise kohta.</w:t>
      </w:r>
    </w:p>
    <w:p w14:paraId="0C51418C" w14:textId="77777777" w:rsidR="0065631A" w:rsidRPr="00B236B5" w:rsidRDefault="00B236B5">
      <w:pPr>
        <w:spacing w:line="256" w:lineRule="auto"/>
        <w:ind w:left="993" w:hanging="567"/>
        <w:jc w:val="both"/>
        <w:rPr>
          <w:rFonts w:ascii="Times New Roman" w:hAnsi="Times New Roman" w:cs="Times New Roman"/>
          <w:sz w:val="24"/>
        </w:rPr>
      </w:pPr>
      <w:r w:rsidRPr="00B236B5">
        <w:rPr>
          <w:rFonts w:ascii="Times New Roman" w:hAnsi="Times New Roman" w:cs="Times New Roman"/>
          <w:sz w:val="24"/>
        </w:rPr>
        <w:t>11.</w:t>
      </w:r>
      <w:r w:rsidRPr="00B236B5">
        <w:rPr>
          <w:rFonts w:ascii="Times New Roman" w:hAnsi="Times New Roman" w:cs="Times New Roman"/>
          <w:sz w:val="24"/>
        </w:rPr>
        <w:tab/>
      </w:r>
      <w:r w:rsidRPr="00B236B5">
        <w:rPr>
          <w:rFonts w:ascii="Times New Roman" w:hAnsi="Times New Roman"/>
          <w:sz w:val="24"/>
        </w:rPr>
        <w:t>Kõnealuste vormide kirje</w:t>
      </w:r>
      <w:r w:rsidRPr="00B236B5">
        <w:rPr>
          <w:rFonts w:ascii="Times New Roman" w:hAnsi="Times New Roman"/>
          <w:sz w:val="24"/>
        </w:rPr>
        <w:t>tes üleminekusätetest tulenevaid korrigeerimisi arvesse ei võeta. See tähendab, et arvväärtused (välja arvatud juhul, kui üleminekuline omavahendite nõue on konkreetselt välja toodud) arvutatakse vastavalt lõppsätetele (st nagu üleminekusätteid ei oleks).</w:t>
      </w:r>
    </w:p>
    <w:p w14:paraId="244C5800" w14:textId="77777777" w:rsidR="0065631A" w:rsidRPr="00B236B5" w:rsidRDefault="00B236B5">
      <w:pPr>
        <w:pStyle w:val="Instructionsberschrift2"/>
        <w:ind w:left="357" w:hanging="357"/>
        <w:rPr>
          <w:rFonts w:ascii="Times New Roman" w:hAnsi="Times New Roman" w:cs="Times New Roman"/>
          <w:sz w:val="24"/>
          <w:u w:val="none"/>
        </w:rPr>
      </w:pPr>
      <w:bookmarkStart w:id="18" w:name="_Toc88215232"/>
      <w:r w:rsidRPr="00B236B5">
        <w:rPr>
          <w:rFonts w:ascii="Times New Roman" w:hAnsi="Times New Roman"/>
          <w:sz w:val="24"/>
          <w:u w:val="none"/>
        </w:rPr>
        <w:t>1.2.</w:t>
      </w:r>
      <w:r w:rsidRPr="00B236B5">
        <w:rPr>
          <w:rFonts w:ascii="Times New Roman" w:hAnsi="Times New Roman"/>
          <w:sz w:val="24"/>
          <w:u w:val="none"/>
        </w:rPr>
        <w:t xml:space="preserve"> </w:t>
      </w:r>
      <w:r w:rsidRPr="00B236B5">
        <w:rPr>
          <w:rFonts w:ascii="Times New Roman" w:hAnsi="Times New Roman"/>
          <w:sz w:val="24"/>
        </w:rPr>
        <w:t xml:space="preserve">I </w:t>
      </w:r>
      <w:r w:rsidRPr="00B236B5">
        <w:rPr>
          <w:rFonts w:ascii="Times New Roman" w:hAnsi="Times New Roman"/>
          <w:sz w:val="24"/>
        </w:rPr>
        <w:t>01.01</w:t>
      </w:r>
      <w:r w:rsidRPr="00B236B5">
        <w:rPr>
          <w:rFonts w:ascii="Times New Roman" w:hAnsi="Times New Roman"/>
          <w:sz w:val="24"/>
        </w:rPr>
        <w:t xml:space="preserve"> – OMAVAHENDITE KOOSSEIS (I </w:t>
      </w:r>
      <w:r w:rsidRPr="00B236B5">
        <w:rPr>
          <w:rFonts w:ascii="Times New Roman" w:hAnsi="Times New Roman"/>
          <w:sz w:val="24"/>
        </w:rPr>
        <w:t>1.1</w:t>
      </w:r>
      <w:r w:rsidRPr="00B236B5">
        <w:rPr>
          <w:rFonts w:ascii="Times New Roman" w:hAnsi="Times New Roman"/>
          <w:sz w:val="24"/>
        </w:rPr>
        <w:t>)</w:t>
      </w:r>
      <w:bookmarkEnd w:id="18"/>
    </w:p>
    <w:p w14:paraId="1FD8BE0F" w14:textId="77777777" w:rsidR="0065631A" w:rsidRPr="00B236B5" w:rsidRDefault="00B236B5">
      <w:pPr>
        <w:pStyle w:val="Instructionsberschrift2"/>
        <w:ind w:left="357" w:hanging="357"/>
        <w:rPr>
          <w:rFonts w:ascii="Times New Roman" w:hAnsi="Times New Roman" w:cs="Times New Roman"/>
          <w:sz w:val="24"/>
        </w:rPr>
      </w:pPr>
      <w:bookmarkStart w:id="19" w:name="_Toc88215233"/>
      <w:r w:rsidRPr="00B236B5">
        <w:rPr>
          <w:rFonts w:ascii="Times New Roman" w:hAnsi="Times New Roman"/>
          <w:sz w:val="24"/>
          <w:u w:val="none"/>
        </w:rPr>
        <w:t>1.2.1.</w:t>
      </w:r>
      <w:r w:rsidRPr="00B236B5">
        <w:tab/>
      </w:r>
      <w:r w:rsidRPr="00B236B5">
        <w:rPr>
          <w:rFonts w:ascii="Times New Roman" w:hAnsi="Times New Roman"/>
          <w:sz w:val="24"/>
        </w:rPr>
        <w:t>Juhised konkreetsete kirjete kohta</w:t>
      </w:r>
      <w:bookmarkEnd w:id="1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5631A" w:rsidRPr="00B236B5" w14:paraId="7ADB9744" w14:textId="77777777">
        <w:tc>
          <w:tcPr>
            <w:tcW w:w="1129" w:type="dxa"/>
            <w:shd w:val="clear" w:color="auto" w:fill="D9D9D9"/>
          </w:tcPr>
          <w:p w14:paraId="590018EB"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Rida</w:t>
            </w:r>
          </w:p>
        </w:tc>
        <w:tc>
          <w:tcPr>
            <w:tcW w:w="7620" w:type="dxa"/>
            <w:shd w:val="clear" w:color="auto" w:fill="D9D9D9"/>
          </w:tcPr>
          <w:p w14:paraId="73C8D68B"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Viited õigussätetele ja juhised</w:t>
            </w:r>
          </w:p>
        </w:tc>
      </w:tr>
      <w:tr w:rsidR="0065631A" w:rsidRPr="00B236B5" w14:paraId="48076C84" w14:textId="77777777">
        <w:tc>
          <w:tcPr>
            <w:tcW w:w="1129" w:type="dxa"/>
          </w:tcPr>
          <w:p w14:paraId="554706C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0010</w:t>
            </w:r>
          </w:p>
        </w:tc>
        <w:tc>
          <w:tcPr>
            <w:tcW w:w="7620" w:type="dxa"/>
          </w:tcPr>
          <w:p w14:paraId="20DD1DD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OMAVAHENDID</w:t>
            </w:r>
          </w:p>
          <w:p w14:paraId="5DCDED56"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lõige 1</w:t>
            </w:r>
          </w:p>
          <w:p w14:paraId="4016D33C"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 xml:space="preserve">Investeerimisühingu omavahendid võrduvad tema esimese ja teise </w:t>
            </w:r>
            <w:r w:rsidRPr="00B236B5">
              <w:rPr>
                <w:rStyle w:val="FormatvorlageInstructionsTabelleText"/>
                <w:rFonts w:ascii="Times New Roman" w:hAnsi="Times New Roman"/>
                <w:sz w:val="22"/>
              </w:rPr>
              <w:t>taseme omavahendite summaga.</w:t>
            </w:r>
          </w:p>
          <w:p w14:paraId="46B27A37"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Kajastatakse ridade 0020 ja 0380 kogusumma.</w:t>
            </w:r>
          </w:p>
        </w:tc>
      </w:tr>
      <w:tr w:rsidR="0065631A" w:rsidRPr="00B236B5" w14:paraId="2BD37A6E" w14:textId="77777777">
        <w:tc>
          <w:tcPr>
            <w:tcW w:w="1129" w:type="dxa"/>
          </w:tcPr>
          <w:p w14:paraId="5FDAEA4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0020</w:t>
            </w:r>
          </w:p>
        </w:tc>
        <w:tc>
          <w:tcPr>
            <w:tcW w:w="7620" w:type="dxa"/>
          </w:tcPr>
          <w:p w14:paraId="6C5B90D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OMAVAHENDID</w:t>
            </w:r>
          </w:p>
          <w:p w14:paraId="0FCFA40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Esimese taseme omavahendid võrduvad esimese taseme põhiomavahendite ja täiendavate esimese taseme omavahendite summaga.</w:t>
            </w:r>
          </w:p>
        </w:tc>
      </w:tr>
      <w:tr w:rsidR="0065631A" w:rsidRPr="00B236B5" w14:paraId="6A54DC64" w14:textId="77777777">
        <w:tc>
          <w:tcPr>
            <w:tcW w:w="1129" w:type="dxa"/>
          </w:tcPr>
          <w:p w14:paraId="6B0C8D0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0030</w:t>
            </w:r>
          </w:p>
        </w:tc>
        <w:tc>
          <w:tcPr>
            <w:tcW w:w="7620" w:type="dxa"/>
          </w:tcPr>
          <w:p w14:paraId="5B8C035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InstructionsTabelleberschrift"/>
                <w:rFonts w:ascii="Times New Roman" w:hAnsi="Times New Roman"/>
                <w:sz w:val="22"/>
              </w:rPr>
              <w:t xml:space="preserve">ESIMESE TASEME </w:t>
            </w:r>
            <w:r w:rsidRPr="00B236B5">
              <w:rPr>
                <w:rStyle w:val="InstructionsTabelleberschrift"/>
                <w:rFonts w:ascii="Times New Roman" w:hAnsi="Times New Roman"/>
                <w:sz w:val="22"/>
              </w:rPr>
              <w:t>PÕHIOMAVAHENDID</w:t>
            </w:r>
          </w:p>
          <w:p w14:paraId="2567FAF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lõige 1</w:t>
            </w:r>
          </w:p>
          <w:p w14:paraId="2112B217"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Määruse (EL) nr 575/2013 artikkel 50</w:t>
            </w:r>
          </w:p>
          <w:p w14:paraId="6546DB3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Kajastatakse ridade 0040–0060, 0090–0140 ja 0290 kogusumma.</w:t>
            </w:r>
          </w:p>
        </w:tc>
      </w:tr>
      <w:tr w:rsidR="0065631A" w:rsidRPr="00B236B5" w14:paraId="20C719D6" w14:textId="77777777">
        <w:tc>
          <w:tcPr>
            <w:tcW w:w="1129" w:type="dxa"/>
          </w:tcPr>
          <w:p w14:paraId="5497DB7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0040</w:t>
            </w:r>
          </w:p>
        </w:tc>
        <w:tc>
          <w:tcPr>
            <w:tcW w:w="7620" w:type="dxa"/>
          </w:tcPr>
          <w:p w14:paraId="60CC519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Täielikult sissemakstud kapitaliinstrumendid</w:t>
            </w:r>
          </w:p>
          <w:p w14:paraId="19628EA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750882F9"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Mä</w:t>
            </w:r>
            <w:r w:rsidRPr="00B236B5">
              <w:rPr>
                <w:rStyle w:val="FormatvorlageInstructionsTabelleText"/>
                <w:rFonts w:ascii="Times New Roman" w:hAnsi="Times New Roman"/>
                <w:sz w:val="22"/>
                <w:szCs w:val="22"/>
              </w:rPr>
              <w:t>äruse (EL) nr 575/2013 artikli 26 lõike 1 punkt a ja artiklid 27–31</w:t>
            </w:r>
          </w:p>
          <w:p w14:paraId="62957B86"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See hõlmab vastastikuste seltside, ühistute või samalaadsete investeerimisühingute kapitaliinstrumente (määruse (EL) nr 575/2013 artiklid 27–29).</w:t>
            </w:r>
          </w:p>
          <w:p w14:paraId="1BB0A145"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lastRenderedPageBreak/>
              <w:t>Arvesse ei võeta instrumentidega seotud ül</w:t>
            </w:r>
            <w:r w:rsidRPr="00B236B5">
              <w:rPr>
                <w:rStyle w:val="FormatvorlageInstructionsTabelleText"/>
                <w:rFonts w:ascii="Times New Roman" w:hAnsi="Times New Roman"/>
                <w:sz w:val="22"/>
                <w:szCs w:val="22"/>
              </w:rPr>
              <w:t>ekurssi.</w:t>
            </w:r>
          </w:p>
          <w:p w14:paraId="62278285" w14:textId="77777777" w:rsidR="0065631A" w:rsidRPr="00B236B5" w:rsidRDefault="00B236B5">
            <w:pPr>
              <w:pStyle w:val="InstructionsText"/>
              <w:rPr>
                <w:sz w:val="22"/>
                <w:szCs w:val="22"/>
              </w:rPr>
            </w:pPr>
            <w:r w:rsidRPr="00B236B5">
              <w:rPr>
                <w:rStyle w:val="FormatvorlageInstructionsTabelleText"/>
                <w:rFonts w:ascii="Times New Roman" w:hAnsi="Times New Roman"/>
                <w:sz w:val="22"/>
                <w:szCs w:val="22"/>
              </w:rPr>
              <w:t>Arvesse võetakse avaliku sektori asutuste poolt hädaolukorras märgitud kapitaliinstrumente, kui täidetud on kõik määruse (EL) nr 575/2013 artiklis 31 sätestatud tingimused.</w:t>
            </w:r>
          </w:p>
        </w:tc>
      </w:tr>
      <w:tr w:rsidR="0065631A" w:rsidRPr="00B236B5" w14:paraId="367E34AC" w14:textId="77777777">
        <w:tc>
          <w:tcPr>
            <w:tcW w:w="1129" w:type="dxa"/>
          </w:tcPr>
          <w:p w14:paraId="1136E15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0050</w:t>
            </w:r>
          </w:p>
        </w:tc>
        <w:tc>
          <w:tcPr>
            <w:tcW w:w="7620" w:type="dxa"/>
          </w:tcPr>
          <w:p w14:paraId="016F7BBC"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Ülekurss</w:t>
            </w:r>
          </w:p>
          <w:p w14:paraId="2CEA867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3C3501F5"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Määruse (EL) nr 575/2013 artikli 26 lõike 1 punkt b</w:t>
            </w:r>
          </w:p>
          <w:p w14:paraId="5898F5F9"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Ülekurss on määratletud kohaldatavas raamatupidamistavas.</w:t>
            </w:r>
          </w:p>
          <w:p w14:paraId="7F212B1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Selle kirje puhul kajastatav summa on kirjega „Sissemakstud kapitaliinstrumendid“ seotud osa.</w:t>
            </w:r>
          </w:p>
        </w:tc>
      </w:tr>
      <w:tr w:rsidR="0065631A" w:rsidRPr="00B236B5" w14:paraId="55257E2F" w14:textId="77777777">
        <w:tc>
          <w:tcPr>
            <w:tcW w:w="1129" w:type="dxa"/>
          </w:tcPr>
          <w:p w14:paraId="22B769F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0060</w:t>
            </w:r>
          </w:p>
        </w:tc>
        <w:tc>
          <w:tcPr>
            <w:tcW w:w="7620" w:type="dxa"/>
          </w:tcPr>
          <w:p w14:paraId="7168635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Jaotamata kasum</w:t>
            </w:r>
          </w:p>
          <w:p w14:paraId="4CB81F8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Mää</w:t>
            </w:r>
            <w:r w:rsidRPr="00B236B5">
              <w:rPr>
                <w:rFonts w:ascii="Times New Roman" w:hAnsi="Times New Roman"/>
                <w:bCs/>
              </w:rPr>
              <w:t xml:space="preserve">ruse (EL) </w:t>
            </w:r>
            <w:r w:rsidRPr="00B236B5">
              <w:rPr>
                <w:rFonts w:ascii="Times New Roman" w:hAnsi="Times New Roman"/>
                <w:bCs/>
              </w:rPr>
              <w:t>2019/2033</w:t>
            </w:r>
            <w:r w:rsidRPr="00B236B5">
              <w:rPr>
                <w:rFonts w:ascii="Times New Roman" w:hAnsi="Times New Roman"/>
                <w:bCs/>
              </w:rPr>
              <w:t xml:space="preserve"> artikli 9 lõike 1 punkt i</w:t>
            </w:r>
          </w:p>
          <w:p w14:paraId="4E9E61EC" w14:textId="77777777" w:rsidR="0065631A" w:rsidRPr="00B236B5" w:rsidRDefault="00B236B5">
            <w:pPr>
              <w:spacing w:after="120" w:line="240" w:lineRule="auto"/>
              <w:jc w:val="both"/>
              <w:rPr>
                <w:rFonts w:ascii="Times New Roman" w:eastAsia="Times New Roman" w:hAnsi="Times New Roman" w:cs="Times New Roman"/>
                <w:bCs/>
              </w:rPr>
            </w:pPr>
            <w:r w:rsidRPr="00B236B5">
              <w:rPr>
                <w:rStyle w:val="FormatvorlageInstructionsTabelleText"/>
                <w:rFonts w:ascii="Times New Roman" w:hAnsi="Times New Roman"/>
                <w:sz w:val="22"/>
              </w:rPr>
              <w:t>Määruse (EL) nr 575/2013 artikli 26 lõike 1 punkt c</w:t>
            </w:r>
          </w:p>
          <w:p w14:paraId="2D1F7972"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Jaotamata kasum hõlmab eelmiste aastate jaotamata kasumit koos aruandeperioodi aktsepteeritava vahekasumi või aastakasumiga.</w:t>
            </w:r>
          </w:p>
          <w:p w14:paraId="2B82D4AB"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Kajastatakse ridade 0070 ja 0080 </w:t>
            </w:r>
            <w:r w:rsidRPr="00B236B5">
              <w:rPr>
                <w:rFonts w:ascii="Times New Roman" w:hAnsi="Times New Roman"/>
                <w:bCs/>
              </w:rPr>
              <w:t>kogusumma.</w:t>
            </w:r>
          </w:p>
        </w:tc>
      </w:tr>
      <w:tr w:rsidR="0065631A" w:rsidRPr="00B236B5" w14:paraId="25FBE257" w14:textId="77777777">
        <w:tc>
          <w:tcPr>
            <w:tcW w:w="1129" w:type="dxa"/>
          </w:tcPr>
          <w:p w14:paraId="1A66B7A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0070</w:t>
            </w:r>
          </w:p>
        </w:tc>
        <w:tc>
          <w:tcPr>
            <w:tcW w:w="7620" w:type="dxa"/>
          </w:tcPr>
          <w:p w14:paraId="71A04EB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Eelmiste aastate jaotamata kasum</w:t>
            </w:r>
          </w:p>
          <w:p w14:paraId="2DF7D204" w14:textId="77777777" w:rsidR="0065631A" w:rsidRPr="00B236B5" w:rsidRDefault="00B236B5">
            <w:pPr>
              <w:spacing w:after="120" w:line="240" w:lineRule="auto"/>
              <w:jc w:val="both"/>
              <w:rPr>
                <w:rFonts w:ascii="Times New Roman" w:eastAsia="Times New Roman" w:hAnsi="Times New Roman" w:cs="Times New Roman"/>
              </w:rPr>
            </w:pPr>
            <w:r w:rsidRPr="00B236B5">
              <w:rPr>
                <w:rFonts w:ascii="Times New Roman" w:hAnsi="Times New Roman"/>
              </w:rPr>
              <w:t>Määruse (EL) nr 575/2013 artikli 4 lõike 1 punkt 123 ja artikli 26 lõike 1 punkt c</w:t>
            </w:r>
          </w:p>
          <w:p w14:paraId="1740A4B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 xml:space="preserve">Määruse (EL) nr 575/2013 artikli 4 lõike 1 punktis 123 on jaotamata kasum määratletud kui „eelmiste aastate </w:t>
            </w:r>
            <w:r w:rsidRPr="00B236B5">
              <w:rPr>
                <w:rFonts w:ascii="Times New Roman" w:hAnsi="Times New Roman"/>
              </w:rPr>
              <w:t>jaotamata kasum või kahjum kohaldatava raamatupidamistava tähenduses“.</w:t>
            </w:r>
          </w:p>
        </w:tc>
      </w:tr>
      <w:tr w:rsidR="0065631A" w:rsidRPr="00B236B5" w14:paraId="745341E8" w14:textId="77777777">
        <w:tc>
          <w:tcPr>
            <w:tcW w:w="1129" w:type="dxa"/>
          </w:tcPr>
          <w:p w14:paraId="4B26DF9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0080</w:t>
            </w:r>
          </w:p>
        </w:tc>
        <w:tc>
          <w:tcPr>
            <w:tcW w:w="7620" w:type="dxa"/>
          </w:tcPr>
          <w:p w14:paraId="2D5DC38F"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Aktsepteeritav kasum</w:t>
            </w:r>
          </w:p>
          <w:p w14:paraId="012414E7" w14:textId="77777777" w:rsidR="0065631A" w:rsidRPr="00B236B5" w:rsidRDefault="00B236B5">
            <w:pPr>
              <w:spacing w:after="120" w:line="240" w:lineRule="auto"/>
              <w:jc w:val="both"/>
              <w:rPr>
                <w:rFonts w:ascii="Times New Roman" w:eastAsia="Times New Roman" w:hAnsi="Times New Roman" w:cs="Times New Roman"/>
              </w:rPr>
            </w:pPr>
            <w:r w:rsidRPr="00B236B5">
              <w:rPr>
                <w:rFonts w:ascii="Times New Roman" w:hAnsi="Times New Roman"/>
              </w:rPr>
              <w:t>Määruse (EL) nr 575/2013 artikli 4 lõike 1 punkt 121, artikli 26 lõige 2 ja artikli 36 lõike 1 punkt a</w:t>
            </w:r>
          </w:p>
          <w:p w14:paraId="60428E2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Määruse (EL) nr 575/2013 artikli 26 lõikega 2 lubatakse</w:t>
            </w:r>
            <w:r w:rsidRPr="00B236B5">
              <w:rPr>
                <w:rFonts w:ascii="Times New Roman" w:hAnsi="Times New Roman"/>
              </w:rPr>
              <w:t xml:space="preserve"> pädevate asutuste eelneval nõusolekul võtta jaotamata kasumina arvesse aruandeperioodi vahekasumit või aastakasumit, kui täidetud on teatavad tingimused. </w:t>
            </w:r>
          </w:p>
        </w:tc>
      </w:tr>
      <w:tr w:rsidR="0065631A" w:rsidRPr="00B236B5" w14:paraId="1BBEE7CA" w14:textId="77777777">
        <w:tc>
          <w:tcPr>
            <w:tcW w:w="1129" w:type="dxa"/>
          </w:tcPr>
          <w:p w14:paraId="3914563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0090</w:t>
            </w:r>
          </w:p>
        </w:tc>
        <w:tc>
          <w:tcPr>
            <w:tcW w:w="7620" w:type="dxa"/>
          </w:tcPr>
          <w:p w14:paraId="5C3D773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Muu akumuleeritud koondkasum</w:t>
            </w:r>
          </w:p>
          <w:p w14:paraId="3D12778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087F6E80" w14:textId="77777777" w:rsidR="0065631A" w:rsidRPr="00B236B5" w:rsidRDefault="00B236B5">
            <w:pPr>
              <w:spacing w:after="120" w:line="240" w:lineRule="auto"/>
              <w:jc w:val="both"/>
              <w:rPr>
                <w:rFonts w:ascii="Times New Roman" w:hAnsi="Times New Roman" w:cs="Times New Roman"/>
                <w:bCs/>
              </w:rPr>
            </w:pPr>
            <w:r w:rsidRPr="00B236B5">
              <w:rPr>
                <w:rStyle w:val="FormatvorlageInstructionsTabelleText"/>
                <w:rFonts w:ascii="Times New Roman" w:hAnsi="Times New Roman"/>
                <w:sz w:val="22"/>
              </w:rPr>
              <w:t xml:space="preserve">Määruse (EL) </w:t>
            </w:r>
            <w:r w:rsidRPr="00B236B5">
              <w:rPr>
                <w:rStyle w:val="FormatvorlageInstructionsTabelleText"/>
                <w:rFonts w:ascii="Times New Roman" w:hAnsi="Times New Roman"/>
                <w:sz w:val="22"/>
              </w:rPr>
              <w:t>nr 575/2013 artikli 26 lõike 1 punkt d</w:t>
            </w:r>
          </w:p>
        </w:tc>
      </w:tr>
      <w:tr w:rsidR="0065631A" w:rsidRPr="00B236B5" w14:paraId="3E36EA16" w14:textId="77777777">
        <w:tc>
          <w:tcPr>
            <w:tcW w:w="1129" w:type="dxa"/>
          </w:tcPr>
          <w:p w14:paraId="05CEE83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0100</w:t>
            </w:r>
          </w:p>
        </w:tc>
        <w:tc>
          <w:tcPr>
            <w:tcW w:w="7620" w:type="dxa"/>
          </w:tcPr>
          <w:p w14:paraId="6DAEF917"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Muud reservid</w:t>
            </w:r>
          </w:p>
          <w:p w14:paraId="6C96DE4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72D9BABB"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Määruse (EL) nr 575/2013 artikli 4 lõike 1 punkt 117 ja artikli 26 lõike 1 punkt e</w:t>
            </w:r>
          </w:p>
          <w:p w14:paraId="25DD84A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Asjaomane summa kajastatakse pärast arvutamise ajal prognoositava</w:t>
            </w:r>
            <w:r w:rsidRPr="00B236B5">
              <w:rPr>
                <w:rStyle w:val="FormatvorlageInstructionsTabelleText"/>
                <w:rFonts w:ascii="Times New Roman" w:hAnsi="Times New Roman"/>
                <w:sz w:val="22"/>
              </w:rPr>
              <w:t>te maksude mahaarvamist.</w:t>
            </w:r>
          </w:p>
        </w:tc>
      </w:tr>
      <w:tr w:rsidR="0065631A" w:rsidRPr="00B236B5" w14:paraId="1F956E6A" w14:textId="77777777">
        <w:tc>
          <w:tcPr>
            <w:tcW w:w="1129" w:type="dxa"/>
          </w:tcPr>
          <w:p w14:paraId="5BBF2BA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0110</w:t>
            </w:r>
          </w:p>
        </w:tc>
        <w:tc>
          <w:tcPr>
            <w:tcW w:w="7620" w:type="dxa"/>
            <w:shd w:val="clear" w:color="auto" w:fill="auto"/>
          </w:tcPr>
          <w:p w14:paraId="4FFA817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Vähemusosalused, mis arvatakse esimese taseme põhiomavahendite hulka</w:t>
            </w:r>
          </w:p>
          <w:p w14:paraId="58452C89"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Määruse (EL) nr 575/2013 artikli 84 lõige 1, artikli 85 lõige 1 ja artikli 87 lõige 1</w:t>
            </w:r>
          </w:p>
          <w:p w14:paraId="70CA6519"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 xml:space="preserve">Tütarettevõtjate kõigi selliste vähemusosaluste summa, mis </w:t>
            </w:r>
            <w:r w:rsidRPr="00B236B5">
              <w:rPr>
                <w:rStyle w:val="FormatvorlageInstructionsTabelleText"/>
                <w:rFonts w:ascii="Times New Roman" w:hAnsi="Times New Roman"/>
                <w:sz w:val="22"/>
              </w:rPr>
              <w:t>arvatakse konsolideeritud esimese taseme põhiomavahendite hulka.</w:t>
            </w:r>
          </w:p>
        </w:tc>
      </w:tr>
      <w:tr w:rsidR="0065631A" w:rsidRPr="00B236B5" w14:paraId="2F0DAAAA" w14:textId="77777777">
        <w:tc>
          <w:tcPr>
            <w:tcW w:w="1129" w:type="dxa"/>
          </w:tcPr>
          <w:p w14:paraId="42B9959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0120</w:t>
            </w:r>
          </w:p>
        </w:tc>
        <w:tc>
          <w:tcPr>
            <w:tcW w:w="7620" w:type="dxa"/>
            <w:shd w:val="clear" w:color="auto" w:fill="auto"/>
          </w:tcPr>
          <w:p w14:paraId="64AC03AA"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põhiomavahendite korrigeerimine seoses usaldatavusfiltritega</w:t>
            </w:r>
          </w:p>
          <w:p w14:paraId="361573BD"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 xml:space="preserve">Määruse (EL) </w:t>
            </w:r>
            <w:r w:rsidRPr="00B236B5">
              <w:rPr>
                <w:rStyle w:val="FormatvorlageInstructionsTabelleText"/>
                <w:rFonts w:ascii="Times New Roman" w:hAnsi="Times New Roman"/>
                <w:sz w:val="22"/>
              </w:rPr>
              <w:t>2019/2033</w:t>
            </w:r>
            <w:r w:rsidRPr="00B236B5">
              <w:rPr>
                <w:rStyle w:val="FormatvorlageInstructionsTabelleText"/>
                <w:rFonts w:ascii="Times New Roman" w:hAnsi="Times New Roman"/>
                <w:sz w:val="22"/>
              </w:rPr>
              <w:t xml:space="preserve"> artikli 9 lõike 1 punkt i</w:t>
            </w:r>
          </w:p>
          <w:p w14:paraId="7005F179"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lastRenderedPageBreak/>
              <w:t>Määruse (EL) nr 575/2013 artiklid 32–35</w:t>
            </w:r>
          </w:p>
        </w:tc>
      </w:tr>
      <w:tr w:rsidR="0065631A" w:rsidRPr="00B236B5" w14:paraId="5333A43C" w14:textId="77777777">
        <w:tc>
          <w:tcPr>
            <w:tcW w:w="1129" w:type="dxa"/>
          </w:tcPr>
          <w:p w14:paraId="3A59116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0130</w:t>
            </w:r>
          </w:p>
        </w:tc>
        <w:tc>
          <w:tcPr>
            <w:tcW w:w="7620" w:type="dxa"/>
          </w:tcPr>
          <w:p w14:paraId="05FD678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Muud vahendid</w:t>
            </w:r>
          </w:p>
          <w:p w14:paraId="65784D2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 xml:space="preserve">Määruse (EL) </w:t>
            </w:r>
            <w:r w:rsidRPr="00B236B5">
              <w:rPr>
                <w:rFonts w:ascii="Times New Roman" w:hAnsi="Times New Roman"/>
              </w:rPr>
              <w:t>2019/2033</w:t>
            </w:r>
            <w:r w:rsidRPr="00B236B5">
              <w:rPr>
                <w:rFonts w:ascii="Times New Roman" w:hAnsi="Times New Roman"/>
              </w:rPr>
              <w:t xml:space="preserve"> artikli 9 lõige 4</w:t>
            </w:r>
          </w:p>
        </w:tc>
      </w:tr>
      <w:tr w:rsidR="0065631A" w:rsidRPr="00B236B5" w14:paraId="03011615" w14:textId="77777777">
        <w:tc>
          <w:tcPr>
            <w:tcW w:w="1129" w:type="dxa"/>
          </w:tcPr>
          <w:p w14:paraId="7F3062F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0140</w:t>
            </w:r>
          </w:p>
        </w:tc>
        <w:tc>
          <w:tcPr>
            <w:tcW w:w="7620" w:type="dxa"/>
          </w:tcPr>
          <w:p w14:paraId="7E50ACE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ESIMESE TASEME PÕHIOMAVAHENDITEST TEHTUD MAHAARVAMISED KOKKU</w:t>
            </w:r>
          </w:p>
          <w:p w14:paraId="78056BA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Kajastatakse ridade 0190–0285 kogusumma.</w:t>
            </w:r>
          </w:p>
        </w:tc>
      </w:tr>
      <w:tr w:rsidR="0065631A" w:rsidRPr="00B236B5" w14:paraId="41B21961" w14:textId="77777777">
        <w:tc>
          <w:tcPr>
            <w:tcW w:w="1129" w:type="dxa"/>
          </w:tcPr>
          <w:p w14:paraId="5BB8E0B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90E7E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Jooksva majandusaasta kahjum</w:t>
            </w:r>
          </w:p>
          <w:p w14:paraId="781E691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Määruse (EL) nr 575/2013 artikli 36 lõike 1 punkt a</w:t>
            </w:r>
          </w:p>
        </w:tc>
      </w:tr>
      <w:tr w:rsidR="0065631A" w:rsidRPr="00B236B5" w14:paraId="6F220150" w14:textId="77777777">
        <w:tc>
          <w:tcPr>
            <w:tcW w:w="1129" w:type="dxa"/>
          </w:tcPr>
          <w:p w14:paraId="6884747B"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C756F2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 </w:t>
            </w:r>
            <w:r w:rsidRPr="00B236B5">
              <w:rPr>
                <w:rFonts w:ascii="Times New Roman" w:hAnsi="Times New Roman"/>
                <w:b/>
                <w:bCs/>
                <w:u w:val="single"/>
              </w:rPr>
              <w:t>Firmaväärtus</w:t>
            </w:r>
          </w:p>
          <w:p w14:paraId="0035BDD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28C02A4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Määruse (EL) nr 575/2013 artikli 4 lõike 1 punkt 113, artikli 36 lõike 1 punkt b ja artikkel 37</w:t>
            </w:r>
          </w:p>
        </w:tc>
      </w:tr>
      <w:tr w:rsidR="0065631A" w:rsidRPr="00B236B5" w14:paraId="1126B386" w14:textId="77777777">
        <w:tc>
          <w:tcPr>
            <w:tcW w:w="1129" w:type="dxa"/>
          </w:tcPr>
          <w:p w14:paraId="0699526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2FAE21B"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Muu immateriaalne vara</w:t>
            </w:r>
          </w:p>
          <w:p w14:paraId="2DC0F17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5DFD0D6B" w14:textId="77777777" w:rsidR="0065631A" w:rsidRPr="00B236B5" w:rsidRDefault="00B236B5">
            <w:pPr>
              <w:pStyle w:val="InstructionsText"/>
              <w:rPr>
                <w:rStyle w:val="FormatvorlageInstructionsTabelleText"/>
                <w:rFonts w:ascii="Times New Roman" w:eastAsiaTheme="minorHAnsi" w:hAnsi="Times New Roman"/>
                <w:bCs/>
                <w:sz w:val="22"/>
                <w:szCs w:val="22"/>
              </w:rPr>
            </w:pPr>
            <w:r w:rsidRPr="00B236B5">
              <w:rPr>
                <w:rStyle w:val="FormatvorlageInstructionsTabelleText"/>
                <w:rFonts w:ascii="Times New Roman" w:hAnsi="Times New Roman"/>
                <w:sz w:val="22"/>
                <w:szCs w:val="22"/>
              </w:rPr>
              <w:t>Määruse (EL) nr </w:t>
            </w:r>
            <w:r w:rsidRPr="00B236B5">
              <w:rPr>
                <w:rStyle w:val="FormatvorlageInstructionsTabelleText"/>
                <w:rFonts w:ascii="Times New Roman" w:hAnsi="Times New Roman"/>
                <w:sz w:val="22"/>
                <w:szCs w:val="22"/>
              </w:rPr>
              <w:t>575/2013 artikli 4 lõike 1 punkt 115, artikli 36 lõike 1 punkt b ja artikli 37 punkt a</w:t>
            </w:r>
          </w:p>
          <w:p w14:paraId="4FF8A6E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Muu immateriaalne vara on kohaldatava raamatupidamistava alusel kajastatav immateriaalne vara, millest on maha arvatud firmaväärtus vastavalt kohaldatavale raamatupidami</w:t>
            </w:r>
            <w:r w:rsidRPr="00B236B5">
              <w:rPr>
                <w:rStyle w:val="FormatvorlageInstructionsTabelleText"/>
                <w:rFonts w:ascii="Times New Roman" w:hAnsi="Times New Roman"/>
                <w:sz w:val="22"/>
              </w:rPr>
              <w:t>stavale.</w:t>
            </w:r>
          </w:p>
        </w:tc>
      </w:tr>
      <w:tr w:rsidR="0065631A" w:rsidRPr="00B236B5" w14:paraId="0A3FF409" w14:textId="77777777">
        <w:tc>
          <w:tcPr>
            <w:tcW w:w="1129" w:type="dxa"/>
          </w:tcPr>
          <w:p w14:paraId="14C1CE7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A1B245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Tulevasel kasumlikkusel põhinev edasilükkunud tulumaksu vara, mis ei tulene ajutistest erinevustest, pärast seotud tulumaksu kohustuste mahaarvamist</w:t>
            </w:r>
          </w:p>
          <w:p w14:paraId="2E4F024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2 punkt a</w:t>
            </w:r>
          </w:p>
          <w:p w14:paraId="2816B58F"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Määruse (EL) nr 575/2013 artikli 36 lõi</w:t>
            </w:r>
            <w:r w:rsidRPr="00B236B5">
              <w:rPr>
                <w:rFonts w:ascii="Times New Roman" w:hAnsi="Times New Roman"/>
                <w:bCs/>
              </w:rPr>
              <w:t>ke 1 punkt c</w:t>
            </w:r>
          </w:p>
        </w:tc>
      </w:tr>
      <w:tr w:rsidR="0065631A" w:rsidRPr="00B236B5" w14:paraId="045BB867" w14:textId="77777777">
        <w:tc>
          <w:tcPr>
            <w:tcW w:w="1129" w:type="dxa"/>
          </w:tcPr>
          <w:p w14:paraId="5281C2E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71E01C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Väljaspool finantssektorit olev oluline osalus, mis ületab 15 % omavahenditest</w:t>
            </w:r>
          </w:p>
          <w:p w14:paraId="35366F6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10 lõike 1 punkt a</w:t>
            </w:r>
          </w:p>
        </w:tc>
      </w:tr>
      <w:tr w:rsidR="0065631A" w:rsidRPr="00B236B5" w14:paraId="0F701578" w14:textId="77777777">
        <w:tc>
          <w:tcPr>
            <w:tcW w:w="1129" w:type="dxa"/>
          </w:tcPr>
          <w:p w14:paraId="4DBE0AE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EB6193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 Finantssektorivälistes ettevõtjates olevad olulised osalused kokku, mis ületab 60 % </w:t>
            </w:r>
            <w:r w:rsidRPr="00B236B5">
              <w:rPr>
                <w:rFonts w:ascii="Times New Roman" w:hAnsi="Times New Roman"/>
                <w:b/>
                <w:bCs/>
                <w:u w:val="single"/>
              </w:rPr>
              <w:t>omavahenditest</w:t>
            </w:r>
          </w:p>
          <w:p w14:paraId="7AF1204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10 lõike 1 punkt b</w:t>
            </w:r>
          </w:p>
        </w:tc>
      </w:tr>
      <w:tr w:rsidR="0065631A" w:rsidRPr="00B236B5" w14:paraId="40259B24" w14:textId="77777777">
        <w:tc>
          <w:tcPr>
            <w:tcW w:w="1129" w:type="dxa"/>
          </w:tcPr>
          <w:p w14:paraId="59F44FC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CA514BB"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Muud mahaarvamised</w:t>
            </w:r>
          </w:p>
          <w:p w14:paraId="34190D7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Kõigi muude selliste mahaarvamiste summa vastavalt määruse (EL) nr 575/2013 artikli 36 lõikele 1, mida ei ole eespool ridadel 0160–0240 arvesse võetud.</w:t>
            </w:r>
          </w:p>
        </w:tc>
      </w:tr>
      <w:tr w:rsidR="0065631A" w:rsidRPr="00B236B5" w14:paraId="02E2E7CE" w14:textId="77777777">
        <w:tc>
          <w:tcPr>
            <w:tcW w:w="1129" w:type="dxa"/>
          </w:tcPr>
          <w:p w14:paraId="7DBD8DE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FA420A"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põhiomavahendid: muud kapitalielemendid, mahaarvamised ja korrigeerimised</w:t>
            </w:r>
          </w:p>
          <w:p w14:paraId="7AC4798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See rida sisaldab asjakohasel juhul järgmiste kirjete summat:</w:t>
            </w:r>
          </w:p>
          <w:p w14:paraId="5E775901"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rPr>
              <w:t>üleminekusätetest tulenev korrigeerimine seoses varasemalt kehtinud nõuete ajutise kohaldamisega esimes</w:t>
            </w:r>
            <w:r w:rsidRPr="00B236B5">
              <w:rPr>
                <w:rFonts w:ascii="Times New Roman" w:hAnsi="Times New Roman"/>
              </w:rPr>
              <w:t>e taseme põhiomavahenditesse kuuluvate instrumentide suhtes (määruse (EL) nr 575/2013 artikli 483 lõiked 1, 2 ja 3 ning artiklid 484–487);</w:t>
            </w:r>
          </w:p>
          <w:p w14:paraId="239E6C48"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rPr>
              <w:t>üleminekusätetest tulenev korrigeerimine seoses täiendavate vähemusosalustega (määruse (EL) nr 575/2013 artiklid 47</w:t>
            </w:r>
            <w:r w:rsidRPr="00B236B5">
              <w:rPr>
                <w:rFonts w:ascii="Times New Roman" w:hAnsi="Times New Roman"/>
              </w:rPr>
              <w:t>9 ja 480);</w:t>
            </w:r>
          </w:p>
          <w:p w14:paraId="0FACD5BC"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lastRenderedPageBreak/>
              <w:t>—</w:t>
            </w:r>
            <w:r w:rsidRPr="00B236B5">
              <w:rPr>
                <w:rFonts w:ascii="Times New Roman" w:eastAsia="Times New Roman" w:hAnsi="Times New Roman" w:cs="Times New Roman"/>
                <w:bCs/>
              </w:rPr>
              <w:tab/>
            </w:r>
            <w:r w:rsidRPr="00B236B5">
              <w:rPr>
                <w:rFonts w:ascii="Times New Roman" w:hAnsi="Times New Roman"/>
              </w:rPr>
              <w:t>muud üleminekusätetest tulenevad esimese taseme põhiomavahendite korrigeerimised (määruse (EL) nr 575/2013 artiklid 469–478 ja 481):</w:t>
            </w:r>
            <w:r w:rsidRPr="00B236B5">
              <w:rPr>
                <w:rFonts w:ascii="Times New Roman" w:hAnsi="Times New Roman"/>
                <w:bCs/>
              </w:rPr>
              <w:t xml:space="preserve"> üleminekusätetest tulenevate esimese taseme põhiomavahenditest tehtavate mahaarvamiste korrigeerimine;</w:t>
            </w:r>
          </w:p>
          <w:p w14:paraId="74903D06" w14:textId="77777777" w:rsidR="0065631A" w:rsidRPr="00B236B5" w:rsidRDefault="00B236B5">
            <w:pPr>
              <w:spacing w:after="120" w:line="240" w:lineRule="auto"/>
              <w:ind w:left="360" w:hanging="360"/>
              <w:jc w:val="both"/>
              <w:rPr>
                <w:rFonts w:ascii="Times New Roman" w:eastAsia="Times New Roman" w:hAnsi="Times New Roman" w:cs="Times New Roman"/>
                <w:b/>
                <w:bCs/>
                <w:u w:val="single"/>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 xml:space="preserve">muud </w:t>
            </w:r>
            <w:r w:rsidRPr="00B236B5">
              <w:rPr>
                <w:rFonts w:ascii="Times New Roman" w:hAnsi="Times New Roman"/>
                <w:bCs/>
              </w:rPr>
              <w:t>esimese taseme põhiomavahendite elemendid või mahaarvamised esimese taseme põhiomavahendite elemendist, mida ei saa määrata ühele ridadest 0040–0285.</w:t>
            </w:r>
          </w:p>
          <w:p w14:paraId="5C82041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Seda rida ei tohi kasutada selleks, et kaasata maksevõime suhtarvude arvutusse kapitalikirjeid või mahaarv</w:t>
            </w:r>
            <w:r w:rsidRPr="00B236B5">
              <w:rPr>
                <w:rFonts w:ascii="Times New Roman" w:hAnsi="Times New Roman"/>
                <w:bCs/>
              </w:rPr>
              <w:t xml:space="preserve">amisi, mis ei ole hõlmatud määrusega (EL) </w:t>
            </w:r>
            <w:r w:rsidRPr="00B236B5">
              <w:rPr>
                <w:rFonts w:ascii="Times New Roman" w:hAnsi="Times New Roman"/>
                <w:bCs/>
              </w:rPr>
              <w:t>2019/2033</w:t>
            </w:r>
            <w:r w:rsidRPr="00B236B5">
              <w:rPr>
                <w:rFonts w:ascii="Times New Roman" w:hAnsi="Times New Roman"/>
                <w:bCs/>
              </w:rPr>
              <w:t xml:space="preserve"> või (EL) nr 575/2013.</w:t>
            </w:r>
          </w:p>
        </w:tc>
      </w:tr>
      <w:tr w:rsidR="0065631A" w:rsidRPr="00B236B5" w14:paraId="249FDD4F" w14:textId="77777777">
        <w:tc>
          <w:tcPr>
            <w:tcW w:w="1129" w:type="dxa"/>
          </w:tcPr>
          <w:p w14:paraId="55E3855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47EC9E7"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TÄIENDAVAD ESIMESE TASEME OMAVAHENDID</w:t>
            </w:r>
          </w:p>
          <w:p w14:paraId="5F1459F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lõige 1</w:t>
            </w:r>
          </w:p>
          <w:p w14:paraId="2ACD2C28"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Määruse (EL) nr 575/2013 artikkel 61</w:t>
            </w:r>
          </w:p>
          <w:p w14:paraId="1C23CDE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Kajastatakse ridade 0310–0410 kogusumma.</w:t>
            </w:r>
          </w:p>
        </w:tc>
      </w:tr>
      <w:tr w:rsidR="0065631A" w:rsidRPr="00B236B5" w14:paraId="66A5D2CF" w14:textId="77777777">
        <w:tc>
          <w:tcPr>
            <w:tcW w:w="1129" w:type="dxa"/>
          </w:tcPr>
          <w:p w14:paraId="23F9DBD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74A80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Täielikult sissemakstud otseemiteeritud kapitaliinstrumendid</w:t>
            </w:r>
          </w:p>
          <w:p w14:paraId="6D5E8F8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5FB4DB00"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Määruse (EL) nr 575/2013 artikli 51 punkt a ning artiklid 52, 53 ja 54</w:t>
            </w:r>
          </w:p>
          <w:p w14:paraId="3842683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Kajastatav summa ei hõlma instrumentidega seotud ülekurssi.</w:t>
            </w:r>
          </w:p>
        </w:tc>
      </w:tr>
      <w:tr w:rsidR="0065631A" w:rsidRPr="00B236B5" w14:paraId="05A01B82" w14:textId="77777777">
        <w:tc>
          <w:tcPr>
            <w:tcW w:w="1129" w:type="dxa"/>
          </w:tcPr>
          <w:p w14:paraId="0295499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433BE2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Ülekurss</w:t>
            </w:r>
          </w:p>
          <w:p w14:paraId="4013AC4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4DC4E7CC"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Määruse (EL) nr 575/2013 artikli 51 punkt b</w:t>
            </w:r>
          </w:p>
          <w:p w14:paraId="15FD6C4E"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Ülekurss on määratletud kohaldatavas raamatupidamistavas.</w:t>
            </w:r>
          </w:p>
          <w:p w14:paraId="3630B51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 xml:space="preserve">Selles punktis kajastatav summa on kirjega „Täielikult sissemakstud </w:t>
            </w:r>
            <w:r w:rsidRPr="00B236B5">
              <w:rPr>
                <w:rStyle w:val="FormatvorlageInstructionsTabelleText"/>
                <w:rFonts w:ascii="Times New Roman" w:hAnsi="Times New Roman"/>
                <w:sz w:val="22"/>
              </w:rPr>
              <w:t>otseemiteeritud kapitaliinstrumendid“ seotud osa.</w:t>
            </w:r>
          </w:p>
        </w:tc>
      </w:tr>
      <w:tr w:rsidR="0065631A" w:rsidRPr="00B236B5" w14:paraId="7E8EE1FF" w14:textId="77777777">
        <w:tc>
          <w:tcPr>
            <w:tcW w:w="1129" w:type="dxa"/>
          </w:tcPr>
          <w:p w14:paraId="6A4C102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13D44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TÄIENDAVATEST ESIMESE TASEME OMAVAHENDITEST TEHTUD MAHAARVAMISED KOKKU</w:t>
            </w:r>
          </w:p>
          <w:p w14:paraId="2AC2644F" w14:textId="77777777" w:rsidR="0065631A" w:rsidRPr="00B236B5" w:rsidRDefault="00B236B5">
            <w:pPr>
              <w:spacing w:before="60" w:after="60"/>
              <w:rPr>
                <w:rFonts w:ascii="Times New Roman" w:hAnsi="Times New Roman" w:cs="Times New Roman"/>
              </w:rPr>
            </w:pPr>
            <w:r w:rsidRPr="00B236B5">
              <w:rPr>
                <w:rFonts w:ascii="Times New Roman" w:hAnsi="Times New Roman"/>
              </w:rPr>
              <w:t>Määruse (EL) nr 575/2013 artikkel 56</w:t>
            </w:r>
          </w:p>
        </w:tc>
      </w:tr>
      <w:tr w:rsidR="0065631A" w:rsidRPr="00B236B5" w14:paraId="62BD26EB" w14:textId="77777777">
        <w:tc>
          <w:tcPr>
            <w:tcW w:w="1129" w:type="dxa"/>
          </w:tcPr>
          <w:p w14:paraId="4A80E66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E14C7E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Täiendavad esimese taseme omavahendid: muud kapitalielemendid, </w:t>
            </w:r>
            <w:r w:rsidRPr="00B236B5">
              <w:rPr>
                <w:rFonts w:ascii="Times New Roman" w:hAnsi="Times New Roman"/>
                <w:b/>
                <w:bCs/>
                <w:u w:val="single"/>
              </w:rPr>
              <w:t>mahaarvamised ja korrigeerimised</w:t>
            </w:r>
          </w:p>
          <w:p w14:paraId="0E46B14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See rida sisaldab asjakohasel juhul järgmiste kirjete summat:</w:t>
            </w:r>
          </w:p>
          <w:p w14:paraId="490AE281"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rPr>
              <w:t>üleminekusätetest tulenev korrigeerimine seoses varasemalt kehtinud nõuete ajutise kohaldamisega täiendavatesse esimese taseme omavahenditesse kuuluvate instru</w:t>
            </w:r>
            <w:r w:rsidRPr="00B236B5">
              <w:rPr>
                <w:rFonts w:ascii="Times New Roman" w:hAnsi="Times New Roman"/>
              </w:rPr>
              <w:t>mentide suhtes (määruse (EL) nr 575/2013 artikli 483 lõiked 4 ja 5, artiklid 484–487 ning artiklid 489 ja 491);</w:t>
            </w:r>
          </w:p>
          <w:p w14:paraId="41A04B2D"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rPr>
              <w:t>tütarettevõtja emiteeritud instrumendid, mis arvatakse täiendavate esimese taseme omavahendite hulka (määruse (EL) nr 575/2013 artiklid 83, 85</w:t>
            </w:r>
            <w:r w:rsidRPr="00B236B5">
              <w:rPr>
                <w:rFonts w:ascii="Times New Roman" w:hAnsi="Times New Roman"/>
              </w:rPr>
              <w:t xml:space="preserve"> ja 86):</w:t>
            </w:r>
            <w:r w:rsidRPr="00B236B5">
              <w:rPr>
                <w:rFonts w:ascii="Times New Roman" w:hAnsi="Times New Roman"/>
                <w:bCs/>
              </w:rPr>
              <w:t xml:space="preserve"> </w:t>
            </w:r>
            <w:r w:rsidRPr="00B236B5">
              <w:rPr>
                <w:rFonts w:ascii="Times New Roman" w:hAnsi="Times New Roman"/>
              </w:rPr>
              <w:t>tütarettevõtjate kõigi kvalifitseeruvate esimese taseme omavahendite summa, mis arvatakse konsolideeritud täiendavate esimese taseme omavahendite hulka, sealhulgas eriotstarbelise ettevõtja emiteeritud omavahendid (määruse (EL) nr 575/2013 artikke</w:t>
            </w:r>
            <w:r w:rsidRPr="00B236B5">
              <w:rPr>
                <w:rFonts w:ascii="Times New Roman" w:hAnsi="Times New Roman"/>
              </w:rPr>
              <w:t>l 83);</w:t>
            </w:r>
          </w:p>
          <w:p w14:paraId="3D70CECC"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rPr>
              <w:t>üleminekusätetest tulenev korrigeerimine seoses tütarettevõtjate emiteeritud instrumentide täiendava kajastamisega täiendavates esimese taseme omavahendites (määruse (EL) nr 575/2013 artikkel 480):</w:t>
            </w:r>
            <w:r w:rsidRPr="00B236B5">
              <w:rPr>
                <w:rFonts w:ascii="Times New Roman" w:hAnsi="Times New Roman"/>
                <w:bCs/>
              </w:rPr>
              <w:t xml:space="preserve"> üleminekusätetest tulenev korrigeerimine seoses k</w:t>
            </w:r>
            <w:r w:rsidRPr="00B236B5">
              <w:rPr>
                <w:rFonts w:ascii="Times New Roman" w:hAnsi="Times New Roman"/>
                <w:bCs/>
              </w:rPr>
              <w:t>valifitseeruvate esimese taseme omavahenditega, mis arvatakse konsolideeritud täiendavate esimese taseme omavahendite hulka;</w:t>
            </w:r>
          </w:p>
          <w:p w14:paraId="2BBA2C98"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lastRenderedPageBreak/>
              <w:t>—</w:t>
            </w:r>
            <w:r w:rsidRPr="00B236B5">
              <w:rPr>
                <w:rFonts w:ascii="Times New Roman" w:eastAsia="Times New Roman" w:hAnsi="Times New Roman" w:cs="Times New Roman"/>
                <w:bCs/>
              </w:rPr>
              <w:tab/>
            </w:r>
            <w:r w:rsidRPr="00B236B5">
              <w:rPr>
                <w:rFonts w:ascii="Times New Roman" w:hAnsi="Times New Roman"/>
              </w:rPr>
              <w:t xml:space="preserve">muud üleminekusätetest tulenevad täiendavate esimese taseme omavahendite korrigeerimised (määruse (EL) nr 575/2013 artiklid 472, </w:t>
            </w:r>
            <w:r w:rsidRPr="00B236B5">
              <w:rPr>
                <w:rFonts w:ascii="Times New Roman" w:hAnsi="Times New Roman"/>
              </w:rPr>
              <w:t>473a, 474, 475, 478 ja 481):</w:t>
            </w:r>
            <w:r w:rsidRPr="00B236B5">
              <w:rPr>
                <w:rFonts w:ascii="Times New Roman" w:hAnsi="Times New Roman"/>
                <w:bCs/>
              </w:rPr>
              <w:t xml:space="preserve"> üleminekusätetest tulenev mahaarvamiste korrigeerimine;</w:t>
            </w:r>
          </w:p>
          <w:p w14:paraId="204D9DCF"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rPr>
              <w:t xml:space="preserve">täiendavate esimese taseme omavahendite kirjetest tehtavate mahaarvamiste summa, mis ületab täiendavaid esimese taseme omavahendeid ja mis arvatakse maha esimese taseme </w:t>
            </w:r>
            <w:r w:rsidRPr="00B236B5">
              <w:rPr>
                <w:rFonts w:ascii="Times New Roman" w:hAnsi="Times New Roman"/>
              </w:rPr>
              <w:t>põhiomavahenditest vastavalt määruse (EL) nr 575/2013 artikli 36 lõike 1 punktile j.</w:t>
            </w:r>
            <w:r w:rsidRPr="00B236B5">
              <w:rPr>
                <w:rFonts w:ascii="Times New Roman" w:hAnsi="Times New Roman"/>
                <w:bCs/>
              </w:rPr>
              <w:t xml:space="preserve"> Täiendavad esimese taseme omavahendid ei saa olla negatiivsed, kuid on võimalik, et mahaarvamised täiendavate esimese taseme omavahendite kirjetest ületavad olemasolevate </w:t>
            </w:r>
            <w:r w:rsidRPr="00B236B5">
              <w:rPr>
                <w:rFonts w:ascii="Times New Roman" w:hAnsi="Times New Roman"/>
                <w:bCs/>
              </w:rPr>
              <w:t>täiendavate esimese taseme omavahendite kirjete summat. Sellisel juhul kajastab see kirje summat, mida on vaja real 0300 kajastatud summa suurendamiseks nullini ning mis võrdub muude mahaarvamiste kõrval real 0285 kajastatud täiendavatest esimese taseme om</w:t>
            </w:r>
            <w:r w:rsidRPr="00B236B5">
              <w:rPr>
                <w:rFonts w:ascii="Times New Roman" w:hAnsi="Times New Roman"/>
                <w:bCs/>
              </w:rPr>
              <w:t>avahenditest tehtavate mahaarvamiste sellise summa pöördväärtusega, mis ületab täiendavaid esimese taseme omavahendeid;</w:t>
            </w:r>
          </w:p>
          <w:p w14:paraId="5CABD8D4"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muud täiendavate esimese taseme omavahendite elemendid või mahaarvamised täiendavate esimese taseme omavahendite elemendist, mida ei s</w:t>
            </w:r>
            <w:r w:rsidRPr="00B236B5">
              <w:rPr>
                <w:rFonts w:ascii="Times New Roman" w:hAnsi="Times New Roman"/>
                <w:bCs/>
              </w:rPr>
              <w:t>aa määrata ühele ridadest 0310–0330.</w:t>
            </w:r>
          </w:p>
          <w:p w14:paraId="47AA138F"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Seda rida ei tohi kasutada selleks, et kaasata maksevõime suhtarvude arvutusse kapitalikirjeid või mahaarvamisi, mis ei ole hõlmatud määruse (EL) </w:t>
            </w:r>
            <w:r w:rsidRPr="00B236B5">
              <w:rPr>
                <w:rFonts w:ascii="Times New Roman" w:hAnsi="Times New Roman"/>
                <w:bCs/>
              </w:rPr>
              <w:t>2019/2033</w:t>
            </w:r>
            <w:r w:rsidRPr="00B236B5">
              <w:rPr>
                <w:rFonts w:ascii="Times New Roman" w:hAnsi="Times New Roman"/>
                <w:bCs/>
              </w:rPr>
              <w:t xml:space="preserve"> või määrusega (EL) nr 575/2013.</w:t>
            </w:r>
          </w:p>
        </w:tc>
      </w:tr>
      <w:tr w:rsidR="0065631A" w:rsidRPr="00B236B5" w14:paraId="51BFE9C1" w14:textId="77777777">
        <w:tc>
          <w:tcPr>
            <w:tcW w:w="1129" w:type="dxa"/>
          </w:tcPr>
          <w:p w14:paraId="0D8AFAA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7BDFCF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TEISE TASEME OMAVAHENDID</w:t>
            </w:r>
          </w:p>
          <w:p w14:paraId="3E9E104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 xml:space="preserve">Määruse (EL) </w:t>
            </w:r>
            <w:r w:rsidRPr="00B236B5">
              <w:rPr>
                <w:rFonts w:ascii="Times New Roman" w:hAnsi="Times New Roman"/>
              </w:rPr>
              <w:t>2019/2033</w:t>
            </w:r>
            <w:r w:rsidRPr="00B236B5">
              <w:rPr>
                <w:rFonts w:ascii="Times New Roman" w:hAnsi="Times New Roman"/>
              </w:rPr>
              <w:t xml:space="preserve"> artikli 9 lõige 1</w:t>
            </w:r>
          </w:p>
          <w:p w14:paraId="50E271DE" w14:textId="77777777" w:rsidR="0065631A" w:rsidRPr="00B236B5" w:rsidRDefault="00B236B5">
            <w:pPr>
              <w:spacing w:after="120" w:line="240" w:lineRule="auto"/>
              <w:jc w:val="both"/>
              <w:rPr>
                <w:rStyle w:val="FormatvorlageInstructionsTabelleText"/>
                <w:rFonts w:ascii="Times New Roman" w:hAnsi="Times New Roman"/>
                <w:sz w:val="22"/>
              </w:rPr>
            </w:pPr>
            <w:r w:rsidRPr="00B236B5">
              <w:rPr>
                <w:rStyle w:val="FormatvorlageInstructionsTabelleText"/>
                <w:rFonts w:ascii="Times New Roman" w:hAnsi="Times New Roman"/>
                <w:sz w:val="22"/>
              </w:rPr>
              <w:t>Määruse (EL) nr 575/2013 artikkel 71</w:t>
            </w:r>
          </w:p>
          <w:p w14:paraId="1A372CD7" w14:textId="77777777" w:rsidR="0065631A" w:rsidRPr="00B236B5" w:rsidRDefault="00B236B5">
            <w:pPr>
              <w:pStyle w:val="CommentText"/>
              <w:rPr>
                <w:sz w:val="22"/>
                <w:szCs w:val="22"/>
              </w:rPr>
            </w:pPr>
            <w:r w:rsidRPr="00B236B5">
              <w:rPr>
                <w:rFonts w:ascii="Times New Roman" w:hAnsi="Times New Roman"/>
                <w:bCs/>
                <w:sz w:val="22"/>
                <w:szCs w:val="22"/>
              </w:rPr>
              <w:t>Kajastatakse ridade 0430–0520 kogusumma.</w:t>
            </w:r>
          </w:p>
        </w:tc>
      </w:tr>
      <w:tr w:rsidR="0065631A" w:rsidRPr="00B236B5" w14:paraId="117C7A47" w14:textId="77777777">
        <w:tc>
          <w:tcPr>
            <w:tcW w:w="1129" w:type="dxa"/>
          </w:tcPr>
          <w:p w14:paraId="4A776D0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29F60B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Täielikult sissemakstud otseemiteeritud kapitaliinstrumendid</w:t>
            </w:r>
          </w:p>
          <w:p w14:paraId="174D3F6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0985B80C" w14:textId="77777777" w:rsidR="0065631A" w:rsidRPr="00B236B5" w:rsidRDefault="00B236B5">
            <w:pPr>
              <w:pStyle w:val="InstructionsText"/>
              <w:rPr>
                <w:rStyle w:val="FormatvorlageInstructionsTabelleText"/>
                <w:rFonts w:ascii="Times New Roman" w:eastAsiaTheme="minorHAnsi" w:hAnsi="Times New Roman"/>
                <w:bCs/>
                <w:sz w:val="22"/>
                <w:szCs w:val="22"/>
              </w:rPr>
            </w:pPr>
            <w:r w:rsidRPr="00B236B5">
              <w:rPr>
                <w:rStyle w:val="FormatvorlageInstructionsTabelleText"/>
                <w:rFonts w:ascii="Times New Roman" w:hAnsi="Times New Roman"/>
                <w:sz w:val="22"/>
                <w:szCs w:val="22"/>
              </w:rPr>
              <w:t>Määruse (EL) nr 575/2013 artikli 62 punkt a ning artiklid 63–65</w:t>
            </w:r>
          </w:p>
          <w:p w14:paraId="69F25A3B"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Style w:val="FormatvorlageInstructionsTabelleText"/>
                <w:rFonts w:ascii="Times New Roman" w:hAnsi="Times New Roman"/>
                <w:sz w:val="22"/>
              </w:rPr>
              <w:t>Kajastatav summa ei hõlma instrumentidega seotud ülekurssi.</w:t>
            </w:r>
          </w:p>
        </w:tc>
      </w:tr>
      <w:tr w:rsidR="0065631A" w:rsidRPr="00B236B5" w14:paraId="08935715" w14:textId="77777777">
        <w:tc>
          <w:tcPr>
            <w:tcW w:w="1129" w:type="dxa"/>
          </w:tcPr>
          <w:p w14:paraId="6F6BBE6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374294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Ülekurss</w:t>
            </w:r>
          </w:p>
          <w:p w14:paraId="6A600A3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i</w:t>
            </w:r>
          </w:p>
          <w:p w14:paraId="0174CB22"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 xml:space="preserve">Määruse (EL) nr 575/2013 </w:t>
            </w:r>
            <w:r w:rsidRPr="00B236B5">
              <w:rPr>
                <w:rStyle w:val="FormatvorlageInstructionsTabelleText"/>
                <w:rFonts w:ascii="Times New Roman" w:hAnsi="Times New Roman"/>
                <w:sz w:val="22"/>
                <w:szCs w:val="22"/>
              </w:rPr>
              <w:t>artikli 62 punkt b ja artikkel 65</w:t>
            </w:r>
          </w:p>
          <w:p w14:paraId="78A18115" w14:textId="77777777" w:rsidR="0065631A" w:rsidRPr="00B236B5" w:rsidRDefault="00B236B5">
            <w:pPr>
              <w:pStyle w:val="InstructionsText"/>
              <w:rPr>
                <w:rStyle w:val="FormatvorlageInstructionsTabelleText"/>
                <w:rFonts w:ascii="Times New Roman" w:hAnsi="Times New Roman"/>
                <w:sz w:val="22"/>
                <w:szCs w:val="22"/>
              </w:rPr>
            </w:pPr>
            <w:r w:rsidRPr="00B236B5">
              <w:rPr>
                <w:rStyle w:val="FormatvorlageInstructionsTabelleText"/>
                <w:rFonts w:ascii="Times New Roman" w:hAnsi="Times New Roman"/>
                <w:sz w:val="22"/>
                <w:szCs w:val="22"/>
              </w:rPr>
              <w:t>Ülekurss on määratletud kohaldatavas raamatupidamistavas.</w:t>
            </w:r>
          </w:p>
          <w:p w14:paraId="66E20980" w14:textId="77777777" w:rsidR="0065631A" w:rsidRPr="00B236B5" w:rsidRDefault="00B236B5">
            <w:pPr>
              <w:pStyle w:val="InstructionsText"/>
              <w:rPr>
                <w:sz w:val="22"/>
                <w:szCs w:val="22"/>
              </w:rPr>
            </w:pPr>
            <w:r w:rsidRPr="00B236B5">
              <w:rPr>
                <w:rStyle w:val="FormatvorlageInstructionsTabelleText"/>
                <w:rFonts w:ascii="Times New Roman" w:hAnsi="Times New Roman"/>
                <w:sz w:val="22"/>
                <w:szCs w:val="22"/>
              </w:rPr>
              <w:t>Selles punktis kajastatav summa on kirjega „Täielikult sissemakstud otseemiteeritud kapitaliinstrumendid“ seotud osa.</w:t>
            </w:r>
          </w:p>
        </w:tc>
      </w:tr>
      <w:tr w:rsidR="0065631A" w:rsidRPr="00B236B5" w14:paraId="40C1D1B2" w14:textId="77777777">
        <w:tc>
          <w:tcPr>
            <w:tcW w:w="1129" w:type="dxa"/>
            <w:tcBorders>
              <w:top w:val="single" w:sz="4" w:space="0" w:color="auto"/>
              <w:bottom w:val="single" w:sz="4" w:space="0" w:color="auto"/>
            </w:tcBorders>
          </w:tcPr>
          <w:p w14:paraId="1780837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84046F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TEISE TASEME OMAVAHENDITEST TEHTUD M</w:t>
            </w:r>
            <w:r w:rsidRPr="00B236B5">
              <w:rPr>
                <w:rFonts w:ascii="Times New Roman" w:hAnsi="Times New Roman"/>
                <w:b/>
                <w:bCs/>
                <w:u w:val="single"/>
              </w:rPr>
              <w:t>AHAARVAMISED KOKKU</w:t>
            </w:r>
          </w:p>
          <w:p w14:paraId="14EF70A9"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Määruse (EL) nr 575/2013 artikkel 66</w:t>
            </w:r>
          </w:p>
        </w:tc>
      </w:tr>
      <w:tr w:rsidR="0065631A" w:rsidRPr="00B236B5" w14:paraId="7F861629" w14:textId="77777777">
        <w:tc>
          <w:tcPr>
            <w:tcW w:w="1129" w:type="dxa"/>
            <w:tcBorders>
              <w:top w:val="single" w:sz="4" w:space="0" w:color="auto"/>
            </w:tcBorders>
          </w:tcPr>
          <w:p w14:paraId="66966C6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3C8D9D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Teise taseme omavahendid: muud kapitalielemendid, mahaarvamised ja korrigeerimised</w:t>
            </w:r>
          </w:p>
          <w:p w14:paraId="3B592E8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See rida sisaldab asjakohasel juhul järgmiste kirjete summat:</w:t>
            </w:r>
          </w:p>
          <w:p w14:paraId="675B81DB"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 xml:space="preserve">üleminekusätetest tulenev </w:t>
            </w:r>
            <w:r w:rsidRPr="00B236B5">
              <w:rPr>
                <w:rFonts w:ascii="Times New Roman" w:hAnsi="Times New Roman"/>
                <w:bCs/>
              </w:rPr>
              <w:t>korrigeerimine seoses varasemalt kehtinud nõuete ajutise kohaldamisega teise taseme omavahenditesse kuuluvate instrumentide suhtes (määruse (EL) nr 575/2013 artikli 483 lõiked 6 ja 7 ning artiklid 484, 486, 488, 490 ja 491);</w:t>
            </w:r>
          </w:p>
          <w:p w14:paraId="3C9195F6"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tütarettevõtja emiteeritud in</w:t>
            </w:r>
            <w:r w:rsidRPr="00B236B5">
              <w:rPr>
                <w:rFonts w:ascii="Times New Roman" w:hAnsi="Times New Roman"/>
                <w:bCs/>
              </w:rPr>
              <w:t xml:space="preserve">strumendid, mis arvatakse teise taseme omavahendite hulka (määruse (EL) nr 575/2013 artiklid 83, 87 ja 88): </w:t>
            </w:r>
            <w:r w:rsidRPr="00B236B5">
              <w:rPr>
                <w:rFonts w:ascii="Times New Roman" w:hAnsi="Times New Roman"/>
                <w:bCs/>
              </w:rPr>
              <w:lastRenderedPageBreak/>
              <w:t>tütarettevõtjate kõigi kvalifitseeruvate omavahendite summa, mis arvatakse konsolideeritud teise taseme omavahendite hulka, sealhulgas eriotstarbeli</w:t>
            </w:r>
            <w:r w:rsidRPr="00B236B5">
              <w:rPr>
                <w:rFonts w:ascii="Times New Roman" w:hAnsi="Times New Roman"/>
                <w:bCs/>
              </w:rPr>
              <w:t>se ettevõtja emiteeritud kvalifitseeruvad teise taseme omavahendid (määruse (EL) nr 575/2013 artikkel 83);</w:t>
            </w:r>
          </w:p>
          <w:p w14:paraId="3832CB52"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üleminekusätetest tulenev korrigeerimine seoses tütarettevõtjate emiteeritud instrumentide täiendava kajastamisega teise taseme omavahendites (määr</w:t>
            </w:r>
            <w:r w:rsidRPr="00B236B5">
              <w:rPr>
                <w:rFonts w:ascii="Times New Roman" w:hAnsi="Times New Roman"/>
                <w:bCs/>
              </w:rPr>
              <w:t>use (EL) nr 575/2013 artikkel 480): üleminekusätetest tulenev korrigeerimine seoses kvalifitseeruvate omavahenditega, mis arvatakse konsolideeritud teise taseme omavahendite hulka;</w:t>
            </w:r>
          </w:p>
          <w:p w14:paraId="0FAED12C"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muud üleminekusätetest tulenevad teise taseme omavahendite korrigeerimise</w:t>
            </w:r>
            <w:r w:rsidRPr="00B236B5">
              <w:rPr>
                <w:rFonts w:ascii="Times New Roman" w:hAnsi="Times New Roman"/>
                <w:bCs/>
              </w:rPr>
              <w:t>d (määruse (EL) nr 575/2013 artiklid 472, 473a, 476, 477, 478 ja 481): üleminekusätetest tulenevate teise taseme omavahenditest tehtavate mahaarvamiste korrigeerimine;</w:t>
            </w:r>
          </w:p>
          <w:p w14:paraId="409B4A4B"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teise taseme omavahendite kirjetest tehtavate mahaarvamiste summa, mis ületab teise ta</w:t>
            </w:r>
            <w:r w:rsidRPr="00B236B5">
              <w:rPr>
                <w:rFonts w:ascii="Times New Roman" w:hAnsi="Times New Roman"/>
                <w:bCs/>
              </w:rPr>
              <w:t>seme omavahendeid ja mis arvatakse maha täiendavatest esimese taseme omavahenditest vastavalt määruse (EL) nr 575/2013 artikli 56 punktile e. Teise taseme põhiomavahendid ei saa olla negatiivsed, kuid on võimalik, et mahaarvamised teise taseme omavahendite</w:t>
            </w:r>
            <w:r w:rsidRPr="00B236B5">
              <w:rPr>
                <w:rFonts w:ascii="Times New Roman" w:hAnsi="Times New Roman"/>
                <w:bCs/>
              </w:rPr>
              <w:t xml:space="preserve"> kirjetest ületavad olemasolevate teise taseme omavahendite kirjete summat. Sel juhul kajastab see kirje summat, mida on vaja real 0420 kajastatud summa suurendamiseks nullini;</w:t>
            </w:r>
          </w:p>
          <w:p w14:paraId="207DF9C3" w14:textId="77777777" w:rsidR="0065631A" w:rsidRPr="00B236B5" w:rsidRDefault="00B236B5">
            <w:pPr>
              <w:spacing w:after="120" w:line="240" w:lineRule="auto"/>
              <w:ind w:left="360" w:hanging="360"/>
              <w:jc w:val="both"/>
              <w:rPr>
                <w:rFonts w:ascii="Times New Roman" w:eastAsia="Times New Roman" w:hAnsi="Times New Roman" w:cs="Times New Roman"/>
                <w:bCs/>
              </w:rPr>
            </w:pPr>
            <w:r w:rsidRPr="00B236B5">
              <w:rPr>
                <w:rFonts w:ascii="Times New Roman" w:eastAsia="Times New Roman" w:hAnsi="Times New Roman" w:cs="Times New Roman"/>
                <w:bCs/>
              </w:rPr>
              <w:t>—</w:t>
            </w:r>
            <w:r w:rsidRPr="00B236B5">
              <w:rPr>
                <w:rFonts w:ascii="Times New Roman" w:eastAsia="Times New Roman" w:hAnsi="Times New Roman" w:cs="Times New Roman"/>
                <w:bCs/>
              </w:rPr>
              <w:tab/>
            </w:r>
            <w:r w:rsidRPr="00B236B5">
              <w:rPr>
                <w:rFonts w:ascii="Times New Roman" w:hAnsi="Times New Roman"/>
                <w:bCs/>
              </w:rPr>
              <w:t>muud teise taseme omavahendite elemendid või mahaarvamised teise taseme omava</w:t>
            </w:r>
            <w:r w:rsidRPr="00B236B5">
              <w:rPr>
                <w:rFonts w:ascii="Times New Roman" w:hAnsi="Times New Roman"/>
                <w:bCs/>
              </w:rPr>
              <w:t>hendite elemendist, mida ei saa määrata ühele ridadest 0430–0450.</w:t>
            </w:r>
          </w:p>
          <w:p w14:paraId="1BE3718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Seda rida ei tohi kasutada selleks, et kaasata maksevõime suhtarvude arvutusse kapitalikirjeid või mahaarvamisi, mis ei ole hõlmatud määrusega (EL) </w:t>
            </w:r>
            <w:r w:rsidRPr="00B236B5">
              <w:rPr>
                <w:rFonts w:ascii="Times New Roman" w:hAnsi="Times New Roman"/>
                <w:bCs/>
              </w:rPr>
              <w:t>2019/2033</w:t>
            </w:r>
            <w:r w:rsidRPr="00B236B5">
              <w:rPr>
                <w:rFonts w:ascii="Times New Roman" w:hAnsi="Times New Roman"/>
                <w:bCs/>
              </w:rPr>
              <w:t xml:space="preserve"> või (EL) nr 575/2013.</w:t>
            </w:r>
          </w:p>
        </w:tc>
      </w:tr>
    </w:tbl>
    <w:p w14:paraId="560D1ADB" w14:textId="77777777" w:rsidR="0065631A" w:rsidRPr="00B236B5" w:rsidRDefault="00B236B5">
      <w:pPr>
        <w:pStyle w:val="Instructionsberschrift2"/>
        <w:ind w:left="357" w:hanging="357"/>
        <w:rPr>
          <w:rFonts w:ascii="Times New Roman" w:hAnsi="Times New Roman" w:cs="Times New Roman"/>
          <w:sz w:val="24"/>
          <w:u w:val="none"/>
        </w:rPr>
      </w:pPr>
      <w:bookmarkStart w:id="20" w:name="_Toc88215234"/>
      <w:r w:rsidRPr="00B236B5">
        <w:rPr>
          <w:rFonts w:ascii="Times New Roman" w:hAnsi="Times New Roman"/>
          <w:sz w:val="24"/>
          <w:u w:val="none"/>
        </w:rPr>
        <w:lastRenderedPageBreak/>
        <w:t>1.3</w:t>
      </w:r>
      <w:r w:rsidRPr="00B236B5">
        <w:rPr>
          <w:rFonts w:ascii="Times New Roman" w:hAnsi="Times New Roman"/>
          <w:sz w:val="24"/>
        </w:rPr>
        <w:t xml:space="preserve"> I </w:t>
      </w:r>
      <w:r w:rsidRPr="00B236B5">
        <w:rPr>
          <w:rFonts w:ascii="Times New Roman" w:hAnsi="Times New Roman"/>
          <w:sz w:val="24"/>
        </w:rPr>
        <w:t>02.03</w:t>
      </w:r>
      <w:r w:rsidRPr="00B236B5">
        <w:rPr>
          <w:rFonts w:ascii="Times New Roman" w:hAnsi="Times New Roman"/>
          <w:sz w:val="24"/>
        </w:rPr>
        <w:t xml:space="preserve"> – OMAVAHENDITE NÕUDED (I </w:t>
      </w:r>
      <w:r w:rsidRPr="00B236B5">
        <w:rPr>
          <w:rFonts w:ascii="Times New Roman" w:hAnsi="Times New Roman"/>
          <w:sz w:val="24"/>
        </w:rPr>
        <w:t>2.3</w:t>
      </w:r>
      <w:r w:rsidRPr="00B236B5">
        <w:rPr>
          <w:rFonts w:ascii="Times New Roman" w:hAnsi="Times New Roman"/>
          <w:sz w:val="24"/>
        </w:rPr>
        <w:t>)</w:t>
      </w:r>
      <w:bookmarkEnd w:id="20"/>
    </w:p>
    <w:p w14:paraId="4FCC160E" w14:textId="77777777" w:rsidR="0065631A" w:rsidRPr="00B236B5" w:rsidRDefault="00B236B5">
      <w:pPr>
        <w:keepNext/>
        <w:spacing w:before="240" w:after="240" w:line="240" w:lineRule="auto"/>
        <w:ind w:left="357" w:hanging="357"/>
        <w:jc w:val="both"/>
        <w:outlineLvl w:val="1"/>
        <w:rPr>
          <w:rFonts w:ascii="Times New Roman" w:eastAsia="Arial" w:hAnsi="Times New Roman" w:cs="Times New Roman"/>
          <w:u w:val="single"/>
        </w:rPr>
      </w:pPr>
      <w:bookmarkStart w:id="21" w:name="_Toc88215235"/>
      <w:r w:rsidRPr="00B236B5">
        <w:rPr>
          <w:rFonts w:ascii="Times New Roman" w:hAnsi="Times New Roman"/>
          <w:sz w:val="24"/>
          <w:szCs w:val="24"/>
        </w:rPr>
        <w:t>1.3.1.</w:t>
      </w:r>
      <w:r w:rsidRPr="00B236B5">
        <w:tab/>
      </w:r>
      <w:r w:rsidRPr="00B236B5">
        <w:rPr>
          <w:rFonts w:ascii="Times New Roman" w:hAnsi="Times New Roman"/>
          <w:sz w:val="24"/>
          <w:szCs w:val="24"/>
          <w:u w:val="single"/>
        </w:rPr>
        <w:t xml:space="preserve">Juhised </w:t>
      </w:r>
      <w:r w:rsidRPr="00B236B5">
        <w:rPr>
          <w:rFonts w:ascii="Times New Roman" w:hAnsi="Times New Roman"/>
          <w:u w:val="single"/>
        </w:rPr>
        <w:t>konkreetsete kirjete kohta</w:t>
      </w:r>
      <w:bookmarkEnd w:id="2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5631A" w:rsidRPr="00B236B5" w14:paraId="1BFCCAB9" w14:textId="77777777">
        <w:tc>
          <w:tcPr>
            <w:tcW w:w="1129" w:type="dxa"/>
            <w:shd w:val="clear" w:color="auto" w:fill="D9D9D9"/>
          </w:tcPr>
          <w:p w14:paraId="6376F066"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Rida</w:t>
            </w:r>
          </w:p>
        </w:tc>
        <w:tc>
          <w:tcPr>
            <w:tcW w:w="7620" w:type="dxa"/>
            <w:shd w:val="clear" w:color="auto" w:fill="D9D9D9"/>
          </w:tcPr>
          <w:p w14:paraId="64F166A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Viited õigussätetele ja juhised</w:t>
            </w:r>
          </w:p>
        </w:tc>
      </w:tr>
      <w:tr w:rsidR="0065631A" w:rsidRPr="00B236B5" w14:paraId="151D5963" w14:textId="77777777">
        <w:tc>
          <w:tcPr>
            <w:tcW w:w="1129" w:type="dxa"/>
          </w:tcPr>
          <w:p w14:paraId="4BF9E6C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0010</w:t>
            </w:r>
          </w:p>
        </w:tc>
        <w:tc>
          <w:tcPr>
            <w:tcW w:w="7620" w:type="dxa"/>
          </w:tcPr>
          <w:p w14:paraId="4D18779A"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Omavahendite nõue</w:t>
            </w:r>
          </w:p>
          <w:p w14:paraId="3EB1381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11 lõiked 1 ja 2</w:t>
            </w:r>
          </w:p>
          <w:p w14:paraId="2FC0DE4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See kirje on ridade 0020 ja 0030 kogusumma.</w:t>
            </w:r>
          </w:p>
        </w:tc>
      </w:tr>
      <w:tr w:rsidR="0065631A" w:rsidRPr="00B236B5" w14:paraId="2D397363" w14:textId="77777777">
        <w:tc>
          <w:tcPr>
            <w:tcW w:w="1129" w:type="dxa"/>
          </w:tcPr>
          <w:p w14:paraId="21FAF8E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0020</w:t>
            </w:r>
          </w:p>
        </w:tc>
        <w:tc>
          <w:tcPr>
            <w:tcW w:w="7620" w:type="dxa"/>
          </w:tcPr>
          <w:p w14:paraId="342B191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Püsiv </w:t>
            </w:r>
            <w:r w:rsidRPr="00B236B5">
              <w:rPr>
                <w:rFonts w:ascii="Times New Roman" w:hAnsi="Times New Roman"/>
                <w:b/>
                <w:bCs/>
                <w:u w:val="single"/>
              </w:rPr>
              <w:t>miinimumkapitalinõue</w:t>
            </w:r>
          </w:p>
          <w:p w14:paraId="746DA3FF"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artikkel 14</w:t>
            </w:r>
          </w:p>
        </w:tc>
      </w:tr>
      <w:tr w:rsidR="0065631A" w:rsidRPr="00B236B5" w14:paraId="63930DBB" w14:textId="77777777">
        <w:tc>
          <w:tcPr>
            <w:tcW w:w="1129" w:type="dxa"/>
          </w:tcPr>
          <w:p w14:paraId="100C5949"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0030</w:t>
            </w:r>
          </w:p>
        </w:tc>
        <w:tc>
          <w:tcPr>
            <w:tcW w:w="7620" w:type="dxa"/>
          </w:tcPr>
          <w:p w14:paraId="44CA017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Püsivate üldkulude nõue</w:t>
            </w:r>
          </w:p>
          <w:p w14:paraId="14A6F1B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artikkel 13</w:t>
            </w:r>
          </w:p>
        </w:tc>
      </w:tr>
      <w:tr w:rsidR="0065631A" w:rsidRPr="00B236B5" w14:paraId="50A84582" w14:textId="77777777">
        <w:tc>
          <w:tcPr>
            <w:tcW w:w="1129" w:type="dxa"/>
          </w:tcPr>
          <w:p w14:paraId="1B82B77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0050 – 0090 </w:t>
            </w:r>
          </w:p>
        </w:tc>
        <w:tc>
          <w:tcPr>
            <w:tcW w:w="7620" w:type="dxa"/>
          </w:tcPr>
          <w:p w14:paraId="00C6409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Omavahendite üleminekunõuded</w:t>
            </w:r>
          </w:p>
        </w:tc>
      </w:tr>
      <w:tr w:rsidR="0065631A" w:rsidRPr="00B236B5" w14:paraId="25E3DC2F" w14:textId="77777777">
        <w:tc>
          <w:tcPr>
            <w:tcW w:w="1129" w:type="dxa"/>
          </w:tcPr>
          <w:p w14:paraId="627F5A9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0050</w:t>
            </w:r>
          </w:p>
        </w:tc>
        <w:tc>
          <w:tcPr>
            <w:tcW w:w="7620" w:type="dxa"/>
          </w:tcPr>
          <w:p w14:paraId="4AC3AB19"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Määruse (EL) nr 575/2013 kohastel omavahendite nõuetel põhinev </w:t>
            </w:r>
            <w:r w:rsidRPr="00B236B5">
              <w:rPr>
                <w:rFonts w:ascii="Times New Roman" w:hAnsi="Times New Roman"/>
                <w:b/>
                <w:bCs/>
                <w:u w:val="single"/>
              </w:rPr>
              <w:t>üleminekunõue</w:t>
            </w:r>
          </w:p>
          <w:p w14:paraId="4F87C02A"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57 lõike 3 punkt a</w:t>
            </w:r>
          </w:p>
        </w:tc>
      </w:tr>
      <w:tr w:rsidR="0065631A" w:rsidRPr="00B236B5" w14:paraId="336B4A46" w14:textId="77777777">
        <w:tc>
          <w:tcPr>
            <w:tcW w:w="1129" w:type="dxa"/>
          </w:tcPr>
          <w:p w14:paraId="3182B12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0060</w:t>
            </w:r>
          </w:p>
        </w:tc>
        <w:tc>
          <w:tcPr>
            <w:tcW w:w="7620" w:type="dxa"/>
          </w:tcPr>
          <w:p w14:paraId="7DD2A98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Püsivate üldkulude nõudel põhinev üleminekunõue</w:t>
            </w:r>
          </w:p>
          <w:p w14:paraId="15BDF4F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57 lõike 3 punkt b</w:t>
            </w:r>
          </w:p>
        </w:tc>
      </w:tr>
      <w:tr w:rsidR="0065631A" w:rsidRPr="00B236B5" w14:paraId="6BCDF692" w14:textId="77777777">
        <w:tc>
          <w:tcPr>
            <w:tcW w:w="1129" w:type="dxa"/>
          </w:tcPr>
          <w:p w14:paraId="360D2F2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0070</w:t>
            </w:r>
          </w:p>
        </w:tc>
        <w:tc>
          <w:tcPr>
            <w:tcW w:w="7620" w:type="dxa"/>
          </w:tcPr>
          <w:p w14:paraId="32D6CF3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Üleminekunõue investeerimisühingute puhul, kelle suhtes kohaldati varem ainult alg</w:t>
            </w:r>
            <w:r w:rsidRPr="00B236B5">
              <w:rPr>
                <w:rFonts w:ascii="Times New Roman" w:hAnsi="Times New Roman"/>
                <w:b/>
                <w:bCs/>
                <w:u w:val="single"/>
              </w:rPr>
              <w:t>kapitalinõuet</w:t>
            </w:r>
          </w:p>
          <w:p w14:paraId="75D79DCF"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57 lõike 4 punkt a</w:t>
            </w:r>
          </w:p>
        </w:tc>
      </w:tr>
      <w:tr w:rsidR="0065631A" w:rsidRPr="00B236B5" w14:paraId="6980B48A" w14:textId="77777777">
        <w:tc>
          <w:tcPr>
            <w:tcW w:w="1129" w:type="dxa"/>
          </w:tcPr>
          <w:p w14:paraId="5779404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0080</w:t>
            </w:r>
          </w:p>
        </w:tc>
        <w:tc>
          <w:tcPr>
            <w:tcW w:w="7620" w:type="dxa"/>
          </w:tcPr>
          <w:p w14:paraId="61A43D7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Üleminekunõue, mis põhineb algkapitalinõudel tegevusloa saamise ajal</w:t>
            </w:r>
          </w:p>
          <w:p w14:paraId="74D6A4E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57 lõike 4 punkt b</w:t>
            </w:r>
          </w:p>
        </w:tc>
      </w:tr>
      <w:tr w:rsidR="0065631A" w:rsidRPr="00B236B5" w14:paraId="17A304C6" w14:textId="77777777">
        <w:tc>
          <w:tcPr>
            <w:tcW w:w="1129" w:type="dxa"/>
          </w:tcPr>
          <w:p w14:paraId="099AF9C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0090</w:t>
            </w:r>
          </w:p>
        </w:tc>
        <w:tc>
          <w:tcPr>
            <w:tcW w:w="7620" w:type="dxa"/>
          </w:tcPr>
          <w:p w14:paraId="196C695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Üleminekunõue investeerimisühingute puhul, kellel ei ole </w:t>
            </w:r>
            <w:r w:rsidRPr="00B236B5">
              <w:rPr>
                <w:rFonts w:ascii="Times New Roman" w:hAnsi="Times New Roman"/>
                <w:b/>
                <w:bCs/>
                <w:u w:val="single"/>
              </w:rPr>
              <w:t>luba osutada teatavaid teenuseid</w:t>
            </w:r>
          </w:p>
          <w:p w14:paraId="6F11C44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57 lõike 4 punkt c</w:t>
            </w:r>
          </w:p>
        </w:tc>
      </w:tr>
      <w:tr w:rsidR="0065631A" w:rsidRPr="00B236B5" w14:paraId="76F57FFB" w14:textId="77777777">
        <w:tc>
          <w:tcPr>
            <w:tcW w:w="1129" w:type="dxa"/>
          </w:tcPr>
          <w:p w14:paraId="63FAEFE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0110 – 0130</w:t>
            </w:r>
          </w:p>
        </w:tc>
        <w:tc>
          <w:tcPr>
            <w:tcW w:w="7620" w:type="dxa"/>
          </w:tcPr>
          <w:p w14:paraId="2CD15D5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Memokirjed</w:t>
            </w:r>
          </w:p>
        </w:tc>
      </w:tr>
      <w:tr w:rsidR="0065631A" w:rsidRPr="00B236B5" w14:paraId="3C054BB8" w14:textId="77777777">
        <w:tc>
          <w:tcPr>
            <w:tcW w:w="1129" w:type="dxa"/>
            <w:tcBorders>
              <w:top w:val="single" w:sz="4" w:space="0" w:color="auto"/>
              <w:left w:val="single" w:sz="4" w:space="0" w:color="auto"/>
              <w:bottom w:val="single" w:sz="4" w:space="0" w:color="auto"/>
              <w:right w:val="single" w:sz="4" w:space="0" w:color="auto"/>
            </w:tcBorders>
          </w:tcPr>
          <w:p w14:paraId="433BA9A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62E96ED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Täiendavate omavahendite nõue</w:t>
            </w:r>
          </w:p>
          <w:p w14:paraId="304D5CB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Direktiivi (EL) </w:t>
            </w:r>
            <w:r w:rsidRPr="00B236B5">
              <w:rPr>
                <w:rFonts w:ascii="Times New Roman" w:hAnsi="Times New Roman"/>
                <w:bCs/>
              </w:rPr>
              <w:t>2019/2034</w:t>
            </w:r>
            <w:r w:rsidRPr="00B236B5">
              <w:rPr>
                <w:rFonts w:ascii="Times New Roman" w:hAnsi="Times New Roman"/>
                <w:bCs/>
              </w:rPr>
              <w:t xml:space="preserve"> artikkel 40</w:t>
            </w:r>
          </w:p>
          <w:p w14:paraId="22EB6819"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Järelevalvelise läbivaatamise ja hindamise protsessi tulemusel nõutavad täi</w:t>
            </w:r>
            <w:r w:rsidRPr="00B236B5">
              <w:rPr>
                <w:rFonts w:ascii="Times New Roman" w:hAnsi="Times New Roman"/>
                <w:bCs/>
              </w:rPr>
              <w:t>endavad omavahendid.</w:t>
            </w:r>
            <w:r w:rsidRPr="00B236B5">
              <w:rPr>
                <w:rFonts w:ascii="Times New Roman" w:hAnsi="Times New Roman"/>
                <w:b/>
                <w:bCs/>
                <w:u w:val="single"/>
              </w:rPr>
              <w:t xml:space="preserve"> </w:t>
            </w:r>
          </w:p>
        </w:tc>
      </w:tr>
      <w:tr w:rsidR="0065631A" w:rsidRPr="00B236B5" w14:paraId="2A694E05" w14:textId="77777777">
        <w:tc>
          <w:tcPr>
            <w:tcW w:w="1129" w:type="dxa"/>
            <w:tcBorders>
              <w:top w:val="single" w:sz="4" w:space="0" w:color="auto"/>
              <w:left w:val="single" w:sz="4" w:space="0" w:color="auto"/>
              <w:bottom w:val="single" w:sz="4" w:space="0" w:color="auto"/>
              <w:right w:val="single" w:sz="4" w:space="0" w:color="auto"/>
            </w:tcBorders>
          </w:tcPr>
          <w:p w14:paraId="3236940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72D8D31C"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Omavahendite kogunõue</w:t>
            </w:r>
          </w:p>
          <w:p w14:paraId="0327D6D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Investeerimisühingu omavahendite kogunõue võrdub aruandekuupäeval kehtivate omavahendite nõuete, real 0110 kajastatud täiendavate omavahendite nõude ja real 0120 kajastatud täiendavate </w:t>
            </w:r>
            <w:r w:rsidRPr="00B236B5">
              <w:rPr>
                <w:rFonts w:ascii="Times New Roman" w:hAnsi="Times New Roman"/>
                <w:bCs/>
              </w:rPr>
              <w:t>omavahendite suunise summaga.</w:t>
            </w:r>
          </w:p>
        </w:tc>
      </w:tr>
    </w:tbl>
    <w:p w14:paraId="24E2E8D7" w14:textId="77777777" w:rsidR="0065631A" w:rsidRPr="00B236B5" w:rsidRDefault="00B236B5">
      <w:pPr>
        <w:pStyle w:val="Instructionsberschrift2"/>
        <w:ind w:left="357" w:hanging="357"/>
        <w:rPr>
          <w:rFonts w:ascii="Times New Roman" w:hAnsi="Times New Roman" w:cs="Times New Roman"/>
          <w:sz w:val="24"/>
        </w:rPr>
      </w:pPr>
      <w:bookmarkStart w:id="22" w:name="_Toc88215236"/>
      <w:r w:rsidRPr="00B236B5">
        <w:rPr>
          <w:rFonts w:ascii="Times New Roman" w:hAnsi="Times New Roman"/>
          <w:sz w:val="24"/>
        </w:rPr>
        <w:t>1.4.</w:t>
      </w:r>
      <w:r w:rsidRPr="00B236B5">
        <w:rPr>
          <w:rFonts w:ascii="Times New Roman" w:hAnsi="Times New Roman"/>
          <w:sz w:val="24"/>
        </w:rPr>
        <w:t xml:space="preserve"> I </w:t>
      </w:r>
      <w:r w:rsidRPr="00B236B5">
        <w:rPr>
          <w:rFonts w:ascii="Times New Roman" w:hAnsi="Times New Roman"/>
          <w:sz w:val="24"/>
        </w:rPr>
        <w:t>02.04</w:t>
      </w:r>
      <w:r w:rsidRPr="00B236B5">
        <w:rPr>
          <w:rFonts w:ascii="Times New Roman" w:hAnsi="Times New Roman"/>
          <w:sz w:val="24"/>
        </w:rPr>
        <w:t xml:space="preserve"> – OMAVAHENDITE SUHTARVUD (I </w:t>
      </w:r>
      <w:r w:rsidRPr="00B236B5">
        <w:rPr>
          <w:rFonts w:ascii="Times New Roman" w:hAnsi="Times New Roman"/>
          <w:sz w:val="24"/>
        </w:rPr>
        <w:t>2.4</w:t>
      </w:r>
      <w:r w:rsidRPr="00B236B5">
        <w:rPr>
          <w:rFonts w:ascii="Times New Roman" w:hAnsi="Times New Roman"/>
          <w:sz w:val="24"/>
        </w:rPr>
        <w:t>)</w:t>
      </w:r>
      <w:bookmarkEnd w:id="22"/>
    </w:p>
    <w:p w14:paraId="300B547A" w14:textId="77777777" w:rsidR="0065631A" w:rsidRPr="00B236B5" w:rsidRDefault="00B236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3" w:name="_Toc88215237"/>
      <w:r w:rsidRPr="00B236B5">
        <w:rPr>
          <w:rFonts w:ascii="Times New Roman" w:hAnsi="Times New Roman"/>
          <w:sz w:val="24"/>
          <w:szCs w:val="24"/>
        </w:rPr>
        <w:t>1.4.1.</w:t>
      </w:r>
      <w:r w:rsidRPr="00B236B5">
        <w:tab/>
      </w:r>
      <w:r w:rsidRPr="00B236B5">
        <w:rPr>
          <w:rFonts w:ascii="Times New Roman" w:hAnsi="Times New Roman"/>
          <w:sz w:val="24"/>
          <w:szCs w:val="24"/>
          <w:u w:val="single"/>
        </w:rPr>
        <w:t>Juhised konkreetsete kirjete kohta</w:t>
      </w:r>
      <w:bookmarkEnd w:id="2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5631A" w:rsidRPr="00B236B5" w14:paraId="2E5E2E87" w14:textId="77777777">
        <w:tc>
          <w:tcPr>
            <w:tcW w:w="1129" w:type="dxa"/>
            <w:shd w:val="clear" w:color="auto" w:fill="D9D9D9"/>
          </w:tcPr>
          <w:p w14:paraId="3DB4940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Rida</w:t>
            </w:r>
          </w:p>
        </w:tc>
        <w:tc>
          <w:tcPr>
            <w:tcW w:w="7620" w:type="dxa"/>
            <w:shd w:val="clear" w:color="auto" w:fill="D9D9D9"/>
          </w:tcPr>
          <w:p w14:paraId="539FA3D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Viited õigussätetele ja juhised</w:t>
            </w:r>
          </w:p>
        </w:tc>
      </w:tr>
      <w:tr w:rsidR="0065631A" w:rsidRPr="00B236B5" w14:paraId="47FD6845" w14:textId="77777777">
        <w:tc>
          <w:tcPr>
            <w:tcW w:w="1129" w:type="dxa"/>
          </w:tcPr>
          <w:p w14:paraId="6E2BB15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0010</w:t>
            </w:r>
          </w:p>
        </w:tc>
        <w:tc>
          <w:tcPr>
            <w:tcW w:w="7620" w:type="dxa"/>
          </w:tcPr>
          <w:p w14:paraId="1D3EDDE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põhiomavahendite suhtarv</w:t>
            </w:r>
          </w:p>
          <w:p w14:paraId="0FD2A5A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a ning artikli 11 lõiked 1 ja 2</w:t>
            </w:r>
          </w:p>
          <w:p w14:paraId="1F2ACCB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Seda kirjet väljendatakse protsendina.</w:t>
            </w:r>
          </w:p>
        </w:tc>
      </w:tr>
      <w:tr w:rsidR="0065631A" w:rsidRPr="00B236B5" w14:paraId="3474E3D6" w14:textId="77777777">
        <w:tc>
          <w:tcPr>
            <w:tcW w:w="1129" w:type="dxa"/>
          </w:tcPr>
          <w:p w14:paraId="5F95F156"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0020</w:t>
            </w:r>
          </w:p>
        </w:tc>
        <w:tc>
          <w:tcPr>
            <w:tcW w:w="7620" w:type="dxa"/>
          </w:tcPr>
          <w:p w14:paraId="16585B0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põhiomavahendite ülejääk (+)/puudujääk (–)</w:t>
            </w:r>
          </w:p>
          <w:p w14:paraId="56A87C12"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Sellel kirjel kajastatakse esimese taseme põhiomavahendite ülejääki või puudujääki, mis on seotu</w:t>
            </w:r>
            <w:r w:rsidRPr="00B236B5">
              <w:rPr>
                <w:rFonts w:ascii="Times New Roman" w:hAnsi="Times New Roman"/>
              </w:rPr>
              <w:t xml:space="preserve">d määruse (EL) </w:t>
            </w:r>
            <w:r w:rsidRPr="00B236B5">
              <w:rPr>
                <w:rFonts w:ascii="Times New Roman" w:hAnsi="Times New Roman"/>
              </w:rPr>
              <w:t>2019/2033</w:t>
            </w:r>
            <w:r w:rsidRPr="00B236B5">
              <w:rPr>
                <w:rFonts w:ascii="Times New Roman" w:hAnsi="Times New Roman"/>
              </w:rPr>
              <w:t xml:space="preserve"> artikli 9 lõikes 1 sätestatud nõudega.</w:t>
            </w:r>
          </w:p>
          <w:p w14:paraId="18ACB3A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 xml:space="preserve">Selle kirje puhul ei võeta arvesse määruse (EL) </w:t>
            </w:r>
            <w:r w:rsidRPr="00B236B5">
              <w:rPr>
                <w:rFonts w:ascii="Times New Roman" w:hAnsi="Times New Roman"/>
              </w:rPr>
              <w:t>2019/2033</w:t>
            </w:r>
            <w:r w:rsidRPr="00B236B5">
              <w:rPr>
                <w:rFonts w:ascii="Times New Roman" w:hAnsi="Times New Roman"/>
              </w:rPr>
              <w:t xml:space="preserve"> artikli 57 lõigete 3 ja 4 üleminekusätteid.</w:t>
            </w:r>
          </w:p>
        </w:tc>
      </w:tr>
      <w:tr w:rsidR="0065631A" w:rsidRPr="00B236B5" w14:paraId="4BD56A50" w14:textId="77777777">
        <w:tc>
          <w:tcPr>
            <w:tcW w:w="1129" w:type="dxa"/>
          </w:tcPr>
          <w:p w14:paraId="03555E3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0030</w:t>
            </w:r>
          </w:p>
        </w:tc>
        <w:tc>
          <w:tcPr>
            <w:tcW w:w="7620" w:type="dxa"/>
          </w:tcPr>
          <w:p w14:paraId="7D0D074C"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omavahendite suhtarv</w:t>
            </w:r>
          </w:p>
          <w:p w14:paraId="77DDF73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9 lõike 1 punkt b ning artikli 11 lõiked 1 ja 2</w:t>
            </w:r>
          </w:p>
          <w:p w14:paraId="19617BC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Seda kirjet väljendatakse protsendina.</w:t>
            </w:r>
          </w:p>
        </w:tc>
      </w:tr>
      <w:tr w:rsidR="0065631A" w:rsidRPr="00B236B5" w14:paraId="1CFB4E2F" w14:textId="77777777">
        <w:tc>
          <w:tcPr>
            <w:tcW w:w="1129" w:type="dxa"/>
          </w:tcPr>
          <w:p w14:paraId="555C58A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0040</w:t>
            </w:r>
          </w:p>
        </w:tc>
        <w:tc>
          <w:tcPr>
            <w:tcW w:w="7620" w:type="dxa"/>
          </w:tcPr>
          <w:p w14:paraId="52C2C7FA"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Esimese taseme omavahendite ülejääk (+)/puudujääk (–)</w:t>
            </w:r>
          </w:p>
          <w:p w14:paraId="157EA793"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Sellel kirjel kajastatakse esimese taseme omavahendite ülejääki või puudujääki, mis on seotud määrus</w:t>
            </w:r>
            <w:r w:rsidRPr="00B236B5">
              <w:rPr>
                <w:rFonts w:ascii="Times New Roman" w:hAnsi="Times New Roman"/>
              </w:rPr>
              <w:t xml:space="preserve">e (EL) </w:t>
            </w:r>
            <w:r w:rsidRPr="00B236B5">
              <w:rPr>
                <w:rFonts w:ascii="Times New Roman" w:hAnsi="Times New Roman"/>
              </w:rPr>
              <w:t>2019/2033</w:t>
            </w:r>
            <w:r w:rsidRPr="00B236B5">
              <w:rPr>
                <w:rFonts w:ascii="Times New Roman" w:hAnsi="Times New Roman"/>
              </w:rPr>
              <w:t xml:space="preserve"> artikli 9 lõikes 1 sätestatud nõudega.</w:t>
            </w:r>
          </w:p>
          <w:p w14:paraId="36EF7F8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 xml:space="preserve">Selle kirje puhul ei võeta arvesse määruse (EL) </w:t>
            </w:r>
            <w:r w:rsidRPr="00B236B5">
              <w:rPr>
                <w:rFonts w:ascii="Times New Roman" w:hAnsi="Times New Roman"/>
              </w:rPr>
              <w:t>2019/2033</w:t>
            </w:r>
            <w:r w:rsidRPr="00B236B5">
              <w:rPr>
                <w:rFonts w:ascii="Times New Roman" w:hAnsi="Times New Roman"/>
              </w:rPr>
              <w:t xml:space="preserve"> artikli 57 lõigete 3 ja 4 üleminekusätteid.</w:t>
            </w:r>
          </w:p>
        </w:tc>
      </w:tr>
      <w:tr w:rsidR="0065631A" w:rsidRPr="00B236B5" w14:paraId="102553FA" w14:textId="77777777">
        <w:tc>
          <w:tcPr>
            <w:tcW w:w="1129" w:type="dxa"/>
          </w:tcPr>
          <w:p w14:paraId="6FF31E2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0050</w:t>
            </w:r>
          </w:p>
        </w:tc>
        <w:tc>
          <w:tcPr>
            <w:tcW w:w="7620" w:type="dxa"/>
          </w:tcPr>
          <w:p w14:paraId="5CD82657"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Omavahendite suhtarv</w:t>
            </w:r>
          </w:p>
          <w:p w14:paraId="6B43BAB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 xml:space="preserve">Määruse (EL) </w:t>
            </w:r>
            <w:r w:rsidRPr="00B236B5">
              <w:rPr>
                <w:rFonts w:ascii="Times New Roman" w:hAnsi="Times New Roman"/>
                <w:bCs/>
              </w:rPr>
              <w:t>2019/2033</w:t>
            </w:r>
            <w:r w:rsidRPr="00B236B5">
              <w:rPr>
                <w:rFonts w:ascii="Times New Roman" w:hAnsi="Times New Roman"/>
                <w:bCs/>
              </w:rPr>
              <w:t xml:space="preserve"> artikli 9 lõike 1 punkt c ning artikli 11 lõiked</w:t>
            </w:r>
            <w:r w:rsidRPr="00B236B5">
              <w:rPr>
                <w:rFonts w:ascii="Times New Roman" w:hAnsi="Times New Roman"/>
                <w:bCs/>
              </w:rPr>
              <w:t> 1 ja 2</w:t>
            </w:r>
          </w:p>
          <w:p w14:paraId="205FA40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Seda kirjet väljendatakse protsendina.</w:t>
            </w:r>
          </w:p>
        </w:tc>
      </w:tr>
      <w:tr w:rsidR="0065631A" w:rsidRPr="00B236B5" w14:paraId="7516AA54" w14:textId="77777777">
        <w:tc>
          <w:tcPr>
            <w:tcW w:w="1129" w:type="dxa"/>
          </w:tcPr>
          <w:p w14:paraId="03135BB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0060</w:t>
            </w:r>
          </w:p>
        </w:tc>
        <w:tc>
          <w:tcPr>
            <w:tcW w:w="7620" w:type="dxa"/>
          </w:tcPr>
          <w:p w14:paraId="18B2304F"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Koguomavahendite ülejääk (+)/puudujääk (-)</w:t>
            </w:r>
          </w:p>
          <w:p w14:paraId="06F3FC5B"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 xml:space="preserve">Sellel kirjel kajastatakse omavahendite ülejääki või puudujääki, mis on seotud määruse (EL) </w:t>
            </w:r>
            <w:r w:rsidRPr="00B236B5">
              <w:rPr>
                <w:rFonts w:ascii="Times New Roman" w:hAnsi="Times New Roman"/>
              </w:rPr>
              <w:t>2019/2033</w:t>
            </w:r>
            <w:r w:rsidRPr="00B236B5">
              <w:rPr>
                <w:rFonts w:ascii="Times New Roman" w:hAnsi="Times New Roman"/>
              </w:rPr>
              <w:t xml:space="preserve"> artikli 9 lõikes 1 sätestatud nõudega.</w:t>
            </w:r>
          </w:p>
          <w:p w14:paraId="5924D54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rPr>
              <w:t xml:space="preserve">Selle kirje puhul ei võeta arvesse määruse (EL) </w:t>
            </w:r>
            <w:r w:rsidRPr="00B236B5">
              <w:rPr>
                <w:rFonts w:ascii="Times New Roman" w:hAnsi="Times New Roman"/>
              </w:rPr>
              <w:t>2019/2033</w:t>
            </w:r>
            <w:r w:rsidRPr="00B236B5">
              <w:rPr>
                <w:rFonts w:ascii="Times New Roman" w:hAnsi="Times New Roman"/>
              </w:rPr>
              <w:t xml:space="preserve"> artikli 57 lõigete 3 ja 4 üleminekusätteid.</w:t>
            </w:r>
          </w:p>
        </w:tc>
      </w:tr>
    </w:tbl>
    <w:p w14:paraId="019158CC" w14:textId="77777777" w:rsidR="0065631A" w:rsidRPr="00B236B5" w:rsidRDefault="0065631A">
      <w:pPr>
        <w:pStyle w:val="Instructionsberschrift2"/>
        <w:ind w:left="357" w:hanging="357"/>
        <w:rPr>
          <w:rFonts w:ascii="Times New Roman" w:hAnsi="Times New Roman" w:cs="Times New Roman"/>
          <w:sz w:val="24"/>
        </w:rPr>
      </w:pPr>
    </w:p>
    <w:p w14:paraId="40083C63" w14:textId="77777777" w:rsidR="0065631A" w:rsidRPr="00B236B5" w:rsidRDefault="00B236B5">
      <w:pPr>
        <w:pStyle w:val="Instructionsberschrift2"/>
        <w:ind w:left="357" w:hanging="357"/>
        <w:rPr>
          <w:rFonts w:ascii="Times New Roman" w:hAnsi="Times New Roman" w:cs="Times New Roman"/>
          <w:sz w:val="24"/>
        </w:rPr>
      </w:pPr>
      <w:bookmarkStart w:id="24" w:name="_Toc88215238"/>
      <w:r w:rsidRPr="00B236B5">
        <w:rPr>
          <w:rFonts w:ascii="Times New Roman" w:hAnsi="Times New Roman"/>
          <w:sz w:val="24"/>
        </w:rPr>
        <w:t>1.5.</w:t>
      </w:r>
      <w:r w:rsidRPr="00B236B5">
        <w:rPr>
          <w:rFonts w:ascii="Times New Roman" w:hAnsi="Times New Roman"/>
          <w:sz w:val="24"/>
        </w:rPr>
        <w:t xml:space="preserve"> I </w:t>
      </w:r>
      <w:r w:rsidRPr="00B236B5">
        <w:rPr>
          <w:rFonts w:ascii="Times New Roman" w:hAnsi="Times New Roman"/>
          <w:sz w:val="24"/>
        </w:rPr>
        <w:t>03.01</w:t>
      </w:r>
      <w:r w:rsidRPr="00B236B5">
        <w:rPr>
          <w:rFonts w:ascii="Times New Roman" w:hAnsi="Times New Roman"/>
          <w:sz w:val="24"/>
        </w:rPr>
        <w:t xml:space="preserve"> – PÜSIVATE ÜLDKULUDE NÕUDE ARVUTAMINE (I </w:t>
      </w:r>
      <w:r w:rsidRPr="00B236B5">
        <w:rPr>
          <w:rFonts w:ascii="Times New Roman" w:hAnsi="Times New Roman"/>
          <w:sz w:val="24"/>
        </w:rPr>
        <w:t>3.1</w:t>
      </w:r>
      <w:r w:rsidRPr="00B236B5">
        <w:rPr>
          <w:rFonts w:ascii="Times New Roman" w:hAnsi="Times New Roman"/>
          <w:sz w:val="24"/>
        </w:rPr>
        <w:t>)</w:t>
      </w:r>
      <w:bookmarkEnd w:id="2"/>
      <w:bookmarkEnd w:id="3"/>
      <w:bookmarkEnd w:id="24"/>
      <w:bookmarkEnd w:id="4"/>
      <w:bookmarkEnd w:id="5"/>
    </w:p>
    <w:p w14:paraId="1701773D" w14:textId="77777777" w:rsidR="0065631A" w:rsidRPr="00B236B5" w:rsidRDefault="00B236B5">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5" w:name="_Toc360188326"/>
      <w:bookmarkStart w:id="26" w:name="_Toc473560874"/>
      <w:bookmarkStart w:id="27" w:name="_Toc7084159"/>
      <w:bookmarkStart w:id="28" w:name="_Toc88215239"/>
      <w:r w:rsidRPr="00B236B5">
        <w:rPr>
          <w:rFonts w:ascii="Times New Roman" w:hAnsi="Times New Roman"/>
          <w:sz w:val="24"/>
          <w:szCs w:val="24"/>
        </w:rPr>
        <w:t>1.5.1.</w:t>
      </w:r>
      <w:r w:rsidRPr="00B236B5">
        <w:rPr>
          <w:rFonts w:ascii="Times New Roman" w:hAnsi="Times New Roman"/>
          <w:sz w:val="24"/>
          <w:szCs w:val="24"/>
        </w:rPr>
        <w:tab/>
      </w:r>
      <w:r w:rsidRPr="00B236B5">
        <w:rPr>
          <w:rFonts w:ascii="Times New Roman" w:hAnsi="Times New Roman"/>
          <w:sz w:val="24"/>
          <w:szCs w:val="24"/>
          <w:u w:val="single"/>
        </w:rPr>
        <w:t>Juhised konkreetsete kirjete kohta</w:t>
      </w:r>
      <w:bookmarkEnd w:id="25"/>
      <w:bookmarkEnd w:id="26"/>
      <w:bookmarkEnd w:id="27"/>
      <w:bookmarkEnd w:id="2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5631A" w:rsidRPr="00B236B5" w14:paraId="439DC387" w14:textId="77777777">
        <w:tc>
          <w:tcPr>
            <w:tcW w:w="1129" w:type="dxa"/>
            <w:shd w:val="clear" w:color="auto" w:fill="D9D9D9"/>
          </w:tcPr>
          <w:p w14:paraId="2E4812DD"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color w:val="000000" w:themeColor="text1"/>
              </w:rPr>
              <w:t>Rida</w:t>
            </w:r>
          </w:p>
        </w:tc>
        <w:tc>
          <w:tcPr>
            <w:tcW w:w="7620" w:type="dxa"/>
            <w:shd w:val="clear" w:color="auto" w:fill="D9D9D9"/>
          </w:tcPr>
          <w:p w14:paraId="1E086880"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color w:val="000000" w:themeColor="text1"/>
              </w:rPr>
              <w:t>Viited õigussätetele ja juhised</w:t>
            </w:r>
          </w:p>
        </w:tc>
      </w:tr>
      <w:tr w:rsidR="0065631A" w:rsidRPr="00B236B5" w14:paraId="10349BB2" w14:textId="77777777">
        <w:tc>
          <w:tcPr>
            <w:tcW w:w="1129" w:type="dxa"/>
          </w:tcPr>
          <w:p w14:paraId="1662E165"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0010</w:t>
            </w:r>
          </w:p>
        </w:tc>
        <w:tc>
          <w:tcPr>
            <w:tcW w:w="7620" w:type="dxa"/>
          </w:tcPr>
          <w:p w14:paraId="6A6DA0E0"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Püsivate üldkulude nõue</w:t>
            </w:r>
          </w:p>
          <w:p w14:paraId="0AC1B2A1"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13 lõige 1</w:t>
            </w:r>
          </w:p>
          <w:p w14:paraId="43EE8AA1"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Kajastatav summa peab olema vähemalt 25 % eelmise aasta püsivatest üldkuludest (rida 0020).</w:t>
            </w:r>
          </w:p>
          <w:p w14:paraId="3149088C"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 xml:space="preserve">Määruse (EL) </w:t>
            </w:r>
            <w:r w:rsidRPr="00B236B5">
              <w:rPr>
                <w:rFonts w:ascii="Times New Roman" w:hAnsi="Times New Roman"/>
              </w:rPr>
              <w:t>2019/2033</w:t>
            </w:r>
            <w:r w:rsidRPr="00B236B5">
              <w:rPr>
                <w:rFonts w:ascii="Times New Roman" w:hAnsi="Times New Roman"/>
              </w:rPr>
              <w:t xml:space="preserve"> artikli 13 lõikes 2 osutatud olulise muutuse korral on kajastatav summa pädeva asutuse poolt kõnealuse artikli kohaselt kehtestatud püsivate üldkulude nõue.</w:t>
            </w:r>
          </w:p>
          <w:p w14:paraId="59D9B654" w14:textId="77777777" w:rsidR="0065631A" w:rsidRPr="00B236B5" w:rsidRDefault="00B236B5">
            <w:pPr>
              <w:spacing w:after="120" w:line="240" w:lineRule="auto"/>
              <w:jc w:val="both"/>
              <w:rPr>
                <w:rFonts w:ascii="Times New Roman" w:hAnsi="Times New Roman" w:cs="Times New Roman"/>
              </w:rPr>
            </w:pPr>
            <w:r w:rsidRPr="00B236B5">
              <w:rPr>
                <w:rFonts w:ascii="Times New Roman" w:hAnsi="Times New Roman"/>
              </w:rPr>
              <w:t xml:space="preserve">Määruse (EL) </w:t>
            </w:r>
            <w:r w:rsidRPr="00B236B5">
              <w:rPr>
                <w:rFonts w:ascii="Times New Roman" w:hAnsi="Times New Roman"/>
              </w:rPr>
              <w:t>2019/2033</w:t>
            </w:r>
            <w:r w:rsidRPr="00B236B5">
              <w:rPr>
                <w:rFonts w:ascii="Times New Roman" w:hAnsi="Times New Roman"/>
              </w:rPr>
              <w:t xml:space="preserve"> artikli 13 lõikes 3 kindlaks määratud juhtudel on kajastatav summa jooksva </w:t>
            </w:r>
            <w:r w:rsidRPr="00B236B5">
              <w:rPr>
                <w:rFonts w:ascii="Times New Roman" w:hAnsi="Times New Roman"/>
              </w:rPr>
              <w:t>aasta prognoositud püsivad üldkulud (rida 0200).</w:t>
            </w:r>
          </w:p>
        </w:tc>
      </w:tr>
      <w:tr w:rsidR="0065631A" w:rsidRPr="00B236B5" w14:paraId="2A831899" w14:textId="77777777">
        <w:tc>
          <w:tcPr>
            <w:tcW w:w="1129" w:type="dxa"/>
          </w:tcPr>
          <w:p w14:paraId="4D45B3B6"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0020</w:t>
            </w:r>
          </w:p>
        </w:tc>
        <w:tc>
          <w:tcPr>
            <w:tcW w:w="7620" w:type="dxa"/>
          </w:tcPr>
          <w:p w14:paraId="060C21DD"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Eelmise aasta püsivad üldkulud pärast kasumi jaotamist</w:t>
            </w:r>
          </w:p>
          <w:p w14:paraId="1A7BDF79"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Määruse (EL) </w:t>
            </w:r>
            <w:r w:rsidRPr="00B236B5">
              <w:rPr>
                <w:rFonts w:ascii="Times New Roman" w:hAnsi="Times New Roman"/>
                <w:bCs/>
                <w:color w:val="000000" w:themeColor="text1"/>
              </w:rPr>
              <w:t>2019/2033</w:t>
            </w:r>
            <w:r w:rsidRPr="00B236B5">
              <w:rPr>
                <w:rFonts w:ascii="Times New Roman" w:hAnsi="Times New Roman"/>
                <w:bCs/>
                <w:color w:val="000000" w:themeColor="text1"/>
              </w:rPr>
              <w:t xml:space="preserve"> artikli 13 lõige 1</w:t>
            </w:r>
          </w:p>
          <w:p w14:paraId="1D38E3AD" w14:textId="77777777" w:rsidR="0065631A" w:rsidRPr="00B236B5" w:rsidRDefault="00B236B5">
            <w:pPr>
              <w:pStyle w:val="CommentText"/>
              <w:rPr>
                <w:rFonts w:ascii="Times New Roman" w:hAnsi="Times New Roman" w:cs="Times New Roman"/>
                <w:sz w:val="22"/>
                <w:szCs w:val="22"/>
              </w:rPr>
            </w:pPr>
            <w:r w:rsidRPr="00B236B5">
              <w:rPr>
                <w:rFonts w:ascii="Times New Roman" w:hAnsi="Times New Roman"/>
                <w:bCs/>
                <w:color w:val="000000" w:themeColor="text1"/>
                <w:sz w:val="22"/>
                <w:szCs w:val="22"/>
              </w:rPr>
              <w:t xml:space="preserve">Investeerimisühingud kajastavad eelmise aasta püsivad üldkulud pärast kasumi jaotamist. </w:t>
            </w:r>
          </w:p>
        </w:tc>
      </w:tr>
      <w:tr w:rsidR="0065631A" w:rsidRPr="00B236B5" w14:paraId="3D806A8D" w14:textId="77777777">
        <w:tc>
          <w:tcPr>
            <w:tcW w:w="1129" w:type="dxa"/>
          </w:tcPr>
          <w:p w14:paraId="02537AA1"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0030</w:t>
            </w:r>
          </w:p>
        </w:tc>
        <w:tc>
          <w:tcPr>
            <w:tcW w:w="7620" w:type="dxa"/>
          </w:tcPr>
          <w:p w14:paraId="57942C2F"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Eelmise aasta kogukulud pärast kasumi jaotamist</w:t>
            </w:r>
          </w:p>
          <w:p w14:paraId="6A6FDBAB" w14:textId="77777777" w:rsidR="0065631A" w:rsidRPr="00B236B5" w:rsidRDefault="00B236B5">
            <w:pPr>
              <w:spacing w:after="120" w:line="240" w:lineRule="auto"/>
              <w:jc w:val="both"/>
              <w:rPr>
                <w:rFonts w:ascii="Times New Roman" w:eastAsia="Times New Roman" w:hAnsi="Times New Roman" w:cs="Times New Roman"/>
                <w:bCs/>
                <w:i/>
                <w:color w:val="000000" w:themeColor="text1"/>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13 lõige 1</w:t>
            </w:r>
          </w:p>
          <w:p w14:paraId="604B22BC"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Kajastatav summa on pärast kasumi jaotamist.</w:t>
            </w:r>
          </w:p>
        </w:tc>
      </w:tr>
      <w:tr w:rsidR="0065631A" w:rsidRPr="00B236B5" w14:paraId="7405E790" w14:textId="77777777">
        <w:tc>
          <w:tcPr>
            <w:tcW w:w="1129" w:type="dxa"/>
          </w:tcPr>
          <w:p w14:paraId="02847E6A"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0040</w:t>
            </w:r>
          </w:p>
        </w:tc>
        <w:tc>
          <w:tcPr>
            <w:tcW w:w="7620" w:type="dxa"/>
          </w:tcPr>
          <w:p w14:paraId="2FF25E28"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xml:space="preserve">Millest: </w:t>
            </w:r>
            <w:r w:rsidRPr="00B236B5">
              <w:rPr>
                <w:rFonts w:ascii="Times New Roman" w:hAnsi="Times New Roman"/>
                <w:b/>
                <w:bCs/>
                <w:color w:val="000000" w:themeColor="text1"/>
                <w:u w:val="single"/>
              </w:rPr>
              <w:t>kolmandate isikute poolt investeerimisühingute nimel kantud püsikulud</w:t>
            </w:r>
          </w:p>
          <w:p w14:paraId="0013007A"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artikkel 13</w:t>
            </w:r>
          </w:p>
        </w:tc>
      </w:tr>
      <w:tr w:rsidR="0065631A" w:rsidRPr="00B236B5" w14:paraId="066F4FA7" w14:textId="77777777">
        <w:tc>
          <w:tcPr>
            <w:tcW w:w="1129" w:type="dxa"/>
          </w:tcPr>
          <w:p w14:paraId="219175B4"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0050</w:t>
            </w:r>
          </w:p>
        </w:tc>
        <w:tc>
          <w:tcPr>
            <w:tcW w:w="7620" w:type="dxa"/>
          </w:tcPr>
          <w:p w14:paraId="645D3B5A"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Mahaarvamised kokku</w:t>
            </w:r>
          </w:p>
          <w:p w14:paraId="67BAD80A" w14:textId="77777777" w:rsidR="0065631A" w:rsidRPr="00B236B5" w:rsidRDefault="00B236B5">
            <w:pPr>
              <w:pStyle w:val="NumPar1"/>
              <w:numPr>
                <w:ilvl w:val="0"/>
                <w:numId w:val="0"/>
              </w:numPr>
              <w:rPr>
                <w:sz w:val="22"/>
              </w:rPr>
            </w:pPr>
            <w:r w:rsidRPr="00B236B5">
              <w:rPr>
                <w:sz w:val="22"/>
              </w:rPr>
              <w:t xml:space="preserve">Lisaks määruse (EL) </w:t>
            </w:r>
            <w:r w:rsidRPr="00B236B5">
              <w:rPr>
                <w:sz w:val="22"/>
              </w:rPr>
              <w:t>2019/2033</w:t>
            </w:r>
            <w:r w:rsidRPr="00B236B5">
              <w:rPr>
                <w:sz w:val="22"/>
              </w:rPr>
              <w:t xml:space="preserve"> artikli 13 punktis 4 osutatud mahaarvatavatele kirjetele arvatakse kogukuludest maha ka järgmised kirjed, kui need sisalduvad kogukuludes vastavalt asjakohasele raamatupidamistavale:</w:t>
            </w:r>
          </w:p>
          <w:p w14:paraId="05FEEA80" w14:textId="77777777" w:rsidR="0065631A" w:rsidRPr="00B236B5" w:rsidRDefault="00B236B5">
            <w:pPr>
              <w:pStyle w:val="Point1letter"/>
              <w:numPr>
                <w:ilvl w:val="0"/>
                <w:numId w:val="0"/>
              </w:numPr>
              <w:tabs>
                <w:tab w:val="left" w:pos="850"/>
              </w:tabs>
              <w:ind w:left="492" w:hanging="567"/>
              <w:rPr>
                <w:sz w:val="22"/>
              </w:rPr>
            </w:pPr>
            <w:r w:rsidRPr="00B236B5">
              <w:rPr>
                <w:sz w:val="22"/>
              </w:rPr>
              <w:t>a)</w:t>
            </w:r>
            <w:r w:rsidRPr="00B236B5">
              <w:rPr>
                <w:sz w:val="22"/>
              </w:rPr>
              <w:tab/>
              <w:t>kesksetele vastaspooltele, börsidele ja vahendajatele tehingute tegem</w:t>
            </w:r>
            <w:r w:rsidRPr="00B236B5">
              <w:rPr>
                <w:sz w:val="22"/>
              </w:rPr>
              <w:t>ise, registreerimise või kliirimise eest makstavad tasud, maakleritasud ja muud kulud ainult juhul, kui need kantakse otse üle ja võetakse klientidelt. Need ei hõlma tasusid ega muid kulusid, mida on vaja liikmesuse säilitamiseks või kahjumi jagamisega seo</w:t>
            </w:r>
            <w:r w:rsidRPr="00B236B5">
              <w:rPr>
                <w:sz w:val="22"/>
              </w:rPr>
              <w:t>tud finantskohustuste täitmiseks kesksete vastaspoolte, börside ja muude kauplemiskohtade ees;</w:t>
            </w:r>
          </w:p>
          <w:p w14:paraId="1F76F570" w14:textId="77777777" w:rsidR="0065631A" w:rsidRPr="00B236B5" w:rsidRDefault="00B236B5">
            <w:pPr>
              <w:pStyle w:val="Point1letter"/>
              <w:numPr>
                <w:ilvl w:val="0"/>
                <w:numId w:val="0"/>
              </w:numPr>
              <w:tabs>
                <w:tab w:val="left" w:pos="850"/>
              </w:tabs>
              <w:ind w:left="492" w:hanging="567"/>
              <w:rPr>
                <w:sz w:val="22"/>
              </w:rPr>
            </w:pPr>
            <w:r w:rsidRPr="00B236B5">
              <w:rPr>
                <w:sz w:val="22"/>
              </w:rPr>
              <w:lastRenderedPageBreak/>
              <w:t>b)</w:t>
            </w:r>
            <w:r w:rsidRPr="00B236B5">
              <w:rPr>
                <w:sz w:val="22"/>
              </w:rPr>
              <w:tab/>
              <w:t>intressid, mida makstakse klientidele kliendi rahalt, kui mingit selliste intresside maksmise kohustust ei ole;</w:t>
            </w:r>
          </w:p>
          <w:p w14:paraId="31B2815C" w14:textId="77777777" w:rsidR="0065631A" w:rsidRPr="00B236B5" w:rsidRDefault="00B236B5">
            <w:pPr>
              <w:pStyle w:val="Point1letter"/>
              <w:numPr>
                <w:ilvl w:val="0"/>
                <w:numId w:val="0"/>
              </w:numPr>
              <w:tabs>
                <w:tab w:val="left" w:pos="850"/>
              </w:tabs>
              <w:ind w:left="492" w:hanging="567"/>
              <w:rPr>
                <w:sz w:val="22"/>
              </w:rPr>
            </w:pPr>
            <w:r w:rsidRPr="00B236B5">
              <w:rPr>
                <w:sz w:val="22"/>
              </w:rPr>
              <w:t>c)</w:t>
            </w:r>
            <w:r w:rsidRPr="00B236B5">
              <w:rPr>
                <w:sz w:val="22"/>
              </w:rPr>
              <w:tab/>
              <w:t>maksudega seotud kulud, kui need kuuluvad t</w:t>
            </w:r>
            <w:r w:rsidRPr="00B236B5">
              <w:rPr>
                <w:sz w:val="22"/>
              </w:rPr>
              <w:t>asumisele seoses investeerimisühingu aastakasumiga;</w:t>
            </w:r>
          </w:p>
          <w:p w14:paraId="28197EB0" w14:textId="77777777" w:rsidR="0065631A" w:rsidRPr="00B236B5" w:rsidRDefault="00B236B5">
            <w:pPr>
              <w:pStyle w:val="Point1letter"/>
              <w:numPr>
                <w:ilvl w:val="0"/>
                <w:numId w:val="0"/>
              </w:numPr>
              <w:tabs>
                <w:tab w:val="left" w:pos="850"/>
              </w:tabs>
              <w:ind w:left="492" w:hanging="567"/>
              <w:rPr>
                <w:sz w:val="22"/>
              </w:rPr>
            </w:pPr>
            <w:r w:rsidRPr="00B236B5">
              <w:rPr>
                <w:sz w:val="22"/>
              </w:rPr>
              <w:t>d)</w:t>
            </w:r>
            <w:r w:rsidRPr="00B236B5">
              <w:rPr>
                <w:sz w:val="22"/>
              </w:rPr>
              <w:tab/>
              <w:t>oma arvel finantsinstrumentidega kauplemisest tulenev kahjum;</w:t>
            </w:r>
          </w:p>
          <w:p w14:paraId="751DFEBA" w14:textId="77777777" w:rsidR="0065631A" w:rsidRPr="00B236B5" w:rsidRDefault="00B236B5">
            <w:pPr>
              <w:pStyle w:val="Point1letter"/>
              <w:numPr>
                <w:ilvl w:val="0"/>
                <w:numId w:val="0"/>
              </w:numPr>
              <w:tabs>
                <w:tab w:val="left" w:pos="850"/>
              </w:tabs>
              <w:ind w:left="492" w:hanging="567"/>
              <w:rPr>
                <w:sz w:val="22"/>
              </w:rPr>
            </w:pPr>
            <w:r w:rsidRPr="00B236B5">
              <w:rPr>
                <w:sz w:val="22"/>
              </w:rPr>
              <w:t>e)</w:t>
            </w:r>
            <w:r w:rsidRPr="00B236B5">
              <w:rPr>
                <w:sz w:val="22"/>
              </w:rPr>
              <w:tab/>
              <w:t>maksed, mis on seotud lepingupõhiste kasumi ja kahjumi ülekandmise lepingutega, mille kohaselt investeerimisühing on pärast aruandeaasta</w:t>
            </w:r>
            <w:r w:rsidRPr="00B236B5">
              <w:rPr>
                <w:sz w:val="22"/>
              </w:rPr>
              <w:t xml:space="preserve"> finantsaruannete koostamist kohustatud kandma oma aastatulemi üle emaettevõtjale;</w:t>
            </w:r>
          </w:p>
          <w:p w14:paraId="1AC208C7" w14:textId="77777777" w:rsidR="0065631A" w:rsidRPr="00B236B5" w:rsidRDefault="00B236B5">
            <w:pPr>
              <w:pStyle w:val="Point1letter"/>
              <w:numPr>
                <w:ilvl w:val="0"/>
                <w:numId w:val="0"/>
              </w:numPr>
              <w:tabs>
                <w:tab w:val="left" w:pos="850"/>
              </w:tabs>
              <w:ind w:left="492" w:hanging="567"/>
              <w:rPr>
                <w:color w:val="000000" w:themeColor="text1"/>
                <w:sz w:val="22"/>
              </w:rPr>
            </w:pPr>
            <w:r w:rsidRPr="00B236B5">
              <w:rPr>
                <w:color w:val="000000" w:themeColor="text1"/>
                <w:sz w:val="22"/>
              </w:rPr>
              <w:t>f)</w:t>
            </w:r>
            <w:r w:rsidRPr="00B236B5">
              <w:rPr>
                <w:color w:val="000000" w:themeColor="text1"/>
                <w:sz w:val="22"/>
              </w:rPr>
              <w:tab/>
            </w:r>
            <w:r w:rsidRPr="00B236B5">
              <w:rPr>
                <w:sz w:val="22"/>
              </w:rPr>
              <w:t>maksed üldisesse pangandusreservi vastavalt määruse (EL) nr 575/2013 artikli 26 lõike 1 punktile f;</w:t>
            </w:r>
          </w:p>
          <w:p w14:paraId="20D780A7" w14:textId="77777777" w:rsidR="0065631A" w:rsidRPr="00B236B5" w:rsidRDefault="00B236B5">
            <w:pPr>
              <w:pStyle w:val="Point1letter"/>
              <w:numPr>
                <w:ilvl w:val="0"/>
                <w:numId w:val="0"/>
              </w:numPr>
              <w:tabs>
                <w:tab w:val="left" w:pos="850"/>
              </w:tabs>
              <w:ind w:left="492" w:hanging="567"/>
              <w:rPr>
                <w:rFonts w:eastAsia="Times New Roman"/>
                <w:bCs/>
                <w:color w:val="000000" w:themeColor="text1"/>
                <w:sz w:val="22"/>
              </w:rPr>
            </w:pPr>
            <w:r w:rsidRPr="00B236B5">
              <w:rPr>
                <w:rFonts w:eastAsia="Times New Roman"/>
                <w:bCs/>
                <w:color w:val="000000" w:themeColor="text1"/>
                <w:sz w:val="22"/>
              </w:rPr>
              <w:t>g)</w:t>
            </w:r>
            <w:r w:rsidRPr="00B236B5">
              <w:rPr>
                <w:rFonts w:eastAsia="Times New Roman"/>
                <w:bCs/>
                <w:color w:val="000000" w:themeColor="text1"/>
                <w:sz w:val="22"/>
              </w:rPr>
              <w:tab/>
            </w:r>
            <w:r w:rsidRPr="00B236B5">
              <w:rPr>
                <w:sz w:val="22"/>
              </w:rPr>
              <w:t>kulud, mis on seotud kirjetega, mis on omavahenditest juba maha arv</w:t>
            </w:r>
            <w:r w:rsidRPr="00B236B5">
              <w:rPr>
                <w:sz w:val="22"/>
              </w:rPr>
              <w:t>atud vastavalt määruse (EL) nr 575/2013 artikli 36 lõikele 1.</w:t>
            </w:r>
            <w:r w:rsidRPr="00B236B5">
              <w:rPr>
                <w:bCs/>
                <w:color w:val="000000" w:themeColor="text1"/>
                <w:sz w:val="22"/>
              </w:rPr>
              <w:t xml:space="preserve"> </w:t>
            </w:r>
          </w:p>
        </w:tc>
      </w:tr>
      <w:tr w:rsidR="0065631A" w:rsidRPr="00B236B5" w14:paraId="5A143A5F" w14:textId="77777777">
        <w:tc>
          <w:tcPr>
            <w:tcW w:w="1129" w:type="dxa"/>
          </w:tcPr>
          <w:p w14:paraId="774F69FE"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lastRenderedPageBreak/>
              <w:t>0060</w:t>
            </w:r>
          </w:p>
        </w:tc>
        <w:tc>
          <w:tcPr>
            <w:tcW w:w="7620" w:type="dxa"/>
          </w:tcPr>
          <w:p w14:paraId="3CA23B8C"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Töötajate preemiad ja muud tasud</w:t>
            </w:r>
          </w:p>
          <w:p w14:paraId="36D33085"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Määruse (EL) </w:t>
            </w:r>
            <w:r w:rsidRPr="00B236B5">
              <w:rPr>
                <w:rFonts w:ascii="Times New Roman" w:hAnsi="Times New Roman"/>
                <w:bCs/>
                <w:color w:val="000000" w:themeColor="text1"/>
              </w:rPr>
              <w:t>2019/2033</w:t>
            </w:r>
            <w:r w:rsidRPr="00B236B5">
              <w:rPr>
                <w:rFonts w:ascii="Times New Roman" w:hAnsi="Times New Roman"/>
                <w:bCs/>
                <w:color w:val="000000" w:themeColor="text1"/>
              </w:rPr>
              <w:t xml:space="preserve"> artikli 13 lõike 4 punkt a</w:t>
            </w:r>
          </w:p>
          <w:p w14:paraId="5EF91CCE" w14:textId="77777777" w:rsidR="0065631A" w:rsidRPr="00B236B5" w:rsidRDefault="00B236B5">
            <w:pPr>
              <w:pStyle w:val="NumPar1"/>
              <w:numPr>
                <w:ilvl w:val="0"/>
                <w:numId w:val="0"/>
              </w:numPr>
              <w:rPr>
                <w:sz w:val="22"/>
              </w:rPr>
            </w:pPr>
            <w:r w:rsidRPr="00B236B5">
              <w:rPr>
                <w:sz w:val="22"/>
              </w:rPr>
              <w:t xml:space="preserve">Töötajate preemiad ja muud tasud loetakse sõltuvaks investeerimisühingu vastava aasta </w:t>
            </w:r>
            <w:r w:rsidRPr="00B236B5">
              <w:rPr>
                <w:sz w:val="22"/>
              </w:rPr>
              <w:t>puhaskasumist, kui täidetud on mõlemad järgmised tingimused:</w:t>
            </w:r>
          </w:p>
          <w:p w14:paraId="15D2F769" w14:textId="77777777" w:rsidR="0065631A" w:rsidRPr="00B236B5" w:rsidRDefault="00B236B5">
            <w:pPr>
              <w:pStyle w:val="Point1letter"/>
              <w:numPr>
                <w:ilvl w:val="0"/>
                <w:numId w:val="0"/>
              </w:numPr>
              <w:ind w:left="634" w:hanging="567"/>
              <w:rPr>
                <w:sz w:val="22"/>
              </w:rPr>
            </w:pPr>
            <w:r w:rsidRPr="00B236B5">
              <w:rPr>
                <w:sz w:val="22"/>
              </w:rPr>
              <w:t>h)</w:t>
            </w:r>
            <w:r w:rsidRPr="00B236B5">
              <w:rPr>
                <w:sz w:val="22"/>
              </w:rPr>
              <w:tab/>
              <w:t xml:space="preserve">töötajate preemiad või muu mahaarvatav tasu on töötajatele juba makstud makse tegemise aastale eelneval aastal või töötajate preemiate või muude tasude maksmine töötajatele ei mõjuta </w:t>
            </w:r>
            <w:r w:rsidRPr="00B236B5">
              <w:rPr>
                <w:sz w:val="22"/>
              </w:rPr>
              <w:t>investeerimisühingu kapitalipositsiooni makse tegemise aastal;</w:t>
            </w:r>
          </w:p>
          <w:p w14:paraId="596A3230" w14:textId="77777777" w:rsidR="0065631A" w:rsidRPr="00B236B5" w:rsidRDefault="00B236B5">
            <w:pPr>
              <w:pStyle w:val="Point1letter"/>
              <w:numPr>
                <w:ilvl w:val="0"/>
                <w:numId w:val="0"/>
              </w:numPr>
              <w:ind w:left="634" w:hanging="567"/>
              <w:rPr>
                <w:rFonts w:eastAsia="Times New Roman"/>
                <w:bCs/>
                <w:color w:val="000000" w:themeColor="text1"/>
                <w:sz w:val="22"/>
              </w:rPr>
            </w:pPr>
            <w:r w:rsidRPr="00B236B5">
              <w:rPr>
                <w:rFonts w:eastAsia="Times New Roman"/>
                <w:bCs/>
                <w:color w:val="000000" w:themeColor="text1"/>
                <w:sz w:val="22"/>
              </w:rPr>
              <w:t>i)</w:t>
            </w:r>
            <w:r w:rsidRPr="00B236B5">
              <w:rPr>
                <w:rFonts w:eastAsia="Times New Roman"/>
                <w:bCs/>
                <w:color w:val="000000" w:themeColor="text1"/>
                <w:sz w:val="22"/>
              </w:rPr>
              <w:tab/>
            </w:r>
            <w:r w:rsidRPr="00B236B5">
              <w:rPr>
                <w:sz w:val="22"/>
              </w:rPr>
              <w:t xml:space="preserve">jooksva aasta ja tulevaste aastate puhul ei ole investeerimisühing kohustatud andma või määrama täiendavaid preemiaid või tegema muid tasu vormis makseid, välja arvatud juhul, kui ta teenib </w:t>
            </w:r>
            <w:r w:rsidRPr="00B236B5">
              <w:rPr>
                <w:sz w:val="22"/>
              </w:rPr>
              <w:t>kõnealusel aastal puhaskasumit.</w:t>
            </w:r>
          </w:p>
        </w:tc>
      </w:tr>
      <w:tr w:rsidR="0065631A" w:rsidRPr="00B236B5" w14:paraId="119D3173" w14:textId="77777777">
        <w:tc>
          <w:tcPr>
            <w:tcW w:w="1129" w:type="dxa"/>
          </w:tcPr>
          <w:p w14:paraId="55102DAB"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0070</w:t>
            </w:r>
          </w:p>
        </w:tc>
        <w:tc>
          <w:tcPr>
            <w:tcW w:w="7620" w:type="dxa"/>
          </w:tcPr>
          <w:p w14:paraId="68B4ED2F"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Töötajate, direktorite ja osanike netokasumiosad</w:t>
            </w:r>
          </w:p>
          <w:p w14:paraId="7FFC0BC5"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Määruse (EL) </w:t>
            </w:r>
            <w:r w:rsidRPr="00B236B5">
              <w:rPr>
                <w:rFonts w:ascii="Times New Roman" w:hAnsi="Times New Roman"/>
                <w:bCs/>
                <w:color w:val="000000" w:themeColor="text1"/>
              </w:rPr>
              <w:t>2019/2033</w:t>
            </w:r>
            <w:r w:rsidRPr="00B236B5">
              <w:rPr>
                <w:rFonts w:ascii="Times New Roman" w:hAnsi="Times New Roman"/>
                <w:bCs/>
                <w:color w:val="000000" w:themeColor="text1"/>
              </w:rPr>
              <w:t xml:space="preserve"> artikli 13 lõike 4 punkt b</w:t>
            </w:r>
          </w:p>
          <w:p w14:paraId="035C93C2"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rPr>
              <w:t>Töötajate, direktorite ja osanike kasumiosa arvutatakse netokasumi alusel.</w:t>
            </w:r>
          </w:p>
        </w:tc>
      </w:tr>
      <w:tr w:rsidR="0065631A" w:rsidRPr="00B236B5" w14:paraId="44EEA80A" w14:textId="77777777">
        <w:tc>
          <w:tcPr>
            <w:tcW w:w="1129" w:type="dxa"/>
          </w:tcPr>
          <w:p w14:paraId="567ED68D"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0080</w:t>
            </w:r>
          </w:p>
        </w:tc>
        <w:tc>
          <w:tcPr>
            <w:tcW w:w="7620" w:type="dxa"/>
          </w:tcPr>
          <w:p w14:paraId="5AF9CDE4"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Muud kaalutlusõigusepõhised ka</w:t>
            </w:r>
            <w:r w:rsidRPr="00B236B5">
              <w:rPr>
                <w:rFonts w:ascii="Times New Roman" w:hAnsi="Times New Roman"/>
                <w:b/>
                <w:bCs/>
                <w:color w:val="000000" w:themeColor="text1"/>
                <w:u w:val="single"/>
              </w:rPr>
              <w:t>sumijaotised ja muu muutuvtasu</w:t>
            </w:r>
          </w:p>
          <w:p w14:paraId="3C5C8888"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Määruse (EL) </w:t>
            </w:r>
            <w:r w:rsidRPr="00B236B5">
              <w:rPr>
                <w:rFonts w:ascii="Times New Roman" w:hAnsi="Times New Roman"/>
                <w:bCs/>
                <w:color w:val="000000" w:themeColor="text1"/>
              </w:rPr>
              <w:t>2019/2033</w:t>
            </w:r>
            <w:r w:rsidRPr="00B236B5">
              <w:rPr>
                <w:rFonts w:ascii="Times New Roman" w:hAnsi="Times New Roman"/>
                <w:bCs/>
                <w:color w:val="000000" w:themeColor="text1"/>
              </w:rPr>
              <w:t xml:space="preserve"> artikli 13 lõike 4 punkt c</w:t>
            </w:r>
          </w:p>
        </w:tc>
      </w:tr>
      <w:tr w:rsidR="0065631A" w:rsidRPr="00B236B5" w14:paraId="026BC5C0" w14:textId="77777777">
        <w:tc>
          <w:tcPr>
            <w:tcW w:w="1129" w:type="dxa"/>
          </w:tcPr>
          <w:p w14:paraId="12B17149"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0090</w:t>
            </w:r>
          </w:p>
        </w:tc>
        <w:tc>
          <w:tcPr>
            <w:tcW w:w="7620" w:type="dxa"/>
          </w:tcPr>
          <w:p w14:paraId="3C53B557"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Maksmisele kuuluvad jagatud komisjonitasud ja tasud</w:t>
            </w:r>
          </w:p>
          <w:p w14:paraId="7260B0CE"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Määruse (EL) </w:t>
            </w:r>
            <w:r w:rsidRPr="00B236B5">
              <w:rPr>
                <w:rFonts w:ascii="Times New Roman" w:hAnsi="Times New Roman"/>
                <w:bCs/>
                <w:color w:val="000000" w:themeColor="text1"/>
              </w:rPr>
              <w:t>2019/2033</w:t>
            </w:r>
            <w:r w:rsidRPr="00B236B5">
              <w:rPr>
                <w:rFonts w:ascii="Times New Roman" w:hAnsi="Times New Roman"/>
                <w:bCs/>
                <w:color w:val="000000" w:themeColor="text1"/>
              </w:rPr>
              <w:t xml:space="preserve"> artikli 13 lõike 4 punkt d</w:t>
            </w:r>
          </w:p>
        </w:tc>
      </w:tr>
      <w:tr w:rsidR="0065631A" w:rsidRPr="00B236B5" w14:paraId="21BEB27B" w14:textId="77777777">
        <w:tc>
          <w:tcPr>
            <w:tcW w:w="1129" w:type="dxa"/>
          </w:tcPr>
          <w:p w14:paraId="7B8E146A"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0100</w:t>
            </w:r>
          </w:p>
        </w:tc>
        <w:tc>
          <w:tcPr>
            <w:tcW w:w="7620" w:type="dxa"/>
          </w:tcPr>
          <w:p w14:paraId="14B21329"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xml:space="preserve">(-) Kesksetele vastaspooltele makstud tasud, </w:t>
            </w:r>
            <w:r w:rsidRPr="00B236B5">
              <w:rPr>
                <w:rFonts w:ascii="Times New Roman" w:hAnsi="Times New Roman"/>
                <w:b/>
                <w:bCs/>
                <w:color w:val="000000" w:themeColor="text1"/>
                <w:u w:val="single"/>
              </w:rPr>
              <w:t>maakleritasud ja muud kulud, mida võetakse klientidelt</w:t>
            </w:r>
          </w:p>
          <w:p w14:paraId="0E95BEA0"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rPr>
              <w:t>Kesksetele vastaspooltele, börsidele ja vahendajatele tehingute tegemise, registreerimise või kliirimise eest makstavad tasud, maakleritasud ja muud kulud, ainult juhul, kui need kantakse otse üle ja v</w:t>
            </w:r>
            <w:r w:rsidRPr="00B236B5">
              <w:rPr>
                <w:rFonts w:ascii="Times New Roman" w:hAnsi="Times New Roman"/>
              </w:rPr>
              <w:t>õetakse klientidelt. Need ei hõlma tasusid ega muid kulusid, mida on vaja liikmesuse säilitamiseks või kahjumi jagamisega seotud finantskohustuste täitmiseks kesksete vastaspoolte, börside ja muude kauplemiskohtade ees.</w:t>
            </w:r>
            <w:r w:rsidRPr="00B236B5">
              <w:rPr>
                <w:rFonts w:ascii="Times New Roman" w:hAnsi="Times New Roman"/>
                <w:bCs/>
                <w:color w:val="000000" w:themeColor="text1"/>
              </w:rPr>
              <w:t xml:space="preserve"> </w:t>
            </w:r>
          </w:p>
        </w:tc>
      </w:tr>
      <w:tr w:rsidR="0065631A" w:rsidRPr="00B236B5" w14:paraId="341B46E4" w14:textId="77777777">
        <w:tc>
          <w:tcPr>
            <w:tcW w:w="1129" w:type="dxa"/>
          </w:tcPr>
          <w:p w14:paraId="2BD1CE8F"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0110</w:t>
            </w:r>
          </w:p>
        </w:tc>
        <w:tc>
          <w:tcPr>
            <w:tcW w:w="7620" w:type="dxa"/>
          </w:tcPr>
          <w:p w14:paraId="2AEE0E6E"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Tasud seotud vahendajatel</w:t>
            </w:r>
            <w:r w:rsidRPr="00B236B5">
              <w:rPr>
                <w:rFonts w:ascii="Times New Roman" w:hAnsi="Times New Roman"/>
                <w:b/>
                <w:bCs/>
                <w:color w:val="000000" w:themeColor="text1"/>
                <w:u w:val="single"/>
              </w:rPr>
              <w:t>e</w:t>
            </w:r>
          </w:p>
          <w:p w14:paraId="09AC5A92"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13 lõike 4 punkt e</w:t>
            </w:r>
          </w:p>
        </w:tc>
      </w:tr>
      <w:tr w:rsidR="0065631A" w:rsidRPr="00B236B5" w14:paraId="379C314F" w14:textId="77777777">
        <w:tc>
          <w:tcPr>
            <w:tcW w:w="1129" w:type="dxa"/>
          </w:tcPr>
          <w:p w14:paraId="157B66FB"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0130</w:t>
            </w:r>
          </w:p>
        </w:tc>
        <w:tc>
          <w:tcPr>
            <w:tcW w:w="7620" w:type="dxa"/>
          </w:tcPr>
          <w:p w14:paraId="3A2A6FF8"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Erakorralisest tegevusest tulenevad ühekordsed kulud</w:t>
            </w:r>
          </w:p>
          <w:p w14:paraId="09164D32"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Määruse (EL) </w:t>
            </w:r>
            <w:r w:rsidRPr="00B236B5">
              <w:rPr>
                <w:rFonts w:ascii="Times New Roman" w:hAnsi="Times New Roman"/>
                <w:bCs/>
                <w:color w:val="000000" w:themeColor="text1"/>
              </w:rPr>
              <w:t>2019/2033</w:t>
            </w:r>
            <w:r w:rsidRPr="00B236B5">
              <w:rPr>
                <w:rFonts w:ascii="Times New Roman" w:hAnsi="Times New Roman"/>
                <w:bCs/>
                <w:color w:val="000000" w:themeColor="text1"/>
              </w:rPr>
              <w:t xml:space="preserve"> artikli 13 lõike 4 punkt f</w:t>
            </w:r>
          </w:p>
        </w:tc>
      </w:tr>
      <w:tr w:rsidR="0065631A" w:rsidRPr="00B236B5" w14:paraId="2FD1F54A" w14:textId="77777777">
        <w:tc>
          <w:tcPr>
            <w:tcW w:w="1129" w:type="dxa"/>
          </w:tcPr>
          <w:p w14:paraId="7E1C7BBD"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lastRenderedPageBreak/>
              <w:t>0140</w:t>
            </w:r>
          </w:p>
          <w:p w14:paraId="25C3EBE9" w14:textId="77777777" w:rsidR="0065631A" w:rsidRPr="00B236B5" w:rsidRDefault="0065631A">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683E12FF" w14:textId="77777777" w:rsidR="0065631A" w:rsidRPr="00B236B5" w:rsidRDefault="00B236B5">
            <w:pPr>
              <w:spacing w:after="120" w:line="240" w:lineRule="auto"/>
              <w:jc w:val="both"/>
              <w:rPr>
                <w:rFonts w:ascii="Times New Roman" w:eastAsia="Times New Roman" w:hAnsi="Times New Roman" w:cs="Times New Roman"/>
                <w:bCs/>
                <w:color w:val="000000" w:themeColor="text1"/>
                <w:u w:val="single"/>
              </w:rPr>
            </w:pPr>
            <w:r w:rsidRPr="00B236B5">
              <w:rPr>
                <w:rFonts w:ascii="Times New Roman" w:hAnsi="Times New Roman"/>
                <w:b/>
                <w:bCs/>
                <w:color w:val="000000" w:themeColor="text1"/>
                <w:u w:val="single"/>
              </w:rPr>
              <w:t>(-) Maksudega seotud kulud</w:t>
            </w:r>
          </w:p>
          <w:p w14:paraId="306BBA2C" w14:textId="77777777" w:rsidR="0065631A" w:rsidRPr="00B236B5" w:rsidRDefault="00B236B5">
            <w:pPr>
              <w:pStyle w:val="Point1letter"/>
              <w:numPr>
                <w:ilvl w:val="0"/>
                <w:numId w:val="0"/>
              </w:numPr>
              <w:rPr>
                <w:rFonts w:eastAsia="Times New Roman"/>
                <w:color w:val="000000" w:themeColor="text1"/>
                <w:sz w:val="22"/>
              </w:rPr>
            </w:pPr>
            <w:r w:rsidRPr="00B236B5">
              <w:rPr>
                <w:sz w:val="22"/>
              </w:rPr>
              <w:t xml:space="preserve">Maksudega seotud kulud, kui need kuuluvad </w:t>
            </w:r>
            <w:r w:rsidRPr="00B236B5">
              <w:rPr>
                <w:sz w:val="22"/>
              </w:rPr>
              <w:t>tasumisele seoses investeerimisühingu aastakasumiga.</w:t>
            </w:r>
          </w:p>
        </w:tc>
      </w:tr>
      <w:tr w:rsidR="0065631A" w:rsidRPr="00B236B5" w14:paraId="50501D60" w14:textId="77777777">
        <w:tc>
          <w:tcPr>
            <w:tcW w:w="1129" w:type="dxa"/>
          </w:tcPr>
          <w:p w14:paraId="24BBE06A"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0150</w:t>
            </w:r>
          </w:p>
        </w:tc>
        <w:tc>
          <w:tcPr>
            <w:tcW w:w="7620" w:type="dxa"/>
          </w:tcPr>
          <w:p w14:paraId="569D15C1"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Oma arvel finantsinstrumentidega kauplemisest tulenev kahjum</w:t>
            </w:r>
          </w:p>
          <w:p w14:paraId="63585F62"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Ei vaja selgitust.</w:t>
            </w:r>
          </w:p>
        </w:tc>
      </w:tr>
      <w:tr w:rsidR="0065631A" w:rsidRPr="00B236B5" w14:paraId="1F4E0F59" w14:textId="77777777">
        <w:tc>
          <w:tcPr>
            <w:tcW w:w="1129" w:type="dxa"/>
          </w:tcPr>
          <w:p w14:paraId="2C83BF7F"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0160</w:t>
            </w:r>
          </w:p>
        </w:tc>
        <w:tc>
          <w:tcPr>
            <w:tcW w:w="7620" w:type="dxa"/>
          </w:tcPr>
          <w:p w14:paraId="555639E3"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Lepingupõhised kasumi ja kahjumi ülekandmise lepingud</w:t>
            </w:r>
          </w:p>
          <w:p w14:paraId="67F78FA1"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rPr>
              <w:t xml:space="preserve">Maksed, mis on seotud </w:t>
            </w:r>
            <w:r w:rsidRPr="00B236B5">
              <w:rPr>
                <w:rFonts w:ascii="Times New Roman" w:hAnsi="Times New Roman"/>
              </w:rPr>
              <w:t>lepingupõhiste kasumi ja kahjumi ülekandmise lepingutega, mille kohaselt investeerimisühing on pärast aruandeaasta finantsaruannete koostamist kohustatud kandma oma aastatulemi üle emaettevõtjale.</w:t>
            </w:r>
          </w:p>
        </w:tc>
      </w:tr>
      <w:tr w:rsidR="0065631A" w:rsidRPr="00B236B5" w14:paraId="7F2DCDCC" w14:textId="77777777">
        <w:tc>
          <w:tcPr>
            <w:tcW w:w="1129" w:type="dxa"/>
          </w:tcPr>
          <w:p w14:paraId="10AF867A"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0170</w:t>
            </w:r>
          </w:p>
        </w:tc>
        <w:tc>
          <w:tcPr>
            <w:tcW w:w="7620" w:type="dxa"/>
          </w:tcPr>
          <w:p w14:paraId="38C6B230"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Toorainekulud</w:t>
            </w:r>
          </w:p>
          <w:p w14:paraId="39AEBA4C"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bookmarkStart w:id="29" w:name="_Toc38271703"/>
            <w:r w:rsidRPr="00B236B5">
              <w:rPr>
                <w:rFonts w:ascii="Times New Roman" w:hAnsi="Times New Roman"/>
                <w:bCs/>
                <w:color w:val="000000" w:themeColor="text1"/>
              </w:rPr>
              <w:t xml:space="preserve">Kaubadiilerid ja lubatud </w:t>
            </w:r>
            <w:r w:rsidRPr="00B236B5">
              <w:rPr>
                <w:rFonts w:ascii="Times New Roman" w:hAnsi="Times New Roman"/>
                <w:bCs/>
                <w:color w:val="000000" w:themeColor="text1"/>
              </w:rPr>
              <w:t>heitkoguse väärtpaberite diilerid võivad maha arvata toorainekulud seoses investeerimisühinguga, kes kaupleb alusvaraks oleva kauba tuletisinstrumentidega.</w:t>
            </w:r>
            <w:bookmarkEnd w:id="29"/>
          </w:p>
        </w:tc>
      </w:tr>
      <w:tr w:rsidR="0065631A" w:rsidRPr="00B236B5" w14:paraId="413F6E78" w14:textId="77777777">
        <w:tc>
          <w:tcPr>
            <w:tcW w:w="1129" w:type="dxa"/>
          </w:tcPr>
          <w:p w14:paraId="1B3D034C"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0180</w:t>
            </w:r>
          </w:p>
        </w:tc>
        <w:tc>
          <w:tcPr>
            <w:tcW w:w="7620" w:type="dxa"/>
          </w:tcPr>
          <w:p w14:paraId="0EB43B93"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Maksed üldisesse pangandusreservi</w:t>
            </w:r>
          </w:p>
          <w:p w14:paraId="335E3C63"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Cs/>
              </w:rPr>
              <w:t>Maksed üldisesse pangandusreservi vastavalt määruse (EL)</w:t>
            </w:r>
            <w:r w:rsidRPr="00B236B5">
              <w:rPr>
                <w:rFonts w:ascii="Times New Roman" w:hAnsi="Times New Roman"/>
                <w:bCs/>
              </w:rPr>
              <w:t xml:space="preserve"> nr 575/2013 artikli 26 lõike 1 punktile f.</w:t>
            </w:r>
          </w:p>
        </w:tc>
      </w:tr>
      <w:tr w:rsidR="0065631A" w:rsidRPr="00B236B5" w14:paraId="04E28433" w14:textId="77777777">
        <w:tc>
          <w:tcPr>
            <w:tcW w:w="1129" w:type="dxa"/>
          </w:tcPr>
          <w:p w14:paraId="397DB687"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0190</w:t>
            </w:r>
          </w:p>
        </w:tc>
        <w:tc>
          <w:tcPr>
            <w:tcW w:w="7620" w:type="dxa"/>
          </w:tcPr>
          <w:p w14:paraId="26D03714"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 Omavahenditest juba maha arvatud kirjetega seotud kulud</w:t>
            </w:r>
          </w:p>
          <w:p w14:paraId="1CDDD289"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Cs/>
              </w:rPr>
              <w:t>Kulud, mis on seotud kirjetega, mis on omavahenditest juba maha arvatud vastavalt määruse (EL) nr 575/2013 artikli 36 lõikele 1.</w:t>
            </w:r>
          </w:p>
        </w:tc>
      </w:tr>
      <w:tr w:rsidR="0065631A" w:rsidRPr="00B236B5" w14:paraId="1373B477" w14:textId="77777777">
        <w:tc>
          <w:tcPr>
            <w:tcW w:w="1129" w:type="dxa"/>
          </w:tcPr>
          <w:p w14:paraId="00F65560"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0200</w:t>
            </w:r>
          </w:p>
        </w:tc>
        <w:tc>
          <w:tcPr>
            <w:tcW w:w="7620" w:type="dxa"/>
          </w:tcPr>
          <w:p w14:paraId="0535E3E0"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Jooksva aas</w:t>
            </w:r>
            <w:r w:rsidRPr="00B236B5">
              <w:rPr>
                <w:rFonts w:ascii="Times New Roman" w:hAnsi="Times New Roman"/>
                <w:b/>
                <w:bCs/>
                <w:color w:val="000000" w:themeColor="text1"/>
                <w:u w:val="single"/>
              </w:rPr>
              <w:t>ta prognoositavad püsivad üldkulud</w:t>
            </w:r>
          </w:p>
          <w:p w14:paraId="7F73AAFD"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Jooksva aasta prognoositavad püsivad üldkulud pärast kasumi jaotamist.</w:t>
            </w:r>
          </w:p>
        </w:tc>
      </w:tr>
      <w:tr w:rsidR="0065631A" w:rsidRPr="00B236B5" w14:paraId="57475248" w14:textId="77777777">
        <w:tc>
          <w:tcPr>
            <w:tcW w:w="1129" w:type="dxa"/>
          </w:tcPr>
          <w:p w14:paraId="58DEF9E4"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0210</w:t>
            </w:r>
          </w:p>
        </w:tc>
        <w:tc>
          <w:tcPr>
            <w:tcW w:w="7620" w:type="dxa"/>
          </w:tcPr>
          <w:p w14:paraId="7D2596A9" w14:textId="77777777" w:rsidR="0065631A" w:rsidRPr="00B236B5" w:rsidRDefault="00B236B5">
            <w:pPr>
              <w:spacing w:after="120" w:line="240" w:lineRule="auto"/>
              <w:jc w:val="both"/>
              <w:rPr>
                <w:rFonts w:ascii="Times New Roman" w:eastAsia="Times New Roman" w:hAnsi="Times New Roman" w:cs="Times New Roman"/>
                <w:b/>
                <w:bCs/>
                <w:color w:val="000000" w:themeColor="text1"/>
                <w:u w:val="single"/>
              </w:rPr>
            </w:pPr>
            <w:r w:rsidRPr="00B236B5">
              <w:rPr>
                <w:rFonts w:ascii="Times New Roman" w:hAnsi="Times New Roman"/>
                <w:b/>
                <w:bCs/>
                <w:color w:val="000000" w:themeColor="text1"/>
                <w:u w:val="single"/>
              </w:rPr>
              <w:t>Püsivate üldkulude muutus (%)</w:t>
            </w:r>
          </w:p>
          <w:p w14:paraId="2611D4BF"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Summa esitatakse järgmise absoluutväärtusena:</w:t>
            </w:r>
          </w:p>
          <w:p w14:paraId="151B66E6" w14:textId="77777777" w:rsidR="0065631A" w:rsidRPr="00B236B5" w:rsidRDefault="00B236B5">
            <w:pPr>
              <w:spacing w:after="120" w:line="240" w:lineRule="auto"/>
              <w:jc w:val="both"/>
              <w:rPr>
                <w:rFonts w:ascii="Times New Roman" w:eastAsia="Times New Roman" w:hAnsi="Times New Roman" w:cs="Times New Roman"/>
                <w:bCs/>
                <w:color w:val="000000" w:themeColor="text1"/>
              </w:rPr>
            </w:pPr>
            <w:r w:rsidRPr="00B236B5">
              <w:rPr>
                <w:rFonts w:ascii="Times New Roman" w:hAnsi="Times New Roman"/>
                <w:bCs/>
                <w:color w:val="000000" w:themeColor="text1"/>
              </w:rPr>
              <w:t xml:space="preserve">[(jooksva aasta püsivad üldkulud) – (eelmise aasta </w:t>
            </w:r>
            <w:r w:rsidRPr="00B236B5">
              <w:rPr>
                <w:rFonts w:ascii="Times New Roman" w:hAnsi="Times New Roman"/>
                <w:bCs/>
                <w:color w:val="000000" w:themeColor="text1"/>
              </w:rPr>
              <w:t>prognoositud püsivad üldkulud)/(eelmise aasta püsivad üldkulud)]</w:t>
            </w:r>
          </w:p>
        </w:tc>
      </w:tr>
    </w:tbl>
    <w:p w14:paraId="662C6DFE" w14:textId="77777777" w:rsidR="0065631A" w:rsidRPr="00B236B5" w:rsidRDefault="0065631A">
      <w:pPr>
        <w:spacing w:after="120" w:line="240" w:lineRule="auto"/>
        <w:jc w:val="both"/>
        <w:rPr>
          <w:rFonts w:ascii="Times New Roman" w:eastAsia="Times New Roman" w:hAnsi="Times New Roman" w:cs="Times New Roman"/>
          <w:sz w:val="24"/>
          <w:szCs w:val="24"/>
          <w:lang w:eastAsia="de-DE"/>
        </w:rPr>
      </w:pPr>
    </w:p>
    <w:p w14:paraId="5184A14F" w14:textId="77777777" w:rsidR="0065631A" w:rsidRPr="00B236B5" w:rsidRDefault="00B236B5">
      <w:pPr>
        <w:pStyle w:val="Instructionsberschrift2"/>
        <w:ind w:left="357" w:hanging="357"/>
        <w:rPr>
          <w:rFonts w:ascii="Times New Roman" w:hAnsi="Times New Roman" w:cs="Times New Roman"/>
          <w:sz w:val="24"/>
          <w:u w:val="none"/>
        </w:rPr>
      </w:pPr>
      <w:bookmarkStart w:id="30" w:name="_Toc88215240"/>
      <w:r w:rsidRPr="00B236B5">
        <w:rPr>
          <w:rFonts w:ascii="Times New Roman" w:hAnsi="Times New Roman"/>
          <w:sz w:val="24"/>
          <w:u w:val="none"/>
        </w:rPr>
        <w:t>2. VÄIKESED JA MITTESEOTUD INVESTEERIMISÜHINGUD</w:t>
      </w:r>
      <w:bookmarkEnd w:id="30"/>
    </w:p>
    <w:p w14:paraId="682D2D16" w14:textId="77777777" w:rsidR="0065631A" w:rsidRPr="00B236B5" w:rsidRDefault="00B236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1" w:name="_Toc473560875"/>
      <w:bookmarkStart w:id="32" w:name="_Toc7084160"/>
      <w:bookmarkStart w:id="33" w:name="_Toc88215241"/>
      <w:bookmarkStart w:id="34" w:name="_Toc308175823"/>
      <w:bookmarkStart w:id="35" w:name="_Toc360188327"/>
      <w:r w:rsidRPr="00B236B5">
        <w:rPr>
          <w:rFonts w:ascii="Times New Roman" w:hAnsi="Times New Roman"/>
          <w:sz w:val="24"/>
          <w:szCs w:val="24"/>
        </w:rPr>
        <w:t>2.1.</w:t>
      </w:r>
      <w:r w:rsidRPr="00B236B5">
        <w:rPr>
          <w:rFonts w:ascii="Times New Roman" w:hAnsi="Times New Roman"/>
          <w:sz w:val="24"/>
          <w:szCs w:val="24"/>
        </w:rPr>
        <w:tab/>
      </w:r>
      <w:r w:rsidRPr="00B236B5">
        <w:rPr>
          <w:rFonts w:ascii="Times New Roman" w:hAnsi="Times New Roman"/>
          <w:sz w:val="24"/>
          <w:szCs w:val="24"/>
          <w:u w:val="single"/>
        </w:rPr>
        <w:t xml:space="preserve">I </w:t>
      </w:r>
      <w:r w:rsidRPr="00B236B5">
        <w:rPr>
          <w:rFonts w:ascii="Times New Roman" w:hAnsi="Times New Roman"/>
          <w:sz w:val="24"/>
          <w:szCs w:val="24"/>
          <w:u w:val="single"/>
        </w:rPr>
        <w:t>05.00</w:t>
      </w:r>
      <w:r w:rsidRPr="00B236B5">
        <w:rPr>
          <w:rFonts w:ascii="Times New Roman" w:hAnsi="Times New Roman"/>
          <w:sz w:val="24"/>
          <w:szCs w:val="24"/>
          <w:u w:val="single"/>
        </w:rPr>
        <w:t xml:space="preserve"> – TEGEVUSE TASE – KÜNNISE LÄBIVAATAMINE (I 5)</w:t>
      </w:r>
      <w:bookmarkEnd w:id="31"/>
      <w:bookmarkEnd w:id="32"/>
      <w:bookmarkEnd w:id="33"/>
      <w:bookmarkEnd w:id="34"/>
      <w:bookmarkEnd w:id="35"/>
    </w:p>
    <w:p w14:paraId="28279995" w14:textId="77777777" w:rsidR="0065631A" w:rsidRPr="00B236B5" w:rsidRDefault="00B236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6" w:name="_Toc360188328"/>
      <w:bookmarkStart w:id="37" w:name="_Toc473560876"/>
      <w:bookmarkStart w:id="38" w:name="_Toc7084161"/>
      <w:bookmarkStart w:id="39" w:name="_Toc88215242"/>
      <w:r w:rsidRPr="00B236B5">
        <w:rPr>
          <w:rFonts w:ascii="Times New Roman" w:hAnsi="Times New Roman"/>
          <w:sz w:val="24"/>
          <w:szCs w:val="24"/>
        </w:rPr>
        <w:t>2.1.1.</w:t>
      </w:r>
      <w:bookmarkStart w:id="40" w:name="_Toc308175824"/>
      <w:r w:rsidRPr="00B236B5">
        <w:tab/>
      </w:r>
      <w:bookmarkEnd w:id="40"/>
      <w:r w:rsidRPr="00B236B5">
        <w:rPr>
          <w:rFonts w:ascii="Times New Roman" w:hAnsi="Times New Roman"/>
          <w:sz w:val="24"/>
          <w:szCs w:val="24"/>
          <w:u w:val="single"/>
        </w:rPr>
        <w:t>Juhised konkreetsete kirjete kohta</w:t>
      </w:r>
      <w:bookmarkEnd w:id="36"/>
      <w:bookmarkEnd w:id="37"/>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5631A" w:rsidRPr="00B236B5" w14:paraId="1903F627" w14:textId="77777777">
        <w:tc>
          <w:tcPr>
            <w:tcW w:w="1129" w:type="dxa"/>
            <w:shd w:val="clear" w:color="auto" w:fill="D9D9D9"/>
          </w:tcPr>
          <w:p w14:paraId="123BB4E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Rida</w:t>
            </w:r>
          </w:p>
        </w:tc>
        <w:tc>
          <w:tcPr>
            <w:tcW w:w="7620" w:type="dxa"/>
            <w:shd w:val="clear" w:color="auto" w:fill="D9D9D9"/>
          </w:tcPr>
          <w:p w14:paraId="17970E1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 xml:space="preserve">Viited õigussätetele ja </w:t>
            </w:r>
            <w:r w:rsidRPr="00B236B5">
              <w:rPr>
                <w:rFonts w:ascii="Times New Roman" w:hAnsi="Times New Roman"/>
              </w:rPr>
              <w:t>juhised</w:t>
            </w:r>
          </w:p>
        </w:tc>
      </w:tr>
      <w:tr w:rsidR="0065631A" w:rsidRPr="00B236B5" w14:paraId="7C940848" w14:textId="77777777">
        <w:tc>
          <w:tcPr>
            <w:tcW w:w="1129" w:type="dxa"/>
          </w:tcPr>
          <w:p w14:paraId="4806E45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0010</w:t>
            </w:r>
          </w:p>
        </w:tc>
        <w:tc>
          <w:tcPr>
            <w:tcW w:w="7620" w:type="dxa"/>
          </w:tcPr>
          <w:p w14:paraId="4B7219C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
                <w:bCs/>
                <w:u w:val="single"/>
              </w:rPr>
              <w:t>(Kombineeritud) valitsetavad varad</w:t>
            </w:r>
          </w:p>
          <w:p w14:paraId="7354722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a</w:t>
            </w:r>
          </w:p>
          <w:p w14:paraId="09AD756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Kui aruandev investeerimisühing kuulub gruppi, määratakse kajastatav väärtus kindlaks kombineeritud alusel kõigi konsolideerimisgruppi kuuluvate investeerimisühingute puhul vastavalt määruse (EL) </w:t>
            </w:r>
            <w:r w:rsidRPr="00B236B5">
              <w:rPr>
                <w:rFonts w:ascii="Times New Roman" w:hAnsi="Times New Roman"/>
                <w:bCs/>
              </w:rPr>
              <w:t>2019/2033</w:t>
            </w:r>
            <w:r w:rsidRPr="00B236B5">
              <w:rPr>
                <w:rFonts w:ascii="Times New Roman" w:hAnsi="Times New Roman"/>
                <w:bCs/>
              </w:rPr>
              <w:t xml:space="preserve"> artikli 12 lõikele 2.</w:t>
            </w:r>
          </w:p>
          <w:p w14:paraId="5E7EB64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Investeerimisühingud võtavad</w:t>
            </w:r>
            <w:r w:rsidRPr="00B236B5">
              <w:rPr>
                <w:rFonts w:ascii="Times New Roman" w:hAnsi="Times New Roman"/>
                <w:bCs/>
              </w:rPr>
              <w:t xml:space="preserve"> arvesse kaalutlusõiguse põhiselt valitsetavaid varasid ja kaalutlusõiguseväliselt valitsetavaid varasid.</w:t>
            </w:r>
          </w:p>
          <w:p w14:paraId="3E23C04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Kajastatav summa on summa, mida oleks kasutatud K-tegurite arvutamiseks enne asjakohaste koefitsientide kohaldamist.</w:t>
            </w:r>
          </w:p>
        </w:tc>
      </w:tr>
      <w:tr w:rsidR="0065631A" w:rsidRPr="00B236B5" w14:paraId="2115EDD5" w14:textId="77777777">
        <w:tc>
          <w:tcPr>
            <w:tcW w:w="1129" w:type="dxa"/>
          </w:tcPr>
          <w:p w14:paraId="560E9D9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0020</w:t>
            </w:r>
          </w:p>
        </w:tc>
        <w:tc>
          <w:tcPr>
            <w:tcW w:w="7620" w:type="dxa"/>
          </w:tcPr>
          <w:p w14:paraId="09C1091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
                <w:bCs/>
                <w:u w:val="single"/>
              </w:rPr>
              <w:t>(Kombineeritud) käideldavad</w:t>
            </w:r>
            <w:r w:rsidRPr="00B236B5">
              <w:rPr>
                <w:rFonts w:ascii="Times New Roman" w:hAnsi="Times New Roman"/>
                <w:b/>
                <w:bCs/>
                <w:u w:val="single"/>
              </w:rPr>
              <w:t xml:space="preserve"> kliendi korraldused – kassatehingud</w:t>
            </w:r>
          </w:p>
          <w:p w14:paraId="4D85AF2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punkti b alapunkt i</w:t>
            </w:r>
          </w:p>
          <w:p w14:paraId="1C9CA30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Kui aruandev investeerimisühing kuulub gruppi, määratakse kajastatav väärtus kindlaks kombineeritud alusel kõigi konsolideerimisgruppi kuuluvate investeerimisühingute puhul vastavalt määruse (EL) </w:t>
            </w:r>
            <w:r w:rsidRPr="00B236B5">
              <w:rPr>
                <w:rFonts w:ascii="Times New Roman" w:hAnsi="Times New Roman"/>
                <w:bCs/>
              </w:rPr>
              <w:t>2019/2033</w:t>
            </w:r>
            <w:r w:rsidRPr="00B236B5">
              <w:rPr>
                <w:rFonts w:ascii="Times New Roman" w:hAnsi="Times New Roman"/>
                <w:bCs/>
              </w:rPr>
              <w:t xml:space="preserve"> artikli 12 lõikele 2.</w:t>
            </w:r>
          </w:p>
          <w:p w14:paraId="4026870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summa on summa, m</w:t>
            </w:r>
            <w:r w:rsidRPr="00B236B5">
              <w:rPr>
                <w:rFonts w:ascii="Times New Roman" w:hAnsi="Times New Roman"/>
                <w:bCs/>
              </w:rPr>
              <w:t>ida oleks kasutatud K-tegurite arvutamiseks enne asjakohaste koefitsientide kohaldamist.</w:t>
            </w:r>
          </w:p>
        </w:tc>
      </w:tr>
      <w:tr w:rsidR="0065631A" w:rsidRPr="00B236B5" w14:paraId="1A5223C7" w14:textId="77777777">
        <w:tc>
          <w:tcPr>
            <w:tcW w:w="1129" w:type="dxa"/>
          </w:tcPr>
          <w:p w14:paraId="6151CE4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0030</w:t>
            </w:r>
          </w:p>
        </w:tc>
        <w:tc>
          <w:tcPr>
            <w:tcW w:w="7620" w:type="dxa"/>
          </w:tcPr>
          <w:p w14:paraId="1A62979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
                <w:bCs/>
                <w:u w:val="single"/>
              </w:rPr>
              <w:t>(Kombineeritud) käideldavad kliendi korraldused – tuletisinstrumendid</w:t>
            </w:r>
          </w:p>
          <w:p w14:paraId="535D442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punkti b alapunkt i</w:t>
            </w:r>
          </w:p>
          <w:p w14:paraId="3C0B978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Kui aruandev investeerimisühi</w:t>
            </w:r>
            <w:r w:rsidRPr="00B236B5">
              <w:rPr>
                <w:rFonts w:ascii="Times New Roman" w:hAnsi="Times New Roman"/>
                <w:bCs/>
              </w:rPr>
              <w:t xml:space="preserve">ng kuulub gruppi, määratakse kajastatav väärtus kindlaks kombineeritud alusel kõigi konsolideerimisgruppi kuuluvate investeerimisühingute puhul vastavalt määruse (EL) </w:t>
            </w:r>
            <w:r w:rsidRPr="00B236B5">
              <w:rPr>
                <w:rFonts w:ascii="Times New Roman" w:hAnsi="Times New Roman"/>
                <w:bCs/>
              </w:rPr>
              <w:t>2019/2033</w:t>
            </w:r>
            <w:r w:rsidRPr="00B236B5">
              <w:rPr>
                <w:rFonts w:ascii="Times New Roman" w:hAnsi="Times New Roman"/>
                <w:bCs/>
              </w:rPr>
              <w:t xml:space="preserve"> artikli 12 lõikele 2.</w:t>
            </w:r>
          </w:p>
          <w:p w14:paraId="23C010D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summa on summa, mida oleks kasutatud K-tegurit</w:t>
            </w:r>
            <w:r w:rsidRPr="00B236B5">
              <w:rPr>
                <w:rFonts w:ascii="Times New Roman" w:hAnsi="Times New Roman"/>
                <w:bCs/>
              </w:rPr>
              <w:t>e arvutamiseks enne asjakohaste koefitsientide kohaldamist.</w:t>
            </w:r>
          </w:p>
        </w:tc>
      </w:tr>
      <w:tr w:rsidR="0065631A" w:rsidRPr="00B236B5" w14:paraId="58AD8992" w14:textId="77777777">
        <w:tc>
          <w:tcPr>
            <w:tcW w:w="1129" w:type="dxa"/>
          </w:tcPr>
          <w:p w14:paraId="5C335AD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0040</w:t>
            </w:r>
          </w:p>
        </w:tc>
        <w:tc>
          <w:tcPr>
            <w:tcW w:w="7620" w:type="dxa"/>
          </w:tcPr>
          <w:p w14:paraId="392FCF6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Hoitav ja hallatav vara</w:t>
            </w:r>
          </w:p>
          <w:p w14:paraId="7A3392B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c</w:t>
            </w:r>
          </w:p>
          <w:p w14:paraId="278FF4C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Kajastatav summa on summa, mida oleks kasutatud K-tegurite arvutamiseks enne asjakohaste </w:t>
            </w:r>
            <w:r w:rsidRPr="00B236B5">
              <w:rPr>
                <w:rFonts w:ascii="Times New Roman" w:hAnsi="Times New Roman"/>
                <w:bCs/>
              </w:rPr>
              <w:t>koefitsientide kohaldamist.</w:t>
            </w:r>
          </w:p>
        </w:tc>
      </w:tr>
      <w:tr w:rsidR="0065631A" w:rsidRPr="00B236B5" w14:paraId="2020866A" w14:textId="77777777">
        <w:tc>
          <w:tcPr>
            <w:tcW w:w="1129" w:type="dxa"/>
          </w:tcPr>
          <w:p w14:paraId="148390B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0050</w:t>
            </w:r>
          </w:p>
        </w:tc>
        <w:tc>
          <w:tcPr>
            <w:tcW w:w="7620" w:type="dxa"/>
          </w:tcPr>
          <w:p w14:paraId="16546F5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Hoitav klientide raha</w:t>
            </w:r>
          </w:p>
          <w:p w14:paraId="403F22E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d</w:t>
            </w:r>
          </w:p>
          <w:p w14:paraId="512C009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summa on summa, mida oleks kasutatud K-tegurite arvutamiseks enne asjakohaste koefitsientide kohaldamist.</w:t>
            </w:r>
          </w:p>
        </w:tc>
      </w:tr>
      <w:tr w:rsidR="0065631A" w:rsidRPr="00B236B5" w14:paraId="4ADDF460" w14:textId="77777777">
        <w:tc>
          <w:tcPr>
            <w:tcW w:w="1129" w:type="dxa"/>
          </w:tcPr>
          <w:p w14:paraId="1AD1624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0060</w:t>
            </w:r>
          </w:p>
        </w:tc>
        <w:tc>
          <w:tcPr>
            <w:tcW w:w="7620" w:type="dxa"/>
          </w:tcPr>
          <w:p w14:paraId="6DB337F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Päevane </w:t>
            </w:r>
            <w:r w:rsidRPr="00B236B5">
              <w:rPr>
                <w:rFonts w:ascii="Times New Roman" w:hAnsi="Times New Roman"/>
                <w:b/>
                <w:bCs/>
                <w:u w:val="single"/>
              </w:rPr>
              <w:t>kauplemismaht – kassa- ja tuletistehingud</w:t>
            </w:r>
          </w:p>
          <w:p w14:paraId="0F77159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e</w:t>
            </w:r>
          </w:p>
          <w:p w14:paraId="6683018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summa on summa, mida oleks kasutatud K-tegurite arvutamiseks enne asjakohaste koefitsientide kohaldamist.</w:t>
            </w:r>
          </w:p>
        </w:tc>
      </w:tr>
      <w:tr w:rsidR="0065631A" w:rsidRPr="00B236B5" w14:paraId="1D7196F2" w14:textId="77777777">
        <w:tc>
          <w:tcPr>
            <w:tcW w:w="1129" w:type="dxa"/>
          </w:tcPr>
          <w:p w14:paraId="3FF4F56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0070</w:t>
            </w:r>
          </w:p>
        </w:tc>
        <w:tc>
          <w:tcPr>
            <w:tcW w:w="7620" w:type="dxa"/>
          </w:tcPr>
          <w:p w14:paraId="3376FA7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Netopositsioonirisk</w:t>
            </w:r>
          </w:p>
          <w:p w14:paraId="7673416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w:t>
            </w:r>
            <w:r w:rsidRPr="00B236B5">
              <w:rPr>
                <w:rFonts w:ascii="Times New Roman" w:hAnsi="Times New Roman"/>
                <w:bCs/>
              </w:rPr>
              <w:t>3</w:t>
            </w:r>
            <w:r w:rsidRPr="00B236B5">
              <w:rPr>
                <w:rFonts w:ascii="Times New Roman" w:hAnsi="Times New Roman"/>
                <w:bCs/>
              </w:rPr>
              <w:t xml:space="preserve"> artikli 12 lõike 1 punkt f</w:t>
            </w:r>
          </w:p>
          <w:p w14:paraId="3EA00F2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summa on summa, mida oleks kasutatud K-tegurite arvutamiseks enne asjakohaste koefitsientide kohaldamist.</w:t>
            </w:r>
          </w:p>
        </w:tc>
      </w:tr>
      <w:tr w:rsidR="0065631A" w:rsidRPr="00B236B5" w14:paraId="6732293E" w14:textId="77777777">
        <w:tc>
          <w:tcPr>
            <w:tcW w:w="1129" w:type="dxa"/>
          </w:tcPr>
          <w:p w14:paraId="29B8849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0080</w:t>
            </w:r>
          </w:p>
        </w:tc>
        <w:tc>
          <w:tcPr>
            <w:tcW w:w="7620" w:type="dxa"/>
          </w:tcPr>
          <w:p w14:paraId="26C3D4C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Kliiringu tagatis</w:t>
            </w:r>
          </w:p>
          <w:p w14:paraId="41C5843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f</w:t>
            </w:r>
          </w:p>
          <w:p w14:paraId="516D3FB7" w14:textId="77777777" w:rsidR="0065631A" w:rsidRPr="00B236B5" w:rsidRDefault="00B236B5">
            <w:pPr>
              <w:spacing w:after="120" w:line="240" w:lineRule="auto"/>
              <w:jc w:val="both"/>
              <w:rPr>
                <w:rFonts w:ascii="Times New Roman" w:eastAsia="Times New Roman" w:hAnsi="Times New Roman" w:cs="Times New Roman"/>
                <w:b/>
                <w:bCs/>
              </w:rPr>
            </w:pPr>
            <w:r w:rsidRPr="00B236B5">
              <w:rPr>
                <w:rFonts w:ascii="Times New Roman" w:hAnsi="Times New Roman"/>
                <w:bCs/>
              </w:rPr>
              <w:t>Kajastatav summa on summa, mida olek</w:t>
            </w:r>
            <w:r w:rsidRPr="00B236B5">
              <w:rPr>
                <w:rFonts w:ascii="Times New Roman" w:hAnsi="Times New Roman"/>
                <w:bCs/>
              </w:rPr>
              <w:t>s kasutatud K-tegurite arvutamiseks enne asjakohaste koefitsientide kohaldamist.</w:t>
            </w:r>
          </w:p>
        </w:tc>
      </w:tr>
      <w:tr w:rsidR="0065631A" w:rsidRPr="00B236B5" w14:paraId="5C7A2B29" w14:textId="77777777">
        <w:tc>
          <w:tcPr>
            <w:tcW w:w="1129" w:type="dxa"/>
          </w:tcPr>
          <w:p w14:paraId="0A65209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0090</w:t>
            </w:r>
          </w:p>
        </w:tc>
        <w:tc>
          <w:tcPr>
            <w:tcW w:w="7620" w:type="dxa"/>
          </w:tcPr>
          <w:p w14:paraId="64A01E5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Tehingu vastaspoole makseviivitus</w:t>
            </w:r>
          </w:p>
          <w:p w14:paraId="6DB9C9F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g</w:t>
            </w:r>
          </w:p>
          <w:p w14:paraId="0B87314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summa on summa, mida oleks kasutatud K-tegurite arvutamiseks enne asjakoha</w:t>
            </w:r>
            <w:r w:rsidRPr="00B236B5">
              <w:rPr>
                <w:rFonts w:ascii="Times New Roman" w:hAnsi="Times New Roman"/>
                <w:bCs/>
              </w:rPr>
              <w:t>ste koefitsientide kohaldamist.</w:t>
            </w:r>
          </w:p>
        </w:tc>
      </w:tr>
      <w:tr w:rsidR="0065631A" w:rsidRPr="00B236B5" w14:paraId="5DB84046" w14:textId="77777777">
        <w:tc>
          <w:tcPr>
            <w:tcW w:w="1129" w:type="dxa"/>
          </w:tcPr>
          <w:p w14:paraId="55D6B0D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0100</w:t>
            </w:r>
          </w:p>
        </w:tc>
        <w:tc>
          <w:tcPr>
            <w:tcW w:w="7620" w:type="dxa"/>
          </w:tcPr>
          <w:p w14:paraId="284B05F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
                <w:bCs/>
                <w:u w:val="single"/>
              </w:rPr>
              <w:t>(Kombineeritud) bilansimaht ja bilansiväline maht</w:t>
            </w:r>
          </w:p>
          <w:p w14:paraId="6131AB9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h</w:t>
            </w:r>
          </w:p>
          <w:p w14:paraId="499113F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 xml:space="preserve">Kui aruandev investeerimisühing kuulub gruppi, määratakse kajastatav väärtus kindlaks kombineeritud alusel kõigi konsolideerimisgruppi kuuluvate investeerimisühingute puhul vastavalt määruse (EL) </w:t>
            </w:r>
            <w:r w:rsidRPr="00B236B5">
              <w:rPr>
                <w:rFonts w:ascii="Times New Roman" w:hAnsi="Times New Roman"/>
                <w:bCs/>
              </w:rPr>
              <w:t>2019/2033</w:t>
            </w:r>
            <w:r w:rsidRPr="00B236B5">
              <w:rPr>
                <w:rFonts w:ascii="Times New Roman" w:hAnsi="Times New Roman"/>
                <w:bCs/>
              </w:rPr>
              <w:t xml:space="preserve"> artikli 12 lõikele 2.</w:t>
            </w:r>
          </w:p>
        </w:tc>
      </w:tr>
      <w:tr w:rsidR="0065631A" w:rsidRPr="00B236B5" w14:paraId="493E62C9" w14:textId="77777777">
        <w:tc>
          <w:tcPr>
            <w:tcW w:w="1129" w:type="dxa"/>
          </w:tcPr>
          <w:p w14:paraId="0086B13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0110</w:t>
            </w:r>
          </w:p>
        </w:tc>
        <w:tc>
          <w:tcPr>
            <w:tcW w:w="7620" w:type="dxa"/>
          </w:tcPr>
          <w:p w14:paraId="4A4896F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
                <w:bCs/>
                <w:u w:val="single"/>
              </w:rPr>
              <w:t xml:space="preserve">Kombineeritud aastane </w:t>
            </w:r>
            <w:r w:rsidRPr="00B236B5">
              <w:rPr>
                <w:rFonts w:ascii="Times New Roman" w:hAnsi="Times New Roman"/>
                <w:b/>
                <w:bCs/>
                <w:u w:val="single"/>
              </w:rPr>
              <w:t>kogubrutotulu</w:t>
            </w:r>
          </w:p>
          <w:p w14:paraId="5DD5613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12 lõike 1 punkt i</w:t>
            </w:r>
          </w:p>
          <w:p w14:paraId="5DFF899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Kui aruandev investeerimisühing kuulub gruppi, määratakse kajastatav väärtus kindlaks </w:t>
            </w:r>
            <w:r w:rsidRPr="00B236B5">
              <w:rPr>
                <w:rFonts w:ascii="Times New Roman" w:hAnsi="Times New Roman"/>
                <w:bCs/>
                <w:u w:val="single"/>
              </w:rPr>
              <w:t>kombineeritud alusel</w:t>
            </w:r>
            <w:r w:rsidRPr="00B236B5">
              <w:rPr>
                <w:rFonts w:ascii="Times New Roman" w:hAnsi="Times New Roman"/>
                <w:bCs/>
              </w:rPr>
              <w:t xml:space="preserve"> kõigi konsolideerimisgruppi kuuluvate investeerimisühingute puhul vastavalt määruse (</w:t>
            </w:r>
            <w:r w:rsidRPr="00B236B5">
              <w:rPr>
                <w:rFonts w:ascii="Times New Roman" w:hAnsi="Times New Roman"/>
                <w:bCs/>
              </w:rPr>
              <w:t xml:space="preserve">EL) </w:t>
            </w:r>
            <w:r w:rsidRPr="00B236B5">
              <w:rPr>
                <w:rFonts w:ascii="Times New Roman" w:hAnsi="Times New Roman"/>
                <w:bCs/>
              </w:rPr>
              <w:t>2019/2033</w:t>
            </w:r>
            <w:r w:rsidRPr="00B236B5">
              <w:rPr>
                <w:rFonts w:ascii="Times New Roman" w:hAnsi="Times New Roman"/>
                <w:bCs/>
              </w:rPr>
              <w:t xml:space="preserve"> artikli 12 lõikele 2.</w:t>
            </w:r>
          </w:p>
          <w:p w14:paraId="2F4D72EB"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Kajastatav väärtus on (rida 0120 + rida 0130).</w:t>
            </w:r>
          </w:p>
        </w:tc>
      </w:tr>
      <w:tr w:rsidR="0065631A" w:rsidRPr="00B236B5" w14:paraId="30DA3D5D" w14:textId="77777777">
        <w:tc>
          <w:tcPr>
            <w:tcW w:w="1129" w:type="dxa"/>
          </w:tcPr>
          <w:p w14:paraId="7960827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0120</w:t>
            </w:r>
          </w:p>
        </w:tc>
        <w:tc>
          <w:tcPr>
            <w:tcW w:w="7620" w:type="dxa"/>
          </w:tcPr>
          <w:p w14:paraId="06794FEC"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Aastane kogubrutotulu</w:t>
            </w:r>
          </w:p>
          <w:p w14:paraId="76FBB1A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Aastase kogubrutotulu väärtus, </w:t>
            </w:r>
            <w:r w:rsidRPr="00B236B5">
              <w:rPr>
                <w:rFonts w:ascii="Times New Roman" w:hAnsi="Times New Roman"/>
                <w:bCs/>
                <w:u w:val="single"/>
              </w:rPr>
              <w:t>jättes</w:t>
            </w:r>
            <w:r w:rsidRPr="00B236B5">
              <w:rPr>
                <w:rFonts w:ascii="Times New Roman" w:hAnsi="Times New Roman"/>
                <w:bCs/>
              </w:rPr>
              <w:t xml:space="preserve"> vastavalt määruse (EL) </w:t>
            </w:r>
            <w:r w:rsidRPr="00B236B5">
              <w:rPr>
                <w:rFonts w:ascii="Times New Roman" w:hAnsi="Times New Roman"/>
                <w:bCs/>
              </w:rPr>
              <w:t>2019/2033</w:t>
            </w:r>
            <w:r w:rsidRPr="00B236B5">
              <w:rPr>
                <w:rFonts w:ascii="Times New Roman" w:hAnsi="Times New Roman"/>
                <w:bCs/>
              </w:rPr>
              <w:t xml:space="preserve"> artikli 12 lõikele 2 </w:t>
            </w:r>
            <w:r w:rsidRPr="00B236B5">
              <w:rPr>
                <w:rFonts w:ascii="Times New Roman" w:hAnsi="Times New Roman"/>
                <w:bCs/>
                <w:u w:val="single"/>
              </w:rPr>
              <w:t>välja</w:t>
            </w:r>
            <w:r w:rsidRPr="00B236B5">
              <w:rPr>
                <w:rFonts w:ascii="Times New Roman" w:hAnsi="Times New Roman"/>
                <w:bCs/>
              </w:rPr>
              <w:t xml:space="preserve"> kogubrutotulu, mis on saadud investeerimisühing</w:t>
            </w:r>
            <w:r w:rsidRPr="00B236B5">
              <w:rPr>
                <w:rFonts w:ascii="Times New Roman" w:hAnsi="Times New Roman"/>
                <w:bCs/>
              </w:rPr>
              <w:t>ugrupi sees.</w:t>
            </w:r>
          </w:p>
        </w:tc>
      </w:tr>
      <w:tr w:rsidR="0065631A" w:rsidRPr="00B236B5" w14:paraId="5EC4129A" w14:textId="77777777">
        <w:tc>
          <w:tcPr>
            <w:tcW w:w="1129" w:type="dxa"/>
          </w:tcPr>
          <w:p w14:paraId="3F70E48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0130</w:t>
            </w:r>
          </w:p>
        </w:tc>
        <w:tc>
          <w:tcPr>
            <w:tcW w:w="7620" w:type="dxa"/>
          </w:tcPr>
          <w:p w14:paraId="68FC4E1C"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Grupisisene osa aastasest kogubrutotulust</w:t>
            </w:r>
          </w:p>
          <w:p w14:paraId="324D690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Investeerimisühingugrupi sees saadud kogubrutotulu väärtus vastavalt määruse (EL) </w:t>
            </w:r>
            <w:r w:rsidRPr="00B236B5">
              <w:rPr>
                <w:rFonts w:ascii="Times New Roman" w:hAnsi="Times New Roman"/>
                <w:bCs/>
              </w:rPr>
              <w:t>2019/2033</w:t>
            </w:r>
            <w:r w:rsidRPr="00B236B5">
              <w:rPr>
                <w:rFonts w:ascii="Times New Roman" w:hAnsi="Times New Roman"/>
                <w:bCs/>
              </w:rPr>
              <w:t xml:space="preserve"> artikli 12 lõikele 2.</w:t>
            </w:r>
          </w:p>
        </w:tc>
      </w:tr>
      <w:tr w:rsidR="0065631A" w:rsidRPr="00B236B5" w14:paraId="7631990E" w14:textId="77777777">
        <w:tc>
          <w:tcPr>
            <w:tcW w:w="1129" w:type="dxa"/>
          </w:tcPr>
          <w:p w14:paraId="230A99F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0140</w:t>
            </w:r>
          </w:p>
        </w:tc>
        <w:tc>
          <w:tcPr>
            <w:tcW w:w="7620" w:type="dxa"/>
          </w:tcPr>
          <w:p w14:paraId="68C0F0B7"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korralduste vastuvõtmisest ja edastamisest</w:t>
            </w:r>
          </w:p>
          <w:p w14:paraId="4CDF9CD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399076F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24DA0304" w14:textId="77777777">
        <w:tc>
          <w:tcPr>
            <w:tcW w:w="1129" w:type="dxa"/>
          </w:tcPr>
          <w:p w14:paraId="67C9A36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0150</w:t>
            </w:r>
          </w:p>
        </w:tc>
        <w:tc>
          <w:tcPr>
            <w:tcW w:w="7620" w:type="dxa"/>
          </w:tcPr>
          <w:p w14:paraId="3D8F5175"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korralduste täitmisest klientide nimel</w:t>
            </w:r>
          </w:p>
          <w:p w14:paraId="3E34CC9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0A98D96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2AFD5979" w14:textId="77777777">
        <w:tc>
          <w:tcPr>
            <w:tcW w:w="1129" w:type="dxa"/>
          </w:tcPr>
          <w:p w14:paraId="5AB270D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A9EDCE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oma arvel kauplemisest</w:t>
            </w:r>
          </w:p>
          <w:p w14:paraId="0B8CDDF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362B022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35F5D1A9" w14:textId="77777777">
        <w:tc>
          <w:tcPr>
            <w:tcW w:w="1129" w:type="dxa"/>
          </w:tcPr>
          <w:p w14:paraId="545E343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D07450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portfelli valitsemisest</w:t>
            </w:r>
          </w:p>
          <w:p w14:paraId="5AF100B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6AB4D25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7FC99726" w14:textId="77777777">
        <w:tc>
          <w:tcPr>
            <w:tcW w:w="1129" w:type="dxa"/>
          </w:tcPr>
          <w:p w14:paraId="3278FE8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6C8B15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investeerimisnõustamisest</w:t>
            </w:r>
          </w:p>
          <w:p w14:paraId="3C47667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1A31B3C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7F00A5F5" w14:textId="77777777">
        <w:tc>
          <w:tcPr>
            <w:tcW w:w="1129" w:type="dxa"/>
          </w:tcPr>
          <w:p w14:paraId="73B89B2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259EF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Millest: tulu </w:t>
            </w:r>
            <w:r w:rsidRPr="00B236B5">
              <w:rPr>
                <w:rFonts w:ascii="Times New Roman" w:hAnsi="Times New Roman"/>
                <w:b/>
                <w:bCs/>
                <w:u w:val="single"/>
              </w:rPr>
              <w:t>finantsinstrumentide emissiooni tagamisest/pakkumise korraldamisest siduva kohustuse alusel</w:t>
            </w:r>
          </w:p>
          <w:p w14:paraId="1A4FEADB"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06F1A2D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49E0016E" w14:textId="77777777">
        <w:tc>
          <w:tcPr>
            <w:tcW w:w="1129" w:type="dxa"/>
          </w:tcPr>
          <w:p w14:paraId="56EBAD6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67220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pakkumise korraldamisest siduva kohustuseta</w:t>
            </w:r>
          </w:p>
          <w:p w14:paraId="519049F1"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Mä</w:t>
            </w:r>
            <w:r w:rsidRPr="00B236B5">
              <w:rPr>
                <w:rFonts w:ascii="Times New Roman" w:hAnsi="Times New Roman"/>
                <w:bCs/>
              </w:rPr>
              <w:t xml:space="preserve">äruse (EL) </w:t>
            </w:r>
            <w:r w:rsidRPr="00B236B5">
              <w:rPr>
                <w:rFonts w:ascii="Times New Roman" w:hAnsi="Times New Roman"/>
                <w:bCs/>
              </w:rPr>
              <w:t>2019/2033</w:t>
            </w:r>
            <w:r w:rsidRPr="00B236B5">
              <w:rPr>
                <w:rFonts w:ascii="Times New Roman" w:hAnsi="Times New Roman"/>
                <w:bCs/>
              </w:rPr>
              <w:t xml:space="preserve"> artikli 54 lõike 1 punkt d</w:t>
            </w:r>
          </w:p>
          <w:p w14:paraId="27718AA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6456EB3A" w14:textId="77777777">
        <w:tc>
          <w:tcPr>
            <w:tcW w:w="1129" w:type="dxa"/>
          </w:tcPr>
          <w:p w14:paraId="31A3A29E"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A25014"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mitmepoolse kauplemissüsteemi korraldamisest</w:t>
            </w:r>
          </w:p>
          <w:p w14:paraId="06E6F07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64A335E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lastRenderedPageBreak/>
              <w:t xml:space="preserve">Direktiivi </w:t>
            </w:r>
            <w:r w:rsidRPr="00B236B5">
              <w:rPr>
                <w:rFonts w:ascii="Times New Roman" w:hAnsi="Times New Roman"/>
                <w:bCs/>
              </w:rPr>
              <w:t>2014/65</w:t>
            </w:r>
            <w:r w:rsidRPr="00B236B5">
              <w:rPr>
                <w:rFonts w:ascii="Times New Roman" w:hAnsi="Times New Roman"/>
                <w:bCs/>
              </w:rPr>
              <w:t xml:space="preserve">/EL artikli 4 </w:t>
            </w:r>
            <w:r w:rsidRPr="00B236B5">
              <w:rPr>
                <w:rFonts w:ascii="Times New Roman" w:hAnsi="Times New Roman"/>
                <w:bCs/>
              </w:rPr>
              <w:t>lõike 1 punkt 2</w:t>
            </w:r>
          </w:p>
        </w:tc>
      </w:tr>
      <w:tr w:rsidR="0065631A" w:rsidRPr="00B236B5" w14:paraId="20F547E5" w14:textId="77777777">
        <w:tc>
          <w:tcPr>
            <w:tcW w:w="1129" w:type="dxa"/>
          </w:tcPr>
          <w:p w14:paraId="758AFEE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0613D1A"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organiseeritud kauplemissüsteemi korraldamisest</w:t>
            </w:r>
          </w:p>
          <w:p w14:paraId="5D720B59"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7B2A4DB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2</w:t>
            </w:r>
          </w:p>
        </w:tc>
      </w:tr>
      <w:tr w:rsidR="0065631A" w:rsidRPr="00B236B5" w14:paraId="1E022515" w14:textId="77777777">
        <w:tc>
          <w:tcPr>
            <w:tcW w:w="1129" w:type="dxa"/>
          </w:tcPr>
          <w:p w14:paraId="7CD3D5F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5C419E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 xml:space="preserve">Millest: tulu finantsinstrumentide hoidmisest ja </w:t>
            </w:r>
            <w:r w:rsidRPr="00B236B5">
              <w:rPr>
                <w:rFonts w:ascii="Times New Roman" w:hAnsi="Times New Roman"/>
                <w:b/>
                <w:bCs/>
                <w:u w:val="single"/>
              </w:rPr>
              <w:t>haldamisest</w:t>
            </w:r>
          </w:p>
          <w:p w14:paraId="2F23981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038EF2B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3</w:t>
            </w:r>
          </w:p>
        </w:tc>
      </w:tr>
      <w:tr w:rsidR="0065631A" w:rsidRPr="00B236B5" w14:paraId="7EAFB4F3" w14:textId="77777777">
        <w:tc>
          <w:tcPr>
            <w:tcW w:w="1129" w:type="dxa"/>
          </w:tcPr>
          <w:p w14:paraId="53555ED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D24FBA9"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investoritele krediidi või laenu andmisest</w:t>
            </w:r>
          </w:p>
          <w:p w14:paraId="5ED73EC9"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02908E4C"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 xml:space="preserve">/EL </w:t>
            </w:r>
            <w:r w:rsidRPr="00B236B5">
              <w:rPr>
                <w:rFonts w:ascii="Times New Roman" w:hAnsi="Times New Roman"/>
                <w:bCs/>
              </w:rPr>
              <w:t>artikli 4 lõike 1 punkt 3</w:t>
            </w:r>
          </w:p>
        </w:tc>
      </w:tr>
      <w:tr w:rsidR="0065631A" w:rsidRPr="00B236B5" w14:paraId="0A84F9CD" w14:textId="77777777">
        <w:tc>
          <w:tcPr>
            <w:tcW w:w="1129" w:type="dxa"/>
          </w:tcPr>
          <w:p w14:paraId="35BDC917"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CD836AB"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ettevõtjate nõustamisest kapitali struktuuri, tööstusstrateegia ja muudes sellealastes küsimustes ning äriühingute ühinemise ja ostuga seotud nõustamisest ja teenustest</w:t>
            </w:r>
          </w:p>
          <w:p w14:paraId="1DB62A9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w:t>
            </w:r>
            <w:r w:rsidRPr="00B236B5">
              <w:rPr>
                <w:rFonts w:ascii="Times New Roman" w:hAnsi="Times New Roman"/>
                <w:bCs/>
              </w:rPr>
              <w:t xml:space="preserve"> punkt d</w:t>
            </w:r>
          </w:p>
          <w:p w14:paraId="708DC9D6"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3</w:t>
            </w:r>
          </w:p>
        </w:tc>
      </w:tr>
      <w:tr w:rsidR="0065631A" w:rsidRPr="00B236B5" w14:paraId="6BC5EF2D" w14:textId="77777777">
        <w:tc>
          <w:tcPr>
            <w:tcW w:w="1129" w:type="dxa"/>
          </w:tcPr>
          <w:p w14:paraId="2A6FE60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D91328"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valuutavahetusteenustest</w:t>
            </w:r>
          </w:p>
          <w:p w14:paraId="1FC0B33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3EA8C622"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3</w:t>
            </w:r>
          </w:p>
        </w:tc>
      </w:tr>
      <w:tr w:rsidR="0065631A" w:rsidRPr="00B236B5" w14:paraId="5D0123CD" w14:textId="77777777">
        <w:tc>
          <w:tcPr>
            <w:tcW w:w="1129" w:type="dxa"/>
          </w:tcPr>
          <w:p w14:paraId="23756F9C"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477AA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investeerimis- ja finantsanalüüs</w:t>
            </w:r>
          </w:p>
          <w:p w14:paraId="30384CDA"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w:t>
            </w:r>
            <w:r w:rsidRPr="00B236B5">
              <w:rPr>
                <w:rFonts w:ascii="Times New Roman" w:hAnsi="Times New Roman"/>
                <w:bCs/>
              </w:rPr>
              <w:t xml:space="preserve">(EL) </w:t>
            </w:r>
            <w:r w:rsidRPr="00B236B5">
              <w:rPr>
                <w:rFonts w:ascii="Times New Roman" w:hAnsi="Times New Roman"/>
                <w:bCs/>
              </w:rPr>
              <w:t>2019/2033</w:t>
            </w:r>
            <w:r w:rsidRPr="00B236B5">
              <w:rPr>
                <w:rFonts w:ascii="Times New Roman" w:hAnsi="Times New Roman"/>
                <w:bCs/>
              </w:rPr>
              <w:t xml:space="preserve"> artikli 54 lõike 1 punkt d</w:t>
            </w:r>
          </w:p>
          <w:p w14:paraId="7AE9236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3</w:t>
            </w:r>
          </w:p>
        </w:tc>
      </w:tr>
      <w:tr w:rsidR="0065631A" w:rsidRPr="00B236B5" w14:paraId="5CF825C0" w14:textId="77777777">
        <w:tc>
          <w:tcPr>
            <w:tcW w:w="1129" w:type="dxa"/>
          </w:tcPr>
          <w:p w14:paraId="0FC75E98"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E84AF01"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Millest: tulu väärtpaberite emissiooni tagamisega seotud teenustest</w:t>
            </w:r>
          </w:p>
          <w:p w14:paraId="733AA5A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2BF123D3"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 xml:space="preserve">/EL artikli 4 </w:t>
            </w:r>
            <w:r w:rsidRPr="00B236B5">
              <w:rPr>
                <w:rFonts w:ascii="Times New Roman" w:hAnsi="Times New Roman"/>
                <w:bCs/>
              </w:rPr>
              <w:t>lõike 1 punkt 3</w:t>
            </w:r>
          </w:p>
        </w:tc>
      </w:tr>
      <w:tr w:rsidR="0065631A" w:rsidRPr="00B236B5" w14:paraId="33BC3AA2" w14:textId="77777777">
        <w:tc>
          <w:tcPr>
            <w:tcW w:w="1129" w:type="dxa"/>
          </w:tcPr>
          <w:p w14:paraId="36CD174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02170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
                <w:bCs/>
                <w:u w:val="single"/>
              </w:rPr>
              <w:t>Millest: tuletisinstrumentide alusvaraga seotud investeerimisteenused ja abitegevused</w:t>
            </w:r>
          </w:p>
          <w:p w14:paraId="6C39DEB3"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54 lõike 1 punkt d</w:t>
            </w:r>
          </w:p>
          <w:p w14:paraId="032168C0"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Direktiivi </w:t>
            </w:r>
            <w:r w:rsidRPr="00B236B5">
              <w:rPr>
                <w:rFonts w:ascii="Times New Roman" w:hAnsi="Times New Roman"/>
                <w:bCs/>
              </w:rPr>
              <w:t>2014/65</w:t>
            </w:r>
            <w:r w:rsidRPr="00B236B5">
              <w:rPr>
                <w:rFonts w:ascii="Times New Roman" w:hAnsi="Times New Roman"/>
                <w:bCs/>
              </w:rPr>
              <w:t>/EL artikli 4 lõike 1 punkt 3</w:t>
            </w:r>
          </w:p>
        </w:tc>
      </w:tr>
    </w:tbl>
    <w:p w14:paraId="57222B20" w14:textId="77777777" w:rsidR="0065631A" w:rsidRPr="00B236B5" w:rsidRDefault="0065631A">
      <w:pPr>
        <w:pStyle w:val="Instructionsberschrift2"/>
        <w:ind w:left="357" w:hanging="357"/>
        <w:rPr>
          <w:rFonts w:ascii="Times New Roman" w:hAnsi="Times New Roman" w:cs="Times New Roman"/>
          <w:b/>
          <w:sz w:val="24"/>
          <w:u w:val="none"/>
        </w:rPr>
      </w:pPr>
    </w:p>
    <w:p w14:paraId="54DD4609" w14:textId="77777777" w:rsidR="0065631A" w:rsidRPr="00B236B5" w:rsidRDefault="00B236B5">
      <w:pPr>
        <w:pStyle w:val="Instructionsberschrift2"/>
        <w:ind w:left="357" w:hanging="357"/>
        <w:rPr>
          <w:rFonts w:ascii="Times New Roman" w:hAnsi="Times New Roman" w:cs="Times New Roman"/>
          <w:b/>
          <w:sz w:val="24"/>
          <w:u w:val="none"/>
        </w:rPr>
      </w:pPr>
      <w:bookmarkStart w:id="41" w:name="_Toc88215243"/>
      <w:r w:rsidRPr="00B236B5">
        <w:rPr>
          <w:rFonts w:ascii="Times New Roman" w:hAnsi="Times New Roman"/>
          <w:b/>
          <w:sz w:val="24"/>
          <w:u w:val="none"/>
        </w:rPr>
        <w:t>3. LIKVIIDSUSNÕUDED</w:t>
      </w:r>
      <w:bookmarkEnd w:id="41"/>
    </w:p>
    <w:p w14:paraId="47D4B830" w14:textId="77777777" w:rsidR="0065631A" w:rsidRPr="00B236B5" w:rsidRDefault="00B236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2" w:name="_Toc88215244"/>
      <w:r w:rsidRPr="00B236B5">
        <w:rPr>
          <w:rFonts w:ascii="Times New Roman" w:hAnsi="Times New Roman"/>
          <w:sz w:val="24"/>
          <w:szCs w:val="24"/>
          <w:u w:val="single"/>
        </w:rPr>
        <w:t>3.1</w:t>
      </w:r>
      <w:r w:rsidRPr="00B236B5">
        <w:rPr>
          <w:rFonts w:ascii="Times New Roman" w:hAnsi="Times New Roman"/>
          <w:sz w:val="24"/>
          <w:szCs w:val="24"/>
          <w:u w:val="single"/>
        </w:rPr>
        <w:t xml:space="preserve"> I </w:t>
      </w:r>
      <w:r w:rsidRPr="00B236B5">
        <w:rPr>
          <w:rFonts w:ascii="Times New Roman" w:hAnsi="Times New Roman"/>
          <w:sz w:val="24"/>
          <w:szCs w:val="24"/>
          <w:u w:val="single"/>
        </w:rPr>
        <w:t>09.01</w:t>
      </w:r>
      <w:r w:rsidRPr="00B236B5">
        <w:rPr>
          <w:rFonts w:ascii="Times New Roman" w:hAnsi="Times New Roman"/>
          <w:sz w:val="24"/>
          <w:szCs w:val="24"/>
          <w:u w:val="single"/>
        </w:rPr>
        <w:t xml:space="preserve"> – LIKVIIDSUSNÕUDED (I </w:t>
      </w:r>
      <w:r w:rsidRPr="00B236B5">
        <w:rPr>
          <w:rFonts w:ascii="Times New Roman" w:hAnsi="Times New Roman"/>
          <w:sz w:val="24"/>
          <w:szCs w:val="24"/>
          <w:u w:val="single"/>
        </w:rPr>
        <w:t>9.1</w:t>
      </w:r>
      <w:r w:rsidRPr="00B236B5">
        <w:rPr>
          <w:rFonts w:ascii="Times New Roman" w:hAnsi="Times New Roman"/>
          <w:sz w:val="24"/>
          <w:szCs w:val="24"/>
          <w:u w:val="single"/>
        </w:rPr>
        <w:t>)</w:t>
      </w:r>
      <w:bookmarkEnd w:id="42"/>
    </w:p>
    <w:p w14:paraId="46AAD903" w14:textId="77777777" w:rsidR="0065631A" w:rsidRPr="00B236B5" w:rsidRDefault="00B236B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3" w:name="_Toc88215245"/>
      <w:r w:rsidRPr="00B236B5">
        <w:rPr>
          <w:rFonts w:ascii="Times New Roman" w:hAnsi="Times New Roman"/>
          <w:sz w:val="24"/>
          <w:szCs w:val="24"/>
        </w:rPr>
        <w:t>3.1.1.</w:t>
      </w:r>
      <w:r w:rsidRPr="00B236B5">
        <w:tab/>
      </w:r>
      <w:r w:rsidRPr="00B236B5">
        <w:rPr>
          <w:rFonts w:ascii="Times New Roman" w:hAnsi="Times New Roman"/>
          <w:sz w:val="24"/>
          <w:szCs w:val="24"/>
          <w:u w:val="single"/>
        </w:rPr>
        <w:t>Juhised konkreetsete kirjete kohta</w:t>
      </w:r>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5631A" w:rsidRPr="00B236B5" w14:paraId="1CC13836" w14:textId="77777777">
        <w:tc>
          <w:tcPr>
            <w:tcW w:w="1129" w:type="dxa"/>
            <w:shd w:val="clear" w:color="auto" w:fill="D9D9D9"/>
          </w:tcPr>
          <w:p w14:paraId="23541E2F"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Rida</w:t>
            </w:r>
          </w:p>
        </w:tc>
        <w:tc>
          <w:tcPr>
            <w:tcW w:w="7620" w:type="dxa"/>
            <w:shd w:val="clear" w:color="auto" w:fill="D9D9D9"/>
          </w:tcPr>
          <w:p w14:paraId="6D16BF99"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rPr>
              <w:t>Viited õigussätetele ja juhised</w:t>
            </w:r>
          </w:p>
        </w:tc>
      </w:tr>
      <w:tr w:rsidR="0065631A" w:rsidRPr="00B236B5" w14:paraId="3C8080F8" w14:textId="77777777">
        <w:tc>
          <w:tcPr>
            <w:tcW w:w="1129" w:type="dxa"/>
          </w:tcPr>
          <w:p w14:paraId="3B962B30"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0010</w:t>
            </w:r>
          </w:p>
        </w:tc>
        <w:tc>
          <w:tcPr>
            <w:tcW w:w="7620" w:type="dxa"/>
          </w:tcPr>
          <w:p w14:paraId="0B03936D"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Likviidsusnõue</w:t>
            </w:r>
          </w:p>
          <w:p w14:paraId="233B7EE9"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43 lõige 1</w:t>
            </w:r>
          </w:p>
        </w:tc>
      </w:tr>
      <w:tr w:rsidR="0065631A" w:rsidRPr="00B236B5" w14:paraId="779C08AE" w14:textId="77777777">
        <w:tc>
          <w:tcPr>
            <w:tcW w:w="1129" w:type="dxa"/>
          </w:tcPr>
          <w:p w14:paraId="28E0792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lastRenderedPageBreak/>
              <w:t>0020</w:t>
            </w:r>
          </w:p>
        </w:tc>
        <w:tc>
          <w:tcPr>
            <w:tcW w:w="7620" w:type="dxa"/>
          </w:tcPr>
          <w:p w14:paraId="46944C1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Klientidele antud tagatised</w:t>
            </w:r>
          </w:p>
          <w:p w14:paraId="42390645"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artikkel 45</w:t>
            </w:r>
          </w:p>
          <w:p w14:paraId="20B26A12"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Kajastatav väärtus on 1,6 % klientidele antud tagatiste kogusummast vastavalt määruse (EL) </w:t>
            </w:r>
            <w:r w:rsidRPr="00B236B5">
              <w:rPr>
                <w:rFonts w:ascii="Times New Roman" w:hAnsi="Times New Roman"/>
                <w:bCs/>
              </w:rPr>
              <w:t>2019/2033</w:t>
            </w:r>
            <w:r w:rsidRPr="00B236B5">
              <w:rPr>
                <w:rFonts w:ascii="Times New Roman" w:hAnsi="Times New Roman"/>
                <w:bCs/>
              </w:rPr>
              <w:t xml:space="preserve"> artiklile 45.</w:t>
            </w:r>
          </w:p>
        </w:tc>
      </w:tr>
      <w:tr w:rsidR="0065631A" w14:paraId="228F4453" w14:textId="77777777">
        <w:tc>
          <w:tcPr>
            <w:tcW w:w="1129" w:type="dxa"/>
          </w:tcPr>
          <w:p w14:paraId="3805FABD"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0030</w:t>
            </w:r>
          </w:p>
        </w:tc>
        <w:tc>
          <w:tcPr>
            <w:tcW w:w="7620" w:type="dxa"/>
          </w:tcPr>
          <w:p w14:paraId="5871047E" w14:textId="77777777" w:rsidR="0065631A" w:rsidRPr="00B236B5" w:rsidRDefault="00B236B5">
            <w:pPr>
              <w:spacing w:after="120" w:line="240" w:lineRule="auto"/>
              <w:jc w:val="both"/>
              <w:rPr>
                <w:rFonts w:ascii="Times New Roman" w:eastAsia="Times New Roman" w:hAnsi="Times New Roman" w:cs="Times New Roman"/>
                <w:b/>
                <w:bCs/>
                <w:u w:val="single"/>
              </w:rPr>
            </w:pPr>
            <w:r w:rsidRPr="00B236B5">
              <w:rPr>
                <w:rFonts w:ascii="Times New Roman" w:hAnsi="Times New Roman"/>
                <w:b/>
                <w:bCs/>
                <w:u w:val="single"/>
              </w:rPr>
              <w:t>Likviidsed varad kokku</w:t>
            </w:r>
          </w:p>
          <w:p w14:paraId="02C63BD4" w14:textId="77777777" w:rsidR="0065631A" w:rsidRPr="00B236B5" w:rsidRDefault="00B236B5">
            <w:pPr>
              <w:spacing w:after="120" w:line="240" w:lineRule="auto"/>
              <w:jc w:val="both"/>
              <w:rPr>
                <w:rFonts w:ascii="Times New Roman" w:eastAsia="Times New Roman" w:hAnsi="Times New Roman" w:cs="Times New Roman"/>
                <w:bCs/>
              </w:rPr>
            </w:pPr>
            <w:r w:rsidRPr="00B236B5">
              <w:rPr>
                <w:rFonts w:ascii="Times New Roman" w:hAnsi="Times New Roman"/>
                <w:bCs/>
              </w:rPr>
              <w:t xml:space="preserve">Määruse (EL) </w:t>
            </w:r>
            <w:r w:rsidRPr="00B236B5">
              <w:rPr>
                <w:rFonts w:ascii="Times New Roman" w:hAnsi="Times New Roman"/>
                <w:bCs/>
              </w:rPr>
              <w:t>2019/2033</w:t>
            </w:r>
            <w:r w:rsidRPr="00B236B5">
              <w:rPr>
                <w:rFonts w:ascii="Times New Roman" w:hAnsi="Times New Roman"/>
                <w:bCs/>
              </w:rPr>
              <w:t xml:space="preserve"> artikli 43 lõike 1 punkt a ja artikli 43 lõige 2</w:t>
            </w:r>
          </w:p>
          <w:p w14:paraId="09F1F6A1" w14:textId="77777777" w:rsidR="0065631A" w:rsidRDefault="00B236B5">
            <w:pPr>
              <w:pStyle w:val="CommentText"/>
              <w:rPr>
                <w:rFonts w:ascii="Times New Roman" w:eastAsia="Times New Roman" w:hAnsi="Times New Roman" w:cs="Times New Roman"/>
                <w:b/>
                <w:bCs/>
                <w:sz w:val="22"/>
                <w:szCs w:val="22"/>
                <w:u w:val="single"/>
              </w:rPr>
            </w:pPr>
            <w:r w:rsidRPr="00B236B5">
              <w:rPr>
                <w:rFonts w:ascii="Times New Roman" w:hAnsi="Times New Roman"/>
                <w:bCs/>
                <w:sz w:val="22"/>
                <w:szCs w:val="22"/>
              </w:rPr>
              <w:t>Likviidsete varade kogusumma kajastataks</w:t>
            </w:r>
            <w:r w:rsidRPr="00B236B5">
              <w:rPr>
                <w:rFonts w:ascii="Times New Roman" w:hAnsi="Times New Roman"/>
                <w:bCs/>
                <w:sz w:val="22"/>
                <w:szCs w:val="22"/>
              </w:rPr>
              <w:t>e pärast asjakohaste väärtuskärbete kohaldamist.</w:t>
            </w:r>
          </w:p>
        </w:tc>
      </w:tr>
    </w:tbl>
    <w:p w14:paraId="6D3CF9B5" w14:textId="77777777" w:rsidR="0065631A" w:rsidRDefault="0065631A"/>
    <w:sectPr w:rsidR="0065631A">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ABF5E3" w14:textId="77777777" w:rsidR="0065631A" w:rsidRDefault="0065631A">
      <w:pPr>
        <w:pStyle w:val="Footer"/>
      </w:pPr>
    </w:p>
  </w:endnote>
  <w:endnote w:type="continuationSeparator" w:id="0">
    <w:p w14:paraId="19A148E4" w14:textId="77777777" w:rsidR="0065631A" w:rsidRDefault="0065631A">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94D1C" w14:textId="77777777" w:rsidR="0065631A" w:rsidRDefault="006563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DB781" w14:textId="77777777" w:rsidR="0065631A" w:rsidRDefault="00B236B5">
    <w:pPr>
      <w:pStyle w:val="Footer"/>
      <w:tabs>
        <w:tab w:val="clear" w:pos="4513"/>
        <w:tab w:val="clear" w:pos="9026"/>
        <w:tab w:val="right" w:pos="9071"/>
      </w:tabs>
    </w:pPr>
    <w:r>
      <w:t>ET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7B4A2" w14:textId="77777777" w:rsidR="0065631A" w:rsidRDefault="006563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449657" w14:textId="77777777" w:rsidR="0065631A" w:rsidRDefault="0065631A">
      <w:pPr>
        <w:pStyle w:val="Footer"/>
      </w:pPr>
    </w:p>
  </w:footnote>
  <w:footnote w:type="continuationSeparator" w:id="0">
    <w:p w14:paraId="60897926" w14:textId="77777777" w:rsidR="0065631A" w:rsidRDefault="0065631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3220A" w14:textId="77777777" w:rsidR="0065631A" w:rsidRDefault="00B236B5">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42107" w14:textId="3269CA4D" w:rsidR="0065631A" w:rsidRDefault="00B236B5">
    <w:pPr>
      <w:pStyle w:val="Header"/>
    </w:pPr>
    <w:r>
      <w:rPr>
        <w:noProof/>
      </w:rPr>
      <mc:AlternateContent>
        <mc:Choice Requires="wps">
          <w:drawing>
            <wp:anchor distT="0" distB="0" distL="114300" distR="114300" simplePos="0" relativeHeight="251659264" behindDoc="0" locked="0" layoutInCell="0" allowOverlap="1" wp14:anchorId="1F82CC55" wp14:editId="2BE58F06">
              <wp:simplePos x="0" y="0"/>
              <wp:positionH relativeFrom="page">
                <wp:posOffset>0</wp:posOffset>
              </wp:positionH>
              <wp:positionV relativeFrom="page">
                <wp:posOffset>190500</wp:posOffset>
              </wp:positionV>
              <wp:extent cx="7560310" cy="273050"/>
              <wp:effectExtent l="0" t="0" r="0" b="12700"/>
              <wp:wrapNone/>
              <wp:docPr id="1" name="MSIPCM8ff046f7b86caaccfdecfca6"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57AE9D" w14:textId="0F9F3D05" w:rsidR="00B236B5" w:rsidRPr="00B236B5" w:rsidRDefault="00B236B5" w:rsidP="00B236B5">
                          <w:pPr>
                            <w:spacing w:after="0"/>
                            <w:rPr>
                              <w:rFonts w:ascii="Calibri" w:hAnsi="Calibri" w:cs="Calibri"/>
                              <w:color w:val="000000"/>
                              <w:sz w:val="24"/>
                            </w:rPr>
                          </w:pPr>
                          <w:r w:rsidRPr="00B236B5">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F82CC55" id="_x0000_t202" coordsize="21600,21600" o:spt="202" path="m,l,21600r21600,l21600,xe">
              <v:stroke joinstyle="miter"/>
              <v:path gradientshapeok="t" o:connecttype="rect"/>
            </v:shapetype>
            <v:shape id="MSIPCM8ff046f7b86caaccfdecfca6"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" o:allowincell="f" filled="f" stroked="f" strokeweight=".5pt">
              <v:fill o:detectmouseclick="t"/>
              <v:textbox inset="20pt,0,,0">
                <w:txbxContent>
                  <w:p w14:paraId="5A57AE9D" w14:textId="0F9F3D05" w:rsidR="00B236B5" w:rsidRPr="00B236B5" w:rsidRDefault="00B236B5" w:rsidP="00B236B5">
                    <w:pPr>
                      <w:spacing w:after="0"/>
                      <w:rPr>
                        <w:rFonts w:ascii="Calibri" w:hAnsi="Calibri" w:cs="Calibri"/>
                        <w:color w:val="000000"/>
                        <w:sz w:val="24"/>
                      </w:rPr>
                    </w:pPr>
                    <w:r w:rsidRPr="00B236B5">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1FC1B" w14:textId="77777777" w:rsidR="0065631A" w:rsidRDefault="00B236B5">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defaultTabStop w:val="720"/>
  <w:hyphenationZone w:val="283"/>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5631A"/>
    <w:rsid w:val="0065631A"/>
    <w:rsid w:val="00B236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0389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t-E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FE3F8119-16CE-4E25-B6F9-D968688DDA25}">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4896</Words>
  <Characters>27908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2021-11-25T14:55:00Z</dcterms:created>
  <dcterms:modified xsi:type="dcterms:W3CDTF">2022-01-14T15:48:00Z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2022-01-14T15:48:58Z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786ad21d-9515-4d20-a172-aec9113f41d3</vt:lpwstr>
  </property>
  <property fmtid="{D5CDD505-2E9C-101B-9397-08002B2CF9AE}" pid="8" name="MSIP_Label_5c7eb9de-735b-4a68-8fe4-c9c62709b012_ContentBits">
    <vt:lpwstr>1</vt:lpwstr>
  </property>
</Properties>
</file>