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6EE34" w14:textId="77777777" w:rsidR="003E49E8" w:rsidRPr="00BB789E" w:rsidRDefault="00BB789E">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BB789E">
        <w:rPr>
          <w:rFonts w:ascii="Times New Roman" w:hAnsi="Times New Roman"/>
          <w:b/>
          <w:sz w:val="24"/>
          <w:szCs w:val="24"/>
        </w:rPr>
        <w:t>LT</w:t>
      </w:r>
      <w:r w:rsidRPr="00BB789E">
        <w:br/>
      </w:r>
      <w:r w:rsidRPr="00BB789E">
        <w:rPr>
          <w:rFonts w:ascii="Times New Roman" w:hAnsi="Times New Roman"/>
          <w:b/>
          <w:sz w:val="24"/>
          <w:szCs w:val="20"/>
        </w:rPr>
        <w:t>IX PRIEDAS</w:t>
      </w:r>
    </w:p>
    <w:p w14:paraId="34BD1BC8" w14:textId="77777777" w:rsidR="003E49E8" w:rsidRPr="00BB789E" w:rsidRDefault="00BB789E">
      <w:pPr>
        <w:spacing w:after="240" w:line="240" w:lineRule="auto"/>
        <w:jc w:val="center"/>
        <w:rPr>
          <w:rFonts w:ascii="Times New Roman" w:eastAsia="Times New Roman" w:hAnsi="Times New Roman" w:cs="Times New Roman"/>
          <w:b/>
          <w:sz w:val="24"/>
          <w:szCs w:val="20"/>
          <w:u w:val="single"/>
        </w:rPr>
      </w:pPr>
      <w:r w:rsidRPr="00BB789E">
        <w:rPr>
          <w:rFonts w:ascii="Times New Roman" w:hAnsi="Times New Roman"/>
          <w:b/>
          <w:sz w:val="24"/>
          <w:szCs w:val="20"/>
          <w:u w:val="single"/>
        </w:rPr>
        <w:t xml:space="preserve">„IX </w:t>
      </w:r>
      <w:bookmarkEnd w:id="0"/>
      <w:bookmarkEnd w:id="1"/>
      <w:r w:rsidRPr="00BB789E">
        <w:rPr>
          <w:rFonts w:ascii="Times New Roman" w:hAnsi="Times New Roman"/>
          <w:b/>
          <w:sz w:val="24"/>
          <w:szCs w:val="20"/>
          <w:u w:val="single"/>
        </w:rPr>
        <w:t>PRIEDAS</w:t>
      </w:r>
    </w:p>
    <w:p w14:paraId="55DF87CB" w14:textId="77777777" w:rsidR="003E49E8" w:rsidRPr="00BB789E" w:rsidRDefault="00BB789E">
      <w:pPr>
        <w:spacing w:after="240" w:line="240" w:lineRule="auto"/>
        <w:jc w:val="center"/>
        <w:rPr>
          <w:rFonts w:ascii="Times New Roman" w:eastAsia="Times New Roman" w:hAnsi="Times New Roman" w:cs="Times New Roman"/>
          <w:b/>
          <w:sz w:val="24"/>
          <w:szCs w:val="20"/>
        </w:rPr>
      </w:pPr>
      <w:r w:rsidRPr="00BB789E">
        <w:rPr>
          <w:rFonts w:ascii="Times New Roman" w:hAnsi="Times New Roman"/>
          <w:b/>
          <w:sz w:val="24"/>
          <w:szCs w:val="20"/>
        </w:rPr>
        <w:t>SU GRUPĖS KAPITALO TESTU SUSIJUSIOS INFORMACIJOS TEIKIMAS</w:t>
      </w:r>
    </w:p>
    <w:p w14:paraId="7B69632A" w14:textId="77777777" w:rsidR="003E49E8" w:rsidRPr="00BB789E" w:rsidRDefault="00BB789E">
      <w:pPr>
        <w:spacing w:after="0" w:line="240" w:lineRule="auto"/>
        <w:rPr>
          <w:rFonts w:ascii="Times New Roman" w:eastAsia="Times New Roman" w:hAnsi="Times New Roman" w:cs="Times New Roman"/>
          <w:sz w:val="24"/>
          <w:szCs w:val="24"/>
        </w:rPr>
      </w:pPr>
      <w:r w:rsidRPr="00BB789E">
        <w:rPr>
          <w:rFonts w:ascii="Times New Roman" w:hAnsi="Times New Roman"/>
          <w:sz w:val="24"/>
          <w:szCs w:val="24"/>
        </w:rPr>
        <w:t>Turinys</w:t>
      </w:r>
    </w:p>
    <w:p w14:paraId="150E3C18" w14:textId="77777777" w:rsidR="003E49E8" w:rsidRPr="00BB789E" w:rsidRDefault="00BB789E">
      <w:pPr>
        <w:pStyle w:val="TOC2"/>
        <w:tabs>
          <w:tab w:val="right" w:leader="dot" w:pos="9016"/>
        </w:tabs>
        <w:rPr>
          <w:rFonts w:eastAsiaTheme="minorEastAsia"/>
          <w:noProof/>
          <w:lang w:val="en-GB" w:eastAsia="en-GB"/>
        </w:rPr>
      </w:pPr>
      <w:r w:rsidRPr="00BB789E">
        <w:rPr>
          <w:rFonts w:ascii="Times New Roman" w:hAnsi="Times New Roman"/>
          <w:noProof/>
        </w:rPr>
        <w:t>I DALIS. BENDRIEJI NURODYMAI</w:t>
      </w:r>
      <w:r w:rsidRPr="00BB789E">
        <w:rPr>
          <w:noProof/>
        </w:rPr>
        <w:tab/>
        <w:t>2</w:t>
      </w:r>
    </w:p>
    <w:p w14:paraId="5E2425AE" w14:textId="77777777" w:rsidR="003E49E8" w:rsidRPr="00BB789E" w:rsidRDefault="00BB789E">
      <w:pPr>
        <w:pStyle w:val="TOC2"/>
        <w:tabs>
          <w:tab w:val="right" w:leader="dot" w:pos="9016"/>
        </w:tabs>
        <w:rPr>
          <w:rFonts w:eastAsiaTheme="minorEastAsia"/>
          <w:noProof/>
          <w:lang w:val="en-GB" w:eastAsia="en-GB"/>
        </w:rPr>
      </w:pPr>
      <w:r w:rsidRPr="00BB789E">
        <w:rPr>
          <w:rFonts w:ascii="Times New Roman" w:hAnsi="Times New Roman"/>
          <w:noProof/>
        </w:rPr>
        <w:t>1. Struktūra ir tvarka</w:t>
      </w:r>
      <w:r w:rsidRPr="00BB789E">
        <w:rPr>
          <w:noProof/>
        </w:rPr>
        <w:tab/>
        <w:t>2</w:t>
      </w:r>
    </w:p>
    <w:p w14:paraId="2BC6708F" w14:textId="77777777" w:rsidR="003E49E8" w:rsidRPr="00BB789E" w:rsidRDefault="00BB789E">
      <w:pPr>
        <w:pStyle w:val="TOC2"/>
        <w:tabs>
          <w:tab w:val="right" w:leader="dot" w:pos="9016"/>
        </w:tabs>
        <w:rPr>
          <w:rFonts w:eastAsiaTheme="minorEastAsia"/>
          <w:noProof/>
          <w:lang w:val="en-GB" w:eastAsia="en-GB"/>
        </w:rPr>
      </w:pPr>
      <w:r w:rsidRPr="00BB789E">
        <w:rPr>
          <w:rFonts w:ascii="Times New Roman" w:hAnsi="Times New Roman"/>
          <w:noProof/>
          <w:u w:val="single"/>
        </w:rPr>
        <w:t>1.1. Struktūra</w:t>
      </w:r>
      <w:r w:rsidRPr="00BB789E">
        <w:rPr>
          <w:noProof/>
        </w:rPr>
        <w:tab/>
        <w:t>2</w:t>
      </w:r>
    </w:p>
    <w:p w14:paraId="76D8EA73" w14:textId="77777777" w:rsidR="003E49E8" w:rsidRPr="00BB789E" w:rsidRDefault="00BB789E">
      <w:pPr>
        <w:pStyle w:val="TOC2"/>
        <w:tabs>
          <w:tab w:val="right" w:leader="dot" w:pos="9016"/>
        </w:tabs>
        <w:rPr>
          <w:rFonts w:eastAsiaTheme="minorEastAsia"/>
          <w:noProof/>
          <w:lang w:val="en-GB" w:eastAsia="en-GB"/>
        </w:rPr>
      </w:pPr>
      <w:r w:rsidRPr="00BB789E">
        <w:rPr>
          <w:rFonts w:ascii="Times New Roman" w:hAnsi="Times New Roman"/>
          <w:noProof/>
          <w:u w:val="single"/>
        </w:rPr>
        <w:t>1.2. Numeravimo tvarka</w:t>
      </w:r>
      <w:r w:rsidRPr="00BB789E">
        <w:rPr>
          <w:noProof/>
        </w:rPr>
        <w:tab/>
        <w:t>2</w:t>
      </w:r>
    </w:p>
    <w:p w14:paraId="7AA72912" w14:textId="77777777" w:rsidR="003E49E8" w:rsidRPr="00BB789E" w:rsidRDefault="00BB789E">
      <w:pPr>
        <w:pStyle w:val="TOC2"/>
        <w:tabs>
          <w:tab w:val="right" w:leader="dot" w:pos="9016"/>
        </w:tabs>
        <w:rPr>
          <w:rFonts w:eastAsiaTheme="minorEastAsia"/>
          <w:noProof/>
          <w:lang w:val="fr-FR" w:eastAsia="en-GB"/>
        </w:rPr>
      </w:pPr>
      <w:r w:rsidRPr="00BB789E">
        <w:rPr>
          <w:rFonts w:ascii="Times New Roman" w:hAnsi="Times New Roman"/>
          <w:noProof/>
          <w:u w:val="single"/>
        </w:rPr>
        <w:t>1.3. Ženklų tvarka</w:t>
      </w:r>
      <w:r w:rsidRPr="00BB789E">
        <w:rPr>
          <w:noProof/>
        </w:rPr>
        <w:tab/>
        <w:t>2</w:t>
      </w:r>
    </w:p>
    <w:p w14:paraId="79DF9BEF" w14:textId="77777777" w:rsidR="003E49E8" w:rsidRPr="00BB789E" w:rsidRDefault="00BB789E">
      <w:pPr>
        <w:pStyle w:val="TOC2"/>
        <w:tabs>
          <w:tab w:val="right" w:leader="dot" w:pos="9016"/>
        </w:tabs>
        <w:rPr>
          <w:rFonts w:eastAsiaTheme="minorEastAsia"/>
          <w:noProof/>
          <w:lang w:val="fr-BE" w:eastAsia="en-GB"/>
        </w:rPr>
      </w:pPr>
      <w:r w:rsidRPr="00BB789E">
        <w:rPr>
          <w:rFonts w:ascii="Times New Roman" w:hAnsi="Times New Roman"/>
          <w:noProof/>
        </w:rPr>
        <w:t xml:space="preserve">II DALIS. SU </w:t>
      </w:r>
      <w:r w:rsidRPr="00BB789E">
        <w:rPr>
          <w:rFonts w:ascii="Times New Roman" w:hAnsi="Times New Roman"/>
          <w:noProof/>
        </w:rPr>
        <w:t>FORMOMIS SUSIJĘ NURODYMAI</w:t>
      </w:r>
      <w:r w:rsidRPr="00BB789E">
        <w:rPr>
          <w:noProof/>
        </w:rPr>
        <w:tab/>
        <w:t>2</w:t>
      </w:r>
    </w:p>
    <w:p w14:paraId="126E1E88" w14:textId="77777777" w:rsidR="003E49E8" w:rsidRPr="00BB789E" w:rsidRDefault="00BB789E">
      <w:pPr>
        <w:pStyle w:val="TOC2"/>
        <w:tabs>
          <w:tab w:val="right" w:leader="dot" w:pos="9016"/>
        </w:tabs>
        <w:rPr>
          <w:rFonts w:eastAsiaTheme="minorEastAsia"/>
          <w:noProof/>
          <w:lang w:val="fr-BE" w:eastAsia="en-GB"/>
        </w:rPr>
      </w:pPr>
      <w:r w:rsidRPr="00BB789E">
        <w:rPr>
          <w:rFonts w:ascii="Times New Roman" w:hAnsi="Times New Roman"/>
          <w:b/>
          <w:noProof/>
        </w:rPr>
        <w:t>1. NUOSAVOS LĖŠOS: SUMA, SUDĖTIS, REIKALAVIMAI IR APSKAIČIAVIMAS</w:t>
      </w:r>
      <w:r w:rsidRPr="00BB789E">
        <w:rPr>
          <w:noProof/>
        </w:rPr>
        <w:tab/>
        <w:t>2</w:t>
      </w:r>
    </w:p>
    <w:p w14:paraId="259600E1" w14:textId="77777777" w:rsidR="003E49E8" w:rsidRPr="00BB789E" w:rsidRDefault="00BB789E">
      <w:pPr>
        <w:pStyle w:val="TOC2"/>
        <w:tabs>
          <w:tab w:val="right" w:leader="dot" w:pos="9016"/>
        </w:tabs>
        <w:rPr>
          <w:rFonts w:eastAsiaTheme="minorEastAsia"/>
          <w:noProof/>
          <w:lang w:val="fr-BE" w:eastAsia="en-GB"/>
        </w:rPr>
      </w:pPr>
      <w:r w:rsidRPr="00BB789E">
        <w:rPr>
          <w:rFonts w:ascii="Times New Roman" w:hAnsi="Times New Roman"/>
          <w:noProof/>
        </w:rPr>
        <w:t>1.1. Bendrosios pastabos</w:t>
      </w:r>
      <w:r w:rsidRPr="00BB789E">
        <w:rPr>
          <w:noProof/>
        </w:rPr>
        <w:tab/>
        <w:t>2</w:t>
      </w:r>
    </w:p>
    <w:p w14:paraId="06AC776E" w14:textId="77777777" w:rsidR="003E49E8" w:rsidRPr="00BB789E" w:rsidRDefault="00BB789E">
      <w:pPr>
        <w:pStyle w:val="TOC2"/>
        <w:tabs>
          <w:tab w:val="right" w:leader="dot" w:pos="9016"/>
        </w:tabs>
        <w:rPr>
          <w:rFonts w:eastAsiaTheme="minorEastAsia"/>
          <w:noProof/>
          <w:lang w:eastAsia="en-GB"/>
        </w:rPr>
      </w:pPr>
      <w:r w:rsidRPr="00BB789E">
        <w:rPr>
          <w:rFonts w:ascii="Times New Roman" w:hAnsi="Times New Roman"/>
          <w:noProof/>
        </w:rPr>
        <w:t>1.2. I 11.01. NUOSAVŲ LĖŠŲ SUDĖTIS. GRUPĖS KAPITALO TESTAS (I11.1)</w:t>
      </w:r>
      <w:r w:rsidRPr="00BB789E">
        <w:rPr>
          <w:noProof/>
        </w:rPr>
        <w:tab/>
        <w:t>3</w:t>
      </w:r>
    </w:p>
    <w:p w14:paraId="216E7993" w14:textId="77777777" w:rsidR="003E49E8" w:rsidRPr="00BB789E" w:rsidRDefault="00BB789E">
      <w:pPr>
        <w:pStyle w:val="TOC2"/>
        <w:tabs>
          <w:tab w:val="left" w:pos="1100"/>
          <w:tab w:val="right" w:leader="dot" w:pos="9016"/>
        </w:tabs>
        <w:rPr>
          <w:rFonts w:eastAsiaTheme="minorEastAsia"/>
          <w:noProof/>
          <w:lang w:eastAsia="en-GB"/>
        </w:rPr>
      </w:pPr>
      <w:r w:rsidRPr="00BB789E">
        <w:rPr>
          <w:rFonts w:ascii="Times New Roman" w:hAnsi="Times New Roman"/>
          <w:noProof/>
        </w:rPr>
        <w:t>1.2.1.</w:t>
      </w:r>
      <w:r w:rsidRPr="00BB789E">
        <w:rPr>
          <w:rFonts w:eastAsiaTheme="minorEastAsia"/>
          <w:noProof/>
          <w:lang w:eastAsia="en-GB"/>
        </w:rPr>
        <w:tab/>
      </w:r>
      <w:r w:rsidRPr="00BB789E">
        <w:rPr>
          <w:rFonts w:ascii="Times New Roman" w:hAnsi="Times New Roman"/>
          <w:noProof/>
        </w:rPr>
        <w:t>Nurodymai dėl konkrečių pozicijų</w:t>
      </w:r>
      <w:r w:rsidRPr="00BB789E">
        <w:rPr>
          <w:noProof/>
        </w:rPr>
        <w:tab/>
        <w:t>3</w:t>
      </w:r>
    </w:p>
    <w:p w14:paraId="263AC23D" w14:textId="77777777" w:rsidR="003E49E8" w:rsidRPr="00BB789E" w:rsidRDefault="00BB789E">
      <w:pPr>
        <w:pStyle w:val="TOC2"/>
        <w:tabs>
          <w:tab w:val="right" w:leader="dot" w:pos="9016"/>
        </w:tabs>
        <w:rPr>
          <w:rFonts w:eastAsiaTheme="minorEastAsia"/>
          <w:noProof/>
          <w:lang w:val="en-GB" w:eastAsia="en-GB"/>
        </w:rPr>
      </w:pPr>
      <w:r w:rsidRPr="00BB789E">
        <w:rPr>
          <w:rFonts w:ascii="Times New Roman" w:hAnsi="Times New Roman"/>
          <w:noProof/>
        </w:rPr>
        <w:t xml:space="preserve">1.3. I 11.02. </w:t>
      </w:r>
      <w:r w:rsidRPr="00BB789E">
        <w:rPr>
          <w:rFonts w:ascii="Times New Roman" w:hAnsi="Times New Roman"/>
          <w:noProof/>
        </w:rPr>
        <w:t>NUOSAVŲ LĖŠŲ REIKALAVIMAI. GRUPĖS KAPITALO TESTAS (I11.2)</w:t>
      </w:r>
      <w:r w:rsidRPr="00BB789E">
        <w:rPr>
          <w:noProof/>
        </w:rPr>
        <w:tab/>
        <w:t>8</w:t>
      </w:r>
    </w:p>
    <w:p w14:paraId="373A5CBA" w14:textId="77777777" w:rsidR="003E49E8" w:rsidRPr="00BB789E" w:rsidRDefault="00BB789E">
      <w:pPr>
        <w:pStyle w:val="TOC2"/>
        <w:tabs>
          <w:tab w:val="left" w:pos="1100"/>
          <w:tab w:val="right" w:leader="dot" w:pos="9016"/>
        </w:tabs>
        <w:rPr>
          <w:rFonts w:eastAsiaTheme="minorEastAsia"/>
          <w:noProof/>
          <w:lang w:val="en-GB" w:eastAsia="en-GB"/>
        </w:rPr>
      </w:pPr>
      <w:r w:rsidRPr="00BB789E">
        <w:rPr>
          <w:rFonts w:ascii="Times New Roman" w:hAnsi="Times New Roman"/>
          <w:noProof/>
        </w:rPr>
        <w:t>1.3.1.</w:t>
      </w:r>
      <w:r w:rsidRPr="00BB789E">
        <w:rPr>
          <w:rFonts w:eastAsiaTheme="minorEastAsia"/>
          <w:noProof/>
          <w:lang w:val="en-GB" w:eastAsia="en-GB"/>
        </w:rPr>
        <w:tab/>
      </w:r>
      <w:r w:rsidRPr="00BB789E">
        <w:rPr>
          <w:rFonts w:ascii="Times New Roman" w:hAnsi="Times New Roman"/>
          <w:noProof/>
          <w:u w:val="single"/>
        </w:rPr>
        <w:t>Nurodymai dėl konkrečių pozicijų</w:t>
      </w:r>
      <w:r w:rsidRPr="00BB789E">
        <w:rPr>
          <w:noProof/>
        </w:rPr>
        <w:tab/>
        <w:t>8</w:t>
      </w:r>
    </w:p>
    <w:p w14:paraId="550418BF" w14:textId="77777777" w:rsidR="003E49E8" w:rsidRPr="00BB789E" w:rsidRDefault="00BB789E">
      <w:pPr>
        <w:pStyle w:val="TOC2"/>
        <w:tabs>
          <w:tab w:val="right" w:leader="dot" w:pos="9016"/>
        </w:tabs>
        <w:rPr>
          <w:rFonts w:eastAsiaTheme="minorEastAsia"/>
          <w:noProof/>
          <w:lang w:val="en-GB" w:eastAsia="en-GB"/>
        </w:rPr>
      </w:pPr>
      <w:r w:rsidRPr="00BB789E">
        <w:rPr>
          <w:rFonts w:ascii="Times New Roman" w:hAnsi="Times New Roman"/>
          <w:noProof/>
        </w:rPr>
        <w:t>1.4. IF 11.03 – INFORMACIJA APIE PATRONUOJAMĄSIAS ĮMONES (IF11.3)</w:t>
      </w:r>
      <w:r w:rsidRPr="00BB789E">
        <w:rPr>
          <w:noProof/>
        </w:rPr>
        <w:tab/>
        <w:t>9</w:t>
      </w:r>
    </w:p>
    <w:p w14:paraId="193634AD" w14:textId="77777777" w:rsidR="003E49E8" w:rsidRPr="00BB789E" w:rsidRDefault="00BB789E">
      <w:pPr>
        <w:pStyle w:val="TOC2"/>
        <w:tabs>
          <w:tab w:val="left" w:pos="1100"/>
          <w:tab w:val="right" w:leader="dot" w:pos="9016"/>
        </w:tabs>
        <w:rPr>
          <w:rFonts w:eastAsiaTheme="minorEastAsia"/>
          <w:noProof/>
          <w:lang w:val="en-GB" w:eastAsia="en-GB"/>
        </w:rPr>
      </w:pPr>
      <w:r w:rsidRPr="00BB789E">
        <w:rPr>
          <w:rFonts w:ascii="Times New Roman" w:hAnsi="Times New Roman"/>
          <w:noProof/>
        </w:rPr>
        <w:t>1.4.1.</w:t>
      </w:r>
      <w:r w:rsidRPr="00BB789E">
        <w:rPr>
          <w:rFonts w:eastAsiaTheme="minorEastAsia"/>
          <w:noProof/>
          <w:lang w:val="en-GB" w:eastAsia="en-GB"/>
        </w:rPr>
        <w:tab/>
      </w:r>
      <w:r w:rsidRPr="00BB789E">
        <w:rPr>
          <w:rFonts w:ascii="Times New Roman" w:hAnsi="Times New Roman"/>
          <w:noProof/>
          <w:u w:val="single"/>
        </w:rPr>
        <w:t>Nurodymai dėl konkrečių pozicijų</w:t>
      </w:r>
      <w:r w:rsidRPr="00BB789E">
        <w:rPr>
          <w:noProof/>
        </w:rPr>
        <w:tab/>
        <w:t>9</w:t>
      </w:r>
      <w:bookmarkStart w:id="6" w:name="_Toc360188322"/>
      <w:bookmarkStart w:id="7" w:name="_Toc473560870"/>
      <w:bookmarkStart w:id="8" w:name="_Toc7084155"/>
    </w:p>
    <w:p w14:paraId="4F8F89CB" w14:textId="77777777" w:rsidR="003E49E8" w:rsidRPr="00BB789E" w:rsidRDefault="003E49E8">
      <w:pPr>
        <w:rPr>
          <w:lang w:val="en-IE"/>
        </w:rPr>
      </w:pPr>
    </w:p>
    <w:p w14:paraId="50A60C62" w14:textId="77777777" w:rsidR="003E49E8" w:rsidRPr="00BB789E" w:rsidRDefault="003E49E8">
      <w:pPr>
        <w:rPr>
          <w:lang w:val="en-IE"/>
        </w:rPr>
      </w:pPr>
    </w:p>
    <w:p w14:paraId="0D35EB10" w14:textId="77777777" w:rsidR="003E49E8" w:rsidRPr="00BB789E" w:rsidRDefault="00BB789E">
      <w:pPr>
        <w:pStyle w:val="Heading2"/>
        <w:rPr>
          <w:rFonts w:ascii="Times New Roman" w:hAnsi="Times New Roman"/>
        </w:rPr>
      </w:pPr>
      <w:bookmarkStart w:id="9" w:name="_Toc88057049"/>
      <w:r w:rsidRPr="00BB789E">
        <w:rPr>
          <w:rFonts w:ascii="Times New Roman" w:hAnsi="Times New Roman"/>
        </w:rPr>
        <w:t>I DALIS. BENDRIEJI NURODYMAI</w:t>
      </w:r>
      <w:bookmarkEnd w:id="9"/>
    </w:p>
    <w:p w14:paraId="68878805" w14:textId="77777777" w:rsidR="003E49E8" w:rsidRPr="00BB789E" w:rsidRDefault="00BB789E">
      <w:pPr>
        <w:keepNext/>
        <w:spacing w:before="240" w:after="240" w:line="240" w:lineRule="auto"/>
        <w:jc w:val="both"/>
        <w:outlineLvl w:val="1"/>
        <w:rPr>
          <w:rFonts w:ascii="Times New Roman" w:eastAsia="Arial" w:hAnsi="Times New Roman" w:cs="Times New Roman"/>
          <w:sz w:val="24"/>
          <w:szCs w:val="24"/>
        </w:rPr>
      </w:pPr>
      <w:bookmarkStart w:id="10" w:name="_Toc88057050"/>
      <w:r w:rsidRPr="00BB789E">
        <w:rPr>
          <w:rFonts w:ascii="Times New Roman" w:hAnsi="Times New Roman"/>
          <w:sz w:val="24"/>
          <w:szCs w:val="24"/>
        </w:rPr>
        <w:t xml:space="preserve">1. Struktūra </w:t>
      </w:r>
      <w:r w:rsidRPr="00BB789E">
        <w:rPr>
          <w:rFonts w:ascii="Times New Roman" w:hAnsi="Times New Roman"/>
          <w:sz w:val="24"/>
          <w:szCs w:val="24"/>
        </w:rPr>
        <w:t>ir tvarka</w:t>
      </w:r>
      <w:bookmarkEnd w:id="10"/>
    </w:p>
    <w:p w14:paraId="327A2566" w14:textId="77777777" w:rsidR="003E49E8" w:rsidRPr="00BB789E" w:rsidRDefault="00BB789E">
      <w:pPr>
        <w:keepNext/>
        <w:spacing w:before="240" w:after="240" w:line="240" w:lineRule="auto"/>
        <w:jc w:val="both"/>
        <w:outlineLvl w:val="1"/>
        <w:rPr>
          <w:rFonts w:ascii="Times New Roman" w:eastAsia="Arial" w:hAnsi="Times New Roman" w:cs="Times New Roman"/>
          <w:sz w:val="24"/>
          <w:szCs w:val="24"/>
          <w:u w:val="single"/>
        </w:rPr>
      </w:pPr>
      <w:bookmarkStart w:id="11" w:name="_Toc88057051"/>
      <w:r w:rsidRPr="00BB789E">
        <w:rPr>
          <w:rFonts w:ascii="Times New Roman" w:hAnsi="Times New Roman"/>
          <w:sz w:val="24"/>
          <w:szCs w:val="24"/>
          <w:u w:val="single"/>
        </w:rPr>
        <w:t>1.1. Struktūra</w:t>
      </w:r>
      <w:bookmarkEnd w:id="11"/>
    </w:p>
    <w:p w14:paraId="12F97E05" w14:textId="77777777" w:rsidR="003E49E8" w:rsidRPr="00BB789E" w:rsidRDefault="00BB789E">
      <w:pPr>
        <w:spacing w:line="256" w:lineRule="auto"/>
        <w:ind w:left="993" w:hanging="504"/>
        <w:jc w:val="both"/>
        <w:rPr>
          <w:rFonts w:ascii="Times New Roman" w:hAnsi="Times New Roman" w:cs="Times New Roman"/>
        </w:rPr>
      </w:pPr>
      <w:r w:rsidRPr="00BB789E">
        <w:rPr>
          <w:rFonts w:ascii="Times New Roman" w:hAnsi="Times New Roman" w:cs="Times New Roman"/>
        </w:rPr>
        <w:t>1.</w:t>
      </w:r>
      <w:r w:rsidRPr="00BB789E">
        <w:rPr>
          <w:rFonts w:ascii="Times New Roman" w:hAnsi="Times New Roman" w:cs="Times New Roman"/>
        </w:rPr>
        <w:tab/>
      </w:r>
      <w:r w:rsidRPr="00BB789E">
        <w:rPr>
          <w:rFonts w:ascii="Times New Roman" w:hAnsi="Times New Roman"/>
        </w:rPr>
        <w:t>Apskritai su grupės kapitalo testu susijusi informacija teikiama 2 formose:</w:t>
      </w:r>
    </w:p>
    <w:p w14:paraId="08642FA1" w14:textId="77777777" w:rsidR="003E49E8" w:rsidRPr="00BB789E" w:rsidRDefault="00BB789E">
      <w:pPr>
        <w:spacing w:line="256" w:lineRule="auto"/>
        <w:ind w:left="1728" w:hanging="648"/>
        <w:jc w:val="both"/>
        <w:rPr>
          <w:rFonts w:ascii="Times New Roman" w:hAnsi="Times New Roman" w:cs="Times New Roman"/>
        </w:rPr>
      </w:pPr>
      <w:r w:rsidRPr="00BB789E">
        <w:rPr>
          <w:rFonts w:ascii="Times New Roman" w:hAnsi="Times New Roman" w:cs="Times New Roman"/>
        </w:rPr>
        <w:t>a)</w:t>
      </w:r>
      <w:r w:rsidRPr="00BB789E">
        <w:rPr>
          <w:rFonts w:ascii="Times New Roman" w:hAnsi="Times New Roman" w:cs="Times New Roman"/>
        </w:rPr>
        <w:tab/>
      </w:r>
      <w:r w:rsidRPr="00BB789E">
        <w:rPr>
          <w:rFonts w:ascii="Times New Roman" w:hAnsi="Times New Roman"/>
        </w:rPr>
        <w:t>Nuosavų lėšų sudėtis;</w:t>
      </w:r>
    </w:p>
    <w:p w14:paraId="0683F49B" w14:textId="77777777" w:rsidR="003E49E8" w:rsidRPr="00BB789E" w:rsidRDefault="00BB789E">
      <w:pPr>
        <w:spacing w:line="256" w:lineRule="auto"/>
        <w:ind w:left="1728" w:hanging="648"/>
        <w:jc w:val="both"/>
        <w:rPr>
          <w:rFonts w:ascii="Times New Roman" w:hAnsi="Times New Roman" w:cs="Times New Roman"/>
        </w:rPr>
      </w:pPr>
      <w:r w:rsidRPr="00BB789E">
        <w:rPr>
          <w:rFonts w:ascii="Times New Roman" w:hAnsi="Times New Roman" w:cs="Times New Roman"/>
        </w:rPr>
        <w:t>b)</w:t>
      </w:r>
      <w:r w:rsidRPr="00BB789E">
        <w:rPr>
          <w:rFonts w:ascii="Times New Roman" w:hAnsi="Times New Roman" w:cs="Times New Roman"/>
        </w:rPr>
        <w:tab/>
      </w:r>
      <w:r w:rsidRPr="00BB789E">
        <w:rPr>
          <w:rFonts w:ascii="Times New Roman" w:hAnsi="Times New Roman"/>
        </w:rPr>
        <w:t>Nuosavų lėšų priemonės.</w:t>
      </w:r>
    </w:p>
    <w:p w14:paraId="0F4B8BDE" w14:textId="77777777" w:rsidR="003E49E8" w:rsidRPr="00BB789E" w:rsidRDefault="00BB789E">
      <w:pPr>
        <w:pStyle w:val="InstructionsText2"/>
        <w:numPr>
          <w:ilvl w:val="0"/>
          <w:numId w:val="0"/>
        </w:numPr>
        <w:ind w:left="360" w:hanging="360"/>
      </w:pPr>
      <w:r w:rsidRPr="00BB789E">
        <w:t>2.</w:t>
      </w:r>
      <w:r w:rsidRPr="00BB789E">
        <w:tab/>
        <w:t xml:space="preserve">Kiekvienai formai pateikiamos nuorodos į teisės aktus. Išsamesnė informacija apie </w:t>
      </w:r>
      <w:r w:rsidRPr="00BB789E">
        <w:t>bendresnius informacijos teikimo pagal kiekvieną formų grupę aspektus, nurodymai dėl konkrečių pozicijų, taip pat patvirtinimo taisyklės yra pateikti šioje šio reglamento dalyje.</w:t>
      </w:r>
    </w:p>
    <w:p w14:paraId="604187E8" w14:textId="77777777" w:rsidR="003E49E8" w:rsidRPr="00BB789E" w:rsidRDefault="00BB789E">
      <w:pPr>
        <w:keepNext/>
        <w:spacing w:before="240" w:after="240" w:line="240" w:lineRule="auto"/>
        <w:jc w:val="both"/>
        <w:outlineLvl w:val="1"/>
        <w:rPr>
          <w:rFonts w:ascii="Times New Roman" w:eastAsia="Arial" w:hAnsi="Times New Roman" w:cs="Times New Roman"/>
          <w:sz w:val="24"/>
          <w:szCs w:val="24"/>
          <w:u w:val="single"/>
        </w:rPr>
      </w:pPr>
      <w:bookmarkStart w:id="12" w:name="_Toc88057052"/>
      <w:r w:rsidRPr="00BB789E">
        <w:rPr>
          <w:rFonts w:ascii="Times New Roman" w:hAnsi="Times New Roman"/>
          <w:sz w:val="24"/>
          <w:szCs w:val="24"/>
          <w:u w:val="single"/>
        </w:rPr>
        <w:t>1.2. Numeravimo tvarka</w:t>
      </w:r>
      <w:bookmarkEnd w:id="12"/>
    </w:p>
    <w:p w14:paraId="4D07BB54" w14:textId="77777777" w:rsidR="003E49E8" w:rsidRPr="00BB789E" w:rsidRDefault="00BB789E">
      <w:pPr>
        <w:pStyle w:val="InstructionsText2"/>
        <w:numPr>
          <w:ilvl w:val="0"/>
          <w:numId w:val="0"/>
        </w:numPr>
        <w:ind w:left="360" w:hanging="360"/>
      </w:pPr>
      <w:r w:rsidRPr="00BB789E">
        <w:t>3.</w:t>
      </w:r>
      <w:r w:rsidRPr="00BB789E">
        <w:tab/>
        <w:t>Dokumente nurodant formų skiltis, eilutes ir laukel</w:t>
      </w:r>
      <w:r w:rsidRPr="00BB789E">
        <w:t>ius taikoma 4–7 punktuose nurodyta žymėjimo tvarka. Tie skaitiniai kodai plačiai naudojami patvirtinimo taisyklėse.</w:t>
      </w:r>
    </w:p>
    <w:p w14:paraId="3CAA5C82" w14:textId="77777777" w:rsidR="003E49E8" w:rsidRPr="00BB789E" w:rsidRDefault="00BB789E">
      <w:pPr>
        <w:pStyle w:val="InstructionsText2"/>
        <w:numPr>
          <w:ilvl w:val="0"/>
          <w:numId w:val="0"/>
        </w:numPr>
        <w:ind w:left="360" w:hanging="360"/>
      </w:pPr>
      <w:r w:rsidRPr="00BB789E">
        <w:lastRenderedPageBreak/>
        <w:t>4.</w:t>
      </w:r>
      <w:r w:rsidRPr="00BB789E">
        <w:tab/>
        <w:t>Nurodymuose laikomasi šios bendros žymėjimo tvarkos: {forma; eilutė; skiltis}.</w:t>
      </w:r>
    </w:p>
    <w:p w14:paraId="6EABBCA4" w14:textId="77777777" w:rsidR="003E49E8" w:rsidRPr="00BB789E" w:rsidRDefault="00BB789E">
      <w:pPr>
        <w:pStyle w:val="InstructionsText2"/>
        <w:numPr>
          <w:ilvl w:val="0"/>
          <w:numId w:val="0"/>
        </w:numPr>
        <w:ind w:left="360" w:hanging="360"/>
      </w:pPr>
      <w:r w:rsidRPr="00BB789E">
        <w:t>5.</w:t>
      </w:r>
      <w:r w:rsidRPr="00BB789E">
        <w:tab/>
        <w:t>Kai tvirtinimas atliekamas formoje ir naudojami tik tos</w:t>
      </w:r>
      <w:r w:rsidRPr="00BB789E">
        <w:t xml:space="preserve"> formos duomenų vienetai, forma nenurodoma: {eilutė; skiltis}.</w:t>
      </w:r>
    </w:p>
    <w:p w14:paraId="4D70E27A" w14:textId="77777777" w:rsidR="003E49E8" w:rsidRPr="00BB789E" w:rsidRDefault="00BB789E">
      <w:pPr>
        <w:pStyle w:val="InstructionsText2"/>
        <w:numPr>
          <w:ilvl w:val="0"/>
          <w:numId w:val="0"/>
        </w:numPr>
        <w:ind w:left="360" w:hanging="360"/>
      </w:pPr>
      <w:r w:rsidRPr="00BB789E">
        <w:t>6.</w:t>
      </w:r>
      <w:r w:rsidRPr="00BB789E">
        <w:tab/>
        <w:t>Kai formą sudaro tik viena skiltis, nurodomos tik eilutės: {forma; eilutė}.</w:t>
      </w:r>
    </w:p>
    <w:p w14:paraId="7EAD48BE" w14:textId="77777777" w:rsidR="003E49E8" w:rsidRPr="00BB789E" w:rsidRDefault="00BB789E">
      <w:pPr>
        <w:pStyle w:val="InstructionsText2"/>
        <w:numPr>
          <w:ilvl w:val="0"/>
          <w:numId w:val="0"/>
        </w:numPr>
        <w:ind w:left="360" w:hanging="360"/>
      </w:pPr>
      <w:r w:rsidRPr="00BB789E">
        <w:t>7.</w:t>
      </w:r>
      <w:r w:rsidRPr="00BB789E">
        <w:tab/>
        <w:t>Žvaigždutės ženklas naudojamas, kai norima pažymėti, kad tvirtinamos anksčiau nurodytos eilutės arba skiltys.</w:t>
      </w:r>
    </w:p>
    <w:p w14:paraId="58CCACD7" w14:textId="77777777" w:rsidR="003E49E8" w:rsidRPr="00BB789E" w:rsidRDefault="00BB789E">
      <w:pPr>
        <w:keepNext/>
        <w:spacing w:before="240" w:after="240" w:line="240" w:lineRule="auto"/>
        <w:jc w:val="both"/>
        <w:outlineLvl w:val="1"/>
        <w:rPr>
          <w:rFonts w:ascii="Times New Roman" w:eastAsia="Arial" w:hAnsi="Times New Roman" w:cs="Times New Roman"/>
          <w:sz w:val="24"/>
          <w:szCs w:val="24"/>
          <w:u w:val="single"/>
        </w:rPr>
      </w:pPr>
      <w:bookmarkStart w:id="13" w:name="_Toc88057053"/>
      <w:r w:rsidRPr="00BB789E">
        <w:rPr>
          <w:rFonts w:ascii="Times New Roman" w:hAnsi="Times New Roman"/>
          <w:sz w:val="24"/>
          <w:szCs w:val="24"/>
          <w:u w:val="single"/>
        </w:rPr>
        <w:t>1</w:t>
      </w:r>
      <w:r w:rsidRPr="00BB789E">
        <w:rPr>
          <w:rFonts w:ascii="Times New Roman" w:hAnsi="Times New Roman"/>
          <w:sz w:val="24"/>
          <w:szCs w:val="24"/>
          <w:u w:val="single"/>
        </w:rPr>
        <w:t>.3. Ženklų tvarka</w:t>
      </w:r>
      <w:bookmarkEnd w:id="13"/>
    </w:p>
    <w:p w14:paraId="3F0F8BD9" w14:textId="77777777" w:rsidR="003E49E8" w:rsidRPr="00BB789E" w:rsidRDefault="00BB789E">
      <w:pPr>
        <w:pStyle w:val="InstructionsText2"/>
        <w:numPr>
          <w:ilvl w:val="0"/>
          <w:numId w:val="0"/>
        </w:numPr>
        <w:ind w:left="360" w:hanging="360"/>
      </w:pPr>
      <w:r w:rsidRPr="00BB789E">
        <w:t>8.</w:t>
      </w:r>
      <w:r w:rsidRPr="00BB789E">
        <w:tab/>
        <w:t xml:space="preserve">Visos sumos, dėl kurių nuosavos lėšos ar nuosavų lėšų reikalavimai arba likvidumo reikalavimai padidėja, nurodomos teigiamu skaičiumi. Priešingai – visos sumos, dėl kurių bendra nuosavų lėšų suma arba bendros nuosavų lėšų sumos </w:t>
      </w:r>
      <w:r w:rsidRPr="00BB789E">
        <w:t>reikalavimai mažėja, nurodomos neigiamu skaičiumi. Prieš straipsnio pavadinimą įrašytas minuso ženklas (–) reiškia prielaidą, kad tame straipsnyje teigiamas skaičius nebus rašomas.</w:t>
      </w:r>
    </w:p>
    <w:p w14:paraId="5274D235" w14:textId="77777777" w:rsidR="003E49E8" w:rsidRPr="00BB789E" w:rsidRDefault="00BB789E">
      <w:pPr>
        <w:pStyle w:val="Heading2"/>
        <w:rPr>
          <w:rFonts w:ascii="Times New Roman" w:hAnsi="Times New Roman"/>
        </w:rPr>
      </w:pPr>
      <w:bookmarkStart w:id="14" w:name="_Toc88057054"/>
      <w:r w:rsidRPr="00BB789E">
        <w:rPr>
          <w:rFonts w:ascii="Times New Roman" w:hAnsi="Times New Roman"/>
        </w:rPr>
        <w:t>II DALIS. SU FORMOMIS SUSIJĘ NURODYMAI</w:t>
      </w:r>
      <w:bookmarkEnd w:id="6"/>
      <w:bookmarkEnd w:id="7"/>
      <w:bookmarkEnd w:id="8"/>
      <w:bookmarkEnd w:id="14"/>
    </w:p>
    <w:p w14:paraId="66B114F1" w14:textId="77777777" w:rsidR="003E49E8" w:rsidRPr="00BB789E" w:rsidRDefault="00BB789E">
      <w:pPr>
        <w:pStyle w:val="Instructionsberschrift2"/>
        <w:ind w:left="357" w:hanging="357"/>
        <w:rPr>
          <w:rFonts w:ascii="Times New Roman" w:hAnsi="Times New Roman" w:cs="Times New Roman"/>
          <w:b/>
          <w:sz w:val="24"/>
        </w:rPr>
      </w:pPr>
      <w:bookmarkStart w:id="15" w:name="_Toc88057055"/>
      <w:r w:rsidRPr="00BB789E">
        <w:rPr>
          <w:rFonts w:ascii="Times New Roman" w:hAnsi="Times New Roman"/>
          <w:b/>
          <w:sz w:val="24"/>
          <w:u w:val="none"/>
        </w:rPr>
        <w:t>1. NUOSAVOS LĖŠOS: SUMA, SUDĖTIS, RE</w:t>
      </w:r>
      <w:r w:rsidRPr="00BB789E">
        <w:rPr>
          <w:rFonts w:ascii="Times New Roman" w:hAnsi="Times New Roman"/>
          <w:b/>
          <w:sz w:val="24"/>
          <w:u w:val="none"/>
        </w:rPr>
        <w:t>IKALAVIMAI IR APSKAIČIAVIMAS</w:t>
      </w:r>
      <w:bookmarkEnd w:id="15"/>
    </w:p>
    <w:p w14:paraId="327D4BA7" w14:textId="77777777" w:rsidR="003E49E8" w:rsidRPr="00BB789E" w:rsidRDefault="00BB789E">
      <w:pPr>
        <w:pStyle w:val="Instructionsberschrift2"/>
        <w:ind w:left="357" w:hanging="357"/>
        <w:rPr>
          <w:rFonts w:ascii="Times New Roman" w:hAnsi="Times New Roman" w:cs="Times New Roman"/>
          <w:sz w:val="24"/>
        </w:rPr>
      </w:pPr>
      <w:bookmarkStart w:id="16" w:name="_Toc88057056"/>
      <w:r w:rsidRPr="00BB789E">
        <w:rPr>
          <w:rFonts w:ascii="Times New Roman" w:hAnsi="Times New Roman"/>
          <w:sz w:val="24"/>
        </w:rPr>
        <w:t>1.1. Bendrosios pastabos</w:t>
      </w:r>
      <w:bookmarkEnd w:id="16"/>
    </w:p>
    <w:p w14:paraId="0BCC00F1" w14:textId="77777777" w:rsidR="003E49E8" w:rsidRPr="00BB789E" w:rsidRDefault="00BB789E">
      <w:pPr>
        <w:spacing w:line="256" w:lineRule="auto"/>
        <w:ind w:left="993" w:hanging="567"/>
        <w:jc w:val="both"/>
        <w:rPr>
          <w:rFonts w:ascii="Times New Roman" w:hAnsi="Times New Roman" w:cs="Times New Roman"/>
          <w:sz w:val="24"/>
        </w:rPr>
      </w:pPr>
      <w:r w:rsidRPr="00BB789E">
        <w:rPr>
          <w:rFonts w:ascii="Times New Roman" w:hAnsi="Times New Roman" w:cs="Times New Roman"/>
          <w:sz w:val="24"/>
        </w:rPr>
        <w:t>10.</w:t>
      </w:r>
      <w:r w:rsidRPr="00BB789E">
        <w:rPr>
          <w:rFonts w:ascii="Times New Roman" w:hAnsi="Times New Roman" w:cs="Times New Roman"/>
          <w:sz w:val="24"/>
        </w:rPr>
        <w:tab/>
      </w:r>
      <w:r w:rsidRPr="00BB789E">
        <w:rPr>
          <w:rFonts w:ascii="Times New Roman" w:hAnsi="Times New Roman"/>
          <w:sz w:val="24"/>
        </w:rPr>
        <w:t>Nuosavų lėšų apžvalgos skirsnyje pateikiama informacija apie investicinės įmonės turimas nuosavas lėšas ir nuosavų lėšų reikalavimus. Jį sudaro dvi formos:</w:t>
      </w:r>
    </w:p>
    <w:p w14:paraId="2C4CC4AA" w14:textId="77777777" w:rsidR="003E49E8" w:rsidRPr="00BB789E" w:rsidRDefault="00BB789E">
      <w:pPr>
        <w:spacing w:line="256" w:lineRule="auto"/>
        <w:ind w:left="1728" w:hanging="648"/>
        <w:jc w:val="both"/>
        <w:rPr>
          <w:rFonts w:ascii="Times New Roman" w:hAnsi="Times New Roman" w:cs="Times New Roman"/>
          <w:sz w:val="24"/>
        </w:rPr>
      </w:pPr>
      <w:r w:rsidRPr="00BB789E">
        <w:rPr>
          <w:rFonts w:ascii="Times New Roman" w:hAnsi="Times New Roman" w:cs="Times New Roman"/>
          <w:sz w:val="24"/>
        </w:rPr>
        <w:t>a)</w:t>
      </w:r>
      <w:r w:rsidRPr="00BB789E">
        <w:rPr>
          <w:rFonts w:ascii="Times New Roman" w:hAnsi="Times New Roman" w:cs="Times New Roman"/>
          <w:sz w:val="24"/>
        </w:rPr>
        <w:tab/>
      </w:r>
      <w:r w:rsidRPr="00BB789E">
        <w:rPr>
          <w:rFonts w:ascii="Times New Roman" w:hAnsi="Times New Roman"/>
          <w:sz w:val="24"/>
        </w:rPr>
        <w:t>I 11.01 formoje pateikiama investicinės</w:t>
      </w:r>
      <w:r w:rsidRPr="00BB789E">
        <w:rPr>
          <w:rFonts w:ascii="Times New Roman" w:hAnsi="Times New Roman"/>
          <w:sz w:val="24"/>
        </w:rPr>
        <w:t xml:space="preserve"> įmonės turimų nuosavų lėšų sudėtis: bendras 1 lygio nuosavas kapitalas (CET1), papildomas 1 lygio kapitalas (AT1) ir 2 lygio kapitalas (T2).</w:t>
      </w:r>
    </w:p>
    <w:p w14:paraId="1821808E" w14:textId="77777777" w:rsidR="003E49E8" w:rsidRPr="00BB789E" w:rsidRDefault="00BB789E">
      <w:pPr>
        <w:spacing w:line="256" w:lineRule="auto"/>
        <w:ind w:left="1728" w:hanging="648"/>
        <w:jc w:val="both"/>
        <w:rPr>
          <w:rFonts w:ascii="Times New Roman" w:hAnsi="Times New Roman" w:cs="Times New Roman"/>
          <w:sz w:val="24"/>
        </w:rPr>
      </w:pPr>
      <w:r w:rsidRPr="00BB789E">
        <w:rPr>
          <w:rFonts w:ascii="Times New Roman" w:hAnsi="Times New Roman" w:cs="Times New Roman"/>
          <w:sz w:val="24"/>
        </w:rPr>
        <w:t>b)</w:t>
      </w:r>
      <w:r w:rsidRPr="00BB789E">
        <w:rPr>
          <w:rFonts w:ascii="Times New Roman" w:hAnsi="Times New Roman" w:cs="Times New Roman"/>
          <w:sz w:val="24"/>
        </w:rPr>
        <w:tab/>
      </w:r>
      <w:r w:rsidRPr="00BB789E">
        <w:rPr>
          <w:rFonts w:ascii="Times New Roman" w:hAnsi="Times New Roman"/>
          <w:sz w:val="24"/>
        </w:rPr>
        <w:t>I 11.02 formoje pateikiama informacija apie grupės kapitalo testui svarbius nuosavų lėšų reikalavimus, t. y. gr</w:t>
      </w:r>
      <w:r w:rsidRPr="00BB789E">
        <w:rPr>
          <w:rFonts w:ascii="Times New Roman" w:hAnsi="Times New Roman"/>
          <w:sz w:val="24"/>
        </w:rPr>
        <w:t>upės vidaus pozicijas, neapibrėžtuosius įsipareigojimus ir bendrą patronuojamųjų įmonių nuosavų lėšų reikalavimų sumą.</w:t>
      </w:r>
    </w:p>
    <w:p w14:paraId="584D9669" w14:textId="77777777" w:rsidR="003E49E8" w:rsidRPr="00BB789E" w:rsidRDefault="00BB789E">
      <w:pPr>
        <w:spacing w:line="256" w:lineRule="auto"/>
        <w:ind w:left="1728" w:hanging="648"/>
        <w:jc w:val="both"/>
        <w:rPr>
          <w:rFonts w:ascii="Times New Roman" w:hAnsi="Times New Roman" w:cs="Times New Roman"/>
          <w:sz w:val="24"/>
        </w:rPr>
      </w:pPr>
      <w:r w:rsidRPr="00BB789E">
        <w:rPr>
          <w:rFonts w:ascii="Times New Roman" w:hAnsi="Times New Roman" w:cs="Times New Roman"/>
          <w:sz w:val="24"/>
        </w:rPr>
        <w:t>c)</w:t>
      </w:r>
      <w:r w:rsidRPr="00BB789E">
        <w:rPr>
          <w:rFonts w:ascii="Times New Roman" w:hAnsi="Times New Roman" w:cs="Times New Roman"/>
          <w:sz w:val="24"/>
        </w:rPr>
        <w:tab/>
      </w:r>
      <w:r w:rsidRPr="00BB789E">
        <w:rPr>
          <w:rFonts w:ascii="Times New Roman" w:hAnsi="Times New Roman"/>
          <w:sz w:val="24"/>
        </w:rPr>
        <w:t>I 11.03 formoje pateikiama atitinkama informacija apie kapitalo reikalavimus, neapibrėžtuosius įsipareigojimus, subordinuotuosius reik</w:t>
      </w:r>
      <w:r w:rsidRPr="00BB789E">
        <w:rPr>
          <w:rFonts w:ascii="Times New Roman" w:hAnsi="Times New Roman"/>
          <w:sz w:val="24"/>
        </w:rPr>
        <w:t>alavimus ir pozicijas finansų sektoriaus subjektuose patronuojamosios įmonės lygmeniu, informaciją suskirstant pagal atskirus subjektus.</w:t>
      </w:r>
    </w:p>
    <w:p w14:paraId="33901748" w14:textId="77777777" w:rsidR="003E49E8" w:rsidRPr="00BB789E" w:rsidRDefault="00BB789E">
      <w:pPr>
        <w:spacing w:line="256" w:lineRule="auto"/>
        <w:ind w:left="993" w:hanging="567"/>
        <w:jc w:val="both"/>
        <w:rPr>
          <w:rFonts w:ascii="Times New Roman" w:hAnsi="Times New Roman" w:cs="Times New Roman"/>
          <w:sz w:val="24"/>
        </w:rPr>
      </w:pPr>
      <w:r w:rsidRPr="00BB789E">
        <w:rPr>
          <w:rFonts w:ascii="Times New Roman" w:hAnsi="Times New Roman" w:cs="Times New Roman"/>
          <w:sz w:val="24"/>
        </w:rPr>
        <w:t>11.</w:t>
      </w:r>
      <w:r w:rsidRPr="00BB789E">
        <w:rPr>
          <w:rFonts w:ascii="Times New Roman" w:hAnsi="Times New Roman" w:cs="Times New Roman"/>
          <w:sz w:val="24"/>
        </w:rPr>
        <w:tab/>
      </w:r>
      <w:r w:rsidRPr="00BB789E">
        <w:rPr>
          <w:rFonts w:ascii="Times New Roman" w:hAnsi="Times New Roman"/>
          <w:sz w:val="24"/>
        </w:rPr>
        <w:t>Šių formų straipsniai nurodomi prieš pereinamojo laikotarpio koregavimus. Tai reiškia, kad reikšmės (išskyrus atvej</w:t>
      </w:r>
      <w:r w:rsidRPr="00BB789E">
        <w:rPr>
          <w:rFonts w:ascii="Times New Roman" w:hAnsi="Times New Roman"/>
          <w:sz w:val="24"/>
        </w:rPr>
        <w:t>us, kai konkrečiai nurodomas pereinamojo laikotarpio nuosavų lėšų reikalavimas) yra apskaičiuotos pagal galutines nuostatas (t. y. taip, lyg pereinamojo laikotarpio nuostatų nebūtų).</w:t>
      </w:r>
    </w:p>
    <w:p w14:paraId="39D9F687" w14:textId="77777777" w:rsidR="003E49E8" w:rsidRPr="00BB789E" w:rsidRDefault="00BB789E">
      <w:pPr>
        <w:pStyle w:val="Instructionsberschrift2"/>
        <w:ind w:left="357" w:hanging="357"/>
        <w:rPr>
          <w:rFonts w:ascii="Times New Roman" w:hAnsi="Times New Roman" w:cs="Times New Roman"/>
          <w:sz w:val="24"/>
        </w:rPr>
      </w:pPr>
      <w:bookmarkStart w:id="17" w:name="_Toc88057057"/>
      <w:r w:rsidRPr="00BB789E">
        <w:rPr>
          <w:rFonts w:ascii="Times New Roman" w:hAnsi="Times New Roman"/>
          <w:sz w:val="24"/>
        </w:rPr>
        <w:t>1.2. I 11.01. NUOSAVŲ LĖŠŲ SUDĖTIS. GRUPĖS KAPITALO TESTAS (I11.1)</w:t>
      </w:r>
      <w:bookmarkEnd w:id="17"/>
    </w:p>
    <w:p w14:paraId="79D37CEB" w14:textId="77777777" w:rsidR="003E49E8" w:rsidRPr="00BB789E" w:rsidRDefault="00BB789E">
      <w:pPr>
        <w:pStyle w:val="Instructionsberschrift2"/>
        <w:ind w:left="357" w:hanging="357"/>
        <w:rPr>
          <w:rFonts w:ascii="Times New Roman" w:hAnsi="Times New Roman" w:cs="Times New Roman"/>
          <w:sz w:val="24"/>
        </w:rPr>
      </w:pPr>
      <w:bookmarkStart w:id="18" w:name="_Toc88057058"/>
      <w:r w:rsidRPr="00BB789E">
        <w:rPr>
          <w:rFonts w:ascii="Times New Roman" w:hAnsi="Times New Roman"/>
          <w:sz w:val="24"/>
          <w:u w:val="none"/>
        </w:rPr>
        <w:t>1.2.1.</w:t>
      </w:r>
      <w:r w:rsidRPr="00BB789E">
        <w:tab/>
      </w:r>
      <w:r w:rsidRPr="00BB789E">
        <w:rPr>
          <w:rFonts w:ascii="Times New Roman" w:hAnsi="Times New Roman"/>
          <w:sz w:val="24"/>
        </w:rPr>
        <w:t>Nurodymai dėl konkrečių pozicijų</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E49E8" w:rsidRPr="00BB789E" w14:paraId="6B47052F" w14:textId="77777777">
        <w:tc>
          <w:tcPr>
            <w:tcW w:w="1129" w:type="dxa"/>
            <w:shd w:val="clear" w:color="auto" w:fill="D9D9D9"/>
          </w:tcPr>
          <w:p w14:paraId="416C487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rPr>
              <w:t>Eilutė</w:t>
            </w:r>
          </w:p>
        </w:tc>
        <w:tc>
          <w:tcPr>
            <w:tcW w:w="7620" w:type="dxa"/>
            <w:shd w:val="clear" w:color="auto" w:fill="D9D9D9"/>
          </w:tcPr>
          <w:p w14:paraId="722407AA"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rPr>
              <w:t>Nuorodos į teisės aktus ir nurodymai</w:t>
            </w:r>
          </w:p>
        </w:tc>
      </w:tr>
      <w:tr w:rsidR="003E49E8" w:rsidRPr="00BB789E" w14:paraId="14B4FC7C" w14:textId="77777777">
        <w:tc>
          <w:tcPr>
            <w:tcW w:w="1129" w:type="dxa"/>
          </w:tcPr>
          <w:p w14:paraId="1E9EC2CE"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0010</w:t>
            </w:r>
          </w:p>
        </w:tc>
        <w:tc>
          <w:tcPr>
            <w:tcW w:w="7620" w:type="dxa"/>
          </w:tcPr>
          <w:p w14:paraId="4BA40D83"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NUOSAVOS LĖŠOS</w:t>
            </w:r>
          </w:p>
          <w:p w14:paraId="6FA728AA"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dalis.</w:t>
            </w:r>
          </w:p>
          <w:p w14:paraId="7ACFE5EF"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Investicinės įmonės nuosavas lėšas sudaro jos 1 lygio kapitalo ir 2 lygio kapitalo suma.</w:t>
            </w:r>
          </w:p>
        </w:tc>
      </w:tr>
      <w:tr w:rsidR="003E49E8" w:rsidRPr="00BB789E" w14:paraId="6119D64F" w14:textId="77777777">
        <w:tc>
          <w:tcPr>
            <w:tcW w:w="1129" w:type="dxa"/>
          </w:tcPr>
          <w:p w14:paraId="7E46E1D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0020</w:t>
            </w:r>
          </w:p>
        </w:tc>
        <w:tc>
          <w:tcPr>
            <w:tcW w:w="7620" w:type="dxa"/>
          </w:tcPr>
          <w:p w14:paraId="00539356"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xml:space="preserve">1 LYGIO </w:t>
            </w:r>
            <w:r w:rsidRPr="00BB789E">
              <w:rPr>
                <w:rFonts w:ascii="Times New Roman" w:hAnsi="Times New Roman"/>
                <w:b/>
                <w:bCs/>
                <w:u w:val="single"/>
              </w:rPr>
              <w:t>KAPITALAS</w:t>
            </w:r>
          </w:p>
          <w:p w14:paraId="2147F8A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1 lygio kapitalą sudaro įstaigos bendro 1 lygio nuosavo kapitalo ir papildomo 1 lygio kapitalo suma.</w:t>
            </w:r>
          </w:p>
        </w:tc>
      </w:tr>
      <w:tr w:rsidR="003E49E8" w:rsidRPr="00BB789E" w14:paraId="21B6CB90" w14:textId="77777777">
        <w:tc>
          <w:tcPr>
            <w:tcW w:w="1129" w:type="dxa"/>
          </w:tcPr>
          <w:p w14:paraId="373F882A"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0030</w:t>
            </w:r>
          </w:p>
        </w:tc>
        <w:tc>
          <w:tcPr>
            <w:tcW w:w="7620" w:type="dxa"/>
          </w:tcPr>
          <w:p w14:paraId="1B578994"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InstructionsTabelleberschrift"/>
                <w:rFonts w:ascii="Times New Roman" w:hAnsi="Times New Roman"/>
                <w:sz w:val="22"/>
              </w:rPr>
              <w:t>BENDRAS 1 LYGIO NUOSAVAS KAPITALAS</w:t>
            </w:r>
          </w:p>
          <w:p w14:paraId="0845AFD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dalis.</w:t>
            </w:r>
          </w:p>
          <w:p w14:paraId="747759A4" w14:textId="77777777" w:rsidR="003E49E8" w:rsidRPr="00BB789E" w:rsidRDefault="00BB789E">
            <w:pPr>
              <w:spacing w:after="120" w:line="240" w:lineRule="auto"/>
              <w:jc w:val="both"/>
              <w:rPr>
                <w:rFonts w:ascii="Times New Roman" w:eastAsia="Times New Roman" w:hAnsi="Times New Roman" w:cs="Times New Roman"/>
                <w:bCs/>
              </w:rPr>
            </w:pPr>
            <w:r w:rsidRPr="00BB789E">
              <w:rPr>
                <w:rStyle w:val="FormatvorlageInstructionsTabelleText"/>
                <w:rFonts w:ascii="Times New Roman" w:hAnsi="Times New Roman"/>
                <w:sz w:val="22"/>
              </w:rPr>
              <w:t xml:space="preserve">Reglamento (ES) Nr. 575/2013 </w:t>
            </w:r>
            <w:r w:rsidRPr="00BB789E">
              <w:rPr>
                <w:rStyle w:val="FormatvorlageInstructionsTabelleText"/>
                <w:rFonts w:ascii="Times New Roman" w:hAnsi="Times New Roman"/>
                <w:sz w:val="22"/>
              </w:rPr>
              <w:t>50 straipsnis.</w:t>
            </w:r>
          </w:p>
        </w:tc>
      </w:tr>
      <w:tr w:rsidR="003E49E8" w:rsidRPr="00BB789E" w14:paraId="502E5958" w14:textId="77777777">
        <w:tc>
          <w:tcPr>
            <w:tcW w:w="1129" w:type="dxa"/>
          </w:tcPr>
          <w:p w14:paraId="7CAC04D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0040</w:t>
            </w:r>
          </w:p>
        </w:tc>
        <w:tc>
          <w:tcPr>
            <w:tcW w:w="7620" w:type="dxa"/>
          </w:tcPr>
          <w:p w14:paraId="6E42886A"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Visiškai apmokėtos kapitalo priemonės</w:t>
            </w:r>
          </w:p>
          <w:p w14:paraId="0978425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65950859"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Reglamento (ES) Nr. 575/2013 26 straipsnio 1 dalies a punktas ir 27–31 straipsniai.</w:t>
            </w:r>
          </w:p>
          <w:p w14:paraId="216E1FE4"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Prie jų priskiriamos savidraudos įmonių, kooperatini</w:t>
            </w:r>
            <w:r w:rsidRPr="00BB789E">
              <w:rPr>
                <w:rStyle w:val="FormatvorlageInstructionsTabelleText"/>
                <w:rFonts w:ascii="Times New Roman" w:hAnsi="Times New Roman"/>
                <w:sz w:val="22"/>
                <w:szCs w:val="22"/>
              </w:rPr>
              <w:t>ų bendrovių arba panašių įstaigų kapitalo priemonės (Reglamento (ES) Nr. 575/2013 27 ir 29 straipsniai).</w:t>
            </w:r>
          </w:p>
          <w:p w14:paraId="18CA3457"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Su tomis priemonėmis susiję akcijų priedai neįskaičiuojami.</w:t>
            </w:r>
          </w:p>
          <w:p w14:paraId="20469E29" w14:textId="77777777" w:rsidR="003E49E8" w:rsidRPr="00BB789E" w:rsidRDefault="00BB789E">
            <w:pPr>
              <w:pStyle w:val="InstructionsText"/>
              <w:rPr>
                <w:sz w:val="22"/>
                <w:szCs w:val="22"/>
              </w:rPr>
            </w:pPr>
            <w:r w:rsidRPr="00BB789E">
              <w:rPr>
                <w:rStyle w:val="FormatvorlageInstructionsTabelleText"/>
                <w:rFonts w:ascii="Times New Roman" w:hAnsi="Times New Roman"/>
                <w:sz w:val="22"/>
                <w:szCs w:val="22"/>
              </w:rPr>
              <w:t>Viešosios valdžios institucijų ekstremaliųjų situacijų atveju pasirašytos kapitalo priemonė</w:t>
            </w:r>
            <w:r w:rsidRPr="00BB789E">
              <w:rPr>
                <w:rStyle w:val="FormatvorlageInstructionsTabelleText"/>
                <w:rFonts w:ascii="Times New Roman" w:hAnsi="Times New Roman"/>
                <w:sz w:val="22"/>
                <w:szCs w:val="22"/>
              </w:rPr>
              <w:t>s įskaičiuojamos, jeigu įvykdomos visos Reglamento (ES) Nr. 575/2013 31 straipsnio sąlygos.</w:t>
            </w:r>
          </w:p>
        </w:tc>
      </w:tr>
      <w:tr w:rsidR="003E49E8" w:rsidRPr="00BB789E" w14:paraId="2785C885" w14:textId="77777777">
        <w:tc>
          <w:tcPr>
            <w:tcW w:w="1129" w:type="dxa"/>
          </w:tcPr>
          <w:p w14:paraId="1D2665A1"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0050</w:t>
            </w:r>
          </w:p>
        </w:tc>
        <w:tc>
          <w:tcPr>
            <w:tcW w:w="7620" w:type="dxa"/>
          </w:tcPr>
          <w:p w14:paraId="6515911A"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Akcijų priedai</w:t>
            </w:r>
          </w:p>
          <w:p w14:paraId="076C7475"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66BC5018" w14:textId="77777777" w:rsidR="003E49E8" w:rsidRPr="00BB789E" w:rsidRDefault="00BB789E">
            <w:pPr>
              <w:spacing w:after="120" w:line="240" w:lineRule="auto"/>
              <w:jc w:val="both"/>
              <w:rPr>
                <w:rStyle w:val="FormatvorlageInstructionsTabelleText"/>
                <w:rFonts w:ascii="Times New Roman" w:hAnsi="Times New Roman"/>
                <w:sz w:val="22"/>
              </w:rPr>
            </w:pPr>
            <w:r w:rsidRPr="00BB789E">
              <w:rPr>
                <w:rStyle w:val="FormatvorlageInstructionsTabelleText"/>
                <w:rFonts w:ascii="Times New Roman" w:hAnsi="Times New Roman"/>
                <w:sz w:val="22"/>
              </w:rPr>
              <w:t>Reglamento (ES) Nr. 575/2013 26 straipsnio 1 dalies b punktas</w:t>
            </w:r>
          </w:p>
          <w:p w14:paraId="61598D45"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Sąvokos „akcijų prie</w:t>
            </w:r>
            <w:r w:rsidRPr="00BB789E">
              <w:rPr>
                <w:rStyle w:val="FormatvorlageInstructionsTabelleText"/>
                <w:rFonts w:ascii="Times New Roman" w:hAnsi="Times New Roman"/>
                <w:sz w:val="22"/>
                <w:szCs w:val="22"/>
              </w:rPr>
              <w:t>dai“ reikšmė yra tokia pati, kaip apibrėžta taikytiname apskaitos standarte.</w:t>
            </w:r>
          </w:p>
          <w:p w14:paraId="438D8721"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Šiame straipsnyje nurodoma sumos dalis, susijusi su apmokėtomis kapitalo priemonėmis.</w:t>
            </w:r>
          </w:p>
        </w:tc>
      </w:tr>
      <w:tr w:rsidR="003E49E8" w:rsidRPr="00BB789E" w14:paraId="4287145B" w14:textId="77777777">
        <w:tc>
          <w:tcPr>
            <w:tcW w:w="1129" w:type="dxa"/>
          </w:tcPr>
          <w:p w14:paraId="526A4D6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0060</w:t>
            </w:r>
          </w:p>
        </w:tc>
        <w:tc>
          <w:tcPr>
            <w:tcW w:w="7620" w:type="dxa"/>
          </w:tcPr>
          <w:p w14:paraId="5327BC36"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Nepaskirstytasis pelnas</w:t>
            </w:r>
          </w:p>
          <w:p w14:paraId="366C370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rPr>
              <w:t xml:space="preserve">Reglamento (ES) 2019/2033 9 straipsnio 1 dalies i </w:t>
            </w:r>
            <w:r w:rsidRPr="00BB789E">
              <w:rPr>
                <w:rFonts w:ascii="Times New Roman" w:hAnsi="Times New Roman"/>
              </w:rPr>
              <w:t>papunktis.</w:t>
            </w:r>
          </w:p>
          <w:p w14:paraId="70874E4C" w14:textId="77777777" w:rsidR="003E49E8" w:rsidRPr="00BB789E" w:rsidRDefault="00BB789E">
            <w:pPr>
              <w:spacing w:after="120" w:line="240" w:lineRule="auto"/>
              <w:jc w:val="both"/>
              <w:rPr>
                <w:rStyle w:val="FormatvorlageInstructionsTabelleText"/>
                <w:rFonts w:ascii="Times New Roman" w:hAnsi="Times New Roman"/>
                <w:sz w:val="22"/>
              </w:rPr>
            </w:pPr>
            <w:r w:rsidRPr="00BB789E">
              <w:rPr>
                <w:rStyle w:val="FormatvorlageInstructionsTabelleText"/>
                <w:rFonts w:ascii="Times New Roman" w:hAnsi="Times New Roman"/>
                <w:sz w:val="22"/>
              </w:rPr>
              <w:t>Reglamento (ES) Nr. 575/2013 26 straipsnio 1 dalies c punktas.</w:t>
            </w:r>
          </w:p>
          <w:p w14:paraId="11D39C25" w14:textId="77777777" w:rsidR="003E49E8" w:rsidRPr="00BB789E" w:rsidRDefault="00BB789E">
            <w:pPr>
              <w:spacing w:after="120" w:line="240" w:lineRule="auto"/>
              <w:jc w:val="both"/>
              <w:rPr>
                <w:rStyle w:val="FormatvorlageInstructionsTabelleText"/>
                <w:rFonts w:ascii="Times New Roman" w:hAnsi="Times New Roman"/>
                <w:sz w:val="22"/>
              </w:rPr>
            </w:pPr>
            <w:r w:rsidRPr="00BB789E">
              <w:rPr>
                <w:rStyle w:val="FormatvorlageInstructionsTabelleText"/>
                <w:rFonts w:ascii="Times New Roman" w:hAnsi="Times New Roman"/>
                <w:sz w:val="22"/>
              </w:rPr>
              <w:t>Nepaskirstytąjį pelną sudaro ankstesnių metų nepaskirstytojo pelno ir reikalavimus atitinkančio tarpinio arba metų pabaigos pelno suma.</w:t>
            </w:r>
          </w:p>
          <w:p w14:paraId="7E19E58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Nurodoma 0070 ir 0080 eilučių reikšmių suma.</w:t>
            </w:r>
          </w:p>
        </w:tc>
      </w:tr>
      <w:tr w:rsidR="003E49E8" w:rsidRPr="00BB789E" w14:paraId="4ABC8CD0" w14:textId="77777777">
        <w:tc>
          <w:tcPr>
            <w:tcW w:w="1129" w:type="dxa"/>
          </w:tcPr>
          <w:p w14:paraId="5324B668"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0070</w:t>
            </w:r>
          </w:p>
        </w:tc>
        <w:tc>
          <w:tcPr>
            <w:tcW w:w="7620" w:type="dxa"/>
          </w:tcPr>
          <w:p w14:paraId="42769B5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Ankstesnių metų nepaskirstytasis pelnas</w:t>
            </w:r>
          </w:p>
          <w:p w14:paraId="5B31E6C4"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Nr. 575/2013 4 straipsnio 1 dalies 123 punktas ir 26 straipsnio 1 dalies c punktas.</w:t>
            </w:r>
          </w:p>
          <w:p w14:paraId="246ED3B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Reglamento (ES) Nr. 575/2013 4 straipsnio 1 dalies 123 punkte nurodoma, kad nepaskirstytasis pelnas yra „į kitą</w:t>
            </w:r>
            <w:r w:rsidRPr="00BB789E">
              <w:rPr>
                <w:rFonts w:ascii="Times New Roman" w:hAnsi="Times New Roman"/>
                <w:bCs/>
              </w:rPr>
              <w:t xml:space="preserve"> laikotarpį perkeliamas pelnas ir nuostoliai, likę po galutinio pelno arba nuostolių paskirstymo pagal taikytiną apskaitos sistemą“.</w:t>
            </w:r>
          </w:p>
        </w:tc>
      </w:tr>
      <w:tr w:rsidR="003E49E8" w:rsidRPr="00BB789E" w14:paraId="29C7426D" w14:textId="77777777">
        <w:tc>
          <w:tcPr>
            <w:tcW w:w="1129" w:type="dxa"/>
          </w:tcPr>
          <w:p w14:paraId="3E72DB08"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0080</w:t>
            </w:r>
          </w:p>
        </w:tc>
        <w:tc>
          <w:tcPr>
            <w:tcW w:w="7620" w:type="dxa"/>
          </w:tcPr>
          <w:p w14:paraId="5749A91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Reikalavimus atitinkantis pelnas</w:t>
            </w:r>
          </w:p>
          <w:p w14:paraId="3FE8690A" w14:textId="77777777" w:rsidR="003E49E8" w:rsidRPr="00BB789E" w:rsidRDefault="00BB789E">
            <w:pPr>
              <w:spacing w:after="120" w:line="240" w:lineRule="auto"/>
              <w:jc w:val="both"/>
              <w:rPr>
                <w:rFonts w:ascii="Times New Roman" w:eastAsia="Times New Roman" w:hAnsi="Times New Roman" w:cs="Times New Roman"/>
              </w:rPr>
            </w:pPr>
            <w:r w:rsidRPr="00BB789E">
              <w:rPr>
                <w:rFonts w:ascii="Times New Roman" w:hAnsi="Times New Roman"/>
              </w:rPr>
              <w:t>Reglamento (ES) Nr. 575/2013 4 straipsnio 1 dalies 121 punktas, 26 straipsnio 2 dali</w:t>
            </w:r>
            <w:r w:rsidRPr="00BB789E">
              <w:rPr>
                <w:rFonts w:ascii="Times New Roman" w:hAnsi="Times New Roman"/>
              </w:rPr>
              <w:t>s ir 36 straipsnio 1 dalies a punktas.</w:t>
            </w:r>
          </w:p>
          <w:p w14:paraId="5212796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rPr>
              <w:lastRenderedPageBreak/>
              <w:t>Pagal Reglamento (ES) Nr. 575/2013 26 straipsnio 2 dalį leidžiama, gavus kompetentingos institucijos išankstinį leidimą, į nepaskirstytąjį pelną įtraukti tarpinį arba metų pabaigos pelną, jeigu įvykdomos tam tikros są</w:t>
            </w:r>
            <w:r w:rsidRPr="00BB789E">
              <w:rPr>
                <w:rFonts w:ascii="Times New Roman" w:hAnsi="Times New Roman"/>
              </w:rPr>
              <w:t xml:space="preserve">lygos. </w:t>
            </w:r>
          </w:p>
        </w:tc>
      </w:tr>
      <w:tr w:rsidR="003E49E8" w:rsidRPr="00BB789E" w14:paraId="25C0876E" w14:textId="77777777">
        <w:tc>
          <w:tcPr>
            <w:tcW w:w="1129" w:type="dxa"/>
          </w:tcPr>
          <w:p w14:paraId="5C4C0E5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0090</w:t>
            </w:r>
          </w:p>
        </w:tc>
        <w:tc>
          <w:tcPr>
            <w:tcW w:w="7620" w:type="dxa"/>
          </w:tcPr>
          <w:p w14:paraId="6CCDEE2C"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Sukauptos kitos bendrosios pajamos</w:t>
            </w:r>
          </w:p>
          <w:p w14:paraId="33370964"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61702176" w14:textId="77777777" w:rsidR="003E49E8" w:rsidRPr="00BB789E" w:rsidRDefault="00BB789E">
            <w:pPr>
              <w:spacing w:after="120" w:line="240" w:lineRule="auto"/>
              <w:jc w:val="both"/>
              <w:rPr>
                <w:rFonts w:ascii="Times New Roman" w:hAnsi="Times New Roman" w:cs="Times New Roman"/>
                <w:bCs/>
              </w:rPr>
            </w:pPr>
            <w:r w:rsidRPr="00BB789E">
              <w:rPr>
                <w:rStyle w:val="FormatvorlageInstructionsTabelleText"/>
                <w:rFonts w:ascii="Times New Roman" w:hAnsi="Times New Roman"/>
                <w:sz w:val="22"/>
              </w:rPr>
              <w:t>Reglamento (ES) Nr. 575/2013 26 straipsnio 1 dalies d punktas.</w:t>
            </w:r>
          </w:p>
        </w:tc>
      </w:tr>
      <w:tr w:rsidR="003E49E8" w:rsidRPr="00BB789E" w14:paraId="0A2F2A38" w14:textId="77777777">
        <w:tc>
          <w:tcPr>
            <w:tcW w:w="1129" w:type="dxa"/>
          </w:tcPr>
          <w:p w14:paraId="66185F7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0100</w:t>
            </w:r>
          </w:p>
        </w:tc>
        <w:tc>
          <w:tcPr>
            <w:tcW w:w="7620" w:type="dxa"/>
          </w:tcPr>
          <w:p w14:paraId="5012AC79"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Kiti rezervai</w:t>
            </w:r>
          </w:p>
          <w:p w14:paraId="776F74CC"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 xml:space="preserve">Reglamento (ES) 2019/2033 9 straipsnio 1 dalies i </w:t>
            </w:r>
            <w:r w:rsidRPr="00BB789E">
              <w:rPr>
                <w:rFonts w:ascii="Times New Roman" w:hAnsi="Times New Roman"/>
                <w:bCs/>
              </w:rPr>
              <w:t>papunktis.</w:t>
            </w:r>
          </w:p>
          <w:p w14:paraId="09E0A3F5" w14:textId="77777777" w:rsidR="003E49E8" w:rsidRPr="00BB789E" w:rsidRDefault="00BB789E">
            <w:pPr>
              <w:spacing w:after="120" w:line="240" w:lineRule="auto"/>
              <w:jc w:val="both"/>
              <w:rPr>
                <w:rStyle w:val="FormatvorlageInstructionsTabelleText"/>
                <w:rFonts w:ascii="Times New Roman" w:hAnsi="Times New Roman"/>
                <w:sz w:val="22"/>
              </w:rPr>
            </w:pPr>
            <w:r w:rsidRPr="00BB789E">
              <w:rPr>
                <w:rStyle w:val="FormatvorlageInstructionsTabelleText"/>
                <w:rFonts w:ascii="Times New Roman" w:hAnsi="Times New Roman"/>
                <w:sz w:val="22"/>
              </w:rPr>
              <w:t>Reglamento (ES) Nr. 575/2013 4 straipsnio 1 dalies 117 punktas ir 26 straipsnio 1 dalies e punktas.</w:t>
            </w:r>
          </w:p>
          <w:p w14:paraId="09FEAC93"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Suma nurodoma atėmus visus skaičiavimo metu numatomus mokesčius.</w:t>
            </w:r>
          </w:p>
        </w:tc>
      </w:tr>
      <w:tr w:rsidR="003E49E8" w:rsidRPr="00BB789E" w14:paraId="19CAD41F" w14:textId="77777777">
        <w:tc>
          <w:tcPr>
            <w:tcW w:w="1129" w:type="dxa"/>
          </w:tcPr>
          <w:p w14:paraId="4E735D44"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0120</w:t>
            </w:r>
          </w:p>
        </w:tc>
        <w:tc>
          <w:tcPr>
            <w:tcW w:w="7620" w:type="dxa"/>
          </w:tcPr>
          <w:p w14:paraId="3ACDD903"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CET1 koregavimai pritaikius prudencinius filtrus</w:t>
            </w:r>
          </w:p>
          <w:p w14:paraId="060B23B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 xml:space="preserve">Reglamento (ES) </w:t>
            </w:r>
            <w:r w:rsidRPr="00BB789E">
              <w:rPr>
                <w:rFonts w:ascii="Times New Roman" w:hAnsi="Times New Roman"/>
                <w:bCs/>
              </w:rPr>
              <w:t>2019/2033 9 straipsnio 1 dalies i papunktis.</w:t>
            </w:r>
          </w:p>
          <w:p w14:paraId="74667607"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Reglamento (ES) Nr. 575/2013 32–35 straipsniai.</w:t>
            </w:r>
          </w:p>
        </w:tc>
      </w:tr>
      <w:tr w:rsidR="003E49E8" w:rsidRPr="00BB789E" w14:paraId="245F0C66" w14:textId="77777777">
        <w:tc>
          <w:tcPr>
            <w:tcW w:w="1129" w:type="dxa"/>
          </w:tcPr>
          <w:p w14:paraId="15385A31"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0130</w:t>
            </w:r>
          </w:p>
        </w:tc>
        <w:tc>
          <w:tcPr>
            <w:tcW w:w="7620" w:type="dxa"/>
          </w:tcPr>
          <w:p w14:paraId="2DE8D4BB"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Kitos lėšos</w:t>
            </w:r>
          </w:p>
          <w:p w14:paraId="5835D5FC"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Reglamento (ES) 2019/2033 9 straipsnio 4 dalis.</w:t>
            </w:r>
          </w:p>
        </w:tc>
      </w:tr>
      <w:tr w:rsidR="003E49E8" w:rsidRPr="00BB789E" w14:paraId="391B0A50" w14:textId="77777777">
        <w:tc>
          <w:tcPr>
            <w:tcW w:w="1129" w:type="dxa"/>
          </w:tcPr>
          <w:p w14:paraId="6D6B757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0145</w:t>
            </w:r>
          </w:p>
        </w:tc>
        <w:tc>
          <w:tcPr>
            <w:tcW w:w="7620" w:type="dxa"/>
          </w:tcPr>
          <w:p w14:paraId="4E85B92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BENDRA ATSKAITYMŲ IŠ BENDRO 1 LYGIO NUOSAVO KAPITALO SUMA</w:t>
            </w:r>
          </w:p>
          <w:p w14:paraId="7B1D217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 xml:space="preserve">Reglamento (ES) </w:t>
            </w:r>
            <w:r w:rsidRPr="00BB789E">
              <w:rPr>
                <w:rFonts w:ascii="Times New Roman" w:hAnsi="Times New Roman"/>
                <w:bCs/>
              </w:rPr>
              <w:t>2019/2033 8 straipsnio 2 dalies a punktas, Reglamento (ES) Nr. 575/2013 36 straipsnio 1 dalis, išskyrus tos dalies i punktą.</w:t>
            </w:r>
          </w:p>
          <w:p w14:paraId="27992487"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Nurodoma 0150 ir 0190–0280 eilučių reikšmių suma.</w:t>
            </w:r>
          </w:p>
        </w:tc>
      </w:tr>
      <w:tr w:rsidR="003E49E8" w:rsidRPr="00BB789E" w14:paraId="0324CCFE" w14:textId="77777777">
        <w:tc>
          <w:tcPr>
            <w:tcW w:w="1129" w:type="dxa"/>
          </w:tcPr>
          <w:p w14:paraId="5D676C89"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0150</w:t>
            </w:r>
          </w:p>
        </w:tc>
        <w:tc>
          <w:tcPr>
            <w:tcW w:w="7620" w:type="dxa"/>
            <w:shd w:val="clear" w:color="auto" w:fill="auto"/>
          </w:tcPr>
          <w:p w14:paraId="63BBBCED"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Nuosavos CET1 priemonės</w:t>
            </w:r>
          </w:p>
          <w:p w14:paraId="344BC549" w14:textId="77777777" w:rsidR="003E49E8" w:rsidRPr="00BB789E" w:rsidRDefault="00BB789E">
            <w:pPr>
              <w:rPr>
                <w:rFonts w:cs="Times New Roman"/>
              </w:rPr>
            </w:pPr>
            <w:r w:rsidRPr="00BB789E">
              <w:rPr>
                <w:rFonts w:ascii="Times New Roman" w:hAnsi="Times New Roman"/>
                <w:bCs/>
              </w:rPr>
              <w:t>Reglamento (ES) 2019/2033 9 straipsnio 1 dalies</w:t>
            </w:r>
            <w:r w:rsidRPr="00BB789E">
              <w:rPr>
                <w:rFonts w:ascii="Times New Roman" w:hAnsi="Times New Roman"/>
                <w:bCs/>
              </w:rPr>
              <w:t xml:space="preserve"> i papunktis.</w:t>
            </w:r>
          </w:p>
          <w:p w14:paraId="59DC5EA7" w14:textId="77777777" w:rsidR="003E49E8" w:rsidRPr="00BB789E" w:rsidRDefault="00BB789E">
            <w:pPr>
              <w:rPr>
                <w:rStyle w:val="FormatvorlageInstructionsTabelleText"/>
                <w:rFonts w:ascii="Times New Roman" w:hAnsi="Times New Roman"/>
                <w:bCs w:val="0"/>
                <w:sz w:val="22"/>
              </w:rPr>
            </w:pPr>
            <w:r w:rsidRPr="00BB789E">
              <w:rPr>
                <w:rStyle w:val="FormatvorlageInstructionsTabelleText"/>
                <w:rFonts w:ascii="Times New Roman" w:hAnsi="Times New Roman"/>
                <w:sz w:val="22"/>
              </w:rPr>
              <w:t>Reglamento (ES) Nr. 575/2013 36 straipsnio 1 dalies f punktas ir 42 straipsnis.</w:t>
            </w:r>
          </w:p>
          <w:p w14:paraId="76282467"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Informaciją teikiančios įstaigos arba grupės ataskaitinę datą turimos nuosavos CET1 priemonės. Taikant Reglamento (ES) Nr. 575/2013 42 straipsnyje nustatytas išim</w:t>
            </w:r>
            <w:r w:rsidRPr="00BB789E">
              <w:rPr>
                <w:rStyle w:val="FormatvorlageInstructionsTabelleText"/>
                <w:rFonts w:ascii="Times New Roman" w:hAnsi="Times New Roman"/>
                <w:sz w:val="22"/>
                <w:szCs w:val="22"/>
              </w:rPr>
              <w:t>tis.</w:t>
            </w:r>
          </w:p>
          <w:p w14:paraId="7D09674B"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Turimos akcijos, priskirtos prie „Reikalavimų neatitinkančių kapitalo priemonių“, šioje eilutėje nenurodomos.</w:t>
            </w:r>
          </w:p>
          <w:p w14:paraId="6CCCAD64" w14:textId="77777777" w:rsidR="003E49E8" w:rsidRPr="00BB789E" w:rsidRDefault="00BB789E">
            <w:pPr>
              <w:pStyle w:val="InstructionsText"/>
              <w:rPr>
                <w:sz w:val="22"/>
                <w:szCs w:val="22"/>
              </w:rPr>
            </w:pPr>
            <w:r w:rsidRPr="00BB789E">
              <w:rPr>
                <w:rStyle w:val="FormatvorlageInstructionsTabelleText"/>
                <w:rFonts w:ascii="Times New Roman" w:hAnsi="Times New Roman"/>
                <w:sz w:val="22"/>
                <w:szCs w:val="22"/>
              </w:rPr>
              <w:t>Į nurodomą sumą įskaičiuojami su savomis akcijomis susiję akcijų priedai.</w:t>
            </w:r>
          </w:p>
        </w:tc>
      </w:tr>
      <w:tr w:rsidR="003E49E8" w:rsidRPr="00BB789E" w14:paraId="4B6F3B2A" w14:textId="77777777">
        <w:tc>
          <w:tcPr>
            <w:tcW w:w="1129" w:type="dxa"/>
          </w:tcPr>
          <w:p w14:paraId="35D8E2E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C8554FE"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Einamųjų finansinių metų nuostoliai</w:t>
            </w:r>
          </w:p>
          <w:p w14:paraId="021A710A"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rPr>
              <w:t xml:space="preserve">Reglamento (ES) </w:t>
            </w:r>
            <w:r w:rsidRPr="00BB789E">
              <w:rPr>
                <w:rFonts w:ascii="Times New Roman" w:hAnsi="Times New Roman"/>
              </w:rPr>
              <w:t>Nr. 575/2013 36 straipsnio 1 dalies a punktas.</w:t>
            </w:r>
          </w:p>
        </w:tc>
      </w:tr>
      <w:tr w:rsidR="003E49E8" w:rsidRPr="00BB789E" w14:paraId="5F9DCD59" w14:textId="77777777">
        <w:tc>
          <w:tcPr>
            <w:tcW w:w="1129" w:type="dxa"/>
          </w:tcPr>
          <w:p w14:paraId="053D8C6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3F5914"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Prestižas</w:t>
            </w:r>
          </w:p>
          <w:p w14:paraId="0A492711"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336C5FA3"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Reglamento (ES) Nr. 575/2013 4 straipsnio 1 dalies 113 punktas, 36 straipsnio 1 dalies b punktas ir 37 straipsnis.</w:t>
            </w:r>
          </w:p>
        </w:tc>
      </w:tr>
      <w:tr w:rsidR="003E49E8" w:rsidRPr="00BB789E" w14:paraId="7F3E2A68" w14:textId="77777777">
        <w:tc>
          <w:tcPr>
            <w:tcW w:w="1129" w:type="dxa"/>
          </w:tcPr>
          <w:p w14:paraId="43DBC711"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70BB0E"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xml:space="preserve">(−) </w:t>
            </w:r>
            <w:r w:rsidRPr="00BB789E">
              <w:rPr>
                <w:rFonts w:ascii="Times New Roman" w:hAnsi="Times New Roman"/>
                <w:b/>
                <w:bCs/>
                <w:u w:val="single"/>
              </w:rPr>
              <w:t>Kitas nematerialusis turtas</w:t>
            </w:r>
          </w:p>
          <w:p w14:paraId="3CC4E6CC"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68D6EA5C" w14:textId="77777777" w:rsidR="003E49E8" w:rsidRPr="00BB789E" w:rsidRDefault="00BB789E">
            <w:pPr>
              <w:pStyle w:val="InstructionsText"/>
              <w:rPr>
                <w:rStyle w:val="FormatvorlageInstructionsTabelleText"/>
                <w:rFonts w:ascii="Times New Roman" w:eastAsiaTheme="minorHAnsi" w:hAnsi="Times New Roman"/>
                <w:bCs/>
                <w:sz w:val="22"/>
                <w:szCs w:val="22"/>
              </w:rPr>
            </w:pPr>
            <w:r w:rsidRPr="00BB789E">
              <w:rPr>
                <w:rStyle w:val="FormatvorlageInstructionsTabelleText"/>
                <w:rFonts w:ascii="Times New Roman" w:hAnsi="Times New Roman"/>
                <w:sz w:val="22"/>
                <w:szCs w:val="22"/>
              </w:rPr>
              <w:t>Reglamento (ES) Nr. 575/2013 4 straipsnio 1 dalies 115 punktas, 36 straipsnio 1 dalies b punktas ir 37 straipsnio a punktas.</w:t>
            </w:r>
          </w:p>
          <w:p w14:paraId="17E9CBDA"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Kitas nematerialusis turtas – nematerialus</w:t>
            </w:r>
            <w:r w:rsidRPr="00BB789E">
              <w:rPr>
                <w:rStyle w:val="FormatvorlageInstructionsTabelleText"/>
                <w:rFonts w:ascii="Times New Roman" w:hAnsi="Times New Roman"/>
                <w:sz w:val="22"/>
              </w:rPr>
              <w:t>is turtas pagal taikytiną apskaitos standartą, atėmus prestižą (taip pat pagal taikomą apskaitos standartą).</w:t>
            </w:r>
          </w:p>
        </w:tc>
      </w:tr>
      <w:tr w:rsidR="003E49E8" w:rsidRPr="00BB789E" w14:paraId="32782B56" w14:textId="77777777">
        <w:tc>
          <w:tcPr>
            <w:tcW w:w="1129" w:type="dxa"/>
          </w:tcPr>
          <w:p w14:paraId="0EEDCB2D"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98265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Atidėtųjų mokesčių turtas, kuris priklauso nuo būsimo pelningumo ir susidaro ne dėl laikinųjų skirtumų, atėmus susijusius atidėtųjų mokes</w:t>
            </w:r>
            <w:r w:rsidRPr="00BB789E">
              <w:rPr>
                <w:rFonts w:ascii="Times New Roman" w:hAnsi="Times New Roman"/>
                <w:b/>
                <w:bCs/>
                <w:u w:val="single"/>
              </w:rPr>
              <w:t>čių įsipareigojimus</w:t>
            </w:r>
          </w:p>
          <w:p w14:paraId="0F03726F"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2 dalies a punktas.</w:t>
            </w:r>
          </w:p>
          <w:p w14:paraId="1249C0DA"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Reglamento (ES) Nr. 575/2013 36 straipsnio 1 dalies c punktas.</w:t>
            </w:r>
          </w:p>
        </w:tc>
      </w:tr>
      <w:tr w:rsidR="003E49E8" w:rsidRPr="00BB789E" w14:paraId="546ABA7B" w14:textId="77777777">
        <w:tc>
          <w:tcPr>
            <w:tcW w:w="1129" w:type="dxa"/>
          </w:tcPr>
          <w:p w14:paraId="4723484D"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998572"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Ne finansų sektoriaus įmonės kvalifikuotoji akcijų paketo dalis, viršijanti 15 % nuosavų lėšų</w:t>
            </w:r>
          </w:p>
          <w:p w14:paraId="2FA1273A"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10 straipsnio 1 dalies a punktas.</w:t>
            </w:r>
          </w:p>
        </w:tc>
      </w:tr>
      <w:tr w:rsidR="003E49E8" w:rsidRPr="00BB789E" w14:paraId="1896E282" w14:textId="77777777">
        <w:tc>
          <w:tcPr>
            <w:tcW w:w="1129" w:type="dxa"/>
          </w:tcPr>
          <w:p w14:paraId="1D80D56E"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88A12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Įmonių, kurios nėra finansų sektoriaus subjektai, kvalifikuotųjų akcijų paketo dalių bendra suma, viršijanti 60 % įmonės nuosavų lėšų</w:t>
            </w:r>
          </w:p>
          <w:p w14:paraId="7E9AED84"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Reglamento (ES) 2019/2033 10 straipsnio 1 dalies b p</w:t>
            </w:r>
            <w:r w:rsidRPr="00BB789E">
              <w:rPr>
                <w:rFonts w:ascii="Times New Roman" w:hAnsi="Times New Roman"/>
                <w:bCs/>
              </w:rPr>
              <w:t>unktas.</w:t>
            </w:r>
          </w:p>
        </w:tc>
      </w:tr>
      <w:tr w:rsidR="003E49E8" w:rsidRPr="00BB789E" w14:paraId="73234AD6" w14:textId="77777777">
        <w:tc>
          <w:tcPr>
            <w:tcW w:w="1129" w:type="dxa"/>
          </w:tcPr>
          <w:p w14:paraId="6F7C4AF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E542F3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Finansų sektoriaus subjektų, kuriuose patronuojančioji įmonė neturi reikšmingų investicijų, CET1 priemonės</w:t>
            </w:r>
          </w:p>
          <w:p w14:paraId="4EA2EEEC"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2 dalies c punktas.</w:t>
            </w:r>
          </w:p>
          <w:p w14:paraId="5BB4AD3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Nr. 575/2013 36 straipsnio 1 dalies h punktas.</w:t>
            </w:r>
          </w:p>
          <w:p w14:paraId="3D6552B9"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Šioje eil</w:t>
            </w:r>
            <w:r w:rsidRPr="00BB789E">
              <w:rPr>
                <w:rFonts w:ascii="Times New Roman" w:hAnsi="Times New Roman"/>
                <w:bCs/>
              </w:rPr>
              <w:t xml:space="preserve">utėje Sąjungos patronuojančioji įmonė – Sąjungos patronuojančioji investicinė įmonė, Sąjungos patronuojančioji investicinė kontroliuojančioji bendrovė, Sąjungos patronuojančioji mišrią veiklą vykdanti finansų kontroliuojančioji bendrovė arba bet kuri kita </w:t>
            </w:r>
            <w:r w:rsidRPr="00BB789E">
              <w:rPr>
                <w:rFonts w:ascii="Times New Roman" w:hAnsi="Times New Roman"/>
                <w:bCs/>
              </w:rPr>
              <w:t>patronuojančioji įmonė, kuri yra investicinė įmonė, finansų įstaiga, papildomas paslaugas teikianti įmonė arba priklausomas agentas.</w:t>
            </w:r>
          </w:p>
        </w:tc>
      </w:tr>
      <w:tr w:rsidR="003E49E8" w:rsidRPr="00BB789E" w14:paraId="01D0B70E" w14:textId="77777777">
        <w:tc>
          <w:tcPr>
            <w:tcW w:w="1129" w:type="dxa"/>
          </w:tcPr>
          <w:p w14:paraId="2BFAE675"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67F3F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Nustatytų išmokų pensijų fondo turtas</w:t>
            </w:r>
          </w:p>
          <w:p w14:paraId="56062B6F"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2 dalies b punktas.</w:t>
            </w:r>
          </w:p>
          <w:p w14:paraId="45BD14B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Reglamento (ES) Nr. 575/2013 36 straipsnio 1 dalies e punktas.</w:t>
            </w:r>
          </w:p>
        </w:tc>
      </w:tr>
      <w:tr w:rsidR="003E49E8" w:rsidRPr="00BB789E" w14:paraId="1F04F13C" w14:textId="77777777">
        <w:tc>
          <w:tcPr>
            <w:tcW w:w="1129" w:type="dxa"/>
          </w:tcPr>
          <w:p w14:paraId="3F0B5041"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012A1FC"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Kiti atskaitymai</w:t>
            </w:r>
          </w:p>
          <w:p w14:paraId="55DD1F41"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rPr>
              <w:t>Visų kitų atskaitymų pagal Reglamento (ES) Nr. 575/2013 36 straipsnio 1 dalį (išskyrus atskaitymus pagal Reglamento (ES) Nr. 575/2013 36 straipsnio 1 dalies i punktą)</w:t>
            </w:r>
            <w:r w:rsidRPr="00BB789E">
              <w:rPr>
                <w:rFonts w:ascii="Times New Roman" w:hAnsi="Times New Roman"/>
              </w:rPr>
              <w:t>, neįtrauktų į nė vieną iš pirmiau nurodytų 0150–0270 eilučių, suma.</w:t>
            </w:r>
          </w:p>
        </w:tc>
      </w:tr>
      <w:tr w:rsidR="003E49E8" w:rsidRPr="00BB789E" w14:paraId="750EE9EA" w14:textId="77777777">
        <w:tc>
          <w:tcPr>
            <w:tcW w:w="1129" w:type="dxa"/>
          </w:tcPr>
          <w:p w14:paraId="1BA73E8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1574B6"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CET1. Kiti kapitalo elementai, atskaitymai ir koregavimai</w:t>
            </w:r>
          </w:p>
          <w:p w14:paraId="242B5D8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Šioje eilutėje susumuojami, kai taikytina, šie straipsniai:</w:t>
            </w:r>
          </w:p>
          <w:p w14:paraId="2EAF1394"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 xml:space="preserve">pereinamojo laikotarpio koregavimai dėl CET1 kapitalo </w:t>
            </w:r>
            <w:r w:rsidRPr="00BB789E">
              <w:rPr>
                <w:rFonts w:ascii="Times New Roman" w:hAnsi="Times New Roman"/>
                <w:bCs/>
              </w:rPr>
              <w:t>priemonių, kurioms taikomas tęstinumo principas (Reglamento (ES) Nr. 575/2013 483 straipsnio 1, 2 ir 3 dalys ir 484–487 straipsniai);</w:t>
            </w:r>
          </w:p>
          <w:p w14:paraId="0D8ED5F5"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kiti CET1 kapitalo pereinamojo laikotarpio koregavimai (Reglamento (ES) Nr. 575/2013 469–478 ir 481 straipsniai): atskai</w:t>
            </w:r>
            <w:r w:rsidRPr="00BB789E">
              <w:rPr>
                <w:rFonts w:ascii="Times New Roman" w:hAnsi="Times New Roman"/>
                <w:bCs/>
              </w:rPr>
              <w:t>tymų iš CET1 koregavimai dėl pereinamojo laikotarpio nuostatų;</w:t>
            </w:r>
          </w:p>
          <w:p w14:paraId="3BB2CC87" w14:textId="77777777" w:rsidR="003E49E8" w:rsidRPr="00BB789E" w:rsidRDefault="00BB789E">
            <w:pPr>
              <w:spacing w:after="120" w:line="240" w:lineRule="auto"/>
              <w:ind w:left="360" w:hanging="360"/>
              <w:jc w:val="both"/>
              <w:rPr>
                <w:rFonts w:ascii="Times New Roman" w:eastAsia="Times New Roman" w:hAnsi="Times New Roman" w:cs="Times New Roman"/>
                <w:b/>
                <w:bCs/>
                <w:u w:val="single"/>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kiti CET1 kapitalo elementai arba atskaitymai iš CET1 elemento, kurie negali būti priskirti prie vienos iš 0040–0280 eilučių.</w:t>
            </w:r>
          </w:p>
          <w:p w14:paraId="555D3D8B"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Šios eilutės negalima naudoti kapitalo straipsniams ar atskaityma</w:t>
            </w:r>
            <w:r w:rsidRPr="00BB789E">
              <w:rPr>
                <w:rFonts w:ascii="Times New Roman" w:hAnsi="Times New Roman"/>
                <w:bCs/>
              </w:rPr>
              <w:t>ms, kuriems netaikomas Reglamentas (ES) 2019/2033 arba Reglamentas (ES) Nr. 575/2013, įtraukti į mokumo koeficientų skaičiavimus.</w:t>
            </w:r>
          </w:p>
        </w:tc>
      </w:tr>
      <w:tr w:rsidR="003E49E8" w:rsidRPr="00BB789E" w14:paraId="7E59E8E5" w14:textId="77777777">
        <w:tc>
          <w:tcPr>
            <w:tcW w:w="1129" w:type="dxa"/>
          </w:tcPr>
          <w:p w14:paraId="5830AFD7"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ED6B26E"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PAPILDOMAS 1 LYGIO KAPITALAS</w:t>
            </w:r>
          </w:p>
          <w:p w14:paraId="6D88124E"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dalis.</w:t>
            </w:r>
          </w:p>
          <w:p w14:paraId="18332D34"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rPr>
              <w:lastRenderedPageBreak/>
              <w:t>Reglamento (ES) Nr. 575/2013 61 straipsnis.</w:t>
            </w:r>
          </w:p>
        </w:tc>
      </w:tr>
      <w:tr w:rsidR="003E49E8" w:rsidRPr="00BB789E" w14:paraId="4E65F470" w14:textId="77777777">
        <w:tc>
          <w:tcPr>
            <w:tcW w:w="1129" w:type="dxa"/>
          </w:tcPr>
          <w:p w14:paraId="5A48A48F"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DDD61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Visiškai apmokėtos tiesiogiai išleistos kapitalo priemonės</w:t>
            </w:r>
          </w:p>
          <w:p w14:paraId="6C6B2FE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6718D0C8"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Reglamento (ES) Nr. 575/2013 51 straipsnio a punktas ir 52, 53 bei 54 straipsniai.</w:t>
            </w:r>
          </w:p>
          <w:p w14:paraId="3E0E8736"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 xml:space="preserve">Į nurodomą sumą su tomis </w:t>
            </w:r>
            <w:r w:rsidRPr="00BB789E">
              <w:rPr>
                <w:rStyle w:val="FormatvorlageInstructionsTabelleText"/>
                <w:rFonts w:ascii="Times New Roman" w:hAnsi="Times New Roman"/>
                <w:sz w:val="22"/>
              </w:rPr>
              <w:t>priemonėmis susiję akcijų priedai neįskaičiuojami.</w:t>
            </w:r>
          </w:p>
        </w:tc>
      </w:tr>
      <w:tr w:rsidR="003E49E8" w:rsidRPr="00BB789E" w14:paraId="5928B73B" w14:textId="77777777">
        <w:tc>
          <w:tcPr>
            <w:tcW w:w="1129" w:type="dxa"/>
          </w:tcPr>
          <w:p w14:paraId="385F5404"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26E37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Akcijų priedai</w:t>
            </w:r>
          </w:p>
          <w:p w14:paraId="3AF00C31"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261078BD"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Reglamento (ES) Nr. 575/2013 51 straipsnio b punktas.</w:t>
            </w:r>
          </w:p>
          <w:p w14:paraId="60F4A255"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 xml:space="preserve">Sąvokos „akcijų priedai“ reikšmė yra tokia pati, kaip </w:t>
            </w:r>
            <w:r w:rsidRPr="00BB789E">
              <w:rPr>
                <w:rStyle w:val="FormatvorlageInstructionsTabelleText"/>
                <w:rFonts w:ascii="Times New Roman" w:hAnsi="Times New Roman"/>
                <w:sz w:val="22"/>
                <w:szCs w:val="22"/>
              </w:rPr>
              <w:t>apibrėžta taikytiname apskaitos standarte.</w:t>
            </w:r>
          </w:p>
          <w:p w14:paraId="24046F2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Šiame straipsnyje nurodoma sumos dalis, susijusi su apmokėtomis kapitalo priemonėmis.</w:t>
            </w:r>
          </w:p>
        </w:tc>
      </w:tr>
      <w:tr w:rsidR="003E49E8" w:rsidRPr="00BB789E" w14:paraId="62BBC70B" w14:textId="77777777">
        <w:tc>
          <w:tcPr>
            <w:tcW w:w="1129" w:type="dxa"/>
          </w:tcPr>
          <w:p w14:paraId="0A0A35A4"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B89AF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BENDRA ATSKAITYMŲ IŠ PAPILDOMO 1 LYGIO KAPITALO SUMA</w:t>
            </w:r>
          </w:p>
          <w:p w14:paraId="791CB22A" w14:textId="77777777" w:rsidR="003E49E8" w:rsidRPr="00BB789E" w:rsidRDefault="00BB789E">
            <w:pPr>
              <w:spacing w:before="60" w:after="60"/>
              <w:rPr>
                <w:rFonts w:ascii="Times New Roman" w:hAnsi="Times New Roman" w:cs="Times New Roman"/>
              </w:rPr>
            </w:pPr>
            <w:r w:rsidRPr="00BB789E">
              <w:rPr>
                <w:rFonts w:ascii="Times New Roman" w:hAnsi="Times New Roman"/>
              </w:rPr>
              <w:t>Reglamento (ES) Nr. 575/2013 56 straipsnis, išskyrus to straipsn</w:t>
            </w:r>
            <w:r w:rsidRPr="00BB789E">
              <w:rPr>
                <w:rFonts w:ascii="Times New Roman" w:hAnsi="Times New Roman"/>
              </w:rPr>
              <w:t>io d punktą.</w:t>
            </w:r>
          </w:p>
          <w:p w14:paraId="5CEBF25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Nurodoma bendra 0340, 0380 ir 0400 eilučių reikšmių suma.</w:t>
            </w:r>
          </w:p>
        </w:tc>
      </w:tr>
      <w:tr w:rsidR="003E49E8" w:rsidRPr="00BB789E" w14:paraId="6163AD0C" w14:textId="77777777">
        <w:tc>
          <w:tcPr>
            <w:tcW w:w="1129" w:type="dxa"/>
          </w:tcPr>
          <w:p w14:paraId="58CFE4FC"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90784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Nuosavos AT1 priemonės</w:t>
            </w:r>
          </w:p>
          <w:p w14:paraId="536328BD"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1E1EB88C" w14:textId="77777777" w:rsidR="003E49E8" w:rsidRPr="00BB789E" w:rsidRDefault="00BB789E">
            <w:pPr>
              <w:spacing w:after="120" w:line="240" w:lineRule="auto"/>
              <w:jc w:val="both"/>
              <w:rPr>
                <w:rStyle w:val="FormatvorlageInstructionsTabelleText"/>
                <w:rFonts w:ascii="Times New Roman" w:hAnsi="Times New Roman"/>
                <w:sz w:val="22"/>
              </w:rPr>
            </w:pPr>
            <w:r w:rsidRPr="00BB789E">
              <w:rPr>
                <w:rStyle w:val="FormatvorlageInstructionsTabelleText"/>
                <w:rFonts w:ascii="Times New Roman" w:hAnsi="Times New Roman"/>
                <w:sz w:val="22"/>
              </w:rPr>
              <w:t xml:space="preserve">Reglamento (ES) Nr. 575/2013 52 straipsnio 1 dalies b punktas, 56 straipsnio a </w:t>
            </w:r>
            <w:r w:rsidRPr="00BB789E">
              <w:rPr>
                <w:rStyle w:val="FormatvorlageInstructionsTabelleText"/>
                <w:rFonts w:ascii="Times New Roman" w:hAnsi="Times New Roman"/>
                <w:sz w:val="22"/>
              </w:rPr>
              <w:t>punktas ir 57 straipsnis.</w:t>
            </w:r>
          </w:p>
          <w:p w14:paraId="1B9A9D31"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Investicinės įmonės ataskaitinę datą turimos nuosavos AT1 priemonės. Taikant Reglamento (ES) Nr. 575/2013 57 straipsnyje nustatytas išimtis.</w:t>
            </w:r>
          </w:p>
          <w:p w14:paraId="158D1B79" w14:textId="77777777" w:rsidR="003E49E8" w:rsidRPr="00BB789E" w:rsidRDefault="00BB789E">
            <w:pPr>
              <w:pStyle w:val="InstructionsText"/>
              <w:rPr>
                <w:sz w:val="22"/>
                <w:szCs w:val="22"/>
              </w:rPr>
            </w:pPr>
            <w:r w:rsidRPr="00BB789E">
              <w:rPr>
                <w:rStyle w:val="FormatvorlageInstructionsTabelleText"/>
                <w:rFonts w:ascii="Times New Roman" w:hAnsi="Times New Roman"/>
                <w:sz w:val="22"/>
                <w:szCs w:val="22"/>
              </w:rPr>
              <w:t>Į nurodomą sumą įskaičiuojami su savomis akcijomis susiję akcijų priedai.</w:t>
            </w:r>
          </w:p>
        </w:tc>
      </w:tr>
      <w:tr w:rsidR="003E49E8" w:rsidRPr="00BB789E" w14:paraId="502598D9" w14:textId="77777777">
        <w:tc>
          <w:tcPr>
            <w:tcW w:w="1129" w:type="dxa"/>
          </w:tcPr>
          <w:p w14:paraId="47F2992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E92C74"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Finan</w:t>
            </w:r>
            <w:r w:rsidRPr="00BB789E">
              <w:rPr>
                <w:rFonts w:ascii="Times New Roman" w:hAnsi="Times New Roman"/>
                <w:b/>
                <w:bCs/>
                <w:u w:val="single"/>
              </w:rPr>
              <w:t>sų sektoriaus subjektų, kuriuose patronuojančioji įmonė neturi reikšmingų investicijų, AT1 priemonės</w:t>
            </w:r>
          </w:p>
          <w:p w14:paraId="4C5B311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2 dalies c punktas.</w:t>
            </w:r>
          </w:p>
          <w:p w14:paraId="6176F5C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Nr. 575/2013 56 straipsnio c punktas.</w:t>
            </w:r>
          </w:p>
          <w:p w14:paraId="2BBEC202"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Šioje eilutėje Sąjungos patronuojančioji į</w:t>
            </w:r>
            <w:r w:rsidRPr="00BB789E">
              <w:rPr>
                <w:rFonts w:ascii="Times New Roman" w:hAnsi="Times New Roman"/>
                <w:bCs/>
              </w:rPr>
              <w:t xml:space="preserve">monė – Sąjungos patronuojančioji investicinė įmonė, Sąjungos patronuojančioji investicinė kontroliuojančioji bendrovė, Sąjungos patronuojančioji mišrią veiklą vykdanti finansų kontroliuojančioji bendrovė arba bet kuri kita patronuojančioji įmonė, kuri yra </w:t>
            </w:r>
            <w:r w:rsidRPr="00BB789E">
              <w:rPr>
                <w:rFonts w:ascii="Times New Roman" w:hAnsi="Times New Roman"/>
                <w:bCs/>
              </w:rPr>
              <w:t>investicinė įmonė, finansų įstaiga, papildomas paslaugas teikianti įmonė arba priklausomas agentas.</w:t>
            </w:r>
          </w:p>
        </w:tc>
      </w:tr>
      <w:tr w:rsidR="003E49E8" w:rsidRPr="00BB789E" w14:paraId="7A901511" w14:textId="77777777">
        <w:tc>
          <w:tcPr>
            <w:tcW w:w="1129" w:type="dxa"/>
          </w:tcPr>
          <w:p w14:paraId="4D6599A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DC510FC"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Kiti atskaitymai</w:t>
            </w:r>
          </w:p>
          <w:p w14:paraId="1C29618D"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 xml:space="preserve">Visų kitų atskaitymų pagal Reglamento (ES) Nr. 575/2013 56 straipsnį (išskyrus atskaitymus pagal Reglamento (ES) </w:t>
            </w:r>
            <w:r w:rsidRPr="00BB789E">
              <w:rPr>
                <w:rFonts w:ascii="Times New Roman" w:hAnsi="Times New Roman"/>
                <w:bCs/>
              </w:rPr>
              <w:t>Nr. 575/2013 56 straipsnio d punktą), neįtrauktų nei į 0340, nei į 0380 eilutę, suma.</w:t>
            </w:r>
          </w:p>
        </w:tc>
      </w:tr>
      <w:tr w:rsidR="003E49E8" w:rsidRPr="00BB789E" w14:paraId="0D9CDF66" w14:textId="77777777">
        <w:tc>
          <w:tcPr>
            <w:tcW w:w="1129" w:type="dxa"/>
          </w:tcPr>
          <w:p w14:paraId="04852BE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F13693"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Papildomas 1 lygio kapitalas. Kiti kapitalo elementai, atskaitymai ir koregavimai</w:t>
            </w:r>
          </w:p>
          <w:p w14:paraId="57C76517"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Šioje eilutėje susumuojami, kai taikytina, šie straipsniai:</w:t>
            </w:r>
          </w:p>
          <w:p w14:paraId="177E0C55"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pereinamojo laikotar</w:t>
            </w:r>
            <w:r w:rsidRPr="00BB789E">
              <w:rPr>
                <w:rFonts w:ascii="Times New Roman" w:hAnsi="Times New Roman"/>
                <w:bCs/>
              </w:rPr>
              <w:t>pio koregavimai dėl AT1 kapitalo priemonių, kurioms taikomas tęstinumo principas (Reglamento (ES) Nr. 575/2013 483 straipsnio 4 ir 5 dalys, 484–487 straipsniai, 489 ir 491 straipsniai);</w:t>
            </w:r>
          </w:p>
          <w:p w14:paraId="59ABDEB6"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lastRenderedPageBreak/>
              <w:t>—</w:t>
            </w:r>
            <w:r w:rsidRPr="00BB789E">
              <w:rPr>
                <w:rFonts w:ascii="Times New Roman" w:eastAsia="Times New Roman" w:hAnsi="Times New Roman" w:cs="Times New Roman"/>
                <w:bCs/>
              </w:rPr>
              <w:tab/>
            </w:r>
            <w:r w:rsidRPr="00BB789E">
              <w:rPr>
                <w:rFonts w:ascii="Times New Roman" w:hAnsi="Times New Roman"/>
                <w:bCs/>
              </w:rPr>
              <w:t>kiti AT1 kapitalo pereinamojo laikotarpio koregavimai (Reglamento (E</w:t>
            </w:r>
            <w:r w:rsidRPr="00BB789E">
              <w:rPr>
                <w:rFonts w:ascii="Times New Roman" w:hAnsi="Times New Roman"/>
                <w:bCs/>
              </w:rPr>
              <w:t>S) Nr. 575/2013 472, 473a, 474, 475, 478 ir 481 straipsniai): atskaitymų koregavimai dėl pereinamojo laikotarpio nuostatų;</w:t>
            </w:r>
          </w:p>
          <w:p w14:paraId="318BD10C"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atskaitymų iš AT1 straipsnių suma, viršijanti AT1 kapitalą ir atskaityta iš CET1 pagal Reglamento (ES) Nr. 575/2013 36 straipsnio 1</w:t>
            </w:r>
            <w:r w:rsidRPr="00BB789E">
              <w:rPr>
                <w:rFonts w:ascii="Times New Roman" w:hAnsi="Times New Roman"/>
                <w:bCs/>
              </w:rPr>
              <w:t> dalies j punktą: papildomo 1 lygio kapitalo reikšmė negali būti neigiama, bet gali būti, kad atskaitymai iš AT1 straipsnių viršija turimų AT1 straipsnių sumą. Tokiu atveju šiame straipsnyje nurodoma suma, kurios reikia 0300 eilutėje nurodytai sumai padidi</w:t>
            </w:r>
            <w:r w:rsidRPr="00BB789E">
              <w:rPr>
                <w:rFonts w:ascii="Times New Roman" w:hAnsi="Times New Roman"/>
                <w:bCs/>
              </w:rPr>
              <w:t>nti iki nulio ir kuri lygi atskaitymų iš AT1 straipsnių sumos, viršijančios AT1 kapitalą ir įtrauktos, be kitų atskaitymų, į 0280 eilutę, atvirkštinei vertei;</w:t>
            </w:r>
          </w:p>
          <w:p w14:paraId="5BDF8689"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 xml:space="preserve">kiti AT1 kapitalo elementai arba atskaitymai iš AT1 elemento, kurie negali būti priskirti prie </w:t>
            </w:r>
            <w:r w:rsidRPr="00BB789E">
              <w:rPr>
                <w:rFonts w:ascii="Times New Roman" w:hAnsi="Times New Roman"/>
                <w:bCs/>
              </w:rPr>
              <w:t>vienos iš 0310–0400 eilučių.</w:t>
            </w:r>
          </w:p>
          <w:p w14:paraId="2939130F"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Šios eilutės negalima naudoti kapitalo straipsniams ar atskaitymams, kuriems netaikomas Reglamentas (ES) 2019/2033 arba Reglamentas (ES) Nr. 575/2013, įtraukti į mokumo koeficientų skaičiavimus.</w:t>
            </w:r>
          </w:p>
        </w:tc>
      </w:tr>
      <w:tr w:rsidR="003E49E8" w:rsidRPr="00BB789E" w14:paraId="0C87158F" w14:textId="77777777">
        <w:tc>
          <w:tcPr>
            <w:tcW w:w="1129" w:type="dxa"/>
          </w:tcPr>
          <w:p w14:paraId="56330154"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DC6D2F9"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2 LYGIO KAPITALAS</w:t>
            </w:r>
          </w:p>
          <w:p w14:paraId="4F988408"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dalis.</w:t>
            </w:r>
          </w:p>
          <w:p w14:paraId="290DFE33" w14:textId="77777777" w:rsidR="003E49E8" w:rsidRPr="00BB789E" w:rsidRDefault="00BB789E">
            <w:pPr>
              <w:spacing w:after="120" w:line="240" w:lineRule="auto"/>
              <w:jc w:val="both"/>
              <w:rPr>
                <w:rStyle w:val="FormatvorlageInstructionsTabelleText"/>
                <w:rFonts w:ascii="Times New Roman" w:hAnsi="Times New Roman"/>
                <w:sz w:val="22"/>
              </w:rPr>
            </w:pPr>
            <w:r w:rsidRPr="00BB789E">
              <w:rPr>
                <w:rStyle w:val="FormatvorlageInstructionsTabelleText"/>
                <w:rFonts w:ascii="Times New Roman" w:hAnsi="Times New Roman"/>
                <w:sz w:val="22"/>
              </w:rPr>
              <w:t>Reglamento (ES) Nr. 575/2013 71 straipsnis.</w:t>
            </w:r>
          </w:p>
          <w:p w14:paraId="18DDB575" w14:textId="77777777" w:rsidR="003E49E8" w:rsidRPr="00BB789E" w:rsidRDefault="00BB789E">
            <w:pPr>
              <w:pStyle w:val="CommentText"/>
              <w:rPr>
                <w:sz w:val="22"/>
                <w:szCs w:val="22"/>
              </w:rPr>
            </w:pPr>
            <w:r w:rsidRPr="00BB789E">
              <w:rPr>
                <w:rFonts w:ascii="Times New Roman" w:hAnsi="Times New Roman"/>
                <w:bCs/>
                <w:sz w:val="22"/>
                <w:szCs w:val="22"/>
              </w:rPr>
              <w:t>Nurodoma bendra 0430–0455 ir 0525 eilučių reikšmių suma.</w:t>
            </w:r>
          </w:p>
        </w:tc>
      </w:tr>
      <w:tr w:rsidR="003E49E8" w:rsidRPr="00BB789E" w14:paraId="378ADF6C" w14:textId="77777777">
        <w:tc>
          <w:tcPr>
            <w:tcW w:w="1129" w:type="dxa"/>
          </w:tcPr>
          <w:p w14:paraId="3552D07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132916"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Visiškai apmokėtos tiesiogiai išleistos kapitalo priemonės</w:t>
            </w:r>
          </w:p>
          <w:p w14:paraId="0B1C070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 xml:space="preserve">Reglamento (ES) 2019/2033 </w:t>
            </w:r>
            <w:r w:rsidRPr="00BB789E">
              <w:rPr>
                <w:rFonts w:ascii="Times New Roman" w:hAnsi="Times New Roman"/>
                <w:bCs/>
              </w:rPr>
              <w:t>9 straipsnio 1 dalies i papunktis.</w:t>
            </w:r>
          </w:p>
          <w:p w14:paraId="4D45C5A5" w14:textId="77777777" w:rsidR="003E49E8" w:rsidRPr="00BB789E" w:rsidRDefault="00BB789E">
            <w:pPr>
              <w:pStyle w:val="InstructionsText"/>
              <w:rPr>
                <w:rStyle w:val="FormatvorlageInstructionsTabelleText"/>
                <w:rFonts w:ascii="Times New Roman" w:eastAsiaTheme="minorHAnsi" w:hAnsi="Times New Roman"/>
                <w:bCs/>
                <w:sz w:val="22"/>
                <w:szCs w:val="22"/>
              </w:rPr>
            </w:pPr>
            <w:r w:rsidRPr="00BB789E">
              <w:rPr>
                <w:rStyle w:val="FormatvorlageInstructionsTabelleText"/>
                <w:rFonts w:ascii="Times New Roman" w:hAnsi="Times New Roman"/>
                <w:sz w:val="22"/>
                <w:szCs w:val="22"/>
              </w:rPr>
              <w:t>Reglamento (ES) Nr. 575/2013 62 straipsnio a punktas ir 63 bei 65 straipsniai.</w:t>
            </w:r>
          </w:p>
          <w:p w14:paraId="08BC36B1"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FormatvorlageInstructionsTabelleText"/>
                <w:rFonts w:ascii="Times New Roman" w:hAnsi="Times New Roman"/>
                <w:sz w:val="22"/>
              </w:rPr>
              <w:t>Į nurodomą sumą su tomis priemonėmis susiję akcijų priedai neįskaičiuojami.</w:t>
            </w:r>
          </w:p>
        </w:tc>
      </w:tr>
      <w:tr w:rsidR="003E49E8" w:rsidRPr="00BB789E" w14:paraId="6BA92FE2" w14:textId="77777777">
        <w:tc>
          <w:tcPr>
            <w:tcW w:w="1129" w:type="dxa"/>
          </w:tcPr>
          <w:p w14:paraId="65A9F1C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AD13F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Akcijų priedai</w:t>
            </w:r>
          </w:p>
          <w:p w14:paraId="61E3DF2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 xml:space="preserve">Reglamento (ES) 2019/2033 </w:t>
            </w:r>
            <w:r w:rsidRPr="00BB789E">
              <w:rPr>
                <w:rFonts w:ascii="Times New Roman" w:hAnsi="Times New Roman"/>
                <w:bCs/>
              </w:rPr>
              <w:t>9 straipsnio 1 dalies i papunktis.</w:t>
            </w:r>
          </w:p>
          <w:p w14:paraId="7DF558CC"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Reglamento (ES) Nr. 575/2013 62 straipsnio b punktas ir 65 straipsnis.</w:t>
            </w:r>
          </w:p>
          <w:p w14:paraId="485C84B1"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Sąvokos „akcijų priedai“ reikšmė yra tokia pati, kaip apibrėžta taikytiname apskaitos standarte.</w:t>
            </w:r>
          </w:p>
          <w:p w14:paraId="205B5A70" w14:textId="77777777" w:rsidR="003E49E8" w:rsidRPr="00BB789E" w:rsidRDefault="00BB789E">
            <w:pPr>
              <w:pStyle w:val="InstructionsText"/>
              <w:rPr>
                <w:sz w:val="22"/>
                <w:szCs w:val="22"/>
              </w:rPr>
            </w:pPr>
            <w:r w:rsidRPr="00BB789E">
              <w:rPr>
                <w:rStyle w:val="FormatvorlageInstructionsTabelleText"/>
                <w:rFonts w:ascii="Times New Roman" w:hAnsi="Times New Roman"/>
                <w:sz w:val="22"/>
                <w:szCs w:val="22"/>
              </w:rPr>
              <w:t>Šiame straipsnyje nurodoma sumos dalis, susijusi su a</w:t>
            </w:r>
            <w:r w:rsidRPr="00BB789E">
              <w:rPr>
                <w:rStyle w:val="FormatvorlageInstructionsTabelleText"/>
                <w:rFonts w:ascii="Times New Roman" w:hAnsi="Times New Roman"/>
                <w:sz w:val="22"/>
                <w:szCs w:val="22"/>
              </w:rPr>
              <w:t>pmokėtomis kapitalo priemonėmis.</w:t>
            </w:r>
          </w:p>
        </w:tc>
      </w:tr>
      <w:tr w:rsidR="003E49E8" w:rsidRPr="00BB789E" w14:paraId="67FFA85D" w14:textId="77777777">
        <w:tc>
          <w:tcPr>
            <w:tcW w:w="1129" w:type="dxa"/>
          </w:tcPr>
          <w:p w14:paraId="549EEFF4"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68516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BENDRA ATSKAITYMŲ IŠ 2 LYGIO KAPITALO SUMA</w:t>
            </w:r>
          </w:p>
          <w:p w14:paraId="6D0806F4"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rPr>
              <w:t>Reglamento (ES) Nr. 575/2013 66 straipsnis, išskyrus to straipsnio d punktą.</w:t>
            </w:r>
          </w:p>
        </w:tc>
      </w:tr>
      <w:tr w:rsidR="003E49E8" w:rsidRPr="00BB789E" w14:paraId="5E326BEA" w14:textId="77777777">
        <w:tc>
          <w:tcPr>
            <w:tcW w:w="1129" w:type="dxa"/>
          </w:tcPr>
          <w:p w14:paraId="55EADD0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2DA524"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Nuosavos T2 priemonės</w:t>
            </w:r>
          </w:p>
          <w:p w14:paraId="282522E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1 dalies i papunktis.</w:t>
            </w:r>
          </w:p>
          <w:p w14:paraId="33B7F28C"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Reglamento (ES) Nr. 575/2013 63 straipsnio b punkto i punktas, 66 straipsnio a punktas ir 67 straipsnis.</w:t>
            </w:r>
          </w:p>
          <w:p w14:paraId="32E0B269"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Informaciją teikiančios įstaigos arba grupės ataskaitinę datą turimos nuosavos T2 priemonės. Taikant Reglamento (ES) Nr. 575/2013 67 straipsnyje nustat</w:t>
            </w:r>
            <w:r w:rsidRPr="00BB789E">
              <w:rPr>
                <w:rStyle w:val="FormatvorlageInstructionsTabelleText"/>
                <w:rFonts w:ascii="Times New Roman" w:hAnsi="Times New Roman"/>
                <w:sz w:val="22"/>
                <w:szCs w:val="22"/>
              </w:rPr>
              <w:t>ytas išimtis.</w:t>
            </w:r>
          </w:p>
          <w:p w14:paraId="71293FE8" w14:textId="77777777" w:rsidR="003E49E8" w:rsidRPr="00BB789E" w:rsidRDefault="00BB789E">
            <w:pPr>
              <w:pStyle w:val="InstructionsText"/>
              <w:rPr>
                <w:rStyle w:val="FormatvorlageInstructionsTabelleText"/>
                <w:rFonts w:ascii="Times New Roman" w:hAnsi="Times New Roman"/>
                <w:sz w:val="22"/>
                <w:szCs w:val="22"/>
              </w:rPr>
            </w:pPr>
            <w:r w:rsidRPr="00BB789E">
              <w:rPr>
                <w:rStyle w:val="FormatvorlageInstructionsTabelleText"/>
                <w:rFonts w:ascii="Times New Roman" w:hAnsi="Times New Roman"/>
                <w:sz w:val="22"/>
                <w:szCs w:val="22"/>
              </w:rPr>
              <w:t>Turimos akcijos, priskirtos prie „Reikalavimų neatitinkančių kapitalo priemonių“, šioje eilutėje nenurodomos.</w:t>
            </w:r>
          </w:p>
          <w:p w14:paraId="56859859" w14:textId="77777777" w:rsidR="003E49E8" w:rsidRPr="00BB789E" w:rsidRDefault="00BB789E">
            <w:pPr>
              <w:pStyle w:val="InstructionsText"/>
              <w:rPr>
                <w:sz w:val="22"/>
                <w:szCs w:val="22"/>
              </w:rPr>
            </w:pPr>
            <w:r w:rsidRPr="00BB789E">
              <w:rPr>
                <w:rStyle w:val="FormatvorlageInstructionsTabelleText"/>
                <w:rFonts w:ascii="Times New Roman" w:hAnsi="Times New Roman"/>
                <w:sz w:val="22"/>
                <w:szCs w:val="22"/>
              </w:rPr>
              <w:t>Į nurodomą sumą įskaičiuojami su savomis akcijomis susiję akcijų priedai.</w:t>
            </w:r>
          </w:p>
        </w:tc>
      </w:tr>
      <w:tr w:rsidR="003E49E8" w:rsidRPr="00BB789E" w14:paraId="0C4C7C45" w14:textId="77777777">
        <w:tc>
          <w:tcPr>
            <w:tcW w:w="1129" w:type="dxa"/>
          </w:tcPr>
          <w:p w14:paraId="4F62EB3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0E581F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Finansų sektoriaus subjektų, kuriuose patronuoja</w:t>
            </w:r>
            <w:r w:rsidRPr="00BB789E">
              <w:rPr>
                <w:rFonts w:ascii="Times New Roman" w:hAnsi="Times New Roman"/>
                <w:b/>
                <w:bCs/>
                <w:u w:val="single"/>
              </w:rPr>
              <w:t>nčioji įmonė neturi reikšmingų investicijų, T2 priemonės</w:t>
            </w:r>
          </w:p>
          <w:p w14:paraId="1FB74E9A"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9 straipsnio 2 dalies c punktas.</w:t>
            </w:r>
          </w:p>
          <w:p w14:paraId="564F1F1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Nr. 575/2013 66 straipsnio c punktas.</w:t>
            </w:r>
          </w:p>
          <w:p w14:paraId="3467C71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lastRenderedPageBreak/>
              <w:t xml:space="preserve">Šioje eilutėje Sąjungos patronuojančioji įmonė – Sąjungos </w:t>
            </w:r>
            <w:r w:rsidRPr="00BB789E">
              <w:rPr>
                <w:rFonts w:ascii="Times New Roman" w:hAnsi="Times New Roman"/>
                <w:bCs/>
              </w:rPr>
              <w:t>patronuojančioji investicinė įmonė, Sąjungos patronuojančioji investicinė kontroliuojančioji bendrovė, Sąjungos patronuojančioji mišrią veiklą vykdanti finansų kontroliuojančioji bendrovė arba bet kuri kita patronuojančioji įmonė, kuri yra investicinė įmon</w:t>
            </w:r>
            <w:r w:rsidRPr="00BB789E">
              <w:rPr>
                <w:rFonts w:ascii="Times New Roman" w:hAnsi="Times New Roman"/>
                <w:bCs/>
              </w:rPr>
              <w:t>ė, finansų įstaiga, papildomas paslaugas teikianti įmonė arba priklausomas agentas.</w:t>
            </w:r>
          </w:p>
        </w:tc>
      </w:tr>
      <w:tr w:rsidR="003E49E8" w:rsidRPr="00BB789E" w14:paraId="200CB217" w14:textId="77777777">
        <w:tc>
          <w:tcPr>
            <w:tcW w:w="1129" w:type="dxa"/>
            <w:tcBorders>
              <w:bottom w:val="single" w:sz="4" w:space="0" w:color="auto"/>
            </w:tcBorders>
          </w:tcPr>
          <w:p w14:paraId="6D48132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11449FE"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2 lygio kapitalas. Kiti kapitalo elementai, atskaitymai ir koregavimai</w:t>
            </w:r>
          </w:p>
          <w:p w14:paraId="0267420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Šioje eilutėje susumuojami, kai taikytina, šie straipsniai:</w:t>
            </w:r>
          </w:p>
          <w:p w14:paraId="4E5C0B10"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 xml:space="preserve">pereinamojo </w:t>
            </w:r>
            <w:r w:rsidRPr="00BB789E">
              <w:rPr>
                <w:rFonts w:ascii="Times New Roman" w:hAnsi="Times New Roman"/>
                <w:bCs/>
              </w:rPr>
              <w:t>laikotarpio koregavimai dėl T2 kapitalo priemonių, kurioms taikomas tęstinumo principas (Reglamento (ES) Nr. 575/2013 483 straipsnio 6 ir 7 dalys, 484, 486, 488, 490 ir 491 straipsniai);</w:t>
            </w:r>
          </w:p>
          <w:p w14:paraId="3C213CF7"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kiti T2 kapitalo pereinamojo laikotarpio koregavimai (Reglamento (E</w:t>
            </w:r>
            <w:r w:rsidRPr="00BB789E">
              <w:rPr>
                <w:rFonts w:ascii="Times New Roman" w:hAnsi="Times New Roman"/>
                <w:bCs/>
              </w:rPr>
              <w:t>S) Nr. 575/2013 472, 473a, 476, 477, 478 ir 481 straipsniai): atskaitymų iš 2 lygio kapitalo koregavimai dėl pereinamojo laikotarpio nuostatų;</w:t>
            </w:r>
          </w:p>
          <w:p w14:paraId="622C9A48"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atskaitymų iš T2 straipsnių suma, viršijanti T2 kapitalą ir atskaityta iš AT1 pagal Reglamento (ES) Nr. 575/201</w:t>
            </w:r>
            <w:r w:rsidRPr="00BB789E">
              <w:rPr>
                <w:rFonts w:ascii="Times New Roman" w:hAnsi="Times New Roman"/>
                <w:bCs/>
              </w:rPr>
              <w:t xml:space="preserve">3 56 straipsnio e punktą: 2 lygio kapitalo reikšmė negali būti neigiama, bet gali būti, kad atskaitymai iš T2 straipsnių viršija turimų T2 straipsnių sumą. Tokiu atveju šiame straipsnyje nurodoma suma, kurios reikia 0420 eilutėje nurodytai sumai padidinti </w:t>
            </w:r>
            <w:r w:rsidRPr="00BB789E">
              <w:rPr>
                <w:rFonts w:ascii="Times New Roman" w:hAnsi="Times New Roman"/>
                <w:bCs/>
              </w:rPr>
              <w:t>iki nulio;</w:t>
            </w:r>
          </w:p>
          <w:p w14:paraId="6427B217" w14:textId="77777777" w:rsidR="003E49E8" w:rsidRPr="00BB789E" w:rsidRDefault="00BB789E">
            <w:pPr>
              <w:spacing w:after="120" w:line="240" w:lineRule="auto"/>
              <w:ind w:left="360" w:hanging="360"/>
              <w:jc w:val="both"/>
              <w:rPr>
                <w:rFonts w:ascii="Times New Roman" w:eastAsia="Times New Roman" w:hAnsi="Times New Roman" w:cs="Times New Roman"/>
                <w:bCs/>
              </w:rPr>
            </w:pPr>
            <w:r w:rsidRPr="00BB789E">
              <w:rPr>
                <w:rFonts w:ascii="Times New Roman" w:eastAsia="Times New Roman" w:hAnsi="Times New Roman" w:cs="Times New Roman"/>
                <w:bCs/>
              </w:rPr>
              <w:t>—</w:t>
            </w:r>
            <w:r w:rsidRPr="00BB789E">
              <w:rPr>
                <w:rFonts w:ascii="Times New Roman" w:eastAsia="Times New Roman" w:hAnsi="Times New Roman" w:cs="Times New Roman"/>
                <w:bCs/>
              </w:rPr>
              <w:tab/>
            </w:r>
            <w:r w:rsidRPr="00BB789E">
              <w:rPr>
                <w:rFonts w:ascii="Times New Roman" w:hAnsi="Times New Roman"/>
                <w:bCs/>
              </w:rPr>
              <w:t>kiti T2 kapitalo elementai arba atskaitymai iš T2 elemento, kurie negali būti priskirti prie vienos iš 0430–0500 eilučių.</w:t>
            </w:r>
          </w:p>
          <w:p w14:paraId="61E818CF"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Šios eilutės negalima naudoti kapitalo straipsniams ar atskaitymams, kuriems netaikomas Reglamentas (ES) 2019/2033 arba R</w:t>
            </w:r>
            <w:r w:rsidRPr="00BB789E">
              <w:rPr>
                <w:rFonts w:ascii="Times New Roman" w:hAnsi="Times New Roman"/>
                <w:bCs/>
              </w:rPr>
              <w:t>eglamentas (ES) Nr. 575/2013, įtraukti į mokumo koeficientų skaičiavimus.</w:t>
            </w:r>
          </w:p>
        </w:tc>
      </w:tr>
    </w:tbl>
    <w:p w14:paraId="2218DD9F" w14:textId="77777777" w:rsidR="003E49E8" w:rsidRPr="00BB789E" w:rsidRDefault="00BB789E">
      <w:pPr>
        <w:pStyle w:val="Instructionsberschrift2"/>
        <w:ind w:left="357" w:hanging="357"/>
        <w:rPr>
          <w:rFonts w:ascii="Times New Roman" w:hAnsi="Times New Roman" w:cs="Times New Roman"/>
          <w:sz w:val="24"/>
          <w:u w:val="none"/>
        </w:rPr>
      </w:pPr>
      <w:bookmarkStart w:id="19" w:name="_Toc88057059"/>
      <w:r w:rsidRPr="00BB789E">
        <w:rPr>
          <w:rFonts w:ascii="Times New Roman" w:hAnsi="Times New Roman"/>
          <w:sz w:val="24"/>
        </w:rPr>
        <w:t>1.3. I 11.02. NUOSAVŲ LĖŠŲ REIKALAVIMAI. GRUPĖS KAPITALO TESTAS (I11.2)</w:t>
      </w:r>
      <w:bookmarkEnd w:id="19"/>
    </w:p>
    <w:p w14:paraId="2EFAD842" w14:textId="77777777" w:rsidR="003E49E8" w:rsidRPr="00BB789E" w:rsidRDefault="00BB789E">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057060"/>
      <w:r w:rsidRPr="00BB789E">
        <w:rPr>
          <w:rFonts w:ascii="Times New Roman" w:hAnsi="Times New Roman"/>
          <w:sz w:val="24"/>
          <w:szCs w:val="24"/>
        </w:rPr>
        <w:t>1.3.1.</w:t>
      </w:r>
      <w:r w:rsidRPr="00BB789E">
        <w:tab/>
      </w:r>
      <w:r w:rsidRPr="00BB789E">
        <w:rPr>
          <w:rFonts w:ascii="Times New Roman" w:hAnsi="Times New Roman"/>
          <w:sz w:val="24"/>
          <w:szCs w:val="24"/>
          <w:u w:val="single"/>
        </w:rPr>
        <w:t>Nurodymai dėl konkrečių pozicijų</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E49E8" w:rsidRPr="00BB789E" w14:paraId="12EF7A7E" w14:textId="77777777">
        <w:tc>
          <w:tcPr>
            <w:tcW w:w="1129" w:type="dxa"/>
            <w:shd w:val="clear" w:color="auto" w:fill="D9D9D9"/>
          </w:tcPr>
          <w:p w14:paraId="684717FE"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rPr>
              <w:t>Eilutė</w:t>
            </w:r>
          </w:p>
        </w:tc>
        <w:tc>
          <w:tcPr>
            <w:tcW w:w="7620" w:type="dxa"/>
            <w:shd w:val="clear" w:color="auto" w:fill="D9D9D9"/>
          </w:tcPr>
          <w:p w14:paraId="0A70581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rPr>
              <w:t>Nuorodos į teisės aktus ir nurodymai</w:t>
            </w:r>
          </w:p>
        </w:tc>
      </w:tr>
      <w:tr w:rsidR="003E49E8" w:rsidRPr="00BB789E" w14:paraId="5DD35C2E" w14:textId="77777777">
        <w:tc>
          <w:tcPr>
            <w:tcW w:w="1129" w:type="dxa"/>
            <w:tcBorders>
              <w:top w:val="single" w:sz="4" w:space="0" w:color="auto"/>
              <w:left w:val="single" w:sz="4" w:space="0" w:color="auto"/>
              <w:bottom w:val="single" w:sz="4" w:space="0" w:color="auto"/>
              <w:right w:val="single" w:sz="4" w:space="0" w:color="auto"/>
            </w:tcBorders>
          </w:tcPr>
          <w:p w14:paraId="083ADFFC"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55AF8077"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Investicinių įmonių grupės finansų sektoriaus subjektų, kuriuose patronuojančioji įmonė turi reikšmingų investicijų, CET1 priemonės</w:t>
            </w:r>
          </w:p>
          <w:p w14:paraId="48E03EBB"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Reglamento (ES) 2019/2033 8 straipsnio 3 dalies a punktas kartu su Reglamento (ES) Nr. 575/2013 36 straipsnio 1 dalies i pun</w:t>
            </w:r>
            <w:r w:rsidRPr="00BB789E">
              <w:rPr>
                <w:rFonts w:ascii="Times New Roman" w:hAnsi="Times New Roman"/>
                <w:bCs/>
              </w:rPr>
              <w:t>ktu.</w:t>
            </w:r>
          </w:p>
        </w:tc>
      </w:tr>
      <w:tr w:rsidR="003E49E8" w:rsidRPr="00BB789E" w14:paraId="2331601E" w14:textId="77777777">
        <w:tc>
          <w:tcPr>
            <w:tcW w:w="1129" w:type="dxa"/>
            <w:tcBorders>
              <w:top w:val="single" w:sz="4" w:space="0" w:color="auto"/>
              <w:bottom w:val="single" w:sz="4" w:space="0" w:color="auto"/>
            </w:tcBorders>
          </w:tcPr>
          <w:p w14:paraId="10843F29"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0020</w:t>
            </w:r>
          </w:p>
        </w:tc>
        <w:tc>
          <w:tcPr>
            <w:tcW w:w="7620" w:type="dxa"/>
            <w:tcBorders>
              <w:top w:val="single" w:sz="4" w:space="0" w:color="auto"/>
              <w:bottom w:val="single" w:sz="4" w:space="0" w:color="auto"/>
            </w:tcBorders>
          </w:tcPr>
          <w:p w14:paraId="3C77B15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Investicinių įmonių grupės finansų sektoriaus subjektų, kuriuose patronuojančioji įmonė turi reikšmingų investicijų, AT1 priemonės</w:t>
            </w:r>
          </w:p>
          <w:p w14:paraId="56DACE8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8 straipsnio 3 dalies a punktas kartu su Reglamento (ES) Nr. 575/2013 56 straipsnio d pu</w:t>
            </w:r>
            <w:r w:rsidRPr="00BB789E">
              <w:rPr>
                <w:rFonts w:ascii="Times New Roman" w:hAnsi="Times New Roman"/>
                <w:bCs/>
              </w:rPr>
              <w:t>nktu.</w:t>
            </w:r>
          </w:p>
        </w:tc>
      </w:tr>
      <w:tr w:rsidR="003E49E8" w:rsidRPr="00BB789E" w14:paraId="7B3FEFD3" w14:textId="77777777">
        <w:tc>
          <w:tcPr>
            <w:tcW w:w="1129" w:type="dxa"/>
            <w:tcBorders>
              <w:top w:val="single" w:sz="4" w:space="0" w:color="auto"/>
              <w:bottom w:val="single" w:sz="4" w:space="0" w:color="auto"/>
            </w:tcBorders>
          </w:tcPr>
          <w:p w14:paraId="38412149"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0030</w:t>
            </w:r>
          </w:p>
        </w:tc>
        <w:tc>
          <w:tcPr>
            <w:tcW w:w="7620" w:type="dxa"/>
            <w:tcBorders>
              <w:top w:val="single" w:sz="4" w:space="0" w:color="auto"/>
              <w:bottom w:val="single" w:sz="4" w:space="0" w:color="auto"/>
            </w:tcBorders>
          </w:tcPr>
          <w:p w14:paraId="35A6C4D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Investicinių įmonių grupės finansų sektoriaus subjektų, kuriuose patronuojančioji įmonė turi reikšmingų investicijų, T2 priemonės</w:t>
            </w:r>
          </w:p>
          <w:p w14:paraId="59D92A7D"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8 straipsnio 3 dalies a punktas kartu su Reglamento (ES) Nr. 575/2013 66 straipsnio d punktu.</w:t>
            </w:r>
          </w:p>
        </w:tc>
      </w:tr>
      <w:tr w:rsidR="003E49E8" w:rsidRPr="00BB789E" w14:paraId="30A794F9" w14:textId="77777777">
        <w:tc>
          <w:tcPr>
            <w:tcW w:w="1129" w:type="dxa"/>
          </w:tcPr>
          <w:p w14:paraId="5EE0598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0040</w:t>
            </w:r>
          </w:p>
        </w:tc>
        <w:tc>
          <w:tcPr>
            <w:tcW w:w="7620" w:type="dxa"/>
          </w:tcPr>
          <w:p w14:paraId="5FD67A69"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
                <w:bCs/>
                <w:u w:val="single"/>
              </w:rPr>
              <w:t>Pozicijos investicinių įmonių grupės finansų sektoriaus subjektuose, kurios nesudaro grupės subjekto, į kurį yra investavusi patronuojančioji įmonė, nuosavų lėšų</w:t>
            </w:r>
          </w:p>
          <w:p w14:paraId="4222F219"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8 straipsnio 3 dalies a punktas.</w:t>
            </w:r>
          </w:p>
          <w:p w14:paraId="51AE8EC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Į šią eilutę įtraukiamos patronuoja</w:t>
            </w:r>
            <w:r w:rsidRPr="00BB789E">
              <w:rPr>
                <w:rFonts w:ascii="Times New Roman" w:hAnsi="Times New Roman"/>
                <w:bCs/>
              </w:rPr>
              <w:t>nčiosios įmonės pozicijos, kurios nesudaro grupės subjekto, į kurį yra investavusi patronuojančioji įmonė, nuosavų lėšų.</w:t>
            </w:r>
          </w:p>
        </w:tc>
      </w:tr>
      <w:tr w:rsidR="003E49E8" w:rsidRPr="00BB789E" w14:paraId="7BA829B1" w14:textId="77777777">
        <w:tc>
          <w:tcPr>
            <w:tcW w:w="1129" w:type="dxa"/>
            <w:tcBorders>
              <w:bottom w:val="single" w:sz="4" w:space="0" w:color="auto"/>
            </w:tcBorders>
          </w:tcPr>
          <w:p w14:paraId="280AEEE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0050</w:t>
            </w:r>
          </w:p>
        </w:tc>
        <w:tc>
          <w:tcPr>
            <w:tcW w:w="7620" w:type="dxa"/>
            <w:tcBorders>
              <w:bottom w:val="single" w:sz="4" w:space="0" w:color="auto"/>
            </w:tcBorders>
          </w:tcPr>
          <w:p w14:paraId="467BAA3F"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
                <w:bCs/>
                <w:u w:val="single"/>
              </w:rPr>
              <w:t>Investicinių įmonių grupės finansų sektoriaus subjektų subordinuotieji reikalavimai</w:t>
            </w:r>
          </w:p>
          <w:p w14:paraId="113F11AD"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 xml:space="preserve">Reglamento (ES) 2019/2033 </w:t>
            </w:r>
            <w:r w:rsidRPr="00BB789E">
              <w:rPr>
                <w:rFonts w:ascii="Times New Roman" w:hAnsi="Times New Roman"/>
                <w:bCs/>
              </w:rPr>
              <w:t>8 straipsnio 3 dalies a punktas.</w:t>
            </w:r>
          </w:p>
          <w:p w14:paraId="3B95C4B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Į šią eilutę įtraukiami patronuojančiosios įmonės subordinuotieji reikalavimai, kurie nesudaro grupės subjekto, į kurį yra investavusi patronuojančioji įmonė, nuosavų lėšų.</w:t>
            </w:r>
          </w:p>
        </w:tc>
      </w:tr>
      <w:tr w:rsidR="003E49E8" w:rsidRPr="00BB789E" w14:paraId="01DDA443" w14:textId="77777777">
        <w:tc>
          <w:tcPr>
            <w:tcW w:w="1129" w:type="dxa"/>
            <w:tcBorders>
              <w:top w:val="single" w:sz="4" w:space="0" w:color="auto"/>
              <w:bottom w:val="single" w:sz="4" w:space="0" w:color="auto"/>
            </w:tcBorders>
          </w:tcPr>
          <w:p w14:paraId="7D54789D"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0060</w:t>
            </w:r>
          </w:p>
        </w:tc>
        <w:tc>
          <w:tcPr>
            <w:tcW w:w="7620" w:type="dxa"/>
            <w:tcBorders>
              <w:top w:val="single" w:sz="4" w:space="0" w:color="auto"/>
              <w:bottom w:val="single" w:sz="4" w:space="0" w:color="auto"/>
            </w:tcBorders>
          </w:tcPr>
          <w:p w14:paraId="2CA40F0E"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xml:space="preserve">Neapibrėžtieji įsipareigojimai investicinių </w:t>
            </w:r>
            <w:r w:rsidRPr="00BB789E">
              <w:rPr>
                <w:rFonts w:ascii="Times New Roman" w:hAnsi="Times New Roman"/>
                <w:b/>
                <w:bCs/>
                <w:u w:val="single"/>
              </w:rPr>
              <w:t>įmonių grupės subjektams</w:t>
            </w:r>
          </w:p>
          <w:p w14:paraId="2CE254D8"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8 straipsnio 3 dalies b punktas.</w:t>
            </w:r>
          </w:p>
        </w:tc>
      </w:tr>
      <w:tr w:rsidR="003E49E8" w:rsidRPr="00BB789E" w14:paraId="2A433F0B" w14:textId="77777777">
        <w:tc>
          <w:tcPr>
            <w:tcW w:w="1129" w:type="dxa"/>
            <w:tcBorders>
              <w:top w:val="single" w:sz="4" w:space="0" w:color="auto"/>
            </w:tcBorders>
          </w:tcPr>
          <w:p w14:paraId="2EF33DE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0070</w:t>
            </w:r>
          </w:p>
        </w:tc>
        <w:tc>
          <w:tcPr>
            <w:tcW w:w="7620" w:type="dxa"/>
            <w:tcBorders>
              <w:top w:val="single" w:sz="4" w:space="0" w:color="auto"/>
            </w:tcBorders>
          </w:tcPr>
          <w:p w14:paraId="4499F30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Bendra patronuojamųjų įmonių nuosavų lėšų reikalavimų suma</w:t>
            </w:r>
          </w:p>
          <w:p w14:paraId="610C270E"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Jei taikoma Reglamento (ES) 2019/2033 8 straipsnio 4 dalis.</w:t>
            </w:r>
          </w:p>
        </w:tc>
      </w:tr>
    </w:tbl>
    <w:p w14:paraId="70D6659B" w14:textId="77777777" w:rsidR="003E49E8" w:rsidRPr="00BB789E" w:rsidRDefault="00BB789E">
      <w:pPr>
        <w:pStyle w:val="Instructionsberschrift2"/>
        <w:ind w:left="357" w:hanging="357"/>
        <w:rPr>
          <w:rFonts w:ascii="Times New Roman" w:hAnsi="Times New Roman" w:cs="Times New Roman"/>
          <w:sz w:val="24"/>
        </w:rPr>
      </w:pPr>
      <w:bookmarkStart w:id="21" w:name="_Toc88057061"/>
      <w:bookmarkEnd w:id="2"/>
      <w:bookmarkEnd w:id="3"/>
      <w:bookmarkEnd w:id="4"/>
      <w:bookmarkEnd w:id="5"/>
      <w:r w:rsidRPr="00BB789E">
        <w:rPr>
          <w:rFonts w:ascii="Times New Roman" w:hAnsi="Times New Roman"/>
          <w:sz w:val="24"/>
        </w:rPr>
        <w:t xml:space="preserve">1.4. IF 11.03 – INFORMACIJA APIE </w:t>
      </w:r>
      <w:r w:rsidRPr="00BB789E">
        <w:rPr>
          <w:rFonts w:ascii="Times New Roman" w:hAnsi="Times New Roman"/>
          <w:sz w:val="24"/>
        </w:rPr>
        <w:t>PATRONUOJAMĄSIAS ĮMONES (IF11.3)</w:t>
      </w:r>
      <w:bookmarkEnd w:id="21"/>
    </w:p>
    <w:p w14:paraId="6C04D8A0" w14:textId="77777777" w:rsidR="003E49E8" w:rsidRPr="00BB789E" w:rsidRDefault="00BB789E">
      <w:pPr>
        <w:spacing w:line="256" w:lineRule="auto"/>
        <w:ind w:left="1224" w:hanging="504"/>
        <w:jc w:val="both"/>
        <w:rPr>
          <w:rFonts w:ascii="Times New Roman" w:hAnsi="Times New Roman" w:cs="Times New Roman"/>
          <w:sz w:val="24"/>
        </w:rPr>
      </w:pPr>
      <w:r w:rsidRPr="00BB789E">
        <w:rPr>
          <w:rFonts w:ascii="Times New Roman" w:hAnsi="Times New Roman" w:cs="Times New Roman"/>
          <w:sz w:val="24"/>
        </w:rPr>
        <w:t>10.</w:t>
      </w:r>
      <w:r w:rsidRPr="00BB789E">
        <w:rPr>
          <w:rFonts w:ascii="Times New Roman" w:hAnsi="Times New Roman" w:cs="Times New Roman"/>
          <w:sz w:val="24"/>
        </w:rPr>
        <w:tab/>
      </w:r>
      <w:r w:rsidRPr="00BB789E">
        <w:rPr>
          <w:rFonts w:ascii="Times New Roman" w:hAnsi="Times New Roman"/>
          <w:sz w:val="24"/>
        </w:rPr>
        <w:t>Šioje formoje teikiama informacija apie visus subjektus, kuriuos apima grupės kapitalo testo reikalavimai. Tai apima ir pačią grupės patronuojančiąją įmonę.</w:t>
      </w:r>
    </w:p>
    <w:p w14:paraId="10F772EE" w14:textId="77777777" w:rsidR="003E49E8" w:rsidRPr="00BB789E" w:rsidRDefault="00BB789E">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057062"/>
      <w:r w:rsidRPr="00BB789E">
        <w:rPr>
          <w:rFonts w:ascii="Times New Roman" w:hAnsi="Times New Roman"/>
          <w:sz w:val="24"/>
          <w:szCs w:val="24"/>
        </w:rPr>
        <w:t>1.4.1.</w:t>
      </w:r>
      <w:r w:rsidRPr="00BB789E">
        <w:tab/>
      </w:r>
      <w:r w:rsidRPr="00BB789E">
        <w:rPr>
          <w:rFonts w:ascii="Times New Roman" w:hAnsi="Times New Roman"/>
          <w:sz w:val="24"/>
          <w:szCs w:val="24"/>
          <w:u w:val="single"/>
        </w:rPr>
        <w:t>Nurodymai dėl konkrečių pozicijų</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E49E8" w:rsidRPr="00BB789E" w14:paraId="303902C2" w14:textId="77777777">
        <w:tc>
          <w:tcPr>
            <w:tcW w:w="1129" w:type="dxa"/>
            <w:shd w:val="clear" w:color="auto" w:fill="D9D9D9"/>
          </w:tcPr>
          <w:p w14:paraId="0000D13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rPr>
              <w:t>Skiltys</w:t>
            </w:r>
          </w:p>
        </w:tc>
        <w:tc>
          <w:tcPr>
            <w:tcW w:w="7620" w:type="dxa"/>
            <w:shd w:val="clear" w:color="auto" w:fill="D9D9D9"/>
          </w:tcPr>
          <w:p w14:paraId="3A6783D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rPr>
              <w:t>Nuorodos į tei</w:t>
            </w:r>
            <w:r w:rsidRPr="00BB789E">
              <w:rPr>
                <w:rFonts w:ascii="Times New Roman" w:hAnsi="Times New Roman"/>
              </w:rPr>
              <w:t>sės aktus ir nurodymai</w:t>
            </w:r>
          </w:p>
        </w:tc>
      </w:tr>
      <w:tr w:rsidR="003E49E8" w:rsidRPr="00BB789E" w14:paraId="6AF04724" w14:textId="77777777">
        <w:tc>
          <w:tcPr>
            <w:tcW w:w="1129" w:type="dxa"/>
          </w:tcPr>
          <w:p w14:paraId="162B8A38"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0010</w:t>
            </w:r>
          </w:p>
        </w:tc>
        <w:tc>
          <w:tcPr>
            <w:tcW w:w="7620" w:type="dxa"/>
          </w:tcPr>
          <w:p w14:paraId="1F625399"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Kodas</w:t>
            </w:r>
          </w:p>
          <w:p w14:paraId="1A2DD27A"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 xml:space="preserve">Kodas, kuris yra eilutės identifikatoriaus dalis, turi būti unikalus kiekvienam subjektui, apie kurį teikiama informacija. Investicinių įmonių ir draudimo įmonių atveju nurodomas LEI kodas. Kitų subjektų atveju </w:t>
            </w:r>
            <w:r w:rsidRPr="00BB789E">
              <w:rPr>
                <w:rFonts w:ascii="Times New Roman" w:hAnsi="Times New Roman"/>
                <w:bCs/>
              </w:rPr>
              <w:t>nurodomas LEI kodas arba, jei jo nėra, nacionalinis kodas. Unikalus kodas visą laiką nuosekliai naudojamas skirtingose formose. Kodas visuomet yra išreikštas tam tikra verte.</w:t>
            </w:r>
          </w:p>
        </w:tc>
      </w:tr>
      <w:tr w:rsidR="003E49E8" w:rsidRPr="00BB789E" w14:paraId="24E725A5" w14:textId="77777777">
        <w:tc>
          <w:tcPr>
            <w:tcW w:w="1129" w:type="dxa"/>
          </w:tcPr>
          <w:p w14:paraId="1EE63275"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0020</w:t>
            </w:r>
          </w:p>
        </w:tc>
        <w:tc>
          <w:tcPr>
            <w:tcW w:w="7620" w:type="dxa"/>
          </w:tcPr>
          <w:p w14:paraId="002A681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Kodo rūšis</w:t>
            </w:r>
          </w:p>
          <w:p w14:paraId="75E79C3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Informaciją teikiantis subjektas nurodo 0010 skiltyje nurodyto k</w:t>
            </w:r>
            <w:r w:rsidRPr="00BB789E">
              <w:rPr>
                <w:rFonts w:ascii="Times New Roman" w:hAnsi="Times New Roman"/>
                <w:bCs/>
              </w:rPr>
              <w:t>odo rūšį: LEI kodas arba nacionalinis kodas.</w:t>
            </w:r>
          </w:p>
          <w:p w14:paraId="516182E3"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Kodo rūšis nurodoma visada.</w:t>
            </w:r>
          </w:p>
        </w:tc>
      </w:tr>
      <w:tr w:rsidR="003E49E8" w:rsidRPr="00BB789E" w14:paraId="585C480F" w14:textId="77777777">
        <w:tc>
          <w:tcPr>
            <w:tcW w:w="1129" w:type="dxa"/>
          </w:tcPr>
          <w:p w14:paraId="529BE2FD"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0030</w:t>
            </w:r>
          </w:p>
        </w:tc>
        <w:tc>
          <w:tcPr>
            <w:tcW w:w="7620" w:type="dxa"/>
          </w:tcPr>
          <w:p w14:paraId="415FD8A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Įmonės pavadinimas</w:t>
            </w:r>
          </w:p>
          <w:p w14:paraId="1507693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Style w:val="InstructionsTabelleText"/>
                <w:rFonts w:ascii="Times New Roman" w:hAnsi="Times New Roman"/>
                <w:sz w:val="22"/>
              </w:rPr>
              <w:t>Konsoliduojamos įmonės pavadinimas.</w:t>
            </w:r>
          </w:p>
        </w:tc>
      </w:tr>
      <w:tr w:rsidR="003E49E8" w:rsidRPr="00BB789E" w14:paraId="7598A57D" w14:textId="77777777">
        <w:tc>
          <w:tcPr>
            <w:tcW w:w="1129" w:type="dxa"/>
          </w:tcPr>
          <w:p w14:paraId="6745428F"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0040</w:t>
            </w:r>
          </w:p>
        </w:tc>
        <w:tc>
          <w:tcPr>
            <w:tcW w:w="7620" w:type="dxa"/>
          </w:tcPr>
          <w:p w14:paraId="6717635B" w14:textId="77777777" w:rsidR="003E49E8" w:rsidRPr="00BB789E" w:rsidRDefault="00BB789E">
            <w:pPr>
              <w:spacing w:after="120" w:line="240" w:lineRule="auto"/>
              <w:jc w:val="both"/>
              <w:rPr>
                <w:rFonts w:ascii="Times New Roman" w:eastAsia="Times New Roman" w:hAnsi="Times New Roman" w:cs="Times New Roman"/>
                <w:b/>
                <w:bCs/>
              </w:rPr>
            </w:pPr>
            <w:r w:rsidRPr="00BB789E">
              <w:rPr>
                <w:rFonts w:ascii="Times New Roman" w:hAnsi="Times New Roman"/>
                <w:b/>
                <w:bCs/>
              </w:rPr>
              <w:t>Patronuojančioji/patronuojamoji įmonė</w:t>
            </w:r>
          </w:p>
          <w:p w14:paraId="074B7A1F"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 xml:space="preserve">Nurodoma, ar eilutėje nurodytas subjektas yra grupės </w:t>
            </w:r>
            <w:r w:rsidRPr="00BB789E">
              <w:rPr>
                <w:rFonts w:ascii="Times New Roman" w:hAnsi="Times New Roman"/>
                <w:bCs/>
              </w:rPr>
              <w:t>patronuojančioji įmonė, ar patronuojamoji įmonė.</w:t>
            </w:r>
          </w:p>
        </w:tc>
      </w:tr>
      <w:tr w:rsidR="003E49E8" w:rsidRPr="00BB789E" w14:paraId="2CD1BA0B" w14:textId="77777777">
        <w:tc>
          <w:tcPr>
            <w:tcW w:w="1129" w:type="dxa"/>
          </w:tcPr>
          <w:p w14:paraId="7C11AF62"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0050</w:t>
            </w:r>
          </w:p>
        </w:tc>
        <w:tc>
          <w:tcPr>
            <w:tcW w:w="7620" w:type="dxa"/>
          </w:tcPr>
          <w:p w14:paraId="4D822FEC"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Šalis</w:t>
            </w:r>
          </w:p>
          <w:p w14:paraId="16754B2D" w14:textId="77777777" w:rsidR="003E49E8" w:rsidRPr="00BB789E" w:rsidRDefault="00BB789E">
            <w:pPr>
              <w:autoSpaceDE w:val="0"/>
              <w:autoSpaceDN w:val="0"/>
              <w:spacing w:before="40" w:after="40" w:line="240" w:lineRule="auto"/>
              <w:rPr>
                <w:rFonts w:ascii="Times New Roman" w:eastAsia="Times New Roman" w:hAnsi="Times New Roman" w:cs="Times New Roman"/>
                <w:b/>
                <w:bCs/>
                <w:u w:val="single"/>
              </w:rPr>
            </w:pPr>
            <w:r w:rsidRPr="00BB789E">
              <w:rPr>
                <w:rStyle w:val="InstructionsTabelleText"/>
                <w:rFonts w:ascii="Times New Roman" w:hAnsi="Times New Roman"/>
                <w:sz w:val="22"/>
              </w:rPr>
              <w:t>Nurodoma šalis, kurioje yra patronuojamoji įmonė.</w:t>
            </w:r>
          </w:p>
        </w:tc>
      </w:tr>
      <w:tr w:rsidR="003E49E8" w:rsidRPr="00BB789E" w14:paraId="64E3C1D6" w14:textId="77777777">
        <w:tc>
          <w:tcPr>
            <w:tcW w:w="1129" w:type="dxa"/>
          </w:tcPr>
          <w:p w14:paraId="04DAF06C"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0060–0100</w:t>
            </w:r>
          </w:p>
        </w:tc>
        <w:tc>
          <w:tcPr>
            <w:tcW w:w="7620" w:type="dxa"/>
          </w:tcPr>
          <w:p w14:paraId="5E460A1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Patronuojančiosios įmonės investicijos</w:t>
            </w:r>
          </w:p>
          <w:p w14:paraId="3FFE10A9"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8 straipsnio 3 dalies a punktas.</w:t>
            </w:r>
          </w:p>
          <w:p w14:paraId="10D20A59"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Šiame skirsnyje nurodomos patronuoja</w:t>
            </w:r>
            <w:r w:rsidRPr="00BB789E">
              <w:rPr>
                <w:rFonts w:ascii="Times New Roman" w:hAnsi="Times New Roman"/>
                <w:bCs/>
              </w:rPr>
              <w:t>nčiosios įmonės investicijos į grupės subjektus.</w:t>
            </w:r>
          </w:p>
        </w:tc>
      </w:tr>
      <w:tr w:rsidR="003E49E8" w:rsidRPr="00BB789E" w14:paraId="7E6B322D" w14:textId="77777777">
        <w:tc>
          <w:tcPr>
            <w:tcW w:w="1129" w:type="dxa"/>
            <w:tcBorders>
              <w:top w:val="single" w:sz="4" w:space="0" w:color="auto"/>
              <w:left w:val="single" w:sz="4" w:space="0" w:color="auto"/>
              <w:bottom w:val="single" w:sz="4" w:space="0" w:color="auto"/>
              <w:right w:val="single" w:sz="4" w:space="0" w:color="auto"/>
            </w:tcBorders>
          </w:tcPr>
          <w:p w14:paraId="10900FDA"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01BCE14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
                <w:bCs/>
                <w:u w:val="single"/>
              </w:rPr>
              <w:t>Bendras 1 lygio nuosavas kapitalas</w:t>
            </w:r>
          </w:p>
          <w:p w14:paraId="461A6A42"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lastRenderedPageBreak/>
              <w:t>Reglamento (ES) 2019/2033 8 straipsnio 3 dalies a punktas kartu su Reglamento (ES) Nr. 575/2013 36 straipsnio 1 dalies i punktu.</w:t>
            </w:r>
          </w:p>
        </w:tc>
      </w:tr>
      <w:tr w:rsidR="003E49E8" w:rsidRPr="00BB789E" w14:paraId="23A4DA2F" w14:textId="77777777">
        <w:tc>
          <w:tcPr>
            <w:tcW w:w="1129" w:type="dxa"/>
            <w:tcBorders>
              <w:top w:val="single" w:sz="4" w:space="0" w:color="auto"/>
              <w:bottom w:val="single" w:sz="4" w:space="0" w:color="auto"/>
            </w:tcBorders>
          </w:tcPr>
          <w:p w14:paraId="7170F52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0070</w:t>
            </w:r>
          </w:p>
        </w:tc>
        <w:tc>
          <w:tcPr>
            <w:tcW w:w="7620" w:type="dxa"/>
            <w:tcBorders>
              <w:top w:val="single" w:sz="4" w:space="0" w:color="auto"/>
              <w:bottom w:val="single" w:sz="4" w:space="0" w:color="auto"/>
            </w:tcBorders>
          </w:tcPr>
          <w:p w14:paraId="1579253F"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
                <w:bCs/>
                <w:u w:val="single"/>
              </w:rPr>
              <w:t xml:space="preserve">Papildomas 1 lygio </w:t>
            </w:r>
            <w:r w:rsidRPr="00BB789E">
              <w:rPr>
                <w:rFonts w:ascii="Times New Roman" w:hAnsi="Times New Roman"/>
                <w:b/>
                <w:bCs/>
                <w:u w:val="single"/>
              </w:rPr>
              <w:t>kapitalas</w:t>
            </w:r>
          </w:p>
          <w:p w14:paraId="63969A28"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8 straipsnio 3 dalies a punktas kartu su Reglamento (ES) Nr. 575/2013 56 straipsnio d punktu.</w:t>
            </w:r>
          </w:p>
        </w:tc>
      </w:tr>
      <w:tr w:rsidR="003E49E8" w:rsidRPr="00BB789E" w14:paraId="613B421D" w14:textId="77777777">
        <w:tc>
          <w:tcPr>
            <w:tcW w:w="1129" w:type="dxa"/>
            <w:tcBorders>
              <w:top w:val="single" w:sz="4" w:space="0" w:color="auto"/>
              <w:bottom w:val="single" w:sz="4" w:space="0" w:color="auto"/>
            </w:tcBorders>
          </w:tcPr>
          <w:p w14:paraId="0652F4E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0080</w:t>
            </w:r>
          </w:p>
        </w:tc>
        <w:tc>
          <w:tcPr>
            <w:tcW w:w="7620" w:type="dxa"/>
            <w:tcBorders>
              <w:top w:val="single" w:sz="4" w:space="0" w:color="auto"/>
              <w:bottom w:val="single" w:sz="4" w:space="0" w:color="auto"/>
            </w:tcBorders>
          </w:tcPr>
          <w:p w14:paraId="3789DB6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2 lygio kapitalas</w:t>
            </w:r>
          </w:p>
          <w:p w14:paraId="3EB2823D"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Reglamento (ES) 2019/2033 8 straipsnio 3 dalies a punktas kartu su Reglamento (ES) Nr. 575/2013 66 str</w:t>
            </w:r>
            <w:r w:rsidRPr="00BB789E">
              <w:rPr>
                <w:rFonts w:ascii="Times New Roman" w:hAnsi="Times New Roman"/>
                <w:bCs/>
              </w:rPr>
              <w:t>aipsnio d punktu.</w:t>
            </w:r>
          </w:p>
        </w:tc>
      </w:tr>
      <w:tr w:rsidR="003E49E8" w:rsidRPr="00BB789E" w14:paraId="1C3C1560" w14:textId="77777777">
        <w:tc>
          <w:tcPr>
            <w:tcW w:w="1129" w:type="dxa"/>
          </w:tcPr>
          <w:p w14:paraId="39643837"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0090</w:t>
            </w:r>
          </w:p>
        </w:tc>
        <w:tc>
          <w:tcPr>
            <w:tcW w:w="7620" w:type="dxa"/>
          </w:tcPr>
          <w:p w14:paraId="54CD5C1D"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Pozicijos</w:t>
            </w:r>
          </w:p>
          <w:p w14:paraId="65539EF9"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8 straipsnio 3 dalies a punktas.</w:t>
            </w:r>
          </w:p>
          <w:p w14:paraId="5406998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Į šią skiltį įtraukiamos patronuojančiosios įmonės pozicijos, kurios nesudaro grupės subjekto, į kurį yra investavusi patronuojančioji įmonė, nuosavų lėšų.</w:t>
            </w:r>
          </w:p>
        </w:tc>
      </w:tr>
      <w:tr w:rsidR="003E49E8" w:rsidRPr="00BB789E" w14:paraId="602932AA" w14:textId="77777777">
        <w:tc>
          <w:tcPr>
            <w:tcW w:w="1129" w:type="dxa"/>
            <w:tcBorders>
              <w:bottom w:val="single" w:sz="4" w:space="0" w:color="auto"/>
            </w:tcBorders>
          </w:tcPr>
          <w:p w14:paraId="480CD519"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0100</w:t>
            </w:r>
          </w:p>
        </w:tc>
        <w:tc>
          <w:tcPr>
            <w:tcW w:w="7620" w:type="dxa"/>
            <w:tcBorders>
              <w:bottom w:val="single" w:sz="4" w:space="0" w:color="auto"/>
            </w:tcBorders>
          </w:tcPr>
          <w:p w14:paraId="2F57F607"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
                <w:bCs/>
                <w:u w:val="single"/>
              </w:rPr>
              <w:t>Subordinuotieji reikalavimai</w:t>
            </w:r>
          </w:p>
          <w:p w14:paraId="5C862B21"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8 straipsnio 3 dalies a punktas.</w:t>
            </w:r>
          </w:p>
          <w:p w14:paraId="223180DC"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Cs/>
              </w:rPr>
              <w:t>Į šią skiltį įtraukiami patronuojančiosios įmonės subordinuotieji reikalavimai, kurie nesudaro grupės subjekto, į kurį yra investavusi patronuojančioji įmonė, nuos</w:t>
            </w:r>
            <w:r w:rsidRPr="00BB789E">
              <w:rPr>
                <w:rFonts w:ascii="Times New Roman" w:hAnsi="Times New Roman"/>
                <w:bCs/>
              </w:rPr>
              <w:t>avų lėšų.</w:t>
            </w:r>
          </w:p>
        </w:tc>
      </w:tr>
      <w:tr w:rsidR="003E49E8" w:rsidRPr="00BB789E" w14:paraId="651861C3" w14:textId="77777777">
        <w:tc>
          <w:tcPr>
            <w:tcW w:w="1129" w:type="dxa"/>
            <w:tcBorders>
              <w:top w:val="single" w:sz="4" w:space="0" w:color="auto"/>
              <w:bottom w:val="single" w:sz="4" w:space="0" w:color="auto"/>
            </w:tcBorders>
          </w:tcPr>
          <w:p w14:paraId="27898D2F"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0110</w:t>
            </w:r>
          </w:p>
        </w:tc>
        <w:tc>
          <w:tcPr>
            <w:tcW w:w="7620" w:type="dxa"/>
            <w:tcBorders>
              <w:top w:val="single" w:sz="4" w:space="0" w:color="auto"/>
              <w:bottom w:val="single" w:sz="4" w:space="0" w:color="auto"/>
            </w:tcBorders>
          </w:tcPr>
          <w:p w14:paraId="62FA0D5A"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Patronuojančiosios įmonės neapibrėžtieji įsipareigojimai subjektui</w:t>
            </w:r>
          </w:p>
          <w:p w14:paraId="2DDF284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Reglamento (ES) 2019/2033 8 straipsnio 3 dalies b punktas.</w:t>
            </w:r>
          </w:p>
        </w:tc>
      </w:tr>
      <w:tr w:rsidR="003E49E8" w:rsidRPr="00BB789E" w14:paraId="503BF1C7" w14:textId="77777777">
        <w:tc>
          <w:tcPr>
            <w:tcW w:w="1129" w:type="dxa"/>
            <w:tcBorders>
              <w:top w:val="single" w:sz="4" w:space="0" w:color="auto"/>
              <w:bottom w:val="single" w:sz="4" w:space="0" w:color="auto"/>
            </w:tcBorders>
          </w:tcPr>
          <w:p w14:paraId="736B645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0120</w:t>
            </w:r>
          </w:p>
        </w:tc>
        <w:tc>
          <w:tcPr>
            <w:tcW w:w="7620" w:type="dxa"/>
            <w:tcBorders>
              <w:top w:val="single" w:sz="4" w:space="0" w:color="auto"/>
              <w:bottom w:val="single" w:sz="4" w:space="0" w:color="auto"/>
            </w:tcBorders>
          </w:tcPr>
          <w:p w14:paraId="79F5F43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Bendra patronuojamųjų įmonių nuosavų lėšų reikalavimų suma</w:t>
            </w:r>
          </w:p>
          <w:p w14:paraId="6BA5BC7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 xml:space="preserve">Reglamento (ES) 2019/2033 </w:t>
            </w:r>
            <w:r w:rsidRPr="00BB789E">
              <w:rPr>
                <w:rFonts w:ascii="Times New Roman" w:hAnsi="Times New Roman"/>
                <w:bCs/>
              </w:rPr>
              <w:t>8 straipsnio 4 dalis.</w:t>
            </w:r>
          </w:p>
        </w:tc>
      </w:tr>
      <w:tr w:rsidR="003E49E8" w:rsidRPr="00BB789E" w14:paraId="2BF484D8" w14:textId="77777777">
        <w:tc>
          <w:tcPr>
            <w:tcW w:w="1129" w:type="dxa"/>
            <w:tcBorders>
              <w:top w:val="single" w:sz="4" w:space="0" w:color="auto"/>
              <w:bottom w:val="single" w:sz="4" w:space="0" w:color="auto"/>
            </w:tcBorders>
          </w:tcPr>
          <w:p w14:paraId="26B7435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0130</w:t>
            </w:r>
          </w:p>
        </w:tc>
        <w:tc>
          <w:tcPr>
            <w:tcW w:w="7620" w:type="dxa"/>
            <w:tcBorders>
              <w:top w:val="single" w:sz="4" w:space="0" w:color="auto"/>
              <w:bottom w:val="single" w:sz="4" w:space="0" w:color="auto"/>
            </w:tcBorders>
          </w:tcPr>
          <w:p w14:paraId="5F9E8D6F"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Nuolatinis minimalus kapitalas</w:t>
            </w:r>
          </w:p>
          <w:p w14:paraId="60A4C3B3"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14 straipsnis.</w:t>
            </w:r>
          </w:p>
        </w:tc>
      </w:tr>
      <w:tr w:rsidR="003E49E8" w:rsidRPr="00BB789E" w14:paraId="74ED38BC" w14:textId="77777777">
        <w:tc>
          <w:tcPr>
            <w:tcW w:w="1129" w:type="dxa"/>
            <w:tcBorders>
              <w:top w:val="single" w:sz="4" w:space="0" w:color="auto"/>
              <w:bottom w:val="single" w:sz="4" w:space="0" w:color="auto"/>
            </w:tcBorders>
          </w:tcPr>
          <w:p w14:paraId="5E990BA3"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0140</w:t>
            </w:r>
          </w:p>
        </w:tc>
        <w:tc>
          <w:tcPr>
            <w:tcW w:w="7620" w:type="dxa"/>
            <w:tcBorders>
              <w:top w:val="single" w:sz="4" w:space="0" w:color="auto"/>
              <w:bottom w:val="single" w:sz="4" w:space="0" w:color="auto"/>
            </w:tcBorders>
          </w:tcPr>
          <w:p w14:paraId="30605CC2"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K veiksnių reikalavimas</w:t>
            </w:r>
          </w:p>
          <w:p w14:paraId="7BD35192"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15 straipsnis.</w:t>
            </w:r>
          </w:p>
        </w:tc>
      </w:tr>
      <w:tr w:rsidR="003E49E8" w:rsidRPr="00BB789E" w14:paraId="4741184E" w14:textId="77777777">
        <w:tc>
          <w:tcPr>
            <w:tcW w:w="1129" w:type="dxa"/>
            <w:tcBorders>
              <w:top w:val="single" w:sz="4" w:space="0" w:color="auto"/>
            </w:tcBorders>
          </w:tcPr>
          <w:p w14:paraId="4BA6775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0150</w:t>
            </w:r>
          </w:p>
        </w:tc>
        <w:tc>
          <w:tcPr>
            <w:tcW w:w="7620" w:type="dxa"/>
            <w:tcBorders>
              <w:top w:val="single" w:sz="4" w:space="0" w:color="auto"/>
            </w:tcBorders>
          </w:tcPr>
          <w:p w14:paraId="4C3C0B02"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Valdomas turtas</w:t>
            </w:r>
          </w:p>
          <w:p w14:paraId="367F287D"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 xml:space="preserve">Reglamento (ES) 2019/2033 15 straipsnio 2 dalis ir </w:t>
            </w:r>
            <w:r w:rsidRPr="00BB789E">
              <w:rPr>
                <w:rFonts w:ascii="Times New Roman" w:hAnsi="Times New Roman"/>
                <w:bCs/>
                <w:color w:val="000000" w:themeColor="text1"/>
              </w:rPr>
              <w:t>17 straipsnis.</w:t>
            </w:r>
          </w:p>
        </w:tc>
      </w:tr>
      <w:tr w:rsidR="003E49E8" w:rsidRPr="00BB789E" w14:paraId="11CA69BF" w14:textId="77777777">
        <w:tc>
          <w:tcPr>
            <w:tcW w:w="1129" w:type="dxa"/>
            <w:tcBorders>
              <w:top w:val="single" w:sz="4" w:space="0" w:color="auto"/>
            </w:tcBorders>
          </w:tcPr>
          <w:p w14:paraId="274E3A76"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0160</w:t>
            </w:r>
          </w:p>
        </w:tc>
        <w:tc>
          <w:tcPr>
            <w:tcW w:w="7620" w:type="dxa"/>
            <w:tcBorders>
              <w:top w:val="single" w:sz="4" w:space="0" w:color="auto"/>
            </w:tcBorders>
          </w:tcPr>
          <w:p w14:paraId="7F257756"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Laikomi klientų pinigai (atskirti)</w:t>
            </w:r>
          </w:p>
          <w:p w14:paraId="5B602077"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15 straipsnio 2 dalis ir 18 straipsnis.</w:t>
            </w:r>
          </w:p>
        </w:tc>
      </w:tr>
      <w:tr w:rsidR="003E49E8" w:rsidRPr="00BB789E" w14:paraId="5F3A99C1" w14:textId="77777777">
        <w:tc>
          <w:tcPr>
            <w:tcW w:w="1129" w:type="dxa"/>
            <w:tcBorders>
              <w:top w:val="single" w:sz="4" w:space="0" w:color="auto"/>
            </w:tcBorders>
          </w:tcPr>
          <w:p w14:paraId="1D47892C"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0170</w:t>
            </w:r>
          </w:p>
        </w:tc>
        <w:tc>
          <w:tcPr>
            <w:tcW w:w="7620" w:type="dxa"/>
            <w:tcBorders>
              <w:top w:val="single" w:sz="4" w:space="0" w:color="auto"/>
            </w:tcBorders>
          </w:tcPr>
          <w:p w14:paraId="5C662D1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Laikomi klientų pinigai (neatskirti)</w:t>
            </w:r>
          </w:p>
          <w:p w14:paraId="56DC5F23"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15 straipsnio 2 dalis ir 18 straipsnis.</w:t>
            </w:r>
          </w:p>
        </w:tc>
      </w:tr>
      <w:tr w:rsidR="003E49E8" w:rsidRPr="00BB789E" w14:paraId="5D6F3EC5" w14:textId="77777777">
        <w:tc>
          <w:tcPr>
            <w:tcW w:w="1129" w:type="dxa"/>
            <w:tcBorders>
              <w:top w:val="single" w:sz="4" w:space="0" w:color="auto"/>
            </w:tcBorders>
          </w:tcPr>
          <w:p w14:paraId="66296B5C"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0180</w:t>
            </w:r>
          </w:p>
        </w:tc>
        <w:tc>
          <w:tcPr>
            <w:tcW w:w="7620" w:type="dxa"/>
            <w:tcBorders>
              <w:top w:val="single" w:sz="4" w:space="0" w:color="auto"/>
            </w:tcBorders>
          </w:tcPr>
          <w:p w14:paraId="5E0897FD" w14:textId="77777777" w:rsidR="003E49E8" w:rsidRPr="00BB789E" w:rsidRDefault="00BB789E">
            <w:pPr>
              <w:tabs>
                <w:tab w:val="left" w:pos="3948"/>
              </w:tabs>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xml:space="preserve">Saugomas ir </w:t>
            </w:r>
            <w:r w:rsidRPr="00BB789E">
              <w:rPr>
                <w:rFonts w:ascii="Times New Roman" w:hAnsi="Times New Roman"/>
                <w:b/>
                <w:bCs/>
                <w:u w:val="single"/>
              </w:rPr>
              <w:t>administruojamas turtas</w:t>
            </w:r>
          </w:p>
          <w:p w14:paraId="0ABBB083"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 xml:space="preserve">Reglamento (ES) 2019/2033 15 straipsnio 2 dalis ir 19 straipsnis. </w:t>
            </w:r>
          </w:p>
        </w:tc>
      </w:tr>
      <w:tr w:rsidR="003E49E8" w:rsidRPr="00BB789E" w14:paraId="42CEDD95" w14:textId="77777777">
        <w:tc>
          <w:tcPr>
            <w:tcW w:w="1129" w:type="dxa"/>
            <w:tcBorders>
              <w:top w:val="single" w:sz="4" w:space="0" w:color="auto"/>
            </w:tcBorders>
          </w:tcPr>
          <w:p w14:paraId="0FC7F9B7"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0190</w:t>
            </w:r>
          </w:p>
        </w:tc>
        <w:tc>
          <w:tcPr>
            <w:tcW w:w="7620" w:type="dxa"/>
            <w:tcBorders>
              <w:top w:val="single" w:sz="4" w:space="0" w:color="auto"/>
            </w:tcBorders>
          </w:tcPr>
          <w:p w14:paraId="05C39569"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Tvarkomi klientų pavedimai. Grynųjų pinigų sandoriai</w:t>
            </w:r>
          </w:p>
          <w:p w14:paraId="3B478BE7"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 xml:space="preserve">Reglamento (ES) 2019/2033 15 straipsnio 2 dalis, 20 straipsnio 1 dalis ir 20 straipsnio 2 dalies a </w:t>
            </w:r>
            <w:r w:rsidRPr="00BB789E">
              <w:rPr>
                <w:rFonts w:ascii="Times New Roman" w:hAnsi="Times New Roman"/>
                <w:bCs/>
                <w:color w:val="000000" w:themeColor="text1"/>
              </w:rPr>
              <w:t>punktas.</w:t>
            </w:r>
          </w:p>
        </w:tc>
      </w:tr>
      <w:tr w:rsidR="003E49E8" w:rsidRPr="00BB789E" w14:paraId="26B9251A" w14:textId="77777777">
        <w:tc>
          <w:tcPr>
            <w:tcW w:w="1129" w:type="dxa"/>
            <w:tcBorders>
              <w:top w:val="single" w:sz="4" w:space="0" w:color="auto"/>
            </w:tcBorders>
          </w:tcPr>
          <w:p w14:paraId="15176D9B"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0200</w:t>
            </w:r>
          </w:p>
        </w:tc>
        <w:tc>
          <w:tcPr>
            <w:tcW w:w="7620" w:type="dxa"/>
            <w:tcBorders>
              <w:top w:val="single" w:sz="4" w:space="0" w:color="auto"/>
            </w:tcBorders>
          </w:tcPr>
          <w:p w14:paraId="3ED489EF"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Tvarkomi klientų pavedimai. Išvestinių finansinių priemonių sandoriai</w:t>
            </w:r>
          </w:p>
          <w:p w14:paraId="7ABC5942"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15 straipsnio 2 dalis, 20 straipsnio 1 dalis ir 20 straipsnio 2 dalies b punktas.</w:t>
            </w:r>
          </w:p>
        </w:tc>
      </w:tr>
      <w:tr w:rsidR="003E49E8" w:rsidRPr="00BB789E" w14:paraId="63385890" w14:textId="77777777">
        <w:tc>
          <w:tcPr>
            <w:tcW w:w="1129" w:type="dxa"/>
            <w:tcBorders>
              <w:top w:val="single" w:sz="4" w:space="0" w:color="auto"/>
            </w:tcBorders>
          </w:tcPr>
          <w:p w14:paraId="27D10E1E"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lastRenderedPageBreak/>
              <w:t>0210</w:t>
            </w:r>
          </w:p>
        </w:tc>
        <w:tc>
          <w:tcPr>
            <w:tcW w:w="7620" w:type="dxa"/>
            <w:tcBorders>
              <w:top w:val="single" w:sz="4" w:space="0" w:color="auto"/>
            </w:tcBorders>
          </w:tcPr>
          <w:p w14:paraId="1A176D2B"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 xml:space="preserve">Grynosios pozicijos rizikos K veiksnio </w:t>
            </w:r>
            <w:r w:rsidRPr="00BB789E">
              <w:rPr>
                <w:rFonts w:ascii="Times New Roman" w:hAnsi="Times New Roman"/>
                <w:b/>
                <w:bCs/>
                <w:u w:val="single"/>
              </w:rPr>
              <w:t>reikalavimas</w:t>
            </w:r>
          </w:p>
          <w:p w14:paraId="0FC3BD0D"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22 straipsnis.</w:t>
            </w:r>
          </w:p>
        </w:tc>
      </w:tr>
      <w:tr w:rsidR="003E49E8" w:rsidRPr="00BB789E" w14:paraId="4D93A575" w14:textId="77777777">
        <w:tc>
          <w:tcPr>
            <w:tcW w:w="1129" w:type="dxa"/>
            <w:tcBorders>
              <w:top w:val="single" w:sz="4" w:space="0" w:color="auto"/>
            </w:tcBorders>
          </w:tcPr>
          <w:p w14:paraId="03AA790A"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0220</w:t>
            </w:r>
          </w:p>
        </w:tc>
        <w:tc>
          <w:tcPr>
            <w:tcW w:w="7620" w:type="dxa"/>
            <w:tcBorders>
              <w:top w:val="single" w:sz="4" w:space="0" w:color="auto"/>
            </w:tcBorders>
          </w:tcPr>
          <w:p w14:paraId="3DF21740"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Suteikiama tarpuskaitos garantinė įmoka</w:t>
            </w:r>
          </w:p>
          <w:p w14:paraId="0B72C8F2"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23 straipsnio 2 dalis.</w:t>
            </w:r>
          </w:p>
        </w:tc>
      </w:tr>
      <w:tr w:rsidR="003E49E8" w:rsidRPr="00BB789E" w14:paraId="725ED04D" w14:textId="77777777">
        <w:tc>
          <w:tcPr>
            <w:tcW w:w="1129" w:type="dxa"/>
            <w:tcBorders>
              <w:top w:val="single" w:sz="4" w:space="0" w:color="auto"/>
            </w:tcBorders>
          </w:tcPr>
          <w:p w14:paraId="343F6687"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0230</w:t>
            </w:r>
          </w:p>
        </w:tc>
        <w:tc>
          <w:tcPr>
            <w:tcW w:w="7620" w:type="dxa"/>
            <w:tcBorders>
              <w:top w:val="single" w:sz="4" w:space="0" w:color="auto"/>
            </w:tcBorders>
          </w:tcPr>
          <w:p w14:paraId="7F4D0788"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Prekybos sandorio šalies įsipareigojimų neįvykdymas</w:t>
            </w:r>
          </w:p>
          <w:p w14:paraId="4926D8FA"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26 ir 24 straipsniai.</w:t>
            </w:r>
          </w:p>
        </w:tc>
      </w:tr>
      <w:tr w:rsidR="003E49E8" w:rsidRPr="00BB789E" w14:paraId="502F8081" w14:textId="77777777">
        <w:tc>
          <w:tcPr>
            <w:tcW w:w="1129" w:type="dxa"/>
            <w:tcBorders>
              <w:top w:val="single" w:sz="4" w:space="0" w:color="auto"/>
            </w:tcBorders>
          </w:tcPr>
          <w:p w14:paraId="3A69FFE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0240</w:t>
            </w:r>
          </w:p>
        </w:tc>
        <w:tc>
          <w:tcPr>
            <w:tcW w:w="7620" w:type="dxa"/>
            <w:tcBorders>
              <w:top w:val="single" w:sz="4" w:space="0" w:color="auto"/>
            </w:tcBorders>
          </w:tcPr>
          <w:p w14:paraId="0F8A0F6B"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Dienos prekybos srautas. Grynųjų pinigų sandoriai</w:t>
            </w:r>
          </w:p>
          <w:p w14:paraId="3E7E2395"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K veiksnių reikalavimo apskaičiavimo tikslais investicinės įmonės informaciją teikia taikydamos koeficientą, nustatytą Reglamento (ES) 2019/2033 15 straipsnio 2 dalyje.</w:t>
            </w:r>
          </w:p>
          <w:p w14:paraId="0827EF50" w14:textId="77777777" w:rsidR="003E49E8" w:rsidRPr="00BB789E" w:rsidRDefault="00BB789E">
            <w:pPr>
              <w:spacing w:after="120" w:line="240" w:lineRule="auto"/>
              <w:jc w:val="both"/>
              <w:rPr>
                <w:rFonts w:ascii="Times New Roman" w:eastAsia="Times New Roman" w:hAnsi="Times New Roman" w:cs="Times New Roman"/>
                <w:bCs/>
                <w:i/>
                <w:color w:val="000000" w:themeColor="text1"/>
              </w:rPr>
            </w:pPr>
            <w:r w:rsidRPr="00BB789E">
              <w:rPr>
                <w:rFonts w:ascii="Times New Roman" w:hAnsi="Times New Roman"/>
                <w:bCs/>
                <w:color w:val="000000" w:themeColor="text1"/>
              </w:rPr>
              <w:t xml:space="preserve">Nepalankiomis rinkos </w:t>
            </w:r>
            <w:r w:rsidRPr="00BB789E">
              <w:rPr>
                <w:rFonts w:ascii="Times New Roman" w:hAnsi="Times New Roman"/>
                <w:bCs/>
                <w:color w:val="000000" w:themeColor="text1"/>
              </w:rPr>
              <w:t>sąlygomis pagal Reglamento (ES) 2019/2033 15 straipsnio 5 dalies c punktą investicinės įmonės taiko tame punkte nurodytą pakoreguotą koeficientą.</w:t>
            </w:r>
          </w:p>
          <w:p w14:paraId="7F147DEA"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Dienos prekybos srauto veiksnys apskaičiuojamas pagal Reglamento (ES) 2019/2033 33 straipsnio 2 dalies a punkt</w:t>
            </w:r>
            <w:r w:rsidRPr="00BB789E">
              <w:rPr>
                <w:rFonts w:ascii="Times New Roman" w:hAnsi="Times New Roman"/>
                <w:bCs/>
                <w:color w:val="000000" w:themeColor="text1"/>
              </w:rPr>
              <w:t>ą.</w:t>
            </w:r>
          </w:p>
        </w:tc>
      </w:tr>
      <w:tr w:rsidR="003E49E8" w:rsidRPr="00BB789E" w14:paraId="45052766" w14:textId="77777777">
        <w:tc>
          <w:tcPr>
            <w:tcW w:w="1129" w:type="dxa"/>
            <w:tcBorders>
              <w:top w:val="single" w:sz="4" w:space="0" w:color="auto"/>
            </w:tcBorders>
          </w:tcPr>
          <w:p w14:paraId="4961B08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0250</w:t>
            </w:r>
          </w:p>
        </w:tc>
        <w:tc>
          <w:tcPr>
            <w:tcW w:w="7620" w:type="dxa"/>
            <w:tcBorders>
              <w:top w:val="single" w:sz="4" w:space="0" w:color="auto"/>
            </w:tcBorders>
          </w:tcPr>
          <w:p w14:paraId="43BCFDF5"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Dienos prekybos srautas. Išvestinių finansinių priemonių sandoriai</w:t>
            </w:r>
          </w:p>
          <w:p w14:paraId="44678994"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K veiksnių reikalavimo apskaičiavimo tikslais investicinės įmonės informaciją teikia taikydamos koeficientą, nustatytą Reglamento (ES) 2019/2033 15 straipsnio 2 dalyje.</w:t>
            </w:r>
          </w:p>
          <w:p w14:paraId="5315C9FB" w14:textId="77777777" w:rsidR="003E49E8" w:rsidRPr="00BB789E" w:rsidRDefault="00BB789E">
            <w:pPr>
              <w:spacing w:after="120" w:line="240" w:lineRule="auto"/>
              <w:jc w:val="both"/>
              <w:rPr>
                <w:rFonts w:ascii="Times New Roman" w:eastAsia="Times New Roman" w:hAnsi="Times New Roman" w:cs="Times New Roman"/>
                <w:bCs/>
                <w:i/>
                <w:color w:val="000000" w:themeColor="text1"/>
              </w:rPr>
            </w:pPr>
            <w:r w:rsidRPr="00BB789E">
              <w:rPr>
                <w:rFonts w:ascii="Times New Roman" w:hAnsi="Times New Roman"/>
                <w:bCs/>
                <w:color w:val="000000" w:themeColor="text1"/>
              </w:rPr>
              <w:t>Nepalankiom</w:t>
            </w:r>
            <w:r w:rsidRPr="00BB789E">
              <w:rPr>
                <w:rFonts w:ascii="Times New Roman" w:hAnsi="Times New Roman"/>
                <w:bCs/>
                <w:color w:val="000000" w:themeColor="text1"/>
              </w:rPr>
              <w:t>is rinkos sąlygomis pagal Reglamento (ES) 2019/2033 15 straipsnio 5 dalies c punktą investicinės įmonės taiko tame punkte nurodytą pakoreguotą koeficientą.</w:t>
            </w:r>
          </w:p>
          <w:p w14:paraId="05F28C83"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Dienos prekybos srauto veiksnys apskaičiuojamas pagal Reglamento (ES) 2019/2033 33 straipsnio 2 dali</w:t>
            </w:r>
            <w:r w:rsidRPr="00BB789E">
              <w:rPr>
                <w:rFonts w:ascii="Times New Roman" w:hAnsi="Times New Roman"/>
                <w:bCs/>
                <w:color w:val="000000" w:themeColor="text1"/>
              </w:rPr>
              <w:t>es b punktą.</w:t>
            </w:r>
          </w:p>
        </w:tc>
      </w:tr>
      <w:tr w:rsidR="003E49E8" w:rsidRPr="00BB789E" w14:paraId="7BE2ADF9" w14:textId="77777777">
        <w:tc>
          <w:tcPr>
            <w:tcW w:w="1129" w:type="dxa"/>
            <w:tcBorders>
              <w:top w:val="single" w:sz="4" w:space="0" w:color="auto"/>
            </w:tcBorders>
          </w:tcPr>
          <w:p w14:paraId="71C55B87"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0260</w:t>
            </w:r>
          </w:p>
        </w:tc>
        <w:tc>
          <w:tcPr>
            <w:tcW w:w="7620" w:type="dxa"/>
            <w:tcBorders>
              <w:top w:val="single" w:sz="4" w:space="0" w:color="auto"/>
            </w:tcBorders>
          </w:tcPr>
          <w:p w14:paraId="3B554454"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Koncentracijos rizikos K veiksnio reikalavimas</w:t>
            </w:r>
          </w:p>
          <w:p w14:paraId="512B0EC6" w14:textId="77777777" w:rsidR="003E49E8" w:rsidRPr="00BB789E"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37 straipsnio 2 dalis ir 39 bei 24 straipsniai.</w:t>
            </w:r>
          </w:p>
        </w:tc>
      </w:tr>
      <w:tr w:rsidR="003E49E8" w14:paraId="7D149615" w14:textId="77777777">
        <w:tc>
          <w:tcPr>
            <w:tcW w:w="1129" w:type="dxa"/>
            <w:tcBorders>
              <w:top w:val="single" w:sz="4" w:space="0" w:color="auto"/>
            </w:tcBorders>
          </w:tcPr>
          <w:p w14:paraId="423926D0" w14:textId="77777777" w:rsidR="003E49E8" w:rsidRPr="00BB789E" w:rsidRDefault="00BB789E">
            <w:pPr>
              <w:spacing w:after="120" w:line="240" w:lineRule="auto"/>
              <w:jc w:val="both"/>
              <w:rPr>
                <w:rFonts w:ascii="Times New Roman" w:eastAsia="Times New Roman" w:hAnsi="Times New Roman" w:cs="Times New Roman"/>
                <w:bCs/>
              </w:rPr>
            </w:pPr>
            <w:r w:rsidRPr="00BB789E">
              <w:rPr>
                <w:rFonts w:ascii="Times New Roman" w:hAnsi="Times New Roman"/>
                <w:bCs/>
              </w:rPr>
              <w:t>0270</w:t>
            </w:r>
          </w:p>
        </w:tc>
        <w:tc>
          <w:tcPr>
            <w:tcW w:w="7620" w:type="dxa"/>
            <w:tcBorders>
              <w:top w:val="single" w:sz="4" w:space="0" w:color="auto"/>
            </w:tcBorders>
          </w:tcPr>
          <w:p w14:paraId="2592CF0F" w14:textId="77777777" w:rsidR="003E49E8" w:rsidRPr="00BB789E" w:rsidRDefault="00BB789E">
            <w:pPr>
              <w:spacing w:after="120" w:line="240" w:lineRule="auto"/>
              <w:jc w:val="both"/>
              <w:rPr>
                <w:rFonts w:ascii="Times New Roman" w:eastAsia="Times New Roman" w:hAnsi="Times New Roman" w:cs="Times New Roman"/>
                <w:b/>
                <w:bCs/>
                <w:u w:val="single"/>
              </w:rPr>
            </w:pPr>
            <w:r w:rsidRPr="00BB789E">
              <w:rPr>
                <w:rFonts w:ascii="Times New Roman" w:hAnsi="Times New Roman"/>
                <w:b/>
                <w:bCs/>
                <w:u w:val="single"/>
              </w:rPr>
              <w:t>Pastoviųjų pridėtinių išlaidų reikalavimas</w:t>
            </w:r>
          </w:p>
          <w:p w14:paraId="0C1E2F98" w14:textId="77777777" w:rsidR="003E49E8" w:rsidRDefault="00BB789E">
            <w:pPr>
              <w:spacing w:after="120" w:line="240" w:lineRule="auto"/>
              <w:jc w:val="both"/>
              <w:rPr>
                <w:rFonts w:ascii="Times New Roman" w:eastAsia="Times New Roman" w:hAnsi="Times New Roman" w:cs="Times New Roman"/>
                <w:bCs/>
                <w:color w:val="000000" w:themeColor="text1"/>
              </w:rPr>
            </w:pPr>
            <w:r w:rsidRPr="00BB789E">
              <w:rPr>
                <w:rFonts w:ascii="Times New Roman" w:hAnsi="Times New Roman"/>
                <w:bCs/>
                <w:color w:val="000000" w:themeColor="text1"/>
              </w:rPr>
              <w:t>Reglamento (ES) 2019/2033 13 straipsnis.</w:t>
            </w:r>
          </w:p>
        </w:tc>
      </w:tr>
    </w:tbl>
    <w:p w14:paraId="19CEA8DB" w14:textId="77777777" w:rsidR="003E49E8" w:rsidRDefault="003E49E8">
      <w:pPr>
        <w:pStyle w:val="Instructionsberschrift2"/>
        <w:ind w:left="357" w:hanging="357"/>
      </w:pPr>
    </w:p>
    <w:sectPr w:rsidR="003E49E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C53EAA" w14:textId="77777777" w:rsidR="003E49E8" w:rsidRDefault="003E49E8">
      <w:pPr>
        <w:pStyle w:val="Footer"/>
      </w:pPr>
    </w:p>
  </w:endnote>
  <w:endnote w:type="continuationSeparator" w:id="0">
    <w:p w14:paraId="5F38FAFB" w14:textId="77777777" w:rsidR="003E49E8" w:rsidRDefault="003E49E8">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2630A" w14:textId="77777777" w:rsidR="003E49E8" w:rsidRDefault="003E49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0DF5C" w14:textId="77777777" w:rsidR="003E49E8" w:rsidRDefault="00BB789E">
    <w:pPr>
      <w:pStyle w:val="Footer"/>
      <w:tabs>
        <w:tab w:val="clear" w:pos="4513"/>
        <w:tab w:val="clear" w:pos="9026"/>
        <w:tab w:val="right" w:pos="9071"/>
      </w:tabs>
    </w:pPr>
    <w:r>
      <w:t>LT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1F0EF" w14:textId="77777777" w:rsidR="003E49E8" w:rsidRDefault="003E4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308B8A" w14:textId="77777777" w:rsidR="003E49E8" w:rsidRDefault="003E49E8">
      <w:pPr>
        <w:pStyle w:val="Footer"/>
      </w:pPr>
    </w:p>
  </w:footnote>
  <w:footnote w:type="continuationSeparator" w:id="0">
    <w:p w14:paraId="0549A822" w14:textId="77777777" w:rsidR="003E49E8" w:rsidRDefault="003E49E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4D538" w14:textId="77777777" w:rsidR="003E49E8" w:rsidRDefault="00BB789E">
    <w:pPr>
      <w:pStyle w:val="Header"/>
    </w:pPr>
    <w:r>
      <w:rPr>
        <w:rFonts w:ascii="Times New Roman" w:hAnsi="Times New Roman" w:cs="Times New Roman"/>
        <w:color w:val="000000"/>
        <w:sz w:val="24"/>
      </w:rPr>
      <w:t xml:space="preserve">Central Bank of </w:t>
    </w:r>
    <w:r>
      <w:rPr>
        <w:rFonts w:ascii="Times New Roman" w:hAnsi="Times New Roman" w:cs="Times New Roman"/>
        <w:color w:val="000000"/>
        <w:sz w:val="24"/>
      </w:rPr>
      <w:t>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C8D4AE" w14:textId="5DE076B2" w:rsidR="003E49E8" w:rsidRDefault="00BB789E">
    <w:pPr>
      <w:pStyle w:val="Header"/>
    </w:pPr>
    <w:r>
      <w:rPr>
        <w:noProof/>
      </w:rPr>
      <mc:AlternateContent>
        <mc:Choice Requires="wps">
          <w:drawing>
            <wp:anchor distT="0" distB="0" distL="114300" distR="114300" simplePos="0" relativeHeight="251659264" behindDoc="0" locked="0" layoutInCell="0" allowOverlap="1" wp14:anchorId="0736754A" wp14:editId="78F006E3">
              <wp:simplePos x="0" y="0"/>
              <wp:positionH relativeFrom="page">
                <wp:posOffset>0</wp:posOffset>
              </wp:positionH>
              <wp:positionV relativeFrom="page">
                <wp:posOffset>190500</wp:posOffset>
              </wp:positionV>
              <wp:extent cx="7560310" cy="273050"/>
              <wp:effectExtent l="0" t="0" r="0" b="12700"/>
              <wp:wrapNone/>
              <wp:docPr id="1" name="MSIPCM1ce945c792ba6b939a600fed"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88B5AC" w14:textId="37160410" w:rsidR="00BB789E" w:rsidRPr="00BB789E" w:rsidRDefault="00BB789E" w:rsidP="00BB789E">
                          <w:pPr>
                            <w:spacing w:after="0"/>
                            <w:rPr>
                              <w:rFonts w:ascii="Calibri" w:hAnsi="Calibri" w:cs="Calibri"/>
                              <w:color w:val="000000"/>
                              <w:sz w:val="24"/>
                            </w:rPr>
                          </w:pPr>
                          <w:r w:rsidRPr="00BB789E">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736754A" id="_x0000_t202" coordsize="21600,21600" o:spt="202" path="m,l,21600r21600,l21600,xe">
              <v:stroke joinstyle="miter"/>
              <v:path gradientshapeok="t" o:connecttype="rect"/>
            </v:shapetype>
            <v:shape id="MSIPCM1ce945c792ba6b939a600fed"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P91grS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1B88B5AC" w14:textId="37160410" w:rsidR="00BB789E" w:rsidRPr="00BB789E" w:rsidRDefault="00BB789E" w:rsidP="00BB789E">
                    <w:pPr>
                      <w:spacing w:after="0"/>
                      <w:rPr>
                        <w:rFonts w:ascii="Calibri" w:hAnsi="Calibri" w:cs="Calibri"/>
                        <w:color w:val="000000"/>
                        <w:sz w:val="24"/>
                      </w:rPr>
                    </w:pPr>
                    <w:r w:rsidRPr="00BB789E">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4ACA7" w14:textId="77777777" w:rsidR="003E49E8" w:rsidRDefault="00BB789E">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E49E8"/>
    <w:rsid w:val="003E49E8"/>
    <w:rsid w:val="00BB78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14:docId w14:val="05CB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lt-LT"/>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2B2AD977-9131-4674-8694-D18406787BFE}">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3660</Words>
  <Characters>20867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2022-01-14T16:48:00Z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2022-01-14T16:48:41Z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62644794-79fb-4ef9-b717-62742a032414</vt:lpwstr>
  </property>
  <property fmtid="{D5CDD505-2E9C-101B-9397-08002B2CF9AE}" pid="8" name="MSIP_Label_5c7eb9de-735b-4a68-8fe4-c9c62709b012_ContentBits">
    <vt:lpwstr>1</vt:lpwstr>
  </property>
</Properties>
</file>