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Annexetit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t>PŘÍLOHA VII – Pokyny k šablonám pro zpřístupňování informací o kapitálu</w:t>
      </w:r>
    </w:p>
    <w:p>
      <w:pPr>
        <w:rPr>
          <w:rFonts w:ascii="Times New Roman" w:hAnsi="Times New Roman" w:cs="Times New Roman"/>
          <w:b/>
          <w:bCs/>
          <w:sz w:val="24"/>
        </w:rPr>
      </w:pPr>
      <w:r>
        <w:rPr>
          <w:rFonts w:ascii="Times New Roman" w:hAnsi="Times New Roman"/>
          <w:b/>
          <w:bCs/>
          <w:sz w:val="24"/>
        </w:rPr>
        <w:t>Šablony EU I CC1.01, EU I CC1.02 a EU I CC1.03 – Složení regulatorního kapitálu</w:t>
      </w:r>
    </w:p>
    <w:p>
      <w:pPr>
        <w:tabs>
          <w:tab w:val="left" w:pos="360"/>
        </w:tabs>
        <w:spacing w:before="120" w:after="120"/>
        <w:ind w:left="360" w:hanging="360"/>
        <w:jc w:val="both"/>
        <w:rPr>
          <w:rFonts w:ascii="Times New Roman" w:hAnsi="Times New Roman" w:cs="Times New Roman"/>
          <w:bCs/>
          <w:sz w:val="24"/>
        </w:rPr>
      </w:pPr>
      <w:r>
        <w:rPr>
          <w:rFonts w:ascii="Times New Roman" w:hAnsi="Times New Roman" w:cs="Times New Roman"/>
          <w:bCs/>
          <w:sz w:val="24"/>
        </w:rPr>
        <w:t>1.</w:t>
      </w:r>
      <w:r>
        <w:rPr>
          <w:rFonts w:ascii="Times New Roman" w:hAnsi="Times New Roman" w:cs="Times New Roman"/>
          <w:bCs/>
          <w:sz w:val="24"/>
        </w:rPr>
        <w:tab/>
      </w:r>
      <w:r>
        <w:rPr>
          <w:rFonts w:ascii="Times New Roman" w:hAnsi="Times New Roman"/>
          <w:bCs/>
          <w:sz w:val="24"/>
        </w:rPr>
        <w:t>Investiční podniky použijí pokyny obsažené v této příloze k vyplnění šablony EU I CC1 obsažené v příloze VI podle čl. 49 odst. 1 písm. a) a c) nařízení (EU) 2019/2033.</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2.</w:t>
      </w:r>
      <w:r>
        <w:rPr>
          <w:rFonts w:ascii="Times New Roman" w:hAnsi="Times New Roman" w:cs="Times New Roman"/>
          <w:bCs/>
          <w:sz w:val="24"/>
        </w:rPr>
        <w:tab/>
      </w:r>
      <w:r>
        <w:rPr>
          <w:rFonts w:ascii="Times New Roman" w:hAnsi="Times New Roman"/>
          <w:bCs/>
          <w:sz w:val="24"/>
        </w:rPr>
        <w:t>Investiční podniky musí vyplnit sloupec b), aby objasnily zdroj každého významného vstupu, a to s křížovými odkazy na odpovídající řádky v šabloně EU I CC2.</w:t>
      </w:r>
    </w:p>
    <w:p>
      <w:pPr>
        <w:tabs>
          <w:tab w:val="left" w:pos="360"/>
        </w:tabs>
        <w:spacing w:before="120" w:after="120"/>
        <w:ind w:left="360" w:hanging="360"/>
        <w:jc w:val="both"/>
        <w:rPr>
          <w:rFonts w:ascii="Times New Roman" w:hAnsi="Times New Roman" w:cs="Times New Roman"/>
          <w:bCs/>
          <w:sz w:val="24"/>
        </w:rPr>
      </w:pPr>
      <w:r>
        <w:rPr>
          <w:rFonts w:ascii="Times New Roman" w:hAnsi="Times New Roman" w:cs="Times New Roman"/>
          <w:bCs/>
          <w:sz w:val="24"/>
        </w:rPr>
        <w:t>3.</w:t>
      </w:r>
      <w:r>
        <w:rPr>
          <w:rFonts w:ascii="Times New Roman" w:hAnsi="Times New Roman" w:cs="Times New Roman"/>
          <w:bCs/>
          <w:sz w:val="24"/>
        </w:rPr>
        <w:tab/>
      </w:r>
      <w:r>
        <w:rPr>
          <w:rFonts w:ascii="Times New Roman" w:hAnsi="Times New Roman"/>
          <w:bCs/>
          <w:sz w:val="24"/>
        </w:rPr>
        <w:t>V</w:t>
      </w:r>
      <w:r>
        <w:rPr>
          <w:rFonts w:ascii="Times New Roman" w:hAnsi="Times New Roman" w:cs="Times New Roman"/>
          <w:bCs/>
          <w:sz w:val="24"/>
        </w:rPr>
        <w:t> </w:t>
      </w:r>
      <w:r>
        <w:rPr>
          <w:rFonts w:ascii="Times New Roman" w:hAnsi="Times New Roman"/>
          <w:bCs/>
          <w:sz w:val="24"/>
        </w:rPr>
        <w:t>komentáři připojeném k šabloně investiční podniky popíší všechna omezení uplatněná na výpočet kapitálu v souladu s čl. 49 odst. 1 písm. c) nařízení (EU) 2019/2033 a nástroje a odpočty, na které se tato omezení vztahují. Dále objasní hlavní změny zpřístupněných částek v porovnání s předchozími obdobími, za něž se informace zpřístupňují.</w:t>
      </w:r>
    </w:p>
    <w:p>
      <w:pPr>
        <w:tabs>
          <w:tab w:val="left" w:pos="360"/>
        </w:tabs>
        <w:spacing w:before="120" w:after="120"/>
        <w:ind w:left="360" w:hanging="360"/>
        <w:jc w:val="both"/>
        <w:rPr>
          <w:rFonts w:ascii="Times New Roman" w:hAnsi="Times New Roman" w:cs="Times New Roman"/>
          <w:bCs/>
          <w:sz w:val="24"/>
        </w:rPr>
      </w:pPr>
      <w:r>
        <w:rPr>
          <w:rFonts w:ascii="Times New Roman" w:hAnsi="Times New Roman" w:cs="Times New Roman"/>
          <w:bCs/>
          <w:sz w:val="24"/>
        </w:rPr>
        <w:t>4.</w:t>
      </w:r>
      <w:r>
        <w:rPr>
          <w:rFonts w:ascii="Times New Roman" w:hAnsi="Times New Roman" w:cs="Times New Roman"/>
          <w:bCs/>
          <w:sz w:val="24"/>
        </w:rPr>
        <w:tab/>
      </w:r>
      <w:r>
        <w:rPr>
          <w:rFonts w:ascii="Times New Roman" w:hAnsi="Times New Roman"/>
          <w:bCs/>
          <w:sz w:val="24"/>
        </w:rPr>
        <w:t>Tato šablona je pevně daná a investiční podniky ji zpřístupní v naprosto totožném formátu, jaký je uveden v příloze VI.</w:t>
      </w:r>
    </w:p>
    <w:p>
      <w:pPr>
        <w:tabs>
          <w:tab w:val="left" w:pos="360"/>
        </w:tabs>
        <w:spacing w:before="120" w:after="120"/>
        <w:ind w:left="360" w:hanging="360"/>
        <w:jc w:val="both"/>
        <w:rPr>
          <w:rFonts w:ascii="Times New Roman" w:hAnsi="Times New Roman" w:cs="Times New Roman"/>
          <w:bCs/>
          <w:sz w:val="24"/>
        </w:rPr>
      </w:pPr>
      <w:r>
        <w:rPr>
          <w:rFonts w:ascii="Times New Roman" w:hAnsi="Times New Roman" w:cs="Times New Roman"/>
          <w:bCs/>
          <w:sz w:val="24"/>
        </w:rPr>
        <w:t>5.</w:t>
      </w:r>
      <w:r>
        <w:rPr>
          <w:rFonts w:ascii="Times New Roman" w:hAnsi="Times New Roman" w:cs="Times New Roman"/>
          <w:bCs/>
          <w:sz w:val="24"/>
        </w:rPr>
        <w:tab/>
      </w:r>
      <w:r>
        <w:rPr>
          <w:rFonts w:ascii="Times New Roman" w:hAnsi="Times New Roman"/>
          <w:bCs/>
          <w:sz w:val="24"/>
        </w:rPr>
        <w:t>Investiční podniky, které nejsou malé a nepropojené investiční podniky, zpřístupní informace o složení kapitálu v souladu s šablonou EU I CC1.01 v příloze VI. Malé a nepropojené investiční podniky, které vydávají nástroje zahrnované do vedlejšího kapitálu tier 1, zpřístupní informace o složení kapitálu v souladu s šablonou EU I CC1.02 obsaženou rovněž v příloze VI.</w:t>
      </w:r>
    </w:p>
    <w:p>
      <w:pPr>
        <w:rPr>
          <w:rFonts w:ascii="Times New Roman" w:hAnsi="Times New Roman" w:cs="Times New Roman"/>
          <w:b/>
          <w:bCs/>
          <w:sz w:val="24"/>
        </w:rPr>
      </w:pPr>
      <w:r>
        <w:rPr>
          <w:rFonts w:ascii="Times New Roman" w:hAnsi="Times New Roman"/>
          <w:b/>
          <w:bCs/>
          <w:sz w:val="24"/>
        </w:rPr>
        <w:t>Šablona EU I CC1.01 – Složení regulatorního kapitálu (jiné investiční podniky než malé a nepropojené investiční podniky)</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trPr>
          <w:trHeight w:val="395"/>
        </w:trPr>
        <w:tc>
          <w:tcPr>
            <w:tcW w:w="8812" w:type="dxa"/>
            <w:gridSpan w:val="2"/>
            <w:shd w:val="clear" w:color="auto" w:fill="D9D9D9" w:themeFill="background1" w:themeFillShade="D9"/>
          </w:tcPr>
          <w:p>
            <w:pPr>
              <w:pStyle w:val="TableTitle"/>
              <w:spacing w:before="0" w:after="0"/>
              <w:jc w:val="left"/>
              <w:rPr>
                <w:rFonts w:ascii="Times New Roman" w:hAnsi="Times New Roman"/>
                <w:szCs w:val="22"/>
              </w:rPr>
            </w:pPr>
            <w:r>
              <w:rPr>
                <w:rFonts w:ascii="Times New Roman" w:hAnsi="Times New Roman"/>
                <w:szCs w:val="22"/>
              </w:rPr>
              <w:t>Odkazy na právní předpisy a pokyny</w:t>
            </w:r>
          </w:p>
        </w:tc>
      </w:tr>
      <w:tr>
        <w:tblPrEx>
          <w:tblLook w:val="00A0" w:firstRow="1" w:lastRow="0" w:firstColumn="1" w:lastColumn="0" w:noHBand="0" w:noVBand="0"/>
        </w:tblPrEx>
        <w:tc>
          <w:tcPr>
            <w:tcW w:w="1129" w:type="dxa"/>
            <w:tcBorders>
              <w:bottom w:val="single" w:sz="4" w:space="0" w:color="auto"/>
            </w:tcBorders>
            <w:shd w:val="clear" w:color="auto" w:fill="D9D9D9"/>
          </w:tcPr>
          <w:p>
            <w:pPr>
              <w:spacing w:after="120"/>
              <w:jc w:val="both"/>
              <w:rPr>
                <w:rFonts w:ascii="Times New Roman" w:eastAsia="Times New Roman" w:hAnsi="Times New Roman" w:cs="Times New Roman"/>
                <w:bCs/>
                <w:szCs w:val="22"/>
              </w:rPr>
            </w:pPr>
            <w:r>
              <w:rPr>
                <w:rFonts w:ascii="Times New Roman" w:hAnsi="Times New Roman"/>
                <w:szCs w:val="22"/>
              </w:rPr>
              <w:t>Řádek</w:t>
            </w:r>
          </w:p>
        </w:tc>
        <w:tc>
          <w:tcPr>
            <w:tcW w:w="7683" w:type="dxa"/>
            <w:tcBorders>
              <w:bottom w:val="single" w:sz="4" w:space="0" w:color="auto"/>
            </w:tcBorders>
            <w:shd w:val="clear" w:color="auto" w:fill="D9D9D9"/>
          </w:tcPr>
          <w:p>
            <w:pPr>
              <w:spacing w:after="120"/>
              <w:jc w:val="both"/>
              <w:rPr>
                <w:rFonts w:ascii="Times New Roman" w:eastAsia="Times New Roman" w:hAnsi="Times New Roman" w:cs="Times New Roman"/>
                <w:bCs/>
                <w:szCs w:val="22"/>
              </w:rPr>
            </w:pPr>
            <w:r>
              <w:rPr>
                <w:rFonts w:ascii="Times New Roman" w:hAnsi="Times New Roman"/>
                <w:szCs w:val="22"/>
              </w:rPr>
              <w:t>Odkazy na právní předpisy a pokyny</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b/>
                <w:bCs/>
                <w:color w:val="000000"/>
                <w:szCs w:val="22"/>
              </w:rPr>
              <w:t>1</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Kapitál</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nařízení (EU)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Kapitál investičního podniku je součtem jeho kmenového kapitálu tier 1, vedlejšího kapitálu tier 1 a kapitálu tier 2.</w:t>
            </w:r>
          </w:p>
          <w:p>
            <w:pPr>
              <w:spacing w:after="120"/>
              <w:jc w:val="both"/>
              <w:rPr>
                <w:rFonts w:ascii="Times New Roman" w:eastAsia="Times New Roman" w:hAnsi="Times New Roman" w:cs="Times New Roman"/>
                <w:bCs/>
                <w:szCs w:val="22"/>
              </w:rPr>
            </w:pPr>
            <w:r>
              <w:rPr>
                <w:rFonts w:ascii="Times New Roman" w:hAnsi="Times New Roman"/>
                <w:bCs/>
                <w:szCs w:val="22"/>
              </w:rPr>
              <w:t>Tento řádek je součtem řádku 2 a řádku 40.</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b/>
                <w:bCs/>
                <w:color w:val="000000"/>
                <w:szCs w:val="22"/>
              </w:rPr>
              <w:t>2</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Kapitál tier 1</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Kapitál tier 1 je součtem kmenového kapitálu tier 1 a vedlejšího kapitálu tier 1.</w:t>
            </w:r>
          </w:p>
          <w:p>
            <w:pPr>
              <w:spacing w:after="120"/>
              <w:jc w:val="both"/>
              <w:rPr>
                <w:rFonts w:ascii="Times New Roman" w:eastAsia="Times New Roman" w:hAnsi="Times New Roman" w:cs="Times New Roman"/>
                <w:b/>
                <w:bCs/>
                <w:szCs w:val="22"/>
              </w:rPr>
            </w:pPr>
            <w:r>
              <w:rPr>
                <w:rFonts w:ascii="Times New Roman" w:hAnsi="Times New Roman"/>
                <w:bCs/>
                <w:szCs w:val="22"/>
              </w:rPr>
              <w:t>Tento řádek je součtem řádku 3 a řádku 28.</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b/>
                <w:bCs/>
                <w:color w:val="000000"/>
                <w:szCs w:val="22"/>
              </w:rPr>
              <w:t>3</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Style w:val="InstructionsTabelleberschrift"/>
                <w:rFonts w:ascii="Times New Roman" w:hAnsi="Times New Roman"/>
                <w:sz w:val="22"/>
                <w:szCs w:val="22"/>
              </w:rPr>
              <w:t>Kmenový kapitál tier 1</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nařízení (EU)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i/>
                <w:sz w:val="22"/>
                <w:szCs w:val="22"/>
              </w:rPr>
              <w:t>Článek 50</w:t>
            </w:r>
            <w:r>
              <w:rPr>
                <w:rFonts w:ascii="Times New Roman" w:hAnsi="Times New Roman"/>
                <w:bCs/>
                <w:szCs w:val="22"/>
              </w:rPr>
              <w:t xml:space="preserve"> </w:t>
            </w:r>
            <w:r>
              <w:rPr>
                <w:rStyle w:val="FormatvorlageInstructionsTabelleText"/>
                <w:rFonts w:ascii="Times New Roman" w:hAnsi="Times New Roman"/>
                <w:sz w:val="22"/>
                <w:szCs w:val="22"/>
              </w:rPr>
              <w:t>nařízení (EU) č. 575/2013.</w:t>
            </w:r>
          </w:p>
          <w:p>
            <w:pPr>
              <w:spacing w:after="120"/>
              <w:jc w:val="both"/>
              <w:rPr>
                <w:rFonts w:ascii="Times New Roman" w:eastAsia="Times New Roman" w:hAnsi="Times New Roman" w:cs="Times New Roman"/>
                <w:bCs/>
                <w:szCs w:val="22"/>
              </w:rPr>
            </w:pPr>
            <w:r>
              <w:rPr>
                <w:rFonts w:ascii="Times New Roman" w:hAnsi="Times New Roman"/>
                <w:bCs/>
                <w:szCs w:val="22"/>
              </w:rPr>
              <w:t>Zpřístupní se celkový součet řádků 4 až 12 a řádku 27.</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Zcela splacené kapitálové nástroje</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Ustanovení čl. 26 odst. 1 písm. a) a článků 27 až 31</w:t>
            </w:r>
            <w:r>
              <w:t xml:space="preserve"> </w:t>
            </w:r>
            <w:r>
              <w:rPr>
                <w:rStyle w:val="FormatvorlageInstructionsTabelleText"/>
                <w:rFonts w:ascii="Times New Roman" w:hAnsi="Times New Roman"/>
                <w:sz w:val="22"/>
              </w:rPr>
              <w:t>nařízení (EU) č. 575/2013</w:t>
            </w:r>
          </w:p>
          <w:p>
            <w:pPr>
              <w:pStyle w:val="InstructionsText"/>
              <w:rPr>
                <w:rStyle w:val="FormatvorlageInstructionsTabelleText"/>
                <w:rFonts w:ascii="Times New Roman" w:hAnsi="Times New Roman"/>
                <w:sz w:val="22"/>
              </w:rPr>
            </w:pP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Zahrnují se kapitálové nástroje vzájemných institucí, družstev nebo podobných institucí (články 27 a 29 nařízení (EU) č.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Emisní ážio související s těmito nástroji není zahrnuto.</w:t>
            </w:r>
          </w:p>
          <w:p>
            <w:pPr>
              <w:pStyle w:val="InstructionsText"/>
            </w:pPr>
            <w:r>
              <w:rPr>
                <w:rStyle w:val="FormatvorlageInstructionsTabelleText"/>
                <w:rFonts w:ascii="Times New Roman" w:hAnsi="Times New Roman"/>
                <w:sz w:val="22"/>
              </w:rPr>
              <w:lastRenderedPageBreak/>
              <w:t>Zahrnují se kapitálové nástroje upsané veřejnými orgány v mimořádných situacích, jsou-li splněny všechny podmínky článku 31 nařízení (EU) č.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lastRenderedPageBreak/>
              <w:t>5</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Emisní ážio</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Ustanovení čl. 26 odst. 1 písm. b)</w:t>
            </w:r>
            <w:r>
              <w:rPr>
                <w:rFonts w:ascii="Times New Roman" w:hAnsi="Times New Roman"/>
                <w:szCs w:val="22"/>
              </w:rPr>
              <w:t xml:space="preserve"> </w:t>
            </w:r>
            <w:r>
              <w:rPr>
                <w:rStyle w:val="FormatvorlageInstructionsTabelleText"/>
                <w:rFonts w:ascii="Times New Roman" w:hAnsi="Times New Roman"/>
                <w:sz w:val="22"/>
                <w:szCs w:val="22"/>
              </w:rPr>
              <w:t>nařízení (EU) č.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Emisní ážio má stejný význam jako v použitelném účetním standardu.</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Částka, která má být zpřístupněna v této položce, je částí vztahující se k položce „Splacené kapitálové nástroje“.</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6</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Nerozdělený zisk</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Ustanovení čl. 26 odst. 1 písm. c)</w:t>
            </w:r>
            <w:r>
              <w:rPr>
                <w:rFonts w:ascii="Times New Roman" w:hAnsi="Times New Roman"/>
                <w:szCs w:val="22"/>
              </w:rPr>
              <w:t xml:space="preserve"> </w:t>
            </w:r>
            <w:r>
              <w:rPr>
                <w:rStyle w:val="FormatvorlageInstructionsTabelleText"/>
                <w:rFonts w:ascii="Times New Roman" w:hAnsi="Times New Roman"/>
                <w:sz w:val="22"/>
                <w:szCs w:val="22"/>
              </w:rPr>
              <w:t>nařízení (EU) č.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Nerozdělený zisk zahrnuje nerozdělený zisk z předchozího roku, k němuž se přičte způsobilý mezitímní zisk nebo zisk ke konci roku.</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7</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Kumulovaný ostatní úplný výsledek hospodaření</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spacing w:after="120"/>
              <w:jc w:val="both"/>
              <w:rPr>
                <w:rFonts w:ascii="Times New Roman" w:hAnsi="Times New Roman" w:cs="Times New Roman"/>
                <w:bCs/>
                <w:szCs w:val="22"/>
              </w:rPr>
            </w:pPr>
            <w:r>
              <w:rPr>
                <w:rStyle w:val="FormatvorlageInstructionsTabelleText"/>
                <w:rFonts w:ascii="Times New Roman" w:hAnsi="Times New Roman"/>
                <w:sz w:val="22"/>
                <w:szCs w:val="22"/>
              </w:rPr>
              <w:t>Ustanovení čl. 26 odst. 1 písm. d)</w:t>
            </w:r>
            <w:r>
              <w:rPr>
                <w:rFonts w:ascii="Times New Roman" w:hAnsi="Times New Roman"/>
                <w:szCs w:val="22"/>
              </w:rPr>
              <w:t xml:space="preserve"> </w:t>
            </w:r>
            <w:r>
              <w:rPr>
                <w:rStyle w:val="FormatvorlageInstructionsTabelleText"/>
                <w:rFonts w:ascii="Times New Roman" w:hAnsi="Times New Roman"/>
                <w:sz w:val="22"/>
                <w:szCs w:val="22"/>
              </w:rPr>
              <w:t>nařízení (EU) č.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8</w:t>
            </w:r>
          </w:p>
        </w:tc>
        <w:tc>
          <w:tcPr>
            <w:tcW w:w="7683" w:type="dxa"/>
            <w:tcBorders>
              <w:bottom w:val="single" w:sz="4" w:space="0" w:color="auto"/>
            </w:tcBorders>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Ostatní fondy</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Ustanovení čl. 4 odst. 1 bodu 117 a čl. 26 odst. 1 písm. e)</w:t>
            </w:r>
            <w:r>
              <w:rPr>
                <w:rFonts w:ascii="Times New Roman" w:hAnsi="Times New Roman"/>
                <w:szCs w:val="22"/>
              </w:rPr>
              <w:t xml:space="preserve"> </w:t>
            </w:r>
            <w:r>
              <w:rPr>
                <w:rStyle w:val="FormatvorlageInstructionsTabelleText"/>
                <w:rFonts w:ascii="Times New Roman" w:hAnsi="Times New Roman"/>
                <w:sz w:val="22"/>
                <w:szCs w:val="22"/>
              </w:rPr>
              <w:t>nařízení (EU) č.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Částka, která má být zpřístupněna, musí být očištěna o veškeré daňové platby předvídatelné v době výpočtu.</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9</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Menšinový podíl uznaný v kmenovém kapitálu tier 1</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Součet všech částek menšinových podílů dceřiných podniků zahrnutý do konsolidovaného kmenového kapitálu tier 1.</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10</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Úpravy kmenového kapitálu tier 1 v důsledku obezřetnostních filtrů</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Ustanovení čl. 9 odst. 1 bodu i)</w:t>
            </w:r>
            <w:r>
              <w:rPr>
                <w:rFonts w:ascii="Times New Roman" w:hAnsi="Times New Roman"/>
                <w:bCs/>
                <w:szCs w:val="22"/>
              </w:rPr>
              <w:t xml:space="preserve"> </w:t>
            </w:r>
            <w:r>
              <w:rPr>
                <w:rStyle w:val="FormatvorlageInstructionsTabelleText"/>
                <w:rFonts w:ascii="Times New Roman" w:hAnsi="Times New Roman"/>
                <w:sz w:val="22"/>
                <w:szCs w:val="22"/>
              </w:rPr>
              <w:t>nařízení (EU) 2019/2033.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Články 32 až 35</w:t>
            </w:r>
            <w:r>
              <w:rPr>
                <w:rFonts w:ascii="Times New Roman" w:hAnsi="Times New Roman"/>
                <w:bCs/>
                <w:szCs w:val="22"/>
              </w:rPr>
              <w:t xml:space="preserve"> </w:t>
            </w:r>
            <w:r>
              <w:rPr>
                <w:rStyle w:val="FormatvorlageInstructionsTabelleText"/>
                <w:rFonts w:ascii="Times New Roman" w:hAnsi="Times New Roman"/>
                <w:sz w:val="22"/>
                <w:szCs w:val="22"/>
              </w:rPr>
              <w:t>nařízení (EU) č.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11</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Ostatní fondy</w:t>
            </w:r>
          </w:p>
          <w:p>
            <w:pPr>
              <w:spacing w:after="120"/>
              <w:jc w:val="both"/>
              <w:rPr>
                <w:rFonts w:ascii="Times New Roman" w:eastAsia="Times New Roman" w:hAnsi="Times New Roman" w:cs="Times New Roman"/>
                <w:b/>
                <w:bCs/>
                <w:szCs w:val="22"/>
                <w:u w:val="single"/>
              </w:rPr>
            </w:pPr>
            <w:r>
              <w:rPr>
                <w:rFonts w:ascii="Times New Roman" w:hAnsi="Times New Roman"/>
                <w:bCs/>
              </w:rPr>
              <w:t>Ustanovení čl. 9 odst. 4 nařízení (EU) 2019/2033.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12</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ODPOČTY OD KMENOVÉHO KAPITÁLU TIER 1 CELKEM</w:t>
            </w:r>
          </w:p>
          <w:p>
            <w:pPr>
              <w:spacing w:after="120"/>
              <w:jc w:val="both"/>
              <w:rPr>
                <w:rFonts w:ascii="Times New Roman" w:eastAsia="Times New Roman" w:hAnsi="Times New Roman" w:cs="Times New Roman"/>
                <w:bCs/>
                <w:szCs w:val="22"/>
              </w:rPr>
            </w:pPr>
            <w:r>
              <w:rPr>
                <w:rFonts w:ascii="Times New Roman" w:hAnsi="Times New Roman"/>
                <w:bCs/>
                <w:szCs w:val="22"/>
              </w:rPr>
              <w:t>Zpřístupní se celkový součet řádku 13 a řádků 17 až 26.</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13</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Vlastní nástroje zahrnované do kmenového kapitálu tier 1</w:t>
            </w:r>
          </w:p>
          <w:p>
            <w:pPr>
              <w:spacing w:after="120"/>
              <w:jc w:val="both"/>
              <w:rPr>
                <w:rFonts w:ascii="Times New Roman" w:eastAsia="Times New Roman" w:hAnsi="Times New Roman" w:cs="Times New Roman"/>
                <w:bCs/>
                <w:szCs w:val="22"/>
              </w:rPr>
            </w:pPr>
            <w:r>
              <w:rPr>
                <w:rFonts w:ascii="Times New Roman" w:hAnsi="Times New Roman"/>
                <w:bCs/>
              </w:rPr>
              <w:t>Ustanovení čl. 9 odst. 1 bodu i) nařízení (EU)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Ustanovení čl. 36 odst. 1 písm. f) a článku 42</w:t>
            </w:r>
            <w:r>
              <w:t xml:space="preserve"> </w:t>
            </w:r>
            <w:r>
              <w:rPr>
                <w:rStyle w:val="FormatvorlageInstructionsTabelleText"/>
                <w:rFonts w:ascii="Times New Roman" w:hAnsi="Times New Roman"/>
                <w:sz w:val="22"/>
              </w:rPr>
              <w:t>nařízení (EU) č.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Vlastní nástroje zahrnované do kmenového kapitálu tier 1 držené vykazující institucí nebo skupinou ke dni vykazování. S výhradou výjimek uvedených v článku 42</w:t>
            </w:r>
            <w:r>
              <w:t xml:space="preserve"> </w:t>
            </w:r>
            <w:r>
              <w:rPr>
                <w:rStyle w:val="FormatvorlageInstructionsTabelleText"/>
                <w:rFonts w:ascii="Times New Roman" w:hAnsi="Times New Roman"/>
                <w:sz w:val="22"/>
              </w:rPr>
              <w:t>nařízení (EU) č.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V tomto řádku se nezpřístupňují držby akcií zahrnuté v položce „Nezpůsobilé kapitálové nástroje“.</w:t>
            </w:r>
          </w:p>
          <w:p>
            <w:pPr>
              <w:pStyle w:val="InstructionsText"/>
            </w:pPr>
            <w:r>
              <w:rPr>
                <w:rStyle w:val="FormatvorlageInstructionsTabelleText"/>
                <w:rFonts w:ascii="Times New Roman" w:hAnsi="Times New Roman"/>
                <w:sz w:val="22"/>
              </w:rPr>
              <w:t>Částka, která má být zpřístupněna, zahrnuje emisní ážio související s vlastními akciemi.</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14</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Přímé kapitálové investice do nástrojů zahrnovaných do kmenového kapitálu tier 1</w:t>
            </w:r>
          </w:p>
          <w:p>
            <w:pPr>
              <w:spacing w:after="120"/>
              <w:jc w:val="both"/>
              <w:rPr>
                <w:rFonts w:ascii="Times New Roman" w:eastAsia="Times New Roman" w:hAnsi="Times New Roman" w:cs="Times New Roman"/>
                <w:bCs/>
                <w:szCs w:val="22"/>
              </w:rPr>
            </w:pPr>
            <w:r>
              <w:rPr>
                <w:rFonts w:ascii="Times New Roman" w:hAnsi="Times New Roman"/>
                <w:bCs/>
              </w:rPr>
              <w:t>Ustanovení čl. 9 odst. 1 bodu i) nařízení (EU)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Ustanovení čl. 36 odst. 1 písm. f) a článku 42</w:t>
            </w:r>
            <w:r>
              <w:t xml:space="preserve"> </w:t>
            </w:r>
            <w:r>
              <w:rPr>
                <w:rStyle w:val="FormatvorlageInstructionsTabelleText"/>
                <w:rFonts w:ascii="Times New Roman" w:hAnsi="Times New Roman"/>
                <w:sz w:val="22"/>
              </w:rPr>
              <w:t>nařízení (EU) č. 575/2013.</w:t>
            </w:r>
          </w:p>
          <w:p>
            <w:pPr>
              <w:pStyle w:val="InstructionsText"/>
            </w:pPr>
            <w:r>
              <w:rPr>
                <w:rStyle w:val="FormatvorlageInstructionsTabelleText"/>
                <w:rFonts w:ascii="Times New Roman" w:hAnsi="Times New Roman"/>
                <w:sz w:val="22"/>
              </w:rPr>
              <w:t xml:space="preserve">Nástroje zahrnované do kmenového kapitálu tier 1 držené investičním podnikem. </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15</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Nepřímé kapitálové investice do nástrojů zahrnovaných do kmenového kapitálu tier 1</w:t>
            </w:r>
          </w:p>
          <w:p>
            <w:pPr>
              <w:spacing w:after="120"/>
              <w:jc w:val="both"/>
              <w:rPr>
                <w:rFonts w:ascii="Times New Roman" w:eastAsia="Times New Roman" w:hAnsi="Times New Roman" w:cs="Times New Roman"/>
                <w:bCs/>
                <w:szCs w:val="22"/>
              </w:rPr>
            </w:pPr>
            <w:r>
              <w:rPr>
                <w:rFonts w:ascii="Times New Roman" w:hAnsi="Times New Roman"/>
                <w:bCs/>
              </w:rPr>
              <w:t>Ustanovení čl. 9 odst. 1 bodu i) nařízení (EU)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Ustanovení čl. 36 odst. 1 písm. f) a článku 42</w:t>
            </w:r>
            <w:r>
              <w:t xml:space="preserve"> </w:t>
            </w:r>
            <w:r>
              <w:rPr>
                <w:rStyle w:val="FormatvorlageInstructionsTabelleText"/>
                <w:rFonts w:ascii="Times New Roman" w:hAnsi="Times New Roman"/>
                <w:sz w:val="22"/>
              </w:rPr>
              <w:t>nařízení (EU) č. 575/2013.</w:t>
            </w:r>
          </w:p>
          <w:p>
            <w:pPr>
              <w:pStyle w:val="InstructionsText"/>
            </w:pPr>
            <w:r>
              <w:rPr>
                <w:rStyle w:val="FormatvorlageInstructionsTabelleText"/>
                <w:rFonts w:ascii="Times New Roman" w:hAnsi="Times New Roman"/>
                <w:sz w:val="22"/>
              </w:rPr>
              <w:t>Nástroje zahrnované do kmenového kapitálu tier 1 držené investičním podnikem</w:t>
            </w:r>
            <w:r>
              <w:t>.</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Syntetické kapitálové investice do nástrojů zahrnovaných do kmenového kapitálu tier 1</w:t>
            </w:r>
          </w:p>
          <w:p>
            <w:pPr>
              <w:spacing w:after="120"/>
              <w:jc w:val="both"/>
              <w:rPr>
                <w:rFonts w:ascii="Times New Roman" w:eastAsia="Times New Roman" w:hAnsi="Times New Roman" w:cs="Times New Roman"/>
                <w:bCs/>
                <w:szCs w:val="22"/>
              </w:rPr>
            </w:pPr>
            <w:r>
              <w:rPr>
                <w:rFonts w:ascii="Times New Roman" w:hAnsi="Times New Roman"/>
                <w:bCs/>
              </w:rPr>
              <w:t>Ustanovení čl. 9 odst. 1 bodu i) nařízení (EU) 2019/2033.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Ustanovení čl. 4 odst. 1 bodu 114, čl. 36 odst. 1 písm. f) a článku 42</w:t>
            </w:r>
            <w:r>
              <w:rPr>
                <w:rFonts w:ascii="Times New Roman" w:hAnsi="Times New Roman"/>
                <w:bCs/>
              </w:rPr>
              <w:t xml:space="preserve"> </w:t>
            </w:r>
            <w:r>
              <w:rPr>
                <w:rStyle w:val="FormatvorlageInstructionsTabelleText"/>
                <w:rFonts w:ascii="Times New Roman" w:hAnsi="Times New Roman"/>
                <w:sz w:val="22"/>
                <w:szCs w:val="22"/>
              </w:rPr>
              <w:t>nařízení (EU) č. 575/2013.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Ztráty běžného účetního roku</w:t>
            </w:r>
          </w:p>
          <w:p>
            <w:pPr>
              <w:spacing w:after="120"/>
              <w:jc w:val="both"/>
              <w:rPr>
                <w:rFonts w:ascii="Times New Roman" w:eastAsia="Times New Roman" w:hAnsi="Times New Roman" w:cs="Times New Roman"/>
                <w:b/>
                <w:bCs/>
                <w:szCs w:val="22"/>
                <w:u w:val="single"/>
              </w:rPr>
            </w:pPr>
            <w:r>
              <w:rPr>
                <w:rFonts w:ascii="Times New Roman" w:hAnsi="Times New Roman"/>
                <w:bCs/>
              </w:rPr>
              <w:t>Ustanovení čl. 36 odst. 1 písm. a) nařízení (</w:t>
            </w:r>
            <w:r>
              <w:rPr>
                <w:rFonts w:ascii="Times New Roman" w:hAnsi="Times New Roman"/>
                <w:bCs/>
                <w:szCs w:val="22"/>
              </w:rPr>
              <w:t>EU) č. 575/2013.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18</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Goodwill</w:t>
            </w:r>
          </w:p>
          <w:p>
            <w:pPr>
              <w:spacing w:after="120"/>
              <w:jc w:val="both"/>
              <w:rPr>
                <w:rFonts w:ascii="Times New Roman" w:eastAsia="Times New Roman" w:hAnsi="Times New Roman" w:cs="Times New Roman"/>
                <w:bCs/>
                <w:szCs w:val="22"/>
              </w:rPr>
            </w:pPr>
            <w:r>
              <w:rPr>
                <w:rFonts w:ascii="Times New Roman" w:hAnsi="Times New Roman"/>
                <w:bCs/>
              </w:rPr>
              <w:t>Ustanovení čl. 9 odst. 1 bodu i) nařízení (EU) 2019/2033.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Ustanovení čl. 4 odst. 1 bodu 113, čl. 36 odst. 1 písm. b) a článku 37</w:t>
            </w:r>
            <w:r>
              <w:rPr>
                <w:rFonts w:ascii="Times New Roman" w:hAnsi="Times New Roman"/>
                <w:bCs/>
              </w:rPr>
              <w:t xml:space="preserve"> </w:t>
            </w:r>
            <w:r>
              <w:rPr>
                <w:rStyle w:val="FormatvorlageInstructionsTabelleText"/>
                <w:rFonts w:ascii="Times New Roman" w:hAnsi="Times New Roman"/>
                <w:sz w:val="22"/>
                <w:szCs w:val="22"/>
              </w:rPr>
              <w:t>nařízení (EU) č. 575/2013.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19</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Jiná nehmotná aktiva</w:t>
            </w:r>
          </w:p>
          <w:p>
            <w:pPr>
              <w:spacing w:after="120"/>
              <w:jc w:val="both"/>
              <w:rPr>
                <w:rFonts w:ascii="Times New Roman" w:eastAsia="Times New Roman" w:hAnsi="Times New Roman" w:cs="Times New Roman"/>
                <w:bCs/>
                <w:szCs w:val="22"/>
              </w:rPr>
            </w:pPr>
            <w:r>
              <w:rPr>
                <w:rFonts w:ascii="Times New Roman" w:hAnsi="Times New Roman"/>
                <w:bCs/>
              </w:rPr>
              <w:t>Ustanovení čl. 9 odst. 1 bodu i) nařízení (EU) 2019/2033.</w:t>
            </w:r>
          </w:p>
          <w:p>
            <w:pPr>
              <w:pStyle w:val="InstructionsText"/>
              <w:rPr>
                <w:rStyle w:val="FormatvorlageInstructionsTabelleText"/>
                <w:rFonts w:ascii="Times New Roman" w:eastAsiaTheme="minorHAnsi" w:hAnsi="Times New Roman"/>
                <w:bCs/>
                <w:sz w:val="22"/>
              </w:rPr>
            </w:pPr>
            <w:r>
              <w:rPr>
                <w:rStyle w:val="FormatvorlageInstructionsTabelleText"/>
                <w:rFonts w:ascii="Times New Roman" w:hAnsi="Times New Roman"/>
                <w:sz w:val="22"/>
              </w:rPr>
              <w:t>Ustanovení čl. 4 odst. 1 bodu 115, čl. 36 odst. 1 písm. b) a čl. 37 písm. a)</w:t>
            </w:r>
            <w:r>
              <w:t xml:space="preserve"> </w:t>
            </w:r>
            <w:r>
              <w:rPr>
                <w:rStyle w:val="FormatvorlageInstructionsTabelleText"/>
                <w:rFonts w:ascii="Times New Roman" w:hAnsi="Times New Roman"/>
                <w:sz w:val="22"/>
              </w:rPr>
              <w:t>nařízení (EU) č.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Jiná nehmotná aktiva zahrnují nehmotná aktiva podle použitelného účetního standardu bez goodwillu rovněž dle použitelného účetního standardu.</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Odložené daňové pohledávky, které jsou závislé na budoucím zisku a nevyplývají z přechodných rozdílů, po zohlednění souvisejících daňových závazků</w:t>
            </w:r>
          </w:p>
          <w:p>
            <w:pPr>
              <w:spacing w:after="120"/>
              <w:jc w:val="both"/>
              <w:rPr>
                <w:rFonts w:ascii="Times New Roman" w:eastAsia="Times New Roman" w:hAnsi="Times New Roman" w:cs="Times New Roman"/>
                <w:bCs/>
                <w:szCs w:val="22"/>
              </w:rPr>
            </w:pPr>
            <w:r>
              <w:rPr>
                <w:rFonts w:ascii="Times New Roman" w:hAnsi="Times New Roman"/>
                <w:bCs/>
              </w:rPr>
              <w:t>Ustanovení čl. </w:t>
            </w:r>
            <w:r>
              <w:rPr>
                <w:rFonts w:ascii="Times New Roman" w:hAnsi="Times New Roman"/>
                <w:bCs/>
                <w:szCs w:val="22"/>
              </w:rPr>
              <w:t>9 odst. 2 písm. a)</w:t>
            </w:r>
            <w:r>
              <w:rPr>
                <w:rFonts w:ascii="Times New Roman" w:hAnsi="Times New Roman"/>
                <w:bCs/>
              </w:rPr>
              <w:t xml:space="preserve"> nařízení (</w:t>
            </w:r>
            <w:r>
              <w:rPr>
                <w:rFonts w:ascii="Times New Roman" w:hAnsi="Times New Roman"/>
                <w:bCs/>
                <w:szCs w:val="22"/>
              </w:rPr>
              <w:t>EU)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Ustanovení čl. 36 odst. 1 písm. c)</w:t>
            </w:r>
            <w:r>
              <w:rPr>
                <w:rFonts w:ascii="Times New Roman" w:hAnsi="Times New Roman"/>
                <w:bCs/>
              </w:rPr>
              <w:t xml:space="preserve"> </w:t>
            </w:r>
            <w:r>
              <w:rPr>
                <w:rFonts w:ascii="Times New Roman" w:hAnsi="Times New Roman"/>
                <w:bCs/>
                <w:szCs w:val="22"/>
              </w:rPr>
              <w:t>nařízení (EU) č. 575/2013.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21</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Kvalifikovaná účast mimo finanční sektor přesahující 15 % kapitálu</w:t>
            </w:r>
          </w:p>
          <w:p>
            <w:pPr>
              <w:spacing w:after="120"/>
              <w:jc w:val="both"/>
              <w:rPr>
                <w:rFonts w:ascii="Times New Roman" w:eastAsia="Times New Roman" w:hAnsi="Times New Roman" w:cs="Times New Roman"/>
                <w:b/>
                <w:bCs/>
                <w:szCs w:val="22"/>
                <w:u w:val="single"/>
              </w:rPr>
            </w:pPr>
            <w:r>
              <w:rPr>
                <w:rFonts w:ascii="Times New Roman" w:hAnsi="Times New Roman"/>
                <w:bCs/>
              </w:rPr>
              <w:t>Ustanovení čl. </w:t>
            </w:r>
            <w:r>
              <w:rPr>
                <w:rFonts w:ascii="Times New Roman" w:hAnsi="Times New Roman"/>
                <w:bCs/>
                <w:szCs w:val="22"/>
              </w:rPr>
              <w:t>10 odst. 1 písm. a)</w:t>
            </w:r>
            <w:r>
              <w:rPr>
                <w:rFonts w:ascii="Times New Roman" w:hAnsi="Times New Roman"/>
                <w:bCs/>
              </w:rPr>
              <w:t xml:space="preserve"> nařízení (</w:t>
            </w:r>
            <w:r>
              <w:rPr>
                <w:rFonts w:ascii="Times New Roman" w:hAnsi="Times New Roman"/>
                <w:bCs/>
                <w:szCs w:val="22"/>
              </w:rPr>
              <w:t>EU) 2019/2033.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Celkové kvalifikované účasti v podnicích, které nejsou subjekty finančního sektoru, přesahující 60 % kapitálu</w:t>
            </w:r>
          </w:p>
          <w:p>
            <w:pPr>
              <w:spacing w:after="120"/>
              <w:jc w:val="both"/>
              <w:rPr>
                <w:rFonts w:ascii="Times New Roman" w:eastAsia="Times New Roman" w:hAnsi="Times New Roman" w:cs="Times New Roman"/>
                <w:b/>
                <w:bCs/>
                <w:szCs w:val="22"/>
                <w:u w:val="single"/>
              </w:rPr>
            </w:pPr>
            <w:r>
              <w:rPr>
                <w:rFonts w:ascii="Times New Roman" w:hAnsi="Times New Roman"/>
                <w:bCs/>
              </w:rPr>
              <w:t>Ustanovení čl. </w:t>
            </w:r>
            <w:r>
              <w:rPr>
                <w:rFonts w:ascii="Times New Roman" w:hAnsi="Times New Roman"/>
                <w:bCs/>
                <w:szCs w:val="22"/>
              </w:rPr>
              <w:t>10 odst. 1 písm. b)</w:t>
            </w:r>
            <w:r>
              <w:rPr>
                <w:rFonts w:ascii="Times New Roman" w:hAnsi="Times New Roman"/>
                <w:bCs/>
              </w:rPr>
              <w:t xml:space="preserve"> nařízení (</w:t>
            </w:r>
            <w:r>
              <w:rPr>
                <w:rFonts w:ascii="Times New Roman" w:hAnsi="Times New Roman"/>
                <w:bCs/>
                <w:szCs w:val="22"/>
              </w:rPr>
              <w:t>EU) 2019/2033.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Nástroje zahrnované do kmenového kapitálu tier 1 subjektů finančního sektoru, v nichž instituce nemá významnou investici</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2 písm. c) nařízení (EU)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Ustanovení čl. 36 odst. 1 písm. h) nařízení (EU) č. 575/2013.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Nástroje zahrnované do kmenového kapitálu tier 1 subjektů finančního sektoru, v nichž má instituce významnou investici</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2 písm. d) nařízení (EU)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Ustanovení čl. 36 odst. 1 písm. i) nařízení (EU) č. 575/2013.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Aktiva penzijního fondu definovaných požitků</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2 písm. b) nařízení (EU)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Ustanovení čl. 36 odst. 1 písm. e) nařízení (EU) č. 575/2013.</w:t>
            </w:r>
          </w:p>
        </w:tc>
      </w:tr>
      <w:tr>
        <w:tblPrEx>
          <w:tblLook w:val="00A0" w:firstRow="1" w:lastRow="0" w:firstColumn="1" w:lastColumn="0" w:noHBand="0" w:noVBand="0"/>
        </w:tblPrEx>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Ostatní odpočty</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Součet všech ostatních odpočtů vyjmenovaných v čl. 36 odst. 1 nařízení (EU) č. 575/2013.</w:t>
            </w:r>
          </w:p>
        </w:tc>
      </w:tr>
      <w:tr>
        <w:tblPrEx>
          <w:tblLook w:val="00A0" w:firstRow="1" w:lastRow="0" w:firstColumn="1" w:lastColumn="0" w:noHBand="0" w:noVBand="0"/>
        </w:tblPrEx>
        <w:tc>
          <w:tcPr>
            <w:tcW w:w="1129" w:type="dxa"/>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27</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KMENOVÝ KAPITÁL TIER 1: Ostatní kapitálové položky, odpočty od kapitálu a úpravy kapitálu</w:t>
            </w:r>
          </w:p>
          <w:p>
            <w:pPr>
              <w:spacing w:after="120"/>
              <w:jc w:val="both"/>
              <w:rPr>
                <w:rFonts w:ascii="Times New Roman" w:eastAsia="Times New Roman" w:hAnsi="Times New Roman" w:cs="Times New Roman"/>
                <w:bCs/>
                <w:szCs w:val="22"/>
              </w:rPr>
            </w:pPr>
            <w:r>
              <w:rPr>
                <w:rFonts w:ascii="Times New Roman" w:hAnsi="Times New Roman"/>
                <w:bCs/>
                <w:szCs w:val="22"/>
              </w:rPr>
              <w:t>Tento řádek zahrnuje v příslušných případech součet těchto položek:</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přechodné úpravy provedené v důsledku nástrojů zahrnovaných do kmenového kapitálu tier 1, pro něž platí zachování právních účinků (čl. 483 odst. 1, 2 a 3 a články 484 až 487 nařízení (EU) č.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přechodné úpravy provedené v důsledku dodatečných menšinových podílů (články 479 a 480 nařízení (EU) č.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ostatní přechodné úpravy kmenového kapitálu tier 1 (články 469 až 478 a článek 481 nařízení (EU) č. 575/2013): úpravy odpočtů od kmenového kapitálu tier 1 v důsledku přechodných ustanovení,</w:t>
            </w:r>
          </w:p>
          <w:p>
            <w:pPr>
              <w:spacing w:after="120"/>
              <w:ind w:left="360" w:hanging="360"/>
              <w:contextualSpacing/>
              <w:jc w:val="both"/>
              <w:rPr>
                <w:rFonts w:ascii="Times New Roman" w:eastAsia="Times New Roman" w:hAnsi="Times New Roman"/>
                <w:b/>
                <w:bCs/>
                <w:u w:val="single"/>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ostatní položky kmenového kapitálu tier 1 nebo odpočty od položky kmenového kapitálu tier 1, které nelze přiřadit do jednoho z řádků 4 až 26.</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Tento řádek neslouží k zahrnutí kapitálových položek či odpočtů od kapitálu, na něž se nevztahuje nařízení (EU) 2019/2033 nebo nařízení (EU) č. 575/2013, do výpočtu ukazatelů kapitálové přiměřenosti.</w:t>
            </w:r>
          </w:p>
        </w:tc>
      </w:tr>
      <w:tr>
        <w:tblPrEx>
          <w:tblLook w:val="00A0" w:firstRow="1" w:lastRow="0" w:firstColumn="1" w:lastColumn="0" w:noHBand="0" w:noVBand="0"/>
        </w:tblPrEx>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28</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VEDLEJŠÍ KAPITÁL TIER 1</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nařízení (EU) 2019/2033.</w:t>
            </w:r>
          </w:p>
          <w:p>
            <w:pPr>
              <w:spacing w:after="120"/>
              <w:jc w:val="both"/>
              <w:rPr>
                <w:rFonts w:ascii="Times New Roman" w:eastAsia="Times New Roman" w:hAnsi="Times New Roman" w:cs="Times New Roman"/>
                <w:bCs/>
                <w:szCs w:val="22"/>
              </w:rPr>
            </w:pPr>
            <w:r>
              <w:rPr>
                <w:rFonts w:ascii="Times New Roman" w:hAnsi="Times New Roman"/>
                <w:bCs/>
                <w:i/>
                <w:szCs w:val="22"/>
              </w:rPr>
              <w:t>Článek 61</w:t>
            </w:r>
            <w:r>
              <w:rPr>
                <w:rFonts w:ascii="Times New Roman" w:hAnsi="Times New Roman"/>
                <w:bCs/>
                <w:szCs w:val="22"/>
              </w:rPr>
              <w:t xml:space="preserve"> nařízení (EU) č. 575/2013.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Zpřístupní se celkový součet řádků 29 až 31 a řádku 39.</w:t>
            </w:r>
          </w:p>
        </w:tc>
      </w:tr>
      <w:tr>
        <w:tblPrEx>
          <w:tblLook w:val="00A0" w:firstRow="1" w:lastRow="0" w:firstColumn="1" w:lastColumn="0" w:noHBand="0" w:noVBand="0"/>
        </w:tblPrEx>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Cs/>
                <w:szCs w:val="22"/>
              </w:rPr>
            </w:pPr>
            <w:r>
              <w:rPr>
                <w:rFonts w:ascii="Times New Roman" w:hAnsi="Times New Roman"/>
                <w:b/>
                <w:bCs/>
                <w:szCs w:val="22"/>
                <w:u w:val="single"/>
              </w:rPr>
              <w:t>Plně uhrazené přímo vydané kapitálové nástroje</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Ustanovení čl. 51 písm. a) a článků 52, 53 a 54</w:t>
            </w:r>
            <w:r>
              <w:t xml:space="preserve"> </w:t>
            </w:r>
            <w:r>
              <w:rPr>
                <w:rStyle w:val="FormatvorlageInstructionsTabelleText"/>
                <w:rFonts w:ascii="Times New Roman" w:hAnsi="Times New Roman"/>
                <w:sz w:val="22"/>
              </w:rPr>
              <w:t>nařízení (EU) č.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Částka, která má být zpřístupněna, nezahrnuje emisní ážio související s těmito nástroji.</w:t>
            </w:r>
          </w:p>
        </w:tc>
      </w:tr>
      <w:tr>
        <w:tblPrEx>
          <w:tblLook w:val="00A0" w:firstRow="1" w:lastRow="0" w:firstColumn="1" w:lastColumn="0" w:noHBand="0" w:noVBand="0"/>
        </w:tblPrEx>
        <w:tc>
          <w:tcPr>
            <w:tcW w:w="1129" w:type="dxa"/>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30</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Emisní ážio</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Ustanovení čl. 51 písm. b)</w:t>
            </w:r>
            <w:r>
              <w:t xml:space="preserve"> </w:t>
            </w:r>
            <w:r>
              <w:rPr>
                <w:rStyle w:val="FormatvorlageInstructionsTabelleText"/>
                <w:rFonts w:ascii="Times New Roman" w:hAnsi="Times New Roman"/>
                <w:sz w:val="22"/>
              </w:rPr>
              <w:t>nařízení (EU) č.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Emisní ážio má stejný význam jako v použitelném účetním standardu.</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Částka, která má být zpřístupněna v této položce, je částí vztahující se k položce „Splacené kapitálové nástroje“.</w:t>
            </w:r>
          </w:p>
        </w:tc>
      </w:tr>
      <w:tr>
        <w:tblPrEx>
          <w:tblLook w:val="00A0" w:firstRow="1" w:lastRow="0" w:firstColumn="1" w:lastColumn="0" w:noHBand="0" w:noVBand="0"/>
        </w:tblPrEx>
        <w:tc>
          <w:tcPr>
            <w:tcW w:w="1129" w:type="dxa"/>
            <w:tcBorders>
              <w:bottom w:val="single" w:sz="4" w:space="0" w:color="auto"/>
            </w:tcBorders>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31</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ODPOČTY OD VEDLEJŠÍHO KAPITÁLU TIER 1 CELKEM</w:t>
            </w:r>
          </w:p>
          <w:p>
            <w:pPr>
              <w:spacing w:before="60" w:after="60"/>
              <w:rPr>
                <w:rFonts w:ascii="Times New Roman" w:hAnsi="Times New Roman" w:cs="Times New Roman"/>
                <w:szCs w:val="22"/>
              </w:rPr>
            </w:pPr>
            <w:r>
              <w:rPr>
                <w:rFonts w:ascii="Times New Roman" w:hAnsi="Times New Roman"/>
                <w:i/>
                <w:szCs w:val="22"/>
              </w:rPr>
              <w:t>Článek 56</w:t>
            </w:r>
            <w:r>
              <w:rPr>
                <w:rFonts w:ascii="Times New Roman" w:hAnsi="Times New Roman"/>
                <w:szCs w:val="22"/>
              </w:rPr>
              <w:t xml:space="preserve"> nařízení (EU) č. 575/2013.</w:t>
            </w:r>
          </w:p>
          <w:p>
            <w:pPr>
              <w:spacing w:after="120"/>
              <w:jc w:val="both"/>
              <w:rPr>
                <w:rFonts w:ascii="Times New Roman" w:eastAsia="Times New Roman" w:hAnsi="Times New Roman" w:cs="Times New Roman"/>
                <w:bCs/>
                <w:szCs w:val="22"/>
              </w:rPr>
            </w:pPr>
            <w:r>
              <w:rPr>
                <w:rFonts w:ascii="Times New Roman" w:hAnsi="Times New Roman"/>
                <w:bCs/>
                <w:szCs w:val="22"/>
              </w:rPr>
              <w:t>Zpřístupní se celkový součet řádku 32 a řádků 36 až 38.</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32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Vlastní nástroje zahrnované do vedlejšího kapitálu tier 1</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pStyle w:val="InstructionsText"/>
              <w:rPr>
                <w:rStyle w:val="FormatvorlageInstructionsTabelleText"/>
                <w:rFonts w:ascii="Times New Roman" w:eastAsiaTheme="minorHAnsi" w:hAnsi="Times New Roman"/>
                <w:bCs/>
                <w:sz w:val="22"/>
              </w:rPr>
            </w:pPr>
            <w:r>
              <w:rPr>
                <w:rStyle w:val="FormatvorlageInstructionsTabelleText"/>
                <w:rFonts w:ascii="Times New Roman" w:hAnsi="Times New Roman"/>
                <w:sz w:val="22"/>
              </w:rPr>
              <w:t>Ustanovení čl. 52 odst. 1 písm. b), čl. 56 písm. a) a článku 57</w:t>
            </w:r>
            <w:r>
              <w:t xml:space="preserve"> </w:t>
            </w:r>
            <w:r>
              <w:rPr>
                <w:rStyle w:val="FormatvorlageInstructionsTabelleText"/>
                <w:rFonts w:ascii="Times New Roman" w:hAnsi="Times New Roman"/>
                <w:sz w:val="22"/>
              </w:rPr>
              <w:t>nařízení (EU) č.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Vlastní nástroje zahrnované do vedlejšího kapitálu tier 1 držené investičním podnikem ke dni vykazování. S výhradou výjimek uvedených v článku 57 nařízení (EU) č. 575/2013.</w:t>
            </w:r>
          </w:p>
          <w:p>
            <w:pPr>
              <w:pStyle w:val="InstructionsText"/>
            </w:pPr>
            <w:r>
              <w:rPr>
                <w:rStyle w:val="FormatvorlageInstructionsTabelleText"/>
                <w:rFonts w:ascii="Times New Roman" w:hAnsi="Times New Roman"/>
                <w:sz w:val="22"/>
              </w:rPr>
              <w:t>Částka, která má být zpřístupněna, zahrnuje emisní ážio související s vlastními akciemi.</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33</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Přímé kapitálové investice do nástrojů zahrnovaných do vedlejšího kapitálu tier 1</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2 písm. c) nařízení (EU)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Ustanovení čl. 56 písm. a) nařízení (EU) č.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34</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Nepřímé kapitálové investice do nástrojů zahrnovaných do vedlejšího kapitálu tier 1</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2 písm. c) nařízení (EU)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Ustanovení čl. 56 písm. a) nařízení (EU) č.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35</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Syntetické kapitálové investice do nástrojů zahrnovaných do vedlejšího kapitálu tier 1</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2 písm. c) nařízení (EU)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Ustanovení čl. 56 písm. a) nařízení (EU) č.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36</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Nástroje zahrnované do vedlejšího kapitálu tier 1 subjektů finančního sektoru, v nichž instituce nemá významnou investici</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2 písm. c) nařízení (EU)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Ustanovení čl. 56 písm. c) nařízení (EU) č.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37</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Nástroje zahrnované do vedlejšího kapitálu tier 1 subjektů finančního sektoru, v nichž má instituce významnou investici</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2 písm. c) nařízení (EU)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Ustanovení čl. 56 písm. d) nařízení (EU) č.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38</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Ostatní odpočty</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Součet všech ostatních odpočtů v souladu s článkem 56 nařízení (EU) č. 575/2013, které nejsou zahrnuty v žádném z výše uvedených řádků.</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39</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Vedlejší kapitál tier 1: Ostatní kapitálové položky, odpočty od kapitálu a úpravy kapitálu</w:t>
            </w:r>
          </w:p>
          <w:p>
            <w:pPr>
              <w:spacing w:after="120"/>
              <w:jc w:val="both"/>
              <w:rPr>
                <w:rFonts w:ascii="Times New Roman" w:eastAsia="Times New Roman" w:hAnsi="Times New Roman" w:cs="Times New Roman"/>
                <w:bCs/>
                <w:szCs w:val="22"/>
              </w:rPr>
            </w:pPr>
            <w:r>
              <w:rPr>
                <w:rFonts w:ascii="Times New Roman" w:hAnsi="Times New Roman"/>
                <w:bCs/>
                <w:szCs w:val="22"/>
              </w:rPr>
              <w:t>Tento řádek zahrnuje v příslušných případech součet těchto položek:</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přechodné úpravy provedené v důsledku nástrojů zahrnovaných do vedlejšího kapitálu tier 1, pro něž platí zachování právních účinků (čl. 483 odst. 4 a 5 a články 484 až 487, články 489 a 491 nařízení (EU) č.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nástroje vydané dceřinými podniky a uznané ve vedlejším kapitálu tier 1 (články 83, 85 a 86 nařízení (EU) č. 575/2013): součet všech částek kvalifikovaného kapitálu tier 1 dceřiných podniků, který se zahrne do konsolidovaného vedlejšího kapitálu tier 1, včetně kapitálu vydaného jednotkou pro speciální účel (článek 83 nařízení (EU) č.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přechodné úpravy v důsledku dodatečného uznání nástrojů, které byly vydány dceřinými podniky, ve vedlejším kapitálu tier 1 (článek 480 nařízení (EU) č. 575/2013): úpravy kvalifikovaného kapitálu tier 1 zahrnutého v konsolidovaném vedlejším kapitálu tier 1 provedené v důsledku přechodných ustanovení,</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ostatní přechodné úpravy vedlejšího kapitálu tier 1 (články 472, 473a, 474, 475, 478 a 481 nařízení (EU) č. 575/2013): úpravy odpočtů v důsledku přechodných ustanovení,</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odpočet od položek vedlejšího kapitálu tier 1, který přesahuje výši vedlejšího kapitálu tier 1, který se odečítá od kmenového kapitálu tier 1 v souladu s čl. 36 odst. 1 písm. j) nařízení (EU) č. 575/2013: vedlejší kapitál tier 1 nemůže být záporný, ale odpočty od položek vedlejšího kapitálu tier 1 mohou překročit výši položek dostupného vedlejšího kapitálu tier 1. Pokud k tomu dojde, tato položka představuje částku potřebnou ke zvýšení částky vykázané v řádku 28 na nulu a rovná se převrácené hodnotě odpočtů od položek vedlejšího kapitálu tier 1, které přesahují výši vedlejšího kapitálu tier 1, zahrnutých jako ostatní odpočty v řádku 38,</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ostatní položky vedlejšího kapitálu tier 1 nebo odpočty od položky vedlejšího kapitálu tier 1, které nelze přiřadit do jednoho z řádků 29 až 38.</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Tento řádek neslouží k zahrnutí kapitálových položek či odpočtů od kapitálu, na něž se nevztahuje nařízení (EU) 2019/2033 nebo nařízení (EU) č. 575/2013, do výpočtu ukazatelů kapitálové přiměřenosti.</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KAPITÁL TIER 2</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2 nařízení (EU)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i/>
                <w:sz w:val="22"/>
                <w:szCs w:val="22"/>
              </w:rPr>
              <w:t>Článek 71</w:t>
            </w:r>
            <w:r>
              <w:rPr>
                <w:rFonts w:ascii="Times New Roman" w:hAnsi="Times New Roman"/>
                <w:bCs/>
                <w:szCs w:val="22"/>
              </w:rPr>
              <w:t xml:space="preserve"> </w:t>
            </w:r>
            <w:r>
              <w:rPr>
                <w:rStyle w:val="FormatvorlageInstructionsTabelleText"/>
                <w:rFonts w:ascii="Times New Roman" w:hAnsi="Times New Roman"/>
                <w:sz w:val="22"/>
                <w:szCs w:val="22"/>
              </w:rPr>
              <w:t>nařízení (EU) č. 575/2013.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Zpřístupní se celkový součet řádků 41 až 43 a řádku 50.</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41</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Cs/>
                <w:szCs w:val="22"/>
              </w:rPr>
            </w:pPr>
            <w:r>
              <w:rPr>
                <w:rFonts w:ascii="Times New Roman" w:hAnsi="Times New Roman"/>
                <w:b/>
                <w:bCs/>
                <w:szCs w:val="22"/>
                <w:u w:val="single"/>
              </w:rPr>
              <w:t>Plně uhrazené přímo vydané kapitálové nástroje</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pStyle w:val="InstructionsText"/>
              <w:rPr>
                <w:rStyle w:val="FormatvorlageInstructionsTabelleText"/>
                <w:rFonts w:ascii="Times New Roman" w:eastAsiaTheme="minorHAnsi" w:hAnsi="Times New Roman"/>
                <w:bCs/>
                <w:sz w:val="22"/>
              </w:rPr>
            </w:pPr>
            <w:r>
              <w:rPr>
                <w:rStyle w:val="FormatvorlageInstructionsTabelleText"/>
                <w:rFonts w:ascii="Times New Roman" w:hAnsi="Times New Roman"/>
                <w:sz w:val="22"/>
              </w:rPr>
              <w:t>Ustanovení čl. 62 písm. a) a článků 63 a 65 nařízení (EU) č.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Částka, která má být zpřístupněna, nezahrnuje emisní ážio související s těmito nástroji.</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42</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Emisní ážio</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Ustanovení čl. 62 písm. b) a článku 65 nařízení (EU) č.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Emisní ážio má stejný význam jako v použitelném účetním standardu.</w:t>
            </w:r>
          </w:p>
          <w:p>
            <w:pPr>
              <w:pStyle w:val="InstructionsText"/>
            </w:pPr>
            <w:r>
              <w:rPr>
                <w:rStyle w:val="FormatvorlageInstructionsTabelleText"/>
                <w:rFonts w:ascii="Times New Roman" w:hAnsi="Times New Roman"/>
                <w:sz w:val="22"/>
              </w:rPr>
              <w:t>Částka, která má být zpřístupněna v této položce, je částí vztahující se k položce „Splacené kapitálové nástroje“.</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43</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ODPOČTY OD KAPITÁLU TIER 2 CELKEM</w:t>
            </w:r>
          </w:p>
          <w:p>
            <w:pPr>
              <w:spacing w:after="120"/>
              <w:jc w:val="both"/>
              <w:rPr>
                <w:rFonts w:ascii="Times New Roman" w:eastAsia="Times New Roman" w:hAnsi="Times New Roman" w:cs="Times New Roman"/>
                <w:bCs/>
                <w:szCs w:val="22"/>
              </w:rPr>
            </w:pPr>
            <w:r>
              <w:rPr>
                <w:rFonts w:ascii="Times New Roman" w:hAnsi="Times New Roman"/>
                <w:i/>
                <w:szCs w:val="22"/>
              </w:rPr>
              <w:t>Článek 66</w:t>
            </w:r>
            <w:r>
              <w:rPr>
                <w:rFonts w:ascii="Times New Roman" w:hAnsi="Times New Roman"/>
                <w:szCs w:val="22"/>
              </w:rPr>
              <w:t xml:space="preserve"> nařízení (EU) č.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44</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Vlastní nástroje zahrnované do kapitálu tier 2</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Ustanovení čl. 63 písm. b) bodu i), čl. 66 písm. a) a článku 67 nařízení (EU) č.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Vlastní nástroje zahrnované do kapitálu tier 2 držené vykazující institucí nebo skupinou ke dni vykazování. S výhradou výjimek uvedených v článku 67 nařízení (EU) č.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V tomto řádku se nezpřístupňují držby akcií zahrnuté v položce „Nezpůsobilé kapitálové nástroje“.</w:t>
            </w:r>
          </w:p>
          <w:p>
            <w:pPr>
              <w:pStyle w:val="InstructionsText"/>
            </w:pPr>
            <w:r>
              <w:rPr>
                <w:rStyle w:val="FormatvorlageInstructionsTabelleText"/>
                <w:rFonts w:ascii="Times New Roman" w:hAnsi="Times New Roman"/>
                <w:sz w:val="22"/>
              </w:rPr>
              <w:t>Částka, která má být zpřístupněna, zahrnuje emisní ážio související s vlastními akciemi.</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45</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Přímé kapitálové investice do nástrojů zahrnovaných do kapitálu tier 2</w:t>
            </w:r>
          </w:p>
          <w:p>
            <w:pPr>
              <w:pStyle w:val="InstructionsText"/>
            </w:pPr>
            <w:r>
              <w:rPr>
                <w:rStyle w:val="FormatvorlageInstructionsTabelleText"/>
                <w:rFonts w:ascii="Times New Roman" w:hAnsi="Times New Roman"/>
                <w:sz w:val="22"/>
              </w:rPr>
              <w:t>Ustanovení čl. 63 písm. b), čl. 66 písm. a) a článku 67 nařízení (EU) č.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46</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Nepřímé kapitálové investice do nástrojů zahrnovaných do kapitálu tier 2</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Ustanovení čl. 4 odst. 1 bodu 114, čl. 63 písm. b), čl. 66 písm. a) a článku 67 nařízení (EU) č.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47</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Syntetické kapitálové investice do nástrojů zahrnovaných do kapitálu tier 2</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Ustanovení čl. 4 odst. 1 bodu 126, čl. 63 písm. b), čl. 66 písm. a) a článku 67 nařízení (EU) č.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48</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Nástroje zahrnované do kapitálu tier 2 subjektů finančního sektoru, v nichž instituce nemá významnou investici</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2 písm. c) nařízení (EU)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Ustanovení čl. 66 písm. c) nařízení (EU) č. 575/2013.</w:t>
            </w:r>
          </w:p>
        </w:tc>
      </w:tr>
      <w:tr>
        <w:tblPrEx>
          <w:tblLook w:val="00A0" w:firstRow="1" w:lastRow="0" w:firstColumn="1" w:lastColumn="0" w:noHBand="0" w:noVBand="0"/>
        </w:tblPrEx>
        <w:tc>
          <w:tcPr>
            <w:tcW w:w="1129" w:type="dxa"/>
            <w:tcBorders>
              <w:bottom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49</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Nástroje zahrnované do kapitálu tier 2 subjektů finančního sektoru, v nichž má instituce významnou investici</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Ustanovení čl. 4 odst. 1 bodu 27, čl. 66 písm. d), článků 68, 69 a 79 nařízení (EU) č.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Kapitálové investice instituce do nástrojů kapitálu tier 2 subjektů finančního sektoru (ve smyslu čl. 4 odst. 1 bodu 27 nařízení (EU) č. 575/2013), v nichž má investiční podnik významnou investici, se odečítají v plném rozsahu.</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50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Kapitál tier 2: Ostatní kapitálové položky, odpočty od kapitálu a úpravy kapitálu</w:t>
            </w:r>
          </w:p>
          <w:p>
            <w:pPr>
              <w:spacing w:after="120"/>
              <w:jc w:val="both"/>
              <w:rPr>
                <w:rFonts w:ascii="Times New Roman" w:eastAsia="Times New Roman" w:hAnsi="Times New Roman" w:cs="Times New Roman"/>
                <w:bCs/>
                <w:szCs w:val="22"/>
              </w:rPr>
            </w:pPr>
            <w:r>
              <w:rPr>
                <w:rFonts w:ascii="Times New Roman" w:hAnsi="Times New Roman"/>
                <w:bCs/>
                <w:szCs w:val="22"/>
              </w:rPr>
              <w:t>Tento řádek zahrnuje v příslušných případech součet těchto položek:</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přechodné úpravy provedené v důsledku nástrojů zahrnovaných do kapitálu tier 2, pro něž platí zachování právních účinků (čl. 483 odst. 6 a 7 a články 484, 486, 488, 490 a 491 nařízení (EU) č.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nástroje vydané dceřinými podniky a uznané v kapitálu tier 2 (články 83, 87 a 88 nařízení (EU) č. 575/2013): součet všech částek kvalifikovaného kapitálu dceřiných podniků, který se zahrne do konsolidovaného kapitálu tier 2, včetně kvalifikovaného kapitálu tier 2 vydaného jednotkou pro speciální účel (článek 83 nařízení (EU) č.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přechodné úpravy v důsledku dodatečného uznání nástrojů, které byly vydány dceřinými podniky, v kapitálu tier 2 (článek 480 nařízení (EU) č. 575/2013): úpravy kvalifikovaného kapitálu zahrnutého v konsolidovaném kapitálu tier 2 provedené v důsledku přechodných ustanovení,</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ostatní přechodné úpravy kapitálu tier 2 (články 472, 473a, 476, 477, 478 a 481 nařízení (EU) č. 575/2013): úpravy odpočtů od kapitálu tier 2 v důsledku přechodných ustanovení,</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odpočet od položek kapitálu tier 2, který přesahuje výši kapitálu tier 2, který se odečítá od vedlejšího kapitálu tier 1 v souladu s čl. 56 písm. e) nařízení (EU) č. 575/2013: kapitál tier 2 nemůže být záporný, ale odpočty od položek kapitálu tier 2 mohou překročit výši položek dostupného kapitálu tier 2. Pokud k tomu dojde, tato položka představuje částku potřebnou ke zvýšení částky vykázané v řádku 40 na nulu,</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ostatní položky kapitálu tier 2 nebo odpočty od položky kapitálu tier 2, které nelze přiřadit do jednoho z řádků 41 až 49.</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Tento řádek neslouží k zahrnutí kapitálových položek či odpočtů od kapitálu, na něž se nevztahuje nařízení (EU) 2019/2033 nebo nařízení (EU) č. 575/2013, do výpočtu ukazatelů kapitálové přiměřenosti.</w:t>
            </w:r>
          </w:p>
        </w:tc>
      </w:tr>
    </w:tbl>
    <w:p>
      <w:pPr>
        <w:spacing w:before="120" w:after="120"/>
        <w:jc w:val="both"/>
        <w:rPr>
          <w:rFonts w:ascii="Times New Roman" w:hAnsi="Times New Roman" w:cs="Times New Roman"/>
          <w:bCs/>
          <w:sz w:val="24"/>
        </w:rPr>
      </w:pPr>
    </w:p>
    <w:p>
      <w:pPr>
        <w:ind w:left="720"/>
        <w:rPr>
          <w:rFonts w:ascii="Times New Roman" w:hAnsi="Times New Roman" w:cs="Times New Roman"/>
          <w:b/>
          <w:bCs/>
          <w:sz w:val="24"/>
        </w:rPr>
      </w:pPr>
      <w:r>
        <w:rPr>
          <w:rFonts w:ascii="Times New Roman" w:hAnsi="Times New Roman"/>
          <w:b/>
          <w:bCs/>
          <w:sz w:val="24"/>
        </w:rPr>
        <w:t>Šablona EU I CC1.02 – Složení regulatorního kapitálu (malé a nepropojené investiční podniky)</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trPr>
          <w:trHeight w:val="395"/>
        </w:trPr>
        <w:tc>
          <w:tcPr>
            <w:tcW w:w="8812" w:type="dxa"/>
            <w:gridSpan w:val="2"/>
            <w:shd w:val="clear" w:color="auto" w:fill="D9D9D9" w:themeFill="background1" w:themeFillShade="D9"/>
          </w:tcPr>
          <w:p>
            <w:pPr>
              <w:pStyle w:val="TableTitle"/>
              <w:spacing w:before="0" w:after="0"/>
              <w:jc w:val="left"/>
              <w:rPr>
                <w:rFonts w:ascii="Times New Roman" w:hAnsi="Times New Roman"/>
                <w:szCs w:val="22"/>
              </w:rPr>
            </w:pPr>
            <w:r>
              <w:rPr>
                <w:rFonts w:ascii="Times New Roman" w:hAnsi="Times New Roman"/>
                <w:szCs w:val="22"/>
              </w:rPr>
              <w:t>Odkazy na právní předpisy a pokyny</w:t>
            </w:r>
          </w:p>
        </w:tc>
      </w:tr>
      <w:tr>
        <w:tblPrEx>
          <w:tblLook w:val="00A0" w:firstRow="1" w:lastRow="0" w:firstColumn="1" w:lastColumn="0" w:noHBand="0" w:noVBand="0"/>
        </w:tblPrEx>
        <w:tc>
          <w:tcPr>
            <w:tcW w:w="1129" w:type="dxa"/>
            <w:tcBorders>
              <w:bottom w:val="single" w:sz="4" w:space="0" w:color="auto"/>
            </w:tcBorders>
            <w:shd w:val="clear" w:color="auto" w:fill="D9D9D9"/>
          </w:tcPr>
          <w:p>
            <w:pPr>
              <w:spacing w:after="120"/>
              <w:jc w:val="both"/>
              <w:rPr>
                <w:rFonts w:ascii="Times New Roman" w:eastAsia="Times New Roman" w:hAnsi="Times New Roman" w:cs="Times New Roman"/>
                <w:bCs/>
                <w:szCs w:val="22"/>
              </w:rPr>
            </w:pPr>
            <w:r>
              <w:rPr>
                <w:rFonts w:ascii="Times New Roman" w:hAnsi="Times New Roman"/>
                <w:szCs w:val="22"/>
              </w:rPr>
              <w:t>Řádek</w:t>
            </w:r>
          </w:p>
        </w:tc>
        <w:tc>
          <w:tcPr>
            <w:tcW w:w="7683" w:type="dxa"/>
            <w:tcBorders>
              <w:bottom w:val="single" w:sz="4" w:space="0" w:color="auto"/>
            </w:tcBorders>
            <w:shd w:val="clear" w:color="auto" w:fill="D9D9D9"/>
          </w:tcPr>
          <w:p>
            <w:pPr>
              <w:spacing w:after="120"/>
              <w:jc w:val="both"/>
              <w:rPr>
                <w:rFonts w:ascii="Times New Roman" w:eastAsia="Times New Roman" w:hAnsi="Times New Roman" w:cs="Times New Roman"/>
                <w:bCs/>
                <w:szCs w:val="22"/>
              </w:rPr>
            </w:pPr>
            <w:r>
              <w:rPr>
                <w:rFonts w:ascii="Times New Roman" w:hAnsi="Times New Roman"/>
                <w:szCs w:val="22"/>
              </w:rPr>
              <w:t>Odkazy na právní předpisy a pokyny</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Kapitál</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nařízení (EU)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Kapitál investičního podniku je součtem jeho kmenového kapitálu tier 1, vedlejšího kapitálu tier 1 a kapitálu tier 2.</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Zpřístupní se celkový součet řádků 2 a 25.</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Kapitál tier 1</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Kapitál tier 1 je součtem kmenového kapitálu tier 1 a vedlejšího kapitálu tier 1.</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Zpřístupní se celkový součet řádků 3 a 20.</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3</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Style w:val="InstructionsTabelleberschrift"/>
                <w:rFonts w:ascii="Times New Roman" w:hAnsi="Times New Roman"/>
                <w:sz w:val="22"/>
                <w:szCs w:val="22"/>
              </w:rPr>
              <w:t>Kmenový kapitál tier 1</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nařízení (EU)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i/>
                <w:sz w:val="22"/>
                <w:szCs w:val="22"/>
              </w:rPr>
              <w:t>Článek 50</w:t>
            </w:r>
            <w:r>
              <w:rPr>
                <w:rStyle w:val="FormatvorlageInstructionsTabelleText"/>
                <w:rFonts w:ascii="Times New Roman" w:hAnsi="Times New Roman"/>
                <w:sz w:val="22"/>
                <w:szCs w:val="22"/>
              </w:rPr>
              <w:t xml:space="preserve"> nařízení (EU) č. 575/2013.</w:t>
            </w:r>
          </w:p>
          <w:p>
            <w:pPr>
              <w:spacing w:after="120"/>
              <w:jc w:val="both"/>
              <w:rPr>
                <w:rFonts w:ascii="Times New Roman" w:eastAsia="Times New Roman" w:hAnsi="Times New Roman" w:cs="Times New Roman"/>
                <w:bCs/>
                <w:szCs w:val="22"/>
              </w:rPr>
            </w:pPr>
            <w:r>
              <w:rPr>
                <w:rFonts w:ascii="Times New Roman" w:hAnsi="Times New Roman"/>
                <w:bCs/>
                <w:szCs w:val="22"/>
              </w:rPr>
              <w:t>Zpřístupní se celkový součet řádků 4 až 11 a řádku 19.</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w:t>
            </w:r>
          </w:p>
        </w:tc>
        <w:tc>
          <w:tcPr>
            <w:tcW w:w="7683" w:type="dxa"/>
            <w:shd w:val="clear" w:color="auto" w:fill="auto"/>
          </w:tcPr>
          <w:p>
            <w:pPr>
              <w:spacing w:after="120"/>
              <w:jc w:val="both"/>
              <w:rPr>
                <w:rFonts w:ascii="Times New Roman" w:eastAsia="Times New Roman" w:hAnsi="Times New Roman" w:cs="Times New Roman"/>
                <w:bCs/>
                <w:szCs w:val="22"/>
              </w:rPr>
            </w:pPr>
            <w:r>
              <w:rPr>
                <w:rFonts w:ascii="Times New Roman" w:hAnsi="Times New Roman"/>
                <w:b/>
                <w:bCs/>
                <w:szCs w:val="22"/>
                <w:u w:val="single"/>
              </w:rPr>
              <w:t>Zcela splacené kapitálové nástroje</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Ustanovení čl. 26 odst. 1 písm. a) a článků 27 až 31 nařízení (EU) č.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Zahrnují se kapitálové nástroje vzájemných institucí, družstev nebo podobných institucí (články 27 a 29 nařízení (EU) č.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Emisní ážio související s těmito nástroji není zahrnuto.</w:t>
            </w:r>
          </w:p>
          <w:p>
            <w:pPr>
              <w:pStyle w:val="InstructionsText"/>
            </w:pPr>
            <w:r>
              <w:rPr>
                <w:rStyle w:val="FormatvorlageInstructionsTabelleText"/>
                <w:rFonts w:ascii="Times New Roman" w:hAnsi="Times New Roman"/>
                <w:sz w:val="22"/>
              </w:rPr>
              <w:t>Zahrnují se kapitálové nástroje upsané veřejnými orgány v mimořádných situacích, jsou-li splněny všechny podmínky článku 31 nařízení (EU) č.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5</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Emisní ážio</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Ustanovení čl. 26 odst. 1 písm. b) nařízení (EU) č.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Emisní ážio má stejný význam jako v použitelném účetním standardu.</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Částka, která má být zpřístupněna v této položce, je částí vztahující se k položce „Splacené kapitálové nástroje“.</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6</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Nerozdělený zisk</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spacing w:after="120"/>
              <w:jc w:val="both"/>
              <w:rPr>
                <w:rFonts w:ascii="Times New Roman" w:eastAsia="Times New Roman" w:hAnsi="Times New Roman" w:cs="Times New Roman"/>
                <w:bCs/>
                <w:szCs w:val="22"/>
              </w:rPr>
            </w:pPr>
            <w:r>
              <w:rPr>
                <w:rStyle w:val="FormatvorlageInstructionsTabelleText"/>
                <w:rFonts w:ascii="Times New Roman" w:hAnsi="Times New Roman"/>
                <w:sz w:val="22"/>
                <w:szCs w:val="22"/>
              </w:rPr>
              <w:t>Ustanovení čl. 26 odst. 1 písm. c) nařízení (EU) č.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Nerozdělený zisk zahrnuje nerozdělený zisk z předchozího roku, k němuž se přičte způsobilý mezitímní zisk nebo zisk ke konci roku.</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7</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Kumulovaný ostatní úplný výsledek hospodaření</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spacing w:after="120"/>
              <w:jc w:val="both"/>
              <w:rPr>
                <w:rFonts w:ascii="Times New Roman" w:hAnsi="Times New Roman" w:cs="Times New Roman"/>
                <w:bCs/>
                <w:szCs w:val="22"/>
              </w:rPr>
            </w:pPr>
            <w:r>
              <w:rPr>
                <w:rStyle w:val="FormatvorlageInstructionsTabelleText"/>
                <w:rFonts w:ascii="Times New Roman" w:hAnsi="Times New Roman"/>
                <w:sz w:val="22"/>
                <w:szCs w:val="22"/>
              </w:rPr>
              <w:t>Ustanovení čl. 26 odst. 1 písm. d) nařízení (EU) č.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8</w:t>
            </w:r>
          </w:p>
        </w:tc>
        <w:tc>
          <w:tcPr>
            <w:tcW w:w="7683" w:type="dxa"/>
            <w:tcBorders>
              <w:bottom w:val="single" w:sz="4" w:space="0" w:color="auto"/>
            </w:tcBorders>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Ostatní fondy</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Ustanovení čl. 4 odst. 1 bodu 117 a čl. 26 odst. 1 písm. e) nařízení (EU) č.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Částka, která má být zpřístupněna, musí být očištěna o veškeré daňové platby předvídatelné v době výpočtu.</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9</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Úpravy kmenového kapitálu tier 1 v důsledku obezřetnostních filtrů</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Ustanovení čl. 9 odst. 1 bodu i) nařízení (EU) 2019/2033.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Články 32 až 35 nařízení (EU) č.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10</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Ostatní fondy</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Ustanovení čl. 9 odst. 4 nařízení (EU) 2019/2033.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11</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ODPOČTY OD KMENOVÉHO KAPITÁLU TIER 1 CELKEM</w:t>
            </w:r>
          </w:p>
          <w:p>
            <w:pPr>
              <w:spacing w:after="120"/>
              <w:jc w:val="both"/>
              <w:rPr>
                <w:rFonts w:ascii="Times New Roman" w:eastAsia="Times New Roman" w:hAnsi="Times New Roman" w:cs="Times New Roman"/>
                <w:bCs/>
                <w:szCs w:val="22"/>
              </w:rPr>
            </w:pPr>
            <w:r>
              <w:rPr>
                <w:rFonts w:ascii="Times New Roman" w:hAnsi="Times New Roman"/>
                <w:bCs/>
                <w:szCs w:val="22"/>
              </w:rPr>
              <w:t>Zpřístupní se celkový součet řádků 12 až 18.</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Ztráty běžného účetního roku</w:t>
            </w:r>
          </w:p>
          <w:p>
            <w:pPr>
              <w:spacing w:after="120"/>
              <w:jc w:val="both"/>
              <w:rPr>
                <w:rFonts w:ascii="Times New Roman" w:eastAsia="Times New Roman" w:hAnsi="Times New Roman" w:cs="Times New Roman"/>
                <w:b/>
                <w:bCs/>
                <w:szCs w:val="22"/>
                <w:u w:val="single"/>
              </w:rPr>
            </w:pPr>
            <w:r>
              <w:rPr>
                <w:rFonts w:ascii="Times New Roman" w:hAnsi="Times New Roman"/>
                <w:szCs w:val="22"/>
              </w:rPr>
              <w:t>Ustanovení čl. 36 odst. 1 písm. a) nařízení (EU) č. 575/2013.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Goodwill</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Ustanovení čl. 4 odst. 1 bodu 113, čl. 36 odst. 1 písm. b) a článku 37 nařízení (EU) č. 575/2013.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Jiná nehmotná aktiva</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pStyle w:val="InstructionsText"/>
              <w:rPr>
                <w:rStyle w:val="FormatvorlageInstructionsTabelleText"/>
                <w:rFonts w:ascii="Times New Roman" w:eastAsiaTheme="minorHAnsi" w:hAnsi="Times New Roman"/>
                <w:bCs/>
                <w:sz w:val="22"/>
              </w:rPr>
            </w:pPr>
            <w:r>
              <w:rPr>
                <w:rStyle w:val="FormatvorlageInstructionsTabelleText"/>
                <w:rFonts w:ascii="Times New Roman" w:hAnsi="Times New Roman"/>
                <w:sz w:val="22"/>
              </w:rPr>
              <w:t>Ustanovení čl. 4 odst. 1 bodu 115, čl. 36 odst. 1 písm. b) a čl. 37 písm. a) nařízení (EU) č.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Za jiná nehmotná aktiva se považují nehmotná aktiva podle použitelného účetního standardu bez goodwillu rovněž dle použitelného účetního standardu.</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Odložené daňové pohledávky, které jsou závislé na budoucím zisku a nevyplývají z přechodných rozdílů, po zohlednění souvisejících daňových závazků</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2 písm. a) nařízení (EU)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Ustanovení čl. 36 odst. 1 písm. c) nařízení (EU) č. 575/2013.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Kvalifikovaná účast mimo finanční sektor přesahující 15 % kapitálu</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Ustanovení čl. 10 odst. 1 písm. a) nařízení (EU) 2019/2033.</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Celkové kvalifikované účastí v podnicích, které nejsou subjekty finančního sektoru, přesahující 60 % kapitálu</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Ustanovení čl. 10 odst. 1 písm. a) nařízení (EU) 2019/2033.</w:t>
            </w:r>
          </w:p>
        </w:tc>
      </w:tr>
      <w:tr>
        <w:tblPrEx>
          <w:tblLook w:val="00A0" w:firstRow="1" w:lastRow="0" w:firstColumn="1" w:lastColumn="0" w:noHBand="0" w:noVBand="0"/>
        </w:tblPrEx>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18</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Ostatní odpočty</w:t>
            </w:r>
          </w:p>
          <w:p>
            <w:pPr>
              <w:spacing w:after="120"/>
              <w:jc w:val="both"/>
              <w:rPr>
                <w:rFonts w:ascii="Times New Roman" w:eastAsia="Times New Roman" w:hAnsi="Times New Roman" w:cs="Times New Roman"/>
                <w:b/>
                <w:bCs/>
                <w:szCs w:val="22"/>
                <w:u w:val="single"/>
              </w:rPr>
            </w:pPr>
            <w:r>
              <w:rPr>
                <w:rFonts w:ascii="Times New Roman" w:hAnsi="Times New Roman"/>
                <w:szCs w:val="22"/>
              </w:rPr>
              <w:t>Součet všech ostatních odpočtů vyjmenovaných v čl. 36 odst. 1 nařízení (EU) č. 575/2013.</w:t>
            </w:r>
          </w:p>
        </w:tc>
      </w:tr>
      <w:tr>
        <w:tblPrEx>
          <w:tblLook w:val="00A0" w:firstRow="1" w:lastRow="0" w:firstColumn="1" w:lastColumn="0" w:noHBand="0" w:noVBand="0"/>
        </w:tblPrEx>
        <w:tc>
          <w:tcPr>
            <w:tcW w:w="1129" w:type="dxa"/>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19</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KMENOVÝ KAPITÁL TIER 1: Ostatní kapitálové položky, odpočty od kapitálu a úpravy kapitálu</w:t>
            </w:r>
          </w:p>
          <w:p>
            <w:pPr>
              <w:spacing w:after="120"/>
              <w:jc w:val="both"/>
              <w:rPr>
                <w:rFonts w:ascii="Times New Roman" w:eastAsia="Times New Roman" w:hAnsi="Times New Roman" w:cs="Times New Roman"/>
                <w:bCs/>
                <w:szCs w:val="22"/>
              </w:rPr>
            </w:pPr>
            <w:r>
              <w:rPr>
                <w:rFonts w:ascii="Times New Roman" w:hAnsi="Times New Roman"/>
                <w:bCs/>
                <w:szCs w:val="22"/>
              </w:rPr>
              <w:t>Tento řádek zahrnuje v příslušných případech součet těchto položek:</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přechodné úpravy provedené v důsledku nástrojů zahrnovaných do kmenového kapitálu tier 1, pro něž platí zachování právních účinků (čl. 483 odst. 1, 2 a 3 a články 484 až 487 nařízení (EU) č.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přechodné úpravy provedené v důsledku dodatečných menšinových podílů (články 479 a 480 nařízení (EU) č.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ostatní přechodné úpravy kmenového kapitálu tier 1 (články 469 až 478 a článek 481 nařízení (EU) č. 575/2013): úpravy odpočtů od kmenového kapitálu tier 1 v důsledku přechodných ustanovení,</w:t>
            </w:r>
          </w:p>
          <w:p>
            <w:pPr>
              <w:spacing w:after="120"/>
              <w:ind w:left="360" w:hanging="360"/>
              <w:contextualSpacing/>
              <w:jc w:val="both"/>
              <w:rPr>
                <w:rFonts w:ascii="Times New Roman" w:eastAsia="Times New Roman" w:hAnsi="Times New Roman"/>
                <w:b/>
                <w:bCs/>
                <w:u w:val="single"/>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ostatní položky kmenového kapitálu tier 1 nebo odpočty od položky kmenového kapitálu tier 1, které nelze přiřadit do jednoho z řádků 4 až 18.</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Tento řádek neslouží k zahrnutí kapitálových položek či odpočtů od kapitálu, na něž se nevztahuje nařízení (EU) 2019/2033 nebo nařízení (EU) č. 575/2013, do výpočtu ukazatelů kapitálové přiměřenosti.</w:t>
            </w:r>
          </w:p>
        </w:tc>
      </w:tr>
      <w:tr>
        <w:tblPrEx>
          <w:tblLook w:val="00A0" w:firstRow="1" w:lastRow="0" w:firstColumn="1" w:lastColumn="0" w:noHBand="0" w:noVBand="0"/>
        </w:tblPrEx>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VEDLEJŠÍ KAPITÁL TIER 1</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nařízení (EU) 2019/2033.</w:t>
            </w:r>
          </w:p>
          <w:p>
            <w:pPr>
              <w:spacing w:after="120"/>
              <w:jc w:val="both"/>
              <w:rPr>
                <w:rFonts w:ascii="Times New Roman" w:hAnsi="Times New Roman" w:cs="Times New Roman"/>
                <w:szCs w:val="22"/>
              </w:rPr>
            </w:pPr>
            <w:r>
              <w:rPr>
                <w:rFonts w:ascii="Times New Roman" w:hAnsi="Times New Roman"/>
                <w:i/>
                <w:szCs w:val="22"/>
              </w:rPr>
              <w:t>Článek 61</w:t>
            </w:r>
            <w:r>
              <w:rPr>
                <w:rFonts w:ascii="Times New Roman" w:hAnsi="Times New Roman"/>
                <w:szCs w:val="22"/>
              </w:rPr>
              <w:t xml:space="preserve"> nařízení (EU) č. 575/2013.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Zpřístupní se celkový součet řádků 21 až 24.</w:t>
            </w:r>
          </w:p>
        </w:tc>
      </w:tr>
      <w:tr>
        <w:tblPrEx>
          <w:tblLook w:val="00A0" w:firstRow="1" w:lastRow="0" w:firstColumn="1" w:lastColumn="0" w:noHBand="0" w:noVBand="0"/>
        </w:tblPrEx>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21</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Cs/>
                <w:szCs w:val="22"/>
              </w:rPr>
            </w:pPr>
            <w:r>
              <w:rPr>
                <w:rFonts w:ascii="Times New Roman" w:hAnsi="Times New Roman"/>
                <w:b/>
                <w:bCs/>
                <w:szCs w:val="22"/>
                <w:u w:val="single"/>
              </w:rPr>
              <w:t>Plně uhrazené přímo vydané kapitálové nástroje</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Ustanovení čl. 51 písm. a) a článků 52, 53 a 54 nařízení (EU) č.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Částka, která má být zpřístupněna, nezahrnuje emisní ážio související s těmito nástroji.</w:t>
            </w:r>
          </w:p>
        </w:tc>
      </w:tr>
      <w:tr>
        <w:tblPrEx>
          <w:tblLook w:val="00A0" w:firstRow="1" w:lastRow="0" w:firstColumn="1" w:lastColumn="0" w:noHBand="0" w:noVBand="0"/>
        </w:tblPrEx>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22</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Emisní ážio</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Ustanovení čl. 51 písm. b) nařízení (EU) č.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Emisní ážio má stejný význam jako v použitelném účetním standardu.</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Částka, která má být zpřístupněna v této položce, je částí vztahující se k položce „Splacené kapitálové nástroje“.</w:t>
            </w:r>
          </w:p>
        </w:tc>
      </w:tr>
      <w:tr>
        <w:tblPrEx>
          <w:tblLook w:val="00A0" w:firstRow="1" w:lastRow="0" w:firstColumn="1" w:lastColumn="0" w:noHBand="0" w:noVBand="0"/>
        </w:tblPrEx>
        <w:tc>
          <w:tcPr>
            <w:tcW w:w="1129" w:type="dxa"/>
            <w:tcBorders>
              <w:bottom w:val="single" w:sz="4" w:space="0" w:color="auto"/>
            </w:tcBorders>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23</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ODPOČTY OD VEDLEJŠÍHO KAPITÁLU TIER 1 CELKEM</w:t>
            </w:r>
          </w:p>
          <w:p>
            <w:pPr>
              <w:spacing w:before="60" w:after="60"/>
              <w:rPr>
                <w:rFonts w:ascii="Times New Roman" w:eastAsia="Times New Roman" w:hAnsi="Times New Roman" w:cs="Times New Roman"/>
                <w:b/>
                <w:bCs/>
                <w:szCs w:val="22"/>
                <w:u w:val="single"/>
              </w:rPr>
            </w:pPr>
            <w:r>
              <w:rPr>
                <w:rFonts w:ascii="Times New Roman" w:hAnsi="Times New Roman"/>
                <w:i/>
                <w:szCs w:val="22"/>
              </w:rPr>
              <w:t>Článek 56</w:t>
            </w:r>
            <w:r>
              <w:rPr>
                <w:rFonts w:ascii="Times New Roman" w:hAnsi="Times New Roman"/>
                <w:szCs w:val="22"/>
              </w:rPr>
              <w:t xml:space="preserve"> nařízení (EU) č. 575/2013.</w:t>
            </w:r>
          </w:p>
        </w:tc>
      </w:tr>
      <w:tr>
        <w:tblPrEx>
          <w:tblLook w:val="00A0" w:firstRow="1" w:lastRow="0" w:firstColumn="1" w:lastColumn="0" w:noHBand="0" w:noVBand="0"/>
        </w:tblPrEx>
        <w:tc>
          <w:tcPr>
            <w:tcW w:w="1129" w:type="dxa"/>
            <w:tcBorders>
              <w:bottom w:val="single" w:sz="4" w:space="0" w:color="auto"/>
            </w:tcBorders>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24</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Vedlejší kapitál tier 1: Ostatní kapitálové položky, odpočty od kapitálu a úpravy kapitálu</w:t>
            </w:r>
          </w:p>
          <w:p>
            <w:pPr>
              <w:spacing w:after="120"/>
              <w:jc w:val="both"/>
              <w:rPr>
                <w:rFonts w:ascii="Times New Roman" w:eastAsia="Times New Roman" w:hAnsi="Times New Roman" w:cs="Times New Roman"/>
                <w:bCs/>
                <w:szCs w:val="22"/>
              </w:rPr>
            </w:pPr>
            <w:r>
              <w:rPr>
                <w:rFonts w:ascii="Times New Roman" w:hAnsi="Times New Roman"/>
                <w:bCs/>
                <w:szCs w:val="22"/>
              </w:rPr>
              <w:t>Tento řádek zahrnuje v příslušných případech součet těchto položek:</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přechodné úpravy provedené v důsledku nástrojů zahrnovaných do vedlejšího kapitálu tier 1, pro něž platí zachování právních účinků (čl. 483 odst. 4 a 5 a články 484 až 487, články 489 a 491 nařízení (EU) č.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nástroje vydané dceřinými podniky a uznané ve vedlejším kapitálu tier 1 (články 83, 85 a 86 nařízení (EU) č. 575/2013): součet všech částek kvalifikovaného kapitálu tier 1 dceřiných podniků, který se zahrne do konsolidovaného vedlejšího kapitálu tier 1, včetně kapitálu vydaného jednotkou pro speciální účel (článek 83 nařízení (EU) č.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přechodné úpravy v důsledku dodatečného uznání nástrojů, které byly vydány dceřinými podniky, ve vedlejším kapitálu tier 1 (článek 480 nařízení (EU) č. 575/2013): úpravy kvalifikovaného kapitálu tier 1 zahrnutého v konsolidovaném vedlejším kapitálu tier 1 provedené v důsledku přechodných ustanovení,</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ostatní přechodné úpravy vedlejšího kapitálu tier 1 (články 472, 473a, 474, 475, 478 a 481 nařízení (EU) č. 575/2013): úpravy odpočtů v důsledku přechodných ustanovení,</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odpočet od položek vedlejšího kapitálu tier 1, který přesahuje výši vedlejšího kapitálu tier 1, který se odečítá od kmenového kapitálu tier 1 v souladu s čl. 36 odst. 1 písm. j) nařízení (EU) č. 575/2013: vedlejší kapitál tier 1 nemůže být záporný, ale odpočty od položek vedlejšího kapitálu tier 1 mohou překročit výši položek dostupného vedlejšího kapitálu tier 1. Pokud k tomu dojde, tato položka představuje částku potřebnou ke zvýšení částky vykázané v řádku 20 na nulu a rovná se převrácené hodnotě odpočtů od položek vedlejšího kapitálu tier 1, které přesahují výši vedlejšího kapitálu tier 1, zahrnutých jako ostatní odpočty v řádku 18,</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ostatní položky vedlejšího kapitálu tier 1 nebo odpočty od položky vedlejšího kapitálu tier 1, které nelze přiřadit do jednoho z řádků 21 až 23.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Tento řádek neslouží k zahrnutí kapitálových položek či odpočtů od kapitálu, na něž se nevztahuje nařízení (EU) 2019/2033 nebo nařízení (EU) č. 575/2013, do výpočtu ukazatelů kapitálové přiměřenosti.</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25</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KAPITÁL TIER 2</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nařízení (EU)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i/>
                <w:sz w:val="22"/>
                <w:szCs w:val="22"/>
              </w:rPr>
              <w:t>Článek 71</w:t>
            </w:r>
            <w:r>
              <w:rPr>
                <w:rStyle w:val="FormatvorlageInstructionsTabelleText"/>
                <w:rFonts w:ascii="Times New Roman" w:hAnsi="Times New Roman"/>
                <w:sz w:val="22"/>
                <w:szCs w:val="22"/>
              </w:rPr>
              <w:t xml:space="preserve"> nařízení (EU) č. 575/2013.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Zpřístupní se celkový součet řádků 26 až 29.</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Cs/>
                <w:szCs w:val="22"/>
              </w:rPr>
            </w:pPr>
            <w:r>
              <w:rPr>
                <w:rFonts w:ascii="Times New Roman" w:hAnsi="Times New Roman"/>
                <w:b/>
                <w:bCs/>
                <w:szCs w:val="22"/>
                <w:u w:val="single"/>
              </w:rPr>
              <w:t>Plně uhrazené přímo vydané kapitálové nástroje</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pStyle w:val="InstructionsText"/>
              <w:rPr>
                <w:rStyle w:val="FormatvorlageInstructionsTabelleText"/>
                <w:rFonts w:ascii="Times New Roman" w:eastAsiaTheme="minorHAnsi" w:hAnsi="Times New Roman"/>
                <w:bCs/>
                <w:sz w:val="22"/>
              </w:rPr>
            </w:pPr>
            <w:r>
              <w:rPr>
                <w:rStyle w:val="FormatvorlageInstructionsTabelleText"/>
                <w:rFonts w:ascii="Times New Roman" w:hAnsi="Times New Roman"/>
                <w:sz w:val="22"/>
              </w:rPr>
              <w:t>Ustanovení čl. 62 písm. a) a článků 63 a 65 nařízení (EU) č.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Částka, která má být zpřístupněna, nezahrnuje emisní ážio související s těmito nástroji.</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27</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Emisní ážio</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Ustanovení čl. 62 písm. b) a článku 65 nařízení (EU) č.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Emisní ážio má stejný význam jako v použitelném účetním standardu.</w:t>
            </w:r>
          </w:p>
          <w:p>
            <w:pPr>
              <w:pStyle w:val="InstructionsText"/>
            </w:pPr>
            <w:r>
              <w:rPr>
                <w:rStyle w:val="FormatvorlageInstructionsTabelleText"/>
                <w:rFonts w:ascii="Times New Roman" w:hAnsi="Times New Roman"/>
                <w:sz w:val="22"/>
              </w:rPr>
              <w:t>Částka, která má být zpřístupněna v této položce, je částí vztahující se k položce „Splacené kapitálové nástroje“.</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ODPOČTY OD KAPITÁLU TIER 2 CELKEM</w:t>
            </w:r>
          </w:p>
          <w:p>
            <w:pPr>
              <w:spacing w:after="120"/>
              <w:jc w:val="both"/>
              <w:rPr>
                <w:rFonts w:ascii="Times New Roman" w:eastAsia="Times New Roman" w:hAnsi="Times New Roman" w:cs="Times New Roman"/>
                <w:b/>
                <w:bCs/>
                <w:szCs w:val="22"/>
                <w:u w:val="single"/>
              </w:rPr>
            </w:pPr>
            <w:r>
              <w:rPr>
                <w:rFonts w:ascii="Times New Roman" w:hAnsi="Times New Roman"/>
                <w:i/>
                <w:szCs w:val="22"/>
              </w:rPr>
              <w:t>Článek 66</w:t>
            </w:r>
            <w:r>
              <w:rPr>
                <w:rFonts w:ascii="Times New Roman" w:hAnsi="Times New Roman"/>
                <w:szCs w:val="22"/>
              </w:rPr>
              <w:t xml:space="preserve"> nařízení (EU) č. 575/2013.</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30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Kapitál tier 2: Ostatní kapitálové položky, odpočty od kapitálu a úpravy kapitálu</w:t>
            </w:r>
          </w:p>
          <w:p>
            <w:pPr>
              <w:spacing w:after="120"/>
              <w:jc w:val="both"/>
              <w:rPr>
                <w:rFonts w:ascii="Times New Roman" w:eastAsia="Times New Roman" w:hAnsi="Times New Roman" w:cs="Times New Roman"/>
                <w:bCs/>
                <w:szCs w:val="22"/>
              </w:rPr>
            </w:pPr>
            <w:r>
              <w:rPr>
                <w:rFonts w:ascii="Times New Roman" w:hAnsi="Times New Roman"/>
                <w:bCs/>
                <w:szCs w:val="22"/>
              </w:rPr>
              <w:t>Tento řádek zahrnuje v příslušných případech součet těchto položek:</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přechodné úpravy provedené v důsledku nástrojů zahrnovaných do kapitálu tier 2, pro něž platí zachování právních účinků (čl. 483 odst. 6 a 7 a články 484, 486, 488, 490 a 491 nařízení (EU) č.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nástroje vydané dceřinými podniky a uznané v kapitálu tier 2 (články 83, 87 a 88 nařízení (EU) č. 575/2013): součet všech částek kvalifikovaného kapitálu dceřiných podniků, který se zahrne do konsolidovaného kapitálu tier 2, včetně kvalifikovaného kapitálu tier 2 vydaného jednotkou pro speciální účel (článek 83 nařízení (EU) č.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přechodné úpravy v důsledku dodatečného uznání nástrojů, které byly vydány dceřinými podniky, v kapitálu tier 2 (článek 480 nařízení (EU) č. 575/2013): úpravy kvalifikovaného kapitálu zahrnutého v konsolidovaném kapitálu tier 2 provedené v důsledku přechodných ustanovení,</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ostatní přechodné úpravy kapitálu tier 2 (články 472, 473a, 476, 477, 478 a 481 nařízení (EU) č. 575/2013): úpravy odpočtů od kapitálu tier 2 v důsledku přechodných ustanovení,</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odpočet od položek kapitálu tier 2, který přesahuje výši kapitálu tier 2, který se odečítá od vedlejšího kapitálu tier 1 v souladu s čl. 56 písm. e) nařízení (EU) č. 575/2013: kapitál tier 2 nemůže být záporný, ale odpočty od položek kapitálu tier 2 mohou překročit výši položek dostupného kapitálu tier 2. Pokud k tomu dojde, tato položka představuje částku potřebnou ke zvýšení částky vykázané v řádku 25 na nulu,</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ostatní položky kapitálu tier 2 nebo odpočty od položky kapitálu tier 2, které nelze přiřadit do jednoho z řádků 26 až 28.</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Tento řádek neslouží k zahrnutí kapitálových položek či odpočtů od kapitálu, na něž se nevztahuje nařízení (EU) 2019/2033 nebo nařízení (EU) č. 575/2013, do výpočtu ukazatelů kapitálové přiměřenosti.</w:t>
            </w:r>
          </w:p>
        </w:tc>
      </w:tr>
    </w:tbl>
    <w:p>
      <w:pPr>
        <w:ind w:left="720"/>
        <w:rPr>
          <w:rFonts w:ascii="Times New Roman" w:hAnsi="Times New Roman" w:cs="Times New Roman"/>
          <w:b/>
          <w:bCs/>
          <w:sz w:val="24"/>
        </w:rPr>
      </w:pPr>
    </w:p>
    <w:p>
      <w:pPr>
        <w:ind w:left="720"/>
        <w:rPr>
          <w:rFonts w:ascii="Times New Roman" w:hAnsi="Times New Roman" w:cs="Times New Roman"/>
          <w:b/>
          <w:bCs/>
          <w:sz w:val="24"/>
        </w:rPr>
      </w:pPr>
      <w:r>
        <w:rPr>
          <w:rFonts w:ascii="Times New Roman" w:hAnsi="Times New Roman"/>
          <w:b/>
          <w:bCs/>
          <w:sz w:val="24"/>
        </w:rPr>
        <w:t>Šablona EU I CC1.03 – Složení regulatorního kapitálu (skupinový kapitálový test)</w:t>
      </w:r>
    </w:p>
    <w:p>
      <w:pPr>
        <w:tabs>
          <w:tab w:val="left" w:pos="360"/>
        </w:tabs>
        <w:spacing w:before="120" w:after="120"/>
        <w:ind w:left="360" w:hanging="360"/>
        <w:jc w:val="both"/>
        <w:rPr>
          <w:rFonts w:ascii="Times New Roman" w:hAnsi="Times New Roman" w:cs="Times New Roman"/>
          <w:bCs/>
          <w:sz w:val="24"/>
        </w:rPr>
      </w:pPr>
      <w:r>
        <w:rPr>
          <w:rFonts w:ascii="Times New Roman" w:hAnsi="Times New Roman" w:cs="Times New Roman"/>
          <w:bCs/>
          <w:sz w:val="24"/>
        </w:rPr>
        <w:t>6.</w:t>
      </w:r>
      <w:r>
        <w:rPr>
          <w:rFonts w:ascii="Times New Roman" w:hAnsi="Times New Roman" w:cs="Times New Roman"/>
          <w:bCs/>
          <w:sz w:val="24"/>
        </w:rPr>
        <w:tab/>
      </w:r>
      <w:r>
        <w:rPr>
          <w:rFonts w:ascii="Times New Roman" w:hAnsi="Times New Roman"/>
          <w:bCs/>
          <w:sz w:val="24"/>
        </w:rPr>
        <w:t>Subjekty uvedené v čl. 8 odst. 3 nařízení (EU) 2019/2033, které mají prospěch z použití uvedeného článku, zpřístupňují informace o složení kapitálu v souladu se šablonou EU I CC1.03 a při dodržení následujících pokynů.</w:t>
      </w: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jc w:val="both"/>
              <w:rPr>
                <w:rFonts w:ascii="Times New Roman" w:eastAsia="Times New Roman" w:hAnsi="Times New Roman" w:cs="Times New Roman"/>
                <w:bCs/>
                <w:szCs w:val="22"/>
              </w:rPr>
            </w:pPr>
            <w:r>
              <w:rPr>
                <w:rFonts w:ascii="Times New Roman" w:hAnsi="Times New Roman"/>
                <w:szCs w:val="22"/>
              </w:rPr>
              <w:t>Řádek</w:t>
            </w:r>
          </w:p>
        </w:tc>
        <w:tc>
          <w:tcPr>
            <w:tcW w:w="7620" w:type="dxa"/>
            <w:shd w:val="clear" w:color="auto" w:fill="D9D9D9"/>
          </w:tcPr>
          <w:p>
            <w:pPr>
              <w:spacing w:after="120"/>
              <w:jc w:val="both"/>
              <w:rPr>
                <w:rFonts w:ascii="Times New Roman" w:eastAsia="Times New Roman" w:hAnsi="Times New Roman" w:cs="Times New Roman"/>
                <w:bCs/>
                <w:szCs w:val="22"/>
              </w:rPr>
            </w:pPr>
            <w:r>
              <w:rPr>
                <w:rFonts w:ascii="Times New Roman" w:hAnsi="Times New Roman"/>
                <w:szCs w:val="22"/>
              </w:rPr>
              <w:t>Odkazy na právní předpisy a pokyny</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bCs/>
                <w:color w:val="000000"/>
                <w:szCs w:val="22"/>
              </w:rPr>
              <w:t>1</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KAPITÁL</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nařízení (EU) 2019/2033.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Kapitál investičního podniku je součtem jeho kapitálu tier 1 a tier 2.</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bCs/>
                <w:color w:val="000000"/>
                <w:szCs w:val="22"/>
              </w:rPr>
              <w:t>2</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KAPITÁL TIER 1</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Kapitál tier 1 je součtem kmenového kapitálu tier 1 a vedlejšího kapitálu tier 1.</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bCs/>
                <w:color w:val="000000"/>
                <w:szCs w:val="22"/>
              </w:rPr>
              <w:t>3</w:t>
            </w:r>
          </w:p>
        </w:tc>
        <w:tc>
          <w:tcPr>
            <w:tcW w:w="7620" w:type="dxa"/>
          </w:tcPr>
          <w:p>
            <w:pPr>
              <w:spacing w:after="120"/>
              <w:jc w:val="both"/>
              <w:rPr>
                <w:rFonts w:ascii="Times New Roman" w:eastAsia="Times New Roman" w:hAnsi="Times New Roman" w:cs="Times New Roman"/>
                <w:b/>
                <w:bCs/>
                <w:szCs w:val="22"/>
                <w:u w:val="single"/>
              </w:rPr>
            </w:pPr>
            <w:r>
              <w:rPr>
                <w:rStyle w:val="InstructionsTabelleberschrift"/>
                <w:rFonts w:ascii="Times New Roman" w:hAnsi="Times New Roman"/>
                <w:sz w:val="22"/>
                <w:szCs w:val="22"/>
              </w:rPr>
              <w:t>KMENOVÝ KAPITÁL TIER 1</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nařízení (EU) 2019/2033.</w:t>
            </w:r>
          </w:p>
          <w:p>
            <w:pPr>
              <w:spacing w:after="120"/>
              <w:jc w:val="both"/>
              <w:rPr>
                <w:rFonts w:ascii="Times New Roman" w:eastAsia="Times New Roman" w:hAnsi="Times New Roman" w:cs="Times New Roman"/>
                <w:bCs/>
                <w:szCs w:val="22"/>
              </w:rPr>
            </w:pPr>
            <w:r>
              <w:rPr>
                <w:rStyle w:val="FormatvorlageInstructionsTabelleText"/>
                <w:rFonts w:ascii="Times New Roman" w:hAnsi="Times New Roman"/>
                <w:i/>
                <w:sz w:val="22"/>
                <w:szCs w:val="22"/>
              </w:rPr>
              <w:t>Článek 50</w:t>
            </w:r>
            <w:r>
              <w:rPr>
                <w:rStyle w:val="FormatvorlageInstructionsTabelleText"/>
                <w:rFonts w:ascii="Times New Roman" w:hAnsi="Times New Roman"/>
                <w:sz w:val="22"/>
                <w:szCs w:val="22"/>
              </w:rPr>
              <w:t xml:space="preserve"> nařízení (EU) č. 575/2013.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Splacené kapitálové nástroje</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Ustanovení čl. 26 odst. 1 písm. a) a článků 27 až 31 nařízení (EU) č.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Zahrnují se kapitálové nástroje vzájemných institucí, družstev nebo podobných institucí (články 27 a 29 nařízení (EU) č.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Emisní ážio související s těmito nástroji není zahrnuto.</w:t>
            </w:r>
          </w:p>
          <w:p>
            <w:pPr>
              <w:pStyle w:val="InstructionsText"/>
            </w:pPr>
            <w:r>
              <w:rPr>
                <w:rStyle w:val="FormatvorlageInstructionsTabelleText"/>
                <w:rFonts w:ascii="Times New Roman" w:hAnsi="Times New Roman"/>
                <w:sz w:val="22"/>
              </w:rPr>
              <w:t>Zahrnují se kapitálové nástroje upsané veřejnými orgány v mimořádných situacích, jsou-li splněny všechny podmínky článku 31 nařízení (EU) č. 575/2013.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5</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Emisní ážio</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Ustanovení čl. 26 odst. 1 písm. b) nařízení (EU) č.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Emisní ážio má stejný význam jako v použitelném účetním standardu.</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Částka, která má být zpřístupněna v této položce, je částí vztahující se k položce „Splacené kapitálové nástroje“.</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6</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Nerozdělený zisk</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spacing w:after="120"/>
              <w:jc w:val="both"/>
              <w:rPr>
                <w:rFonts w:ascii="Times New Roman" w:eastAsia="Times New Roman" w:hAnsi="Times New Roman" w:cs="Times New Roman"/>
                <w:bCs/>
                <w:szCs w:val="22"/>
              </w:rPr>
            </w:pPr>
            <w:r>
              <w:rPr>
                <w:rStyle w:val="FormatvorlageInstructionsTabelleText"/>
                <w:rFonts w:ascii="Times New Roman" w:hAnsi="Times New Roman"/>
                <w:sz w:val="22"/>
                <w:szCs w:val="22"/>
              </w:rPr>
              <w:t>Ustanovení čl. 26 odst. 1 písm. c) nařízení (EU) č.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Nerozdělený zisk zahrnuje nerozdělený zisk z předchozího roku, k němuž se přičte způsobilý mezitímní zisk nebo zisk ke konci roku.</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7</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Nerozdělený zisk z předchozích let</w:t>
            </w:r>
          </w:p>
          <w:p>
            <w:pPr>
              <w:spacing w:after="120"/>
              <w:jc w:val="both"/>
              <w:rPr>
                <w:rFonts w:ascii="Times New Roman" w:hAnsi="Times New Roman" w:cs="Times New Roman"/>
                <w:szCs w:val="22"/>
              </w:rPr>
            </w:pPr>
            <w:r>
              <w:rPr>
                <w:rFonts w:ascii="Times New Roman" w:hAnsi="Times New Roman"/>
                <w:szCs w:val="22"/>
              </w:rPr>
              <w:t>Ustanovení čl. 4 odst. 1 bodu 123 a čl. 26 odst. 1 písm. c) nařízení (EU) č. 575/2013.</w:t>
            </w:r>
          </w:p>
          <w:p>
            <w:pPr>
              <w:spacing w:after="120"/>
              <w:jc w:val="both"/>
              <w:rPr>
                <w:rFonts w:ascii="Times New Roman" w:eastAsia="Times New Roman" w:hAnsi="Times New Roman" w:cs="Times New Roman"/>
                <w:b/>
                <w:bCs/>
                <w:szCs w:val="22"/>
                <w:u w:val="single"/>
              </w:rPr>
            </w:pPr>
            <w:r>
              <w:rPr>
                <w:rFonts w:ascii="Times New Roman" w:hAnsi="Times New Roman"/>
                <w:szCs w:val="22"/>
              </w:rPr>
              <w:t>V</w:t>
            </w:r>
            <w:r>
              <w:rPr>
                <w:rFonts w:ascii="Times New Roman" w:hAnsi="Times New Roman" w:cs="Times New Roman"/>
                <w:szCs w:val="22"/>
              </w:rPr>
              <w:t> </w:t>
            </w:r>
            <w:r>
              <w:rPr>
                <w:rFonts w:ascii="Times New Roman" w:hAnsi="Times New Roman"/>
                <w:szCs w:val="22"/>
              </w:rPr>
              <w:t>čl. 4 odst. 1 bodu 123 nařízení (EU) č. 575/2013 je nerozdělený zisk definován jako „zisky a ztráty z předchozích období po započtení hospodářského výsledku podle použitelného účetního rámce“.</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8</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Způsobilý zisk nebo ztráta</w:t>
            </w:r>
          </w:p>
          <w:p>
            <w:pPr>
              <w:spacing w:after="120"/>
              <w:jc w:val="both"/>
              <w:rPr>
                <w:rFonts w:ascii="Times New Roman" w:eastAsia="Times New Roman" w:hAnsi="Times New Roman" w:cs="Times New Roman"/>
                <w:szCs w:val="22"/>
              </w:rPr>
            </w:pPr>
            <w:r>
              <w:rPr>
                <w:rFonts w:ascii="Times New Roman" w:hAnsi="Times New Roman"/>
                <w:szCs w:val="22"/>
              </w:rPr>
              <w:t>Ustanovení čl. 4 odst. 1 bodu 121, čl. 26 odst. 2 a čl. 36 odst. 1 písm. a) nařízení (EU) č. 575/2013.</w:t>
            </w:r>
          </w:p>
          <w:p>
            <w:pPr>
              <w:spacing w:after="120"/>
              <w:jc w:val="both"/>
              <w:rPr>
                <w:rFonts w:ascii="Times New Roman" w:eastAsia="Times New Roman" w:hAnsi="Times New Roman" w:cs="Times New Roman"/>
                <w:szCs w:val="22"/>
              </w:rPr>
            </w:pPr>
            <w:r>
              <w:rPr>
                <w:rFonts w:ascii="Times New Roman" w:hAnsi="Times New Roman"/>
                <w:szCs w:val="22"/>
              </w:rPr>
              <w:t>Podle čl. 26 odst. 2 nařízení (EU) č. 575/2013 je možno zahrnout do nerozděleného zisku mezitímní zisk nebo zisk ke konci roku, a to s předchozím svolením příslušného orgánu, pokud jsou splněny určité podmínky.</w:t>
            </w:r>
          </w:p>
          <w:p>
            <w:pPr>
              <w:spacing w:after="120"/>
              <w:jc w:val="both"/>
              <w:rPr>
                <w:rFonts w:ascii="Times New Roman" w:eastAsia="Times New Roman" w:hAnsi="Times New Roman" w:cs="Times New Roman"/>
                <w:b/>
                <w:bCs/>
                <w:szCs w:val="22"/>
                <w:u w:val="single"/>
              </w:rPr>
            </w:pPr>
            <w:r>
              <w:rPr>
                <w:rFonts w:ascii="Times New Roman" w:hAnsi="Times New Roman"/>
                <w:szCs w:val="22"/>
              </w:rPr>
              <w:t>Naopak ztráty se odečtou od kmenového kapitálu tier 1, jak je uvedeno v čl. 36 odst. 1 písm. a) nařízení (EU) č. 575/2013.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9</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Kumulovaný ostatní úplný výsledek hospodaření</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spacing w:after="120"/>
              <w:jc w:val="both"/>
              <w:rPr>
                <w:rFonts w:ascii="Times New Roman" w:hAnsi="Times New Roman" w:cs="Times New Roman"/>
                <w:bCs/>
                <w:szCs w:val="22"/>
              </w:rPr>
            </w:pPr>
            <w:r>
              <w:rPr>
                <w:rStyle w:val="FormatvorlageInstructionsTabelleText"/>
                <w:rFonts w:ascii="Times New Roman" w:hAnsi="Times New Roman"/>
                <w:sz w:val="22"/>
                <w:szCs w:val="22"/>
              </w:rPr>
              <w:t>Ustanovení čl. 26 odst. 1 písm. d) nařízení (EU) č. 575/2013.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10</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Ostatní fondy</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Ustanovení čl. 4 odst. 1 bodu 117 a čl. 26 odst. 1 písm. e) nařízení (EU) č.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Částka, která má být zpřístupněna, musí být očištěna o veškeré daňové platby předvídatelné v době výpočtu.</w:t>
            </w:r>
          </w:p>
        </w:tc>
      </w:tr>
      <w:tr>
        <w:tc>
          <w:tcPr>
            <w:tcW w:w="1129" w:type="dxa"/>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11</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Úpravy kmenového kapitálu tier 1 v důsledku obezřetnostních filtrů</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Články 32 až 35 nařízení (EU) č. 575/2013.</w:t>
            </w:r>
          </w:p>
        </w:tc>
      </w:tr>
      <w:tr>
        <w:tc>
          <w:tcPr>
            <w:tcW w:w="1129" w:type="dxa"/>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12</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Ostatní fondy</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Ustanovení čl. 9 odst. 4 nařízení (EU) 2019/2033.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13</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ODPOČTY OD KMENOVÉHO KAPITÁLU TIER 1 CELKEM</w:t>
            </w:r>
          </w:p>
          <w:p>
            <w:pPr>
              <w:spacing w:after="120"/>
              <w:jc w:val="both"/>
              <w:rPr>
                <w:rFonts w:ascii="Times New Roman" w:eastAsia="Times New Roman" w:hAnsi="Times New Roman" w:cs="Times New Roman"/>
                <w:bCs/>
                <w:szCs w:val="22"/>
              </w:rPr>
            </w:pPr>
            <w:r>
              <w:rPr>
                <w:rFonts w:ascii="Times New Roman" w:hAnsi="Times New Roman"/>
                <w:bCs/>
                <w:szCs w:val="22"/>
              </w:rPr>
              <w:t>Zpřístupní se celkový součet řádků 14 až 23.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14</w:t>
            </w:r>
          </w:p>
        </w:tc>
        <w:tc>
          <w:tcPr>
            <w:tcW w:w="7620"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Vlastní nástroje zahrnované do kmenového kapitálu tier 1</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Ustanovení čl. 36 odst. 1 písm. f) a článku 42 nařízení (EU) č.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Vlastní nástroje zahrnované do kmenového kapitálu tier 1 držené vykazující institucí nebo skupinou ke dni vykazování. S výhradou výjimek uvedených v článku 42 nařízení (EU) č.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V tomto řádku se nevykazují držby akcií zahrnuté v položce „Nezpůsobilé kapitálové nástroje“.</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Částka, která má být zpřístupněna, zahrnuje emisní ážio související s vlastními akciemi.</w:t>
            </w:r>
          </w:p>
          <w:p>
            <w:pPr>
              <w:pStyle w:val="InstructionsText"/>
            </w:pP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15</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Ztráty běžného účetního roku</w:t>
            </w:r>
          </w:p>
          <w:p>
            <w:pPr>
              <w:spacing w:after="120"/>
              <w:jc w:val="both"/>
              <w:rPr>
                <w:rFonts w:ascii="Times New Roman" w:eastAsia="Times New Roman" w:hAnsi="Times New Roman" w:cs="Times New Roman"/>
                <w:b/>
                <w:bCs/>
                <w:szCs w:val="22"/>
                <w:u w:val="single"/>
              </w:rPr>
            </w:pPr>
            <w:r>
              <w:rPr>
                <w:rFonts w:ascii="Times New Roman" w:hAnsi="Times New Roman"/>
                <w:szCs w:val="22"/>
              </w:rPr>
              <w:t>Ustanovení čl. 36 odst. 1 písm. a) nařízení (EU) č. 575/2013.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16</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Goodwill</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Ustanovení čl. 4 odst. 1 bodu 113, čl. 36 odst. 1 písm. b) a článku 37 nařízení (EU) č. 575/2013.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17</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Jiná nehmotná aktiva</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pStyle w:val="InstructionsText"/>
              <w:rPr>
                <w:rStyle w:val="FormatvorlageInstructionsTabelleText"/>
                <w:rFonts w:ascii="Times New Roman" w:eastAsiaTheme="minorHAnsi" w:hAnsi="Times New Roman"/>
                <w:bCs/>
                <w:sz w:val="22"/>
              </w:rPr>
            </w:pPr>
            <w:r>
              <w:rPr>
                <w:rStyle w:val="FormatvorlageInstructionsTabelleText"/>
                <w:rFonts w:ascii="Times New Roman" w:hAnsi="Times New Roman"/>
                <w:sz w:val="22"/>
              </w:rPr>
              <w:t>Ustanovení čl. 4 odst. 1 bodu 115, čl. 36 odst. 1 písm. b) a čl. 37 písm. a) nařízení (EU) č.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Za jiná nehmotná aktiva se považují nehmotná aktiva podle použitelného účetního standardu bez goodwillu rovněž dle použitelného účetního standardu.</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18</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Odložené daňové pohledávky, které jsou závislé na budoucím zisku a nevyplývají z přechodných rozdílů, po zohlednění souvisejících daňových závazků</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2 písm. a) nařízení (EU)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Ustanovení čl. 36 odst. 1 písm. c) nařízení (EU) č. 575/2013.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19</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Kvalifikovaná účast mimo finanční sektor přesahující 15 % kapitálu</w:t>
            </w:r>
          </w:p>
          <w:p>
            <w:pPr>
              <w:spacing w:after="120"/>
              <w:jc w:val="both"/>
              <w:rPr>
                <w:rFonts w:ascii="Times New Roman" w:eastAsia="Times New Roman" w:hAnsi="Times New Roman" w:cs="Times New Roman"/>
                <w:bCs/>
                <w:szCs w:val="22"/>
              </w:rPr>
            </w:pPr>
            <w:r>
              <w:rPr>
                <w:rFonts w:ascii="Times New Roman" w:hAnsi="Times New Roman"/>
                <w:bCs/>
                <w:szCs w:val="22"/>
              </w:rPr>
              <w:t>Ustanovení čl. 10 odst. 1 písm. a) nařízení (EU) 2019/2033.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Celkové kvalifikované účastí v podnicích, které nejsou subjekty finančního sektoru, přesahující 60 % kapitálu</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Ustanovení čl. 10 odst. 1 písm. b) nařízení (EU) 2019/2033.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21</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Nástroje zahrnované do kmenového kapitálu tier 1 subjektů finančního sektoru, v nichž instituce nemá významnou investici</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2 písm. c) nařízení (EU)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Ustanovení čl. 36 odst. 1 písm. h) nařízení (EU) č. 575/2013.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22</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Aktiva penzijního fondu definovaných požitků</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2 písm. b) nařízení (EU)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Ustanovení čl. 36 odst. 1 písm. e) nařízení (EU) č. 575/2013.</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23</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Ostatní odpočty</w:t>
            </w:r>
          </w:p>
          <w:p>
            <w:pPr>
              <w:spacing w:after="120"/>
              <w:jc w:val="both"/>
              <w:rPr>
                <w:rFonts w:ascii="Times New Roman" w:eastAsia="Times New Roman" w:hAnsi="Times New Roman" w:cs="Times New Roman"/>
                <w:b/>
                <w:bCs/>
                <w:szCs w:val="22"/>
                <w:u w:val="single"/>
              </w:rPr>
            </w:pPr>
            <w:r>
              <w:rPr>
                <w:rFonts w:ascii="Times New Roman" w:hAnsi="Times New Roman"/>
                <w:szCs w:val="22"/>
              </w:rPr>
              <w:t>Součet všech ostatních odpočtů vyjmenovaných v čl. 36 odst. 1 nařízení (EU) č. 575/2013.</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24</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KMENOVÝ KAPITÁL TIER 1: Ostatní kapitálové položky, odpočty od kapitálu a úpravy kapitálu</w:t>
            </w:r>
          </w:p>
          <w:p>
            <w:pPr>
              <w:spacing w:after="120"/>
              <w:jc w:val="both"/>
              <w:rPr>
                <w:rFonts w:ascii="Times New Roman" w:eastAsia="Times New Roman" w:hAnsi="Times New Roman" w:cs="Times New Roman"/>
                <w:bCs/>
                <w:szCs w:val="22"/>
              </w:rPr>
            </w:pPr>
            <w:r>
              <w:rPr>
                <w:rFonts w:ascii="Times New Roman" w:hAnsi="Times New Roman"/>
                <w:bCs/>
                <w:szCs w:val="22"/>
              </w:rPr>
              <w:t>Tento řádek zahrnuje v příslušných případech součet těchto položek:</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přechodné úpravy provedené v důsledku nástrojů zahrnovaných do kmenového kapitálu tier 1, pro něž platí zachování právních účinků (čl. 483 odst. 1, 2 a 3 a články 484 až 487 nařízení (EU) č.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ostatní přechodné úpravy kmenového kapitálu tier 1 (články 469 až 478 a článek 481 nařízení (EU) č. 575/2013): úpravy odpočtů od kmenového kapitálu tier 1 v důsledku přechodných ustanovení,</w:t>
            </w:r>
          </w:p>
          <w:p>
            <w:pPr>
              <w:spacing w:after="120"/>
              <w:ind w:left="360" w:hanging="360"/>
              <w:contextualSpacing/>
              <w:jc w:val="both"/>
              <w:rPr>
                <w:rFonts w:ascii="Times New Roman" w:eastAsia="Times New Roman" w:hAnsi="Times New Roman"/>
                <w:b/>
                <w:bCs/>
                <w:u w:val="single"/>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ostatní položky kmenového kapitálu tier 1 nebo odpočty od položky kmenového kapitálu tier 1, které nelze přiřadit do jednoho z řádků 4 až 23.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Tento řádek neslouží k zahrnutí kapitálových položek či odpočtů od kapitálu, na něž se nevztahuje nařízení (EU) 2019/2033 nebo nařízení (EU) č. 575/2013, do výpočtu ukazatelů kapitálové přiměřenosti.</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25</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VEDLEJŠÍ KAPITÁL TIER 1</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nařízení (EU) 2019/2033.</w:t>
            </w:r>
          </w:p>
          <w:p>
            <w:pPr>
              <w:spacing w:after="120"/>
              <w:jc w:val="both"/>
              <w:rPr>
                <w:rFonts w:ascii="Times New Roman" w:hAnsi="Times New Roman" w:cs="Times New Roman"/>
                <w:szCs w:val="22"/>
              </w:rPr>
            </w:pPr>
            <w:r>
              <w:rPr>
                <w:rFonts w:ascii="Times New Roman" w:hAnsi="Times New Roman"/>
                <w:i/>
                <w:szCs w:val="22"/>
              </w:rPr>
              <w:t>Článek 61</w:t>
            </w:r>
            <w:r>
              <w:rPr>
                <w:rFonts w:ascii="Times New Roman" w:hAnsi="Times New Roman"/>
                <w:szCs w:val="22"/>
              </w:rPr>
              <w:t xml:space="preserve"> nařízení (EU) č. 575/2013.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Zpřístupní se celkový součet řádků 26 až 28 a řádku 32.</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26</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Splacené kapitálové nástroje</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Ustanovení čl. 51 písm. a) a článků 52, 53 a 54 nařízení (EU) č.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Částka, která má být zpřístupněna, nezahrnuje emisní ážio související s těmito nástroji.</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27</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Emisní ážio</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Ustanovení čl. 51 písm. b) nařízení (EU) č.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Emisní ážio má stejný význam jako v použitelném účetním standardu.</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Částka, která má být zpřístupněna v této položce, je částí vztahující se k položce „Splacené kapitálové nástroje“.</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28</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ODPOČTY OD VEDLEJŠÍHO KAPITÁLU TIER 1 CELKEM</w:t>
            </w:r>
          </w:p>
          <w:p>
            <w:pPr>
              <w:spacing w:before="60" w:after="60"/>
              <w:rPr>
                <w:rFonts w:ascii="Times New Roman" w:hAnsi="Times New Roman" w:cs="Times New Roman"/>
                <w:szCs w:val="22"/>
              </w:rPr>
            </w:pPr>
            <w:r>
              <w:rPr>
                <w:rFonts w:ascii="Times New Roman" w:hAnsi="Times New Roman"/>
                <w:i/>
                <w:szCs w:val="22"/>
              </w:rPr>
              <w:t>Článek 56</w:t>
            </w:r>
            <w:r>
              <w:rPr>
                <w:rFonts w:ascii="Times New Roman" w:hAnsi="Times New Roman"/>
                <w:szCs w:val="22"/>
              </w:rPr>
              <w:t xml:space="preserve"> nařízení (EU) č. 575/2013.</w:t>
            </w:r>
          </w:p>
          <w:p>
            <w:pPr>
              <w:spacing w:after="120"/>
              <w:jc w:val="both"/>
              <w:rPr>
                <w:rFonts w:ascii="Times New Roman" w:eastAsia="Times New Roman" w:hAnsi="Times New Roman" w:cs="Times New Roman"/>
                <w:bCs/>
                <w:szCs w:val="22"/>
              </w:rPr>
            </w:pPr>
            <w:r>
              <w:rPr>
                <w:rFonts w:ascii="Times New Roman" w:hAnsi="Times New Roman"/>
                <w:bCs/>
                <w:szCs w:val="22"/>
              </w:rPr>
              <w:t>Zpřístupní se celkový součet řádků 29 až 31.</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29</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Vlastní nástroje zahrnované do vedlejšího kapitálu tier 1</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pStyle w:val="InstructionsText"/>
              <w:rPr>
                <w:rStyle w:val="FormatvorlageInstructionsTabelleText"/>
                <w:rFonts w:ascii="Times New Roman" w:eastAsiaTheme="minorHAnsi" w:hAnsi="Times New Roman"/>
                <w:bCs/>
                <w:sz w:val="22"/>
              </w:rPr>
            </w:pPr>
            <w:r>
              <w:rPr>
                <w:rStyle w:val="FormatvorlageInstructionsTabelleText"/>
                <w:rFonts w:ascii="Times New Roman" w:hAnsi="Times New Roman"/>
                <w:sz w:val="22"/>
              </w:rPr>
              <w:t>Ustanovení čl. 52 odst. 1 písm. b), čl. 56 písm. a) a článku 57 nařízení (EU) č.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Vlastní nástroje zahrnované do vedlejšího kapitálu tier 1 držené investičním podnikem ke dni vykazování. S výhradou výjimek uvedených v článku 57 nařízení (EU) č.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Částka, která má být zpřístupněna, zahrnuje emisní ážio související s vlastními akciemi.</w:t>
            </w:r>
          </w:p>
          <w:p>
            <w:pPr>
              <w:pStyle w:val="InstructionsText"/>
            </w:pP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Nástroje zahrnované do vedlejšího kapitálu tier 1 subjektů finančního sektoru, v nichž instituce nemá významnou investici</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2 písm. c) nařízení (EU)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Ustanovení čl. 56 písm. c) nařízení (EU) č. 575/2013.</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31</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Ostatní odpočty</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Součet všech ostatních odpočtů v souladu s článkem 56 nařízení (EU) č. 575/2013, s výjimkou odpočtů v souladu s čl. 56 písm. d) nařízení (EU) č. 575/2013, které nejsou zahrnuty v žádném z výše uvedených řádků 0340 nebo 0380.</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32</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Vedlejší kapitál tier 1: Ostatní kapitálové položky, odpočty od kapitálu a úpravy kapitálu</w:t>
            </w:r>
          </w:p>
          <w:p>
            <w:pPr>
              <w:spacing w:after="120"/>
              <w:jc w:val="both"/>
              <w:rPr>
                <w:rFonts w:ascii="Times New Roman" w:eastAsia="Times New Roman" w:hAnsi="Times New Roman" w:cs="Times New Roman"/>
                <w:bCs/>
                <w:szCs w:val="22"/>
              </w:rPr>
            </w:pPr>
            <w:r>
              <w:rPr>
                <w:rFonts w:ascii="Times New Roman" w:hAnsi="Times New Roman"/>
                <w:bCs/>
                <w:szCs w:val="22"/>
              </w:rPr>
              <w:t>Tento řádek zahrnuje v příslušných případech součet těchto položek:</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přechodné úpravy provedené v důsledku nástrojů zahrnovaných do vedlejšího kapitálu tier 1, pro něž platí zachování právních účinků (čl. 483 odst. 4 a 5 a články 484 až 487, články 489 a 491 nařízení (EU) č.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ostatní přechodné úpravy vedlejšího kapitálu tier 1 (články 472, 473a, 474, 475, 478 a 481 nařízení (EU) č. 575/2013): úpravy odpočtů v důsledku přechodných ustanovení,</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odpočet od položek vedlejšího kapitálu tier 1, který přesahuje výši vedlejšího kapitálu tier 1, který se odečítá od kmenového kapitálu tier 1 v souladu s čl. 36 odst. 1 písm. j) nařízení (EU) č. 575/2013: vedlejší kapitál tier 1 nemůže být záporný, ale odpočty od položek vedlejšího kapitálu tier 1 mohou překročit výši položek dostupného vedlejšího kapitálu tier 1. Pokud k tomu dojde, tato položka představuje částku potřebnou ke zvýšení částky vykázané v řádku 0300 na nulu a rovná se převrácené hodnotě odpočtů od položek vedlejšího kapitálu tier 1, které přesahují výši vedlejšího kapitálu tier 1, zahrnutých jako ostatní odpočty v řádku 23,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ostatní položky vedlejšího kapitálu tier 1 nebo odpočty od položky vedlejšího kapitálu tier 1, které nelze přiřadit do jednoho z řádků 26 až 31.</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Tento řádek neslouží k zahrnutí kapitálových položek či odpočtů od kapitálu, na něž se nevztahuje nařízení (EU) 2019/2033 nebo nařízení (EU) č. 575/2013, do výpočtu ukazatelů kapitálové přiměřenosti.</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33</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KAPITÁL TIER 2</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nařízení (EU) 2019/2033.</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i/>
                <w:sz w:val="22"/>
                <w:szCs w:val="22"/>
              </w:rPr>
              <w:t>Článek 71</w:t>
            </w:r>
            <w:r>
              <w:rPr>
                <w:rStyle w:val="FormatvorlageInstructionsTabelleText"/>
                <w:rFonts w:ascii="Times New Roman" w:hAnsi="Times New Roman"/>
                <w:sz w:val="22"/>
                <w:szCs w:val="22"/>
              </w:rPr>
              <w:t xml:space="preserve"> nařízení (EU) č. 575/2013.</w:t>
            </w:r>
          </w:p>
          <w:p>
            <w:pPr>
              <w:pStyle w:val="CommentText"/>
              <w:rPr>
                <w:sz w:val="22"/>
                <w:szCs w:val="22"/>
              </w:rPr>
            </w:pPr>
            <w:r>
              <w:rPr>
                <w:rStyle w:val="FormatvorlageInstructionsTabelleText"/>
                <w:rFonts w:ascii="Times New Roman" w:hAnsi="Times New Roman"/>
                <w:sz w:val="22"/>
                <w:szCs w:val="22"/>
              </w:rPr>
              <w:t>Zpřístupní se</w:t>
            </w:r>
            <w:r>
              <w:rPr>
                <w:rFonts w:ascii="Times New Roman" w:hAnsi="Times New Roman"/>
                <w:sz w:val="22"/>
                <w:szCs w:val="22"/>
              </w:rPr>
              <w:t xml:space="preserve"> celkový součet řádků </w:t>
            </w:r>
            <w:r>
              <w:rPr>
                <w:rFonts w:ascii="Times New Roman" w:hAnsi="Times New Roman"/>
                <w:bCs/>
                <w:sz w:val="22"/>
                <w:szCs w:val="22"/>
              </w:rPr>
              <w:t>34 až 36 a řádku 39.</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34</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Plně uhrazené přímo vydané kapitálové nástroje</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pStyle w:val="InstructionsText"/>
              <w:rPr>
                <w:rStyle w:val="FormatvorlageInstructionsTabelleText"/>
                <w:rFonts w:ascii="Times New Roman" w:eastAsiaTheme="minorHAnsi" w:hAnsi="Times New Roman"/>
                <w:bCs/>
                <w:sz w:val="22"/>
              </w:rPr>
            </w:pPr>
            <w:r>
              <w:rPr>
                <w:rStyle w:val="FormatvorlageInstructionsTabelleText"/>
                <w:rFonts w:ascii="Times New Roman" w:hAnsi="Times New Roman"/>
                <w:sz w:val="22"/>
              </w:rPr>
              <w:t>Ustanovení čl. 62 písm. a) a článků 63 a 65 nařízení (EU) č. 575/2013.</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Částka, která má být zpřístupněna, nezahrnuje emisní ážio související s těmito nástroji.</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Emisní ážio</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Ustanovení čl. 62 písm. b) a článku 65 nařízení (EU) č.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Emisní ážio má stejný význam jako v použitelném účetním standardu.</w:t>
            </w:r>
          </w:p>
          <w:p>
            <w:pPr>
              <w:pStyle w:val="InstructionsText"/>
            </w:pPr>
            <w:r>
              <w:rPr>
                <w:rStyle w:val="FormatvorlageInstructionsTabelleText"/>
                <w:rFonts w:ascii="Times New Roman" w:hAnsi="Times New Roman"/>
                <w:sz w:val="22"/>
              </w:rPr>
              <w:t>Částka, která má být zpřístupněna v této položce, je částí vztahující se k položce „Splacené kapitálové nástroje“.</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36</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ODPOČTY OD KAPITÁLU TIER 2 CELKEM</w:t>
            </w:r>
          </w:p>
          <w:p>
            <w:pPr>
              <w:spacing w:after="120"/>
              <w:jc w:val="both"/>
              <w:rPr>
                <w:rFonts w:ascii="Times New Roman" w:eastAsia="Times New Roman" w:hAnsi="Times New Roman" w:cs="Times New Roman"/>
                <w:bCs/>
                <w:szCs w:val="22"/>
              </w:rPr>
            </w:pPr>
            <w:r>
              <w:rPr>
                <w:rFonts w:ascii="Times New Roman" w:hAnsi="Times New Roman"/>
                <w:i/>
                <w:szCs w:val="22"/>
              </w:rPr>
              <w:t>Článek 66</w:t>
            </w:r>
            <w:r>
              <w:rPr>
                <w:rFonts w:ascii="Times New Roman" w:hAnsi="Times New Roman"/>
                <w:szCs w:val="22"/>
              </w:rPr>
              <w:t xml:space="preserve"> nařízení (EU) č. 575/2013.</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37</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Vlastní nástroje zahrnované do kapitálu tier 2</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1 bodu i) nařízení (EU) 2019/2033.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Ustanovení čl. 63 písm. b) bodu i), čl. 66 písm. a) a článku 67 nařízení (EU) č.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Vlastní nástroje zahrnované do kapitálu tier 2 držené vykazující institucí nebo skupinou ke dni vykazování. S výhradou výjimek uvedených v článku 67 nařízení (EU) č. 575/2013.</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V tomto řádku se nezpřístupňují držby akcií zahrnuté v položce „Nezpůsobilé kapitálové nástroje“.</w:t>
            </w:r>
          </w:p>
          <w:p>
            <w:pPr>
              <w:pStyle w:val="InstructionsText"/>
            </w:pPr>
            <w:r>
              <w:rPr>
                <w:rStyle w:val="FormatvorlageInstructionsTabelleText"/>
                <w:rFonts w:ascii="Times New Roman" w:hAnsi="Times New Roman"/>
                <w:sz w:val="22"/>
              </w:rPr>
              <w:t>Částka, která má být zpřístupněna, zahrnuje emisní ážio související s vlastními akciemi.</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38</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Nástroje zahrnované do kapitálu tier 2 subjektů finančního sektoru, v nichž instituce nemá významnou investici</w:t>
            </w:r>
          </w:p>
          <w:p>
            <w:pPr>
              <w:spacing w:after="120"/>
              <w:jc w:val="both"/>
              <w:rPr>
                <w:rFonts w:ascii="Times New Roman" w:eastAsia="Times New Roman" w:hAnsi="Times New Roman" w:cs="Times New Roman"/>
                <w:bCs/>
                <w:szCs w:val="22"/>
              </w:rPr>
            </w:pPr>
            <w:r>
              <w:rPr>
                <w:rFonts w:ascii="Times New Roman" w:hAnsi="Times New Roman"/>
                <w:bCs/>
                <w:szCs w:val="22"/>
              </w:rPr>
              <w:t>Ustanovení čl. 9 odst. 2 písm. c) nařízení (EU) 2019/2033.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Ustanovení čl. 66 písm. c) nařízení (EU) č. 575/2013.</w:t>
            </w:r>
          </w:p>
        </w:tc>
      </w:tr>
      <w:tr>
        <w:tc>
          <w:tcPr>
            <w:tcW w:w="1129" w:type="dxa"/>
            <w:tcBorders>
              <w:bottom w:val="single" w:sz="4" w:space="0" w:color="auto"/>
            </w:tcBorders>
          </w:tcPr>
          <w:p>
            <w:pPr>
              <w:spacing w:after="120"/>
              <w:jc w:val="both"/>
              <w:rPr>
                <w:rFonts w:ascii="Times New Roman" w:eastAsia="Times New Roman" w:hAnsi="Times New Roman" w:cs="Times New Roman"/>
                <w:bCs/>
                <w:szCs w:val="22"/>
              </w:rPr>
            </w:pPr>
            <w:r>
              <w:rPr>
                <w:rFonts w:ascii="Times New Roman" w:hAnsi="Times New Roman"/>
                <w:bCs/>
                <w:szCs w:val="22"/>
              </w:rPr>
              <w:t>39</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Kapitál tier 2: Ostatní kapitálové položky, odpočty od kapitálu a úpravy kapitálu</w:t>
            </w:r>
          </w:p>
          <w:p>
            <w:pPr>
              <w:spacing w:after="120"/>
              <w:jc w:val="both"/>
              <w:rPr>
                <w:rFonts w:ascii="Times New Roman" w:eastAsia="Times New Roman" w:hAnsi="Times New Roman" w:cs="Times New Roman"/>
                <w:bCs/>
                <w:szCs w:val="22"/>
              </w:rPr>
            </w:pPr>
            <w:r>
              <w:rPr>
                <w:rFonts w:ascii="Times New Roman" w:hAnsi="Times New Roman"/>
                <w:bCs/>
                <w:szCs w:val="22"/>
              </w:rPr>
              <w:t>Tento řádek zahrnuje v příslušných případech součet těchto položek:</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přechodné úpravy provedené v důsledku nástrojů zahrnovaných do kapitálu tier 2, pro něž platí zachování právních účinků (čl. 483 odst. 6 a 7 a články 484, 486, 488, 490 a 491 nařízení (EU) č. 575/2013),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ostatní přechodné úpravy kapitálu tier 2 (články 472, 473a, 476, 477, 478 a 481 nařízení (EU) č. 575/2013): úpravy odpočtů od kapitálu tier 2 v důsledku přechodných ustanovení,</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odpočet od položek kapitálu tier 2, který přesahuje výši kapitálu tier 2, který se odečítá od vedlejšího kapitálu tier 1 v souladu s čl. 56 písm. e) nařízení (EU) č. 575/2013: kapitál tier 2 nemůže být záporný, ale odpočty od položek kapitálu tier 2 mohou překročit výši položek dostupného kapitálu tier 2. Pokud k tomu dojde, tato položka představuje částku potřebnou ke zvýšení částky vykázané v řádku 33 na nulu,</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ostatní položky kapitálu tier 2 nebo odpočty od položky kapitálu tier 2, které nelze přiřadit do jednoho z řádků 34 až 38.</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Tento řádek neslouží k zahrnutí kapitálových položek či odpočtů od kapitálu, na něž se nevztahuje nařízení (EU) 2019/2033 nebo nařízení (EU) č. 575/2013, do výpočtu ukazatelů kapitálové přiměřenosti.</w:t>
            </w:r>
          </w:p>
        </w:tc>
      </w:tr>
    </w:tbl>
    <w:p>
      <w:pPr>
        <w:rPr>
          <w:rFonts w:ascii="Times New Roman" w:hAnsi="Times New Roman" w:cs="Times New Roman"/>
          <w:b/>
          <w:bCs/>
          <w:sz w:val="24"/>
        </w:rPr>
      </w:pPr>
    </w:p>
    <w:p>
      <w:pPr>
        <w:rPr>
          <w:rFonts w:ascii="Times New Roman" w:hAnsi="Times New Roman" w:cs="Times New Roman"/>
          <w:b/>
          <w:bCs/>
          <w:sz w:val="24"/>
        </w:rPr>
      </w:pPr>
      <w:r>
        <w:rPr>
          <w:rFonts w:ascii="Times New Roman" w:hAnsi="Times New Roman"/>
          <w:b/>
          <w:bCs/>
          <w:sz w:val="24"/>
        </w:rPr>
        <w:t>Šablona EU I CC2 – Sesouhlasení regulatorního kapitálu s rozvahou v auditované účetní závěrce</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7.</w:t>
      </w:r>
      <w:r>
        <w:rPr>
          <w:rFonts w:ascii="Times New Roman" w:hAnsi="Times New Roman" w:cs="Times New Roman"/>
          <w:bCs/>
          <w:sz w:val="24"/>
        </w:rPr>
        <w:tab/>
      </w:r>
      <w:r>
        <w:rPr>
          <w:rFonts w:ascii="Times New Roman" w:hAnsi="Times New Roman"/>
          <w:bCs/>
          <w:sz w:val="24"/>
        </w:rPr>
        <w:t>Investiční podniky použijí pokyny obsažené v této příloze k vyplnění šablony EU I CC2 obsažené v příloze VI podle čl. 49 odst. 1 písm. a) nařízení (EU) 2019/2033.</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8.</w:t>
      </w:r>
      <w:r>
        <w:rPr>
          <w:rFonts w:ascii="Times New Roman" w:hAnsi="Times New Roman" w:cs="Times New Roman"/>
          <w:bCs/>
          <w:sz w:val="24"/>
        </w:rPr>
        <w:tab/>
      </w:r>
      <w:r>
        <w:rPr>
          <w:rFonts w:ascii="Times New Roman" w:hAnsi="Times New Roman"/>
          <w:bCs/>
          <w:sz w:val="24"/>
        </w:rPr>
        <w:t>Investiční podniky zpřístupňují rozvahu obsaženou v jejich zveřejněné účetní závěrce. Účetní závěrkou musí být auditovaná účetní závěrka uvádějící údaje ke konci roku.</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9.</w:t>
      </w:r>
      <w:r>
        <w:rPr>
          <w:rFonts w:ascii="Times New Roman" w:hAnsi="Times New Roman" w:cs="Times New Roman"/>
          <w:bCs/>
          <w:sz w:val="24"/>
        </w:rPr>
        <w:tab/>
      </w:r>
      <w:r>
        <w:rPr>
          <w:rFonts w:ascii="Times New Roman" w:hAnsi="Times New Roman"/>
          <w:bCs/>
          <w:sz w:val="24"/>
        </w:rPr>
        <w:t>Řádky šablony jsou flexibilní a investiční podniky je vyplní v souladu se svou účetní závěrkou. Položky kapitálu v auditované účetní závěrce zahrnují veškeré položky, které jsou složkami regulatorního kapitálu nebo které jsou odečteny od tohoto kapitálu, včetně vlastního kapitálu, závazků, jako jsou dluhy, nebo jiných rozvahových položek, které ovlivňují regulatorní kapitál, jako jsou nehmotná aktiva, goodwill a odložené daňové pohledávky. Investiční podniky podle potřeby rozšíří položky kapitálu v rozvaze, aby zajistily, že všechny složky obsažené v šabloně pro zveřejňování informací o složení kapitálu (šablona EU I CC1) budou uvedeny zvlášť. Investiční podniky rozšíří prvky rozvahy pouze na takovou úroveň členění, která je nezbytná k odvození složek požadovaných šablonou EU I CC1. Zpřístupnění informací musí být přiměřené složitosti rozvahy investičního podniku.</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10.</w:t>
      </w:r>
      <w:r>
        <w:rPr>
          <w:rFonts w:ascii="Times New Roman" w:hAnsi="Times New Roman" w:cs="Times New Roman"/>
          <w:bCs/>
          <w:sz w:val="24"/>
        </w:rPr>
        <w:tab/>
      </w:r>
      <w:r>
        <w:rPr>
          <w:rFonts w:ascii="Times New Roman" w:hAnsi="Times New Roman"/>
          <w:bCs/>
          <w:sz w:val="24"/>
        </w:rPr>
        <w:t>Sloupce jsou pevně dané a informace v nich se uvedou takto:</w:t>
      </w:r>
    </w:p>
    <w:p>
      <w:pPr>
        <w:pStyle w:val="numberedparagraph"/>
        <w:numPr>
          <w:ilvl w:val="0"/>
          <w:numId w:val="0"/>
        </w:numPr>
        <w:ind w:left="709" w:hanging="360"/>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ab/>
      </w:r>
      <w:r>
        <w:rPr>
          <w:rFonts w:ascii="Times New Roman" w:hAnsi="Times New Roman"/>
          <w:sz w:val="24"/>
        </w:rPr>
        <w:t>Sloupec a): Investiční podniky uvedou číselné údaje vykázané v rozvaze obsažené v jejich auditovaných účetních závěrkách v souladu s účetním rozsahem konsolidace;</w:t>
      </w:r>
    </w:p>
    <w:p>
      <w:pPr>
        <w:pStyle w:val="numberedparagraph"/>
        <w:numPr>
          <w:ilvl w:val="0"/>
          <w:numId w:val="0"/>
        </w:numPr>
        <w:ind w:left="709" w:hanging="360"/>
        <w:rPr>
          <w:rFonts w:ascii="Times New Roman" w:hAnsi="Times New Roman" w:cs="Times New Roman"/>
          <w:sz w:val="24"/>
        </w:rPr>
      </w:pPr>
      <w:r>
        <w:rPr>
          <w:rFonts w:ascii="Times New Roman" w:hAnsi="Times New Roman" w:cs="Times New Roman"/>
          <w:sz w:val="24"/>
        </w:rPr>
        <w:t>b.</w:t>
      </w:r>
      <w:r>
        <w:rPr>
          <w:rFonts w:ascii="Times New Roman" w:hAnsi="Times New Roman" w:cs="Times New Roman"/>
          <w:sz w:val="24"/>
        </w:rPr>
        <w:tab/>
      </w:r>
      <w:r>
        <w:rPr>
          <w:rFonts w:ascii="Times New Roman" w:hAnsi="Times New Roman"/>
          <w:sz w:val="24"/>
        </w:rPr>
        <w:t>Sloupec b): Investiční podniky vykáží číselné údaje v souladu s regulatorním rozsahem konsolidace;</w:t>
      </w:r>
    </w:p>
    <w:p>
      <w:pPr>
        <w:pStyle w:val="numberedparagraph"/>
        <w:numPr>
          <w:ilvl w:val="0"/>
          <w:numId w:val="0"/>
        </w:numPr>
        <w:ind w:left="709" w:hanging="360"/>
        <w:rPr>
          <w:rFonts w:ascii="Times New Roman" w:hAnsi="Times New Roman" w:cs="Times New Roman"/>
          <w:sz w:val="24"/>
        </w:rPr>
      </w:pPr>
      <w:r>
        <w:rPr>
          <w:rFonts w:ascii="Times New Roman" w:hAnsi="Times New Roman" w:cs="Times New Roman"/>
          <w:sz w:val="24"/>
        </w:rPr>
        <w:t>c.</w:t>
      </w:r>
      <w:r>
        <w:rPr>
          <w:rFonts w:ascii="Times New Roman" w:hAnsi="Times New Roman" w:cs="Times New Roman"/>
          <w:sz w:val="24"/>
        </w:rPr>
        <w:tab/>
      </w:r>
      <w:r>
        <w:rPr>
          <w:rFonts w:ascii="Times New Roman" w:hAnsi="Times New Roman"/>
          <w:sz w:val="24"/>
        </w:rPr>
        <w:t>Sloupec c): Investiční podniky uvedou křížové odkazy mezi položkou kapitálu v šabloně EU I CC2 a příslušnými položkami šablony pro zpřístupňování informací o kapitálu EU I CC1. Odkaz ve sloupci c) šablony EU I CC2 bude propojen s odkazem uvedeným ve sloupci b) šablony EU I CC1.</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11.</w:t>
      </w:r>
      <w:r>
        <w:rPr>
          <w:rFonts w:ascii="Times New Roman" w:hAnsi="Times New Roman" w:cs="Times New Roman"/>
          <w:bCs/>
          <w:sz w:val="24"/>
        </w:rPr>
        <w:tab/>
      </w:r>
      <w:r>
        <w:rPr>
          <w:rFonts w:ascii="Times New Roman" w:hAnsi="Times New Roman"/>
          <w:bCs/>
          <w:sz w:val="24"/>
        </w:rPr>
        <w:t>V</w:t>
      </w:r>
      <w:r>
        <w:rPr>
          <w:rFonts w:ascii="Times New Roman" w:hAnsi="Times New Roman" w:cs="Times New Roman"/>
          <w:bCs/>
          <w:sz w:val="24"/>
        </w:rPr>
        <w:t> </w:t>
      </w:r>
      <w:r>
        <w:rPr>
          <w:rFonts w:ascii="Times New Roman" w:hAnsi="Times New Roman"/>
          <w:bCs/>
          <w:sz w:val="24"/>
        </w:rPr>
        <w:t>následujících případech, kdy je rozsah účetní konsolidace investičních podniků zcela shodný s rozsahem regulatorní konsolidace, se vyplní pouze sloupec a) a tato skutečnost se jasně uvede:</w:t>
      </w:r>
    </w:p>
    <w:p>
      <w:pPr>
        <w:pStyle w:val="numberedparagraph"/>
        <w:numPr>
          <w:ilvl w:val="0"/>
          <w:numId w:val="0"/>
        </w:numPr>
        <w:tabs>
          <w:tab w:val="left" w:pos="-180"/>
        </w:tabs>
        <w:ind w:left="709" w:hanging="360"/>
        <w:rPr>
          <w:rFonts w:ascii="Times New Roman" w:hAnsi="Times New Roman" w:cs="Times New Roman"/>
          <w:bCs/>
          <w:sz w:val="24"/>
        </w:rPr>
      </w:pPr>
      <w:r>
        <w:rPr>
          <w:rFonts w:ascii="Times New Roman" w:hAnsi="Times New Roman" w:cs="Times New Roman"/>
          <w:bCs/>
          <w:sz w:val="24"/>
        </w:rPr>
        <w:t>d.</w:t>
      </w:r>
      <w:r>
        <w:rPr>
          <w:rFonts w:ascii="Times New Roman" w:hAnsi="Times New Roman" w:cs="Times New Roman"/>
          <w:bCs/>
          <w:sz w:val="24"/>
        </w:rPr>
        <w:tab/>
      </w:r>
      <w:r>
        <w:rPr>
          <w:rFonts w:ascii="Times New Roman" w:hAnsi="Times New Roman"/>
          <w:sz w:val="24"/>
        </w:rPr>
        <w:t>Pokud investiční podniky plní požadavky stanovené v části šesté nařízení (EU) 2019/2033 o obezřetnostních požadavcích na investiční podniky na konsolidovaném základě, rozsah a metoda konsolidace použité pro rozvahu v rámci účetní závěrky jsou však totožné s rozsahem a metodou konsolidace stanovenými podle části první hlavy II kapitoly 2 nařízení (EU) 2019/2033, a investiční podniky jednoznačně v komentáři připojeném k šabloně uvedou, že mezi příslušnými rozsahy a metodami konsolidace neexistují rozdíly;</w:t>
      </w:r>
    </w:p>
    <w:p>
      <w:pPr>
        <w:pStyle w:val="numberedparagraph"/>
        <w:numPr>
          <w:ilvl w:val="0"/>
          <w:numId w:val="0"/>
        </w:numPr>
        <w:tabs>
          <w:tab w:val="left" w:pos="-180"/>
        </w:tabs>
        <w:ind w:left="709" w:hanging="360"/>
        <w:rPr>
          <w:rFonts w:ascii="Times New Roman" w:hAnsi="Times New Roman" w:cs="Times New Roman"/>
          <w:bCs/>
          <w:sz w:val="24"/>
        </w:rPr>
      </w:pPr>
      <w:r>
        <w:rPr>
          <w:rFonts w:ascii="Times New Roman" w:hAnsi="Times New Roman" w:cs="Times New Roman"/>
          <w:bCs/>
          <w:sz w:val="24"/>
        </w:rPr>
        <w:t>e.</w:t>
      </w:r>
      <w:r>
        <w:rPr>
          <w:rFonts w:ascii="Times New Roman" w:hAnsi="Times New Roman" w:cs="Times New Roman"/>
          <w:bCs/>
          <w:sz w:val="24"/>
        </w:rPr>
        <w:tab/>
      </w:r>
      <w:r>
        <w:rPr>
          <w:rFonts w:ascii="Times New Roman" w:hAnsi="Times New Roman"/>
          <w:sz w:val="24"/>
        </w:rPr>
        <w:t>Pokud investiční podniky plní požadavky stanovené v části šesté nařízení (EU) 2019/2033 na individuálním základě.</w:t>
      </w:r>
    </w:p>
    <w:p>
      <w:pPr>
        <w:rPr>
          <w:rFonts w:ascii="Times New Roman" w:hAnsi="Times New Roman" w:cs="Times New Roman"/>
          <w:b/>
          <w:bCs/>
          <w:sz w:val="24"/>
        </w:rPr>
      </w:pPr>
      <w:r>
        <w:rPr>
          <w:rFonts w:ascii="Times New Roman" w:hAnsi="Times New Roman"/>
          <w:b/>
          <w:bCs/>
          <w:sz w:val="24"/>
        </w:rPr>
        <w:t>Tabulka EU I CCA – Hlavní vlastnosti vlastních nástrojů vydaných podnikem.</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12.</w:t>
      </w:r>
      <w:r>
        <w:rPr>
          <w:rFonts w:ascii="Times New Roman" w:hAnsi="Times New Roman" w:cs="Times New Roman"/>
          <w:bCs/>
          <w:sz w:val="24"/>
        </w:rPr>
        <w:tab/>
      </w:r>
      <w:r>
        <w:rPr>
          <w:rFonts w:ascii="Times New Roman" w:hAnsi="Times New Roman"/>
          <w:bCs/>
          <w:sz w:val="24"/>
        </w:rPr>
        <w:t>Investiční podniky použijí pokyny obsažené v této příloze k vyplnění tabulky EU I CCA obsažené v příloze VI podle čl. 49 odst. 1 písm. b) nařízení (EU) 2019/2033.</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13.</w:t>
      </w:r>
      <w:r>
        <w:rPr>
          <w:rFonts w:ascii="Times New Roman" w:hAnsi="Times New Roman" w:cs="Times New Roman"/>
          <w:bCs/>
          <w:sz w:val="24"/>
        </w:rPr>
        <w:tab/>
      </w:r>
      <w:r>
        <w:rPr>
          <w:rFonts w:ascii="Times New Roman" w:hAnsi="Times New Roman"/>
          <w:bCs/>
          <w:sz w:val="24"/>
        </w:rPr>
        <w:t>Investiční podniky vyplní tabulku EU I CCA pro tyto kategorie: nástroje zahrnované do kmenového kapitálu tier 1, nástroje zahrnované do vedlejšího kapitálu tier 1, nástroje zahrnované do kapitálu tier 2.</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14.</w:t>
      </w:r>
      <w:r>
        <w:rPr>
          <w:rFonts w:ascii="Times New Roman" w:hAnsi="Times New Roman" w:cs="Times New Roman"/>
          <w:bCs/>
          <w:sz w:val="24"/>
        </w:rPr>
        <w:tab/>
      </w:r>
      <w:r>
        <w:rPr>
          <w:rFonts w:ascii="Times New Roman" w:hAnsi="Times New Roman"/>
          <w:bCs/>
          <w:sz w:val="24"/>
        </w:rPr>
        <w:t>Tabulky obsahují samostatné sloupce s vlastnostmi jednotlivých nástrojů regulatorního kapitálu. Mají-li různé nástroje téže kategorie totožné vlastnosti, mohou investiční podniky vyplnit pouze jeden sloupec uvádějící tyto totožné vlastnosti a určit emise, jichž se totožné vlastnosti týkají.</w:t>
      </w: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trPr>
          <w:trHeight w:val="259"/>
        </w:trPr>
        <w:tc>
          <w:tcPr>
            <w:tcW w:w="8691" w:type="dxa"/>
            <w:gridSpan w:val="2"/>
            <w:shd w:val="clear" w:color="auto" w:fill="D9D9D9" w:themeFill="background1" w:themeFillShade="D9"/>
          </w:tcPr>
          <w:p>
            <w:pPr>
              <w:rPr>
                <w:rFonts w:ascii="Times New Roman" w:eastAsia="Times New Roman" w:hAnsi="Times New Roman" w:cs="Times New Roman"/>
                <w:b/>
                <w:bCs/>
                <w:color w:val="000000"/>
                <w:sz w:val="24"/>
              </w:rPr>
            </w:pPr>
            <w:r>
              <w:rPr>
                <w:rFonts w:ascii="Times New Roman" w:hAnsi="Times New Roman"/>
                <w:b/>
                <w:bCs/>
                <w:color w:val="000000"/>
                <w:sz w:val="24"/>
              </w:rPr>
              <w:t>Pokyny pro vyplnění formuláře tabulky hlavních vlastností kapitálových nástrojů vydaných podnikem</w:t>
            </w:r>
          </w:p>
        </w:tc>
      </w:tr>
      <w:tr>
        <w:trPr>
          <w:trHeight w:val="259"/>
        </w:trPr>
        <w:tc>
          <w:tcPr>
            <w:tcW w:w="1030" w:type="dxa"/>
            <w:shd w:val="clear" w:color="auto" w:fill="D9D9D9" w:themeFill="background1" w:themeFillShade="D9"/>
            <w:vAlign w:val="center"/>
          </w:tcPr>
          <w:p>
            <w:pPr>
              <w:rPr>
                <w:rFonts w:ascii="Times New Roman" w:eastAsia="Times New Roman" w:hAnsi="Times New Roman" w:cs="Times New Roman"/>
                <w:b/>
                <w:bCs/>
                <w:color w:val="000000"/>
                <w:sz w:val="24"/>
              </w:rPr>
            </w:pPr>
            <w:r>
              <w:rPr>
                <w:rFonts w:ascii="Times New Roman" w:hAnsi="Times New Roman"/>
                <w:b/>
                <w:bCs/>
                <w:color w:val="000000"/>
                <w:sz w:val="24"/>
              </w:rPr>
              <w:t>Číslo řádku</w:t>
            </w:r>
          </w:p>
        </w:tc>
        <w:tc>
          <w:tcPr>
            <w:tcW w:w="7661" w:type="dxa"/>
            <w:shd w:val="clear" w:color="auto" w:fill="D9D9D9" w:themeFill="background1" w:themeFillShade="D9"/>
            <w:noWrap/>
            <w:vAlign w:val="bottom"/>
          </w:tcPr>
          <w:p>
            <w:pPr>
              <w:rPr>
                <w:rFonts w:ascii="Times New Roman" w:eastAsia="Times New Roman" w:hAnsi="Times New Roman" w:cs="Times New Roman"/>
                <w:b/>
                <w:bCs/>
                <w:color w:val="000000"/>
                <w:sz w:val="24"/>
              </w:rPr>
            </w:pPr>
            <w:r>
              <w:rPr>
                <w:rFonts w:ascii="Times New Roman" w:hAnsi="Times New Roman"/>
                <w:b/>
                <w:bCs/>
                <w:color w:val="000000"/>
                <w:sz w:val="24"/>
              </w:rPr>
              <w:t>Vysvětlení</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Emitent</w:t>
            </w:r>
          </w:p>
          <w:p>
            <w:pPr>
              <w:spacing w:after="200" w:line="276" w:lineRule="auto"/>
              <w:jc w:val="both"/>
              <w:rPr>
                <w:rFonts w:ascii="Times New Roman" w:eastAsia="Times New Roman" w:hAnsi="Times New Roman" w:cs="Times New Roman"/>
                <w:sz w:val="24"/>
              </w:rPr>
            </w:pPr>
            <w:r>
              <w:rPr>
                <w:rFonts w:ascii="Times New Roman" w:hAnsi="Times New Roman"/>
                <w:sz w:val="24"/>
              </w:rPr>
              <w:t>Identifikuje právní subjekt emitenta.</w:t>
            </w:r>
          </w:p>
          <w:p>
            <w:pPr>
              <w:spacing w:after="200" w:line="276" w:lineRule="auto"/>
              <w:jc w:val="both"/>
              <w:rPr>
                <w:rFonts w:ascii="Times New Roman" w:eastAsia="Times New Roman" w:hAnsi="Times New Roman" w:cs="Times New Roman"/>
                <w:i/>
                <w:sz w:val="24"/>
              </w:rPr>
            </w:pPr>
            <w:r>
              <w:rPr>
                <w:rFonts w:ascii="Times New Roman" w:hAnsi="Times New Roman"/>
                <w:i/>
                <w:sz w:val="24"/>
              </w:rPr>
              <w:t>Volný text</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Specifický identifikační kód (např. CUSIP, ISIN nebo Bloomberg v případě soukromé investice)</w:t>
            </w:r>
          </w:p>
          <w:p>
            <w:pPr>
              <w:spacing w:after="200" w:line="276" w:lineRule="auto"/>
              <w:jc w:val="both"/>
              <w:rPr>
                <w:rFonts w:ascii="Times New Roman" w:eastAsia="Times New Roman" w:hAnsi="Times New Roman" w:cs="Times New Roman"/>
                <w:sz w:val="24"/>
              </w:rPr>
            </w:pPr>
            <w:r>
              <w:rPr>
                <w:rFonts w:ascii="Times New Roman" w:hAnsi="Times New Roman"/>
                <w:sz w:val="24"/>
              </w:rPr>
              <w:t>Specifický identifikační kód (např. CUSIP, ISIN nebo Bloomberg v případě soukromé investice)</w:t>
            </w:r>
          </w:p>
          <w:p>
            <w:pPr>
              <w:spacing w:after="200" w:line="276" w:lineRule="auto"/>
              <w:jc w:val="both"/>
              <w:rPr>
                <w:rFonts w:ascii="Times New Roman" w:eastAsia="Times New Roman" w:hAnsi="Times New Roman" w:cs="Times New Roman"/>
                <w:sz w:val="24"/>
              </w:rPr>
            </w:pPr>
            <w:r>
              <w:rPr>
                <w:rFonts w:ascii="Times New Roman" w:hAnsi="Times New Roman"/>
                <w:i/>
                <w:sz w:val="24"/>
              </w:rPr>
              <w:t>Volný text</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w:t>
            </w:r>
          </w:p>
        </w:tc>
        <w:tc>
          <w:tcPr>
            <w:tcW w:w="7661" w:type="dxa"/>
            <w:shd w:val="clear" w:color="auto" w:fill="auto"/>
            <w:noWrap/>
            <w:vAlign w:val="bottom"/>
          </w:tcPr>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Veřejná nebo soukromá investice</w:t>
            </w:r>
          </w:p>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Upřesní, zda byl nástroj předmětem veřejné, nebo soukromé investice.</w:t>
            </w:r>
          </w:p>
          <w:p>
            <w:pPr>
              <w:spacing w:after="200" w:line="276" w:lineRule="auto"/>
              <w:jc w:val="both"/>
              <w:rPr>
                <w:rFonts w:ascii="Times New Roman" w:eastAsia="Times New Roman" w:hAnsi="Times New Roman" w:cs="Times New Roman"/>
                <w:sz w:val="24"/>
              </w:rPr>
            </w:pPr>
            <w:r>
              <w:rPr>
                <w:rFonts w:ascii="Times New Roman" w:hAnsi="Times New Roman"/>
                <w:i/>
                <w:sz w:val="24"/>
              </w:rPr>
              <w:t>Výběr z nabídky: [Veřejná] [Soukromá]</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4</w:t>
            </w:r>
          </w:p>
        </w:tc>
        <w:tc>
          <w:tcPr>
            <w:tcW w:w="7661" w:type="dxa"/>
            <w:shd w:val="clear" w:color="auto" w:fill="auto"/>
            <w:noWrap/>
            <w:vAlign w:val="bottom"/>
          </w:tcPr>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Právní předpisy, jimiž se nástroj řídí</w:t>
            </w:r>
          </w:p>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Upřesňuje právní předpisy, jimiž se nástroj řídí.</w:t>
            </w:r>
          </w:p>
          <w:p>
            <w:pPr>
              <w:spacing w:after="200" w:line="276" w:lineRule="auto"/>
              <w:jc w:val="both"/>
              <w:rPr>
                <w:rFonts w:ascii="Times New Roman" w:eastAsia="Times New Roman" w:hAnsi="Times New Roman" w:cs="Times New Roman"/>
                <w:i/>
                <w:sz w:val="24"/>
              </w:rPr>
            </w:pPr>
            <w:r>
              <w:rPr>
                <w:rFonts w:ascii="Times New Roman" w:hAnsi="Times New Roman"/>
                <w:i/>
                <w:sz w:val="24"/>
              </w:rPr>
              <w:t xml:space="preserve">Volný text </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5</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Typ nástroje (typy upřesní každá jurisdikce)</w:t>
            </w:r>
          </w:p>
          <w:p>
            <w:pPr>
              <w:spacing w:after="200" w:line="276" w:lineRule="auto"/>
              <w:jc w:val="both"/>
              <w:rPr>
                <w:rFonts w:ascii="Times New Roman" w:eastAsia="Times New Roman" w:hAnsi="Times New Roman" w:cs="Times New Roman"/>
                <w:sz w:val="24"/>
              </w:rPr>
            </w:pPr>
            <w:r>
              <w:rPr>
                <w:rFonts w:ascii="Times New Roman" w:hAnsi="Times New Roman"/>
                <w:sz w:val="24"/>
              </w:rPr>
              <w:t>Upřesňuje typ nástroje v závislosti na jurisdikci.</w:t>
            </w:r>
          </w:p>
          <w:p>
            <w:pPr>
              <w:spacing w:after="200" w:line="276" w:lineRule="auto"/>
              <w:jc w:val="both"/>
              <w:rPr>
                <w:rFonts w:ascii="Times New Roman" w:eastAsia="Times New Roman" w:hAnsi="Times New Roman" w:cs="Times New Roman"/>
                <w:i/>
                <w:sz w:val="24"/>
              </w:rPr>
            </w:pPr>
            <w:r>
              <w:rPr>
                <w:rFonts w:ascii="Times New Roman" w:hAnsi="Times New Roman"/>
                <w:i/>
                <w:sz w:val="24"/>
              </w:rPr>
              <w:t>V</w:t>
            </w:r>
            <w:r>
              <w:rPr>
                <w:rFonts w:ascii="Times New Roman" w:eastAsia="Times New Roman" w:hAnsi="Times New Roman" w:cs="Times New Roman"/>
                <w:sz w:val="24"/>
              </w:rPr>
              <w:t> </w:t>
            </w:r>
            <w:r>
              <w:rPr>
                <w:rFonts w:ascii="Times New Roman" w:hAnsi="Times New Roman"/>
                <w:i/>
                <w:sz w:val="24"/>
              </w:rPr>
              <w:t>případě nástrojů zahrnovaných do kmenového kapitálu tier 1 vyberte název nástroje ze seznamu pro kmenový kapitál tier 1, který zveřejňuje orgán EBA.</w:t>
            </w:r>
          </w:p>
          <w:p>
            <w:pPr>
              <w:spacing w:after="200" w:line="276" w:lineRule="auto"/>
              <w:jc w:val="both"/>
              <w:rPr>
                <w:rFonts w:ascii="Times New Roman" w:eastAsia="Times New Roman" w:hAnsi="Times New Roman" w:cs="Times New Roman"/>
                <w:i/>
                <w:sz w:val="24"/>
              </w:rPr>
            </w:pPr>
            <w:r>
              <w:rPr>
                <w:rFonts w:ascii="Times New Roman" w:hAnsi="Times New Roman"/>
                <w:i/>
                <w:sz w:val="24"/>
              </w:rPr>
              <w:t>V</w:t>
            </w:r>
            <w:r>
              <w:rPr>
                <w:rFonts w:ascii="Times New Roman" w:eastAsia="Times New Roman" w:hAnsi="Times New Roman" w:cs="Times New Roman"/>
                <w:i/>
                <w:sz w:val="24"/>
              </w:rPr>
              <w:t> </w:t>
            </w:r>
            <w:r>
              <w:rPr>
                <w:rFonts w:ascii="Times New Roman" w:hAnsi="Times New Roman"/>
                <w:i/>
                <w:sz w:val="24"/>
              </w:rPr>
              <w:t>případě ostatních nástrojů vyberte z: příslušnou nabídku investičním podnikům poskytnou jednotlivé jurisdikce – pro každý typ nástroje se vloží odkazy na články nařízení (EU) 2019/2033.</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6</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Objem uznaný v regulatorním kapitálu (měna v milionech, k poslednímu datu pro vykazování)</w:t>
            </w:r>
          </w:p>
          <w:p>
            <w:pPr>
              <w:spacing w:after="200" w:line="276" w:lineRule="auto"/>
              <w:jc w:val="both"/>
              <w:rPr>
                <w:rFonts w:ascii="Times New Roman" w:eastAsia="Times New Roman" w:hAnsi="Times New Roman" w:cs="Times New Roman"/>
                <w:sz w:val="24"/>
              </w:rPr>
            </w:pPr>
            <w:r>
              <w:rPr>
                <w:rFonts w:ascii="Times New Roman" w:hAnsi="Times New Roman"/>
                <w:sz w:val="24"/>
              </w:rPr>
              <w:t>Upřesňuje objem uznaný v regulatorním kapitálu (celková hodnota nástroje uznaná před přechodnými ustanoveními pro příslušnou úroveň zpřístupnění informací – měna použitá pro oznamovací povinnosti).</w:t>
            </w:r>
          </w:p>
          <w:p>
            <w:pPr>
              <w:spacing w:after="200" w:line="276" w:lineRule="auto"/>
              <w:jc w:val="both"/>
              <w:rPr>
                <w:rFonts w:ascii="Times New Roman" w:eastAsia="Times New Roman" w:hAnsi="Times New Roman" w:cs="Times New Roman"/>
                <w:i/>
                <w:sz w:val="24"/>
              </w:rPr>
            </w:pPr>
            <w:r>
              <w:rPr>
                <w:rFonts w:ascii="Times New Roman" w:hAnsi="Times New Roman"/>
                <w:i/>
                <w:sz w:val="24"/>
              </w:rPr>
              <w:t>Volný text – zejména upřesněte, zda jsou určité části nástrojů vykazovány v různých třídách regulatorního kapitálu a zda se objem uznaný v regulatorním kapitálu liší od emitovaného objemu.</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7</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Nominální hodnota nástroje</w:t>
            </w:r>
          </w:p>
          <w:p>
            <w:pPr>
              <w:spacing w:after="200" w:line="276" w:lineRule="auto"/>
              <w:jc w:val="both"/>
              <w:rPr>
                <w:rFonts w:ascii="Times New Roman" w:eastAsia="Times New Roman" w:hAnsi="Times New Roman" w:cs="Times New Roman"/>
                <w:sz w:val="24"/>
              </w:rPr>
            </w:pPr>
            <w:r>
              <w:rPr>
                <w:rFonts w:ascii="Times New Roman" w:hAnsi="Times New Roman"/>
                <w:sz w:val="24"/>
              </w:rPr>
              <w:t>Nominální hodnota nástroje (v měně emise a měně použité pro oznamovací povinnosti)</w:t>
            </w:r>
          </w:p>
          <w:p>
            <w:pPr>
              <w:spacing w:after="200" w:line="276" w:lineRule="auto"/>
              <w:jc w:val="both"/>
              <w:rPr>
                <w:rFonts w:ascii="Times New Roman" w:eastAsia="Times New Roman" w:hAnsi="Times New Roman" w:cs="Times New Roman"/>
                <w:i/>
                <w:sz w:val="24"/>
              </w:rPr>
            </w:pPr>
            <w:r>
              <w:rPr>
                <w:rFonts w:ascii="Times New Roman" w:hAnsi="Times New Roman"/>
                <w:i/>
                <w:sz w:val="24"/>
              </w:rPr>
              <w:t>Volný text</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8</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Emisní cena</w:t>
            </w:r>
          </w:p>
          <w:p>
            <w:pPr>
              <w:spacing w:after="200" w:line="276" w:lineRule="auto"/>
              <w:jc w:val="both"/>
              <w:rPr>
                <w:rFonts w:ascii="Times New Roman" w:eastAsia="Times New Roman" w:hAnsi="Times New Roman" w:cs="Times New Roman"/>
                <w:sz w:val="24"/>
              </w:rPr>
            </w:pPr>
            <w:r>
              <w:rPr>
                <w:rFonts w:ascii="Times New Roman" w:hAnsi="Times New Roman"/>
                <w:sz w:val="24"/>
              </w:rPr>
              <w:t>Emisní cena nástroje</w:t>
            </w:r>
          </w:p>
          <w:p>
            <w:pPr>
              <w:spacing w:after="200" w:line="276" w:lineRule="auto"/>
              <w:jc w:val="both"/>
              <w:rPr>
                <w:rFonts w:ascii="Times New Roman" w:eastAsia="Times New Roman" w:hAnsi="Times New Roman" w:cs="Times New Roman"/>
                <w:i/>
                <w:sz w:val="24"/>
              </w:rPr>
            </w:pPr>
            <w:r>
              <w:rPr>
                <w:rFonts w:ascii="Times New Roman" w:hAnsi="Times New Roman"/>
                <w:i/>
                <w:sz w:val="24"/>
              </w:rPr>
              <w:t>Volný text</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9</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Cena při splacení</w:t>
            </w:r>
          </w:p>
          <w:p>
            <w:pPr>
              <w:spacing w:after="200" w:line="276" w:lineRule="auto"/>
              <w:jc w:val="both"/>
              <w:rPr>
                <w:rFonts w:ascii="Times New Roman" w:eastAsia="Times New Roman" w:hAnsi="Times New Roman" w:cs="Times New Roman"/>
                <w:sz w:val="24"/>
              </w:rPr>
            </w:pPr>
            <w:r>
              <w:rPr>
                <w:rFonts w:ascii="Times New Roman" w:hAnsi="Times New Roman"/>
                <w:sz w:val="24"/>
              </w:rPr>
              <w:t>Cena při splacení nástroje</w:t>
            </w:r>
          </w:p>
          <w:p>
            <w:pPr>
              <w:spacing w:after="200" w:line="276" w:lineRule="auto"/>
              <w:jc w:val="both"/>
              <w:rPr>
                <w:rFonts w:ascii="Times New Roman" w:eastAsia="Times New Roman" w:hAnsi="Times New Roman" w:cs="Times New Roman"/>
                <w:i/>
                <w:sz w:val="24"/>
              </w:rPr>
            </w:pPr>
            <w:r>
              <w:rPr>
                <w:rFonts w:ascii="Times New Roman" w:hAnsi="Times New Roman"/>
                <w:i/>
                <w:sz w:val="24"/>
              </w:rPr>
              <w:t>Volný text</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10</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Účetní klasifikace</w:t>
            </w:r>
          </w:p>
          <w:p>
            <w:pPr>
              <w:spacing w:after="200" w:line="276" w:lineRule="auto"/>
              <w:jc w:val="both"/>
              <w:rPr>
                <w:rFonts w:ascii="Times New Roman" w:eastAsia="Times New Roman" w:hAnsi="Times New Roman" w:cs="Times New Roman"/>
                <w:sz w:val="24"/>
              </w:rPr>
            </w:pPr>
            <w:r>
              <w:rPr>
                <w:rFonts w:ascii="Times New Roman" w:hAnsi="Times New Roman"/>
                <w:sz w:val="24"/>
              </w:rPr>
              <w:t>Upřesňuje účetní klasifikaci.</w:t>
            </w:r>
          </w:p>
          <w:p>
            <w:pPr>
              <w:spacing w:after="200" w:line="276" w:lineRule="auto"/>
              <w:jc w:val="both"/>
              <w:rPr>
                <w:rFonts w:ascii="Times New Roman" w:eastAsia="Times New Roman" w:hAnsi="Times New Roman" w:cs="Times New Roman"/>
                <w:i/>
                <w:sz w:val="24"/>
              </w:rPr>
            </w:pPr>
            <w:r>
              <w:rPr>
                <w:rFonts w:ascii="Times New Roman" w:hAnsi="Times New Roman"/>
                <w:i/>
                <w:sz w:val="24"/>
              </w:rPr>
              <w:t>Výběr z nabídky: [Vlastní kapitál akcionářů] [Závazek – zůstatková hodnota] [Závazek – reálná hodnota] [Menšinový podíl v dceřiném podniku zahrnutém do konsolidace]</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11</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Původní datum emise</w:t>
            </w:r>
          </w:p>
          <w:p>
            <w:pPr>
              <w:spacing w:after="200" w:line="276" w:lineRule="auto"/>
              <w:jc w:val="both"/>
              <w:rPr>
                <w:rFonts w:ascii="Times New Roman" w:eastAsia="Times New Roman" w:hAnsi="Times New Roman" w:cs="Times New Roman"/>
                <w:sz w:val="24"/>
              </w:rPr>
            </w:pPr>
            <w:r>
              <w:rPr>
                <w:rFonts w:ascii="Times New Roman" w:hAnsi="Times New Roman"/>
                <w:sz w:val="24"/>
              </w:rPr>
              <w:t>Upřesňuje datum vydání.</w:t>
            </w:r>
          </w:p>
          <w:p>
            <w:pPr>
              <w:spacing w:after="200" w:line="276" w:lineRule="auto"/>
              <w:jc w:val="both"/>
              <w:rPr>
                <w:rFonts w:ascii="Times New Roman" w:eastAsia="Times New Roman" w:hAnsi="Times New Roman" w:cs="Times New Roman"/>
                <w:sz w:val="24"/>
              </w:rPr>
            </w:pPr>
            <w:r>
              <w:rPr>
                <w:rFonts w:ascii="Times New Roman" w:hAnsi="Times New Roman"/>
                <w:i/>
                <w:sz w:val="24"/>
              </w:rPr>
              <w:t>Volný text</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12</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Věčný nebo datovaný</w:t>
            </w:r>
          </w:p>
          <w:p>
            <w:pPr>
              <w:spacing w:after="200" w:line="276" w:lineRule="auto"/>
              <w:jc w:val="both"/>
              <w:rPr>
                <w:rFonts w:ascii="Times New Roman" w:eastAsia="Times New Roman" w:hAnsi="Times New Roman" w:cs="Times New Roman"/>
                <w:sz w:val="24"/>
              </w:rPr>
            </w:pPr>
            <w:r>
              <w:rPr>
                <w:rFonts w:ascii="Times New Roman" w:hAnsi="Times New Roman"/>
                <w:sz w:val="24"/>
              </w:rPr>
              <w:t>Upřesňuje, zda se jedná o datovaný nebo věčný nástroj.</w:t>
            </w:r>
          </w:p>
          <w:p>
            <w:pPr>
              <w:spacing w:after="200" w:line="276" w:lineRule="auto"/>
              <w:jc w:val="both"/>
              <w:rPr>
                <w:rFonts w:ascii="Times New Roman" w:eastAsia="Times New Roman" w:hAnsi="Times New Roman" w:cs="Times New Roman"/>
                <w:i/>
                <w:sz w:val="24"/>
              </w:rPr>
            </w:pPr>
            <w:r>
              <w:rPr>
                <w:rFonts w:ascii="Times New Roman" w:hAnsi="Times New Roman"/>
                <w:i/>
                <w:sz w:val="24"/>
              </w:rPr>
              <w:t>Výběr z nabídky: [Věčný] [Datovaný]</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13</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Původní datum splatnosti</w:t>
            </w:r>
          </w:p>
          <w:p>
            <w:pPr>
              <w:spacing w:after="200" w:line="276" w:lineRule="auto"/>
              <w:jc w:val="both"/>
              <w:rPr>
                <w:rFonts w:ascii="Times New Roman" w:eastAsia="Times New Roman" w:hAnsi="Times New Roman" w:cs="Times New Roman"/>
                <w:sz w:val="24"/>
              </w:rPr>
            </w:pPr>
            <w:r>
              <w:rPr>
                <w:rFonts w:ascii="Times New Roman" w:hAnsi="Times New Roman"/>
                <w:sz w:val="24"/>
              </w:rPr>
              <w:t>U</w:t>
            </w:r>
            <w:r>
              <w:rPr>
                <w:rFonts w:ascii="Times New Roman" w:eastAsia="Times New Roman" w:hAnsi="Times New Roman" w:cs="Times New Roman"/>
                <w:sz w:val="24"/>
              </w:rPr>
              <w:t> </w:t>
            </w:r>
            <w:r>
              <w:rPr>
                <w:rFonts w:ascii="Times New Roman" w:hAnsi="Times New Roman"/>
                <w:sz w:val="24"/>
              </w:rPr>
              <w:t>datovaného nástroje upřesňuje původní datum splatnosti (den, měsíc a rok). V případě věčného nástroje uveďte „žádná splatnost“.</w:t>
            </w:r>
          </w:p>
          <w:p>
            <w:pPr>
              <w:spacing w:after="200" w:line="276" w:lineRule="auto"/>
              <w:jc w:val="both"/>
              <w:rPr>
                <w:rFonts w:ascii="Times New Roman" w:eastAsia="Times New Roman" w:hAnsi="Times New Roman" w:cs="Times New Roman"/>
                <w:sz w:val="24"/>
              </w:rPr>
            </w:pPr>
            <w:r>
              <w:rPr>
                <w:rFonts w:ascii="Times New Roman" w:hAnsi="Times New Roman"/>
                <w:i/>
                <w:sz w:val="24"/>
              </w:rPr>
              <w:t>Volný text</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14</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Vypovězení emitentem s výhradou předchozího schválení orgány dohledu</w:t>
            </w:r>
          </w:p>
          <w:p>
            <w:pPr>
              <w:spacing w:after="200" w:line="276" w:lineRule="auto"/>
              <w:jc w:val="both"/>
              <w:rPr>
                <w:rFonts w:ascii="Times New Roman" w:eastAsia="Times New Roman" w:hAnsi="Times New Roman" w:cs="Times New Roman"/>
                <w:sz w:val="24"/>
              </w:rPr>
            </w:pPr>
            <w:r>
              <w:rPr>
                <w:rFonts w:ascii="Times New Roman" w:hAnsi="Times New Roman"/>
                <w:sz w:val="24"/>
              </w:rPr>
              <w:t>Upřesňuje, zda existuje možnost vypovězení emitentem (všechny typy kupních opcí).</w:t>
            </w:r>
          </w:p>
          <w:p>
            <w:pPr>
              <w:spacing w:after="200" w:line="276" w:lineRule="auto"/>
              <w:jc w:val="both"/>
              <w:rPr>
                <w:rFonts w:ascii="Times New Roman" w:eastAsia="Times New Roman" w:hAnsi="Times New Roman" w:cs="Times New Roman"/>
                <w:i/>
                <w:sz w:val="24"/>
              </w:rPr>
            </w:pPr>
            <w:r>
              <w:rPr>
                <w:rFonts w:ascii="Times New Roman" w:hAnsi="Times New Roman"/>
                <w:i/>
                <w:sz w:val="24"/>
              </w:rPr>
              <w:t>Výběr z nabídky: [Ano] [Ne]</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15</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Datum možného vypovězení, data případného vypovězení a hodnota při splacení</w:t>
            </w:r>
          </w:p>
          <w:p>
            <w:pPr>
              <w:spacing w:after="200" w:line="276" w:lineRule="auto"/>
              <w:jc w:val="both"/>
              <w:rPr>
                <w:rFonts w:ascii="Times New Roman" w:eastAsia="Times New Roman" w:hAnsi="Times New Roman" w:cs="Times New Roman"/>
                <w:sz w:val="24"/>
              </w:rPr>
            </w:pPr>
            <w:r>
              <w:rPr>
                <w:rFonts w:ascii="Times New Roman" w:hAnsi="Times New Roman"/>
                <w:sz w:val="24"/>
              </w:rPr>
              <w:t>V</w:t>
            </w:r>
            <w:r>
              <w:rPr>
                <w:rFonts w:ascii="Times New Roman" w:eastAsia="Times New Roman" w:hAnsi="Times New Roman" w:cs="Times New Roman"/>
                <w:sz w:val="24"/>
              </w:rPr>
              <w:t> </w:t>
            </w:r>
            <w:r>
              <w:rPr>
                <w:rFonts w:ascii="Times New Roman" w:hAnsi="Times New Roman"/>
                <w:sz w:val="24"/>
              </w:rPr>
              <w:t>případě nástroje s možností vypovězení emitentem upřesňuje první datum vypovězení v případě, existuje-li u nástroje možnost vypovězení k určitému dni (den, měsíc a rok), a mimoto stanoví, zda u nástroje existuje možnost vypovězení v případě daňové a/nebo regulativní rozhodné události. Uvádí rovněž cenu při splacení. Pomáhá posoudit trvalost.</w:t>
            </w:r>
          </w:p>
          <w:p>
            <w:pPr>
              <w:spacing w:after="200" w:line="276" w:lineRule="auto"/>
              <w:jc w:val="both"/>
              <w:rPr>
                <w:rFonts w:ascii="Times New Roman" w:eastAsia="Times New Roman" w:hAnsi="Times New Roman" w:cs="Times New Roman"/>
                <w:i/>
                <w:sz w:val="24"/>
              </w:rPr>
            </w:pPr>
            <w:r>
              <w:rPr>
                <w:rFonts w:ascii="Times New Roman" w:hAnsi="Times New Roman"/>
                <w:i/>
                <w:sz w:val="24"/>
              </w:rPr>
              <w:t>Volný text</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16</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Data následného vypovězení, je-li to relevantní</w:t>
            </w:r>
          </w:p>
          <w:p>
            <w:pPr>
              <w:spacing w:after="200" w:line="276" w:lineRule="auto"/>
              <w:jc w:val="both"/>
              <w:rPr>
                <w:rFonts w:ascii="Times New Roman" w:eastAsia="Times New Roman" w:hAnsi="Times New Roman" w:cs="Times New Roman"/>
                <w:sz w:val="24"/>
              </w:rPr>
            </w:pPr>
            <w:r>
              <w:rPr>
                <w:rFonts w:ascii="Times New Roman" w:hAnsi="Times New Roman"/>
                <w:sz w:val="24"/>
              </w:rPr>
              <w:t>Upřesňuje existenci a četnost dat následného vypovězení, je-li použitelné. Pomáhá posoudit trvalost.</w:t>
            </w:r>
          </w:p>
          <w:p>
            <w:pPr>
              <w:spacing w:after="200" w:line="276" w:lineRule="auto"/>
              <w:jc w:val="both"/>
              <w:rPr>
                <w:rFonts w:ascii="Times New Roman" w:eastAsia="Times New Roman" w:hAnsi="Times New Roman" w:cs="Times New Roman"/>
                <w:sz w:val="24"/>
              </w:rPr>
            </w:pPr>
            <w:r>
              <w:rPr>
                <w:rFonts w:ascii="Times New Roman" w:hAnsi="Times New Roman"/>
                <w:i/>
                <w:sz w:val="24"/>
              </w:rPr>
              <w:t>Volný text</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17</w:t>
            </w:r>
          </w:p>
        </w:tc>
        <w:tc>
          <w:tcPr>
            <w:tcW w:w="7661" w:type="dxa"/>
            <w:shd w:val="clear" w:color="auto" w:fill="auto"/>
            <w:noWrap/>
            <w:vAlign w:val="bottom"/>
          </w:tcPr>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Pevná nebo pohyblivá dividenda/kupon</w:t>
            </w:r>
          </w:p>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Upřesňuje, zda jsou kupony/dividendy během existence nástroje pevně stanovené, nebo během existence nástroje pohyblivé, nebo v současnosti pevné, v budoucnu se však sazba změní na pohyblivou, nebo v současnosti pohyblivé, v budoucnu se však sazba změní na pevnou.</w:t>
            </w:r>
          </w:p>
          <w:p>
            <w:pPr>
              <w:spacing w:after="200" w:line="276" w:lineRule="auto"/>
              <w:jc w:val="both"/>
              <w:rPr>
                <w:rFonts w:ascii="Times New Roman" w:eastAsia="Times New Roman" w:hAnsi="Times New Roman" w:cs="Times New Roman"/>
                <w:i/>
                <w:sz w:val="24"/>
              </w:rPr>
            </w:pPr>
            <w:r>
              <w:rPr>
                <w:rFonts w:ascii="Times New Roman" w:hAnsi="Times New Roman"/>
                <w:i/>
                <w:sz w:val="24"/>
              </w:rPr>
              <w:t xml:space="preserve">Výběr z nabídky: [Pevné] [Pohyblivé] [Změna z pevných sazeb na pohyblivé] [Změna z pohyblivých sazeb na pevné] </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18</w:t>
            </w:r>
          </w:p>
        </w:tc>
        <w:tc>
          <w:tcPr>
            <w:tcW w:w="7661" w:type="dxa"/>
            <w:shd w:val="clear" w:color="auto" w:fill="auto"/>
            <w:noWrap/>
            <w:vAlign w:val="bottom"/>
          </w:tcPr>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Kuponová sazba a případný související index</w:t>
            </w:r>
          </w:p>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Upřesňuje kuponovou sazbu nástroje a případný související index, na nějž se kuponová/dividendová sazba vztahuje.</w:t>
            </w:r>
          </w:p>
          <w:p>
            <w:pPr>
              <w:spacing w:after="200" w:line="276" w:lineRule="auto"/>
              <w:jc w:val="both"/>
              <w:rPr>
                <w:rFonts w:ascii="Times New Roman" w:eastAsia="Times New Roman" w:hAnsi="Times New Roman" w:cs="Times New Roman"/>
                <w:i/>
                <w:sz w:val="24"/>
              </w:rPr>
            </w:pPr>
            <w:r>
              <w:rPr>
                <w:rFonts w:ascii="Times New Roman" w:hAnsi="Times New Roman"/>
                <w:i/>
                <w:sz w:val="24"/>
              </w:rPr>
              <w:t xml:space="preserve">Volný text </w:t>
            </w:r>
          </w:p>
        </w:tc>
      </w:tr>
      <w:tr>
        <w:trPr>
          <w:trHeight w:val="2983"/>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19</w:t>
            </w:r>
          </w:p>
        </w:tc>
        <w:tc>
          <w:tcPr>
            <w:tcW w:w="7661" w:type="dxa"/>
            <w:shd w:val="clear" w:color="auto" w:fill="auto"/>
            <w:noWrap/>
            <w:vAlign w:val="bottom"/>
          </w:tcPr>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Existence systému pozastavení výplaty dividend</w:t>
            </w:r>
          </w:p>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Upřesňuje, zda nevyplacení kuponu nebo dividendy z nástroje zakazuje výplatu dividend z kmenových akcií (tj. zda existuje systém pozastavení výplaty dividend).</w:t>
            </w:r>
          </w:p>
          <w:p>
            <w:pPr>
              <w:spacing w:after="200" w:line="276" w:lineRule="auto"/>
              <w:jc w:val="both"/>
              <w:rPr>
                <w:rFonts w:ascii="Times New Roman" w:eastAsia="Times New Roman" w:hAnsi="Times New Roman" w:cs="Times New Roman"/>
                <w:i/>
                <w:sz w:val="24"/>
              </w:rPr>
            </w:pPr>
            <w:r>
              <w:rPr>
                <w:rFonts w:ascii="Times New Roman" w:hAnsi="Times New Roman"/>
                <w:i/>
                <w:sz w:val="24"/>
              </w:rPr>
              <w:t xml:space="preserve">Výběr z nabídky: [ano] [ne] </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20</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 xml:space="preserve"> Zcela podle uvážení, částečně podle uvážení nebo povinné (pokud jde o časový harmonogram)</w:t>
            </w:r>
          </w:p>
          <w:p>
            <w:pPr>
              <w:spacing w:after="200" w:line="276" w:lineRule="auto"/>
              <w:jc w:val="both"/>
              <w:rPr>
                <w:rFonts w:ascii="Times New Roman" w:eastAsia="Times New Roman" w:hAnsi="Times New Roman" w:cs="Times New Roman"/>
                <w:sz w:val="24"/>
              </w:rPr>
            </w:pPr>
            <w:r>
              <w:rPr>
                <w:rFonts w:ascii="Times New Roman" w:hAnsi="Times New Roman"/>
                <w:sz w:val="24"/>
              </w:rPr>
              <w:t>Upřesňuje, zda emitent rozhoduje o vyplacení kuponů/dividend zcela podle svého uvážení, částečně podle svého uvážení, nebo zda nemá v tomto ohledu žádnou rozhodovací pravomoc. Rozhoduje-li instituce o zrušení výplat kuponů/dividend za všech okolností podle svého uvážení, musí zvolit možnost „zcela podle uvážení“ (včetně v případech, kdy existuje systém pozastavení výplaty dividend, který instituci nebrání zrušit výplaty u nástroje). Existují-li určité podmínky, které musí být splněny, než je možné výplatu zrušit (např. kapitál pod určitou prahovou hodnotou), musí instituce zvolit možnost „částečně podle uvážení“. Nemůže-li instituce zrušit vyplacení mimo platební neschopnost instituce, musí vybrat možnost „povinné“.</w:t>
            </w:r>
          </w:p>
          <w:p>
            <w:pPr>
              <w:spacing w:after="200" w:line="276" w:lineRule="auto"/>
              <w:jc w:val="both"/>
              <w:rPr>
                <w:rFonts w:ascii="Times New Roman" w:eastAsia="Times New Roman" w:hAnsi="Times New Roman" w:cs="Times New Roman"/>
                <w:i/>
                <w:sz w:val="24"/>
              </w:rPr>
            </w:pPr>
            <w:r>
              <w:rPr>
                <w:rFonts w:ascii="Times New Roman" w:hAnsi="Times New Roman"/>
                <w:i/>
                <w:sz w:val="24"/>
              </w:rPr>
              <w:t>Výběr z nabídky: [Zcela podle uvážení] [Částečně podle uvážení] [Povinné]</w:t>
            </w:r>
          </w:p>
          <w:p>
            <w:pPr>
              <w:spacing w:after="200" w:line="276" w:lineRule="auto"/>
              <w:jc w:val="both"/>
              <w:rPr>
                <w:rFonts w:ascii="Times New Roman" w:eastAsia="Times New Roman" w:hAnsi="Times New Roman" w:cs="Times New Roman"/>
                <w:sz w:val="24"/>
              </w:rPr>
            </w:pPr>
            <w:r>
              <w:rPr>
                <w:rFonts w:ascii="Times New Roman" w:hAnsi="Times New Roman"/>
                <w:i/>
                <w:sz w:val="24"/>
              </w:rPr>
              <w:t>Volný text (uveďte důvody rozhodnutí, existenci systémů povinné výplaty dividend, systémů pozastavení výplaty dividend, alternativního mechanismu výplaty kuponu).</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21</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Zcela podle uvážení, částečně podle uvážení nebo povinné (pokud jde o objem)</w:t>
            </w:r>
          </w:p>
          <w:p>
            <w:pPr>
              <w:spacing w:after="200" w:line="276" w:lineRule="auto"/>
              <w:jc w:val="both"/>
              <w:rPr>
                <w:rFonts w:ascii="Times New Roman" w:eastAsia="Times New Roman" w:hAnsi="Times New Roman" w:cs="Times New Roman"/>
                <w:sz w:val="24"/>
              </w:rPr>
            </w:pPr>
            <w:r>
              <w:rPr>
                <w:rFonts w:ascii="Times New Roman" w:hAnsi="Times New Roman"/>
                <w:sz w:val="24"/>
              </w:rPr>
              <w:t>Upřesňuje, zda emitent rozhoduje o výši kuponu/dividendy zcela podle svého uvážení, částečně podle svého uvážení, nebo zda nemá v tomto ohledu žádnou rozhodovací pravomoc.</w:t>
            </w:r>
          </w:p>
          <w:p>
            <w:pPr>
              <w:spacing w:after="200" w:line="276" w:lineRule="auto"/>
              <w:jc w:val="both"/>
              <w:rPr>
                <w:rFonts w:ascii="Times New Roman" w:eastAsia="Times New Roman" w:hAnsi="Times New Roman" w:cs="Times New Roman"/>
                <w:i/>
                <w:sz w:val="24"/>
              </w:rPr>
            </w:pPr>
            <w:r>
              <w:rPr>
                <w:rFonts w:ascii="Times New Roman" w:hAnsi="Times New Roman"/>
                <w:i/>
                <w:sz w:val="24"/>
              </w:rPr>
              <w:t>Výběr z nabídky: [Zcela podle uvážení] [Částečně podle uvážení] [Povinné]</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22</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 xml:space="preserve"> Existence navýšení či jiné pobídky ke splacení nástroje</w:t>
            </w:r>
          </w:p>
          <w:p>
            <w:pPr>
              <w:spacing w:after="200" w:line="276" w:lineRule="auto"/>
              <w:jc w:val="both"/>
              <w:rPr>
                <w:rFonts w:ascii="Times New Roman" w:eastAsia="Times New Roman" w:hAnsi="Times New Roman" w:cs="Times New Roman"/>
                <w:sz w:val="24"/>
              </w:rPr>
            </w:pPr>
            <w:r>
              <w:rPr>
                <w:rFonts w:ascii="Times New Roman" w:hAnsi="Times New Roman"/>
                <w:sz w:val="24"/>
              </w:rPr>
              <w:t>Upřesňuje, zda existuje navýšení či jiná pobídka ke splacení nástroje.</w:t>
            </w:r>
          </w:p>
          <w:p>
            <w:pPr>
              <w:spacing w:after="200" w:line="276" w:lineRule="auto"/>
              <w:jc w:val="both"/>
              <w:rPr>
                <w:rFonts w:ascii="Times New Roman" w:eastAsia="Times New Roman" w:hAnsi="Times New Roman" w:cs="Times New Roman"/>
                <w:i/>
                <w:sz w:val="24"/>
              </w:rPr>
            </w:pPr>
            <w:r>
              <w:rPr>
                <w:rFonts w:ascii="Times New Roman" w:hAnsi="Times New Roman"/>
                <w:i/>
                <w:sz w:val="24"/>
              </w:rPr>
              <w:t>Výběr z nabídky: [Ano] [Ne]</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23</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Nekumulativní nebo kumulativní</w:t>
            </w:r>
          </w:p>
          <w:p>
            <w:pPr>
              <w:spacing w:after="200" w:line="276" w:lineRule="auto"/>
              <w:jc w:val="both"/>
              <w:rPr>
                <w:rFonts w:ascii="Times New Roman" w:eastAsia="Times New Roman" w:hAnsi="Times New Roman" w:cs="Times New Roman"/>
                <w:sz w:val="24"/>
              </w:rPr>
            </w:pPr>
            <w:r>
              <w:rPr>
                <w:rFonts w:ascii="Times New Roman" w:hAnsi="Times New Roman"/>
                <w:sz w:val="24"/>
              </w:rPr>
              <w:t>Upřesňuje, zda jsou dividendy/kupony kumulativní nebo nekumulativní.</w:t>
            </w:r>
          </w:p>
          <w:p>
            <w:pPr>
              <w:spacing w:after="200" w:line="276" w:lineRule="auto"/>
              <w:jc w:val="both"/>
              <w:rPr>
                <w:rFonts w:ascii="Times New Roman" w:eastAsia="Times New Roman" w:hAnsi="Times New Roman" w:cs="Times New Roman"/>
                <w:i/>
                <w:sz w:val="24"/>
              </w:rPr>
            </w:pPr>
            <w:r>
              <w:rPr>
                <w:rFonts w:ascii="Times New Roman" w:hAnsi="Times New Roman"/>
                <w:i/>
                <w:sz w:val="24"/>
              </w:rPr>
              <w:t>Výběr z nabídky: [Nekumulativní] [Kumulativní] [Alternativní mechanismus výplaty kuponu]</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24</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Konvertibilní nebo nekonvertibilní</w:t>
            </w:r>
          </w:p>
          <w:p>
            <w:pPr>
              <w:spacing w:after="200" w:line="276" w:lineRule="auto"/>
              <w:jc w:val="both"/>
              <w:rPr>
                <w:rFonts w:ascii="Times New Roman" w:eastAsia="Times New Roman" w:hAnsi="Times New Roman" w:cs="Times New Roman"/>
                <w:sz w:val="24"/>
              </w:rPr>
            </w:pPr>
            <w:r>
              <w:rPr>
                <w:rFonts w:ascii="Times New Roman" w:hAnsi="Times New Roman"/>
                <w:sz w:val="24"/>
              </w:rPr>
              <w:t>Upřesňuje, zda je nástroj konvertibilní, či nikoli.</w:t>
            </w:r>
          </w:p>
          <w:p>
            <w:pPr>
              <w:spacing w:after="200" w:line="276" w:lineRule="auto"/>
              <w:jc w:val="both"/>
              <w:rPr>
                <w:rFonts w:ascii="Times New Roman" w:eastAsia="Times New Roman" w:hAnsi="Times New Roman" w:cs="Times New Roman"/>
                <w:i/>
                <w:sz w:val="24"/>
              </w:rPr>
            </w:pPr>
            <w:r>
              <w:rPr>
                <w:rFonts w:ascii="Times New Roman" w:hAnsi="Times New Roman"/>
                <w:i/>
                <w:sz w:val="24"/>
              </w:rPr>
              <w:t>Výběr z nabídky: [Konvertibilní] [Nekonvertibilní]</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25</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 xml:space="preserve"> V případě konvertibilního nástroje, rozhodná událost pro konverzi</w:t>
            </w:r>
          </w:p>
          <w:p>
            <w:pPr>
              <w:spacing w:after="200" w:line="276" w:lineRule="auto"/>
              <w:jc w:val="both"/>
              <w:rPr>
                <w:rFonts w:ascii="Times New Roman" w:eastAsia="Times New Roman" w:hAnsi="Times New Roman" w:cs="Times New Roman"/>
                <w:sz w:val="24"/>
              </w:rPr>
            </w:pPr>
            <w:r>
              <w:rPr>
                <w:rFonts w:ascii="Times New Roman" w:hAnsi="Times New Roman"/>
                <w:sz w:val="24"/>
              </w:rPr>
              <w:t>Upřesňuje podmínky konverze nástroje, včetně okamžiku neživotaschopnosti. Pokud může konverzi provést jeden či více orgánů, uvedou se tyto orgány. U každého orgánu se uvádí, zda právní základ pro provedení konverze orgánem stanoví podmínky smlouvy týkající se nástroje (smluvní přístup), nebo zda je právní základ stanoven zákonným způsobem (zákonný přístup).</w:t>
            </w:r>
          </w:p>
          <w:p>
            <w:pPr>
              <w:spacing w:after="200" w:line="276" w:lineRule="auto"/>
              <w:jc w:val="both"/>
              <w:rPr>
                <w:rFonts w:ascii="Times New Roman" w:eastAsia="Times New Roman" w:hAnsi="Times New Roman" w:cs="Times New Roman"/>
                <w:i/>
                <w:sz w:val="24"/>
              </w:rPr>
            </w:pPr>
            <w:r>
              <w:rPr>
                <w:rFonts w:ascii="Times New Roman" w:hAnsi="Times New Roman"/>
                <w:i/>
                <w:sz w:val="24"/>
              </w:rPr>
              <w:t>Volný text</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26</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V případě konvertibilního nástroje, konvertibilní zcela nebo částečně</w:t>
            </w:r>
          </w:p>
          <w:p>
            <w:pPr>
              <w:spacing w:after="200" w:line="276" w:lineRule="auto"/>
              <w:jc w:val="both"/>
              <w:rPr>
                <w:rFonts w:ascii="Times New Roman" w:eastAsia="Times New Roman" w:hAnsi="Times New Roman" w:cs="Times New Roman"/>
                <w:sz w:val="24"/>
              </w:rPr>
            </w:pPr>
            <w:r>
              <w:rPr>
                <w:rFonts w:ascii="Times New Roman" w:hAnsi="Times New Roman"/>
                <w:sz w:val="24"/>
              </w:rPr>
              <w:t>Upřesňuje, zda bude nástroj vždy převeden zcela, zda může být převeden zcela nebo částečně, nebo zda bude vždy převeden částečně.</w:t>
            </w:r>
          </w:p>
          <w:p>
            <w:pPr>
              <w:spacing w:after="200" w:line="276" w:lineRule="auto"/>
              <w:jc w:val="both"/>
              <w:rPr>
                <w:rFonts w:ascii="Times New Roman" w:eastAsia="Times New Roman" w:hAnsi="Times New Roman" w:cs="Times New Roman"/>
                <w:i/>
                <w:sz w:val="24"/>
              </w:rPr>
            </w:pPr>
            <w:r>
              <w:rPr>
                <w:rFonts w:ascii="Times New Roman" w:hAnsi="Times New Roman"/>
                <w:i/>
                <w:sz w:val="24"/>
              </w:rPr>
              <w:t>Výběr z nabídky: [Vždy zcela] [Částečně nebo zcela] [Vždy částečně]</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27</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V případě konvertibilního nástroje, konverzní faktor</w:t>
            </w:r>
          </w:p>
          <w:p>
            <w:pPr>
              <w:spacing w:after="200" w:line="276" w:lineRule="auto"/>
              <w:jc w:val="both"/>
              <w:rPr>
                <w:rFonts w:ascii="Times New Roman" w:eastAsia="Times New Roman" w:hAnsi="Times New Roman" w:cs="Times New Roman"/>
                <w:sz w:val="24"/>
              </w:rPr>
            </w:pPr>
            <w:r>
              <w:rPr>
                <w:rFonts w:ascii="Times New Roman" w:hAnsi="Times New Roman"/>
                <w:sz w:val="24"/>
              </w:rPr>
              <w:t>Upřesňuje konverzní faktor při převedení na nástroj více absorbující ztráty.</w:t>
            </w:r>
          </w:p>
          <w:p>
            <w:pPr>
              <w:spacing w:after="200" w:line="276" w:lineRule="auto"/>
              <w:jc w:val="both"/>
              <w:rPr>
                <w:rFonts w:ascii="Times New Roman" w:eastAsia="Times New Roman" w:hAnsi="Times New Roman" w:cs="Times New Roman"/>
                <w:i/>
                <w:sz w:val="24"/>
              </w:rPr>
            </w:pPr>
            <w:r>
              <w:rPr>
                <w:rFonts w:ascii="Times New Roman" w:hAnsi="Times New Roman"/>
                <w:i/>
                <w:sz w:val="24"/>
              </w:rPr>
              <w:t>Volný text</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28</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 xml:space="preserve"> V případě konvertibilního nástroje, povinná nebo nepovinná konverze</w:t>
            </w:r>
          </w:p>
          <w:p>
            <w:pPr>
              <w:spacing w:after="200" w:line="276" w:lineRule="auto"/>
              <w:jc w:val="both"/>
              <w:rPr>
                <w:rFonts w:ascii="Times New Roman" w:eastAsia="Times New Roman" w:hAnsi="Times New Roman" w:cs="Times New Roman"/>
                <w:sz w:val="24"/>
              </w:rPr>
            </w:pPr>
            <w:r>
              <w:rPr>
                <w:rFonts w:ascii="Times New Roman" w:hAnsi="Times New Roman"/>
                <w:sz w:val="24"/>
              </w:rPr>
              <w:t>U</w:t>
            </w:r>
            <w:r>
              <w:rPr>
                <w:rFonts w:ascii="Times New Roman" w:eastAsia="Times New Roman" w:hAnsi="Times New Roman" w:cs="Times New Roman"/>
                <w:sz w:val="24"/>
              </w:rPr>
              <w:t> </w:t>
            </w:r>
            <w:r>
              <w:rPr>
                <w:rFonts w:ascii="Times New Roman" w:hAnsi="Times New Roman"/>
                <w:sz w:val="24"/>
              </w:rPr>
              <w:t>konvertibilních nástrojů upřesňuje, zda je konverze povinná nebo nepovinná.</w:t>
            </w:r>
          </w:p>
          <w:p>
            <w:pPr>
              <w:spacing w:after="200" w:line="276" w:lineRule="auto"/>
              <w:jc w:val="both"/>
              <w:rPr>
                <w:rFonts w:ascii="Times New Roman" w:eastAsia="Times New Roman" w:hAnsi="Times New Roman" w:cs="Times New Roman"/>
                <w:i/>
                <w:sz w:val="24"/>
              </w:rPr>
            </w:pPr>
            <w:r>
              <w:rPr>
                <w:rFonts w:ascii="Times New Roman" w:hAnsi="Times New Roman"/>
                <w:i/>
                <w:sz w:val="24"/>
              </w:rPr>
              <w:t>Výběr z nabídky: [Povinná] [Nepovinná] [Nepoužitelné] a [Dle uvážení držitelů] [Dle uvážení emitenta] [Dle uvážení držitelů i emitenta]</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29</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V případě konvertibilního nástroje upřesněte, na jaký typ nástroje lze dotyčný nástroj převést.</w:t>
            </w:r>
          </w:p>
          <w:p>
            <w:pPr>
              <w:spacing w:after="200" w:line="276" w:lineRule="auto"/>
              <w:jc w:val="both"/>
              <w:rPr>
                <w:rFonts w:ascii="Times New Roman" w:eastAsia="Times New Roman" w:hAnsi="Times New Roman" w:cs="Times New Roman"/>
                <w:sz w:val="24"/>
              </w:rPr>
            </w:pPr>
            <w:r>
              <w:rPr>
                <w:rFonts w:ascii="Times New Roman" w:hAnsi="Times New Roman"/>
                <w:sz w:val="24"/>
              </w:rPr>
              <w:t>U</w:t>
            </w:r>
            <w:r>
              <w:rPr>
                <w:rFonts w:ascii="Times New Roman" w:eastAsia="Times New Roman" w:hAnsi="Times New Roman" w:cs="Times New Roman"/>
                <w:sz w:val="24"/>
              </w:rPr>
              <w:t> </w:t>
            </w:r>
            <w:r>
              <w:rPr>
                <w:rFonts w:ascii="Times New Roman" w:hAnsi="Times New Roman"/>
                <w:sz w:val="24"/>
              </w:rPr>
              <w:t>konvertibilních nástrojů upřesňuje, na jaký typ nástroje lze dotyčný nástroj převést.</w:t>
            </w:r>
          </w:p>
          <w:p>
            <w:pPr>
              <w:spacing w:after="200" w:line="276" w:lineRule="auto"/>
              <w:jc w:val="both"/>
              <w:rPr>
                <w:rFonts w:ascii="Times New Roman" w:eastAsia="Times New Roman" w:hAnsi="Times New Roman" w:cs="Times New Roman"/>
                <w:i/>
                <w:sz w:val="24"/>
              </w:rPr>
            </w:pPr>
            <w:r>
              <w:rPr>
                <w:rFonts w:ascii="Times New Roman" w:hAnsi="Times New Roman"/>
                <w:i/>
                <w:sz w:val="24"/>
              </w:rPr>
              <w:t>Výběr z nabídky: [Kmenový kapitál tier 1] [Vedlejší kapitál tier 1] [Kapitál tier 2] [Jiné]</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30</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V případě konvertibilního nástroje uveďte emitenta nástroje, na nějž je dotyčný nástroj převeden.</w:t>
            </w:r>
          </w:p>
          <w:p>
            <w:pPr>
              <w:spacing w:after="200" w:line="276" w:lineRule="auto"/>
              <w:jc w:val="both"/>
              <w:rPr>
                <w:rFonts w:ascii="Times New Roman" w:eastAsia="Times New Roman" w:hAnsi="Times New Roman" w:cs="Times New Roman"/>
                <w:sz w:val="24"/>
              </w:rPr>
            </w:pPr>
            <w:r>
              <w:rPr>
                <w:rFonts w:ascii="Times New Roman" w:hAnsi="Times New Roman"/>
                <w:sz w:val="24"/>
              </w:rPr>
              <w:t>V</w:t>
            </w:r>
            <w:r>
              <w:rPr>
                <w:rFonts w:ascii="Times New Roman" w:eastAsia="Times New Roman" w:hAnsi="Times New Roman" w:cs="Times New Roman"/>
                <w:sz w:val="24"/>
              </w:rPr>
              <w:t> </w:t>
            </w:r>
            <w:r>
              <w:rPr>
                <w:rFonts w:ascii="Times New Roman" w:hAnsi="Times New Roman"/>
                <w:sz w:val="24"/>
              </w:rPr>
              <w:t>případě konvertibilního nástroje uveďte emitenta nástroje, na nějž je dotyčný nástroj převeden.</w:t>
            </w:r>
          </w:p>
          <w:p>
            <w:pPr>
              <w:spacing w:after="200" w:line="276" w:lineRule="auto"/>
              <w:jc w:val="both"/>
              <w:rPr>
                <w:rFonts w:ascii="Times New Roman" w:eastAsia="Times New Roman" w:hAnsi="Times New Roman" w:cs="Times New Roman"/>
                <w:i/>
                <w:sz w:val="24"/>
              </w:rPr>
            </w:pPr>
            <w:r>
              <w:rPr>
                <w:rFonts w:ascii="Times New Roman" w:hAnsi="Times New Roman"/>
                <w:i/>
                <w:sz w:val="24"/>
              </w:rPr>
              <w:t>Volný text</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31</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Možnost snížení účetní hodnoty</w:t>
            </w:r>
          </w:p>
          <w:p>
            <w:pPr>
              <w:spacing w:after="200" w:line="276" w:lineRule="auto"/>
              <w:jc w:val="both"/>
              <w:rPr>
                <w:rFonts w:ascii="Times New Roman" w:eastAsia="Times New Roman" w:hAnsi="Times New Roman" w:cs="Times New Roman"/>
                <w:sz w:val="24"/>
              </w:rPr>
            </w:pPr>
            <w:r>
              <w:rPr>
                <w:rFonts w:ascii="Times New Roman" w:hAnsi="Times New Roman"/>
                <w:sz w:val="24"/>
              </w:rPr>
              <w:t>Upřesňuje, zda existuje možnost snížení účetní hodnoty.</w:t>
            </w:r>
          </w:p>
          <w:p>
            <w:pPr>
              <w:spacing w:after="200" w:line="276" w:lineRule="auto"/>
              <w:jc w:val="both"/>
              <w:rPr>
                <w:rFonts w:ascii="Times New Roman" w:eastAsia="Times New Roman" w:hAnsi="Times New Roman" w:cs="Times New Roman"/>
                <w:i/>
                <w:sz w:val="24"/>
              </w:rPr>
            </w:pPr>
            <w:r>
              <w:rPr>
                <w:rFonts w:ascii="Times New Roman" w:hAnsi="Times New Roman"/>
                <w:i/>
                <w:sz w:val="24"/>
              </w:rPr>
              <w:t>Výběr z nabídky: [Ano] [Ne]</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32</w:t>
            </w:r>
          </w:p>
        </w:tc>
        <w:tc>
          <w:tcPr>
            <w:tcW w:w="7661" w:type="dxa"/>
            <w:shd w:val="clear" w:color="auto" w:fill="auto"/>
            <w:noWrap/>
            <w:vAlign w:val="bottom"/>
          </w:tcPr>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V případě snížení účetní hodnoty, rozhodná událost pro snížení účetní hodnoty</w:t>
            </w:r>
          </w:p>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Upřesňuje rozhodné události, které vedou k snížení účetní hodnoty, včetně okamžiku neživotaschopnosti. Může-li snížení hodnoty provést jeden nebo více orgánů, uvedou se tyto orgány. U každého orgánu se uvede, zda právní základ pro snížení účetní hodnoty orgánem stanoví podmínky smlouvy týkající se nástroje (smluvní přístup), nebo zda je právní základ stanoven zákonným způsobem (zákonný přístup).</w:t>
            </w:r>
          </w:p>
          <w:p>
            <w:pPr>
              <w:spacing w:after="200" w:line="276" w:lineRule="auto"/>
              <w:jc w:val="both"/>
              <w:rPr>
                <w:rFonts w:ascii="Times New Roman" w:eastAsia="Times New Roman" w:hAnsi="Times New Roman" w:cs="Times New Roman"/>
                <w:i/>
                <w:sz w:val="24"/>
              </w:rPr>
            </w:pPr>
            <w:r>
              <w:rPr>
                <w:rFonts w:ascii="Times New Roman" w:hAnsi="Times New Roman"/>
                <w:i/>
                <w:sz w:val="24"/>
              </w:rPr>
              <w:t>Volný text</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33</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V případě snížení účetní hodnoty, snížení v celém rozsahu nebo částečné</w:t>
            </w:r>
          </w:p>
          <w:p>
            <w:pPr>
              <w:spacing w:after="200" w:line="276" w:lineRule="auto"/>
              <w:jc w:val="both"/>
              <w:rPr>
                <w:rFonts w:ascii="Times New Roman" w:eastAsia="Times New Roman" w:hAnsi="Times New Roman" w:cs="Times New Roman"/>
                <w:sz w:val="24"/>
              </w:rPr>
            </w:pPr>
            <w:r>
              <w:rPr>
                <w:rFonts w:ascii="Times New Roman" w:hAnsi="Times New Roman"/>
                <w:sz w:val="24"/>
              </w:rPr>
              <w:t>Upřesňuje, zda bude nástroj vždy odepsán zcela, nebo zda může být odepsán částečně, nebo zda bude vždy odepsán částečně. Pomáhá posoudit úroveň schopnosti absorbovat ztráty při snížení účetní hodnoty.</w:t>
            </w:r>
          </w:p>
          <w:p>
            <w:pPr>
              <w:spacing w:after="200" w:line="276" w:lineRule="auto"/>
              <w:jc w:val="both"/>
              <w:rPr>
                <w:rFonts w:ascii="Times New Roman" w:eastAsia="Times New Roman" w:hAnsi="Times New Roman" w:cs="Times New Roman"/>
                <w:i/>
                <w:sz w:val="24"/>
              </w:rPr>
            </w:pPr>
            <w:r>
              <w:rPr>
                <w:rFonts w:ascii="Times New Roman" w:hAnsi="Times New Roman"/>
                <w:i/>
                <w:sz w:val="24"/>
              </w:rPr>
              <w:t xml:space="preserve">Výběr z nabídky: [Vždy zcela] [Částečně nebo zcela] [Vždy částečně] </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34</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V případě snížení účetní hodnoty, trvalé nebo dočasné snížení</w:t>
            </w:r>
          </w:p>
          <w:p>
            <w:pPr>
              <w:spacing w:after="200" w:line="276" w:lineRule="auto"/>
              <w:jc w:val="both"/>
              <w:rPr>
                <w:rFonts w:ascii="Times New Roman" w:eastAsia="Times New Roman" w:hAnsi="Times New Roman" w:cs="Times New Roman"/>
                <w:sz w:val="24"/>
              </w:rPr>
            </w:pPr>
            <w:r>
              <w:rPr>
                <w:rFonts w:ascii="Times New Roman" w:hAnsi="Times New Roman"/>
                <w:sz w:val="24"/>
              </w:rPr>
              <w:t>V</w:t>
            </w:r>
            <w:r>
              <w:rPr>
                <w:rFonts w:ascii="Times New Roman" w:eastAsia="Times New Roman" w:hAnsi="Times New Roman" w:cs="Times New Roman"/>
                <w:sz w:val="24"/>
              </w:rPr>
              <w:t> </w:t>
            </w:r>
            <w:r>
              <w:rPr>
                <w:rFonts w:ascii="Times New Roman" w:hAnsi="Times New Roman"/>
                <w:sz w:val="24"/>
              </w:rPr>
              <w:t>případě snížení účetní hodnoty nástroje upřesňuje, zda je toto snížení trvalé nebo dočasné.</w:t>
            </w:r>
          </w:p>
          <w:p>
            <w:pPr>
              <w:spacing w:after="200" w:line="276" w:lineRule="auto"/>
              <w:jc w:val="both"/>
              <w:rPr>
                <w:rFonts w:ascii="Times New Roman" w:eastAsia="Times New Roman" w:hAnsi="Times New Roman" w:cs="Times New Roman"/>
                <w:i/>
                <w:sz w:val="24"/>
              </w:rPr>
            </w:pPr>
            <w:r>
              <w:rPr>
                <w:rFonts w:ascii="Times New Roman" w:hAnsi="Times New Roman"/>
                <w:i/>
                <w:sz w:val="24"/>
              </w:rPr>
              <w:t>Výběr z nabídky: [Trvalé] [Dočasné] [Nepoužije se]</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35</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V případě dočasného snížení účetní hodnoty, popis mechanismu zvýšení účetní hodnoty</w:t>
            </w:r>
          </w:p>
          <w:p>
            <w:pPr>
              <w:spacing w:after="200" w:line="276" w:lineRule="auto"/>
              <w:jc w:val="both"/>
              <w:rPr>
                <w:rFonts w:ascii="Times New Roman" w:eastAsia="Times New Roman" w:hAnsi="Times New Roman" w:cs="Times New Roman"/>
                <w:sz w:val="24"/>
              </w:rPr>
            </w:pPr>
            <w:r>
              <w:rPr>
                <w:rFonts w:ascii="Times New Roman" w:hAnsi="Times New Roman"/>
                <w:sz w:val="24"/>
              </w:rPr>
              <w:t>Popisuje mechanismus zvýšení účetní hodnoty.</w:t>
            </w:r>
          </w:p>
          <w:p>
            <w:pPr>
              <w:spacing w:after="200" w:line="276" w:lineRule="auto"/>
              <w:jc w:val="both"/>
              <w:rPr>
                <w:rFonts w:ascii="Times New Roman" w:eastAsia="Times New Roman" w:hAnsi="Times New Roman" w:cs="Times New Roman"/>
                <w:i/>
                <w:sz w:val="24"/>
              </w:rPr>
            </w:pPr>
            <w:r>
              <w:rPr>
                <w:rFonts w:ascii="Times New Roman" w:hAnsi="Times New Roman"/>
                <w:i/>
                <w:sz w:val="24"/>
              </w:rPr>
              <w:t>Volný text</w:t>
            </w:r>
          </w:p>
        </w:tc>
      </w:tr>
      <w:tr>
        <w:trPr>
          <w:trHeight w:val="1448"/>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36</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Rysy nesplňující požadavky</w:t>
            </w:r>
          </w:p>
          <w:p>
            <w:pPr>
              <w:spacing w:after="200" w:line="276" w:lineRule="auto"/>
              <w:jc w:val="both"/>
              <w:rPr>
                <w:rFonts w:ascii="Times New Roman" w:eastAsia="Times New Roman" w:hAnsi="Times New Roman" w:cs="Times New Roman"/>
                <w:sz w:val="24"/>
              </w:rPr>
            </w:pPr>
            <w:r>
              <w:rPr>
                <w:rFonts w:ascii="Times New Roman" w:hAnsi="Times New Roman"/>
                <w:sz w:val="24"/>
              </w:rPr>
              <w:t>Informace o tom, zda existují rysy nesplňující požadavky.</w:t>
            </w:r>
          </w:p>
          <w:p>
            <w:pPr>
              <w:spacing w:after="200" w:line="276" w:lineRule="auto"/>
              <w:jc w:val="both"/>
              <w:rPr>
                <w:rFonts w:ascii="Times New Roman" w:eastAsia="Times New Roman" w:hAnsi="Times New Roman" w:cs="Times New Roman"/>
                <w:i/>
                <w:sz w:val="24"/>
              </w:rPr>
            </w:pPr>
            <w:r>
              <w:rPr>
                <w:rFonts w:ascii="Times New Roman" w:hAnsi="Times New Roman"/>
                <w:sz w:val="24"/>
              </w:rPr>
              <w:t>Vyberte [ano] nebo [ne].</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37</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Pokud ano, uveďte rysy nesplňující požadavky.</w:t>
            </w:r>
          </w:p>
          <w:p>
            <w:pPr>
              <w:spacing w:after="200" w:line="276" w:lineRule="auto"/>
              <w:jc w:val="both"/>
              <w:rPr>
                <w:rFonts w:ascii="Times New Roman" w:eastAsia="Times New Roman" w:hAnsi="Times New Roman" w:cs="Times New Roman"/>
                <w:sz w:val="24"/>
              </w:rPr>
            </w:pPr>
            <w:r>
              <w:rPr>
                <w:rFonts w:ascii="Times New Roman" w:hAnsi="Times New Roman"/>
                <w:sz w:val="24"/>
              </w:rPr>
              <w:t>Pokud existují rysy nesplňující požadavky, instituce upřesní jaké.</w:t>
            </w:r>
          </w:p>
          <w:p>
            <w:pPr>
              <w:spacing w:after="200" w:line="276" w:lineRule="auto"/>
              <w:jc w:val="both"/>
              <w:rPr>
                <w:rFonts w:ascii="Times New Roman" w:eastAsia="Times New Roman" w:hAnsi="Times New Roman" w:cs="Times New Roman"/>
                <w:i/>
                <w:sz w:val="24"/>
              </w:rPr>
            </w:pPr>
            <w:r>
              <w:rPr>
                <w:rFonts w:ascii="Times New Roman" w:hAnsi="Times New Roman"/>
                <w:i/>
                <w:sz w:val="24"/>
              </w:rPr>
              <w:t>Volný text</w:t>
            </w:r>
          </w:p>
        </w:tc>
      </w:tr>
      <w:tr>
        <w:trPr>
          <w:trHeight w:val="259"/>
        </w:trPr>
        <w:tc>
          <w:tcPr>
            <w:tcW w:w="1030"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38</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Odkaz na úplné znění podmínek nástroje (odkaz)</w:t>
            </w:r>
          </w:p>
          <w:p>
            <w:pPr>
              <w:spacing w:after="200" w:line="276" w:lineRule="auto"/>
              <w:jc w:val="both"/>
              <w:rPr>
                <w:rFonts w:ascii="Times New Roman" w:eastAsia="Times New Roman" w:hAnsi="Times New Roman" w:cs="Times New Roman"/>
                <w:sz w:val="24"/>
              </w:rPr>
            </w:pPr>
            <w:r>
              <w:rPr>
                <w:rFonts w:ascii="Times New Roman" w:hAnsi="Times New Roman"/>
                <w:sz w:val="24"/>
              </w:rPr>
              <w:t>Investiční podniky uvedou hypertextový odkaz s přístupem k prospektu emise včetně veškerých podmínek nástroje.</w:t>
            </w:r>
          </w:p>
        </w:tc>
      </w:tr>
      <w:bookmarkEnd w:id="0"/>
      <w:bookmarkEnd w:id="1"/>
      <w:bookmarkEnd w:id="2"/>
      <w:bookmarkEnd w:id="3"/>
      <w:bookmarkEnd w:id="4"/>
      <w:bookmarkEnd w:id="5"/>
      <w:bookmarkEnd w:id="6"/>
      <w:bookmarkEnd w:id="7"/>
      <w:bookmarkEnd w:id="8"/>
      <w:bookmarkEnd w:id="9"/>
    </w:tbl>
    <w:p>
      <w:pPr>
        <w:rPr>
          <w:rFonts w:ascii="Times New Roman" w:hAnsi="Times New Roman" w:cs="Times New Roman"/>
          <w:bCs/>
          <w:sz w:val="24"/>
        </w:rPr>
      </w:pPr>
    </w:p>
    <w:sectPr>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pgNumType w:start="1"/>
      <w:cols w:space="708"/>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BE7F485" w16cid:durableId="2489A155"/>
  <w16cid:commentId w16cid:paraId="5A84DE01" w16cid:durableId="2489A156"/>
  <w16cid:commentId w16cid:paraId="0576AF74" w16cid:durableId="2489A157"/>
  <w16cid:commentId w16cid:paraId="3E2FC3C7" w16cid:durableId="2489A158"/>
  <w16cid:commentId w16cid:paraId="6CF80F95" w16cid:durableId="2489A159"/>
  <w16cid:commentId w16cid:paraId="044B03BE" w16cid:durableId="2489A15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tabs>
        <w:tab w:val="clear" w:pos="4320"/>
        <w:tab w:val="clear" w:pos="8640"/>
        <w:tab w:val="right" w:pos="9071"/>
      </w:tabs>
    </w:pPr>
    <w:r>
      <w:t>CS - Cleaned document</w:t>
    </w:r>
    <w:r>
      <w:tab/>
    </w:r>
    <w:r>
      <w:fldChar w:fldCharType="begin"/>
    </w:r>
    <w:r>
      <w:instrText xml:space="preserve"> PAGE \* MERGEFORMAT </w:instrText>
    </w:r>
    <w:r>
      <w:fldChar w:fldCharType="separate"/>
    </w:r>
    <w:r>
      <w:rPr>
        <w:noProof/>
      </w:rPr>
      <w:t>1</w:t>
    </w:r>
    <w:r>
      <w:fldChar w:fldCharType="end"/>
    </w:r>
    <w:r>
      <w:t>/</w:t>
    </w:r>
    <w:fldSimple w:instr=" NUMPAGES \* MERGEFORMAT ">
      <w:r>
        <w:rPr>
          <w:noProof/>
        </w:rPr>
        <w:t>25</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rPr>
          <w:sz w:val="12"/>
          <w:szCs w:val="12"/>
        </w:rPr>
      </w:pPr>
      <w:r>
        <w:rPr>
          <w:sz w:val="12"/>
          <w:szCs w:val="12"/>
        </w:rPr>
        <w:separator/>
      </w:r>
    </w:p>
  </w:footnote>
  <w:footnote w:type="continuationSeparator" w:id="0">
    <w:p>
      <w:r>
        <w:continuationSeparator/>
      </w:r>
    </w:p>
  </w:footnote>
  <w:footnote w:type="continuationNotice" w:id="1">
    <w:p>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8"/>
  </w:num>
  <w:num w:numId="5">
    <w:abstractNumId w:val="14"/>
  </w:num>
  <w:num w:numId="6">
    <w:abstractNumId w:val="1"/>
  </w:num>
  <w:num w:numId="7">
    <w:abstractNumId w:val="13"/>
  </w:num>
  <w:num w:numId="8">
    <w:abstractNumId w:val="10"/>
  </w:num>
  <w:num w:numId="9">
    <w:abstractNumId w:val="0"/>
  </w:num>
  <w:num w:numId="10">
    <w:abstractNumId w:val="5"/>
  </w:num>
  <w:num w:numId="11">
    <w:abstractNumId w:val="12"/>
  </w:num>
  <w:num w:numId="12">
    <w:abstractNumId w:val="4"/>
  </w:num>
  <w:num w:numId="13">
    <w:abstractNumId w:val="10"/>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en-IE" w:vendorID="64" w:dllVersion="131078" w:nlCheck="1" w:checkStyle="1"/>
  <w:revisionView w:markup="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87393"/>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7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rPr>
  </w:style>
  <w:style w:type="paragraph" w:styleId="Heading1">
    <w:name w:val="heading 1"/>
    <w:aliases w:val="Cover title white"/>
    <w:next w:val="Normal"/>
    <w:link w:val="Heading1Char"/>
    <w:semiHidden/>
    <w:qFormat/>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pPr>
      <w:numPr>
        <w:numId w:val="7"/>
      </w:numPr>
    </w:p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pPr>
      <w:numPr>
        <w:ilvl w:val="1"/>
        <w:numId w:val="7"/>
      </w:numPr>
    </w:pPr>
  </w:style>
  <w:style w:type="paragraph" w:customStyle="1" w:styleId="Titlelevel2">
    <w:name w:val="Title level 2"/>
    <w:qFormat/>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customStyle="1" w:styleId="Tableheader">
    <w:name w:val="Table header"/>
    <w:next w:val="Tabledata"/>
    <w:qFormat/>
    <w:pPr>
      <w:spacing w:after="80"/>
    </w:pPr>
    <w:rPr>
      <w:rFonts w:ascii="Calibri" w:eastAsia="Times New Roman" w:hAnsi="Calibri" w:cs="Times New Roman"/>
      <w:b/>
      <w:color w:val="000000"/>
      <w:sz w:val="22"/>
      <w:szCs w:val="22"/>
    </w:rPr>
  </w:style>
  <w:style w:type="paragraph" w:customStyle="1" w:styleId="Tabledata">
    <w:name w:val="Table data"/>
    <w:basedOn w:val="body"/>
    <w:qFormat/>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pPr>
      <w:numPr>
        <w:numId w:val="5"/>
      </w:numPr>
    </w:pPr>
    <w:rPr>
      <w:sz w:val="22"/>
      <w:szCs w:val="22"/>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sz w:val="22"/>
    </w:rPr>
  </w:style>
  <w:style w:type="table" w:styleId="TableGrid">
    <w:name w:val="Table Grid"/>
    <w:basedOn w:val="TableProfessional"/>
    <w:uiPriority w:val="59"/>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6"/>
      </w:numPr>
      <w:spacing w:before="240" w:after="120"/>
      <w:contextualSpacing/>
    </w:pPr>
    <w:rPr>
      <w:sz w:val="22"/>
    </w:rPr>
  </w:style>
  <w:style w:type="paragraph" w:customStyle="1" w:styleId="Titlelevel1">
    <w:name w:val="Title level 1"/>
    <w:autoRedefine/>
    <w:qFormat/>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pPr>
      <w:spacing w:before="240" w:after="240"/>
    </w:pPr>
    <w:rPr>
      <w:b/>
      <w:color w:val="2F5773" w:themeColor="text2"/>
    </w:rPr>
  </w:style>
  <w:style w:type="paragraph" w:customStyle="1" w:styleId="Titlelevel4">
    <w:name w:val="Title level 4"/>
    <w:next w:val="body"/>
    <w:qFormat/>
    <w:pPr>
      <w:spacing w:before="240" w:after="240"/>
    </w:pPr>
    <w:rPr>
      <w:color w:val="E98E31" w:themeColor="background2"/>
    </w:rPr>
  </w:style>
  <w:style w:type="paragraph" w:customStyle="1" w:styleId="Figuretitle">
    <w:name w:val="Figure title"/>
    <w:basedOn w:val="body"/>
    <w:next w:val="Normal"/>
    <w:autoRedefine/>
    <w:qFormat/>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rPr>
      <w:caps/>
      <w:sz w:val="16"/>
      <w:szCs w:val="18"/>
    </w:rPr>
  </w:style>
  <w:style w:type="paragraph" w:styleId="FootnoteText">
    <w:name w:val="footnote text"/>
    <w:basedOn w:val="body"/>
    <w:link w:val="FootnoteTextChar"/>
    <w:autoRedefine/>
    <w:qFormat/>
    <w:pPr>
      <w:spacing w:before="80" w:after="0" w:line="200" w:lineRule="exact"/>
    </w:pPr>
    <w:rPr>
      <w:sz w:val="18"/>
      <w:szCs w:val="18"/>
    </w:rPr>
  </w:style>
  <w:style w:type="character" w:customStyle="1" w:styleId="FootnoteTextChar">
    <w:name w:val="Footnote Text Char"/>
    <w:basedOn w:val="DefaultParagraphFont"/>
    <w:link w:val="FootnoteText"/>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Pr>
      <w:rFonts w:asciiTheme="minorHAnsi" w:hAnsiTheme="minorHAnsi"/>
      <w:sz w:val="22"/>
      <w:szCs w:val="18"/>
      <w:vertAlign w:val="superscript"/>
    </w:rPr>
  </w:style>
  <w:style w:type="paragraph" w:customStyle="1" w:styleId="bullet1">
    <w:name w:val="bullet 1"/>
    <w:basedOn w:val="body"/>
    <w:next w:val="body"/>
    <w:qFormat/>
    <w:pPr>
      <w:numPr>
        <w:numId w:val="2"/>
      </w:numPr>
    </w:pPr>
    <w:rPr>
      <w:szCs w:val="22"/>
    </w:rPr>
  </w:style>
  <w:style w:type="paragraph" w:styleId="TOC1">
    <w:name w:val="toc 1"/>
    <w:autoRedefine/>
    <w:uiPriority w:val="39"/>
    <w:qFormat/>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pPr>
      <w:tabs>
        <w:tab w:val="left" w:pos="529"/>
        <w:tab w:val="right" w:pos="8771"/>
      </w:tabs>
      <w:spacing w:before="80" w:after="80"/>
    </w:pPr>
    <w:rPr>
      <w:noProof/>
      <w:sz w:val="22"/>
      <w:szCs w:val="22"/>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1"/>
      </w:numPr>
    </w:pPr>
    <w:rPr>
      <w:szCs w:val="22"/>
    </w:rPr>
  </w:style>
  <w:style w:type="paragraph" w:customStyle="1" w:styleId="Numberedtitlelevel3">
    <w:name w:val="Numbered title level 3"/>
    <w:basedOn w:val="Titlelevel3"/>
    <w:next w:val="body"/>
    <w:qFormat/>
    <w:pPr>
      <w:numPr>
        <w:ilvl w:val="2"/>
        <w:numId w:val="7"/>
      </w:numPr>
    </w:pPr>
  </w:style>
  <w:style w:type="table" w:styleId="LightShading">
    <w:name w:val="Light Shading"/>
    <w:basedOn w:val="TableNormal"/>
    <w:uiPriority w:val="6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
      </w:numPr>
    </w:p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sz w:val="22"/>
    </w:rPr>
  </w:style>
  <w:style w:type="paragraph" w:styleId="Title">
    <w:name w:val="Title"/>
    <w:basedOn w:val="Normal"/>
    <w:next w:val="Normal"/>
    <w:link w:val="TitleChar"/>
    <w:qFormat/>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2F5773" w:themeColor="accent1"/>
      <w:sz w:val="32"/>
      <w:szCs w:val="32"/>
      <w:lang w:val="cs-CZ"/>
    </w:rPr>
  </w:style>
  <w:style w:type="character" w:styleId="BookTitle">
    <w:name w:val="Book Title"/>
    <w:basedOn w:val="DefaultParagraphFont"/>
    <w:uiPriority w:val="33"/>
    <w:semiHidden/>
    <w:qFormat/>
    <w:rPr>
      <w:b/>
      <w:bCs/>
      <w:smallCaps/>
      <w:spacing w:val="5"/>
    </w:rPr>
  </w:style>
  <w:style w:type="character" w:customStyle="1" w:styleId="Highlighttext">
    <w:name w:val="Highlight text"/>
    <w:basedOn w:val="DefaultParagraphFont"/>
    <w:uiPriority w:val="1"/>
    <w:semiHidden/>
    <w:qFormat/>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Pr>
      <w:bCs/>
      <w:lang w:eastAsia="en-GB"/>
    </w:rPr>
  </w:style>
  <w:style w:type="paragraph" w:styleId="ListBullet">
    <w:name w:val="List Bullet"/>
    <w:basedOn w:val="Normal"/>
    <w:semiHidden/>
    <w:qFormat/>
    <w:pPr>
      <w:numPr>
        <w:numId w:val="9"/>
      </w:numPr>
      <w:contextualSpacing/>
    </w:pPr>
  </w:style>
  <w:style w:type="character" w:styleId="Hyperlink">
    <w:name w:val="Hyperlink"/>
    <w:basedOn w:val="DefaultParagraphFont"/>
    <w:uiPriority w:val="99"/>
    <w:rPr>
      <w:color w:val="2F5773" w:themeColor="hyperlink"/>
      <w:u w:val="single"/>
    </w:rPr>
  </w:style>
  <w:style w:type="paragraph" w:customStyle="1" w:styleId="numberedparagraph">
    <w:name w:val="numbered paragraph"/>
    <w:basedOn w:val="body"/>
    <w:qFormat/>
    <w:pPr>
      <w:numPr>
        <w:numId w:val="8"/>
      </w:numPr>
    </w:p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pPr>
      <w:spacing w:before="480"/>
      <w:outlineLvl w:val="9"/>
    </w:pPr>
    <w:rPr>
      <w:caps w:val="0"/>
      <w:color w:val="234156" w:themeColor="accent1" w:themeShade="BF"/>
      <w:sz w:val="28"/>
      <w:szCs w:val="28"/>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basedOn w:val="Normal"/>
    <w:link w:val="ListParagraphChar"/>
    <w:uiPriority w:val="34"/>
    <w:qFormat/>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aption">
    <w:name w:val="caption"/>
    <w:basedOn w:val="Normal"/>
    <w:next w:val="Normal"/>
    <w:uiPriority w:val="35"/>
    <w:unhideWhenUsed/>
    <w:qFormat/>
    <w:pPr>
      <w:spacing w:after="200"/>
    </w:pPr>
    <w:rPr>
      <w:b/>
      <w:bCs/>
      <w:color w:val="2F5773" w:themeColor="accent1"/>
      <w:sz w:val="18"/>
      <w:szCs w:val="18"/>
    </w:rPr>
  </w:style>
  <w:style w:type="paragraph" w:customStyle="1" w:styleId="TableTitle">
    <w:name w:val="TableTitle"/>
    <w:basedOn w:val="Normal"/>
    <w:next w:val="Normal"/>
    <w:link w:val="TableTitleChar"/>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Pr>
      <w:rFonts w:ascii="Arial" w:eastAsia="MS Mincho" w:hAnsi="Arial" w:cs="Times New Roman"/>
      <w:b/>
      <w:noProof/>
      <w:sz w:val="22"/>
      <w:szCs w:val="20"/>
      <w:lang w:val="cs-CZ"/>
    </w:rPr>
  </w:style>
  <w:style w:type="paragraph" w:styleId="Revision">
    <w:name w:val="Revision"/>
    <w:hidden/>
    <w:uiPriority w:val="99"/>
    <w:semiHidden/>
    <w:rPr>
      <w:sz w:val="22"/>
    </w:r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jc w:val="both"/>
    </w:pPr>
    <w:rPr>
      <w:rFonts w:ascii="Times New Roman" w:eastAsiaTheme="majorEastAsia" w:hAnsi="Times New Roman" w:cs="Arial"/>
      <w:bCs/>
      <w:szCs w:val="22"/>
      <w:lang w:eastAsia="de-DE"/>
    </w:rPr>
  </w:style>
  <w:style w:type="character" w:customStyle="1" w:styleId="InstructionsTextChar">
    <w:name w:val="Instructions Text Char"/>
    <w:link w:val="InstructionsText"/>
    <w:locked/>
    <w:rPr>
      <w:rFonts w:ascii="Times New Roman" w:eastAsiaTheme="majorEastAsia" w:hAnsi="Times New Roman" w:cs="Arial"/>
      <w:bCs/>
      <w:sz w:val="22"/>
      <w:szCs w:val="22"/>
      <w:lang w:val="cs-CZ" w:eastAsia="de-DE"/>
    </w:rPr>
  </w:style>
  <w:style w:type="character" w:customStyle="1" w:styleId="ListParagraphChar">
    <w:name w:val="List Paragraph Char"/>
    <w:link w:val="ListParagraph"/>
    <w:uiPriority w:val="34"/>
    <w:rPr>
      <w:rFonts w:ascii="Calibri" w:eastAsia="Calibri" w:hAnsi="Calibri" w:cs="Times New Roman"/>
      <w:sz w:val="22"/>
      <w:szCs w:val="22"/>
      <w:lang w:val="cs-CZ"/>
    </w:rPr>
  </w:style>
  <w:style w:type="paragraph" w:customStyle="1" w:styleId="InstructionsText2">
    <w:name w:val="Instructions Text 2"/>
    <w:basedOn w:val="InstructionsText"/>
    <w:qFormat/>
    <w:pPr>
      <w:numPr>
        <w:numId w:val="16"/>
      </w:numPr>
      <w:spacing w:after="240"/>
    </w:pPr>
    <w:rPr>
      <w:rFonts w:eastAsia="Times New Roman" w:cs="Times New Roman"/>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739952">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35836879">
      <w:bodyDiv w:val="1"/>
      <w:marLeft w:val="0"/>
      <w:marRight w:val="0"/>
      <w:marTop w:val="0"/>
      <w:marBottom w:val="0"/>
      <w:divBdr>
        <w:top w:val="none" w:sz="0" w:space="0" w:color="auto"/>
        <w:left w:val="none" w:sz="0" w:space="0" w:color="auto"/>
        <w:bottom w:val="none" w:sz="0" w:space="0" w:color="auto"/>
        <w:right w:val="none" w:sz="0" w:space="0" w:color="auto"/>
      </w:divBdr>
    </w:div>
    <w:div w:id="1406999856">
      <w:bodyDiv w:val="1"/>
      <w:marLeft w:val="0"/>
      <w:marRight w:val="0"/>
      <w:marTop w:val="0"/>
      <w:marBottom w:val="0"/>
      <w:divBdr>
        <w:top w:val="none" w:sz="0" w:space="0" w:color="auto"/>
        <w:left w:val="none" w:sz="0" w:space="0" w:color="auto"/>
        <w:bottom w:val="none" w:sz="0" w:space="0" w:color="auto"/>
        <w:right w:val="none" w:sz="0" w:space="0" w:color="auto"/>
      </w:divBdr>
    </w:div>
    <w:div w:id="1940988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CC540-6C7C-44E1-BFE2-6645752E7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8072</Words>
  <Characters>46016</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2021-11-25T15:00:00Z</dcterms:created>
  <dcterms:modified xsi:type="dcterms:W3CDTF">2021-11-25T16:39:00Z</dcterms:modified>
</cp:coreProperties>
</file>