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06AB66" w14:textId="77777777" w:rsidR="0095312E" w:rsidRPr="00467F5C" w:rsidRDefault="00467F5C">
      <w:pPr>
        <w:pStyle w:val="Typedudocument"/>
      </w:pPr>
      <w:r w:rsidRPr="00467F5C">
        <w:t>K</w:t>
      </w:r>
      <w:r w:rsidR="00644D19" w:rsidRPr="00467F5C">
        <w:t xml:space="preserve">omisjoni rakendusmäärus </w:t>
      </w:r>
      <w:r w:rsidRPr="00467F5C">
        <w:t xml:space="preserve">(EL) </w:t>
      </w:r>
      <w:r w:rsidR="00644D19" w:rsidRPr="00467F5C">
        <w:t xml:space="preserve">2021/…, </w:t>
      </w:r>
    </w:p>
    <w:p w14:paraId="3FEA4557" w14:textId="77777777" w:rsidR="0095312E" w:rsidRPr="00467F5C" w:rsidRDefault="00644D19">
      <w:pPr>
        <w:pStyle w:val="Datedadoption"/>
      </w:pPr>
      <w:r w:rsidRPr="00467F5C">
        <w:t>6. detsember 2021</w:t>
      </w:r>
      <w:r w:rsidR="00467F5C" w:rsidRPr="00467F5C">
        <w:t>,</w:t>
      </w:r>
      <w:r w:rsidRPr="00467F5C">
        <w:t xml:space="preserve"> </w:t>
      </w:r>
    </w:p>
    <w:p w14:paraId="1972F9EB" w14:textId="77777777" w:rsidR="0095312E" w:rsidRPr="00467F5C" w:rsidRDefault="00467F5C">
      <w:pPr>
        <w:pStyle w:val="Titreobjet"/>
      </w:pPr>
      <w:r w:rsidRPr="00467F5C">
        <w:t>milles sätestatakse rakenduslikud tehnilised standardid Euroopa Parlamendi ja nõukogu määruse (EL) 2019/2033 kohaldamiseks seoses investeerimisühingute järelevalvelise aruandluse ja avalikustamisega</w:t>
      </w:r>
    </w:p>
    <w:p w14:paraId="6AEA61A5" w14:textId="77777777" w:rsidR="0095312E" w:rsidRPr="00467F5C" w:rsidRDefault="00467F5C">
      <w:pPr>
        <w:pStyle w:val="IntrtEEE"/>
      </w:pPr>
      <w:r w:rsidRPr="00467F5C">
        <w:t>(EMPs kohaldatav tekst)</w:t>
      </w:r>
    </w:p>
    <w:p w14:paraId="3CB0D667" w14:textId="77777777" w:rsidR="0095312E" w:rsidRPr="00467F5C" w:rsidRDefault="00467F5C">
      <w:pPr>
        <w:pStyle w:val="Institutionquiagit"/>
      </w:pPr>
      <w:r w:rsidRPr="00467F5C">
        <w:t>EUROOPA KOMISJON,</w:t>
      </w:r>
    </w:p>
    <w:p w14:paraId="671DF0C7" w14:textId="77777777" w:rsidR="0095312E" w:rsidRPr="00467F5C" w:rsidRDefault="00467F5C">
      <w:r w:rsidRPr="00467F5C">
        <w:t>võttes arvesse Euroopa Liidu toimimise lepingut,</w:t>
      </w:r>
    </w:p>
    <w:p w14:paraId="02AAE773" w14:textId="77777777" w:rsidR="0095312E" w:rsidRPr="00467F5C" w:rsidRDefault="00467F5C">
      <w:r w:rsidRPr="00467F5C">
        <w:t>võttes arvesse Euroopa Parlamendi ja nõukogu 27. novembri 2019. aasta määrust (EL) 2019/2033, mis käsitleb investeerimisühingute suhtes kohaldatavaid usaldatavusnõudeid ning millega muudetakse määrusi (EL) nr 1093/2010, (EL) nr 575/2013, (EL) nr 600/2014 ja (EL) nr 806/2014, </w:t>
      </w:r>
      <w:r w:rsidRPr="00467F5C">
        <w:rPr>
          <w:rStyle w:val="FootnoteReference"/>
        </w:rPr>
        <w:footnoteReference w:id="1"/>
      </w:r>
      <w:r w:rsidRPr="00467F5C">
        <w:t xml:space="preserve"> eriti selle artikli 49 lõiget 2 ja artikli 54 lõiget 3,</w:t>
      </w:r>
    </w:p>
    <w:p w14:paraId="717DE27E" w14:textId="77777777" w:rsidR="0095312E" w:rsidRPr="00467F5C" w:rsidRDefault="00467F5C">
      <w:r w:rsidRPr="00467F5C">
        <w:t>ning arvestades järgmist:</w:t>
      </w:r>
    </w:p>
    <w:p w14:paraId="0566F311" w14:textId="77777777" w:rsidR="0095312E" w:rsidRPr="00467F5C" w:rsidRDefault="00467F5C">
      <w:pPr>
        <w:pStyle w:val="Considrant"/>
        <w:numPr>
          <w:ilvl w:val="0"/>
          <w:numId w:val="0"/>
        </w:numPr>
        <w:tabs>
          <w:tab w:val="left" w:pos="709"/>
        </w:tabs>
        <w:ind w:left="709" w:hanging="709"/>
      </w:pPr>
      <w:r w:rsidRPr="00467F5C">
        <w:t>(1)</w:t>
      </w:r>
      <w:r w:rsidRPr="00467F5C">
        <w:tab/>
        <w:t>Määruse (EL) 2019/2033 artiklis 54 sätestatud investeerimisühingute aruandlusnõuded tuleks kohandada investeerimisühingute äritegevusele ning need peaksid olema proportsionaalsed eri investeerimisühingute suuruse ja keerukusega. Nende nõuete puhul tuleks eelkõige arvesse võtta, et teatavaid investeerimisühinguid tuleb pidada väikesteks ja mitteseotud investeerimisühinguteks vastavalt määruse (EL) 2019/2033 artiklis 12 sätestatud tingimustele.</w:t>
      </w:r>
    </w:p>
    <w:p w14:paraId="59877DF5" w14:textId="77777777" w:rsidR="0095312E" w:rsidRPr="00467F5C" w:rsidRDefault="00467F5C">
      <w:pPr>
        <w:pStyle w:val="Considrant"/>
        <w:numPr>
          <w:ilvl w:val="0"/>
          <w:numId w:val="0"/>
        </w:numPr>
        <w:tabs>
          <w:tab w:val="left" w:pos="709"/>
        </w:tabs>
        <w:ind w:left="709" w:hanging="709"/>
      </w:pPr>
      <w:r w:rsidRPr="00467F5C">
        <w:t>(2)</w:t>
      </w:r>
      <w:r w:rsidRPr="00467F5C">
        <w:tab/>
        <w:t>Määruse (EL) 2019/2033 artikli 54 lõike 1 kohaselt peavad väikesed ja mitteseotud investeerimisühingud esitama teabe oma omavahendite suuruse ja koosseisu, omavahendite nõuete, omavahendite nõuete arvutamise aluse ja tegevuse taseme kohta seoses määruse (EL) 2019/2033 artikli 12 lõikes 1 sätestatud tingimustega. Väikesed ja mitteseotud investeerimisühingud ei pea seega esitama sama üksikasjalikku teavet kui muud investeerimisühingud, kelle suhtes kohaldatakse määrust (EL) 2019/2033. Seepärast ei tohiks väikeste ja mitteseotud investeerimisühingute suhtes kohaldada K-teguri arvutamise aruandevorme. Lisaks on väikesed ja mitteseotud investeerimisühingud määruse (EL) 2019/2033 artikli 54 lõike 2 kolmanda lõigu kohaselt vabastatud kontsentratsiooniriski aruandlusest ning pädevad asutused võivad nad vabastada likviidsusnõudeid käsitleva aruandluse kohustusest.</w:t>
      </w:r>
    </w:p>
    <w:p w14:paraId="3DF81558" w14:textId="77777777" w:rsidR="0095312E" w:rsidRPr="00467F5C" w:rsidRDefault="00467F5C">
      <w:pPr>
        <w:pStyle w:val="Considrant"/>
        <w:numPr>
          <w:ilvl w:val="0"/>
          <w:numId w:val="0"/>
        </w:numPr>
        <w:tabs>
          <w:tab w:val="left" w:pos="709"/>
        </w:tabs>
        <w:ind w:left="709" w:hanging="709"/>
      </w:pPr>
      <w:r w:rsidRPr="00467F5C">
        <w:t>(3)</w:t>
      </w:r>
      <w:r w:rsidRPr="00467F5C">
        <w:tab/>
        <w:t>Kõik investeerimisühingud, kelle suhtes kohaldatakse määrust (EL) 2019/2033, peaksid esitama teabe oma tegevusprofiili ja suuruse kohta, et pädevad asutused saaksid hinnata, kas kõnealused investeerimisühingud vastavad määruse (EL) 2019/2033 artiklis 12 sätestatud tingimustele, et neid saaks liigitada väikesteks ja mitteseotud investeerimisühinguteks.</w:t>
      </w:r>
    </w:p>
    <w:p w14:paraId="715795AD" w14:textId="77777777" w:rsidR="0095312E" w:rsidRPr="00467F5C" w:rsidRDefault="00467F5C">
      <w:pPr>
        <w:pStyle w:val="Considrant"/>
        <w:numPr>
          <w:ilvl w:val="0"/>
          <w:numId w:val="0"/>
        </w:numPr>
        <w:tabs>
          <w:tab w:val="left" w:pos="709"/>
        </w:tabs>
        <w:ind w:left="709" w:hanging="709"/>
      </w:pPr>
      <w:r w:rsidRPr="00467F5C">
        <w:t>(4)</w:t>
      </w:r>
      <w:r w:rsidRPr="00467F5C">
        <w:tab/>
        <w:t xml:space="preserve">Selleks et tagada läbipaistvus oma investoritele ja laiematele turgudele, on määruse (EL) 2019/2033 artiklis 46 ette nähtud, et muud investeerimisühingud kui väikesed ja mitteseotud investeerimisühingud peavad avalikustama kõnealuse määruse VI osas kindlaks määratud teabe. Väikeste ja mitteseotud investeerimisühingute suhtes </w:t>
      </w:r>
      <w:r w:rsidRPr="00467F5C">
        <w:lastRenderedPageBreak/>
        <w:t>kõnealuseid avalikustamisnõudeid ei kohaldada, välja arvatud juhul, kui nad emiteerivad täiendavatesse esimese taseme omavahenditesse kuuluvaid instrumente, et nendesse instrumentidesse investeerijate jaoks oleks tagatud läbipaistvus.</w:t>
      </w:r>
    </w:p>
    <w:p w14:paraId="4815FD57" w14:textId="77777777" w:rsidR="0095312E" w:rsidRPr="00467F5C" w:rsidRDefault="00467F5C">
      <w:pPr>
        <w:pStyle w:val="Considrant"/>
        <w:numPr>
          <w:ilvl w:val="0"/>
          <w:numId w:val="0"/>
        </w:numPr>
        <w:tabs>
          <w:tab w:val="left" w:pos="709"/>
        </w:tabs>
        <w:ind w:left="709" w:hanging="709"/>
      </w:pPr>
      <w:r w:rsidRPr="00467F5C">
        <w:t>(5)</w:t>
      </w:r>
      <w:r w:rsidRPr="00467F5C">
        <w:tab/>
        <w:t>Käesoleva määrusega tuleks investeerimisühingutele ette näha vormid ja tabelid, et nad saaksid esitada piisavalt põhjalikku ja võrreldavat teavet omavahendite koosseisu ja kvaliteedi kohta. Täpsemalt tuleb ette näha omavahendite koosseisu kvantitatiivse avalikustamise vorm ning paindlik vorm regulatiivsete omavahendite kooskõlastavaks võrdlemiseks auditeeritud finantsaruannetega. Samal põhjusel tuleb ette näha ka vorm, milles esitatakse teave investeerimisühingu emiteeritud omavahenditesse kuuluvate instrumentide kõige olulisemate tunnuste kohta.</w:t>
      </w:r>
    </w:p>
    <w:p w14:paraId="0EA4D73D" w14:textId="77777777" w:rsidR="0095312E" w:rsidRPr="00467F5C" w:rsidRDefault="00467F5C">
      <w:pPr>
        <w:pStyle w:val="Considrant"/>
        <w:numPr>
          <w:ilvl w:val="0"/>
          <w:numId w:val="0"/>
        </w:numPr>
        <w:tabs>
          <w:tab w:val="left" w:pos="709"/>
        </w:tabs>
        <w:ind w:left="709" w:hanging="709"/>
      </w:pPr>
      <w:r w:rsidRPr="00467F5C">
        <w:t>(6)</w:t>
      </w:r>
      <w:r w:rsidRPr="00467F5C">
        <w:tab/>
      </w:r>
      <w:r w:rsidRPr="00467F5C">
        <w:rPr>
          <w:color w:val="000000"/>
        </w:rPr>
        <w:t>Selleks et hõlbustada aruandlus- ja avalikustamisnõuete rakendamist, tuleb parandada aruandlus- ja avalikustamisvormide omavahelist kooskõla. Seepärast peaks omavahendite koosseisu avalikustamise vorm olema kooskõlas asjaomase omavahendite taseme ja koosseisu aruandluse vormiga. Samal põhjusel peaks omavahendite ja auditeeritud finantsaruannete täieliku kooskõlastava võrdlemise avalikustamise vorm olema paindlik selles mõttes, et vormi jaotus peaks põhinema investeerimisühingu auditeeritud finantsaruannetes esitatud bilansi jaotusel. Lisaks peaks regulatiivsete omavahendite põhitunnuseid käsitleva teabe avalikustamise vorm olema muutumatu vorm ja selle keerukus peaks sõltuma omavahenditesse kuuluvate instrumentide keerukusest.</w:t>
      </w:r>
    </w:p>
    <w:p w14:paraId="4AD2CCA3" w14:textId="2AA1DCF6" w:rsidR="0095312E" w:rsidRPr="00467F5C" w:rsidRDefault="00467F5C" w:rsidP="00076F5B">
      <w:pPr>
        <w:pStyle w:val="Considrant"/>
        <w:numPr>
          <w:ilvl w:val="0"/>
          <w:numId w:val="0"/>
        </w:numPr>
        <w:tabs>
          <w:tab w:val="left" w:pos="709"/>
        </w:tabs>
        <w:ind w:left="709" w:hanging="709"/>
      </w:pPr>
      <w:r w:rsidRPr="00467F5C">
        <w:t>(7)</w:t>
      </w:r>
      <w:r w:rsidRPr="00467F5C">
        <w:tab/>
        <w:t>Tagamaks, et investeerimisühingute nõuete täitmisega seotud kulud põhjendamatult ei suureneks ning et andmete kvaliteet säiliks, tuleks aruandlus- ja avalikustamiskohustused viia omavahel võimalikult suures ulatuses kooskõlla. Seepärast on asjakohane sätestada ühes määruses nii aruandlus- ja kui ka avalikustamisnõuete puhul kohaldatavad standardid.</w:t>
      </w:r>
    </w:p>
    <w:p w14:paraId="14016707" w14:textId="788288ED" w:rsidR="0095312E" w:rsidRPr="00467F5C" w:rsidRDefault="00467F5C">
      <w:pPr>
        <w:pStyle w:val="Considrant"/>
        <w:numPr>
          <w:ilvl w:val="0"/>
          <w:numId w:val="0"/>
        </w:numPr>
        <w:tabs>
          <w:tab w:val="left" w:pos="709"/>
        </w:tabs>
        <w:ind w:left="709" w:hanging="709"/>
      </w:pPr>
      <w:r w:rsidRPr="00467F5C">
        <w:t>(</w:t>
      </w:r>
      <w:r w:rsidR="00076F5B">
        <w:t>8</w:t>
      </w:r>
      <w:r w:rsidRPr="00467F5C">
        <w:t>)</w:t>
      </w:r>
      <w:r w:rsidRPr="00467F5C">
        <w:tab/>
        <w:t>Käesolev määrus põhineb rakenduslike tehniliste standardite eelnõul, mille Euroopa Pangandusjärelevalve (EBA) esitas komisjonile pärast konsulteerimist Euroopa Väärtpaberiturujärelevalvega.</w:t>
      </w:r>
    </w:p>
    <w:p w14:paraId="14DA3AE8" w14:textId="2A4B2909" w:rsidR="0095312E" w:rsidRPr="00467F5C" w:rsidRDefault="00467F5C">
      <w:pPr>
        <w:pStyle w:val="Considrant"/>
        <w:numPr>
          <w:ilvl w:val="0"/>
          <w:numId w:val="0"/>
        </w:numPr>
        <w:tabs>
          <w:tab w:val="left" w:pos="709"/>
        </w:tabs>
        <w:ind w:left="709" w:hanging="709"/>
      </w:pPr>
      <w:r w:rsidRPr="00467F5C">
        <w:t>(</w:t>
      </w:r>
      <w:r w:rsidR="00076F5B">
        <w:t>9</w:t>
      </w:r>
      <w:r w:rsidRPr="00467F5C">
        <w:t>)</w:t>
      </w:r>
      <w:r w:rsidRPr="00467F5C">
        <w:tab/>
        <w:t>EBA on korraldanud käesoleva määruse aluseks oleva rakenduslike tehniliste standardite eelnõu kohta avalikud konsultatsioonid, analüüsinud võimalikku kaasnevat kulu ja kasu ning küsinud nõu Euroopa Parlamendi ja nõukogu määruse (EL) nr 1093/2010 </w:t>
      </w:r>
      <w:r w:rsidRPr="00467F5C">
        <w:rPr>
          <w:rStyle w:val="FootnoteReference"/>
        </w:rPr>
        <w:footnoteReference w:id="2"/>
      </w:r>
      <w:r w:rsidRPr="00467F5C">
        <w:t xml:space="preserve"> artikli 37 kohaselt loodud pangandussektori sidusrühmade kogult,</w:t>
      </w:r>
    </w:p>
    <w:p w14:paraId="13129513" w14:textId="77777777" w:rsidR="0095312E" w:rsidRPr="00467F5C" w:rsidRDefault="00467F5C">
      <w:pPr>
        <w:pStyle w:val="Formuledadoption"/>
      </w:pPr>
      <w:r w:rsidRPr="00467F5C">
        <w:t>ON VASTU VÕTNUD KÄESOLEVA MÄÄRUSE:</w:t>
      </w:r>
    </w:p>
    <w:p w14:paraId="4AEDB59F" w14:textId="77777777" w:rsidR="0095312E" w:rsidRPr="00467F5C" w:rsidRDefault="00467F5C">
      <w:pPr>
        <w:pStyle w:val="ChapterTitle"/>
        <w:rPr>
          <w:b w:val="0"/>
        </w:rPr>
      </w:pPr>
      <w:r w:rsidRPr="00467F5C">
        <w:rPr>
          <w:b w:val="0"/>
        </w:rPr>
        <w:t>I PEATÜKK</w:t>
      </w:r>
    </w:p>
    <w:p w14:paraId="1C5D65B0" w14:textId="77777777" w:rsidR="0095312E" w:rsidRPr="00467F5C" w:rsidRDefault="00467F5C">
      <w:pPr>
        <w:pStyle w:val="ChapterTitle"/>
      </w:pPr>
      <w:r w:rsidRPr="00467F5C">
        <w:t>JÄRELEVALVELINE ARUANDLUS</w:t>
      </w:r>
    </w:p>
    <w:p w14:paraId="4612CB02" w14:textId="77777777" w:rsidR="0095312E" w:rsidRPr="00467F5C" w:rsidRDefault="00467F5C">
      <w:pPr>
        <w:pStyle w:val="Titrearticle"/>
      </w:pPr>
      <w:r w:rsidRPr="00467F5C">
        <w:t>Artikkel 1</w:t>
      </w:r>
    </w:p>
    <w:p w14:paraId="5A02DCCC" w14:textId="77777777" w:rsidR="0095312E" w:rsidRPr="00467F5C" w:rsidRDefault="00467F5C">
      <w:pPr>
        <w:pStyle w:val="Titrearticle"/>
        <w:spacing w:before="120"/>
        <w:rPr>
          <w:b/>
          <w:i w:val="0"/>
        </w:rPr>
      </w:pPr>
      <w:r w:rsidRPr="00467F5C">
        <w:rPr>
          <w:b/>
          <w:i w:val="0"/>
        </w:rPr>
        <w:t>Aruandekuupäevad</w:t>
      </w:r>
    </w:p>
    <w:p w14:paraId="3ADD6C7B" w14:textId="77777777" w:rsidR="0095312E" w:rsidRPr="00467F5C" w:rsidRDefault="00467F5C">
      <w:pPr>
        <w:pStyle w:val="NumPar1"/>
        <w:numPr>
          <w:ilvl w:val="0"/>
          <w:numId w:val="0"/>
        </w:numPr>
        <w:tabs>
          <w:tab w:val="left" w:pos="567"/>
        </w:tabs>
      </w:pPr>
      <w:r w:rsidRPr="00467F5C">
        <w:t>1.</w:t>
      </w:r>
      <w:r w:rsidRPr="00467F5C">
        <w:tab/>
        <w:t>Määruse artikli 54 lõikes 1 osutatud teave esitatakse järgmiste aruandekuupäevade seisuga:</w:t>
      </w:r>
    </w:p>
    <w:p w14:paraId="5B977383" w14:textId="77777777" w:rsidR="0095312E" w:rsidRPr="00467F5C" w:rsidRDefault="00467F5C">
      <w:pPr>
        <w:pStyle w:val="Point1letter"/>
        <w:numPr>
          <w:ilvl w:val="0"/>
          <w:numId w:val="0"/>
        </w:numPr>
        <w:ind w:left="567" w:hanging="567"/>
      </w:pPr>
      <w:r w:rsidRPr="00467F5C">
        <w:t>a)</w:t>
      </w:r>
      <w:r w:rsidRPr="00467F5C">
        <w:tab/>
        <w:t>kvartaliaruandlus: 31. märts, 30. juuni, 30. september ja 31. detsember;</w:t>
      </w:r>
    </w:p>
    <w:p w14:paraId="5C3757B5" w14:textId="77777777" w:rsidR="0095312E" w:rsidRPr="00467F5C" w:rsidRDefault="00467F5C">
      <w:pPr>
        <w:pStyle w:val="Point1letter"/>
        <w:numPr>
          <w:ilvl w:val="0"/>
          <w:numId w:val="0"/>
        </w:numPr>
        <w:ind w:left="567" w:hanging="567"/>
      </w:pPr>
      <w:r w:rsidRPr="00467F5C">
        <w:lastRenderedPageBreak/>
        <w:t>b)</w:t>
      </w:r>
      <w:r w:rsidRPr="00467F5C">
        <w:tab/>
        <w:t>aastaaruandlus: 31. detsember.</w:t>
      </w:r>
    </w:p>
    <w:p w14:paraId="522CA2E7" w14:textId="77777777" w:rsidR="0095312E" w:rsidRPr="00467F5C" w:rsidRDefault="00467F5C">
      <w:pPr>
        <w:pStyle w:val="NumPar1"/>
        <w:numPr>
          <w:ilvl w:val="0"/>
          <w:numId w:val="0"/>
        </w:numPr>
        <w:tabs>
          <w:tab w:val="left" w:pos="567"/>
        </w:tabs>
      </w:pPr>
      <w:r w:rsidRPr="00467F5C">
        <w:t>2.</w:t>
      </w:r>
      <w:r w:rsidRPr="00467F5C">
        <w:tab/>
        <w:t>Lõikes 1 osutatud aruandekuupäevi võib muuta, kui investeerimisühingutel on siseriikliku õiguse kohaselt lubatud esitada finantsteavet majandusaasta lõpu seisuga, mis erineb kalendriaastast, nii et kvartaliaruandlus toimub vastava majandusaasta iga kolme kuu järel ja aastaaruandlus majandusaasta lõpu seisuga.</w:t>
      </w:r>
    </w:p>
    <w:p w14:paraId="15726431" w14:textId="77777777" w:rsidR="0095312E" w:rsidRPr="00467F5C" w:rsidRDefault="00467F5C">
      <w:pPr>
        <w:pStyle w:val="Titrearticle"/>
      </w:pPr>
      <w:r w:rsidRPr="00467F5C">
        <w:t>Artikkel 2</w:t>
      </w:r>
    </w:p>
    <w:p w14:paraId="607A7155" w14:textId="77777777" w:rsidR="0095312E" w:rsidRPr="00467F5C" w:rsidRDefault="00467F5C">
      <w:pPr>
        <w:pStyle w:val="Titrearticle"/>
        <w:spacing w:before="120"/>
        <w:rPr>
          <w:b/>
          <w:i w:val="0"/>
        </w:rPr>
      </w:pPr>
      <w:r w:rsidRPr="00467F5C">
        <w:rPr>
          <w:b/>
          <w:i w:val="0"/>
        </w:rPr>
        <w:t>Aruande esitamise kuupäevad</w:t>
      </w:r>
    </w:p>
    <w:p w14:paraId="545AB94C" w14:textId="77777777" w:rsidR="0095312E" w:rsidRPr="00467F5C" w:rsidRDefault="00467F5C">
      <w:pPr>
        <w:pStyle w:val="NumPar1"/>
        <w:numPr>
          <w:ilvl w:val="0"/>
          <w:numId w:val="0"/>
        </w:numPr>
        <w:tabs>
          <w:tab w:val="left" w:pos="567"/>
        </w:tabs>
      </w:pPr>
      <w:r w:rsidRPr="00467F5C">
        <w:t>1.</w:t>
      </w:r>
      <w:r w:rsidRPr="00467F5C">
        <w:tab/>
        <w:t>Määruse (EL) 2019/2033 artikli 54 lõikes 1 osutatud teave esitatakse tööpäeva lõpuks järgmistel aruande esitamise kuupäevadel:</w:t>
      </w:r>
    </w:p>
    <w:p w14:paraId="37837645" w14:textId="77777777" w:rsidR="0095312E" w:rsidRPr="00467F5C" w:rsidRDefault="00467F5C">
      <w:pPr>
        <w:pStyle w:val="Point1letter"/>
        <w:numPr>
          <w:ilvl w:val="0"/>
          <w:numId w:val="0"/>
        </w:numPr>
        <w:ind w:left="567" w:hanging="567"/>
      </w:pPr>
      <w:r w:rsidRPr="00467F5C">
        <w:t>a)</w:t>
      </w:r>
      <w:r w:rsidRPr="00467F5C">
        <w:tab/>
        <w:t>kvartaliaruandlus: 12. mai, 11. august, 11. november ja 11. veebruar;</w:t>
      </w:r>
    </w:p>
    <w:p w14:paraId="495D10DA" w14:textId="77777777" w:rsidR="0095312E" w:rsidRPr="00467F5C" w:rsidRDefault="00467F5C">
      <w:pPr>
        <w:pStyle w:val="Point1letter"/>
        <w:numPr>
          <w:ilvl w:val="0"/>
          <w:numId w:val="0"/>
        </w:numPr>
        <w:ind w:left="567" w:hanging="567"/>
      </w:pPr>
      <w:r w:rsidRPr="00467F5C">
        <w:t>b)</w:t>
      </w:r>
      <w:r w:rsidRPr="00467F5C">
        <w:tab/>
        <w:t>aastaaruandlus: 11. veebruar.</w:t>
      </w:r>
    </w:p>
    <w:p w14:paraId="125C6898" w14:textId="77777777" w:rsidR="0095312E" w:rsidRPr="00467F5C" w:rsidRDefault="00467F5C">
      <w:pPr>
        <w:pStyle w:val="NumPar1"/>
        <w:numPr>
          <w:ilvl w:val="0"/>
          <w:numId w:val="0"/>
        </w:numPr>
        <w:tabs>
          <w:tab w:val="left" w:pos="567"/>
        </w:tabs>
      </w:pPr>
      <w:r w:rsidRPr="00467F5C">
        <w:t>2.</w:t>
      </w:r>
      <w:r w:rsidRPr="00467F5C">
        <w:tab/>
        <w:t>Kui aruande esitamise kuupäev on sellise pädeva asutuse liikmesriigis, kellele aruanne tuleb esitada, riigipüha või laupäev või pühapäev, on aruande esitamise kuupäev järgmine tööpäev.</w:t>
      </w:r>
    </w:p>
    <w:p w14:paraId="7E254A2F" w14:textId="77777777" w:rsidR="0095312E" w:rsidRPr="00467F5C" w:rsidRDefault="00467F5C">
      <w:pPr>
        <w:pStyle w:val="NumPar1"/>
        <w:numPr>
          <w:ilvl w:val="0"/>
          <w:numId w:val="0"/>
        </w:numPr>
        <w:tabs>
          <w:tab w:val="left" w:pos="567"/>
        </w:tabs>
      </w:pPr>
      <w:r w:rsidRPr="00467F5C">
        <w:t>3.</w:t>
      </w:r>
      <w:r w:rsidRPr="00467F5C">
        <w:tab/>
        <w:t>Kui investeerimisühing esitab oma finantsteavet muudetud aruandekuupäevade seisuga, lähtuvalt oma majandusaasta lõpust, nagu sätestatud käesoleva määruse artikli 1 lõikes 2, võib aruande esitamise kuupäevi vastavalt sellele muuta, nii et muudetud aruandekuupäeva ja aruande esitamise kuupäeva vahele jääb sama arv päevi.</w:t>
      </w:r>
    </w:p>
    <w:p w14:paraId="779BEB66" w14:textId="77777777" w:rsidR="0095312E" w:rsidRPr="00467F5C" w:rsidRDefault="00467F5C">
      <w:pPr>
        <w:pStyle w:val="NumPar1"/>
        <w:numPr>
          <w:ilvl w:val="0"/>
          <w:numId w:val="0"/>
        </w:numPr>
        <w:tabs>
          <w:tab w:val="left" w:pos="567"/>
        </w:tabs>
      </w:pPr>
      <w:r w:rsidRPr="00467F5C">
        <w:t>4.</w:t>
      </w:r>
      <w:r w:rsidRPr="00467F5C">
        <w:tab/>
        <w:t>Investeerimisühingud võivad esitada auditeerimata arvandmeid. Kui auditeeritud arvandmed erinevad juba esitatud auditeerimata arvandmetest, tuleb ilma põhjendamatute viivitusteta esitada parandatud, auditeeritud arvandmed. Käesoleva artikli kohaldamisel on „auditeerimata arvandmed“ sellised arvandmed, mille kohta ei ole saadud välisaudiitori arvamust, samas kui auditeeritud arvandmed on arvandmed, mille on auditeerinud välisaudiitor, kes on esitanud oma auditiarvamuse.</w:t>
      </w:r>
    </w:p>
    <w:p w14:paraId="33A2B1D9" w14:textId="77777777" w:rsidR="0095312E" w:rsidRPr="00467F5C" w:rsidRDefault="00467F5C">
      <w:pPr>
        <w:pStyle w:val="NumPar1"/>
        <w:numPr>
          <w:ilvl w:val="0"/>
          <w:numId w:val="0"/>
        </w:numPr>
        <w:tabs>
          <w:tab w:val="left" w:pos="567"/>
        </w:tabs>
      </w:pPr>
      <w:r w:rsidRPr="00467F5C">
        <w:t>5.</w:t>
      </w:r>
      <w:r w:rsidRPr="00467F5C">
        <w:tab/>
        <w:t>Esitatud aruannete parandused tuleb esitada pädevatele asutustele põhjendamatu viivituseta.</w:t>
      </w:r>
    </w:p>
    <w:p w14:paraId="038DAD2C" w14:textId="77777777" w:rsidR="0095312E" w:rsidRPr="00467F5C" w:rsidRDefault="00467F5C">
      <w:pPr>
        <w:pStyle w:val="Titrearticle"/>
      </w:pPr>
      <w:r w:rsidRPr="00467F5C">
        <w:t>Artikkel 3</w:t>
      </w:r>
    </w:p>
    <w:p w14:paraId="6D393491" w14:textId="77777777" w:rsidR="0095312E" w:rsidRPr="00467F5C" w:rsidRDefault="00467F5C">
      <w:pPr>
        <w:pStyle w:val="Titrearticle"/>
        <w:spacing w:before="120"/>
        <w:rPr>
          <w:b/>
          <w:i w:val="0"/>
        </w:rPr>
      </w:pPr>
      <w:r w:rsidRPr="00467F5C">
        <w:rPr>
          <w:b/>
          <w:i w:val="0"/>
        </w:rPr>
        <w:t>Aruandlusnõuete individuaalne kohaldamine</w:t>
      </w:r>
    </w:p>
    <w:p w14:paraId="46A298BC" w14:textId="77777777" w:rsidR="0095312E" w:rsidRPr="00467F5C" w:rsidRDefault="00467F5C">
      <w:r w:rsidRPr="00467F5C">
        <w:t>Selleks et täita määruse (EL) 2019/2033 artiklis 54 sätestatud aruandlusnõudeid individuaalselt, esitavad investeerimisühingud käesoleva määruse artiklites 5, 6 ja 7 kindlaks määratud teabe nendes artiklites kindlaks määratud sagedusega.</w:t>
      </w:r>
    </w:p>
    <w:p w14:paraId="66CA3A16" w14:textId="77777777" w:rsidR="0095312E" w:rsidRPr="00467F5C" w:rsidRDefault="00467F5C">
      <w:pPr>
        <w:pStyle w:val="Titrearticle"/>
      </w:pPr>
      <w:r w:rsidRPr="00467F5C">
        <w:t>Artikkel 4</w:t>
      </w:r>
    </w:p>
    <w:p w14:paraId="77235D5E" w14:textId="77777777" w:rsidR="0095312E" w:rsidRPr="00467F5C" w:rsidRDefault="00467F5C">
      <w:pPr>
        <w:pStyle w:val="Titrearticle"/>
        <w:spacing w:before="120"/>
        <w:rPr>
          <w:b/>
          <w:i w:val="0"/>
        </w:rPr>
      </w:pPr>
      <w:r w:rsidRPr="00467F5C">
        <w:rPr>
          <w:b/>
          <w:i w:val="0"/>
        </w:rPr>
        <w:t>Aruandlusnõuete kohaldamine konsolideeritud alusel</w:t>
      </w:r>
    </w:p>
    <w:p w14:paraId="22C1D743" w14:textId="77777777" w:rsidR="0095312E" w:rsidRPr="00467F5C" w:rsidRDefault="00467F5C">
      <w:pPr>
        <w:rPr>
          <w:i/>
        </w:rPr>
      </w:pPr>
      <w:r w:rsidRPr="00467F5C">
        <w:t>Selleks et täita määruse (EL) 2019/2033 artiklis 54 osutatud aruandlusnõudeid konsolideeritud alusel, esitavad investeerimisühingud käesoleva rakendusmääruse artiklites 5 ja 6 kindlaks määratud teabe nendes artiklites kindlaks määratud sagedusega.</w:t>
      </w:r>
    </w:p>
    <w:p w14:paraId="016BDF6A" w14:textId="77777777" w:rsidR="0095312E" w:rsidRPr="00467F5C" w:rsidRDefault="00467F5C">
      <w:pPr>
        <w:pStyle w:val="Titrearticle"/>
      </w:pPr>
      <w:r w:rsidRPr="00467F5C">
        <w:lastRenderedPageBreak/>
        <w:t>Artikkel 5</w:t>
      </w:r>
    </w:p>
    <w:p w14:paraId="22669038" w14:textId="77777777" w:rsidR="0095312E" w:rsidRPr="00467F5C" w:rsidRDefault="00467F5C">
      <w:pPr>
        <w:pStyle w:val="Titrearticle"/>
        <w:spacing w:before="120"/>
        <w:rPr>
          <w:b/>
          <w:i w:val="0"/>
        </w:rPr>
      </w:pPr>
      <w:r w:rsidRPr="00467F5C">
        <w:rPr>
          <w:b/>
          <w:i w:val="0"/>
        </w:rPr>
        <w:t>Muude investeerimisühingute kui väikesed ja mitteseotud investeerimisühingud aruandluse vorming ja sagedus</w:t>
      </w:r>
    </w:p>
    <w:p w14:paraId="53B77C5A" w14:textId="77777777" w:rsidR="0095312E" w:rsidRPr="00467F5C" w:rsidRDefault="00467F5C">
      <w:pPr>
        <w:pStyle w:val="NumPar1"/>
        <w:numPr>
          <w:ilvl w:val="0"/>
          <w:numId w:val="0"/>
        </w:numPr>
        <w:tabs>
          <w:tab w:val="left" w:pos="567"/>
        </w:tabs>
      </w:pPr>
      <w:r w:rsidRPr="00467F5C">
        <w:t>1.</w:t>
      </w:r>
      <w:r w:rsidRPr="00467F5C">
        <w:tab/>
        <w:t>Muud investeerimisühingud kui väikesed ja mitteseotud investeerimisühingud esitavad määruse (EL) 2019/2033 artikli 54 lõigetes 1 ja 2 nõutud teabe kord kvartalis, kasutades käesoleva määruse I lisas sätestatud vorme vastavalt käesoleva määruse II lisas esitatud juhistele.</w:t>
      </w:r>
    </w:p>
    <w:p w14:paraId="412A5D07" w14:textId="77777777" w:rsidR="0095312E" w:rsidRPr="00467F5C" w:rsidRDefault="00467F5C">
      <w:pPr>
        <w:pStyle w:val="NumPar1"/>
        <w:numPr>
          <w:ilvl w:val="0"/>
          <w:numId w:val="0"/>
        </w:numPr>
        <w:tabs>
          <w:tab w:val="left" w:pos="567"/>
        </w:tabs>
        <w:rPr>
          <w:szCs w:val="24"/>
        </w:rPr>
      </w:pPr>
      <w:r w:rsidRPr="00467F5C">
        <w:rPr>
          <w:szCs w:val="24"/>
        </w:rPr>
        <w:t>2.</w:t>
      </w:r>
      <w:r w:rsidRPr="00467F5C">
        <w:rPr>
          <w:szCs w:val="24"/>
        </w:rPr>
        <w:tab/>
      </w:r>
      <w:r w:rsidRPr="00467F5C">
        <w:t>Muud investeerimisühingud kui väikesed ja mitteseotud investeerimisühingud, kes määravad RtM K-teguri nõude kindlaks K-NPRi alusel vastavalt määruse (EL) 2019/2033 artikli 21 lõikele 1, esitavad komisjoni rakendusmääruse (EL) 2021/451</w:t>
      </w:r>
      <w:r w:rsidR="00A76CC4" w:rsidRPr="00467F5C">
        <w:rPr>
          <w:rStyle w:val="FootnoteReference"/>
        </w:rPr>
        <w:footnoteReference w:id="3"/>
      </w:r>
      <w:r w:rsidRPr="00467F5C">
        <w:t xml:space="preserve"> I lisa vormides C 18.00 – C 24.00 kindlaks määratud teabe kord kvartalis vastavalt kõnealuse rakendusmääruse II lisa 2. osas esitatud juhistele.</w:t>
      </w:r>
    </w:p>
    <w:p w14:paraId="113FACEA" w14:textId="77777777" w:rsidR="0095312E" w:rsidRPr="00467F5C" w:rsidRDefault="00467F5C">
      <w:pPr>
        <w:pStyle w:val="NumPar1"/>
        <w:numPr>
          <w:ilvl w:val="0"/>
          <w:numId w:val="0"/>
        </w:numPr>
        <w:tabs>
          <w:tab w:val="left" w:pos="567"/>
        </w:tabs>
        <w:rPr>
          <w:szCs w:val="24"/>
        </w:rPr>
      </w:pPr>
      <w:r w:rsidRPr="00467F5C">
        <w:rPr>
          <w:szCs w:val="24"/>
        </w:rPr>
        <w:t>3.</w:t>
      </w:r>
      <w:r w:rsidRPr="00467F5C">
        <w:rPr>
          <w:szCs w:val="24"/>
        </w:rPr>
        <w:tab/>
      </w:r>
      <w:r w:rsidRPr="00467F5C">
        <w:t>Muud investeerimisühingud kui väikesed ja mitteseotud investeerimisühingud, kes kasutavad määruse (EL) 2019/2033 artikli 25 lõikes 4 sätestatud erandit, esitavad rakendusmääruse (EL) 2021/451 I lisa vormis C 34.02 kindlaks määratud teabe kord kvartalis vastavalt kõnealuse rakendusmääruse II lisa 2. osas esitatud juhistele.</w:t>
      </w:r>
    </w:p>
    <w:p w14:paraId="52D9388A" w14:textId="77777777" w:rsidR="0095312E" w:rsidRPr="00467F5C" w:rsidRDefault="00467F5C">
      <w:pPr>
        <w:pStyle w:val="NumPar1"/>
        <w:numPr>
          <w:ilvl w:val="0"/>
          <w:numId w:val="0"/>
        </w:numPr>
        <w:tabs>
          <w:tab w:val="left" w:pos="567"/>
        </w:tabs>
        <w:rPr>
          <w:szCs w:val="24"/>
        </w:rPr>
      </w:pPr>
      <w:r w:rsidRPr="00467F5C">
        <w:rPr>
          <w:szCs w:val="24"/>
        </w:rPr>
        <w:t>4.</w:t>
      </w:r>
      <w:r w:rsidRPr="00467F5C">
        <w:rPr>
          <w:szCs w:val="24"/>
        </w:rPr>
        <w:tab/>
      </w:r>
      <w:r w:rsidRPr="00467F5C">
        <w:t>Muud investeerimisühingud kui väikesed ja mitteseotud investeerimisühingud, kes kasutavad määruse (EL) 2019/2033 artikli 25 lõike 5 teises lõigus sätestatud erandit, esitavad rakendusmääruse (EL) 2021/451 I lisa vormis C 25.00 kindlaks määratud teabe kord kvartalis vastavalt kõnealuse rakendusmääruse II lisa 2. osas sätestatud juhistele.</w:t>
      </w:r>
    </w:p>
    <w:p w14:paraId="725AF46D" w14:textId="77777777" w:rsidR="0095312E" w:rsidRPr="00467F5C" w:rsidRDefault="00467F5C">
      <w:pPr>
        <w:pStyle w:val="Titrearticle"/>
      </w:pPr>
      <w:r w:rsidRPr="00467F5C">
        <w:t>Artikkel 6</w:t>
      </w:r>
    </w:p>
    <w:p w14:paraId="265FE1D3" w14:textId="77777777" w:rsidR="0095312E" w:rsidRPr="00467F5C" w:rsidRDefault="00467F5C">
      <w:pPr>
        <w:pStyle w:val="Titrearticle"/>
        <w:spacing w:before="120"/>
        <w:rPr>
          <w:b/>
          <w:i w:val="0"/>
        </w:rPr>
      </w:pPr>
      <w:r w:rsidRPr="00467F5C">
        <w:rPr>
          <w:b/>
          <w:i w:val="0"/>
        </w:rPr>
        <w:t>Väikeste ja mitteseotud investeerimisühingute aruandluse vorming ja sagedus</w:t>
      </w:r>
    </w:p>
    <w:p w14:paraId="4767289B" w14:textId="77777777" w:rsidR="0095312E" w:rsidRPr="00467F5C" w:rsidRDefault="00467F5C">
      <w:pPr>
        <w:pStyle w:val="NumPar1"/>
        <w:numPr>
          <w:ilvl w:val="0"/>
          <w:numId w:val="0"/>
        </w:numPr>
        <w:tabs>
          <w:tab w:val="left" w:pos="567"/>
        </w:tabs>
      </w:pPr>
      <w:r w:rsidRPr="00467F5C">
        <w:t>1.</w:t>
      </w:r>
      <w:r w:rsidRPr="00467F5C">
        <w:tab/>
        <w:t>Väikesed ja mitteseotud investeerimisühingud esitavad käesoleva määruse III lisas esitatud vormides kindlaks määratud teabe kord aastas vastavalt käesoleva määruse IV lisas esitatud juhistele. Investeerimisühingud, kelle suhtes kohaldatakse määruse (EL) 2019/2033 artikli 43 lõike 1 teises lõigus osutatud vabastust, on vabastatud kohustusest esitada käesoleva määruse III lisa vormis IF 09.01 kindlaks määratud teave.</w:t>
      </w:r>
    </w:p>
    <w:p w14:paraId="5B8D8AB0" w14:textId="77777777" w:rsidR="0095312E" w:rsidRPr="00467F5C" w:rsidRDefault="00467F5C">
      <w:pPr>
        <w:pStyle w:val="Titrearticle"/>
      </w:pPr>
      <w:r w:rsidRPr="00467F5C">
        <w:t>Artikkel 7</w:t>
      </w:r>
    </w:p>
    <w:p w14:paraId="600E6D9C" w14:textId="77777777" w:rsidR="0095312E" w:rsidRPr="00467F5C" w:rsidRDefault="00467F5C">
      <w:pPr>
        <w:pStyle w:val="Titrearticle"/>
        <w:spacing w:before="120"/>
        <w:rPr>
          <w:b/>
          <w:i w:val="0"/>
        </w:rPr>
      </w:pPr>
      <w:r w:rsidRPr="00467F5C">
        <w:rPr>
          <w:b/>
          <w:i w:val="0"/>
        </w:rPr>
        <w:t>Määruse (EL) 2019/2033 artikli 8 kohaldamisest kasu saavate üksuste aruandluse vorming ja sagedus</w:t>
      </w:r>
    </w:p>
    <w:p w14:paraId="248FD430" w14:textId="77777777" w:rsidR="0095312E" w:rsidRPr="00467F5C" w:rsidRDefault="00467F5C">
      <w:pPr>
        <w:rPr>
          <w:rFonts w:eastAsia="Times New Roman"/>
          <w:szCs w:val="24"/>
        </w:rPr>
      </w:pPr>
      <w:r w:rsidRPr="00467F5C">
        <w:t>Erandina käesoleva määruse artiklist 4 esitavad määruse (EL) 2019/2033 artikli 8 lõikes 3 osutatud üksused, kes saavad kasu kõnealuse artikli kohaldamisest, käesoleva määruse VIII lisa vormides sätestatud teabe kord kvartalis vastavalt käesoleva määruse IX lisas sätestatud juhistele.</w:t>
      </w:r>
    </w:p>
    <w:p w14:paraId="3CCBF919" w14:textId="77777777" w:rsidR="0095312E" w:rsidRPr="00467F5C" w:rsidRDefault="00467F5C">
      <w:pPr>
        <w:pStyle w:val="Titrearticle"/>
      </w:pPr>
      <w:r w:rsidRPr="00467F5C">
        <w:t>Artikkel 8</w:t>
      </w:r>
    </w:p>
    <w:p w14:paraId="78200EBE" w14:textId="77777777" w:rsidR="0095312E" w:rsidRPr="00467F5C" w:rsidRDefault="00467F5C">
      <w:pPr>
        <w:pStyle w:val="Titrearticle"/>
        <w:spacing w:before="120"/>
        <w:rPr>
          <w:b/>
          <w:i w:val="0"/>
        </w:rPr>
      </w:pPr>
      <w:r w:rsidRPr="00467F5C">
        <w:rPr>
          <w:b/>
          <w:i w:val="0"/>
        </w:rPr>
        <w:t>Andmete täpsus ja esitamisega seotud teave</w:t>
      </w:r>
    </w:p>
    <w:p w14:paraId="00E286FD" w14:textId="77777777" w:rsidR="0095312E" w:rsidRPr="00467F5C" w:rsidRDefault="00467F5C">
      <w:pPr>
        <w:pStyle w:val="NumPar1"/>
        <w:numPr>
          <w:ilvl w:val="0"/>
          <w:numId w:val="0"/>
        </w:numPr>
        <w:tabs>
          <w:tab w:val="left" w:pos="567"/>
        </w:tabs>
      </w:pPr>
      <w:r w:rsidRPr="00467F5C">
        <w:t>1.</w:t>
      </w:r>
      <w:r w:rsidRPr="00467F5C">
        <w:tab/>
        <w:t>Investeerimisühingud esitavad käesolevas määruses osutatud teabe pädevate asutuste kindlaks määratud andmevahetusvormingutes ja esituses, järgides V lisas kindlaks määratud andmepunktimudeli andmepunktimääratlust ja valideerimisvalemeid ning järgmist:</w:t>
      </w:r>
    </w:p>
    <w:p w14:paraId="0D61440C" w14:textId="77777777" w:rsidR="0095312E" w:rsidRPr="00467F5C" w:rsidRDefault="00467F5C">
      <w:pPr>
        <w:pStyle w:val="Point1letter"/>
        <w:numPr>
          <w:ilvl w:val="0"/>
          <w:numId w:val="0"/>
        </w:numPr>
        <w:ind w:left="567" w:hanging="567"/>
      </w:pPr>
      <w:r w:rsidRPr="00467F5C">
        <w:lastRenderedPageBreak/>
        <w:t>a)</w:t>
      </w:r>
      <w:r w:rsidRPr="00467F5C">
        <w:tab/>
        <w:t>andmete esitamisel ei esitata teavet, mida ei ole nõutud või mis ei ole asjakohane;</w:t>
      </w:r>
    </w:p>
    <w:p w14:paraId="677C334F" w14:textId="77777777" w:rsidR="0095312E" w:rsidRPr="00467F5C" w:rsidRDefault="00467F5C">
      <w:pPr>
        <w:pStyle w:val="Point1letter"/>
        <w:numPr>
          <w:ilvl w:val="0"/>
          <w:numId w:val="0"/>
        </w:numPr>
        <w:ind w:left="567" w:hanging="567"/>
      </w:pPr>
      <w:r w:rsidRPr="00467F5C">
        <w:t>b)</w:t>
      </w:r>
      <w:r w:rsidRPr="00467F5C">
        <w:tab/>
        <w:t>arvväärtused esitatakse faktidena vastavalt järgmistele põhimõtetele:</w:t>
      </w:r>
    </w:p>
    <w:p w14:paraId="22C956D3" w14:textId="77777777" w:rsidR="0095312E" w:rsidRPr="00467F5C" w:rsidRDefault="00467F5C">
      <w:pPr>
        <w:pStyle w:val="Point2"/>
        <w:ind w:left="1134"/>
      </w:pPr>
      <w:r w:rsidRPr="00467F5C">
        <w:t>i)</w:t>
      </w:r>
      <w:r w:rsidRPr="00467F5C">
        <w:tab/>
        <w:t>„rahalist“ andmetüüpi andmepunktid esitatakse miinimumtäpsusega tuhat ühikut;</w:t>
      </w:r>
    </w:p>
    <w:p w14:paraId="211494DA" w14:textId="77777777" w:rsidR="0095312E" w:rsidRPr="00467F5C" w:rsidRDefault="00467F5C">
      <w:pPr>
        <w:pStyle w:val="Point2"/>
        <w:ind w:left="1134"/>
      </w:pPr>
      <w:r w:rsidRPr="00467F5C">
        <w:t>ii)</w:t>
      </w:r>
      <w:r w:rsidRPr="00467F5C">
        <w:tab/>
        <w:t>„protsendilist“ andmetüüpi andmepunktid väljendatakse ühiku kohta miinimumtäpsusega neli kohta pärast koma;</w:t>
      </w:r>
    </w:p>
    <w:p w14:paraId="2D9F2B84" w14:textId="77777777" w:rsidR="0095312E" w:rsidRPr="00467F5C" w:rsidRDefault="00467F5C">
      <w:pPr>
        <w:pStyle w:val="Point2"/>
        <w:ind w:left="1134"/>
      </w:pPr>
      <w:r w:rsidRPr="00467F5C">
        <w:t>iii)</w:t>
      </w:r>
      <w:r w:rsidRPr="00467F5C">
        <w:tab/>
        <w:t>„täisarvulist“ andmetüüpi andmepunktid esitatakse ilma kümnendkohtadeta, täisühiku täpsusega.</w:t>
      </w:r>
    </w:p>
    <w:p w14:paraId="4E5522E5" w14:textId="77777777" w:rsidR="0095312E" w:rsidRPr="00467F5C" w:rsidRDefault="00467F5C">
      <w:pPr>
        <w:pStyle w:val="NumPar1"/>
        <w:numPr>
          <w:ilvl w:val="0"/>
          <w:numId w:val="0"/>
        </w:numPr>
        <w:tabs>
          <w:tab w:val="left" w:pos="567"/>
        </w:tabs>
      </w:pPr>
      <w:r w:rsidRPr="00467F5C">
        <w:t>2.</w:t>
      </w:r>
      <w:r w:rsidRPr="00467F5C">
        <w:tab/>
        <w:t>Investeerimisühingute identifitseerimiseks kasutatakse nende juriidilise isiku tunnust (LEI). Muude juriidiliste isikute ja vastaspoolte kui investeerimisühingud identifitseerimiseks kasutatakse LEId siis, kui see on olemas.</w:t>
      </w:r>
    </w:p>
    <w:p w14:paraId="33289105" w14:textId="77777777" w:rsidR="0095312E" w:rsidRPr="00467F5C" w:rsidRDefault="00467F5C">
      <w:pPr>
        <w:pStyle w:val="NumPar1"/>
        <w:numPr>
          <w:ilvl w:val="0"/>
          <w:numId w:val="0"/>
        </w:numPr>
        <w:tabs>
          <w:tab w:val="left" w:pos="567"/>
        </w:tabs>
      </w:pPr>
      <w:r w:rsidRPr="00467F5C">
        <w:t>3.</w:t>
      </w:r>
      <w:r w:rsidRPr="00467F5C">
        <w:tab/>
        <w:t>Investeerimisühingud lisavad käesoleva määruse alusel esitatavale teabele järgmise teabe:</w:t>
      </w:r>
    </w:p>
    <w:p w14:paraId="365040E3" w14:textId="77777777" w:rsidR="0095312E" w:rsidRPr="00467F5C" w:rsidRDefault="00467F5C">
      <w:pPr>
        <w:pStyle w:val="Point1letter"/>
        <w:numPr>
          <w:ilvl w:val="0"/>
          <w:numId w:val="0"/>
        </w:numPr>
        <w:ind w:left="567" w:hanging="567"/>
      </w:pPr>
      <w:r w:rsidRPr="00467F5C">
        <w:t>a)</w:t>
      </w:r>
      <w:r w:rsidRPr="00467F5C">
        <w:tab/>
        <w:t>aruandekuupäev ja aruandeperiood;</w:t>
      </w:r>
    </w:p>
    <w:p w14:paraId="3FD616A9" w14:textId="77777777" w:rsidR="0095312E" w:rsidRPr="00467F5C" w:rsidRDefault="00467F5C">
      <w:pPr>
        <w:pStyle w:val="Point1letter"/>
        <w:numPr>
          <w:ilvl w:val="0"/>
          <w:numId w:val="0"/>
        </w:numPr>
        <w:ind w:left="567" w:hanging="567"/>
      </w:pPr>
      <w:r w:rsidRPr="00467F5C">
        <w:t>b)</w:t>
      </w:r>
      <w:r w:rsidRPr="00467F5C">
        <w:tab/>
        <w:t>aruandlusvaluuta;</w:t>
      </w:r>
    </w:p>
    <w:p w14:paraId="13303534" w14:textId="77777777" w:rsidR="0095312E" w:rsidRPr="00467F5C" w:rsidRDefault="00467F5C">
      <w:pPr>
        <w:pStyle w:val="Point1letter"/>
        <w:numPr>
          <w:ilvl w:val="0"/>
          <w:numId w:val="0"/>
        </w:numPr>
        <w:ind w:left="567" w:hanging="567"/>
      </w:pPr>
      <w:r w:rsidRPr="00467F5C">
        <w:t>c)</w:t>
      </w:r>
      <w:r w:rsidRPr="00467F5C">
        <w:tab/>
        <w:t>raamatupidamisstandard;</w:t>
      </w:r>
    </w:p>
    <w:p w14:paraId="3B75BD45" w14:textId="77777777" w:rsidR="0095312E" w:rsidRPr="00467F5C" w:rsidRDefault="00467F5C">
      <w:pPr>
        <w:pStyle w:val="Point1letter"/>
        <w:numPr>
          <w:ilvl w:val="0"/>
          <w:numId w:val="0"/>
        </w:numPr>
        <w:ind w:left="567" w:hanging="567"/>
      </w:pPr>
      <w:r w:rsidRPr="00467F5C">
        <w:t>d)</w:t>
      </w:r>
      <w:r w:rsidRPr="00467F5C">
        <w:tab/>
        <w:t>aruannet esitava investeerimisühingu juriidilise isiku tunnus (LEI);</w:t>
      </w:r>
    </w:p>
    <w:p w14:paraId="2EEACE71" w14:textId="77777777" w:rsidR="0095312E" w:rsidRPr="00467F5C" w:rsidRDefault="00467F5C">
      <w:pPr>
        <w:pStyle w:val="Point1letter"/>
        <w:numPr>
          <w:ilvl w:val="0"/>
          <w:numId w:val="0"/>
        </w:numPr>
        <w:ind w:left="567" w:hanging="567"/>
      </w:pPr>
      <w:r w:rsidRPr="00467F5C">
        <w:t>e)</w:t>
      </w:r>
      <w:r w:rsidRPr="00467F5C">
        <w:tab/>
        <w:t>konsolideerimise ulatus.</w:t>
      </w:r>
    </w:p>
    <w:p w14:paraId="00FE9EBE" w14:textId="77777777" w:rsidR="0095312E" w:rsidRPr="00467F5C" w:rsidRDefault="00467F5C">
      <w:pPr>
        <w:pStyle w:val="ChapterTitle"/>
        <w:rPr>
          <w:b w:val="0"/>
        </w:rPr>
      </w:pPr>
      <w:r w:rsidRPr="00467F5C">
        <w:rPr>
          <w:b w:val="0"/>
        </w:rPr>
        <w:t>II PEATÜKK</w:t>
      </w:r>
    </w:p>
    <w:p w14:paraId="431CA2C2" w14:textId="77777777" w:rsidR="0095312E" w:rsidRPr="00467F5C" w:rsidRDefault="00467F5C">
      <w:pPr>
        <w:pStyle w:val="ChapterTitle"/>
      </w:pPr>
      <w:r w:rsidRPr="00467F5C">
        <w:t>TEABE AVALIKUSTAMINE INVESTEERIMISÜHINGUTE POOLT</w:t>
      </w:r>
    </w:p>
    <w:p w14:paraId="3C9CCE1C" w14:textId="77777777" w:rsidR="0095312E" w:rsidRPr="00467F5C" w:rsidRDefault="00467F5C">
      <w:pPr>
        <w:pStyle w:val="Titrearticle"/>
      </w:pPr>
      <w:r w:rsidRPr="00467F5C">
        <w:t>Artikkel 9</w:t>
      </w:r>
    </w:p>
    <w:p w14:paraId="669BE11C" w14:textId="77777777" w:rsidR="0095312E" w:rsidRPr="00467F5C" w:rsidRDefault="00467F5C">
      <w:pPr>
        <w:pStyle w:val="Titrearticle"/>
        <w:spacing w:before="120"/>
        <w:rPr>
          <w:b/>
          <w:i w:val="0"/>
        </w:rPr>
      </w:pPr>
      <w:r w:rsidRPr="00467F5C">
        <w:rPr>
          <w:b/>
          <w:i w:val="0"/>
        </w:rPr>
        <w:t>Avalikustamise põhimõtted</w:t>
      </w:r>
    </w:p>
    <w:p w14:paraId="0517E051" w14:textId="77777777" w:rsidR="0095312E" w:rsidRPr="00467F5C" w:rsidRDefault="00467F5C">
      <w:pPr>
        <w:pStyle w:val="NumPar1"/>
        <w:numPr>
          <w:ilvl w:val="0"/>
          <w:numId w:val="0"/>
        </w:numPr>
      </w:pPr>
      <w:r w:rsidRPr="00467F5C">
        <w:t>1.</w:t>
      </w:r>
      <w:r w:rsidRPr="00467F5C">
        <w:tab/>
        <w:t>Käesoleva määruse kohaselt avalikustatava teabe suhtes kohaldatakse järgmisi põhimõtteid:</w:t>
      </w:r>
    </w:p>
    <w:p w14:paraId="0005418C" w14:textId="77777777" w:rsidR="0095312E" w:rsidRPr="00467F5C" w:rsidRDefault="00467F5C">
      <w:pPr>
        <w:pStyle w:val="Point1letter"/>
        <w:numPr>
          <w:ilvl w:val="0"/>
          <w:numId w:val="0"/>
        </w:numPr>
        <w:ind w:left="567" w:hanging="567"/>
      </w:pPr>
      <w:r w:rsidRPr="00467F5C">
        <w:t>a)</w:t>
      </w:r>
      <w:r w:rsidRPr="00467F5C">
        <w:tab/>
        <w:t>avalikustatava teabe suhtes kohaldatakse sama sisekontrolli taset, mida kohaldatakse investeerimisühingu finantsaruandes sisalduva tegevusaruande suhtes;</w:t>
      </w:r>
    </w:p>
    <w:p w14:paraId="64B03B39" w14:textId="77777777" w:rsidR="0095312E" w:rsidRPr="00467F5C" w:rsidRDefault="00467F5C">
      <w:pPr>
        <w:pStyle w:val="Point1letter"/>
        <w:numPr>
          <w:ilvl w:val="0"/>
          <w:numId w:val="0"/>
        </w:numPr>
        <w:ind w:left="567" w:hanging="567"/>
      </w:pPr>
      <w:r w:rsidRPr="00467F5C">
        <w:t>b)</w:t>
      </w:r>
      <w:r w:rsidRPr="00467F5C">
        <w:tab/>
        <w:t>avalikustatav teave peab olema selge ja esitatud teabe kasutajatele arusaadavalt ning edastatud ligipääsetaval andmekandjal. Olulised sõnumid peavad olema esile tõstetud ja kergesti leitavad. Keerukaid küsimusi selgitatakse lihtsas keeles. Seotud teave esitatakse koos;</w:t>
      </w:r>
    </w:p>
    <w:p w14:paraId="57DCEFB8" w14:textId="77777777" w:rsidR="0095312E" w:rsidRPr="00467F5C" w:rsidRDefault="00467F5C">
      <w:pPr>
        <w:pStyle w:val="Point1letter"/>
        <w:numPr>
          <w:ilvl w:val="0"/>
          <w:numId w:val="0"/>
        </w:numPr>
        <w:ind w:left="567" w:hanging="567"/>
      </w:pPr>
      <w:r w:rsidRPr="00467F5C">
        <w:t>c)</w:t>
      </w:r>
      <w:r w:rsidRPr="00467F5C">
        <w:tab/>
        <w:t>avalikustatav teave peab olema aja jooksul sisukas ja järjepidev, et teabe kasutajad saaksid võrrelda teavet avalikustamisperioodide lõikes;</w:t>
      </w:r>
    </w:p>
    <w:p w14:paraId="51E550C4" w14:textId="77777777" w:rsidR="0095312E" w:rsidRPr="00467F5C" w:rsidRDefault="00467F5C">
      <w:pPr>
        <w:pStyle w:val="Point1letter"/>
        <w:numPr>
          <w:ilvl w:val="0"/>
          <w:numId w:val="0"/>
        </w:numPr>
        <w:ind w:left="567" w:hanging="567"/>
      </w:pPr>
      <w:r w:rsidRPr="00467F5C">
        <w:t>d)</w:t>
      </w:r>
      <w:r w:rsidRPr="00467F5C">
        <w:tab/>
        <w:t>kvantitatiivse avalikustatava teabe juures peab alati olema kvalitatiivne selgitus ja muu lisateave, mida võib olla vaja teabe kasutajatele selle teabe mõistmiseks, kusjuures eelkõige tuleb välja tuua iga oluline muutus võrreldes varem avalikustatud teabega.</w:t>
      </w:r>
    </w:p>
    <w:p w14:paraId="655850C2" w14:textId="77777777" w:rsidR="0095312E" w:rsidRPr="00467F5C" w:rsidRDefault="00467F5C">
      <w:pPr>
        <w:pStyle w:val="Titrearticle"/>
      </w:pPr>
      <w:r w:rsidRPr="00467F5C">
        <w:lastRenderedPageBreak/>
        <w:t>Artikkel 10</w:t>
      </w:r>
    </w:p>
    <w:p w14:paraId="081F0F5A" w14:textId="77777777" w:rsidR="0095312E" w:rsidRPr="00467F5C" w:rsidRDefault="00467F5C">
      <w:pPr>
        <w:pStyle w:val="Titrearticle"/>
        <w:spacing w:before="120"/>
        <w:rPr>
          <w:b/>
          <w:i w:val="0"/>
        </w:rPr>
      </w:pPr>
      <w:r w:rsidRPr="00467F5C">
        <w:rPr>
          <w:b/>
          <w:i w:val="0"/>
        </w:rPr>
        <w:t>Omavahendite avalikustamine investeerimisühingute poolt</w:t>
      </w:r>
    </w:p>
    <w:p w14:paraId="2A9CA040" w14:textId="77777777" w:rsidR="0095312E" w:rsidRPr="00467F5C" w:rsidRDefault="00467F5C">
      <w:r w:rsidRPr="00467F5C">
        <w:t>Investeerimisühingud avalikustavad määruse (EL) 2019/2033 artikli 49 lõikes 1 nõutud teabe omavahendite kohta, kasutades käesoleva määruse VI lisas esitatud vorme vastavalt käesoleva määruse VII lisas esitatud asjakohastele juhistele.</w:t>
      </w:r>
    </w:p>
    <w:p w14:paraId="55BC85B3" w14:textId="77777777" w:rsidR="0095312E" w:rsidRPr="00467F5C" w:rsidRDefault="00467F5C">
      <w:pPr>
        <w:pStyle w:val="Titrearticle"/>
      </w:pPr>
      <w:r w:rsidRPr="00467F5C">
        <w:t>Artikkel 11</w:t>
      </w:r>
    </w:p>
    <w:p w14:paraId="3C6204AF" w14:textId="77777777" w:rsidR="0095312E" w:rsidRPr="00467F5C" w:rsidRDefault="00467F5C">
      <w:pPr>
        <w:pStyle w:val="Titrearticle"/>
        <w:spacing w:before="120"/>
        <w:rPr>
          <w:b/>
          <w:i w:val="0"/>
        </w:rPr>
      </w:pPr>
      <w:r w:rsidRPr="00467F5C">
        <w:rPr>
          <w:b/>
          <w:i w:val="0"/>
        </w:rPr>
        <w:t>Avalikustamise üldsätted</w:t>
      </w:r>
    </w:p>
    <w:p w14:paraId="175A938E" w14:textId="77777777" w:rsidR="0095312E" w:rsidRPr="00467F5C" w:rsidRDefault="00467F5C">
      <w:pPr>
        <w:pStyle w:val="NumPar1"/>
        <w:numPr>
          <w:ilvl w:val="0"/>
          <w:numId w:val="0"/>
        </w:numPr>
        <w:tabs>
          <w:tab w:val="left" w:pos="567"/>
        </w:tabs>
      </w:pPr>
      <w:r w:rsidRPr="00467F5C">
        <w:t>1.</w:t>
      </w:r>
      <w:r w:rsidRPr="00467F5C">
        <w:tab/>
        <w:t>Käesoleva määruse artiklis 10 osutatud teabe avalikustamisel tagavad investeerimisühingud, et arvväärtused esitatakse faktidena kooskõlas järgmisega:</w:t>
      </w:r>
    </w:p>
    <w:p w14:paraId="08DB6A3C" w14:textId="77777777" w:rsidR="0095312E" w:rsidRPr="00467F5C" w:rsidRDefault="00467F5C">
      <w:pPr>
        <w:pStyle w:val="Point1letter"/>
        <w:numPr>
          <w:ilvl w:val="0"/>
          <w:numId w:val="0"/>
        </w:numPr>
        <w:ind w:left="567" w:hanging="567"/>
      </w:pPr>
      <w:r w:rsidRPr="00467F5C">
        <w:t>a)</w:t>
      </w:r>
      <w:r w:rsidRPr="00467F5C">
        <w:tab/>
        <w:t>kvantitatiivsed rahalised andmed avalikustatakse miinimumtäpsusega tuhat ühikut;</w:t>
      </w:r>
    </w:p>
    <w:p w14:paraId="64872363" w14:textId="77777777" w:rsidR="0095312E" w:rsidRPr="00467F5C" w:rsidRDefault="00467F5C">
      <w:pPr>
        <w:pStyle w:val="Point1letter"/>
        <w:numPr>
          <w:ilvl w:val="0"/>
          <w:numId w:val="0"/>
        </w:numPr>
        <w:ind w:left="567" w:hanging="567"/>
      </w:pPr>
      <w:r w:rsidRPr="00467F5C">
        <w:t>b)</w:t>
      </w:r>
      <w:r w:rsidRPr="00467F5C">
        <w:tab/>
        <w:t>„protsendina“ avalikustatavad kvantitatiivsed andmed väljendatakse ühiku kohta miinimumtäpsusega neli kohta pärast koma.</w:t>
      </w:r>
    </w:p>
    <w:p w14:paraId="2F657185" w14:textId="77777777" w:rsidR="0095312E" w:rsidRPr="00467F5C" w:rsidRDefault="00467F5C">
      <w:pPr>
        <w:pStyle w:val="NumPar1"/>
        <w:numPr>
          <w:ilvl w:val="0"/>
          <w:numId w:val="0"/>
        </w:numPr>
        <w:tabs>
          <w:tab w:val="left" w:pos="567"/>
        </w:tabs>
      </w:pPr>
      <w:r w:rsidRPr="00467F5C">
        <w:t>2.</w:t>
      </w:r>
      <w:r w:rsidRPr="00467F5C">
        <w:tab/>
        <w:t>Käesoleva määruse artiklis 10 osutatud teabe avalikustamisel tagavad investeerimisühingud, et andmed on seotud kogu järgmise teabega:</w:t>
      </w:r>
    </w:p>
    <w:p w14:paraId="61C0CC03" w14:textId="77777777" w:rsidR="0095312E" w:rsidRPr="00467F5C" w:rsidRDefault="00467F5C">
      <w:pPr>
        <w:pStyle w:val="Point1letter"/>
        <w:numPr>
          <w:ilvl w:val="0"/>
          <w:numId w:val="0"/>
        </w:numPr>
        <w:ind w:left="567" w:hanging="567"/>
      </w:pPr>
      <w:r w:rsidRPr="00467F5C">
        <w:t>a)</w:t>
      </w:r>
      <w:r w:rsidRPr="00467F5C">
        <w:tab/>
        <w:t>avalikustamiskuupäev ja -periood;</w:t>
      </w:r>
    </w:p>
    <w:p w14:paraId="3C5F80FB" w14:textId="77777777" w:rsidR="0095312E" w:rsidRPr="00467F5C" w:rsidRDefault="00467F5C">
      <w:pPr>
        <w:pStyle w:val="Point1letter"/>
        <w:numPr>
          <w:ilvl w:val="0"/>
          <w:numId w:val="0"/>
        </w:numPr>
        <w:ind w:left="567" w:hanging="567"/>
      </w:pPr>
      <w:r w:rsidRPr="00467F5C">
        <w:t>b)</w:t>
      </w:r>
      <w:r w:rsidRPr="00467F5C">
        <w:tab/>
        <w:t>avalikustamisel kasutatav vääring;</w:t>
      </w:r>
    </w:p>
    <w:p w14:paraId="36E3FA9F" w14:textId="77777777" w:rsidR="0095312E" w:rsidRPr="00467F5C" w:rsidRDefault="00467F5C">
      <w:pPr>
        <w:pStyle w:val="Point1letter"/>
        <w:numPr>
          <w:ilvl w:val="0"/>
          <w:numId w:val="0"/>
        </w:numPr>
        <w:ind w:left="567" w:hanging="567"/>
      </w:pPr>
      <w:r w:rsidRPr="00467F5C">
        <w:t>c)</w:t>
      </w:r>
      <w:r w:rsidRPr="00467F5C">
        <w:tab/>
        <w:t>avalikustava investeerimisühingu nimi ja asjakohasel juhul juriidilise isiku tunnus (LEI);</w:t>
      </w:r>
    </w:p>
    <w:p w14:paraId="63126CA4" w14:textId="77777777" w:rsidR="0095312E" w:rsidRPr="00467F5C" w:rsidRDefault="00467F5C">
      <w:pPr>
        <w:pStyle w:val="Point1letter"/>
        <w:numPr>
          <w:ilvl w:val="0"/>
          <w:numId w:val="0"/>
        </w:numPr>
        <w:ind w:left="567" w:hanging="567"/>
      </w:pPr>
      <w:r w:rsidRPr="00467F5C">
        <w:t>d)</w:t>
      </w:r>
      <w:r w:rsidRPr="00467F5C">
        <w:tab/>
        <w:t>raamatupidamisstandard, kui see on asjakohane;</w:t>
      </w:r>
    </w:p>
    <w:p w14:paraId="54DEC956" w14:textId="77777777" w:rsidR="0095312E" w:rsidRPr="00467F5C" w:rsidRDefault="00467F5C">
      <w:pPr>
        <w:pStyle w:val="Point1letter"/>
        <w:numPr>
          <w:ilvl w:val="0"/>
          <w:numId w:val="0"/>
        </w:numPr>
        <w:ind w:left="567" w:hanging="567"/>
      </w:pPr>
      <w:r w:rsidRPr="00467F5C">
        <w:t>e)</w:t>
      </w:r>
      <w:r w:rsidRPr="00467F5C">
        <w:tab/>
        <w:t>konsolideerimise ulatus, kui see on asjakohane.</w:t>
      </w:r>
    </w:p>
    <w:p w14:paraId="01DEC874" w14:textId="77777777" w:rsidR="0095312E" w:rsidRPr="00467F5C" w:rsidRDefault="00467F5C">
      <w:pPr>
        <w:pStyle w:val="ChapterTitle"/>
        <w:rPr>
          <w:b w:val="0"/>
        </w:rPr>
      </w:pPr>
      <w:r w:rsidRPr="00467F5C">
        <w:rPr>
          <w:b w:val="0"/>
        </w:rPr>
        <w:t>III PEATÜKK</w:t>
      </w:r>
    </w:p>
    <w:p w14:paraId="5ABCC64F" w14:textId="77777777" w:rsidR="0095312E" w:rsidRPr="00467F5C" w:rsidRDefault="00467F5C">
      <w:pPr>
        <w:pStyle w:val="ChapterTitle"/>
      </w:pPr>
      <w:r w:rsidRPr="00467F5C">
        <w:t>LÕPPSÄTTED</w:t>
      </w:r>
    </w:p>
    <w:p w14:paraId="17109913" w14:textId="77777777" w:rsidR="0095312E" w:rsidRPr="00467F5C" w:rsidRDefault="00467F5C">
      <w:pPr>
        <w:pStyle w:val="Titrearticle"/>
        <w:spacing w:before="120"/>
      </w:pPr>
      <w:r w:rsidRPr="00467F5C">
        <w:t>Artikkel 12</w:t>
      </w:r>
    </w:p>
    <w:p w14:paraId="72CD263F" w14:textId="532246B5" w:rsidR="0095312E" w:rsidRPr="00467F5C" w:rsidRDefault="00467F5C">
      <w:pPr>
        <w:pStyle w:val="Titrearticle"/>
        <w:spacing w:before="120"/>
        <w:rPr>
          <w:b/>
          <w:i w:val="0"/>
        </w:rPr>
      </w:pPr>
      <w:r w:rsidRPr="00467F5C">
        <w:rPr>
          <w:b/>
          <w:i w:val="0"/>
        </w:rPr>
        <w:t>Jõustumine</w:t>
      </w:r>
    </w:p>
    <w:p w14:paraId="43412F81" w14:textId="77777777" w:rsidR="0095312E" w:rsidRPr="00467F5C" w:rsidRDefault="00467F5C">
      <w:r w:rsidRPr="00467F5C">
        <w:t xml:space="preserve">Käesolev määrus jõustub kahekümnendal päeval pärast selle avaldamist </w:t>
      </w:r>
      <w:r w:rsidRPr="00467F5C">
        <w:rPr>
          <w:i/>
        </w:rPr>
        <w:t>Euroopa Liidu Teatajas</w:t>
      </w:r>
      <w:r w:rsidRPr="00467F5C">
        <w:t>.</w:t>
      </w:r>
    </w:p>
    <w:p w14:paraId="36C84201" w14:textId="77777777" w:rsidR="0095312E" w:rsidRPr="00467F5C" w:rsidRDefault="00467F5C">
      <w:pPr>
        <w:pStyle w:val="Applicationdirecte"/>
      </w:pPr>
      <w:r w:rsidRPr="00467F5C">
        <w:t>Käesolev määrus on tervikuna siduv ja vahetult kohaldatav kõikides liikmesriikides.</w:t>
      </w:r>
    </w:p>
    <w:p w14:paraId="3B98E78C" w14:textId="77777777" w:rsidR="0095312E" w:rsidRPr="00467F5C" w:rsidRDefault="00467F5C">
      <w:pPr>
        <w:pStyle w:val="Fait"/>
      </w:pPr>
      <w:r w:rsidRPr="00467F5C">
        <w:t>Brüssel, 6. detsember 2021</w:t>
      </w:r>
    </w:p>
    <w:p w14:paraId="73F7AEC3" w14:textId="77777777" w:rsidR="0095312E" w:rsidRPr="00467F5C" w:rsidRDefault="00467F5C">
      <w:pPr>
        <w:pStyle w:val="Institutionquisigne"/>
      </w:pPr>
      <w:r w:rsidRPr="00467F5C">
        <w:tab/>
        <w:t>Komisjoni nimel</w:t>
      </w:r>
    </w:p>
    <w:p w14:paraId="7FF864EC" w14:textId="77777777" w:rsidR="0095312E" w:rsidRPr="00467F5C" w:rsidRDefault="00467F5C">
      <w:pPr>
        <w:pStyle w:val="Personnequisigne"/>
      </w:pPr>
      <w:r w:rsidRPr="00467F5C">
        <w:tab/>
        <w:t>president</w:t>
      </w:r>
    </w:p>
    <w:p w14:paraId="7744BC20" w14:textId="77777777" w:rsidR="0095312E" w:rsidRPr="00467F5C" w:rsidRDefault="00467F5C">
      <w:pPr>
        <w:pStyle w:val="Personnequisigne"/>
        <w:rPr>
          <w:i w:val="0"/>
        </w:rPr>
      </w:pPr>
      <w:r w:rsidRPr="00467F5C">
        <w:rPr>
          <w:i w:val="0"/>
        </w:rPr>
        <w:tab/>
        <w:t>Ursula VON DER LEYEN</w:t>
      </w:r>
    </w:p>
    <w:sectPr w:rsidR="0095312E" w:rsidRPr="00467F5C">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01A31E" w14:textId="77777777" w:rsidR="0095312E" w:rsidRDefault="00467F5C">
      <w:pPr>
        <w:spacing w:before="0" w:after="0"/>
      </w:pPr>
      <w:r>
        <w:separator/>
      </w:r>
    </w:p>
  </w:endnote>
  <w:endnote w:type="continuationSeparator" w:id="0">
    <w:p w14:paraId="4F912096" w14:textId="77777777" w:rsidR="0095312E" w:rsidRDefault="00467F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5D097" w14:textId="77777777" w:rsidR="0095312E" w:rsidRDefault="009531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3C417" w14:textId="77777777" w:rsidR="0095312E" w:rsidRDefault="00467F5C">
    <w:pPr>
      <w:pStyle w:val="Footer"/>
      <w:tabs>
        <w:tab w:val="clear" w:pos="4535"/>
        <w:tab w:val="clear" w:pos="9921"/>
      </w:tabs>
      <w:ind w:left="0" w:right="0"/>
    </w:pPr>
    <w:r>
      <w:t>ET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6</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6FFA9" w14:textId="77777777" w:rsidR="0095312E" w:rsidRDefault="009531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F20459" w14:textId="77777777" w:rsidR="0095312E" w:rsidRDefault="00467F5C">
      <w:pPr>
        <w:spacing w:before="0" w:after="0"/>
      </w:pPr>
      <w:r>
        <w:separator/>
      </w:r>
    </w:p>
  </w:footnote>
  <w:footnote w:type="continuationSeparator" w:id="0">
    <w:p w14:paraId="6D2C1A9F" w14:textId="77777777" w:rsidR="0095312E" w:rsidRDefault="00467F5C">
      <w:pPr>
        <w:spacing w:before="0" w:after="0"/>
      </w:pPr>
      <w:r>
        <w:continuationSeparator/>
      </w:r>
    </w:p>
  </w:footnote>
  <w:footnote w:id="1">
    <w:p w14:paraId="49B2B087" w14:textId="77777777" w:rsidR="0095312E" w:rsidRPr="00644D19" w:rsidRDefault="00467F5C">
      <w:pPr>
        <w:pStyle w:val="FootnoteText"/>
      </w:pPr>
      <w:r w:rsidRPr="00644D19">
        <w:rPr>
          <w:rStyle w:val="FootnoteReference"/>
        </w:rPr>
        <w:footnoteRef/>
      </w:r>
      <w:r w:rsidRPr="00644D19">
        <w:tab/>
        <w:t xml:space="preserve">ELT L 314, </w:t>
      </w:r>
      <w:r w:rsidRPr="00467F5C">
        <w:t>5.12.2019</w:t>
      </w:r>
      <w:r w:rsidRPr="00644D19">
        <w:t>, lk 1.</w:t>
      </w:r>
    </w:p>
  </w:footnote>
  <w:footnote w:id="2">
    <w:p w14:paraId="672B12D1" w14:textId="77777777" w:rsidR="0095312E" w:rsidRDefault="00467F5C">
      <w:pPr>
        <w:pStyle w:val="FootnoteText"/>
      </w:pPr>
      <w:r w:rsidRPr="00644D19">
        <w:rPr>
          <w:rStyle w:val="FootnoteReference"/>
        </w:rPr>
        <w:footnoteRef/>
      </w:r>
      <w:r w:rsidRPr="00644D19">
        <w:tab/>
        <w:t xml:space="preserve">Euroopa Parlamendi ja nõukogu 24. novembri 2010. aasta määrus (EL) nr 1093/2010, millega asutatakse Euroopa Järelevalveasutus (Euroopa Pangandusjärelevalve), muudetakse otsust nr 716/2009/EÜ ning tunnistatakse kehtetuks komisjoni otsus </w:t>
      </w:r>
      <w:r w:rsidRPr="00467F5C">
        <w:t>2009/78</w:t>
      </w:r>
      <w:r w:rsidRPr="00644D19">
        <w:t xml:space="preserve">/EÜ (ELT L 331, </w:t>
      </w:r>
      <w:r w:rsidRPr="00467F5C">
        <w:t>15.12.2010</w:t>
      </w:r>
      <w:r w:rsidRPr="00644D19">
        <w:t>, lk 12).</w:t>
      </w:r>
    </w:p>
  </w:footnote>
  <w:footnote w:id="3">
    <w:p w14:paraId="7A7DCBB7" w14:textId="77777777" w:rsidR="00A76CC4" w:rsidRDefault="00A76CC4">
      <w:pPr>
        <w:pStyle w:val="FootnoteText"/>
      </w:pPr>
      <w:r>
        <w:rPr>
          <w:rStyle w:val="FootnoteReference"/>
        </w:rPr>
        <w:footnoteRef/>
      </w:r>
      <w:r>
        <w:tab/>
        <w:t>Komisjoni 17. detsembri 2020. aasta rakendusmäärus</w:t>
      </w:r>
      <w:r w:rsidRPr="00644D19">
        <w:t xml:space="preserve"> (EL) 2021/451</w:t>
      </w:r>
      <w:r w:rsidR="00467F5C">
        <w:t xml:space="preserve">, </w:t>
      </w:r>
      <w:r w:rsidR="00467F5C" w:rsidRPr="00467F5C">
        <w:t>milles sätestatakse rakenduslikud tehnilised standardid Euroopa Parlamendi ja nõukogu määruse (EL) nr 575/2013 kohaldamiseks seoses krediidiasutuste ja investeerimisühingute järelevalvelise aruandlusega ning tunnistatakse kehtetuks rakendusmäärus (EL) nr 680/2014 (ELT L 97, 19.3.2021, lk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1C19C" w14:textId="77777777" w:rsidR="0095312E" w:rsidRDefault="009531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3773D2" w14:textId="3547431E" w:rsidR="0095312E" w:rsidRDefault="00076F5B">
    <w:pPr>
      <w:pStyle w:val="Header"/>
    </w:pPr>
    <w:r>
      <w:rPr>
        <w:noProof/>
      </w:rPr>
      <mc:AlternateContent>
        <mc:Choice Requires="wps">
          <w:drawing>
            <wp:anchor distT="0" distB="0" distL="114300" distR="114300" simplePos="0" relativeHeight="251659264" behindDoc="0" locked="0" layoutInCell="0" allowOverlap="1" wp14:anchorId="09E69691" wp14:editId="564FCCEF">
              <wp:simplePos x="0" y="0"/>
              <wp:positionH relativeFrom="page">
                <wp:posOffset>0</wp:posOffset>
              </wp:positionH>
              <wp:positionV relativeFrom="page">
                <wp:posOffset>190500</wp:posOffset>
              </wp:positionV>
              <wp:extent cx="7560945" cy="273050"/>
              <wp:effectExtent l="0" t="0" r="0" b="12700"/>
              <wp:wrapNone/>
              <wp:docPr id="1" name="MSIPCM932144b0beaf7d3ca5932d92"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16706F6" w14:textId="255BC116" w:rsidR="00076F5B" w:rsidRPr="00076F5B" w:rsidRDefault="00076F5B" w:rsidP="00076F5B">
                          <w:pPr>
                            <w:spacing w:before="0" w:after="0"/>
                            <w:jc w:val="left"/>
                            <w:rPr>
                              <w:rFonts w:ascii="Calibri" w:hAnsi="Calibri" w:cs="Calibri"/>
                              <w:color w:val="000000"/>
                            </w:rPr>
                          </w:pPr>
                          <w:r w:rsidRPr="00076F5B">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09E69691" id="_x0000_t202" coordsize="21600,21600" o:spt="202" path="m,l,21600r21600,l21600,xe">
              <v:stroke joinstyle="miter"/>
              <v:path gradientshapeok="t" o:connecttype="rect"/>
            </v:shapetype>
            <v:shape id="MSIPCM932144b0beaf7d3ca5932d92"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" o:allowincell="f" filled="f" stroked="f" strokeweight=".5pt">
              <v:fill o:detectmouseclick="t"/>
              <v:textbox inset="20pt,0,,0">
                <w:txbxContent>
                  <w:p w14:paraId="616706F6" w14:textId="255BC116" w:rsidR="00076F5B" w:rsidRPr="00076F5B" w:rsidRDefault="00076F5B" w:rsidP="00076F5B">
                    <w:pPr>
                      <w:spacing w:before="0" w:after="0"/>
                      <w:jc w:val="left"/>
                      <w:rPr>
                        <w:rFonts w:ascii="Calibri" w:hAnsi="Calibri" w:cs="Calibri"/>
                        <w:color w:val="000000"/>
                      </w:rPr>
                    </w:pPr>
                    <w:r w:rsidRPr="00076F5B">
                      <w:rPr>
                        <w:rFonts w:ascii="Calibri" w:hAnsi="Calibri" w:cs="Calibri"/>
                        <w:color w:val="000000"/>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96B31" w14:textId="77777777" w:rsidR="0095312E" w:rsidRDefault="009531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num>
  <w:num w:numId="21">
    <w:abstractNumId w:val="1"/>
  </w:num>
  <w:num w:numId="22">
    <w:abstractNumId w:val="0"/>
  </w:num>
  <w:num w:numId="23">
    <w:abstractNumId w:val="21"/>
    <w:lvlOverride w:ilvl="0">
      <w:startOverride w:val="1"/>
    </w:lvlOverride>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defaultTabStop w:val="720"/>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7 16:08:46"/>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4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BCA027A5-5AC2-489A-9201-3717289A981C"/>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üssel,"/>
    <w:docVar w:name="LW_EMISSION_SUFFIX" w:val=" "/>
    <w:docVar w:name="LW_ID_DOCMODEL" w:val="SJ-004"/>
    <w:docVar w:name="LW_ID_DOCSIGNATURE" w:val="SJ-004"/>
    <w:docVar w:name="LW_ID_DOCSTRUCTURE" w:val="COM/AA"/>
    <w:docVar w:name="LW_ID_DOCTYPE" w:val="SJ-004"/>
    <w:docVar w:name="LW_INTERETEEE.CP" w:val="(EMPs kohaldatav tekst)"/>
    <w:docVar w:name="LW_LANGUE" w:val="ET"/>
    <w:docVar w:name="LW_LANGUESFAISANTFOI.CP" w:val="&lt;UNUSED&gt;"/>
    <w:docVar w:name="LW_LEVEL_OF_SENSITIVITY" w:val="Standard treatment"/>
    <w:docVar w:name="LW_NOM.INST" w:val="EUROOPA KOMISJO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milles sätestatakse rakenduslikud tehnilised standardid Euroopa Parlamendi ja nõukogu määruse (EL) nr 2019/2033 kohaldamiseks seoses investeerimisühingute järelevalvelise aruandluse ja avalikustamisega"/>
    <w:docVar w:name="LW_TYPE.DOC.CP" w:val="KOMISJONI RAKENDUSMÄÄRUS (EL) \u8230?/\u8230?,"/>
  </w:docVars>
  <w:rsids>
    <w:rsidRoot w:val="0095312E"/>
    <w:rsid w:val="00076F5B"/>
    <w:rsid w:val="00467F5C"/>
    <w:rsid w:val="00644D19"/>
    <w:rsid w:val="0095312E"/>
    <w:rsid w:val="00A76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7899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9"/>
      </w:numPr>
      <w:contextualSpacing/>
    </w:pPr>
  </w:style>
  <w:style w:type="paragraph" w:styleId="ListNumber2">
    <w:name w:val="List Number 2"/>
    <w:basedOn w:val="Normal"/>
    <w:uiPriority w:val="99"/>
    <w:semiHidden/>
    <w:unhideWhenUsed/>
    <w:pPr>
      <w:numPr>
        <w:numId w:val="20"/>
      </w:numPr>
      <w:contextualSpacing/>
    </w:pPr>
  </w:style>
  <w:style w:type="paragraph" w:styleId="ListNumber3">
    <w:name w:val="List Number 3"/>
    <w:basedOn w:val="Normal"/>
    <w:uiPriority w:val="99"/>
    <w:semiHidden/>
    <w:unhideWhenUsed/>
    <w:pPr>
      <w:numPr>
        <w:numId w:val="21"/>
      </w:numPr>
      <w:contextualSpacing/>
    </w:pPr>
  </w:style>
  <w:style w:type="paragraph" w:styleId="ListNumber4">
    <w:name w:val="List Number 4"/>
    <w:basedOn w:val="Normal"/>
    <w:uiPriority w:val="99"/>
    <w:semiHidden/>
    <w:unhideWhenUsed/>
    <w:pPr>
      <w:numPr>
        <w:numId w:val="22"/>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t-EE"/>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t-EE"/>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413D8-6DBD-4D61-8D52-A77877ACD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2052</Words>
  <Characters>11698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2021-11-25T14:59:00Z</dcterms:created>
  <dcterms:modified xsi:type="dcterms:W3CDTF">2022-01-14T15:47:00Z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20200226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2022-01-14T15:47:25Z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7dc58b33-3c7e-474c-a115-805dba00e6bb</vt:lpwstr>
  </property>
  <property fmtid="{D5CDD505-2E9C-101B-9397-08002B2CF9AE}" pid="15" name="MSIP_Label_5c7eb9de-735b-4a68-8fe4-c9c62709b012_ContentBits">
    <vt:lpwstr>1</vt:lpwstr>
  </property>
</Properties>
</file>