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383C5" w14:textId="77777777" w:rsidR="00EE0EE2" w:rsidRPr="00A7635B" w:rsidRDefault="00A7635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Toc359315628"/>
      <w:bookmarkStart w:id="1" w:name="_Toc361844197"/>
      <w:bookmarkStart w:id="2" w:name="_Toc473560873"/>
      <w:bookmarkStart w:id="3" w:name="_Toc7084158"/>
      <w:bookmarkStart w:id="4" w:name="_Toc308175820"/>
      <w:bookmarkStart w:id="5" w:name="_Toc360188325"/>
      <w:r w:rsidRPr="00A7635B">
        <w:rPr>
          <w:rFonts w:ascii="Times New Roman" w:hAnsi="Times New Roman" w:cs="Times New Roman"/>
          <w:b/>
          <w:sz w:val="24"/>
          <w:szCs w:val="24"/>
        </w:rPr>
        <w:t>SK</w:t>
      </w:r>
      <w:r w:rsidRPr="00A7635B">
        <w:rPr>
          <w:rFonts w:ascii="Times New Roman" w:hAnsi="Times New Roman" w:cs="Times New Roman"/>
        </w:rPr>
        <w:br/>
      </w:r>
      <w:r w:rsidRPr="00A7635B">
        <w:rPr>
          <w:rFonts w:ascii="Times New Roman" w:hAnsi="Times New Roman" w:cs="Times New Roman"/>
          <w:b/>
          <w:sz w:val="24"/>
          <w:szCs w:val="20"/>
        </w:rPr>
        <w:t>PRÍLOHA IV</w:t>
      </w:r>
    </w:p>
    <w:p w14:paraId="1AB2E40D" w14:textId="77777777" w:rsidR="00EE0EE2" w:rsidRPr="00A7635B" w:rsidRDefault="00A7635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A7635B">
        <w:rPr>
          <w:rFonts w:ascii="Times New Roman" w:hAnsi="Times New Roman" w:cs="Times New Roman"/>
          <w:b/>
          <w:sz w:val="24"/>
          <w:szCs w:val="20"/>
          <w:u w:val="single"/>
        </w:rPr>
        <w:t xml:space="preserve">„PRÍLOHA </w:t>
      </w:r>
      <w:bookmarkEnd w:id="0"/>
      <w:bookmarkEnd w:id="1"/>
      <w:r w:rsidRPr="00A7635B">
        <w:rPr>
          <w:rFonts w:ascii="Times New Roman" w:hAnsi="Times New Roman" w:cs="Times New Roman"/>
          <w:b/>
          <w:sz w:val="24"/>
          <w:szCs w:val="20"/>
          <w:u w:val="single"/>
        </w:rPr>
        <w:t>IV</w:t>
      </w:r>
    </w:p>
    <w:p w14:paraId="5BE38523" w14:textId="77777777" w:rsidR="00EE0EE2" w:rsidRPr="00A7635B" w:rsidRDefault="00A7635B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A7635B">
        <w:rPr>
          <w:rFonts w:ascii="Times New Roman" w:hAnsi="Times New Roman" w:cs="Times New Roman"/>
          <w:b/>
          <w:sz w:val="24"/>
          <w:szCs w:val="20"/>
        </w:rPr>
        <w:t>PREDKLADANIE SPRÁV MALÝMI A NEPREPOJENÝMI INVESTIČNÝMI SPOLOČNOSŤAMI</w:t>
      </w:r>
    </w:p>
    <w:p w14:paraId="42777551" w14:textId="77777777" w:rsidR="00EE0EE2" w:rsidRPr="00A7635B" w:rsidRDefault="00A76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5B">
        <w:rPr>
          <w:rFonts w:ascii="Times New Roman" w:hAnsi="Times New Roman" w:cs="Times New Roman"/>
          <w:sz w:val="24"/>
          <w:szCs w:val="24"/>
        </w:rPr>
        <w:t>Obsah</w:t>
      </w:r>
    </w:p>
    <w:p w14:paraId="7BDC89F3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</w:rPr>
        <w:t>ČASŤ I: VŠEOBECNÉ POKYNY</w:t>
      </w:r>
      <w:r w:rsidRPr="00A7635B">
        <w:rPr>
          <w:rFonts w:ascii="Times New Roman" w:hAnsi="Times New Roman" w:cs="Times New Roman"/>
          <w:noProof/>
        </w:rPr>
        <w:tab/>
        <w:t>2</w:t>
      </w:r>
    </w:p>
    <w:p w14:paraId="56A53433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</w:rPr>
        <w:t>1. Štruktúra a pravidlá</w:t>
      </w:r>
      <w:r w:rsidRPr="00A7635B">
        <w:rPr>
          <w:rFonts w:ascii="Times New Roman" w:hAnsi="Times New Roman" w:cs="Times New Roman"/>
          <w:noProof/>
        </w:rPr>
        <w:tab/>
        <w:t>2</w:t>
      </w:r>
    </w:p>
    <w:p w14:paraId="1AD06B5C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  <w:u w:val="single"/>
        </w:rPr>
        <w:t>1.1.</w:t>
      </w:r>
      <w:r w:rsidRPr="00A7635B">
        <w:rPr>
          <w:rFonts w:ascii="Times New Roman" w:hAnsi="Times New Roman" w:cs="Times New Roman"/>
          <w:noProof/>
          <w:u w:val="single"/>
        </w:rPr>
        <w:t xml:space="preserve"> Štruktúra</w:t>
      </w:r>
      <w:r w:rsidRPr="00A7635B">
        <w:rPr>
          <w:rFonts w:ascii="Times New Roman" w:hAnsi="Times New Roman" w:cs="Times New Roman"/>
          <w:noProof/>
        </w:rPr>
        <w:tab/>
        <w:t>2</w:t>
      </w:r>
    </w:p>
    <w:p w14:paraId="48B3724D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  <w:u w:val="single"/>
        </w:rPr>
        <w:t>1.2.</w:t>
      </w:r>
      <w:r w:rsidRPr="00A7635B">
        <w:rPr>
          <w:rFonts w:ascii="Times New Roman" w:hAnsi="Times New Roman" w:cs="Times New Roman"/>
          <w:noProof/>
          <w:u w:val="single"/>
        </w:rPr>
        <w:t xml:space="preserve"> Pravidlá číslovania</w:t>
      </w:r>
      <w:r w:rsidRPr="00A7635B">
        <w:rPr>
          <w:rFonts w:ascii="Times New Roman" w:hAnsi="Times New Roman" w:cs="Times New Roman"/>
          <w:noProof/>
        </w:rPr>
        <w:tab/>
        <w:t>2</w:t>
      </w:r>
    </w:p>
    <w:p w14:paraId="2734D18F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  <w:u w:val="single"/>
        </w:rPr>
        <w:t>1.3.</w:t>
      </w:r>
      <w:r w:rsidRPr="00A7635B">
        <w:rPr>
          <w:rFonts w:ascii="Times New Roman" w:hAnsi="Times New Roman" w:cs="Times New Roman"/>
          <w:noProof/>
          <w:u w:val="single"/>
        </w:rPr>
        <w:t xml:space="preserve"> Pravidlá používania znamienok</w:t>
      </w:r>
      <w:r w:rsidRPr="00A7635B">
        <w:rPr>
          <w:rFonts w:ascii="Times New Roman" w:hAnsi="Times New Roman" w:cs="Times New Roman"/>
          <w:noProof/>
        </w:rPr>
        <w:tab/>
        <w:t>2</w:t>
      </w:r>
    </w:p>
    <w:p w14:paraId="30582FC5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  <w:u w:val="single"/>
        </w:rPr>
        <w:t>1.4.</w:t>
      </w:r>
      <w:r w:rsidRPr="00A7635B">
        <w:rPr>
          <w:rFonts w:ascii="Times New Roman" w:hAnsi="Times New Roman" w:cs="Times New Roman"/>
          <w:noProof/>
          <w:u w:val="single"/>
        </w:rPr>
        <w:t xml:space="preserve"> Prudenciálna konsolidácia</w:t>
      </w:r>
      <w:r w:rsidRPr="00A7635B">
        <w:rPr>
          <w:rFonts w:ascii="Times New Roman" w:hAnsi="Times New Roman" w:cs="Times New Roman"/>
          <w:noProof/>
        </w:rPr>
        <w:tab/>
        <w:t>2</w:t>
      </w:r>
    </w:p>
    <w:p w14:paraId="422D63B8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</w:rPr>
        <w:t>ČASŤ II: POKYNY TÝKAJÚCE SA VZOROV</w:t>
      </w:r>
      <w:r w:rsidRPr="00A7635B">
        <w:rPr>
          <w:rFonts w:ascii="Times New Roman" w:hAnsi="Times New Roman" w:cs="Times New Roman"/>
          <w:noProof/>
        </w:rPr>
        <w:tab/>
        <w:t>3</w:t>
      </w:r>
    </w:p>
    <w:p w14:paraId="62576ACD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b/>
          <w:noProof/>
        </w:rPr>
        <w:t>1. VLASTNÉ ZDROJE: ÚROVEŇ, ZLOŽENIE, POŽIADAVKY A VÝPOČET</w:t>
      </w:r>
      <w:r w:rsidRPr="00A7635B">
        <w:rPr>
          <w:rFonts w:ascii="Times New Roman" w:hAnsi="Times New Roman" w:cs="Times New Roman"/>
          <w:noProof/>
        </w:rPr>
        <w:tab/>
        <w:t>3</w:t>
      </w:r>
    </w:p>
    <w:p w14:paraId="4EA915F6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</w:rPr>
        <w:t>1.1.</w:t>
      </w:r>
      <w:r w:rsidRPr="00A7635B">
        <w:rPr>
          <w:rFonts w:ascii="Times New Roman" w:hAnsi="Times New Roman" w:cs="Times New Roman"/>
          <w:noProof/>
        </w:rPr>
        <w:t xml:space="preserve"> Všeobecné poznámky</w:t>
      </w:r>
      <w:r w:rsidRPr="00A7635B">
        <w:rPr>
          <w:rFonts w:ascii="Times New Roman" w:hAnsi="Times New Roman" w:cs="Times New Roman"/>
          <w:noProof/>
        </w:rPr>
        <w:tab/>
        <w:t>3</w:t>
      </w:r>
    </w:p>
    <w:p w14:paraId="47BC4FE4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</w:rPr>
        <w:t>1.2.</w:t>
      </w:r>
      <w:r w:rsidRPr="00A7635B">
        <w:rPr>
          <w:rFonts w:ascii="Times New Roman" w:hAnsi="Times New Roman" w:cs="Times New Roman"/>
          <w:noProof/>
        </w:rPr>
        <w:t xml:space="preserve"> I </w:t>
      </w:r>
      <w:r w:rsidRPr="00A7635B">
        <w:rPr>
          <w:rFonts w:ascii="Times New Roman" w:hAnsi="Times New Roman" w:cs="Times New Roman"/>
          <w:noProof/>
        </w:rPr>
        <w:t>01.01</w:t>
      </w:r>
      <w:r w:rsidRPr="00A7635B">
        <w:rPr>
          <w:rFonts w:ascii="Times New Roman" w:hAnsi="Times New Roman" w:cs="Times New Roman"/>
          <w:noProof/>
        </w:rPr>
        <w:t xml:space="preserve"> – ZLOŽENIE VLASTNÝCH ZDROJOV (I </w:t>
      </w:r>
      <w:r w:rsidRPr="00A7635B">
        <w:rPr>
          <w:rFonts w:ascii="Times New Roman" w:hAnsi="Times New Roman" w:cs="Times New Roman"/>
          <w:noProof/>
        </w:rPr>
        <w:t>1.1</w:t>
      </w:r>
      <w:r w:rsidRPr="00A7635B">
        <w:rPr>
          <w:rFonts w:ascii="Times New Roman" w:hAnsi="Times New Roman" w:cs="Times New Roman"/>
          <w:noProof/>
        </w:rPr>
        <w:t>)</w:t>
      </w:r>
      <w:r w:rsidRPr="00A7635B">
        <w:rPr>
          <w:rFonts w:ascii="Times New Roman" w:hAnsi="Times New Roman" w:cs="Times New Roman"/>
          <w:noProof/>
        </w:rPr>
        <w:tab/>
        <w:t>3</w:t>
      </w:r>
    </w:p>
    <w:p w14:paraId="1E51A949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</w:rPr>
        <w:t>1.2.1.</w:t>
      </w:r>
      <w:r w:rsidRPr="00A7635B">
        <w:rPr>
          <w:rFonts w:ascii="Times New Roman" w:eastAsiaTheme="minorEastAsia" w:hAnsi="Times New Roman" w:cs="Times New Roman"/>
          <w:noProof/>
          <w:lang w:eastAsia="en-GB"/>
        </w:rPr>
        <w:tab/>
      </w:r>
      <w:r w:rsidRPr="00A7635B">
        <w:rPr>
          <w:rFonts w:ascii="Times New Roman" w:hAnsi="Times New Roman" w:cs="Times New Roman"/>
          <w:noProof/>
        </w:rPr>
        <w:t>Pokyny týkajúce sa konkrétnych pozícií</w:t>
      </w:r>
      <w:r w:rsidRPr="00A7635B">
        <w:rPr>
          <w:rFonts w:ascii="Times New Roman" w:hAnsi="Times New Roman" w:cs="Times New Roman"/>
          <w:noProof/>
        </w:rPr>
        <w:tab/>
        <w:t>3</w:t>
      </w:r>
    </w:p>
    <w:p w14:paraId="3DD805A0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</w:rPr>
        <w:t>1.3.</w:t>
      </w:r>
      <w:r w:rsidRPr="00A7635B">
        <w:rPr>
          <w:rFonts w:ascii="Times New Roman" w:hAnsi="Times New Roman" w:cs="Times New Roman"/>
          <w:noProof/>
        </w:rPr>
        <w:t xml:space="preserve"> I </w:t>
      </w:r>
      <w:r w:rsidRPr="00A7635B">
        <w:rPr>
          <w:rFonts w:ascii="Times New Roman" w:hAnsi="Times New Roman" w:cs="Times New Roman"/>
          <w:noProof/>
        </w:rPr>
        <w:t>02.03</w:t>
      </w:r>
      <w:r w:rsidRPr="00A7635B">
        <w:rPr>
          <w:rFonts w:ascii="Times New Roman" w:hAnsi="Times New Roman" w:cs="Times New Roman"/>
          <w:noProof/>
        </w:rPr>
        <w:t xml:space="preserve"> – POŽIADAVKY NA VLASTNÉ ZDROJE (I </w:t>
      </w:r>
      <w:r w:rsidRPr="00A7635B">
        <w:rPr>
          <w:rFonts w:ascii="Times New Roman" w:hAnsi="Times New Roman" w:cs="Times New Roman"/>
          <w:noProof/>
        </w:rPr>
        <w:t>2.3</w:t>
      </w:r>
      <w:r w:rsidRPr="00A7635B">
        <w:rPr>
          <w:rFonts w:ascii="Times New Roman" w:hAnsi="Times New Roman" w:cs="Times New Roman"/>
          <w:noProof/>
        </w:rPr>
        <w:t>)</w:t>
      </w:r>
      <w:r w:rsidRPr="00A7635B">
        <w:rPr>
          <w:rFonts w:ascii="Times New Roman" w:hAnsi="Times New Roman" w:cs="Times New Roman"/>
          <w:noProof/>
        </w:rPr>
        <w:tab/>
        <w:t>8</w:t>
      </w:r>
    </w:p>
    <w:p w14:paraId="235C9621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</w:rPr>
        <w:t>1.3.1.</w:t>
      </w:r>
      <w:r w:rsidRPr="00A7635B">
        <w:rPr>
          <w:rFonts w:ascii="Times New Roman" w:eastAsiaTheme="minorEastAsia" w:hAnsi="Times New Roman" w:cs="Times New Roman"/>
          <w:noProof/>
          <w:lang w:eastAsia="en-GB"/>
        </w:rPr>
        <w:tab/>
      </w:r>
      <w:r w:rsidRPr="00A7635B">
        <w:rPr>
          <w:rFonts w:ascii="Times New Roman" w:hAnsi="Times New Roman" w:cs="Times New Roman"/>
          <w:noProof/>
          <w:u w:val="single"/>
        </w:rPr>
        <w:t>Pokyny týkajúce sa konkrétnych pozícií</w:t>
      </w:r>
      <w:r w:rsidRPr="00A7635B">
        <w:rPr>
          <w:rFonts w:ascii="Times New Roman" w:hAnsi="Times New Roman" w:cs="Times New Roman"/>
          <w:noProof/>
        </w:rPr>
        <w:tab/>
        <w:t>8</w:t>
      </w:r>
    </w:p>
    <w:p w14:paraId="31F84303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</w:rPr>
        <w:t>1.4.</w:t>
      </w:r>
      <w:r w:rsidRPr="00A7635B">
        <w:rPr>
          <w:rFonts w:ascii="Times New Roman" w:hAnsi="Times New Roman" w:cs="Times New Roman"/>
          <w:noProof/>
        </w:rPr>
        <w:t xml:space="preserve"> I </w:t>
      </w:r>
      <w:r w:rsidRPr="00A7635B">
        <w:rPr>
          <w:rFonts w:ascii="Times New Roman" w:hAnsi="Times New Roman" w:cs="Times New Roman"/>
          <w:noProof/>
        </w:rPr>
        <w:t>02.04</w:t>
      </w:r>
      <w:r w:rsidRPr="00A7635B">
        <w:rPr>
          <w:rFonts w:ascii="Times New Roman" w:hAnsi="Times New Roman" w:cs="Times New Roman"/>
          <w:noProof/>
        </w:rPr>
        <w:t xml:space="preserve"> – PODIELY KAPITÁLU (I </w:t>
      </w:r>
      <w:r w:rsidRPr="00A7635B">
        <w:rPr>
          <w:rFonts w:ascii="Times New Roman" w:hAnsi="Times New Roman" w:cs="Times New Roman"/>
          <w:noProof/>
        </w:rPr>
        <w:t>2.4</w:t>
      </w:r>
      <w:r w:rsidRPr="00A7635B">
        <w:rPr>
          <w:rFonts w:ascii="Times New Roman" w:hAnsi="Times New Roman" w:cs="Times New Roman"/>
          <w:noProof/>
        </w:rPr>
        <w:t>)</w:t>
      </w:r>
      <w:r w:rsidRPr="00A7635B">
        <w:rPr>
          <w:rFonts w:ascii="Times New Roman" w:hAnsi="Times New Roman" w:cs="Times New Roman"/>
          <w:noProof/>
        </w:rPr>
        <w:tab/>
        <w:t>9</w:t>
      </w:r>
    </w:p>
    <w:p w14:paraId="1C2F8775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</w:rPr>
        <w:t>1.4.1.</w:t>
      </w:r>
      <w:r w:rsidRPr="00A7635B">
        <w:rPr>
          <w:rFonts w:ascii="Times New Roman" w:eastAsiaTheme="minorEastAsia" w:hAnsi="Times New Roman" w:cs="Times New Roman"/>
          <w:noProof/>
          <w:lang w:eastAsia="en-GB"/>
        </w:rPr>
        <w:tab/>
      </w:r>
      <w:r w:rsidRPr="00A7635B">
        <w:rPr>
          <w:rFonts w:ascii="Times New Roman" w:hAnsi="Times New Roman" w:cs="Times New Roman"/>
          <w:noProof/>
          <w:u w:val="single"/>
        </w:rPr>
        <w:t xml:space="preserve">Pokyny </w:t>
      </w:r>
      <w:r w:rsidRPr="00A7635B">
        <w:rPr>
          <w:rFonts w:ascii="Times New Roman" w:hAnsi="Times New Roman" w:cs="Times New Roman"/>
          <w:noProof/>
          <w:u w:val="single"/>
        </w:rPr>
        <w:t>týkajúce sa konkrétnych pozícií</w:t>
      </w:r>
      <w:r w:rsidRPr="00A7635B">
        <w:rPr>
          <w:rFonts w:ascii="Times New Roman" w:hAnsi="Times New Roman" w:cs="Times New Roman"/>
          <w:noProof/>
        </w:rPr>
        <w:tab/>
        <w:t>9</w:t>
      </w:r>
    </w:p>
    <w:p w14:paraId="666C6446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</w:rPr>
        <w:t>1.5.</w:t>
      </w:r>
      <w:r w:rsidRPr="00A7635B">
        <w:rPr>
          <w:rFonts w:ascii="Times New Roman" w:hAnsi="Times New Roman" w:cs="Times New Roman"/>
          <w:noProof/>
        </w:rPr>
        <w:t xml:space="preserve"> I </w:t>
      </w:r>
      <w:r w:rsidRPr="00A7635B">
        <w:rPr>
          <w:rFonts w:ascii="Times New Roman" w:hAnsi="Times New Roman" w:cs="Times New Roman"/>
          <w:noProof/>
        </w:rPr>
        <w:t>03.01</w:t>
      </w:r>
      <w:r w:rsidRPr="00A7635B">
        <w:rPr>
          <w:rFonts w:ascii="Times New Roman" w:hAnsi="Times New Roman" w:cs="Times New Roman"/>
          <w:noProof/>
        </w:rPr>
        <w:t xml:space="preserve"> – VÝPOČET POŽIADAVKY NA ZÁKLADE FIXNÝCH REŽIJNÝCH NÁKLADOV (I </w:t>
      </w:r>
      <w:r w:rsidRPr="00A7635B">
        <w:rPr>
          <w:rFonts w:ascii="Times New Roman" w:hAnsi="Times New Roman" w:cs="Times New Roman"/>
          <w:noProof/>
        </w:rPr>
        <w:t>3.1</w:t>
      </w:r>
      <w:r w:rsidRPr="00A7635B">
        <w:rPr>
          <w:rFonts w:ascii="Times New Roman" w:hAnsi="Times New Roman" w:cs="Times New Roman"/>
          <w:noProof/>
        </w:rPr>
        <w:t>)</w:t>
      </w:r>
      <w:r w:rsidRPr="00A7635B">
        <w:rPr>
          <w:rFonts w:ascii="Times New Roman" w:hAnsi="Times New Roman" w:cs="Times New Roman"/>
          <w:noProof/>
        </w:rPr>
        <w:tab/>
        <w:t>10</w:t>
      </w:r>
    </w:p>
    <w:p w14:paraId="674FCA49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</w:rPr>
        <w:t>1.5.1.</w:t>
      </w:r>
      <w:r w:rsidRPr="00A7635B">
        <w:rPr>
          <w:rFonts w:ascii="Times New Roman" w:eastAsiaTheme="minorEastAsia" w:hAnsi="Times New Roman" w:cs="Times New Roman"/>
          <w:noProof/>
          <w:lang w:eastAsia="en-GB"/>
        </w:rPr>
        <w:tab/>
      </w:r>
      <w:r w:rsidRPr="00A7635B">
        <w:rPr>
          <w:rFonts w:ascii="Times New Roman" w:hAnsi="Times New Roman" w:cs="Times New Roman"/>
          <w:noProof/>
          <w:u w:val="single"/>
        </w:rPr>
        <w:t>Pokyny týkajúce sa konkrétnych pozícií</w:t>
      </w:r>
      <w:r w:rsidRPr="00A7635B">
        <w:rPr>
          <w:rFonts w:ascii="Times New Roman" w:hAnsi="Times New Roman" w:cs="Times New Roman"/>
          <w:noProof/>
        </w:rPr>
        <w:tab/>
        <w:t>10</w:t>
      </w:r>
    </w:p>
    <w:p w14:paraId="7B105232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</w:rPr>
        <w:t>2. MALÉ A NEPREPOJENÉ INVESTIČNÉ SPOLOČNOSTI</w:t>
      </w:r>
      <w:r w:rsidRPr="00A7635B">
        <w:rPr>
          <w:rFonts w:ascii="Times New Roman" w:hAnsi="Times New Roman" w:cs="Times New Roman"/>
          <w:noProof/>
        </w:rPr>
        <w:tab/>
        <w:t>12</w:t>
      </w:r>
    </w:p>
    <w:p w14:paraId="3C2E35C9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</w:rPr>
        <w:t>2.1.</w:t>
      </w:r>
      <w:r w:rsidRPr="00A7635B">
        <w:rPr>
          <w:rFonts w:ascii="Times New Roman" w:eastAsiaTheme="minorEastAsia" w:hAnsi="Times New Roman" w:cs="Times New Roman"/>
          <w:noProof/>
          <w:lang w:eastAsia="en-GB"/>
        </w:rPr>
        <w:tab/>
      </w:r>
      <w:r w:rsidRPr="00A7635B">
        <w:rPr>
          <w:rFonts w:ascii="Times New Roman" w:hAnsi="Times New Roman" w:cs="Times New Roman"/>
          <w:noProof/>
          <w:u w:val="single"/>
        </w:rPr>
        <w:t>I</w:t>
      </w:r>
      <w:r w:rsidRPr="00A7635B">
        <w:rPr>
          <w:rFonts w:ascii="Times New Roman" w:eastAsiaTheme="minorEastAsia" w:hAnsi="Times New Roman" w:cs="Times New Roman"/>
          <w:noProof/>
          <w:lang w:eastAsia="en-GB"/>
        </w:rPr>
        <w:t> </w:t>
      </w:r>
      <w:r w:rsidRPr="00A7635B">
        <w:rPr>
          <w:rFonts w:ascii="Times New Roman" w:hAnsi="Times New Roman" w:cs="Times New Roman"/>
          <w:noProof/>
          <w:u w:val="single"/>
        </w:rPr>
        <w:t>05.00</w:t>
      </w:r>
      <w:r w:rsidRPr="00A7635B">
        <w:rPr>
          <w:rFonts w:ascii="Times New Roman" w:hAnsi="Times New Roman" w:cs="Times New Roman"/>
          <w:noProof/>
          <w:u w:val="single"/>
        </w:rPr>
        <w:t xml:space="preserve"> – ÚROVEŇ ČINNOSTI – PRESKÚMAN</w:t>
      </w:r>
      <w:r w:rsidRPr="00A7635B">
        <w:rPr>
          <w:rFonts w:ascii="Times New Roman" w:hAnsi="Times New Roman" w:cs="Times New Roman"/>
          <w:noProof/>
          <w:u w:val="single"/>
        </w:rPr>
        <w:t>IE PRAHOVÝCH HODNÔT (I 5)</w:t>
      </w:r>
      <w:r w:rsidRPr="00A7635B">
        <w:rPr>
          <w:rFonts w:ascii="Times New Roman" w:hAnsi="Times New Roman" w:cs="Times New Roman"/>
          <w:noProof/>
        </w:rPr>
        <w:tab/>
        <w:t>12</w:t>
      </w:r>
    </w:p>
    <w:p w14:paraId="53D22FF8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</w:rPr>
        <w:t>2.1.1.</w:t>
      </w:r>
      <w:r w:rsidRPr="00A7635B">
        <w:rPr>
          <w:rFonts w:ascii="Times New Roman" w:eastAsiaTheme="minorEastAsia" w:hAnsi="Times New Roman" w:cs="Times New Roman"/>
          <w:noProof/>
          <w:lang w:eastAsia="en-GB"/>
        </w:rPr>
        <w:tab/>
      </w:r>
      <w:r w:rsidRPr="00A7635B">
        <w:rPr>
          <w:rFonts w:ascii="Times New Roman" w:hAnsi="Times New Roman" w:cs="Times New Roman"/>
          <w:noProof/>
          <w:u w:val="single"/>
        </w:rPr>
        <w:t>Pokyny týkajúce sa konkrétnych pozícií</w:t>
      </w:r>
      <w:r w:rsidRPr="00A7635B">
        <w:rPr>
          <w:rFonts w:ascii="Times New Roman" w:hAnsi="Times New Roman" w:cs="Times New Roman"/>
          <w:noProof/>
        </w:rPr>
        <w:tab/>
        <w:t>12</w:t>
      </w:r>
    </w:p>
    <w:p w14:paraId="41870FAA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b/>
          <w:noProof/>
        </w:rPr>
        <w:t>3. POŽIADAVKY NA LIKVIDITU</w:t>
      </w:r>
      <w:r w:rsidRPr="00A7635B">
        <w:rPr>
          <w:rFonts w:ascii="Times New Roman" w:hAnsi="Times New Roman" w:cs="Times New Roman"/>
          <w:noProof/>
        </w:rPr>
        <w:tab/>
        <w:t>15</w:t>
      </w:r>
    </w:p>
    <w:p w14:paraId="7570CD0A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  <w:u w:val="single"/>
        </w:rPr>
        <w:t>3.1.</w:t>
      </w:r>
      <w:r w:rsidRPr="00A7635B">
        <w:rPr>
          <w:rFonts w:ascii="Times New Roman" w:hAnsi="Times New Roman" w:cs="Times New Roman"/>
          <w:noProof/>
          <w:u w:val="single"/>
        </w:rPr>
        <w:t xml:space="preserve"> I </w:t>
      </w:r>
      <w:r w:rsidRPr="00A7635B">
        <w:rPr>
          <w:rFonts w:ascii="Times New Roman" w:hAnsi="Times New Roman" w:cs="Times New Roman"/>
          <w:noProof/>
          <w:u w:val="single"/>
        </w:rPr>
        <w:t>09.01</w:t>
      </w:r>
      <w:r w:rsidRPr="00A7635B">
        <w:rPr>
          <w:rFonts w:ascii="Times New Roman" w:hAnsi="Times New Roman" w:cs="Times New Roman"/>
          <w:noProof/>
          <w:u w:val="single"/>
        </w:rPr>
        <w:t xml:space="preserve"> – POŽIADAVKY NA LIKVIDITU (I </w:t>
      </w:r>
      <w:r w:rsidRPr="00A7635B">
        <w:rPr>
          <w:rFonts w:ascii="Times New Roman" w:hAnsi="Times New Roman" w:cs="Times New Roman"/>
          <w:noProof/>
          <w:u w:val="single"/>
        </w:rPr>
        <w:t>9.1</w:t>
      </w:r>
      <w:r w:rsidRPr="00A7635B">
        <w:rPr>
          <w:rFonts w:ascii="Times New Roman" w:hAnsi="Times New Roman" w:cs="Times New Roman"/>
          <w:noProof/>
          <w:u w:val="single"/>
        </w:rPr>
        <w:t>)</w:t>
      </w:r>
      <w:r w:rsidRPr="00A7635B">
        <w:rPr>
          <w:rFonts w:ascii="Times New Roman" w:hAnsi="Times New Roman" w:cs="Times New Roman"/>
          <w:noProof/>
        </w:rPr>
        <w:tab/>
        <w:t>15</w:t>
      </w:r>
    </w:p>
    <w:p w14:paraId="0376E223" w14:textId="77777777" w:rsidR="00EE0EE2" w:rsidRPr="00A7635B" w:rsidRDefault="00A7635B">
      <w:pPr>
        <w:pStyle w:val="TOC2"/>
        <w:rPr>
          <w:rFonts w:ascii="Times New Roman" w:eastAsiaTheme="minorEastAsia" w:hAnsi="Times New Roman" w:cs="Times New Roman"/>
          <w:noProof/>
          <w:lang w:eastAsia="en-GB"/>
        </w:rPr>
      </w:pPr>
      <w:r w:rsidRPr="00A7635B">
        <w:rPr>
          <w:rFonts w:ascii="Times New Roman" w:hAnsi="Times New Roman" w:cs="Times New Roman"/>
          <w:noProof/>
        </w:rPr>
        <w:t>3.1.1.</w:t>
      </w:r>
      <w:r w:rsidRPr="00A7635B">
        <w:rPr>
          <w:rFonts w:ascii="Times New Roman" w:eastAsiaTheme="minorEastAsia" w:hAnsi="Times New Roman" w:cs="Times New Roman"/>
          <w:noProof/>
          <w:lang w:eastAsia="en-GB"/>
        </w:rPr>
        <w:tab/>
      </w:r>
      <w:r w:rsidRPr="00A7635B">
        <w:rPr>
          <w:rFonts w:ascii="Times New Roman" w:hAnsi="Times New Roman" w:cs="Times New Roman"/>
          <w:noProof/>
          <w:u w:val="single"/>
        </w:rPr>
        <w:t>Pokyny týkajúce sa konkrétnych pozícií</w:t>
      </w:r>
      <w:r w:rsidRPr="00A7635B">
        <w:rPr>
          <w:rFonts w:ascii="Times New Roman" w:hAnsi="Times New Roman" w:cs="Times New Roman"/>
          <w:noProof/>
        </w:rPr>
        <w:tab/>
        <w:t>15</w:t>
      </w:r>
    </w:p>
    <w:p w14:paraId="02CE029B" w14:textId="77777777" w:rsidR="00EE0EE2" w:rsidRPr="00A7635B" w:rsidRDefault="00A7635B">
      <w:pPr>
        <w:pStyle w:val="Heading2"/>
        <w:rPr>
          <w:rFonts w:ascii="Times New Roman" w:hAnsi="Times New Roman"/>
        </w:rPr>
      </w:pPr>
      <w:bookmarkStart w:id="6" w:name="_Toc87610913"/>
      <w:bookmarkStart w:id="7" w:name="_Toc360188322"/>
      <w:bookmarkStart w:id="8" w:name="_Toc473560870"/>
      <w:bookmarkStart w:id="9" w:name="_Toc7084155"/>
      <w:r w:rsidRPr="00A7635B">
        <w:rPr>
          <w:rFonts w:ascii="Times New Roman" w:hAnsi="Times New Roman"/>
        </w:rPr>
        <w:t>ČASŤ I: VŠEOBECNÉ POKYNY</w:t>
      </w:r>
      <w:bookmarkEnd w:id="6"/>
    </w:p>
    <w:p w14:paraId="34469607" w14:textId="77777777" w:rsidR="00EE0EE2" w:rsidRPr="00A7635B" w:rsidRDefault="00A7635B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10" w:name="_Toc87610914"/>
      <w:r w:rsidRPr="00A7635B">
        <w:rPr>
          <w:rFonts w:ascii="Times New Roman" w:hAnsi="Times New Roman" w:cs="Times New Roman"/>
          <w:sz w:val="24"/>
          <w:szCs w:val="24"/>
        </w:rPr>
        <w:t xml:space="preserve">1. Štruktúra </w:t>
      </w:r>
      <w:r w:rsidRPr="00A7635B">
        <w:rPr>
          <w:rFonts w:ascii="Times New Roman" w:hAnsi="Times New Roman" w:cs="Times New Roman"/>
          <w:sz w:val="24"/>
          <w:szCs w:val="24"/>
        </w:rPr>
        <w:t>a pravidlá</w:t>
      </w:r>
      <w:bookmarkEnd w:id="10"/>
    </w:p>
    <w:p w14:paraId="12F65A59" w14:textId="77777777" w:rsidR="00EE0EE2" w:rsidRPr="00A7635B" w:rsidRDefault="00A7635B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1" w:name="_Toc87610915"/>
      <w:r w:rsidRPr="00A7635B">
        <w:rPr>
          <w:rFonts w:ascii="Times New Roman" w:hAnsi="Times New Roman" w:cs="Times New Roman"/>
          <w:sz w:val="24"/>
          <w:szCs w:val="24"/>
          <w:u w:val="single"/>
        </w:rPr>
        <w:t>1.1.</w:t>
      </w:r>
      <w:r w:rsidRPr="00A7635B">
        <w:rPr>
          <w:rFonts w:ascii="Times New Roman" w:hAnsi="Times New Roman" w:cs="Times New Roman"/>
          <w:sz w:val="24"/>
          <w:szCs w:val="24"/>
          <w:u w:val="single"/>
        </w:rPr>
        <w:t xml:space="preserve"> Štruktúra</w:t>
      </w:r>
      <w:bookmarkEnd w:id="11"/>
    </w:p>
    <w:p w14:paraId="0FF4BD9C" w14:textId="77777777" w:rsidR="00EE0EE2" w:rsidRPr="00A7635B" w:rsidRDefault="00A7635B">
      <w:pPr>
        <w:spacing w:line="256" w:lineRule="auto"/>
        <w:ind w:left="993" w:hanging="504"/>
        <w:jc w:val="both"/>
        <w:rPr>
          <w:rFonts w:ascii="Times New Roman" w:hAnsi="Times New Roman" w:cs="Times New Roman"/>
        </w:rPr>
      </w:pPr>
      <w:r w:rsidRPr="00A7635B">
        <w:rPr>
          <w:rFonts w:ascii="Times New Roman" w:hAnsi="Times New Roman" w:cs="Times New Roman"/>
        </w:rPr>
        <w:t>1.</w:t>
      </w:r>
      <w:r w:rsidRPr="00A7635B">
        <w:rPr>
          <w:rFonts w:ascii="Times New Roman" w:hAnsi="Times New Roman" w:cs="Times New Roman"/>
        </w:rPr>
        <w:tab/>
        <w:t>Celkovo sa rámec skladá z týchto blokov informácií:</w:t>
      </w:r>
    </w:p>
    <w:p w14:paraId="3B1AC2C5" w14:textId="77777777" w:rsidR="00EE0EE2" w:rsidRPr="00A7635B" w:rsidRDefault="00A7635B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A7635B">
        <w:rPr>
          <w:rFonts w:ascii="Times New Roman" w:hAnsi="Times New Roman" w:cs="Times New Roman"/>
        </w:rPr>
        <w:t>a)</w:t>
      </w:r>
      <w:r w:rsidRPr="00A7635B">
        <w:rPr>
          <w:rFonts w:ascii="Times New Roman" w:hAnsi="Times New Roman" w:cs="Times New Roman"/>
        </w:rPr>
        <w:tab/>
        <w:t>vlastné zdroje;</w:t>
      </w:r>
    </w:p>
    <w:p w14:paraId="0CAEC2C8" w14:textId="77777777" w:rsidR="00EE0EE2" w:rsidRPr="00A7635B" w:rsidRDefault="00A7635B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A7635B">
        <w:rPr>
          <w:rFonts w:ascii="Times New Roman" w:hAnsi="Times New Roman" w:cs="Times New Roman"/>
        </w:rPr>
        <w:lastRenderedPageBreak/>
        <w:t>b)</w:t>
      </w:r>
      <w:r w:rsidRPr="00A7635B">
        <w:rPr>
          <w:rFonts w:ascii="Times New Roman" w:hAnsi="Times New Roman" w:cs="Times New Roman"/>
        </w:rPr>
        <w:tab/>
        <w:t>výpočty požiadaviek na vlastné zdroje;</w:t>
      </w:r>
    </w:p>
    <w:p w14:paraId="27732383" w14:textId="77777777" w:rsidR="00EE0EE2" w:rsidRPr="00A7635B" w:rsidRDefault="00A7635B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A7635B">
        <w:rPr>
          <w:rFonts w:ascii="Times New Roman" w:hAnsi="Times New Roman" w:cs="Times New Roman"/>
        </w:rPr>
        <w:t>c)</w:t>
      </w:r>
      <w:r w:rsidRPr="00A7635B">
        <w:rPr>
          <w:rFonts w:ascii="Times New Roman" w:hAnsi="Times New Roman" w:cs="Times New Roman"/>
        </w:rPr>
        <w:tab/>
        <w:t>výpočet požiadaviek na základe fixných režijných nákladov;</w:t>
      </w:r>
    </w:p>
    <w:p w14:paraId="07261C8E" w14:textId="77777777" w:rsidR="00EE0EE2" w:rsidRPr="00A7635B" w:rsidRDefault="00A7635B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A7635B">
        <w:rPr>
          <w:rFonts w:ascii="Times New Roman" w:hAnsi="Times New Roman" w:cs="Times New Roman"/>
        </w:rPr>
        <w:t>d)</w:t>
      </w:r>
      <w:r w:rsidRPr="00A7635B">
        <w:rPr>
          <w:rFonts w:ascii="Times New Roman" w:hAnsi="Times New Roman" w:cs="Times New Roman"/>
        </w:rPr>
        <w:tab/>
        <w:t xml:space="preserve">úroveň činnosti, pokiaľ ide </w:t>
      </w:r>
      <w:r w:rsidRPr="00A7635B">
        <w:rPr>
          <w:rFonts w:ascii="Times New Roman" w:hAnsi="Times New Roman" w:cs="Times New Roman"/>
        </w:rPr>
        <w:t>o podmienky stanovené v článku 12 ods. 1 nariadenia (EÚ) 2019/2033;</w:t>
      </w:r>
    </w:p>
    <w:p w14:paraId="5C221D65" w14:textId="77777777" w:rsidR="00EE0EE2" w:rsidRPr="00A7635B" w:rsidRDefault="00A7635B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A7635B">
        <w:rPr>
          <w:rFonts w:ascii="Times New Roman" w:hAnsi="Times New Roman" w:cs="Times New Roman"/>
        </w:rPr>
        <w:t>e)</w:t>
      </w:r>
      <w:r w:rsidRPr="00A7635B">
        <w:rPr>
          <w:rFonts w:ascii="Times New Roman" w:hAnsi="Times New Roman" w:cs="Times New Roman"/>
        </w:rPr>
        <w:tab/>
        <w:t>požiadavky na likviditu.</w:t>
      </w:r>
    </w:p>
    <w:p w14:paraId="23CE932B" w14:textId="77777777" w:rsidR="00EE0EE2" w:rsidRPr="00A7635B" w:rsidRDefault="00A7635B">
      <w:pPr>
        <w:pStyle w:val="InstructionsText2"/>
        <w:numPr>
          <w:ilvl w:val="0"/>
          <w:numId w:val="0"/>
        </w:numPr>
        <w:ind w:left="360" w:hanging="360"/>
      </w:pPr>
      <w:r w:rsidRPr="00A7635B">
        <w:t>2.</w:t>
      </w:r>
      <w:r w:rsidRPr="00A7635B">
        <w:tab/>
        <w:t>Pre každý vzor sa uvádzajú odkazy na právne predpisy. V tejto časti tohto nariadenia sa uvádzajú ďalšie podrobné informácie týkajúce sa všeobecnejších aspekt</w:t>
      </w:r>
      <w:r w:rsidRPr="00A7635B">
        <w:t>ov vykazovania pre jednotlivé bloky vzorov, pokyny týkajúce sa konkrétnych pozícií, ako aj pravidlá validácie.</w:t>
      </w:r>
    </w:p>
    <w:p w14:paraId="46F0AC8A" w14:textId="77777777" w:rsidR="00EE0EE2" w:rsidRPr="00A7635B" w:rsidRDefault="00A7635B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2" w:name="_Toc87610916"/>
      <w:r w:rsidRPr="00A7635B">
        <w:rPr>
          <w:rFonts w:ascii="Times New Roman" w:hAnsi="Times New Roman" w:cs="Times New Roman"/>
          <w:sz w:val="24"/>
          <w:szCs w:val="24"/>
          <w:u w:val="single"/>
        </w:rPr>
        <w:t>1.2.</w:t>
      </w:r>
      <w:r w:rsidRPr="00A7635B">
        <w:rPr>
          <w:rFonts w:ascii="Times New Roman" w:hAnsi="Times New Roman" w:cs="Times New Roman"/>
          <w:sz w:val="24"/>
          <w:szCs w:val="24"/>
          <w:u w:val="single"/>
        </w:rPr>
        <w:t xml:space="preserve"> Pravidlá číslovania</w:t>
      </w:r>
      <w:bookmarkEnd w:id="12"/>
    </w:p>
    <w:p w14:paraId="1A1814C2" w14:textId="77777777" w:rsidR="00EE0EE2" w:rsidRPr="00A7635B" w:rsidRDefault="00A7635B">
      <w:pPr>
        <w:pStyle w:val="InstructionsText2"/>
        <w:numPr>
          <w:ilvl w:val="0"/>
          <w:numId w:val="0"/>
        </w:numPr>
        <w:ind w:left="360" w:hanging="360"/>
      </w:pPr>
      <w:r w:rsidRPr="00A7635B">
        <w:t>3.</w:t>
      </w:r>
      <w:r w:rsidRPr="00A7635B">
        <w:tab/>
        <w:t xml:space="preserve">V dokumente sa pri odkaze na stĺpce, riadky a bunky vzorov používajú pravidlá označovania stanovené v bodoch 4 až </w:t>
      </w:r>
      <w:r w:rsidRPr="00A7635B">
        <w:t>7. V pravidlách validácie sa uvedené číselné kódy používajú vo veľkej miere.</w:t>
      </w:r>
    </w:p>
    <w:p w14:paraId="28E11C29" w14:textId="77777777" w:rsidR="00EE0EE2" w:rsidRPr="00A7635B" w:rsidRDefault="00A7635B">
      <w:pPr>
        <w:pStyle w:val="InstructionsText2"/>
        <w:numPr>
          <w:ilvl w:val="0"/>
          <w:numId w:val="0"/>
        </w:numPr>
        <w:ind w:left="360" w:hanging="360"/>
      </w:pPr>
      <w:r w:rsidRPr="00A7635B">
        <w:t>4.</w:t>
      </w:r>
      <w:r w:rsidRPr="00A7635B">
        <w:tab/>
        <w:t>V pokynoch sa používa tento všeobecný zápis: {vzor; riadok; stĺpec}.</w:t>
      </w:r>
    </w:p>
    <w:p w14:paraId="5F0227E2" w14:textId="77777777" w:rsidR="00EE0EE2" w:rsidRPr="00A7635B" w:rsidRDefault="00A7635B">
      <w:pPr>
        <w:pStyle w:val="InstructionsText2"/>
        <w:numPr>
          <w:ilvl w:val="0"/>
          <w:numId w:val="0"/>
        </w:numPr>
        <w:ind w:left="360" w:hanging="360"/>
      </w:pPr>
      <w:r w:rsidRPr="00A7635B">
        <w:t>5.</w:t>
      </w:r>
      <w:r w:rsidRPr="00A7635B">
        <w:tab/>
        <w:t>V prípade validácií v rámci jediného vzoru, v ktorom sa používajú len dátové body daného vzoru, zápis ne</w:t>
      </w:r>
      <w:r w:rsidRPr="00A7635B">
        <w:t>odkazuje na vzor: {riadok; stĺpec}.</w:t>
      </w:r>
    </w:p>
    <w:p w14:paraId="70C104E1" w14:textId="77777777" w:rsidR="00EE0EE2" w:rsidRPr="00A7635B" w:rsidRDefault="00A7635B">
      <w:pPr>
        <w:pStyle w:val="InstructionsText2"/>
        <w:numPr>
          <w:ilvl w:val="0"/>
          <w:numId w:val="0"/>
        </w:numPr>
        <w:ind w:left="360" w:hanging="360"/>
      </w:pPr>
      <w:r w:rsidRPr="00A7635B">
        <w:t>6.</w:t>
      </w:r>
      <w:r w:rsidRPr="00A7635B">
        <w:tab/>
        <w:t>V prípade vzorov len s jedným stĺpcom sa odkazuje len na riadky: {vzor; riadok}.</w:t>
      </w:r>
    </w:p>
    <w:p w14:paraId="37E52EA4" w14:textId="77777777" w:rsidR="00EE0EE2" w:rsidRPr="00A7635B" w:rsidRDefault="00A7635B">
      <w:pPr>
        <w:pStyle w:val="InstructionsText2"/>
        <w:numPr>
          <w:ilvl w:val="0"/>
          <w:numId w:val="0"/>
        </w:numPr>
        <w:ind w:left="360" w:hanging="360"/>
      </w:pPr>
      <w:r w:rsidRPr="00A7635B">
        <w:t>7.</w:t>
      </w:r>
      <w:r w:rsidRPr="00A7635B">
        <w:tab/>
        <w:t>Symbol hviezdičky sa používa na vyjadrenie toho, že validácia sa vykonáva pre skôr vymedzené riadky alebo stĺpce.</w:t>
      </w:r>
    </w:p>
    <w:p w14:paraId="6E3B09A4" w14:textId="77777777" w:rsidR="00EE0EE2" w:rsidRPr="00A7635B" w:rsidRDefault="00A7635B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3" w:name="_Toc87610917"/>
      <w:r w:rsidRPr="00A7635B">
        <w:rPr>
          <w:rFonts w:ascii="Times New Roman" w:hAnsi="Times New Roman" w:cs="Times New Roman"/>
          <w:sz w:val="24"/>
          <w:szCs w:val="24"/>
          <w:u w:val="single"/>
        </w:rPr>
        <w:t>1.3.</w:t>
      </w:r>
      <w:r w:rsidRPr="00A7635B">
        <w:rPr>
          <w:rFonts w:ascii="Times New Roman" w:hAnsi="Times New Roman" w:cs="Times New Roman"/>
          <w:sz w:val="24"/>
          <w:szCs w:val="24"/>
          <w:u w:val="single"/>
        </w:rPr>
        <w:t xml:space="preserve"> Pravidlá použí</w:t>
      </w:r>
      <w:r w:rsidRPr="00A7635B">
        <w:rPr>
          <w:rFonts w:ascii="Times New Roman" w:hAnsi="Times New Roman" w:cs="Times New Roman"/>
          <w:sz w:val="24"/>
          <w:szCs w:val="24"/>
          <w:u w:val="single"/>
        </w:rPr>
        <w:t>vania znamienok</w:t>
      </w:r>
      <w:bookmarkEnd w:id="13"/>
    </w:p>
    <w:p w14:paraId="69EDBE07" w14:textId="77777777" w:rsidR="00EE0EE2" w:rsidRPr="00A7635B" w:rsidRDefault="00A7635B">
      <w:pPr>
        <w:pStyle w:val="InstructionsText2"/>
        <w:numPr>
          <w:ilvl w:val="0"/>
          <w:numId w:val="0"/>
        </w:numPr>
        <w:ind w:left="360" w:hanging="360"/>
      </w:pPr>
      <w:r w:rsidRPr="00A7635B">
        <w:t>8.</w:t>
      </w:r>
      <w:r w:rsidRPr="00A7635B">
        <w:tab/>
        <w:t xml:space="preserve">Každá suma, o ktorú sa zvyšujú vlastné zdroje, požiadavky na vlastné zdroje alebo požiadavky na likviditu, sa vykazuje ako kladné číslo. Naopak každá suma, o ktorú sa znižujú celkové vlastné zdroje alebo požiadavky na vlastné zdroje, sa </w:t>
      </w:r>
      <w:r w:rsidRPr="00A7635B">
        <w:t>vykazuje ako záporné číslo. Ak je pred označením určitej položky záporné znamienko (–), očakáva sa, že v prípade tejto položky sa neuvedie žiadne kladné číslo.</w:t>
      </w:r>
    </w:p>
    <w:p w14:paraId="60A010A5" w14:textId="77777777" w:rsidR="00EE0EE2" w:rsidRPr="00A7635B" w:rsidRDefault="00A7635B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4" w:name="_Toc76557276"/>
      <w:bookmarkStart w:id="15" w:name="_Toc87610918"/>
      <w:r w:rsidRPr="00A7635B">
        <w:rPr>
          <w:rFonts w:ascii="Times New Roman" w:hAnsi="Times New Roman" w:cs="Times New Roman"/>
          <w:sz w:val="24"/>
          <w:szCs w:val="24"/>
          <w:u w:val="single"/>
        </w:rPr>
        <w:t>1.4.</w:t>
      </w:r>
      <w:bookmarkEnd w:id="14"/>
      <w:r w:rsidRPr="00A7635B">
        <w:rPr>
          <w:rFonts w:ascii="Times New Roman" w:hAnsi="Times New Roman" w:cs="Times New Roman"/>
          <w:sz w:val="24"/>
          <w:szCs w:val="24"/>
          <w:u w:val="single"/>
        </w:rPr>
        <w:t xml:space="preserve"> Prudenciálna konsolidácia</w:t>
      </w:r>
      <w:bookmarkEnd w:id="15"/>
    </w:p>
    <w:p w14:paraId="77AB7EAD" w14:textId="77777777" w:rsidR="00EE0EE2" w:rsidRPr="00A7635B" w:rsidRDefault="00A7635B">
      <w:pPr>
        <w:spacing w:line="256" w:lineRule="auto"/>
        <w:ind w:left="360" w:hanging="360"/>
        <w:jc w:val="both"/>
        <w:rPr>
          <w:rFonts w:ascii="Times New Roman" w:hAnsi="Times New Roman" w:cs="Times New Roman"/>
          <w:sz w:val="24"/>
        </w:rPr>
      </w:pPr>
      <w:r w:rsidRPr="00A7635B">
        <w:rPr>
          <w:rFonts w:ascii="Times New Roman" w:hAnsi="Times New Roman" w:cs="Times New Roman"/>
          <w:sz w:val="24"/>
        </w:rPr>
        <w:t>9.</w:t>
      </w:r>
      <w:r w:rsidRPr="00A7635B">
        <w:rPr>
          <w:rFonts w:ascii="Times New Roman" w:hAnsi="Times New Roman" w:cs="Times New Roman"/>
          <w:sz w:val="24"/>
        </w:rPr>
        <w:tab/>
        <w:t>Pokiaľ nebola udelená výnimka, nariadenie (EÚ) 2019/2033 a sme</w:t>
      </w:r>
      <w:r w:rsidRPr="00A7635B">
        <w:rPr>
          <w:rFonts w:ascii="Times New Roman" w:hAnsi="Times New Roman" w:cs="Times New Roman"/>
          <w:sz w:val="24"/>
        </w:rPr>
        <w:t>rnica (EÚ) 2019/2034 sa uplatňujú na investičné spoločnosti na individuálnom a konsolidovanom základe, čo zahŕňa požiadavky na predkladanie správ uvedené v siedmej časti nariadenia (EÚ) 2019/2033. V článku 4 ods. 1 bode 11 nariadenia (EÚ) 2019/2033 sa kons</w:t>
      </w:r>
      <w:r w:rsidRPr="00A7635B">
        <w:rPr>
          <w:rFonts w:ascii="Times New Roman" w:hAnsi="Times New Roman" w:cs="Times New Roman"/>
          <w:sz w:val="24"/>
        </w:rPr>
        <w:t>olidovaná situácia vymedzuje ako dôsledok uplatňovania požiadaviek nariadenia (EÚ) 2019/2033 na skupinu investičných spoločností, ako keby subjekty skupiny tvorili spolu jednu investičnú spoločnosť. Po uplatnení článku 7 nariadenia (EÚ) 2019/2033 musia sku</w:t>
      </w:r>
      <w:r w:rsidRPr="00A7635B">
        <w:rPr>
          <w:rFonts w:ascii="Times New Roman" w:hAnsi="Times New Roman" w:cs="Times New Roman"/>
          <w:sz w:val="24"/>
        </w:rPr>
        <w:t>piny investičných spoločností spĺňať požiadavky na predkladanie správ vo všetkých vzoroch na základe rozsahu ich prudenciálnej konsolidácie (ktorý môže byť odlišný od rozsahu ich účtovnej konsolidácie).</w:t>
      </w:r>
    </w:p>
    <w:p w14:paraId="0927B2E7" w14:textId="77777777" w:rsidR="00EE0EE2" w:rsidRPr="00A7635B" w:rsidRDefault="00A7635B">
      <w:pPr>
        <w:pStyle w:val="Heading2"/>
        <w:rPr>
          <w:rFonts w:ascii="Times New Roman" w:hAnsi="Times New Roman"/>
        </w:rPr>
      </w:pPr>
      <w:bookmarkStart w:id="16" w:name="_Toc87610919"/>
      <w:r w:rsidRPr="00A7635B">
        <w:rPr>
          <w:rFonts w:ascii="Times New Roman" w:hAnsi="Times New Roman"/>
        </w:rPr>
        <w:lastRenderedPageBreak/>
        <w:t>ČASŤ II: POKYNY TÝKAJÚCE SA VZOROV</w:t>
      </w:r>
      <w:bookmarkEnd w:id="7"/>
      <w:bookmarkEnd w:id="8"/>
      <w:bookmarkEnd w:id="9"/>
      <w:bookmarkEnd w:id="16"/>
    </w:p>
    <w:p w14:paraId="53070BBA" w14:textId="77777777" w:rsidR="00EE0EE2" w:rsidRPr="00A7635B" w:rsidRDefault="00A7635B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17" w:name="_Toc87610920"/>
      <w:r w:rsidRPr="00A7635B">
        <w:rPr>
          <w:rFonts w:ascii="Times New Roman" w:hAnsi="Times New Roman" w:cs="Times New Roman"/>
          <w:b/>
          <w:sz w:val="24"/>
          <w:u w:val="none"/>
        </w:rPr>
        <w:t>1. VLASTNÉ ZDROJE:</w:t>
      </w:r>
      <w:r w:rsidRPr="00A7635B">
        <w:rPr>
          <w:rFonts w:ascii="Times New Roman" w:hAnsi="Times New Roman" w:cs="Times New Roman"/>
          <w:b/>
          <w:sz w:val="24"/>
          <w:u w:val="none"/>
        </w:rPr>
        <w:t xml:space="preserve"> ÚROVEŇ, ZLOŽENIE, POŽIADAVKY A VÝPOČET</w:t>
      </w:r>
      <w:bookmarkEnd w:id="17"/>
    </w:p>
    <w:p w14:paraId="5059C72B" w14:textId="77777777" w:rsidR="00EE0EE2" w:rsidRPr="00A7635B" w:rsidRDefault="00A7635B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8" w:name="_Toc87610921"/>
      <w:r w:rsidRPr="00A7635B">
        <w:rPr>
          <w:rFonts w:ascii="Times New Roman" w:hAnsi="Times New Roman" w:cs="Times New Roman"/>
          <w:sz w:val="24"/>
        </w:rPr>
        <w:t>1.1.</w:t>
      </w:r>
      <w:r w:rsidRPr="00A7635B">
        <w:rPr>
          <w:rFonts w:ascii="Times New Roman" w:hAnsi="Times New Roman" w:cs="Times New Roman"/>
          <w:sz w:val="24"/>
        </w:rPr>
        <w:t xml:space="preserve"> Všeobecné poznámky</w:t>
      </w:r>
      <w:bookmarkEnd w:id="18"/>
    </w:p>
    <w:p w14:paraId="1F3AAC57" w14:textId="77777777" w:rsidR="00EE0EE2" w:rsidRPr="00A7635B" w:rsidRDefault="00A7635B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A7635B">
        <w:rPr>
          <w:rFonts w:ascii="Times New Roman" w:hAnsi="Times New Roman" w:cs="Times New Roman"/>
          <w:sz w:val="24"/>
        </w:rPr>
        <w:t>10.</w:t>
      </w:r>
      <w:r w:rsidRPr="00A7635B">
        <w:rPr>
          <w:rFonts w:ascii="Times New Roman" w:hAnsi="Times New Roman" w:cs="Times New Roman"/>
          <w:sz w:val="24"/>
        </w:rPr>
        <w:tab/>
        <w:t>Oddiel o prehľade vlastných zdrojov obsahuje informácie o vlastných zdrojoch, ktoré drží investičná spoločnosť, a o jej požiadavkách na vlastné zdroje. Pozostáva z dvoch vzorov:</w:t>
      </w:r>
    </w:p>
    <w:p w14:paraId="28F258C7" w14:textId="77777777" w:rsidR="00EE0EE2" w:rsidRPr="00A7635B" w:rsidRDefault="00A7635B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A7635B">
        <w:rPr>
          <w:rFonts w:ascii="Times New Roman" w:hAnsi="Times New Roman" w:cs="Times New Roman"/>
          <w:sz w:val="24"/>
        </w:rPr>
        <w:t>a)</w:t>
      </w:r>
      <w:r w:rsidRPr="00A7635B">
        <w:rPr>
          <w:rFonts w:ascii="Times New Roman" w:hAnsi="Times New Roman" w:cs="Times New Roman"/>
          <w:sz w:val="24"/>
        </w:rPr>
        <w:tab/>
        <w:t>Vzor I </w:t>
      </w:r>
      <w:r w:rsidRPr="00A7635B">
        <w:rPr>
          <w:rFonts w:ascii="Times New Roman" w:hAnsi="Times New Roman" w:cs="Times New Roman"/>
          <w:sz w:val="24"/>
        </w:rPr>
        <w:t>01.01</w:t>
      </w:r>
      <w:r w:rsidRPr="00A7635B">
        <w:rPr>
          <w:rFonts w:ascii="Times New Roman" w:hAnsi="Times New Roman" w:cs="Times New Roman"/>
          <w:sz w:val="24"/>
        </w:rPr>
        <w:t xml:space="preserve"> obsahuje zloženie vlastných zdrojov, ktoré drží investičná spoločnosť: vlastný kapitál Tier 1 (CET1), dodatočný kapitál Tier 1 (AT1) a kapitál Tier 2 (T2).</w:t>
      </w:r>
    </w:p>
    <w:p w14:paraId="74449598" w14:textId="77777777" w:rsidR="00EE0EE2" w:rsidRPr="00A7635B" w:rsidRDefault="00A7635B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A7635B">
        <w:rPr>
          <w:rFonts w:ascii="Times New Roman" w:hAnsi="Times New Roman" w:cs="Times New Roman"/>
          <w:sz w:val="24"/>
        </w:rPr>
        <w:t>b)</w:t>
      </w:r>
      <w:r w:rsidRPr="00A7635B">
        <w:rPr>
          <w:rFonts w:ascii="Times New Roman" w:hAnsi="Times New Roman" w:cs="Times New Roman"/>
          <w:sz w:val="24"/>
        </w:rPr>
        <w:tab/>
        <w:t>Vzory I </w:t>
      </w:r>
      <w:r w:rsidRPr="00A7635B">
        <w:rPr>
          <w:rFonts w:ascii="Times New Roman" w:hAnsi="Times New Roman" w:cs="Times New Roman"/>
          <w:sz w:val="24"/>
        </w:rPr>
        <w:t>02.03</w:t>
      </w:r>
      <w:r w:rsidRPr="00A7635B">
        <w:rPr>
          <w:rFonts w:ascii="Times New Roman" w:hAnsi="Times New Roman" w:cs="Times New Roman"/>
          <w:sz w:val="24"/>
        </w:rPr>
        <w:t xml:space="preserve"> a I </w:t>
      </w:r>
      <w:r w:rsidRPr="00A7635B">
        <w:rPr>
          <w:rFonts w:ascii="Times New Roman" w:hAnsi="Times New Roman" w:cs="Times New Roman"/>
          <w:sz w:val="24"/>
        </w:rPr>
        <w:t>02.04</w:t>
      </w:r>
      <w:r w:rsidRPr="00A7635B">
        <w:rPr>
          <w:rFonts w:ascii="Times New Roman" w:hAnsi="Times New Roman" w:cs="Times New Roman"/>
          <w:sz w:val="24"/>
        </w:rPr>
        <w:t xml:space="preserve"> obsahujú celkovú požiadavku na vlastné zdroje, trvalú minimálnu kapitálovú požiadavku, požiadavku na základe fixných režijných nákladov, akúkoľvek dodatočnú požiadavku na vlastné zdroje a príslušné usmernenie a prechodnú požiadavku na vlastné zdroje a pod</w:t>
      </w:r>
      <w:r w:rsidRPr="00A7635B">
        <w:rPr>
          <w:rFonts w:ascii="Times New Roman" w:hAnsi="Times New Roman" w:cs="Times New Roman"/>
          <w:sz w:val="24"/>
        </w:rPr>
        <w:t>iely kapitálu.</w:t>
      </w:r>
    </w:p>
    <w:p w14:paraId="062BD71E" w14:textId="77777777" w:rsidR="00EE0EE2" w:rsidRPr="00A7635B" w:rsidRDefault="00A7635B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A7635B">
        <w:rPr>
          <w:rFonts w:ascii="Times New Roman" w:hAnsi="Times New Roman" w:cs="Times New Roman"/>
          <w:sz w:val="24"/>
        </w:rPr>
        <w:t>c)</w:t>
      </w:r>
      <w:r w:rsidRPr="00A7635B">
        <w:rPr>
          <w:rFonts w:ascii="Times New Roman" w:hAnsi="Times New Roman" w:cs="Times New Roman"/>
          <w:sz w:val="24"/>
        </w:rPr>
        <w:tab/>
        <w:t>Vzor I </w:t>
      </w:r>
      <w:r w:rsidRPr="00A7635B">
        <w:rPr>
          <w:rFonts w:ascii="Times New Roman" w:hAnsi="Times New Roman" w:cs="Times New Roman"/>
          <w:sz w:val="24"/>
        </w:rPr>
        <w:t>03.01</w:t>
      </w:r>
      <w:r w:rsidRPr="00A7635B">
        <w:rPr>
          <w:rFonts w:ascii="Times New Roman" w:hAnsi="Times New Roman" w:cs="Times New Roman"/>
          <w:sz w:val="24"/>
        </w:rPr>
        <w:t xml:space="preserve"> zahŕňa informácie týkajúce sa výpočtu požiadavky na základe fixných režijných nákladov.</w:t>
      </w:r>
    </w:p>
    <w:p w14:paraId="5AE846C7" w14:textId="77777777" w:rsidR="00EE0EE2" w:rsidRPr="00A7635B" w:rsidRDefault="00A7635B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A7635B">
        <w:rPr>
          <w:rFonts w:ascii="Times New Roman" w:hAnsi="Times New Roman" w:cs="Times New Roman"/>
          <w:sz w:val="24"/>
        </w:rPr>
        <w:t>11.</w:t>
      </w:r>
      <w:r w:rsidRPr="00A7635B">
        <w:rPr>
          <w:rFonts w:ascii="Times New Roman" w:hAnsi="Times New Roman" w:cs="Times New Roman"/>
          <w:sz w:val="24"/>
        </w:rPr>
        <w:tab/>
        <w:t>Pri vykazovaní položiek v týchto vzoroch sa neuplatňujú prechodné úpravy. To znamená, že číselné údaje (s výnimkou prípadov, keď je o</w:t>
      </w:r>
      <w:r w:rsidRPr="00A7635B">
        <w:rPr>
          <w:rFonts w:ascii="Times New Roman" w:hAnsi="Times New Roman" w:cs="Times New Roman"/>
          <w:sz w:val="24"/>
        </w:rPr>
        <w:t>sobitne uvedená prechodná požiadavka na vlastné zdroje) sa vypočítavajú v súlade s konečnými ustanoveniami (t. j. tak, ako keby neexistovali prechodné ustanovenia).</w:t>
      </w:r>
    </w:p>
    <w:p w14:paraId="1BF038EE" w14:textId="77777777" w:rsidR="00EE0EE2" w:rsidRPr="00A7635B" w:rsidRDefault="00A7635B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9" w:name="_Toc87610922"/>
      <w:r w:rsidRPr="00A7635B">
        <w:rPr>
          <w:rFonts w:ascii="Times New Roman" w:hAnsi="Times New Roman" w:cs="Times New Roman"/>
          <w:sz w:val="24"/>
          <w:u w:val="none"/>
        </w:rPr>
        <w:t>1.2.</w:t>
      </w:r>
      <w:r w:rsidRPr="00A7635B">
        <w:rPr>
          <w:rFonts w:ascii="Times New Roman" w:hAnsi="Times New Roman" w:cs="Times New Roman"/>
          <w:sz w:val="24"/>
          <w:u w:val="none"/>
        </w:rPr>
        <w:t xml:space="preserve"> I </w:t>
      </w:r>
      <w:r w:rsidRPr="00A7635B">
        <w:rPr>
          <w:rFonts w:ascii="Times New Roman" w:hAnsi="Times New Roman" w:cs="Times New Roman"/>
          <w:sz w:val="24"/>
        </w:rPr>
        <w:t>01.01</w:t>
      </w:r>
      <w:r w:rsidRPr="00A7635B">
        <w:rPr>
          <w:rFonts w:ascii="Times New Roman" w:hAnsi="Times New Roman" w:cs="Times New Roman"/>
          <w:sz w:val="24"/>
        </w:rPr>
        <w:t xml:space="preserve"> – ZLOŽENIE VLASTNÝCH ZDROJOV (I </w:t>
      </w:r>
      <w:r w:rsidRPr="00A7635B">
        <w:rPr>
          <w:rFonts w:ascii="Times New Roman" w:hAnsi="Times New Roman" w:cs="Times New Roman"/>
          <w:sz w:val="24"/>
        </w:rPr>
        <w:t>1.1</w:t>
      </w:r>
      <w:r w:rsidRPr="00A7635B">
        <w:rPr>
          <w:rFonts w:ascii="Times New Roman" w:hAnsi="Times New Roman" w:cs="Times New Roman"/>
          <w:sz w:val="24"/>
        </w:rPr>
        <w:t>)</w:t>
      </w:r>
      <w:bookmarkEnd w:id="19"/>
    </w:p>
    <w:p w14:paraId="69C4C6DE" w14:textId="77777777" w:rsidR="00EE0EE2" w:rsidRPr="00A7635B" w:rsidRDefault="00A7635B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0" w:name="_Toc87610923"/>
      <w:r w:rsidRPr="00A7635B">
        <w:rPr>
          <w:rFonts w:ascii="Times New Roman" w:hAnsi="Times New Roman" w:cs="Times New Roman"/>
          <w:sz w:val="24"/>
          <w:u w:val="none"/>
        </w:rPr>
        <w:t>1.2.1.</w:t>
      </w:r>
      <w:r w:rsidRPr="00A7635B">
        <w:rPr>
          <w:rFonts w:ascii="Times New Roman" w:hAnsi="Times New Roman" w:cs="Times New Roman"/>
        </w:rPr>
        <w:tab/>
      </w:r>
      <w:r w:rsidRPr="00A7635B">
        <w:rPr>
          <w:rFonts w:ascii="Times New Roman" w:hAnsi="Times New Roman" w:cs="Times New Roman"/>
          <w:sz w:val="24"/>
        </w:rPr>
        <w:t xml:space="preserve">Pokyny týkajúce sa </w:t>
      </w:r>
      <w:r w:rsidRPr="00A7635B">
        <w:rPr>
          <w:rFonts w:ascii="Times New Roman" w:hAnsi="Times New Roman" w:cs="Times New Roman"/>
          <w:sz w:val="24"/>
        </w:rPr>
        <w:t>konkrétnych pozícií</w:t>
      </w:r>
      <w:bookmarkEnd w:id="2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EE0EE2" w:rsidRPr="00A7635B" w14:paraId="3357171D" w14:textId="77777777">
        <w:tc>
          <w:tcPr>
            <w:tcW w:w="1129" w:type="dxa"/>
            <w:shd w:val="clear" w:color="auto" w:fill="D9D9D9"/>
          </w:tcPr>
          <w:p w14:paraId="3D0E2CA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63D3119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</w:rPr>
              <w:t>Právne predpisy a pokyny</w:t>
            </w:r>
          </w:p>
        </w:tc>
      </w:tr>
      <w:tr w:rsidR="00EE0EE2" w:rsidRPr="00A7635B" w14:paraId="7C8C2E4D" w14:textId="77777777">
        <w:tc>
          <w:tcPr>
            <w:tcW w:w="1129" w:type="dxa"/>
          </w:tcPr>
          <w:p w14:paraId="2F1E8908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0010</w:t>
            </w:r>
          </w:p>
        </w:tc>
        <w:tc>
          <w:tcPr>
            <w:tcW w:w="7620" w:type="dxa"/>
          </w:tcPr>
          <w:p w14:paraId="417BB50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VLASTNÉ ZDROJE</w:t>
            </w:r>
          </w:p>
          <w:p w14:paraId="41DD6F9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9 ods. 1 nariadenia (EÚ) 2019/2033</w:t>
            </w:r>
          </w:p>
          <w:p w14:paraId="670ED2B6" w14:textId="77777777" w:rsidR="00EE0EE2" w:rsidRPr="00A7635B" w:rsidRDefault="00A7635B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>Vlastné zdroje investičnej spoločnosti pozostávajú zo súčtu jej kapitálu Tier 1 a kapitálu Tier 2.</w:t>
            </w:r>
          </w:p>
          <w:p w14:paraId="3EB68EA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Vykazuje sa celkový súčet riadkov (0020 a </w:t>
            </w:r>
            <w:r w:rsidRPr="00A7635B">
              <w:rPr>
                <w:rFonts w:ascii="Times New Roman" w:hAnsi="Times New Roman" w:cs="Times New Roman"/>
                <w:bCs/>
              </w:rPr>
              <w:t>0380).</w:t>
            </w:r>
          </w:p>
        </w:tc>
      </w:tr>
      <w:tr w:rsidR="00EE0EE2" w:rsidRPr="00A7635B" w14:paraId="1D9472DF" w14:textId="77777777">
        <w:tc>
          <w:tcPr>
            <w:tcW w:w="1129" w:type="dxa"/>
          </w:tcPr>
          <w:p w14:paraId="28D94DA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0020</w:t>
            </w:r>
          </w:p>
        </w:tc>
        <w:tc>
          <w:tcPr>
            <w:tcW w:w="7620" w:type="dxa"/>
          </w:tcPr>
          <w:p w14:paraId="338538D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KAPITÁL TIER 1</w:t>
            </w:r>
          </w:p>
          <w:p w14:paraId="18E17D6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>Kapitál Tier 1 je súčtom vlastného kapitálu Tier 1 a dodatočného kapitálu Tier 1.</w:t>
            </w:r>
          </w:p>
        </w:tc>
      </w:tr>
      <w:tr w:rsidR="00EE0EE2" w:rsidRPr="00A7635B" w14:paraId="55E50E05" w14:textId="77777777">
        <w:tc>
          <w:tcPr>
            <w:tcW w:w="1129" w:type="dxa"/>
          </w:tcPr>
          <w:p w14:paraId="63078D0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0030</w:t>
            </w:r>
          </w:p>
        </w:tc>
        <w:tc>
          <w:tcPr>
            <w:tcW w:w="7620" w:type="dxa"/>
          </w:tcPr>
          <w:p w14:paraId="33BB4D3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Style w:val="InstructionsTabelleberschrift"/>
                <w:rFonts w:ascii="Times New Roman" w:hAnsi="Times New Roman"/>
                <w:sz w:val="22"/>
              </w:rPr>
              <w:t>VLASTNÝ KAPITÁL TIER 1</w:t>
            </w:r>
          </w:p>
          <w:p w14:paraId="338D3B5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9 ods. 1 nariadenia (EÚ) 2019/2033</w:t>
            </w:r>
          </w:p>
          <w:p w14:paraId="4C2AAA69" w14:textId="77777777" w:rsidR="00EE0EE2" w:rsidRPr="00A7635B" w:rsidRDefault="00A7635B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>článok 50 nariadenia (EÚ) č. 575/2013</w:t>
            </w:r>
          </w:p>
          <w:p w14:paraId="1BD8594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 xml:space="preserve">Vykazuje sa celkový súčet </w:t>
            </w:r>
            <w:r w:rsidRPr="00A7635B">
              <w:rPr>
                <w:rFonts w:ascii="Times New Roman" w:hAnsi="Times New Roman" w:cs="Times New Roman"/>
                <w:bCs/>
              </w:rPr>
              <w:t>riadkov (0040 až 0060, 0090 až 0140 a 0290).</w:t>
            </w:r>
          </w:p>
        </w:tc>
      </w:tr>
      <w:tr w:rsidR="00EE0EE2" w:rsidRPr="00A7635B" w14:paraId="00B7CF03" w14:textId="77777777">
        <w:tc>
          <w:tcPr>
            <w:tcW w:w="1129" w:type="dxa"/>
          </w:tcPr>
          <w:p w14:paraId="4F57B5E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0040</w:t>
            </w:r>
          </w:p>
        </w:tc>
        <w:tc>
          <w:tcPr>
            <w:tcW w:w="7620" w:type="dxa"/>
          </w:tcPr>
          <w:p w14:paraId="72E926F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Úplne splatené kapitálové nástroje</w:t>
            </w:r>
          </w:p>
          <w:p w14:paraId="7588D4B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9 ods. 1 bod i) nariadenia (EÚ) 2019/2033</w:t>
            </w:r>
          </w:p>
          <w:p w14:paraId="1D54EAB7" w14:textId="77777777" w:rsidR="00EE0EE2" w:rsidRPr="00A7635B" w:rsidRDefault="00A7635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článok 26 ods. 1 písm. a) a články 27 až 31 nariadenia (EÚ) č. 575/2013</w:t>
            </w:r>
          </w:p>
          <w:p w14:paraId="5DBD228E" w14:textId="77777777" w:rsidR="00EE0EE2" w:rsidRPr="00A7635B" w:rsidRDefault="00A7635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lastRenderedPageBreak/>
              <w:t>Zahŕňajú sa kapitálové nástroje vzájomných spoloč</w:t>
            </w:r>
            <w:r w:rsidRPr="00A7635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ností, družstevných spoločností alebo podobných inštitúcií [články 27 a 29 nariadenia (EÚ) č. 575/2013].</w:t>
            </w:r>
          </w:p>
          <w:p w14:paraId="3BE384A4" w14:textId="77777777" w:rsidR="00EE0EE2" w:rsidRPr="00A7635B" w:rsidRDefault="00A7635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Emisné ážio súvisiace s týmito nástrojmi sa sem nezahŕňa.</w:t>
            </w:r>
          </w:p>
          <w:p w14:paraId="2264665D" w14:textId="77777777" w:rsidR="00EE0EE2" w:rsidRPr="00A7635B" w:rsidRDefault="00A7635B">
            <w:pPr>
              <w:pStyle w:val="InstructionsText"/>
              <w:rPr>
                <w:rFonts w:cs="Times New Roman"/>
                <w:sz w:val="22"/>
                <w:szCs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Kapitálové nástroje upísané orgánmi verejnej moci v núdzových situáciách sa zahŕňajú vtedy, a</w:t>
            </w:r>
            <w:r w:rsidRPr="00A7635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 sú splnené všetky podmienky článku 31 nariadenia (EÚ) č. 575/2013.</w:t>
            </w:r>
          </w:p>
        </w:tc>
      </w:tr>
      <w:tr w:rsidR="00EE0EE2" w:rsidRPr="00A7635B" w14:paraId="1ED27D92" w14:textId="77777777">
        <w:tc>
          <w:tcPr>
            <w:tcW w:w="1129" w:type="dxa"/>
          </w:tcPr>
          <w:p w14:paraId="268D55A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lastRenderedPageBreak/>
              <w:t>0050</w:t>
            </w:r>
          </w:p>
        </w:tc>
        <w:tc>
          <w:tcPr>
            <w:tcW w:w="7620" w:type="dxa"/>
          </w:tcPr>
          <w:p w14:paraId="171C681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Emisné ážio</w:t>
            </w:r>
          </w:p>
          <w:p w14:paraId="37D175E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9 ods. 1 bod i) nariadenia (EÚ) 2019/2033</w:t>
            </w:r>
          </w:p>
          <w:p w14:paraId="79A53509" w14:textId="77777777" w:rsidR="00EE0EE2" w:rsidRPr="00A7635B" w:rsidRDefault="00A7635B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>článok 26 ods. 1 písm. b) nariadenia (EÚ) č. 575/2013</w:t>
            </w:r>
          </w:p>
          <w:p w14:paraId="51F08411" w14:textId="77777777" w:rsidR="00EE0EE2" w:rsidRPr="00A7635B" w:rsidRDefault="00A7635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Emisné ážio má ten istý význam ako v uplatniteľnom </w:t>
            </w:r>
            <w:r w:rsidRPr="00A7635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účtovnom štandarde.</w:t>
            </w:r>
          </w:p>
          <w:p w14:paraId="13076C4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>Suma vykazovaná v tejto položke je časť súvisiaca so „splatenými kapitálovými nástrojmi“.</w:t>
            </w:r>
          </w:p>
        </w:tc>
      </w:tr>
      <w:tr w:rsidR="00EE0EE2" w:rsidRPr="00A7635B" w14:paraId="1CD917D1" w14:textId="77777777">
        <w:tc>
          <w:tcPr>
            <w:tcW w:w="1129" w:type="dxa"/>
          </w:tcPr>
          <w:p w14:paraId="0C281B5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0060</w:t>
            </w:r>
          </w:p>
        </w:tc>
        <w:tc>
          <w:tcPr>
            <w:tcW w:w="7620" w:type="dxa"/>
          </w:tcPr>
          <w:p w14:paraId="79AD8F2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Nerozdelené zisky</w:t>
            </w:r>
          </w:p>
          <w:p w14:paraId="1259AE0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9 ods. 1 bod i) nariadenia (EÚ) 2019/2033</w:t>
            </w:r>
          </w:p>
          <w:p w14:paraId="1574FFF5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>článok 26 ods. 1 písm. c) nariadenia (EÚ) č. 575/2013</w:t>
            </w:r>
          </w:p>
          <w:p w14:paraId="448C1832" w14:textId="77777777" w:rsidR="00EE0EE2" w:rsidRPr="00A7635B" w:rsidRDefault="00A7635B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>Nerozdelené zisky zahŕňajú nerozdelené zisky z predchádzajúceho roka a prípustné predbežné alebo koncoročné zisky.</w:t>
            </w:r>
          </w:p>
          <w:p w14:paraId="4D8906D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Vykazuje sa celkový súčet riadkov 0070 a 0080.</w:t>
            </w:r>
          </w:p>
        </w:tc>
      </w:tr>
      <w:tr w:rsidR="00EE0EE2" w:rsidRPr="00A7635B" w14:paraId="0FD7D581" w14:textId="77777777">
        <w:tc>
          <w:tcPr>
            <w:tcW w:w="1129" w:type="dxa"/>
          </w:tcPr>
          <w:p w14:paraId="4F7363FF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0070</w:t>
            </w:r>
          </w:p>
        </w:tc>
        <w:tc>
          <w:tcPr>
            <w:tcW w:w="7620" w:type="dxa"/>
          </w:tcPr>
          <w:p w14:paraId="18D01AE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Nerozdelené zisky z predchádzajúcich rokov</w:t>
            </w:r>
          </w:p>
          <w:p w14:paraId="02A4238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635B">
              <w:rPr>
                <w:rFonts w:ascii="Times New Roman" w:hAnsi="Times New Roman" w:cs="Times New Roman"/>
              </w:rPr>
              <w:t>článok 4 ods. 1 bod 123 a článok 26 ods. 1 pí</w:t>
            </w:r>
            <w:r w:rsidRPr="00A7635B">
              <w:rPr>
                <w:rFonts w:ascii="Times New Roman" w:hAnsi="Times New Roman" w:cs="Times New Roman"/>
              </w:rPr>
              <w:t>sm. c) nariadenia (EÚ) č. 575/2013</w:t>
            </w:r>
          </w:p>
          <w:p w14:paraId="6DF29F58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</w:rPr>
              <w:t>V</w:t>
            </w:r>
            <w:r w:rsidRPr="00A7635B">
              <w:rPr>
                <w:rFonts w:ascii="Times New Roman" w:eastAsia="Times New Roman" w:hAnsi="Times New Roman" w:cs="Times New Roman"/>
              </w:rPr>
              <w:t> </w:t>
            </w:r>
            <w:r w:rsidRPr="00A7635B">
              <w:rPr>
                <w:rFonts w:ascii="Times New Roman" w:hAnsi="Times New Roman" w:cs="Times New Roman"/>
              </w:rPr>
              <w:t>článku 4 ods. 1 bode 123 nariadenia (EÚ) č. 575/2013 sa nerozdelené zisky vymedzujú ako „zisky a straty prenesené po použití konečného zisku alebo straty v súlade s uplatniteľným účtovným rámcom“.</w:t>
            </w:r>
          </w:p>
        </w:tc>
      </w:tr>
      <w:tr w:rsidR="00EE0EE2" w:rsidRPr="00A7635B" w14:paraId="077A0C05" w14:textId="77777777">
        <w:tc>
          <w:tcPr>
            <w:tcW w:w="1129" w:type="dxa"/>
          </w:tcPr>
          <w:p w14:paraId="66267ADF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0080</w:t>
            </w:r>
          </w:p>
        </w:tc>
        <w:tc>
          <w:tcPr>
            <w:tcW w:w="7620" w:type="dxa"/>
          </w:tcPr>
          <w:p w14:paraId="6D44A20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Prípustný zisk</w:t>
            </w:r>
          </w:p>
          <w:p w14:paraId="7D084798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635B">
              <w:rPr>
                <w:rFonts w:ascii="Times New Roman" w:hAnsi="Times New Roman" w:cs="Times New Roman"/>
              </w:rPr>
              <w:t>článok 4 ods. 1 bod 121, článok 26 ods. 2 a článok 36 ods. 1 písm. a) nariadenia (EÚ) č. 575/2013</w:t>
            </w:r>
          </w:p>
          <w:p w14:paraId="41AF91D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</w:rPr>
              <w:t>V</w:t>
            </w:r>
            <w:r w:rsidRPr="00A7635B">
              <w:rPr>
                <w:rFonts w:ascii="Times New Roman" w:eastAsia="Times New Roman" w:hAnsi="Times New Roman" w:cs="Times New Roman"/>
              </w:rPr>
              <w:t> </w:t>
            </w:r>
            <w:r w:rsidRPr="00A7635B">
              <w:rPr>
                <w:rFonts w:ascii="Times New Roman" w:hAnsi="Times New Roman" w:cs="Times New Roman"/>
              </w:rPr>
              <w:t>článku 26 ods. 2 nariadenia (EÚ) č. 575/2013 sa umožňuje do nerozdelených ziskov zahrnúť predbežné alebo koncoročné zisky, a to s predchádzaj</w:t>
            </w:r>
            <w:r w:rsidRPr="00A7635B">
              <w:rPr>
                <w:rFonts w:ascii="Times New Roman" w:hAnsi="Times New Roman" w:cs="Times New Roman"/>
              </w:rPr>
              <w:t xml:space="preserve">úcim súhlasom príslušných orgánov, ak sú splnené určité podmienky. </w:t>
            </w:r>
          </w:p>
        </w:tc>
      </w:tr>
      <w:tr w:rsidR="00EE0EE2" w:rsidRPr="00A7635B" w14:paraId="3D12C05B" w14:textId="77777777">
        <w:tc>
          <w:tcPr>
            <w:tcW w:w="1129" w:type="dxa"/>
          </w:tcPr>
          <w:p w14:paraId="702BD06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0090</w:t>
            </w:r>
          </w:p>
        </w:tc>
        <w:tc>
          <w:tcPr>
            <w:tcW w:w="7620" w:type="dxa"/>
          </w:tcPr>
          <w:p w14:paraId="5BE75FF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Akumulovaný iný komplexný účtovný výsledok</w:t>
            </w:r>
          </w:p>
          <w:p w14:paraId="5659E23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9 ods. 1 bod i) nariadenia (EÚ) 2019/2033</w:t>
            </w:r>
          </w:p>
          <w:p w14:paraId="514772F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>článok 26 ods. 1 písm. d) nariadenia (EÚ) č. 575/2013</w:t>
            </w:r>
          </w:p>
        </w:tc>
      </w:tr>
      <w:tr w:rsidR="00EE0EE2" w:rsidRPr="00A7635B" w14:paraId="0A469EA4" w14:textId="77777777">
        <w:tc>
          <w:tcPr>
            <w:tcW w:w="1129" w:type="dxa"/>
          </w:tcPr>
          <w:p w14:paraId="136A2D3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0100</w:t>
            </w:r>
          </w:p>
        </w:tc>
        <w:tc>
          <w:tcPr>
            <w:tcW w:w="7620" w:type="dxa"/>
          </w:tcPr>
          <w:p w14:paraId="6B56504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Ostatné rezervy</w:t>
            </w:r>
          </w:p>
          <w:p w14:paraId="6951B84F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9 ods. </w:t>
            </w:r>
            <w:r w:rsidRPr="00A7635B">
              <w:rPr>
                <w:rFonts w:ascii="Times New Roman" w:hAnsi="Times New Roman" w:cs="Times New Roman"/>
                <w:bCs/>
              </w:rPr>
              <w:t>1 bod i) nariadenia (EÚ) 2019/2033</w:t>
            </w:r>
          </w:p>
          <w:p w14:paraId="7F18A1B6" w14:textId="77777777" w:rsidR="00EE0EE2" w:rsidRPr="00A7635B" w:rsidRDefault="00A7635B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>článok 4 ods. 1 bod 117 a článok 26 ods. 1 písm. e) nariadenia (EÚ) č. 575/2013</w:t>
            </w:r>
          </w:p>
          <w:p w14:paraId="6F00BC5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>Suma je vykazovaná po odpočítaní daňových poplatkov, ktoré sa predpokladajú v čase výpočtu.</w:t>
            </w:r>
          </w:p>
        </w:tc>
      </w:tr>
      <w:tr w:rsidR="00EE0EE2" w:rsidRPr="00A7635B" w14:paraId="54164A12" w14:textId="77777777">
        <w:tc>
          <w:tcPr>
            <w:tcW w:w="1129" w:type="dxa"/>
          </w:tcPr>
          <w:p w14:paraId="5240BA3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0110</w:t>
            </w:r>
          </w:p>
        </w:tc>
        <w:tc>
          <w:tcPr>
            <w:tcW w:w="7620" w:type="dxa"/>
            <w:shd w:val="clear" w:color="auto" w:fill="auto"/>
          </w:tcPr>
          <w:p w14:paraId="1835AD0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Menšinová účasť uznaná vo vlastnom kapitáli</w:t>
            </w: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 xml:space="preserve"> Tier 1</w:t>
            </w:r>
          </w:p>
          <w:p w14:paraId="5E3A8F9F" w14:textId="77777777" w:rsidR="00EE0EE2" w:rsidRPr="00A7635B" w:rsidRDefault="00A7635B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>článok 84 ods. 1, článok 85 ods. 1 a článok 87 ods. 1 nariadenia (EÚ) č. 575/2013</w:t>
            </w:r>
          </w:p>
          <w:p w14:paraId="07A4B09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>Súčet všetkých hodnôt menšinových účastí dcérskych podnikov, ktoré sú zahrnuté do konsolidovaného vlastného kapitálu Tier 1.</w:t>
            </w:r>
          </w:p>
        </w:tc>
      </w:tr>
      <w:tr w:rsidR="00EE0EE2" w:rsidRPr="00A7635B" w14:paraId="2BF30206" w14:textId="77777777">
        <w:tc>
          <w:tcPr>
            <w:tcW w:w="1129" w:type="dxa"/>
          </w:tcPr>
          <w:p w14:paraId="7624727F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0120</w:t>
            </w:r>
          </w:p>
        </w:tc>
        <w:tc>
          <w:tcPr>
            <w:tcW w:w="7620" w:type="dxa"/>
            <w:shd w:val="clear" w:color="auto" w:fill="auto"/>
          </w:tcPr>
          <w:p w14:paraId="6F4969C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 xml:space="preserve">Úpravy vlastného kapitálu Tier 1 </w:t>
            </w: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na základe prudenciálnych filtrov</w:t>
            </w:r>
          </w:p>
          <w:p w14:paraId="6E6C9418" w14:textId="77777777" w:rsidR="00EE0EE2" w:rsidRPr="00A7635B" w:rsidRDefault="00A7635B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lastRenderedPageBreak/>
              <w:t>článok 9 ods. 1 bod i) nariadenia (EÚ) 2019/2033</w:t>
            </w:r>
          </w:p>
          <w:p w14:paraId="567A469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>články 32 až 35 nariadenia (EÚ) č. 575/2013</w:t>
            </w:r>
          </w:p>
        </w:tc>
      </w:tr>
      <w:tr w:rsidR="00EE0EE2" w:rsidRPr="00A7635B" w14:paraId="1CE040BE" w14:textId="77777777">
        <w:tc>
          <w:tcPr>
            <w:tcW w:w="1129" w:type="dxa"/>
          </w:tcPr>
          <w:p w14:paraId="24A15AA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lastRenderedPageBreak/>
              <w:t>0130</w:t>
            </w:r>
          </w:p>
        </w:tc>
        <w:tc>
          <w:tcPr>
            <w:tcW w:w="7620" w:type="dxa"/>
          </w:tcPr>
          <w:p w14:paraId="5D1E79A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Ostatné fondy</w:t>
            </w:r>
          </w:p>
          <w:p w14:paraId="752EBB9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</w:rPr>
              <w:t>článok 9 ods. 4 nariadenia (EÚ) 2019/2033</w:t>
            </w:r>
          </w:p>
        </w:tc>
      </w:tr>
      <w:tr w:rsidR="00EE0EE2" w:rsidRPr="00A7635B" w14:paraId="27FB043E" w14:textId="77777777">
        <w:tc>
          <w:tcPr>
            <w:tcW w:w="1129" w:type="dxa"/>
          </w:tcPr>
          <w:p w14:paraId="6220703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0140</w:t>
            </w:r>
          </w:p>
        </w:tc>
        <w:tc>
          <w:tcPr>
            <w:tcW w:w="7620" w:type="dxa"/>
          </w:tcPr>
          <w:p w14:paraId="117EF5B5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(–) CELKOVÉ ODPOČTY OD VLASTNÉHO KAPITÁLU TIER 1</w:t>
            </w:r>
          </w:p>
          <w:p w14:paraId="4EA4EBE8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Vykazuje sa celkový súčet riadkov 0190 až 0285.</w:t>
            </w:r>
          </w:p>
        </w:tc>
      </w:tr>
      <w:tr w:rsidR="00EE0EE2" w:rsidRPr="00A7635B" w14:paraId="51245A0F" w14:textId="77777777">
        <w:tc>
          <w:tcPr>
            <w:tcW w:w="1129" w:type="dxa"/>
          </w:tcPr>
          <w:p w14:paraId="63DE73A5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778D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(–) Straty za bežný finančný rok</w:t>
            </w:r>
          </w:p>
          <w:p w14:paraId="01B3287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</w:rPr>
              <w:t>článok 36 ods. 1 písm. a) nariadenia (EÚ) č. 575/2013</w:t>
            </w:r>
          </w:p>
        </w:tc>
      </w:tr>
      <w:tr w:rsidR="00EE0EE2" w:rsidRPr="00A7635B" w14:paraId="09E6CE45" w14:textId="77777777">
        <w:tc>
          <w:tcPr>
            <w:tcW w:w="1129" w:type="dxa"/>
          </w:tcPr>
          <w:p w14:paraId="7A9FE2D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D55F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(–) Goodwill</w:t>
            </w:r>
          </w:p>
          <w:p w14:paraId="7A67260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9 ods. 1 bod i) nariadenia (EÚ) 2019/2033</w:t>
            </w:r>
          </w:p>
          <w:p w14:paraId="622A400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 xml:space="preserve">článok 4 ods. 1 bod 113, článok 36 ods. 1 </w:t>
            </w: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>písm. b) a článok 37 nariadenia (EÚ) č. 575/2013</w:t>
            </w:r>
          </w:p>
        </w:tc>
      </w:tr>
      <w:tr w:rsidR="00EE0EE2" w:rsidRPr="00A7635B" w14:paraId="17790274" w14:textId="77777777">
        <w:tc>
          <w:tcPr>
            <w:tcW w:w="1129" w:type="dxa"/>
          </w:tcPr>
          <w:p w14:paraId="7683E75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F9A6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(–) Ostatné nehmotné aktíva</w:t>
            </w:r>
          </w:p>
          <w:p w14:paraId="31E31D2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9 ods. 1 bod i) nariadenia (EÚ) 2019/2033</w:t>
            </w:r>
          </w:p>
          <w:p w14:paraId="70E198A2" w14:textId="77777777" w:rsidR="00EE0EE2" w:rsidRPr="00A7635B" w:rsidRDefault="00A7635B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článok 4 ods. 1 bod 115, článok 36 ods. 1 písm. b) a článok 37 písm. a) nariadenia (EÚ) č. 575/2013</w:t>
            </w:r>
          </w:p>
          <w:p w14:paraId="19A985A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 xml:space="preserve">Ostatné nehmotné aktíva </w:t>
            </w: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>sú nehmotné aktíva podľa uplatniteľného účtovného štandardu, bez goodwillu, tiež podľa uplatniteľného účtovného štandardu.</w:t>
            </w:r>
          </w:p>
        </w:tc>
      </w:tr>
      <w:tr w:rsidR="00EE0EE2" w:rsidRPr="00A7635B" w14:paraId="266A211D" w14:textId="77777777">
        <w:tc>
          <w:tcPr>
            <w:tcW w:w="1129" w:type="dxa"/>
          </w:tcPr>
          <w:p w14:paraId="185FEB1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BA29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 xml:space="preserve">(–) Odložené daňové pohľadávky, ktoré závisia od budúcej ziskovosti a nevyplývajú z dočasných rozdielov, po </w:t>
            </w: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odpočítaní prislúchajúcich daňových záväzkov</w:t>
            </w:r>
          </w:p>
          <w:p w14:paraId="492A03C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9 ods. 2 písm. a) nariadenia (EÚ) 2019/2033</w:t>
            </w:r>
          </w:p>
          <w:p w14:paraId="6BE0B41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36 ods. 1 písm. c) nariadenia (EÚ) č. 575/2013</w:t>
            </w:r>
          </w:p>
        </w:tc>
      </w:tr>
      <w:tr w:rsidR="00EE0EE2" w:rsidRPr="00A7635B" w14:paraId="5D2DB700" w14:textId="77777777">
        <w:tc>
          <w:tcPr>
            <w:tcW w:w="1129" w:type="dxa"/>
          </w:tcPr>
          <w:p w14:paraId="50851D1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9E71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(−) Kvalifikovaná účasť mimo finančného sektora, ktorá presahuje 15 % vlastných zdrojov</w:t>
            </w:r>
          </w:p>
          <w:p w14:paraId="7FE3B1E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10 ods. 1 písm. a) nariadenia (EÚ) 2019/2033</w:t>
            </w:r>
          </w:p>
        </w:tc>
      </w:tr>
      <w:tr w:rsidR="00EE0EE2" w:rsidRPr="00A7635B" w14:paraId="138ADF0C" w14:textId="77777777">
        <w:tc>
          <w:tcPr>
            <w:tcW w:w="1129" w:type="dxa"/>
          </w:tcPr>
          <w:p w14:paraId="3DD2560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B8BB5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(–) Celkové kvalifikované účasti v iných podnikoch, než sú subjekty finančného sektora, ktoré presahujú 60 % vlastných zdrojov spoločnosti</w:t>
            </w:r>
          </w:p>
          <w:p w14:paraId="0C6B82F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 xml:space="preserve">článok 10 ods. 1 písm. b) nariadenia (EÚ) </w:t>
            </w:r>
            <w:r w:rsidRPr="00A7635B">
              <w:rPr>
                <w:rFonts w:ascii="Times New Roman" w:hAnsi="Times New Roman" w:cs="Times New Roman"/>
                <w:bCs/>
              </w:rPr>
              <w:t>2019/2033</w:t>
            </w:r>
          </w:p>
        </w:tc>
      </w:tr>
      <w:tr w:rsidR="00EE0EE2" w:rsidRPr="00A7635B" w14:paraId="5FDA4AD0" w14:textId="77777777">
        <w:tc>
          <w:tcPr>
            <w:tcW w:w="1129" w:type="dxa"/>
          </w:tcPr>
          <w:p w14:paraId="519B892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0285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8928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(−) Ostatné odpočty</w:t>
            </w:r>
          </w:p>
          <w:p w14:paraId="334B03B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</w:rPr>
              <w:t>Súčet všetkých ostatných odpočtov v súlade s článkom 36 ods. 1 nariadenia (EÚ) č. 575/2013, ktoré nie sú zahrnuté v žiadnom z uvedených riadkov 0160 až 0240.</w:t>
            </w:r>
          </w:p>
        </w:tc>
      </w:tr>
      <w:tr w:rsidR="00EE0EE2" w:rsidRPr="00A7635B" w14:paraId="4C1A4C4A" w14:textId="77777777">
        <w:tc>
          <w:tcPr>
            <w:tcW w:w="1129" w:type="dxa"/>
          </w:tcPr>
          <w:p w14:paraId="5474E46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B314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 xml:space="preserve">Vlastný kapitál Tier 1: ostatné kapitálové prvky, </w:t>
            </w: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odpočty a úpravy</w:t>
            </w:r>
          </w:p>
          <w:p w14:paraId="624DBC1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Tento riadok podľa potreby zahŕňa súčet týchto položiek:</w:t>
            </w:r>
          </w:p>
          <w:p w14:paraId="5B36B080" w14:textId="77777777" w:rsidR="00EE0EE2" w:rsidRPr="00A7635B" w:rsidRDefault="00A7635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7635B">
              <w:rPr>
                <w:rFonts w:ascii="Times New Roman" w:hAnsi="Times New Roman" w:cs="Times New Roman"/>
              </w:rPr>
              <w:t>prechodné úpravy na základe nástrojov vlastného kapitálu Tier 1, ktoré sa zachovali v predchádzajúcom stave [článok 483 ods. 1, 2 a 3 a články 484 až 487 nariadenia (EÚ) č. 575/201</w:t>
            </w:r>
            <w:r w:rsidRPr="00A7635B">
              <w:rPr>
                <w:rFonts w:ascii="Times New Roman" w:hAnsi="Times New Roman" w:cs="Times New Roman"/>
              </w:rPr>
              <w:t>3],</w:t>
            </w:r>
          </w:p>
          <w:p w14:paraId="5C1E0407" w14:textId="77777777" w:rsidR="00EE0EE2" w:rsidRPr="00A7635B" w:rsidRDefault="00A7635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7635B">
              <w:rPr>
                <w:rFonts w:ascii="Times New Roman" w:hAnsi="Times New Roman" w:cs="Times New Roman"/>
              </w:rPr>
              <w:t>prechodné úpravy na základe dodatočných menšinových účastí [články 479 a 480 nariadenia (EÚ) č. 575/2013],</w:t>
            </w:r>
          </w:p>
          <w:p w14:paraId="068D5F1B" w14:textId="77777777" w:rsidR="00EE0EE2" w:rsidRPr="00A7635B" w:rsidRDefault="00A7635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–</w:t>
            </w: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7635B">
              <w:rPr>
                <w:rFonts w:ascii="Times New Roman" w:hAnsi="Times New Roman" w:cs="Times New Roman"/>
              </w:rPr>
              <w:t>ostatné prechodné úpravy vlastného kapitálu Tier 1 [články 469 až 478 a článok 481 nariadenia (EÚ) č. 575/2013]:</w:t>
            </w:r>
            <w:r w:rsidRPr="00A7635B">
              <w:rPr>
                <w:rFonts w:ascii="Times New Roman" w:hAnsi="Times New Roman" w:cs="Times New Roman"/>
                <w:bCs/>
              </w:rPr>
              <w:t xml:space="preserve"> úpravy odpočtov od vlastného</w:t>
            </w:r>
            <w:r w:rsidRPr="00A7635B">
              <w:rPr>
                <w:rFonts w:ascii="Times New Roman" w:hAnsi="Times New Roman" w:cs="Times New Roman"/>
                <w:bCs/>
              </w:rPr>
              <w:t xml:space="preserve"> kapitálu Tier 1 na základe prechodných ustanovení,</w:t>
            </w:r>
          </w:p>
          <w:p w14:paraId="78864B1F" w14:textId="77777777" w:rsidR="00EE0EE2" w:rsidRPr="00A7635B" w:rsidRDefault="00A7635B">
            <w:pPr>
              <w:spacing w:after="120" w:line="240" w:lineRule="auto"/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7635B">
              <w:rPr>
                <w:rFonts w:ascii="Times New Roman" w:hAnsi="Times New Roman" w:cs="Times New Roman"/>
                <w:bCs/>
              </w:rPr>
              <w:t>ostatné prvky vlastného kapitálu Tier 1 alebo odpočty od prvku vlastného kapitálu Tier 1, ktoré nemožno priradiť k žiadnemu z riadkov 0040 až 0285.</w:t>
            </w:r>
          </w:p>
          <w:p w14:paraId="52FCECE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Tento riadok sa nepoužíva na zahrnutie kapitálových po</w:t>
            </w:r>
            <w:r w:rsidRPr="00A7635B">
              <w:rPr>
                <w:rFonts w:ascii="Times New Roman" w:hAnsi="Times New Roman" w:cs="Times New Roman"/>
                <w:bCs/>
              </w:rPr>
              <w:t>ložiek alebo odpočtov, na ktoré sa nevzťahuje nariadenie (EÚ) 2019/2033 ani nariadenie (EÚ) č. 575/2013, do výpočtu ukazovateľov platobnej schopnosti.</w:t>
            </w:r>
          </w:p>
        </w:tc>
      </w:tr>
      <w:tr w:rsidR="00EE0EE2" w:rsidRPr="00A7635B" w14:paraId="1F9B061E" w14:textId="77777777">
        <w:tc>
          <w:tcPr>
            <w:tcW w:w="1129" w:type="dxa"/>
          </w:tcPr>
          <w:p w14:paraId="27ED86F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lastRenderedPageBreak/>
              <w:t>0300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F10D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DODATOČNÝ KAPITÁL TIER 1</w:t>
            </w:r>
          </w:p>
          <w:p w14:paraId="0015C58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9 ods. 1 nariadenia (EÚ) 2019/2033</w:t>
            </w:r>
          </w:p>
          <w:p w14:paraId="5E48639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A7635B">
              <w:rPr>
                <w:rFonts w:ascii="Times New Roman" w:hAnsi="Times New Roman" w:cs="Times New Roman"/>
              </w:rPr>
              <w:t xml:space="preserve">článok 61 nariadenia (EÚ) </w:t>
            </w:r>
            <w:r w:rsidRPr="00A7635B">
              <w:rPr>
                <w:rFonts w:ascii="Times New Roman" w:hAnsi="Times New Roman" w:cs="Times New Roman"/>
              </w:rPr>
              <w:t>č. 575/2013</w:t>
            </w:r>
          </w:p>
          <w:p w14:paraId="1A21D95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Vykazuje sa celkový súčet riadkov 0310 až 0410.</w:t>
            </w:r>
          </w:p>
        </w:tc>
      </w:tr>
      <w:tr w:rsidR="00EE0EE2" w:rsidRPr="00A7635B" w14:paraId="2E343BEC" w14:textId="77777777">
        <w:tc>
          <w:tcPr>
            <w:tcW w:w="1129" w:type="dxa"/>
          </w:tcPr>
          <w:p w14:paraId="194672E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0310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2149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Úplne splatené, priamo emitované kapitálové nástroje</w:t>
            </w:r>
          </w:p>
          <w:p w14:paraId="50CD433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9 ods. 1 bod i) nariadenia (EÚ) 2019/2033</w:t>
            </w:r>
          </w:p>
          <w:p w14:paraId="6D997F8E" w14:textId="77777777" w:rsidR="00EE0EE2" w:rsidRPr="00A7635B" w:rsidRDefault="00A7635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článok 51 písm. a) a články 52, 53 a 54 nariadenia (EÚ) č. 575/2013</w:t>
            </w:r>
          </w:p>
          <w:p w14:paraId="34BF693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 xml:space="preserve">Vykazovaná suma </w:t>
            </w: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>nezahŕňa emisné ážio súvisiace s nástrojmi.</w:t>
            </w:r>
          </w:p>
        </w:tc>
      </w:tr>
      <w:tr w:rsidR="00EE0EE2" w:rsidRPr="00A7635B" w14:paraId="4941DD8E" w14:textId="77777777">
        <w:tc>
          <w:tcPr>
            <w:tcW w:w="1129" w:type="dxa"/>
          </w:tcPr>
          <w:p w14:paraId="24EB978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0320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0611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Emisné ážio</w:t>
            </w:r>
          </w:p>
          <w:p w14:paraId="5E38B94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9 ods. 1 bod i) nariadenia (EÚ) 2019/2033</w:t>
            </w:r>
          </w:p>
          <w:p w14:paraId="41285BB7" w14:textId="77777777" w:rsidR="00EE0EE2" w:rsidRPr="00A7635B" w:rsidRDefault="00A7635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článok 51 písm. b) nariadenia (EÚ) č. 575/2013</w:t>
            </w:r>
          </w:p>
          <w:p w14:paraId="4453588B" w14:textId="77777777" w:rsidR="00EE0EE2" w:rsidRPr="00A7635B" w:rsidRDefault="00A7635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Emisné ážio má ten istý význam ako v uplatniteľnom účtovnom štandarde.</w:t>
            </w:r>
          </w:p>
          <w:p w14:paraId="4C7896E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 xml:space="preserve">Suma vykazovaná </w:t>
            </w: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>v tejto položke je časť súvisiaca s „úplne splatenými, priamo emitovanými kapitálovými nástrojmi“.</w:t>
            </w:r>
          </w:p>
        </w:tc>
      </w:tr>
      <w:tr w:rsidR="00EE0EE2" w:rsidRPr="00A7635B" w14:paraId="656503A2" w14:textId="77777777">
        <w:tc>
          <w:tcPr>
            <w:tcW w:w="1129" w:type="dxa"/>
          </w:tcPr>
          <w:p w14:paraId="7EDD6EE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0330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5218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(–) CELKOVÉ ODPOČTY OD DODATOČNÉHO KAPITÁLU TIER 1</w:t>
            </w:r>
          </w:p>
          <w:p w14:paraId="4A13670C" w14:textId="77777777" w:rsidR="00EE0EE2" w:rsidRPr="00A7635B" w:rsidRDefault="00A7635B">
            <w:pPr>
              <w:spacing w:before="60" w:after="60"/>
              <w:rPr>
                <w:rFonts w:ascii="Times New Roman" w:hAnsi="Times New Roman" w:cs="Times New Roman"/>
              </w:rPr>
            </w:pPr>
            <w:r w:rsidRPr="00A7635B">
              <w:rPr>
                <w:rFonts w:ascii="Times New Roman" w:hAnsi="Times New Roman" w:cs="Times New Roman"/>
              </w:rPr>
              <w:t>článok 56 nariadenia (EÚ) č. 575/2013</w:t>
            </w:r>
          </w:p>
        </w:tc>
      </w:tr>
      <w:tr w:rsidR="00EE0EE2" w:rsidRPr="00A7635B" w14:paraId="12CA1380" w14:textId="77777777">
        <w:tc>
          <w:tcPr>
            <w:tcW w:w="1129" w:type="dxa"/>
          </w:tcPr>
          <w:p w14:paraId="6F495A9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0410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5D6B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 xml:space="preserve">Dodatočný kapitál Tier 1: ostatné kapitálové </w:t>
            </w: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prvky, odpočty a úpravy</w:t>
            </w:r>
          </w:p>
          <w:p w14:paraId="02AAB4E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Tento riadok podľa potreby zahŕňa súčet týchto položiek:</w:t>
            </w:r>
          </w:p>
          <w:p w14:paraId="69EA989E" w14:textId="77777777" w:rsidR="00EE0EE2" w:rsidRPr="00A7635B" w:rsidRDefault="00A7635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7635B">
              <w:rPr>
                <w:rFonts w:ascii="Times New Roman" w:hAnsi="Times New Roman" w:cs="Times New Roman"/>
              </w:rPr>
              <w:t>prechodné úpravy na základe nástrojov dodatočného kapitálu Tier 1, ktoré sa zachovali v predchádzajúcom stave [článok 483 ods. 4 a 5, články 484 až 487 a články 489 a 491 na</w:t>
            </w:r>
            <w:r w:rsidRPr="00A7635B">
              <w:rPr>
                <w:rFonts w:ascii="Times New Roman" w:hAnsi="Times New Roman" w:cs="Times New Roman"/>
              </w:rPr>
              <w:t>riadenia (EÚ) č. 575/2013],</w:t>
            </w:r>
          </w:p>
          <w:p w14:paraId="67EDE706" w14:textId="77777777" w:rsidR="00EE0EE2" w:rsidRPr="00A7635B" w:rsidRDefault="00A7635B">
            <w:pPr>
              <w:spacing w:after="120" w:line="240" w:lineRule="auto"/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7635B">
              <w:rPr>
                <w:rFonts w:ascii="Times New Roman" w:hAnsi="Times New Roman" w:cs="Times New Roman"/>
              </w:rPr>
              <w:t>nástroje emitované dcérskymi podnikmi, ktoré sú uznané v dodatočnom kapitáli Tier 1 [články 83, 85 a 86 nariadenia (EÚ) č. 575/2013]:</w:t>
            </w:r>
            <w:r w:rsidRPr="00A7635B">
              <w:rPr>
                <w:rFonts w:ascii="Times New Roman" w:hAnsi="Times New Roman" w:cs="Times New Roman"/>
                <w:bCs/>
              </w:rPr>
              <w:t xml:space="preserve"> </w:t>
            </w:r>
            <w:r w:rsidRPr="00A7635B">
              <w:rPr>
                <w:rFonts w:ascii="Times New Roman" w:hAnsi="Times New Roman" w:cs="Times New Roman"/>
              </w:rPr>
              <w:t xml:space="preserve">súčet všetkých hodnôt kvalifikovaného kapitálu Tier 1 dcérskych podnikov, ktoré sú zahrnuté </w:t>
            </w:r>
            <w:r w:rsidRPr="00A7635B">
              <w:rPr>
                <w:rFonts w:ascii="Times New Roman" w:hAnsi="Times New Roman" w:cs="Times New Roman"/>
              </w:rPr>
              <w:t>do konsolidovaného dodatočného kapitálu Tier 1, a to vrátane kapitálu emitovaného účelovo vytvoreným subjektom [článok 83 nariadenia (EÚ) č. 575/2013],</w:t>
            </w:r>
          </w:p>
          <w:p w14:paraId="2CC4CB2A" w14:textId="77777777" w:rsidR="00EE0EE2" w:rsidRPr="00A7635B" w:rsidRDefault="00A7635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7635B">
              <w:rPr>
                <w:rFonts w:ascii="Times New Roman" w:hAnsi="Times New Roman" w:cs="Times New Roman"/>
              </w:rPr>
              <w:t xml:space="preserve">prechodné úpravy na základe dodatočného uznania nástrojov emitovaných dcérskymi podnikmi </w:t>
            </w:r>
            <w:r w:rsidRPr="00A7635B">
              <w:rPr>
                <w:rFonts w:ascii="Times New Roman" w:hAnsi="Times New Roman" w:cs="Times New Roman"/>
              </w:rPr>
              <w:t>v dodatočnom kapitáli Tier 1 [článok 480 nariadenia (EÚ) č. 575/2013], úpravy kvalifikovaného kapitálu Tier 1 zahrnutého do konsolidovaného dodatočného kapitálu Tier 1 na základe prechodných ustanovení,</w:t>
            </w:r>
          </w:p>
          <w:p w14:paraId="14B2D903" w14:textId="77777777" w:rsidR="00EE0EE2" w:rsidRPr="00A7635B" w:rsidRDefault="00A7635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7635B">
              <w:rPr>
                <w:rFonts w:ascii="Times New Roman" w:hAnsi="Times New Roman" w:cs="Times New Roman"/>
              </w:rPr>
              <w:t>iné prechodné úpravy dodatočného kapitálu Tier 1 [č</w:t>
            </w:r>
            <w:r w:rsidRPr="00A7635B">
              <w:rPr>
                <w:rFonts w:ascii="Times New Roman" w:hAnsi="Times New Roman" w:cs="Times New Roman"/>
              </w:rPr>
              <w:t>lánky 472, 473a, 474, 475, 478 a 481 nariadenia (EÚ) č. 575/2013]:</w:t>
            </w:r>
            <w:r w:rsidRPr="00A7635B">
              <w:rPr>
                <w:rFonts w:ascii="Times New Roman" w:hAnsi="Times New Roman" w:cs="Times New Roman"/>
                <w:bCs/>
              </w:rPr>
              <w:t xml:space="preserve"> úpravy odpočtov na základe prechodných ustanovení,</w:t>
            </w:r>
          </w:p>
          <w:p w14:paraId="2C3BF7E5" w14:textId="77777777" w:rsidR="00EE0EE2" w:rsidRPr="00A7635B" w:rsidRDefault="00A7635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7635B">
              <w:rPr>
                <w:rFonts w:ascii="Times New Roman" w:hAnsi="Times New Roman" w:cs="Times New Roman"/>
              </w:rPr>
              <w:t>odpočet od položiek dodatočného kapitálu Tier 1 presahujúci dodatočný kapitál Tier 1 a odrátaný od vlastného kapitálu Tier 1 v súlade s </w:t>
            </w:r>
            <w:r w:rsidRPr="00A7635B">
              <w:rPr>
                <w:rFonts w:ascii="Times New Roman" w:hAnsi="Times New Roman" w:cs="Times New Roman"/>
              </w:rPr>
              <w:t>článkom 36 ods. 1 písm. j) nariadenia (EÚ) č. 575/2013:</w:t>
            </w:r>
            <w:r w:rsidRPr="00A7635B">
              <w:rPr>
                <w:rFonts w:ascii="Times New Roman" w:hAnsi="Times New Roman" w:cs="Times New Roman"/>
                <w:bCs/>
              </w:rPr>
              <w:t xml:space="preserve"> dodatočný kapitál Tier 1 nemôže byť záporný, </w:t>
            </w:r>
            <w:r w:rsidRPr="00A7635B">
              <w:rPr>
                <w:rFonts w:ascii="Times New Roman" w:hAnsi="Times New Roman" w:cs="Times New Roman"/>
                <w:bCs/>
              </w:rPr>
              <w:lastRenderedPageBreak/>
              <w:t>ale je možné, že odpočty od položiek dodatočného kapitálu Tier 1 prekročia sumu dostupných položiek dodatočného kapitálu Tier 1. Ak k tomu dôjde, táto polo</w:t>
            </w:r>
            <w:r w:rsidRPr="00A7635B">
              <w:rPr>
                <w:rFonts w:ascii="Times New Roman" w:hAnsi="Times New Roman" w:cs="Times New Roman"/>
                <w:bCs/>
              </w:rPr>
              <w:t>žka predstavuje sumu potrebnú na zvýšenie sumy vykázanej v riadku 0300 na nulu a rovná sa inverznej hodnote odpočtov od položiek dodatočného kapitálu Tier 1 presahujúcich dodatočný kapitál Tier 1 a zahrnutých okrem iných odpočtov v riadku 0285,</w:t>
            </w:r>
          </w:p>
          <w:p w14:paraId="13A1E1B0" w14:textId="77777777" w:rsidR="00EE0EE2" w:rsidRPr="00A7635B" w:rsidRDefault="00A7635B">
            <w:pPr>
              <w:spacing w:after="120" w:line="240" w:lineRule="auto"/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7635B">
              <w:rPr>
                <w:rFonts w:ascii="Times New Roman" w:hAnsi="Times New Roman" w:cs="Times New Roman"/>
                <w:bCs/>
              </w:rPr>
              <w:t>ostatné p</w:t>
            </w:r>
            <w:r w:rsidRPr="00A7635B">
              <w:rPr>
                <w:rFonts w:ascii="Times New Roman" w:hAnsi="Times New Roman" w:cs="Times New Roman"/>
                <w:bCs/>
              </w:rPr>
              <w:t>rvky dodatočného kapitálu Tier 1 alebo odpočty od prvku dodatočného kapitálu Tier 1, ktoré nemožno priradiť k žiadnemu z riadkov 0310 až 0330.</w:t>
            </w:r>
          </w:p>
          <w:p w14:paraId="445BDA1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Tento riadok sa nepoužíva na zahrnutie kapitálových položiek alebo odpočtov, na ktoré sa nevzťahuje nariadenie (E</w:t>
            </w:r>
            <w:r w:rsidRPr="00A7635B">
              <w:rPr>
                <w:rFonts w:ascii="Times New Roman" w:hAnsi="Times New Roman" w:cs="Times New Roman"/>
                <w:bCs/>
              </w:rPr>
              <w:t>Ú) 2019/2033 ani nariadenie (EÚ) č. 575/2013, do výpočtu ukazovateľov platobnej schopnosti.</w:t>
            </w:r>
          </w:p>
        </w:tc>
      </w:tr>
      <w:tr w:rsidR="00EE0EE2" w:rsidRPr="00A7635B" w14:paraId="4FFB6F62" w14:textId="77777777">
        <w:tc>
          <w:tcPr>
            <w:tcW w:w="1129" w:type="dxa"/>
          </w:tcPr>
          <w:p w14:paraId="6D5ACDF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lastRenderedPageBreak/>
              <w:t>0420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D87D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KAPITÁL TIER 2</w:t>
            </w:r>
          </w:p>
          <w:p w14:paraId="6970A1E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</w:rPr>
              <w:t>článok 9 ods. 1 nariadenia (EÚ) 2019/2033</w:t>
            </w:r>
          </w:p>
          <w:p w14:paraId="210055F1" w14:textId="77777777" w:rsidR="00EE0EE2" w:rsidRPr="00A7635B" w:rsidRDefault="00A7635B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>článok 71 nariadenia (EÚ) č. 575/2013</w:t>
            </w:r>
          </w:p>
          <w:p w14:paraId="24EDC06A" w14:textId="77777777" w:rsidR="00EE0EE2" w:rsidRPr="00A7635B" w:rsidRDefault="00A7635B">
            <w:pPr>
              <w:pStyle w:val="Commen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7635B">
              <w:rPr>
                <w:rFonts w:ascii="Times New Roman" w:hAnsi="Times New Roman" w:cs="Times New Roman"/>
                <w:bCs/>
                <w:sz w:val="22"/>
                <w:szCs w:val="22"/>
              </w:rPr>
              <w:t>Vykazuje sa celkový súčet riadkov 0430 až 0520.</w:t>
            </w:r>
          </w:p>
        </w:tc>
      </w:tr>
      <w:tr w:rsidR="00EE0EE2" w:rsidRPr="00A7635B" w14:paraId="29A1A238" w14:textId="77777777">
        <w:tc>
          <w:tcPr>
            <w:tcW w:w="1129" w:type="dxa"/>
          </w:tcPr>
          <w:p w14:paraId="7BECEA6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0430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854A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Úplne splatené, priamo emitované kapitálové nástroje</w:t>
            </w:r>
          </w:p>
          <w:p w14:paraId="4E04FE4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9 ods. 1 bod i) nariadenia (EÚ) 2019/2033</w:t>
            </w:r>
          </w:p>
          <w:p w14:paraId="309B1786" w14:textId="77777777" w:rsidR="00EE0EE2" w:rsidRPr="00A7635B" w:rsidRDefault="00A7635B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článok 62 písm. a) a články 63 a 65 nariadenia (EÚ) č. 575/2013</w:t>
            </w:r>
          </w:p>
          <w:p w14:paraId="48E2389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</w:rPr>
              <w:t>Vykazovaná suma nezahŕňa emisné ážio súvisiace s nástrojmi.</w:t>
            </w:r>
          </w:p>
        </w:tc>
      </w:tr>
      <w:tr w:rsidR="00EE0EE2" w:rsidRPr="00A7635B" w14:paraId="5DE9AAF6" w14:textId="77777777">
        <w:tc>
          <w:tcPr>
            <w:tcW w:w="1129" w:type="dxa"/>
          </w:tcPr>
          <w:p w14:paraId="38D8FC0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0440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C55F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Emisné ážio</w:t>
            </w:r>
          </w:p>
          <w:p w14:paraId="3DC8B5E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9 ods. 1 bod i) nariadenia (EÚ) 2019/2033</w:t>
            </w:r>
          </w:p>
          <w:p w14:paraId="57F6A05A" w14:textId="77777777" w:rsidR="00EE0EE2" w:rsidRPr="00A7635B" w:rsidRDefault="00A7635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článok 62 písm. b) a článok 65 nariadenia (EÚ) č. 575/2013</w:t>
            </w:r>
          </w:p>
          <w:p w14:paraId="2B728333" w14:textId="77777777" w:rsidR="00EE0EE2" w:rsidRPr="00A7635B" w:rsidRDefault="00A7635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Emisné ážio má ten istý význam ako v uplatniteľnom účtovnom štandarde.</w:t>
            </w:r>
          </w:p>
          <w:p w14:paraId="63200195" w14:textId="77777777" w:rsidR="00EE0EE2" w:rsidRPr="00A7635B" w:rsidRDefault="00A7635B">
            <w:pPr>
              <w:pStyle w:val="InstructionsText"/>
              <w:rPr>
                <w:rFonts w:cs="Times New Roman"/>
                <w:sz w:val="22"/>
                <w:szCs w:val="22"/>
              </w:rPr>
            </w:pPr>
            <w:r w:rsidRPr="00A7635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Suma vykazovaná v tejto položke je časť súvisiaca s „úplne splatenými, priamo</w:t>
            </w:r>
            <w:r w:rsidRPr="00A7635B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 emitovanými kapitálovými nástrojmi“.</w:t>
            </w:r>
          </w:p>
        </w:tc>
      </w:tr>
      <w:tr w:rsidR="00EE0EE2" w:rsidRPr="00A7635B" w14:paraId="6C2FC5CD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6850868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0450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660E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(–) CELKOVÉ ODPOČTY OD KAPITÁLU TIER 2</w:t>
            </w:r>
          </w:p>
          <w:p w14:paraId="4B00790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A7635B">
              <w:rPr>
                <w:rFonts w:ascii="Times New Roman" w:hAnsi="Times New Roman" w:cs="Times New Roman"/>
              </w:rPr>
              <w:t>článok 66 nariadenia (EÚ) č. 575/2013</w:t>
            </w:r>
          </w:p>
        </w:tc>
      </w:tr>
      <w:tr w:rsidR="00EE0EE2" w:rsidRPr="00A7635B" w14:paraId="2EECB1E4" w14:textId="77777777">
        <w:tc>
          <w:tcPr>
            <w:tcW w:w="1129" w:type="dxa"/>
            <w:tcBorders>
              <w:top w:val="single" w:sz="4" w:space="0" w:color="auto"/>
            </w:tcBorders>
          </w:tcPr>
          <w:p w14:paraId="7FC4358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0520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6067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Kapitál Tier 2: ostatné kapitálové prvky, odpočty a úpravy</w:t>
            </w:r>
          </w:p>
          <w:p w14:paraId="0A7299F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Tento riadok podľa potreby zahŕňa súčet týchto položiek:</w:t>
            </w:r>
          </w:p>
          <w:p w14:paraId="69884116" w14:textId="77777777" w:rsidR="00EE0EE2" w:rsidRPr="00A7635B" w:rsidRDefault="00A7635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7635B">
              <w:rPr>
                <w:rFonts w:ascii="Times New Roman" w:hAnsi="Times New Roman" w:cs="Times New Roman"/>
                <w:bCs/>
              </w:rPr>
              <w:t>prechodné úpravy na základe nástrojov kapitálu Tier 2, ktoré sa zachovali v predchádzajúcom stave [článok 483 ods. 6 a 7 a články 484, 486, 488, 490 a 491 nariadenia (EÚ) č. 575/2013],</w:t>
            </w:r>
          </w:p>
          <w:p w14:paraId="2B35CBF9" w14:textId="77777777" w:rsidR="00EE0EE2" w:rsidRPr="00A7635B" w:rsidRDefault="00A7635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7635B">
              <w:rPr>
                <w:rFonts w:ascii="Times New Roman" w:hAnsi="Times New Roman" w:cs="Times New Roman"/>
                <w:bCs/>
              </w:rPr>
              <w:t>nástroje emitované dcérskymi podnikmi, ktoré sú uznané v kapitáli Tie</w:t>
            </w:r>
            <w:r w:rsidRPr="00A7635B">
              <w:rPr>
                <w:rFonts w:ascii="Times New Roman" w:hAnsi="Times New Roman" w:cs="Times New Roman"/>
                <w:bCs/>
              </w:rPr>
              <w:t>r 2 [články 83, 87 a 88 nariadenia (EÚ) č. 575/2013]: súčet všetkých hodnôt kvalifikovaných vlastných zdrojov dcérskych podnikov, ktoré sú zahrnuté do konsolidovaného kapitálu Tier 2, a to aj vrátane kvalifikovaného kapitálu Tier 2 emitovaného účelovo vytv</w:t>
            </w:r>
            <w:r w:rsidRPr="00A7635B">
              <w:rPr>
                <w:rFonts w:ascii="Times New Roman" w:hAnsi="Times New Roman" w:cs="Times New Roman"/>
                <w:bCs/>
              </w:rPr>
              <w:t>oreným subjektom [článok 83 nariadenia (EÚ) č. 575/2013],</w:t>
            </w:r>
          </w:p>
          <w:p w14:paraId="49DEE746" w14:textId="77777777" w:rsidR="00EE0EE2" w:rsidRPr="00A7635B" w:rsidRDefault="00A7635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7635B">
              <w:rPr>
                <w:rFonts w:ascii="Times New Roman" w:hAnsi="Times New Roman" w:cs="Times New Roman"/>
                <w:bCs/>
              </w:rPr>
              <w:t>prechodné úpravy na základe dodatočného uznania nástrojov emitovaných dcérskymi podnikmi v kapitáli Tier 2 [článok 480 nariadenia (EÚ) č. 575/2013]: úpravy kvalifikovaných vlastných zdrojov zahrnu</w:t>
            </w:r>
            <w:r w:rsidRPr="00A7635B">
              <w:rPr>
                <w:rFonts w:ascii="Times New Roman" w:hAnsi="Times New Roman" w:cs="Times New Roman"/>
                <w:bCs/>
              </w:rPr>
              <w:t>tých do konsolidovaného kapitálu T2 na základe prechodných ustanovení,</w:t>
            </w:r>
          </w:p>
          <w:p w14:paraId="075B3DC7" w14:textId="77777777" w:rsidR="00EE0EE2" w:rsidRPr="00A7635B" w:rsidRDefault="00A7635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7635B">
              <w:rPr>
                <w:rFonts w:ascii="Times New Roman" w:hAnsi="Times New Roman" w:cs="Times New Roman"/>
                <w:bCs/>
              </w:rPr>
              <w:t>ostatné prechodné úpravy kapitálu Tier 2 [články 472, 473a, 476, 477, 478 a 481 nariadenia (EÚ) č. 575/2013]: úpravy odpočtov od kapitálu Tier 2 na základe prechodných ustanovení,</w:t>
            </w:r>
          </w:p>
          <w:p w14:paraId="525DAA7F" w14:textId="77777777" w:rsidR="00EE0EE2" w:rsidRPr="00A7635B" w:rsidRDefault="00A7635B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–</w:t>
            </w: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7635B">
              <w:rPr>
                <w:rFonts w:ascii="Times New Roman" w:hAnsi="Times New Roman" w:cs="Times New Roman"/>
                <w:bCs/>
              </w:rPr>
              <w:t>o</w:t>
            </w:r>
            <w:r w:rsidRPr="00A7635B">
              <w:rPr>
                <w:rFonts w:ascii="Times New Roman" w:hAnsi="Times New Roman" w:cs="Times New Roman"/>
                <w:bCs/>
              </w:rPr>
              <w:t>dpočet od položiek kapitálu Tier 2 presahujúci kapitál Tier 2 a odrátaný od dodatočného kapitálu Tier 1 v súlade s článkom 56 písm. e) nariadenia (EÚ) č. 575/2013: kapitál Tier 2 nemôže byť záporný, ale je možné, že odpočty od položiek kapitálu Tier 2 prek</w:t>
            </w:r>
            <w:r w:rsidRPr="00A7635B">
              <w:rPr>
                <w:rFonts w:ascii="Times New Roman" w:hAnsi="Times New Roman" w:cs="Times New Roman"/>
                <w:bCs/>
              </w:rPr>
              <w:t>ročia sumu dostupných položiek kapitálu Tier 2. Ak k tomu dôjde, táto položka predstavuje sumu potrebnú na zvýšenie sumy vykázanej v riadku 0420 na nulu,</w:t>
            </w:r>
          </w:p>
          <w:p w14:paraId="6E62B49B" w14:textId="77777777" w:rsidR="00EE0EE2" w:rsidRPr="00A7635B" w:rsidRDefault="00A7635B">
            <w:pPr>
              <w:spacing w:after="120" w:line="240" w:lineRule="auto"/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A7635B"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Pr="00A7635B">
              <w:rPr>
                <w:rFonts w:ascii="Times New Roman" w:hAnsi="Times New Roman" w:cs="Times New Roman"/>
                <w:bCs/>
              </w:rPr>
              <w:t>ostatné prvky kapitálu Tier 2 alebo odpočty od prvku kapitálu Tier 2, ktoré nemožno priradiť k žiadn</w:t>
            </w:r>
            <w:r w:rsidRPr="00A7635B">
              <w:rPr>
                <w:rFonts w:ascii="Times New Roman" w:hAnsi="Times New Roman" w:cs="Times New Roman"/>
                <w:bCs/>
              </w:rPr>
              <w:t>emu z riadkov 0430 až 0450.</w:t>
            </w:r>
          </w:p>
          <w:p w14:paraId="5BB7A2C8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Tento riadok sa nepoužíva na zahrnutie kapitálových položiek alebo odpočtov, na ktoré sa nevzťahuje nariadenie (EÚ) 2019/2033 ani nariadenie (EÚ) č. 575/2013, do výpočtu ukazovateľov platobnej schopnosti.</w:t>
            </w:r>
          </w:p>
        </w:tc>
      </w:tr>
    </w:tbl>
    <w:p w14:paraId="49714C7F" w14:textId="77777777" w:rsidR="00EE0EE2" w:rsidRPr="00A7635B" w:rsidRDefault="00A7635B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21" w:name="_Toc87610924"/>
      <w:r w:rsidRPr="00A7635B">
        <w:rPr>
          <w:rFonts w:ascii="Times New Roman" w:hAnsi="Times New Roman" w:cs="Times New Roman"/>
          <w:sz w:val="24"/>
          <w:u w:val="none"/>
        </w:rPr>
        <w:lastRenderedPageBreak/>
        <w:t>1.3.</w:t>
      </w:r>
      <w:r w:rsidRPr="00A7635B">
        <w:rPr>
          <w:rFonts w:ascii="Times New Roman" w:hAnsi="Times New Roman" w:cs="Times New Roman"/>
          <w:sz w:val="24"/>
        </w:rPr>
        <w:t xml:space="preserve"> I </w:t>
      </w:r>
      <w:r w:rsidRPr="00A7635B">
        <w:rPr>
          <w:rFonts w:ascii="Times New Roman" w:hAnsi="Times New Roman" w:cs="Times New Roman"/>
          <w:sz w:val="24"/>
        </w:rPr>
        <w:t>02.03</w:t>
      </w:r>
      <w:r w:rsidRPr="00A7635B">
        <w:rPr>
          <w:rFonts w:ascii="Times New Roman" w:hAnsi="Times New Roman" w:cs="Times New Roman"/>
          <w:sz w:val="24"/>
        </w:rPr>
        <w:t xml:space="preserve"> – POŽIADAVKY NA VLASTNÉ ZDROJE (I </w:t>
      </w:r>
      <w:r w:rsidRPr="00A7635B">
        <w:rPr>
          <w:rFonts w:ascii="Times New Roman" w:hAnsi="Times New Roman" w:cs="Times New Roman"/>
          <w:sz w:val="24"/>
        </w:rPr>
        <w:t>2.3</w:t>
      </w:r>
      <w:r w:rsidRPr="00A7635B">
        <w:rPr>
          <w:rFonts w:ascii="Times New Roman" w:hAnsi="Times New Roman" w:cs="Times New Roman"/>
          <w:sz w:val="24"/>
        </w:rPr>
        <w:t>)</w:t>
      </w:r>
      <w:bookmarkEnd w:id="21"/>
    </w:p>
    <w:p w14:paraId="1A9087B8" w14:textId="77777777" w:rsidR="00EE0EE2" w:rsidRPr="00A7635B" w:rsidRDefault="00A7635B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u w:val="single"/>
        </w:rPr>
      </w:pPr>
      <w:bookmarkStart w:id="22" w:name="_Toc87610925"/>
      <w:r w:rsidRPr="00A7635B">
        <w:rPr>
          <w:rFonts w:ascii="Times New Roman" w:hAnsi="Times New Roman" w:cs="Times New Roman"/>
          <w:sz w:val="24"/>
          <w:szCs w:val="24"/>
        </w:rPr>
        <w:t>1.3.1.</w:t>
      </w:r>
      <w:r w:rsidRPr="00A7635B">
        <w:rPr>
          <w:rFonts w:ascii="Times New Roman" w:hAnsi="Times New Roman" w:cs="Times New Roman"/>
        </w:rPr>
        <w:tab/>
      </w:r>
      <w:r w:rsidRPr="00A7635B">
        <w:rPr>
          <w:rFonts w:ascii="Times New Roman" w:hAnsi="Times New Roman" w:cs="Times New Roman"/>
          <w:sz w:val="24"/>
          <w:szCs w:val="24"/>
          <w:u w:val="single"/>
        </w:rPr>
        <w:t>Pokyny týkajúce sa konkrétnych pozícií</w:t>
      </w:r>
      <w:bookmarkEnd w:id="22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EE0EE2" w:rsidRPr="00A7635B" w14:paraId="7739BBD7" w14:textId="77777777">
        <w:tc>
          <w:tcPr>
            <w:tcW w:w="1129" w:type="dxa"/>
            <w:shd w:val="clear" w:color="auto" w:fill="D9D9D9"/>
          </w:tcPr>
          <w:p w14:paraId="35B360A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3D90CDF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</w:rPr>
              <w:t>Právne predpisy a pokyny</w:t>
            </w:r>
          </w:p>
        </w:tc>
      </w:tr>
      <w:tr w:rsidR="00EE0EE2" w:rsidRPr="00A7635B" w14:paraId="6FE13A55" w14:textId="77777777">
        <w:tc>
          <w:tcPr>
            <w:tcW w:w="1129" w:type="dxa"/>
          </w:tcPr>
          <w:p w14:paraId="7CE81BC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0010</w:t>
            </w:r>
          </w:p>
        </w:tc>
        <w:tc>
          <w:tcPr>
            <w:tcW w:w="7620" w:type="dxa"/>
          </w:tcPr>
          <w:p w14:paraId="6F7E275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Požiadavka na vlastné zdroje</w:t>
            </w:r>
          </w:p>
          <w:p w14:paraId="55B8E9AF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11 ods. 1 a 2 nariadenia (EÚ) 2019/2033</w:t>
            </w:r>
          </w:p>
          <w:p w14:paraId="31E9C2C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 xml:space="preserve">Táto položka predstavuje maximálne hodnoty </w:t>
            </w:r>
            <w:r w:rsidRPr="00A7635B">
              <w:rPr>
                <w:rFonts w:ascii="Times New Roman" w:hAnsi="Times New Roman" w:cs="Times New Roman"/>
                <w:bCs/>
              </w:rPr>
              <w:t>riadkov 0020 a 0030.</w:t>
            </w:r>
          </w:p>
        </w:tc>
      </w:tr>
      <w:tr w:rsidR="00EE0EE2" w:rsidRPr="00A7635B" w14:paraId="6D9C021D" w14:textId="77777777">
        <w:tc>
          <w:tcPr>
            <w:tcW w:w="1129" w:type="dxa"/>
          </w:tcPr>
          <w:p w14:paraId="2E87AF0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0020</w:t>
            </w:r>
          </w:p>
        </w:tc>
        <w:tc>
          <w:tcPr>
            <w:tcW w:w="7620" w:type="dxa"/>
          </w:tcPr>
          <w:p w14:paraId="2651E1B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Trvalá minimálna kapitálová požiadavka</w:t>
            </w:r>
          </w:p>
          <w:p w14:paraId="2E4D7C08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14 nariadenia (EÚ) 2019/2033</w:t>
            </w:r>
          </w:p>
        </w:tc>
      </w:tr>
      <w:tr w:rsidR="00EE0EE2" w:rsidRPr="00A7635B" w14:paraId="785B4A31" w14:textId="77777777">
        <w:tc>
          <w:tcPr>
            <w:tcW w:w="1129" w:type="dxa"/>
          </w:tcPr>
          <w:p w14:paraId="150A101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0030</w:t>
            </w:r>
          </w:p>
        </w:tc>
        <w:tc>
          <w:tcPr>
            <w:tcW w:w="7620" w:type="dxa"/>
          </w:tcPr>
          <w:p w14:paraId="3E1912D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Požiadavka na základe fixných režijných nákladov</w:t>
            </w:r>
          </w:p>
          <w:p w14:paraId="62F55218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13 nariadenia (EÚ) 2019/2033</w:t>
            </w:r>
          </w:p>
        </w:tc>
      </w:tr>
      <w:tr w:rsidR="00EE0EE2" w:rsidRPr="00A7635B" w14:paraId="6D63274B" w14:textId="77777777">
        <w:tc>
          <w:tcPr>
            <w:tcW w:w="1129" w:type="dxa"/>
          </w:tcPr>
          <w:p w14:paraId="613A3415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 xml:space="preserve">0050 – 0090 </w:t>
            </w:r>
          </w:p>
        </w:tc>
        <w:tc>
          <w:tcPr>
            <w:tcW w:w="7620" w:type="dxa"/>
          </w:tcPr>
          <w:p w14:paraId="10ECF44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Prechodné požiadavky na vlastné zdroje</w:t>
            </w:r>
          </w:p>
        </w:tc>
      </w:tr>
      <w:tr w:rsidR="00EE0EE2" w:rsidRPr="00A7635B" w14:paraId="5B07A008" w14:textId="77777777">
        <w:tc>
          <w:tcPr>
            <w:tcW w:w="1129" w:type="dxa"/>
          </w:tcPr>
          <w:p w14:paraId="0FE7659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0050</w:t>
            </w:r>
          </w:p>
        </w:tc>
        <w:tc>
          <w:tcPr>
            <w:tcW w:w="7620" w:type="dxa"/>
          </w:tcPr>
          <w:p w14:paraId="3B319A7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Prechodná požiadavka založená na požiadavkách na vlastné zdroje podľa nariadenia (EÚ) č. 575/2013</w:t>
            </w:r>
          </w:p>
          <w:p w14:paraId="78FE9E3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57 ods. 3 písm. a) nariadenia (EÚ) 2019/2033</w:t>
            </w:r>
          </w:p>
        </w:tc>
      </w:tr>
      <w:tr w:rsidR="00EE0EE2" w:rsidRPr="00A7635B" w14:paraId="0FB4A132" w14:textId="77777777">
        <w:tc>
          <w:tcPr>
            <w:tcW w:w="1129" w:type="dxa"/>
          </w:tcPr>
          <w:p w14:paraId="4E9331D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0060</w:t>
            </w:r>
          </w:p>
        </w:tc>
        <w:tc>
          <w:tcPr>
            <w:tcW w:w="7620" w:type="dxa"/>
          </w:tcPr>
          <w:p w14:paraId="7FEBE44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Prechodná požiadavka založená na požiadavkách na fixné režijné náklady</w:t>
            </w:r>
          </w:p>
          <w:p w14:paraId="17A0D268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57 ods. 3 písm. b) nar</w:t>
            </w:r>
            <w:r w:rsidRPr="00A7635B">
              <w:rPr>
                <w:rFonts w:ascii="Times New Roman" w:hAnsi="Times New Roman" w:cs="Times New Roman"/>
                <w:bCs/>
              </w:rPr>
              <w:t>iadenia (EÚ) 2019/2033</w:t>
            </w:r>
          </w:p>
        </w:tc>
      </w:tr>
      <w:tr w:rsidR="00EE0EE2" w:rsidRPr="00A7635B" w14:paraId="241C9037" w14:textId="77777777">
        <w:tc>
          <w:tcPr>
            <w:tcW w:w="1129" w:type="dxa"/>
          </w:tcPr>
          <w:p w14:paraId="1F98C49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0070</w:t>
            </w:r>
          </w:p>
        </w:tc>
        <w:tc>
          <w:tcPr>
            <w:tcW w:w="7620" w:type="dxa"/>
          </w:tcPr>
          <w:p w14:paraId="42BAD55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Prechodná požiadavka na investičné spoločnosti, na ktoré sa predtým vzťahovala len požiadavka na počiatočný kapitál</w:t>
            </w:r>
          </w:p>
          <w:p w14:paraId="1497F19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57 ods. 4 písm. a) nariadenia (EÚ) 2019/2033</w:t>
            </w:r>
          </w:p>
        </w:tc>
      </w:tr>
      <w:tr w:rsidR="00EE0EE2" w:rsidRPr="00A7635B" w14:paraId="0E4EE747" w14:textId="77777777">
        <w:tc>
          <w:tcPr>
            <w:tcW w:w="1129" w:type="dxa"/>
          </w:tcPr>
          <w:p w14:paraId="76D55DB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0080</w:t>
            </w:r>
          </w:p>
        </w:tc>
        <w:tc>
          <w:tcPr>
            <w:tcW w:w="7620" w:type="dxa"/>
          </w:tcPr>
          <w:p w14:paraId="7278A66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Prechodná požiadavka založená na požiadavke na počiat</w:t>
            </w: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očný kapitál pri udeľovaní povolenia</w:t>
            </w:r>
          </w:p>
          <w:p w14:paraId="19954398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57 ods. 4 písm. b) nariadenia (EÚ) 2019/2033</w:t>
            </w:r>
          </w:p>
        </w:tc>
      </w:tr>
      <w:tr w:rsidR="00EE0EE2" w:rsidRPr="00A7635B" w14:paraId="393E694A" w14:textId="77777777">
        <w:tc>
          <w:tcPr>
            <w:tcW w:w="1129" w:type="dxa"/>
          </w:tcPr>
          <w:p w14:paraId="040B4618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0090</w:t>
            </w:r>
          </w:p>
        </w:tc>
        <w:tc>
          <w:tcPr>
            <w:tcW w:w="7620" w:type="dxa"/>
          </w:tcPr>
          <w:p w14:paraId="3F8CBC25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Prechodná požiadavka na investičné spoločnosti, ktoré nie sú oprávnené poskytovať určité služby</w:t>
            </w:r>
          </w:p>
          <w:p w14:paraId="151A9E7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57 ods. 4 písm. c) nariadenia (EÚ) 2019/2033</w:t>
            </w:r>
          </w:p>
        </w:tc>
      </w:tr>
      <w:tr w:rsidR="00EE0EE2" w:rsidRPr="00A7635B" w14:paraId="25BFD8DD" w14:textId="77777777">
        <w:tc>
          <w:tcPr>
            <w:tcW w:w="1129" w:type="dxa"/>
          </w:tcPr>
          <w:p w14:paraId="2A5A13D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 xml:space="preserve">0110 – </w:t>
            </w:r>
            <w:r w:rsidRPr="00A7635B">
              <w:rPr>
                <w:rFonts w:ascii="Times New Roman" w:hAnsi="Times New Roman" w:cs="Times New Roman"/>
                <w:bCs/>
              </w:rPr>
              <w:t>0130</w:t>
            </w:r>
          </w:p>
        </w:tc>
        <w:tc>
          <w:tcPr>
            <w:tcW w:w="7620" w:type="dxa"/>
          </w:tcPr>
          <w:p w14:paraId="5CB84F1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Doplňujúce položky</w:t>
            </w:r>
          </w:p>
        </w:tc>
      </w:tr>
      <w:tr w:rsidR="00EE0EE2" w:rsidRPr="00A7635B" w14:paraId="49002981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5B25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718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Dodatočná požiadavka na vlastné zdroje</w:t>
            </w:r>
          </w:p>
          <w:p w14:paraId="6577649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lastRenderedPageBreak/>
              <w:t>článok 40 smernice (EÚ) 2019/2034</w:t>
            </w:r>
          </w:p>
          <w:p w14:paraId="305BB37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Dodatočné vlastné zdroje požadované podľa postupu preskúmania a hodnotenia orgánmi dohľadu (SREP)</w:t>
            </w: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</w:p>
        </w:tc>
      </w:tr>
      <w:tr w:rsidR="00EE0EE2" w:rsidRPr="00A7635B" w14:paraId="6BBFF128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14D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lastRenderedPageBreak/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D01F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Celková požiadavka na vlastné zdroje</w:t>
            </w:r>
          </w:p>
          <w:p w14:paraId="0F091D9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</w:rPr>
              <w:t xml:space="preserve">Celková požiadavka na vlastné zdroje investičnej spoločnosti pozostáva z hodnoty jej požiadaviek na vlastné zdroje </w:t>
            </w:r>
            <w:r w:rsidRPr="00A7635B">
              <w:rPr>
                <w:rFonts w:ascii="Times New Roman" w:hAnsi="Times New Roman" w:cs="Times New Roman"/>
                <w:bCs/>
              </w:rPr>
              <w:t>uplatniteľných k referenčnému dátumu</w:t>
            </w:r>
            <w:r w:rsidRPr="00A7635B">
              <w:rPr>
                <w:rFonts w:ascii="Times New Roman" w:hAnsi="Times New Roman" w:cs="Times New Roman"/>
              </w:rPr>
              <w:t xml:space="preserve">, dodatočnej požiadavky na vlastné zdroje </w:t>
            </w:r>
            <w:r w:rsidRPr="00A7635B">
              <w:rPr>
                <w:rFonts w:ascii="Times New Roman" w:hAnsi="Times New Roman" w:cs="Times New Roman"/>
                <w:bCs/>
              </w:rPr>
              <w:t>vykázanej v riadku 0110</w:t>
            </w:r>
            <w:r w:rsidRPr="00A7635B">
              <w:rPr>
                <w:rFonts w:ascii="Times New Roman" w:hAnsi="Times New Roman" w:cs="Times New Roman"/>
              </w:rPr>
              <w:t>a usmernenia o dodatočných vlastných zdr</w:t>
            </w:r>
            <w:r w:rsidRPr="00A7635B">
              <w:rPr>
                <w:rFonts w:ascii="Times New Roman" w:hAnsi="Times New Roman" w:cs="Times New Roman"/>
              </w:rPr>
              <w:t xml:space="preserve">ojoch </w:t>
            </w:r>
            <w:r w:rsidRPr="00A7635B">
              <w:rPr>
                <w:rFonts w:ascii="Times New Roman" w:hAnsi="Times New Roman" w:cs="Times New Roman"/>
                <w:bCs/>
              </w:rPr>
              <w:t>vykázaných v </w:t>
            </w:r>
            <w:r w:rsidRPr="00A7635B">
              <w:rPr>
                <w:rFonts w:ascii="Times New Roman" w:hAnsi="Times New Roman" w:cs="Times New Roman"/>
              </w:rPr>
              <w:t xml:space="preserve">riadku </w:t>
            </w:r>
            <w:r w:rsidRPr="00A7635B">
              <w:rPr>
                <w:rFonts w:ascii="Times New Roman" w:hAnsi="Times New Roman" w:cs="Times New Roman"/>
                <w:bCs/>
              </w:rPr>
              <w:t>0120.</w:t>
            </w:r>
          </w:p>
        </w:tc>
      </w:tr>
    </w:tbl>
    <w:p w14:paraId="3D936F30" w14:textId="77777777" w:rsidR="00EE0EE2" w:rsidRPr="00A7635B" w:rsidRDefault="00A7635B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3" w:name="_Toc87610926"/>
      <w:r w:rsidRPr="00A7635B">
        <w:rPr>
          <w:rFonts w:ascii="Times New Roman" w:hAnsi="Times New Roman" w:cs="Times New Roman"/>
          <w:sz w:val="24"/>
        </w:rPr>
        <w:t>1.4.</w:t>
      </w:r>
      <w:r w:rsidRPr="00A7635B">
        <w:rPr>
          <w:rFonts w:ascii="Times New Roman" w:hAnsi="Times New Roman" w:cs="Times New Roman"/>
          <w:sz w:val="24"/>
        </w:rPr>
        <w:t xml:space="preserve"> I </w:t>
      </w:r>
      <w:r w:rsidRPr="00A7635B">
        <w:rPr>
          <w:rFonts w:ascii="Times New Roman" w:hAnsi="Times New Roman" w:cs="Times New Roman"/>
          <w:sz w:val="24"/>
        </w:rPr>
        <w:t>02.04</w:t>
      </w:r>
      <w:r w:rsidRPr="00A7635B">
        <w:rPr>
          <w:rFonts w:ascii="Times New Roman" w:hAnsi="Times New Roman" w:cs="Times New Roman"/>
          <w:sz w:val="24"/>
        </w:rPr>
        <w:t xml:space="preserve"> – PODIELY KAPITÁLU (I </w:t>
      </w:r>
      <w:r w:rsidRPr="00A7635B">
        <w:rPr>
          <w:rFonts w:ascii="Times New Roman" w:hAnsi="Times New Roman" w:cs="Times New Roman"/>
          <w:sz w:val="24"/>
        </w:rPr>
        <w:t>2.4</w:t>
      </w:r>
      <w:r w:rsidRPr="00A7635B">
        <w:rPr>
          <w:rFonts w:ascii="Times New Roman" w:hAnsi="Times New Roman" w:cs="Times New Roman"/>
          <w:sz w:val="24"/>
        </w:rPr>
        <w:t>)</w:t>
      </w:r>
      <w:bookmarkEnd w:id="23"/>
    </w:p>
    <w:p w14:paraId="5C1D4E64" w14:textId="77777777" w:rsidR="00EE0EE2" w:rsidRPr="00A7635B" w:rsidRDefault="00A7635B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4" w:name="_Toc87610927"/>
      <w:r w:rsidRPr="00A7635B">
        <w:rPr>
          <w:rFonts w:ascii="Times New Roman" w:hAnsi="Times New Roman" w:cs="Times New Roman"/>
          <w:sz w:val="24"/>
          <w:szCs w:val="24"/>
        </w:rPr>
        <w:t>1.4.1.</w:t>
      </w:r>
      <w:r w:rsidRPr="00A7635B">
        <w:rPr>
          <w:rFonts w:ascii="Times New Roman" w:hAnsi="Times New Roman" w:cs="Times New Roman"/>
        </w:rPr>
        <w:tab/>
      </w:r>
      <w:r w:rsidRPr="00A7635B">
        <w:rPr>
          <w:rFonts w:ascii="Times New Roman" w:hAnsi="Times New Roman" w:cs="Times New Roman"/>
          <w:sz w:val="24"/>
          <w:szCs w:val="24"/>
          <w:u w:val="single"/>
        </w:rPr>
        <w:t>Pokyny týkajúce sa konkrétnych pozícií</w:t>
      </w:r>
      <w:bookmarkEnd w:id="24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EE0EE2" w:rsidRPr="00A7635B" w14:paraId="61BA2013" w14:textId="77777777">
        <w:tc>
          <w:tcPr>
            <w:tcW w:w="1129" w:type="dxa"/>
            <w:shd w:val="clear" w:color="auto" w:fill="D9D9D9"/>
          </w:tcPr>
          <w:p w14:paraId="6B5536E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3F274CC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</w:rPr>
              <w:t>Právne predpisy a pokyny</w:t>
            </w:r>
          </w:p>
        </w:tc>
      </w:tr>
      <w:tr w:rsidR="00EE0EE2" w:rsidRPr="00A7635B" w14:paraId="1F35ECD9" w14:textId="77777777">
        <w:tc>
          <w:tcPr>
            <w:tcW w:w="1129" w:type="dxa"/>
          </w:tcPr>
          <w:p w14:paraId="3C6D5D4F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0010</w:t>
            </w:r>
          </w:p>
        </w:tc>
        <w:tc>
          <w:tcPr>
            <w:tcW w:w="7620" w:type="dxa"/>
          </w:tcPr>
          <w:p w14:paraId="4AA1627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Podiel vlastného kapitálu Tier 1</w:t>
            </w:r>
          </w:p>
          <w:p w14:paraId="2C4B1CA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 xml:space="preserve">článok 9 ods. 1 písm. a) a článok 11 ods. 1 a 2 </w:t>
            </w:r>
            <w:r w:rsidRPr="00A7635B">
              <w:rPr>
                <w:rFonts w:ascii="Times New Roman" w:hAnsi="Times New Roman" w:cs="Times New Roman"/>
                <w:bCs/>
              </w:rPr>
              <w:t>nariadenia (EÚ) 2019/2033</w:t>
            </w:r>
          </w:p>
          <w:p w14:paraId="589675E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Táto položka je vyjadrená ako percentuálny podiel.</w:t>
            </w:r>
          </w:p>
        </w:tc>
      </w:tr>
      <w:tr w:rsidR="00EE0EE2" w:rsidRPr="00A7635B" w14:paraId="1FE6FE44" w14:textId="77777777">
        <w:tc>
          <w:tcPr>
            <w:tcW w:w="1129" w:type="dxa"/>
          </w:tcPr>
          <w:p w14:paraId="72CBF0B5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0020</w:t>
            </w:r>
          </w:p>
        </w:tc>
        <w:tc>
          <w:tcPr>
            <w:tcW w:w="7620" w:type="dxa"/>
          </w:tcPr>
          <w:p w14:paraId="14DE5295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Prebytok (+)/deficit (−) vlastného kapitálu Tier 1</w:t>
            </w:r>
          </w:p>
          <w:p w14:paraId="3012D74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A7635B">
              <w:rPr>
                <w:rFonts w:ascii="Times New Roman" w:hAnsi="Times New Roman" w:cs="Times New Roman"/>
              </w:rPr>
              <w:t>V</w:t>
            </w:r>
            <w:r w:rsidRPr="00A7635B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 </w:t>
            </w:r>
            <w:r w:rsidRPr="00A7635B">
              <w:rPr>
                <w:rFonts w:ascii="Times New Roman" w:hAnsi="Times New Roman" w:cs="Times New Roman"/>
              </w:rPr>
              <w:t xml:space="preserve">tejto položke sa uvádza prebytok alebo deficit vlastného kapitálu Tier 1 v súvislosti s požiadavkou stanovenou v článku </w:t>
            </w:r>
            <w:r w:rsidRPr="00A7635B">
              <w:rPr>
                <w:rFonts w:ascii="Times New Roman" w:hAnsi="Times New Roman" w:cs="Times New Roman"/>
              </w:rPr>
              <w:t>9 ods. 1 nariadenia (EÚ) 2019/2033.</w:t>
            </w:r>
          </w:p>
          <w:p w14:paraId="5DDA6F2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</w:rPr>
              <w:t>Prechodné ustanovenia článku 57 ods. 3 a 4 nariadenia (EÚ) 2019/2033 sa pri tejto položke nezohľadňujú.</w:t>
            </w:r>
          </w:p>
        </w:tc>
      </w:tr>
      <w:tr w:rsidR="00EE0EE2" w:rsidRPr="00A7635B" w14:paraId="719AD409" w14:textId="77777777">
        <w:tc>
          <w:tcPr>
            <w:tcW w:w="1129" w:type="dxa"/>
          </w:tcPr>
          <w:p w14:paraId="7BB53B0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0030</w:t>
            </w:r>
          </w:p>
        </w:tc>
        <w:tc>
          <w:tcPr>
            <w:tcW w:w="7620" w:type="dxa"/>
          </w:tcPr>
          <w:p w14:paraId="72A6BB48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Podiel kapitálu Tier 1</w:t>
            </w:r>
          </w:p>
          <w:p w14:paraId="016BB278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9 ods. 1 písm. b) a článok 11 ods. 1 a 2 nariadenia (EÚ) 2019/2033</w:t>
            </w:r>
          </w:p>
          <w:p w14:paraId="1BAA5C1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 xml:space="preserve">Táto </w:t>
            </w:r>
            <w:r w:rsidRPr="00A7635B">
              <w:rPr>
                <w:rFonts w:ascii="Times New Roman" w:hAnsi="Times New Roman" w:cs="Times New Roman"/>
                <w:bCs/>
              </w:rPr>
              <w:t>položka je vyjadrená ako percentuálny podiel.</w:t>
            </w:r>
          </w:p>
        </w:tc>
      </w:tr>
      <w:tr w:rsidR="00EE0EE2" w:rsidRPr="00A7635B" w14:paraId="5FCFFCA0" w14:textId="77777777">
        <w:tc>
          <w:tcPr>
            <w:tcW w:w="1129" w:type="dxa"/>
          </w:tcPr>
          <w:p w14:paraId="5BC55D2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0040</w:t>
            </w:r>
          </w:p>
        </w:tc>
        <w:tc>
          <w:tcPr>
            <w:tcW w:w="7620" w:type="dxa"/>
          </w:tcPr>
          <w:p w14:paraId="3D92CD5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Prebytok (+)/deficit (−) kapitálu Tier 1</w:t>
            </w:r>
          </w:p>
          <w:p w14:paraId="43DBB92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A7635B">
              <w:rPr>
                <w:rFonts w:ascii="Times New Roman" w:hAnsi="Times New Roman" w:cs="Times New Roman"/>
              </w:rPr>
              <w:t>V</w:t>
            </w:r>
            <w:r w:rsidRPr="00A7635B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 </w:t>
            </w:r>
            <w:r w:rsidRPr="00A7635B">
              <w:rPr>
                <w:rFonts w:ascii="Times New Roman" w:hAnsi="Times New Roman" w:cs="Times New Roman"/>
              </w:rPr>
              <w:t>tejto položke sa uvádza prebytok alebo deficit kapitálu Tier 1 v súvislosti s požiadavkou stanovenou v článku 9 ods. 1 nariadenia (EÚ) 2019/2033.</w:t>
            </w:r>
          </w:p>
          <w:p w14:paraId="5F5BCCE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</w:rPr>
              <w:t>Prechodné ustanovenia článku 57 ods. 3 a 4 nariadenia (EÚ) 2019/2033 sa pri tejto položke nezohľadňujú.</w:t>
            </w:r>
          </w:p>
        </w:tc>
      </w:tr>
      <w:tr w:rsidR="00EE0EE2" w:rsidRPr="00A7635B" w14:paraId="001E1152" w14:textId="77777777">
        <w:tc>
          <w:tcPr>
            <w:tcW w:w="1129" w:type="dxa"/>
          </w:tcPr>
          <w:p w14:paraId="491B700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0050</w:t>
            </w:r>
          </w:p>
        </w:tc>
        <w:tc>
          <w:tcPr>
            <w:tcW w:w="7620" w:type="dxa"/>
          </w:tcPr>
          <w:p w14:paraId="3CA47CB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Podiel vlastných zdrojov</w:t>
            </w:r>
          </w:p>
          <w:p w14:paraId="0D51C56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9 ods. 1 písm. c) a článok 11 ods. 1 a 2 nariadenia (EÚ) 2019/2033</w:t>
            </w:r>
          </w:p>
          <w:p w14:paraId="150F1ED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Táto položka je vyjadrená ako percentuálny podi</w:t>
            </w:r>
            <w:r w:rsidRPr="00A7635B">
              <w:rPr>
                <w:rFonts w:ascii="Times New Roman" w:hAnsi="Times New Roman" w:cs="Times New Roman"/>
                <w:bCs/>
              </w:rPr>
              <w:t>el.</w:t>
            </w:r>
          </w:p>
        </w:tc>
      </w:tr>
      <w:tr w:rsidR="00EE0EE2" w:rsidRPr="00A7635B" w14:paraId="67E03106" w14:textId="77777777">
        <w:tc>
          <w:tcPr>
            <w:tcW w:w="1129" w:type="dxa"/>
          </w:tcPr>
          <w:p w14:paraId="1C8B1EA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0060</w:t>
            </w:r>
          </w:p>
        </w:tc>
        <w:tc>
          <w:tcPr>
            <w:tcW w:w="7620" w:type="dxa"/>
          </w:tcPr>
          <w:p w14:paraId="2023B86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Prebytok (+)/deficit (–) celkového kapitálu</w:t>
            </w:r>
          </w:p>
          <w:p w14:paraId="1566E19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A7635B">
              <w:rPr>
                <w:rFonts w:ascii="Times New Roman" w:hAnsi="Times New Roman" w:cs="Times New Roman"/>
              </w:rPr>
              <w:t>V</w:t>
            </w:r>
            <w:r w:rsidRPr="00A7635B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 </w:t>
            </w:r>
            <w:r w:rsidRPr="00A7635B">
              <w:rPr>
                <w:rFonts w:ascii="Times New Roman" w:hAnsi="Times New Roman" w:cs="Times New Roman"/>
              </w:rPr>
              <w:t>tejto položke sa uvádza prebytok alebo deficit vlastných zdrojov v súvislosti s požiadavkou stanovenou v článku 9 ods. 1 nariadenia (EÚ) 2019/2033.</w:t>
            </w:r>
          </w:p>
          <w:p w14:paraId="26E986A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</w:rPr>
              <w:t>Prechodné ustanovenia článku 57 ods. 3 a 4 nariadeni</w:t>
            </w:r>
            <w:r w:rsidRPr="00A7635B">
              <w:rPr>
                <w:rFonts w:ascii="Times New Roman" w:hAnsi="Times New Roman" w:cs="Times New Roman"/>
              </w:rPr>
              <w:t>a (EÚ) 2019/2033 sa pri tejto položke nezohľadňujú.</w:t>
            </w:r>
          </w:p>
        </w:tc>
      </w:tr>
    </w:tbl>
    <w:p w14:paraId="1EC5AA65" w14:textId="77777777" w:rsidR="00EE0EE2" w:rsidRPr="00A7635B" w:rsidRDefault="00EE0EE2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</w:p>
    <w:p w14:paraId="202697CB" w14:textId="77777777" w:rsidR="00EE0EE2" w:rsidRPr="00A7635B" w:rsidRDefault="00A7635B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5" w:name="_Toc87610928"/>
      <w:r w:rsidRPr="00A7635B">
        <w:rPr>
          <w:rFonts w:ascii="Times New Roman" w:hAnsi="Times New Roman" w:cs="Times New Roman"/>
          <w:sz w:val="24"/>
        </w:rPr>
        <w:t>1.5.</w:t>
      </w:r>
      <w:r w:rsidRPr="00A7635B">
        <w:rPr>
          <w:rFonts w:ascii="Times New Roman" w:hAnsi="Times New Roman" w:cs="Times New Roman"/>
          <w:sz w:val="24"/>
        </w:rPr>
        <w:t xml:space="preserve"> I </w:t>
      </w:r>
      <w:r w:rsidRPr="00A7635B">
        <w:rPr>
          <w:rFonts w:ascii="Times New Roman" w:hAnsi="Times New Roman" w:cs="Times New Roman"/>
          <w:sz w:val="24"/>
        </w:rPr>
        <w:t>03.01</w:t>
      </w:r>
      <w:r w:rsidRPr="00A7635B">
        <w:rPr>
          <w:rFonts w:ascii="Times New Roman" w:hAnsi="Times New Roman" w:cs="Times New Roman"/>
          <w:sz w:val="24"/>
        </w:rPr>
        <w:t xml:space="preserve"> – VÝPOČET POŽIADAVKY NA ZÁKLADE FIXNÝCH REŽIJNÝCH NÁKLADOV (I </w:t>
      </w:r>
      <w:r w:rsidRPr="00A7635B">
        <w:rPr>
          <w:rFonts w:ascii="Times New Roman" w:hAnsi="Times New Roman" w:cs="Times New Roman"/>
          <w:sz w:val="24"/>
        </w:rPr>
        <w:t>3.1</w:t>
      </w:r>
      <w:r w:rsidRPr="00A7635B">
        <w:rPr>
          <w:rFonts w:ascii="Times New Roman" w:hAnsi="Times New Roman" w:cs="Times New Roman"/>
          <w:sz w:val="24"/>
        </w:rPr>
        <w:t>)</w:t>
      </w:r>
      <w:bookmarkEnd w:id="2"/>
      <w:bookmarkEnd w:id="3"/>
      <w:bookmarkEnd w:id="25"/>
      <w:bookmarkEnd w:id="4"/>
      <w:bookmarkEnd w:id="5"/>
    </w:p>
    <w:p w14:paraId="039A1BF2" w14:textId="77777777" w:rsidR="00EE0EE2" w:rsidRPr="00A7635B" w:rsidRDefault="00A7635B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26" w:name="_Toc310414968"/>
      <w:bookmarkStart w:id="27" w:name="_Toc360188326"/>
      <w:bookmarkStart w:id="28" w:name="_Toc473560874"/>
      <w:bookmarkStart w:id="29" w:name="_Toc7084159"/>
      <w:bookmarkStart w:id="30" w:name="_Toc87610929"/>
      <w:r w:rsidRPr="00A7635B">
        <w:rPr>
          <w:rFonts w:ascii="Times New Roman" w:hAnsi="Times New Roman" w:cs="Times New Roman"/>
          <w:sz w:val="24"/>
          <w:szCs w:val="24"/>
        </w:rPr>
        <w:t>1.5.1.</w:t>
      </w:r>
      <w:r w:rsidRPr="00A7635B">
        <w:rPr>
          <w:rFonts w:ascii="Times New Roman" w:hAnsi="Times New Roman" w:cs="Times New Roman"/>
        </w:rPr>
        <w:tab/>
      </w:r>
      <w:bookmarkStart w:id="31" w:name="_Toc308175821"/>
      <w:r w:rsidRPr="00A7635B">
        <w:rPr>
          <w:rFonts w:ascii="Times New Roman" w:hAnsi="Times New Roman" w:cs="Times New Roman"/>
          <w:sz w:val="24"/>
          <w:szCs w:val="24"/>
          <w:u w:val="single"/>
        </w:rPr>
        <w:t xml:space="preserve">Pokyny týkajúce sa konkrétnych </w:t>
      </w:r>
      <w:bookmarkEnd w:id="31"/>
      <w:bookmarkEnd w:id="26"/>
      <w:r w:rsidRPr="00A7635B">
        <w:rPr>
          <w:rFonts w:ascii="Times New Roman" w:hAnsi="Times New Roman" w:cs="Times New Roman"/>
          <w:sz w:val="24"/>
          <w:szCs w:val="24"/>
          <w:u w:val="single"/>
        </w:rPr>
        <w:t>pozícií</w:t>
      </w:r>
      <w:bookmarkEnd w:id="27"/>
      <w:bookmarkEnd w:id="28"/>
      <w:bookmarkEnd w:id="29"/>
      <w:bookmarkEnd w:id="3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EE0EE2" w:rsidRPr="00A7635B" w14:paraId="68CBA1F5" w14:textId="77777777">
        <w:tc>
          <w:tcPr>
            <w:tcW w:w="1129" w:type="dxa"/>
            <w:shd w:val="clear" w:color="auto" w:fill="D9D9D9"/>
          </w:tcPr>
          <w:p w14:paraId="4A2EB42F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color w:val="000000" w:themeColor="text1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7CC33B6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color w:val="000000" w:themeColor="text1"/>
              </w:rPr>
              <w:t>Právne predpisy a pokyny</w:t>
            </w:r>
          </w:p>
        </w:tc>
      </w:tr>
      <w:tr w:rsidR="00EE0EE2" w:rsidRPr="00A7635B" w14:paraId="2E92FC4A" w14:textId="77777777">
        <w:tc>
          <w:tcPr>
            <w:tcW w:w="1129" w:type="dxa"/>
          </w:tcPr>
          <w:p w14:paraId="67111A6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0010</w:t>
            </w:r>
          </w:p>
        </w:tc>
        <w:tc>
          <w:tcPr>
            <w:tcW w:w="7620" w:type="dxa"/>
          </w:tcPr>
          <w:p w14:paraId="162FD36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Požiadavka na základe fixných </w:t>
            </w: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režijných nákladov</w:t>
            </w:r>
          </w:p>
          <w:p w14:paraId="43CE611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13 ods. 1 nariadenia (EÚ) 2019/2033</w:t>
            </w:r>
          </w:p>
          <w:p w14:paraId="5F6FE2E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A7635B">
              <w:rPr>
                <w:rFonts w:ascii="Times New Roman" w:hAnsi="Times New Roman" w:cs="Times New Roman"/>
              </w:rPr>
              <w:t>Vykazovaná suma predstavuje najmenej 25 % ročných fixných režijných nákladov za predchádzajúci rok (riadok 0020).</w:t>
            </w:r>
          </w:p>
          <w:p w14:paraId="625FDA08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A7635B">
              <w:rPr>
                <w:rFonts w:ascii="Times New Roman" w:hAnsi="Times New Roman" w:cs="Times New Roman"/>
              </w:rPr>
              <w:t>V prípadoch, keď dôjde k podstatnej zmene, ako sa uvádza v článku 13 ods. 2 nari</w:t>
            </w:r>
            <w:r w:rsidRPr="00A7635B">
              <w:rPr>
                <w:rFonts w:ascii="Times New Roman" w:hAnsi="Times New Roman" w:cs="Times New Roman"/>
              </w:rPr>
              <w:t>adenia (EÚ) 2019/2033, predstavuje vykazovaná suma požiadavku na základe fixných režijných nákladov, ktorú uložil príslušný orgán v súlade s uvedeným článkom.</w:t>
            </w:r>
          </w:p>
          <w:p w14:paraId="123C4E4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A7635B">
              <w:rPr>
                <w:rFonts w:ascii="Times New Roman" w:hAnsi="Times New Roman" w:cs="Times New Roman"/>
              </w:rPr>
              <w:t>V prípadoch uvedených v článku 13 ods. 3 nariadenia (EÚ) 2019/2033 vykazovaná suma predstavuje pl</w:t>
            </w:r>
            <w:r w:rsidRPr="00A7635B">
              <w:rPr>
                <w:rFonts w:ascii="Times New Roman" w:hAnsi="Times New Roman" w:cs="Times New Roman"/>
              </w:rPr>
              <w:t>ánované fixné režijné náklady za bežný rok (riadok 0200).</w:t>
            </w:r>
          </w:p>
        </w:tc>
      </w:tr>
      <w:tr w:rsidR="00EE0EE2" w:rsidRPr="00A7635B" w14:paraId="39B2B8DF" w14:textId="77777777">
        <w:tc>
          <w:tcPr>
            <w:tcW w:w="1129" w:type="dxa"/>
          </w:tcPr>
          <w:p w14:paraId="57E5733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0020</w:t>
            </w:r>
          </w:p>
        </w:tc>
        <w:tc>
          <w:tcPr>
            <w:tcW w:w="7620" w:type="dxa"/>
          </w:tcPr>
          <w:p w14:paraId="1881874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Ročné fixné režijné náklady za predchádzajúci rok po rozdelení ziskov</w:t>
            </w:r>
          </w:p>
          <w:p w14:paraId="3C30870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článok 13 ods. 1 nariadenia (EÚ) 2019/2033</w:t>
            </w:r>
          </w:p>
          <w:p w14:paraId="2CB86977" w14:textId="77777777" w:rsidR="00EE0EE2" w:rsidRPr="00A7635B" w:rsidRDefault="00A7635B">
            <w:pPr>
              <w:pStyle w:val="Commen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Investičné spoločnosti vykazujú fixné režijné náklady za predchádzajúci rok po rozdelení ziskov. </w:t>
            </w:r>
          </w:p>
        </w:tc>
      </w:tr>
      <w:tr w:rsidR="00EE0EE2" w:rsidRPr="00A7635B" w14:paraId="28E2A2A2" w14:textId="77777777">
        <w:tc>
          <w:tcPr>
            <w:tcW w:w="1129" w:type="dxa"/>
          </w:tcPr>
          <w:p w14:paraId="186B172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0030</w:t>
            </w:r>
          </w:p>
        </w:tc>
        <w:tc>
          <w:tcPr>
            <w:tcW w:w="7620" w:type="dxa"/>
          </w:tcPr>
          <w:p w14:paraId="5F6432B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Celkové výdavky za predchádzajúci rok po rozdelení ziskov</w:t>
            </w:r>
          </w:p>
          <w:p w14:paraId="21F9B65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13 ods. 1 nariadenia (EÚ) 2019/2033</w:t>
            </w:r>
          </w:p>
          <w:p w14:paraId="03D54C7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Vykazuje sa suma zostávajúca po rozdelení </w:t>
            </w: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ziskov.</w:t>
            </w:r>
          </w:p>
        </w:tc>
      </w:tr>
      <w:tr w:rsidR="00EE0EE2" w:rsidRPr="00A7635B" w14:paraId="5BF5A0E4" w14:textId="77777777">
        <w:tc>
          <w:tcPr>
            <w:tcW w:w="1129" w:type="dxa"/>
          </w:tcPr>
          <w:p w14:paraId="1985E5F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0040</w:t>
            </w:r>
          </w:p>
        </w:tc>
        <w:tc>
          <w:tcPr>
            <w:tcW w:w="7620" w:type="dxa"/>
          </w:tcPr>
          <w:p w14:paraId="40D2EDC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Z toho: fixné výdavky, ktoré vznikli tretím stranám v mene investičných spoločností</w:t>
            </w:r>
          </w:p>
          <w:p w14:paraId="76F97B2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13 nariadenia (EÚ) 2019/2033</w:t>
            </w:r>
          </w:p>
        </w:tc>
      </w:tr>
      <w:tr w:rsidR="00EE0EE2" w:rsidRPr="00A7635B" w14:paraId="05F7456C" w14:textId="77777777">
        <w:tc>
          <w:tcPr>
            <w:tcW w:w="1129" w:type="dxa"/>
          </w:tcPr>
          <w:p w14:paraId="792A271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0050</w:t>
            </w:r>
          </w:p>
        </w:tc>
        <w:tc>
          <w:tcPr>
            <w:tcW w:w="7620" w:type="dxa"/>
          </w:tcPr>
          <w:p w14:paraId="612981A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(–) Celkové odpočty</w:t>
            </w:r>
          </w:p>
          <w:p w14:paraId="105FD2CA" w14:textId="77777777" w:rsidR="00EE0EE2" w:rsidRPr="00A7635B" w:rsidRDefault="00A7635B">
            <w:pPr>
              <w:pStyle w:val="NumPar1"/>
              <w:numPr>
                <w:ilvl w:val="0"/>
                <w:numId w:val="0"/>
              </w:numPr>
              <w:rPr>
                <w:sz w:val="22"/>
              </w:rPr>
            </w:pPr>
            <w:r w:rsidRPr="00A7635B">
              <w:rPr>
                <w:sz w:val="22"/>
              </w:rPr>
              <w:t xml:space="preserve">Okrem položiek na odpočet uvedených v článku 13 ods. 4 nariadenia (EÚ) 2019/2033 sa od </w:t>
            </w:r>
            <w:r w:rsidRPr="00A7635B">
              <w:rPr>
                <w:sz w:val="22"/>
              </w:rPr>
              <w:t>celkových výdavkov odpočítajú aj tieto položky, ak sú zahrnuté do celkových výdavkov v súlade s príslušným účtovným rámcom:</w:t>
            </w:r>
          </w:p>
          <w:p w14:paraId="4726512B" w14:textId="77777777" w:rsidR="00EE0EE2" w:rsidRPr="00A7635B" w:rsidRDefault="00A7635B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</w:pPr>
            <w:r w:rsidRPr="00A7635B">
              <w:t>a)</w:t>
            </w:r>
            <w:r w:rsidRPr="00A7635B">
              <w:tab/>
              <w:t xml:space="preserve">poplatky, maklérske odmeny a iné platby splatné centrálnym protistranám, burzám a iným obchodným miestam a sprostredkovateľom na </w:t>
            </w:r>
            <w:r w:rsidRPr="00A7635B">
              <w:t>účely vykonávania, registrácie alebo zúčtovania transakcií, len ak sú priamo prenesené na zákazníkov a účtované zákazníkom. Tieto položky nezahŕňajú poplatky a iné platby potrebné na zachovanie členstva alebo iné plnenie finančných záväzkov zdieľania strát</w:t>
            </w:r>
            <w:r w:rsidRPr="00A7635B">
              <w:t xml:space="preserve"> voči centrálnym protistranám, burzám a iným obchodným miestam;</w:t>
            </w:r>
          </w:p>
          <w:p w14:paraId="2404CAE5" w14:textId="77777777" w:rsidR="00EE0EE2" w:rsidRPr="00A7635B" w:rsidRDefault="00A7635B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A7635B">
              <w:rPr>
                <w:sz w:val="22"/>
              </w:rPr>
              <w:t>b)</w:t>
            </w:r>
            <w:r w:rsidRPr="00A7635B">
              <w:rPr>
                <w:sz w:val="22"/>
              </w:rPr>
              <w:tab/>
              <w:t>úroky platené zákazníkom z peňazí klienta, ak neexistuje žiadna povinnosť zaplatiť takéto úroky;</w:t>
            </w:r>
          </w:p>
          <w:p w14:paraId="66E878B9" w14:textId="77777777" w:rsidR="00EE0EE2" w:rsidRPr="00A7635B" w:rsidRDefault="00A7635B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A7635B">
              <w:rPr>
                <w:sz w:val="22"/>
              </w:rPr>
              <w:t>c)</w:t>
            </w:r>
            <w:r w:rsidRPr="00A7635B">
              <w:rPr>
                <w:sz w:val="22"/>
              </w:rPr>
              <w:tab/>
              <w:t>daňové výdavky, ak sú splatné vo vzťahu k ročným ziskom investičnej spoločnosti;</w:t>
            </w:r>
          </w:p>
          <w:p w14:paraId="7F6C409F" w14:textId="77777777" w:rsidR="00EE0EE2" w:rsidRPr="00A7635B" w:rsidRDefault="00A7635B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A7635B">
              <w:rPr>
                <w:sz w:val="22"/>
              </w:rPr>
              <w:lastRenderedPageBreak/>
              <w:t>d)</w:t>
            </w:r>
            <w:r w:rsidRPr="00A7635B">
              <w:rPr>
                <w:sz w:val="22"/>
              </w:rPr>
              <w:tab/>
              <w:t>strat</w:t>
            </w:r>
            <w:r w:rsidRPr="00A7635B">
              <w:rPr>
                <w:sz w:val="22"/>
              </w:rPr>
              <w:t>y z obchodovania s finančnými nástrojmi na vlastný účet;</w:t>
            </w:r>
          </w:p>
          <w:p w14:paraId="76F817C8" w14:textId="77777777" w:rsidR="00EE0EE2" w:rsidRPr="00A7635B" w:rsidRDefault="00A7635B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A7635B">
              <w:rPr>
                <w:sz w:val="22"/>
              </w:rPr>
              <w:t>e)</w:t>
            </w:r>
            <w:r w:rsidRPr="00A7635B">
              <w:rPr>
                <w:sz w:val="22"/>
              </w:rPr>
              <w:tab/>
              <w:t>platby súvisiace so zmluvnými dohodami o prevode ziskov a strát, podľa ktorých je investičná spoločnosť po zostavení svojej ročnej účtovnej závierky povinná previesť svoj ročný výsledok na matersk</w:t>
            </w:r>
            <w:r w:rsidRPr="00A7635B">
              <w:rPr>
                <w:sz w:val="22"/>
              </w:rPr>
              <w:t>ý podnik;</w:t>
            </w:r>
          </w:p>
          <w:p w14:paraId="26B555F5" w14:textId="77777777" w:rsidR="00EE0EE2" w:rsidRPr="00A7635B" w:rsidRDefault="00A7635B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color w:val="000000" w:themeColor="text1"/>
                <w:sz w:val="22"/>
              </w:rPr>
            </w:pPr>
            <w:r w:rsidRPr="00A7635B">
              <w:rPr>
                <w:color w:val="000000" w:themeColor="text1"/>
                <w:sz w:val="22"/>
              </w:rPr>
              <w:t>f)</w:t>
            </w:r>
            <w:r w:rsidRPr="00A7635B">
              <w:rPr>
                <w:color w:val="000000" w:themeColor="text1"/>
                <w:sz w:val="22"/>
              </w:rPr>
              <w:tab/>
              <w:t>platby do fondu pre všeobecné bankové riziká v súlade s článkom 26 ods. 1 písm. f) nariadenia (EÚ) č. 575/2013</w:t>
            </w:r>
            <w:r w:rsidRPr="00A7635B">
              <w:rPr>
                <w:sz w:val="22"/>
              </w:rPr>
              <w:t>;</w:t>
            </w:r>
          </w:p>
          <w:p w14:paraId="15AF6D0D" w14:textId="77777777" w:rsidR="00EE0EE2" w:rsidRPr="00A7635B" w:rsidRDefault="00A7635B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A7635B">
              <w:rPr>
                <w:rFonts w:eastAsia="Times New Roman"/>
                <w:bCs/>
                <w:color w:val="000000" w:themeColor="text1"/>
                <w:sz w:val="22"/>
              </w:rPr>
              <w:t>g)</w:t>
            </w:r>
            <w:r w:rsidRPr="00A7635B">
              <w:rPr>
                <w:rFonts w:eastAsia="Times New Roman"/>
                <w:bCs/>
                <w:color w:val="000000" w:themeColor="text1"/>
                <w:sz w:val="22"/>
              </w:rPr>
              <w:tab/>
            </w:r>
            <w:r w:rsidRPr="00A7635B">
              <w:rPr>
                <w:sz w:val="22"/>
              </w:rPr>
              <w:t>výdavky súvisiace s položkami, ktoré už boli odpočítané od vlastných zdrojov v súlade s článkom 36 ods. 1 nariadenia (EÚ) č. 575</w:t>
            </w:r>
            <w:r w:rsidRPr="00A7635B">
              <w:rPr>
                <w:sz w:val="22"/>
              </w:rPr>
              <w:t>/2013.</w:t>
            </w:r>
            <w:r w:rsidRPr="00A7635B">
              <w:rPr>
                <w:bCs/>
                <w:color w:val="000000" w:themeColor="text1"/>
                <w:sz w:val="22"/>
              </w:rPr>
              <w:t xml:space="preserve"> </w:t>
            </w:r>
          </w:p>
        </w:tc>
      </w:tr>
      <w:tr w:rsidR="00EE0EE2" w:rsidRPr="00A7635B" w14:paraId="419A7A69" w14:textId="77777777">
        <w:tc>
          <w:tcPr>
            <w:tcW w:w="1129" w:type="dxa"/>
          </w:tcPr>
          <w:p w14:paraId="7A2EEE7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0060</w:t>
            </w:r>
          </w:p>
        </w:tc>
        <w:tc>
          <w:tcPr>
            <w:tcW w:w="7620" w:type="dxa"/>
          </w:tcPr>
          <w:p w14:paraId="757F27D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(−) Zamestnanecké bonusy a iné odmeny</w:t>
            </w:r>
          </w:p>
          <w:p w14:paraId="2A28506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článok 13 ods. 4 písm. a) nariadenia (EÚ) 2019/2033</w:t>
            </w:r>
          </w:p>
          <w:p w14:paraId="67A24009" w14:textId="77777777" w:rsidR="00EE0EE2" w:rsidRPr="00A7635B" w:rsidRDefault="00A7635B">
            <w:pPr>
              <w:pStyle w:val="NumPar1"/>
              <w:numPr>
                <w:ilvl w:val="0"/>
                <w:numId w:val="0"/>
              </w:numPr>
              <w:rPr>
                <w:sz w:val="22"/>
              </w:rPr>
            </w:pPr>
            <w:r w:rsidRPr="00A7635B">
              <w:rPr>
                <w:sz w:val="22"/>
              </w:rPr>
              <w:t xml:space="preserve">Zamestnanecké bonusy a iné odmeny sa považujú za závislé od čistého zisku investičnej spoločnosti v príslušnom roku, ak sú splnené obe tieto </w:t>
            </w:r>
            <w:r w:rsidRPr="00A7635B">
              <w:rPr>
                <w:sz w:val="22"/>
              </w:rPr>
              <w:t>podmienky:</w:t>
            </w:r>
          </w:p>
          <w:p w14:paraId="567F7C53" w14:textId="77777777" w:rsidR="00EE0EE2" w:rsidRPr="00A7635B" w:rsidRDefault="00A7635B">
            <w:pPr>
              <w:pStyle w:val="Point1letter"/>
              <w:numPr>
                <w:ilvl w:val="0"/>
                <w:numId w:val="0"/>
              </w:numPr>
              <w:ind w:left="634" w:hanging="567"/>
              <w:rPr>
                <w:sz w:val="22"/>
              </w:rPr>
            </w:pPr>
            <w:r w:rsidRPr="00A7635B">
              <w:rPr>
                <w:sz w:val="22"/>
              </w:rPr>
              <w:t>h)</w:t>
            </w:r>
            <w:r w:rsidRPr="00A7635B">
              <w:rPr>
                <w:sz w:val="22"/>
              </w:rPr>
              <w:tab/>
              <w:t xml:space="preserve">zamestnanecké bonusy alebo iné odmeny, ktoré sa majú odpočítať, už boli zamestnancom vyplatené v roku predchádzajúcom roku platby, alebo vyplatenie zamestnaneckých bonusov alebo iných odmien zamestnancom nebude mať vplyv na </w:t>
            </w:r>
            <w:r w:rsidRPr="00A7635B">
              <w:rPr>
                <w:sz w:val="22"/>
              </w:rPr>
              <w:t>kapitálovú pozíciu spoločnosti v roku platby;</w:t>
            </w:r>
          </w:p>
          <w:p w14:paraId="73D15AEF" w14:textId="77777777" w:rsidR="00EE0EE2" w:rsidRPr="00A7635B" w:rsidRDefault="00A7635B">
            <w:pPr>
              <w:pStyle w:val="Point1letter"/>
              <w:numPr>
                <w:ilvl w:val="0"/>
                <w:numId w:val="0"/>
              </w:numPr>
              <w:ind w:left="634" w:hanging="56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A7635B">
              <w:rPr>
                <w:rFonts w:eastAsia="Times New Roman"/>
                <w:bCs/>
                <w:color w:val="000000" w:themeColor="text1"/>
                <w:sz w:val="22"/>
              </w:rPr>
              <w:t>i)</w:t>
            </w:r>
            <w:r w:rsidRPr="00A7635B">
              <w:rPr>
                <w:rFonts w:eastAsia="Times New Roman"/>
                <w:bCs/>
                <w:color w:val="000000" w:themeColor="text1"/>
                <w:sz w:val="22"/>
              </w:rPr>
              <w:tab/>
            </w:r>
            <w:r w:rsidRPr="00A7635B">
              <w:rPr>
                <w:sz w:val="22"/>
              </w:rPr>
              <w:t>pokiaľ ide o bežný rok a budúce roky, spoločnosť nie je povinná priznať alebo prideliť ďalšie bonusy ani iné platby vo forme odmeny, pokiaľ v danom roku nedosiahne čistý zisk.</w:t>
            </w:r>
          </w:p>
        </w:tc>
      </w:tr>
      <w:tr w:rsidR="00EE0EE2" w:rsidRPr="00A7635B" w14:paraId="6172583E" w14:textId="77777777">
        <w:tc>
          <w:tcPr>
            <w:tcW w:w="1129" w:type="dxa"/>
          </w:tcPr>
          <w:p w14:paraId="5E56E41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0070</w:t>
            </w:r>
          </w:p>
        </w:tc>
        <w:tc>
          <w:tcPr>
            <w:tcW w:w="7620" w:type="dxa"/>
          </w:tcPr>
          <w:p w14:paraId="467906F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(–) Podiely zamestnancov,</w:t>
            </w: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 riaditeľov a spoločníkov na čistých ziskoch</w:t>
            </w:r>
          </w:p>
          <w:p w14:paraId="2C0C3B6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článok 13 ods. 4 písm. b) nariadenia (EÚ) 2019/2033</w:t>
            </w:r>
          </w:p>
          <w:p w14:paraId="6C5058F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</w:rPr>
              <w:t>Podiely zamestnancov, riaditeľov a spoločníkov na zisku sa vypočítajú na základe čistých ziskov.</w:t>
            </w:r>
          </w:p>
        </w:tc>
      </w:tr>
      <w:tr w:rsidR="00EE0EE2" w:rsidRPr="00A7635B" w14:paraId="517EAC5D" w14:textId="77777777">
        <w:tc>
          <w:tcPr>
            <w:tcW w:w="1129" w:type="dxa"/>
          </w:tcPr>
          <w:p w14:paraId="7AB0323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0080</w:t>
            </w:r>
          </w:p>
        </w:tc>
        <w:tc>
          <w:tcPr>
            <w:tcW w:w="7620" w:type="dxa"/>
          </w:tcPr>
          <w:p w14:paraId="548447B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(−) Iné diskrečné platby ziskov a iné pohyblivé zložky o</w:t>
            </w: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dmeňovania</w:t>
            </w:r>
          </w:p>
          <w:p w14:paraId="71BF431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článok 13 ods. 4 písm. c) nariadenia (EÚ) 2019/2033</w:t>
            </w:r>
          </w:p>
        </w:tc>
      </w:tr>
      <w:tr w:rsidR="00EE0EE2" w:rsidRPr="00A7635B" w14:paraId="0BE997CE" w14:textId="77777777">
        <w:tc>
          <w:tcPr>
            <w:tcW w:w="1129" w:type="dxa"/>
          </w:tcPr>
          <w:p w14:paraId="03A75D4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0090</w:t>
            </w:r>
          </w:p>
        </w:tc>
        <w:tc>
          <w:tcPr>
            <w:tcW w:w="7620" w:type="dxa"/>
          </w:tcPr>
          <w:p w14:paraId="46B333E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(−) Spoločné provízie a poplatky, ktoré sa majú zaplatiť</w:t>
            </w:r>
          </w:p>
          <w:p w14:paraId="63DC0CF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článok 13 ods. 4 písm. d) nariadenia (EÚ) 2019/2033</w:t>
            </w:r>
          </w:p>
        </w:tc>
      </w:tr>
      <w:tr w:rsidR="00EE0EE2" w:rsidRPr="00A7635B" w14:paraId="5C7EB73B" w14:textId="77777777">
        <w:tc>
          <w:tcPr>
            <w:tcW w:w="1129" w:type="dxa"/>
          </w:tcPr>
          <w:p w14:paraId="1B715EE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0100</w:t>
            </w:r>
          </w:p>
        </w:tc>
        <w:tc>
          <w:tcPr>
            <w:tcW w:w="7620" w:type="dxa"/>
          </w:tcPr>
          <w:p w14:paraId="6753809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(−) Poplatky, maklérske odmeny a iné platby splatné centrálnym </w:t>
            </w: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protistranám, ktoré sa účtujú zákazníkom</w:t>
            </w:r>
          </w:p>
          <w:p w14:paraId="097805AF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</w:rPr>
              <w:t>Poplatky, maklérske odmeny a iné platby splatné centrálnym protistranám, burzám a iným obchodným miestam a sprostredkovateľom na účely vykonávania, registrácie alebo zúčtovania transakcií, len ak sú priamo prenesené</w:t>
            </w:r>
            <w:r w:rsidRPr="00A7635B">
              <w:rPr>
                <w:rFonts w:ascii="Times New Roman" w:hAnsi="Times New Roman" w:cs="Times New Roman"/>
              </w:rPr>
              <w:t xml:space="preserve"> na zákazníkov a účtované zákazníkom. Tieto položky nezahŕňajú poplatky a iné platby potrebné na zachovanie členstva alebo iné plnenie finančných záväzkov zdieľania strát voči centrálnym protistranám, burzám a iným obchodným miestam.</w:t>
            </w: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</w:tc>
      </w:tr>
      <w:tr w:rsidR="00EE0EE2" w:rsidRPr="00A7635B" w14:paraId="473823BB" w14:textId="77777777">
        <w:tc>
          <w:tcPr>
            <w:tcW w:w="1129" w:type="dxa"/>
          </w:tcPr>
          <w:p w14:paraId="0448362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0110</w:t>
            </w:r>
          </w:p>
        </w:tc>
        <w:tc>
          <w:tcPr>
            <w:tcW w:w="7620" w:type="dxa"/>
          </w:tcPr>
          <w:p w14:paraId="6152BA0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(–) Poplatky pr</w:t>
            </w: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e viazaných sprostredkovateľov</w:t>
            </w:r>
          </w:p>
          <w:p w14:paraId="3DB7976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13 ods. 4 písm. e) nariadenia (EÚ) 2019/2033</w:t>
            </w:r>
          </w:p>
        </w:tc>
      </w:tr>
      <w:tr w:rsidR="00EE0EE2" w:rsidRPr="00A7635B" w14:paraId="069A9300" w14:textId="77777777">
        <w:tc>
          <w:tcPr>
            <w:tcW w:w="1129" w:type="dxa"/>
          </w:tcPr>
          <w:p w14:paraId="4FBFAA8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0130</w:t>
            </w:r>
          </w:p>
        </w:tc>
        <w:tc>
          <w:tcPr>
            <w:tcW w:w="7620" w:type="dxa"/>
          </w:tcPr>
          <w:p w14:paraId="06FED97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(–) Jednorazové výdavky z iných ako bežných činností</w:t>
            </w:r>
          </w:p>
          <w:p w14:paraId="79E94F7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článok 13 ods. 4 písm. f) nariadenia (EÚ) 2019/2033</w:t>
            </w:r>
          </w:p>
        </w:tc>
      </w:tr>
      <w:tr w:rsidR="00EE0EE2" w:rsidRPr="00A7635B" w14:paraId="1DEF755C" w14:textId="77777777">
        <w:tc>
          <w:tcPr>
            <w:tcW w:w="1129" w:type="dxa"/>
          </w:tcPr>
          <w:p w14:paraId="730629C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0140</w:t>
            </w:r>
          </w:p>
          <w:p w14:paraId="4E7CF19C" w14:textId="77777777" w:rsidR="00EE0EE2" w:rsidRPr="00A7635B" w:rsidRDefault="00EE0EE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de-DE"/>
              </w:rPr>
            </w:pPr>
          </w:p>
        </w:tc>
        <w:tc>
          <w:tcPr>
            <w:tcW w:w="7620" w:type="dxa"/>
          </w:tcPr>
          <w:p w14:paraId="2A4DCA8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(–) Daňové výdavky</w:t>
            </w:r>
          </w:p>
          <w:p w14:paraId="055EB918" w14:textId="77777777" w:rsidR="00EE0EE2" w:rsidRPr="00A7635B" w:rsidRDefault="00A7635B">
            <w:pPr>
              <w:pStyle w:val="Point1letter"/>
              <w:numPr>
                <w:ilvl w:val="0"/>
                <w:numId w:val="0"/>
              </w:numPr>
              <w:rPr>
                <w:rFonts w:eastAsia="Times New Roman"/>
                <w:color w:val="000000" w:themeColor="text1"/>
                <w:sz w:val="22"/>
              </w:rPr>
            </w:pPr>
            <w:r w:rsidRPr="00A7635B">
              <w:rPr>
                <w:sz w:val="22"/>
              </w:rPr>
              <w:t xml:space="preserve">Daňové výdavky, ak sú splatné vo </w:t>
            </w:r>
            <w:r w:rsidRPr="00A7635B">
              <w:rPr>
                <w:sz w:val="22"/>
              </w:rPr>
              <w:t>vzťahu k ročným ziskom investičnej spoločnosti</w:t>
            </w:r>
          </w:p>
        </w:tc>
      </w:tr>
      <w:tr w:rsidR="00EE0EE2" w:rsidRPr="00A7635B" w14:paraId="45D2FA5E" w14:textId="77777777">
        <w:tc>
          <w:tcPr>
            <w:tcW w:w="1129" w:type="dxa"/>
          </w:tcPr>
          <w:p w14:paraId="0676014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0150</w:t>
            </w:r>
          </w:p>
        </w:tc>
        <w:tc>
          <w:tcPr>
            <w:tcW w:w="7620" w:type="dxa"/>
          </w:tcPr>
          <w:p w14:paraId="781B8C6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(–) Straty z obchodovania s finančnými nástrojmi na vlastný účet</w:t>
            </w:r>
          </w:p>
          <w:p w14:paraId="53E6518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Vysvetlenie nie je potrebné.</w:t>
            </w:r>
          </w:p>
        </w:tc>
      </w:tr>
      <w:tr w:rsidR="00EE0EE2" w:rsidRPr="00A7635B" w14:paraId="52FB0F8D" w14:textId="77777777">
        <w:tc>
          <w:tcPr>
            <w:tcW w:w="1129" w:type="dxa"/>
          </w:tcPr>
          <w:p w14:paraId="49DBBCD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0160</w:t>
            </w:r>
          </w:p>
        </w:tc>
        <w:tc>
          <w:tcPr>
            <w:tcW w:w="7620" w:type="dxa"/>
          </w:tcPr>
          <w:p w14:paraId="0DE7818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(–) Zmluvné dohody o prevode ziskov a strát</w:t>
            </w:r>
          </w:p>
          <w:p w14:paraId="05601B1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</w:rPr>
              <w:t xml:space="preserve">Platby súvisiace so zmluvnými dohodami o prevode </w:t>
            </w:r>
            <w:r w:rsidRPr="00A7635B">
              <w:rPr>
                <w:rFonts w:ascii="Times New Roman" w:hAnsi="Times New Roman" w:cs="Times New Roman"/>
              </w:rPr>
              <w:t>ziskov a strát, podľa ktorých je investičná spoločnosť po zostavení svojej ročnej účtovnej závierky povinná previesť svoj ročný výsledok na materský podnik.</w:t>
            </w:r>
          </w:p>
        </w:tc>
      </w:tr>
      <w:tr w:rsidR="00EE0EE2" w:rsidRPr="00A7635B" w14:paraId="021A8E78" w14:textId="77777777">
        <w:tc>
          <w:tcPr>
            <w:tcW w:w="1129" w:type="dxa"/>
          </w:tcPr>
          <w:p w14:paraId="04906CC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0170</w:t>
            </w:r>
          </w:p>
        </w:tc>
        <w:tc>
          <w:tcPr>
            <w:tcW w:w="7620" w:type="dxa"/>
          </w:tcPr>
          <w:p w14:paraId="33AA4FAF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(–) Výdavky na suroviny</w:t>
            </w:r>
          </w:p>
          <w:p w14:paraId="27BFBF4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bookmarkStart w:id="32" w:name="_Toc38271703"/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Obchodníci s komoditami a emisnými kvótami môžu odpočítať výdavky na </w:t>
            </w: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suroviny súvisiace s investičnou spoločnosťou obchodujúcou s derivátmi podkladovej komodity.</w:t>
            </w:r>
            <w:bookmarkEnd w:id="32"/>
          </w:p>
        </w:tc>
      </w:tr>
      <w:tr w:rsidR="00EE0EE2" w:rsidRPr="00A7635B" w14:paraId="6B282152" w14:textId="77777777">
        <w:tc>
          <w:tcPr>
            <w:tcW w:w="1129" w:type="dxa"/>
          </w:tcPr>
          <w:p w14:paraId="4FD84C7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0180</w:t>
            </w:r>
          </w:p>
        </w:tc>
        <w:tc>
          <w:tcPr>
            <w:tcW w:w="7620" w:type="dxa"/>
          </w:tcPr>
          <w:p w14:paraId="37FB286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(−) Platby do fondu pre všeobecné bankové riziká</w:t>
            </w:r>
          </w:p>
          <w:p w14:paraId="394A1C3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Platby do fondu pre všeobecné bankové riziká v súlade s článkom 26 ods. 1 písm. f) nariadenia (EÚ) č. 575/20</w:t>
            </w:r>
            <w:r w:rsidRPr="00A7635B">
              <w:rPr>
                <w:rFonts w:ascii="Times New Roman" w:hAnsi="Times New Roman" w:cs="Times New Roman"/>
                <w:bCs/>
              </w:rPr>
              <w:t>13</w:t>
            </w:r>
          </w:p>
        </w:tc>
      </w:tr>
      <w:tr w:rsidR="00EE0EE2" w:rsidRPr="00A7635B" w14:paraId="56F9CB4F" w14:textId="77777777">
        <w:tc>
          <w:tcPr>
            <w:tcW w:w="1129" w:type="dxa"/>
          </w:tcPr>
          <w:p w14:paraId="7D93365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0190</w:t>
            </w:r>
          </w:p>
        </w:tc>
        <w:tc>
          <w:tcPr>
            <w:tcW w:w="7620" w:type="dxa"/>
          </w:tcPr>
          <w:p w14:paraId="13992CB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(–) Výdavky súvisiace s položkami, ktoré už boli odpočítané od vlastných zdrojov</w:t>
            </w:r>
          </w:p>
          <w:p w14:paraId="7655DC85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Výdavky súvisiace s položkami, ktoré už boli odpočítané od vlastných zdrojov v súlade s článkom 36 ods. 1 nariadenia (EÚ) č. 575/2013</w:t>
            </w:r>
          </w:p>
        </w:tc>
      </w:tr>
      <w:tr w:rsidR="00EE0EE2" w:rsidRPr="00A7635B" w14:paraId="72D0705F" w14:textId="77777777">
        <w:tc>
          <w:tcPr>
            <w:tcW w:w="1129" w:type="dxa"/>
          </w:tcPr>
          <w:p w14:paraId="47F96C3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0200</w:t>
            </w:r>
          </w:p>
        </w:tc>
        <w:tc>
          <w:tcPr>
            <w:tcW w:w="7620" w:type="dxa"/>
          </w:tcPr>
          <w:p w14:paraId="46BA587F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Plánované fixné </w:t>
            </w: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režijné náklady za bežný rok</w:t>
            </w:r>
          </w:p>
          <w:p w14:paraId="75E1CF0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Prognóza fixných režijných nákladov za bežný rok po rozdelení ziskov</w:t>
            </w:r>
          </w:p>
        </w:tc>
      </w:tr>
      <w:tr w:rsidR="00EE0EE2" w:rsidRPr="00A7635B" w14:paraId="78552B4F" w14:textId="77777777">
        <w:tc>
          <w:tcPr>
            <w:tcW w:w="1129" w:type="dxa"/>
          </w:tcPr>
          <w:p w14:paraId="4173E02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0210</w:t>
            </w:r>
          </w:p>
        </w:tc>
        <w:tc>
          <w:tcPr>
            <w:tcW w:w="7620" w:type="dxa"/>
          </w:tcPr>
          <w:p w14:paraId="156A0FF5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Zmena fixných režijných nákladov (%)</w:t>
            </w:r>
          </w:p>
          <w:p w14:paraId="20F2E5C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Suma sa vykazuje ako absolútna hodnota:</w:t>
            </w:r>
          </w:p>
          <w:p w14:paraId="21669B0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[(Ročné fixné režijné náklady za bežný rok) – (Plánované fixné </w:t>
            </w:r>
            <w:r w:rsidRPr="00A7635B">
              <w:rPr>
                <w:rFonts w:ascii="Times New Roman" w:hAnsi="Times New Roman" w:cs="Times New Roman"/>
                <w:bCs/>
                <w:color w:val="000000" w:themeColor="text1"/>
              </w:rPr>
              <w:t>režijné náklady za predchádzajúci rok)/(Ročné fixné režijné náklady za predchádzajúci rok)]</w:t>
            </w:r>
          </w:p>
        </w:tc>
      </w:tr>
    </w:tbl>
    <w:p w14:paraId="766B6D82" w14:textId="77777777" w:rsidR="00EE0EE2" w:rsidRPr="00A7635B" w:rsidRDefault="00EE0EE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1254FF27" w14:textId="77777777" w:rsidR="00EE0EE2" w:rsidRPr="00A7635B" w:rsidRDefault="00A7635B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33" w:name="_Toc87610930"/>
      <w:r w:rsidRPr="00A7635B">
        <w:rPr>
          <w:rFonts w:ascii="Times New Roman" w:hAnsi="Times New Roman" w:cs="Times New Roman"/>
          <w:sz w:val="24"/>
          <w:u w:val="none"/>
        </w:rPr>
        <w:t>2. MALÉ A NEPREPOJENÉ INVESTIČNÉ SPOLOČNOSTI</w:t>
      </w:r>
      <w:bookmarkEnd w:id="33"/>
    </w:p>
    <w:p w14:paraId="61CD366F" w14:textId="77777777" w:rsidR="00EE0EE2" w:rsidRPr="00A7635B" w:rsidRDefault="00A7635B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hAnsi="Times New Roman" w:cs="Times New Roman"/>
          <w:sz w:val="24"/>
          <w:szCs w:val="24"/>
          <w:u w:val="single"/>
        </w:rPr>
      </w:pPr>
      <w:bookmarkStart w:id="34" w:name="_Toc473560875"/>
      <w:bookmarkStart w:id="35" w:name="_Toc7084160"/>
      <w:bookmarkStart w:id="36" w:name="_Toc87610931"/>
      <w:bookmarkStart w:id="37" w:name="_Toc308175823"/>
      <w:bookmarkStart w:id="38" w:name="_Toc360188327"/>
      <w:r w:rsidRPr="00A7635B">
        <w:rPr>
          <w:rFonts w:ascii="Times New Roman" w:hAnsi="Times New Roman" w:cs="Times New Roman"/>
          <w:sz w:val="24"/>
          <w:szCs w:val="24"/>
        </w:rPr>
        <w:t>2.1.</w:t>
      </w:r>
      <w:r w:rsidRPr="00A7635B">
        <w:rPr>
          <w:rFonts w:ascii="Times New Roman" w:hAnsi="Times New Roman" w:cs="Times New Roman"/>
        </w:rPr>
        <w:tab/>
      </w:r>
      <w:r w:rsidRPr="00A7635B"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A7635B">
        <w:rPr>
          <w:rFonts w:ascii="Times New Roman" w:hAnsi="Times New Roman" w:cs="Times New Roman"/>
        </w:rPr>
        <w:t> </w:t>
      </w:r>
      <w:r w:rsidRPr="00A7635B">
        <w:rPr>
          <w:rFonts w:ascii="Times New Roman" w:hAnsi="Times New Roman" w:cs="Times New Roman"/>
          <w:sz w:val="24"/>
          <w:szCs w:val="24"/>
          <w:u w:val="single"/>
        </w:rPr>
        <w:t>05.00</w:t>
      </w:r>
      <w:r w:rsidRPr="00A7635B">
        <w:rPr>
          <w:rFonts w:ascii="Times New Roman" w:hAnsi="Times New Roman" w:cs="Times New Roman"/>
          <w:sz w:val="24"/>
          <w:szCs w:val="24"/>
          <w:u w:val="single"/>
        </w:rPr>
        <w:t xml:space="preserve"> – ÚROVEŇ ČINNOSTI – PRESKÚMANIE PRAHOVÝCH HODNÔT (I 5)</w:t>
      </w:r>
      <w:bookmarkEnd w:id="34"/>
      <w:bookmarkEnd w:id="35"/>
      <w:bookmarkEnd w:id="36"/>
      <w:bookmarkEnd w:id="37"/>
      <w:bookmarkEnd w:id="38"/>
    </w:p>
    <w:p w14:paraId="18AE342B" w14:textId="77777777" w:rsidR="00EE0EE2" w:rsidRPr="00A7635B" w:rsidRDefault="00A7635B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9" w:name="_Toc310414970"/>
      <w:bookmarkStart w:id="40" w:name="_Toc360188328"/>
      <w:bookmarkStart w:id="41" w:name="_Toc473560876"/>
      <w:bookmarkStart w:id="42" w:name="_Toc7084161"/>
      <w:bookmarkStart w:id="43" w:name="_Toc87610932"/>
      <w:r w:rsidRPr="00A7635B">
        <w:rPr>
          <w:rFonts w:ascii="Times New Roman" w:hAnsi="Times New Roman" w:cs="Times New Roman"/>
          <w:sz w:val="24"/>
          <w:szCs w:val="24"/>
        </w:rPr>
        <w:t>2.1.1.</w:t>
      </w:r>
      <w:r w:rsidRPr="00A7635B">
        <w:rPr>
          <w:rFonts w:ascii="Times New Roman" w:hAnsi="Times New Roman" w:cs="Times New Roman"/>
        </w:rPr>
        <w:tab/>
      </w:r>
      <w:bookmarkStart w:id="44" w:name="_Toc308175824"/>
      <w:r w:rsidRPr="00A7635B">
        <w:rPr>
          <w:rFonts w:ascii="Times New Roman" w:hAnsi="Times New Roman" w:cs="Times New Roman"/>
          <w:sz w:val="24"/>
          <w:szCs w:val="24"/>
          <w:u w:val="single"/>
        </w:rPr>
        <w:t xml:space="preserve">Pokyny týkajúce sa konkrétnych </w:t>
      </w:r>
      <w:bookmarkEnd w:id="44"/>
      <w:bookmarkEnd w:id="39"/>
      <w:r w:rsidRPr="00A7635B">
        <w:rPr>
          <w:rFonts w:ascii="Times New Roman" w:hAnsi="Times New Roman" w:cs="Times New Roman"/>
          <w:sz w:val="24"/>
          <w:szCs w:val="24"/>
          <w:u w:val="single"/>
        </w:rPr>
        <w:t>pozícií</w:t>
      </w:r>
      <w:bookmarkEnd w:id="40"/>
      <w:bookmarkEnd w:id="41"/>
      <w:bookmarkEnd w:id="42"/>
      <w:bookmarkEnd w:id="43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EE0EE2" w:rsidRPr="00A7635B" w14:paraId="571344C8" w14:textId="77777777">
        <w:tc>
          <w:tcPr>
            <w:tcW w:w="1129" w:type="dxa"/>
            <w:shd w:val="clear" w:color="auto" w:fill="D9D9D9"/>
          </w:tcPr>
          <w:p w14:paraId="6E14020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109FA1E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</w:rPr>
              <w:t>Právne predpisy a pokyny</w:t>
            </w:r>
          </w:p>
        </w:tc>
      </w:tr>
      <w:tr w:rsidR="00EE0EE2" w:rsidRPr="00A7635B" w14:paraId="5EB1F315" w14:textId="77777777">
        <w:tc>
          <w:tcPr>
            <w:tcW w:w="1129" w:type="dxa"/>
          </w:tcPr>
          <w:p w14:paraId="19427E08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0010</w:t>
            </w:r>
          </w:p>
        </w:tc>
        <w:tc>
          <w:tcPr>
            <w:tcW w:w="7620" w:type="dxa"/>
          </w:tcPr>
          <w:p w14:paraId="26E9B66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Spravované (kombinované) aktíva</w:t>
            </w:r>
          </w:p>
          <w:p w14:paraId="6F082BF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12 ods. 1 písm. a) nariadenia (EÚ) 2019/2033</w:t>
            </w:r>
          </w:p>
          <w:p w14:paraId="278AAD2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 xml:space="preserve">Ak je vykazujúca </w:t>
            </w:r>
            <w:r w:rsidRPr="00A7635B">
              <w:rPr>
                <w:rFonts w:ascii="Times New Roman" w:hAnsi="Times New Roman" w:cs="Times New Roman"/>
                <w:bCs/>
              </w:rPr>
              <w:t>investičná spoločnosť súčasťou skupiny, vykazovaná hodnota sa určuje na spoločnom základe pre všetky investičné spoločnosti, ktoré sú súčasťou skupiny, podľa článku 12 ods. 2 nariadenia (EÚ) 2019/2033.</w:t>
            </w:r>
          </w:p>
          <w:p w14:paraId="0E2224C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Investičné spoločnosti zahŕňajú diskrečné a nediskrečn</w:t>
            </w:r>
            <w:r w:rsidRPr="00A7635B">
              <w:rPr>
                <w:rFonts w:ascii="Times New Roman" w:hAnsi="Times New Roman" w:cs="Times New Roman"/>
                <w:bCs/>
              </w:rPr>
              <w:t>é spravované aktíva.</w:t>
            </w:r>
          </w:p>
          <w:p w14:paraId="4EE91405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Vykazovaná suma je suma, ktorá by sa použila na výpočet K-faktorov pred uplatnením príslušných koeficientov.</w:t>
            </w:r>
          </w:p>
        </w:tc>
      </w:tr>
      <w:tr w:rsidR="00EE0EE2" w:rsidRPr="00A7635B" w14:paraId="7C0D2A07" w14:textId="77777777">
        <w:tc>
          <w:tcPr>
            <w:tcW w:w="1129" w:type="dxa"/>
          </w:tcPr>
          <w:p w14:paraId="6BC762B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0020</w:t>
            </w:r>
          </w:p>
        </w:tc>
        <w:tc>
          <w:tcPr>
            <w:tcW w:w="7620" w:type="dxa"/>
          </w:tcPr>
          <w:p w14:paraId="5B22EA8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(Kombinované) vykonané pokyny klienta – obchody v hotovosti</w:t>
            </w:r>
          </w:p>
          <w:p w14:paraId="658B69F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12 ods. 1 písm. b) bod i) nariadenia (EÚ) 2019/2033</w:t>
            </w:r>
          </w:p>
          <w:p w14:paraId="306C584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lastRenderedPageBreak/>
              <w:t>Ak je vykazujúca investičná spoločnosť súčasťou skupiny, vykazovaná hodnota sa určuje na spoločnom základe pre všetky investičné spoločnosti, ktoré sú súčasťou skupiny, podľa článku 12 ods. 2 nariadenia (EÚ) 2019/2033.</w:t>
            </w:r>
          </w:p>
          <w:p w14:paraId="4782B2A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 xml:space="preserve">Vykazovaná suma je suma, ktorá by sa </w:t>
            </w:r>
            <w:r w:rsidRPr="00A7635B">
              <w:rPr>
                <w:rFonts w:ascii="Times New Roman" w:hAnsi="Times New Roman" w:cs="Times New Roman"/>
                <w:bCs/>
              </w:rPr>
              <w:t>použila na výpočet K-faktorov pred uplatnením príslušných koeficientov.</w:t>
            </w:r>
          </w:p>
        </w:tc>
      </w:tr>
      <w:tr w:rsidR="00EE0EE2" w:rsidRPr="00A7635B" w14:paraId="01DFE2EF" w14:textId="77777777">
        <w:tc>
          <w:tcPr>
            <w:tcW w:w="1129" w:type="dxa"/>
          </w:tcPr>
          <w:p w14:paraId="20123B9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lastRenderedPageBreak/>
              <w:t>0030</w:t>
            </w:r>
          </w:p>
        </w:tc>
        <w:tc>
          <w:tcPr>
            <w:tcW w:w="7620" w:type="dxa"/>
          </w:tcPr>
          <w:p w14:paraId="7683E83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(Kombinované) vykonané pokyny klienta – deriváty</w:t>
            </w:r>
          </w:p>
          <w:p w14:paraId="3D715FB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12 ods. 1 písm. b) bod i) nariadenia (EÚ) 2019/2033</w:t>
            </w:r>
          </w:p>
          <w:p w14:paraId="4171337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Ak je vykazujúca investičná spoločnosť súčasťou skupiny, vykazovaná ho</w:t>
            </w:r>
            <w:r w:rsidRPr="00A7635B">
              <w:rPr>
                <w:rFonts w:ascii="Times New Roman" w:hAnsi="Times New Roman" w:cs="Times New Roman"/>
                <w:bCs/>
              </w:rPr>
              <w:t>dnota sa určuje na spoločnom základe pre všetky investičné spoločnosti, ktoré sú súčasťou skupiny, podľa článku 12 ods. 2 nariadenia (EÚ) 2019/2033.</w:t>
            </w:r>
          </w:p>
          <w:p w14:paraId="2ED0231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 xml:space="preserve">Vykazovaná suma je suma, ktorá by sa použila na výpočet K-faktorov pred uplatnením príslušných </w:t>
            </w:r>
            <w:r w:rsidRPr="00A7635B">
              <w:rPr>
                <w:rFonts w:ascii="Times New Roman" w:hAnsi="Times New Roman" w:cs="Times New Roman"/>
                <w:bCs/>
              </w:rPr>
              <w:t>koeficientov.</w:t>
            </w:r>
          </w:p>
        </w:tc>
      </w:tr>
      <w:tr w:rsidR="00EE0EE2" w:rsidRPr="00A7635B" w14:paraId="6697941B" w14:textId="77777777">
        <w:tc>
          <w:tcPr>
            <w:tcW w:w="1129" w:type="dxa"/>
          </w:tcPr>
          <w:p w14:paraId="0511A4A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0040</w:t>
            </w:r>
          </w:p>
        </w:tc>
        <w:tc>
          <w:tcPr>
            <w:tcW w:w="7620" w:type="dxa"/>
          </w:tcPr>
          <w:p w14:paraId="10E716A8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Aktíva v úschove a správe</w:t>
            </w:r>
          </w:p>
          <w:p w14:paraId="0C5CF00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12 ods. 1 písm. c) nariadenia (EÚ) 2019/2033</w:t>
            </w:r>
          </w:p>
          <w:p w14:paraId="647138A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Vykazovaná suma je suma, ktorá by sa použila na výpočet K-faktorov pred uplatnením príslušných koeficientov.</w:t>
            </w:r>
          </w:p>
        </w:tc>
      </w:tr>
      <w:tr w:rsidR="00EE0EE2" w:rsidRPr="00A7635B" w14:paraId="083CD2E0" w14:textId="77777777">
        <w:tc>
          <w:tcPr>
            <w:tcW w:w="1129" w:type="dxa"/>
          </w:tcPr>
          <w:p w14:paraId="6019B6C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0050</w:t>
            </w:r>
          </w:p>
        </w:tc>
        <w:tc>
          <w:tcPr>
            <w:tcW w:w="7620" w:type="dxa"/>
          </w:tcPr>
          <w:p w14:paraId="55852058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Peniaze klienta v držbe</w:t>
            </w:r>
          </w:p>
          <w:p w14:paraId="6F36B11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12 ods. 1 pí</w:t>
            </w:r>
            <w:r w:rsidRPr="00A7635B">
              <w:rPr>
                <w:rFonts w:ascii="Times New Roman" w:hAnsi="Times New Roman" w:cs="Times New Roman"/>
                <w:bCs/>
              </w:rPr>
              <w:t>sm. d) nariadenia (EÚ) 2019/2033</w:t>
            </w:r>
          </w:p>
          <w:p w14:paraId="20340F5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Vykazovaná suma je suma, ktorá by sa použila na výpočet K-faktorov pred uplatnením príslušných koeficientov.</w:t>
            </w:r>
          </w:p>
        </w:tc>
      </w:tr>
      <w:tr w:rsidR="00EE0EE2" w:rsidRPr="00A7635B" w14:paraId="1FA9C4D6" w14:textId="77777777">
        <w:tc>
          <w:tcPr>
            <w:tcW w:w="1129" w:type="dxa"/>
          </w:tcPr>
          <w:p w14:paraId="2072882F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0060</w:t>
            </w:r>
          </w:p>
        </w:tc>
        <w:tc>
          <w:tcPr>
            <w:tcW w:w="7620" w:type="dxa"/>
          </w:tcPr>
          <w:p w14:paraId="64DF3E6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Denný obchodný tok – obchody v hotovosti a obchody s derivátmi</w:t>
            </w:r>
          </w:p>
          <w:p w14:paraId="6368D7C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 xml:space="preserve">článok 12 ods. 1 písm. e) </w:t>
            </w:r>
            <w:r w:rsidRPr="00A7635B">
              <w:rPr>
                <w:rFonts w:ascii="Times New Roman" w:hAnsi="Times New Roman" w:cs="Times New Roman"/>
                <w:bCs/>
              </w:rPr>
              <w:t>nariadenia (EÚ) 2019/2033</w:t>
            </w:r>
          </w:p>
          <w:p w14:paraId="482A73D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Vykazovaná suma je suma, ktorá by sa použila na výpočet K-faktorov pred uplatnením príslušných koeficientov.</w:t>
            </w:r>
          </w:p>
        </w:tc>
      </w:tr>
      <w:tr w:rsidR="00EE0EE2" w:rsidRPr="00A7635B" w14:paraId="64536ECF" w14:textId="77777777">
        <w:tc>
          <w:tcPr>
            <w:tcW w:w="1129" w:type="dxa"/>
          </w:tcPr>
          <w:p w14:paraId="4EF10A2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0070</w:t>
            </w:r>
          </w:p>
        </w:tc>
        <w:tc>
          <w:tcPr>
            <w:tcW w:w="7620" w:type="dxa"/>
          </w:tcPr>
          <w:p w14:paraId="101F4DC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Riziko čistej pozície</w:t>
            </w:r>
          </w:p>
          <w:p w14:paraId="1BF80D2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12 ods. 1 písm. f) nariadenia (EÚ) 2019/2033</w:t>
            </w:r>
          </w:p>
          <w:p w14:paraId="161CA78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Vykazovaná suma je suma, ktorá by sa použ</w:t>
            </w:r>
            <w:r w:rsidRPr="00A7635B">
              <w:rPr>
                <w:rFonts w:ascii="Times New Roman" w:hAnsi="Times New Roman" w:cs="Times New Roman"/>
                <w:bCs/>
              </w:rPr>
              <w:t>ila na výpočet K-faktorov pred uplatnením príslušných koeficientov.</w:t>
            </w:r>
          </w:p>
        </w:tc>
      </w:tr>
      <w:tr w:rsidR="00EE0EE2" w:rsidRPr="00A7635B" w14:paraId="7B7D1238" w14:textId="77777777">
        <w:tc>
          <w:tcPr>
            <w:tcW w:w="1129" w:type="dxa"/>
          </w:tcPr>
          <w:p w14:paraId="6FCEDEB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0080</w:t>
            </w:r>
          </w:p>
        </w:tc>
        <w:tc>
          <w:tcPr>
            <w:tcW w:w="7620" w:type="dxa"/>
          </w:tcPr>
          <w:p w14:paraId="6E42819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Poskytnutá zúčtovacia marža</w:t>
            </w:r>
          </w:p>
          <w:p w14:paraId="08738FB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12 ods. 1 písm. f) nariadenia (EÚ) 2019/2033</w:t>
            </w:r>
          </w:p>
          <w:p w14:paraId="545C7EE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Vykazovaná suma je suma, ktorá by sa použila na výpočet K-faktorov pred uplatnením príslušných koefici</w:t>
            </w:r>
            <w:r w:rsidRPr="00A7635B">
              <w:rPr>
                <w:rFonts w:ascii="Times New Roman" w:hAnsi="Times New Roman" w:cs="Times New Roman"/>
                <w:bCs/>
              </w:rPr>
              <w:t>entov.</w:t>
            </w:r>
          </w:p>
        </w:tc>
      </w:tr>
      <w:tr w:rsidR="00EE0EE2" w:rsidRPr="00A7635B" w14:paraId="18BB112B" w14:textId="77777777">
        <w:tc>
          <w:tcPr>
            <w:tcW w:w="1129" w:type="dxa"/>
          </w:tcPr>
          <w:p w14:paraId="0830F84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0090</w:t>
            </w:r>
          </w:p>
        </w:tc>
        <w:tc>
          <w:tcPr>
            <w:tcW w:w="7620" w:type="dxa"/>
          </w:tcPr>
          <w:p w14:paraId="59B1F1C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Zlyhanie obchodnej protistrany</w:t>
            </w:r>
          </w:p>
          <w:p w14:paraId="1A95DA75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12 ods. 1 písm. g) nariadenia (EÚ) 2019/2033</w:t>
            </w:r>
          </w:p>
          <w:p w14:paraId="01EA689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Vykazovaná suma je suma, ktorá by sa použila na výpočet K-faktorov pred uplatnením príslušných koeficientov.</w:t>
            </w:r>
          </w:p>
        </w:tc>
      </w:tr>
      <w:tr w:rsidR="00EE0EE2" w:rsidRPr="00A7635B" w14:paraId="5328EFE3" w14:textId="77777777">
        <w:tc>
          <w:tcPr>
            <w:tcW w:w="1129" w:type="dxa"/>
          </w:tcPr>
          <w:p w14:paraId="5B8E6DD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0100</w:t>
            </w:r>
          </w:p>
        </w:tc>
        <w:tc>
          <w:tcPr>
            <w:tcW w:w="7620" w:type="dxa"/>
          </w:tcPr>
          <w:p w14:paraId="021801E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 xml:space="preserve">(Kombinovaná) celková súvaha </w:t>
            </w: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a podsúvaha</w:t>
            </w:r>
          </w:p>
          <w:p w14:paraId="6E0DFB58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12 ods. 1 písm. h) nariadenia (EÚ) 2019/2033</w:t>
            </w:r>
          </w:p>
          <w:p w14:paraId="2970458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 xml:space="preserve">Ak je vykazujúca investičná spoločnosť súčasťou skupiny, vykazovaná hodnota sa určuje na spoločnom základe pre všetky investičné spoločnosti, ktoré sú súčasťou skupiny, podľa článku 12 ods. 2 </w:t>
            </w:r>
            <w:r w:rsidRPr="00A7635B">
              <w:rPr>
                <w:rFonts w:ascii="Times New Roman" w:hAnsi="Times New Roman" w:cs="Times New Roman"/>
                <w:bCs/>
              </w:rPr>
              <w:t>nariadenia (EÚ) 2019/2033.</w:t>
            </w:r>
          </w:p>
        </w:tc>
      </w:tr>
      <w:tr w:rsidR="00EE0EE2" w:rsidRPr="00A7635B" w14:paraId="6277FBBB" w14:textId="77777777">
        <w:tc>
          <w:tcPr>
            <w:tcW w:w="1129" w:type="dxa"/>
          </w:tcPr>
          <w:p w14:paraId="6487C41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lastRenderedPageBreak/>
              <w:t>0110</w:t>
            </w:r>
          </w:p>
        </w:tc>
        <w:tc>
          <w:tcPr>
            <w:tcW w:w="7620" w:type="dxa"/>
          </w:tcPr>
          <w:p w14:paraId="477B4E8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Kombinované celkové ročné hrubé príjmy</w:t>
            </w:r>
          </w:p>
          <w:p w14:paraId="60812BA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12 ods. 1 písm. i) nariadenia (EÚ) 2019/2033</w:t>
            </w:r>
          </w:p>
          <w:p w14:paraId="5675450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 xml:space="preserve">Ak je vykazujúca investičná spoločnosť súčasťou skupiny, vykazovaná hodnota sa určuje na </w:t>
            </w:r>
            <w:r w:rsidRPr="00A7635B">
              <w:rPr>
                <w:rFonts w:ascii="Times New Roman" w:hAnsi="Times New Roman" w:cs="Times New Roman"/>
                <w:bCs/>
                <w:u w:val="single"/>
              </w:rPr>
              <w:t>spoločnom základe</w:t>
            </w:r>
            <w:r w:rsidRPr="00A7635B">
              <w:rPr>
                <w:rFonts w:ascii="Times New Roman" w:hAnsi="Times New Roman" w:cs="Times New Roman"/>
                <w:bCs/>
              </w:rPr>
              <w:t xml:space="preserve"> pre všetky investičné spoločnosti, ktoré sú súčasťou skupiny, podľa článku 12 ods. 2 nariadenia (EÚ) 2019/2033.</w:t>
            </w:r>
          </w:p>
          <w:p w14:paraId="6BE59AF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Vykazovaná hodnota je (riadok 0120 + </w:t>
            </w:r>
            <w:r w:rsidRPr="00A7635B">
              <w:rPr>
                <w:rFonts w:ascii="Times New Roman" w:hAnsi="Times New Roman" w:cs="Times New Roman"/>
                <w:bCs/>
              </w:rPr>
              <w:t>riadok 0130).</w:t>
            </w:r>
          </w:p>
        </w:tc>
      </w:tr>
      <w:tr w:rsidR="00EE0EE2" w:rsidRPr="00A7635B" w14:paraId="784E034A" w14:textId="77777777">
        <w:tc>
          <w:tcPr>
            <w:tcW w:w="1129" w:type="dxa"/>
          </w:tcPr>
          <w:p w14:paraId="30011FB5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0120</w:t>
            </w:r>
          </w:p>
        </w:tc>
        <w:tc>
          <w:tcPr>
            <w:tcW w:w="7620" w:type="dxa"/>
          </w:tcPr>
          <w:p w14:paraId="362A366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Celkové ročné hrubé príjmy</w:t>
            </w:r>
          </w:p>
          <w:p w14:paraId="0C74CFA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 xml:space="preserve">Hodnota celkových ročných hrubých príjmov </w:t>
            </w:r>
            <w:r w:rsidRPr="00A7635B">
              <w:rPr>
                <w:rFonts w:ascii="Times New Roman" w:hAnsi="Times New Roman" w:cs="Times New Roman"/>
                <w:bCs/>
                <w:u w:val="single"/>
              </w:rPr>
              <w:t>bez</w:t>
            </w:r>
            <w:r w:rsidRPr="00A7635B">
              <w:rPr>
                <w:rFonts w:ascii="Times New Roman" w:hAnsi="Times New Roman" w:cs="Times New Roman"/>
                <w:bCs/>
              </w:rPr>
              <w:t xml:space="preserve"> hrubých príjmov generovaných v rámci skupiny podľa článku 12 ods. 2 nariadenia (EÚ) 2019/2033.</w:t>
            </w:r>
          </w:p>
        </w:tc>
      </w:tr>
      <w:tr w:rsidR="00EE0EE2" w:rsidRPr="00A7635B" w14:paraId="68B29028" w14:textId="77777777">
        <w:tc>
          <w:tcPr>
            <w:tcW w:w="1129" w:type="dxa"/>
          </w:tcPr>
          <w:p w14:paraId="63E129B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0130</w:t>
            </w:r>
          </w:p>
        </w:tc>
        <w:tc>
          <w:tcPr>
            <w:tcW w:w="7620" w:type="dxa"/>
          </w:tcPr>
          <w:p w14:paraId="500B1B3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(−) Časť ročných hrubých príjmov v rámci skupiny</w:t>
            </w:r>
          </w:p>
          <w:p w14:paraId="5520DC5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Hodnota hrubý</w:t>
            </w:r>
            <w:r w:rsidRPr="00A7635B">
              <w:rPr>
                <w:rFonts w:ascii="Times New Roman" w:hAnsi="Times New Roman" w:cs="Times New Roman"/>
                <w:bCs/>
              </w:rPr>
              <w:t>ch príjmov generovaných v rámci skupiny investičných spoločností podľa článku 12 ods. 2 nariadenia (EÚ) 2019/2033.</w:t>
            </w:r>
          </w:p>
        </w:tc>
      </w:tr>
      <w:tr w:rsidR="00EE0EE2" w:rsidRPr="00A7635B" w14:paraId="3334ECE9" w14:textId="77777777">
        <w:tc>
          <w:tcPr>
            <w:tcW w:w="1129" w:type="dxa"/>
          </w:tcPr>
          <w:p w14:paraId="25514D7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0140</w:t>
            </w:r>
          </w:p>
        </w:tc>
        <w:tc>
          <w:tcPr>
            <w:tcW w:w="7620" w:type="dxa"/>
          </w:tcPr>
          <w:p w14:paraId="3B15762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Z toho: príjmy z prijímania a postupovania pokynov</w:t>
            </w:r>
          </w:p>
          <w:p w14:paraId="41632258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54 ods. 1 písm. d) nariadenia (EÚ) 2019/2033</w:t>
            </w:r>
          </w:p>
          <w:p w14:paraId="132951D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 xml:space="preserve">článok 4 ods. 1 bod 2 </w:t>
            </w:r>
            <w:r w:rsidRPr="00A7635B">
              <w:rPr>
                <w:rFonts w:ascii="Times New Roman" w:hAnsi="Times New Roman" w:cs="Times New Roman"/>
                <w:bCs/>
              </w:rPr>
              <w:t>smernice 2014/65/EÚ</w:t>
            </w:r>
          </w:p>
        </w:tc>
      </w:tr>
      <w:tr w:rsidR="00EE0EE2" w:rsidRPr="00A7635B" w14:paraId="170FB257" w14:textId="77777777">
        <w:tc>
          <w:tcPr>
            <w:tcW w:w="1129" w:type="dxa"/>
          </w:tcPr>
          <w:p w14:paraId="107177A5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0150</w:t>
            </w:r>
          </w:p>
        </w:tc>
        <w:tc>
          <w:tcPr>
            <w:tcW w:w="7620" w:type="dxa"/>
          </w:tcPr>
          <w:p w14:paraId="6C07B5F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Z toho: príjmy z vykonávania pokynov v mene klientov</w:t>
            </w:r>
          </w:p>
          <w:p w14:paraId="7EDD2B2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54 ods. 1 písm. d) nariadenia (EÚ) 2019/2033</w:t>
            </w:r>
          </w:p>
          <w:p w14:paraId="05CCA62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4 ods. 1 bod 2 smernice 2014/65/EÚ</w:t>
            </w:r>
          </w:p>
        </w:tc>
      </w:tr>
      <w:tr w:rsidR="00EE0EE2" w:rsidRPr="00A7635B" w14:paraId="5452742F" w14:textId="77777777">
        <w:tc>
          <w:tcPr>
            <w:tcW w:w="1129" w:type="dxa"/>
          </w:tcPr>
          <w:p w14:paraId="50396A9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0160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B7C3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Z toho: príjmy z obchodovania na vlastný účet</w:t>
            </w:r>
          </w:p>
          <w:p w14:paraId="44996E3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54 ods. 1 písm. d) naria</w:t>
            </w:r>
            <w:r w:rsidRPr="00A7635B">
              <w:rPr>
                <w:rFonts w:ascii="Times New Roman" w:hAnsi="Times New Roman" w:cs="Times New Roman"/>
                <w:bCs/>
              </w:rPr>
              <w:t>denia (EÚ) 2019/2033</w:t>
            </w:r>
          </w:p>
          <w:p w14:paraId="4D26608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4 ods. 1 bod 2 smernice 2014/65/EÚ</w:t>
            </w:r>
          </w:p>
        </w:tc>
      </w:tr>
      <w:tr w:rsidR="00EE0EE2" w:rsidRPr="00A7635B" w14:paraId="6F5BAC45" w14:textId="77777777">
        <w:tc>
          <w:tcPr>
            <w:tcW w:w="1129" w:type="dxa"/>
          </w:tcPr>
          <w:p w14:paraId="7A40180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0170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7708F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Z toho: príjmy zo správy portfólia</w:t>
            </w:r>
          </w:p>
          <w:p w14:paraId="54D5DC8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54 ods. 1 písm. d) nariadenia (EÚ) 2019/2033</w:t>
            </w:r>
          </w:p>
          <w:p w14:paraId="2B79812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4 ods. 1 bod 2 smernice 2014/65/EÚ</w:t>
            </w:r>
          </w:p>
        </w:tc>
      </w:tr>
      <w:tr w:rsidR="00EE0EE2" w:rsidRPr="00A7635B" w14:paraId="5BAAF6F7" w14:textId="77777777">
        <w:tc>
          <w:tcPr>
            <w:tcW w:w="1129" w:type="dxa"/>
          </w:tcPr>
          <w:p w14:paraId="2AECD8B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0180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3A64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Z toho: príjmy z investičného poradenstva</w:t>
            </w:r>
          </w:p>
          <w:p w14:paraId="4D4F911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54 ods. 1 písm. d) nariadenia (EÚ) 2019/2033</w:t>
            </w:r>
          </w:p>
          <w:p w14:paraId="007D22C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4 ods. 1 bod 2 smernice 2014/65/EÚ</w:t>
            </w:r>
          </w:p>
        </w:tc>
      </w:tr>
      <w:tr w:rsidR="00EE0EE2" w:rsidRPr="00A7635B" w14:paraId="5832B318" w14:textId="77777777">
        <w:tc>
          <w:tcPr>
            <w:tcW w:w="1129" w:type="dxa"/>
          </w:tcPr>
          <w:p w14:paraId="48D14C0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F90B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Z toho: príjmy z upisovania finančných nástrojov/umiestňovania na základe pevného záväzku</w:t>
            </w:r>
          </w:p>
          <w:p w14:paraId="0D3FE8A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54 ods. 1 písm. d) nariadenia (EÚ) 2019/2033</w:t>
            </w:r>
          </w:p>
          <w:p w14:paraId="67CDAB5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4 ods. 1 bod 2 smernice 2014/65/EÚ</w:t>
            </w:r>
          </w:p>
        </w:tc>
      </w:tr>
      <w:tr w:rsidR="00EE0EE2" w:rsidRPr="00A7635B" w14:paraId="16D62AA0" w14:textId="77777777">
        <w:tc>
          <w:tcPr>
            <w:tcW w:w="1129" w:type="dxa"/>
          </w:tcPr>
          <w:p w14:paraId="2C0D8A0B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5982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Z toho: príjmy z umiestňovania bez pevného záväzku</w:t>
            </w:r>
          </w:p>
          <w:p w14:paraId="205B911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54 ods. 1 písm. d) nariadenia (EÚ) 2019/2033</w:t>
            </w:r>
          </w:p>
          <w:p w14:paraId="73DA400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4 ods. 1 bod 2 smernice 2014/65/EÚ</w:t>
            </w:r>
          </w:p>
        </w:tc>
      </w:tr>
      <w:tr w:rsidR="00EE0EE2" w:rsidRPr="00A7635B" w14:paraId="43C92776" w14:textId="77777777">
        <w:tc>
          <w:tcPr>
            <w:tcW w:w="1129" w:type="dxa"/>
          </w:tcPr>
          <w:p w14:paraId="312E01E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B191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Z toho: príjmy z prevádzky MTF</w:t>
            </w:r>
          </w:p>
          <w:p w14:paraId="3DCD4C1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 xml:space="preserve">článok 54 ods. 1 </w:t>
            </w:r>
            <w:r w:rsidRPr="00A7635B">
              <w:rPr>
                <w:rFonts w:ascii="Times New Roman" w:hAnsi="Times New Roman" w:cs="Times New Roman"/>
                <w:bCs/>
              </w:rPr>
              <w:t>písm. d) nariadenia (EÚ) 2019/2033</w:t>
            </w:r>
          </w:p>
          <w:p w14:paraId="07EDAB1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4 ods. 1 bod 2 smernice 2014/65/EÚ</w:t>
            </w:r>
          </w:p>
        </w:tc>
      </w:tr>
      <w:tr w:rsidR="00EE0EE2" w:rsidRPr="00A7635B" w14:paraId="6E6CA6DE" w14:textId="77777777">
        <w:tc>
          <w:tcPr>
            <w:tcW w:w="1129" w:type="dxa"/>
          </w:tcPr>
          <w:p w14:paraId="16FBA3C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5B3F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Z toho: príjmy z prevádzky OTF</w:t>
            </w:r>
          </w:p>
          <w:p w14:paraId="11962C4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lastRenderedPageBreak/>
              <w:t>článok 54 ods. 1 písm. d) nariadenia (EÚ) 2019/2033</w:t>
            </w:r>
          </w:p>
          <w:p w14:paraId="492D6AF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4 ods. 1 bod 2 smernice 2014/65/EÚ</w:t>
            </w:r>
          </w:p>
        </w:tc>
      </w:tr>
      <w:tr w:rsidR="00EE0EE2" w:rsidRPr="00A7635B" w14:paraId="54AABAFE" w14:textId="77777777">
        <w:tc>
          <w:tcPr>
            <w:tcW w:w="1129" w:type="dxa"/>
          </w:tcPr>
          <w:p w14:paraId="594A947F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lastRenderedPageBreak/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C41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Z toho: príjmy z úschovy a zo správy finan</w:t>
            </w: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čných nástrojov</w:t>
            </w:r>
          </w:p>
          <w:p w14:paraId="4C82C58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54 ods. 1 písm. d) nariadenia (EÚ) 2019/2033</w:t>
            </w:r>
          </w:p>
          <w:p w14:paraId="4FDFB835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4 ods. 1 bod 3 smernice 2014/65/EÚ</w:t>
            </w:r>
          </w:p>
        </w:tc>
      </w:tr>
      <w:tr w:rsidR="00EE0EE2" w:rsidRPr="00A7635B" w14:paraId="38D7F187" w14:textId="77777777">
        <w:tc>
          <w:tcPr>
            <w:tcW w:w="1129" w:type="dxa"/>
          </w:tcPr>
          <w:p w14:paraId="34D49823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D45D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Z toho: príjmy z poskytovania úverov alebo pôžičiek investorom</w:t>
            </w:r>
          </w:p>
          <w:p w14:paraId="75CD1BC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54 ods. 1 písm. d) nariadenia (EÚ) 2019/2033</w:t>
            </w:r>
          </w:p>
          <w:p w14:paraId="58AE7C0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 xml:space="preserve">článok 4 ods. 1 bod 3 </w:t>
            </w:r>
            <w:r w:rsidRPr="00A7635B">
              <w:rPr>
                <w:rFonts w:ascii="Times New Roman" w:hAnsi="Times New Roman" w:cs="Times New Roman"/>
                <w:bCs/>
              </w:rPr>
              <w:t>smernice 2014/65/EÚ</w:t>
            </w:r>
          </w:p>
        </w:tc>
      </w:tr>
      <w:tr w:rsidR="00EE0EE2" w:rsidRPr="00A7635B" w14:paraId="77786673" w14:textId="77777777">
        <w:tc>
          <w:tcPr>
            <w:tcW w:w="1129" w:type="dxa"/>
          </w:tcPr>
          <w:p w14:paraId="4F59A69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44A0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Z toho: príjmy z podnikového poradenstva o kapitálovej štruktúre, priemyselnej stratégii a súvisiacich záležitostiach a z poradenstva a zo služieb spojených s fúziami a kúpou podnikov</w:t>
            </w:r>
          </w:p>
          <w:p w14:paraId="24AA906F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54 ods. 1 písm. d) nariadenia (EÚ) 2019</w:t>
            </w:r>
            <w:r w:rsidRPr="00A7635B">
              <w:rPr>
                <w:rFonts w:ascii="Times New Roman" w:hAnsi="Times New Roman" w:cs="Times New Roman"/>
                <w:bCs/>
              </w:rPr>
              <w:t>/2033</w:t>
            </w:r>
          </w:p>
          <w:p w14:paraId="3E73B1C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4 ods. 1 bod 3 smernice 2014/65/EÚ</w:t>
            </w:r>
          </w:p>
        </w:tc>
      </w:tr>
      <w:tr w:rsidR="00EE0EE2" w:rsidRPr="00A7635B" w14:paraId="2B9A322F" w14:textId="77777777">
        <w:tc>
          <w:tcPr>
            <w:tcW w:w="1129" w:type="dxa"/>
          </w:tcPr>
          <w:p w14:paraId="60FF425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0260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0C11F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Z toho: príjmy z devízových služieb</w:t>
            </w:r>
          </w:p>
          <w:p w14:paraId="211DA0F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54 ods. 1 písm. d) nariadenia (EÚ) 2019/2033</w:t>
            </w:r>
          </w:p>
          <w:p w14:paraId="08B53AB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4 ods. 1 bod 3 smernice 2014/65/EÚ</w:t>
            </w:r>
          </w:p>
        </w:tc>
      </w:tr>
      <w:tr w:rsidR="00EE0EE2" w:rsidRPr="00A7635B" w14:paraId="7A84E98A" w14:textId="77777777">
        <w:tc>
          <w:tcPr>
            <w:tcW w:w="1129" w:type="dxa"/>
          </w:tcPr>
          <w:p w14:paraId="5583F54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5E4E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Z toho: investičný prieskum a finančná analýza</w:t>
            </w:r>
          </w:p>
          <w:p w14:paraId="5A0B8DF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54 ods. 1 pí</w:t>
            </w:r>
            <w:r w:rsidRPr="00A7635B">
              <w:rPr>
                <w:rFonts w:ascii="Times New Roman" w:hAnsi="Times New Roman" w:cs="Times New Roman"/>
                <w:bCs/>
              </w:rPr>
              <w:t>sm. d) nariadenia (EÚ) 2019/2033</w:t>
            </w:r>
          </w:p>
          <w:p w14:paraId="085330D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4 ods. 1 bod 3 smernice 2014/65/EÚ</w:t>
            </w:r>
          </w:p>
        </w:tc>
      </w:tr>
      <w:tr w:rsidR="00EE0EE2" w:rsidRPr="00A7635B" w14:paraId="5E5F6257" w14:textId="77777777">
        <w:tc>
          <w:tcPr>
            <w:tcW w:w="1129" w:type="dxa"/>
          </w:tcPr>
          <w:p w14:paraId="580039A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FE84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Z toho: príjmy zo služieb spojených s upisovaním</w:t>
            </w:r>
          </w:p>
          <w:p w14:paraId="466E98E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54 ods. 1 písm. d) nariadenia (EÚ) 2019/2033</w:t>
            </w:r>
          </w:p>
          <w:p w14:paraId="1BEC96BC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4 ods. 1 bod 3 smernice 2014/65/EÚ</w:t>
            </w:r>
          </w:p>
        </w:tc>
      </w:tr>
      <w:tr w:rsidR="00EE0EE2" w:rsidRPr="00A7635B" w14:paraId="0777FE7A" w14:textId="77777777">
        <w:tc>
          <w:tcPr>
            <w:tcW w:w="1129" w:type="dxa"/>
          </w:tcPr>
          <w:p w14:paraId="0C4C9EB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96AA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 xml:space="preserve">Z toho: </w:t>
            </w: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investičné služby a vedľajšie činnosti týkajúce sa podkladových aktív derivátov</w:t>
            </w:r>
          </w:p>
          <w:p w14:paraId="0AADDCD7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54 ods. 1 písm. d) nariadenia (EÚ) 2019/2033</w:t>
            </w:r>
          </w:p>
          <w:p w14:paraId="4AFDD8EE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4 ods. 1 bod 3 smernice 2014/65/EÚ</w:t>
            </w:r>
          </w:p>
        </w:tc>
      </w:tr>
    </w:tbl>
    <w:p w14:paraId="216A43E5" w14:textId="77777777" w:rsidR="00EE0EE2" w:rsidRPr="00A7635B" w:rsidRDefault="00EE0EE2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  <w:u w:val="none"/>
        </w:rPr>
      </w:pPr>
    </w:p>
    <w:p w14:paraId="04BB7D2A" w14:textId="77777777" w:rsidR="00EE0EE2" w:rsidRPr="00A7635B" w:rsidRDefault="00A7635B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  <w:u w:val="none"/>
        </w:rPr>
      </w:pPr>
      <w:bookmarkStart w:id="45" w:name="_Toc87610933"/>
      <w:r w:rsidRPr="00A7635B">
        <w:rPr>
          <w:rFonts w:ascii="Times New Roman" w:hAnsi="Times New Roman" w:cs="Times New Roman"/>
          <w:b/>
          <w:sz w:val="24"/>
          <w:u w:val="none"/>
        </w:rPr>
        <w:t>3. POŽIADAVKY NA LIKVIDITU</w:t>
      </w:r>
      <w:bookmarkEnd w:id="45"/>
    </w:p>
    <w:p w14:paraId="27BD66FC" w14:textId="77777777" w:rsidR="00EE0EE2" w:rsidRPr="00A7635B" w:rsidRDefault="00A7635B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hAnsi="Times New Roman" w:cs="Times New Roman"/>
          <w:sz w:val="24"/>
          <w:szCs w:val="24"/>
          <w:u w:val="single"/>
        </w:rPr>
      </w:pPr>
      <w:bookmarkStart w:id="46" w:name="_Toc87610934"/>
      <w:r w:rsidRPr="00A7635B">
        <w:rPr>
          <w:rFonts w:ascii="Times New Roman" w:hAnsi="Times New Roman" w:cs="Times New Roman"/>
          <w:sz w:val="24"/>
          <w:szCs w:val="24"/>
          <w:u w:val="single"/>
        </w:rPr>
        <w:t>3.1.</w:t>
      </w:r>
      <w:r w:rsidRPr="00A7635B">
        <w:rPr>
          <w:rFonts w:ascii="Times New Roman" w:hAnsi="Times New Roman" w:cs="Times New Roman"/>
          <w:sz w:val="24"/>
          <w:szCs w:val="24"/>
          <w:u w:val="single"/>
        </w:rPr>
        <w:t xml:space="preserve"> I </w:t>
      </w:r>
      <w:r w:rsidRPr="00A7635B">
        <w:rPr>
          <w:rFonts w:ascii="Times New Roman" w:hAnsi="Times New Roman" w:cs="Times New Roman"/>
          <w:sz w:val="24"/>
          <w:szCs w:val="24"/>
          <w:u w:val="single"/>
        </w:rPr>
        <w:t>09.01</w:t>
      </w:r>
      <w:r w:rsidRPr="00A7635B">
        <w:rPr>
          <w:rFonts w:ascii="Times New Roman" w:hAnsi="Times New Roman" w:cs="Times New Roman"/>
          <w:sz w:val="24"/>
          <w:szCs w:val="24"/>
          <w:u w:val="single"/>
        </w:rPr>
        <w:t xml:space="preserve"> – POŽIADAVKY NA LIKVIDITU (I </w:t>
      </w:r>
      <w:r w:rsidRPr="00A7635B">
        <w:rPr>
          <w:rFonts w:ascii="Times New Roman" w:hAnsi="Times New Roman" w:cs="Times New Roman"/>
          <w:sz w:val="24"/>
          <w:szCs w:val="24"/>
          <w:u w:val="single"/>
        </w:rPr>
        <w:t>9.1</w:t>
      </w:r>
      <w:r w:rsidRPr="00A7635B">
        <w:rPr>
          <w:rFonts w:ascii="Times New Roman" w:hAnsi="Times New Roman" w:cs="Times New Roman"/>
          <w:sz w:val="24"/>
          <w:szCs w:val="24"/>
          <w:u w:val="single"/>
        </w:rPr>
        <w:t>)</w:t>
      </w:r>
      <w:bookmarkEnd w:id="46"/>
    </w:p>
    <w:p w14:paraId="2824AA44" w14:textId="77777777" w:rsidR="00EE0EE2" w:rsidRPr="00A7635B" w:rsidRDefault="00A7635B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7" w:name="_Toc87610935"/>
      <w:r w:rsidRPr="00A7635B">
        <w:rPr>
          <w:rFonts w:ascii="Times New Roman" w:hAnsi="Times New Roman" w:cs="Times New Roman"/>
          <w:sz w:val="24"/>
          <w:szCs w:val="24"/>
        </w:rPr>
        <w:t>3.1.1.</w:t>
      </w:r>
      <w:r w:rsidRPr="00A7635B">
        <w:rPr>
          <w:rFonts w:ascii="Times New Roman" w:hAnsi="Times New Roman" w:cs="Times New Roman"/>
        </w:rPr>
        <w:tab/>
      </w:r>
      <w:r w:rsidRPr="00A7635B">
        <w:rPr>
          <w:rFonts w:ascii="Times New Roman" w:hAnsi="Times New Roman" w:cs="Times New Roman"/>
          <w:sz w:val="24"/>
          <w:szCs w:val="24"/>
          <w:u w:val="single"/>
        </w:rPr>
        <w:t>Pokyny týkajúce sa konkrétnych pozícií</w:t>
      </w:r>
      <w:bookmarkEnd w:id="47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EE0EE2" w:rsidRPr="00A7635B" w14:paraId="79EA397D" w14:textId="77777777">
        <w:tc>
          <w:tcPr>
            <w:tcW w:w="1129" w:type="dxa"/>
            <w:shd w:val="clear" w:color="auto" w:fill="D9D9D9"/>
          </w:tcPr>
          <w:p w14:paraId="21A4A894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</w:rPr>
              <w:t>Riadok</w:t>
            </w:r>
          </w:p>
        </w:tc>
        <w:tc>
          <w:tcPr>
            <w:tcW w:w="7620" w:type="dxa"/>
            <w:shd w:val="clear" w:color="auto" w:fill="D9D9D9"/>
          </w:tcPr>
          <w:p w14:paraId="44E4003F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</w:rPr>
              <w:t>Právne predpisy a pokyny</w:t>
            </w:r>
          </w:p>
        </w:tc>
      </w:tr>
      <w:tr w:rsidR="00EE0EE2" w:rsidRPr="00A7635B" w14:paraId="1C6AA7AF" w14:textId="77777777">
        <w:tc>
          <w:tcPr>
            <w:tcW w:w="1129" w:type="dxa"/>
          </w:tcPr>
          <w:p w14:paraId="29AC70FD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0010</w:t>
            </w:r>
          </w:p>
        </w:tc>
        <w:tc>
          <w:tcPr>
            <w:tcW w:w="7620" w:type="dxa"/>
          </w:tcPr>
          <w:p w14:paraId="5777680F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Požiadavka na likviditu</w:t>
            </w:r>
          </w:p>
          <w:p w14:paraId="1ADFF29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43 ods. 1 nariadenia (EÚ) 2019/2033</w:t>
            </w:r>
          </w:p>
        </w:tc>
      </w:tr>
      <w:tr w:rsidR="00EE0EE2" w:rsidRPr="00A7635B" w14:paraId="45E78C27" w14:textId="77777777">
        <w:tc>
          <w:tcPr>
            <w:tcW w:w="1129" w:type="dxa"/>
          </w:tcPr>
          <w:p w14:paraId="42AF9EB8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0020</w:t>
            </w:r>
          </w:p>
        </w:tc>
        <w:tc>
          <w:tcPr>
            <w:tcW w:w="7620" w:type="dxa"/>
          </w:tcPr>
          <w:p w14:paraId="6668D0E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Záruky pre klienta</w:t>
            </w:r>
          </w:p>
          <w:p w14:paraId="5E225859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45 nariadenia (EÚ) 2019/2033</w:t>
            </w:r>
          </w:p>
          <w:p w14:paraId="66A43DE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lastRenderedPageBreak/>
              <w:t>Vykazovaná hodnota je 1,6 % celkovej výšky záruk poskytovaných klientom podľa článku 45 nariadenia (EÚ) 2019/2033.</w:t>
            </w:r>
          </w:p>
        </w:tc>
      </w:tr>
      <w:tr w:rsidR="00EE0EE2" w14:paraId="6EDF4134" w14:textId="77777777">
        <w:tc>
          <w:tcPr>
            <w:tcW w:w="1129" w:type="dxa"/>
          </w:tcPr>
          <w:p w14:paraId="5EF887B6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lastRenderedPageBreak/>
              <w:t>0030</w:t>
            </w:r>
          </w:p>
        </w:tc>
        <w:tc>
          <w:tcPr>
            <w:tcW w:w="7620" w:type="dxa"/>
          </w:tcPr>
          <w:p w14:paraId="7F7B3F42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A7635B">
              <w:rPr>
                <w:rFonts w:ascii="Times New Roman" w:hAnsi="Times New Roman" w:cs="Times New Roman"/>
                <w:b/>
                <w:bCs/>
                <w:u w:val="single"/>
              </w:rPr>
              <w:t>Celkové likvidné aktíva</w:t>
            </w:r>
          </w:p>
          <w:p w14:paraId="3636C7A1" w14:textId="77777777" w:rsidR="00EE0EE2" w:rsidRPr="00A7635B" w:rsidRDefault="00A7635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A7635B">
              <w:rPr>
                <w:rFonts w:ascii="Times New Roman" w:hAnsi="Times New Roman" w:cs="Times New Roman"/>
                <w:bCs/>
              </w:rPr>
              <w:t>článok 43 ods. 1 písm. a) a článok 43 ods. 2 nariadenia (EÚ) 2019/2033</w:t>
            </w:r>
          </w:p>
          <w:p w14:paraId="6E9540AE" w14:textId="77777777" w:rsidR="00EE0EE2" w:rsidRDefault="00A7635B">
            <w:pPr>
              <w:pStyle w:val="CommentTex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A7635B">
              <w:rPr>
                <w:rFonts w:ascii="Times New Roman" w:hAnsi="Times New Roman" w:cs="Times New Roman"/>
                <w:bCs/>
                <w:sz w:val="22"/>
                <w:szCs w:val="22"/>
              </w:rPr>
              <w:t>Celkové likvidné aktíva sa vykazujú po u</w:t>
            </w:r>
            <w:r w:rsidRPr="00A7635B">
              <w:rPr>
                <w:rFonts w:ascii="Times New Roman" w:hAnsi="Times New Roman" w:cs="Times New Roman"/>
                <w:bCs/>
                <w:sz w:val="22"/>
                <w:szCs w:val="22"/>
              </w:rPr>
              <w:t>platnení príslušných zrážok.</w:t>
            </w:r>
          </w:p>
        </w:tc>
      </w:tr>
    </w:tbl>
    <w:p w14:paraId="05D55A9C" w14:textId="77777777" w:rsidR="00EE0EE2" w:rsidRDefault="00EE0EE2">
      <w:pPr>
        <w:rPr>
          <w:rFonts w:ascii="Times New Roman" w:hAnsi="Times New Roman" w:cs="Times New Roman"/>
        </w:rPr>
      </w:pPr>
    </w:p>
    <w:sectPr w:rsidR="00EE0E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68BF6E" w14:textId="77777777" w:rsidR="00EE0EE2" w:rsidRDefault="00EE0EE2">
      <w:pPr>
        <w:pStyle w:val="Footer"/>
      </w:pPr>
    </w:p>
  </w:endnote>
  <w:endnote w:type="continuationSeparator" w:id="0">
    <w:p w14:paraId="47A04985" w14:textId="77777777" w:rsidR="00EE0EE2" w:rsidRDefault="00EE0EE2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1F2F9" w14:textId="77777777" w:rsidR="00EE0EE2" w:rsidRDefault="00EE0E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6BBB9" w14:textId="77777777" w:rsidR="00EE0EE2" w:rsidRDefault="00A7635B">
    <w:pPr>
      <w:pStyle w:val="Footer"/>
      <w:tabs>
        <w:tab w:val="clear" w:pos="4513"/>
        <w:tab w:val="clear" w:pos="9026"/>
        <w:tab w:val="right" w:pos="9071"/>
      </w:tabs>
    </w:pPr>
    <w:r>
      <w:t>SK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16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9F6D4" w14:textId="77777777" w:rsidR="00EE0EE2" w:rsidRDefault="00EE0E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1C9BE" w14:textId="77777777" w:rsidR="00EE0EE2" w:rsidRDefault="00EE0EE2">
      <w:pPr>
        <w:pStyle w:val="Footer"/>
      </w:pPr>
    </w:p>
  </w:footnote>
  <w:footnote w:type="continuationSeparator" w:id="0">
    <w:p w14:paraId="35110976" w14:textId="77777777" w:rsidR="00EE0EE2" w:rsidRDefault="00EE0EE2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65C66" w14:textId="77777777" w:rsidR="00EE0EE2" w:rsidRDefault="00A7635B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8E154" w14:textId="4E039C4A" w:rsidR="00EE0EE2" w:rsidRDefault="00A7635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B8F9E24" wp14:editId="59A18F5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f843419cb92c58f454e6f9d2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07816A4" w14:textId="7C1F4593" w:rsidR="00A7635B" w:rsidRPr="00A7635B" w:rsidRDefault="00A7635B" w:rsidP="00A7635B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A7635B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8F9E24" id="_x0000_t202" coordsize="21600,21600" o:spt="202" path="m,l,21600r21600,l21600,xe">
              <v:stroke joinstyle="miter"/>
              <v:path gradientshapeok="t" o:connecttype="rect"/>
            </v:shapetype>
            <v:shape id="MSIPCMf843419cb92c58f454e6f9d2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" o:allowincell="f" filled="f" stroked="f" strokeweight=".5pt">
              <v:fill o:detectmouseclick="t"/>
              <v:textbox inset="20pt,0,,0">
                <w:txbxContent>
                  <w:p w14:paraId="007816A4" w14:textId="7C1F4593" w:rsidR="00A7635B" w:rsidRPr="00A7635B" w:rsidRDefault="00A7635B" w:rsidP="00A7635B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A7635B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1219B" w14:textId="77777777" w:rsidR="00EE0EE2" w:rsidRDefault="00A7635B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04293"/>
    <w:multiLevelType w:val="hybridMultilevel"/>
    <w:tmpl w:val="C2D274AC"/>
    <w:lvl w:ilvl="0" w:tplc="9B189216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C272B"/>
    <w:multiLevelType w:val="hybridMultilevel"/>
    <w:tmpl w:val="ED92B220"/>
    <w:lvl w:ilvl="0" w:tplc="A3B6EEE4"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3C78B8"/>
    <w:multiLevelType w:val="multilevel"/>
    <w:tmpl w:val="E626D72C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802EC7"/>
    <w:multiLevelType w:val="multilevel"/>
    <w:tmpl w:val="CE90F8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E4026E"/>
    <w:multiLevelType w:val="hybridMultilevel"/>
    <w:tmpl w:val="ED7C6D3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B">
      <w:start w:val="1"/>
      <w:numFmt w:val="lowerRoman"/>
      <w:lvlText w:val="%2."/>
      <w:lvlJc w:val="righ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F45FC0"/>
    <w:multiLevelType w:val="hybridMultilevel"/>
    <w:tmpl w:val="861075D0"/>
    <w:lvl w:ilvl="0" w:tplc="BAEC6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E3641"/>
    <w:multiLevelType w:val="hybridMultilevel"/>
    <w:tmpl w:val="10C476E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F300C"/>
    <w:multiLevelType w:val="multilevel"/>
    <w:tmpl w:val="F990A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9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E600D98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857503B"/>
    <w:multiLevelType w:val="multilevel"/>
    <w:tmpl w:val="698C83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AB17E1"/>
    <w:multiLevelType w:val="multilevel"/>
    <w:tmpl w:val="15C8FF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85544C6"/>
    <w:multiLevelType w:val="hybridMultilevel"/>
    <w:tmpl w:val="B5AE6A30"/>
    <w:lvl w:ilvl="0" w:tplc="FE302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371863"/>
    <w:multiLevelType w:val="hybridMultilevel"/>
    <w:tmpl w:val="E5404712"/>
    <w:lvl w:ilvl="0" w:tplc="40D6B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0"/>
  </w:num>
  <w:num w:numId="5">
    <w:abstractNumId w:val="5"/>
  </w:num>
  <w:num w:numId="6">
    <w:abstractNumId w:val="15"/>
  </w:num>
  <w:num w:numId="7">
    <w:abstractNumId w:val="11"/>
  </w:num>
  <w:num w:numId="8">
    <w:abstractNumId w:val="12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1"/>
  </w:num>
  <w:num w:numId="20">
    <w:abstractNumId w:val="2"/>
  </w:num>
  <w:num w:numId="21">
    <w:abstractNumId w:val="3"/>
  </w:num>
  <w:num w:numId="22">
    <w:abstractNumId w:val="2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fr-BE" w:vendorID="64" w:dllVersion="6" w:nlCheck="1" w:checkStyle="0"/>
  <w:activeWritingStyle w:appName="MSWord" w:lang="en-I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defaultTabStop w:val="720"/>
  <w:hyphenationZone w:val="283"/>
  <w:characterSpacingControl w:val="doNotCompress"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EE0EE2"/>
    <w:rsid w:val="00A7635B"/>
    <w:rsid w:val="00EE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5"/>
    <o:shapelayout v:ext="edit">
      <o:idmap v:ext="edit" data="1"/>
    </o:shapelayout>
  </w:shapeDefaults>
  <w:decimalSymbol w:val="."/>
  <w:listSeparator w:val=","/>
  <w14:docId w14:val="3D609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pPr>
      <w:keepNext/>
      <w:spacing w:before="240" w:after="120" w:line="240" w:lineRule="auto"/>
      <w:jc w:val="both"/>
      <w:outlineLvl w:val="1"/>
    </w:pPr>
    <w:rPr>
      <w:rFonts w:ascii="Verdana" w:eastAsia="Arial" w:hAnsi="Verdana" w:cs="Times New Roman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pPr>
      <w:tabs>
        <w:tab w:val="left" w:pos="1100"/>
        <w:tab w:val="right" w:leader="dot" w:pos="9016"/>
      </w:tabs>
      <w:spacing w:after="100"/>
      <w:ind w:left="220"/>
    </w:pPr>
  </w:style>
  <w:style w:type="character" w:customStyle="1" w:styleId="Heading2Char">
    <w:name w:val="Heading 2 Char"/>
    <w:basedOn w:val="DefaultParagraphFont"/>
    <w:link w:val="Heading2"/>
    <w:uiPriority w:val="99"/>
    <w:rPr>
      <w:rFonts w:ascii="Verdana" w:eastAsia="Arial" w:hAnsi="Verdana" w:cs="Times New Roman"/>
      <w:b/>
      <w:sz w:val="24"/>
      <w:szCs w:val="24"/>
      <w:u w:val="single"/>
      <w:lang w:val="sk-SK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spacing w:after="0" w:line="240" w:lineRule="auto"/>
      <w:jc w:val="both"/>
    </w:pPr>
    <w:rPr>
      <w:rFonts w:ascii="Times New Roman" w:eastAsia="Times New Roman" w:hAnsi="Times New Roman" w:cs="Arial"/>
      <w:bCs/>
      <w:sz w:val="24"/>
      <w:szCs w:val="24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="Times New Roman" w:hAnsi="Times New Roman" w:cs="Arial"/>
      <w:bCs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fzhlungszeichen3">
    <w:name w:val="Aufzählungszeichen3"/>
    <w:basedOn w:val="Normal"/>
    <w:uiPriority w:val="1"/>
    <w:qFormat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sz w:val="20"/>
      <w:szCs w:val="24"/>
    </w:rPr>
  </w:style>
  <w:style w:type="paragraph" w:customStyle="1" w:styleId="InstructionsText2">
    <w:name w:val="Instructions Text 2"/>
    <w:basedOn w:val="InstructionsText"/>
    <w:qFormat/>
    <w:pPr>
      <w:numPr>
        <w:numId w:val="12"/>
      </w:numPr>
      <w:spacing w:after="240"/>
    </w:pPr>
    <w:rPr>
      <w:rFonts w:cs="Times New Roman"/>
      <w:bCs w:val="0"/>
    </w:rPr>
  </w:style>
  <w:style w:type="paragraph" w:customStyle="1" w:styleId="Instructionsberschrift2">
    <w:name w:val="Instructions Überschrift 2"/>
    <w:basedOn w:val="Heading2"/>
    <w:pPr>
      <w:spacing w:after="240"/>
      <w:ind w:left="720"/>
    </w:pPr>
    <w:rPr>
      <w:rFonts w:cs="Arial"/>
      <w:b w:val="0"/>
      <w:sz w:val="20"/>
    </w:rPr>
  </w:style>
  <w:style w:type="character" w:customStyle="1" w:styleId="ListParagraphChar">
    <w:name w:val="List Paragraph Char"/>
    <w:link w:val="ListParagraph"/>
    <w:uiPriority w:val="34"/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NumPar1">
    <w:name w:val="NumPar 1"/>
    <w:basedOn w:val="Normal"/>
    <w:next w:val="Normal"/>
    <w:pPr>
      <w:numPr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2">
    <w:name w:val="NumPar 2"/>
    <w:basedOn w:val="Normal"/>
    <w:next w:val="Normal"/>
    <w:pPr>
      <w:numPr>
        <w:ilvl w:val="1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3">
    <w:name w:val="NumPar 3"/>
    <w:basedOn w:val="Normal"/>
    <w:next w:val="Normal"/>
    <w:pPr>
      <w:numPr>
        <w:ilvl w:val="2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4">
    <w:name w:val="NumPar 4"/>
    <w:basedOn w:val="Normal"/>
    <w:next w:val="Normal"/>
    <w:pPr>
      <w:numPr>
        <w:ilvl w:val="3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number">
    <w:name w:val="Point 0 (number)"/>
    <w:basedOn w:val="Normal"/>
    <w:pPr>
      <w:numPr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number">
    <w:name w:val="Point 1 (number)"/>
    <w:basedOn w:val="Normal"/>
    <w:pPr>
      <w:numPr>
        <w:ilvl w:val="2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number">
    <w:name w:val="Point 2 (number)"/>
    <w:basedOn w:val="Normal"/>
    <w:pPr>
      <w:numPr>
        <w:ilvl w:val="4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number">
    <w:name w:val="Point 3 (number)"/>
    <w:basedOn w:val="Normal"/>
    <w:pPr>
      <w:numPr>
        <w:ilvl w:val="6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letter">
    <w:name w:val="Point 0 (letter)"/>
    <w:basedOn w:val="Normal"/>
    <w:pPr>
      <w:numPr>
        <w:ilvl w:val="1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letter">
    <w:name w:val="Point 1 (letter)"/>
    <w:basedOn w:val="Normal"/>
    <w:pPr>
      <w:numPr>
        <w:ilvl w:val="3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letter">
    <w:name w:val="Point 2 (letter)"/>
    <w:basedOn w:val="Normal"/>
    <w:pPr>
      <w:numPr>
        <w:ilvl w:val="5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letter">
    <w:name w:val="Point 3 (letter)"/>
    <w:basedOn w:val="Normal"/>
    <w:pPr>
      <w:numPr>
        <w:ilvl w:val="7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4letter">
    <w:name w:val="Point 4 (letter)"/>
    <w:basedOn w:val="Normal"/>
    <w:pPr>
      <w:numPr>
        <w:ilvl w:val="8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a586b747-2a7c-4f57-bcd1-e81df5c8c005" origin="userSelected">
  <element uid="id_classification_generalbusiness" value=""/>
</sisl>
</file>

<file path=customXml/itemProps1.xml><?xml version="1.0" encoding="utf-8"?>
<ds:datastoreItem xmlns:ds="http://schemas.openxmlformats.org/officeDocument/2006/customXml" ds:itemID="{F0302386-17BE-4072-9921-2B8A7AD7C3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00584-2808-442D-BA8D-CDE8FD90BA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4842</Words>
  <Characters>27601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2021-11-25T14:58:00Z</dcterms:created>
  <dcterms:modified xsi:type="dcterms:W3CDTF">2022-01-14T17:16:00Z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2022-01-14T17:16:17Z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d04ec89d-4a72-4396-b2ff-29b6e8afdc6d</vt:lpwstr>
  </property>
  <property fmtid="{D5CDD505-2E9C-101B-9397-08002B2CF9AE}" pid="8" name="MSIP_Label_5c7eb9de-735b-4a68-8fe4-c9c62709b012_ContentBits">
    <vt:lpwstr>1</vt:lpwstr>
  </property>
</Properties>
</file>