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DA</w:t>
      </w:r>
      <w:r>
        <w:br/>
      </w:r>
      <w:r>
        <w:rPr>
          <w:rFonts w:ascii="Times New Roman" w:hAnsi="Times New Roman"/>
          <w:b/>
          <w:sz w:val="24"/>
          <w:szCs w:val="20"/>
        </w:rPr>
        <w:t>BILAG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»BILAG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INDBERETNING OM KONCERNKAPITALTEST</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Indholdsfortegnelse</w:t>
      </w:r>
    </w:p>
    <w:p>
      <w:pPr>
        <w:pStyle w:val="TOC2"/>
        <w:tabs>
          <w:tab w:val="right" w:leader="dot" w:pos="9016"/>
        </w:tabs>
        <w:rPr>
          <w:rFonts w:eastAsiaTheme="minorEastAsia"/>
          <w:noProof/>
        </w:rPr>
      </w:pPr>
      <w:r>
        <w:rPr>
          <w:rFonts w:ascii="Times New Roman" w:hAnsi="Times New Roman"/>
          <w:noProof/>
        </w:rPr>
        <w:t>DEL I: GENERELLE INSTRUKSER</w:t>
      </w:r>
      <w:r>
        <w:rPr>
          <w:noProof/>
        </w:rPr>
        <w:tab/>
        <w:t>2</w:t>
      </w:r>
    </w:p>
    <w:p>
      <w:pPr>
        <w:pStyle w:val="TOC2"/>
        <w:tabs>
          <w:tab w:val="right" w:leader="dot" w:pos="9016"/>
        </w:tabs>
        <w:rPr>
          <w:rFonts w:eastAsiaTheme="minorEastAsia"/>
          <w:noProof/>
        </w:rPr>
      </w:pPr>
      <w:r>
        <w:rPr>
          <w:rFonts w:ascii="Times New Roman" w:hAnsi="Times New Roman"/>
          <w:noProof/>
        </w:rPr>
        <w:t>1. Opbygning og konventioner</w:t>
      </w:r>
      <w:r>
        <w:rPr>
          <w:noProof/>
        </w:rPr>
        <w:tab/>
        <w:t>2</w:t>
      </w:r>
    </w:p>
    <w:p>
      <w:pPr>
        <w:pStyle w:val="TOC2"/>
        <w:tabs>
          <w:tab w:val="right" w:leader="dot" w:pos="9016"/>
        </w:tabs>
        <w:rPr>
          <w:rFonts w:eastAsiaTheme="minorEastAsia"/>
          <w:noProof/>
        </w:rPr>
      </w:pPr>
      <w:r>
        <w:rPr>
          <w:rFonts w:ascii="Times New Roman" w:hAnsi="Times New Roman"/>
          <w:noProof/>
          <w:u w:val="single"/>
        </w:rPr>
        <w:t>1.1 Opbygning</w:t>
      </w:r>
      <w:r>
        <w:rPr>
          <w:noProof/>
        </w:rPr>
        <w:tab/>
        <w:t>2</w:t>
      </w:r>
    </w:p>
    <w:p>
      <w:pPr>
        <w:pStyle w:val="TOC2"/>
        <w:tabs>
          <w:tab w:val="right" w:leader="dot" w:pos="9016"/>
        </w:tabs>
        <w:rPr>
          <w:rFonts w:eastAsiaTheme="minorEastAsia"/>
          <w:noProof/>
        </w:rPr>
      </w:pPr>
      <w:r>
        <w:rPr>
          <w:rFonts w:ascii="Times New Roman" w:hAnsi="Times New Roman"/>
          <w:noProof/>
          <w:u w:val="single"/>
        </w:rPr>
        <w:t>1.2 Nummereringskonvention</w:t>
      </w:r>
      <w:r>
        <w:rPr>
          <w:noProof/>
        </w:rPr>
        <w:tab/>
        <w:t>2</w:t>
      </w:r>
    </w:p>
    <w:p>
      <w:pPr>
        <w:pStyle w:val="TOC2"/>
        <w:tabs>
          <w:tab w:val="right" w:leader="dot" w:pos="9016"/>
        </w:tabs>
        <w:rPr>
          <w:rFonts w:eastAsiaTheme="minorEastAsia"/>
          <w:noProof/>
        </w:rPr>
      </w:pPr>
      <w:r>
        <w:rPr>
          <w:rFonts w:ascii="Times New Roman" w:hAnsi="Times New Roman"/>
          <w:noProof/>
          <w:u w:val="single"/>
        </w:rPr>
        <w:t>1.3 Tegnkonvention</w:t>
      </w:r>
      <w:r>
        <w:rPr>
          <w:noProof/>
        </w:rPr>
        <w:tab/>
        <w:t>2</w:t>
      </w:r>
    </w:p>
    <w:p>
      <w:pPr>
        <w:pStyle w:val="TOC2"/>
        <w:tabs>
          <w:tab w:val="right" w:leader="dot" w:pos="9016"/>
        </w:tabs>
        <w:rPr>
          <w:rFonts w:eastAsiaTheme="minorEastAsia"/>
          <w:noProof/>
        </w:rPr>
      </w:pPr>
      <w:r>
        <w:rPr>
          <w:rFonts w:ascii="Times New Roman" w:hAnsi="Times New Roman"/>
          <w:noProof/>
        </w:rPr>
        <w:t>DEL II: INSTRUKSER VEDRØRENDE SKEMAER</w:t>
      </w:r>
      <w:r>
        <w:rPr>
          <w:noProof/>
        </w:rPr>
        <w:tab/>
        <w:t>2</w:t>
      </w:r>
    </w:p>
    <w:p>
      <w:pPr>
        <w:pStyle w:val="TOC2"/>
        <w:tabs>
          <w:tab w:val="right" w:leader="dot" w:pos="9016"/>
        </w:tabs>
        <w:rPr>
          <w:rFonts w:eastAsiaTheme="minorEastAsia"/>
          <w:noProof/>
        </w:rPr>
      </w:pPr>
      <w:r>
        <w:rPr>
          <w:rFonts w:ascii="Times New Roman" w:hAnsi="Times New Roman"/>
          <w:b/>
          <w:noProof/>
        </w:rPr>
        <w:t>1. KAPITALGRUNDLAG: NIVEAU, SAMMENSÆTNING, KRAV OG BEREGNING</w:t>
      </w:r>
      <w:r>
        <w:rPr>
          <w:noProof/>
        </w:rPr>
        <w:tab/>
        <w:t>2</w:t>
      </w:r>
    </w:p>
    <w:p>
      <w:pPr>
        <w:pStyle w:val="TOC2"/>
        <w:tabs>
          <w:tab w:val="right" w:leader="dot" w:pos="9016"/>
        </w:tabs>
        <w:rPr>
          <w:rFonts w:eastAsiaTheme="minorEastAsia"/>
          <w:noProof/>
        </w:rPr>
      </w:pPr>
      <w:r>
        <w:rPr>
          <w:rFonts w:ascii="Times New Roman" w:hAnsi="Times New Roman"/>
          <w:noProof/>
        </w:rPr>
        <w:t>1.1 Generelle bemærkninger</w:t>
      </w:r>
      <w:r>
        <w:rPr>
          <w:noProof/>
        </w:rPr>
        <w:tab/>
        <w:t>2</w:t>
      </w:r>
    </w:p>
    <w:p>
      <w:pPr>
        <w:pStyle w:val="TOC2"/>
        <w:tabs>
          <w:tab w:val="right" w:leader="dot" w:pos="9016"/>
        </w:tabs>
        <w:rPr>
          <w:rFonts w:eastAsiaTheme="minorEastAsia"/>
          <w:noProof/>
        </w:rPr>
      </w:pPr>
      <w:r>
        <w:rPr>
          <w:rFonts w:ascii="Times New Roman" w:hAnsi="Times New Roman"/>
          <w:noProof/>
        </w:rPr>
        <w:t>1.2. I 11.01 — SAMMENSÆTNING AF KAPITALGRUNDLAGET — KONCERNKAPITALTEST (I11.1)</w:t>
      </w:r>
      <w:r>
        <w:rPr>
          <w:noProof/>
        </w:rPr>
        <w:tab/>
        <w:t>3</w:t>
      </w:r>
    </w:p>
    <w:p>
      <w:pPr>
        <w:pStyle w:val="TOC2"/>
        <w:tabs>
          <w:tab w:val="left" w:pos="1100"/>
          <w:tab w:val="right" w:leader="dot" w:pos="9016"/>
        </w:tabs>
        <w:rPr>
          <w:rFonts w:eastAsiaTheme="minorEastAsia"/>
          <w:noProof/>
        </w:rPr>
      </w:pPr>
      <w:r>
        <w:rPr>
          <w:rFonts w:ascii="Times New Roman" w:hAnsi="Times New Roman"/>
          <w:noProof/>
        </w:rPr>
        <w:t>1.2.1.</w:t>
      </w:r>
      <w:r>
        <w:rPr>
          <w:rFonts w:eastAsiaTheme="minorEastAsia"/>
          <w:noProof/>
        </w:rPr>
        <w:tab/>
      </w:r>
      <w:r>
        <w:rPr>
          <w:rFonts w:ascii="Times New Roman" w:hAnsi="Times New Roman"/>
          <w:noProof/>
        </w:rPr>
        <w:t>Instrukser vedrørende specifikke positioner</w:t>
      </w:r>
      <w:r>
        <w:rPr>
          <w:noProof/>
        </w:rPr>
        <w:tab/>
        <w:t>3</w:t>
      </w:r>
    </w:p>
    <w:p>
      <w:pPr>
        <w:pStyle w:val="TOC2"/>
        <w:tabs>
          <w:tab w:val="right" w:leader="dot" w:pos="9016"/>
        </w:tabs>
        <w:rPr>
          <w:rFonts w:eastAsiaTheme="minorEastAsia"/>
          <w:noProof/>
        </w:rPr>
      </w:pPr>
      <w:r>
        <w:rPr>
          <w:rFonts w:ascii="Times New Roman" w:hAnsi="Times New Roman"/>
          <w:noProof/>
        </w:rPr>
        <w:t>1.3. I 11.02 — KAPITALKRAV — KONCERNKAPITALTEST (I11.2)</w:t>
      </w:r>
      <w:r>
        <w:rPr>
          <w:noProof/>
        </w:rPr>
        <w:tab/>
        <w:t>8</w:t>
      </w:r>
    </w:p>
    <w:p>
      <w:pPr>
        <w:pStyle w:val="TOC2"/>
        <w:tabs>
          <w:tab w:val="left" w:pos="1100"/>
          <w:tab w:val="right" w:leader="dot" w:pos="9016"/>
        </w:tabs>
        <w:rPr>
          <w:rFonts w:eastAsiaTheme="minorEastAsia"/>
          <w:noProof/>
        </w:rPr>
      </w:pPr>
      <w:r>
        <w:rPr>
          <w:rFonts w:ascii="Times New Roman" w:hAnsi="Times New Roman"/>
          <w:noProof/>
        </w:rPr>
        <w:t>1.3.1.</w:t>
      </w:r>
      <w:r>
        <w:rPr>
          <w:rFonts w:eastAsiaTheme="minorEastAsia"/>
          <w:noProof/>
        </w:rPr>
        <w:tab/>
      </w:r>
      <w:r>
        <w:rPr>
          <w:rFonts w:ascii="Times New Roman" w:hAnsi="Times New Roman"/>
          <w:noProof/>
          <w:u w:val="single"/>
        </w:rPr>
        <w:t>Instrukser vedrørende specifikke positioner</w:t>
      </w:r>
      <w:r>
        <w:rPr>
          <w:noProof/>
        </w:rPr>
        <w:tab/>
        <w:t>8</w:t>
      </w:r>
    </w:p>
    <w:p>
      <w:pPr>
        <w:pStyle w:val="TOC2"/>
        <w:tabs>
          <w:tab w:val="right" w:leader="dot" w:pos="9016"/>
        </w:tabs>
        <w:rPr>
          <w:rFonts w:eastAsiaTheme="minorEastAsia"/>
          <w:noProof/>
        </w:rPr>
      </w:pPr>
      <w:r>
        <w:rPr>
          <w:rFonts w:ascii="Times New Roman" w:hAnsi="Times New Roman"/>
          <w:noProof/>
        </w:rPr>
        <w:t>1.4. IF 11.03 OPLYSNINGER OM DATTERSELSKABER (IF11.3)</w:t>
      </w:r>
      <w:r>
        <w:rPr>
          <w:noProof/>
        </w:rPr>
        <w:tab/>
        <w:t>9</w:t>
      </w:r>
    </w:p>
    <w:p>
      <w:pPr>
        <w:pStyle w:val="TOC2"/>
        <w:tabs>
          <w:tab w:val="left" w:pos="1100"/>
          <w:tab w:val="right" w:leader="dot" w:pos="9016"/>
        </w:tabs>
        <w:rPr>
          <w:rFonts w:eastAsiaTheme="minorEastAsia"/>
          <w:noProof/>
          <w:lang w:val="en-US"/>
        </w:rPr>
      </w:pPr>
      <w:r>
        <w:rPr>
          <w:rFonts w:ascii="Times New Roman" w:hAnsi="Times New Roman"/>
          <w:noProof/>
        </w:rPr>
        <w:t>1.4.1.</w:t>
      </w:r>
      <w:r>
        <w:rPr>
          <w:rFonts w:eastAsiaTheme="minorEastAsia"/>
          <w:noProof/>
          <w:lang w:val="en-US"/>
        </w:rPr>
        <w:tab/>
      </w:r>
      <w:r>
        <w:rPr>
          <w:rFonts w:ascii="Times New Roman" w:hAnsi="Times New Roman"/>
          <w:noProof/>
          <w:u w:val="single"/>
        </w:rPr>
        <w:t>Instrukser vedrørende specifikke positioner</w:t>
      </w:r>
      <w:r>
        <w:rPr>
          <w:noProof/>
        </w:rPr>
        <w:tab/>
        <w:t>9</w:t>
      </w:r>
      <w:bookmarkStart w:id="7" w:name="_Toc360188322"/>
      <w:bookmarkStart w:id="8" w:name="_Toc473560870"/>
      <w:bookmarkStart w:id="9" w:name="_Toc7084155"/>
    </w:p>
    <w:p/>
    <w:p/>
    <w:p>
      <w:pPr>
        <w:pStyle w:val="Heading2"/>
        <w:rPr>
          <w:rFonts w:ascii="Times New Roman" w:hAnsi="Times New Roman"/>
        </w:rPr>
      </w:pPr>
      <w:bookmarkStart w:id="10" w:name="_Toc87533223"/>
      <w:r>
        <w:rPr>
          <w:rFonts w:ascii="Times New Roman" w:hAnsi="Times New Roman"/>
        </w:rPr>
        <w:t>DEL I: GENERELLE INSTRUKSER</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533224"/>
      <w:r>
        <w:rPr>
          <w:rFonts w:ascii="Times New Roman" w:hAnsi="Times New Roman"/>
          <w:sz w:val="24"/>
          <w:szCs w:val="24"/>
        </w:rPr>
        <w:t>1. Opbygning og konventioner</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533225"/>
      <w:r>
        <w:rPr>
          <w:rFonts w:ascii="Times New Roman" w:hAnsi="Times New Roman"/>
          <w:sz w:val="24"/>
          <w:szCs w:val="24"/>
          <w:u w:val="single"/>
        </w:rPr>
        <w:t>1.1 Opbygning</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Samlet set består indberetning om koncernkapitaltest af 2 skemaer:</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Kapitalgrundlagets sammensætning</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Kapitalgrundlagsinstrumenter.</w:t>
      </w:r>
    </w:p>
    <w:p>
      <w:pPr>
        <w:pStyle w:val="InstructionsText2"/>
        <w:numPr>
          <w:ilvl w:val="0"/>
          <w:numId w:val="0"/>
        </w:numPr>
        <w:ind w:left="360" w:hanging="360"/>
      </w:pPr>
      <w:r>
        <w:t>2.</w:t>
      </w:r>
      <w:r>
        <w:tab/>
        <w:t>For hvert skema gives der henvisninger til retsakter. Yderligere detaljerede oplysninger om de mere generelle aspekter af indberetningen via hver blok af skemaer, instrukser vedrørende specifikke positioner samt valideringsregler findes i denne del af denne forordning.</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533226"/>
      <w:r>
        <w:rPr>
          <w:rFonts w:ascii="Times New Roman" w:hAnsi="Times New Roman"/>
          <w:sz w:val="24"/>
          <w:szCs w:val="24"/>
          <w:u w:val="single"/>
        </w:rPr>
        <w:lastRenderedPageBreak/>
        <w:t>1.2 Nummereringskonvention</w:t>
      </w:r>
      <w:bookmarkEnd w:id="13"/>
    </w:p>
    <w:p>
      <w:pPr>
        <w:pStyle w:val="InstructionsText2"/>
        <w:numPr>
          <w:ilvl w:val="0"/>
          <w:numId w:val="0"/>
        </w:numPr>
        <w:ind w:left="360" w:hanging="360"/>
      </w:pPr>
      <w:r>
        <w:t>3.</w:t>
      </w:r>
      <w:r>
        <w:tab/>
        <w:t>Dokumentet følger de konventioner for tekst, der er beskrevet i punkt 4-7, når der henvises til kolonner, rækker og celler i skemaerne. Disse numeriske koder anvendes i vid udstrækning i valideringsreglerne.</w:t>
      </w:r>
    </w:p>
    <w:p>
      <w:pPr>
        <w:pStyle w:val="InstructionsText2"/>
        <w:numPr>
          <w:ilvl w:val="0"/>
          <w:numId w:val="0"/>
        </w:numPr>
        <w:ind w:left="360" w:hanging="360"/>
      </w:pPr>
      <w:r>
        <w:t>4.</w:t>
      </w:r>
      <w:r>
        <w:tab/>
        <w:t>Følgende generelle notation anvendes i instrukserne: {Skema; Række; Kolonne}.</w:t>
      </w:r>
    </w:p>
    <w:p>
      <w:pPr>
        <w:pStyle w:val="InstructionsText2"/>
        <w:numPr>
          <w:ilvl w:val="0"/>
          <w:numId w:val="0"/>
        </w:numPr>
        <w:ind w:left="360" w:hanging="360"/>
      </w:pPr>
      <w:r>
        <w:t>5.</w:t>
      </w:r>
      <w:r>
        <w:tab/>
        <w:t>Ved valideringer i et skema, hvor kun datapunkter fra skemaet anvendes, henviser notationer ikke til et skema: {Række; Kolonne}.</w:t>
      </w:r>
    </w:p>
    <w:p>
      <w:pPr>
        <w:pStyle w:val="InstructionsText2"/>
        <w:numPr>
          <w:ilvl w:val="0"/>
          <w:numId w:val="0"/>
        </w:numPr>
        <w:ind w:left="360" w:hanging="360"/>
      </w:pPr>
      <w:r>
        <w:t>6.</w:t>
      </w:r>
      <w:r>
        <w:tab/>
        <w:t>I forbindelse med skemaer med kun én kolonne henvises der kun til rækker: {Skema; Række}</w:t>
      </w:r>
    </w:p>
    <w:p>
      <w:pPr>
        <w:pStyle w:val="InstructionsText2"/>
        <w:numPr>
          <w:ilvl w:val="0"/>
          <w:numId w:val="0"/>
        </w:numPr>
        <w:ind w:left="360" w:hanging="360"/>
      </w:pPr>
      <w:r>
        <w:t>7.</w:t>
      </w:r>
      <w:r>
        <w:tab/>
        <w:t>En asterisk viser, at validering udføres for de angivne rækker eller kolonner.</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533227"/>
      <w:r>
        <w:rPr>
          <w:rFonts w:ascii="Times New Roman" w:hAnsi="Times New Roman"/>
          <w:sz w:val="24"/>
          <w:szCs w:val="24"/>
          <w:u w:val="single"/>
        </w:rPr>
        <w:t>1.3 Tegnkonvention</w:t>
      </w:r>
      <w:bookmarkEnd w:id="14"/>
    </w:p>
    <w:p>
      <w:pPr>
        <w:pStyle w:val="InstructionsText2"/>
        <w:numPr>
          <w:ilvl w:val="0"/>
          <w:numId w:val="0"/>
        </w:numPr>
        <w:ind w:left="360" w:hanging="360"/>
      </w:pPr>
      <w:r>
        <w:t>8.</w:t>
      </w:r>
      <w:r>
        <w:tab/>
        <w:t>Beløb, der forøger kapitalgrundlaget eller kapitalgrundlagskravene eller likviditetskravene, indberettes som et positivt tal. Modsat indberettes beløb, der reducerer det samlede kapitalgrundlag eller det samlede kapitalgrundlagskrav, som et negativt tal. Hvis der er indsat et negativt fortegn (-) ved teksten ud for en post, indberettes et positivt tal ikke for den pågældende post.</w:t>
      </w:r>
    </w:p>
    <w:p>
      <w:pPr>
        <w:pStyle w:val="Heading2"/>
        <w:rPr>
          <w:rFonts w:ascii="Times New Roman" w:hAnsi="Times New Roman"/>
        </w:rPr>
      </w:pPr>
      <w:bookmarkStart w:id="15" w:name="_Toc87533228"/>
      <w:r>
        <w:rPr>
          <w:rFonts w:ascii="Times New Roman" w:hAnsi="Times New Roman"/>
        </w:rPr>
        <w:t>DEL II: INSTRUKSER VEDRØRENDE SKEMAER</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7533229"/>
      <w:r>
        <w:rPr>
          <w:rFonts w:ascii="Times New Roman" w:hAnsi="Times New Roman"/>
          <w:b/>
          <w:sz w:val="24"/>
          <w:u w:val="none"/>
        </w:rPr>
        <w:t>1. KAPITALGRUNDLAG: NIVEAU, SAMMENSÆTNING, KRAV OG BEREGNING</w:t>
      </w:r>
      <w:bookmarkEnd w:id="16"/>
    </w:p>
    <w:p>
      <w:pPr>
        <w:pStyle w:val="Instructionsberschrift2"/>
        <w:ind w:left="357" w:hanging="357"/>
        <w:rPr>
          <w:rFonts w:ascii="Times New Roman" w:hAnsi="Times New Roman" w:cs="Times New Roman"/>
          <w:sz w:val="24"/>
        </w:rPr>
      </w:pPr>
      <w:bookmarkStart w:id="17" w:name="_Toc87533230"/>
      <w:r>
        <w:rPr>
          <w:rFonts w:ascii="Times New Roman" w:hAnsi="Times New Roman"/>
          <w:sz w:val="24"/>
        </w:rPr>
        <w:t>1.1 Generelle bemærkninger</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Afsnittet om oversigten over kapitalgrundlag indeholder oplysninger om det kapitalgrundlag, som et investeringsselskab besidder, og om dets kapitalgrundlagskrav. Den består af to skemaer:</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Skema I 11.01 omfatter sammensætningen af det kapitalgrundlag, som et investeringsselskab besidder: Egentlig kernekapital (CET1), hybrid kernekapital (AT1) og supplerende kapital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Skema I 11.02 omfatter oplysninger om »kapitalgrundlagskrav« i forbindelse med koncernkapitaltesten, dvs. koncerninterne besiddelser, eventualforpligtelser og datterselskabernes samlede kapitalgrundlagskrav.</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Skema I 11.03 omfatter de relevante oplysninger om kapitalkrav, eventualforpligtelser, efterstillede tilgodehavender og besiddelser af enheder i den finansielle sektor på datterselskabsniveau opdelt efter enhed.</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Posterne i disse skemaer er før indregning af overgangsjusteringer. Det betyder, at tallene (undtagen hvor overgangskapitalgrundlagskravet specifikt er angivet) beregnes i henhold til de endelige bestemmelser (dvs. som om der ikke var nogen overgangsbestemmelser).</w:t>
      </w:r>
    </w:p>
    <w:p>
      <w:pPr>
        <w:pStyle w:val="Instructionsberschrift2"/>
        <w:ind w:left="357" w:hanging="357"/>
        <w:rPr>
          <w:rFonts w:ascii="Times New Roman" w:hAnsi="Times New Roman" w:cs="Times New Roman"/>
          <w:sz w:val="24"/>
        </w:rPr>
      </w:pPr>
      <w:bookmarkStart w:id="18" w:name="_Toc87533231"/>
      <w:r>
        <w:rPr>
          <w:rFonts w:ascii="Times New Roman" w:hAnsi="Times New Roman"/>
          <w:sz w:val="24"/>
        </w:rPr>
        <w:t>1.2. I 11.01 — SAMMENSÆTNING AF KAPITALGRUNDLAGET — KONCERNKAPITALTEST (I11.1)</w:t>
      </w:r>
      <w:bookmarkEnd w:id="18"/>
    </w:p>
    <w:p>
      <w:pPr>
        <w:pStyle w:val="Instructionsberschrift2"/>
        <w:ind w:left="357" w:hanging="357"/>
        <w:rPr>
          <w:rFonts w:ascii="Times New Roman" w:hAnsi="Times New Roman" w:cs="Times New Roman"/>
          <w:sz w:val="24"/>
        </w:rPr>
      </w:pPr>
      <w:bookmarkStart w:id="19" w:name="_Toc87533232"/>
      <w:r>
        <w:rPr>
          <w:rFonts w:ascii="Times New Roman" w:hAnsi="Times New Roman"/>
          <w:sz w:val="24"/>
          <w:u w:val="none"/>
        </w:rPr>
        <w:t>1.2.1.</w:t>
      </w:r>
      <w:r>
        <w:tab/>
      </w:r>
      <w:r>
        <w:rPr>
          <w:rFonts w:ascii="Times New Roman" w:hAnsi="Times New Roman"/>
          <w:sz w:val="24"/>
        </w:rPr>
        <w:t>Instrukser vedrørende specifikke positioner</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KAPITALGRUNDLAG</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Et investeringsselskabs kapitalgrundlag består af summen af dets kernekapital og supplerende kapital.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KERNEKAPITAL</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Kernekapitalen er summen af egentlig kernekapital og hybrid kernekapital.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EGENTLIG KERNEKAPITAL</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Artikel 50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26, stk. 1, litra a), og artikel 27-31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Indberetningen skal indbefatte gensidige selskabers, andelsselskabers og lignende institutters kapitalinstrumenter (artikel 27 og 29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i forbindelse med instrumenterne indberettes ikke.</w:t>
            </w:r>
          </w:p>
          <w:p>
            <w:pPr>
              <w:pStyle w:val="InstructionsText"/>
              <w:rPr>
                <w:sz w:val="22"/>
                <w:szCs w:val="22"/>
              </w:rPr>
            </w:pPr>
            <w:r>
              <w:rPr>
                <w:rStyle w:val="FormatvorlageInstructionsTabelleText"/>
                <w:rFonts w:ascii="Times New Roman" w:hAnsi="Times New Roman"/>
                <w:sz w:val="22"/>
                <w:szCs w:val="22"/>
              </w:rPr>
              <w:t>Kapitalinstrumenter, som offentlige myndigheder har tegnet i nødsituationer, indberettes, hvis samtlige betingelser i artikel 31 i forordning (EU) nr. 575/2013 er opfyldt.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26, stk. 1, litra b),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beløb, der indberettes i denne post, skal være den andel, der vedrører de »indbetalte kapitalinstrumenter«.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Overført resultat</w:t>
            </w:r>
          </w:p>
          <w:p>
            <w:pPr>
              <w:spacing w:after="120" w:line="240" w:lineRule="auto"/>
              <w:jc w:val="both"/>
              <w:rPr>
                <w:rFonts w:ascii="Times New Roman" w:eastAsia="Times New Roman" w:hAnsi="Times New Roman" w:cs="Times New Roman"/>
                <w:bCs/>
              </w:rPr>
            </w:pPr>
            <w:r>
              <w:rPr>
                <w:rFonts w:ascii="Times New Roman" w:hAnsi="Times New Roman"/>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26, stk. 1, litra c), i forordning (EU) nr.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Overført resultat omfatter overført resultat for det foregående år samt kvalificerede foreløbige overskud og overskud ved årets udgang.</w:t>
            </w:r>
          </w:p>
          <w:p>
            <w:pPr>
              <w:spacing w:after="120" w:line="240" w:lineRule="auto"/>
              <w:jc w:val="both"/>
              <w:rPr>
                <w:rFonts w:ascii="Times New Roman" w:eastAsia="Times New Roman" w:hAnsi="Times New Roman" w:cs="Times New Roman"/>
                <w:b/>
                <w:bCs/>
                <w:u w:val="single"/>
              </w:rPr>
            </w:pPr>
            <w:r>
              <w:rPr>
                <w:rFonts w:ascii="Times New Roman" w:hAnsi="Times New Roman"/>
                <w:bCs/>
              </w:rPr>
              <w:t>Summen af række 0070 og række 0080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Overført resultat for foregående år</w:t>
            </w:r>
          </w:p>
          <w:p>
            <w:pPr>
              <w:spacing w:after="120" w:line="240" w:lineRule="auto"/>
              <w:jc w:val="both"/>
              <w:rPr>
                <w:rFonts w:ascii="Times New Roman" w:eastAsia="Times New Roman" w:hAnsi="Times New Roman" w:cs="Times New Roman"/>
                <w:bCs/>
              </w:rPr>
            </w:pPr>
            <w:r>
              <w:rPr>
                <w:rFonts w:ascii="Times New Roman" w:hAnsi="Times New Roman"/>
                <w:bCs/>
              </w:rPr>
              <w:t>Artikel 4, stk. 1, nr. 123), og artikel 26, stk. 1, litra c),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I artikel 4, stk. 1, nr. 123), i forordning (EU) nr. 575/2013 defineres overført resultat som fremført driftsresultat opgjort som det endelige overskud eller tab i henhold til de gældende regnskabsregler.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Kvalificeret overskud</w:t>
            </w:r>
          </w:p>
          <w:p>
            <w:pPr>
              <w:spacing w:after="120" w:line="240" w:lineRule="auto"/>
              <w:jc w:val="both"/>
              <w:rPr>
                <w:rFonts w:ascii="Times New Roman" w:eastAsia="Times New Roman" w:hAnsi="Times New Roman" w:cs="Times New Roman"/>
              </w:rPr>
            </w:pPr>
            <w:r>
              <w:rPr>
                <w:rFonts w:ascii="Times New Roman" w:hAnsi="Times New Roman"/>
              </w:rPr>
              <w:t>Artikel 4, stk. 1, nr. 121), artikel 26, stk. 2, og artikel 36, stk. 1, litra a),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I henhold til artikel 26, stk. 2, i forordning (EU) nr. 575/2013 kan foreløbige overskud og overskud ved årets udgang medregnes med den kompetente myndigheds forudgående tilladelse, hvis visse betingelser opfyldes.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Akkumuleret anden totalindkomst</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Artikel 26, stk. 1, litra d),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Andre reserver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4, stk. 1, nr. 117), og artikel 26, stk. 1, litra e),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indberettede beløb skal være fratrukket enhver form for skat, der kan forudses på beregningstidspunktet.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Justeringer af egentlig kernekapital som følge af filtre</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32-35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Andre midler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9, stk. 4,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EGENTLIGE KERNEKAPITAL</w:t>
            </w:r>
          </w:p>
          <w:p>
            <w:pPr>
              <w:spacing w:after="120" w:line="240" w:lineRule="auto"/>
              <w:jc w:val="both"/>
              <w:rPr>
                <w:rFonts w:ascii="Times New Roman" w:eastAsia="Times New Roman" w:hAnsi="Times New Roman" w:cs="Times New Roman"/>
                <w:bCs/>
              </w:rPr>
            </w:pPr>
            <w:r>
              <w:rPr>
                <w:rFonts w:ascii="Times New Roman" w:hAnsi="Times New Roman"/>
                <w:bCs/>
              </w:rPr>
              <w:t>Artikel 8, stk. 2, litra a), i forordning (EU) 2019/2033 og artikel 36, stk. 1, i forordning (EU) nr. 575/2013 med undtagelse af nævnte stykkes litra i).</w:t>
            </w:r>
          </w:p>
          <w:p>
            <w:pPr>
              <w:spacing w:after="120" w:line="240" w:lineRule="auto"/>
              <w:jc w:val="both"/>
              <w:rPr>
                <w:rFonts w:ascii="Times New Roman" w:eastAsia="Times New Roman" w:hAnsi="Times New Roman" w:cs="Times New Roman"/>
                <w:bCs/>
              </w:rPr>
            </w:pPr>
            <w:r>
              <w:rPr>
                <w:rFonts w:ascii="Times New Roman" w:hAnsi="Times New Roman"/>
                <w:bCs/>
              </w:rPr>
              <w:t>Summen af række 0150 og række 0190-0280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Egne egentlige kernekapitalinstrumenter</w:t>
            </w:r>
          </w:p>
          <w:p>
            <w:pPr>
              <w:rPr>
                <w:rFonts w:cs="Times New Roman"/>
              </w:rPr>
            </w:pPr>
            <w:r>
              <w:rPr>
                <w:rFonts w:ascii="Times New Roman" w:hAnsi="Times New Roman"/>
                <w:bCs/>
              </w:rPr>
              <w:t>Artikel 9, stk. 1, litra i), i forordning (EU) 2019/2033.</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Artikel 36, stk. 1, litra f), og artikel 42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Egne kernekapitalinstrumenter, som det indberettende institut eller den indberettende koncern er i besiddelse af på indberetningsdatoen. Med forbehold af undtagelser omhandlet i artikel 42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Besiddelser af aktier, der er anført som »Ikkekvalificerede kapitalinstrumenter«, indberettes ikke i denne række.</w:t>
            </w:r>
          </w:p>
          <w:p>
            <w:pPr>
              <w:pStyle w:val="InstructionsText"/>
              <w:rPr>
                <w:sz w:val="22"/>
                <w:szCs w:val="22"/>
              </w:rPr>
            </w:pPr>
            <w:r>
              <w:rPr>
                <w:rStyle w:val="FormatvorlageInstructionsTabelleText"/>
                <w:rFonts w:ascii="Times New Roman" w:hAnsi="Times New Roman"/>
                <w:sz w:val="22"/>
                <w:szCs w:val="22"/>
              </w:rPr>
              <w:t>Det indberettede beløb skal indbefatte overkurs ved emission i forbindelse med egne aktier.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Tab i det løbende regnskabsår</w:t>
            </w:r>
          </w:p>
          <w:p>
            <w:pPr>
              <w:spacing w:after="120" w:line="240" w:lineRule="auto"/>
              <w:jc w:val="both"/>
              <w:rPr>
                <w:rFonts w:ascii="Times New Roman" w:eastAsia="Times New Roman" w:hAnsi="Times New Roman" w:cs="Times New Roman"/>
                <w:b/>
                <w:bCs/>
                <w:u w:val="single"/>
              </w:rPr>
            </w:pPr>
            <w:r>
              <w:rPr>
                <w:rFonts w:ascii="Times New Roman" w:hAnsi="Times New Roman"/>
              </w:rPr>
              <w:t>Artikel 36, stk. 1, litra a),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lang w:val="sv-SE"/>
              </w:rPr>
            </w:pPr>
            <w:r>
              <w:rPr>
                <w:rFonts w:ascii="Times New Roman" w:hAnsi="Times New Roman"/>
                <w:b/>
                <w:bCs/>
                <w:u w:val="single"/>
                <w:lang w:val="sv-SE"/>
              </w:rPr>
              <w:t>(-) Goodwill</w:t>
            </w:r>
          </w:p>
          <w:p>
            <w:pPr>
              <w:spacing w:after="120" w:line="240" w:lineRule="auto"/>
              <w:jc w:val="both"/>
              <w:rPr>
                <w:rFonts w:ascii="Times New Roman" w:eastAsia="Times New Roman" w:hAnsi="Times New Roman" w:cs="Times New Roman"/>
                <w:bCs/>
                <w:lang w:val="sv-SE"/>
              </w:rPr>
            </w:pPr>
            <w:r>
              <w:rPr>
                <w:rFonts w:ascii="Times New Roman" w:hAnsi="Times New Roman"/>
                <w:bCs/>
                <w:lang w:val="sv-SE"/>
              </w:rPr>
              <w:t>Artikel 9, stk. 1, litra i), i forordning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Artikel 4, stk. 1, nr. 113), artikel 36, stk. 1, litra b), og artikel 37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Andre immaterielle aktiver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4, stk. 1, nr. 115), artikel 36, stk. 1, litra b), og artikel 37, litra a),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Andre immaterielle aktiver er immaterielle aktiver som i de gældende regnskabsregler minus goodwill, også i henhold til de gældende regnskabsregler.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Udskudte skatteaktiver, som afhænger af fremtidig rentabilitet og ikke skyldes midlertidige forskelle, fratrukket instituttets tilhørende udskudte skatteforpligtelser</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a),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36, stk. 1, litra c),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Kvalificeret deltagelse uden for den finansielle sektor, som udgør over 15 % af kapitalgrundlaget</w:t>
            </w:r>
          </w:p>
          <w:p>
            <w:pPr>
              <w:spacing w:after="120" w:line="240" w:lineRule="auto"/>
              <w:jc w:val="both"/>
              <w:rPr>
                <w:rFonts w:ascii="Times New Roman" w:eastAsia="Times New Roman" w:hAnsi="Times New Roman" w:cs="Times New Roman"/>
                <w:bCs/>
              </w:rPr>
            </w:pPr>
            <w:r>
              <w:rPr>
                <w:rFonts w:ascii="Times New Roman" w:hAnsi="Times New Roman"/>
                <w:bCs/>
              </w:rPr>
              <w:t>Artikel 10, stk. 1, litra a),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Samlet kvalificeret deltagelse i andre virksomheder end enheder i den finansielle sektor, som overstiger 60 % af dets kapitalgrundlag</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10, stk. 1, litra b), i forordning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Egentlige kernekapitalinstrumenter i enheder i den finansielle sektor, hvori moderselskabet ikke har væsentlige investeringer</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c),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36, stk. 1, litra h),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Ved moderselskab i Unionen i denne række forstås moderinvesteringsholdingselskaber i Unionen, blandet finansielt moderholdingselskab i Unionen eller ethvert andet moderselskab, der er et investeringsselskab, et finansieringsinstitut, accessorisk servicevirksomhed eller tilknyttet agent.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Aktiver i ydelsesbaseret pensionskasse</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b),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36, stk. 1, litra e),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Andre fradrag</w:t>
            </w:r>
          </w:p>
          <w:p>
            <w:pPr>
              <w:spacing w:after="120" w:line="240" w:lineRule="auto"/>
              <w:jc w:val="both"/>
              <w:rPr>
                <w:rFonts w:ascii="Times New Roman" w:eastAsia="Times New Roman" w:hAnsi="Times New Roman" w:cs="Times New Roman"/>
                <w:b/>
                <w:bCs/>
                <w:u w:val="single"/>
              </w:rPr>
            </w:pPr>
            <w:r>
              <w:rPr>
                <w:rFonts w:ascii="Times New Roman" w:hAnsi="Times New Roman"/>
              </w:rPr>
              <w:t>Summen af alle andre fradrag i henhold til artikel 36, stk. 1, i forordning (EU) nr. 575/2013, med undtagelse af fradragene i henhold til artikel 36, stk. 1, litra i), i forordning (EU) nr. 575/2013, der ikke indgår i en af rækkerne 0150-0270 ovenfor.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Egentlig kernekapital: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Overgangsjusteringer som følge af kapitalinstrumenter, der udgør egentlig kernekapital i henhold til overgangsbestemmelser (artikel 483, stk. 1, 2 og 3, og artikel 484-487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overgangsjusteringer af egentlig kernekapital (artikel 469-478 og 481 i forordning (EU) nr. 575/2013): justeringer af fradrag i egentlig kernekapital som følge af overgangsbestemmelser.</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egentlig kernekapital-elementer eller fradrag i et egentlig kernekapital-element, der ikke kan tildeles en af rækkerne 0040-0280.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HYBRID KERNEKAPITAL</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Artikel 61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direkte udstedte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litra a), og artikel 52, 53 og 54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 det indberettede beløb medregnes ikke overkurs ved emission i forbindelse med instrumenterne.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51, litra b),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Det beløb, der indberettes i denne post, skal være den andel, der vedrører de »indbetalte kapitalinstrumenter«.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HYBRIDE KERNEKAPITAL</w:t>
            </w:r>
          </w:p>
          <w:p>
            <w:pPr>
              <w:spacing w:before="60" w:after="60"/>
              <w:rPr>
                <w:rFonts w:ascii="Times New Roman" w:hAnsi="Times New Roman" w:cs="Times New Roman"/>
              </w:rPr>
            </w:pPr>
            <w:r>
              <w:rPr>
                <w:rFonts w:ascii="Times New Roman" w:hAnsi="Times New Roman"/>
              </w:rPr>
              <w:t>Artikel 56 i forordning (EU) nr. 575/2013 med undtagelse af nævnte artikels litra d).</w:t>
            </w:r>
          </w:p>
          <w:p>
            <w:pPr>
              <w:spacing w:after="120" w:line="240" w:lineRule="auto"/>
              <w:jc w:val="both"/>
              <w:rPr>
                <w:rFonts w:ascii="Times New Roman" w:eastAsia="Times New Roman" w:hAnsi="Times New Roman" w:cs="Times New Roman"/>
                <w:bCs/>
              </w:rPr>
            </w:pPr>
            <w:r>
              <w:rPr>
                <w:rFonts w:ascii="Times New Roman" w:hAnsi="Times New Roman"/>
                <w:bCs/>
              </w:rPr>
              <w:t>Den samlede sum af række 0340, række 0380 og række 0400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Egne hybride kernekapitalinstrumenter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52, stk. 1, litra b), artikel 56, litra a), og artikel 57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Egne hybride kernekapitalinstrumenter, som investeringsselskabet er i besiddelse af på indberetningsdatoen. Med forbehold af undtagelser omhandlet i artikel 57 i forordning (EU) nr. 575/2013.</w:t>
            </w:r>
          </w:p>
          <w:p>
            <w:pPr>
              <w:pStyle w:val="InstructionsText"/>
              <w:rPr>
                <w:sz w:val="22"/>
                <w:szCs w:val="22"/>
              </w:rPr>
            </w:pPr>
            <w:r>
              <w:rPr>
                <w:rStyle w:val="FormatvorlageInstructionsTabelleText"/>
                <w:rFonts w:ascii="Times New Roman" w:hAnsi="Times New Roman"/>
                <w:sz w:val="22"/>
                <w:szCs w:val="22"/>
              </w:rPr>
              <w:t>Det indberettede beløb skal indbefatte overkurs ved emission i forbindelse med egne aktier.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Hybride kapitalinstrumenter i enheder i den finansielle sektor, hvori moderselskabet ikke har væsentlige investeringer</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c),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56, litra c),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Ved moderselskab i Unionen i denne række forstås moderinvesteringsholdingselskaber i Unionen, blandede finansielle moderholdingselskaber i Unionen eller ethvert andet moderselskab, der er et investeringsselskab, et finansieringsinstitut, accessorisk servicevirksomhed eller tilknyttet agent.</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Andre fradrag</w:t>
            </w:r>
          </w:p>
          <w:p>
            <w:pPr>
              <w:spacing w:after="120" w:line="240" w:lineRule="auto"/>
              <w:jc w:val="both"/>
              <w:rPr>
                <w:rFonts w:ascii="Times New Roman" w:eastAsia="Times New Roman" w:hAnsi="Times New Roman" w:cs="Times New Roman"/>
                <w:b/>
                <w:bCs/>
                <w:u w:val="single"/>
              </w:rPr>
            </w:pPr>
            <w:r>
              <w:rPr>
                <w:rFonts w:ascii="Times New Roman" w:hAnsi="Times New Roman"/>
                <w:bCs/>
              </w:rPr>
              <w:t>Summen af alle andre fradrag i henhold til artikel 56 i forordning (EU) nr. 575/2013, med undtagelse af fradragene i henhold til artikel 56, litra d), i forordning (EU) nr. 575/2013, der ikke indgår i en af rækkerne 0340 eller 0380 ovenfor.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Hybrid kernekapital: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Overgangsjusteringer som følge af kapitalinstrumenter, der udgør hybrid kernekapital i henhold til overgangsbestemmelser (artikel 483, stk. 4 og 5, artikel 484-487 og artikel 489 og 491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overgangsjusteringer af hybrid kernekapital (artikel 472, 473a, 474, 475, 478 og 481 i forordning (EU) nr. 575/2013): justeringer af fradrag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Overskud af fradrag i hybride kernekapitalposter i forhold til den hybride kernekapital, fratrukket den egentlige kernekapital i overensstemmelse med artikel 36, stk. 1, litra j), i forordning (EU) nr. 575/2013: Hybrid kernekapital kan ikke være negativ, men det er muligt, at fradragene i hybride kernekapitalposter overstiger værdien af disponible hybride kernekapitalposter. Hvis dette forekommer, repræsenterer denne post det beløb, der er nødvendigt for at øge det beløb, der er indberettet i række 0300, til nul, og den svarer til det omvendte af overskydende fradrag i hybride kernekapitalposter i forhold til hybrid kernekapital, der blandt andre fradrag er medtaget i række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hybrid kernekapital-elementer eller fradrag i et hybrid kernekapital-element, der ikke kan tildeles en af rækkerne 0310-0400.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SUPPLERENDE KAPITAL</w:t>
            </w:r>
          </w:p>
          <w:p>
            <w:pPr>
              <w:spacing w:after="120" w:line="240" w:lineRule="auto"/>
              <w:jc w:val="both"/>
              <w:rPr>
                <w:rFonts w:ascii="Times New Roman" w:eastAsia="Times New Roman" w:hAnsi="Times New Roman" w:cs="Times New Roman"/>
                <w:bCs/>
              </w:rPr>
            </w:pPr>
            <w:r>
              <w:rPr>
                <w:rFonts w:ascii="Times New Roman" w:hAnsi="Times New Roman"/>
                <w:bCs/>
              </w:rPr>
              <w:t>Artikel 9, stk. 1, i forordning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Artikel 71 i forordning (EU) nr. 575/2013.</w:t>
            </w:r>
          </w:p>
          <w:p>
            <w:pPr>
              <w:pStyle w:val="CommentText"/>
              <w:rPr>
                <w:sz w:val="22"/>
                <w:szCs w:val="22"/>
              </w:rPr>
            </w:pPr>
            <w:r>
              <w:rPr>
                <w:rFonts w:ascii="Times New Roman" w:hAnsi="Times New Roman"/>
                <w:bCs/>
                <w:sz w:val="22"/>
                <w:szCs w:val="22"/>
              </w:rPr>
              <w:t>Den samlede sum af række 0430-0455 og række 0525 skal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Fuldt indbetalte, direkte udstedte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Artikel 62, litra a), og artikel 63 og 65 i forordning (EU) nr.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I det indberettede beløb medregnes ikke overkurs ved emission i forbindelse med instrumenterne.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Overkurs ved emission</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62, litra b), og artikel 65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Overkurs ved emission har samme betydning som i den gældende regnskabsstandard.</w:t>
            </w:r>
          </w:p>
          <w:p>
            <w:pPr>
              <w:pStyle w:val="InstructionsText"/>
              <w:rPr>
                <w:sz w:val="22"/>
                <w:szCs w:val="22"/>
              </w:rPr>
            </w:pPr>
            <w:r>
              <w:rPr>
                <w:rStyle w:val="FormatvorlageInstructionsTabelleText"/>
                <w:rFonts w:ascii="Times New Roman" w:hAnsi="Times New Roman"/>
                <w:sz w:val="22"/>
                <w:szCs w:val="22"/>
              </w:rPr>
              <w:t>Det beløb, der indberettes i denne post, skal være den andel, der vedrører de »indbetalte kapitalinstrumenter«.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FRADRAG I ALT I DEN SUPPLERENDE KAPITAL</w:t>
            </w:r>
          </w:p>
          <w:p>
            <w:pPr>
              <w:spacing w:after="120" w:line="240" w:lineRule="auto"/>
              <w:jc w:val="both"/>
              <w:rPr>
                <w:rFonts w:ascii="Times New Roman" w:eastAsia="Times New Roman" w:hAnsi="Times New Roman" w:cs="Times New Roman"/>
                <w:bCs/>
              </w:rPr>
            </w:pPr>
            <w:r>
              <w:rPr>
                <w:rFonts w:ascii="Times New Roman" w:hAnsi="Times New Roman"/>
              </w:rPr>
              <w:t>Artikel 66 i forordning (EU) nr. 575/2013 med undtagelse af nævnte artikels litra d).</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Egne supplerende kapitalinstrumenter</w:t>
            </w:r>
          </w:p>
          <w:p>
            <w:pPr>
              <w:spacing w:after="120" w:line="240" w:lineRule="auto"/>
              <w:jc w:val="both"/>
              <w:rPr>
                <w:rFonts w:ascii="Times New Roman" w:eastAsia="Times New Roman" w:hAnsi="Times New Roman" w:cs="Times New Roman"/>
                <w:bCs/>
              </w:rPr>
            </w:pPr>
            <w:r>
              <w:rPr>
                <w:rFonts w:ascii="Times New Roman" w:hAnsi="Times New Roman"/>
                <w:bCs/>
              </w:rPr>
              <w:t>Artikel 9, stk. 1, litra i), i forordning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Artikel 63, litra b), nr. i), artikel 66, litra a), og artikel 67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Egne supplerende kapitalinstrumenter, som det indberettende institut eller den indberettende koncern er i besiddelse af på indberetningsdatoen. Med forbehold af undtagelser omhandlet i artikel 67 i forordning (EU) nr.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Besiddelser af aktier, der er anført som »Ikkekvalificerede kapitalinstrumenter«, indberettes ikke i denne række.</w:t>
            </w:r>
          </w:p>
          <w:p>
            <w:pPr>
              <w:pStyle w:val="InstructionsText"/>
              <w:rPr>
                <w:sz w:val="22"/>
                <w:szCs w:val="22"/>
              </w:rPr>
            </w:pPr>
            <w:r>
              <w:rPr>
                <w:rStyle w:val="FormatvorlageInstructionsTabelleText"/>
                <w:rFonts w:ascii="Times New Roman" w:hAnsi="Times New Roman"/>
                <w:sz w:val="22"/>
                <w:szCs w:val="22"/>
              </w:rPr>
              <w:t>Det indberettede beløb skal indbefatte overkurs ved emission i forbindelse med egne aktier.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Supplerende kapitalinstrumenter i enheder i den finansielle sektor, hvori moderselskabet ikke har væsentlige investeringer</w:t>
            </w:r>
          </w:p>
          <w:p>
            <w:pPr>
              <w:spacing w:after="120" w:line="240" w:lineRule="auto"/>
              <w:jc w:val="both"/>
              <w:rPr>
                <w:rFonts w:ascii="Times New Roman" w:eastAsia="Times New Roman" w:hAnsi="Times New Roman" w:cs="Times New Roman"/>
                <w:bCs/>
              </w:rPr>
            </w:pPr>
            <w:r>
              <w:rPr>
                <w:rFonts w:ascii="Times New Roman" w:hAnsi="Times New Roman"/>
                <w:bCs/>
              </w:rPr>
              <w:t>Artikel 9, stk. 2, litra c),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Artikel 66, litra c), i forordning (EU) nr.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Ved moderselskab i Unionen i denne række forstås moderinvesteringsholdingselskaber i Unionen, blandede finansielle moderholdingselskaber i Unionen eller ethvert andet moderselskab, der er et investeringsselskab, et finansieringsinstitut, accessorisk servicevirksomhed eller tilknyttet agent.</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Supplerende kapital: Andre kapitalelementer, fradrag og justeringer</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summen af følgende poster, hvis de foreligger: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Overgangsjusteringer som følge af kapitalinstrumenter, der udgør supplerende kapital i henhold til overgangsbestemmelser (artikel 483, stk. 6 og 7, samt artikel 484, 486, 488, 490 og 491 i forordning (EU) nr.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overgangsjusteringer af supplerende kapital (artikel 472, 473a, 476, 477, 478 og 481 i forordning (EU) nr. 575/2013): Justeringer af fradrag i supplerende kapital som følge af overgangsbestemmelser</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Overskud af fradrag i supplerende kapitalposter i forhold til den supplerende kapital, fratrukket den hybride kernekapital i overensstemmelse med artikel 56, litra e), i forordning (EU) nr. 575/2013: Supplerende kapital kan ikke være negativ, men det er muligt, at fradragene i supplerende kapitalposter overstiger værdien af disponible supplerende kapitalposter. Hvis dette forekommer, repræsenterer denne post det beløb, der er nødvendigt for at øge det beløb, der er indberettet i række 0420, til nul.</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Andre supplerende kapital-elementer eller fradrag i et supplerende kapital-element, der ikke kan tildeles en af rækkerne 0430-0500.</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anvendes ikke til at medtage kapitalposter eller fradrag, som ikke er omfattet af forordning (EU) 2019/2033 eller forordning (EU) nr. 575/2013, i beregningen af solvensnøgletal.</w:t>
            </w:r>
          </w:p>
        </w:tc>
      </w:tr>
    </w:tbl>
    <w:p>
      <w:pPr>
        <w:pStyle w:val="Instructionsberschrift2"/>
        <w:ind w:left="357" w:hanging="357"/>
        <w:rPr>
          <w:rFonts w:ascii="Times New Roman" w:hAnsi="Times New Roman" w:cs="Times New Roman"/>
          <w:sz w:val="24"/>
          <w:u w:val="none"/>
        </w:rPr>
      </w:pPr>
      <w:bookmarkStart w:id="20" w:name="_Toc87533233"/>
      <w:r>
        <w:rPr>
          <w:rFonts w:ascii="Times New Roman" w:hAnsi="Times New Roman"/>
          <w:sz w:val="24"/>
        </w:rPr>
        <w:t>1.3. I 11.02 — KAPITALKRAV — KONCERNKAPITALTEST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7533234"/>
      <w:r>
        <w:rPr>
          <w:rFonts w:ascii="Times New Roman" w:hAnsi="Times New Roman"/>
          <w:sz w:val="24"/>
          <w:szCs w:val="24"/>
        </w:rPr>
        <w:t>1.3.1.</w:t>
      </w:r>
      <w:r>
        <w:tab/>
      </w:r>
      <w:r>
        <w:rPr>
          <w:rFonts w:ascii="Times New Roman" w:hAnsi="Times New Roman"/>
          <w:sz w:val="24"/>
          <w:szCs w:val="24"/>
          <w:u w:val="single"/>
        </w:rPr>
        <w:t>Instrukser vedrørende specifikke positioner</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Række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Egentlige kernekapitalinstrumenter i enheder i den finansielle sektor i investeringsselskabskoncernen, når moderselskabet har væsentlige investeringer i disse enheder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stk. 3, litra a), i forordning (EU) 2019/2033 og artikel 36, stk. 1, litra i), i forordning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Hybride kernekapitalinstrumenter i enheder i den finansielle sektor i investeringsselskabskoncernen, når moderselskabet har væsentlige investeringer i disse enheder</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 sammenholdt med artikel 56, litra d), i forordning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Supplerende kapitalinstrumenter i enheder i den finansielle sektor i investeringsselskabskoncernen, når moderselskabet har væsentlige investeringer i disse enheder</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stk. 3, litra a), i forordning (EU) 2019/2033 sammenholdt med artikel 66, litra d),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Besiddelser af enheder i den finansielle sektor i investeringsselskabskoncernen, i det omfang de ikke udgør kapitalgrundlag for den koncernenhed, som modervirksomheden investerer i</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Denne række omfatter moderselskabets besiddelser, i det omfang de ikke udgør kapitalgrundlag for den koncernenhed, som modervirksomheden investerer i.</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Efterstillede fordringer fra enheder i den finansielle sektor i investeringsselskabskoncernen</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række omfatter moderselskabets efterstillede tilgodehavender, i det omfang de ikke udgør kapitalgrundlag for den koncernenhed, som modervirksomheden investerer i</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Eventualforpligtelser til fordel for enheder i investeringsselskabskoncernen</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b),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Samlede kapitalgrundlagskrav for datterselskaberne</w:t>
            </w:r>
          </w:p>
          <w:p>
            <w:pPr>
              <w:spacing w:after="120" w:line="240" w:lineRule="auto"/>
              <w:jc w:val="both"/>
              <w:rPr>
                <w:rFonts w:ascii="Times New Roman" w:eastAsia="Times New Roman" w:hAnsi="Times New Roman" w:cs="Times New Roman"/>
                <w:bCs/>
              </w:rPr>
            </w:pPr>
            <w:r>
              <w:rPr>
                <w:rFonts w:ascii="Times New Roman" w:hAnsi="Times New Roman"/>
                <w:bCs/>
              </w:rPr>
              <w:t>Ved anvendelse af artikel 8, stk. 4, i forordning (EU) 2019/2033.</w:t>
            </w:r>
          </w:p>
        </w:tc>
      </w:tr>
    </w:tbl>
    <w:p>
      <w:pPr>
        <w:pStyle w:val="Instructionsberschrift2"/>
        <w:ind w:left="357" w:hanging="357"/>
        <w:rPr>
          <w:rFonts w:ascii="Times New Roman" w:hAnsi="Times New Roman" w:cs="Times New Roman"/>
          <w:sz w:val="24"/>
        </w:rPr>
      </w:pPr>
      <w:bookmarkStart w:id="22" w:name="_Toc87533235"/>
      <w:bookmarkEnd w:id="2"/>
      <w:bookmarkEnd w:id="3"/>
      <w:bookmarkEnd w:id="4"/>
      <w:bookmarkEnd w:id="5"/>
      <w:r>
        <w:rPr>
          <w:rFonts w:ascii="Times New Roman" w:hAnsi="Times New Roman"/>
          <w:sz w:val="24"/>
        </w:rPr>
        <w:t>1.4. IF 11.03 OPLYSNINGER OM DATTERSELSKABER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Alle enheder, der er omfattet af koncernkapitaltesten, indberettes i dette skema. Dette omfatter også selve koncernens moderselskab.</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7533236"/>
      <w:r>
        <w:rPr>
          <w:rFonts w:ascii="Times New Roman" w:hAnsi="Times New Roman"/>
          <w:sz w:val="24"/>
          <w:szCs w:val="24"/>
        </w:rPr>
        <w:t>1.4.1.</w:t>
      </w:r>
      <w:r>
        <w:tab/>
      </w:r>
      <w:r>
        <w:rPr>
          <w:rFonts w:ascii="Times New Roman" w:hAnsi="Times New Roman"/>
          <w:sz w:val="24"/>
          <w:szCs w:val="24"/>
          <w:u w:val="single"/>
        </w:rPr>
        <w:t>Instrukser vedrørende specifikke positioner</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Kolonner</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Henvisninger til retsakter og instrukser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Kode</w:t>
            </w:r>
          </w:p>
          <w:p>
            <w:pPr>
              <w:spacing w:after="120" w:line="240" w:lineRule="auto"/>
              <w:jc w:val="both"/>
              <w:rPr>
                <w:rFonts w:ascii="Times New Roman" w:eastAsia="Times New Roman" w:hAnsi="Times New Roman" w:cs="Times New Roman"/>
                <w:b/>
                <w:bCs/>
                <w:u w:val="single"/>
              </w:rPr>
            </w:pPr>
            <w:r>
              <w:rPr>
                <w:rFonts w:ascii="Times New Roman" w:hAnsi="Times New Roman"/>
                <w:bCs/>
              </w:rPr>
              <w:t>Koden skal som del af en ID-kode for en række være unik for hver indberettet enhed. For investeringsselskaber og forsikringsselskaber skal koden være LEI-koden. For andre enheder er koden LEI-koden, eller, hvis en sådan ikke foreligger, en national kode. Koden skal være unik og skal anvendes konsekvent i alle skemaer og over tid. Koden skal altid have en værdi.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Kodetype</w:t>
            </w:r>
          </w:p>
          <w:p>
            <w:pPr>
              <w:spacing w:after="120" w:line="240" w:lineRule="auto"/>
              <w:jc w:val="both"/>
              <w:rPr>
                <w:rFonts w:ascii="Times New Roman" w:eastAsia="Times New Roman" w:hAnsi="Times New Roman" w:cs="Times New Roman"/>
                <w:bCs/>
              </w:rPr>
            </w:pPr>
            <w:r>
              <w:rPr>
                <w:rFonts w:ascii="Times New Roman" w:hAnsi="Times New Roman"/>
                <w:bCs/>
              </w:rPr>
              <w:t>Den indberettende enhed skal identificere kodetypen, der er indberettet i kolonne 0010 som en »LEI-kode« eller »National kode«.</w:t>
            </w:r>
          </w:p>
          <w:p>
            <w:pPr>
              <w:spacing w:after="120" w:line="240" w:lineRule="auto"/>
              <w:jc w:val="both"/>
              <w:rPr>
                <w:rFonts w:ascii="Times New Roman" w:eastAsia="Times New Roman" w:hAnsi="Times New Roman" w:cs="Times New Roman"/>
                <w:b/>
                <w:bCs/>
                <w:u w:val="single"/>
              </w:rPr>
            </w:pPr>
            <w:r>
              <w:rPr>
                <w:rFonts w:ascii="Times New Roman" w:hAnsi="Times New Roman"/>
                <w:bCs/>
              </w:rPr>
              <w:t>Kodetypen skal altid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Selskabets navn</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Navnet på selskabet i konsolideringen.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Moderselskab/datterselskab</w:t>
            </w:r>
          </w:p>
          <w:p>
            <w:pPr>
              <w:spacing w:after="120" w:line="240" w:lineRule="auto"/>
              <w:jc w:val="both"/>
              <w:rPr>
                <w:rFonts w:ascii="Times New Roman" w:eastAsia="Times New Roman" w:hAnsi="Times New Roman" w:cs="Times New Roman"/>
                <w:bCs/>
              </w:rPr>
            </w:pPr>
            <w:r>
              <w:rPr>
                <w:rFonts w:ascii="Times New Roman" w:hAnsi="Times New Roman"/>
                <w:bCs/>
              </w:rPr>
              <w:t>Angiver, hvorvidt den enhed, der indberettes i rækken, er koncernens moderselskab eller et datterselskab</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Land</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Det land, hvor datterselskabet er beliggende, indberettes.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 – 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Moderselskabets investeringer</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I dette afsnit indberettes moderselskabets investeringer i koncernenhederne.</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CET1</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stk. 3, litra a), i forordning (EU) 2019/2033 og artikel 36, stk. 1, litra i), i forordning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AT1</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 sammenholdt med artikel 56, litra d), i forordning (EU) nr.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T2</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Artikel 8, stk. 3, litra a), i forordning (EU) 2019/2033 sammenholdt med artikel 66, litra d), i forordning (EU) nr.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Besiddelser</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w:t>
            </w:r>
          </w:p>
          <w:p>
            <w:pPr>
              <w:spacing w:after="120" w:line="240" w:lineRule="auto"/>
              <w:jc w:val="both"/>
              <w:rPr>
                <w:rFonts w:ascii="Times New Roman" w:eastAsia="Times New Roman" w:hAnsi="Times New Roman" w:cs="Times New Roman"/>
                <w:bCs/>
              </w:rPr>
            </w:pPr>
            <w:r>
              <w:rPr>
                <w:rFonts w:ascii="Times New Roman" w:hAnsi="Times New Roman"/>
                <w:bCs/>
              </w:rPr>
              <w:t>Denne kolonne omfatter moderselskabets besiddelser, i det omfang de ikke udgør kapitalgrundlag for den koncernenhed, som modervirksomheden investerer i.</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Efterstillede fordringer</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a), i forordning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Denne kolonne omfatter moderselskabets efterstillede tilgodehavender, i det omfang de ikke udgør kapitalgrundlag for den koncernenhed, som modervirksomheden investerer i.</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Modervirksomhedens eventualforpligtelser til fordel for enheden</w:t>
            </w:r>
          </w:p>
          <w:p>
            <w:pPr>
              <w:spacing w:after="120" w:line="240" w:lineRule="auto"/>
              <w:jc w:val="both"/>
              <w:rPr>
                <w:rFonts w:ascii="Times New Roman" w:eastAsia="Times New Roman" w:hAnsi="Times New Roman" w:cs="Times New Roman"/>
                <w:bCs/>
              </w:rPr>
            </w:pPr>
            <w:r>
              <w:rPr>
                <w:rFonts w:ascii="Times New Roman" w:hAnsi="Times New Roman"/>
                <w:bCs/>
              </w:rPr>
              <w:t>Artikel 8, stk. 3, litra b), i forordning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Samlede kapitalgrundlagskrav for datterselskaberne</w:t>
            </w:r>
          </w:p>
          <w:p>
            <w:pPr>
              <w:spacing w:after="120" w:line="240" w:lineRule="auto"/>
              <w:jc w:val="both"/>
              <w:rPr>
                <w:rFonts w:ascii="Times New Roman" w:eastAsia="Times New Roman" w:hAnsi="Times New Roman" w:cs="Times New Roman"/>
                <w:bCs/>
              </w:rPr>
            </w:pPr>
            <w:r>
              <w:rPr>
                <w:rFonts w:ascii="Times New Roman" w:hAnsi="Times New Roman"/>
                <w:bCs/>
              </w:rPr>
              <w:t>Artikel 8, stk. 4, i forordning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Permanent minimumskapital</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14 i forordning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K-faktorkrav</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Aktiver under forvaltning</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stk. 2, og artikel 17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Kunders penge, der opbevares — adskilt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stk. 2, og artikel 18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Kunders penge, der opbevares — ikkeadskilt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stk. 2, og artikel 18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Aktiver, der beskyttes og administreres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Artikel 15, stk. 2, og artikel 19 i forordning (EU) 2019/2033. </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Kundeordrer, der behandles — kontanthandler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stk. 2, artikel 20, stk. 1, og artikel 20, stk. 2, litra a),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Kundeordrer, der behandles — derivater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15, stk. 2, artikel 20, stk. 1, og artikel 20, stk. 2, litra b),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K-nettopositionsrisikokrav</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22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Opkrævet clearingmargen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23, stk. 2,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Handelsmodparters misligholdelse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26 og artikel 24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Daglig handelsstrøm — kontanthandler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Med henblik på beregning af K-faktorkravet skal investeringsselskaber indberette ved anvendelse af koefficienten i artikel 15, stk. 2, i forordning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I tilfælde af stressede markedsvilkår, jf. artikel 15, stk. 5, litra c), i forordning (EU) 2019/2033, anvender investeringsselskaber en justeret koefficient som specificeret i nævnte litra.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Faktoren for daglig handelsstrøm beregnes i overensstemmelse med artikel 33, stk. 2, litra a),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Daglig handelsstrøm — derivathandler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Med henblik på beregning af K-faktorkravet skal investeringsselskaber indberette ved anvendelse af koefficienten i artikel 15, stk. 2, i forordning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I tilfælde af stressede markedsvilkår, jf. artikel 15, stk. 5, litra c), i forordning (EU) 2019/2033, anvender investeringsselskaber en justeret koefficient som specificeret i nævnte litra.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Faktoren for daglig handelsstrøm beregnes i overensstemmelse med artikel 33, stk. 2, litra b),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K-koncentrationsrisikokrav</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37, stk. 2, artikel 39 og artikel 24 i forordning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Krav vedrørende faste omkostninger</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Artikel 13 i forordning (EU) 2019/2033.</w:t>
            </w:r>
          </w:p>
        </w:tc>
      </w:tr>
    </w:tbl>
    <w:p>
      <w:pPr>
        <w:pStyle w:val="Instructionsberschrift2"/>
        <w:ind w:left="357" w:hanging="357"/>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DA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da-DK"/>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87FD72F-FD07-4256-AFD5-7F0A6B389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3696</Words>
  <Characters>21073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2021-11-25T16:31:00Z</dcterms:modified>
  <cp:category/>
</cp:coreProperties>
</file>