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02EAB7" w14:textId="77777777" w:rsidR="00DB382A" w:rsidRPr="00970EC6" w:rsidRDefault="00970EC6">
      <w:pPr>
        <w:pStyle w:val="Annexetitre"/>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r w:rsidRPr="00970EC6">
        <w:t>PRÍLOHA VII – Pokyny pre vzory na zverejňovanie informácií o vlastných zdrojoch</w:t>
      </w:r>
    </w:p>
    <w:p w14:paraId="74F3659D" w14:textId="77777777" w:rsidR="00DB382A" w:rsidRPr="00970EC6" w:rsidRDefault="00970EC6">
      <w:pPr>
        <w:rPr>
          <w:rFonts w:ascii="Times New Roman" w:hAnsi="Times New Roman" w:cs="Times New Roman"/>
          <w:b/>
          <w:bCs/>
          <w:sz w:val="24"/>
        </w:rPr>
      </w:pPr>
      <w:r w:rsidRPr="00970EC6">
        <w:rPr>
          <w:rFonts w:ascii="Times New Roman" w:hAnsi="Times New Roman"/>
          <w:b/>
          <w:bCs/>
          <w:sz w:val="24"/>
        </w:rPr>
        <w:t>Vzory EU I CC</w:t>
      </w:r>
      <w:r w:rsidRPr="00970EC6">
        <w:rPr>
          <w:rFonts w:ascii="Times New Roman" w:hAnsi="Times New Roman"/>
          <w:b/>
          <w:bCs/>
          <w:sz w:val="24"/>
        </w:rPr>
        <w:t>1.01</w:t>
      </w:r>
      <w:r w:rsidRPr="00970EC6">
        <w:rPr>
          <w:rFonts w:ascii="Times New Roman" w:hAnsi="Times New Roman"/>
          <w:b/>
          <w:bCs/>
          <w:sz w:val="24"/>
        </w:rPr>
        <w:t>, EU I CC</w:t>
      </w:r>
      <w:r w:rsidRPr="00970EC6">
        <w:rPr>
          <w:rFonts w:ascii="Times New Roman" w:hAnsi="Times New Roman"/>
          <w:b/>
          <w:bCs/>
          <w:sz w:val="24"/>
        </w:rPr>
        <w:t>1.02</w:t>
      </w:r>
      <w:r w:rsidRPr="00970EC6">
        <w:rPr>
          <w:rFonts w:ascii="Times New Roman" w:hAnsi="Times New Roman"/>
          <w:b/>
          <w:bCs/>
          <w:sz w:val="24"/>
        </w:rPr>
        <w:t xml:space="preserve"> a EU I CC</w:t>
      </w:r>
      <w:r w:rsidRPr="00970EC6">
        <w:rPr>
          <w:rFonts w:ascii="Times New Roman" w:hAnsi="Times New Roman"/>
          <w:b/>
          <w:bCs/>
          <w:sz w:val="24"/>
        </w:rPr>
        <w:t>1.03</w:t>
      </w:r>
      <w:r w:rsidRPr="00970EC6">
        <w:rPr>
          <w:rFonts w:ascii="Times New Roman" w:hAnsi="Times New Roman"/>
          <w:b/>
          <w:bCs/>
          <w:sz w:val="24"/>
        </w:rPr>
        <w:t xml:space="preserve"> – Zloženie regulatórnych vlastných zdrojov</w:t>
      </w:r>
    </w:p>
    <w:p w14:paraId="388E310C" w14:textId="77777777" w:rsidR="00DB382A" w:rsidRPr="00970EC6" w:rsidRDefault="00970EC6">
      <w:pPr>
        <w:tabs>
          <w:tab w:val="left" w:pos="360"/>
        </w:tabs>
        <w:spacing w:before="120" w:after="120"/>
        <w:ind w:left="360" w:hanging="360"/>
        <w:jc w:val="both"/>
        <w:rPr>
          <w:rFonts w:ascii="Times New Roman" w:hAnsi="Times New Roman" w:cs="Times New Roman"/>
          <w:bCs/>
          <w:sz w:val="24"/>
        </w:rPr>
      </w:pPr>
      <w:r w:rsidRPr="00970EC6">
        <w:rPr>
          <w:rFonts w:ascii="Times New Roman" w:hAnsi="Times New Roman" w:cs="Times New Roman"/>
          <w:bCs/>
          <w:sz w:val="24"/>
        </w:rPr>
        <w:t>1.</w:t>
      </w:r>
      <w:r w:rsidRPr="00970EC6">
        <w:rPr>
          <w:rFonts w:ascii="Times New Roman" w:hAnsi="Times New Roman" w:cs="Times New Roman"/>
          <w:bCs/>
          <w:sz w:val="24"/>
        </w:rPr>
        <w:tab/>
      </w:r>
      <w:r w:rsidRPr="00970EC6">
        <w:rPr>
          <w:rFonts w:ascii="Times New Roman" w:hAnsi="Times New Roman"/>
          <w:bCs/>
          <w:sz w:val="24"/>
        </w:rPr>
        <w:t xml:space="preserve">Investičné spoločnosti uplatňujú pokyny uvedené v tejto </w:t>
      </w:r>
      <w:r w:rsidRPr="00970EC6">
        <w:rPr>
          <w:rFonts w:ascii="Times New Roman" w:hAnsi="Times New Roman"/>
          <w:bCs/>
          <w:sz w:val="24"/>
        </w:rPr>
        <w:t>prílohe s cieľom vyplniť vzor EU I CC1, ako sa uvádza v prílohe VI, podľa článku 49 ods. 1 písm. a) a c) nariadenia (EÚ) 2019/2033.</w:t>
      </w:r>
    </w:p>
    <w:p w14:paraId="41FC5A53" w14:textId="77777777" w:rsidR="00DB382A" w:rsidRPr="00970EC6" w:rsidRDefault="00970EC6">
      <w:pPr>
        <w:tabs>
          <w:tab w:val="left" w:pos="360"/>
        </w:tabs>
        <w:spacing w:before="120" w:after="120"/>
        <w:ind w:left="357" w:hanging="357"/>
        <w:jc w:val="both"/>
        <w:rPr>
          <w:rFonts w:ascii="Times New Roman" w:hAnsi="Times New Roman" w:cs="Times New Roman"/>
          <w:bCs/>
          <w:sz w:val="24"/>
        </w:rPr>
      </w:pPr>
      <w:r w:rsidRPr="00970EC6">
        <w:rPr>
          <w:rFonts w:ascii="Times New Roman" w:hAnsi="Times New Roman" w:cs="Times New Roman"/>
          <w:bCs/>
          <w:sz w:val="24"/>
        </w:rPr>
        <w:t>2.</w:t>
      </w:r>
      <w:r w:rsidRPr="00970EC6">
        <w:rPr>
          <w:rFonts w:ascii="Times New Roman" w:hAnsi="Times New Roman" w:cs="Times New Roman"/>
          <w:bCs/>
          <w:sz w:val="24"/>
        </w:rPr>
        <w:tab/>
      </w:r>
      <w:r w:rsidRPr="00970EC6">
        <w:rPr>
          <w:rFonts w:ascii="Times New Roman" w:hAnsi="Times New Roman"/>
          <w:bCs/>
          <w:sz w:val="24"/>
        </w:rPr>
        <w:t>Investičné spoločnosti vypĺňajú stĺpec b) tohto vzoru s cieľom vysvetliť zdroj každého zásadného vstupu, ktorý má krížovo</w:t>
      </w:r>
      <w:r w:rsidRPr="00970EC6">
        <w:rPr>
          <w:rFonts w:ascii="Times New Roman" w:hAnsi="Times New Roman"/>
          <w:bCs/>
          <w:sz w:val="24"/>
        </w:rPr>
        <w:t xml:space="preserve"> odkazovať na príslušné riadky vzoru EU I CC2.</w:t>
      </w:r>
    </w:p>
    <w:p w14:paraId="0921E824" w14:textId="77777777" w:rsidR="00DB382A" w:rsidRPr="00970EC6" w:rsidRDefault="00970EC6">
      <w:pPr>
        <w:tabs>
          <w:tab w:val="left" w:pos="360"/>
        </w:tabs>
        <w:spacing w:before="120" w:after="120"/>
        <w:ind w:left="360" w:hanging="360"/>
        <w:jc w:val="both"/>
        <w:rPr>
          <w:rFonts w:ascii="Times New Roman" w:hAnsi="Times New Roman" w:cs="Times New Roman"/>
          <w:bCs/>
          <w:sz w:val="24"/>
        </w:rPr>
      </w:pPr>
      <w:r w:rsidRPr="00970EC6">
        <w:rPr>
          <w:rFonts w:ascii="Times New Roman" w:hAnsi="Times New Roman" w:cs="Times New Roman"/>
          <w:bCs/>
          <w:sz w:val="24"/>
        </w:rPr>
        <w:t>3.</w:t>
      </w:r>
      <w:r w:rsidRPr="00970EC6">
        <w:rPr>
          <w:rFonts w:ascii="Times New Roman" w:hAnsi="Times New Roman" w:cs="Times New Roman"/>
          <w:bCs/>
          <w:sz w:val="24"/>
        </w:rPr>
        <w:tab/>
      </w:r>
      <w:r w:rsidRPr="00970EC6">
        <w:rPr>
          <w:rFonts w:ascii="Times New Roman" w:hAnsi="Times New Roman"/>
          <w:bCs/>
          <w:sz w:val="24"/>
        </w:rPr>
        <w:t>Investičné spoločnosti do opisu sprevádzajúceho daný vzor zahŕňajú opis všetkých obmedzení uplatňovaných na výpočet vlastných zdrojov v súlade s článkom 49 ods. 1 písm. c) nariadenia (EÚ) 2019/2033 a nástro</w:t>
      </w:r>
      <w:r w:rsidRPr="00970EC6">
        <w:rPr>
          <w:rFonts w:ascii="Times New Roman" w:hAnsi="Times New Roman"/>
          <w:bCs/>
          <w:sz w:val="24"/>
        </w:rPr>
        <w:t>jov a odpočtov, na ktoré sa tieto obmedzenia uplatňujú. Vysvetľujú v nich aj hlavné zmeny zverejnených súm v porovnaní s predchádzajúcimi obdobiami zverejňovania.</w:t>
      </w:r>
    </w:p>
    <w:p w14:paraId="74D35337" w14:textId="77777777" w:rsidR="00DB382A" w:rsidRPr="00970EC6" w:rsidRDefault="00970EC6">
      <w:pPr>
        <w:tabs>
          <w:tab w:val="left" w:pos="360"/>
        </w:tabs>
        <w:spacing w:before="120" w:after="120"/>
        <w:ind w:left="360" w:hanging="360"/>
        <w:jc w:val="both"/>
        <w:rPr>
          <w:rFonts w:ascii="Times New Roman" w:hAnsi="Times New Roman" w:cs="Times New Roman"/>
          <w:bCs/>
          <w:sz w:val="24"/>
        </w:rPr>
      </w:pPr>
      <w:r w:rsidRPr="00970EC6">
        <w:rPr>
          <w:rFonts w:ascii="Times New Roman" w:hAnsi="Times New Roman" w:cs="Times New Roman"/>
          <w:bCs/>
          <w:sz w:val="24"/>
        </w:rPr>
        <w:t>4.</w:t>
      </w:r>
      <w:r w:rsidRPr="00970EC6">
        <w:rPr>
          <w:rFonts w:ascii="Times New Roman" w:hAnsi="Times New Roman" w:cs="Times New Roman"/>
          <w:bCs/>
          <w:sz w:val="24"/>
        </w:rPr>
        <w:tab/>
      </w:r>
      <w:r w:rsidRPr="00970EC6">
        <w:rPr>
          <w:rFonts w:ascii="Times New Roman" w:hAnsi="Times New Roman"/>
          <w:bCs/>
          <w:sz w:val="24"/>
        </w:rPr>
        <w:t>Tento vzor je pevne stanovený a investičné spoločnosti ho zverejňujú v presne tom istom fo</w:t>
      </w:r>
      <w:r w:rsidRPr="00970EC6">
        <w:rPr>
          <w:rFonts w:ascii="Times New Roman" w:hAnsi="Times New Roman"/>
          <w:bCs/>
          <w:sz w:val="24"/>
        </w:rPr>
        <w:t>rmáte, aký sa uvádza v prílohe VI.</w:t>
      </w:r>
    </w:p>
    <w:p w14:paraId="6A2C5047" w14:textId="77777777" w:rsidR="00DB382A" w:rsidRPr="00970EC6" w:rsidRDefault="00970EC6">
      <w:pPr>
        <w:tabs>
          <w:tab w:val="left" w:pos="360"/>
        </w:tabs>
        <w:spacing w:before="120" w:after="120"/>
        <w:ind w:left="360" w:hanging="360"/>
        <w:jc w:val="both"/>
        <w:rPr>
          <w:rFonts w:ascii="Times New Roman" w:hAnsi="Times New Roman" w:cs="Times New Roman"/>
          <w:bCs/>
          <w:sz w:val="24"/>
        </w:rPr>
      </w:pPr>
      <w:r w:rsidRPr="00970EC6">
        <w:rPr>
          <w:rFonts w:ascii="Times New Roman" w:hAnsi="Times New Roman" w:cs="Times New Roman"/>
          <w:bCs/>
          <w:sz w:val="24"/>
        </w:rPr>
        <w:t>5.</w:t>
      </w:r>
      <w:r w:rsidRPr="00970EC6">
        <w:rPr>
          <w:rFonts w:ascii="Times New Roman" w:hAnsi="Times New Roman" w:cs="Times New Roman"/>
          <w:bCs/>
          <w:sz w:val="24"/>
        </w:rPr>
        <w:tab/>
      </w:r>
      <w:r w:rsidRPr="00970EC6">
        <w:rPr>
          <w:rFonts w:ascii="Times New Roman" w:hAnsi="Times New Roman"/>
          <w:bCs/>
          <w:sz w:val="24"/>
        </w:rPr>
        <w:t>Investičné spoločnosti iné než malé a neprepojené investičné spoločnosti zverejňujú informácie o zložení vlastných zdrojov v súlade so vzorom EU I CC</w:t>
      </w:r>
      <w:r w:rsidRPr="00970EC6">
        <w:rPr>
          <w:rFonts w:ascii="Times New Roman" w:hAnsi="Times New Roman"/>
          <w:bCs/>
          <w:sz w:val="24"/>
        </w:rPr>
        <w:t>1.01</w:t>
      </w:r>
      <w:r w:rsidRPr="00970EC6">
        <w:rPr>
          <w:rFonts w:ascii="Times New Roman" w:hAnsi="Times New Roman"/>
          <w:bCs/>
          <w:sz w:val="24"/>
        </w:rPr>
        <w:t xml:space="preserve"> uvedeným v prílohe VI. Malé a neprepojené investičné spoločnosti</w:t>
      </w:r>
      <w:r w:rsidRPr="00970EC6">
        <w:rPr>
          <w:rFonts w:ascii="Times New Roman" w:hAnsi="Times New Roman"/>
          <w:bCs/>
          <w:sz w:val="24"/>
        </w:rPr>
        <w:t xml:space="preserve"> s emisiami nástrojov dodatočného kapitálu Tier 1 zverejňujú informácie o zložení vlastných zdrojov v súlade so vzorom EU I CC</w:t>
      </w:r>
      <w:r w:rsidRPr="00970EC6">
        <w:rPr>
          <w:rFonts w:ascii="Times New Roman" w:hAnsi="Times New Roman"/>
          <w:bCs/>
          <w:sz w:val="24"/>
        </w:rPr>
        <w:t>1.02</w:t>
      </w:r>
      <w:r w:rsidRPr="00970EC6">
        <w:rPr>
          <w:rFonts w:ascii="Times New Roman" w:hAnsi="Times New Roman"/>
          <w:bCs/>
          <w:sz w:val="24"/>
        </w:rPr>
        <w:t>, ktorý je takisto uvedený v prílohe VI.</w:t>
      </w:r>
    </w:p>
    <w:p w14:paraId="411091D4" w14:textId="77777777" w:rsidR="00DB382A" w:rsidRPr="00970EC6" w:rsidRDefault="00970EC6">
      <w:pPr>
        <w:rPr>
          <w:rFonts w:ascii="Times New Roman" w:hAnsi="Times New Roman" w:cs="Times New Roman"/>
          <w:b/>
          <w:bCs/>
          <w:sz w:val="24"/>
        </w:rPr>
      </w:pPr>
      <w:r w:rsidRPr="00970EC6">
        <w:rPr>
          <w:rFonts w:ascii="Times New Roman" w:hAnsi="Times New Roman"/>
          <w:b/>
          <w:bCs/>
          <w:sz w:val="24"/>
        </w:rPr>
        <w:t>Vzor EU I CC</w:t>
      </w:r>
      <w:r w:rsidRPr="00970EC6">
        <w:rPr>
          <w:rFonts w:ascii="Times New Roman" w:hAnsi="Times New Roman"/>
          <w:b/>
          <w:bCs/>
          <w:sz w:val="24"/>
        </w:rPr>
        <w:t>1.01</w:t>
      </w:r>
      <w:r w:rsidRPr="00970EC6">
        <w:rPr>
          <w:rFonts w:ascii="Times New Roman" w:hAnsi="Times New Roman"/>
          <w:b/>
          <w:bCs/>
          <w:sz w:val="24"/>
        </w:rPr>
        <w:t xml:space="preserve"> – Zloženie regulatórnych vlastných zdrojov (investičné spoločnosti i</w:t>
      </w:r>
      <w:r w:rsidRPr="00970EC6">
        <w:rPr>
          <w:rFonts w:ascii="Times New Roman" w:hAnsi="Times New Roman"/>
          <w:b/>
          <w:bCs/>
          <w:sz w:val="24"/>
        </w:rPr>
        <w:t>né než malé a neprepojené investičné spoločnosti)</w:t>
      </w:r>
    </w:p>
    <w:tbl>
      <w:tblPr>
        <w:tblW w:w="881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9"/>
        <w:gridCol w:w="7683"/>
      </w:tblGrid>
      <w:tr w:rsidR="00DB382A" w:rsidRPr="00970EC6" w14:paraId="19A984F3" w14:textId="77777777">
        <w:trPr>
          <w:trHeight w:val="395"/>
        </w:trPr>
        <w:tc>
          <w:tcPr>
            <w:tcW w:w="8812" w:type="dxa"/>
            <w:gridSpan w:val="2"/>
            <w:shd w:val="clear" w:color="auto" w:fill="D9D9D9" w:themeFill="background1" w:themeFillShade="D9"/>
          </w:tcPr>
          <w:p w14:paraId="33B74A48" w14:textId="77777777" w:rsidR="00DB382A" w:rsidRPr="00970EC6" w:rsidRDefault="00970EC6">
            <w:pPr>
              <w:pStyle w:val="TableTitle"/>
              <w:spacing w:before="0" w:after="0"/>
              <w:jc w:val="left"/>
              <w:rPr>
                <w:rFonts w:ascii="Times New Roman" w:hAnsi="Times New Roman"/>
                <w:noProof w:val="0"/>
                <w:szCs w:val="22"/>
              </w:rPr>
            </w:pPr>
            <w:r w:rsidRPr="00970EC6">
              <w:rPr>
                <w:rFonts w:ascii="Times New Roman" w:hAnsi="Times New Roman"/>
                <w:noProof w:val="0"/>
                <w:szCs w:val="22"/>
              </w:rPr>
              <w:t>Právne predpisy a pokyny</w:t>
            </w:r>
          </w:p>
        </w:tc>
      </w:tr>
      <w:tr w:rsidR="00DB382A" w:rsidRPr="00970EC6" w14:paraId="7E2CAEBD" w14:textId="77777777">
        <w:tblPrEx>
          <w:tblLook w:val="00A0" w:firstRow="1" w:lastRow="0" w:firstColumn="1" w:lastColumn="0" w:noHBand="0" w:noVBand="0"/>
        </w:tblPrEx>
        <w:tc>
          <w:tcPr>
            <w:tcW w:w="1129" w:type="dxa"/>
            <w:tcBorders>
              <w:bottom w:val="single" w:sz="4" w:space="0" w:color="auto"/>
            </w:tcBorders>
            <w:shd w:val="clear" w:color="auto" w:fill="D9D9D9"/>
          </w:tcPr>
          <w:p w14:paraId="175E1B1F"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szCs w:val="22"/>
              </w:rPr>
              <w:t>Riadok</w:t>
            </w:r>
          </w:p>
        </w:tc>
        <w:tc>
          <w:tcPr>
            <w:tcW w:w="7683" w:type="dxa"/>
            <w:tcBorders>
              <w:bottom w:val="single" w:sz="4" w:space="0" w:color="auto"/>
            </w:tcBorders>
            <w:shd w:val="clear" w:color="auto" w:fill="D9D9D9"/>
          </w:tcPr>
          <w:p w14:paraId="10433A9F"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szCs w:val="22"/>
              </w:rPr>
              <w:t>Právne predpisy a pokyny</w:t>
            </w:r>
          </w:p>
        </w:tc>
      </w:tr>
      <w:tr w:rsidR="00DB382A" w:rsidRPr="00970EC6" w14:paraId="7644DE70" w14:textId="77777777">
        <w:tblPrEx>
          <w:tblLook w:val="00A0" w:firstRow="1" w:lastRow="0" w:firstColumn="1" w:lastColumn="0" w:noHBand="0" w:noVBand="0"/>
        </w:tblPrEx>
        <w:tc>
          <w:tcPr>
            <w:tcW w:w="1129" w:type="dxa"/>
            <w:shd w:val="clear" w:color="auto" w:fill="auto"/>
            <w:vAlign w:val="center"/>
          </w:tcPr>
          <w:p w14:paraId="133885B8"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
                <w:bCs/>
                <w:color w:val="000000"/>
                <w:szCs w:val="22"/>
              </w:rPr>
              <w:t>1</w:t>
            </w:r>
          </w:p>
        </w:tc>
        <w:tc>
          <w:tcPr>
            <w:tcW w:w="7683" w:type="dxa"/>
            <w:shd w:val="clear" w:color="auto" w:fill="auto"/>
          </w:tcPr>
          <w:p w14:paraId="7A6E9D76"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Vlastné zdroje</w:t>
            </w:r>
          </w:p>
          <w:p w14:paraId="009BABDC"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szCs w:val="22"/>
              </w:rPr>
              <w:t>článok 9 ods. 1 nariadenia (EÚ) 2019/2033</w:t>
            </w:r>
          </w:p>
          <w:p w14:paraId="6F1CD14A" w14:textId="77777777" w:rsidR="00DB382A" w:rsidRPr="00970EC6" w:rsidRDefault="00970EC6">
            <w:pPr>
              <w:spacing w:after="120"/>
              <w:jc w:val="both"/>
              <w:rPr>
                <w:rStyle w:val="FormatvorlageInstructionsTabelleText"/>
                <w:rFonts w:ascii="Times New Roman" w:hAnsi="Times New Roman"/>
                <w:sz w:val="22"/>
                <w:szCs w:val="22"/>
              </w:rPr>
            </w:pPr>
            <w:r w:rsidRPr="00970EC6">
              <w:rPr>
                <w:rStyle w:val="FormatvorlageInstructionsTabelleText"/>
                <w:rFonts w:ascii="Times New Roman" w:hAnsi="Times New Roman"/>
                <w:sz w:val="22"/>
                <w:szCs w:val="22"/>
              </w:rPr>
              <w:t xml:space="preserve">Vlastné zdroje investičnej spoločnosti pozostávajú zo súčtu jej vlastného </w:t>
            </w:r>
            <w:r w:rsidRPr="00970EC6">
              <w:rPr>
                <w:rStyle w:val="FormatvorlageInstructionsTabelleText"/>
                <w:rFonts w:ascii="Times New Roman" w:hAnsi="Times New Roman"/>
                <w:sz w:val="22"/>
                <w:szCs w:val="22"/>
              </w:rPr>
              <w:t>kapitálu Tier 1, dodatočného kapitálu Tier 1 a kapitálu Tier 2.</w:t>
            </w:r>
          </w:p>
          <w:p w14:paraId="3F95F0D4"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szCs w:val="22"/>
              </w:rPr>
              <w:t>Tento riadok je súčtom riadkov 2 a 40.</w:t>
            </w:r>
          </w:p>
        </w:tc>
      </w:tr>
      <w:tr w:rsidR="00DB382A" w:rsidRPr="00970EC6" w14:paraId="708146B1" w14:textId="77777777">
        <w:tblPrEx>
          <w:tblLook w:val="00A0" w:firstRow="1" w:lastRow="0" w:firstColumn="1" w:lastColumn="0" w:noHBand="0" w:noVBand="0"/>
        </w:tblPrEx>
        <w:tc>
          <w:tcPr>
            <w:tcW w:w="1129" w:type="dxa"/>
            <w:shd w:val="clear" w:color="auto" w:fill="auto"/>
            <w:vAlign w:val="center"/>
          </w:tcPr>
          <w:p w14:paraId="4B165E55"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
                <w:bCs/>
                <w:color w:val="000000"/>
                <w:szCs w:val="22"/>
              </w:rPr>
              <w:t>2</w:t>
            </w:r>
          </w:p>
        </w:tc>
        <w:tc>
          <w:tcPr>
            <w:tcW w:w="7683" w:type="dxa"/>
            <w:shd w:val="clear" w:color="auto" w:fill="auto"/>
          </w:tcPr>
          <w:p w14:paraId="342DAF3B"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Kapitál Tier 1</w:t>
            </w:r>
          </w:p>
          <w:p w14:paraId="57A847CB" w14:textId="77777777" w:rsidR="00DB382A" w:rsidRPr="00970EC6" w:rsidRDefault="00970EC6">
            <w:pPr>
              <w:spacing w:after="120"/>
              <w:jc w:val="both"/>
              <w:rPr>
                <w:rStyle w:val="FormatvorlageInstructionsTabelleText"/>
                <w:rFonts w:ascii="Times New Roman" w:hAnsi="Times New Roman"/>
                <w:sz w:val="22"/>
                <w:szCs w:val="22"/>
              </w:rPr>
            </w:pPr>
            <w:r w:rsidRPr="00970EC6">
              <w:rPr>
                <w:rStyle w:val="FormatvorlageInstructionsTabelleText"/>
                <w:rFonts w:ascii="Times New Roman" w:hAnsi="Times New Roman"/>
                <w:sz w:val="22"/>
                <w:szCs w:val="22"/>
              </w:rPr>
              <w:t>Kapitál Tier 1 je súčtom vlastného kapitálu Tier 1 a dodatočného kapitálu Tier 1.</w:t>
            </w:r>
          </w:p>
          <w:p w14:paraId="6DD71D05" w14:textId="77777777" w:rsidR="00DB382A" w:rsidRPr="00970EC6" w:rsidRDefault="00970EC6">
            <w:pPr>
              <w:spacing w:after="120"/>
              <w:jc w:val="both"/>
              <w:rPr>
                <w:rFonts w:ascii="Times New Roman" w:eastAsia="Times New Roman" w:hAnsi="Times New Roman" w:cs="Times New Roman"/>
                <w:b/>
                <w:bCs/>
                <w:szCs w:val="22"/>
              </w:rPr>
            </w:pPr>
            <w:r w:rsidRPr="00970EC6">
              <w:rPr>
                <w:rFonts w:ascii="Times New Roman" w:hAnsi="Times New Roman"/>
                <w:bCs/>
                <w:szCs w:val="22"/>
              </w:rPr>
              <w:t>Tento riadok je súčtom riadkov 3 a 28.</w:t>
            </w:r>
          </w:p>
        </w:tc>
      </w:tr>
      <w:tr w:rsidR="00DB382A" w:rsidRPr="00970EC6" w14:paraId="3E7DCC51" w14:textId="77777777">
        <w:tblPrEx>
          <w:tblLook w:val="00A0" w:firstRow="1" w:lastRow="0" w:firstColumn="1" w:lastColumn="0" w:noHBand="0" w:noVBand="0"/>
        </w:tblPrEx>
        <w:tc>
          <w:tcPr>
            <w:tcW w:w="1129" w:type="dxa"/>
            <w:shd w:val="clear" w:color="auto" w:fill="auto"/>
            <w:vAlign w:val="center"/>
          </w:tcPr>
          <w:p w14:paraId="2A81FA80"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
                <w:bCs/>
                <w:color w:val="000000"/>
                <w:szCs w:val="22"/>
              </w:rPr>
              <w:t>3</w:t>
            </w:r>
          </w:p>
        </w:tc>
        <w:tc>
          <w:tcPr>
            <w:tcW w:w="7683" w:type="dxa"/>
            <w:shd w:val="clear" w:color="auto" w:fill="auto"/>
          </w:tcPr>
          <w:p w14:paraId="5773C043"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Style w:val="InstructionsTabelleberschrift"/>
                <w:rFonts w:ascii="Times New Roman" w:hAnsi="Times New Roman"/>
                <w:sz w:val="22"/>
                <w:szCs w:val="22"/>
              </w:rPr>
              <w:t>Vlastný kapitál Tier 1</w:t>
            </w:r>
          </w:p>
          <w:p w14:paraId="0EA3BA49"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szCs w:val="22"/>
              </w:rPr>
              <w:t>článok 9 ods. 1 nariadenia (EÚ) 2019/2033</w:t>
            </w:r>
          </w:p>
          <w:p w14:paraId="3A2E443B" w14:textId="77777777" w:rsidR="00DB382A" w:rsidRPr="00970EC6" w:rsidRDefault="00970EC6">
            <w:pPr>
              <w:spacing w:after="120"/>
              <w:jc w:val="both"/>
              <w:rPr>
                <w:rStyle w:val="FormatvorlageInstructionsTabelleText"/>
                <w:rFonts w:ascii="Times New Roman" w:hAnsi="Times New Roman"/>
                <w:sz w:val="22"/>
                <w:szCs w:val="22"/>
              </w:rPr>
            </w:pPr>
            <w:r w:rsidRPr="00970EC6">
              <w:rPr>
                <w:rFonts w:ascii="Times New Roman" w:hAnsi="Times New Roman"/>
                <w:szCs w:val="22"/>
              </w:rPr>
              <w:t>článok 50 nariadenia (EÚ) č. 575/2013</w:t>
            </w:r>
          </w:p>
          <w:p w14:paraId="1BFC70BD"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szCs w:val="22"/>
              </w:rPr>
              <w:t>Zverejňuje sa celkový súčet riadkov 4 až 12 a riadku 27.</w:t>
            </w:r>
          </w:p>
        </w:tc>
      </w:tr>
      <w:tr w:rsidR="00DB382A" w:rsidRPr="00970EC6" w14:paraId="67B481E9" w14:textId="77777777">
        <w:tblPrEx>
          <w:tblLook w:val="00A0" w:firstRow="1" w:lastRow="0" w:firstColumn="1" w:lastColumn="0" w:noHBand="0" w:noVBand="0"/>
        </w:tblPrEx>
        <w:tc>
          <w:tcPr>
            <w:tcW w:w="1129" w:type="dxa"/>
            <w:shd w:val="clear" w:color="auto" w:fill="auto"/>
            <w:vAlign w:val="center"/>
          </w:tcPr>
          <w:p w14:paraId="7B14081A"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color w:val="000000"/>
                <w:szCs w:val="22"/>
              </w:rPr>
              <w:t>4</w:t>
            </w:r>
          </w:p>
        </w:tc>
        <w:tc>
          <w:tcPr>
            <w:tcW w:w="7683" w:type="dxa"/>
            <w:shd w:val="clear" w:color="auto" w:fill="auto"/>
          </w:tcPr>
          <w:p w14:paraId="4A87D4FE"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Úplne splatené kapitálové nástroje</w:t>
            </w:r>
          </w:p>
          <w:p w14:paraId="5802DE60"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szCs w:val="22"/>
              </w:rPr>
              <w:t>článok 9 ods. 1 bod i) nariadenia (EÚ) 2019/2033</w:t>
            </w:r>
          </w:p>
          <w:p w14:paraId="0119FB5F" w14:textId="77777777" w:rsidR="00DB382A" w:rsidRPr="00970EC6" w:rsidRDefault="00970EC6">
            <w:pPr>
              <w:pStyle w:val="InstructionsText"/>
              <w:rPr>
                <w:rStyle w:val="FormatvorlageInstructionsTabelleText"/>
                <w:rFonts w:ascii="Times New Roman" w:hAnsi="Times New Roman"/>
                <w:sz w:val="22"/>
              </w:rPr>
            </w:pPr>
            <w:r w:rsidRPr="00970EC6">
              <w:t>článok 26</w:t>
            </w:r>
            <w:r w:rsidRPr="00970EC6">
              <w:t xml:space="preserve"> ods. 1 písm. a) a články 27 až 31 nariadenia (EÚ) č. 575/2013</w:t>
            </w:r>
          </w:p>
          <w:p w14:paraId="5CCD0D9A" w14:textId="77777777" w:rsidR="00DB382A" w:rsidRPr="00970EC6" w:rsidRDefault="00DB382A">
            <w:pPr>
              <w:pStyle w:val="InstructionsText"/>
              <w:rPr>
                <w:rStyle w:val="FormatvorlageInstructionsTabelleText"/>
                <w:rFonts w:ascii="Times New Roman" w:hAnsi="Times New Roman"/>
                <w:sz w:val="22"/>
              </w:rPr>
            </w:pPr>
          </w:p>
          <w:p w14:paraId="418FBF96" w14:textId="77777777" w:rsidR="00DB382A" w:rsidRPr="00970EC6" w:rsidRDefault="00970EC6">
            <w:pPr>
              <w:pStyle w:val="InstructionsText"/>
              <w:rPr>
                <w:rStyle w:val="FormatvorlageInstructionsTabelleText"/>
                <w:rFonts w:ascii="Times New Roman" w:hAnsi="Times New Roman"/>
                <w:sz w:val="22"/>
              </w:rPr>
            </w:pPr>
            <w:r w:rsidRPr="00970EC6">
              <w:t>Zahŕňajú sa kapitálové nástroje vzájomných spoločností, družstevných spoločností alebo podobných inštitúcií [články 27 a 29 nariadenia (EÚ) č. 575/2013].</w:t>
            </w:r>
          </w:p>
          <w:p w14:paraId="42B5BF59" w14:textId="77777777" w:rsidR="00DB382A" w:rsidRPr="00970EC6" w:rsidRDefault="00970EC6">
            <w:pPr>
              <w:pStyle w:val="InstructionsText"/>
              <w:rPr>
                <w:rStyle w:val="FormatvorlageInstructionsTabelleText"/>
                <w:rFonts w:ascii="Times New Roman" w:hAnsi="Times New Roman"/>
                <w:sz w:val="22"/>
              </w:rPr>
            </w:pPr>
            <w:r w:rsidRPr="00970EC6">
              <w:rPr>
                <w:rStyle w:val="FormatvorlageInstructionsTabelleText"/>
                <w:rFonts w:ascii="Times New Roman" w:hAnsi="Times New Roman"/>
                <w:sz w:val="22"/>
              </w:rPr>
              <w:t xml:space="preserve">Emisné ážio súvisiace s týmito </w:t>
            </w:r>
            <w:r w:rsidRPr="00970EC6">
              <w:rPr>
                <w:rStyle w:val="FormatvorlageInstructionsTabelleText"/>
                <w:rFonts w:ascii="Times New Roman" w:hAnsi="Times New Roman"/>
                <w:sz w:val="22"/>
              </w:rPr>
              <w:t>nástrojmi sa sem nezahŕňa.</w:t>
            </w:r>
          </w:p>
          <w:p w14:paraId="517A9BB6" w14:textId="77777777" w:rsidR="00DB382A" w:rsidRPr="00970EC6" w:rsidRDefault="00970EC6">
            <w:pPr>
              <w:pStyle w:val="InstructionsText"/>
            </w:pPr>
            <w:r w:rsidRPr="00970EC6">
              <w:t>Kapitálové nástroje upísané orgánmi verejnej moci v núdzových situáciách sa zahŕňajú vtedy, ak sú splnené všetky podmienky článku 31 nariadenia (EÚ) č. 575/2013.</w:t>
            </w:r>
          </w:p>
        </w:tc>
      </w:tr>
      <w:tr w:rsidR="00DB382A" w:rsidRPr="00970EC6" w14:paraId="6FF8C80C" w14:textId="77777777">
        <w:tblPrEx>
          <w:tblLook w:val="00A0" w:firstRow="1" w:lastRow="0" w:firstColumn="1" w:lastColumn="0" w:noHBand="0" w:noVBand="0"/>
        </w:tblPrEx>
        <w:tc>
          <w:tcPr>
            <w:tcW w:w="1129" w:type="dxa"/>
            <w:shd w:val="clear" w:color="auto" w:fill="auto"/>
            <w:vAlign w:val="center"/>
          </w:tcPr>
          <w:p w14:paraId="12E8BDF6"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color w:val="000000"/>
                <w:szCs w:val="22"/>
              </w:rPr>
              <w:lastRenderedPageBreak/>
              <w:t>5</w:t>
            </w:r>
          </w:p>
        </w:tc>
        <w:tc>
          <w:tcPr>
            <w:tcW w:w="7683" w:type="dxa"/>
            <w:shd w:val="clear" w:color="auto" w:fill="auto"/>
          </w:tcPr>
          <w:p w14:paraId="05CC3294"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Emisné ážio</w:t>
            </w:r>
          </w:p>
          <w:p w14:paraId="05BD11B0"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szCs w:val="22"/>
              </w:rPr>
              <w:t>článok 9 ods. 1 bod i) nariadenia (EÚ) 2019/2033</w:t>
            </w:r>
          </w:p>
          <w:p w14:paraId="415C5013" w14:textId="77777777" w:rsidR="00DB382A" w:rsidRPr="00970EC6" w:rsidRDefault="00970EC6">
            <w:pPr>
              <w:spacing w:after="120"/>
              <w:jc w:val="both"/>
              <w:rPr>
                <w:rStyle w:val="FormatvorlageInstructionsTabelleText"/>
                <w:rFonts w:ascii="Times New Roman" w:hAnsi="Times New Roman"/>
                <w:sz w:val="22"/>
                <w:szCs w:val="22"/>
              </w:rPr>
            </w:pPr>
            <w:r w:rsidRPr="00970EC6">
              <w:rPr>
                <w:rFonts w:ascii="Times New Roman" w:hAnsi="Times New Roman"/>
                <w:szCs w:val="22"/>
              </w:rPr>
              <w:t>člá</w:t>
            </w:r>
            <w:r w:rsidRPr="00970EC6">
              <w:rPr>
                <w:rFonts w:ascii="Times New Roman" w:hAnsi="Times New Roman"/>
                <w:szCs w:val="22"/>
              </w:rPr>
              <w:t>nok 26 ods. 1 písm. b) nariadenia (EÚ) č. 575/2013</w:t>
            </w:r>
          </w:p>
          <w:p w14:paraId="0D78B927" w14:textId="77777777" w:rsidR="00DB382A" w:rsidRPr="00970EC6" w:rsidRDefault="00970EC6">
            <w:pPr>
              <w:pStyle w:val="InstructionsText"/>
              <w:rPr>
                <w:rStyle w:val="FormatvorlageInstructionsTabelleText"/>
                <w:rFonts w:ascii="Times New Roman" w:hAnsi="Times New Roman"/>
                <w:sz w:val="22"/>
              </w:rPr>
            </w:pPr>
            <w:r w:rsidRPr="00970EC6">
              <w:rPr>
                <w:rStyle w:val="FormatvorlageInstructionsTabelleText"/>
                <w:rFonts w:ascii="Times New Roman" w:hAnsi="Times New Roman"/>
                <w:sz w:val="22"/>
              </w:rPr>
              <w:t>Emisné ážio má ten istý význam ako v uplatniteľnom účtovnom štandarde.</w:t>
            </w:r>
          </w:p>
          <w:p w14:paraId="6B63D53F"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Style w:val="FormatvorlageInstructionsTabelleText"/>
                <w:rFonts w:ascii="Times New Roman" w:hAnsi="Times New Roman"/>
                <w:sz w:val="22"/>
                <w:szCs w:val="22"/>
              </w:rPr>
              <w:t>Suma zverejňovaná v tejto položke je časť súvisiaca so „splatenými kapitálovými nástrojmi“.</w:t>
            </w:r>
          </w:p>
        </w:tc>
      </w:tr>
      <w:tr w:rsidR="00DB382A" w:rsidRPr="00970EC6" w14:paraId="21EFC212" w14:textId="77777777">
        <w:tblPrEx>
          <w:tblLook w:val="00A0" w:firstRow="1" w:lastRow="0" w:firstColumn="1" w:lastColumn="0" w:noHBand="0" w:noVBand="0"/>
        </w:tblPrEx>
        <w:tc>
          <w:tcPr>
            <w:tcW w:w="1129" w:type="dxa"/>
            <w:shd w:val="clear" w:color="auto" w:fill="auto"/>
            <w:vAlign w:val="center"/>
          </w:tcPr>
          <w:p w14:paraId="361F5F6F"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color w:val="000000"/>
                <w:szCs w:val="22"/>
              </w:rPr>
              <w:t>6</w:t>
            </w:r>
          </w:p>
        </w:tc>
        <w:tc>
          <w:tcPr>
            <w:tcW w:w="7683" w:type="dxa"/>
            <w:shd w:val="clear" w:color="auto" w:fill="auto"/>
          </w:tcPr>
          <w:p w14:paraId="6C9CEE87"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Nerozdelené zisky</w:t>
            </w:r>
          </w:p>
          <w:p w14:paraId="5B779CA3"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szCs w:val="22"/>
              </w:rPr>
              <w:t>článok 9 ods. 1 bod i</w:t>
            </w:r>
            <w:r w:rsidRPr="00970EC6">
              <w:rPr>
                <w:rFonts w:ascii="Times New Roman" w:hAnsi="Times New Roman"/>
                <w:bCs/>
                <w:szCs w:val="22"/>
              </w:rPr>
              <w:t>) nariadenia (EÚ) 2019/2033</w:t>
            </w:r>
          </w:p>
          <w:p w14:paraId="16C11320" w14:textId="77777777" w:rsidR="00DB382A" w:rsidRPr="00970EC6" w:rsidRDefault="00970EC6">
            <w:pPr>
              <w:spacing w:after="120"/>
              <w:jc w:val="both"/>
              <w:rPr>
                <w:rStyle w:val="FormatvorlageInstructionsTabelleText"/>
                <w:rFonts w:ascii="Times New Roman" w:hAnsi="Times New Roman"/>
                <w:sz w:val="22"/>
                <w:szCs w:val="22"/>
              </w:rPr>
            </w:pPr>
            <w:r w:rsidRPr="00970EC6">
              <w:rPr>
                <w:rFonts w:ascii="Times New Roman" w:hAnsi="Times New Roman"/>
                <w:szCs w:val="22"/>
              </w:rPr>
              <w:t>článok 26 ods. 1 písm. c) nariadenia (EÚ) č. 575/2013</w:t>
            </w:r>
          </w:p>
          <w:p w14:paraId="08077A69"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Style w:val="FormatvorlageInstructionsTabelleText"/>
                <w:rFonts w:ascii="Times New Roman" w:hAnsi="Times New Roman"/>
                <w:sz w:val="22"/>
                <w:szCs w:val="22"/>
              </w:rPr>
              <w:t>Nerozdelené zisky zahŕňajú nerozdelené zisky z predchádzajúceho roka a prípustné predbežné alebo koncoročné zisky.</w:t>
            </w:r>
          </w:p>
        </w:tc>
      </w:tr>
      <w:tr w:rsidR="00DB382A" w:rsidRPr="00970EC6" w14:paraId="05FA8AB9" w14:textId="77777777">
        <w:tblPrEx>
          <w:tblLook w:val="00A0" w:firstRow="1" w:lastRow="0" w:firstColumn="1" w:lastColumn="0" w:noHBand="0" w:noVBand="0"/>
        </w:tblPrEx>
        <w:tc>
          <w:tcPr>
            <w:tcW w:w="1129" w:type="dxa"/>
            <w:shd w:val="clear" w:color="auto" w:fill="auto"/>
            <w:vAlign w:val="center"/>
          </w:tcPr>
          <w:p w14:paraId="05F501A9"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color w:val="000000"/>
                <w:szCs w:val="22"/>
              </w:rPr>
              <w:t>7</w:t>
            </w:r>
          </w:p>
        </w:tc>
        <w:tc>
          <w:tcPr>
            <w:tcW w:w="7683" w:type="dxa"/>
            <w:shd w:val="clear" w:color="auto" w:fill="auto"/>
          </w:tcPr>
          <w:p w14:paraId="234D710F"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Akumulovaný iný komplexný účtovný výsledok</w:t>
            </w:r>
          </w:p>
          <w:p w14:paraId="6CF71CEB"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szCs w:val="22"/>
              </w:rPr>
              <w:t>článok 9 ods. 1 bod i) nariadenia (EÚ) 2019/2033</w:t>
            </w:r>
          </w:p>
          <w:p w14:paraId="5F1D66B8" w14:textId="77777777" w:rsidR="00DB382A" w:rsidRPr="00970EC6" w:rsidRDefault="00970EC6">
            <w:pPr>
              <w:spacing w:after="120"/>
              <w:jc w:val="both"/>
              <w:rPr>
                <w:rFonts w:ascii="Times New Roman" w:hAnsi="Times New Roman" w:cs="Times New Roman"/>
                <w:bCs/>
                <w:szCs w:val="22"/>
              </w:rPr>
            </w:pPr>
            <w:r w:rsidRPr="00970EC6">
              <w:rPr>
                <w:rFonts w:ascii="Times New Roman" w:hAnsi="Times New Roman"/>
                <w:szCs w:val="22"/>
              </w:rPr>
              <w:t>článok 26 ods. 1 písm. d) nariadenia (EÚ) č. 575/2013</w:t>
            </w:r>
          </w:p>
        </w:tc>
      </w:tr>
      <w:tr w:rsidR="00DB382A" w:rsidRPr="00970EC6" w14:paraId="5C872497" w14:textId="77777777">
        <w:tblPrEx>
          <w:tblLook w:val="00A0" w:firstRow="1" w:lastRow="0" w:firstColumn="1" w:lastColumn="0" w:noHBand="0" w:noVBand="0"/>
        </w:tblPrEx>
        <w:tc>
          <w:tcPr>
            <w:tcW w:w="1129" w:type="dxa"/>
            <w:shd w:val="clear" w:color="auto" w:fill="auto"/>
            <w:vAlign w:val="center"/>
          </w:tcPr>
          <w:p w14:paraId="77A88191"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color w:val="000000"/>
                <w:szCs w:val="22"/>
              </w:rPr>
              <w:t>8</w:t>
            </w:r>
          </w:p>
        </w:tc>
        <w:tc>
          <w:tcPr>
            <w:tcW w:w="7683" w:type="dxa"/>
            <w:tcBorders>
              <w:bottom w:val="single" w:sz="4" w:space="0" w:color="auto"/>
            </w:tcBorders>
            <w:shd w:val="clear" w:color="auto" w:fill="auto"/>
          </w:tcPr>
          <w:p w14:paraId="167F97E2"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Ostatné rezervy</w:t>
            </w:r>
          </w:p>
          <w:p w14:paraId="37F2647C"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szCs w:val="22"/>
              </w:rPr>
              <w:t>článok 9 ods. 1 bod i) nariadenia (EÚ) 2019/2033</w:t>
            </w:r>
          </w:p>
          <w:p w14:paraId="6905C967" w14:textId="77777777" w:rsidR="00DB382A" w:rsidRPr="00970EC6" w:rsidRDefault="00970EC6">
            <w:pPr>
              <w:spacing w:after="120"/>
              <w:jc w:val="both"/>
              <w:rPr>
                <w:rStyle w:val="FormatvorlageInstructionsTabelleText"/>
                <w:rFonts w:ascii="Times New Roman" w:hAnsi="Times New Roman"/>
                <w:sz w:val="22"/>
                <w:szCs w:val="22"/>
              </w:rPr>
            </w:pPr>
            <w:r w:rsidRPr="00970EC6">
              <w:rPr>
                <w:rFonts w:ascii="Times New Roman" w:hAnsi="Times New Roman"/>
                <w:szCs w:val="22"/>
              </w:rPr>
              <w:t>článok 4 ods. 1 bod 117 a článok 26 ods. 1 písm. e) nariadenia (EÚ) č. 575/2013</w:t>
            </w:r>
          </w:p>
          <w:p w14:paraId="1E0C64E3"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Style w:val="FormatvorlageInstructionsTabelleText"/>
                <w:rFonts w:ascii="Times New Roman" w:hAnsi="Times New Roman"/>
                <w:sz w:val="22"/>
                <w:szCs w:val="22"/>
              </w:rPr>
              <w:t>Suma je zverejňovaná po odpočítaní daňových poplatkov, ktoré sa predpokladajú v čase výpočtu.</w:t>
            </w:r>
          </w:p>
        </w:tc>
      </w:tr>
      <w:tr w:rsidR="00DB382A" w:rsidRPr="00970EC6" w14:paraId="13B7CDDB" w14:textId="77777777">
        <w:tblPrEx>
          <w:tblLook w:val="00A0" w:firstRow="1" w:lastRow="0" w:firstColumn="1" w:lastColumn="0" w:noHBand="0" w:noVBand="0"/>
        </w:tblPrEx>
        <w:tc>
          <w:tcPr>
            <w:tcW w:w="1129" w:type="dxa"/>
            <w:shd w:val="clear" w:color="auto" w:fill="auto"/>
            <w:vAlign w:val="center"/>
          </w:tcPr>
          <w:p w14:paraId="4793A3AD"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color w:val="000000"/>
                <w:szCs w:val="22"/>
              </w:rPr>
              <w:t>9</w:t>
            </w:r>
          </w:p>
        </w:tc>
        <w:tc>
          <w:tcPr>
            <w:tcW w:w="7683" w:type="dxa"/>
            <w:shd w:val="clear" w:color="auto" w:fill="auto"/>
          </w:tcPr>
          <w:p w14:paraId="05FAF021"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Menšinová účasť uznaná vo vlastnom kapitáli Tier 1</w:t>
            </w:r>
          </w:p>
          <w:p w14:paraId="06DAD205"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Style w:val="FormatvorlageInstructionsTabelleText"/>
                <w:rFonts w:ascii="Times New Roman" w:hAnsi="Times New Roman"/>
                <w:sz w:val="22"/>
                <w:szCs w:val="22"/>
              </w:rPr>
              <w:t xml:space="preserve">Súčet všetkých hodnôt menšinových účastí dcérskych podnikov, ktoré sú zahrnuté do </w:t>
            </w:r>
            <w:r w:rsidRPr="00970EC6">
              <w:rPr>
                <w:rStyle w:val="FormatvorlageInstructionsTabelleText"/>
                <w:rFonts w:ascii="Times New Roman" w:hAnsi="Times New Roman"/>
                <w:sz w:val="22"/>
                <w:szCs w:val="22"/>
              </w:rPr>
              <w:t>konsolidovaného vlastného kapitálu Tier 1.</w:t>
            </w:r>
          </w:p>
        </w:tc>
      </w:tr>
      <w:tr w:rsidR="00DB382A" w:rsidRPr="00970EC6" w14:paraId="41BB09C3" w14:textId="77777777">
        <w:tblPrEx>
          <w:tblLook w:val="00A0" w:firstRow="1" w:lastRow="0" w:firstColumn="1" w:lastColumn="0" w:noHBand="0" w:noVBand="0"/>
        </w:tblPrEx>
        <w:tc>
          <w:tcPr>
            <w:tcW w:w="1129" w:type="dxa"/>
            <w:shd w:val="clear" w:color="auto" w:fill="auto"/>
            <w:vAlign w:val="center"/>
          </w:tcPr>
          <w:p w14:paraId="0D60FB57" w14:textId="77777777" w:rsidR="00DB382A" w:rsidRPr="00970EC6" w:rsidRDefault="00970EC6">
            <w:pPr>
              <w:spacing w:after="120"/>
              <w:jc w:val="both"/>
              <w:rPr>
                <w:rFonts w:ascii="Times New Roman" w:hAnsi="Times New Roman" w:cs="Times New Roman"/>
                <w:color w:val="000000"/>
                <w:szCs w:val="22"/>
              </w:rPr>
            </w:pPr>
            <w:r w:rsidRPr="00970EC6">
              <w:rPr>
                <w:rFonts w:ascii="Times New Roman" w:hAnsi="Times New Roman"/>
                <w:color w:val="000000"/>
                <w:szCs w:val="22"/>
              </w:rPr>
              <w:t>10</w:t>
            </w:r>
          </w:p>
        </w:tc>
        <w:tc>
          <w:tcPr>
            <w:tcW w:w="7683" w:type="dxa"/>
            <w:shd w:val="clear" w:color="auto" w:fill="auto"/>
          </w:tcPr>
          <w:p w14:paraId="5C96F598"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Úpravy vlastného kapitálu Tier 1 na základe prudenciálnych filtrov</w:t>
            </w:r>
          </w:p>
          <w:p w14:paraId="2658C2E1" w14:textId="77777777" w:rsidR="00DB382A" w:rsidRPr="00970EC6" w:rsidRDefault="00970EC6">
            <w:pPr>
              <w:spacing w:after="120"/>
              <w:jc w:val="both"/>
              <w:rPr>
                <w:rStyle w:val="FormatvorlageInstructionsTabelleText"/>
                <w:rFonts w:ascii="Times New Roman" w:hAnsi="Times New Roman"/>
                <w:sz w:val="22"/>
                <w:szCs w:val="22"/>
              </w:rPr>
            </w:pPr>
            <w:r w:rsidRPr="00970EC6">
              <w:rPr>
                <w:rFonts w:ascii="Times New Roman" w:hAnsi="Times New Roman"/>
                <w:szCs w:val="22"/>
              </w:rPr>
              <w:t>článok 9 ods. 1 bod i) nariadenia (EÚ) 2019/2033</w:t>
            </w:r>
          </w:p>
          <w:p w14:paraId="3638F27A"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szCs w:val="22"/>
              </w:rPr>
              <w:t>články 32 až 35 nariadenia (EÚ) č. 575/2013</w:t>
            </w:r>
          </w:p>
        </w:tc>
      </w:tr>
      <w:tr w:rsidR="00DB382A" w:rsidRPr="00970EC6" w14:paraId="2972CF5D" w14:textId="77777777">
        <w:tblPrEx>
          <w:tblLook w:val="00A0" w:firstRow="1" w:lastRow="0" w:firstColumn="1" w:lastColumn="0" w:noHBand="0" w:noVBand="0"/>
        </w:tblPrEx>
        <w:tc>
          <w:tcPr>
            <w:tcW w:w="1129" w:type="dxa"/>
            <w:shd w:val="clear" w:color="auto" w:fill="auto"/>
            <w:vAlign w:val="center"/>
          </w:tcPr>
          <w:p w14:paraId="3F7256B5" w14:textId="77777777" w:rsidR="00DB382A" w:rsidRPr="00970EC6" w:rsidRDefault="00970EC6">
            <w:pPr>
              <w:spacing w:after="120"/>
              <w:jc w:val="both"/>
              <w:rPr>
                <w:rFonts w:ascii="Times New Roman" w:hAnsi="Times New Roman" w:cs="Times New Roman"/>
                <w:color w:val="000000"/>
                <w:szCs w:val="22"/>
              </w:rPr>
            </w:pPr>
            <w:r w:rsidRPr="00970EC6">
              <w:rPr>
                <w:rFonts w:ascii="Times New Roman" w:hAnsi="Times New Roman"/>
                <w:color w:val="000000"/>
                <w:szCs w:val="22"/>
              </w:rPr>
              <w:t>11</w:t>
            </w:r>
          </w:p>
        </w:tc>
        <w:tc>
          <w:tcPr>
            <w:tcW w:w="7683" w:type="dxa"/>
            <w:shd w:val="clear" w:color="auto" w:fill="auto"/>
          </w:tcPr>
          <w:p w14:paraId="20752191"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Ostatné fondy</w:t>
            </w:r>
          </w:p>
          <w:p w14:paraId="489579EA"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Cs/>
              </w:rPr>
              <w:t xml:space="preserve">článok 9 ods. 4 </w:t>
            </w:r>
            <w:r w:rsidRPr="00970EC6">
              <w:rPr>
                <w:rFonts w:ascii="Times New Roman" w:hAnsi="Times New Roman"/>
                <w:bCs/>
              </w:rPr>
              <w:t>nariadenia (EÚ) 2019/2033</w:t>
            </w:r>
          </w:p>
        </w:tc>
      </w:tr>
      <w:tr w:rsidR="00DB382A" w:rsidRPr="00970EC6" w14:paraId="3C9448AE" w14:textId="77777777">
        <w:tblPrEx>
          <w:tblLook w:val="00A0" w:firstRow="1" w:lastRow="0" w:firstColumn="1" w:lastColumn="0" w:noHBand="0" w:noVBand="0"/>
        </w:tblPrEx>
        <w:tc>
          <w:tcPr>
            <w:tcW w:w="1129" w:type="dxa"/>
            <w:shd w:val="clear" w:color="auto" w:fill="auto"/>
            <w:vAlign w:val="center"/>
          </w:tcPr>
          <w:p w14:paraId="3489F5F5"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color w:val="000000"/>
                <w:szCs w:val="22"/>
              </w:rPr>
              <w:t>12</w:t>
            </w:r>
          </w:p>
        </w:tc>
        <w:tc>
          <w:tcPr>
            <w:tcW w:w="7683" w:type="dxa"/>
            <w:shd w:val="clear" w:color="auto" w:fill="auto"/>
          </w:tcPr>
          <w:p w14:paraId="2BAD834F"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 CELKOVÉ ODPOČTY OD VLASTNÉHO KAPITÁLU TIER 1</w:t>
            </w:r>
          </w:p>
          <w:p w14:paraId="3A93363B"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szCs w:val="22"/>
              </w:rPr>
              <w:t>Zverejňuje sa celkový súčet riadku 13 a riadkov 17 až 26.</w:t>
            </w:r>
          </w:p>
        </w:tc>
      </w:tr>
      <w:tr w:rsidR="00DB382A" w:rsidRPr="00970EC6" w14:paraId="539AB13D" w14:textId="77777777">
        <w:tblPrEx>
          <w:tblLook w:val="00A0" w:firstRow="1" w:lastRow="0" w:firstColumn="1" w:lastColumn="0" w:noHBand="0" w:noVBand="0"/>
        </w:tblPrEx>
        <w:tc>
          <w:tcPr>
            <w:tcW w:w="1129" w:type="dxa"/>
            <w:shd w:val="clear" w:color="auto" w:fill="auto"/>
            <w:vAlign w:val="center"/>
          </w:tcPr>
          <w:p w14:paraId="1FB50D7C"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color w:val="000000"/>
                <w:szCs w:val="22"/>
              </w:rPr>
              <w:t>13</w:t>
            </w:r>
          </w:p>
        </w:tc>
        <w:tc>
          <w:tcPr>
            <w:tcW w:w="7683" w:type="dxa"/>
            <w:shd w:val="clear" w:color="auto" w:fill="auto"/>
          </w:tcPr>
          <w:p w14:paraId="7FD31274"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 Nástroje vlastného kapitálu Tier 1</w:t>
            </w:r>
          </w:p>
          <w:p w14:paraId="5F77E61F"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rPr>
              <w:t>článok 9 ods. 1 bod i) nariadenia (EÚ) 2019/2033</w:t>
            </w:r>
          </w:p>
          <w:p w14:paraId="15C42861" w14:textId="77777777" w:rsidR="00DB382A" w:rsidRPr="00970EC6" w:rsidRDefault="00970EC6">
            <w:pPr>
              <w:pStyle w:val="InstructionsText"/>
              <w:rPr>
                <w:rStyle w:val="FormatvorlageInstructionsTabelleText"/>
                <w:rFonts w:ascii="Times New Roman" w:hAnsi="Times New Roman"/>
                <w:sz w:val="22"/>
              </w:rPr>
            </w:pPr>
            <w:r w:rsidRPr="00970EC6">
              <w:t>článok 36 ods. 1 písm. f) a</w:t>
            </w:r>
            <w:r w:rsidRPr="00970EC6">
              <w:t> článok 42 nariadenia (EÚ) č. 575/2013</w:t>
            </w:r>
          </w:p>
          <w:p w14:paraId="214DC10B" w14:textId="77777777" w:rsidR="00DB382A" w:rsidRPr="00970EC6" w:rsidRDefault="00970EC6">
            <w:pPr>
              <w:pStyle w:val="InstructionsText"/>
              <w:rPr>
                <w:rStyle w:val="FormatvorlageInstructionsTabelleText"/>
                <w:rFonts w:ascii="Times New Roman" w:hAnsi="Times New Roman"/>
                <w:sz w:val="22"/>
              </w:rPr>
            </w:pPr>
            <w:r w:rsidRPr="00970EC6">
              <w:rPr>
                <w:rStyle w:val="FormatvorlageInstructionsTabelleText"/>
                <w:rFonts w:ascii="Times New Roman" w:hAnsi="Times New Roman"/>
                <w:sz w:val="22"/>
              </w:rPr>
              <w:lastRenderedPageBreak/>
              <w:t>Vlastný kapitál Tier 1, ktorý vykazujúca inštitúcia alebo skupina drží k dátumu vykazovania. S </w:t>
            </w:r>
            <w:r w:rsidRPr="00970EC6">
              <w:t>výhradou výnimiek v článku 42 nariadenia (EÚ) č. 575/2013.</w:t>
            </w:r>
          </w:p>
          <w:p w14:paraId="3EF3987D" w14:textId="77777777" w:rsidR="00DB382A" w:rsidRPr="00970EC6" w:rsidRDefault="00970EC6">
            <w:pPr>
              <w:pStyle w:val="InstructionsText"/>
              <w:rPr>
                <w:rStyle w:val="FormatvorlageInstructionsTabelleText"/>
                <w:rFonts w:ascii="Times New Roman" w:hAnsi="Times New Roman"/>
                <w:sz w:val="22"/>
              </w:rPr>
            </w:pPr>
            <w:r w:rsidRPr="00970EC6">
              <w:rPr>
                <w:rStyle w:val="FormatvorlageInstructionsTabelleText"/>
                <w:rFonts w:ascii="Times New Roman" w:hAnsi="Times New Roman"/>
                <w:sz w:val="22"/>
              </w:rPr>
              <w:t xml:space="preserve">V tomto riadku sa nezverejňujú podiely na akciách </w:t>
            </w:r>
            <w:r w:rsidRPr="00970EC6">
              <w:rPr>
                <w:rStyle w:val="FormatvorlageInstructionsTabelleText"/>
                <w:rFonts w:ascii="Times New Roman" w:hAnsi="Times New Roman"/>
                <w:sz w:val="22"/>
              </w:rPr>
              <w:t>zahrnuté ako „neprípustné kapitálové nástroje“.</w:t>
            </w:r>
          </w:p>
          <w:p w14:paraId="222DD6EB" w14:textId="77777777" w:rsidR="00DB382A" w:rsidRPr="00970EC6" w:rsidRDefault="00970EC6">
            <w:pPr>
              <w:pStyle w:val="InstructionsText"/>
            </w:pPr>
            <w:r w:rsidRPr="00970EC6">
              <w:rPr>
                <w:rStyle w:val="FormatvorlageInstructionsTabelleText"/>
                <w:rFonts w:ascii="Times New Roman" w:hAnsi="Times New Roman"/>
                <w:sz w:val="22"/>
              </w:rPr>
              <w:t>Zverejňovaná suma zahŕňa emisné ážio súvisiace s vlastnými akciami.</w:t>
            </w:r>
          </w:p>
        </w:tc>
      </w:tr>
      <w:tr w:rsidR="00DB382A" w:rsidRPr="00970EC6" w14:paraId="003B36F1" w14:textId="77777777">
        <w:tblPrEx>
          <w:tblLook w:val="00A0" w:firstRow="1" w:lastRow="0" w:firstColumn="1" w:lastColumn="0" w:noHBand="0" w:noVBand="0"/>
        </w:tblPrEx>
        <w:tc>
          <w:tcPr>
            <w:tcW w:w="1129" w:type="dxa"/>
            <w:shd w:val="clear" w:color="auto" w:fill="auto"/>
            <w:vAlign w:val="center"/>
          </w:tcPr>
          <w:p w14:paraId="708E5004"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color w:val="000000"/>
                <w:szCs w:val="22"/>
              </w:rPr>
              <w:lastRenderedPageBreak/>
              <w:t>14</w:t>
            </w:r>
          </w:p>
        </w:tc>
        <w:tc>
          <w:tcPr>
            <w:tcW w:w="7683" w:type="dxa"/>
            <w:shd w:val="clear" w:color="auto" w:fill="auto"/>
          </w:tcPr>
          <w:p w14:paraId="1EA0A802"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 Priame podiely na nástrojoch vlastného kapitálu Tier 1</w:t>
            </w:r>
          </w:p>
          <w:p w14:paraId="145A26A0"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rPr>
              <w:t>článok 9 ods. 1 bod i) nariadenia (EÚ) 2019/2033</w:t>
            </w:r>
          </w:p>
          <w:p w14:paraId="6188900E" w14:textId="77777777" w:rsidR="00DB382A" w:rsidRPr="00970EC6" w:rsidRDefault="00970EC6">
            <w:pPr>
              <w:pStyle w:val="InstructionsText"/>
              <w:rPr>
                <w:rStyle w:val="FormatvorlageInstructionsTabelleText"/>
                <w:rFonts w:ascii="Times New Roman" w:hAnsi="Times New Roman"/>
                <w:sz w:val="22"/>
              </w:rPr>
            </w:pPr>
            <w:r w:rsidRPr="00970EC6">
              <w:t xml:space="preserve">článok 36 ods. 1 písm. f) </w:t>
            </w:r>
            <w:r w:rsidRPr="00970EC6">
              <w:t>a článok 42 nariadenia (EÚ) č. 575/2013</w:t>
            </w:r>
          </w:p>
          <w:p w14:paraId="4F0B5150" w14:textId="77777777" w:rsidR="00DB382A" w:rsidRPr="00970EC6" w:rsidRDefault="00970EC6">
            <w:pPr>
              <w:pStyle w:val="InstructionsText"/>
            </w:pPr>
            <w:r w:rsidRPr="00970EC6">
              <w:rPr>
                <w:rStyle w:val="FormatvorlageInstructionsTabelleText"/>
                <w:rFonts w:ascii="Times New Roman" w:hAnsi="Times New Roman"/>
                <w:sz w:val="22"/>
              </w:rPr>
              <w:t xml:space="preserve">Nástroje vlastného kapitálu Tier 1, ktoré drží investičná spoločnosť. </w:t>
            </w:r>
          </w:p>
        </w:tc>
      </w:tr>
      <w:tr w:rsidR="00DB382A" w:rsidRPr="00970EC6" w14:paraId="6E480FE7" w14:textId="77777777">
        <w:tblPrEx>
          <w:tblLook w:val="00A0" w:firstRow="1" w:lastRow="0" w:firstColumn="1" w:lastColumn="0" w:noHBand="0" w:noVBand="0"/>
        </w:tblPrEx>
        <w:tc>
          <w:tcPr>
            <w:tcW w:w="1129" w:type="dxa"/>
            <w:shd w:val="clear" w:color="auto" w:fill="auto"/>
            <w:vAlign w:val="center"/>
          </w:tcPr>
          <w:p w14:paraId="7AB77CF6"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color w:val="000000"/>
                <w:szCs w:val="22"/>
              </w:rPr>
              <w:t>15</w:t>
            </w:r>
          </w:p>
        </w:tc>
        <w:tc>
          <w:tcPr>
            <w:tcW w:w="7683" w:type="dxa"/>
            <w:shd w:val="clear" w:color="auto" w:fill="auto"/>
          </w:tcPr>
          <w:p w14:paraId="6C41D929"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 Nepriame podiely na nástrojoch vlastného kapitálu Tier 1</w:t>
            </w:r>
          </w:p>
          <w:p w14:paraId="3534E26C"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rPr>
              <w:t>článok 9 ods. 1 bod i) nariadenia (EÚ) 2019/2033</w:t>
            </w:r>
          </w:p>
          <w:p w14:paraId="48DF0BB2" w14:textId="77777777" w:rsidR="00DB382A" w:rsidRPr="00970EC6" w:rsidRDefault="00970EC6">
            <w:pPr>
              <w:pStyle w:val="InstructionsText"/>
              <w:rPr>
                <w:rStyle w:val="FormatvorlageInstructionsTabelleText"/>
                <w:rFonts w:ascii="Times New Roman" w:hAnsi="Times New Roman"/>
                <w:sz w:val="22"/>
              </w:rPr>
            </w:pPr>
            <w:r w:rsidRPr="00970EC6">
              <w:t>článok 36 ods. 1 písm. f) a člá</w:t>
            </w:r>
            <w:r w:rsidRPr="00970EC6">
              <w:t>nok 42 nariadenia (EÚ) č. 575/2013</w:t>
            </w:r>
          </w:p>
          <w:p w14:paraId="2FD089ED" w14:textId="77777777" w:rsidR="00DB382A" w:rsidRPr="00970EC6" w:rsidRDefault="00970EC6">
            <w:pPr>
              <w:pStyle w:val="InstructionsText"/>
            </w:pPr>
            <w:r w:rsidRPr="00970EC6">
              <w:t>Nástroje vlastného kapitálu Tier 1, ktoré drží investičná spoločnosť.</w:t>
            </w:r>
          </w:p>
        </w:tc>
      </w:tr>
      <w:tr w:rsidR="00DB382A" w:rsidRPr="00970EC6" w14:paraId="49762AF5" w14:textId="77777777">
        <w:tblPrEx>
          <w:tblLook w:val="00A0" w:firstRow="1" w:lastRow="0" w:firstColumn="1" w:lastColumn="0" w:noHBand="0" w:noVBand="0"/>
        </w:tblPrEx>
        <w:tc>
          <w:tcPr>
            <w:tcW w:w="1129" w:type="dxa"/>
            <w:shd w:val="clear" w:color="auto" w:fill="auto"/>
            <w:vAlign w:val="center"/>
          </w:tcPr>
          <w:p w14:paraId="5D9703B5"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color w:val="000000"/>
                <w:szCs w:val="22"/>
              </w:rPr>
              <w:t>16</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05761B16"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 Syntetické podiely na nástrojoch vlastného kapitálu Tier 1</w:t>
            </w:r>
          </w:p>
          <w:p w14:paraId="1EF9D6CA"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rPr>
              <w:t>článok 9 ods. 1 bod i) nariadenia (EÚ) 2019/2033</w:t>
            </w:r>
          </w:p>
          <w:p w14:paraId="71B1B4E8"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rPr>
              <w:t xml:space="preserve">článok 4 ods. 1 bod 114, článok 36 </w:t>
            </w:r>
            <w:r w:rsidRPr="00970EC6">
              <w:rPr>
                <w:rFonts w:ascii="Times New Roman" w:hAnsi="Times New Roman"/>
              </w:rPr>
              <w:t>ods. 1 písm. f) a článok 42 nariadenia (EÚ) č. 575/2013</w:t>
            </w:r>
          </w:p>
        </w:tc>
      </w:tr>
      <w:tr w:rsidR="00DB382A" w:rsidRPr="00970EC6" w14:paraId="6C51031B"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555ACA73"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color w:val="000000"/>
                <w:szCs w:val="22"/>
              </w:rPr>
              <w:t>17</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171588A1"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 Straty za bežný finančný rok</w:t>
            </w:r>
          </w:p>
          <w:p w14:paraId="30273CB7"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Cs/>
              </w:rPr>
              <w:t>článok 36 ods. 1 písm. a) nariadenia (EÚ) č. 575/2013</w:t>
            </w:r>
          </w:p>
        </w:tc>
      </w:tr>
      <w:tr w:rsidR="00DB382A" w:rsidRPr="00970EC6" w14:paraId="7C15CF00"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7AF11FB6"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color w:val="000000"/>
                <w:szCs w:val="22"/>
              </w:rPr>
              <w:t>18</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0F5A8188"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 Goodwill</w:t>
            </w:r>
          </w:p>
          <w:p w14:paraId="1E27EDFD"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rPr>
              <w:t>článok 9 ods. 1 bod i) nariadenia (EÚ) 2019/2033</w:t>
            </w:r>
          </w:p>
          <w:p w14:paraId="7CE1C37F"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rPr>
              <w:t xml:space="preserve">článok 4 ods. 1 bod 113, článok 36 </w:t>
            </w:r>
            <w:r w:rsidRPr="00970EC6">
              <w:rPr>
                <w:rFonts w:ascii="Times New Roman" w:hAnsi="Times New Roman"/>
              </w:rPr>
              <w:t>ods. 1 písm. b) a článok 37 nariadenia (EÚ) č. 575/2013</w:t>
            </w:r>
          </w:p>
        </w:tc>
      </w:tr>
      <w:tr w:rsidR="00DB382A" w:rsidRPr="00970EC6" w14:paraId="6E47508C"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6BB33A8B"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color w:val="000000"/>
                <w:szCs w:val="22"/>
              </w:rPr>
              <w:t>19</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55D9D6F6"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 Ostatné nehmotné aktíva</w:t>
            </w:r>
          </w:p>
          <w:p w14:paraId="21188DEF"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rPr>
              <w:t>článok 9 ods. 1 bod i) nariadenia (EÚ) 2019/2033</w:t>
            </w:r>
          </w:p>
          <w:p w14:paraId="4609D940" w14:textId="77777777" w:rsidR="00DB382A" w:rsidRPr="00970EC6" w:rsidRDefault="00970EC6">
            <w:pPr>
              <w:pStyle w:val="InstructionsText"/>
              <w:rPr>
                <w:rStyle w:val="FormatvorlageInstructionsTabelleText"/>
                <w:rFonts w:ascii="Times New Roman" w:eastAsiaTheme="minorHAnsi" w:hAnsi="Times New Roman"/>
                <w:bCs/>
                <w:sz w:val="22"/>
              </w:rPr>
            </w:pPr>
            <w:r w:rsidRPr="00970EC6">
              <w:t>článok 4 ods. 1 bod 115, článok 36 ods. 1 písm. b) a článok 37 písm. a) nariadenia (EÚ) č. 575/2013</w:t>
            </w:r>
          </w:p>
          <w:p w14:paraId="02E03469"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Style w:val="FormatvorlageInstructionsTabelleText"/>
                <w:rFonts w:ascii="Times New Roman" w:hAnsi="Times New Roman"/>
                <w:sz w:val="22"/>
                <w:szCs w:val="22"/>
              </w:rPr>
              <w:t xml:space="preserve">Ostatné </w:t>
            </w:r>
            <w:r w:rsidRPr="00970EC6">
              <w:rPr>
                <w:rStyle w:val="FormatvorlageInstructionsTabelleText"/>
                <w:rFonts w:ascii="Times New Roman" w:hAnsi="Times New Roman"/>
                <w:sz w:val="22"/>
                <w:szCs w:val="22"/>
              </w:rPr>
              <w:t>nehmotné aktíva zahŕňajú nehmotné aktíva podľa uplatniteľného účtovného štandardu, bez goodwillu, tiež podľa uplatniteľného účtovného štandardu.</w:t>
            </w:r>
          </w:p>
        </w:tc>
      </w:tr>
      <w:tr w:rsidR="00DB382A" w:rsidRPr="00970EC6" w14:paraId="68029A49"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40E9F1BD"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color w:val="000000"/>
                <w:szCs w:val="22"/>
              </w:rPr>
              <w:t>20</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69EBB932"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 Odložené daňové pohľadávky, ktoré závisia od budúcej ziskovosti a nevyplývajú z dočasných rozdielov, po</w:t>
            </w:r>
            <w:r w:rsidRPr="00970EC6">
              <w:rPr>
                <w:rFonts w:ascii="Times New Roman" w:hAnsi="Times New Roman"/>
                <w:b/>
                <w:bCs/>
                <w:szCs w:val="22"/>
                <w:u w:val="single"/>
              </w:rPr>
              <w:t xml:space="preserve"> odpočítaní prislúchajúcich daňových záväzkov</w:t>
            </w:r>
          </w:p>
          <w:p w14:paraId="132CB5B1"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rPr>
              <w:t>článok 9 ods. 2 písm. a) nariadenia (EÚ) 2019/2033</w:t>
            </w:r>
          </w:p>
          <w:p w14:paraId="35430AD0"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Cs/>
              </w:rPr>
              <w:t>článok 36 ods. 1 písm. c) nariadenia (EÚ) č. 575/2013</w:t>
            </w:r>
          </w:p>
        </w:tc>
      </w:tr>
      <w:tr w:rsidR="00DB382A" w:rsidRPr="00970EC6" w14:paraId="5C463149"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46E5E2B9"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color w:val="000000"/>
                <w:szCs w:val="22"/>
              </w:rPr>
              <w:t>21</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7C37A4E0"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 Kvalifikovaná účasť mimo finančného sektora, ktorá presahuje 15 % vlastných zdrojov</w:t>
            </w:r>
          </w:p>
          <w:p w14:paraId="7DBD2520"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Cs/>
              </w:rPr>
              <w:t>článok 10 ods. 1 písm. a) nariadenia (EÚ) 2019/2033</w:t>
            </w:r>
          </w:p>
        </w:tc>
      </w:tr>
      <w:tr w:rsidR="00DB382A" w:rsidRPr="00970EC6" w14:paraId="23300528"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0BDDB6AF"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color w:val="000000"/>
                <w:szCs w:val="22"/>
              </w:rPr>
              <w:t>22</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53B60009"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 Celkové kvalifikované účasti v iných podnikoch, než sú subjekty finančného sektora, ktoré presahujú 60 % vlastných zdrojov spoločnosti</w:t>
            </w:r>
          </w:p>
          <w:p w14:paraId="082C3669"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Cs/>
              </w:rPr>
              <w:t>článok 10 ods. 1 písm. b) nariadenia (EÚ) 2019/2033</w:t>
            </w:r>
          </w:p>
        </w:tc>
      </w:tr>
      <w:tr w:rsidR="00DB382A" w:rsidRPr="00970EC6" w14:paraId="66C7CCC6"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04428D0D"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color w:val="000000"/>
                <w:szCs w:val="22"/>
              </w:rPr>
              <w:lastRenderedPageBreak/>
              <w:t>23</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0829E413"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 N</w:t>
            </w:r>
            <w:r w:rsidRPr="00970EC6">
              <w:rPr>
                <w:rFonts w:ascii="Times New Roman" w:hAnsi="Times New Roman"/>
                <w:b/>
                <w:bCs/>
                <w:szCs w:val="22"/>
                <w:u w:val="single"/>
              </w:rPr>
              <w:t>ástroje vlastného kapitálu Tier 1 subjektov finančného sektora, v ktorých inštitúcia nemá významnú investíciu</w:t>
            </w:r>
          </w:p>
          <w:p w14:paraId="4A1F50CB"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szCs w:val="22"/>
              </w:rPr>
              <w:t>článok 9 ods. 2 písm. c) nariadenia (EÚ) 2019/2033</w:t>
            </w:r>
          </w:p>
          <w:p w14:paraId="2E6B55D0"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Cs/>
                <w:szCs w:val="22"/>
              </w:rPr>
              <w:t>článok 36 ods. 1 písm. h) nariadenia (EÚ) č. 575/2013</w:t>
            </w:r>
          </w:p>
        </w:tc>
      </w:tr>
      <w:tr w:rsidR="00DB382A" w:rsidRPr="00970EC6" w14:paraId="5A04845B"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1A07BB52"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color w:val="000000"/>
                <w:szCs w:val="22"/>
              </w:rPr>
              <w:t>24</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35AA0824"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 xml:space="preserve">(–) Nástroje vlastného </w:t>
            </w:r>
            <w:r w:rsidRPr="00970EC6">
              <w:rPr>
                <w:rFonts w:ascii="Times New Roman" w:hAnsi="Times New Roman"/>
                <w:b/>
                <w:bCs/>
                <w:szCs w:val="22"/>
                <w:u w:val="single"/>
              </w:rPr>
              <w:t>kapitálu Tier 1 subjektov finančného sektora, v ktorých inštitúcia má významnú investíciu</w:t>
            </w:r>
          </w:p>
          <w:p w14:paraId="57070E44"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szCs w:val="22"/>
              </w:rPr>
              <w:t>článok 9 ods. 2 písm. d) nariadenia (EÚ) 2019/2033</w:t>
            </w:r>
          </w:p>
          <w:p w14:paraId="44BB2197"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Cs/>
                <w:szCs w:val="22"/>
              </w:rPr>
              <w:t>článok 36 ods. 1 písm. i) nariadenia (EÚ) č. 575/2013</w:t>
            </w:r>
          </w:p>
        </w:tc>
      </w:tr>
      <w:tr w:rsidR="00DB382A" w:rsidRPr="00970EC6" w14:paraId="30707BC4"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7A56837A"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color w:val="000000"/>
                <w:szCs w:val="22"/>
              </w:rPr>
              <w:t>25</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63FED927"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 Majetok dôchodkového fondu so stanovenými požitkami</w:t>
            </w:r>
          </w:p>
          <w:p w14:paraId="42DD947F"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szCs w:val="22"/>
              </w:rPr>
              <w:t>č</w:t>
            </w:r>
            <w:r w:rsidRPr="00970EC6">
              <w:rPr>
                <w:rFonts w:ascii="Times New Roman" w:hAnsi="Times New Roman"/>
                <w:bCs/>
                <w:szCs w:val="22"/>
              </w:rPr>
              <w:t>lánok 9 ods. 2 písm. b) nariadenia (EÚ) 2019/2033</w:t>
            </w:r>
          </w:p>
          <w:p w14:paraId="4996921F"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Cs/>
                <w:szCs w:val="22"/>
              </w:rPr>
              <w:t>článok 36 ods. 1 písm. e) nariadenia (EÚ) č. 575/2013</w:t>
            </w:r>
          </w:p>
        </w:tc>
      </w:tr>
      <w:tr w:rsidR="00DB382A" w:rsidRPr="00970EC6" w14:paraId="77C7F33D" w14:textId="77777777">
        <w:tblPrEx>
          <w:tblLook w:val="00A0" w:firstRow="1" w:lastRow="0" w:firstColumn="1" w:lastColumn="0" w:noHBand="0" w:noVBand="0"/>
        </w:tblPrEx>
        <w:tc>
          <w:tcPr>
            <w:tcW w:w="1129" w:type="dxa"/>
            <w:vAlign w:val="center"/>
          </w:tcPr>
          <w:p w14:paraId="6648D323"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color w:val="000000"/>
                <w:szCs w:val="22"/>
              </w:rPr>
              <w:t>26</w:t>
            </w:r>
          </w:p>
        </w:tc>
        <w:tc>
          <w:tcPr>
            <w:tcW w:w="7683" w:type="dxa"/>
            <w:tcBorders>
              <w:top w:val="nil"/>
              <w:left w:val="single" w:sz="4" w:space="0" w:color="auto"/>
              <w:bottom w:val="single" w:sz="4" w:space="0" w:color="auto"/>
              <w:right w:val="single" w:sz="4" w:space="0" w:color="auto"/>
            </w:tcBorders>
            <w:shd w:val="clear" w:color="auto" w:fill="auto"/>
            <w:vAlign w:val="bottom"/>
          </w:tcPr>
          <w:p w14:paraId="12D8C3C1"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 Ostatné odpočty</w:t>
            </w:r>
          </w:p>
          <w:p w14:paraId="20DA7505"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Cs/>
                <w:szCs w:val="22"/>
              </w:rPr>
              <w:t>Súčet akýchkoľvek iných odpočtov uvedených v článku 36 ods. 1 nariadenia (EÚ) č. 575/2013.</w:t>
            </w:r>
          </w:p>
        </w:tc>
      </w:tr>
      <w:tr w:rsidR="00DB382A" w:rsidRPr="00970EC6" w14:paraId="5840F6B7" w14:textId="77777777">
        <w:tblPrEx>
          <w:tblLook w:val="00A0" w:firstRow="1" w:lastRow="0" w:firstColumn="1" w:lastColumn="0" w:noHBand="0" w:noVBand="0"/>
        </w:tblPrEx>
        <w:tc>
          <w:tcPr>
            <w:tcW w:w="1129" w:type="dxa"/>
            <w:vAlign w:val="center"/>
          </w:tcPr>
          <w:p w14:paraId="4CCB74BA" w14:textId="77777777" w:rsidR="00DB382A" w:rsidRPr="00970EC6" w:rsidRDefault="00970EC6">
            <w:pPr>
              <w:spacing w:after="120"/>
              <w:jc w:val="both"/>
              <w:rPr>
                <w:rFonts w:ascii="Times New Roman" w:hAnsi="Times New Roman" w:cs="Times New Roman"/>
                <w:color w:val="000000"/>
                <w:szCs w:val="22"/>
              </w:rPr>
            </w:pPr>
            <w:r w:rsidRPr="00970EC6">
              <w:rPr>
                <w:rFonts w:ascii="Times New Roman" w:hAnsi="Times New Roman"/>
                <w:color w:val="000000"/>
                <w:szCs w:val="22"/>
              </w:rPr>
              <w:t>27</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14:paraId="3449F04B"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 xml:space="preserve">Vlastný kapitál Tier 1: </w:t>
            </w:r>
            <w:r w:rsidRPr="00970EC6">
              <w:rPr>
                <w:rFonts w:ascii="Times New Roman" w:hAnsi="Times New Roman"/>
                <w:b/>
                <w:bCs/>
                <w:szCs w:val="22"/>
                <w:u w:val="single"/>
              </w:rPr>
              <w:t>ostatné kapitálové prvky, odpočty a úpravy</w:t>
            </w:r>
          </w:p>
          <w:p w14:paraId="1394363B"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szCs w:val="22"/>
              </w:rPr>
              <w:t>Tento riadok podľa potreby zahŕňa súčet týchto položiek:</w:t>
            </w:r>
          </w:p>
          <w:p w14:paraId="37F125C3" w14:textId="77777777" w:rsidR="00DB382A" w:rsidRPr="00970EC6" w:rsidRDefault="00970EC6">
            <w:pPr>
              <w:spacing w:after="120"/>
              <w:ind w:left="360" w:hanging="360"/>
              <w:contextualSpacing/>
              <w:jc w:val="both"/>
              <w:rPr>
                <w:rFonts w:ascii="Times New Roman" w:eastAsia="Times New Roman" w:hAnsi="Times New Roman"/>
                <w:bCs/>
              </w:rPr>
            </w:pPr>
            <w:r w:rsidRPr="00970EC6">
              <w:rPr>
                <w:rFonts w:ascii="Times New Roman" w:eastAsia="Times New Roman" w:hAnsi="Times New Roman" w:cs="Times New Roman"/>
                <w:b/>
                <w:bCs/>
                <w:szCs w:val="22"/>
              </w:rPr>
              <w:t>–</w:t>
            </w:r>
            <w:r w:rsidRPr="00970EC6">
              <w:rPr>
                <w:rFonts w:ascii="Times New Roman" w:eastAsia="Times New Roman" w:hAnsi="Times New Roman" w:cs="Times New Roman"/>
                <w:b/>
                <w:bCs/>
                <w:szCs w:val="22"/>
              </w:rPr>
              <w:tab/>
            </w:r>
            <w:r w:rsidRPr="00970EC6">
              <w:rPr>
                <w:rFonts w:ascii="Times New Roman" w:hAnsi="Times New Roman"/>
                <w:bCs/>
              </w:rPr>
              <w:t xml:space="preserve">prechodné úpravy na základe nástrojov vlastného kapitálu Tier 1, ktoré sa zachovali v predchádzajúcom stave [článok 483 ods. 1, 2 a 3 a články 484 až 487 </w:t>
            </w:r>
            <w:r w:rsidRPr="00970EC6">
              <w:rPr>
                <w:rFonts w:ascii="Times New Roman" w:hAnsi="Times New Roman"/>
                <w:bCs/>
              </w:rPr>
              <w:t>nariadenia (EÚ) č. 575/2013],</w:t>
            </w:r>
          </w:p>
          <w:p w14:paraId="394289C0" w14:textId="77777777" w:rsidR="00DB382A" w:rsidRPr="00970EC6" w:rsidRDefault="00970EC6">
            <w:pPr>
              <w:spacing w:after="120"/>
              <w:ind w:left="360" w:hanging="360"/>
              <w:contextualSpacing/>
              <w:jc w:val="both"/>
              <w:rPr>
                <w:rFonts w:ascii="Times New Roman" w:eastAsia="Times New Roman" w:hAnsi="Times New Roman"/>
                <w:bCs/>
              </w:rPr>
            </w:pPr>
            <w:r w:rsidRPr="00970EC6">
              <w:rPr>
                <w:rFonts w:ascii="Times New Roman" w:eastAsia="Times New Roman" w:hAnsi="Times New Roman" w:cs="Times New Roman"/>
                <w:b/>
                <w:bCs/>
                <w:szCs w:val="22"/>
              </w:rPr>
              <w:t>–</w:t>
            </w:r>
            <w:r w:rsidRPr="00970EC6">
              <w:rPr>
                <w:rFonts w:ascii="Times New Roman" w:eastAsia="Times New Roman" w:hAnsi="Times New Roman" w:cs="Times New Roman"/>
                <w:b/>
                <w:bCs/>
                <w:szCs w:val="22"/>
              </w:rPr>
              <w:tab/>
            </w:r>
            <w:r w:rsidRPr="00970EC6">
              <w:rPr>
                <w:rFonts w:ascii="Times New Roman" w:hAnsi="Times New Roman"/>
                <w:bCs/>
              </w:rPr>
              <w:t>prechodné úpravy na základe dodatočných menšinových účastí [články 479 a 480 nariadenia (EÚ) č. 575/2013],</w:t>
            </w:r>
          </w:p>
          <w:p w14:paraId="48AB5168" w14:textId="77777777" w:rsidR="00DB382A" w:rsidRPr="00970EC6" w:rsidRDefault="00970EC6">
            <w:pPr>
              <w:spacing w:after="120"/>
              <w:ind w:left="360" w:hanging="360"/>
              <w:contextualSpacing/>
              <w:jc w:val="both"/>
              <w:rPr>
                <w:rFonts w:ascii="Times New Roman" w:eastAsia="Times New Roman" w:hAnsi="Times New Roman"/>
                <w:bCs/>
              </w:rPr>
            </w:pPr>
            <w:r w:rsidRPr="00970EC6">
              <w:rPr>
                <w:rFonts w:ascii="Times New Roman" w:eastAsia="Times New Roman" w:hAnsi="Times New Roman" w:cs="Times New Roman"/>
                <w:b/>
                <w:bCs/>
                <w:szCs w:val="22"/>
              </w:rPr>
              <w:t>–</w:t>
            </w:r>
            <w:r w:rsidRPr="00970EC6">
              <w:rPr>
                <w:rFonts w:ascii="Times New Roman" w:eastAsia="Times New Roman" w:hAnsi="Times New Roman" w:cs="Times New Roman"/>
                <w:b/>
                <w:bCs/>
                <w:szCs w:val="22"/>
              </w:rPr>
              <w:tab/>
            </w:r>
            <w:r w:rsidRPr="00970EC6">
              <w:rPr>
                <w:rFonts w:ascii="Times New Roman" w:hAnsi="Times New Roman"/>
                <w:bCs/>
              </w:rPr>
              <w:t>ostatné prechodné úpravy vlastného kapitálu Tier 1 [články 469 až 478 a článok 481 nariadenia (EÚ) č. 575/2013]: úp</w:t>
            </w:r>
            <w:r w:rsidRPr="00970EC6">
              <w:rPr>
                <w:rFonts w:ascii="Times New Roman" w:hAnsi="Times New Roman"/>
                <w:bCs/>
              </w:rPr>
              <w:t>ravy odpočtov od vlastného kapitálu Tier 1 na základe prechodných ustanovení,</w:t>
            </w:r>
          </w:p>
          <w:p w14:paraId="6F5EE7A2" w14:textId="77777777" w:rsidR="00DB382A" w:rsidRPr="00970EC6" w:rsidRDefault="00970EC6">
            <w:pPr>
              <w:spacing w:after="120"/>
              <w:ind w:left="360" w:hanging="360"/>
              <w:contextualSpacing/>
              <w:jc w:val="both"/>
              <w:rPr>
                <w:rFonts w:ascii="Times New Roman" w:eastAsia="Times New Roman" w:hAnsi="Times New Roman"/>
                <w:b/>
                <w:bCs/>
                <w:u w:val="single"/>
              </w:rPr>
            </w:pPr>
            <w:r w:rsidRPr="00970EC6">
              <w:rPr>
                <w:rFonts w:ascii="Times New Roman" w:eastAsia="Times New Roman" w:hAnsi="Times New Roman" w:cs="Times New Roman"/>
                <w:b/>
                <w:bCs/>
                <w:szCs w:val="22"/>
              </w:rPr>
              <w:t>–</w:t>
            </w:r>
            <w:r w:rsidRPr="00970EC6">
              <w:rPr>
                <w:rFonts w:ascii="Times New Roman" w:eastAsia="Times New Roman" w:hAnsi="Times New Roman" w:cs="Times New Roman"/>
                <w:b/>
                <w:bCs/>
                <w:szCs w:val="22"/>
              </w:rPr>
              <w:tab/>
            </w:r>
            <w:r w:rsidRPr="00970EC6">
              <w:rPr>
                <w:rFonts w:ascii="Times New Roman" w:hAnsi="Times New Roman"/>
                <w:bCs/>
              </w:rPr>
              <w:t>ostatné prvky vlastného kapitálu Tier 1 alebo odpočty od prvku vlastného kapitálu Tier 1, ktoré nemožno priradiť k žiadnemu z riadkov 4 až 26.</w:t>
            </w:r>
          </w:p>
          <w:p w14:paraId="26E91E6D"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Cs/>
                <w:szCs w:val="22"/>
              </w:rPr>
              <w:t>Tento riadok sa nepoužíva na zahr</w:t>
            </w:r>
            <w:r w:rsidRPr="00970EC6">
              <w:rPr>
                <w:rFonts w:ascii="Times New Roman" w:hAnsi="Times New Roman"/>
                <w:bCs/>
                <w:szCs w:val="22"/>
              </w:rPr>
              <w:t>nutie kapitálových položiek alebo odpočtov, na ktoré sa nevzťahuje nariadenie (EÚ) 2019/2033 ani nariadenie (EÚ) č. 575/2013, do výpočtu ukazovateľov platobnej schopnosti.</w:t>
            </w:r>
          </w:p>
        </w:tc>
      </w:tr>
      <w:tr w:rsidR="00DB382A" w:rsidRPr="00970EC6" w14:paraId="6F8D60DA" w14:textId="77777777">
        <w:tblPrEx>
          <w:tblLook w:val="00A0" w:firstRow="1" w:lastRow="0" w:firstColumn="1" w:lastColumn="0" w:noHBand="0" w:noVBand="0"/>
        </w:tblPrEx>
        <w:tc>
          <w:tcPr>
            <w:tcW w:w="1129" w:type="dxa"/>
            <w:vAlign w:val="center"/>
          </w:tcPr>
          <w:p w14:paraId="4F45B062"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color w:val="000000"/>
                <w:szCs w:val="22"/>
              </w:rPr>
              <w:t>28</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14:paraId="3F8C7AA4"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DODATOČNÝ KAPITÁL TIER 1</w:t>
            </w:r>
          </w:p>
          <w:p w14:paraId="0B49B3A8"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szCs w:val="22"/>
              </w:rPr>
              <w:t>článok 9 ods. 1 nariadenia (EÚ) 2019/2033</w:t>
            </w:r>
          </w:p>
          <w:p w14:paraId="257DF1D9"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szCs w:val="22"/>
              </w:rPr>
              <w:t>článok 61 nariadenia (EÚ) č. 575/2013</w:t>
            </w:r>
          </w:p>
          <w:p w14:paraId="6BB3E60D"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Cs/>
                <w:szCs w:val="22"/>
              </w:rPr>
              <w:t>Zverejňuje sa celkový súčet riadkov 29 až 31 a riadku 39.</w:t>
            </w:r>
          </w:p>
        </w:tc>
      </w:tr>
      <w:tr w:rsidR="00DB382A" w:rsidRPr="00970EC6" w14:paraId="68DC078E" w14:textId="77777777">
        <w:tblPrEx>
          <w:tblLook w:val="00A0" w:firstRow="1" w:lastRow="0" w:firstColumn="1" w:lastColumn="0" w:noHBand="0" w:noVBand="0"/>
        </w:tblPrEx>
        <w:tc>
          <w:tcPr>
            <w:tcW w:w="1129" w:type="dxa"/>
            <w:vAlign w:val="center"/>
          </w:tcPr>
          <w:p w14:paraId="1DC98D33"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color w:val="000000"/>
                <w:szCs w:val="22"/>
              </w:rPr>
              <w:t>29</w:t>
            </w:r>
          </w:p>
        </w:tc>
        <w:tc>
          <w:tcPr>
            <w:tcW w:w="7683" w:type="dxa"/>
            <w:tcBorders>
              <w:top w:val="nil"/>
              <w:left w:val="single" w:sz="4" w:space="0" w:color="auto"/>
              <w:bottom w:val="single" w:sz="4" w:space="0" w:color="auto"/>
              <w:right w:val="single" w:sz="4" w:space="0" w:color="auto"/>
            </w:tcBorders>
            <w:shd w:val="clear" w:color="auto" w:fill="auto"/>
            <w:vAlign w:val="bottom"/>
          </w:tcPr>
          <w:p w14:paraId="583A96B2"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
                <w:bCs/>
                <w:szCs w:val="22"/>
                <w:u w:val="single"/>
              </w:rPr>
              <w:t>Úplne splatené, priamo emitované kapitálové nástroje</w:t>
            </w:r>
          </w:p>
          <w:p w14:paraId="5AB41B34"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szCs w:val="22"/>
              </w:rPr>
              <w:t>článok 9 ods. 1 bod i) nariadenia (EÚ) 2019/2033</w:t>
            </w:r>
          </w:p>
          <w:p w14:paraId="4A849359" w14:textId="77777777" w:rsidR="00DB382A" w:rsidRPr="00970EC6" w:rsidRDefault="00970EC6">
            <w:pPr>
              <w:pStyle w:val="InstructionsText"/>
              <w:rPr>
                <w:rStyle w:val="FormatvorlageInstructionsTabelleText"/>
                <w:rFonts w:ascii="Times New Roman" w:hAnsi="Times New Roman"/>
                <w:sz w:val="22"/>
              </w:rPr>
            </w:pPr>
            <w:r w:rsidRPr="00970EC6">
              <w:t>článok 51 písm. a) a články 52, 53 a 54 nariadenia (EÚ</w:t>
            </w:r>
            <w:r w:rsidRPr="00970EC6">
              <w:t>) č. 575/2013</w:t>
            </w:r>
          </w:p>
          <w:p w14:paraId="5B15A807"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Style w:val="FormatvorlageInstructionsTabelleText"/>
                <w:rFonts w:ascii="Times New Roman" w:hAnsi="Times New Roman"/>
                <w:sz w:val="22"/>
                <w:szCs w:val="22"/>
              </w:rPr>
              <w:t>Zverejňovaná suma nezahŕňa emisné ážio súvisiace s nástrojmi.</w:t>
            </w:r>
          </w:p>
        </w:tc>
      </w:tr>
      <w:tr w:rsidR="00DB382A" w:rsidRPr="00970EC6" w14:paraId="3A1DEF9C" w14:textId="77777777">
        <w:tblPrEx>
          <w:tblLook w:val="00A0" w:firstRow="1" w:lastRow="0" w:firstColumn="1" w:lastColumn="0" w:noHBand="0" w:noVBand="0"/>
        </w:tblPrEx>
        <w:tc>
          <w:tcPr>
            <w:tcW w:w="1129" w:type="dxa"/>
            <w:vAlign w:val="center"/>
          </w:tcPr>
          <w:p w14:paraId="5C1ACBD2" w14:textId="77777777" w:rsidR="00DB382A" w:rsidRPr="00970EC6" w:rsidRDefault="00970EC6">
            <w:pPr>
              <w:spacing w:after="120"/>
              <w:jc w:val="both"/>
              <w:rPr>
                <w:rFonts w:ascii="Times New Roman" w:hAnsi="Times New Roman" w:cs="Times New Roman"/>
                <w:color w:val="000000"/>
                <w:szCs w:val="22"/>
              </w:rPr>
            </w:pPr>
            <w:r w:rsidRPr="00970EC6">
              <w:rPr>
                <w:rFonts w:ascii="Times New Roman" w:hAnsi="Times New Roman"/>
                <w:color w:val="000000"/>
                <w:szCs w:val="22"/>
              </w:rPr>
              <w:t>30</w:t>
            </w:r>
          </w:p>
        </w:tc>
        <w:tc>
          <w:tcPr>
            <w:tcW w:w="7683" w:type="dxa"/>
            <w:tcBorders>
              <w:top w:val="nil"/>
              <w:left w:val="single" w:sz="4" w:space="0" w:color="auto"/>
              <w:bottom w:val="single" w:sz="4" w:space="0" w:color="auto"/>
              <w:right w:val="single" w:sz="4" w:space="0" w:color="auto"/>
            </w:tcBorders>
            <w:shd w:val="clear" w:color="auto" w:fill="auto"/>
            <w:vAlign w:val="bottom"/>
          </w:tcPr>
          <w:p w14:paraId="0B0A0D16"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Emisné ážio</w:t>
            </w:r>
          </w:p>
          <w:p w14:paraId="1BA4B7A5"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szCs w:val="22"/>
              </w:rPr>
              <w:t>článok 9 ods. 1 bod i) nariadenia (EÚ) 2019/2033</w:t>
            </w:r>
          </w:p>
          <w:p w14:paraId="192606B1" w14:textId="77777777" w:rsidR="00DB382A" w:rsidRPr="00970EC6" w:rsidRDefault="00970EC6">
            <w:pPr>
              <w:pStyle w:val="InstructionsText"/>
              <w:rPr>
                <w:rStyle w:val="FormatvorlageInstructionsTabelleText"/>
                <w:rFonts w:ascii="Times New Roman" w:hAnsi="Times New Roman"/>
                <w:sz w:val="22"/>
              </w:rPr>
            </w:pPr>
            <w:r w:rsidRPr="00970EC6">
              <w:t>článok 51 písm. b) nariadenia (EÚ) č. 575/2013</w:t>
            </w:r>
          </w:p>
          <w:p w14:paraId="62DB6E4B" w14:textId="77777777" w:rsidR="00DB382A" w:rsidRPr="00970EC6" w:rsidRDefault="00970EC6">
            <w:pPr>
              <w:pStyle w:val="InstructionsText"/>
              <w:rPr>
                <w:rStyle w:val="FormatvorlageInstructionsTabelleText"/>
                <w:rFonts w:ascii="Times New Roman" w:hAnsi="Times New Roman"/>
                <w:sz w:val="22"/>
              </w:rPr>
            </w:pPr>
            <w:r w:rsidRPr="00970EC6">
              <w:rPr>
                <w:rStyle w:val="FormatvorlageInstructionsTabelleText"/>
                <w:rFonts w:ascii="Times New Roman" w:hAnsi="Times New Roman"/>
                <w:sz w:val="22"/>
              </w:rPr>
              <w:t xml:space="preserve">Emisné ážio má ten istý význam ako v uplatniteľnom účtovnom </w:t>
            </w:r>
            <w:r w:rsidRPr="00970EC6">
              <w:rPr>
                <w:rStyle w:val="FormatvorlageInstructionsTabelleText"/>
                <w:rFonts w:ascii="Times New Roman" w:hAnsi="Times New Roman"/>
                <w:sz w:val="22"/>
              </w:rPr>
              <w:t>štandarde.</w:t>
            </w:r>
          </w:p>
          <w:p w14:paraId="172323B7"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Style w:val="FormatvorlageInstructionsTabelleText"/>
                <w:rFonts w:ascii="Times New Roman" w:hAnsi="Times New Roman"/>
                <w:sz w:val="22"/>
                <w:szCs w:val="22"/>
              </w:rPr>
              <w:lastRenderedPageBreak/>
              <w:t>Suma zverejňovaná v tejto položke je časť súvisiaca so „splatenými kapitálovými nástrojmi“.</w:t>
            </w:r>
          </w:p>
        </w:tc>
      </w:tr>
      <w:tr w:rsidR="00DB382A" w:rsidRPr="00970EC6" w14:paraId="6FC9DE0A" w14:textId="77777777">
        <w:tblPrEx>
          <w:tblLook w:val="00A0" w:firstRow="1" w:lastRow="0" w:firstColumn="1" w:lastColumn="0" w:noHBand="0" w:noVBand="0"/>
        </w:tblPrEx>
        <w:tc>
          <w:tcPr>
            <w:tcW w:w="1129" w:type="dxa"/>
            <w:tcBorders>
              <w:bottom w:val="single" w:sz="4" w:space="0" w:color="auto"/>
            </w:tcBorders>
            <w:vAlign w:val="center"/>
          </w:tcPr>
          <w:p w14:paraId="297DFC21"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color w:val="000000"/>
                <w:szCs w:val="22"/>
              </w:rPr>
              <w:lastRenderedPageBreak/>
              <w:t>31</w:t>
            </w:r>
          </w:p>
        </w:tc>
        <w:tc>
          <w:tcPr>
            <w:tcW w:w="7683" w:type="dxa"/>
            <w:tcBorders>
              <w:top w:val="nil"/>
              <w:left w:val="single" w:sz="4" w:space="0" w:color="auto"/>
              <w:bottom w:val="single" w:sz="4" w:space="0" w:color="auto"/>
              <w:right w:val="single" w:sz="4" w:space="0" w:color="auto"/>
            </w:tcBorders>
            <w:shd w:val="clear" w:color="auto" w:fill="auto"/>
            <w:vAlign w:val="bottom"/>
          </w:tcPr>
          <w:p w14:paraId="613E4A43"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 CELKOVÉ ODPOČTY OD DODATOČNÉHO KAPITÁLU TIER 1</w:t>
            </w:r>
          </w:p>
          <w:p w14:paraId="2DB3E919" w14:textId="77777777" w:rsidR="00DB382A" w:rsidRPr="00970EC6" w:rsidRDefault="00970EC6">
            <w:pPr>
              <w:spacing w:before="60" w:after="60"/>
              <w:rPr>
                <w:rFonts w:ascii="Times New Roman" w:hAnsi="Times New Roman" w:cs="Times New Roman"/>
                <w:szCs w:val="22"/>
              </w:rPr>
            </w:pPr>
            <w:r w:rsidRPr="00970EC6">
              <w:rPr>
                <w:rFonts w:ascii="Times New Roman" w:hAnsi="Times New Roman"/>
                <w:szCs w:val="22"/>
              </w:rPr>
              <w:t>článok 56 nariadenia (EÚ) č. 575/2013</w:t>
            </w:r>
          </w:p>
          <w:p w14:paraId="6A02281D"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szCs w:val="22"/>
              </w:rPr>
              <w:t>Zverejňuje sa celkový súčet riadku 32 a riadkov 36 až 38.</w:t>
            </w:r>
          </w:p>
        </w:tc>
      </w:tr>
      <w:tr w:rsidR="00DB382A" w:rsidRPr="00970EC6" w14:paraId="366320ED"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2E5808FD"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color w:val="000000"/>
                <w:szCs w:val="22"/>
              </w:rPr>
              <w:t>32</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025DA65C"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 Nástroje vlastného dodatočného kapitálu Tier 1</w:t>
            </w:r>
          </w:p>
          <w:p w14:paraId="5DC3BFBB"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szCs w:val="22"/>
              </w:rPr>
              <w:t>článok 9 ods. 1 bod i) nariadenia (EÚ) 2019/2033</w:t>
            </w:r>
          </w:p>
          <w:p w14:paraId="399F5E80" w14:textId="77777777" w:rsidR="00DB382A" w:rsidRPr="00970EC6" w:rsidRDefault="00970EC6">
            <w:pPr>
              <w:pStyle w:val="InstructionsText"/>
              <w:rPr>
                <w:rStyle w:val="FormatvorlageInstructionsTabelleText"/>
                <w:rFonts w:ascii="Times New Roman" w:eastAsiaTheme="minorHAnsi" w:hAnsi="Times New Roman"/>
                <w:bCs/>
                <w:sz w:val="22"/>
              </w:rPr>
            </w:pPr>
            <w:r w:rsidRPr="00970EC6">
              <w:t>článok 52 ods. 1 písm. b), článok 56 písm. a) a článok 57 nariadenia (EÚ) č. 575/2013</w:t>
            </w:r>
          </w:p>
          <w:p w14:paraId="31F91EC1" w14:textId="77777777" w:rsidR="00DB382A" w:rsidRPr="00970EC6" w:rsidRDefault="00970EC6">
            <w:pPr>
              <w:pStyle w:val="InstructionsText"/>
              <w:rPr>
                <w:rStyle w:val="FormatvorlageInstructionsTabelleText"/>
                <w:rFonts w:ascii="Times New Roman" w:hAnsi="Times New Roman"/>
                <w:sz w:val="22"/>
              </w:rPr>
            </w:pPr>
            <w:r w:rsidRPr="00970EC6">
              <w:rPr>
                <w:rStyle w:val="FormatvorlageInstructionsTabelleText"/>
                <w:rFonts w:ascii="Times New Roman" w:hAnsi="Times New Roman"/>
                <w:sz w:val="22"/>
              </w:rPr>
              <w:t>Nástroje vlastného dodatočného kapitálu Tier 1, ktoré investičná sp</w:t>
            </w:r>
            <w:r w:rsidRPr="00970EC6">
              <w:rPr>
                <w:rStyle w:val="FormatvorlageInstructionsTabelleText"/>
                <w:rFonts w:ascii="Times New Roman" w:hAnsi="Times New Roman"/>
                <w:sz w:val="22"/>
              </w:rPr>
              <w:t>oločnosť drží k dátumu vykazovania. S výhradou výnimiek v článku 57 nariadenia (EÚ) č. 575/2013.</w:t>
            </w:r>
          </w:p>
          <w:p w14:paraId="3D1DAC2D" w14:textId="77777777" w:rsidR="00DB382A" w:rsidRPr="00970EC6" w:rsidRDefault="00970EC6">
            <w:pPr>
              <w:pStyle w:val="InstructionsText"/>
            </w:pPr>
            <w:r w:rsidRPr="00970EC6">
              <w:rPr>
                <w:rStyle w:val="FormatvorlageInstructionsTabelleText"/>
                <w:rFonts w:ascii="Times New Roman" w:hAnsi="Times New Roman"/>
                <w:sz w:val="22"/>
              </w:rPr>
              <w:t>Zverejňovaná suma zahŕňa emisné ážio súvisiace s vlastnými akciami.</w:t>
            </w:r>
          </w:p>
        </w:tc>
      </w:tr>
      <w:tr w:rsidR="00DB382A" w:rsidRPr="00970EC6" w14:paraId="76715389" w14:textId="77777777">
        <w:tblPrEx>
          <w:tblLook w:val="00A0" w:firstRow="1" w:lastRow="0" w:firstColumn="1" w:lastColumn="0" w:noHBand="0" w:noVBand="0"/>
        </w:tblPrEx>
        <w:tc>
          <w:tcPr>
            <w:tcW w:w="1129" w:type="dxa"/>
            <w:shd w:val="clear" w:color="auto" w:fill="auto"/>
            <w:vAlign w:val="center"/>
          </w:tcPr>
          <w:p w14:paraId="13F2F121"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color w:val="000000"/>
                <w:szCs w:val="22"/>
              </w:rPr>
              <w:t>33</w:t>
            </w:r>
          </w:p>
        </w:tc>
        <w:tc>
          <w:tcPr>
            <w:tcW w:w="7683" w:type="dxa"/>
            <w:tcBorders>
              <w:top w:val="nil"/>
              <w:left w:val="single" w:sz="4" w:space="0" w:color="auto"/>
              <w:bottom w:val="single" w:sz="4" w:space="0" w:color="auto"/>
              <w:right w:val="single" w:sz="4" w:space="0" w:color="auto"/>
            </w:tcBorders>
            <w:shd w:val="clear" w:color="auto" w:fill="auto"/>
            <w:vAlign w:val="bottom"/>
          </w:tcPr>
          <w:p w14:paraId="6A1927F9"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 Priame podiely na nástrojoch dodatočného kapitálu Tier 1</w:t>
            </w:r>
          </w:p>
          <w:p w14:paraId="621F6302"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szCs w:val="22"/>
              </w:rPr>
              <w:t xml:space="preserve">článok 9 ods. 2 písm. c) </w:t>
            </w:r>
            <w:r w:rsidRPr="00970EC6">
              <w:rPr>
                <w:rFonts w:ascii="Times New Roman" w:hAnsi="Times New Roman"/>
                <w:bCs/>
                <w:szCs w:val="22"/>
              </w:rPr>
              <w:t>nariadenia (EÚ) 2019/2033</w:t>
            </w:r>
          </w:p>
          <w:p w14:paraId="69261E9D"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Cs/>
                <w:szCs w:val="22"/>
              </w:rPr>
              <w:t>článok 56 písm. a) nariadenia (EÚ) č. 575/2013</w:t>
            </w:r>
          </w:p>
        </w:tc>
      </w:tr>
      <w:tr w:rsidR="00DB382A" w:rsidRPr="00970EC6" w14:paraId="7D9BF7A8" w14:textId="77777777">
        <w:tblPrEx>
          <w:tblLook w:val="00A0" w:firstRow="1" w:lastRow="0" w:firstColumn="1" w:lastColumn="0" w:noHBand="0" w:noVBand="0"/>
        </w:tblPrEx>
        <w:tc>
          <w:tcPr>
            <w:tcW w:w="1129" w:type="dxa"/>
            <w:shd w:val="clear" w:color="auto" w:fill="auto"/>
            <w:vAlign w:val="center"/>
          </w:tcPr>
          <w:p w14:paraId="749E9B30"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color w:val="000000"/>
                <w:szCs w:val="22"/>
              </w:rPr>
              <w:t>34</w:t>
            </w:r>
          </w:p>
        </w:tc>
        <w:tc>
          <w:tcPr>
            <w:tcW w:w="7683" w:type="dxa"/>
            <w:tcBorders>
              <w:top w:val="nil"/>
              <w:left w:val="single" w:sz="4" w:space="0" w:color="auto"/>
              <w:bottom w:val="single" w:sz="4" w:space="0" w:color="auto"/>
              <w:right w:val="single" w:sz="4" w:space="0" w:color="auto"/>
            </w:tcBorders>
            <w:shd w:val="clear" w:color="auto" w:fill="auto"/>
            <w:vAlign w:val="bottom"/>
          </w:tcPr>
          <w:p w14:paraId="03B47A5A"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 Nepriame podiely na nástrojoch dodatočného kapitálu Tier 1</w:t>
            </w:r>
          </w:p>
          <w:p w14:paraId="3DC67030"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szCs w:val="22"/>
              </w:rPr>
              <w:t>článok 9 ods. 2 písm. c) nariadenia (EÚ) 2019/2033</w:t>
            </w:r>
          </w:p>
          <w:p w14:paraId="00CAC2B3"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Cs/>
                <w:szCs w:val="22"/>
              </w:rPr>
              <w:t>článok 56 písm. a) nariadenia (EÚ) č. 575/2013</w:t>
            </w:r>
          </w:p>
        </w:tc>
      </w:tr>
      <w:tr w:rsidR="00DB382A" w:rsidRPr="00970EC6" w14:paraId="6C9A90B2" w14:textId="77777777">
        <w:tblPrEx>
          <w:tblLook w:val="00A0" w:firstRow="1" w:lastRow="0" w:firstColumn="1" w:lastColumn="0" w:noHBand="0" w:noVBand="0"/>
        </w:tblPrEx>
        <w:tc>
          <w:tcPr>
            <w:tcW w:w="1129" w:type="dxa"/>
            <w:shd w:val="clear" w:color="auto" w:fill="auto"/>
            <w:vAlign w:val="center"/>
          </w:tcPr>
          <w:p w14:paraId="6378F5CB"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color w:val="000000"/>
                <w:szCs w:val="22"/>
              </w:rPr>
              <w:t>35</w:t>
            </w:r>
          </w:p>
        </w:tc>
        <w:tc>
          <w:tcPr>
            <w:tcW w:w="7683" w:type="dxa"/>
            <w:tcBorders>
              <w:top w:val="nil"/>
              <w:left w:val="single" w:sz="4" w:space="0" w:color="auto"/>
              <w:bottom w:val="single" w:sz="4" w:space="0" w:color="auto"/>
              <w:right w:val="single" w:sz="4" w:space="0" w:color="auto"/>
            </w:tcBorders>
            <w:shd w:val="clear" w:color="auto" w:fill="auto"/>
            <w:vAlign w:val="bottom"/>
          </w:tcPr>
          <w:p w14:paraId="327A6B9A"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 xml:space="preserve">(–) </w:t>
            </w:r>
            <w:r w:rsidRPr="00970EC6">
              <w:rPr>
                <w:rFonts w:ascii="Times New Roman" w:hAnsi="Times New Roman"/>
                <w:b/>
                <w:bCs/>
                <w:szCs w:val="22"/>
                <w:u w:val="single"/>
              </w:rPr>
              <w:t>Syntetické podiely na nástrojoch dodatočného kapitálu Tier 1</w:t>
            </w:r>
          </w:p>
          <w:p w14:paraId="1D7EBA48"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szCs w:val="22"/>
              </w:rPr>
              <w:t>článok 9 ods. 2 písm. c) nariadenia (EÚ) 2019/2033</w:t>
            </w:r>
          </w:p>
          <w:p w14:paraId="21BD0CA3"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Cs/>
                <w:szCs w:val="22"/>
              </w:rPr>
              <w:t>článok 56 písm. a) nariadenia (EÚ) č. 575/2013</w:t>
            </w:r>
          </w:p>
        </w:tc>
      </w:tr>
      <w:tr w:rsidR="00DB382A" w:rsidRPr="00970EC6" w14:paraId="14EEB53E" w14:textId="77777777">
        <w:tblPrEx>
          <w:tblLook w:val="00A0" w:firstRow="1" w:lastRow="0" w:firstColumn="1" w:lastColumn="0" w:noHBand="0" w:noVBand="0"/>
        </w:tblPrEx>
        <w:tc>
          <w:tcPr>
            <w:tcW w:w="1129" w:type="dxa"/>
            <w:shd w:val="clear" w:color="auto" w:fill="auto"/>
            <w:vAlign w:val="center"/>
          </w:tcPr>
          <w:p w14:paraId="00ADE172"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color w:val="000000"/>
                <w:szCs w:val="22"/>
              </w:rPr>
              <w:t>36</w:t>
            </w:r>
          </w:p>
        </w:tc>
        <w:tc>
          <w:tcPr>
            <w:tcW w:w="7683" w:type="dxa"/>
            <w:tcBorders>
              <w:top w:val="nil"/>
              <w:left w:val="single" w:sz="4" w:space="0" w:color="auto"/>
              <w:bottom w:val="single" w:sz="4" w:space="0" w:color="auto"/>
              <w:right w:val="single" w:sz="4" w:space="0" w:color="auto"/>
            </w:tcBorders>
            <w:shd w:val="clear" w:color="auto" w:fill="auto"/>
            <w:vAlign w:val="bottom"/>
          </w:tcPr>
          <w:p w14:paraId="29AE91BB"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 Nástroje dodatočného kapitálu Tier 1 subjektov finančného sektora, v ktorých inštitúcia n</w:t>
            </w:r>
            <w:r w:rsidRPr="00970EC6">
              <w:rPr>
                <w:rFonts w:ascii="Times New Roman" w:hAnsi="Times New Roman"/>
                <w:b/>
                <w:bCs/>
                <w:szCs w:val="22"/>
                <w:u w:val="single"/>
              </w:rPr>
              <w:t>emá významnú investíciu</w:t>
            </w:r>
          </w:p>
          <w:p w14:paraId="29197912"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szCs w:val="22"/>
              </w:rPr>
              <w:t>článok 9 ods. 2 písm. c) nariadenia (EÚ) 2019/2033</w:t>
            </w:r>
          </w:p>
          <w:p w14:paraId="5146671D"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Cs/>
                <w:szCs w:val="22"/>
              </w:rPr>
              <w:t>článok 56 písm. c) nariadenia (EÚ) č. 575/2013</w:t>
            </w:r>
          </w:p>
        </w:tc>
      </w:tr>
      <w:tr w:rsidR="00DB382A" w:rsidRPr="00970EC6" w14:paraId="60FFF8E6" w14:textId="77777777">
        <w:tblPrEx>
          <w:tblLook w:val="00A0" w:firstRow="1" w:lastRow="0" w:firstColumn="1" w:lastColumn="0" w:noHBand="0" w:noVBand="0"/>
        </w:tblPrEx>
        <w:tc>
          <w:tcPr>
            <w:tcW w:w="1129" w:type="dxa"/>
            <w:shd w:val="clear" w:color="auto" w:fill="auto"/>
            <w:vAlign w:val="center"/>
          </w:tcPr>
          <w:p w14:paraId="24ABC452"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color w:val="000000"/>
                <w:szCs w:val="22"/>
              </w:rPr>
              <w:t>37</w:t>
            </w:r>
          </w:p>
        </w:tc>
        <w:tc>
          <w:tcPr>
            <w:tcW w:w="7683" w:type="dxa"/>
            <w:tcBorders>
              <w:top w:val="nil"/>
              <w:left w:val="single" w:sz="4" w:space="0" w:color="auto"/>
              <w:bottom w:val="single" w:sz="4" w:space="0" w:color="auto"/>
              <w:right w:val="single" w:sz="4" w:space="0" w:color="auto"/>
            </w:tcBorders>
            <w:shd w:val="clear" w:color="auto" w:fill="auto"/>
            <w:vAlign w:val="bottom"/>
          </w:tcPr>
          <w:p w14:paraId="6C974B7D"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 Nástroje dodatočného kapitálu Tier 1 subjektov finančného sektora, v ktorých inštitúcia má významnú investíciu</w:t>
            </w:r>
          </w:p>
          <w:p w14:paraId="0337E21D"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szCs w:val="22"/>
              </w:rPr>
              <w:t>článok 9 ods. 2 písm. c) nariadenia (EÚ) 2019/2033</w:t>
            </w:r>
          </w:p>
          <w:p w14:paraId="11EA3500"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Cs/>
                <w:szCs w:val="22"/>
              </w:rPr>
              <w:t>článok 56 písm. d) nariadenia (EÚ) č. 575/2013</w:t>
            </w:r>
          </w:p>
        </w:tc>
      </w:tr>
      <w:tr w:rsidR="00DB382A" w:rsidRPr="00970EC6" w14:paraId="047DCD53" w14:textId="77777777">
        <w:tblPrEx>
          <w:tblLook w:val="00A0" w:firstRow="1" w:lastRow="0" w:firstColumn="1" w:lastColumn="0" w:noHBand="0" w:noVBand="0"/>
        </w:tblPrEx>
        <w:tc>
          <w:tcPr>
            <w:tcW w:w="1129" w:type="dxa"/>
            <w:shd w:val="clear" w:color="auto" w:fill="auto"/>
            <w:vAlign w:val="center"/>
          </w:tcPr>
          <w:p w14:paraId="56FC6D5D" w14:textId="77777777" w:rsidR="00DB382A" w:rsidRPr="00970EC6" w:rsidRDefault="00970EC6">
            <w:pPr>
              <w:spacing w:after="120"/>
              <w:jc w:val="both"/>
              <w:rPr>
                <w:rFonts w:ascii="Times New Roman" w:hAnsi="Times New Roman" w:cs="Times New Roman"/>
                <w:color w:val="000000"/>
                <w:szCs w:val="22"/>
              </w:rPr>
            </w:pPr>
            <w:r w:rsidRPr="00970EC6">
              <w:rPr>
                <w:rFonts w:ascii="Times New Roman" w:hAnsi="Times New Roman"/>
                <w:color w:val="000000"/>
                <w:szCs w:val="22"/>
              </w:rPr>
              <w:t>38</w:t>
            </w:r>
          </w:p>
        </w:tc>
        <w:tc>
          <w:tcPr>
            <w:tcW w:w="7683" w:type="dxa"/>
            <w:tcBorders>
              <w:top w:val="nil"/>
              <w:left w:val="single" w:sz="4" w:space="0" w:color="auto"/>
              <w:bottom w:val="single" w:sz="4" w:space="0" w:color="auto"/>
              <w:right w:val="single" w:sz="4" w:space="0" w:color="auto"/>
            </w:tcBorders>
            <w:shd w:val="clear" w:color="auto" w:fill="auto"/>
            <w:vAlign w:val="bottom"/>
          </w:tcPr>
          <w:p w14:paraId="2CFC7283"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 Ostatné odpočty</w:t>
            </w:r>
          </w:p>
          <w:p w14:paraId="6BC1CA61"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Cs/>
                <w:szCs w:val="22"/>
              </w:rPr>
              <w:t>Súčet všetkých ostatných odpočtov v súlade s článkom 56 nariadenia (EÚ) č. 575/2013, ktoré nie sú zahrnuté v žiadnom z uvedených riadk</w:t>
            </w:r>
            <w:r w:rsidRPr="00970EC6">
              <w:rPr>
                <w:rFonts w:ascii="Times New Roman" w:hAnsi="Times New Roman"/>
                <w:bCs/>
                <w:szCs w:val="22"/>
              </w:rPr>
              <w:t>ov.</w:t>
            </w:r>
          </w:p>
        </w:tc>
      </w:tr>
      <w:tr w:rsidR="00DB382A" w:rsidRPr="00970EC6" w14:paraId="30B9CD72" w14:textId="77777777">
        <w:tblPrEx>
          <w:tblLook w:val="00A0" w:firstRow="1" w:lastRow="0" w:firstColumn="1" w:lastColumn="0" w:noHBand="0" w:noVBand="0"/>
        </w:tblPrEx>
        <w:tc>
          <w:tcPr>
            <w:tcW w:w="1129" w:type="dxa"/>
            <w:shd w:val="clear" w:color="auto" w:fill="auto"/>
            <w:vAlign w:val="center"/>
          </w:tcPr>
          <w:p w14:paraId="693A93C9" w14:textId="77777777" w:rsidR="00DB382A" w:rsidRPr="00970EC6" w:rsidRDefault="00970EC6">
            <w:pPr>
              <w:spacing w:after="120"/>
              <w:jc w:val="both"/>
              <w:rPr>
                <w:rFonts w:ascii="Times New Roman" w:hAnsi="Times New Roman" w:cs="Times New Roman"/>
                <w:color w:val="000000"/>
                <w:szCs w:val="22"/>
              </w:rPr>
            </w:pPr>
            <w:r w:rsidRPr="00970EC6">
              <w:rPr>
                <w:rFonts w:ascii="Times New Roman" w:hAnsi="Times New Roman"/>
                <w:color w:val="000000"/>
                <w:szCs w:val="22"/>
              </w:rPr>
              <w:t>39</w:t>
            </w:r>
          </w:p>
        </w:tc>
        <w:tc>
          <w:tcPr>
            <w:tcW w:w="7683" w:type="dxa"/>
            <w:tcBorders>
              <w:top w:val="nil"/>
              <w:left w:val="single" w:sz="4" w:space="0" w:color="auto"/>
              <w:bottom w:val="single" w:sz="4" w:space="0" w:color="auto"/>
              <w:right w:val="single" w:sz="4" w:space="0" w:color="auto"/>
            </w:tcBorders>
            <w:shd w:val="clear" w:color="auto" w:fill="auto"/>
            <w:vAlign w:val="bottom"/>
          </w:tcPr>
          <w:p w14:paraId="07446D6D"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Dodatočný kapitál Tier 1: ostatné kapitálové prvky, odpočty a úpravy</w:t>
            </w:r>
          </w:p>
          <w:p w14:paraId="6726952F"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szCs w:val="22"/>
              </w:rPr>
              <w:t>Tento riadok podľa potreby zahŕňa súčet týchto položiek:</w:t>
            </w:r>
          </w:p>
          <w:p w14:paraId="4E361AD1" w14:textId="77777777" w:rsidR="00DB382A" w:rsidRPr="00970EC6" w:rsidRDefault="00970EC6">
            <w:pPr>
              <w:spacing w:after="120"/>
              <w:ind w:left="360" w:hanging="360"/>
              <w:contextualSpacing/>
              <w:jc w:val="both"/>
              <w:rPr>
                <w:rFonts w:ascii="Times New Roman" w:eastAsia="Times New Roman" w:hAnsi="Times New Roman"/>
                <w:bCs/>
              </w:rPr>
            </w:pPr>
            <w:r w:rsidRPr="00970EC6">
              <w:rPr>
                <w:rFonts w:ascii="Times New Roman" w:eastAsia="Times New Roman" w:hAnsi="Times New Roman" w:cs="Times New Roman"/>
                <w:b/>
                <w:bCs/>
                <w:szCs w:val="22"/>
              </w:rPr>
              <w:t>–</w:t>
            </w:r>
            <w:r w:rsidRPr="00970EC6">
              <w:rPr>
                <w:rFonts w:ascii="Times New Roman" w:eastAsia="Times New Roman" w:hAnsi="Times New Roman" w:cs="Times New Roman"/>
                <w:b/>
                <w:bCs/>
                <w:szCs w:val="22"/>
              </w:rPr>
              <w:tab/>
            </w:r>
            <w:r w:rsidRPr="00970EC6">
              <w:rPr>
                <w:rFonts w:ascii="Times New Roman" w:hAnsi="Times New Roman"/>
                <w:bCs/>
              </w:rPr>
              <w:t>prechodné úpravy na základe nástrojov dodatočného kapitálu Tier 1, ktoré sa zachovali v predchádzajúcom stave [článok 48</w:t>
            </w:r>
            <w:r w:rsidRPr="00970EC6">
              <w:rPr>
                <w:rFonts w:ascii="Times New Roman" w:hAnsi="Times New Roman"/>
                <w:bCs/>
              </w:rPr>
              <w:t>3 ods. 4 a 5, články 484 až 487 a články 489 a 491 nariadenia (EÚ) č. 575/2013],</w:t>
            </w:r>
          </w:p>
          <w:p w14:paraId="0CAFAF9A" w14:textId="77777777" w:rsidR="00DB382A" w:rsidRPr="00970EC6" w:rsidRDefault="00970EC6">
            <w:pPr>
              <w:spacing w:after="120"/>
              <w:ind w:left="360" w:hanging="360"/>
              <w:contextualSpacing/>
              <w:jc w:val="both"/>
              <w:rPr>
                <w:rFonts w:ascii="Times New Roman" w:eastAsia="Times New Roman" w:hAnsi="Times New Roman"/>
                <w:bCs/>
              </w:rPr>
            </w:pPr>
            <w:r w:rsidRPr="00970EC6">
              <w:rPr>
                <w:rFonts w:ascii="Times New Roman" w:eastAsia="Times New Roman" w:hAnsi="Times New Roman" w:cs="Times New Roman"/>
                <w:b/>
                <w:bCs/>
                <w:szCs w:val="22"/>
              </w:rPr>
              <w:t>–</w:t>
            </w:r>
            <w:r w:rsidRPr="00970EC6">
              <w:rPr>
                <w:rFonts w:ascii="Times New Roman" w:eastAsia="Times New Roman" w:hAnsi="Times New Roman" w:cs="Times New Roman"/>
                <w:b/>
                <w:bCs/>
                <w:szCs w:val="22"/>
              </w:rPr>
              <w:tab/>
            </w:r>
            <w:r w:rsidRPr="00970EC6">
              <w:rPr>
                <w:rFonts w:ascii="Times New Roman" w:hAnsi="Times New Roman"/>
                <w:bCs/>
              </w:rPr>
              <w:t xml:space="preserve">nástroje emitované dcérskymi podnikmi, ktoré sú uznané v dodatočnom kapitáli Tier 1 [články 83, 85 a 86 nariadenia (EÚ) č. 575/2013]: súčet všetkých hodnôt </w:t>
            </w:r>
            <w:r w:rsidRPr="00970EC6">
              <w:rPr>
                <w:rFonts w:ascii="Times New Roman" w:hAnsi="Times New Roman"/>
                <w:bCs/>
              </w:rPr>
              <w:t xml:space="preserve">kvalifikovaného kapitálu Tier 1 dcérskych podnikov, ktoré sú zahrnuté do </w:t>
            </w:r>
            <w:r w:rsidRPr="00970EC6">
              <w:rPr>
                <w:rFonts w:ascii="Times New Roman" w:hAnsi="Times New Roman"/>
                <w:bCs/>
              </w:rPr>
              <w:lastRenderedPageBreak/>
              <w:t>konsolidovaného dodatočného kapitálu Tier 1, a to vrátane kapitálu emitovaného účelovo vytvoreným subjektom [článok 83 nariadenia (EÚ) č. 575/2013],</w:t>
            </w:r>
          </w:p>
          <w:p w14:paraId="4AF05B18" w14:textId="77777777" w:rsidR="00DB382A" w:rsidRPr="00970EC6" w:rsidRDefault="00970EC6">
            <w:pPr>
              <w:spacing w:after="120"/>
              <w:ind w:left="360" w:hanging="360"/>
              <w:contextualSpacing/>
              <w:jc w:val="both"/>
              <w:rPr>
                <w:rFonts w:ascii="Times New Roman" w:eastAsia="Times New Roman" w:hAnsi="Times New Roman"/>
                <w:bCs/>
              </w:rPr>
            </w:pPr>
            <w:r w:rsidRPr="00970EC6">
              <w:rPr>
                <w:rFonts w:ascii="Times New Roman" w:eastAsia="Times New Roman" w:hAnsi="Times New Roman" w:cs="Times New Roman"/>
                <w:b/>
                <w:bCs/>
                <w:szCs w:val="22"/>
              </w:rPr>
              <w:t>–</w:t>
            </w:r>
            <w:r w:rsidRPr="00970EC6">
              <w:rPr>
                <w:rFonts w:ascii="Times New Roman" w:eastAsia="Times New Roman" w:hAnsi="Times New Roman" w:cs="Times New Roman"/>
                <w:b/>
                <w:bCs/>
                <w:szCs w:val="22"/>
              </w:rPr>
              <w:tab/>
            </w:r>
            <w:r w:rsidRPr="00970EC6">
              <w:rPr>
                <w:rFonts w:ascii="Times New Roman" w:hAnsi="Times New Roman"/>
                <w:bCs/>
              </w:rPr>
              <w:t>prechodné úpravy na základe doda</w:t>
            </w:r>
            <w:r w:rsidRPr="00970EC6">
              <w:rPr>
                <w:rFonts w:ascii="Times New Roman" w:hAnsi="Times New Roman"/>
                <w:bCs/>
              </w:rPr>
              <w:t>točného uznania nástrojov emitovaných dcérskymi podnikmi v dodatočnom kapitáli Tier 1 [článok 480 nariadenia (EÚ) č. 575/2013], úpravy kvalifikovaného kapitálu Tier 1 zahrnutého do konsolidovaného dodatočného kapitálu Tier 1 na základe prechodných ustanove</w:t>
            </w:r>
            <w:r w:rsidRPr="00970EC6">
              <w:rPr>
                <w:rFonts w:ascii="Times New Roman" w:hAnsi="Times New Roman"/>
                <w:bCs/>
              </w:rPr>
              <w:t>ní,</w:t>
            </w:r>
          </w:p>
          <w:p w14:paraId="01E391BF" w14:textId="77777777" w:rsidR="00DB382A" w:rsidRPr="00970EC6" w:rsidRDefault="00970EC6">
            <w:pPr>
              <w:spacing w:after="120"/>
              <w:ind w:left="360" w:hanging="360"/>
              <w:contextualSpacing/>
              <w:jc w:val="both"/>
              <w:rPr>
                <w:rFonts w:ascii="Times New Roman" w:eastAsia="Times New Roman" w:hAnsi="Times New Roman"/>
                <w:bCs/>
              </w:rPr>
            </w:pPr>
            <w:r w:rsidRPr="00970EC6">
              <w:rPr>
                <w:rFonts w:ascii="Times New Roman" w:eastAsia="Times New Roman" w:hAnsi="Times New Roman" w:cs="Times New Roman"/>
                <w:b/>
                <w:bCs/>
                <w:szCs w:val="22"/>
              </w:rPr>
              <w:t>–</w:t>
            </w:r>
            <w:r w:rsidRPr="00970EC6">
              <w:rPr>
                <w:rFonts w:ascii="Times New Roman" w:eastAsia="Times New Roman" w:hAnsi="Times New Roman" w:cs="Times New Roman"/>
                <w:b/>
                <w:bCs/>
                <w:szCs w:val="22"/>
              </w:rPr>
              <w:tab/>
            </w:r>
            <w:r w:rsidRPr="00970EC6">
              <w:rPr>
                <w:rFonts w:ascii="Times New Roman" w:hAnsi="Times New Roman"/>
                <w:bCs/>
              </w:rPr>
              <w:t>iné prechodné úpravy dodatočného kapitálu Tier 1 [články 472, 473a, 474, 475, 478 a 481 nariadenia (EÚ) č. 575/2013]: úpravy odpočtov na základe prechodných ustanovení,</w:t>
            </w:r>
          </w:p>
          <w:p w14:paraId="125B00B1" w14:textId="77777777" w:rsidR="00DB382A" w:rsidRPr="00970EC6" w:rsidRDefault="00970EC6">
            <w:pPr>
              <w:spacing w:after="120"/>
              <w:ind w:left="360" w:hanging="360"/>
              <w:contextualSpacing/>
              <w:jc w:val="both"/>
              <w:rPr>
                <w:rFonts w:ascii="Times New Roman" w:eastAsia="Times New Roman" w:hAnsi="Times New Roman"/>
                <w:bCs/>
              </w:rPr>
            </w:pPr>
            <w:r w:rsidRPr="00970EC6">
              <w:rPr>
                <w:rFonts w:ascii="Times New Roman" w:eastAsia="Times New Roman" w:hAnsi="Times New Roman" w:cs="Times New Roman"/>
                <w:b/>
                <w:bCs/>
                <w:szCs w:val="22"/>
              </w:rPr>
              <w:t>–</w:t>
            </w:r>
            <w:r w:rsidRPr="00970EC6">
              <w:rPr>
                <w:rFonts w:ascii="Times New Roman" w:eastAsia="Times New Roman" w:hAnsi="Times New Roman" w:cs="Times New Roman"/>
                <w:b/>
                <w:bCs/>
                <w:szCs w:val="22"/>
              </w:rPr>
              <w:tab/>
            </w:r>
            <w:r w:rsidRPr="00970EC6">
              <w:rPr>
                <w:rFonts w:ascii="Times New Roman" w:hAnsi="Times New Roman"/>
                <w:bCs/>
              </w:rPr>
              <w:t>odpočet od položiek dodatočného kapitálu Tier 1 presahujúci dodatočný kapitál T</w:t>
            </w:r>
            <w:r w:rsidRPr="00970EC6">
              <w:rPr>
                <w:rFonts w:ascii="Times New Roman" w:hAnsi="Times New Roman"/>
                <w:bCs/>
              </w:rPr>
              <w:t>ier 1 a odrátaný od vlastného kapitálu Tier 1 v súlade s článkom 36 ods. 1 písm. j) nariadenia (EÚ) č. 575/2013: dodatočný kapitál Tier 1 nemôže byť záporný, ale je možné, že odpočty od položiek dodatočného kapitálu Tier 1 prekročia sumu dostupných položie</w:t>
            </w:r>
            <w:r w:rsidRPr="00970EC6">
              <w:rPr>
                <w:rFonts w:ascii="Times New Roman" w:hAnsi="Times New Roman"/>
                <w:bCs/>
              </w:rPr>
              <w:t>k dodatočného kapitálu Tier 1. Ak k tomu dôjde, táto položka predstavuje sumu potrebnú na zvýšenie sumy vykázanej v riadku 28 na nulu a rovná sa inverznej hodnote odpočtov od položiek dodatočného kapitálu Tier 1 presahujúcich dodatočný kapitál Tier 1 a zah</w:t>
            </w:r>
            <w:r w:rsidRPr="00970EC6">
              <w:rPr>
                <w:rFonts w:ascii="Times New Roman" w:hAnsi="Times New Roman"/>
                <w:bCs/>
              </w:rPr>
              <w:t>rnutých okrem iných odpočtov v riadku 38,</w:t>
            </w:r>
          </w:p>
          <w:p w14:paraId="48363189" w14:textId="77777777" w:rsidR="00DB382A" w:rsidRPr="00970EC6" w:rsidRDefault="00970EC6">
            <w:pPr>
              <w:spacing w:after="120"/>
              <w:ind w:left="360" w:hanging="360"/>
              <w:contextualSpacing/>
              <w:jc w:val="both"/>
              <w:rPr>
                <w:rFonts w:ascii="Times New Roman" w:eastAsia="Times New Roman" w:hAnsi="Times New Roman"/>
                <w:bCs/>
              </w:rPr>
            </w:pPr>
            <w:r w:rsidRPr="00970EC6">
              <w:rPr>
                <w:rFonts w:ascii="Times New Roman" w:eastAsia="Times New Roman" w:hAnsi="Times New Roman" w:cs="Times New Roman"/>
                <w:b/>
                <w:bCs/>
                <w:szCs w:val="22"/>
              </w:rPr>
              <w:t>–</w:t>
            </w:r>
            <w:r w:rsidRPr="00970EC6">
              <w:rPr>
                <w:rFonts w:ascii="Times New Roman" w:eastAsia="Times New Roman" w:hAnsi="Times New Roman" w:cs="Times New Roman"/>
                <w:b/>
                <w:bCs/>
                <w:szCs w:val="22"/>
              </w:rPr>
              <w:tab/>
            </w:r>
            <w:r w:rsidRPr="00970EC6">
              <w:rPr>
                <w:rFonts w:ascii="Times New Roman" w:hAnsi="Times New Roman"/>
                <w:bCs/>
              </w:rPr>
              <w:t>ostatné prvky dodatočného kapitálu Tier 1 alebo odpočty od prvku dodatočného kapitálu Tier 1, ktoré nemožno priradiť k žiadnemu z riadkov 29 až 38.</w:t>
            </w:r>
          </w:p>
          <w:p w14:paraId="62173E31"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Cs/>
                <w:szCs w:val="22"/>
              </w:rPr>
              <w:t>Tento riadok sa nepoužíva na zahrnutie kapitálových položiek ale</w:t>
            </w:r>
            <w:r w:rsidRPr="00970EC6">
              <w:rPr>
                <w:rFonts w:ascii="Times New Roman" w:hAnsi="Times New Roman"/>
                <w:bCs/>
                <w:szCs w:val="22"/>
              </w:rPr>
              <w:t>bo odpočtov, na ktoré sa nevzťahuje nariadenie (EÚ) 2019/2033 ani nariadenie (EÚ) č. 575/2013, do výpočtu ukazovateľov platobnej schopnosti.</w:t>
            </w:r>
          </w:p>
        </w:tc>
      </w:tr>
      <w:tr w:rsidR="00DB382A" w:rsidRPr="00970EC6" w14:paraId="53F5A435" w14:textId="77777777">
        <w:tblPrEx>
          <w:tblLook w:val="00A0" w:firstRow="1" w:lastRow="0" w:firstColumn="1" w:lastColumn="0" w:noHBand="0" w:noVBand="0"/>
        </w:tblPrEx>
        <w:tc>
          <w:tcPr>
            <w:tcW w:w="1129" w:type="dxa"/>
            <w:shd w:val="clear" w:color="auto" w:fill="auto"/>
            <w:vAlign w:val="center"/>
          </w:tcPr>
          <w:p w14:paraId="630B5A9D"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color w:val="000000"/>
                <w:szCs w:val="22"/>
              </w:rPr>
              <w:lastRenderedPageBreak/>
              <w:t>40</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14:paraId="45A02ED3"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KAPITÁL TIER 2</w:t>
            </w:r>
          </w:p>
          <w:p w14:paraId="2D311CCF"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szCs w:val="22"/>
              </w:rPr>
              <w:t>článok 9 ods. 2 nariadenia (EÚ) 2019/2033</w:t>
            </w:r>
          </w:p>
          <w:p w14:paraId="502B07F7" w14:textId="77777777" w:rsidR="00DB382A" w:rsidRPr="00970EC6" w:rsidRDefault="00970EC6">
            <w:pPr>
              <w:spacing w:after="120"/>
              <w:jc w:val="both"/>
              <w:rPr>
                <w:rStyle w:val="FormatvorlageInstructionsTabelleText"/>
                <w:rFonts w:ascii="Times New Roman" w:hAnsi="Times New Roman"/>
                <w:sz w:val="22"/>
                <w:szCs w:val="22"/>
              </w:rPr>
            </w:pPr>
            <w:r w:rsidRPr="00970EC6">
              <w:rPr>
                <w:rFonts w:ascii="Times New Roman" w:hAnsi="Times New Roman"/>
                <w:szCs w:val="22"/>
              </w:rPr>
              <w:t>článok 71 nariadenia (EÚ) č. 575/2013</w:t>
            </w:r>
          </w:p>
          <w:p w14:paraId="1DDD759C"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Cs/>
                <w:szCs w:val="22"/>
              </w:rPr>
              <w:t>Zverejňuje sa ce</w:t>
            </w:r>
            <w:r w:rsidRPr="00970EC6">
              <w:rPr>
                <w:rFonts w:ascii="Times New Roman" w:hAnsi="Times New Roman"/>
                <w:bCs/>
                <w:szCs w:val="22"/>
              </w:rPr>
              <w:t>lkový súčet riadkov 41 až 43 a riadku 50.</w:t>
            </w:r>
          </w:p>
        </w:tc>
      </w:tr>
      <w:tr w:rsidR="00DB382A" w:rsidRPr="00970EC6" w14:paraId="50065814" w14:textId="77777777">
        <w:tblPrEx>
          <w:tblLook w:val="00A0" w:firstRow="1" w:lastRow="0" w:firstColumn="1" w:lastColumn="0" w:noHBand="0" w:noVBand="0"/>
        </w:tblPrEx>
        <w:tc>
          <w:tcPr>
            <w:tcW w:w="1129" w:type="dxa"/>
            <w:shd w:val="clear" w:color="auto" w:fill="auto"/>
            <w:vAlign w:val="center"/>
          </w:tcPr>
          <w:p w14:paraId="11A96A7C"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color w:val="000000"/>
                <w:szCs w:val="22"/>
              </w:rPr>
              <w:t>41</w:t>
            </w:r>
          </w:p>
        </w:tc>
        <w:tc>
          <w:tcPr>
            <w:tcW w:w="7683" w:type="dxa"/>
            <w:tcBorders>
              <w:top w:val="nil"/>
              <w:left w:val="single" w:sz="4" w:space="0" w:color="auto"/>
              <w:bottom w:val="single" w:sz="4" w:space="0" w:color="auto"/>
              <w:right w:val="single" w:sz="4" w:space="0" w:color="auto"/>
            </w:tcBorders>
            <w:shd w:val="clear" w:color="auto" w:fill="auto"/>
            <w:vAlign w:val="bottom"/>
          </w:tcPr>
          <w:p w14:paraId="2B66D9BC"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
                <w:bCs/>
                <w:szCs w:val="22"/>
                <w:u w:val="single"/>
              </w:rPr>
              <w:t>Úplne splatené, priamo emitované kapitálové nástroje</w:t>
            </w:r>
          </w:p>
          <w:p w14:paraId="23BBCE1A"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szCs w:val="22"/>
              </w:rPr>
              <w:t>článok 9 ods. 1 bod i) nariadenia (EÚ) 2019/2033</w:t>
            </w:r>
          </w:p>
          <w:p w14:paraId="76DE75E3" w14:textId="77777777" w:rsidR="00DB382A" w:rsidRPr="00970EC6" w:rsidRDefault="00970EC6">
            <w:pPr>
              <w:pStyle w:val="InstructionsText"/>
              <w:rPr>
                <w:rStyle w:val="FormatvorlageInstructionsTabelleText"/>
                <w:rFonts w:ascii="Times New Roman" w:eastAsiaTheme="minorHAnsi" w:hAnsi="Times New Roman"/>
                <w:bCs/>
                <w:sz w:val="22"/>
              </w:rPr>
            </w:pPr>
            <w:r w:rsidRPr="00970EC6">
              <w:rPr>
                <w:rStyle w:val="FormatvorlageInstructionsTabelleText"/>
                <w:rFonts w:ascii="Times New Roman" w:hAnsi="Times New Roman"/>
                <w:sz w:val="22"/>
              </w:rPr>
              <w:t>článok 62 písm. a) a články 63 a 65 nariadenia (EÚ) č. 575/2013</w:t>
            </w:r>
          </w:p>
          <w:p w14:paraId="4F5D7961"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Style w:val="FormatvorlageInstructionsTabelleText"/>
                <w:rFonts w:ascii="Times New Roman" w:hAnsi="Times New Roman"/>
                <w:sz w:val="22"/>
                <w:szCs w:val="22"/>
              </w:rPr>
              <w:t xml:space="preserve">Zverejňovaná suma nezahŕňa emisné ážio </w:t>
            </w:r>
            <w:r w:rsidRPr="00970EC6">
              <w:rPr>
                <w:rStyle w:val="FormatvorlageInstructionsTabelleText"/>
                <w:rFonts w:ascii="Times New Roman" w:hAnsi="Times New Roman"/>
                <w:sz w:val="22"/>
                <w:szCs w:val="22"/>
              </w:rPr>
              <w:t>súvisiace s nástrojmi.</w:t>
            </w:r>
          </w:p>
        </w:tc>
      </w:tr>
      <w:tr w:rsidR="00DB382A" w:rsidRPr="00970EC6" w14:paraId="1DA952CA" w14:textId="77777777">
        <w:tblPrEx>
          <w:tblLook w:val="00A0" w:firstRow="1" w:lastRow="0" w:firstColumn="1" w:lastColumn="0" w:noHBand="0" w:noVBand="0"/>
        </w:tblPrEx>
        <w:tc>
          <w:tcPr>
            <w:tcW w:w="1129" w:type="dxa"/>
            <w:shd w:val="clear" w:color="auto" w:fill="auto"/>
            <w:vAlign w:val="center"/>
          </w:tcPr>
          <w:p w14:paraId="1E6DC8F1"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color w:val="000000"/>
                <w:szCs w:val="22"/>
              </w:rPr>
              <w:t>42</w:t>
            </w:r>
          </w:p>
        </w:tc>
        <w:tc>
          <w:tcPr>
            <w:tcW w:w="7683" w:type="dxa"/>
            <w:tcBorders>
              <w:top w:val="nil"/>
              <w:left w:val="single" w:sz="4" w:space="0" w:color="auto"/>
              <w:bottom w:val="single" w:sz="4" w:space="0" w:color="auto"/>
              <w:right w:val="single" w:sz="4" w:space="0" w:color="auto"/>
            </w:tcBorders>
            <w:shd w:val="clear" w:color="auto" w:fill="auto"/>
            <w:vAlign w:val="bottom"/>
          </w:tcPr>
          <w:p w14:paraId="74C27893"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Emisné ážio</w:t>
            </w:r>
          </w:p>
          <w:p w14:paraId="639893FD"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szCs w:val="22"/>
              </w:rPr>
              <w:t>článok 9 ods. 1 bod i) nariadenia (EÚ) 2019/2033</w:t>
            </w:r>
          </w:p>
          <w:p w14:paraId="6F724306" w14:textId="77777777" w:rsidR="00DB382A" w:rsidRPr="00970EC6" w:rsidRDefault="00970EC6">
            <w:pPr>
              <w:pStyle w:val="InstructionsText"/>
              <w:rPr>
                <w:rStyle w:val="FormatvorlageInstructionsTabelleText"/>
                <w:rFonts w:ascii="Times New Roman" w:hAnsi="Times New Roman"/>
                <w:sz w:val="22"/>
              </w:rPr>
            </w:pPr>
            <w:r w:rsidRPr="00970EC6">
              <w:rPr>
                <w:rStyle w:val="FormatvorlageInstructionsTabelleText"/>
                <w:rFonts w:ascii="Times New Roman" w:hAnsi="Times New Roman"/>
                <w:sz w:val="22"/>
              </w:rPr>
              <w:t>článok 62 písm. b) a článok 65 nariadenia (EÚ) č. 575/2013</w:t>
            </w:r>
          </w:p>
          <w:p w14:paraId="0D822F86" w14:textId="77777777" w:rsidR="00DB382A" w:rsidRPr="00970EC6" w:rsidRDefault="00970EC6">
            <w:pPr>
              <w:pStyle w:val="InstructionsText"/>
              <w:rPr>
                <w:rStyle w:val="FormatvorlageInstructionsTabelleText"/>
                <w:rFonts w:ascii="Times New Roman" w:hAnsi="Times New Roman"/>
                <w:sz w:val="22"/>
              </w:rPr>
            </w:pPr>
            <w:r w:rsidRPr="00970EC6">
              <w:rPr>
                <w:rStyle w:val="FormatvorlageInstructionsTabelleText"/>
                <w:rFonts w:ascii="Times New Roman" w:hAnsi="Times New Roman"/>
                <w:sz w:val="22"/>
              </w:rPr>
              <w:t>Emisné ážio má ten istý význam ako v uplatniteľnom účtovnom štandarde.</w:t>
            </w:r>
          </w:p>
          <w:p w14:paraId="5665E259" w14:textId="77777777" w:rsidR="00DB382A" w:rsidRPr="00970EC6" w:rsidRDefault="00970EC6">
            <w:pPr>
              <w:pStyle w:val="InstructionsText"/>
            </w:pPr>
            <w:r w:rsidRPr="00970EC6">
              <w:rPr>
                <w:rStyle w:val="FormatvorlageInstructionsTabelleText"/>
                <w:rFonts w:ascii="Times New Roman" w:hAnsi="Times New Roman"/>
                <w:sz w:val="22"/>
              </w:rPr>
              <w:t xml:space="preserve">Suma zverejňovaná v tejto </w:t>
            </w:r>
            <w:r w:rsidRPr="00970EC6">
              <w:rPr>
                <w:rStyle w:val="FormatvorlageInstructionsTabelleText"/>
                <w:rFonts w:ascii="Times New Roman" w:hAnsi="Times New Roman"/>
                <w:sz w:val="22"/>
              </w:rPr>
              <w:t>položke je časť súvisiaca so „splatenými kapitálovými nástrojmi“.</w:t>
            </w:r>
          </w:p>
        </w:tc>
      </w:tr>
      <w:tr w:rsidR="00DB382A" w:rsidRPr="00970EC6" w14:paraId="6A22500D" w14:textId="77777777">
        <w:tblPrEx>
          <w:tblLook w:val="00A0" w:firstRow="1" w:lastRow="0" w:firstColumn="1" w:lastColumn="0" w:noHBand="0" w:noVBand="0"/>
        </w:tblPrEx>
        <w:tc>
          <w:tcPr>
            <w:tcW w:w="1129" w:type="dxa"/>
            <w:shd w:val="clear" w:color="auto" w:fill="auto"/>
            <w:vAlign w:val="center"/>
          </w:tcPr>
          <w:p w14:paraId="03D9DCCA"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color w:val="000000"/>
                <w:szCs w:val="22"/>
              </w:rPr>
              <w:t>43</w:t>
            </w:r>
          </w:p>
        </w:tc>
        <w:tc>
          <w:tcPr>
            <w:tcW w:w="7683" w:type="dxa"/>
            <w:tcBorders>
              <w:top w:val="nil"/>
              <w:left w:val="single" w:sz="4" w:space="0" w:color="auto"/>
              <w:bottom w:val="single" w:sz="4" w:space="0" w:color="auto"/>
              <w:right w:val="single" w:sz="4" w:space="0" w:color="auto"/>
            </w:tcBorders>
            <w:shd w:val="clear" w:color="auto" w:fill="auto"/>
            <w:vAlign w:val="bottom"/>
          </w:tcPr>
          <w:p w14:paraId="57F7D6D9"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 CELKOVÉ ODPOČTY OD KAPITÁLU TIER 2</w:t>
            </w:r>
          </w:p>
          <w:p w14:paraId="59FA15C7"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szCs w:val="22"/>
              </w:rPr>
              <w:t>článok 66 nariadenia (EÚ) č. 575/2013</w:t>
            </w:r>
          </w:p>
        </w:tc>
      </w:tr>
      <w:tr w:rsidR="00DB382A" w:rsidRPr="00970EC6" w14:paraId="18D3BBBB" w14:textId="77777777">
        <w:tblPrEx>
          <w:tblLook w:val="00A0" w:firstRow="1" w:lastRow="0" w:firstColumn="1" w:lastColumn="0" w:noHBand="0" w:noVBand="0"/>
        </w:tblPrEx>
        <w:tc>
          <w:tcPr>
            <w:tcW w:w="1129" w:type="dxa"/>
            <w:shd w:val="clear" w:color="auto" w:fill="auto"/>
            <w:vAlign w:val="center"/>
          </w:tcPr>
          <w:p w14:paraId="4165FDFB"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color w:val="000000"/>
                <w:szCs w:val="22"/>
              </w:rPr>
              <w:t>44</w:t>
            </w:r>
          </w:p>
        </w:tc>
        <w:tc>
          <w:tcPr>
            <w:tcW w:w="7683" w:type="dxa"/>
            <w:tcBorders>
              <w:top w:val="nil"/>
              <w:left w:val="single" w:sz="4" w:space="0" w:color="auto"/>
              <w:bottom w:val="single" w:sz="4" w:space="0" w:color="auto"/>
              <w:right w:val="single" w:sz="4" w:space="0" w:color="auto"/>
            </w:tcBorders>
            <w:shd w:val="clear" w:color="auto" w:fill="auto"/>
            <w:vAlign w:val="bottom"/>
          </w:tcPr>
          <w:p w14:paraId="00CD584F"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 Nástroje vlastného kapitálu Tier 2</w:t>
            </w:r>
          </w:p>
          <w:p w14:paraId="60C1852C"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szCs w:val="22"/>
              </w:rPr>
              <w:t>článok 9 ods. 1 bod i) nariadenia (EÚ) 2019/2033</w:t>
            </w:r>
          </w:p>
          <w:p w14:paraId="7B1EC4D8" w14:textId="77777777" w:rsidR="00DB382A" w:rsidRPr="00970EC6" w:rsidRDefault="00970EC6">
            <w:pPr>
              <w:pStyle w:val="InstructionsText"/>
              <w:rPr>
                <w:rStyle w:val="FormatvorlageInstructionsTabelleText"/>
                <w:rFonts w:ascii="Times New Roman" w:hAnsi="Times New Roman"/>
                <w:sz w:val="22"/>
              </w:rPr>
            </w:pPr>
            <w:r w:rsidRPr="00970EC6">
              <w:rPr>
                <w:rStyle w:val="FormatvorlageInstructionsTabelleText"/>
                <w:rFonts w:ascii="Times New Roman" w:hAnsi="Times New Roman"/>
                <w:sz w:val="22"/>
              </w:rPr>
              <w:t>článok 63 písm. b) bod i), článok 66 písm. a) a článok 67 nariadenia (EÚ) č. 575/2013</w:t>
            </w:r>
          </w:p>
          <w:p w14:paraId="6672924B" w14:textId="77777777" w:rsidR="00DB382A" w:rsidRPr="00970EC6" w:rsidRDefault="00970EC6">
            <w:pPr>
              <w:pStyle w:val="InstructionsText"/>
              <w:rPr>
                <w:rStyle w:val="FormatvorlageInstructionsTabelleText"/>
                <w:rFonts w:ascii="Times New Roman" w:hAnsi="Times New Roman"/>
                <w:sz w:val="22"/>
              </w:rPr>
            </w:pPr>
            <w:r w:rsidRPr="00970EC6">
              <w:rPr>
                <w:rStyle w:val="FormatvorlageInstructionsTabelleText"/>
                <w:rFonts w:ascii="Times New Roman" w:hAnsi="Times New Roman"/>
                <w:sz w:val="22"/>
              </w:rPr>
              <w:t>Nástroje vlastného kapitálu T2, ktoré vykazujúca inštitúcia alebo skupina drží k dátumu vykazovania. S výhradou výnimiek v článku 67 nariadenia (EÚ) č. 575/2013.</w:t>
            </w:r>
          </w:p>
          <w:p w14:paraId="546342F4" w14:textId="77777777" w:rsidR="00DB382A" w:rsidRPr="00970EC6" w:rsidRDefault="00970EC6">
            <w:pPr>
              <w:pStyle w:val="InstructionsText"/>
              <w:rPr>
                <w:rStyle w:val="FormatvorlageInstructionsTabelleText"/>
                <w:rFonts w:ascii="Times New Roman" w:hAnsi="Times New Roman"/>
                <w:sz w:val="22"/>
              </w:rPr>
            </w:pPr>
            <w:r w:rsidRPr="00970EC6">
              <w:rPr>
                <w:rStyle w:val="FormatvorlageInstructionsTabelleText"/>
                <w:rFonts w:ascii="Times New Roman" w:hAnsi="Times New Roman"/>
                <w:sz w:val="22"/>
              </w:rPr>
              <w:lastRenderedPageBreak/>
              <w:t xml:space="preserve">V tomto </w:t>
            </w:r>
            <w:r w:rsidRPr="00970EC6">
              <w:rPr>
                <w:rStyle w:val="FormatvorlageInstructionsTabelleText"/>
                <w:rFonts w:ascii="Times New Roman" w:hAnsi="Times New Roman"/>
                <w:sz w:val="22"/>
              </w:rPr>
              <w:t>riadku sa nezverejňujú podiely na akciách zahrnuté ako „neprípustné kapitálové nástroje“.</w:t>
            </w:r>
          </w:p>
          <w:p w14:paraId="7F0C6035" w14:textId="77777777" w:rsidR="00DB382A" w:rsidRPr="00970EC6" w:rsidRDefault="00970EC6">
            <w:pPr>
              <w:pStyle w:val="InstructionsText"/>
            </w:pPr>
            <w:r w:rsidRPr="00970EC6">
              <w:rPr>
                <w:rStyle w:val="FormatvorlageInstructionsTabelleText"/>
                <w:rFonts w:ascii="Times New Roman" w:hAnsi="Times New Roman"/>
                <w:sz w:val="22"/>
              </w:rPr>
              <w:t>Zverejňovaná suma zahŕňa emisné ážio súvisiace s vlastnými akciami.</w:t>
            </w:r>
          </w:p>
        </w:tc>
      </w:tr>
      <w:tr w:rsidR="00DB382A" w:rsidRPr="00970EC6" w14:paraId="00C0B96A" w14:textId="77777777">
        <w:tblPrEx>
          <w:tblLook w:val="00A0" w:firstRow="1" w:lastRow="0" w:firstColumn="1" w:lastColumn="0" w:noHBand="0" w:noVBand="0"/>
        </w:tblPrEx>
        <w:tc>
          <w:tcPr>
            <w:tcW w:w="1129" w:type="dxa"/>
            <w:shd w:val="clear" w:color="auto" w:fill="auto"/>
            <w:vAlign w:val="center"/>
          </w:tcPr>
          <w:p w14:paraId="0DD5ACC2"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color w:val="000000"/>
                <w:szCs w:val="22"/>
              </w:rPr>
              <w:lastRenderedPageBreak/>
              <w:t>45</w:t>
            </w:r>
          </w:p>
        </w:tc>
        <w:tc>
          <w:tcPr>
            <w:tcW w:w="7683" w:type="dxa"/>
            <w:tcBorders>
              <w:top w:val="nil"/>
              <w:left w:val="single" w:sz="4" w:space="0" w:color="auto"/>
              <w:bottom w:val="single" w:sz="4" w:space="0" w:color="auto"/>
              <w:right w:val="single" w:sz="4" w:space="0" w:color="auto"/>
            </w:tcBorders>
            <w:shd w:val="clear" w:color="auto" w:fill="auto"/>
            <w:vAlign w:val="bottom"/>
          </w:tcPr>
          <w:p w14:paraId="59514E50"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 Priame podiely na nástrojoch kapitálu Tier 2</w:t>
            </w:r>
          </w:p>
          <w:p w14:paraId="1F3649FA" w14:textId="77777777" w:rsidR="00DB382A" w:rsidRPr="00970EC6" w:rsidRDefault="00970EC6">
            <w:pPr>
              <w:pStyle w:val="InstructionsText"/>
            </w:pPr>
            <w:r w:rsidRPr="00970EC6">
              <w:rPr>
                <w:rStyle w:val="FormatvorlageInstructionsTabelleText"/>
                <w:rFonts w:ascii="Times New Roman" w:hAnsi="Times New Roman"/>
                <w:sz w:val="22"/>
              </w:rPr>
              <w:t>článok 63 písm. b), článok 66 písm. a) a člán</w:t>
            </w:r>
            <w:r w:rsidRPr="00970EC6">
              <w:rPr>
                <w:rStyle w:val="FormatvorlageInstructionsTabelleText"/>
                <w:rFonts w:ascii="Times New Roman" w:hAnsi="Times New Roman"/>
                <w:sz w:val="22"/>
              </w:rPr>
              <w:t>ok 67 nariadenia (EÚ) č. 575/2013</w:t>
            </w:r>
          </w:p>
        </w:tc>
      </w:tr>
      <w:tr w:rsidR="00DB382A" w:rsidRPr="00970EC6" w14:paraId="74373EA4" w14:textId="77777777">
        <w:tblPrEx>
          <w:tblLook w:val="00A0" w:firstRow="1" w:lastRow="0" w:firstColumn="1" w:lastColumn="0" w:noHBand="0" w:noVBand="0"/>
        </w:tblPrEx>
        <w:tc>
          <w:tcPr>
            <w:tcW w:w="1129" w:type="dxa"/>
            <w:shd w:val="clear" w:color="auto" w:fill="auto"/>
            <w:vAlign w:val="center"/>
          </w:tcPr>
          <w:p w14:paraId="7C95D6D2"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color w:val="000000"/>
                <w:szCs w:val="22"/>
              </w:rPr>
              <w:t>46</w:t>
            </w:r>
          </w:p>
        </w:tc>
        <w:tc>
          <w:tcPr>
            <w:tcW w:w="7683" w:type="dxa"/>
            <w:tcBorders>
              <w:top w:val="nil"/>
              <w:left w:val="single" w:sz="4" w:space="0" w:color="auto"/>
              <w:bottom w:val="single" w:sz="4" w:space="0" w:color="auto"/>
              <w:right w:val="single" w:sz="4" w:space="0" w:color="auto"/>
            </w:tcBorders>
            <w:shd w:val="clear" w:color="auto" w:fill="auto"/>
            <w:vAlign w:val="bottom"/>
          </w:tcPr>
          <w:p w14:paraId="1B5F22CA"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 Nepriame podiely na nástrojoch kapitálu Tier 2</w:t>
            </w:r>
          </w:p>
          <w:p w14:paraId="2BC65F00"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Style w:val="FormatvorlageInstructionsTabelleText"/>
                <w:rFonts w:ascii="Times New Roman" w:hAnsi="Times New Roman"/>
                <w:sz w:val="22"/>
                <w:szCs w:val="22"/>
              </w:rPr>
              <w:t>článok 4 ods. 1 bod 114, článok 63 písm. b), článok 66 písm. a) a článok 67 nariadenia (EÚ) č. 575/2013</w:t>
            </w:r>
          </w:p>
        </w:tc>
      </w:tr>
      <w:tr w:rsidR="00DB382A" w:rsidRPr="00970EC6" w14:paraId="7554FB68" w14:textId="77777777">
        <w:tblPrEx>
          <w:tblLook w:val="00A0" w:firstRow="1" w:lastRow="0" w:firstColumn="1" w:lastColumn="0" w:noHBand="0" w:noVBand="0"/>
        </w:tblPrEx>
        <w:tc>
          <w:tcPr>
            <w:tcW w:w="1129" w:type="dxa"/>
            <w:shd w:val="clear" w:color="auto" w:fill="auto"/>
            <w:vAlign w:val="center"/>
          </w:tcPr>
          <w:p w14:paraId="066B09E6"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color w:val="000000"/>
                <w:szCs w:val="22"/>
              </w:rPr>
              <w:t>47</w:t>
            </w:r>
          </w:p>
        </w:tc>
        <w:tc>
          <w:tcPr>
            <w:tcW w:w="7683" w:type="dxa"/>
            <w:tcBorders>
              <w:top w:val="nil"/>
              <w:left w:val="single" w:sz="4" w:space="0" w:color="auto"/>
              <w:bottom w:val="single" w:sz="4" w:space="0" w:color="auto"/>
              <w:right w:val="single" w:sz="4" w:space="0" w:color="auto"/>
            </w:tcBorders>
            <w:shd w:val="clear" w:color="auto" w:fill="auto"/>
            <w:vAlign w:val="bottom"/>
          </w:tcPr>
          <w:p w14:paraId="53677AD2"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 Syntetické podiely na nástrojoch kapitálu Tier 2</w:t>
            </w:r>
          </w:p>
          <w:p w14:paraId="43DFA1F5"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Style w:val="FormatvorlageInstructionsTabelleText"/>
                <w:rFonts w:ascii="Times New Roman" w:hAnsi="Times New Roman"/>
                <w:sz w:val="22"/>
                <w:szCs w:val="22"/>
              </w:rPr>
              <w:t>článok 4 ods. 1 bod 126, článok 63 písm. b), článok 66 písm. a) a článok 67 nariadenia (EÚ) č. 575/2013</w:t>
            </w:r>
          </w:p>
        </w:tc>
      </w:tr>
      <w:tr w:rsidR="00DB382A" w:rsidRPr="00970EC6" w14:paraId="21D01B11" w14:textId="77777777">
        <w:tblPrEx>
          <w:tblLook w:val="00A0" w:firstRow="1" w:lastRow="0" w:firstColumn="1" w:lastColumn="0" w:noHBand="0" w:noVBand="0"/>
        </w:tblPrEx>
        <w:tc>
          <w:tcPr>
            <w:tcW w:w="1129" w:type="dxa"/>
            <w:shd w:val="clear" w:color="auto" w:fill="auto"/>
            <w:vAlign w:val="center"/>
          </w:tcPr>
          <w:p w14:paraId="583DC8F4"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color w:val="000000"/>
                <w:szCs w:val="22"/>
              </w:rPr>
              <w:t>48</w:t>
            </w:r>
          </w:p>
        </w:tc>
        <w:tc>
          <w:tcPr>
            <w:tcW w:w="7683" w:type="dxa"/>
            <w:tcBorders>
              <w:top w:val="nil"/>
              <w:left w:val="single" w:sz="4" w:space="0" w:color="auto"/>
              <w:bottom w:val="single" w:sz="4" w:space="0" w:color="auto"/>
              <w:right w:val="single" w:sz="4" w:space="0" w:color="auto"/>
            </w:tcBorders>
            <w:shd w:val="clear" w:color="auto" w:fill="auto"/>
            <w:vAlign w:val="bottom"/>
          </w:tcPr>
          <w:p w14:paraId="5553225D"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 Nástroje kapitálu Tier 2 subjektov finančného sektora, v ktorých inštitúcia nemá významnú investíciu</w:t>
            </w:r>
          </w:p>
          <w:p w14:paraId="715A2EF0"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szCs w:val="22"/>
              </w:rPr>
              <w:t xml:space="preserve">článok 9 ods. 2 písm. c) </w:t>
            </w:r>
            <w:r w:rsidRPr="00970EC6">
              <w:rPr>
                <w:rFonts w:ascii="Times New Roman" w:hAnsi="Times New Roman"/>
                <w:bCs/>
                <w:szCs w:val="22"/>
              </w:rPr>
              <w:t>nariadenia (EÚ) 2019/2033</w:t>
            </w:r>
          </w:p>
          <w:p w14:paraId="2BC78F45"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Cs/>
                <w:szCs w:val="22"/>
              </w:rPr>
              <w:t>článok 66 písm. c) nariadenia (EÚ) č. 575/2013</w:t>
            </w:r>
          </w:p>
        </w:tc>
      </w:tr>
      <w:tr w:rsidR="00DB382A" w:rsidRPr="00970EC6" w14:paraId="75F8BBD3" w14:textId="77777777">
        <w:tblPrEx>
          <w:tblLook w:val="00A0" w:firstRow="1" w:lastRow="0" w:firstColumn="1" w:lastColumn="0" w:noHBand="0" w:noVBand="0"/>
        </w:tblPrEx>
        <w:tc>
          <w:tcPr>
            <w:tcW w:w="1129" w:type="dxa"/>
            <w:tcBorders>
              <w:bottom w:val="single" w:sz="4" w:space="0" w:color="auto"/>
            </w:tcBorders>
            <w:shd w:val="clear" w:color="auto" w:fill="auto"/>
            <w:vAlign w:val="center"/>
          </w:tcPr>
          <w:p w14:paraId="47AB1C37"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color w:val="000000"/>
                <w:szCs w:val="22"/>
              </w:rPr>
              <w:t>49</w:t>
            </w:r>
          </w:p>
        </w:tc>
        <w:tc>
          <w:tcPr>
            <w:tcW w:w="7683" w:type="dxa"/>
            <w:tcBorders>
              <w:top w:val="nil"/>
              <w:left w:val="single" w:sz="4" w:space="0" w:color="auto"/>
              <w:bottom w:val="single" w:sz="4" w:space="0" w:color="auto"/>
              <w:right w:val="single" w:sz="4" w:space="0" w:color="auto"/>
            </w:tcBorders>
            <w:shd w:val="clear" w:color="auto" w:fill="auto"/>
            <w:vAlign w:val="bottom"/>
          </w:tcPr>
          <w:p w14:paraId="0A6636EF"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 Nástroje kapitálu Tier 2 subjektov finančného sektora, v ktorých inštitúcia má významnú investíciu</w:t>
            </w:r>
          </w:p>
          <w:p w14:paraId="0E563735" w14:textId="77777777" w:rsidR="00DB382A" w:rsidRPr="00970EC6" w:rsidRDefault="00970EC6">
            <w:pPr>
              <w:pStyle w:val="InstructionsText"/>
              <w:rPr>
                <w:rStyle w:val="FormatvorlageInstructionsTabelleText"/>
                <w:rFonts w:ascii="Times New Roman" w:hAnsi="Times New Roman"/>
                <w:sz w:val="22"/>
              </w:rPr>
            </w:pPr>
            <w:r w:rsidRPr="00970EC6">
              <w:rPr>
                <w:rStyle w:val="FormatvorlageInstructionsTabelleText"/>
                <w:rFonts w:ascii="Times New Roman" w:hAnsi="Times New Roman"/>
                <w:sz w:val="22"/>
              </w:rPr>
              <w:t>článok 4 ods. 1 bod 27, článok 66 písm. d), články 68, 69 a 79 nariadenia (E</w:t>
            </w:r>
            <w:r w:rsidRPr="00970EC6">
              <w:rPr>
                <w:rStyle w:val="FormatvorlageInstructionsTabelleText"/>
                <w:rFonts w:ascii="Times New Roman" w:hAnsi="Times New Roman"/>
                <w:sz w:val="22"/>
              </w:rPr>
              <w:t>Ú) č. 575/2013</w:t>
            </w:r>
          </w:p>
          <w:p w14:paraId="1C90B191"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Style w:val="FormatvorlageInstructionsTabelleText"/>
                <w:rFonts w:ascii="Times New Roman" w:hAnsi="Times New Roman"/>
                <w:sz w:val="22"/>
                <w:szCs w:val="22"/>
              </w:rPr>
              <w:t>Podiely inštitúcie na nástrojoch kapitálu Tier 2 subjektov finančného sektora [podľa vymedzenia v článku 4 ods. 1 bode 27 nariadenia (EÚ) č. 575/2013], v ktorých má investičná spoločnosť významnú investíciu, sa odpočítavajú v plnej výške.</w:t>
            </w:r>
          </w:p>
        </w:tc>
      </w:tr>
      <w:tr w:rsidR="00DB382A" w:rsidRPr="00970EC6" w14:paraId="0FFBDDBA"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624A77AD" w14:textId="77777777" w:rsidR="00DB382A" w:rsidRPr="00970EC6" w:rsidRDefault="00970EC6">
            <w:pPr>
              <w:spacing w:after="120"/>
              <w:jc w:val="both"/>
              <w:rPr>
                <w:rFonts w:ascii="Times New Roman" w:hAnsi="Times New Roman" w:cs="Times New Roman"/>
                <w:color w:val="000000"/>
                <w:szCs w:val="22"/>
              </w:rPr>
            </w:pPr>
            <w:r w:rsidRPr="00970EC6">
              <w:rPr>
                <w:rFonts w:ascii="Times New Roman" w:hAnsi="Times New Roman"/>
                <w:color w:val="000000"/>
                <w:szCs w:val="22"/>
              </w:rPr>
              <w:t>50</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5DDE0296"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Tier 2: ostatné kapitálové prvky, odpočty a úpravy</w:t>
            </w:r>
          </w:p>
          <w:p w14:paraId="29160D0F"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szCs w:val="22"/>
              </w:rPr>
              <w:t>Tento riadok podľa potreby zahŕňa súčet týchto položiek:</w:t>
            </w:r>
          </w:p>
          <w:p w14:paraId="4DFFC6C0" w14:textId="77777777" w:rsidR="00DB382A" w:rsidRPr="00970EC6" w:rsidRDefault="00970EC6">
            <w:pPr>
              <w:spacing w:after="120"/>
              <w:ind w:left="360" w:hanging="360"/>
              <w:contextualSpacing/>
              <w:jc w:val="both"/>
              <w:rPr>
                <w:rFonts w:ascii="Times New Roman" w:eastAsia="Times New Roman" w:hAnsi="Times New Roman"/>
                <w:bCs/>
              </w:rPr>
            </w:pPr>
            <w:r w:rsidRPr="00970EC6">
              <w:rPr>
                <w:rFonts w:ascii="Times New Roman" w:eastAsia="Times New Roman" w:hAnsi="Times New Roman" w:cs="Times New Roman"/>
                <w:b/>
                <w:bCs/>
                <w:szCs w:val="22"/>
              </w:rPr>
              <w:t>–</w:t>
            </w:r>
            <w:r w:rsidRPr="00970EC6">
              <w:rPr>
                <w:rFonts w:ascii="Times New Roman" w:eastAsia="Times New Roman" w:hAnsi="Times New Roman" w:cs="Times New Roman"/>
                <w:b/>
                <w:bCs/>
                <w:szCs w:val="22"/>
              </w:rPr>
              <w:tab/>
            </w:r>
            <w:r w:rsidRPr="00970EC6">
              <w:rPr>
                <w:rFonts w:ascii="Times New Roman" w:hAnsi="Times New Roman"/>
                <w:bCs/>
              </w:rPr>
              <w:t>prechodné úpravy na základe nástrojov kapitálu Tier 2, ktoré sa zachovali v predchádzajúcom stave [článok 483 ods. 6 a 7 a články 484, 486, 488</w:t>
            </w:r>
            <w:r w:rsidRPr="00970EC6">
              <w:rPr>
                <w:rFonts w:ascii="Times New Roman" w:hAnsi="Times New Roman"/>
                <w:bCs/>
              </w:rPr>
              <w:t>, 490 a 491 nariadenia (EÚ) č. 575/2013],</w:t>
            </w:r>
          </w:p>
          <w:p w14:paraId="68788678" w14:textId="77777777" w:rsidR="00DB382A" w:rsidRPr="00970EC6" w:rsidRDefault="00970EC6">
            <w:pPr>
              <w:spacing w:after="120"/>
              <w:ind w:left="360" w:hanging="360"/>
              <w:contextualSpacing/>
              <w:jc w:val="both"/>
              <w:rPr>
                <w:rFonts w:ascii="Times New Roman" w:eastAsia="Times New Roman" w:hAnsi="Times New Roman"/>
                <w:bCs/>
              </w:rPr>
            </w:pPr>
            <w:r w:rsidRPr="00970EC6">
              <w:rPr>
                <w:rFonts w:ascii="Times New Roman" w:eastAsia="Times New Roman" w:hAnsi="Times New Roman" w:cs="Times New Roman"/>
                <w:b/>
                <w:bCs/>
                <w:szCs w:val="22"/>
              </w:rPr>
              <w:t>–</w:t>
            </w:r>
            <w:r w:rsidRPr="00970EC6">
              <w:rPr>
                <w:rFonts w:ascii="Times New Roman" w:eastAsia="Times New Roman" w:hAnsi="Times New Roman" w:cs="Times New Roman"/>
                <w:b/>
                <w:bCs/>
                <w:szCs w:val="22"/>
              </w:rPr>
              <w:tab/>
            </w:r>
            <w:r w:rsidRPr="00970EC6">
              <w:rPr>
                <w:rFonts w:ascii="Times New Roman" w:hAnsi="Times New Roman"/>
                <w:bCs/>
              </w:rPr>
              <w:t>nástroje emitované dcérskymi podnikmi, ktoré sú uznané v kapitáli Tier 2 [články 83, 87 a 88 nariadenia (EÚ) č. 575/2013]: súčet všetkých hodnôt kvalifikovaných vlastných zdrojov dcérskych podnikov, ktoré sú zahr</w:t>
            </w:r>
            <w:r w:rsidRPr="00970EC6">
              <w:rPr>
                <w:rFonts w:ascii="Times New Roman" w:hAnsi="Times New Roman"/>
                <w:bCs/>
              </w:rPr>
              <w:t>nuté do konsolidovaného kapitálu Tier 2, a to vrátane kvalifikovaného kapitálu Tier 2 emitovaného účelovo vytvoreným subjektom [článok 83 nariadenia (EÚ) č. 575/2013],</w:t>
            </w:r>
          </w:p>
          <w:p w14:paraId="72CB97CF" w14:textId="77777777" w:rsidR="00DB382A" w:rsidRPr="00970EC6" w:rsidRDefault="00970EC6">
            <w:pPr>
              <w:spacing w:after="120"/>
              <w:ind w:left="360" w:hanging="360"/>
              <w:contextualSpacing/>
              <w:jc w:val="both"/>
              <w:rPr>
                <w:rFonts w:ascii="Times New Roman" w:eastAsia="Times New Roman" w:hAnsi="Times New Roman"/>
                <w:bCs/>
              </w:rPr>
            </w:pPr>
            <w:r w:rsidRPr="00970EC6">
              <w:rPr>
                <w:rFonts w:ascii="Times New Roman" w:eastAsia="Times New Roman" w:hAnsi="Times New Roman" w:cs="Times New Roman"/>
                <w:b/>
                <w:bCs/>
                <w:szCs w:val="22"/>
              </w:rPr>
              <w:t>–</w:t>
            </w:r>
            <w:r w:rsidRPr="00970EC6">
              <w:rPr>
                <w:rFonts w:ascii="Times New Roman" w:eastAsia="Times New Roman" w:hAnsi="Times New Roman" w:cs="Times New Roman"/>
                <w:b/>
                <w:bCs/>
                <w:szCs w:val="22"/>
              </w:rPr>
              <w:tab/>
            </w:r>
            <w:r w:rsidRPr="00970EC6">
              <w:rPr>
                <w:rFonts w:ascii="Times New Roman" w:hAnsi="Times New Roman"/>
                <w:bCs/>
              </w:rPr>
              <w:t>prechodné úpravy na základe dodatočného uznania nástrojov emitovaných dcérskymi podnik</w:t>
            </w:r>
            <w:r w:rsidRPr="00970EC6">
              <w:rPr>
                <w:rFonts w:ascii="Times New Roman" w:hAnsi="Times New Roman"/>
                <w:bCs/>
              </w:rPr>
              <w:t>mi v kapitáli Tier 2 [článok 480 nariadenia (EÚ) č. 575/2013]: úpravy kvalifikovaných vlastných zdrojov zahrnutých do konsolidovaného kapitálu T2 na základe prechodných ustanovení,</w:t>
            </w:r>
          </w:p>
          <w:p w14:paraId="078BE7D3" w14:textId="77777777" w:rsidR="00DB382A" w:rsidRPr="00970EC6" w:rsidRDefault="00970EC6">
            <w:pPr>
              <w:spacing w:after="120"/>
              <w:ind w:left="360" w:hanging="360"/>
              <w:contextualSpacing/>
              <w:jc w:val="both"/>
              <w:rPr>
                <w:rFonts w:ascii="Times New Roman" w:eastAsia="Times New Roman" w:hAnsi="Times New Roman"/>
                <w:bCs/>
              </w:rPr>
            </w:pPr>
            <w:r w:rsidRPr="00970EC6">
              <w:rPr>
                <w:rFonts w:ascii="Times New Roman" w:eastAsia="Times New Roman" w:hAnsi="Times New Roman" w:cs="Times New Roman"/>
                <w:b/>
                <w:bCs/>
                <w:szCs w:val="22"/>
              </w:rPr>
              <w:t>–</w:t>
            </w:r>
            <w:r w:rsidRPr="00970EC6">
              <w:rPr>
                <w:rFonts w:ascii="Times New Roman" w:eastAsia="Times New Roman" w:hAnsi="Times New Roman" w:cs="Times New Roman"/>
                <w:b/>
                <w:bCs/>
                <w:szCs w:val="22"/>
              </w:rPr>
              <w:tab/>
            </w:r>
            <w:r w:rsidRPr="00970EC6">
              <w:rPr>
                <w:rFonts w:ascii="Times New Roman" w:hAnsi="Times New Roman"/>
                <w:bCs/>
              </w:rPr>
              <w:t>ostatné prechodné úpravy kapitálu Tier 2 [články 472, 473a, 476, 477, 478</w:t>
            </w:r>
            <w:r w:rsidRPr="00970EC6">
              <w:rPr>
                <w:rFonts w:ascii="Times New Roman" w:hAnsi="Times New Roman"/>
                <w:bCs/>
              </w:rPr>
              <w:t xml:space="preserve"> a 481 nariadenia (EÚ) č. 575/2013]: úpravy odpočtov od kapitálu Tier 2 na základe prechodných ustanovení,</w:t>
            </w:r>
          </w:p>
          <w:p w14:paraId="1D493470" w14:textId="77777777" w:rsidR="00DB382A" w:rsidRPr="00970EC6" w:rsidRDefault="00970EC6">
            <w:pPr>
              <w:spacing w:after="120"/>
              <w:ind w:left="360" w:hanging="360"/>
              <w:contextualSpacing/>
              <w:jc w:val="both"/>
              <w:rPr>
                <w:rFonts w:ascii="Times New Roman" w:eastAsia="Times New Roman" w:hAnsi="Times New Roman"/>
                <w:bCs/>
              </w:rPr>
            </w:pPr>
            <w:r w:rsidRPr="00970EC6">
              <w:rPr>
                <w:rFonts w:ascii="Times New Roman" w:eastAsia="Times New Roman" w:hAnsi="Times New Roman" w:cs="Times New Roman"/>
                <w:b/>
                <w:bCs/>
                <w:szCs w:val="22"/>
              </w:rPr>
              <w:t>–</w:t>
            </w:r>
            <w:r w:rsidRPr="00970EC6">
              <w:rPr>
                <w:rFonts w:ascii="Times New Roman" w:eastAsia="Times New Roman" w:hAnsi="Times New Roman" w:cs="Times New Roman"/>
                <w:b/>
                <w:bCs/>
                <w:szCs w:val="22"/>
              </w:rPr>
              <w:tab/>
            </w:r>
            <w:r w:rsidRPr="00970EC6">
              <w:rPr>
                <w:rFonts w:ascii="Times New Roman" w:hAnsi="Times New Roman"/>
                <w:bCs/>
              </w:rPr>
              <w:t xml:space="preserve">odpočet od položiek kapitálu Tier 2 presahujúci kapitál Tier 2 a odrátaný od dodatočného kapitálu Tier 1 v súlade s článkom 56 písm. e) nariadenia </w:t>
            </w:r>
            <w:r w:rsidRPr="00970EC6">
              <w:rPr>
                <w:rFonts w:ascii="Times New Roman" w:hAnsi="Times New Roman"/>
                <w:bCs/>
              </w:rPr>
              <w:t xml:space="preserve">(EÚ) č. 575/2013: kapitál Tier 2 nemôže byť záporný, ale je možné, že odpočty od položiek kapitálu Tier 2 prekročia sumu dostupných položiek kapitálu Tier 2. Ak k tomu dôjde, táto položka predstavuje sumu potrebnú na zvýšenie sumy vykázanej v riadku 40 na </w:t>
            </w:r>
            <w:r w:rsidRPr="00970EC6">
              <w:rPr>
                <w:rFonts w:ascii="Times New Roman" w:hAnsi="Times New Roman"/>
                <w:bCs/>
              </w:rPr>
              <w:t>nulu,</w:t>
            </w:r>
          </w:p>
          <w:p w14:paraId="1C6D7BAA" w14:textId="77777777" w:rsidR="00DB382A" w:rsidRPr="00970EC6" w:rsidRDefault="00970EC6">
            <w:pPr>
              <w:spacing w:after="120"/>
              <w:ind w:left="360" w:hanging="360"/>
              <w:contextualSpacing/>
              <w:jc w:val="both"/>
              <w:rPr>
                <w:rFonts w:ascii="Times New Roman" w:eastAsia="Times New Roman" w:hAnsi="Times New Roman"/>
                <w:bCs/>
              </w:rPr>
            </w:pPr>
            <w:r w:rsidRPr="00970EC6">
              <w:rPr>
                <w:rFonts w:ascii="Times New Roman" w:eastAsia="Times New Roman" w:hAnsi="Times New Roman" w:cs="Times New Roman"/>
                <w:b/>
                <w:bCs/>
                <w:szCs w:val="22"/>
              </w:rPr>
              <w:t>–</w:t>
            </w:r>
            <w:r w:rsidRPr="00970EC6">
              <w:rPr>
                <w:rFonts w:ascii="Times New Roman" w:eastAsia="Times New Roman" w:hAnsi="Times New Roman" w:cs="Times New Roman"/>
                <w:b/>
                <w:bCs/>
                <w:szCs w:val="22"/>
              </w:rPr>
              <w:tab/>
            </w:r>
            <w:r w:rsidRPr="00970EC6">
              <w:rPr>
                <w:rFonts w:ascii="Times New Roman" w:hAnsi="Times New Roman"/>
                <w:bCs/>
              </w:rPr>
              <w:t>ostatné prvky kapitálu Tier 2 alebo odpočty od prvku kapitálu Tier 2, ktoré nemožno priradiť k žiadnemu z riadkov 41 až 49.</w:t>
            </w:r>
          </w:p>
          <w:p w14:paraId="2F2DED78"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Cs/>
                <w:szCs w:val="22"/>
              </w:rPr>
              <w:lastRenderedPageBreak/>
              <w:t>Tento riadok sa nepoužíva na zahrnutie kapitálových položiek alebo odpočtov, na ktoré sa nevzťahuje nariadenie (EÚ) 2019/203</w:t>
            </w:r>
            <w:r w:rsidRPr="00970EC6">
              <w:rPr>
                <w:rFonts w:ascii="Times New Roman" w:hAnsi="Times New Roman"/>
                <w:bCs/>
                <w:szCs w:val="22"/>
              </w:rPr>
              <w:t>3 ani nariadenie (EÚ) č. 575/2013, do výpočtu ukazovateľov platobnej schopnosti.</w:t>
            </w:r>
          </w:p>
        </w:tc>
      </w:tr>
    </w:tbl>
    <w:p w14:paraId="4C75E6D6" w14:textId="77777777" w:rsidR="00DB382A" w:rsidRPr="00970EC6" w:rsidRDefault="00DB382A">
      <w:pPr>
        <w:spacing w:before="120" w:after="120"/>
        <w:jc w:val="both"/>
        <w:rPr>
          <w:rFonts w:ascii="Times New Roman" w:hAnsi="Times New Roman" w:cs="Times New Roman"/>
          <w:bCs/>
          <w:sz w:val="24"/>
        </w:rPr>
      </w:pPr>
    </w:p>
    <w:p w14:paraId="62257768" w14:textId="77777777" w:rsidR="00DB382A" w:rsidRPr="00970EC6" w:rsidRDefault="00970EC6">
      <w:pPr>
        <w:ind w:left="720"/>
        <w:rPr>
          <w:rFonts w:ascii="Times New Roman" w:hAnsi="Times New Roman" w:cs="Times New Roman"/>
          <w:b/>
          <w:bCs/>
          <w:sz w:val="24"/>
        </w:rPr>
      </w:pPr>
      <w:r w:rsidRPr="00970EC6">
        <w:rPr>
          <w:rFonts w:ascii="Times New Roman" w:hAnsi="Times New Roman"/>
          <w:b/>
          <w:bCs/>
          <w:sz w:val="24"/>
        </w:rPr>
        <w:t>Vzor EU I CC</w:t>
      </w:r>
      <w:r w:rsidRPr="00970EC6">
        <w:rPr>
          <w:rFonts w:ascii="Times New Roman" w:hAnsi="Times New Roman"/>
          <w:b/>
          <w:bCs/>
          <w:sz w:val="24"/>
        </w:rPr>
        <w:t>1.02</w:t>
      </w:r>
      <w:r w:rsidRPr="00970EC6">
        <w:rPr>
          <w:rFonts w:ascii="Times New Roman" w:hAnsi="Times New Roman"/>
          <w:b/>
          <w:bCs/>
          <w:sz w:val="24"/>
        </w:rPr>
        <w:t xml:space="preserve"> – Zloženie regulatórnych vlastných zdrojov (malé a neprepojené investičné spoločnosti)</w:t>
      </w:r>
    </w:p>
    <w:tbl>
      <w:tblPr>
        <w:tblW w:w="881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9"/>
        <w:gridCol w:w="7683"/>
      </w:tblGrid>
      <w:tr w:rsidR="00DB382A" w:rsidRPr="00970EC6" w14:paraId="31350509" w14:textId="77777777">
        <w:trPr>
          <w:trHeight w:val="395"/>
        </w:trPr>
        <w:tc>
          <w:tcPr>
            <w:tcW w:w="8812" w:type="dxa"/>
            <w:gridSpan w:val="2"/>
            <w:shd w:val="clear" w:color="auto" w:fill="D9D9D9" w:themeFill="background1" w:themeFillShade="D9"/>
          </w:tcPr>
          <w:p w14:paraId="5262BE8D" w14:textId="77777777" w:rsidR="00DB382A" w:rsidRPr="00970EC6" w:rsidRDefault="00970EC6">
            <w:pPr>
              <w:pStyle w:val="TableTitle"/>
              <w:spacing w:before="0" w:after="0"/>
              <w:jc w:val="left"/>
              <w:rPr>
                <w:rFonts w:ascii="Times New Roman" w:hAnsi="Times New Roman"/>
                <w:noProof w:val="0"/>
                <w:szCs w:val="22"/>
              </w:rPr>
            </w:pPr>
            <w:r w:rsidRPr="00970EC6">
              <w:rPr>
                <w:rFonts w:ascii="Times New Roman" w:hAnsi="Times New Roman"/>
                <w:noProof w:val="0"/>
                <w:szCs w:val="22"/>
              </w:rPr>
              <w:t>Právne predpisy a pokyny</w:t>
            </w:r>
          </w:p>
        </w:tc>
      </w:tr>
      <w:tr w:rsidR="00DB382A" w:rsidRPr="00970EC6" w14:paraId="04075BAA" w14:textId="77777777">
        <w:tblPrEx>
          <w:tblLook w:val="00A0" w:firstRow="1" w:lastRow="0" w:firstColumn="1" w:lastColumn="0" w:noHBand="0" w:noVBand="0"/>
        </w:tblPrEx>
        <w:tc>
          <w:tcPr>
            <w:tcW w:w="1129" w:type="dxa"/>
            <w:tcBorders>
              <w:bottom w:val="single" w:sz="4" w:space="0" w:color="auto"/>
            </w:tcBorders>
            <w:shd w:val="clear" w:color="auto" w:fill="D9D9D9"/>
          </w:tcPr>
          <w:p w14:paraId="5A0EEDA1"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szCs w:val="22"/>
              </w:rPr>
              <w:t>Riadok</w:t>
            </w:r>
          </w:p>
        </w:tc>
        <w:tc>
          <w:tcPr>
            <w:tcW w:w="7683" w:type="dxa"/>
            <w:tcBorders>
              <w:bottom w:val="single" w:sz="4" w:space="0" w:color="auto"/>
            </w:tcBorders>
            <w:shd w:val="clear" w:color="auto" w:fill="D9D9D9"/>
          </w:tcPr>
          <w:p w14:paraId="09BF1EA5"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szCs w:val="22"/>
              </w:rPr>
              <w:t>Právne predpisy a pokyny</w:t>
            </w:r>
          </w:p>
        </w:tc>
      </w:tr>
      <w:tr w:rsidR="00DB382A" w:rsidRPr="00970EC6" w14:paraId="01D2AEB0" w14:textId="77777777">
        <w:tblPrEx>
          <w:tblLook w:val="00A0" w:firstRow="1" w:lastRow="0" w:firstColumn="1" w:lastColumn="0" w:noHBand="0" w:noVBand="0"/>
        </w:tblPrEx>
        <w:tc>
          <w:tcPr>
            <w:tcW w:w="1129" w:type="dxa"/>
            <w:shd w:val="clear" w:color="auto" w:fill="auto"/>
            <w:vAlign w:val="center"/>
          </w:tcPr>
          <w:p w14:paraId="29543352"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color w:val="000000"/>
                <w:szCs w:val="22"/>
              </w:rPr>
              <w:t>1</w:t>
            </w:r>
          </w:p>
        </w:tc>
        <w:tc>
          <w:tcPr>
            <w:tcW w:w="7683" w:type="dxa"/>
            <w:shd w:val="clear" w:color="auto" w:fill="auto"/>
          </w:tcPr>
          <w:p w14:paraId="1E418ADC"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Vlastné zdroje</w:t>
            </w:r>
          </w:p>
          <w:p w14:paraId="5378EAFE"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szCs w:val="22"/>
              </w:rPr>
              <w:t>článok 9 ods. 1 nariadenia (EÚ) 2019/2033</w:t>
            </w:r>
          </w:p>
          <w:p w14:paraId="60DC00A4" w14:textId="77777777" w:rsidR="00DB382A" w:rsidRPr="00970EC6" w:rsidRDefault="00970EC6">
            <w:pPr>
              <w:spacing w:after="120"/>
              <w:jc w:val="both"/>
              <w:rPr>
                <w:rStyle w:val="FormatvorlageInstructionsTabelleText"/>
                <w:rFonts w:ascii="Times New Roman" w:hAnsi="Times New Roman"/>
                <w:sz w:val="22"/>
                <w:szCs w:val="22"/>
              </w:rPr>
            </w:pPr>
            <w:r w:rsidRPr="00970EC6">
              <w:rPr>
                <w:rStyle w:val="FormatvorlageInstructionsTabelleText"/>
                <w:rFonts w:ascii="Times New Roman" w:hAnsi="Times New Roman"/>
                <w:sz w:val="22"/>
                <w:szCs w:val="22"/>
              </w:rPr>
              <w:t xml:space="preserve">Vlastné zdroje investičnej spoločnosti </w:t>
            </w:r>
            <w:r w:rsidRPr="00970EC6">
              <w:rPr>
                <w:rStyle w:val="FormatvorlageInstructionsTabelleText"/>
                <w:rFonts w:ascii="Times New Roman" w:hAnsi="Times New Roman"/>
                <w:sz w:val="22"/>
                <w:szCs w:val="22"/>
              </w:rPr>
              <w:t>pozostávajú zo súčtu jej vlastného kapitálu Tier 1, dodatočného kapitálu Tier 1 a kapitálu Tier 2.</w:t>
            </w:r>
          </w:p>
          <w:p w14:paraId="731182C5"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Cs/>
                <w:szCs w:val="22"/>
              </w:rPr>
              <w:t>Zverejňuje sa celkový súčet riadkov 2 a 25.</w:t>
            </w:r>
          </w:p>
        </w:tc>
      </w:tr>
      <w:tr w:rsidR="00DB382A" w:rsidRPr="00970EC6" w14:paraId="6B67F63A" w14:textId="77777777">
        <w:tblPrEx>
          <w:tblLook w:val="00A0" w:firstRow="1" w:lastRow="0" w:firstColumn="1" w:lastColumn="0" w:noHBand="0" w:noVBand="0"/>
        </w:tblPrEx>
        <w:tc>
          <w:tcPr>
            <w:tcW w:w="1129" w:type="dxa"/>
            <w:shd w:val="clear" w:color="auto" w:fill="auto"/>
            <w:vAlign w:val="center"/>
          </w:tcPr>
          <w:p w14:paraId="0A8457CE"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color w:val="000000"/>
                <w:szCs w:val="22"/>
              </w:rPr>
              <w:t>2</w:t>
            </w:r>
          </w:p>
        </w:tc>
        <w:tc>
          <w:tcPr>
            <w:tcW w:w="7683" w:type="dxa"/>
            <w:shd w:val="clear" w:color="auto" w:fill="auto"/>
          </w:tcPr>
          <w:p w14:paraId="1229205B"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Kapitál Tier 1</w:t>
            </w:r>
          </w:p>
          <w:p w14:paraId="4ECAF51A" w14:textId="77777777" w:rsidR="00DB382A" w:rsidRPr="00970EC6" w:rsidRDefault="00970EC6">
            <w:pPr>
              <w:spacing w:after="120"/>
              <w:jc w:val="both"/>
              <w:rPr>
                <w:rStyle w:val="FormatvorlageInstructionsTabelleText"/>
                <w:rFonts w:ascii="Times New Roman" w:hAnsi="Times New Roman"/>
                <w:sz w:val="22"/>
                <w:szCs w:val="22"/>
              </w:rPr>
            </w:pPr>
            <w:r w:rsidRPr="00970EC6">
              <w:rPr>
                <w:rStyle w:val="FormatvorlageInstructionsTabelleText"/>
                <w:rFonts w:ascii="Times New Roman" w:hAnsi="Times New Roman"/>
                <w:sz w:val="22"/>
                <w:szCs w:val="22"/>
              </w:rPr>
              <w:t>Kapitál Tier 1 je súčtom vlastného kapitálu Tier 1 a dodatočného kapitálu Tier 1.</w:t>
            </w:r>
          </w:p>
          <w:p w14:paraId="5B29BDEC"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Cs/>
                <w:szCs w:val="22"/>
              </w:rPr>
              <w:t>Zverejňuje sa celkový súčet riadkov 3 a 20.</w:t>
            </w:r>
          </w:p>
        </w:tc>
      </w:tr>
      <w:tr w:rsidR="00DB382A" w:rsidRPr="00970EC6" w14:paraId="58DC2A9B" w14:textId="77777777">
        <w:tblPrEx>
          <w:tblLook w:val="00A0" w:firstRow="1" w:lastRow="0" w:firstColumn="1" w:lastColumn="0" w:noHBand="0" w:noVBand="0"/>
        </w:tblPrEx>
        <w:tc>
          <w:tcPr>
            <w:tcW w:w="1129" w:type="dxa"/>
            <w:shd w:val="clear" w:color="auto" w:fill="auto"/>
            <w:vAlign w:val="center"/>
          </w:tcPr>
          <w:p w14:paraId="0E5DF3B4"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color w:val="000000"/>
                <w:szCs w:val="22"/>
              </w:rPr>
              <w:t>3</w:t>
            </w:r>
          </w:p>
        </w:tc>
        <w:tc>
          <w:tcPr>
            <w:tcW w:w="7683" w:type="dxa"/>
            <w:shd w:val="clear" w:color="auto" w:fill="auto"/>
          </w:tcPr>
          <w:p w14:paraId="455AF1C5"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Style w:val="InstructionsTabelleberschrift"/>
                <w:rFonts w:ascii="Times New Roman" w:hAnsi="Times New Roman"/>
                <w:sz w:val="22"/>
                <w:szCs w:val="22"/>
              </w:rPr>
              <w:t>Vlastný kapitál Tier 1</w:t>
            </w:r>
          </w:p>
          <w:p w14:paraId="4CF9E0F1"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szCs w:val="22"/>
              </w:rPr>
              <w:t>článok 9 ods. 1 nariadenia (EÚ) 2019/2033</w:t>
            </w:r>
          </w:p>
          <w:p w14:paraId="2937573E" w14:textId="77777777" w:rsidR="00DB382A" w:rsidRPr="00970EC6" w:rsidRDefault="00970EC6">
            <w:pPr>
              <w:spacing w:after="120"/>
              <w:jc w:val="both"/>
              <w:rPr>
                <w:rStyle w:val="FormatvorlageInstructionsTabelleText"/>
                <w:rFonts w:ascii="Times New Roman" w:hAnsi="Times New Roman"/>
                <w:sz w:val="22"/>
                <w:szCs w:val="22"/>
              </w:rPr>
            </w:pPr>
            <w:r w:rsidRPr="00970EC6">
              <w:rPr>
                <w:rStyle w:val="FormatvorlageInstructionsTabelleText"/>
                <w:rFonts w:ascii="Times New Roman" w:hAnsi="Times New Roman"/>
                <w:sz w:val="22"/>
                <w:szCs w:val="22"/>
              </w:rPr>
              <w:t>článok 50 nariadenia (EÚ) č. 575/2013</w:t>
            </w:r>
          </w:p>
          <w:p w14:paraId="4B1AA942"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szCs w:val="22"/>
              </w:rPr>
              <w:t>Zverejňuje sa celkový súčet riadkov 4 až 11 a riadku 19.</w:t>
            </w:r>
          </w:p>
        </w:tc>
      </w:tr>
      <w:tr w:rsidR="00DB382A" w:rsidRPr="00970EC6" w14:paraId="5D463CB6" w14:textId="77777777">
        <w:tblPrEx>
          <w:tblLook w:val="00A0" w:firstRow="1" w:lastRow="0" w:firstColumn="1" w:lastColumn="0" w:noHBand="0" w:noVBand="0"/>
        </w:tblPrEx>
        <w:tc>
          <w:tcPr>
            <w:tcW w:w="1129" w:type="dxa"/>
            <w:shd w:val="clear" w:color="auto" w:fill="auto"/>
            <w:vAlign w:val="center"/>
          </w:tcPr>
          <w:p w14:paraId="115B7027"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color w:val="000000"/>
                <w:szCs w:val="22"/>
              </w:rPr>
              <w:t>4</w:t>
            </w:r>
          </w:p>
        </w:tc>
        <w:tc>
          <w:tcPr>
            <w:tcW w:w="7683" w:type="dxa"/>
            <w:shd w:val="clear" w:color="auto" w:fill="auto"/>
          </w:tcPr>
          <w:p w14:paraId="7BEA3499"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
                <w:bCs/>
                <w:szCs w:val="22"/>
                <w:u w:val="single"/>
              </w:rPr>
              <w:t>Úplne splatené kapitálové nástroje</w:t>
            </w:r>
          </w:p>
          <w:p w14:paraId="62F0C6C5"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szCs w:val="22"/>
              </w:rPr>
              <w:t>článok 9 od</w:t>
            </w:r>
            <w:r w:rsidRPr="00970EC6">
              <w:rPr>
                <w:rFonts w:ascii="Times New Roman" w:hAnsi="Times New Roman"/>
                <w:bCs/>
                <w:szCs w:val="22"/>
              </w:rPr>
              <w:t>s. 1 bod i) nariadenia (EÚ) 2019/2033</w:t>
            </w:r>
          </w:p>
          <w:p w14:paraId="4A0650B4" w14:textId="77777777" w:rsidR="00DB382A" w:rsidRPr="00970EC6" w:rsidRDefault="00970EC6">
            <w:pPr>
              <w:pStyle w:val="InstructionsText"/>
              <w:rPr>
                <w:rStyle w:val="FormatvorlageInstructionsTabelleText"/>
                <w:rFonts w:ascii="Times New Roman" w:hAnsi="Times New Roman"/>
                <w:sz w:val="22"/>
              </w:rPr>
            </w:pPr>
            <w:r w:rsidRPr="00970EC6">
              <w:rPr>
                <w:rStyle w:val="FormatvorlageInstructionsTabelleText"/>
                <w:rFonts w:ascii="Times New Roman" w:hAnsi="Times New Roman"/>
                <w:sz w:val="22"/>
              </w:rPr>
              <w:t>článok 26 ods. 1 písm. a) a články 27 až 31 nariadenia (EÚ) č. 575/2013</w:t>
            </w:r>
          </w:p>
          <w:p w14:paraId="6F52DAC3" w14:textId="77777777" w:rsidR="00DB382A" w:rsidRPr="00970EC6" w:rsidRDefault="00970EC6">
            <w:pPr>
              <w:pStyle w:val="InstructionsText"/>
              <w:rPr>
                <w:rStyle w:val="FormatvorlageInstructionsTabelleText"/>
                <w:rFonts w:ascii="Times New Roman" w:hAnsi="Times New Roman"/>
                <w:sz w:val="22"/>
              </w:rPr>
            </w:pPr>
            <w:r w:rsidRPr="00970EC6">
              <w:rPr>
                <w:rStyle w:val="FormatvorlageInstructionsTabelleText"/>
                <w:rFonts w:ascii="Times New Roman" w:hAnsi="Times New Roman"/>
                <w:sz w:val="22"/>
              </w:rPr>
              <w:t>Zahŕňajú sa kapitálové nástroje vzájomných spoločností, družstevných spoločností alebo podobných inštitúcií [články 27 a 29 nariadenia (EÚ) č. 575</w:t>
            </w:r>
            <w:r w:rsidRPr="00970EC6">
              <w:rPr>
                <w:rStyle w:val="FormatvorlageInstructionsTabelleText"/>
                <w:rFonts w:ascii="Times New Roman" w:hAnsi="Times New Roman"/>
                <w:sz w:val="22"/>
              </w:rPr>
              <w:t>/2013].</w:t>
            </w:r>
          </w:p>
          <w:p w14:paraId="589F4EB8" w14:textId="77777777" w:rsidR="00DB382A" w:rsidRPr="00970EC6" w:rsidRDefault="00970EC6">
            <w:pPr>
              <w:pStyle w:val="InstructionsText"/>
              <w:rPr>
                <w:rStyle w:val="FormatvorlageInstructionsTabelleText"/>
                <w:rFonts w:ascii="Times New Roman" w:hAnsi="Times New Roman"/>
                <w:sz w:val="22"/>
              </w:rPr>
            </w:pPr>
            <w:r w:rsidRPr="00970EC6">
              <w:rPr>
                <w:rStyle w:val="FormatvorlageInstructionsTabelleText"/>
                <w:rFonts w:ascii="Times New Roman" w:hAnsi="Times New Roman"/>
                <w:sz w:val="22"/>
              </w:rPr>
              <w:t>Emisné ážio súvisiace s týmito nástrojmi sa sem nezahŕňa.</w:t>
            </w:r>
          </w:p>
          <w:p w14:paraId="729BC7A0" w14:textId="77777777" w:rsidR="00DB382A" w:rsidRPr="00970EC6" w:rsidRDefault="00970EC6">
            <w:pPr>
              <w:pStyle w:val="InstructionsText"/>
            </w:pPr>
            <w:r w:rsidRPr="00970EC6">
              <w:rPr>
                <w:rStyle w:val="FormatvorlageInstructionsTabelleText"/>
                <w:rFonts w:ascii="Times New Roman" w:hAnsi="Times New Roman"/>
                <w:sz w:val="22"/>
              </w:rPr>
              <w:t>Kapitálové nástroje upísané orgánmi verejnej moci v núdzových situáciách sa zahŕňajú vtedy, ak sú splnené všetky podmienky článku 31 nariadenia (EÚ) č. 575/2013.</w:t>
            </w:r>
          </w:p>
        </w:tc>
      </w:tr>
      <w:tr w:rsidR="00DB382A" w:rsidRPr="00970EC6" w14:paraId="160E1B24" w14:textId="77777777">
        <w:tblPrEx>
          <w:tblLook w:val="00A0" w:firstRow="1" w:lastRow="0" w:firstColumn="1" w:lastColumn="0" w:noHBand="0" w:noVBand="0"/>
        </w:tblPrEx>
        <w:tc>
          <w:tcPr>
            <w:tcW w:w="1129" w:type="dxa"/>
            <w:shd w:val="clear" w:color="auto" w:fill="auto"/>
            <w:vAlign w:val="center"/>
          </w:tcPr>
          <w:p w14:paraId="6A93E80F"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color w:val="000000"/>
                <w:szCs w:val="22"/>
              </w:rPr>
              <w:t>5</w:t>
            </w:r>
          </w:p>
        </w:tc>
        <w:tc>
          <w:tcPr>
            <w:tcW w:w="7683" w:type="dxa"/>
            <w:shd w:val="clear" w:color="auto" w:fill="auto"/>
          </w:tcPr>
          <w:p w14:paraId="473A6E67"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Emisné ážio</w:t>
            </w:r>
          </w:p>
          <w:p w14:paraId="27AA2EED"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szCs w:val="22"/>
              </w:rPr>
              <w:t>článok 9 ods. 1 bod i) nariadenia (EÚ) 2019/2033</w:t>
            </w:r>
          </w:p>
          <w:p w14:paraId="46D6F4D7" w14:textId="77777777" w:rsidR="00DB382A" w:rsidRPr="00970EC6" w:rsidRDefault="00970EC6">
            <w:pPr>
              <w:spacing w:after="120"/>
              <w:jc w:val="both"/>
              <w:rPr>
                <w:rStyle w:val="FormatvorlageInstructionsTabelleText"/>
                <w:rFonts w:ascii="Times New Roman" w:hAnsi="Times New Roman"/>
                <w:sz w:val="22"/>
                <w:szCs w:val="22"/>
              </w:rPr>
            </w:pPr>
            <w:r w:rsidRPr="00970EC6">
              <w:rPr>
                <w:rStyle w:val="FormatvorlageInstructionsTabelleText"/>
                <w:rFonts w:ascii="Times New Roman" w:hAnsi="Times New Roman"/>
                <w:sz w:val="22"/>
                <w:szCs w:val="22"/>
              </w:rPr>
              <w:t>článok 26 ods. 1 písm. b) nariadenia (EÚ) č. 575/2013</w:t>
            </w:r>
          </w:p>
          <w:p w14:paraId="3F7BC588" w14:textId="77777777" w:rsidR="00DB382A" w:rsidRPr="00970EC6" w:rsidRDefault="00970EC6">
            <w:pPr>
              <w:pStyle w:val="InstructionsText"/>
              <w:rPr>
                <w:rStyle w:val="FormatvorlageInstructionsTabelleText"/>
                <w:rFonts w:ascii="Times New Roman" w:hAnsi="Times New Roman"/>
                <w:sz w:val="22"/>
              </w:rPr>
            </w:pPr>
            <w:r w:rsidRPr="00970EC6">
              <w:rPr>
                <w:rStyle w:val="FormatvorlageInstructionsTabelleText"/>
                <w:rFonts w:ascii="Times New Roman" w:hAnsi="Times New Roman"/>
                <w:sz w:val="22"/>
              </w:rPr>
              <w:t>Emisné ážio má ten istý význam ako v uplatniteľnom účtovnom štandarde.</w:t>
            </w:r>
          </w:p>
          <w:p w14:paraId="0A55BBB1"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Style w:val="FormatvorlageInstructionsTabelleText"/>
                <w:rFonts w:ascii="Times New Roman" w:hAnsi="Times New Roman"/>
                <w:sz w:val="22"/>
                <w:szCs w:val="22"/>
              </w:rPr>
              <w:t>Suma zverejňovaná v tejto položke je časť súvisiaca so „splatenými kapitálovými ná</w:t>
            </w:r>
            <w:r w:rsidRPr="00970EC6">
              <w:rPr>
                <w:rStyle w:val="FormatvorlageInstructionsTabelleText"/>
                <w:rFonts w:ascii="Times New Roman" w:hAnsi="Times New Roman"/>
                <w:sz w:val="22"/>
                <w:szCs w:val="22"/>
              </w:rPr>
              <w:t>strojmi“.</w:t>
            </w:r>
          </w:p>
        </w:tc>
      </w:tr>
      <w:tr w:rsidR="00DB382A" w:rsidRPr="00970EC6" w14:paraId="16FBF771" w14:textId="77777777">
        <w:tblPrEx>
          <w:tblLook w:val="00A0" w:firstRow="1" w:lastRow="0" w:firstColumn="1" w:lastColumn="0" w:noHBand="0" w:noVBand="0"/>
        </w:tblPrEx>
        <w:tc>
          <w:tcPr>
            <w:tcW w:w="1129" w:type="dxa"/>
            <w:shd w:val="clear" w:color="auto" w:fill="auto"/>
            <w:vAlign w:val="center"/>
          </w:tcPr>
          <w:p w14:paraId="36340381"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color w:val="000000"/>
                <w:szCs w:val="22"/>
              </w:rPr>
              <w:t>6</w:t>
            </w:r>
          </w:p>
        </w:tc>
        <w:tc>
          <w:tcPr>
            <w:tcW w:w="7683" w:type="dxa"/>
            <w:shd w:val="clear" w:color="auto" w:fill="auto"/>
          </w:tcPr>
          <w:p w14:paraId="04773406"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Nerozdelené zisky</w:t>
            </w:r>
          </w:p>
          <w:p w14:paraId="6C137A95"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szCs w:val="22"/>
              </w:rPr>
              <w:t>článok 9 ods. 1 bod i) nariadenia (EÚ) 2019/2033</w:t>
            </w:r>
          </w:p>
          <w:p w14:paraId="42528D01" w14:textId="77777777" w:rsidR="00DB382A" w:rsidRPr="00970EC6" w:rsidRDefault="00970EC6">
            <w:pPr>
              <w:spacing w:after="120"/>
              <w:jc w:val="both"/>
              <w:rPr>
                <w:rFonts w:ascii="Times New Roman" w:eastAsia="Times New Roman" w:hAnsi="Times New Roman" w:cs="Times New Roman"/>
                <w:bCs/>
                <w:szCs w:val="22"/>
              </w:rPr>
            </w:pPr>
            <w:r w:rsidRPr="00970EC6">
              <w:rPr>
                <w:rStyle w:val="FormatvorlageInstructionsTabelleText"/>
                <w:rFonts w:ascii="Times New Roman" w:hAnsi="Times New Roman"/>
                <w:sz w:val="22"/>
                <w:szCs w:val="22"/>
              </w:rPr>
              <w:t>článok 26 ods. 1 písm. c) nariadenia (EÚ) č. 575/2013</w:t>
            </w:r>
          </w:p>
          <w:p w14:paraId="73F84856"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Style w:val="FormatvorlageInstructionsTabelleText"/>
                <w:rFonts w:ascii="Times New Roman" w:hAnsi="Times New Roman"/>
                <w:sz w:val="22"/>
                <w:szCs w:val="22"/>
              </w:rPr>
              <w:lastRenderedPageBreak/>
              <w:t>Nerozdelené zisky zahŕňajú nerozdelené zisky z predchádzajúceho roka a prípustné predbežné alebo koncoročné zisky.</w:t>
            </w:r>
          </w:p>
        </w:tc>
      </w:tr>
      <w:tr w:rsidR="00DB382A" w:rsidRPr="00970EC6" w14:paraId="73EE7D85" w14:textId="77777777">
        <w:tblPrEx>
          <w:tblLook w:val="00A0" w:firstRow="1" w:lastRow="0" w:firstColumn="1" w:lastColumn="0" w:noHBand="0" w:noVBand="0"/>
        </w:tblPrEx>
        <w:tc>
          <w:tcPr>
            <w:tcW w:w="1129" w:type="dxa"/>
            <w:shd w:val="clear" w:color="auto" w:fill="auto"/>
            <w:vAlign w:val="center"/>
          </w:tcPr>
          <w:p w14:paraId="5B50689D"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color w:val="000000"/>
                <w:szCs w:val="22"/>
              </w:rPr>
              <w:lastRenderedPageBreak/>
              <w:t>7</w:t>
            </w:r>
          </w:p>
        </w:tc>
        <w:tc>
          <w:tcPr>
            <w:tcW w:w="7683" w:type="dxa"/>
            <w:shd w:val="clear" w:color="auto" w:fill="auto"/>
          </w:tcPr>
          <w:p w14:paraId="36CA4293"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Akumulovaný iný komplexný účtovný výsledok</w:t>
            </w:r>
          </w:p>
          <w:p w14:paraId="0868DEB1"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szCs w:val="22"/>
              </w:rPr>
              <w:t>článok 9 ods. 1 bod i) nariadenia (EÚ) 2019/2033</w:t>
            </w:r>
          </w:p>
          <w:p w14:paraId="3A33E53F" w14:textId="77777777" w:rsidR="00DB382A" w:rsidRPr="00970EC6" w:rsidRDefault="00970EC6">
            <w:pPr>
              <w:spacing w:after="120"/>
              <w:jc w:val="both"/>
              <w:rPr>
                <w:rFonts w:ascii="Times New Roman" w:hAnsi="Times New Roman" w:cs="Times New Roman"/>
                <w:bCs/>
                <w:szCs w:val="22"/>
              </w:rPr>
            </w:pPr>
            <w:r w:rsidRPr="00970EC6">
              <w:rPr>
                <w:rStyle w:val="FormatvorlageInstructionsTabelleText"/>
                <w:rFonts w:ascii="Times New Roman" w:hAnsi="Times New Roman"/>
                <w:sz w:val="22"/>
                <w:szCs w:val="22"/>
              </w:rPr>
              <w:t>článok 26 ods. 1 písm. d) nariadenia (EÚ) č. 575/2013</w:t>
            </w:r>
          </w:p>
        </w:tc>
      </w:tr>
      <w:tr w:rsidR="00DB382A" w:rsidRPr="00970EC6" w14:paraId="597CCFCD" w14:textId="77777777">
        <w:tblPrEx>
          <w:tblLook w:val="00A0" w:firstRow="1" w:lastRow="0" w:firstColumn="1" w:lastColumn="0" w:noHBand="0" w:noVBand="0"/>
        </w:tblPrEx>
        <w:tc>
          <w:tcPr>
            <w:tcW w:w="1129" w:type="dxa"/>
            <w:shd w:val="clear" w:color="auto" w:fill="auto"/>
            <w:vAlign w:val="center"/>
          </w:tcPr>
          <w:p w14:paraId="1F525D24"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color w:val="000000"/>
                <w:szCs w:val="22"/>
              </w:rPr>
              <w:t>8</w:t>
            </w:r>
          </w:p>
        </w:tc>
        <w:tc>
          <w:tcPr>
            <w:tcW w:w="7683" w:type="dxa"/>
            <w:tcBorders>
              <w:bottom w:val="single" w:sz="4" w:space="0" w:color="auto"/>
            </w:tcBorders>
            <w:shd w:val="clear" w:color="auto" w:fill="auto"/>
          </w:tcPr>
          <w:p w14:paraId="35CBF171"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Ostatné rezervy</w:t>
            </w:r>
          </w:p>
          <w:p w14:paraId="6BFA3AD7"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szCs w:val="22"/>
              </w:rPr>
              <w:t>článok 9 ods. 1 bod i) nariadenia (EÚ) 2019/2033</w:t>
            </w:r>
          </w:p>
          <w:p w14:paraId="79B02C2F" w14:textId="77777777" w:rsidR="00DB382A" w:rsidRPr="00970EC6" w:rsidRDefault="00970EC6">
            <w:pPr>
              <w:spacing w:after="120"/>
              <w:jc w:val="both"/>
              <w:rPr>
                <w:rStyle w:val="FormatvorlageInstructionsTabelleText"/>
                <w:rFonts w:ascii="Times New Roman" w:hAnsi="Times New Roman"/>
                <w:sz w:val="22"/>
                <w:szCs w:val="22"/>
              </w:rPr>
            </w:pPr>
            <w:r w:rsidRPr="00970EC6">
              <w:rPr>
                <w:rStyle w:val="FormatvorlageInstructionsTabelleText"/>
                <w:rFonts w:ascii="Times New Roman" w:hAnsi="Times New Roman"/>
                <w:sz w:val="22"/>
                <w:szCs w:val="22"/>
              </w:rPr>
              <w:t>článok 4 ods. 1 bod 117 a článok 26 ods. 1</w:t>
            </w:r>
            <w:r w:rsidRPr="00970EC6">
              <w:rPr>
                <w:rStyle w:val="FormatvorlageInstructionsTabelleText"/>
                <w:rFonts w:ascii="Times New Roman" w:hAnsi="Times New Roman"/>
                <w:sz w:val="22"/>
                <w:szCs w:val="22"/>
              </w:rPr>
              <w:t xml:space="preserve"> písm. e) nariadenia (EÚ) č. 575/2013</w:t>
            </w:r>
          </w:p>
          <w:p w14:paraId="769BFE6F"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Style w:val="FormatvorlageInstructionsTabelleText"/>
                <w:rFonts w:ascii="Times New Roman" w:hAnsi="Times New Roman"/>
                <w:sz w:val="22"/>
                <w:szCs w:val="22"/>
              </w:rPr>
              <w:t>Suma je zverejňovaná po odpočítaní daňových poplatkov, ktoré sa predpokladajú v čase výpočtu.</w:t>
            </w:r>
          </w:p>
        </w:tc>
      </w:tr>
      <w:tr w:rsidR="00DB382A" w:rsidRPr="00970EC6" w14:paraId="7652F63A" w14:textId="77777777">
        <w:tblPrEx>
          <w:tblLook w:val="00A0" w:firstRow="1" w:lastRow="0" w:firstColumn="1" w:lastColumn="0" w:noHBand="0" w:noVBand="0"/>
        </w:tblPrEx>
        <w:tc>
          <w:tcPr>
            <w:tcW w:w="1129" w:type="dxa"/>
            <w:shd w:val="clear" w:color="auto" w:fill="auto"/>
            <w:vAlign w:val="center"/>
          </w:tcPr>
          <w:p w14:paraId="243CBF78" w14:textId="77777777" w:rsidR="00DB382A" w:rsidRPr="00970EC6" w:rsidRDefault="00970EC6">
            <w:pPr>
              <w:spacing w:after="120"/>
              <w:jc w:val="both"/>
              <w:rPr>
                <w:rFonts w:ascii="Times New Roman" w:hAnsi="Times New Roman" w:cs="Times New Roman"/>
                <w:color w:val="000000"/>
                <w:szCs w:val="22"/>
              </w:rPr>
            </w:pPr>
            <w:r w:rsidRPr="00970EC6">
              <w:rPr>
                <w:rFonts w:ascii="Times New Roman" w:hAnsi="Times New Roman"/>
                <w:color w:val="000000"/>
                <w:szCs w:val="22"/>
              </w:rPr>
              <w:t>9</w:t>
            </w:r>
          </w:p>
        </w:tc>
        <w:tc>
          <w:tcPr>
            <w:tcW w:w="7683" w:type="dxa"/>
            <w:shd w:val="clear" w:color="auto" w:fill="auto"/>
          </w:tcPr>
          <w:p w14:paraId="498A29D2"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Úpravy vlastného kapitálu Tier 1 na základe prudenciálnych filtrov</w:t>
            </w:r>
          </w:p>
          <w:p w14:paraId="54734537" w14:textId="77777777" w:rsidR="00DB382A" w:rsidRPr="00970EC6" w:rsidRDefault="00970EC6">
            <w:pPr>
              <w:spacing w:after="120"/>
              <w:jc w:val="both"/>
              <w:rPr>
                <w:rStyle w:val="FormatvorlageInstructionsTabelleText"/>
                <w:rFonts w:ascii="Times New Roman" w:hAnsi="Times New Roman"/>
                <w:sz w:val="22"/>
                <w:szCs w:val="22"/>
              </w:rPr>
            </w:pPr>
            <w:r w:rsidRPr="00970EC6">
              <w:rPr>
                <w:rStyle w:val="FormatvorlageInstructionsTabelleText"/>
                <w:rFonts w:ascii="Times New Roman" w:hAnsi="Times New Roman"/>
                <w:sz w:val="22"/>
                <w:szCs w:val="22"/>
              </w:rPr>
              <w:t xml:space="preserve">článok 9 ods. 1 bod i) nariadenia (EÚ) </w:t>
            </w:r>
            <w:r w:rsidRPr="00970EC6">
              <w:rPr>
                <w:rStyle w:val="FormatvorlageInstructionsTabelleText"/>
                <w:rFonts w:ascii="Times New Roman" w:hAnsi="Times New Roman"/>
                <w:sz w:val="22"/>
                <w:szCs w:val="22"/>
              </w:rPr>
              <w:t>2019/2033</w:t>
            </w:r>
          </w:p>
          <w:p w14:paraId="65332658"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Style w:val="FormatvorlageInstructionsTabelleText"/>
                <w:rFonts w:ascii="Times New Roman" w:hAnsi="Times New Roman"/>
                <w:sz w:val="22"/>
                <w:szCs w:val="22"/>
              </w:rPr>
              <w:t>články 32 až 35 nariadenia (EÚ) č. 575/2013</w:t>
            </w:r>
          </w:p>
        </w:tc>
      </w:tr>
      <w:tr w:rsidR="00DB382A" w:rsidRPr="00970EC6" w14:paraId="5B405781" w14:textId="77777777">
        <w:tblPrEx>
          <w:tblLook w:val="00A0" w:firstRow="1" w:lastRow="0" w:firstColumn="1" w:lastColumn="0" w:noHBand="0" w:noVBand="0"/>
        </w:tblPrEx>
        <w:tc>
          <w:tcPr>
            <w:tcW w:w="1129" w:type="dxa"/>
            <w:shd w:val="clear" w:color="auto" w:fill="auto"/>
            <w:vAlign w:val="center"/>
          </w:tcPr>
          <w:p w14:paraId="67BCFD5D" w14:textId="77777777" w:rsidR="00DB382A" w:rsidRPr="00970EC6" w:rsidRDefault="00970EC6">
            <w:pPr>
              <w:spacing w:after="120"/>
              <w:jc w:val="both"/>
              <w:rPr>
                <w:rFonts w:ascii="Times New Roman" w:hAnsi="Times New Roman" w:cs="Times New Roman"/>
                <w:color w:val="000000"/>
                <w:szCs w:val="22"/>
              </w:rPr>
            </w:pPr>
            <w:r w:rsidRPr="00970EC6">
              <w:rPr>
                <w:rFonts w:ascii="Times New Roman" w:hAnsi="Times New Roman"/>
                <w:color w:val="000000"/>
                <w:szCs w:val="22"/>
              </w:rPr>
              <w:t>10</w:t>
            </w:r>
          </w:p>
        </w:tc>
        <w:tc>
          <w:tcPr>
            <w:tcW w:w="7683" w:type="dxa"/>
            <w:shd w:val="clear" w:color="auto" w:fill="auto"/>
          </w:tcPr>
          <w:p w14:paraId="5850C102"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Ostatné fondy</w:t>
            </w:r>
          </w:p>
          <w:p w14:paraId="2D095CF8"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Cs/>
                <w:szCs w:val="22"/>
              </w:rPr>
              <w:t>článok 9 ods. 4 nariadenia (EÚ) 2019/2033</w:t>
            </w:r>
          </w:p>
        </w:tc>
      </w:tr>
      <w:tr w:rsidR="00DB382A" w:rsidRPr="00970EC6" w14:paraId="79869786" w14:textId="77777777">
        <w:tblPrEx>
          <w:tblLook w:val="00A0" w:firstRow="1" w:lastRow="0" w:firstColumn="1" w:lastColumn="0" w:noHBand="0" w:noVBand="0"/>
        </w:tblPrEx>
        <w:tc>
          <w:tcPr>
            <w:tcW w:w="1129" w:type="dxa"/>
            <w:shd w:val="clear" w:color="auto" w:fill="auto"/>
            <w:vAlign w:val="center"/>
          </w:tcPr>
          <w:p w14:paraId="4E69DFA8" w14:textId="77777777" w:rsidR="00DB382A" w:rsidRPr="00970EC6" w:rsidRDefault="00970EC6">
            <w:pPr>
              <w:spacing w:after="120"/>
              <w:jc w:val="both"/>
              <w:rPr>
                <w:rFonts w:ascii="Times New Roman" w:hAnsi="Times New Roman" w:cs="Times New Roman"/>
                <w:color w:val="000000"/>
                <w:szCs w:val="22"/>
              </w:rPr>
            </w:pPr>
            <w:r w:rsidRPr="00970EC6">
              <w:rPr>
                <w:rFonts w:ascii="Times New Roman" w:hAnsi="Times New Roman"/>
                <w:color w:val="000000"/>
                <w:szCs w:val="22"/>
              </w:rPr>
              <w:t>11</w:t>
            </w:r>
          </w:p>
        </w:tc>
        <w:tc>
          <w:tcPr>
            <w:tcW w:w="7683" w:type="dxa"/>
            <w:shd w:val="clear" w:color="auto" w:fill="auto"/>
          </w:tcPr>
          <w:p w14:paraId="4EB60A2B"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 CELKOVÉ ODPOČTY OD VLASTNÉHO KAPITÁLU TIER 1</w:t>
            </w:r>
          </w:p>
          <w:p w14:paraId="38B1012B"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szCs w:val="22"/>
              </w:rPr>
              <w:t>Zverejňuje sa celkový súčet riadkov 12 až 18.</w:t>
            </w:r>
          </w:p>
        </w:tc>
      </w:tr>
      <w:tr w:rsidR="00DB382A" w:rsidRPr="00970EC6" w14:paraId="04CD2FA5"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3B6FE5C4"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color w:val="000000"/>
                <w:szCs w:val="22"/>
              </w:rPr>
              <w:t>12</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4ECE743B"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 Straty za bežný finančný rok</w:t>
            </w:r>
          </w:p>
          <w:p w14:paraId="614DE814"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szCs w:val="22"/>
              </w:rPr>
              <w:t>článok 36 ods. 1 písm. a) nariadenia (EÚ) č. 575/2013</w:t>
            </w:r>
          </w:p>
        </w:tc>
      </w:tr>
      <w:tr w:rsidR="00DB382A" w:rsidRPr="00970EC6" w14:paraId="2C6C22DA"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4EA98164"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color w:val="000000"/>
                <w:szCs w:val="22"/>
              </w:rPr>
              <w:t>13</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57D5B8DC"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 Goodwill</w:t>
            </w:r>
          </w:p>
          <w:p w14:paraId="3D21C077"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szCs w:val="22"/>
              </w:rPr>
              <w:t>článok 9 ods. 1 bod i) nariadenia (EÚ) 2019/2033</w:t>
            </w:r>
          </w:p>
          <w:p w14:paraId="52E16853"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Style w:val="FormatvorlageInstructionsTabelleText"/>
                <w:rFonts w:ascii="Times New Roman" w:hAnsi="Times New Roman"/>
                <w:sz w:val="22"/>
                <w:szCs w:val="22"/>
              </w:rPr>
              <w:t>článok 4 ods. 1 bod 113, článok 36 ods. 1 písm. b) a článok 37 nariadenia (EÚ) č. 575/2013</w:t>
            </w:r>
          </w:p>
        </w:tc>
      </w:tr>
      <w:tr w:rsidR="00DB382A" w:rsidRPr="00970EC6" w14:paraId="3F320CCE"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4B81D1D9"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color w:val="000000"/>
                <w:szCs w:val="22"/>
              </w:rPr>
              <w:t>14</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4E5C44B4"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 Ostatné nehmotné aktíva</w:t>
            </w:r>
          </w:p>
          <w:p w14:paraId="44C4832F"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szCs w:val="22"/>
              </w:rPr>
              <w:t>článok 9 ods. 1 bod i) nariadenia (EÚ) 2019/2033</w:t>
            </w:r>
          </w:p>
          <w:p w14:paraId="41E97B17" w14:textId="77777777" w:rsidR="00DB382A" w:rsidRPr="00970EC6" w:rsidRDefault="00970EC6">
            <w:pPr>
              <w:pStyle w:val="InstructionsText"/>
              <w:rPr>
                <w:rStyle w:val="FormatvorlageInstructionsTabelleText"/>
                <w:rFonts w:ascii="Times New Roman" w:eastAsiaTheme="minorHAnsi" w:hAnsi="Times New Roman"/>
                <w:bCs/>
                <w:sz w:val="22"/>
              </w:rPr>
            </w:pPr>
            <w:r w:rsidRPr="00970EC6">
              <w:rPr>
                <w:rStyle w:val="FormatvorlageInstructionsTabelleText"/>
                <w:rFonts w:ascii="Times New Roman" w:hAnsi="Times New Roman"/>
                <w:sz w:val="22"/>
              </w:rPr>
              <w:t>článok 4 ods. 1 bod 115, článok 36 ods. 1 písm. b) a článok 37 písm. a) nariadenia (EÚ) č. 575/2013</w:t>
            </w:r>
          </w:p>
          <w:p w14:paraId="3523F31A"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Style w:val="FormatvorlageInstructionsTabelleText"/>
                <w:rFonts w:ascii="Times New Roman" w:hAnsi="Times New Roman"/>
                <w:sz w:val="22"/>
                <w:szCs w:val="22"/>
              </w:rPr>
              <w:t>Ostatné nehmotné aktíva sú nehmotné aktíva podľa uplatniteľného účtovného štandardu, bez goodwillu, tiež po</w:t>
            </w:r>
            <w:r w:rsidRPr="00970EC6">
              <w:rPr>
                <w:rStyle w:val="FormatvorlageInstructionsTabelleText"/>
                <w:rFonts w:ascii="Times New Roman" w:hAnsi="Times New Roman"/>
                <w:sz w:val="22"/>
                <w:szCs w:val="22"/>
              </w:rPr>
              <w:t>dľa uplatniteľného účtovného štandardu.</w:t>
            </w:r>
          </w:p>
        </w:tc>
      </w:tr>
      <w:tr w:rsidR="00DB382A" w:rsidRPr="00970EC6" w14:paraId="04AAFF52"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7E2204F0"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color w:val="000000"/>
                <w:szCs w:val="22"/>
              </w:rPr>
              <w:t>15</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7A245DAD"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 Odložené daňové pohľadávky, ktoré závisia od budúcej ziskovosti a nevyplývajú z dočasných rozdielov, po odpočítaní prislúchajúcich daňových záväzkov</w:t>
            </w:r>
          </w:p>
          <w:p w14:paraId="602AA4AA"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szCs w:val="22"/>
              </w:rPr>
              <w:t>článok 9 ods. 2</w:t>
            </w:r>
            <w:r w:rsidRPr="00970EC6">
              <w:t xml:space="preserve"> </w:t>
            </w:r>
            <w:r w:rsidRPr="00970EC6">
              <w:rPr>
                <w:rFonts w:ascii="Times New Roman" w:hAnsi="Times New Roman"/>
                <w:bCs/>
                <w:szCs w:val="22"/>
              </w:rPr>
              <w:t>písm. a) nariadenia (EÚ) 2019/2033</w:t>
            </w:r>
          </w:p>
          <w:p w14:paraId="5EFC0079"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Cs/>
                <w:szCs w:val="22"/>
              </w:rPr>
              <w:t>článok 3</w:t>
            </w:r>
            <w:r w:rsidRPr="00970EC6">
              <w:rPr>
                <w:rFonts w:ascii="Times New Roman" w:hAnsi="Times New Roman"/>
                <w:bCs/>
                <w:szCs w:val="22"/>
              </w:rPr>
              <w:t>6 ods. 1 písm. c) nariadenia (EÚ) č. 575/2013</w:t>
            </w:r>
          </w:p>
        </w:tc>
      </w:tr>
      <w:tr w:rsidR="00DB382A" w:rsidRPr="00970EC6" w14:paraId="72427E96"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2F11ACB4"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color w:val="000000"/>
                <w:szCs w:val="22"/>
              </w:rPr>
              <w:t>16</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541B4CE8"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 Kvalifikovaná účasť mimo finančného sektora, ktorá presahuje 15 % vlastných zdrojov</w:t>
            </w:r>
          </w:p>
          <w:p w14:paraId="3662401E"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Cs/>
                <w:szCs w:val="22"/>
              </w:rPr>
              <w:t>článok 10 ods. 1 písm. a) nariadenia (EÚ) 2019/2033</w:t>
            </w:r>
          </w:p>
        </w:tc>
      </w:tr>
      <w:tr w:rsidR="00DB382A" w:rsidRPr="00970EC6" w14:paraId="474AB9FB" w14:textId="77777777">
        <w:tblPrEx>
          <w:tblLook w:val="00A0" w:firstRow="1" w:lastRow="0" w:firstColumn="1" w:lastColumn="0" w:noHBand="0" w:noVBand="0"/>
        </w:tblPrEx>
        <w:tc>
          <w:tcPr>
            <w:tcW w:w="1129" w:type="dxa"/>
            <w:tcBorders>
              <w:top w:val="single" w:sz="4" w:space="0" w:color="auto"/>
            </w:tcBorders>
            <w:shd w:val="clear" w:color="auto" w:fill="auto"/>
            <w:vAlign w:val="center"/>
          </w:tcPr>
          <w:p w14:paraId="7BFF2977"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color w:val="000000"/>
                <w:szCs w:val="22"/>
              </w:rPr>
              <w:lastRenderedPageBreak/>
              <w:t>17</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center"/>
          </w:tcPr>
          <w:p w14:paraId="06E6A681"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 xml:space="preserve">(–) Celkové kvalifikované účasti v iných podnikoch, než sú </w:t>
            </w:r>
            <w:r w:rsidRPr="00970EC6">
              <w:rPr>
                <w:rFonts w:ascii="Times New Roman" w:hAnsi="Times New Roman"/>
                <w:b/>
                <w:bCs/>
                <w:szCs w:val="22"/>
                <w:u w:val="single"/>
              </w:rPr>
              <w:t>subjekty finančného sektora, ktoré presahujú 60 % vlastných zdrojov spoločnosti</w:t>
            </w:r>
          </w:p>
          <w:p w14:paraId="598E6878"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Cs/>
                <w:szCs w:val="22"/>
              </w:rPr>
              <w:t>článok 10 ods. 1 písm. a) nariadenia (EÚ) 2019/2033</w:t>
            </w:r>
          </w:p>
        </w:tc>
      </w:tr>
      <w:tr w:rsidR="00DB382A" w:rsidRPr="00970EC6" w14:paraId="045706E9" w14:textId="77777777">
        <w:tblPrEx>
          <w:tblLook w:val="00A0" w:firstRow="1" w:lastRow="0" w:firstColumn="1" w:lastColumn="0" w:noHBand="0" w:noVBand="0"/>
        </w:tblPrEx>
        <w:tc>
          <w:tcPr>
            <w:tcW w:w="1129" w:type="dxa"/>
            <w:vAlign w:val="center"/>
          </w:tcPr>
          <w:p w14:paraId="18CDABBA"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color w:val="000000"/>
                <w:szCs w:val="22"/>
              </w:rPr>
              <w:t>18</w:t>
            </w:r>
          </w:p>
        </w:tc>
        <w:tc>
          <w:tcPr>
            <w:tcW w:w="7683" w:type="dxa"/>
            <w:tcBorders>
              <w:top w:val="nil"/>
              <w:left w:val="single" w:sz="4" w:space="0" w:color="auto"/>
              <w:bottom w:val="single" w:sz="4" w:space="0" w:color="auto"/>
              <w:right w:val="single" w:sz="4" w:space="0" w:color="auto"/>
            </w:tcBorders>
            <w:shd w:val="clear" w:color="auto" w:fill="auto"/>
            <w:vAlign w:val="bottom"/>
          </w:tcPr>
          <w:p w14:paraId="2541B45F"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 Ostatné odpočty</w:t>
            </w:r>
          </w:p>
          <w:p w14:paraId="64B16405"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szCs w:val="22"/>
              </w:rPr>
              <w:t>Súčet akýchkoľvek iných odpočtov uvedených v článku 36 ods. 1 nariadenia (EÚ) č. 575/2013.</w:t>
            </w:r>
          </w:p>
        </w:tc>
      </w:tr>
      <w:tr w:rsidR="00DB382A" w:rsidRPr="00970EC6" w14:paraId="7A3C4BEB" w14:textId="77777777">
        <w:tblPrEx>
          <w:tblLook w:val="00A0" w:firstRow="1" w:lastRow="0" w:firstColumn="1" w:lastColumn="0" w:noHBand="0" w:noVBand="0"/>
        </w:tblPrEx>
        <w:tc>
          <w:tcPr>
            <w:tcW w:w="1129" w:type="dxa"/>
            <w:vAlign w:val="center"/>
          </w:tcPr>
          <w:p w14:paraId="19B0CC1F" w14:textId="77777777" w:rsidR="00DB382A" w:rsidRPr="00970EC6" w:rsidRDefault="00970EC6">
            <w:pPr>
              <w:spacing w:after="120"/>
              <w:jc w:val="both"/>
              <w:rPr>
                <w:rFonts w:ascii="Times New Roman" w:hAnsi="Times New Roman" w:cs="Times New Roman"/>
                <w:color w:val="000000"/>
                <w:szCs w:val="22"/>
              </w:rPr>
            </w:pPr>
            <w:r w:rsidRPr="00970EC6">
              <w:rPr>
                <w:rFonts w:ascii="Times New Roman" w:hAnsi="Times New Roman"/>
                <w:color w:val="000000"/>
                <w:szCs w:val="22"/>
              </w:rPr>
              <w:t>19</w:t>
            </w:r>
          </w:p>
        </w:tc>
        <w:tc>
          <w:tcPr>
            <w:tcW w:w="7683" w:type="dxa"/>
            <w:tcBorders>
              <w:top w:val="nil"/>
              <w:left w:val="single" w:sz="4" w:space="0" w:color="auto"/>
              <w:bottom w:val="single" w:sz="4" w:space="0" w:color="auto"/>
              <w:right w:val="single" w:sz="4" w:space="0" w:color="auto"/>
            </w:tcBorders>
            <w:shd w:val="clear" w:color="auto" w:fill="auto"/>
            <w:vAlign w:val="bottom"/>
          </w:tcPr>
          <w:p w14:paraId="2E9392EF"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Vlastný kapitál Tier 1: ostatné kapitálové prvky, odpočty a úpravy</w:t>
            </w:r>
          </w:p>
          <w:p w14:paraId="6E78B436"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szCs w:val="22"/>
              </w:rPr>
              <w:t>Tento riadok podľa potreby zahŕňa súčet týchto položiek:</w:t>
            </w:r>
          </w:p>
          <w:p w14:paraId="27A67035" w14:textId="77777777" w:rsidR="00DB382A" w:rsidRPr="00970EC6" w:rsidRDefault="00970EC6">
            <w:pPr>
              <w:spacing w:after="120"/>
              <w:ind w:left="360" w:hanging="360"/>
              <w:contextualSpacing/>
              <w:jc w:val="both"/>
              <w:rPr>
                <w:rFonts w:ascii="Times New Roman" w:eastAsia="Times New Roman" w:hAnsi="Times New Roman"/>
                <w:bCs/>
              </w:rPr>
            </w:pPr>
            <w:r w:rsidRPr="00970EC6">
              <w:rPr>
                <w:rFonts w:ascii="Times New Roman" w:eastAsia="Times New Roman" w:hAnsi="Times New Roman" w:cs="Times New Roman"/>
                <w:b/>
                <w:bCs/>
                <w:szCs w:val="22"/>
              </w:rPr>
              <w:t>–</w:t>
            </w:r>
            <w:r w:rsidRPr="00970EC6">
              <w:rPr>
                <w:rFonts w:ascii="Times New Roman" w:eastAsia="Times New Roman" w:hAnsi="Times New Roman" w:cs="Times New Roman"/>
                <w:b/>
                <w:bCs/>
                <w:szCs w:val="22"/>
              </w:rPr>
              <w:tab/>
            </w:r>
            <w:r w:rsidRPr="00970EC6">
              <w:rPr>
                <w:rFonts w:ascii="Times New Roman" w:hAnsi="Times New Roman"/>
                <w:bCs/>
              </w:rPr>
              <w:t xml:space="preserve">prechodné úpravy na základe nástrojov vlastného kapitálu Tier 1, ktoré sa zachovali v predchádzajúcom stave [článok 483 ods. 1, 2 </w:t>
            </w:r>
            <w:r w:rsidRPr="00970EC6">
              <w:rPr>
                <w:rFonts w:ascii="Times New Roman" w:hAnsi="Times New Roman"/>
                <w:bCs/>
              </w:rPr>
              <w:t>a 3 a články 484 až 487 nariadenia (EÚ) č. 575/2013],</w:t>
            </w:r>
          </w:p>
          <w:p w14:paraId="372B6D02" w14:textId="77777777" w:rsidR="00DB382A" w:rsidRPr="00970EC6" w:rsidRDefault="00970EC6">
            <w:pPr>
              <w:spacing w:after="120"/>
              <w:ind w:left="360" w:hanging="360"/>
              <w:contextualSpacing/>
              <w:jc w:val="both"/>
              <w:rPr>
                <w:rFonts w:ascii="Times New Roman" w:eastAsia="Times New Roman" w:hAnsi="Times New Roman"/>
                <w:bCs/>
              </w:rPr>
            </w:pPr>
            <w:r w:rsidRPr="00970EC6">
              <w:rPr>
                <w:rFonts w:ascii="Times New Roman" w:eastAsia="Times New Roman" w:hAnsi="Times New Roman" w:cs="Times New Roman"/>
                <w:b/>
                <w:bCs/>
                <w:szCs w:val="22"/>
              </w:rPr>
              <w:t>–</w:t>
            </w:r>
            <w:r w:rsidRPr="00970EC6">
              <w:rPr>
                <w:rFonts w:ascii="Times New Roman" w:eastAsia="Times New Roman" w:hAnsi="Times New Roman" w:cs="Times New Roman"/>
                <w:b/>
                <w:bCs/>
                <w:szCs w:val="22"/>
              </w:rPr>
              <w:tab/>
            </w:r>
            <w:r w:rsidRPr="00970EC6">
              <w:rPr>
                <w:rFonts w:ascii="Times New Roman" w:hAnsi="Times New Roman"/>
                <w:bCs/>
              </w:rPr>
              <w:t>prechodné úpravy na základe dodatočných menšinových účastí [články 479 a 480 nariadenia (EÚ) č. 575/2013],</w:t>
            </w:r>
          </w:p>
          <w:p w14:paraId="1801B1B5" w14:textId="77777777" w:rsidR="00DB382A" w:rsidRPr="00970EC6" w:rsidRDefault="00970EC6">
            <w:pPr>
              <w:spacing w:after="120"/>
              <w:ind w:left="360" w:hanging="360"/>
              <w:contextualSpacing/>
              <w:jc w:val="both"/>
              <w:rPr>
                <w:rFonts w:ascii="Times New Roman" w:eastAsia="Times New Roman" w:hAnsi="Times New Roman"/>
                <w:bCs/>
              </w:rPr>
            </w:pPr>
            <w:r w:rsidRPr="00970EC6">
              <w:rPr>
                <w:rFonts w:ascii="Times New Roman" w:eastAsia="Times New Roman" w:hAnsi="Times New Roman" w:cs="Times New Roman"/>
                <w:b/>
                <w:bCs/>
                <w:szCs w:val="22"/>
              </w:rPr>
              <w:t>–</w:t>
            </w:r>
            <w:r w:rsidRPr="00970EC6">
              <w:rPr>
                <w:rFonts w:ascii="Times New Roman" w:eastAsia="Times New Roman" w:hAnsi="Times New Roman" w:cs="Times New Roman"/>
                <w:b/>
                <w:bCs/>
                <w:szCs w:val="22"/>
              </w:rPr>
              <w:tab/>
            </w:r>
            <w:r w:rsidRPr="00970EC6">
              <w:rPr>
                <w:rFonts w:ascii="Times New Roman" w:hAnsi="Times New Roman"/>
                <w:bCs/>
              </w:rPr>
              <w:t>ostatné prechodné úpravy vlastného kapitálu Tier 1 [články 469 až 478 a článok 481 nariaden</w:t>
            </w:r>
            <w:r w:rsidRPr="00970EC6">
              <w:rPr>
                <w:rFonts w:ascii="Times New Roman" w:hAnsi="Times New Roman"/>
                <w:bCs/>
              </w:rPr>
              <w:t>ia (EÚ) č. 575/2013]: úpravy odpočtov od vlastného kapitálu Tier 1 na základe prechodných ustanovení,</w:t>
            </w:r>
          </w:p>
          <w:p w14:paraId="140B2747" w14:textId="77777777" w:rsidR="00DB382A" w:rsidRPr="00970EC6" w:rsidRDefault="00970EC6">
            <w:pPr>
              <w:spacing w:after="120"/>
              <w:ind w:left="360" w:hanging="360"/>
              <w:contextualSpacing/>
              <w:jc w:val="both"/>
              <w:rPr>
                <w:rFonts w:ascii="Times New Roman" w:eastAsia="Times New Roman" w:hAnsi="Times New Roman"/>
                <w:b/>
                <w:bCs/>
                <w:u w:val="single"/>
              </w:rPr>
            </w:pPr>
            <w:r w:rsidRPr="00970EC6">
              <w:rPr>
                <w:rFonts w:ascii="Times New Roman" w:eastAsia="Times New Roman" w:hAnsi="Times New Roman" w:cs="Times New Roman"/>
                <w:b/>
                <w:bCs/>
                <w:szCs w:val="22"/>
              </w:rPr>
              <w:t>–</w:t>
            </w:r>
            <w:r w:rsidRPr="00970EC6">
              <w:rPr>
                <w:rFonts w:ascii="Times New Roman" w:eastAsia="Times New Roman" w:hAnsi="Times New Roman" w:cs="Times New Roman"/>
                <w:b/>
                <w:bCs/>
                <w:szCs w:val="22"/>
              </w:rPr>
              <w:tab/>
            </w:r>
            <w:r w:rsidRPr="00970EC6">
              <w:rPr>
                <w:rFonts w:ascii="Times New Roman" w:hAnsi="Times New Roman"/>
                <w:bCs/>
              </w:rPr>
              <w:t>ostatné prvky vlastného kapitálu Tier 1 alebo odpočty od prvku vlastného kapitálu Tier 1, ktoré nemožno priradiť k žiadnemu z riadkov 4 až 18.</w:t>
            </w:r>
          </w:p>
          <w:p w14:paraId="0AEE7CF4"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Cs/>
                <w:szCs w:val="22"/>
              </w:rPr>
              <w:t>Tento ria</w:t>
            </w:r>
            <w:r w:rsidRPr="00970EC6">
              <w:rPr>
                <w:rFonts w:ascii="Times New Roman" w:hAnsi="Times New Roman"/>
                <w:bCs/>
                <w:szCs w:val="22"/>
              </w:rPr>
              <w:t>dok sa nepoužíva na zahrnutie kapitálových položiek alebo odpočtov, na ktoré sa nevzťahuje nariadenie (EÚ) 2019/2033 ani nariadenie (EÚ) č. 575/2013, do výpočtu ukazovateľov platobnej schopnosti.</w:t>
            </w:r>
          </w:p>
        </w:tc>
      </w:tr>
      <w:tr w:rsidR="00DB382A" w:rsidRPr="00970EC6" w14:paraId="4869318B" w14:textId="77777777">
        <w:tblPrEx>
          <w:tblLook w:val="00A0" w:firstRow="1" w:lastRow="0" w:firstColumn="1" w:lastColumn="0" w:noHBand="0" w:noVBand="0"/>
        </w:tblPrEx>
        <w:tc>
          <w:tcPr>
            <w:tcW w:w="1129" w:type="dxa"/>
            <w:vAlign w:val="center"/>
          </w:tcPr>
          <w:p w14:paraId="763967CF"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color w:val="000000"/>
                <w:szCs w:val="22"/>
              </w:rPr>
              <w:t>20</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14:paraId="135070B4"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DODATOČNÝ KAPITÁL TIER 1</w:t>
            </w:r>
          </w:p>
          <w:p w14:paraId="100070A7"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szCs w:val="22"/>
              </w:rPr>
              <w:t>článok 9 ods. 1 nariadenia (EÚ)</w:t>
            </w:r>
            <w:r w:rsidRPr="00970EC6">
              <w:rPr>
                <w:rFonts w:ascii="Times New Roman" w:hAnsi="Times New Roman"/>
                <w:bCs/>
                <w:szCs w:val="22"/>
              </w:rPr>
              <w:t xml:space="preserve"> 2019/2033</w:t>
            </w:r>
          </w:p>
          <w:p w14:paraId="7BEE602D" w14:textId="77777777" w:rsidR="00DB382A" w:rsidRPr="00970EC6" w:rsidRDefault="00970EC6">
            <w:pPr>
              <w:spacing w:after="120"/>
              <w:jc w:val="both"/>
              <w:rPr>
                <w:rFonts w:ascii="Times New Roman" w:hAnsi="Times New Roman" w:cs="Times New Roman"/>
                <w:szCs w:val="22"/>
              </w:rPr>
            </w:pPr>
            <w:r w:rsidRPr="00970EC6">
              <w:rPr>
                <w:rFonts w:ascii="Times New Roman" w:hAnsi="Times New Roman"/>
                <w:szCs w:val="22"/>
              </w:rPr>
              <w:t>článok 61 nariadenia (EÚ) č. 575/2013</w:t>
            </w:r>
          </w:p>
          <w:p w14:paraId="02EC9051"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Cs/>
                <w:szCs w:val="22"/>
              </w:rPr>
              <w:t>Zverejňuje sa celkový súčet riadkov 21 až 24.</w:t>
            </w:r>
          </w:p>
        </w:tc>
      </w:tr>
      <w:tr w:rsidR="00DB382A" w:rsidRPr="00970EC6" w14:paraId="301B6118" w14:textId="77777777">
        <w:tblPrEx>
          <w:tblLook w:val="00A0" w:firstRow="1" w:lastRow="0" w:firstColumn="1" w:lastColumn="0" w:noHBand="0" w:noVBand="0"/>
        </w:tblPrEx>
        <w:tc>
          <w:tcPr>
            <w:tcW w:w="1129" w:type="dxa"/>
            <w:vAlign w:val="center"/>
          </w:tcPr>
          <w:p w14:paraId="069E6B3B"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color w:val="000000"/>
                <w:szCs w:val="22"/>
              </w:rPr>
              <w:t>21</w:t>
            </w:r>
          </w:p>
        </w:tc>
        <w:tc>
          <w:tcPr>
            <w:tcW w:w="7683" w:type="dxa"/>
            <w:tcBorders>
              <w:top w:val="nil"/>
              <w:left w:val="single" w:sz="4" w:space="0" w:color="auto"/>
              <w:bottom w:val="single" w:sz="4" w:space="0" w:color="auto"/>
              <w:right w:val="single" w:sz="4" w:space="0" w:color="auto"/>
            </w:tcBorders>
            <w:shd w:val="clear" w:color="auto" w:fill="auto"/>
            <w:vAlign w:val="bottom"/>
          </w:tcPr>
          <w:p w14:paraId="068476BA"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
                <w:bCs/>
                <w:szCs w:val="22"/>
                <w:u w:val="single"/>
              </w:rPr>
              <w:t>Úplne splatený, priamo emitovaný kapitál</w:t>
            </w:r>
          </w:p>
          <w:p w14:paraId="22CB6B34"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szCs w:val="22"/>
              </w:rPr>
              <w:t>článok 9 ods. 1 bod i) nariadenia (EÚ) 2019/2033</w:t>
            </w:r>
          </w:p>
          <w:p w14:paraId="70DC751E" w14:textId="77777777" w:rsidR="00DB382A" w:rsidRPr="00970EC6" w:rsidRDefault="00970EC6">
            <w:pPr>
              <w:pStyle w:val="InstructionsText"/>
              <w:rPr>
                <w:rStyle w:val="FormatvorlageInstructionsTabelleText"/>
                <w:rFonts w:ascii="Times New Roman" w:hAnsi="Times New Roman"/>
                <w:sz w:val="22"/>
              </w:rPr>
            </w:pPr>
            <w:r w:rsidRPr="00970EC6">
              <w:rPr>
                <w:rStyle w:val="FormatvorlageInstructionsTabelleText"/>
                <w:rFonts w:ascii="Times New Roman" w:hAnsi="Times New Roman"/>
                <w:sz w:val="22"/>
              </w:rPr>
              <w:t xml:space="preserve">článok 51 písm. a) a články 52, 53 a 54 nariadenia (EÚ) </w:t>
            </w:r>
            <w:r w:rsidRPr="00970EC6">
              <w:rPr>
                <w:rStyle w:val="FormatvorlageInstructionsTabelleText"/>
                <w:rFonts w:ascii="Times New Roman" w:hAnsi="Times New Roman"/>
                <w:sz w:val="22"/>
              </w:rPr>
              <w:t>č. 575/2013</w:t>
            </w:r>
          </w:p>
          <w:p w14:paraId="5485E7D3"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Style w:val="FormatvorlageInstructionsTabelleText"/>
                <w:rFonts w:ascii="Times New Roman" w:hAnsi="Times New Roman"/>
                <w:sz w:val="22"/>
                <w:szCs w:val="22"/>
              </w:rPr>
              <w:t>Zverejňovaná suma nezahŕňa emisné ážio súvisiace s nástrojmi.</w:t>
            </w:r>
          </w:p>
        </w:tc>
      </w:tr>
      <w:tr w:rsidR="00DB382A" w:rsidRPr="00970EC6" w14:paraId="4AED9B34" w14:textId="77777777">
        <w:tblPrEx>
          <w:tblLook w:val="00A0" w:firstRow="1" w:lastRow="0" w:firstColumn="1" w:lastColumn="0" w:noHBand="0" w:noVBand="0"/>
        </w:tblPrEx>
        <w:tc>
          <w:tcPr>
            <w:tcW w:w="1129" w:type="dxa"/>
            <w:vAlign w:val="center"/>
          </w:tcPr>
          <w:p w14:paraId="2568AE96"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color w:val="000000"/>
                <w:szCs w:val="22"/>
              </w:rPr>
              <w:t>22</w:t>
            </w:r>
          </w:p>
        </w:tc>
        <w:tc>
          <w:tcPr>
            <w:tcW w:w="7683" w:type="dxa"/>
            <w:tcBorders>
              <w:top w:val="nil"/>
              <w:left w:val="single" w:sz="4" w:space="0" w:color="auto"/>
              <w:bottom w:val="single" w:sz="4" w:space="0" w:color="auto"/>
              <w:right w:val="single" w:sz="4" w:space="0" w:color="auto"/>
            </w:tcBorders>
            <w:shd w:val="clear" w:color="auto" w:fill="auto"/>
            <w:vAlign w:val="bottom"/>
          </w:tcPr>
          <w:p w14:paraId="3BFE744E"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Emisné ážio</w:t>
            </w:r>
          </w:p>
          <w:p w14:paraId="2BC09693"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szCs w:val="22"/>
              </w:rPr>
              <w:t>článok 9 ods. 1 bod i) nariadenia (EÚ) 2019/2033</w:t>
            </w:r>
          </w:p>
          <w:p w14:paraId="165D4EC3" w14:textId="77777777" w:rsidR="00DB382A" w:rsidRPr="00970EC6" w:rsidRDefault="00970EC6">
            <w:pPr>
              <w:pStyle w:val="InstructionsText"/>
              <w:rPr>
                <w:rStyle w:val="FormatvorlageInstructionsTabelleText"/>
                <w:rFonts w:ascii="Times New Roman" w:hAnsi="Times New Roman"/>
                <w:sz w:val="22"/>
              </w:rPr>
            </w:pPr>
            <w:r w:rsidRPr="00970EC6">
              <w:rPr>
                <w:rStyle w:val="FormatvorlageInstructionsTabelleText"/>
                <w:rFonts w:ascii="Times New Roman" w:hAnsi="Times New Roman"/>
                <w:sz w:val="22"/>
              </w:rPr>
              <w:t>článok 51 písm. b) nariadenia (EÚ) č. 575/2013</w:t>
            </w:r>
          </w:p>
          <w:p w14:paraId="14A33BA6" w14:textId="77777777" w:rsidR="00DB382A" w:rsidRPr="00970EC6" w:rsidRDefault="00970EC6">
            <w:pPr>
              <w:pStyle w:val="InstructionsText"/>
              <w:rPr>
                <w:rStyle w:val="FormatvorlageInstructionsTabelleText"/>
                <w:rFonts w:ascii="Times New Roman" w:hAnsi="Times New Roman"/>
                <w:sz w:val="22"/>
              </w:rPr>
            </w:pPr>
            <w:r w:rsidRPr="00970EC6">
              <w:rPr>
                <w:rStyle w:val="FormatvorlageInstructionsTabelleText"/>
                <w:rFonts w:ascii="Times New Roman" w:hAnsi="Times New Roman"/>
                <w:sz w:val="22"/>
              </w:rPr>
              <w:t xml:space="preserve">Emisné ážio má ten istý význam ako v uplatniteľnom účtovnom </w:t>
            </w:r>
            <w:r w:rsidRPr="00970EC6">
              <w:rPr>
                <w:rStyle w:val="FormatvorlageInstructionsTabelleText"/>
                <w:rFonts w:ascii="Times New Roman" w:hAnsi="Times New Roman"/>
                <w:sz w:val="22"/>
              </w:rPr>
              <w:t>štandarde.</w:t>
            </w:r>
          </w:p>
          <w:p w14:paraId="55341A9B"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Style w:val="FormatvorlageInstructionsTabelleText"/>
                <w:rFonts w:ascii="Times New Roman" w:hAnsi="Times New Roman"/>
                <w:sz w:val="22"/>
                <w:szCs w:val="22"/>
              </w:rPr>
              <w:t>Suma zverejňovaná v tejto položke je časť súvisiaca so „splatenými kapitálovými nástrojmi“.</w:t>
            </w:r>
          </w:p>
        </w:tc>
      </w:tr>
      <w:tr w:rsidR="00DB382A" w:rsidRPr="00970EC6" w14:paraId="0B84846A" w14:textId="77777777">
        <w:tblPrEx>
          <w:tblLook w:val="00A0" w:firstRow="1" w:lastRow="0" w:firstColumn="1" w:lastColumn="0" w:noHBand="0" w:noVBand="0"/>
        </w:tblPrEx>
        <w:tc>
          <w:tcPr>
            <w:tcW w:w="1129" w:type="dxa"/>
            <w:tcBorders>
              <w:bottom w:val="single" w:sz="4" w:space="0" w:color="auto"/>
            </w:tcBorders>
            <w:vAlign w:val="center"/>
          </w:tcPr>
          <w:p w14:paraId="1867ED24"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color w:val="000000"/>
                <w:szCs w:val="22"/>
              </w:rPr>
              <w:t>23</w:t>
            </w:r>
          </w:p>
        </w:tc>
        <w:tc>
          <w:tcPr>
            <w:tcW w:w="7683" w:type="dxa"/>
            <w:tcBorders>
              <w:top w:val="nil"/>
              <w:left w:val="single" w:sz="4" w:space="0" w:color="auto"/>
              <w:bottom w:val="single" w:sz="4" w:space="0" w:color="auto"/>
              <w:right w:val="single" w:sz="4" w:space="0" w:color="auto"/>
            </w:tcBorders>
            <w:shd w:val="clear" w:color="auto" w:fill="auto"/>
            <w:vAlign w:val="bottom"/>
          </w:tcPr>
          <w:p w14:paraId="660129FC"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 CELKOVÉ ODPOČTY OD DODATOČNÉHO KAPITÁLU TIER 1</w:t>
            </w:r>
          </w:p>
          <w:p w14:paraId="55B49352" w14:textId="77777777" w:rsidR="00DB382A" w:rsidRPr="00970EC6" w:rsidRDefault="00970EC6">
            <w:pPr>
              <w:spacing w:before="60" w:after="60"/>
              <w:rPr>
                <w:rFonts w:ascii="Times New Roman" w:eastAsia="Times New Roman" w:hAnsi="Times New Roman" w:cs="Times New Roman"/>
                <w:b/>
                <w:bCs/>
                <w:szCs w:val="22"/>
                <w:u w:val="single"/>
              </w:rPr>
            </w:pPr>
            <w:r w:rsidRPr="00970EC6">
              <w:rPr>
                <w:rFonts w:ascii="Times New Roman" w:hAnsi="Times New Roman"/>
                <w:szCs w:val="22"/>
              </w:rPr>
              <w:t>článok 56 nariadenia (EÚ) č. 575/2013</w:t>
            </w:r>
          </w:p>
        </w:tc>
      </w:tr>
      <w:tr w:rsidR="00DB382A" w:rsidRPr="00970EC6" w14:paraId="21F12917" w14:textId="77777777">
        <w:tblPrEx>
          <w:tblLook w:val="00A0" w:firstRow="1" w:lastRow="0" w:firstColumn="1" w:lastColumn="0" w:noHBand="0" w:noVBand="0"/>
        </w:tblPrEx>
        <w:tc>
          <w:tcPr>
            <w:tcW w:w="1129" w:type="dxa"/>
            <w:tcBorders>
              <w:bottom w:val="single" w:sz="4" w:space="0" w:color="auto"/>
            </w:tcBorders>
            <w:vAlign w:val="center"/>
          </w:tcPr>
          <w:p w14:paraId="75D87EE4" w14:textId="77777777" w:rsidR="00DB382A" w:rsidRPr="00970EC6" w:rsidRDefault="00970EC6">
            <w:pPr>
              <w:spacing w:after="120"/>
              <w:jc w:val="both"/>
              <w:rPr>
                <w:rFonts w:ascii="Times New Roman" w:hAnsi="Times New Roman" w:cs="Times New Roman"/>
                <w:color w:val="000000"/>
                <w:szCs w:val="22"/>
              </w:rPr>
            </w:pPr>
            <w:r w:rsidRPr="00970EC6">
              <w:rPr>
                <w:rFonts w:ascii="Times New Roman" w:hAnsi="Times New Roman"/>
                <w:color w:val="000000"/>
                <w:szCs w:val="22"/>
              </w:rPr>
              <w:t>24</w:t>
            </w:r>
          </w:p>
        </w:tc>
        <w:tc>
          <w:tcPr>
            <w:tcW w:w="7683" w:type="dxa"/>
            <w:tcBorders>
              <w:top w:val="nil"/>
              <w:left w:val="single" w:sz="4" w:space="0" w:color="auto"/>
              <w:bottom w:val="single" w:sz="4" w:space="0" w:color="auto"/>
              <w:right w:val="single" w:sz="4" w:space="0" w:color="auto"/>
            </w:tcBorders>
            <w:shd w:val="clear" w:color="auto" w:fill="auto"/>
            <w:vAlign w:val="bottom"/>
          </w:tcPr>
          <w:p w14:paraId="0D88ED5D"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 xml:space="preserve">Dodatočný kapitál Tier 1: ostatné kapitálové </w:t>
            </w:r>
            <w:r w:rsidRPr="00970EC6">
              <w:rPr>
                <w:rFonts w:ascii="Times New Roman" w:hAnsi="Times New Roman"/>
                <w:b/>
                <w:bCs/>
                <w:szCs w:val="22"/>
                <w:u w:val="single"/>
              </w:rPr>
              <w:t>prvky, odpočty a úpravy</w:t>
            </w:r>
          </w:p>
          <w:p w14:paraId="5906B810"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szCs w:val="22"/>
              </w:rPr>
              <w:t>Tento riadok podľa potreby zahŕňa súčet týchto položiek:</w:t>
            </w:r>
          </w:p>
          <w:p w14:paraId="71D02F40" w14:textId="77777777" w:rsidR="00DB382A" w:rsidRPr="00970EC6" w:rsidRDefault="00970EC6">
            <w:pPr>
              <w:spacing w:after="120"/>
              <w:ind w:left="360" w:hanging="360"/>
              <w:contextualSpacing/>
              <w:jc w:val="both"/>
              <w:rPr>
                <w:rFonts w:ascii="Times New Roman" w:eastAsia="Times New Roman" w:hAnsi="Times New Roman"/>
                <w:bCs/>
              </w:rPr>
            </w:pPr>
            <w:r w:rsidRPr="00970EC6">
              <w:rPr>
                <w:rFonts w:ascii="Times New Roman" w:eastAsia="Times New Roman" w:hAnsi="Times New Roman" w:cs="Times New Roman"/>
                <w:b/>
                <w:bCs/>
                <w:szCs w:val="22"/>
              </w:rPr>
              <w:t>–</w:t>
            </w:r>
            <w:r w:rsidRPr="00970EC6">
              <w:rPr>
                <w:rFonts w:ascii="Times New Roman" w:eastAsia="Times New Roman" w:hAnsi="Times New Roman" w:cs="Times New Roman"/>
                <w:b/>
                <w:bCs/>
                <w:szCs w:val="22"/>
              </w:rPr>
              <w:tab/>
            </w:r>
            <w:r w:rsidRPr="00970EC6">
              <w:rPr>
                <w:rFonts w:ascii="Times New Roman" w:hAnsi="Times New Roman"/>
                <w:bCs/>
              </w:rPr>
              <w:t>prechodné úpravy na základe nástrojov dodatočného kapitálu Tier 1, ktoré sa zachovali v predchádzajúcom stave [článok 483 ods. 4 a 5, články 484 až 487 a články 489 a 491 na</w:t>
            </w:r>
            <w:r w:rsidRPr="00970EC6">
              <w:rPr>
                <w:rFonts w:ascii="Times New Roman" w:hAnsi="Times New Roman"/>
                <w:bCs/>
              </w:rPr>
              <w:t>riadenia (EÚ) č. 575/2013],</w:t>
            </w:r>
          </w:p>
          <w:p w14:paraId="5AB1AA9A" w14:textId="77777777" w:rsidR="00DB382A" w:rsidRPr="00970EC6" w:rsidRDefault="00970EC6">
            <w:pPr>
              <w:spacing w:after="120"/>
              <w:ind w:left="360" w:hanging="360"/>
              <w:contextualSpacing/>
              <w:jc w:val="both"/>
              <w:rPr>
                <w:rFonts w:ascii="Times New Roman" w:eastAsia="Times New Roman" w:hAnsi="Times New Roman"/>
                <w:bCs/>
              </w:rPr>
            </w:pPr>
            <w:r w:rsidRPr="00970EC6">
              <w:rPr>
                <w:rFonts w:ascii="Times New Roman" w:eastAsia="Times New Roman" w:hAnsi="Times New Roman" w:cs="Times New Roman"/>
                <w:b/>
                <w:bCs/>
                <w:szCs w:val="22"/>
              </w:rPr>
              <w:lastRenderedPageBreak/>
              <w:t>–</w:t>
            </w:r>
            <w:r w:rsidRPr="00970EC6">
              <w:rPr>
                <w:rFonts w:ascii="Times New Roman" w:eastAsia="Times New Roman" w:hAnsi="Times New Roman" w:cs="Times New Roman"/>
                <w:b/>
                <w:bCs/>
                <w:szCs w:val="22"/>
              </w:rPr>
              <w:tab/>
            </w:r>
            <w:r w:rsidRPr="00970EC6">
              <w:rPr>
                <w:rFonts w:ascii="Times New Roman" w:hAnsi="Times New Roman"/>
                <w:bCs/>
              </w:rPr>
              <w:t xml:space="preserve">nástroje emitované dcérskymi podnikmi, ktoré sú uznané v dodatočnom kapitáli Tier 1 [články 83, 85 a 86 nariadenia (EÚ) č. 575/2013]: súčet všetkých hodnôt kvalifikovaného kapitálu Tier 1 dcérskych podnikov, ktoré sú zahrnuté </w:t>
            </w:r>
            <w:r w:rsidRPr="00970EC6">
              <w:rPr>
                <w:rFonts w:ascii="Times New Roman" w:hAnsi="Times New Roman"/>
                <w:bCs/>
              </w:rPr>
              <w:t>do konsolidovaného dodatočného kapitálu Tier 1, a to vrátane kapitálu emitovaného účelovo vytvoreným subjektom [článok 83 nariadenia (EÚ) č. 575/2013],</w:t>
            </w:r>
          </w:p>
          <w:p w14:paraId="6CEAB5A0" w14:textId="77777777" w:rsidR="00DB382A" w:rsidRPr="00970EC6" w:rsidRDefault="00970EC6">
            <w:pPr>
              <w:spacing w:after="120"/>
              <w:ind w:left="360" w:hanging="360"/>
              <w:contextualSpacing/>
              <w:jc w:val="both"/>
              <w:rPr>
                <w:rFonts w:ascii="Times New Roman" w:eastAsia="Times New Roman" w:hAnsi="Times New Roman"/>
                <w:bCs/>
              </w:rPr>
            </w:pPr>
            <w:r w:rsidRPr="00970EC6">
              <w:rPr>
                <w:rFonts w:ascii="Times New Roman" w:eastAsia="Times New Roman" w:hAnsi="Times New Roman" w:cs="Times New Roman"/>
                <w:b/>
                <w:bCs/>
                <w:szCs w:val="22"/>
              </w:rPr>
              <w:t>–</w:t>
            </w:r>
            <w:r w:rsidRPr="00970EC6">
              <w:rPr>
                <w:rFonts w:ascii="Times New Roman" w:eastAsia="Times New Roman" w:hAnsi="Times New Roman" w:cs="Times New Roman"/>
                <w:b/>
                <w:bCs/>
                <w:szCs w:val="22"/>
              </w:rPr>
              <w:tab/>
            </w:r>
            <w:r w:rsidRPr="00970EC6">
              <w:rPr>
                <w:rFonts w:ascii="Times New Roman" w:hAnsi="Times New Roman"/>
                <w:bCs/>
              </w:rPr>
              <w:t xml:space="preserve">prechodné úpravy na základe dodatočného uznania nástrojov emitovaných dcérskymi podnikmi v dodatočnom </w:t>
            </w:r>
            <w:r w:rsidRPr="00970EC6">
              <w:rPr>
                <w:rFonts w:ascii="Times New Roman" w:hAnsi="Times New Roman"/>
                <w:bCs/>
              </w:rPr>
              <w:t>kapitáli Tier 1 [článok 480 nariadenia (EÚ) č. 575/2013], úpravy kvalifikovaného kapitálu Tier 1 zahrnutého do konsolidovaného dodatočného kapitálu Tier 1 na základe prechodných ustanovení,</w:t>
            </w:r>
          </w:p>
          <w:p w14:paraId="0346B99C" w14:textId="77777777" w:rsidR="00DB382A" w:rsidRPr="00970EC6" w:rsidRDefault="00970EC6">
            <w:pPr>
              <w:spacing w:after="120"/>
              <w:ind w:left="360" w:hanging="360"/>
              <w:contextualSpacing/>
              <w:jc w:val="both"/>
              <w:rPr>
                <w:rFonts w:ascii="Times New Roman" w:eastAsia="Times New Roman" w:hAnsi="Times New Roman"/>
                <w:bCs/>
              </w:rPr>
            </w:pPr>
            <w:r w:rsidRPr="00970EC6">
              <w:rPr>
                <w:rFonts w:ascii="Times New Roman" w:eastAsia="Times New Roman" w:hAnsi="Times New Roman" w:cs="Times New Roman"/>
                <w:b/>
                <w:bCs/>
                <w:szCs w:val="22"/>
              </w:rPr>
              <w:t>–</w:t>
            </w:r>
            <w:r w:rsidRPr="00970EC6">
              <w:rPr>
                <w:rFonts w:ascii="Times New Roman" w:eastAsia="Times New Roman" w:hAnsi="Times New Roman" w:cs="Times New Roman"/>
                <w:b/>
                <w:bCs/>
                <w:szCs w:val="22"/>
              </w:rPr>
              <w:tab/>
            </w:r>
            <w:r w:rsidRPr="00970EC6">
              <w:rPr>
                <w:rFonts w:ascii="Times New Roman" w:hAnsi="Times New Roman"/>
                <w:bCs/>
              </w:rPr>
              <w:t xml:space="preserve">iné prechodné úpravy dodatočného kapitálu Tier 1 [články </w:t>
            </w:r>
            <w:r w:rsidRPr="00970EC6">
              <w:rPr>
                <w:rFonts w:ascii="Times New Roman" w:hAnsi="Times New Roman"/>
                <w:bCs/>
              </w:rPr>
              <w:t>472, 473a, 474, 475, 478 a 481 nariadenia (EÚ) č. 575/2013]: úpravy odpočtov na základe prechodných ustanovení,</w:t>
            </w:r>
          </w:p>
          <w:p w14:paraId="4B4B3A29" w14:textId="77777777" w:rsidR="00DB382A" w:rsidRPr="00970EC6" w:rsidRDefault="00970EC6">
            <w:pPr>
              <w:spacing w:after="120"/>
              <w:ind w:left="360" w:hanging="360"/>
              <w:contextualSpacing/>
              <w:jc w:val="both"/>
              <w:rPr>
                <w:rFonts w:ascii="Times New Roman" w:eastAsia="Times New Roman" w:hAnsi="Times New Roman"/>
                <w:bCs/>
              </w:rPr>
            </w:pPr>
            <w:r w:rsidRPr="00970EC6">
              <w:rPr>
                <w:rFonts w:ascii="Times New Roman" w:eastAsia="Times New Roman" w:hAnsi="Times New Roman" w:cs="Times New Roman"/>
                <w:b/>
                <w:bCs/>
                <w:szCs w:val="22"/>
              </w:rPr>
              <w:t>–</w:t>
            </w:r>
            <w:r w:rsidRPr="00970EC6">
              <w:rPr>
                <w:rFonts w:ascii="Times New Roman" w:eastAsia="Times New Roman" w:hAnsi="Times New Roman" w:cs="Times New Roman"/>
                <w:b/>
                <w:bCs/>
                <w:szCs w:val="22"/>
              </w:rPr>
              <w:tab/>
            </w:r>
            <w:r w:rsidRPr="00970EC6">
              <w:rPr>
                <w:rFonts w:ascii="Times New Roman" w:hAnsi="Times New Roman"/>
                <w:bCs/>
              </w:rPr>
              <w:t>odpočet od položiek dodatočného kapitálu Tier 1 presahujúci dodatočný kapitál Tier 1 a odrátaný od vlastného kapitálu Tier 1 v súlade s článko</w:t>
            </w:r>
            <w:r w:rsidRPr="00970EC6">
              <w:rPr>
                <w:rFonts w:ascii="Times New Roman" w:hAnsi="Times New Roman"/>
                <w:bCs/>
              </w:rPr>
              <w:t>m 36 ods. 1 písm. j) nariadenia (EÚ) č. 575/2013: dodatočný kapitál Tier 1 nemôže byť záporný, ale je možné, že odpočty od položiek dodatočného kapitálu Tier 1 prekročia sumu dostupných položiek dodatočného kapitálu Tier 1. Ak k tomu dôjde, táto položka pr</w:t>
            </w:r>
            <w:r w:rsidRPr="00970EC6">
              <w:rPr>
                <w:rFonts w:ascii="Times New Roman" w:hAnsi="Times New Roman"/>
                <w:bCs/>
              </w:rPr>
              <w:t>edstavuje sumu potrebnú na zvýšenie sumy vykázanej v riadku 20 na nulu a rovná sa inverznej hodnote odpočtov od položiek dodatočného kapitálu Tier 1 presahujúcich dodatočný kapitál Tier 1 a zahrnutých okrem iných odpočtov v riadku 18,</w:t>
            </w:r>
          </w:p>
          <w:p w14:paraId="20032259" w14:textId="77777777" w:rsidR="00DB382A" w:rsidRPr="00970EC6" w:rsidRDefault="00970EC6">
            <w:pPr>
              <w:spacing w:after="120"/>
              <w:ind w:left="360" w:hanging="360"/>
              <w:contextualSpacing/>
              <w:jc w:val="both"/>
              <w:rPr>
                <w:rFonts w:ascii="Times New Roman" w:eastAsia="Times New Roman" w:hAnsi="Times New Roman"/>
                <w:bCs/>
              </w:rPr>
            </w:pPr>
            <w:r w:rsidRPr="00970EC6">
              <w:rPr>
                <w:rFonts w:ascii="Times New Roman" w:eastAsia="Times New Roman" w:hAnsi="Times New Roman" w:cs="Times New Roman"/>
                <w:b/>
                <w:bCs/>
                <w:szCs w:val="22"/>
              </w:rPr>
              <w:t>–</w:t>
            </w:r>
            <w:r w:rsidRPr="00970EC6">
              <w:rPr>
                <w:rFonts w:ascii="Times New Roman" w:eastAsia="Times New Roman" w:hAnsi="Times New Roman" w:cs="Times New Roman"/>
                <w:b/>
                <w:bCs/>
                <w:szCs w:val="22"/>
              </w:rPr>
              <w:tab/>
            </w:r>
            <w:r w:rsidRPr="00970EC6">
              <w:rPr>
                <w:rFonts w:ascii="Times New Roman" w:hAnsi="Times New Roman"/>
                <w:bCs/>
              </w:rPr>
              <w:t>ostatné prvky dodat</w:t>
            </w:r>
            <w:r w:rsidRPr="00970EC6">
              <w:rPr>
                <w:rFonts w:ascii="Times New Roman" w:hAnsi="Times New Roman"/>
                <w:bCs/>
              </w:rPr>
              <w:t>očného kapitálu Tier 1 alebo odpočty od prvku dodatočného kapitálu Tier 1, ktoré nemožno priradiť k žiadnemu z riadkov 21 až 23.</w:t>
            </w:r>
          </w:p>
          <w:p w14:paraId="33496695"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Cs/>
                <w:szCs w:val="22"/>
              </w:rPr>
              <w:t>Tento riadok sa nepoužíva na zahrnutie kapitálových položiek alebo odpočtov, na ktoré sa nevzťahuje nariadenie (EÚ) 2019/2033 a</w:t>
            </w:r>
            <w:r w:rsidRPr="00970EC6">
              <w:rPr>
                <w:rFonts w:ascii="Times New Roman" w:hAnsi="Times New Roman"/>
                <w:bCs/>
                <w:szCs w:val="22"/>
              </w:rPr>
              <w:t>ni nariadenie (EÚ) č. 575/2013, do výpočtu ukazovateľov platobnej schopnosti.</w:t>
            </w:r>
          </w:p>
        </w:tc>
      </w:tr>
      <w:tr w:rsidR="00DB382A" w:rsidRPr="00970EC6" w14:paraId="1C863C8B" w14:textId="77777777">
        <w:tblPrEx>
          <w:tblLook w:val="00A0" w:firstRow="1" w:lastRow="0" w:firstColumn="1" w:lastColumn="0" w:noHBand="0" w:noVBand="0"/>
        </w:tblPrEx>
        <w:tc>
          <w:tcPr>
            <w:tcW w:w="1129" w:type="dxa"/>
            <w:shd w:val="clear" w:color="auto" w:fill="auto"/>
            <w:vAlign w:val="center"/>
          </w:tcPr>
          <w:p w14:paraId="3BC20B5B"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color w:val="000000"/>
                <w:szCs w:val="22"/>
              </w:rPr>
              <w:lastRenderedPageBreak/>
              <w:t>25</w:t>
            </w:r>
          </w:p>
        </w:tc>
        <w:tc>
          <w:tcPr>
            <w:tcW w:w="7683" w:type="dxa"/>
            <w:tcBorders>
              <w:top w:val="single" w:sz="8" w:space="0" w:color="auto"/>
              <w:left w:val="single" w:sz="4" w:space="0" w:color="auto"/>
              <w:bottom w:val="single" w:sz="4" w:space="0" w:color="auto"/>
              <w:right w:val="single" w:sz="4" w:space="0" w:color="auto"/>
            </w:tcBorders>
            <w:shd w:val="clear" w:color="auto" w:fill="auto"/>
            <w:vAlign w:val="bottom"/>
          </w:tcPr>
          <w:p w14:paraId="1E3A7E26"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KAPITÁL TIER 2</w:t>
            </w:r>
          </w:p>
          <w:p w14:paraId="45063459"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szCs w:val="22"/>
              </w:rPr>
              <w:t>článok 9 ods. 1 nariadenia (EÚ) 2019/2033</w:t>
            </w:r>
          </w:p>
          <w:p w14:paraId="1A130B2F" w14:textId="77777777" w:rsidR="00DB382A" w:rsidRPr="00970EC6" w:rsidRDefault="00970EC6">
            <w:pPr>
              <w:spacing w:after="120"/>
              <w:jc w:val="both"/>
              <w:rPr>
                <w:rStyle w:val="FormatvorlageInstructionsTabelleText"/>
                <w:rFonts w:ascii="Times New Roman" w:hAnsi="Times New Roman"/>
                <w:sz w:val="22"/>
                <w:szCs w:val="22"/>
              </w:rPr>
            </w:pPr>
            <w:r w:rsidRPr="00970EC6">
              <w:rPr>
                <w:rStyle w:val="FormatvorlageInstructionsTabelleText"/>
                <w:rFonts w:ascii="Times New Roman" w:hAnsi="Times New Roman"/>
                <w:sz w:val="22"/>
                <w:szCs w:val="22"/>
              </w:rPr>
              <w:t>článok 71 nariadenia (EÚ) č. 575/2013</w:t>
            </w:r>
          </w:p>
          <w:p w14:paraId="67A0BD2C"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Cs/>
                <w:szCs w:val="22"/>
              </w:rPr>
              <w:t>Zverejňuje sa celkový súčet riadkov 26 až 29.</w:t>
            </w:r>
          </w:p>
        </w:tc>
      </w:tr>
      <w:tr w:rsidR="00DB382A" w:rsidRPr="00970EC6" w14:paraId="58D2BC3A" w14:textId="77777777">
        <w:tblPrEx>
          <w:tblLook w:val="00A0" w:firstRow="1" w:lastRow="0" w:firstColumn="1" w:lastColumn="0" w:noHBand="0" w:noVBand="0"/>
        </w:tblPrEx>
        <w:tc>
          <w:tcPr>
            <w:tcW w:w="1129" w:type="dxa"/>
            <w:shd w:val="clear" w:color="auto" w:fill="auto"/>
            <w:vAlign w:val="center"/>
          </w:tcPr>
          <w:p w14:paraId="64CD6820"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color w:val="000000"/>
                <w:szCs w:val="22"/>
              </w:rPr>
              <w:t>26</w:t>
            </w:r>
          </w:p>
        </w:tc>
        <w:tc>
          <w:tcPr>
            <w:tcW w:w="7683" w:type="dxa"/>
            <w:tcBorders>
              <w:top w:val="nil"/>
              <w:left w:val="single" w:sz="4" w:space="0" w:color="auto"/>
              <w:bottom w:val="single" w:sz="4" w:space="0" w:color="auto"/>
              <w:right w:val="single" w:sz="4" w:space="0" w:color="auto"/>
            </w:tcBorders>
            <w:shd w:val="clear" w:color="auto" w:fill="auto"/>
            <w:vAlign w:val="bottom"/>
          </w:tcPr>
          <w:p w14:paraId="37208657"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
                <w:bCs/>
                <w:szCs w:val="22"/>
                <w:u w:val="single"/>
              </w:rPr>
              <w:t xml:space="preserve">Úplne splatené, priamo </w:t>
            </w:r>
            <w:r w:rsidRPr="00970EC6">
              <w:rPr>
                <w:rFonts w:ascii="Times New Roman" w:hAnsi="Times New Roman"/>
                <w:b/>
                <w:bCs/>
                <w:szCs w:val="22"/>
                <w:u w:val="single"/>
              </w:rPr>
              <w:t>emitované kapitálové nástroje</w:t>
            </w:r>
          </w:p>
          <w:p w14:paraId="75CE94F7"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szCs w:val="22"/>
              </w:rPr>
              <w:t>článok 9 ods. 1 bod i) nariadenia (EÚ) 2019/2033</w:t>
            </w:r>
          </w:p>
          <w:p w14:paraId="1135AE03" w14:textId="77777777" w:rsidR="00DB382A" w:rsidRPr="00970EC6" w:rsidRDefault="00970EC6">
            <w:pPr>
              <w:pStyle w:val="InstructionsText"/>
              <w:rPr>
                <w:rStyle w:val="FormatvorlageInstructionsTabelleText"/>
                <w:rFonts w:ascii="Times New Roman" w:eastAsiaTheme="minorHAnsi" w:hAnsi="Times New Roman"/>
                <w:bCs/>
                <w:sz w:val="22"/>
              </w:rPr>
            </w:pPr>
            <w:r w:rsidRPr="00970EC6">
              <w:rPr>
                <w:rStyle w:val="FormatvorlageInstructionsTabelleText"/>
                <w:rFonts w:ascii="Times New Roman" w:hAnsi="Times New Roman"/>
                <w:sz w:val="22"/>
              </w:rPr>
              <w:t>článok 62 písm. a) a články 63 a 65 nariadenia (EÚ) č. 575/2013</w:t>
            </w:r>
          </w:p>
          <w:p w14:paraId="53615A51"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Style w:val="FormatvorlageInstructionsTabelleText"/>
                <w:rFonts w:ascii="Times New Roman" w:hAnsi="Times New Roman"/>
                <w:sz w:val="22"/>
                <w:szCs w:val="22"/>
              </w:rPr>
              <w:t>Zverejňovaná suma nezahŕňa emisné ážio súvisiace s nástrojmi.</w:t>
            </w:r>
          </w:p>
        </w:tc>
      </w:tr>
      <w:tr w:rsidR="00DB382A" w:rsidRPr="00970EC6" w14:paraId="66E665AE" w14:textId="77777777">
        <w:tblPrEx>
          <w:tblLook w:val="00A0" w:firstRow="1" w:lastRow="0" w:firstColumn="1" w:lastColumn="0" w:noHBand="0" w:noVBand="0"/>
        </w:tblPrEx>
        <w:tc>
          <w:tcPr>
            <w:tcW w:w="1129" w:type="dxa"/>
            <w:shd w:val="clear" w:color="auto" w:fill="auto"/>
            <w:vAlign w:val="center"/>
          </w:tcPr>
          <w:p w14:paraId="278BDF01"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color w:val="000000"/>
                <w:szCs w:val="22"/>
              </w:rPr>
              <w:t>27</w:t>
            </w:r>
          </w:p>
        </w:tc>
        <w:tc>
          <w:tcPr>
            <w:tcW w:w="7683" w:type="dxa"/>
            <w:tcBorders>
              <w:top w:val="nil"/>
              <w:left w:val="single" w:sz="4" w:space="0" w:color="auto"/>
              <w:bottom w:val="single" w:sz="4" w:space="0" w:color="auto"/>
              <w:right w:val="single" w:sz="4" w:space="0" w:color="auto"/>
            </w:tcBorders>
            <w:shd w:val="clear" w:color="auto" w:fill="auto"/>
            <w:vAlign w:val="bottom"/>
          </w:tcPr>
          <w:p w14:paraId="3BF6EC5A"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Emisné ážio</w:t>
            </w:r>
          </w:p>
          <w:p w14:paraId="0AD5FB03"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szCs w:val="22"/>
              </w:rPr>
              <w:t xml:space="preserve">článok 9 ods. 1 bod i) </w:t>
            </w:r>
            <w:r w:rsidRPr="00970EC6">
              <w:rPr>
                <w:rFonts w:ascii="Times New Roman" w:hAnsi="Times New Roman"/>
                <w:bCs/>
                <w:szCs w:val="22"/>
              </w:rPr>
              <w:t>nariadenia (EÚ) 2019/2033</w:t>
            </w:r>
          </w:p>
          <w:p w14:paraId="4E0B4C0D" w14:textId="77777777" w:rsidR="00DB382A" w:rsidRPr="00970EC6" w:rsidRDefault="00970EC6">
            <w:pPr>
              <w:pStyle w:val="InstructionsText"/>
              <w:rPr>
                <w:rStyle w:val="FormatvorlageInstructionsTabelleText"/>
                <w:rFonts w:ascii="Times New Roman" w:hAnsi="Times New Roman"/>
                <w:sz w:val="22"/>
              </w:rPr>
            </w:pPr>
            <w:r w:rsidRPr="00970EC6">
              <w:rPr>
                <w:rStyle w:val="FormatvorlageInstructionsTabelleText"/>
                <w:rFonts w:ascii="Times New Roman" w:hAnsi="Times New Roman"/>
                <w:sz w:val="22"/>
              </w:rPr>
              <w:t>článok 62 písm. b) a článok 65 nariadenia (EÚ) č. 575/2013</w:t>
            </w:r>
          </w:p>
          <w:p w14:paraId="22715DC6" w14:textId="77777777" w:rsidR="00DB382A" w:rsidRPr="00970EC6" w:rsidRDefault="00970EC6">
            <w:pPr>
              <w:pStyle w:val="InstructionsText"/>
              <w:rPr>
                <w:rStyle w:val="FormatvorlageInstructionsTabelleText"/>
                <w:rFonts w:ascii="Times New Roman" w:hAnsi="Times New Roman"/>
                <w:sz w:val="22"/>
              </w:rPr>
            </w:pPr>
            <w:r w:rsidRPr="00970EC6">
              <w:rPr>
                <w:rStyle w:val="FormatvorlageInstructionsTabelleText"/>
                <w:rFonts w:ascii="Times New Roman" w:hAnsi="Times New Roman"/>
                <w:sz w:val="22"/>
              </w:rPr>
              <w:t>Emisné ážio má ten istý význam ako v uplatniteľnom účtovnom štandarde.</w:t>
            </w:r>
          </w:p>
          <w:p w14:paraId="7227409B" w14:textId="77777777" w:rsidR="00DB382A" w:rsidRPr="00970EC6" w:rsidRDefault="00970EC6">
            <w:pPr>
              <w:pStyle w:val="InstructionsText"/>
            </w:pPr>
            <w:r w:rsidRPr="00970EC6">
              <w:rPr>
                <w:rStyle w:val="FormatvorlageInstructionsTabelleText"/>
                <w:rFonts w:ascii="Times New Roman" w:hAnsi="Times New Roman"/>
                <w:sz w:val="22"/>
              </w:rPr>
              <w:t xml:space="preserve">Suma zverejňovaná v tejto položke je časť súvisiaca so „splatenými kapitálovými </w:t>
            </w:r>
            <w:r w:rsidRPr="00970EC6">
              <w:rPr>
                <w:rStyle w:val="FormatvorlageInstructionsTabelleText"/>
                <w:rFonts w:ascii="Times New Roman" w:hAnsi="Times New Roman"/>
                <w:sz w:val="22"/>
              </w:rPr>
              <w:t>nástrojmi“.</w:t>
            </w:r>
          </w:p>
        </w:tc>
      </w:tr>
      <w:tr w:rsidR="00DB382A" w:rsidRPr="00970EC6" w14:paraId="084B7859" w14:textId="77777777">
        <w:tblPrEx>
          <w:tblLook w:val="00A0" w:firstRow="1" w:lastRow="0" w:firstColumn="1" w:lastColumn="0" w:noHBand="0" w:noVBand="0"/>
        </w:tblPrEx>
        <w:tc>
          <w:tcPr>
            <w:tcW w:w="1129" w:type="dxa"/>
            <w:shd w:val="clear" w:color="auto" w:fill="auto"/>
            <w:vAlign w:val="center"/>
          </w:tcPr>
          <w:p w14:paraId="2FD7A94A"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color w:val="000000"/>
                <w:szCs w:val="22"/>
              </w:rPr>
              <w:t>29</w:t>
            </w:r>
          </w:p>
        </w:tc>
        <w:tc>
          <w:tcPr>
            <w:tcW w:w="7683" w:type="dxa"/>
            <w:tcBorders>
              <w:top w:val="nil"/>
              <w:left w:val="single" w:sz="4" w:space="0" w:color="auto"/>
              <w:bottom w:val="single" w:sz="4" w:space="0" w:color="auto"/>
              <w:right w:val="single" w:sz="4" w:space="0" w:color="auto"/>
            </w:tcBorders>
            <w:shd w:val="clear" w:color="auto" w:fill="auto"/>
            <w:vAlign w:val="bottom"/>
          </w:tcPr>
          <w:p w14:paraId="7F8656FE"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 CELKOVÉ ODPOČTY OD KAPITÁLU TIER 2</w:t>
            </w:r>
          </w:p>
          <w:p w14:paraId="5FC449AE"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szCs w:val="22"/>
              </w:rPr>
              <w:t>článok 66 nariadenia (EÚ) č. 575/2013</w:t>
            </w:r>
          </w:p>
        </w:tc>
      </w:tr>
      <w:tr w:rsidR="00DB382A" w:rsidRPr="00970EC6" w14:paraId="1942AAB2" w14:textId="77777777">
        <w:tblPrEx>
          <w:tblLook w:val="00A0" w:firstRow="1" w:lastRow="0" w:firstColumn="1" w:lastColumn="0" w:noHBand="0" w:noVBand="0"/>
        </w:tblPrEx>
        <w:tc>
          <w:tcPr>
            <w:tcW w:w="1129" w:type="dxa"/>
            <w:shd w:val="clear" w:color="auto" w:fill="auto"/>
            <w:vAlign w:val="center"/>
          </w:tcPr>
          <w:p w14:paraId="5254A388" w14:textId="77777777" w:rsidR="00DB382A" w:rsidRPr="00970EC6" w:rsidRDefault="00970EC6">
            <w:pPr>
              <w:spacing w:after="120"/>
              <w:jc w:val="both"/>
              <w:rPr>
                <w:rFonts w:ascii="Times New Roman" w:hAnsi="Times New Roman" w:cs="Times New Roman"/>
                <w:color w:val="000000"/>
                <w:szCs w:val="22"/>
              </w:rPr>
            </w:pPr>
            <w:r w:rsidRPr="00970EC6">
              <w:rPr>
                <w:rFonts w:ascii="Times New Roman" w:hAnsi="Times New Roman"/>
                <w:color w:val="000000"/>
                <w:szCs w:val="22"/>
              </w:rPr>
              <w:t>30</w:t>
            </w:r>
          </w:p>
        </w:tc>
        <w:tc>
          <w:tcPr>
            <w:tcW w:w="7683" w:type="dxa"/>
            <w:tcBorders>
              <w:top w:val="single" w:sz="4" w:space="0" w:color="auto"/>
              <w:left w:val="single" w:sz="4" w:space="0" w:color="auto"/>
              <w:bottom w:val="single" w:sz="4" w:space="0" w:color="auto"/>
              <w:right w:val="single" w:sz="4" w:space="0" w:color="auto"/>
            </w:tcBorders>
            <w:shd w:val="clear" w:color="auto" w:fill="auto"/>
            <w:vAlign w:val="bottom"/>
          </w:tcPr>
          <w:p w14:paraId="141270E6"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Kapitál Tier 2: ostatné kapitálové prvky, odpočty a úpravy</w:t>
            </w:r>
          </w:p>
          <w:p w14:paraId="2281EEE3"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szCs w:val="22"/>
              </w:rPr>
              <w:t>Tento riadok podľa potreby zahŕňa súčet týchto položiek:</w:t>
            </w:r>
          </w:p>
          <w:p w14:paraId="6DB6514E" w14:textId="77777777" w:rsidR="00DB382A" w:rsidRPr="00970EC6" w:rsidRDefault="00970EC6">
            <w:pPr>
              <w:spacing w:after="120"/>
              <w:ind w:left="360" w:hanging="360"/>
              <w:contextualSpacing/>
              <w:jc w:val="both"/>
              <w:rPr>
                <w:rFonts w:ascii="Times New Roman" w:eastAsia="Times New Roman" w:hAnsi="Times New Roman"/>
                <w:bCs/>
              </w:rPr>
            </w:pPr>
            <w:r w:rsidRPr="00970EC6">
              <w:rPr>
                <w:rFonts w:ascii="Times New Roman" w:eastAsia="Times New Roman" w:hAnsi="Times New Roman" w:cs="Times New Roman"/>
                <w:b/>
                <w:bCs/>
                <w:szCs w:val="22"/>
              </w:rPr>
              <w:lastRenderedPageBreak/>
              <w:t>–</w:t>
            </w:r>
            <w:r w:rsidRPr="00970EC6">
              <w:rPr>
                <w:rFonts w:ascii="Times New Roman" w:eastAsia="Times New Roman" w:hAnsi="Times New Roman" w:cs="Times New Roman"/>
                <w:b/>
                <w:bCs/>
                <w:szCs w:val="22"/>
              </w:rPr>
              <w:tab/>
            </w:r>
            <w:r w:rsidRPr="00970EC6">
              <w:rPr>
                <w:rFonts w:ascii="Times New Roman" w:hAnsi="Times New Roman"/>
                <w:bCs/>
              </w:rPr>
              <w:t xml:space="preserve">prechodné úpravy na základe </w:t>
            </w:r>
            <w:r w:rsidRPr="00970EC6">
              <w:rPr>
                <w:rFonts w:ascii="Times New Roman" w:hAnsi="Times New Roman"/>
                <w:bCs/>
              </w:rPr>
              <w:t>nástrojov kapitálu Tier 2, ktoré sa zachovali v predchádzajúcom stave [článok 483 ods. 6 a 7 a články 484, 486, 488, 490 a 491 nariadenia (EÚ) č. 575/2013],</w:t>
            </w:r>
          </w:p>
          <w:p w14:paraId="065A0B2F" w14:textId="77777777" w:rsidR="00DB382A" w:rsidRPr="00970EC6" w:rsidRDefault="00970EC6">
            <w:pPr>
              <w:spacing w:after="120"/>
              <w:ind w:left="360" w:hanging="360"/>
              <w:contextualSpacing/>
              <w:jc w:val="both"/>
              <w:rPr>
                <w:rFonts w:ascii="Times New Roman" w:eastAsia="Times New Roman" w:hAnsi="Times New Roman"/>
                <w:bCs/>
              </w:rPr>
            </w:pPr>
            <w:r w:rsidRPr="00970EC6">
              <w:rPr>
                <w:rFonts w:ascii="Times New Roman" w:eastAsia="Times New Roman" w:hAnsi="Times New Roman" w:cs="Times New Roman"/>
                <w:b/>
                <w:bCs/>
                <w:szCs w:val="22"/>
              </w:rPr>
              <w:t>–</w:t>
            </w:r>
            <w:r w:rsidRPr="00970EC6">
              <w:rPr>
                <w:rFonts w:ascii="Times New Roman" w:eastAsia="Times New Roman" w:hAnsi="Times New Roman" w:cs="Times New Roman"/>
                <w:b/>
                <w:bCs/>
                <w:szCs w:val="22"/>
              </w:rPr>
              <w:tab/>
            </w:r>
            <w:r w:rsidRPr="00970EC6">
              <w:rPr>
                <w:rFonts w:ascii="Times New Roman" w:hAnsi="Times New Roman"/>
                <w:bCs/>
              </w:rPr>
              <w:t>nástroje emitované dcérskymi podnikmi, ktoré sú uznané v kapitáli Tier 2 [články 83, 87 a 88 nari</w:t>
            </w:r>
            <w:r w:rsidRPr="00970EC6">
              <w:rPr>
                <w:rFonts w:ascii="Times New Roman" w:hAnsi="Times New Roman"/>
                <w:bCs/>
              </w:rPr>
              <w:t>adenia (EÚ) č. 575/2013]: súčet všetkých hodnôt kvalifikovaných vlastných zdrojov dcérskych podnikov, ktoré sú zahrnuté do konsolidovaného kapitálu Tier 2, a to vrátane kvalifikovaného kapitálu Tier 2 emitovaného účelovo vytvoreným subjektom [článok 83 nar</w:t>
            </w:r>
            <w:r w:rsidRPr="00970EC6">
              <w:rPr>
                <w:rFonts w:ascii="Times New Roman" w:hAnsi="Times New Roman"/>
                <w:bCs/>
              </w:rPr>
              <w:t>iadenia (EÚ) č. 575/2013],</w:t>
            </w:r>
          </w:p>
          <w:p w14:paraId="476BC8A4" w14:textId="77777777" w:rsidR="00DB382A" w:rsidRPr="00970EC6" w:rsidRDefault="00970EC6">
            <w:pPr>
              <w:spacing w:after="120"/>
              <w:ind w:left="360" w:hanging="360"/>
              <w:contextualSpacing/>
              <w:jc w:val="both"/>
              <w:rPr>
                <w:rFonts w:ascii="Times New Roman" w:eastAsia="Times New Roman" w:hAnsi="Times New Roman"/>
                <w:bCs/>
              </w:rPr>
            </w:pPr>
            <w:r w:rsidRPr="00970EC6">
              <w:rPr>
                <w:rFonts w:ascii="Times New Roman" w:eastAsia="Times New Roman" w:hAnsi="Times New Roman" w:cs="Times New Roman"/>
                <w:b/>
                <w:bCs/>
                <w:szCs w:val="22"/>
              </w:rPr>
              <w:t>–</w:t>
            </w:r>
            <w:r w:rsidRPr="00970EC6">
              <w:rPr>
                <w:rFonts w:ascii="Times New Roman" w:eastAsia="Times New Roman" w:hAnsi="Times New Roman" w:cs="Times New Roman"/>
                <w:b/>
                <w:bCs/>
                <w:szCs w:val="22"/>
              </w:rPr>
              <w:tab/>
            </w:r>
            <w:r w:rsidRPr="00970EC6">
              <w:rPr>
                <w:rFonts w:ascii="Times New Roman" w:hAnsi="Times New Roman"/>
                <w:bCs/>
              </w:rPr>
              <w:t>prechodné úpravy na základe dodatočného uznania nástrojov emitovaných dcérskymi podnikmi v kapitáli Tier 2 [článok 480 nariadenia (EÚ) č. 575/2013]: úpravy kvalifikovaných vlastných zdrojov zahrnutých do konsolidovaného kapitál</w:t>
            </w:r>
            <w:r w:rsidRPr="00970EC6">
              <w:rPr>
                <w:rFonts w:ascii="Times New Roman" w:hAnsi="Times New Roman"/>
                <w:bCs/>
              </w:rPr>
              <w:t>u T2 na základe prechodných ustanovení,</w:t>
            </w:r>
          </w:p>
          <w:p w14:paraId="0CFD08C2" w14:textId="77777777" w:rsidR="00DB382A" w:rsidRPr="00970EC6" w:rsidRDefault="00970EC6">
            <w:pPr>
              <w:spacing w:after="120"/>
              <w:ind w:left="360" w:hanging="360"/>
              <w:contextualSpacing/>
              <w:jc w:val="both"/>
              <w:rPr>
                <w:rFonts w:ascii="Times New Roman" w:eastAsia="Times New Roman" w:hAnsi="Times New Roman"/>
                <w:bCs/>
              </w:rPr>
            </w:pPr>
            <w:r w:rsidRPr="00970EC6">
              <w:rPr>
                <w:rFonts w:ascii="Times New Roman" w:eastAsia="Times New Roman" w:hAnsi="Times New Roman" w:cs="Times New Roman"/>
                <w:b/>
                <w:bCs/>
                <w:szCs w:val="22"/>
              </w:rPr>
              <w:t>–</w:t>
            </w:r>
            <w:r w:rsidRPr="00970EC6">
              <w:rPr>
                <w:rFonts w:ascii="Times New Roman" w:eastAsia="Times New Roman" w:hAnsi="Times New Roman" w:cs="Times New Roman"/>
                <w:b/>
                <w:bCs/>
                <w:szCs w:val="22"/>
              </w:rPr>
              <w:tab/>
            </w:r>
            <w:r w:rsidRPr="00970EC6">
              <w:rPr>
                <w:rFonts w:ascii="Times New Roman" w:hAnsi="Times New Roman"/>
                <w:bCs/>
              </w:rPr>
              <w:t>ostatné prechodné úpravy kapitálu Tier 2 [články 472, 473a, 476, 477, 478 a 481 nariadenia (EÚ) č. 575/2013]: úpravy odpočtov od kapitálu Tier 2 na základe prechodných ustanovení,</w:t>
            </w:r>
          </w:p>
          <w:p w14:paraId="6245B166" w14:textId="77777777" w:rsidR="00DB382A" w:rsidRPr="00970EC6" w:rsidRDefault="00970EC6">
            <w:pPr>
              <w:spacing w:after="120"/>
              <w:ind w:left="360" w:hanging="360"/>
              <w:contextualSpacing/>
              <w:jc w:val="both"/>
              <w:rPr>
                <w:rFonts w:ascii="Times New Roman" w:eastAsia="Times New Roman" w:hAnsi="Times New Roman"/>
                <w:bCs/>
              </w:rPr>
            </w:pPr>
            <w:r w:rsidRPr="00970EC6">
              <w:rPr>
                <w:rFonts w:ascii="Times New Roman" w:eastAsia="Times New Roman" w:hAnsi="Times New Roman" w:cs="Times New Roman"/>
                <w:b/>
                <w:bCs/>
                <w:szCs w:val="22"/>
              </w:rPr>
              <w:t>–</w:t>
            </w:r>
            <w:r w:rsidRPr="00970EC6">
              <w:rPr>
                <w:rFonts w:ascii="Times New Roman" w:eastAsia="Times New Roman" w:hAnsi="Times New Roman" w:cs="Times New Roman"/>
                <w:b/>
                <w:bCs/>
                <w:szCs w:val="22"/>
              </w:rPr>
              <w:tab/>
            </w:r>
            <w:r w:rsidRPr="00970EC6">
              <w:rPr>
                <w:rFonts w:ascii="Times New Roman" w:hAnsi="Times New Roman"/>
                <w:bCs/>
              </w:rPr>
              <w:t>odpočet od položiek kapitálu Tie</w:t>
            </w:r>
            <w:r w:rsidRPr="00970EC6">
              <w:rPr>
                <w:rFonts w:ascii="Times New Roman" w:hAnsi="Times New Roman"/>
                <w:bCs/>
              </w:rPr>
              <w:t xml:space="preserve">r 2 presahujúci kapitál Tier 2 a odrátaný od dodatočného kapitálu Tier 1 v súlade s článkom 56 písm. e) nariadenia (EÚ) č. 575/2013: kapitál Tier 2 nemôže byť záporný, ale je možné, že odpočty od položiek kapitálu Tier 2 prekročia sumu dostupných položiek </w:t>
            </w:r>
            <w:r w:rsidRPr="00970EC6">
              <w:rPr>
                <w:rFonts w:ascii="Times New Roman" w:hAnsi="Times New Roman"/>
                <w:bCs/>
              </w:rPr>
              <w:t>kapitálu Tier 2. Ak k tomu dôjde, táto položka predstavuje sumu potrebnú na zvýšenie sumy vykázanej v riadku 25 na nulu,</w:t>
            </w:r>
          </w:p>
          <w:p w14:paraId="26B3755E" w14:textId="77777777" w:rsidR="00DB382A" w:rsidRPr="00970EC6" w:rsidRDefault="00970EC6">
            <w:pPr>
              <w:spacing w:after="120"/>
              <w:ind w:left="360" w:hanging="360"/>
              <w:contextualSpacing/>
              <w:jc w:val="both"/>
              <w:rPr>
                <w:rFonts w:ascii="Times New Roman" w:eastAsia="Times New Roman" w:hAnsi="Times New Roman"/>
                <w:bCs/>
              </w:rPr>
            </w:pPr>
            <w:r w:rsidRPr="00970EC6">
              <w:rPr>
                <w:rFonts w:ascii="Times New Roman" w:eastAsia="Times New Roman" w:hAnsi="Times New Roman" w:cs="Times New Roman"/>
                <w:b/>
                <w:bCs/>
                <w:szCs w:val="22"/>
              </w:rPr>
              <w:t>–</w:t>
            </w:r>
            <w:r w:rsidRPr="00970EC6">
              <w:rPr>
                <w:rFonts w:ascii="Times New Roman" w:eastAsia="Times New Roman" w:hAnsi="Times New Roman" w:cs="Times New Roman"/>
                <w:b/>
                <w:bCs/>
                <w:szCs w:val="22"/>
              </w:rPr>
              <w:tab/>
            </w:r>
            <w:r w:rsidRPr="00970EC6">
              <w:rPr>
                <w:rFonts w:ascii="Times New Roman" w:hAnsi="Times New Roman"/>
                <w:bCs/>
              </w:rPr>
              <w:t>ostatné prvky kapitálu Tier 2 alebo odpočty od prvku kapitálu Tier 2, ktoré nemožno priradiť k žiadnemu z riadkov 26 až 28.</w:t>
            </w:r>
          </w:p>
          <w:p w14:paraId="4DAA4C6C"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Cs/>
                <w:szCs w:val="22"/>
              </w:rPr>
              <w:t>Tento ria</w:t>
            </w:r>
            <w:r w:rsidRPr="00970EC6">
              <w:rPr>
                <w:rFonts w:ascii="Times New Roman" w:hAnsi="Times New Roman"/>
                <w:bCs/>
                <w:szCs w:val="22"/>
              </w:rPr>
              <w:t>dok sa nepoužíva na zahrnutie kapitálových položiek alebo odpočtov, na ktoré sa nevzťahuje nariadenie (EÚ) 2019/2033 ani nariadenie (EÚ) č. 575/2013, do výpočtu ukazovateľov platobnej schopnosti.</w:t>
            </w:r>
          </w:p>
        </w:tc>
      </w:tr>
    </w:tbl>
    <w:p w14:paraId="2D9B31E0" w14:textId="77777777" w:rsidR="00DB382A" w:rsidRPr="00970EC6" w:rsidRDefault="00DB382A">
      <w:pPr>
        <w:ind w:left="720"/>
        <w:rPr>
          <w:rFonts w:ascii="Times New Roman" w:hAnsi="Times New Roman" w:cs="Times New Roman"/>
          <w:b/>
          <w:bCs/>
          <w:sz w:val="24"/>
        </w:rPr>
      </w:pPr>
    </w:p>
    <w:p w14:paraId="35D53598" w14:textId="77777777" w:rsidR="00DB382A" w:rsidRPr="00970EC6" w:rsidRDefault="00970EC6">
      <w:pPr>
        <w:ind w:left="720"/>
        <w:rPr>
          <w:rFonts w:ascii="Times New Roman" w:hAnsi="Times New Roman" w:cs="Times New Roman"/>
          <w:b/>
          <w:bCs/>
          <w:sz w:val="24"/>
        </w:rPr>
      </w:pPr>
      <w:r w:rsidRPr="00970EC6">
        <w:rPr>
          <w:rFonts w:ascii="Times New Roman" w:hAnsi="Times New Roman"/>
          <w:b/>
          <w:bCs/>
          <w:sz w:val="24"/>
        </w:rPr>
        <w:t>Vzor EU I CC</w:t>
      </w:r>
      <w:r w:rsidRPr="00970EC6">
        <w:rPr>
          <w:rFonts w:ascii="Times New Roman" w:hAnsi="Times New Roman"/>
          <w:b/>
          <w:bCs/>
          <w:sz w:val="24"/>
        </w:rPr>
        <w:t>1.03</w:t>
      </w:r>
      <w:r w:rsidRPr="00970EC6">
        <w:rPr>
          <w:rFonts w:ascii="Times New Roman" w:hAnsi="Times New Roman"/>
          <w:b/>
          <w:bCs/>
          <w:sz w:val="24"/>
        </w:rPr>
        <w:t xml:space="preserve"> – Zloženie regulatórnych vlastných zdrojov (kapitálový test skupiny)</w:t>
      </w:r>
    </w:p>
    <w:p w14:paraId="4F75CC2E" w14:textId="77777777" w:rsidR="00DB382A" w:rsidRPr="00970EC6" w:rsidRDefault="00970EC6">
      <w:pPr>
        <w:tabs>
          <w:tab w:val="left" w:pos="360"/>
        </w:tabs>
        <w:spacing w:before="120" w:after="120"/>
        <w:ind w:left="360" w:hanging="360"/>
        <w:jc w:val="both"/>
        <w:rPr>
          <w:rFonts w:ascii="Times New Roman" w:hAnsi="Times New Roman" w:cs="Times New Roman"/>
          <w:bCs/>
          <w:sz w:val="24"/>
        </w:rPr>
      </w:pPr>
      <w:r w:rsidRPr="00970EC6">
        <w:rPr>
          <w:rFonts w:ascii="Times New Roman" w:hAnsi="Times New Roman" w:cs="Times New Roman"/>
          <w:bCs/>
          <w:sz w:val="24"/>
        </w:rPr>
        <w:t>6.</w:t>
      </w:r>
      <w:r w:rsidRPr="00970EC6">
        <w:rPr>
          <w:rFonts w:ascii="Times New Roman" w:hAnsi="Times New Roman" w:cs="Times New Roman"/>
          <w:bCs/>
          <w:sz w:val="24"/>
        </w:rPr>
        <w:tab/>
      </w:r>
      <w:r w:rsidRPr="00970EC6">
        <w:rPr>
          <w:rFonts w:ascii="Times New Roman" w:hAnsi="Times New Roman"/>
          <w:bCs/>
          <w:sz w:val="24"/>
        </w:rPr>
        <w:t>Subjekty uvedené v článku 8 ods. 3 nariadenia (EÚ) 2019/2033, ktoré využívajú výhody uplatňovania toho istého článku, zverejňujú informácie o zložení vlastných zdrojov v súlade so vzo</w:t>
      </w:r>
      <w:r w:rsidRPr="00970EC6">
        <w:rPr>
          <w:rFonts w:ascii="Times New Roman" w:hAnsi="Times New Roman"/>
          <w:bCs/>
          <w:sz w:val="24"/>
        </w:rPr>
        <w:t>rom EU I CC</w:t>
      </w:r>
      <w:r w:rsidRPr="00970EC6">
        <w:rPr>
          <w:rFonts w:ascii="Times New Roman" w:hAnsi="Times New Roman"/>
          <w:bCs/>
          <w:sz w:val="24"/>
        </w:rPr>
        <w:t>1.03</w:t>
      </w:r>
      <w:r w:rsidRPr="00970EC6">
        <w:rPr>
          <w:rFonts w:ascii="Times New Roman" w:hAnsi="Times New Roman"/>
          <w:bCs/>
          <w:sz w:val="24"/>
        </w:rPr>
        <w:t xml:space="preserve"> a s týmito pokynmi.</w:t>
      </w: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DB382A" w:rsidRPr="00970EC6" w14:paraId="3F67E2C3" w14:textId="77777777">
        <w:tc>
          <w:tcPr>
            <w:tcW w:w="1129" w:type="dxa"/>
            <w:shd w:val="clear" w:color="auto" w:fill="D9D9D9"/>
          </w:tcPr>
          <w:p w14:paraId="7526D0E2"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szCs w:val="22"/>
              </w:rPr>
              <w:t>Riadok</w:t>
            </w:r>
          </w:p>
        </w:tc>
        <w:tc>
          <w:tcPr>
            <w:tcW w:w="7620" w:type="dxa"/>
            <w:shd w:val="clear" w:color="auto" w:fill="D9D9D9"/>
          </w:tcPr>
          <w:p w14:paraId="6D285593"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szCs w:val="22"/>
              </w:rPr>
              <w:t>Právne predpisy a pokyny</w:t>
            </w:r>
          </w:p>
        </w:tc>
      </w:tr>
      <w:tr w:rsidR="00DB382A" w:rsidRPr="00970EC6" w14:paraId="4B32952B" w14:textId="77777777">
        <w:tc>
          <w:tcPr>
            <w:tcW w:w="1129" w:type="dxa"/>
            <w:vAlign w:val="center"/>
          </w:tcPr>
          <w:p w14:paraId="0F731E25"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color w:val="000000"/>
                <w:szCs w:val="22"/>
              </w:rPr>
              <w:t>1</w:t>
            </w:r>
          </w:p>
        </w:tc>
        <w:tc>
          <w:tcPr>
            <w:tcW w:w="7620" w:type="dxa"/>
          </w:tcPr>
          <w:p w14:paraId="4E5839F9"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VLASTNÉ ZDROJE</w:t>
            </w:r>
          </w:p>
          <w:p w14:paraId="29B4D8B4"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szCs w:val="22"/>
              </w:rPr>
              <w:t>článok 9 ods. 1 nariadenia (EÚ) 2019/2033</w:t>
            </w:r>
          </w:p>
          <w:p w14:paraId="19EA43AA"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Style w:val="FormatvorlageInstructionsTabelleText"/>
                <w:rFonts w:ascii="Times New Roman" w:hAnsi="Times New Roman"/>
                <w:sz w:val="22"/>
                <w:szCs w:val="22"/>
              </w:rPr>
              <w:t>Vlastné zdroje investičnej spoločnosti pozostávajú zo súčtu jej kapitálu Tier 1 a kapitálu Tier 2.</w:t>
            </w:r>
          </w:p>
        </w:tc>
      </w:tr>
      <w:tr w:rsidR="00DB382A" w:rsidRPr="00970EC6" w14:paraId="774768F1" w14:textId="77777777">
        <w:tc>
          <w:tcPr>
            <w:tcW w:w="1129" w:type="dxa"/>
            <w:vAlign w:val="center"/>
          </w:tcPr>
          <w:p w14:paraId="6E91663D"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color w:val="000000"/>
                <w:szCs w:val="22"/>
              </w:rPr>
              <w:t>2</w:t>
            </w:r>
          </w:p>
        </w:tc>
        <w:tc>
          <w:tcPr>
            <w:tcW w:w="7620" w:type="dxa"/>
          </w:tcPr>
          <w:p w14:paraId="5B0C2746"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KAPITÁL TIER 1</w:t>
            </w:r>
          </w:p>
          <w:p w14:paraId="7C4B7EAB"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Style w:val="FormatvorlageInstructionsTabelleText"/>
                <w:rFonts w:ascii="Times New Roman" w:hAnsi="Times New Roman"/>
                <w:sz w:val="22"/>
                <w:szCs w:val="22"/>
              </w:rPr>
              <w:t>Kapitál Tier 1 je súčtom vlastného kapitálu Tier 1 a dodatočného kapitálu Tier 1.</w:t>
            </w:r>
          </w:p>
        </w:tc>
      </w:tr>
      <w:tr w:rsidR="00DB382A" w:rsidRPr="00970EC6" w14:paraId="4F8DC896" w14:textId="77777777">
        <w:tc>
          <w:tcPr>
            <w:tcW w:w="1129" w:type="dxa"/>
            <w:vAlign w:val="center"/>
          </w:tcPr>
          <w:p w14:paraId="0991EB74"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color w:val="000000"/>
                <w:szCs w:val="22"/>
              </w:rPr>
              <w:t>3</w:t>
            </w:r>
          </w:p>
        </w:tc>
        <w:tc>
          <w:tcPr>
            <w:tcW w:w="7620" w:type="dxa"/>
          </w:tcPr>
          <w:p w14:paraId="3E026508"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Style w:val="InstructionsTabelleberschrift"/>
                <w:rFonts w:ascii="Times New Roman" w:hAnsi="Times New Roman"/>
                <w:sz w:val="22"/>
                <w:szCs w:val="22"/>
              </w:rPr>
              <w:t>VLASTNÝ KAPITÁL TIER 1</w:t>
            </w:r>
          </w:p>
          <w:p w14:paraId="7CEABDF7"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szCs w:val="22"/>
              </w:rPr>
              <w:t>článok 9 ods. 1 nariadenia (EÚ) 2019/2033</w:t>
            </w:r>
          </w:p>
          <w:p w14:paraId="5486B9AB" w14:textId="77777777" w:rsidR="00DB382A" w:rsidRPr="00970EC6" w:rsidRDefault="00970EC6">
            <w:pPr>
              <w:spacing w:after="120"/>
              <w:jc w:val="both"/>
              <w:rPr>
                <w:rFonts w:ascii="Times New Roman" w:eastAsia="Times New Roman" w:hAnsi="Times New Roman" w:cs="Times New Roman"/>
                <w:bCs/>
                <w:szCs w:val="22"/>
              </w:rPr>
            </w:pPr>
            <w:r w:rsidRPr="00970EC6">
              <w:rPr>
                <w:rStyle w:val="FormatvorlageInstructionsTabelleText"/>
                <w:rFonts w:ascii="Times New Roman" w:hAnsi="Times New Roman"/>
                <w:sz w:val="22"/>
                <w:szCs w:val="22"/>
              </w:rPr>
              <w:t>článok 50 nariadenia (EÚ) č. 575/2013</w:t>
            </w:r>
          </w:p>
        </w:tc>
      </w:tr>
      <w:tr w:rsidR="00DB382A" w:rsidRPr="00970EC6" w14:paraId="2B665BFF" w14:textId="77777777">
        <w:tc>
          <w:tcPr>
            <w:tcW w:w="1129" w:type="dxa"/>
            <w:vAlign w:val="center"/>
          </w:tcPr>
          <w:p w14:paraId="0D54F8D0"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color w:val="000000"/>
                <w:szCs w:val="22"/>
              </w:rPr>
              <w:t>4</w:t>
            </w:r>
          </w:p>
        </w:tc>
        <w:tc>
          <w:tcPr>
            <w:tcW w:w="7620" w:type="dxa"/>
          </w:tcPr>
          <w:p w14:paraId="0FDA00A2"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Splatené kapitálové nástroje</w:t>
            </w:r>
          </w:p>
          <w:p w14:paraId="3956FBC0"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szCs w:val="22"/>
              </w:rPr>
              <w:t xml:space="preserve">článok 9 ods. 1 bod i) </w:t>
            </w:r>
            <w:r w:rsidRPr="00970EC6">
              <w:rPr>
                <w:rFonts w:ascii="Times New Roman" w:hAnsi="Times New Roman"/>
                <w:bCs/>
                <w:szCs w:val="22"/>
              </w:rPr>
              <w:t>nariadenia (EÚ) 2019/2033</w:t>
            </w:r>
          </w:p>
          <w:p w14:paraId="5904D7BB" w14:textId="77777777" w:rsidR="00DB382A" w:rsidRPr="00970EC6" w:rsidRDefault="00970EC6">
            <w:pPr>
              <w:pStyle w:val="InstructionsText"/>
              <w:rPr>
                <w:rStyle w:val="FormatvorlageInstructionsTabelleText"/>
                <w:rFonts w:ascii="Times New Roman" w:hAnsi="Times New Roman"/>
                <w:sz w:val="22"/>
              </w:rPr>
            </w:pPr>
            <w:r w:rsidRPr="00970EC6">
              <w:rPr>
                <w:rStyle w:val="FormatvorlageInstructionsTabelleText"/>
                <w:rFonts w:ascii="Times New Roman" w:hAnsi="Times New Roman"/>
                <w:sz w:val="22"/>
              </w:rPr>
              <w:t>článok 26 ods. 1 písm. a) a články 27 až 31 nariadenia (EÚ) č. 575/2013</w:t>
            </w:r>
          </w:p>
          <w:p w14:paraId="29D4F8C0" w14:textId="77777777" w:rsidR="00DB382A" w:rsidRPr="00970EC6" w:rsidRDefault="00970EC6">
            <w:pPr>
              <w:pStyle w:val="InstructionsText"/>
              <w:rPr>
                <w:rStyle w:val="FormatvorlageInstructionsTabelleText"/>
                <w:rFonts w:ascii="Times New Roman" w:hAnsi="Times New Roman"/>
                <w:sz w:val="22"/>
              </w:rPr>
            </w:pPr>
            <w:r w:rsidRPr="00970EC6">
              <w:rPr>
                <w:rStyle w:val="FormatvorlageInstructionsTabelleText"/>
                <w:rFonts w:ascii="Times New Roman" w:hAnsi="Times New Roman"/>
                <w:sz w:val="22"/>
              </w:rPr>
              <w:lastRenderedPageBreak/>
              <w:t>Zahŕňajú sa kapitálové nástroje vzájomných spoločností, družstevných spoločností alebo podobných inštitúcií [články 27 a 29 nariadenia (EÚ) č. 575/2013].</w:t>
            </w:r>
          </w:p>
          <w:p w14:paraId="6A57B317" w14:textId="77777777" w:rsidR="00DB382A" w:rsidRPr="00970EC6" w:rsidRDefault="00970EC6">
            <w:pPr>
              <w:pStyle w:val="InstructionsText"/>
              <w:rPr>
                <w:rStyle w:val="FormatvorlageInstructionsTabelleText"/>
                <w:rFonts w:ascii="Times New Roman" w:hAnsi="Times New Roman"/>
                <w:sz w:val="22"/>
              </w:rPr>
            </w:pPr>
            <w:r w:rsidRPr="00970EC6">
              <w:rPr>
                <w:rStyle w:val="FormatvorlageInstructionsTabelleText"/>
                <w:rFonts w:ascii="Times New Roman" w:hAnsi="Times New Roman"/>
                <w:sz w:val="22"/>
              </w:rPr>
              <w:t>Emis</w:t>
            </w:r>
            <w:r w:rsidRPr="00970EC6">
              <w:rPr>
                <w:rStyle w:val="FormatvorlageInstructionsTabelleText"/>
                <w:rFonts w:ascii="Times New Roman" w:hAnsi="Times New Roman"/>
                <w:sz w:val="22"/>
              </w:rPr>
              <w:t>né ážio súvisiace s týmito nástrojmi sa sem nezahŕňa.</w:t>
            </w:r>
          </w:p>
          <w:p w14:paraId="417E7549" w14:textId="77777777" w:rsidR="00DB382A" w:rsidRPr="00970EC6" w:rsidRDefault="00970EC6">
            <w:pPr>
              <w:pStyle w:val="InstructionsText"/>
            </w:pPr>
            <w:r w:rsidRPr="00970EC6">
              <w:rPr>
                <w:rStyle w:val="FormatvorlageInstructionsTabelleText"/>
                <w:rFonts w:ascii="Times New Roman" w:hAnsi="Times New Roman"/>
                <w:sz w:val="22"/>
              </w:rPr>
              <w:t>Kapitálové nástroje upísané orgánmi verejnej moci v núdzových situáciách sa zahŕňajú vtedy, ak sú splnené všetky podmienky článku 31 nariadenia (EÚ) č. 575/2013.</w:t>
            </w:r>
          </w:p>
        </w:tc>
      </w:tr>
      <w:tr w:rsidR="00DB382A" w:rsidRPr="00970EC6" w14:paraId="7C2DB4E1" w14:textId="77777777">
        <w:tc>
          <w:tcPr>
            <w:tcW w:w="1129" w:type="dxa"/>
            <w:vAlign w:val="center"/>
          </w:tcPr>
          <w:p w14:paraId="10E3FD63"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color w:val="000000"/>
                <w:szCs w:val="22"/>
              </w:rPr>
              <w:lastRenderedPageBreak/>
              <w:t>5</w:t>
            </w:r>
          </w:p>
        </w:tc>
        <w:tc>
          <w:tcPr>
            <w:tcW w:w="7620" w:type="dxa"/>
          </w:tcPr>
          <w:p w14:paraId="157C77D7"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Emisné ážio</w:t>
            </w:r>
          </w:p>
          <w:p w14:paraId="630E2169"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szCs w:val="22"/>
              </w:rPr>
              <w:t>článok 9 ods. 1 bod i) na</w:t>
            </w:r>
            <w:r w:rsidRPr="00970EC6">
              <w:rPr>
                <w:rFonts w:ascii="Times New Roman" w:hAnsi="Times New Roman"/>
                <w:bCs/>
                <w:szCs w:val="22"/>
              </w:rPr>
              <w:t>riadenia (EÚ) 2019/2033</w:t>
            </w:r>
          </w:p>
          <w:p w14:paraId="30249CBA" w14:textId="77777777" w:rsidR="00DB382A" w:rsidRPr="00970EC6" w:rsidRDefault="00970EC6">
            <w:pPr>
              <w:spacing w:after="120"/>
              <w:jc w:val="both"/>
              <w:rPr>
                <w:rStyle w:val="FormatvorlageInstructionsTabelleText"/>
                <w:rFonts w:ascii="Times New Roman" w:hAnsi="Times New Roman"/>
                <w:sz w:val="22"/>
                <w:szCs w:val="22"/>
              </w:rPr>
            </w:pPr>
            <w:r w:rsidRPr="00970EC6">
              <w:rPr>
                <w:rStyle w:val="FormatvorlageInstructionsTabelleText"/>
                <w:rFonts w:ascii="Times New Roman" w:hAnsi="Times New Roman"/>
                <w:sz w:val="22"/>
                <w:szCs w:val="22"/>
              </w:rPr>
              <w:t>článok 26 ods. 1 písm. b) nariadenia (EÚ) č. 575/2013</w:t>
            </w:r>
          </w:p>
          <w:p w14:paraId="079D4E69" w14:textId="77777777" w:rsidR="00DB382A" w:rsidRPr="00970EC6" w:rsidRDefault="00970EC6">
            <w:pPr>
              <w:pStyle w:val="InstructionsText"/>
              <w:rPr>
                <w:rStyle w:val="FormatvorlageInstructionsTabelleText"/>
                <w:rFonts w:ascii="Times New Roman" w:hAnsi="Times New Roman"/>
                <w:sz w:val="22"/>
              </w:rPr>
            </w:pPr>
            <w:r w:rsidRPr="00970EC6">
              <w:rPr>
                <w:rStyle w:val="FormatvorlageInstructionsTabelleText"/>
                <w:rFonts w:ascii="Times New Roman" w:hAnsi="Times New Roman"/>
                <w:sz w:val="22"/>
              </w:rPr>
              <w:t>Emisné ážio má ten istý význam ako v uplatniteľnom účtovnom štandarde.</w:t>
            </w:r>
          </w:p>
          <w:p w14:paraId="38D5C685"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Style w:val="FormatvorlageInstructionsTabelleText"/>
                <w:rFonts w:ascii="Times New Roman" w:hAnsi="Times New Roman"/>
                <w:sz w:val="22"/>
                <w:szCs w:val="22"/>
              </w:rPr>
              <w:t>Suma zverejňovaná v tejto položke je časť súvisiaca so „splatenými kapitálovými nástrojmi“.</w:t>
            </w:r>
          </w:p>
        </w:tc>
      </w:tr>
      <w:tr w:rsidR="00DB382A" w:rsidRPr="00970EC6" w14:paraId="23AE1A0F" w14:textId="77777777">
        <w:tc>
          <w:tcPr>
            <w:tcW w:w="1129" w:type="dxa"/>
            <w:vAlign w:val="center"/>
          </w:tcPr>
          <w:p w14:paraId="00811068"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color w:val="000000"/>
                <w:szCs w:val="22"/>
              </w:rPr>
              <w:t>6</w:t>
            </w:r>
          </w:p>
        </w:tc>
        <w:tc>
          <w:tcPr>
            <w:tcW w:w="7620" w:type="dxa"/>
          </w:tcPr>
          <w:p w14:paraId="725F1236"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Nerozdelené zisky</w:t>
            </w:r>
          </w:p>
          <w:p w14:paraId="444A96CE"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szCs w:val="22"/>
              </w:rPr>
              <w:t>článok 9 ods. 1 bod i) nariadenia (EÚ) 2019/2033</w:t>
            </w:r>
          </w:p>
          <w:p w14:paraId="7C884582" w14:textId="77777777" w:rsidR="00DB382A" w:rsidRPr="00970EC6" w:rsidRDefault="00970EC6">
            <w:pPr>
              <w:spacing w:after="120"/>
              <w:jc w:val="both"/>
              <w:rPr>
                <w:rFonts w:ascii="Times New Roman" w:eastAsia="Times New Roman" w:hAnsi="Times New Roman" w:cs="Times New Roman"/>
                <w:bCs/>
                <w:szCs w:val="22"/>
              </w:rPr>
            </w:pPr>
            <w:r w:rsidRPr="00970EC6">
              <w:rPr>
                <w:rStyle w:val="FormatvorlageInstructionsTabelleText"/>
                <w:rFonts w:ascii="Times New Roman" w:hAnsi="Times New Roman"/>
                <w:sz w:val="22"/>
                <w:szCs w:val="22"/>
              </w:rPr>
              <w:t>článok 26 ods. 1 písm. c) nariadenia (EÚ) č. 575/2013</w:t>
            </w:r>
          </w:p>
          <w:p w14:paraId="12DF82EB"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Style w:val="FormatvorlageInstructionsTabelleText"/>
                <w:rFonts w:ascii="Times New Roman" w:hAnsi="Times New Roman"/>
                <w:sz w:val="22"/>
                <w:szCs w:val="22"/>
              </w:rPr>
              <w:t>Nerozdelené zisky zahŕňajú nerozdelené zisky z predchádzajúceho roka a prípustné predbežné alebo koncoročné zisky.</w:t>
            </w:r>
          </w:p>
        </w:tc>
      </w:tr>
      <w:tr w:rsidR="00DB382A" w:rsidRPr="00970EC6" w14:paraId="339BCB5F" w14:textId="77777777">
        <w:tc>
          <w:tcPr>
            <w:tcW w:w="1129" w:type="dxa"/>
            <w:vAlign w:val="center"/>
          </w:tcPr>
          <w:p w14:paraId="692A7D20"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color w:val="000000"/>
                <w:szCs w:val="22"/>
              </w:rPr>
              <w:t>7</w:t>
            </w:r>
          </w:p>
        </w:tc>
        <w:tc>
          <w:tcPr>
            <w:tcW w:w="7620" w:type="dxa"/>
          </w:tcPr>
          <w:p w14:paraId="1E0F2000"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Nerozdelené zisky</w:t>
            </w:r>
            <w:r w:rsidRPr="00970EC6">
              <w:rPr>
                <w:rFonts w:ascii="Times New Roman" w:hAnsi="Times New Roman"/>
                <w:b/>
                <w:bCs/>
                <w:szCs w:val="22"/>
                <w:u w:val="single"/>
              </w:rPr>
              <w:t xml:space="preserve"> z predchádzajúcich rokov</w:t>
            </w:r>
          </w:p>
          <w:p w14:paraId="454B5EA4" w14:textId="77777777" w:rsidR="00DB382A" w:rsidRPr="00970EC6" w:rsidRDefault="00970EC6">
            <w:pPr>
              <w:spacing w:after="120"/>
              <w:jc w:val="both"/>
              <w:rPr>
                <w:rFonts w:ascii="Times New Roman" w:hAnsi="Times New Roman" w:cs="Times New Roman"/>
                <w:szCs w:val="22"/>
              </w:rPr>
            </w:pPr>
            <w:r w:rsidRPr="00970EC6">
              <w:rPr>
                <w:rFonts w:ascii="Times New Roman" w:hAnsi="Times New Roman"/>
                <w:szCs w:val="22"/>
              </w:rPr>
              <w:t>článok 4 ods. 1 bod 123 a článok 26 ods. 1 písm. c) nariadenia (EÚ) č. 575/2013</w:t>
            </w:r>
          </w:p>
          <w:p w14:paraId="777A8DB8"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szCs w:val="22"/>
              </w:rPr>
              <w:t>V</w:t>
            </w:r>
            <w:r w:rsidRPr="00970EC6">
              <w:rPr>
                <w:rFonts w:ascii="Times New Roman" w:hAnsi="Times New Roman" w:cs="Times New Roman"/>
                <w:szCs w:val="22"/>
              </w:rPr>
              <w:t> </w:t>
            </w:r>
            <w:r w:rsidRPr="00970EC6">
              <w:rPr>
                <w:rFonts w:ascii="Times New Roman" w:hAnsi="Times New Roman"/>
                <w:szCs w:val="22"/>
              </w:rPr>
              <w:t xml:space="preserve">článku 4 ods. 1 bode 123 nariadenia (EÚ) č. 575/2013 sa nerozdelené zisky vymedzujú ako „zisky a straty prenesené po použití konečného zisku </w:t>
            </w:r>
            <w:r w:rsidRPr="00970EC6">
              <w:rPr>
                <w:rFonts w:ascii="Times New Roman" w:hAnsi="Times New Roman"/>
                <w:szCs w:val="22"/>
              </w:rPr>
              <w:t>alebo straty v súlade s uplatniteľným účtovným rámcom“.</w:t>
            </w:r>
          </w:p>
        </w:tc>
      </w:tr>
      <w:tr w:rsidR="00DB382A" w:rsidRPr="00970EC6" w14:paraId="10008424" w14:textId="77777777">
        <w:tc>
          <w:tcPr>
            <w:tcW w:w="1129" w:type="dxa"/>
            <w:vAlign w:val="center"/>
          </w:tcPr>
          <w:p w14:paraId="7AD5DB57"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color w:val="000000"/>
                <w:szCs w:val="22"/>
              </w:rPr>
              <w:t>8</w:t>
            </w:r>
          </w:p>
        </w:tc>
        <w:tc>
          <w:tcPr>
            <w:tcW w:w="7620" w:type="dxa"/>
          </w:tcPr>
          <w:p w14:paraId="794CA505"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Prípustný zisk alebo strata</w:t>
            </w:r>
          </w:p>
          <w:p w14:paraId="0C6399F2" w14:textId="77777777" w:rsidR="00DB382A" w:rsidRPr="00970EC6" w:rsidRDefault="00970EC6">
            <w:pPr>
              <w:spacing w:after="120"/>
              <w:jc w:val="both"/>
              <w:rPr>
                <w:rFonts w:ascii="Times New Roman" w:eastAsia="Times New Roman" w:hAnsi="Times New Roman" w:cs="Times New Roman"/>
                <w:szCs w:val="22"/>
              </w:rPr>
            </w:pPr>
            <w:r w:rsidRPr="00970EC6">
              <w:rPr>
                <w:rFonts w:ascii="Times New Roman" w:hAnsi="Times New Roman"/>
                <w:szCs w:val="22"/>
              </w:rPr>
              <w:t>článok 4 ods. 1 bod 121, článok 26 ods. 2 a článok 36 ods. 1 písm. a) nariadenia (EÚ) č. 575/2013</w:t>
            </w:r>
          </w:p>
          <w:p w14:paraId="64158665" w14:textId="77777777" w:rsidR="00DB382A" w:rsidRPr="00970EC6" w:rsidRDefault="00970EC6">
            <w:pPr>
              <w:spacing w:after="120"/>
              <w:jc w:val="both"/>
              <w:rPr>
                <w:rFonts w:ascii="Times New Roman" w:eastAsia="Times New Roman" w:hAnsi="Times New Roman" w:cs="Times New Roman"/>
                <w:szCs w:val="22"/>
              </w:rPr>
            </w:pPr>
            <w:r w:rsidRPr="00970EC6">
              <w:rPr>
                <w:rFonts w:ascii="Times New Roman" w:hAnsi="Times New Roman"/>
                <w:szCs w:val="22"/>
              </w:rPr>
              <w:t>V</w:t>
            </w:r>
            <w:r w:rsidRPr="00970EC6">
              <w:rPr>
                <w:rFonts w:ascii="Times New Roman" w:eastAsia="Times New Roman" w:hAnsi="Times New Roman" w:cs="Times New Roman"/>
                <w:szCs w:val="22"/>
              </w:rPr>
              <w:t> </w:t>
            </w:r>
            <w:r w:rsidRPr="00970EC6">
              <w:rPr>
                <w:rFonts w:ascii="Times New Roman" w:hAnsi="Times New Roman"/>
                <w:szCs w:val="22"/>
              </w:rPr>
              <w:t>článku 26 ods. 2 nariadenia (EÚ) č. 575/2013 sa umožňuje do nerozdele</w:t>
            </w:r>
            <w:r w:rsidRPr="00970EC6">
              <w:rPr>
                <w:rFonts w:ascii="Times New Roman" w:hAnsi="Times New Roman"/>
                <w:szCs w:val="22"/>
              </w:rPr>
              <w:t>ných ziskov zahrnúť predbežné alebo koncoročné zisky, a to s predchádzajúcim súhlasom príslušných orgánov, ak sú splnené určité podmienky.</w:t>
            </w:r>
          </w:p>
          <w:p w14:paraId="28D1B459"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szCs w:val="22"/>
              </w:rPr>
              <w:t xml:space="preserve">Na druhej strane sa od vlastného kapitálu Tier 1 odpočítavajú straty podľa ustanovení článku 36 ods. 1 písm. a) </w:t>
            </w:r>
            <w:r w:rsidRPr="00970EC6">
              <w:rPr>
                <w:rFonts w:ascii="Times New Roman" w:hAnsi="Times New Roman"/>
                <w:szCs w:val="22"/>
              </w:rPr>
              <w:t>nariadenia (EÚ) č. 575/2013.</w:t>
            </w:r>
          </w:p>
        </w:tc>
      </w:tr>
      <w:tr w:rsidR="00DB382A" w:rsidRPr="00970EC6" w14:paraId="6567EDA6" w14:textId="77777777">
        <w:tc>
          <w:tcPr>
            <w:tcW w:w="1129" w:type="dxa"/>
            <w:vAlign w:val="center"/>
          </w:tcPr>
          <w:p w14:paraId="7EDA0954"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color w:val="000000"/>
                <w:szCs w:val="22"/>
              </w:rPr>
              <w:t>9</w:t>
            </w:r>
          </w:p>
        </w:tc>
        <w:tc>
          <w:tcPr>
            <w:tcW w:w="7620" w:type="dxa"/>
          </w:tcPr>
          <w:p w14:paraId="0DA4DAD2"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Akumulovaný iný komplexný účtovný výsledok</w:t>
            </w:r>
          </w:p>
          <w:p w14:paraId="086B7525"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szCs w:val="22"/>
              </w:rPr>
              <w:t>článok 9 ods. 1 bod i) nariadenia (EÚ) 2019/2033</w:t>
            </w:r>
          </w:p>
          <w:p w14:paraId="1D79D187" w14:textId="77777777" w:rsidR="00DB382A" w:rsidRPr="00970EC6" w:rsidRDefault="00970EC6">
            <w:pPr>
              <w:spacing w:after="120"/>
              <w:jc w:val="both"/>
              <w:rPr>
                <w:rFonts w:ascii="Times New Roman" w:hAnsi="Times New Roman" w:cs="Times New Roman"/>
                <w:bCs/>
                <w:szCs w:val="22"/>
              </w:rPr>
            </w:pPr>
            <w:r w:rsidRPr="00970EC6">
              <w:rPr>
                <w:rStyle w:val="FormatvorlageInstructionsTabelleText"/>
                <w:rFonts w:ascii="Times New Roman" w:hAnsi="Times New Roman"/>
                <w:sz w:val="22"/>
                <w:szCs w:val="22"/>
              </w:rPr>
              <w:t>článok 26 ods. 1 písm. d) nariadenia (EÚ) č. 575/2013</w:t>
            </w:r>
          </w:p>
        </w:tc>
      </w:tr>
      <w:tr w:rsidR="00DB382A" w:rsidRPr="00970EC6" w14:paraId="570A2D9D" w14:textId="77777777">
        <w:tc>
          <w:tcPr>
            <w:tcW w:w="1129" w:type="dxa"/>
            <w:vAlign w:val="center"/>
          </w:tcPr>
          <w:p w14:paraId="5F14EFB1"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color w:val="000000"/>
                <w:szCs w:val="22"/>
              </w:rPr>
              <w:t>10</w:t>
            </w:r>
          </w:p>
        </w:tc>
        <w:tc>
          <w:tcPr>
            <w:tcW w:w="7620" w:type="dxa"/>
          </w:tcPr>
          <w:p w14:paraId="413C32D7"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Ostatné rezervy</w:t>
            </w:r>
          </w:p>
          <w:p w14:paraId="3D773E45"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szCs w:val="22"/>
              </w:rPr>
              <w:t>článok 9 ods. 1 bod i) nariadenia (EÚ) 2019/2033</w:t>
            </w:r>
          </w:p>
          <w:p w14:paraId="229CA094" w14:textId="77777777" w:rsidR="00DB382A" w:rsidRPr="00970EC6" w:rsidRDefault="00970EC6">
            <w:pPr>
              <w:spacing w:after="120"/>
              <w:jc w:val="both"/>
              <w:rPr>
                <w:rStyle w:val="FormatvorlageInstructionsTabelleText"/>
                <w:rFonts w:ascii="Times New Roman" w:hAnsi="Times New Roman"/>
                <w:sz w:val="22"/>
                <w:szCs w:val="22"/>
              </w:rPr>
            </w:pPr>
            <w:r w:rsidRPr="00970EC6">
              <w:rPr>
                <w:rStyle w:val="FormatvorlageInstructionsTabelleText"/>
                <w:rFonts w:ascii="Times New Roman" w:hAnsi="Times New Roman"/>
                <w:sz w:val="22"/>
                <w:szCs w:val="22"/>
              </w:rPr>
              <w:t xml:space="preserve">článok 4 </w:t>
            </w:r>
            <w:r w:rsidRPr="00970EC6">
              <w:rPr>
                <w:rStyle w:val="FormatvorlageInstructionsTabelleText"/>
                <w:rFonts w:ascii="Times New Roman" w:hAnsi="Times New Roman"/>
                <w:sz w:val="22"/>
                <w:szCs w:val="22"/>
              </w:rPr>
              <w:t>ods. 1 bod 117 a článok 26 ods. 1 písm. e) nariadenia (EÚ) č. 575/2013</w:t>
            </w:r>
          </w:p>
          <w:p w14:paraId="6DC91A7D"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Style w:val="FormatvorlageInstructionsTabelleText"/>
                <w:rFonts w:ascii="Times New Roman" w:hAnsi="Times New Roman"/>
                <w:sz w:val="22"/>
                <w:szCs w:val="22"/>
              </w:rPr>
              <w:t>Suma je zverejňovaná po odpočítaní daňových poplatkov, ktoré sa predpokladajú v čase výpočtu.</w:t>
            </w:r>
          </w:p>
        </w:tc>
      </w:tr>
      <w:tr w:rsidR="00DB382A" w:rsidRPr="00970EC6" w14:paraId="4F9E52B8" w14:textId="77777777">
        <w:tc>
          <w:tcPr>
            <w:tcW w:w="1129" w:type="dxa"/>
            <w:vAlign w:val="center"/>
          </w:tcPr>
          <w:p w14:paraId="3C84B1C8" w14:textId="77777777" w:rsidR="00DB382A" w:rsidRPr="00970EC6" w:rsidRDefault="00970EC6">
            <w:pPr>
              <w:spacing w:after="120"/>
              <w:jc w:val="both"/>
              <w:rPr>
                <w:rFonts w:ascii="Times New Roman" w:hAnsi="Times New Roman" w:cs="Times New Roman"/>
                <w:color w:val="000000"/>
                <w:szCs w:val="22"/>
              </w:rPr>
            </w:pPr>
            <w:r w:rsidRPr="00970EC6">
              <w:rPr>
                <w:rFonts w:ascii="Times New Roman" w:hAnsi="Times New Roman"/>
                <w:color w:val="000000"/>
                <w:szCs w:val="22"/>
              </w:rPr>
              <w:t>11</w:t>
            </w:r>
          </w:p>
        </w:tc>
        <w:tc>
          <w:tcPr>
            <w:tcW w:w="7620" w:type="dxa"/>
          </w:tcPr>
          <w:p w14:paraId="49A52604"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Úpravy vlastného kapitálu Tier 1 na základe prudenciálnych filtrov</w:t>
            </w:r>
          </w:p>
          <w:p w14:paraId="5FB0318E"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szCs w:val="22"/>
              </w:rPr>
              <w:t xml:space="preserve">článok 9 </w:t>
            </w:r>
            <w:r w:rsidRPr="00970EC6">
              <w:rPr>
                <w:rFonts w:ascii="Times New Roman" w:hAnsi="Times New Roman"/>
                <w:bCs/>
                <w:szCs w:val="22"/>
              </w:rPr>
              <w:t>ods. 1 bod i) nariadenia (EÚ) 2019/2033</w:t>
            </w:r>
          </w:p>
          <w:p w14:paraId="056A0715"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Style w:val="FormatvorlageInstructionsTabelleText"/>
                <w:rFonts w:ascii="Times New Roman" w:hAnsi="Times New Roman"/>
                <w:sz w:val="22"/>
                <w:szCs w:val="22"/>
              </w:rPr>
              <w:lastRenderedPageBreak/>
              <w:t>články 32 až 35 nariadenia (EÚ) č. 575/2013</w:t>
            </w:r>
          </w:p>
        </w:tc>
      </w:tr>
      <w:tr w:rsidR="00DB382A" w:rsidRPr="00970EC6" w14:paraId="7207B822" w14:textId="77777777">
        <w:tc>
          <w:tcPr>
            <w:tcW w:w="1129" w:type="dxa"/>
            <w:vAlign w:val="center"/>
          </w:tcPr>
          <w:p w14:paraId="07D84F7D" w14:textId="77777777" w:rsidR="00DB382A" w:rsidRPr="00970EC6" w:rsidRDefault="00970EC6">
            <w:pPr>
              <w:spacing w:after="120"/>
              <w:jc w:val="both"/>
              <w:rPr>
                <w:rFonts w:ascii="Times New Roman" w:hAnsi="Times New Roman" w:cs="Times New Roman"/>
                <w:color w:val="000000"/>
                <w:szCs w:val="22"/>
              </w:rPr>
            </w:pPr>
            <w:r w:rsidRPr="00970EC6">
              <w:rPr>
                <w:rFonts w:ascii="Times New Roman" w:hAnsi="Times New Roman"/>
                <w:color w:val="000000"/>
                <w:szCs w:val="22"/>
              </w:rPr>
              <w:lastRenderedPageBreak/>
              <w:t>12</w:t>
            </w:r>
          </w:p>
        </w:tc>
        <w:tc>
          <w:tcPr>
            <w:tcW w:w="7620" w:type="dxa"/>
          </w:tcPr>
          <w:p w14:paraId="106E1E71"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Ostatné fondy</w:t>
            </w:r>
          </w:p>
          <w:p w14:paraId="6B929915"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Cs/>
                <w:szCs w:val="22"/>
              </w:rPr>
              <w:t>článok 9 ods. 4 nariadenia (EÚ) 2019/2033</w:t>
            </w:r>
          </w:p>
        </w:tc>
      </w:tr>
      <w:tr w:rsidR="00DB382A" w:rsidRPr="00970EC6" w14:paraId="14E3FA68" w14:textId="77777777">
        <w:tc>
          <w:tcPr>
            <w:tcW w:w="1129" w:type="dxa"/>
            <w:vAlign w:val="center"/>
          </w:tcPr>
          <w:p w14:paraId="2D2FD3C8"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color w:val="000000"/>
                <w:szCs w:val="22"/>
              </w:rPr>
              <w:t>13</w:t>
            </w:r>
          </w:p>
        </w:tc>
        <w:tc>
          <w:tcPr>
            <w:tcW w:w="7620" w:type="dxa"/>
          </w:tcPr>
          <w:p w14:paraId="1EDC7AFF"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 CELKOVÉ ODPOČTY OD VLASTNÉHO KAPITÁLU TIER 1</w:t>
            </w:r>
          </w:p>
          <w:p w14:paraId="0B674C3A"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szCs w:val="22"/>
              </w:rPr>
              <w:t>Zverejňuje sa celkový súčet riadkov 14 až 23.</w:t>
            </w:r>
          </w:p>
        </w:tc>
      </w:tr>
      <w:tr w:rsidR="00DB382A" w:rsidRPr="00970EC6" w14:paraId="60623A0D" w14:textId="77777777">
        <w:tc>
          <w:tcPr>
            <w:tcW w:w="1129" w:type="dxa"/>
            <w:vAlign w:val="center"/>
          </w:tcPr>
          <w:p w14:paraId="090A1724"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color w:val="000000"/>
                <w:szCs w:val="22"/>
              </w:rPr>
              <w:t>14</w:t>
            </w:r>
          </w:p>
        </w:tc>
        <w:tc>
          <w:tcPr>
            <w:tcW w:w="7620" w:type="dxa"/>
            <w:shd w:val="clear" w:color="auto" w:fill="auto"/>
          </w:tcPr>
          <w:p w14:paraId="63266BC2"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 xml:space="preserve">(–) </w:t>
            </w:r>
            <w:r w:rsidRPr="00970EC6">
              <w:rPr>
                <w:rFonts w:ascii="Times New Roman" w:hAnsi="Times New Roman"/>
                <w:b/>
                <w:bCs/>
                <w:szCs w:val="22"/>
                <w:u w:val="single"/>
              </w:rPr>
              <w:t>Nástroje vlastného kapitálu Tier 1</w:t>
            </w:r>
          </w:p>
          <w:p w14:paraId="5400EDB5"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szCs w:val="22"/>
              </w:rPr>
              <w:t>článok 9 ods. 1 bod i) nariadenia (EÚ) 2019/2033</w:t>
            </w:r>
          </w:p>
          <w:p w14:paraId="42AC18BD" w14:textId="77777777" w:rsidR="00DB382A" w:rsidRPr="00970EC6" w:rsidRDefault="00970EC6">
            <w:pPr>
              <w:pStyle w:val="InstructionsText"/>
              <w:rPr>
                <w:rStyle w:val="FormatvorlageInstructionsTabelleText"/>
                <w:rFonts w:ascii="Times New Roman" w:hAnsi="Times New Roman"/>
                <w:sz w:val="22"/>
              </w:rPr>
            </w:pPr>
            <w:r w:rsidRPr="00970EC6">
              <w:rPr>
                <w:rStyle w:val="FormatvorlageInstructionsTabelleText"/>
                <w:rFonts w:ascii="Times New Roman" w:hAnsi="Times New Roman"/>
                <w:sz w:val="22"/>
              </w:rPr>
              <w:t>článok 36 ods. 1 písm. f) a článok 42 nariadenia (EÚ) č. 575/2013</w:t>
            </w:r>
          </w:p>
          <w:p w14:paraId="5F3DD849" w14:textId="77777777" w:rsidR="00DB382A" w:rsidRPr="00970EC6" w:rsidRDefault="00970EC6">
            <w:pPr>
              <w:pStyle w:val="InstructionsText"/>
              <w:rPr>
                <w:rStyle w:val="FormatvorlageInstructionsTabelleText"/>
                <w:rFonts w:ascii="Times New Roman" w:hAnsi="Times New Roman"/>
                <w:sz w:val="22"/>
              </w:rPr>
            </w:pPr>
            <w:r w:rsidRPr="00970EC6">
              <w:rPr>
                <w:rStyle w:val="FormatvorlageInstructionsTabelleText"/>
                <w:rFonts w:ascii="Times New Roman" w:hAnsi="Times New Roman"/>
                <w:sz w:val="22"/>
              </w:rPr>
              <w:t>Vlastný kapitál Tier 1, ktorý vykazujúca inštitúcia alebo skupina drží k dátumu vykazovania. S výhradou vý</w:t>
            </w:r>
            <w:r w:rsidRPr="00970EC6">
              <w:rPr>
                <w:rStyle w:val="FormatvorlageInstructionsTabelleText"/>
                <w:rFonts w:ascii="Times New Roman" w:hAnsi="Times New Roman"/>
                <w:sz w:val="22"/>
              </w:rPr>
              <w:t>nimiek v článku 42 nariadenia (EÚ) č. 575/2013.</w:t>
            </w:r>
          </w:p>
          <w:p w14:paraId="629F4940" w14:textId="77777777" w:rsidR="00DB382A" w:rsidRPr="00970EC6" w:rsidRDefault="00970EC6">
            <w:pPr>
              <w:pStyle w:val="InstructionsText"/>
              <w:rPr>
                <w:rStyle w:val="FormatvorlageInstructionsTabelleText"/>
                <w:rFonts w:ascii="Times New Roman" w:hAnsi="Times New Roman"/>
                <w:sz w:val="22"/>
              </w:rPr>
            </w:pPr>
            <w:r w:rsidRPr="00970EC6">
              <w:rPr>
                <w:rStyle w:val="FormatvorlageInstructionsTabelleText"/>
                <w:rFonts w:ascii="Times New Roman" w:hAnsi="Times New Roman"/>
                <w:sz w:val="22"/>
              </w:rPr>
              <w:t>V tomto riadku sa nevykazujú podiely na akciách zahrnuté ako „neprípustné kapitálové nástroje“.</w:t>
            </w:r>
          </w:p>
          <w:p w14:paraId="13CA0933" w14:textId="77777777" w:rsidR="00DB382A" w:rsidRPr="00970EC6" w:rsidRDefault="00970EC6">
            <w:pPr>
              <w:pStyle w:val="InstructionsText"/>
              <w:rPr>
                <w:rStyle w:val="FormatvorlageInstructionsTabelleText"/>
                <w:rFonts w:ascii="Times New Roman" w:hAnsi="Times New Roman"/>
                <w:sz w:val="22"/>
              </w:rPr>
            </w:pPr>
            <w:r w:rsidRPr="00970EC6">
              <w:rPr>
                <w:rStyle w:val="FormatvorlageInstructionsTabelleText"/>
                <w:rFonts w:ascii="Times New Roman" w:hAnsi="Times New Roman"/>
                <w:sz w:val="22"/>
              </w:rPr>
              <w:t>Zverejňovaná suma zahŕňa emisné ážio súvisiace s vlastnými akciami.</w:t>
            </w:r>
          </w:p>
          <w:p w14:paraId="48CFA10D" w14:textId="77777777" w:rsidR="00DB382A" w:rsidRPr="00970EC6" w:rsidRDefault="00DB382A">
            <w:pPr>
              <w:pStyle w:val="InstructionsText"/>
            </w:pPr>
          </w:p>
        </w:tc>
      </w:tr>
      <w:tr w:rsidR="00DB382A" w:rsidRPr="00970EC6" w14:paraId="7A1D27E0" w14:textId="77777777">
        <w:tc>
          <w:tcPr>
            <w:tcW w:w="1129" w:type="dxa"/>
            <w:vAlign w:val="center"/>
          </w:tcPr>
          <w:p w14:paraId="3359E5C2"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color w:val="000000"/>
                <w:szCs w:val="22"/>
              </w:rPr>
              <w:t>15</w:t>
            </w:r>
          </w:p>
        </w:tc>
        <w:tc>
          <w:tcPr>
            <w:tcW w:w="7620" w:type="dxa"/>
            <w:tcBorders>
              <w:top w:val="nil"/>
              <w:left w:val="single" w:sz="4" w:space="0" w:color="auto"/>
              <w:bottom w:val="single" w:sz="4" w:space="0" w:color="auto"/>
              <w:right w:val="single" w:sz="4" w:space="0" w:color="auto"/>
            </w:tcBorders>
            <w:shd w:val="clear" w:color="auto" w:fill="auto"/>
            <w:vAlign w:val="center"/>
          </w:tcPr>
          <w:p w14:paraId="1ACFFF92"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 Straty za bežný finančný rok</w:t>
            </w:r>
          </w:p>
          <w:p w14:paraId="388C5171"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szCs w:val="22"/>
              </w:rPr>
              <w:t>článok 36 ods. 1 písm. a) nariadenia (EÚ) č. 575/2013</w:t>
            </w:r>
          </w:p>
        </w:tc>
      </w:tr>
      <w:tr w:rsidR="00DB382A" w:rsidRPr="00970EC6" w14:paraId="038BB9C9" w14:textId="77777777">
        <w:tc>
          <w:tcPr>
            <w:tcW w:w="1129" w:type="dxa"/>
            <w:vAlign w:val="center"/>
          </w:tcPr>
          <w:p w14:paraId="4B8FB5AF"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color w:val="000000"/>
                <w:szCs w:val="22"/>
              </w:rPr>
              <w:t>16</w:t>
            </w:r>
          </w:p>
        </w:tc>
        <w:tc>
          <w:tcPr>
            <w:tcW w:w="7620" w:type="dxa"/>
            <w:tcBorders>
              <w:top w:val="nil"/>
              <w:left w:val="single" w:sz="4" w:space="0" w:color="auto"/>
              <w:bottom w:val="single" w:sz="4" w:space="0" w:color="auto"/>
              <w:right w:val="single" w:sz="4" w:space="0" w:color="auto"/>
            </w:tcBorders>
            <w:shd w:val="clear" w:color="auto" w:fill="auto"/>
            <w:vAlign w:val="bottom"/>
          </w:tcPr>
          <w:p w14:paraId="6339D769"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 Goodwill</w:t>
            </w:r>
          </w:p>
          <w:p w14:paraId="3D09B302"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szCs w:val="22"/>
              </w:rPr>
              <w:t>článok 9 ods. 1 bod i) nariadenia (EÚ) 2019/2033</w:t>
            </w:r>
          </w:p>
          <w:p w14:paraId="382521BA"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Style w:val="FormatvorlageInstructionsTabelleText"/>
                <w:rFonts w:ascii="Times New Roman" w:hAnsi="Times New Roman"/>
                <w:sz w:val="22"/>
                <w:szCs w:val="22"/>
              </w:rPr>
              <w:t>článok 4 ods. 1 bod 113, článok 36 ods. 1 písm. b) a článok 37 nariadenia (EÚ) č. 575/2013</w:t>
            </w:r>
          </w:p>
        </w:tc>
      </w:tr>
      <w:tr w:rsidR="00DB382A" w:rsidRPr="00970EC6" w14:paraId="1BDFEF74" w14:textId="77777777">
        <w:tc>
          <w:tcPr>
            <w:tcW w:w="1129" w:type="dxa"/>
            <w:vAlign w:val="center"/>
          </w:tcPr>
          <w:p w14:paraId="22630600"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color w:val="000000"/>
                <w:szCs w:val="22"/>
              </w:rPr>
              <w:t>17</w:t>
            </w:r>
          </w:p>
        </w:tc>
        <w:tc>
          <w:tcPr>
            <w:tcW w:w="7620" w:type="dxa"/>
            <w:tcBorders>
              <w:top w:val="nil"/>
              <w:left w:val="single" w:sz="4" w:space="0" w:color="auto"/>
              <w:bottom w:val="single" w:sz="4" w:space="0" w:color="auto"/>
              <w:right w:val="single" w:sz="4" w:space="0" w:color="auto"/>
            </w:tcBorders>
            <w:shd w:val="clear" w:color="auto" w:fill="auto"/>
            <w:vAlign w:val="bottom"/>
          </w:tcPr>
          <w:p w14:paraId="4BE9E765"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 Ostatné nehmotné aktíva</w:t>
            </w:r>
          </w:p>
          <w:p w14:paraId="675EECC6"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szCs w:val="22"/>
              </w:rPr>
              <w:t>článok 9 ods. 1 bod i) nariadenia (EÚ) 2019/2033</w:t>
            </w:r>
          </w:p>
          <w:p w14:paraId="3FAE5507" w14:textId="77777777" w:rsidR="00DB382A" w:rsidRPr="00970EC6" w:rsidRDefault="00970EC6">
            <w:pPr>
              <w:pStyle w:val="InstructionsText"/>
              <w:rPr>
                <w:rStyle w:val="FormatvorlageInstructionsTabelleText"/>
                <w:rFonts w:ascii="Times New Roman" w:eastAsiaTheme="minorHAnsi" w:hAnsi="Times New Roman"/>
                <w:bCs/>
                <w:sz w:val="22"/>
              </w:rPr>
            </w:pPr>
            <w:r w:rsidRPr="00970EC6">
              <w:rPr>
                <w:rStyle w:val="FormatvorlageInstructionsTabelleText"/>
                <w:rFonts w:ascii="Times New Roman" w:hAnsi="Times New Roman"/>
                <w:sz w:val="22"/>
              </w:rPr>
              <w:t>článok 4 ods. 1 bod 115, článok 36 ods. 1 písm. b) a článok 37 písm. a) nariadenia (EÚ) č. 575/2013</w:t>
            </w:r>
          </w:p>
          <w:p w14:paraId="1E00B301"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Style w:val="FormatvorlageInstructionsTabelleText"/>
                <w:rFonts w:ascii="Times New Roman" w:hAnsi="Times New Roman"/>
                <w:sz w:val="22"/>
                <w:szCs w:val="22"/>
              </w:rPr>
              <w:t>Ostatné nehmotné aktíva sú nehmotné aktíva podľa uplatniteľného účtovného štandardu, bez goodwillu, tiež po</w:t>
            </w:r>
            <w:r w:rsidRPr="00970EC6">
              <w:rPr>
                <w:rStyle w:val="FormatvorlageInstructionsTabelleText"/>
                <w:rFonts w:ascii="Times New Roman" w:hAnsi="Times New Roman"/>
                <w:sz w:val="22"/>
                <w:szCs w:val="22"/>
              </w:rPr>
              <w:t>dľa uplatniteľného účtovného štandardu.</w:t>
            </w:r>
          </w:p>
        </w:tc>
      </w:tr>
      <w:tr w:rsidR="00DB382A" w:rsidRPr="00970EC6" w14:paraId="23C6D6AD" w14:textId="77777777">
        <w:tc>
          <w:tcPr>
            <w:tcW w:w="1129" w:type="dxa"/>
            <w:vAlign w:val="center"/>
          </w:tcPr>
          <w:p w14:paraId="78F1F08E"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color w:val="000000"/>
                <w:szCs w:val="22"/>
              </w:rPr>
              <w:t>18</w:t>
            </w:r>
          </w:p>
        </w:tc>
        <w:tc>
          <w:tcPr>
            <w:tcW w:w="7620" w:type="dxa"/>
            <w:tcBorders>
              <w:top w:val="nil"/>
              <w:left w:val="single" w:sz="4" w:space="0" w:color="auto"/>
              <w:bottom w:val="single" w:sz="4" w:space="0" w:color="auto"/>
              <w:right w:val="single" w:sz="4" w:space="0" w:color="auto"/>
            </w:tcBorders>
            <w:shd w:val="clear" w:color="auto" w:fill="auto"/>
            <w:vAlign w:val="bottom"/>
          </w:tcPr>
          <w:p w14:paraId="74A6795C"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 Odložené daňové pohľadávky, ktoré závisia od budúcej ziskovosti a nevyplývajú z dočasných rozdielov, po odpočítaní prislúchajúcich daňových záväzkov</w:t>
            </w:r>
          </w:p>
          <w:p w14:paraId="318AAF57"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szCs w:val="22"/>
              </w:rPr>
              <w:t>článok 9 ods. 2 písm. a) nariadenia (EÚ) 2019/2033</w:t>
            </w:r>
          </w:p>
          <w:p w14:paraId="30756C41"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Cs/>
                <w:szCs w:val="22"/>
              </w:rPr>
              <w:t>článok 3</w:t>
            </w:r>
            <w:r w:rsidRPr="00970EC6">
              <w:rPr>
                <w:rFonts w:ascii="Times New Roman" w:hAnsi="Times New Roman"/>
                <w:bCs/>
                <w:szCs w:val="22"/>
              </w:rPr>
              <w:t>6 ods. 1 písm. c) nariadenia (EÚ) č. 575/2013</w:t>
            </w:r>
          </w:p>
        </w:tc>
      </w:tr>
      <w:tr w:rsidR="00DB382A" w:rsidRPr="00970EC6" w14:paraId="7A3EC944" w14:textId="77777777">
        <w:tc>
          <w:tcPr>
            <w:tcW w:w="1129" w:type="dxa"/>
            <w:vAlign w:val="center"/>
          </w:tcPr>
          <w:p w14:paraId="1E267541"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color w:val="000000"/>
                <w:szCs w:val="22"/>
              </w:rPr>
              <w:t>19</w:t>
            </w:r>
          </w:p>
        </w:tc>
        <w:tc>
          <w:tcPr>
            <w:tcW w:w="7620" w:type="dxa"/>
            <w:tcBorders>
              <w:top w:val="nil"/>
              <w:left w:val="single" w:sz="4" w:space="0" w:color="auto"/>
              <w:bottom w:val="single" w:sz="4" w:space="0" w:color="auto"/>
              <w:right w:val="single" w:sz="4" w:space="0" w:color="auto"/>
            </w:tcBorders>
            <w:shd w:val="clear" w:color="auto" w:fill="auto"/>
            <w:vAlign w:val="center"/>
          </w:tcPr>
          <w:p w14:paraId="446D0040"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 Kvalifikovaná účasť mimo finančného sektora, ktorá presahuje 15 % vlastných zdrojov</w:t>
            </w:r>
          </w:p>
          <w:p w14:paraId="24AF7596"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szCs w:val="22"/>
              </w:rPr>
              <w:t>článok 10 ods. 1 písm. a) nariadenia (EÚ) 2019/2033</w:t>
            </w:r>
          </w:p>
        </w:tc>
      </w:tr>
      <w:tr w:rsidR="00DB382A" w:rsidRPr="00970EC6" w14:paraId="45B4A393" w14:textId="77777777">
        <w:tc>
          <w:tcPr>
            <w:tcW w:w="1129" w:type="dxa"/>
            <w:vAlign w:val="center"/>
          </w:tcPr>
          <w:p w14:paraId="55BC245F"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color w:val="000000"/>
                <w:szCs w:val="22"/>
              </w:rPr>
              <w:t>20</w:t>
            </w:r>
          </w:p>
        </w:tc>
        <w:tc>
          <w:tcPr>
            <w:tcW w:w="7620" w:type="dxa"/>
            <w:tcBorders>
              <w:top w:val="nil"/>
              <w:left w:val="single" w:sz="4" w:space="0" w:color="auto"/>
              <w:bottom w:val="single" w:sz="4" w:space="0" w:color="auto"/>
              <w:right w:val="single" w:sz="4" w:space="0" w:color="auto"/>
            </w:tcBorders>
            <w:shd w:val="clear" w:color="auto" w:fill="auto"/>
            <w:vAlign w:val="center"/>
          </w:tcPr>
          <w:p w14:paraId="2DCC354B"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 xml:space="preserve">(–) Celkové kvalifikované účasti v iných podnikoch, než sú </w:t>
            </w:r>
            <w:r w:rsidRPr="00970EC6">
              <w:rPr>
                <w:rFonts w:ascii="Times New Roman" w:hAnsi="Times New Roman"/>
                <w:b/>
                <w:bCs/>
                <w:szCs w:val="22"/>
                <w:u w:val="single"/>
              </w:rPr>
              <w:t>subjekty finančného sektora, ktoré presahujú 60 % vlastných zdrojov spoločnosti</w:t>
            </w:r>
          </w:p>
          <w:p w14:paraId="0E253D7D"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Cs/>
                <w:szCs w:val="22"/>
              </w:rPr>
              <w:t>článok 10 ods. 1 písm. b) nariadenia (EÚ) 2019/2033</w:t>
            </w:r>
          </w:p>
        </w:tc>
      </w:tr>
      <w:tr w:rsidR="00DB382A" w:rsidRPr="00970EC6" w14:paraId="02B20B91" w14:textId="77777777">
        <w:tc>
          <w:tcPr>
            <w:tcW w:w="1129" w:type="dxa"/>
            <w:vAlign w:val="center"/>
          </w:tcPr>
          <w:p w14:paraId="3DF41CF6"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color w:val="000000"/>
                <w:szCs w:val="22"/>
              </w:rPr>
              <w:t>21</w:t>
            </w:r>
          </w:p>
        </w:tc>
        <w:tc>
          <w:tcPr>
            <w:tcW w:w="7620" w:type="dxa"/>
            <w:tcBorders>
              <w:top w:val="nil"/>
              <w:left w:val="single" w:sz="4" w:space="0" w:color="auto"/>
              <w:bottom w:val="single" w:sz="4" w:space="0" w:color="auto"/>
              <w:right w:val="single" w:sz="4" w:space="0" w:color="auto"/>
            </w:tcBorders>
            <w:shd w:val="clear" w:color="auto" w:fill="auto"/>
            <w:vAlign w:val="bottom"/>
          </w:tcPr>
          <w:p w14:paraId="5907EC0C"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 Nástroje vlastného kapitálu Tier 1 subjektov finančného sektora, v ktorých inštitúcia nemá významnú investíciu</w:t>
            </w:r>
          </w:p>
          <w:p w14:paraId="1FF76AAB"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szCs w:val="22"/>
              </w:rPr>
              <w:t>článo</w:t>
            </w:r>
            <w:r w:rsidRPr="00970EC6">
              <w:rPr>
                <w:rFonts w:ascii="Times New Roman" w:hAnsi="Times New Roman"/>
                <w:bCs/>
                <w:szCs w:val="22"/>
              </w:rPr>
              <w:t>k 9 ods. 2 písm. c) nariadenia (EÚ) 2019/2033</w:t>
            </w:r>
          </w:p>
          <w:p w14:paraId="71C3E195"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Cs/>
                <w:szCs w:val="22"/>
              </w:rPr>
              <w:lastRenderedPageBreak/>
              <w:t>článok 36 ods. 1 písm. h) nariadenia (EÚ) č. 575/2013</w:t>
            </w:r>
          </w:p>
        </w:tc>
      </w:tr>
      <w:tr w:rsidR="00DB382A" w:rsidRPr="00970EC6" w14:paraId="74DD16E2" w14:textId="77777777">
        <w:tc>
          <w:tcPr>
            <w:tcW w:w="1129" w:type="dxa"/>
            <w:vAlign w:val="center"/>
          </w:tcPr>
          <w:p w14:paraId="037265AA"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color w:val="000000"/>
                <w:szCs w:val="22"/>
              </w:rPr>
              <w:lastRenderedPageBreak/>
              <w:t>22</w:t>
            </w:r>
          </w:p>
        </w:tc>
        <w:tc>
          <w:tcPr>
            <w:tcW w:w="7620" w:type="dxa"/>
            <w:tcBorders>
              <w:top w:val="nil"/>
              <w:left w:val="single" w:sz="4" w:space="0" w:color="auto"/>
              <w:bottom w:val="single" w:sz="4" w:space="0" w:color="auto"/>
              <w:right w:val="single" w:sz="4" w:space="0" w:color="auto"/>
            </w:tcBorders>
            <w:shd w:val="clear" w:color="auto" w:fill="auto"/>
            <w:vAlign w:val="bottom"/>
          </w:tcPr>
          <w:p w14:paraId="56B2CFC6"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 Majetok dôchodkového fondu so stanovenými požitkami</w:t>
            </w:r>
          </w:p>
          <w:p w14:paraId="24D9C56D"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szCs w:val="22"/>
              </w:rPr>
              <w:t>článok 9 ods. 2 písm. b) nariadenia (EÚ) 2019/2033</w:t>
            </w:r>
          </w:p>
          <w:p w14:paraId="51779D5F"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Cs/>
                <w:szCs w:val="22"/>
              </w:rPr>
              <w:t xml:space="preserve">článok 36 ods. 1 písm. e) </w:t>
            </w:r>
            <w:r w:rsidRPr="00970EC6">
              <w:rPr>
                <w:rFonts w:ascii="Times New Roman" w:hAnsi="Times New Roman"/>
                <w:bCs/>
                <w:szCs w:val="22"/>
              </w:rPr>
              <w:t>nariadenia (EÚ) č. 575/2013</w:t>
            </w:r>
          </w:p>
        </w:tc>
      </w:tr>
      <w:tr w:rsidR="00DB382A" w:rsidRPr="00970EC6" w14:paraId="09FF765F" w14:textId="77777777">
        <w:tc>
          <w:tcPr>
            <w:tcW w:w="1129" w:type="dxa"/>
            <w:vAlign w:val="center"/>
          </w:tcPr>
          <w:p w14:paraId="60C3BFFB"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color w:val="000000"/>
                <w:szCs w:val="22"/>
              </w:rPr>
              <w:t>23</w:t>
            </w:r>
          </w:p>
        </w:tc>
        <w:tc>
          <w:tcPr>
            <w:tcW w:w="7620" w:type="dxa"/>
            <w:tcBorders>
              <w:top w:val="nil"/>
              <w:left w:val="single" w:sz="4" w:space="0" w:color="auto"/>
              <w:bottom w:val="single" w:sz="4" w:space="0" w:color="auto"/>
              <w:right w:val="single" w:sz="4" w:space="0" w:color="auto"/>
            </w:tcBorders>
            <w:shd w:val="clear" w:color="auto" w:fill="auto"/>
            <w:vAlign w:val="bottom"/>
          </w:tcPr>
          <w:p w14:paraId="50A8DEF8"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 Ostatné odpočty</w:t>
            </w:r>
          </w:p>
          <w:p w14:paraId="797EA150"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szCs w:val="22"/>
              </w:rPr>
              <w:t>Súčet akýchkoľvek iných odpočtov uvedených v článku 36 ods. 1 nariadenia (EÚ) č. 575/2013.</w:t>
            </w:r>
          </w:p>
        </w:tc>
      </w:tr>
      <w:tr w:rsidR="00DB382A" w:rsidRPr="00970EC6" w14:paraId="6358BFDD" w14:textId="77777777">
        <w:tc>
          <w:tcPr>
            <w:tcW w:w="1129" w:type="dxa"/>
          </w:tcPr>
          <w:p w14:paraId="286CDB2D"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szCs w:val="22"/>
              </w:rPr>
              <w:t>24</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73211DD1"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Vlastný kapitál Tier 1: ostatné kapitálové prvky, odpočty a úpravy</w:t>
            </w:r>
          </w:p>
          <w:p w14:paraId="5881DE46"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szCs w:val="22"/>
              </w:rPr>
              <w:t xml:space="preserve">Tento riadok podľa potreby zahŕňa </w:t>
            </w:r>
            <w:r w:rsidRPr="00970EC6">
              <w:rPr>
                <w:rFonts w:ascii="Times New Roman" w:hAnsi="Times New Roman"/>
                <w:bCs/>
                <w:szCs w:val="22"/>
              </w:rPr>
              <w:t>súčet týchto položiek:</w:t>
            </w:r>
          </w:p>
          <w:p w14:paraId="09390D4F" w14:textId="77777777" w:rsidR="00DB382A" w:rsidRPr="00970EC6" w:rsidRDefault="00970EC6">
            <w:pPr>
              <w:spacing w:after="120"/>
              <w:ind w:left="360" w:hanging="360"/>
              <w:contextualSpacing/>
              <w:jc w:val="both"/>
              <w:rPr>
                <w:rFonts w:ascii="Times New Roman" w:eastAsia="Times New Roman" w:hAnsi="Times New Roman"/>
                <w:bCs/>
              </w:rPr>
            </w:pPr>
            <w:r w:rsidRPr="00970EC6">
              <w:rPr>
                <w:rFonts w:ascii="Times New Roman" w:eastAsia="Times New Roman" w:hAnsi="Times New Roman" w:cs="Times New Roman"/>
                <w:b/>
                <w:bCs/>
                <w:szCs w:val="22"/>
              </w:rPr>
              <w:t>–</w:t>
            </w:r>
            <w:r w:rsidRPr="00970EC6">
              <w:rPr>
                <w:rFonts w:ascii="Times New Roman" w:eastAsia="Times New Roman" w:hAnsi="Times New Roman" w:cs="Times New Roman"/>
                <w:b/>
                <w:bCs/>
                <w:szCs w:val="22"/>
              </w:rPr>
              <w:tab/>
            </w:r>
            <w:r w:rsidRPr="00970EC6">
              <w:rPr>
                <w:rFonts w:ascii="Times New Roman" w:hAnsi="Times New Roman"/>
                <w:bCs/>
              </w:rPr>
              <w:t>prechodné úpravy na základe nástrojov vlastného kapitálu Tier 1, ktoré sa zachovali v predchádzajúcom stave [článok 483 ods. 1, 2 a 3 a články 484 až 487 nariadenia (EÚ) č. 575/2013],</w:t>
            </w:r>
          </w:p>
          <w:p w14:paraId="6CC0360F" w14:textId="77777777" w:rsidR="00DB382A" w:rsidRPr="00970EC6" w:rsidRDefault="00970EC6">
            <w:pPr>
              <w:spacing w:after="120"/>
              <w:ind w:left="360" w:hanging="360"/>
              <w:contextualSpacing/>
              <w:jc w:val="both"/>
              <w:rPr>
                <w:rFonts w:ascii="Times New Roman" w:eastAsia="Times New Roman" w:hAnsi="Times New Roman"/>
                <w:bCs/>
              </w:rPr>
            </w:pPr>
            <w:r w:rsidRPr="00970EC6">
              <w:rPr>
                <w:rFonts w:ascii="Times New Roman" w:eastAsia="Times New Roman" w:hAnsi="Times New Roman" w:cs="Times New Roman"/>
                <w:b/>
                <w:bCs/>
                <w:szCs w:val="22"/>
              </w:rPr>
              <w:t>–</w:t>
            </w:r>
            <w:r w:rsidRPr="00970EC6">
              <w:rPr>
                <w:rFonts w:ascii="Times New Roman" w:eastAsia="Times New Roman" w:hAnsi="Times New Roman" w:cs="Times New Roman"/>
                <w:b/>
                <w:bCs/>
                <w:szCs w:val="22"/>
              </w:rPr>
              <w:tab/>
            </w:r>
            <w:r w:rsidRPr="00970EC6">
              <w:rPr>
                <w:rFonts w:ascii="Times New Roman" w:hAnsi="Times New Roman"/>
                <w:bCs/>
              </w:rPr>
              <w:t xml:space="preserve">ostatné prechodné úpravy vlastného </w:t>
            </w:r>
            <w:r w:rsidRPr="00970EC6">
              <w:rPr>
                <w:rFonts w:ascii="Times New Roman" w:hAnsi="Times New Roman"/>
                <w:bCs/>
              </w:rPr>
              <w:t>kapitálu Tier 1 [články 469 až 478 a článok 481 nariadenia (EÚ) č. 575/2013]: úpravy odpočtov od vlastného kapitálu Tier 1 na základe prechodných ustanovení,</w:t>
            </w:r>
          </w:p>
          <w:p w14:paraId="24E6DDA7" w14:textId="77777777" w:rsidR="00DB382A" w:rsidRPr="00970EC6" w:rsidRDefault="00970EC6">
            <w:pPr>
              <w:spacing w:after="120"/>
              <w:ind w:left="360" w:hanging="360"/>
              <w:contextualSpacing/>
              <w:jc w:val="both"/>
              <w:rPr>
                <w:rFonts w:ascii="Times New Roman" w:eastAsia="Times New Roman" w:hAnsi="Times New Roman"/>
                <w:b/>
                <w:bCs/>
                <w:u w:val="single"/>
              </w:rPr>
            </w:pPr>
            <w:r w:rsidRPr="00970EC6">
              <w:rPr>
                <w:rFonts w:ascii="Times New Roman" w:eastAsia="Times New Roman" w:hAnsi="Times New Roman" w:cs="Times New Roman"/>
                <w:b/>
                <w:bCs/>
                <w:szCs w:val="22"/>
              </w:rPr>
              <w:t>–</w:t>
            </w:r>
            <w:r w:rsidRPr="00970EC6">
              <w:rPr>
                <w:rFonts w:ascii="Times New Roman" w:eastAsia="Times New Roman" w:hAnsi="Times New Roman" w:cs="Times New Roman"/>
                <w:b/>
                <w:bCs/>
                <w:szCs w:val="22"/>
              </w:rPr>
              <w:tab/>
            </w:r>
            <w:r w:rsidRPr="00970EC6">
              <w:rPr>
                <w:rFonts w:ascii="Times New Roman" w:hAnsi="Times New Roman"/>
                <w:bCs/>
              </w:rPr>
              <w:t xml:space="preserve">ostatné prvky vlastného kapitálu Tier 1 alebo odpočty od prvku vlastného kapitálu Tier 1, ktoré </w:t>
            </w:r>
            <w:r w:rsidRPr="00970EC6">
              <w:rPr>
                <w:rFonts w:ascii="Times New Roman" w:hAnsi="Times New Roman"/>
                <w:bCs/>
              </w:rPr>
              <w:t>nemožno priradiť k žiadnemu z riadkov 4 až 23.</w:t>
            </w:r>
          </w:p>
          <w:p w14:paraId="47D2216A"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Cs/>
                <w:szCs w:val="22"/>
              </w:rPr>
              <w:t>Tento riadok sa nepoužíva na zahrnutie kapitálových položiek alebo odpočtov, na ktoré sa nevzťahuje nariadenie (EÚ) 2019/2033 ani nariadenie (EÚ) č. 575/2013, do výpočtu ukazovateľov platobnej schopnosti.</w:t>
            </w:r>
          </w:p>
        </w:tc>
      </w:tr>
      <w:tr w:rsidR="00DB382A" w:rsidRPr="00970EC6" w14:paraId="015FBF61" w14:textId="77777777">
        <w:tc>
          <w:tcPr>
            <w:tcW w:w="1129" w:type="dxa"/>
          </w:tcPr>
          <w:p w14:paraId="5EC571C0"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szCs w:val="22"/>
              </w:rPr>
              <w:t>25</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57A9C53D"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DODATOČNÝ KAPITÁL TIER 1</w:t>
            </w:r>
          </w:p>
          <w:p w14:paraId="2700A3FB"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szCs w:val="22"/>
              </w:rPr>
              <w:t>článok 9 ods. 1 nariadenia (EÚ) 2019/2033</w:t>
            </w:r>
          </w:p>
          <w:p w14:paraId="5E9FA076" w14:textId="77777777" w:rsidR="00DB382A" w:rsidRPr="00970EC6" w:rsidRDefault="00970EC6">
            <w:pPr>
              <w:spacing w:after="120"/>
              <w:jc w:val="both"/>
              <w:rPr>
                <w:rFonts w:ascii="Times New Roman" w:hAnsi="Times New Roman" w:cs="Times New Roman"/>
                <w:szCs w:val="22"/>
              </w:rPr>
            </w:pPr>
            <w:r w:rsidRPr="00970EC6">
              <w:rPr>
                <w:rFonts w:ascii="Times New Roman" w:hAnsi="Times New Roman"/>
                <w:szCs w:val="22"/>
              </w:rPr>
              <w:t>článok 61 nariadenia (EÚ) č. 575/2013</w:t>
            </w:r>
          </w:p>
          <w:p w14:paraId="2CDBA543"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Cs/>
                <w:szCs w:val="22"/>
              </w:rPr>
              <w:t>Zverejňuje sa celkový súčet riadkov 26 až 28 a riadku 32.</w:t>
            </w:r>
          </w:p>
        </w:tc>
      </w:tr>
      <w:tr w:rsidR="00DB382A" w:rsidRPr="00970EC6" w14:paraId="244FBBD1" w14:textId="77777777">
        <w:tc>
          <w:tcPr>
            <w:tcW w:w="1129" w:type="dxa"/>
          </w:tcPr>
          <w:p w14:paraId="513D9D04"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szCs w:val="22"/>
              </w:rPr>
              <w:t>26</w:t>
            </w:r>
          </w:p>
        </w:tc>
        <w:tc>
          <w:tcPr>
            <w:tcW w:w="7620" w:type="dxa"/>
            <w:tcBorders>
              <w:top w:val="nil"/>
              <w:left w:val="single" w:sz="4" w:space="0" w:color="auto"/>
              <w:bottom w:val="single" w:sz="4" w:space="0" w:color="auto"/>
              <w:right w:val="single" w:sz="4" w:space="0" w:color="auto"/>
            </w:tcBorders>
            <w:shd w:val="clear" w:color="auto" w:fill="auto"/>
            <w:vAlign w:val="bottom"/>
          </w:tcPr>
          <w:p w14:paraId="43BD85CF"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Splatené kapitálové nástroje</w:t>
            </w:r>
          </w:p>
          <w:p w14:paraId="58C335F5"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szCs w:val="22"/>
              </w:rPr>
              <w:t>článok 9 ods. 1 bod i) nariadenia (EÚ) 2019/2033</w:t>
            </w:r>
          </w:p>
          <w:p w14:paraId="53F9D716" w14:textId="77777777" w:rsidR="00DB382A" w:rsidRPr="00970EC6" w:rsidRDefault="00970EC6">
            <w:pPr>
              <w:pStyle w:val="InstructionsText"/>
              <w:rPr>
                <w:rStyle w:val="FormatvorlageInstructionsTabelleText"/>
                <w:rFonts w:ascii="Times New Roman" w:hAnsi="Times New Roman"/>
                <w:sz w:val="22"/>
              </w:rPr>
            </w:pPr>
            <w:r w:rsidRPr="00970EC6">
              <w:rPr>
                <w:rStyle w:val="FormatvorlageInstructionsTabelleText"/>
                <w:rFonts w:ascii="Times New Roman" w:hAnsi="Times New Roman"/>
                <w:sz w:val="22"/>
              </w:rPr>
              <w:t>článok 51 písm. a) a články 52, 53 a 54 nariadenia (EÚ) č. 575/2013</w:t>
            </w:r>
          </w:p>
          <w:p w14:paraId="32BD5417"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Style w:val="FormatvorlageInstructionsTabelleText"/>
                <w:rFonts w:ascii="Times New Roman" w:hAnsi="Times New Roman"/>
                <w:sz w:val="22"/>
                <w:szCs w:val="22"/>
              </w:rPr>
              <w:t>Zverejňovaná suma nezahŕňa emisné ážio súvisiace s nástrojmi.</w:t>
            </w:r>
          </w:p>
        </w:tc>
      </w:tr>
      <w:tr w:rsidR="00DB382A" w:rsidRPr="00970EC6" w14:paraId="5013F46C" w14:textId="77777777">
        <w:tc>
          <w:tcPr>
            <w:tcW w:w="1129" w:type="dxa"/>
          </w:tcPr>
          <w:p w14:paraId="21E50304"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szCs w:val="22"/>
              </w:rPr>
              <w:t>27</w:t>
            </w:r>
          </w:p>
        </w:tc>
        <w:tc>
          <w:tcPr>
            <w:tcW w:w="7620" w:type="dxa"/>
            <w:tcBorders>
              <w:top w:val="nil"/>
              <w:left w:val="single" w:sz="4" w:space="0" w:color="auto"/>
              <w:bottom w:val="single" w:sz="4" w:space="0" w:color="auto"/>
              <w:right w:val="single" w:sz="4" w:space="0" w:color="auto"/>
            </w:tcBorders>
            <w:shd w:val="clear" w:color="auto" w:fill="auto"/>
            <w:vAlign w:val="bottom"/>
          </w:tcPr>
          <w:p w14:paraId="69B16BDE"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Emisné ážio</w:t>
            </w:r>
          </w:p>
          <w:p w14:paraId="5684256C"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szCs w:val="22"/>
              </w:rPr>
              <w:t>článok 9 ods. 1 bod i) nariadenia (EÚ) 2019/2033</w:t>
            </w:r>
          </w:p>
          <w:p w14:paraId="269C9127" w14:textId="77777777" w:rsidR="00DB382A" w:rsidRPr="00970EC6" w:rsidRDefault="00970EC6">
            <w:pPr>
              <w:pStyle w:val="InstructionsText"/>
              <w:rPr>
                <w:rStyle w:val="FormatvorlageInstructionsTabelleText"/>
                <w:rFonts w:ascii="Times New Roman" w:hAnsi="Times New Roman"/>
                <w:sz w:val="22"/>
              </w:rPr>
            </w:pPr>
            <w:r w:rsidRPr="00970EC6">
              <w:rPr>
                <w:rStyle w:val="FormatvorlageInstructionsTabelleText"/>
                <w:rFonts w:ascii="Times New Roman" w:hAnsi="Times New Roman"/>
                <w:sz w:val="22"/>
              </w:rPr>
              <w:t>článok 51 písm. b) nariadenia (EÚ) č. 575/2013</w:t>
            </w:r>
          </w:p>
          <w:p w14:paraId="5F7954BD" w14:textId="77777777" w:rsidR="00DB382A" w:rsidRPr="00970EC6" w:rsidRDefault="00970EC6">
            <w:pPr>
              <w:pStyle w:val="InstructionsText"/>
              <w:rPr>
                <w:rStyle w:val="FormatvorlageInstructionsTabelleText"/>
                <w:rFonts w:ascii="Times New Roman" w:hAnsi="Times New Roman"/>
                <w:sz w:val="22"/>
              </w:rPr>
            </w:pPr>
            <w:r w:rsidRPr="00970EC6">
              <w:rPr>
                <w:rStyle w:val="FormatvorlageInstructionsTabelleText"/>
                <w:rFonts w:ascii="Times New Roman" w:hAnsi="Times New Roman"/>
                <w:sz w:val="22"/>
              </w:rPr>
              <w:t xml:space="preserve">Emisné </w:t>
            </w:r>
            <w:r w:rsidRPr="00970EC6">
              <w:rPr>
                <w:rStyle w:val="FormatvorlageInstructionsTabelleText"/>
                <w:rFonts w:ascii="Times New Roman" w:hAnsi="Times New Roman"/>
                <w:sz w:val="22"/>
              </w:rPr>
              <w:t>ážio má ten istý význam ako v uplatniteľnom účtovnom štandarde.</w:t>
            </w:r>
          </w:p>
          <w:p w14:paraId="4CB4D31E"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Style w:val="FormatvorlageInstructionsTabelleText"/>
                <w:rFonts w:ascii="Times New Roman" w:hAnsi="Times New Roman"/>
                <w:sz w:val="22"/>
                <w:szCs w:val="22"/>
              </w:rPr>
              <w:t>Suma zverejňovaná v tejto položke je časť súvisiaca so „splatenými kapitálovými nástrojmi“.</w:t>
            </w:r>
          </w:p>
        </w:tc>
      </w:tr>
      <w:tr w:rsidR="00DB382A" w:rsidRPr="00970EC6" w14:paraId="4AD5EBFA" w14:textId="77777777">
        <w:tc>
          <w:tcPr>
            <w:tcW w:w="1129" w:type="dxa"/>
          </w:tcPr>
          <w:p w14:paraId="2894BADD"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szCs w:val="22"/>
              </w:rPr>
              <w:t>28</w:t>
            </w:r>
          </w:p>
        </w:tc>
        <w:tc>
          <w:tcPr>
            <w:tcW w:w="7620" w:type="dxa"/>
            <w:tcBorders>
              <w:top w:val="nil"/>
              <w:left w:val="single" w:sz="4" w:space="0" w:color="auto"/>
              <w:bottom w:val="single" w:sz="4" w:space="0" w:color="auto"/>
              <w:right w:val="single" w:sz="4" w:space="0" w:color="auto"/>
            </w:tcBorders>
            <w:shd w:val="clear" w:color="auto" w:fill="auto"/>
            <w:vAlign w:val="bottom"/>
          </w:tcPr>
          <w:p w14:paraId="6CD16BC7"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 CELKOVÉ ODPOČTY OD DODATOČNÉHO KAPITÁLU TIER 1</w:t>
            </w:r>
          </w:p>
          <w:p w14:paraId="392093AD" w14:textId="77777777" w:rsidR="00DB382A" w:rsidRPr="00970EC6" w:rsidRDefault="00970EC6">
            <w:pPr>
              <w:spacing w:before="60" w:after="60"/>
              <w:rPr>
                <w:rFonts w:ascii="Times New Roman" w:hAnsi="Times New Roman" w:cs="Times New Roman"/>
                <w:szCs w:val="22"/>
              </w:rPr>
            </w:pPr>
            <w:r w:rsidRPr="00970EC6">
              <w:rPr>
                <w:rFonts w:ascii="Times New Roman" w:hAnsi="Times New Roman"/>
                <w:szCs w:val="22"/>
              </w:rPr>
              <w:t xml:space="preserve">článok 56 nariadenia (EÚ) </w:t>
            </w:r>
            <w:r w:rsidRPr="00970EC6">
              <w:rPr>
                <w:rFonts w:ascii="Times New Roman" w:hAnsi="Times New Roman"/>
                <w:szCs w:val="22"/>
              </w:rPr>
              <w:t>č. 575/2013</w:t>
            </w:r>
          </w:p>
          <w:p w14:paraId="31CE1A5B"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szCs w:val="22"/>
              </w:rPr>
              <w:t>Zverejňuje sa celkový súčet riadkov 29 až 31.</w:t>
            </w:r>
          </w:p>
        </w:tc>
      </w:tr>
      <w:tr w:rsidR="00DB382A" w:rsidRPr="00970EC6" w14:paraId="389AC833" w14:textId="77777777">
        <w:tc>
          <w:tcPr>
            <w:tcW w:w="1129" w:type="dxa"/>
          </w:tcPr>
          <w:p w14:paraId="0BCAA446"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szCs w:val="22"/>
              </w:rPr>
              <w:t>29</w:t>
            </w:r>
          </w:p>
        </w:tc>
        <w:tc>
          <w:tcPr>
            <w:tcW w:w="7620" w:type="dxa"/>
            <w:tcBorders>
              <w:top w:val="nil"/>
              <w:left w:val="single" w:sz="4" w:space="0" w:color="auto"/>
              <w:bottom w:val="single" w:sz="4" w:space="0" w:color="auto"/>
              <w:right w:val="single" w:sz="4" w:space="0" w:color="auto"/>
            </w:tcBorders>
            <w:shd w:val="clear" w:color="auto" w:fill="auto"/>
            <w:vAlign w:val="bottom"/>
          </w:tcPr>
          <w:p w14:paraId="780CCBB9"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 Nástroje vlastného dodatočného kapitálu Tier 1</w:t>
            </w:r>
          </w:p>
          <w:p w14:paraId="1DF05E30"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szCs w:val="22"/>
              </w:rPr>
              <w:t>článok 9 ods. 1 bod i) nariadenia (EÚ) 2019/2033</w:t>
            </w:r>
          </w:p>
          <w:p w14:paraId="295A1328" w14:textId="77777777" w:rsidR="00DB382A" w:rsidRPr="00970EC6" w:rsidRDefault="00970EC6">
            <w:pPr>
              <w:pStyle w:val="InstructionsText"/>
              <w:rPr>
                <w:rStyle w:val="FormatvorlageInstructionsTabelleText"/>
                <w:rFonts w:ascii="Times New Roman" w:eastAsiaTheme="minorHAnsi" w:hAnsi="Times New Roman"/>
                <w:bCs/>
                <w:sz w:val="22"/>
              </w:rPr>
            </w:pPr>
            <w:r w:rsidRPr="00970EC6">
              <w:rPr>
                <w:rStyle w:val="FormatvorlageInstructionsTabelleText"/>
                <w:rFonts w:ascii="Times New Roman" w:hAnsi="Times New Roman"/>
                <w:sz w:val="22"/>
              </w:rPr>
              <w:t>článok 52 ods. 1 písm. b), článok 56 písm. a) a článok 57 nariadenia (EÚ) č. 575/2013</w:t>
            </w:r>
          </w:p>
          <w:p w14:paraId="7F9DB673" w14:textId="77777777" w:rsidR="00DB382A" w:rsidRPr="00970EC6" w:rsidRDefault="00970EC6">
            <w:pPr>
              <w:pStyle w:val="InstructionsText"/>
              <w:rPr>
                <w:rStyle w:val="FormatvorlageInstructionsTabelleText"/>
                <w:rFonts w:ascii="Times New Roman" w:hAnsi="Times New Roman"/>
                <w:sz w:val="22"/>
              </w:rPr>
            </w:pPr>
            <w:r w:rsidRPr="00970EC6">
              <w:rPr>
                <w:rStyle w:val="FormatvorlageInstructionsTabelleText"/>
                <w:rFonts w:ascii="Times New Roman" w:hAnsi="Times New Roman"/>
                <w:sz w:val="22"/>
              </w:rPr>
              <w:lastRenderedPageBreak/>
              <w:t>Nástroje</w:t>
            </w:r>
            <w:r w:rsidRPr="00970EC6">
              <w:rPr>
                <w:rStyle w:val="FormatvorlageInstructionsTabelleText"/>
                <w:rFonts w:ascii="Times New Roman" w:hAnsi="Times New Roman"/>
                <w:sz w:val="22"/>
              </w:rPr>
              <w:t xml:space="preserve"> vlastného dodatočného kapitálu Tier 1, ktoré investičná spoločnosť drží k dátumu vykazovania. S výhradou výnimiek v článku 57 nariadenia (EÚ) č. 575/2013.</w:t>
            </w:r>
          </w:p>
          <w:p w14:paraId="606D6092" w14:textId="77777777" w:rsidR="00DB382A" w:rsidRPr="00970EC6" w:rsidRDefault="00970EC6">
            <w:pPr>
              <w:pStyle w:val="InstructionsText"/>
              <w:rPr>
                <w:rStyle w:val="FormatvorlageInstructionsTabelleText"/>
                <w:rFonts w:ascii="Times New Roman" w:hAnsi="Times New Roman"/>
                <w:sz w:val="22"/>
              </w:rPr>
            </w:pPr>
            <w:r w:rsidRPr="00970EC6">
              <w:rPr>
                <w:rStyle w:val="FormatvorlageInstructionsTabelleText"/>
                <w:rFonts w:ascii="Times New Roman" w:hAnsi="Times New Roman"/>
                <w:sz w:val="22"/>
              </w:rPr>
              <w:t>Zverejňovaná suma zahŕňa emisné ážio súvisiace s vlastnými akciami.</w:t>
            </w:r>
          </w:p>
          <w:p w14:paraId="5F1EB88C" w14:textId="77777777" w:rsidR="00DB382A" w:rsidRPr="00970EC6" w:rsidRDefault="00DB382A">
            <w:pPr>
              <w:pStyle w:val="InstructionsText"/>
            </w:pPr>
          </w:p>
        </w:tc>
      </w:tr>
      <w:tr w:rsidR="00DB382A" w:rsidRPr="00970EC6" w14:paraId="7AA53561" w14:textId="77777777">
        <w:tc>
          <w:tcPr>
            <w:tcW w:w="1129" w:type="dxa"/>
          </w:tcPr>
          <w:p w14:paraId="24FF113D"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szCs w:val="22"/>
              </w:rPr>
              <w:lastRenderedPageBreak/>
              <w:t>30</w:t>
            </w:r>
          </w:p>
        </w:tc>
        <w:tc>
          <w:tcPr>
            <w:tcW w:w="7620" w:type="dxa"/>
            <w:tcBorders>
              <w:top w:val="nil"/>
              <w:left w:val="single" w:sz="4" w:space="0" w:color="auto"/>
              <w:bottom w:val="single" w:sz="4" w:space="0" w:color="auto"/>
              <w:right w:val="single" w:sz="4" w:space="0" w:color="auto"/>
            </w:tcBorders>
            <w:shd w:val="clear" w:color="auto" w:fill="auto"/>
            <w:vAlign w:val="bottom"/>
          </w:tcPr>
          <w:p w14:paraId="68451A4A"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 Nástroje dodatočného ka</w:t>
            </w:r>
            <w:r w:rsidRPr="00970EC6">
              <w:rPr>
                <w:rFonts w:ascii="Times New Roman" w:hAnsi="Times New Roman"/>
                <w:b/>
                <w:bCs/>
                <w:szCs w:val="22"/>
                <w:u w:val="single"/>
              </w:rPr>
              <w:t>pitálu Tier 1 subjektov finančného sektora, v ktorých inštitúcia nemá významnú investíciu</w:t>
            </w:r>
          </w:p>
          <w:p w14:paraId="3E0E6D83"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szCs w:val="22"/>
              </w:rPr>
              <w:t>článok 9 ods. 2 písm. c) nariadenia (EÚ) 2019/2033</w:t>
            </w:r>
          </w:p>
          <w:p w14:paraId="4A8C1241"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Cs/>
                <w:szCs w:val="22"/>
              </w:rPr>
              <w:t>článok 56 písm. c) nariadenia (EÚ) č. 575/2013</w:t>
            </w:r>
          </w:p>
        </w:tc>
      </w:tr>
      <w:tr w:rsidR="00DB382A" w:rsidRPr="00970EC6" w14:paraId="5D3A128D" w14:textId="77777777">
        <w:tc>
          <w:tcPr>
            <w:tcW w:w="1129" w:type="dxa"/>
          </w:tcPr>
          <w:p w14:paraId="2EFDCE6A"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szCs w:val="22"/>
              </w:rPr>
              <w:t>31</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59E47BDE"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 Ostatné odpočty</w:t>
            </w:r>
          </w:p>
          <w:p w14:paraId="2D70D8CE"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Cs/>
                <w:szCs w:val="22"/>
              </w:rPr>
              <w:t xml:space="preserve">Súčet všetkých ostatných odpočtov </w:t>
            </w:r>
            <w:r w:rsidRPr="00970EC6">
              <w:rPr>
                <w:rFonts w:ascii="Times New Roman" w:hAnsi="Times New Roman"/>
                <w:bCs/>
                <w:szCs w:val="22"/>
              </w:rPr>
              <w:t>v súlade s článkom 56 nariadenia (EÚ) č. 575/2013 s výnimkou odpočtov v súlade s článkom 56 písm. d) nariadenia (EÚ) č. 575/2013, ktoré nie sú zahrnuté v žiadnom z uvedených riadkov 0340 alebo 0380.</w:t>
            </w:r>
          </w:p>
        </w:tc>
      </w:tr>
      <w:tr w:rsidR="00DB382A" w:rsidRPr="00970EC6" w14:paraId="0F7C79C7" w14:textId="77777777">
        <w:tc>
          <w:tcPr>
            <w:tcW w:w="1129" w:type="dxa"/>
          </w:tcPr>
          <w:p w14:paraId="17E6A283"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szCs w:val="22"/>
              </w:rPr>
              <w:t>32</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05F535AA"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 xml:space="preserve">Dodatočný kapitál Tier 1: ostatné </w:t>
            </w:r>
            <w:r w:rsidRPr="00970EC6">
              <w:rPr>
                <w:rFonts w:ascii="Times New Roman" w:hAnsi="Times New Roman"/>
                <w:b/>
                <w:bCs/>
                <w:szCs w:val="22"/>
                <w:u w:val="single"/>
              </w:rPr>
              <w:t>kapitálové prvky, odpočty a úpravy</w:t>
            </w:r>
          </w:p>
          <w:p w14:paraId="2B186578"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szCs w:val="22"/>
              </w:rPr>
              <w:t>Tento riadok podľa potreby zahŕňa súčet týchto položiek:</w:t>
            </w:r>
          </w:p>
          <w:p w14:paraId="61F97499" w14:textId="77777777" w:rsidR="00DB382A" w:rsidRPr="00970EC6" w:rsidRDefault="00970EC6">
            <w:pPr>
              <w:spacing w:after="120"/>
              <w:ind w:left="360" w:hanging="360"/>
              <w:contextualSpacing/>
              <w:jc w:val="both"/>
              <w:rPr>
                <w:rFonts w:ascii="Times New Roman" w:eastAsia="Times New Roman" w:hAnsi="Times New Roman"/>
                <w:bCs/>
              </w:rPr>
            </w:pPr>
            <w:r w:rsidRPr="00970EC6">
              <w:rPr>
                <w:rFonts w:ascii="Times New Roman" w:eastAsia="Times New Roman" w:hAnsi="Times New Roman" w:cs="Times New Roman"/>
                <w:b/>
                <w:bCs/>
                <w:szCs w:val="22"/>
              </w:rPr>
              <w:t>–</w:t>
            </w:r>
            <w:r w:rsidRPr="00970EC6">
              <w:rPr>
                <w:rFonts w:ascii="Times New Roman" w:eastAsia="Times New Roman" w:hAnsi="Times New Roman" w:cs="Times New Roman"/>
                <w:b/>
                <w:bCs/>
                <w:szCs w:val="22"/>
              </w:rPr>
              <w:tab/>
            </w:r>
            <w:r w:rsidRPr="00970EC6">
              <w:rPr>
                <w:rFonts w:ascii="Times New Roman" w:hAnsi="Times New Roman"/>
                <w:bCs/>
              </w:rPr>
              <w:t>prechodné úpravy na základe nástrojov dodatočného kapitálu Tier 1, ktoré sa zachovali v predchádzajúcom stave [článok 483 ods. 4 a 5, články 484 až 487 a články 4</w:t>
            </w:r>
            <w:r w:rsidRPr="00970EC6">
              <w:rPr>
                <w:rFonts w:ascii="Times New Roman" w:hAnsi="Times New Roman"/>
                <w:bCs/>
              </w:rPr>
              <w:t>89 a 491 nariadenia (EÚ) č. 575/2013],</w:t>
            </w:r>
          </w:p>
          <w:p w14:paraId="39FB00C7" w14:textId="77777777" w:rsidR="00DB382A" w:rsidRPr="00970EC6" w:rsidRDefault="00970EC6">
            <w:pPr>
              <w:spacing w:after="120"/>
              <w:ind w:left="360" w:hanging="360"/>
              <w:contextualSpacing/>
              <w:jc w:val="both"/>
              <w:rPr>
                <w:rFonts w:ascii="Times New Roman" w:eastAsia="Times New Roman" w:hAnsi="Times New Roman"/>
                <w:bCs/>
              </w:rPr>
            </w:pPr>
            <w:r w:rsidRPr="00970EC6">
              <w:rPr>
                <w:rFonts w:ascii="Times New Roman" w:eastAsia="Times New Roman" w:hAnsi="Times New Roman" w:cs="Times New Roman"/>
                <w:b/>
                <w:bCs/>
                <w:szCs w:val="22"/>
              </w:rPr>
              <w:t>–</w:t>
            </w:r>
            <w:r w:rsidRPr="00970EC6">
              <w:rPr>
                <w:rFonts w:ascii="Times New Roman" w:eastAsia="Times New Roman" w:hAnsi="Times New Roman" w:cs="Times New Roman"/>
                <w:b/>
                <w:bCs/>
                <w:szCs w:val="22"/>
              </w:rPr>
              <w:tab/>
            </w:r>
            <w:r w:rsidRPr="00970EC6">
              <w:rPr>
                <w:rFonts w:ascii="Times New Roman" w:hAnsi="Times New Roman"/>
                <w:bCs/>
              </w:rPr>
              <w:t>iné prechodné úpravy dodatočného kapitálu Tier 1 [články 472, 473a, 474, 475, 478 a 481 nariadenia (EÚ) č. 575/2013]: úpravy odpočtov na základe prechodných ustanovení,</w:t>
            </w:r>
          </w:p>
          <w:p w14:paraId="6D599B0C" w14:textId="77777777" w:rsidR="00DB382A" w:rsidRPr="00970EC6" w:rsidRDefault="00970EC6">
            <w:pPr>
              <w:spacing w:after="120"/>
              <w:ind w:left="360" w:hanging="360"/>
              <w:contextualSpacing/>
              <w:jc w:val="both"/>
              <w:rPr>
                <w:rFonts w:ascii="Times New Roman" w:eastAsia="Times New Roman" w:hAnsi="Times New Roman"/>
                <w:bCs/>
              </w:rPr>
            </w:pPr>
            <w:r w:rsidRPr="00970EC6">
              <w:rPr>
                <w:rFonts w:ascii="Times New Roman" w:eastAsia="Times New Roman" w:hAnsi="Times New Roman" w:cs="Times New Roman"/>
                <w:b/>
                <w:bCs/>
                <w:szCs w:val="22"/>
              </w:rPr>
              <w:t>–</w:t>
            </w:r>
            <w:r w:rsidRPr="00970EC6">
              <w:rPr>
                <w:rFonts w:ascii="Times New Roman" w:eastAsia="Times New Roman" w:hAnsi="Times New Roman" w:cs="Times New Roman"/>
                <w:b/>
                <w:bCs/>
                <w:szCs w:val="22"/>
              </w:rPr>
              <w:tab/>
            </w:r>
            <w:r w:rsidRPr="00970EC6">
              <w:rPr>
                <w:rFonts w:ascii="Times New Roman" w:hAnsi="Times New Roman"/>
                <w:bCs/>
              </w:rPr>
              <w:t>odpočet od položiek dodatočného kapitálu Tie</w:t>
            </w:r>
            <w:r w:rsidRPr="00970EC6">
              <w:rPr>
                <w:rFonts w:ascii="Times New Roman" w:hAnsi="Times New Roman"/>
                <w:bCs/>
              </w:rPr>
              <w:t xml:space="preserve">r 1 presahujúci dodatočný kapitál Tier 1 a odrátaný od vlastného kapitálu Tier 1 v súlade s článkom 36 ods. 1 písm. j) nariadenia (EÚ) č. 575/2013: dodatočný kapitál Tier 1 nemôže byť záporný, ale je možné, že odpočty od položiek dodatočného kapitálu Tier </w:t>
            </w:r>
            <w:r w:rsidRPr="00970EC6">
              <w:rPr>
                <w:rFonts w:ascii="Times New Roman" w:hAnsi="Times New Roman"/>
                <w:bCs/>
              </w:rPr>
              <w:t>1 prekročia sumu dostupných položiek dodatočného kapitálu Tier 1. Ak k tomu dôjde, táto položka predstavuje sumu potrebnú na zvýšenie sumy vykázanej v riadku 0300 na nulu a rovná sa inverznej hodnote odpočtov od položiek dodatočného kapitálu Tier 1 presahu</w:t>
            </w:r>
            <w:r w:rsidRPr="00970EC6">
              <w:rPr>
                <w:rFonts w:ascii="Times New Roman" w:hAnsi="Times New Roman"/>
                <w:bCs/>
              </w:rPr>
              <w:t>júcich dodatočný kapitál Tier 1 a zahrnutých okrem iných odpočtov v riadku 23,</w:t>
            </w:r>
          </w:p>
          <w:p w14:paraId="219E0383" w14:textId="77777777" w:rsidR="00DB382A" w:rsidRPr="00970EC6" w:rsidRDefault="00970EC6">
            <w:pPr>
              <w:spacing w:after="120"/>
              <w:ind w:left="360" w:hanging="360"/>
              <w:contextualSpacing/>
              <w:jc w:val="both"/>
              <w:rPr>
                <w:rFonts w:ascii="Times New Roman" w:eastAsia="Times New Roman" w:hAnsi="Times New Roman"/>
                <w:bCs/>
              </w:rPr>
            </w:pPr>
            <w:r w:rsidRPr="00970EC6">
              <w:rPr>
                <w:rFonts w:ascii="Times New Roman" w:eastAsia="Times New Roman" w:hAnsi="Times New Roman" w:cs="Times New Roman"/>
                <w:b/>
                <w:bCs/>
                <w:szCs w:val="22"/>
              </w:rPr>
              <w:t>–</w:t>
            </w:r>
            <w:r w:rsidRPr="00970EC6">
              <w:rPr>
                <w:rFonts w:ascii="Times New Roman" w:eastAsia="Times New Roman" w:hAnsi="Times New Roman" w:cs="Times New Roman"/>
                <w:b/>
                <w:bCs/>
                <w:szCs w:val="22"/>
              </w:rPr>
              <w:tab/>
            </w:r>
            <w:r w:rsidRPr="00970EC6">
              <w:rPr>
                <w:rFonts w:ascii="Times New Roman" w:hAnsi="Times New Roman"/>
                <w:bCs/>
              </w:rPr>
              <w:t>ostatné prvky dodatočného kapitálu Tier 1 alebo odpočty od prvku dodatočného kapitálu Tier 1, ktoré nemožno priradiť k žiadnemu z riadkov 26 až 31.</w:t>
            </w:r>
          </w:p>
          <w:p w14:paraId="45F97EA6"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Cs/>
                <w:szCs w:val="22"/>
              </w:rPr>
              <w:t>Tento riadok sa nepoužíva n</w:t>
            </w:r>
            <w:r w:rsidRPr="00970EC6">
              <w:rPr>
                <w:rFonts w:ascii="Times New Roman" w:hAnsi="Times New Roman"/>
                <w:bCs/>
                <w:szCs w:val="22"/>
              </w:rPr>
              <w:t>a zahrnutie kapitálových položiek alebo odpočtov, na ktoré sa nevzťahuje nariadenie (EÚ) 2019/2033 ani nariadenie (EÚ) č. 575/2013, do výpočtu ukazovateľov platobnej schopnosti.</w:t>
            </w:r>
          </w:p>
        </w:tc>
      </w:tr>
      <w:tr w:rsidR="00DB382A" w:rsidRPr="00970EC6" w14:paraId="086ECEBC" w14:textId="77777777">
        <w:tc>
          <w:tcPr>
            <w:tcW w:w="1129" w:type="dxa"/>
          </w:tcPr>
          <w:p w14:paraId="3558881B"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szCs w:val="22"/>
              </w:rPr>
              <w:t>33</w:t>
            </w:r>
          </w:p>
        </w:tc>
        <w:tc>
          <w:tcPr>
            <w:tcW w:w="7620" w:type="dxa"/>
            <w:tcBorders>
              <w:top w:val="single" w:sz="8" w:space="0" w:color="auto"/>
              <w:left w:val="single" w:sz="4" w:space="0" w:color="auto"/>
              <w:bottom w:val="single" w:sz="4" w:space="0" w:color="auto"/>
              <w:right w:val="single" w:sz="4" w:space="0" w:color="auto"/>
            </w:tcBorders>
            <w:shd w:val="clear" w:color="auto" w:fill="auto"/>
            <w:vAlign w:val="bottom"/>
          </w:tcPr>
          <w:p w14:paraId="206A5238"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KAPITÁL TIER 2</w:t>
            </w:r>
          </w:p>
          <w:p w14:paraId="29E10317"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szCs w:val="22"/>
              </w:rPr>
              <w:t>článok 9 ods. 1 nariadenia (EÚ) 2019/2033</w:t>
            </w:r>
          </w:p>
          <w:p w14:paraId="38404D8A" w14:textId="77777777" w:rsidR="00DB382A" w:rsidRPr="00970EC6" w:rsidRDefault="00970EC6">
            <w:pPr>
              <w:spacing w:after="120"/>
              <w:jc w:val="both"/>
              <w:rPr>
                <w:rStyle w:val="FormatvorlageInstructionsTabelleText"/>
                <w:rFonts w:ascii="Times New Roman" w:hAnsi="Times New Roman"/>
                <w:sz w:val="22"/>
                <w:szCs w:val="22"/>
              </w:rPr>
            </w:pPr>
            <w:r w:rsidRPr="00970EC6">
              <w:rPr>
                <w:rStyle w:val="FormatvorlageInstructionsTabelleText"/>
                <w:rFonts w:ascii="Times New Roman" w:hAnsi="Times New Roman"/>
                <w:sz w:val="22"/>
                <w:szCs w:val="22"/>
              </w:rPr>
              <w:t>článok 71 nariadenia (EÚ) č. 575/2013</w:t>
            </w:r>
          </w:p>
          <w:p w14:paraId="15EB8C37" w14:textId="77777777" w:rsidR="00DB382A" w:rsidRPr="00970EC6" w:rsidRDefault="00970EC6">
            <w:pPr>
              <w:pStyle w:val="CommentText"/>
              <w:rPr>
                <w:sz w:val="22"/>
                <w:szCs w:val="22"/>
              </w:rPr>
            </w:pPr>
            <w:r w:rsidRPr="00970EC6">
              <w:rPr>
                <w:rFonts w:ascii="Times New Roman" w:hAnsi="Times New Roman"/>
                <w:bCs/>
                <w:sz w:val="22"/>
                <w:szCs w:val="22"/>
              </w:rPr>
              <w:t>Zverejňuje sa celkový súčet riadkov 34 až 36 a riadku 39.</w:t>
            </w:r>
          </w:p>
        </w:tc>
      </w:tr>
      <w:tr w:rsidR="00DB382A" w:rsidRPr="00970EC6" w14:paraId="2BBDEB4C" w14:textId="77777777">
        <w:tc>
          <w:tcPr>
            <w:tcW w:w="1129" w:type="dxa"/>
          </w:tcPr>
          <w:p w14:paraId="1DFDB0FB"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szCs w:val="22"/>
              </w:rPr>
              <w:t>34</w:t>
            </w:r>
          </w:p>
        </w:tc>
        <w:tc>
          <w:tcPr>
            <w:tcW w:w="7620" w:type="dxa"/>
            <w:tcBorders>
              <w:top w:val="nil"/>
              <w:left w:val="single" w:sz="4" w:space="0" w:color="auto"/>
              <w:bottom w:val="single" w:sz="4" w:space="0" w:color="auto"/>
              <w:right w:val="single" w:sz="4" w:space="0" w:color="auto"/>
            </w:tcBorders>
            <w:shd w:val="clear" w:color="auto" w:fill="auto"/>
            <w:vAlign w:val="bottom"/>
          </w:tcPr>
          <w:p w14:paraId="287B46E1"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Úplne splatené, priamo emitované kapitálové nástroje</w:t>
            </w:r>
          </w:p>
          <w:p w14:paraId="1C5AFA56"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szCs w:val="22"/>
              </w:rPr>
              <w:t>článok 9 ods. 1 bod i) nariadenia (EÚ) 2019/2033</w:t>
            </w:r>
          </w:p>
          <w:p w14:paraId="69426B7D" w14:textId="77777777" w:rsidR="00DB382A" w:rsidRPr="00970EC6" w:rsidRDefault="00970EC6">
            <w:pPr>
              <w:pStyle w:val="InstructionsText"/>
              <w:rPr>
                <w:rStyle w:val="FormatvorlageInstructionsTabelleText"/>
                <w:rFonts w:ascii="Times New Roman" w:eastAsiaTheme="minorHAnsi" w:hAnsi="Times New Roman"/>
                <w:bCs/>
                <w:sz w:val="22"/>
              </w:rPr>
            </w:pPr>
            <w:r w:rsidRPr="00970EC6">
              <w:rPr>
                <w:rStyle w:val="FormatvorlageInstructionsTabelleText"/>
                <w:rFonts w:ascii="Times New Roman" w:hAnsi="Times New Roman"/>
                <w:sz w:val="22"/>
              </w:rPr>
              <w:t>článok 62 písm. a) a články 63 a 65 nariadenia (EÚ) č.</w:t>
            </w:r>
            <w:r w:rsidRPr="00970EC6">
              <w:rPr>
                <w:rStyle w:val="FormatvorlageInstructionsTabelleText"/>
                <w:rFonts w:ascii="Times New Roman" w:hAnsi="Times New Roman"/>
                <w:sz w:val="22"/>
              </w:rPr>
              <w:t> 575/2013</w:t>
            </w:r>
          </w:p>
          <w:p w14:paraId="342287BB"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Style w:val="FormatvorlageInstructionsTabelleText"/>
                <w:rFonts w:ascii="Times New Roman" w:hAnsi="Times New Roman"/>
                <w:sz w:val="22"/>
                <w:szCs w:val="22"/>
              </w:rPr>
              <w:t>Zverejňovaná suma nezahŕňa emisné ážio súvisiace s nástrojmi.</w:t>
            </w:r>
          </w:p>
        </w:tc>
      </w:tr>
      <w:tr w:rsidR="00DB382A" w:rsidRPr="00970EC6" w14:paraId="23F7FE35" w14:textId="77777777">
        <w:tc>
          <w:tcPr>
            <w:tcW w:w="1129" w:type="dxa"/>
          </w:tcPr>
          <w:p w14:paraId="2FF89EB3"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szCs w:val="22"/>
              </w:rPr>
              <w:t>35</w:t>
            </w:r>
          </w:p>
        </w:tc>
        <w:tc>
          <w:tcPr>
            <w:tcW w:w="7620" w:type="dxa"/>
            <w:tcBorders>
              <w:top w:val="nil"/>
              <w:left w:val="single" w:sz="4" w:space="0" w:color="auto"/>
              <w:bottom w:val="single" w:sz="4" w:space="0" w:color="auto"/>
              <w:right w:val="single" w:sz="4" w:space="0" w:color="auto"/>
            </w:tcBorders>
            <w:shd w:val="clear" w:color="auto" w:fill="auto"/>
            <w:vAlign w:val="bottom"/>
          </w:tcPr>
          <w:p w14:paraId="6FECF591"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Emisné ážio</w:t>
            </w:r>
          </w:p>
          <w:p w14:paraId="7095B2E2"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szCs w:val="22"/>
              </w:rPr>
              <w:t>článok 9 ods. 1 bod i) nariadenia (EÚ) 2019/2033</w:t>
            </w:r>
          </w:p>
          <w:p w14:paraId="39FC8801" w14:textId="77777777" w:rsidR="00DB382A" w:rsidRPr="00970EC6" w:rsidRDefault="00970EC6">
            <w:pPr>
              <w:pStyle w:val="InstructionsText"/>
              <w:rPr>
                <w:rStyle w:val="FormatvorlageInstructionsTabelleText"/>
                <w:rFonts w:ascii="Times New Roman" w:hAnsi="Times New Roman"/>
                <w:sz w:val="22"/>
              </w:rPr>
            </w:pPr>
            <w:r w:rsidRPr="00970EC6">
              <w:rPr>
                <w:rStyle w:val="FormatvorlageInstructionsTabelleText"/>
                <w:rFonts w:ascii="Times New Roman" w:hAnsi="Times New Roman"/>
                <w:sz w:val="22"/>
              </w:rPr>
              <w:lastRenderedPageBreak/>
              <w:t>článok 62 písm. b) a článok 65 nariadenia (EÚ) č. 575/2013</w:t>
            </w:r>
          </w:p>
          <w:p w14:paraId="27FA6A9A" w14:textId="77777777" w:rsidR="00DB382A" w:rsidRPr="00970EC6" w:rsidRDefault="00970EC6">
            <w:pPr>
              <w:pStyle w:val="InstructionsText"/>
              <w:rPr>
                <w:rStyle w:val="FormatvorlageInstructionsTabelleText"/>
                <w:rFonts w:ascii="Times New Roman" w:hAnsi="Times New Roman"/>
                <w:sz w:val="22"/>
              </w:rPr>
            </w:pPr>
            <w:r w:rsidRPr="00970EC6">
              <w:rPr>
                <w:rStyle w:val="FormatvorlageInstructionsTabelleText"/>
                <w:rFonts w:ascii="Times New Roman" w:hAnsi="Times New Roman"/>
                <w:sz w:val="22"/>
              </w:rPr>
              <w:t xml:space="preserve">Emisné ážio má ten istý význam ako </w:t>
            </w:r>
            <w:r w:rsidRPr="00970EC6">
              <w:rPr>
                <w:rStyle w:val="FormatvorlageInstructionsTabelleText"/>
                <w:rFonts w:ascii="Times New Roman" w:hAnsi="Times New Roman"/>
                <w:sz w:val="22"/>
              </w:rPr>
              <w:t>v uplatniteľnom účtovnom štandarde.</w:t>
            </w:r>
          </w:p>
          <w:p w14:paraId="4CD8606C" w14:textId="77777777" w:rsidR="00DB382A" w:rsidRPr="00970EC6" w:rsidRDefault="00970EC6">
            <w:pPr>
              <w:pStyle w:val="InstructionsText"/>
            </w:pPr>
            <w:r w:rsidRPr="00970EC6">
              <w:rPr>
                <w:rStyle w:val="FormatvorlageInstructionsTabelleText"/>
                <w:rFonts w:ascii="Times New Roman" w:hAnsi="Times New Roman"/>
                <w:sz w:val="22"/>
              </w:rPr>
              <w:t>Suma zverejňovaná v tejto položke je časť súvisiaca so „splatenými kapitálovými nástrojmi“.</w:t>
            </w:r>
          </w:p>
        </w:tc>
      </w:tr>
      <w:tr w:rsidR="00DB382A" w:rsidRPr="00970EC6" w14:paraId="7D905A22" w14:textId="77777777">
        <w:tc>
          <w:tcPr>
            <w:tcW w:w="1129" w:type="dxa"/>
          </w:tcPr>
          <w:p w14:paraId="7BDFEB1A"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szCs w:val="22"/>
              </w:rPr>
              <w:lastRenderedPageBreak/>
              <w:t>36</w:t>
            </w:r>
          </w:p>
        </w:tc>
        <w:tc>
          <w:tcPr>
            <w:tcW w:w="7620" w:type="dxa"/>
            <w:tcBorders>
              <w:top w:val="nil"/>
              <w:left w:val="single" w:sz="4" w:space="0" w:color="auto"/>
              <w:bottom w:val="single" w:sz="4" w:space="0" w:color="auto"/>
              <w:right w:val="single" w:sz="4" w:space="0" w:color="auto"/>
            </w:tcBorders>
            <w:shd w:val="clear" w:color="auto" w:fill="auto"/>
            <w:vAlign w:val="bottom"/>
          </w:tcPr>
          <w:p w14:paraId="584B38F5"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 CELKOVÉ ODPOČTY OD KAPITÁLU TIER 2</w:t>
            </w:r>
          </w:p>
          <w:p w14:paraId="58D4FA3A"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szCs w:val="22"/>
              </w:rPr>
              <w:t>článok 66 nariadenia (EÚ) č. 575/2013</w:t>
            </w:r>
          </w:p>
        </w:tc>
      </w:tr>
      <w:tr w:rsidR="00DB382A" w:rsidRPr="00970EC6" w14:paraId="2DE53477" w14:textId="77777777">
        <w:tc>
          <w:tcPr>
            <w:tcW w:w="1129" w:type="dxa"/>
          </w:tcPr>
          <w:p w14:paraId="25DECD1A"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szCs w:val="22"/>
              </w:rPr>
              <w:t>37</w:t>
            </w:r>
          </w:p>
        </w:tc>
        <w:tc>
          <w:tcPr>
            <w:tcW w:w="7620" w:type="dxa"/>
            <w:tcBorders>
              <w:top w:val="nil"/>
              <w:left w:val="single" w:sz="4" w:space="0" w:color="auto"/>
              <w:bottom w:val="single" w:sz="4" w:space="0" w:color="auto"/>
              <w:right w:val="single" w:sz="4" w:space="0" w:color="auto"/>
            </w:tcBorders>
            <w:shd w:val="clear" w:color="auto" w:fill="auto"/>
            <w:vAlign w:val="bottom"/>
          </w:tcPr>
          <w:p w14:paraId="6F6F36EF"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 Nástroje vlastného kapitálu Tier 2</w:t>
            </w:r>
          </w:p>
          <w:p w14:paraId="189B5C86"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szCs w:val="22"/>
              </w:rPr>
              <w:t>člán</w:t>
            </w:r>
            <w:r w:rsidRPr="00970EC6">
              <w:rPr>
                <w:rFonts w:ascii="Times New Roman" w:hAnsi="Times New Roman"/>
                <w:bCs/>
                <w:szCs w:val="22"/>
              </w:rPr>
              <w:t>ok 9 ods. 1 bod i) nariadenia (EÚ) 2019/2033</w:t>
            </w:r>
          </w:p>
          <w:p w14:paraId="1B393129" w14:textId="77777777" w:rsidR="00DB382A" w:rsidRPr="00970EC6" w:rsidRDefault="00970EC6">
            <w:pPr>
              <w:pStyle w:val="InstructionsText"/>
              <w:rPr>
                <w:rStyle w:val="FormatvorlageInstructionsTabelleText"/>
                <w:rFonts w:ascii="Times New Roman" w:hAnsi="Times New Roman"/>
                <w:sz w:val="22"/>
              </w:rPr>
            </w:pPr>
            <w:r w:rsidRPr="00970EC6">
              <w:rPr>
                <w:rStyle w:val="FormatvorlageInstructionsTabelleText"/>
                <w:rFonts w:ascii="Times New Roman" w:hAnsi="Times New Roman"/>
                <w:sz w:val="22"/>
              </w:rPr>
              <w:t>článok 63 písm. b) bod i), článok 66 písm. a) a článok 67 nariadenia (EÚ) č. 575/2013</w:t>
            </w:r>
          </w:p>
          <w:p w14:paraId="7C1FB95F" w14:textId="77777777" w:rsidR="00DB382A" w:rsidRPr="00970EC6" w:rsidRDefault="00970EC6">
            <w:pPr>
              <w:pStyle w:val="InstructionsText"/>
              <w:rPr>
                <w:rStyle w:val="FormatvorlageInstructionsTabelleText"/>
                <w:rFonts w:ascii="Times New Roman" w:hAnsi="Times New Roman"/>
                <w:sz w:val="22"/>
              </w:rPr>
            </w:pPr>
            <w:r w:rsidRPr="00970EC6">
              <w:rPr>
                <w:rStyle w:val="FormatvorlageInstructionsTabelleText"/>
                <w:rFonts w:ascii="Times New Roman" w:hAnsi="Times New Roman"/>
                <w:sz w:val="22"/>
              </w:rPr>
              <w:t xml:space="preserve">Nástroje vlastného kapitálu T2, ktoré vykazujúca inštitúcia alebo skupina drží k dátumu vykazovania. S výhradou </w:t>
            </w:r>
            <w:r w:rsidRPr="00970EC6">
              <w:rPr>
                <w:rStyle w:val="FormatvorlageInstructionsTabelleText"/>
                <w:rFonts w:ascii="Times New Roman" w:hAnsi="Times New Roman"/>
                <w:sz w:val="22"/>
              </w:rPr>
              <w:t>výnimiek v článku 67 nariadenia (EÚ) č. 575/2013.</w:t>
            </w:r>
          </w:p>
          <w:p w14:paraId="68177CA7" w14:textId="77777777" w:rsidR="00DB382A" w:rsidRPr="00970EC6" w:rsidRDefault="00970EC6">
            <w:pPr>
              <w:pStyle w:val="InstructionsText"/>
              <w:rPr>
                <w:rStyle w:val="FormatvorlageInstructionsTabelleText"/>
                <w:rFonts w:ascii="Times New Roman" w:hAnsi="Times New Roman"/>
                <w:sz w:val="22"/>
              </w:rPr>
            </w:pPr>
            <w:r w:rsidRPr="00970EC6">
              <w:rPr>
                <w:rStyle w:val="FormatvorlageInstructionsTabelleText"/>
                <w:rFonts w:ascii="Times New Roman" w:hAnsi="Times New Roman"/>
                <w:sz w:val="22"/>
              </w:rPr>
              <w:t>V tomto riadku sa nezverejňujú podiely na akciách zahrnuté ako „neprípustné kapitálové nástroje“.</w:t>
            </w:r>
          </w:p>
          <w:p w14:paraId="6815F858" w14:textId="77777777" w:rsidR="00DB382A" w:rsidRPr="00970EC6" w:rsidRDefault="00970EC6">
            <w:pPr>
              <w:pStyle w:val="InstructionsText"/>
            </w:pPr>
            <w:r w:rsidRPr="00970EC6">
              <w:rPr>
                <w:rStyle w:val="FormatvorlageInstructionsTabelleText"/>
                <w:rFonts w:ascii="Times New Roman" w:hAnsi="Times New Roman"/>
                <w:sz w:val="22"/>
              </w:rPr>
              <w:t>Zverejňovaná suma zahŕňa emisné ážio súvisiace s vlastnými akciami.</w:t>
            </w:r>
          </w:p>
        </w:tc>
      </w:tr>
      <w:tr w:rsidR="00DB382A" w:rsidRPr="00970EC6" w14:paraId="14795959" w14:textId="77777777">
        <w:tc>
          <w:tcPr>
            <w:tcW w:w="1129" w:type="dxa"/>
          </w:tcPr>
          <w:p w14:paraId="4D1A93AB"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szCs w:val="22"/>
              </w:rPr>
              <w:t>38</w:t>
            </w:r>
          </w:p>
        </w:tc>
        <w:tc>
          <w:tcPr>
            <w:tcW w:w="7620" w:type="dxa"/>
            <w:tcBorders>
              <w:top w:val="nil"/>
              <w:left w:val="single" w:sz="4" w:space="0" w:color="auto"/>
              <w:bottom w:val="single" w:sz="4" w:space="0" w:color="auto"/>
              <w:right w:val="single" w:sz="4" w:space="0" w:color="auto"/>
            </w:tcBorders>
            <w:shd w:val="clear" w:color="auto" w:fill="auto"/>
            <w:vAlign w:val="bottom"/>
          </w:tcPr>
          <w:p w14:paraId="0F9FEA2E"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 Nástroje kapitálu Tier 2 subjekt</w:t>
            </w:r>
            <w:r w:rsidRPr="00970EC6">
              <w:rPr>
                <w:rFonts w:ascii="Times New Roman" w:hAnsi="Times New Roman"/>
                <w:b/>
                <w:bCs/>
                <w:szCs w:val="22"/>
                <w:u w:val="single"/>
              </w:rPr>
              <w:t>ov finančného sektora, v ktorých inštitúcia nemá významnú investíciu</w:t>
            </w:r>
          </w:p>
          <w:p w14:paraId="04E79F23"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szCs w:val="22"/>
              </w:rPr>
              <w:t>článok 9 ods. 2 písm. c) nariadenia (EÚ) 2019/2033</w:t>
            </w:r>
          </w:p>
          <w:p w14:paraId="44D0AC93"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Cs/>
                <w:szCs w:val="22"/>
              </w:rPr>
              <w:t>článok 66 písm. c) nariadenia (EÚ) č. 575/2013</w:t>
            </w:r>
          </w:p>
        </w:tc>
      </w:tr>
      <w:tr w:rsidR="00DB382A" w:rsidRPr="00970EC6" w14:paraId="3242233B" w14:textId="77777777">
        <w:tc>
          <w:tcPr>
            <w:tcW w:w="1129" w:type="dxa"/>
            <w:tcBorders>
              <w:bottom w:val="single" w:sz="4" w:space="0" w:color="auto"/>
            </w:tcBorders>
          </w:tcPr>
          <w:p w14:paraId="0E656BEC"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szCs w:val="22"/>
              </w:rPr>
              <w:t>39</w:t>
            </w:r>
          </w:p>
        </w:tc>
        <w:tc>
          <w:tcPr>
            <w:tcW w:w="7620" w:type="dxa"/>
            <w:tcBorders>
              <w:top w:val="single" w:sz="4" w:space="0" w:color="auto"/>
              <w:left w:val="single" w:sz="4" w:space="0" w:color="auto"/>
              <w:bottom w:val="single" w:sz="4" w:space="0" w:color="auto"/>
              <w:right w:val="single" w:sz="4" w:space="0" w:color="auto"/>
            </w:tcBorders>
            <w:shd w:val="clear" w:color="auto" w:fill="auto"/>
            <w:vAlign w:val="bottom"/>
          </w:tcPr>
          <w:p w14:paraId="63EA063D"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
                <w:bCs/>
                <w:szCs w:val="22"/>
                <w:u w:val="single"/>
              </w:rPr>
              <w:t>Kapitál Tier 2: ostatné kapitálové prvky, odpočty a úpravy</w:t>
            </w:r>
          </w:p>
          <w:p w14:paraId="23FE3345" w14:textId="77777777" w:rsidR="00DB382A" w:rsidRPr="00970EC6" w:rsidRDefault="00970EC6">
            <w:pPr>
              <w:spacing w:after="120"/>
              <w:jc w:val="both"/>
              <w:rPr>
                <w:rFonts w:ascii="Times New Roman" w:eastAsia="Times New Roman" w:hAnsi="Times New Roman" w:cs="Times New Roman"/>
                <w:bCs/>
                <w:szCs w:val="22"/>
              </w:rPr>
            </w:pPr>
            <w:r w:rsidRPr="00970EC6">
              <w:rPr>
                <w:rFonts w:ascii="Times New Roman" w:hAnsi="Times New Roman"/>
                <w:bCs/>
                <w:szCs w:val="22"/>
              </w:rPr>
              <w:t>Tento riadok podľa potreby</w:t>
            </w:r>
            <w:r w:rsidRPr="00970EC6">
              <w:rPr>
                <w:rFonts w:ascii="Times New Roman" w:hAnsi="Times New Roman"/>
                <w:bCs/>
                <w:szCs w:val="22"/>
              </w:rPr>
              <w:t xml:space="preserve"> zahŕňa súčet týchto položiek:</w:t>
            </w:r>
          </w:p>
          <w:p w14:paraId="6A01A120" w14:textId="77777777" w:rsidR="00DB382A" w:rsidRPr="00970EC6" w:rsidRDefault="00970EC6">
            <w:pPr>
              <w:spacing w:after="120"/>
              <w:ind w:left="360" w:hanging="360"/>
              <w:contextualSpacing/>
              <w:jc w:val="both"/>
              <w:rPr>
                <w:rFonts w:ascii="Times New Roman" w:eastAsia="Times New Roman" w:hAnsi="Times New Roman"/>
                <w:bCs/>
              </w:rPr>
            </w:pPr>
            <w:r w:rsidRPr="00970EC6">
              <w:rPr>
                <w:rFonts w:ascii="Times New Roman" w:eastAsia="Times New Roman" w:hAnsi="Times New Roman" w:cs="Times New Roman"/>
                <w:b/>
                <w:bCs/>
                <w:szCs w:val="22"/>
              </w:rPr>
              <w:t>–</w:t>
            </w:r>
            <w:r w:rsidRPr="00970EC6">
              <w:rPr>
                <w:rFonts w:ascii="Times New Roman" w:eastAsia="Times New Roman" w:hAnsi="Times New Roman" w:cs="Times New Roman"/>
                <w:b/>
                <w:bCs/>
                <w:szCs w:val="22"/>
              </w:rPr>
              <w:tab/>
            </w:r>
            <w:r w:rsidRPr="00970EC6">
              <w:rPr>
                <w:rFonts w:ascii="Times New Roman" w:hAnsi="Times New Roman"/>
                <w:bCs/>
              </w:rPr>
              <w:t>prechodné úpravy na základe nástrojov kapitálu Tier 2, ktoré sa zachovali v predchádzajúcom stave [článok 483 ods. 6 a 7 a články 484, 486, 488, 490 a 491 nariadenia (EÚ) č. 575/2013],</w:t>
            </w:r>
          </w:p>
          <w:p w14:paraId="5B8F3844" w14:textId="77777777" w:rsidR="00DB382A" w:rsidRPr="00970EC6" w:rsidRDefault="00970EC6">
            <w:pPr>
              <w:spacing w:after="120"/>
              <w:ind w:left="360" w:hanging="360"/>
              <w:contextualSpacing/>
              <w:jc w:val="both"/>
              <w:rPr>
                <w:rFonts w:ascii="Times New Roman" w:eastAsia="Times New Roman" w:hAnsi="Times New Roman"/>
                <w:bCs/>
              </w:rPr>
            </w:pPr>
            <w:r w:rsidRPr="00970EC6">
              <w:rPr>
                <w:rFonts w:ascii="Times New Roman" w:eastAsia="Times New Roman" w:hAnsi="Times New Roman" w:cs="Times New Roman"/>
                <w:b/>
                <w:bCs/>
                <w:szCs w:val="22"/>
              </w:rPr>
              <w:t>–</w:t>
            </w:r>
            <w:r w:rsidRPr="00970EC6">
              <w:rPr>
                <w:rFonts w:ascii="Times New Roman" w:eastAsia="Times New Roman" w:hAnsi="Times New Roman" w:cs="Times New Roman"/>
                <w:b/>
                <w:bCs/>
                <w:szCs w:val="22"/>
              </w:rPr>
              <w:tab/>
            </w:r>
            <w:r w:rsidRPr="00970EC6">
              <w:rPr>
                <w:rFonts w:ascii="Times New Roman" w:hAnsi="Times New Roman"/>
                <w:bCs/>
              </w:rPr>
              <w:t xml:space="preserve">ostatné prechodné úpravy </w:t>
            </w:r>
            <w:r w:rsidRPr="00970EC6">
              <w:rPr>
                <w:rFonts w:ascii="Times New Roman" w:hAnsi="Times New Roman"/>
                <w:bCs/>
              </w:rPr>
              <w:t>kapitálu Tier 2 [články 472, 473a, 476, 477, 478 a 481 nariadenia (EÚ) č. 575/2013]: úpravy odpočtov od kapitálu Tier 2 na základe prechodných ustanovení,</w:t>
            </w:r>
          </w:p>
          <w:p w14:paraId="206E7B45" w14:textId="77777777" w:rsidR="00DB382A" w:rsidRPr="00970EC6" w:rsidRDefault="00970EC6">
            <w:pPr>
              <w:spacing w:after="120"/>
              <w:ind w:left="360" w:hanging="360"/>
              <w:contextualSpacing/>
              <w:jc w:val="both"/>
              <w:rPr>
                <w:rFonts w:ascii="Times New Roman" w:eastAsia="Times New Roman" w:hAnsi="Times New Roman"/>
                <w:bCs/>
              </w:rPr>
            </w:pPr>
            <w:r w:rsidRPr="00970EC6">
              <w:rPr>
                <w:rFonts w:ascii="Times New Roman" w:eastAsia="Times New Roman" w:hAnsi="Times New Roman" w:cs="Times New Roman"/>
                <w:b/>
                <w:bCs/>
                <w:szCs w:val="22"/>
              </w:rPr>
              <w:t>–</w:t>
            </w:r>
            <w:r w:rsidRPr="00970EC6">
              <w:rPr>
                <w:rFonts w:ascii="Times New Roman" w:eastAsia="Times New Roman" w:hAnsi="Times New Roman" w:cs="Times New Roman"/>
                <w:b/>
                <w:bCs/>
                <w:szCs w:val="22"/>
              </w:rPr>
              <w:tab/>
            </w:r>
            <w:r w:rsidRPr="00970EC6">
              <w:rPr>
                <w:rFonts w:ascii="Times New Roman" w:hAnsi="Times New Roman"/>
                <w:bCs/>
              </w:rPr>
              <w:t>odpočet od položiek kapitálu Tier 2 presahujúci kapitál Tier 2 a odrátaný od dodatočného kapitálu T</w:t>
            </w:r>
            <w:r w:rsidRPr="00970EC6">
              <w:rPr>
                <w:rFonts w:ascii="Times New Roman" w:hAnsi="Times New Roman"/>
                <w:bCs/>
              </w:rPr>
              <w:t>ier 1 v súlade s článkom 56 písm. e) nariadenia (EÚ) č. 575/2013: kapitál Tier 2 nemôže byť záporný, ale je možné, že odpočty od položiek kapitálu Tier 2 prekročia sumu dostupných položiek kapitálu Tier 2. Ak k tomu dôjde, táto položka predstavuje sumu pot</w:t>
            </w:r>
            <w:r w:rsidRPr="00970EC6">
              <w:rPr>
                <w:rFonts w:ascii="Times New Roman" w:hAnsi="Times New Roman"/>
                <w:bCs/>
              </w:rPr>
              <w:t>rebnú na zvýšenie sumy vykázanej v riadku 33 na nulu,</w:t>
            </w:r>
          </w:p>
          <w:p w14:paraId="497BD57D" w14:textId="77777777" w:rsidR="00DB382A" w:rsidRPr="00970EC6" w:rsidRDefault="00970EC6">
            <w:pPr>
              <w:spacing w:after="120"/>
              <w:ind w:left="360" w:hanging="360"/>
              <w:contextualSpacing/>
              <w:jc w:val="both"/>
              <w:rPr>
                <w:rFonts w:ascii="Times New Roman" w:eastAsia="Times New Roman" w:hAnsi="Times New Roman"/>
                <w:bCs/>
              </w:rPr>
            </w:pPr>
            <w:r w:rsidRPr="00970EC6">
              <w:rPr>
                <w:rFonts w:ascii="Times New Roman" w:eastAsia="Times New Roman" w:hAnsi="Times New Roman" w:cs="Times New Roman"/>
                <w:b/>
                <w:bCs/>
                <w:szCs w:val="22"/>
              </w:rPr>
              <w:t>–</w:t>
            </w:r>
            <w:r w:rsidRPr="00970EC6">
              <w:rPr>
                <w:rFonts w:ascii="Times New Roman" w:eastAsia="Times New Roman" w:hAnsi="Times New Roman" w:cs="Times New Roman"/>
                <w:b/>
                <w:bCs/>
                <w:szCs w:val="22"/>
              </w:rPr>
              <w:tab/>
            </w:r>
            <w:r w:rsidRPr="00970EC6">
              <w:rPr>
                <w:rFonts w:ascii="Times New Roman" w:hAnsi="Times New Roman"/>
                <w:bCs/>
              </w:rPr>
              <w:t>ostatné prvky kapitálu Tier 2 alebo odpočty od prvku kapitálu Tier 2, ktoré nemožno priradiť k žiadnemu z riadkov 34 až 38.</w:t>
            </w:r>
          </w:p>
          <w:p w14:paraId="2EBA0AEE" w14:textId="77777777" w:rsidR="00DB382A" w:rsidRPr="00970EC6" w:rsidRDefault="00970EC6">
            <w:pPr>
              <w:spacing w:after="120"/>
              <w:jc w:val="both"/>
              <w:rPr>
                <w:rFonts w:ascii="Times New Roman" w:eastAsia="Times New Roman" w:hAnsi="Times New Roman" w:cs="Times New Roman"/>
                <w:b/>
                <w:bCs/>
                <w:szCs w:val="22"/>
                <w:u w:val="single"/>
              </w:rPr>
            </w:pPr>
            <w:r w:rsidRPr="00970EC6">
              <w:rPr>
                <w:rFonts w:ascii="Times New Roman" w:hAnsi="Times New Roman"/>
                <w:bCs/>
                <w:szCs w:val="22"/>
              </w:rPr>
              <w:t>Tento riadok sa nepoužíva na zahrnutie kapitálových položiek alebo odpočtov,</w:t>
            </w:r>
            <w:r w:rsidRPr="00970EC6">
              <w:rPr>
                <w:rFonts w:ascii="Times New Roman" w:hAnsi="Times New Roman"/>
                <w:bCs/>
                <w:szCs w:val="22"/>
              </w:rPr>
              <w:t xml:space="preserve"> na ktoré sa nevzťahuje nariadenie (EÚ) 2019/2033 ani nariadenie (EÚ) č. 575/2013, do výpočtu ukazovateľov platobnej schopnosti.</w:t>
            </w:r>
          </w:p>
        </w:tc>
      </w:tr>
    </w:tbl>
    <w:p w14:paraId="2E4E4EF3" w14:textId="77777777" w:rsidR="00DB382A" w:rsidRPr="00970EC6" w:rsidRDefault="00DB382A">
      <w:pPr>
        <w:rPr>
          <w:rFonts w:ascii="Times New Roman" w:hAnsi="Times New Roman" w:cs="Times New Roman"/>
          <w:b/>
          <w:bCs/>
          <w:sz w:val="24"/>
        </w:rPr>
      </w:pPr>
    </w:p>
    <w:p w14:paraId="0D3782D1" w14:textId="77777777" w:rsidR="00DB382A" w:rsidRPr="00970EC6" w:rsidRDefault="00970EC6">
      <w:pPr>
        <w:rPr>
          <w:rFonts w:ascii="Times New Roman" w:hAnsi="Times New Roman" w:cs="Times New Roman"/>
          <w:b/>
          <w:bCs/>
          <w:sz w:val="24"/>
        </w:rPr>
      </w:pPr>
      <w:r w:rsidRPr="00970EC6">
        <w:rPr>
          <w:rFonts w:ascii="Times New Roman" w:hAnsi="Times New Roman"/>
          <w:b/>
          <w:bCs/>
          <w:sz w:val="24"/>
        </w:rPr>
        <w:t>Vzor EU I CC2 – Zosúhlasenie regulatórnych vlastných zdrojov so súvahou v auditovanej účtovnej závierke</w:t>
      </w:r>
    </w:p>
    <w:p w14:paraId="25A24ACB" w14:textId="77777777" w:rsidR="00DB382A" w:rsidRPr="00970EC6" w:rsidRDefault="00970EC6">
      <w:pPr>
        <w:tabs>
          <w:tab w:val="left" w:pos="360"/>
        </w:tabs>
        <w:spacing w:before="120" w:after="120"/>
        <w:ind w:left="357" w:hanging="357"/>
        <w:jc w:val="both"/>
        <w:rPr>
          <w:rFonts w:ascii="Times New Roman" w:hAnsi="Times New Roman" w:cs="Times New Roman"/>
          <w:bCs/>
          <w:sz w:val="24"/>
        </w:rPr>
      </w:pPr>
      <w:r w:rsidRPr="00970EC6">
        <w:rPr>
          <w:rFonts w:ascii="Times New Roman" w:hAnsi="Times New Roman" w:cs="Times New Roman"/>
          <w:bCs/>
          <w:sz w:val="24"/>
        </w:rPr>
        <w:t>7.</w:t>
      </w:r>
      <w:r w:rsidRPr="00970EC6">
        <w:rPr>
          <w:rFonts w:ascii="Times New Roman" w:hAnsi="Times New Roman" w:cs="Times New Roman"/>
          <w:bCs/>
          <w:sz w:val="24"/>
        </w:rPr>
        <w:tab/>
      </w:r>
      <w:r w:rsidRPr="00970EC6">
        <w:rPr>
          <w:rFonts w:ascii="Times New Roman" w:hAnsi="Times New Roman"/>
          <w:bCs/>
          <w:sz w:val="24"/>
        </w:rPr>
        <w:t>Investičné spoločn</w:t>
      </w:r>
      <w:r w:rsidRPr="00970EC6">
        <w:rPr>
          <w:rFonts w:ascii="Times New Roman" w:hAnsi="Times New Roman"/>
          <w:bCs/>
          <w:sz w:val="24"/>
        </w:rPr>
        <w:t>osti uplatňujú pokyny uvedené v tejto prílohe s cieľom vyplniť vzor EU I CC2, ako sa uvádza v prílohe VI, v súlade s článkom 49 ods. 1 písm. a) nariadenia (EÚ) 2019/2033.</w:t>
      </w:r>
    </w:p>
    <w:p w14:paraId="5E1C106E" w14:textId="77777777" w:rsidR="00DB382A" w:rsidRPr="00970EC6" w:rsidRDefault="00970EC6">
      <w:pPr>
        <w:tabs>
          <w:tab w:val="left" w:pos="360"/>
        </w:tabs>
        <w:spacing w:before="120" w:after="120"/>
        <w:ind w:left="357" w:hanging="357"/>
        <w:jc w:val="both"/>
        <w:rPr>
          <w:rFonts w:ascii="Times New Roman" w:hAnsi="Times New Roman" w:cs="Times New Roman"/>
          <w:bCs/>
          <w:sz w:val="24"/>
        </w:rPr>
      </w:pPr>
      <w:r w:rsidRPr="00970EC6">
        <w:rPr>
          <w:rFonts w:ascii="Times New Roman" w:hAnsi="Times New Roman" w:cs="Times New Roman"/>
          <w:bCs/>
          <w:sz w:val="24"/>
        </w:rPr>
        <w:lastRenderedPageBreak/>
        <w:t>8.</w:t>
      </w:r>
      <w:r w:rsidRPr="00970EC6">
        <w:rPr>
          <w:rFonts w:ascii="Times New Roman" w:hAnsi="Times New Roman" w:cs="Times New Roman"/>
          <w:bCs/>
          <w:sz w:val="24"/>
        </w:rPr>
        <w:tab/>
      </w:r>
      <w:r w:rsidRPr="00970EC6">
        <w:rPr>
          <w:rFonts w:ascii="Times New Roman" w:hAnsi="Times New Roman"/>
          <w:bCs/>
          <w:sz w:val="24"/>
        </w:rPr>
        <w:t>Investičné spoločnosti zverejňujú súvahu zahrnutú do ich uverejnenej účtovnej závi</w:t>
      </w:r>
      <w:r w:rsidRPr="00970EC6">
        <w:rPr>
          <w:rFonts w:ascii="Times New Roman" w:hAnsi="Times New Roman"/>
          <w:bCs/>
          <w:sz w:val="24"/>
        </w:rPr>
        <w:t>erky. Účtovná závierka je auditovaná účtovná závierka týkajúca sa informácií zverejňovaných ku koncu roka.</w:t>
      </w:r>
    </w:p>
    <w:p w14:paraId="75AF3F1F" w14:textId="77777777" w:rsidR="00DB382A" w:rsidRPr="00970EC6" w:rsidRDefault="00970EC6">
      <w:pPr>
        <w:tabs>
          <w:tab w:val="left" w:pos="360"/>
        </w:tabs>
        <w:spacing w:before="120" w:after="120"/>
        <w:ind w:left="357" w:hanging="357"/>
        <w:jc w:val="both"/>
        <w:rPr>
          <w:rFonts w:ascii="Times New Roman" w:hAnsi="Times New Roman" w:cs="Times New Roman"/>
          <w:bCs/>
          <w:sz w:val="24"/>
        </w:rPr>
      </w:pPr>
      <w:r w:rsidRPr="00970EC6">
        <w:rPr>
          <w:rFonts w:ascii="Times New Roman" w:hAnsi="Times New Roman" w:cs="Times New Roman"/>
          <w:bCs/>
          <w:sz w:val="24"/>
        </w:rPr>
        <w:t>9.</w:t>
      </w:r>
      <w:r w:rsidRPr="00970EC6">
        <w:rPr>
          <w:rFonts w:ascii="Times New Roman" w:hAnsi="Times New Roman" w:cs="Times New Roman"/>
          <w:bCs/>
          <w:sz w:val="24"/>
        </w:rPr>
        <w:tab/>
      </w:r>
      <w:r w:rsidRPr="00970EC6">
        <w:rPr>
          <w:rFonts w:ascii="Times New Roman" w:hAnsi="Times New Roman"/>
          <w:bCs/>
          <w:sz w:val="24"/>
        </w:rPr>
        <w:t xml:space="preserve">Riadky vzoru sú flexibilné a investičné spoločnosti ich zverejňujú v súlade so svojou účtovnou závierkou. Položky vlastných zdrojov v auditovanej </w:t>
      </w:r>
      <w:r w:rsidRPr="00970EC6">
        <w:rPr>
          <w:rFonts w:ascii="Times New Roman" w:hAnsi="Times New Roman"/>
          <w:bCs/>
          <w:sz w:val="24"/>
        </w:rPr>
        <w:t>účtovnej závierke zahŕňajú všetky položky, ktoré sú súčasťou regulatórnych vlastných zdrojov alebo sú od nich odpočítané, a to vrátane vlastného kapitálu, záväzkov, ako je dlh, alebo iných súvahových položiek, ktoré ovplyvňujú regulatórne vlastné zdroje, a</w:t>
      </w:r>
      <w:r w:rsidRPr="00970EC6">
        <w:rPr>
          <w:rFonts w:ascii="Times New Roman" w:hAnsi="Times New Roman"/>
          <w:bCs/>
          <w:sz w:val="24"/>
        </w:rPr>
        <w:t>ko sú napríklad nehmotné aktíva, goodwill a odložené daňové pohľadávky. Investičné spoločnosti rozpisujú položky vlastných zdrojov súvahy podľa potreby tak, aby sa zabezpečilo, že všetky položky zahrnuté do štruktúry vzoru na zverejňovanie informácií o vla</w:t>
      </w:r>
      <w:r w:rsidRPr="00970EC6">
        <w:rPr>
          <w:rFonts w:ascii="Times New Roman" w:hAnsi="Times New Roman"/>
          <w:bCs/>
          <w:sz w:val="24"/>
        </w:rPr>
        <w:t>stných zdrojoch (vzor EU I CC1) sú uvedené samostatne. Investičné spoločnosti rozpisujú prvky súvahy len do takej miery podrobnosti, ktorá je potrebná na odvodenie položiek požadovaných vo vzore EU I CC1. Zverejňovanie je primerané zložitosti súvahy invest</w:t>
      </w:r>
      <w:r w:rsidRPr="00970EC6">
        <w:rPr>
          <w:rFonts w:ascii="Times New Roman" w:hAnsi="Times New Roman"/>
          <w:bCs/>
          <w:sz w:val="24"/>
        </w:rPr>
        <w:t>ičnej spoločnosti.</w:t>
      </w:r>
    </w:p>
    <w:p w14:paraId="5F158F6E" w14:textId="77777777" w:rsidR="00DB382A" w:rsidRPr="00970EC6" w:rsidRDefault="00970EC6">
      <w:pPr>
        <w:tabs>
          <w:tab w:val="left" w:pos="360"/>
        </w:tabs>
        <w:spacing w:before="120" w:after="120"/>
        <w:ind w:left="357" w:hanging="357"/>
        <w:jc w:val="both"/>
        <w:rPr>
          <w:rFonts w:ascii="Times New Roman" w:hAnsi="Times New Roman" w:cs="Times New Roman"/>
          <w:bCs/>
          <w:sz w:val="24"/>
        </w:rPr>
      </w:pPr>
      <w:r w:rsidRPr="00970EC6">
        <w:rPr>
          <w:rFonts w:ascii="Times New Roman" w:hAnsi="Times New Roman" w:cs="Times New Roman"/>
          <w:bCs/>
          <w:sz w:val="24"/>
        </w:rPr>
        <w:t>10.</w:t>
      </w:r>
      <w:r w:rsidRPr="00970EC6">
        <w:rPr>
          <w:rFonts w:ascii="Times New Roman" w:hAnsi="Times New Roman" w:cs="Times New Roman"/>
          <w:bCs/>
          <w:sz w:val="24"/>
        </w:rPr>
        <w:tab/>
      </w:r>
      <w:r w:rsidRPr="00970EC6">
        <w:rPr>
          <w:rFonts w:ascii="Times New Roman" w:hAnsi="Times New Roman"/>
          <w:bCs/>
          <w:sz w:val="24"/>
        </w:rPr>
        <w:t>Stĺpce sú pevne stanovené a zverejňujú sa takto:</w:t>
      </w:r>
    </w:p>
    <w:p w14:paraId="592C62E0" w14:textId="77777777" w:rsidR="00DB382A" w:rsidRPr="00970EC6" w:rsidRDefault="00970EC6">
      <w:pPr>
        <w:pStyle w:val="numberedparagraph"/>
        <w:numPr>
          <w:ilvl w:val="0"/>
          <w:numId w:val="0"/>
        </w:numPr>
        <w:ind w:left="709" w:hanging="360"/>
        <w:rPr>
          <w:rFonts w:ascii="Times New Roman" w:hAnsi="Times New Roman" w:cs="Times New Roman"/>
          <w:sz w:val="24"/>
        </w:rPr>
      </w:pPr>
      <w:r w:rsidRPr="00970EC6">
        <w:rPr>
          <w:rFonts w:ascii="Times New Roman" w:hAnsi="Times New Roman" w:cs="Times New Roman"/>
          <w:sz w:val="24"/>
        </w:rPr>
        <w:t>a)</w:t>
      </w:r>
      <w:r w:rsidRPr="00970EC6">
        <w:rPr>
          <w:rFonts w:ascii="Times New Roman" w:hAnsi="Times New Roman" w:cs="Times New Roman"/>
          <w:sz w:val="24"/>
        </w:rPr>
        <w:tab/>
      </w:r>
      <w:r w:rsidRPr="00970EC6">
        <w:rPr>
          <w:rFonts w:ascii="Times New Roman" w:hAnsi="Times New Roman"/>
          <w:sz w:val="24"/>
        </w:rPr>
        <w:t>Stĺpec a) Investičné spoločnosti zahŕňajú údaje vykázané v súvahe zahrnutej do ich auditovanej účtovnej závierky podľa účtovného rozsahu konsolidácie.</w:t>
      </w:r>
    </w:p>
    <w:p w14:paraId="16DA0524" w14:textId="77777777" w:rsidR="00DB382A" w:rsidRPr="00970EC6" w:rsidRDefault="00970EC6">
      <w:pPr>
        <w:pStyle w:val="numberedparagraph"/>
        <w:numPr>
          <w:ilvl w:val="0"/>
          <w:numId w:val="0"/>
        </w:numPr>
        <w:ind w:left="709" w:hanging="360"/>
        <w:rPr>
          <w:rFonts w:ascii="Times New Roman" w:hAnsi="Times New Roman" w:cs="Times New Roman"/>
          <w:sz w:val="24"/>
        </w:rPr>
      </w:pPr>
      <w:r w:rsidRPr="00970EC6">
        <w:rPr>
          <w:rFonts w:ascii="Times New Roman" w:hAnsi="Times New Roman" w:cs="Times New Roman"/>
          <w:sz w:val="24"/>
        </w:rPr>
        <w:t>b)</w:t>
      </w:r>
      <w:r w:rsidRPr="00970EC6">
        <w:rPr>
          <w:rFonts w:ascii="Times New Roman" w:hAnsi="Times New Roman" w:cs="Times New Roman"/>
          <w:sz w:val="24"/>
        </w:rPr>
        <w:tab/>
      </w:r>
      <w:r w:rsidRPr="00970EC6">
        <w:rPr>
          <w:rFonts w:ascii="Times New Roman" w:hAnsi="Times New Roman"/>
          <w:sz w:val="24"/>
        </w:rPr>
        <w:t xml:space="preserve">Stĺpec b) </w:t>
      </w:r>
      <w:r w:rsidRPr="00970EC6">
        <w:rPr>
          <w:rFonts w:ascii="Times New Roman" w:hAnsi="Times New Roman"/>
          <w:sz w:val="24"/>
        </w:rPr>
        <w:t>Investičné spoločnosti vykazujú údaje zodpovedajúce regulačnému rozsahu konsolidácie.</w:t>
      </w:r>
    </w:p>
    <w:p w14:paraId="450400C8" w14:textId="77777777" w:rsidR="00DB382A" w:rsidRPr="00970EC6" w:rsidRDefault="00970EC6">
      <w:pPr>
        <w:pStyle w:val="numberedparagraph"/>
        <w:numPr>
          <w:ilvl w:val="0"/>
          <w:numId w:val="0"/>
        </w:numPr>
        <w:ind w:left="709" w:hanging="360"/>
        <w:rPr>
          <w:rFonts w:ascii="Times New Roman" w:hAnsi="Times New Roman" w:cs="Times New Roman"/>
          <w:sz w:val="24"/>
        </w:rPr>
      </w:pPr>
      <w:r w:rsidRPr="00970EC6">
        <w:rPr>
          <w:rFonts w:ascii="Times New Roman" w:hAnsi="Times New Roman" w:cs="Times New Roman"/>
          <w:sz w:val="24"/>
        </w:rPr>
        <w:t>c)</w:t>
      </w:r>
      <w:r w:rsidRPr="00970EC6">
        <w:rPr>
          <w:rFonts w:ascii="Times New Roman" w:hAnsi="Times New Roman" w:cs="Times New Roman"/>
          <w:sz w:val="24"/>
        </w:rPr>
        <w:tab/>
      </w:r>
      <w:r w:rsidRPr="00970EC6">
        <w:rPr>
          <w:rFonts w:ascii="Times New Roman" w:hAnsi="Times New Roman"/>
          <w:sz w:val="24"/>
        </w:rPr>
        <w:t>Stĺpec c) Investičné spoločnosti zahŕňajú krížový odkaz medzi položkou vlastných zdrojov vo vzore EU I CC2 a príslušnými položkami vo vzore na zverejňovanie informácií</w:t>
      </w:r>
      <w:r w:rsidRPr="00970EC6">
        <w:rPr>
          <w:rFonts w:ascii="Times New Roman" w:hAnsi="Times New Roman"/>
          <w:sz w:val="24"/>
        </w:rPr>
        <w:t xml:space="preserve"> o vlastných zdrojoch EU I CC1. Odkaz v stĺpci c) vzoru EU I CC2 sa prepojí s odkazom uvedeným v stĺpci b) vzoru EU I CC1.</w:t>
      </w:r>
    </w:p>
    <w:p w14:paraId="459ED62B" w14:textId="77777777" w:rsidR="00DB382A" w:rsidRPr="00970EC6" w:rsidRDefault="00970EC6">
      <w:pPr>
        <w:tabs>
          <w:tab w:val="left" w:pos="360"/>
        </w:tabs>
        <w:spacing w:before="120" w:after="120"/>
        <w:ind w:left="357" w:hanging="357"/>
        <w:jc w:val="both"/>
        <w:rPr>
          <w:rFonts w:ascii="Times New Roman" w:hAnsi="Times New Roman" w:cs="Times New Roman"/>
          <w:bCs/>
          <w:sz w:val="24"/>
        </w:rPr>
      </w:pPr>
      <w:r w:rsidRPr="00970EC6">
        <w:rPr>
          <w:rFonts w:ascii="Times New Roman" w:hAnsi="Times New Roman" w:cs="Times New Roman"/>
          <w:bCs/>
          <w:sz w:val="24"/>
        </w:rPr>
        <w:t>11.</w:t>
      </w:r>
      <w:r w:rsidRPr="00970EC6">
        <w:rPr>
          <w:rFonts w:ascii="Times New Roman" w:hAnsi="Times New Roman" w:cs="Times New Roman"/>
          <w:bCs/>
          <w:sz w:val="24"/>
        </w:rPr>
        <w:tab/>
      </w:r>
      <w:r w:rsidRPr="00970EC6">
        <w:rPr>
          <w:rFonts w:ascii="Times New Roman" w:hAnsi="Times New Roman"/>
          <w:bCs/>
          <w:sz w:val="24"/>
        </w:rPr>
        <w:t>V</w:t>
      </w:r>
      <w:r w:rsidRPr="00970EC6">
        <w:rPr>
          <w:rFonts w:ascii="Times New Roman" w:hAnsi="Times New Roman" w:cs="Times New Roman"/>
          <w:bCs/>
          <w:sz w:val="24"/>
        </w:rPr>
        <w:t> </w:t>
      </w:r>
      <w:r w:rsidRPr="00970EC6">
        <w:rPr>
          <w:rFonts w:ascii="Times New Roman" w:hAnsi="Times New Roman"/>
          <w:bCs/>
          <w:sz w:val="24"/>
        </w:rPr>
        <w:t>nasledujúcich prípadoch, ak je účtovný rozsah konsolidácie investičnej spoločnosti úplne rovnaký ako jej regulačný rozsah konso</w:t>
      </w:r>
      <w:r w:rsidRPr="00970EC6">
        <w:rPr>
          <w:rFonts w:ascii="Times New Roman" w:hAnsi="Times New Roman"/>
          <w:bCs/>
          <w:sz w:val="24"/>
        </w:rPr>
        <w:t>lidácie, vypĺňa sa iba stĺpec a) a táto skutočnosť sa jednoznačne zverejní:</w:t>
      </w:r>
    </w:p>
    <w:p w14:paraId="798AFD78" w14:textId="77777777" w:rsidR="00DB382A" w:rsidRPr="00970EC6" w:rsidRDefault="00970EC6">
      <w:pPr>
        <w:pStyle w:val="numberedparagraph"/>
        <w:numPr>
          <w:ilvl w:val="0"/>
          <w:numId w:val="0"/>
        </w:numPr>
        <w:tabs>
          <w:tab w:val="left" w:pos="-180"/>
        </w:tabs>
        <w:ind w:left="709" w:hanging="360"/>
        <w:rPr>
          <w:rFonts w:ascii="Times New Roman" w:hAnsi="Times New Roman" w:cs="Times New Roman"/>
          <w:bCs/>
          <w:sz w:val="24"/>
        </w:rPr>
      </w:pPr>
      <w:r w:rsidRPr="00970EC6">
        <w:rPr>
          <w:rFonts w:ascii="Times New Roman" w:hAnsi="Times New Roman" w:cs="Times New Roman"/>
          <w:bCs/>
          <w:sz w:val="24"/>
        </w:rPr>
        <w:t>d)</w:t>
      </w:r>
      <w:r w:rsidRPr="00970EC6">
        <w:rPr>
          <w:rFonts w:ascii="Times New Roman" w:hAnsi="Times New Roman" w:cs="Times New Roman"/>
          <w:bCs/>
          <w:sz w:val="24"/>
        </w:rPr>
        <w:tab/>
      </w:r>
      <w:r w:rsidRPr="00970EC6">
        <w:rPr>
          <w:rFonts w:ascii="Times New Roman" w:hAnsi="Times New Roman"/>
          <w:sz w:val="24"/>
        </w:rPr>
        <w:t xml:space="preserve">Ak investičné spoločnosti spĺňajú povinnosti stanovené v šiestej časti nariadenia (EÚ) 2019/2033 o prudenciálnych požiadavkách na investičné spoločnosti na </w:t>
      </w:r>
      <w:r w:rsidRPr="00970EC6">
        <w:rPr>
          <w:rFonts w:ascii="Times New Roman" w:hAnsi="Times New Roman"/>
          <w:sz w:val="24"/>
        </w:rPr>
        <w:t xml:space="preserve">konsolidovanom základe, ale rozsah konsolidácie a metóda konsolidácie použitá pre súvahu v účtovnej závierke sú totožné s rozsahom konsolidácie a metódou konsolidácie vymedzenou podľa prvej časti hlavy II kapitoly 2 nariadenia (EÚ) 2019/2033, a investičné </w:t>
      </w:r>
      <w:r w:rsidRPr="00970EC6">
        <w:rPr>
          <w:rFonts w:ascii="Times New Roman" w:hAnsi="Times New Roman"/>
          <w:sz w:val="24"/>
        </w:rPr>
        <w:t>spoločnosti jasne uvedú v sprievodnej poznámke k vzoru, že neexistujú rozdiely medzi príslušnými rozsahmi pôsobnosti a metódami konsolidácie.</w:t>
      </w:r>
    </w:p>
    <w:p w14:paraId="642ADA3B" w14:textId="77777777" w:rsidR="00DB382A" w:rsidRPr="00970EC6" w:rsidRDefault="00970EC6">
      <w:pPr>
        <w:pStyle w:val="numberedparagraph"/>
        <w:numPr>
          <w:ilvl w:val="0"/>
          <w:numId w:val="0"/>
        </w:numPr>
        <w:tabs>
          <w:tab w:val="left" w:pos="-180"/>
        </w:tabs>
        <w:ind w:left="709" w:hanging="360"/>
        <w:rPr>
          <w:rFonts w:ascii="Times New Roman" w:hAnsi="Times New Roman" w:cs="Times New Roman"/>
          <w:bCs/>
          <w:sz w:val="24"/>
        </w:rPr>
      </w:pPr>
      <w:r w:rsidRPr="00970EC6">
        <w:rPr>
          <w:rFonts w:ascii="Times New Roman" w:hAnsi="Times New Roman" w:cs="Times New Roman"/>
          <w:bCs/>
          <w:sz w:val="24"/>
        </w:rPr>
        <w:t>e)</w:t>
      </w:r>
      <w:r w:rsidRPr="00970EC6">
        <w:rPr>
          <w:rFonts w:ascii="Times New Roman" w:hAnsi="Times New Roman" w:cs="Times New Roman"/>
          <w:bCs/>
          <w:sz w:val="24"/>
        </w:rPr>
        <w:tab/>
      </w:r>
      <w:r w:rsidRPr="00970EC6">
        <w:rPr>
          <w:rFonts w:ascii="Times New Roman" w:hAnsi="Times New Roman"/>
          <w:sz w:val="24"/>
        </w:rPr>
        <w:t>Ak investičné spoločnosti spĺňajú povinnosti stanovené v šiestej časti nariadenia (EÚ) 2019/2033 na individuáln</w:t>
      </w:r>
      <w:r w:rsidRPr="00970EC6">
        <w:rPr>
          <w:rFonts w:ascii="Times New Roman" w:hAnsi="Times New Roman"/>
          <w:sz w:val="24"/>
        </w:rPr>
        <w:t>om základe.</w:t>
      </w:r>
    </w:p>
    <w:p w14:paraId="5B02EA2A" w14:textId="77777777" w:rsidR="00DB382A" w:rsidRPr="00970EC6" w:rsidRDefault="00970EC6">
      <w:pPr>
        <w:rPr>
          <w:rFonts w:ascii="Times New Roman" w:hAnsi="Times New Roman" w:cs="Times New Roman"/>
          <w:b/>
          <w:bCs/>
          <w:sz w:val="24"/>
        </w:rPr>
      </w:pPr>
      <w:r w:rsidRPr="00970EC6">
        <w:rPr>
          <w:rFonts w:ascii="Times New Roman" w:hAnsi="Times New Roman"/>
          <w:b/>
          <w:bCs/>
          <w:sz w:val="24"/>
        </w:rPr>
        <w:t>Tabuľka EU I CCA – hlavné charakteristiky vlastných nástrojov emitovaných spoločnosťou</w:t>
      </w:r>
    </w:p>
    <w:p w14:paraId="19DE3A35" w14:textId="77777777" w:rsidR="00DB382A" w:rsidRPr="00970EC6" w:rsidRDefault="00970EC6">
      <w:pPr>
        <w:tabs>
          <w:tab w:val="left" w:pos="360"/>
        </w:tabs>
        <w:spacing w:before="120" w:after="120"/>
        <w:ind w:left="357" w:hanging="357"/>
        <w:jc w:val="both"/>
        <w:rPr>
          <w:rFonts w:ascii="Times New Roman" w:hAnsi="Times New Roman" w:cs="Times New Roman"/>
          <w:bCs/>
          <w:sz w:val="24"/>
        </w:rPr>
      </w:pPr>
      <w:r w:rsidRPr="00970EC6">
        <w:rPr>
          <w:rFonts w:ascii="Times New Roman" w:hAnsi="Times New Roman" w:cs="Times New Roman"/>
          <w:bCs/>
          <w:sz w:val="24"/>
        </w:rPr>
        <w:lastRenderedPageBreak/>
        <w:t>12.</w:t>
      </w:r>
      <w:r w:rsidRPr="00970EC6">
        <w:rPr>
          <w:rFonts w:ascii="Times New Roman" w:hAnsi="Times New Roman" w:cs="Times New Roman"/>
          <w:bCs/>
          <w:sz w:val="24"/>
        </w:rPr>
        <w:tab/>
      </w:r>
      <w:r w:rsidRPr="00970EC6">
        <w:rPr>
          <w:rFonts w:ascii="Times New Roman" w:hAnsi="Times New Roman"/>
          <w:bCs/>
          <w:sz w:val="24"/>
        </w:rPr>
        <w:t>Investičné spoločnosti uplatňujú pokyny uvedené v tejto prílohe s cieľom vyplniť tabuľku EU I CCA, ako sa uvádza v prílohe VI, v súlade s článkom 49 ods.</w:t>
      </w:r>
      <w:r w:rsidRPr="00970EC6">
        <w:rPr>
          <w:rFonts w:ascii="Times New Roman" w:hAnsi="Times New Roman"/>
          <w:bCs/>
          <w:sz w:val="24"/>
        </w:rPr>
        <w:t> 1 písm. b) nariadenia (EÚ) 2019/2033.</w:t>
      </w:r>
    </w:p>
    <w:p w14:paraId="7D6BBAC6" w14:textId="77777777" w:rsidR="00DB382A" w:rsidRPr="00970EC6" w:rsidRDefault="00970EC6">
      <w:pPr>
        <w:tabs>
          <w:tab w:val="left" w:pos="360"/>
        </w:tabs>
        <w:spacing w:before="120" w:after="120"/>
        <w:ind w:left="357" w:hanging="357"/>
        <w:jc w:val="both"/>
        <w:rPr>
          <w:rFonts w:ascii="Times New Roman" w:hAnsi="Times New Roman" w:cs="Times New Roman"/>
          <w:bCs/>
          <w:sz w:val="24"/>
        </w:rPr>
      </w:pPr>
      <w:r w:rsidRPr="00970EC6">
        <w:rPr>
          <w:rFonts w:ascii="Times New Roman" w:hAnsi="Times New Roman" w:cs="Times New Roman"/>
          <w:bCs/>
          <w:sz w:val="24"/>
        </w:rPr>
        <w:t>13.</w:t>
      </w:r>
      <w:r w:rsidRPr="00970EC6">
        <w:rPr>
          <w:rFonts w:ascii="Times New Roman" w:hAnsi="Times New Roman" w:cs="Times New Roman"/>
          <w:bCs/>
          <w:sz w:val="24"/>
        </w:rPr>
        <w:tab/>
      </w:r>
      <w:r w:rsidRPr="00970EC6">
        <w:rPr>
          <w:rFonts w:ascii="Times New Roman" w:hAnsi="Times New Roman"/>
          <w:bCs/>
          <w:sz w:val="24"/>
        </w:rPr>
        <w:t>Investičné spoločnosti vypĺňajú tabuľku EU I CCA pre tieto kategórie: nástroje vlastného kapitálu Tier 1, nástroje dodatočného kapitálu Tier 1 a nástroje kapitálu Tier 2.</w:t>
      </w:r>
    </w:p>
    <w:p w14:paraId="28E92EA0" w14:textId="77777777" w:rsidR="00DB382A" w:rsidRPr="00970EC6" w:rsidRDefault="00970EC6">
      <w:pPr>
        <w:tabs>
          <w:tab w:val="left" w:pos="360"/>
        </w:tabs>
        <w:spacing w:before="120" w:after="120"/>
        <w:ind w:left="357" w:hanging="357"/>
        <w:jc w:val="both"/>
        <w:rPr>
          <w:rFonts w:ascii="Times New Roman" w:hAnsi="Times New Roman" w:cs="Times New Roman"/>
          <w:bCs/>
          <w:sz w:val="24"/>
        </w:rPr>
      </w:pPr>
      <w:r w:rsidRPr="00970EC6">
        <w:rPr>
          <w:rFonts w:ascii="Times New Roman" w:hAnsi="Times New Roman" w:cs="Times New Roman"/>
          <w:bCs/>
          <w:sz w:val="24"/>
        </w:rPr>
        <w:t>14.</w:t>
      </w:r>
      <w:r w:rsidRPr="00970EC6">
        <w:rPr>
          <w:rFonts w:ascii="Times New Roman" w:hAnsi="Times New Roman" w:cs="Times New Roman"/>
          <w:bCs/>
          <w:sz w:val="24"/>
        </w:rPr>
        <w:tab/>
      </w:r>
      <w:r w:rsidRPr="00970EC6">
        <w:rPr>
          <w:rFonts w:ascii="Times New Roman" w:hAnsi="Times New Roman"/>
          <w:bCs/>
          <w:sz w:val="24"/>
        </w:rPr>
        <w:t>Tabuľky obsahujú samostatné stĺpce s c</w:t>
      </w:r>
      <w:r w:rsidRPr="00970EC6">
        <w:rPr>
          <w:rFonts w:ascii="Times New Roman" w:hAnsi="Times New Roman"/>
          <w:bCs/>
          <w:sz w:val="24"/>
        </w:rPr>
        <w:t>harakteristikami jednotlivých nástrojov regulatórnych vlastných zdrojov. Keď rozličné nástroje rovnakej kategórie majú zhodné charakteristiky, investičné spoločnosti môžu vyplniť len jeden stĺpec s informáciami o týchto zhodných charakteristikách a označiť</w:t>
      </w:r>
      <w:r w:rsidRPr="00970EC6">
        <w:rPr>
          <w:rFonts w:ascii="Times New Roman" w:hAnsi="Times New Roman"/>
          <w:bCs/>
          <w:sz w:val="24"/>
        </w:rPr>
        <w:t xml:space="preserve"> emisie, ktorých sa tieto zhodné charakteristiky týkajú.</w:t>
      </w:r>
    </w:p>
    <w:tbl>
      <w:tblPr>
        <w:tblW w:w="869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0"/>
        <w:gridCol w:w="7661"/>
      </w:tblGrid>
      <w:tr w:rsidR="00DB382A" w:rsidRPr="00970EC6" w14:paraId="0243D035" w14:textId="77777777">
        <w:trPr>
          <w:trHeight w:val="259"/>
        </w:trPr>
        <w:tc>
          <w:tcPr>
            <w:tcW w:w="8691" w:type="dxa"/>
            <w:gridSpan w:val="2"/>
            <w:shd w:val="clear" w:color="auto" w:fill="D9D9D9" w:themeFill="background1" w:themeFillShade="D9"/>
          </w:tcPr>
          <w:p w14:paraId="14AE6ACC" w14:textId="77777777" w:rsidR="00DB382A" w:rsidRPr="00970EC6" w:rsidRDefault="00970EC6">
            <w:pPr>
              <w:rPr>
                <w:rFonts w:ascii="Times New Roman" w:eastAsia="Times New Roman" w:hAnsi="Times New Roman" w:cs="Times New Roman"/>
                <w:b/>
                <w:bCs/>
                <w:color w:val="000000"/>
                <w:sz w:val="24"/>
              </w:rPr>
            </w:pPr>
            <w:r w:rsidRPr="00970EC6">
              <w:rPr>
                <w:rFonts w:ascii="Times New Roman" w:hAnsi="Times New Roman"/>
                <w:b/>
                <w:bCs/>
                <w:color w:val="000000"/>
                <w:sz w:val="24"/>
              </w:rPr>
              <w:t>Pokyny na vyplnenie tabuľky hlavných charakteristík nástrojov vlastných zdrojov emitovaných spoločnosťou</w:t>
            </w:r>
          </w:p>
        </w:tc>
      </w:tr>
      <w:tr w:rsidR="00DB382A" w:rsidRPr="00970EC6" w14:paraId="59576FED" w14:textId="77777777">
        <w:trPr>
          <w:trHeight w:val="259"/>
        </w:trPr>
        <w:tc>
          <w:tcPr>
            <w:tcW w:w="1030" w:type="dxa"/>
            <w:shd w:val="clear" w:color="auto" w:fill="D9D9D9" w:themeFill="background1" w:themeFillShade="D9"/>
            <w:vAlign w:val="center"/>
          </w:tcPr>
          <w:p w14:paraId="7E97284A" w14:textId="77777777" w:rsidR="00DB382A" w:rsidRPr="00970EC6" w:rsidRDefault="00970EC6">
            <w:pPr>
              <w:rPr>
                <w:rFonts w:ascii="Times New Roman" w:eastAsia="Times New Roman" w:hAnsi="Times New Roman" w:cs="Times New Roman"/>
                <w:b/>
                <w:bCs/>
                <w:color w:val="000000"/>
                <w:sz w:val="24"/>
              </w:rPr>
            </w:pPr>
            <w:r w:rsidRPr="00970EC6">
              <w:rPr>
                <w:rFonts w:ascii="Times New Roman" w:hAnsi="Times New Roman"/>
                <w:b/>
                <w:bCs/>
                <w:color w:val="000000"/>
                <w:sz w:val="24"/>
              </w:rPr>
              <w:t>Číslo riadku</w:t>
            </w:r>
          </w:p>
        </w:tc>
        <w:tc>
          <w:tcPr>
            <w:tcW w:w="7661" w:type="dxa"/>
            <w:shd w:val="clear" w:color="auto" w:fill="D9D9D9" w:themeFill="background1" w:themeFillShade="D9"/>
            <w:noWrap/>
            <w:vAlign w:val="bottom"/>
          </w:tcPr>
          <w:p w14:paraId="07F19114" w14:textId="77777777" w:rsidR="00DB382A" w:rsidRPr="00970EC6" w:rsidRDefault="00970EC6">
            <w:pPr>
              <w:rPr>
                <w:rFonts w:ascii="Times New Roman" w:eastAsia="Times New Roman" w:hAnsi="Times New Roman" w:cs="Times New Roman"/>
                <w:b/>
                <w:bCs/>
                <w:color w:val="000000"/>
                <w:sz w:val="24"/>
              </w:rPr>
            </w:pPr>
            <w:r w:rsidRPr="00970EC6">
              <w:rPr>
                <w:rFonts w:ascii="Times New Roman" w:hAnsi="Times New Roman"/>
                <w:b/>
                <w:bCs/>
                <w:color w:val="000000"/>
                <w:sz w:val="24"/>
              </w:rPr>
              <w:t>Vysvetlenie</w:t>
            </w:r>
          </w:p>
        </w:tc>
      </w:tr>
      <w:tr w:rsidR="00DB382A" w:rsidRPr="00970EC6" w14:paraId="24FB93C5" w14:textId="77777777">
        <w:trPr>
          <w:trHeight w:val="259"/>
        </w:trPr>
        <w:tc>
          <w:tcPr>
            <w:tcW w:w="1030" w:type="dxa"/>
            <w:vAlign w:val="center"/>
          </w:tcPr>
          <w:p w14:paraId="0A6DB1C4" w14:textId="77777777" w:rsidR="00DB382A" w:rsidRPr="00970EC6" w:rsidRDefault="00970EC6">
            <w:pPr>
              <w:spacing w:after="200" w:line="276" w:lineRule="auto"/>
              <w:rPr>
                <w:rFonts w:ascii="Times New Roman" w:eastAsia="Times New Roman" w:hAnsi="Times New Roman" w:cs="Times New Roman"/>
                <w:sz w:val="24"/>
              </w:rPr>
            </w:pPr>
            <w:r w:rsidRPr="00970EC6">
              <w:rPr>
                <w:rFonts w:ascii="Times New Roman" w:hAnsi="Times New Roman"/>
                <w:color w:val="000000"/>
                <w:sz w:val="24"/>
              </w:rPr>
              <w:t>1</w:t>
            </w:r>
          </w:p>
        </w:tc>
        <w:tc>
          <w:tcPr>
            <w:tcW w:w="7661" w:type="dxa"/>
            <w:shd w:val="clear" w:color="auto" w:fill="auto"/>
            <w:noWrap/>
            <w:vAlign w:val="bottom"/>
          </w:tcPr>
          <w:p w14:paraId="2D495770" w14:textId="77777777" w:rsidR="00DB382A" w:rsidRPr="00970EC6" w:rsidRDefault="00970EC6">
            <w:pPr>
              <w:spacing w:after="200" w:line="276" w:lineRule="auto"/>
              <w:jc w:val="both"/>
              <w:rPr>
                <w:rFonts w:ascii="Times New Roman" w:eastAsia="Times New Roman" w:hAnsi="Times New Roman" w:cs="Times New Roman"/>
                <w:sz w:val="24"/>
              </w:rPr>
            </w:pPr>
            <w:r w:rsidRPr="00970EC6">
              <w:rPr>
                <w:rFonts w:ascii="Times New Roman" w:hAnsi="Times New Roman"/>
                <w:sz w:val="24"/>
              </w:rPr>
              <w:t>Emitent</w:t>
            </w:r>
          </w:p>
          <w:p w14:paraId="71AC361B" w14:textId="77777777" w:rsidR="00DB382A" w:rsidRPr="00970EC6" w:rsidRDefault="00970EC6">
            <w:pPr>
              <w:spacing w:after="200" w:line="276" w:lineRule="auto"/>
              <w:jc w:val="both"/>
              <w:rPr>
                <w:rFonts w:ascii="Times New Roman" w:eastAsia="Times New Roman" w:hAnsi="Times New Roman" w:cs="Times New Roman"/>
                <w:sz w:val="24"/>
              </w:rPr>
            </w:pPr>
            <w:r w:rsidRPr="00970EC6">
              <w:rPr>
                <w:rFonts w:ascii="Times New Roman" w:hAnsi="Times New Roman"/>
                <w:sz w:val="24"/>
              </w:rPr>
              <w:t>Identifikácia právneho subjektu emitenta</w:t>
            </w:r>
          </w:p>
          <w:p w14:paraId="76A4A284" w14:textId="77777777" w:rsidR="00DB382A" w:rsidRPr="00970EC6" w:rsidRDefault="00970EC6">
            <w:pPr>
              <w:spacing w:after="200" w:line="276" w:lineRule="auto"/>
              <w:jc w:val="both"/>
              <w:rPr>
                <w:rFonts w:ascii="Times New Roman" w:eastAsia="Times New Roman" w:hAnsi="Times New Roman" w:cs="Times New Roman"/>
                <w:i/>
                <w:sz w:val="24"/>
              </w:rPr>
            </w:pPr>
            <w:r w:rsidRPr="00970EC6">
              <w:rPr>
                <w:rFonts w:ascii="Times New Roman" w:hAnsi="Times New Roman"/>
                <w:i/>
                <w:sz w:val="24"/>
              </w:rPr>
              <w:t>Ľubovoľný text</w:t>
            </w:r>
          </w:p>
        </w:tc>
      </w:tr>
      <w:tr w:rsidR="00DB382A" w:rsidRPr="00970EC6" w14:paraId="7E851D5D" w14:textId="77777777">
        <w:trPr>
          <w:trHeight w:val="259"/>
        </w:trPr>
        <w:tc>
          <w:tcPr>
            <w:tcW w:w="1030" w:type="dxa"/>
            <w:vAlign w:val="center"/>
          </w:tcPr>
          <w:p w14:paraId="6260C31B" w14:textId="77777777" w:rsidR="00DB382A" w:rsidRPr="00970EC6" w:rsidRDefault="00970EC6">
            <w:pPr>
              <w:spacing w:after="200" w:line="276" w:lineRule="auto"/>
              <w:rPr>
                <w:rFonts w:ascii="Times New Roman" w:eastAsia="Times New Roman" w:hAnsi="Times New Roman" w:cs="Times New Roman"/>
                <w:sz w:val="24"/>
              </w:rPr>
            </w:pPr>
            <w:r w:rsidRPr="00970EC6">
              <w:rPr>
                <w:rFonts w:ascii="Times New Roman" w:hAnsi="Times New Roman"/>
                <w:color w:val="000000"/>
                <w:sz w:val="24"/>
              </w:rPr>
              <w:t>2</w:t>
            </w:r>
          </w:p>
        </w:tc>
        <w:tc>
          <w:tcPr>
            <w:tcW w:w="7661" w:type="dxa"/>
            <w:shd w:val="clear" w:color="auto" w:fill="auto"/>
            <w:noWrap/>
            <w:vAlign w:val="bottom"/>
          </w:tcPr>
          <w:p w14:paraId="3529DB25" w14:textId="77777777" w:rsidR="00DB382A" w:rsidRPr="00970EC6" w:rsidRDefault="00970EC6">
            <w:pPr>
              <w:spacing w:after="200" w:line="276" w:lineRule="auto"/>
              <w:jc w:val="both"/>
              <w:rPr>
                <w:rFonts w:ascii="Times New Roman" w:eastAsia="Times New Roman" w:hAnsi="Times New Roman" w:cs="Times New Roman"/>
                <w:sz w:val="24"/>
              </w:rPr>
            </w:pPr>
            <w:r w:rsidRPr="00970EC6">
              <w:rPr>
                <w:rFonts w:ascii="Times New Roman" w:hAnsi="Times New Roman"/>
                <w:sz w:val="24"/>
              </w:rPr>
              <w:t>Jedinečný identifikátor (napr. identifikátor CUSIP, ISIN alebo Bloomberg pre súkromné umiestňovanie)</w:t>
            </w:r>
          </w:p>
          <w:p w14:paraId="21C8E958" w14:textId="77777777" w:rsidR="00DB382A" w:rsidRPr="00970EC6" w:rsidRDefault="00970EC6">
            <w:pPr>
              <w:spacing w:after="200" w:line="276" w:lineRule="auto"/>
              <w:jc w:val="both"/>
              <w:rPr>
                <w:rFonts w:ascii="Times New Roman" w:eastAsia="Times New Roman" w:hAnsi="Times New Roman" w:cs="Times New Roman"/>
                <w:sz w:val="24"/>
              </w:rPr>
            </w:pPr>
            <w:r w:rsidRPr="00970EC6">
              <w:rPr>
                <w:rFonts w:ascii="Times New Roman" w:hAnsi="Times New Roman"/>
                <w:sz w:val="24"/>
              </w:rPr>
              <w:t>Jedinečný identifikátor (napr. identifikátor CUSIP, ISIN alebo Bloomberg pre súkromné umiestňovanie)</w:t>
            </w:r>
          </w:p>
          <w:p w14:paraId="33AC92B6" w14:textId="77777777" w:rsidR="00DB382A" w:rsidRPr="00970EC6" w:rsidRDefault="00970EC6">
            <w:pPr>
              <w:spacing w:after="200" w:line="276" w:lineRule="auto"/>
              <w:jc w:val="both"/>
              <w:rPr>
                <w:rFonts w:ascii="Times New Roman" w:eastAsia="Times New Roman" w:hAnsi="Times New Roman" w:cs="Times New Roman"/>
                <w:sz w:val="24"/>
              </w:rPr>
            </w:pPr>
            <w:r w:rsidRPr="00970EC6">
              <w:rPr>
                <w:rFonts w:ascii="Times New Roman" w:hAnsi="Times New Roman"/>
                <w:i/>
                <w:sz w:val="24"/>
              </w:rPr>
              <w:t>Ľubovoľný text</w:t>
            </w:r>
          </w:p>
        </w:tc>
      </w:tr>
      <w:tr w:rsidR="00DB382A" w:rsidRPr="00970EC6" w14:paraId="067670F3" w14:textId="77777777">
        <w:trPr>
          <w:trHeight w:val="259"/>
        </w:trPr>
        <w:tc>
          <w:tcPr>
            <w:tcW w:w="1030" w:type="dxa"/>
            <w:vAlign w:val="center"/>
          </w:tcPr>
          <w:p w14:paraId="53C48367" w14:textId="77777777" w:rsidR="00DB382A" w:rsidRPr="00970EC6" w:rsidRDefault="00970EC6">
            <w:pPr>
              <w:spacing w:after="200" w:line="276" w:lineRule="auto"/>
              <w:rPr>
                <w:rFonts w:ascii="Times New Roman" w:eastAsia="Times New Roman" w:hAnsi="Times New Roman" w:cs="Times New Roman"/>
                <w:sz w:val="24"/>
              </w:rPr>
            </w:pPr>
            <w:r w:rsidRPr="00970EC6">
              <w:rPr>
                <w:rFonts w:ascii="Times New Roman" w:hAnsi="Times New Roman"/>
                <w:color w:val="000000"/>
                <w:sz w:val="24"/>
              </w:rPr>
              <w:t>3</w:t>
            </w:r>
          </w:p>
        </w:tc>
        <w:tc>
          <w:tcPr>
            <w:tcW w:w="7661" w:type="dxa"/>
            <w:shd w:val="clear" w:color="auto" w:fill="auto"/>
            <w:noWrap/>
            <w:vAlign w:val="bottom"/>
          </w:tcPr>
          <w:p w14:paraId="34F1E1C2" w14:textId="77777777" w:rsidR="00DB382A" w:rsidRPr="00970EC6" w:rsidRDefault="00970EC6">
            <w:pPr>
              <w:autoSpaceDE w:val="0"/>
              <w:autoSpaceDN w:val="0"/>
              <w:adjustRightInd w:val="0"/>
              <w:spacing w:after="200" w:line="276" w:lineRule="auto"/>
              <w:jc w:val="both"/>
              <w:rPr>
                <w:rFonts w:ascii="Times New Roman" w:eastAsia="Times New Roman" w:hAnsi="Times New Roman" w:cs="Times New Roman"/>
                <w:sz w:val="24"/>
              </w:rPr>
            </w:pPr>
            <w:r w:rsidRPr="00970EC6">
              <w:rPr>
                <w:rFonts w:ascii="Times New Roman" w:hAnsi="Times New Roman"/>
                <w:sz w:val="24"/>
              </w:rPr>
              <w:t xml:space="preserve">Verejné alebo </w:t>
            </w:r>
            <w:r w:rsidRPr="00970EC6">
              <w:rPr>
                <w:rFonts w:ascii="Times New Roman" w:hAnsi="Times New Roman"/>
                <w:sz w:val="24"/>
              </w:rPr>
              <w:t>súkromné umiestňovanie</w:t>
            </w:r>
          </w:p>
          <w:p w14:paraId="3E6E9310" w14:textId="77777777" w:rsidR="00DB382A" w:rsidRPr="00970EC6" w:rsidRDefault="00970EC6">
            <w:pPr>
              <w:autoSpaceDE w:val="0"/>
              <w:autoSpaceDN w:val="0"/>
              <w:adjustRightInd w:val="0"/>
              <w:spacing w:after="200" w:line="276" w:lineRule="auto"/>
              <w:jc w:val="both"/>
              <w:rPr>
                <w:rFonts w:ascii="Times New Roman" w:eastAsia="Times New Roman" w:hAnsi="Times New Roman" w:cs="Times New Roman"/>
                <w:sz w:val="24"/>
              </w:rPr>
            </w:pPr>
            <w:r w:rsidRPr="00970EC6">
              <w:rPr>
                <w:rFonts w:ascii="Times New Roman" w:hAnsi="Times New Roman"/>
                <w:sz w:val="24"/>
              </w:rPr>
              <w:t>Určenie, či bol nástroj umiestnený verejne alebo súkromne.</w:t>
            </w:r>
          </w:p>
          <w:p w14:paraId="330CA082" w14:textId="77777777" w:rsidR="00DB382A" w:rsidRPr="00970EC6" w:rsidRDefault="00970EC6">
            <w:pPr>
              <w:spacing w:after="200" w:line="276" w:lineRule="auto"/>
              <w:jc w:val="both"/>
              <w:rPr>
                <w:rFonts w:ascii="Times New Roman" w:eastAsia="Times New Roman" w:hAnsi="Times New Roman" w:cs="Times New Roman"/>
                <w:sz w:val="24"/>
              </w:rPr>
            </w:pPr>
            <w:r w:rsidRPr="00970EC6">
              <w:rPr>
                <w:rFonts w:ascii="Times New Roman" w:hAnsi="Times New Roman"/>
                <w:i/>
                <w:sz w:val="24"/>
              </w:rPr>
              <w:t>Vyberte z ponuky: [Verejné] [Súkromné]</w:t>
            </w:r>
          </w:p>
        </w:tc>
      </w:tr>
      <w:tr w:rsidR="00DB382A" w:rsidRPr="00970EC6" w14:paraId="2B9471E4" w14:textId="77777777">
        <w:trPr>
          <w:trHeight w:val="259"/>
        </w:trPr>
        <w:tc>
          <w:tcPr>
            <w:tcW w:w="1030" w:type="dxa"/>
            <w:vAlign w:val="center"/>
          </w:tcPr>
          <w:p w14:paraId="08D7C5F7" w14:textId="77777777" w:rsidR="00DB382A" w:rsidRPr="00970EC6" w:rsidRDefault="00970EC6">
            <w:pPr>
              <w:spacing w:after="200" w:line="276" w:lineRule="auto"/>
              <w:rPr>
                <w:rFonts w:ascii="Times New Roman" w:eastAsia="Times New Roman" w:hAnsi="Times New Roman" w:cs="Times New Roman"/>
                <w:sz w:val="24"/>
              </w:rPr>
            </w:pPr>
            <w:r w:rsidRPr="00970EC6">
              <w:rPr>
                <w:rFonts w:ascii="Times New Roman" w:hAnsi="Times New Roman"/>
                <w:color w:val="000000"/>
                <w:sz w:val="24"/>
              </w:rPr>
              <w:t>4</w:t>
            </w:r>
          </w:p>
        </w:tc>
        <w:tc>
          <w:tcPr>
            <w:tcW w:w="7661" w:type="dxa"/>
            <w:shd w:val="clear" w:color="auto" w:fill="auto"/>
            <w:noWrap/>
            <w:vAlign w:val="bottom"/>
          </w:tcPr>
          <w:p w14:paraId="58D2443C" w14:textId="77777777" w:rsidR="00DB382A" w:rsidRPr="00970EC6" w:rsidRDefault="00970EC6">
            <w:pPr>
              <w:autoSpaceDE w:val="0"/>
              <w:autoSpaceDN w:val="0"/>
              <w:adjustRightInd w:val="0"/>
              <w:spacing w:after="200" w:line="276" w:lineRule="auto"/>
              <w:jc w:val="both"/>
              <w:rPr>
                <w:rFonts w:ascii="Times New Roman" w:eastAsia="Times New Roman" w:hAnsi="Times New Roman" w:cs="Times New Roman"/>
                <w:sz w:val="24"/>
              </w:rPr>
            </w:pPr>
            <w:r w:rsidRPr="00970EC6">
              <w:rPr>
                <w:rFonts w:ascii="Times New Roman" w:hAnsi="Times New Roman"/>
                <w:sz w:val="24"/>
              </w:rPr>
              <w:t>Rozhodné právo (práva) nástroja</w:t>
            </w:r>
          </w:p>
          <w:p w14:paraId="159091C8" w14:textId="77777777" w:rsidR="00DB382A" w:rsidRPr="00970EC6" w:rsidRDefault="00970EC6">
            <w:pPr>
              <w:autoSpaceDE w:val="0"/>
              <w:autoSpaceDN w:val="0"/>
              <w:adjustRightInd w:val="0"/>
              <w:spacing w:after="200" w:line="276" w:lineRule="auto"/>
              <w:jc w:val="both"/>
              <w:rPr>
                <w:rFonts w:ascii="Times New Roman" w:eastAsia="Times New Roman" w:hAnsi="Times New Roman" w:cs="Times New Roman"/>
                <w:sz w:val="24"/>
              </w:rPr>
            </w:pPr>
            <w:r w:rsidRPr="00970EC6">
              <w:rPr>
                <w:rFonts w:ascii="Times New Roman" w:hAnsi="Times New Roman"/>
                <w:sz w:val="24"/>
              </w:rPr>
              <w:t>Určenie rozhodného práva (práv) nástroja</w:t>
            </w:r>
          </w:p>
          <w:p w14:paraId="66357348" w14:textId="77777777" w:rsidR="00DB382A" w:rsidRPr="00970EC6" w:rsidRDefault="00970EC6">
            <w:pPr>
              <w:spacing w:after="200" w:line="276" w:lineRule="auto"/>
              <w:jc w:val="both"/>
              <w:rPr>
                <w:rFonts w:ascii="Times New Roman" w:eastAsia="Times New Roman" w:hAnsi="Times New Roman" w:cs="Times New Roman"/>
                <w:i/>
                <w:sz w:val="24"/>
              </w:rPr>
            </w:pPr>
            <w:r w:rsidRPr="00970EC6">
              <w:rPr>
                <w:rFonts w:ascii="Times New Roman" w:hAnsi="Times New Roman"/>
                <w:i/>
                <w:sz w:val="24"/>
              </w:rPr>
              <w:t xml:space="preserve">Ľubovoľný text </w:t>
            </w:r>
          </w:p>
        </w:tc>
      </w:tr>
      <w:tr w:rsidR="00DB382A" w:rsidRPr="00970EC6" w14:paraId="0D7D0990" w14:textId="77777777">
        <w:trPr>
          <w:trHeight w:val="259"/>
        </w:trPr>
        <w:tc>
          <w:tcPr>
            <w:tcW w:w="1030" w:type="dxa"/>
            <w:vAlign w:val="center"/>
          </w:tcPr>
          <w:p w14:paraId="78E1FE68" w14:textId="77777777" w:rsidR="00DB382A" w:rsidRPr="00970EC6" w:rsidRDefault="00970EC6">
            <w:pPr>
              <w:spacing w:after="200" w:line="276" w:lineRule="auto"/>
              <w:rPr>
                <w:rFonts w:ascii="Times New Roman" w:eastAsia="Times New Roman" w:hAnsi="Times New Roman" w:cs="Times New Roman"/>
                <w:sz w:val="24"/>
              </w:rPr>
            </w:pPr>
            <w:r w:rsidRPr="00970EC6">
              <w:rPr>
                <w:rFonts w:ascii="Times New Roman" w:hAnsi="Times New Roman"/>
                <w:color w:val="000000"/>
                <w:sz w:val="24"/>
              </w:rPr>
              <w:t>5</w:t>
            </w:r>
          </w:p>
        </w:tc>
        <w:tc>
          <w:tcPr>
            <w:tcW w:w="7661" w:type="dxa"/>
            <w:shd w:val="clear" w:color="auto" w:fill="auto"/>
            <w:noWrap/>
            <w:vAlign w:val="bottom"/>
          </w:tcPr>
          <w:p w14:paraId="10E9E008" w14:textId="77777777" w:rsidR="00DB382A" w:rsidRPr="00970EC6" w:rsidRDefault="00970EC6">
            <w:pPr>
              <w:spacing w:after="200" w:line="276" w:lineRule="auto"/>
              <w:jc w:val="both"/>
              <w:rPr>
                <w:rFonts w:ascii="Times New Roman" w:eastAsia="Times New Roman" w:hAnsi="Times New Roman" w:cs="Times New Roman"/>
                <w:sz w:val="24"/>
              </w:rPr>
            </w:pPr>
            <w:r w:rsidRPr="00970EC6">
              <w:rPr>
                <w:rFonts w:ascii="Times New Roman" w:hAnsi="Times New Roman"/>
                <w:sz w:val="24"/>
              </w:rPr>
              <w:t xml:space="preserve">Druh nástroja (druhy upresnia </w:t>
            </w:r>
            <w:r w:rsidRPr="00970EC6">
              <w:rPr>
                <w:rFonts w:ascii="Times New Roman" w:hAnsi="Times New Roman"/>
                <w:sz w:val="24"/>
              </w:rPr>
              <w:t>jednotlivé jurisdikcie)</w:t>
            </w:r>
          </w:p>
          <w:p w14:paraId="77445D4F" w14:textId="77777777" w:rsidR="00DB382A" w:rsidRPr="00970EC6" w:rsidRDefault="00970EC6">
            <w:pPr>
              <w:spacing w:after="200" w:line="276" w:lineRule="auto"/>
              <w:jc w:val="both"/>
              <w:rPr>
                <w:rFonts w:ascii="Times New Roman" w:eastAsia="Times New Roman" w:hAnsi="Times New Roman" w:cs="Times New Roman"/>
                <w:sz w:val="24"/>
              </w:rPr>
            </w:pPr>
            <w:r w:rsidRPr="00970EC6">
              <w:rPr>
                <w:rFonts w:ascii="Times New Roman" w:hAnsi="Times New Roman"/>
                <w:sz w:val="24"/>
              </w:rPr>
              <w:t>Určenie druhu nástroja v závislosti od jurisdikcie</w:t>
            </w:r>
          </w:p>
          <w:p w14:paraId="14BC87B4" w14:textId="77777777" w:rsidR="00DB382A" w:rsidRPr="00970EC6" w:rsidRDefault="00970EC6">
            <w:pPr>
              <w:spacing w:after="200" w:line="276" w:lineRule="auto"/>
              <w:jc w:val="both"/>
              <w:rPr>
                <w:rFonts w:ascii="Times New Roman" w:eastAsia="Times New Roman" w:hAnsi="Times New Roman" w:cs="Times New Roman"/>
                <w:i/>
                <w:sz w:val="24"/>
              </w:rPr>
            </w:pPr>
            <w:r w:rsidRPr="00970EC6">
              <w:rPr>
                <w:rFonts w:ascii="Times New Roman" w:hAnsi="Times New Roman"/>
                <w:i/>
                <w:sz w:val="24"/>
              </w:rPr>
              <w:t>V</w:t>
            </w:r>
            <w:r w:rsidRPr="00970EC6">
              <w:rPr>
                <w:rFonts w:ascii="Times New Roman" w:eastAsia="Times New Roman" w:hAnsi="Times New Roman" w:cs="Times New Roman"/>
                <w:sz w:val="24"/>
              </w:rPr>
              <w:t> </w:t>
            </w:r>
            <w:r w:rsidRPr="00970EC6">
              <w:rPr>
                <w:rFonts w:ascii="Times New Roman" w:hAnsi="Times New Roman"/>
                <w:i/>
                <w:sz w:val="24"/>
              </w:rPr>
              <w:t>prípade nástrojov vlastného kapitálu Tier 1 vyberte názov nástroja v zozname vlastného kapitálu Tier 1, ktorý uverejnil orgán EBA.</w:t>
            </w:r>
          </w:p>
          <w:p w14:paraId="1FAEBC5D" w14:textId="77777777" w:rsidR="00DB382A" w:rsidRPr="00970EC6" w:rsidRDefault="00970EC6">
            <w:pPr>
              <w:spacing w:after="200" w:line="276" w:lineRule="auto"/>
              <w:jc w:val="both"/>
              <w:rPr>
                <w:rFonts w:ascii="Times New Roman" w:eastAsia="Times New Roman" w:hAnsi="Times New Roman" w:cs="Times New Roman"/>
                <w:i/>
                <w:sz w:val="24"/>
              </w:rPr>
            </w:pPr>
            <w:r w:rsidRPr="00970EC6">
              <w:rPr>
                <w:rFonts w:ascii="Times New Roman" w:hAnsi="Times New Roman"/>
                <w:i/>
                <w:sz w:val="24"/>
              </w:rPr>
              <w:lastRenderedPageBreak/>
              <w:t>V</w:t>
            </w:r>
            <w:r w:rsidRPr="00970EC6">
              <w:rPr>
                <w:rFonts w:ascii="Times New Roman" w:eastAsia="Times New Roman" w:hAnsi="Times New Roman" w:cs="Times New Roman"/>
                <w:i/>
                <w:sz w:val="24"/>
              </w:rPr>
              <w:t> </w:t>
            </w:r>
            <w:r w:rsidRPr="00970EC6">
              <w:rPr>
                <w:rFonts w:ascii="Times New Roman" w:hAnsi="Times New Roman"/>
                <w:i/>
                <w:sz w:val="24"/>
              </w:rPr>
              <w:t>prípade iných nástrojov vyberte spomedzi: možn</w:t>
            </w:r>
            <w:r w:rsidRPr="00970EC6">
              <w:rPr>
                <w:rFonts w:ascii="Times New Roman" w:hAnsi="Times New Roman"/>
                <w:i/>
                <w:sz w:val="24"/>
              </w:rPr>
              <w:t>ostí ponuky, ktoré sa poskytnú investičným spoločnostiam v rámci danej jurisdikcie – vložiť právne odkazy na články nariadenia (EÚ) 2019/2033 pre každý druh nástroja.</w:t>
            </w:r>
          </w:p>
        </w:tc>
      </w:tr>
      <w:tr w:rsidR="00DB382A" w:rsidRPr="00970EC6" w14:paraId="007A6632" w14:textId="77777777">
        <w:trPr>
          <w:trHeight w:val="259"/>
        </w:trPr>
        <w:tc>
          <w:tcPr>
            <w:tcW w:w="1030" w:type="dxa"/>
            <w:vAlign w:val="center"/>
          </w:tcPr>
          <w:p w14:paraId="10E4A19F" w14:textId="77777777" w:rsidR="00DB382A" w:rsidRPr="00970EC6" w:rsidRDefault="00970EC6">
            <w:pPr>
              <w:spacing w:after="200" w:line="276" w:lineRule="auto"/>
              <w:rPr>
                <w:rFonts w:ascii="Times New Roman" w:eastAsia="Times New Roman" w:hAnsi="Times New Roman" w:cs="Times New Roman"/>
                <w:sz w:val="24"/>
              </w:rPr>
            </w:pPr>
            <w:r w:rsidRPr="00970EC6">
              <w:rPr>
                <w:rFonts w:ascii="Times New Roman" w:hAnsi="Times New Roman"/>
                <w:color w:val="000000"/>
                <w:sz w:val="24"/>
              </w:rPr>
              <w:lastRenderedPageBreak/>
              <w:t>6</w:t>
            </w:r>
          </w:p>
        </w:tc>
        <w:tc>
          <w:tcPr>
            <w:tcW w:w="7661" w:type="dxa"/>
            <w:shd w:val="clear" w:color="auto" w:fill="auto"/>
            <w:noWrap/>
            <w:vAlign w:val="bottom"/>
          </w:tcPr>
          <w:p w14:paraId="2E190F1A" w14:textId="77777777" w:rsidR="00DB382A" w:rsidRPr="00970EC6" w:rsidRDefault="00970EC6">
            <w:pPr>
              <w:spacing w:after="200" w:line="276" w:lineRule="auto"/>
              <w:jc w:val="both"/>
              <w:rPr>
                <w:rFonts w:ascii="Times New Roman" w:eastAsia="Times New Roman" w:hAnsi="Times New Roman" w:cs="Times New Roman"/>
                <w:sz w:val="24"/>
              </w:rPr>
            </w:pPr>
            <w:r w:rsidRPr="00970EC6">
              <w:rPr>
                <w:rFonts w:ascii="Times New Roman" w:hAnsi="Times New Roman"/>
                <w:sz w:val="24"/>
              </w:rPr>
              <w:t>Suma vykázaná v regulatórnom kapitáli (mena v miliónoch, k poslednému dátumu vykazovan</w:t>
            </w:r>
            <w:r w:rsidRPr="00970EC6">
              <w:rPr>
                <w:rFonts w:ascii="Times New Roman" w:hAnsi="Times New Roman"/>
                <w:sz w:val="24"/>
              </w:rPr>
              <w:t>ia)</w:t>
            </w:r>
          </w:p>
          <w:p w14:paraId="12653715" w14:textId="77777777" w:rsidR="00DB382A" w:rsidRPr="00970EC6" w:rsidRDefault="00970EC6">
            <w:pPr>
              <w:spacing w:after="200" w:line="276" w:lineRule="auto"/>
              <w:jc w:val="both"/>
              <w:rPr>
                <w:rFonts w:ascii="Times New Roman" w:eastAsia="Times New Roman" w:hAnsi="Times New Roman" w:cs="Times New Roman"/>
                <w:sz w:val="24"/>
              </w:rPr>
            </w:pPr>
            <w:r w:rsidRPr="00970EC6">
              <w:rPr>
                <w:rFonts w:ascii="Times New Roman" w:hAnsi="Times New Roman"/>
                <w:sz w:val="24"/>
              </w:rPr>
              <w:t>Určenie sumy vykázanej v regulatórnych vlastných zdrojoch (celková hodnota nástroja vykázaná pred uplatnením prechodných ustanovení pre príslušný stupeň zverejňovania – mena použitá v rámci povinností týkajúcich sa vykazovania)</w:t>
            </w:r>
          </w:p>
          <w:p w14:paraId="4FFEE3EA" w14:textId="77777777" w:rsidR="00DB382A" w:rsidRPr="00970EC6" w:rsidRDefault="00970EC6">
            <w:pPr>
              <w:spacing w:after="200" w:line="276" w:lineRule="auto"/>
              <w:jc w:val="both"/>
              <w:rPr>
                <w:rFonts w:ascii="Times New Roman" w:eastAsia="Times New Roman" w:hAnsi="Times New Roman" w:cs="Times New Roman"/>
                <w:i/>
                <w:sz w:val="24"/>
              </w:rPr>
            </w:pPr>
            <w:r w:rsidRPr="00970EC6">
              <w:rPr>
                <w:rFonts w:ascii="Times New Roman" w:hAnsi="Times New Roman"/>
                <w:i/>
                <w:sz w:val="24"/>
              </w:rPr>
              <w:t xml:space="preserve">Ľubovoľný text – </w:t>
            </w:r>
            <w:r w:rsidRPr="00970EC6">
              <w:rPr>
                <w:rFonts w:ascii="Times New Roman" w:hAnsi="Times New Roman"/>
                <w:i/>
                <w:sz w:val="24"/>
              </w:rPr>
              <w:t>uveďte najmä to, či niektoré časti nástrojov sú v rôznych úrovniach (Tier) regulatórnych vlastných zdrojov a či sa vykazovaná suma regulatórnych vlastných zdrojov líši od emitovanej sumy.</w:t>
            </w:r>
          </w:p>
        </w:tc>
      </w:tr>
      <w:tr w:rsidR="00DB382A" w:rsidRPr="00970EC6" w14:paraId="74CF2C86" w14:textId="77777777">
        <w:trPr>
          <w:trHeight w:val="259"/>
        </w:trPr>
        <w:tc>
          <w:tcPr>
            <w:tcW w:w="1030" w:type="dxa"/>
            <w:vAlign w:val="center"/>
          </w:tcPr>
          <w:p w14:paraId="72AF4C00" w14:textId="77777777" w:rsidR="00DB382A" w:rsidRPr="00970EC6" w:rsidRDefault="00970EC6">
            <w:pPr>
              <w:spacing w:after="200" w:line="276" w:lineRule="auto"/>
              <w:rPr>
                <w:rFonts w:ascii="Times New Roman" w:eastAsia="Times New Roman" w:hAnsi="Times New Roman" w:cs="Times New Roman"/>
                <w:sz w:val="24"/>
              </w:rPr>
            </w:pPr>
            <w:r w:rsidRPr="00970EC6">
              <w:rPr>
                <w:rFonts w:ascii="Times New Roman" w:hAnsi="Times New Roman"/>
                <w:color w:val="000000"/>
                <w:sz w:val="24"/>
              </w:rPr>
              <w:t>7</w:t>
            </w:r>
          </w:p>
        </w:tc>
        <w:tc>
          <w:tcPr>
            <w:tcW w:w="7661" w:type="dxa"/>
            <w:shd w:val="clear" w:color="auto" w:fill="auto"/>
            <w:noWrap/>
            <w:vAlign w:val="bottom"/>
          </w:tcPr>
          <w:p w14:paraId="4A0392E9" w14:textId="77777777" w:rsidR="00DB382A" w:rsidRPr="00970EC6" w:rsidRDefault="00970EC6">
            <w:pPr>
              <w:spacing w:after="200" w:line="276" w:lineRule="auto"/>
              <w:jc w:val="both"/>
              <w:rPr>
                <w:rFonts w:ascii="Times New Roman" w:eastAsia="Times New Roman" w:hAnsi="Times New Roman" w:cs="Times New Roman"/>
                <w:sz w:val="24"/>
              </w:rPr>
            </w:pPr>
            <w:r w:rsidRPr="00970EC6">
              <w:rPr>
                <w:rFonts w:ascii="Times New Roman" w:hAnsi="Times New Roman"/>
                <w:sz w:val="24"/>
              </w:rPr>
              <w:t>Nominálna hodnota nástroja</w:t>
            </w:r>
          </w:p>
          <w:p w14:paraId="0627E437" w14:textId="77777777" w:rsidR="00DB382A" w:rsidRPr="00970EC6" w:rsidRDefault="00970EC6">
            <w:pPr>
              <w:spacing w:after="200" w:line="276" w:lineRule="auto"/>
              <w:jc w:val="both"/>
              <w:rPr>
                <w:rFonts w:ascii="Times New Roman" w:eastAsia="Times New Roman" w:hAnsi="Times New Roman" w:cs="Times New Roman"/>
                <w:sz w:val="24"/>
              </w:rPr>
            </w:pPr>
            <w:r w:rsidRPr="00970EC6">
              <w:rPr>
                <w:rFonts w:ascii="Times New Roman" w:hAnsi="Times New Roman"/>
                <w:sz w:val="24"/>
              </w:rPr>
              <w:t>Nominálna hodnota nástroja (v mene emi</w:t>
            </w:r>
            <w:r w:rsidRPr="00970EC6">
              <w:rPr>
                <w:rFonts w:ascii="Times New Roman" w:hAnsi="Times New Roman"/>
                <w:sz w:val="24"/>
              </w:rPr>
              <w:t>sie a mene použitej v rámci povinností týkajúcich sa vykazovania)</w:t>
            </w:r>
          </w:p>
          <w:p w14:paraId="436AD737" w14:textId="77777777" w:rsidR="00DB382A" w:rsidRPr="00970EC6" w:rsidRDefault="00970EC6">
            <w:pPr>
              <w:spacing w:after="200" w:line="276" w:lineRule="auto"/>
              <w:jc w:val="both"/>
              <w:rPr>
                <w:rFonts w:ascii="Times New Roman" w:eastAsia="Times New Roman" w:hAnsi="Times New Roman" w:cs="Times New Roman"/>
                <w:i/>
                <w:sz w:val="24"/>
              </w:rPr>
            </w:pPr>
            <w:r w:rsidRPr="00970EC6">
              <w:rPr>
                <w:rFonts w:ascii="Times New Roman" w:hAnsi="Times New Roman"/>
                <w:i/>
                <w:sz w:val="24"/>
              </w:rPr>
              <w:t>Ľubovoľný text</w:t>
            </w:r>
          </w:p>
        </w:tc>
      </w:tr>
      <w:tr w:rsidR="00DB382A" w:rsidRPr="00970EC6" w14:paraId="4C46E5AF" w14:textId="77777777">
        <w:trPr>
          <w:trHeight w:val="259"/>
        </w:trPr>
        <w:tc>
          <w:tcPr>
            <w:tcW w:w="1030" w:type="dxa"/>
            <w:vAlign w:val="center"/>
          </w:tcPr>
          <w:p w14:paraId="4AEBFED3" w14:textId="77777777" w:rsidR="00DB382A" w:rsidRPr="00970EC6" w:rsidRDefault="00970EC6">
            <w:pPr>
              <w:spacing w:after="200" w:line="276" w:lineRule="auto"/>
              <w:rPr>
                <w:rFonts w:ascii="Times New Roman" w:eastAsia="Times New Roman" w:hAnsi="Times New Roman" w:cs="Times New Roman"/>
                <w:sz w:val="24"/>
              </w:rPr>
            </w:pPr>
            <w:r w:rsidRPr="00970EC6">
              <w:rPr>
                <w:rFonts w:ascii="Times New Roman" w:hAnsi="Times New Roman"/>
                <w:color w:val="000000"/>
                <w:sz w:val="24"/>
              </w:rPr>
              <w:t>8</w:t>
            </w:r>
          </w:p>
        </w:tc>
        <w:tc>
          <w:tcPr>
            <w:tcW w:w="7661" w:type="dxa"/>
            <w:shd w:val="clear" w:color="auto" w:fill="auto"/>
            <w:noWrap/>
            <w:vAlign w:val="bottom"/>
          </w:tcPr>
          <w:p w14:paraId="5A9BBF17" w14:textId="77777777" w:rsidR="00DB382A" w:rsidRPr="00970EC6" w:rsidRDefault="00970EC6">
            <w:pPr>
              <w:spacing w:after="200" w:line="276" w:lineRule="auto"/>
              <w:jc w:val="both"/>
              <w:rPr>
                <w:rFonts w:ascii="Times New Roman" w:eastAsia="Times New Roman" w:hAnsi="Times New Roman" w:cs="Times New Roman"/>
                <w:sz w:val="24"/>
              </w:rPr>
            </w:pPr>
            <w:r w:rsidRPr="00970EC6">
              <w:rPr>
                <w:rFonts w:ascii="Times New Roman" w:hAnsi="Times New Roman"/>
                <w:sz w:val="24"/>
              </w:rPr>
              <w:t>Emisná cena</w:t>
            </w:r>
          </w:p>
          <w:p w14:paraId="23FEB86A" w14:textId="77777777" w:rsidR="00DB382A" w:rsidRPr="00970EC6" w:rsidRDefault="00970EC6">
            <w:pPr>
              <w:spacing w:after="200" w:line="276" w:lineRule="auto"/>
              <w:jc w:val="both"/>
              <w:rPr>
                <w:rFonts w:ascii="Times New Roman" w:eastAsia="Times New Roman" w:hAnsi="Times New Roman" w:cs="Times New Roman"/>
                <w:sz w:val="24"/>
              </w:rPr>
            </w:pPr>
            <w:r w:rsidRPr="00970EC6">
              <w:rPr>
                <w:rFonts w:ascii="Times New Roman" w:hAnsi="Times New Roman"/>
                <w:sz w:val="24"/>
              </w:rPr>
              <w:t>Emisná cena nástroja</w:t>
            </w:r>
          </w:p>
          <w:p w14:paraId="7DF572ED" w14:textId="77777777" w:rsidR="00DB382A" w:rsidRPr="00970EC6" w:rsidRDefault="00970EC6">
            <w:pPr>
              <w:spacing w:after="200" w:line="276" w:lineRule="auto"/>
              <w:jc w:val="both"/>
              <w:rPr>
                <w:rFonts w:ascii="Times New Roman" w:eastAsia="Times New Roman" w:hAnsi="Times New Roman" w:cs="Times New Roman"/>
                <w:i/>
                <w:sz w:val="24"/>
              </w:rPr>
            </w:pPr>
            <w:r w:rsidRPr="00970EC6">
              <w:rPr>
                <w:rFonts w:ascii="Times New Roman" w:hAnsi="Times New Roman"/>
                <w:i/>
                <w:sz w:val="24"/>
              </w:rPr>
              <w:t>Ľubovoľný text</w:t>
            </w:r>
          </w:p>
        </w:tc>
      </w:tr>
      <w:tr w:rsidR="00DB382A" w:rsidRPr="00970EC6" w14:paraId="116D100D" w14:textId="77777777">
        <w:trPr>
          <w:trHeight w:val="259"/>
        </w:trPr>
        <w:tc>
          <w:tcPr>
            <w:tcW w:w="1030" w:type="dxa"/>
            <w:vAlign w:val="center"/>
          </w:tcPr>
          <w:p w14:paraId="56E64084" w14:textId="77777777" w:rsidR="00DB382A" w:rsidRPr="00970EC6" w:rsidRDefault="00970EC6">
            <w:pPr>
              <w:spacing w:after="200" w:line="276" w:lineRule="auto"/>
              <w:rPr>
                <w:rFonts w:ascii="Times New Roman" w:eastAsia="Times New Roman" w:hAnsi="Times New Roman" w:cs="Times New Roman"/>
                <w:sz w:val="24"/>
              </w:rPr>
            </w:pPr>
            <w:r w:rsidRPr="00970EC6">
              <w:rPr>
                <w:rFonts w:ascii="Times New Roman" w:hAnsi="Times New Roman"/>
                <w:color w:val="000000"/>
                <w:sz w:val="24"/>
              </w:rPr>
              <w:t>9</w:t>
            </w:r>
          </w:p>
        </w:tc>
        <w:tc>
          <w:tcPr>
            <w:tcW w:w="7661" w:type="dxa"/>
            <w:shd w:val="clear" w:color="auto" w:fill="auto"/>
            <w:noWrap/>
            <w:vAlign w:val="bottom"/>
          </w:tcPr>
          <w:p w14:paraId="5A45EEE7" w14:textId="77777777" w:rsidR="00DB382A" w:rsidRPr="00970EC6" w:rsidRDefault="00970EC6">
            <w:pPr>
              <w:spacing w:after="200" w:line="276" w:lineRule="auto"/>
              <w:jc w:val="both"/>
              <w:rPr>
                <w:rFonts w:ascii="Times New Roman" w:eastAsia="Times New Roman" w:hAnsi="Times New Roman" w:cs="Times New Roman"/>
                <w:sz w:val="24"/>
              </w:rPr>
            </w:pPr>
            <w:r w:rsidRPr="00970EC6">
              <w:rPr>
                <w:rFonts w:ascii="Times New Roman" w:hAnsi="Times New Roman"/>
                <w:sz w:val="24"/>
              </w:rPr>
              <w:t>Cena pri splatení</w:t>
            </w:r>
          </w:p>
          <w:p w14:paraId="47EB03C9" w14:textId="77777777" w:rsidR="00DB382A" w:rsidRPr="00970EC6" w:rsidRDefault="00970EC6">
            <w:pPr>
              <w:spacing w:after="200" w:line="276" w:lineRule="auto"/>
              <w:jc w:val="both"/>
              <w:rPr>
                <w:rFonts w:ascii="Times New Roman" w:eastAsia="Times New Roman" w:hAnsi="Times New Roman" w:cs="Times New Roman"/>
                <w:sz w:val="24"/>
              </w:rPr>
            </w:pPr>
            <w:r w:rsidRPr="00970EC6">
              <w:rPr>
                <w:rFonts w:ascii="Times New Roman" w:hAnsi="Times New Roman"/>
                <w:sz w:val="24"/>
              </w:rPr>
              <w:t>Cena pri splatení nástroja</w:t>
            </w:r>
          </w:p>
          <w:p w14:paraId="1DFD1721" w14:textId="77777777" w:rsidR="00DB382A" w:rsidRPr="00970EC6" w:rsidRDefault="00970EC6">
            <w:pPr>
              <w:spacing w:after="200" w:line="276" w:lineRule="auto"/>
              <w:jc w:val="both"/>
              <w:rPr>
                <w:rFonts w:ascii="Times New Roman" w:eastAsia="Times New Roman" w:hAnsi="Times New Roman" w:cs="Times New Roman"/>
                <w:i/>
                <w:sz w:val="24"/>
              </w:rPr>
            </w:pPr>
            <w:r w:rsidRPr="00970EC6">
              <w:rPr>
                <w:rFonts w:ascii="Times New Roman" w:hAnsi="Times New Roman"/>
                <w:i/>
                <w:sz w:val="24"/>
              </w:rPr>
              <w:t>Ľubovoľný text</w:t>
            </w:r>
          </w:p>
        </w:tc>
      </w:tr>
      <w:tr w:rsidR="00DB382A" w:rsidRPr="00970EC6" w14:paraId="669523C9" w14:textId="77777777">
        <w:trPr>
          <w:trHeight w:val="259"/>
        </w:trPr>
        <w:tc>
          <w:tcPr>
            <w:tcW w:w="1030" w:type="dxa"/>
            <w:vAlign w:val="center"/>
          </w:tcPr>
          <w:p w14:paraId="200D8C01" w14:textId="77777777" w:rsidR="00DB382A" w:rsidRPr="00970EC6" w:rsidRDefault="00970EC6">
            <w:pPr>
              <w:spacing w:after="200" w:line="276" w:lineRule="auto"/>
              <w:rPr>
                <w:rFonts w:ascii="Times New Roman" w:eastAsia="Times New Roman" w:hAnsi="Times New Roman" w:cs="Times New Roman"/>
                <w:sz w:val="24"/>
              </w:rPr>
            </w:pPr>
            <w:r w:rsidRPr="00970EC6">
              <w:rPr>
                <w:rFonts w:ascii="Times New Roman" w:hAnsi="Times New Roman"/>
                <w:color w:val="000000"/>
                <w:sz w:val="24"/>
              </w:rPr>
              <w:t>10</w:t>
            </w:r>
          </w:p>
        </w:tc>
        <w:tc>
          <w:tcPr>
            <w:tcW w:w="7661" w:type="dxa"/>
            <w:shd w:val="clear" w:color="auto" w:fill="auto"/>
            <w:noWrap/>
            <w:vAlign w:val="bottom"/>
          </w:tcPr>
          <w:p w14:paraId="42C0CE91" w14:textId="77777777" w:rsidR="00DB382A" w:rsidRPr="00970EC6" w:rsidRDefault="00970EC6">
            <w:pPr>
              <w:spacing w:after="200" w:line="276" w:lineRule="auto"/>
              <w:jc w:val="both"/>
              <w:rPr>
                <w:rFonts w:ascii="Times New Roman" w:eastAsia="Times New Roman" w:hAnsi="Times New Roman" w:cs="Times New Roman"/>
                <w:sz w:val="24"/>
              </w:rPr>
            </w:pPr>
            <w:r w:rsidRPr="00970EC6">
              <w:rPr>
                <w:rFonts w:ascii="Times New Roman" w:hAnsi="Times New Roman"/>
                <w:sz w:val="24"/>
              </w:rPr>
              <w:t>Účtovná klasifikácia</w:t>
            </w:r>
          </w:p>
          <w:p w14:paraId="79C16019" w14:textId="77777777" w:rsidR="00DB382A" w:rsidRPr="00970EC6" w:rsidRDefault="00970EC6">
            <w:pPr>
              <w:spacing w:after="200" w:line="276" w:lineRule="auto"/>
              <w:jc w:val="both"/>
              <w:rPr>
                <w:rFonts w:ascii="Times New Roman" w:eastAsia="Times New Roman" w:hAnsi="Times New Roman" w:cs="Times New Roman"/>
                <w:sz w:val="24"/>
              </w:rPr>
            </w:pPr>
            <w:r w:rsidRPr="00970EC6">
              <w:rPr>
                <w:rFonts w:ascii="Times New Roman" w:hAnsi="Times New Roman"/>
                <w:sz w:val="24"/>
              </w:rPr>
              <w:t xml:space="preserve">Určenie účtovnej </w:t>
            </w:r>
            <w:r w:rsidRPr="00970EC6">
              <w:rPr>
                <w:rFonts w:ascii="Times New Roman" w:hAnsi="Times New Roman"/>
                <w:sz w:val="24"/>
              </w:rPr>
              <w:t>klasifikácie</w:t>
            </w:r>
          </w:p>
          <w:p w14:paraId="0A908D9B" w14:textId="77777777" w:rsidR="00DB382A" w:rsidRPr="00970EC6" w:rsidRDefault="00970EC6">
            <w:pPr>
              <w:spacing w:after="200" w:line="276" w:lineRule="auto"/>
              <w:jc w:val="both"/>
              <w:rPr>
                <w:rFonts w:ascii="Times New Roman" w:eastAsia="Times New Roman" w:hAnsi="Times New Roman" w:cs="Times New Roman"/>
                <w:i/>
                <w:sz w:val="24"/>
              </w:rPr>
            </w:pPr>
            <w:r w:rsidRPr="00970EC6">
              <w:rPr>
                <w:rFonts w:ascii="Times New Roman" w:hAnsi="Times New Roman"/>
                <w:i/>
                <w:sz w:val="24"/>
              </w:rPr>
              <w:t>Vyberte z ponuky: [Vlastný kapitál akcionárov] [Záväzok – amortizovaná cena] [Záväzok – možnosť reálnej hodnoty] [Podiel nezakladajúci ovládanie v konsolidovanom dcérskom podniku]</w:t>
            </w:r>
          </w:p>
        </w:tc>
      </w:tr>
      <w:tr w:rsidR="00DB382A" w:rsidRPr="00970EC6" w14:paraId="77027D1F" w14:textId="77777777">
        <w:trPr>
          <w:trHeight w:val="259"/>
        </w:trPr>
        <w:tc>
          <w:tcPr>
            <w:tcW w:w="1030" w:type="dxa"/>
            <w:vAlign w:val="center"/>
          </w:tcPr>
          <w:p w14:paraId="028AC3DE" w14:textId="77777777" w:rsidR="00DB382A" w:rsidRPr="00970EC6" w:rsidRDefault="00970EC6">
            <w:pPr>
              <w:spacing w:after="200" w:line="276" w:lineRule="auto"/>
              <w:rPr>
                <w:rFonts w:ascii="Times New Roman" w:eastAsia="Times New Roman" w:hAnsi="Times New Roman" w:cs="Times New Roman"/>
                <w:sz w:val="24"/>
              </w:rPr>
            </w:pPr>
            <w:r w:rsidRPr="00970EC6">
              <w:rPr>
                <w:rFonts w:ascii="Times New Roman" w:hAnsi="Times New Roman"/>
                <w:color w:val="000000"/>
                <w:sz w:val="24"/>
              </w:rPr>
              <w:t>11</w:t>
            </w:r>
          </w:p>
        </w:tc>
        <w:tc>
          <w:tcPr>
            <w:tcW w:w="7661" w:type="dxa"/>
            <w:shd w:val="clear" w:color="auto" w:fill="auto"/>
            <w:noWrap/>
            <w:vAlign w:val="bottom"/>
          </w:tcPr>
          <w:p w14:paraId="2088DA11" w14:textId="77777777" w:rsidR="00DB382A" w:rsidRPr="00970EC6" w:rsidRDefault="00970EC6">
            <w:pPr>
              <w:spacing w:after="200" w:line="276" w:lineRule="auto"/>
              <w:jc w:val="both"/>
              <w:rPr>
                <w:rFonts w:ascii="Times New Roman" w:eastAsia="Times New Roman" w:hAnsi="Times New Roman" w:cs="Times New Roman"/>
                <w:sz w:val="24"/>
              </w:rPr>
            </w:pPr>
            <w:r w:rsidRPr="00970EC6">
              <w:rPr>
                <w:rFonts w:ascii="Times New Roman" w:hAnsi="Times New Roman"/>
                <w:sz w:val="24"/>
              </w:rPr>
              <w:t>Pôvodný dátum emisie</w:t>
            </w:r>
          </w:p>
          <w:p w14:paraId="3D227D6B" w14:textId="77777777" w:rsidR="00DB382A" w:rsidRPr="00970EC6" w:rsidRDefault="00970EC6">
            <w:pPr>
              <w:spacing w:after="200" w:line="276" w:lineRule="auto"/>
              <w:jc w:val="both"/>
              <w:rPr>
                <w:rFonts w:ascii="Times New Roman" w:eastAsia="Times New Roman" w:hAnsi="Times New Roman" w:cs="Times New Roman"/>
                <w:sz w:val="24"/>
              </w:rPr>
            </w:pPr>
            <w:r w:rsidRPr="00970EC6">
              <w:rPr>
                <w:rFonts w:ascii="Times New Roman" w:hAnsi="Times New Roman"/>
                <w:sz w:val="24"/>
              </w:rPr>
              <w:t>Určenie dátumu emisie</w:t>
            </w:r>
          </w:p>
          <w:p w14:paraId="6F324809" w14:textId="77777777" w:rsidR="00DB382A" w:rsidRPr="00970EC6" w:rsidRDefault="00970EC6">
            <w:pPr>
              <w:spacing w:after="200" w:line="276" w:lineRule="auto"/>
              <w:jc w:val="both"/>
              <w:rPr>
                <w:rFonts w:ascii="Times New Roman" w:eastAsia="Times New Roman" w:hAnsi="Times New Roman" w:cs="Times New Roman"/>
                <w:sz w:val="24"/>
              </w:rPr>
            </w:pPr>
            <w:r w:rsidRPr="00970EC6">
              <w:rPr>
                <w:rFonts w:ascii="Times New Roman" w:hAnsi="Times New Roman"/>
                <w:i/>
                <w:sz w:val="24"/>
              </w:rPr>
              <w:t>Ľubovoľný text</w:t>
            </w:r>
          </w:p>
        </w:tc>
      </w:tr>
      <w:tr w:rsidR="00DB382A" w:rsidRPr="00970EC6" w14:paraId="3DC2AD06" w14:textId="77777777">
        <w:trPr>
          <w:trHeight w:val="259"/>
        </w:trPr>
        <w:tc>
          <w:tcPr>
            <w:tcW w:w="1030" w:type="dxa"/>
            <w:vAlign w:val="center"/>
          </w:tcPr>
          <w:p w14:paraId="35871835" w14:textId="77777777" w:rsidR="00DB382A" w:rsidRPr="00970EC6" w:rsidRDefault="00970EC6">
            <w:pPr>
              <w:spacing w:after="200" w:line="276" w:lineRule="auto"/>
              <w:rPr>
                <w:rFonts w:ascii="Times New Roman" w:eastAsia="Times New Roman" w:hAnsi="Times New Roman" w:cs="Times New Roman"/>
                <w:sz w:val="24"/>
              </w:rPr>
            </w:pPr>
            <w:r w:rsidRPr="00970EC6">
              <w:rPr>
                <w:rFonts w:ascii="Times New Roman" w:hAnsi="Times New Roman"/>
                <w:color w:val="000000"/>
                <w:sz w:val="24"/>
              </w:rPr>
              <w:lastRenderedPageBreak/>
              <w:t>12</w:t>
            </w:r>
          </w:p>
        </w:tc>
        <w:tc>
          <w:tcPr>
            <w:tcW w:w="7661" w:type="dxa"/>
            <w:shd w:val="clear" w:color="auto" w:fill="auto"/>
            <w:noWrap/>
            <w:vAlign w:val="bottom"/>
          </w:tcPr>
          <w:p w14:paraId="1AB86C2B" w14:textId="77777777" w:rsidR="00DB382A" w:rsidRPr="00970EC6" w:rsidRDefault="00970EC6">
            <w:pPr>
              <w:spacing w:after="200" w:line="276" w:lineRule="auto"/>
              <w:jc w:val="both"/>
              <w:rPr>
                <w:rFonts w:ascii="Times New Roman" w:eastAsia="Times New Roman" w:hAnsi="Times New Roman" w:cs="Times New Roman"/>
                <w:sz w:val="24"/>
              </w:rPr>
            </w:pPr>
            <w:r w:rsidRPr="00970EC6">
              <w:rPr>
                <w:rFonts w:ascii="Times New Roman" w:hAnsi="Times New Roman"/>
                <w:sz w:val="24"/>
              </w:rPr>
              <w:t>Trvalý alebo termínovaný</w:t>
            </w:r>
          </w:p>
          <w:p w14:paraId="301A68F7" w14:textId="77777777" w:rsidR="00DB382A" w:rsidRPr="00970EC6" w:rsidRDefault="00970EC6">
            <w:pPr>
              <w:spacing w:after="200" w:line="276" w:lineRule="auto"/>
              <w:jc w:val="both"/>
              <w:rPr>
                <w:rFonts w:ascii="Times New Roman" w:eastAsia="Times New Roman" w:hAnsi="Times New Roman" w:cs="Times New Roman"/>
                <w:sz w:val="24"/>
              </w:rPr>
            </w:pPr>
            <w:r w:rsidRPr="00970EC6">
              <w:rPr>
                <w:rFonts w:ascii="Times New Roman" w:hAnsi="Times New Roman"/>
                <w:sz w:val="24"/>
              </w:rPr>
              <w:t>Určenie, či ide o termínovaný alebo trvalý nástroj.</w:t>
            </w:r>
          </w:p>
          <w:p w14:paraId="0039A02E" w14:textId="77777777" w:rsidR="00DB382A" w:rsidRPr="00970EC6" w:rsidRDefault="00970EC6">
            <w:pPr>
              <w:spacing w:after="200" w:line="276" w:lineRule="auto"/>
              <w:jc w:val="both"/>
              <w:rPr>
                <w:rFonts w:ascii="Times New Roman" w:eastAsia="Times New Roman" w:hAnsi="Times New Roman" w:cs="Times New Roman"/>
                <w:i/>
                <w:sz w:val="24"/>
              </w:rPr>
            </w:pPr>
            <w:r w:rsidRPr="00970EC6">
              <w:rPr>
                <w:rFonts w:ascii="Times New Roman" w:hAnsi="Times New Roman"/>
                <w:i/>
                <w:sz w:val="24"/>
              </w:rPr>
              <w:t>Vyberte z ponuky: [Trvalý] [Termínovaný]</w:t>
            </w:r>
          </w:p>
        </w:tc>
      </w:tr>
      <w:tr w:rsidR="00DB382A" w:rsidRPr="00970EC6" w14:paraId="403AEF50" w14:textId="77777777">
        <w:trPr>
          <w:trHeight w:val="259"/>
        </w:trPr>
        <w:tc>
          <w:tcPr>
            <w:tcW w:w="1030" w:type="dxa"/>
            <w:vAlign w:val="center"/>
          </w:tcPr>
          <w:p w14:paraId="70748E61" w14:textId="77777777" w:rsidR="00DB382A" w:rsidRPr="00970EC6" w:rsidRDefault="00970EC6">
            <w:pPr>
              <w:spacing w:after="200" w:line="276" w:lineRule="auto"/>
              <w:rPr>
                <w:rFonts w:ascii="Times New Roman" w:eastAsia="Times New Roman" w:hAnsi="Times New Roman" w:cs="Times New Roman"/>
                <w:sz w:val="24"/>
              </w:rPr>
            </w:pPr>
            <w:r w:rsidRPr="00970EC6">
              <w:rPr>
                <w:rFonts w:ascii="Times New Roman" w:hAnsi="Times New Roman"/>
                <w:color w:val="000000"/>
                <w:sz w:val="24"/>
              </w:rPr>
              <w:t>13</w:t>
            </w:r>
          </w:p>
        </w:tc>
        <w:tc>
          <w:tcPr>
            <w:tcW w:w="7661" w:type="dxa"/>
            <w:shd w:val="clear" w:color="auto" w:fill="auto"/>
            <w:noWrap/>
            <w:vAlign w:val="bottom"/>
          </w:tcPr>
          <w:p w14:paraId="4287073D" w14:textId="77777777" w:rsidR="00DB382A" w:rsidRPr="00970EC6" w:rsidRDefault="00970EC6">
            <w:pPr>
              <w:spacing w:after="200" w:line="276" w:lineRule="auto"/>
              <w:jc w:val="both"/>
              <w:rPr>
                <w:rFonts w:ascii="Times New Roman" w:eastAsia="Times New Roman" w:hAnsi="Times New Roman" w:cs="Times New Roman"/>
                <w:sz w:val="24"/>
              </w:rPr>
            </w:pPr>
            <w:r w:rsidRPr="00970EC6">
              <w:rPr>
                <w:rFonts w:ascii="Times New Roman" w:hAnsi="Times New Roman"/>
                <w:sz w:val="24"/>
              </w:rPr>
              <w:t>Pôvodný dátum splatnosti</w:t>
            </w:r>
          </w:p>
          <w:p w14:paraId="512D8D7F" w14:textId="77777777" w:rsidR="00DB382A" w:rsidRPr="00970EC6" w:rsidRDefault="00970EC6">
            <w:pPr>
              <w:spacing w:after="200" w:line="276" w:lineRule="auto"/>
              <w:jc w:val="both"/>
              <w:rPr>
                <w:rFonts w:ascii="Times New Roman" w:eastAsia="Times New Roman" w:hAnsi="Times New Roman" w:cs="Times New Roman"/>
                <w:sz w:val="24"/>
              </w:rPr>
            </w:pPr>
            <w:r w:rsidRPr="00970EC6">
              <w:rPr>
                <w:rFonts w:ascii="Times New Roman" w:hAnsi="Times New Roman"/>
                <w:sz w:val="24"/>
              </w:rPr>
              <w:t>V</w:t>
            </w:r>
            <w:r w:rsidRPr="00970EC6">
              <w:rPr>
                <w:rFonts w:ascii="Times New Roman" w:eastAsia="Times New Roman" w:hAnsi="Times New Roman" w:cs="Times New Roman"/>
                <w:sz w:val="24"/>
              </w:rPr>
              <w:t> </w:t>
            </w:r>
            <w:r w:rsidRPr="00970EC6">
              <w:rPr>
                <w:rFonts w:ascii="Times New Roman" w:hAnsi="Times New Roman"/>
                <w:sz w:val="24"/>
              </w:rPr>
              <w:t xml:space="preserve">prípade termínovaného nástroja určenie pôvodného dátumu splatnosti (deň, mesiac a rok) </w:t>
            </w:r>
            <w:r w:rsidRPr="00970EC6">
              <w:rPr>
                <w:rFonts w:ascii="Times New Roman" w:hAnsi="Times New Roman"/>
                <w:sz w:val="24"/>
              </w:rPr>
              <w:t>V prípade trvalého nástroja sa uvedie „bez splatnosti“.</w:t>
            </w:r>
          </w:p>
          <w:p w14:paraId="5B9A0EE9" w14:textId="77777777" w:rsidR="00DB382A" w:rsidRPr="00970EC6" w:rsidRDefault="00970EC6">
            <w:pPr>
              <w:spacing w:after="200" w:line="276" w:lineRule="auto"/>
              <w:jc w:val="both"/>
              <w:rPr>
                <w:rFonts w:ascii="Times New Roman" w:eastAsia="Times New Roman" w:hAnsi="Times New Roman" w:cs="Times New Roman"/>
                <w:sz w:val="24"/>
              </w:rPr>
            </w:pPr>
            <w:r w:rsidRPr="00970EC6">
              <w:rPr>
                <w:rFonts w:ascii="Times New Roman" w:hAnsi="Times New Roman"/>
                <w:i/>
                <w:sz w:val="24"/>
              </w:rPr>
              <w:t>Ľubovoľný text</w:t>
            </w:r>
          </w:p>
        </w:tc>
      </w:tr>
      <w:tr w:rsidR="00DB382A" w:rsidRPr="00970EC6" w14:paraId="279FF1CB" w14:textId="77777777">
        <w:trPr>
          <w:trHeight w:val="259"/>
        </w:trPr>
        <w:tc>
          <w:tcPr>
            <w:tcW w:w="1030" w:type="dxa"/>
            <w:vAlign w:val="center"/>
          </w:tcPr>
          <w:p w14:paraId="2FFBB4C4" w14:textId="77777777" w:rsidR="00DB382A" w:rsidRPr="00970EC6" w:rsidRDefault="00970EC6">
            <w:pPr>
              <w:spacing w:after="200" w:line="276" w:lineRule="auto"/>
              <w:rPr>
                <w:rFonts w:ascii="Times New Roman" w:eastAsia="Times New Roman" w:hAnsi="Times New Roman" w:cs="Times New Roman"/>
                <w:sz w:val="24"/>
              </w:rPr>
            </w:pPr>
            <w:r w:rsidRPr="00970EC6">
              <w:rPr>
                <w:rFonts w:ascii="Times New Roman" w:hAnsi="Times New Roman"/>
                <w:color w:val="000000"/>
                <w:sz w:val="24"/>
              </w:rPr>
              <w:t>14</w:t>
            </w:r>
          </w:p>
        </w:tc>
        <w:tc>
          <w:tcPr>
            <w:tcW w:w="7661" w:type="dxa"/>
            <w:shd w:val="clear" w:color="auto" w:fill="auto"/>
            <w:noWrap/>
            <w:vAlign w:val="bottom"/>
          </w:tcPr>
          <w:p w14:paraId="6652A1D6" w14:textId="77777777" w:rsidR="00DB382A" w:rsidRPr="00970EC6" w:rsidRDefault="00970EC6">
            <w:pPr>
              <w:spacing w:after="200" w:line="276" w:lineRule="auto"/>
              <w:jc w:val="both"/>
              <w:rPr>
                <w:rFonts w:ascii="Times New Roman" w:eastAsia="Times New Roman" w:hAnsi="Times New Roman" w:cs="Times New Roman"/>
                <w:sz w:val="24"/>
              </w:rPr>
            </w:pPr>
            <w:r w:rsidRPr="00970EC6">
              <w:rPr>
                <w:rFonts w:ascii="Times New Roman" w:hAnsi="Times New Roman"/>
                <w:sz w:val="24"/>
              </w:rPr>
              <w:t>Kúpna opcia emitenta s výhradou predchádzajúceho schválenia orgánom dohľadu</w:t>
            </w:r>
          </w:p>
          <w:p w14:paraId="0B177865" w14:textId="77777777" w:rsidR="00DB382A" w:rsidRPr="00970EC6" w:rsidRDefault="00970EC6">
            <w:pPr>
              <w:spacing w:after="200" w:line="276" w:lineRule="auto"/>
              <w:jc w:val="both"/>
              <w:rPr>
                <w:rFonts w:ascii="Times New Roman" w:eastAsia="Times New Roman" w:hAnsi="Times New Roman" w:cs="Times New Roman"/>
                <w:sz w:val="24"/>
              </w:rPr>
            </w:pPr>
            <w:r w:rsidRPr="00970EC6">
              <w:rPr>
                <w:rFonts w:ascii="Times New Roman" w:hAnsi="Times New Roman"/>
                <w:sz w:val="24"/>
              </w:rPr>
              <w:t>Určenie, či existuje kúpna opcia emitenta (všetky typy kúpnych opcií).</w:t>
            </w:r>
          </w:p>
          <w:p w14:paraId="1E727284" w14:textId="77777777" w:rsidR="00DB382A" w:rsidRPr="00970EC6" w:rsidRDefault="00970EC6">
            <w:pPr>
              <w:spacing w:after="200" w:line="276" w:lineRule="auto"/>
              <w:jc w:val="both"/>
              <w:rPr>
                <w:rFonts w:ascii="Times New Roman" w:eastAsia="Times New Roman" w:hAnsi="Times New Roman" w:cs="Times New Roman"/>
                <w:i/>
                <w:sz w:val="24"/>
              </w:rPr>
            </w:pPr>
            <w:r w:rsidRPr="00970EC6">
              <w:rPr>
                <w:rFonts w:ascii="Times New Roman" w:hAnsi="Times New Roman"/>
                <w:i/>
                <w:sz w:val="24"/>
              </w:rPr>
              <w:t>Vyberte z ponuky: [Áno] [Nie]</w:t>
            </w:r>
          </w:p>
        </w:tc>
      </w:tr>
      <w:tr w:rsidR="00DB382A" w:rsidRPr="00970EC6" w14:paraId="018D4368" w14:textId="77777777">
        <w:trPr>
          <w:trHeight w:val="259"/>
        </w:trPr>
        <w:tc>
          <w:tcPr>
            <w:tcW w:w="1030" w:type="dxa"/>
            <w:vAlign w:val="center"/>
          </w:tcPr>
          <w:p w14:paraId="3E0BC94B" w14:textId="77777777" w:rsidR="00DB382A" w:rsidRPr="00970EC6" w:rsidRDefault="00970EC6">
            <w:pPr>
              <w:spacing w:after="200" w:line="276" w:lineRule="auto"/>
              <w:rPr>
                <w:rFonts w:ascii="Times New Roman" w:eastAsia="Times New Roman" w:hAnsi="Times New Roman" w:cs="Times New Roman"/>
                <w:sz w:val="24"/>
              </w:rPr>
            </w:pPr>
            <w:r w:rsidRPr="00970EC6">
              <w:rPr>
                <w:rFonts w:ascii="Times New Roman" w:hAnsi="Times New Roman"/>
                <w:color w:val="000000"/>
                <w:sz w:val="24"/>
              </w:rPr>
              <w:t>15</w:t>
            </w:r>
          </w:p>
        </w:tc>
        <w:tc>
          <w:tcPr>
            <w:tcW w:w="7661" w:type="dxa"/>
            <w:shd w:val="clear" w:color="auto" w:fill="auto"/>
            <w:noWrap/>
            <w:vAlign w:val="bottom"/>
          </w:tcPr>
          <w:p w14:paraId="65362633" w14:textId="77777777" w:rsidR="00DB382A" w:rsidRPr="00970EC6" w:rsidRDefault="00970EC6">
            <w:pPr>
              <w:spacing w:after="200" w:line="276" w:lineRule="auto"/>
              <w:jc w:val="both"/>
              <w:rPr>
                <w:rFonts w:ascii="Times New Roman" w:eastAsia="Times New Roman" w:hAnsi="Times New Roman" w:cs="Times New Roman"/>
                <w:sz w:val="24"/>
              </w:rPr>
            </w:pPr>
            <w:r w:rsidRPr="00970EC6">
              <w:rPr>
                <w:rFonts w:ascii="Times New Roman" w:hAnsi="Times New Roman"/>
                <w:sz w:val="24"/>
              </w:rPr>
              <w:t>Voliteľný dátum uplatnenia kúpnej opcie, podmienené dátumy kúpnej opcie a hodnota pri splatení</w:t>
            </w:r>
          </w:p>
          <w:p w14:paraId="69645834" w14:textId="77777777" w:rsidR="00DB382A" w:rsidRPr="00970EC6" w:rsidRDefault="00970EC6">
            <w:pPr>
              <w:spacing w:after="200" w:line="276" w:lineRule="auto"/>
              <w:jc w:val="both"/>
              <w:rPr>
                <w:rFonts w:ascii="Times New Roman" w:eastAsia="Times New Roman" w:hAnsi="Times New Roman" w:cs="Times New Roman"/>
                <w:sz w:val="24"/>
              </w:rPr>
            </w:pPr>
            <w:r w:rsidRPr="00970EC6">
              <w:rPr>
                <w:rFonts w:ascii="Times New Roman" w:hAnsi="Times New Roman"/>
                <w:sz w:val="24"/>
              </w:rPr>
              <w:t>V</w:t>
            </w:r>
            <w:r w:rsidRPr="00970EC6">
              <w:rPr>
                <w:rFonts w:ascii="Times New Roman" w:eastAsia="Times New Roman" w:hAnsi="Times New Roman" w:cs="Times New Roman"/>
                <w:sz w:val="24"/>
              </w:rPr>
              <w:t> </w:t>
            </w:r>
            <w:r w:rsidRPr="00970EC6">
              <w:rPr>
                <w:rFonts w:ascii="Times New Roman" w:hAnsi="Times New Roman"/>
                <w:sz w:val="24"/>
              </w:rPr>
              <w:t xml:space="preserve">prípade nástroja s kúpnou opciou emitenta určenie prvého dátumu kúpnej opcie, ak nástroj má kúpnu opciu v konkrétny dátum (deň, mesiac a rok), a okrem toho </w:t>
            </w:r>
            <w:r w:rsidRPr="00970EC6">
              <w:rPr>
                <w:rFonts w:ascii="Times New Roman" w:hAnsi="Times New Roman"/>
                <w:sz w:val="24"/>
              </w:rPr>
              <w:t>určenie, či nástroj má opciu kúpy pri daňovej a/alebo regulačnej udalosti. Aj určenie ceny pri splatení, čo pomáha posúdiť trvalosť.</w:t>
            </w:r>
          </w:p>
          <w:p w14:paraId="4998AF63" w14:textId="77777777" w:rsidR="00DB382A" w:rsidRPr="00970EC6" w:rsidRDefault="00970EC6">
            <w:pPr>
              <w:spacing w:after="200" w:line="276" w:lineRule="auto"/>
              <w:jc w:val="both"/>
              <w:rPr>
                <w:rFonts w:ascii="Times New Roman" w:eastAsia="Times New Roman" w:hAnsi="Times New Roman" w:cs="Times New Roman"/>
                <w:i/>
                <w:sz w:val="24"/>
              </w:rPr>
            </w:pPr>
            <w:r w:rsidRPr="00970EC6">
              <w:rPr>
                <w:rFonts w:ascii="Times New Roman" w:hAnsi="Times New Roman"/>
                <w:i/>
                <w:sz w:val="24"/>
              </w:rPr>
              <w:t>Ľubovoľný text</w:t>
            </w:r>
          </w:p>
        </w:tc>
      </w:tr>
      <w:tr w:rsidR="00DB382A" w:rsidRPr="00970EC6" w14:paraId="22A0AB30" w14:textId="77777777">
        <w:trPr>
          <w:trHeight w:val="259"/>
        </w:trPr>
        <w:tc>
          <w:tcPr>
            <w:tcW w:w="1030" w:type="dxa"/>
            <w:vAlign w:val="center"/>
          </w:tcPr>
          <w:p w14:paraId="235FA97A" w14:textId="77777777" w:rsidR="00DB382A" w:rsidRPr="00970EC6" w:rsidRDefault="00970EC6">
            <w:pPr>
              <w:spacing w:after="200" w:line="276" w:lineRule="auto"/>
              <w:rPr>
                <w:rFonts w:ascii="Times New Roman" w:eastAsia="Times New Roman" w:hAnsi="Times New Roman" w:cs="Times New Roman"/>
                <w:sz w:val="24"/>
              </w:rPr>
            </w:pPr>
            <w:r w:rsidRPr="00970EC6">
              <w:rPr>
                <w:rFonts w:ascii="Times New Roman" w:hAnsi="Times New Roman"/>
                <w:color w:val="000000"/>
                <w:sz w:val="24"/>
              </w:rPr>
              <w:t>16</w:t>
            </w:r>
          </w:p>
        </w:tc>
        <w:tc>
          <w:tcPr>
            <w:tcW w:w="7661" w:type="dxa"/>
            <w:shd w:val="clear" w:color="auto" w:fill="auto"/>
            <w:noWrap/>
            <w:vAlign w:val="bottom"/>
          </w:tcPr>
          <w:p w14:paraId="27F565BF" w14:textId="77777777" w:rsidR="00DB382A" w:rsidRPr="00970EC6" w:rsidRDefault="00970EC6">
            <w:pPr>
              <w:spacing w:after="200" w:line="276" w:lineRule="auto"/>
              <w:jc w:val="both"/>
              <w:rPr>
                <w:rFonts w:ascii="Times New Roman" w:eastAsia="Times New Roman" w:hAnsi="Times New Roman" w:cs="Times New Roman"/>
                <w:sz w:val="24"/>
              </w:rPr>
            </w:pPr>
            <w:r w:rsidRPr="00970EC6">
              <w:rPr>
                <w:rFonts w:ascii="Times New Roman" w:hAnsi="Times New Roman"/>
                <w:sz w:val="24"/>
              </w:rPr>
              <w:t>Prípadne následné dátumy uplatnenia kúpnej opcie</w:t>
            </w:r>
          </w:p>
          <w:p w14:paraId="0C4D06C0" w14:textId="77777777" w:rsidR="00DB382A" w:rsidRPr="00970EC6" w:rsidRDefault="00970EC6">
            <w:pPr>
              <w:spacing w:after="200" w:line="276" w:lineRule="auto"/>
              <w:jc w:val="both"/>
              <w:rPr>
                <w:rFonts w:ascii="Times New Roman" w:eastAsia="Times New Roman" w:hAnsi="Times New Roman" w:cs="Times New Roman"/>
                <w:sz w:val="24"/>
              </w:rPr>
            </w:pPr>
            <w:r w:rsidRPr="00970EC6">
              <w:rPr>
                <w:rFonts w:ascii="Times New Roman" w:hAnsi="Times New Roman"/>
                <w:sz w:val="24"/>
              </w:rPr>
              <w:t>Určenie existencie a frekvencie prípadných následných d</w:t>
            </w:r>
            <w:r w:rsidRPr="00970EC6">
              <w:rPr>
                <w:rFonts w:ascii="Times New Roman" w:hAnsi="Times New Roman"/>
                <w:sz w:val="24"/>
              </w:rPr>
              <w:t>átumov uplatnenia kúpnej opcie, čo pomáha posúdiť trvalosť.</w:t>
            </w:r>
          </w:p>
          <w:p w14:paraId="0208B1FB" w14:textId="77777777" w:rsidR="00DB382A" w:rsidRPr="00970EC6" w:rsidRDefault="00970EC6">
            <w:pPr>
              <w:spacing w:after="200" w:line="276" w:lineRule="auto"/>
              <w:jc w:val="both"/>
              <w:rPr>
                <w:rFonts w:ascii="Times New Roman" w:eastAsia="Times New Roman" w:hAnsi="Times New Roman" w:cs="Times New Roman"/>
                <w:sz w:val="24"/>
              </w:rPr>
            </w:pPr>
            <w:r w:rsidRPr="00970EC6">
              <w:rPr>
                <w:rFonts w:ascii="Times New Roman" w:hAnsi="Times New Roman"/>
                <w:i/>
                <w:sz w:val="24"/>
              </w:rPr>
              <w:t>Ľubovoľný text</w:t>
            </w:r>
          </w:p>
        </w:tc>
      </w:tr>
      <w:tr w:rsidR="00DB382A" w:rsidRPr="00970EC6" w14:paraId="7250F189" w14:textId="77777777">
        <w:trPr>
          <w:trHeight w:val="259"/>
        </w:trPr>
        <w:tc>
          <w:tcPr>
            <w:tcW w:w="1030" w:type="dxa"/>
            <w:vAlign w:val="center"/>
          </w:tcPr>
          <w:p w14:paraId="08D406BB" w14:textId="77777777" w:rsidR="00DB382A" w:rsidRPr="00970EC6" w:rsidRDefault="00970EC6">
            <w:pPr>
              <w:spacing w:after="200" w:line="276" w:lineRule="auto"/>
              <w:rPr>
                <w:rFonts w:ascii="Times New Roman" w:eastAsia="Times New Roman" w:hAnsi="Times New Roman" w:cs="Times New Roman"/>
                <w:sz w:val="24"/>
              </w:rPr>
            </w:pPr>
            <w:r w:rsidRPr="00970EC6">
              <w:rPr>
                <w:rFonts w:ascii="Times New Roman" w:hAnsi="Times New Roman"/>
                <w:color w:val="000000"/>
                <w:sz w:val="24"/>
              </w:rPr>
              <w:t>17</w:t>
            </w:r>
          </w:p>
        </w:tc>
        <w:tc>
          <w:tcPr>
            <w:tcW w:w="7661" w:type="dxa"/>
            <w:shd w:val="clear" w:color="auto" w:fill="auto"/>
            <w:noWrap/>
            <w:vAlign w:val="bottom"/>
          </w:tcPr>
          <w:p w14:paraId="4912DBD5" w14:textId="77777777" w:rsidR="00DB382A" w:rsidRPr="00970EC6" w:rsidRDefault="00970EC6">
            <w:pPr>
              <w:autoSpaceDE w:val="0"/>
              <w:autoSpaceDN w:val="0"/>
              <w:adjustRightInd w:val="0"/>
              <w:spacing w:after="200" w:line="276" w:lineRule="auto"/>
              <w:jc w:val="both"/>
              <w:rPr>
                <w:rFonts w:ascii="Times New Roman" w:eastAsia="Times New Roman" w:hAnsi="Times New Roman" w:cs="Times New Roman"/>
                <w:sz w:val="24"/>
              </w:rPr>
            </w:pPr>
            <w:r w:rsidRPr="00970EC6">
              <w:rPr>
                <w:rFonts w:ascii="Times New Roman" w:hAnsi="Times New Roman"/>
                <w:sz w:val="24"/>
              </w:rPr>
              <w:t>Dividenda/kupón s pevnou alebo pohyblivou sadzbou</w:t>
            </w:r>
          </w:p>
          <w:p w14:paraId="73885CCB" w14:textId="77777777" w:rsidR="00DB382A" w:rsidRPr="00970EC6" w:rsidRDefault="00970EC6">
            <w:pPr>
              <w:autoSpaceDE w:val="0"/>
              <w:autoSpaceDN w:val="0"/>
              <w:adjustRightInd w:val="0"/>
              <w:spacing w:after="200" w:line="276" w:lineRule="auto"/>
              <w:jc w:val="both"/>
              <w:rPr>
                <w:rFonts w:ascii="Times New Roman" w:eastAsia="Times New Roman" w:hAnsi="Times New Roman" w:cs="Times New Roman"/>
                <w:sz w:val="24"/>
              </w:rPr>
            </w:pPr>
            <w:r w:rsidRPr="00970EC6">
              <w:rPr>
                <w:rFonts w:ascii="Times New Roman" w:hAnsi="Times New Roman"/>
                <w:sz w:val="24"/>
              </w:rPr>
              <w:t xml:space="preserve">Určenie, či kupón/dividenda sú: pevné počas celého obdobia životnosti nástroja alebo pohyblivé počas celého obdobia </w:t>
            </w:r>
            <w:r w:rsidRPr="00970EC6">
              <w:rPr>
                <w:rFonts w:ascii="Times New Roman" w:hAnsi="Times New Roman"/>
                <w:sz w:val="24"/>
              </w:rPr>
              <w:t>životnosti nástroja alebo v súčasnosti pevné, ale s prechodom na pohyblivú sadzbu v budúcnosti, alebo v súčasnosti pohyblivé, ale s prechodom na pevnú sadzbu v budúcnosti.</w:t>
            </w:r>
          </w:p>
          <w:p w14:paraId="515CDB2B" w14:textId="77777777" w:rsidR="00DB382A" w:rsidRPr="00970EC6" w:rsidRDefault="00970EC6">
            <w:pPr>
              <w:spacing w:after="200" w:line="276" w:lineRule="auto"/>
              <w:jc w:val="both"/>
              <w:rPr>
                <w:rFonts w:ascii="Times New Roman" w:eastAsia="Times New Roman" w:hAnsi="Times New Roman" w:cs="Times New Roman"/>
                <w:i/>
                <w:sz w:val="24"/>
              </w:rPr>
            </w:pPr>
            <w:r w:rsidRPr="00970EC6">
              <w:rPr>
                <w:rFonts w:ascii="Times New Roman" w:hAnsi="Times New Roman"/>
                <w:i/>
                <w:sz w:val="24"/>
              </w:rPr>
              <w:t>Vyberte z ponuky: [Pevné], [Pohyblivé], [Pevné, neskôr pohyblivé], [Pohyblivé, neskô</w:t>
            </w:r>
            <w:r w:rsidRPr="00970EC6">
              <w:rPr>
                <w:rFonts w:ascii="Times New Roman" w:hAnsi="Times New Roman"/>
                <w:i/>
                <w:sz w:val="24"/>
              </w:rPr>
              <w:t xml:space="preserve">r pevné] </w:t>
            </w:r>
          </w:p>
        </w:tc>
      </w:tr>
      <w:tr w:rsidR="00DB382A" w:rsidRPr="00970EC6" w14:paraId="2679FBD7" w14:textId="77777777">
        <w:trPr>
          <w:trHeight w:val="259"/>
        </w:trPr>
        <w:tc>
          <w:tcPr>
            <w:tcW w:w="1030" w:type="dxa"/>
            <w:vAlign w:val="center"/>
          </w:tcPr>
          <w:p w14:paraId="264F0AB5" w14:textId="77777777" w:rsidR="00DB382A" w:rsidRPr="00970EC6" w:rsidRDefault="00970EC6">
            <w:pPr>
              <w:spacing w:after="200" w:line="276" w:lineRule="auto"/>
              <w:rPr>
                <w:rFonts w:ascii="Times New Roman" w:eastAsia="Times New Roman" w:hAnsi="Times New Roman" w:cs="Times New Roman"/>
                <w:sz w:val="24"/>
              </w:rPr>
            </w:pPr>
            <w:r w:rsidRPr="00970EC6">
              <w:rPr>
                <w:rFonts w:ascii="Times New Roman" w:hAnsi="Times New Roman"/>
                <w:color w:val="000000"/>
                <w:sz w:val="24"/>
              </w:rPr>
              <w:t>18</w:t>
            </w:r>
          </w:p>
        </w:tc>
        <w:tc>
          <w:tcPr>
            <w:tcW w:w="7661" w:type="dxa"/>
            <w:shd w:val="clear" w:color="auto" w:fill="auto"/>
            <w:noWrap/>
            <w:vAlign w:val="bottom"/>
          </w:tcPr>
          <w:p w14:paraId="415A97FF" w14:textId="77777777" w:rsidR="00DB382A" w:rsidRPr="00970EC6" w:rsidRDefault="00970EC6">
            <w:pPr>
              <w:autoSpaceDE w:val="0"/>
              <w:autoSpaceDN w:val="0"/>
              <w:adjustRightInd w:val="0"/>
              <w:spacing w:after="200" w:line="276" w:lineRule="auto"/>
              <w:jc w:val="both"/>
              <w:rPr>
                <w:rFonts w:ascii="Times New Roman" w:eastAsia="Times New Roman" w:hAnsi="Times New Roman" w:cs="Times New Roman"/>
                <w:sz w:val="24"/>
              </w:rPr>
            </w:pPr>
            <w:r w:rsidRPr="00970EC6">
              <w:rPr>
                <w:rFonts w:ascii="Times New Roman" w:hAnsi="Times New Roman"/>
                <w:sz w:val="24"/>
              </w:rPr>
              <w:t>Kupónová sadzba a prípadný súvisiaci index</w:t>
            </w:r>
          </w:p>
          <w:p w14:paraId="4B85EE19" w14:textId="77777777" w:rsidR="00DB382A" w:rsidRPr="00970EC6" w:rsidRDefault="00970EC6">
            <w:pPr>
              <w:autoSpaceDE w:val="0"/>
              <w:autoSpaceDN w:val="0"/>
              <w:adjustRightInd w:val="0"/>
              <w:spacing w:after="200" w:line="276" w:lineRule="auto"/>
              <w:jc w:val="both"/>
              <w:rPr>
                <w:rFonts w:ascii="Times New Roman" w:eastAsia="Times New Roman" w:hAnsi="Times New Roman" w:cs="Times New Roman"/>
                <w:sz w:val="24"/>
              </w:rPr>
            </w:pPr>
            <w:r w:rsidRPr="00970EC6">
              <w:rPr>
                <w:rFonts w:ascii="Times New Roman" w:hAnsi="Times New Roman"/>
                <w:sz w:val="24"/>
              </w:rPr>
              <w:lastRenderedPageBreak/>
              <w:t>Určenie kupónovej sadzby nástroja a prípadného súvisiaceho indexu, ktorý je referenciou pre sadzbu kupónu/dividendy</w:t>
            </w:r>
          </w:p>
          <w:p w14:paraId="6C0C1477" w14:textId="77777777" w:rsidR="00DB382A" w:rsidRPr="00970EC6" w:rsidRDefault="00970EC6">
            <w:pPr>
              <w:spacing w:after="200" w:line="276" w:lineRule="auto"/>
              <w:jc w:val="both"/>
              <w:rPr>
                <w:rFonts w:ascii="Times New Roman" w:eastAsia="Times New Roman" w:hAnsi="Times New Roman" w:cs="Times New Roman"/>
                <w:i/>
                <w:sz w:val="24"/>
              </w:rPr>
            </w:pPr>
            <w:r w:rsidRPr="00970EC6">
              <w:rPr>
                <w:rFonts w:ascii="Times New Roman" w:hAnsi="Times New Roman"/>
                <w:i/>
                <w:sz w:val="24"/>
              </w:rPr>
              <w:t xml:space="preserve">Ľubovoľný text </w:t>
            </w:r>
          </w:p>
        </w:tc>
      </w:tr>
      <w:tr w:rsidR="00DB382A" w:rsidRPr="00970EC6" w14:paraId="69BBC8B8" w14:textId="77777777">
        <w:trPr>
          <w:trHeight w:val="2983"/>
        </w:trPr>
        <w:tc>
          <w:tcPr>
            <w:tcW w:w="1030" w:type="dxa"/>
            <w:vAlign w:val="center"/>
          </w:tcPr>
          <w:p w14:paraId="30BF1C15" w14:textId="77777777" w:rsidR="00DB382A" w:rsidRPr="00970EC6" w:rsidRDefault="00970EC6">
            <w:pPr>
              <w:spacing w:after="200" w:line="276" w:lineRule="auto"/>
              <w:rPr>
                <w:rFonts w:ascii="Times New Roman" w:eastAsia="Times New Roman" w:hAnsi="Times New Roman" w:cs="Times New Roman"/>
                <w:sz w:val="24"/>
              </w:rPr>
            </w:pPr>
            <w:r w:rsidRPr="00970EC6">
              <w:rPr>
                <w:rFonts w:ascii="Times New Roman" w:hAnsi="Times New Roman"/>
                <w:color w:val="000000"/>
                <w:sz w:val="24"/>
              </w:rPr>
              <w:lastRenderedPageBreak/>
              <w:t>19</w:t>
            </w:r>
          </w:p>
        </w:tc>
        <w:tc>
          <w:tcPr>
            <w:tcW w:w="7661" w:type="dxa"/>
            <w:shd w:val="clear" w:color="auto" w:fill="auto"/>
            <w:noWrap/>
            <w:vAlign w:val="bottom"/>
          </w:tcPr>
          <w:p w14:paraId="2EA51537" w14:textId="77777777" w:rsidR="00DB382A" w:rsidRPr="00970EC6" w:rsidRDefault="00970EC6">
            <w:pPr>
              <w:autoSpaceDE w:val="0"/>
              <w:autoSpaceDN w:val="0"/>
              <w:adjustRightInd w:val="0"/>
              <w:spacing w:after="200" w:line="276" w:lineRule="auto"/>
              <w:jc w:val="both"/>
              <w:rPr>
                <w:rFonts w:ascii="Times New Roman" w:eastAsia="Times New Roman" w:hAnsi="Times New Roman" w:cs="Times New Roman"/>
                <w:sz w:val="24"/>
              </w:rPr>
            </w:pPr>
            <w:r w:rsidRPr="00970EC6">
              <w:rPr>
                <w:rFonts w:ascii="Times New Roman" w:hAnsi="Times New Roman"/>
                <w:sz w:val="24"/>
              </w:rPr>
              <w:t>Existencia systému pozastavenia výplaty dividend</w:t>
            </w:r>
          </w:p>
          <w:p w14:paraId="0E2BB2AE" w14:textId="77777777" w:rsidR="00DB382A" w:rsidRPr="00970EC6" w:rsidRDefault="00970EC6">
            <w:pPr>
              <w:autoSpaceDE w:val="0"/>
              <w:autoSpaceDN w:val="0"/>
              <w:adjustRightInd w:val="0"/>
              <w:spacing w:after="200" w:line="276" w:lineRule="auto"/>
              <w:jc w:val="both"/>
              <w:rPr>
                <w:rFonts w:ascii="Times New Roman" w:eastAsia="Times New Roman" w:hAnsi="Times New Roman" w:cs="Times New Roman"/>
                <w:sz w:val="24"/>
              </w:rPr>
            </w:pPr>
            <w:r w:rsidRPr="00970EC6">
              <w:rPr>
                <w:rFonts w:ascii="Times New Roman" w:hAnsi="Times New Roman"/>
                <w:sz w:val="24"/>
              </w:rPr>
              <w:t>Určenie, či nevyplatenie kupónu alebo dividendy z nástroja zakazuje výplatu dividend z kmeňových akcií (t. j. či existuje systém pozastavenia výplaty dividend).</w:t>
            </w:r>
          </w:p>
          <w:p w14:paraId="3D726C91" w14:textId="77777777" w:rsidR="00DB382A" w:rsidRPr="00970EC6" w:rsidRDefault="00970EC6">
            <w:pPr>
              <w:spacing w:after="200" w:line="276" w:lineRule="auto"/>
              <w:jc w:val="both"/>
              <w:rPr>
                <w:rFonts w:ascii="Times New Roman" w:eastAsia="Times New Roman" w:hAnsi="Times New Roman" w:cs="Times New Roman"/>
                <w:i/>
                <w:sz w:val="24"/>
              </w:rPr>
            </w:pPr>
            <w:r w:rsidRPr="00970EC6">
              <w:rPr>
                <w:rFonts w:ascii="Times New Roman" w:hAnsi="Times New Roman"/>
                <w:i/>
                <w:sz w:val="24"/>
              </w:rPr>
              <w:t xml:space="preserve">Vyberte z ponuky: [áno], [nie] </w:t>
            </w:r>
          </w:p>
        </w:tc>
      </w:tr>
      <w:tr w:rsidR="00DB382A" w:rsidRPr="00970EC6" w14:paraId="1CBB9513" w14:textId="77777777">
        <w:trPr>
          <w:trHeight w:val="259"/>
        </w:trPr>
        <w:tc>
          <w:tcPr>
            <w:tcW w:w="1030" w:type="dxa"/>
            <w:vAlign w:val="center"/>
          </w:tcPr>
          <w:p w14:paraId="64103713" w14:textId="77777777" w:rsidR="00DB382A" w:rsidRPr="00970EC6" w:rsidRDefault="00970EC6">
            <w:pPr>
              <w:spacing w:after="200" w:line="276" w:lineRule="auto"/>
              <w:rPr>
                <w:rFonts w:ascii="Times New Roman" w:eastAsia="Times New Roman" w:hAnsi="Times New Roman" w:cs="Times New Roman"/>
                <w:sz w:val="24"/>
              </w:rPr>
            </w:pPr>
            <w:r w:rsidRPr="00970EC6">
              <w:rPr>
                <w:rFonts w:ascii="Times New Roman" w:hAnsi="Times New Roman"/>
                <w:color w:val="000000"/>
                <w:sz w:val="24"/>
              </w:rPr>
              <w:t>20</w:t>
            </w:r>
          </w:p>
        </w:tc>
        <w:tc>
          <w:tcPr>
            <w:tcW w:w="7661" w:type="dxa"/>
            <w:shd w:val="clear" w:color="auto" w:fill="auto"/>
            <w:noWrap/>
            <w:vAlign w:val="bottom"/>
          </w:tcPr>
          <w:p w14:paraId="5D1DB3E2" w14:textId="77777777" w:rsidR="00DB382A" w:rsidRPr="00970EC6" w:rsidRDefault="00970EC6">
            <w:pPr>
              <w:spacing w:after="200" w:line="276" w:lineRule="auto"/>
              <w:jc w:val="both"/>
              <w:rPr>
                <w:rFonts w:ascii="Times New Roman" w:eastAsia="Times New Roman" w:hAnsi="Times New Roman" w:cs="Times New Roman"/>
                <w:sz w:val="24"/>
              </w:rPr>
            </w:pPr>
            <w:r w:rsidRPr="00970EC6">
              <w:rPr>
                <w:rFonts w:ascii="Times New Roman" w:hAnsi="Times New Roman"/>
                <w:sz w:val="24"/>
              </w:rPr>
              <w:t xml:space="preserve"> Úplne podľa vlastného uváženia, čiastočne podľa vlastného uváženia alebo povinné (z hľadiska načasovania)</w:t>
            </w:r>
          </w:p>
          <w:p w14:paraId="578AD917" w14:textId="77777777" w:rsidR="00DB382A" w:rsidRPr="00970EC6" w:rsidRDefault="00970EC6">
            <w:pPr>
              <w:spacing w:after="200" w:line="276" w:lineRule="auto"/>
              <w:jc w:val="both"/>
              <w:rPr>
                <w:rFonts w:ascii="Times New Roman" w:eastAsia="Times New Roman" w:hAnsi="Times New Roman" w:cs="Times New Roman"/>
                <w:sz w:val="24"/>
              </w:rPr>
            </w:pPr>
            <w:r w:rsidRPr="00970EC6">
              <w:rPr>
                <w:rFonts w:ascii="Times New Roman" w:hAnsi="Times New Roman"/>
                <w:sz w:val="24"/>
              </w:rPr>
              <w:t>Určenie, či emitent rozhoduje o vyplatení kupónu/dividendy úplne podľa vlastného uváženia, čiastočne podľa vlastného uváženia alebo či nemá žiadnu pr</w:t>
            </w:r>
            <w:r w:rsidRPr="00970EC6">
              <w:rPr>
                <w:rFonts w:ascii="Times New Roman" w:hAnsi="Times New Roman"/>
                <w:sz w:val="24"/>
              </w:rPr>
              <w:t>ávomoc rozhodnúť podľa vlastného uváženia. Ak inštitúcia rozhoduje o zrušení výplaty kupónu/dividendy za všetkých okolností úplne podľa vlastného uváženia, musí vybrať možnosť „úplne podľa vlastného uváženia“ (a to aj v prípade existencie systému pozastave</w:t>
            </w:r>
            <w:r w:rsidRPr="00970EC6">
              <w:rPr>
                <w:rFonts w:ascii="Times New Roman" w:hAnsi="Times New Roman"/>
                <w:sz w:val="24"/>
              </w:rPr>
              <w:t>nia výplaty dividend, ktorý nemá pre inštitúciu účinok zákazu zrušiť výplaty z nástroja). Ak existujú podmienky, ktoré musia byť splnené pred umožnením zrušenia výplaty (napr. vlastné zdroje pod určitou prahovou hodnotou), inštitúcia musí vybrať možnosť „č</w:t>
            </w:r>
            <w:r w:rsidRPr="00970EC6">
              <w:rPr>
                <w:rFonts w:ascii="Times New Roman" w:hAnsi="Times New Roman"/>
                <w:sz w:val="24"/>
              </w:rPr>
              <w:t>iastočne podľa vlastného uváženia“. Ak inštitúcia nemôže zrušiť výplatu s výnimkou prípadu platobnej neschopnosti, musí vybrať možnosť „povinné“.</w:t>
            </w:r>
          </w:p>
          <w:p w14:paraId="04B72818" w14:textId="77777777" w:rsidR="00DB382A" w:rsidRPr="00970EC6" w:rsidRDefault="00970EC6">
            <w:pPr>
              <w:spacing w:after="200" w:line="276" w:lineRule="auto"/>
              <w:jc w:val="both"/>
              <w:rPr>
                <w:rFonts w:ascii="Times New Roman" w:eastAsia="Times New Roman" w:hAnsi="Times New Roman" w:cs="Times New Roman"/>
                <w:i/>
                <w:sz w:val="24"/>
              </w:rPr>
            </w:pPr>
            <w:r w:rsidRPr="00970EC6">
              <w:rPr>
                <w:rFonts w:ascii="Times New Roman" w:hAnsi="Times New Roman"/>
                <w:i/>
                <w:sz w:val="24"/>
              </w:rPr>
              <w:t>Vyberte z ponuky: [Úplne podľa vlastného uváženia] [Čiastočne podľa vlastného uváženia] [Povinné]</w:t>
            </w:r>
          </w:p>
          <w:p w14:paraId="0189C0F1" w14:textId="77777777" w:rsidR="00DB382A" w:rsidRPr="00970EC6" w:rsidRDefault="00970EC6">
            <w:pPr>
              <w:spacing w:after="200" w:line="276" w:lineRule="auto"/>
              <w:jc w:val="both"/>
              <w:rPr>
                <w:rFonts w:ascii="Times New Roman" w:eastAsia="Times New Roman" w:hAnsi="Times New Roman" w:cs="Times New Roman"/>
                <w:sz w:val="24"/>
              </w:rPr>
            </w:pPr>
            <w:r w:rsidRPr="00970EC6">
              <w:rPr>
                <w:rFonts w:ascii="Times New Roman" w:hAnsi="Times New Roman"/>
                <w:i/>
                <w:sz w:val="24"/>
              </w:rPr>
              <w:t>Ľubovoľný te</w:t>
            </w:r>
            <w:r w:rsidRPr="00970EC6">
              <w:rPr>
                <w:rFonts w:ascii="Times New Roman" w:hAnsi="Times New Roman"/>
                <w:i/>
                <w:sz w:val="24"/>
              </w:rPr>
              <w:t>xt (uveďte dôvody rozhodnutia podľa vlastného uváženia, existenciu systémov povinnej výplaty dividend, systémov pozastavenia výplaty dividend, ACSM – alternatívny mechanizmus výplaty kupónu).</w:t>
            </w:r>
          </w:p>
        </w:tc>
      </w:tr>
      <w:tr w:rsidR="00DB382A" w:rsidRPr="00970EC6" w14:paraId="46418552" w14:textId="77777777">
        <w:trPr>
          <w:trHeight w:val="259"/>
        </w:trPr>
        <w:tc>
          <w:tcPr>
            <w:tcW w:w="1030" w:type="dxa"/>
            <w:vAlign w:val="center"/>
          </w:tcPr>
          <w:p w14:paraId="6352C43B" w14:textId="77777777" w:rsidR="00DB382A" w:rsidRPr="00970EC6" w:rsidRDefault="00970EC6">
            <w:pPr>
              <w:spacing w:after="200" w:line="276" w:lineRule="auto"/>
              <w:rPr>
                <w:rFonts w:ascii="Times New Roman" w:eastAsia="Times New Roman" w:hAnsi="Times New Roman" w:cs="Times New Roman"/>
                <w:sz w:val="24"/>
              </w:rPr>
            </w:pPr>
            <w:r w:rsidRPr="00970EC6">
              <w:rPr>
                <w:rFonts w:ascii="Times New Roman" w:hAnsi="Times New Roman"/>
                <w:color w:val="000000"/>
                <w:sz w:val="24"/>
              </w:rPr>
              <w:t>21</w:t>
            </w:r>
          </w:p>
        </w:tc>
        <w:tc>
          <w:tcPr>
            <w:tcW w:w="7661" w:type="dxa"/>
            <w:shd w:val="clear" w:color="auto" w:fill="auto"/>
            <w:noWrap/>
            <w:vAlign w:val="bottom"/>
          </w:tcPr>
          <w:p w14:paraId="793EF7F7" w14:textId="77777777" w:rsidR="00DB382A" w:rsidRPr="00970EC6" w:rsidRDefault="00970EC6">
            <w:pPr>
              <w:spacing w:after="200" w:line="276" w:lineRule="auto"/>
              <w:jc w:val="both"/>
              <w:rPr>
                <w:rFonts w:ascii="Times New Roman" w:eastAsia="Times New Roman" w:hAnsi="Times New Roman" w:cs="Times New Roman"/>
                <w:sz w:val="24"/>
              </w:rPr>
            </w:pPr>
            <w:r w:rsidRPr="00970EC6">
              <w:rPr>
                <w:rFonts w:ascii="Times New Roman" w:hAnsi="Times New Roman"/>
                <w:sz w:val="24"/>
              </w:rPr>
              <w:t xml:space="preserve">Úplne podľa vlastného uváženia, čiastočne podľa </w:t>
            </w:r>
            <w:r w:rsidRPr="00970EC6">
              <w:rPr>
                <w:rFonts w:ascii="Times New Roman" w:hAnsi="Times New Roman"/>
                <w:sz w:val="24"/>
              </w:rPr>
              <w:t>vlastného uváženia alebo povinné (z hľadiska hodnoty)</w:t>
            </w:r>
          </w:p>
          <w:p w14:paraId="7FBBAFDE" w14:textId="77777777" w:rsidR="00DB382A" w:rsidRPr="00970EC6" w:rsidRDefault="00970EC6">
            <w:pPr>
              <w:spacing w:after="200" w:line="276" w:lineRule="auto"/>
              <w:jc w:val="both"/>
              <w:rPr>
                <w:rFonts w:ascii="Times New Roman" w:eastAsia="Times New Roman" w:hAnsi="Times New Roman" w:cs="Times New Roman"/>
                <w:sz w:val="24"/>
              </w:rPr>
            </w:pPr>
            <w:r w:rsidRPr="00970EC6">
              <w:rPr>
                <w:rFonts w:ascii="Times New Roman" w:hAnsi="Times New Roman"/>
                <w:sz w:val="24"/>
              </w:rPr>
              <w:t>Určenie, či emitent rozhoduje o výške kupónu/dividendy úplne podľa vlastného uváženia, čiastočne podľa vlastného uváženia alebo či nemá žiadnu právomoc rozhodnúť podľa vlastného uváženia.</w:t>
            </w:r>
          </w:p>
          <w:p w14:paraId="5E56E2A4" w14:textId="77777777" w:rsidR="00DB382A" w:rsidRPr="00970EC6" w:rsidRDefault="00970EC6">
            <w:pPr>
              <w:spacing w:after="200" w:line="276" w:lineRule="auto"/>
              <w:jc w:val="both"/>
              <w:rPr>
                <w:rFonts w:ascii="Times New Roman" w:eastAsia="Times New Roman" w:hAnsi="Times New Roman" w:cs="Times New Roman"/>
                <w:i/>
                <w:sz w:val="24"/>
              </w:rPr>
            </w:pPr>
            <w:r w:rsidRPr="00970EC6">
              <w:rPr>
                <w:rFonts w:ascii="Times New Roman" w:hAnsi="Times New Roman"/>
                <w:i/>
                <w:sz w:val="24"/>
              </w:rPr>
              <w:lastRenderedPageBreak/>
              <w:t>Vyberte z ponu</w:t>
            </w:r>
            <w:r w:rsidRPr="00970EC6">
              <w:rPr>
                <w:rFonts w:ascii="Times New Roman" w:hAnsi="Times New Roman"/>
                <w:i/>
                <w:sz w:val="24"/>
              </w:rPr>
              <w:t>ky: [Úplne podľa vlastného uváženia] [Čiastočne podľa vlastného uváženia] [Povinné]</w:t>
            </w:r>
          </w:p>
        </w:tc>
      </w:tr>
      <w:tr w:rsidR="00DB382A" w:rsidRPr="00970EC6" w14:paraId="520395AF" w14:textId="77777777">
        <w:trPr>
          <w:trHeight w:val="259"/>
        </w:trPr>
        <w:tc>
          <w:tcPr>
            <w:tcW w:w="1030" w:type="dxa"/>
            <w:vAlign w:val="center"/>
          </w:tcPr>
          <w:p w14:paraId="5AA4692A" w14:textId="77777777" w:rsidR="00DB382A" w:rsidRPr="00970EC6" w:rsidRDefault="00970EC6">
            <w:pPr>
              <w:spacing w:after="200" w:line="276" w:lineRule="auto"/>
              <w:rPr>
                <w:rFonts w:ascii="Times New Roman" w:eastAsia="Times New Roman" w:hAnsi="Times New Roman" w:cs="Times New Roman"/>
                <w:sz w:val="24"/>
              </w:rPr>
            </w:pPr>
            <w:r w:rsidRPr="00970EC6">
              <w:rPr>
                <w:rFonts w:ascii="Times New Roman" w:hAnsi="Times New Roman"/>
                <w:color w:val="000000"/>
                <w:sz w:val="24"/>
              </w:rPr>
              <w:lastRenderedPageBreak/>
              <w:t>22</w:t>
            </w:r>
          </w:p>
        </w:tc>
        <w:tc>
          <w:tcPr>
            <w:tcW w:w="7661" w:type="dxa"/>
            <w:shd w:val="clear" w:color="auto" w:fill="auto"/>
            <w:noWrap/>
            <w:vAlign w:val="bottom"/>
          </w:tcPr>
          <w:p w14:paraId="706349F2" w14:textId="77777777" w:rsidR="00DB382A" w:rsidRPr="00970EC6" w:rsidRDefault="00970EC6">
            <w:pPr>
              <w:spacing w:after="200" w:line="276" w:lineRule="auto"/>
              <w:jc w:val="both"/>
              <w:rPr>
                <w:rFonts w:ascii="Times New Roman" w:eastAsia="Times New Roman" w:hAnsi="Times New Roman" w:cs="Times New Roman"/>
                <w:sz w:val="24"/>
              </w:rPr>
            </w:pPr>
            <w:r w:rsidRPr="00970EC6">
              <w:rPr>
                <w:rFonts w:ascii="Times New Roman" w:hAnsi="Times New Roman"/>
                <w:sz w:val="24"/>
              </w:rPr>
              <w:t xml:space="preserve"> Existencia klauzuly o zvýšení alebo iného stimulu na splatenie</w:t>
            </w:r>
          </w:p>
          <w:p w14:paraId="2C18B304" w14:textId="77777777" w:rsidR="00DB382A" w:rsidRPr="00970EC6" w:rsidRDefault="00970EC6">
            <w:pPr>
              <w:spacing w:after="200" w:line="276" w:lineRule="auto"/>
              <w:jc w:val="both"/>
              <w:rPr>
                <w:rFonts w:ascii="Times New Roman" w:eastAsia="Times New Roman" w:hAnsi="Times New Roman" w:cs="Times New Roman"/>
                <w:sz w:val="24"/>
              </w:rPr>
            </w:pPr>
            <w:r w:rsidRPr="00970EC6">
              <w:rPr>
                <w:rFonts w:ascii="Times New Roman" w:hAnsi="Times New Roman"/>
                <w:sz w:val="24"/>
              </w:rPr>
              <w:t>Určenie, či existuje klauzula o zvýšení alebo iný stimul na splatenie.</w:t>
            </w:r>
          </w:p>
          <w:p w14:paraId="4A985BB9" w14:textId="77777777" w:rsidR="00DB382A" w:rsidRPr="00970EC6" w:rsidRDefault="00970EC6">
            <w:pPr>
              <w:spacing w:after="200" w:line="276" w:lineRule="auto"/>
              <w:jc w:val="both"/>
              <w:rPr>
                <w:rFonts w:ascii="Times New Roman" w:eastAsia="Times New Roman" w:hAnsi="Times New Roman" w:cs="Times New Roman"/>
                <w:i/>
                <w:sz w:val="24"/>
              </w:rPr>
            </w:pPr>
            <w:r w:rsidRPr="00970EC6">
              <w:rPr>
                <w:rFonts w:ascii="Times New Roman" w:hAnsi="Times New Roman"/>
                <w:i/>
                <w:sz w:val="24"/>
              </w:rPr>
              <w:t>Vyberte z ponuky: [Áno] [Nie]</w:t>
            </w:r>
          </w:p>
        </w:tc>
      </w:tr>
      <w:tr w:rsidR="00DB382A" w:rsidRPr="00970EC6" w14:paraId="7BFB8A6B" w14:textId="77777777">
        <w:trPr>
          <w:trHeight w:val="259"/>
        </w:trPr>
        <w:tc>
          <w:tcPr>
            <w:tcW w:w="1030" w:type="dxa"/>
            <w:vAlign w:val="center"/>
          </w:tcPr>
          <w:p w14:paraId="6E922D5E" w14:textId="77777777" w:rsidR="00DB382A" w:rsidRPr="00970EC6" w:rsidRDefault="00970EC6">
            <w:pPr>
              <w:spacing w:after="200" w:line="276" w:lineRule="auto"/>
              <w:rPr>
                <w:rFonts w:ascii="Times New Roman" w:eastAsia="Times New Roman" w:hAnsi="Times New Roman" w:cs="Times New Roman"/>
                <w:sz w:val="24"/>
              </w:rPr>
            </w:pPr>
            <w:r w:rsidRPr="00970EC6">
              <w:rPr>
                <w:rFonts w:ascii="Times New Roman" w:hAnsi="Times New Roman"/>
                <w:color w:val="000000"/>
                <w:sz w:val="24"/>
              </w:rPr>
              <w:t>23</w:t>
            </w:r>
          </w:p>
        </w:tc>
        <w:tc>
          <w:tcPr>
            <w:tcW w:w="7661" w:type="dxa"/>
            <w:shd w:val="clear" w:color="auto" w:fill="auto"/>
            <w:noWrap/>
            <w:vAlign w:val="bottom"/>
          </w:tcPr>
          <w:p w14:paraId="78E36455" w14:textId="77777777" w:rsidR="00DB382A" w:rsidRPr="00970EC6" w:rsidRDefault="00970EC6">
            <w:pPr>
              <w:spacing w:after="200" w:line="276" w:lineRule="auto"/>
              <w:jc w:val="both"/>
              <w:rPr>
                <w:rFonts w:ascii="Times New Roman" w:eastAsia="Times New Roman" w:hAnsi="Times New Roman" w:cs="Times New Roman"/>
                <w:sz w:val="24"/>
              </w:rPr>
            </w:pPr>
            <w:r w:rsidRPr="00970EC6">
              <w:rPr>
                <w:rFonts w:ascii="Times New Roman" w:hAnsi="Times New Roman"/>
                <w:sz w:val="24"/>
              </w:rPr>
              <w:t>Nekumulatívne alebo kumulatívne</w:t>
            </w:r>
          </w:p>
          <w:p w14:paraId="468D1461" w14:textId="77777777" w:rsidR="00DB382A" w:rsidRPr="00970EC6" w:rsidRDefault="00970EC6">
            <w:pPr>
              <w:spacing w:after="200" w:line="276" w:lineRule="auto"/>
              <w:jc w:val="both"/>
              <w:rPr>
                <w:rFonts w:ascii="Times New Roman" w:eastAsia="Times New Roman" w:hAnsi="Times New Roman" w:cs="Times New Roman"/>
                <w:sz w:val="24"/>
              </w:rPr>
            </w:pPr>
            <w:r w:rsidRPr="00970EC6">
              <w:rPr>
                <w:rFonts w:ascii="Times New Roman" w:hAnsi="Times New Roman"/>
                <w:sz w:val="24"/>
              </w:rPr>
              <w:t>Určenie, či dividendy/kupóny sú kumulatívne alebo nekumulatívne.</w:t>
            </w:r>
          </w:p>
          <w:p w14:paraId="2D539EB0" w14:textId="77777777" w:rsidR="00DB382A" w:rsidRPr="00970EC6" w:rsidRDefault="00970EC6">
            <w:pPr>
              <w:spacing w:after="200" w:line="276" w:lineRule="auto"/>
              <w:jc w:val="both"/>
              <w:rPr>
                <w:rFonts w:ascii="Times New Roman" w:eastAsia="Times New Roman" w:hAnsi="Times New Roman" w:cs="Times New Roman"/>
                <w:i/>
                <w:sz w:val="24"/>
              </w:rPr>
            </w:pPr>
            <w:r w:rsidRPr="00970EC6">
              <w:rPr>
                <w:rFonts w:ascii="Times New Roman" w:hAnsi="Times New Roman"/>
                <w:i/>
                <w:sz w:val="24"/>
              </w:rPr>
              <w:t>Vyberte z ponuky: [Nekumulatívne] [Kumulatívne] [ACSM]</w:t>
            </w:r>
          </w:p>
        </w:tc>
      </w:tr>
      <w:tr w:rsidR="00DB382A" w:rsidRPr="00970EC6" w14:paraId="66A141FE" w14:textId="77777777">
        <w:trPr>
          <w:trHeight w:val="259"/>
        </w:trPr>
        <w:tc>
          <w:tcPr>
            <w:tcW w:w="1030" w:type="dxa"/>
            <w:vAlign w:val="center"/>
          </w:tcPr>
          <w:p w14:paraId="7BFA2BD2" w14:textId="77777777" w:rsidR="00DB382A" w:rsidRPr="00970EC6" w:rsidRDefault="00970EC6">
            <w:pPr>
              <w:spacing w:after="200" w:line="276" w:lineRule="auto"/>
              <w:rPr>
                <w:rFonts w:ascii="Times New Roman" w:eastAsia="Times New Roman" w:hAnsi="Times New Roman" w:cs="Times New Roman"/>
                <w:sz w:val="24"/>
              </w:rPr>
            </w:pPr>
            <w:r w:rsidRPr="00970EC6">
              <w:rPr>
                <w:rFonts w:ascii="Times New Roman" w:hAnsi="Times New Roman"/>
                <w:color w:val="000000"/>
                <w:sz w:val="24"/>
              </w:rPr>
              <w:t>24</w:t>
            </w:r>
          </w:p>
        </w:tc>
        <w:tc>
          <w:tcPr>
            <w:tcW w:w="7661" w:type="dxa"/>
            <w:shd w:val="clear" w:color="auto" w:fill="auto"/>
            <w:noWrap/>
            <w:vAlign w:val="bottom"/>
          </w:tcPr>
          <w:p w14:paraId="4770085B" w14:textId="77777777" w:rsidR="00DB382A" w:rsidRPr="00970EC6" w:rsidRDefault="00970EC6">
            <w:pPr>
              <w:spacing w:after="200" w:line="276" w:lineRule="auto"/>
              <w:jc w:val="both"/>
              <w:rPr>
                <w:rFonts w:ascii="Times New Roman" w:eastAsia="Times New Roman" w:hAnsi="Times New Roman" w:cs="Times New Roman"/>
                <w:sz w:val="24"/>
              </w:rPr>
            </w:pPr>
            <w:r w:rsidRPr="00970EC6">
              <w:rPr>
                <w:rFonts w:ascii="Times New Roman" w:hAnsi="Times New Roman"/>
                <w:sz w:val="24"/>
              </w:rPr>
              <w:t>Konvertibilný alebo nekonvertibilný</w:t>
            </w:r>
          </w:p>
          <w:p w14:paraId="2FFD68A5" w14:textId="77777777" w:rsidR="00DB382A" w:rsidRPr="00970EC6" w:rsidRDefault="00970EC6">
            <w:pPr>
              <w:spacing w:after="200" w:line="276" w:lineRule="auto"/>
              <w:jc w:val="both"/>
              <w:rPr>
                <w:rFonts w:ascii="Times New Roman" w:eastAsia="Times New Roman" w:hAnsi="Times New Roman" w:cs="Times New Roman"/>
                <w:sz w:val="24"/>
              </w:rPr>
            </w:pPr>
            <w:r w:rsidRPr="00970EC6">
              <w:rPr>
                <w:rFonts w:ascii="Times New Roman" w:hAnsi="Times New Roman"/>
                <w:sz w:val="24"/>
              </w:rPr>
              <w:t xml:space="preserve">Určenie, či nástroj je alebo nie je </w:t>
            </w:r>
            <w:r w:rsidRPr="00970EC6">
              <w:rPr>
                <w:rFonts w:ascii="Times New Roman" w:hAnsi="Times New Roman"/>
                <w:sz w:val="24"/>
              </w:rPr>
              <w:t>konvertibilný.</w:t>
            </w:r>
          </w:p>
          <w:p w14:paraId="27A456C3" w14:textId="77777777" w:rsidR="00DB382A" w:rsidRPr="00970EC6" w:rsidRDefault="00970EC6">
            <w:pPr>
              <w:spacing w:after="200" w:line="276" w:lineRule="auto"/>
              <w:jc w:val="both"/>
              <w:rPr>
                <w:rFonts w:ascii="Times New Roman" w:eastAsia="Times New Roman" w:hAnsi="Times New Roman" w:cs="Times New Roman"/>
                <w:i/>
                <w:sz w:val="24"/>
              </w:rPr>
            </w:pPr>
            <w:r w:rsidRPr="00970EC6">
              <w:rPr>
                <w:rFonts w:ascii="Times New Roman" w:hAnsi="Times New Roman"/>
                <w:i/>
                <w:sz w:val="24"/>
              </w:rPr>
              <w:t>Vyberte z ponuky: [Konvertibilný] [Nekonvertibilný]</w:t>
            </w:r>
          </w:p>
        </w:tc>
      </w:tr>
      <w:tr w:rsidR="00DB382A" w:rsidRPr="00970EC6" w14:paraId="6DEC3480" w14:textId="77777777">
        <w:trPr>
          <w:trHeight w:val="259"/>
        </w:trPr>
        <w:tc>
          <w:tcPr>
            <w:tcW w:w="1030" w:type="dxa"/>
            <w:vAlign w:val="center"/>
          </w:tcPr>
          <w:p w14:paraId="536D8E3B" w14:textId="77777777" w:rsidR="00DB382A" w:rsidRPr="00970EC6" w:rsidRDefault="00970EC6">
            <w:pPr>
              <w:spacing w:after="200" w:line="276" w:lineRule="auto"/>
              <w:rPr>
                <w:rFonts w:ascii="Times New Roman" w:eastAsia="Times New Roman" w:hAnsi="Times New Roman" w:cs="Times New Roman"/>
                <w:sz w:val="24"/>
              </w:rPr>
            </w:pPr>
            <w:r w:rsidRPr="00970EC6">
              <w:rPr>
                <w:rFonts w:ascii="Times New Roman" w:hAnsi="Times New Roman"/>
                <w:color w:val="000000"/>
                <w:sz w:val="24"/>
              </w:rPr>
              <w:t>25</w:t>
            </w:r>
          </w:p>
        </w:tc>
        <w:tc>
          <w:tcPr>
            <w:tcW w:w="7661" w:type="dxa"/>
            <w:shd w:val="clear" w:color="auto" w:fill="auto"/>
            <w:noWrap/>
            <w:vAlign w:val="bottom"/>
          </w:tcPr>
          <w:p w14:paraId="2CF648EC" w14:textId="77777777" w:rsidR="00DB382A" w:rsidRPr="00970EC6" w:rsidRDefault="00970EC6">
            <w:pPr>
              <w:spacing w:after="200" w:line="276" w:lineRule="auto"/>
              <w:jc w:val="both"/>
              <w:rPr>
                <w:rFonts w:ascii="Times New Roman" w:eastAsia="Times New Roman" w:hAnsi="Times New Roman" w:cs="Times New Roman"/>
                <w:sz w:val="24"/>
              </w:rPr>
            </w:pPr>
            <w:r w:rsidRPr="00970EC6">
              <w:rPr>
                <w:rFonts w:ascii="Times New Roman" w:hAnsi="Times New Roman"/>
                <w:sz w:val="24"/>
              </w:rPr>
              <w:t xml:space="preserve"> Ak konvertibilný, spúšťací faktor (faktory) konverzie</w:t>
            </w:r>
          </w:p>
          <w:p w14:paraId="7F585741" w14:textId="77777777" w:rsidR="00DB382A" w:rsidRPr="00970EC6" w:rsidRDefault="00970EC6">
            <w:pPr>
              <w:spacing w:after="200" w:line="276" w:lineRule="auto"/>
              <w:jc w:val="both"/>
              <w:rPr>
                <w:rFonts w:ascii="Times New Roman" w:eastAsia="Times New Roman" w:hAnsi="Times New Roman" w:cs="Times New Roman"/>
                <w:sz w:val="24"/>
              </w:rPr>
            </w:pPr>
            <w:r w:rsidRPr="00970EC6">
              <w:rPr>
                <w:rFonts w:ascii="Times New Roman" w:hAnsi="Times New Roman"/>
                <w:sz w:val="24"/>
              </w:rPr>
              <w:t>Určenie podmienok, za ktorých sa nástroj konvertuje, vrátane bodu, keď už nie je životaschopný. Ak jeden alebo viaceré orgány majú</w:t>
            </w:r>
            <w:r w:rsidRPr="00970EC6">
              <w:rPr>
                <w:rFonts w:ascii="Times New Roman" w:hAnsi="Times New Roman"/>
                <w:sz w:val="24"/>
              </w:rPr>
              <w:t xml:space="preserve"> možnosť spustiť konverziu, tieto orgány sa uvedú. Pri každom orgáne sa uvedie, či právny základ právomoci orgánu spustiť konverziu spočíva v zmluvných podmienkach nástroja (zmluvný prístup) alebo či právny základ stanovujú zákonné prostriedky (štatutárny </w:t>
            </w:r>
            <w:r w:rsidRPr="00970EC6">
              <w:rPr>
                <w:rFonts w:ascii="Times New Roman" w:hAnsi="Times New Roman"/>
                <w:sz w:val="24"/>
              </w:rPr>
              <w:t>prístup).</w:t>
            </w:r>
          </w:p>
          <w:p w14:paraId="7B184A6D" w14:textId="77777777" w:rsidR="00DB382A" w:rsidRPr="00970EC6" w:rsidRDefault="00970EC6">
            <w:pPr>
              <w:spacing w:after="200" w:line="276" w:lineRule="auto"/>
              <w:jc w:val="both"/>
              <w:rPr>
                <w:rFonts w:ascii="Times New Roman" w:eastAsia="Times New Roman" w:hAnsi="Times New Roman" w:cs="Times New Roman"/>
                <w:i/>
                <w:sz w:val="24"/>
              </w:rPr>
            </w:pPr>
            <w:r w:rsidRPr="00970EC6">
              <w:rPr>
                <w:rFonts w:ascii="Times New Roman" w:hAnsi="Times New Roman"/>
                <w:i/>
                <w:sz w:val="24"/>
              </w:rPr>
              <w:t>Ľubovoľný text</w:t>
            </w:r>
          </w:p>
        </w:tc>
      </w:tr>
      <w:tr w:rsidR="00DB382A" w:rsidRPr="00970EC6" w14:paraId="2CB5D18E" w14:textId="77777777">
        <w:trPr>
          <w:trHeight w:val="259"/>
        </w:trPr>
        <w:tc>
          <w:tcPr>
            <w:tcW w:w="1030" w:type="dxa"/>
            <w:vAlign w:val="center"/>
          </w:tcPr>
          <w:p w14:paraId="19A70AEA" w14:textId="77777777" w:rsidR="00DB382A" w:rsidRPr="00970EC6" w:rsidRDefault="00970EC6">
            <w:pPr>
              <w:spacing w:after="200" w:line="276" w:lineRule="auto"/>
              <w:rPr>
                <w:rFonts w:ascii="Times New Roman" w:eastAsia="Times New Roman" w:hAnsi="Times New Roman" w:cs="Times New Roman"/>
                <w:sz w:val="24"/>
              </w:rPr>
            </w:pPr>
            <w:r w:rsidRPr="00970EC6">
              <w:rPr>
                <w:rFonts w:ascii="Times New Roman" w:hAnsi="Times New Roman"/>
                <w:color w:val="000000"/>
                <w:sz w:val="24"/>
              </w:rPr>
              <w:t>26</w:t>
            </w:r>
          </w:p>
        </w:tc>
        <w:tc>
          <w:tcPr>
            <w:tcW w:w="7661" w:type="dxa"/>
            <w:shd w:val="clear" w:color="auto" w:fill="auto"/>
            <w:noWrap/>
            <w:vAlign w:val="bottom"/>
          </w:tcPr>
          <w:p w14:paraId="385A6297" w14:textId="77777777" w:rsidR="00DB382A" w:rsidRPr="00970EC6" w:rsidRDefault="00970EC6">
            <w:pPr>
              <w:spacing w:after="200" w:line="276" w:lineRule="auto"/>
              <w:jc w:val="both"/>
              <w:rPr>
                <w:rFonts w:ascii="Times New Roman" w:eastAsia="Times New Roman" w:hAnsi="Times New Roman" w:cs="Times New Roman"/>
                <w:sz w:val="24"/>
              </w:rPr>
            </w:pPr>
            <w:r w:rsidRPr="00970EC6">
              <w:rPr>
                <w:rFonts w:ascii="Times New Roman" w:hAnsi="Times New Roman"/>
                <w:sz w:val="24"/>
              </w:rPr>
              <w:t>Ak konvertibilný, úplne alebo čiastočne</w:t>
            </w:r>
          </w:p>
          <w:p w14:paraId="7E84FB71" w14:textId="77777777" w:rsidR="00DB382A" w:rsidRPr="00970EC6" w:rsidRDefault="00970EC6">
            <w:pPr>
              <w:spacing w:after="200" w:line="276" w:lineRule="auto"/>
              <w:jc w:val="both"/>
              <w:rPr>
                <w:rFonts w:ascii="Times New Roman" w:eastAsia="Times New Roman" w:hAnsi="Times New Roman" w:cs="Times New Roman"/>
                <w:sz w:val="24"/>
              </w:rPr>
            </w:pPr>
            <w:r w:rsidRPr="00970EC6">
              <w:rPr>
                <w:rFonts w:ascii="Times New Roman" w:hAnsi="Times New Roman"/>
                <w:sz w:val="24"/>
              </w:rPr>
              <w:t>Určenie, či konverzia nástroja bude vždy úplná, môže byť úplná alebo čiastočná alebo bude vždy čiastočná.</w:t>
            </w:r>
          </w:p>
          <w:p w14:paraId="4EAF0DEB" w14:textId="77777777" w:rsidR="00DB382A" w:rsidRPr="00970EC6" w:rsidRDefault="00970EC6">
            <w:pPr>
              <w:spacing w:after="200" w:line="276" w:lineRule="auto"/>
              <w:jc w:val="both"/>
              <w:rPr>
                <w:rFonts w:ascii="Times New Roman" w:eastAsia="Times New Roman" w:hAnsi="Times New Roman" w:cs="Times New Roman"/>
                <w:i/>
                <w:sz w:val="24"/>
              </w:rPr>
            </w:pPr>
            <w:r w:rsidRPr="00970EC6">
              <w:rPr>
                <w:rFonts w:ascii="Times New Roman" w:hAnsi="Times New Roman"/>
                <w:i/>
                <w:sz w:val="24"/>
              </w:rPr>
              <w:t>Vyberte z ponuky: [Vždy úplná] [Úplná alebo čiastočná] [Vždy čiastočná]</w:t>
            </w:r>
          </w:p>
        </w:tc>
      </w:tr>
      <w:tr w:rsidR="00DB382A" w:rsidRPr="00970EC6" w14:paraId="20016DD5" w14:textId="77777777">
        <w:trPr>
          <w:trHeight w:val="259"/>
        </w:trPr>
        <w:tc>
          <w:tcPr>
            <w:tcW w:w="1030" w:type="dxa"/>
            <w:vAlign w:val="center"/>
          </w:tcPr>
          <w:p w14:paraId="5634FE9D" w14:textId="77777777" w:rsidR="00DB382A" w:rsidRPr="00970EC6" w:rsidRDefault="00970EC6">
            <w:pPr>
              <w:spacing w:after="200" w:line="276" w:lineRule="auto"/>
              <w:rPr>
                <w:rFonts w:ascii="Times New Roman" w:eastAsia="Times New Roman" w:hAnsi="Times New Roman" w:cs="Times New Roman"/>
                <w:sz w:val="24"/>
              </w:rPr>
            </w:pPr>
            <w:r w:rsidRPr="00970EC6">
              <w:rPr>
                <w:rFonts w:ascii="Times New Roman" w:hAnsi="Times New Roman"/>
                <w:color w:val="000000"/>
                <w:sz w:val="24"/>
              </w:rPr>
              <w:t>27</w:t>
            </w:r>
          </w:p>
        </w:tc>
        <w:tc>
          <w:tcPr>
            <w:tcW w:w="7661" w:type="dxa"/>
            <w:shd w:val="clear" w:color="auto" w:fill="auto"/>
            <w:noWrap/>
            <w:vAlign w:val="bottom"/>
          </w:tcPr>
          <w:p w14:paraId="4A18B88F" w14:textId="77777777" w:rsidR="00DB382A" w:rsidRPr="00970EC6" w:rsidRDefault="00970EC6">
            <w:pPr>
              <w:spacing w:after="200" w:line="276" w:lineRule="auto"/>
              <w:jc w:val="both"/>
              <w:rPr>
                <w:rFonts w:ascii="Times New Roman" w:eastAsia="Times New Roman" w:hAnsi="Times New Roman" w:cs="Times New Roman"/>
                <w:sz w:val="24"/>
              </w:rPr>
            </w:pPr>
            <w:r w:rsidRPr="00970EC6">
              <w:rPr>
                <w:rFonts w:ascii="Times New Roman" w:hAnsi="Times New Roman"/>
                <w:sz w:val="24"/>
              </w:rPr>
              <w:t xml:space="preserve">Ak </w:t>
            </w:r>
            <w:r w:rsidRPr="00970EC6">
              <w:rPr>
                <w:rFonts w:ascii="Times New Roman" w:hAnsi="Times New Roman"/>
                <w:sz w:val="24"/>
              </w:rPr>
              <w:t>konvertibilný, konverzná sadzba</w:t>
            </w:r>
          </w:p>
          <w:p w14:paraId="316D1287" w14:textId="77777777" w:rsidR="00DB382A" w:rsidRPr="00970EC6" w:rsidRDefault="00970EC6">
            <w:pPr>
              <w:spacing w:after="200" w:line="276" w:lineRule="auto"/>
              <w:jc w:val="both"/>
              <w:rPr>
                <w:rFonts w:ascii="Times New Roman" w:eastAsia="Times New Roman" w:hAnsi="Times New Roman" w:cs="Times New Roman"/>
                <w:sz w:val="24"/>
              </w:rPr>
            </w:pPr>
            <w:r w:rsidRPr="00970EC6">
              <w:rPr>
                <w:rFonts w:ascii="Times New Roman" w:hAnsi="Times New Roman"/>
                <w:sz w:val="24"/>
              </w:rPr>
              <w:t>Určenie sadzby konverzie na nástroj, ktorý viac absorbuje stratu.</w:t>
            </w:r>
          </w:p>
          <w:p w14:paraId="406C90F2" w14:textId="77777777" w:rsidR="00DB382A" w:rsidRPr="00970EC6" w:rsidRDefault="00970EC6">
            <w:pPr>
              <w:spacing w:after="200" w:line="276" w:lineRule="auto"/>
              <w:jc w:val="both"/>
              <w:rPr>
                <w:rFonts w:ascii="Times New Roman" w:eastAsia="Times New Roman" w:hAnsi="Times New Roman" w:cs="Times New Roman"/>
                <w:i/>
                <w:sz w:val="24"/>
              </w:rPr>
            </w:pPr>
            <w:r w:rsidRPr="00970EC6">
              <w:rPr>
                <w:rFonts w:ascii="Times New Roman" w:hAnsi="Times New Roman"/>
                <w:i/>
                <w:sz w:val="24"/>
              </w:rPr>
              <w:t>Ľubovoľný text</w:t>
            </w:r>
          </w:p>
        </w:tc>
      </w:tr>
      <w:tr w:rsidR="00DB382A" w:rsidRPr="00970EC6" w14:paraId="4A69635E" w14:textId="77777777">
        <w:trPr>
          <w:trHeight w:val="259"/>
        </w:trPr>
        <w:tc>
          <w:tcPr>
            <w:tcW w:w="1030" w:type="dxa"/>
            <w:vAlign w:val="center"/>
          </w:tcPr>
          <w:p w14:paraId="71DF36A7" w14:textId="77777777" w:rsidR="00DB382A" w:rsidRPr="00970EC6" w:rsidRDefault="00970EC6">
            <w:pPr>
              <w:spacing w:after="200" w:line="276" w:lineRule="auto"/>
              <w:rPr>
                <w:rFonts w:ascii="Times New Roman" w:eastAsia="Times New Roman" w:hAnsi="Times New Roman" w:cs="Times New Roman"/>
                <w:sz w:val="24"/>
              </w:rPr>
            </w:pPr>
            <w:r w:rsidRPr="00970EC6">
              <w:rPr>
                <w:rFonts w:ascii="Times New Roman" w:hAnsi="Times New Roman"/>
                <w:color w:val="000000"/>
                <w:sz w:val="24"/>
              </w:rPr>
              <w:t>28</w:t>
            </w:r>
          </w:p>
        </w:tc>
        <w:tc>
          <w:tcPr>
            <w:tcW w:w="7661" w:type="dxa"/>
            <w:shd w:val="clear" w:color="auto" w:fill="auto"/>
            <w:noWrap/>
            <w:vAlign w:val="bottom"/>
          </w:tcPr>
          <w:p w14:paraId="1B40A04D" w14:textId="77777777" w:rsidR="00DB382A" w:rsidRPr="00970EC6" w:rsidRDefault="00970EC6">
            <w:pPr>
              <w:spacing w:after="200" w:line="276" w:lineRule="auto"/>
              <w:jc w:val="both"/>
              <w:rPr>
                <w:rFonts w:ascii="Times New Roman" w:eastAsia="Times New Roman" w:hAnsi="Times New Roman" w:cs="Times New Roman"/>
                <w:sz w:val="24"/>
              </w:rPr>
            </w:pPr>
            <w:r w:rsidRPr="00970EC6">
              <w:rPr>
                <w:rFonts w:ascii="Times New Roman" w:hAnsi="Times New Roman"/>
                <w:sz w:val="24"/>
              </w:rPr>
              <w:t xml:space="preserve"> Ak konvertibilný, povinná alebo nepovinná konverzia</w:t>
            </w:r>
          </w:p>
          <w:p w14:paraId="195278BA" w14:textId="77777777" w:rsidR="00DB382A" w:rsidRPr="00970EC6" w:rsidRDefault="00970EC6">
            <w:pPr>
              <w:spacing w:after="200" w:line="276" w:lineRule="auto"/>
              <w:jc w:val="both"/>
              <w:rPr>
                <w:rFonts w:ascii="Times New Roman" w:eastAsia="Times New Roman" w:hAnsi="Times New Roman" w:cs="Times New Roman"/>
                <w:sz w:val="24"/>
              </w:rPr>
            </w:pPr>
            <w:r w:rsidRPr="00970EC6">
              <w:rPr>
                <w:rFonts w:ascii="Times New Roman" w:hAnsi="Times New Roman"/>
                <w:sz w:val="24"/>
              </w:rPr>
              <w:lastRenderedPageBreak/>
              <w:t>V</w:t>
            </w:r>
            <w:r w:rsidRPr="00970EC6">
              <w:rPr>
                <w:rFonts w:ascii="Times New Roman" w:eastAsia="Times New Roman" w:hAnsi="Times New Roman" w:cs="Times New Roman"/>
                <w:sz w:val="24"/>
              </w:rPr>
              <w:t> </w:t>
            </w:r>
            <w:r w:rsidRPr="00970EC6">
              <w:rPr>
                <w:rFonts w:ascii="Times New Roman" w:hAnsi="Times New Roman"/>
                <w:sz w:val="24"/>
              </w:rPr>
              <w:t>prípade konvertibilných nástrojov určenie, či je konverzia povinná alebo nepovinná.</w:t>
            </w:r>
          </w:p>
          <w:p w14:paraId="0BEE2761" w14:textId="77777777" w:rsidR="00DB382A" w:rsidRPr="00970EC6" w:rsidRDefault="00970EC6">
            <w:pPr>
              <w:spacing w:after="200" w:line="276" w:lineRule="auto"/>
              <w:jc w:val="both"/>
              <w:rPr>
                <w:rFonts w:ascii="Times New Roman" w:eastAsia="Times New Roman" w:hAnsi="Times New Roman" w:cs="Times New Roman"/>
                <w:i/>
                <w:sz w:val="24"/>
              </w:rPr>
            </w:pPr>
            <w:r w:rsidRPr="00970EC6">
              <w:rPr>
                <w:rFonts w:ascii="Times New Roman" w:hAnsi="Times New Roman"/>
                <w:i/>
                <w:sz w:val="24"/>
              </w:rPr>
              <w:t>Vyberte z ponuky: [Povinná] [Nepovinná] [Neuplatňuje sa] a [podľa rozhodnutia držiteľov] [podľa rozhodnutia emitenta] [podľa rozhodnutia držiteľov a emitenta]</w:t>
            </w:r>
          </w:p>
        </w:tc>
      </w:tr>
      <w:tr w:rsidR="00DB382A" w:rsidRPr="00970EC6" w14:paraId="375234ED" w14:textId="77777777">
        <w:trPr>
          <w:trHeight w:val="259"/>
        </w:trPr>
        <w:tc>
          <w:tcPr>
            <w:tcW w:w="1030" w:type="dxa"/>
            <w:vAlign w:val="center"/>
          </w:tcPr>
          <w:p w14:paraId="4815F0A7" w14:textId="77777777" w:rsidR="00DB382A" w:rsidRPr="00970EC6" w:rsidRDefault="00970EC6">
            <w:pPr>
              <w:spacing w:after="200" w:line="276" w:lineRule="auto"/>
              <w:rPr>
                <w:rFonts w:ascii="Times New Roman" w:eastAsia="Times New Roman" w:hAnsi="Times New Roman" w:cs="Times New Roman"/>
                <w:sz w:val="24"/>
              </w:rPr>
            </w:pPr>
            <w:r w:rsidRPr="00970EC6">
              <w:rPr>
                <w:rFonts w:ascii="Times New Roman" w:hAnsi="Times New Roman"/>
                <w:color w:val="000000"/>
                <w:sz w:val="24"/>
              </w:rPr>
              <w:lastRenderedPageBreak/>
              <w:t>29</w:t>
            </w:r>
          </w:p>
        </w:tc>
        <w:tc>
          <w:tcPr>
            <w:tcW w:w="7661" w:type="dxa"/>
            <w:shd w:val="clear" w:color="auto" w:fill="auto"/>
            <w:noWrap/>
            <w:vAlign w:val="bottom"/>
          </w:tcPr>
          <w:p w14:paraId="0CBE18E7" w14:textId="77777777" w:rsidR="00DB382A" w:rsidRPr="00970EC6" w:rsidRDefault="00970EC6">
            <w:pPr>
              <w:spacing w:after="200" w:line="276" w:lineRule="auto"/>
              <w:jc w:val="both"/>
              <w:rPr>
                <w:rFonts w:ascii="Times New Roman" w:eastAsia="Times New Roman" w:hAnsi="Times New Roman" w:cs="Times New Roman"/>
                <w:sz w:val="24"/>
              </w:rPr>
            </w:pPr>
            <w:r w:rsidRPr="00970EC6">
              <w:rPr>
                <w:rFonts w:ascii="Times New Roman" w:hAnsi="Times New Roman"/>
                <w:sz w:val="24"/>
              </w:rPr>
              <w:t>Ak konvertibilný, uveďte druh nástroja, na ktorý sa konvertuje.</w:t>
            </w:r>
          </w:p>
          <w:p w14:paraId="73CE0E69" w14:textId="77777777" w:rsidR="00DB382A" w:rsidRPr="00970EC6" w:rsidRDefault="00970EC6">
            <w:pPr>
              <w:spacing w:after="200" w:line="276" w:lineRule="auto"/>
              <w:jc w:val="both"/>
              <w:rPr>
                <w:rFonts w:ascii="Times New Roman" w:eastAsia="Times New Roman" w:hAnsi="Times New Roman" w:cs="Times New Roman"/>
                <w:sz w:val="24"/>
              </w:rPr>
            </w:pPr>
            <w:r w:rsidRPr="00970EC6">
              <w:rPr>
                <w:rFonts w:ascii="Times New Roman" w:hAnsi="Times New Roman"/>
                <w:sz w:val="24"/>
              </w:rPr>
              <w:t>V</w:t>
            </w:r>
            <w:r w:rsidRPr="00970EC6">
              <w:rPr>
                <w:rFonts w:ascii="Times New Roman" w:eastAsia="Times New Roman" w:hAnsi="Times New Roman" w:cs="Times New Roman"/>
                <w:sz w:val="24"/>
              </w:rPr>
              <w:t> </w:t>
            </w:r>
            <w:r w:rsidRPr="00970EC6">
              <w:rPr>
                <w:rFonts w:ascii="Times New Roman" w:hAnsi="Times New Roman"/>
                <w:sz w:val="24"/>
              </w:rPr>
              <w:t>prípade konvertibilných nás</w:t>
            </w:r>
            <w:r w:rsidRPr="00970EC6">
              <w:rPr>
                <w:rFonts w:ascii="Times New Roman" w:hAnsi="Times New Roman"/>
                <w:sz w:val="24"/>
              </w:rPr>
              <w:t>trojov určenie druhu nástroja, na ktorý sa konvertuje.</w:t>
            </w:r>
          </w:p>
          <w:p w14:paraId="430BD0B3" w14:textId="77777777" w:rsidR="00DB382A" w:rsidRPr="00970EC6" w:rsidRDefault="00970EC6">
            <w:pPr>
              <w:spacing w:after="200" w:line="276" w:lineRule="auto"/>
              <w:jc w:val="both"/>
              <w:rPr>
                <w:rFonts w:ascii="Times New Roman" w:eastAsia="Times New Roman" w:hAnsi="Times New Roman" w:cs="Times New Roman"/>
                <w:i/>
                <w:sz w:val="24"/>
              </w:rPr>
            </w:pPr>
            <w:r w:rsidRPr="00970EC6">
              <w:rPr>
                <w:rFonts w:ascii="Times New Roman" w:hAnsi="Times New Roman"/>
                <w:i/>
                <w:sz w:val="24"/>
              </w:rPr>
              <w:t>Vyberte z ponuky: [Vlastný kapitál Tier 1] [Dodatočný kapitál Tier 1] [Tier 2] [Iné]</w:t>
            </w:r>
          </w:p>
        </w:tc>
      </w:tr>
      <w:tr w:rsidR="00DB382A" w:rsidRPr="00970EC6" w14:paraId="3BBDA272" w14:textId="77777777">
        <w:trPr>
          <w:trHeight w:val="259"/>
        </w:trPr>
        <w:tc>
          <w:tcPr>
            <w:tcW w:w="1030" w:type="dxa"/>
            <w:vAlign w:val="center"/>
          </w:tcPr>
          <w:p w14:paraId="67C53007" w14:textId="77777777" w:rsidR="00DB382A" w:rsidRPr="00970EC6" w:rsidRDefault="00970EC6">
            <w:pPr>
              <w:spacing w:after="200" w:line="276" w:lineRule="auto"/>
              <w:rPr>
                <w:rFonts w:ascii="Times New Roman" w:eastAsia="Times New Roman" w:hAnsi="Times New Roman" w:cs="Times New Roman"/>
                <w:sz w:val="24"/>
              </w:rPr>
            </w:pPr>
            <w:r w:rsidRPr="00970EC6">
              <w:rPr>
                <w:rFonts w:ascii="Times New Roman" w:hAnsi="Times New Roman"/>
                <w:color w:val="000000"/>
                <w:sz w:val="24"/>
              </w:rPr>
              <w:t>30</w:t>
            </w:r>
          </w:p>
        </w:tc>
        <w:tc>
          <w:tcPr>
            <w:tcW w:w="7661" w:type="dxa"/>
            <w:shd w:val="clear" w:color="auto" w:fill="auto"/>
            <w:noWrap/>
            <w:vAlign w:val="bottom"/>
          </w:tcPr>
          <w:p w14:paraId="12D064C5" w14:textId="77777777" w:rsidR="00DB382A" w:rsidRPr="00970EC6" w:rsidRDefault="00970EC6">
            <w:pPr>
              <w:spacing w:after="200" w:line="276" w:lineRule="auto"/>
              <w:jc w:val="both"/>
              <w:rPr>
                <w:rFonts w:ascii="Times New Roman" w:eastAsia="Times New Roman" w:hAnsi="Times New Roman" w:cs="Times New Roman"/>
                <w:sz w:val="24"/>
              </w:rPr>
            </w:pPr>
            <w:r w:rsidRPr="00970EC6">
              <w:rPr>
                <w:rFonts w:ascii="Times New Roman" w:hAnsi="Times New Roman"/>
                <w:sz w:val="24"/>
              </w:rPr>
              <w:t>Ak konvertibilný, uveďte emitenta nástroja, na ktorý sa konvertuje.</w:t>
            </w:r>
          </w:p>
          <w:p w14:paraId="5FB6A671" w14:textId="77777777" w:rsidR="00DB382A" w:rsidRPr="00970EC6" w:rsidRDefault="00970EC6">
            <w:pPr>
              <w:spacing w:after="200" w:line="276" w:lineRule="auto"/>
              <w:jc w:val="both"/>
              <w:rPr>
                <w:rFonts w:ascii="Times New Roman" w:eastAsia="Times New Roman" w:hAnsi="Times New Roman" w:cs="Times New Roman"/>
                <w:sz w:val="24"/>
              </w:rPr>
            </w:pPr>
            <w:r w:rsidRPr="00970EC6">
              <w:rPr>
                <w:rFonts w:ascii="Times New Roman" w:hAnsi="Times New Roman"/>
                <w:sz w:val="24"/>
              </w:rPr>
              <w:t xml:space="preserve">Ak konvertibilný, uveďte emitenta </w:t>
            </w:r>
            <w:r w:rsidRPr="00970EC6">
              <w:rPr>
                <w:rFonts w:ascii="Times New Roman" w:hAnsi="Times New Roman"/>
                <w:sz w:val="24"/>
              </w:rPr>
              <w:t>nástroja, na ktorý sa konvertuje.</w:t>
            </w:r>
          </w:p>
          <w:p w14:paraId="7D1C24D3" w14:textId="77777777" w:rsidR="00DB382A" w:rsidRPr="00970EC6" w:rsidRDefault="00970EC6">
            <w:pPr>
              <w:spacing w:after="200" w:line="276" w:lineRule="auto"/>
              <w:jc w:val="both"/>
              <w:rPr>
                <w:rFonts w:ascii="Times New Roman" w:eastAsia="Times New Roman" w:hAnsi="Times New Roman" w:cs="Times New Roman"/>
                <w:i/>
                <w:sz w:val="24"/>
              </w:rPr>
            </w:pPr>
            <w:r w:rsidRPr="00970EC6">
              <w:rPr>
                <w:rFonts w:ascii="Times New Roman" w:hAnsi="Times New Roman"/>
                <w:i/>
                <w:sz w:val="24"/>
              </w:rPr>
              <w:t>Ľubovoľný text</w:t>
            </w:r>
          </w:p>
        </w:tc>
      </w:tr>
      <w:tr w:rsidR="00DB382A" w:rsidRPr="00970EC6" w14:paraId="143EF506" w14:textId="77777777">
        <w:trPr>
          <w:trHeight w:val="259"/>
        </w:trPr>
        <w:tc>
          <w:tcPr>
            <w:tcW w:w="1030" w:type="dxa"/>
            <w:vAlign w:val="center"/>
          </w:tcPr>
          <w:p w14:paraId="750DC98D" w14:textId="77777777" w:rsidR="00DB382A" w:rsidRPr="00970EC6" w:rsidRDefault="00970EC6">
            <w:pPr>
              <w:spacing w:after="200" w:line="276" w:lineRule="auto"/>
              <w:rPr>
                <w:rFonts w:ascii="Times New Roman" w:eastAsia="Times New Roman" w:hAnsi="Times New Roman" w:cs="Times New Roman"/>
                <w:sz w:val="24"/>
              </w:rPr>
            </w:pPr>
            <w:r w:rsidRPr="00970EC6">
              <w:rPr>
                <w:rFonts w:ascii="Times New Roman" w:hAnsi="Times New Roman"/>
                <w:color w:val="000000"/>
                <w:sz w:val="24"/>
              </w:rPr>
              <w:t>31</w:t>
            </w:r>
          </w:p>
        </w:tc>
        <w:tc>
          <w:tcPr>
            <w:tcW w:w="7661" w:type="dxa"/>
            <w:shd w:val="clear" w:color="auto" w:fill="auto"/>
            <w:noWrap/>
            <w:vAlign w:val="bottom"/>
          </w:tcPr>
          <w:p w14:paraId="2CFA13C5" w14:textId="77777777" w:rsidR="00DB382A" w:rsidRPr="00970EC6" w:rsidRDefault="00970EC6">
            <w:pPr>
              <w:spacing w:after="200" w:line="276" w:lineRule="auto"/>
              <w:jc w:val="both"/>
              <w:rPr>
                <w:rFonts w:ascii="Times New Roman" w:eastAsia="Times New Roman" w:hAnsi="Times New Roman" w:cs="Times New Roman"/>
                <w:sz w:val="24"/>
              </w:rPr>
            </w:pPr>
            <w:r w:rsidRPr="00970EC6">
              <w:rPr>
                <w:rFonts w:ascii="Times New Roman" w:hAnsi="Times New Roman"/>
                <w:sz w:val="24"/>
              </w:rPr>
              <w:t>Charakteristiky zníženia účtovnej hodnoty</w:t>
            </w:r>
          </w:p>
          <w:p w14:paraId="10D535A0" w14:textId="77777777" w:rsidR="00DB382A" w:rsidRPr="00970EC6" w:rsidRDefault="00970EC6">
            <w:pPr>
              <w:spacing w:after="200" w:line="276" w:lineRule="auto"/>
              <w:jc w:val="both"/>
              <w:rPr>
                <w:rFonts w:ascii="Times New Roman" w:eastAsia="Times New Roman" w:hAnsi="Times New Roman" w:cs="Times New Roman"/>
                <w:sz w:val="24"/>
              </w:rPr>
            </w:pPr>
            <w:r w:rsidRPr="00970EC6">
              <w:rPr>
                <w:rFonts w:ascii="Times New Roman" w:hAnsi="Times New Roman"/>
                <w:sz w:val="24"/>
              </w:rPr>
              <w:t>Určenie, či existuje charakteristika zníženia účtovnej hodnoty.</w:t>
            </w:r>
          </w:p>
          <w:p w14:paraId="5E76F26C" w14:textId="77777777" w:rsidR="00DB382A" w:rsidRPr="00970EC6" w:rsidRDefault="00970EC6">
            <w:pPr>
              <w:spacing w:after="200" w:line="276" w:lineRule="auto"/>
              <w:jc w:val="both"/>
              <w:rPr>
                <w:rFonts w:ascii="Times New Roman" w:eastAsia="Times New Roman" w:hAnsi="Times New Roman" w:cs="Times New Roman"/>
                <w:i/>
                <w:sz w:val="24"/>
              </w:rPr>
            </w:pPr>
            <w:r w:rsidRPr="00970EC6">
              <w:rPr>
                <w:rFonts w:ascii="Times New Roman" w:hAnsi="Times New Roman"/>
                <w:i/>
                <w:sz w:val="24"/>
              </w:rPr>
              <w:t>Vyberte z ponuky: [Áno] [Nie]</w:t>
            </w:r>
          </w:p>
        </w:tc>
      </w:tr>
      <w:tr w:rsidR="00DB382A" w:rsidRPr="00970EC6" w14:paraId="3A71BD3D" w14:textId="77777777">
        <w:trPr>
          <w:trHeight w:val="259"/>
        </w:trPr>
        <w:tc>
          <w:tcPr>
            <w:tcW w:w="1030" w:type="dxa"/>
            <w:vAlign w:val="center"/>
          </w:tcPr>
          <w:p w14:paraId="4E4AAE36" w14:textId="77777777" w:rsidR="00DB382A" w:rsidRPr="00970EC6" w:rsidRDefault="00970EC6">
            <w:pPr>
              <w:spacing w:after="200" w:line="276" w:lineRule="auto"/>
              <w:rPr>
                <w:rFonts w:ascii="Times New Roman" w:eastAsia="Times New Roman" w:hAnsi="Times New Roman" w:cs="Times New Roman"/>
                <w:sz w:val="24"/>
              </w:rPr>
            </w:pPr>
            <w:r w:rsidRPr="00970EC6">
              <w:rPr>
                <w:rFonts w:ascii="Times New Roman" w:hAnsi="Times New Roman"/>
                <w:color w:val="000000"/>
                <w:sz w:val="24"/>
              </w:rPr>
              <w:t>32</w:t>
            </w:r>
          </w:p>
        </w:tc>
        <w:tc>
          <w:tcPr>
            <w:tcW w:w="7661" w:type="dxa"/>
            <w:shd w:val="clear" w:color="auto" w:fill="auto"/>
            <w:noWrap/>
            <w:vAlign w:val="bottom"/>
          </w:tcPr>
          <w:p w14:paraId="220A2EF4" w14:textId="77777777" w:rsidR="00DB382A" w:rsidRPr="00970EC6" w:rsidRDefault="00970EC6">
            <w:pPr>
              <w:autoSpaceDE w:val="0"/>
              <w:autoSpaceDN w:val="0"/>
              <w:adjustRightInd w:val="0"/>
              <w:spacing w:after="200" w:line="276" w:lineRule="auto"/>
              <w:jc w:val="both"/>
              <w:rPr>
                <w:rFonts w:ascii="Times New Roman" w:eastAsia="Times New Roman" w:hAnsi="Times New Roman" w:cs="Times New Roman"/>
                <w:sz w:val="24"/>
              </w:rPr>
            </w:pPr>
            <w:r w:rsidRPr="00970EC6">
              <w:rPr>
                <w:rFonts w:ascii="Times New Roman" w:hAnsi="Times New Roman"/>
                <w:sz w:val="24"/>
              </w:rPr>
              <w:t xml:space="preserve">Ak zníženie účtovnej hodnoty, spúšťací faktor </w:t>
            </w:r>
            <w:r w:rsidRPr="00970EC6">
              <w:rPr>
                <w:rFonts w:ascii="Times New Roman" w:hAnsi="Times New Roman"/>
                <w:sz w:val="24"/>
              </w:rPr>
              <w:t>(faktory) zníženia účtovnej hodnoty</w:t>
            </w:r>
          </w:p>
          <w:p w14:paraId="7BB7F83D" w14:textId="77777777" w:rsidR="00DB382A" w:rsidRPr="00970EC6" w:rsidRDefault="00970EC6">
            <w:pPr>
              <w:autoSpaceDE w:val="0"/>
              <w:autoSpaceDN w:val="0"/>
              <w:adjustRightInd w:val="0"/>
              <w:spacing w:after="200" w:line="276" w:lineRule="auto"/>
              <w:jc w:val="both"/>
              <w:rPr>
                <w:rFonts w:ascii="Times New Roman" w:eastAsia="Times New Roman" w:hAnsi="Times New Roman" w:cs="Times New Roman"/>
                <w:sz w:val="24"/>
              </w:rPr>
            </w:pPr>
            <w:r w:rsidRPr="00970EC6">
              <w:rPr>
                <w:rFonts w:ascii="Times New Roman" w:hAnsi="Times New Roman"/>
                <w:sz w:val="24"/>
              </w:rPr>
              <w:t>Určenie spúšťacích faktorov, pri ktorých sa uplatní zníženie hodnoty, vrátane bodu, keď už nástroj nie je životaschopný. Ak jeden alebo viaceré orgány majú možnosť spustiť zníženie účtovnej hodnoty, tieto orgány sa uvedú</w:t>
            </w:r>
            <w:r w:rsidRPr="00970EC6">
              <w:rPr>
                <w:rFonts w:ascii="Times New Roman" w:hAnsi="Times New Roman"/>
                <w:sz w:val="24"/>
              </w:rPr>
              <w:t>. Pri každom orgáne sa uvedie, či právny základ právomoci orgánu spustiť zníženie účtovnej hodnoty spočíva v zmluvných podmienkach nástroja (zmluvný prístup) alebo či právny základ stanovujú zákonné prostriedky (štatutárny prístup).</w:t>
            </w:r>
          </w:p>
          <w:p w14:paraId="5BBB45CD" w14:textId="77777777" w:rsidR="00DB382A" w:rsidRPr="00970EC6" w:rsidRDefault="00970EC6">
            <w:pPr>
              <w:spacing w:after="200" w:line="276" w:lineRule="auto"/>
              <w:jc w:val="both"/>
              <w:rPr>
                <w:rFonts w:ascii="Times New Roman" w:eastAsia="Times New Roman" w:hAnsi="Times New Roman" w:cs="Times New Roman"/>
                <w:i/>
                <w:sz w:val="24"/>
              </w:rPr>
            </w:pPr>
            <w:r w:rsidRPr="00970EC6">
              <w:rPr>
                <w:rFonts w:ascii="Times New Roman" w:hAnsi="Times New Roman"/>
                <w:i/>
                <w:sz w:val="24"/>
              </w:rPr>
              <w:t>Ľubovoľný text</w:t>
            </w:r>
          </w:p>
        </w:tc>
      </w:tr>
      <w:tr w:rsidR="00DB382A" w:rsidRPr="00970EC6" w14:paraId="171553B3" w14:textId="77777777">
        <w:trPr>
          <w:trHeight w:val="259"/>
        </w:trPr>
        <w:tc>
          <w:tcPr>
            <w:tcW w:w="1030" w:type="dxa"/>
            <w:vAlign w:val="center"/>
          </w:tcPr>
          <w:p w14:paraId="387598FD" w14:textId="77777777" w:rsidR="00DB382A" w:rsidRPr="00970EC6" w:rsidRDefault="00970EC6">
            <w:pPr>
              <w:spacing w:after="200" w:line="276" w:lineRule="auto"/>
              <w:rPr>
                <w:rFonts w:ascii="Times New Roman" w:eastAsia="Times New Roman" w:hAnsi="Times New Roman" w:cs="Times New Roman"/>
                <w:sz w:val="24"/>
              </w:rPr>
            </w:pPr>
            <w:r w:rsidRPr="00970EC6">
              <w:rPr>
                <w:rFonts w:ascii="Times New Roman" w:hAnsi="Times New Roman"/>
                <w:color w:val="000000"/>
                <w:sz w:val="24"/>
              </w:rPr>
              <w:t>33</w:t>
            </w:r>
          </w:p>
        </w:tc>
        <w:tc>
          <w:tcPr>
            <w:tcW w:w="7661" w:type="dxa"/>
            <w:shd w:val="clear" w:color="auto" w:fill="auto"/>
            <w:noWrap/>
            <w:vAlign w:val="bottom"/>
          </w:tcPr>
          <w:p w14:paraId="127AF4DC" w14:textId="77777777" w:rsidR="00DB382A" w:rsidRPr="00970EC6" w:rsidRDefault="00970EC6">
            <w:pPr>
              <w:spacing w:after="200" w:line="276" w:lineRule="auto"/>
              <w:jc w:val="both"/>
              <w:rPr>
                <w:rFonts w:ascii="Times New Roman" w:eastAsia="Times New Roman" w:hAnsi="Times New Roman" w:cs="Times New Roman"/>
                <w:sz w:val="24"/>
              </w:rPr>
            </w:pPr>
            <w:r w:rsidRPr="00970EC6">
              <w:rPr>
                <w:rFonts w:ascii="Times New Roman" w:hAnsi="Times New Roman"/>
                <w:sz w:val="24"/>
              </w:rPr>
              <w:t>Ak z</w:t>
            </w:r>
            <w:r w:rsidRPr="00970EC6">
              <w:rPr>
                <w:rFonts w:ascii="Times New Roman" w:hAnsi="Times New Roman"/>
                <w:sz w:val="24"/>
              </w:rPr>
              <w:t>níženie účtovnej hodnoty, úplné alebo čiastočné</w:t>
            </w:r>
          </w:p>
          <w:p w14:paraId="12105253" w14:textId="77777777" w:rsidR="00DB382A" w:rsidRPr="00970EC6" w:rsidRDefault="00970EC6">
            <w:pPr>
              <w:spacing w:after="200" w:line="276" w:lineRule="auto"/>
              <w:jc w:val="both"/>
              <w:rPr>
                <w:rFonts w:ascii="Times New Roman" w:eastAsia="Times New Roman" w:hAnsi="Times New Roman" w:cs="Times New Roman"/>
                <w:sz w:val="24"/>
              </w:rPr>
            </w:pPr>
            <w:r w:rsidRPr="00970EC6">
              <w:rPr>
                <w:rFonts w:ascii="Times New Roman" w:hAnsi="Times New Roman"/>
                <w:sz w:val="24"/>
              </w:rPr>
              <w:t>Určenie, či sa hodnota nástroja zníži vždy úplne, či sa môže znížiť čiastočne alebo sa vždy zníži čiastočne. Pomáha posúdiť úroveň absorpcie straty pri znížení účtovnej hodnoty.</w:t>
            </w:r>
          </w:p>
          <w:p w14:paraId="1732E8B0" w14:textId="77777777" w:rsidR="00DB382A" w:rsidRPr="00970EC6" w:rsidRDefault="00970EC6">
            <w:pPr>
              <w:spacing w:after="200" w:line="276" w:lineRule="auto"/>
              <w:jc w:val="both"/>
              <w:rPr>
                <w:rFonts w:ascii="Times New Roman" w:eastAsia="Times New Roman" w:hAnsi="Times New Roman" w:cs="Times New Roman"/>
                <w:i/>
                <w:sz w:val="24"/>
              </w:rPr>
            </w:pPr>
            <w:r w:rsidRPr="00970EC6">
              <w:rPr>
                <w:rFonts w:ascii="Times New Roman" w:hAnsi="Times New Roman"/>
                <w:i/>
                <w:sz w:val="24"/>
              </w:rPr>
              <w:t xml:space="preserve">Vyberte z ponuky: [Vždy úplne] [Úplne alebo čiastočne] [Vždy čiastočne] </w:t>
            </w:r>
          </w:p>
        </w:tc>
      </w:tr>
      <w:tr w:rsidR="00DB382A" w:rsidRPr="00970EC6" w14:paraId="562A82C6" w14:textId="77777777">
        <w:trPr>
          <w:trHeight w:val="259"/>
        </w:trPr>
        <w:tc>
          <w:tcPr>
            <w:tcW w:w="1030" w:type="dxa"/>
            <w:vAlign w:val="center"/>
          </w:tcPr>
          <w:p w14:paraId="2838B081" w14:textId="77777777" w:rsidR="00DB382A" w:rsidRPr="00970EC6" w:rsidRDefault="00970EC6">
            <w:pPr>
              <w:spacing w:after="200" w:line="276" w:lineRule="auto"/>
              <w:rPr>
                <w:rFonts w:ascii="Times New Roman" w:eastAsia="Times New Roman" w:hAnsi="Times New Roman" w:cs="Times New Roman"/>
                <w:sz w:val="24"/>
              </w:rPr>
            </w:pPr>
            <w:r w:rsidRPr="00970EC6">
              <w:rPr>
                <w:rFonts w:ascii="Times New Roman" w:hAnsi="Times New Roman"/>
                <w:color w:val="000000"/>
                <w:sz w:val="24"/>
              </w:rPr>
              <w:lastRenderedPageBreak/>
              <w:t>34</w:t>
            </w:r>
          </w:p>
        </w:tc>
        <w:tc>
          <w:tcPr>
            <w:tcW w:w="7661" w:type="dxa"/>
            <w:shd w:val="clear" w:color="auto" w:fill="auto"/>
            <w:noWrap/>
            <w:vAlign w:val="bottom"/>
          </w:tcPr>
          <w:p w14:paraId="21D7FA5D" w14:textId="77777777" w:rsidR="00DB382A" w:rsidRPr="00970EC6" w:rsidRDefault="00970EC6">
            <w:pPr>
              <w:spacing w:after="200" w:line="276" w:lineRule="auto"/>
              <w:jc w:val="both"/>
              <w:rPr>
                <w:rFonts w:ascii="Times New Roman" w:eastAsia="Times New Roman" w:hAnsi="Times New Roman" w:cs="Times New Roman"/>
                <w:sz w:val="24"/>
              </w:rPr>
            </w:pPr>
            <w:r w:rsidRPr="00970EC6">
              <w:rPr>
                <w:rFonts w:ascii="Times New Roman" w:hAnsi="Times New Roman"/>
                <w:sz w:val="24"/>
              </w:rPr>
              <w:t>Ak zníženie účtovnej hodnoty, trvalé alebo dočasné</w:t>
            </w:r>
          </w:p>
          <w:p w14:paraId="75AC8FC8" w14:textId="77777777" w:rsidR="00DB382A" w:rsidRPr="00970EC6" w:rsidRDefault="00970EC6">
            <w:pPr>
              <w:spacing w:after="200" w:line="276" w:lineRule="auto"/>
              <w:jc w:val="both"/>
              <w:rPr>
                <w:rFonts w:ascii="Times New Roman" w:eastAsia="Times New Roman" w:hAnsi="Times New Roman" w:cs="Times New Roman"/>
                <w:sz w:val="24"/>
              </w:rPr>
            </w:pPr>
            <w:r w:rsidRPr="00970EC6">
              <w:rPr>
                <w:rFonts w:ascii="Times New Roman" w:hAnsi="Times New Roman"/>
                <w:sz w:val="24"/>
              </w:rPr>
              <w:t>Pri znížení účtovnej hodnoty nástroja určenie, či je zníženie hodnoty trvalé alebo dočasné.</w:t>
            </w:r>
          </w:p>
          <w:p w14:paraId="7814EF3A" w14:textId="77777777" w:rsidR="00DB382A" w:rsidRPr="00970EC6" w:rsidRDefault="00970EC6">
            <w:pPr>
              <w:spacing w:after="200" w:line="276" w:lineRule="auto"/>
              <w:jc w:val="both"/>
              <w:rPr>
                <w:rFonts w:ascii="Times New Roman" w:eastAsia="Times New Roman" w:hAnsi="Times New Roman" w:cs="Times New Roman"/>
                <w:i/>
                <w:sz w:val="24"/>
              </w:rPr>
            </w:pPr>
            <w:r w:rsidRPr="00970EC6">
              <w:rPr>
                <w:rFonts w:ascii="Times New Roman" w:hAnsi="Times New Roman"/>
                <w:i/>
                <w:sz w:val="24"/>
              </w:rPr>
              <w:t xml:space="preserve">Vyberte z ponuky: [Trvalé] </w:t>
            </w:r>
            <w:r w:rsidRPr="00970EC6">
              <w:rPr>
                <w:rFonts w:ascii="Times New Roman" w:hAnsi="Times New Roman"/>
                <w:i/>
                <w:sz w:val="24"/>
              </w:rPr>
              <w:t>[Dočasné] [Neuplatňuje sa]</w:t>
            </w:r>
          </w:p>
        </w:tc>
      </w:tr>
      <w:tr w:rsidR="00DB382A" w:rsidRPr="00970EC6" w14:paraId="68136F0C" w14:textId="77777777">
        <w:trPr>
          <w:trHeight w:val="259"/>
        </w:trPr>
        <w:tc>
          <w:tcPr>
            <w:tcW w:w="1030" w:type="dxa"/>
            <w:vAlign w:val="center"/>
          </w:tcPr>
          <w:p w14:paraId="37E7C5C4" w14:textId="77777777" w:rsidR="00DB382A" w:rsidRPr="00970EC6" w:rsidRDefault="00970EC6">
            <w:pPr>
              <w:spacing w:after="200" w:line="276" w:lineRule="auto"/>
              <w:rPr>
                <w:rFonts w:ascii="Times New Roman" w:eastAsia="Times New Roman" w:hAnsi="Times New Roman" w:cs="Times New Roman"/>
                <w:sz w:val="24"/>
              </w:rPr>
            </w:pPr>
            <w:r w:rsidRPr="00970EC6">
              <w:rPr>
                <w:rFonts w:ascii="Times New Roman" w:hAnsi="Times New Roman"/>
                <w:color w:val="000000"/>
                <w:sz w:val="24"/>
              </w:rPr>
              <w:t>35</w:t>
            </w:r>
          </w:p>
        </w:tc>
        <w:tc>
          <w:tcPr>
            <w:tcW w:w="7661" w:type="dxa"/>
            <w:shd w:val="clear" w:color="auto" w:fill="auto"/>
            <w:noWrap/>
            <w:vAlign w:val="bottom"/>
          </w:tcPr>
          <w:p w14:paraId="519AAFE4" w14:textId="77777777" w:rsidR="00DB382A" w:rsidRPr="00970EC6" w:rsidRDefault="00970EC6">
            <w:pPr>
              <w:spacing w:after="200" w:line="276" w:lineRule="auto"/>
              <w:jc w:val="both"/>
              <w:rPr>
                <w:rFonts w:ascii="Times New Roman" w:eastAsia="Times New Roman" w:hAnsi="Times New Roman" w:cs="Times New Roman"/>
                <w:sz w:val="24"/>
              </w:rPr>
            </w:pPr>
            <w:r w:rsidRPr="00970EC6">
              <w:rPr>
                <w:rFonts w:ascii="Times New Roman" w:hAnsi="Times New Roman"/>
                <w:sz w:val="24"/>
              </w:rPr>
              <w:t>Ak dočasné zníženie účtovnej hodnoty, opis mechanizmu navýšenia účtovnej hodnoty</w:t>
            </w:r>
          </w:p>
          <w:p w14:paraId="365AA6CE" w14:textId="77777777" w:rsidR="00DB382A" w:rsidRPr="00970EC6" w:rsidRDefault="00970EC6">
            <w:pPr>
              <w:spacing w:after="200" w:line="276" w:lineRule="auto"/>
              <w:jc w:val="both"/>
              <w:rPr>
                <w:rFonts w:ascii="Times New Roman" w:eastAsia="Times New Roman" w:hAnsi="Times New Roman" w:cs="Times New Roman"/>
                <w:sz w:val="24"/>
              </w:rPr>
            </w:pPr>
            <w:r w:rsidRPr="00970EC6">
              <w:rPr>
                <w:rFonts w:ascii="Times New Roman" w:hAnsi="Times New Roman"/>
                <w:sz w:val="24"/>
              </w:rPr>
              <w:t>Opis mechanizmu navýšenia účtovnej hodnoty</w:t>
            </w:r>
          </w:p>
          <w:p w14:paraId="4EBDF2AB" w14:textId="77777777" w:rsidR="00DB382A" w:rsidRPr="00970EC6" w:rsidRDefault="00970EC6">
            <w:pPr>
              <w:spacing w:after="200" w:line="276" w:lineRule="auto"/>
              <w:jc w:val="both"/>
              <w:rPr>
                <w:rFonts w:ascii="Times New Roman" w:eastAsia="Times New Roman" w:hAnsi="Times New Roman" w:cs="Times New Roman"/>
                <w:i/>
                <w:sz w:val="24"/>
              </w:rPr>
            </w:pPr>
            <w:r w:rsidRPr="00970EC6">
              <w:rPr>
                <w:rFonts w:ascii="Times New Roman" w:hAnsi="Times New Roman"/>
                <w:i/>
                <w:sz w:val="24"/>
              </w:rPr>
              <w:t>Ľubovoľný text</w:t>
            </w:r>
          </w:p>
        </w:tc>
      </w:tr>
      <w:tr w:rsidR="00DB382A" w:rsidRPr="00970EC6" w14:paraId="370AE15D" w14:textId="77777777">
        <w:trPr>
          <w:trHeight w:val="1448"/>
        </w:trPr>
        <w:tc>
          <w:tcPr>
            <w:tcW w:w="1030" w:type="dxa"/>
            <w:vAlign w:val="center"/>
          </w:tcPr>
          <w:p w14:paraId="4C9812E6" w14:textId="77777777" w:rsidR="00DB382A" w:rsidRPr="00970EC6" w:rsidRDefault="00970EC6">
            <w:pPr>
              <w:spacing w:after="200" w:line="276" w:lineRule="auto"/>
              <w:rPr>
                <w:rFonts w:ascii="Times New Roman" w:eastAsia="Times New Roman" w:hAnsi="Times New Roman" w:cs="Times New Roman"/>
                <w:sz w:val="24"/>
              </w:rPr>
            </w:pPr>
            <w:r w:rsidRPr="00970EC6">
              <w:rPr>
                <w:rFonts w:ascii="Times New Roman" w:hAnsi="Times New Roman"/>
                <w:color w:val="000000"/>
                <w:sz w:val="24"/>
              </w:rPr>
              <w:t>36</w:t>
            </w:r>
          </w:p>
        </w:tc>
        <w:tc>
          <w:tcPr>
            <w:tcW w:w="7661" w:type="dxa"/>
            <w:shd w:val="clear" w:color="auto" w:fill="auto"/>
            <w:noWrap/>
            <w:vAlign w:val="bottom"/>
          </w:tcPr>
          <w:p w14:paraId="0119DED8" w14:textId="77777777" w:rsidR="00DB382A" w:rsidRPr="00970EC6" w:rsidRDefault="00970EC6">
            <w:pPr>
              <w:spacing w:after="200" w:line="276" w:lineRule="auto"/>
              <w:jc w:val="both"/>
              <w:rPr>
                <w:rFonts w:ascii="Times New Roman" w:eastAsia="Times New Roman" w:hAnsi="Times New Roman" w:cs="Times New Roman"/>
                <w:sz w:val="24"/>
              </w:rPr>
            </w:pPr>
            <w:r w:rsidRPr="00970EC6">
              <w:rPr>
                <w:rFonts w:ascii="Times New Roman" w:hAnsi="Times New Roman"/>
                <w:sz w:val="24"/>
              </w:rPr>
              <w:t>Charakteristiky nespĺňajúce požiadavky</w:t>
            </w:r>
          </w:p>
          <w:p w14:paraId="5886BD6A" w14:textId="77777777" w:rsidR="00DB382A" w:rsidRPr="00970EC6" w:rsidRDefault="00970EC6">
            <w:pPr>
              <w:spacing w:after="200" w:line="276" w:lineRule="auto"/>
              <w:jc w:val="both"/>
              <w:rPr>
                <w:rFonts w:ascii="Times New Roman" w:eastAsia="Times New Roman" w:hAnsi="Times New Roman" w:cs="Times New Roman"/>
                <w:sz w:val="24"/>
              </w:rPr>
            </w:pPr>
            <w:r w:rsidRPr="00970EC6">
              <w:rPr>
                <w:rFonts w:ascii="Times New Roman" w:hAnsi="Times New Roman"/>
                <w:sz w:val="24"/>
              </w:rPr>
              <w:t>Špecifikácia v prípade charakteristík nespĺ</w:t>
            </w:r>
            <w:r w:rsidRPr="00970EC6">
              <w:rPr>
                <w:rFonts w:ascii="Times New Roman" w:hAnsi="Times New Roman"/>
                <w:sz w:val="24"/>
              </w:rPr>
              <w:t>ňajúcich požiadavky</w:t>
            </w:r>
          </w:p>
          <w:p w14:paraId="441D6725" w14:textId="77777777" w:rsidR="00DB382A" w:rsidRPr="00970EC6" w:rsidRDefault="00970EC6">
            <w:pPr>
              <w:spacing w:after="200" w:line="276" w:lineRule="auto"/>
              <w:jc w:val="both"/>
              <w:rPr>
                <w:rFonts w:ascii="Times New Roman" w:eastAsia="Times New Roman" w:hAnsi="Times New Roman" w:cs="Times New Roman"/>
                <w:i/>
                <w:sz w:val="24"/>
              </w:rPr>
            </w:pPr>
            <w:r w:rsidRPr="00970EC6">
              <w:rPr>
                <w:rFonts w:ascii="Times New Roman" w:hAnsi="Times New Roman"/>
                <w:sz w:val="24"/>
              </w:rPr>
              <w:t>Vyberte [áno] alebo [nie].</w:t>
            </w:r>
          </w:p>
        </w:tc>
      </w:tr>
      <w:tr w:rsidR="00DB382A" w:rsidRPr="00970EC6" w14:paraId="17573E55" w14:textId="77777777">
        <w:trPr>
          <w:trHeight w:val="259"/>
        </w:trPr>
        <w:tc>
          <w:tcPr>
            <w:tcW w:w="1030" w:type="dxa"/>
            <w:vAlign w:val="center"/>
          </w:tcPr>
          <w:p w14:paraId="37748E58" w14:textId="77777777" w:rsidR="00DB382A" w:rsidRPr="00970EC6" w:rsidRDefault="00970EC6">
            <w:pPr>
              <w:spacing w:after="200" w:line="276" w:lineRule="auto"/>
              <w:rPr>
                <w:rFonts w:ascii="Times New Roman" w:eastAsia="Times New Roman" w:hAnsi="Times New Roman" w:cs="Times New Roman"/>
                <w:sz w:val="24"/>
              </w:rPr>
            </w:pPr>
            <w:r w:rsidRPr="00970EC6">
              <w:rPr>
                <w:rFonts w:ascii="Times New Roman" w:hAnsi="Times New Roman"/>
                <w:color w:val="000000"/>
                <w:sz w:val="24"/>
              </w:rPr>
              <w:t>37</w:t>
            </w:r>
          </w:p>
        </w:tc>
        <w:tc>
          <w:tcPr>
            <w:tcW w:w="7661" w:type="dxa"/>
            <w:shd w:val="clear" w:color="auto" w:fill="auto"/>
            <w:noWrap/>
            <w:vAlign w:val="bottom"/>
          </w:tcPr>
          <w:p w14:paraId="0D858C7B" w14:textId="77777777" w:rsidR="00DB382A" w:rsidRPr="00970EC6" w:rsidRDefault="00970EC6">
            <w:pPr>
              <w:spacing w:after="200" w:line="276" w:lineRule="auto"/>
              <w:jc w:val="both"/>
              <w:rPr>
                <w:rFonts w:ascii="Times New Roman" w:eastAsia="Times New Roman" w:hAnsi="Times New Roman" w:cs="Times New Roman"/>
                <w:sz w:val="24"/>
              </w:rPr>
            </w:pPr>
            <w:r w:rsidRPr="00970EC6">
              <w:rPr>
                <w:rFonts w:ascii="Times New Roman" w:hAnsi="Times New Roman"/>
                <w:sz w:val="24"/>
              </w:rPr>
              <w:t>Ak áno, uveďte charakteristiky nespĺňajúce požiadavky.</w:t>
            </w:r>
          </w:p>
          <w:p w14:paraId="576AFB3C" w14:textId="77777777" w:rsidR="00DB382A" w:rsidRPr="00970EC6" w:rsidRDefault="00970EC6">
            <w:pPr>
              <w:spacing w:after="200" w:line="276" w:lineRule="auto"/>
              <w:jc w:val="both"/>
              <w:rPr>
                <w:rFonts w:ascii="Times New Roman" w:eastAsia="Times New Roman" w:hAnsi="Times New Roman" w:cs="Times New Roman"/>
                <w:sz w:val="24"/>
              </w:rPr>
            </w:pPr>
            <w:r w:rsidRPr="00970EC6">
              <w:rPr>
                <w:rFonts w:ascii="Times New Roman" w:hAnsi="Times New Roman"/>
                <w:sz w:val="24"/>
              </w:rPr>
              <w:t>V</w:t>
            </w:r>
            <w:r w:rsidRPr="00970EC6">
              <w:rPr>
                <w:rFonts w:ascii="Times New Roman" w:eastAsia="Times New Roman" w:hAnsi="Times New Roman" w:cs="Times New Roman"/>
                <w:sz w:val="24"/>
              </w:rPr>
              <w:t> </w:t>
            </w:r>
            <w:r w:rsidRPr="00970EC6">
              <w:rPr>
                <w:rFonts w:ascii="Times New Roman" w:hAnsi="Times New Roman"/>
                <w:sz w:val="24"/>
              </w:rPr>
              <w:t>prípade charakteristík nespĺňajúcich požiadavky inštitúcia uvedie, o ktoré charakteristiky ide.</w:t>
            </w:r>
          </w:p>
          <w:p w14:paraId="3E35219C" w14:textId="77777777" w:rsidR="00DB382A" w:rsidRPr="00970EC6" w:rsidRDefault="00970EC6">
            <w:pPr>
              <w:spacing w:after="200" w:line="276" w:lineRule="auto"/>
              <w:jc w:val="both"/>
              <w:rPr>
                <w:rFonts w:ascii="Times New Roman" w:eastAsia="Times New Roman" w:hAnsi="Times New Roman" w:cs="Times New Roman"/>
                <w:i/>
                <w:sz w:val="24"/>
              </w:rPr>
            </w:pPr>
            <w:r w:rsidRPr="00970EC6">
              <w:rPr>
                <w:rFonts w:ascii="Times New Roman" w:hAnsi="Times New Roman"/>
                <w:i/>
                <w:sz w:val="24"/>
              </w:rPr>
              <w:t>Ľubovoľný text</w:t>
            </w:r>
          </w:p>
        </w:tc>
      </w:tr>
      <w:tr w:rsidR="00DB382A" w14:paraId="1AEAE43A" w14:textId="77777777">
        <w:trPr>
          <w:trHeight w:val="259"/>
        </w:trPr>
        <w:tc>
          <w:tcPr>
            <w:tcW w:w="1030" w:type="dxa"/>
            <w:vAlign w:val="center"/>
          </w:tcPr>
          <w:p w14:paraId="08FF027F" w14:textId="77777777" w:rsidR="00DB382A" w:rsidRPr="00970EC6" w:rsidRDefault="00970EC6">
            <w:pPr>
              <w:spacing w:after="200" w:line="276" w:lineRule="auto"/>
              <w:rPr>
                <w:rFonts w:ascii="Times New Roman" w:eastAsia="Times New Roman" w:hAnsi="Times New Roman" w:cs="Times New Roman"/>
                <w:sz w:val="24"/>
              </w:rPr>
            </w:pPr>
            <w:r w:rsidRPr="00970EC6">
              <w:rPr>
                <w:rFonts w:ascii="Times New Roman" w:hAnsi="Times New Roman"/>
                <w:color w:val="000000"/>
                <w:sz w:val="24"/>
              </w:rPr>
              <w:t>38</w:t>
            </w:r>
          </w:p>
        </w:tc>
        <w:tc>
          <w:tcPr>
            <w:tcW w:w="7661" w:type="dxa"/>
            <w:shd w:val="clear" w:color="auto" w:fill="auto"/>
            <w:noWrap/>
            <w:vAlign w:val="bottom"/>
          </w:tcPr>
          <w:p w14:paraId="3A0F7DC8" w14:textId="77777777" w:rsidR="00DB382A" w:rsidRPr="00970EC6" w:rsidRDefault="00970EC6">
            <w:pPr>
              <w:spacing w:after="200" w:line="276" w:lineRule="auto"/>
              <w:jc w:val="both"/>
              <w:rPr>
                <w:rFonts w:ascii="Times New Roman" w:eastAsia="Times New Roman" w:hAnsi="Times New Roman" w:cs="Times New Roman"/>
                <w:sz w:val="24"/>
              </w:rPr>
            </w:pPr>
            <w:r w:rsidRPr="00970EC6">
              <w:rPr>
                <w:rFonts w:ascii="Times New Roman" w:hAnsi="Times New Roman"/>
                <w:sz w:val="24"/>
              </w:rPr>
              <w:t xml:space="preserve">Odkaz na úplné podmienky </w:t>
            </w:r>
            <w:r w:rsidRPr="00970EC6">
              <w:rPr>
                <w:rFonts w:ascii="Times New Roman" w:hAnsi="Times New Roman"/>
                <w:sz w:val="24"/>
              </w:rPr>
              <w:t>nástroja (označenie)</w:t>
            </w:r>
          </w:p>
          <w:p w14:paraId="7F592B9B" w14:textId="77777777" w:rsidR="00DB382A" w:rsidRDefault="00970EC6">
            <w:pPr>
              <w:spacing w:after="200" w:line="276" w:lineRule="auto"/>
              <w:jc w:val="both"/>
              <w:rPr>
                <w:rFonts w:ascii="Times New Roman" w:eastAsia="Times New Roman" w:hAnsi="Times New Roman" w:cs="Times New Roman"/>
                <w:sz w:val="24"/>
              </w:rPr>
            </w:pPr>
            <w:r w:rsidRPr="00970EC6">
              <w:rPr>
                <w:rFonts w:ascii="Times New Roman" w:hAnsi="Times New Roman"/>
                <w:sz w:val="24"/>
              </w:rPr>
              <w:t>Investičné spoločnosti zahŕňajú hypertextový odkaz, ktorý umožňuje prístup k prospektu emisie vrátane všetkých podmienok nástroja.</w:t>
            </w:r>
          </w:p>
        </w:tc>
      </w:tr>
      <w:bookmarkEnd w:id="0"/>
      <w:bookmarkEnd w:id="1"/>
      <w:bookmarkEnd w:id="2"/>
      <w:bookmarkEnd w:id="3"/>
      <w:bookmarkEnd w:id="4"/>
      <w:bookmarkEnd w:id="5"/>
      <w:bookmarkEnd w:id="6"/>
      <w:bookmarkEnd w:id="7"/>
      <w:bookmarkEnd w:id="8"/>
      <w:bookmarkEnd w:id="9"/>
    </w:tbl>
    <w:p w14:paraId="404255EB" w14:textId="77777777" w:rsidR="00DB382A" w:rsidRDefault="00DB382A">
      <w:pPr>
        <w:rPr>
          <w:rFonts w:ascii="Times New Roman" w:hAnsi="Times New Roman" w:cs="Times New Roman"/>
          <w:bCs/>
          <w:sz w:val="24"/>
        </w:rPr>
      </w:pPr>
    </w:p>
    <w:sectPr w:rsidR="00DB382A">
      <w:headerReference w:type="even" r:id="rId8"/>
      <w:headerReference w:type="default" r:id="rId9"/>
      <w:footerReference w:type="even" r:id="rId10"/>
      <w:footerReference w:type="default" r:id="rId11"/>
      <w:headerReference w:type="first" r:id="rId12"/>
      <w:footerReference w:type="first" r:id="rId13"/>
      <w:pgSz w:w="11900" w:h="16840"/>
      <w:pgMar w:top="2268" w:right="1418" w:bottom="1134" w:left="1701" w:header="709" w:footer="709"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D2CEBF" w14:textId="77777777" w:rsidR="00DB382A" w:rsidRDefault="00970EC6">
      <w:r>
        <w:separator/>
      </w:r>
    </w:p>
  </w:endnote>
  <w:endnote w:type="continuationSeparator" w:id="0">
    <w:p w14:paraId="4B9C2B65" w14:textId="77777777" w:rsidR="00DB382A" w:rsidRDefault="00970E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099D02" w14:textId="77777777" w:rsidR="00DB382A" w:rsidRDefault="00DB38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075A1B" w14:textId="77777777" w:rsidR="00DB382A" w:rsidRDefault="00970EC6">
    <w:pPr>
      <w:pStyle w:val="Footer"/>
      <w:tabs>
        <w:tab w:val="clear" w:pos="4320"/>
        <w:tab w:val="clear" w:pos="8640"/>
        <w:tab w:val="right" w:pos="9071"/>
      </w:tabs>
    </w:pPr>
    <w:r>
      <w:t>SK - Cleaned document</w:t>
    </w:r>
    <w:r>
      <w:tab/>
    </w:r>
    <w:r>
      <w:fldChar w:fldCharType="begin"/>
    </w:r>
    <w:r>
      <w:instrText xml:space="preserve"> PAGE \* MERGEFORMAT </w:instrText>
    </w:r>
    <w:r>
      <w:fldChar w:fldCharType="separate"/>
    </w:r>
    <w:r>
      <w:rPr>
        <w:noProof/>
      </w:rPr>
      <w:t>1</w:t>
    </w:r>
    <w:r>
      <w:fldChar w:fldCharType="end"/>
    </w:r>
    <w:r>
      <w:t>/</w:t>
    </w:r>
    <w:r>
      <w:fldChar w:fldCharType="begin"/>
    </w:r>
    <w:r>
      <w:instrText xml:space="preserve"> NUMPAGES \* MERGEFORMAT </w:instrText>
    </w:r>
    <w:r>
      <w:fldChar w:fldCharType="separate"/>
    </w:r>
    <w:r>
      <w:rPr>
        <w:noProof/>
      </w:rPr>
      <w:t>25</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A66777" w14:textId="77777777" w:rsidR="00DB382A" w:rsidRDefault="00DB38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E6F1D6" w14:textId="77777777" w:rsidR="00DB382A" w:rsidRDefault="00970EC6">
      <w:pPr>
        <w:rPr>
          <w:sz w:val="12"/>
          <w:szCs w:val="12"/>
        </w:rPr>
      </w:pPr>
      <w:r>
        <w:rPr>
          <w:sz w:val="12"/>
          <w:szCs w:val="12"/>
        </w:rPr>
        <w:separator/>
      </w:r>
    </w:p>
  </w:footnote>
  <w:footnote w:type="continuationSeparator" w:id="0">
    <w:p w14:paraId="0BE485D3" w14:textId="77777777" w:rsidR="00DB382A" w:rsidRDefault="00970EC6">
      <w:r>
        <w:continuationSeparator/>
      </w:r>
    </w:p>
  </w:footnote>
  <w:footnote w:type="continuationNotice" w:id="1">
    <w:p w14:paraId="53EF91F0" w14:textId="77777777" w:rsidR="00DB382A" w:rsidRDefault="00DB382A">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5527F4" w14:textId="77777777" w:rsidR="00DB382A" w:rsidRDefault="00DB38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1ECE37" w14:textId="647ACFEB" w:rsidR="00DB382A" w:rsidRDefault="00970EC6">
    <w:pPr>
      <w:pStyle w:val="Header"/>
    </w:pPr>
    <w:r>
      <w:rPr>
        <w:noProof/>
      </w:rPr>
      <mc:AlternateContent>
        <mc:Choice Requires="wps">
          <w:drawing>
            <wp:anchor distT="0" distB="0" distL="114300" distR="114300" simplePos="0" relativeHeight="251659264" behindDoc="0" locked="0" layoutInCell="0" allowOverlap="1" wp14:anchorId="568768C6" wp14:editId="7FB201A1">
              <wp:simplePos x="0" y="0"/>
              <wp:positionH relativeFrom="page">
                <wp:posOffset>0</wp:posOffset>
              </wp:positionH>
              <wp:positionV relativeFrom="page">
                <wp:posOffset>190500</wp:posOffset>
              </wp:positionV>
              <wp:extent cx="7556500" cy="273050"/>
              <wp:effectExtent l="0" t="0" r="0" b="12700"/>
              <wp:wrapNone/>
              <wp:docPr id="1" name="MSIPCM57f0420bbb09c83dee3e5ea1" descr="{&quot;HashCode&quot;:-466411507,&quot;Height&quot;:842.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565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58F44DC" w14:textId="0EBD53FC" w:rsidR="00970EC6" w:rsidRPr="00970EC6" w:rsidRDefault="00970EC6" w:rsidP="00970EC6">
                          <w:pPr>
                            <w:rPr>
                              <w:rFonts w:ascii="Calibri" w:hAnsi="Calibri" w:cs="Calibri"/>
                              <w:color w:val="000000"/>
                              <w:sz w:val="24"/>
                            </w:rPr>
                          </w:pPr>
                          <w:r w:rsidRPr="00970EC6">
                            <w:rPr>
                              <w:rFonts w:ascii="Calibri" w:hAnsi="Calibri" w:cs="Calibri"/>
                              <w:color w:val="000000"/>
                              <w:sz w:val="24"/>
                            </w:rPr>
                            <w:t>EBA Regular Use</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568768C6" id="_x0000_t202" coordsize="21600,21600" o:spt="202" path="m,l,21600r21600,l21600,xe">
              <v:stroke joinstyle="miter"/>
              <v:path gradientshapeok="t" o:connecttype="rect"/>
            </v:shapetype>
            <v:shape id="MSIPCM57f0420bbb09c83dee3e5ea1" o:spid="_x0000_s1026" type="#_x0000_t202" alt="{&quot;HashCode&quot;:-466411507,&quot;Height&quot;:842.0,&quot;Width&quot;:595.0,&quot;Placement&quot;:&quot;Header&quot;,&quot;Index&quot;:&quot;Primary&quot;,&quot;Section&quot;:1,&quot;Top&quot;:0.0,&quot;Left&quot;:0.0}" style="position:absolute;margin-left:0;margin-top:15pt;width:595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" o:allowincell="f" filled="f" stroked="f" strokeweight=".5pt">
              <v:fill o:detectmouseclick="t"/>
              <v:textbox inset="20pt,0,,0">
                <w:txbxContent>
                  <w:p w14:paraId="058F44DC" w14:textId="0EBD53FC" w:rsidR="00970EC6" w:rsidRPr="00970EC6" w:rsidRDefault="00970EC6" w:rsidP="00970EC6">
                    <w:pPr>
                      <w:rPr>
                        <w:rFonts w:ascii="Calibri" w:hAnsi="Calibri" w:cs="Calibri"/>
                        <w:color w:val="000000"/>
                        <w:sz w:val="24"/>
                      </w:rPr>
                    </w:pPr>
                    <w:r w:rsidRPr="00970EC6">
                      <w:rPr>
                        <w:rFonts w:ascii="Calibri" w:hAnsi="Calibri" w:cs="Calibri"/>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25C802" w14:textId="77777777" w:rsidR="00DB382A" w:rsidRDefault="00DB38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7C272B"/>
    <w:multiLevelType w:val="hybridMultilevel"/>
    <w:tmpl w:val="9138835C"/>
    <w:lvl w:ilvl="0" w:tplc="A3B6EEE4">
      <w:numFmt w:val="bullet"/>
      <w:lvlText w:val="−"/>
      <w:lvlJc w:val="left"/>
      <w:pPr>
        <w:ind w:left="360" w:hanging="360"/>
      </w:pPr>
      <w:rPr>
        <w:rFonts w:ascii="Times New Roman" w:eastAsia="Times New Roman" w:hAnsi="Times New Roman" w:cs="Times New Roman" w:hint="default"/>
        <w:b/>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3FD1785"/>
    <w:multiLevelType w:val="hybridMultilevel"/>
    <w:tmpl w:val="213EA330"/>
    <w:lvl w:ilvl="0" w:tplc="0809000F">
      <w:start w:val="1"/>
      <w:numFmt w:val="decimal"/>
      <w:lvlText w:val="%1."/>
      <w:lvlJc w:val="left"/>
      <w:pPr>
        <w:tabs>
          <w:tab w:val="num" w:pos="360"/>
        </w:tabs>
        <w:ind w:left="360" w:hanging="360"/>
      </w:pPr>
      <w:rPr>
        <w:rFonts w:hint="default"/>
      </w:rPr>
    </w:lvl>
    <w:lvl w:ilvl="1" w:tplc="08090017">
      <w:start w:val="1"/>
      <w:numFmt w:val="lowerLetter"/>
      <w:lvlText w:val="%2)"/>
      <w:lvlJc w:val="left"/>
      <w:pPr>
        <w:tabs>
          <w:tab w:val="num" w:pos="-180"/>
        </w:tabs>
        <w:ind w:left="-180" w:hanging="360"/>
      </w:pPr>
    </w:lvl>
    <w:lvl w:ilvl="2" w:tplc="0809001B">
      <w:start w:val="1"/>
      <w:numFmt w:val="lowerRoman"/>
      <w:lvlText w:val="%3."/>
      <w:lvlJc w:val="right"/>
      <w:pPr>
        <w:tabs>
          <w:tab w:val="num" w:pos="540"/>
        </w:tabs>
        <w:ind w:left="540" w:hanging="180"/>
      </w:pPr>
    </w:lvl>
    <w:lvl w:ilvl="3" w:tplc="0809000F">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5"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6"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7"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8"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57503B"/>
    <w:multiLevelType w:val="multilevel"/>
    <w:tmpl w:val="9EF8413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13"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6"/>
  </w:num>
  <w:num w:numId="4">
    <w:abstractNumId w:val="8"/>
  </w:num>
  <w:num w:numId="5">
    <w:abstractNumId w:val="14"/>
  </w:num>
  <w:num w:numId="6">
    <w:abstractNumId w:val="1"/>
  </w:num>
  <w:num w:numId="7">
    <w:abstractNumId w:val="13"/>
  </w:num>
  <w:num w:numId="8">
    <w:abstractNumId w:val="10"/>
  </w:num>
  <w:num w:numId="9">
    <w:abstractNumId w:val="0"/>
  </w:num>
  <w:num w:numId="10">
    <w:abstractNumId w:val="5"/>
  </w:num>
  <w:num w:numId="11">
    <w:abstractNumId w:val="12"/>
  </w:num>
  <w:num w:numId="12">
    <w:abstractNumId w:val="4"/>
  </w:num>
  <w:num w:numId="13">
    <w:abstractNumId w:val="10"/>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activeWritingStyle w:appName="MSWord" w:lang="fr-BE"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fr-FR" w:vendorID="64" w:dllVersion="6" w:nlCheck="1" w:checkStyle="0"/>
  <w:activeWritingStyle w:appName="MSWord" w:lang="en-IE" w:vendorID="64" w:dllVersion="6" w:nlCheck="1" w:checkStyle="1"/>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191489"/>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BA GL-REC 20XX XX (FINAL GLS-REC ON"/>
  </w:docVars>
  <w:rsids>
    <w:rsidRoot w:val="00DB382A"/>
    <w:rsid w:val="00970EC6"/>
    <w:rsid w:val="00DB382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91489"/>
    <o:shapelayout v:ext="edit">
      <o:idmap v:ext="edit" data="1"/>
    </o:shapelayout>
  </w:shapeDefaults>
  <w:decimalSymbol w:val="."/>
  <w:listSeparator w:val=","/>
  <w14:docId w14:val="4DF78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sk-S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uiPriority="0"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2"/>
    </w:rPr>
  </w:style>
  <w:style w:type="paragraph" w:styleId="Heading1">
    <w:name w:val="heading 1"/>
    <w:aliases w:val="Cover title white"/>
    <w:next w:val="Normal"/>
    <w:link w:val="Heading1Char"/>
    <w:semiHidden/>
    <w:qFormat/>
    <w:pPr>
      <w:keepNext/>
      <w:keepLines/>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pPr>
      <w:outlineLvl w:val="1"/>
    </w:pPr>
  </w:style>
  <w:style w:type="paragraph" w:styleId="Heading3">
    <w:name w:val="heading 3"/>
    <w:aliases w:val="Title 2"/>
    <w:basedOn w:val="Numberedtitlelevel2"/>
    <w:next w:val="Normal"/>
    <w:link w:val="Heading3Char"/>
    <w:uiPriority w:val="9"/>
    <w:semiHidden/>
    <w:pPr>
      <w:outlineLvl w:val="2"/>
    </w:pPr>
  </w:style>
  <w:style w:type="paragraph" w:styleId="Heading4">
    <w:name w:val="heading 4"/>
    <w:basedOn w:val="Normal"/>
    <w:next w:val="Normal"/>
    <w:link w:val="Heading4Char"/>
    <w:uiPriority w:val="9"/>
    <w:semiHidden/>
    <w:qFormat/>
    <w:pPr>
      <w:keepNext/>
      <w:keepLines/>
      <w:numPr>
        <w:ilvl w:val="3"/>
        <w:numId w:val="3"/>
      </w:numPr>
      <w:spacing w:before="200"/>
      <w:outlineLvl w:val="3"/>
    </w:pPr>
    <w:rPr>
      <w:rFonts w:asciiTheme="majorHAnsi" w:eastAsiaTheme="majorEastAsia" w:hAnsiTheme="majorHAnsi" w:cstheme="majorBidi"/>
      <w:b/>
      <w:bCs/>
      <w:i/>
      <w:iCs/>
      <w:color w:val="2F5773" w:themeColor="accent1"/>
    </w:rPr>
  </w:style>
  <w:style w:type="paragraph" w:styleId="Heading5">
    <w:name w:val="heading 5"/>
    <w:aliases w:val="Cover subtitle white"/>
    <w:next w:val="Normal"/>
    <w:link w:val="Heading5Char"/>
    <w:semiHidden/>
    <w:qFormat/>
    <w:pPr>
      <w:keepNext/>
      <w:keepLines/>
      <w:spacing w:before="200"/>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pPr>
      <w:keepNext/>
      <w:keepLines/>
      <w:numPr>
        <w:ilvl w:val="5"/>
        <w:numId w:val="3"/>
      </w:numPr>
      <w:spacing w:before="200"/>
      <w:outlineLvl w:val="5"/>
    </w:pPr>
    <w:rPr>
      <w:rFonts w:asciiTheme="majorHAnsi" w:eastAsiaTheme="majorEastAsia" w:hAnsiTheme="majorHAnsi" w:cstheme="majorBidi"/>
      <w:i/>
      <w:iCs/>
      <w:color w:val="172B39" w:themeColor="accent1" w:themeShade="7F"/>
    </w:rPr>
  </w:style>
  <w:style w:type="paragraph" w:styleId="Heading7">
    <w:name w:val="heading 7"/>
    <w:basedOn w:val="Normal"/>
    <w:next w:val="Normal"/>
    <w:link w:val="Heading7Char"/>
    <w:uiPriority w:val="9"/>
    <w:semiHidden/>
    <w:qFormat/>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semiHidden/>
    <w:rPr>
      <w:rFonts w:asciiTheme="majorHAnsi" w:eastAsiaTheme="majorEastAsia" w:hAnsiTheme="majorHAnsi" w:cstheme="majorBidi"/>
      <w:b/>
      <w:bCs/>
      <w:caps/>
      <w:color w:val="FFFFFF" w:themeColor="background1"/>
      <w:sz w:val="40"/>
      <w:szCs w:val="40"/>
    </w:rPr>
  </w:style>
  <w:style w:type="paragraph" w:customStyle="1" w:styleId="Numberedtilelevel1">
    <w:name w:val="Numbered tile level 1"/>
    <w:basedOn w:val="Titlelevel1"/>
    <w:qFormat/>
    <w:pPr>
      <w:numPr>
        <w:numId w:val="7"/>
      </w:numPr>
    </w:p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2F5773" w:themeColor="text2"/>
      <w:spacing w:val="5"/>
      <w:kern w:val="28"/>
      <w:sz w:val="52"/>
      <w:szCs w:val="52"/>
    </w:rPr>
  </w:style>
  <w:style w:type="paragraph" w:customStyle="1" w:styleId="Numberedtitlelevel2">
    <w:name w:val="Numbered title level 2"/>
    <w:basedOn w:val="Titlelevel2"/>
    <w:next w:val="body"/>
    <w:qFormat/>
    <w:pPr>
      <w:numPr>
        <w:ilvl w:val="1"/>
        <w:numId w:val="7"/>
      </w:numPr>
    </w:pPr>
  </w:style>
  <w:style w:type="paragraph" w:customStyle="1" w:styleId="Titlelevel2">
    <w:name w:val="Title level 2"/>
    <w:qFormat/>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pPr>
      <w:spacing w:before="240" w:after="120" w:line="276" w:lineRule="auto"/>
      <w:jc w:val="both"/>
    </w:pPr>
    <w:rPr>
      <w:sz w:val="22"/>
    </w:rPr>
  </w:style>
  <w:style w:type="character" w:customStyle="1" w:styleId="Heading3Char">
    <w:name w:val="Heading 3 Char"/>
    <w:aliases w:val="Title 2 Char"/>
    <w:basedOn w:val="DefaultParagraphFont"/>
    <w:link w:val="Heading3"/>
    <w:uiPriority w:val="9"/>
    <w:semiHidden/>
    <w:rPr>
      <w:rFonts w:asciiTheme="majorHAnsi" w:eastAsiaTheme="majorEastAsia" w:hAnsiTheme="majorHAnsi" w:cstheme="majorBidi"/>
      <w:bCs/>
      <w:color w:val="2F5773" w:themeColor="text2"/>
      <w:sz w:val="32"/>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2F5773" w:themeColor="accent1"/>
      <w:sz w:val="22"/>
    </w:rPr>
  </w:style>
  <w:style w:type="character" w:customStyle="1" w:styleId="Heading5Char">
    <w:name w:val="Heading 5 Char"/>
    <w:aliases w:val="Cover subtitle white Char"/>
    <w:basedOn w:val="DefaultParagraphFont"/>
    <w:link w:val="Heading5"/>
    <w:semiHidden/>
    <w:rPr>
      <w:rFonts w:asciiTheme="majorHAnsi" w:eastAsiaTheme="majorEastAsia" w:hAnsiTheme="majorHAnsi" w:cstheme="majorBidi"/>
      <w:caps/>
      <w:color w:val="FFFFFF" w:themeColor="background1"/>
      <w:sz w:val="28"/>
      <w:szCs w:val="28"/>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172B39" w:themeColor="accent1" w:themeShade="7F"/>
      <w:sz w:val="22"/>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404040" w:themeColor="text1" w:themeTint="BF"/>
      <w:sz w:val="22"/>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404040" w:themeColor="text1" w:themeTint="BF"/>
      <w:sz w:val="20"/>
      <w:szCs w:val="20"/>
    </w:rPr>
  </w:style>
  <w:style w:type="paragraph" w:styleId="BalloonText">
    <w:name w:val="Balloon Text"/>
    <w:basedOn w:val="Normal"/>
    <w:link w:val="BalloonTextChar"/>
    <w:uiPriority w:val="99"/>
    <w:semiHidden/>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Pr>
      <w:rFonts w:ascii="Lucida Grande" w:hAnsi="Lucida Grande" w:cs="Lucida Grande"/>
      <w:sz w:val="18"/>
      <w:szCs w:val="18"/>
    </w:rPr>
  </w:style>
  <w:style w:type="paragraph" w:customStyle="1" w:styleId="Tableheader">
    <w:name w:val="Table header"/>
    <w:next w:val="Tabledata"/>
    <w:qFormat/>
    <w:pPr>
      <w:spacing w:after="80"/>
    </w:pPr>
    <w:rPr>
      <w:rFonts w:ascii="Calibri" w:eastAsia="Times New Roman" w:hAnsi="Calibri" w:cs="Times New Roman"/>
      <w:b/>
      <w:color w:val="000000"/>
      <w:sz w:val="22"/>
      <w:szCs w:val="22"/>
    </w:rPr>
  </w:style>
  <w:style w:type="paragraph" w:customStyle="1" w:styleId="Tabledata">
    <w:name w:val="Table data"/>
    <w:basedOn w:val="body"/>
    <w:qFormat/>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pPr>
      <w:numPr>
        <w:numId w:val="5"/>
      </w:numPr>
    </w:pPr>
    <w:rPr>
      <w:sz w:val="22"/>
      <w:szCs w:val="22"/>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rPr>
      <w:sz w:val="22"/>
    </w:rPr>
  </w:style>
  <w:style w:type="table" w:styleId="TableGrid">
    <w:name w:val="Table Grid"/>
    <w:basedOn w:val="TableProfessional"/>
    <w:uiPriority w:val="59"/>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pPr>
      <w:numPr>
        <w:numId w:val="6"/>
      </w:numPr>
      <w:spacing w:before="240" w:after="120"/>
      <w:contextualSpacing/>
    </w:pPr>
    <w:rPr>
      <w:sz w:val="22"/>
    </w:rPr>
  </w:style>
  <w:style w:type="paragraph" w:customStyle="1" w:styleId="Titlelevel1">
    <w:name w:val="Title level 1"/>
    <w:autoRedefine/>
    <w:qFormat/>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qFormat/>
    <w:pPr>
      <w:spacing w:before="240" w:after="240"/>
    </w:pPr>
    <w:rPr>
      <w:b/>
      <w:color w:val="2F5773" w:themeColor="text2"/>
    </w:rPr>
  </w:style>
  <w:style w:type="paragraph" w:customStyle="1" w:styleId="Titlelevel4">
    <w:name w:val="Title level 4"/>
    <w:next w:val="body"/>
    <w:qFormat/>
    <w:pPr>
      <w:spacing w:before="240" w:after="240"/>
    </w:pPr>
    <w:rPr>
      <w:color w:val="E98E31" w:themeColor="background2"/>
    </w:rPr>
  </w:style>
  <w:style w:type="paragraph" w:customStyle="1" w:styleId="Figuretitle">
    <w:name w:val="Figure title"/>
    <w:basedOn w:val="body"/>
    <w:next w:val="Normal"/>
    <w:autoRedefine/>
    <w:qFormat/>
    <w:pPr>
      <w:keepNext/>
      <w:spacing w:before="360" w:after="360"/>
    </w:pPr>
    <w:rPr>
      <w:rFonts w:eastAsia="Times New Roman" w:cs="Times New Roman"/>
      <w:bCs/>
      <w:noProof/>
      <w:color w:val="2F5773" w:themeColor="text2"/>
      <w:szCs w:val="20"/>
      <w:lang w:eastAsia="en-GB"/>
    </w:rPr>
  </w:style>
  <w:style w:type="table" w:customStyle="1" w:styleId="EBAtable">
    <w:name w:val="EBA table"/>
    <w:basedOn w:val="TableNormal"/>
    <w:uiPriority w:val="99"/>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Pr>
      <w:rFonts w:asciiTheme="minorHAnsi" w:hAnsiTheme="minorHAnsi"/>
      <w:color w:val="auto"/>
      <w:sz w:val="22"/>
    </w:rPr>
  </w:style>
  <w:style w:type="paragraph" w:customStyle="1" w:styleId="Runningtitle">
    <w:name w:val="Running title"/>
    <w:qFormat/>
    <w:rPr>
      <w:caps/>
      <w:sz w:val="16"/>
      <w:szCs w:val="18"/>
    </w:rPr>
  </w:style>
  <w:style w:type="paragraph" w:styleId="FootnoteText">
    <w:name w:val="footnote text"/>
    <w:basedOn w:val="body"/>
    <w:link w:val="FootnoteTextChar"/>
    <w:autoRedefine/>
    <w:qFormat/>
    <w:pPr>
      <w:spacing w:before="80" w:after="0" w:line="200" w:lineRule="exact"/>
    </w:pPr>
    <w:rPr>
      <w:sz w:val="18"/>
      <w:szCs w:val="18"/>
    </w:rPr>
  </w:style>
  <w:style w:type="character" w:customStyle="1" w:styleId="FootnoteTextChar">
    <w:name w:val="Footnote Text Char"/>
    <w:basedOn w:val="DefaultParagraphFont"/>
    <w:link w:val="FootnoteText"/>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Pr>
      <w:rFonts w:asciiTheme="minorHAnsi" w:hAnsiTheme="minorHAnsi"/>
      <w:sz w:val="22"/>
      <w:szCs w:val="18"/>
      <w:vertAlign w:val="superscript"/>
    </w:rPr>
  </w:style>
  <w:style w:type="paragraph" w:customStyle="1" w:styleId="bullet1">
    <w:name w:val="bullet 1"/>
    <w:basedOn w:val="body"/>
    <w:next w:val="body"/>
    <w:qFormat/>
    <w:pPr>
      <w:numPr>
        <w:numId w:val="2"/>
      </w:numPr>
    </w:pPr>
    <w:rPr>
      <w:szCs w:val="22"/>
    </w:rPr>
  </w:style>
  <w:style w:type="paragraph" w:styleId="TOC1">
    <w:name w:val="toc 1"/>
    <w:autoRedefine/>
    <w:uiPriority w:val="39"/>
    <w:qFormat/>
    <w:pPr>
      <w:tabs>
        <w:tab w:val="left" w:pos="312"/>
        <w:tab w:val="left" w:pos="421"/>
        <w:tab w:val="right" w:pos="8771"/>
      </w:tabs>
      <w:spacing w:before="120" w:after="120"/>
      <w:outlineLvl w:val="0"/>
    </w:pPr>
    <w:rPr>
      <w:b/>
      <w:bCs/>
      <w:noProof/>
      <w:color w:val="2F5773" w:themeColor="text2"/>
      <w:sz w:val="22"/>
      <w:szCs w:val="22"/>
    </w:rPr>
  </w:style>
  <w:style w:type="paragraph" w:styleId="TOC2">
    <w:name w:val="toc 2"/>
    <w:next w:val="Normal"/>
    <w:autoRedefine/>
    <w:uiPriority w:val="39"/>
    <w:qFormat/>
    <w:pPr>
      <w:tabs>
        <w:tab w:val="left" w:pos="529"/>
        <w:tab w:val="right" w:pos="8771"/>
      </w:tabs>
      <w:spacing w:before="80" w:after="80"/>
    </w:pPr>
    <w:rPr>
      <w:noProof/>
      <w:sz w:val="22"/>
      <w:szCs w:val="22"/>
    </w:rPr>
  </w:style>
  <w:style w:type="paragraph" w:styleId="TOC3">
    <w:name w:val="toc 3"/>
    <w:basedOn w:val="Normal"/>
    <w:next w:val="Normal"/>
    <w:autoRedefine/>
    <w:uiPriority w:val="39"/>
    <w:qFormat/>
    <w:pPr>
      <w:tabs>
        <w:tab w:val="right" w:pos="8771"/>
      </w:tabs>
      <w:ind w:left="567"/>
    </w:pPr>
    <w:rPr>
      <w:szCs w:val="22"/>
    </w:rPr>
  </w:style>
  <w:style w:type="paragraph" w:styleId="TOC4">
    <w:name w:val="toc 4"/>
    <w:basedOn w:val="Normal"/>
    <w:next w:val="Normal"/>
    <w:autoRedefine/>
    <w:uiPriority w:val="39"/>
    <w:pPr>
      <w:tabs>
        <w:tab w:val="right" w:pos="8771"/>
      </w:tabs>
      <w:ind w:left="1134"/>
    </w:pPr>
    <w:rPr>
      <w:szCs w:val="22"/>
    </w:rPr>
  </w:style>
  <w:style w:type="paragraph" w:customStyle="1" w:styleId="bullet2">
    <w:name w:val="bullet 2"/>
    <w:basedOn w:val="body"/>
    <w:qFormat/>
    <w:pPr>
      <w:numPr>
        <w:numId w:val="1"/>
      </w:numPr>
    </w:pPr>
    <w:rPr>
      <w:szCs w:val="22"/>
    </w:rPr>
  </w:style>
  <w:style w:type="paragraph" w:customStyle="1" w:styleId="Numberedtitlelevel3">
    <w:name w:val="Numbered title level 3"/>
    <w:basedOn w:val="Titlelevel3"/>
    <w:next w:val="body"/>
    <w:qFormat/>
    <w:pPr>
      <w:numPr>
        <w:ilvl w:val="2"/>
        <w:numId w:val="7"/>
      </w:numPr>
    </w:pPr>
  </w:style>
  <w:style w:type="table" w:styleId="LightShading">
    <w:name w:val="Light Shading"/>
    <w:basedOn w:val="TableNormal"/>
    <w:uiPriority w:val="60"/>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qFormat/>
  </w:style>
  <w:style w:type="paragraph" w:customStyle="1" w:styleId="Numberedtitlelevel4">
    <w:name w:val="Numbered title level 4"/>
    <w:basedOn w:val="Titlelevel4"/>
    <w:qFormat/>
    <w:pPr>
      <w:numPr>
        <w:numId w:val="4"/>
      </w:numPr>
    </w:p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rPr>
      <w:sz w:val="22"/>
    </w:rPr>
  </w:style>
  <w:style w:type="paragraph" w:styleId="Title">
    <w:name w:val="Title"/>
    <w:basedOn w:val="Normal"/>
    <w:next w:val="Normal"/>
    <w:link w:val="TitleChar"/>
    <w:qFormat/>
    <w:pPr>
      <w:pBdr>
        <w:bottom w:val="single" w:sz="8" w:space="4" w:color="2F5773" w:themeColor="accent1"/>
      </w:pBdr>
      <w:spacing w:after="300"/>
      <w:contextualSpacing/>
    </w:pPr>
    <w:rPr>
      <w:rFonts w:asciiTheme="majorHAnsi" w:eastAsiaTheme="majorEastAsia" w:hAnsiTheme="majorHAnsi" w:cstheme="majorBidi"/>
      <w:color w:val="2F5773" w:themeColor="text2"/>
      <w:spacing w:val="5"/>
      <w:kern w:val="28"/>
      <w:sz w:val="52"/>
      <w:szCs w:val="52"/>
    </w:rPr>
  </w:style>
  <w:style w:type="character" w:customStyle="1" w:styleId="TitleChar">
    <w:name w:val="Title Char"/>
    <w:basedOn w:val="DefaultParagraphFont"/>
    <w:link w:val="Title"/>
    <w:rPr>
      <w:rFonts w:asciiTheme="majorHAnsi" w:eastAsiaTheme="majorEastAsia" w:hAnsiTheme="majorHAnsi" w:cstheme="majorBidi"/>
      <w:color w:val="2F5773" w:themeColor="text2"/>
      <w:spacing w:val="5"/>
      <w:kern w:val="28"/>
      <w:sz w:val="52"/>
      <w:szCs w:val="52"/>
    </w:rPr>
  </w:style>
  <w:style w:type="paragraph" w:styleId="TableofFigures">
    <w:name w:val="table of figures"/>
    <w:basedOn w:val="Normal"/>
    <w:next w:val="Normal"/>
    <w:autoRedefine/>
    <w:uiPriority w:val="99"/>
    <w:qFormat/>
    <w:pPr>
      <w:spacing w:before="160"/>
    </w:pPr>
  </w:style>
  <w:style w:type="paragraph" w:styleId="Subtitle">
    <w:name w:val="Subtitle"/>
    <w:next w:val="Normal"/>
    <w:link w:val="SubtitleChar"/>
    <w:autoRedefine/>
    <w:uiPriority w:val="11"/>
    <w:qFormat/>
    <w:pPr>
      <w:numPr>
        <w:ilvl w:val="1"/>
      </w:numPr>
      <w:spacing w:before="240" w:after="120"/>
    </w:pPr>
    <w:rPr>
      <w:rFonts w:asciiTheme="majorHAnsi" w:eastAsiaTheme="majorEastAsia" w:hAnsiTheme="majorHAnsi" w:cstheme="majorBidi"/>
      <w:color w:val="2F5773" w:themeColor="accent1"/>
      <w:sz w:val="32"/>
      <w:szCs w:val="32"/>
    </w:rPr>
  </w:style>
  <w:style w:type="character" w:customStyle="1" w:styleId="SubtitleChar">
    <w:name w:val="Subtitle Char"/>
    <w:basedOn w:val="DefaultParagraphFont"/>
    <w:link w:val="Subtitle"/>
    <w:uiPriority w:val="11"/>
    <w:rPr>
      <w:rFonts w:asciiTheme="majorHAnsi" w:eastAsiaTheme="majorEastAsia" w:hAnsiTheme="majorHAnsi" w:cstheme="majorBidi"/>
      <w:color w:val="2F5773" w:themeColor="accent1"/>
      <w:sz w:val="32"/>
      <w:szCs w:val="32"/>
      <w:lang w:val="sk-SK"/>
    </w:rPr>
  </w:style>
  <w:style w:type="character" w:styleId="BookTitle">
    <w:name w:val="Book Title"/>
    <w:basedOn w:val="DefaultParagraphFont"/>
    <w:uiPriority w:val="33"/>
    <w:semiHidden/>
    <w:qFormat/>
    <w:rPr>
      <w:b/>
      <w:bCs/>
      <w:smallCaps/>
      <w:spacing w:val="5"/>
    </w:rPr>
  </w:style>
  <w:style w:type="character" w:customStyle="1" w:styleId="Highlighttext">
    <w:name w:val="Highlight text"/>
    <w:basedOn w:val="DefaultParagraphFont"/>
    <w:uiPriority w:val="1"/>
    <w:semiHidden/>
    <w:qFormat/>
    <w:rPr>
      <w:rFonts w:asciiTheme="minorHAnsi" w:hAnsiTheme="minorHAnsi"/>
      <w:b/>
      <w:bCs/>
      <w:caps w:val="0"/>
      <w:smallCaps w:val="0"/>
      <w:color w:val="E98E31" w:themeColor="background2"/>
      <w:sz w:val="22"/>
      <w:szCs w:val="22"/>
    </w:rPr>
  </w:style>
  <w:style w:type="paragraph" w:customStyle="1" w:styleId="abbreviation">
    <w:name w:val="abbreviation"/>
    <w:basedOn w:val="Tableheader"/>
    <w:qFormat/>
    <w:rPr>
      <w:bCs/>
      <w:lang w:eastAsia="en-GB"/>
    </w:rPr>
  </w:style>
  <w:style w:type="paragraph" w:styleId="ListBullet">
    <w:name w:val="List Bullet"/>
    <w:basedOn w:val="Normal"/>
    <w:semiHidden/>
    <w:qFormat/>
    <w:pPr>
      <w:numPr>
        <w:numId w:val="9"/>
      </w:numPr>
      <w:contextualSpacing/>
    </w:pPr>
  </w:style>
  <w:style w:type="character" w:styleId="Hyperlink">
    <w:name w:val="Hyperlink"/>
    <w:basedOn w:val="DefaultParagraphFont"/>
    <w:uiPriority w:val="99"/>
    <w:rPr>
      <w:color w:val="2F5773" w:themeColor="hyperlink"/>
      <w:u w:val="single"/>
    </w:rPr>
  </w:style>
  <w:style w:type="paragraph" w:customStyle="1" w:styleId="numberedparagraph">
    <w:name w:val="numbered paragraph"/>
    <w:basedOn w:val="body"/>
    <w:qFormat/>
    <w:pPr>
      <w:numPr>
        <w:numId w:val="8"/>
      </w:numPr>
    </w:pPr>
  </w:style>
  <w:style w:type="paragraph" w:styleId="TOC5">
    <w:name w:val="toc 5"/>
    <w:basedOn w:val="Normal"/>
    <w:next w:val="Normal"/>
    <w:autoRedefine/>
    <w:uiPriority w:val="39"/>
    <w:semiHidden/>
    <w:pPr>
      <w:ind w:left="880"/>
    </w:pPr>
  </w:style>
  <w:style w:type="paragraph" w:styleId="TOC6">
    <w:name w:val="toc 6"/>
    <w:basedOn w:val="Normal"/>
    <w:next w:val="Normal"/>
    <w:autoRedefine/>
    <w:uiPriority w:val="39"/>
    <w:semiHidden/>
    <w:pPr>
      <w:ind w:left="1100"/>
    </w:pPr>
  </w:style>
  <w:style w:type="paragraph" w:styleId="TOC7">
    <w:name w:val="toc 7"/>
    <w:basedOn w:val="Normal"/>
    <w:next w:val="Normal"/>
    <w:autoRedefine/>
    <w:uiPriority w:val="39"/>
    <w:semiHidden/>
    <w:pPr>
      <w:ind w:left="1320"/>
    </w:pPr>
  </w:style>
  <w:style w:type="paragraph" w:styleId="TOC8">
    <w:name w:val="toc 8"/>
    <w:basedOn w:val="Normal"/>
    <w:next w:val="Normal"/>
    <w:autoRedefine/>
    <w:uiPriority w:val="39"/>
    <w:semiHidden/>
    <w:pPr>
      <w:ind w:left="1540"/>
    </w:pPr>
  </w:style>
  <w:style w:type="paragraph" w:styleId="TOC9">
    <w:name w:val="toc 9"/>
    <w:basedOn w:val="Normal"/>
    <w:next w:val="Normal"/>
    <w:autoRedefine/>
    <w:uiPriority w:val="39"/>
    <w:semiHidden/>
    <w:pPr>
      <w:ind w:left="1760"/>
    </w:pPr>
  </w:style>
  <w:style w:type="paragraph" w:customStyle="1" w:styleId="Default">
    <w:name w:val="Default"/>
    <w:pPr>
      <w:autoSpaceDE w:val="0"/>
      <w:autoSpaceDN w:val="0"/>
      <w:adjustRightInd w:val="0"/>
    </w:pPr>
    <w:rPr>
      <w:rFonts w:ascii="Calibri" w:eastAsiaTheme="minorHAnsi" w:hAnsi="Calibri" w:cs="Calibri"/>
      <w:color w:val="000000"/>
    </w:rPr>
  </w:style>
  <w:style w:type="paragraph" w:styleId="TOCHeading">
    <w:name w:val="TOC Heading"/>
    <w:basedOn w:val="Heading1"/>
    <w:next w:val="Normal"/>
    <w:uiPriority w:val="39"/>
    <w:semiHidden/>
    <w:qFormat/>
    <w:pPr>
      <w:spacing w:before="480"/>
      <w:outlineLvl w:val="9"/>
    </w:pPr>
    <w:rPr>
      <w:caps w:val="0"/>
      <w:color w:val="234156" w:themeColor="accent1" w:themeShade="BF"/>
      <w:sz w:val="28"/>
      <w:szCs w:val="28"/>
    </w:rPr>
  </w:style>
  <w:style w:type="character" w:customStyle="1" w:styleId="Marker2">
    <w:name w:val="Marker2"/>
    <w:rPr>
      <w:color w:val="FF0000"/>
      <w:shd w:val="clear" w:color="auto" w:fill="auto"/>
    </w:rPr>
  </w:style>
  <w:style w:type="paragraph" w:customStyle="1" w:styleId="Annexetitre">
    <w:name w:val="Annexe titre"/>
    <w:basedOn w:val="Normal"/>
    <w:next w:val="Normal"/>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pPr>
      <w:spacing w:before="480" w:after="120"/>
      <w:jc w:val="both"/>
    </w:pPr>
    <w:rPr>
      <w:rFonts w:ascii="Times New Roman" w:eastAsia="Times New Roman" w:hAnsi="Times New Roman" w:cs="Times New Roman"/>
      <w:sz w:val="24"/>
    </w:rPr>
  </w:style>
  <w:style w:type="paragraph" w:customStyle="1" w:styleId="Considrant">
    <w:name w:val="Considérant"/>
    <w:basedOn w:val="Normal"/>
    <w:pPr>
      <w:numPr>
        <w:numId w:val="10"/>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pPr>
      <w:keepNext/>
      <w:spacing w:before="600" w:after="120"/>
      <w:jc w:val="both"/>
    </w:pPr>
    <w:rPr>
      <w:rFonts w:ascii="Times New Roman" w:eastAsia="Times New Roman" w:hAnsi="Times New Roman" w:cs="Times New Roman"/>
      <w:sz w:val="24"/>
    </w:rPr>
  </w:style>
  <w:style w:type="paragraph" w:styleId="ListParagraph">
    <w:name w:val="List Paragraph"/>
    <w:basedOn w:val="Normal"/>
    <w:link w:val="ListParagraphChar"/>
    <w:uiPriority w:val="34"/>
    <w:qFormat/>
    <w:pPr>
      <w:ind w:left="720"/>
    </w:pPr>
    <w:rPr>
      <w:rFonts w:ascii="Calibri" w:eastAsia="Calibri" w:hAnsi="Calibri" w:cs="Times New Roman"/>
      <w:szCs w:val="22"/>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Caption">
    <w:name w:val="caption"/>
    <w:basedOn w:val="Normal"/>
    <w:next w:val="Normal"/>
    <w:uiPriority w:val="35"/>
    <w:unhideWhenUsed/>
    <w:qFormat/>
    <w:pPr>
      <w:spacing w:after="200"/>
    </w:pPr>
    <w:rPr>
      <w:b/>
      <w:bCs/>
      <w:color w:val="2F5773" w:themeColor="accent1"/>
      <w:sz w:val="18"/>
      <w:szCs w:val="18"/>
    </w:rPr>
  </w:style>
  <w:style w:type="paragraph" w:customStyle="1" w:styleId="TableTitle">
    <w:name w:val="TableTitle"/>
    <w:basedOn w:val="Normal"/>
    <w:next w:val="Normal"/>
    <w:link w:val="TableTitleChar"/>
    <w:pPr>
      <w:keepNext/>
      <w:spacing w:before="120" w:after="240"/>
      <w:jc w:val="center"/>
    </w:pPr>
    <w:rPr>
      <w:rFonts w:ascii="Arial" w:eastAsia="MS Mincho" w:hAnsi="Arial" w:cs="Times New Roman"/>
      <w:b/>
      <w:noProof/>
      <w:szCs w:val="20"/>
    </w:rPr>
  </w:style>
  <w:style w:type="character" w:customStyle="1" w:styleId="TableTitleChar">
    <w:name w:val="TableTitle Char"/>
    <w:basedOn w:val="DefaultParagraphFont"/>
    <w:link w:val="TableTitle"/>
    <w:locked/>
    <w:rPr>
      <w:rFonts w:ascii="Arial" w:eastAsia="MS Mincho" w:hAnsi="Arial" w:cs="Times New Roman"/>
      <w:b/>
      <w:noProof/>
      <w:sz w:val="22"/>
      <w:szCs w:val="20"/>
      <w:lang w:val="sk-SK"/>
    </w:rPr>
  </w:style>
  <w:style w:type="paragraph" w:styleId="Revision">
    <w:name w:val="Revision"/>
    <w:hidden/>
    <w:uiPriority w:val="99"/>
    <w:semiHidden/>
    <w:rPr>
      <w:sz w:val="22"/>
    </w:rPr>
  </w:style>
  <w:style w:type="character" w:customStyle="1" w:styleId="FormatvorlageInstructionsTabelleText">
    <w:name w:val="Formatvorlage Instructions Tabelle Text"/>
    <w:uiPriority w:val="99"/>
    <w:qFormat/>
    <w:rPr>
      <w:rFonts w:ascii="Verdana" w:hAnsi="Verdana" w:cs="Times New Roman"/>
      <w:bCs/>
      <w:sz w:val="20"/>
      <w:u w:val="none"/>
    </w:rPr>
  </w:style>
  <w:style w:type="character" w:customStyle="1" w:styleId="InstructionsTabelleberschrift">
    <w:name w:val="Instructions Tabelle Überschrift"/>
    <w:qFormat/>
    <w:rPr>
      <w:rFonts w:ascii="Verdana" w:hAnsi="Verdana" w:cs="Times New Roman"/>
      <w:b/>
      <w:bCs/>
      <w:sz w:val="20"/>
      <w:u w:val="single"/>
    </w:rPr>
  </w:style>
  <w:style w:type="paragraph" w:customStyle="1" w:styleId="InstructionsText">
    <w:name w:val="Instructions Text"/>
    <w:basedOn w:val="Normal"/>
    <w:link w:val="InstructionsTextChar"/>
    <w:autoRedefine/>
    <w:pPr>
      <w:jc w:val="both"/>
    </w:pPr>
    <w:rPr>
      <w:rFonts w:ascii="Times New Roman" w:eastAsiaTheme="majorEastAsia" w:hAnsi="Times New Roman" w:cs="Arial"/>
      <w:bCs/>
      <w:szCs w:val="22"/>
      <w:lang w:eastAsia="de-DE"/>
    </w:rPr>
  </w:style>
  <w:style w:type="character" w:customStyle="1" w:styleId="InstructionsTextChar">
    <w:name w:val="Instructions Text Char"/>
    <w:link w:val="InstructionsText"/>
    <w:locked/>
    <w:rPr>
      <w:rFonts w:ascii="Times New Roman" w:eastAsiaTheme="majorEastAsia" w:hAnsi="Times New Roman" w:cs="Arial"/>
      <w:bCs/>
      <w:sz w:val="22"/>
      <w:szCs w:val="22"/>
      <w:lang w:eastAsia="de-DE"/>
    </w:rPr>
  </w:style>
  <w:style w:type="character" w:customStyle="1" w:styleId="ListParagraphChar">
    <w:name w:val="List Paragraph Char"/>
    <w:link w:val="ListParagraph"/>
    <w:uiPriority w:val="34"/>
    <w:rPr>
      <w:rFonts w:ascii="Calibri" w:eastAsia="Calibri" w:hAnsi="Calibri" w:cs="Times New Roman"/>
      <w:sz w:val="22"/>
      <w:szCs w:val="22"/>
      <w:lang w:val="sk-SK"/>
    </w:rPr>
  </w:style>
  <w:style w:type="paragraph" w:customStyle="1" w:styleId="InstructionsText2">
    <w:name w:val="Instructions Text 2"/>
    <w:basedOn w:val="InstructionsText"/>
    <w:qFormat/>
    <w:pPr>
      <w:numPr>
        <w:numId w:val="16"/>
      </w:numPr>
      <w:spacing w:after="240"/>
    </w:pPr>
    <w:rPr>
      <w:rFonts w:eastAsia="Times New Roman" w:cs="Times New Roman"/>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3739952">
      <w:bodyDiv w:val="1"/>
      <w:marLeft w:val="0"/>
      <w:marRight w:val="0"/>
      <w:marTop w:val="0"/>
      <w:marBottom w:val="0"/>
      <w:divBdr>
        <w:top w:val="none" w:sz="0" w:space="0" w:color="auto"/>
        <w:left w:val="none" w:sz="0" w:space="0" w:color="auto"/>
        <w:bottom w:val="none" w:sz="0" w:space="0" w:color="auto"/>
        <w:right w:val="none" w:sz="0" w:space="0" w:color="auto"/>
      </w:divBdr>
    </w:div>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135836879">
      <w:bodyDiv w:val="1"/>
      <w:marLeft w:val="0"/>
      <w:marRight w:val="0"/>
      <w:marTop w:val="0"/>
      <w:marBottom w:val="0"/>
      <w:divBdr>
        <w:top w:val="none" w:sz="0" w:space="0" w:color="auto"/>
        <w:left w:val="none" w:sz="0" w:space="0" w:color="auto"/>
        <w:bottom w:val="none" w:sz="0" w:space="0" w:color="auto"/>
        <w:right w:val="none" w:sz="0" w:space="0" w:color="auto"/>
      </w:divBdr>
    </w:div>
    <w:div w:id="1406999856">
      <w:bodyDiv w:val="1"/>
      <w:marLeft w:val="0"/>
      <w:marRight w:val="0"/>
      <w:marTop w:val="0"/>
      <w:marBottom w:val="0"/>
      <w:divBdr>
        <w:top w:val="none" w:sz="0" w:space="0" w:color="auto"/>
        <w:left w:val="none" w:sz="0" w:space="0" w:color="auto"/>
        <w:bottom w:val="none" w:sz="0" w:space="0" w:color="auto"/>
        <w:right w:val="none" w:sz="0" w:space="0" w:color="auto"/>
      </w:divBdr>
    </w:div>
    <w:div w:id="19409887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EB15CC-4246-4F1B-AC2F-B8095602C0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25</Pages>
  <Words>7859</Words>
  <Characters>44801</Characters>
  <Application>Microsoft Office Word</Application>
  <DocSecurity>0</DocSecurity>
  <Lines>373</Lines>
  <Paragraphs>105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52555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2021-11-25T14:53:00Z</dcterms:created>
  <dcterms:modified xsi:type="dcterms:W3CDTF">2022-01-14T17:16:00Z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c7eb9de-735b-4a68-8fe4-c9c62709b012_Enabled">
    <vt:lpwstr>true</vt:lpwstr>
  </property>
  <property fmtid="{D5CDD505-2E9C-101B-9397-08002B2CF9AE}" pid="3" name="MSIP_Label_5c7eb9de-735b-4a68-8fe4-c9c62709b012_SetDate">
    <vt:lpwstr>2022-01-14T17:16:59Z</vt:lpwstr>
  </property>
  <property fmtid="{D5CDD505-2E9C-101B-9397-08002B2CF9AE}" pid="4" name="MSIP_Label_5c7eb9de-735b-4a68-8fe4-c9c62709b012_Method">
    <vt:lpwstr>Standard</vt:lpwstr>
  </property>
  <property fmtid="{D5CDD505-2E9C-101B-9397-08002B2CF9AE}" pid="5" name="MSIP_Label_5c7eb9de-735b-4a68-8fe4-c9c62709b012_Name">
    <vt:lpwstr>EBA Regular Use</vt:lpwstr>
  </property>
  <property fmtid="{D5CDD505-2E9C-101B-9397-08002B2CF9AE}" pid="6" name="MSIP_Label_5c7eb9de-735b-4a68-8fe4-c9c62709b012_SiteId">
    <vt:lpwstr>3bacb4ff-f1a2-4c92-b96c-e99fec826b68</vt:lpwstr>
  </property>
  <property fmtid="{D5CDD505-2E9C-101B-9397-08002B2CF9AE}" pid="7" name="MSIP_Label_5c7eb9de-735b-4a68-8fe4-c9c62709b012_ActionId">
    <vt:lpwstr>c20ecf2a-df1c-4869-904f-8ce7650785e9</vt:lpwstr>
  </property>
  <property fmtid="{D5CDD505-2E9C-101B-9397-08002B2CF9AE}" pid="8" name="MSIP_Label_5c7eb9de-735b-4a68-8fe4-c9c62709b012_ContentBits">
    <vt:lpwstr>1</vt:lpwstr>
  </property>
</Properties>
</file>