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AAF15C" w14:textId="77777777" w:rsidR="007251CD" w:rsidRPr="009C7AD0" w:rsidRDefault="009C7AD0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bookmarkStart w:id="0" w:name="_Toc359315628"/>
      <w:bookmarkStart w:id="1" w:name="_Toc361844197"/>
      <w:bookmarkStart w:id="2" w:name="_Toc473560873"/>
      <w:bookmarkStart w:id="3" w:name="_Toc7084158"/>
      <w:bookmarkStart w:id="4" w:name="_Toc308175820"/>
      <w:bookmarkStart w:id="5" w:name="_Toc360188325"/>
      <w:r w:rsidRPr="009C7AD0">
        <w:rPr>
          <w:rFonts w:ascii="Times New Roman" w:hAnsi="Times New Roman"/>
          <w:b/>
          <w:sz w:val="24"/>
          <w:szCs w:val="24"/>
        </w:rPr>
        <w:t>HU</w:t>
      </w:r>
      <w:r w:rsidRPr="009C7AD0">
        <w:br/>
      </w:r>
      <w:r w:rsidRPr="009C7AD0">
        <w:rPr>
          <w:rFonts w:ascii="Times New Roman" w:hAnsi="Times New Roman"/>
          <w:b/>
          <w:sz w:val="24"/>
          <w:szCs w:val="20"/>
        </w:rPr>
        <w:t>IV. MELLÉKLET</w:t>
      </w:r>
    </w:p>
    <w:p w14:paraId="5BFA4923" w14:textId="77777777" w:rsidR="007251CD" w:rsidRPr="009C7AD0" w:rsidRDefault="009C7AD0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9C7AD0">
        <w:rPr>
          <w:rFonts w:ascii="Times New Roman" w:hAnsi="Times New Roman"/>
          <w:b/>
          <w:sz w:val="24"/>
          <w:szCs w:val="20"/>
          <w:u w:val="single"/>
        </w:rPr>
        <w:t>„IV. MELLÉKLET</w:t>
      </w:r>
      <w:bookmarkEnd w:id="0"/>
      <w:bookmarkEnd w:id="1"/>
    </w:p>
    <w:p w14:paraId="2BD4A127" w14:textId="77777777" w:rsidR="007251CD" w:rsidRPr="009C7AD0" w:rsidRDefault="009C7AD0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9C7AD0">
        <w:rPr>
          <w:rFonts w:ascii="Times New Roman" w:hAnsi="Times New Roman"/>
          <w:b/>
          <w:sz w:val="24"/>
          <w:szCs w:val="20"/>
        </w:rPr>
        <w:t>KIS MÉRETŰ ÉS ÖSSZE NEM KAPCSOLT BEFEKTETÉSI VÁLLALKOZÁSOK ADATSZOLGÁLTATÁSA</w:t>
      </w:r>
    </w:p>
    <w:p w14:paraId="17371C0E" w14:textId="77777777" w:rsidR="007251CD" w:rsidRPr="009C7AD0" w:rsidRDefault="009C7A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7AD0">
        <w:rPr>
          <w:rFonts w:ascii="Times New Roman" w:hAnsi="Times New Roman"/>
          <w:sz w:val="24"/>
          <w:szCs w:val="24"/>
        </w:rPr>
        <w:t>Tartalomjegyzék</w:t>
      </w:r>
    </w:p>
    <w:p w14:paraId="383BF21E" w14:textId="77777777" w:rsidR="007251CD" w:rsidRPr="009C7AD0" w:rsidRDefault="009C7AD0">
      <w:pPr>
        <w:pStyle w:val="TOC2"/>
        <w:rPr>
          <w:rFonts w:eastAsiaTheme="minorEastAsia"/>
          <w:noProof/>
          <w:lang w:eastAsia="en-GB"/>
        </w:rPr>
      </w:pPr>
      <w:r w:rsidRPr="009C7AD0">
        <w:rPr>
          <w:rFonts w:ascii="Times New Roman" w:hAnsi="Times New Roman"/>
          <w:noProof/>
        </w:rPr>
        <w:t>I. RÉSZ: ÁLTALÁNOS ÚTMUTATÓ</w:t>
      </w:r>
      <w:r w:rsidRPr="009C7AD0">
        <w:rPr>
          <w:noProof/>
        </w:rPr>
        <w:tab/>
        <w:t>2</w:t>
      </w:r>
    </w:p>
    <w:p w14:paraId="6EC4491B" w14:textId="77777777" w:rsidR="007251CD" w:rsidRPr="009C7AD0" w:rsidRDefault="009C7AD0">
      <w:pPr>
        <w:pStyle w:val="TOC2"/>
        <w:rPr>
          <w:rFonts w:eastAsiaTheme="minorEastAsia"/>
          <w:noProof/>
          <w:lang w:eastAsia="en-GB"/>
        </w:rPr>
      </w:pPr>
      <w:r w:rsidRPr="009C7AD0">
        <w:rPr>
          <w:rFonts w:ascii="Times New Roman" w:hAnsi="Times New Roman"/>
          <w:noProof/>
        </w:rPr>
        <w:t>1. Szerkezet és szabályok</w:t>
      </w:r>
      <w:r w:rsidRPr="009C7AD0">
        <w:rPr>
          <w:noProof/>
        </w:rPr>
        <w:tab/>
        <w:t>2</w:t>
      </w:r>
    </w:p>
    <w:p w14:paraId="7B357356" w14:textId="77777777" w:rsidR="007251CD" w:rsidRPr="009C7AD0" w:rsidRDefault="009C7AD0">
      <w:pPr>
        <w:pStyle w:val="TOC2"/>
        <w:rPr>
          <w:rFonts w:eastAsiaTheme="minorEastAsia"/>
          <w:noProof/>
          <w:lang w:eastAsia="en-GB"/>
        </w:rPr>
      </w:pPr>
      <w:r w:rsidRPr="009C7AD0">
        <w:rPr>
          <w:rFonts w:ascii="Times New Roman" w:hAnsi="Times New Roman"/>
          <w:noProof/>
          <w:u w:val="single"/>
        </w:rPr>
        <w:t>1.1. Szerkezet</w:t>
      </w:r>
      <w:r w:rsidRPr="009C7AD0">
        <w:rPr>
          <w:noProof/>
        </w:rPr>
        <w:tab/>
        <w:t>2</w:t>
      </w:r>
    </w:p>
    <w:p w14:paraId="4C96A50D" w14:textId="77777777" w:rsidR="007251CD" w:rsidRPr="009C7AD0" w:rsidRDefault="009C7AD0">
      <w:pPr>
        <w:pStyle w:val="TOC2"/>
        <w:rPr>
          <w:rFonts w:eastAsiaTheme="minorEastAsia"/>
          <w:noProof/>
          <w:lang w:eastAsia="en-GB"/>
        </w:rPr>
      </w:pPr>
      <w:r w:rsidRPr="009C7AD0">
        <w:rPr>
          <w:rFonts w:ascii="Times New Roman" w:hAnsi="Times New Roman"/>
          <w:noProof/>
          <w:u w:val="single"/>
        </w:rPr>
        <w:t>1.2. Számozási szabályok</w:t>
      </w:r>
      <w:r w:rsidRPr="009C7AD0">
        <w:rPr>
          <w:noProof/>
        </w:rPr>
        <w:tab/>
        <w:t>2</w:t>
      </w:r>
    </w:p>
    <w:p w14:paraId="4A46B279" w14:textId="77777777" w:rsidR="007251CD" w:rsidRPr="009C7AD0" w:rsidRDefault="009C7AD0">
      <w:pPr>
        <w:pStyle w:val="TOC2"/>
        <w:rPr>
          <w:rFonts w:eastAsiaTheme="minorEastAsia"/>
          <w:noProof/>
          <w:lang w:eastAsia="en-GB"/>
        </w:rPr>
      </w:pPr>
      <w:r w:rsidRPr="009C7AD0">
        <w:rPr>
          <w:rFonts w:ascii="Times New Roman" w:hAnsi="Times New Roman"/>
          <w:noProof/>
          <w:u w:val="single"/>
        </w:rPr>
        <w:t xml:space="preserve">1.3. </w:t>
      </w:r>
      <w:r w:rsidRPr="009C7AD0">
        <w:rPr>
          <w:rFonts w:ascii="Times New Roman" w:hAnsi="Times New Roman"/>
          <w:noProof/>
          <w:u w:val="single"/>
        </w:rPr>
        <w:t>Előjelre vonatkozó szabályok</w:t>
      </w:r>
      <w:r w:rsidRPr="009C7AD0">
        <w:rPr>
          <w:noProof/>
        </w:rPr>
        <w:tab/>
        <w:t>2</w:t>
      </w:r>
    </w:p>
    <w:p w14:paraId="1539A221" w14:textId="77777777" w:rsidR="007251CD" w:rsidRPr="009C7AD0" w:rsidRDefault="009C7AD0">
      <w:pPr>
        <w:pStyle w:val="TOC2"/>
        <w:rPr>
          <w:rFonts w:eastAsiaTheme="minorEastAsia"/>
          <w:noProof/>
          <w:lang w:eastAsia="en-GB"/>
        </w:rPr>
      </w:pPr>
      <w:r w:rsidRPr="009C7AD0">
        <w:rPr>
          <w:rFonts w:ascii="Times New Roman" w:hAnsi="Times New Roman"/>
          <w:noProof/>
          <w:u w:val="single"/>
        </w:rPr>
        <w:t>1.4. Prudenciális konszolidáció</w:t>
      </w:r>
      <w:r w:rsidRPr="009C7AD0">
        <w:rPr>
          <w:noProof/>
        </w:rPr>
        <w:tab/>
        <w:t>2</w:t>
      </w:r>
    </w:p>
    <w:p w14:paraId="5F0D7B1E" w14:textId="77777777" w:rsidR="007251CD" w:rsidRPr="009C7AD0" w:rsidRDefault="009C7AD0">
      <w:pPr>
        <w:pStyle w:val="TOC2"/>
        <w:rPr>
          <w:rFonts w:eastAsiaTheme="minorEastAsia"/>
          <w:noProof/>
          <w:lang w:eastAsia="en-GB"/>
        </w:rPr>
      </w:pPr>
      <w:r w:rsidRPr="009C7AD0">
        <w:rPr>
          <w:rFonts w:ascii="Times New Roman" w:hAnsi="Times New Roman"/>
          <w:noProof/>
        </w:rPr>
        <w:t>II. RÉSZ: A TÁBLÁKHOZ KAPCSOLÓDÓ ÚTMUTATÓ</w:t>
      </w:r>
      <w:r w:rsidRPr="009C7AD0">
        <w:rPr>
          <w:noProof/>
        </w:rPr>
        <w:tab/>
        <w:t>3</w:t>
      </w:r>
    </w:p>
    <w:p w14:paraId="23391168" w14:textId="77777777" w:rsidR="007251CD" w:rsidRPr="009C7AD0" w:rsidRDefault="009C7AD0">
      <w:pPr>
        <w:pStyle w:val="TOC2"/>
        <w:rPr>
          <w:rFonts w:eastAsiaTheme="minorEastAsia"/>
          <w:noProof/>
          <w:lang w:eastAsia="en-GB"/>
        </w:rPr>
      </w:pPr>
      <w:r w:rsidRPr="009C7AD0">
        <w:rPr>
          <w:rFonts w:ascii="Times New Roman" w:hAnsi="Times New Roman"/>
          <w:b/>
          <w:noProof/>
        </w:rPr>
        <w:t>1. SZAVATOLÓTŐKE: SZINT, ÖSSZETÉTEL, KÖVETELMÉNYEK ÉS SZÁMÍTÁS</w:t>
      </w:r>
      <w:r w:rsidRPr="009C7AD0">
        <w:rPr>
          <w:noProof/>
        </w:rPr>
        <w:tab/>
        <w:t>3</w:t>
      </w:r>
    </w:p>
    <w:p w14:paraId="5F5D7EA6" w14:textId="77777777" w:rsidR="007251CD" w:rsidRPr="009C7AD0" w:rsidRDefault="009C7AD0">
      <w:pPr>
        <w:pStyle w:val="TOC2"/>
        <w:rPr>
          <w:rFonts w:eastAsiaTheme="minorEastAsia"/>
          <w:noProof/>
          <w:lang w:val="en-GB" w:eastAsia="en-GB"/>
        </w:rPr>
      </w:pPr>
      <w:r w:rsidRPr="009C7AD0">
        <w:rPr>
          <w:rFonts w:ascii="Times New Roman" w:hAnsi="Times New Roman"/>
          <w:noProof/>
        </w:rPr>
        <w:t>1.1. Általános megjegyzések</w:t>
      </w:r>
      <w:r w:rsidRPr="009C7AD0">
        <w:rPr>
          <w:noProof/>
        </w:rPr>
        <w:tab/>
        <w:t>3</w:t>
      </w:r>
    </w:p>
    <w:p w14:paraId="20D0852B" w14:textId="77777777" w:rsidR="007251CD" w:rsidRPr="009C7AD0" w:rsidRDefault="009C7AD0">
      <w:pPr>
        <w:pStyle w:val="TOC2"/>
        <w:rPr>
          <w:rFonts w:eastAsiaTheme="minorEastAsia"/>
          <w:noProof/>
          <w:lang w:val="en-GB" w:eastAsia="en-GB"/>
        </w:rPr>
      </w:pPr>
      <w:r w:rsidRPr="009C7AD0">
        <w:rPr>
          <w:rFonts w:ascii="Times New Roman" w:hAnsi="Times New Roman"/>
          <w:noProof/>
        </w:rPr>
        <w:t xml:space="preserve">1.2. I 01.01 – A SZAVATOLÓTŐKE </w:t>
      </w:r>
      <w:r w:rsidRPr="009C7AD0">
        <w:rPr>
          <w:rFonts w:ascii="Times New Roman" w:hAnsi="Times New Roman"/>
          <w:noProof/>
        </w:rPr>
        <w:t>ÖSSZETÉTELE (I 1.1)</w:t>
      </w:r>
      <w:r w:rsidRPr="009C7AD0">
        <w:rPr>
          <w:noProof/>
        </w:rPr>
        <w:tab/>
        <w:t>3</w:t>
      </w:r>
    </w:p>
    <w:p w14:paraId="7A917472" w14:textId="77777777" w:rsidR="007251CD" w:rsidRPr="009C7AD0" w:rsidRDefault="009C7AD0">
      <w:pPr>
        <w:pStyle w:val="TOC2"/>
        <w:rPr>
          <w:rFonts w:eastAsiaTheme="minorEastAsia"/>
          <w:noProof/>
          <w:lang w:val="en-GB" w:eastAsia="en-GB"/>
        </w:rPr>
      </w:pPr>
      <w:r w:rsidRPr="009C7AD0">
        <w:rPr>
          <w:rFonts w:ascii="Times New Roman" w:hAnsi="Times New Roman"/>
          <w:noProof/>
        </w:rPr>
        <w:t>1.2.1.</w:t>
      </w:r>
      <w:r w:rsidRPr="009C7AD0">
        <w:rPr>
          <w:rFonts w:eastAsiaTheme="minorEastAsia"/>
          <w:noProof/>
          <w:lang w:val="en-GB" w:eastAsia="en-GB"/>
        </w:rPr>
        <w:tab/>
      </w:r>
      <w:r w:rsidRPr="009C7AD0">
        <w:rPr>
          <w:rFonts w:ascii="Times New Roman" w:hAnsi="Times New Roman"/>
          <w:noProof/>
        </w:rPr>
        <w:t>A tábla egyes részeire vonatkozó útmutató</w:t>
      </w:r>
      <w:r w:rsidRPr="009C7AD0">
        <w:rPr>
          <w:noProof/>
        </w:rPr>
        <w:tab/>
        <w:t>3</w:t>
      </w:r>
    </w:p>
    <w:p w14:paraId="392D319A" w14:textId="77777777" w:rsidR="007251CD" w:rsidRPr="009C7AD0" w:rsidRDefault="009C7AD0">
      <w:pPr>
        <w:pStyle w:val="TOC2"/>
        <w:rPr>
          <w:rFonts w:eastAsiaTheme="minorEastAsia"/>
          <w:noProof/>
          <w:lang w:val="en-GB" w:eastAsia="en-GB"/>
        </w:rPr>
      </w:pPr>
      <w:r w:rsidRPr="009C7AD0">
        <w:rPr>
          <w:rFonts w:ascii="Times New Roman" w:hAnsi="Times New Roman"/>
          <w:noProof/>
        </w:rPr>
        <w:t>1.3. I 02.03 – SZAVATOLÓTŐKE-KÖVETELMÉNYEK (I 2.3)</w:t>
      </w:r>
      <w:r w:rsidRPr="009C7AD0">
        <w:rPr>
          <w:noProof/>
        </w:rPr>
        <w:tab/>
        <w:t>8</w:t>
      </w:r>
    </w:p>
    <w:p w14:paraId="15D4A1E9" w14:textId="77777777" w:rsidR="007251CD" w:rsidRPr="009C7AD0" w:rsidRDefault="009C7AD0">
      <w:pPr>
        <w:pStyle w:val="TOC2"/>
        <w:rPr>
          <w:rFonts w:eastAsiaTheme="minorEastAsia"/>
          <w:noProof/>
          <w:lang w:eastAsia="en-GB"/>
        </w:rPr>
      </w:pPr>
      <w:r w:rsidRPr="009C7AD0">
        <w:rPr>
          <w:rFonts w:ascii="Times New Roman" w:hAnsi="Times New Roman"/>
          <w:noProof/>
        </w:rPr>
        <w:t>1.3.1.</w:t>
      </w:r>
      <w:r w:rsidRPr="009C7AD0">
        <w:rPr>
          <w:rFonts w:eastAsiaTheme="minorEastAsia"/>
          <w:noProof/>
          <w:lang w:val="en-GB" w:eastAsia="en-GB"/>
        </w:rPr>
        <w:tab/>
      </w:r>
      <w:r w:rsidRPr="009C7AD0">
        <w:rPr>
          <w:rFonts w:ascii="Times New Roman" w:hAnsi="Times New Roman"/>
          <w:noProof/>
          <w:u w:val="single"/>
        </w:rPr>
        <w:t>A tábla egyes részeire vonatkozó útmutató.</w:t>
      </w:r>
      <w:r w:rsidRPr="009C7AD0">
        <w:rPr>
          <w:noProof/>
        </w:rPr>
        <w:tab/>
        <w:t>8</w:t>
      </w:r>
    </w:p>
    <w:p w14:paraId="19542DA1" w14:textId="77777777" w:rsidR="007251CD" w:rsidRPr="009C7AD0" w:rsidRDefault="009C7AD0">
      <w:pPr>
        <w:pStyle w:val="TOC2"/>
        <w:rPr>
          <w:rFonts w:eastAsiaTheme="minorEastAsia"/>
          <w:noProof/>
          <w:lang w:eastAsia="en-GB"/>
        </w:rPr>
      </w:pPr>
      <w:r w:rsidRPr="009C7AD0">
        <w:rPr>
          <w:rFonts w:ascii="Times New Roman" w:hAnsi="Times New Roman"/>
          <w:noProof/>
        </w:rPr>
        <w:t>1.4. I 02.04 – TŐKEMEGFELELÉSI MUTATÓK (I 2.4)</w:t>
      </w:r>
      <w:r w:rsidRPr="009C7AD0">
        <w:rPr>
          <w:noProof/>
        </w:rPr>
        <w:tab/>
        <w:t>9</w:t>
      </w:r>
    </w:p>
    <w:p w14:paraId="4D6745FD" w14:textId="77777777" w:rsidR="007251CD" w:rsidRPr="009C7AD0" w:rsidRDefault="009C7AD0">
      <w:pPr>
        <w:pStyle w:val="TOC2"/>
        <w:rPr>
          <w:rFonts w:eastAsiaTheme="minorEastAsia"/>
          <w:noProof/>
          <w:lang w:eastAsia="en-GB"/>
        </w:rPr>
      </w:pPr>
      <w:r w:rsidRPr="009C7AD0">
        <w:rPr>
          <w:rFonts w:ascii="Times New Roman" w:hAnsi="Times New Roman"/>
          <w:noProof/>
        </w:rPr>
        <w:t>1.4.1.</w:t>
      </w:r>
      <w:r w:rsidRPr="009C7AD0">
        <w:rPr>
          <w:rFonts w:eastAsiaTheme="minorEastAsia"/>
          <w:noProof/>
          <w:lang w:eastAsia="en-GB"/>
        </w:rPr>
        <w:tab/>
      </w:r>
      <w:r w:rsidRPr="009C7AD0">
        <w:rPr>
          <w:rFonts w:ascii="Times New Roman" w:hAnsi="Times New Roman"/>
          <w:noProof/>
          <w:u w:val="single"/>
        </w:rPr>
        <w:t xml:space="preserve">A tábla egyes </w:t>
      </w:r>
      <w:r w:rsidRPr="009C7AD0">
        <w:rPr>
          <w:rFonts w:ascii="Times New Roman" w:hAnsi="Times New Roman"/>
          <w:noProof/>
          <w:u w:val="single"/>
        </w:rPr>
        <w:t>részeire vonatkozó útmutató</w:t>
      </w:r>
      <w:r w:rsidRPr="009C7AD0">
        <w:rPr>
          <w:noProof/>
        </w:rPr>
        <w:tab/>
        <w:t>9</w:t>
      </w:r>
    </w:p>
    <w:p w14:paraId="0DF4E636" w14:textId="77777777" w:rsidR="007251CD" w:rsidRPr="009C7AD0" w:rsidRDefault="009C7AD0">
      <w:pPr>
        <w:pStyle w:val="TOC2"/>
        <w:rPr>
          <w:rFonts w:eastAsiaTheme="minorEastAsia"/>
          <w:noProof/>
          <w:lang w:eastAsia="en-GB"/>
        </w:rPr>
      </w:pPr>
      <w:r w:rsidRPr="009C7AD0">
        <w:rPr>
          <w:rFonts w:ascii="Times New Roman" w:hAnsi="Times New Roman"/>
          <w:noProof/>
        </w:rPr>
        <w:t>1.5. I 03.01 – AZ ÁLLANDÓ ÁLTALÁNOS KÖLTSÉGEK KISZÁMÍTÁSA (I 3.1)</w:t>
      </w:r>
      <w:r w:rsidRPr="009C7AD0">
        <w:rPr>
          <w:noProof/>
        </w:rPr>
        <w:tab/>
        <w:t>11</w:t>
      </w:r>
    </w:p>
    <w:p w14:paraId="07305D4B" w14:textId="77777777" w:rsidR="007251CD" w:rsidRPr="009C7AD0" w:rsidRDefault="009C7AD0">
      <w:pPr>
        <w:pStyle w:val="TOC2"/>
        <w:rPr>
          <w:rFonts w:eastAsiaTheme="minorEastAsia"/>
          <w:noProof/>
          <w:lang w:eastAsia="en-GB"/>
        </w:rPr>
      </w:pPr>
      <w:r w:rsidRPr="009C7AD0">
        <w:rPr>
          <w:rFonts w:ascii="Times New Roman" w:hAnsi="Times New Roman"/>
          <w:noProof/>
        </w:rPr>
        <w:t>1.5.1.</w:t>
      </w:r>
      <w:r w:rsidRPr="009C7AD0">
        <w:rPr>
          <w:rFonts w:eastAsiaTheme="minorEastAsia"/>
          <w:noProof/>
          <w:lang w:eastAsia="en-GB"/>
        </w:rPr>
        <w:tab/>
      </w:r>
      <w:r w:rsidRPr="009C7AD0">
        <w:rPr>
          <w:rFonts w:ascii="Times New Roman" w:hAnsi="Times New Roman"/>
          <w:noProof/>
          <w:u w:val="single"/>
        </w:rPr>
        <w:t>A tábla egyes részeire vonatkozó útmutató</w:t>
      </w:r>
      <w:r w:rsidRPr="009C7AD0">
        <w:rPr>
          <w:noProof/>
        </w:rPr>
        <w:tab/>
        <w:t>11</w:t>
      </w:r>
    </w:p>
    <w:p w14:paraId="6577B825" w14:textId="77777777" w:rsidR="007251CD" w:rsidRPr="009C7AD0" w:rsidRDefault="009C7AD0">
      <w:pPr>
        <w:pStyle w:val="TOC2"/>
        <w:rPr>
          <w:rFonts w:eastAsiaTheme="minorEastAsia"/>
          <w:noProof/>
          <w:lang w:eastAsia="en-GB"/>
        </w:rPr>
      </w:pPr>
      <w:r w:rsidRPr="009C7AD0">
        <w:rPr>
          <w:rFonts w:ascii="Times New Roman" w:hAnsi="Times New Roman"/>
          <w:noProof/>
        </w:rPr>
        <w:t>2. KIS MÉRETŰ ÉS ÖSSZE NEM KAPCSOLT BEFEKTETÉSI VÁLLALKOZÁSOK</w:t>
      </w:r>
      <w:r w:rsidRPr="009C7AD0">
        <w:rPr>
          <w:noProof/>
        </w:rPr>
        <w:tab/>
        <w:t>13</w:t>
      </w:r>
    </w:p>
    <w:p w14:paraId="3CE06298" w14:textId="77777777" w:rsidR="007251CD" w:rsidRPr="009C7AD0" w:rsidRDefault="009C7AD0">
      <w:pPr>
        <w:pStyle w:val="TOC2"/>
        <w:rPr>
          <w:rFonts w:eastAsiaTheme="minorEastAsia"/>
          <w:noProof/>
          <w:lang w:eastAsia="en-GB"/>
        </w:rPr>
      </w:pPr>
      <w:r w:rsidRPr="009C7AD0">
        <w:rPr>
          <w:rFonts w:ascii="Times New Roman" w:hAnsi="Times New Roman"/>
          <w:noProof/>
        </w:rPr>
        <w:t>2.1.</w:t>
      </w:r>
      <w:r w:rsidRPr="009C7AD0">
        <w:rPr>
          <w:rFonts w:eastAsiaTheme="minorEastAsia"/>
          <w:noProof/>
          <w:lang w:eastAsia="en-GB"/>
        </w:rPr>
        <w:tab/>
      </w:r>
      <w:r w:rsidRPr="009C7AD0">
        <w:rPr>
          <w:rFonts w:ascii="Times New Roman" w:hAnsi="Times New Roman"/>
          <w:noProof/>
          <w:u w:val="single"/>
        </w:rPr>
        <w:t>I 05.00 – TEVÉKENYSÉGI SZINT – ÉRTÉ</w:t>
      </w:r>
      <w:r w:rsidRPr="009C7AD0">
        <w:rPr>
          <w:rFonts w:ascii="Times New Roman" w:hAnsi="Times New Roman"/>
          <w:noProof/>
          <w:u w:val="single"/>
        </w:rPr>
        <w:t>KHATÁR-FELÜLVIZSGÁLAT (I 5.)</w:t>
      </w:r>
      <w:r w:rsidRPr="009C7AD0">
        <w:rPr>
          <w:noProof/>
        </w:rPr>
        <w:tab/>
        <w:t>13</w:t>
      </w:r>
    </w:p>
    <w:p w14:paraId="0733446D" w14:textId="77777777" w:rsidR="007251CD" w:rsidRPr="009C7AD0" w:rsidRDefault="009C7AD0">
      <w:pPr>
        <w:pStyle w:val="TOC2"/>
        <w:rPr>
          <w:rFonts w:eastAsiaTheme="minorEastAsia"/>
          <w:noProof/>
          <w:lang w:eastAsia="en-GB"/>
        </w:rPr>
      </w:pPr>
      <w:r w:rsidRPr="009C7AD0">
        <w:rPr>
          <w:rFonts w:ascii="Times New Roman" w:hAnsi="Times New Roman"/>
          <w:noProof/>
        </w:rPr>
        <w:t>2.1.1.</w:t>
      </w:r>
      <w:r w:rsidRPr="009C7AD0">
        <w:rPr>
          <w:rFonts w:eastAsiaTheme="minorEastAsia"/>
          <w:noProof/>
          <w:lang w:eastAsia="en-GB"/>
        </w:rPr>
        <w:tab/>
      </w:r>
      <w:r w:rsidRPr="009C7AD0">
        <w:rPr>
          <w:rFonts w:ascii="Times New Roman" w:hAnsi="Times New Roman"/>
          <w:noProof/>
          <w:u w:val="single"/>
        </w:rPr>
        <w:t>A tábla egyes részeire vonatkozó útmutató</w:t>
      </w:r>
      <w:r w:rsidRPr="009C7AD0">
        <w:rPr>
          <w:noProof/>
        </w:rPr>
        <w:tab/>
        <w:t>13</w:t>
      </w:r>
    </w:p>
    <w:p w14:paraId="54D4CFF4" w14:textId="77777777" w:rsidR="007251CD" w:rsidRPr="009C7AD0" w:rsidRDefault="009C7AD0">
      <w:pPr>
        <w:pStyle w:val="TOC2"/>
        <w:rPr>
          <w:rFonts w:eastAsiaTheme="minorEastAsia"/>
          <w:noProof/>
          <w:lang w:eastAsia="en-GB"/>
        </w:rPr>
      </w:pPr>
      <w:r w:rsidRPr="009C7AD0">
        <w:rPr>
          <w:rFonts w:ascii="Times New Roman" w:hAnsi="Times New Roman"/>
          <w:b/>
          <w:noProof/>
        </w:rPr>
        <w:t>3. LIKVIDITÁSI KÖVETELMÉNYEK</w:t>
      </w:r>
      <w:r w:rsidRPr="009C7AD0">
        <w:rPr>
          <w:noProof/>
        </w:rPr>
        <w:tab/>
        <w:t>17</w:t>
      </w:r>
    </w:p>
    <w:p w14:paraId="033AB2FD" w14:textId="77777777" w:rsidR="007251CD" w:rsidRPr="009C7AD0" w:rsidRDefault="009C7AD0">
      <w:pPr>
        <w:pStyle w:val="TOC2"/>
        <w:rPr>
          <w:rFonts w:eastAsiaTheme="minorEastAsia"/>
          <w:noProof/>
          <w:lang w:eastAsia="en-GB"/>
        </w:rPr>
      </w:pPr>
      <w:r w:rsidRPr="009C7AD0">
        <w:rPr>
          <w:rFonts w:ascii="Times New Roman" w:hAnsi="Times New Roman"/>
          <w:noProof/>
          <w:u w:val="single"/>
        </w:rPr>
        <w:t>3.1. I 09.01 – LIKVIDITÁSI KÖVETELMÉNYEK (I 9.1)</w:t>
      </w:r>
      <w:r w:rsidRPr="009C7AD0">
        <w:rPr>
          <w:noProof/>
        </w:rPr>
        <w:tab/>
        <w:t>17</w:t>
      </w:r>
    </w:p>
    <w:p w14:paraId="7DF1443C" w14:textId="77777777" w:rsidR="007251CD" w:rsidRPr="009C7AD0" w:rsidRDefault="009C7AD0">
      <w:pPr>
        <w:pStyle w:val="TOC2"/>
        <w:rPr>
          <w:rFonts w:eastAsiaTheme="minorEastAsia"/>
          <w:noProof/>
          <w:lang w:eastAsia="en-GB"/>
        </w:rPr>
      </w:pPr>
      <w:r w:rsidRPr="009C7AD0">
        <w:rPr>
          <w:rFonts w:ascii="Times New Roman" w:hAnsi="Times New Roman"/>
          <w:noProof/>
        </w:rPr>
        <w:t>3.1.1.</w:t>
      </w:r>
      <w:r w:rsidRPr="009C7AD0">
        <w:rPr>
          <w:rFonts w:eastAsiaTheme="minorEastAsia"/>
          <w:noProof/>
          <w:lang w:eastAsia="en-GB"/>
        </w:rPr>
        <w:tab/>
      </w:r>
      <w:r w:rsidRPr="009C7AD0">
        <w:rPr>
          <w:rFonts w:ascii="Times New Roman" w:hAnsi="Times New Roman"/>
          <w:noProof/>
          <w:u w:val="single"/>
        </w:rPr>
        <w:t>A tábla egyes részeire vonatkozó útmutató</w:t>
      </w:r>
      <w:r w:rsidRPr="009C7AD0">
        <w:rPr>
          <w:noProof/>
        </w:rPr>
        <w:tab/>
        <w:t>17</w:t>
      </w:r>
      <w:bookmarkStart w:id="6" w:name="_Toc360188322"/>
      <w:bookmarkStart w:id="7" w:name="_Toc473560870"/>
      <w:bookmarkStart w:id="8" w:name="_Toc7084155"/>
    </w:p>
    <w:p w14:paraId="2BD3B813" w14:textId="77777777" w:rsidR="007251CD" w:rsidRPr="009C7AD0" w:rsidRDefault="009C7AD0">
      <w:pPr>
        <w:pStyle w:val="Heading2"/>
        <w:rPr>
          <w:rFonts w:ascii="Times New Roman" w:hAnsi="Times New Roman"/>
        </w:rPr>
      </w:pPr>
      <w:bookmarkStart w:id="9" w:name="_Toc88117821"/>
      <w:r w:rsidRPr="009C7AD0">
        <w:rPr>
          <w:rFonts w:ascii="Times New Roman" w:hAnsi="Times New Roman"/>
        </w:rPr>
        <w:t>I. RÉSZ: ÁLTALÁNOS ÚTMUTATÓ</w:t>
      </w:r>
      <w:bookmarkEnd w:id="9"/>
    </w:p>
    <w:p w14:paraId="74496846" w14:textId="77777777" w:rsidR="007251CD" w:rsidRPr="009C7AD0" w:rsidRDefault="009C7AD0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</w:rPr>
      </w:pPr>
      <w:bookmarkStart w:id="10" w:name="_Toc88117822"/>
      <w:r w:rsidRPr="009C7AD0">
        <w:rPr>
          <w:rFonts w:ascii="Times New Roman" w:hAnsi="Times New Roman"/>
          <w:sz w:val="24"/>
          <w:szCs w:val="24"/>
        </w:rPr>
        <w:t>1. Szerk</w:t>
      </w:r>
      <w:r w:rsidRPr="009C7AD0">
        <w:rPr>
          <w:rFonts w:ascii="Times New Roman" w:hAnsi="Times New Roman"/>
          <w:sz w:val="24"/>
          <w:szCs w:val="24"/>
        </w:rPr>
        <w:t>ezet és szabályok</w:t>
      </w:r>
      <w:bookmarkEnd w:id="10"/>
    </w:p>
    <w:p w14:paraId="3F322830" w14:textId="77777777" w:rsidR="007251CD" w:rsidRPr="009C7AD0" w:rsidRDefault="009C7AD0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1" w:name="_Toc88117823"/>
      <w:r w:rsidRPr="009C7AD0">
        <w:rPr>
          <w:rFonts w:ascii="Times New Roman" w:hAnsi="Times New Roman"/>
          <w:sz w:val="24"/>
          <w:szCs w:val="24"/>
          <w:u w:val="single"/>
        </w:rPr>
        <w:t>1.1. Szerkezet</w:t>
      </w:r>
      <w:bookmarkEnd w:id="11"/>
    </w:p>
    <w:p w14:paraId="023C7C81" w14:textId="77777777" w:rsidR="007251CD" w:rsidRPr="009C7AD0" w:rsidRDefault="009C7AD0">
      <w:pPr>
        <w:spacing w:line="256" w:lineRule="auto"/>
        <w:ind w:left="993" w:hanging="504"/>
        <w:jc w:val="both"/>
        <w:rPr>
          <w:rFonts w:ascii="Times New Roman" w:hAnsi="Times New Roman" w:cs="Times New Roman"/>
        </w:rPr>
      </w:pPr>
      <w:r w:rsidRPr="009C7AD0">
        <w:rPr>
          <w:rFonts w:ascii="Times New Roman" w:hAnsi="Times New Roman" w:cs="Times New Roman"/>
        </w:rPr>
        <w:t>1.</w:t>
      </w:r>
      <w:r w:rsidRPr="009C7AD0">
        <w:rPr>
          <w:rFonts w:ascii="Times New Roman" w:hAnsi="Times New Roman" w:cs="Times New Roman"/>
        </w:rPr>
        <w:tab/>
      </w:r>
      <w:r w:rsidRPr="009C7AD0">
        <w:rPr>
          <w:rFonts w:ascii="Times New Roman" w:hAnsi="Times New Roman"/>
        </w:rPr>
        <w:t>Összességében a keret a következő információcsoportokból áll:</w:t>
      </w:r>
    </w:p>
    <w:p w14:paraId="658103C7" w14:textId="77777777" w:rsidR="007251CD" w:rsidRPr="009C7AD0" w:rsidRDefault="009C7AD0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9C7AD0">
        <w:rPr>
          <w:rFonts w:ascii="Times New Roman" w:hAnsi="Times New Roman" w:cs="Times New Roman"/>
        </w:rPr>
        <w:t>a)</w:t>
      </w:r>
      <w:r w:rsidRPr="009C7AD0">
        <w:rPr>
          <w:rFonts w:ascii="Times New Roman" w:hAnsi="Times New Roman" w:cs="Times New Roman"/>
        </w:rPr>
        <w:tab/>
      </w:r>
      <w:r w:rsidRPr="009C7AD0">
        <w:rPr>
          <w:rFonts w:ascii="Times New Roman" w:hAnsi="Times New Roman"/>
        </w:rPr>
        <w:t>Szavatolótőke;</w:t>
      </w:r>
    </w:p>
    <w:p w14:paraId="217ADBDD" w14:textId="77777777" w:rsidR="007251CD" w:rsidRPr="009C7AD0" w:rsidRDefault="009C7AD0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9C7AD0">
        <w:rPr>
          <w:rFonts w:ascii="Times New Roman" w:hAnsi="Times New Roman" w:cs="Times New Roman"/>
        </w:rPr>
        <w:lastRenderedPageBreak/>
        <w:t>b)</w:t>
      </w:r>
      <w:r w:rsidRPr="009C7AD0">
        <w:rPr>
          <w:rFonts w:ascii="Times New Roman" w:hAnsi="Times New Roman" w:cs="Times New Roman"/>
        </w:rPr>
        <w:tab/>
      </w:r>
      <w:r w:rsidRPr="009C7AD0">
        <w:rPr>
          <w:rFonts w:ascii="Times New Roman" w:hAnsi="Times New Roman"/>
        </w:rPr>
        <w:t>A szavatolótőke-követelmények kiszámítása;</w:t>
      </w:r>
    </w:p>
    <w:p w14:paraId="01516D5A" w14:textId="77777777" w:rsidR="007251CD" w:rsidRPr="009C7AD0" w:rsidRDefault="009C7AD0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9C7AD0">
        <w:rPr>
          <w:rFonts w:ascii="Times New Roman" w:hAnsi="Times New Roman" w:cs="Times New Roman"/>
        </w:rPr>
        <w:t>c)</w:t>
      </w:r>
      <w:r w:rsidRPr="009C7AD0">
        <w:rPr>
          <w:rFonts w:ascii="Times New Roman" w:hAnsi="Times New Roman" w:cs="Times New Roman"/>
        </w:rPr>
        <w:tab/>
      </w:r>
      <w:r w:rsidRPr="009C7AD0">
        <w:rPr>
          <w:rFonts w:ascii="Times New Roman" w:hAnsi="Times New Roman"/>
        </w:rPr>
        <w:t>Az állandó általános költségekre vonatkozó követelmények kiszámítása;</w:t>
      </w:r>
    </w:p>
    <w:p w14:paraId="2BDCD4C9" w14:textId="77777777" w:rsidR="007251CD" w:rsidRPr="009C7AD0" w:rsidRDefault="009C7AD0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9C7AD0">
        <w:rPr>
          <w:rFonts w:ascii="Times New Roman" w:hAnsi="Times New Roman" w:cs="Times New Roman"/>
        </w:rPr>
        <w:t>d)</w:t>
      </w:r>
      <w:r w:rsidRPr="009C7AD0">
        <w:rPr>
          <w:rFonts w:ascii="Times New Roman" w:hAnsi="Times New Roman" w:cs="Times New Roman"/>
        </w:rPr>
        <w:tab/>
      </w:r>
      <w:r w:rsidRPr="009C7AD0">
        <w:rPr>
          <w:rFonts w:ascii="Times New Roman" w:hAnsi="Times New Roman"/>
        </w:rPr>
        <w:t xml:space="preserve">A </w:t>
      </w:r>
      <w:r w:rsidRPr="009C7AD0">
        <w:rPr>
          <w:rFonts w:ascii="Times New Roman" w:hAnsi="Times New Roman"/>
        </w:rPr>
        <w:t>tevékenység mértéke az (EU) 2019/2033 rendelet 12. cikkének (1) bekezdésében meghatározott feltételek szempontjából;</w:t>
      </w:r>
    </w:p>
    <w:p w14:paraId="51DBFA9C" w14:textId="77777777" w:rsidR="007251CD" w:rsidRPr="009C7AD0" w:rsidRDefault="009C7AD0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9C7AD0">
        <w:rPr>
          <w:rFonts w:ascii="Times New Roman" w:hAnsi="Times New Roman" w:cs="Times New Roman"/>
        </w:rPr>
        <w:t>e)</w:t>
      </w:r>
      <w:r w:rsidRPr="009C7AD0">
        <w:rPr>
          <w:rFonts w:ascii="Times New Roman" w:hAnsi="Times New Roman" w:cs="Times New Roman"/>
        </w:rPr>
        <w:tab/>
      </w:r>
      <w:r w:rsidRPr="009C7AD0">
        <w:rPr>
          <w:rFonts w:ascii="Times New Roman" w:hAnsi="Times New Roman"/>
        </w:rPr>
        <w:t>Likviditási követelmények.</w:t>
      </w:r>
    </w:p>
    <w:p w14:paraId="7F2A24F9" w14:textId="77777777" w:rsidR="007251CD" w:rsidRPr="009C7AD0" w:rsidRDefault="009C7AD0">
      <w:pPr>
        <w:pStyle w:val="InstructionsText2"/>
        <w:numPr>
          <w:ilvl w:val="0"/>
          <w:numId w:val="0"/>
        </w:numPr>
        <w:ind w:left="360" w:hanging="360"/>
      </w:pPr>
      <w:r w:rsidRPr="009C7AD0">
        <w:t>2.</w:t>
      </w:r>
      <w:r w:rsidRPr="009C7AD0">
        <w:tab/>
        <w:t>Minden táblához biztosított a jogszabályi hivatkozás. Az egyes táblacsoportok felhasználásával történő ada</w:t>
      </w:r>
      <w:r w:rsidRPr="009C7AD0">
        <w:t>tközlés általános szempontjaival kapcsolatos további részletes információkat, a tábla egyes részeire vonatkozó útmutatót, valamint a validálási szabályokat e rendelet jelen része tartalmazza.</w:t>
      </w:r>
    </w:p>
    <w:p w14:paraId="0ED95501" w14:textId="77777777" w:rsidR="007251CD" w:rsidRPr="009C7AD0" w:rsidRDefault="009C7AD0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2" w:name="_Toc88117824"/>
      <w:r w:rsidRPr="009C7AD0">
        <w:rPr>
          <w:rFonts w:ascii="Times New Roman" w:hAnsi="Times New Roman"/>
          <w:sz w:val="24"/>
          <w:szCs w:val="24"/>
          <w:u w:val="single"/>
        </w:rPr>
        <w:t>1.2. Számozási szabályok</w:t>
      </w:r>
      <w:bookmarkEnd w:id="12"/>
    </w:p>
    <w:p w14:paraId="429EB43F" w14:textId="77777777" w:rsidR="007251CD" w:rsidRPr="009C7AD0" w:rsidRDefault="009C7AD0">
      <w:pPr>
        <w:pStyle w:val="InstructionsText2"/>
        <w:numPr>
          <w:ilvl w:val="0"/>
          <w:numId w:val="0"/>
        </w:numPr>
        <w:ind w:left="360" w:hanging="360"/>
      </w:pPr>
      <w:r w:rsidRPr="009C7AD0">
        <w:t>3.</w:t>
      </w:r>
      <w:r w:rsidRPr="009C7AD0">
        <w:tab/>
        <w:t xml:space="preserve">A táblák oszlopaira, soraira és </w:t>
      </w:r>
      <w:r w:rsidRPr="009C7AD0">
        <w:t>celláira való hivatkozáskor a dokumentum a 4–7. pontban meghatározott jelölési szabályokat követi. Ezeket a számkódokat széles körben használják a validálási szabályokban.</w:t>
      </w:r>
    </w:p>
    <w:p w14:paraId="5D75A728" w14:textId="77777777" w:rsidR="007251CD" w:rsidRPr="009C7AD0" w:rsidRDefault="009C7AD0">
      <w:pPr>
        <w:pStyle w:val="InstructionsText2"/>
        <w:numPr>
          <w:ilvl w:val="0"/>
          <w:numId w:val="0"/>
        </w:numPr>
        <w:ind w:left="360" w:hanging="360"/>
      </w:pPr>
      <w:r w:rsidRPr="009C7AD0">
        <w:t>4.</w:t>
      </w:r>
      <w:r w:rsidRPr="009C7AD0">
        <w:tab/>
        <w:t>Az útmutató a következő általános jelölést követi: {Tábla; Sor; Oszlop}.</w:t>
      </w:r>
    </w:p>
    <w:p w14:paraId="059A944F" w14:textId="77777777" w:rsidR="007251CD" w:rsidRPr="009C7AD0" w:rsidRDefault="009C7AD0">
      <w:pPr>
        <w:pStyle w:val="InstructionsText2"/>
        <w:numPr>
          <w:ilvl w:val="0"/>
          <w:numId w:val="0"/>
        </w:numPr>
        <w:ind w:left="360" w:hanging="360"/>
      </w:pPr>
      <w:r w:rsidRPr="009C7AD0">
        <w:t>5.</w:t>
      </w:r>
      <w:r w:rsidRPr="009C7AD0">
        <w:tab/>
        <w:t>Olyan</w:t>
      </w:r>
      <w:r w:rsidRPr="009C7AD0">
        <w:t xml:space="preserve"> táblán belüli validálás esetén, amelynél az adott táblából csak adatpontokat használunk, a jelölés nem hivatkozik a táblára: {Sor; Oszlop}.</w:t>
      </w:r>
    </w:p>
    <w:p w14:paraId="163847F5" w14:textId="77777777" w:rsidR="007251CD" w:rsidRPr="009C7AD0" w:rsidRDefault="009C7AD0">
      <w:pPr>
        <w:pStyle w:val="InstructionsText2"/>
        <w:numPr>
          <w:ilvl w:val="0"/>
          <w:numId w:val="0"/>
        </w:numPr>
        <w:ind w:left="360" w:hanging="360"/>
      </w:pPr>
      <w:r w:rsidRPr="009C7AD0">
        <w:t>6.</w:t>
      </w:r>
      <w:r w:rsidRPr="009C7AD0">
        <w:tab/>
        <w:t>Az olyan táblák esetében, amelyek csak egy oszlopot tartalmaznak, a jelölés csak a sorokra hivatkozik. {Tábla; S</w:t>
      </w:r>
      <w:r w:rsidRPr="009C7AD0">
        <w:t>or}</w:t>
      </w:r>
    </w:p>
    <w:p w14:paraId="082D50C2" w14:textId="77777777" w:rsidR="007251CD" w:rsidRPr="009C7AD0" w:rsidRDefault="009C7AD0">
      <w:pPr>
        <w:pStyle w:val="InstructionsText2"/>
        <w:numPr>
          <w:ilvl w:val="0"/>
          <w:numId w:val="0"/>
        </w:numPr>
        <w:ind w:left="360" w:hanging="360"/>
      </w:pPr>
      <w:r w:rsidRPr="009C7AD0">
        <w:t>7.</w:t>
      </w:r>
      <w:r w:rsidRPr="009C7AD0">
        <w:tab/>
        <w:t>Csillag jelöli, hogy a validálás a korábban meghatározott sorra vagy oszlopra megtörtént.</w:t>
      </w:r>
    </w:p>
    <w:p w14:paraId="4D7FD248" w14:textId="77777777" w:rsidR="007251CD" w:rsidRPr="009C7AD0" w:rsidRDefault="009C7AD0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3" w:name="_Toc88117825"/>
      <w:r w:rsidRPr="009C7AD0">
        <w:rPr>
          <w:rFonts w:ascii="Times New Roman" w:hAnsi="Times New Roman"/>
          <w:sz w:val="24"/>
          <w:szCs w:val="24"/>
          <w:u w:val="single"/>
        </w:rPr>
        <w:t>1.3. Előjelre vonatkozó szabályok</w:t>
      </w:r>
      <w:bookmarkEnd w:id="13"/>
    </w:p>
    <w:p w14:paraId="3BB2E9A6" w14:textId="77777777" w:rsidR="007251CD" w:rsidRPr="009C7AD0" w:rsidRDefault="009C7AD0">
      <w:pPr>
        <w:pStyle w:val="InstructionsText2"/>
        <w:numPr>
          <w:ilvl w:val="0"/>
          <w:numId w:val="0"/>
        </w:numPr>
        <w:ind w:left="360" w:hanging="360"/>
      </w:pPr>
      <w:r w:rsidRPr="009C7AD0">
        <w:t>8.</w:t>
      </w:r>
      <w:r w:rsidRPr="009C7AD0">
        <w:tab/>
        <w:t>A szavatolótőkét vagy a szavatolótőke-követelményeket vagy a likviditási követelményeket növelő bármely összeget pozitív s</w:t>
      </w:r>
      <w:r w:rsidRPr="009C7AD0">
        <w:t>zámként kell feltüntetni. Ugyanakkor a szavatolótőke teljes összegét vagy a tőkekövetelményeket csökkentő bármely összeget negatív számként kell feltüntetni. Ha egy tétel megjelölése előtt mínuszjel (–) található, akkor az adott tételről nem jelenthető poz</w:t>
      </w:r>
      <w:r w:rsidRPr="009C7AD0">
        <w:t>itív érték.</w:t>
      </w:r>
    </w:p>
    <w:p w14:paraId="59BA68CF" w14:textId="77777777" w:rsidR="007251CD" w:rsidRPr="009C7AD0" w:rsidRDefault="009C7AD0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4" w:name="_Toc76557276"/>
      <w:bookmarkStart w:id="15" w:name="_Toc88117826"/>
      <w:r w:rsidRPr="009C7AD0">
        <w:rPr>
          <w:rFonts w:ascii="Times New Roman" w:hAnsi="Times New Roman"/>
          <w:sz w:val="24"/>
          <w:szCs w:val="24"/>
          <w:u w:val="single"/>
        </w:rPr>
        <w:t>1.4.</w:t>
      </w:r>
      <w:bookmarkEnd w:id="14"/>
      <w:r w:rsidRPr="009C7AD0">
        <w:rPr>
          <w:rFonts w:ascii="Times New Roman" w:hAnsi="Times New Roman"/>
          <w:sz w:val="24"/>
          <w:szCs w:val="24"/>
          <w:u w:val="single"/>
        </w:rPr>
        <w:t xml:space="preserve"> Prudenciális konszolidáció</w:t>
      </w:r>
      <w:bookmarkEnd w:id="15"/>
    </w:p>
    <w:p w14:paraId="5F53AF6E" w14:textId="77777777" w:rsidR="007251CD" w:rsidRPr="009C7AD0" w:rsidRDefault="009C7AD0">
      <w:pPr>
        <w:spacing w:line="256" w:lineRule="auto"/>
        <w:ind w:left="360" w:hanging="360"/>
        <w:jc w:val="both"/>
        <w:rPr>
          <w:rFonts w:ascii="Times New Roman" w:hAnsi="Times New Roman" w:cs="Times New Roman"/>
          <w:sz w:val="24"/>
        </w:rPr>
      </w:pPr>
      <w:r w:rsidRPr="009C7AD0">
        <w:rPr>
          <w:rFonts w:ascii="Times New Roman" w:hAnsi="Times New Roman" w:cs="Times New Roman"/>
          <w:sz w:val="24"/>
        </w:rPr>
        <w:t>9.</w:t>
      </w:r>
      <w:r w:rsidRPr="009C7AD0">
        <w:rPr>
          <w:rFonts w:ascii="Times New Roman" w:hAnsi="Times New Roman" w:cs="Times New Roman"/>
          <w:sz w:val="24"/>
        </w:rPr>
        <w:tab/>
      </w:r>
      <w:r w:rsidRPr="009C7AD0">
        <w:rPr>
          <w:rFonts w:ascii="Times New Roman" w:hAnsi="Times New Roman"/>
          <w:sz w:val="24"/>
        </w:rPr>
        <w:t>Mentesség hiányában az (EU) 2019/2033 rendelet és az (EU) 2019/2034 irányelv egyedi és összevont alapon alkalmazandó a befektetési vállalkozásokra, beleértve az (EU) 2019/2033 rendelet hetedik részében foglalt</w:t>
      </w:r>
      <w:r w:rsidRPr="009C7AD0">
        <w:rPr>
          <w:rFonts w:ascii="Times New Roman" w:hAnsi="Times New Roman"/>
          <w:sz w:val="24"/>
        </w:rPr>
        <w:t xml:space="preserve"> adatszolgáltatási követelményeket is. Az (EU) 2019/2033 rendelet 4. cikke (1) bekezdésének 11. pontja úgy határozza meg az összevont helyzetet, mint olyan helyzetet, amikor az (EU) 2019/2033 rendelet követelményeit úgy alkalmazzák a befektetésivállalkozás</w:t>
      </w:r>
      <w:r w:rsidRPr="009C7AD0">
        <w:rPr>
          <w:rFonts w:ascii="Times New Roman" w:hAnsi="Times New Roman"/>
          <w:sz w:val="24"/>
        </w:rPr>
        <w:t>-csoportra, mintha a csoport tagjai közösen egyetlen befektetési vállalkozást alkotnának. Az (EU) 2019/2033 rendelet 7. cikkének alkalmazását követően a befektetésivállalkozás-csoportoknak valamennyi táblában a – számviteli konszolidációs körrel nem feltét</w:t>
      </w:r>
      <w:r w:rsidRPr="009C7AD0">
        <w:rPr>
          <w:rFonts w:ascii="Times New Roman" w:hAnsi="Times New Roman"/>
          <w:sz w:val="24"/>
        </w:rPr>
        <w:t>lenül megegyező – prudenciális konszolidációs körnek megfelelően kell eleget tenniük az adatszolgáltatási követelményeknek.</w:t>
      </w:r>
    </w:p>
    <w:p w14:paraId="287DEDD2" w14:textId="77777777" w:rsidR="007251CD" w:rsidRPr="009C7AD0" w:rsidRDefault="009C7AD0">
      <w:pPr>
        <w:pStyle w:val="Heading2"/>
        <w:rPr>
          <w:rFonts w:ascii="Times New Roman" w:hAnsi="Times New Roman"/>
        </w:rPr>
      </w:pPr>
      <w:bookmarkStart w:id="16" w:name="_Toc88117827"/>
      <w:r w:rsidRPr="009C7AD0">
        <w:rPr>
          <w:rFonts w:ascii="Times New Roman" w:hAnsi="Times New Roman"/>
        </w:rPr>
        <w:lastRenderedPageBreak/>
        <w:t>II. RÉSZ: A TÁBLÁKHOZ KAPCSOLÓDÓ ÚTMUTATÓ</w:t>
      </w:r>
      <w:bookmarkEnd w:id="6"/>
      <w:bookmarkEnd w:id="7"/>
      <w:bookmarkEnd w:id="8"/>
      <w:bookmarkEnd w:id="16"/>
    </w:p>
    <w:p w14:paraId="0219697C" w14:textId="77777777" w:rsidR="007251CD" w:rsidRPr="009C7AD0" w:rsidRDefault="009C7AD0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</w:rPr>
      </w:pPr>
      <w:bookmarkStart w:id="17" w:name="_Toc88117828"/>
      <w:r w:rsidRPr="009C7AD0">
        <w:rPr>
          <w:rFonts w:ascii="Times New Roman" w:hAnsi="Times New Roman"/>
          <w:b/>
          <w:sz w:val="24"/>
          <w:u w:val="none"/>
        </w:rPr>
        <w:t>1. SZAVATOLÓTŐKE: SZINT, ÖSSZETÉTEL, KÖVETELMÉNYEK ÉS SZÁMÍTÁS</w:t>
      </w:r>
      <w:bookmarkEnd w:id="17"/>
    </w:p>
    <w:p w14:paraId="23F06582" w14:textId="77777777" w:rsidR="007251CD" w:rsidRPr="009C7AD0" w:rsidRDefault="009C7AD0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18" w:name="_Toc88117829"/>
      <w:r w:rsidRPr="009C7AD0">
        <w:rPr>
          <w:rFonts w:ascii="Times New Roman" w:hAnsi="Times New Roman"/>
          <w:sz w:val="24"/>
        </w:rPr>
        <w:t>1.1. Általános megjegyzések</w:t>
      </w:r>
      <w:bookmarkEnd w:id="18"/>
    </w:p>
    <w:p w14:paraId="5872ED31" w14:textId="77777777" w:rsidR="007251CD" w:rsidRPr="009C7AD0" w:rsidRDefault="009C7AD0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9C7AD0">
        <w:rPr>
          <w:rFonts w:ascii="Times New Roman" w:hAnsi="Times New Roman" w:cs="Times New Roman"/>
          <w:sz w:val="24"/>
        </w:rPr>
        <w:t>10.</w:t>
      </w:r>
      <w:r w:rsidRPr="009C7AD0">
        <w:rPr>
          <w:rFonts w:ascii="Times New Roman" w:hAnsi="Times New Roman" w:cs="Times New Roman"/>
          <w:sz w:val="24"/>
        </w:rPr>
        <w:tab/>
      </w:r>
      <w:r w:rsidRPr="009C7AD0">
        <w:rPr>
          <w:rFonts w:ascii="Times New Roman" w:hAnsi="Times New Roman"/>
          <w:sz w:val="24"/>
        </w:rPr>
        <w:t>A szavatolótőke áttekintéséről szóló szakasz információkat tartalmaz a befektetési vállalkozás szavatolótőkéjéről és szavatolótőke-követelményeiről. A szakasz két táblából áll:</w:t>
      </w:r>
    </w:p>
    <w:p w14:paraId="4C024DC9" w14:textId="77777777" w:rsidR="007251CD" w:rsidRPr="009C7AD0" w:rsidRDefault="009C7AD0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9C7AD0">
        <w:rPr>
          <w:rFonts w:ascii="Times New Roman" w:hAnsi="Times New Roman" w:cs="Times New Roman"/>
          <w:sz w:val="24"/>
        </w:rPr>
        <w:t>a)</w:t>
      </w:r>
      <w:r w:rsidRPr="009C7AD0">
        <w:rPr>
          <w:rFonts w:ascii="Times New Roman" w:hAnsi="Times New Roman" w:cs="Times New Roman"/>
          <w:sz w:val="24"/>
        </w:rPr>
        <w:tab/>
      </w:r>
      <w:r w:rsidRPr="009C7AD0">
        <w:rPr>
          <w:rFonts w:ascii="Times New Roman" w:hAnsi="Times New Roman"/>
          <w:sz w:val="24"/>
        </w:rPr>
        <w:t>Az I 01.01 tábla a befektetési vállalkozás szavatolótőkéjének összetéte</w:t>
      </w:r>
      <w:r w:rsidRPr="009C7AD0">
        <w:rPr>
          <w:rFonts w:ascii="Times New Roman" w:hAnsi="Times New Roman"/>
          <w:sz w:val="24"/>
        </w:rPr>
        <w:t>lét tartalmazza: elsődleges alapvető tőke (CET1), kiegészítő alapvető tőke (AT1) és járulékos tőke (T2).</w:t>
      </w:r>
    </w:p>
    <w:p w14:paraId="0F6F01D2" w14:textId="77777777" w:rsidR="007251CD" w:rsidRPr="009C7AD0" w:rsidRDefault="009C7AD0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9C7AD0">
        <w:rPr>
          <w:rFonts w:ascii="Times New Roman" w:hAnsi="Times New Roman" w:cs="Times New Roman"/>
          <w:sz w:val="24"/>
        </w:rPr>
        <w:t>b)</w:t>
      </w:r>
      <w:r w:rsidRPr="009C7AD0">
        <w:rPr>
          <w:rFonts w:ascii="Times New Roman" w:hAnsi="Times New Roman" w:cs="Times New Roman"/>
          <w:sz w:val="24"/>
        </w:rPr>
        <w:tab/>
      </w:r>
      <w:r w:rsidRPr="009C7AD0">
        <w:rPr>
          <w:rFonts w:ascii="Times New Roman" w:hAnsi="Times New Roman"/>
          <w:sz w:val="24"/>
        </w:rPr>
        <w:t xml:space="preserve">Az I 02.03 és I 02.04 tábla tartalmazza a teljes szavatolótőke-követelményt, az állandó minimális tőkekövetelményt, az állandó általános </w:t>
      </w:r>
      <w:r w:rsidRPr="009C7AD0">
        <w:rPr>
          <w:rFonts w:ascii="Times New Roman" w:hAnsi="Times New Roman"/>
          <w:sz w:val="24"/>
        </w:rPr>
        <w:t>költségekre vonatkozó követelményt és az esetleges kiegészítő szavatolótőke-követelményt és iránymutatást, valamint az átmeneti szavatolótőke-követelményt és tőkemegfelelési mutatókat.</w:t>
      </w:r>
    </w:p>
    <w:p w14:paraId="30A59B0C" w14:textId="77777777" w:rsidR="007251CD" w:rsidRPr="009C7AD0" w:rsidRDefault="009C7AD0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9C7AD0">
        <w:rPr>
          <w:rFonts w:ascii="Times New Roman" w:hAnsi="Times New Roman" w:cs="Times New Roman"/>
          <w:sz w:val="24"/>
        </w:rPr>
        <w:t>c)</w:t>
      </w:r>
      <w:r w:rsidRPr="009C7AD0">
        <w:rPr>
          <w:rFonts w:ascii="Times New Roman" w:hAnsi="Times New Roman" w:cs="Times New Roman"/>
          <w:sz w:val="24"/>
        </w:rPr>
        <w:tab/>
      </w:r>
      <w:r w:rsidRPr="009C7AD0">
        <w:rPr>
          <w:rFonts w:ascii="Times New Roman" w:hAnsi="Times New Roman"/>
          <w:sz w:val="24"/>
        </w:rPr>
        <w:t>Az I 03.01 tábla az állandó általános költségekre vonatkozó követelm</w:t>
      </w:r>
      <w:r w:rsidRPr="009C7AD0">
        <w:rPr>
          <w:rFonts w:ascii="Times New Roman" w:hAnsi="Times New Roman"/>
          <w:sz w:val="24"/>
        </w:rPr>
        <w:t>ény kiszámításával kapcsolatos információkat tartalmaz.</w:t>
      </w:r>
    </w:p>
    <w:p w14:paraId="5C39F951" w14:textId="77777777" w:rsidR="007251CD" w:rsidRPr="009C7AD0" w:rsidRDefault="009C7AD0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9C7AD0">
        <w:rPr>
          <w:rFonts w:ascii="Times New Roman" w:hAnsi="Times New Roman" w:cs="Times New Roman"/>
          <w:sz w:val="24"/>
        </w:rPr>
        <w:t>11.</w:t>
      </w:r>
      <w:r w:rsidRPr="009C7AD0">
        <w:rPr>
          <w:rFonts w:ascii="Times New Roman" w:hAnsi="Times New Roman" w:cs="Times New Roman"/>
          <w:sz w:val="24"/>
        </w:rPr>
        <w:tab/>
      </w:r>
      <w:r w:rsidRPr="009C7AD0">
        <w:rPr>
          <w:rFonts w:ascii="Times New Roman" w:hAnsi="Times New Roman"/>
          <w:sz w:val="24"/>
        </w:rPr>
        <w:t>E táblák tételei bruttó módon, az átmeneti kiigazítások előtti értéken szerepelnek. Ez azt jelenti, hogy a számadatokat (kivéve, ha az átmeneti szavatolótőke-követelmény kifejezetten szerepel) a z</w:t>
      </w:r>
      <w:r w:rsidRPr="009C7AD0">
        <w:rPr>
          <w:rFonts w:ascii="Times New Roman" w:hAnsi="Times New Roman"/>
          <w:sz w:val="24"/>
        </w:rPr>
        <w:t>áró rendelkezéseknek megfelelően számítják ki (azaz úgy, mintha nem léteznének átmeneti rendelkezések).</w:t>
      </w:r>
    </w:p>
    <w:p w14:paraId="371E9016" w14:textId="77777777" w:rsidR="007251CD" w:rsidRPr="009C7AD0" w:rsidRDefault="009C7AD0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19" w:name="_Toc88117830"/>
      <w:r w:rsidRPr="009C7AD0">
        <w:rPr>
          <w:rFonts w:ascii="Times New Roman" w:hAnsi="Times New Roman"/>
          <w:sz w:val="24"/>
          <w:u w:val="none"/>
        </w:rPr>
        <w:t xml:space="preserve">1.2. </w:t>
      </w:r>
      <w:r w:rsidRPr="009C7AD0">
        <w:rPr>
          <w:rFonts w:ascii="Times New Roman" w:hAnsi="Times New Roman"/>
          <w:sz w:val="24"/>
        </w:rPr>
        <w:t>I 01.01 – A SZAVATOLÓTŐKE ÖSSZETÉTELE (I 1.1)</w:t>
      </w:r>
      <w:bookmarkEnd w:id="19"/>
    </w:p>
    <w:p w14:paraId="2A8A78E8" w14:textId="77777777" w:rsidR="007251CD" w:rsidRPr="009C7AD0" w:rsidRDefault="009C7AD0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20" w:name="_Toc88117831"/>
      <w:r w:rsidRPr="009C7AD0">
        <w:rPr>
          <w:rFonts w:ascii="Times New Roman" w:hAnsi="Times New Roman"/>
          <w:sz w:val="24"/>
          <w:u w:val="none"/>
        </w:rPr>
        <w:t>1.2.1.</w:t>
      </w:r>
      <w:r w:rsidRPr="009C7AD0">
        <w:tab/>
      </w:r>
      <w:r w:rsidRPr="009C7AD0">
        <w:rPr>
          <w:rFonts w:ascii="Times New Roman" w:hAnsi="Times New Roman"/>
          <w:sz w:val="24"/>
        </w:rPr>
        <w:t>A tábla egyes részeire vonatkozó útmutató</w:t>
      </w:r>
      <w:bookmarkEnd w:id="20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7251CD" w:rsidRPr="009C7AD0" w14:paraId="78B7C912" w14:textId="77777777">
        <w:tc>
          <w:tcPr>
            <w:tcW w:w="1129" w:type="dxa"/>
            <w:shd w:val="clear" w:color="auto" w:fill="D9D9D9"/>
          </w:tcPr>
          <w:p w14:paraId="1D4D18C0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</w:rPr>
              <w:t>Sor</w:t>
            </w:r>
          </w:p>
        </w:tc>
        <w:tc>
          <w:tcPr>
            <w:tcW w:w="7620" w:type="dxa"/>
            <w:shd w:val="clear" w:color="auto" w:fill="D9D9D9"/>
          </w:tcPr>
          <w:p w14:paraId="31BB47A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</w:rPr>
              <w:t>Jogszabályi hivatkozások és útmutató</w:t>
            </w:r>
          </w:p>
        </w:tc>
      </w:tr>
      <w:tr w:rsidR="007251CD" w:rsidRPr="009C7AD0" w14:paraId="44CDF50B" w14:textId="77777777">
        <w:tc>
          <w:tcPr>
            <w:tcW w:w="1129" w:type="dxa"/>
          </w:tcPr>
          <w:p w14:paraId="3DA9B2B9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323A2E5C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SZAVATOLÓTŐKE</w:t>
            </w:r>
          </w:p>
          <w:p w14:paraId="7D116060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9. cikkének (1) bekezdése.</w:t>
            </w:r>
          </w:p>
          <w:p w14:paraId="1EAB44BA" w14:textId="77777777" w:rsidR="007251CD" w:rsidRPr="009C7AD0" w:rsidRDefault="009C7AD0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C7AD0">
              <w:rPr>
                <w:rStyle w:val="FormatvorlageInstructionsTabelleText"/>
                <w:rFonts w:ascii="Times New Roman" w:hAnsi="Times New Roman"/>
                <w:sz w:val="22"/>
              </w:rPr>
              <w:t>Egy befektetési vállalkozás szavatolótőkéje az alapvető tőkéjének és a járulékos tőkéjének összegéből áll.</w:t>
            </w:r>
          </w:p>
          <w:p w14:paraId="2B78652B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>A 0020. és 0380. sorok teljes összegét kell megadni.</w:t>
            </w:r>
          </w:p>
        </w:tc>
      </w:tr>
      <w:tr w:rsidR="007251CD" w:rsidRPr="009C7AD0" w14:paraId="769F9B93" w14:textId="77777777">
        <w:tc>
          <w:tcPr>
            <w:tcW w:w="1129" w:type="dxa"/>
          </w:tcPr>
          <w:p w14:paraId="2C3E7958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73C1F058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 xml:space="preserve">ALAPVETŐ TŐKE </w:t>
            </w:r>
            <w:r w:rsidRPr="009C7AD0">
              <w:rPr>
                <w:rFonts w:ascii="Times New Roman" w:hAnsi="Times New Roman"/>
                <w:b/>
                <w:bCs/>
                <w:u w:val="single"/>
              </w:rPr>
              <w:t>(TIER 1 TŐKE)</w:t>
            </w:r>
          </w:p>
          <w:p w14:paraId="722E55D4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Style w:val="FormatvorlageInstructionsTabelleText"/>
                <w:rFonts w:ascii="Times New Roman" w:hAnsi="Times New Roman"/>
                <w:sz w:val="22"/>
              </w:rPr>
              <w:t>Az alapvető tőke az elsődleges alapvető tőke és a kiegészítő alapvető tőke összege.</w:t>
            </w:r>
          </w:p>
        </w:tc>
      </w:tr>
      <w:tr w:rsidR="007251CD" w:rsidRPr="009C7AD0" w14:paraId="7D14480E" w14:textId="77777777">
        <w:tc>
          <w:tcPr>
            <w:tcW w:w="1129" w:type="dxa"/>
          </w:tcPr>
          <w:p w14:paraId="64205674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47A18A50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Style w:val="InstructionsTabelleberschrift"/>
                <w:rFonts w:ascii="Times New Roman" w:hAnsi="Times New Roman"/>
                <w:sz w:val="22"/>
              </w:rPr>
              <w:t>ELSŐDLEGES ALAPVETŐ TŐKE (CET1)</w:t>
            </w:r>
          </w:p>
          <w:p w14:paraId="1B4407AA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9. cikkének (1) bekezdése.</w:t>
            </w:r>
          </w:p>
          <w:p w14:paraId="1BE6CE1D" w14:textId="77777777" w:rsidR="007251CD" w:rsidRPr="009C7AD0" w:rsidRDefault="009C7AD0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C7AD0">
              <w:rPr>
                <w:rStyle w:val="FormatvorlageInstructionsTabelleText"/>
                <w:rFonts w:ascii="Times New Roman" w:hAnsi="Times New Roman"/>
                <w:sz w:val="22"/>
              </w:rPr>
              <w:t>Az 575/2013/EU rendelet 50. cikke.</w:t>
            </w:r>
          </w:p>
          <w:p w14:paraId="007E01B6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 0040–0060., 0090–0140. és a 0</w:t>
            </w:r>
            <w:r w:rsidRPr="009C7AD0">
              <w:rPr>
                <w:rFonts w:ascii="Times New Roman" w:hAnsi="Times New Roman"/>
                <w:bCs/>
              </w:rPr>
              <w:t>290. sorok teljes összegét kell megadni.</w:t>
            </w:r>
          </w:p>
        </w:tc>
      </w:tr>
      <w:tr w:rsidR="007251CD" w:rsidRPr="009C7AD0" w14:paraId="57D2ED06" w14:textId="77777777">
        <w:tc>
          <w:tcPr>
            <w:tcW w:w="1129" w:type="dxa"/>
          </w:tcPr>
          <w:p w14:paraId="0E1D2FFC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10C68EF9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Teljes egészében befizetett tőkeinstrumentumok</w:t>
            </w:r>
          </w:p>
          <w:p w14:paraId="2C67915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9. cikke (1) bekezdésének i. pontja.</w:t>
            </w:r>
          </w:p>
          <w:p w14:paraId="1C3EA65F" w14:textId="77777777" w:rsidR="007251CD" w:rsidRPr="009C7AD0" w:rsidRDefault="009C7AD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C7AD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575/2013/EU rendelet 26. cikke (1) bekezdésének a) pontja és 27–31. cikke.</w:t>
            </w:r>
          </w:p>
          <w:p w14:paraId="2A814B1A" w14:textId="77777777" w:rsidR="007251CD" w:rsidRPr="009C7AD0" w:rsidRDefault="009C7AD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C7AD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lastRenderedPageBreak/>
              <w:t xml:space="preserve">Magában </w:t>
            </w:r>
            <w:r w:rsidRPr="009C7AD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foglalja a kölcsönös biztosítók, szövetkezeti társaságok és hasonló intézmények tőkeinstrumentumait (az 575/2013/EU rendelet 27. és 29. cikke).</w:t>
            </w:r>
          </w:p>
          <w:p w14:paraId="3D2AEDF3" w14:textId="77777777" w:rsidR="007251CD" w:rsidRPr="009C7AD0" w:rsidRDefault="009C7AD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C7AD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Nem tartalmazza az instrumentumokhoz kapcsolódó ázsiót.</w:t>
            </w:r>
          </w:p>
          <w:p w14:paraId="32F76463" w14:textId="77777777" w:rsidR="007251CD" w:rsidRPr="009C7AD0" w:rsidRDefault="009C7AD0">
            <w:pPr>
              <w:pStyle w:val="InstructionsText"/>
              <w:rPr>
                <w:sz w:val="22"/>
                <w:szCs w:val="22"/>
              </w:rPr>
            </w:pPr>
            <w:r w:rsidRPr="009C7AD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 szükséghelyzetekben állami hatóságok által lejegyzett </w:t>
            </w:r>
            <w:r w:rsidRPr="009C7AD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tőkeinstrumentumokat akkor tartalmazza, ha az 575/2013/EU rendelet 31. cikkében foglalt minden feltétel teljesül.</w:t>
            </w:r>
          </w:p>
        </w:tc>
      </w:tr>
      <w:tr w:rsidR="007251CD" w:rsidRPr="009C7AD0" w14:paraId="6ECEB6AE" w14:textId="77777777">
        <w:tc>
          <w:tcPr>
            <w:tcW w:w="1129" w:type="dxa"/>
          </w:tcPr>
          <w:p w14:paraId="51DBEED2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lastRenderedPageBreak/>
              <w:t>0050</w:t>
            </w:r>
          </w:p>
        </w:tc>
        <w:tc>
          <w:tcPr>
            <w:tcW w:w="7620" w:type="dxa"/>
          </w:tcPr>
          <w:p w14:paraId="7D65E0DA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Ázsió</w:t>
            </w:r>
          </w:p>
          <w:p w14:paraId="487000FB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9. cikke (1) bekezdésének i. pontja.</w:t>
            </w:r>
          </w:p>
          <w:p w14:paraId="0BE28BB5" w14:textId="77777777" w:rsidR="007251CD" w:rsidRPr="009C7AD0" w:rsidRDefault="009C7AD0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C7AD0">
              <w:rPr>
                <w:rStyle w:val="FormatvorlageInstructionsTabelleText"/>
                <w:rFonts w:ascii="Times New Roman" w:hAnsi="Times New Roman"/>
                <w:sz w:val="22"/>
              </w:rPr>
              <w:t xml:space="preserve">Az 575/2013/EU rendelet 26. cikke (1) bekezdésének b) </w:t>
            </w:r>
            <w:r w:rsidRPr="009C7AD0">
              <w:rPr>
                <w:rStyle w:val="FormatvorlageInstructionsTabelleText"/>
                <w:rFonts w:ascii="Times New Roman" w:hAnsi="Times New Roman"/>
                <w:sz w:val="22"/>
              </w:rPr>
              <w:t>pontja.</w:t>
            </w:r>
          </w:p>
          <w:p w14:paraId="0D164F29" w14:textId="77777777" w:rsidR="007251CD" w:rsidRPr="009C7AD0" w:rsidRDefault="009C7AD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C7AD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ázsió jelentése egyezik az alkalmazandó számviteli szabályozás szerinti jelentéssel.</w:t>
            </w:r>
          </w:p>
          <w:p w14:paraId="2BE79869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Style w:val="FormatvorlageInstructionsTabelleText"/>
                <w:rFonts w:ascii="Times New Roman" w:hAnsi="Times New Roman"/>
                <w:sz w:val="22"/>
              </w:rPr>
              <w:t>Az ebben az elemben feltüntetendő érték a „Befizetett tőkeinstrumentumok”-hoz kapcsolódó rész.</w:t>
            </w:r>
          </w:p>
        </w:tc>
      </w:tr>
      <w:tr w:rsidR="007251CD" w:rsidRPr="009C7AD0" w14:paraId="34D306E6" w14:textId="77777777">
        <w:tc>
          <w:tcPr>
            <w:tcW w:w="1129" w:type="dxa"/>
          </w:tcPr>
          <w:p w14:paraId="0B43167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27C0AFD0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Eredménytartalék</w:t>
            </w:r>
          </w:p>
          <w:p w14:paraId="26259256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9. cikke (1) be</w:t>
            </w:r>
            <w:r w:rsidRPr="009C7AD0">
              <w:rPr>
                <w:rFonts w:ascii="Times New Roman" w:hAnsi="Times New Roman"/>
                <w:bCs/>
              </w:rPr>
              <w:t>kezdésének i. pontja.</w:t>
            </w:r>
          </w:p>
          <w:p w14:paraId="0A6BA392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Style w:val="FormatvorlageInstructionsTabelleText"/>
                <w:rFonts w:ascii="Times New Roman" w:hAnsi="Times New Roman"/>
                <w:sz w:val="22"/>
              </w:rPr>
              <w:t>Az 575/2013/EU rendelet 26. cikke (1) bekezdésének c) pontja.</w:t>
            </w:r>
          </w:p>
          <w:p w14:paraId="5E6EBF9A" w14:textId="77777777" w:rsidR="007251CD" w:rsidRPr="009C7AD0" w:rsidRDefault="009C7AD0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C7AD0">
              <w:rPr>
                <w:rStyle w:val="FormatvorlageInstructionsTabelleText"/>
                <w:rFonts w:ascii="Times New Roman" w:hAnsi="Times New Roman"/>
                <w:sz w:val="22"/>
              </w:rPr>
              <w:t>Az eredménytartalék az előző évi eredménytartalékot és a figyelembe vehető évközi vagy év végi nyereséget foglalja magában.</w:t>
            </w:r>
          </w:p>
          <w:p w14:paraId="59B94D30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>A 0070. és 0080. sorok teljes összegét kell mega</w:t>
            </w:r>
            <w:r w:rsidRPr="009C7AD0">
              <w:rPr>
                <w:rFonts w:ascii="Times New Roman" w:hAnsi="Times New Roman"/>
                <w:bCs/>
              </w:rPr>
              <w:t>dni.</w:t>
            </w:r>
          </w:p>
        </w:tc>
      </w:tr>
      <w:tr w:rsidR="007251CD" w:rsidRPr="009C7AD0" w14:paraId="11183477" w14:textId="77777777">
        <w:tc>
          <w:tcPr>
            <w:tcW w:w="1129" w:type="dxa"/>
          </w:tcPr>
          <w:p w14:paraId="1EBC84F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</w:tcPr>
          <w:p w14:paraId="4144CDCB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Előző évek eredménytartaléka</w:t>
            </w:r>
          </w:p>
          <w:p w14:paraId="0797C016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C7AD0">
              <w:rPr>
                <w:rFonts w:ascii="Times New Roman" w:hAnsi="Times New Roman"/>
              </w:rPr>
              <w:t>Az 575/2013/EU rendelet 4. cikke (1) bekezdésének 123. pontja és 26. cikke (1) bekezdésének c) pontja.</w:t>
            </w:r>
          </w:p>
          <w:p w14:paraId="63B0CF93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</w:rPr>
              <w:t xml:space="preserve">Az 575/2013/EU rendelet 4. cikke (1) bekezdésének 123. pontja szerint az eredménytartalék „az </w:t>
            </w:r>
            <w:r w:rsidRPr="009C7AD0">
              <w:rPr>
                <w:rFonts w:ascii="Times New Roman" w:hAnsi="Times New Roman"/>
              </w:rPr>
              <w:t>alkalmazandó számviteli szabályozás alapján az eredmény végső alkalmazásának következtében áthozott eredmény”.</w:t>
            </w:r>
          </w:p>
        </w:tc>
      </w:tr>
      <w:tr w:rsidR="007251CD" w:rsidRPr="009C7AD0" w14:paraId="7B6C9C2B" w14:textId="77777777">
        <w:tc>
          <w:tcPr>
            <w:tcW w:w="1129" w:type="dxa"/>
          </w:tcPr>
          <w:p w14:paraId="68A16895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</w:tcPr>
          <w:p w14:paraId="1336148B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Figyelembe vehető nyereség</w:t>
            </w:r>
          </w:p>
          <w:p w14:paraId="1CBEC80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C7AD0">
              <w:rPr>
                <w:rFonts w:ascii="Times New Roman" w:hAnsi="Times New Roman"/>
              </w:rPr>
              <w:t xml:space="preserve">Az 575/2013/EU rendelet 4. cikke (1) bekezdésének 121. pontja, 26. cikkének (2) bekezdése és 36. cikke (1) </w:t>
            </w:r>
            <w:r w:rsidRPr="009C7AD0">
              <w:rPr>
                <w:rFonts w:ascii="Times New Roman" w:hAnsi="Times New Roman"/>
              </w:rPr>
              <w:t>bekezdésének a) pontja.</w:t>
            </w:r>
          </w:p>
          <w:p w14:paraId="5E0B87FB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</w:rPr>
              <w:t>Az 575/2013/EU rendelet 26. cikkének (2) bekezdése bizonyos feltételek teljesülése esetén megengedi az évközi vagy év végi nyereségnek az eredménytartalékba történő beszámítását, ha azt az illetékes hatóságok előzetesen engedélyezik</w:t>
            </w:r>
            <w:r w:rsidRPr="009C7AD0">
              <w:rPr>
                <w:rFonts w:ascii="Times New Roman" w:hAnsi="Times New Roman"/>
              </w:rPr>
              <w:t xml:space="preserve">. </w:t>
            </w:r>
          </w:p>
        </w:tc>
      </w:tr>
      <w:tr w:rsidR="007251CD" w:rsidRPr="009C7AD0" w14:paraId="6D16432F" w14:textId="77777777">
        <w:tc>
          <w:tcPr>
            <w:tcW w:w="1129" w:type="dxa"/>
          </w:tcPr>
          <w:p w14:paraId="10B024B8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507D6D80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Halmozott egyéb átfogó jövedelem</w:t>
            </w:r>
          </w:p>
          <w:p w14:paraId="76DEAC5A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9. cikke (1) bekezdésének i. pontja.</w:t>
            </w:r>
          </w:p>
          <w:p w14:paraId="5786E544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C7AD0">
              <w:rPr>
                <w:rStyle w:val="FormatvorlageInstructionsTabelleText"/>
                <w:rFonts w:ascii="Times New Roman" w:hAnsi="Times New Roman"/>
                <w:sz w:val="22"/>
              </w:rPr>
              <w:t>Az 575/2013/EU rendelet 26. cikke (1) bekezdésének d) pontja.</w:t>
            </w:r>
          </w:p>
        </w:tc>
      </w:tr>
      <w:tr w:rsidR="007251CD" w:rsidRPr="009C7AD0" w14:paraId="7D682C5A" w14:textId="77777777">
        <w:tc>
          <w:tcPr>
            <w:tcW w:w="1129" w:type="dxa"/>
          </w:tcPr>
          <w:p w14:paraId="0A1C47FB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</w:tcPr>
          <w:p w14:paraId="7A021CDB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Egyéb tartalékok</w:t>
            </w:r>
          </w:p>
          <w:p w14:paraId="3E19F1FF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9. cikke (1) bekezdésének i. pontja.</w:t>
            </w:r>
          </w:p>
          <w:p w14:paraId="0465A7F8" w14:textId="77777777" w:rsidR="007251CD" w:rsidRPr="009C7AD0" w:rsidRDefault="009C7AD0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C7AD0">
              <w:rPr>
                <w:rStyle w:val="FormatvorlageInstructionsTabelleText"/>
                <w:rFonts w:ascii="Times New Roman" w:hAnsi="Times New Roman"/>
                <w:sz w:val="22"/>
              </w:rPr>
              <w:t>A</w:t>
            </w:r>
            <w:r w:rsidRPr="009C7AD0">
              <w:rPr>
                <w:rStyle w:val="FormatvorlageInstructionsTabelleText"/>
                <w:rFonts w:ascii="Times New Roman" w:hAnsi="Times New Roman"/>
                <w:sz w:val="22"/>
              </w:rPr>
              <w:t>z 575/2013/EU rendelet 4. cikke (1) bekezdésének 117. pontja és 26. cikke (1) bekezdésének e) pontja.</w:t>
            </w:r>
          </w:p>
          <w:p w14:paraId="4AE990E3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Style w:val="FormatvorlageInstructionsTabelleText"/>
                <w:rFonts w:ascii="Times New Roman" w:hAnsi="Times New Roman"/>
                <w:sz w:val="22"/>
              </w:rPr>
              <w:t>A feltüntetendő érték a kiszámítás időpontjában előre látható adóterhek levonásával kapott összeg.</w:t>
            </w:r>
          </w:p>
        </w:tc>
      </w:tr>
      <w:tr w:rsidR="007251CD" w:rsidRPr="009C7AD0" w14:paraId="65714FA5" w14:textId="77777777">
        <w:tc>
          <w:tcPr>
            <w:tcW w:w="1129" w:type="dxa"/>
          </w:tcPr>
          <w:p w14:paraId="207A7B5F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  <w:shd w:val="clear" w:color="auto" w:fill="auto"/>
          </w:tcPr>
          <w:p w14:paraId="15DBBCF6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Az elsődleges alapvető tőkében (CET1) megjeleníte</w:t>
            </w:r>
            <w:r w:rsidRPr="009C7AD0">
              <w:rPr>
                <w:rFonts w:ascii="Times New Roman" w:hAnsi="Times New Roman"/>
                <w:b/>
                <w:bCs/>
                <w:u w:val="single"/>
              </w:rPr>
              <w:t>tt kisebbségi részesedés</w:t>
            </w:r>
          </w:p>
          <w:p w14:paraId="29ECEDDA" w14:textId="77777777" w:rsidR="007251CD" w:rsidRPr="009C7AD0" w:rsidRDefault="009C7AD0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C7AD0">
              <w:rPr>
                <w:rStyle w:val="FormatvorlageInstructionsTabelleText"/>
                <w:rFonts w:ascii="Times New Roman" w:hAnsi="Times New Roman"/>
                <w:sz w:val="22"/>
              </w:rPr>
              <w:t>Az 575/2013/EU rendelet 84. cikkének (1) bekezdése, 85. cikkének (1) bekezdése és 87. cikkének (1) bekezdése.</w:t>
            </w:r>
          </w:p>
          <w:p w14:paraId="016D9ECA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Style w:val="FormatvorlageInstructionsTabelleText"/>
                <w:rFonts w:ascii="Times New Roman" w:hAnsi="Times New Roman"/>
                <w:sz w:val="22"/>
              </w:rPr>
              <w:lastRenderedPageBreak/>
              <w:t>A leányvállalatok összes kisebbségi részesedésének a konszolidált CET1 tőkébe beszámított összege.</w:t>
            </w:r>
          </w:p>
        </w:tc>
      </w:tr>
      <w:tr w:rsidR="007251CD" w:rsidRPr="009C7AD0" w14:paraId="6E0737B1" w14:textId="77777777">
        <w:tc>
          <w:tcPr>
            <w:tcW w:w="1129" w:type="dxa"/>
          </w:tcPr>
          <w:p w14:paraId="470969D9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lastRenderedPageBreak/>
              <w:t>0120</w:t>
            </w:r>
          </w:p>
        </w:tc>
        <w:tc>
          <w:tcPr>
            <w:tcW w:w="7620" w:type="dxa"/>
            <w:shd w:val="clear" w:color="auto" w:fill="auto"/>
          </w:tcPr>
          <w:p w14:paraId="4F2E8744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Prudenciális szűrők miatt végrehajtott kiigazítások az elsődleges alapvető tőkében (CET1)</w:t>
            </w:r>
          </w:p>
          <w:p w14:paraId="470828F3" w14:textId="77777777" w:rsidR="007251CD" w:rsidRPr="009C7AD0" w:rsidRDefault="009C7AD0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C7AD0">
              <w:rPr>
                <w:rStyle w:val="FormatvorlageInstructionsTabelleText"/>
                <w:rFonts w:ascii="Times New Roman" w:hAnsi="Times New Roman"/>
                <w:sz w:val="22"/>
              </w:rPr>
              <w:t>Az (EU) 2019/2033 rendelet 9. cikke (1) bekezdésének i. pontja.</w:t>
            </w:r>
          </w:p>
          <w:p w14:paraId="1F17C5AD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Style w:val="FormatvorlageInstructionsTabelleText"/>
                <w:rFonts w:ascii="Times New Roman" w:hAnsi="Times New Roman"/>
                <w:sz w:val="22"/>
              </w:rPr>
              <w:t>Az 575/2013/EU rendelet 32–35. cikke</w:t>
            </w:r>
          </w:p>
        </w:tc>
      </w:tr>
      <w:tr w:rsidR="007251CD" w:rsidRPr="009C7AD0" w14:paraId="1699E4B8" w14:textId="77777777">
        <w:tc>
          <w:tcPr>
            <w:tcW w:w="1129" w:type="dxa"/>
          </w:tcPr>
          <w:p w14:paraId="25F063D5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0130</w:t>
            </w:r>
          </w:p>
        </w:tc>
        <w:tc>
          <w:tcPr>
            <w:tcW w:w="7620" w:type="dxa"/>
          </w:tcPr>
          <w:p w14:paraId="1232B6D4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Egyéb pénzeszközök</w:t>
            </w:r>
          </w:p>
          <w:p w14:paraId="3E9C8B54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</w:rPr>
              <w:t>Az (EU) 2019/2033 rendelet 9. cikkének (</w:t>
            </w:r>
            <w:r w:rsidRPr="009C7AD0">
              <w:rPr>
                <w:rFonts w:ascii="Times New Roman" w:hAnsi="Times New Roman"/>
              </w:rPr>
              <w:t>4) bekezdése.</w:t>
            </w:r>
          </w:p>
        </w:tc>
      </w:tr>
      <w:tr w:rsidR="007251CD" w:rsidRPr="009C7AD0" w14:paraId="76F6DEBD" w14:textId="77777777">
        <w:tc>
          <w:tcPr>
            <w:tcW w:w="1129" w:type="dxa"/>
          </w:tcPr>
          <w:p w14:paraId="28E81A19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0140</w:t>
            </w:r>
          </w:p>
        </w:tc>
        <w:tc>
          <w:tcPr>
            <w:tcW w:w="7620" w:type="dxa"/>
          </w:tcPr>
          <w:p w14:paraId="6B3DEDD9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(–) AZ ELSŐDLEGES ALAPVETŐ TŐKÉBŐL VALÓ LEVONÁSOK ÖSSZESEN</w:t>
            </w:r>
          </w:p>
          <w:p w14:paraId="41DA8396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 0190–0285. sorok teljes összegét kell megadni.</w:t>
            </w:r>
          </w:p>
        </w:tc>
      </w:tr>
      <w:tr w:rsidR="007251CD" w:rsidRPr="009C7AD0" w14:paraId="28BBFFC1" w14:textId="77777777">
        <w:tc>
          <w:tcPr>
            <w:tcW w:w="1129" w:type="dxa"/>
          </w:tcPr>
          <w:p w14:paraId="77CC0346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0190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6962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(–) Folyó üzleti év veszteségei</w:t>
            </w:r>
          </w:p>
          <w:p w14:paraId="59DA5A03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</w:rPr>
              <w:t>Az 575/2013/EU rendelet 36. cikke (1) bekezdésének a) pontja.</w:t>
            </w:r>
          </w:p>
        </w:tc>
      </w:tr>
      <w:tr w:rsidR="007251CD" w:rsidRPr="009C7AD0" w14:paraId="72C69F75" w14:textId="77777777">
        <w:tc>
          <w:tcPr>
            <w:tcW w:w="1129" w:type="dxa"/>
          </w:tcPr>
          <w:p w14:paraId="4F4F60B6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0200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DF88A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 xml:space="preserve">(–) Cégérték </w:t>
            </w:r>
            <w:r w:rsidRPr="009C7AD0">
              <w:rPr>
                <w:rFonts w:ascii="Times New Roman" w:hAnsi="Times New Roman"/>
                <w:b/>
                <w:bCs/>
                <w:u w:val="single"/>
              </w:rPr>
              <w:t>(goodwill)</w:t>
            </w:r>
          </w:p>
          <w:p w14:paraId="6B74987A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9. cikke (1) bekezdésének i. pontja.</w:t>
            </w:r>
          </w:p>
          <w:p w14:paraId="730A720F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Style w:val="FormatvorlageInstructionsTabelleText"/>
                <w:rFonts w:ascii="Times New Roman" w:hAnsi="Times New Roman"/>
                <w:sz w:val="22"/>
              </w:rPr>
              <w:t>Az 575/2013/EU rendelet 4. cikke (1) bekezdésének 113. pontja, 36. cikke (1) bekezdésének b) pontja és 37. cikke.</w:t>
            </w:r>
          </w:p>
        </w:tc>
      </w:tr>
      <w:tr w:rsidR="007251CD" w:rsidRPr="009C7AD0" w14:paraId="6ED54ED2" w14:textId="77777777">
        <w:tc>
          <w:tcPr>
            <w:tcW w:w="1129" w:type="dxa"/>
          </w:tcPr>
          <w:p w14:paraId="48E04F0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0210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3AACF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(–) Egyéb immateriális javak</w:t>
            </w:r>
          </w:p>
          <w:p w14:paraId="1EFCB20D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9. ci</w:t>
            </w:r>
            <w:r w:rsidRPr="009C7AD0">
              <w:rPr>
                <w:rFonts w:ascii="Times New Roman" w:hAnsi="Times New Roman"/>
                <w:bCs/>
              </w:rPr>
              <w:t>kke (1) bekezdésének i. pontja.</w:t>
            </w:r>
          </w:p>
          <w:p w14:paraId="5F4750F2" w14:textId="77777777" w:rsidR="007251CD" w:rsidRPr="009C7AD0" w:rsidRDefault="009C7AD0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9C7AD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575/2013/EU rendelet 4. cikke (1) bekezdésének 115. pontja, 36. cikke (1) bekezdésének b) pontja és 37. cikkének a) pontja.</w:t>
            </w:r>
          </w:p>
          <w:p w14:paraId="4DF944E8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Style w:val="FormatvorlageInstructionsTabelleText"/>
                <w:rFonts w:ascii="Times New Roman" w:hAnsi="Times New Roman"/>
                <w:sz w:val="22"/>
              </w:rPr>
              <w:t>Az egyéb immateriális javak értéke az alkalmazandó számviteli szabályozás szerint immateriális ja</w:t>
            </w:r>
            <w:r w:rsidRPr="009C7AD0">
              <w:rPr>
                <w:rStyle w:val="FormatvorlageInstructionsTabelleText"/>
                <w:rFonts w:ascii="Times New Roman" w:hAnsi="Times New Roman"/>
                <w:sz w:val="22"/>
              </w:rPr>
              <w:t>vaknak minősülő eszközök értéke, csökkentve ugyancsak az alkalmazandó számviteli szabályozás szerinti cégértékkel.</w:t>
            </w:r>
          </w:p>
        </w:tc>
      </w:tr>
      <w:tr w:rsidR="007251CD" w:rsidRPr="009C7AD0" w14:paraId="663EE039" w14:textId="77777777">
        <w:tc>
          <w:tcPr>
            <w:tcW w:w="1129" w:type="dxa"/>
          </w:tcPr>
          <w:p w14:paraId="083DC6A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0220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9B72D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(–) Jövőbeli nyereségtől függően érvényesíthető, nem átmeneti különbözetből eredő halasztott adókövetelések a kapcsolódó adókötelezetts</w:t>
            </w:r>
            <w:r w:rsidRPr="009C7AD0">
              <w:rPr>
                <w:rFonts w:ascii="Times New Roman" w:hAnsi="Times New Roman"/>
                <w:b/>
                <w:bCs/>
                <w:u w:val="single"/>
              </w:rPr>
              <w:t>égek levonása után</w:t>
            </w:r>
          </w:p>
          <w:p w14:paraId="3AF50507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9. cikke (2) bekezdésének a) pontja.</w:t>
            </w:r>
          </w:p>
          <w:p w14:paraId="64CEA28D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>Az 575/2013/EU rendelet 36. cikke (1) bekezdésének c) pontja.</w:t>
            </w:r>
          </w:p>
        </w:tc>
      </w:tr>
      <w:tr w:rsidR="007251CD" w:rsidRPr="009C7AD0" w14:paraId="66F70AD0" w14:textId="77777777">
        <w:tc>
          <w:tcPr>
            <w:tcW w:w="1129" w:type="dxa"/>
          </w:tcPr>
          <w:p w14:paraId="152CE538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0230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24824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(–) A pénzügyi ágazaton kívüli befolyásoló részesedés, amely meghaladja a szavatolótőke 15 %-át</w:t>
            </w:r>
          </w:p>
          <w:p w14:paraId="33769320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 xml:space="preserve">Az </w:t>
            </w:r>
            <w:r w:rsidRPr="009C7AD0">
              <w:rPr>
                <w:rFonts w:ascii="Times New Roman" w:hAnsi="Times New Roman"/>
                <w:bCs/>
              </w:rPr>
              <w:t>(EU) 2019/2033 rendelet 10. cikke (1) bekezdésének a) pontja.</w:t>
            </w:r>
          </w:p>
        </w:tc>
      </w:tr>
      <w:tr w:rsidR="007251CD" w:rsidRPr="009C7AD0" w14:paraId="7696DABB" w14:textId="77777777">
        <w:tc>
          <w:tcPr>
            <w:tcW w:w="1129" w:type="dxa"/>
          </w:tcPr>
          <w:p w14:paraId="2E66C5C0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0240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D17B7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(–) A pénzügyi ágazatbeli szervezetektől eltérő vállalkozásokban lévő összes befolyásoló részesedés, amely meghaladja szavatolótőke 60 %-át</w:t>
            </w:r>
          </w:p>
          <w:p w14:paraId="6C438D76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 xml:space="preserve">Az (EU) 2019/2033 rendelet 10. cikke (1) </w:t>
            </w:r>
            <w:r w:rsidRPr="009C7AD0">
              <w:rPr>
                <w:rFonts w:ascii="Times New Roman" w:hAnsi="Times New Roman"/>
                <w:bCs/>
              </w:rPr>
              <w:t>bekezdésének b) pontja.</w:t>
            </w:r>
          </w:p>
        </w:tc>
      </w:tr>
      <w:tr w:rsidR="007251CD" w:rsidRPr="009C7AD0" w14:paraId="39E3FDCE" w14:textId="77777777">
        <w:tc>
          <w:tcPr>
            <w:tcW w:w="1129" w:type="dxa"/>
          </w:tcPr>
          <w:p w14:paraId="1452234F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0285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14C6A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(–) Egyéb levonások</w:t>
            </w:r>
          </w:p>
          <w:p w14:paraId="4E7D599F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</w:rPr>
              <w:t>Az 575/2013/EU rendelet 36. cikkének (1) bekezdése szerinti összes olyan egyéb levonás összege, amely nem szerepel a fenti 0160–0240. sorokban.</w:t>
            </w:r>
          </w:p>
        </w:tc>
      </w:tr>
      <w:tr w:rsidR="007251CD" w:rsidRPr="009C7AD0" w14:paraId="2BB13EAD" w14:textId="77777777">
        <w:tc>
          <w:tcPr>
            <w:tcW w:w="1129" w:type="dxa"/>
          </w:tcPr>
          <w:p w14:paraId="7A8CA7E4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0290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1D0CA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 xml:space="preserve">Elsődleges alapvető tőke (CET1): egyéb </w:t>
            </w:r>
            <w:r w:rsidRPr="009C7AD0">
              <w:rPr>
                <w:rFonts w:ascii="Times New Roman" w:hAnsi="Times New Roman"/>
                <w:b/>
                <w:bCs/>
                <w:u w:val="single"/>
              </w:rPr>
              <w:t>tőkeelemek, levonások és kiigazítások</w:t>
            </w:r>
          </w:p>
          <w:p w14:paraId="23838BB5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Ez a sor a következő tételek összegét tartalmazza, amennyiben alkalmazandó:</w:t>
            </w:r>
          </w:p>
          <w:p w14:paraId="08936CAF" w14:textId="77777777" w:rsidR="007251CD" w:rsidRPr="009C7AD0" w:rsidRDefault="009C7AD0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eastAsia="Times New Roman" w:hAnsi="Times New Roman" w:cs="Times New Roman"/>
                <w:bCs/>
              </w:rPr>
              <w:lastRenderedPageBreak/>
              <w:t>–</w:t>
            </w:r>
            <w:r w:rsidRPr="009C7AD0">
              <w:rPr>
                <w:rFonts w:ascii="Times New Roman" w:eastAsia="Times New Roman" w:hAnsi="Times New Roman" w:cs="Times New Roman"/>
                <w:bCs/>
              </w:rPr>
              <w:tab/>
            </w:r>
            <w:r w:rsidRPr="009C7AD0">
              <w:rPr>
                <w:rFonts w:ascii="Times New Roman" w:hAnsi="Times New Roman"/>
              </w:rPr>
              <w:t xml:space="preserve">Szerzett jogok alapján figyelembe vett CET1 tőkeinstrumentumok miatti átmeneti kiigazítások (az 575/2013/EU rendelet 483. cikkének (1), (2) </w:t>
            </w:r>
            <w:r w:rsidRPr="009C7AD0">
              <w:rPr>
                <w:rFonts w:ascii="Times New Roman" w:hAnsi="Times New Roman"/>
              </w:rPr>
              <w:t>és (3) bekezdése, valamint 484–487. cikke).</w:t>
            </w:r>
          </w:p>
          <w:p w14:paraId="1ABD30F5" w14:textId="77777777" w:rsidR="007251CD" w:rsidRPr="009C7AD0" w:rsidRDefault="009C7AD0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9C7AD0">
              <w:rPr>
                <w:rFonts w:ascii="Times New Roman" w:eastAsia="Times New Roman" w:hAnsi="Times New Roman" w:cs="Times New Roman"/>
                <w:bCs/>
              </w:rPr>
              <w:tab/>
            </w:r>
            <w:r w:rsidRPr="009C7AD0">
              <w:rPr>
                <w:rFonts w:ascii="Times New Roman" w:hAnsi="Times New Roman"/>
              </w:rPr>
              <w:t>Kisebbségi részesedések és megfelelőik miatti átmeneti kiigazítások (az 575/2013/EU rendelet 479. és 480. cikke).</w:t>
            </w:r>
          </w:p>
          <w:p w14:paraId="670BEBC0" w14:textId="77777777" w:rsidR="007251CD" w:rsidRPr="009C7AD0" w:rsidRDefault="009C7AD0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9C7AD0">
              <w:rPr>
                <w:rFonts w:ascii="Times New Roman" w:eastAsia="Times New Roman" w:hAnsi="Times New Roman" w:cs="Times New Roman"/>
                <w:bCs/>
              </w:rPr>
              <w:tab/>
            </w:r>
            <w:r w:rsidRPr="009C7AD0">
              <w:rPr>
                <w:rFonts w:ascii="Times New Roman" w:hAnsi="Times New Roman"/>
              </w:rPr>
              <w:t xml:space="preserve">A CET1 tőke egyéb átmeneti kiigazításai (az 575/2013/EU rendelet 469–478. és 481. </w:t>
            </w:r>
            <w:r w:rsidRPr="009C7AD0">
              <w:rPr>
                <w:rFonts w:ascii="Times New Roman" w:hAnsi="Times New Roman"/>
              </w:rPr>
              <w:t>cikke):</w:t>
            </w:r>
            <w:r w:rsidRPr="009C7AD0">
              <w:rPr>
                <w:rFonts w:ascii="Times New Roman" w:hAnsi="Times New Roman"/>
                <w:bCs/>
              </w:rPr>
              <w:t xml:space="preserve"> a CET1 tőkéből történő levonásokban az átmeneti rendelkezések miatt végrehajtott kiigazítások.</w:t>
            </w:r>
          </w:p>
          <w:p w14:paraId="4F60048C" w14:textId="77777777" w:rsidR="007251CD" w:rsidRPr="009C7AD0" w:rsidRDefault="009C7AD0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9C7AD0">
              <w:rPr>
                <w:rFonts w:ascii="Times New Roman" w:eastAsia="Times New Roman" w:hAnsi="Times New Roman" w:cs="Times New Roman"/>
                <w:bCs/>
              </w:rPr>
              <w:tab/>
            </w:r>
            <w:r w:rsidRPr="009C7AD0">
              <w:rPr>
                <w:rFonts w:ascii="Times New Roman" w:hAnsi="Times New Roman"/>
                <w:bCs/>
              </w:rPr>
              <w:t>Egyéb CET1 tőkeelemek vagy levonások CET1 tőkeelemekből, amelyek nem sorolhatók a 0040–0285. sorok egyikébe sem.</w:t>
            </w:r>
          </w:p>
          <w:p w14:paraId="319B3E49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>Ez a sor nem használható az (EU) 2019/</w:t>
            </w:r>
            <w:r w:rsidRPr="009C7AD0">
              <w:rPr>
                <w:rFonts w:ascii="Times New Roman" w:hAnsi="Times New Roman"/>
                <w:bCs/>
              </w:rPr>
              <w:t>2033 rendelet vagy az 575/2013/EU rendelet hatálya alá nem tartozó tőkeelemeknek vagy levonásoknak a tőkemegfelelési mutatók kiszámítása során történő figyelembevételére.</w:t>
            </w:r>
          </w:p>
        </w:tc>
      </w:tr>
      <w:tr w:rsidR="007251CD" w:rsidRPr="009C7AD0" w14:paraId="1A197CC8" w14:textId="77777777">
        <w:tc>
          <w:tcPr>
            <w:tcW w:w="1129" w:type="dxa"/>
          </w:tcPr>
          <w:p w14:paraId="49BE499D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lastRenderedPageBreak/>
              <w:t>0300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AF2EA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KIEGÉSZÍTŐ ALAPVETŐ TŐKE (AT1)</w:t>
            </w:r>
          </w:p>
          <w:p w14:paraId="38E5BD8B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9. cikkének (1) bekez</w:t>
            </w:r>
            <w:r w:rsidRPr="009C7AD0">
              <w:rPr>
                <w:rFonts w:ascii="Times New Roman" w:hAnsi="Times New Roman"/>
                <w:bCs/>
              </w:rPr>
              <w:t>dése.</w:t>
            </w:r>
          </w:p>
          <w:p w14:paraId="60A562B9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9C7AD0">
              <w:rPr>
                <w:rFonts w:ascii="Times New Roman" w:hAnsi="Times New Roman"/>
              </w:rPr>
              <w:t>Az 575/2013/EU rendelet 61. cikke.</w:t>
            </w:r>
          </w:p>
          <w:p w14:paraId="43C93C42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>A 0310–0410. sorok teljes összegét kell megadni.</w:t>
            </w:r>
          </w:p>
        </w:tc>
      </w:tr>
      <w:tr w:rsidR="007251CD" w:rsidRPr="009C7AD0" w14:paraId="75C892B9" w14:textId="77777777">
        <w:tc>
          <w:tcPr>
            <w:tcW w:w="1129" w:type="dxa"/>
          </w:tcPr>
          <w:p w14:paraId="5ED4BF19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0310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41600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Teljes egészében befizetett, közvetlenül kibocsátott tőkeinstrumentumok</w:t>
            </w:r>
          </w:p>
          <w:p w14:paraId="71BCB166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9. cikke (1) bekezdésének i. pontja.</w:t>
            </w:r>
          </w:p>
          <w:p w14:paraId="6EEE871E" w14:textId="77777777" w:rsidR="007251CD" w:rsidRPr="009C7AD0" w:rsidRDefault="009C7AD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C7AD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Az </w:t>
            </w:r>
            <w:r w:rsidRPr="009C7AD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575/2013/EU rendelet 51. cikkének a) pontja és 52., 53. és 54. cikke.</w:t>
            </w:r>
          </w:p>
          <w:p w14:paraId="4FC28DD9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Style w:val="FormatvorlageInstructionsTabelleText"/>
                <w:rFonts w:ascii="Times New Roman" w:hAnsi="Times New Roman"/>
                <w:sz w:val="22"/>
              </w:rPr>
              <w:t>A feltüntetendő érték nem foglalhatja magában az instrumentumokhoz kapcsolódó ázsiót.</w:t>
            </w:r>
          </w:p>
        </w:tc>
      </w:tr>
      <w:tr w:rsidR="007251CD" w:rsidRPr="009C7AD0" w14:paraId="78C0BDFE" w14:textId="77777777">
        <w:tc>
          <w:tcPr>
            <w:tcW w:w="1129" w:type="dxa"/>
          </w:tcPr>
          <w:p w14:paraId="2AB1BBB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0320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A5222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Ázsió</w:t>
            </w:r>
          </w:p>
          <w:p w14:paraId="12ADE494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9. cikke (1) bekezdésének i. pontja.</w:t>
            </w:r>
          </w:p>
          <w:p w14:paraId="3426CFEB" w14:textId="77777777" w:rsidR="007251CD" w:rsidRPr="009C7AD0" w:rsidRDefault="009C7AD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C7AD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Az </w:t>
            </w:r>
            <w:r w:rsidRPr="009C7AD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575/2013/EU rendelet 51. cikkének b) pontja.</w:t>
            </w:r>
          </w:p>
          <w:p w14:paraId="50032F28" w14:textId="77777777" w:rsidR="007251CD" w:rsidRPr="009C7AD0" w:rsidRDefault="009C7AD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C7AD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ázsió jelentése egyezik az alkalmazandó számviteli szabályozás szerinti jelentéssel.</w:t>
            </w:r>
          </w:p>
          <w:p w14:paraId="2534E1A2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Style w:val="FormatvorlageInstructionsTabelleText"/>
                <w:rFonts w:ascii="Times New Roman" w:hAnsi="Times New Roman"/>
                <w:sz w:val="22"/>
              </w:rPr>
              <w:t>Az itt feltüntetendő érték a „Teljes egészében befizetett, közvetlenül kibocsátott tőkeinstrumentumok”-hoz kapcsolódó rész.</w:t>
            </w:r>
          </w:p>
        </w:tc>
      </w:tr>
      <w:tr w:rsidR="007251CD" w:rsidRPr="009C7AD0" w14:paraId="701E1001" w14:textId="77777777">
        <w:tc>
          <w:tcPr>
            <w:tcW w:w="1129" w:type="dxa"/>
          </w:tcPr>
          <w:p w14:paraId="1545B7AE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0330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4522C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(–) A KIEGÉSZÍTŐ ALAPVETŐ TŐKÉBŐL VALÓ LEVONÁSOK ÖSSZESEN</w:t>
            </w:r>
          </w:p>
          <w:p w14:paraId="70F13228" w14:textId="77777777" w:rsidR="007251CD" w:rsidRPr="009C7AD0" w:rsidRDefault="009C7AD0">
            <w:pPr>
              <w:spacing w:before="60" w:after="60"/>
              <w:rPr>
                <w:rFonts w:ascii="Times New Roman" w:hAnsi="Times New Roman" w:cs="Times New Roman"/>
              </w:rPr>
            </w:pPr>
            <w:r w:rsidRPr="009C7AD0">
              <w:rPr>
                <w:rFonts w:ascii="Times New Roman" w:hAnsi="Times New Roman"/>
              </w:rPr>
              <w:t>Az 575/2013/EU rendelet 56. cikke.</w:t>
            </w:r>
          </w:p>
        </w:tc>
      </w:tr>
      <w:tr w:rsidR="007251CD" w:rsidRPr="009C7AD0" w14:paraId="651B94AC" w14:textId="77777777">
        <w:tc>
          <w:tcPr>
            <w:tcW w:w="1129" w:type="dxa"/>
          </w:tcPr>
          <w:p w14:paraId="4C58F0B9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0410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7B483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Kiegészítő alapvető tőke (AT1): egyéb tőkeelemek, levonások és kiigazítások</w:t>
            </w:r>
          </w:p>
          <w:p w14:paraId="2774CE1F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 xml:space="preserve">Ez a sor a következő tételek összegét tartalmazza, amennyiben </w:t>
            </w:r>
            <w:r w:rsidRPr="009C7AD0">
              <w:rPr>
                <w:rFonts w:ascii="Times New Roman" w:hAnsi="Times New Roman"/>
                <w:bCs/>
              </w:rPr>
              <w:t>alkalmazandó:</w:t>
            </w:r>
          </w:p>
          <w:p w14:paraId="47144E82" w14:textId="77777777" w:rsidR="007251CD" w:rsidRPr="009C7AD0" w:rsidRDefault="009C7AD0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9C7AD0">
              <w:rPr>
                <w:rFonts w:ascii="Times New Roman" w:eastAsia="Times New Roman" w:hAnsi="Times New Roman" w:cs="Times New Roman"/>
                <w:bCs/>
              </w:rPr>
              <w:tab/>
            </w:r>
            <w:r w:rsidRPr="009C7AD0">
              <w:rPr>
                <w:rFonts w:ascii="Times New Roman" w:hAnsi="Times New Roman"/>
              </w:rPr>
              <w:t>Szerzett jogok alapján figyelembe vett AT1 tőkeinstrumentumok miatti átmeneti kiigazítások (az 575/2013/EU rendelet 483. cikkének (4) és (5) bekezdése, 484–487. cikke, valamint 489. és 491. cikke).</w:t>
            </w:r>
          </w:p>
          <w:p w14:paraId="7114A37F" w14:textId="77777777" w:rsidR="007251CD" w:rsidRPr="009C7AD0" w:rsidRDefault="009C7AD0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9C7AD0">
              <w:rPr>
                <w:rFonts w:ascii="Times New Roman" w:eastAsia="Times New Roman" w:hAnsi="Times New Roman" w:cs="Times New Roman"/>
                <w:bCs/>
              </w:rPr>
              <w:tab/>
            </w:r>
            <w:r w:rsidRPr="009C7AD0">
              <w:rPr>
                <w:rFonts w:ascii="Times New Roman" w:hAnsi="Times New Roman"/>
              </w:rPr>
              <w:t>Leányvállalatok által kibocsátott, AT1 t</w:t>
            </w:r>
            <w:r w:rsidRPr="009C7AD0">
              <w:rPr>
                <w:rFonts w:ascii="Times New Roman" w:hAnsi="Times New Roman"/>
              </w:rPr>
              <w:t>őkében megjelenített instrumentumok (az 575/2013/EU rendelet 83., 85. és 86. cikke):</w:t>
            </w:r>
            <w:r w:rsidRPr="009C7AD0">
              <w:rPr>
                <w:rFonts w:ascii="Times New Roman" w:hAnsi="Times New Roman"/>
                <w:bCs/>
              </w:rPr>
              <w:t xml:space="preserve"> </w:t>
            </w:r>
            <w:r w:rsidRPr="009C7AD0">
              <w:rPr>
                <w:rFonts w:ascii="Times New Roman" w:hAnsi="Times New Roman"/>
              </w:rPr>
              <w:t>leányvállalatok alapvető tőkébe beszámítható, a konszolidált AT1 tőkében szereplő összes tőkeelemének összege, beleértve a különleges célú gazdasági egységek által kibocsá</w:t>
            </w:r>
            <w:r w:rsidRPr="009C7AD0">
              <w:rPr>
                <w:rFonts w:ascii="Times New Roman" w:hAnsi="Times New Roman"/>
              </w:rPr>
              <w:t>tott tőkét is (az 575/2013/EU rendelet 83. cikke).</w:t>
            </w:r>
          </w:p>
          <w:p w14:paraId="3FD129E9" w14:textId="77777777" w:rsidR="007251CD" w:rsidRPr="009C7AD0" w:rsidRDefault="009C7AD0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9C7AD0">
              <w:rPr>
                <w:rFonts w:ascii="Times New Roman" w:eastAsia="Times New Roman" w:hAnsi="Times New Roman" w:cs="Times New Roman"/>
                <w:bCs/>
              </w:rPr>
              <w:tab/>
            </w:r>
            <w:r w:rsidRPr="009C7AD0">
              <w:rPr>
                <w:rFonts w:ascii="Times New Roman" w:hAnsi="Times New Roman"/>
              </w:rPr>
              <w:t xml:space="preserve">A leányvállalatok által kibocsátott instrumentumok AT1 tőkében kiegészítő tőkeelemként való megjelenítése miatti átmeneti kiigazítások (az 575/2013/EU </w:t>
            </w:r>
            <w:r w:rsidRPr="009C7AD0">
              <w:rPr>
                <w:rFonts w:ascii="Times New Roman" w:hAnsi="Times New Roman"/>
              </w:rPr>
              <w:lastRenderedPageBreak/>
              <w:t>rendelet 480. cikke), az alapvető tőkébe beszámíthat</w:t>
            </w:r>
            <w:r w:rsidRPr="009C7AD0">
              <w:rPr>
                <w:rFonts w:ascii="Times New Roman" w:hAnsi="Times New Roman"/>
              </w:rPr>
              <w:t>ó, a konszolidált AT1 tőkében szereplő tőkeelemeknek az átmeneti rendelkezések miatti kiigazításai.</w:t>
            </w:r>
          </w:p>
          <w:p w14:paraId="5641A357" w14:textId="77777777" w:rsidR="007251CD" w:rsidRPr="009C7AD0" w:rsidRDefault="009C7AD0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9C7AD0">
              <w:rPr>
                <w:rFonts w:ascii="Times New Roman" w:eastAsia="Times New Roman" w:hAnsi="Times New Roman" w:cs="Times New Roman"/>
                <w:bCs/>
              </w:rPr>
              <w:tab/>
            </w:r>
            <w:r w:rsidRPr="009C7AD0">
              <w:rPr>
                <w:rFonts w:ascii="Times New Roman" w:hAnsi="Times New Roman"/>
              </w:rPr>
              <w:t>Az AT1 tőke egyéb átmeneti kiigazításai (az 575/2013/EU rendelet 472., 473a., 474., 475., 478. és 481. cikke):</w:t>
            </w:r>
            <w:r w:rsidRPr="009C7AD0">
              <w:rPr>
                <w:rFonts w:ascii="Times New Roman" w:hAnsi="Times New Roman"/>
                <w:bCs/>
              </w:rPr>
              <w:t xml:space="preserve"> a levonásoknak az átmeneti rendelkezések mi</w:t>
            </w:r>
            <w:r w:rsidRPr="009C7AD0">
              <w:rPr>
                <w:rFonts w:ascii="Times New Roman" w:hAnsi="Times New Roman"/>
                <w:bCs/>
              </w:rPr>
              <w:t>atti kiigazításai.</w:t>
            </w:r>
          </w:p>
          <w:p w14:paraId="2F241653" w14:textId="77777777" w:rsidR="007251CD" w:rsidRPr="009C7AD0" w:rsidRDefault="009C7AD0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9C7AD0">
              <w:rPr>
                <w:rFonts w:ascii="Times New Roman" w:eastAsia="Times New Roman" w:hAnsi="Times New Roman" w:cs="Times New Roman"/>
                <w:bCs/>
              </w:rPr>
              <w:tab/>
            </w:r>
            <w:r w:rsidRPr="009C7AD0">
              <w:rPr>
                <w:rFonts w:ascii="Times New Roman" w:hAnsi="Times New Roman"/>
              </w:rPr>
              <w:t>Az AT1 tőkeelemekből az AT1 tőkét meghaladó többletlevonások, amelyeket az 575/2013/EU rendelet 36. cikke (1) bekezdése j) pontjának megfelelően az elsődleges alapvető tőkéből kell levonni:</w:t>
            </w:r>
            <w:r w:rsidRPr="009C7AD0">
              <w:rPr>
                <w:rFonts w:ascii="Times New Roman" w:hAnsi="Times New Roman"/>
                <w:bCs/>
              </w:rPr>
              <w:t xml:space="preserve"> a kiegészítő alapvető tőke nem lehet negatív,</w:t>
            </w:r>
            <w:r w:rsidRPr="009C7AD0">
              <w:rPr>
                <w:rFonts w:ascii="Times New Roman" w:hAnsi="Times New Roman"/>
                <w:bCs/>
              </w:rPr>
              <w:t xml:space="preserve"> de előfordulhat, hogy az AT1 tőkéből történő levonások meghaladják a rendelkezésre álló AT1 tőkeelemek összegét. Ilyen esetben ez a tétel a 0300. sorban feltüntetett összeg nullára növeléséhez szükséges összeget jelenti, és egyenlő az AT1 tőkeelemekből az</w:t>
            </w:r>
            <w:r w:rsidRPr="009C7AD0">
              <w:rPr>
                <w:rFonts w:ascii="Times New Roman" w:hAnsi="Times New Roman"/>
                <w:bCs/>
              </w:rPr>
              <w:t xml:space="preserve"> AT1 tőkét meghaladó, más levonásokkal együtt a 0285. sorban feltüntetett többletlevonások fordított ellenértékű összegével.</w:t>
            </w:r>
          </w:p>
          <w:p w14:paraId="16794034" w14:textId="77777777" w:rsidR="007251CD" w:rsidRPr="009C7AD0" w:rsidRDefault="009C7AD0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9C7AD0">
              <w:rPr>
                <w:rFonts w:ascii="Times New Roman" w:eastAsia="Times New Roman" w:hAnsi="Times New Roman" w:cs="Times New Roman"/>
                <w:bCs/>
              </w:rPr>
              <w:tab/>
            </w:r>
            <w:r w:rsidRPr="009C7AD0">
              <w:rPr>
                <w:rFonts w:ascii="Times New Roman" w:hAnsi="Times New Roman"/>
                <w:bCs/>
              </w:rPr>
              <w:t>Egyéb AT1 tőkeelemek vagy levonások AT1 elemekből, amelyek nem sorolhatók a 0310–0330. sorok egyikébe sem.</w:t>
            </w:r>
          </w:p>
          <w:p w14:paraId="44A0BA65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>Ez a sor nem használha</w:t>
            </w:r>
            <w:r w:rsidRPr="009C7AD0">
              <w:rPr>
                <w:rFonts w:ascii="Times New Roman" w:hAnsi="Times New Roman"/>
                <w:bCs/>
              </w:rPr>
              <w:t>tó az (EU) 2019/2033 rendelet vagy az 575/2013/EU rendelet hatálya alá nem tartozó tőkeelemeknek vagy levonásoknak a tőkemegfelelési mutatók kiszámítása során történő figyelembevételére.</w:t>
            </w:r>
          </w:p>
        </w:tc>
      </w:tr>
      <w:tr w:rsidR="007251CD" w:rsidRPr="009C7AD0" w14:paraId="4BEC5065" w14:textId="77777777">
        <w:tc>
          <w:tcPr>
            <w:tcW w:w="1129" w:type="dxa"/>
          </w:tcPr>
          <w:p w14:paraId="6E237E79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lastRenderedPageBreak/>
              <w:t>0420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7C8B0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ALAPVETŐ TŐKE (TIER 2 TŐKE)</w:t>
            </w:r>
          </w:p>
          <w:p w14:paraId="3F9AF4F5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</w:rPr>
              <w:t>Az (EU) 2019/2033 rendelet 9. cikké</w:t>
            </w:r>
            <w:r w:rsidRPr="009C7AD0">
              <w:rPr>
                <w:rFonts w:ascii="Times New Roman" w:hAnsi="Times New Roman"/>
              </w:rPr>
              <w:t>nek (1) bekezdése.</w:t>
            </w:r>
          </w:p>
          <w:p w14:paraId="36B43FDC" w14:textId="77777777" w:rsidR="007251CD" w:rsidRPr="009C7AD0" w:rsidRDefault="009C7AD0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C7AD0">
              <w:rPr>
                <w:rStyle w:val="FormatvorlageInstructionsTabelleText"/>
                <w:rFonts w:ascii="Times New Roman" w:hAnsi="Times New Roman"/>
                <w:sz w:val="22"/>
              </w:rPr>
              <w:t>Az 575/2013/EU rendelet 71. cikke.</w:t>
            </w:r>
          </w:p>
          <w:p w14:paraId="3C02A121" w14:textId="77777777" w:rsidR="007251CD" w:rsidRPr="009C7AD0" w:rsidRDefault="009C7AD0">
            <w:pPr>
              <w:pStyle w:val="CommentText"/>
              <w:rPr>
                <w:sz w:val="22"/>
                <w:szCs w:val="22"/>
              </w:rPr>
            </w:pPr>
            <w:r w:rsidRPr="009C7AD0">
              <w:rPr>
                <w:rFonts w:ascii="Times New Roman" w:hAnsi="Times New Roman"/>
                <w:bCs/>
                <w:sz w:val="22"/>
                <w:szCs w:val="22"/>
              </w:rPr>
              <w:t>A 0430–0520. sorok teljes összegét kell megadni.</w:t>
            </w:r>
          </w:p>
        </w:tc>
      </w:tr>
      <w:tr w:rsidR="007251CD" w:rsidRPr="009C7AD0" w14:paraId="6666348C" w14:textId="77777777">
        <w:tc>
          <w:tcPr>
            <w:tcW w:w="1129" w:type="dxa"/>
          </w:tcPr>
          <w:p w14:paraId="43D511A0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0430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20648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Teljes egészében befizetett, közvetlenül kibocsátott tőkeinstrumentumok</w:t>
            </w:r>
          </w:p>
          <w:p w14:paraId="2E87EC39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9. cikke (1) bekezdésének i. pontja.</w:t>
            </w:r>
          </w:p>
          <w:p w14:paraId="2F7E080C" w14:textId="77777777" w:rsidR="007251CD" w:rsidRPr="009C7AD0" w:rsidRDefault="009C7AD0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9C7AD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Az </w:t>
            </w:r>
            <w:r w:rsidRPr="009C7AD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575/2013/EU rendelet 62. cikkének a) pontja, valamint 63. és 65. cikke.</w:t>
            </w:r>
          </w:p>
          <w:p w14:paraId="110776D3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Style w:val="FormatvorlageInstructionsTabelleText"/>
                <w:rFonts w:ascii="Times New Roman" w:hAnsi="Times New Roman"/>
                <w:sz w:val="22"/>
              </w:rPr>
              <w:t>A feltüntetendő érték nem foglalhatja magában az instrumentumokhoz kapcsolódó ázsiót.</w:t>
            </w:r>
          </w:p>
        </w:tc>
      </w:tr>
      <w:tr w:rsidR="007251CD" w:rsidRPr="009C7AD0" w14:paraId="6F492993" w14:textId="77777777">
        <w:tc>
          <w:tcPr>
            <w:tcW w:w="1129" w:type="dxa"/>
          </w:tcPr>
          <w:p w14:paraId="79FACC07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0440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21B56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Ázsió</w:t>
            </w:r>
          </w:p>
          <w:p w14:paraId="258F7036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9. cikke (1) bekezdésének i. pontja.</w:t>
            </w:r>
          </w:p>
          <w:p w14:paraId="0AD0836A" w14:textId="77777777" w:rsidR="007251CD" w:rsidRPr="009C7AD0" w:rsidRDefault="009C7AD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C7AD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Az </w:t>
            </w:r>
            <w:r w:rsidRPr="009C7AD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575/2013/EU rendelet 62. cikkének b) pontja és 65. cikke.</w:t>
            </w:r>
          </w:p>
          <w:p w14:paraId="7C4E2B08" w14:textId="77777777" w:rsidR="007251CD" w:rsidRPr="009C7AD0" w:rsidRDefault="009C7AD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C7AD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ázsió jelentése egyezik az alkalmazandó számviteli szabályozás szerinti jelentéssel.</w:t>
            </w:r>
          </w:p>
          <w:p w14:paraId="5DD5D494" w14:textId="77777777" w:rsidR="007251CD" w:rsidRPr="009C7AD0" w:rsidRDefault="009C7AD0">
            <w:pPr>
              <w:pStyle w:val="InstructionsText"/>
              <w:rPr>
                <w:sz w:val="22"/>
                <w:szCs w:val="22"/>
              </w:rPr>
            </w:pPr>
            <w:r w:rsidRPr="009C7AD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itt feltüntetendő érték a „Teljes egészében befizetett, közvetlenül kibocsátott tőkeinstrumentumok”-hoz kap</w:t>
            </w:r>
            <w:r w:rsidRPr="009C7AD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csolódó rész.</w:t>
            </w:r>
          </w:p>
        </w:tc>
      </w:tr>
      <w:tr w:rsidR="007251CD" w:rsidRPr="009C7AD0" w14:paraId="5F5F7C9E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64CCD740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0450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A8CFE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(–) A JÁRULÉKOS TŐKÉBŐL (TIER 2, T2) VALÓ LEVONÁSOK ÖSSZESEN</w:t>
            </w:r>
          </w:p>
          <w:p w14:paraId="0FAF9E7B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9C7AD0">
              <w:rPr>
                <w:rFonts w:ascii="Times New Roman" w:hAnsi="Times New Roman"/>
              </w:rPr>
              <w:t>Az 575/2013/EU rendelet 66. cikke.</w:t>
            </w:r>
          </w:p>
        </w:tc>
      </w:tr>
      <w:tr w:rsidR="007251CD" w:rsidRPr="009C7AD0" w14:paraId="1DED47BB" w14:textId="77777777">
        <w:tc>
          <w:tcPr>
            <w:tcW w:w="1129" w:type="dxa"/>
            <w:tcBorders>
              <w:top w:val="single" w:sz="4" w:space="0" w:color="auto"/>
            </w:tcBorders>
          </w:tcPr>
          <w:p w14:paraId="6D3CB27B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0520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806E7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Járulékos tőke (Tier 2, T2): egyéb tőkeelemek, levonások és kiigazítások</w:t>
            </w:r>
          </w:p>
          <w:p w14:paraId="7F4DAD3F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 xml:space="preserve">Ez a sor a következő tételek összegét </w:t>
            </w:r>
            <w:r w:rsidRPr="009C7AD0">
              <w:rPr>
                <w:rFonts w:ascii="Times New Roman" w:hAnsi="Times New Roman"/>
                <w:bCs/>
              </w:rPr>
              <w:t>tartalmazza, amennyiben alkalmazandó:</w:t>
            </w:r>
          </w:p>
          <w:p w14:paraId="61FC4837" w14:textId="77777777" w:rsidR="007251CD" w:rsidRPr="009C7AD0" w:rsidRDefault="009C7AD0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9C7AD0">
              <w:rPr>
                <w:rFonts w:ascii="Times New Roman" w:eastAsia="Times New Roman" w:hAnsi="Times New Roman" w:cs="Times New Roman"/>
                <w:bCs/>
              </w:rPr>
              <w:tab/>
            </w:r>
            <w:r w:rsidRPr="009C7AD0">
              <w:rPr>
                <w:rFonts w:ascii="Times New Roman" w:hAnsi="Times New Roman"/>
                <w:bCs/>
              </w:rPr>
              <w:t>Szerzett jogok alapján figyelembe vett T2 tőkeinstrumentumok miatti átmeneti kiigazítások (az 575/2013/EU rendelet 483. cikkének (6) és (7) bekezdése, 484., 486., 488., 490. és 491. cikke).</w:t>
            </w:r>
          </w:p>
          <w:p w14:paraId="266B496A" w14:textId="77777777" w:rsidR="007251CD" w:rsidRPr="009C7AD0" w:rsidRDefault="009C7AD0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9C7AD0">
              <w:rPr>
                <w:rFonts w:ascii="Times New Roman" w:eastAsia="Times New Roman" w:hAnsi="Times New Roman" w:cs="Times New Roman"/>
                <w:bCs/>
              </w:rPr>
              <w:tab/>
            </w:r>
            <w:r w:rsidRPr="009C7AD0">
              <w:rPr>
                <w:rFonts w:ascii="Times New Roman" w:hAnsi="Times New Roman"/>
                <w:bCs/>
              </w:rPr>
              <w:t>Leányvállalatok által ki</w:t>
            </w:r>
            <w:r w:rsidRPr="009C7AD0">
              <w:rPr>
                <w:rFonts w:ascii="Times New Roman" w:hAnsi="Times New Roman"/>
                <w:bCs/>
              </w:rPr>
              <w:t xml:space="preserve">bocsátott, T2 tőkében megjelenített instrumentumok (az 575/2013/EU rendelet 83., 87. és 88. cikke): leányvállalatok szavatolótőkébe </w:t>
            </w:r>
            <w:r w:rsidRPr="009C7AD0">
              <w:rPr>
                <w:rFonts w:ascii="Times New Roman" w:hAnsi="Times New Roman"/>
                <w:bCs/>
              </w:rPr>
              <w:lastRenderedPageBreak/>
              <w:t>beszámítható, a konszolidált T2 tőkében szereplő összes tőkeelemének összege, beleértve a különleges célú gazdasági egységek</w:t>
            </w:r>
            <w:r w:rsidRPr="009C7AD0">
              <w:rPr>
                <w:rFonts w:ascii="Times New Roman" w:hAnsi="Times New Roman"/>
                <w:bCs/>
              </w:rPr>
              <w:t xml:space="preserve"> által kibocsátott, a szavatolótőkébe beszámítható T2 tőkét is (az 575/2013/EU rendelet 83. cikke).</w:t>
            </w:r>
          </w:p>
          <w:p w14:paraId="7CEC1C67" w14:textId="77777777" w:rsidR="007251CD" w:rsidRPr="009C7AD0" w:rsidRDefault="009C7AD0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9C7AD0">
              <w:rPr>
                <w:rFonts w:ascii="Times New Roman" w:eastAsia="Times New Roman" w:hAnsi="Times New Roman" w:cs="Times New Roman"/>
                <w:bCs/>
              </w:rPr>
              <w:tab/>
            </w:r>
            <w:r w:rsidRPr="009C7AD0">
              <w:rPr>
                <w:rFonts w:ascii="Times New Roman" w:hAnsi="Times New Roman"/>
                <w:bCs/>
              </w:rPr>
              <w:t>A leányvállalatok által kibocsátott instrumentumok T2 tőkében kiegészítő tőkeelemként való megjelenítése miatti átmeneti kiigazítások (az 575/2013/EU rend</w:t>
            </w:r>
            <w:r w:rsidRPr="009C7AD0">
              <w:rPr>
                <w:rFonts w:ascii="Times New Roman" w:hAnsi="Times New Roman"/>
                <w:bCs/>
              </w:rPr>
              <w:t>elet 480. cikke). A szavatolótőkébe beszámítható tőkeelemeknek a konszolidált T2 tőke részét képező összegében az átmeneti rendelkezések miatt végrehajtott kiigazítások.</w:t>
            </w:r>
          </w:p>
          <w:p w14:paraId="090AA4C4" w14:textId="77777777" w:rsidR="007251CD" w:rsidRPr="009C7AD0" w:rsidRDefault="009C7AD0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9C7AD0">
              <w:rPr>
                <w:rFonts w:ascii="Times New Roman" w:eastAsia="Times New Roman" w:hAnsi="Times New Roman" w:cs="Times New Roman"/>
                <w:bCs/>
              </w:rPr>
              <w:tab/>
            </w:r>
            <w:r w:rsidRPr="009C7AD0">
              <w:rPr>
                <w:rFonts w:ascii="Times New Roman" w:hAnsi="Times New Roman"/>
                <w:bCs/>
              </w:rPr>
              <w:t>A T2 tőke egyéb átmeneti kiigazításai (az 575/2013/EU rendelet 472., 473a., 476., 47</w:t>
            </w:r>
            <w:r w:rsidRPr="009C7AD0">
              <w:rPr>
                <w:rFonts w:ascii="Times New Roman" w:hAnsi="Times New Roman"/>
                <w:bCs/>
              </w:rPr>
              <w:t>7., 478. és 481. cikke): a T2 tőkéből történő levonásokban az átmeneti rendelkezések miatt végrehajtott kiigazítások.</w:t>
            </w:r>
          </w:p>
          <w:p w14:paraId="785FA4BA" w14:textId="77777777" w:rsidR="007251CD" w:rsidRPr="009C7AD0" w:rsidRDefault="009C7AD0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9C7AD0">
              <w:rPr>
                <w:rFonts w:ascii="Times New Roman" w:eastAsia="Times New Roman" w:hAnsi="Times New Roman" w:cs="Times New Roman"/>
                <w:bCs/>
              </w:rPr>
              <w:tab/>
            </w:r>
            <w:r w:rsidRPr="009C7AD0">
              <w:rPr>
                <w:rFonts w:ascii="Times New Roman" w:hAnsi="Times New Roman"/>
                <w:bCs/>
              </w:rPr>
              <w:t>A T2 tőkeelemekből a T2 tőkét meghaladó többletlevonások, amelyeket az 575/2013/EU rendelet 56. cikke e) pontjának megfelelően a kiegész</w:t>
            </w:r>
            <w:r w:rsidRPr="009C7AD0">
              <w:rPr>
                <w:rFonts w:ascii="Times New Roman" w:hAnsi="Times New Roman"/>
                <w:bCs/>
              </w:rPr>
              <w:t xml:space="preserve">ítő alapvető tőkéből kell levonni: a T2 tőke nem lehet negatív, de előfordulhat, hogy a T2 tőkéből történő levonások meghaladják a rendelkezésre álló T2 tőkeelemek összegét. Ilyen esetekben ez a tétel a 0420. sorban feltüntetett összeg nullára növeléséhez </w:t>
            </w:r>
            <w:r w:rsidRPr="009C7AD0">
              <w:rPr>
                <w:rFonts w:ascii="Times New Roman" w:hAnsi="Times New Roman"/>
                <w:bCs/>
              </w:rPr>
              <w:t>szükséges összeget jelenti.</w:t>
            </w:r>
          </w:p>
          <w:p w14:paraId="083F7640" w14:textId="77777777" w:rsidR="007251CD" w:rsidRPr="009C7AD0" w:rsidRDefault="009C7AD0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9C7AD0">
              <w:rPr>
                <w:rFonts w:ascii="Times New Roman" w:eastAsia="Times New Roman" w:hAnsi="Times New Roman" w:cs="Times New Roman"/>
                <w:bCs/>
              </w:rPr>
              <w:tab/>
            </w:r>
            <w:r w:rsidRPr="009C7AD0">
              <w:rPr>
                <w:rFonts w:ascii="Times New Roman" w:hAnsi="Times New Roman"/>
                <w:bCs/>
              </w:rPr>
              <w:t>Egyéb T2 tőkeelemek vagy levonások egy T2 elemből, amelyek nem sorolhatók a 0430–0450. sorok egyikébe sem.</w:t>
            </w:r>
          </w:p>
          <w:p w14:paraId="05A82056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 xml:space="preserve">Ez a sor nem használható az (EU) 2019/2033 rendelet vagy az 575/2013/EU rendelet hatálya alá nem tartozó tőkeelemeknek </w:t>
            </w:r>
            <w:r w:rsidRPr="009C7AD0">
              <w:rPr>
                <w:rFonts w:ascii="Times New Roman" w:hAnsi="Times New Roman"/>
                <w:bCs/>
              </w:rPr>
              <w:t>vagy levonásoknak a tőkemegfelelési mutatók kiszámítása során történő figyelembevételére.</w:t>
            </w:r>
          </w:p>
        </w:tc>
      </w:tr>
    </w:tbl>
    <w:p w14:paraId="32E58529" w14:textId="77777777" w:rsidR="007251CD" w:rsidRPr="009C7AD0" w:rsidRDefault="009C7AD0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21" w:name="_Toc88117832"/>
      <w:r w:rsidRPr="009C7AD0">
        <w:rPr>
          <w:rFonts w:ascii="Times New Roman" w:hAnsi="Times New Roman"/>
          <w:sz w:val="24"/>
        </w:rPr>
        <w:lastRenderedPageBreak/>
        <w:t>1.3. I 02.03 – SZAVATOLÓTŐKE-KÖVETELMÉNYEK (I 2.3)</w:t>
      </w:r>
      <w:bookmarkEnd w:id="21"/>
    </w:p>
    <w:p w14:paraId="2A324086" w14:textId="77777777" w:rsidR="007251CD" w:rsidRPr="009C7AD0" w:rsidRDefault="009C7AD0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u w:val="single"/>
        </w:rPr>
      </w:pPr>
      <w:bookmarkStart w:id="22" w:name="_Toc88117833"/>
      <w:r w:rsidRPr="009C7AD0">
        <w:rPr>
          <w:rFonts w:ascii="Times New Roman" w:hAnsi="Times New Roman"/>
          <w:sz w:val="24"/>
          <w:szCs w:val="24"/>
        </w:rPr>
        <w:t>1.3.1.</w:t>
      </w:r>
      <w:r w:rsidRPr="009C7AD0">
        <w:tab/>
      </w:r>
      <w:r w:rsidRPr="009C7AD0">
        <w:rPr>
          <w:rFonts w:ascii="Times New Roman" w:hAnsi="Times New Roman"/>
          <w:u w:val="single"/>
        </w:rPr>
        <w:t>A tábla egyes részeire vonatkozó útmutató.</w:t>
      </w:r>
      <w:bookmarkEnd w:id="22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7251CD" w:rsidRPr="009C7AD0" w14:paraId="61E4111C" w14:textId="77777777">
        <w:tc>
          <w:tcPr>
            <w:tcW w:w="1129" w:type="dxa"/>
            <w:shd w:val="clear" w:color="auto" w:fill="D9D9D9"/>
          </w:tcPr>
          <w:p w14:paraId="64E22B38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</w:rPr>
              <w:t>Sor</w:t>
            </w:r>
          </w:p>
        </w:tc>
        <w:tc>
          <w:tcPr>
            <w:tcW w:w="7620" w:type="dxa"/>
            <w:shd w:val="clear" w:color="auto" w:fill="D9D9D9"/>
          </w:tcPr>
          <w:p w14:paraId="53A0FBAD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</w:rPr>
              <w:t>Jogszabályi hivatkozások és útmutató</w:t>
            </w:r>
          </w:p>
        </w:tc>
      </w:tr>
      <w:tr w:rsidR="007251CD" w:rsidRPr="009C7AD0" w14:paraId="15A750B4" w14:textId="77777777">
        <w:tc>
          <w:tcPr>
            <w:tcW w:w="1129" w:type="dxa"/>
          </w:tcPr>
          <w:p w14:paraId="05714348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652EC80B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Szavatolótőke-követelmény</w:t>
            </w:r>
          </w:p>
          <w:p w14:paraId="4EBD3240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11. cikkének (1) és (2) bekezdése.</w:t>
            </w:r>
          </w:p>
          <w:p w14:paraId="4B3D9C70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Ez a tétel nem haladhatja meg a 0020. és 0030. sorok közül a magasabbat.</w:t>
            </w:r>
          </w:p>
        </w:tc>
      </w:tr>
      <w:tr w:rsidR="007251CD" w:rsidRPr="009C7AD0" w14:paraId="1B1C219E" w14:textId="77777777">
        <w:tc>
          <w:tcPr>
            <w:tcW w:w="1129" w:type="dxa"/>
          </w:tcPr>
          <w:p w14:paraId="4ECFBEF7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12DDDEB4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Állandó minimális tőkekövetelmény</w:t>
            </w:r>
          </w:p>
          <w:p w14:paraId="64B5521D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14. cikke</w:t>
            </w:r>
          </w:p>
        </w:tc>
      </w:tr>
      <w:tr w:rsidR="007251CD" w:rsidRPr="009C7AD0" w14:paraId="1EFA1777" w14:textId="77777777">
        <w:tc>
          <w:tcPr>
            <w:tcW w:w="1129" w:type="dxa"/>
          </w:tcPr>
          <w:p w14:paraId="21426046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0A7427E9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 xml:space="preserve">Az </w:t>
            </w:r>
            <w:r w:rsidRPr="009C7AD0">
              <w:rPr>
                <w:rFonts w:ascii="Times New Roman" w:hAnsi="Times New Roman"/>
                <w:b/>
                <w:bCs/>
                <w:u w:val="single"/>
              </w:rPr>
              <w:t>állandó általános költségekre vonatkozó követelmény</w:t>
            </w:r>
          </w:p>
          <w:p w14:paraId="252BDE4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13. cikke</w:t>
            </w:r>
          </w:p>
        </w:tc>
      </w:tr>
      <w:tr w:rsidR="007251CD" w:rsidRPr="009C7AD0" w14:paraId="7F8C3836" w14:textId="77777777">
        <w:tc>
          <w:tcPr>
            <w:tcW w:w="1129" w:type="dxa"/>
          </w:tcPr>
          <w:p w14:paraId="7B62FE6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 xml:space="preserve">0050–0090 </w:t>
            </w:r>
          </w:p>
        </w:tc>
        <w:tc>
          <w:tcPr>
            <w:tcW w:w="7620" w:type="dxa"/>
          </w:tcPr>
          <w:p w14:paraId="1FC5BA63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Átmeneti szavatolótőke-követelmény</w:t>
            </w:r>
          </w:p>
        </w:tc>
      </w:tr>
      <w:tr w:rsidR="007251CD" w:rsidRPr="009C7AD0" w14:paraId="2D310E6E" w14:textId="77777777">
        <w:tc>
          <w:tcPr>
            <w:tcW w:w="1129" w:type="dxa"/>
          </w:tcPr>
          <w:p w14:paraId="41555E10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03065BC4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Az 575/2013/EU rendelet szavatolótőke-követelményén alapuló átmeneti követelmény</w:t>
            </w:r>
          </w:p>
          <w:p w14:paraId="25FB1A6A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57. ci</w:t>
            </w:r>
            <w:r w:rsidRPr="009C7AD0">
              <w:rPr>
                <w:rFonts w:ascii="Times New Roman" w:hAnsi="Times New Roman"/>
                <w:bCs/>
              </w:rPr>
              <w:t>kke (3) bekezdésének a) pontja.</w:t>
            </w:r>
          </w:p>
        </w:tc>
      </w:tr>
      <w:tr w:rsidR="007251CD" w:rsidRPr="009C7AD0" w14:paraId="0B9EBF7E" w14:textId="77777777">
        <w:tc>
          <w:tcPr>
            <w:tcW w:w="1129" w:type="dxa"/>
          </w:tcPr>
          <w:p w14:paraId="4E036C19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7456E8A0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Az állandó általános költségekre vonatkozó követelményen alapuló átmeneti követelmény</w:t>
            </w:r>
          </w:p>
          <w:p w14:paraId="45273165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57. cikke (3) bekezdésének b) pontja.</w:t>
            </w:r>
          </w:p>
        </w:tc>
      </w:tr>
      <w:tr w:rsidR="007251CD" w:rsidRPr="009C7AD0" w14:paraId="3CDBD36F" w14:textId="77777777">
        <w:tc>
          <w:tcPr>
            <w:tcW w:w="1129" w:type="dxa"/>
          </w:tcPr>
          <w:p w14:paraId="64250968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</w:tcPr>
          <w:p w14:paraId="7BE6C34E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A korábban csak indulótőke-követelmény hatálya alá tartozó be</w:t>
            </w:r>
            <w:r w:rsidRPr="009C7AD0">
              <w:rPr>
                <w:rFonts w:ascii="Times New Roman" w:hAnsi="Times New Roman"/>
                <w:b/>
                <w:bCs/>
                <w:u w:val="single"/>
              </w:rPr>
              <w:t>fektetési vállalkozásokra vonatkozó átmeneti követelmény</w:t>
            </w:r>
          </w:p>
          <w:p w14:paraId="5EDF7016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lastRenderedPageBreak/>
              <w:t>Az (EU) 2019/2033 rendelet 57. cikke (4) bekezdésének a) pontja.</w:t>
            </w:r>
          </w:p>
        </w:tc>
      </w:tr>
      <w:tr w:rsidR="007251CD" w:rsidRPr="009C7AD0" w14:paraId="0BDBA8CA" w14:textId="77777777">
        <w:tc>
          <w:tcPr>
            <w:tcW w:w="1129" w:type="dxa"/>
          </w:tcPr>
          <w:p w14:paraId="584B2230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lastRenderedPageBreak/>
              <w:t>0080</w:t>
            </w:r>
          </w:p>
        </w:tc>
        <w:tc>
          <w:tcPr>
            <w:tcW w:w="7620" w:type="dxa"/>
          </w:tcPr>
          <w:p w14:paraId="556B759C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Engedélyezéskori indulótőke-követelményen alapuló átmeneti követelmény</w:t>
            </w:r>
          </w:p>
          <w:p w14:paraId="168BCA46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 xml:space="preserve">Az (EU) 2019/2033 rendelet 57. cikke (4) </w:t>
            </w:r>
            <w:r w:rsidRPr="009C7AD0">
              <w:rPr>
                <w:rFonts w:ascii="Times New Roman" w:hAnsi="Times New Roman"/>
                <w:bCs/>
              </w:rPr>
              <w:t>bekezdésének b) pontja.</w:t>
            </w:r>
          </w:p>
        </w:tc>
      </w:tr>
      <w:tr w:rsidR="007251CD" w:rsidRPr="009C7AD0" w14:paraId="47283DDA" w14:textId="77777777">
        <w:tc>
          <w:tcPr>
            <w:tcW w:w="1129" w:type="dxa"/>
          </w:tcPr>
          <w:p w14:paraId="04E6FA32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2C18F51B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Bizonyos szolgáltatások nyújtására engedéllyel nem rendelkező befektetési vállalkozásokra vonatkozó átmeneti követelmény</w:t>
            </w:r>
          </w:p>
          <w:p w14:paraId="547FD557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57. cikke (4) bekezdésének c) pontja.</w:t>
            </w:r>
          </w:p>
        </w:tc>
      </w:tr>
      <w:tr w:rsidR="007251CD" w:rsidRPr="009C7AD0" w14:paraId="4F2A100F" w14:textId="77777777">
        <w:tc>
          <w:tcPr>
            <w:tcW w:w="1129" w:type="dxa"/>
          </w:tcPr>
          <w:p w14:paraId="6DD9A677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0110–0130</w:t>
            </w:r>
          </w:p>
        </w:tc>
        <w:tc>
          <w:tcPr>
            <w:tcW w:w="7620" w:type="dxa"/>
          </w:tcPr>
          <w:p w14:paraId="51D40E0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Tájékoztató adatok</w:t>
            </w:r>
          </w:p>
        </w:tc>
      </w:tr>
      <w:tr w:rsidR="007251CD" w:rsidRPr="009C7AD0" w14:paraId="2A3744E5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E52B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74AB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Kiegészítő szavatolótőke-követelmény</w:t>
            </w:r>
          </w:p>
          <w:p w14:paraId="71C299FC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2019/2034 irányelv 40. cikke.</w:t>
            </w:r>
          </w:p>
          <w:p w14:paraId="519A5EE4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>A felügyeleti felülvizsgálati és értékelési eljárás (SREP) alapján szükséges kiegészítő szavatolótőke.</w:t>
            </w:r>
          </w:p>
        </w:tc>
      </w:tr>
      <w:tr w:rsidR="007251CD" w:rsidRPr="009C7AD0" w14:paraId="0C4F6475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C688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11DF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Teljes szavatolótőke-követelmény</w:t>
            </w:r>
          </w:p>
          <w:p w14:paraId="73DD4FE8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 xml:space="preserve">Egy befektetési vállalkozás </w:t>
            </w:r>
            <w:r w:rsidRPr="009C7AD0">
              <w:rPr>
                <w:rFonts w:ascii="Times New Roman" w:hAnsi="Times New Roman"/>
                <w:bCs/>
              </w:rPr>
              <w:t>teljes szavatolótőke-követelménye az adatszolgáltatás vonatkozási időpontjában alkalmazandó szavatolótőke-követelményének, a 0110. sorban feltüntetett kiegészítő szavatolótőke-követelményének és a 0120. sorban feltüntetett kiegészítő szavatolótőkére vonatk</w:t>
            </w:r>
            <w:r w:rsidRPr="009C7AD0">
              <w:rPr>
                <w:rFonts w:ascii="Times New Roman" w:hAnsi="Times New Roman"/>
                <w:bCs/>
              </w:rPr>
              <w:t>ozó iránymutatásnak az összege.</w:t>
            </w:r>
          </w:p>
        </w:tc>
      </w:tr>
    </w:tbl>
    <w:p w14:paraId="5CCD82A4" w14:textId="77777777" w:rsidR="007251CD" w:rsidRPr="009C7AD0" w:rsidRDefault="009C7AD0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23" w:name="_Toc88117834"/>
      <w:r w:rsidRPr="009C7AD0">
        <w:rPr>
          <w:rFonts w:ascii="Times New Roman" w:hAnsi="Times New Roman"/>
          <w:sz w:val="24"/>
        </w:rPr>
        <w:t>1.4. I 02.04 – TŐKEMEGFELELÉSI MUTATÓK (I 2.4)</w:t>
      </w:r>
      <w:bookmarkEnd w:id="23"/>
    </w:p>
    <w:p w14:paraId="5319B8E0" w14:textId="77777777" w:rsidR="007251CD" w:rsidRPr="009C7AD0" w:rsidRDefault="009C7AD0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24" w:name="_Toc88117835"/>
      <w:r w:rsidRPr="009C7AD0">
        <w:rPr>
          <w:rFonts w:ascii="Times New Roman" w:hAnsi="Times New Roman"/>
          <w:sz w:val="24"/>
          <w:szCs w:val="24"/>
        </w:rPr>
        <w:t>1.4.1.</w:t>
      </w:r>
      <w:r w:rsidRPr="009C7AD0">
        <w:tab/>
      </w:r>
      <w:r w:rsidRPr="009C7AD0">
        <w:rPr>
          <w:rFonts w:ascii="Times New Roman" w:hAnsi="Times New Roman"/>
          <w:sz w:val="24"/>
          <w:szCs w:val="24"/>
          <w:u w:val="single"/>
        </w:rPr>
        <w:t>A tábla egyes részeire vonatkozó útmutató</w:t>
      </w:r>
      <w:bookmarkEnd w:id="24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7251CD" w:rsidRPr="009C7AD0" w14:paraId="021F17F0" w14:textId="77777777">
        <w:tc>
          <w:tcPr>
            <w:tcW w:w="1129" w:type="dxa"/>
            <w:shd w:val="clear" w:color="auto" w:fill="D9D9D9"/>
          </w:tcPr>
          <w:p w14:paraId="1CD6476A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</w:rPr>
              <w:t>Sor</w:t>
            </w:r>
          </w:p>
        </w:tc>
        <w:tc>
          <w:tcPr>
            <w:tcW w:w="7620" w:type="dxa"/>
            <w:shd w:val="clear" w:color="auto" w:fill="D9D9D9"/>
          </w:tcPr>
          <w:p w14:paraId="637E5F69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</w:rPr>
              <w:t>Jogszabályi hivatkozások és útmutató</w:t>
            </w:r>
          </w:p>
        </w:tc>
      </w:tr>
      <w:tr w:rsidR="007251CD" w:rsidRPr="009C7AD0" w14:paraId="6AA359EA" w14:textId="77777777">
        <w:tc>
          <w:tcPr>
            <w:tcW w:w="1129" w:type="dxa"/>
          </w:tcPr>
          <w:p w14:paraId="7DE60F07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7DDB6C43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CET 1 arány</w:t>
            </w:r>
          </w:p>
          <w:p w14:paraId="65D54CAF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 xml:space="preserve">Az (EU) 2019/2033 rendelet 9. cikke (1) bekezdésének a) pontja és </w:t>
            </w:r>
            <w:r w:rsidRPr="009C7AD0">
              <w:rPr>
                <w:rFonts w:ascii="Times New Roman" w:hAnsi="Times New Roman"/>
                <w:bCs/>
              </w:rPr>
              <w:t>11. cikkének (1) és (2) bekezdése.</w:t>
            </w:r>
          </w:p>
          <w:p w14:paraId="42EBC9A3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>Ezt a tételt százalékban kell megadni.</w:t>
            </w:r>
          </w:p>
        </w:tc>
      </w:tr>
      <w:tr w:rsidR="007251CD" w:rsidRPr="009C7AD0" w14:paraId="13CDFFA9" w14:textId="77777777">
        <w:tc>
          <w:tcPr>
            <w:tcW w:w="1129" w:type="dxa"/>
          </w:tcPr>
          <w:p w14:paraId="17BD4ED6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54861FA3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A CET 1 tőke többlete (+)/hiánya (–)</w:t>
            </w:r>
          </w:p>
          <w:p w14:paraId="38789D63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9C7AD0">
              <w:rPr>
                <w:rFonts w:ascii="Times New Roman" w:hAnsi="Times New Roman"/>
              </w:rPr>
              <w:t>Ez a tétel a CET 1 tőkének az (EU) 2019/2033 rendelet 9. cikkének (1) bekezdésében meghatározott követelményhez kapcsolódó többletét vagy h</w:t>
            </w:r>
            <w:r w:rsidRPr="009C7AD0">
              <w:rPr>
                <w:rFonts w:ascii="Times New Roman" w:hAnsi="Times New Roman"/>
              </w:rPr>
              <w:t>iányát mutatja.</w:t>
            </w:r>
          </w:p>
          <w:p w14:paraId="063AAB65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</w:rPr>
              <w:t>E tétel esetében nem kell figyelembe venni az (EU) 2019/2033 rendelet 57. cikkének (3) és (4) bekezdésében foglalt átmeneti rendelkezéseket.</w:t>
            </w:r>
          </w:p>
        </w:tc>
      </w:tr>
      <w:tr w:rsidR="007251CD" w:rsidRPr="009C7AD0" w14:paraId="193A2437" w14:textId="77777777">
        <w:tc>
          <w:tcPr>
            <w:tcW w:w="1129" w:type="dxa"/>
          </w:tcPr>
          <w:p w14:paraId="60D5B230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0121B355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Tier 1 arány</w:t>
            </w:r>
          </w:p>
          <w:p w14:paraId="04E979D5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 xml:space="preserve">Az (EU) 2019/2033 rendelet 9. cikke (1) bekezdésének b) pontja és 11. </w:t>
            </w:r>
            <w:r w:rsidRPr="009C7AD0">
              <w:rPr>
                <w:rFonts w:ascii="Times New Roman" w:hAnsi="Times New Roman"/>
                <w:bCs/>
              </w:rPr>
              <w:t>cikkének (1) és (2) bekezdése.</w:t>
            </w:r>
          </w:p>
          <w:p w14:paraId="0BF38B78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>Ezt a tételt százalékban kell megadni.</w:t>
            </w:r>
          </w:p>
        </w:tc>
      </w:tr>
      <w:tr w:rsidR="007251CD" w:rsidRPr="009C7AD0" w14:paraId="1B37B93A" w14:textId="77777777">
        <w:tc>
          <w:tcPr>
            <w:tcW w:w="1129" w:type="dxa"/>
          </w:tcPr>
          <w:p w14:paraId="668C0D3A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25E465C3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A Tier 1 tőke többlete (+)/hiánya (–)</w:t>
            </w:r>
          </w:p>
          <w:p w14:paraId="4620A0E9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9C7AD0">
              <w:rPr>
                <w:rFonts w:ascii="Times New Roman" w:hAnsi="Times New Roman"/>
              </w:rPr>
              <w:t>Ez a tétel a Tier 1 tőkének az (EU) 2019/2033 rendelet 9. cikkének (1) bekezdésében meghatározott követelményhez kapcsolódó többletét vagy hiá</w:t>
            </w:r>
            <w:r w:rsidRPr="009C7AD0">
              <w:rPr>
                <w:rFonts w:ascii="Times New Roman" w:hAnsi="Times New Roman"/>
              </w:rPr>
              <w:t>nyát mutatja.</w:t>
            </w:r>
          </w:p>
          <w:p w14:paraId="6CC9F7E3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</w:rPr>
              <w:t>E tétel esetében nem kell figyelembe venni az (EU) 2019/2033 rendelet 57. cikkének (3) és (4) bekezdésében foglalt átmeneti rendelkezéseket.</w:t>
            </w:r>
          </w:p>
        </w:tc>
      </w:tr>
      <w:tr w:rsidR="007251CD" w:rsidRPr="009C7AD0" w14:paraId="663A57BA" w14:textId="77777777">
        <w:tc>
          <w:tcPr>
            <w:tcW w:w="1129" w:type="dxa"/>
          </w:tcPr>
          <w:p w14:paraId="43C99FFD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290B9669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Szavatolótőke-megfelelési mutató</w:t>
            </w:r>
          </w:p>
          <w:p w14:paraId="3C960A65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lastRenderedPageBreak/>
              <w:t>Az (EU) 2019/2033 rendelet 9. cikke (1) bekezdésének c) pontja</w:t>
            </w:r>
            <w:r w:rsidRPr="009C7AD0">
              <w:rPr>
                <w:rFonts w:ascii="Times New Roman" w:hAnsi="Times New Roman"/>
                <w:bCs/>
              </w:rPr>
              <w:t xml:space="preserve"> és 11. cikkének (1) és (2) bekezdése.</w:t>
            </w:r>
          </w:p>
          <w:p w14:paraId="63198CC5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>Ezt a tételt százalékban kell megadni.</w:t>
            </w:r>
          </w:p>
        </w:tc>
      </w:tr>
      <w:tr w:rsidR="007251CD" w:rsidRPr="009C7AD0" w14:paraId="74941EEB" w14:textId="77777777">
        <w:tc>
          <w:tcPr>
            <w:tcW w:w="1129" w:type="dxa"/>
          </w:tcPr>
          <w:p w14:paraId="6744659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lastRenderedPageBreak/>
              <w:t>0060</w:t>
            </w:r>
          </w:p>
        </w:tc>
        <w:tc>
          <w:tcPr>
            <w:tcW w:w="7620" w:type="dxa"/>
          </w:tcPr>
          <w:p w14:paraId="45F95433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A teljes tőke többlete (+)/hiánya (–)</w:t>
            </w:r>
          </w:p>
          <w:p w14:paraId="09201148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9C7AD0">
              <w:rPr>
                <w:rFonts w:ascii="Times New Roman" w:hAnsi="Times New Roman"/>
              </w:rPr>
              <w:t>Ez a tétel a szavatolótőkének az (EU) 2019/2033 rendelet 9. cikkének (1) bekezdésében meghatározott követelményhez kapcsolódó többleté</w:t>
            </w:r>
            <w:r w:rsidRPr="009C7AD0">
              <w:rPr>
                <w:rFonts w:ascii="Times New Roman" w:hAnsi="Times New Roman"/>
              </w:rPr>
              <w:t>t vagy hiányát mutatja.</w:t>
            </w:r>
          </w:p>
          <w:p w14:paraId="2E43A816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</w:rPr>
              <w:t>E tétel esetében nem kell figyelembe venni az (EU) 2019/2033 rendelet 57. cikkének (3) és (4) bekezdésében foglalt átmeneti rendelkezéseket.</w:t>
            </w:r>
          </w:p>
        </w:tc>
      </w:tr>
    </w:tbl>
    <w:p w14:paraId="71730FC9" w14:textId="77777777" w:rsidR="007251CD" w:rsidRPr="009C7AD0" w:rsidRDefault="007251CD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</w:p>
    <w:p w14:paraId="663179F1" w14:textId="77777777" w:rsidR="007251CD" w:rsidRPr="009C7AD0" w:rsidRDefault="009C7AD0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25" w:name="_Toc88117836"/>
      <w:r w:rsidRPr="009C7AD0">
        <w:rPr>
          <w:rFonts w:ascii="Times New Roman" w:hAnsi="Times New Roman"/>
          <w:sz w:val="24"/>
        </w:rPr>
        <w:t>1.5. I 03.01 – AZ ÁLLANDÓ ÁLTALÁNOS KÖLTSÉGEK KISZÁMÍTÁSA (I 3.1)</w:t>
      </w:r>
      <w:bookmarkEnd w:id="2"/>
      <w:bookmarkEnd w:id="3"/>
      <w:bookmarkEnd w:id="4"/>
      <w:bookmarkEnd w:id="5"/>
      <w:bookmarkEnd w:id="25"/>
    </w:p>
    <w:p w14:paraId="1320105C" w14:textId="77777777" w:rsidR="007251CD" w:rsidRPr="009C7AD0" w:rsidRDefault="009C7AD0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26" w:name="_Toc310414968"/>
      <w:bookmarkStart w:id="27" w:name="_Toc360188326"/>
      <w:bookmarkStart w:id="28" w:name="_Toc473560874"/>
      <w:bookmarkStart w:id="29" w:name="_Toc7084159"/>
      <w:bookmarkStart w:id="30" w:name="_Toc88117837"/>
      <w:r w:rsidRPr="009C7AD0">
        <w:rPr>
          <w:rFonts w:ascii="Times New Roman" w:hAnsi="Times New Roman"/>
          <w:sz w:val="24"/>
          <w:szCs w:val="24"/>
        </w:rPr>
        <w:t>1.5.1.</w:t>
      </w:r>
      <w:r w:rsidRPr="009C7AD0">
        <w:tab/>
      </w:r>
      <w:r w:rsidRPr="009C7AD0">
        <w:rPr>
          <w:rFonts w:ascii="Times New Roman" w:hAnsi="Times New Roman"/>
          <w:sz w:val="24"/>
          <w:szCs w:val="24"/>
          <w:u w:val="single"/>
        </w:rPr>
        <w:t xml:space="preserve">A tábla </w:t>
      </w:r>
      <w:r w:rsidRPr="009C7AD0">
        <w:rPr>
          <w:rFonts w:ascii="Times New Roman" w:hAnsi="Times New Roman"/>
          <w:sz w:val="24"/>
          <w:szCs w:val="24"/>
          <w:u w:val="single"/>
        </w:rPr>
        <w:t>egyes részeire vonatkozó útmutató</w:t>
      </w:r>
      <w:bookmarkStart w:id="31" w:name="_Toc308175821"/>
      <w:bookmarkEnd w:id="26"/>
      <w:bookmarkEnd w:id="27"/>
      <w:bookmarkEnd w:id="28"/>
      <w:bookmarkEnd w:id="29"/>
      <w:bookmarkEnd w:id="30"/>
      <w:bookmarkEnd w:id="31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7251CD" w:rsidRPr="009C7AD0" w14:paraId="5BFD5AE1" w14:textId="77777777">
        <w:tc>
          <w:tcPr>
            <w:tcW w:w="1129" w:type="dxa"/>
            <w:shd w:val="clear" w:color="auto" w:fill="D9D9D9"/>
          </w:tcPr>
          <w:p w14:paraId="50204BEC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color w:val="000000" w:themeColor="text1"/>
              </w:rPr>
              <w:t>Sor</w:t>
            </w:r>
          </w:p>
        </w:tc>
        <w:tc>
          <w:tcPr>
            <w:tcW w:w="7620" w:type="dxa"/>
            <w:shd w:val="clear" w:color="auto" w:fill="D9D9D9"/>
          </w:tcPr>
          <w:p w14:paraId="020D86E9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color w:val="000000" w:themeColor="text1"/>
              </w:rPr>
              <w:t>Jogszabályi hivatkozások és útmutató</w:t>
            </w:r>
          </w:p>
        </w:tc>
      </w:tr>
      <w:tr w:rsidR="007251CD" w:rsidRPr="009C7AD0" w14:paraId="2C6D0AD2" w14:textId="77777777">
        <w:tc>
          <w:tcPr>
            <w:tcW w:w="1129" w:type="dxa"/>
          </w:tcPr>
          <w:p w14:paraId="21945976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  <w:color w:val="000000" w:themeColor="text1"/>
              </w:rPr>
              <w:t>0010</w:t>
            </w:r>
          </w:p>
        </w:tc>
        <w:tc>
          <w:tcPr>
            <w:tcW w:w="7620" w:type="dxa"/>
          </w:tcPr>
          <w:p w14:paraId="5338C7AD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Az állandó általános költségekre vonatkozó követelmény</w:t>
            </w:r>
          </w:p>
          <w:p w14:paraId="44512073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13. cikkének (1) bekezdése.</w:t>
            </w:r>
          </w:p>
          <w:p w14:paraId="7756A52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9C7AD0">
              <w:rPr>
                <w:rFonts w:ascii="Times New Roman" w:hAnsi="Times New Roman"/>
              </w:rPr>
              <w:t xml:space="preserve">A megadott összegnek legalább az előző évi állandó </w:t>
            </w:r>
            <w:r w:rsidRPr="009C7AD0">
              <w:rPr>
                <w:rFonts w:ascii="Times New Roman" w:hAnsi="Times New Roman"/>
              </w:rPr>
              <w:t>általános költségek (0020. sor) 25 %-ának kell lennie.</w:t>
            </w:r>
          </w:p>
          <w:p w14:paraId="5209DC85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9C7AD0">
              <w:rPr>
                <w:rFonts w:ascii="Times New Roman" w:hAnsi="Times New Roman"/>
              </w:rPr>
              <w:t>Az (EU) 2019/2033 rendelet 13. cikkének (2) bekezdésében említett lényeges változás esetén a jelentett összeg az illetékes hatóság által az említett cikkel összhangban előírt állandó általános költsége</w:t>
            </w:r>
            <w:r w:rsidRPr="009C7AD0">
              <w:rPr>
                <w:rFonts w:ascii="Times New Roman" w:hAnsi="Times New Roman"/>
              </w:rPr>
              <w:t>kre vonatkozó követelmény.</w:t>
            </w:r>
          </w:p>
          <w:p w14:paraId="5F5DCC22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9C7AD0">
              <w:rPr>
                <w:rFonts w:ascii="Times New Roman" w:hAnsi="Times New Roman"/>
              </w:rPr>
              <w:t>Az (EU) 2019/2033 rendelet 13. cikkének (3) bekezdésében meghatározott esetekben a jelentendő összeg a folyó évre előre jelzett állandó általános költségek összege (0200. sor).</w:t>
            </w:r>
          </w:p>
        </w:tc>
      </w:tr>
      <w:tr w:rsidR="007251CD" w:rsidRPr="009C7AD0" w14:paraId="71125193" w14:textId="77777777">
        <w:tc>
          <w:tcPr>
            <w:tcW w:w="1129" w:type="dxa"/>
          </w:tcPr>
          <w:p w14:paraId="6E44E54A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  <w:color w:val="000000" w:themeColor="text1"/>
              </w:rPr>
              <w:t>0020</w:t>
            </w:r>
          </w:p>
        </w:tc>
        <w:tc>
          <w:tcPr>
            <w:tcW w:w="7620" w:type="dxa"/>
          </w:tcPr>
          <w:p w14:paraId="641D4144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Az előző év éves állandó általános </w:t>
            </w:r>
            <w:r w:rsidRPr="009C7AD0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költségei a nyereségfelosztást követően</w:t>
            </w:r>
          </w:p>
          <w:p w14:paraId="515DB16F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  <w:color w:val="000000" w:themeColor="text1"/>
              </w:rPr>
              <w:t>Az (EU) 2019/2033 rendelet 13. cikkének (1) bekezdése.</w:t>
            </w:r>
          </w:p>
          <w:p w14:paraId="126CC01A" w14:textId="77777777" w:rsidR="007251CD" w:rsidRPr="009C7AD0" w:rsidRDefault="009C7AD0">
            <w:pPr>
              <w:pStyle w:val="Commen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9C7AD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A befektetési vállalkozásnak az előző évi, a nyereségfelosztás utáni állandó általános költségeket kell jelentenie.</w:t>
            </w:r>
          </w:p>
        </w:tc>
      </w:tr>
      <w:tr w:rsidR="007251CD" w:rsidRPr="009C7AD0" w14:paraId="29E7FABC" w14:textId="77777777">
        <w:tc>
          <w:tcPr>
            <w:tcW w:w="1129" w:type="dxa"/>
          </w:tcPr>
          <w:p w14:paraId="66D07414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  <w:color w:val="000000" w:themeColor="text1"/>
              </w:rPr>
              <w:t>0030</w:t>
            </w:r>
          </w:p>
        </w:tc>
        <w:tc>
          <w:tcPr>
            <w:tcW w:w="7620" w:type="dxa"/>
          </w:tcPr>
          <w:p w14:paraId="660210E2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Az előző év összes ráfordítása a nyeres</w:t>
            </w:r>
            <w:r w:rsidRPr="009C7AD0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égfelosztás után</w:t>
            </w:r>
          </w:p>
          <w:p w14:paraId="784EA456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13. cikkének (1) bekezdése.</w:t>
            </w:r>
          </w:p>
          <w:p w14:paraId="7C036934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  <w:color w:val="000000" w:themeColor="text1"/>
              </w:rPr>
              <w:t>A nyereségfelosztás utáni összeget kell megadni.</w:t>
            </w:r>
          </w:p>
        </w:tc>
      </w:tr>
      <w:tr w:rsidR="007251CD" w:rsidRPr="009C7AD0" w14:paraId="27CCC0E5" w14:textId="77777777">
        <w:tc>
          <w:tcPr>
            <w:tcW w:w="1129" w:type="dxa"/>
          </w:tcPr>
          <w:p w14:paraId="438AC81A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  <w:color w:val="000000" w:themeColor="text1"/>
              </w:rPr>
              <w:t>0040</w:t>
            </w:r>
          </w:p>
        </w:tc>
        <w:tc>
          <w:tcPr>
            <w:tcW w:w="7620" w:type="dxa"/>
          </w:tcPr>
          <w:p w14:paraId="3E2B6410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Ebből: a befektetési vállalkozást terhelően harmadik feleknél felmerült állandó ráfordítások</w:t>
            </w:r>
          </w:p>
          <w:p w14:paraId="21AA92C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13. cikke</w:t>
            </w:r>
          </w:p>
        </w:tc>
      </w:tr>
      <w:tr w:rsidR="007251CD" w:rsidRPr="009C7AD0" w14:paraId="68C5587F" w14:textId="77777777">
        <w:tc>
          <w:tcPr>
            <w:tcW w:w="1129" w:type="dxa"/>
          </w:tcPr>
          <w:p w14:paraId="7510CF4E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  <w:color w:val="000000" w:themeColor="text1"/>
              </w:rPr>
              <w:t>0050</w:t>
            </w:r>
          </w:p>
        </w:tc>
        <w:tc>
          <w:tcPr>
            <w:tcW w:w="7620" w:type="dxa"/>
          </w:tcPr>
          <w:p w14:paraId="20EDD36E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(–) Levonások összesen</w:t>
            </w:r>
          </w:p>
          <w:p w14:paraId="5ED4F29C" w14:textId="77777777" w:rsidR="007251CD" w:rsidRPr="009C7AD0" w:rsidRDefault="009C7AD0">
            <w:pPr>
              <w:pStyle w:val="NumPar1"/>
              <w:numPr>
                <w:ilvl w:val="0"/>
                <w:numId w:val="0"/>
              </w:numPr>
              <w:rPr>
                <w:sz w:val="22"/>
              </w:rPr>
            </w:pPr>
            <w:r w:rsidRPr="009C7AD0">
              <w:rPr>
                <w:sz w:val="22"/>
              </w:rPr>
              <w:t xml:space="preserve">Az (EU) 2019/2033 rendelet 13. cikkének (4) bekezdésében említett levonási tételeken kívül a következő tételeket is le kell vonni az összes ráfordításból, amennyiben azokat a vonatkozó számviteli szabályozásnak </w:t>
            </w:r>
            <w:r w:rsidRPr="009C7AD0">
              <w:rPr>
                <w:sz w:val="22"/>
              </w:rPr>
              <w:t>megfelelően az összes ráfordítás tartalmazza:</w:t>
            </w:r>
          </w:p>
          <w:p w14:paraId="2A6C27BC" w14:textId="77777777" w:rsidR="007251CD" w:rsidRPr="009C7AD0" w:rsidRDefault="009C7AD0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sz w:val="22"/>
              </w:rPr>
            </w:pPr>
            <w:r w:rsidRPr="009C7AD0">
              <w:rPr>
                <w:sz w:val="22"/>
              </w:rPr>
              <w:t>a)</w:t>
            </w:r>
            <w:r w:rsidRPr="009C7AD0">
              <w:rPr>
                <w:sz w:val="22"/>
              </w:rPr>
              <w:tab/>
              <w:t xml:space="preserve">a központi szerződő feleknek, tőzsdéknek és más kereskedési helyszíneknek, valamint közvetítő brókereknek az ügyletek végrehajtása, nyilvántartásba </w:t>
            </w:r>
            <w:r w:rsidRPr="009C7AD0">
              <w:rPr>
                <w:sz w:val="22"/>
              </w:rPr>
              <w:lastRenderedPageBreak/>
              <w:t>vétele vagy elszámolása céljából fizetett díjak, ügynöki és</w:t>
            </w:r>
            <w:r w:rsidRPr="009C7AD0">
              <w:rPr>
                <w:sz w:val="22"/>
              </w:rPr>
              <w:t xml:space="preserve"> egyéb díjak, kizárólag akkor, ha azokat közvetlenül áthárítják és felszámítják az ügyfeleknek. Nem tartoznak ide azok a díjak és egyéb kiadások, amelyek a tagság fenntartásához vagy veszteségmegosztási pénzügyi kötelezettségeinek egyéb teljesítéséhez szük</w:t>
            </w:r>
            <w:r w:rsidRPr="009C7AD0">
              <w:rPr>
                <w:sz w:val="22"/>
              </w:rPr>
              <w:t>ségesek a központi szerződő felekkel, tőzsdékkel és más kereskedési helyszínekkel összefüggésben;</w:t>
            </w:r>
          </w:p>
          <w:p w14:paraId="123D21B4" w14:textId="77777777" w:rsidR="007251CD" w:rsidRPr="009C7AD0" w:rsidRDefault="009C7AD0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sz w:val="22"/>
              </w:rPr>
            </w:pPr>
            <w:r w:rsidRPr="009C7AD0">
              <w:rPr>
                <w:sz w:val="22"/>
              </w:rPr>
              <w:t>b)</w:t>
            </w:r>
            <w:r w:rsidRPr="009C7AD0">
              <w:rPr>
                <w:sz w:val="22"/>
              </w:rPr>
              <w:tab/>
              <w:t>az ügyfeleknek az ügyfélpénz után fizetett kamat, amennyiben ilyen kamat fizetésére semmilyen kötelezettség nem vonatkozik;</w:t>
            </w:r>
          </w:p>
          <w:p w14:paraId="4E42B807" w14:textId="77777777" w:rsidR="007251CD" w:rsidRPr="009C7AD0" w:rsidRDefault="009C7AD0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sz w:val="22"/>
              </w:rPr>
            </w:pPr>
            <w:r w:rsidRPr="009C7AD0">
              <w:rPr>
                <w:sz w:val="22"/>
              </w:rPr>
              <w:t>c)</w:t>
            </w:r>
            <w:r w:rsidRPr="009C7AD0">
              <w:rPr>
                <w:sz w:val="22"/>
              </w:rPr>
              <w:tab/>
              <w:t>adókiadások, amennyiben azok</w:t>
            </w:r>
            <w:r w:rsidRPr="009C7AD0">
              <w:rPr>
                <w:sz w:val="22"/>
              </w:rPr>
              <w:t xml:space="preserve"> esedékessé válnak a befektetési vállalkozás éves nyereségével összefüggésben;</w:t>
            </w:r>
          </w:p>
          <w:p w14:paraId="709AC2E0" w14:textId="77777777" w:rsidR="007251CD" w:rsidRPr="009C7AD0" w:rsidRDefault="009C7AD0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sz w:val="22"/>
              </w:rPr>
            </w:pPr>
            <w:r w:rsidRPr="009C7AD0">
              <w:rPr>
                <w:sz w:val="22"/>
              </w:rPr>
              <w:t>d)</w:t>
            </w:r>
            <w:r w:rsidRPr="009C7AD0">
              <w:rPr>
                <w:sz w:val="22"/>
              </w:rPr>
              <w:tab/>
              <w:t>pénzügyi eszközökkel való saját számlás kereskedésből származó veszteségek;</w:t>
            </w:r>
          </w:p>
          <w:p w14:paraId="7C32FF83" w14:textId="77777777" w:rsidR="007251CD" w:rsidRPr="009C7AD0" w:rsidRDefault="009C7AD0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sz w:val="22"/>
              </w:rPr>
            </w:pPr>
            <w:r w:rsidRPr="009C7AD0">
              <w:rPr>
                <w:sz w:val="22"/>
              </w:rPr>
              <w:t>e)</w:t>
            </w:r>
            <w:r w:rsidRPr="009C7AD0">
              <w:rPr>
                <w:sz w:val="22"/>
              </w:rPr>
              <w:tab/>
              <w:t xml:space="preserve">szerződésen alapuló nyereség- és veszteségátruházási megállapodásokhoz kapcsolódó kifizetések, </w:t>
            </w:r>
            <w:r w:rsidRPr="009C7AD0">
              <w:rPr>
                <w:sz w:val="22"/>
              </w:rPr>
              <w:t>amelyek értelmében a befektetési vállalkozás az éves pénzügyi kimutatásainak elkészítését követően köteles átadni az éves eredményét az anyavállalatnak;</w:t>
            </w:r>
          </w:p>
          <w:p w14:paraId="4B813369" w14:textId="77777777" w:rsidR="007251CD" w:rsidRPr="009C7AD0" w:rsidRDefault="009C7AD0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color w:val="000000" w:themeColor="text1"/>
                <w:sz w:val="22"/>
              </w:rPr>
            </w:pPr>
            <w:r w:rsidRPr="009C7AD0">
              <w:rPr>
                <w:color w:val="000000" w:themeColor="text1"/>
                <w:sz w:val="22"/>
              </w:rPr>
              <w:t>f)</w:t>
            </w:r>
            <w:r w:rsidRPr="009C7AD0">
              <w:rPr>
                <w:color w:val="000000" w:themeColor="text1"/>
                <w:sz w:val="22"/>
              </w:rPr>
              <w:tab/>
            </w:r>
            <w:r w:rsidRPr="009C7AD0">
              <w:rPr>
                <w:sz w:val="22"/>
              </w:rPr>
              <w:t>az 575/2013/EU rendelet 26. cikke (1) bekezdésének f) pontjával összhangban az általános banki kocká</w:t>
            </w:r>
            <w:r w:rsidRPr="009C7AD0">
              <w:rPr>
                <w:sz w:val="22"/>
              </w:rPr>
              <w:t>zatok fedezetére képzett tartalékba történő befizetések;</w:t>
            </w:r>
          </w:p>
          <w:p w14:paraId="369E0F7F" w14:textId="77777777" w:rsidR="007251CD" w:rsidRPr="009C7AD0" w:rsidRDefault="009C7AD0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rFonts w:eastAsia="Times New Roman"/>
                <w:bCs/>
                <w:color w:val="000000" w:themeColor="text1"/>
                <w:sz w:val="22"/>
              </w:rPr>
            </w:pPr>
            <w:r w:rsidRPr="009C7AD0">
              <w:rPr>
                <w:rFonts w:eastAsia="Times New Roman"/>
                <w:bCs/>
                <w:color w:val="000000" w:themeColor="text1"/>
                <w:sz w:val="22"/>
              </w:rPr>
              <w:t>g)</w:t>
            </w:r>
            <w:r w:rsidRPr="009C7AD0">
              <w:rPr>
                <w:rFonts w:eastAsia="Times New Roman"/>
                <w:bCs/>
                <w:color w:val="000000" w:themeColor="text1"/>
                <w:sz w:val="22"/>
              </w:rPr>
              <w:tab/>
            </w:r>
            <w:r w:rsidRPr="009C7AD0">
              <w:rPr>
                <w:sz w:val="22"/>
              </w:rPr>
              <w:t>az 575/2013/EU rendelet 36. cikkének (1) bekezdésével összhangban a szavatolótőkéből már levont tételekhez kapcsolódó ráfordítások.</w:t>
            </w:r>
          </w:p>
        </w:tc>
      </w:tr>
      <w:tr w:rsidR="007251CD" w:rsidRPr="009C7AD0" w14:paraId="263A0B4D" w14:textId="77777777">
        <w:tc>
          <w:tcPr>
            <w:tcW w:w="1129" w:type="dxa"/>
          </w:tcPr>
          <w:p w14:paraId="75E0E669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  <w:color w:val="000000" w:themeColor="text1"/>
              </w:rPr>
              <w:lastRenderedPageBreak/>
              <w:t>0060</w:t>
            </w:r>
          </w:p>
        </w:tc>
        <w:tc>
          <w:tcPr>
            <w:tcW w:w="7620" w:type="dxa"/>
          </w:tcPr>
          <w:p w14:paraId="4FF44806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(–) Az alkalmazottaknak járó bónuszok és egyéb javadalmazá</w:t>
            </w:r>
            <w:r w:rsidRPr="009C7AD0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s</w:t>
            </w:r>
          </w:p>
          <w:p w14:paraId="697BEE03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  <w:color w:val="000000" w:themeColor="text1"/>
              </w:rPr>
              <w:t>Az (EU) 2019/2033 rendelet 13. cikke (4) bekezdésének a) pontja.</w:t>
            </w:r>
          </w:p>
          <w:p w14:paraId="5266CF24" w14:textId="77777777" w:rsidR="007251CD" w:rsidRPr="009C7AD0" w:rsidRDefault="009C7AD0">
            <w:pPr>
              <w:pStyle w:val="NumPar1"/>
              <w:numPr>
                <w:ilvl w:val="0"/>
                <w:numId w:val="0"/>
              </w:numPr>
              <w:rPr>
                <w:sz w:val="22"/>
              </w:rPr>
            </w:pPr>
            <w:r w:rsidRPr="009C7AD0">
              <w:rPr>
                <w:sz w:val="22"/>
              </w:rPr>
              <w:t>Az alkalmazottaknak járó bónuszok és egyéb javadalmazások a befektetési vállalkozás adott évi nettó nyereségétől függnek, amennyiben mindkét alábbi feltétel teljesül:</w:t>
            </w:r>
          </w:p>
          <w:p w14:paraId="4D25810D" w14:textId="77777777" w:rsidR="007251CD" w:rsidRPr="009C7AD0" w:rsidRDefault="009C7AD0">
            <w:pPr>
              <w:pStyle w:val="Point1letter"/>
              <w:numPr>
                <w:ilvl w:val="0"/>
                <w:numId w:val="0"/>
              </w:numPr>
              <w:ind w:left="634" w:hanging="567"/>
              <w:rPr>
                <w:sz w:val="22"/>
              </w:rPr>
            </w:pPr>
            <w:r w:rsidRPr="009C7AD0">
              <w:rPr>
                <w:sz w:val="22"/>
              </w:rPr>
              <w:t>h)</w:t>
            </w:r>
            <w:r w:rsidRPr="009C7AD0">
              <w:rPr>
                <w:sz w:val="22"/>
              </w:rPr>
              <w:tab/>
              <w:t xml:space="preserve">a </w:t>
            </w:r>
            <w:r w:rsidRPr="009C7AD0">
              <w:rPr>
                <w:sz w:val="22"/>
              </w:rPr>
              <w:t xml:space="preserve">levonandó, alkalmazottaknak járó bónuszokat vagy egyéb javadalmazásokat a kifizetés évét megelőző évben már kifizették az alkalmazottaknak, vagy az alkalmazotti bónuszok vagy egyéb javadalmazások kifizetése nem lesz hatással a vállalkozás tőkehelyzetére a </w:t>
            </w:r>
            <w:r w:rsidRPr="009C7AD0">
              <w:rPr>
                <w:sz w:val="22"/>
              </w:rPr>
              <w:t>kifizetés évében;</w:t>
            </w:r>
          </w:p>
          <w:p w14:paraId="32D4BBEC" w14:textId="77777777" w:rsidR="007251CD" w:rsidRPr="009C7AD0" w:rsidRDefault="009C7AD0">
            <w:pPr>
              <w:pStyle w:val="Point1letter"/>
              <w:numPr>
                <w:ilvl w:val="0"/>
                <w:numId w:val="0"/>
              </w:numPr>
              <w:ind w:left="634" w:hanging="567"/>
              <w:rPr>
                <w:rFonts w:eastAsia="Times New Roman"/>
                <w:bCs/>
                <w:color w:val="000000" w:themeColor="text1"/>
                <w:sz w:val="22"/>
              </w:rPr>
            </w:pPr>
            <w:r w:rsidRPr="009C7AD0">
              <w:rPr>
                <w:rFonts w:eastAsia="Times New Roman"/>
                <w:bCs/>
                <w:color w:val="000000" w:themeColor="text1"/>
                <w:sz w:val="22"/>
              </w:rPr>
              <w:t>i)</w:t>
            </w:r>
            <w:r w:rsidRPr="009C7AD0">
              <w:rPr>
                <w:rFonts w:eastAsia="Times New Roman"/>
                <w:bCs/>
                <w:color w:val="000000" w:themeColor="text1"/>
                <w:sz w:val="22"/>
              </w:rPr>
              <w:tab/>
            </w:r>
            <w:r w:rsidRPr="009C7AD0">
              <w:rPr>
                <w:sz w:val="22"/>
              </w:rPr>
              <w:t>a folyó év és a következő évek tekintetében a befektetési vállalkozás nem köteles további bónuszokat vagy egyéb kifizetéseket javadalmazás formájában megítélni vagy kiosztani, kivéve, ha abban az évben nettó nyereséget ér el.</w:t>
            </w:r>
          </w:p>
        </w:tc>
      </w:tr>
      <w:tr w:rsidR="007251CD" w:rsidRPr="009C7AD0" w14:paraId="0F087D28" w14:textId="77777777">
        <w:tc>
          <w:tcPr>
            <w:tcW w:w="1129" w:type="dxa"/>
          </w:tcPr>
          <w:p w14:paraId="1BD05627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  <w:color w:val="000000" w:themeColor="text1"/>
              </w:rPr>
              <w:t>0070</w:t>
            </w:r>
          </w:p>
        </w:tc>
        <w:tc>
          <w:tcPr>
            <w:tcW w:w="7620" w:type="dxa"/>
          </w:tcPr>
          <w:p w14:paraId="2285CD18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(–)</w:t>
            </w:r>
            <w:r w:rsidRPr="009C7AD0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 A munkavállalók, igazgatók és partnerek nyereségrészesedése</w:t>
            </w:r>
          </w:p>
          <w:p w14:paraId="0219CAAB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  <w:color w:val="000000" w:themeColor="text1"/>
              </w:rPr>
              <w:t>Az (EU) 2019/2033 rendelet 13. cikke (4) bekezdésének b) pontja.</w:t>
            </w:r>
          </w:p>
          <w:p w14:paraId="3280B765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</w:rPr>
              <w:t>A munkavállalók, az igazgatók és a partnerek nyereségből való részesedését a nettó nyereség alapján kell kiszámítani.</w:t>
            </w:r>
          </w:p>
        </w:tc>
      </w:tr>
      <w:tr w:rsidR="007251CD" w:rsidRPr="009C7AD0" w14:paraId="28F8E3A8" w14:textId="77777777">
        <w:tc>
          <w:tcPr>
            <w:tcW w:w="1129" w:type="dxa"/>
          </w:tcPr>
          <w:p w14:paraId="53B61B6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  <w:color w:val="000000" w:themeColor="text1"/>
              </w:rPr>
              <w:t>0080</w:t>
            </w:r>
          </w:p>
        </w:tc>
        <w:tc>
          <w:tcPr>
            <w:tcW w:w="7620" w:type="dxa"/>
          </w:tcPr>
          <w:p w14:paraId="0C454CC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(−) Eg</w:t>
            </w:r>
            <w:r w:rsidRPr="009C7AD0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yéb diszkrecionális nyereségkifizetések és változó javadalmazás</w:t>
            </w:r>
          </w:p>
          <w:p w14:paraId="599E4CE5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  <w:color w:val="000000" w:themeColor="text1"/>
              </w:rPr>
              <w:t>Az (EU) 2019/2033 rendelet 13. cikke (4) bekezdésének c) pontja.</w:t>
            </w:r>
          </w:p>
        </w:tc>
      </w:tr>
      <w:tr w:rsidR="007251CD" w:rsidRPr="009C7AD0" w14:paraId="3487430F" w14:textId="77777777">
        <w:tc>
          <w:tcPr>
            <w:tcW w:w="1129" w:type="dxa"/>
          </w:tcPr>
          <w:p w14:paraId="6F425E2C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  <w:color w:val="000000" w:themeColor="text1"/>
              </w:rPr>
              <w:t>0090</w:t>
            </w:r>
          </w:p>
        </w:tc>
        <w:tc>
          <w:tcPr>
            <w:tcW w:w="7620" w:type="dxa"/>
          </w:tcPr>
          <w:p w14:paraId="6023BC63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(–) Megosztott jutalék- és díjtartozások</w:t>
            </w:r>
          </w:p>
          <w:p w14:paraId="55FF0C49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  <w:color w:val="000000" w:themeColor="text1"/>
              </w:rPr>
              <w:t>Az (EU) 2019/2033 rendelet 13. cikke (4) bekezdésének d) pontja.</w:t>
            </w:r>
          </w:p>
        </w:tc>
      </w:tr>
      <w:tr w:rsidR="007251CD" w:rsidRPr="009C7AD0" w14:paraId="673BDA21" w14:textId="77777777">
        <w:tc>
          <w:tcPr>
            <w:tcW w:w="1129" w:type="dxa"/>
          </w:tcPr>
          <w:p w14:paraId="44245790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  <w:color w:val="000000" w:themeColor="text1"/>
              </w:rPr>
              <w:t>0100</w:t>
            </w:r>
          </w:p>
        </w:tc>
        <w:tc>
          <w:tcPr>
            <w:tcW w:w="7620" w:type="dxa"/>
          </w:tcPr>
          <w:p w14:paraId="4140033C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(−) A </w:t>
            </w:r>
            <w:r w:rsidRPr="009C7AD0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központi szerződő feleknek fizetett, az ügyfeleknek felszámított díjak, ügynöki díjak és egyéb kiadások</w:t>
            </w:r>
          </w:p>
          <w:p w14:paraId="4FC8D90E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</w:rPr>
              <w:t>A központi szerződő feleknek, tőzsdéknek és más kereskedési helyszíneknek, valamint közvetítő brókereknek az ügyletek végrehajtása, nyilvántartásba véte</w:t>
            </w:r>
            <w:r w:rsidRPr="009C7AD0">
              <w:rPr>
                <w:rFonts w:ascii="Times New Roman" w:hAnsi="Times New Roman"/>
              </w:rPr>
              <w:t xml:space="preserve">le vagy elszámolása céljából fizetett díjak, ügynöki és egyéb díjak, kizárólag akkor, ha </w:t>
            </w:r>
            <w:r w:rsidRPr="009C7AD0">
              <w:rPr>
                <w:rFonts w:ascii="Times New Roman" w:hAnsi="Times New Roman"/>
              </w:rPr>
              <w:lastRenderedPageBreak/>
              <w:t>azokat közvetlenül áthárítják és felszámítják az ügyfeleknek. Nem tartoznak ide azok a díjak és egyéb kiadások, amelyek a tagság fenntartásához vagy veszteségmegosztás</w:t>
            </w:r>
            <w:r w:rsidRPr="009C7AD0">
              <w:rPr>
                <w:rFonts w:ascii="Times New Roman" w:hAnsi="Times New Roman"/>
              </w:rPr>
              <w:t>i pénzügyi kötelezettségeinek egyéb teljesítéséhez szükségesek a központi szerződő felekkel, tőzsdékkel és más kereskedési helyszínekkel összefüggésben.</w:t>
            </w:r>
          </w:p>
        </w:tc>
      </w:tr>
      <w:tr w:rsidR="007251CD" w:rsidRPr="009C7AD0" w14:paraId="6C5F50ED" w14:textId="77777777">
        <w:tc>
          <w:tcPr>
            <w:tcW w:w="1129" w:type="dxa"/>
          </w:tcPr>
          <w:p w14:paraId="7E2C2157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  <w:color w:val="000000" w:themeColor="text1"/>
              </w:rPr>
              <w:lastRenderedPageBreak/>
              <w:t>0110</w:t>
            </w:r>
          </w:p>
        </w:tc>
        <w:tc>
          <w:tcPr>
            <w:tcW w:w="7620" w:type="dxa"/>
          </w:tcPr>
          <w:p w14:paraId="7E080262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(–) A függő ügynököknek fizetett díjak</w:t>
            </w:r>
          </w:p>
          <w:p w14:paraId="14506C8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13. cikke (4) bekezdésének e) p</w:t>
            </w:r>
            <w:r w:rsidRPr="009C7AD0">
              <w:rPr>
                <w:rFonts w:ascii="Times New Roman" w:hAnsi="Times New Roman"/>
                <w:bCs/>
              </w:rPr>
              <w:t>ontja.</w:t>
            </w:r>
          </w:p>
        </w:tc>
      </w:tr>
      <w:tr w:rsidR="007251CD" w:rsidRPr="009C7AD0" w14:paraId="03144480" w14:textId="77777777">
        <w:tc>
          <w:tcPr>
            <w:tcW w:w="1129" w:type="dxa"/>
          </w:tcPr>
          <w:p w14:paraId="1FB0798E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  <w:color w:val="000000" w:themeColor="text1"/>
              </w:rPr>
              <w:t>0130</w:t>
            </w:r>
          </w:p>
        </w:tc>
        <w:tc>
          <w:tcPr>
            <w:tcW w:w="7620" w:type="dxa"/>
          </w:tcPr>
          <w:p w14:paraId="5033EDF7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(–) Nem szokásos tevékenységekből eredő nem ismétlődő kiadások</w:t>
            </w:r>
          </w:p>
          <w:p w14:paraId="733CEB1A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  <w:color w:val="000000" w:themeColor="text1"/>
              </w:rPr>
              <w:t>Az (EU) 2019/2033 rendelet 13. cikke (4) bekezdésének f) pontja.</w:t>
            </w:r>
          </w:p>
        </w:tc>
      </w:tr>
      <w:tr w:rsidR="007251CD" w:rsidRPr="009C7AD0" w14:paraId="1CA2B8C0" w14:textId="77777777">
        <w:tc>
          <w:tcPr>
            <w:tcW w:w="1129" w:type="dxa"/>
          </w:tcPr>
          <w:p w14:paraId="3B94A650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  <w:color w:val="000000" w:themeColor="text1"/>
              </w:rPr>
              <w:t>0140</w:t>
            </w:r>
          </w:p>
          <w:p w14:paraId="50BD0D4D" w14:textId="77777777" w:rsidR="007251CD" w:rsidRPr="009C7AD0" w:rsidRDefault="007251C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IE" w:eastAsia="de-DE"/>
              </w:rPr>
            </w:pPr>
          </w:p>
        </w:tc>
        <w:tc>
          <w:tcPr>
            <w:tcW w:w="7620" w:type="dxa"/>
          </w:tcPr>
          <w:p w14:paraId="7FB42354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(−) Adókiadások</w:t>
            </w:r>
          </w:p>
          <w:p w14:paraId="3CBC3DFC" w14:textId="77777777" w:rsidR="007251CD" w:rsidRPr="009C7AD0" w:rsidRDefault="009C7AD0">
            <w:pPr>
              <w:pStyle w:val="Point1letter"/>
              <w:numPr>
                <w:ilvl w:val="0"/>
                <w:numId w:val="0"/>
              </w:numPr>
              <w:rPr>
                <w:rFonts w:eastAsia="Times New Roman"/>
                <w:color w:val="000000" w:themeColor="text1"/>
                <w:sz w:val="22"/>
              </w:rPr>
            </w:pPr>
            <w:r w:rsidRPr="009C7AD0">
              <w:rPr>
                <w:sz w:val="22"/>
              </w:rPr>
              <w:t>Adókiadások, amennyiben azok esedékessé válnak a befektetési vállalkozás éves nyereségével ö</w:t>
            </w:r>
            <w:r w:rsidRPr="009C7AD0">
              <w:rPr>
                <w:sz w:val="22"/>
              </w:rPr>
              <w:t>sszefüggésben.</w:t>
            </w:r>
          </w:p>
        </w:tc>
      </w:tr>
      <w:tr w:rsidR="007251CD" w:rsidRPr="009C7AD0" w14:paraId="0E90FD5E" w14:textId="77777777">
        <w:tc>
          <w:tcPr>
            <w:tcW w:w="1129" w:type="dxa"/>
          </w:tcPr>
          <w:p w14:paraId="29966D2D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  <w:color w:val="000000" w:themeColor="text1"/>
              </w:rPr>
              <w:t>0150</w:t>
            </w:r>
          </w:p>
        </w:tc>
        <w:tc>
          <w:tcPr>
            <w:tcW w:w="7620" w:type="dxa"/>
          </w:tcPr>
          <w:p w14:paraId="0AE71F82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(–) Pénzügyi eszközökkel való saját számlás kereskedésből származó veszteségek</w:t>
            </w:r>
          </w:p>
          <w:p w14:paraId="5FB06EA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  <w:color w:val="000000" w:themeColor="text1"/>
              </w:rPr>
              <w:t>Magától értetődő.</w:t>
            </w:r>
          </w:p>
        </w:tc>
      </w:tr>
      <w:tr w:rsidR="007251CD" w:rsidRPr="009C7AD0" w14:paraId="6B2F9159" w14:textId="77777777">
        <w:tc>
          <w:tcPr>
            <w:tcW w:w="1129" w:type="dxa"/>
          </w:tcPr>
          <w:p w14:paraId="6B54C1AF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  <w:color w:val="000000" w:themeColor="text1"/>
              </w:rPr>
              <w:t>0160</w:t>
            </w:r>
          </w:p>
        </w:tc>
        <w:tc>
          <w:tcPr>
            <w:tcW w:w="7620" w:type="dxa"/>
          </w:tcPr>
          <w:p w14:paraId="2D973BCE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(−) Szerződésen alapuló nyereség- és veszteségátruházási megállapodások</w:t>
            </w:r>
          </w:p>
          <w:p w14:paraId="1DDE1099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</w:rPr>
              <w:t xml:space="preserve">Szerződésen alapuló nyereség- és </w:t>
            </w:r>
            <w:r w:rsidRPr="009C7AD0">
              <w:rPr>
                <w:rFonts w:ascii="Times New Roman" w:hAnsi="Times New Roman"/>
              </w:rPr>
              <w:t>veszteségátruházási megállapodásokhoz kapcsolódó kifizetések, amelyek értelmében a befektetési vállalkozás az éves pénzügyi kimutatásainak elkészítését követően köteles átadni az éves eredményét az anyavállalatnak.</w:t>
            </w:r>
          </w:p>
        </w:tc>
      </w:tr>
      <w:tr w:rsidR="007251CD" w:rsidRPr="009C7AD0" w14:paraId="60FDA6DF" w14:textId="77777777">
        <w:tc>
          <w:tcPr>
            <w:tcW w:w="1129" w:type="dxa"/>
          </w:tcPr>
          <w:p w14:paraId="1AE80662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  <w:color w:val="000000" w:themeColor="text1"/>
              </w:rPr>
              <w:t>0170</w:t>
            </w:r>
          </w:p>
        </w:tc>
        <w:tc>
          <w:tcPr>
            <w:tcW w:w="7620" w:type="dxa"/>
          </w:tcPr>
          <w:p w14:paraId="5249AB9A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(−) Nyersanyagokra fordított kiadás</w:t>
            </w:r>
            <w:r w:rsidRPr="009C7AD0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ok</w:t>
            </w:r>
          </w:p>
          <w:p w14:paraId="6F491027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bookmarkStart w:id="32" w:name="_Toc38271703"/>
            <w:r w:rsidRPr="009C7AD0">
              <w:rPr>
                <w:rFonts w:ascii="Times New Roman" w:hAnsi="Times New Roman"/>
                <w:bCs/>
                <w:color w:val="000000" w:themeColor="text1"/>
              </w:rPr>
              <w:t>Az árutőzsdei kereskedők és a kibocsátásiegység-kereskedők levonhatják a befektetési vállalkozásnak az alapul szolgáló áru származtatott termékeivel történő kereskedésével összefüggésben keletkezett, nyersanyagokra fordított kiadásait.</w:t>
            </w:r>
            <w:bookmarkEnd w:id="32"/>
          </w:p>
        </w:tc>
      </w:tr>
      <w:tr w:rsidR="007251CD" w:rsidRPr="009C7AD0" w14:paraId="004A39D3" w14:textId="77777777">
        <w:tc>
          <w:tcPr>
            <w:tcW w:w="1129" w:type="dxa"/>
          </w:tcPr>
          <w:p w14:paraId="7DF798D7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  <w:color w:val="000000" w:themeColor="text1"/>
              </w:rPr>
              <w:t>0180</w:t>
            </w:r>
          </w:p>
        </w:tc>
        <w:tc>
          <w:tcPr>
            <w:tcW w:w="7620" w:type="dxa"/>
          </w:tcPr>
          <w:p w14:paraId="1EAF7C86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(−) Fizetés</w:t>
            </w:r>
            <w:r w:rsidRPr="009C7AD0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ek általános banki kockázatok fedezetére képzett tartalékalapba</w:t>
            </w:r>
          </w:p>
          <w:p w14:paraId="4D48E37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>Az 575/2013/EU rendelet 26. cikke (1) bekezdésének f) pontjával összhangban az általános banki kockázatok fedezetére képzett tartalékba történő befizetések.</w:t>
            </w:r>
          </w:p>
        </w:tc>
      </w:tr>
      <w:tr w:rsidR="007251CD" w:rsidRPr="009C7AD0" w14:paraId="746AF61E" w14:textId="77777777">
        <w:tc>
          <w:tcPr>
            <w:tcW w:w="1129" w:type="dxa"/>
          </w:tcPr>
          <w:p w14:paraId="3A9909FA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  <w:color w:val="000000" w:themeColor="text1"/>
              </w:rPr>
              <w:t>0190</w:t>
            </w:r>
          </w:p>
        </w:tc>
        <w:tc>
          <w:tcPr>
            <w:tcW w:w="7620" w:type="dxa"/>
          </w:tcPr>
          <w:p w14:paraId="1C2089C0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(–) A szavatolótőkéből már le</w:t>
            </w:r>
            <w:r w:rsidRPr="009C7AD0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vont tételekhez kapcsolódó ráfordítások</w:t>
            </w:r>
          </w:p>
          <w:p w14:paraId="27514904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>Az 575/2013/EU rendelet 36. cikkének (1) bekezdésével összhangban a szavatolótőkéből már levont tételekhez kapcsolódó ráfordítások.</w:t>
            </w:r>
          </w:p>
        </w:tc>
      </w:tr>
      <w:tr w:rsidR="007251CD" w:rsidRPr="009C7AD0" w14:paraId="1A7D351F" w14:textId="77777777">
        <w:tc>
          <w:tcPr>
            <w:tcW w:w="1129" w:type="dxa"/>
          </w:tcPr>
          <w:p w14:paraId="4670CAAB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  <w:color w:val="000000" w:themeColor="text1"/>
              </w:rPr>
              <w:t>0200</w:t>
            </w:r>
          </w:p>
        </w:tc>
        <w:tc>
          <w:tcPr>
            <w:tcW w:w="7620" w:type="dxa"/>
          </w:tcPr>
          <w:p w14:paraId="701BE00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A folyó évre előre jelzett állandó általános költségek</w:t>
            </w:r>
          </w:p>
          <w:p w14:paraId="786D770D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  <w:color w:val="000000" w:themeColor="text1"/>
              </w:rPr>
              <w:t xml:space="preserve">A folyó évre előre </w:t>
            </w:r>
            <w:r w:rsidRPr="009C7AD0">
              <w:rPr>
                <w:rFonts w:ascii="Times New Roman" w:hAnsi="Times New Roman"/>
                <w:bCs/>
                <w:color w:val="000000" w:themeColor="text1"/>
              </w:rPr>
              <w:t>jelzett, nyereségfelosztás utáni állandó általános költségek.</w:t>
            </w:r>
          </w:p>
        </w:tc>
      </w:tr>
      <w:tr w:rsidR="007251CD" w:rsidRPr="009C7AD0" w14:paraId="620973CD" w14:textId="77777777">
        <w:tc>
          <w:tcPr>
            <w:tcW w:w="1129" w:type="dxa"/>
          </w:tcPr>
          <w:p w14:paraId="506BA26E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  <w:color w:val="000000" w:themeColor="text1"/>
              </w:rPr>
              <w:t>0210</w:t>
            </w:r>
          </w:p>
        </w:tc>
        <w:tc>
          <w:tcPr>
            <w:tcW w:w="7620" w:type="dxa"/>
          </w:tcPr>
          <w:p w14:paraId="4C432A54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Az állandó általános költségek változása (%)</w:t>
            </w:r>
          </w:p>
          <w:p w14:paraId="47BBC696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  <w:color w:val="000000" w:themeColor="text1"/>
              </w:rPr>
              <w:t>Az összeget a következők abszolút értékeként kell megadni:</w:t>
            </w:r>
          </w:p>
          <w:p w14:paraId="09BE3BD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9C7AD0">
              <w:rPr>
                <w:rFonts w:ascii="Times New Roman" w:hAnsi="Times New Roman"/>
                <w:bCs/>
                <w:color w:val="000000" w:themeColor="text1"/>
              </w:rPr>
              <w:t>[(Állandó általános költségek a folyó évben) – (az előző évi, előre jelzett éves áll</w:t>
            </w:r>
            <w:r w:rsidRPr="009C7AD0">
              <w:rPr>
                <w:rFonts w:ascii="Times New Roman" w:hAnsi="Times New Roman"/>
                <w:bCs/>
                <w:color w:val="000000" w:themeColor="text1"/>
              </w:rPr>
              <w:t>andó általános költségek)]/(az előző évi, éves állandó általános költségek)</w:t>
            </w:r>
          </w:p>
        </w:tc>
      </w:tr>
    </w:tbl>
    <w:p w14:paraId="1FAC6620" w14:textId="77777777" w:rsidR="007251CD" w:rsidRPr="009C7AD0" w:rsidRDefault="007251C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33D6AD9F" w14:textId="77777777" w:rsidR="007251CD" w:rsidRPr="009C7AD0" w:rsidRDefault="009C7AD0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33" w:name="_Toc88117838"/>
      <w:r w:rsidRPr="009C7AD0">
        <w:rPr>
          <w:rFonts w:ascii="Times New Roman" w:hAnsi="Times New Roman"/>
          <w:sz w:val="24"/>
          <w:u w:val="none"/>
        </w:rPr>
        <w:lastRenderedPageBreak/>
        <w:t>2. KIS MÉRETŰ ÉS ÖSSZE NEM KAPCSOLT BEFEKTETÉSI VÁLLALKOZÁSOK</w:t>
      </w:r>
      <w:bookmarkEnd w:id="33"/>
    </w:p>
    <w:p w14:paraId="4DCF77FD" w14:textId="77777777" w:rsidR="007251CD" w:rsidRPr="009C7AD0" w:rsidRDefault="009C7AD0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34" w:name="_Toc473560875"/>
      <w:bookmarkStart w:id="35" w:name="_Toc7084160"/>
      <w:bookmarkStart w:id="36" w:name="_Toc88117839"/>
      <w:bookmarkStart w:id="37" w:name="_Toc308175823"/>
      <w:bookmarkStart w:id="38" w:name="_Toc360188327"/>
      <w:r w:rsidRPr="009C7AD0">
        <w:rPr>
          <w:rFonts w:ascii="Times New Roman" w:hAnsi="Times New Roman"/>
          <w:sz w:val="24"/>
          <w:szCs w:val="24"/>
        </w:rPr>
        <w:t>2.1.</w:t>
      </w:r>
      <w:r w:rsidRPr="009C7AD0">
        <w:tab/>
      </w:r>
      <w:r w:rsidRPr="009C7AD0">
        <w:rPr>
          <w:rFonts w:ascii="Times New Roman" w:hAnsi="Times New Roman"/>
          <w:sz w:val="24"/>
          <w:szCs w:val="24"/>
          <w:u w:val="single"/>
        </w:rPr>
        <w:t>I 05.00 – TEVÉKENYSÉGI SZINT – ÉRTÉKHATÁR-FELÜLVIZSGÁLAT (I 5.)</w:t>
      </w:r>
      <w:bookmarkEnd w:id="34"/>
      <w:bookmarkEnd w:id="35"/>
      <w:bookmarkEnd w:id="36"/>
      <w:bookmarkEnd w:id="37"/>
      <w:bookmarkEnd w:id="38"/>
    </w:p>
    <w:p w14:paraId="2B3B0CD6" w14:textId="77777777" w:rsidR="007251CD" w:rsidRPr="009C7AD0" w:rsidRDefault="009C7AD0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39" w:name="_Toc310414970"/>
      <w:bookmarkStart w:id="40" w:name="_Toc360188328"/>
      <w:bookmarkStart w:id="41" w:name="_Toc473560876"/>
      <w:bookmarkStart w:id="42" w:name="_Toc7084161"/>
      <w:bookmarkStart w:id="43" w:name="_Toc88117840"/>
      <w:r w:rsidRPr="009C7AD0">
        <w:rPr>
          <w:rFonts w:ascii="Times New Roman" w:hAnsi="Times New Roman"/>
          <w:sz w:val="24"/>
          <w:szCs w:val="24"/>
        </w:rPr>
        <w:t>2.1.1.</w:t>
      </w:r>
      <w:r w:rsidRPr="009C7AD0">
        <w:tab/>
      </w:r>
      <w:r w:rsidRPr="009C7AD0">
        <w:rPr>
          <w:rFonts w:ascii="Times New Roman" w:hAnsi="Times New Roman"/>
          <w:sz w:val="24"/>
          <w:szCs w:val="24"/>
          <w:u w:val="single"/>
        </w:rPr>
        <w:t xml:space="preserve">A tábla egyes részeire </w:t>
      </w:r>
      <w:r w:rsidRPr="009C7AD0">
        <w:rPr>
          <w:rFonts w:ascii="Times New Roman" w:hAnsi="Times New Roman"/>
          <w:sz w:val="24"/>
          <w:szCs w:val="24"/>
          <w:u w:val="single"/>
        </w:rPr>
        <w:t>vonatkozó útmutató</w:t>
      </w:r>
      <w:bookmarkStart w:id="44" w:name="_Toc308175824"/>
      <w:bookmarkEnd w:id="39"/>
      <w:bookmarkEnd w:id="40"/>
      <w:bookmarkEnd w:id="41"/>
      <w:bookmarkEnd w:id="42"/>
      <w:bookmarkEnd w:id="43"/>
      <w:bookmarkEnd w:id="44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7251CD" w:rsidRPr="009C7AD0" w14:paraId="29A51B79" w14:textId="77777777">
        <w:tc>
          <w:tcPr>
            <w:tcW w:w="1129" w:type="dxa"/>
            <w:shd w:val="clear" w:color="auto" w:fill="D9D9D9"/>
          </w:tcPr>
          <w:p w14:paraId="1368451D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</w:rPr>
              <w:t>Sor</w:t>
            </w:r>
          </w:p>
        </w:tc>
        <w:tc>
          <w:tcPr>
            <w:tcW w:w="7620" w:type="dxa"/>
            <w:shd w:val="clear" w:color="auto" w:fill="D9D9D9"/>
          </w:tcPr>
          <w:p w14:paraId="22301512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</w:rPr>
              <w:t>Jogszabályi hivatkozások és útmutató</w:t>
            </w:r>
          </w:p>
        </w:tc>
      </w:tr>
      <w:tr w:rsidR="007251CD" w:rsidRPr="009C7AD0" w14:paraId="635B64BD" w14:textId="77777777">
        <w:tc>
          <w:tcPr>
            <w:tcW w:w="1129" w:type="dxa"/>
          </w:tcPr>
          <w:p w14:paraId="3E1BB2D2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47A7EF2A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(Kombinált) kezelt eszközállomány</w:t>
            </w:r>
          </w:p>
          <w:p w14:paraId="108F0609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12. cikke (1) bekezdésének a) pontja.</w:t>
            </w:r>
          </w:p>
          <w:p w14:paraId="59E750B3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 xml:space="preserve">Az (EU) 2019/2033 rendelet 12. cikkének (2) bekezdésével összhangban, amennyiben az </w:t>
            </w:r>
            <w:r w:rsidRPr="009C7AD0">
              <w:rPr>
                <w:rFonts w:ascii="Times New Roman" w:hAnsi="Times New Roman"/>
                <w:bCs/>
              </w:rPr>
              <w:t>adatszolgáltató befektetési vállalkozás egy csoport része, a jelentett értéket a csoport részét képező valamennyi befektetési vállalkozásra vonatkozóan kombinált alapon kell meghatározni.</w:t>
            </w:r>
          </w:p>
          <w:p w14:paraId="1A0FBD2B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 befektetési vállalkozásoknak a kezelt diszkrecionális és nem diszk</w:t>
            </w:r>
            <w:r w:rsidRPr="009C7AD0">
              <w:rPr>
                <w:rFonts w:ascii="Times New Roman" w:hAnsi="Times New Roman"/>
                <w:bCs/>
              </w:rPr>
              <w:t>recionális eszközöket kell megjeleníteniük.</w:t>
            </w:r>
          </w:p>
          <w:p w14:paraId="68D8E1CD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>A jelentett összeg az az összeg, amelyet a K-faktoroknak a vonatkozó együtthatók alkalmazása előtti kiszámításához használnának.</w:t>
            </w:r>
          </w:p>
        </w:tc>
      </w:tr>
      <w:tr w:rsidR="007251CD" w:rsidRPr="009C7AD0" w14:paraId="05F0532F" w14:textId="77777777">
        <w:tc>
          <w:tcPr>
            <w:tcW w:w="1129" w:type="dxa"/>
          </w:tcPr>
          <w:p w14:paraId="44349CBF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316E2F6B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(Kombinált) kezelt ügyfélmegbízások – Azonnali ügyletek</w:t>
            </w:r>
          </w:p>
          <w:p w14:paraId="6B1DE227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</w:t>
            </w:r>
            <w:r w:rsidRPr="009C7AD0">
              <w:rPr>
                <w:rFonts w:ascii="Times New Roman" w:hAnsi="Times New Roman"/>
                <w:bCs/>
              </w:rPr>
              <w:t>delet 12. cikke (1) bekezdése b) pontjának i. alpontja.</w:t>
            </w:r>
          </w:p>
          <w:p w14:paraId="7479DA8A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 xml:space="preserve">Az (EU) 2019/2033 rendelet 12. cikkének (2) bekezdésével összhangban, amennyiben az adatszolgáltató befektetési vállalkozás egy csoport része, a jelentett értéket a csoport részét képező </w:t>
            </w:r>
            <w:r w:rsidRPr="009C7AD0">
              <w:rPr>
                <w:rFonts w:ascii="Times New Roman" w:hAnsi="Times New Roman"/>
                <w:bCs/>
              </w:rPr>
              <w:t>valamennyi befektetési vállalkozásra vonatkozóan kombinált alapon kell meghatározni.</w:t>
            </w:r>
          </w:p>
          <w:p w14:paraId="01C1E163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 jelentett összeg az az összeg, amelyet a K-faktoroknak a vonatkozó együtthatók alkalmazása előtti kiszámításához használnának.</w:t>
            </w:r>
          </w:p>
        </w:tc>
      </w:tr>
      <w:tr w:rsidR="007251CD" w:rsidRPr="009C7AD0" w14:paraId="016C813C" w14:textId="77777777">
        <w:tc>
          <w:tcPr>
            <w:tcW w:w="1129" w:type="dxa"/>
          </w:tcPr>
          <w:p w14:paraId="6FB3D8BD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618EB100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 xml:space="preserve">(Kombinált) kezelt ügyfélmegbízások </w:t>
            </w:r>
            <w:r w:rsidRPr="009C7AD0">
              <w:rPr>
                <w:rFonts w:ascii="Times New Roman" w:hAnsi="Times New Roman"/>
                <w:b/>
                <w:bCs/>
                <w:u w:val="single"/>
              </w:rPr>
              <w:t>– Származtatott ügyletek</w:t>
            </w:r>
          </w:p>
          <w:p w14:paraId="3A2942B7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12. cikke (1) bekezdése b) pontjának i. alpontja.</w:t>
            </w:r>
          </w:p>
          <w:p w14:paraId="5BF127AB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Amennyiben az adatszolgáltató befektetési vállalkozás egy csoport része, a jelentett értéket az (EU) 2019/2033 rendelet 12. cikkének (2) bekezdése szerint</w:t>
            </w:r>
            <w:r w:rsidRPr="009C7AD0">
              <w:rPr>
                <w:rFonts w:ascii="Times New Roman" w:hAnsi="Times New Roman"/>
                <w:bCs/>
              </w:rPr>
              <w:t>i csoport részét képező valamennyi befektetési vállalkozás tekintetében kombinált alapon kell meghatározni.</w:t>
            </w:r>
          </w:p>
          <w:p w14:paraId="4D8BA602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 jelentett összeg az az összeg, amelyet a K-faktoroknak a vonatkozó együtthatók alkalmazása előtti kiszámításához használnának.</w:t>
            </w:r>
          </w:p>
        </w:tc>
      </w:tr>
      <w:tr w:rsidR="007251CD" w:rsidRPr="009C7AD0" w14:paraId="1383CFB5" w14:textId="77777777">
        <w:tc>
          <w:tcPr>
            <w:tcW w:w="1129" w:type="dxa"/>
          </w:tcPr>
          <w:p w14:paraId="3AA67A7E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1FB6073F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Őrzött és kez</w:t>
            </w:r>
            <w:r w:rsidRPr="009C7AD0">
              <w:rPr>
                <w:rFonts w:ascii="Times New Roman" w:hAnsi="Times New Roman"/>
                <w:b/>
                <w:bCs/>
                <w:u w:val="single"/>
              </w:rPr>
              <w:t>elt eszközök</w:t>
            </w:r>
          </w:p>
          <w:p w14:paraId="2540C82A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12. cikke (1) bekezdésének c) pontja.</w:t>
            </w:r>
          </w:p>
          <w:p w14:paraId="414BC9A6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 jelentett összeg az az összeg, amelyet a K-faktoroknak a vonatkozó együtthatók alkalmazása előtti kiszámításához használnának.</w:t>
            </w:r>
          </w:p>
        </w:tc>
      </w:tr>
      <w:tr w:rsidR="007251CD" w:rsidRPr="009C7AD0" w14:paraId="7F23B873" w14:textId="77777777">
        <w:tc>
          <w:tcPr>
            <w:tcW w:w="1129" w:type="dxa"/>
          </w:tcPr>
          <w:p w14:paraId="42C40388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74C85BC2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Tartott ügyfélpénz</w:t>
            </w:r>
          </w:p>
          <w:p w14:paraId="45751C22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</w:t>
            </w:r>
            <w:r w:rsidRPr="009C7AD0">
              <w:rPr>
                <w:rFonts w:ascii="Times New Roman" w:hAnsi="Times New Roman"/>
                <w:bCs/>
              </w:rPr>
              <w:t>et 12. cikke (1) bekezdésének d) pontja.</w:t>
            </w:r>
          </w:p>
          <w:p w14:paraId="38C52B87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 jelentett összeg az az összeg, amelyet a K-faktoroknak a vonatkozó együtthatók alkalmazása előtti kiszámításához használnának.</w:t>
            </w:r>
          </w:p>
        </w:tc>
      </w:tr>
      <w:tr w:rsidR="007251CD" w:rsidRPr="009C7AD0" w14:paraId="32CF7678" w14:textId="77777777">
        <w:tc>
          <w:tcPr>
            <w:tcW w:w="1129" w:type="dxa"/>
          </w:tcPr>
          <w:p w14:paraId="18680EE3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6B0FDEB9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Napi kereskedési forgalom – Azonnali ügyletek és származtatott ügyletek</w:t>
            </w:r>
          </w:p>
          <w:p w14:paraId="5AE04B4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 xml:space="preserve">Az </w:t>
            </w:r>
            <w:r w:rsidRPr="009C7AD0">
              <w:rPr>
                <w:rFonts w:ascii="Times New Roman" w:hAnsi="Times New Roman"/>
                <w:bCs/>
              </w:rPr>
              <w:t>(EU) 2019/2033 rendelet 12. cikke (1) bekezdésének e) pontja.</w:t>
            </w:r>
          </w:p>
          <w:p w14:paraId="69B3D3C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lastRenderedPageBreak/>
              <w:t>A jelentett összeg az az összeg, amelyet a K-faktoroknak a vonatkozó együtthatók alkalmazása előtti kiszámításához használnának.</w:t>
            </w:r>
          </w:p>
        </w:tc>
      </w:tr>
      <w:tr w:rsidR="007251CD" w:rsidRPr="009C7AD0" w14:paraId="27FA3404" w14:textId="77777777">
        <w:tc>
          <w:tcPr>
            <w:tcW w:w="1129" w:type="dxa"/>
          </w:tcPr>
          <w:p w14:paraId="5C00ADE3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lastRenderedPageBreak/>
              <w:t>0070</w:t>
            </w:r>
          </w:p>
        </w:tc>
        <w:tc>
          <w:tcPr>
            <w:tcW w:w="7620" w:type="dxa"/>
          </w:tcPr>
          <w:p w14:paraId="211BC492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Nettó pozíciókockázat</w:t>
            </w:r>
          </w:p>
          <w:p w14:paraId="4150C61E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 xml:space="preserve">Az (EU) 2019/2033 rendelet 12. cikke </w:t>
            </w:r>
            <w:r w:rsidRPr="009C7AD0">
              <w:rPr>
                <w:rFonts w:ascii="Times New Roman" w:hAnsi="Times New Roman"/>
                <w:bCs/>
              </w:rPr>
              <w:t>(1) bekezdésének f) pontja.</w:t>
            </w:r>
          </w:p>
          <w:p w14:paraId="52CD45C3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 jelentett összeg az az összeg, amelyet a K-faktoroknak a vonatkozó együtthatók alkalmazása előtti kiszámításához használnának.</w:t>
            </w:r>
          </w:p>
        </w:tc>
      </w:tr>
      <w:tr w:rsidR="007251CD" w:rsidRPr="009C7AD0" w14:paraId="277BBEB2" w14:textId="77777777">
        <w:tc>
          <w:tcPr>
            <w:tcW w:w="1129" w:type="dxa"/>
          </w:tcPr>
          <w:p w14:paraId="44AA3FB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</w:tcPr>
          <w:p w14:paraId="525A32A8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Befizetett klíringletét</w:t>
            </w:r>
          </w:p>
          <w:p w14:paraId="69562A33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12. cikke (1) bekezdésének f) pontja.</w:t>
            </w:r>
          </w:p>
          <w:p w14:paraId="299DD832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 je</w:t>
            </w:r>
            <w:r w:rsidRPr="009C7AD0">
              <w:rPr>
                <w:rFonts w:ascii="Times New Roman" w:hAnsi="Times New Roman"/>
                <w:bCs/>
              </w:rPr>
              <w:t>lentett összeg az az összeg, amelyet a K-faktoroknak a vonatkozó együtthatók alkalmazása előtti kiszámításához használnának.</w:t>
            </w:r>
          </w:p>
        </w:tc>
      </w:tr>
      <w:tr w:rsidR="007251CD" w:rsidRPr="009C7AD0" w14:paraId="2526C26A" w14:textId="77777777">
        <w:tc>
          <w:tcPr>
            <w:tcW w:w="1129" w:type="dxa"/>
          </w:tcPr>
          <w:p w14:paraId="514F85E9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72D10DEA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A kereskedési partnerek nemteljesítésének kockázata</w:t>
            </w:r>
          </w:p>
          <w:p w14:paraId="590FB4C8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12. cikke (1) bekezdésének g) pontja.</w:t>
            </w:r>
          </w:p>
          <w:p w14:paraId="4A97305A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 jelent</w:t>
            </w:r>
            <w:r w:rsidRPr="009C7AD0">
              <w:rPr>
                <w:rFonts w:ascii="Times New Roman" w:hAnsi="Times New Roman"/>
                <w:bCs/>
              </w:rPr>
              <w:t>ett összeg az az összeg, amelyet a K-faktoroknak a vonatkozó együtthatók alkalmazása előtti kiszámításához használnának.</w:t>
            </w:r>
          </w:p>
        </w:tc>
      </w:tr>
      <w:tr w:rsidR="007251CD" w:rsidRPr="009C7AD0" w14:paraId="6833FDFB" w14:textId="77777777">
        <w:tc>
          <w:tcPr>
            <w:tcW w:w="1129" w:type="dxa"/>
          </w:tcPr>
          <w:p w14:paraId="5AFD2E8E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</w:tcPr>
          <w:p w14:paraId="3DEFD374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(Kombinált) mérlegfőösszeg a mérlegen kívüli tételekkel együtt</w:t>
            </w:r>
          </w:p>
          <w:p w14:paraId="348FE920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 xml:space="preserve">Az (EU) 2019/2033 rendelet 12. cikke (1) bekezdésének h) </w:t>
            </w:r>
            <w:r w:rsidRPr="009C7AD0">
              <w:rPr>
                <w:rFonts w:ascii="Times New Roman" w:hAnsi="Times New Roman"/>
                <w:bCs/>
              </w:rPr>
              <w:t>pontja.</w:t>
            </w:r>
          </w:p>
          <w:p w14:paraId="0FEF3E4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12. cikkének (2) bekezdésével összhangban, amennyiben az adatszolgáltató befektetési vállalkozás egy csoport része, a jelentett értéket a csoport részét képező valamennyi befektetési vállalkozásra vonatkozóan kombinálta a</w:t>
            </w:r>
            <w:r w:rsidRPr="009C7AD0">
              <w:rPr>
                <w:rFonts w:ascii="Times New Roman" w:hAnsi="Times New Roman"/>
                <w:bCs/>
              </w:rPr>
              <w:t>lapon kell meghatározni.</w:t>
            </w:r>
          </w:p>
        </w:tc>
      </w:tr>
      <w:tr w:rsidR="007251CD" w:rsidRPr="009C7AD0" w14:paraId="0010E7B5" w14:textId="77777777">
        <w:tc>
          <w:tcPr>
            <w:tcW w:w="1129" w:type="dxa"/>
          </w:tcPr>
          <w:p w14:paraId="2DA3732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</w:tcPr>
          <w:p w14:paraId="728496DF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Kombinált éves bruttó összbevétel</w:t>
            </w:r>
          </w:p>
          <w:p w14:paraId="639CD9B4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12. cikke (1) bekezdésének i) pontja.</w:t>
            </w:r>
          </w:p>
          <w:p w14:paraId="1358AF6D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12. cikkének (2) bekezdésével összhangban, amennyiben az adatszolgáltató befektetési vállalkozás eg</w:t>
            </w:r>
            <w:r w:rsidRPr="009C7AD0">
              <w:rPr>
                <w:rFonts w:ascii="Times New Roman" w:hAnsi="Times New Roman"/>
                <w:bCs/>
              </w:rPr>
              <w:t xml:space="preserve">y csoport része, a jelentett értéket a csoport részét képező valamennyi befektetési vállalkozásra vonatkozóan </w:t>
            </w:r>
            <w:r w:rsidRPr="009C7AD0">
              <w:rPr>
                <w:rFonts w:ascii="Times New Roman" w:hAnsi="Times New Roman"/>
                <w:bCs/>
                <w:u w:val="single"/>
              </w:rPr>
              <w:t>kombinált alapon</w:t>
            </w:r>
            <w:r w:rsidRPr="009C7AD0">
              <w:rPr>
                <w:rFonts w:ascii="Times New Roman" w:hAnsi="Times New Roman"/>
                <w:bCs/>
              </w:rPr>
              <w:t xml:space="preserve"> kell meghatározni.</w:t>
            </w:r>
          </w:p>
          <w:p w14:paraId="4C4EA4B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 feltüntetendő érték a 0120. sor és a 0130. sor összege.</w:t>
            </w:r>
          </w:p>
        </w:tc>
      </w:tr>
      <w:tr w:rsidR="007251CD" w:rsidRPr="009C7AD0" w14:paraId="2CA59D4D" w14:textId="77777777">
        <w:tc>
          <w:tcPr>
            <w:tcW w:w="1129" w:type="dxa"/>
          </w:tcPr>
          <w:p w14:paraId="2395B038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</w:tcPr>
          <w:p w14:paraId="4096274B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Éves bruttó összbevétel</w:t>
            </w:r>
          </w:p>
          <w:p w14:paraId="5B6E2C48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>Az éves bruttó összbev</w:t>
            </w:r>
            <w:r w:rsidRPr="009C7AD0">
              <w:rPr>
                <w:rFonts w:ascii="Times New Roman" w:hAnsi="Times New Roman"/>
                <w:bCs/>
              </w:rPr>
              <w:t xml:space="preserve">étel értéke az (EU) 2019/2033 rendelet 12. cikkének (2) bekezdése szerint a csoporton belül termelt bruttó bevételek </w:t>
            </w:r>
            <w:r w:rsidRPr="009C7AD0">
              <w:rPr>
                <w:rFonts w:ascii="Times New Roman" w:hAnsi="Times New Roman"/>
                <w:bCs/>
                <w:u w:val="single"/>
              </w:rPr>
              <w:t>nélkül</w:t>
            </w:r>
            <w:r w:rsidRPr="009C7AD0">
              <w:rPr>
                <w:rFonts w:ascii="Times New Roman" w:hAnsi="Times New Roman"/>
                <w:bCs/>
              </w:rPr>
              <w:t>.</w:t>
            </w:r>
          </w:p>
        </w:tc>
      </w:tr>
      <w:tr w:rsidR="007251CD" w:rsidRPr="009C7AD0" w14:paraId="2FAD3D99" w14:textId="77777777">
        <w:tc>
          <w:tcPr>
            <w:tcW w:w="1129" w:type="dxa"/>
          </w:tcPr>
          <w:p w14:paraId="68904FF6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0130</w:t>
            </w:r>
          </w:p>
        </w:tc>
        <w:tc>
          <w:tcPr>
            <w:tcW w:w="7620" w:type="dxa"/>
          </w:tcPr>
          <w:p w14:paraId="03588B07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(–) Az éves bruttó bevétel csoporton belüli része</w:t>
            </w:r>
          </w:p>
          <w:p w14:paraId="76DA4C47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12. cikkének (2) bekezdése szerint a befektetési</w:t>
            </w:r>
            <w:r w:rsidRPr="009C7AD0">
              <w:rPr>
                <w:rFonts w:ascii="Times New Roman" w:hAnsi="Times New Roman"/>
                <w:bCs/>
              </w:rPr>
              <w:t>vállalkozás-csoporton belül termelt bruttó bevétel értéke.</w:t>
            </w:r>
          </w:p>
        </w:tc>
      </w:tr>
      <w:tr w:rsidR="007251CD" w:rsidRPr="009C7AD0" w14:paraId="73E9F270" w14:textId="77777777">
        <w:tc>
          <w:tcPr>
            <w:tcW w:w="1129" w:type="dxa"/>
          </w:tcPr>
          <w:p w14:paraId="2420EF86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0140</w:t>
            </w:r>
          </w:p>
        </w:tc>
        <w:tc>
          <w:tcPr>
            <w:tcW w:w="7620" w:type="dxa"/>
          </w:tcPr>
          <w:p w14:paraId="1E91B276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Ebből: megbízások átvételéből és továbbításából származó bevételek</w:t>
            </w:r>
          </w:p>
          <w:p w14:paraId="567816FB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54. cikke (1) bekezdésének d) pontja.</w:t>
            </w:r>
          </w:p>
          <w:p w14:paraId="58168B46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 xml:space="preserve">A 2014/65/EU irányelv 4. cikke (1) bekezdésének 2. </w:t>
            </w:r>
            <w:r w:rsidRPr="009C7AD0">
              <w:rPr>
                <w:rFonts w:ascii="Times New Roman" w:hAnsi="Times New Roman"/>
                <w:bCs/>
              </w:rPr>
              <w:t>pontja.</w:t>
            </w:r>
          </w:p>
        </w:tc>
      </w:tr>
      <w:tr w:rsidR="007251CD" w:rsidRPr="009C7AD0" w14:paraId="59294E26" w14:textId="77777777">
        <w:tc>
          <w:tcPr>
            <w:tcW w:w="1129" w:type="dxa"/>
          </w:tcPr>
          <w:p w14:paraId="7106B61C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0150</w:t>
            </w:r>
          </w:p>
        </w:tc>
        <w:tc>
          <w:tcPr>
            <w:tcW w:w="7620" w:type="dxa"/>
          </w:tcPr>
          <w:p w14:paraId="29854117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Ebből: megbízások ügyfelek nevében történő végrehajtásából származó bevételek</w:t>
            </w:r>
          </w:p>
          <w:p w14:paraId="781EDF00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54. cikke (1) bekezdésének d) pontja.</w:t>
            </w:r>
          </w:p>
          <w:p w14:paraId="535E066C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 2014/65/EU irányelv 4. cikke (1) bekezdésének 2. pontja.</w:t>
            </w:r>
          </w:p>
        </w:tc>
      </w:tr>
      <w:tr w:rsidR="007251CD" w:rsidRPr="009C7AD0" w14:paraId="09E864C8" w14:textId="77777777">
        <w:tc>
          <w:tcPr>
            <w:tcW w:w="1129" w:type="dxa"/>
          </w:tcPr>
          <w:p w14:paraId="20A7FDBE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0160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E381D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Ebből: saját számlás kereskedésből</w:t>
            </w:r>
            <w:r w:rsidRPr="009C7AD0">
              <w:rPr>
                <w:rFonts w:ascii="Times New Roman" w:hAnsi="Times New Roman"/>
                <w:b/>
                <w:bCs/>
                <w:u w:val="single"/>
              </w:rPr>
              <w:t xml:space="preserve"> származó bevétel</w:t>
            </w:r>
          </w:p>
          <w:p w14:paraId="077BA56D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lastRenderedPageBreak/>
              <w:t>Az (EU) 2019/2033 rendelet 54. cikke (1) bekezdésének d) pontja.</w:t>
            </w:r>
          </w:p>
          <w:p w14:paraId="2D8607DD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>A 2014/65/EU irányelv 4. cikke (1) bekezdésének 2. pontja.</w:t>
            </w:r>
          </w:p>
        </w:tc>
      </w:tr>
      <w:tr w:rsidR="007251CD" w:rsidRPr="009C7AD0" w14:paraId="7FE10084" w14:textId="77777777">
        <w:tc>
          <w:tcPr>
            <w:tcW w:w="1129" w:type="dxa"/>
          </w:tcPr>
          <w:p w14:paraId="336F08AD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lastRenderedPageBreak/>
              <w:t>0170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C9B48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Ebből: portfóliókezelésből származó bevétel</w:t>
            </w:r>
          </w:p>
          <w:p w14:paraId="09CDE91C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 xml:space="preserve">Az (EU) 2019/2033 rendelet 54. cikke (1) </w:t>
            </w:r>
            <w:r w:rsidRPr="009C7AD0">
              <w:rPr>
                <w:rFonts w:ascii="Times New Roman" w:hAnsi="Times New Roman"/>
                <w:bCs/>
              </w:rPr>
              <w:t>bekezdésének d) pontja.</w:t>
            </w:r>
          </w:p>
          <w:p w14:paraId="3B74836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>A 2014/65/EU irányelv 4. cikke (1) bekezdésének 2. pontja.</w:t>
            </w:r>
          </w:p>
        </w:tc>
      </w:tr>
      <w:tr w:rsidR="007251CD" w:rsidRPr="009C7AD0" w14:paraId="46830D5D" w14:textId="77777777">
        <w:tc>
          <w:tcPr>
            <w:tcW w:w="1129" w:type="dxa"/>
          </w:tcPr>
          <w:p w14:paraId="75DDD7D0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0180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D3D2C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Ebből: befektetési tanácsadásból származó bevétel</w:t>
            </w:r>
          </w:p>
          <w:p w14:paraId="4310AF8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54. cikke (1) bekezdésének d) pontja.</w:t>
            </w:r>
          </w:p>
          <w:p w14:paraId="7229BEA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 xml:space="preserve">A 2014/65/EU irányelv 4. cikke (1) </w:t>
            </w:r>
            <w:r w:rsidRPr="009C7AD0">
              <w:rPr>
                <w:rFonts w:ascii="Times New Roman" w:hAnsi="Times New Roman"/>
                <w:bCs/>
              </w:rPr>
              <w:t>bekezdésének 2. pontja.</w:t>
            </w:r>
          </w:p>
        </w:tc>
      </w:tr>
      <w:tr w:rsidR="007251CD" w:rsidRPr="009C7AD0" w14:paraId="221B4403" w14:textId="77777777">
        <w:tc>
          <w:tcPr>
            <w:tcW w:w="1129" w:type="dxa"/>
          </w:tcPr>
          <w:p w14:paraId="2CA491C3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0190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8ABAC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Ebből: pénzügyi eszközök jegyzésére vonatkozó garanciavállalásból/biztos elkötelezettség alapján történő elhelyezéséből származó bevétel</w:t>
            </w:r>
          </w:p>
          <w:p w14:paraId="705ECA69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54. cikke (1) bekezdésének d) pontja.</w:t>
            </w:r>
          </w:p>
          <w:p w14:paraId="7F8811AE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>A 2014/65/EU irányelv 4.</w:t>
            </w:r>
            <w:r w:rsidRPr="009C7AD0">
              <w:rPr>
                <w:rFonts w:ascii="Times New Roman" w:hAnsi="Times New Roman"/>
                <w:bCs/>
              </w:rPr>
              <w:t xml:space="preserve"> cikke (1) bekezdésének 2. pontja.</w:t>
            </w:r>
          </w:p>
        </w:tc>
      </w:tr>
      <w:tr w:rsidR="007251CD" w:rsidRPr="009C7AD0" w14:paraId="3FBDD204" w14:textId="77777777">
        <w:tc>
          <w:tcPr>
            <w:tcW w:w="1129" w:type="dxa"/>
          </w:tcPr>
          <w:p w14:paraId="0B0CEE0D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0200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51CBA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Ebből: biztos elkötelezettség nélküli elhelyezésből származó bevétel</w:t>
            </w:r>
          </w:p>
          <w:p w14:paraId="66FBC14B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54. cikke (1) bekezdésének d) pontja.</w:t>
            </w:r>
          </w:p>
          <w:p w14:paraId="63333D26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>A 2014/65/EU irányelv 4. cikke (1) bekezdésének 2. pontja.</w:t>
            </w:r>
          </w:p>
        </w:tc>
      </w:tr>
      <w:tr w:rsidR="007251CD" w:rsidRPr="009C7AD0" w14:paraId="28A83AFA" w14:textId="77777777">
        <w:tc>
          <w:tcPr>
            <w:tcW w:w="1129" w:type="dxa"/>
          </w:tcPr>
          <w:p w14:paraId="702EBCEA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0210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25890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 xml:space="preserve">Ebből: MTF </w:t>
            </w:r>
            <w:r w:rsidRPr="009C7AD0">
              <w:rPr>
                <w:rFonts w:ascii="Times New Roman" w:hAnsi="Times New Roman"/>
                <w:b/>
                <w:bCs/>
                <w:u w:val="single"/>
              </w:rPr>
              <w:t>működtetéséből származó bevétel</w:t>
            </w:r>
          </w:p>
          <w:p w14:paraId="76DC7A6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54. cikke (1) bekezdésének d) pontja.</w:t>
            </w:r>
          </w:p>
          <w:p w14:paraId="034FD4ED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>A 2014/65/EU irányelv 4. cikke (1) bekezdésének 2. pontja.</w:t>
            </w:r>
          </w:p>
        </w:tc>
      </w:tr>
      <w:tr w:rsidR="007251CD" w:rsidRPr="009C7AD0" w14:paraId="0F17273F" w14:textId="77777777">
        <w:tc>
          <w:tcPr>
            <w:tcW w:w="1129" w:type="dxa"/>
          </w:tcPr>
          <w:p w14:paraId="58EB491C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0220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0A22B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Ebből: OTF működtetéséből származó bevétel</w:t>
            </w:r>
          </w:p>
          <w:p w14:paraId="773A3425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54. cikke (1) bekezdésén</w:t>
            </w:r>
            <w:r w:rsidRPr="009C7AD0">
              <w:rPr>
                <w:rFonts w:ascii="Times New Roman" w:hAnsi="Times New Roman"/>
                <w:bCs/>
              </w:rPr>
              <w:t>ek d) pontja.</w:t>
            </w:r>
          </w:p>
          <w:p w14:paraId="0EEF5832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>A 2014/65/EU irányelv 4. cikke (1) bekezdésének 2. pontja.</w:t>
            </w:r>
          </w:p>
        </w:tc>
      </w:tr>
      <w:tr w:rsidR="007251CD" w:rsidRPr="009C7AD0" w14:paraId="3D1194D4" w14:textId="77777777">
        <w:tc>
          <w:tcPr>
            <w:tcW w:w="1129" w:type="dxa"/>
          </w:tcPr>
          <w:p w14:paraId="06494E64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0230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11623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Ebből: pénzügyi eszközök letéti őrzéséből és kezeléséből származó bevétel</w:t>
            </w:r>
          </w:p>
          <w:p w14:paraId="52CB2550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54. cikke (1) bekezdésének d) pontja.</w:t>
            </w:r>
          </w:p>
          <w:p w14:paraId="56635DC8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 xml:space="preserve">A 2014/65/EU irányelv 4. cikke (1) </w:t>
            </w:r>
            <w:r w:rsidRPr="009C7AD0">
              <w:rPr>
                <w:rFonts w:ascii="Times New Roman" w:hAnsi="Times New Roman"/>
                <w:bCs/>
              </w:rPr>
              <w:t>bekezdésének 3. pontja.</w:t>
            </w:r>
          </w:p>
        </w:tc>
      </w:tr>
      <w:tr w:rsidR="007251CD" w:rsidRPr="009C7AD0" w14:paraId="18A1CAC7" w14:textId="77777777">
        <w:tc>
          <w:tcPr>
            <w:tcW w:w="1129" w:type="dxa"/>
          </w:tcPr>
          <w:p w14:paraId="6687545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0240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A965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Ebből: befektetőknek nyújtott hitelekből vagy kölcsönökből származó bevétel</w:t>
            </w:r>
          </w:p>
          <w:p w14:paraId="41259B09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54. cikke (1) bekezdésének d) pontja.</w:t>
            </w:r>
          </w:p>
          <w:p w14:paraId="5AB97A9D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>A 2014/65/EU irányelv 4. cikke (1) bekezdésének 3. pontja.</w:t>
            </w:r>
          </w:p>
        </w:tc>
      </w:tr>
      <w:tr w:rsidR="007251CD" w:rsidRPr="009C7AD0" w14:paraId="16186D8A" w14:textId="77777777">
        <w:tc>
          <w:tcPr>
            <w:tcW w:w="1129" w:type="dxa"/>
          </w:tcPr>
          <w:p w14:paraId="11ED03CC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0250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751DF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 xml:space="preserve">Ebből: </w:t>
            </w:r>
            <w:r w:rsidRPr="009C7AD0">
              <w:rPr>
                <w:rFonts w:ascii="Times New Roman" w:hAnsi="Times New Roman"/>
                <w:b/>
                <w:bCs/>
                <w:u w:val="single"/>
              </w:rPr>
              <w:t>vállalkozások számára a tőkestruktúrával, ipari stratégiával és kapcsolódó ügyekkel kapcsolatban nyújtott tanácsadásból, valamint vállalkozások egyesülésével és felvásárlásával kapcsolatos tanácsadásból és szolgáltatásokból származó bevétel</w:t>
            </w:r>
          </w:p>
          <w:p w14:paraId="2FCCAAA9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</w:t>
            </w:r>
            <w:r w:rsidRPr="009C7AD0">
              <w:rPr>
                <w:rFonts w:ascii="Times New Roman" w:hAnsi="Times New Roman"/>
                <w:bCs/>
              </w:rPr>
              <w:t>33 rendelet 54. cikke (1) bekezdésének d) pontja.</w:t>
            </w:r>
          </w:p>
          <w:p w14:paraId="59BBD648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>A 2014/65/EU irányelv 4. cikke (1) bekezdésének 3. pontja.</w:t>
            </w:r>
          </w:p>
        </w:tc>
      </w:tr>
      <w:tr w:rsidR="007251CD" w:rsidRPr="009C7AD0" w14:paraId="21BC31AC" w14:textId="77777777">
        <w:tc>
          <w:tcPr>
            <w:tcW w:w="1129" w:type="dxa"/>
          </w:tcPr>
          <w:p w14:paraId="422EF164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0260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F744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Ebből: devizaszolgáltatásokból származó bevétel</w:t>
            </w:r>
          </w:p>
          <w:p w14:paraId="064B9CCF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54. cikke (1) bekezdésének d) pontja.</w:t>
            </w:r>
          </w:p>
          <w:p w14:paraId="1DCB77B6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>A 2014/65/EU irányelv 4. cik</w:t>
            </w:r>
            <w:r w:rsidRPr="009C7AD0">
              <w:rPr>
                <w:rFonts w:ascii="Times New Roman" w:hAnsi="Times New Roman"/>
                <w:bCs/>
              </w:rPr>
              <w:t>ke (1) bekezdésének 3. pontja.</w:t>
            </w:r>
          </w:p>
        </w:tc>
      </w:tr>
      <w:tr w:rsidR="007251CD" w:rsidRPr="009C7AD0" w14:paraId="1EF41460" w14:textId="77777777">
        <w:tc>
          <w:tcPr>
            <w:tcW w:w="1129" w:type="dxa"/>
          </w:tcPr>
          <w:p w14:paraId="4BCA61EF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0270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BEE7C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Ebből: befektetési kutatás és pénzügyi elemzés</w:t>
            </w:r>
          </w:p>
          <w:p w14:paraId="0098CAAA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54. cikke (1) bekezdésének d) pontja.</w:t>
            </w:r>
          </w:p>
          <w:p w14:paraId="00A39768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lastRenderedPageBreak/>
              <w:t>A 2014/65/EU irányelv 4. cikke (1) bekezdésének 3. pontja.</w:t>
            </w:r>
          </w:p>
        </w:tc>
      </w:tr>
      <w:tr w:rsidR="007251CD" w:rsidRPr="009C7AD0" w14:paraId="471CFAC4" w14:textId="77777777">
        <w:tc>
          <w:tcPr>
            <w:tcW w:w="1129" w:type="dxa"/>
          </w:tcPr>
          <w:p w14:paraId="14BE7091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lastRenderedPageBreak/>
              <w:t>0280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13304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 xml:space="preserve">Ebből: jegyzési </w:t>
            </w:r>
            <w:r w:rsidRPr="009C7AD0">
              <w:rPr>
                <w:rFonts w:ascii="Times New Roman" w:hAnsi="Times New Roman"/>
                <w:b/>
                <w:bCs/>
                <w:u w:val="single"/>
              </w:rPr>
              <w:t>garanciavállaláshoz kapcsolódó szolgáltatásokból származó bevétel</w:t>
            </w:r>
          </w:p>
          <w:p w14:paraId="083F1BD4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54. cikke (1) bekezdésének d) pontja.</w:t>
            </w:r>
          </w:p>
          <w:p w14:paraId="781B3714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>A 2014/65/EU irányelv 4. cikke (1) bekezdésének 3. pontja.</w:t>
            </w:r>
          </w:p>
        </w:tc>
      </w:tr>
      <w:tr w:rsidR="007251CD" w:rsidRPr="009C7AD0" w14:paraId="58E9E48E" w14:textId="77777777">
        <w:tc>
          <w:tcPr>
            <w:tcW w:w="1129" w:type="dxa"/>
          </w:tcPr>
          <w:p w14:paraId="3DCD1ED3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0290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45488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 xml:space="preserve">Ebből: származtatott ügyletek alapjául szolgáló eszközökkel </w:t>
            </w:r>
            <w:r w:rsidRPr="009C7AD0">
              <w:rPr>
                <w:rFonts w:ascii="Times New Roman" w:hAnsi="Times New Roman"/>
                <w:b/>
                <w:bCs/>
                <w:u w:val="single"/>
              </w:rPr>
              <w:t>kapcsolatos befektetési szolgáltatások és kiegészítő tevékenységek</w:t>
            </w:r>
          </w:p>
          <w:p w14:paraId="69CB8AA5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54. cikke (1) bekezdésének d) pontja.</w:t>
            </w:r>
          </w:p>
          <w:p w14:paraId="4092C059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>A 2014/65/EU irányelv 4. cikke (1) bekezdésének 3. pontja.</w:t>
            </w:r>
          </w:p>
        </w:tc>
      </w:tr>
    </w:tbl>
    <w:p w14:paraId="1FF20DB4" w14:textId="77777777" w:rsidR="007251CD" w:rsidRPr="009C7AD0" w:rsidRDefault="007251CD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  <w:u w:val="none"/>
        </w:rPr>
      </w:pPr>
    </w:p>
    <w:p w14:paraId="24047E5F" w14:textId="77777777" w:rsidR="007251CD" w:rsidRPr="009C7AD0" w:rsidRDefault="009C7AD0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  <w:u w:val="none"/>
        </w:rPr>
      </w:pPr>
      <w:bookmarkStart w:id="45" w:name="_Toc88117841"/>
      <w:r w:rsidRPr="009C7AD0">
        <w:rPr>
          <w:rFonts w:ascii="Times New Roman" w:hAnsi="Times New Roman"/>
          <w:b/>
          <w:sz w:val="24"/>
          <w:u w:val="none"/>
        </w:rPr>
        <w:t>3. LIKVIDITÁSI KÖVETELMÉNYEK</w:t>
      </w:r>
      <w:bookmarkEnd w:id="45"/>
    </w:p>
    <w:p w14:paraId="5B70BD08" w14:textId="77777777" w:rsidR="007251CD" w:rsidRPr="009C7AD0" w:rsidRDefault="009C7AD0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46" w:name="_Toc88117842"/>
      <w:r w:rsidRPr="009C7AD0">
        <w:rPr>
          <w:rFonts w:ascii="Times New Roman" w:hAnsi="Times New Roman"/>
          <w:sz w:val="24"/>
          <w:szCs w:val="24"/>
          <w:u w:val="single"/>
        </w:rPr>
        <w:t xml:space="preserve">3.1. I 09.01 – </w:t>
      </w:r>
      <w:r w:rsidRPr="009C7AD0">
        <w:rPr>
          <w:rFonts w:ascii="Times New Roman" w:hAnsi="Times New Roman"/>
          <w:sz w:val="24"/>
          <w:szCs w:val="24"/>
          <w:u w:val="single"/>
        </w:rPr>
        <w:t>LIKVIDITÁSI KÖVETELMÉNYEK (I 9.1)</w:t>
      </w:r>
      <w:bookmarkEnd w:id="46"/>
    </w:p>
    <w:p w14:paraId="0F10B06E" w14:textId="77777777" w:rsidR="007251CD" w:rsidRPr="009C7AD0" w:rsidRDefault="009C7AD0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47" w:name="_Toc88117843"/>
      <w:r w:rsidRPr="009C7AD0">
        <w:rPr>
          <w:rFonts w:ascii="Times New Roman" w:hAnsi="Times New Roman"/>
          <w:sz w:val="24"/>
          <w:szCs w:val="24"/>
        </w:rPr>
        <w:t>3.1.1.</w:t>
      </w:r>
      <w:r w:rsidRPr="009C7AD0">
        <w:tab/>
      </w:r>
      <w:r w:rsidRPr="009C7AD0">
        <w:rPr>
          <w:rFonts w:ascii="Times New Roman" w:hAnsi="Times New Roman"/>
          <w:sz w:val="24"/>
          <w:szCs w:val="24"/>
          <w:u w:val="single"/>
        </w:rPr>
        <w:t>A tábla egyes részeire vonatkozó útmutató</w:t>
      </w:r>
      <w:bookmarkEnd w:id="47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7251CD" w:rsidRPr="009C7AD0" w14:paraId="05C0C1F0" w14:textId="77777777">
        <w:tc>
          <w:tcPr>
            <w:tcW w:w="1129" w:type="dxa"/>
            <w:shd w:val="clear" w:color="auto" w:fill="D9D9D9"/>
          </w:tcPr>
          <w:p w14:paraId="0E4D1B3E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</w:rPr>
              <w:t>Sor</w:t>
            </w:r>
          </w:p>
        </w:tc>
        <w:tc>
          <w:tcPr>
            <w:tcW w:w="7620" w:type="dxa"/>
            <w:shd w:val="clear" w:color="auto" w:fill="D9D9D9"/>
          </w:tcPr>
          <w:p w14:paraId="3F1AE49A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</w:rPr>
              <w:t>Jogszabályi hivatkozások és útmutató</w:t>
            </w:r>
          </w:p>
        </w:tc>
      </w:tr>
      <w:tr w:rsidR="007251CD" w:rsidRPr="009C7AD0" w14:paraId="638C1188" w14:textId="77777777">
        <w:tc>
          <w:tcPr>
            <w:tcW w:w="1129" w:type="dxa"/>
          </w:tcPr>
          <w:p w14:paraId="4EDCCD6F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07C1EC7A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Likviditási követelmény</w:t>
            </w:r>
          </w:p>
          <w:p w14:paraId="3599ACEF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43. cikkének (1) bekezdése.</w:t>
            </w:r>
          </w:p>
        </w:tc>
      </w:tr>
      <w:tr w:rsidR="007251CD" w:rsidRPr="009C7AD0" w14:paraId="2366E4D9" w14:textId="77777777">
        <w:tc>
          <w:tcPr>
            <w:tcW w:w="1129" w:type="dxa"/>
          </w:tcPr>
          <w:p w14:paraId="0F897DE7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28AFC52F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 xml:space="preserve">Az ügyfelek részére nyújtott </w:t>
            </w:r>
            <w:r w:rsidRPr="009C7AD0">
              <w:rPr>
                <w:rFonts w:ascii="Times New Roman" w:hAnsi="Times New Roman"/>
                <w:b/>
                <w:bCs/>
                <w:u w:val="single"/>
              </w:rPr>
              <w:t>garanciák</w:t>
            </w:r>
          </w:p>
          <w:p w14:paraId="7A2C73BD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45. cikke</w:t>
            </w:r>
          </w:p>
          <w:p w14:paraId="1661076F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45. cikkével összhangban a feltüntetendő érték az ügyfeleknek nyújtott garanciák teljes összegének 1,6 %-a.</w:t>
            </w:r>
          </w:p>
        </w:tc>
      </w:tr>
      <w:tr w:rsidR="007251CD" w14:paraId="4E98BBD0" w14:textId="77777777">
        <w:tc>
          <w:tcPr>
            <w:tcW w:w="1129" w:type="dxa"/>
          </w:tcPr>
          <w:p w14:paraId="3D662329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125FBCEE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9C7AD0">
              <w:rPr>
                <w:rFonts w:ascii="Times New Roman" w:hAnsi="Times New Roman"/>
                <w:b/>
                <w:bCs/>
                <w:u w:val="single"/>
              </w:rPr>
              <w:t>Likvid eszközök összesen</w:t>
            </w:r>
          </w:p>
          <w:p w14:paraId="7DDFB28D" w14:textId="77777777" w:rsidR="007251CD" w:rsidRPr="009C7AD0" w:rsidRDefault="009C7AD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C7AD0">
              <w:rPr>
                <w:rFonts w:ascii="Times New Roman" w:hAnsi="Times New Roman"/>
                <w:bCs/>
              </w:rPr>
              <w:t>Az (EU) 2019/2033 rendelet 43. cikke (1) be</w:t>
            </w:r>
            <w:r w:rsidRPr="009C7AD0">
              <w:rPr>
                <w:rFonts w:ascii="Times New Roman" w:hAnsi="Times New Roman"/>
                <w:bCs/>
              </w:rPr>
              <w:t>kezdésének a) pontja és 43. cikkének (2) bekezdése.</w:t>
            </w:r>
          </w:p>
          <w:p w14:paraId="09D1BEFE" w14:textId="77777777" w:rsidR="007251CD" w:rsidRDefault="009C7AD0">
            <w:pPr>
              <w:pStyle w:val="CommentTex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9C7AD0">
              <w:rPr>
                <w:rFonts w:ascii="Times New Roman" w:hAnsi="Times New Roman"/>
                <w:bCs/>
                <w:sz w:val="22"/>
                <w:szCs w:val="22"/>
              </w:rPr>
              <w:t>A likvid eszközök összértékét a vonatkozó haircutok alkalmazása után kell megadni.</w:t>
            </w:r>
          </w:p>
        </w:tc>
      </w:tr>
    </w:tbl>
    <w:p w14:paraId="5469F47A" w14:textId="77777777" w:rsidR="007251CD" w:rsidRDefault="007251CD"/>
    <w:sectPr w:rsidR="007251CD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E3F30C" w14:textId="77777777" w:rsidR="007251CD" w:rsidRDefault="007251CD">
      <w:pPr>
        <w:pStyle w:val="Footer"/>
      </w:pPr>
    </w:p>
  </w:endnote>
  <w:endnote w:type="continuationSeparator" w:id="0">
    <w:p w14:paraId="03DE5E85" w14:textId="77777777" w:rsidR="007251CD" w:rsidRDefault="007251CD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DB4BB0" w14:textId="77777777" w:rsidR="007251CD" w:rsidRDefault="009C7AD0">
    <w:pPr>
      <w:pStyle w:val="Footer"/>
      <w:tabs>
        <w:tab w:val="clear" w:pos="4513"/>
        <w:tab w:val="clear" w:pos="9026"/>
        <w:tab w:val="right" w:pos="9071"/>
      </w:tabs>
    </w:pPr>
    <w:r>
      <w:t>HU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NUMPAGES \* MERGEFORMAT </w:instrText>
    </w:r>
    <w:r>
      <w:fldChar w:fldCharType="separate"/>
    </w:r>
    <w:r>
      <w:rPr>
        <w:noProof/>
      </w:rPr>
      <w:t>16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D4C4F5" w14:textId="77777777" w:rsidR="007251CD" w:rsidRDefault="007251CD">
      <w:pPr>
        <w:pStyle w:val="Footer"/>
      </w:pPr>
    </w:p>
  </w:footnote>
  <w:footnote w:type="continuationSeparator" w:id="0">
    <w:p w14:paraId="0B60C9F8" w14:textId="77777777" w:rsidR="007251CD" w:rsidRDefault="007251CD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AA1FC1" w14:textId="77777777" w:rsidR="007251CD" w:rsidRDefault="009C7AD0">
    <w:pPr>
      <w:pStyle w:val="Header"/>
    </w:pPr>
    <w:r>
      <w:rPr>
        <w:rFonts w:ascii="Times New Roman" w:hAnsi="Times New Roman" w:cs="Times New Roman"/>
        <w:color w:val="000000"/>
        <w:sz w:val="24"/>
      </w:rPr>
      <w:t>Central Bank of Ireland - RESTRICTED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DDB826" w14:textId="4380B2D1" w:rsidR="007251CD" w:rsidRDefault="009C7AD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B58C6A1" wp14:editId="6F90A8A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95004a178f52a935e2a68d21" descr="{&quot;HashCode&quot;:-46641150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172BF2E" w14:textId="17E731F6" w:rsidR="009C7AD0" w:rsidRPr="009C7AD0" w:rsidRDefault="009C7AD0" w:rsidP="009C7AD0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  <w:r w:rsidRPr="009C7AD0"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58C6A1" id="_x0000_t202" coordsize="21600,21600" o:spt="202" path="m,l,21600r21600,l21600,xe">
              <v:stroke joinstyle="miter"/>
              <v:path gradientshapeok="t" o:connecttype="rect"/>
            </v:shapetype>
            <v:shape id="MSIPCM95004a178f52a935e2a68d21" o:spid="_x0000_s1026" type="#_x0000_t202" alt="{&quot;HashCode&quot;:-46641150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" o:allowincell="f" filled="f" stroked="f" strokeweight=".5pt">
              <v:fill o:detectmouseclick="t"/>
              <v:textbox inset="20pt,0,,0">
                <w:txbxContent>
                  <w:p w14:paraId="1172BF2E" w14:textId="17E731F6" w:rsidR="009C7AD0" w:rsidRPr="009C7AD0" w:rsidRDefault="009C7AD0" w:rsidP="009C7AD0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  <w:r w:rsidRPr="009C7AD0">
                      <w:rPr>
                        <w:rFonts w:ascii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4D9D63" w14:textId="77777777" w:rsidR="007251CD" w:rsidRDefault="009C7AD0">
    <w:pPr>
      <w:pStyle w:val="Header"/>
    </w:pPr>
    <w:r>
      <w:rPr>
        <w:rFonts w:ascii="Times New Roman" w:hAnsi="Times New Roman" w:cs="Times New Roman"/>
        <w:color w:val="000000"/>
        <w:sz w:val="24"/>
      </w:rPr>
      <w:t>Central Bank of Ireland - RESTRICTED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04293"/>
    <w:multiLevelType w:val="hybridMultilevel"/>
    <w:tmpl w:val="C2D274AC"/>
    <w:lvl w:ilvl="0" w:tplc="9B189216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C272B"/>
    <w:multiLevelType w:val="hybridMultilevel"/>
    <w:tmpl w:val="5FF2362C"/>
    <w:lvl w:ilvl="0" w:tplc="CF5C816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3802EC7"/>
    <w:multiLevelType w:val="multilevel"/>
    <w:tmpl w:val="3BFC9D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4E4026E"/>
    <w:multiLevelType w:val="hybridMultilevel"/>
    <w:tmpl w:val="ED7C6D3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B">
      <w:start w:val="1"/>
      <w:numFmt w:val="lowerRoman"/>
      <w:lvlText w:val="%2."/>
      <w:lvlJc w:val="righ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F45FC0"/>
    <w:multiLevelType w:val="hybridMultilevel"/>
    <w:tmpl w:val="861075D0"/>
    <w:lvl w:ilvl="0" w:tplc="BAEC6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E3641"/>
    <w:multiLevelType w:val="hybridMultilevel"/>
    <w:tmpl w:val="10C476E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F300C"/>
    <w:multiLevelType w:val="multilevel"/>
    <w:tmpl w:val="F990A0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9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E600D98"/>
    <w:multiLevelType w:val="multilevel"/>
    <w:tmpl w:val="A2FAF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0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857503B"/>
    <w:multiLevelType w:val="multilevel"/>
    <w:tmpl w:val="9EF841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AAB17E1"/>
    <w:multiLevelType w:val="multilevel"/>
    <w:tmpl w:val="15C8FF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4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85544C6"/>
    <w:multiLevelType w:val="hybridMultilevel"/>
    <w:tmpl w:val="B5AE6A30"/>
    <w:lvl w:ilvl="0" w:tplc="FE302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371863"/>
    <w:multiLevelType w:val="hybridMultilevel"/>
    <w:tmpl w:val="E5404712"/>
    <w:lvl w:ilvl="0" w:tplc="40D6B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3"/>
  </w:num>
  <w:num w:numId="4">
    <w:abstractNumId w:val="0"/>
  </w:num>
  <w:num w:numId="5">
    <w:abstractNumId w:val="5"/>
  </w:num>
  <w:num w:numId="6">
    <w:abstractNumId w:val="15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3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1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2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20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251CD"/>
    <w:rsid w:val="007251CD"/>
    <w:rsid w:val="009C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A4E60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9"/>
    <w:qFormat/>
    <w:pPr>
      <w:keepNext/>
      <w:spacing w:before="240" w:after="120" w:line="240" w:lineRule="auto"/>
      <w:jc w:val="both"/>
      <w:outlineLvl w:val="1"/>
    </w:pPr>
    <w:rPr>
      <w:rFonts w:ascii="Verdana" w:eastAsia="Arial" w:hAnsi="Verdana" w:cs="Times New Roman"/>
      <w:b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pPr>
      <w:tabs>
        <w:tab w:val="left" w:pos="1100"/>
        <w:tab w:val="right" w:leader="dot" w:pos="9016"/>
      </w:tabs>
      <w:spacing w:after="100"/>
      <w:ind w:left="220"/>
    </w:pPr>
  </w:style>
  <w:style w:type="character" w:customStyle="1" w:styleId="Heading2Char">
    <w:name w:val="Heading 2 Char"/>
    <w:basedOn w:val="DefaultParagraphFont"/>
    <w:link w:val="Heading2"/>
    <w:uiPriority w:val="99"/>
    <w:rPr>
      <w:rFonts w:ascii="Verdana" w:eastAsia="Arial" w:hAnsi="Verdana" w:cs="Times New Roman"/>
      <w:b/>
      <w:sz w:val="24"/>
      <w:szCs w:val="24"/>
      <w:u w:val="single"/>
      <w:lang w:val="hu-HU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FormatvorlageInstructionsTabelleText">
    <w:name w:val="Formatvorlage Instructions Tabelle Text"/>
    <w:uiPriority w:val="99"/>
    <w:qFormat/>
    <w:rPr>
      <w:rFonts w:ascii="Verdana" w:hAnsi="Verdana" w:cs="Times New Roman"/>
      <w:bCs/>
      <w:sz w:val="20"/>
      <w:u w:val="none"/>
    </w:rPr>
  </w:style>
  <w:style w:type="character" w:customStyle="1" w:styleId="InstructionsTabelleberschrift">
    <w:name w:val="Instructions Tabelle Überschrift"/>
    <w:qFormat/>
    <w:rPr>
      <w:rFonts w:ascii="Verdana" w:hAnsi="Verdana" w:cs="Times New Roman"/>
      <w:b/>
      <w:bCs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pPr>
      <w:spacing w:after="0" w:line="240" w:lineRule="auto"/>
      <w:jc w:val="both"/>
    </w:pPr>
    <w:rPr>
      <w:rFonts w:ascii="Times New Roman" w:eastAsia="Times New Roman" w:hAnsi="Times New Roman" w:cs="Arial"/>
      <w:bCs/>
      <w:sz w:val="24"/>
      <w:szCs w:val="24"/>
      <w:lang w:eastAsia="de-DE"/>
    </w:rPr>
  </w:style>
  <w:style w:type="character" w:customStyle="1" w:styleId="InstructionsTextChar">
    <w:name w:val="Instructions Text Char"/>
    <w:link w:val="InstructionsText"/>
    <w:locked/>
    <w:rPr>
      <w:rFonts w:ascii="Times New Roman" w:eastAsia="Times New Roman" w:hAnsi="Times New Roman" w:cs="Arial"/>
      <w:bCs/>
      <w:sz w:val="24"/>
      <w:szCs w:val="24"/>
      <w:lang w:eastAsia="de-D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ufzhlungszeichen3">
    <w:name w:val="Aufzählungszeichen3"/>
    <w:basedOn w:val="Normal"/>
    <w:uiPriority w:val="1"/>
    <w:qFormat/>
    <w:pPr>
      <w:numPr>
        <w:numId w:val="6"/>
      </w:numPr>
      <w:spacing w:before="120" w:after="120" w:line="240" w:lineRule="exact"/>
      <w:jc w:val="both"/>
    </w:pPr>
    <w:rPr>
      <w:rFonts w:ascii="Verdana" w:eastAsia="Times New Roman" w:hAnsi="Verdana" w:cs="Times New Roman"/>
      <w:sz w:val="20"/>
      <w:szCs w:val="24"/>
    </w:rPr>
  </w:style>
  <w:style w:type="paragraph" w:customStyle="1" w:styleId="InstructionsText2">
    <w:name w:val="Instructions Text 2"/>
    <w:basedOn w:val="InstructionsText"/>
    <w:qFormat/>
    <w:pPr>
      <w:numPr>
        <w:numId w:val="12"/>
      </w:numPr>
      <w:spacing w:after="240"/>
    </w:pPr>
    <w:rPr>
      <w:rFonts w:cs="Times New Roman"/>
      <w:bCs w:val="0"/>
    </w:rPr>
  </w:style>
  <w:style w:type="paragraph" w:customStyle="1" w:styleId="Instructionsberschrift2">
    <w:name w:val="Instructions Überschrift 2"/>
    <w:basedOn w:val="Heading2"/>
    <w:pPr>
      <w:spacing w:after="240"/>
      <w:ind w:left="720"/>
    </w:pPr>
    <w:rPr>
      <w:rFonts w:cs="Arial"/>
      <w:b w:val="0"/>
      <w:sz w:val="20"/>
    </w:rPr>
  </w:style>
  <w:style w:type="character" w:customStyle="1" w:styleId="ListParagraphChar">
    <w:name w:val="List Paragraph Char"/>
    <w:link w:val="ListParagraph"/>
    <w:uiPriority w:val="34"/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customStyle="1" w:styleId="NumPar1">
    <w:name w:val="NumPar 1"/>
    <w:basedOn w:val="Normal"/>
    <w:next w:val="Normal"/>
    <w:pPr>
      <w:numPr>
        <w:numId w:val="2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2">
    <w:name w:val="NumPar 2"/>
    <w:basedOn w:val="Normal"/>
    <w:next w:val="Normal"/>
    <w:pPr>
      <w:numPr>
        <w:ilvl w:val="1"/>
        <w:numId w:val="2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3">
    <w:name w:val="NumPar 3"/>
    <w:basedOn w:val="Normal"/>
    <w:next w:val="Normal"/>
    <w:pPr>
      <w:numPr>
        <w:ilvl w:val="2"/>
        <w:numId w:val="2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4">
    <w:name w:val="NumPar 4"/>
    <w:basedOn w:val="Normal"/>
    <w:next w:val="Normal"/>
    <w:pPr>
      <w:numPr>
        <w:ilvl w:val="3"/>
        <w:numId w:val="2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0number">
    <w:name w:val="Point 0 (number)"/>
    <w:basedOn w:val="Normal"/>
    <w:pPr>
      <w:numPr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1number">
    <w:name w:val="Point 1 (number)"/>
    <w:basedOn w:val="Normal"/>
    <w:pPr>
      <w:numPr>
        <w:ilvl w:val="2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2number">
    <w:name w:val="Point 2 (number)"/>
    <w:basedOn w:val="Normal"/>
    <w:pPr>
      <w:numPr>
        <w:ilvl w:val="4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3number">
    <w:name w:val="Point 3 (number)"/>
    <w:basedOn w:val="Normal"/>
    <w:pPr>
      <w:numPr>
        <w:ilvl w:val="6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0letter">
    <w:name w:val="Point 0 (letter)"/>
    <w:basedOn w:val="Normal"/>
    <w:pPr>
      <w:numPr>
        <w:ilvl w:val="1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1letter">
    <w:name w:val="Point 1 (letter)"/>
    <w:basedOn w:val="Normal"/>
    <w:pPr>
      <w:numPr>
        <w:ilvl w:val="3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2letter">
    <w:name w:val="Point 2 (letter)"/>
    <w:basedOn w:val="Normal"/>
    <w:pPr>
      <w:numPr>
        <w:ilvl w:val="5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3letter">
    <w:name w:val="Point 3 (letter)"/>
    <w:basedOn w:val="Normal"/>
    <w:pPr>
      <w:numPr>
        <w:ilvl w:val="7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4letter">
    <w:name w:val="Point 4 (letter)"/>
    <w:basedOn w:val="Normal"/>
    <w:pPr>
      <w:numPr>
        <w:ilvl w:val="8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1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a586b747-2a7c-4f57-bcd1-e81df5c8c005" origin="userSelected">
  <element uid="id_classification_generalbusiness" value=""/>
</sisl>
</file>

<file path=customXml/itemProps1.xml><?xml version="1.0" encoding="utf-8"?>
<ds:datastoreItem xmlns:ds="http://schemas.openxmlformats.org/officeDocument/2006/customXml" ds:itemID="{D78882F0-2E17-42D7-9043-765FDDC606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500584-2808-442D-BA8D-CDE8FD90BA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5462</Words>
  <Characters>31134</Characters>
  <Application>Microsoft Office Word</Application>
  <DocSecurity>0</DocSecurity>
  <Lines>259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2021-11-25T14:57:00Z</dcterms:created>
  <dcterms:modified xsi:type="dcterms:W3CDTF">2022-01-14T16:24:00Z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c7eb9de-735b-4a68-8fe4-c9c62709b012_Enabled">
    <vt:lpwstr>true</vt:lpwstr>
  </property>
  <property fmtid="{D5CDD505-2E9C-101B-9397-08002B2CF9AE}" pid="3" name="MSIP_Label_5c7eb9de-735b-4a68-8fe4-c9c62709b012_SetDate">
    <vt:lpwstr>2022-01-14T16:24:18Z</vt:lpwstr>
  </property>
  <property fmtid="{D5CDD505-2E9C-101B-9397-08002B2CF9AE}" pid="4" name="MSIP_Label_5c7eb9de-735b-4a68-8fe4-c9c62709b012_Method">
    <vt:lpwstr>Standard</vt:lpwstr>
  </property>
  <property fmtid="{D5CDD505-2E9C-101B-9397-08002B2CF9AE}" pid="5" name="MSIP_Label_5c7eb9de-735b-4a68-8fe4-c9c62709b012_Name">
    <vt:lpwstr>EBA Regular Use</vt:lpwstr>
  </property>
  <property fmtid="{D5CDD505-2E9C-101B-9397-08002B2CF9AE}" pid="6" name="MSIP_Label_5c7eb9de-735b-4a68-8fe4-c9c62709b012_SiteId">
    <vt:lpwstr>3bacb4ff-f1a2-4c92-b96c-e99fec826b68</vt:lpwstr>
  </property>
  <property fmtid="{D5CDD505-2E9C-101B-9397-08002B2CF9AE}" pid="7" name="MSIP_Label_5c7eb9de-735b-4a68-8fe4-c9c62709b012_ActionId">
    <vt:lpwstr>8234047f-a754-4e0c-93c1-fa45e2ec42f1</vt:lpwstr>
  </property>
  <property fmtid="{D5CDD505-2E9C-101B-9397-08002B2CF9AE}" pid="8" name="MSIP_Label_5c7eb9de-735b-4a68-8fe4-c9c62709b012_ContentBits">
    <vt:lpwstr>1</vt:lpwstr>
  </property>
</Properties>
</file>