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8A7CA" w14:textId="77777777" w:rsidR="0035753A" w:rsidRPr="00A96493" w:rsidRDefault="00A96493">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A96493">
        <w:rPr>
          <w:rFonts w:ascii="Times New Roman" w:hAnsi="Times New Roman"/>
          <w:b/>
          <w:sz w:val="24"/>
          <w:szCs w:val="24"/>
        </w:rPr>
        <w:t>LT</w:t>
      </w:r>
      <w:r w:rsidRPr="00A96493">
        <w:br/>
      </w:r>
      <w:r w:rsidRPr="00A96493">
        <w:rPr>
          <w:rFonts w:ascii="Times New Roman" w:hAnsi="Times New Roman"/>
          <w:b/>
          <w:sz w:val="24"/>
          <w:szCs w:val="20"/>
        </w:rPr>
        <w:t>IV PRIEDAS</w:t>
      </w:r>
    </w:p>
    <w:p w14:paraId="4639B64A" w14:textId="77777777" w:rsidR="0035753A" w:rsidRPr="00A96493" w:rsidRDefault="00A96493">
      <w:pPr>
        <w:spacing w:after="240" w:line="240" w:lineRule="auto"/>
        <w:jc w:val="center"/>
        <w:rPr>
          <w:rFonts w:ascii="Times New Roman" w:eastAsia="Times New Roman" w:hAnsi="Times New Roman" w:cs="Times New Roman"/>
          <w:b/>
          <w:sz w:val="24"/>
          <w:szCs w:val="20"/>
          <w:u w:val="single"/>
        </w:rPr>
      </w:pPr>
      <w:r w:rsidRPr="00A96493">
        <w:rPr>
          <w:rFonts w:ascii="Times New Roman" w:hAnsi="Times New Roman"/>
          <w:b/>
          <w:sz w:val="24"/>
          <w:szCs w:val="20"/>
          <w:u w:val="single"/>
        </w:rPr>
        <w:t xml:space="preserve">„IV </w:t>
      </w:r>
      <w:bookmarkEnd w:id="0"/>
      <w:bookmarkEnd w:id="1"/>
      <w:r w:rsidRPr="00A96493">
        <w:rPr>
          <w:rFonts w:ascii="Times New Roman" w:hAnsi="Times New Roman"/>
          <w:b/>
          <w:sz w:val="24"/>
          <w:szCs w:val="20"/>
          <w:u w:val="single"/>
        </w:rPr>
        <w:t>PRIEDAS</w:t>
      </w:r>
    </w:p>
    <w:p w14:paraId="2F1320C8" w14:textId="77777777" w:rsidR="0035753A" w:rsidRPr="00A96493" w:rsidRDefault="00A96493">
      <w:pPr>
        <w:spacing w:after="240" w:line="240" w:lineRule="auto"/>
        <w:jc w:val="center"/>
        <w:rPr>
          <w:rFonts w:ascii="Times New Roman" w:eastAsia="Times New Roman" w:hAnsi="Times New Roman" w:cs="Times New Roman"/>
          <w:b/>
          <w:sz w:val="24"/>
          <w:szCs w:val="20"/>
        </w:rPr>
      </w:pPr>
      <w:r w:rsidRPr="00A96493">
        <w:rPr>
          <w:rFonts w:ascii="Times New Roman" w:hAnsi="Times New Roman"/>
          <w:b/>
          <w:sz w:val="24"/>
          <w:szCs w:val="20"/>
        </w:rPr>
        <w:t>MAŽŲ IR TARPUSAVIO SĄSAJŲ NETURINČIŲ INVESTICINIŲ ĮMONIŲ INFORMACIJOS TEIKIMAS</w:t>
      </w:r>
    </w:p>
    <w:p w14:paraId="0BDD61B7" w14:textId="77777777" w:rsidR="0035753A" w:rsidRPr="00A96493" w:rsidRDefault="00A96493">
      <w:pPr>
        <w:spacing w:after="0" w:line="240" w:lineRule="auto"/>
        <w:rPr>
          <w:rFonts w:ascii="Times New Roman" w:eastAsia="Times New Roman" w:hAnsi="Times New Roman" w:cs="Times New Roman"/>
          <w:sz w:val="24"/>
          <w:szCs w:val="24"/>
        </w:rPr>
      </w:pPr>
      <w:r w:rsidRPr="00A96493">
        <w:rPr>
          <w:rFonts w:ascii="Times New Roman" w:hAnsi="Times New Roman"/>
          <w:sz w:val="24"/>
          <w:szCs w:val="24"/>
        </w:rPr>
        <w:t>Turinys</w:t>
      </w:r>
    </w:p>
    <w:p w14:paraId="46FA60C7" w14:textId="77777777" w:rsidR="0035753A" w:rsidRPr="00A96493" w:rsidRDefault="00A96493">
      <w:pPr>
        <w:pStyle w:val="TOC2"/>
        <w:rPr>
          <w:rFonts w:eastAsiaTheme="minorEastAsia"/>
          <w:noProof/>
          <w:lang w:val="en-GB" w:eastAsia="en-GB"/>
        </w:rPr>
      </w:pPr>
      <w:r w:rsidRPr="00A96493">
        <w:rPr>
          <w:rFonts w:ascii="Times New Roman" w:hAnsi="Times New Roman"/>
          <w:noProof/>
        </w:rPr>
        <w:t>I DALIS. BENDRIEJI NURODYMAI</w:t>
      </w:r>
      <w:r w:rsidRPr="00A96493">
        <w:rPr>
          <w:noProof/>
        </w:rPr>
        <w:tab/>
        <w:t>2</w:t>
      </w:r>
    </w:p>
    <w:p w14:paraId="0E5F8E15" w14:textId="77777777" w:rsidR="0035753A" w:rsidRPr="00A96493" w:rsidRDefault="00A96493">
      <w:pPr>
        <w:pStyle w:val="TOC2"/>
        <w:rPr>
          <w:rFonts w:eastAsiaTheme="minorEastAsia"/>
          <w:noProof/>
          <w:lang w:val="en-GB" w:eastAsia="en-GB"/>
        </w:rPr>
      </w:pPr>
      <w:r w:rsidRPr="00A96493">
        <w:rPr>
          <w:rFonts w:ascii="Times New Roman" w:hAnsi="Times New Roman"/>
          <w:noProof/>
        </w:rPr>
        <w:t>1. Struktūra ir tvarka</w:t>
      </w:r>
      <w:r w:rsidRPr="00A96493">
        <w:rPr>
          <w:noProof/>
        </w:rPr>
        <w:tab/>
        <w:t>2</w:t>
      </w:r>
    </w:p>
    <w:p w14:paraId="02DA82AA" w14:textId="77777777" w:rsidR="0035753A" w:rsidRPr="00A96493" w:rsidRDefault="00A96493">
      <w:pPr>
        <w:pStyle w:val="TOC2"/>
        <w:rPr>
          <w:rFonts w:eastAsiaTheme="minorEastAsia"/>
          <w:noProof/>
          <w:lang w:val="en-GB" w:eastAsia="en-GB"/>
        </w:rPr>
      </w:pPr>
      <w:r w:rsidRPr="00A96493">
        <w:rPr>
          <w:rFonts w:ascii="Times New Roman" w:hAnsi="Times New Roman"/>
          <w:noProof/>
          <w:u w:val="single"/>
        </w:rPr>
        <w:t>1.1. Struktūra</w:t>
      </w:r>
      <w:r w:rsidRPr="00A96493">
        <w:rPr>
          <w:noProof/>
        </w:rPr>
        <w:tab/>
        <w:t>2</w:t>
      </w:r>
    </w:p>
    <w:p w14:paraId="13D36EBB" w14:textId="77777777" w:rsidR="0035753A" w:rsidRPr="00A96493" w:rsidRDefault="00A96493">
      <w:pPr>
        <w:pStyle w:val="TOC2"/>
        <w:rPr>
          <w:rFonts w:eastAsiaTheme="minorEastAsia"/>
          <w:noProof/>
          <w:lang w:val="en-GB" w:eastAsia="en-GB"/>
        </w:rPr>
      </w:pPr>
      <w:r w:rsidRPr="00A96493">
        <w:rPr>
          <w:rFonts w:ascii="Times New Roman" w:hAnsi="Times New Roman"/>
          <w:noProof/>
          <w:u w:val="single"/>
        </w:rPr>
        <w:t>1.2. Numeravimo tvarka</w:t>
      </w:r>
      <w:r w:rsidRPr="00A96493">
        <w:rPr>
          <w:noProof/>
        </w:rPr>
        <w:tab/>
        <w:t>2</w:t>
      </w:r>
    </w:p>
    <w:p w14:paraId="314BAD8A" w14:textId="77777777" w:rsidR="0035753A" w:rsidRPr="00A96493" w:rsidRDefault="00A96493">
      <w:pPr>
        <w:pStyle w:val="TOC2"/>
        <w:rPr>
          <w:rFonts w:eastAsiaTheme="minorEastAsia"/>
          <w:noProof/>
          <w:lang w:val="en-GB" w:eastAsia="en-GB"/>
        </w:rPr>
      </w:pPr>
      <w:r w:rsidRPr="00A96493">
        <w:rPr>
          <w:rFonts w:ascii="Times New Roman" w:hAnsi="Times New Roman"/>
          <w:noProof/>
          <w:u w:val="single"/>
        </w:rPr>
        <w:t>1.3. Ženklų tvarka</w:t>
      </w:r>
      <w:r w:rsidRPr="00A96493">
        <w:rPr>
          <w:noProof/>
        </w:rPr>
        <w:tab/>
        <w:t>2</w:t>
      </w:r>
    </w:p>
    <w:p w14:paraId="3F4D5B0E" w14:textId="77777777" w:rsidR="0035753A" w:rsidRPr="00A96493" w:rsidRDefault="00A96493">
      <w:pPr>
        <w:pStyle w:val="TOC2"/>
        <w:rPr>
          <w:rFonts w:eastAsiaTheme="minorEastAsia"/>
          <w:noProof/>
          <w:lang w:val="en-GB" w:eastAsia="en-GB"/>
        </w:rPr>
      </w:pPr>
      <w:r w:rsidRPr="00A96493">
        <w:rPr>
          <w:rFonts w:ascii="Times New Roman" w:hAnsi="Times New Roman"/>
          <w:noProof/>
          <w:u w:val="single"/>
        </w:rPr>
        <w:t>1.4. Prudencinis (rizikos ribojimu pagrįstas) konsolidavimas</w:t>
      </w:r>
      <w:r w:rsidRPr="00A96493">
        <w:rPr>
          <w:noProof/>
        </w:rPr>
        <w:tab/>
        <w:t>2</w:t>
      </w:r>
    </w:p>
    <w:p w14:paraId="15AAEC59" w14:textId="77777777" w:rsidR="0035753A" w:rsidRPr="00A96493" w:rsidRDefault="00A96493">
      <w:pPr>
        <w:pStyle w:val="TOC2"/>
        <w:rPr>
          <w:rFonts w:eastAsiaTheme="minorEastAsia"/>
          <w:noProof/>
          <w:lang w:val="fr-BE" w:eastAsia="en-GB"/>
        </w:rPr>
      </w:pPr>
      <w:r w:rsidRPr="00A96493">
        <w:rPr>
          <w:rFonts w:ascii="Times New Roman" w:hAnsi="Times New Roman"/>
          <w:noProof/>
        </w:rPr>
        <w:t>II DALIS. SU FORMOMIS SUSIJĘ NURODYMAI</w:t>
      </w:r>
      <w:r w:rsidRPr="00A96493">
        <w:rPr>
          <w:noProof/>
        </w:rPr>
        <w:tab/>
        <w:t>3</w:t>
      </w:r>
    </w:p>
    <w:p w14:paraId="5939D804" w14:textId="77777777" w:rsidR="0035753A" w:rsidRPr="00A96493" w:rsidRDefault="00A96493">
      <w:pPr>
        <w:pStyle w:val="TOC2"/>
        <w:rPr>
          <w:rFonts w:eastAsiaTheme="minorEastAsia"/>
          <w:noProof/>
          <w:lang w:val="fr-BE" w:eastAsia="en-GB"/>
        </w:rPr>
      </w:pPr>
      <w:r w:rsidRPr="00A96493">
        <w:rPr>
          <w:rFonts w:ascii="Times New Roman" w:hAnsi="Times New Roman"/>
          <w:b/>
          <w:noProof/>
        </w:rPr>
        <w:t>1. NUOSAVOS LĖŠOS: SUMA, SUDĖTIS, REIKALAVIMAI IR APSKAIČIAVIMAS</w:t>
      </w:r>
      <w:r w:rsidRPr="00A96493">
        <w:rPr>
          <w:noProof/>
        </w:rPr>
        <w:tab/>
        <w:t>3</w:t>
      </w:r>
    </w:p>
    <w:p w14:paraId="1B20E873" w14:textId="77777777" w:rsidR="0035753A" w:rsidRPr="00A96493" w:rsidRDefault="00A96493">
      <w:pPr>
        <w:pStyle w:val="TOC2"/>
        <w:rPr>
          <w:rFonts w:eastAsiaTheme="minorEastAsia"/>
          <w:noProof/>
          <w:lang w:val="en-GB" w:eastAsia="en-GB"/>
        </w:rPr>
      </w:pPr>
      <w:r w:rsidRPr="00A96493">
        <w:rPr>
          <w:rFonts w:ascii="Times New Roman" w:hAnsi="Times New Roman"/>
          <w:noProof/>
        </w:rPr>
        <w:t>1.1. Bendrosios pastabos</w:t>
      </w:r>
      <w:r w:rsidRPr="00A96493">
        <w:rPr>
          <w:noProof/>
        </w:rPr>
        <w:tab/>
        <w:t>3</w:t>
      </w:r>
    </w:p>
    <w:p w14:paraId="588232D5" w14:textId="77777777" w:rsidR="0035753A" w:rsidRPr="00A96493" w:rsidRDefault="00A96493">
      <w:pPr>
        <w:pStyle w:val="TOC2"/>
        <w:rPr>
          <w:rFonts w:eastAsiaTheme="minorEastAsia"/>
          <w:noProof/>
          <w:lang w:val="en-GB" w:eastAsia="en-GB"/>
        </w:rPr>
      </w:pPr>
      <w:r w:rsidRPr="00A96493">
        <w:rPr>
          <w:rFonts w:ascii="Times New Roman" w:hAnsi="Times New Roman"/>
          <w:noProof/>
        </w:rPr>
        <w:t>1.2. I 01.01. NUOSAVŲ LĖŠŲ SUDĖTIS (I 1.1)</w:t>
      </w:r>
      <w:r w:rsidRPr="00A96493">
        <w:rPr>
          <w:noProof/>
        </w:rPr>
        <w:tab/>
        <w:t>3</w:t>
      </w:r>
    </w:p>
    <w:p w14:paraId="15E4F1EB" w14:textId="77777777" w:rsidR="0035753A" w:rsidRPr="00A96493" w:rsidRDefault="00A96493">
      <w:pPr>
        <w:pStyle w:val="TOC2"/>
        <w:rPr>
          <w:rFonts w:eastAsiaTheme="minorEastAsia"/>
          <w:noProof/>
          <w:lang w:val="en-GB" w:eastAsia="en-GB"/>
        </w:rPr>
      </w:pPr>
      <w:r w:rsidRPr="00A96493">
        <w:rPr>
          <w:rFonts w:ascii="Times New Roman" w:hAnsi="Times New Roman"/>
          <w:noProof/>
        </w:rPr>
        <w:t>1.2.1.</w:t>
      </w:r>
      <w:r w:rsidRPr="00A96493">
        <w:rPr>
          <w:rFonts w:eastAsiaTheme="minorEastAsia"/>
          <w:noProof/>
          <w:lang w:val="en-GB" w:eastAsia="en-GB"/>
        </w:rPr>
        <w:tab/>
      </w:r>
      <w:r w:rsidRPr="00A96493">
        <w:rPr>
          <w:rFonts w:ascii="Times New Roman" w:hAnsi="Times New Roman"/>
          <w:noProof/>
        </w:rPr>
        <w:t>Nurodymai dėl konkrečių pozicijų</w:t>
      </w:r>
      <w:r w:rsidRPr="00A96493">
        <w:rPr>
          <w:noProof/>
        </w:rPr>
        <w:tab/>
        <w:t>3</w:t>
      </w:r>
    </w:p>
    <w:p w14:paraId="0B21845D" w14:textId="77777777" w:rsidR="0035753A" w:rsidRPr="00A96493" w:rsidRDefault="00A96493">
      <w:pPr>
        <w:pStyle w:val="TOC2"/>
        <w:rPr>
          <w:rFonts w:eastAsiaTheme="minorEastAsia"/>
          <w:noProof/>
          <w:lang w:eastAsia="en-GB"/>
        </w:rPr>
      </w:pPr>
      <w:r w:rsidRPr="00A96493">
        <w:rPr>
          <w:rFonts w:ascii="Times New Roman" w:hAnsi="Times New Roman"/>
          <w:noProof/>
        </w:rPr>
        <w:t>1.3. I 02.03. NUOSAVŲ LĖŠŲ REIKALAVIMAI (I 2.3)</w:t>
      </w:r>
      <w:r w:rsidRPr="00A96493">
        <w:rPr>
          <w:noProof/>
        </w:rPr>
        <w:tab/>
        <w:t>8</w:t>
      </w:r>
    </w:p>
    <w:p w14:paraId="1FDF9BE9" w14:textId="77777777" w:rsidR="0035753A" w:rsidRPr="00A96493" w:rsidRDefault="00A96493">
      <w:pPr>
        <w:pStyle w:val="TOC2"/>
        <w:rPr>
          <w:rFonts w:eastAsiaTheme="minorEastAsia"/>
          <w:noProof/>
          <w:lang w:eastAsia="en-GB"/>
        </w:rPr>
      </w:pPr>
      <w:r w:rsidRPr="00A96493">
        <w:rPr>
          <w:rFonts w:ascii="Times New Roman" w:hAnsi="Times New Roman"/>
          <w:noProof/>
        </w:rPr>
        <w:t>1.3.1.</w:t>
      </w:r>
      <w:r w:rsidRPr="00A96493">
        <w:rPr>
          <w:rFonts w:eastAsiaTheme="minorEastAsia"/>
          <w:noProof/>
          <w:lang w:eastAsia="en-GB"/>
        </w:rPr>
        <w:tab/>
      </w:r>
      <w:r w:rsidRPr="00A96493">
        <w:rPr>
          <w:rFonts w:ascii="Times New Roman" w:hAnsi="Times New Roman"/>
          <w:noProof/>
          <w:u w:val="single"/>
        </w:rPr>
        <w:t>Nurodymai dėl konkrečių pozicijų</w:t>
      </w:r>
      <w:r w:rsidRPr="00A96493">
        <w:rPr>
          <w:noProof/>
        </w:rPr>
        <w:tab/>
        <w:t>8</w:t>
      </w:r>
    </w:p>
    <w:p w14:paraId="606CEEFE" w14:textId="77777777" w:rsidR="0035753A" w:rsidRPr="00A96493" w:rsidRDefault="00A96493">
      <w:pPr>
        <w:pStyle w:val="TOC2"/>
        <w:rPr>
          <w:rFonts w:eastAsiaTheme="minorEastAsia"/>
          <w:noProof/>
          <w:lang w:val="en-GB" w:eastAsia="en-GB"/>
        </w:rPr>
      </w:pPr>
      <w:r w:rsidRPr="00A96493">
        <w:rPr>
          <w:rFonts w:ascii="Times New Roman" w:hAnsi="Times New Roman"/>
          <w:noProof/>
        </w:rPr>
        <w:t>1.4. I 02.04 – KAPITALO PAKANKAMUMO KOEFICIENTAI (I 2.4)</w:t>
      </w:r>
      <w:r w:rsidRPr="00A96493">
        <w:rPr>
          <w:noProof/>
        </w:rPr>
        <w:tab/>
        <w:t>9</w:t>
      </w:r>
    </w:p>
    <w:p w14:paraId="4E196CB3" w14:textId="77777777" w:rsidR="0035753A" w:rsidRPr="00A96493" w:rsidRDefault="00A96493">
      <w:pPr>
        <w:pStyle w:val="TOC2"/>
        <w:rPr>
          <w:rFonts w:eastAsiaTheme="minorEastAsia"/>
          <w:noProof/>
          <w:lang w:val="en-GB" w:eastAsia="en-GB"/>
        </w:rPr>
      </w:pPr>
      <w:r w:rsidRPr="00A96493">
        <w:rPr>
          <w:rFonts w:ascii="Times New Roman" w:hAnsi="Times New Roman"/>
          <w:noProof/>
        </w:rPr>
        <w:t>1.4.1.</w:t>
      </w:r>
      <w:r w:rsidRPr="00A96493">
        <w:rPr>
          <w:rFonts w:eastAsiaTheme="minorEastAsia"/>
          <w:noProof/>
          <w:lang w:val="en-GB" w:eastAsia="en-GB"/>
        </w:rPr>
        <w:tab/>
      </w:r>
      <w:r w:rsidRPr="00A96493">
        <w:rPr>
          <w:rFonts w:ascii="Times New Roman" w:hAnsi="Times New Roman"/>
          <w:noProof/>
          <w:u w:val="single"/>
        </w:rPr>
        <w:t>Nurodymai dėl konkrečių pozicijų</w:t>
      </w:r>
      <w:r w:rsidRPr="00A96493">
        <w:rPr>
          <w:noProof/>
        </w:rPr>
        <w:tab/>
        <w:t>9</w:t>
      </w:r>
    </w:p>
    <w:p w14:paraId="406BF47B" w14:textId="77777777" w:rsidR="0035753A" w:rsidRPr="00A96493" w:rsidRDefault="00A96493">
      <w:pPr>
        <w:pStyle w:val="TOC2"/>
        <w:rPr>
          <w:rFonts w:eastAsiaTheme="minorEastAsia"/>
          <w:noProof/>
          <w:lang w:eastAsia="en-GB"/>
        </w:rPr>
      </w:pPr>
      <w:r w:rsidRPr="00A96493">
        <w:rPr>
          <w:rFonts w:ascii="Times New Roman" w:hAnsi="Times New Roman"/>
          <w:noProof/>
        </w:rPr>
        <w:t xml:space="preserve">1.5. I 03.01. </w:t>
      </w:r>
      <w:r w:rsidRPr="00A96493">
        <w:rPr>
          <w:rFonts w:ascii="Times New Roman" w:hAnsi="Times New Roman"/>
          <w:noProof/>
        </w:rPr>
        <w:t>PASTOVIŲJŲ PRIDĖTINIŲ IŠLAIDŲ REIKALAVIMŲ APSKAIČIAVIMAS (I 3.1)</w:t>
      </w:r>
      <w:r w:rsidRPr="00A96493">
        <w:rPr>
          <w:noProof/>
        </w:rPr>
        <w:tab/>
        <w:t>..........................................................................................................................................10</w:t>
      </w:r>
    </w:p>
    <w:p w14:paraId="088EEA47" w14:textId="77777777" w:rsidR="0035753A" w:rsidRPr="00A96493" w:rsidRDefault="00A96493">
      <w:pPr>
        <w:pStyle w:val="TOC2"/>
        <w:rPr>
          <w:rFonts w:eastAsiaTheme="minorEastAsia"/>
          <w:noProof/>
          <w:lang w:eastAsia="en-GB"/>
        </w:rPr>
      </w:pPr>
      <w:r w:rsidRPr="00A96493">
        <w:rPr>
          <w:rFonts w:ascii="Times New Roman" w:hAnsi="Times New Roman"/>
          <w:noProof/>
        </w:rPr>
        <w:t>1.5.1.</w:t>
      </w:r>
      <w:r w:rsidRPr="00A96493">
        <w:rPr>
          <w:rFonts w:eastAsiaTheme="minorEastAsia"/>
          <w:noProof/>
          <w:lang w:eastAsia="en-GB"/>
        </w:rPr>
        <w:tab/>
      </w:r>
      <w:r w:rsidRPr="00A96493">
        <w:rPr>
          <w:rFonts w:ascii="Times New Roman" w:hAnsi="Times New Roman"/>
          <w:noProof/>
          <w:u w:val="single"/>
        </w:rPr>
        <w:t>Nurodymai dėl konkrečių</w:t>
      </w:r>
      <w:r w:rsidRPr="00A96493">
        <w:rPr>
          <w:noProof/>
        </w:rPr>
        <w:t xml:space="preserve"> </w:t>
      </w:r>
      <w:r w:rsidRPr="00A96493">
        <w:rPr>
          <w:rFonts w:ascii="Times New Roman" w:hAnsi="Times New Roman"/>
          <w:noProof/>
          <w:u w:val="single"/>
        </w:rPr>
        <w:t>pozicijų</w:t>
      </w:r>
      <w:r w:rsidRPr="00A96493">
        <w:rPr>
          <w:noProof/>
        </w:rPr>
        <w:tab/>
        <w:t>10</w:t>
      </w:r>
    </w:p>
    <w:p w14:paraId="6DBE663B" w14:textId="77777777" w:rsidR="0035753A" w:rsidRPr="00A96493" w:rsidRDefault="00A96493">
      <w:pPr>
        <w:pStyle w:val="TOC2"/>
        <w:rPr>
          <w:rFonts w:eastAsiaTheme="minorEastAsia"/>
          <w:noProof/>
          <w:lang w:eastAsia="en-GB"/>
        </w:rPr>
      </w:pPr>
      <w:r w:rsidRPr="00A96493">
        <w:rPr>
          <w:rFonts w:ascii="Times New Roman" w:hAnsi="Times New Roman"/>
          <w:noProof/>
        </w:rPr>
        <w:t>2. MAŽO</w:t>
      </w:r>
      <w:r w:rsidRPr="00A96493">
        <w:rPr>
          <w:rFonts w:ascii="Times New Roman" w:hAnsi="Times New Roman"/>
          <w:noProof/>
        </w:rPr>
        <w:t>S IR TARPUSAVIO SĄSAJŲ NETURINČIOS INVESTICINĖS ĮMONĖS</w:t>
      </w:r>
      <w:r w:rsidRPr="00A96493">
        <w:rPr>
          <w:noProof/>
        </w:rPr>
        <w:tab/>
        <w:t>12</w:t>
      </w:r>
    </w:p>
    <w:p w14:paraId="3C64C75E" w14:textId="77777777" w:rsidR="0035753A" w:rsidRPr="00A96493" w:rsidRDefault="00A96493">
      <w:pPr>
        <w:pStyle w:val="TOC2"/>
        <w:rPr>
          <w:rFonts w:eastAsiaTheme="minorEastAsia"/>
          <w:noProof/>
          <w:lang w:val="en-GB" w:eastAsia="en-GB"/>
        </w:rPr>
      </w:pPr>
      <w:r w:rsidRPr="00A96493">
        <w:rPr>
          <w:rFonts w:ascii="Times New Roman" w:hAnsi="Times New Roman"/>
          <w:noProof/>
        </w:rPr>
        <w:t>2.1.</w:t>
      </w:r>
      <w:r w:rsidRPr="00A96493">
        <w:rPr>
          <w:rFonts w:ascii="Times New Roman" w:hAnsi="Times New Roman"/>
          <w:noProof/>
        </w:rPr>
        <w:tab/>
      </w:r>
      <w:r w:rsidRPr="00A96493">
        <w:rPr>
          <w:rFonts w:ascii="Times New Roman" w:hAnsi="Times New Roman"/>
          <w:noProof/>
          <w:u w:val="single"/>
        </w:rPr>
        <w:t>I 05.00 – VEIKLOS LYGIS. RIBINIŲ VERČIŲ PERŽIŪRA (I 5)</w:t>
      </w:r>
      <w:r w:rsidRPr="00A96493">
        <w:rPr>
          <w:noProof/>
        </w:rPr>
        <w:tab/>
        <w:t>12</w:t>
      </w:r>
    </w:p>
    <w:p w14:paraId="01412437" w14:textId="77777777" w:rsidR="0035753A" w:rsidRPr="00A96493" w:rsidRDefault="00A96493">
      <w:pPr>
        <w:pStyle w:val="TOC2"/>
        <w:rPr>
          <w:rFonts w:eastAsiaTheme="minorEastAsia"/>
          <w:noProof/>
          <w:lang w:val="en-GB" w:eastAsia="en-GB"/>
        </w:rPr>
      </w:pPr>
      <w:r w:rsidRPr="00A96493">
        <w:rPr>
          <w:rFonts w:ascii="Times New Roman" w:hAnsi="Times New Roman"/>
          <w:noProof/>
        </w:rPr>
        <w:t>2.1.1.</w:t>
      </w:r>
      <w:r w:rsidRPr="00A96493">
        <w:rPr>
          <w:rFonts w:eastAsiaTheme="minorEastAsia"/>
          <w:noProof/>
          <w:lang w:val="en-GB" w:eastAsia="en-GB"/>
        </w:rPr>
        <w:tab/>
      </w:r>
      <w:r w:rsidRPr="00A96493">
        <w:rPr>
          <w:rFonts w:ascii="Times New Roman" w:hAnsi="Times New Roman"/>
          <w:noProof/>
          <w:u w:val="single"/>
        </w:rPr>
        <w:t>Nurodymai dėl konkrečių</w:t>
      </w:r>
      <w:r w:rsidRPr="00A96493">
        <w:rPr>
          <w:noProof/>
        </w:rPr>
        <w:t xml:space="preserve"> </w:t>
      </w:r>
      <w:r w:rsidRPr="00A96493">
        <w:rPr>
          <w:rFonts w:ascii="Times New Roman" w:hAnsi="Times New Roman"/>
          <w:noProof/>
          <w:u w:val="single"/>
        </w:rPr>
        <w:t>pozicijų</w:t>
      </w:r>
      <w:r w:rsidRPr="00A96493">
        <w:rPr>
          <w:noProof/>
        </w:rPr>
        <w:tab/>
        <w:t>12</w:t>
      </w:r>
    </w:p>
    <w:p w14:paraId="3B16F4E6" w14:textId="77777777" w:rsidR="0035753A" w:rsidRPr="00A96493" w:rsidRDefault="00A96493">
      <w:pPr>
        <w:pStyle w:val="TOC2"/>
        <w:rPr>
          <w:rFonts w:eastAsiaTheme="minorEastAsia"/>
          <w:noProof/>
          <w:lang w:val="en-GB" w:eastAsia="en-GB"/>
        </w:rPr>
      </w:pPr>
      <w:r w:rsidRPr="00A96493">
        <w:rPr>
          <w:rFonts w:ascii="Times New Roman" w:hAnsi="Times New Roman"/>
          <w:b/>
          <w:noProof/>
        </w:rPr>
        <w:t>3. LIKVIDUMO REIKALAVIMAI</w:t>
      </w:r>
      <w:r w:rsidRPr="00A96493">
        <w:rPr>
          <w:noProof/>
        </w:rPr>
        <w:tab/>
        <w:t>15</w:t>
      </w:r>
    </w:p>
    <w:p w14:paraId="7ABDE7C1" w14:textId="77777777" w:rsidR="0035753A" w:rsidRPr="00A96493" w:rsidRDefault="00A96493">
      <w:pPr>
        <w:pStyle w:val="TOC2"/>
        <w:rPr>
          <w:rFonts w:eastAsiaTheme="minorEastAsia"/>
          <w:noProof/>
          <w:lang w:val="en-GB" w:eastAsia="en-GB"/>
        </w:rPr>
      </w:pPr>
      <w:r w:rsidRPr="00A96493">
        <w:rPr>
          <w:rFonts w:ascii="Times New Roman" w:hAnsi="Times New Roman"/>
          <w:noProof/>
          <w:u w:val="single"/>
        </w:rPr>
        <w:t>3.1. I 09.01. LIKVIDUMO REIKALAVIMAI (I 9.1)</w:t>
      </w:r>
      <w:r w:rsidRPr="00A96493">
        <w:rPr>
          <w:noProof/>
        </w:rPr>
        <w:tab/>
        <w:t>15</w:t>
      </w:r>
    </w:p>
    <w:p w14:paraId="6270D85D" w14:textId="77777777" w:rsidR="0035753A" w:rsidRPr="00A96493" w:rsidRDefault="00A96493">
      <w:pPr>
        <w:pStyle w:val="TOC2"/>
        <w:rPr>
          <w:rFonts w:eastAsiaTheme="minorEastAsia"/>
          <w:noProof/>
          <w:lang w:val="en-GB" w:eastAsia="en-GB"/>
        </w:rPr>
      </w:pPr>
      <w:r w:rsidRPr="00A96493">
        <w:rPr>
          <w:rFonts w:ascii="Times New Roman" w:hAnsi="Times New Roman"/>
          <w:noProof/>
        </w:rPr>
        <w:t>3.1.1.</w:t>
      </w:r>
      <w:r w:rsidRPr="00A96493">
        <w:rPr>
          <w:rFonts w:eastAsiaTheme="minorEastAsia"/>
          <w:noProof/>
          <w:lang w:val="en-GB" w:eastAsia="en-GB"/>
        </w:rPr>
        <w:tab/>
      </w:r>
      <w:r w:rsidRPr="00A96493">
        <w:rPr>
          <w:rFonts w:ascii="Times New Roman" w:hAnsi="Times New Roman"/>
          <w:noProof/>
          <w:u w:val="single"/>
        </w:rPr>
        <w:t>Nurodyma</w:t>
      </w:r>
      <w:r w:rsidRPr="00A96493">
        <w:rPr>
          <w:rFonts w:ascii="Times New Roman" w:hAnsi="Times New Roman"/>
          <w:noProof/>
          <w:u w:val="single"/>
        </w:rPr>
        <w:t>i dėl konkrečių pozicijų</w:t>
      </w:r>
      <w:r w:rsidRPr="00A96493">
        <w:rPr>
          <w:noProof/>
        </w:rPr>
        <w:tab/>
        <w:t>15</w:t>
      </w:r>
      <w:bookmarkStart w:id="6" w:name="_Toc360188322"/>
      <w:bookmarkStart w:id="7" w:name="_Toc473560870"/>
      <w:bookmarkStart w:id="8" w:name="_Toc7084155"/>
    </w:p>
    <w:p w14:paraId="1E294E5D" w14:textId="77777777" w:rsidR="0035753A" w:rsidRPr="00A96493" w:rsidRDefault="00A96493">
      <w:pPr>
        <w:pStyle w:val="Heading2"/>
        <w:rPr>
          <w:rFonts w:ascii="Times New Roman" w:hAnsi="Times New Roman"/>
        </w:rPr>
      </w:pPr>
      <w:bookmarkStart w:id="9" w:name="_Toc88213978"/>
      <w:r w:rsidRPr="00A96493">
        <w:rPr>
          <w:rFonts w:ascii="Times New Roman" w:hAnsi="Times New Roman"/>
        </w:rPr>
        <w:t>I DALIS. BENDRIEJI NURODYMAI</w:t>
      </w:r>
      <w:bookmarkEnd w:id="9"/>
    </w:p>
    <w:p w14:paraId="31B012D0" w14:textId="77777777" w:rsidR="0035753A" w:rsidRPr="00A96493" w:rsidRDefault="00A96493">
      <w:pPr>
        <w:keepNext/>
        <w:spacing w:before="240" w:after="240" w:line="240" w:lineRule="auto"/>
        <w:jc w:val="both"/>
        <w:outlineLvl w:val="1"/>
        <w:rPr>
          <w:rFonts w:ascii="Times New Roman" w:eastAsia="Arial" w:hAnsi="Times New Roman" w:cs="Times New Roman"/>
          <w:sz w:val="24"/>
          <w:szCs w:val="24"/>
        </w:rPr>
      </w:pPr>
      <w:bookmarkStart w:id="10" w:name="_Toc88213979"/>
      <w:r w:rsidRPr="00A96493">
        <w:rPr>
          <w:rFonts w:ascii="Times New Roman" w:hAnsi="Times New Roman"/>
          <w:sz w:val="24"/>
          <w:szCs w:val="24"/>
        </w:rPr>
        <w:t>1. Struktūra ir tvarka</w:t>
      </w:r>
      <w:bookmarkEnd w:id="10"/>
    </w:p>
    <w:p w14:paraId="4ACE84E9" w14:textId="77777777" w:rsidR="0035753A" w:rsidRPr="00A96493" w:rsidRDefault="00A96493">
      <w:pPr>
        <w:keepNext/>
        <w:spacing w:before="240" w:after="240" w:line="240" w:lineRule="auto"/>
        <w:jc w:val="both"/>
        <w:outlineLvl w:val="1"/>
        <w:rPr>
          <w:rFonts w:ascii="Times New Roman" w:eastAsia="Arial" w:hAnsi="Times New Roman" w:cs="Times New Roman"/>
          <w:sz w:val="24"/>
          <w:szCs w:val="24"/>
          <w:u w:val="single"/>
        </w:rPr>
      </w:pPr>
      <w:bookmarkStart w:id="11" w:name="_Toc88213980"/>
      <w:r w:rsidRPr="00A96493">
        <w:rPr>
          <w:rFonts w:ascii="Times New Roman" w:hAnsi="Times New Roman"/>
          <w:sz w:val="24"/>
          <w:szCs w:val="24"/>
          <w:u w:val="single"/>
        </w:rPr>
        <w:t>1.1. Struktūra</w:t>
      </w:r>
      <w:bookmarkEnd w:id="11"/>
    </w:p>
    <w:p w14:paraId="6FCDC631" w14:textId="77777777" w:rsidR="0035753A" w:rsidRPr="00A96493" w:rsidRDefault="00A96493">
      <w:pPr>
        <w:spacing w:line="256" w:lineRule="auto"/>
        <w:ind w:left="993" w:hanging="504"/>
        <w:jc w:val="both"/>
        <w:rPr>
          <w:rFonts w:ascii="Times New Roman" w:hAnsi="Times New Roman" w:cs="Times New Roman"/>
        </w:rPr>
      </w:pPr>
      <w:r w:rsidRPr="00A96493">
        <w:rPr>
          <w:rFonts w:ascii="Times New Roman" w:hAnsi="Times New Roman" w:cs="Times New Roman"/>
        </w:rPr>
        <w:t>1.</w:t>
      </w:r>
      <w:r w:rsidRPr="00A96493">
        <w:rPr>
          <w:rFonts w:ascii="Times New Roman" w:hAnsi="Times New Roman" w:cs="Times New Roman"/>
        </w:rPr>
        <w:tab/>
      </w:r>
      <w:r w:rsidRPr="00A96493">
        <w:rPr>
          <w:rFonts w:ascii="Times New Roman" w:hAnsi="Times New Roman"/>
        </w:rPr>
        <w:t>Apskritai sistemą sudaro ši informacija:</w:t>
      </w:r>
    </w:p>
    <w:p w14:paraId="4439470D" w14:textId="77777777" w:rsidR="0035753A" w:rsidRPr="00A96493" w:rsidRDefault="00A96493">
      <w:pPr>
        <w:spacing w:line="256" w:lineRule="auto"/>
        <w:ind w:left="1728" w:hanging="648"/>
        <w:jc w:val="both"/>
        <w:rPr>
          <w:rFonts w:ascii="Times New Roman" w:hAnsi="Times New Roman" w:cs="Times New Roman"/>
        </w:rPr>
      </w:pPr>
      <w:r w:rsidRPr="00A96493">
        <w:rPr>
          <w:rFonts w:ascii="Times New Roman" w:hAnsi="Times New Roman" w:cs="Times New Roman"/>
        </w:rPr>
        <w:lastRenderedPageBreak/>
        <w:t>a)</w:t>
      </w:r>
      <w:r w:rsidRPr="00A96493">
        <w:rPr>
          <w:rFonts w:ascii="Times New Roman" w:hAnsi="Times New Roman" w:cs="Times New Roman"/>
        </w:rPr>
        <w:tab/>
      </w:r>
      <w:r w:rsidRPr="00A96493">
        <w:rPr>
          <w:rFonts w:ascii="Times New Roman" w:hAnsi="Times New Roman"/>
        </w:rPr>
        <w:t>nuosavos lėšos;</w:t>
      </w:r>
    </w:p>
    <w:p w14:paraId="6467A44C" w14:textId="77777777" w:rsidR="0035753A" w:rsidRPr="00A96493" w:rsidRDefault="00A96493">
      <w:pPr>
        <w:spacing w:line="256" w:lineRule="auto"/>
        <w:ind w:left="1728" w:hanging="648"/>
        <w:jc w:val="both"/>
        <w:rPr>
          <w:rFonts w:ascii="Times New Roman" w:hAnsi="Times New Roman" w:cs="Times New Roman"/>
        </w:rPr>
      </w:pPr>
      <w:r w:rsidRPr="00A96493">
        <w:rPr>
          <w:rFonts w:ascii="Times New Roman" w:hAnsi="Times New Roman" w:cs="Times New Roman"/>
        </w:rPr>
        <w:t>b)</w:t>
      </w:r>
      <w:r w:rsidRPr="00A96493">
        <w:rPr>
          <w:rFonts w:ascii="Times New Roman" w:hAnsi="Times New Roman" w:cs="Times New Roman"/>
        </w:rPr>
        <w:tab/>
      </w:r>
      <w:r w:rsidRPr="00A96493">
        <w:rPr>
          <w:rFonts w:ascii="Times New Roman" w:hAnsi="Times New Roman"/>
        </w:rPr>
        <w:t>nuosavų lėšų reikalavimų apskaičiavimai;</w:t>
      </w:r>
    </w:p>
    <w:p w14:paraId="7716EAFF" w14:textId="77777777" w:rsidR="0035753A" w:rsidRPr="00A96493" w:rsidRDefault="00A96493">
      <w:pPr>
        <w:spacing w:line="256" w:lineRule="auto"/>
        <w:ind w:left="1728" w:hanging="648"/>
        <w:jc w:val="both"/>
        <w:rPr>
          <w:rFonts w:ascii="Times New Roman" w:hAnsi="Times New Roman" w:cs="Times New Roman"/>
        </w:rPr>
      </w:pPr>
      <w:r w:rsidRPr="00A96493">
        <w:rPr>
          <w:rFonts w:ascii="Times New Roman" w:hAnsi="Times New Roman" w:cs="Times New Roman"/>
        </w:rPr>
        <w:t>c)</w:t>
      </w:r>
      <w:r w:rsidRPr="00A96493">
        <w:rPr>
          <w:rFonts w:ascii="Times New Roman" w:hAnsi="Times New Roman" w:cs="Times New Roman"/>
        </w:rPr>
        <w:tab/>
      </w:r>
      <w:r w:rsidRPr="00A96493">
        <w:rPr>
          <w:rFonts w:ascii="Times New Roman" w:hAnsi="Times New Roman"/>
        </w:rPr>
        <w:t xml:space="preserve">pastoviųjų pridėtinių išlaidų </w:t>
      </w:r>
      <w:r w:rsidRPr="00A96493">
        <w:rPr>
          <w:rFonts w:ascii="Times New Roman" w:hAnsi="Times New Roman"/>
        </w:rPr>
        <w:t>reikalavimų apskaičiavimas;</w:t>
      </w:r>
    </w:p>
    <w:p w14:paraId="45422E59" w14:textId="77777777" w:rsidR="0035753A" w:rsidRPr="00A96493" w:rsidRDefault="00A96493">
      <w:pPr>
        <w:spacing w:line="256" w:lineRule="auto"/>
        <w:ind w:left="1728" w:hanging="648"/>
        <w:jc w:val="both"/>
        <w:rPr>
          <w:rFonts w:ascii="Times New Roman" w:hAnsi="Times New Roman" w:cs="Times New Roman"/>
        </w:rPr>
      </w:pPr>
      <w:r w:rsidRPr="00A96493">
        <w:rPr>
          <w:rFonts w:ascii="Times New Roman" w:hAnsi="Times New Roman" w:cs="Times New Roman"/>
        </w:rPr>
        <w:t>d)</w:t>
      </w:r>
      <w:r w:rsidRPr="00A96493">
        <w:rPr>
          <w:rFonts w:ascii="Times New Roman" w:hAnsi="Times New Roman" w:cs="Times New Roman"/>
        </w:rPr>
        <w:tab/>
      </w:r>
      <w:r w:rsidRPr="00A96493">
        <w:rPr>
          <w:rFonts w:ascii="Times New Roman" w:hAnsi="Times New Roman"/>
        </w:rPr>
        <w:t>su Reglamento (ES) 2019/2033 12 straipsnio 1 dalyje nustatytomis sąlygomis susijusios veiklos lygis;</w:t>
      </w:r>
    </w:p>
    <w:p w14:paraId="16F8F3F6" w14:textId="77777777" w:rsidR="0035753A" w:rsidRPr="00A96493" w:rsidRDefault="00A96493">
      <w:pPr>
        <w:spacing w:line="256" w:lineRule="auto"/>
        <w:ind w:left="1728" w:hanging="648"/>
        <w:jc w:val="both"/>
        <w:rPr>
          <w:rFonts w:ascii="Times New Roman" w:hAnsi="Times New Roman" w:cs="Times New Roman"/>
        </w:rPr>
      </w:pPr>
      <w:r w:rsidRPr="00A96493">
        <w:rPr>
          <w:rFonts w:ascii="Times New Roman" w:hAnsi="Times New Roman" w:cs="Times New Roman"/>
        </w:rPr>
        <w:t>e)</w:t>
      </w:r>
      <w:r w:rsidRPr="00A96493">
        <w:rPr>
          <w:rFonts w:ascii="Times New Roman" w:hAnsi="Times New Roman" w:cs="Times New Roman"/>
        </w:rPr>
        <w:tab/>
      </w:r>
      <w:r w:rsidRPr="00A96493">
        <w:rPr>
          <w:rFonts w:ascii="Times New Roman" w:hAnsi="Times New Roman"/>
        </w:rPr>
        <w:t>likvidumo reikalavimai.</w:t>
      </w:r>
    </w:p>
    <w:p w14:paraId="67B3DFDC" w14:textId="77777777" w:rsidR="0035753A" w:rsidRPr="00A96493" w:rsidRDefault="00A96493">
      <w:pPr>
        <w:pStyle w:val="InstructionsText2"/>
        <w:numPr>
          <w:ilvl w:val="0"/>
          <w:numId w:val="0"/>
        </w:numPr>
        <w:ind w:left="360" w:hanging="360"/>
      </w:pPr>
      <w:r w:rsidRPr="00A96493">
        <w:t>2.</w:t>
      </w:r>
      <w:r w:rsidRPr="00A96493">
        <w:tab/>
        <w:t xml:space="preserve">Kiekvienai formai pateikiamos nuorodos į teisės aktus. Išsamesnė informacija apie bendresnius </w:t>
      </w:r>
      <w:r w:rsidRPr="00A96493">
        <w:t>informacijos teikimo pagal kiekvieną formų grupę aspektus, nurodymai dėl konkrečių pozicijų, taip pat patvirtinimo taisyklės yra pateikti šioje šio reglamento dalyje.</w:t>
      </w:r>
    </w:p>
    <w:p w14:paraId="7A9FDD4D" w14:textId="77777777" w:rsidR="0035753A" w:rsidRPr="00A96493" w:rsidRDefault="00A96493">
      <w:pPr>
        <w:keepNext/>
        <w:spacing w:before="240" w:after="240" w:line="240" w:lineRule="auto"/>
        <w:jc w:val="both"/>
        <w:outlineLvl w:val="1"/>
        <w:rPr>
          <w:rFonts w:ascii="Times New Roman" w:eastAsia="Arial" w:hAnsi="Times New Roman" w:cs="Times New Roman"/>
          <w:sz w:val="24"/>
          <w:szCs w:val="24"/>
          <w:u w:val="single"/>
        </w:rPr>
      </w:pPr>
      <w:bookmarkStart w:id="12" w:name="_Toc88213981"/>
      <w:r w:rsidRPr="00A96493">
        <w:rPr>
          <w:rFonts w:ascii="Times New Roman" w:hAnsi="Times New Roman"/>
          <w:sz w:val="24"/>
          <w:szCs w:val="24"/>
          <w:u w:val="single"/>
        </w:rPr>
        <w:t>1.2. Numeravimo tvarka</w:t>
      </w:r>
      <w:bookmarkEnd w:id="12"/>
    </w:p>
    <w:p w14:paraId="61F9BFC4" w14:textId="77777777" w:rsidR="0035753A" w:rsidRPr="00A96493" w:rsidRDefault="00A96493">
      <w:pPr>
        <w:pStyle w:val="InstructionsText2"/>
        <w:numPr>
          <w:ilvl w:val="0"/>
          <w:numId w:val="0"/>
        </w:numPr>
        <w:ind w:left="360" w:hanging="360"/>
      </w:pPr>
      <w:r w:rsidRPr="00A96493">
        <w:t>3.</w:t>
      </w:r>
      <w:r w:rsidRPr="00A96493">
        <w:tab/>
        <w:t xml:space="preserve">Dokumente nurodant formų skiltis, eilutes ir laukelius </w:t>
      </w:r>
      <w:r w:rsidRPr="00A96493">
        <w:t>taikoma 4–7 punktuose nurodyta žymėjimo tvarka. Tie skaitiniai kodai plačiai naudojami patvirtinimo taisyklėse.</w:t>
      </w:r>
    </w:p>
    <w:p w14:paraId="453EB884" w14:textId="77777777" w:rsidR="0035753A" w:rsidRPr="00A96493" w:rsidRDefault="00A96493">
      <w:pPr>
        <w:pStyle w:val="InstructionsText2"/>
        <w:numPr>
          <w:ilvl w:val="0"/>
          <w:numId w:val="0"/>
        </w:numPr>
        <w:ind w:left="360" w:hanging="360"/>
      </w:pPr>
      <w:r w:rsidRPr="00A96493">
        <w:t>4.</w:t>
      </w:r>
      <w:r w:rsidRPr="00A96493">
        <w:tab/>
        <w:t>Nurodymuose laikomasi šios bendros žymėjimo tvarkos: {forma; eilutė; skiltis}.</w:t>
      </w:r>
    </w:p>
    <w:p w14:paraId="12397287" w14:textId="77777777" w:rsidR="0035753A" w:rsidRPr="00A96493" w:rsidRDefault="00A96493">
      <w:pPr>
        <w:pStyle w:val="InstructionsText2"/>
        <w:numPr>
          <w:ilvl w:val="0"/>
          <w:numId w:val="0"/>
        </w:numPr>
        <w:ind w:left="360" w:hanging="360"/>
      </w:pPr>
      <w:r w:rsidRPr="00A96493">
        <w:t>5.</w:t>
      </w:r>
      <w:r w:rsidRPr="00A96493">
        <w:tab/>
        <w:t>Kai tvirtinimas atliekamas formoje ir naudojami tik tos for</w:t>
      </w:r>
      <w:r w:rsidRPr="00A96493">
        <w:t>mos duomenų vienetai, forma nenurodoma: {eilutė; skiltis}.</w:t>
      </w:r>
    </w:p>
    <w:p w14:paraId="40EB5EF6" w14:textId="77777777" w:rsidR="0035753A" w:rsidRPr="00A96493" w:rsidRDefault="00A96493">
      <w:pPr>
        <w:pStyle w:val="InstructionsText2"/>
        <w:numPr>
          <w:ilvl w:val="0"/>
          <w:numId w:val="0"/>
        </w:numPr>
        <w:ind w:left="360" w:hanging="360"/>
      </w:pPr>
      <w:r w:rsidRPr="00A96493">
        <w:t>6.</w:t>
      </w:r>
      <w:r w:rsidRPr="00A96493">
        <w:tab/>
        <w:t>Kai formą sudaro tik viena skiltis, nurodomos tik eilutės: {forma; eilutė}.</w:t>
      </w:r>
    </w:p>
    <w:p w14:paraId="20A6ECDE" w14:textId="77777777" w:rsidR="0035753A" w:rsidRPr="00A96493" w:rsidRDefault="00A96493">
      <w:pPr>
        <w:pStyle w:val="InstructionsText2"/>
        <w:numPr>
          <w:ilvl w:val="0"/>
          <w:numId w:val="0"/>
        </w:numPr>
        <w:ind w:left="360" w:hanging="360"/>
      </w:pPr>
      <w:r w:rsidRPr="00A96493">
        <w:t>7.</w:t>
      </w:r>
      <w:r w:rsidRPr="00A96493">
        <w:tab/>
        <w:t>Žvaigždutės ženklas naudojamas, kai norima pažymėti, kad tvirtinamos anksčiau nurodytos eilutės arba skiltys.</w:t>
      </w:r>
    </w:p>
    <w:p w14:paraId="3ED9D0E6" w14:textId="77777777" w:rsidR="0035753A" w:rsidRPr="00A96493" w:rsidRDefault="00A96493">
      <w:pPr>
        <w:keepNext/>
        <w:spacing w:before="240" w:after="240" w:line="240" w:lineRule="auto"/>
        <w:jc w:val="both"/>
        <w:outlineLvl w:val="1"/>
        <w:rPr>
          <w:rFonts w:ascii="Times New Roman" w:eastAsia="Arial" w:hAnsi="Times New Roman" w:cs="Times New Roman"/>
          <w:sz w:val="24"/>
          <w:szCs w:val="24"/>
          <w:u w:val="single"/>
        </w:rPr>
      </w:pPr>
      <w:bookmarkStart w:id="13" w:name="_Toc88213982"/>
      <w:r w:rsidRPr="00A96493">
        <w:rPr>
          <w:rFonts w:ascii="Times New Roman" w:hAnsi="Times New Roman"/>
          <w:sz w:val="24"/>
          <w:szCs w:val="24"/>
          <w:u w:val="single"/>
        </w:rPr>
        <w:t xml:space="preserve">1.3. </w:t>
      </w:r>
      <w:r w:rsidRPr="00A96493">
        <w:rPr>
          <w:rFonts w:ascii="Times New Roman" w:hAnsi="Times New Roman"/>
          <w:sz w:val="24"/>
          <w:szCs w:val="24"/>
          <w:u w:val="single"/>
        </w:rPr>
        <w:t>Ženklų tvarka</w:t>
      </w:r>
      <w:bookmarkEnd w:id="13"/>
    </w:p>
    <w:p w14:paraId="452FCFA3" w14:textId="77777777" w:rsidR="0035753A" w:rsidRPr="00A96493" w:rsidRDefault="00A96493">
      <w:pPr>
        <w:pStyle w:val="InstructionsText2"/>
        <w:numPr>
          <w:ilvl w:val="0"/>
          <w:numId w:val="0"/>
        </w:numPr>
        <w:ind w:left="360" w:hanging="360"/>
      </w:pPr>
      <w:r w:rsidRPr="00A96493">
        <w:t>8.</w:t>
      </w:r>
      <w:r w:rsidRPr="00A96493">
        <w:tab/>
        <w:t>Visos sumos, dėl kurių nuosavos lėšos ar nuosavų lėšų reikalavimai arba likvidumo reikalavimai padidėja, nurodomos teigiamu skaičiumi. Priešingai – visos sumos, dėl kurių bendra nuosavų lėšų suma arba nuosavų lėšų reikalavimai mažėja, nuro</w:t>
      </w:r>
      <w:r w:rsidRPr="00A96493">
        <w:t>domos neigiamu skaičiumi. Prieš straipsnio pavadinimą įrašytas minuso ženklas (–) reiškia prielaidą, kad tame straipsnyje teigiamas skaičius nebus rašomas.</w:t>
      </w:r>
    </w:p>
    <w:p w14:paraId="563D7003" w14:textId="77777777" w:rsidR="0035753A" w:rsidRPr="00A96493" w:rsidRDefault="00A96493">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213983"/>
      <w:r w:rsidRPr="00A96493">
        <w:rPr>
          <w:rFonts w:ascii="Times New Roman" w:hAnsi="Times New Roman"/>
          <w:sz w:val="24"/>
          <w:szCs w:val="24"/>
          <w:u w:val="single"/>
        </w:rPr>
        <w:t>1.4.</w:t>
      </w:r>
      <w:bookmarkEnd w:id="14"/>
      <w:r w:rsidRPr="00A96493">
        <w:rPr>
          <w:rFonts w:ascii="Times New Roman" w:hAnsi="Times New Roman"/>
          <w:sz w:val="24"/>
          <w:szCs w:val="24"/>
          <w:u w:val="single"/>
        </w:rPr>
        <w:t xml:space="preserve"> Prudencinis (rizikos ribojimu pagrįstas) konsolidavimas</w:t>
      </w:r>
      <w:bookmarkEnd w:id="15"/>
    </w:p>
    <w:p w14:paraId="0DFF0E17" w14:textId="77777777" w:rsidR="0035753A" w:rsidRPr="00A96493" w:rsidRDefault="00A96493">
      <w:pPr>
        <w:spacing w:line="256" w:lineRule="auto"/>
        <w:ind w:left="360" w:hanging="360"/>
        <w:jc w:val="both"/>
        <w:rPr>
          <w:rFonts w:ascii="Times New Roman" w:hAnsi="Times New Roman" w:cs="Times New Roman"/>
          <w:sz w:val="24"/>
        </w:rPr>
      </w:pPr>
      <w:r w:rsidRPr="00A96493">
        <w:rPr>
          <w:rFonts w:ascii="Times New Roman" w:hAnsi="Times New Roman" w:cs="Times New Roman"/>
          <w:sz w:val="24"/>
        </w:rPr>
        <w:t>9.</w:t>
      </w:r>
      <w:r w:rsidRPr="00A96493">
        <w:rPr>
          <w:rFonts w:ascii="Times New Roman" w:hAnsi="Times New Roman" w:cs="Times New Roman"/>
          <w:sz w:val="24"/>
        </w:rPr>
        <w:tab/>
      </w:r>
      <w:r w:rsidRPr="00A96493">
        <w:rPr>
          <w:rFonts w:ascii="Times New Roman" w:hAnsi="Times New Roman"/>
          <w:sz w:val="24"/>
        </w:rPr>
        <w:t>Išskyrus atvejus, kai leidžiama taik</w:t>
      </w:r>
      <w:r w:rsidRPr="00A96493">
        <w:rPr>
          <w:rFonts w:ascii="Times New Roman" w:hAnsi="Times New Roman"/>
          <w:sz w:val="24"/>
        </w:rPr>
        <w:t xml:space="preserve">yti išimtį, Reglamentas (ES) 2019/2033 ir Direktyva (ES) 2019/2034, įskaitant Reglamento (ES) 2019/2033 septintoje dalyje nustatytus informacijos teikimo reikalavimus, investicinėms įmonėms taikomi individualiai ir konsoliduotai. Reglamento (ES) 2019/2033 </w:t>
      </w:r>
      <w:r w:rsidRPr="00A96493">
        <w:rPr>
          <w:rFonts w:ascii="Times New Roman" w:hAnsi="Times New Roman"/>
          <w:sz w:val="24"/>
        </w:rPr>
        <w:t>4 straipsnio 1 dalies 11 punkte konsoliduota būklė apibrėžiama kaip Reglamento (ES) 2019/2033 reikalavimų taikymo investicinių įmonių grupei taip, lyg grupės subjektai būtų viena investicinė įmonė, rezultatas. Pritaikius Reglamento (ES) 2019/2033 7 straips</w:t>
      </w:r>
      <w:r w:rsidRPr="00A96493">
        <w:rPr>
          <w:rFonts w:ascii="Times New Roman" w:hAnsi="Times New Roman"/>
          <w:sz w:val="24"/>
        </w:rPr>
        <w:t>nį, investicinių įmonių grupės visų formų informacijos teikimo reikalavimų laikosi atsižvelgdamos į savo prudencinio konsolidavimo apimtį (kuri gali skirtis nuo jų apskaitos konsolidavimo apimties).</w:t>
      </w:r>
    </w:p>
    <w:p w14:paraId="0CCC4A85" w14:textId="77777777" w:rsidR="0035753A" w:rsidRPr="00A96493" w:rsidRDefault="00A96493">
      <w:pPr>
        <w:pStyle w:val="Heading2"/>
        <w:rPr>
          <w:rFonts w:ascii="Times New Roman" w:hAnsi="Times New Roman"/>
        </w:rPr>
      </w:pPr>
      <w:bookmarkStart w:id="16" w:name="_Toc88213984"/>
      <w:r w:rsidRPr="00A96493">
        <w:rPr>
          <w:rFonts w:ascii="Times New Roman" w:hAnsi="Times New Roman"/>
        </w:rPr>
        <w:lastRenderedPageBreak/>
        <w:t>II DALIS. SU FORMOMIS SUSIJĘ NURODYMAI</w:t>
      </w:r>
      <w:bookmarkEnd w:id="6"/>
      <w:bookmarkEnd w:id="7"/>
      <w:bookmarkEnd w:id="8"/>
      <w:bookmarkEnd w:id="16"/>
    </w:p>
    <w:p w14:paraId="145392B5" w14:textId="77777777" w:rsidR="0035753A" w:rsidRPr="00A96493" w:rsidRDefault="00A96493">
      <w:pPr>
        <w:pStyle w:val="Instructionsberschrift2"/>
        <w:ind w:left="357" w:hanging="357"/>
        <w:rPr>
          <w:rFonts w:ascii="Times New Roman" w:hAnsi="Times New Roman" w:cs="Times New Roman"/>
          <w:b/>
          <w:sz w:val="24"/>
        </w:rPr>
      </w:pPr>
      <w:bookmarkStart w:id="17" w:name="_Toc88213985"/>
      <w:r w:rsidRPr="00A96493">
        <w:rPr>
          <w:rFonts w:ascii="Times New Roman" w:hAnsi="Times New Roman"/>
          <w:b/>
          <w:sz w:val="24"/>
          <w:u w:val="none"/>
        </w:rPr>
        <w:t>1. NUOSAVOS LĖŠOS:</w:t>
      </w:r>
      <w:r w:rsidRPr="00A96493">
        <w:rPr>
          <w:rFonts w:ascii="Times New Roman" w:hAnsi="Times New Roman"/>
          <w:b/>
          <w:sz w:val="24"/>
          <w:u w:val="none"/>
        </w:rPr>
        <w:t xml:space="preserve"> SUMA, SUDĖTIS, REIKALAVIMAI IR APSKAIČIAVIMAS</w:t>
      </w:r>
      <w:bookmarkEnd w:id="17"/>
    </w:p>
    <w:p w14:paraId="652FDAAE" w14:textId="77777777" w:rsidR="0035753A" w:rsidRPr="00A96493" w:rsidRDefault="00A96493">
      <w:pPr>
        <w:pStyle w:val="Instructionsberschrift2"/>
        <w:ind w:left="357" w:hanging="357"/>
        <w:rPr>
          <w:rFonts w:ascii="Times New Roman" w:hAnsi="Times New Roman" w:cs="Times New Roman"/>
          <w:sz w:val="24"/>
        </w:rPr>
      </w:pPr>
      <w:bookmarkStart w:id="18" w:name="_Toc88213986"/>
      <w:r w:rsidRPr="00A96493">
        <w:rPr>
          <w:rFonts w:ascii="Times New Roman" w:hAnsi="Times New Roman"/>
          <w:sz w:val="24"/>
        </w:rPr>
        <w:t>1.1. Bendrosios pastabos</w:t>
      </w:r>
      <w:bookmarkEnd w:id="18"/>
    </w:p>
    <w:p w14:paraId="77E53680" w14:textId="77777777" w:rsidR="0035753A" w:rsidRPr="00A96493" w:rsidRDefault="00A96493">
      <w:pPr>
        <w:spacing w:line="256" w:lineRule="auto"/>
        <w:ind w:left="993" w:hanging="567"/>
        <w:jc w:val="both"/>
        <w:rPr>
          <w:rFonts w:ascii="Times New Roman" w:hAnsi="Times New Roman" w:cs="Times New Roman"/>
          <w:sz w:val="24"/>
        </w:rPr>
      </w:pPr>
      <w:r w:rsidRPr="00A96493">
        <w:rPr>
          <w:rFonts w:ascii="Times New Roman" w:hAnsi="Times New Roman" w:cs="Times New Roman"/>
          <w:sz w:val="24"/>
        </w:rPr>
        <w:t>10.</w:t>
      </w:r>
      <w:r w:rsidRPr="00A96493">
        <w:rPr>
          <w:rFonts w:ascii="Times New Roman" w:hAnsi="Times New Roman" w:cs="Times New Roman"/>
          <w:sz w:val="24"/>
        </w:rPr>
        <w:tab/>
      </w:r>
      <w:r w:rsidRPr="00A96493">
        <w:rPr>
          <w:rFonts w:ascii="Times New Roman" w:hAnsi="Times New Roman"/>
          <w:sz w:val="24"/>
        </w:rPr>
        <w:t>Nuosavų lėšų apžvalgos skirsnyje pateikiama informacija apie investicinės įmonės turimas nuosavas lėšas ir nuosavų lėšų reikalavimus. Jį sudaro dvi formos:</w:t>
      </w:r>
    </w:p>
    <w:p w14:paraId="2F68BEEB" w14:textId="77777777" w:rsidR="0035753A" w:rsidRPr="00A96493" w:rsidRDefault="00A96493">
      <w:pPr>
        <w:spacing w:line="256" w:lineRule="auto"/>
        <w:ind w:left="1728" w:hanging="648"/>
        <w:jc w:val="both"/>
        <w:rPr>
          <w:rFonts w:ascii="Times New Roman" w:hAnsi="Times New Roman" w:cs="Times New Roman"/>
          <w:sz w:val="24"/>
        </w:rPr>
      </w:pPr>
      <w:r w:rsidRPr="00A96493">
        <w:rPr>
          <w:rFonts w:ascii="Times New Roman" w:hAnsi="Times New Roman" w:cs="Times New Roman"/>
          <w:sz w:val="24"/>
        </w:rPr>
        <w:t>a)</w:t>
      </w:r>
      <w:r w:rsidRPr="00A96493">
        <w:rPr>
          <w:rFonts w:ascii="Times New Roman" w:hAnsi="Times New Roman" w:cs="Times New Roman"/>
          <w:sz w:val="24"/>
        </w:rPr>
        <w:tab/>
      </w:r>
      <w:r w:rsidRPr="00A96493">
        <w:rPr>
          <w:rFonts w:ascii="Times New Roman" w:hAnsi="Times New Roman"/>
          <w:sz w:val="24"/>
        </w:rPr>
        <w:t xml:space="preserve">I 01.01 </w:t>
      </w:r>
      <w:r w:rsidRPr="00A96493">
        <w:rPr>
          <w:rFonts w:ascii="Times New Roman" w:hAnsi="Times New Roman"/>
          <w:sz w:val="24"/>
        </w:rPr>
        <w:t>formoje pateikiama investicinės įmonės turimų nuosavų lėšų sudėtis: bendras 1 lygio nuosavas kapitalas (CET1), papildomas 1 lygio kapitalas (AT1) ir 2 lygio kapitalas (T2).</w:t>
      </w:r>
    </w:p>
    <w:p w14:paraId="6070FEEF" w14:textId="77777777" w:rsidR="0035753A" w:rsidRPr="00A96493" w:rsidRDefault="00A96493">
      <w:pPr>
        <w:spacing w:line="256" w:lineRule="auto"/>
        <w:ind w:left="1728" w:hanging="648"/>
        <w:jc w:val="both"/>
        <w:rPr>
          <w:rFonts w:ascii="Times New Roman" w:hAnsi="Times New Roman" w:cs="Times New Roman"/>
          <w:sz w:val="24"/>
        </w:rPr>
      </w:pPr>
      <w:r w:rsidRPr="00A96493">
        <w:rPr>
          <w:rFonts w:ascii="Times New Roman" w:hAnsi="Times New Roman" w:cs="Times New Roman"/>
          <w:sz w:val="24"/>
        </w:rPr>
        <w:t>b)</w:t>
      </w:r>
      <w:r w:rsidRPr="00A96493">
        <w:rPr>
          <w:rFonts w:ascii="Times New Roman" w:hAnsi="Times New Roman" w:cs="Times New Roman"/>
          <w:sz w:val="24"/>
        </w:rPr>
        <w:tab/>
      </w:r>
      <w:r w:rsidRPr="00A96493">
        <w:rPr>
          <w:rFonts w:ascii="Times New Roman" w:hAnsi="Times New Roman"/>
          <w:sz w:val="24"/>
        </w:rPr>
        <w:t>I 02.03 ir I 02.04 formose pateikiama bendra nuosavų lėšų reikalavimo suma, nuol</w:t>
      </w:r>
      <w:r w:rsidRPr="00A96493">
        <w:rPr>
          <w:rFonts w:ascii="Times New Roman" w:hAnsi="Times New Roman"/>
          <w:sz w:val="24"/>
        </w:rPr>
        <w:t>atinio minimalaus kapitalo reikalavimas, pastoviųjų pridėtinių išlaidų reikalavimas, papildomų nuosavų lėšų reikalavimas ir gairės, pereinamojo laikotarpio nuosavų lėšų reikalavimas ir kapitalo pakankamumo koeficientai.</w:t>
      </w:r>
    </w:p>
    <w:p w14:paraId="69F0EE30" w14:textId="77777777" w:rsidR="0035753A" w:rsidRPr="00A96493" w:rsidRDefault="00A96493">
      <w:pPr>
        <w:spacing w:line="256" w:lineRule="auto"/>
        <w:ind w:left="1728" w:hanging="648"/>
        <w:jc w:val="both"/>
        <w:rPr>
          <w:rFonts w:ascii="Times New Roman" w:hAnsi="Times New Roman" w:cs="Times New Roman"/>
          <w:sz w:val="24"/>
        </w:rPr>
      </w:pPr>
      <w:r w:rsidRPr="00A96493">
        <w:rPr>
          <w:rFonts w:ascii="Times New Roman" w:hAnsi="Times New Roman" w:cs="Times New Roman"/>
          <w:sz w:val="24"/>
        </w:rPr>
        <w:t>c)</w:t>
      </w:r>
      <w:r w:rsidRPr="00A96493">
        <w:rPr>
          <w:rFonts w:ascii="Times New Roman" w:hAnsi="Times New Roman" w:cs="Times New Roman"/>
          <w:sz w:val="24"/>
        </w:rPr>
        <w:tab/>
      </w:r>
      <w:r w:rsidRPr="00A96493">
        <w:rPr>
          <w:rFonts w:ascii="Times New Roman" w:hAnsi="Times New Roman"/>
          <w:sz w:val="24"/>
        </w:rPr>
        <w:t xml:space="preserve">I 03.01 forma apima informaciją, </w:t>
      </w:r>
      <w:r w:rsidRPr="00A96493">
        <w:rPr>
          <w:rFonts w:ascii="Times New Roman" w:hAnsi="Times New Roman"/>
          <w:sz w:val="24"/>
        </w:rPr>
        <w:t>susijusią su pastoviųjų pridėtinių išlaidų reikalavimo apskaičiavimu.</w:t>
      </w:r>
    </w:p>
    <w:p w14:paraId="5AEE9FB2" w14:textId="77777777" w:rsidR="0035753A" w:rsidRPr="00A96493" w:rsidRDefault="00A96493">
      <w:pPr>
        <w:spacing w:line="256" w:lineRule="auto"/>
        <w:ind w:left="993" w:hanging="567"/>
        <w:jc w:val="both"/>
        <w:rPr>
          <w:rFonts w:ascii="Times New Roman" w:hAnsi="Times New Roman" w:cs="Times New Roman"/>
          <w:sz w:val="24"/>
        </w:rPr>
      </w:pPr>
      <w:r w:rsidRPr="00A96493">
        <w:rPr>
          <w:rFonts w:ascii="Times New Roman" w:hAnsi="Times New Roman" w:cs="Times New Roman"/>
          <w:sz w:val="24"/>
        </w:rPr>
        <w:t>11.</w:t>
      </w:r>
      <w:r w:rsidRPr="00A96493">
        <w:rPr>
          <w:rFonts w:ascii="Times New Roman" w:hAnsi="Times New Roman" w:cs="Times New Roman"/>
          <w:sz w:val="24"/>
        </w:rPr>
        <w:tab/>
      </w:r>
      <w:r w:rsidRPr="00A96493">
        <w:rPr>
          <w:rFonts w:ascii="Times New Roman" w:hAnsi="Times New Roman"/>
          <w:sz w:val="24"/>
        </w:rPr>
        <w:t>Šių formų straipsniai nurodomi prieš pereinamojo laikotarpio koregavimus. Tai reiškia, kad reikšmės (išskyrus atvejus, kai konkrečiai nurodomas pereinamojo laikotarpio nuosavų lėšų r</w:t>
      </w:r>
      <w:r w:rsidRPr="00A96493">
        <w:rPr>
          <w:rFonts w:ascii="Times New Roman" w:hAnsi="Times New Roman"/>
          <w:sz w:val="24"/>
        </w:rPr>
        <w:t>eikalavimas) yra apskaičiuotos pagal galutines nuostatas (t. y. taip, lyg pereinamojo laikotarpio nuostatų nebūtų).</w:t>
      </w:r>
    </w:p>
    <w:p w14:paraId="0F715DF6" w14:textId="77777777" w:rsidR="0035753A" w:rsidRPr="00A96493" w:rsidRDefault="00A96493">
      <w:pPr>
        <w:pStyle w:val="Instructionsberschrift2"/>
        <w:ind w:left="357" w:hanging="357"/>
        <w:rPr>
          <w:rFonts w:ascii="Times New Roman" w:hAnsi="Times New Roman" w:cs="Times New Roman"/>
          <w:sz w:val="24"/>
          <w:u w:val="none"/>
        </w:rPr>
      </w:pPr>
      <w:bookmarkStart w:id="19" w:name="_Toc88213987"/>
      <w:r w:rsidRPr="00A96493">
        <w:rPr>
          <w:rFonts w:ascii="Times New Roman" w:hAnsi="Times New Roman"/>
          <w:sz w:val="24"/>
          <w:u w:val="none"/>
        </w:rPr>
        <w:t xml:space="preserve">1.2. </w:t>
      </w:r>
      <w:r w:rsidRPr="00A96493">
        <w:rPr>
          <w:rFonts w:ascii="Times New Roman" w:hAnsi="Times New Roman"/>
          <w:sz w:val="24"/>
        </w:rPr>
        <w:t>I 01.01. NUOSAVŲ LĖŠŲ SUDĖTIS (I 1.1)</w:t>
      </w:r>
      <w:bookmarkEnd w:id="19"/>
    </w:p>
    <w:p w14:paraId="0B2E683C" w14:textId="77777777" w:rsidR="0035753A" w:rsidRPr="00A96493" w:rsidRDefault="00A96493">
      <w:pPr>
        <w:pStyle w:val="Instructionsberschrift2"/>
        <w:ind w:left="357" w:hanging="357"/>
        <w:rPr>
          <w:rFonts w:ascii="Times New Roman" w:hAnsi="Times New Roman" w:cs="Times New Roman"/>
          <w:sz w:val="24"/>
        </w:rPr>
      </w:pPr>
      <w:bookmarkStart w:id="20" w:name="_Toc88213988"/>
      <w:r w:rsidRPr="00A96493">
        <w:rPr>
          <w:rFonts w:ascii="Times New Roman" w:hAnsi="Times New Roman"/>
          <w:sz w:val="24"/>
          <w:u w:val="none"/>
        </w:rPr>
        <w:t>1.2.1.</w:t>
      </w:r>
      <w:r w:rsidRPr="00A96493">
        <w:tab/>
      </w:r>
      <w:r w:rsidRPr="00A96493">
        <w:rPr>
          <w:rFonts w:ascii="Times New Roman" w:hAnsi="Times New Roman"/>
          <w:sz w:val="24"/>
        </w:rPr>
        <w:t>Nurodymai dėl konkrečių pozicijų</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753A" w:rsidRPr="00A96493" w14:paraId="6A89E3BF" w14:textId="77777777">
        <w:tc>
          <w:tcPr>
            <w:tcW w:w="1129" w:type="dxa"/>
            <w:shd w:val="clear" w:color="auto" w:fill="D9D9D9"/>
          </w:tcPr>
          <w:p w14:paraId="0E616C5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Eilutė</w:t>
            </w:r>
          </w:p>
        </w:tc>
        <w:tc>
          <w:tcPr>
            <w:tcW w:w="7620" w:type="dxa"/>
            <w:shd w:val="clear" w:color="auto" w:fill="D9D9D9"/>
          </w:tcPr>
          <w:p w14:paraId="4A84FA7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Nuorodos į teisės aktus ir nurodymai</w:t>
            </w:r>
          </w:p>
        </w:tc>
      </w:tr>
      <w:tr w:rsidR="0035753A" w:rsidRPr="00A96493" w14:paraId="52803850" w14:textId="77777777">
        <w:tc>
          <w:tcPr>
            <w:tcW w:w="1129" w:type="dxa"/>
          </w:tcPr>
          <w:p w14:paraId="46F316E3"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0010</w:t>
            </w:r>
          </w:p>
        </w:tc>
        <w:tc>
          <w:tcPr>
            <w:tcW w:w="7620" w:type="dxa"/>
          </w:tcPr>
          <w:p w14:paraId="76C1F00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NUOSAVOS LĖŠOS</w:t>
            </w:r>
          </w:p>
          <w:p w14:paraId="09216C0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dalis.</w:t>
            </w:r>
          </w:p>
          <w:p w14:paraId="6238E56F"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Investicinės įmonės nuosavas lėšas sudaro jos 1 lygio kapitalo ir 2 lygio kapitalo suma.</w:t>
            </w:r>
          </w:p>
          <w:p w14:paraId="3BC6BE5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Nurodoma bendra (0020 ir 0380) eilučių reikšmių suma.</w:t>
            </w:r>
          </w:p>
        </w:tc>
      </w:tr>
      <w:tr w:rsidR="0035753A" w:rsidRPr="00A96493" w14:paraId="3B7AF677" w14:textId="77777777">
        <w:tc>
          <w:tcPr>
            <w:tcW w:w="1129" w:type="dxa"/>
          </w:tcPr>
          <w:p w14:paraId="1BFD3DD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0020</w:t>
            </w:r>
          </w:p>
        </w:tc>
        <w:tc>
          <w:tcPr>
            <w:tcW w:w="7620" w:type="dxa"/>
          </w:tcPr>
          <w:p w14:paraId="5D392BD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1 LYGIO KAPITALAS</w:t>
            </w:r>
          </w:p>
          <w:p w14:paraId="75543B7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 xml:space="preserve">1 lygio kapitalą </w:t>
            </w:r>
            <w:r w:rsidRPr="00A96493">
              <w:rPr>
                <w:rStyle w:val="FormatvorlageInstructionsTabelleText"/>
                <w:rFonts w:ascii="Times New Roman" w:hAnsi="Times New Roman"/>
                <w:sz w:val="22"/>
              </w:rPr>
              <w:t>sudaro bendro 1 lygio nuosavo kapitalo ir papildomo 1 lygio kapitalo suma.</w:t>
            </w:r>
          </w:p>
        </w:tc>
      </w:tr>
      <w:tr w:rsidR="0035753A" w:rsidRPr="00A96493" w14:paraId="7B9F3962" w14:textId="77777777">
        <w:tc>
          <w:tcPr>
            <w:tcW w:w="1129" w:type="dxa"/>
          </w:tcPr>
          <w:p w14:paraId="774DF4C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0030</w:t>
            </w:r>
          </w:p>
        </w:tc>
        <w:tc>
          <w:tcPr>
            <w:tcW w:w="7620" w:type="dxa"/>
          </w:tcPr>
          <w:p w14:paraId="04B4E71E"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InstructionsTabelleberschrift"/>
                <w:rFonts w:ascii="Times New Roman" w:hAnsi="Times New Roman"/>
                <w:sz w:val="22"/>
              </w:rPr>
              <w:t>BENDRAS 1 LYGIO NUOSAVAS KAPITALAS</w:t>
            </w:r>
          </w:p>
          <w:p w14:paraId="2B13159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dalis.</w:t>
            </w:r>
          </w:p>
          <w:p w14:paraId="162FCB00"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Reglamento (ES) Nr. 575/2013 50 straipsnis.</w:t>
            </w:r>
          </w:p>
          <w:p w14:paraId="428B789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Nurodoma bendra (0040–0060, 0090–0140 ir </w:t>
            </w:r>
            <w:r w:rsidRPr="00A96493">
              <w:rPr>
                <w:rFonts w:ascii="Times New Roman" w:hAnsi="Times New Roman"/>
                <w:bCs/>
              </w:rPr>
              <w:t>0290) eilučių reikšmių suma.</w:t>
            </w:r>
          </w:p>
        </w:tc>
      </w:tr>
      <w:tr w:rsidR="0035753A" w:rsidRPr="00A96493" w14:paraId="6067E962" w14:textId="77777777">
        <w:tc>
          <w:tcPr>
            <w:tcW w:w="1129" w:type="dxa"/>
          </w:tcPr>
          <w:p w14:paraId="26696BB3"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0040</w:t>
            </w:r>
          </w:p>
        </w:tc>
        <w:tc>
          <w:tcPr>
            <w:tcW w:w="7620" w:type="dxa"/>
          </w:tcPr>
          <w:p w14:paraId="355578B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Visiškai apmokėtos kapitalo priemonės</w:t>
            </w:r>
          </w:p>
          <w:p w14:paraId="2B03B66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487A602B"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Reglamento (ES) Nr. 575/2013 26 straipsnio 1 dalies a punktas ir 27–31 straipsniai.</w:t>
            </w:r>
          </w:p>
          <w:p w14:paraId="19C83308"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lastRenderedPageBreak/>
              <w:t>Prie jų priskiriamos savidraudos įmoni</w:t>
            </w:r>
            <w:r w:rsidRPr="00A96493">
              <w:rPr>
                <w:rStyle w:val="FormatvorlageInstructionsTabelleText"/>
                <w:rFonts w:ascii="Times New Roman" w:hAnsi="Times New Roman"/>
                <w:sz w:val="22"/>
                <w:szCs w:val="22"/>
              </w:rPr>
              <w:t>ų, kooperatinių bendrovių arba panašių įstaigų kapitalo priemonės (Reglamento (ES) Nr. 575/2013 27 ir 29 straipsniai).</w:t>
            </w:r>
          </w:p>
          <w:p w14:paraId="305A727A"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Su tomis priemonėmis susiję akcijų priedai neįskaičiuojami.</w:t>
            </w:r>
          </w:p>
          <w:p w14:paraId="18E6917B" w14:textId="77777777" w:rsidR="0035753A" w:rsidRPr="00A96493" w:rsidRDefault="00A96493">
            <w:pPr>
              <w:pStyle w:val="InstructionsText"/>
              <w:rPr>
                <w:sz w:val="22"/>
                <w:szCs w:val="22"/>
              </w:rPr>
            </w:pPr>
            <w:r w:rsidRPr="00A96493">
              <w:rPr>
                <w:rStyle w:val="FormatvorlageInstructionsTabelleText"/>
                <w:rFonts w:ascii="Times New Roman" w:hAnsi="Times New Roman"/>
                <w:sz w:val="22"/>
                <w:szCs w:val="22"/>
              </w:rPr>
              <w:t>Viešosios valdžios institucijų ekstremaliųjų situacijų atveju pasirašytos kap</w:t>
            </w:r>
            <w:r w:rsidRPr="00A96493">
              <w:rPr>
                <w:rStyle w:val="FormatvorlageInstructionsTabelleText"/>
                <w:rFonts w:ascii="Times New Roman" w:hAnsi="Times New Roman"/>
                <w:sz w:val="22"/>
                <w:szCs w:val="22"/>
              </w:rPr>
              <w:t>italo priemonės įskaičiuojamos, jeigu įvykdomos visos Reglamento (ES) Nr. 575/2013 31 straipsnio sąlygos.</w:t>
            </w:r>
          </w:p>
        </w:tc>
      </w:tr>
      <w:tr w:rsidR="0035753A" w:rsidRPr="00A96493" w14:paraId="7E99879D" w14:textId="77777777">
        <w:tc>
          <w:tcPr>
            <w:tcW w:w="1129" w:type="dxa"/>
          </w:tcPr>
          <w:p w14:paraId="0D713C4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0050</w:t>
            </w:r>
          </w:p>
        </w:tc>
        <w:tc>
          <w:tcPr>
            <w:tcW w:w="7620" w:type="dxa"/>
          </w:tcPr>
          <w:p w14:paraId="4C233EC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Akcijų priedai</w:t>
            </w:r>
          </w:p>
          <w:p w14:paraId="7F2CF65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7AF46151"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 xml:space="preserve">Reglamento (ES) Nr. 575/2013 26 straipsnio 1 dalies b </w:t>
            </w:r>
            <w:r w:rsidRPr="00A96493">
              <w:rPr>
                <w:rStyle w:val="FormatvorlageInstructionsTabelleText"/>
                <w:rFonts w:ascii="Times New Roman" w:hAnsi="Times New Roman"/>
                <w:sz w:val="22"/>
              </w:rPr>
              <w:t>punktas.</w:t>
            </w:r>
          </w:p>
          <w:p w14:paraId="0C46534B"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Sąvokos „akcijų priedai“ reikšmė yra tokia pati, kaip apibrėžta taikytiname apskaitos standarte.</w:t>
            </w:r>
          </w:p>
          <w:p w14:paraId="00F6294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Šiame straipsnyje nurodoma sumos dalis, susijusi su apmokėtomis kapitalo priemonėmis.</w:t>
            </w:r>
          </w:p>
        </w:tc>
      </w:tr>
      <w:tr w:rsidR="0035753A" w:rsidRPr="00A96493" w14:paraId="6DF95709" w14:textId="77777777">
        <w:tc>
          <w:tcPr>
            <w:tcW w:w="1129" w:type="dxa"/>
          </w:tcPr>
          <w:p w14:paraId="62F48C8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0060</w:t>
            </w:r>
          </w:p>
        </w:tc>
        <w:tc>
          <w:tcPr>
            <w:tcW w:w="7620" w:type="dxa"/>
          </w:tcPr>
          <w:p w14:paraId="5AC0954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Nepaskirstytasis pelnas</w:t>
            </w:r>
          </w:p>
          <w:p w14:paraId="292B840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w:t>
            </w:r>
            <w:r w:rsidRPr="00A96493">
              <w:rPr>
                <w:rFonts w:ascii="Times New Roman" w:hAnsi="Times New Roman"/>
                <w:bCs/>
              </w:rPr>
              <w:t>snio 1 dalies i papunktis.</w:t>
            </w:r>
          </w:p>
          <w:p w14:paraId="05750C70" w14:textId="77777777" w:rsidR="0035753A" w:rsidRPr="00A96493" w:rsidRDefault="00A96493">
            <w:pPr>
              <w:spacing w:after="120" w:line="240" w:lineRule="auto"/>
              <w:jc w:val="both"/>
              <w:rPr>
                <w:rFonts w:ascii="Times New Roman" w:eastAsia="Times New Roman" w:hAnsi="Times New Roman" w:cs="Times New Roman"/>
                <w:bCs/>
              </w:rPr>
            </w:pPr>
            <w:r w:rsidRPr="00A96493">
              <w:rPr>
                <w:rStyle w:val="FormatvorlageInstructionsTabelleText"/>
                <w:rFonts w:ascii="Times New Roman" w:hAnsi="Times New Roman"/>
                <w:sz w:val="22"/>
              </w:rPr>
              <w:t>Reglamento (ES) Nr. 575/2013 26 straipsnio 1 dalies c punktas.</w:t>
            </w:r>
          </w:p>
          <w:p w14:paraId="766ADCE1"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Nepaskirstytąjį pelną sudaro ankstesnių metų nepaskirstytojo pelno ir reikalavimus atitinkančio tarpinio arba metų pabaigos pelno suma.</w:t>
            </w:r>
          </w:p>
          <w:p w14:paraId="7CA8ACC7"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Nurodoma bendra 0070 ir 0080 e</w:t>
            </w:r>
            <w:r w:rsidRPr="00A96493">
              <w:rPr>
                <w:rFonts w:ascii="Times New Roman" w:hAnsi="Times New Roman"/>
                <w:bCs/>
              </w:rPr>
              <w:t>ilučių reikšmių suma.</w:t>
            </w:r>
          </w:p>
        </w:tc>
      </w:tr>
      <w:tr w:rsidR="0035753A" w:rsidRPr="00A96493" w14:paraId="2397D77D" w14:textId="77777777">
        <w:tc>
          <w:tcPr>
            <w:tcW w:w="1129" w:type="dxa"/>
          </w:tcPr>
          <w:p w14:paraId="118CE12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0070</w:t>
            </w:r>
          </w:p>
        </w:tc>
        <w:tc>
          <w:tcPr>
            <w:tcW w:w="7620" w:type="dxa"/>
          </w:tcPr>
          <w:p w14:paraId="64A5F91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Ankstesnių metų nepaskirstytasis pelnas</w:t>
            </w:r>
          </w:p>
          <w:p w14:paraId="4E50FCF5" w14:textId="77777777" w:rsidR="0035753A" w:rsidRPr="00A96493" w:rsidRDefault="00A96493">
            <w:pPr>
              <w:spacing w:after="120" w:line="240" w:lineRule="auto"/>
              <w:jc w:val="both"/>
              <w:rPr>
                <w:rFonts w:ascii="Times New Roman" w:eastAsia="Times New Roman" w:hAnsi="Times New Roman" w:cs="Times New Roman"/>
              </w:rPr>
            </w:pPr>
            <w:r w:rsidRPr="00A96493">
              <w:rPr>
                <w:rFonts w:ascii="Times New Roman" w:hAnsi="Times New Roman"/>
              </w:rPr>
              <w:t>Reglamento (ES) Nr. 575/2013 4 straipsnio 1 dalies 123 punktas ir 26 straipsnio 1 dalies c punktas</w:t>
            </w:r>
          </w:p>
          <w:p w14:paraId="14051F8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 xml:space="preserve">Reglamento (ES) Nr. 575/2013 4 straipsnio 1 dalies 123 punkte nurodoma, kad </w:t>
            </w:r>
            <w:r w:rsidRPr="00A96493">
              <w:rPr>
                <w:rFonts w:ascii="Times New Roman" w:hAnsi="Times New Roman"/>
              </w:rPr>
              <w:t>nepaskirstytasis pelnas yra „į kitą laikotarpį perkeliamas pelnas ir nuostoliai, likę po galutinio pelno arba nuostolių paskirstymo pagal taikytiną apskaitos sistemą“.</w:t>
            </w:r>
          </w:p>
        </w:tc>
      </w:tr>
      <w:tr w:rsidR="0035753A" w:rsidRPr="00A96493" w14:paraId="32E55EE7" w14:textId="77777777">
        <w:tc>
          <w:tcPr>
            <w:tcW w:w="1129" w:type="dxa"/>
          </w:tcPr>
          <w:p w14:paraId="13328E8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0080</w:t>
            </w:r>
          </w:p>
        </w:tc>
        <w:tc>
          <w:tcPr>
            <w:tcW w:w="7620" w:type="dxa"/>
          </w:tcPr>
          <w:p w14:paraId="1592D31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Reikalavimus atitinkantis pelnas</w:t>
            </w:r>
          </w:p>
          <w:p w14:paraId="3CBA0C53" w14:textId="77777777" w:rsidR="0035753A" w:rsidRPr="00A96493" w:rsidRDefault="00A96493">
            <w:pPr>
              <w:spacing w:after="120" w:line="240" w:lineRule="auto"/>
              <w:jc w:val="both"/>
              <w:rPr>
                <w:rFonts w:ascii="Times New Roman" w:eastAsia="Times New Roman" w:hAnsi="Times New Roman" w:cs="Times New Roman"/>
              </w:rPr>
            </w:pPr>
            <w:r w:rsidRPr="00A96493">
              <w:rPr>
                <w:rFonts w:ascii="Times New Roman" w:hAnsi="Times New Roman"/>
              </w:rPr>
              <w:t>Reglamento (ES) Nr. 575/2013 4 straipsnio 1 dalie</w:t>
            </w:r>
            <w:r w:rsidRPr="00A96493">
              <w:rPr>
                <w:rFonts w:ascii="Times New Roman" w:hAnsi="Times New Roman"/>
              </w:rPr>
              <w:t>s 121 punktas, 26 straipsnio 2 dalis ir 36 straipsnio 1 dalies a punktas.</w:t>
            </w:r>
          </w:p>
          <w:p w14:paraId="4877B19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Pagal Reglamento (ES) Nr. 575/2013 26 straipsnio 2 dalį leidžiama, gavus kompetentingos institucijos išankstinį leidimą, į nepaskirstytąjį pelną įtraukti tarpinį arba metų pabaigos p</w:t>
            </w:r>
            <w:r w:rsidRPr="00A96493">
              <w:rPr>
                <w:rFonts w:ascii="Times New Roman" w:hAnsi="Times New Roman"/>
              </w:rPr>
              <w:t xml:space="preserve">elną, jeigu įvykdomos tam tikros sąlygos. </w:t>
            </w:r>
          </w:p>
        </w:tc>
      </w:tr>
      <w:tr w:rsidR="0035753A" w:rsidRPr="00A96493" w14:paraId="20ECB5CF" w14:textId="77777777">
        <w:tc>
          <w:tcPr>
            <w:tcW w:w="1129" w:type="dxa"/>
          </w:tcPr>
          <w:p w14:paraId="2476845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0090</w:t>
            </w:r>
          </w:p>
        </w:tc>
        <w:tc>
          <w:tcPr>
            <w:tcW w:w="7620" w:type="dxa"/>
          </w:tcPr>
          <w:p w14:paraId="71C078F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Sukauptos kitos bendrosios pajamos</w:t>
            </w:r>
          </w:p>
          <w:p w14:paraId="7FEE6B4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7895ABCC" w14:textId="77777777" w:rsidR="0035753A" w:rsidRPr="00A96493" w:rsidRDefault="00A96493">
            <w:pPr>
              <w:spacing w:after="120" w:line="240" w:lineRule="auto"/>
              <w:jc w:val="both"/>
              <w:rPr>
                <w:rFonts w:ascii="Times New Roman" w:hAnsi="Times New Roman" w:cs="Times New Roman"/>
                <w:bCs/>
              </w:rPr>
            </w:pPr>
            <w:r w:rsidRPr="00A96493">
              <w:rPr>
                <w:rStyle w:val="FormatvorlageInstructionsTabelleText"/>
                <w:rFonts w:ascii="Times New Roman" w:hAnsi="Times New Roman"/>
                <w:sz w:val="22"/>
              </w:rPr>
              <w:t>Reglamento (ES) Nr. 575/2013 26 straipsnio 1 dalies d punktas.</w:t>
            </w:r>
          </w:p>
        </w:tc>
      </w:tr>
      <w:tr w:rsidR="0035753A" w:rsidRPr="00A96493" w14:paraId="32D4A53C" w14:textId="77777777">
        <w:tc>
          <w:tcPr>
            <w:tcW w:w="1129" w:type="dxa"/>
          </w:tcPr>
          <w:p w14:paraId="3407940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0100</w:t>
            </w:r>
          </w:p>
        </w:tc>
        <w:tc>
          <w:tcPr>
            <w:tcW w:w="7620" w:type="dxa"/>
          </w:tcPr>
          <w:p w14:paraId="21C7860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Kiti rezervai</w:t>
            </w:r>
          </w:p>
          <w:p w14:paraId="7E6C683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w:t>
            </w:r>
            <w:r w:rsidRPr="00A96493">
              <w:rPr>
                <w:rFonts w:ascii="Times New Roman" w:hAnsi="Times New Roman"/>
                <w:bCs/>
              </w:rPr>
              <w:t>straipsnio 1 dalies i papunktis.</w:t>
            </w:r>
          </w:p>
          <w:p w14:paraId="1FE70B5B"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Reglamento (ES) Nr. 575/2013 4 straipsnio 1 dalies 117 punktas ir 26 straipsnio 1 dalies e punktas.</w:t>
            </w:r>
          </w:p>
          <w:p w14:paraId="7DAB61D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Suma nurodoma atėmus visus skaičiavimo metu numatomus mokesčius.</w:t>
            </w:r>
          </w:p>
        </w:tc>
      </w:tr>
      <w:tr w:rsidR="0035753A" w:rsidRPr="00A96493" w14:paraId="29C77AB2" w14:textId="77777777">
        <w:tc>
          <w:tcPr>
            <w:tcW w:w="1129" w:type="dxa"/>
          </w:tcPr>
          <w:p w14:paraId="22D3B0A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0110</w:t>
            </w:r>
          </w:p>
        </w:tc>
        <w:tc>
          <w:tcPr>
            <w:tcW w:w="7620" w:type="dxa"/>
            <w:shd w:val="clear" w:color="auto" w:fill="auto"/>
          </w:tcPr>
          <w:p w14:paraId="2E2D104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Mažumos dalys, pripažintos kaip bendras 1 lygio nuos</w:t>
            </w:r>
            <w:r w:rsidRPr="00A96493">
              <w:rPr>
                <w:rFonts w:ascii="Times New Roman" w:hAnsi="Times New Roman"/>
                <w:b/>
                <w:bCs/>
                <w:u w:val="single"/>
              </w:rPr>
              <w:t>avas kapitalas (CET1)</w:t>
            </w:r>
          </w:p>
          <w:p w14:paraId="11D60ED8"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Reglamento (ES) Nr. 575/2013 84 straipsnio 1 dalis, 85 straipsnio 1 dalis ir 87 straipsnio 1 dalis.</w:t>
            </w:r>
          </w:p>
          <w:p w14:paraId="5C043DE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lastRenderedPageBreak/>
              <w:t>Visa patronuojamųjų įmonių mažumos dalių suma, įtraukta į konsoliduotą CET1.</w:t>
            </w:r>
          </w:p>
        </w:tc>
      </w:tr>
      <w:tr w:rsidR="0035753A" w:rsidRPr="00A96493" w14:paraId="00297C23" w14:textId="77777777">
        <w:tc>
          <w:tcPr>
            <w:tcW w:w="1129" w:type="dxa"/>
          </w:tcPr>
          <w:p w14:paraId="64BAC5D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0120</w:t>
            </w:r>
          </w:p>
        </w:tc>
        <w:tc>
          <w:tcPr>
            <w:tcW w:w="7620" w:type="dxa"/>
            <w:shd w:val="clear" w:color="auto" w:fill="auto"/>
          </w:tcPr>
          <w:p w14:paraId="6C44DEB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CET1 koregavimai pritaikius </w:t>
            </w:r>
            <w:r w:rsidRPr="00A96493">
              <w:rPr>
                <w:rFonts w:ascii="Times New Roman" w:hAnsi="Times New Roman"/>
                <w:b/>
                <w:bCs/>
                <w:u w:val="single"/>
              </w:rPr>
              <w:t>prudencinius filtrus</w:t>
            </w:r>
          </w:p>
          <w:p w14:paraId="2921C863"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Reglamento (ES) 2019/2033 9 straipsnio 1 dalies i papunktis.</w:t>
            </w:r>
          </w:p>
          <w:p w14:paraId="10113BA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Reglamento (ES) Nr. 575/2013 32–35 straipsniai.</w:t>
            </w:r>
          </w:p>
        </w:tc>
      </w:tr>
      <w:tr w:rsidR="0035753A" w:rsidRPr="00A96493" w14:paraId="21DF2911" w14:textId="77777777">
        <w:tc>
          <w:tcPr>
            <w:tcW w:w="1129" w:type="dxa"/>
          </w:tcPr>
          <w:p w14:paraId="528C0CB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0130</w:t>
            </w:r>
          </w:p>
        </w:tc>
        <w:tc>
          <w:tcPr>
            <w:tcW w:w="7620" w:type="dxa"/>
          </w:tcPr>
          <w:p w14:paraId="61D1166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Kitos lėšos</w:t>
            </w:r>
          </w:p>
          <w:p w14:paraId="2D549B8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Reglamento (ES) 2019/2033 9 straipsnio 4 dalis.</w:t>
            </w:r>
          </w:p>
        </w:tc>
      </w:tr>
      <w:tr w:rsidR="0035753A" w:rsidRPr="00A96493" w14:paraId="72F05F8B" w14:textId="77777777">
        <w:tc>
          <w:tcPr>
            <w:tcW w:w="1129" w:type="dxa"/>
          </w:tcPr>
          <w:p w14:paraId="09372C4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0140</w:t>
            </w:r>
          </w:p>
        </w:tc>
        <w:tc>
          <w:tcPr>
            <w:tcW w:w="7620" w:type="dxa"/>
          </w:tcPr>
          <w:p w14:paraId="24AB1F27"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 BENDRA ATSKAITYMŲ IŠ BENDRO 1 LYGIO NUOSAVO </w:t>
            </w:r>
            <w:r w:rsidRPr="00A96493">
              <w:rPr>
                <w:rFonts w:ascii="Times New Roman" w:hAnsi="Times New Roman"/>
                <w:b/>
                <w:bCs/>
                <w:u w:val="single"/>
              </w:rPr>
              <w:t>KAPITALO SUMA</w:t>
            </w:r>
          </w:p>
          <w:p w14:paraId="53D6CFD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bendra 0190–0285 eilučių reikšmių suma.</w:t>
            </w:r>
          </w:p>
        </w:tc>
      </w:tr>
      <w:tr w:rsidR="0035753A" w:rsidRPr="00A96493" w14:paraId="08CB0828" w14:textId="77777777">
        <w:tc>
          <w:tcPr>
            <w:tcW w:w="1129" w:type="dxa"/>
          </w:tcPr>
          <w:p w14:paraId="0A8E3BA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94302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Einamųjų finansinių metų nuostoliai</w:t>
            </w:r>
          </w:p>
          <w:p w14:paraId="0907BC2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Reglamento (ES) Nr. 575/2013 36 straipsnio 1 dalies a punktas.</w:t>
            </w:r>
          </w:p>
        </w:tc>
      </w:tr>
      <w:tr w:rsidR="0035753A" w:rsidRPr="00A96493" w14:paraId="776B324B" w14:textId="77777777">
        <w:tc>
          <w:tcPr>
            <w:tcW w:w="1129" w:type="dxa"/>
          </w:tcPr>
          <w:p w14:paraId="7004990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6FB21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Prestižas</w:t>
            </w:r>
          </w:p>
          <w:p w14:paraId="070F91F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Reglamento (ES) 2019/2033 9 straipsnio 1 dalies i </w:t>
            </w:r>
            <w:r w:rsidRPr="00A96493">
              <w:rPr>
                <w:rFonts w:ascii="Times New Roman" w:hAnsi="Times New Roman"/>
                <w:bCs/>
              </w:rPr>
              <w:t>papunktis.</w:t>
            </w:r>
          </w:p>
          <w:p w14:paraId="7B5E9AF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Reglamento (ES) Nr. 575/2013 4 straipsnio 1 dalies 113 punktas, 36 straipsnio 1 dalies b punktas ir 37 straipsnis.</w:t>
            </w:r>
          </w:p>
        </w:tc>
      </w:tr>
      <w:tr w:rsidR="0035753A" w:rsidRPr="00A96493" w14:paraId="785840AA" w14:textId="77777777">
        <w:tc>
          <w:tcPr>
            <w:tcW w:w="1129" w:type="dxa"/>
          </w:tcPr>
          <w:p w14:paraId="6675552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51181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Kitas nematerialusis turtas</w:t>
            </w:r>
          </w:p>
          <w:p w14:paraId="48159FB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009D1144" w14:textId="77777777" w:rsidR="0035753A" w:rsidRPr="00A96493" w:rsidRDefault="00A96493">
            <w:pPr>
              <w:pStyle w:val="InstructionsText"/>
              <w:rPr>
                <w:rStyle w:val="FormatvorlageInstructionsTabelleText"/>
                <w:rFonts w:ascii="Times New Roman" w:eastAsiaTheme="minorHAnsi" w:hAnsi="Times New Roman"/>
                <w:bCs/>
                <w:sz w:val="22"/>
                <w:szCs w:val="22"/>
              </w:rPr>
            </w:pPr>
            <w:r w:rsidRPr="00A96493">
              <w:rPr>
                <w:rStyle w:val="FormatvorlageInstructionsTabelleText"/>
                <w:rFonts w:ascii="Times New Roman" w:hAnsi="Times New Roman"/>
                <w:sz w:val="22"/>
                <w:szCs w:val="22"/>
              </w:rPr>
              <w:t>Reglamento (ES) Nr. 575/2013 4 </w:t>
            </w:r>
            <w:r w:rsidRPr="00A96493">
              <w:rPr>
                <w:rStyle w:val="FormatvorlageInstructionsTabelleText"/>
                <w:rFonts w:ascii="Times New Roman" w:hAnsi="Times New Roman"/>
                <w:sz w:val="22"/>
                <w:szCs w:val="22"/>
              </w:rPr>
              <w:t>straipsnio 1 dalies 115 punktas, 36 straipsnio 1 dalies b punktas ir 37 straipsnio a punktas.</w:t>
            </w:r>
          </w:p>
          <w:p w14:paraId="24AC12C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Kitas nematerialusis turtas – nematerialusis turtas pagal taikytiną apskaitos standartą, atėmus prestižą (taip pat pagal taikytiną apskaitos standartą).</w:t>
            </w:r>
          </w:p>
        </w:tc>
      </w:tr>
      <w:tr w:rsidR="0035753A" w:rsidRPr="00A96493" w14:paraId="658D8E1D" w14:textId="77777777">
        <w:tc>
          <w:tcPr>
            <w:tcW w:w="1129" w:type="dxa"/>
          </w:tcPr>
          <w:p w14:paraId="6CB5BB3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DB51F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w:t>
            </w:r>
            <w:r w:rsidRPr="00A96493">
              <w:rPr>
                <w:rFonts w:ascii="Times New Roman" w:hAnsi="Times New Roman"/>
                <w:b/>
                <w:bCs/>
                <w:u w:val="single"/>
              </w:rPr>
              <w:t xml:space="preserve"> Atidėtųjų mokesčių turtas, kuris priklauso nuo būsimo pelningumo ir susidaro ne dėl laikinųjų skirtumų, atėmus susijusius atidėtųjų mokesčių įsipareigojimus</w:t>
            </w:r>
          </w:p>
          <w:p w14:paraId="02E3703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2 dalies a punktas.</w:t>
            </w:r>
          </w:p>
          <w:p w14:paraId="6A554D9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Nr. 575/2013 36 straips</w:t>
            </w:r>
            <w:r w:rsidRPr="00A96493">
              <w:rPr>
                <w:rFonts w:ascii="Times New Roman" w:hAnsi="Times New Roman"/>
                <w:bCs/>
              </w:rPr>
              <w:t>nio 1 dalies c punktas.</w:t>
            </w:r>
          </w:p>
        </w:tc>
      </w:tr>
      <w:tr w:rsidR="0035753A" w:rsidRPr="00A96493" w14:paraId="78DFF3AA" w14:textId="77777777">
        <w:tc>
          <w:tcPr>
            <w:tcW w:w="1129" w:type="dxa"/>
          </w:tcPr>
          <w:p w14:paraId="0291E89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94E4F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Ne finansų sektoriaus įmonės kvalifikuotoji akcijų paketo dalis, viršijanti 15 % nuosavų lėšų</w:t>
            </w:r>
          </w:p>
          <w:p w14:paraId="151F9D3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10 straipsnio 1 dalies a punktas.</w:t>
            </w:r>
          </w:p>
        </w:tc>
      </w:tr>
      <w:tr w:rsidR="0035753A" w:rsidRPr="00A96493" w14:paraId="23F1F880" w14:textId="77777777">
        <w:tc>
          <w:tcPr>
            <w:tcW w:w="1129" w:type="dxa"/>
          </w:tcPr>
          <w:p w14:paraId="4293BE0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EE541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 Įmonių, kurios nėra finansų sektoriaus </w:t>
            </w:r>
            <w:r w:rsidRPr="00A96493">
              <w:rPr>
                <w:rFonts w:ascii="Times New Roman" w:hAnsi="Times New Roman"/>
                <w:b/>
                <w:bCs/>
                <w:u w:val="single"/>
              </w:rPr>
              <w:t>subjektai, kvalifikuotųjų akcijų paketo dalių bendra suma, viršijanti 60 % įmonės nuosavų lėšų</w:t>
            </w:r>
          </w:p>
          <w:p w14:paraId="2A1C8A4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10 straipsnio 1 dalies b punktas.</w:t>
            </w:r>
          </w:p>
        </w:tc>
      </w:tr>
      <w:tr w:rsidR="0035753A" w:rsidRPr="00A96493" w14:paraId="5A379395" w14:textId="77777777">
        <w:tc>
          <w:tcPr>
            <w:tcW w:w="1129" w:type="dxa"/>
          </w:tcPr>
          <w:p w14:paraId="14D7022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7A0F6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Kiti atskaitymai</w:t>
            </w:r>
          </w:p>
          <w:p w14:paraId="40AD7A3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Visų kitų atskaitymų pagal Reglamento (ES) Nr. 575/2013 36 straipsnio 1 da</w:t>
            </w:r>
            <w:r w:rsidRPr="00A96493">
              <w:rPr>
                <w:rFonts w:ascii="Times New Roman" w:hAnsi="Times New Roman"/>
              </w:rPr>
              <w:t>lį, neįtrauktų į nė vieną iš pirmiau nurodytų 0160–0240 eilučių, suma.</w:t>
            </w:r>
          </w:p>
        </w:tc>
      </w:tr>
      <w:tr w:rsidR="0035753A" w:rsidRPr="00A96493" w14:paraId="49594363" w14:textId="77777777">
        <w:tc>
          <w:tcPr>
            <w:tcW w:w="1129" w:type="dxa"/>
          </w:tcPr>
          <w:p w14:paraId="2125AD0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6B764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CET1: Kiti kapitalo elementai, atskaitymai ir koregavimai</w:t>
            </w:r>
          </w:p>
          <w:p w14:paraId="5EA4627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Šioje eilutėje susumuojami, kai taikytina, šie straipsniai:</w:t>
            </w:r>
          </w:p>
          <w:p w14:paraId="63637588"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rPr>
              <w:t xml:space="preserve">pereinamojo laikotarpio koregavimai dėl CET1 </w:t>
            </w:r>
            <w:r w:rsidRPr="00A96493">
              <w:rPr>
                <w:rFonts w:ascii="Times New Roman" w:hAnsi="Times New Roman"/>
              </w:rPr>
              <w:t>kapitalo priemonių, kurioms taikomas tęstinumo principas (Reglamento (ES) Nr. 575/2013 483 straipsnio 1, 2 ir 3 dalys ir 484–487 straipsniai);</w:t>
            </w:r>
          </w:p>
          <w:p w14:paraId="79A0C29C"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lastRenderedPageBreak/>
              <w:t>—</w:t>
            </w:r>
            <w:r w:rsidRPr="00A96493">
              <w:rPr>
                <w:rFonts w:ascii="Times New Roman" w:eastAsia="Times New Roman" w:hAnsi="Times New Roman" w:cs="Times New Roman"/>
                <w:bCs/>
              </w:rPr>
              <w:tab/>
            </w:r>
            <w:r w:rsidRPr="00A96493">
              <w:rPr>
                <w:rFonts w:ascii="Times New Roman" w:hAnsi="Times New Roman"/>
              </w:rPr>
              <w:t>pereinamojo laikotarpio koregavimai dėl papildomų mažumos dalių (Reglamento (ES) Nr. 575/2013 479 ir 480 straip</w:t>
            </w:r>
            <w:r w:rsidRPr="00A96493">
              <w:rPr>
                <w:rFonts w:ascii="Times New Roman" w:hAnsi="Times New Roman"/>
              </w:rPr>
              <w:t>sniai);</w:t>
            </w:r>
          </w:p>
          <w:p w14:paraId="2756E391"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rPr>
              <w:t>kiti CET1 kapitalo pereinamojo laikotarpio koregavimai (Reglamento (ES) Nr. 575/2013 469–478 ir 481 straipsniai):</w:t>
            </w:r>
            <w:r w:rsidRPr="00A96493">
              <w:rPr>
                <w:rFonts w:ascii="Times New Roman" w:hAnsi="Times New Roman"/>
                <w:bCs/>
              </w:rPr>
              <w:t xml:space="preserve"> atskaitymų iš CET1 koregavimai dėl pereinamojo laikotarpio nuostatų;</w:t>
            </w:r>
          </w:p>
          <w:p w14:paraId="4B65061F" w14:textId="77777777" w:rsidR="0035753A" w:rsidRPr="00A96493" w:rsidRDefault="00A96493">
            <w:pPr>
              <w:spacing w:after="120" w:line="240" w:lineRule="auto"/>
              <w:ind w:left="360" w:hanging="360"/>
              <w:jc w:val="both"/>
              <w:rPr>
                <w:rFonts w:ascii="Times New Roman" w:eastAsia="Times New Roman" w:hAnsi="Times New Roman" w:cs="Times New Roman"/>
                <w:b/>
                <w:bCs/>
                <w:u w:val="single"/>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kiti CET1 kapitalo elementai arba atskaitymai iš CET1 element</w:t>
            </w:r>
            <w:r w:rsidRPr="00A96493">
              <w:rPr>
                <w:rFonts w:ascii="Times New Roman" w:hAnsi="Times New Roman"/>
                <w:bCs/>
              </w:rPr>
              <w:t>o, kurie negali būti priskirti prie vienos iš 0040–0285 eilučių.</w:t>
            </w:r>
          </w:p>
          <w:p w14:paraId="7DA8A1E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Šios eilutės negalima naudoti kapitalo straipsniams ar atskaitymams, kuriems netaikomas Reglamentas (ES) 2019/2033 arba Reglamentas (ES) Nr. 575/2013, įtraukti į mokumo koeficientų skaičiavim</w:t>
            </w:r>
            <w:r w:rsidRPr="00A96493">
              <w:rPr>
                <w:rFonts w:ascii="Times New Roman" w:hAnsi="Times New Roman"/>
                <w:bCs/>
              </w:rPr>
              <w:t>us.</w:t>
            </w:r>
          </w:p>
        </w:tc>
      </w:tr>
      <w:tr w:rsidR="0035753A" w:rsidRPr="00A96493" w14:paraId="24AF1230" w14:textId="77777777">
        <w:tc>
          <w:tcPr>
            <w:tcW w:w="1129" w:type="dxa"/>
          </w:tcPr>
          <w:p w14:paraId="007B06A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ABB1EC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PAPILDOMAS 1 LYGIO KAPITALAS</w:t>
            </w:r>
          </w:p>
          <w:p w14:paraId="479826D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dalis.</w:t>
            </w:r>
          </w:p>
          <w:p w14:paraId="3316B8B8"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Reglamento (ES) Nr. 575/2013 61 straipsnis.</w:t>
            </w:r>
          </w:p>
          <w:p w14:paraId="09B94C4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Nurodoma bendra 0310–0410 eilučių reikšmių suma.</w:t>
            </w:r>
          </w:p>
        </w:tc>
      </w:tr>
      <w:tr w:rsidR="0035753A" w:rsidRPr="00A96493" w14:paraId="51505A32" w14:textId="77777777">
        <w:tc>
          <w:tcPr>
            <w:tcW w:w="1129" w:type="dxa"/>
          </w:tcPr>
          <w:p w14:paraId="6B59743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CCEF7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Visiškai apmokėtos tiesiogiai išleistos kapitalo priemonės</w:t>
            </w:r>
          </w:p>
          <w:p w14:paraId="0E0CC2E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1A9E5471"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Reglamento (ES) Nr. 575/2013 51 straipsnio a punktas ir 52, 53 bei 54 straipsniai.</w:t>
            </w:r>
          </w:p>
          <w:p w14:paraId="471A26D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Į nurodomą sumą su tomis priemonėmis susiję akcijų priedai neįskaičiuojami.</w:t>
            </w:r>
          </w:p>
        </w:tc>
      </w:tr>
      <w:tr w:rsidR="0035753A" w:rsidRPr="00A96493" w14:paraId="55645E63" w14:textId="77777777">
        <w:tc>
          <w:tcPr>
            <w:tcW w:w="1129" w:type="dxa"/>
          </w:tcPr>
          <w:p w14:paraId="12A11F7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A3FB50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Akcijų priedai</w:t>
            </w:r>
          </w:p>
          <w:p w14:paraId="0911716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7D37CF9C"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Reglamento (ES) Nr. 575/2013 51 straipsnio b punktas.</w:t>
            </w:r>
          </w:p>
          <w:p w14:paraId="61247C0C"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Sąvokos „akcijų priedai“ reikšmė yra tokia pati, kaip apibrėžta taikytiname apskaitos standarte.</w:t>
            </w:r>
          </w:p>
          <w:p w14:paraId="4FB7B33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Šiame straipsnyje nurodoma sumos dalis, susi</w:t>
            </w:r>
            <w:r w:rsidRPr="00A96493">
              <w:rPr>
                <w:rStyle w:val="FormatvorlageInstructionsTabelleText"/>
                <w:rFonts w:ascii="Times New Roman" w:hAnsi="Times New Roman"/>
                <w:sz w:val="22"/>
              </w:rPr>
              <w:t>jusi su visiškai apmokėtomis tiesiogiai išleistomis kapitalo priemonėmis.</w:t>
            </w:r>
          </w:p>
        </w:tc>
      </w:tr>
      <w:tr w:rsidR="0035753A" w:rsidRPr="00A96493" w14:paraId="188B0AEA" w14:textId="77777777">
        <w:tc>
          <w:tcPr>
            <w:tcW w:w="1129" w:type="dxa"/>
          </w:tcPr>
          <w:p w14:paraId="0685E86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A30F16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BENDRA ATSKAITYMŲ IŠ PAPILDOMO 1 LYGIO KAPITALO SUMA</w:t>
            </w:r>
          </w:p>
          <w:p w14:paraId="22AB1681" w14:textId="77777777" w:rsidR="0035753A" w:rsidRPr="00A96493" w:rsidRDefault="00A96493">
            <w:pPr>
              <w:spacing w:before="60" w:after="60"/>
              <w:rPr>
                <w:rFonts w:ascii="Times New Roman" w:hAnsi="Times New Roman" w:cs="Times New Roman"/>
              </w:rPr>
            </w:pPr>
            <w:r w:rsidRPr="00A96493">
              <w:rPr>
                <w:rFonts w:ascii="Times New Roman" w:hAnsi="Times New Roman"/>
              </w:rPr>
              <w:t>Reglamento (ES) Nr. 575/2013 56 straipsnis.</w:t>
            </w:r>
          </w:p>
        </w:tc>
      </w:tr>
      <w:tr w:rsidR="0035753A" w:rsidRPr="00A96493" w14:paraId="2AFF1047" w14:textId="77777777">
        <w:tc>
          <w:tcPr>
            <w:tcW w:w="1129" w:type="dxa"/>
          </w:tcPr>
          <w:p w14:paraId="292E616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5AFD8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Papildomas 1 lygio kapitalas. Kiti kapitalo elementai, </w:t>
            </w:r>
            <w:r w:rsidRPr="00A96493">
              <w:rPr>
                <w:rFonts w:ascii="Times New Roman" w:hAnsi="Times New Roman"/>
                <w:b/>
                <w:bCs/>
                <w:u w:val="single"/>
              </w:rPr>
              <w:t>atskaitymai ir koregavimai</w:t>
            </w:r>
          </w:p>
          <w:p w14:paraId="04BC6FA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Šioje eilutėje susumuojami, kai taikytina, šie straipsniai:</w:t>
            </w:r>
          </w:p>
          <w:p w14:paraId="4C14CE4F"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rPr>
              <w:t>pereinamojo laikotarpio koregavimai dėl AT1 kapitalo priemonių, kurioms taikomas tęstinumo principas (Reglamento (ES) Nr. 575/2013 483 straipsnio 4 ir 5 dalys, 484–487</w:t>
            </w:r>
            <w:r w:rsidRPr="00A96493">
              <w:rPr>
                <w:rFonts w:ascii="Times New Roman" w:hAnsi="Times New Roman"/>
              </w:rPr>
              <w:t> straipsniai, 489 ir 491 straipsniai);</w:t>
            </w:r>
          </w:p>
          <w:p w14:paraId="553B88B6"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rPr>
              <w:t>patronuojamųjų įmonių išleistos priemonės, pripažintos AT1 kapitalu (Reglamento (ES) Nr. 575/2013 83, 85 ir 86 straipsniai):</w:t>
            </w:r>
            <w:r w:rsidRPr="00A96493">
              <w:rPr>
                <w:rFonts w:ascii="Times New Roman" w:hAnsi="Times New Roman"/>
                <w:bCs/>
              </w:rPr>
              <w:t xml:space="preserve"> </w:t>
            </w:r>
            <w:r w:rsidRPr="00A96493">
              <w:rPr>
                <w:rFonts w:ascii="Times New Roman" w:hAnsi="Times New Roman"/>
              </w:rPr>
              <w:t xml:space="preserve">visa patronuojamųjų įmonių kvalifikuotojo T1 kapitalo suma, įtraukiama į konsoliduotą AT1 </w:t>
            </w:r>
            <w:r w:rsidRPr="00A96493">
              <w:rPr>
                <w:rFonts w:ascii="Times New Roman" w:hAnsi="Times New Roman"/>
              </w:rPr>
              <w:t>kapitalą, įskaitant specialiosios paskirties subjekto išleistą kapitalą (Reglamento (ES) Nr. 575/2013 83 straipsnis);</w:t>
            </w:r>
          </w:p>
          <w:p w14:paraId="67F88A0D"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rPr>
              <w:t>pereinamojo laikotarpio koregavimai dėl papildomai AT1 kapitalu pripažįstamų patronuojamųjų įmonių išleistų priemonių (Reglamento (ES) N</w:t>
            </w:r>
            <w:r w:rsidRPr="00A96493">
              <w:rPr>
                <w:rFonts w:ascii="Times New Roman" w:hAnsi="Times New Roman"/>
              </w:rPr>
              <w:t>r. 575/2013 480 straipsnis):</w:t>
            </w:r>
            <w:r w:rsidRPr="00A96493">
              <w:rPr>
                <w:rFonts w:ascii="Times New Roman" w:hAnsi="Times New Roman"/>
                <w:bCs/>
              </w:rPr>
              <w:t xml:space="preserve"> kvalifikuotojo T1 kapitalo, įtraukto į konsoliduotą AT1 kapitalą, koregavimai dėl pereinamojo laikotarpio nuostatų;</w:t>
            </w:r>
          </w:p>
          <w:p w14:paraId="44D5100E"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lastRenderedPageBreak/>
              <w:t>—</w:t>
            </w:r>
            <w:r w:rsidRPr="00A96493">
              <w:rPr>
                <w:rFonts w:ascii="Times New Roman" w:eastAsia="Times New Roman" w:hAnsi="Times New Roman" w:cs="Times New Roman"/>
                <w:bCs/>
              </w:rPr>
              <w:tab/>
            </w:r>
            <w:r w:rsidRPr="00A96493">
              <w:rPr>
                <w:rFonts w:ascii="Times New Roman" w:hAnsi="Times New Roman"/>
              </w:rPr>
              <w:t xml:space="preserve">kiti AT1 kapitalo pereinamojo laikotarpio koregavimai (Reglamento (ES) Nr. 575/2013 472, 473a, 474, 475, 478 </w:t>
            </w:r>
            <w:r w:rsidRPr="00A96493">
              <w:rPr>
                <w:rFonts w:ascii="Times New Roman" w:hAnsi="Times New Roman"/>
              </w:rPr>
              <w:t>ir 481 straipsniai):</w:t>
            </w:r>
            <w:r w:rsidRPr="00A96493">
              <w:rPr>
                <w:rFonts w:ascii="Times New Roman" w:hAnsi="Times New Roman"/>
                <w:bCs/>
              </w:rPr>
              <w:t xml:space="preserve"> koregavimai dėl pereinamojo laikotarpio nuostatų;</w:t>
            </w:r>
          </w:p>
          <w:p w14:paraId="3CD5C22D"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rPr>
              <w:t>atskaitymų iš AT1 straipsnių suma, viršijanti AT1 kapitalą ir atskaityta iš CET1 pagal Reglamento (ES) Nr. 575/2013 36 straipsnio 1 dalies j punktą:</w:t>
            </w:r>
            <w:r w:rsidRPr="00A96493">
              <w:rPr>
                <w:rFonts w:ascii="Times New Roman" w:hAnsi="Times New Roman"/>
                <w:bCs/>
              </w:rPr>
              <w:t xml:space="preserve"> papildomo 1 lygio kapitalo reikšmė</w:t>
            </w:r>
            <w:r w:rsidRPr="00A96493">
              <w:rPr>
                <w:rFonts w:ascii="Times New Roman" w:hAnsi="Times New Roman"/>
                <w:bCs/>
              </w:rPr>
              <w:t xml:space="preserve"> negali būti neigiama, bet gali būti, kad atskaitymai iš AT1 straipsnių viršija turimų AT1 straipsnių sumą. Tokiu atveju šiame straipsnyje nurodoma suma, kurios reikia 0300 eilutėje nurodytai sumai padidinti iki nulio ir kuri lygi atskaitymų iš AT1 straips</w:t>
            </w:r>
            <w:r w:rsidRPr="00A96493">
              <w:rPr>
                <w:rFonts w:ascii="Times New Roman" w:hAnsi="Times New Roman"/>
                <w:bCs/>
              </w:rPr>
              <w:t>nių sumos, viršijančios AT1 kapitalą ir įtrauktos, be kitų atskaitymų, į 0285 eilutę, atvirkštinei vertei;</w:t>
            </w:r>
          </w:p>
          <w:p w14:paraId="6F87110F"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kiti AT1 kapitalo elementai arba atskaitymai iš AT1 elemento, kurie negali būti priskirti prie vienos iš 0310–0330 eilučių.</w:t>
            </w:r>
          </w:p>
          <w:p w14:paraId="2BA66F0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Šios eilutės negalima n</w:t>
            </w:r>
            <w:r w:rsidRPr="00A96493">
              <w:rPr>
                <w:rFonts w:ascii="Times New Roman" w:hAnsi="Times New Roman"/>
                <w:bCs/>
              </w:rPr>
              <w:t>audoti kapitalo straipsniams ar atskaitymams, kuriems netaikomas Reglamentas (ES) 2019/2033 arba Reglamentas (ES) Nr. 575/2013, įtraukti į mokumo koeficientų skaičiavimus.</w:t>
            </w:r>
          </w:p>
        </w:tc>
      </w:tr>
      <w:tr w:rsidR="0035753A" w:rsidRPr="00A96493" w14:paraId="39A8FDCD" w14:textId="77777777">
        <w:tc>
          <w:tcPr>
            <w:tcW w:w="1129" w:type="dxa"/>
          </w:tcPr>
          <w:p w14:paraId="1620435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EC5433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2 LYGIO KAPITALAS</w:t>
            </w:r>
          </w:p>
          <w:p w14:paraId="20B1700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Reglamento (ES) 2019/2033 9 straipsnio 1 dalis.</w:t>
            </w:r>
          </w:p>
          <w:p w14:paraId="522463FC" w14:textId="77777777" w:rsidR="0035753A" w:rsidRPr="00A96493" w:rsidRDefault="00A96493">
            <w:pPr>
              <w:spacing w:after="120" w:line="240" w:lineRule="auto"/>
              <w:jc w:val="both"/>
              <w:rPr>
                <w:rStyle w:val="FormatvorlageInstructionsTabelleText"/>
                <w:rFonts w:ascii="Times New Roman" w:hAnsi="Times New Roman"/>
                <w:sz w:val="22"/>
              </w:rPr>
            </w:pPr>
            <w:r w:rsidRPr="00A96493">
              <w:rPr>
                <w:rStyle w:val="FormatvorlageInstructionsTabelleText"/>
                <w:rFonts w:ascii="Times New Roman" w:hAnsi="Times New Roman"/>
                <w:sz w:val="22"/>
              </w:rPr>
              <w:t>Reglamento (ES) Nr. 575/2013 71 straipsnis.</w:t>
            </w:r>
          </w:p>
          <w:p w14:paraId="591C9C67" w14:textId="77777777" w:rsidR="0035753A" w:rsidRPr="00A96493" w:rsidRDefault="00A96493">
            <w:pPr>
              <w:pStyle w:val="CommentText"/>
              <w:rPr>
                <w:sz w:val="22"/>
                <w:szCs w:val="22"/>
              </w:rPr>
            </w:pPr>
            <w:r w:rsidRPr="00A96493">
              <w:rPr>
                <w:rFonts w:ascii="Times New Roman" w:hAnsi="Times New Roman"/>
                <w:bCs/>
                <w:sz w:val="22"/>
                <w:szCs w:val="22"/>
              </w:rPr>
              <w:t>Nurodoma bendra 0430–0520 eilučių reikšmių suma.</w:t>
            </w:r>
          </w:p>
        </w:tc>
      </w:tr>
      <w:tr w:rsidR="0035753A" w:rsidRPr="00A96493" w14:paraId="67202D4C" w14:textId="77777777">
        <w:tc>
          <w:tcPr>
            <w:tcW w:w="1129" w:type="dxa"/>
          </w:tcPr>
          <w:p w14:paraId="231D67E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27FF3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Visiškai apmokėtos tiesiogiai išleistos kapitalo priemonės</w:t>
            </w:r>
          </w:p>
          <w:p w14:paraId="2B774D0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1AD1FFA6" w14:textId="77777777" w:rsidR="0035753A" w:rsidRPr="00A96493" w:rsidRDefault="00A96493">
            <w:pPr>
              <w:pStyle w:val="InstructionsText"/>
              <w:rPr>
                <w:rStyle w:val="FormatvorlageInstructionsTabelleText"/>
                <w:rFonts w:ascii="Times New Roman" w:eastAsiaTheme="minorHAnsi" w:hAnsi="Times New Roman"/>
                <w:bCs/>
                <w:sz w:val="22"/>
                <w:szCs w:val="22"/>
              </w:rPr>
            </w:pPr>
            <w:r w:rsidRPr="00A96493">
              <w:rPr>
                <w:rStyle w:val="FormatvorlageInstructionsTabelleText"/>
                <w:rFonts w:ascii="Times New Roman" w:hAnsi="Times New Roman"/>
                <w:sz w:val="22"/>
                <w:szCs w:val="22"/>
              </w:rPr>
              <w:t>Reglamento (ES) Nr. 575/2013 62 strai</w:t>
            </w:r>
            <w:r w:rsidRPr="00A96493">
              <w:rPr>
                <w:rStyle w:val="FormatvorlageInstructionsTabelleText"/>
                <w:rFonts w:ascii="Times New Roman" w:hAnsi="Times New Roman"/>
                <w:sz w:val="22"/>
                <w:szCs w:val="22"/>
              </w:rPr>
              <w:t>psnio a punktas ir 63 bei 65 straipsniai.</w:t>
            </w:r>
          </w:p>
          <w:p w14:paraId="0549467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Style w:val="FormatvorlageInstructionsTabelleText"/>
                <w:rFonts w:ascii="Times New Roman" w:hAnsi="Times New Roman"/>
                <w:sz w:val="22"/>
              </w:rPr>
              <w:t>Į nurodomą sumą su tomis priemonėmis susiję akcijų priedai neįskaičiuojami.</w:t>
            </w:r>
          </w:p>
        </w:tc>
      </w:tr>
      <w:tr w:rsidR="0035753A" w:rsidRPr="00A96493" w14:paraId="2EAE9407" w14:textId="77777777">
        <w:tc>
          <w:tcPr>
            <w:tcW w:w="1129" w:type="dxa"/>
          </w:tcPr>
          <w:p w14:paraId="5876AB0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8D07E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Akcijų priedai</w:t>
            </w:r>
          </w:p>
          <w:p w14:paraId="4C74541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i papunktis.</w:t>
            </w:r>
          </w:p>
          <w:p w14:paraId="25CB2B9C"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 xml:space="preserve">Reglamento (ES) Nr. 575/2013 62 straipsnio b </w:t>
            </w:r>
            <w:r w:rsidRPr="00A96493">
              <w:rPr>
                <w:rStyle w:val="FormatvorlageInstructionsTabelleText"/>
                <w:rFonts w:ascii="Times New Roman" w:hAnsi="Times New Roman"/>
                <w:sz w:val="22"/>
                <w:szCs w:val="22"/>
              </w:rPr>
              <w:t>punktas ir 65 straipsnis.</w:t>
            </w:r>
          </w:p>
          <w:p w14:paraId="7E54C20E" w14:textId="77777777" w:rsidR="0035753A" w:rsidRPr="00A96493" w:rsidRDefault="00A96493">
            <w:pPr>
              <w:pStyle w:val="InstructionsText"/>
              <w:rPr>
                <w:rStyle w:val="FormatvorlageInstructionsTabelleText"/>
                <w:rFonts w:ascii="Times New Roman" w:hAnsi="Times New Roman"/>
                <w:sz w:val="22"/>
                <w:szCs w:val="22"/>
              </w:rPr>
            </w:pPr>
            <w:r w:rsidRPr="00A96493">
              <w:rPr>
                <w:rStyle w:val="FormatvorlageInstructionsTabelleText"/>
                <w:rFonts w:ascii="Times New Roman" w:hAnsi="Times New Roman"/>
                <w:sz w:val="22"/>
                <w:szCs w:val="22"/>
              </w:rPr>
              <w:t>Sąvokos „akcijų priedai“ reikšmė yra tokia pati, kaip apibrėžta taikytiname apskaitos standarte.</w:t>
            </w:r>
          </w:p>
          <w:p w14:paraId="14A590BE" w14:textId="77777777" w:rsidR="0035753A" w:rsidRPr="00A96493" w:rsidRDefault="00A96493">
            <w:pPr>
              <w:pStyle w:val="InstructionsText"/>
              <w:rPr>
                <w:sz w:val="22"/>
                <w:szCs w:val="22"/>
              </w:rPr>
            </w:pPr>
            <w:r w:rsidRPr="00A96493">
              <w:rPr>
                <w:rStyle w:val="FormatvorlageInstructionsTabelleText"/>
                <w:rFonts w:ascii="Times New Roman" w:hAnsi="Times New Roman"/>
                <w:sz w:val="22"/>
                <w:szCs w:val="22"/>
              </w:rPr>
              <w:t>Šiame straipsnyje nurodoma sumos dalis, susijusi su visiškai apmokėtomis tiesiogiai išleistomis kapitalo priemonėmis.</w:t>
            </w:r>
          </w:p>
        </w:tc>
      </w:tr>
      <w:tr w:rsidR="0035753A" w:rsidRPr="00A96493" w14:paraId="622A7D02" w14:textId="77777777">
        <w:tc>
          <w:tcPr>
            <w:tcW w:w="1129" w:type="dxa"/>
            <w:tcBorders>
              <w:top w:val="single" w:sz="4" w:space="0" w:color="auto"/>
              <w:bottom w:val="single" w:sz="4" w:space="0" w:color="auto"/>
            </w:tcBorders>
          </w:tcPr>
          <w:p w14:paraId="7A71A38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49CAF0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BENDR</w:t>
            </w:r>
            <w:r w:rsidRPr="00A96493">
              <w:rPr>
                <w:rFonts w:ascii="Times New Roman" w:hAnsi="Times New Roman"/>
                <w:b/>
                <w:bCs/>
                <w:u w:val="single"/>
              </w:rPr>
              <w:t>A ATSKAITYMŲ IŠ 2 LYGIO KAPITALO SUMA</w:t>
            </w:r>
          </w:p>
          <w:p w14:paraId="39F409D8"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Reglamento (ES) Nr. 575/2013 66 straipsnis.</w:t>
            </w:r>
          </w:p>
        </w:tc>
      </w:tr>
      <w:tr w:rsidR="0035753A" w:rsidRPr="00A96493" w14:paraId="675B1D4F" w14:textId="77777777">
        <w:tc>
          <w:tcPr>
            <w:tcW w:w="1129" w:type="dxa"/>
            <w:tcBorders>
              <w:top w:val="single" w:sz="4" w:space="0" w:color="auto"/>
            </w:tcBorders>
          </w:tcPr>
          <w:p w14:paraId="130A91E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78B9B57"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2 lygio kapitalas. Kiti kapitalo elementai, atskaitymai ir koregavimai</w:t>
            </w:r>
          </w:p>
          <w:p w14:paraId="61D3255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Šioje eilutėje susumuojami, kai taikytina, šie straipsniai:</w:t>
            </w:r>
          </w:p>
          <w:p w14:paraId="7C4C07B7"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 xml:space="preserve">pereinamojo laikotarpio </w:t>
            </w:r>
            <w:r w:rsidRPr="00A96493">
              <w:rPr>
                <w:rFonts w:ascii="Times New Roman" w:hAnsi="Times New Roman"/>
                <w:bCs/>
              </w:rPr>
              <w:t>koregavimai dėl T2 kapitalo priemonių, kurioms taikomas tęstinumo principas (Reglamento (ES) Nr. 575/2013 483 straipsnio 6 ir 7 dalys, 484, 486, 488, 490 ir 491 straipsniai);</w:t>
            </w:r>
          </w:p>
          <w:p w14:paraId="0BD0EF85"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 xml:space="preserve">patronuojamųjų įmonių išleistos priemonės, pripažintos T2 kapitalu (Reglamento </w:t>
            </w:r>
            <w:r w:rsidRPr="00A96493">
              <w:rPr>
                <w:rFonts w:ascii="Times New Roman" w:hAnsi="Times New Roman"/>
                <w:bCs/>
              </w:rPr>
              <w:t>(ES) Nr. 575/2013 83, 87 ir 88 straipsniai): visa patronuojamųjų įmonių kvalifikuotųjų nuosavų lėšų suma, įtraukiama į konsoliduotą T2 kapitalą, įskaitant specialiosios paskirties subjekto išleistą kvalifikuotąjį 2 lygio kapitalą (Reglamento (ES) Nr. 575/2</w:t>
            </w:r>
            <w:r w:rsidRPr="00A96493">
              <w:rPr>
                <w:rFonts w:ascii="Times New Roman" w:hAnsi="Times New Roman"/>
                <w:bCs/>
              </w:rPr>
              <w:t>013 83 straipsnis);</w:t>
            </w:r>
          </w:p>
          <w:p w14:paraId="6981747D"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 xml:space="preserve">pereinamojo laikotarpio koregavimai dėl papildomai T2 kapitalu pripažįstamų patronuojamųjų įmonių išleistų priemonių (Reglamento (ES) Nr. 575/2013 </w:t>
            </w:r>
            <w:r w:rsidRPr="00A96493">
              <w:rPr>
                <w:rFonts w:ascii="Times New Roman" w:hAnsi="Times New Roman"/>
                <w:bCs/>
              </w:rPr>
              <w:lastRenderedPageBreak/>
              <w:t>480 straipsnis): kvalifikuotųjų nuosavų lėšų, įtrauktų į konsoliduotą T2 kapitalą, kore</w:t>
            </w:r>
            <w:r w:rsidRPr="00A96493">
              <w:rPr>
                <w:rFonts w:ascii="Times New Roman" w:hAnsi="Times New Roman"/>
                <w:bCs/>
              </w:rPr>
              <w:t>gavimai dėl pereinamojo laikotarpio nuostatų;</w:t>
            </w:r>
          </w:p>
          <w:p w14:paraId="265EE1F0"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kiti T2 kapitalo pereinamojo laikotarpio koregavimai (Reglamento (ES) Nr. 575/2013 472, 473a, 476, 477, 478 ir 481 straipsniai): atskaitymų iš 2 lygio kapitalo koregavimai dėl pereinamojo laikotarpio nuostatų</w:t>
            </w:r>
            <w:r w:rsidRPr="00A96493">
              <w:rPr>
                <w:rFonts w:ascii="Times New Roman" w:hAnsi="Times New Roman"/>
                <w:bCs/>
              </w:rPr>
              <w:t>;</w:t>
            </w:r>
          </w:p>
          <w:p w14:paraId="210E77B3"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atskaitymų iš T2 straipsnių suma, viršijanti T2 kapitalą ir atskaityta iš AT1 pagal Reglamento (ES) Nr. 575/2013 56 straipsnio e punktą: 2 lygio kapitalo reikšmė negali būti neigiama, bet gali būti, kad atskaitymai iš T2 straipsnių viršija turimų T2 st</w:t>
            </w:r>
            <w:r w:rsidRPr="00A96493">
              <w:rPr>
                <w:rFonts w:ascii="Times New Roman" w:hAnsi="Times New Roman"/>
                <w:bCs/>
              </w:rPr>
              <w:t>raipsnių sumą. Tokiu atveju šiame straipsnyje nurodoma suma, kurios reikia 0420 eilutėje nurodytai sumai padidinti iki nulio;</w:t>
            </w:r>
          </w:p>
          <w:p w14:paraId="4312DAC1" w14:textId="77777777" w:rsidR="0035753A" w:rsidRPr="00A96493" w:rsidRDefault="00A96493">
            <w:pPr>
              <w:spacing w:after="120" w:line="240" w:lineRule="auto"/>
              <w:ind w:left="360" w:hanging="360"/>
              <w:jc w:val="both"/>
              <w:rPr>
                <w:rFonts w:ascii="Times New Roman" w:eastAsia="Times New Roman" w:hAnsi="Times New Roman" w:cs="Times New Roman"/>
                <w:bCs/>
              </w:rPr>
            </w:pPr>
            <w:r w:rsidRPr="00A96493">
              <w:rPr>
                <w:rFonts w:ascii="Times New Roman" w:eastAsia="Times New Roman" w:hAnsi="Times New Roman" w:cs="Times New Roman"/>
                <w:bCs/>
              </w:rPr>
              <w:t>—</w:t>
            </w:r>
            <w:r w:rsidRPr="00A96493">
              <w:rPr>
                <w:rFonts w:ascii="Times New Roman" w:eastAsia="Times New Roman" w:hAnsi="Times New Roman" w:cs="Times New Roman"/>
                <w:bCs/>
              </w:rPr>
              <w:tab/>
            </w:r>
            <w:r w:rsidRPr="00A96493">
              <w:rPr>
                <w:rFonts w:ascii="Times New Roman" w:hAnsi="Times New Roman"/>
                <w:bCs/>
              </w:rPr>
              <w:t>kiti T2 kapitalo elementai arba atskaitymai iš T2 elemento, kurie negali būti priskirti prie vienos iš 0430–0450 eilučių.</w:t>
            </w:r>
          </w:p>
          <w:p w14:paraId="455EF7F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Šios e</w:t>
            </w:r>
            <w:r w:rsidRPr="00A96493">
              <w:rPr>
                <w:rFonts w:ascii="Times New Roman" w:hAnsi="Times New Roman"/>
                <w:bCs/>
              </w:rPr>
              <w:t>ilutės negalima naudoti kapitalo straipsniams ar atskaitymams, kuriems netaikomas Reglamentas (ES) 2019/2033 arba Reglamentas (ES) Nr. 575/2013, įtraukti į mokumo koeficientų skaičiavimus.</w:t>
            </w:r>
          </w:p>
        </w:tc>
      </w:tr>
    </w:tbl>
    <w:p w14:paraId="2D805F74" w14:textId="77777777" w:rsidR="0035753A" w:rsidRPr="00A96493" w:rsidRDefault="00A96493">
      <w:pPr>
        <w:pStyle w:val="Instructionsberschrift2"/>
        <w:ind w:left="357" w:hanging="357"/>
        <w:rPr>
          <w:rFonts w:ascii="Times New Roman" w:hAnsi="Times New Roman" w:cs="Times New Roman"/>
          <w:sz w:val="24"/>
          <w:u w:val="none"/>
        </w:rPr>
      </w:pPr>
      <w:bookmarkStart w:id="21" w:name="_Toc88213989"/>
      <w:r w:rsidRPr="00A96493">
        <w:rPr>
          <w:rFonts w:ascii="Times New Roman" w:hAnsi="Times New Roman"/>
          <w:sz w:val="24"/>
        </w:rPr>
        <w:lastRenderedPageBreak/>
        <w:t>1.3. I 02.03. NUOSAVŲ LĖŠŲ REIKALAVIMAI (I 2.3)</w:t>
      </w:r>
      <w:bookmarkEnd w:id="21"/>
    </w:p>
    <w:p w14:paraId="30DAB35E" w14:textId="77777777" w:rsidR="0035753A" w:rsidRPr="00A96493" w:rsidRDefault="00A96493">
      <w:pPr>
        <w:keepNext/>
        <w:spacing w:before="240" w:after="240" w:line="240" w:lineRule="auto"/>
        <w:ind w:left="357" w:hanging="357"/>
        <w:jc w:val="both"/>
        <w:outlineLvl w:val="1"/>
        <w:rPr>
          <w:rFonts w:ascii="Times New Roman" w:eastAsia="Arial" w:hAnsi="Times New Roman" w:cs="Times New Roman"/>
          <w:u w:val="single"/>
        </w:rPr>
      </w:pPr>
      <w:bookmarkStart w:id="22" w:name="_Toc88213990"/>
      <w:r w:rsidRPr="00A96493">
        <w:rPr>
          <w:rFonts w:ascii="Times New Roman" w:hAnsi="Times New Roman"/>
          <w:sz w:val="24"/>
          <w:szCs w:val="24"/>
        </w:rPr>
        <w:t>1.3.1.</w:t>
      </w:r>
      <w:r w:rsidRPr="00A96493">
        <w:tab/>
      </w:r>
      <w:r w:rsidRPr="00A96493">
        <w:rPr>
          <w:rFonts w:ascii="Times New Roman" w:hAnsi="Times New Roman"/>
          <w:u w:val="single"/>
        </w:rPr>
        <w:t>Nurodymai dėl konkrečių pozicijų</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753A" w:rsidRPr="00A96493" w14:paraId="5D537F12" w14:textId="77777777">
        <w:tc>
          <w:tcPr>
            <w:tcW w:w="1129" w:type="dxa"/>
            <w:shd w:val="clear" w:color="auto" w:fill="D9D9D9"/>
          </w:tcPr>
          <w:p w14:paraId="511FE8E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Eilutė</w:t>
            </w:r>
          </w:p>
        </w:tc>
        <w:tc>
          <w:tcPr>
            <w:tcW w:w="7620" w:type="dxa"/>
            <w:shd w:val="clear" w:color="auto" w:fill="D9D9D9"/>
          </w:tcPr>
          <w:p w14:paraId="5036B1E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Nuorodos į teisės aktus ir nurodymai</w:t>
            </w:r>
          </w:p>
        </w:tc>
      </w:tr>
      <w:tr w:rsidR="0035753A" w:rsidRPr="00A96493" w14:paraId="42CA455C" w14:textId="77777777">
        <w:tc>
          <w:tcPr>
            <w:tcW w:w="1129" w:type="dxa"/>
          </w:tcPr>
          <w:p w14:paraId="673ED06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0010</w:t>
            </w:r>
          </w:p>
        </w:tc>
        <w:tc>
          <w:tcPr>
            <w:tcW w:w="7620" w:type="dxa"/>
          </w:tcPr>
          <w:p w14:paraId="6FCE94E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Nuosavų lėšų reikalavimas</w:t>
            </w:r>
          </w:p>
          <w:p w14:paraId="633246D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11 straipsnio 1 ir 2 dalys.</w:t>
            </w:r>
          </w:p>
          <w:p w14:paraId="1AD39A1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Šiame straipsnyje nurodoma didžiausioji iš 0020 ir 0030 eilučių reikšmių.</w:t>
            </w:r>
          </w:p>
        </w:tc>
      </w:tr>
      <w:tr w:rsidR="0035753A" w:rsidRPr="00A96493" w14:paraId="00FE4B16" w14:textId="77777777">
        <w:tc>
          <w:tcPr>
            <w:tcW w:w="1129" w:type="dxa"/>
          </w:tcPr>
          <w:p w14:paraId="64D3A353"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0020</w:t>
            </w:r>
          </w:p>
        </w:tc>
        <w:tc>
          <w:tcPr>
            <w:tcW w:w="7620" w:type="dxa"/>
          </w:tcPr>
          <w:p w14:paraId="262D9D3E"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Nuolatinio minimalaus kapitalo reikalavimas</w:t>
            </w:r>
          </w:p>
          <w:p w14:paraId="3EF6113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14 straipsnis.</w:t>
            </w:r>
          </w:p>
        </w:tc>
      </w:tr>
      <w:tr w:rsidR="0035753A" w:rsidRPr="00A96493" w14:paraId="0E4FC77F" w14:textId="77777777">
        <w:tc>
          <w:tcPr>
            <w:tcW w:w="1129" w:type="dxa"/>
          </w:tcPr>
          <w:p w14:paraId="36934D0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0030</w:t>
            </w:r>
          </w:p>
        </w:tc>
        <w:tc>
          <w:tcPr>
            <w:tcW w:w="7620" w:type="dxa"/>
          </w:tcPr>
          <w:p w14:paraId="4BFDFA2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Pastoviųjų pridėtinių išlaidų reikalavimas</w:t>
            </w:r>
          </w:p>
          <w:p w14:paraId="69737B58"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13 straipsnis.</w:t>
            </w:r>
          </w:p>
        </w:tc>
      </w:tr>
      <w:tr w:rsidR="0035753A" w:rsidRPr="00A96493" w14:paraId="7327F762" w14:textId="77777777">
        <w:tc>
          <w:tcPr>
            <w:tcW w:w="1129" w:type="dxa"/>
          </w:tcPr>
          <w:p w14:paraId="25A5158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0050–0090 </w:t>
            </w:r>
          </w:p>
        </w:tc>
        <w:tc>
          <w:tcPr>
            <w:tcW w:w="7620" w:type="dxa"/>
          </w:tcPr>
          <w:p w14:paraId="49378CF9"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Pereinamojo laikotarpio nuosavų lėšų reikalavimai</w:t>
            </w:r>
          </w:p>
        </w:tc>
      </w:tr>
      <w:tr w:rsidR="0035753A" w:rsidRPr="00A96493" w14:paraId="15490635" w14:textId="77777777">
        <w:tc>
          <w:tcPr>
            <w:tcW w:w="1129" w:type="dxa"/>
          </w:tcPr>
          <w:p w14:paraId="5F4A5D0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0050</w:t>
            </w:r>
          </w:p>
        </w:tc>
        <w:tc>
          <w:tcPr>
            <w:tcW w:w="7620" w:type="dxa"/>
          </w:tcPr>
          <w:p w14:paraId="42DF4A6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Pereinamojo laikotarpio reikalavimas, grindžiamas Reglamente (ES) Nr. 575/2013 nustatytais nuosavų lėšų reikalavimais</w:t>
            </w:r>
          </w:p>
          <w:p w14:paraId="0B35429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57 straipsnio 3 dalies a punktas.</w:t>
            </w:r>
          </w:p>
        </w:tc>
      </w:tr>
      <w:tr w:rsidR="0035753A" w:rsidRPr="00A96493" w14:paraId="0ED0F89C" w14:textId="77777777">
        <w:tc>
          <w:tcPr>
            <w:tcW w:w="1129" w:type="dxa"/>
          </w:tcPr>
          <w:p w14:paraId="2D7FE73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0060</w:t>
            </w:r>
          </w:p>
        </w:tc>
        <w:tc>
          <w:tcPr>
            <w:tcW w:w="7620" w:type="dxa"/>
          </w:tcPr>
          <w:p w14:paraId="1ED4DE4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Pereinamojo laikotarpio reikalavimas, grindžiamas pastoviųjų pridėtinių </w:t>
            </w:r>
            <w:r w:rsidRPr="00A96493">
              <w:rPr>
                <w:rFonts w:ascii="Times New Roman" w:hAnsi="Times New Roman"/>
                <w:b/>
                <w:bCs/>
                <w:u w:val="single"/>
              </w:rPr>
              <w:t>išlaidų reikalavimais</w:t>
            </w:r>
          </w:p>
          <w:p w14:paraId="6760FCD9"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57 straipsnio 3 dalies b punktas.</w:t>
            </w:r>
          </w:p>
        </w:tc>
      </w:tr>
      <w:tr w:rsidR="0035753A" w:rsidRPr="00A96493" w14:paraId="63ABAAC1" w14:textId="77777777">
        <w:tc>
          <w:tcPr>
            <w:tcW w:w="1129" w:type="dxa"/>
          </w:tcPr>
          <w:p w14:paraId="01DE421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0070</w:t>
            </w:r>
          </w:p>
        </w:tc>
        <w:tc>
          <w:tcPr>
            <w:tcW w:w="7620" w:type="dxa"/>
          </w:tcPr>
          <w:p w14:paraId="469AB99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Pereinamojo laikotarpio reikalavimas investicinėms įmonėms, kurioms anksčiau buvo taikomas tik pradinio kapitalo reikalavimas</w:t>
            </w:r>
          </w:p>
          <w:p w14:paraId="38CE76A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57 straipsnio 4 </w:t>
            </w:r>
            <w:r w:rsidRPr="00A96493">
              <w:rPr>
                <w:rFonts w:ascii="Times New Roman" w:hAnsi="Times New Roman"/>
                <w:bCs/>
              </w:rPr>
              <w:t>dalies a punktas.</w:t>
            </w:r>
          </w:p>
        </w:tc>
      </w:tr>
      <w:tr w:rsidR="0035753A" w:rsidRPr="00A96493" w14:paraId="159CB747" w14:textId="77777777">
        <w:tc>
          <w:tcPr>
            <w:tcW w:w="1129" w:type="dxa"/>
          </w:tcPr>
          <w:p w14:paraId="4BC29B2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0080</w:t>
            </w:r>
          </w:p>
        </w:tc>
        <w:tc>
          <w:tcPr>
            <w:tcW w:w="7620" w:type="dxa"/>
          </w:tcPr>
          <w:p w14:paraId="03C64C3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Pereinamojo laikotarpio reikalavimas, grindžiamas pradinio kapitalo reikalavimu veiklos leidimo gavimo metu</w:t>
            </w:r>
          </w:p>
          <w:p w14:paraId="6966537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57 straipsnio 4 dalies b punktas.</w:t>
            </w:r>
          </w:p>
        </w:tc>
      </w:tr>
      <w:tr w:rsidR="0035753A" w:rsidRPr="00A96493" w14:paraId="36868CBD" w14:textId="77777777">
        <w:tc>
          <w:tcPr>
            <w:tcW w:w="1129" w:type="dxa"/>
          </w:tcPr>
          <w:p w14:paraId="382FD75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0090</w:t>
            </w:r>
          </w:p>
        </w:tc>
        <w:tc>
          <w:tcPr>
            <w:tcW w:w="7620" w:type="dxa"/>
          </w:tcPr>
          <w:p w14:paraId="1E65E9F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Pereinamojo laikotarpio reikalavimas </w:t>
            </w:r>
            <w:r w:rsidRPr="00A96493">
              <w:rPr>
                <w:rFonts w:ascii="Times New Roman" w:hAnsi="Times New Roman"/>
                <w:b/>
                <w:bCs/>
                <w:u w:val="single"/>
              </w:rPr>
              <w:t>investicinėms įmonėms, neturinčioms leidimo teikti tam tikras paslaugas</w:t>
            </w:r>
          </w:p>
          <w:p w14:paraId="46CCB69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57 straipsnio 4 dalies c punktas.</w:t>
            </w:r>
          </w:p>
        </w:tc>
      </w:tr>
      <w:tr w:rsidR="0035753A" w:rsidRPr="00A96493" w14:paraId="6EB2AB7C" w14:textId="77777777">
        <w:tc>
          <w:tcPr>
            <w:tcW w:w="1129" w:type="dxa"/>
          </w:tcPr>
          <w:p w14:paraId="62D1F11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0110–0130</w:t>
            </w:r>
          </w:p>
        </w:tc>
        <w:tc>
          <w:tcPr>
            <w:tcW w:w="7620" w:type="dxa"/>
          </w:tcPr>
          <w:p w14:paraId="2B1C108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Papildomi straipsniai</w:t>
            </w:r>
          </w:p>
        </w:tc>
      </w:tr>
      <w:tr w:rsidR="0035753A" w:rsidRPr="00A96493" w14:paraId="0AAF9FE7" w14:textId="77777777">
        <w:tc>
          <w:tcPr>
            <w:tcW w:w="1129" w:type="dxa"/>
            <w:tcBorders>
              <w:top w:val="single" w:sz="4" w:space="0" w:color="auto"/>
              <w:left w:val="single" w:sz="4" w:space="0" w:color="auto"/>
              <w:bottom w:val="single" w:sz="4" w:space="0" w:color="auto"/>
              <w:right w:val="single" w:sz="4" w:space="0" w:color="auto"/>
            </w:tcBorders>
          </w:tcPr>
          <w:p w14:paraId="5769A6D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0B32441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Papildomų nuosavų lėšų reikalavimas</w:t>
            </w:r>
          </w:p>
          <w:p w14:paraId="226A48B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Direktyvos (ES) 2019/2034 40 straipsnis.</w:t>
            </w:r>
          </w:p>
          <w:p w14:paraId="6273AC8E"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Papildom</w:t>
            </w:r>
            <w:r w:rsidRPr="00A96493">
              <w:rPr>
                <w:rFonts w:ascii="Times New Roman" w:hAnsi="Times New Roman"/>
                <w:bCs/>
              </w:rPr>
              <w:t>os nuosavos lėšos, kurių reikalaujama atlikus SREP.</w:t>
            </w:r>
            <w:r w:rsidRPr="00A96493">
              <w:rPr>
                <w:rFonts w:ascii="Times New Roman" w:hAnsi="Times New Roman"/>
                <w:b/>
                <w:bCs/>
                <w:u w:val="single"/>
              </w:rPr>
              <w:t xml:space="preserve"> </w:t>
            </w:r>
          </w:p>
        </w:tc>
      </w:tr>
      <w:tr w:rsidR="0035753A" w:rsidRPr="00A96493" w14:paraId="78E672DC" w14:textId="77777777">
        <w:tc>
          <w:tcPr>
            <w:tcW w:w="1129" w:type="dxa"/>
            <w:tcBorders>
              <w:top w:val="single" w:sz="4" w:space="0" w:color="auto"/>
              <w:left w:val="single" w:sz="4" w:space="0" w:color="auto"/>
              <w:bottom w:val="single" w:sz="4" w:space="0" w:color="auto"/>
              <w:right w:val="single" w:sz="4" w:space="0" w:color="auto"/>
            </w:tcBorders>
          </w:tcPr>
          <w:p w14:paraId="0E960C0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2D5746D9"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Bendra nuosavų lėšų reikalavimų suma</w:t>
            </w:r>
          </w:p>
          <w:p w14:paraId="0845CD6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 xml:space="preserve">Bendra investicinės įmonės nuosavų lėšų reikalavimų suma yra jos nuosavų lėšų reikalavimų, taikomų ataskaitinę datą, 0110 eilutėje nurodyto papildomų </w:t>
            </w:r>
            <w:r w:rsidRPr="00A96493">
              <w:rPr>
                <w:rFonts w:ascii="Times New Roman" w:hAnsi="Times New Roman"/>
              </w:rPr>
              <w:t>nuosavų lėšų reikalavimo ir 0120 eilutėje nurodytų gairėse dėl papildomų nuosavų lėšų reikalaujamų papildomų nuosavų lėšų suma.</w:t>
            </w:r>
          </w:p>
        </w:tc>
      </w:tr>
    </w:tbl>
    <w:p w14:paraId="3BD15ED4" w14:textId="77777777" w:rsidR="0035753A" w:rsidRPr="00A96493" w:rsidRDefault="00A96493">
      <w:pPr>
        <w:pStyle w:val="Instructionsberschrift2"/>
        <w:ind w:left="357" w:hanging="357"/>
        <w:rPr>
          <w:rFonts w:ascii="Times New Roman" w:hAnsi="Times New Roman" w:cs="Times New Roman"/>
          <w:sz w:val="24"/>
        </w:rPr>
      </w:pPr>
      <w:bookmarkStart w:id="23" w:name="_Toc88213991"/>
      <w:r w:rsidRPr="00A96493">
        <w:rPr>
          <w:rFonts w:ascii="Times New Roman" w:hAnsi="Times New Roman"/>
          <w:sz w:val="24"/>
        </w:rPr>
        <w:t>1.4. I 02.04 – KAPITALO PAKANKAMUMO KOEFICIENTAI (I 2.4)</w:t>
      </w:r>
      <w:bookmarkEnd w:id="23"/>
    </w:p>
    <w:p w14:paraId="6A2FBD0F" w14:textId="77777777" w:rsidR="0035753A" w:rsidRPr="00A96493" w:rsidRDefault="00A9649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213992"/>
      <w:r w:rsidRPr="00A96493">
        <w:rPr>
          <w:rFonts w:ascii="Times New Roman" w:hAnsi="Times New Roman"/>
          <w:sz w:val="24"/>
          <w:szCs w:val="24"/>
        </w:rPr>
        <w:t>1.4.1.</w:t>
      </w:r>
      <w:r w:rsidRPr="00A96493">
        <w:tab/>
      </w:r>
      <w:r w:rsidRPr="00A96493">
        <w:rPr>
          <w:rFonts w:ascii="Times New Roman" w:hAnsi="Times New Roman"/>
          <w:sz w:val="24"/>
          <w:szCs w:val="24"/>
          <w:u w:val="single"/>
        </w:rPr>
        <w:t>Nurodymai dėl konkrečių pozicijų</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753A" w:rsidRPr="00A96493" w14:paraId="686796CA" w14:textId="77777777">
        <w:tc>
          <w:tcPr>
            <w:tcW w:w="1129" w:type="dxa"/>
            <w:shd w:val="clear" w:color="auto" w:fill="D9D9D9"/>
          </w:tcPr>
          <w:p w14:paraId="4474E4A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Eilutė</w:t>
            </w:r>
          </w:p>
        </w:tc>
        <w:tc>
          <w:tcPr>
            <w:tcW w:w="7620" w:type="dxa"/>
            <w:shd w:val="clear" w:color="auto" w:fill="D9D9D9"/>
          </w:tcPr>
          <w:p w14:paraId="5375C73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Nuorodos į teisės aktus</w:t>
            </w:r>
            <w:r w:rsidRPr="00A96493">
              <w:rPr>
                <w:rFonts w:ascii="Times New Roman" w:hAnsi="Times New Roman"/>
              </w:rPr>
              <w:t xml:space="preserve"> ir nurodymai</w:t>
            </w:r>
          </w:p>
        </w:tc>
      </w:tr>
      <w:tr w:rsidR="0035753A" w:rsidRPr="00A96493" w14:paraId="1393FF2F" w14:textId="77777777">
        <w:tc>
          <w:tcPr>
            <w:tcW w:w="1129" w:type="dxa"/>
          </w:tcPr>
          <w:p w14:paraId="6910A41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0010</w:t>
            </w:r>
          </w:p>
        </w:tc>
        <w:tc>
          <w:tcPr>
            <w:tcW w:w="7620" w:type="dxa"/>
          </w:tcPr>
          <w:p w14:paraId="3E74D97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CET 1 kapitalo pakankamumo koeficientas</w:t>
            </w:r>
          </w:p>
          <w:p w14:paraId="23C8219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a punktas ir 11 straipsnio 1 ir 2 dalys.</w:t>
            </w:r>
          </w:p>
          <w:p w14:paraId="4FBCA85E"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Šis straipsnis išreiškiamas procentine dalimi.</w:t>
            </w:r>
          </w:p>
        </w:tc>
      </w:tr>
      <w:tr w:rsidR="0035753A" w:rsidRPr="00A96493" w14:paraId="18C56D40" w14:textId="77777777">
        <w:tc>
          <w:tcPr>
            <w:tcW w:w="1129" w:type="dxa"/>
          </w:tcPr>
          <w:p w14:paraId="2FB16A2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0020</w:t>
            </w:r>
          </w:p>
        </w:tc>
        <w:tc>
          <w:tcPr>
            <w:tcW w:w="7620" w:type="dxa"/>
          </w:tcPr>
          <w:p w14:paraId="4442C10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CET 1 kapitalo perviršis (+)/deficitas (−)</w:t>
            </w:r>
          </w:p>
          <w:p w14:paraId="4FF3CF02"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 xml:space="preserve">Šiame </w:t>
            </w:r>
            <w:r w:rsidRPr="00A96493">
              <w:rPr>
                <w:rFonts w:ascii="Times New Roman" w:hAnsi="Times New Roman"/>
              </w:rPr>
              <w:t>straipsnyje parodomas CET1 kapitalo perviršis arba deficitas, susijęs su Reglamento (ES) 2019/2033 9 straipsnio 1 dalyje nustatytu reikalavimu.</w:t>
            </w:r>
          </w:p>
          <w:p w14:paraId="575952A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Šiame straipsnyje neatsižvelgiama į Reglamento (ES) 2019/2033 57 straipsnio 3 ir 4 dalyse nustatytas pereinamojo</w:t>
            </w:r>
            <w:r w:rsidRPr="00A96493">
              <w:rPr>
                <w:rFonts w:ascii="Times New Roman" w:hAnsi="Times New Roman"/>
              </w:rPr>
              <w:t xml:space="preserve"> laikotarpio nuostatas.</w:t>
            </w:r>
          </w:p>
        </w:tc>
      </w:tr>
      <w:tr w:rsidR="0035753A" w:rsidRPr="00A96493" w14:paraId="25328933" w14:textId="77777777">
        <w:tc>
          <w:tcPr>
            <w:tcW w:w="1129" w:type="dxa"/>
          </w:tcPr>
          <w:p w14:paraId="68FCDEC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0030</w:t>
            </w:r>
          </w:p>
        </w:tc>
        <w:tc>
          <w:tcPr>
            <w:tcW w:w="7620" w:type="dxa"/>
          </w:tcPr>
          <w:p w14:paraId="47FB70C7"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1 lygio kapitalo pakankamumo koeficientas</w:t>
            </w:r>
          </w:p>
          <w:p w14:paraId="14225F2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b punktas ir 11 straipsnio 1 ir 2 dalys.</w:t>
            </w:r>
          </w:p>
          <w:p w14:paraId="05A850D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Šis straipsnis išreiškiamas procentine dalimi.</w:t>
            </w:r>
          </w:p>
        </w:tc>
      </w:tr>
      <w:tr w:rsidR="0035753A" w:rsidRPr="00A96493" w14:paraId="58A33F1E" w14:textId="77777777">
        <w:tc>
          <w:tcPr>
            <w:tcW w:w="1129" w:type="dxa"/>
          </w:tcPr>
          <w:p w14:paraId="1EC6206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0040</w:t>
            </w:r>
          </w:p>
        </w:tc>
        <w:tc>
          <w:tcPr>
            <w:tcW w:w="7620" w:type="dxa"/>
          </w:tcPr>
          <w:p w14:paraId="31D4DB37"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1 lygio kapitalo perviršis </w:t>
            </w:r>
            <w:r w:rsidRPr="00A96493">
              <w:rPr>
                <w:rFonts w:ascii="Times New Roman" w:hAnsi="Times New Roman"/>
                <w:b/>
                <w:bCs/>
                <w:u w:val="single"/>
              </w:rPr>
              <w:t>(+)/deficitas (−)</w:t>
            </w:r>
          </w:p>
          <w:p w14:paraId="4DEAACBD"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Šiame straipsnyje parodomas 1 lygio kapitalo perviršis arba deficitas, susijęs su Reglamento (ES) 2019/2033 9 straipsnio 1 dalyje nustatytu reikalavimu.</w:t>
            </w:r>
          </w:p>
          <w:p w14:paraId="3EF1ADB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Šiame straipsnyje neatsižvelgiama į Reglamento (ES) 2019/2033 57 straipsnio 3 ir 4 da</w:t>
            </w:r>
            <w:r w:rsidRPr="00A96493">
              <w:rPr>
                <w:rFonts w:ascii="Times New Roman" w:hAnsi="Times New Roman"/>
              </w:rPr>
              <w:t>lyse nustatytas pereinamojo laikotarpio nuostatas.</w:t>
            </w:r>
          </w:p>
        </w:tc>
      </w:tr>
      <w:tr w:rsidR="0035753A" w:rsidRPr="00A96493" w14:paraId="5C81078E" w14:textId="77777777">
        <w:tc>
          <w:tcPr>
            <w:tcW w:w="1129" w:type="dxa"/>
          </w:tcPr>
          <w:p w14:paraId="09B94DB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0050</w:t>
            </w:r>
          </w:p>
        </w:tc>
        <w:tc>
          <w:tcPr>
            <w:tcW w:w="7620" w:type="dxa"/>
          </w:tcPr>
          <w:p w14:paraId="24E7744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Nuosavų lėšų reikalavimų koeficientas</w:t>
            </w:r>
          </w:p>
          <w:p w14:paraId="5E65430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9 straipsnio 1 dalies c punktas ir 11 straipsnio 1 ir 2 dalys.</w:t>
            </w:r>
          </w:p>
          <w:p w14:paraId="6DC93EF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Šis straipsnis išreiškiamas procentine dalimi.</w:t>
            </w:r>
          </w:p>
        </w:tc>
      </w:tr>
      <w:tr w:rsidR="0035753A" w:rsidRPr="00A96493" w14:paraId="0198416F" w14:textId="77777777">
        <w:tc>
          <w:tcPr>
            <w:tcW w:w="1129" w:type="dxa"/>
          </w:tcPr>
          <w:p w14:paraId="5D0BC89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0060</w:t>
            </w:r>
          </w:p>
        </w:tc>
        <w:tc>
          <w:tcPr>
            <w:tcW w:w="7620" w:type="dxa"/>
          </w:tcPr>
          <w:p w14:paraId="281B72A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Viso kapitalo pervi</w:t>
            </w:r>
            <w:r w:rsidRPr="00A96493">
              <w:rPr>
                <w:rFonts w:ascii="Times New Roman" w:hAnsi="Times New Roman"/>
                <w:b/>
                <w:bCs/>
                <w:u w:val="single"/>
              </w:rPr>
              <w:t>ršis (+)/deficitas (–)</w:t>
            </w:r>
          </w:p>
          <w:p w14:paraId="4009EE58"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lastRenderedPageBreak/>
              <w:t>Šiame straipsnyje parodomas nuosavų lėšų perviršis arba deficitas, susijęs su Reglamento (ES) 2019/2033 9 straipsnio 1 dalyje nustatytu reikalavimu.</w:t>
            </w:r>
          </w:p>
          <w:p w14:paraId="58098DF8"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rPr>
              <w:t>Šiame straipsnyje neatsižvelgiama į Reglamento (ES) 2019/2033 57 straipsnio 3 ir 4 d</w:t>
            </w:r>
            <w:r w:rsidRPr="00A96493">
              <w:rPr>
                <w:rFonts w:ascii="Times New Roman" w:hAnsi="Times New Roman"/>
              </w:rPr>
              <w:t>alyse nustatytas pereinamojo laikotarpio nuostatas.</w:t>
            </w:r>
          </w:p>
        </w:tc>
      </w:tr>
    </w:tbl>
    <w:p w14:paraId="4912E6BC" w14:textId="77777777" w:rsidR="0035753A" w:rsidRPr="00A96493" w:rsidRDefault="0035753A">
      <w:pPr>
        <w:pStyle w:val="Instructionsberschrift2"/>
        <w:ind w:left="357" w:hanging="357"/>
        <w:rPr>
          <w:rFonts w:ascii="Times New Roman" w:hAnsi="Times New Roman" w:cs="Times New Roman"/>
          <w:sz w:val="24"/>
        </w:rPr>
      </w:pPr>
    </w:p>
    <w:p w14:paraId="752AA8F7" w14:textId="77777777" w:rsidR="0035753A" w:rsidRPr="00A96493" w:rsidRDefault="00A96493">
      <w:pPr>
        <w:pStyle w:val="Instructionsberschrift2"/>
        <w:ind w:left="357" w:hanging="357"/>
        <w:rPr>
          <w:rFonts w:ascii="Times New Roman" w:hAnsi="Times New Roman" w:cs="Times New Roman"/>
          <w:sz w:val="24"/>
        </w:rPr>
      </w:pPr>
      <w:bookmarkStart w:id="25" w:name="_Toc88213993"/>
      <w:r w:rsidRPr="00A96493">
        <w:rPr>
          <w:rFonts w:ascii="Times New Roman" w:hAnsi="Times New Roman"/>
          <w:sz w:val="24"/>
        </w:rPr>
        <w:t>1.5. I 03.01. PASTOVIŲJŲ PRIDĖTINIŲ IŠLAIDŲ REIKALAVIMŲ APSKAIČIAVIMAS (I 3.1)</w:t>
      </w:r>
      <w:bookmarkEnd w:id="2"/>
      <w:bookmarkEnd w:id="3"/>
      <w:bookmarkEnd w:id="25"/>
      <w:bookmarkEnd w:id="4"/>
      <w:bookmarkEnd w:id="5"/>
    </w:p>
    <w:p w14:paraId="00A0FBE7" w14:textId="77777777" w:rsidR="0035753A" w:rsidRPr="00A96493" w:rsidRDefault="00A96493">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10414968"/>
      <w:bookmarkStart w:id="27" w:name="_Toc360188326"/>
      <w:bookmarkStart w:id="28" w:name="_Toc473560874"/>
      <w:bookmarkStart w:id="29" w:name="_Toc7084159"/>
      <w:bookmarkStart w:id="30" w:name="_Toc88213994"/>
      <w:r w:rsidRPr="00A96493">
        <w:rPr>
          <w:rFonts w:ascii="Times New Roman" w:hAnsi="Times New Roman"/>
          <w:sz w:val="24"/>
          <w:szCs w:val="24"/>
        </w:rPr>
        <w:t>1.5.1.</w:t>
      </w:r>
      <w:r w:rsidRPr="00A96493">
        <w:tab/>
      </w:r>
      <w:bookmarkStart w:id="31" w:name="_Toc308175821"/>
      <w:r w:rsidRPr="00A96493">
        <w:rPr>
          <w:rFonts w:ascii="Times New Roman" w:hAnsi="Times New Roman"/>
          <w:sz w:val="24"/>
          <w:szCs w:val="24"/>
          <w:u w:val="single"/>
        </w:rPr>
        <w:t>Nurodymai dėl konkrečių</w:t>
      </w:r>
      <w:bookmarkEnd w:id="31"/>
      <w:bookmarkEnd w:id="26"/>
      <w:r w:rsidRPr="00A96493">
        <w:t xml:space="preserve"> </w:t>
      </w:r>
      <w:r w:rsidRPr="00A96493">
        <w:rPr>
          <w:rFonts w:ascii="Times New Roman" w:hAnsi="Times New Roman"/>
          <w:sz w:val="24"/>
          <w:szCs w:val="24"/>
          <w:u w:val="single"/>
        </w:rPr>
        <w:t>pozicijų</w:t>
      </w:r>
      <w:bookmarkEnd w:id="27"/>
      <w:bookmarkEnd w:id="28"/>
      <w:bookmarkEnd w:id="29"/>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753A" w:rsidRPr="00A96493" w14:paraId="611D993B" w14:textId="77777777">
        <w:tc>
          <w:tcPr>
            <w:tcW w:w="1129" w:type="dxa"/>
            <w:shd w:val="clear" w:color="auto" w:fill="D9D9D9"/>
          </w:tcPr>
          <w:p w14:paraId="3AEC7D3F"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color w:val="000000" w:themeColor="text1"/>
              </w:rPr>
              <w:t>Eilutė</w:t>
            </w:r>
          </w:p>
        </w:tc>
        <w:tc>
          <w:tcPr>
            <w:tcW w:w="7620" w:type="dxa"/>
            <w:shd w:val="clear" w:color="auto" w:fill="D9D9D9"/>
          </w:tcPr>
          <w:p w14:paraId="1D8DB9CC"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color w:val="000000" w:themeColor="text1"/>
              </w:rPr>
              <w:t>Nuorodos į teisės aktus ir nurodymai</w:t>
            </w:r>
          </w:p>
        </w:tc>
      </w:tr>
      <w:tr w:rsidR="0035753A" w:rsidRPr="00A96493" w14:paraId="2A871B8A" w14:textId="77777777">
        <w:tc>
          <w:tcPr>
            <w:tcW w:w="1129" w:type="dxa"/>
          </w:tcPr>
          <w:p w14:paraId="478C4945"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0010</w:t>
            </w:r>
          </w:p>
        </w:tc>
        <w:tc>
          <w:tcPr>
            <w:tcW w:w="7620" w:type="dxa"/>
          </w:tcPr>
          <w:p w14:paraId="6BE3B7ED"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xml:space="preserve">Pastoviųjų pridėtinių </w:t>
            </w:r>
            <w:r w:rsidRPr="00A96493">
              <w:rPr>
                <w:rFonts w:ascii="Times New Roman" w:hAnsi="Times New Roman"/>
                <w:b/>
                <w:bCs/>
                <w:color w:val="000000" w:themeColor="text1"/>
                <w:u w:val="single"/>
              </w:rPr>
              <w:t>išlaidų reikalavimas</w:t>
            </w:r>
          </w:p>
          <w:p w14:paraId="1A13F377"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rPr>
              <w:t>Reglamento (ES) 2019/2033 13 straipsnio 1 dalis.</w:t>
            </w:r>
          </w:p>
          <w:p w14:paraId="0A6FD328"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Nurodoma suma sudaro bent 25 % ankstesnių metų metinių pastoviųjų pridėtinių išlaidų (0020 eilutė).</w:t>
            </w:r>
          </w:p>
          <w:p w14:paraId="7F045E79"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Jei investicinės įmonės veikla iš esmės pasikeitė, kaip nurodyta Reglamento (ES) 2019/</w:t>
            </w:r>
            <w:r w:rsidRPr="00A96493">
              <w:rPr>
                <w:rFonts w:ascii="Times New Roman" w:hAnsi="Times New Roman"/>
              </w:rPr>
              <w:t>2033 13 straipsnio 2 dalyje, nurodoma suma yra pagal tą nuostatą kompetentingos institucijos nustatytas pastoviųjų pridėtinių išlaidų reikalavimas.</w:t>
            </w:r>
          </w:p>
          <w:p w14:paraId="65A949F5" w14:textId="77777777" w:rsidR="0035753A" w:rsidRPr="00A96493" w:rsidRDefault="00A96493">
            <w:pPr>
              <w:spacing w:after="120" w:line="240" w:lineRule="auto"/>
              <w:jc w:val="both"/>
              <w:rPr>
                <w:rFonts w:ascii="Times New Roman" w:hAnsi="Times New Roman" w:cs="Times New Roman"/>
              </w:rPr>
            </w:pPr>
            <w:r w:rsidRPr="00A96493">
              <w:rPr>
                <w:rFonts w:ascii="Times New Roman" w:hAnsi="Times New Roman"/>
              </w:rPr>
              <w:t>Reglamento (ES) 2019/2033 13 straipsnio 3 dalyje nurodytais atvejais nurodoma suma yra einamųjų metų prognoz</w:t>
            </w:r>
            <w:r w:rsidRPr="00A96493">
              <w:rPr>
                <w:rFonts w:ascii="Times New Roman" w:hAnsi="Times New Roman"/>
              </w:rPr>
              <w:t>uojamos pastoviosios pridėtinės išlaidos (0200 eilutė).</w:t>
            </w:r>
          </w:p>
        </w:tc>
      </w:tr>
      <w:tr w:rsidR="0035753A" w:rsidRPr="00A96493" w14:paraId="1FA1AADD" w14:textId="77777777">
        <w:tc>
          <w:tcPr>
            <w:tcW w:w="1129" w:type="dxa"/>
          </w:tcPr>
          <w:p w14:paraId="1C384750"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0020</w:t>
            </w:r>
          </w:p>
        </w:tc>
        <w:tc>
          <w:tcPr>
            <w:tcW w:w="7620" w:type="dxa"/>
          </w:tcPr>
          <w:p w14:paraId="36149B29"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Ankstesnių metų metinės pastoviosios pridėtinės išlaidos po pelno paskirstymo</w:t>
            </w:r>
          </w:p>
          <w:p w14:paraId="4F91383A"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Reglamento (ES) 2019/2033 13 straipsnio 1 dalis.</w:t>
            </w:r>
          </w:p>
          <w:p w14:paraId="1126FC17" w14:textId="77777777" w:rsidR="0035753A" w:rsidRPr="00A96493" w:rsidRDefault="00A96493">
            <w:pPr>
              <w:pStyle w:val="CommentText"/>
              <w:rPr>
                <w:rFonts w:ascii="Times New Roman" w:hAnsi="Times New Roman" w:cs="Times New Roman"/>
                <w:sz w:val="22"/>
                <w:szCs w:val="22"/>
              </w:rPr>
            </w:pPr>
            <w:r w:rsidRPr="00A96493">
              <w:rPr>
                <w:rFonts w:ascii="Times New Roman" w:hAnsi="Times New Roman"/>
                <w:bCs/>
                <w:color w:val="000000" w:themeColor="text1"/>
                <w:sz w:val="22"/>
                <w:szCs w:val="22"/>
              </w:rPr>
              <w:t xml:space="preserve">Investicinės įmonės nurodo ankstesnių metų pastoviąsias pridėtines išlaidas po pelno paskirstymo. </w:t>
            </w:r>
          </w:p>
        </w:tc>
      </w:tr>
      <w:tr w:rsidR="0035753A" w:rsidRPr="00A96493" w14:paraId="0B45B4E7" w14:textId="77777777">
        <w:tc>
          <w:tcPr>
            <w:tcW w:w="1129" w:type="dxa"/>
          </w:tcPr>
          <w:p w14:paraId="1824B615"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0030</w:t>
            </w:r>
          </w:p>
        </w:tc>
        <w:tc>
          <w:tcPr>
            <w:tcW w:w="7620" w:type="dxa"/>
          </w:tcPr>
          <w:p w14:paraId="5369F648"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Bendros ankstesnių metų sąnaudos po pelno paskirstymo</w:t>
            </w:r>
          </w:p>
          <w:p w14:paraId="2319F9E8" w14:textId="77777777" w:rsidR="0035753A" w:rsidRPr="00A96493" w:rsidRDefault="00A96493">
            <w:pPr>
              <w:spacing w:after="120" w:line="240" w:lineRule="auto"/>
              <w:jc w:val="both"/>
              <w:rPr>
                <w:rFonts w:ascii="Times New Roman" w:eastAsia="Times New Roman" w:hAnsi="Times New Roman" w:cs="Times New Roman"/>
                <w:bCs/>
                <w:i/>
                <w:color w:val="000000" w:themeColor="text1"/>
              </w:rPr>
            </w:pPr>
            <w:r w:rsidRPr="00A96493">
              <w:rPr>
                <w:rFonts w:ascii="Times New Roman" w:hAnsi="Times New Roman"/>
                <w:bCs/>
              </w:rPr>
              <w:t>Reglamento (ES) 2019/2033 13 straipsnio 1 dalis.</w:t>
            </w:r>
          </w:p>
          <w:p w14:paraId="3694F347"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Suma nurodoma po pelno paskirstymo.</w:t>
            </w:r>
          </w:p>
        </w:tc>
      </w:tr>
      <w:tr w:rsidR="0035753A" w:rsidRPr="00A96493" w14:paraId="0BB65978" w14:textId="77777777">
        <w:tc>
          <w:tcPr>
            <w:tcW w:w="1129" w:type="dxa"/>
          </w:tcPr>
          <w:p w14:paraId="0C39A7AF"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0040</w:t>
            </w:r>
          </w:p>
        </w:tc>
        <w:tc>
          <w:tcPr>
            <w:tcW w:w="7620" w:type="dxa"/>
          </w:tcPr>
          <w:p w14:paraId="1AE2AD08"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Iš jų:</w:t>
            </w:r>
            <w:r w:rsidRPr="00A96493">
              <w:rPr>
                <w:rFonts w:ascii="Times New Roman" w:hAnsi="Times New Roman"/>
                <w:b/>
                <w:bCs/>
                <w:color w:val="000000" w:themeColor="text1"/>
                <w:u w:val="single"/>
              </w:rPr>
              <w:t xml:space="preserve"> pastoviosios sąnaudos, kurias investicinių įmonių vardu patiria trečiosios šalys</w:t>
            </w:r>
          </w:p>
          <w:p w14:paraId="0514D830"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Cs/>
              </w:rPr>
              <w:t>Reglamento (ES) 2019/2033 13 straipsnis.</w:t>
            </w:r>
          </w:p>
        </w:tc>
      </w:tr>
      <w:tr w:rsidR="0035753A" w:rsidRPr="00A96493" w14:paraId="095748B0" w14:textId="77777777">
        <w:tc>
          <w:tcPr>
            <w:tcW w:w="1129" w:type="dxa"/>
          </w:tcPr>
          <w:p w14:paraId="6D9314A0"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0050</w:t>
            </w:r>
          </w:p>
        </w:tc>
        <w:tc>
          <w:tcPr>
            <w:tcW w:w="7620" w:type="dxa"/>
          </w:tcPr>
          <w:p w14:paraId="3E8B3BA1"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Iš viso atskaitymų</w:t>
            </w:r>
          </w:p>
          <w:p w14:paraId="7E7B72EA" w14:textId="77777777" w:rsidR="0035753A" w:rsidRPr="00A96493" w:rsidRDefault="00A96493">
            <w:pPr>
              <w:pStyle w:val="NumPar1"/>
              <w:numPr>
                <w:ilvl w:val="0"/>
                <w:numId w:val="0"/>
              </w:numPr>
              <w:rPr>
                <w:sz w:val="22"/>
              </w:rPr>
            </w:pPr>
            <w:r w:rsidRPr="00A96493">
              <w:rPr>
                <w:sz w:val="22"/>
              </w:rPr>
              <w:t xml:space="preserve">Be Reglamento (ES) 2019/2033 13 straipsnio 4 dalyje nurodytų atskaitomų straipsnių, iš bendrų </w:t>
            </w:r>
            <w:r w:rsidRPr="00A96493">
              <w:rPr>
                <w:sz w:val="22"/>
              </w:rPr>
              <w:t>sąnaudų atskaitomi toliau nurodyti straipsniai, jei jie įtraukti į bendras sąnaudas pagal atitinkamą apskaitos sistemą:</w:t>
            </w:r>
          </w:p>
          <w:p w14:paraId="60F47CA2" w14:textId="77777777" w:rsidR="0035753A" w:rsidRPr="00A96493" w:rsidRDefault="00A96493">
            <w:pPr>
              <w:pStyle w:val="Point1letter"/>
              <w:numPr>
                <w:ilvl w:val="0"/>
                <w:numId w:val="0"/>
              </w:numPr>
              <w:tabs>
                <w:tab w:val="left" w:pos="850"/>
              </w:tabs>
              <w:ind w:left="492" w:hanging="567"/>
              <w:rPr>
                <w:sz w:val="22"/>
              </w:rPr>
            </w:pPr>
            <w:r w:rsidRPr="00A96493">
              <w:rPr>
                <w:sz w:val="22"/>
              </w:rPr>
              <w:t>a)</w:t>
            </w:r>
            <w:r w:rsidRPr="00A96493">
              <w:rPr>
                <w:sz w:val="22"/>
              </w:rPr>
              <w:tab/>
              <w:t>mokesčiai, mokėjimai tarpininkams ir kiti privalomieji mokėjimai, mokami pagrindinėms sandorio šalims, biržoms ir kitoms prekybos vie</w:t>
            </w:r>
            <w:r w:rsidRPr="00A96493">
              <w:rPr>
                <w:sz w:val="22"/>
              </w:rPr>
              <w:t>toms bei finansų makleriams tarpininkams už sandorių vykdymą, registravimą ar tarpuskaitą, tik jei jie yra tiesiogiai perkeliami ir taikomi klientams. Jie neapima mokesčių ir kitų privalomųjų mokėjimų, būtinų siekiant išlaikyti narystę pagrindinėse sandori</w:t>
            </w:r>
            <w:r w:rsidRPr="00A96493">
              <w:rPr>
                <w:sz w:val="22"/>
              </w:rPr>
              <w:t>o šalyse, biržose ir kitose prekybos vietose arba kitaip vykdyti su jų nuostolių pasidalijimu susijusius finansinius įsipareigojimus;</w:t>
            </w:r>
          </w:p>
          <w:p w14:paraId="1E5E35FC" w14:textId="77777777" w:rsidR="0035753A" w:rsidRPr="00A96493" w:rsidRDefault="00A96493">
            <w:pPr>
              <w:pStyle w:val="Point1letter"/>
              <w:numPr>
                <w:ilvl w:val="0"/>
                <w:numId w:val="0"/>
              </w:numPr>
              <w:tabs>
                <w:tab w:val="left" w:pos="850"/>
              </w:tabs>
              <w:ind w:left="492" w:hanging="567"/>
              <w:rPr>
                <w:sz w:val="22"/>
              </w:rPr>
            </w:pPr>
            <w:r w:rsidRPr="00A96493">
              <w:rPr>
                <w:sz w:val="22"/>
              </w:rPr>
              <w:lastRenderedPageBreak/>
              <w:t>b)</w:t>
            </w:r>
            <w:r w:rsidRPr="00A96493">
              <w:rPr>
                <w:sz w:val="22"/>
              </w:rPr>
              <w:tab/>
              <w:t>palūkanos, mokamos klientams už jų pinigus, kai nėra jokio įsipareigojimo mokėti tokias palūkanas;</w:t>
            </w:r>
          </w:p>
          <w:p w14:paraId="1F49C3F0" w14:textId="77777777" w:rsidR="0035753A" w:rsidRPr="00A96493" w:rsidRDefault="00A96493">
            <w:pPr>
              <w:pStyle w:val="Point1letter"/>
              <w:numPr>
                <w:ilvl w:val="0"/>
                <w:numId w:val="0"/>
              </w:numPr>
              <w:tabs>
                <w:tab w:val="left" w:pos="850"/>
              </w:tabs>
              <w:ind w:left="492" w:hanging="567"/>
              <w:rPr>
                <w:sz w:val="22"/>
              </w:rPr>
            </w:pPr>
            <w:r w:rsidRPr="00A96493">
              <w:rPr>
                <w:sz w:val="22"/>
              </w:rPr>
              <w:t>c)</w:t>
            </w:r>
            <w:r w:rsidRPr="00A96493">
              <w:rPr>
                <w:sz w:val="22"/>
              </w:rPr>
              <w:tab/>
              <w:t>išlaidos mokėtini</w:t>
            </w:r>
            <w:r w:rsidRPr="00A96493">
              <w:rPr>
                <w:sz w:val="22"/>
              </w:rPr>
              <w:t>ems mokesčiams, susijusiems su investicinės įmonės metiniu pelnu;</w:t>
            </w:r>
          </w:p>
          <w:p w14:paraId="6BEE9B49" w14:textId="77777777" w:rsidR="0035753A" w:rsidRPr="00A96493" w:rsidRDefault="00A96493">
            <w:pPr>
              <w:pStyle w:val="Point1letter"/>
              <w:numPr>
                <w:ilvl w:val="0"/>
                <w:numId w:val="0"/>
              </w:numPr>
              <w:tabs>
                <w:tab w:val="left" w:pos="850"/>
              </w:tabs>
              <w:ind w:left="492" w:hanging="567"/>
              <w:rPr>
                <w:sz w:val="22"/>
              </w:rPr>
            </w:pPr>
            <w:r w:rsidRPr="00A96493">
              <w:rPr>
                <w:sz w:val="22"/>
              </w:rPr>
              <w:t>d)</w:t>
            </w:r>
            <w:r w:rsidRPr="00A96493">
              <w:rPr>
                <w:sz w:val="22"/>
              </w:rPr>
              <w:tab/>
              <w:t>nuostoliai, patirti savo sąskaita prekiaujant finansinėmis priemonėmis;</w:t>
            </w:r>
          </w:p>
          <w:p w14:paraId="3BC83C33" w14:textId="77777777" w:rsidR="0035753A" w:rsidRPr="00A96493" w:rsidRDefault="00A96493">
            <w:pPr>
              <w:pStyle w:val="Point1letter"/>
              <w:numPr>
                <w:ilvl w:val="0"/>
                <w:numId w:val="0"/>
              </w:numPr>
              <w:tabs>
                <w:tab w:val="left" w:pos="850"/>
              </w:tabs>
              <w:ind w:left="492" w:hanging="567"/>
              <w:rPr>
                <w:sz w:val="22"/>
              </w:rPr>
            </w:pPr>
            <w:r w:rsidRPr="00A96493">
              <w:rPr>
                <w:sz w:val="22"/>
              </w:rPr>
              <w:t>e)</w:t>
            </w:r>
            <w:r w:rsidRPr="00A96493">
              <w:rPr>
                <w:sz w:val="22"/>
              </w:rPr>
              <w:tab/>
              <w:t>mokėjimai, susiję su sutartimis grindžiamais pelno ir nuostolio perdavimo susitarimais, pagal kuriuos investicin</w:t>
            </w:r>
            <w:r w:rsidRPr="00A96493">
              <w:rPr>
                <w:sz w:val="22"/>
              </w:rPr>
              <w:t>ė įmonė, parengusi savo metines finansines ataskaitas, yra įpareigota perduoti patronuojančiajai įmonei savo metinį veiklos rezultatą;</w:t>
            </w:r>
          </w:p>
          <w:p w14:paraId="0BBA53F6" w14:textId="77777777" w:rsidR="0035753A" w:rsidRPr="00A96493" w:rsidRDefault="00A96493">
            <w:pPr>
              <w:pStyle w:val="Point1letter"/>
              <w:numPr>
                <w:ilvl w:val="0"/>
                <w:numId w:val="0"/>
              </w:numPr>
              <w:tabs>
                <w:tab w:val="left" w:pos="850"/>
              </w:tabs>
              <w:ind w:left="492" w:hanging="567"/>
              <w:rPr>
                <w:color w:val="000000" w:themeColor="text1"/>
                <w:sz w:val="22"/>
              </w:rPr>
            </w:pPr>
            <w:r w:rsidRPr="00A96493">
              <w:rPr>
                <w:color w:val="000000" w:themeColor="text1"/>
                <w:sz w:val="22"/>
              </w:rPr>
              <w:t>f)</w:t>
            </w:r>
            <w:r w:rsidRPr="00A96493">
              <w:rPr>
                <w:color w:val="000000" w:themeColor="text1"/>
                <w:sz w:val="22"/>
              </w:rPr>
              <w:tab/>
            </w:r>
            <w:r w:rsidRPr="00A96493">
              <w:rPr>
                <w:sz w:val="22"/>
              </w:rPr>
              <w:t>mokėjimai atidėjiniams bendrai banko rizikai pagal Reglamento (ES) Nr. 575/2013 26 straipsnio 1 dalies f punktą;</w:t>
            </w:r>
          </w:p>
          <w:p w14:paraId="0633B945" w14:textId="77777777" w:rsidR="0035753A" w:rsidRPr="00A96493" w:rsidRDefault="00A96493">
            <w:pPr>
              <w:pStyle w:val="Point1letter"/>
              <w:numPr>
                <w:ilvl w:val="0"/>
                <w:numId w:val="0"/>
              </w:numPr>
              <w:tabs>
                <w:tab w:val="left" w:pos="850"/>
              </w:tabs>
              <w:ind w:left="492" w:hanging="567"/>
              <w:rPr>
                <w:rFonts w:eastAsia="Times New Roman"/>
                <w:bCs/>
                <w:color w:val="000000" w:themeColor="text1"/>
                <w:sz w:val="22"/>
              </w:rPr>
            </w:pPr>
            <w:r w:rsidRPr="00A96493">
              <w:rPr>
                <w:rFonts w:eastAsia="Times New Roman"/>
                <w:bCs/>
                <w:color w:val="000000" w:themeColor="text1"/>
                <w:sz w:val="22"/>
              </w:rPr>
              <w:t>g)</w:t>
            </w:r>
            <w:r w:rsidRPr="00A96493">
              <w:rPr>
                <w:rFonts w:eastAsia="Times New Roman"/>
                <w:bCs/>
                <w:color w:val="000000" w:themeColor="text1"/>
                <w:sz w:val="22"/>
              </w:rPr>
              <w:tab/>
            </w:r>
            <w:r w:rsidRPr="00A96493">
              <w:rPr>
                <w:sz w:val="22"/>
              </w:rPr>
              <w:t>są</w:t>
            </w:r>
            <w:r w:rsidRPr="00A96493">
              <w:rPr>
                <w:sz w:val="22"/>
              </w:rPr>
              <w:t>naudos, susijusios su straipsniais, kurie jau buvo atskaityti iš nuosavų lėšų pagal Reglamento (ES) Nr. 575/2013 36 straipsnio 1 dalį.</w:t>
            </w:r>
            <w:r w:rsidRPr="00A96493">
              <w:rPr>
                <w:bCs/>
                <w:color w:val="000000" w:themeColor="text1"/>
                <w:sz w:val="22"/>
              </w:rPr>
              <w:t xml:space="preserve"> </w:t>
            </w:r>
          </w:p>
        </w:tc>
      </w:tr>
      <w:tr w:rsidR="0035753A" w:rsidRPr="00A96493" w14:paraId="5F4D88CC" w14:textId="77777777">
        <w:tc>
          <w:tcPr>
            <w:tcW w:w="1129" w:type="dxa"/>
          </w:tcPr>
          <w:p w14:paraId="748C3963"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lastRenderedPageBreak/>
              <w:t>0060</w:t>
            </w:r>
          </w:p>
        </w:tc>
        <w:tc>
          <w:tcPr>
            <w:tcW w:w="7620" w:type="dxa"/>
          </w:tcPr>
          <w:p w14:paraId="428286AC"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Darbuotojų premijos ir kitas atlygis</w:t>
            </w:r>
          </w:p>
          <w:p w14:paraId="24754A21"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Reglamento (ES) 2019/2033 13 straipsnio 4 dalies a punktas.</w:t>
            </w:r>
          </w:p>
          <w:p w14:paraId="42A99F11" w14:textId="77777777" w:rsidR="0035753A" w:rsidRPr="00A96493" w:rsidRDefault="00A96493">
            <w:pPr>
              <w:pStyle w:val="NumPar1"/>
              <w:numPr>
                <w:ilvl w:val="0"/>
                <w:numId w:val="0"/>
              </w:numPr>
              <w:rPr>
                <w:sz w:val="22"/>
              </w:rPr>
            </w:pPr>
            <w:r w:rsidRPr="00A96493">
              <w:rPr>
                <w:sz w:val="22"/>
              </w:rPr>
              <w:t xml:space="preserve">Laikoma, kad </w:t>
            </w:r>
            <w:r w:rsidRPr="00A96493">
              <w:rPr>
                <w:sz w:val="22"/>
              </w:rPr>
              <w:t>darbuotojų premijos ir kitas atlygis priklauso nuo investicinės įmonės grynojo pelno atitinkamais metais, jei tenkinamos abi šios sąlygos:</w:t>
            </w:r>
          </w:p>
          <w:p w14:paraId="0048292B" w14:textId="77777777" w:rsidR="0035753A" w:rsidRPr="00A96493" w:rsidRDefault="00A96493">
            <w:pPr>
              <w:pStyle w:val="Point1letter"/>
              <w:numPr>
                <w:ilvl w:val="0"/>
                <w:numId w:val="0"/>
              </w:numPr>
              <w:ind w:left="634" w:hanging="567"/>
              <w:rPr>
                <w:sz w:val="22"/>
              </w:rPr>
            </w:pPr>
            <w:r w:rsidRPr="00A96493">
              <w:rPr>
                <w:sz w:val="22"/>
              </w:rPr>
              <w:t>h)</w:t>
            </w:r>
            <w:r w:rsidRPr="00A96493">
              <w:rPr>
                <w:sz w:val="22"/>
              </w:rPr>
              <w:tab/>
              <w:t xml:space="preserve">darbuotojų premijos ar kitas atlygis, kuriuos reikia atskaityti, darbuotojams jau buvo sumokėtas metais, </w:t>
            </w:r>
            <w:r w:rsidRPr="00A96493">
              <w:rPr>
                <w:sz w:val="22"/>
              </w:rPr>
              <w:t>einančiais prieš mokėjimo metus, arba darbuotojų premijų ar kito atlygio mokėjimas darbuotojams neturės įtakos įmonės kapitalo padėčiai mokėjimo metais;</w:t>
            </w:r>
          </w:p>
          <w:p w14:paraId="6B600FDD" w14:textId="77777777" w:rsidR="0035753A" w:rsidRPr="00A96493" w:rsidRDefault="00A96493">
            <w:pPr>
              <w:pStyle w:val="Point1letter"/>
              <w:numPr>
                <w:ilvl w:val="0"/>
                <w:numId w:val="0"/>
              </w:numPr>
              <w:ind w:left="634" w:hanging="567"/>
              <w:rPr>
                <w:rFonts w:eastAsia="Times New Roman"/>
                <w:bCs/>
                <w:color w:val="000000" w:themeColor="text1"/>
                <w:sz w:val="22"/>
              </w:rPr>
            </w:pPr>
            <w:r w:rsidRPr="00A96493">
              <w:rPr>
                <w:rFonts w:eastAsia="Times New Roman"/>
                <w:bCs/>
                <w:color w:val="000000" w:themeColor="text1"/>
                <w:sz w:val="22"/>
              </w:rPr>
              <w:t>i)</w:t>
            </w:r>
            <w:r w:rsidRPr="00A96493">
              <w:rPr>
                <w:rFonts w:eastAsia="Times New Roman"/>
                <w:bCs/>
                <w:color w:val="000000" w:themeColor="text1"/>
                <w:sz w:val="22"/>
              </w:rPr>
              <w:tab/>
            </w:r>
            <w:r w:rsidRPr="00A96493">
              <w:rPr>
                <w:sz w:val="22"/>
              </w:rPr>
              <w:t>kalbant apie einamuosius ir būsimus metus, įmonė neprivalo skirti papildomų premijų ar kitų išmokų a</w:t>
            </w:r>
            <w:r w:rsidRPr="00A96493">
              <w:rPr>
                <w:sz w:val="22"/>
              </w:rPr>
              <w:t>tlygio forma, nebent tais metais ji gauna grynojo pelno.</w:t>
            </w:r>
          </w:p>
        </w:tc>
      </w:tr>
      <w:tr w:rsidR="0035753A" w:rsidRPr="00A96493" w14:paraId="5FE85EAA" w14:textId="77777777">
        <w:tc>
          <w:tcPr>
            <w:tcW w:w="1129" w:type="dxa"/>
          </w:tcPr>
          <w:p w14:paraId="3C85D78C"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0070</w:t>
            </w:r>
          </w:p>
        </w:tc>
        <w:tc>
          <w:tcPr>
            <w:tcW w:w="7620" w:type="dxa"/>
          </w:tcPr>
          <w:p w14:paraId="75AADCBD"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Darbuotojų, direktorių ir partnerių teisės į grynojo pelno dalį</w:t>
            </w:r>
          </w:p>
          <w:p w14:paraId="36E3386B"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Reglamento (ES) 2019/2033 13 straipsnio 4 dalies b punktas.</w:t>
            </w:r>
          </w:p>
          <w:p w14:paraId="45F84127"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rPr>
              <w:t>Darbuotojų, direktorių ir partnerių teisės į pelno dalį apskaičiu</w:t>
            </w:r>
            <w:r w:rsidRPr="00A96493">
              <w:rPr>
                <w:rFonts w:ascii="Times New Roman" w:hAnsi="Times New Roman"/>
              </w:rPr>
              <w:t>ojamos remiantis grynuoju pelnu.</w:t>
            </w:r>
          </w:p>
        </w:tc>
      </w:tr>
      <w:tr w:rsidR="0035753A" w:rsidRPr="00A96493" w14:paraId="5F5C3131" w14:textId="77777777">
        <w:tc>
          <w:tcPr>
            <w:tcW w:w="1129" w:type="dxa"/>
          </w:tcPr>
          <w:p w14:paraId="7084965E"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0080</w:t>
            </w:r>
          </w:p>
        </w:tc>
        <w:tc>
          <w:tcPr>
            <w:tcW w:w="7620" w:type="dxa"/>
          </w:tcPr>
          <w:p w14:paraId="29898298"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Kitas savo nuožiūra išmokamas pelnas ir kintamasis atlygis</w:t>
            </w:r>
          </w:p>
          <w:p w14:paraId="1B63D12B"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Reglamento (ES) 2019/2033 13 straipsnio 4 dalies c punktas.</w:t>
            </w:r>
          </w:p>
        </w:tc>
      </w:tr>
      <w:tr w:rsidR="0035753A" w:rsidRPr="00A96493" w14:paraId="6C244650" w14:textId="77777777">
        <w:tc>
          <w:tcPr>
            <w:tcW w:w="1129" w:type="dxa"/>
          </w:tcPr>
          <w:p w14:paraId="6ED80515"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0090</w:t>
            </w:r>
          </w:p>
        </w:tc>
        <w:tc>
          <w:tcPr>
            <w:tcW w:w="7620" w:type="dxa"/>
          </w:tcPr>
          <w:p w14:paraId="7047E020"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Mokėtini bendri komisiniai ir mokesčiai</w:t>
            </w:r>
          </w:p>
          <w:p w14:paraId="106E223D"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 xml:space="preserve">Reglamento (ES) 2019/2033 </w:t>
            </w:r>
            <w:r w:rsidRPr="00A96493">
              <w:rPr>
                <w:rFonts w:ascii="Times New Roman" w:hAnsi="Times New Roman"/>
                <w:bCs/>
                <w:color w:val="000000" w:themeColor="text1"/>
              </w:rPr>
              <w:t>13 straipsnio 4 dalies d punktas.</w:t>
            </w:r>
          </w:p>
        </w:tc>
      </w:tr>
      <w:tr w:rsidR="0035753A" w:rsidRPr="00A96493" w14:paraId="49AE6F65" w14:textId="77777777">
        <w:tc>
          <w:tcPr>
            <w:tcW w:w="1129" w:type="dxa"/>
          </w:tcPr>
          <w:p w14:paraId="46AA6831"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0100</w:t>
            </w:r>
          </w:p>
        </w:tc>
        <w:tc>
          <w:tcPr>
            <w:tcW w:w="7620" w:type="dxa"/>
          </w:tcPr>
          <w:p w14:paraId="126C06D5"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Mokesčiai, mokėjimai tarpininkams ir kiti privalomieji mokėjimai, mokami pagrindinėms sandorio šalims ir taikomi klientams</w:t>
            </w:r>
          </w:p>
          <w:p w14:paraId="554EC37D"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rPr>
              <w:t xml:space="preserve">Mokesčiai, mokėjimai tarpininkams ir kiti privalomieji mokėjimai, mokami </w:t>
            </w:r>
            <w:r w:rsidRPr="00A96493">
              <w:rPr>
                <w:rFonts w:ascii="Times New Roman" w:hAnsi="Times New Roman"/>
              </w:rPr>
              <w:t>pagrindinėms sandorio šalims, biržoms ir kitoms prekybos vietoms bei finansų makleriams tarpininkams už sandorių vykdymą, registravimą ar tarpuskaitą, tik jei jie yra tiesiogiai perkeliami ir taikomi klientams. Jie neapima mokesčių ir kitų privalomųjų mokė</w:t>
            </w:r>
            <w:r w:rsidRPr="00A96493">
              <w:rPr>
                <w:rFonts w:ascii="Times New Roman" w:hAnsi="Times New Roman"/>
              </w:rPr>
              <w:t>jimų, būtinų siekiant išlaikyti narystę pagrindinėse sandorio šalyse, biržose ir kitose prekybos vietose arba kitaip vykdyti su jų nuostolių pasidalijimu susijusius finansinius įsipareigojimus.</w:t>
            </w:r>
            <w:r w:rsidRPr="00A96493">
              <w:rPr>
                <w:rFonts w:ascii="Times New Roman" w:hAnsi="Times New Roman"/>
                <w:bCs/>
                <w:color w:val="000000" w:themeColor="text1"/>
              </w:rPr>
              <w:t xml:space="preserve"> </w:t>
            </w:r>
          </w:p>
        </w:tc>
      </w:tr>
      <w:tr w:rsidR="0035753A" w:rsidRPr="00A96493" w14:paraId="33ABC472" w14:textId="77777777">
        <w:tc>
          <w:tcPr>
            <w:tcW w:w="1129" w:type="dxa"/>
          </w:tcPr>
          <w:p w14:paraId="43F45F7E"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0110</w:t>
            </w:r>
          </w:p>
        </w:tc>
        <w:tc>
          <w:tcPr>
            <w:tcW w:w="7620" w:type="dxa"/>
          </w:tcPr>
          <w:p w14:paraId="11002A89"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Mokesčiai priklausomiems agentams</w:t>
            </w:r>
          </w:p>
          <w:p w14:paraId="4E6C815E"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rPr>
              <w:t>Reglamento (ES) 2</w:t>
            </w:r>
            <w:r w:rsidRPr="00A96493">
              <w:rPr>
                <w:rFonts w:ascii="Times New Roman" w:hAnsi="Times New Roman"/>
                <w:bCs/>
              </w:rPr>
              <w:t>019/2033 13 straipsnio 4 dalies e punktas.</w:t>
            </w:r>
          </w:p>
        </w:tc>
      </w:tr>
      <w:tr w:rsidR="0035753A" w:rsidRPr="00A96493" w14:paraId="51908C2F" w14:textId="77777777">
        <w:tc>
          <w:tcPr>
            <w:tcW w:w="1129" w:type="dxa"/>
          </w:tcPr>
          <w:p w14:paraId="5F9C2653"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lastRenderedPageBreak/>
              <w:t>0130</w:t>
            </w:r>
          </w:p>
        </w:tc>
        <w:tc>
          <w:tcPr>
            <w:tcW w:w="7620" w:type="dxa"/>
          </w:tcPr>
          <w:p w14:paraId="047720FD"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Neperiodinės išlaidos, susijusios su neįprasta veikla</w:t>
            </w:r>
          </w:p>
          <w:p w14:paraId="69392D6D"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Reglamento (ES) 2019/2033 13 straipsnio 4 dalies f punktas.</w:t>
            </w:r>
          </w:p>
        </w:tc>
      </w:tr>
      <w:tr w:rsidR="0035753A" w:rsidRPr="00A96493" w14:paraId="54759603" w14:textId="77777777">
        <w:tc>
          <w:tcPr>
            <w:tcW w:w="1129" w:type="dxa"/>
          </w:tcPr>
          <w:p w14:paraId="315EBBE5"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0140</w:t>
            </w:r>
          </w:p>
          <w:p w14:paraId="1A5B0B59" w14:textId="77777777" w:rsidR="0035753A" w:rsidRPr="00A96493" w:rsidRDefault="0035753A">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31CF0FED" w14:textId="77777777" w:rsidR="0035753A" w:rsidRPr="00A96493" w:rsidRDefault="00A96493">
            <w:pPr>
              <w:spacing w:after="120" w:line="240" w:lineRule="auto"/>
              <w:jc w:val="both"/>
              <w:rPr>
                <w:rFonts w:ascii="Times New Roman" w:eastAsia="Times New Roman" w:hAnsi="Times New Roman" w:cs="Times New Roman"/>
                <w:bCs/>
                <w:color w:val="000000" w:themeColor="text1"/>
                <w:u w:val="single"/>
              </w:rPr>
            </w:pPr>
            <w:r w:rsidRPr="00A96493">
              <w:rPr>
                <w:rFonts w:ascii="Times New Roman" w:hAnsi="Times New Roman"/>
                <w:b/>
                <w:bCs/>
                <w:color w:val="000000" w:themeColor="text1"/>
                <w:u w:val="single"/>
              </w:rPr>
              <w:t>(−) Išlaidos mokesčiams</w:t>
            </w:r>
          </w:p>
          <w:p w14:paraId="6FA2D295" w14:textId="77777777" w:rsidR="0035753A" w:rsidRPr="00A96493" w:rsidRDefault="00A96493">
            <w:pPr>
              <w:pStyle w:val="Point1letter"/>
              <w:numPr>
                <w:ilvl w:val="0"/>
                <w:numId w:val="0"/>
              </w:numPr>
              <w:rPr>
                <w:rFonts w:eastAsia="Times New Roman"/>
                <w:color w:val="000000" w:themeColor="text1"/>
                <w:sz w:val="22"/>
              </w:rPr>
            </w:pPr>
            <w:r w:rsidRPr="00A96493">
              <w:rPr>
                <w:sz w:val="22"/>
              </w:rPr>
              <w:t>Išlaidos mokėtiniems mokesčiams, susijusiems su investicin</w:t>
            </w:r>
            <w:r w:rsidRPr="00A96493">
              <w:rPr>
                <w:sz w:val="22"/>
              </w:rPr>
              <w:t>ės įmonės metiniu pelnu.</w:t>
            </w:r>
          </w:p>
        </w:tc>
      </w:tr>
      <w:tr w:rsidR="0035753A" w:rsidRPr="00A96493" w14:paraId="74716335" w14:textId="77777777">
        <w:tc>
          <w:tcPr>
            <w:tcW w:w="1129" w:type="dxa"/>
          </w:tcPr>
          <w:p w14:paraId="3E08E2E8"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0150</w:t>
            </w:r>
          </w:p>
        </w:tc>
        <w:tc>
          <w:tcPr>
            <w:tcW w:w="7620" w:type="dxa"/>
          </w:tcPr>
          <w:p w14:paraId="75F5B4BF"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Nuostoliai, patirti savo sąskaita prekiaujant finansinėmis priemonėmis</w:t>
            </w:r>
          </w:p>
          <w:p w14:paraId="6E23F4C0"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Savaime suprantama.</w:t>
            </w:r>
          </w:p>
        </w:tc>
      </w:tr>
      <w:tr w:rsidR="0035753A" w:rsidRPr="00A96493" w14:paraId="0813FDCA" w14:textId="77777777">
        <w:tc>
          <w:tcPr>
            <w:tcW w:w="1129" w:type="dxa"/>
          </w:tcPr>
          <w:p w14:paraId="3CF7D307"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0160</w:t>
            </w:r>
          </w:p>
        </w:tc>
        <w:tc>
          <w:tcPr>
            <w:tcW w:w="7620" w:type="dxa"/>
          </w:tcPr>
          <w:p w14:paraId="0A67873E"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Sutartimis grindžiami pelno ir nuostolio perdavimo susitarimai</w:t>
            </w:r>
          </w:p>
          <w:p w14:paraId="40BC04E1"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rPr>
              <w:t xml:space="preserve">Mokėjimai, susiję su sutartimis grindžiamais pelno ir </w:t>
            </w:r>
            <w:r w:rsidRPr="00A96493">
              <w:rPr>
                <w:rFonts w:ascii="Times New Roman" w:hAnsi="Times New Roman"/>
              </w:rPr>
              <w:t>nuostolio perdavimo susitarimais, pagal kuriuos investicinė įmonė, parengusi savo metines finansines ataskaitas, yra įpareigota perduoti patronuojančiajai įmonei savo metinį veiklos rezultatą.</w:t>
            </w:r>
          </w:p>
        </w:tc>
      </w:tr>
      <w:tr w:rsidR="0035753A" w:rsidRPr="00A96493" w14:paraId="72140127" w14:textId="77777777">
        <w:tc>
          <w:tcPr>
            <w:tcW w:w="1129" w:type="dxa"/>
          </w:tcPr>
          <w:p w14:paraId="01FBDDE4"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0170</w:t>
            </w:r>
          </w:p>
        </w:tc>
        <w:tc>
          <w:tcPr>
            <w:tcW w:w="7620" w:type="dxa"/>
          </w:tcPr>
          <w:p w14:paraId="367C2D73"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Išlaidos žaliavoms</w:t>
            </w:r>
          </w:p>
          <w:p w14:paraId="54E86268"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bookmarkStart w:id="32" w:name="_Toc38271703"/>
            <w:r w:rsidRPr="00A96493">
              <w:rPr>
                <w:rFonts w:ascii="Times New Roman" w:hAnsi="Times New Roman"/>
                <w:bCs/>
                <w:color w:val="000000" w:themeColor="text1"/>
              </w:rPr>
              <w:t>Prekiautojai biržos prekėmis ir ap</w:t>
            </w:r>
            <w:r w:rsidRPr="00A96493">
              <w:rPr>
                <w:rFonts w:ascii="Times New Roman" w:hAnsi="Times New Roman"/>
                <w:bCs/>
                <w:color w:val="000000" w:themeColor="text1"/>
              </w:rPr>
              <w:t>yvartiniais taršos leidimais gali atskaityti išlaidas žaliavoms, susijusias su investicine įmone, prekiaujančia pagrindinės biržos prekės išvestinėmis finansinėmis priemonėmis.</w:t>
            </w:r>
            <w:bookmarkEnd w:id="32"/>
          </w:p>
        </w:tc>
      </w:tr>
      <w:tr w:rsidR="0035753A" w:rsidRPr="00A96493" w14:paraId="3F367BB3" w14:textId="77777777">
        <w:tc>
          <w:tcPr>
            <w:tcW w:w="1129" w:type="dxa"/>
          </w:tcPr>
          <w:p w14:paraId="047D190D"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0180</w:t>
            </w:r>
          </w:p>
        </w:tc>
        <w:tc>
          <w:tcPr>
            <w:tcW w:w="7620" w:type="dxa"/>
          </w:tcPr>
          <w:p w14:paraId="4E36C025"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Mokėjimai atidėjiniams bendrai banko rizikai</w:t>
            </w:r>
          </w:p>
          <w:p w14:paraId="25761CAA"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Cs/>
              </w:rPr>
              <w:t>Mokėjimai atidėjiniams b</w:t>
            </w:r>
            <w:r w:rsidRPr="00A96493">
              <w:rPr>
                <w:rFonts w:ascii="Times New Roman" w:hAnsi="Times New Roman"/>
                <w:bCs/>
              </w:rPr>
              <w:t>endrai banko rizikai pagal Reglamento (ES) Nr. 575/2013 26 straipsnio 1 dalies f punktą.</w:t>
            </w:r>
          </w:p>
        </w:tc>
      </w:tr>
      <w:tr w:rsidR="0035753A" w:rsidRPr="00A96493" w14:paraId="681D4A6B" w14:textId="77777777">
        <w:tc>
          <w:tcPr>
            <w:tcW w:w="1129" w:type="dxa"/>
          </w:tcPr>
          <w:p w14:paraId="283468FB"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0190</w:t>
            </w:r>
          </w:p>
        </w:tc>
        <w:tc>
          <w:tcPr>
            <w:tcW w:w="7620" w:type="dxa"/>
          </w:tcPr>
          <w:p w14:paraId="7DAC2EAF"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Sąnaudos, susijusios su straipsniais, kurie jau buvo atskaityti iš nuosavų lėšų</w:t>
            </w:r>
          </w:p>
          <w:p w14:paraId="5187F70B"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Cs/>
              </w:rPr>
              <w:t>Sąnaudos, susijusios su straipsniais, kurie jau buvo atskaityti iš nuosavų lė</w:t>
            </w:r>
            <w:r w:rsidRPr="00A96493">
              <w:rPr>
                <w:rFonts w:ascii="Times New Roman" w:hAnsi="Times New Roman"/>
                <w:bCs/>
              </w:rPr>
              <w:t>šų pagal Reglamento (ES) Nr. 575/2013 36 straipsnio 1 dalį.</w:t>
            </w:r>
          </w:p>
        </w:tc>
      </w:tr>
      <w:tr w:rsidR="0035753A" w:rsidRPr="00A96493" w14:paraId="1B4C6E2A" w14:textId="77777777">
        <w:tc>
          <w:tcPr>
            <w:tcW w:w="1129" w:type="dxa"/>
          </w:tcPr>
          <w:p w14:paraId="46BCDA84"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0200</w:t>
            </w:r>
          </w:p>
        </w:tc>
        <w:tc>
          <w:tcPr>
            <w:tcW w:w="7620" w:type="dxa"/>
          </w:tcPr>
          <w:p w14:paraId="5617C627"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Einamųjų metų prognozuojamos pastoviosios pridėtinės išlaidos</w:t>
            </w:r>
          </w:p>
          <w:p w14:paraId="6919BBF4"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Einamųjų metų pastoviųjų pridėtinių išlaidų po pelno paskirstymo prognozė.</w:t>
            </w:r>
          </w:p>
        </w:tc>
      </w:tr>
      <w:tr w:rsidR="0035753A" w:rsidRPr="00A96493" w14:paraId="4F9B420E" w14:textId="77777777">
        <w:tc>
          <w:tcPr>
            <w:tcW w:w="1129" w:type="dxa"/>
          </w:tcPr>
          <w:p w14:paraId="5E2AF1A9"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0210</w:t>
            </w:r>
          </w:p>
        </w:tc>
        <w:tc>
          <w:tcPr>
            <w:tcW w:w="7620" w:type="dxa"/>
          </w:tcPr>
          <w:p w14:paraId="3085C746" w14:textId="77777777" w:rsidR="0035753A" w:rsidRPr="00A96493" w:rsidRDefault="00A96493">
            <w:pPr>
              <w:spacing w:after="120" w:line="240" w:lineRule="auto"/>
              <w:jc w:val="both"/>
              <w:rPr>
                <w:rFonts w:ascii="Times New Roman" w:eastAsia="Times New Roman" w:hAnsi="Times New Roman" w:cs="Times New Roman"/>
                <w:b/>
                <w:bCs/>
                <w:color w:val="000000" w:themeColor="text1"/>
                <w:u w:val="single"/>
              </w:rPr>
            </w:pPr>
            <w:r w:rsidRPr="00A96493">
              <w:rPr>
                <w:rFonts w:ascii="Times New Roman" w:hAnsi="Times New Roman"/>
                <w:b/>
                <w:bCs/>
                <w:color w:val="000000" w:themeColor="text1"/>
                <w:u w:val="single"/>
              </w:rPr>
              <w:t xml:space="preserve">Pastoviųjų pridėtinių išlaidų </w:t>
            </w:r>
            <w:r w:rsidRPr="00A96493">
              <w:rPr>
                <w:rFonts w:ascii="Times New Roman" w:hAnsi="Times New Roman"/>
                <w:b/>
                <w:bCs/>
                <w:color w:val="000000" w:themeColor="text1"/>
                <w:u w:val="single"/>
              </w:rPr>
              <w:t>variacija (%)</w:t>
            </w:r>
          </w:p>
          <w:p w14:paraId="173A8AF8"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Suma nurodoma kaip toliau nurodytų veiksmų absoliučioji vertė:</w:t>
            </w:r>
          </w:p>
          <w:p w14:paraId="3BF20AF6" w14:textId="77777777" w:rsidR="0035753A" w:rsidRPr="00A96493" w:rsidRDefault="00A96493">
            <w:pPr>
              <w:spacing w:after="120" w:line="240" w:lineRule="auto"/>
              <w:jc w:val="both"/>
              <w:rPr>
                <w:rFonts w:ascii="Times New Roman" w:eastAsia="Times New Roman" w:hAnsi="Times New Roman" w:cs="Times New Roman"/>
                <w:bCs/>
                <w:color w:val="000000" w:themeColor="text1"/>
              </w:rPr>
            </w:pPr>
            <w:r w:rsidRPr="00A96493">
              <w:rPr>
                <w:rFonts w:ascii="Times New Roman" w:hAnsi="Times New Roman"/>
                <w:bCs/>
                <w:color w:val="000000" w:themeColor="text1"/>
              </w:rPr>
              <w:t>[(Einamųjų metų metinės pastoviosios pridėtinės išlaidos) – (Praėjusių metų prognozuojamos pastoviosios pridėtinės išlaidos)/(Praėjusių metų metinės pastoviosios pridėtinės išlaid</w:t>
            </w:r>
            <w:r w:rsidRPr="00A96493">
              <w:rPr>
                <w:rFonts w:ascii="Times New Roman" w:hAnsi="Times New Roman"/>
                <w:bCs/>
                <w:color w:val="000000" w:themeColor="text1"/>
              </w:rPr>
              <w:t>os)]</w:t>
            </w:r>
          </w:p>
        </w:tc>
      </w:tr>
    </w:tbl>
    <w:p w14:paraId="1241DFE4" w14:textId="77777777" w:rsidR="0035753A" w:rsidRPr="00A96493" w:rsidRDefault="0035753A">
      <w:pPr>
        <w:spacing w:after="120" w:line="240" w:lineRule="auto"/>
        <w:jc w:val="both"/>
        <w:rPr>
          <w:rFonts w:ascii="Times New Roman" w:eastAsia="Times New Roman" w:hAnsi="Times New Roman" w:cs="Times New Roman"/>
          <w:sz w:val="24"/>
          <w:szCs w:val="24"/>
          <w:lang w:eastAsia="de-DE"/>
        </w:rPr>
      </w:pPr>
    </w:p>
    <w:p w14:paraId="0436E847" w14:textId="77777777" w:rsidR="0035753A" w:rsidRPr="00A96493" w:rsidRDefault="00A96493">
      <w:pPr>
        <w:pStyle w:val="Instructionsberschrift2"/>
        <w:ind w:left="357" w:hanging="357"/>
        <w:rPr>
          <w:rFonts w:ascii="Times New Roman" w:hAnsi="Times New Roman" w:cs="Times New Roman"/>
          <w:sz w:val="24"/>
          <w:u w:val="none"/>
        </w:rPr>
      </w:pPr>
      <w:bookmarkStart w:id="33" w:name="_Toc88213995"/>
      <w:r w:rsidRPr="00A96493">
        <w:rPr>
          <w:rFonts w:ascii="Times New Roman" w:hAnsi="Times New Roman"/>
          <w:sz w:val="24"/>
          <w:u w:val="none"/>
        </w:rPr>
        <w:t>2. MAŽOS IR TARPUSAVIO SĄSAJŲ NETURINČIOS INVESTICINĖS ĮMONĖS</w:t>
      </w:r>
      <w:bookmarkEnd w:id="33"/>
    </w:p>
    <w:p w14:paraId="497992FB" w14:textId="77777777" w:rsidR="0035753A" w:rsidRPr="00A96493" w:rsidRDefault="00A9649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213996"/>
      <w:bookmarkStart w:id="37" w:name="_Toc308175823"/>
      <w:bookmarkStart w:id="38" w:name="_Toc360188327"/>
      <w:r w:rsidRPr="00A96493">
        <w:rPr>
          <w:rFonts w:ascii="Times New Roman" w:hAnsi="Times New Roman"/>
          <w:sz w:val="24"/>
          <w:szCs w:val="24"/>
        </w:rPr>
        <w:t>2.1.</w:t>
      </w:r>
      <w:r w:rsidRPr="00A96493">
        <w:rPr>
          <w:rFonts w:ascii="Times New Roman" w:hAnsi="Times New Roman"/>
          <w:sz w:val="24"/>
          <w:szCs w:val="24"/>
        </w:rPr>
        <w:tab/>
      </w:r>
      <w:r w:rsidRPr="00A96493">
        <w:rPr>
          <w:rFonts w:ascii="Times New Roman" w:hAnsi="Times New Roman"/>
          <w:sz w:val="24"/>
          <w:szCs w:val="24"/>
          <w:u w:val="single"/>
        </w:rPr>
        <w:t>I 05.00 – VEIKLOS LYGIS. RIBINIŲ VERČIŲ PERŽIŪRA (I 5)</w:t>
      </w:r>
      <w:bookmarkEnd w:id="34"/>
      <w:bookmarkEnd w:id="35"/>
      <w:bookmarkEnd w:id="36"/>
      <w:bookmarkEnd w:id="37"/>
      <w:bookmarkEnd w:id="38"/>
    </w:p>
    <w:p w14:paraId="580880F2" w14:textId="77777777" w:rsidR="0035753A" w:rsidRPr="00A96493" w:rsidRDefault="00A9649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213997"/>
      <w:r w:rsidRPr="00A96493">
        <w:rPr>
          <w:rFonts w:ascii="Times New Roman" w:hAnsi="Times New Roman"/>
          <w:sz w:val="24"/>
          <w:szCs w:val="24"/>
        </w:rPr>
        <w:t>2.1.1.</w:t>
      </w:r>
      <w:r w:rsidRPr="00A96493">
        <w:tab/>
      </w:r>
      <w:bookmarkStart w:id="44" w:name="_Toc308175824"/>
      <w:r w:rsidRPr="00A96493">
        <w:rPr>
          <w:rFonts w:ascii="Times New Roman" w:hAnsi="Times New Roman"/>
          <w:sz w:val="24"/>
          <w:szCs w:val="24"/>
          <w:u w:val="single"/>
        </w:rPr>
        <w:t>Nurodymai dėl konkrečių</w:t>
      </w:r>
      <w:bookmarkEnd w:id="44"/>
      <w:bookmarkEnd w:id="39"/>
      <w:r w:rsidRPr="00A96493">
        <w:t xml:space="preserve"> </w:t>
      </w:r>
      <w:r w:rsidRPr="00A96493">
        <w:rPr>
          <w:rFonts w:ascii="Times New Roman" w:hAnsi="Times New Roman"/>
          <w:sz w:val="24"/>
          <w:szCs w:val="24"/>
          <w:u w:val="single"/>
        </w:rPr>
        <w:t>pozicijų</w:t>
      </w:r>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753A" w:rsidRPr="00A96493" w14:paraId="4FCA2084" w14:textId="77777777">
        <w:tc>
          <w:tcPr>
            <w:tcW w:w="1129" w:type="dxa"/>
            <w:shd w:val="clear" w:color="auto" w:fill="D9D9D9"/>
          </w:tcPr>
          <w:p w14:paraId="5947B4F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Eilutė</w:t>
            </w:r>
          </w:p>
        </w:tc>
        <w:tc>
          <w:tcPr>
            <w:tcW w:w="7620" w:type="dxa"/>
            <w:shd w:val="clear" w:color="auto" w:fill="D9D9D9"/>
          </w:tcPr>
          <w:p w14:paraId="2EF6DEB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Nuorodos į teisės aktus ir nurodymai</w:t>
            </w:r>
          </w:p>
        </w:tc>
      </w:tr>
      <w:tr w:rsidR="0035753A" w:rsidRPr="00A96493" w14:paraId="4C680796" w14:textId="77777777">
        <w:tc>
          <w:tcPr>
            <w:tcW w:w="1129" w:type="dxa"/>
          </w:tcPr>
          <w:p w14:paraId="184E373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0010</w:t>
            </w:r>
          </w:p>
        </w:tc>
        <w:tc>
          <w:tcPr>
            <w:tcW w:w="7620" w:type="dxa"/>
          </w:tcPr>
          <w:p w14:paraId="0BA98CA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
                <w:bCs/>
                <w:u w:val="single"/>
              </w:rPr>
              <w:t xml:space="preserve">Valdomas turtas (bendrai </w:t>
            </w:r>
            <w:r w:rsidRPr="00A96493">
              <w:rPr>
                <w:rFonts w:ascii="Times New Roman" w:hAnsi="Times New Roman"/>
                <w:b/>
                <w:bCs/>
                <w:u w:val="single"/>
              </w:rPr>
              <w:t>apskaičiuota vertė)</w:t>
            </w:r>
          </w:p>
          <w:p w14:paraId="0285C1A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a punktas.</w:t>
            </w:r>
          </w:p>
          <w:p w14:paraId="6063EFF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Jeigu informaciją teikianti investicinė įmonė priklauso grupei, nurodoma vertė pagal Reglamento (ES) 2019/2033 12 straipsnio 2 dalį yra nustatoma bendrai visoms investicinėms į</w:t>
            </w:r>
            <w:r w:rsidRPr="00A96493">
              <w:rPr>
                <w:rFonts w:ascii="Times New Roman" w:hAnsi="Times New Roman"/>
                <w:bCs/>
              </w:rPr>
              <w:t>monėms, kurios priklauso grupei.</w:t>
            </w:r>
          </w:p>
          <w:p w14:paraId="74FA136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Investicinės įmonės įtraukia savo nuožiūra valdomą ir ne savo nuožiūra valdomą turtą.</w:t>
            </w:r>
          </w:p>
          <w:p w14:paraId="38C72F2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Nurodoma suma yra suma, kuri būtų naudojama K veiksniams apskaičiuoti prieš taikant atitinkamus koeficientus.</w:t>
            </w:r>
          </w:p>
        </w:tc>
      </w:tr>
      <w:tr w:rsidR="0035753A" w:rsidRPr="00A96493" w14:paraId="47405EF9" w14:textId="77777777">
        <w:tc>
          <w:tcPr>
            <w:tcW w:w="1129" w:type="dxa"/>
          </w:tcPr>
          <w:p w14:paraId="4DF7F65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0020</w:t>
            </w:r>
          </w:p>
        </w:tc>
        <w:tc>
          <w:tcPr>
            <w:tcW w:w="7620" w:type="dxa"/>
          </w:tcPr>
          <w:p w14:paraId="3CB209D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
                <w:bCs/>
                <w:u w:val="single"/>
              </w:rPr>
              <w:t>Tvarkomi klientų pave</w:t>
            </w:r>
            <w:r w:rsidRPr="00A96493">
              <w:rPr>
                <w:rFonts w:ascii="Times New Roman" w:hAnsi="Times New Roman"/>
                <w:b/>
                <w:bCs/>
                <w:u w:val="single"/>
              </w:rPr>
              <w:t>dimai. Grynųjų pinigų sandoriai (bendrai apskaičiuota vertė)</w:t>
            </w:r>
          </w:p>
          <w:p w14:paraId="1530A40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b punkto i papunktis.</w:t>
            </w:r>
          </w:p>
          <w:p w14:paraId="06122E83"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Jeigu informaciją teikianti investicinė įmonė priklauso grupei, nurodoma vertė pagal Reglamento (ES) 2019/2033 </w:t>
            </w:r>
            <w:r w:rsidRPr="00A96493">
              <w:rPr>
                <w:rFonts w:ascii="Times New Roman" w:hAnsi="Times New Roman"/>
                <w:bCs/>
              </w:rPr>
              <w:t>12 straipsnio 2 dalį yra nustatoma bendrai visoms investicinėms įmonėms, kurios priklauso grupei.</w:t>
            </w:r>
          </w:p>
          <w:p w14:paraId="028F1C6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suma yra suma, kuri būtų naudojama K veiksniams apskaičiuoti prieš taikant atitinkamus koeficientus.</w:t>
            </w:r>
          </w:p>
        </w:tc>
      </w:tr>
      <w:tr w:rsidR="0035753A" w:rsidRPr="00A96493" w14:paraId="239DA452" w14:textId="77777777">
        <w:tc>
          <w:tcPr>
            <w:tcW w:w="1129" w:type="dxa"/>
          </w:tcPr>
          <w:p w14:paraId="0B8856F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0030</w:t>
            </w:r>
          </w:p>
        </w:tc>
        <w:tc>
          <w:tcPr>
            <w:tcW w:w="7620" w:type="dxa"/>
          </w:tcPr>
          <w:p w14:paraId="087D30C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
                <w:bCs/>
                <w:u w:val="single"/>
              </w:rPr>
              <w:t>Tvarkomi klientų pavedimai. Išvestinės fin</w:t>
            </w:r>
            <w:r w:rsidRPr="00A96493">
              <w:rPr>
                <w:rFonts w:ascii="Times New Roman" w:hAnsi="Times New Roman"/>
                <w:b/>
                <w:bCs/>
                <w:u w:val="single"/>
              </w:rPr>
              <w:t>ansinės priemonės (bendrai apskaičiuota vertė)</w:t>
            </w:r>
          </w:p>
          <w:p w14:paraId="45C4FD1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b punkto i papunktis.</w:t>
            </w:r>
          </w:p>
          <w:p w14:paraId="312F0B9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Jeigu informaciją teikianti investicinė įmonė priklauso grupei, nurodoma vertė pagal Reglamento (ES) 2019/2033 12 straipsnio 2 dalį yra nu</w:t>
            </w:r>
            <w:r w:rsidRPr="00A96493">
              <w:rPr>
                <w:rFonts w:ascii="Times New Roman" w:hAnsi="Times New Roman"/>
                <w:bCs/>
              </w:rPr>
              <w:t>statoma bendrai visoms investicinėms įmonėms, kurios priklauso grupei.</w:t>
            </w:r>
          </w:p>
          <w:p w14:paraId="74DB7ED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suma yra suma, kuri būtų naudojama K veiksniams apskaičiuoti prieš taikant atitinkamus koeficientus.</w:t>
            </w:r>
          </w:p>
        </w:tc>
      </w:tr>
      <w:tr w:rsidR="0035753A" w:rsidRPr="00A96493" w14:paraId="08230807" w14:textId="77777777">
        <w:tc>
          <w:tcPr>
            <w:tcW w:w="1129" w:type="dxa"/>
          </w:tcPr>
          <w:p w14:paraId="71B5A9D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0040</w:t>
            </w:r>
          </w:p>
        </w:tc>
        <w:tc>
          <w:tcPr>
            <w:tcW w:w="7620" w:type="dxa"/>
          </w:tcPr>
          <w:p w14:paraId="614184F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Saugomas ir administruojamas turtas</w:t>
            </w:r>
          </w:p>
          <w:p w14:paraId="29967B8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w:t>
            </w:r>
            <w:r w:rsidRPr="00A96493">
              <w:rPr>
                <w:rFonts w:ascii="Times New Roman" w:hAnsi="Times New Roman"/>
                <w:bCs/>
              </w:rPr>
              <w:t>ipsnio 1 dalies c punktas.</w:t>
            </w:r>
          </w:p>
          <w:p w14:paraId="0D0EB42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suma yra suma, kuri būtų naudojama K veiksniams apskaičiuoti prieš taikant atitinkamus koeficientus.</w:t>
            </w:r>
          </w:p>
        </w:tc>
      </w:tr>
      <w:tr w:rsidR="0035753A" w:rsidRPr="00A96493" w14:paraId="5EAFF8BC" w14:textId="77777777">
        <w:tc>
          <w:tcPr>
            <w:tcW w:w="1129" w:type="dxa"/>
          </w:tcPr>
          <w:p w14:paraId="42F7BAA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0050</w:t>
            </w:r>
          </w:p>
        </w:tc>
        <w:tc>
          <w:tcPr>
            <w:tcW w:w="7620" w:type="dxa"/>
          </w:tcPr>
          <w:p w14:paraId="34C1594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Laikomi klientų pinigai</w:t>
            </w:r>
          </w:p>
          <w:p w14:paraId="788B289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d punktas.</w:t>
            </w:r>
          </w:p>
          <w:p w14:paraId="0DA06E3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Nurodoma suma yra suma, kuri </w:t>
            </w:r>
            <w:r w:rsidRPr="00A96493">
              <w:rPr>
                <w:rFonts w:ascii="Times New Roman" w:hAnsi="Times New Roman"/>
                <w:bCs/>
              </w:rPr>
              <w:t>būtų naudojama K veiksniams apskaičiuoti prieš taikant atitinkamus koeficientus.</w:t>
            </w:r>
          </w:p>
        </w:tc>
      </w:tr>
      <w:tr w:rsidR="0035753A" w:rsidRPr="00A96493" w14:paraId="6EF57C66" w14:textId="77777777">
        <w:tc>
          <w:tcPr>
            <w:tcW w:w="1129" w:type="dxa"/>
          </w:tcPr>
          <w:p w14:paraId="1FE6213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0060</w:t>
            </w:r>
          </w:p>
        </w:tc>
        <w:tc>
          <w:tcPr>
            <w:tcW w:w="7620" w:type="dxa"/>
          </w:tcPr>
          <w:p w14:paraId="5A94D11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Dienos prekybos srautas. Grynųjų pinigų sandoriai ir išvestinių finansinių priemonių sandoriai</w:t>
            </w:r>
          </w:p>
          <w:p w14:paraId="1A2602E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e punktas.</w:t>
            </w:r>
          </w:p>
          <w:p w14:paraId="3F49029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suma yra suma, kuri būtų naudojama K veiksniams apskaičiuoti prieš taikant atitinkamus koeficientus.</w:t>
            </w:r>
          </w:p>
        </w:tc>
      </w:tr>
      <w:tr w:rsidR="0035753A" w:rsidRPr="00A96493" w14:paraId="55A0E376" w14:textId="77777777">
        <w:tc>
          <w:tcPr>
            <w:tcW w:w="1129" w:type="dxa"/>
          </w:tcPr>
          <w:p w14:paraId="5AB24692"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0070</w:t>
            </w:r>
          </w:p>
        </w:tc>
        <w:tc>
          <w:tcPr>
            <w:tcW w:w="7620" w:type="dxa"/>
          </w:tcPr>
          <w:p w14:paraId="044A301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Grynosios pozicijos rizika</w:t>
            </w:r>
          </w:p>
          <w:p w14:paraId="2D2304F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f punktas.</w:t>
            </w:r>
          </w:p>
          <w:p w14:paraId="3383780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suma yra suma, kuri būtų naudojama K veiksni</w:t>
            </w:r>
            <w:r w:rsidRPr="00A96493">
              <w:rPr>
                <w:rFonts w:ascii="Times New Roman" w:hAnsi="Times New Roman"/>
                <w:bCs/>
              </w:rPr>
              <w:t>ams apskaičiuoti prieš taikant atitinkamus koeficientus.</w:t>
            </w:r>
          </w:p>
        </w:tc>
      </w:tr>
      <w:tr w:rsidR="0035753A" w:rsidRPr="00A96493" w14:paraId="4B3B7E85" w14:textId="77777777">
        <w:tc>
          <w:tcPr>
            <w:tcW w:w="1129" w:type="dxa"/>
          </w:tcPr>
          <w:p w14:paraId="1842F8D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0080</w:t>
            </w:r>
          </w:p>
        </w:tc>
        <w:tc>
          <w:tcPr>
            <w:tcW w:w="7620" w:type="dxa"/>
          </w:tcPr>
          <w:p w14:paraId="5C50205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Suteikiama tarpuskaitos garantinė įmoka</w:t>
            </w:r>
          </w:p>
          <w:p w14:paraId="08F4E50D"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f punktas.</w:t>
            </w:r>
          </w:p>
          <w:p w14:paraId="3603CF7B" w14:textId="77777777" w:rsidR="0035753A" w:rsidRPr="00A96493" w:rsidRDefault="00A96493">
            <w:pPr>
              <w:spacing w:after="120" w:line="240" w:lineRule="auto"/>
              <w:jc w:val="both"/>
              <w:rPr>
                <w:rFonts w:ascii="Times New Roman" w:eastAsia="Times New Roman" w:hAnsi="Times New Roman" w:cs="Times New Roman"/>
                <w:b/>
                <w:bCs/>
              </w:rPr>
            </w:pPr>
            <w:r w:rsidRPr="00A96493">
              <w:rPr>
                <w:rFonts w:ascii="Times New Roman" w:hAnsi="Times New Roman"/>
                <w:bCs/>
              </w:rPr>
              <w:t>Nurodoma suma yra suma, kuri būtų naudojama K veiksniams apskaičiuoti prieš taikant atitinkam</w:t>
            </w:r>
            <w:r w:rsidRPr="00A96493">
              <w:rPr>
                <w:rFonts w:ascii="Times New Roman" w:hAnsi="Times New Roman"/>
                <w:bCs/>
              </w:rPr>
              <w:t>us koeficientus.</w:t>
            </w:r>
          </w:p>
        </w:tc>
      </w:tr>
      <w:tr w:rsidR="0035753A" w:rsidRPr="00A96493" w14:paraId="7D322C50" w14:textId="77777777">
        <w:tc>
          <w:tcPr>
            <w:tcW w:w="1129" w:type="dxa"/>
          </w:tcPr>
          <w:p w14:paraId="4471902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0090</w:t>
            </w:r>
          </w:p>
        </w:tc>
        <w:tc>
          <w:tcPr>
            <w:tcW w:w="7620" w:type="dxa"/>
          </w:tcPr>
          <w:p w14:paraId="53B502B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Prekybos sandorio šalies įsipareigojimų neįvykdymas</w:t>
            </w:r>
          </w:p>
          <w:p w14:paraId="6235DD5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Reglamento (ES) 2019/2033 12 straipsnio 1 dalies g punktas.</w:t>
            </w:r>
          </w:p>
          <w:p w14:paraId="4778B7D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suma yra suma, kuri būtų naudojama K veiksniams apskaičiuoti prieš taikant atitinkamus koeficientus.</w:t>
            </w:r>
          </w:p>
        </w:tc>
      </w:tr>
      <w:tr w:rsidR="0035753A" w:rsidRPr="00A96493" w14:paraId="732B5F3E" w14:textId="77777777">
        <w:tc>
          <w:tcPr>
            <w:tcW w:w="1129" w:type="dxa"/>
          </w:tcPr>
          <w:p w14:paraId="08DAFE83"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0100</w:t>
            </w:r>
          </w:p>
        </w:tc>
        <w:tc>
          <w:tcPr>
            <w:tcW w:w="7620" w:type="dxa"/>
          </w:tcPr>
          <w:p w14:paraId="5462AE6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
                <w:bCs/>
                <w:u w:val="single"/>
              </w:rPr>
              <w:t>Bendra balansinių ir nebalansinių straipsnių suma (bendrai apskaičiuota vertė)</w:t>
            </w:r>
          </w:p>
          <w:p w14:paraId="68C94B7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h punktas.</w:t>
            </w:r>
          </w:p>
          <w:p w14:paraId="0D61920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Jeigu informaciją teikianti investicinė įmonė priklauso grupei, nurodoma vertė pagal Reglamento (ES) 2019/2033 12 str</w:t>
            </w:r>
            <w:r w:rsidRPr="00A96493">
              <w:rPr>
                <w:rFonts w:ascii="Times New Roman" w:hAnsi="Times New Roman"/>
                <w:bCs/>
              </w:rPr>
              <w:t>aipsnio 2 dalį yra nustatoma bendrai visoms investicinėms įmonėms, kurios priklauso grupei.</w:t>
            </w:r>
          </w:p>
        </w:tc>
      </w:tr>
      <w:tr w:rsidR="0035753A" w:rsidRPr="00A96493" w14:paraId="57F60E00" w14:textId="77777777">
        <w:tc>
          <w:tcPr>
            <w:tcW w:w="1129" w:type="dxa"/>
          </w:tcPr>
          <w:p w14:paraId="61F1CBC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0110</w:t>
            </w:r>
          </w:p>
        </w:tc>
        <w:tc>
          <w:tcPr>
            <w:tcW w:w="7620" w:type="dxa"/>
          </w:tcPr>
          <w:p w14:paraId="14236DA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
                <w:bCs/>
                <w:u w:val="single"/>
              </w:rPr>
              <w:t>Bendrai apskaičiuotos visos bendrosios metinės pajamos</w:t>
            </w:r>
          </w:p>
          <w:p w14:paraId="2E3384A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12 straipsnio 1 dalies i papunktis.</w:t>
            </w:r>
          </w:p>
          <w:p w14:paraId="0973D4D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Jeigu informaciją teikianti investicinė į</w:t>
            </w:r>
            <w:r w:rsidRPr="00A96493">
              <w:rPr>
                <w:rFonts w:ascii="Times New Roman" w:hAnsi="Times New Roman"/>
                <w:bCs/>
              </w:rPr>
              <w:t xml:space="preserve">monė priklauso grupei, nurodoma vertė pagal Reglamento (ES) 2019/2033 12 straipsnio 2 dalį yra nustatoma </w:t>
            </w:r>
            <w:r w:rsidRPr="00A96493">
              <w:rPr>
                <w:rFonts w:ascii="Times New Roman" w:hAnsi="Times New Roman"/>
                <w:bCs/>
                <w:u w:val="single"/>
              </w:rPr>
              <w:t>bendrai</w:t>
            </w:r>
            <w:r w:rsidRPr="00A96493">
              <w:rPr>
                <w:rFonts w:ascii="Times New Roman" w:hAnsi="Times New Roman"/>
                <w:bCs/>
              </w:rPr>
              <w:t xml:space="preserve"> visoms investicinėms įmonėms, kurios priklauso grupei.</w:t>
            </w:r>
          </w:p>
          <w:p w14:paraId="3BB98A2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Nurodoma vertė yra (0120 eilutė + 0130 eilutė).</w:t>
            </w:r>
          </w:p>
        </w:tc>
      </w:tr>
      <w:tr w:rsidR="0035753A" w:rsidRPr="00A96493" w14:paraId="13DE59F0" w14:textId="77777777">
        <w:tc>
          <w:tcPr>
            <w:tcW w:w="1129" w:type="dxa"/>
          </w:tcPr>
          <w:p w14:paraId="1583FE4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0120</w:t>
            </w:r>
          </w:p>
        </w:tc>
        <w:tc>
          <w:tcPr>
            <w:tcW w:w="7620" w:type="dxa"/>
          </w:tcPr>
          <w:p w14:paraId="03BFA3D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Visos bendrosios metinės pajamos</w:t>
            </w:r>
          </w:p>
          <w:p w14:paraId="69FC6C9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V</w:t>
            </w:r>
            <w:r w:rsidRPr="00A96493">
              <w:rPr>
                <w:rFonts w:ascii="Times New Roman" w:hAnsi="Times New Roman"/>
                <w:bCs/>
              </w:rPr>
              <w:t xml:space="preserve">isų bendrųjų metinių pajamų, </w:t>
            </w:r>
            <w:r w:rsidRPr="00A96493">
              <w:rPr>
                <w:rFonts w:ascii="Times New Roman" w:hAnsi="Times New Roman"/>
                <w:bCs/>
                <w:u w:val="single"/>
              </w:rPr>
              <w:t>neįskaitant</w:t>
            </w:r>
            <w:r w:rsidRPr="00A96493">
              <w:rPr>
                <w:rFonts w:ascii="Times New Roman" w:hAnsi="Times New Roman"/>
                <w:bCs/>
              </w:rPr>
              <w:t xml:space="preserve"> grupėje generuojamų bendrųjų pajamų, vertė pagal Reglamento (ES) 2019/2033 12 straipsnio 2 dalį.</w:t>
            </w:r>
          </w:p>
        </w:tc>
      </w:tr>
      <w:tr w:rsidR="0035753A" w:rsidRPr="00A96493" w14:paraId="46179134" w14:textId="77777777">
        <w:tc>
          <w:tcPr>
            <w:tcW w:w="1129" w:type="dxa"/>
          </w:tcPr>
          <w:p w14:paraId="542CFC7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0130</w:t>
            </w:r>
          </w:p>
        </w:tc>
        <w:tc>
          <w:tcPr>
            <w:tcW w:w="7620" w:type="dxa"/>
          </w:tcPr>
          <w:p w14:paraId="5CDD53F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Grupės vidaus metinių bendrųjų pajamų dalis</w:t>
            </w:r>
          </w:p>
          <w:p w14:paraId="31EC020E"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 xml:space="preserve">Investicinės įmonės grupėje generuojamų bendrųjų pajamų </w:t>
            </w:r>
            <w:r w:rsidRPr="00A96493">
              <w:rPr>
                <w:rFonts w:ascii="Times New Roman" w:hAnsi="Times New Roman"/>
                <w:bCs/>
              </w:rPr>
              <w:t>vertė pagal Reglamento (ES) 2019/2033 12 straipsnio 2 dalį.</w:t>
            </w:r>
          </w:p>
        </w:tc>
      </w:tr>
      <w:tr w:rsidR="0035753A" w:rsidRPr="00A96493" w14:paraId="368E6508" w14:textId="77777777">
        <w:tc>
          <w:tcPr>
            <w:tcW w:w="1129" w:type="dxa"/>
          </w:tcPr>
          <w:p w14:paraId="112A41A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0140</w:t>
            </w:r>
          </w:p>
        </w:tc>
        <w:tc>
          <w:tcPr>
            <w:tcW w:w="7620" w:type="dxa"/>
          </w:tcPr>
          <w:p w14:paraId="1D24406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pavedimų priėmimo ir perdavimo</w:t>
            </w:r>
          </w:p>
          <w:p w14:paraId="12C7D93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17E490A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Direktyvos 2014/65/ES 4 straipsnio 1 dalies 2 punktas.</w:t>
            </w:r>
          </w:p>
        </w:tc>
      </w:tr>
      <w:tr w:rsidR="0035753A" w:rsidRPr="00A96493" w14:paraId="04FF8AC6" w14:textId="77777777">
        <w:tc>
          <w:tcPr>
            <w:tcW w:w="1129" w:type="dxa"/>
          </w:tcPr>
          <w:p w14:paraId="0FC6C23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0150</w:t>
            </w:r>
          </w:p>
        </w:tc>
        <w:tc>
          <w:tcPr>
            <w:tcW w:w="7620" w:type="dxa"/>
          </w:tcPr>
          <w:p w14:paraId="5716924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Iš jų: </w:t>
            </w:r>
            <w:r w:rsidRPr="00A96493">
              <w:rPr>
                <w:rFonts w:ascii="Times New Roman" w:hAnsi="Times New Roman"/>
                <w:b/>
                <w:bCs/>
                <w:u w:val="single"/>
              </w:rPr>
              <w:t>pajamos iš pavedimų vykdymo klientų vardu</w:t>
            </w:r>
          </w:p>
          <w:p w14:paraId="17F75C4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079BF48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Direktyvos 2014/65/ES 4 straipsnio 1 dalies 2 punktas.</w:t>
            </w:r>
          </w:p>
        </w:tc>
      </w:tr>
      <w:tr w:rsidR="0035753A" w:rsidRPr="00A96493" w14:paraId="47CB4F76" w14:textId="77777777">
        <w:tc>
          <w:tcPr>
            <w:tcW w:w="1129" w:type="dxa"/>
          </w:tcPr>
          <w:p w14:paraId="5A7B913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17EC92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prekybos savo sąskaita</w:t>
            </w:r>
          </w:p>
          <w:p w14:paraId="07F8367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w:t>
            </w:r>
            <w:r w:rsidRPr="00A96493">
              <w:rPr>
                <w:rFonts w:ascii="Times New Roman" w:hAnsi="Times New Roman"/>
                <w:bCs/>
              </w:rPr>
              <w:t>unktas.</w:t>
            </w:r>
          </w:p>
          <w:p w14:paraId="584E1D6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2 punktas.</w:t>
            </w:r>
          </w:p>
        </w:tc>
      </w:tr>
      <w:tr w:rsidR="0035753A" w:rsidRPr="00A96493" w14:paraId="04E3CCC6" w14:textId="77777777">
        <w:tc>
          <w:tcPr>
            <w:tcW w:w="1129" w:type="dxa"/>
          </w:tcPr>
          <w:p w14:paraId="5DB4478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298BF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portfelio valdymo</w:t>
            </w:r>
          </w:p>
          <w:p w14:paraId="1CEC69B7"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34A04E2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2 punktas.</w:t>
            </w:r>
          </w:p>
        </w:tc>
      </w:tr>
      <w:tr w:rsidR="0035753A" w:rsidRPr="00A96493" w14:paraId="39C7E6E9" w14:textId="77777777">
        <w:tc>
          <w:tcPr>
            <w:tcW w:w="1129" w:type="dxa"/>
          </w:tcPr>
          <w:p w14:paraId="323372C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C7855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Iš jų: pajamos iš </w:t>
            </w:r>
            <w:r w:rsidRPr="00A96493">
              <w:rPr>
                <w:rFonts w:ascii="Times New Roman" w:hAnsi="Times New Roman"/>
                <w:b/>
                <w:bCs/>
                <w:u w:val="single"/>
              </w:rPr>
              <w:t>konsultacijų dėl investicijų</w:t>
            </w:r>
          </w:p>
          <w:p w14:paraId="5352A81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2507DD77"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2 punktas.</w:t>
            </w:r>
          </w:p>
        </w:tc>
      </w:tr>
      <w:tr w:rsidR="0035753A" w:rsidRPr="00A96493" w14:paraId="206BFC19" w14:textId="77777777">
        <w:tc>
          <w:tcPr>
            <w:tcW w:w="1129" w:type="dxa"/>
          </w:tcPr>
          <w:p w14:paraId="44F259D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06CE40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finansinių priemonių emisijos organizavimo ir vykdymo ir (arba) finansinių priemonių išp</w:t>
            </w:r>
            <w:r w:rsidRPr="00A96493">
              <w:rPr>
                <w:rFonts w:ascii="Times New Roman" w:hAnsi="Times New Roman"/>
                <w:b/>
                <w:bCs/>
                <w:u w:val="single"/>
              </w:rPr>
              <w:t>latinimo įsipareigojus supirkti likutį</w:t>
            </w:r>
          </w:p>
          <w:p w14:paraId="0C75658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0EC46BE5"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2 punktas.</w:t>
            </w:r>
          </w:p>
        </w:tc>
      </w:tr>
      <w:tr w:rsidR="0035753A" w:rsidRPr="00A96493" w14:paraId="77E281CF" w14:textId="77777777">
        <w:tc>
          <w:tcPr>
            <w:tcW w:w="1129" w:type="dxa"/>
          </w:tcPr>
          <w:p w14:paraId="69B2FEA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DF657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finansinių priemonių išplatinimo neįsipareigojus supirkti likutį</w:t>
            </w:r>
          </w:p>
          <w:p w14:paraId="1F45680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w:t>
            </w:r>
            <w:r w:rsidRPr="00A96493">
              <w:rPr>
                <w:rFonts w:ascii="Times New Roman" w:hAnsi="Times New Roman"/>
                <w:bCs/>
              </w:rPr>
              <w:t>S) 2019/2033 54 straipsnio 1 dalies d punktas.</w:t>
            </w:r>
          </w:p>
          <w:p w14:paraId="44B53C99"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2 punktas.</w:t>
            </w:r>
          </w:p>
        </w:tc>
      </w:tr>
      <w:tr w:rsidR="0035753A" w:rsidRPr="00A96493" w14:paraId="6B36A52D" w14:textId="77777777">
        <w:tc>
          <w:tcPr>
            <w:tcW w:w="1129" w:type="dxa"/>
          </w:tcPr>
          <w:p w14:paraId="479AE64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81D47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DPS valdymo</w:t>
            </w:r>
          </w:p>
          <w:p w14:paraId="3BBFBCE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45BFD40C"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 xml:space="preserve">Direktyvos 2014/65/ES 4 straipsnio 1 dalies 2 </w:t>
            </w:r>
            <w:r w:rsidRPr="00A96493">
              <w:rPr>
                <w:rFonts w:ascii="Times New Roman" w:hAnsi="Times New Roman"/>
                <w:bCs/>
              </w:rPr>
              <w:t>punktas.</w:t>
            </w:r>
          </w:p>
        </w:tc>
      </w:tr>
      <w:tr w:rsidR="0035753A" w:rsidRPr="00A96493" w14:paraId="762D8781" w14:textId="77777777">
        <w:tc>
          <w:tcPr>
            <w:tcW w:w="1129" w:type="dxa"/>
          </w:tcPr>
          <w:p w14:paraId="2A6BA0D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071F5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OPS valdymo</w:t>
            </w:r>
          </w:p>
          <w:p w14:paraId="724948E1"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007DD3A8"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2 punktas.</w:t>
            </w:r>
          </w:p>
        </w:tc>
      </w:tr>
      <w:tr w:rsidR="0035753A" w:rsidRPr="00A96493" w14:paraId="4D4A1F95" w14:textId="77777777">
        <w:tc>
          <w:tcPr>
            <w:tcW w:w="1129" w:type="dxa"/>
          </w:tcPr>
          <w:p w14:paraId="4BB457E6"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9CF77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finansinių priemonių saugojimo ir administravimo</w:t>
            </w:r>
          </w:p>
          <w:p w14:paraId="00CF1D3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Reglamento (ES) </w:t>
            </w:r>
            <w:r w:rsidRPr="00A96493">
              <w:rPr>
                <w:rFonts w:ascii="Times New Roman" w:hAnsi="Times New Roman"/>
                <w:bCs/>
              </w:rPr>
              <w:t>2019/2033 54 straipsnio 1 dalies d punktas.</w:t>
            </w:r>
          </w:p>
          <w:p w14:paraId="24A0F0F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3 punktas.</w:t>
            </w:r>
          </w:p>
        </w:tc>
      </w:tr>
      <w:tr w:rsidR="0035753A" w:rsidRPr="00A96493" w14:paraId="5319CD44" w14:textId="77777777">
        <w:tc>
          <w:tcPr>
            <w:tcW w:w="1129" w:type="dxa"/>
          </w:tcPr>
          <w:p w14:paraId="2FAA7E4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ABAE4D9"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kreditų ar paskolų suteikimo investuotojams</w:t>
            </w:r>
          </w:p>
          <w:p w14:paraId="2EEA331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69B80161"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 xml:space="preserve">Direktyvos </w:t>
            </w:r>
            <w:r w:rsidRPr="00A96493">
              <w:rPr>
                <w:rFonts w:ascii="Times New Roman" w:hAnsi="Times New Roman"/>
                <w:bCs/>
              </w:rPr>
              <w:t>2014/65/ES 4 straipsnio 1 dalies 3 punktas.</w:t>
            </w:r>
          </w:p>
        </w:tc>
      </w:tr>
      <w:tr w:rsidR="0035753A" w:rsidRPr="00A96493" w14:paraId="1D27770E" w14:textId="77777777">
        <w:tc>
          <w:tcPr>
            <w:tcW w:w="1129" w:type="dxa"/>
          </w:tcPr>
          <w:p w14:paraId="1FE47A2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2FED5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konsultacijų įmonėms dėl kapitalo struktūros, pramonės strategijos bei susijusių dalykų ir iš konsultacijų bei paslaugų, susijusių su įmonių susijungimais ir pirkimais</w:t>
            </w:r>
          </w:p>
          <w:p w14:paraId="18B0BFAE"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w:t>
            </w:r>
            <w:r w:rsidRPr="00A96493">
              <w:rPr>
                <w:rFonts w:ascii="Times New Roman" w:hAnsi="Times New Roman"/>
                <w:bCs/>
              </w:rPr>
              <w:t>/2033 54 straipsnio 1 dalies d punktas.</w:t>
            </w:r>
          </w:p>
          <w:p w14:paraId="4FB63BF8"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3 punktas.</w:t>
            </w:r>
          </w:p>
        </w:tc>
      </w:tr>
      <w:tr w:rsidR="0035753A" w:rsidRPr="00A96493" w14:paraId="2EB61FFE" w14:textId="77777777">
        <w:tc>
          <w:tcPr>
            <w:tcW w:w="1129" w:type="dxa"/>
          </w:tcPr>
          <w:p w14:paraId="0E0F2563"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19FD82"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pajamos iš užsienio valiutos keitimo paslaugų</w:t>
            </w:r>
          </w:p>
          <w:p w14:paraId="5E1F6D6B"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76B59230"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w:t>
            </w:r>
            <w:r w:rsidRPr="00A96493">
              <w:rPr>
                <w:rFonts w:ascii="Times New Roman" w:hAnsi="Times New Roman"/>
                <w:bCs/>
              </w:rPr>
              <w:t>s 3 punktas.</w:t>
            </w:r>
          </w:p>
        </w:tc>
      </w:tr>
      <w:tr w:rsidR="0035753A" w:rsidRPr="00A96493" w14:paraId="4F30DA18" w14:textId="77777777">
        <w:tc>
          <w:tcPr>
            <w:tcW w:w="1129" w:type="dxa"/>
          </w:tcPr>
          <w:p w14:paraId="1BF6242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D492BA"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Iš jų: investavimo tyrimai ir finansinė analizė</w:t>
            </w:r>
          </w:p>
          <w:p w14:paraId="120DBEC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345C2CD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3 punktas.</w:t>
            </w:r>
          </w:p>
        </w:tc>
      </w:tr>
      <w:tr w:rsidR="0035753A" w:rsidRPr="00A96493" w14:paraId="6C12BAC9" w14:textId="77777777">
        <w:tc>
          <w:tcPr>
            <w:tcW w:w="1129" w:type="dxa"/>
          </w:tcPr>
          <w:p w14:paraId="202BA81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DBED8B"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 xml:space="preserve">Iš jų: pajamos iš paslaugų, susijusių su emisijos </w:t>
            </w:r>
            <w:r w:rsidRPr="00A96493">
              <w:rPr>
                <w:rFonts w:ascii="Times New Roman" w:hAnsi="Times New Roman"/>
                <w:b/>
                <w:bCs/>
                <w:u w:val="single"/>
              </w:rPr>
              <w:t>organizavimu ir vykdymu</w:t>
            </w:r>
          </w:p>
          <w:p w14:paraId="2134C50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0076E3ED"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3 punktas.</w:t>
            </w:r>
          </w:p>
        </w:tc>
      </w:tr>
      <w:tr w:rsidR="0035753A" w:rsidRPr="00A96493" w14:paraId="3616B059" w14:textId="77777777">
        <w:tc>
          <w:tcPr>
            <w:tcW w:w="1129" w:type="dxa"/>
          </w:tcPr>
          <w:p w14:paraId="259499FF"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E49D15"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
                <w:bCs/>
                <w:u w:val="single"/>
              </w:rPr>
              <w:t xml:space="preserve">Iš jų: investicinės paslaugos ir papildoma veikla, susijusios su išvestinių finansinių priemonių pagrindinėmis </w:t>
            </w:r>
            <w:r w:rsidRPr="00A96493">
              <w:rPr>
                <w:rFonts w:ascii="Times New Roman" w:hAnsi="Times New Roman"/>
                <w:b/>
                <w:bCs/>
                <w:u w:val="single"/>
              </w:rPr>
              <w:t>priemonėmis</w:t>
            </w:r>
          </w:p>
          <w:p w14:paraId="6D6B197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54 straipsnio 1 dalies d punktas.</w:t>
            </w:r>
          </w:p>
          <w:p w14:paraId="40BD37E9"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Direktyvos 2014/65/ES 4 straipsnio 1 dalies 3 punktas.</w:t>
            </w:r>
          </w:p>
        </w:tc>
      </w:tr>
    </w:tbl>
    <w:p w14:paraId="1F7823D8" w14:textId="77777777" w:rsidR="0035753A" w:rsidRPr="00A96493" w:rsidRDefault="0035753A">
      <w:pPr>
        <w:pStyle w:val="Instructionsberschrift2"/>
        <w:ind w:left="357" w:hanging="357"/>
        <w:rPr>
          <w:rFonts w:ascii="Times New Roman" w:hAnsi="Times New Roman" w:cs="Times New Roman"/>
          <w:b/>
          <w:sz w:val="24"/>
          <w:u w:val="none"/>
          <w:lang w:val="en-IE"/>
        </w:rPr>
      </w:pPr>
    </w:p>
    <w:p w14:paraId="5F03E351" w14:textId="77777777" w:rsidR="0035753A" w:rsidRPr="00A96493" w:rsidRDefault="00A96493">
      <w:pPr>
        <w:pStyle w:val="Instructionsberschrift2"/>
        <w:ind w:left="357" w:hanging="357"/>
        <w:rPr>
          <w:rFonts w:ascii="Times New Roman" w:hAnsi="Times New Roman" w:cs="Times New Roman"/>
          <w:b/>
          <w:sz w:val="24"/>
          <w:u w:val="none"/>
        </w:rPr>
      </w:pPr>
      <w:bookmarkStart w:id="45" w:name="_Toc88213998"/>
      <w:r w:rsidRPr="00A96493">
        <w:rPr>
          <w:rFonts w:ascii="Times New Roman" w:hAnsi="Times New Roman"/>
          <w:b/>
          <w:sz w:val="24"/>
          <w:u w:val="none"/>
        </w:rPr>
        <w:t>3. LIKVIDUMO REIKALAVIMAI</w:t>
      </w:r>
      <w:bookmarkEnd w:id="45"/>
    </w:p>
    <w:p w14:paraId="33349010" w14:textId="77777777" w:rsidR="0035753A" w:rsidRPr="00A96493" w:rsidRDefault="00A9649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213999"/>
      <w:r w:rsidRPr="00A96493">
        <w:rPr>
          <w:rFonts w:ascii="Times New Roman" w:hAnsi="Times New Roman"/>
          <w:sz w:val="24"/>
          <w:szCs w:val="24"/>
          <w:u w:val="single"/>
        </w:rPr>
        <w:t>3.1. I 09.01. LIKVIDUMO REIKALAVIMAI (I 9.1)</w:t>
      </w:r>
      <w:bookmarkEnd w:id="46"/>
    </w:p>
    <w:p w14:paraId="02879666" w14:textId="77777777" w:rsidR="0035753A" w:rsidRPr="00A96493" w:rsidRDefault="00A9649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14000"/>
      <w:r w:rsidRPr="00A96493">
        <w:rPr>
          <w:rFonts w:ascii="Times New Roman" w:hAnsi="Times New Roman"/>
          <w:sz w:val="24"/>
          <w:szCs w:val="24"/>
        </w:rPr>
        <w:t>3.1.1.</w:t>
      </w:r>
      <w:r w:rsidRPr="00A96493">
        <w:tab/>
      </w:r>
      <w:r w:rsidRPr="00A96493">
        <w:rPr>
          <w:rFonts w:ascii="Times New Roman" w:hAnsi="Times New Roman"/>
          <w:sz w:val="24"/>
          <w:szCs w:val="24"/>
          <w:u w:val="single"/>
        </w:rPr>
        <w:t>Nurodymai dėl konkrečių pozicijų</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5753A" w:rsidRPr="00A96493" w14:paraId="2E86CB1D" w14:textId="77777777">
        <w:tc>
          <w:tcPr>
            <w:tcW w:w="1129" w:type="dxa"/>
            <w:shd w:val="clear" w:color="auto" w:fill="D9D9D9"/>
          </w:tcPr>
          <w:p w14:paraId="26A17FB4"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Eilutė</w:t>
            </w:r>
          </w:p>
        </w:tc>
        <w:tc>
          <w:tcPr>
            <w:tcW w:w="7620" w:type="dxa"/>
            <w:shd w:val="clear" w:color="auto" w:fill="D9D9D9"/>
          </w:tcPr>
          <w:p w14:paraId="1CACDC2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rPr>
              <w:t>Nuorodos į teisės aktus ir nurodymai</w:t>
            </w:r>
          </w:p>
        </w:tc>
      </w:tr>
      <w:tr w:rsidR="0035753A" w:rsidRPr="00A96493" w14:paraId="4D48909E" w14:textId="77777777">
        <w:tc>
          <w:tcPr>
            <w:tcW w:w="1129" w:type="dxa"/>
          </w:tcPr>
          <w:p w14:paraId="042AF68C"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0010</w:t>
            </w:r>
          </w:p>
        </w:tc>
        <w:tc>
          <w:tcPr>
            <w:tcW w:w="7620" w:type="dxa"/>
          </w:tcPr>
          <w:p w14:paraId="7F41189F"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Likvidumo reikalavimas</w:t>
            </w:r>
          </w:p>
          <w:p w14:paraId="7F5A7BB3"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Cs/>
              </w:rPr>
              <w:t>Reglamento (ES) 2019/2033 43 straipsnio 1 dalis.</w:t>
            </w:r>
          </w:p>
        </w:tc>
      </w:tr>
      <w:tr w:rsidR="0035753A" w:rsidRPr="00A96493" w14:paraId="5819B2D0" w14:textId="77777777">
        <w:tc>
          <w:tcPr>
            <w:tcW w:w="1129" w:type="dxa"/>
          </w:tcPr>
          <w:p w14:paraId="73E0CA5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0020</w:t>
            </w:r>
          </w:p>
        </w:tc>
        <w:tc>
          <w:tcPr>
            <w:tcW w:w="7620" w:type="dxa"/>
          </w:tcPr>
          <w:p w14:paraId="11BFA714"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Garantijos klientams</w:t>
            </w:r>
          </w:p>
          <w:p w14:paraId="00796FBA"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45 straipsnis.</w:t>
            </w:r>
          </w:p>
          <w:p w14:paraId="4DBFF4A8"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 xml:space="preserve">Nurodoma vertė yra 1,6 % bendros klientams suteiktų garantijų sumos </w:t>
            </w:r>
            <w:r w:rsidRPr="00A96493">
              <w:rPr>
                <w:rFonts w:ascii="Times New Roman" w:hAnsi="Times New Roman"/>
                <w:bCs/>
              </w:rPr>
              <w:t>pagal Reglamento (ES) 2019/2033 45 straipsnį.</w:t>
            </w:r>
          </w:p>
        </w:tc>
      </w:tr>
      <w:tr w:rsidR="0035753A" w14:paraId="79A834DC" w14:textId="77777777">
        <w:tc>
          <w:tcPr>
            <w:tcW w:w="1129" w:type="dxa"/>
          </w:tcPr>
          <w:p w14:paraId="6CEDBC70"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0030</w:t>
            </w:r>
          </w:p>
        </w:tc>
        <w:tc>
          <w:tcPr>
            <w:tcW w:w="7620" w:type="dxa"/>
          </w:tcPr>
          <w:p w14:paraId="7762FD96" w14:textId="77777777" w:rsidR="0035753A" w:rsidRPr="00A96493" w:rsidRDefault="00A96493">
            <w:pPr>
              <w:spacing w:after="120" w:line="240" w:lineRule="auto"/>
              <w:jc w:val="both"/>
              <w:rPr>
                <w:rFonts w:ascii="Times New Roman" w:eastAsia="Times New Roman" w:hAnsi="Times New Roman" w:cs="Times New Roman"/>
                <w:b/>
                <w:bCs/>
                <w:u w:val="single"/>
              </w:rPr>
            </w:pPr>
            <w:r w:rsidRPr="00A96493">
              <w:rPr>
                <w:rFonts w:ascii="Times New Roman" w:hAnsi="Times New Roman"/>
                <w:b/>
                <w:bCs/>
                <w:u w:val="single"/>
              </w:rPr>
              <w:t>Visas likvidusis turtas</w:t>
            </w:r>
          </w:p>
          <w:p w14:paraId="2BA748B9" w14:textId="77777777" w:rsidR="0035753A" w:rsidRPr="00A96493" w:rsidRDefault="00A96493">
            <w:pPr>
              <w:spacing w:after="120" w:line="240" w:lineRule="auto"/>
              <w:jc w:val="both"/>
              <w:rPr>
                <w:rFonts w:ascii="Times New Roman" w:eastAsia="Times New Roman" w:hAnsi="Times New Roman" w:cs="Times New Roman"/>
                <w:bCs/>
              </w:rPr>
            </w:pPr>
            <w:r w:rsidRPr="00A96493">
              <w:rPr>
                <w:rFonts w:ascii="Times New Roman" w:hAnsi="Times New Roman"/>
                <w:bCs/>
              </w:rPr>
              <w:t>Reglamento (ES) 2019/2033 43 straipsnio 1 dalies a punktas ir 43 straipsnio 2 dalis.</w:t>
            </w:r>
          </w:p>
          <w:p w14:paraId="4B9DA3F8" w14:textId="77777777" w:rsidR="0035753A" w:rsidRDefault="00A96493">
            <w:pPr>
              <w:pStyle w:val="CommentText"/>
              <w:rPr>
                <w:rFonts w:ascii="Times New Roman" w:eastAsia="Times New Roman" w:hAnsi="Times New Roman" w:cs="Times New Roman"/>
                <w:b/>
                <w:bCs/>
                <w:sz w:val="22"/>
                <w:szCs w:val="22"/>
                <w:u w:val="single"/>
              </w:rPr>
            </w:pPr>
            <w:r w:rsidRPr="00A96493">
              <w:rPr>
                <w:rFonts w:ascii="Times New Roman" w:hAnsi="Times New Roman"/>
                <w:bCs/>
                <w:sz w:val="22"/>
                <w:szCs w:val="22"/>
              </w:rPr>
              <w:t>Visas likvidusis turtas nurodomas pritaikius atitinkamą vertės sumažinimą.</w:t>
            </w:r>
          </w:p>
        </w:tc>
      </w:tr>
    </w:tbl>
    <w:p w14:paraId="4500DEF9" w14:textId="77777777" w:rsidR="0035753A" w:rsidRDefault="0035753A"/>
    <w:sectPr w:rsidR="0035753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5E0471" w14:textId="77777777" w:rsidR="0035753A" w:rsidRDefault="0035753A">
      <w:pPr>
        <w:pStyle w:val="Footer"/>
      </w:pPr>
    </w:p>
  </w:endnote>
  <w:endnote w:type="continuationSeparator" w:id="0">
    <w:p w14:paraId="16588744" w14:textId="77777777" w:rsidR="0035753A" w:rsidRDefault="0035753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D2158" w14:textId="77777777" w:rsidR="0035753A" w:rsidRDefault="003575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0B62E" w14:textId="77777777" w:rsidR="0035753A" w:rsidRDefault="00A96493">
    <w:pPr>
      <w:pStyle w:val="Footer"/>
      <w:tabs>
        <w:tab w:val="clear" w:pos="4513"/>
        <w:tab w:val="clear" w:pos="9026"/>
        <w:tab w:val="right" w:pos="9071"/>
      </w:tabs>
    </w:pPr>
    <w:r>
      <w:t>LT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673A7" w14:textId="77777777" w:rsidR="0035753A" w:rsidRDefault="003575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6C475" w14:textId="77777777" w:rsidR="0035753A" w:rsidRDefault="0035753A">
      <w:pPr>
        <w:pStyle w:val="Footer"/>
      </w:pPr>
    </w:p>
  </w:footnote>
  <w:footnote w:type="continuationSeparator" w:id="0">
    <w:p w14:paraId="3524D9D2" w14:textId="77777777" w:rsidR="0035753A" w:rsidRDefault="0035753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A1029" w14:textId="77777777" w:rsidR="0035753A" w:rsidRDefault="00A96493">
    <w:pPr>
      <w:pStyle w:val="Header"/>
    </w:pPr>
    <w:r>
      <w:rPr>
        <w:rFonts w:ascii="Times New Roman" w:hAnsi="Times New Roman" w:cs="Times New Roman"/>
        <w:color w:val="000000"/>
        <w:sz w:val="24"/>
      </w:rPr>
      <w:t>Central Bank of I</w:t>
    </w:r>
    <w:r>
      <w:rPr>
        <w:rFonts w:ascii="Times New Roman" w:hAnsi="Times New Roman" w:cs="Times New Roman"/>
        <w:color w:val="000000"/>
        <w:sz w:val="24"/>
      </w:rPr>
      <w:t>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85EF0A" w14:textId="2F038F5A" w:rsidR="0035753A" w:rsidRDefault="00A96493">
    <w:pPr>
      <w:pStyle w:val="Header"/>
    </w:pPr>
    <w:r>
      <w:rPr>
        <w:noProof/>
      </w:rPr>
      <mc:AlternateContent>
        <mc:Choice Requires="wps">
          <w:drawing>
            <wp:anchor distT="0" distB="0" distL="114300" distR="114300" simplePos="0" relativeHeight="251659264" behindDoc="0" locked="0" layoutInCell="0" allowOverlap="1" wp14:anchorId="369F3BAC" wp14:editId="7CC1EC79">
              <wp:simplePos x="0" y="0"/>
              <wp:positionH relativeFrom="page">
                <wp:posOffset>0</wp:posOffset>
              </wp:positionH>
              <wp:positionV relativeFrom="page">
                <wp:posOffset>190500</wp:posOffset>
              </wp:positionV>
              <wp:extent cx="7560310" cy="273050"/>
              <wp:effectExtent l="0" t="0" r="0" b="12700"/>
              <wp:wrapNone/>
              <wp:docPr id="1" name="MSIPCMc4ff420e880dd06c8fa26e7c"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59D348" w14:textId="53AA8BC4" w:rsidR="00A96493" w:rsidRPr="00A96493" w:rsidRDefault="00A96493" w:rsidP="00A96493">
                          <w:pPr>
                            <w:spacing w:after="0"/>
                            <w:rPr>
                              <w:rFonts w:ascii="Calibri" w:hAnsi="Calibri" w:cs="Calibri"/>
                              <w:color w:val="000000"/>
                              <w:sz w:val="24"/>
                            </w:rPr>
                          </w:pPr>
                          <w:r w:rsidRPr="00A96493">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69F3BAC" id="_x0000_t202" coordsize="21600,21600" o:spt="202" path="m,l,21600r21600,l21600,xe">
              <v:stroke joinstyle="miter"/>
              <v:path gradientshapeok="t" o:connecttype="rect"/>
            </v:shapetype>
            <v:shape id="MSIPCMc4ff420e880dd06c8fa26e7c"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LsE0BW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5259D348" w14:textId="53AA8BC4" w:rsidR="00A96493" w:rsidRPr="00A96493" w:rsidRDefault="00A96493" w:rsidP="00A96493">
                    <w:pPr>
                      <w:spacing w:after="0"/>
                      <w:rPr>
                        <w:rFonts w:ascii="Calibri" w:hAnsi="Calibri" w:cs="Calibri"/>
                        <w:color w:val="000000"/>
                        <w:sz w:val="24"/>
                      </w:rPr>
                    </w:pPr>
                    <w:r w:rsidRPr="00A96493">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22EFE" w14:textId="77777777" w:rsidR="0035753A" w:rsidRDefault="00A96493">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defaultTabStop w:val="720"/>
  <w:hyphenationZone w:val="283"/>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5753A"/>
    <w:rsid w:val="0035753A"/>
    <w:rsid w:val="00A964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26B24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lt-LT"/>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787BD88B-09D6-4EBA-A557-D16B24C590A3}">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5170</Words>
  <Characters>29469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2022-01-14T16:47:22Z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018dfd41-891a-477e-b500-6b1ea6a25c4f</vt:lpwstr>
  </property>
  <property fmtid="{D5CDD505-2E9C-101B-9397-08002B2CF9AE}" pid="8" name="MSIP_Label_5c7eb9de-735b-4a68-8fe4-c9c62709b012_ContentBits">
    <vt:lpwstr>1</vt:lpwstr>
  </property>
</Properties>
</file>