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CE307" w14:textId="77777777" w:rsidR="00E20575" w:rsidRPr="008F22A0" w:rsidRDefault="008F22A0">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8F22A0">
        <w:rPr>
          <w:rFonts w:ascii="Times New Roman" w:hAnsi="Times New Roman"/>
          <w:b/>
          <w:sz w:val="24"/>
        </w:rPr>
        <w:t>SV</w:t>
      </w:r>
      <w:r w:rsidRPr="008F22A0">
        <w:br/>
      </w:r>
      <w:r w:rsidRPr="008F22A0">
        <w:rPr>
          <w:rFonts w:ascii="Times New Roman" w:hAnsi="Times New Roman"/>
          <w:b/>
          <w:sz w:val="24"/>
        </w:rPr>
        <w:t>BILAGA II</w:t>
      </w:r>
    </w:p>
    <w:p w14:paraId="57DE69AB" w14:textId="77777777" w:rsidR="00E20575" w:rsidRPr="008F22A0" w:rsidRDefault="008F22A0">
      <w:pPr>
        <w:spacing w:after="240" w:line="240" w:lineRule="auto"/>
        <w:jc w:val="center"/>
        <w:rPr>
          <w:rFonts w:ascii="Times New Roman" w:eastAsia="Times New Roman" w:hAnsi="Times New Roman" w:cs="Times New Roman"/>
          <w:b/>
          <w:sz w:val="24"/>
          <w:szCs w:val="20"/>
          <w:u w:val="single"/>
        </w:rPr>
      </w:pPr>
      <w:r w:rsidRPr="008F22A0">
        <w:rPr>
          <w:rFonts w:ascii="Times New Roman" w:hAnsi="Times New Roman"/>
          <w:b/>
          <w:sz w:val="24"/>
          <w:u w:val="single"/>
        </w:rPr>
        <w:t>BILAGA II</w:t>
      </w:r>
      <w:bookmarkEnd w:id="0"/>
      <w:bookmarkEnd w:id="1"/>
    </w:p>
    <w:p w14:paraId="0A88B511" w14:textId="77777777" w:rsidR="00E20575" w:rsidRPr="008F22A0" w:rsidRDefault="008F22A0">
      <w:pPr>
        <w:spacing w:after="240" w:line="240" w:lineRule="auto"/>
        <w:jc w:val="center"/>
        <w:rPr>
          <w:rFonts w:ascii="Times New Roman" w:eastAsia="Times New Roman" w:hAnsi="Times New Roman" w:cs="Times New Roman"/>
          <w:b/>
          <w:sz w:val="24"/>
          <w:szCs w:val="20"/>
        </w:rPr>
      </w:pPr>
      <w:r w:rsidRPr="008F22A0">
        <w:rPr>
          <w:rFonts w:ascii="Times New Roman" w:hAnsi="Times New Roman"/>
          <w:b/>
          <w:sz w:val="24"/>
        </w:rPr>
        <w:t>RAPPORTERING FÖR ANDRA VÄRDEPAPPERSFÖRETAG ÄN SMÅ OCH ICKE-SAMMANLÄNKADE VÄRDEPAPPERSFÖRETAG</w:t>
      </w:r>
    </w:p>
    <w:p w14:paraId="39970EE3" w14:textId="77777777" w:rsidR="00E20575" w:rsidRPr="008F22A0" w:rsidRDefault="008F22A0">
      <w:pPr>
        <w:spacing w:after="0" w:line="240" w:lineRule="auto"/>
        <w:rPr>
          <w:rFonts w:ascii="Times New Roman" w:eastAsia="Times New Roman" w:hAnsi="Times New Roman" w:cs="Times New Roman"/>
          <w:sz w:val="24"/>
          <w:szCs w:val="24"/>
        </w:rPr>
      </w:pPr>
      <w:r w:rsidRPr="008F22A0">
        <w:rPr>
          <w:rFonts w:ascii="Times New Roman" w:hAnsi="Times New Roman"/>
          <w:sz w:val="24"/>
        </w:rPr>
        <w:t>Innehållsförteckning</w:t>
      </w:r>
    </w:p>
    <w:p w14:paraId="7322FFC4"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DEL I: ALLMÄNNA INSTRUKTIONER</w:t>
      </w:r>
      <w:r w:rsidRPr="008F22A0">
        <w:rPr>
          <w:noProof/>
        </w:rPr>
        <w:tab/>
        <w:t>4</w:t>
      </w:r>
    </w:p>
    <w:p w14:paraId="20BAF239"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1. Struktur och praxis</w:t>
      </w:r>
      <w:r w:rsidRPr="008F22A0">
        <w:rPr>
          <w:noProof/>
        </w:rPr>
        <w:tab/>
        <w:t>4</w:t>
      </w:r>
    </w:p>
    <w:p w14:paraId="3EEB3D76"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1.1 Struktur</w:t>
      </w:r>
      <w:r w:rsidRPr="008F22A0">
        <w:rPr>
          <w:noProof/>
        </w:rPr>
        <w:tab/>
        <w:t>4</w:t>
      </w:r>
    </w:p>
    <w:p w14:paraId="61A1C004"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1.2 Numrering</w:t>
      </w:r>
      <w:r w:rsidRPr="008F22A0">
        <w:rPr>
          <w:noProof/>
        </w:rPr>
        <w:tab/>
        <w:t>4</w:t>
      </w:r>
    </w:p>
    <w:p w14:paraId="155045B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 xml:space="preserve">1.3 </w:t>
      </w:r>
      <w:r w:rsidRPr="008F22A0">
        <w:rPr>
          <w:rFonts w:ascii="Times New Roman" w:hAnsi="Times New Roman"/>
          <w:noProof/>
          <w:u w:val="single"/>
        </w:rPr>
        <w:t>Tecken</w:t>
      </w:r>
      <w:r w:rsidRPr="008F22A0">
        <w:rPr>
          <w:noProof/>
        </w:rPr>
        <w:tab/>
        <w:t>4</w:t>
      </w:r>
    </w:p>
    <w:p w14:paraId="438FB61B"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1.4 Konsolidering under tillsyn</w:t>
      </w:r>
      <w:r w:rsidRPr="008F22A0">
        <w:rPr>
          <w:noProof/>
        </w:rPr>
        <w:tab/>
        <w:t>4</w:t>
      </w:r>
    </w:p>
    <w:p w14:paraId="7B49F2DC"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DEL II: MALLRELATERADE INSTRUKTIONER</w:t>
      </w:r>
      <w:r w:rsidRPr="008F22A0">
        <w:rPr>
          <w:noProof/>
        </w:rPr>
        <w:tab/>
        <w:t>5</w:t>
      </w:r>
    </w:p>
    <w:p w14:paraId="5EF6E5F2"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b/>
          <w:noProof/>
        </w:rPr>
        <w:t>1. KAPITALBAS: NIVÅ, SAMMANSÄTTNING, KRAV OCH BERÄKNING</w:t>
      </w:r>
      <w:r w:rsidRPr="008F22A0">
        <w:rPr>
          <w:noProof/>
        </w:rPr>
        <w:tab/>
        <w:t>5</w:t>
      </w:r>
    </w:p>
    <w:p w14:paraId="40E050D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1.1 Allmänna kommentarer</w:t>
      </w:r>
      <w:r w:rsidRPr="008F22A0">
        <w:rPr>
          <w:noProof/>
        </w:rPr>
        <w:tab/>
        <w:t>5</w:t>
      </w:r>
    </w:p>
    <w:p w14:paraId="788A9029"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1.2. I 01.00 – KAPITALBASENS SAMMANSÄTTNING (I 1)</w:t>
      </w:r>
      <w:r w:rsidRPr="008F22A0">
        <w:rPr>
          <w:noProof/>
        </w:rPr>
        <w:tab/>
        <w:t>5</w:t>
      </w:r>
    </w:p>
    <w:p w14:paraId="76C97458"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1.2.1</w:t>
      </w:r>
      <w:r w:rsidRPr="008F22A0">
        <w:rPr>
          <w:rFonts w:ascii="Times New Roman" w:hAnsi="Times New Roman"/>
          <w:noProof/>
        </w:rPr>
        <w:tab/>
      </w:r>
      <w:r w:rsidRPr="008F22A0">
        <w:rPr>
          <w:rFonts w:ascii="Times New Roman" w:hAnsi="Times New Roman"/>
          <w:noProof/>
          <w:u w:val="single"/>
        </w:rPr>
        <w:t xml:space="preserve">Instruktioner för </w:t>
      </w:r>
      <w:r w:rsidRPr="008F22A0">
        <w:rPr>
          <w:rFonts w:ascii="Times New Roman" w:hAnsi="Times New Roman"/>
          <w:noProof/>
          <w:u w:val="single"/>
        </w:rPr>
        <w:t>specifika positioner</w:t>
      </w:r>
      <w:r w:rsidRPr="008F22A0">
        <w:rPr>
          <w:noProof/>
        </w:rPr>
        <w:tab/>
        <w:t>5</w:t>
      </w:r>
    </w:p>
    <w:p w14:paraId="29815320"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1.3. I 02.01 – KAPITALBASKRAV (I 2.1)</w:t>
      </w:r>
      <w:r w:rsidRPr="008F22A0">
        <w:rPr>
          <w:noProof/>
        </w:rPr>
        <w:tab/>
        <w:t>12</w:t>
      </w:r>
    </w:p>
    <w:p w14:paraId="615EAF8A"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1.3.1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12</w:t>
      </w:r>
    </w:p>
    <w:p w14:paraId="088134D3"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1.4. I 02.02 – KAPITALRELATIONER (I 2.2)</w:t>
      </w:r>
      <w:r w:rsidRPr="008F22A0">
        <w:rPr>
          <w:noProof/>
        </w:rPr>
        <w:tab/>
        <w:t>13</w:t>
      </w:r>
    </w:p>
    <w:p w14:paraId="5FD44783"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1.4.1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13</w:t>
      </w:r>
    </w:p>
    <w:p w14:paraId="6DC843A7"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1.5. I 03.00 – BERÄKNING AV KRAV PÅ FASTA OMKOSTNADE</w:t>
      </w:r>
      <w:r w:rsidRPr="008F22A0">
        <w:rPr>
          <w:rFonts w:ascii="Times New Roman" w:hAnsi="Times New Roman"/>
          <w:noProof/>
          <w:u w:val="single"/>
        </w:rPr>
        <w:t>R (I 3)</w:t>
      </w:r>
      <w:r w:rsidRPr="008F22A0">
        <w:rPr>
          <w:noProof/>
        </w:rPr>
        <w:tab/>
        <w:t>14</w:t>
      </w:r>
    </w:p>
    <w:p w14:paraId="36D8606B"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1.5.1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14</w:t>
      </w:r>
    </w:p>
    <w:p w14:paraId="25F7C15D"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1.6. I 04.00 – BERÄKNING AV TOTALA K-FAKTORKRAV (I 4)</w:t>
      </w:r>
      <w:r w:rsidRPr="008F22A0">
        <w:rPr>
          <w:noProof/>
        </w:rPr>
        <w:tab/>
        <w:t>17</w:t>
      </w:r>
    </w:p>
    <w:p w14:paraId="2CC1D41E"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1.6.1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17</w:t>
      </w:r>
    </w:p>
    <w:p w14:paraId="22F359BE"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b/>
          <w:noProof/>
        </w:rPr>
        <w:t>2. SMÅ OCH ICKE-SAMMANLÄNKADE VÄRDEPAPPERSFÖRETAG</w:t>
      </w:r>
      <w:r w:rsidRPr="008F22A0">
        <w:rPr>
          <w:noProof/>
        </w:rPr>
        <w:tab/>
        <w:t>18</w:t>
      </w:r>
    </w:p>
    <w:p w14:paraId="6CC69581"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2.1. I 05.00 – VERKSAMHETSNIVÅ – ÖVERSY</w:t>
      </w:r>
      <w:r w:rsidRPr="008F22A0">
        <w:rPr>
          <w:rFonts w:ascii="Times New Roman" w:hAnsi="Times New Roman"/>
          <w:noProof/>
          <w:u w:val="single"/>
        </w:rPr>
        <w:t>N AV TRÖSKELVÄRDEN (I 5)</w:t>
      </w:r>
      <w:r w:rsidRPr="008F22A0">
        <w:rPr>
          <w:noProof/>
        </w:rPr>
        <w:tab/>
        <w:t>18</w:t>
      </w:r>
    </w:p>
    <w:p w14:paraId="19625AA5"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2.1.1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18</w:t>
      </w:r>
    </w:p>
    <w:p w14:paraId="6D3C2B41"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b/>
          <w:noProof/>
        </w:rPr>
        <w:t>3. K-FAKTORKRAV – YTTERLIGARE UPPGIFTER</w:t>
      </w:r>
      <w:r w:rsidRPr="008F22A0">
        <w:rPr>
          <w:noProof/>
        </w:rPr>
        <w:tab/>
        <w:t>21</w:t>
      </w:r>
    </w:p>
    <w:p w14:paraId="3854491C"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3.2. I 06.01 – FÖRVALTADE TILLGÅNGAR – YTTERLIGARE UPPGIFTER (I 6.1)</w:t>
      </w:r>
      <w:r w:rsidRPr="008F22A0">
        <w:rPr>
          <w:noProof/>
        </w:rPr>
        <w:tab/>
        <w:t>22</w:t>
      </w:r>
    </w:p>
    <w:p w14:paraId="1485919D"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3.2.1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22</w:t>
      </w:r>
    </w:p>
    <w:p w14:paraId="632FF0B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3.3. I 06.02 – FÖ</w:t>
      </w:r>
      <w:r w:rsidRPr="008F22A0">
        <w:rPr>
          <w:rFonts w:ascii="Times New Roman" w:hAnsi="Times New Roman"/>
          <w:noProof/>
          <w:u w:val="single"/>
        </w:rPr>
        <w:t>RVALTADE TILLGÅNGAR PER MÅNAD (I 6.2)</w:t>
      </w:r>
      <w:r w:rsidRPr="008F22A0">
        <w:rPr>
          <w:noProof/>
        </w:rPr>
        <w:tab/>
        <w:t>22</w:t>
      </w:r>
    </w:p>
    <w:p w14:paraId="4132EE5B"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3.3.1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22</w:t>
      </w:r>
    </w:p>
    <w:p w14:paraId="59EEEA48"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3.4. I 06.03 – INNEHAV AV KUNDMEDEL – YTTERLIGARE UPPGIFTER (I 6.3)</w:t>
      </w:r>
      <w:r w:rsidRPr="008F22A0">
        <w:rPr>
          <w:noProof/>
        </w:rPr>
        <w:tab/>
        <w:t>23</w:t>
      </w:r>
    </w:p>
    <w:p w14:paraId="3D9EA219"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3.4.1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23</w:t>
      </w:r>
    </w:p>
    <w:p w14:paraId="09BD800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lastRenderedPageBreak/>
        <w:t>3.5. I 06.04 – GENOMSNITTLIGT VÄRDE AV DET TOTAL</w:t>
      </w:r>
      <w:r w:rsidRPr="008F22A0">
        <w:rPr>
          <w:rFonts w:ascii="Times New Roman" w:hAnsi="Times New Roman"/>
          <w:noProof/>
          <w:u w:val="single"/>
        </w:rPr>
        <w:t>A INNEHAVET AV KUNDMEDEL PER DAG (I 6.4)</w:t>
      </w:r>
      <w:r w:rsidRPr="008F22A0">
        <w:rPr>
          <w:noProof/>
        </w:rPr>
        <w:tab/>
        <w:t>24</w:t>
      </w:r>
    </w:p>
    <w:p w14:paraId="45E5A2C6"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3.5.1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24</w:t>
      </w:r>
    </w:p>
    <w:p w14:paraId="15A2670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3.6. I 06.05 – TILLGÅNGAR UNDER FÖRVARING OCH ADMINISTRATION – YTTERLIGARE UPPGIFTER (I 6.5)</w:t>
      </w:r>
      <w:r w:rsidRPr="008F22A0">
        <w:rPr>
          <w:noProof/>
        </w:rPr>
        <w:tab/>
        <w:t>25</w:t>
      </w:r>
    </w:p>
    <w:p w14:paraId="1257ADB2"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3.6.1</w:t>
      </w:r>
      <w:r w:rsidRPr="008F22A0">
        <w:rPr>
          <w:rFonts w:ascii="Times New Roman" w:hAnsi="Times New Roman"/>
          <w:noProof/>
        </w:rPr>
        <w:tab/>
        <w:t>Instruktioner för specifika positioner</w:t>
      </w:r>
      <w:r w:rsidRPr="008F22A0">
        <w:rPr>
          <w:noProof/>
        </w:rPr>
        <w:tab/>
        <w:t>25</w:t>
      </w:r>
    </w:p>
    <w:p w14:paraId="48AF4EF2"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3.7. I 06.06 – GENOM</w:t>
      </w:r>
      <w:r w:rsidRPr="008F22A0">
        <w:rPr>
          <w:rFonts w:ascii="Times New Roman" w:hAnsi="Times New Roman"/>
          <w:noProof/>
          <w:u w:val="single"/>
        </w:rPr>
        <w:t>SNITTLIGT VÄRDE AV DE TOTALA TILLGÅNGARNA UNDER FÖRVARING OCH ADMINISTRATION PER DAG (I 6.6)</w:t>
      </w:r>
      <w:r w:rsidRPr="008F22A0">
        <w:rPr>
          <w:noProof/>
        </w:rPr>
        <w:tab/>
        <w:t>26</w:t>
      </w:r>
    </w:p>
    <w:p w14:paraId="0874661F"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3.7.1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26</w:t>
      </w:r>
    </w:p>
    <w:p w14:paraId="747E5C52"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3.8. I 06.07 – HANTERING AV KUNDORDER – YTTERLIGARE UPPGIFTER (I 6.7)</w:t>
      </w:r>
      <w:r w:rsidRPr="008F22A0">
        <w:rPr>
          <w:noProof/>
        </w:rPr>
        <w:tab/>
        <w:t>27</w:t>
      </w:r>
    </w:p>
    <w:p w14:paraId="2EA8A44F"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3.8.1</w:t>
      </w:r>
      <w:r w:rsidRPr="008F22A0">
        <w:rPr>
          <w:rFonts w:ascii="Times New Roman" w:hAnsi="Times New Roman"/>
          <w:noProof/>
        </w:rPr>
        <w:tab/>
      </w:r>
      <w:r w:rsidRPr="008F22A0">
        <w:rPr>
          <w:rFonts w:ascii="Times New Roman" w:hAnsi="Times New Roman"/>
          <w:noProof/>
          <w:u w:val="single"/>
        </w:rPr>
        <w:t xml:space="preserve">Instruktioner för </w:t>
      </w:r>
      <w:r w:rsidRPr="008F22A0">
        <w:rPr>
          <w:rFonts w:ascii="Times New Roman" w:hAnsi="Times New Roman"/>
          <w:noProof/>
          <w:u w:val="single"/>
        </w:rPr>
        <w:t>specifika positioner</w:t>
      </w:r>
      <w:r w:rsidRPr="008F22A0">
        <w:rPr>
          <w:noProof/>
        </w:rPr>
        <w:tab/>
        <w:t>27</w:t>
      </w:r>
    </w:p>
    <w:p w14:paraId="16B4418B"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3.9. I 06.08 – GENOMSNITTLIGT VÄRDE AV DEN TOTALA HANTERINGEN AV KUNDORDER PER DAG (I 6.8)</w:t>
      </w:r>
      <w:r w:rsidRPr="008F22A0">
        <w:rPr>
          <w:noProof/>
        </w:rPr>
        <w:tab/>
        <w:t>28</w:t>
      </w:r>
    </w:p>
    <w:p w14:paraId="1C4338FB"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3.9.1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28</w:t>
      </w:r>
    </w:p>
    <w:p w14:paraId="59EDB399"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3.10. I 06.09 – K-NETTOPOSITIONSRISKKRAV – YTTERLIGARE UPPGIFTER (I 6.9)</w:t>
      </w:r>
      <w:r w:rsidRPr="008F22A0">
        <w:rPr>
          <w:noProof/>
        </w:rPr>
        <w:tab/>
        <w:t>29</w:t>
      </w:r>
    </w:p>
    <w:p w14:paraId="0F0FDA30"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3.10.1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29</w:t>
      </w:r>
    </w:p>
    <w:p w14:paraId="6E322299"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3.11. I 06.10 – ANGIVEN CLEARINGMARGINAL – YTTERLIGARE UPPGIFTER (I 6.10)</w:t>
      </w:r>
      <w:r w:rsidRPr="008F22A0">
        <w:rPr>
          <w:noProof/>
        </w:rPr>
        <w:tab/>
        <w:t>30</w:t>
      </w:r>
    </w:p>
    <w:p w14:paraId="14664C82"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 xml:space="preserve">3.11.1. </w:t>
      </w:r>
      <w:r w:rsidRPr="008F22A0">
        <w:rPr>
          <w:rFonts w:ascii="Times New Roman" w:hAnsi="Times New Roman"/>
          <w:noProof/>
          <w:u w:val="single"/>
        </w:rPr>
        <w:t>Instruktioner för specifika positioner</w:t>
      </w:r>
      <w:r w:rsidRPr="008F22A0">
        <w:rPr>
          <w:noProof/>
        </w:rPr>
        <w:tab/>
        <w:t>30</w:t>
      </w:r>
    </w:p>
    <w:p w14:paraId="3391D3B2"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3.12. I 06.11 – MOTPARTSRISK (TCD) – YTTERLIGARE UPPGIFTER OM TCD (I 6.11)</w:t>
      </w:r>
      <w:r w:rsidRPr="008F22A0">
        <w:rPr>
          <w:noProof/>
        </w:rPr>
        <w:tab/>
        <w:t>31</w:t>
      </w:r>
    </w:p>
    <w:p w14:paraId="7C731D8A"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3.12.1</w:t>
      </w:r>
      <w:r w:rsidRPr="008F22A0">
        <w:rPr>
          <w:rFonts w:ascii="Times New Roman" w:hAnsi="Times New Roman"/>
          <w:noProof/>
        </w:rPr>
        <w:tab/>
      </w:r>
      <w:r w:rsidRPr="008F22A0">
        <w:rPr>
          <w:rFonts w:ascii="Times New Roman" w:hAnsi="Times New Roman"/>
          <w:noProof/>
          <w:u w:val="single"/>
        </w:rPr>
        <w:t>In</w:t>
      </w:r>
      <w:r w:rsidRPr="008F22A0">
        <w:rPr>
          <w:rFonts w:ascii="Times New Roman" w:hAnsi="Times New Roman"/>
          <w:noProof/>
          <w:u w:val="single"/>
        </w:rPr>
        <w:t>struktioner för specifika positioner</w:t>
      </w:r>
      <w:r w:rsidRPr="008F22A0">
        <w:rPr>
          <w:noProof/>
        </w:rPr>
        <w:tab/>
        <w:t>31</w:t>
      </w:r>
    </w:p>
    <w:p w14:paraId="67413B14"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3.13. I 06.12 – DAGLIG HANDELSAKTIVITET – YTTERLIGARE UPPGIFTER (I 6.12)</w:t>
      </w:r>
      <w:r w:rsidRPr="008F22A0">
        <w:rPr>
          <w:noProof/>
        </w:rPr>
        <w:tab/>
        <w:t>33</w:t>
      </w:r>
    </w:p>
    <w:p w14:paraId="4C846986" w14:textId="77777777" w:rsidR="00E20575" w:rsidRPr="008F22A0" w:rsidRDefault="008F22A0">
      <w:pPr>
        <w:pStyle w:val="TOC2"/>
        <w:tabs>
          <w:tab w:val="left" w:pos="1320"/>
          <w:tab w:val="right" w:leader="dot" w:pos="9016"/>
        </w:tabs>
        <w:rPr>
          <w:rFonts w:eastAsiaTheme="minorEastAsia"/>
          <w:noProof/>
          <w:lang w:eastAsia="en-US" w:bidi="ar-SA"/>
        </w:rPr>
      </w:pPr>
      <w:r w:rsidRPr="008F22A0">
        <w:rPr>
          <w:rFonts w:ascii="Times New Roman" w:hAnsi="Times New Roman"/>
          <w:noProof/>
        </w:rPr>
        <w:t>3.13.1</w:t>
      </w:r>
      <w:r w:rsidRPr="008F22A0">
        <w:rPr>
          <w:rFonts w:ascii="Times New Roman" w:hAnsi="Times New Roman"/>
          <w:noProof/>
        </w:rPr>
        <w:tab/>
        <w:t>Instruktioner för specifika positioner</w:t>
      </w:r>
      <w:r w:rsidRPr="008F22A0">
        <w:rPr>
          <w:noProof/>
        </w:rPr>
        <w:tab/>
        <w:t>33</w:t>
      </w:r>
    </w:p>
    <w:p w14:paraId="0ED10BCE"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3.14. I 06.13 – GENOMSNITTLIGT VÄRDE AV DEN TOTALA DAGLIGA HANDELSAKTIVITETEN (I 6.13)</w:t>
      </w:r>
      <w:r w:rsidRPr="008F22A0">
        <w:rPr>
          <w:noProof/>
        </w:rPr>
        <w:tab/>
        <w:t>33</w:t>
      </w:r>
    </w:p>
    <w:p w14:paraId="04BE9450"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3</w:t>
      </w:r>
      <w:r w:rsidRPr="008F22A0">
        <w:rPr>
          <w:rFonts w:ascii="Times New Roman" w:hAnsi="Times New Roman"/>
          <w:noProof/>
        </w:rPr>
        <w:t>.14.1. Instruktioner för specifika positioner</w:t>
      </w:r>
      <w:r w:rsidRPr="008F22A0">
        <w:rPr>
          <w:noProof/>
        </w:rPr>
        <w:tab/>
        <w:t>33</w:t>
      </w:r>
    </w:p>
    <w:p w14:paraId="1E4C7690"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b/>
          <w:noProof/>
        </w:rPr>
        <w:t>4. Redovisning av koncentrationsrisker</w:t>
      </w:r>
      <w:r w:rsidRPr="008F22A0">
        <w:rPr>
          <w:noProof/>
        </w:rPr>
        <w:tab/>
        <w:t>34</w:t>
      </w:r>
    </w:p>
    <w:p w14:paraId="766D404F"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4.1. Allmänna kommentarer</w:t>
      </w:r>
      <w:r w:rsidRPr="008F22A0">
        <w:rPr>
          <w:noProof/>
        </w:rPr>
        <w:tab/>
        <w:t>34</w:t>
      </w:r>
    </w:p>
    <w:p w14:paraId="58491A46"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4.2. I 07.00 – YTTERLIGARE UPPGIFTER OM K-CON (I7)</w:t>
      </w:r>
      <w:r w:rsidRPr="008F22A0">
        <w:rPr>
          <w:noProof/>
        </w:rPr>
        <w:tab/>
        <w:t>35</w:t>
      </w:r>
    </w:p>
    <w:p w14:paraId="0781C7C6"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4.2.1</w:t>
      </w:r>
      <w:r w:rsidRPr="008F22A0">
        <w:rPr>
          <w:rFonts w:ascii="Times New Roman" w:hAnsi="Times New Roman"/>
          <w:noProof/>
        </w:rPr>
        <w:tab/>
        <w:t>Instruktioner för specifika positioner</w:t>
      </w:r>
      <w:r w:rsidRPr="008F22A0">
        <w:rPr>
          <w:noProof/>
        </w:rPr>
        <w:tab/>
        <w:t>35</w:t>
      </w:r>
    </w:p>
    <w:p w14:paraId="18D9B054"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4.3. I 08.01 – KONCENTRATIONSRISKN</w:t>
      </w:r>
      <w:r w:rsidRPr="008F22A0">
        <w:rPr>
          <w:rFonts w:ascii="Times New Roman" w:hAnsi="Times New Roman"/>
          <w:noProof/>
        </w:rPr>
        <w:t>IVÅ – INNEHAV AV KUNDMEDEL (I 8.1)</w:t>
      </w:r>
      <w:r w:rsidRPr="008F22A0">
        <w:rPr>
          <w:noProof/>
        </w:rPr>
        <w:tab/>
        <w:t>36</w:t>
      </w:r>
    </w:p>
    <w:p w14:paraId="724E3F3C"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4.3.1</w:t>
      </w:r>
      <w:r w:rsidRPr="008F22A0">
        <w:rPr>
          <w:rFonts w:ascii="Times New Roman" w:hAnsi="Times New Roman"/>
          <w:noProof/>
        </w:rPr>
        <w:tab/>
        <w:t>Instruktioner för särskilda kolumner</w:t>
      </w:r>
      <w:r w:rsidRPr="008F22A0">
        <w:rPr>
          <w:noProof/>
        </w:rPr>
        <w:tab/>
        <w:t>36</w:t>
      </w:r>
    </w:p>
    <w:p w14:paraId="3EDCCDE5"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4.4. I 08.02 – KONCENTRATIONSRISKNIVÅ – TILLGÅNGAR UNDER FÖRVARING OCH ADMINISTRATION (I 8.2)</w:t>
      </w:r>
      <w:r w:rsidRPr="008F22A0">
        <w:rPr>
          <w:noProof/>
        </w:rPr>
        <w:tab/>
        <w:t>37</w:t>
      </w:r>
    </w:p>
    <w:p w14:paraId="37D38FA7"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4.4.1</w:t>
      </w:r>
      <w:r w:rsidRPr="008F22A0">
        <w:rPr>
          <w:rFonts w:ascii="Times New Roman" w:hAnsi="Times New Roman"/>
          <w:noProof/>
        </w:rPr>
        <w:tab/>
        <w:t>Instruktioner för särskilda kolumner</w:t>
      </w:r>
      <w:r w:rsidRPr="008F22A0">
        <w:rPr>
          <w:noProof/>
        </w:rPr>
        <w:tab/>
        <w:t>37</w:t>
      </w:r>
    </w:p>
    <w:p w14:paraId="4A3ABBC1"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4.5. I 08.03 – KONCENTRATIONS</w:t>
      </w:r>
      <w:r w:rsidRPr="008F22A0">
        <w:rPr>
          <w:rFonts w:ascii="Times New Roman" w:hAnsi="Times New Roman"/>
          <w:noProof/>
        </w:rPr>
        <w:t>RISKNIVÅ – TOTALA EGNA BANKMEDEL (I 8.3)</w:t>
      </w:r>
      <w:r w:rsidRPr="008F22A0">
        <w:rPr>
          <w:noProof/>
        </w:rPr>
        <w:tab/>
        <w:t>38</w:t>
      </w:r>
    </w:p>
    <w:p w14:paraId="4A41BCE5"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4.5.1</w:t>
      </w:r>
      <w:r w:rsidRPr="008F22A0">
        <w:rPr>
          <w:rFonts w:ascii="Times New Roman" w:hAnsi="Times New Roman"/>
          <w:noProof/>
        </w:rPr>
        <w:tab/>
        <w:t>Instruktioner för särskilda kolumner</w:t>
      </w:r>
      <w:r w:rsidRPr="008F22A0">
        <w:rPr>
          <w:noProof/>
        </w:rPr>
        <w:tab/>
        <w:t>38</w:t>
      </w:r>
    </w:p>
    <w:p w14:paraId="56F8789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4.6. I 08.04 – KONCENTRATIONSRISKNIVÅ – TOTALA INTÄKTER (I 8.4)</w:t>
      </w:r>
      <w:r w:rsidRPr="008F22A0">
        <w:rPr>
          <w:noProof/>
        </w:rPr>
        <w:tab/>
        <w:t>39</w:t>
      </w:r>
    </w:p>
    <w:p w14:paraId="15379CDD"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lastRenderedPageBreak/>
        <w:t>4.6.1</w:t>
      </w:r>
      <w:r w:rsidRPr="008F22A0">
        <w:rPr>
          <w:rFonts w:ascii="Times New Roman" w:hAnsi="Times New Roman"/>
          <w:noProof/>
        </w:rPr>
        <w:tab/>
        <w:t>Instruktioner för särskilda kolumner</w:t>
      </w:r>
      <w:r w:rsidRPr="008F22A0">
        <w:rPr>
          <w:noProof/>
        </w:rPr>
        <w:tab/>
        <w:t>39</w:t>
      </w:r>
    </w:p>
    <w:p w14:paraId="118999DD"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 xml:space="preserve">4.7. I 08.05 – EXPONERINGAR I </w:t>
      </w:r>
      <w:r w:rsidRPr="008F22A0">
        <w:rPr>
          <w:rFonts w:ascii="Times New Roman" w:hAnsi="Times New Roman"/>
          <w:noProof/>
        </w:rPr>
        <w:t>HANDELSLAGRET (I 8.5)</w:t>
      </w:r>
      <w:r w:rsidRPr="008F22A0">
        <w:rPr>
          <w:noProof/>
        </w:rPr>
        <w:tab/>
        <w:t>40</w:t>
      </w:r>
    </w:p>
    <w:p w14:paraId="66E06303"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4.7.1</w:t>
      </w:r>
      <w:r w:rsidRPr="008F22A0">
        <w:rPr>
          <w:rFonts w:ascii="Times New Roman" w:hAnsi="Times New Roman"/>
          <w:noProof/>
        </w:rPr>
        <w:tab/>
        <w:t>Instruktioner för särskilda kolumner</w:t>
      </w:r>
      <w:r w:rsidRPr="008F22A0">
        <w:rPr>
          <w:noProof/>
        </w:rPr>
        <w:tab/>
        <w:t>40</w:t>
      </w:r>
    </w:p>
    <w:p w14:paraId="49435EFA"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rPr>
        <w:t>4.8. I 08.06 – POSTER UTANFÖR HANDELSLAGRET OCH POSTER UTANFÖR BALANSRÄKNINGEN (I 8.6)</w:t>
      </w:r>
      <w:r w:rsidRPr="008F22A0">
        <w:rPr>
          <w:noProof/>
        </w:rPr>
        <w:tab/>
        <w:t>41</w:t>
      </w:r>
    </w:p>
    <w:p w14:paraId="389F8472"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4.8.1</w:t>
      </w:r>
      <w:r w:rsidRPr="008F22A0">
        <w:rPr>
          <w:rFonts w:ascii="Times New Roman" w:hAnsi="Times New Roman"/>
          <w:noProof/>
        </w:rPr>
        <w:tab/>
        <w:t>Instruktioner för särskilda kolumner</w:t>
      </w:r>
      <w:r w:rsidRPr="008F22A0">
        <w:rPr>
          <w:noProof/>
        </w:rPr>
        <w:tab/>
        <w:t>41</w:t>
      </w:r>
    </w:p>
    <w:p w14:paraId="5AA8EB45"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b/>
          <w:noProof/>
        </w:rPr>
        <w:t>5. LIKVIDITETSKRAV</w:t>
      </w:r>
      <w:r w:rsidRPr="008F22A0">
        <w:rPr>
          <w:noProof/>
        </w:rPr>
        <w:tab/>
        <w:t>41</w:t>
      </w:r>
    </w:p>
    <w:p w14:paraId="1D569873" w14:textId="77777777" w:rsidR="00E20575" w:rsidRPr="008F22A0" w:rsidRDefault="008F22A0">
      <w:pPr>
        <w:pStyle w:val="TOC2"/>
        <w:tabs>
          <w:tab w:val="right" w:leader="dot" w:pos="9016"/>
        </w:tabs>
        <w:rPr>
          <w:rFonts w:eastAsiaTheme="minorEastAsia"/>
          <w:noProof/>
          <w:lang w:eastAsia="en-US" w:bidi="ar-SA"/>
        </w:rPr>
      </w:pPr>
      <w:r w:rsidRPr="008F22A0">
        <w:rPr>
          <w:rFonts w:ascii="Times New Roman" w:hAnsi="Times New Roman"/>
          <w:noProof/>
          <w:u w:val="single"/>
        </w:rPr>
        <w:t xml:space="preserve">5.1 I 09.00 – </w:t>
      </w:r>
      <w:r w:rsidRPr="008F22A0">
        <w:rPr>
          <w:rFonts w:ascii="Times New Roman" w:hAnsi="Times New Roman"/>
          <w:noProof/>
          <w:u w:val="single"/>
        </w:rPr>
        <w:t>LIKVIDITETSKRAV (I 9)</w:t>
      </w:r>
      <w:r w:rsidRPr="008F22A0">
        <w:rPr>
          <w:noProof/>
        </w:rPr>
        <w:tab/>
        <w:t>41</w:t>
      </w:r>
    </w:p>
    <w:p w14:paraId="1E233A36" w14:textId="77777777" w:rsidR="00E20575" w:rsidRPr="008F22A0" w:rsidRDefault="008F22A0">
      <w:pPr>
        <w:pStyle w:val="TOC2"/>
        <w:tabs>
          <w:tab w:val="left" w:pos="1100"/>
          <w:tab w:val="right" w:leader="dot" w:pos="9016"/>
        </w:tabs>
        <w:rPr>
          <w:rFonts w:eastAsiaTheme="minorEastAsia"/>
          <w:noProof/>
          <w:lang w:eastAsia="en-US" w:bidi="ar-SA"/>
        </w:rPr>
      </w:pPr>
      <w:r w:rsidRPr="008F22A0">
        <w:rPr>
          <w:rFonts w:ascii="Times New Roman" w:hAnsi="Times New Roman"/>
          <w:noProof/>
        </w:rPr>
        <w:t>5.1.1</w:t>
      </w:r>
      <w:r w:rsidRPr="008F22A0">
        <w:rPr>
          <w:rFonts w:ascii="Times New Roman" w:hAnsi="Times New Roman"/>
          <w:noProof/>
        </w:rPr>
        <w:tab/>
      </w:r>
      <w:r w:rsidRPr="008F22A0">
        <w:rPr>
          <w:rFonts w:ascii="Times New Roman" w:hAnsi="Times New Roman"/>
          <w:noProof/>
          <w:u w:val="single"/>
        </w:rPr>
        <w:t>Instruktioner för specifika positioner</w:t>
      </w:r>
      <w:r w:rsidRPr="008F22A0">
        <w:rPr>
          <w:noProof/>
        </w:rPr>
        <w:tab/>
        <w:t>41</w:t>
      </w:r>
      <w:bookmarkStart w:id="6" w:name="_Toc360188322"/>
      <w:bookmarkStart w:id="7" w:name="_Toc473560870"/>
      <w:bookmarkStart w:id="8" w:name="_Toc7084155"/>
    </w:p>
    <w:p w14:paraId="487CF991" w14:textId="77777777" w:rsidR="00E20575" w:rsidRPr="008F22A0" w:rsidRDefault="00E20575"/>
    <w:p w14:paraId="7D7F023E" w14:textId="77777777" w:rsidR="00E20575" w:rsidRPr="008F22A0" w:rsidRDefault="00E20575"/>
    <w:p w14:paraId="0C860B2C" w14:textId="77777777" w:rsidR="00E20575" w:rsidRPr="008F22A0" w:rsidRDefault="00E20575"/>
    <w:p w14:paraId="0D675A33" w14:textId="77777777" w:rsidR="00E20575" w:rsidRPr="008F22A0" w:rsidRDefault="008F22A0">
      <w:pPr>
        <w:pStyle w:val="Heading2"/>
        <w:rPr>
          <w:rFonts w:ascii="Times New Roman" w:hAnsi="Times New Roman"/>
        </w:rPr>
      </w:pPr>
      <w:bookmarkStart w:id="9" w:name="_Toc35795004"/>
      <w:bookmarkStart w:id="10" w:name="_Toc76556774"/>
      <w:bookmarkStart w:id="11" w:name="_Toc88220422"/>
      <w:r w:rsidRPr="008F22A0">
        <w:rPr>
          <w:rFonts w:ascii="Times New Roman" w:hAnsi="Times New Roman"/>
        </w:rPr>
        <w:t>DEL I: ALLMÄNNA INSTRUKTIONER</w:t>
      </w:r>
      <w:bookmarkEnd w:id="9"/>
      <w:bookmarkEnd w:id="10"/>
      <w:bookmarkEnd w:id="11"/>
    </w:p>
    <w:p w14:paraId="50FC0761" w14:textId="77777777" w:rsidR="00E20575" w:rsidRPr="008F22A0" w:rsidRDefault="008F22A0">
      <w:pPr>
        <w:keepNext/>
        <w:spacing w:before="240" w:after="240" w:line="240" w:lineRule="auto"/>
        <w:jc w:val="both"/>
        <w:outlineLvl w:val="1"/>
        <w:rPr>
          <w:rFonts w:ascii="Times New Roman" w:eastAsia="Arial" w:hAnsi="Times New Roman" w:cs="Times New Roman"/>
          <w:sz w:val="24"/>
          <w:szCs w:val="24"/>
        </w:rPr>
      </w:pPr>
      <w:bookmarkStart w:id="12" w:name="_Toc35795005"/>
      <w:bookmarkStart w:id="13" w:name="_Toc76556775"/>
      <w:bookmarkStart w:id="14" w:name="_Toc88220423"/>
      <w:r w:rsidRPr="008F22A0">
        <w:rPr>
          <w:rFonts w:ascii="Times New Roman" w:hAnsi="Times New Roman"/>
          <w:sz w:val="24"/>
        </w:rPr>
        <w:t>1. Struktur och praxis</w:t>
      </w:r>
      <w:bookmarkEnd w:id="12"/>
      <w:bookmarkEnd w:id="13"/>
      <w:bookmarkEnd w:id="14"/>
    </w:p>
    <w:p w14:paraId="6FB3FE8F" w14:textId="77777777" w:rsidR="00E20575" w:rsidRPr="008F22A0" w:rsidRDefault="008F22A0">
      <w:pPr>
        <w:keepNext/>
        <w:spacing w:before="240" w:after="240" w:line="240" w:lineRule="auto"/>
        <w:jc w:val="both"/>
        <w:outlineLvl w:val="1"/>
        <w:rPr>
          <w:rFonts w:ascii="Times New Roman" w:eastAsia="Arial" w:hAnsi="Times New Roman" w:cs="Times New Roman"/>
          <w:sz w:val="24"/>
          <w:szCs w:val="24"/>
          <w:u w:val="single"/>
        </w:rPr>
      </w:pPr>
      <w:bookmarkStart w:id="15" w:name="_Toc35795006"/>
      <w:bookmarkStart w:id="16" w:name="_Toc76556776"/>
      <w:bookmarkStart w:id="17" w:name="_Toc88220424"/>
      <w:r w:rsidRPr="008F22A0">
        <w:rPr>
          <w:rFonts w:ascii="Times New Roman" w:hAnsi="Times New Roman"/>
          <w:sz w:val="24"/>
          <w:u w:val="single"/>
        </w:rPr>
        <w:t>1.1 Struktur</w:t>
      </w:r>
      <w:bookmarkEnd w:id="15"/>
      <w:bookmarkEnd w:id="16"/>
      <w:bookmarkEnd w:id="17"/>
    </w:p>
    <w:p w14:paraId="6739AA7C" w14:textId="77777777" w:rsidR="00E20575" w:rsidRPr="008F22A0" w:rsidRDefault="008F22A0">
      <w:pPr>
        <w:spacing w:line="256" w:lineRule="auto"/>
        <w:ind w:left="284" w:hanging="284"/>
        <w:jc w:val="both"/>
        <w:rPr>
          <w:rFonts w:ascii="Times New Roman" w:hAnsi="Times New Roman" w:cs="Times New Roman"/>
        </w:rPr>
      </w:pPr>
      <w:r w:rsidRPr="008F22A0">
        <w:rPr>
          <w:rFonts w:ascii="Times New Roman" w:hAnsi="Times New Roman" w:cs="Times New Roman"/>
        </w:rPr>
        <w:t>1.</w:t>
      </w:r>
      <w:r w:rsidRPr="008F22A0">
        <w:rPr>
          <w:rFonts w:ascii="Times New Roman" w:hAnsi="Times New Roman" w:cs="Times New Roman"/>
        </w:rPr>
        <w:tab/>
      </w:r>
      <w:r w:rsidRPr="008F22A0">
        <w:rPr>
          <w:rFonts w:ascii="Times New Roman" w:hAnsi="Times New Roman"/>
        </w:rPr>
        <w:t>På det hela taget består regelverket av följande information:</w:t>
      </w:r>
    </w:p>
    <w:p w14:paraId="2A4E3EAD"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a)</w:t>
      </w:r>
      <w:r w:rsidRPr="008F22A0">
        <w:rPr>
          <w:rFonts w:ascii="Times New Roman" w:hAnsi="Times New Roman" w:cs="Times New Roman"/>
        </w:rPr>
        <w:tab/>
      </w:r>
      <w:r w:rsidRPr="008F22A0">
        <w:rPr>
          <w:rFonts w:ascii="Times New Roman" w:hAnsi="Times New Roman"/>
        </w:rPr>
        <w:t>Kapitalbas.</w:t>
      </w:r>
    </w:p>
    <w:p w14:paraId="16C72E58"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b)</w:t>
      </w:r>
      <w:r w:rsidRPr="008F22A0">
        <w:rPr>
          <w:rFonts w:ascii="Times New Roman" w:hAnsi="Times New Roman" w:cs="Times New Roman"/>
        </w:rPr>
        <w:tab/>
      </w:r>
      <w:r w:rsidRPr="008F22A0">
        <w:rPr>
          <w:rFonts w:ascii="Times New Roman" w:hAnsi="Times New Roman"/>
        </w:rPr>
        <w:t>Beräkningar av kapitalbaskrav.</w:t>
      </w:r>
    </w:p>
    <w:p w14:paraId="7249A1FC"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c)</w:t>
      </w:r>
      <w:r w:rsidRPr="008F22A0">
        <w:rPr>
          <w:rFonts w:ascii="Times New Roman" w:hAnsi="Times New Roman" w:cs="Times New Roman"/>
        </w:rPr>
        <w:tab/>
      </w:r>
      <w:r w:rsidRPr="008F22A0">
        <w:rPr>
          <w:rFonts w:ascii="Times New Roman" w:hAnsi="Times New Roman"/>
        </w:rPr>
        <w:t>Beräkning av krav på fasta omkostnader.</w:t>
      </w:r>
    </w:p>
    <w:p w14:paraId="0DD82D59"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d)</w:t>
      </w:r>
      <w:r w:rsidRPr="008F22A0">
        <w:rPr>
          <w:rFonts w:ascii="Times New Roman" w:hAnsi="Times New Roman" w:cs="Times New Roman"/>
        </w:rPr>
        <w:tab/>
      </w:r>
      <w:r w:rsidRPr="008F22A0">
        <w:rPr>
          <w:rFonts w:ascii="Times New Roman" w:hAnsi="Times New Roman"/>
        </w:rPr>
        <w:t>Verksamhetsnivå i enlighet med villkoren i artikel 12.1 i förordning (EU) 2019/2033.</w:t>
      </w:r>
    </w:p>
    <w:p w14:paraId="395058EB"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e)</w:t>
      </w:r>
      <w:r w:rsidRPr="008F22A0">
        <w:rPr>
          <w:rFonts w:ascii="Times New Roman" w:hAnsi="Times New Roman" w:cs="Times New Roman"/>
        </w:rPr>
        <w:tab/>
      </w:r>
      <w:r w:rsidRPr="008F22A0">
        <w:rPr>
          <w:rFonts w:ascii="Times New Roman" w:hAnsi="Times New Roman"/>
        </w:rPr>
        <w:t>Beräkningar av K-faktorkrav.</w:t>
      </w:r>
    </w:p>
    <w:p w14:paraId="5A7001F1"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f)</w:t>
      </w:r>
      <w:r w:rsidRPr="008F22A0">
        <w:rPr>
          <w:rFonts w:ascii="Times New Roman" w:hAnsi="Times New Roman" w:cs="Times New Roman"/>
        </w:rPr>
        <w:tab/>
      </w:r>
      <w:r w:rsidRPr="008F22A0">
        <w:rPr>
          <w:rFonts w:ascii="Times New Roman" w:hAnsi="Times New Roman"/>
        </w:rPr>
        <w:t>Krav på koncentrationsrisk.</w:t>
      </w:r>
    </w:p>
    <w:p w14:paraId="16075AD6" w14:textId="77777777" w:rsidR="00E20575" w:rsidRPr="008F22A0" w:rsidRDefault="008F22A0">
      <w:pPr>
        <w:spacing w:line="256" w:lineRule="auto"/>
        <w:ind w:left="1728" w:hanging="648"/>
        <w:jc w:val="both"/>
        <w:rPr>
          <w:rFonts w:ascii="Times New Roman" w:hAnsi="Times New Roman" w:cs="Times New Roman"/>
        </w:rPr>
      </w:pPr>
      <w:r w:rsidRPr="008F22A0">
        <w:rPr>
          <w:rFonts w:ascii="Times New Roman" w:hAnsi="Times New Roman" w:cs="Times New Roman"/>
        </w:rPr>
        <w:t>g)</w:t>
      </w:r>
      <w:r w:rsidRPr="008F22A0">
        <w:rPr>
          <w:rFonts w:ascii="Times New Roman" w:hAnsi="Times New Roman" w:cs="Times New Roman"/>
        </w:rPr>
        <w:tab/>
      </w:r>
      <w:r w:rsidRPr="008F22A0">
        <w:rPr>
          <w:rFonts w:ascii="Times New Roman" w:hAnsi="Times New Roman"/>
        </w:rPr>
        <w:t>Likviditetskrav.</w:t>
      </w:r>
    </w:p>
    <w:p w14:paraId="333486E1" w14:textId="77777777" w:rsidR="00E20575" w:rsidRPr="008F22A0" w:rsidRDefault="008F22A0">
      <w:pPr>
        <w:pStyle w:val="InstructionsText2"/>
        <w:numPr>
          <w:ilvl w:val="0"/>
          <w:numId w:val="0"/>
        </w:numPr>
        <w:ind w:left="360" w:hanging="360"/>
      </w:pPr>
      <w:r w:rsidRPr="008F22A0">
        <w:t>2.</w:t>
      </w:r>
      <w:r w:rsidRPr="008F22A0">
        <w:tab/>
        <w:t xml:space="preserve">För varje mall ges </w:t>
      </w:r>
      <w:r w:rsidRPr="008F22A0">
        <w:t>hänvisningar till lagstiftningen. Den här delen av förordningen innehåller utförligare information om de mer allmänna aspekterna på redovisningen för varje grupp av mallar, instruktioner för specifika positioner samt valideringsregler.</w:t>
      </w:r>
    </w:p>
    <w:p w14:paraId="012735FE" w14:textId="77777777" w:rsidR="00E20575" w:rsidRPr="008F22A0" w:rsidRDefault="008F22A0">
      <w:pPr>
        <w:keepNext/>
        <w:spacing w:before="240" w:after="240" w:line="240" w:lineRule="auto"/>
        <w:jc w:val="both"/>
        <w:outlineLvl w:val="1"/>
        <w:rPr>
          <w:rFonts w:ascii="Times New Roman" w:eastAsia="Arial" w:hAnsi="Times New Roman" w:cs="Times New Roman"/>
          <w:sz w:val="24"/>
          <w:szCs w:val="24"/>
          <w:u w:val="single"/>
        </w:rPr>
      </w:pPr>
      <w:bookmarkStart w:id="18" w:name="_Toc35795007"/>
      <w:bookmarkStart w:id="19" w:name="_Toc76556777"/>
      <w:bookmarkStart w:id="20" w:name="_Toc88220425"/>
      <w:r w:rsidRPr="008F22A0">
        <w:rPr>
          <w:rFonts w:ascii="Times New Roman" w:hAnsi="Times New Roman"/>
          <w:sz w:val="24"/>
          <w:u w:val="single"/>
        </w:rPr>
        <w:t>1.2 Numrering</w:t>
      </w:r>
      <w:bookmarkEnd w:id="18"/>
      <w:bookmarkEnd w:id="19"/>
      <w:bookmarkEnd w:id="20"/>
    </w:p>
    <w:p w14:paraId="584EF2FD" w14:textId="77777777" w:rsidR="00E20575" w:rsidRPr="008F22A0" w:rsidRDefault="008F22A0">
      <w:pPr>
        <w:pStyle w:val="InstructionsText2"/>
        <w:numPr>
          <w:ilvl w:val="0"/>
          <w:numId w:val="0"/>
        </w:numPr>
        <w:ind w:left="360" w:hanging="360"/>
      </w:pPr>
      <w:r w:rsidRPr="008F22A0">
        <w:t>3.</w:t>
      </w:r>
      <w:r w:rsidRPr="008F22A0">
        <w:tab/>
        <w:t>För</w:t>
      </w:r>
      <w:r w:rsidRPr="008F22A0">
        <w:t xml:space="preserve"> att hänvisa till kolumner, rader och celler i en mall används i detta dokument beteckningssystemet enligt punkterna 4–7. I valideringsreglerna hänvisas ofta till dessa numeriska koder.</w:t>
      </w:r>
    </w:p>
    <w:p w14:paraId="67CCCA12" w14:textId="77777777" w:rsidR="00E20575" w:rsidRPr="008F22A0" w:rsidRDefault="008F22A0">
      <w:pPr>
        <w:pStyle w:val="InstructionsText2"/>
        <w:numPr>
          <w:ilvl w:val="0"/>
          <w:numId w:val="0"/>
        </w:numPr>
        <w:ind w:left="360" w:hanging="360"/>
      </w:pPr>
      <w:r w:rsidRPr="008F22A0">
        <w:t>4.</w:t>
      </w:r>
      <w:r w:rsidRPr="008F22A0">
        <w:tab/>
        <w:t xml:space="preserve">Följande allmänna beteckningssystem används i </w:t>
      </w:r>
      <w:r w:rsidRPr="008F22A0">
        <w:t>instruktionerna: {Mall, Rad, Kolumn}.</w:t>
      </w:r>
    </w:p>
    <w:p w14:paraId="36710B00" w14:textId="77777777" w:rsidR="00E20575" w:rsidRPr="008F22A0" w:rsidRDefault="008F22A0">
      <w:pPr>
        <w:pStyle w:val="InstructionsText2"/>
        <w:numPr>
          <w:ilvl w:val="0"/>
          <w:numId w:val="0"/>
        </w:numPr>
        <w:ind w:left="360" w:hanging="360"/>
      </w:pPr>
      <w:r w:rsidRPr="008F22A0">
        <w:t>5.</w:t>
      </w:r>
      <w:r w:rsidRPr="008F22A0">
        <w:tab/>
        <w:t>Vid validering inom en mall i vilken man endast använder datapunkter från den mallen anges inte mallen i beteckningen: {Rad, Kolumn}.</w:t>
      </w:r>
    </w:p>
    <w:p w14:paraId="29BFDF82" w14:textId="77777777" w:rsidR="00E20575" w:rsidRPr="008F22A0" w:rsidRDefault="008F22A0">
      <w:pPr>
        <w:pStyle w:val="InstructionsText2"/>
        <w:numPr>
          <w:ilvl w:val="0"/>
          <w:numId w:val="0"/>
        </w:numPr>
        <w:ind w:left="360" w:hanging="360"/>
      </w:pPr>
      <w:r w:rsidRPr="008F22A0">
        <w:lastRenderedPageBreak/>
        <w:t>6.</w:t>
      </w:r>
      <w:r w:rsidRPr="008F22A0">
        <w:tab/>
        <w:t>Om mallen bara har en kolumn, anges endast rader. {Mall, Rad}.</w:t>
      </w:r>
    </w:p>
    <w:p w14:paraId="40EE5644" w14:textId="77777777" w:rsidR="00E20575" w:rsidRPr="008F22A0" w:rsidRDefault="008F22A0">
      <w:pPr>
        <w:pStyle w:val="InstructionsText2"/>
        <w:numPr>
          <w:ilvl w:val="0"/>
          <w:numId w:val="0"/>
        </w:numPr>
        <w:ind w:left="360" w:hanging="360"/>
      </w:pPr>
      <w:r w:rsidRPr="008F22A0">
        <w:t>7.</w:t>
      </w:r>
      <w:r w:rsidRPr="008F22A0">
        <w:tab/>
        <w:t xml:space="preserve">En asterisk </w:t>
      </w:r>
      <w:r w:rsidRPr="008F22A0">
        <w:t>betyder att valideringen avser de rader eller kolumner som anges före den.</w:t>
      </w:r>
    </w:p>
    <w:p w14:paraId="127058F4" w14:textId="77777777" w:rsidR="00E20575" w:rsidRPr="008F22A0" w:rsidRDefault="008F22A0">
      <w:pPr>
        <w:keepNext/>
        <w:spacing w:before="240" w:after="240" w:line="240" w:lineRule="auto"/>
        <w:jc w:val="both"/>
        <w:outlineLvl w:val="1"/>
        <w:rPr>
          <w:rFonts w:ascii="Times New Roman" w:eastAsia="Arial" w:hAnsi="Times New Roman" w:cs="Times New Roman"/>
          <w:sz w:val="24"/>
          <w:szCs w:val="24"/>
          <w:u w:val="single"/>
        </w:rPr>
      </w:pPr>
      <w:bookmarkStart w:id="21" w:name="_Toc35795008"/>
      <w:bookmarkStart w:id="22" w:name="_Toc76556778"/>
      <w:bookmarkStart w:id="23" w:name="_Toc88220426"/>
      <w:r w:rsidRPr="008F22A0">
        <w:rPr>
          <w:rFonts w:ascii="Times New Roman" w:hAnsi="Times New Roman"/>
          <w:sz w:val="24"/>
          <w:u w:val="single"/>
        </w:rPr>
        <w:t>1.3 Tecken</w:t>
      </w:r>
      <w:bookmarkEnd w:id="21"/>
      <w:bookmarkEnd w:id="22"/>
      <w:bookmarkEnd w:id="23"/>
    </w:p>
    <w:p w14:paraId="7B1151D8" w14:textId="77777777" w:rsidR="00E20575" w:rsidRPr="008F22A0" w:rsidRDefault="008F22A0">
      <w:pPr>
        <w:pStyle w:val="InstructionsText2"/>
        <w:numPr>
          <w:ilvl w:val="0"/>
          <w:numId w:val="0"/>
        </w:numPr>
        <w:ind w:left="360" w:hanging="360"/>
      </w:pPr>
      <w:r w:rsidRPr="008F22A0">
        <w:t>8.</w:t>
      </w:r>
      <w:r w:rsidRPr="008F22A0">
        <w:tab/>
        <w:t>Alla belopp som ökar kapitalbasen, kapitalkraven eller likviditetskraven ska redovisas som ett positivt belopp. Tvärtom ska alla belopp som minskar den totala kapitalb</w:t>
      </w:r>
      <w:r w:rsidRPr="008F22A0">
        <w:t>asen eller de totala kapitalkraven redovisas som ett negativt belopp. Om namnet på en post föregås av ett minustecken (-) förväntas inga positiva belopp redovisas för den posten.</w:t>
      </w:r>
    </w:p>
    <w:p w14:paraId="627DB710" w14:textId="77777777" w:rsidR="00E20575" w:rsidRPr="008F22A0" w:rsidRDefault="008F22A0">
      <w:pPr>
        <w:keepNext/>
        <w:spacing w:before="240" w:after="240" w:line="240" w:lineRule="auto"/>
        <w:jc w:val="both"/>
        <w:outlineLvl w:val="1"/>
        <w:rPr>
          <w:rFonts w:ascii="Times New Roman" w:eastAsia="Arial" w:hAnsi="Times New Roman" w:cs="Times New Roman"/>
          <w:sz w:val="24"/>
          <w:szCs w:val="24"/>
          <w:u w:val="single"/>
        </w:rPr>
      </w:pPr>
      <w:bookmarkStart w:id="24" w:name="_Toc35795010"/>
      <w:bookmarkStart w:id="25" w:name="_Toc76556780"/>
      <w:bookmarkStart w:id="26" w:name="_Toc88220427"/>
      <w:r w:rsidRPr="008F22A0">
        <w:rPr>
          <w:rFonts w:ascii="Times New Roman" w:hAnsi="Times New Roman"/>
          <w:sz w:val="24"/>
          <w:u w:val="single"/>
        </w:rPr>
        <w:t>1.4 Konsolidering under tillsyn</w:t>
      </w:r>
      <w:bookmarkEnd w:id="24"/>
      <w:bookmarkEnd w:id="25"/>
      <w:bookmarkEnd w:id="26"/>
    </w:p>
    <w:p w14:paraId="0BE4DAB9" w14:textId="77777777" w:rsidR="00E20575" w:rsidRPr="008F22A0" w:rsidRDefault="008F22A0">
      <w:pPr>
        <w:spacing w:line="256" w:lineRule="auto"/>
        <w:ind w:left="360" w:hanging="360"/>
        <w:jc w:val="both"/>
        <w:rPr>
          <w:rFonts w:ascii="Times New Roman" w:hAnsi="Times New Roman" w:cs="Times New Roman"/>
          <w:sz w:val="24"/>
        </w:rPr>
      </w:pPr>
      <w:r w:rsidRPr="008F22A0">
        <w:rPr>
          <w:rFonts w:ascii="Times New Roman" w:hAnsi="Times New Roman" w:cs="Times New Roman"/>
          <w:sz w:val="24"/>
        </w:rPr>
        <w:t>9.</w:t>
      </w:r>
      <w:r w:rsidRPr="008F22A0">
        <w:rPr>
          <w:rFonts w:ascii="Times New Roman" w:hAnsi="Times New Roman" w:cs="Times New Roman"/>
          <w:sz w:val="24"/>
        </w:rPr>
        <w:tab/>
      </w:r>
      <w:r w:rsidRPr="008F22A0">
        <w:rPr>
          <w:rFonts w:ascii="Times New Roman" w:hAnsi="Times New Roman"/>
          <w:sz w:val="24"/>
        </w:rPr>
        <w:t>Om inget undantag har beviljats är förordn</w:t>
      </w:r>
      <w:r w:rsidRPr="008F22A0">
        <w:rPr>
          <w:rFonts w:ascii="Times New Roman" w:hAnsi="Times New Roman"/>
          <w:sz w:val="24"/>
        </w:rPr>
        <w:t>ing (EU) 2019/2033 och direktiv (EU) 2019/2034 tillämpliga på värdepappersföretag på individuell nivå och på konsoliderad nivå, vilket inbegriper rapporteringskraven i del sju i förordning (EU) 2019/2033. I artikel 4.1.11 i förordning (EU) 2019/2033 defini</w:t>
      </w:r>
      <w:r w:rsidRPr="008F22A0">
        <w:rPr>
          <w:rFonts w:ascii="Times New Roman" w:hAnsi="Times New Roman"/>
          <w:sz w:val="24"/>
        </w:rPr>
        <w:t>eras en konsoliderad situation som resultatet av att kraven i förordning (EU) 2019/2033 tillämpas på en värdepappersföretagsgrupp som om enheterna i gruppen utgjorde ett enda värdepappersföretag. Efter tillämpningen av artikel 7 i förordning (EU) 2019/2033</w:t>
      </w:r>
      <w:r w:rsidRPr="008F22A0">
        <w:rPr>
          <w:rFonts w:ascii="Times New Roman" w:hAnsi="Times New Roman"/>
          <w:sz w:val="24"/>
        </w:rPr>
        <w:t xml:space="preserve"> ska värdepappersföretagsgrupper uppfylla rapporteringskraven i alla mallar på grundval av deras omfattning av konsolidering under tillsyn (som kan skilja sig från konsolideringen på redovisningsnivå).</w:t>
      </w:r>
    </w:p>
    <w:p w14:paraId="65A7B2FD" w14:textId="77777777" w:rsidR="00E20575" w:rsidRPr="008F22A0" w:rsidRDefault="008F22A0">
      <w:pPr>
        <w:pStyle w:val="Heading2"/>
        <w:rPr>
          <w:rFonts w:ascii="Times New Roman" w:hAnsi="Times New Roman"/>
        </w:rPr>
      </w:pPr>
      <w:bookmarkStart w:id="27" w:name="_Toc76556781"/>
      <w:bookmarkStart w:id="28" w:name="_Toc88220428"/>
      <w:r w:rsidRPr="008F22A0">
        <w:rPr>
          <w:rFonts w:ascii="Times New Roman" w:hAnsi="Times New Roman"/>
        </w:rPr>
        <w:t>DEL II: MALLRELATERADE INSTRUKTIONER</w:t>
      </w:r>
      <w:bookmarkEnd w:id="6"/>
      <w:bookmarkEnd w:id="7"/>
      <w:bookmarkEnd w:id="8"/>
      <w:bookmarkEnd w:id="27"/>
      <w:bookmarkEnd w:id="28"/>
    </w:p>
    <w:p w14:paraId="6D8A6E32" w14:textId="77777777" w:rsidR="00E20575" w:rsidRPr="008F22A0" w:rsidRDefault="008F22A0">
      <w:pPr>
        <w:pStyle w:val="Instructionsberschrift2"/>
        <w:ind w:left="357" w:hanging="357"/>
        <w:rPr>
          <w:rFonts w:ascii="Times New Roman" w:hAnsi="Times New Roman" w:cs="Times New Roman"/>
          <w:b/>
          <w:sz w:val="24"/>
        </w:rPr>
      </w:pPr>
      <w:bookmarkStart w:id="29" w:name="_Toc35795012"/>
      <w:bookmarkStart w:id="30" w:name="_Toc76556782"/>
      <w:bookmarkStart w:id="31" w:name="_Toc88220429"/>
      <w:r w:rsidRPr="008F22A0">
        <w:rPr>
          <w:rFonts w:ascii="Times New Roman" w:hAnsi="Times New Roman"/>
          <w:b/>
          <w:sz w:val="24"/>
          <w:u w:val="none"/>
        </w:rPr>
        <w:t>1. KAPITALBAS: NI</w:t>
      </w:r>
      <w:r w:rsidRPr="008F22A0">
        <w:rPr>
          <w:rFonts w:ascii="Times New Roman" w:hAnsi="Times New Roman"/>
          <w:b/>
          <w:sz w:val="24"/>
          <w:u w:val="none"/>
        </w:rPr>
        <w:t>VÅ, SAMMANSÄTTNING, KRAV OCH BERÄKNING</w:t>
      </w:r>
      <w:bookmarkEnd w:id="29"/>
      <w:bookmarkEnd w:id="30"/>
      <w:bookmarkEnd w:id="31"/>
    </w:p>
    <w:p w14:paraId="72B26FA5" w14:textId="77777777" w:rsidR="00E20575" w:rsidRPr="008F22A0" w:rsidRDefault="008F22A0">
      <w:pPr>
        <w:pStyle w:val="Instructionsberschrift2"/>
        <w:ind w:left="357" w:hanging="357"/>
        <w:rPr>
          <w:rFonts w:ascii="Times New Roman" w:hAnsi="Times New Roman" w:cs="Times New Roman"/>
          <w:sz w:val="24"/>
        </w:rPr>
      </w:pPr>
      <w:bookmarkStart w:id="32" w:name="_Toc35795013"/>
      <w:bookmarkStart w:id="33" w:name="_Toc76556783"/>
      <w:bookmarkStart w:id="34" w:name="_Toc88220430"/>
      <w:r w:rsidRPr="008F22A0">
        <w:rPr>
          <w:rFonts w:ascii="Times New Roman" w:hAnsi="Times New Roman"/>
          <w:sz w:val="24"/>
          <w:u w:val="none"/>
        </w:rPr>
        <w:t>1.1 Allmänna kommentarer</w:t>
      </w:r>
      <w:bookmarkEnd w:id="32"/>
      <w:bookmarkEnd w:id="33"/>
      <w:bookmarkEnd w:id="34"/>
    </w:p>
    <w:p w14:paraId="4271F3F8"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10.</w:t>
      </w:r>
      <w:r w:rsidRPr="008F22A0">
        <w:rPr>
          <w:rFonts w:ascii="Times New Roman" w:hAnsi="Times New Roman" w:cs="Times New Roman"/>
          <w:sz w:val="24"/>
        </w:rPr>
        <w:tab/>
      </w:r>
      <w:r w:rsidRPr="008F22A0">
        <w:rPr>
          <w:rFonts w:ascii="Times New Roman" w:hAnsi="Times New Roman"/>
          <w:sz w:val="24"/>
        </w:rPr>
        <w:t>Avsnittet om översikt över kapitalbasen innehåller information om värdepappersföretagets kapitalbas och dess kapitalbaskrav. Den består av två mallar:</w:t>
      </w:r>
    </w:p>
    <w:p w14:paraId="28A941A5" w14:textId="77777777" w:rsidR="00E20575" w:rsidRPr="008F22A0" w:rsidRDefault="008F22A0">
      <w:pPr>
        <w:spacing w:line="256" w:lineRule="auto"/>
        <w:ind w:left="1728" w:hanging="648"/>
        <w:jc w:val="both"/>
        <w:rPr>
          <w:rFonts w:ascii="Times New Roman" w:hAnsi="Times New Roman" w:cs="Times New Roman"/>
          <w:sz w:val="24"/>
        </w:rPr>
      </w:pPr>
      <w:r w:rsidRPr="008F22A0">
        <w:rPr>
          <w:rFonts w:ascii="Times New Roman" w:hAnsi="Times New Roman" w:cs="Times New Roman"/>
          <w:sz w:val="24"/>
        </w:rPr>
        <w:t>a)</w:t>
      </w:r>
      <w:r w:rsidRPr="008F22A0">
        <w:rPr>
          <w:rFonts w:ascii="Times New Roman" w:hAnsi="Times New Roman" w:cs="Times New Roman"/>
          <w:sz w:val="24"/>
        </w:rPr>
        <w:tab/>
      </w:r>
      <w:r w:rsidRPr="008F22A0">
        <w:rPr>
          <w:rFonts w:ascii="Times New Roman" w:hAnsi="Times New Roman"/>
          <w:sz w:val="24"/>
        </w:rPr>
        <w:t>Mall I 01.00 innehåller sammanstäl</w:t>
      </w:r>
      <w:r w:rsidRPr="008F22A0">
        <w:rPr>
          <w:rFonts w:ascii="Times New Roman" w:hAnsi="Times New Roman"/>
          <w:sz w:val="24"/>
        </w:rPr>
        <w:t>lningarna av den kapitalbas som ett värdepappersföretag innehar: Kärnprimärkapital, övrigt primärkapital för kapitaltäckningsändamål och supplementärkapital.</w:t>
      </w:r>
    </w:p>
    <w:p w14:paraId="00481489" w14:textId="77777777" w:rsidR="00E20575" w:rsidRPr="008F22A0" w:rsidRDefault="008F22A0">
      <w:pPr>
        <w:spacing w:line="256" w:lineRule="auto"/>
        <w:ind w:left="1728" w:hanging="648"/>
        <w:jc w:val="both"/>
        <w:rPr>
          <w:rFonts w:ascii="Times New Roman" w:hAnsi="Times New Roman" w:cs="Times New Roman"/>
          <w:sz w:val="24"/>
        </w:rPr>
      </w:pPr>
      <w:r w:rsidRPr="008F22A0">
        <w:rPr>
          <w:rFonts w:ascii="Times New Roman" w:hAnsi="Times New Roman" w:cs="Times New Roman"/>
          <w:sz w:val="24"/>
        </w:rPr>
        <w:t>b)</w:t>
      </w:r>
      <w:r w:rsidRPr="008F22A0">
        <w:rPr>
          <w:rFonts w:ascii="Times New Roman" w:hAnsi="Times New Roman" w:cs="Times New Roman"/>
          <w:sz w:val="24"/>
        </w:rPr>
        <w:tab/>
      </w:r>
      <w:r w:rsidRPr="008F22A0">
        <w:rPr>
          <w:rFonts w:ascii="Times New Roman" w:hAnsi="Times New Roman"/>
          <w:sz w:val="24"/>
        </w:rPr>
        <w:t>Mallarna I 02.01 och I 02.02 innehåller det totala kapitalbaskravet, det permanenta minimikapit</w:t>
      </w:r>
      <w:r w:rsidRPr="008F22A0">
        <w:rPr>
          <w:rFonts w:ascii="Times New Roman" w:hAnsi="Times New Roman"/>
          <w:sz w:val="24"/>
        </w:rPr>
        <w:t>alkravet, kravet på fasta omkostnader och det totala K-faktorkravet, eventuella ytterligare kapitalbaskrav och riktlinjer samt övergångskrav för kapitalbasen och kapitalrelationerna.</w:t>
      </w:r>
    </w:p>
    <w:p w14:paraId="68488B15" w14:textId="77777777" w:rsidR="00E20575" w:rsidRPr="008F22A0" w:rsidRDefault="008F22A0">
      <w:pPr>
        <w:spacing w:line="256" w:lineRule="auto"/>
        <w:ind w:left="1728" w:hanging="648"/>
        <w:jc w:val="both"/>
        <w:rPr>
          <w:rFonts w:ascii="Times New Roman" w:hAnsi="Times New Roman" w:cs="Times New Roman"/>
          <w:sz w:val="24"/>
        </w:rPr>
      </w:pPr>
      <w:r w:rsidRPr="008F22A0">
        <w:rPr>
          <w:rFonts w:ascii="Times New Roman" w:hAnsi="Times New Roman" w:cs="Times New Roman"/>
          <w:sz w:val="24"/>
        </w:rPr>
        <w:t>c)</w:t>
      </w:r>
      <w:r w:rsidRPr="008F22A0">
        <w:rPr>
          <w:rFonts w:ascii="Times New Roman" w:hAnsi="Times New Roman" w:cs="Times New Roman"/>
          <w:sz w:val="24"/>
        </w:rPr>
        <w:tab/>
      </w:r>
      <w:r w:rsidRPr="008F22A0">
        <w:rPr>
          <w:rFonts w:ascii="Times New Roman" w:hAnsi="Times New Roman"/>
          <w:sz w:val="24"/>
        </w:rPr>
        <w:t>I mall I 03.00 finns information om beräkningen av kravet på fasta omk</w:t>
      </w:r>
      <w:r w:rsidRPr="008F22A0">
        <w:rPr>
          <w:rFonts w:ascii="Times New Roman" w:hAnsi="Times New Roman"/>
          <w:sz w:val="24"/>
        </w:rPr>
        <w:t>ostnader.</w:t>
      </w:r>
    </w:p>
    <w:p w14:paraId="420C9120" w14:textId="77777777" w:rsidR="00E20575" w:rsidRPr="008F22A0" w:rsidRDefault="008F22A0">
      <w:pPr>
        <w:spacing w:line="256" w:lineRule="auto"/>
        <w:ind w:left="1728" w:hanging="648"/>
        <w:jc w:val="both"/>
        <w:rPr>
          <w:rFonts w:ascii="Times New Roman" w:hAnsi="Times New Roman" w:cs="Times New Roman"/>
          <w:sz w:val="24"/>
        </w:rPr>
      </w:pPr>
      <w:r w:rsidRPr="008F22A0">
        <w:rPr>
          <w:rFonts w:ascii="Times New Roman" w:hAnsi="Times New Roman" w:cs="Times New Roman"/>
          <w:sz w:val="24"/>
        </w:rPr>
        <w:t>d)</w:t>
      </w:r>
      <w:r w:rsidRPr="008F22A0">
        <w:rPr>
          <w:rFonts w:ascii="Times New Roman" w:hAnsi="Times New Roman" w:cs="Times New Roman"/>
          <w:sz w:val="24"/>
        </w:rPr>
        <w:tab/>
      </w:r>
      <w:r w:rsidRPr="008F22A0">
        <w:rPr>
          <w:rFonts w:ascii="Times New Roman" w:hAnsi="Times New Roman"/>
          <w:sz w:val="24"/>
        </w:rPr>
        <w:t>I mall I 04.00 finns K-faktorkraven och faktorbeloppet.</w:t>
      </w:r>
    </w:p>
    <w:p w14:paraId="77286172"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11.</w:t>
      </w:r>
      <w:r w:rsidRPr="008F22A0">
        <w:rPr>
          <w:rFonts w:ascii="Times New Roman" w:hAnsi="Times New Roman" w:cs="Times New Roman"/>
          <w:sz w:val="24"/>
        </w:rPr>
        <w:tab/>
      </w:r>
      <w:r w:rsidRPr="008F22A0">
        <w:rPr>
          <w:rFonts w:ascii="Times New Roman" w:hAnsi="Times New Roman"/>
          <w:sz w:val="24"/>
        </w:rPr>
        <w:t>Beloppen i dessa mallar beräknas utan avdrag för övergångsjusteringar. Detta innebär att beloppen (utom när övergångskravet för kapitalbasen uttryckligen anges) beräknas i enlighet me</w:t>
      </w:r>
      <w:r w:rsidRPr="008F22A0">
        <w:rPr>
          <w:rFonts w:ascii="Times New Roman" w:hAnsi="Times New Roman"/>
          <w:sz w:val="24"/>
        </w:rPr>
        <w:t>d slutbestämmelserna (dvs. som om det inte fanns några övergångsbestämmelser).</w:t>
      </w:r>
    </w:p>
    <w:p w14:paraId="632F5709" w14:textId="77777777" w:rsidR="00E20575" w:rsidRPr="008F22A0" w:rsidRDefault="008F22A0">
      <w:pPr>
        <w:pStyle w:val="Instructionsberschrift2"/>
        <w:ind w:left="357" w:hanging="357"/>
        <w:rPr>
          <w:rFonts w:ascii="Times New Roman" w:hAnsi="Times New Roman" w:cs="Times New Roman"/>
          <w:sz w:val="24"/>
        </w:rPr>
      </w:pPr>
      <w:bookmarkStart w:id="35" w:name="_Toc35795014"/>
      <w:bookmarkStart w:id="36" w:name="_Toc76556784"/>
      <w:bookmarkStart w:id="37" w:name="_Toc88220431"/>
      <w:r w:rsidRPr="008F22A0">
        <w:rPr>
          <w:rFonts w:ascii="Times New Roman" w:hAnsi="Times New Roman"/>
          <w:sz w:val="24"/>
        </w:rPr>
        <w:lastRenderedPageBreak/>
        <w:t>1.2. I 01.00 – KAPITALBASENS SAMMANSÄTTNING (I 1)</w:t>
      </w:r>
      <w:bookmarkEnd w:id="35"/>
      <w:bookmarkEnd w:id="36"/>
      <w:bookmarkEnd w:id="37"/>
    </w:p>
    <w:p w14:paraId="2A2AE197"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8" w:name="_Toc76556785"/>
      <w:bookmarkStart w:id="39" w:name="_Toc88220432"/>
      <w:r w:rsidRPr="008F22A0">
        <w:rPr>
          <w:rFonts w:ascii="Times New Roman" w:hAnsi="Times New Roman"/>
          <w:sz w:val="24"/>
        </w:rPr>
        <w:t>1.2.1</w:t>
      </w:r>
      <w:r w:rsidRPr="008F22A0">
        <w:rPr>
          <w:rFonts w:ascii="Times New Roman" w:hAnsi="Times New Roman"/>
          <w:sz w:val="24"/>
        </w:rPr>
        <w:tab/>
      </w:r>
      <w:r w:rsidRPr="008F22A0">
        <w:rPr>
          <w:rFonts w:ascii="Times New Roman" w:hAnsi="Times New Roman"/>
          <w:sz w:val="24"/>
          <w:u w:val="single"/>
        </w:rPr>
        <w:t>Instruktioner för specifika positioner</w:t>
      </w:r>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249E96DE" w14:textId="77777777">
        <w:tc>
          <w:tcPr>
            <w:tcW w:w="1129" w:type="dxa"/>
            <w:shd w:val="clear" w:color="auto" w:fill="D9D9D9"/>
          </w:tcPr>
          <w:p w14:paraId="4A1D383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5E02986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37803B67" w14:textId="77777777">
        <w:tc>
          <w:tcPr>
            <w:tcW w:w="1129" w:type="dxa"/>
          </w:tcPr>
          <w:p w14:paraId="730E937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113D489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KAPITALBAS</w:t>
            </w:r>
          </w:p>
          <w:p w14:paraId="7717114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w:t>
            </w:r>
            <w:r w:rsidRPr="008F22A0">
              <w:rPr>
                <w:rFonts w:ascii="Times New Roman" w:hAnsi="Times New Roman"/>
              </w:rPr>
              <w:t>förordning (EU) 2019/2033.</w:t>
            </w:r>
          </w:p>
          <w:p w14:paraId="4AFF197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Ett värdepappersföretags kapitalbas ska utgöras av summan av dess primärkapital och supplementärkapital.</w:t>
            </w:r>
          </w:p>
        </w:tc>
      </w:tr>
      <w:tr w:rsidR="00E20575" w:rsidRPr="008F22A0" w14:paraId="40991E58" w14:textId="77777777">
        <w:tc>
          <w:tcPr>
            <w:tcW w:w="1129" w:type="dxa"/>
          </w:tcPr>
          <w:p w14:paraId="4D73A41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686B506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PRIMÄRKAPITAL</w:t>
            </w:r>
          </w:p>
          <w:p w14:paraId="77F9AE1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Primärkapital är summan av kärnprimärkapital och övrigt primärkapital för </w:t>
            </w:r>
            <w:r w:rsidRPr="008F22A0">
              <w:rPr>
                <w:rStyle w:val="FormatvorlageInstructionsTabelleText"/>
                <w:rFonts w:ascii="Times New Roman" w:hAnsi="Times New Roman"/>
                <w:sz w:val="22"/>
              </w:rPr>
              <w:t>kapitaltäckningsändamål.</w:t>
            </w:r>
          </w:p>
        </w:tc>
      </w:tr>
      <w:tr w:rsidR="00E20575" w:rsidRPr="008F22A0" w14:paraId="4141958E" w14:textId="77777777">
        <w:tc>
          <w:tcPr>
            <w:tcW w:w="1129" w:type="dxa"/>
          </w:tcPr>
          <w:p w14:paraId="4D2DFC6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7838942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InstructionsTabelleberschrift"/>
                <w:rFonts w:ascii="Times New Roman" w:hAnsi="Times New Roman"/>
                <w:sz w:val="22"/>
              </w:rPr>
              <w:t>KÄRNPRIMÄRKAPITAL</w:t>
            </w:r>
          </w:p>
          <w:p w14:paraId="2D98270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förordning (EU) 2019/2033.</w:t>
            </w:r>
          </w:p>
          <w:p w14:paraId="411E44C8" w14:textId="77777777" w:rsidR="00E20575" w:rsidRPr="008F22A0" w:rsidRDefault="008F22A0">
            <w:pPr>
              <w:spacing w:after="120" w:line="240" w:lineRule="auto"/>
              <w:jc w:val="both"/>
            </w:pPr>
            <w:r w:rsidRPr="008F22A0">
              <w:rPr>
                <w:rStyle w:val="FormatvorlageInstructionsTabelleText"/>
                <w:rFonts w:ascii="Times New Roman" w:hAnsi="Times New Roman"/>
                <w:sz w:val="22"/>
              </w:rPr>
              <w:t>Artikel 50 i förordning (EU) nr 575/2013.</w:t>
            </w:r>
          </w:p>
        </w:tc>
      </w:tr>
      <w:tr w:rsidR="00E20575" w:rsidRPr="008F22A0" w14:paraId="741959B2" w14:textId="77777777">
        <w:tc>
          <w:tcPr>
            <w:tcW w:w="1129" w:type="dxa"/>
          </w:tcPr>
          <w:p w14:paraId="0C134DD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5B9D0D9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Fullt betalda kapitalinstrument</w:t>
            </w:r>
          </w:p>
          <w:p w14:paraId="33200CD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6F994E8C"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Artikel 26.1 a och artiklarna 27–31 </w:t>
            </w:r>
            <w:r w:rsidRPr="008F22A0">
              <w:t>i</w:t>
            </w:r>
            <w:r w:rsidRPr="008F22A0">
              <w:rPr>
                <w:rStyle w:val="FormatvorlageInstructionsTabelleText"/>
                <w:rFonts w:ascii="Times New Roman" w:hAnsi="Times New Roman"/>
                <w:sz w:val="22"/>
              </w:rPr>
              <w:t>förord</w:t>
            </w:r>
            <w:r w:rsidRPr="008F22A0">
              <w:rPr>
                <w:rStyle w:val="FormatvorlageInstructionsTabelleText"/>
                <w:rFonts w:ascii="Times New Roman" w:hAnsi="Times New Roman"/>
                <w:sz w:val="22"/>
              </w:rPr>
              <w:t>ning (EU) nr 575/2013.</w:t>
            </w:r>
          </w:p>
          <w:p w14:paraId="676744C5"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Kapitalinstrument i ömsesidiga bolag, kooperativa sammanslutningar eller jämförbara institut (artiklarna 27 och 29 i förordning (EU) nr 575/2013) ska inkluderas.</w:t>
            </w:r>
          </w:p>
          <w:p w14:paraId="7FC639C4"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Den överkursfond som hör ihop med instrumentet ska inte inkluderas.</w:t>
            </w:r>
          </w:p>
          <w:p w14:paraId="72A30C3C" w14:textId="77777777" w:rsidR="00E20575" w:rsidRPr="008F22A0" w:rsidRDefault="008F22A0">
            <w:pPr>
              <w:pStyle w:val="InstructionsText"/>
            </w:pPr>
            <w:r w:rsidRPr="008F22A0">
              <w:rPr>
                <w:rStyle w:val="FormatvorlageInstructionsTabelleText"/>
                <w:rFonts w:ascii="Times New Roman" w:hAnsi="Times New Roman"/>
                <w:sz w:val="22"/>
              </w:rPr>
              <w:t>Kap</w:t>
            </w:r>
            <w:r w:rsidRPr="008F22A0">
              <w:rPr>
                <w:rStyle w:val="FormatvorlageInstructionsTabelleText"/>
                <w:rFonts w:ascii="Times New Roman" w:hAnsi="Times New Roman"/>
                <w:sz w:val="22"/>
              </w:rPr>
              <w:t>italinstrument som tecknats av offentliga myndigheter i nödsituationer ska inkluderas om samtliga villkor i artikel 31 i förordning (EU) nr 575/2013 är uppfyllda.</w:t>
            </w:r>
          </w:p>
        </w:tc>
      </w:tr>
      <w:tr w:rsidR="00E20575" w:rsidRPr="008F22A0" w14:paraId="384D48AA" w14:textId="77777777">
        <w:tc>
          <w:tcPr>
            <w:tcW w:w="1129" w:type="dxa"/>
          </w:tcPr>
          <w:p w14:paraId="0B93044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22176F4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Överkursfond</w:t>
            </w:r>
          </w:p>
          <w:p w14:paraId="7814068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334C2551"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 xml:space="preserve">Artikel 26.1 b i </w:t>
            </w:r>
            <w:r w:rsidRPr="008F22A0">
              <w:rPr>
                <w:rStyle w:val="FormatvorlageInstructionsTabelleText"/>
                <w:rFonts w:ascii="Times New Roman" w:hAnsi="Times New Roman"/>
                <w:sz w:val="22"/>
              </w:rPr>
              <w:t>förordning (EU) nr 575/2013.</w:t>
            </w:r>
          </w:p>
          <w:p w14:paraId="0B406307"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Överkursfond har den innebörd som anges i tillämplig redovisningsstandard.</w:t>
            </w:r>
          </w:p>
          <w:p w14:paraId="4023CBC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I denna post ska den del av beloppet anges som rör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fullt betalda kapitalinstrumen</w:t>
            </w:r>
            <w:r w:rsidRPr="008F22A0">
              <w:rPr>
                <w:rStyle w:val="FormatvorlageInstructionsTabelleText"/>
                <w:rFonts w:ascii="Times New Roman" w:hAnsi="Times New Roman"/>
                <w:sz w:val="22"/>
              </w:rPr>
              <w:t>t”</w:t>
            </w:r>
            <w:r w:rsidRPr="008F22A0">
              <w:rPr>
                <w:rStyle w:val="FormatvorlageInstructionsTabelleText"/>
                <w:rFonts w:ascii="Times New Roman" w:hAnsi="Times New Roman"/>
                <w:sz w:val="22"/>
              </w:rPr>
              <w:t>.</w:t>
            </w:r>
          </w:p>
        </w:tc>
      </w:tr>
      <w:tr w:rsidR="00E20575" w:rsidRPr="008F22A0" w14:paraId="7F347C4E" w14:textId="77777777">
        <w:tc>
          <w:tcPr>
            <w:tcW w:w="1129" w:type="dxa"/>
          </w:tcPr>
          <w:p w14:paraId="07E9848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248D7ED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Balanserade vinstmedel</w:t>
            </w:r>
          </w:p>
          <w:p w14:paraId="6348C5F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i förordning (EU) </w:t>
            </w:r>
            <w:r w:rsidRPr="008F22A0">
              <w:rPr>
                <w:rFonts w:ascii="Times New Roman" w:hAnsi="Times New Roman"/>
              </w:rPr>
              <w:t>2019/2033.</w:t>
            </w:r>
          </w:p>
          <w:p w14:paraId="79E075B7" w14:textId="77777777" w:rsidR="00E20575" w:rsidRPr="008F22A0" w:rsidRDefault="008F22A0">
            <w:pPr>
              <w:spacing w:after="120" w:line="240" w:lineRule="auto"/>
              <w:jc w:val="both"/>
              <w:rPr>
                <w:rFonts w:ascii="Times New Roman" w:eastAsia="Times New Roman" w:hAnsi="Times New Roman" w:cs="Times New Roman"/>
                <w:bCs/>
              </w:rPr>
            </w:pPr>
            <w:r w:rsidRPr="008F22A0">
              <w:rPr>
                <w:rStyle w:val="FormatvorlageInstructionsTabelleText"/>
                <w:rFonts w:ascii="Times New Roman" w:hAnsi="Times New Roman"/>
                <w:sz w:val="22"/>
              </w:rPr>
              <w:t xml:space="preserve">Artikel 26.1 c </w:t>
            </w:r>
            <w:r w:rsidRPr="008F22A0">
              <w:rPr>
                <w:rFonts w:ascii="Times New Roman" w:hAnsi="Times New Roman"/>
              </w:rPr>
              <w:t xml:space="preserve">i </w:t>
            </w:r>
            <w:r w:rsidRPr="008F22A0">
              <w:rPr>
                <w:rStyle w:val="FormatvorlageInstructionsTabelleText"/>
                <w:rFonts w:ascii="Times New Roman" w:hAnsi="Times New Roman"/>
                <w:sz w:val="22"/>
              </w:rPr>
              <w:t>förordning (EU) nr 575/2013.</w:t>
            </w:r>
          </w:p>
          <w:p w14:paraId="3310E285"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I balanserade vinstmedel ingår balanserade vinstmedel från det föregående året och delårs- eller årsöverskott.</w:t>
            </w:r>
          </w:p>
          <w:p w14:paraId="29CED7A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Totalsumman av raderna 0070 och 0080 ska anges.</w:t>
            </w:r>
          </w:p>
        </w:tc>
      </w:tr>
      <w:tr w:rsidR="00E20575" w:rsidRPr="008F22A0" w14:paraId="6B82D8CE" w14:textId="77777777">
        <w:tc>
          <w:tcPr>
            <w:tcW w:w="1129" w:type="dxa"/>
          </w:tcPr>
          <w:p w14:paraId="1B91BD9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Pr>
          <w:p w14:paraId="41230A1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Balanserade vinstmedel från föregå</w:t>
            </w:r>
            <w:r w:rsidRPr="008F22A0">
              <w:rPr>
                <w:rFonts w:ascii="Times New Roman" w:hAnsi="Times New Roman"/>
                <w:b/>
                <w:u w:val="single"/>
              </w:rPr>
              <w:t>ende år</w:t>
            </w:r>
          </w:p>
          <w:p w14:paraId="78462190" w14:textId="77777777" w:rsidR="00E20575" w:rsidRPr="008F22A0" w:rsidRDefault="008F22A0">
            <w:pPr>
              <w:spacing w:after="120" w:line="240" w:lineRule="auto"/>
              <w:jc w:val="both"/>
              <w:rPr>
                <w:rFonts w:ascii="Times New Roman" w:eastAsia="Times New Roman" w:hAnsi="Times New Roman"/>
              </w:rPr>
            </w:pPr>
            <w:r w:rsidRPr="008F22A0">
              <w:rPr>
                <w:rFonts w:ascii="Times New Roman" w:hAnsi="Times New Roman"/>
              </w:rPr>
              <w:t>Artikel 4.1.123 och artikel 26.1 c i förordning (EU) nr 575/2013.</w:t>
            </w:r>
          </w:p>
          <w:p w14:paraId="3582870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I artikel 4.1.123 i förordning (EU) nr 575/2013 definieras balanserade vinstmedel som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balanserad vinst och förlust från föregående räkenskapsår i enlighet med tillämpliga redovisnin</w:t>
            </w:r>
            <w:r w:rsidRPr="008F22A0">
              <w:rPr>
                <w:rStyle w:val="FormatvorlageInstructionsTabelleText"/>
                <w:rFonts w:ascii="Times New Roman" w:hAnsi="Times New Roman"/>
                <w:sz w:val="22"/>
              </w:rPr>
              <w:t>gsrama</w:t>
            </w:r>
            <w:r w:rsidRPr="008F22A0">
              <w:rPr>
                <w:rStyle w:val="FormatvorlageInstructionsTabelleText"/>
                <w:rFonts w:ascii="Times New Roman" w:hAnsi="Times New Roman"/>
                <w:sz w:val="22"/>
              </w:rPr>
              <w:t>r”</w:t>
            </w:r>
            <w:r w:rsidRPr="008F22A0">
              <w:rPr>
                <w:rStyle w:val="FormatvorlageInstructionsTabelleText"/>
                <w:rFonts w:ascii="Times New Roman" w:hAnsi="Times New Roman"/>
                <w:sz w:val="22"/>
              </w:rPr>
              <w:t>.</w:t>
            </w:r>
          </w:p>
        </w:tc>
      </w:tr>
      <w:tr w:rsidR="00E20575" w:rsidRPr="008F22A0" w14:paraId="45084BD3" w14:textId="77777777">
        <w:tc>
          <w:tcPr>
            <w:tcW w:w="1129" w:type="dxa"/>
          </w:tcPr>
          <w:p w14:paraId="15C438B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Pr>
          <w:p w14:paraId="23BFC0D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Överskott</w:t>
            </w:r>
          </w:p>
          <w:p w14:paraId="0E557FC0" w14:textId="77777777" w:rsidR="00E20575" w:rsidRPr="008F22A0" w:rsidRDefault="008F22A0">
            <w:pPr>
              <w:spacing w:after="120" w:line="240" w:lineRule="auto"/>
              <w:jc w:val="both"/>
              <w:rPr>
                <w:rFonts w:ascii="Times New Roman" w:eastAsia="Times New Roman" w:hAnsi="Times New Roman"/>
              </w:rPr>
            </w:pPr>
            <w:r w:rsidRPr="008F22A0">
              <w:rPr>
                <w:rFonts w:ascii="Times New Roman" w:hAnsi="Times New Roman"/>
              </w:rPr>
              <w:lastRenderedPageBreak/>
              <w:t>Artikel 4.1.121 och artikel 26.2 i förordning (EU) nr 575/2013.</w:t>
            </w:r>
          </w:p>
          <w:p w14:paraId="0112B07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Enligt artikel 26.2 i förordning (EU) nr 575/2013 får delårs- eller årsöverskott räknas in i balanserade vinstmedel, efter förhandstillstånd från behörig myndighet och om vissa villkor är uppfyllda. </w:t>
            </w:r>
          </w:p>
        </w:tc>
      </w:tr>
      <w:tr w:rsidR="00E20575" w:rsidRPr="008F22A0" w14:paraId="103402A4" w14:textId="77777777">
        <w:tc>
          <w:tcPr>
            <w:tcW w:w="1129" w:type="dxa"/>
          </w:tcPr>
          <w:p w14:paraId="6A51B6E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lastRenderedPageBreak/>
              <w:t>0090</w:t>
            </w:r>
          </w:p>
        </w:tc>
        <w:tc>
          <w:tcPr>
            <w:tcW w:w="7620" w:type="dxa"/>
          </w:tcPr>
          <w:p w14:paraId="5BE23A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Ackumulerat övrigt totalresultat</w:t>
            </w:r>
          </w:p>
          <w:p w14:paraId="10FC21E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w:t>
            </w:r>
            <w:r w:rsidRPr="008F22A0">
              <w:rPr>
                <w:rFonts w:ascii="Times New Roman" w:hAnsi="Times New Roman"/>
              </w:rPr>
              <w:t>örordning (EU) 2019/2033.</w:t>
            </w:r>
          </w:p>
          <w:p w14:paraId="33AD08B6" w14:textId="77777777" w:rsidR="00E20575" w:rsidRPr="008F22A0" w:rsidRDefault="008F22A0">
            <w:pPr>
              <w:spacing w:after="120" w:line="240" w:lineRule="auto"/>
              <w:jc w:val="both"/>
              <w:rPr>
                <w:rFonts w:ascii="Times New Roman" w:hAnsi="Times New Roman" w:cs="Times New Roman"/>
                <w:bCs/>
              </w:rPr>
            </w:pPr>
            <w:r w:rsidRPr="008F22A0">
              <w:rPr>
                <w:rStyle w:val="FormatvorlageInstructionsTabelleText"/>
                <w:rFonts w:ascii="Times New Roman" w:hAnsi="Times New Roman"/>
                <w:sz w:val="22"/>
              </w:rPr>
              <w:t>Artikel 26.1 d i förordning (EU) nr 575/2013.</w:t>
            </w:r>
          </w:p>
        </w:tc>
      </w:tr>
      <w:tr w:rsidR="00E20575" w:rsidRPr="008F22A0" w14:paraId="42E69434" w14:textId="77777777">
        <w:tc>
          <w:tcPr>
            <w:tcW w:w="1129" w:type="dxa"/>
          </w:tcPr>
          <w:p w14:paraId="3655FCD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w:t>
            </w:r>
          </w:p>
        </w:tc>
        <w:tc>
          <w:tcPr>
            <w:tcW w:w="7620" w:type="dxa"/>
          </w:tcPr>
          <w:p w14:paraId="1BD24F0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Övriga reserver</w:t>
            </w:r>
          </w:p>
          <w:p w14:paraId="6E2D8CF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6486A584"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Artikel 4.1.117 och artikel 26.1 e i förordning (EU) nr 575/2013.</w:t>
            </w:r>
          </w:p>
          <w:p w14:paraId="1C88B07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Beloppet ska redovisas efter avdrag för de eventuella</w:t>
            </w:r>
            <w:r w:rsidRPr="008F22A0">
              <w:rPr>
                <w:rStyle w:val="FormatvorlageInstructionsTabelleText"/>
                <w:rFonts w:ascii="Times New Roman" w:hAnsi="Times New Roman"/>
                <w:sz w:val="22"/>
              </w:rPr>
              <w:t xml:space="preserve"> skattepålagor som kan förutses när beräkningen görs.</w:t>
            </w:r>
          </w:p>
        </w:tc>
      </w:tr>
      <w:tr w:rsidR="00E20575" w:rsidRPr="008F22A0" w14:paraId="57FE8B3C" w14:textId="77777777">
        <w:tc>
          <w:tcPr>
            <w:tcW w:w="1129" w:type="dxa"/>
          </w:tcPr>
          <w:p w14:paraId="22D079F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shd w:val="clear" w:color="auto" w:fill="auto"/>
          </w:tcPr>
          <w:p w14:paraId="32E3C1D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Minoritetsintressen som ingår i kärnprimärkapitalet</w:t>
            </w:r>
          </w:p>
          <w:p w14:paraId="6690F98C"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Artiklarna 84.1, 85.1 och 87.1 i förordning (EU) nr 575/2013.</w:t>
            </w:r>
          </w:p>
          <w:p w14:paraId="62C26DE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Summan av samtliga dotterföretags minoritetsintressen som ingår i det </w:t>
            </w:r>
            <w:r w:rsidRPr="008F22A0">
              <w:rPr>
                <w:rStyle w:val="FormatvorlageInstructionsTabelleText"/>
                <w:rFonts w:ascii="Times New Roman" w:hAnsi="Times New Roman"/>
                <w:sz w:val="22"/>
              </w:rPr>
              <w:t>konsoliderade kärnprimärkapitalet.</w:t>
            </w:r>
          </w:p>
        </w:tc>
      </w:tr>
      <w:tr w:rsidR="00E20575" w:rsidRPr="008F22A0" w14:paraId="52D33554" w14:textId="77777777">
        <w:tc>
          <w:tcPr>
            <w:tcW w:w="1129" w:type="dxa"/>
          </w:tcPr>
          <w:p w14:paraId="5B305A9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0120</w:t>
            </w:r>
          </w:p>
        </w:tc>
        <w:tc>
          <w:tcPr>
            <w:tcW w:w="7620" w:type="dxa"/>
            <w:shd w:val="clear" w:color="auto" w:fill="auto"/>
          </w:tcPr>
          <w:p w14:paraId="6910D60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Justeringar av kärnprimärkapital på grund av försiktighetsmarginaler</w:t>
            </w:r>
          </w:p>
          <w:p w14:paraId="45EFD60F"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Artikel 9.1 i i förordning (EU) 2019/2033.</w:t>
            </w:r>
          </w:p>
          <w:p w14:paraId="1CF3DF8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Artiklarna 32–35 i förordning (EU) nr 575/2013.</w:t>
            </w:r>
          </w:p>
        </w:tc>
      </w:tr>
      <w:tr w:rsidR="00E20575" w:rsidRPr="008F22A0" w14:paraId="77715C38" w14:textId="77777777">
        <w:tc>
          <w:tcPr>
            <w:tcW w:w="1129" w:type="dxa"/>
          </w:tcPr>
          <w:p w14:paraId="0BB1B7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0130</w:t>
            </w:r>
          </w:p>
        </w:tc>
        <w:tc>
          <w:tcPr>
            <w:tcW w:w="7620" w:type="dxa"/>
          </w:tcPr>
          <w:p w14:paraId="3BEAB65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Övriga fonder</w:t>
            </w:r>
          </w:p>
          <w:p w14:paraId="366262B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9.4 i förordning (EU) 2019/</w:t>
            </w:r>
            <w:r w:rsidRPr="008F22A0">
              <w:rPr>
                <w:rFonts w:ascii="Times New Roman" w:hAnsi="Times New Roman"/>
              </w:rPr>
              <w:t>2033.</w:t>
            </w:r>
          </w:p>
        </w:tc>
      </w:tr>
      <w:tr w:rsidR="00E20575" w:rsidRPr="008F22A0" w14:paraId="2168A9FF" w14:textId="77777777">
        <w:tc>
          <w:tcPr>
            <w:tcW w:w="1129" w:type="dxa"/>
          </w:tcPr>
          <w:p w14:paraId="52EBBF7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0140</w:t>
            </w:r>
          </w:p>
        </w:tc>
        <w:tc>
          <w:tcPr>
            <w:tcW w:w="7620" w:type="dxa"/>
          </w:tcPr>
          <w:p w14:paraId="391CFA1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TOTALA AVDRAG FRÅN KÄRNPRIMÄRKAPITAL</w:t>
            </w:r>
          </w:p>
          <w:p w14:paraId="27B3379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Totalsumman av rad 0150 och raderna 0190–0280 ska anges.</w:t>
            </w:r>
          </w:p>
        </w:tc>
      </w:tr>
      <w:tr w:rsidR="00E20575" w:rsidRPr="008F22A0" w14:paraId="4613D7CC" w14:textId="77777777">
        <w:tc>
          <w:tcPr>
            <w:tcW w:w="1129" w:type="dxa"/>
          </w:tcPr>
          <w:p w14:paraId="474E651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0150</w:t>
            </w:r>
          </w:p>
        </w:tc>
        <w:tc>
          <w:tcPr>
            <w:tcW w:w="7620" w:type="dxa"/>
            <w:shd w:val="clear" w:color="auto" w:fill="auto"/>
          </w:tcPr>
          <w:p w14:paraId="2588175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Egna kärnprimärkapitalinstrument</w:t>
            </w:r>
          </w:p>
          <w:p w14:paraId="70F3459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3FC23A94"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Artikel 36.1 f och artikel 42 i förordning (EU) nr </w:t>
            </w:r>
            <w:r w:rsidRPr="008F22A0">
              <w:rPr>
                <w:rStyle w:val="FormatvorlageInstructionsTabelleText"/>
                <w:rFonts w:ascii="Times New Roman" w:hAnsi="Times New Roman"/>
                <w:sz w:val="22"/>
              </w:rPr>
              <w:t>575/2013.</w:t>
            </w:r>
          </w:p>
          <w:p w14:paraId="194E0F91"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Det egna kärnprimärkapital som det rapporterande institutet eller den rapporterande gruppen innehar på rapporteringsdatum. Omfattas av undantagen i artikel 42 i förordning (EU) nr 575/2013.</w:t>
            </w:r>
          </w:p>
          <w:p w14:paraId="62B7F24F"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Aktieinnehav som ingår i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ej godtagbara kapitalinstrumen</w:t>
            </w:r>
            <w:r w:rsidRPr="008F22A0">
              <w:rPr>
                <w:rStyle w:val="FormatvorlageInstructionsTabelleText"/>
                <w:rFonts w:ascii="Times New Roman" w:hAnsi="Times New Roman"/>
                <w:sz w:val="22"/>
              </w:rPr>
              <w:t>t”</w:t>
            </w:r>
            <w:r w:rsidRPr="008F22A0">
              <w:rPr>
                <w:rStyle w:val="FormatvorlageInstructionsTabelleText"/>
                <w:rFonts w:ascii="Times New Roman" w:hAnsi="Times New Roman"/>
                <w:sz w:val="22"/>
              </w:rPr>
              <w:t xml:space="preserve"> ska inte anges på denna rad.</w:t>
            </w:r>
          </w:p>
          <w:p w14:paraId="45D7A939"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Den överkursfond som hör ihop med aktieinnehavet ska ingå i det belopp som anges.</w:t>
            </w:r>
          </w:p>
          <w:p w14:paraId="7D83D874" w14:textId="77777777" w:rsidR="00E20575" w:rsidRPr="008F22A0" w:rsidRDefault="00E20575">
            <w:pPr>
              <w:pStyle w:val="InstructionsText"/>
            </w:pPr>
          </w:p>
        </w:tc>
      </w:tr>
      <w:tr w:rsidR="00E20575" w:rsidRPr="008F22A0" w14:paraId="62F894ED" w14:textId="77777777">
        <w:tc>
          <w:tcPr>
            <w:tcW w:w="1129" w:type="dxa"/>
          </w:tcPr>
          <w:p w14:paraId="024A781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0160</w:t>
            </w:r>
          </w:p>
        </w:tc>
        <w:tc>
          <w:tcPr>
            <w:tcW w:w="7620" w:type="dxa"/>
            <w:shd w:val="clear" w:color="auto" w:fill="auto"/>
          </w:tcPr>
          <w:p w14:paraId="7DEEC38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Direkta innehav av kärnprimärkapitalinstrument</w:t>
            </w:r>
          </w:p>
          <w:p w14:paraId="4BD1025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2C52C534" w14:textId="77777777" w:rsidR="00E20575" w:rsidRPr="008F22A0" w:rsidRDefault="008F22A0">
            <w:pPr>
              <w:pStyle w:val="InstructionsText"/>
              <w:rPr>
                <w:rStyle w:val="FormatvorlageInstructionsTabelleText"/>
                <w:rFonts w:ascii="Times New Roman" w:eastAsiaTheme="minorHAnsi" w:hAnsi="Times New Roman"/>
                <w:bCs/>
                <w:sz w:val="22"/>
                <w:szCs w:val="22"/>
              </w:rPr>
            </w:pPr>
            <w:r w:rsidRPr="008F22A0">
              <w:rPr>
                <w:rStyle w:val="FormatvorlageInstructionsTabelleText"/>
                <w:rFonts w:ascii="Times New Roman" w:hAnsi="Times New Roman"/>
                <w:sz w:val="22"/>
              </w:rPr>
              <w:t xml:space="preserve">Artikel 36.1 f och artikel 42 i </w:t>
            </w:r>
            <w:r w:rsidRPr="008F22A0">
              <w:rPr>
                <w:rStyle w:val="FormatvorlageInstructionsTabelleText"/>
                <w:rFonts w:ascii="Times New Roman" w:hAnsi="Times New Roman"/>
                <w:sz w:val="22"/>
              </w:rPr>
              <w:t>förordning (EU) nr 575/2013.</w:t>
            </w:r>
          </w:p>
          <w:p w14:paraId="7E642551" w14:textId="77777777" w:rsidR="00E20575" w:rsidRPr="008F22A0" w:rsidRDefault="008F22A0">
            <w:pPr>
              <w:pStyle w:val="InstructionsText"/>
              <w:rPr>
                <w:rFonts w:cs="Times New Roman"/>
                <w:b/>
                <w:bCs w:val="0"/>
                <w:u w:val="single"/>
              </w:rPr>
            </w:pPr>
            <w:r w:rsidRPr="008F22A0">
              <w:rPr>
                <w:rStyle w:val="FormatvorlageInstructionsTabelleText"/>
                <w:rFonts w:ascii="Times New Roman" w:hAnsi="Times New Roman"/>
                <w:sz w:val="22"/>
              </w:rPr>
              <w:t>Kärnprimärkapitalinstrument som innehas av värdepappersföretaget.</w:t>
            </w:r>
          </w:p>
        </w:tc>
      </w:tr>
      <w:tr w:rsidR="00E20575" w:rsidRPr="008F22A0" w14:paraId="0DD34B67" w14:textId="77777777">
        <w:tc>
          <w:tcPr>
            <w:tcW w:w="1129" w:type="dxa"/>
          </w:tcPr>
          <w:p w14:paraId="757635B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F7A3B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Indirekta innehav av kärnprimärkapitalinstrument</w:t>
            </w:r>
          </w:p>
          <w:p w14:paraId="0150959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w:t>
            </w:r>
            <w:r w:rsidRPr="008F22A0">
              <w:rPr>
                <w:rStyle w:val="FormatvorlageInstructionsTabelleText"/>
                <w:rFonts w:ascii="Times New Roman" w:hAnsi="Times New Roman"/>
                <w:sz w:val="22"/>
              </w:rPr>
              <w:t>i</w:t>
            </w:r>
            <w:r w:rsidRPr="008F22A0">
              <w:rPr>
                <w:rFonts w:ascii="Times New Roman" w:hAnsi="Times New Roman"/>
              </w:rPr>
              <w:t xml:space="preserve"> förordning (EU) 2019/2033.</w:t>
            </w:r>
          </w:p>
          <w:p w14:paraId="0B87DA90" w14:textId="77777777" w:rsidR="00E20575" w:rsidRPr="008F22A0" w:rsidRDefault="008F22A0">
            <w:pPr>
              <w:spacing w:after="120" w:line="240" w:lineRule="auto"/>
              <w:jc w:val="both"/>
              <w:rPr>
                <w:rFonts w:ascii="Times New Roman" w:eastAsia="Times New Roman" w:hAnsi="Times New Roman"/>
              </w:rPr>
            </w:pPr>
            <w:r w:rsidRPr="008F22A0">
              <w:rPr>
                <w:rFonts w:ascii="Times New Roman" w:hAnsi="Times New Roman"/>
              </w:rPr>
              <w:t xml:space="preserve">Artikel 36.1 f och artikel 42 </w:t>
            </w:r>
            <w:r w:rsidRPr="008F22A0">
              <w:rPr>
                <w:rStyle w:val="FormatvorlageInstructionsTabelleText"/>
                <w:rFonts w:ascii="Times New Roman" w:hAnsi="Times New Roman"/>
                <w:sz w:val="22"/>
              </w:rPr>
              <w:t>i</w:t>
            </w:r>
            <w:r w:rsidRPr="008F22A0">
              <w:rPr>
                <w:rFonts w:ascii="Times New Roman" w:hAnsi="Times New Roman"/>
              </w:rPr>
              <w:t xml:space="preserve"> förordning (EU) nr 575/2013.</w:t>
            </w:r>
          </w:p>
          <w:p w14:paraId="75D880D4" w14:textId="77777777" w:rsidR="00E20575" w:rsidRPr="008F22A0" w:rsidRDefault="008F22A0">
            <w:pPr>
              <w:spacing w:after="120" w:line="240" w:lineRule="auto"/>
              <w:jc w:val="both"/>
              <w:rPr>
                <w:rFonts w:ascii="Times New Roman" w:eastAsia="Times New Roman" w:hAnsi="Times New Roman"/>
              </w:rPr>
            </w:pPr>
            <w:r w:rsidRPr="008F22A0">
              <w:rPr>
                <w:rFonts w:ascii="Times New Roman" w:hAnsi="Times New Roman"/>
              </w:rPr>
              <w:t>Kärnprimärkapitalinstrument som innehas av värdepappersföretaget.</w:t>
            </w:r>
          </w:p>
        </w:tc>
      </w:tr>
      <w:tr w:rsidR="00E20575" w:rsidRPr="008F22A0" w14:paraId="49ACD8F7" w14:textId="77777777">
        <w:tc>
          <w:tcPr>
            <w:tcW w:w="1129" w:type="dxa"/>
          </w:tcPr>
          <w:p w14:paraId="7E006C6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lastRenderedPageBreak/>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14ACDC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Syntetiska innehav av kärnprimärkapitalinstrument</w:t>
            </w:r>
          </w:p>
          <w:p w14:paraId="5DC4638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522AA94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Artikel 4.1.114, </w:t>
            </w:r>
            <w:r w:rsidRPr="008F22A0">
              <w:rPr>
                <w:rStyle w:val="FormatvorlageInstructionsTabelleText"/>
                <w:rFonts w:ascii="Times New Roman" w:hAnsi="Times New Roman"/>
                <w:sz w:val="22"/>
              </w:rPr>
              <w:t>artikel 36.1 f och artikel 42 i förordning (EU) nr 575/2013.</w:t>
            </w:r>
          </w:p>
        </w:tc>
      </w:tr>
      <w:tr w:rsidR="00E20575" w:rsidRPr="008F22A0" w14:paraId="53DBFC5B" w14:textId="77777777">
        <w:tc>
          <w:tcPr>
            <w:tcW w:w="1129" w:type="dxa"/>
          </w:tcPr>
          <w:p w14:paraId="070C633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146BC2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Förluster för innevarande räkenskapsår</w:t>
            </w:r>
          </w:p>
          <w:p w14:paraId="11ADCE9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36.1 a i förordning (EU) nr 575/2013.</w:t>
            </w:r>
          </w:p>
        </w:tc>
      </w:tr>
      <w:tr w:rsidR="00E20575" w:rsidRPr="008F22A0" w14:paraId="3FE46FB1" w14:textId="77777777">
        <w:tc>
          <w:tcPr>
            <w:tcW w:w="1129" w:type="dxa"/>
          </w:tcPr>
          <w:p w14:paraId="396D118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47325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Goodwill</w:t>
            </w:r>
          </w:p>
          <w:p w14:paraId="4E628DC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35E57C7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Artikel 4.1.113, artikel 36.1 b och </w:t>
            </w:r>
            <w:r w:rsidRPr="008F22A0">
              <w:rPr>
                <w:rStyle w:val="FormatvorlageInstructionsTabelleText"/>
                <w:rFonts w:ascii="Times New Roman" w:hAnsi="Times New Roman"/>
                <w:sz w:val="22"/>
              </w:rPr>
              <w:t>artikel 37 i förordning (EU) nr 575/2013.</w:t>
            </w:r>
          </w:p>
        </w:tc>
      </w:tr>
      <w:tr w:rsidR="00E20575" w:rsidRPr="008F22A0" w14:paraId="7A83A566" w14:textId="77777777">
        <w:tc>
          <w:tcPr>
            <w:tcW w:w="1129" w:type="dxa"/>
          </w:tcPr>
          <w:p w14:paraId="399DB55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4199F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Övriga immateriella tillgångar</w:t>
            </w:r>
          </w:p>
          <w:p w14:paraId="59BDC6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w:t>
            </w:r>
            <w:r w:rsidRPr="008F22A0">
              <w:rPr>
                <w:rStyle w:val="FormatvorlageInstructionsTabelleText"/>
                <w:rFonts w:ascii="Times New Roman" w:hAnsi="Times New Roman"/>
                <w:sz w:val="22"/>
              </w:rPr>
              <w:t>i</w:t>
            </w:r>
            <w:r w:rsidRPr="008F22A0">
              <w:rPr>
                <w:rFonts w:ascii="Times New Roman" w:hAnsi="Times New Roman"/>
              </w:rPr>
              <w:t xml:space="preserve"> förordning (EU) 2019/2033.</w:t>
            </w:r>
          </w:p>
          <w:p w14:paraId="6086F155" w14:textId="77777777" w:rsidR="00E20575" w:rsidRPr="008F22A0" w:rsidRDefault="008F22A0">
            <w:pPr>
              <w:pStyle w:val="InstructionsText"/>
              <w:rPr>
                <w:rStyle w:val="FormatvorlageInstructionsTabelleText"/>
                <w:rFonts w:ascii="Times New Roman" w:eastAsiaTheme="minorHAnsi" w:hAnsi="Times New Roman"/>
                <w:bCs/>
                <w:sz w:val="22"/>
                <w:szCs w:val="22"/>
              </w:rPr>
            </w:pPr>
            <w:r w:rsidRPr="008F22A0">
              <w:rPr>
                <w:rStyle w:val="FormatvorlageInstructionsTabelleText"/>
                <w:rFonts w:ascii="Times New Roman" w:hAnsi="Times New Roman"/>
                <w:sz w:val="22"/>
              </w:rPr>
              <w:t>Artikel 4.1.115, artikel 36.1 b och artikel 37 a i förordning (EU) nr 575/2013.</w:t>
            </w:r>
          </w:p>
          <w:p w14:paraId="33E5308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Övriga immateriella tillgångar är </w:t>
            </w:r>
            <w:r w:rsidRPr="008F22A0">
              <w:rPr>
                <w:rStyle w:val="FormatvorlageInstructionsTabelleText"/>
                <w:rFonts w:ascii="Times New Roman" w:hAnsi="Times New Roman"/>
                <w:sz w:val="22"/>
              </w:rPr>
              <w:t>immateriella tillgångar enligt tillämplig redovisningsstandard minus goodwill, även denna enligt tillämplig redovisningsstandard.</w:t>
            </w:r>
          </w:p>
        </w:tc>
      </w:tr>
      <w:tr w:rsidR="00E20575" w:rsidRPr="008F22A0" w14:paraId="4FAD5FA0" w14:textId="77777777">
        <w:tc>
          <w:tcPr>
            <w:tcW w:w="1129" w:type="dxa"/>
          </w:tcPr>
          <w:p w14:paraId="276D2BA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3040D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Uppskjutna skattefordringar som är beroende av framtida lönsamhet och som inte uppstår till följd av temporära skill</w:t>
            </w:r>
            <w:r w:rsidRPr="008F22A0">
              <w:rPr>
                <w:rFonts w:ascii="Times New Roman" w:hAnsi="Times New Roman"/>
                <w:b/>
                <w:u w:val="single"/>
              </w:rPr>
              <w:t>nader minus tillhörande skatteskulder</w:t>
            </w:r>
          </w:p>
          <w:p w14:paraId="30355C0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a i förordning (EU) 2019/2033.</w:t>
            </w:r>
          </w:p>
          <w:p w14:paraId="0A17D75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36.1 c i förordning (EU) nr 575/2013.</w:t>
            </w:r>
          </w:p>
        </w:tc>
      </w:tr>
      <w:tr w:rsidR="00E20575" w:rsidRPr="008F22A0" w14:paraId="13130D5C" w14:textId="77777777">
        <w:tc>
          <w:tcPr>
            <w:tcW w:w="1129" w:type="dxa"/>
          </w:tcPr>
          <w:p w14:paraId="493A655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4EFA9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Kvalificerat innehav utanför den finansiella sektorn som överstiger 15 % av kapitalbasen</w:t>
            </w:r>
          </w:p>
          <w:p w14:paraId="50EF9AD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10.1 a i </w:t>
            </w:r>
            <w:r w:rsidRPr="008F22A0">
              <w:rPr>
                <w:rFonts w:ascii="Times New Roman" w:hAnsi="Times New Roman"/>
              </w:rPr>
              <w:t>förordning (EU) 2019/2033.</w:t>
            </w:r>
          </w:p>
        </w:tc>
      </w:tr>
      <w:tr w:rsidR="00E20575" w:rsidRPr="008F22A0" w14:paraId="32D139E8" w14:textId="77777777">
        <w:tc>
          <w:tcPr>
            <w:tcW w:w="1129" w:type="dxa"/>
          </w:tcPr>
          <w:p w14:paraId="5CF4363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D009B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Totala kvalificerade innehav i andra företag än enheter i den finansiella sektorn som överstiger 60 % av deras kapitalbas</w:t>
            </w:r>
          </w:p>
          <w:p w14:paraId="0B11540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10.1 b i förordning (EU) 2019/2033.</w:t>
            </w:r>
          </w:p>
        </w:tc>
      </w:tr>
      <w:tr w:rsidR="00E20575" w:rsidRPr="008F22A0" w14:paraId="69873122" w14:textId="77777777">
        <w:tc>
          <w:tcPr>
            <w:tcW w:w="1129" w:type="dxa"/>
          </w:tcPr>
          <w:p w14:paraId="1FA736F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F3CE8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 </w:t>
            </w:r>
            <w:r w:rsidRPr="008F22A0">
              <w:rPr>
                <w:rFonts w:ascii="Times New Roman" w:hAnsi="Times New Roman"/>
                <w:b/>
                <w:u w:val="single"/>
              </w:rPr>
              <w:t>Kärnprimärkapitalinstrument i enheter i den finansiella sektorn i vilka värdepappersföretaget inte har ett väsentligt innehav</w:t>
            </w:r>
          </w:p>
          <w:p w14:paraId="60482C5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4BD9470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36.1 h </w:t>
            </w:r>
            <w:r w:rsidRPr="008F22A0">
              <w:rPr>
                <w:rStyle w:val="FormatvorlageInstructionsTabelleText"/>
                <w:rFonts w:ascii="Times New Roman" w:hAnsi="Times New Roman"/>
                <w:sz w:val="22"/>
              </w:rPr>
              <w:t>i</w:t>
            </w:r>
            <w:r w:rsidRPr="008F22A0">
              <w:rPr>
                <w:rFonts w:ascii="Times New Roman" w:hAnsi="Times New Roman"/>
              </w:rPr>
              <w:t xml:space="preserve"> förordning (EU) nr 575/2013.</w:t>
            </w:r>
          </w:p>
        </w:tc>
      </w:tr>
      <w:tr w:rsidR="00E20575" w:rsidRPr="008F22A0" w14:paraId="20743883" w14:textId="77777777">
        <w:tc>
          <w:tcPr>
            <w:tcW w:w="1129" w:type="dxa"/>
          </w:tcPr>
          <w:p w14:paraId="0274D1C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A06C6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 </w:t>
            </w:r>
            <w:r w:rsidRPr="008F22A0">
              <w:rPr>
                <w:rFonts w:ascii="Times New Roman" w:hAnsi="Times New Roman"/>
                <w:b/>
                <w:u w:val="single"/>
              </w:rPr>
              <w:t>Kärnprimärkapitalinstrument i enheter i den finansiella sektorn i vilka värdepappersföretaget har ett väsentligt innehav</w:t>
            </w:r>
          </w:p>
          <w:p w14:paraId="636B6C3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9.2 d </w:t>
            </w:r>
            <w:r w:rsidRPr="008F22A0">
              <w:rPr>
                <w:rStyle w:val="FormatvorlageInstructionsTabelleText"/>
                <w:rFonts w:ascii="Times New Roman" w:hAnsi="Times New Roman"/>
                <w:sz w:val="22"/>
              </w:rPr>
              <w:t>i</w:t>
            </w:r>
            <w:r w:rsidRPr="008F22A0">
              <w:rPr>
                <w:rFonts w:ascii="Times New Roman" w:hAnsi="Times New Roman"/>
              </w:rPr>
              <w:t xml:space="preserve"> förordning (EU) 2019/2033.</w:t>
            </w:r>
          </w:p>
          <w:p w14:paraId="2B2408D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36.1 i </w:t>
            </w:r>
            <w:r w:rsidRPr="008F22A0">
              <w:rPr>
                <w:rStyle w:val="FormatvorlageInstructionsTabelleText"/>
                <w:rFonts w:ascii="Times New Roman" w:hAnsi="Times New Roman"/>
                <w:sz w:val="22"/>
              </w:rPr>
              <w:t>i</w:t>
            </w:r>
            <w:r w:rsidRPr="008F22A0">
              <w:rPr>
                <w:rFonts w:ascii="Times New Roman" w:hAnsi="Times New Roman"/>
              </w:rPr>
              <w:t xml:space="preserve"> förordning (EU) nr 575/2013.</w:t>
            </w:r>
          </w:p>
        </w:tc>
      </w:tr>
      <w:tr w:rsidR="00E20575" w:rsidRPr="008F22A0" w14:paraId="0E504CED" w14:textId="77777777">
        <w:tc>
          <w:tcPr>
            <w:tcW w:w="1129" w:type="dxa"/>
          </w:tcPr>
          <w:p w14:paraId="25A8BE9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A4D89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Tillgångar i förmånsbestämda pension</w:t>
            </w:r>
            <w:r w:rsidRPr="008F22A0">
              <w:rPr>
                <w:rFonts w:ascii="Times New Roman" w:hAnsi="Times New Roman"/>
                <w:b/>
                <w:u w:val="single"/>
              </w:rPr>
              <w:t>splaner</w:t>
            </w:r>
          </w:p>
          <w:p w14:paraId="3015C6A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9.2 b </w:t>
            </w:r>
            <w:r w:rsidRPr="008F22A0">
              <w:rPr>
                <w:rStyle w:val="FormatvorlageInstructionsTabelleText"/>
                <w:rFonts w:ascii="Times New Roman" w:hAnsi="Times New Roman"/>
                <w:sz w:val="22"/>
              </w:rPr>
              <w:t>i</w:t>
            </w:r>
            <w:r w:rsidRPr="008F22A0">
              <w:rPr>
                <w:rFonts w:ascii="Times New Roman" w:hAnsi="Times New Roman"/>
              </w:rPr>
              <w:t xml:space="preserve"> förordning (EU) 2019/2033.</w:t>
            </w:r>
          </w:p>
          <w:p w14:paraId="4E72346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36.1 e </w:t>
            </w:r>
            <w:r w:rsidRPr="008F22A0">
              <w:rPr>
                <w:rStyle w:val="FormatvorlageInstructionsTabelleText"/>
                <w:rFonts w:ascii="Times New Roman" w:hAnsi="Times New Roman"/>
                <w:sz w:val="22"/>
              </w:rPr>
              <w:t>i</w:t>
            </w:r>
            <w:r w:rsidRPr="008F22A0">
              <w:rPr>
                <w:rFonts w:ascii="Times New Roman" w:hAnsi="Times New Roman"/>
              </w:rPr>
              <w:t xml:space="preserve"> förordning (EU) nr 575/2013.</w:t>
            </w:r>
          </w:p>
        </w:tc>
      </w:tr>
      <w:tr w:rsidR="00E20575" w:rsidRPr="008F22A0" w14:paraId="6DF900CE" w14:textId="77777777">
        <w:tc>
          <w:tcPr>
            <w:tcW w:w="1129" w:type="dxa"/>
          </w:tcPr>
          <w:p w14:paraId="39A3D1D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B6630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Övriga avdrag</w:t>
            </w:r>
          </w:p>
          <w:p w14:paraId="5C02AEC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Summan av alla övriga avdrag i enlighet med artikel 36.1 </w:t>
            </w:r>
            <w:r w:rsidRPr="008F22A0">
              <w:rPr>
                <w:rStyle w:val="FormatvorlageInstructionsTabelleText"/>
                <w:rFonts w:ascii="Times New Roman" w:hAnsi="Times New Roman"/>
                <w:sz w:val="22"/>
              </w:rPr>
              <w:t>i</w:t>
            </w:r>
            <w:r w:rsidRPr="008F22A0">
              <w:rPr>
                <w:rFonts w:ascii="Times New Roman" w:hAnsi="Times New Roman"/>
              </w:rPr>
              <w:t xml:space="preserve"> förordning (EU) nr 575/2013 som inte ingår i någon av raderna 0150–0270 ovan</w:t>
            </w:r>
            <w:r w:rsidRPr="008F22A0">
              <w:rPr>
                <w:rFonts w:ascii="Times New Roman" w:hAnsi="Times New Roman"/>
              </w:rPr>
              <w:t>.</w:t>
            </w:r>
          </w:p>
        </w:tc>
      </w:tr>
      <w:tr w:rsidR="00E20575" w:rsidRPr="008F22A0" w14:paraId="5C57E232" w14:textId="77777777">
        <w:tc>
          <w:tcPr>
            <w:tcW w:w="1129" w:type="dxa"/>
          </w:tcPr>
          <w:p w14:paraId="04A0D53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920C54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Kärnprimärkapital: Andra kapitalposter, avdrag och justeringar</w:t>
            </w:r>
          </w:p>
          <w:p w14:paraId="693BDE0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lastRenderedPageBreak/>
              <w:t>Denna rad ska i tillämpliga fall omfatta summan av följande poster:</w:t>
            </w:r>
          </w:p>
          <w:p w14:paraId="38C25C3C"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Övergångsjusteringar på grund av kärnprimärkapitalinstrument för vilka äldre regler får fortsätta att </w:t>
            </w:r>
            <w:r w:rsidRPr="008F22A0">
              <w:rPr>
                <w:rFonts w:ascii="Times New Roman" w:hAnsi="Times New Roman"/>
              </w:rPr>
              <w:t>tillämpas (artikel 483.1, 483.2 och 483.3 samt artiklarna 484–487 i förordning (EU) nr 575/2013).</w:t>
            </w:r>
          </w:p>
          <w:p w14:paraId="13593687"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Övergångsjusteringar på grund av ytterligare minoritetsinnehav (artiklarna 479 och 480 i förordning (EU) nr 575/2013).</w:t>
            </w:r>
          </w:p>
          <w:p w14:paraId="608D8C84"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Andra </w:t>
            </w:r>
            <w:r w:rsidRPr="008F22A0">
              <w:rPr>
                <w:rFonts w:ascii="Times New Roman" w:hAnsi="Times New Roman"/>
              </w:rPr>
              <w:t>övergångsjusteringar av kärnprimärkapital (artiklarna 469–478 och 481 i förordning (EU) nr 575/2013): Justeringar av avdragen från kärnprimärkapital på grund av övergångsbestämmelser.</w:t>
            </w:r>
          </w:p>
          <w:p w14:paraId="31549BFD" w14:textId="77777777" w:rsidR="00E20575" w:rsidRPr="008F22A0" w:rsidRDefault="008F22A0">
            <w:pPr>
              <w:spacing w:after="120" w:line="240" w:lineRule="auto"/>
              <w:ind w:left="360" w:hanging="360"/>
              <w:jc w:val="both"/>
              <w:rPr>
                <w:rFonts w:ascii="Times New Roman" w:eastAsia="Times New Roman" w:hAnsi="Times New Roman" w:cs="Times New Roman"/>
                <w:b/>
                <w:bCs/>
                <w:u w:val="single"/>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Andra delar i eller avdrag från en kärnprimärkapitalpost som inte kan </w:t>
            </w:r>
            <w:r w:rsidRPr="008F22A0">
              <w:rPr>
                <w:rFonts w:ascii="Times New Roman" w:hAnsi="Times New Roman"/>
              </w:rPr>
              <w:t>hänföras till någon av raderna 0040–0280.</w:t>
            </w:r>
          </w:p>
          <w:p w14:paraId="15F1124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Denna rad ska inte användas för att ta med kapitalposter eller avdrag som inte omfattas av förordning (EU) 2019/2033 eller förordning (EU) nr 575/2013 vid beräkningen av kapitaltäckningsgraden.</w:t>
            </w:r>
            <w:r w:rsidRPr="008F22A0">
              <w:rPr>
                <w:rFonts w:ascii="Times New Roman" w:hAnsi="Times New Roman"/>
                <w:b/>
                <w:u w:val="single"/>
              </w:rPr>
              <w:t xml:space="preserve"> </w:t>
            </w:r>
          </w:p>
        </w:tc>
      </w:tr>
      <w:tr w:rsidR="00E20575" w:rsidRPr="008F22A0" w14:paraId="57685382" w14:textId="77777777">
        <w:tc>
          <w:tcPr>
            <w:tcW w:w="1129" w:type="dxa"/>
          </w:tcPr>
          <w:p w14:paraId="328D8A4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AFEB82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ÖVRIGT PRIMÄR</w:t>
            </w:r>
            <w:r w:rsidRPr="008F22A0">
              <w:rPr>
                <w:rFonts w:ascii="Times New Roman" w:hAnsi="Times New Roman"/>
                <w:b/>
                <w:u w:val="single"/>
              </w:rPr>
              <w:t>KAPITAL FÖR KAPITALTÄCKNINGSÄNDAMÅL</w:t>
            </w:r>
          </w:p>
          <w:p w14:paraId="18EAD13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förordning (EU) 2019/2033.</w:t>
            </w:r>
          </w:p>
          <w:p w14:paraId="0369BF65"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Artikel 61 i förordning (EU) nr 575/2013.</w:t>
            </w:r>
          </w:p>
          <w:p w14:paraId="0AE03B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Totalsumman av raderna 0310–0330 och rad 0410 ska anges.</w:t>
            </w:r>
          </w:p>
        </w:tc>
      </w:tr>
      <w:tr w:rsidR="00E20575" w:rsidRPr="008F22A0" w14:paraId="41C000F5" w14:textId="77777777">
        <w:tc>
          <w:tcPr>
            <w:tcW w:w="1129" w:type="dxa"/>
          </w:tcPr>
          <w:p w14:paraId="58587C9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B088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Fullt betalda direkt emitterade kapitalinstrument</w:t>
            </w:r>
          </w:p>
          <w:p w14:paraId="7082687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i </w:t>
            </w:r>
            <w:r w:rsidRPr="008F22A0">
              <w:rPr>
                <w:rFonts w:ascii="Times New Roman" w:hAnsi="Times New Roman"/>
              </w:rPr>
              <w:t>förordning (EU) 2019/2033.</w:t>
            </w:r>
          </w:p>
          <w:p w14:paraId="55EE215A"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Artikel 51 a och artiklarna 52, 53 och 54</w:t>
            </w:r>
            <w:r w:rsidRPr="008F22A0">
              <w:t xml:space="preserve"> i </w:t>
            </w:r>
            <w:r w:rsidRPr="008F22A0">
              <w:rPr>
                <w:rStyle w:val="FormatvorlageInstructionsTabelleText"/>
                <w:rFonts w:ascii="Times New Roman" w:hAnsi="Times New Roman"/>
                <w:sz w:val="22"/>
              </w:rPr>
              <w:t>förordning (EU) nr 575/2013.</w:t>
            </w:r>
          </w:p>
          <w:p w14:paraId="2B82533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Den överkursfond som hör ihop med instrumentet ska inte ingå i det belopp som anges.</w:t>
            </w:r>
          </w:p>
        </w:tc>
      </w:tr>
      <w:tr w:rsidR="00E20575" w:rsidRPr="008F22A0" w14:paraId="01AA4E66" w14:textId="77777777">
        <w:tc>
          <w:tcPr>
            <w:tcW w:w="1129" w:type="dxa"/>
          </w:tcPr>
          <w:p w14:paraId="7DF1A0E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B5A47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Överkursfond</w:t>
            </w:r>
          </w:p>
          <w:p w14:paraId="0873431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48E0DB36"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Artikel 51 b </w:t>
            </w:r>
            <w:r w:rsidRPr="008F22A0">
              <w:t xml:space="preserve">i </w:t>
            </w:r>
            <w:r w:rsidRPr="008F22A0">
              <w:rPr>
                <w:rStyle w:val="FormatvorlageInstructionsTabelleText"/>
                <w:rFonts w:ascii="Times New Roman" w:hAnsi="Times New Roman"/>
                <w:sz w:val="22"/>
              </w:rPr>
              <w:t>förordning (EU) nr 575/2013.</w:t>
            </w:r>
          </w:p>
          <w:p w14:paraId="75468001"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Överkursfond har den innebörd som anges i tillämplig redovisningsstandard.</w:t>
            </w:r>
          </w:p>
          <w:p w14:paraId="2CA99AF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I denna post ska den del av beloppet anges som rör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fullt betalda kapitalinstrumen</w:t>
            </w:r>
            <w:r w:rsidRPr="008F22A0">
              <w:rPr>
                <w:rStyle w:val="FormatvorlageInstructionsTabelleText"/>
                <w:rFonts w:ascii="Times New Roman" w:hAnsi="Times New Roman"/>
                <w:sz w:val="22"/>
              </w:rPr>
              <w:t>t”</w:t>
            </w:r>
            <w:r w:rsidRPr="008F22A0">
              <w:rPr>
                <w:rStyle w:val="FormatvorlageInstructionsTabelleText"/>
                <w:rFonts w:ascii="Times New Roman" w:hAnsi="Times New Roman"/>
                <w:sz w:val="22"/>
              </w:rPr>
              <w:t>.</w:t>
            </w:r>
          </w:p>
        </w:tc>
      </w:tr>
      <w:tr w:rsidR="00E20575" w:rsidRPr="008F22A0" w14:paraId="3420E185" w14:textId="77777777">
        <w:tc>
          <w:tcPr>
            <w:tcW w:w="1129" w:type="dxa"/>
          </w:tcPr>
          <w:p w14:paraId="7D8E44A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ED350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TOTALA AVDRAG FRÅN ÖVRIGT PRIMÄRKAPITAL F</w:t>
            </w:r>
            <w:r w:rsidRPr="008F22A0">
              <w:rPr>
                <w:rFonts w:ascii="Times New Roman" w:hAnsi="Times New Roman"/>
                <w:b/>
                <w:u w:val="single"/>
              </w:rPr>
              <w:t>ÖR KAPITALTÄCKNINGSÄNDAMÅL (PRIMÄRKAPITALTILLSKOTTINSTRUMENT)</w:t>
            </w:r>
          </w:p>
          <w:p w14:paraId="08174780" w14:textId="77777777" w:rsidR="00E20575" w:rsidRPr="008F22A0" w:rsidRDefault="008F22A0">
            <w:pPr>
              <w:spacing w:before="60" w:after="60"/>
              <w:rPr>
                <w:rFonts w:ascii="Times New Roman" w:hAnsi="Times New Roman" w:cs="Times New Roman"/>
              </w:rPr>
            </w:pPr>
            <w:r w:rsidRPr="008F22A0">
              <w:rPr>
                <w:rFonts w:ascii="Times New Roman" w:hAnsi="Times New Roman"/>
              </w:rPr>
              <w:t>Artikel 56 i förordning (EU) nr 575/2013.</w:t>
            </w:r>
          </w:p>
          <w:p w14:paraId="001EAEB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Totalsumman av rad 0340 och raderna 0380–0400 ska anges.</w:t>
            </w:r>
          </w:p>
        </w:tc>
      </w:tr>
      <w:tr w:rsidR="00E20575" w:rsidRPr="008F22A0" w14:paraId="4FDE2868" w14:textId="77777777">
        <w:tc>
          <w:tcPr>
            <w:tcW w:w="1129" w:type="dxa"/>
          </w:tcPr>
          <w:p w14:paraId="6C7872A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D32F8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Eget primärkapitaltillskottinstrument</w:t>
            </w:r>
          </w:p>
          <w:p w14:paraId="37D35D8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i förordning (EU) </w:t>
            </w:r>
            <w:r w:rsidRPr="008F22A0">
              <w:rPr>
                <w:rFonts w:ascii="Times New Roman" w:hAnsi="Times New Roman"/>
              </w:rPr>
              <w:t>2019/2033.</w:t>
            </w:r>
          </w:p>
          <w:p w14:paraId="42B7FE2D" w14:textId="77777777" w:rsidR="00E20575" w:rsidRPr="008F22A0" w:rsidRDefault="008F22A0">
            <w:pPr>
              <w:pStyle w:val="InstructionsText"/>
              <w:rPr>
                <w:rStyle w:val="FormatvorlageInstructionsTabelleText"/>
                <w:rFonts w:ascii="Times New Roman" w:eastAsiaTheme="minorHAnsi" w:hAnsi="Times New Roman"/>
                <w:bCs/>
                <w:sz w:val="22"/>
                <w:szCs w:val="22"/>
              </w:rPr>
            </w:pPr>
            <w:r w:rsidRPr="008F22A0">
              <w:rPr>
                <w:rStyle w:val="FormatvorlageInstructionsTabelleText"/>
                <w:rFonts w:ascii="Times New Roman" w:hAnsi="Times New Roman"/>
                <w:sz w:val="22"/>
              </w:rPr>
              <w:t xml:space="preserve">Artikel 52.1 b, artikel 56 a och artikel 57 </w:t>
            </w:r>
            <w:r w:rsidRPr="008F22A0">
              <w:t xml:space="preserve">i </w:t>
            </w:r>
            <w:r w:rsidRPr="008F22A0">
              <w:rPr>
                <w:rStyle w:val="FormatvorlageInstructionsTabelleText"/>
                <w:rFonts w:ascii="Times New Roman" w:hAnsi="Times New Roman"/>
                <w:sz w:val="22"/>
              </w:rPr>
              <w:t>förordning (EU) nr 575/2013.</w:t>
            </w:r>
          </w:p>
          <w:p w14:paraId="279EE109"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Egna primärkapitaltillskottinstrument som värdepappersföretaget innehar på rapporteringsdatum. Omfattas av undantagen i artikel 57</w:t>
            </w:r>
            <w:r w:rsidRPr="008F22A0">
              <w:t xml:space="preserve"> i </w:t>
            </w:r>
            <w:r w:rsidRPr="008F22A0">
              <w:rPr>
                <w:rStyle w:val="FormatvorlageInstructionsTabelleText"/>
                <w:rFonts w:ascii="Times New Roman" w:hAnsi="Times New Roman"/>
                <w:sz w:val="22"/>
              </w:rPr>
              <w:t>förordning (EU) nr 575/2013.</w:t>
            </w:r>
          </w:p>
          <w:p w14:paraId="152BE433" w14:textId="77777777" w:rsidR="00E20575" w:rsidRPr="008F22A0" w:rsidRDefault="008F22A0">
            <w:pPr>
              <w:pStyle w:val="InstructionsText"/>
            </w:pPr>
            <w:r w:rsidRPr="008F22A0">
              <w:rPr>
                <w:rStyle w:val="FormatvorlageInstructionsTabelleText"/>
                <w:rFonts w:ascii="Times New Roman" w:hAnsi="Times New Roman"/>
                <w:sz w:val="22"/>
              </w:rPr>
              <w:t>Den över</w:t>
            </w:r>
            <w:r w:rsidRPr="008F22A0">
              <w:rPr>
                <w:rStyle w:val="FormatvorlageInstructionsTabelleText"/>
                <w:rFonts w:ascii="Times New Roman" w:hAnsi="Times New Roman"/>
                <w:sz w:val="22"/>
              </w:rPr>
              <w:t>kursfond som hör ihop med aktieinnehavet ska ingå i det belopp som anges.</w:t>
            </w:r>
          </w:p>
        </w:tc>
      </w:tr>
      <w:tr w:rsidR="00E20575" w:rsidRPr="008F22A0" w14:paraId="0CDCE26D" w14:textId="77777777">
        <w:tc>
          <w:tcPr>
            <w:tcW w:w="1129" w:type="dxa"/>
          </w:tcPr>
          <w:p w14:paraId="18C0FA3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4CFBE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Direkta innehav av primärkapitaltillskottinstrument</w:t>
            </w:r>
          </w:p>
          <w:p w14:paraId="2A68D5E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12E240C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56 a i förordning (EU) nr 575/2013.</w:t>
            </w:r>
          </w:p>
        </w:tc>
      </w:tr>
      <w:tr w:rsidR="00E20575" w:rsidRPr="008F22A0" w14:paraId="007F9A1B" w14:textId="77777777">
        <w:tc>
          <w:tcPr>
            <w:tcW w:w="1129" w:type="dxa"/>
          </w:tcPr>
          <w:p w14:paraId="10E71CE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lastRenderedPageBreak/>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4DAC2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Indirekta innehav av pr</w:t>
            </w:r>
            <w:r w:rsidRPr="008F22A0">
              <w:rPr>
                <w:rFonts w:ascii="Times New Roman" w:hAnsi="Times New Roman"/>
                <w:b/>
                <w:u w:val="single"/>
              </w:rPr>
              <w:t>imärkapitaltillskottinstrument</w:t>
            </w:r>
          </w:p>
          <w:p w14:paraId="77D332C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7C4F125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56 a i förordning (EU) nr 575/2013.</w:t>
            </w:r>
          </w:p>
        </w:tc>
      </w:tr>
      <w:tr w:rsidR="00E20575" w:rsidRPr="008F22A0" w14:paraId="39FFA42A" w14:textId="77777777">
        <w:tc>
          <w:tcPr>
            <w:tcW w:w="1129" w:type="dxa"/>
          </w:tcPr>
          <w:p w14:paraId="3A47B31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AE0C1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Syntetiska innehav av primärkapitaltillskottinstrument</w:t>
            </w:r>
          </w:p>
          <w:p w14:paraId="0F129D0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581F0B4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56 a i </w:t>
            </w:r>
            <w:r w:rsidRPr="008F22A0">
              <w:rPr>
                <w:rFonts w:ascii="Times New Roman" w:hAnsi="Times New Roman"/>
              </w:rPr>
              <w:t>förordning (EU) nr 575/2013.</w:t>
            </w:r>
          </w:p>
        </w:tc>
      </w:tr>
      <w:tr w:rsidR="00E20575" w:rsidRPr="008F22A0" w14:paraId="3969426D" w14:textId="77777777">
        <w:tc>
          <w:tcPr>
            <w:tcW w:w="1129" w:type="dxa"/>
          </w:tcPr>
          <w:p w14:paraId="1F49BA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7703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Primärkapitaltillskottinstrument i enheter i den finansiella sektorn i vilka värdepappersföretaget inte har ett väsentligt innehav</w:t>
            </w:r>
          </w:p>
          <w:p w14:paraId="72DF20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7500C3E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56 c i förordning (EU) nr 575/2013.</w:t>
            </w:r>
          </w:p>
        </w:tc>
      </w:tr>
      <w:tr w:rsidR="00E20575" w:rsidRPr="008F22A0" w14:paraId="204A19B9" w14:textId="77777777">
        <w:tc>
          <w:tcPr>
            <w:tcW w:w="1129" w:type="dxa"/>
          </w:tcPr>
          <w:p w14:paraId="162615A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19A18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Primärkapitaltillskottinstrument i enheter i den finansiella sektorn i vilka värdepappersföretaget har ett väsentligt innehav</w:t>
            </w:r>
          </w:p>
          <w:p w14:paraId="485592A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15E8D54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56 d i förordning (EU) nr 575/2013.</w:t>
            </w:r>
          </w:p>
        </w:tc>
      </w:tr>
      <w:tr w:rsidR="00E20575" w:rsidRPr="008F22A0" w14:paraId="6724593C" w14:textId="77777777">
        <w:tc>
          <w:tcPr>
            <w:tcW w:w="1129" w:type="dxa"/>
          </w:tcPr>
          <w:p w14:paraId="55C9926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01EB6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Övriga avdrag</w:t>
            </w:r>
          </w:p>
          <w:p w14:paraId="31B0CFE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Summan av alla övriga avdrag i enlighet med artikel 56 i förordning (EU) nr 575/2013 som inte ingår i någon av raderna 0340–0390 ovan.</w:t>
            </w:r>
          </w:p>
        </w:tc>
      </w:tr>
      <w:tr w:rsidR="00E20575" w:rsidRPr="008F22A0" w14:paraId="475F1426" w14:textId="77777777">
        <w:tc>
          <w:tcPr>
            <w:tcW w:w="1129" w:type="dxa"/>
          </w:tcPr>
          <w:p w14:paraId="788032D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2BD02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Primärkapitaltillskott: Andra kapitalposter, avdrag och justeringar</w:t>
            </w:r>
          </w:p>
          <w:p w14:paraId="50DD44D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Denna rad ska i tillämpliga fall omfatta summan</w:t>
            </w:r>
            <w:r w:rsidRPr="008F22A0">
              <w:rPr>
                <w:rFonts w:ascii="Times New Roman" w:hAnsi="Times New Roman"/>
              </w:rPr>
              <w:t xml:space="preserve"> av följande poster:</w:t>
            </w:r>
          </w:p>
          <w:p w14:paraId="53A7537C"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Övergångsjusteringar på grund av primärkapitaltillskottinstrument för vilka äldre regler får fortsätta att tillämpas (artikel 483.4 och 483.5 samt artiklarna 484–487, artiklarna 489 och 491 i förordning (EU) nr 575/2013).</w:t>
            </w:r>
          </w:p>
          <w:p w14:paraId="553A924A"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Instrumen</w:t>
            </w:r>
            <w:r w:rsidRPr="008F22A0">
              <w:rPr>
                <w:rFonts w:ascii="Times New Roman" w:hAnsi="Times New Roman"/>
              </w:rPr>
              <w:t>t som emitterats av dotterföretag som redovisas i primärkapitaltillskott (artiklarna 83, 85 och 86 i förordning (EU) nr 575/2013): Summan av alla belopp för kvalificerande primärkapitaltillskott i dotterföretag som ingår i konsoliderat primärkapitaltillsko</w:t>
            </w:r>
            <w:r w:rsidRPr="008F22A0">
              <w:rPr>
                <w:rFonts w:ascii="Times New Roman" w:hAnsi="Times New Roman"/>
              </w:rPr>
              <w:t>tt, inklusive kapital som emitterats av ett specialföretag (artikel 83 i förordning (EU) nr 575/2013).</w:t>
            </w:r>
          </w:p>
          <w:p w14:paraId="430AFD58"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Övergångsjusteringar på grund av att primärkapitaltillskott tas upp i instrument som emitterats av dotterföretag (artikel 480 i förordning (EU) nr 575/</w:t>
            </w:r>
            <w:r w:rsidRPr="008F22A0">
              <w:rPr>
                <w:rFonts w:ascii="Times New Roman" w:hAnsi="Times New Roman"/>
              </w:rPr>
              <w:t>2013), justeringar av kvalificerande primärkapital som, på grund av övergångsbestämmelser, ingår i det konsoliderade primärkapitaltillskottet.</w:t>
            </w:r>
          </w:p>
          <w:p w14:paraId="17A5F85B"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Andra övergångsjusteringar av primärkapitaltillskott (artiklarna 472, 473a, 474, 475, 478 och 481 i förordning </w:t>
            </w:r>
            <w:r w:rsidRPr="008F22A0">
              <w:rPr>
                <w:rFonts w:ascii="Times New Roman" w:hAnsi="Times New Roman"/>
              </w:rPr>
              <w:t>(EU) nr 575/2013): Justeringar av avdrag på grund av övergångsbestämmelser.</w:t>
            </w:r>
          </w:p>
          <w:p w14:paraId="5535774D"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Avdrag från primärkapitaltillskottposter som överstiger primärkapitaltillskott, som dras av från kärnprimärkapitalet i enlighet med artikel 36.1 j i förordning (EU) nr 575/2013: </w:t>
            </w:r>
            <w:r w:rsidRPr="008F22A0">
              <w:rPr>
                <w:rFonts w:ascii="Times New Roman" w:hAnsi="Times New Roman"/>
              </w:rPr>
              <w:t xml:space="preserve">Primärkapitaltillskottet får inte vara negativt, men det är möjligt att avdragen från primärkapitaltillskottsposterna överstiger beloppet för tillgängliga primärkapitaltillskottsposter. Om så sker representerar denna post det belopp som behövs för att det </w:t>
            </w:r>
            <w:r w:rsidRPr="008F22A0">
              <w:rPr>
                <w:rFonts w:ascii="Times New Roman" w:hAnsi="Times New Roman"/>
              </w:rPr>
              <w:t>belopp som anges i rad 0300 ska bli noll och motsvarar det inverterade belopp som dragits av från primärkapitaltillskottsposter som överstiger inkluderat primärkapitaltillskott, som anges bland övriga avdrag i rad 0280.</w:t>
            </w:r>
          </w:p>
          <w:p w14:paraId="7F2EA04F"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Andra delar i eller avdrag </w:t>
            </w:r>
            <w:r w:rsidRPr="008F22A0">
              <w:rPr>
                <w:rFonts w:ascii="Times New Roman" w:hAnsi="Times New Roman"/>
              </w:rPr>
              <w:t>från en primärkapitaltillskottspost som inte kan hänföras till någon av raderna 0310–0400.</w:t>
            </w:r>
          </w:p>
          <w:p w14:paraId="3AC8E0A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Denna rad ska inte användas för att ta med kapitalposter eller avdrag som inte omfattas av förordning (EU) 2019/2033 eller förordning (EU) nr 575/2013 vid beräkninge</w:t>
            </w:r>
            <w:r w:rsidRPr="008F22A0">
              <w:rPr>
                <w:rFonts w:ascii="Times New Roman" w:hAnsi="Times New Roman"/>
              </w:rPr>
              <w:t>n av kapitaltäckningsgraden.</w:t>
            </w:r>
          </w:p>
        </w:tc>
      </w:tr>
      <w:tr w:rsidR="00E20575" w:rsidRPr="008F22A0" w14:paraId="04179982" w14:textId="77777777">
        <w:tc>
          <w:tcPr>
            <w:tcW w:w="1129" w:type="dxa"/>
          </w:tcPr>
          <w:p w14:paraId="2594D97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A674DA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SUPPLEMENTÄRKAPITAL</w:t>
            </w:r>
          </w:p>
          <w:p w14:paraId="481B961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förordning (EU) 2019/2033.</w:t>
            </w:r>
          </w:p>
          <w:p w14:paraId="655A3C62" w14:textId="77777777" w:rsidR="00E20575" w:rsidRPr="008F22A0" w:rsidRDefault="008F22A0">
            <w:pPr>
              <w:spacing w:after="120" w:line="240" w:lineRule="auto"/>
              <w:jc w:val="both"/>
              <w:rPr>
                <w:rStyle w:val="FormatvorlageInstructionsTabelleText"/>
                <w:rFonts w:ascii="Times New Roman" w:hAnsi="Times New Roman"/>
                <w:sz w:val="22"/>
              </w:rPr>
            </w:pPr>
            <w:r w:rsidRPr="008F22A0">
              <w:rPr>
                <w:rStyle w:val="FormatvorlageInstructionsTabelleText"/>
                <w:rFonts w:ascii="Times New Roman" w:hAnsi="Times New Roman"/>
                <w:sz w:val="22"/>
              </w:rPr>
              <w:t xml:space="preserve">Artikel 71 </w:t>
            </w:r>
            <w:r w:rsidRPr="008F22A0">
              <w:rPr>
                <w:rFonts w:ascii="Times New Roman" w:hAnsi="Times New Roman"/>
              </w:rPr>
              <w:t xml:space="preserve">i </w:t>
            </w:r>
            <w:r w:rsidRPr="008F22A0">
              <w:rPr>
                <w:rStyle w:val="FormatvorlageInstructionsTabelleText"/>
                <w:rFonts w:ascii="Times New Roman" w:hAnsi="Times New Roman"/>
                <w:sz w:val="22"/>
              </w:rPr>
              <w:t>förordning (EU) nr 575/2013.</w:t>
            </w:r>
          </w:p>
          <w:p w14:paraId="51CB6CBE" w14:textId="77777777" w:rsidR="00E20575" w:rsidRPr="008F22A0" w:rsidRDefault="008F22A0">
            <w:pPr>
              <w:pStyle w:val="CommentText"/>
              <w:rPr>
                <w:sz w:val="22"/>
                <w:szCs w:val="22"/>
              </w:rPr>
            </w:pPr>
            <w:r w:rsidRPr="008F22A0">
              <w:rPr>
                <w:rFonts w:ascii="Times New Roman" w:hAnsi="Times New Roman"/>
                <w:sz w:val="22"/>
              </w:rPr>
              <w:t>Totalsumman av raderna 0430–0450 och rad 0520 ska anges.</w:t>
            </w:r>
          </w:p>
        </w:tc>
      </w:tr>
      <w:tr w:rsidR="00E20575" w:rsidRPr="008F22A0" w14:paraId="508721C3" w14:textId="77777777">
        <w:tc>
          <w:tcPr>
            <w:tcW w:w="1129" w:type="dxa"/>
          </w:tcPr>
          <w:p w14:paraId="1868B39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BE9DD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Fullt betalda direkt emitterade </w:t>
            </w:r>
            <w:r w:rsidRPr="008F22A0">
              <w:rPr>
                <w:rFonts w:ascii="Times New Roman" w:hAnsi="Times New Roman"/>
                <w:b/>
                <w:u w:val="single"/>
              </w:rPr>
              <w:t>kapitalinstrument</w:t>
            </w:r>
          </w:p>
          <w:p w14:paraId="42BB2AB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21625286" w14:textId="77777777" w:rsidR="00E20575" w:rsidRPr="008F22A0" w:rsidRDefault="008F22A0">
            <w:pPr>
              <w:pStyle w:val="InstructionsText"/>
              <w:rPr>
                <w:rStyle w:val="FormatvorlageInstructionsTabelleText"/>
                <w:rFonts w:ascii="Times New Roman" w:eastAsiaTheme="minorHAnsi" w:hAnsi="Times New Roman"/>
                <w:bCs/>
                <w:sz w:val="22"/>
                <w:szCs w:val="22"/>
              </w:rPr>
            </w:pPr>
            <w:r w:rsidRPr="008F22A0">
              <w:rPr>
                <w:rStyle w:val="FormatvorlageInstructionsTabelleText"/>
                <w:rFonts w:ascii="Times New Roman" w:hAnsi="Times New Roman"/>
                <w:sz w:val="22"/>
              </w:rPr>
              <w:t xml:space="preserve">Artikel 62 a och artiklarna 63 och 65 </w:t>
            </w:r>
            <w:r w:rsidRPr="008F22A0">
              <w:rPr>
                <w:sz w:val="22"/>
              </w:rPr>
              <w:t xml:space="preserve">i </w:t>
            </w:r>
            <w:r w:rsidRPr="008F22A0">
              <w:rPr>
                <w:rStyle w:val="FormatvorlageInstructionsTabelleText"/>
                <w:rFonts w:ascii="Times New Roman" w:hAnsi="Times New Roman"/>
                <w:sz w:val="22"/>
              </w:rPr>
              <w:t>förordning (EU) nr 575/2013.</w:t>
            </w:r>
          </w:p>
          <w:p w14:paraId="5404A05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Den överkursfond som är relaterad till instrumentet ska inte ingå i det belopp som anges.</w:t>
            </w:r>
          </w:p>
        </w:tc>
      </w:tr>
      <w:tr w:rsidR="00E20575" w:rsidRPr="008F22A0" w14:paraId="4B5DCE9C" w14:textId="77777777">
        <w:tc>
          <w:tcPr>
            <w:tcW w:w="1129" w:type="dxa"/>
          </w:tcPr>
          <w:p w14:paraId="6B27039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C28CB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Överkursfond</w:t>
            </w:r>
          </w:p>
          <w:p w14:paraId="0C9CBA2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i i </w:t>
            </w:r>
            <w:r w:rsidRPr="008F22A0">
              <w:rPr>
                <w:rFonts w:ascii="Times New Roman" w:hAnsi="Times New Roman"/>
              </w:rPr>
              <w:t>förordning (EU) 2019/2033.</w:t>
            </w:r>
          </w:p>
          <w:p w14:paraId="739EE939"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Artikel 62 b och artikel 65</w:t>
            </w:r>
            <w:r w:rsidRPr="008F22A0">
              <w:t xml:space="preserve"> i </w:t>
            </w:r>
            <w:r w:rsidRPr="008F22A0">
              <w:rPr>
                <w:sz w:val="22"/>
              </w:rPr>
              <w:t>förordning (EU) nr 575/2013.</w:t>
            </w:r>
          </w:p>
          <w:p w14:paraId="3266153C"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Överkursfond har den innebörd som anges i tillämplig redovisningsstandard.</w:t>
            </w:r>
          </w:p>
          <w:p w14:paraId="11497D6F" w14:textId="77777777" w:rsidR="00E20575" w:rsidRPr="008F22A0" w:rsidRDefault="008F22A0">
            <w:pPr>
              <w:pStyle w:val="InstructionsText"/>
              <w:rPr>
                <w:sz w:val="22"/>
                <w:szCs w:val="22"/>
              </w:rPr>
            </w:pPr>
            <w:r w:rsidRPr="008F22A0">
              <w:rPr>
                <w:rStyle w:val="FormatvorlageInstructionsTabelleText"/>
                <w:rFonts w:ascii="Times New Roman" w:hAnsi="Times New Roman"/>
                <w:sz w:val="22"/>
              </w:rPr>
              <w:t xml:space="preserve">I denna post ska den del av beloppet anges som rör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fullt betalda kapitalinstrumen</w:t>
            </w:r>
            <w:r w:rsidRPr="008F22A0">
              <w:rPr>
                <w:rStyle w:val="FormatvorlageInstructionsTabelleText"/>
                <w:rFonts w:ascii="Times New Roman" w:hAnsi="Times New Roman"/>
                <w:sz w:val="22"/>
              </w:rPr>
              <w:t>t”</w:t>
            </w:r>
            <w:r w:rsidRPr="008F22A0">
              <w:rPr>
                <w:rStyle w:val="FormatvorlageInstructionsTabelleText"/>
                <w:rFonts w:ascii="Times New Roman" w:hAnsi="Times New Roman"/>
                <w:sz w:val="22"/>
              </w:rPr>
              <w:t>.</w:t>
            </w:r>
          </w:p>
        </w:tc>
      </w:tr>
      <w:tr w:rsidR="00E20575" w:rsidRPr="008F22A0" w14:paraId="4E5311FE" w14:textId="77777777">
        <w:tc>
          <w:tcPr>
            <w:tcW w:w="1129" w:type="dxa"/>
          </w:tcPr>
          <w:p w14:paraId="68CC14D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48FBC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w:t>
            </w:r>
            <w:r w:rsidRPr="008F22A0">
              <w:rPr>
                <w:rFonts w:ascii="Times New Roman" w:hAnsi="Times New Roman"/>
                <w:b/>
                <w:u w:val="single"/>
              </w:rPr>
              <w:t xml:space="preserve"> TOTALA AVDRAG FRÅN SUPPLEMENTÄRKAPITAL</w:t>
            </w:r>
          </w:p>
          <w:p w14:paraId="22EF386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66 i förordning (EU) nr 575/2013.</w:t>
            </w:r>
          </w:p>
        </w:tc>
      </w:tr>
      <w:tr w:rsidR="00E20575" w:rsidRPr="008F22A0" w14:paraId="58D3715A" w14:textId="77777777">
        <w:tc>
          <w:tcPr>
            <w:tcW w:w="1129" w:type="dxa"/>
          </w:tcPr>
          <w:p w14:paraId="63E629E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E304C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Egna supplementärkapitalinstrument</w:t>
            </w:r>
          </w:p>
          <w:p w14:paraId="1339EE3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i i förordning (EU) 2019/2033.</w:t>
            </w:r>
          </w:p>
          <w:p w14:paraId="3073FA10"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Artikel 63 bi, artikel 66 a och artikel 67</w:t>
            </w:r>
            <w:r w:rsidRPr="008F22A0">
              <w:t xml:space="preserve"> i </w:t>
            </w:r>
            <w:r w:rsidRPr="008F22A0">
              <w:rPr>
                <w:sz w:val="22"/>
              </w:rPr>
              <w:t>förordning (EU) nr 575/2013.</w:t>
            </w:r>
          </w:p>
          <w:p w14:paraId="6C4D01FD"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Egna </w:t>
            </w:r>
            <w:r w:rsidRPr="008F22A0">
              <w:rPr>
                <w:rStyle w:val="FormatvorlageInstructionsTabelleText"/>
                <w:rFonts w:ascii="Times New Roman" w:hAnsi="Times New Roman"/>
                <w:sz w:val="22"/>
              </w:rPr>
              <w:t>supplementärkapitalinstrument som det rapporterande institutet eller den rapporterande gruppen innehar på rapporteringsdatum. Omfattas av undantagen i artikel 67</w:t>
            </w:r>
            <w:r w:rsidRPr="008F22A0">
              <w:t xml:space="preserve"> i </w:t>
            </w:r>
            <w:r w:rsidRPr="008F22A0">
              <w:rPr>
                <w:rStyle w:val="FormatvorlageInstructionsTabelleText"/>
                <w:rFonts w:ascii="Times New Roman" w:hAnsi="Times New Roman"/>
                <w:sz w:val="22"/>
              </w:rPr>
              <w:t>förordning (EU) nr 575/2013.</w:t>
            </w:r>
          </w:p>
          <w:p w14:paraId="6152405E"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 xml:space="preserve">Aktieinnehav som ingår i </w:t>
            </w:r>
            <w:r w:rsidRPr="008F22A0">
              <w:rPr>
                <w:rStyle w:val="FormatvorlageInstructionsTabelleText"/>
                <w:rFonts w:ascii="Times New Roman" w:hAnsi="Times New Roman"/>
                <w:sz w:val="22"/>
              </w:rPr>
              <w:t>”</w:t>
            </w:r>
            <w:r w:rsidRPr="008F22A0">
              <w:rPr>
                <w:rStyle w:val="FormatvorlageInstructionsTabelleText"/>
                <w:rFonts w:ascii="Times New Roman" w:hAnsi="Times New Roman"/>
                <w:sz w:val="22"/>
              </w:rPr>
              <w:t>ej godtagbara kapitalinstrumen</w:t>
            </w:r>
            <w:r w:rsidRPr="008F22A0">
              <w:rPr>
                <w:rStyle w:val="FormatvorlageInstructionsTabelleText"/>
                <w:rFonts w:ascii="Times New Roman" w:hAnsi="Times New Roman"/>
                <w:sz w:val="22"/>
              </w:rPr>
              <w:t>t”</w:t>
            </w:r>
            <w:r w:rsidRPr="008F22A0">
              <w:rPr>
                <w:rStyle w:val="FormatvorlageInstructionsTabelleText"/>
                <w:rFonts w:ascii="Times New Roman" w:hAnsi="Times New Roman"/>
                <w:sz w:val="22"/>
              </w:rPr>
              <w:t xml:space="preserve"> ska </w:t>
            </w:r>
            <w:r w:rsidRPr="008F22A0">
              <w:rPr>
                <w:rStyle w:val="FormatvorlageInstructionsTabelleText"/>
                <w:rFonts w:ascii="Times New Roman" w:hAnsi="Times New Roman"/>
                <w:sz w:val="22"/>
              </w:rPr>
              <w:t>inte anges på denna rad.</w:t>
            </w:r>
          </w:p>
          <w:p w14:paraId="2B7C40EC" w14:textId="77777777" w:rsidR="00E20575" w:rsidRPr="008F22A0" w:rsidRDefault="008F22A0">
            <w:pPr>
              <w:pStyle w:val="InstructionsText"/>
              <w:rPr>
                <w:sz w:val="22"/>
                <w:szCs w:val="22"/>
              </w:rPr>
            </w:pPr>
            <w:r w:rsidRPr="008F22A0">
              <w:rPr>
                <w:rStyle w:val="FormatvorlageInstructionsTabelleText"/>
                <w:rFonts w:ascii="Times New Roman" w:hAnsi="Times New Roman"/>
                <w:sz w:val="22"/>
              </w:rPr>
              <w:t>Den överkursfond som hör ihop med aktieinnehavet ska ingå i det belopp som anges.</w:t>
            </w:r>
          </w:p>
        </w:tc>
      </w:tr>
      <w:tr w:rsidR="00E20575" w:rsidRPr="008F22A0" w14:paraId="17CF3F16" w14:textId="77777777">
        <w:tc>
          <w:tcPr>
            <w:tcW w:w="1129" w:type="dxa"/>
          </w:tcPr>
          <w:p w14:paraId="42B07EC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FDA15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Direkta innehav av supplementärkapitalinstrument</w:t>
            </w:r>
          </w:p>
          <w:p w14:paraId="282468A5" w14:textId="77777777" w:rsidR="00E20575" w:rsidRPr="008F22A0" w:rsidRDefault="008F22A0">
            <w:pPr>
              <w:pStyle w:val="InstructionsText"/>
              <w:rPr>
                <w:sz w:val="22"/>
                <w:szCs w:val="22"/>
              </w:rPr>
            </w:pPr>
            <w:r w:rsidRPr="008F22A0">
              <w:rPr>
                <w:rStyle w:val="FormatvorlageInstructionsTabelleText"/>
                <w:rFonts w:ascii="Times New Roman" w:hAnsi="Times New Roman"/>
                <w:sz w:val="22"/>
              </w:rPr>
              <w:t>Artikel 63 b, artikel 66 a och artikel 67</w:t>
            </w:r>
            <w:r w:rsidRPr="008F22A0">
              <w:t xml:space="preserve"> i </w:t>
            </w:r>
            <w:r w:rsidRPr="008F22A0">
              <w:rPr>
                <w:sz w:val="22"/>
              </w:rPr>
              <w:t>förordning (EU) nr 575/2013.</w:t>
            </w:r>
          </w:p>
        </w:tc>
      </w:tr>
      <w:tr w:rsidR="00E20575" w:rsidRPr="008F22A0" w14:paraId="30E97EA8" w14:textId="77777777">
        <w:tc>
          <w:tcPr>
            <w:tcW w:w="1129" w:type="dxa"/>
          </w:tcPr>
          <w:p w14:paraId="04B3EAD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45D8C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Indirek</w:t>
            </w:r>
            <w:r w:rsidRPr="008F22A0">
              <w:rPr>
                <w:rFonts w:ascii="Times New Roman" w:hAnsi="Times New Roman"/>
                <w:b/>
                <w:u w:val="single"/>
              </w:rPr>
              <w:t>ta innehav av supplementärkapitalinstrument</w:t>
            </w:r>
          </w:p>
          <w:p w14:paraId="639A48D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Artikel 4.1.114, artikel 63 b, artikel 66 a och artikel 67</w:t>
            </w:r>
            <w:r w:rsidRPr="008F22A0">
              <w:t xml:space="preserve"> i </w:t>
            </w:r>
            <w:r w:rsidRPr="008F22A0">
              <w:rPr>
                <w:rFonts w:ascii="Times New Roman" w:hAnsi="Times New Roman"/>
              </w:rPr>
              <w:t>förordning (EU) nr 575/2013.</w:t>
            </w:r>
          </w:p>
        </w:tc>
      </w:tr>
      <w:tr w:rsidR="00E20575" w:rsidRPr="008F22A0" w14:paraId="0A7070A4" w14:textId="77777777">
        <w:tc>
          <w:tcPr>
            <w:tcW w:w="1129" w:type="dxa"/>
          </w:tcPr>
          <w:p w14:paraId="08ACB3F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82039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Syntetiska innehav av supplementärkapitalinstrument</w:t>
            </w:r>
          </w:p>
          <w:p w14:paraId="6AD1B74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Artikel 4.1.126, artikel 63 b, artikel 66 a och </w:t>
            </w:r>
            <w:r w:rsidRPr="008F22A0">
              <w:rPr>
                <w:rStyle w:val="FormatvorlageInstructionsTabelleText"/>
                <w:rFonts w:ascii="Times New Roman" w:hAnsi="Times New Roman"/>
                <w:sz w:val="22"/>
              </w:rPr>
              <w:t>artikel 67</w:t>
            </w:r>
            <w:r w:rsidRPr="008F22A0">
              <w:t xml:space="preserve"> i </w:t>
            </w:r>
            <w:r w:rsidRPr="008F22A0">
              <w:rPr>
                <w:rFonts w:ascii="Times New Roman" w:hAnsi="Times New Roman"/>
              </w:rPr>
              <w:t>förordning (EU) nr 575/2013.</w:t>
            </w:r>
          </w:p>
        </w:tc>
      </w:tr>
      <w:tr w:rsidR="00E20575" w:rsidRPr="008F22A0" w14:paraId="51A0BFCA" w14:textId="77777777">
        <w:tc>
          <w:tcPr>
            <w:tcW w:w="1129" w:type="dxa"/>
            <w:tcBorders>
              <w:bottom w:val="single" w:sz="4" w:space="0" w:color="auto"/>
            </w:tcBorders>
          </w:tcPr>
          <w:p w14:paraId="169DFB4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BC9E8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Primärkapitaltillskottinstrument i enheter i den finansiella sektorn i vilka värdepappersföretaget inte har ett väsentligt innehav</w:t>
            </w:r>
          </w:p>
          <w:p w14:paraId="701A06B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9.2 c i förordning (EU) 2019/2033.</w:t>
            </w:r>
          </w:p>
          <w:p w14:paraId="31818A3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66 c i förordning (EU)</w:t>
            </w:r>
            <w:r w:rsidRPr="008F22A0">
              <w:rPr>
                <w:rFonts w:ascii="Times New Roman" w:hAnsi="Times New Roman"/>
              </w:rPr>
              <w:t xml:space="preserve"> nr 575/2013.</w:t>
            </w:r>
          </w:p>
        </w:tc>
      </w:tr>
      <w:tr w:rsidR="00E20575" w:rsidRPr="008F22A0" w14:paraId="621F0122" w14:textId="77777777">
        <w:tc>
          <w:tcPr>
            <w:tcW w:w="1129" w:type="dxa"/>
            <w:tcBorders>
              <w:top w:val="single" w:sz="4" w:space="0" w:color="auto"/>
              <w:bottom w:val="single" w:sz="4" w:space="0" w:color="auto"/>
            </w:tcBorders>
          </w:tcPr>
          <w:p w14:paraId="1EEA97B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8CB914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Primärkapitaltillskottinstrument i enheter i den finansiella sektorn i vilka värdepappersföretaget har ett väsentligt innehav</w:t>
            </w:r>
          </w:p>
          <w:p w14:paraId="24909740" w14:textId="77777777" w:rsidR="00E20575" w:rsidRPr="008F22A0" w:rsidRDefault="008F22A0">
            <w:pPr>
              <w:pStyle w:val="InstructionsText"/>
              <w:rPr>
                <w:rStyle w:val="FormatvorlageInstructionsTabelleText"/>
                <w:rFonts w:ascii="Times New Roman" w:hAnsi="Times New Roman"/>
                <w:sz w:val="22"/>
                <w:szCs w:val="22"/>
              </w:rPr>
            </w:pPr>
            <w:r w:rsidRPr="008F22A0">
              <w:rPr>
                <w:rStyle w:val="FormatvorlageInstructionsTabelleText"/>
                <w:rFonts w:ascii="Times New Roman" w:hAnsi="Times New Roman"/>
                <w:sz w:val="22"/>
              </w:rPr>
              <w:t>Artikel 4.1.27, artikel 66 d, artiklarna 68, 69 och 79</w:t>
            </w:r>
            <w:r w:rsidRPr="008F22A0">
              <w:t xml:space="preserve"> i </w:t>
            </w:r>
            <w:r w:rsidRPr="008F22A0">
              <w:rPr>
                <w:sz w:val="22"/>
              </w:rPr>
              <w:t>förordning (EU) nr 575/2013.</w:t>
            </w:r>
          </w:p>
          <w:p w14:paraId="5A0738E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Om </w:t>
            </w:r>
            <w:r w:rsidRPr="008F22A0">
              <w:rPr>
                <w:rStyle w:val="FormatvorlageInstructionsTabelleText"/>
                <w:rFonts w:ascii="Times New Roman" w:hAnsi="Times New Roman"/>
                <w:sz w:val="22"/>
              </w:rPr>
              <w:t>institutet innehar supplementärkapitalinstrument i enheter i den finansiella sektorn (enligt definitionen i artikel 4.1.27</w:t>
            </w:r>
            <w:r w:rsidRPr="008F22A0">
              <w:t xml:space="preserve"> i </w:t>
            </w:r>
            <w:r w:rsidRPr="008F22A0">
              <w:rPr>
                <w:rFonts w:ascii="Times New Roman" w:hAnsi="Times New Roman"/>
              </w:rPr>
              <w:t>förordning (EU) nr 575/2013) i vilka värdepappersföretaget har ett väsentligt innehav, ska dessa dras av helt och hållet.</w:t>
            </w:r>
          </w:p>
        </w:tc>
      </w:tr>
      <w:tr w:rsidR="00E20575" w:rsidRPr="008F22A0" w14:paraId="599F3478" w14:textId="77777777">
        <w:tc>
          <w:tcPr>
            <w:tcW w:w="1129" w:type="dxa"/>
            <w:tcBorders>
              <w:top w:val="single" w:sz="4" w:space="0" w:color="auto"/>
              <w:bottom w:val="single" w:sz="4" w:space="0" w:color="auto"/>
            </w:tcBorders>
          </w:tcPr>
          <w:p w14:paraId="5A7B61E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A687C2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Supplementärkapital: Andra kapitalposter, avdrag och justeringar</w:t>
            </w:r>
          </w:p>
          <w:p w14:paraId="256F500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Denna rad ska i tillämpliga fall omfatta summan av följande poster:</w:t>
            </w:r>
          </w:p>
          <w:p w14:paraId="3A5D6240"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Övergångsjusteringar på grund av supplementärkapitalinstrument för vilka äldre regler får fortsätta att tillämpas (artike</w:t>
            </w:r>
            <w:r w:rsidRPr="008F22A0">
              <w:rPr>
                <w:rFonts w:ascii="Times New Roman" w:hAnsi="Times New Roman"/>
              </w:rPr>
              <w:t>l 483.6 och 483.7, artiklarna 484, 486, 488, 490 och 491 i förordning (EU) nr 575/2013).</w:t>
            </w:r>
          </w:p>
          <w:p w14:paraId="2B8EFEF4"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Instrument som emitterats av dotterföretag som tas upp i supplementärkapital (artiklarna 83, 87 och 88 i förordning (EU) nr 575/2013): Summan av alla belopp för kval</w:t>
            </w:r>
            <w:r w:rsidRPr="008F22A0">
              <w:rPr>
                <w:rFonts w:ascii="Times New Roman" w:hAnsi="Times New Roman"/>
              </w:rPr>
              <w:t>ificerande kapitalbas i dotterföretag som ingår i det konsoliderade supplementärkapitalet, inklusive kvalificerande supplementärkapital som utgivits av ett specialföretag (artikel 83 i förordning (EU) nr 575/2013).</w:t>
            </w:r>
          </w:p>
          <w:p w14:paraId="27D797FB"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Övergångsjusteringar på grund av att ka</w:t>
            </w:r>
            <w:r w:rsidRPr="008F22A0">
              <w:rPr>
                <w:rFonts w:ascii="Times New Roman" w:hAnsi="Times New Roman"/>
              </w:rPr>
              <w:t>pitalinstrument som emitterats av dotterföretag tas upp i supplementärkapital (artikel 480 i förordning (EU) nr 575/2013): Justeringar av den kvalificerande kapitalbas som ingår i konsoliderat supplementärkapital på grund av övergångsbestämmelser.</w:t>
            </w:r>
          </w:p>
          <w:p w14:paraId="14EE3AA6"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 xml:space="preserve">Andra </w:t>
            </w:r>
            <w:r w:rsidRPr="008F22A0">
              <w:rPr>
                <w:rFonts w:ascii="Times New Roman" w:hAnsi="Times New Roman"/>
              </w:rPr>
              <w:t>övergångsjusteringar av supplementärkapital (artiklarna 472, 473a, 476, 477, 478 och 481 i förordning (EU) nr 575/2013): Justeringar av avdragen från supplementärkapital på grund av övergångsbestämmelser.</w:t>
            </w:r>
          </w:p>
          <w:p w14:paraId="124CAA34"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Avdrag från supplementärkapitalposter som översti</w:t>
            </w:r>
            <w:r w:rsidRPr="008F22A0">
              <w:rPr>
                <w:rFonts w:ascii="Times New Roman" w:hAnsi="Times New Roman"/>
              </w:rPr>
              <w:t>ger eget supplementärkapital, som dras av från primärkapitaltillskottinstrument i enlighet med artikel 56 e i förordning (EU) nr 575/2013: Supplementärkapital får inte vara negativt, men det är möjligt att avdragen från supplementärkapitalposter överstiger</w:t>
            </w:r>
            <w:r w:rsidRPr="008F22A0">
              <w:rPr>
                <w:rFonts w:ascii="Times New Roman" w:hAnsi="Times New Roman"/>
              </w:rPr>
              <w:t xml:space="preserve"> beloppet för tillgängliga supplementärkapitalposter. Om så sker representerar denna post det belopp som behövs för att det belopp som anges på rad 0420 ska bli noll.</w:t>
            </w:r>
          </w:p>
          <w:p w14:paraId="222A53B3" w14:textId="77777777" w:rsidR="00E20575" w:rsidRPr="008F22A0" w:rsidRDefault="008F22A0">
            <w:pPr>
              <w:spacing w:after="120" w:line="240" w:lineRule="auto"/>
              <w:ind w:left="360" w:hanging="360"/>
              <w:jc w:val="both"/>
              <w:rPr>
                <w:rFonts w:ascii="Times New Roman" w:eastAsia="Times New Roman" w:hAnsi="Times New Roman" w:cs="Times New Roman"/>
                <w:bCs/>
              </w:rPr>
            </w:pPr>
            <w:r w:rsidRPr="008F22A0">
              <w:rPr>
                <w:rFonts w:ascii="Times New Roman" w:eastAsia="Times New Roman" w:hAnsi="Times New Roman" w:cs="Times New Roman"/>
                <w:bCs/>
              </w:rPr>
              <w:t>—</w:t>
            </w:r>
            <w:r w:rsidRPr="008F22A0">
              <w:rPr>
                <w:rFonts w:ascii="Times New Roman" w:eastAsia="Times New Roman" w:hAnsi="Times New Roman" w:cs="Times New Roman"/>
                <w:bCs/>
              </w:rPr>
              <w:tab/>
            </w:r>
            <w:r w:rsidRPr="008F22A0">
              <w:rPr>
                <w:rFonts w:ascii="Times New Roman" w:hAnsi="Times New Roman"/>
              </w:rPr>
              <w:t>Andra delar i eller avdrag från en supplementärkapitalpost som inte kan hänföras till n</w:t>
            </w:r>
            <w:r w:rsidRPr="008F22A0">
              <w:rPr>
                <w:rFonts w:ascii="Times New Roman" w:hAnsi="Times New Roman"/>
              </w:rPr>
              <w:t>ågon av raderna 0430–0510.</w:t>
            </w:r>
          </w:p>
          <w:p w14:paraId="4CD9C67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Denna rad ska inte användas för att ta med kapitalposter eller avdrag som inte omfattas av förordning (EU) 2019/2033 eller förordning (EU) nr 575/2013 vid beräkningen av kapitaltäckningsgraden.</w:t>
            </w:r>
          </w:p>
        </w:tc>
      </w:tr>
    </w:tbl>
    <w:p w14:paraId="4BACC1C0" w14:textId="77777777" w:rsidR="00E20575" w:rsidRPr="008F22A0" w:rsidRDefault="00E20575">
      <w:pPr>
        <w:keepNext/>
        <w:spacing w:before="240" w:after="240" w:line="240" w:lineRule="auto"/>
        <w:jc w:val="both"/>
        <w:outlineLvl w:val="1"/>
        <w:rPr>
          <w:rFonts w:ascii="Times New Roman" w:eastAsia="Arial" w:hAnsi="Times New Roman" w:cs="Times New Roman"/>
          <w:sz w:val="24"/>
          <w:szCs w:val="24"/>
        </w:rPr>
      </w:pPr>
    </w:p>
    <w:p w14:paraId="3D91BAA4"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76556786"/>
      <w:bookmarkStart w:id="41" w:name="_Toc88220433"/>
      <w:r w:rsidRPr="008F22A0">
        <w:rPr>
          <w:rFonts w:ascii="Times New Roman" w:hAnsi="Times New Roman"/>
          <w:sz w:val="24"/>
          <w:u w:val="single"/>
        </w:rPr>
        <w:t xml:space="preserve">1.3. I 02.01 – </w:t>
      </w:r>
      <w:r w:rsidRPr="008F22A0">
        <w:rPr>
          <w:rFonts w:ascii="Times New Roman" w:hAnsi="Times New Roman"/>
          <w:sz w:val="24"/>
          <w:u w:val="single"/>
        </w:rPr>
        <w:t>KAPITALBASKRAV (I 2.1)</w:t>
      </w:r>
      <w:bookmarkEnd w:id="40"/>
      <w:bookmarkEnd w:id="41"/>
    </w:p>
    <w:p w14:paraId="1AB201E4"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2" w:name="_Toc76556787"/>
      <w:bookmarkStart w:id="43" w:name="_Toc88220434"/>
      <w:r w:rsidRPr="008F22A0">
        <w:rPr>
          <w:rFonts w:ascii="Times New Roman" w:hAnsi="Times New Roman"/>
          <w:sz w:val="24"/>
        </w:rPr>
        <w:t>1.3.1</w:t>
      </w:r>
      <w:r w:rsidRPr="008F22A0">
        <w:rPr>
          <w:rFonts w:ascii="Times New Roman" w:hAnsi="Times New Roman"/>
          <w:sz w:val="24"/>
        </w:rPr>
        <w:tab/>
      </w:r>
      <w:r w:rsidRPr="008F22A0">
        <w:rPr>
          <w:rFonts w:ascii="Times New Roman" w:hAnsi="Times New Roman"/>
          <w:sz w:val="24"/>
          <w:u w:val="single"/>
        </w:rPr>
        <w:t>Instruktioner för specifika positioner</w:t>
      </w:r>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13A2761" w14:textId="77777777">
        <w:tc>
          <w:tcPr>
            <w:tcW w:w="1129" w:type="dxa"/>
            <w:shd w:val="clear" w:color="auto" w:fill="D9D9D9"/>
          </w:tcPr>
          <w:p w14:paraId="39FF594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Rad</w:t>
            </w:r>
          </w:p>
        </w:tc>
        <w:tc>
          <w:tcPr>
            <w:tcW w:w="7620" w:type="dxa"/>
            <w:shd w:val="clear" w:color="auto" w:fill="D9D9D9"/>
          </w:tcPr>
          <w:p w14:paraId="1410BD48"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Rättsliga hänvisningar och instruktioner</w:t>
            </w:r>
          </w:p>
        </w:tc>
      </w:tr>
      <w:tr w:rsidR="00E20575" w:rsidRPr="008F22A0" w14:paraId="62DDEF9C" w14:textId="77777777">
        <w:tc>
          <w:tcPr>
            <w:tcW w:w="1129" w:type="dxa"/>
          </w:tcPr>
          <w:p w14:paraId="0F05A53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0010</w:t>
            </w:r>
          </w:p>
        </w:tc>
        <w:tc>
          <w:tcPr>
            <w:tcW w:w="7620" w:type="dxa"/>
          </w:tcPr>
          <w:p w14:paraId="66A09EF9"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Kapitalbaskrav</w:t>
            </w:r>
          </w:p>
          <w:p w14:paraId="3AFFAEC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11.1 i förordning (EU) 2019/2033.</w:t>
            </w:r>
          </w:p>
          <w:p w14:paraId="7DE170A4" w14:textId="77777777" w:rsidR="00E20575" w:rsidRPr="008F22A0" w:rsidRDefault="008F22A0">
            <w:pPr>
              <w:spacing w:after="120" w:line="240" w:lineRule="auto"/>
              <w:jc w:val="both"/>
              <w:rPr>
                <w:rFonts w:ascii="Times New Roman" w:eastAsia="Times New Roman" w:hAnsi="Times New Roman" w:cs="Times New Roman"/>
                <w:bCs/>
                <w:i/>
                <w:color w:val="000000" w:themeColor="text1"/>
              </w:rPr>
            </w:pPr>
            <w:r w:rsidRPr="008F22A0">
              <w:rPr>
                <w:rFonts w:ascii="Times New Roman" w:hAnsi="Times New Roman"/>
                <w:color w:val="000000" w:themeColor="text1"/>
              </w:rPr>
              <w:t>Beloppet ska vara lika med beloppet utan tillämpning av artikel 57.3, 57.4 eller</w:t>
            </w:r>
            <w:r w:rsidRPr="008F22A0">
              <w:rPr>
                <w:rFonts w:ascii="Times New Roman" w:hAnsi="Times New Roman"/>
                <w:color w:val="000000" w:themeColor="text1"/>
              </w:rPr>
              <w:t xml:space="preserve"> 57.6 i förordning (EU) 2019/2033.</w:t>
            </w:r>
          </w:p>
          <w:p w14:paraId="4CAB4E0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Det belopp som ska anges på denna rad ska vara det högsta belopp som anges på raderna 0020, 0030 och 0040.</w:t>
            </w:r>
          </w:p>
        </w:tc>
      </w:tr>
      <w:tr w:rsidR="00E20575" w:rsidRPr="008F22A0" w14:paraId="32E865D4" w14:textId="77777777">
        <w:tc>
          <w:tcPr>
            <w:tcW w:w="1129" w:type="dxa"/>
          </w:tcPr>
          <w:p w14:paraId="773E17E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0020</w:t>
            </w:r>
          </w:p>
        </w:tc>
        <w:tc>
          <w:tcPr>
            <w:tcW w:w="7620" w:type="dxa"/>
          </w:tcPr>
          <w:p w14:paraId="2428BA4A"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Permanent minimikapitalkrav</w:t>
            </w:r>
          </w:p>
          <w:p w14:paraId="497F5E9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14 i förordning (EU) 2019/2033.</w:t>
            </w:r>
          </w:p>
          <w:p w14:paraId="365D4337"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Beloppet ska vara lika med </w:t>
            </w:r>
            <w:r w:rsidRPr="008F22A0">
              <w:rPr>
                <w:rFonts w:ascii="Times New Roman" w:hAnsi="Times New Roman"/>
                <w:color w:val="000000" w:themeColor="text1"/>
              </w:rPr>
              <w:t>beloppet utan tillämpning av artikel 57.3, 57.4 eller 57.6 i förordning (EU) 2019/2033.</w:t>
            </w:r>
          </w:p>
        </w:tc>
      </w:tr>
      <w:tr w:rsidR="00E20575" w:rsidRPr="008F22A0" w14:paraId="64B968A5" w14:textId="77777777">
        <w:tc>
          <w:tcPr>
            <w:tcW w:w="1129" w:type="dxa"/>
          </w:tcPr>
          <w:p w14:paraId="18974F7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0030</w:t>
            </w:r>
          </w:p>
        </w:tc>
        <w:tc>
          <w:tcPr>
            <w:tcW w:w="7620" w:type="dxa"/>
          </w:tcPr>
          <w:p w14:paraId="7FD0F6E0"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Krav baserat på fasta omkostnader</w:t>
            </w:r>
          </w:p>
          <w:p w14:paraId="0E9BDD6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 i förordning (EU) 2019/2033.</w:t>
            </w:r>
          </w:p>
          <w:p w14:paraId="0C8851DE"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Beloppet ska vara lika med beloppet utan tillämpning av artikel 57.3, 57.4 eller 57.6 i </w:t>
            </w:r>
            <w:r w:rsidRPr="008F22A0">
              <w:rPr>
                <w:rFonts w:ascii="Times New Roman" w:hAnsi="Times New Roman"/>
                <w:color w:val="000000" w:themeColor="text1"/>
              </w:rPr>
              <w:t>förordning (EU) 2019/2033.</w:t>
            </w:r>
          </w:p>
        </w:tc>
      </w:tr>
      <w:tr w:rsidR="00E20575" w:rsidRPr="008F22A0" w14:paraId="69C85C3B" w14:textId="77777777">
        <w:tc>
          <w:tcPr>
            <w:tcW w:w="1129" w:type="dxa"/>
          </w:tcPr>
          <w:p w14:paraId="37F06838"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0040</w:t>
            </w:r>
          </w:p>
        </w:tc>
        <w:tc>
          <w:tcPr>
            <w:tcW w:w="7620" w:type="dxa"/>
          </w:tcPr>
          <w:p w14:paraId="1CDB03DD"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Totalt K-faktorkrav</w:t>
            </w:r>
          </w:p>
          <w:p w14:paraId="192FEEC2"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15 i förordning (EU) 2019/2033.</w:t>
            </w:r>
          </w:p>
          <w:p w14:paraId="5EE7482A"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Beloppet ska vara lika med beloppet utan tillämpning av artikel 57.3, 57.4 eller 57.6 i förordning (EU) 2019/2033.</w:t>
            </w:r>
          </w:p>
        </w:tc>
      </w:tr>
      <w:tr w:rsidR="00E20575" w:rsidRPr="008F22A0" w14:paraId="35248E0C" w14:textId="77777777">
        <w:tc>
          <w:tcPr>
            <w:tcW w:w="1129" w:type="dxa"/>
          </w:tcPr>
          <w:p w14:paraId="46872FA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0050 – 0100</w:t>
            </w:r>
          </w:p>
        </w:tc>
        <w:tc>
          <w:tcPr>
            <w:tcW w:w="7620" w:type="dxa"/>
          </w:tcPr>
          <w:p w14:paraId="4B3B186B"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för kapitalbasen</w:t>
            </w:r>
          </w:p>
        </w:tc>
      </w:tr>
      <w:tr w:rsidR="00E20575" w:rsidRPr="008F22A0" w14:paraId="1F07A9ED" w14:textId="77777777">
        <w:tc>
          <w:tcPr>
            <w:tcW w:w="1129" w:type="dxa"/>
          </w:tcPr>
          <w:p w14:paraId="566A3FA5"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005</w:t>
            </w:r>
            <w:r w:rsidRPr="008F22A0">
              <w:rPr>
                <w:rFonts w:ascii="Times New Roman" w:hAnsi="Times New Roman"/>
                <w:color w:val="000000" w:themeColor="text1"/>
              </w:rPr>
              <w:t>0</w:t>
            </w:r>
          </w:p>
        </w:tc>
        <w:tc>
          <w:tcPr>
            <w:tcW w:w="7620" w:type="dxa"/>
          </w:tcPr>
          <w:p w14:paraId="45187C40"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på grundval av kapitalbaskraven i förordning (EU) nr 575/2013</w:t>
            </w:r>
          </w:p>
          <w:p w14:paraId="57637EE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57.3 a i förordning (EU) 2019/2033.</w:t>
            </w:r>
          </w:p>
        </w:tc>
      </w:tr>
      <w:tr w:rsidR="00E20575" w:rsidRPr="008F22A0" w14:paraId="7A8BED0D" w14:textId="77777777">
        <w:tc>
          <w:tcPr>
            <w:tcW w:w="1129" w:type="dxa"/>
          </w:tcPr>
          <w:p w14:paraId="040EAC5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0060</w:t>
            </w:r>
          </w:p>
        </w:tc>
        <w:tc>
          <w:tcPr>
            <w:tcW w:w="7620" w:type="dxa"/>
          </w:tcPr>
          <w:p w14:paraId="41F529EA"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baserat på krav på fasta omkostnader</w:t>
            </w:r>
          </w:p>
          <w:p w14:paraId="7555E054"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57.3 b i förordning (EU) 2019/2033.</w:t>
            </w:r>
          </w:p>
        </w:tc>
      </w:tr>
      <w:tr w:rsidR="00E20575" w:rsidRPr="008F22A0" w14:paraId="0DAF46C4" w14:textId="77777777">
        <w:tc>
          <w:tcPr>
            <w:tcW w:w="1129" w:type="dxa"/>
          </w:tcPr>
          <w:p w14:paraId="6511F35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0070</w:t>
            </w:r>
          </w:p>
        </w:tc>
        <w:tc>
          <w:tcPr>
            <w:tcW w:w="7620" w:type="dxa"/>
          </w:tcPr>
          <w:p w14:paraId="7CB17F4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xml:space="preserve">Övergångskrav för </w:t>
            </w:r>
            <w:r w:rsidRPr="008F22A0">
              <w:rPr>
                <w:rFonts w:ascii="Times New Roman" w:hAnsi="Times New Roman"/>
                <w:b/>
                <w:color w:val="000000" w:themeColor="text1"/>
                <w:u w:val="single"/>
              </w:rPr>
              <w:t>värdepappersföretag som tidigare bara omfattades av ett startkapitalkrav</w:t>
            </w:r>
          </w:p>
          <w:p w14:paraId="406C16B0"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57.4 a i förordning (EU) 2019/2033.</w:t>
            </w:r>
          </w:p>
        </w:tc>
      </w:tr>
      <w:tr w:rsidR="00E20575" w:rsidRPr="008F22A0" w14:paraId="7DDA2AF5" w14:textId="77777777">
        <w:tc>
          <w:tcPr>
            <w:tcW w:w="1129" w:type="dxa"/>
          </w:tcPr>
          <w:p w14:paraId="183A851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0080</w:t>
            </w:r>
          </w:p>
        </w:tc>
        <w:tc>
          <w:tcPr>
            <w:tcW w:w="7620" w:type="dxa"/>
          </w:tcPr>
          <w:p w14:paraId="1810FD4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baserat på startkapitalkravet vid auktorisationen</w:t>
            </w:r>
          </w:p>
          <w:p w14:paraId="5ED0730A"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57.4 b i förordning (EU) 2019/2033.</w:t>
            </w:r>
          </w:p>
        </w:tc>
      </w:tr>
      <w:tr w:rsidR="00E20575" w:rsidRPr="008F22A0" w14:paraId="429C1BED" w14:textId="77777777">
        <w:tc>
          <w:tcPr>
            <w:tcW w:w="1129" w:type="dxa"/>
          </w:tcPr>
          <w:p w14:paraId="35AF0186"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0090</w:t>
            </w:r>
          </w:p>
        </w:tc>
        <w:tc>
          <w:tcPr>
            <w:tcW w:w="7620" w:type="dxa"/>
          </w:tcPr>
          <w:p w14:paraId="15DA49B9"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för v</w:t>
            </w:r>
            <w:r w:rsidRPr="008F22A0">
              <w:rPr>
                <w:rFonts w:ascii="Times New Roman" w:hAnsi="Times New Roman"/>
                <w:b/>
                <w:color w:val="000000" w:themeColor="text1"/>
                <w:u w:val="single"/>
              </w:rPr>
              <w:t>ärdepappersföretag som inte är auktoriserade att tillhandahålla vissa tjänster</w:t>
            </w:r>
          </w:p>
          <w:p w14:paraId="724B021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57.4 c i förordning (EU) 2019/2033.</w:t>
            </w:r>
          </w:p>
        </w:tc>
      </w:tr>
      <w:tr w:rsidR="00E20575" w:rsidRPr="008F22A0" w14:paraId="5CF3C4BA" w14:textId="77777777">
        <w:tc>
          <w:tcPr>
            <w:tcW w:w="1129" w:type="dxa"/>
          </w:tcPr>
          <w:p w14:paraId="79E8186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0100</w:t>
            </w:r>
          </w:p>
        </w:tc>
        <w:tc>
          <w:tcPr>
            <w:tcW w:w="7620" w:type="dxa"/>
          </w:tcPr>
          <w:p w14:paraId="57FD284B"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Övergångskrav på minst 250 000 euro</w:t>
            </w:r>
          </w:p>
          <w:p w14:paraId="25FFAF46"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Artiklarna 57.6 i förordning (EU) 2019/2033.</w:t>
            </w:r>
          </w:p>
        </w:tc>
      </w:tr>
      <w:tr w:rsidR="00E20575" w:rsidRPr="008F22A0" w14:paraId="147CC15D" w14:textId="77777777">
        <w:tc>
          <w:tcPr>
            <w:tcW w:w="1129" w:type="dxa"/>
          </w:tcPr>
          <w:p w14:paraId="0ECF0B8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0110 – 0130</w:t>
            </w:r>
          </w:p>
        </w:tc>
        <w:tc>
          <w:tcPr>
            <w:tcW w:w="7620" w:type="dxa"/>
          </w:tcPr>
          <w:p w14:paraId="37FA32D4"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Memorandumposter</w:t>
            </w:r>
          </w:p>
        </w:tc>
      </w:tr>
      <w:tr w:rsidR="00E20575" w:rsidRPr="008F22A0" w14:paraId="504A991B" w14:textId="77777777">
        <w:tc>
          <w:tcPr>
            <w:tcW w:w="1129" w:type="dxa"/>
            <w:tcBorders>
              <w:top w:val="single" w:sz="4" w:space="0" w:color="auto"/>
              <w:left w:val="single" w:sz="4" w:space="0" w:color="auto"/>
              <w:bottom w:val="single" w:sz="4" w:space="0" w:color="auto"/>
              <w:right w:val="single" w:sz="4" w:space="0" w:color="auto"/>
            </w:tcBorders>
          </w:tcPr>
          <w:p w14:paraId="1112D82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1AFB92C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xml:space="preserve">Krav på </w:t>
            </w:r>
            <w:r w:rsidRPr="008F22A0">
              <w:rPr>
                <w:rFonts w:ascii="Times New Roman" w:hAnsi="Times New Roman"/>
                <w:b/>
                <w:color w:val="000000" w:themeColor="text1"/>
                <w:u w:val="single"/>
              </w:rPr>
              <w:t>ytterligare kapitalbas</w:t>
            </w:r>
          </w:p>
          <w:p w14:paraId="4039EB9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40 i direktiv (EU) 2019/2034.</w:t>
            </w:r>
          </w:p>
          <w:p w14:paraId="09104598"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Ytterligare kapitalbas som krävs enligt översyns- och utvärderingsprocessen.</w:t>
            </w:r>
          </w:p>
        </w:tc>
      </w:tr>
      <w:tr w:rsidR="00E20575" w:rsidRPr="008F22A0" w14:paraId="3572C933" w14:textId="77777777">
        <w:tc>
          <w:tcPr>
            <w:tcW w:w="1129" w:type="dxa"/>
            <w:tcBorders>
              <w:top w:val="single" w:sz="4" w:space="0" w:color="auto"/>
              <w:left w:val="single" w:sz="4" w:space="0" w:color="auto"/>
              <w:bottom w:val="single" w:sz="4" w:space="0" w:color="auto"/>
              <w:right w:val="single" w:sz="4" w:space="0" w:color="auto"/>
            </w:tcBorders>
          </w:tcPr>
          <w:p w14:paraId="58E0862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3888B010"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Riktlinje för ytterligare kapitalbas</w:t>
            </w:r>
          </w:p>
          <w:p w14:paraId="6ED71A5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41 i direktiv (EU) 2019/2034.</w:t>
            </w:r>
          </w:p>
          <w:p w14:paraId="4D1B901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Ytterligare kapitalbas som krävs </w:t>
            </w:r>
            <w:r w:rsidRPr="008F22A0">
              <w:rPr>
                <w:rFonts w:ascii="Times New Roman" w:hAnsi="Times New Roman"/>
                <w:color w:val="000000" w:themeColor="text1"/>
              </w:rPr>
              <w:t>som riktlinje för ytterligare kapitalbas.</w:t>
            </w:r>
          </w:p>
        </w:tc>
      </w:tr>
      <w:tr w:rsidR="00E20575" w:rsidRPr="008F22A0" w14:paraId="2D8DE26E" w14:textId="77777777">
        <w:tc>
          <w:tcPr>
            <w:tcW w:w="1129" w:type="dxa"/>
            <w:tcBorders>
              <w:top w:val="single" w:sz="4" w:space="0" w:color="auto"/>
              <w:left w:val="single" w:sz="4" w:space="0" w:color="auto"/>
              <w:bottom w:val="single" w:sz="4" w:space="0" w:color="auto"/>
              <w:right w:val="single" w:sz="4" w:space="0" w:color="auto"/>
            </w:tcBorders>
          </w:tcPr>
          <w:p w14:paraId="0F9D6805"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24AC4E07"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Totalt kapitalbaskrav</w:t>
            </w:r>
          </w:p>
          <w:p w14:paraId="013A1D97"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Ett värdepappersföretags totala kapitalbaskrav ska bestå av summan av dess tillämpliga kapitalbaskrav på referensdatum, det ytterligare kapitalbaskrav som anges på rad 0110 och de ytterl</w:t>
            </w:r>
            <w:r w:rsidRPr="008F22A0">
              <w:rPr>
                <w:rFonts w:ascii="Times New Roman" w:hAnsi="Times New Roman"/>
                <w:color w:val="000000" w:themeColor="text1"/>
              </w:rPr>
              <w:t>igare kapitalbaskrav som anges på rad 0120.</w:t>
            </w:r>
          </w:p>
        </w:tc>
      </w:tr>
    </w:tbl>
    <w:p w14:paraId="37344EC2"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76556788"/>
      <w:bookmarkStart w:id="45" w:name="_Toc88220435"/>
      <w:r w:rsidRPr="008F22A0">
        <w:rPr>
          <w:rFonts w:ascii="Times New Roman" w:hAnsi="Times New Roman"/>
          <w:sz w:val="24"/>
          <w:u w:val="single"/>
        </w:rPr>
        <w:t>1.4. I 02.02 – KAPITALRELATIONER (I 2.2)</w:t>
      </w:r>
      <w:bookmarkEnd w:id="44"/>
      <w:bookmarkEnd w:id="45"/>
    </w:p>
    <w:p w14:paraId="6CBE41AD"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76556789"/>
      <w:bookmarkStart w:id="47" w:name="_Toc88220436"/>
      <w:r w:rsidRPr="008F22A0">
        <w:rPr>
          <w:rFonts w:ascii="Times New Roman" w:hAnsi="Times New Roman"/>
          <w:sz w:val="24"/>
        </w:rPr>
        <w:t>1.4.1</w:t>
      </w:r>
      <w:r w:rsidRPr="008F22A0">
        <w:rPr>
          <w:rFonts w:ascii="Times New Roman" w:hAnsi="Times New Roman"/>
          <w:sz w:val="24"/>
        </w:rPr>
        <w:tab/>
      </w:r>
      <w:r w:rsidRPr="008F22A0">
        <w:rPr>
          <w:rFonts w:ascii="Times New Roman" w:hAnsi="Times New Roman"/>
          <w:sz w:val="24"/>
          <w:u w:val="single"/>
        </w:rPr>
        <w:t>Instruktioner för specifika positioner</w:t>
      </w:r>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9915A67" w14:textId="77777777">
        <w:tc>
          <w:tcPr>
            <w:tcW w:w="1129" w:type="dxa"/>
            <w:shd w:val="clear" w:color="auto" w:fill="D9D9D9"/>
          </w:tcPr>
          <w:p w14:paraId="59EA803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1446575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7C774F40" w14:textId="77777777">
        <w:tc>
          <w:tcPr>
            <w:tcW w:w="1129" w:type="dxa"/>
          </w:tcPr>
          <w:p w14:paraId="08460B4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022C08F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Primärkapitalkvot</w:t>
            </w:r>
          </w:p>
          <w:p w14:paraId="6E61124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9.1 a och artikel 11.1 i förordning (EU) </w:t>
            </w:r>
            <w:r w:rsidRPr="008F22A0">
              <w:rPr>
                <w:rFonts w:ascii="Times New Roman" w:hAnsi="Times New Roman"/>
              </w:rPr>
              <w:t>2019/2033.</w:t>
            </w:r>
          </w:p>
          <w:p w14:paraId="1D07BF4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9.4 i förordning (EU) 2019/2033.</w:t>
            </w:r>
          </w:p>
          <w:p w14:paraId="4D421D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Denna post anges som en procentandel.</w:t>
            </w:r>
          </w:p>
        </w:tc>
      </w:tr>
      <w:tr w:rsidR="00E20575" w:rsidRPr="008F22A0" w14:paraId="6936E5FF" w14:textId="77777777">
        <w:tc>
          <w:tcPr>
            <w:tcW w:w="1129" w:type="dxa"/>
          </w:tcPr>
          <w:p w14:paraId="0828391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0A2233E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Överskott (+)/underskott (-) av kärnprimärkapital</w:t>
            </w:r>
          </w:p>
          <w:p w14:paraId="5D2D8F30"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Denna post visar överskott eller underskott i kärnprimärkapital i förhållande till kravet i artikel 9.1 i föro</w:t>
            </w:r>
            <w:r w:rsidRPr="008F22A0">
              <w:rPr>
                <w:rFonts w:ascii="Times New Roman" w:hAnsi="Times New Roman"/>
              </w:rPr>
              <w:t>rdning (EU) 2019/2033.</w:t>
            </w:r>
          </w:p>
          <w:p w14:paraId="37DB0AB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Övergångsbestämmelserna i artikel 57.3 och 57.4 i förordning (EU) 2019/2033 ska inte beaktas för denna post.</w:t>
            </w:r>
          </w:p>
        </w:tc>
      </w:tr>
      <w:tr w:rsidR="00E20575" w:rsidRPr="008F22A0" w14:paraId="69B3FA99" w14:textId="77777777">
        <w:tc>
          <w:tcPr>
            <w:tcW w:w="1129" w:type="dxa"/>
          </w:tcPr>
          <w:p w14:paraId="7A22477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101CACA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Primärkapitalkvot</w:t>
            </w:r>
          </w:p>
          <w:p w14:paraId="37181F1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b och artikel 11.1 i förordning (EU) 2019/2033.</w:t>
            </w:r>
          </w:p>
          <w:p w14:paraId="336CA2F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Denna post anges som en </w:t>
            </w:r>
            <w:r w:rsidRPr="008F22A0">
              <w:rPr>
                <w:rFonts w:ascii="Times New Roman" w:hAnsi="Times New Roman"/>
              </w:rPr>
              <w:t>procentandel.</w:t>
            </w:r>
          </w:p>
        </w:tc>
      </w:tr>
      <w:tr w:rsidR="00E20575" w:rsidRPr="008F22A0" w14:paraId="0845FD21" w14:textId="77777777">
        <w:tc>
          <w:tcPr>
            <w:tcW w:w="1129" w:type="dxa"/>
          </w:tcPr>
          <w:p w14:paraId="38A1B3D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2E7E484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Överskott (+)/underskott (-) av primärkapital</w:t>
            </w:r>
          </w:p>
          <w:p w14:paraId="3DA6C213" w14:textId="77777777" w:rsidR="00E20575" w:rsidRPr="008F22A0" w:rsidRDefault="008F22A0">
            <w:pPr>
              <w:pStyle w:val="CommentText"/>
              <w:rPr>
                <w:rFonts w:ascii="Times New Roman" w:hAnsi="Times New Roman" w:cs="Times New Roman"/>
                <w:sz w:val="22"/>
                <w:szCs w:val="22"/>
              </w:rPr>
            </w:pPr>
            <w:r w:rsidRPr="008F22A0">
              <w:rPr>
                <w:rFonts w:ascii="Times New Roman" w:hAnsi="Times New Roman"/>
                <w:sz w:val="22"/>
              </w:rPr>
              <w:t>Denna post visar överskott eller underskott i primärkapital i förhållande till kravet i artikel 9.1 i förordning (EU) 2019/2033.</w:t>
            </w:r>
          </w:p>
          <w:p w14:paraId="41703249" w14:textId="77777777" w:rsidR="00E20575" w:rsidRPr="008F22A0" w:rsidRDefault="008F22A0">
            <w:pPr>
              <w:spacing w:after="120" w:line="240" w:lineRule="auto"/>
              <w:jc w:val="both"/>
            </w:pPr>
            <w:r w:rsidRPr="008F22A0">
              <w:rPr>
                <w:rFonts w:ascii="Times New Roman" w:hAnsi="Times New Roman"/>
              </w:rPr>
              <w:t xml:space="preserve">Övergångsbestämmelserna i artikel 57.3 och 57.4 i förordning </w:t>
            </w:r>
            <w:r w:rsidRPr="008F22A0">
              <w:rPr>
                <w:rFonts w:ascii="Times New Roman" w:hAnsi="Times New Roman"/>
              </w:rPr>
              <w:t>(EU) 2019/2033 ska inte beaktas för denna post.</w:t>
            </w:r>
          </w:p>
        </w:tc>
      </w:tr>
      <w:tr w:rsidR="00E20575" w:rsidRPr="008F22A0" w14:paraId="70E55A90" w14:textId="77777777">
        <w:tc>
          <w:tcPr>
            <w:tcW w:w="1129" w:type="dxa"/>
          </w:tcPr>
          <w:p w14:paraId="000C8F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7CFBBA5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Kapitalbaskvot</w:t>
            </w:r>
          </w:p>
          <w:p w14:paraId="6027891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9.1 c och artikel 11.1 i förordning (EU) 2019/2033.</w:t>
            </w:r>
          </w:p>
          <w:p w14:paraId="67C44DB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Denna post anges som en procentandel.</w:t>
            </w:r>
          </w:p>
        </w:tc>
      </w:tr>
      <w:tr w:rsidR="00E20575" w:rsidRPr="008F22A0" w14:paraId="6C8132C1" w14:textId="77777777">
        <w:tc>
          <w:tcPr>
            <w:tcW w:w="1129" w:type="dxa"/>
          </w:tcPr>
          <w:p w14:paraId="29D0294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31CCFA2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Överskott (+)/underskott (-) i totalt kapital</w:t>
            </w:r>
          </w:p>
          <w:p w14:paraId="1FA4ED07"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 xml:space="preserve">Denna post visar överskott eller </w:t>
            </w:r>
            <w:r w:rsidRPr="008F22A0">
              <w:rPr>
                <w:rFonts w:ascii="Times New Roman" w:hAnsi="Times New Roman"/>
              </w:rPr>
              <w:t>underskott i kapitalbasen i förhållande till kravet i artikel 9.1 i förordning (EU) 2019/2033.</w:t>
            </w:r>
          </w:p>
          <w:p w14:paraId="1525F6F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Övergångsbestämmelserna i artikel 57.3 och 57.4 i förordning (EU) 2019/2033 ska inte beaktas för denna post.</w:t>
            </w:r>
          </w:p>
        </w:tc>
      </w:tr>
    </w:tbl>
    <w:p w14:paraId="33851711"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76556790"/>
      <w:bookmarkStart w:id="49" w:name="_Toc88220437"/>
      <w:r w:rsidRPr="008F22A0">
        <w:rPr>
          <w:rFonts w:ascii="Times New Roman" w:hAnsi="Times New Roman"/>
          <w:sz w:val="24"/>
          <w:u w:val="single"/>
        </w:rPr>
        <w:t>1.5. I 03.00 – BERÄKNING AV KRAV PÅ FASTA OMKOSTNAD</w:t>
      </w:r>
      <w:r w:rsidRPr="008F22A0">
        <w:rPr>
          <w:rFonts w:ascii="Times New Roman" w:hAnsi="Times New Roman"/>
          <w:sz w:val="24"/>
          <w:u w:val="single"/>
        </w:rPr>
        <w:t>ER (I 3)</w:t>
      </w:r>
      <w:bookmarkEnd w:id="2"/>
      <w:bookmarkEnd w:id="3"/>
      <w:bookmarkEnd w:id="48"/>
      <w:bookmarkEnd w:id="49"/>
      <w:bookmarkEnd w:id="4"/>
      <w:bookmarkEnd w:id="5"/>
    </w:p>
    <w:p w14:paraId="13D2B1E2" w14:textId="77777777" w:rsidR="00E20575" w:rsidRPr="008F22A0" w:rsidRDefault="008F22A0">
      <w:pPr>
        <w:keepNext/>
        <w:spacing w:before="240" w:after="240" w:line="240" w:lineRule="auto"/>
        <w:ind w:left="357" w:hanging="357"/>
        <w:jc w:val="both"/>
        <w:outlineLvl w:val="1"/>
        <w:rPr>
          <w:rFonts w:ascii="Times New Roman" w:eastAsia="Times New Roman" w:hAnsi="Times New Roman" w:cs="Times New Roman"/>
          <w:sz w:val="24"/>
          <w:szCs w:val="24"/>
        </w:rPr>
      </w:pPr>
      <w:bookmarkStart w:id="50" w:name="_Toc308175821"/>
      <w:bookmarkStart w:id="51" w:name="_Toc310414968"/>
      <w:bookmarkStart w:id="52" w:name="_Toc360188326"/>
      <w:bookmarkStart w:id="53" w:name="_Toc473560874"/>
      <w:bookmarkStart w:id="54" w:name="_Toc7084159"/>
      <w:bookmarkStart w:id="55" w:name="_Toc76556791"/>
      <w:bookmarkStart w:id="56" w:name="_Toc88220438"/>
      <w:r w:rsidRPr="008F22A0">
        <w:rPr>
          <w:rFonts w:ascii="Times New Roman" w:hAnsi="Times New Roman"/>
          <w:sz w:val="24"/>
        </w:rPr>
        <w:t>1.5.1</w:t>
      </w:r>
      <w:r w:rsidRPr="008F22A0">
        <w:rPr>
          <w:rFonts w:ascii="Times New Roman" w:hAnsi="Times New Roman"/>
          <w:sz w:val="24"/>
        </w:rPr>
        <w:tab/>
      </w:r>
      <w:r w:rsidRPr="008F22A0">
        <w:rPr>
          <w:rFonts w:ascii="Times New Roman" w:hAnsi="Times New Roman"/>
          <w:sz w:val="24"/>
          <w:u w:val="single"/>
        </w:rPr>
        <w:t xml:space="preserve">Instruktioner för specifika </w:t>
      </w:r>
      <w:bookmarkEnd w:id="50"/>
      <w:bookmarkEnd w:id="51"/>
      <w:r w:rsidRPr="008F22A0">
        <w:rPr>
          <w:rFonts w:ascii="Times New Roman" w:hAnsi="Times New Roman"/>
          <w:sz w:val="24"/>
          <w:u w:val="single"/>
        </w:rPr>
        <w:t>positioner</w:t>
      </w:r>
      <w:bookmarkEnd w:id="52"/>
      <w:bookmarkEnd w:id="53"/>
      <w:bookmarkEnd w:id="54"/>
      <w:bookmarkEnd w:id="55"/>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0C2AD7B9" w14:textId="77777777">
        <w:tc>
          <w:tcPr>
            <w:tcW w:w="1129" w:type="dxa"/>
            <w:shd w:val="clear" w:color="auto" w:fill="D9D9D9"/>
          </w:tcPr>
          <w:p w14:paraId="14FEE24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Rad</w:t>
            </w:r>
          </w:p>
        </w:tc>
        <w:tc>
          <w:tcPr>
            <w:tcW w:w="7620" w:type="dxa"/>
            <w:shd w:val="clear" w:color="auto" w:fill="D9D9D9"/>
          </w:tcPr>
          <w:p w14:paraId="113A7F1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Rättsliga hänvisningar och instruktioner</w:t>
            </w:r>
          </w:p>
        </w:tc>
      </w:tr>
      <w:tr w:rsidR="00E20575" w:rsidRPr="008F22A0" w14:paraId="1329E61C" w14:textId="77777777">
        <w:tc>
          <w:tcPr>
            <w:tcW w:w="1129" w:type="dxa"/>
          </w:tcPr>
          <w:p w14:paraId="62A28E6D"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0010</w:t>
            </w:r>
          </w:p>
        </w:tc>
        <w:tc>
          <w:tcPr>
            <w:tcW w:w="7620" w:type="dxa"/>
          </w:tcPr>
          <w:p w14:paraId="113ECA9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Krav baserat på fasta omkostnader</w:t>
            </w:r>
          </w:p>
          <w:p w14:paraId="30EF827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13.1 i förordning (EU) 2019/2033.</w:t>
            </w:r>
          </w:p>
          <w:p w14:paraId="6F6BCC44"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 xml:space="preserve">Det redovisade beloppet ska vara minst 25 % av de årliga fasta </w:t>
            </w:r>
            <w:r w:rsidRPr="008F22A0">
              <w:rPr>
                <w:rFonts w:ascii="Times New Roman" w:hAnsi="Times New Roman"/>
              </w:rPr>
              <w:t>omkostnaderna för föregående år (rad 0020).</w:t>
            </w:r>
          </w:p>
          <w:p w14:paraId="158834C8"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Om det sker en väsentlig förändring ska det redovisade beloppet vara det krav på fasta omkostnader som den behöriga myndigheten har fastställt i enlighet med artikel 13.2 i förordning (EU) 2019/2033.</w:t>
            </w:r>
          </w:p>
          <w:p w14:paraId="255D9BAC"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I de fall so</w:t>
            </w:r>
            <w:r w:rsidRPr="008F22A0">
              <w:rPr>
                <w:rFonts w:ascii="Times New Roman" w:hAnsi="Times New Roman"/>
              </w:rPr>
              <w:t>m anges i artikel 13.3 i förordning (EU) 2019/2033 ska det belopp som ska redovisas vara de beräknade fasta omkostnaderna för innevarande år (rad 0210).</w:t>
            </w:r>
          </w:p>
        </w:tc>
      </w:tr>
      <w:tr w:rsidR="00E20575" w:rsidRPr="008F22A0" w14:paraId="5B37535A" w14:textId="77777777">
        <w:tc>
          <w:tcPr>
            <w:tcW w:w="1129" w:type="dxa"/>
          </w:tcPr>
          <w:p w14:paraId="496D84B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0020</w:t>
            </w:r>
          </w:p>
        </w:tc>
        <w:tc>
          <w:tcPr>
            <w:tcW w:w="7620" w:type="dxa"/>
          </w:tcPr>
          <w:p w14:paraId="0989DB7E"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Årliga fasta omkostnader från föregående år efter vinstutdelning</w:t>
            </w:r>
          </w:p>
          <w:p w14:paraId="08B6374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 xml:space="preserve">Artikel 13.1 i </w:t>
            </w:r>
            <w:r w:rsidRPr="008F22A0">
              <w:rPr>
                <w:rFonts w:ascii="Times New Roman" w:hAnsi="Times New Roman"/>
                <w:color w:val="000000" w:themeColor="text1"/>
              </w:rPr>
              <w:t>förordning (EU) 2019/2033.</w:t>
            </w:r>
          </w:p>
          <w:p w14:paraId="51739C13" w14:textId="77777777" w:rsidR="00E20575" w:rsidRPr="008F22A0" w:rsidRDefault="008F22A0">
            <w:pPr>
              <w:pStyle w:val="CommentText"/>
              <w:rPr>
                <w:rFonts w:ascii="Times New Roman" w:hAnsi="Times New Roman" w:cs="Times New Roman"/>
              </w:rPr>
            </w:pPr>
            <w:r w:rsidRPr="008F22A0">
              <w:rPr>
                <w:rFonts w:ascii="Times New Roman" w:hAnsi="Times New Roman"/>
                <w:color w:val="000000" w:themeColor="text1"/>
                <w:sz w:val="22"/>
              </w:rPr>
              <w:t xml:space="preserve">Värdepappersföretag ska redovisa de fasta omkostnaderna för det föregående året efter vinstutdelningen. </w:t>
            </w:r>
          </w:p>
        </w:tc>
      </w:tr>
      <w:tr w:rsidR="00E20575" w:rsidRPr="008F22A0" w14:paraId="0DE4E305" w14:textId="77777777">
        <w:tc>
          <w:tcPr>
            <w:tcW w:w="1129" w:type="dxa"/>
          </w:tcPr>
          <w:p w14:paraId="7485845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0030</w:t>
            </w:r>
          </w:p>
        </w:tc>
        <w:tc>
          <w:tcPr>
            <w:tcW w:w="7620" w:type="dxa"/>
          </w:tcPr>
          <w:p w14:paraId="413356A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Totala kostnader för föregående år efter vinstutdelning</w:t>
            </w:r>
          </w:p>
          <w:p w14:paraId="6990E69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13.1 i förordning (EU) 2019/2033.</w:t>
            </w:r>
          </w:p>
          <w:p w14:paraId="76EA1998"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Det belopp som ska r</w:t>
            </w:r>
            <w:r w:rsidRPr="008F22A0">
              <w:rPr>
                <w:rFonts w:ascii="Times New Roman" w:hAnsi="Times New Roman"/>
                <w:color w:val="000000" w:themeColor="text1"/>
              </w:rPr>
              <w:t>edovisas ska anges efter vinstutdelningen.</w:t>
            </w:r>
          </w:p>
        </w:tc>
      </w:tr>
      <w:tr w:rsidR="00E20575" w:rsidRPr="008F22A0" w14:paraId="3AF20F8B" w14:textId="77777777">
        <w:tc>
          <w:tcPr>
            <w:tcW w:w="1129" w:type="dxa"/>
          </w:tcPr>
          <w:p w14:paraId="20E5E19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0040</w:t>
            </w:r>
          </w:p>
        </w:tc>
        <w:tc>
          <w:tcPr>
            <w:tcW w:w="7620" w:type="dxa"/>
          </w:tcPr>
          <w:p w14:paraId="2E0C9FE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Varav: Fasta kostnader som tredje part ådragit sig för värdepappersföretagens räkning</w:t>
            </w:r>
          </w:p>
          <w:p w14:paraId="355FE572" w14:textId="77777777" w:rsidR="00E20575" w:rsidRPr="008F22A0" w:rsidRDefault="008F22A0">
            <w:pPr>
              <w:pStyle w:val="NumPar1"/>
              <w:numPr>
                <w:ilvl w:val="0"/>
                <w:numId w:val="0"/>
              </w:numPr>
              <w:rPr>
                <w:rFonts w:eastAsia="Times New Roman"/>
                <w:b/>
                <w:bCs/>
                <w:color w:val="000000" w:themeColor="text1"/>
                <w:u w:val="single"/>
              </w:rPr>
            </w:pPr>
            <w:r w:rsidRPr="008F22A0">
              <w:rPr>
                <w:color w:val="000000" w:themeColor="text1"/>
              </w:rPr>
              <w:t xml:space="preserve">Om tredje parter, inbegripet anknutna ombud, ådragit sig fasta kostnader för värdepappersföretagens räkning som inte </w:t>
            </w:r>
            <w:r w:rsidRPr="008F22A0">
              <w:rPr>
                <w:color w:val="000000" w:themeColor="text1"/>
              </w:rPr>
              <w:t>redan ingår i de totala kostnaderna i den årsredovisning som avses i punkt 1, ska dessa fasta kostnader läggas till värdepappersföretagets totala kostnader. Om det finns en uppdelning av den tredje partens kostnader ska värdepappersföretaget till det belop</w:t>
            </w:r>
            <w:r w:rsidRPr="008F22A0">
              <w:rPr>
                <w:color w:val="000000" w:themeColor="text1"/>
              </w:rPr>
              <w:t>p som representerar de totala kostnaderna endast lägga till den andel av de fasta kostnaderna som är tillämplig på värdepappersföretaget. Om en sådan uppdelning inte är tillgänglig ska värdepappersföretaget till det belopp som representerar de totala kostn</w:t>
            </w:r>
            <w:r w:rsidRPr="008F22A0">
              <w:rPr>
                <w:color w:val="000000" w:themeColor="text1"/>
              </w:rPr>
              <w:t>aderna endast lägga till sin andel av den tredje partens kostnader enligt värdepappersföretagets affärsplan.</w:t>
            </w:r>
          </w:p>
        </w:tc>
      </w:tr>
      <w:tr w:rsidR="00E20575" w:rsidRPr="008F22A0" w14:paraId="79C47596" w14:textId="77777777">
        <w:tc>
          <w:tcPr>
            <w:tcW w:w="1129" w:type="dxa"/>
          </w:tcPr>
          <w:p w14:paraId="734B2C1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0050</w:t>
            </w:r>
          </w:p>
        </w:tc>
        <w:tc>
          <w:tcPr>
            <w:tcW w:w="7620" w:type="dxa"/>
          </w:tcPr>
          <w:p w14:paraId="25E89F4B" w14:textId="77777777" w:rsidR="00E20575" w:rsidRPr="008F22A0" w:rsidRDefault="008F22A0">
            <w:pPr>
              <w:spacing w:after="120" w:line="240" w:lineRule="auto"/>
              <w:jc w:val="both"/>
              <w:rPr>
                <w:rFonts w:ascii="Times New Roman" w:eastAsia="Times New Roman" w:hAnsi="Times New Roman" w:cs="Times New Roman"/>
                <w:bCs/>
                <w:color w:val="000000" w:themeColor="text1"/>
                <w:szCs w:val="20"/>
              </w:rPr>
            </w:pPr>
            <w:r w:rsidRPr="008F22A0">
              <w:rPr>
                <w:rFonts w:ascii="Times New Roman" w:hAnsi="Times New Roman"/>
                <w:color w:val="000000" w:themeColor="text1"/>
              </w:rPr>
              <w:t>(-) Totala avdrag</w:t>
            </w:r>
          </w:p>
          <w:p w14:paraId="6833C7CD" w14:textId="77777777" w:rsidR="00E20575" w:rsidRPr="008F22A0" w:rsidRDefault="008F22A0">
            <w:pPr>
              <w:spacing w:after="120" w:line="240" w:lineRule="auto"/>
              <w:jc w:val="both"/>
              <w:rPr>
                <w:rFonts w:eastAsia="Times New Roman"/>
                <w:bCs/>
                <w:color w:val="000000" w:themeColor="text1"/>
                <w:szCs w:val="20"/>
              </w:rPr>
            </w:pPr>
            <w:r w:rsidRPr="008F22A0">
              <w:rPr>
                <w:rFonts w:ascii="Times New Roman" w:hAnsi="Times New Roman"/>
                <w:color w:val="000000" w:themeColor="text1"/>
              </w:rPr>
              <w:t>Utöver de poster för avdrag som avses i artikel 13.4 i förordning (EU) 2019/2033 ska även följande poster dras av från de t</w:t>
            </w:r>
            <w:r w:rsidRPr="008F22A0">
              <w:rPr>
                <w:rFonts w:ascii="Times New Roman" w:hAnsi="Times New Roman"/>
                <w:color w:val="000000" w:themeColor="text1"/>
              </w:rPr>
              <w:t>otala kostnaderna, om de ingår i de totala kostnaderna i enlighet med den relevanta redovisningsramen:</w:t>
            </w:r>
          </w:p>
          <w:p w14:paraId="2584EF39"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a)</w:t>
            </w:r>
            <w:r w:rsidRPr="008F22A0">
              <w:rPr>
                <w:rFonts w:eastAsia="Times New Roman"/>
                <w:bCs/>
                <w:color w:val="000000" w:themeColor="text1"/>
                <w:sz w:val="22"/>
                <w:szCs w:val="20"/>
              </w:rPr>
              <w:tab/>
            </w:r>
            <w:r w:rsidRPr="008F22A0">
              <w:rPr>
                <w:color w:val="000000" w:themeColor="text1"/>
                <w:sz w:val="22"/>
              </w:rPr>
              <w:t>Avgifter, förmedlingsavgifter och andra avgifter som betalas till centrala motparter, börser och andra handelsplatser och mellanhänder i syfte att utf</w:t>
            </w:r>
            <w:r w:rsidRPr="008F22A0">
              <w:rPr>
                <w:color w:val="000000" w:themeColor="text1"/>
                <w:sz w:val="22"/>
              </w:rPr>
              <w:t>öra, registrera eller cleara transaktioner, endast om de direkt övervältras på och debiteras kunder. Dessa ska inte omfatta pålagor och andra avgifter som är nödvändiga för att behålla medlemskap eller på annat sätt uppfylla finansiella skyldigheter avseen</w:t>
            </w:r>
            <w:r w:rsidRPr="008F22A0">
              <w:rPr>
                <w:color w:val="000000" w:themeColor="text1"/>
                <w:sz w:val="22"/>
              </w:rPr>
              <w:t>de förlustdelning gentemot centrala motparter, börser och andra handelsplatser.</w:t>
            </w:r>
          </w:p>
          <w:p w14:paraId="77DA18D3"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b)</w:t>
            </w:r>
            <w:r w:rsidRPr="008F22A0">
              <w:rPr>
                <w:rFonts w:eastAsia="Times New Roman"/>
                <w:bCs/>
                <w:color w:val="000000" w:themeColor="text1"/>
                <w:sz w:val="22"/>
                <w:szCs w:val="20"/>
              </w:rPr>
              <w:tab/>
            </w:r>
            <w:r w:rsidRPr="008F22A0">
              <w:rPr>
                <w:color w:val="000000" w:themeColor="text1"/>
                <w:sz w:val="22"/>
              </w:rPr>
              <w:t>Ränta som betalas till kunder på kundmedel, om det inte finns någon skyldighet av något slag att betala sådan ränta.</w:t>
            </w:r>
          </w:p>
          <w:p w14:paraId="04F73C8F"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c)</w:t>
            </w:r>
            <w:r w:rsidRPr="008F22A0">
              <w:rPr>
                <w:rFonts w:eastAsia="Times New Roman"/>
                <w:bCs/>
                <w:color w:val="000000" w:themeColor="text1"/>
                <w:sz w:val="22"/>
                <w:szCs w:val="20"/>
              </w:rPr>
              <w:tab/>
            </w:r>
            <w:r w:rsidRPr="008F22A0">
              <w:rPr>
                <w:color w:val="000000" w:themeColor="text1"/>
                <w:sz w:val="22"/>
              </w:rPr>
              <w:t xml:space="preserve">Kostnader från skatter som förfaller till </w:t>
            </w:r>
            <w:r w:rsidRPr="008F22A0">
              <w:rPr>
                <w:color w:val="000000" w:themeColor="text1"/>
                <w:sz w:val="22"/>
              </w:rPr>
              <w:t>betalning i förhållande till värdepappersföretagets årliga vinst.</w:t>
            </w:r>
          </w:p>
          <w:p w14:paraId="1BDAEEA0"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d)</w:t>
            </w:r>
            <w:r w:rsidRPr="008F22A0">
              <w:rPr>
                <w:rFonts w:eastAsia="Times New Roman"/>
                <w:bCs/>
                <w:color w:val="000000" w:themeColor="text1"/>
                <w:sz w:val="22"/>
                <w:szCs w:val="20"/>
              </w:rPr>
              <w:tab/>
            </w:r>
            <w:r w:rsidRPr="008F22A0">
              <w:rPr>
                <w:color w:val="000000" w:themeColor="text1"/>
                <w:sz w:val="22"/>
              </w:rPr>
              <w:t>Förluster från handel för egen räkning med finansiella instrument.</w:t>
            </w:r>
          </w:p>
          <w:p w14:paraId="39013E33"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e)</w:t>
            </w:r>
            <w:r w:rsidRPr="008F22A0">
              <w:rPr>
                <w:rFonts w:eastAsia="Times New Roman"/>
                <w:bCs/>
                <w:color w:val="000000" w:themeColor="text1"/>
                <w:sz w:val="22"/>
                <w:szCs w:val="20"/>
              </w:rPr>
              <w:tab/>
            </w:r>
            <w:r w:rsidRPr="008F22A0">
              <w:rPr>
                <w:color w:val="000000" w:themeColor="text1"/>
                <w:sz w:val="22"/>
              </w:rPr>
              <w:t xml:space="preserve">Betalningar i samband med avtalsbaserade resultatöverföringsavtal enligt vilka värdepappersföretaget är skyldigt att </w:t>
            </w:r>
            <w:r w:rsidRPr="008F22A0">
              <w:rPr>
                <w:color w:val="000000" w:themeColor="text1"/>
                <w:sz w:val="22"/>
              </w:rPr>
              <w:t>efter upprättandet av sin årsredovisning överföra sitt årsresultat till moderföretaget.</w:t>
            </w:r>
          </w:p>
          <w:p w14:paraId="7FBC0EB4" w14:textId="77777777" w:rsidR="00E20575" w:rsidRPr="008F22A0" w:rsidRDefault="008F22A0">
            <w:pPr>
              <w:pStyle w:val="Point1letter"/>
              <w:numPr>
                <w:ilvl w:val="0"/>
                <w:numId w:val="0"/>
              </w:numPr>
              <w:ind w:left="350" w:hanging="426"/>
              <w:rPr>
                <w:rFonts w:eastAsia="Times New Roman"/>
                <w:bCs/>
                <w:color w:val="000000" w:themeColor="text1"/>
                <w:sz w:val="22"/>
                <w:szCs w:val="20"/>
              </w:rPr>
            </w:pPr>
            <w:r w:rsidRPr="008F22A0">
              <w:rPr>
                <w:rFonts w:eastAsia="Times New Roman"/>
                <w:bCs/>
                <w:color w:val="000000" w:themeColor="text1"/>
                <w:sz w:val="22"/>
                <w:szCs w:val="20"/>
              </w:rPr>
              <w:t>f)</w:t>
            </w:r>
            <w:r w:rsidRPr="008F22A0">
              <w:rPr>
                <w:rFonts w:eastAsia="Times New Roman"/>
                <w:bCs/>
                <w:color w:val="000000" w:themeColor="text1"/>
                <w:sz w:val="22"/>
                <w:szCs w:val="20"/>
              </w:rPr>
              <w:tab/>
            </w:r>
            <w:r w:rsidRPr="008F22A0">
              <w:t>Betalningar till en fond för allmänna risker i bankrörelse i enlighet med artikel 26.1 f i förordning (EU) nr 575/2013.</w:t>
            </w:r>
          </w:p>
          <w:p w14:paraId="6C8D09F9" w14:textId="77777777" w:rsidR="00E20575" w:rsidRPr="008F22A0" w:rsidRDefault="008F22A0">
            <w:pPr>
              <w:pStyle w:val="Point1letter"/>
              <w:numPr>
                <w:ilvl w:val="0"/>
                <w:numId w:val="0"/>
              </w:numPr>
              <w:ind w:left="350" w:hanging="426"/>
              <w:rPr>
                <w:rFonts w:eastAsia="Times New Roman"/>
                <w:bCs/>
                <w:color w:val="000000" w:themeColor="text1"/>
                <w:szCs w:val="20"/>
              </w:rPr>
            </w:pPr>
            <w:r w:rsidRPr="008F22A0">
              <w:rPr>
                <w:rFonts w:eastAsia="Times New Roman"/>
                <w:bCs/>
                <w:color w:val="000000" w:themeColor="text1"/>
                <w:szCs w:val="20"/>
              </w:rPr>
              <w:t>g)</w:t>
            </w:r>
            <w:r w:rsidRPr="008F22A0">
              <w:rPr>
                <w:rFonts w:eastAsia="Times New Roman"/>
                <w:bCs/>
                <w:color w:val="000000" w:themeColor="text1"/>
                <w:szCs w:val="20"/>
              </w:rPr>
              <w:tab/>
            </w:r>
            <w:r w:rsidRPr="008F22A0">
              <w:t>Kostnader för poster som redan har dragits</w:t>
            </w:r>
            <w:r w:rsidRPr="008F22A0">
              <w:t xml:space="preserve"> av från kapitalbasen i enlighet med artikel 36.1 i förordning (EU) nr 575/2013.</w:t>
            </w:r>
          </w:p>
        </w:tc>
      </w:tr>
      <w:tr w:rsidR="00E20575" w:rsidRPr="008F22A0" w14:paraId="0BB13935" w14:textId="77777777">
        <w:tc>
          <w:tcPr>
            <w:tcW w:w="1129" w:type="dxa"/>
          </w:tcPr>
          <w:p w14:paraId="00DFFD7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0060</w:t>
            </w:r>
          </w:p>
        </w:tc>
        <w:tc>
          <w:tcPr>
            <w:tcW w:w="7620" w:type="dxa"/>
          </w:tcPr>
          <w:p w14:paraId="2C0CAA4F"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Personalens bonusar och annan ersättning</w:t>
            </w:r>
          </w:p>
          <w:p w14:paraId="7CEE62E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13.4 a i förordning (EU) 2019/2033.</w:t>
            </w:r>
          </w:p>
          <w:p w14:paraId="60543055" w14:textId="77777777" w:rsidR="00E20575" w:rsidRPr="008F22A0" w:rsidRDefault="008F22A0">
            <w:pPr>
              <w:pStyle w:val="NumPar1"/>
              <w:numPr>
                <w:ilvl w:val="0"/>
                <w:numId w:val="0"/>
              </w:numPr>
              <w:rPr>
                <w:rFonts w:eastAsia="Times New Roman"/>
                <w:bCs/>
                <w:color w:val="000000" w:themeColor="text1"/>
                <w:sz w:val="22"/>
                <w:szCs w:val="20"/>
              </w:rPr>
            </w:pPr>
            <w:r w:rsidRPr="008F22A0">
              <w:rPr>
                <w:color w:val="000000" w:themeColor="text1"/>
                <w:sz w:val="22"/>
              </w:rPr>
              <w:t xml:space="preserve">Bonusar till personalen och annan ersättning ska anses vara beroende av </w:t>
            </w:r>
            <w:r w:rsidRPr="008F22A0">
              <w:rPr>
                <w:color w:val="000000" w:themeColor="text1"/>
                <w:sz w:val="22"/>
              </w:rPr>
              <w:t>värdepappersföretagets nettovinst under respektive år om båda följande villkor är uppfyllda:</w:t>
            </w:r>
          </w:p>
          <w:p w14:paraId="18CF2657" w14:textId="77777777" w:rsidR="00E20575" w:rsidRPr="008F22A0" w:rsidRDefault="008F22A0">
            <w:pPr>
              <w:pStyle w:val="Point1letter"/>
              <w:numPr>
                <w:ilvl w:val="0"/>
                <w:numId w:val="0"/>
              </w:numPr>
              <w:ind w:left="350" w:hanging="350"/>
              <w:rPr>
                <w:rFonts w:eastAsia="Times New Roman"/>
                <w:bCs/>
                <w:color w:val="000000" w:themeColor="text1"/>
                <w:sz w:val="22"/>
                <w:szCs w:val="20"/>
              </w:rPr>
            </w:pPr>
            <w:r w:rsidRPr="008F22A0">
              <w:rPr>
                <w:rFonts w:eastAsia="Times New Roman"/>
                <w:bCs/>
                <w:color w:val="000000" w:themeColor="text1"/>
                <w:sz w:val="22"/>
                <w:szCs w:val="20"/>
              </w:rPr>
              <w:t>h)</w:t>
            </w:r>
            <w:r w:rsidRPr="008F22A0">
              <w:rPr>
                <w:rFonts w:eastAsia="Times New Roman"/>
                <w:bCs/>
                <w:color w:val="000000" w:themeColor="text1"/>
                <w:sz w:val="22"/>
                <w:szCs w:val="20"/>
              </w:rPr>
              <w:tab/>
            </w:r>
            <w:r w:rsidRPr="008F22A0">
              <w:rPr>
                <w:color w:val="000000" w:themeColor="text1"/>
                <w:sz w:val="22"/>
              </w:rPr>
              <w:t>Bonusar till personalen eller annan ersättning som ska dras av redan har betalats ut till de anställda under det år som föregår utbetalningsåret, eller utbetaln</w:t>
            </w:r>
            <w:r w:rsidRPr="008F22A0">
              <w:rPr>
                <w:color w:val="000000" w:themeColor="text1"/>
                <w:sz w:val="22"/>
              </w:rPr>
              <w:t>ingen av personalbonusar eller annan ersättning till de anställda inte kommer att påverka företagets kapitalsituation under det år då betalningen görs.</w:t>
            </w:r>
          </w:p>
          <w:p w14:paraId="5DFE9BF0" w14:textId="77777777" w:rsidR="00E20575" w:rsidRPr="008F22A0" w:rsidRDefault="008F22A0">
            <w:pPr>
              <w:pStyle w:val="Point1letter"/>
              <w:numPr>
                <w:ilvl w:val="0"/>
                <w:numId w:val="0"/>
              </w:numPr>
              <w:ind w:left="350" w:hanging="350"/>
              <w:rPr>
                <w:rFonts w:eastAsia="Times New Roman"/>
                <w:bCs/>
                <w:color w:val="000000" w:themeColor="text1"/>
              </w:rPr>
            </w:pPr>
            <w:r w:rsidRPr="008F22A0">
              <w:rPr>
                <w:rFonts w:eastAsia="Times New Roman"/>
                <w:bCs/>
                <w:color w:val="000000" w:themeColor="text1"/>
              </w:rPr>
              <w:t>i)</w:t>
            </w:r>
            <w:r w:rsidRPr="008F22A0">
              <w:rPr>
                <w:rFonts w:eastAsia="Times New Roman"/>
                <w:bCs/>
                <w:color w:val="000000" w:themeColor="text1"/>
              </w:rPr>
              <w:tab/>
            </w:r>
            <w:r w:rsidRPr="008F22A0">
              <w:rPr>
                <w:color w:val="000000" w:themeColor="text1"/>
              </w:rPr>
              <w:t>När det gäller innevarande och kommande år är företaget inte skyldigt att bevilja eller fördela ytter</w:t>
            </w:r>
            <w:r w:rsidRPr="008F22A0">
              <w:rPr>
                <w:color w:val="000000" w:themeColor="text1"/>
              </w:rPr>
              <w:t>ligare bonusar eller andra utbetalningar i form av ersättning, såvida det inte gör en nettovinst under det året.</w:t>
            </w:r>
          </w:p>
        </w:tc>
      </w:tr>
      <w:tr w:rsidR="00E20575" w:rsidRPr="008F22A0" w14:paraId="55D59020" w14:textId="77777777">
        <w:tc>
          <w:tcPr>
            <w:tcW w:w="1129" w:type="dxa"/>
          </w:tcPr>
          <w:p w14:paraId="28EC52C3"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0070</w:t>
            </w:r>
          </w:p>
        </w:tc>
        <w:tc>
          <w:tcPr>
            <w:tcW w:w="7620" w:type="dxa"/>
          </w:tcPr>
          <w:p w14:paraId="0D2FD8A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Anställdas, styrelseledamöters och delägares vinstandelar</w:t>
            </w:r>
          </w:p>
          <w:p w14:paraId="7F9697DD" w14:textId="77777777" w:rsidR="00E20575" w:rsidRPr="008F22A0" w:rsidRDefault="008F22A0">
            <w:pPr>
              <w:spacing w:after="120" w:line="240" w:lineRule="auto"/>
              <w:jc w:val="both"/>
              <w:rPr>
                <w:rFonts w:eastAsia="Times New Roman"/>
                <w:bCs/>
                <w:color w:val="000000" w:themeColor="text1"/>
              </w:rPr>
            </w:pPr>
            <w:r w:rsidRPr="008F22A0">
              <w:rPr>
                <w:rFonts w:ascii="Times New Roman" w:hAnsi="Times New Roman"/>
                <w:color w:val="000000" w:themeColor="text1"/>
              </w:rPr>
              <w:t>Artikel 13.4 b i förordning (EU) 2019/2033.</w:t>
            </w:r>
          </w:p>
          <w:p w14:paraId="4F4CF165"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 xml:space="preserve">Anställdas, styrelseledamöters </w:t>
            </w:r>
            <w:r w:rsidRPr="008F22A0">
              <w:rPr>
                <w:rFonts w:ascii="Times New Roman" w:hAnsi="Times New Roman"/>
                <w:color w:val="000000" w:themeColor="text1"/>
              </w:rPr>
              <w:t>och delägares vinstandelar ska beräknas på grundval av nettovinsten.</w:t>
            </w:r>
          </w:p>
        </w:tc>
      </w:tr>
      <w:tr w:rsidR="00E20575" w:rsidRPr="008F22A0" w14:paraId="1A4C3713" w14:textId="77777777">
        <w:tc>
          <w:tcPr>
            <w:tcW w:w="1129" w:type="dxa"/>
          </w:tcPr>
          <w:p w14:paraId="7D06ECB2"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0080</w:t>
            </w:r>
          </w:p>
        </w:tc>
        <w:tc>
          <w:tcPr>
            <w:tcW w:w="7620" w:type="dxa"/>
          </w:tcPr>
          <w:p w14:paraId="0DB35709"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Andra diskretionära utbetalningar av vinster och rörlig ersättning</w:t>
            </w:r>
          </w:p>
          <w:p w14:paraId="341EBD2D"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13.4 c i förordning (EU) 2019/2033.</w:t>
            </w:r>
          </w:p>
        </w:tc>
      </w:tr>
      <w:tr w:rsidR="00E20575" w:rsidRPr="008F22A0" w14:paraId="060403D1" w14:textId="77777777">
        <w:tc>
          <w:tcPr>
            <w:tcW w:w="1129" w:type="dxa"/>
          </w:tcPr>
          <w:p w14:paraId="78E9919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0090</w:t>
            </w:r>
          </w:p>
        </w:tc>
        <w:tc>
          <w:tcPr>
            <w:tcW w:w="7620" w:type="dxa"/>
          </w:tcPr>
          <w:p w14:paraId="3382545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Delad provision och avgifter som ska betalas</w:t>
            </w:r>
          </w:p>
          <w:p w14:paraId="29E9B65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13.4 d i förordning (EU) 2019/2033.</w:t>
            </w:r>
          </w:p>
        </w:tc>
      </w:tr>
      <w:tr w:rsidR="00E20575" w:rsidRPr="008F22A0" w14:paraId="007F9ACC" w14:textId="77777777">
        <w:tc>
          <w:tcPr>
            <w:tcW w:w="1129" w:type="dxa"/>
          </w:tcPr>
          <w:p w14:paraId="631319D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0100</w:t>
            </w:r>
          </w:p>
        </w:tc>
        <w:tc>
          <w:tcPr>
            <w:tcW w:w="7620" w:type="dxa"/>
          </w:tcPr>
          <w:p w14:paraId="6ED3B17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Avgifter, förmedlingsavgifter och andra avgifter som betalas till centrala motparter och som tas ut av kunder</w:t>
            </w:r>
          </w:p>
          <w:p w14:paraId="4A4CD476" w14:textId="77777777" w:rsidR="00E20575" w:rsidRPr="008F22A0" w:rsidRDefault="008F22A0">
            <w:pPr>
              <w:pStyle w:val="Point1letter"/>
              <w:numPr>
                <w:ilvl w:val="0"/>
                <w:numId w:val="0"/>
              </w:numPr>
              <w:rPr>
                <w:rFonts w:eastAsia="Times New Roman"/>
                <w:bCs/>
                <w:color w:val="000000" w:themeColor="text1"/>
              </w:rPr>
            </w:pPr>
            <w:r w:rsidRPr="008F22A0">
              <w:rPr>
                <w:color w:val="000000" w:themeColor="text1"/>
              </w:rPr>
              <w:t>Avgifter, förmedlingsavgifter och andra avgifter som betalas till centrala motparter, börser</w:t>
            </w:r>
            <w:r w:rsidRPr="008F22A0">
              <w:rPr>
                <w:color w:val="000000" w:themeColor="text1"/>
              </w:rPr>
              <w:t xml:space="preserve"> och andra handelsplatser och mellanhänder i syfte att utföra, registrera eller cleara transaktioner, endast om de direkt övervältras på och debiteras kunder. Dessa ska inte omfatta pålagor och andra avgifter som är nödvändiga för att behålla medlemskap el</w:t>
            </w:r>
            <w:r w:rsidRPr="008F22A0">
              <w:rPr>
                <w:color w:val="000000" w:themeColor="text1"/>
              </w:rPr>
              <w:t xml:space="preserve">ler på annat sätt uppfylla finansiella skyldigheter avseende förlustdelning gentemot centrala motparter, börser och andra handelsplatser. </w:t>
            </w:r>
          </w:p>
        </w:tc>
      </w:tr>
      <w:tr w:rsidR="00E20575" w:rsidRPr="008F22A0" w14:paraId="2308F70E" w14:textId="77777777">
        <w:tc>
          <w:tcPr>
            <w:tcW w:w="1129" w:type="dxa"/>
          </w:tcPr>
          <w:p w14:paraId="3A62351D"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0110</w:t>
            </w:r>
          </w:p>
        </w:tc>
        <w:tc>
          <w:tcPr>
            <w:tcW w:w="7620" w:type="dxa"/>
          </w:tcPr>
          <w:p w14:paraId="649C6B6E"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Avgifter till anknutna ombud</w:t>
            </w:r>
          </w:p>
          <w:p w14:paraId="5FD254B8"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13.4 e i förordning (EU) 2019/2033.</w:t>
            </w:r>
          </w:p>
        </w:tc>
      </w:tr>
      <w:tr w:rsidR="00E20575" w:rsidRPr="008F22A0" w14:paraId="5C3EB8EF" w14:textId="77777777">
        <w:tc>
          <w:tcPr>
            <w:tcW w:w="1129" w:type="dxa"/>
          </w:tcPr>
          <w:p w14:paraId="29FA904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0120</w:t>
            </w:r>
          </w:p>
        </w:tc>
        <w:tc>
          <w:tcPr>
            <w:tcW w:w="7620" w:type="dxa"/>
          </w:tcPr>
          <w:p w14:paraId="0C7CE1F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Ränta som betalas till k</w:t>
            </w:r>
            <w:r w:rsidRPr="008F22A0">
              <w:rPr>
                <w:rFonts w:ascii="Times New Roman" w:hAnsi="Times New Roman"/>
                <w:b/>
                <w:color w:val="000000" w:themeColor="text1"/>
                <w:u w:val="single"/>
              </w:rPr>
              <w:t>under för kundmedel, om detta är för företagets gottfinnande</w:t>
            </w:r>
          </w:p>
          <w:p w14:paraId="2DF6484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Ränta som betalas till kunder för kundmedel, om det inte finns någon skyldighet av något slag att betala sådan ränta</w:t>
            </w:r>
            <w:r w:rsidRPr="008F22A0">
              <w:t>.</w:t>
            </w:r>
          </w:p>
        </w:tc>
      </w:tr>
      <w:tr w:rsidR="00E20575" w:rsidRPr="008F22A0" w14:paraId="7672D709" w14:textId="77777777">
        <w:tc>
          <w:tcPr>
            <w:tcW w:w="1129" w:type="dxa"/>
          </w:tcPr>
          <w:p w14:paraId="6D49821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0130</w:t>
            </w:r>
          </w:p>
        </w:tc>
        <w:tc>
          <w:tcPr>
            <w:tcW w:w="7620" w:type="dxa"/>
          </w:tcPr>
          <w:p w14:paraId="380F8677"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Icke återkommande kostnader från extraordinär verksamhet</w:t>
            </w:r>
          </w:p>
          <w:p w14:paraId="46A6576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13.4 f i förordning (EU) 2019/2033.</w:t>
            </w:r>
          </w:p>
        </w:tc>
      </w:tr>
      <w:tr w:rsidR="00E20575" w:rsidRPr="008F22A0" w14:paraId="692E0377" w14:textId="77777777">
        <w:tc>
          <w:tcPr>
            <w:tcW w:w="1129" w:type="dxa"/>
          </w:tcPr>
          <w:p w14:paraId="2EB07A5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0140</w:t>
            </w:r>
          </w:p>
          <w:p w14:paraId="43514D9E" w14:textId="77777777" w:rsidR="00E20575" w:rsidRPr="008F22A0" w:rsidRDefault="00E20575">
            <w:pPr>
              <w:spacing w:after="120" w:line="240" w:lineRule="auto"/>
              <w:jc w:val="both"/>
              <w:rPr>
                <w:rFonts w:ascii="Times New Roman" w:eastAsia="Times New Roman" w:hAnsi="Times New Roman" w:cs="Times New Roman"/>
                <w:bCs/>
                <w:color w:val="000000" w:themeColor="text1"/>
              </w:rPr>
            </w:pPr>
          </w:p>
        </w:tc>
        <w:tc>
          <w:tcPr>
            <w:tcW w:w="7620" w:type="dxa"/>
          </w:tcPr>
          <w:p w14:paraId="211B7839" w14:textId="77777777" w:rsidR="00E20575" w:rsidRPr="008F22A0" w:rsidRDefault="008F22A0">
            <w:pPr>
              <w:spacing w:after="120" w:line="240" w:lineRule="auto"/>
              <w:jc w:val="both"/>
              <w:rPr>
                <w:rFonts w:ascii="Times New Roman" w:eastAsia="Times New Roman" w:hAnsi="Times New Roman" w:cs="Times New Roman"/>
                <w:bCs/>
                <w:color w:val="000000" w:themeColor="text1"/>
                <w:u w:val="single"/>
              </w:rPr>
            </w:pPr>
            <w:r w:rsidRPr="008F22A0">
              <w:rPr>
                <w:rFonts w:ascii="Times New Roman" w:hAnsi="Times New Roman"/>
                <w:b/>
                <w:color w:val="000000" w:themeColor="text1"/>
                <w:u w:val="single"/>
              </w:rPr>
              <w:t>(-) Skattekostnader</w:t>
            </w:r>
          </w:p>
          <w:p w14:paraId="35DFE3AC" w14:textId="77777777" w:rsidR="00E20575" w:rsidRPr="008F22A0" w:rsidRDefault="008F22A0">
            <w:pPr>
              <w:spacing w:after="120" w:line="240" w:lineRule="auto"/>
              <w:jc w:val="both"/>
              <w:rPr>
                <w:rFonts w:ascii="Times New Roman" w:eastAsia="Times New Roman" w:hAnsi="Times New Roman" w:cs="Times New Roman"/>
                <w:color w:val="000000" w:themeColor="text1"/>
              </w:rPr>
            </w:pPr>
            <w:r w:rsidRPr="008F22A0">
              <w:rPr>
                <w:rFonts w:ascii="Times New Roman" w:hAnsi="Times New Roman"/>
                <w:color w:val="000000" w:themeColor="text1"/>
              </w:rPr>
              <w:t>Kostnader från skatter som förfaller till betalning i förhållande till värdepappersföretagets årliga vinst.</w:t>
            </w:r>
          </w:p>
        </w:tc>
      </w:tr>
      <w:tr w:rsidR="00E20575" w:rsidRPr="008F22A0" w14:paraId="09B8CDAE" w14:textId="77777777">
        <w:tc>
          <w:tcPr>
            <w:tcW w:w="1129" w:type="dxa"/>
          </w:tcPr>
          <w:p w14:paraId="2547DF1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0150</w:t>
            </w:r>
          </w:p>
        </w:tc>
        <w:tc>
          <w:tcPr>
            <w:tcW w:w="7620" w:type="dxa"/>
          </w:tcPr>
          <w:p w14:paraId="51468704"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xml:space="preserve">(-) Förluster från transaktioner för egen räkning med </w:t>
            </w:r>
            <w:r w:rsidRPr="008F22A0">
              <w:rPr>
                <w:rFonts w:ascii="Times New Roman" w:hAnsi="Times New Roman"/>
                <w:b/>
                <w:color w:val="000000" w:themeColor="text1"/>
                <w:u w:val="single"/>
              </w:rPr>
              <w:t>finansiella instrument</w:t>
            </w:r>
          </w:p>
          <w:p w14:paraId="19B6827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Förluster från transaktioner för egen räkning med finansiella instrument.</w:t>
            </w:r>
          </w:p>
        </w:tc>
      </w:tr>
      <w:tr w:rsidR="00E20575" w:rsidRPr="008F22A0" w14:paraId="68669732" w14:textId="77777777">
        <w:tc>
          <w:tcPr>
            <w:tcW w:w="1129" w:type="dxa"/>
          </w:tcPr>
          <w:p w14:paraId="11B73EA4"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0160</w:t>
            </w:r>
          </w:p>
        </w:tc>
        <w:tc>
          <w:tcPr>
            <w:tcW w:w="7620" w:type="dxa"/>
          </w:tcPr>
          <w:p w14:paraId="3DEAD66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Avtalsbaserade vinst- och förlustöverföringsavtal</w:t>
            </w:r>
          </w:p>
          <w:p w14:paraId="7530B39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Betalningar i samband med avtalsbaserade resultatöverföringsavtal enligt vilka värdepappersföretage</w:t>
            </w:r>
            <w:r w:rsidRPr="008F22A0">
              <w:rPr>
                <w:rFonts w:ascii="Times New Roman" w:hAnsi="Times New Roman"/>
                <w:color w:val="000000" w:themeColor="text1"/>
              </w:rPr>
              <w:t xml:space="preserve">t är skyldigt att efter upprättandet av sin årsredovisning överföra sitt årsresultat till moderföretaget. </w:t>
            </w:r>
          </w:p>
        </w:tc>
      </w:tr>
      <w:tr w:rsidR="00E20575" w:rsidRPr="008F22A0" w14:paraId="4E5CE253" w14:textId="77777777">
        <w:tc>
          <w:tcPr>
            <w:tcW w:w="1129" w:type="dxa"/>
          </w:tcPr>
          <w:p w14:paraId="42C3565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0170</w:t>
            </w:r>
          </w:p>
        </w:tc>
        <w:tc>
          <w:tcPr>
            <w:tcW w:w="7620" w:type="dxa"/>
          </w:tcPr>
          <w:p w14:paraId="5AD541FE"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Råvarukostnader</w:t>
            </w:r>
          </w:p>
          <w:p w14:paraId="4251920D"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rPr>
              <w:t>Råvaruhandlare och utsläppshandlare får dra av kostnader för råvaror när ett värdepappersföretag handlar med derivat av den</w:t>
            </w:r>
            <w:r w:rsidRPr="008F22A0">
              <w:rPr>
                <w:rFonts w:ascii="Times New Roman" w:hAnsi="Times New Roman"/>
              </w:rPr>
              <w:t xml:space="preserve"> underliggande råvaran. </w:t>
            </w:r>
          </w:p>
        </w:tc>
      </w:tr>
      <w:tr w:rsidR="00E20575" w:rsidRPr="008F22A0" w14:paraId="1F177F45" w14:textId="77777777">
        <w:tc>
          <w:tcPr>
            <w:tcW w:w="1129" w:type="dxa"/>
          </w:tcPr>
          <w:p w14:paraId="5C636FA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0180</w:t>
            </w:r>
          </w:p>
        </w:tc>
        <w:tc>
          <w:tcPr>
            <w:tcW w:w="7620" w:type="dxa"/>
          </w:tcPr>
          <w:p w14:paraId="6DC044C5"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Inbetalningar till en fond för allmän bankrisk</w:t>
            </w:r>
          </w:p>
          <w:p w14:paraId="041B1C40" w14:textId="77777777" w:rsidR="00E20575" w:rsidRPr="008F22A0" w:rsidRDefault="008F22A0">
            <w:pPr>
              <w:pStyle w:val="Point1letter"/>
              <w:numPr>
                <w:ilvl w:val="0"/>
                <w:numId w:val="0"/>
              </w:numPr>
              <w:rPr>
                <w:rFonts w:eastAsia="Times New Roman"/>
                <w:b/>
                <w:bCs/>
                <w:color w:val="000000" w:themeColor="text1"/>
                <w:sz w:val="22"/>
                <w:u w:val="single"/>
              </w:rPr>
            </w:pPr>
            <w:r w:rsidRPr="008F22A0">
              <w:t>Betalningar till en fond för allmänna risker i bankrörelse i enlighet med artikel 26.1 f i förordning (EU) nr 575/2013.</w:t>
            </w:r>
          </w:p>
        </w:tc>
      </w:tr>
      <w:tr w:rsidR="00E20575" w:rsidRPr="008F22A0" w14:paraId="0B20FA9E" w14:textId="77777777">
        <w:tc>
          <w:tcPr>
            <w:tcW w:w="1129" w:type="dxa"/>
          </w:tcPr>
          <w:p w14:paraId="637A407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0190</w:t>
            </w:r>
          </w:p>
        </w:tc>
        <w:tc>
          <w:tcPr>
            <w:tcW w:w="7620" w:type="dxa"/>
          </w:tcPr>
          <w:p w14:paraId="64093E7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xml:space="preserve">(-) Kostnader för poster som redan har </w:t>
            </w:r>
            <w:r w:rsidRPr="008F22A0">
              <w:rPr>
                <w:rFonts w:ascii="Times New Roman" w:hAnsi="Times New Roman"/>
                <w:b/>
                <w:color w:val="000000" w:themeColor="text1"/>
                <w:u w:val="single"/>
              </w:rPr>
              <w:t>dragits av från kapitalbasen</w:t>
            </w:r>
          </w:p>
          <w:p w14:paraId="51AD9459"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rPr>
              <w:t>Kostnader för poster som redan har dragits av från kapitalbasen i enlighet med artikel 36.1 i förordning (EU) nr 575/2013.</w:t>
            </w:r>
          </w:p>
        </w:tc>
      </w:tr>
      <w:tr w:rsidR="00E20575" w:rsidRPr="008F22A0" w14:paraId="6E01B480" w14:textId="77777777">
        <w:tc>
          <w:tcPr>
            <w:tcW w:w="1129" w:type="dxa"/>
          </w:tcPr>
          <w:p w14:paraId="0B3B428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0200</w:t>
            </w:r>
          </w:p>
        </w:tc>
        <w:tc>
          <w:tcPr>
            <w:tcW w:w="7620" w:type="dxa"/>
          </w:tcPr>
          <w:p w14:paraId="7B745204"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Prognosticerade fasta omkostnader för innevarande år</w:t>
            </w:r>
          </w:p>
          <w:p w14:paraId="387B51E6"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Prognosticeringen av de fasta omkostnaderna f</w:t>
            </w:r>
            <w:r w:rsidRPr="008F22A0">
              <w:rPr>
                <w:rFonts w:ascii="Times New Roman" w:hAnsi="Times New Roman"/>
                <w:color w:val="000000" w:themeColor="text1"/>
              </w:rPr>
              <w:t>ör innevarande år efter vinstutdelningen.</w:t>
            </w:r>
          </w:p>
        </w:tc>
      </w:tr>
      <w:tr w:rsidR="00E20575" w:rsidRPr="008F22A0" w14:paraId="3C4F8544" w14:textId="77777777">
        <w:tc>
          <w:tcPr>
            <w:tcW w:w="1129" w:type="dxa"/>
          </w:tcPr>
          <w:p w14:paraId="52768B6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0210</w:t>
            </w:r>
          </w:p>
        </w:tc>
        <w:tc>
          <w:tcPr>
            <w:tcW w:w="7620" w:type="dxa"/>
          </w:tcPr>
          <w:p w14:paraId="28D001C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Variation i fasta omkostnader (%)</w:t>
            </w:r>
          </w:p>
          <w:p w14:paraId="4EE0408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Beloppet ska redovisas som det absoluta värdet av</w:t>
            </w:r>
          </w:p>
          <w:p w14:paraId="0C19293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[(prognostiserade fasta omkostnader för innevarande år) – (årliga fasta omkostnader för föregående år)]/(årliga fasta omkost</w:t>
            </w:r>
            <w:r w:rsidRPr="008F22A0">
              <w:rPr>
                <w:rFonts w:ascii="Times New Roman" w:hAnsi="Times New Roman"/>
                <w:color w:val="000000" w:themeColor="text1"/>
              </w:rPr>
              <w:t>nader för föregående år).</w:t>
            </w:r>
          </w:p>
        </w:tc>
      </w:tr>
    </w:tbl>
    <w:p w14:paraId="51B84A75" w14:textId="77777777" w:rsidR="00E20575" w:rsidRPr="008F22A0" w:rsidRDefault="00E20575">
      <w:pPr>
        <w:spacing w:after="120" w:line="240" w:lineRule="auto"/>
        <w:jc w:val="both"/>
        <w:rPr>
          <w:rFonts w:ascii="Times New Roman" w:eastAsia="Times New Roman" w:hAnsi="Times New Roman" w:cs="Times New Roman"/>
          <w:sz w:val="24"/>
          <w:szCs w:val="24"/>
        </w:rPr>
      </w:pPr>
    </w:p>
    <w:p w14:paraId="260D52A8"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7" w:name="_Toc76556792"/>
      <w:bookmarkStart w:id="58" w:name="_Toc88220439"/>
      <w:r w:rsidRPr="008F22A0">
        <w:rPr>
          <w:rFonts w:ascii="Times New Roman" w:hAnsi="Times New Roman"/>
          <w:sz w:val="24"/>
          <w:u w:val="single"/>
        </w:rPr>
        <w:t>1.6. I 04.00 – BERÄKNING AV TOTALA K-FAKTORKRAV (I 4)</w:t>
      </w:r>
      <w:bookmarkEnd w:id="57"/>
      <w:bookmarkEnd w:id="58"/>
    </w:p>
    <w:p w14:paraId="6828BCF0"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9" w:name="_Toc76556793"/>
      <w:bookmarkStart w:id="60" w:name="_Toc88220440"/>
      <w:r w:rsidRPr="008F22A0">
        <w:rPr>
          <w:rFonts w:ascii="Times New Roman" w:hAnsi="Times New Roman"/>
          <w:sz w:val="24"/>
        </w:rPr>
        <w:t>1.6.1</w:t>
      </w:r>
      <w:r w:rsidRPr="008F22A0">
        <w:rPr>
          <w:rFonts w:ascii="Times New Roman" w:hAnsi="Times New Roman"/>
          <w:sz w:val="24"/>
        </w:rPr>
        <w:tab/>
      </w:r>
      <w:r w:rsidRPr="008F22A0">
        <w:rPr>
          <w:rFonts w:ascii="Times New Roman" w:hAnsi="Times New Roman"/>
          <w:sz w:val="24"/>
          <w:u w:val="single"/>
        </w:rPr>
        <w:t>Instruktioner för specifika positioner</w:t>
      </w:r>
      <w:bookmarkEnd w:id="59"/>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70A93218" w14:textId="77777777">
        <w:tc>
          <w:tcPr>
            <w:tcW w:w="1129" w:type="dxa"/>
            <w:shd w:val="clear" w:color="auto" w:fill="D9D9D9"/>
          </w:tcPr>
          <w:p w14:paraId="7DE52F15"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Rad</w:t>
            </w:r>
          </w:p>
        </w:tc>
        <w:tc>
          <w:tcPr>
            <w:tcW w:w="7620" w:type="dxa"/>
            <w:shd w:val="clear" w:color="auto" w:fill="D9D9D9"/>
          </w:tcPr>
          <w:p w14:paraId="5C4C280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Rättsliga hänvisningar och instruktioner</w:t>
            </w:r>
          </w:p>
        </w:tc>
      </w:tr>
      <w:tr w:rsidR="00E20575" w:rsidRPr="008F22A0" w14:paraId="09221E4F" w14:textId="77777777">
        <w:tc>
          <w:tcPr>
            <w:tcW w:w="1129" w:type="dxa"/>
          </w:tcPr>
          <w:p w14:paraId="25F3A57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0010</w:t>
            </w:r>
          </w:p>
        </w:tc>
        <w:tc>
          <w:tcPr>
            <w:tcW w:w="7620" w:type="dxa"/>
          </w:tcPr>
          <w:p w14:paraId="0F1FFC6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TOTALT K-FAKTORKRAV</w:t>
            </w:r>
          </w:p>
          <w:p w14:paraId="592204E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15.1 i förordning (EU) 2019/2033.</w:t>
            </w:r>
          </w:p>
        </w:tc>
      </w:tr>
      <w:tr w:rsidR="00E20575" w:rsidRPr="008F22A0" w14:paraId="6EA47809" w14:textId="77777777">
        <w:tc>
          <w:tcPr>
            <w:tcW w:w="1129" w:type="dxa"/>
          </w:tcPr>
          <w:p w14:paraId="7CF165C2"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0020</w:t>
            </w:r>
          </w:p>
        </w:tc>
        <w:tc>
          <w:tcPr>
            <w:tcW w:w="7620" w:type="dxa"/>
          </w:tcPr>
          <w:p w14:paraId="53D9B1FF"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 xml:space="preserve">Risk </w:t>
            </w:r>
            <w:r w:rsidRPr="008F22A0">
              <w:rPr>
                <w:rFonts w:ascii="Times New Roman" w:hAnsi="Times New Roman"/>
                <w:b/>
                <w:color w:val="000000" w:themeColor="text1"/>
                <w:u w:val="single"/>
              </w:rPr>
              <w:t>för kunden</w:t>
            </w:r>
          </w:p>
          <w:p w14:paraId="618E5A7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16 i förordning (EU) 2019/2033.</w:t>
            </w:r>
          </w:p>
          <w:p w14:paraId="2D31E82B"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Det redovisade beloppet ska vara summan av raderna 0030–0080.</w:t>
            </w:r>
          </w:p>
        </w:tc>
      </w:tr>
      <w:tr w:rsidR="00E20575" w:rsidRPr="008F22A0" w14:paraId="56037990" w14:textId="77777777">
        <w:tc>
          <w:tcPr>
            <w:tcW w:w="1129" w:type="dxa"/>
          </w:tcPr>
          <w:p w14:paraId="369DD6E0"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0030</w:t>
            </w:r>
          </w:p>
        </w:tc>
        <w:tc>
          <w:tcPr>
            <w:tcW w:w="7620" w:type="dxa"/>
          </w:tcPr>
          <w:p w14:paraId="60490E8A"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b/>
                <w:color w:val="000000" w:themeColor="text1"/>
                <w:u w:val="single"/>
              </w:rPr>
              <w:t>Förvaltade tillgångar</w:t>
            </w:r>
          </w:p>
          <w:p w14:paraId="6DBFA2B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15.2 och artikel 17 i förordning (EU) 2019/2033.</w:t>
            </w:r>
          </w:p>
          <w:p w14:paraId="6BD142FB"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Förvaltade tillgångar ska innehålla den diskretionära port</w:t>
            </w:r>
            <w:r w:rsidRPr="008F22A0">
              <w:rPr>
                <w:rFonts w:ascii="Times New Roman" w:hAnsi="Times New Roman"/>
                <w:color w:val="000000" w:themeColor="text1"/>
              </w:rPr>
              <w:t>följförvaltningen och de icke-diskretionära rådgivande arrangemangen.</w:t>
            </w:r>
          </w:p>
        </w:tc>
      </w:tr>
      <w:tr w:rsidR="00E20575" w:rsidRPr="008F22A0" w14:paraId="664936F0" w14:textId="77777777">
        <w:trPr>
          <w:trHeight w:val="883"/>
        </w:trPr>
        <w:tc>
          <w:tcPr>
            <w:tcW w:w="1129" w:type="dxa"/>
          </w:tcPr>
          <w:p w14:paraId="5E5B762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0040</w:t>
            </w:r>
          </w:p>
        </w:tc>
        <w:tc>
          <w:tcPr>
            <w:tcW w:w="7620" w:type="dxa"/>
          </w:tcPr>
          <w:p w14:paraId="75D1BFFD"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Innehav av kundmedel - på separerade konton</w:t>
            </w:r>
          </w:p>
          <w:p w14:paraId="0ABF41BA"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Artikel 15.2 och artikel 18 i förordning (EU) 2019/2033.</w:t>
            </w:r>
          </w:p>
        </w:tc>
      </w:tr>
      <w:tr w:rsidR="00E20575" w:rsidRPr="008F22A0" w14:paraId="1DB6C272" w14:textId="77777777">
        <w:trPr>
          <w:trHeight w:val="982"/>
        </w:trPr>
        <w:tc>
          <w:tcPr>
            <w:tcW w:w="1129" w:type="dxa"/>
          </w:tcPr>
          <w:p w14:paraId="21CD8223"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0050</w:t>
            </w:r>
          </w:p>
        </w:tc>
        <w:tc>
          <w:tcPr>
            <w:tcW w:w="7620" w:type="dxa"/>
          </w:tcPr>
          <w:p w14:paraId="6406303C"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Innehav av kundmedel - på icke-separerade konton</w:t>
            </w:r>
          </w:p>
          <w:p w14:paraId="5C755E7D"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Artikel 15.2 och </w:t>
            </w:r>
            <w:r w:rsidRPr="008F22A0">
              <w:rPr>
                <w:rFonts w:ascii="Times New Roman" w:hAnsi="Times New Roman"/>
                <w:color w:val="000000" w:themeColor="text1"/>
              </w:rPr>
              <w:t>artikel 18 i förordning (EU) 2019/2033.</w:t>
            </w:r>
          </w:p>
        </w:tc>
      </w:tr>
      <w:tr w:rsidR="00E20575" w:rsidRPr="008F22A0" w14:paraId="6C2AB15E" w14:textId="77777777">
        <w:tc>
          <w:tcPr>
            <w:tcW w:w="1129" w:type="dxa"/>
          </w:tcPr>
          <w:p w14:paraId="074E4B83"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0060</w:t>
            </w:r>
          </w:p>
        </w:tc>
        <w:tc>
          <w:tcPr>
            <w:tcW w:w="7620" w:type="dxa"/>
          </w:tcPr>
          <w:p w14:paraId="61B387A0"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Tillgångar under förvaring och administration</w:t>
            </w:r>
          </w:p>
          <w:p w14:paraId="3F66F75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15.2 och artikel 19 i förordning (EU) 2019/2033.</w:t>
            </w:r>
          </w:p>
        </w:tc>
      </w:tr>
      <w:tr w:rsidR="00E20575" w:rsidRPr="008F22A0" w14:paraId="24978833" w14:textId="77777777">
        <w:tc>
          <w:tcPr>
            <w:tcW w:w="1129" w:type="dxa"/>
          </w:tcPr>
          <w:p w14:paraId="3CE36646"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0070</w:t>
            </w:r>
          </w:p>
        </w:tc>
        <w:tc>
          <w:tcPr>
            <w:tcW w:w="7620" w:type="dxa"/>
          </w:tcPr>
          <w:p w14:paraId="7AD76078"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Hantering av kundorder – kontanttransaktioner</w:t>
            </w:r>
          </w:p>
          <w:p w14:paraId="339CE204"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 xml:space="preserve">Artikel 15.2, artikel 20.1 och artikel 20.2 a i </w:t>
            </w:r>
            <w:r w:rsidRPr="008F22A0">
              <w:rPr>
                <w:rFonts w:ascii="Times New Roman" w:hAnsi="Times New Roman"/>
                <w:color w:val="000000" w:themeColor="text1"/>
              </w:rPr>
              <w:t>förordning (EU) 2019/2033.</w:t>
            </w:r>
          </w:p>
        </w:tc>
      </w:tr>
      <w:tr w:rsidR="00E20575" w:rsidRPr="008F22A0" w14:paraId="0E0EA0D7" w14:textId="77777777">
        <w:tc>
          <w:tcPr>
            <w:tcW w:w="1129" w:type="dxa"/>
          </w:tcPr>
          <w:p w14:paraId="6450D0B6"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0080</w:t>
            </w:r>
          </w:p>
        </w:tc>
        <w:tc>
          <w:tcPr>
            <w:tcW w:w="7620" w:type="dxa"/>
          </w:tcPr>
          <w:p w14:paraId="0B63BB3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Hantering av kundorder – derivattransaktioner</w:t>
            </w:r>
          </w:p>
          <w:p w14:paraId="0C114848"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15.2, artikel 20.1 och artikel 20.2 b i förordning (EU) 2019/2033.</w:t>
            </w:r>
          </w:p>
        </w:tc>
      </w:tr>
      <w:tr w:rsidR="00E20575" w:rsidRPr="008F22A0" w14:paraId="3F1989F8" w14:textId="77777777">
        <w:tc>
          <w:tcPr>
            <w:tcW w:w="1129" w:type="dxa"/>
          </w:tcPr>
          <w:p w14:paraId="623D11C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0090</w:t>
            </w:r>
          </w:p>
        </w:tc>
        <w:tc>
          <w:tcPr>
            <w:tcW w:w="7620" w:type="dxa"/>
          </w:tcPr>
          <w:p w14:paraId="5BE0BA1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Marknadsrisk</w:t>
            </w:r>
          </w:p>
          <w:p w14:paraId="574EFAC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21.1 i förordning (EU) 2019/2033.</w:t>
            </w:r>
          </w:p>
          <w:p w14:paraId="0BF7DE58"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Det redovisade beloppet ska vara </w:t>
            </w:r>
            <w:r w:rsidRPr="008F22A0">
              <w:rPr>
                <w:rFonts w:ascii="Times New Roman" w:hAnsi="Times New Roman"/>
                <w:color w:val="000000" w:themeColor="text1"/>
              </w:rPr>
              <w:t>summan av raderna 0100–0110.</w:t>
            </w:r>
          </w:p>
        </w:tc>
      </w:tr>
      <w:tr w:rsidR="00E20575" w:rsidRPr="008F22A0" w14:paraId="3020465A" w14:textId="77777777">
        <w:tc>
          <w:tcPr>
            <w:tcW w:w="1129" w:type="dxa"/>
          </w:tcPr>
          <w:p w14:paraId="51CECB2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0100</w:t>
            </w:r>
          </w:p>
        </w:tc>
        <w:tc>
          <w:tcPr>
            <w:tcW w:w="7620" w:type="dxa"/>
          </w:tcPr>
          <w:p w14:paraId="0555869F"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K-nettopositionsriskkrav</w:t>
            </w:r>
          </w:p>
          <w:p w14:paraId="3D1A2C3F"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22 i förordning (EU) 2019/2033.</w:t>
            </w:r>
          </w:p>
        </w:tc>
      </w:tr>
      <w:tr w:rsidR="00E20575" w:rsidRPr="008F22A0" w14:paraId="6A3EADB4" w14:textId="77777777">
        <w:tc>
          <w:tcPr>
            <w:tcW w:w="1129" w:type="dxa"/>
          </w:tcPr>
          <w:p w14:paraId="6137BFE3"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0110</w:t>
            </w:r>
          </w:p>
        </w:tc>
        <w:tc>
          <w:tcPr>
            <w:tcW w:w="7620" w:type="dxa"/>
          </w:tcPr>
          <w:p w14:paraId="32C95576"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Angiven clearingmarginal</w:t>
            </w:r>
          </w:p>
          <w:p w14:paraId="70E05C3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23.2 i förordning (EU) 2019/2033.</w:t>
            </w:r>
          </w:p>
        </w:tc>
      </w:tr>
      <w:tr w:rsidR="00E20575" w:rsidRPr="008F22A0" w14:paraId="330D39F8" w14:textId="77777777">
        <w:tc>
          <w:tcPr>
            <w:tcW w:w="1129" w:type="dxa"/>
          </w:tcPr>
          <w:p w14:paraId="019AB8D2"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0120</w:t>
            </w:r>
          </w:p>
        </w:tc>
        <w:tc>
          <w:tcPr>
            <w:tcW w:w="7620" w:type="dxa"/>
          </w:tcPr>
          <w:p w14:paraId="27B10F6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Företagsrisk</w:t>
            </w:r>
          </w:p>
          <w:p w14:paraId="4EA7D3D4"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24 i förordning (EU) 2019/2033.</w:t>
            </w:r>
          </w:p>
          <w:p w14:paraId="17765E5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color w:val="000000" w:themeColor="text1"/>
              </w:rPr>
              <w:t xml:space="preserve">Det redovisade </w:t>
            </w:r>
            <w:r w:rsidRPr="008F22A0">
              <w:rPr>
                <w:rFonts w:ascii="Times New Roman" w:hAnsi="Times New Roman"/>
                <w:color w:val="000000" w:themeColor="text1"/>
              </w:rPr>
              <w:t>beloppet ska vara summan av raderna 0130–0160.</w:t>
            </w:r>
          </w:p>
        </w:tc>
      </w:tr>
      <w:tr w:rsidR="00E20575" w:rsidRPr="008F22A0" w14:paraId="5A1D5E05" w14:textId="77777777">
        <w:tc>
          <w:tcPr>
            <w:tcW w:w="1129" w:type="dxa"/>
          </w:tcPr>
          <w:p w14:paraId="1D75B231"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0130</w:t>
            </w:r>
          </w:p>
        </w:tc>
        <w:tc>
          <w:tcPr>
            <w:tcW w:w="7620" w:type="dxa"/>
          </w:tcPr>
          <w:p w14:paraId="4741C623"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Motpartsrisk</w:t>
            </w:r>
          </w:p>
          <w:p w14:paraId="415AF95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Artikel 26 och artikel 24 i förordning (EU) 2019/2033.</w:t>
            </w:r>
          </w:p>
        </w:tc>
      </w:tr>
      <w:tr w:rsidR="00E20575" w:rsidRPr="008F22A0" w14:paraId="37AC6668" w14:textId="77777777">
        <w:tc>
          <w:tcPr>
            <w:tcW w:w="1129" w:type="dxa"/>
          </w:tcPr>
          <w:p w14:paraId="33ACBB9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0140</w:t>
            </w:r>
          </w:p>
        </w:tc>
        <w:tc>
          <w:tcPr>
            <w:tcW w:w="7620" w:type="dxa"/>
          </w:tcPr>
          <w:p w14:paraId="04A628B1"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Daglig handelsaktivitet – kontanttransaktioner</w:t>
            </w:r>
          </w:p>
          <w:p w14:paraId="7573B9A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 xml:space="preserve">Vid beräkning av K-faktorkrav ska värdepappersföretag redovisa genom att tillämpa </w:t>
            </w:r>
            <w:r w:rsidRPr="008F22A0">
              <w:rPr>
                <w:rFonts w:ascii="Times New Roman" w:hAnsi="Times New Roman"/>
                <w:color w:val="000000" w:themeColor="text1"/>
              </w:rPr>
              <w:t>koefficienten i artikel 15.2 i förordning (EU) 2019/2033.</w:t>
            </w:r>
          </w:p>
          <w:p w14:paraId="73A74EEE"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Vid stressade marknadsförhållanden ska värdepappersföretagen, i enlighet med artikel 15.5 c i förordning (EU) 2019/2033, tillämpa en justerad koefficient enligt artikel 1.1 a i de tekniska tillsynss</w:t>
            </w:r>
            <w:r w:rsidRPr="008F22A0">
              <w:rPr>
                <w:rFonts w:ascii="Times New Roman" w:hAnsi="Times New Roman"/>
                <w:color w:val="000000" w:themeColor="text1"/>
              </w:rPr>
              <w:t>tandarderna för att specificera justeringar av K-DTF-koefficienterna.</w:t>
            </w:r>
          </w:p>
          <w:p w14:paraId="748BF113"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Den dagliga handelsaktivitetsfaktorn ska beräknas i enlighet med artikel 33.2 a i förordning (EU) 2019/2033.</w:t>
            </w:r>
          </w:p>
        </w:tc>
      </w:tr>
      <w:tr w:rsidR="00E20575" w:rsidRPr="008F22A0" w14:paraId="79F7D4CF" w14:textId="77777777">
        <w:tc>
          <w:tcPr>
            <w:tcW w:w="1129" w:type="dxa"/>
          </w:tcPr>
          <w:p w14:paraId="6BE16B0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0150</w:t>
            </w:r>
          </w:p>
        </w:tc>
        <w:tc>
          <w:tcPr>
            <w:tcW w:w="7620" w:type="dxa"/>
          </w:tcPr>
          <w:p w14:paraId="41D42E82"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Daglig handelsaktivitet – derivattransaktioner</w:t>
            </w:r>
          </w:p>
          <w:p w14:paraId="0408FCFC"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Vid beräkning av K-fakto</w:t>
            </w:r>
            <w:r w:rsidRPr="008F22A0">
              <w:rPr>
                <w:rFonts w:ascii="Times New Roman" w:hAnsi="Times New Roman"/>
                <w:color w:val="000000" w:themeColor="text1"/>
              </w:rPr>
              <w:t>rkrav ska värdepappersföretag redovisa genom att tillämpa koefficienten i artikel 15.2 i förordning (EU) 2019/2033.</w:t>
            </w:r>
          </w:p>
          <w:p w14:paraId="67DDF529"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 xml:space="preserve">Vid stressade marknadsförhållanden ska värdepappersföretagen, i enlighet med artikel 15.5 c i förordning (EU) 2019/2033, tillämpa en </w:t>
            </w:r>
            <w:r w:rsidRPr="008F22A0">
              <w:rPr>
                <w:rFonts w:ascii="Times New Roman" w:hAnsi="Times New Roman"/>
                <w:color w:val="000000" w:themeColor="text1"/>
              </w:rPr>
              <w:t>justerad koefficient enligt artikel 1.1 b i de tekniska tillsynsstandarderna för att specificera justeringar av K-DTF-koefficienterna.</w:t>
            </w:r>
          </w:p>
          <w:p w14:paraId="491306C7"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Den dagliga handelsaktivitetsfaktorn ska beräknas i enlighet med artikel 33.2 b i förordning (EU) 2019/2033.</w:t>
            </w:r>
          </w:p>
        </w:tc>
      </w:tr>
      <w:tr w:rsidR="00E20575" w:rsidRPr="008F22A0" w14:paraId="095BC127" w14:textId="77777777">
        <w:tc>
          <w:tcPr>
            <w:tcW w:w="1129" w:type="dxa"/>
          </w:tcPr>
          <w:p w14:paraId="33AC0535"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0160</w:t>
            </w:r>
          </w:p>
        </w:tc>
        <w:tc>
          <w:tcPr>
            <w:tcW w:w="7620" w:type="dxa"/>
          </w:tcPr>
          <w:p w14:paraId="69508D68" w14:textId="77777777" w:rsidR="00E20575" w:rsidRPr="008F22A0" w:rsidRDefault="008F22A0">
            <w:pPr>
              <w:spacing w:after="120" w:line="240" w:lineRule="auto"/>
              <w:jc w:val="both"/>
              <w:rPr>
                <w:rFonts w:ascii="Times New Roman" w:eastAsia="Times New Roman" w:hAnsi="Times New Roman" w:cs="Times New Roman"/>
                <w:b/>
                <w:bCs/>
                <w:color w:val="000000" w:themeColor="text1"/>
                <w:u w:val="single"/>
              </w:rPr>
            </w:pPr>
            <w:r w:rsidRPr="008F22A0">
              <w:rPr>
                <w:rFonts w:ascii="Times New Roman" w:hAnsi="Times New Roman"/>
                <w:b/>
                <w:color w:val="000000" w:themeColor="text1"/>
                <w:u w:val="single"/>
              </w:rPr>
              <w:t>Krav p</w:t>
            </w:r>
            <w:r w:rsidRPr="008F22A0">
              <w:rPr>
                <w:rFonts w:ascii="Times New Roman" w:hAnsi="Times New Roman"/>
                <w:b/>
                <w:color w:val="000000" w:themeColor="text1"/>
                <w:u w:val="single"/>
              </w:rPr>
              <w:t>å K-koncentrationsrisk</w:t>
            </w:r>
          </w:p>
          <w:p w14:paraId="524DAFBD" w14:textId="77777777" w:rsidR="00E20575" w:rsidRPr="008F22A0" w:rsidRDefault="008F22A0">
            <w:pPr>
              <w:spacing w:after="120" w:line="240" w:lineRule="auto"/>
              <w:jc w:val="both"/>
              <w:rPr>
                <w:rFonts w:ascii="Times New Roman" w:eastAsia="Times New Roman" w:hAnsi="Times New Roman" w:cs="Times New Roman"/>
                <w:bCs/>
                <w:color w:val="000000" w:themeColor="text1"/>
              </w:rPr>
            </w:pPr>
            <w:r w:rsidRPr="008F22A0">
              <w:rPr>
                <w:rFonts w:ascii="Times New Roman" w:hAnsi="Times New Roman"/>
                <w:color w:val="000000" w:themeColor="text1"/>
              </w:rPr>
              <w:t>Artiklarna 37.2, 39 och 24 i förordning (EU) 2019/2033.</w:t>
            </w:r>
          </w:p>
        </w:tc>
      </w:tr>
    </w:tbl>
    <w:p w14:paraId="200DA054"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701AA850" w14:textId="77777777">
        <w:tc>
          <w:tcPr>
            <w:tcW w:w="1129" w:type="dxa"/>
            <w:shd w:val="clear" w:color="auto" w:fill="D9D9D9"/>
          </w:tcPr>
          <w:p w14:paraId="45CC81F8"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Kolumner</w:t>
            </w:r>
          </w:p>
        </w:tc>
        <w:tc>
          <w:tcPr>
            <w:tcW w:w="7620" w:type="dxa"/>
            <w:shd w:val="clear" w:color="auto" w:fill="D9D9D9"/>
          </w:tcPr>
          <w:p w14:paraId="51A2DD8F"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Rättsliga hänvisningar och instruktioner</w:t>
            </w:r>
          </w:p>
        </w:tc>
      </w:tr>
      <w:tr w:rsidR="00E20575" w:rsidRPr="008F22A0" w14:paraId="65CDF379" w14:textId="77777777">
        <w:tc>
          <w:tcPr>
            <w:tcW w:w="1129" w:type="dxa"/>
          </w:tcPr>
          <w:p w14:paraId="49B7FE72"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0010</w:t>
            </w:r>
          </w:p>
        </w:tc>
        <w:tc>
          <w:tcPr>
            <w:tcW w:w="7620" w:type="dxa"/>
          </w:tcPr>
          <w:p w14:paraId="32A93F25" w14:textId="77777777" w:rsidR="00E20575" w:rsidRPr="008F22A0" w:rsidRDefault="008F22A0">
            <w:pPr>
              <w:spacing w:after="120" w:line="240" w:lineRule="auto"/>
              <w:jc w:val="both"/>
              <w:rPr>
                <w:rFonts w:ascii="Times New Roman" w:eastAsia="Times New Roman" w:hAnsi="Times New Roman" w:cs="Times New Roman"/>
                <w:b/>
                <w:bCs/>
                <w:color w:val="000000" w:themeColor="text1"/>
                <w:sz w:val="24"/>
                <w:szCs w:val="24"/>
                <w:u w:val="single"/>
              </w:rPr>
            </w:pPr>
            <w:r w:rsidRPr="008F22A0">
              <w:rPr>
                <w:rFonts w:ascii="Times New Roman" w:hAnsi="Times New Roman"/>
                <w:b/>
                <w:color w:val="000000" w:themeColor="text1"/>
                <w:sz w:val="24"/>
                <w:u w:val="single"/>
              </w:rPr>
              <w:t>Faktorbelopp</w:t>
            </w:r>
          </w:p>
          <w:p w14:paraId="21E83F37" w14:textId="77777777" w:rsidR="00E20575" w:rsidRPr="008F22A0" w:rsidRDefault="008F22A0">
            <w:pPr>
              <w:spacing w:after="120" w:line="240" w:lineRule="auto"/>
              <w:jc w:val="both"/>
              <w:rPr>
                <w:rFonts w:ascii="Times New Roman" w:eastAsia="Times New Roman" w:hAnsi="Times New Roman" w:cs="Times New Roman"/>
                <w:b/>
                <w:bCs/>
                <w:color w:val="000000" w:themeColor="text1"/>
                <w:sz w:val="24"/>
                <w:szCs w:val="24"/>
                <w:u w:val="single"/>
              </w:rPr>
            </w:pPr>
            <w:r w:rsidRPr="008F22A0">
              <w:rPr>
                <w:rFonts w:ascii="Times New Roman" w:hAnsi="Times New Roman"/>
                <w:color w:val="000000" w:themeColor="text1"/>
                <w:sz w:val="24"/>
              </w:rPr>
              <w:t xml:space="preserve">Värdepappersföretag ska redovisa det belopp som motsvarar var och en av faktorerna innan varje faktor multipliceras med motsvarande koefficient. </w:t>
            </w:r>
          </w:p>
        </w:tc>
      </w:tr>
      <w:tr w:rsidR="00E20575" w:rsidRPr="008F22A0" w14:paraId="07161FFC" w14:textId="77777777">
        <w:tc>
          <w:tcPr>
            <w:tcW w:w="1129" w:type="dxa"/>
          </w:tcPr>
          <w:p w14:paraId="290268A3"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0020</w:t>
            </w:r>
          </w:p>
        </w:tc>
        <w:tc>
          <w:tcPr>
            <w:tcW w:w="7620" w:type="dxa"/>
          </w:tcPr>
          <w:p w14:paraId="5C74FC78" w14:textId="77777777" w:rsidR="00E20575" w:rsidRPr="008F22A0" w:rsidRDefault="008F22A0">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8F22A0">
              <w:rPr>
                <w:rFonts w:ascii="Times New Roman" w:hAnsi="Times New Roman"/>
                <w:b/>
                <w:sz w:val="24"/>
                <w:u w:val="single"/>
              </w:rPr>
              <w:t>K-faktorkrav</w:t>
            </w:r>
          </w:p>
          <w:p w14:paraId="0F067DD5" w14:textId="77777777" w:rsidR="00E20575" w:rsidRPr="008F22A0" w:rsidRDefault="008F22A0">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Detta beräknas i enlighet med artikel 16, 21 och 24 i förordning (EU) 2019/2033.</w:t>
            </w:r>
          </w:p>
        </w:tc>
      </w:tr>
    </w:tbl>
    <w:p w14:paraId="76D5C496" w14:textId="77777777" w:rsidR="00E20575" w:rsidRPr="008F22A0" w:rsidRDefault="00E20575">
      <w:pPr>
        <w:spacing w:after="120" w:line="240" w:lineRule="auto"/>
        <w:jc w:val="both"/>
        <w:rPr>
          <w:rFonts w:ascii="Times New Roman" w:eastAsia="Times New Roman" w:hAnsi="Times New Roman" w:cs="Times New Roman"/>
          <w:sz w:val="24"/>
          <w:szCs w:val="24"/>
        </w:rPr>
      </w:pPr>
    </w:p>
    <w:p w14:paraId="01E3979F" w14:textId="77777777" w:rsidR="00E20575" w:rsidRPr="008F22A0" w:rsidRDefault="008F22A0">
      <w:pPr>
        <w:pStyle w:val="Instructionsberschrift2"/>
        <w:ind w:left="357" w:hanging="357"/>
      </w:pPr>
      <w:bookmarkStart w:id="61" w:name="_Toc35795022"/>
      <w:bookmarkStart w:id="62" w:name="_Toc76556794"/>
      <w:bookmarkStart w:id="63" w:name="_Toc88220441"/>
      <w:r w:rsidRPr="008F22A0">
        <w:rPr>
          <w:rFonts w:ascii="Times New Roman" w:hAnsi="Times New Roman"/>
          <w:b/>
          <w:sz w:val="24"/>
        </w:rPr>
        <w:t xml:space="preserve">2. </w:t>
      </w:r>
      <w:r w:rsidRPr="008F22A0">
        <w:rPr>
          <w:rFonts w:ascii="Times New Roman" w:hAnsi="Times New Roman"/>
          <w:b/>
          <w:sz w:val="24"/>
        </w:rPr>
        <w:t>SMÅ OCH ICKE-SAMMANLÄNKADE VÄRDEPAPPERSFÖRETAG</w:t>
      </w:r>
      <w:bookmarkEnd w:id="61"/>
      <w:bookmarkEnd w:id="62"/>
      <w:bookmarkEnd w:id="63"/>
    </w:p>
    <w:p w14:paraId="133C5C3F"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4" w:name="_Toc473560875"/>
      <w:bookmarkStart w:id="65" w:name="_Toc7084160"/>
      <w:bookmarkStart w:id="66" w:name="_Toc76556795"/>
      <w:bookmarkStart w:id="67" w:name="_Toc88220442"/>
      <w:bookmarkStart w:id="68" w:name="_Toc308175823"/>
      <w:bookmarkStart w:id="69" w:name="_Toc360188327"/>
      <w:r w:rsidRPr="008F22A0">
        <w:rPr>
          <w:rFonts w:ascii="Times New Roman" w:hAnsi="Times New Roman"/>
          <w:sz w:val="24"/>
          <w:u w:val="single"/>
        </w:rPr>
        <w:t>2.1. I 05.00 – VERKSAMHETSNIVÅ – ÖVERSYN AV TRÖSKELVÄRDEN (I 5)</w:t>
      </w:r>
      <w:bookmarkEnd w:id="64"/>
      <w:bookmarkEnd w:id="65"/>
      <w:bookmarkEnd w:id="66"/>
      <w:bookmarkEnd w:id="67"/>
      <w:bookmarkEnd w:id="68"/>
      <w:bookmarkEnd w:id="69"/>
    </w:p>
    <w:p w14:paraId="0DAB9A2F" w14:textId="77777777" w:rsidR="00E20575" w:rsidRPr="008F22A0" w:rsidRDefault="008F22A0">
      <w:pPr>
        <w:keepNext/>
        <w:spacing w:before="240" w:after="240" w:line="240" w:lineRule="auto"/>
        <w:ind w:left="357" w:hanging="357"/>
        <w:jc w:val="both"/>
        <w:outlineLvl w:val="1"/>
        <w:rPr>
          <w:rFonts w:ascii="Times New Roman" w:eastAsia="Times New Roman" w:hAnsi="Times New Roman" w:cs="Times New Roman"/>
          <w:b/>
        </w:rPr>
      </w:pPr>
      <w:bookmarkStart w:id="70" w:name="_Toc308175824"/>
      <w:bookmarkStart w:id="71" w:name="_Toc310414970"/>
      <w:bookmarkStart w:id="72" w:name="_Toc360188328"/>
      <w:bookmarkStart w:id="73" w:name="_Toc473560876"/>
      <w:bookmarkStart w:id="74" w:name="_Toc7084161"/>
      <w:bookmarkStart w:id="75" w:name="_Toc76556796"/>
      <w:bookmarkStart w:id="76" w:name="_Toc88220443"/>
      <w:r w:rsidRPr="008F22A0">
        <w:rPr>
          <w:rFonts w:ascii="Times New Roman" w:hAnsi="Times New Roman"/>
          <w:sz w:val="24"/>
        </w:rPr>
        <w:t>2.1.1</w:t>
      </w:r>
      <w:r w:rsidRPr="008F22A0">
        <w:rPr>
          <w:rFonts w:ascii="Times New Roman" w:hAnsi="Times New Roman"/>
          <w:sz w:val="24"/>
        </w:rPr>
        <w:tab/>
      </w:r>
      <w:r w:rsidRPr="008F22A0">
        <w:rPr>
          <w:rFonts w:ascii="Times New Roman" w:hAnsi="Times New Roman"/>
          <w:sz w:val="24"/>
          <w:u w:val="single"/>
        </w:rPr>
        <w:t xml:space="preserve">Instruktioner för </w:t>
      </w:r>
      <w:r w:rsidRPr="008F22A0">
        <w:rPr>
          <w:rFonts w:ascii="Times New Roman" w:hAnsi="Times New Roman"/>
          <w:u w:val="single"/>
        </w:rPr>
        <w:t xml:space="preserve">specifika </w:t>
      </w:r>
      <w:bookmarkEnd w:id="70"/>
      <w:bookmarkEnd w:id="71"/>
      <w:r w:rsidRPr="008F22A0">
        <w:rPr>
          <w:rFonts w:ascii="Times New Roman" w:hAnsi="Times New Roman"/>
          <w:u w:val="single"/>
        </w:rPr>
        <w:t>positioner</w:t>
      </w:r>
      <w:bookmarkEnd w:id="72"/>
      <w:bookmarkEnd w:id="73"/>
      <w:bookmarkEnd w:id="74"/>
      <w:bookmarkEnd w:id="75"/>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A74BC69" w14:textId="77777777">
        <w:tc>
          <w:tcPr>
            <w:tcW w:w="1129" w:type="dxa"/>
            <w:shd w:val="clear" w:color="auto" w:fill="D9D9D9"/>
          </w:tcPr>
          <w:p w14:paraId="0B46B78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32FB36D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141E9534" w14:textId="77777777">
        <w:tc>
          <w:tcPr>
            <w:tcW w:w="1129" w:type="dxa"/>
          </w:tcPr>
          <w:p w14:paraId="1B6CF93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3EA16A2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(Kombinerade) förvaltade tillgångar</w:t>
            </w:r>
          </w:p>
          <w:p w14:paraId="517141D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a i förordning (EU) 2019/2033.</w:t>
            </w:r>
          </w:p>
          <w:p w14:paraId="00F7A46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Om det rapporterande värdepappersföretaget ingår i en grupp ska det redovisade värdet fastställas tillsammans för alla värdepappersföretag som ingår i en grupp i enlighet med artikel 12.2 i förordning (EU) 2019/2</w:t>
            </w:r>
            <w:r w:rsidRPr="008F22A0">
              <w:rPr>
                <w:rFonts w:ascii="Times New Roman" w:hAnsi="Times New Roman"/>
              </w:rPr>
              <w:t>033.</w:t>
            </w:r>
          </w:p>
          <w:p w14:paraId="3769FDD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 ska inkludera diskretionära och icke-diskretionära tillgångar under förvaltning.</w:t>
            </w:r>
          </w:p>
          <w:p w14:paraId="783B404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Det redovisade beloppet ska vara det belopp som skulle användas för beräkning av K-faktorer före tillämpning av relevanta koefficienter.</w:t>
            </w:r>
          </w:p>
        </w:tc>
      </w:tr>
      <w:tr w:rsidR="00E20575" w:rsidRPr="008F22A0" w14:paraId="28CA0996" w14:textId="77777777">
        <w:tc>
          <w:tcPr>
            <w:tcW w:w="1129" w:type="dxa"/>
          </w:tcPr>
          <w:p w14:paraId="744EAD7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0961128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(Kombin</w:t>
            </w:r>
            <w:r w:rsidRPr="008F22A0">
              <w:rPr>
                <w:rFonts w:ascii="Times New Roman" w:hAnsi="Times New Roman"/>
                <w:b/>
                <w:u w:val="single"/>
              </w:rPr>
              <w:t>erad) hantering av kundorder – kontanttransaktioner</w:t>
            </w:r>
          </w:p>
          <w:p w14:paraId="6C0FD74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b i i förordning (EU) 2019/2033.</w:t>
            </w:r>
          </w:p>
          <w:p w14:paraId="36C26E4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Om det rapporterande värdepappersföretaget ingår i en grupp ska det redovisade värdet fastställas tillsammans för alla värdepappersföretag som ingår i en </w:t>
            </w:r>
            <w:r w:rsidRPr="008F22A0">
              <w:rPr>
                <w:rFonts w:ascii="Times New Roman" w:hAnsi="Times New Roman"/>
              </w:rPr>
              <w:t>grupp i enlighet med artikel 12.2 i förordning (EU) 2019/2033.</w:t>
            </w:r>
          </w:p>
          <w:p w14:paraId="5C0E39B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ska vara det belopp som skulle användas för beräkning av K-faktorer före tillämpning av relevanta koefficienter.</w:t>
            </w:r>
          </w:p>
        </w:tc>
      </w:tr>
      <w:tr w:rsidR="00E20575" w:rsidRPr="008F22A0" w14:paraId="0E9FA075" w14:textId="77777777">
        <w:tc>
          <w:tcPr>
            <w:tcW w:w="1129" w:type="dxa"/>
          </w:tcPr>
          <w:p w14:paraId="69DE97F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1B7965E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(Kombinerad) hantering av kundorder – derivattrans</w:t>
            </w:r>
            <w:r w:rsidRPr="008F22A0">
              <w:rPr>
                <w:rFonts w:ascii="Times New Roman" w:hAnsi="Times New Roman"/>
                <w:b/>
                <w:u w:val="single"/>
              </w:rPr>
              <w:t>aktioner</w:t>
            </w:r>
          </w:p>
          <w:p w14:paraId="1B463F9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b ii i förordning (EU) 2019/2033.</w:t>
            </w:r>
          </w:p>
          <w:p w14:paraId="7101FE9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Om det rapporterande värdepappersföretaget ingår i en grupp ska det redovisade värdet fastställas tillsammans för alla värdepappersföretag som ingår i en grupp i enlighet med artikel 12.2 i förordning</w:t>
            </w:r>
            <w:r w:rsidRPr="008F22A0">
              <w:rPr>
                <w:rFonts w:ascii="Times New Roman" w:hAnsi="Times New Roman"/>
              </w:rPr>
              <w:t xml:space="preserve"> (EU) 2019/2033.</w:t>
            </w:r>
          </w:p>
          <w:p w14:paraId="74918B7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ska vara det belopp som skulle användas för beräkning av K-faktorer före tillämpning av relevanta koefficienter.</w:t>
            </w:r>
          </w:p>
        </w:tc>
      </w:tr>
      <w:tr w:rsidR="00E20575" w:rsidRPr="008F22A0" w14:paraId="6F5EB5DD" w14:textId="77777777">
        <w:tc>
          <w:tcPr>
            <w:tcW w:w="1129" w:type="dxa"/>
          </w:tcPr>
          <w:p w14:paraId="1CDB6EB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29331D8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under förvaring och administration</w:t>
            </w:r>
          </w:p>
          <w:p w14:paraId="29007C9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c i förordning (EU) 2019/2033.</w:t>
            </w:r>
          </w:p>
          <w:p w14:paraId="12B9723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w:t>
            </w:r>
            <w:r w:rsidRPr="008F22A0">
              <w:rPr>
                <w:rFonts w:ascii="Times New Roman" w:hAnsi="Times New Roman"/>
              </w:rPr>
              <w:t>dovisade beloppet ska vara det belopp som skulle användas för beräkning av K-faktorer före tillämpning av relevanta koefficienter.</w:t>
            </w:r>
          </w:p>
        </w:tc>
      </w:tr>
      <w:tr w:rsidR="00E20575" w:rsidRPr="008F22A0" w14:paraId="5B85F516" w14:textId="77777777">
        <w:tc>
          <w:tcPr>
            <w:tcW w:w="1129" w:type="dxa"/>
          </w:tcPr>
          <w:p w14:paraId="1F73C6F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37A59A5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Innehav av kundmedel</w:t>
            </w:r>
          </w:p>
          <w:p w14:paraId="67200CC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d i förordning (EU) 2019/2033.</w:t>
            </w:r>
          </w:p>
          <w:p w14:paraId="5396CEB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ska vara det belopp som skulle</w:t>
            </w:r>
            <w:r w:rsidRPr="008F22A0">
              <w:rPr>
                <w:rFonts w:ascii="Times New Roman" w:hAnsi="Times New Roman"/>
              </w:rPr>
              <w:t xml:space="preserve"> användas för beräkning av K-faktorer före tillämpning av relevanta koefficienter.</w:t>
            </w:r>
          </w:p>
        </w:tc>
      </w:tr>
      <w:tr w:rsidR="00E20575" w:rsidRPr="008F22A0" w14:paraId="15C17D41" w14:textId="77777777">
        <w:tc>
          <w:tcPr>
            <w:tcW w:w="1129" w:type="dxa"/>
          </w:tcPr>
          <w:p w14:paraId="3D18315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6428F8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Daglig handelsaktivitet – kontanttransaktioner och derivattransaktioner</w:t>
            </w:r>
          </w:p>
          <w:p w14:paraId="12E333C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e i förordning (EU) 2019/2033.</w:t>
            </w:r>
          </w:p>
          <w:p w14:paraId="314742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Det redovisade beloppet ska vara det belopp som </w:t>
            </w:r>
            <w:r w:rsidRPr="008F22A0">
              <w:rPr>
                <w:rFonts w:ascii="Times New Roman" w:hAnsi="Times New Roman"/>
              </w:rPr>
              <w:t>skulle användas för beräkning av K-faktorer före tillämpning av relevanta koefficienter.</w:t>
            </w:r>
          </w:p>
        </w:tc>
      </w:tr>
      <w:tr w:rsidR="00E20575" w:rsidRPr="008F22A0" w14:paraId="2E12953D" w14:textId="77777777">
        <w:tc>
          <w:tcPr>
            <w:tcW w:w="1129" w:type="dxa"/>
          </w:tcPr>
          <w:p w14:paraId="3AEEEB1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Pr>
          <w:p w14:paraId="7ABDF8A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Nettopositionsrisk</w:t>
            </w:r>
          </w:p>
          <w:p w14:paraId="64F9A91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f i förordning (EU) 2019/2033.</w:t>
            </w:r>
          </w:p>
          <w:p w14:paraId="58D9941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ska vara det belopp som skulle användas för beräkning av K-faktorer före t</w:t>
            </w:r>
            <w:r w:rsidRPr="008F22A0">
              <w:rPr>
                <w:rFonts w:ascii="Times New Roman" w:hAnsi="Times New Roman"/>
              </w:rPr>
              <w:t>illämpning av relevanta koefficienter.</w:t>
            </w:r>
          </w:p>
        </w:tc>
      </w:tr>
      <w:tr w:rsidR="00E20575" w:rsidRPr="008F22A0" w14:paraId="215FC9D4" w14:textId="77777777">
        <w:tc>
          <w:tcPr>
            <w:tcW w:w="1129" w:type="dxa"/>
          </w:tcPr>
          <w:p w14:paraId="19F4141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Pr>
          <w:p w14:paraId="43B2678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Angiven clearingmarginal</w:t>
            </w:r>
          </w:p>
          <w:p w14:paraId="2E3B7FD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f i förordning (EU) 2019/2033.</w:t>
            </w:r>
          </w:p>
          <w:p w14:paraId="3BA418FF"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Det redovisade beloppet ska vara det belopp som skulle användas för beräkning av K-faktorer före tillämpning av relevanta </w:t>
            </w:r>
            <w:r w:rsidRPr="008F22A0">
              <w:rPr>
                <w:rFonts w:ascii="Times New Roman" w:hAnsi="Times New Roman"/>
              </w:rPr>
              <w:t>koefficienter.</w:t>
            </w:r>
          </w:p>
        </w:tc>
      </w:tr>
      <w:tr w:rsidR="00E20575" w:rsidRPr="008F22A0" w14:paraId="5CA82407" w14:textId="77777777">
        <w:tc>
          <w:tcPr>
            <w:tcW w:w="1129" w:type="dxa"/>
          </w:tcPr>
          <w:p w14:paraId="72CE7FA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w:t>
            </w:r>
          </w:p>
        </w:tc>
        <w:tc>
          <w:tcPr>
            <w:tcW w:w="7620" w:type="dxa"/>
          </w:tcPr>
          <w:p w14:paraId="770478B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Motpartsrisk</w:t>
            </w:r>
          </w:p>
          <w:p w14:paraId="019719B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g i förordning (EU) 2019/2033.</w:t>
            </w:r>
          </w:p>
          <w:p w14:paraId="1CC214E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ska vara det belopp som skulle användas för beräkning av K-faktorer före tillämpning av relevanta koefficienter.</w:t>
            </w:r>
          </w:p>
        </w:tc>
      </w:tr>
      <w:tr w:rsidR="00E20575" w:rsidRPr="008F22A0" w14:paraId="79804D4E" w14:textId="77777777">
        <w:tc>
          <w:tcPr>
            <w:tcW w:w="1129" w:type="dxa"/>
          </w:tcPr>
          <w:p w14:paraId="397B048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w:t>
            </w:r>
          </w:p>
        </w:tc>
        <w:tc>
          <w:tcPr>
            <w:tcW w:w="7620" w:type="dxa"/>
          </w:tcPr>
          <w:p w14:paraId="3F69D1C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 xml:space="preserve">(Kombinerad) </w:t>
            </w:r>
            <w:r w:rsidRPr="008F22A0">
              <w:rPr>
                <w:rFonts w:ascii="Times New Roman" w:hAnsi="Times New Roman"/>
                <w:b/>
                <w:u w:val="single"/>
              </w:rPr>
              <w:t>balansomslutnng i och utanför balansräkningen</w:t>
            </w:r>
          </w:p>
          <w:p w14:paraId="59A1F9F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h i förordning (EU) 2019/2033.</w:t>
            </w:r>
          </w:p>
          <w:p w14:paraId="35FE57E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Om det rapporterande värdepappersföretaget ingår i en grupp ska det redovisade värdet fastställas tillsammans för alla värdepappersföretag som ingår i en grupp i enli</w:t>
            </w:r>
            <w:r w:rsidRPr="008F22A0">
              <w:rPr>
                <w:rFonts w:ascii="Times New Roman" w:hAnsi="Times New Roman"/>
              </w:rPr>
              <w:t>ghet med artikel 12.2 i förordning (EU) 2019/2033.</w:t>
            </w:r>
          </w:p>
        </w:tc>
      </w:tr>
      <w:tr w:rsidR="00E20575" w:rsidRPr="008F22A0" w14:paraId="688FF3D8" w14:textId="77777777">
        <w:tc>
          <w:tcPr>
            <w:tcW w:w="1129" w:type="dxa"/>
          </w:tcPr>
          <w:p w14:paraId="4A228F3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tcPr>
          <w:p w14:paraId="2ADDF23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Kombinerade totala årliga bruttointäkter</w:t>
            </w:r>
          </w:p>
          <w:p w14:paraId="1FA15C9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12.1 i i förordning (EU) 2019/2033.</w:t>
            </w:r>
          </w:p>
          <w:p w14:paraId="0C6A642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Om det rapporterande värdepappersföretaget ingår i en grupp ska det redovisade värdet fastställas tillsammans för </w:t>
            </w:r>
            <w:r w:rsidRPr="008F22A0">
              <w:rPr>
                <w:rFonts w:ascii="Times New Roman" w:hAnsi="Times New Roman"/>
              </w:rPr>
              <w:t>alla värdepappersföretag som ingår i en grupp i enlighet med artikel 12.2 i förordning (EU) 2019/2033.</w:t>
            </w:r>
          </w:p>
        </w:tc>
      </w:tr>
      <w:tr w:rsidR="00E20575" w:rsidRPr="008F22A0" w14:paraId="0C8480EC" w14:textId="77777777">
        <w:tc>
          <w:tcPr>
            <w:tcW w:w="1129" w:type="dxa"/>
          </w:tcPr>
          <w:p w14:paraId="758A859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0120</w:t>
            </w:r>
          </w:p>
        </w:tc>
        <w:tc>
          <w:tcPr>
            <w:tcW w:w="7620" w:type="dxa"/>
          </w:tcPr>
          <w:p w14:paraId="5E34408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årliga bruttointäkter</w:t>
            </w:r>
          </w:p>
          <w:p w14:paraId="159B93D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Värdet av de totala årliga bruttointäkterna exklusive de bruttointäkter som genereras inom gruppen i enlighet med arti</w:t>
            </w:r>
            <w:r w:rsidRPr="008F22A0">
              <w:rPr>
                <w:rFonts w:ascii="Times New Roman" w:hAnsi="Times New Roman"/>
              </w:rPr>
              <w:t>kel 12.2 i förordning (EU) 2019/2033.</w:t>
            </w:r>
          </w:p>
        </w:tc>
      </w:tr>
      <w:tr w:rsidR="00E20575" w:rsidRPr="008F22A0" w14:paraId="3C07433E" w14:textId="77777777">
        <w:tc>
          <w:tcPr>
            <w:tcW w:w="1129" w:type="dxa"/>
          </w:tcPr>
          <w:p w14:paraId="525285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0130</w:t>
            </w:r>
          </w:p>
        </w:tc>
        <w:tc>
          <w:tcPr>
            <w:tcW w:w="7620" w:type="dxa"/>
          </w:tcPr>
          <w:p w14:paraId="42EA69B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Gruppintern del av de årliga bruttointäkterna</w:t>
            </w:r>
          </w:p>
          <w:p w14:paraId="35E562A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Värdet av de totala årliga bruttointäkterna inom värdepappersgruppen i enlighet med artikel 12.2 i förordning (EU) 2019/2033.</w:t>
            </w:r>
          </w:p>
        </w:tc>
      </w:tr>
      <w:tr w:rsidR="00E20575" w:rsidRPr="008F22A0" w14:paraId="1DD501B7" w14:textId="77777777">
        <w:tc>
          <w:tcPr>
            <w:tcW w:w="1129" w:type="dxa"/>
          </w:tcPr>
          <w:p w14:paraId="7DAB646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0140</w:t>
            </w:r>
          </w:p>
        </w:tc>
        <w:tc>
          <w:tcPr>
            <w:tcW w:w="7620" w:type="dxa"/>
          </w:tcPr>
          <w:p w14:paraId="3338D80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mottagand</w:t>
            </w:r>
            <w:r w:rsidRPr="008F22A0">
              <w:rPr>
                <w:rFonts w:ascii="Times New Roman" w:hAnsi="Times New Roman"/>
                <w:b/>
                <w:u w:val="single"/>
              </w:rPr>
              <w:t>e och vidarebefordran av order</w:t>
            </w:r>
          </w:p>
          <w:p w14:paraId="26C47F5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5B566E5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 i direktiv 2014/65/EU.</w:t>
            </w:r>
          </w:p>
        </w:tc>
      </w:tr>
      <w:tr w:rsidR="00E20575" w:rsidRPr="008F22A0" w14:paraId="071D5FB0" w14:textId="77777777">
        <w:tc>
          <w:tcPr>
            <w:tcW w:w="1129" w:type="dxa"/>
          </w:tcPr>
          <w:p w14:paraId="0FAF7CB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0150</w:t>
            </w:r>
          </w:p>
        </w:tc>
        <w:tc>
          <w:tcPr>
            <w:tcW w:w="7620" w:type="dxa"/>
          </w:tcPr>
          <w:p w14:paraId="5A50F51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utförande av order för kunds räkning</w:t>
            </w:r>
          </w:p>
          <w:p w14:paraId="6ED64C9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2E4423C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4.1.2 i direktiv </w:t>
            </w:r>
            <w:r w:rsidRPr="008F22A0">
              <w:rPr>
                <w:rFonts w:ascii="Times New Roman" w:hAnsi="Times New Roman"/>
              </w:rPr>
              <w:t>2014/65/EU.</w:t>
            </w:r>
          </w:p>
        </w:tc>
      </w:tr>
      <w:tr w:rsidR="00E20575" w:rsidRPr="008F22A0" w14:paraId="091F6D88" w14:textId="77777777">
        <w:tc>
          <w:tcPr>
            <w:tcW w:w="1129" w:type="dxa"/>
          </w:tcPr>
          <w:p w14:paraId="0CECA6F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DCE759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handel för egen räkning</w:t>
            </w:r>
          </w:p>
          <w:p w14:paraId="248251F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368E38A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41E9BBF5" w14:textId="77777777">
        <w:tc>
          <w:tcPr>
            <w:tcW w:w="1129" w:type="dxa"/>
          </w:tcPr>
          <w:p w14:paraId="15B9A33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B85B2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portföljförvaltning</w:t>
            </w:r>
          </w:p>
          <w:p w14:paraId="748D30D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6797B43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4.1.2 i </w:t>
            </w:r>
            <w:r w:rsidRPr="008F22A0">
              <w:rPr>
                <w:rFonts w:ascii="Times New Roman" w:hAnsi="Times New Roman"/>
              </w:rPr>
              <w:t>direktiv 2014/65/EU.</w:t>
            </w:r>
          </w:p>
        </w:tc>
      </w:tr>
      <w:tr w:rsidR="00E20575" w:rsidRPr="008F22A0" w14:paraId="6A1D8668" w14:textId="77777777">
        <w:tc>
          <w:tcPr>
            <w:tcW w:w="1129" w:type="dxa"/>
          </w:tcPr>
          <w:p w14:paraId="3EDC8A4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B0E12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investeringsrådgivning</w:t>
            </w:r>
          </w:p>
          <w:p w14:paraId="75BAE44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1DD4070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04B74A23" w14:textId="77777777">
        <w:tc>
          <w:tcPr>
            <w:tcW w:w="1129" w:type="dxa"/>
          </w:tcPr>
          <w:p w14:paraId="09BA23D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FDC3B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Varav: Intäkter från garantiverksamhet för finansiella instrument/placering på grundval av ett </w:t>
            </w:r>
            <w:r w:rsidRPr="008F22A0">
              <w:rPr>
                <w:rFonts w:ascii="Times New Roman" w:hAnsi="Times New Roman"/>
                <w:b/>
                <w:u w:val="single"/>
              </w:rPr>
              <w:t>fast åtagande</w:t>
            </w:r>
          </w:p>
          <w:p w14:paraId="564986A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5DBF088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73ED7EC5" w14:textId="77777777">
        <w:tc>
          <w:tcPr>
            <w:tcW w:w="1129" w:type="dxa"/>
          </w:tcPr>
          <w:p w14:paraId="06A3D67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66699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placeringar utan fast åtagande</w:t>
            </w:r>
          </w:p>
          <w:p w14:paraId="31EDBD1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087B0EA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7FFD68C0" w14:textId="77777777">
        <w:tc>
          <w:tcPr>
            <w:tcW w:w="1129" w:type="dxa"/>
          </w:tcPr>
          <w:p w14:paraId="7925398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41E15A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Varav: </w:t>
            </w:r>
            <w:r w:rsidRPr="008F22A0">
              <w:rPr>
                <w:rFonts w:ascii="Times New Roman" w:hAnsi="Times New Roman"/>
                <w:b/>
                <w:u w:val="single"/>
              </w:rPr>
              <w:t>Intäkter från driften av en MTF</w:t>
            </w:r>
          </w:p>
          <w:p w14:paraId="3131F83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650B5D0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2DF4E144" w14:textId="77777777">
        <w:tc>
          <w:tcPr>
            <w:tcW w:w="1129" w:type="dxa"/>
          </w:tcPr>
          <w:p w14:paraId="37A8945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4EF05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driften av en OTF</w:t>
            </w:r>
          </w:p>
          <w:p w14:paraId="44664E2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23D1429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4.1.2 i direktiv 2014/65/EU.</w:t>
            </w:r>
          </w:p>
        </w:tc>
      </w:tr>
      <w:tr w:rsidR="00E20575" w:rsidRPr="008F22A0" w14:paraId="3C2B693A" w14:textId="77777777">
        <w:tc>
          <w:tcPr>
            <w:tcW w:w="1129" w:type="dxa"/>
          </w:tcPr>
          <w:p w14:paraId="2672C6F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46F23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w:t>
            </w:r>
            <w:r w:rsidRPr="008F22A0">
              <w:rPr>
                <w:rFonts w:ascii="Times New Roman" w:hAnsi="Times New Roman"/>
                <w:b/>
                <w:u w:val="single"/>
              </w:rPr>
              <w:t>kter från förvaring och förvaltning av finansiella instrument</w:t>
            </w:r>
          </w:p>
          <w:p w14:paraId="68C688E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237E37B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29FEE7BF" w14:textId="77777777">
        <w:tc>
          <w:tcPr>
            <w:tcW w:w="1129" w:type="dxa"/>
          </w:tcPr>
          <w:p w14:paraId="6870AD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BA739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beviljande av krediter eller lån till investerare</w:t>
            </w:r>
          </w:p>
          <w:p w14:paraId="1CF1096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54.1 d i </w:t>
            </w:r>
            <w:r w:rsidRPr="008F22A0">
              <w:rPr>
                <w:rFonts w:ascii="Times New Roman" w:hAnsi="Times New Roman"/>
              </w:rPr>
              <w:t>förordning (EU) 2019/2033.</w:t>
            </w:r>
          </w:p>
          <w:p w14:paraId="66035C7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550435C1" w14:textId="77777777">
        <w:tc>
          <w:tcPr>
            <w:tcW w:w="1129" w:type="dxa"/>
          </w:tcPr>
          <w:p w14:paraId="330D4BC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021C0E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Rådgivning till företag om kapitalstruktur, företagsstrategi och liknande frågor samt rådgivning och tjänster vid fusioner och företagsuppköp</w:t>
            </w:r>
          </w:p>
          <w:p w14:paraId="49F2380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w:t>
            </w:r>
            <w:r w:rsidRPr="008F22A0">
              <w:rPr>
                <w:rFonts w:ascii="Times New Roman" w:hAnsi="Times New Roman"/>
              </w:rPr>
              <w:t>/2033.</w:t>
            </w:r>
          </w:p>
          <w:p w14:paraId="6C5D5EA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4FE32988" w14:textId="77777777">
        <w:tc>
          <w:tcPr>
            <w:tcW w:w="1129" w:type="dxa"/>
          </w:tcPr>
          <w:p w14:paraId="1D8F234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491F6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valutatjänster</w:t>
            </w:r>
          </w:p>
          <w:p w14:paraId="6B47811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31316B0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63EA0B55" w14:textId="77777777">
        <w:tc>
          <w:tcPr>
            <w:tcW w:w="1129" w:type="dxa"/>
          </w:tcPr>
          <w:p w14:paraId="58BD1F4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65843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Investeringsanalys och finansiell analys</w:t>
            </w:r>
          </w:p>
          <w:p w14:paraId="538F00C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54.1 d i </w:t>
            </w:r>
            <w:r w:rsidRPr="008F22A0">
              <w:rPr>
                <w:rFonts w:ascii="Times New Roman" w:hAnsi="Times New Roman"/>
              </w:rPr>
              <w:t>förordning (EU) 2019/2033.</w:t>
            </w:r>
          </w:p>
          <w:p w14:paraId="301D023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14681943" w14:textId="77777777">
        <w:tc>
          <w:tcPr>
            <w:tcW w:w="1129" w:type="dxa"/>
          </w:tcPr>
          <w:p w14:paraId="24C1AD8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2B9C6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Intäkter från tjänster i samband med garantigivning</w:t>
            </w:r>
          </w:p>
          <w:p w14:paraId="651B7B9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6A6088A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 i direktiv 2014/65/EU.</w:t>
            </w:r>
          </w:p>
        </w:tc>
      </w:tr>
      <w:tr w:rsidR="00E20575" w:rsidRPr="008F22A0" w14:paraId="3BC01897" w14:textId="77777777">
        <w:tc>
          <w:tcPr>
            <w:tcW w:w="1129" w:type="dxa"/>
          </w:tcPr>
          <w:p w14:paraId="789DCC9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BED85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 xml:space="preserve">Varav: </w:t>
            </w:r>
            <w:r w:rsidRPr="008F22A0">
              <w:rPr>
                <w:rFonts w:ascii="Times New Roman" w:hAnsi="Times New Roman"/>
                <w:b/>
                <w:u w:val="single"/>
              </w:rPr>
              <w:t>Investeringstjänster och sidoverksamhet med anknytning till derivatinstrument</w:t>
            </w:r>
          </w:p>
          <w:p w14:paraId="2C7E0B1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54.1 d i förordning (EU) 2019/2033.</w:t>
            </w:r>
          </w:p>
          <w:p w14:paraId="7A7D80B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4.1.3 i direktiv 2014/65/EU. </w:t>
            </w:r>
          </w:p>
        </w:tc>
      </w:tr>
    </w:tbl>
    <w:p w14:paraId="537C3B89" w14:textId="77777777" w:rsidR="00E20575" w:rsidRPr="008F22A0" w:rsidRDefault="008F22A0">
      <w:pPr>
        <w:pStyle w:val="Instructionsberschrift2"/>
        <w:ind w:left="357" w:hanging="357"/>
        <w:rPr>
          <w:b/>
          <w:sz w:val="22"/>
          <w:szCs w:val="22"/>
          <w:u w:val="none"/>
        </w:rPr>
      </w:pPr>
      <w:bookmarkStart w:id="77" w:name="_Toc76556797"/>
      <w:bookmarkStart w:id="78" w:name="_Toc88220444"/>
      <w:r w:rsidRPr="008F22A0">
        <w:rPr>
          <w:rFonts w:ascii="Times New Roman" w:hAnsi="Times New Roman"/>
          <w:b/>
          <w:sz w:val="24"/>
          <w:u w:val="none"/>
        </w:rPr>
        <w:t xml:space="preserve">3. </w:t>
      </w:r>
      <w:r w:rsidRPr="008F22A0">
        <w:rPr>
          <w:rFonts w:ascii="Times New Roman" w:hAnsi="Times New Roman"/>
          <w:b/>
          <w:sz w:val="22"/>
          <w:u w:val="none"/>
        </w:rPr>
        <w:t>K-FAKTORKRAV – YTTERLIGARE UPPGIFTER</w:t>
      </w:r>
      <w:bookmarkEnd w:id="77"/>
      <w:bookmarkEnd w:id="78"/>
    </w:p>
    <w:p w14:paraId="6004D913" w14:textId="77777777" w:rsidR="00E20575" w:rsidRPr="008F22A0" w:rsidRDefault="008F22A0">
      <w:pPr>
        <w:pStyle w:val="CommentText"/>
        <w:jc w:val="both"/>
        <w:rPr>
          <w:rFonts w:ascii="Times New Roman" w:eastAsia="Arial" w:hAnsi="Times New Roman" w:cs="Times New Roman"/>
          <w:sz w:val="22"/>
          <w:szCs w:val="22"/>
          <w:u w:val="single"/>
        </w:rPr>
      </w:pPr>
      <w:r w:rsidRPr="008F22A0">
        <w:rPr>
          <w:rFonts w:ascii="Times New Roman" w:hAnsi="Times New Roman"/>
          <w:sz w:val="22"/>
          <w:u w:val="single"/>
        </w:rPr>
        <w:t>3.1. Allmänna kommentarer</w:t>
      </w:r>
    </w:p>
    <w:p w14:paraId="350893BB" w14:textId="77777777" w:rsidR="00E20575" w:rsidRPr="008F22A0" w:rsidRDefault="008F22A0">
      <w:pPr>
        <w:spacing w:line="256" w:lineRule="auto"/>
        <w:ind w:left="993" w:hanging="567"/>
        <w:jc w:val="both"/>
        <w:rPr>
          <w:rFonts w:ascii="Times New Roman" w:hAnsi="Times New Roman" w:cs="Times New Roman"/>
        </w:rPr>
      </w:pPr>
      <w:r w:rsidRPr="008F22A0">
        <w:rPr>
          <w:rFonts w:ascii="Times New Roman" w:hAnsi="Times New Roman" w:cs="Times New Roman"/>
        </w:rPr>
        <w:t>12.</w:t>
      </w:r>
      <w:r w:rsidRPr="008F22A0">
        <w:rPr>
          <w:rFonts w:ascii="Times New Roman" w:hAnsi="Times New Roman" w:cs="Times New Roman"/>
        </w:rPr>
        <w:tab/>
      </w:r>
      <w:r w:rsidRPr="008F22A0">
        <w:rPr>
          <w:rFonts w:ascii="Times New Roman" w:hAnsi="Times New Roman"/>
        </w:rPr>
        <w:t xml:space="preserve">I mall I 06.00 har var </w:t>
      </w:r>
      <w:r w:rsidRPr="008F22A0">
        <w:rPr>
          <w:rFonts w:ascii="Times New Roman" w:hAnsi="Times New Roman"/>
        </w:rPr>
        <w:t>och en av K-faktorerna AUM, ASA, CMH, COH och DTF två särskilda tabeller.</w:t>
      </w:r>
    </w:p>
    <w:p w14:paraId="25184101" w14:textId="77777777" w:rsidR="00E20575" w:rsidRPr="008F22A0" w:rsidRDefault="008F22A0">
      <w:pPr>
        <w:spacing w:line="256" w:lineRule="auto"/>
        <w:ind w:left="993" w:hanging="567"/>
        <w:jc w:val="both"/>
        <w:rPr>
          <w:rFonts w:ascii="Times New Roman" w:hAnsi="Times New Roman" w:cs="Times New Roman"/>
        </w:rPr>
      </w:pPr>
      <w:r w:rsidRPr="008F22A0">
        <w:rPr>
          <w:rFonts w:ascii="Times New Roman" w:hAnsi="Times New Roman" w:cs="Times New Roman"/>
        </w:rPr>
        <w:t>13.</w:t>
      </w:r>
      <w:r w:rsidRPr="008F22A0">
        <w:rPr>
          <w:rFonts w:ascii="Times New Roman" w:hAnsi="Times New Roman" w:cs="Times New Roman"/>
        </w:rPr>
        <w:tab/>
      </w:r>
      <w:r w:rsidRPr="008F22A0">
        <w:rPr>
          <w:rFonts w:ascii="Times New Roman" w:hAnsi="Times New Roman"/>
        </w:rPr>
        <w:t xml:space="preserve">Den första tabellen innehåller information i kolumnerna om </w:t>
      </w:r>
      <w:r w:rsidRPr="008F22A0">
        <w:rPr>
          <w:rFonts w:ascii="Times New Roman" w:hAnsi="Times New Roman"/>
        </w:rPr>
        <w:t>”</w:t>
      </w:r>
      <w:r w:rsidRPr="008F22A0">
        <w:rPr>
          <w:rFonts w:ascii="Times New Roman" w:hAnsi="Times New Roman"/>
        </w:rPr>
        <w:t>Faktorbelop</w:t>
      </w:r>
      <w:r w:rsidRPr="008F22A0">
        <w:rPr>
          <w:rFonts w:ascii="Times New Roman" w:hAnsi="Times New Roman"/>
        </w:rPr>
        <w:t>p”</w:t>
      </w:r>
      <w:r w:rsidRPr="008F22A0">
        <w:rPr>
          <w:rFonts w:ascii="Times New Roman" w:hAnsi="Times New Roman"/>
        </w:rPr>
        <w:t xml:space="preserve"> för varje månad under det kvartal som ska redovisas. Faktorbelopp är det värde som används för att beräk</w:t>
      </w:r>
      <w:r w:rsidRPr="008F22A0">
        <w:rPr>
          <w:rFonts w:ascii="Times New Roman" w:hAnsi="Times New Roman"/>
        </w:rPr>
        <w:t>na varje K-faktor innan koefficienten från tabell 1 i artikel 15.2 i förordning (EU) 2019/2033 tillämpas.</w:t>
      </w:r>
    </w:p>
    <w:p w14:paraId="2E829590" w14:textId="77777777" w:rsidR="00E20575" w:rsidRPr="008F22A0" w:rsidRDefault="008F22A0">
      <w:pPr>
        <w:spacing w:line="256" w:lineRule="auto"/>
        <w:ind w:left="993" w:hanging="567"/>
        <w:jc w:val="both"/>
        <w:rPr>
          <w:rFonts w:ascii="Times New Roman" w:hAnsi="Times New Roman" w:cs="Times New Roman"/>
        </w:rPr>
      </w:pPr>
      <w:r w:rsidRPr="008F22A0">
        <w:rPr>
          <w:rFonts w:ascii="Times New Roman" w:hAnsi="Times New Roman" w:cs="Times New Roman"/>
        </w:rPr>
        <w:t>14.</w:t>
      </w:r>
      <w:r w:rsidRPr="008F22A0">
        <w:rPr>
          <w:rFonts w:ascii="Times New Roman" w:hAnsi="Times New Roman" w:cs="Times New Roman"/>
        </w:rPr>
        <w:tab/>
      </w:r>
      <w:r w:rsidRPr="008F22A0">
        <w:rPr>
          <w:rFonts w:ascii="Times New Roman" w:hAnsi="Times New Roman"/>
        </w:rPr>
        <w:t>Den andra tabellen innehåller detaljerade uppgifter som behövs för att beräkna faktorbeloppet.</w:t>
      </w:r>
    </w:p>
    <w:p w14:paraId="62B072C0" w14:textId="77777777" w:rsidR="00E20575" w:rsidRPr="008F22A0" w:rsidRDefault="008F22A0">
      <w:pPr>
        <w:spacing w:line="256" w:lineRule="auto"/>
        <w:ind w:left="993"/>
        <w:jc w:val="both"/>
        <w:rPr>
          <w:rFonts w:ascii="Times New Roman" w:hAnsi="Times New Roman" w:cs="Times New Roman"/>
        </w:rPr>
      </w:pPr>
      <w:r w:rsidRPr="008F22A0">
        <w:rPr>
          <w:rFonts w:ascii="Times New Roman" w:hAnsi="Times New Roman"/>
        </w:rPr>
        <w:t>När det gäller AUM motsvarar detta värdet av förval</w:t>
      </w:r>
      <w:r w:rsidRPr="008F22A0">
        <w:rPr>
          <w:rFonts w:ascii="Times New Roman" w:hAnsi="Times New Roman"/>
        </w:rPr>
        <w:t>tade tillgångar den sista bankdagen i månaden i enlighet med artikel 17 i förordning (EU) 2019/2033.</w:t>
      </w:r>
    </w:p>
    <w:p w14:paraId="262F2DDB" w14:textId="77777777" w:rsidR="00E20575" w:rsidRPr="008F22A0" w:rsidRDefault="008F22A0">
      <w:pPr>
        <w:spacing w:line="256" w:lineRule="auto"/>
        <w:ind w:left="993"/>
        <w:jc w:val="both"/>
        <w:rPr>
          <w:rFonts w:ascii="Times New Roman" w:hAnsi="Times New Roman" w:cs="Times New Roman"/>
        </w:rPr>
      </w:pPr>
      <w:r w:rsidRPr="008F22A0">
        <w:rPr>
          <w:rFonts w:ascii="Times New Roman" w:hAnsi="Times New Roman"/>
        </w:rPr>
        <w:t>När det gäller CMH, ASA, COH och DTF ska det rapporterade värdet motsvara det genomsnittliga värdet per dag för den relevanta indikatorn under månaden.</w:t>
      </w:r>
    </w:p>
    <w:p w14:paraId="7AFEF8EE"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u w:val="single"/>
        </w:rPr>
      </w:pPr>
      <w:bookmarkStart w:id="79" w:name="_Toc76556798"/>
      <w:bookmarkStart w:id="80" w:name="_Toc88220445"/>
      <w:r w:rsidRPr="008F22A0">
        <w:rPr>
          <w:rFonts w:ascii="Times New Roman" w:hAnsi="Times New Roman"/>
          <w:u w:val="single"/>
        </w:rPr>
        <w:t>3.2. I 06.01 – FÖRVALTADE TILLGÅNGAR – YTTERLIGARE UPPGIFTER (I 6.1)</w:t>
      </w:r>
      <w:bookmarkEnd w:id="79"/>
      <w:bookmarkEnd w:id="80"/>
    </w:p>
    <w:p w14:paraId="22A0C284" w14:textId="77777777" w:rsidR="00E20575" w:rsidRPr="008F22A0" w:rsidRDefault="008F22A0">
      <w:pPr>
        <w:keepNext/>
        <w:spacing w:before="240" w:after="240" w:line="240" w:lineRule="auto"/>
        <w:ind w:left="357" w:hanging="357"/>
        <w:jc w:val="both"/>
        <w:outlineLvl w:val="1"/>
      </w:pPr>
      <w:bookmarkStart w:id="81" w:name="_Toc76556799"/>
      <w:bookmarkStart w:id="82" w:name="_Toc88220446"/>
      <w:r w:rsidRPr="008F22A0">
        <w:rPr>
          <w:rFonts w:ascii="Times New Roman" w:hAnsi="Times New Roman"/>
        </w:rPr>
        <w:t>3.2.1</w:t>
      </w:r>
      <w:r w:rsidRPr="008F22A0">
        <w:rPr>
          <w:rFonts w:ascii="Times New Roman" w:hAnsi="Times New Roman"/>
        </w:rPr>
        <w:tab/>
      </w:r>
      <w:r w:rsidRPr="008F22A0">
        <w:rPr>
          <w:rFonts w:ascii="Times New Roman" w:hAnsi="Times New Roman"/>
          <w:u w:val="single"/>
        </w:rPr>
        <w:t>Instruktioner för specifika positioner</w:t>
      </w:r>
      <w:bookmarkEnd w:id="81"/>
      <w:bookmarkEnd w:id="8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D31A267" w14:textId="77777777">
        <w:tc>
          <w:tcPr>
            <w:tcW w:w="1129" w:type="dxa"/>
            <w:shd w:val="clear" w:color="auto" w:fill="D9D9D9"/>
          </w:tcPr>
          <w:p w14:paraId="0C5305C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6810F27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3D6D2312" w14:textId="77777777">
        <w:tc>
          <w:tcPr>
            <w:tcW w:w="1129" w:type="dxa"/>
          </w:tcPr>
          <w:p w14:paraId="243042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A85561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Totalt AUM (genomsnittliga belopp)</w:t>
            </w:r>
          </w:p>
          <w:p w14:paraId="1844AD3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4.1.27 i förordning (EU) 2019/2033.</w:t>
            </w:r>
          </w:p>
          <w:p w14:paraId="1DB4D57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Totalt </w:t>
            </w:r>
            <w:r w:rsidRPr="008F22A0">
              <w:rPr>
                <w:rFonts w:ascii="Times New Roman" w:hAnsi="Times New Roman"/>
              </w:rPr>
              <w:t>AUM-värde som ett aritmetiskt medelvärde i enlighet med artikel 17.1 första stycket i förordning (EU) 2019/2033. Det redovisade värdet ska vara summan av raderna 0020–0040.</w:t>
            </w:r>
          </w:p>
        </w:tc>
      </w:tr>
      <w:tr w:rsidR="00E20575" w:rsidRPr="008F22A0" w14:paraId="65A1AF42" w14:textId="77777777">
        <w:tc>
          <w:tcPr>
            <w:tcW w:w="1129" w:type="dxa"/>
          </w:tcPr>
          <w:p w14:paraId="1EE74D4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8C20D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AUM – Diskretionär portföljförvaltning</w:t>
            </w:r>
          </w:p>
          <w:p w14:paraId="5CD4AA9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Totalt belopp av tillgångar för</w:t>
            </w:r>
            <w:r w:rsidRPr="008F22A0">
              <w:rPr>
                <w:rFonts w:ascii="Times New Roman" w:hAnsi="Times New Roman"/>
              </w:rPr>
              <w:t xml:space="preserve"> vilka värdepappersföretaget utför portföljförvaltningstjänster enligt definitionen i artikel 4.1.8 i direktiv 2014/65/EU och beräknat i enlighet med artikel 17.1 i förordning (EU) 2019/2033.</w:t>
            </w:r>
          </w:p>
        </w:tc>
      </w:tr>
      <w:tr w:rsidR="00E20575" w:rsidRPr="008F22A0" w14:paraId="2E48CD37" w14:textId="77777777">
        <w:tc>
          <w:tcPr>
            <w:tcW w:w="1129" w:type="dxa"/>
          </w:tcPr>
          <w:p w14:paraId="06CD649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99117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Varav: AUM har formellt delegerats till en annan </w:t>
            </w:r>
            <w:r w:rsidRPr="008F22A0">
              <w:rPr>
                <w:rFonts w:ascii="Times New Roman" w:hAnsi="Times New Roman"/>
                <w:b/>
                <w:u w:val="single"/>
              </w:rPr>
              <w:t>enhet</w:t>
            </w:r>
          </w:p>
          <w:p w14:paraId="5B3F811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17.2 i förordning (EU) 2019/2033.</w:t>
            </w:r>
          </w:p>
        </w:tc>
      </w:tr>
      <w:tr w:rsidR="00E20575" w:rsidRPr="008F22A0" w14:paraId="0E62A141" w14:textId="77777777">
        <w:tc>
          <w:tcPr>
            <w:tcW w:w="1129" w:type="dxa"/>
          </w:tcPr>
          <w:p w14:paraId="39F579B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4C41C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AUM – Kontinuerlig icke-skönsmässig rådgivning</w:t>
            </w:r>
          </w:p>
          <w:p w14:paraId="1D84E56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Totalt belopp av tillgångar för vilka värdepappersföretaget utför kontinuerlig och icke-diskretionär investeringsrådgivning enligt definitionen i artikel 4</w:t>
            </w:r>
            <w:r w:rsidRPr="008F22A0">
              <w:rPr>
                <w:rFonts w:ascii="Times New Roman" w:hAnsi="Times New Roman"/>
              </w:rPr>
              <w:t>.1.4 i direktiv 2014/65/EU.</w:t>
            </w:r>
          </w:p>
        </w:tc>
      </w:tr>
    </w:tbl>
    <w:p w14:paraId="78D0EA7D"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EEF9010" w14:textId="77777777">
        <w:tc>
          <w:tcPr>
            <w:tcW w:w="1129" w:type="dxa"/>
            <w:shd w:val="clear" w:color="auto" w:fill="D9D9D9"/>
          </w:tcPr>
          <w:p w14:paraId="01C0C03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5A9B9D5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696D160B" w14:textId="77777777">
        <w:tc>
          <w:tcPr>
            <w:tcW w:w="1129" w:type="dxa"/>
          </w:tcPr>
          <w:p w14:paraId="6776798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4721D17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w:t>
            </w:r>
          </w:p>
          <w:p w14:paraId="776E9C3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AUM för slutet av den tredje månaden (dvs. den senaste) i det kvartal som redovisningen avser.</w:t>
            </w:r>
          </w:p>
        </w:tc>
      </w:tr>
      <w:tr w:rsidR="00E20575" w:rsidRPr="008F22A0" w14:paraId="03BA8AFF" w14:textId="77777777">
        <w:tc>
          <w:tcPr>
            <w:tcW w:w="1129" w:type="dxa"/>
          </w:tcPr>
          <w:p w14:paraId="18F3994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544B5D1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t-1</w:t>
            </w:r>
          </w:p>
          <w:p w14:paraId="6A3EBBE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AUM för den </w:t>
            </w:r>
            <w:r w:rsidRPr="008F22A0">
              <w:rPr>
                <w:rFonts w:ascii="Times New Roman" w:hAnsi="Times New Roman"/>
              </w:rPr>
              <w:t>andra månaden i det kvartal som redovisningen avser.</w:t>
            </w:r>
          </w:p>
        </w:tc>
      </w:tr>
      <w:tr w:rsidR="00E20575" w:rsidRPr="008F22A0" w14:paraId="0B27C3D2" w14:textId="77777777">
        <w:tc>
          <w:tcPr>
            <w:tcW w:w="1129" w:type="dxa"/>
          </w:tcPr>
          <w:p w14:paraId="26730D7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26D843E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t-2</w:t>
            </w:r>
          </w:p>
          <w:p w14:paraId="51B0EAA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AUM för den första månaden i det kvartal som redovisningen avser.</w:t>
            </w:r>
          </w:p>
        </w:tc>
      </w:tr>
    </w:tbl>
    <w:p w14:paraId="0F900205"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u w:val="single"/>
        </w:rPr>
      </w:pPr>
      <w:bookmarkStart w:id="83" w:name="_Toc76556800"/>
      <w:bookmarkStart w:id="84" w:name="_Toc88220447"/>
      <w:r w:rsidRPr="008F22A0">
        <w:rPr>
          <w:rFonts w:ascii="Times New Roman" w:hAnsi="Times New Roman"/>
          <w:u w:val="single"/>
        </w:rPr>
        <w:t>3.3. I 06.02 – FÖRVALTADE TILLGÅNGAR PER MÅNAD (I 6.2)</w:t>
      </w:r>
      <w:bookmarkEnd w:id="83"/>
      <w:bookmarkEnd w:id="84"/>
    </w:p>
    <w:p w14:paraId="22AA2C2C"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rPr>
      </w:pPr>
      <w:bookmarkStart w:id="85" w:name="_Toc76556801"/>
      <w:bookmarkStart w:id="86" w:name="_Toc88220448"/>
      <w:r w:rsidRPr="008F22A0">
        <w:rPr>
          <w:rFonts w:ascii="Times New Roman" w:hAnsi="Times New Roman"/>
        </w:rPr>
        <w:t>3.3.1</w:t>
      </w:r>
      <w:r w:rsidRPr="008F22A0">
        <w:rPr>
          <w:rFonts w:ascii="Times New Roman" w:hAnsi="Times New Roman"/>
        </w:rPr>
        <w:tab/>
      </w:r>
      <w:r w:rsidRPr="008F22A0">
        <w:rPr>
          <w:rFonts w:ascii="Times New Roman" w:hAnsi="Times New Roman"/>
          <w:u w:val="single"/>
        </w:rPr>
        <w:t xml:space="preserve">Instruktioner för specifika </w:t>
      </w:r>
      <w:r w:rsidRPr="008F22A0">
        <w:rPr>
          <w:rFonts w:ascii="Times New Roman" w:hAnsi="Times New Roman"/>
          <w:u w:val="single"/>
        </w:rPr>
        <w:t>positioner</w:t>
      </w:r>
      <w:bookmarkEnd w:id="85"/>
      <w:bookmarkEnd w:id="8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E3B032D" w14:textId="77777777">
        <w:tc>
          <w:tcPr>
            <w:tcW w:w="1129" w:type="dxa"/>
            <w:shd w:val="clear" w:color="auto" w:fill="D9D9D9"/>
          </w:tcPr>
          <w:p w14:paraId="756D49D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7CB7476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6842C261" w14:textId="77777777">
        <w:tc>
          <w:tcPr>
            <w:tcW w:w="1129" w:type="dxa"/>
          </w:tcPr>
          <w:p w14:paraId="58F5973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0B6BF7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förvaltade tillgångar per månad</w:t>
            </w:r>
          </w:p>
          <w:p w14:paraId="5DDD2C8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4.1.27 i förordning (EU) 2019/2033.</w:t>
            </w:r>
          </w:p>
          <w:p w14:paraId="0902E6A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 totala förvaltade tillgångarna per månad den sista bankdagen i den relevanta månaden enligt artikel 17.1 i </w:t>
            </w:r>
            <w:r w:rsidRPr="008F22A0">
              <w:rPr>
                <w:rFonts w:ascii="Times New Roman" w:hAnsi="Times New Roman"/>
              </w:rPr>
              <w:t>förordning (EU) 2019/2033.</w:t>
            </w:r>
          </w:p>
          <w:p w14:paraId="4F576EC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beloppet i denna rad ska vara summan av raderna 0020 och 0040.</w:t>
            </w:r>
          </w:p>
        </w:tc>
      </w:tr>
      <w:tr w:rsidR="00E20575" w:rsidRPr="008F22A0" w14:paraId="4669C70F" w14:textId="77777777">
        <w:tc>
          <w:tcPr>
            <w:tcW w:w="1129" w:type="dxa"/>
          </w:tcPr>
          <w:p w14:paraId="6427F28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8F34F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Förvaltade tillgångar per månad – diskretionär portföljförvaltning</w:t>
            </w:r>
          </w:p>
          <w:p w14:paraId="6FEF324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rapporterade beloppet ska vara de tillgångar per månad för vilka värdepapp</w:t>
            </w:r>
            <w:r w:rsidRPr="008F22A0">
              <w:rPr>
                <w:rFonts w:ascii="Times New Roman" w:hAnsi="Times New Roman"/>
              </w:rPr>
              <w:t>ersföretaget utför portföljförvaltningstjänster enligt definitionen i artikel 4.1.8 i direktiv 2014/65/EU per den sista bankdagen i den relevanta månaden enligt artikel 17.1 i förordning (EU) 2019/2033.</w:t>
            </w:r>
          </w:p>
        </w:tc>
      </w:tr>
      <w:tr w:rsidR="00E20575" w:rsidRPr="008F22A0" w14:paraId="5C698275" w14:textId="77777777">
        <w:tc>
          <w:tcPr>
            <w:tcW w:w="1129" w:type="dxa"/>
          </w:tcPr>
          <w:p w14:paraId="6306538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BE598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 xml:space="preserve">Varav: Tillgångar formellt har </w:t>
            </w:r>
            <w:r w:rsidRPr="008F22A0">
              <w:rPr>
                <w:rFonts w:ascii="Times New Roman" w:hAnsi="Times New Roman"/>
                <w:b/>
                <w:u w:val="single"/>
              </w:rPr>
              <w:t>delegerats till en annan enhet</w:t>
            </w:r>
          </w:p>
          <w:p w14:paraId="157D457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17.2 i förordning (EU) 2019/2033.</w:t>
            </w:r>
          </w:p>
          <w:p w14:paraId="01DED3A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Tillgångar per månad vars förvaltning formellt har delegerats till en annan enhet redovisas den sista bankdagen i den relevanta månaden. </w:t>
            </w:r>
          </w:p>
        </w:tc>
      </w:tr>
      <w:tr w:rsidR="00E20575" w:rsidRPr="008F22A0" w14:paraId="5A9030AF" w14:textId="77777777">
        <w:tc>
          <w:tcPr>
            <w:tcW w:w="1129" w:type="dxa"/>
          </w:tcPr>
          <w:p w14:paraId="56BE9A7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38E7E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Förvaltade tillgångar per månad – konti</w:t>
            </w:r>
            <w:r w:rsidRPr="008F22A0">
              <w:rPr>
                <w:rFonts w:ascii="Times New Roman" w:hAnsi="Times New Roman"/>
                <w:b/>
                <w:u w:val="single"/>
              </w:rPr>
              <w:t>nuerlig icke-diskretionär rådgivning</w:t>
            </w:r>
          </w:p>
          <w:p w14:paraId="472466F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Totalt belopp av tillgångar för vilka värdepappersföretaget utför kontinuerlig och icke-diskretionär investeringsrådgivning enligt definitionen i artikel 4.1.4 i direktiv 2014/65/EU redovisas den sista bankdagen i den r</w:t>
            </w:r>
            <w:r w:rsidRPr="008F22A0">
              <w:rPr>
                <w:rFonts w:ascii="Times New Roman" w:hAnsi="Times New Roman"/>
              </w:rPr>
              <w:t>elevanta månaden.</w:t>
            </w:r>
          </w:p>
        </w:tc>
      </w:tr>
    </w:tbl>
    <w:p w14:paraId="68A88090" w14:textId="77777777" w:rsidR="00E20575" w:rsidRPr="008F22A0" w:rsidRDefault="00E20575">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532CB4F7" w14:textId="77777777">
        <w:tc>
          <w:tcPr>
            <w:tcW w:w="1129" w:type="dxa"/>
            <w:shd w:val="clear" w:color="auto" w:fill="D9D9D9"/>
          </w:tcPr>
          <w:p w14:paraId="2359101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2ACB454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7AFD0018" w14:textId="77777777">
        <w:tc>
          <w:tcPr>
            <w:tcW w:w="1129" w:type="dxa"/>
          </w:tcPr>
          <w:p w14:paraId="7527463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0010–0140</w:t>
            </w:r>
          </w:p>
        </w:tc>
        <w:tc>
          <w:tcPr>
            <w:tcW w:w="7620" w:type="dxa"/>
          </w:tcPr>
          <w:p w14:paraId="7EBD87B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Värden vid månadsslut</w:t>
            </w:r>
          </w:p>
          <w:p w14:paraId="480B77B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Värdena den sista bankdagen i den relevanta månaden ska redovisas enligt artikel 17.1 i förordning (EU) 2019/2033.</w:t>
            </w:r>
          </w:p>
        </w:tc>
      </w:tr>
    </w:tbl>
    <w:p w14:paraId="56F99DA4"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u w:val="single"/>
        </w:rPr>
      </w:pPr>
      <w:bookmarkStart w:id="87" w:name="_Toc76556802"/>
      <w:bookmarkStart w:id="88" w:name="_Toc88220449"/>
      <w:r w:rsidRPr="008F22A0">
        <w:rPr>
          <w:rFonts w:ascii="Times New Roman" w:hAnsi="Times New Roman"/>
          <w:u w:val="single"/>
        </w:rPr>
        <w:t xml:space="preserve">3.4. I 06.03 – INNEHAV AV </w:t>
      </w:r>
      <w:r w:rsidRPr="008F22A0">
        <w:rPr>
          <w:rFonts w:ascii="Times New Roman" w:hAnsi="Times New Roman"/>
          <w:u w:val="single"/>
        </w:rPr>
        <w:t>KUNDMEDEL – YTTERLIGARE UPPGIFTER (I 6.3)</w:t>
      </w:r>
      <w:bookmarkEnd w:id="87"/>
      <w:bookmarkEnd w:id="88"/>
    </w:p>
    <w:p w14:paraId="41217F69" w14:textId="77777777" w:rsidR="00E20575" w:rsidRPr="008F22A0" w:rsidRDefault="008F22A0">
      <w:pPr>
        <w:keepNext/>
        <w:spacing w:before="240" w:after="240" w:line="240" w:lineRule="auto"/>
        <w:ind w:left="357" w:hanging="357"/>
        <w:jc w:val="both"/>
        <w:outlineLvl w:val="1"/>
      </w:pPr>
      <w:bookmarkStart w:id="89" w:name="_Toc76556803"/>
      <w:bookmarkStart w:id="90" w:name="_Toc88220450"/>
      <w:r w:rsidRPr="008F22A0">
        <w:rPr>
          <w:rFonts w:ascii="Times New Roman" w:hAnsi="Times New Roman"/>
        </w:rPr>
        <w:t>3.4.1</w:t>
      </w:r>
      <w:r w:rsidRPr="008F22A0">
        <w:rPr>
          <w:rFonts w:ascii="Times New Roman" w:hAnsi="Times New Roman"/>
        </w:rPr>
        <w:tab/>
      </w:r>
      <w:r w:rsidRPr="008F22A0">
        <w:rPr>
          <w:rFonts w:ascii="Times New Roman" w:hAnsi="Times New Roman"/>
          <w:u w:val="single"/>
        </w:rPr>
        <w:t>Instruktioner för specifika positioner</w:t>
      </w:r>
      <w:bookmarkEnd w:id="89"/>
      <w:bookmarkEnd w:id="9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A4EBC05" w14:textId="77777777">
        <w:tc>
          <w:tcPr>
            <w:tcW w:w="1129" w:type="dxa"/>
            <w:shd w:val="clear" w:color="auto" w:fill="D9D9D9"/>
          </w:tcPr>
          <w:p w14:paraId="3D21A90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4F5E28C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2BBF3D75" w14:textId="77777777">
        <w:tc>
          <w:tcPr>
            <w:tcW w:w="1129" w:type="dxa"/>
            <w:tcBorders>
              <w:bottom w:val="single" w:sz="4" w:space="0" w:color="auto"/>
            </w:tcBorders>
          </w:tcPr>
          <w:p w14:paraId="698FFD5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3F686D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CMH – Separerade konton (genomsnittliga belopp)</w:t>
            </w:r>
          </w:p>
          <w:p w14:paraId="339F9B3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4.1.28 och 4.1.49 i förordning (EU) 2019/2033 och </w:t>
            </w:r>
            <w:r w:rsidRPr="008F22A0">
              <w:rPr>
                <w:rFonts w:ascii="Times New Roman" w:hAnsi="Times New Roman"/>
              </w:rPr>
              <w:t>artikel 1 i tekniska tillsynsstandarder om definitionen av separerade konton (artikel 15.5 b i förordning (EU) 2019/2033).</w:t>
            </w:r>
          </w:p>
          <w:p w14:paraId="0D12F7F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värde som anges ska vara det aritmetiska medelvärdet av värdena för CMH per dag där kundmedel hålls på separerade konton i enligh</w:t>
            </w:r>
            <w:r w:rsidRPr="008F22A0">
              <w:rPr>
                <w:rFonts w:ascii="Times New Roman" w:hAnsi="Times New Roman"/>
              </w:rPr>
              <w:t>et med artikel 18.1 första stycket i förordning (EU) 2019/2033.</w:t>
            </w:r>
          </w:p>
        </w:tc>
      </w:tr>
      <w:tr w:rsidR="00E20575" w:rsidRPr="008F22A0" w14:paraId="71459DEF" w14:textId="77777777">
        <w:tc>
          <w:tcPr>
            <w:tcW w:w="1129" w:type="dxa"/>
            <w:tcBorders>
              <w:top w:val="single" w:sz="4" w:space="0" w:color="auto"/>
              <w:bottom w:val="single" w:sz="4" w:space="0" w:color="auto"/>
            </w:tcBorders>
          </w:tcPr>
          <w:p w14:paraId="62A587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35E267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CMH – Icke-separerade konton (genomsnittliga belopp)</w:t>
            </w:r>
          </w:p>
          <w:p w14:paraId="4DF64FE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4.1.28 och 4.1.49 i förordning (EU) 2019/2033.</w:t>
            </w:r>
          </w:p>
          <w:p w14:paraId="7D639B3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Det värde som anges ska vara det aritmetiska medelvärdet av värdena för CMH per dag där kundmedel </w:t>
            </w:r>
            <w:r w:rsidRPr="008F22A0">
              <w:rPr>
                <w:rFonts w:ascii="Times New Roman" w:hAnsi="Times New Roman"/>
                <w:u w:val="single"/>
              </w:rPr>
              <w:t>inte hålls</w:t>
            </w:r>
            <w:r w:rsidRPr="008F22A0">
              <w:rPr>
                <w:rFonts w:ascii="Times New Roman" w:hAnsi="Times New Roman"/>
              </w:rPr>
              <w:t xml:space="preserve"> på separerade konton i enlighet med artikel 18.1 första stycket i förordning (EU) 2019/2033.</w:t>
            </w:r>
          </w:p>
        </w:tc>
      </w:tr>
    </w:tbl>
    <w:p w14:paraId="16C8D2D6"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BDC4C29" w14:textId="77777777">
        <w:tc>
          <w:tcPr>
            <w:tcW w:w="1129" w:type="dxa"/>
            <w:shd w:val="clear" w:color="auto" w:fill="D9D9D9"/>
          </w:tcPr>
          <w:p w14:paraId="314D1CB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765311B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002DDCA0" w14:textId="77777777">
        <w:tc>
          <w:tcPr>
            <w:tcW w:w="1129" w:type="dxa"/>
          </w:tcPr>
          <w:p w14:paraId="7D62AC4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4D7791C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w:t>
            </w:r>
          </w:p>
          <w:p w14:paraId="7F2080D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CMH för slutet av den tredje månaden (dvs. den senaste) i det kvartal som rapporten avser.</w:t>
            </w:r>
          </w:p>
          <w:p w14:paraId="1CFBBA7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Detta belopp beräknas som det aritmetiska medelvärdet av beloppen per dag inom den tidsperiod som anges i artikel 18.1 i förordning (EU) </w:t>
            </w:r>
            <w:r w:rsidRPr="008F22A0">
              <w:rPr>
                <w:rFonts w:ascii="Times New Roman" w:hAnsi="Times New Roman"/>
              </w:rPr>
              <w:t>2019/2033.</w:t>
            </w:r>
          </w:p>
        </w:tc>
      </w:tr>
      <w:tr w:rsidR="00E20575" w:rsidRPr="008F22A0" w14:paraId="4FA2D156" w14:textId="77777777">
        <w:tc>
          <w:tcPr>
            <w:tcW w:w="1129" w:type="dxa"/>
          </w:tcPr>
          <w:p w14:paraId="7A7594BA"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0020</w:t>
            </w:r>
          </w:p>
        </w:tc>
        <w:tc>
          <w:tcPr>
            <w:tcW w:w="7620" w:type="dxa"/>
          </w:tcPr>
          <w:p w14:paraId="0BD7A307" w14:textId="77777777" w:rsidR="00E20575" w:rsidRPr="008F22A0" w:rsidRDefault="008F22A0">
            <w:pPr>
              <w:spacing w:after="120" w:line="240" w:lineRule="auto"/>
              <w:jc w:val="both"/>
              <w:rPr>
                <w:rFonts w:ascii="Times New Roman" w:eastAsia="Times New Roman" w:hAnsi="Times New Roman" w:cs="Times New Roman"/>
                <w:b/>
                <w:bCs/>
                <w:sz w:val="24"/>
                <w:szCs w:val="24"/>
                <w:u w:val="single"/>
              </w:rPr>
            </w:pPr>
            <w:r w:rsidRPr="008F22A0">
              <w:rPr>
                <w:rFonts w:ascii="Times New Roman" w:hAnsi="Times New Roman"/>
                <w:b/>
                <w:sz w:val="24"/>
                <w:u w:val="single"/>
              </w:rPr>
              <w:t>Faktorbelopp – månad t-1</w:t>
            </w:r>
          </w:p>
          <w:p w14:paraId="6A96045B"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CMH för slutet av den andra månaden i det kvartal som redovisningen avser.</w:t>
            </w:r>
          </w:p>
          <w:p w14:paraId="1831F579" w14:textId="77777777" w:rsidR="00E20575" w:rsidRPr="008F22A0" w:rsidRDefault="008F22A0">
            <w:pPr>
              <w:spacing w:after="120" w:line="240" w:lineRule="auto"/>
              <w:jc w:val="both"/>
              <w:rPr>
                <w:rFonts w:ascii="Times New Roman" w:eastAsia="Times New Roman" w:hAnsi="Times New Roman" w:cs="Times New Roman"/>
                <w:b/>
                <w:bCs/>
                <w:sz w:val="24"/>
                <w:szCs w:val="24"/>
                <w:u w:val="single"/>
              </w:rPr>
            </w:pPr>
            <w:r w:rsidRPr="008F22A0">
              <w:rPr>
                <w:rFonts w:ascii="Times New Roman" w:hAnsi="Times New Roman"/>
                <w:sz w:val="24"/>
              </w:rPr>
              <w:t>Detta belopp beräknas som det aritmetiska medelvärdet av beloppen per dag inom den tidsperiod som anges i artikel 18.1 i förordning (EU) 20</w:t>
            </w:r>
            <w:r w:rsidRPr="008F22A0">
              <w:rPr>
                <w:rFonts w:ascii="Times New Roman" w:hAnsi="Times New Roman"/>
                <w:sz w:val="24"/>
              </w:rPr>
              <w:t>19/2033.</w:t>
            </w:r>
          </w:p>
        </w:tc>
      </w:tr>
      <w:tr w:rsidR="00E20575" w:rsidRPr="008F22A0" w14:paraId="5FDE3820" w14:textId="77777777">
        <w:tc>
          <w:tcPr>
            <w:tcW w:w="1129" w:type="dxa"/>
          </w:tcPr>
          <w:p w14:paraId="3445BACB"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0030</w:t>
            </w:r>
          </w:p>
        </w:tc>
        <w:tc>
          <w:tcPr>
            <w:tcW w:w="7620" w:type="dxa"/>
          </w:tcPr>
          <w:p w14:paraId="721BBC75" w14:textId="77777777" w:rsidR="00E20575" w:rsidRPr="008F22A0" w:rsidRDefault="008F22A0">
            <w:pPr>
              <w:spacing w:after="120" w:line="240" w:lineRule="auto"/>
              <w:jc w:val="both"/>
              <w:rPr>
                <w:rFonts w:ascii="Times New Roman" w:eastAsia="Times New Roman" w:hAnsi="Times New Roman" w:cs="Times New Roman"/>
                <w:b/>
                <w:bCs/>
                <w:sz w:val="24"/>
                <w:szCs w:val="24"/>
                <w:u w:val="single"/>
              </w:rPr>
            </w:pPr>
            <w:r w:rsidRPr="008F22A0">
              <w:rPr>
                <w:rFonts w:ascii="Times New Roman" w:hAnsi="Times New Roman"/>
                <w:b/>
                <w:sz w:val="24"/>
                <w:u w:val="single"/>
              </w:rPr>
              <w:t>Faktorbelopp – månad t-2</w:t>
            </w:r>
          </w:p>
          <w:p w14:paraId="2D19D5FB" w14:textId="77777777" w:rsidR="00E20575" w:rsidRPr="008F22A0" w:rsidRDefault="008F22A0">
            <w:pPr>
              <w:spacing w:after="120" w:line="240" w:lineRule="auto"/>
              <w:jc w:val="both"/>
              <w:rPr>
                <w:rFonts w:ascii="Times New Roman" w:eastAsia="Times New Roman" w:hAnsi="Times New Roman" w:cs="Times New Roman"/>
                <w:bCs/>
                <w:sz w:val="24"/>
                <w:szCs w:val="24"/>
              </w:rPr>
            </w:pPr>
            <w:r w:rsidRPr="008F22A0">
              <w:rPr>
                <w:rFonts w:ascii="Times New Roman" w:hAnsi="Times New Roman"/>
                <w:sz w:val="24"/>
              </w:rPr>
              <w:t>CMH för slutet av den första månaden i det kvartal som redovisningen avser.</w:t>
            </w:r>
          </w:p>
          <w:p w14:paraId="5332D33A" w14:textId="77777777" w:rsidR="00E20575" w:rsidRPr="008F22A0" w:rsidRDefault="008F22A0">
            <w:pPr>
              <w:spacing w:after="120" w:line="240" w:lineRule="auto"/>
              <w:jc w:val="both"/>
              <w:rPr>
                <w:rFonts w:ascii="Times New Roman" w:eastAsia="Times New Roman" w:hAnsi="Times New Roman" w:cs="Times New Roman"/>
                <w:b/>
                <w:bCs/>
                <w:sz w:val="24"/>
                <w:szCs w:val="24"/>
                <w:u w:val="single"/>
              </w:rPr>
            </w:pPr>
            <w:r w:rsidRPr="008F22A0">
              <w:rPr>
                <w:rFonts w:ascii="Times New Roman" w:hAnsi="Times New Roman"/>
                <w:sz w:val="24"/>
              </w:rPr>
              <w:t xml:space="preserve">Detta belopp beräknas som det aritmetiska medelvärdet av beloppen per dag inom den tidsperiod som anges i artikel 18.1 i </w:t>
            </w:r>
            <w:r w:rsidRPr="008F22A0">
              <w:rPr>
                <w:rFonts w:ascii="Times New Roman" w:hAnsi="Times New Roman"/>
                <w:sz w:val="24"/>
              </w:rPr>
              <w:t>förordning (EU) 2019/2033.</w:t>
            </w:r>
          </w:p>
        </w:tc>
      </w:tr>
    </w:tbl>
    <w:p w14:paraId="6B1C1E94"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91" w:name="_Toc76556804"/>
      <w:bookmarkStart w:id="92" w:name="_Toc88220451"/>
      <w:r w:rsidRPr="008F22A0">
        <w:rPr>
          <w:rFonts w:ascii="Times New Roman" w:hAnsi="Times New Roman"/>
          <w:sz w:val="24"/>
          <w:u w:val="single"/>
        </w:rPr>
        <w:t>3.5. I 06.04 – GENOMSNITTLIGT VÄRDE AV DET TOTALA INNEHAVET AV KUNDMEDEL PER DAG (I 6.4)</w:t>
      </w:r>
      <w:bookmarkEnd w:id="91"/>
      <w:bookmarkEnd w:id="92"/>
    </w:p>
    <w:p w14:paraId="30CE16BE"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u w:val="single"/>
        </w:rPr>
      </w:pPr>
      <w:bookmarkStart w:id="93" w:name="_Toc76556805"/>
      <w:bookmarkStart w:id="94" w:name="_Toc88220452"/>
      <w:r w:rsidRPr="008F22A0">
        <w:rPr>
          <w:rFonts w:ascii="Times New Roman" w:hAnsi="Times New Roman"/>
          <w:sz w:val="24"/>
        </w:rPr>
        <w:t>3.5.1</w:t>
      </w:r>
      <w:r w:rsidRPr="008F22A0">
        <w:rPr>
          <w:rFonts w:ascii="Times New Roman" w:hAnsi="Times New Roman"/>
          <w:sz w:val="24"/>
        </w:rPr>
        <w:tab/>
      </w:r>
      <w:r w:rsidRPr="008F22A0">
        <w:rPr>
          <w:rFonts w:ascii="Times New Roman" w:hAnsi="Times New Roman"/>
          <w:u w:val="single"/>
        </w:rPr>
        <w:t>Instruktioner för specifika positioner</w:t>
      </w:r>
      <w:bookmarkEnd w:id="93"/>
      <w:bookmarkEnd w:id="9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593CF718" w14:textId="77777777">
        <w:tc>
          <w:tcPr>
            <w:tcW w:w="1129" w:type="dxa"/>
            <w:shd w:val="clear" w:color="auto" w:fill="D9D9D9"/>
          </w:tcPr>
          <w:p w14:paraId="6D4B3DF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7A95A08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16912719" w14:textId="77777777">
        <w:tc>
          <w:tcPr>
            <w:tcW w:w="1129" w:type="dxa"/>
            <w:tcBorders>
              <w:bottom w:val="single" w:sz="4" w:space="0" w:color="auto"/>
            </w:tcBorders>
          </w:tcPr>
          <w:p w14:paraId="12E044A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0B5F0C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 xml:space="preserve">Totalt innehav av kundmedel per dag - på </w:t>
            </w:r>
            <w:r w:rsidRPr="008F22A0">
              <w:rPr>
                <w:rFonts w:ascii="Times New Roman" w:hAnsi="Times New Roman"/>
                <w:b/>
                <w:u w:val="single"/>
              </w:rPr>
              <w:t>separerade konton</w:t>
            </w:r>
          </w:p>
          <w:p w14:paraId="1EE34B7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4.1.28 och 4.1.49 i förordning (EU) 2019/2033 och tekniska tillsynsstandarder om definitionen av separerade konton (artikel 15.5 b i förordning (EU) 2019/2033).</w:t>
            </w:r>
          </w:p>
          <w:p w14:paraId="10D355D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värde som anges ska vara genomsnittet per månad av det totala inn</w:t>
            </w:r>
            <w:r w:rsidRPr="008F22A0">
              <w:rPr>
                <w:rFonts w:ascii="Times New Roman" w:hAnsi="Times New Roman"/>
              </w:rPr>
              <w:t xml:space="preserve">ehavet av kundmedel per dag där kundmedel </w:t>
            </w:r>
            <w:r w:rsidRPr="008F22A0">
              <w:rPr>
                <w:rFonts w:ascii="Times New Roman" w:hAnsi="Times New Roman"/>
                <w:u w:val="single"/>
              </w:rPr>
              <w:t>hålls</w:t>
            </w:r>
            <w:r w:rsidRPr="008F22A0">
              <w:rPr>
                <w:rFonts w:ascii="Times New Roman" w:hAnsi="Times New Roman"/>
              </w:rPr>
              <w:t xml:space="preserve"> på separerade konton i enlighet med artikel 18.1 i förordning (EU) 2019/2033.</w:t>
            </w:r>
          </w:p>
        </w:tc>
      </w:tr>
      <w:tr w:rsidR="00E20575" w:rsidRPr="008F22A0" w14:paraId="1C787DEE" w14:textId="77777777">
        <w:tc>
          <w:tcPr>
            <w:tcW w:w="1129" w:type="dxa"/>
            <w:tcBorders>
              <w:top w:val="single" w:sz="4" w:space="0" w:color="auto"/>
              <w:bottom w:val="single" w:sz="4" w:space="0" w:color="auto"/>
            </w:tcBorders>
          </w:tcPr>
          <w:p w14:paraId="5995A59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FDDAC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Totalt innehav av kundmedel per dag - icke separerade konton</w:t>
            </w:r>
          </w:p>
          <w:p w14:paraId="11BF177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4.1.28 och 4.1.49 i förordning (EU) </w:t>
            </w:r>
            <w:r w:rsidRPr="008F22A0">
              <w:rPr>
                <w:rFonts w:ascii="Times New Roman" w:hAnsi="Times New Roman"/>
              </w:rPr>
              <w:t>2019/2033.</w:t>
            </w:r>
          </w:p>
          <w:p w14:paraId="6AF38D1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Det värde som anges ska vara genomsnittet per månad av det totala innehavet av kundmedel per dag där kundmedel </w:t>
            </w:r>
            <w:r w:rsidRPr="008F22A0">
              <w:rPr>
                <w:rFonts w:ascii="Times New Roman" w:hAnsi="Times New Roman"/>
                <w:u w:val="single"/>
              </w:rPr>
              <w:t>inte hålls</w:t>
            </w:r>
            <w:r w:rsidRPr="008F22A0">
              <w:rPr>
                <w:rFonts w:ascii="Times New Roman" w:hAnsi="Times New Roman"/>
              </w:rPr>
              <w:t xml:space="preserve"> på separerade konton i enlighet med artikel 18.1 i förordning (EU) 2019/2033.</w:t>
            </w:r>
          </w:p>
        </w:tc>
      </w:tr>
    </w:tbl>
    <w:p w14:paraId="5583CD88" w14:textId="77777777" w:rsidR="00E20575" w:rsidRPr="008F22A0" w:rsidRDefault="00E20575">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4F373021" w14:textId="77777777">
        <w:tc>
          <w:tcPr>
            <w:tcW w:w="1129" w:type="dxa"/>
            <w:shd w:val="clear" w:color="auto" w:fill="D9D9D9"/>
          </w:tcPr>
          <w:p w14:paraId="3C70AB7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496F55B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w:t>
            </w:r>
            <w:r w:rsidRPr="008F22A0">
              <w:rPr>
                <w:rFonts w:ascii="Times New Roman" w:hAnsi="Times New Roman"/>
              </w:rPr>
              <w:t>tioner</w:t>
            </w:r>
          </w:p>
        </w:tc>
      </w:tr>
      <w:tr w:rsidR="00E20575" w:rsidRPr="008F22A0" w14:paraId="3D870054" w14:textId="77777777">
        <w:tc>
          <w:tcPr>
            <w:tcW w:w="1129" w:type="dxa"/>
          </w:tcPr>
          <w:p w14:paraId="133E511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0010–0080</w:t>
            </w:r>
          </w:p>
        </w:tc>
        <w:tc>
          <w:tcPr>
            <w:tcW w:w="7620" w:type="dxa"/>
          </w:tcPr>
          <w:p w14:paraId="58BA60F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Genomsnittligt värde per månad av det totala innehavet av kundmedel per dag</w:t>
            </w:r>
          </w:p>
          <w:p w14:paraId="0126834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 ska varje månad redovisa det genomsnittliga värdet av de totala innehavda kundmedlen per dag, mätt i slutet av varje bankdag i </w:t>
            </w:r>
            <w:r w:rsidRPr="008F22A0">
              <w:rPr>
                <w:rFonts w:ascii="Times New Roman" w:hAnsi="Times New Roman"/>
              </w:rPr>
              <w:t>enlighet med artikel 18.1 i förordning (EU) 2019/2033.</w:t>
            </w:r>
          </w:p>
        </w:tc>
      </w:tr>
    </w:tbl>
    <w:p w14:paraId="7F245F91" w14:textId="77777777" w:rsidR="00E20575" w:rsidRPr="008F22A0" w:rsidRDefault="00E20575">
      <w:pPr>
        <w:keepNext/>
        <w:spacing w:before="240" w:after="240" w:line="240" w:lineRule="auto"/>
        <w:jc w:val="both"/>
        <w:outlineLvl w:val="1"/>
        <w:rPr>
          <w:rFonts w:ascii="Times New Roman" w:eastAsia="Arial" w:hAnsi="Times New Roman" w:cs="Times New Roman"/>
          <w:u w:val="single"/>
        </w:rPr>
      </w:pPr>
    </w:p>
    <w:p w14:paraId="31734D2A"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95" w:name="_Toc76556806"/>
      <w:bookmarkStart w:id="96" w:name="_Toc88220453"/>
      <w:r w:rsidRPr="008F22A0">
        <w:rPr>
          <w:rFonts w:ascii="Times New Roman" w:hAnsi="Times New Roman"/>
          <w:sz w:val="24"/>
          <w:u w:val="single"/>
        </w:rPr>
        <w:t>3.6. I 06.05 – TILLGÅNGAR UNDER FÖRVARING OCH ADMINISTRATION – YTTERLIGARE UPPGIFTER (I 6.5)</w:t>
      </w:r>
      <w:bookmarkEnd w:id="95"/>
      <w:bookmarkEnd w:id="96"/>
    </w:p>
    <w:p w14:paraId="2F64181B" w14:textId="77777777" w:rsidR="00E20575" w:rsidRPr="008F22A0" w:rsidRDefault="008F22A0">
      <w:pPr>
        <w:keepNext/>
        <w:spacing w:before="240" w:after="240" w:line="240" w:lineRule="auto"/>
        <w:ind w:left="357" w:hanging="357"/>
        <w:jc w:val="both"/>
        <w:outlineLvl w:val="1"/>
      </w:pPr>
      <w:bookmarkStart w:id="97" w:name="_Toc76556807"/>
      <w:bookmarkStart w:id="98" w:name="_Toc88220454"/>
      <w:r w:rsidRPr="008F22A0">
        <w:rPr>
          <w:rFonts w:ascii="Times New Roman" w:hAnsi="Times New Roman"/>
          <w:sz w:val="24"/>
        </w:rPr>
        <w:t>3.6.1</w:t>
      </w:r>
      <w:r w:rsidRPr="008F22A0">
        <w:rPr>
          <w:rFonts w:ascii="Times New Roman" w:hAnsi="Times New Roman"/>
          <w:sz w:val="24"/>
        </w:rPr>
        <w:tab/>
      </w:r>
      <w:r w:rsidRPr="008F22A0">
        <w:rPr>
          <w:rFonts w:ascii="Times New Roman" w:hAnsi="Times New Roman"/>
        </w:rPr>
        <w:t>Instruktioner för specifika positioner</w:t>
      </w:r>
      <w:bookmarkEnd w:id="97"/>
      <w:bookmarkEnd w:id="9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D6749DD" w14:textId="77777777">
        <w:tc>
          <w:tcPr>
            <w:tcW w:w="1129" w:type="dxa"/>
            <w:shd w:val="clear" w:color="auto" w:fill="D9D9D9"/>
          </w:tcPr>
          <w:p w14:paraId="2DFD811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714E8C3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6130A400" w14:textId="77777777">
        <w:tc>
          <w:tcPr>
            <w:tcW w:w="1129" w:type="dxa"/>
          </w:tcPr>
          <w:p w14:paraId="2E89A29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12F45B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Totalt ASA (genomsnittliga belopp)</w:t>
            </w:r>
          </w:p>
          <w:p w14:paraId="3D921C3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4.1.29 i förordning (EU) 2019/2033.</w:t>
            </w:r>
          </w:p>
          <w:p w14:paraId="2950BCA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5.1 i tekniska tillsynsstandarder för att specificera metoderna för att mäta K-faktorerna (artikel 15.5 a i förordning (EU) 2019/2033).</w:t>
            </w:r>
          </w:p>
          <w:p w14:paraId="19620A4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Totalt ASA-värde som ett glidande medelvärde av värdet av de totala tillgångarna under förvaring och administration per dag, fastställt i slutet av varje bankdag under de föregående nio månaderna, exklusive de tre närmast föregående månaderna i enlighet me</w:t>
            </w:r>
            <w:r w:rsidRPr="008F22A0">
              <w:rPr>
                <w:rFonts w:ascii="Times New Roman" w:hAnsi="Times New Roman"/>
              </w:rPr>
              <w:t xml:space="preserve">d artikel 19.1 första stycket i förordning (EU) 2019/2033. </w:t>
            </w:r>
          </w:p>
        </w:tc>
      </w:tr>
      <w:tr w:rsidR="00E20575" w:rsidRPr="008F22A0" w14:paraId="6A17BA18" w14:textId="77777777">
        <w:tc>
          <w:tcPr>
            <w:tcW w:w="1129" w:type="dxa"/>
            <w:tcBorders>
              <w:bottom w:val="single" w:sz="4" w:space="0" w:color="auto"/>
            </w:tcBorders>
          </w:tcPr>
          <w:p w14:paraId="221070E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C87D7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Varav: Verkligt värde för finansiella instrument (Nivå 2)</w:t>
            </w:r>
          </w:p>
          <w:p w14:paraId="05827B3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5.1 a i tekniska tillsynsstandarder för att specificera metoderna för att mäta K-faktorerna (artikel 15.5 a i </w:t>
            </w:r>
            <w:r w:rsidRPr="008F22A0">
              <w:rPr>
                <w:rFonts w:ascii="Times New Roman" w:hAnsi="Times New Roman"/>
              </w:rPr>
              <w:t>förordning (EU) 2019/2033).</w:t>
            </w:r>
          </w:p>
          <w:p w14:paraId="79BD3142" w14:textId="77777777" w:rsidR="00E20575" w:rsidRPr="008F22A0" w:rsidRDefault="008F22A0">
            <w:pPr>
              <w:autoSpaceDE w:val="0"/>
              <w:autoSpaceDN w:val="0"/>
              <w:spacing w:after="0" w:line="240" w:lineRule="auto"/>
              <w:rPr>
                <w:rFonts w:ascii="Times New Roman" w:eastAsia="Times New Roman" w:hAnsi="Times New Roman" w:cs="Times New Roman"/>
                <w:bCs/>
                <w:i/>
              </w:rPr>
            </w:pPr>
            <w:r w:rsidRPr="008F22A0">
              <w:rPr>
                <w:rFonts w:ascii="Times New Roman" w:hAnsi="Times New Roman"/>
              </w:rPr>
              <w:t>Finansiella instrument på nivå 2 värderade enligt IFRS 13.81.</w:t>
            </w:r>
          </w:p>
        </w:tc>
      </w:tr>
      <w:tr w:rsidR="00E20575" w:rsidRPr="008F22A0" w14:paraId="4B7A6D11" w14:textId="77777777">
        <w:tc>
          <w:tcPr>
            <w:tcW w:w="1129" w:type="dxa"/>
            <w:tcBorders>
              <w:bottom w:val="single" w:sz="4" w:space="0" w:color="auto"/>
            </w:tcBorders>
          </w:tcPr>
          <w:p w14:paraId="2B4B142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5098B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Verkligt värde för finansiella instrument (Nivå 3)</w:t>
            </w:r>
          </w:p>
          <w:p w14:paraId="00FFBD6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5.1 a i tekniska tillsynsstandarder för att specificera metoderna för att mäta </w:t>
            </w:r>
            <w:r w:rsidRPr="008F22A0">
              <w:rPr>
                <w:rFonts w:ascii="Times New Roman" w:hAnsi="Times New Roman"/>
              </w:rPr>
              <w:t>K-faktorerna (artikel 15.5 a i förordning (EU) 2019/2033).</w:t>
            </w:r>
          </w:p>
          <w:p w14:paraId="6E1234A4" w14:textId="77777777" w:rsidR="00E20575" w:rsidRPr="008F22A0" w:rsidRDefault="008F22A0">
            <w:pPr>
              <w:autoSpaceDE w:val="0"/>
              <w:autoSpaceDN w:val="0"/>
              <w:spacing w:after="0" w:line="240" w:lineRule="auto"/>
            </w:pPr>
            <w:r w:rsidRPr="008F22A0">
              <w:rPr>
                <w:rFonts w:ascii="Times New Roman" w:hAnsi="Times New Roman"/>
              </w:rPr>
              <w:t>Värdering baserad på icke observerbara indata med användning av bästa tillgängliga information enligt IFRS 13.86.</w:t>
            </w:r>
          </w:p>
        </w:tc>
      </w:tr>
      <w:tr w:rsidR="00E20575" w:rsidRPr="008F22A0" w14:paraId="6B45E85D" w14:textId="77777777">
        <w:tc>
          <w:tcPr>
            <w:tcW w:w="1129" w:type="dxa"/>
            <w:tcBorders>
              <w:top w:val="single" w:sz="4" w:space="0" w:color="auto"/>
              <w:bottom w:val="single" w:sz="4" w:space="0" w:color="auto"/>
            </w:tcBorders>
          </w:tcPr>
          <w:p w14:paraId="32B7035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208C6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Tillgångar som formellt har delegerats till en annan finansiell enhet</w:t>
            </w:r>
          </w:p>
          <w:p w14:paraId="15B8B8A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19.2 i förordning (EU) 2019/2033.</w:t>
            </w:r>
          </w:p>
          <w:p w14:paraId="6A91827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Värdet av tillgångar vars förvaring och administration formellt har delegerats till en annan finansiell enhet som ett aritmetiskt medelvärde i enlighet med artikel 19.1 första stycket i förordning (EU) 2019/2033.</w:t>
            </w:r>
          </w:p>
        </w:tc>
      </w:tr>
      <w:tr w:rsidR="00E20575" w:rsidRPr="008F22A0" w14:paraId="4321F718" w14:textId="77777777">
        <w:tc>
          <w:tcPr>
            <w:tcW w:w="1129" w:type="dxa"/>
            <w:tcBorders>
              <w:top w:val="single" w:sz="4" w:space="0" w:color="auto"/>
            </w:tcBorders>
          </w:tcPr>
          <w:p w14:paraId="73F0244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EACB89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Tillgångar i en annan finansiell enhet som formellt har delegerats till värdepappersföretaget</w:t>
            </w:r>
          </w:p>
          <w:p w14:paraId="2332825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19.2 i förordning (EU) 2019/2033.</w:t>
            </w:r>
          </w:p>
          <w:p w14:paraId="63BF761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Värdet av tillgångar i en annan finansiell enhet som formellt har delegerat förvaring och administration ti</w:t>
            </w:r>
            <w:r w:rsidRPr="008F22A0">
              <w:rPr>
                <w:rFonts w:ascii="Times New Roman" w:hAnsi="Times New Roman"/>
              </w:rPr>
              <w:t>ll värdepappersföretaget som ett aritmetiskt medelvärde i enlighet med artikel 19.1 första stycket i förordning (EU) 2019/2033.</w:t>
            </w:r>
          </w:p>
        </w:tc>
      </w:tr>
    </w:tbl>
    <w:p w14:paraId="09112A0A"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4F51E04" w14:textId="77777777">
        <w:tc>
          <w:tcPr>
            <w:tcW w:w="1129" w:type="dxa"/>
            <w:shd w:val="clear" w:color="auto" w:fill="D9D9D9"/>
          </w:tcPr>
          <w:p w14:paraId="72867EB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2CB7744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5948FA7D" w14:textId="77777777">
        <w:tc>
          <w:tcPr>
            <w:tcW w:w="1129" w:type="dxa"/>
          </w:tcPr>
          <w:p w14:paraId="1A8D3ED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37B0B19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w:t>
            </w:r>
          </w:p>
          <w:p w14:paraId="1099045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ASA för slutet av den tredje månaden (dvs. </w:t>
            </w:r>
            <w:r w:rsidRPr="008F22A0">
              <w:rPr>
                <w:rFonts w:ascii="Times New Roman" w:hAnsi="Times New Roman"/>
              </w:rPr>
              <w:t>den senaste) i det kvartal som redovisningen avser.</w:t>
            </w:r>
          </w:p>
        </w:tc>
      </w:tr>
      <w:tr w:rsidR="00E20575" w:rsidRPr="008F22A0" w14:paraId="4DF933B4" w14:textId="77777777">
        <w:tc>
          <w:tcPr>
            <w:tcW w:w="1129" w:type="dxa"/>
          </w:tcPr>
          <w:p w14:paraId="5FBE68A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26C2717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t-1</w:t>
            </w:r>
          </w:p>
          <w:p w14:paraId="0C87BA0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ASA för slutet av den andra månaden i det kvartal som redovisningen avser.</w:t>
            </w:r>
          </w:p>
        </w:tc>
      </w:tr>
      <w:tr w:rsidR="00E20575" w:rsidRPr="008F22A0" w14:paraId="68981B10" w14:textId="77777777">
        <w:tc>
          <w:tcPr>
            <w:tcW w:w="1129" w:type="dxa"/>
          </w:tcPr>
          <w:p w14:paraId="6C4155F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218B827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Faktorbelopp – månad t-2</w:t>
            </w:r>
          </w:p>
          <w:p w14:paraId="0019608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ASA för slutet av den första månaden i det kvartal som redovisninge</w:t>
            </w:r>
            <w:r w:rsidRPr="008F22A0">
              <w:rPr>
                <w:rFonts w:ascii="Times New Roman" w:hAnsi="Times New Roman"/>
              </w:rPr>
              <w:t>n avser.</w:t>
            </w:r>
          </w:p>
        </w:tc>
      </w:tr>
    </w:tbl>
    <w:p w14:paraId="2E532BBA"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99" w:name="_Toc76556808"/>
      <w:bookmarkStart w:id="100" w:name="_Toc88220455"/>
      <w:r w:rsidRPr="008F22A0">
        <w:rPr>
          <w:rFonts w:ascii="Times New Roman" w:hAnsi="Times New Roman"/>
          <w:sz w:val="24"/>
          <w:u w:val="single"/>
        </w:rPr>
        <w:t>3.7. I 06.06 – GENOMSNITTLIGT VÄRDE AV DE TOTALA TILLGÅNGARNA UNDER FÖRVARING OCH ADMINISTRATION PER DAG (I 6.6)</w:t>
      </w:r>
      <w:bookmarkEnd w:id="99"/>
      <w:bookmarkEnd w:id="100"/>
    </w:p>
    <w:p w14:paraId="47C149CC"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01" w:name="_Toc76556809"/>
      <w:bookmarkStart w:id="102" w:name="_Toc88220456"/>
      <w:r w:rsidRPr="008F22A0">
        <w:rPr>
          <w:rFonts w:ascii="Times New Roman" w:hAnsi="Times New Roman"/>
          <w:sz w:val="24"/>
        </w:rPr>
        <w:t>3.7.1</w:t>
      </w:r>
      <w:r w:rsidRPr="008F22A0">
        <w:rPr>
          <w:rFonts w:ascii="Times New Roman" w:hAnsi="Times New Roman"/>
          <w:sz w:val="24"/>
        </w:rPr>
        <w:tab/>
      </w:r>
      <w:r w:rsidRPr="008F22A0">
        <w:rPr>
          <w:rFonts w:ascii="Times New Roman" w:hAnsi="Times New Roman"/>
          <w:sz w:val="24"/>
          <w:u w:val="single"/>
        </w:rPr>
        <w:t>Instruktioner för specifika positioner</w:t>
      </w:r>
      <w:bookmarkEnd w:id="101"/>
      <w:bookmarkEnd w:id="10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16FE61D" w14:textId="77777777">
        <w:tc>
          <w:tcPr>
            <w:tcW w:w="1129" w:type="dxa"/>
            <w:shd w:val="clear" w:color="auto" w:fill="D9D9D9"/>
          </w:tcPr>
          <w:p w14:paraId="5D38FF0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6E9CD3A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78415A25" w14:textId="77777777">
        <w:tc>
          <w:tcPr>
            <w:tcW w:w="1129" w:type="dxa"/>
          </w:tcPr>
          <w:p w14:paraId="0CDBAE8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2C3D35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Tillgångar under förvaring och </w:t>
            </w:r>
            <w:r w:rsidRPr="008F22A0">
              <w:rPr>
                <w:rFonts w:ascii="Times New Roman" w:hAnsi="Times New Roman"/>
                <w:b/>
                <w:u w:val="single"/>
              </w:rPr>
              <w:t>administration</w:t>
            </w:r>
          </w:p>
          <w:p w14:paraId="0D8F064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4.1.29 i förordning (EU) 2019/2033.</w:t>
            </w:r>
          </w:p>
          <w:p w14:paraId="42F06D3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5.1 i tekniska tillsynsstandarder för att specificera metoderna för att mäta K-faktorerna (artikel 15.5 a i förordning (EU) 2019/2033).</w:t>
            </w:r>
          </w:p>
          <w:p w14:paraId="1C9AC34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värde som anges ska vara genomsnittet per månad a</w:t>
            </w:r>
            <w:r w:rsidRPr="008F22A0">
              <w:rPr>
                <w:rFonts w:ascii="Times New Roman" w:hAnsi="Times New Roman"/>
              </w:rPr>
              <w:t>v de totala tillgångarna under förvaring och administration per dag i enlighet med artikel 19.1 i förordning (EU) 2019/2033.</w:t>
            </w:r>
          </w:p>
        </w:tc>
      </w:tr>
      <w:tr w:rsidR="00E20575" w:rsidRPr="008F22A0" w14:paraId="13392CB8" w14:textId="77777777">
        <w:tc>
          <w:tcPr>
            <w:tcW w:w="1129" w:type="dxa"/>
            <w:tcBorders>
              <w:bottom w:val="single" w:sz="4" w:space="0" w:color="auto"/>
            </w:tcBorders>
          </w:tcPr>
          <w:p w14:paraId="7E2C2CD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C1D1A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Verkligt värde för finansiella instrument (Nivå 2)</w:t>
            </w:r>
          </w:p>
          <w:p w14:paraId="4994FCD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5.2 i tekniska tillsynsstandarder för att </w:t>
            </w:r>
            <w:r w:rsidRPr="008F22A0">
              <w:rPr>
                <w:rFonts w:ascii="Times New Roman" w:hAnsi="Times New Roman"/>
              </w:rPr>
              <w:t>specificera metoderna för att mäta K-faktorerna (artikel 15.5 a i förordning (EU) 2019/2033).</w:t>
            </w:r>
          </w:p>
          <w:p w14:paraId="73B5743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Finansiella instrument på nivå 2 värderade enligt IFRS 13.81.</w:t>
            </w:r>
          </w:p>
        </w:tc>
      </w:tr>
      <w:tr w:rsidR="00E20575" w:rsidRPr="008F22A0" w14:paraId="38997D5D" w14:textId="77777777">
        <w:tc>
          <w:tcPr>
            <w:tcW w:w="1129" w:type="dxa"/>
            <w:tcBorders>
              <w:bottom w:val="single" w:sz="4" w:space="0" w:color="auto"/>
            </w:tcBorders>
          </w:tcPr>
          <w:p w14:paraId="1375395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2524F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Verkligt värde för finansiella instrument (Nivå 3)</w:t>
            </w:r>
          </w:p>
          <w:p w14:paraId="13088661" w14:textId="77777777" w:rsidR="00E20575" w:rsidRPr="008F22A0" w:rsidRDefault="008F22A0">
            <w:pPr>
              <w:spacing w:after="120" w:line="240" w:lineRule="auto"/>
              <w:jc w:val="both"/>
              <w:rPr>
                <w:rFonts w:ascii="Times New Roman" w:eastAsia="Times New Roman" w:hAnsi="Times New Roman" w:cs="Times New Roman"/>
                <w:bCs/>
                <w:i/>
              </w:rPr>
            </w:pPr>
            <w:r w:rsidRPr="008F22A0">
              <w:rPr>
                <w:rFonts w:ascii="Times New Roman" w:hAnsi="Times New Roman"/>
              </w:rPr>
              <w:t>Artikel 5.1 a i tekniska tillsynssta</w:t>
            </w:r>
            <w:r w:rsidRPr="008F22A0">
              <w:rPr>
                <w:rFonts w:ascii="Times New Roman" w:hAnsi="Times New Roman"/>
              </w:rPr>
              <w:t>ndarder för att specificera metoderna för att mäta K-faktorerna (artikel 15.5 a i förordning (EU) 2019/2033).</w:t>
            </w:r>
          </w:p>
          <w:p w14:paraId="4917FED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Värdering baserad på icke observerbara indata med användning av bästa tillgängliga information enligt IFRS 13.86</w:t>
            </w:r>
            <w:r w:rsidRPr="008F22A0">
              <w:t>.</w:t>
            </w:r>
          </w:p>
        </w:tc>
      </w:tr>
      <w:tr w:rsidR="00E20575" w:rsidRPr="008F22A0" w14:paraId="4607D76D" w14:textId="77777777">
        <w:tc>
          <w:tcPr>
            <w:tcW w:w="1129" w:type="dxa"/>
            <w:tcBorders>
              <w:top w:val="single" w:sz="4" w:space="0" w:color="auto"/>
              <w:bottom w:val="single" w:sz="4" w:space="0" w:color="auto"/>
            </w:tcBorders>
          </w:tcPr>
          <w:p w14:paraId="736B362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3090FB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Tillgångar som form</w:t>
            </w:r>
            <w:r w:rsidRPr="008F22A0">
              <w:rPr>
                <w:rFonts w:ascii="Times New Roman" w:hAnsi="Times New Roman"/>
                <w:b/>
                <w:u w:val="single"/>
              </w:rPr>
              <w:t>ellt har delegerats till en annan finansiell enhet</w:t>
            </w:r>
          </w:p>
          <w:p w14:paraId="3DACDD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19.2 i förordning (EU) 2019/2033.</w:t>
            </w:r>
          </w:p>
          <w:p w14:paraId="2BB7D23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Det värde som anges ska vara genomsnittet per månad av de totala tillgångarna per dag, vars förvaring och administration formellt har delegerats till en annan fina</w:t>
            </w:r>
            <w:r w:rsidRPr="008F22A0">
              <w:rPr>
                <w:rFonts w:ascii="Times New Roman" w:hAnsi="Times New Roman"/>
              </w:rPr>
              <w:t>nsiell enhet i enlighet med artikel 19.1 i förordning (EU) 2019/2033.</w:t>
            </w:r>
          </w:p>
        </w:tc>
      </w:tr>
      <w:tr w:rsidR="00E20575" w:rsidRPr="008F22A0" w14:paraId="4FE6E42B" w14:textId="77777777">
        <w:tc>
          <w:tcPr>
            <w:tcW w:w="1129" w:type="dxa"/>
            <w:tcBorders>
              <w:top w:val="single" w:sz="4" w:space="0" w:color="auto"/>
            </w:tcBorders>
          </w:tcPr>
          <w:p w14:paraId="35E055D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A4968B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Tillgångar i en annan finansiell enhet som formellt har delegerats till värdepappersföretaget</w:t>
            </w:r>
          </w:p>
          <w:p w14:paraId="6D428E3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19.2 i förordning (EU) 2019/2033.</w:t>
            </w:r>
          </w:p>
          <w:p w14:paraId="2D55CEA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Det värde som anges ska vara </w:t>
            </w:r>
            <w:r w:rsidRPr="008F22A0">
              <w:rPr>
                <w:rFonts w:ascii="Times New Roman" w:hAnsi="Times New Roman"/>
              </w:rPr>
              <w:t>genomsnittet per månad av de totala tillgångarna per dag i en annan finansiell enhet som formellt har delegerat förvaring och administration till värdepappersföretaget i enlighet med artikel 19.1 i förordning (EU) 2019/2033.</w:t>
            </w:r>
          </w:p>
        </w:tc>
      </w:tr>
    </w:tbl>
    <w:p w14:paraId="67CC223B"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4607A068" w14:textId="77777777">
        <w:tc>
          <w:tcPr>
            <w:tcW w:w="1129" w:type="dxa"/>
            <w:shd w:val="clear" w:color="auto" w:fill="D9D9D9"/>
          </w:tcPr>
          <w:p w14:paraId="1D4A1EC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3F8AAC7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Rättsliga </w:t>
            </w:r>
            <w:r w:rsidRPr="008F22A0">
              <w:rPr>
                <w:rFonts w:ascii="Times New Roman" w:hAnsi="Times New Roman"/>
              </w:rPr>
              <w:t>hänvisningar och instruktioner</w:t>
            </w:r>
          </w:p>
        </w:tc>
      </w:tr>
      <w:tr w:rsidR="00E20575" w:rsidRPr="008F22A0" w14:paraId="55A82A3D" w14:textId="77777777">
        <w:tc>
          <w:tcPr>
            <w:tcW w:w="1129" w:type="dxa"/>
          </w:tcPr>
          <w:p w14:paraId="2DA198B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0010–0080</w:t>
            </w:r>
          </w:p>
        </w:tc>
        <w:tc>
          <w:tcPr>
            <w:tcW w:w="7620" w:type="dxa"/>
          </w:tcPr>
          <w:p w14:paraId="2B6B68C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Genomsnittligt värde per månad av de totala tillgångarna under förvaring och administration per dag</w:t>
            </w:r>
          </w:p>
          <w:p w14:paraId="529FC07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Värdepappersföretag ska varje månad ange det genomsnittliga värdet av de totala tillgångarna under </w:t>
            </w:r>
            <w:r w:rsidRPr="008F22A0">
              <w:rPr>
                <w:rFonts w:ascii="Times New Roman" w:hAnsi="Times New Roman"/>
              </w:rPr>
              <w:t>förvaring och administration per dag, mätt i slutet av varje bankdag i enlighet med artikel 19.1 i förordning (EU) 2019/2033.</w:t>
            </w:r>
          </w:p>
        </w:tc>
      </w:tr>
    </w:tbl>
    <w:p w14:paraId="2F695428"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03" w:name="_Toc76556810"/>
      <w:bookmarkStart w:id="104" w:name="_Toc88220457"/>
      <w:r w:rsidRPr="008F22A0">
        <w:rPr>
          <w:rFonts w:ascii="Times New Roman" w:hAnsi="Times New Roman"/>
          <w:sz w:val="24"/>
          <w:u w:val="single"/>
        </w:rPr>
        <w:t>3.8. I 06.07 – HANTERING AV KUNDORDER – YTTERLIGARE UPPGIFTER (I 6.7)</w:t>
      </w:r>
      <w:bookmarkEnd w:id="103"/>
      <w:bookmarkEnd w:id="104"/>
    </w:p>
    <w:p w14:paraId="76CE4EE1" w14:textId="77777777" w:rsidR="00E20575" w:rsidRPr="008F22A0" w:rsidRDefault="008F22A0">
      <w:pPr>
        <w:keepNext/>
        <w:spacing w:before="240" w:after="240" w:line="240" w:lineRule="auto"/>
        <w:ind w:left="357" w:hanging="215"/>
        <w:jc w:val="both"/>
        <w:outlineLvl w:val="1"/>
      </w:pPr>
      <w:bookmarkStart w:id="105" w:name="_Toc76556811"/>
      <w:bookmarkStart w:id="106" w:name="_Toc88220458"/>
      <w:r w:rsidRPr="008F22A0">
        <w:rPr>
          <w:rFonts w:ascii="Times New Roman" w:hAnsi="Times New Roman"/>
          <w:sz w:val="24"/>
        </w:rPr>
        <w:t>3.8.1</w:t>
      </w:r>
      <w:r w:rsidRPr="008F22A0">
        <w:rPr>
          <w:rFonts w:ascii="Times New Roman" w:hAnsi="Times New Roman"/>
          <w:sz w:val="24"/>
        </w:rPr>
        <w:tab/>
      </w:r>
      <w:r w:rsidRPr="008F22A0">
        <w:rPr>
          <w:rFonts w:ascii="Times New Roman" w:hAnsi="Times New Roman"/>
          <w:sz w:val="24"/>
          <w:u w:val="single"/>
        </w:rPr>
        <w:t>Instruktioner för specifika positioner</w:t>
      </w:r>
      <w:bookmarkEnd w:id="105"/>
      <w:bookmarkEnd w:id="10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25099CB3" w14:textId="77777777">
        <w:tc>
          <w:tcPr>
            <w:tcW w:w="1129" w:type="dxa"/>
            <w:shd w:val="clear" w:color="auto" w:fill="D9D9D9"/>
          </w:tcPr>
          <w:p w14:paraId="63B5117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346BC24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Rättsliga </w:t>
            </w:r>
            <w:r w:rsidRPr="008F22A0">
              <w:rPr>
                <w:rFonts w:ascii="Times New Roman" w:hAnsi="Times New Roman"/>
              </w:rPr>
              <w:t>hänvisningar och instruktioner</w:t>
            </w:r>
          </w:p>
        </w:tc>
      </w:tr>
      <w:tr w:rsidR="00E20575" w:rsidRPr="008F22A0" w14:paraId="36A4D0BE" w14:textId="77777777">
        <w:tc>
          <w:tcPr>
            <w:tcW w:w="1129" w:type="dxa"/>
          </w:tcPr>
          <w:p w14:paraId="7CCD569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C80D23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Hantering av kundorder (COH) – kontanttransaktioner (genomsnittliga belopp)</w:t>
            </w:r>
          </w:p>
          <w:p w14:paraId="250CD07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 av COH – kontanttransaktioner enligt definitionen i artikel 4.1.30 i förordning (EU) 2019/2033 och som mäts i enlighet med artikel </w:t>
            </w:r>
            <w:r w:rsidRPr="008F22A0">
              <w:rPr>
                <w:rFonts w:ascii="Times New Roman" w:hAnsi="Times New Roman"/>
              </w:rPr>
              <w:t>20.1 i förordning (EU) 2019/2033.</w:t>
            </w:r>
          </w:p>
          <w:p w14:paraId="77A601E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 ska ange det aritmetiska medelvärdet av COH – kontanttransaktioner för de föregående sex månaderna, med undantag för de tre senaste månaderna i enlighet med artikel 20.1 första stycket i förordning (EU)</w:t>
            </w:r>
            <w:r w:rsidRPr="008F22A0">
              <w:rPr>
                <w:rFonts w:ascii="Times New Roman" w:hAnsi="Times New Roman"/>
              </w:rPr>
              <w:t xml:space="preserve"> 2019/2033 och som ska mätas i enlighet med artikel 20.2 a i förordning (EU) 2019/2033.</w:t>
            </w:r>
          </w:p>
        </w:tc>
      </w:tr>
      <w:tr w:rsidR="00E20575" w:rsidRPr="008F22A0" w14:paraId="2251D57D" w14:textId="77777777">
        <w:tc>
          <w:tcPr>
            <w:tcW w:w="1129" w:type="dxa"/>
          </w:tcPr>
          <w:p w14:paraId="6BE8D55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4EA13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Utförande av kundorder (COH)</w:t>
            </w:r>
          </w:p>
          <w:p w14:paraId="098C613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COH för kontanttransaktioner där värdepappersföretaget utför utförandet av kundorder i kundens namn enligt definitionen i arti</w:t>
            </w:r>
            <w:r w:rsidRPr="008F22A0">
              <w:rPr>
                <w:rFonts w:ascii="Times New Roman" w:hAnsi="Times New Roman"/>
              </w:rPr>
              <w:t>kel 4.1.5 i direktiv 2014/65/EU.</w:t>
            </w:r>
          </w:p>
          <w:p w14:paraId="697AAD2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aritmetiska medelvärdet av COH-värdet för de föregående sex månaderna, exklusive de tre senaste månaderna ska anges i enlighet med artikel 20.1 första stycket i förordning (EU) 2019/2033.</w:t>
            </w:r>
          </w:p>
        </w:tc>
      </w:tr>
      <w:tr w:rsidR="00E20575" w:rsidRPr="008F22A0" w14:paraId="1F5AE6DC" w14:textId="77777777">
        <w:tc>
          <w:tcPr>
            <w:tcW w:w="1129" w:type="dxa"/>
          </w:tcPr>
          <w:p w14:paraId="3877DCD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6052C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Varav: </w:t>
            </w:r>
            <w:r w:rsidRPr="008F22A0">
              <w:rPr>
                <w:rFonts w:ascii="Times New Roman" w:hAnsi="Times New Roman"/>
                <w:b/>
                <w:u w:val="single"/>
              </w:rPr>
              <w:t>Mottagning och överföring av kundorder</w:t>
            </w:r>
          </w:p>
          <w:p w14:paraId="2F53EC3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COH för kontanttransaktioner för vilka värdepappersföretaget utför tjänsten att ta emot och vidarebefordra kundorder</w:t>
            </w:r>
          </w:p>
          <w:p w14:paraId="4198D61D"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Det aritmetiska medelvärdet av COH-värdet för de föregående sex månaderna, exklusive de tre senaste </w:t>
            </w:r>
            <w:r w:rsidRPr="008F22A0">
              <w:rPr>
                <w:rFonts w:ascii="Times New Roman" w:hAnsi="Times New Roman"/>
              </w:rPr>
              <w:t>månaderna ska anges i enlighet med artikel 20.1 första stycket i förordning (EU) 2019/2033.</w:t>
            </w:r>
          </w:p>
        </w:tc>
      </w:tr>
      <w:tr w:rsidR="00E20575" w:rsidRPr="008F22A0" w14:paraId="6024A0B1" w14:textId="77777777">
        <w:tc>
          <w:tcPr>
            <w:tcW w:w="1129" w:type="dxa"/>
          </w:tcPr>
          <w:p w14:paraId="7D5754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63A02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COH – Derivat (genomsnittliga belopp)</w:t>
            </w:r>
          </w:p>
          <w:p w14:paraId="7B0323D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4.1.30 i förordning (EU) 2019/2033.</w:t>
            </w:r>
          </w:p>
          <w:p w14:paraId="428414F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 ska ange det aritmetiska medelvärdet av COH-derivat för </w:t>
            </w:r>
            <w:r w:rsidRPr="008F22A0">
              <w:rPr>
                <w:rFonts w:ascii="Times New Roman" w:hAnsi="Times New Roman"/>
              </w:rPr>
              <w:t>de föregående sex månaderna, med undantag för de tre senaste månaderna i enlighet med artikel 20.1 första stycket i förordning (EU) 2019/2033 och som ska mätas i enlighet med artikel 20.2 b i förordning (EU) 2019/2033.</w:t>
            </w:r>
          </w:p>
        </w:tc>
      </w:tr>
      <w:tr w:rsidR="00E20575" w:rsidRPr="008F22A0" w14:paraId="06D423FC" w14:textId="77777777">
        <w:tc>
          <w:tcPr>
            <w:tcW w:w="1129" w:type="dxa"/>
          </w:tcPr>
          <w:p w14:paraId="78358E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9B3E9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Utförande av kundorder (</w:t>
            </w:r>
            <w:r w:rsidRPr="008F22A0">
              <w:rPr>
                <w:rFonts w:ascii="Times New Roman" w:hAnsi="Times New Roman"/>
                <w:b/>
                <w:u w:val="single"/>
              </w:rPr>
              <w:t>COH)</w:t>
            </w:r>
          </w:p>
          <w:p w14:paraId="13BC16C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COH för derivattransaktioner där värdepappersföretaget utför utförandet av kundorder i kundens namn enligt definitionen i artikel 4.1.5 i direktiv 2014/65/EU.</w:t>
            </w:r>
          </w:p>
          <w:p w14:paraId="31C25218"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Det aritmetiska medelvärdet av COH-värdet för de föregående sex månaderna, exklusive de tre </w:t>
            </w:r>
            <w:r w:rsidRPr="008F22A0">
              <w:rPr>
                <w:rFonts w:ascii="Times New Roman" w:hAnsi="Times New Roman"/>
              </w:rPr>
              <w:t>senaste månaderna ska anges i enlighet med artikel 20.1 första stycket i förordning (EU) 2019/2033.</w:t>
            </w:r>
          </w:p>
        </w:tc>
      </w:tr>
      <w:tr w:rsidR="00E20575" w:rsidRPr="008F22A0" w14:paraId="417D5014" w14:textId="77777777">
        <w:tc>
          <w:tcPr>
            <w:tcW w:w="1129" w:type="dxa"/>
          </w:tcPr>
          <w:p w14:paraId="1375360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A7000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Mottagning och överföring av kundorder</w:t>
            </w:r>
          </w:p>
          <w:p w14:paraId="2BB85FE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COH för derivattransaktioner för vilka värdepappersföretaget utför tjänsten att ta emot och </w:t>
            </w:r>
            <w:r w:rsidRPr="008F22A0">
              <w:rPr>
                <w:rFonts w:ascii="Times New Roman" w:hAnsi="Times New Roman"/>
              </w:rPr>
              <w:t>vidarebefordra kundorder.</w:t>
            </w:r>
          </w:p>
          <w:p w14:paraId="5B435769"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Det aritmetiska medelvärdet av COH-värdet för de föregående sex månaderna, exklusive de tre senaste månaderna ska redovisas i enlighet med artikel 20.1 första stycket i förordning (EU) 2019/2033.</w:t>
            </w:r>
          </w:p>
        </w:tc>
      </w:tr>
    </w:tbl>
    <w:p w14:paraId="7F75EF8C" w14:textId="77777777" w:rsidR="00E20575" w:rsidRPr="008F22A0" w:rsidRDefault="00E2057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727BD290" w14:textId="77777777">
        <w:tc>
          <w:tcPr>
            <w:tcW w:w="1129" w:type="dxa"/>
            <w:shd w:val="clear" w:color="auto" w:fill="D9D9D9"/>
          </w:tcPr>
          <w:p w14:paraId="6A73B75B"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Kolumner</w:t>
            </w:r>
          </w:p>
        </w:tc>
        <w:tc>
          <w:tcPr>
            <w:tcW w:w="7620" w:type="dxa"/>
            <w:shd w:val="clear" w:color="auto" w:fill="D9D9D9"/>
          </w:tcPr>
          <w:p w14:paraId="744E14AB"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Rättsliga hänvisningar </w:t>
            </w:r>
            <w:r w:rsidRPr="008F22A0">
              <w:rPr>
                <w:rFonts w:ascii="Times New Roman" w:hAnsi="Times New Roman"/>
              </w:rPr>
              <w:t>och instruktioner</w:t>
            </w:r>
          </w:p>
        </w:tc>
      </w:tr>
      <w:tr w:rsidR="00E20575" w:rsidRPr="008F22A0" w14:paraId="3E2EC34E" w14:textId="77777777">
        <w:tc>
          <w:tcPr>
            <w:tcW w:w="1129" w:type="dxa"/>
          </w:tcPr>
          <w:p w14:paraId="1349D4A1"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w:t>
            </w:r>
          </w:p>
        </w:tc>
        <w:tc>
          <w:tcPr>
            <w:tcW w:w="7620" w:type="dxa"/>
          </w:tcPr>
          <w:p w14:paraId="126ED0C6"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Faktorbelopp – månad t</w:t>
            </w:r>
          </w:p>
          <w:p w14:paraId="404BFCD1"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Värdet av COH i slutet av den tredje månaden (dvs. den senaste) i det kvartal som redovisningen avser. </w:t>
            </w:r>
          </w:p>
        </w:tc>
      </w:tr>
      <w:tr w:rsidR="00E20575" w:rsidRPr="008F22A0" w14:paraId="67A9C0B0" w14:textId="77777777">
        <w:trPr>
          <w:trHeight w:val="1051"/>
        </w:trPr>
        <w:tc>
          <w:tcPr>
            <w:tcW w:w="1129" w:type="dxa"/>
          </w:tcPr>
          <w:p w14:paraId="230757F6"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0020</w:t>
            </w:r>
          </w:p>
        </w:tc>
        <w:tc>
          <w:tcPr>
            <w:tcW w:w="7620" w:type="dxa"/>
          </w:tcPr>
          <w:p w14:paraId="6BC63CED"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Faktorbelopp – månad t-1</w:t>
            </w:r>
          </w:p>
          <w:p w14:paraId="2F1C31A8"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Värdet av COH i slutet av den andra månaden i det kvartal som </w:t>
            </w:r>
            <w:r w:rsidRPr="008F22A0">
              <w:rPr>
                <w:rFonts w:ascii="Times New Roman" w:hAnsi="Times New Roman"/>
              </w:rPr>
              <w:t>redovisningen avser.</w:t>
            </w:r>
          </w:p>
        </w:tc>
      </w:tr>
      <w:tr w:rsidR="00E20575" w:rsidRPr="008F22A0" w14:paraId="48C4822A" w14:textId="77777777">
        <w:tc>
          <w:tcPr>
            <w:tcW w:w="1129" w:type="dxa"/>
          </w:tcPr>
          <w:p w14:paraId="765204C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0030</w:t>
            </w:r>
          </w:p>
        </w:tc>
        <w:tc>
          <w:tcPr>
            <w:tcW w:w="7620" w:type="dxa"/>
          </w:tcPr>
          <w:p w14:paraId="438EA5F4"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Faktorbelopp – månad t-2</w:t>
            </w:r>
          </w:p>
          <w:p w14:paraId="5281631F"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Värdet av COH i slutet av den första månaden i det kvartal som redovisningen avser.</w:t>
            </w:r>
          </w:p>
        </w:tc>
      </w:tr>
    </w:tbl>
    <w:p w14:paraId="35C2604C"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07" w:name="_Toc76556812"/>
      <w:bookmarkStart w:id="108" w:name="_Toc88220459"/>
      <w:r w:rsidRPr="008F22A0">
        <w:rPr>
          <w:rFonts w:ascii="Times New Roman" w:hAnsi="Times New Roman"/>
          <w:sz w:val="24"/>
          <w:u w:val="single"/>
        </w:rPr>
        <w:t>3.9. I 06.08 – GENOMSNITTLIGT VÄRDE AV DEN TOTALA HANTERINGEN AV KUNDORDER PER DAG (I 6.8)</w:t>
      </w:r>
      <w:bookmarkEnd w:id="107"/>
      <w:bookmarkEnd w:id="108"/>
    </w:p>
    <w:p w14:paraId="7CF511AE"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09" w:name="_Toc76556813"/>
      <w:bookmarkStart w:id="110" w:name="_Toc88220460"/>
      <w:r w:rsidRPr="008F22A0">
        <w:rPr>
          <w:rFonts w:ascii="Times New Roman" w:hAnsi="Times New Roman"/>
          <w:sz w:val="24"/>
        </w:rPr>
        <w:t>3.9.1</w:t>
      </w:r>
      <w:r w:rsidRPr="008F22A0">
        <w:rPr>
          <w:rFonts w:ascii="Times New Roman" w:hAnsi="Times New Roman"/>
          <w:sz w:val="24"/>
        </w:rPr>
        <w:tab/>
      </w:r>
      <w:r w:rsidRPr="008F22A0">
        <w:rPr>
          <w:rFonts w:ascii="Times New Roman" w:hAnsi="Times New Roman"/>
          <w:sz w:val="24"/>
          <w:u w:val="single"/>
        </w:rPr>
        <w:t>Instruktioner för specifika positioner</w:t>
      </w:r>
      <w:bookmarkEnd w:id="109"/>
      <w:bookmarkEnd w:id="11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9F756E1" w14:textId="77777777">
        <w:tc>
          <w:tcPr>
            <w:tcW w:w="1129" w:type="dxa"/>
            <w:shd w:val="clear" w:color="auto" w:fill="D9D9D9"/>
          </w:tcPr>
          <w:p w14:paraId="60B44AC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7FA4A26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092223A6" w14:textId="77777777">
        <w:tc>
          <w:tcPr>
            <w:tcW w:w="1129" w:type="dxa"/>
          </w:tcPr>
          <w:p w14:paraId="50CCF38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A7F45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 hantering av kundorder per dag – kontanttransaktioner</w:t>
            </w:r>
          </w:p>
          <w:p w14:paraId="0356579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4.1.30 i förordning (EU) 2019/2033.</w:t>
            </w:r>
          </w:p>
          <w:p w14:paraId="226B4AD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Det genomsnittliga värdet av de totala kundorder som </w:t>
            </w:r>
            <w:r w:rsidRPr="008F22A0">
              <w:rPr>
                <w:rFonts w:ascii="Times New Roman" w:hAnsi="Times New Roman"/>
              </w:rPr>
              <w:t>hanteras per dag (kontanttransaktioner) för den relevanta månaden enligt artikel 20.1 i förordning (EU) 2019/2033 och ska mätas i enlighet med artikel 20.2 a i förordning (EU) 2019/2033.</w:t>
            </w:r>
          </w:p>
        </w:tc>
      </w:tr>
      <w:tr w:rsidR="00E20575" w:rsidRPr="008F22A0" w14:paraId="52A3EF54" w14:textId="77777777">
        <w:tc>
          <w:tcPr>
            <w:tcW w:w="1129" w:type="dxa"/>
          </w:tcPr>
          <w:p w14:paraId="7DBE441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47D7D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Utförande av kundorder (COH)</w:t>
            </w:r>
          </w:p>
          <w:p w14:paraId="6A301BB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Det </w:t>
            </w:r>
            <w:r w:rsidRPr="008F22A0">
              <w:rPr>
                <w:rFonts w:ascii="Times New Roman" w:hAnsi="Times New Roman"/>
              </w:rPr>
              <w:t>genomsnittliga värdet av de totala kundorder som hanteras per dag för kontanttransaktioner för vilka värdepappersföretaget utför utförandet av kundorder i kundens namn enligt definitionen i artikel 4.1.5 i direktiv 2014/65/EU.</w:t>
            </w:r>
          </w:p>
        </w:tc>
      </w:tr>
      <w:tr w:rsidR="00E20575" w:rsidRPr="008F22A0" w14:paraId="7F98EC60" w14:textId="77777777">
        <w:tc>
          <w:tcPr>
            <w:tcW w:w="1129" w:type="dxa"/>
          </w:tcPr>
          <w:p w14:paraId="76215E0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211DB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Mottagning och ö</w:t>
            </w:r>
            <w:r w:rsidRPr="008F22A0">
              <w:rPr>
                <w:rFonts w:ascii="Times New Roman" w:hAnsi="Times New Roman"/>
                <w:b/>
                <w:u w:val="single"/>
              </w:rPr>
              <w:t>verföring av kundorder</w:t>
            </w:r>
          </w:p>
          <w:p w14:paraId="067CDF8E"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Det genomsnittliga värdet av de totala kundorder som hanteras för kontanttransaktioner per dag för vilka värdepappersföretaget utför tjänsten att ta emot och vidarebefordra kundorder</w:t>
            </w:r>
          </w:p>
        </w:tc>
      </w:tr>
      <w:tr w:rsidR="00E20575" w:rsidRPr="008F22A0" w14:paraId="5FC5DC60" w14:textId="77777777">
        <w:tc>
          <w:tcPr>
            <w:tcW w:w="1129" w:type="dxa"/>
          </w:tcPr>
          <w:p w14:paraId="28B11C0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8C396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 hantering av kundorder per dag – deriv</w:t>
            </w:r>
            <w:r w:rsidRPr="008F22A0">
              <w:rPr>
                <w:rFonts w:ascii="Times New Roman" w:hAnsi="Times New Roman"/>
                <w:b/>
                <w:u w:val="single"/>
              </w:rPr>
              <w:t>at</w:t>
            </w:r>
          </w:p>
          <w:p w14:paraId="778281C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4.1.30 i förordning (EU) 2019/2033.</w:t>
            </w:r>
          </w:p>
          <w:p w14:paraId="64BA727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Det genomsnittliga värdet av de totala kundorder som hanteras (derivat) per dag för den relevanta månaden enligt artikel 20.1 i förordning (EU) 2019/2033 och ska mätas i enlighet med artikel 20.2 b i förordnin</w:t>
            </w:r>
            <w:r w:rsidRPr="008F22A0">
              <w:rPr>
                <w:rFonts w:ascii="Times New Roman" w:hAnsi="Times New Roman"/>
              </w:rPr>
              <w:t>g (EU) 2019/2033.</w:t>
            </w:r>
          </w:p>
        </w:tc>
      </w:tr>
      <w:tr w:rsidR="00E20575" w:rsidRPr="008F22A0" w14:paraId="677B93A8" w14:textId="77777777">
        <w:tc>
          <w:tcPr>
            <w:tcW w:w="1129" w:type="dxa"/>
          </w:tcPr>
          <w:p w14:paraId="44A441F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837A9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Utförande av kundorder (COH)</w:t>
            </w:r>
          </w:p>
          <w:p w14:paraId="0B0204B7"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Det genomsnittliga värdet av de totala kundorder per dag som hanteras för derivattransaktioner för vilka värdepappersföretaget utför utförandet av kundorder i kundens namn enligt definitionen i ar</w:t>
            </w:r>
            <w:r w:rsidRPr="008F22A0">
              <w:rPr>
                <w:rFonts w:ascii="Times New Roman" w:hAnsi="Times New Roman"/>
              </w:rPr>
              <w:t>tikel 4.1.5 i direktiv 2014/65/EU.</w:t>
            </w:r>
          </w:p>
        </w:tc>
      </w:tr>
      <w:tr w:rsidR="00E20575" w:rsidRPr="008F22A0" w14:paraId="2B5C4F3E" w14:textId="77777777">
        <w:tc>
          <w:tcPr>
            <w:tcW w:w="1129" w:type="dxa"/>
          </w:tcPr>
          <w:p w14:paraId="0ADC703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C8F1A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Mottagning och överföring av kundorder</w:t>
            </w:r>
          </w:p>
          <w:p w14:paraId="48EC4693"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Det genomsnittliga värdet av de totala kundorder som hanteras per dag för derivattransaktioner för vilka värdepappersföretaget utför tjänsten att ta emot och </w:t>
            </w:r>
            <w:r w:rsidRPr="008F22A0">
              <w:rPr>
                <w:rFonts w:ascii="Times New Roman" w:hAnsi="Times New Roman"/>
              </w:rPr>
              <w:t>vidarebefordra kundorder.</w:t>
            </w:r>
          </w:p>
        </w:tc>
      </w:tr>
    </w:tbl>
    <w:p w14:paraId="0F58CF33" w14:textId="77777777" w:rsidR="00E20575" w:rsidRPr="008F22A0" w:rsidRDefault="00E20575">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0152F252" w14:textId="77777777">
        <w:tc>
          <w:tcPr>
            <w:tcW w:w="1129" w:type="dxa"/>
            <w:shd w:val="clear" w:color="auto" w:fill="D9D9D9"/>
          </w:tcPr>
          <w:p w14:paraId="5D118A8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04FD37D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263AB6B5" w14:textId="77777777">
        <w:tc>
          <w:tcPr>
            <w:tcW w:w="1129" w:type="dxa"/>
          </w:tcPr>
          <w:p w14:paraId="6626D96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0010–0050</w:t>
            </w:r>
          </w:p>
        </w:tc>
        <w:tc>
          <w:tcPr>
            <w:tcW w:w="7620" w:type="dxa"/>
          </w:tcPr>
          <w:p w14:paraId="7B6F254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Genomsnittsvärde per månad av de totala kundorder som hanteras per dag</w:t>
            </w:r>
          </w:p>
          <w:p w14:paraId="71F6DAF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 ska varje månad ange det genomsnittsvärde av de totala kundorder som </w:t>
            </w:r>
            <w:r w:rsidRPr="008F22A0">
              <w:rPr>
                <w:rFonts w:ascii="Times New Roman" w:hAnsi="Times New Roman"/>
              </w:rPr>
              <w:t>hanteras per dag i enlighet med artikel 20.1.</w:t>
            </w:r>
          </w:p>
        </w:tc>
      </w:tr>
    </w:tbl>
    <w:p w14:paraId="357FFF2B"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11" w:name="_Toc76556814"/>
      <w:bookmarkStart w:id="112" w:name="_Toc88220461"/>
      <w:r w:rsidRPr="008F22A0">
        <w:rPr>
          <w:rFonts w:ascii="Times New Roman" w:hAnsi="Times New Roman"/>
          <w:sz w:val="24"/>
          <w:u w:val="single"/>
        </w:rPr>
        <w:t>3.10. I 06.09 – K-NETTOPOSITIONSRISKKRAV – YTTERLIGARE UPPGIFTER (I 6.9)</w:t>
      </w:r>
      <w:bookmarkEnd w:id="111"/>
      <w:bookmarkEnd w:id="112"/>
    </w:p>
    <w:p w14:paraId="0A6CDE0E" w14:textId="77777777" w:rsidR="00E20575" w:rsidRPr="008F22A0" w:rsidRDefault="008F22A0">
      <w:pPr>
        <w:keepNext/>
        <w:spacing w:before="240" w:after="240" w:line="240" w:lineRule="auto"/>
        <w:ind w:left="357" w:hanging="215"/>
        <w:jc w:val="both"/>
        <w:outlineLvl w:val="1"/>
      </w:pPr>
      <w:bookmarkStart w:id="113" w:name="_Toc76556815"/>
      <w:bookmarkStart w:id="114" w:name="_Toc88220462"/>
      <w:r w:rsidRPr="008F22A0">
        <w:rPr>
          <w:rFonts w:ascii="Times New Roman" w:hAnsi="Times New Roman"/>
          <w:sz w:val="24"/>
        </w:rPr>
        <w:t>3.10.1</w:t>
      </w:r>
      <w:r w:rsidRPr="008F22A0">
        <w:rPr>
          <w:rFonts w:ascii="Times New Roman" w:hAnsi="Times New Roman"/>
          <w:sz w:val="24"/>
        </w:rPr>
        <w:tab/>
      </w:r>
      <w:r w:rsidRPr="008F22A0">
        <w:rPr>
          <w:rFonts w:ascii="Times New Roman" w:hAnsi="Times New Roman"/>
          <w:sz w:val="24"/>
          <w:u w:val="single"/>
        </w:rPr>
        <w:t>Instruktioner för specifika positioner</w:t>
      </w:r>
      <w:bookmarkEnd w:id="113"/>
      <w:bookmarkEnd w:id="11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593777F" w14:textId="77777777">
        <w:tc>
          <w:tcPr>
            <w:tcW w:w="1129" w:type="dxa"/>
            <w:shd w:val="clear" w:color="auto" w:fill="D9D9D9"/>
          </w:tcPr>
          <w:p w14:paraId="0D8F72D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53364F7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3F4DB6E9" w14:textId="77777777">
        <w:tc>
          <w:tcPr>
            <w:tcW w:w="1129" w:type="dxa"/>
          </w:tcPr>
          <w:p w14:paraId="655C393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0C23B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Totalt för </w:t>
            </w:r>
            <w:r w:rsidRPr="008F22A0">
              <w:rPr>
                <w:rFonts w:ascii="Times New Roman" w:hAnsi="Times New Roman"/>
                <w:b/>
                <w:u w:val="single"/>
              </w:rPr>
              <w:t>schablonmetoden</w:t>
            </w:r>
          </w:p>
          <w:p w14:paraId="52C3CFF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22 a i förordning (EU) 2019/2033.</w:t>
            </w:r>
          </w:p>
          <w:p w14:paraId="3D0D38E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Positioner för vilka ett kapitalbaskrav fastställs i enlighet med del tre avdelning IV kapitlen 2, 3 eller 4 i förordning (EU) nr 575/2013.</w:t>
            </w:r>
          </w:p>
        </w:tc>
      </w:tr>
      <w:tr w:rsidR="00E20575" w:rsidRPr="008F22A0" w14:paraId="503DE9D9" w14:textId="77777777">
        <w:tc>
          <w:tcPr>
            <w:tcW w:w="1129" w:type="dxa"/>
          </w:tcPr>
          <w:p w14:paraId="236EE82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0CDF6E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Positionsrisk</w:t>
            </w:r>
          </w:p>
          <w:p w14:paraId="28855BE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Artiklarna 22 a och 21.3 i </w:t>
            </w:r>
            <w:r w:rsidRPr="008F22A0">
              <w:rPr>
                <w:rFonts w:ascii="Times New Roman" w:hAnsi="Times New Roman"/>
              </w:rPr>
              <w:t>förordning (EU) 2019/2033.</w:t>
            </w:r>
          </w:p>
          <w:p w14:paraId="1F24578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Positioner i aktier i handelslagret för vilka ett kapitalbaskrav för positionsrisk fastställs i enlighet med del tre avdelning IV kapitel 2 i förordning (EU) nr 575/2013.</w:t>
            </w:r>
          </w:p>
        </w:tc>
      </w:tr>
      <w:tr w:rsidR="00E20575" w:rsidRPr="008F22A0" w14:paraId="02F2D34B" w14:textId="77777777">
        <w:tc>
          <w:tcPr>
            <w:tcW w:w="1129" w:type="dxa"/>
          </w:tcPr>
          <w:p w14:paraId="7240F89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8D424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Egetkapitalinstrument</w:t>
            </w:r>
          </w:p>
          <w:p w14:paraId="63353340"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Artiklarna 22 a och 21.3 i för</w:t>
            </w:r>
            <w:r w:rsidRPr="008F22A0">
              <w:rPr>
                <w:rFonts w:ascii="Times New Roman" w:hAnsi="Times New Roman"/>
              </w:rPr>
              <w:t>ordning (EU) 2019/2033.</w:t>
            </w:r>
          </w:p>
          <w:p w14:paraId="0AFC0FB2" w14:textId="77777777" w:rsidR="00E20575" w:rsidRPr="008F22A0" w:rsidRDefault="008F22A0">
            <w:pPr>
              <w:pStyle w:val="Default"/>
              <w:jc w:val="both"/>
              <w:rPr>
                <w:sz w:val="22"/>
                <w:szCs w:val="22"/>
              </w:rPr>
            </w:pPr>
            <w:r w:rsidRPr="008F22A0">
              <w:rPr>
                <w:sz w:val="22"/>
              </w:rPr>
              <w:t xml:space="preserve">Positioner i aktier i handelslagret i egetkapitalinstrument för vilka ett kapitalbaskrav fastställs i enlighet med del tre avdelning IV kapitel 3 i förordning (EU) nr 575/2013. </w:t>
            </w:r>
          </w:p>
        </w:tc>
      </w:tr>
      <w:tr w:rsidR="00E20575" w:rsidRPr="008F22A0" w14:paraId="60ED5F94" w14:textId="77777777">
        <w:tc>
          <w:tcPr>
            <w:tcW w:w="1129" w:type="dxa"/>
          </w:tcPr>
          <w:p w14:paraId="38A09D7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C6BBE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Skuldinstrument</w:t>
            </w:r>
          </w:p>
          <w:p w14:paraId="572432B6"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Artiklarna 22 a och 21.3 i </w:t>
            </w:r>
            <w:r w:rsidRPr="008F22A0">
              <w:rPr>
                <w:rFonts w:ascii="Times New Roman" w:hAnsi="Times New Roman"/>
              </w:rPr>
              <w:t>förordning (EU) 2019/2033.</w:t>
            </w:r>
          </w:p>
          <w:p w14:paraId="22BA522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Positioner i aktier i handelslagret för vilka ett kapitalbaskrav fastställs i enlighet med del tre avdelning IV kapitel 2 i förordning (EU) nr 575/2013.</w:t>
            </w:r>
          </w:p>
        </w:tc>
      </w:tr>
      <w:tr w:rsidR="00E20575" w:rsidRPr="008F22A0" w14:paraId="7C3A2214" w14:textId="77777777">
        <w:tc>
          <w:tcPr>
            <w:tcW w:w="1129" w:type="dxa"/>
          </w:tcPr>
          <w:p w14:paraId="0D78955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053B7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Varav: Värdepapperiseringar</w:t>
            </w:r>
          </w:p>
          <w:p w14:paraId="71C7F5EF"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Artiklarna 22 a och 21.3 i förordning (EU)</w:t>
            </w:r>
            <w:r w:rsidRPr="008F22A0">
              <w:rPr>
                <w:rFonts w:ascii="Times New Roman" w:hAnsi="Times New Roman"/>
              </w:rPr>
              <w:t xml:space="preserve"> 2019/2033.</w:t>
            </w:r>
          </w:p>
          <w:p w14:paraId="1F32D5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Positioner i värdepapperiseringsinstrument enligt artikel 337 i förordning (EU) nr 575/2013 och positioner i korrelationshandelsportföljen enligt artikel 338 i förordning (EU) nr 575/2013.</w:t>
            </w:r>
          </w:p>
        </w:tc>
      </w:tr>
      <w:tr w:rsidR="00E20575" w:rsidRPr="008F22A0" w14:paraId="38ED0BDC" w14:textId="77777777">
        <w:tc>
          <w:tcPr>
            <w:tcW w:w="1129" w:type="dxa"/>
            <w:tcBorders>
              <w:bottom w:val="single" w:sz="4" w:space="0" w:color="auto"/>
            </w:tcBorders>
          </w:tcPr>
          <w:p w14:paraId="5D3A59F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9B418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Särskild metod för positionsrisk i företag för ko</w:t>
            </w:r>
            <w:r w:rsidRPr="008F22A0">
              <w:rPr>
                <w:rFonts w:ascii="Times New Roman" w:hAnsi="Times New Roman"/>
                <w:b/>
                <w:u w:val="single"/>
              </w:rPr>
              <w:t>llektiva investeringar (fond)</w:t>
            </w:r>
          </w:p>
          <w:p w14:paraId="392D0912"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Artiklarna 22 a och 21.3 i förordning (EU) 2019/2033.</w:t>
            </w:r>
          </w:p>
          <w:p w14:paraId="0FC1C026"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Totalt riskvägt exponeringsbelopp för positioner i företag för kollektiva investeringar om kapitalbaskrav beräknas i enlighet med artikel 348.1 i förordning (EU) nr 575/201</w:t>
            </w:r>
            <w:r w:rsidRPr="008F22A0">
              <w:rPr>
                <w:rFonts w:ascii="Times New Roman" w:hAnsi="Times New Roman"/>
              </w:rPr>
              <w:t>3, antingen direkt eller som en följd av det tak som fastställs i artikel 350.3 c i förordning (EU) nr 575/2013. I förordning (EU) nr 575/2013 anges vare sig ränterisken eller aktierisken uttryckligen för dessa positioner.</w:t>
            </w:r>
          </w:p>
          <w:p w14:paraId="16F525A8"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Om den särskilda bestämmelsen i a</w:t>
            </w:r>
            <w:r w:rsidRPr="008F22A0">
              <w:rPr>
                <w:rFonts w:ascii="Times New Roman" w:hAnsi="Times New Roman"/>
              </w:rPr>
              <w:t>rtikel 348.1 första meningen i förordning (EU) nr 575/2013 tillämpas, ska det belopp som ska anges vara 32 % av nettopositionen för fondexponeringen i fråga.</w:t>
            </w:r>
          </w:p>
          <w:p w14:paraId="55B26C2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Om den särskilda bestämmelsen i artikel 348.1 andra meningen i förordning (EU) nr 575/2013 </w:t>
            </w:r>
            <w:r w:rsidRPr="008F22A0">
              <w:rPr>
                <w:rFonts w:ascii="Times New Roman" w:hAnsi="Times New Roman"/>
              </w:rPr>
              <w:t>tillämpas, ska det belopp som ska redovisas vara det lägsta av det belopp som motsvarar 32 % av nettopositionen för den relevanta fondexponeringen och det belopp som är skillnaden mellan 40 % av denna nettoposition och de kapitalbaskrav som härrör från val</w:t>
            </w:r>
            <w:r w:rsidRPr="008F22A0">
              <w:rPr>
                <w:rFonts w:ascii="Times New Roman" w:hAnsi="Times New Roman"/>
              </w:rPr>
              <w:t>utakursrisken i samband med denna fondexponering.</w:t>
            </w:r>
          </w:p>
        </w:tc>
      </w:tr>
      <w:tr w:rsidR="00E20575" w:rsidRPr="008F22A0" w14:paraId="05DBD4EE" w14:textId="77777777">
        <w:tc>
          <w:tcPr>
            <w:tcW w:w="1129" w:type="dxa"/>
            <w:tcBorders>
              <w:bottom w:val="single" w:sz="4" w:space="0" w:color="auto"/>
            </w:tcBorders>
          </w:tcPr>
          <w:p w14:paraId="78ECC70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9BEB5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Valutakursrisk</w:t>
            </w:r>
          </w:p>
          <w:p w14:paraId="2E9FA732"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Artikel 22 a och artiklarna 21.3 och 21.4 i förordning (EU) 2019/2033.</w:t>
            </w:r>
          </w:p>
          <w:p w14:paraId="3DDDED0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Positioner som omfattas av valutakursrisk för vilka ett kapitalbaskrav fastställs i enlighet med del tre avdelning</w:t>
            </w:r>
            <w:r w:rsidRPr="008F22A0">
              <w:rPr>
                <w:rFonts w:ascii="Times New Roman" w:hAnsi="Times New Roman"/>
              </w:rPr>
              <w:t xml:space="preserve"> IV kapitel 3 i förordning (EU) nr 575/2013.</w:t>
            </w:r>
          </w:p>
        </w:tc>
      </w:tr>
      <w:tr w:rsidR="00E20575" w:rsidRPr="008F22A0" w14:paraId="15B73617" w14:textId="77777777">
        <w:tc>
          <w:tcPr>
            <w:tcW w:w="1129" w:type="dxa"/>
            <w:tcBorders>
              <w:top w:val="single" w:sz="4" w:space="0" w:color="auto"/>
            </w:tcBorders>
          </w:tcPr>
          <w:p w14:paraId="5D8473B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57473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Råvarurisk</w:t>
            </w:r>
          </w:p>
          <w:p w14:paraId="5853AA66"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Artikel 22 a och artiklarna 21.3 och 21.4 i förordning (EU) 2019/2033.</w:t>
            </w:r>
          </w:p>
          <w:p w14:paraId="1CBCE55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Positioner som omfattas av råvarurisk för vilka ett kapitalbaskrav fastställs i enlighet med del tre avdelning IV </w:t>
            </w:r>
            <w:r w:rsidRPr="008F22A0">
              <w:rPr>
                <w:rFonts w:ascii="Times New Roman" w:hAnsi="Times New Roman"/>
              </w:rPr>
              <w:t>kapitel 4 i förordning (EU) nr 575/2013.</w:t>
            </w:r>
          </w:p>
        </w:tc>
      </w:tr>
      <w:tr w:rsidR="00E20575" w:rsidRPr="008F22A0" w14:paraId="3DB7D368" w14:textId="77777777">
        <w:tc>
          <w:tcPr>
            <w:tcW w:w="1129" w:type="dxa"/>
            <w:tcBorders>
              <w:top w:val="single" w:sz="4" w:space="0" w:color="auto"/>
              <w:left w:val="single" w:sz="4" w:space="0" w:color="auto"/>
              <w:bottom w:val="single" w:sz="4" w:space="0" w:color="auto"/>
              <w:right w:val="single" w:sz="4" w:space="0" w:color="auto"/>
            </w:tcBorders>
          </w:tcPr>
          <w:p w14:paraId="30A2D10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1397D4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Metod med interna modeller</w:t>
            </w:r>
          </w:p>
          <w:p w14:paraId="45885CDE" w14:textId="77777777" w:rsidR="00E20575" w:rsidRPr="008F22A0" w:rsidRDefault="008F22A0">
            <w:pPr>
              <w:spacing w:after="120" w:line="240" w:lineRule="auto"/>
              <w:jc w:val="both"/>
              <w:rPr>
                <w:rFonts w:ascii="Times New Roman" w:hAnsi="Times New Roman" w:cs="Times New Roman"/>
              </w:rPr>
            </w:pPr>
            <w:r w:rsidRPr="008F22A0">
              <w:rPr>
                <w:rFonts w:ascii="Times New Roman" w:hAnsi="Times New Roman"/>
              </w:rPr>
              <w:t>Artikel 57.2 och artikel 21.3 och 21.4 i förordning (EU) 2019/2033.</w:t>
            </w:r>
          </w:p>
          <w:p w14:paraId="1B5F9A86" w14:textId="77777777" w:rsidR="00E20575" w:rsidRPr="008F22A0" w:rsidRDefault="008F22A0">
            <w:pPr>
              <w:spacing w:after="120" w:line="240" w:lineRule="auto"/>
              <w:jc w:val="both"/>
              <w:rPr>
                <w:rFonts w:ascii="Times New Roman" w:eastAsia="Times New Roman" w:hAnsi="Times New Roman" w:cs="Times New Roman"/>
                <w:b/>
                <w:bCs/>
              </w:rPr>
            </w:pPr>
            <w:r w:rsidRPr="008F22A0">
              <w:rPr>
                <w:rFonts w:ascii="Times New Roman" w:hAnsi="Times New Roman"/>
              </w:rPr>
              <w:t xml:space="preserve">Positioner i aktier i handelslagret och positioner utanför handelslagret som omfattas av </w:t>
            </w:r>
            <w:r w:rsidRPr="008F22A0">
              <w:rPr>
                <w:rFonts w:ascii="Times New Roman" w:hAnsi="Times New Roman"/>
              </w:rPr>
              <w:t>valutakursrisk eller råvarurisk för vilka ett kapitalbaskrav fastställs i enlighet med del tre avdelning IV kapitel 5 i förordning (EU) nr 575/2013.</w:t>
            </w:r>
          </w:p>
        </w:tc>
      </w:tr>
    </w:tbl>
    <w:p w14:paraId="5036169F"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15" w:name="_Toc76556816"/>
      <w:bookmarkStart w:id="116" w:name="_Toc88220463"/>
      <w:r w:rsidRPr="008F22A0">
        <w:rPr>
          <w:rFonts w:ascii="Times New Roman" w:hAnsi="Times New Roman"/>
          <w:sz w:val="24"/>
          <w:u w:val="single"/>
        </w:rPr>
        <w:t>3.11. I 06.10 – ANGIVEN CLEARINGMARGINAL – YTTERLIGARE UPPGIFTER (I 6.10)</w:t>
      </w:r>
      <w:bookmarkEnd w:id="115"/>
      <w:bookmarkEnd w:id="116"/>
    </w:p>
    <w:p w14:paraId="460EA36F"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15.</w:t>
      </w:r>
      <w:r w:rsidRPr="008F22A0">
        <w:rPr>
          <w:rFonts w:ascii="Times New Roman" w:hAnsi="Times New Roman" w:cs="Times New Roman"/>
          <w:sz w:val="24"/>
        </w:rPr>
        <w:tab/>
      </w:r>
      <w:r w:rsidRPr="008F22A0">
        <w:rPr>
          <w:rFonts w:ascii="Times New Roman" w:hAnsi="Times New Roman"/>
          <w:sz w:val="24"/>
        </w:rPr>
        <w:t xml:space="preserve">I denna mall ska </w:t>
      </w:r>
      <w:r w:rsidRPr="008F22A0">
        <w:rPr>
          <w:rFonts w:ascii="Times New Roman" w:hAnsi="Times New Roman"/>
          <w:sz w:val="24"/>
        </w:rPr>
        <w:t>företag som handlar för egen räkning redovisa alla clearingmedlemmar i kvalificerade centrala motparter på vars ansvar genomförandet och avvecklingen av företagets transaktioner äger rum.</w:t>
      </w:r>
    </w:p>
    <w:p w14:paraId="3AA0B2B7"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rPr>
      </w:pPr>
      <w:bookmarkStart w:id="117" w:name="_Toc76556817"/>
      <w:bookmarkStart w:id="118" w:name="_Toc88220464"/>
      <w:r w:rsidRPr="008F22A0">
        <w:rPr>
          <w:rFonts w:ascii="Times New Roman" w:hAnsi="Times New Roman"/>
          <w:sz w:val="24"/>
        </w:rPr>
        <w:t xml:space="preserve">3.11.1. </w:t>
      </w:r>
      <w:r w:rsidRPr="008F22A0">
        <w:rPr>
          <w:rFonts w:ascii="Times New Roman" w:hAnsi="Times New Roman"/>
          <w:sz w:val="24"/>
          <w:u w:val="single"/>
        </w:rPr>
        <w:t>Instruktioner för specifika positioner</w:t>
      </w:r>
      <w:bookmarkEnd w:id="117"/>
      <w:bookmarkEnd w:id="1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71DAA35" w14:textId="77777777">
        <w:tc>
          <w:tcPr>
            <w:tcW w:w="1129" w:type="dxa"/>
            <w:shd w:val="clear" w:color="auto" w:fill="D9D9D9"/>
          </w:tcPr>
          <w:p w14:paraId="41F4E4B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w:t>
            </w:r>
          </w:p>
        </w:tc>
        <w:tc>
          <w:tcPr>
            <w:tcW w:w="7620" w:type="dxa"/>
            <w:shd w:val="clear" w:color="auto" w:fill="D9D9D9"/>
          </w:tcPr>
          <w:p w14:paraId="6AF6BF8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w:t>
            </w:r>
            <w:r w:rsidRPr="008F22A0">
              <w:rPr>
                <w:rFonts w:ascii="Times New Roman" w:hAnsi="Times New Roman"/>
              </w:rPr>
              <w:t>isningar och instruktioner</w:t>
            </w:r>
          </w:p>
        </w:tc>
      </w:tr>
      <w:tr w:rsidR="00E20575" w:rsidRPr="008F22A0" w14:paraId="7DF8FA33" w14:textId="77777777">
        <w:tc>
          <w:tcPr>
            <w:tcW w:w="1129" w:type="dxa"/>
          </w:tcPr>
          <w:p w14:paraId="68176DE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E0D93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Clearingmedlem</w:t>
            </w:r>
          </w:p>
        </w:tc>
      </w:tr>
      <w:tr w:rsidR="00E20575" w:rsidRPr="008F22A0" w14:paraId="64830F55" w14:textId="77777777">
        <w:tc>
          <w:tcPr>
            <w:tcW w:w="1129" w:type="dxa"/>
          </w:tcPr>
          <w:p w14:paraId="53A368B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EF52DC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5EEA7B2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 ska ange namnet på alla clearingmedlemmar i kvalificerade centrala motparter på vars ansvar genomförandet och avvecklingen av företagets transaktioner äger rum.</w:t>
            </w:r>
          </w:p>
        </w:tc>
      </w:tr>
      <w:tr w:rsidR="00E20575" w:rsidRPr="008F22A0" w14:paraId="24094F21" w14:textId="77777777">
        <w:tc>
          <w:tcPr>
            <w:tcW w:w="1129" w:type="dxa"/>
          </w:tcPr>
          <w:p w14:paraId="12F0285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24954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Kod</w:t>
            </w:r>
          </w:p>
          <w:p w14:paraId="7240339F" w14:textId="77777777" w:rsidR="00E20575" w:rsidRPr="008F22A0" w:rsidRDefault="008F22A0">
            <w:pPr>
              <w:spacing w:after="120" w:line="240" w:lineRule="auto"/>
              <w:jc w:val="both"/>
              <w:rPr>
                <w:rFonts w:eastAsia="Times New Roman"/>
              </w:rPr>
            </w:pPr>
            <w:r w:rsidRPr="008F22A0">
              <w:rPr>
                <w:rFonts w:ascii="Times New Roman" w:hAnsi="Times New Roman"/>
              </w:rPr>
              <w:t>Koden måste som del av en radidentifierare vara unik för varje redovisad enhet. För värdepappersföretag ska koden vara LEI-koden. För andra företag måste koden vara LEI-koden eller, om den inte finns tillgänglig, en nationell kod. Koden ska vara unik o</w:t>
            </w:r>
            <w:r w:rsidRPr="008F22A0">
              <w:rPr>
                <w:rFonts w:ascii="Times New Roman" w:hAnsi="Times New Roman"/>
              </w:rPr>
              <w:t>ch användas konsekvent i alla mallar och över tid. Koden ska alltid ha ett värde.</w:t>
            </w:r>
          </w:p>
        </w:tc>
      </w:tr>
      <w:tr w:rsidR="00E20575" w:rsidRPr="008F22A0" w14:paraId="3DF85741" w14:textId="77777777">
        <w:tc>
          <w:tcPr>
            <w:tcW w:w="1129" w:type="dxa"/>
          </w:tcPr>
          <w:p w14:paraId="142D5BE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B2BD8F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Typ av kod</w:t>
            </w:r>
          </w:p>
          <w:p w14:paraId="4C2EE44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Den typ av kod som anges i kolumn 0020 ska identifieras som en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kodty</w:t>
            </w:r>
            <w:r w:rsidRPr="008F22A0">
              <w:rPr>
                <w:rFonts w:ascii="Times New Roman" w:hAnsi="Times New Roman"/>
              </w:rPr>
              <w:t>p”</w:t>
            </w:r>
            <w:r w:rsidRPr="008F22A0">
              <w:rPr>
                <w:rFonts w:ascii="Times New Roman" w:hAnsi="Times New Roman"/>
              </w:rPr>
              <w:t>.</w:t>
            </w:r>
          </w:p>
        </w:tc>
      </w:tr>
      <w:tr w:rsidR="00E20575" w:rsidRPr="008F22A0" w14:paraId="0BA4ECA7" w14:textId="77777777">
        <w:tc>
          <w:tcPr>
            <w:tcW w:w="1129" w:type="dxa"/>
          </w:tcPr>
          <w:p w14:paraId="7B381BD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29044DF" w14:textId="77777777" w:rsidR="00E20575" w:rsidRPr="008F22A0" w:rsidRDefault="008F22A0">
            <w:pPr>
              <w:spacing w:after="120" w:line="240" w:lineRule="auto"/>
              <w:rPr>
                <w:rFonts w:ascii="Times New Roman" w:eastAsia="Times New Roman" w:hAnsi="Times New Roman" w:cs="Times New Roman"/>
                <w:b/>
                <w:bCs/>
                <w:u w:val="single"/>
              </w:rPr>
            </w:pPr>
            <w:r w:rsidRPr="008F22A0">
              <w:rPr>
                <w:rFonts w:ascii="Times New Roman" w:hAnsi="Times New Roman"/>
                <w:b/>
                <w:u w:val="single"/>
              </w:rPr>
              <w:t xml:space="preserve">Bidrag till den totala marginal som </w:t>
            </w:r>
            <w:r w:rsidRPr="008F22A0">
              <w:rPr>
                <w:rFonts w:ascii="Times New Roman" w:hAnsi="Times New Roman"/>
                <w:b/>
                <w:u w:val="single"/>
              </w:rPr>
              <w:t>krävs dagligen</w:t>
            </w:r>
          </w:p>
          <w:p w14:paraId="63AEE2F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Värdepappersföretag ska lämna information för de tre dagar under de föregående tre månaderna då det högsta, näst högsta och tredje högsta beloppet av den totala marginalsäkerhet som krävs per dag beräknades i enlighet med artikel 23.2 i </w:t>
            </w:r>
            <w:r w:rsidRPr="008F22A0">
              <w:rPr>
                <w:rFonts w:ascii="Times New Roman" w:hAnsi="Times New Roman"/>
              </w:rPr>
              <w:t>förordning (EU) 2019/2033.</w:t>
            </w:r>
          </w:p>
          <w:p w14:paraId="47463AA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Värdepappersföretaget ska inkludera alla clearingmedlemmar i den mall som användes under minst en av dessa dagar.</w:t>
            </w:r>
          </w:p>
          <w:p w14:paraId="6C4419F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Bidraget till den totala marginal som krävs per dag ska anges som beloppet före multiplikationen med faktorn 1.3 i </w:t>
            </w:r>
            <w:r w:rsidRPr="008F22A0">
              <w:rPr>
                <w:rFonts w:ascii="Times New Roman" w:hAnsi="Times New Roman"/>
              </w:rPr>
              <w:t xml:space="preserve">enlighet med artikel 23.2 i förordning (EU) 2019/2033. </w:t>
            </w:r>
          </w:p>
        </w:tc>
      </w:tr>
      <w:tr w:rsidR="00E20575" w:rsidRPr="008F22A0" w14:paraId="2FB1486F" w14:textId="77777777">
        <w:tc>
          <w:tcPr>
            <w:tcW w:w="1129" w:type="dxa"/>
          </w:tcPr>
          <w:p w14:paraId="511786E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A01E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Bidrag till den totala marginal som krävs per dag – på dagen för det högsta begärda beloppet av den totala marginal som krävs</w:t>
            </w:r>
          </w:p>
        </w:tc>
      </w:tr>
      <w:tr w:rsidR="00E20575" w:rsidRPr="008F22A0" w14:paraId="36780C4D" w14:textId="77777777">
        <w:tc>
          <w:tcPr>
            <w:tcW w:w="1129" w:type="dxa"/>
          </w:tcPr>
          <w:p w14:paraId="3F349FB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0E1188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Bidrag till den totala marginal som krävs per dag – på </w:t>
            </w:r>
            <w:r w:rsidRPr="008F22A0">
              <w:rPr>
                <w:rFonts w:ascii="Times New Roman" w:hAnsi="Times New Roman"/>
                <w:b/>
                <w:u w:val="single"/>
              </w:rPr>
              <w:t>dagen för det näst högsta begärda beloppet av den totala marginal som krävs</w:t>
            </w:r>
          </w:p>
        </w:tc>
      </w:tr>
      <w:tr w:rsidR="00E20575" w:rsidRPr="008F22A0" w14:paraId="18A15C69" w14:textId="77777777">
        <w:tc>
          <w:tcPr>
            <w:tcW w:w="1129" w:type="dxa"/>
          </w:tcPr>
          <w:p w14:paraId="367CC47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B89983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Bidrag till den totala marginal som krävs per dag – på dagen för det tredje högsta begärda beloppet av den totala marginal som krävs</w:t>
            </w:r>
          </w:p>
        </w:tc>
      </w:tr>
    </w:tbl>
    <w:p w14:paraId="0162E750"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19" w:name="_Toc76556818"/>
      <w:bookmarkStart w:id="120" w:name="_Toc88220465"/>
      <w:r w:rsidRPr="008F22A0">
        <w:rPr>
          <w:rFonts w:ascii="Times New Roman" w:hAnsi="Times New Roman"/>
          <w:sz w:val="24"/>
          <w:u w:val="single"/>
        </w:rPr>
        <w:t>3.12. I 06.11 – MOTPARTSRISK (TCD) – YTT</w:t>
      </w:r>
      <w:r w:rsidRPr="008F22A0">
        <w:rPr>
          <w:rFonts w:ascii="Times New Roman" w:hAnsi="Times New Roman"/>
          <w:sz w:val="24"/>
          <w:u w:val="single"/>
        </w:rPr>
        <w:t>ERLIGARE UPPGIFTER OM TCD (I 6.11)</w:t>
      </w:r>
      <w:bookmarkEnd w:id="119"/>
      <w:bookmarkEnd w:id="120"/>
    </w:p>
    <w:p w14:paraId="4A50A042"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21" w:name="_Toc76556819"/>
      <w:bookmarkStart w:id="122" w:name="_Toc88220466"/>
      <w:r w:rsidRPr="008F22A0">
        <w:rPr>
          <w:rFonts w:ascii="Times New Roman" w:hAnsi="Times New Roman"/>
          <w:sz w:val="24"/>
        </w:rPr>
        <w:t>3.12.1</w:t>
      </w:r>
      <w:r w:rsidRPr="008F22A0">
        <w:rPr>
          <w:rFonts w:ascii="Times New Roman" w:hAnsi="Times New Roman"/>
          <w:sz w:val="24"/>
        </w:rPr>
        <w:tab/>
      </w:r>
      <w:r w:rsidRPr="008F22A0">
        <w:rPr>
          <w:rFonts w:ascii="Times New Roman" w:hAnsi="Times New Roman"/>
          <w:sz w:val="24"/>
          <w:u w:val="single"/>
        </w:rPr>
        <w:t>Instruktioner för specifika positioner</w:t>
      </w:r>
      <w:bookmarkEnd w:id="121"/>
      <w:bookmarkEnd w:id="1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3F819E49" w14:textId="77777777">
        <w:tc>
          <w:tcPr>
            <w:tcW w:w="1129" w:type="dxa"/>
            <w:shd w:val="clear" w:color="auto" w:fill="D9D9D9"/>
          </w:tcPr>
          <w:p w14:paraId="1220E6A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133DA8C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730059E8" w14:textId="77777777">
        <w:tc>
          <w:tcPr>
            <w:tcW w:w="1129" w:type="dxa"/>
          </w:tcPr>
          <w:p w14:paraId="6AA219E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7C7B1E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Uppdelning per metod för att fastställa exponeringsvärdet</w:t>
            </w:r>
          </w:p>
        </w:tc>
      </w:tr>
      <w:tr w:rsidR="00E20575" w:rsidRPr="008F22A0" w14:paraId="08124DEB" w14:textId="77777777">
        <w:tc>
          <w:tcPr>
            <w:tcW w:w="1129" w:type="dxa"/>
          </w:tcPr>
          <w:p w14:paraId="6F86109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5366B1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Tillämpning av förordning (EU) 2019/2033: K-TCD</w:t>
            </w:r>
          </w:p>
          <w:p w14:paraId="13B7E25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26 i förordning (EU) 2019/2033.</w:t>
            </w:r>
          </w:p>
          <w:p w14:paraId="107232C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Exponeringar för vilka kapitalbaskravet beräknas som K-TCD i enlighet med artikel 26 i förordning (EU) 2019/2033.</w:t>
            </w:r>
          </w:p>
        </w:tc>
      </w:tr>
      <w:tr w:rsidR="00E20575" w:rsidRPr="008F22A0" w14:paraId="32F20693" w14:textId="77777777">
        <w:tc>
          <w:tcPr>
            <w:tcW w:w="1129" w:type="dxa"/>
          </w:tcPr>
          <w:p w14:paraId="4143D32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07CA5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Alternativa metoder: Exponeringsvärde definierad i enlighet med förordning (EU) nr </w:t>
            </w:r>
            <w:r w:rsidRPr="008F22A0">
              <w:rPr>
                <w:rFonts w:ascii="Times New Roman" w:hAnsi="Times New Roman"/>
                <w:b/>
                <w:u w:val="single"/>
              </w:rPr>
              <w:t>575/2013</w:t>
            </w:r>
          </w:p>
          <w:p w14:paraId="5FEA69A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25.4 första stycket i förordning (EU) 2019/2033.</w:t>
            </w:r>
          </w:p>
          <w:p w14:paraId="3EE3599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Exponeringar för vilka exponeringsvärdet fastställs i enlighet med förordning (EU) nr 575/2013 och de tillhörande kapitalbaskraven beräknas genom att exponeringsvärdet multipliceras med den </w:t>
            </w:r>
            <w:r w:rsidRPr="008F22A0">
              <w:rPr>
                <w:rFonts w:ascii="Times New Roman" w:hAnsi="Times New Roman"/>
              </w:rPr>
              <w:t>riskfaktor som anges i tabell 2 i artikel 26 i förordning (EU) 2019/2033.</w:t>
            </w:r>
          </w:p>
        </w:tc>
      </w:tr>
      <w:tr w:rsidR="00E20575" w:rsidRPr="008F22A0" w14:paraId="0680FAFC" w14:textId="77777777">
        <w:tc>
          <w:tcPr>
            <w:tcW w:w="1129" w:type="dxa"/>
          </w:tcPr>
          <w:p w14:paraId="09F2F8C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3E35F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SA-CCR</w:t>
            </w:r>
          </w:p>
          <w:p w14:paraId="72AA335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274 i förordning (EU) nr 575/2013.</w:t>
            </w:r>
          </w:p>
        </w:tc>
      </w:tr>
      <w:tr w:rsidR="00E20575" w:rsidRPr="008F22A0" w14:paraId="4335EA90" w14:textId="77777777">
        <w:tc>
          <w:tcPr>
            <w:tcW w:w="1129" w:type="dxa"/>
          </w:tcPr>
          <w:p w14:paraId="1D294F9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4E0317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Förenklad SA-CCR</w:t>
            </w:r>
          </w:p>
          <w:p w14:paraId="37D6B6F7" w14:textId="77777777" w:rsidR="00E20575" w:rsidRPr="008F22A0" w:rsidRDefault="008F22A0">
            <w:pPr>
              <w:spacing w:after="120" w:line="240" w:lineRule="auto"/>
              <w:jc w:val="both"/>
              <w:rPr>
                <w:rFonts w:ascii="Times New Roman" w:eastAsia="Times New Roman" w:hAnsi="Times New Roman" w:cs="Times New Roman"/>
              </w:rPr>
            </w:pPr>
            <w:r w:rsidRPr="008F22A0">
              <w:rPr>
                <w:rFonts w:ascii="Times New Roman" w:hAnsi="Times New Roman"/>
              </w:rPr>
              <w:t>Artikel 281 i förordning (EU) nr 575/2013.</w:t>
            </w:r>
          </w:p>
        </w:tc>
      </w:tr>
      <w:tr w:rsidR="00E20575" w:rsidRPr="008F22A0" w14:paraId="423F7622" w14:textId="77777777">
        <w:tc>
          <w:tcPr>
            <w:tcW w:w="1129" w:type="dxa"/>
          </w:tcPr>
          <w:p w14:paraId="06745F1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6FF75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Ursprunglig åtagandemetod</w:t>
            </w:r>
          </w:p>
          <w:p w14:paraId="1770176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282 i </w:t>
            </w:r>
            <w:r w:rsidRPr="008F22A0">
              <w:rPr>
                <w:rFonts w:ascii="Times New Roman" w:hAnsi="Times New Roman"/>
              </w:rPr>
              <w:t>förordning (EU) nr 575/2013.</w:t>
            </w:r>
          </w:p>
        </w:tc>
      </w:tr>
      <w:tr w:rsidR="00E20575" w:rsidRPr="008F22A0" w14:paraId="3FBB6AEB" w14:textId="77777777">
        <w:tc>
          <w:tcPr>
            <w:tcW w:w="1129" w:type="dxa"/>
          </w:tcPr>
          <w:p w14:paraId="17A3BF6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F2D67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Alternativa metoder: Full tillämpning av regelverket i förordning (EU) nr 575/2013.</w:t>
            </w:r>
          </w:p>
          <w:p w14:paraId="221988D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25.4 andra stycket i förordning (EU) 2019/2033.</w:t>
            </w:r>
          </w:p>
          <w:p w14:paraId="48A3673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Exponeringar för vilka exponeringsvärdet och kapitalbaskraven fastställs i enligh</w:t>
            </w:r>
            <w:r w:rsidRPr="008F22A0">
              <w:rPr>
                <w:rFonts w:ascii="Times New Roman" w:hAnsi="Times New Roman"/>
              </w:rPr>
              <w:t xml:space="preserve">et med förordning (EU) nr 575/2013. </w:t>
            </w:r>
          </w:p>
        </w:tc>
      </w:tr>
      <w:tr w:rsidR="00E20575" w:rsidRPr="008F22A0" w14:paraId="2FABFD7C" w14:textId="77777777">
        <w:tc>
          <w:tcPr>
            <w:tcW w:w="1129" w:type="dxa"/>
          </w:tcPr>
          <w:p w14:paraId="14018D3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935AA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Memorandumpost: CVA (reditvärdighetsjustering)</w:t>
            </w:r>
          </w:p>
          <w:p w14:paraId="2208E90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Artiklarna 25.5 och 26 i förordning (EU) 2019/2033.</w:t>
            </w:r>
          </w:p>
          <w:p w14:paraId="4AE03B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Om ett institut tillämpar metoden i artikel 26 i förordning (EU) 2019/2033 eller undantaget i artikel 26.5 </w:t>
            </w:r>
            <w:r w:rsidRPr="008F22A0">
              <w:rPr>
                <w:rFonts w:ascii="Times New Roman" w:hAnsi="Times New Roman"/>
              </w:rPr>
              <w:t xml:space="preserve">första stycket i förordning (EU) 2019/2033 ska kreditvärdighetsjusteringen (CVA) fastställas som skillnaden mellan det relevanta beloppet efter tillämpningen av CVA-faktorn som multiplikator och det relevanta beloppet före tillämpningen av CVA-faktorn som </w:t>
            </w:r>
            <w:r w:rsidRPr="008F22A0">
              <w:rPr>
                <w:rFonts w:ascii="Times New Roman" w:hAnsi="Times New Roman"/>
              </w:rPr>
              <w:t>multiplikator.</w:t>
            </w:r>
          </w:p>
          <w:p w14:paraId="1754EA4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Om ett institut tillämpar metoden i artikel 25.5 andra stycket i förordning (EU) 2019/2033 ska kreditvärdighetsjusteringen (CVA) fastställas i enlighet med avdelning VI del tre i förordning (EU) nr 575/2013.</w:t>
            </w:r>
          </w:p>
        </w:tc>
      </w:tr>
      <w:tr w:rsidR="00E20575" w:rsidRPr="008F22A0" w14:paraId="6F6D6002" w14:textId="77777777">
        <w:tc>
          <w:tcPr>
            <w:tcW w:w="1129" w:type="dxa"/>
          </w:tcPr>
          <w:p w14:paraId="74283C2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98E0F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varav: Beräknad i enlighet </w:t>
            </w:r>
            <w:r w:rsidRPr="008F22A0">
              <w:rPr>
                <w:rFonts w:ascii="Times New Roman" w:hAnsi="Times New Roman"/>
                <w:b/>
                <w:u w:val="single"/>
              </w:rPr>
              <w:t>med regelverket i förordning (EU) nr 575/2013.</w:t>
            </w:r>
          </w:p>
          <w:p w14:paraId="71FC198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25.5 andra stycket i förordning (EU) 2019/2033.</w:t>
            </w:r>
          </w:p>
        </w:tc>
      </w:tr>
      <w:tr w:rsidR="00E20575" w:rsidRPr="008F22A0" w14:paraId="19158CC7" w14:textId="77777777">
        <w:tc>
          <w:tcPr>
            <w:tcW w:w="1129" w:type="dxa"/>
          </w:tcPr>
          <w:p w14:paraId="52091DA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2C3129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Uppdelning per typ av motpart</w:t>
            </w:r>
          </w:p>
          <w:p w14:paraId="50AD07E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Uppdelningen av motparter ska baseras på de typer av motparter som avses i tabell 2 i artikel 26 i förordning </w:t>
            </w:r>
            <w:r w:rsidRPr="008F22A0">
              <w:rPr>
                <w:rFonts w:ascii="Times New Roman" w:hAnsi="Times New Roman"/>
              </w:rPr>
              <w:t>(EU) 2019/2033.</w:t>
            </w:r>
          </w:p>
        </w:tc>
      </w:tr>
      <w:tr w:rsidR="00E20575" w:rsidRPr="008F22A0" w14:paraId="56BCEEF5" w14:textId="77777777">
        <w:tc>
          <w:tcPr>
            <w:tcW w:w="1129" w:type="dxa"/>
          </w:tcPr>
          <w:p w14:paraId="6AC66FE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9C0DBC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Nationella regeringar, centralbanker och offentliga organ</w:t>
            </w:r>
          </w:p>
        </w:tc>
      </w:tr>
      <w:tr w:rsidR="00E20575" w:rsidRPr="008F22A0" w14:paraId="5682D9E7" w14:textId="77777777">
        <w:tc>
          <w:tcPr>
            <w:tcW w:w="1129" w:type="dxa"/>
          </w:tcPr>
          <w:p w14:paraId="292822A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C5CE2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Kreditinstitut och värdepappersföretag</w:t>
            </w:r>
          </w:p>
        </w:tc>
      </w:tr>
      <w:tr w:rsidR="00E20575" w:rsidRPr="008F22A0" w14:paraId="4773E16A" w14:textId="77777777">
        <w:tc>
          <w:tcPr>
            <w:tcW w:w="1129" w:type="dxa"/>
          </w:tcPr>
          <w:p w14:paraId="74EE590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DAEAF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Andra motparter</w:t>
            </w:r>
          </w:p>
        </w:tc>
      </w:tr>
    </w:tbl>
    <w:p w14:paraId="439B6C76" w14:textId="77777777" w:rsidR="00E20575" w:rsidRPr="008F22A0" w:rsidRDefault="00E20575">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E20575" w:rsidRPr="008F22A0" w14:paraId="18193F77" w14:textId="77777777">
        <w:trPr>
          <w:trHeight w:val="382"/>
        </w:trPr>
        <w:tc>
          <w:tcPr>
            <w:tcW w:w="1140" w:type="dxa"/>
            <w:shd w:val="clear" w:color="auto" w:fill="D9D9D9"/>
          </w:tcPr>
          <w:p w14:paraId="3C9CB34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w:t>
            </w:r>
          </w:p>
        </w:tc>
        <w:tc>
          <w:tcPr>
            <w:tcW w:w="7700" w:type="dxa"/>
            <w:shd w:val="clear" w:color="auto" w:fill="D9D9D9"/>
          </w:tcPr>
          <w:p w14:paraId="6295638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5F1B69EE" w14:textId="77777777">
        <w:trPr>
          <w:trHeight w:val="1019"/>
        </w:trPr>
        <w:tc>
          <w:tcPr>
            <w:tcW w:w="1140" w:type="dxa"/>
          </w:tcPr>
          <w:p w14:paraId="1BA47BE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031B47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K-faktorkrav</w:t>
            </w:r>
          </w:p>
          <w:p w14:paraId="5DE6175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Kapitalbaskravet ska anges såsom det </w:t>
            </w:r>
            <w:r w:rsidRPr="008F22A0">
              <w:rPr>
                <w:rFonts w:ascii="Times New Roman" w:hAnsi="Times New Roman"/>
              </w:rPr>
              <w:t>beräknas i enlighet med artikel 26 i förordning (EU) 2019/2033 eller tillämpliga bestämmelser i förordning (EU) nr 575/2013.</w:t>
            </w:r>
          </w:p>
        </w:tc>
      </w:tr>
      <w:tr w:rsidR="00E20575" w:rsidRPr="008F22A0" w14:paraId="0863C5B9" w14:textId="77777777">
        <w:trPr>
          <w:trHeight w:val="764"/>
        </w:trPr>
        <w:tc>
          <w:tcPr>
            <w:tcW w:w="1140" w:type="dxa"/>
          </w:tcPr>
          <w:p w14:paraId="39BBC82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3FB0B5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Exponeringsvärde</w:t>
            </w:r>
          </w:p>
          <w:p w14:paraId="00EFBE4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Exponeringsvärdet såsom det beräknas i enlighet med artikel 27 i förordning (EU) 2019/2033 eller tillämpliga</w:t>
            </w:r>
            <w:r w:rsidRPr="008F22A0">
              <w:rPr>
                <w:rFonts w:ascii="Times New Roman" w:hAnsi="Times New Roman"/>
              </w:rPr>
              <w:t xml:space="preserve"> bestämmelser i förordning (EU) nr 575/2013.</w:t>
            </w:r>
          </w:p>
        </w:tc>
      </w:tr>
      <w:tr w:rsidR="00E20575" w:rsidRPr="008F22A0" w14:paraId="6E2BC56E" w14:textId="77777777">
        <w:trPr>
          <w:trHeight w:val="764"/>
        </w:trPr>
        <w:tc>
          <w:tcPr>
            <w:tcW w:w="1140" w:type="dxa"/>
          </w:tcPr>
          <w:p w14:paraId="76A4FD7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29C602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Ersättningskostnad (RC)</w:t>
            </w:r>
          </w:p>
          <w:p w14:paraId="3420ECD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28 i förordning (EU) 2019/2033.</w:t>
            </w:r>
          </w:p>
        </w:tc>
      </w:tr>
      <w:tr w:rsidR="00E20575" w:rsidRPr="008F22A0" w14:paraId="24E3FCF4" w14:textId="77777777">
        <w:trPr>
          <w:trHeight w:val="764"/>
        </w:trPr>
        <w:tc>
          <w:tcPr>
            <w:tcW w:w="1140" w:type="dxa"/>
          </w:tcPr>
          <w:p w14:paraId="2042036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F8A26D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Potentiell framtida exponering (PFE)</w:t>
            </w:r>
          </w:p>
          <w:p w14:paraId="11FFFEF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29 i förordning (EU) 2019/2033.</w:t>
            </w:r>
          </w:p>
        </w:tc>
      </w:tr>
      <w:tr w:rsidR="00E20575" w:rsidRPr="008F22A0" w14:paraId="082D770C" w14:textId="77777777">
        <w:trPr>
          <w:trHeight w:val="810"/>
        </w:trPr>
        <w:tc>
          <w:tcPr>
            <w:tcW w:w="1140" w:type="dxa"/>
          </w:tcPr>
          <w:p w14:paraId="596BE63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B6BDA6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Säkerhet (C)</w:t>
            </w:r>
          </w:p>
          <w:p w14:paraId="13A7202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30.2 och 30.3 i </w:t>
            </w:r>
            <w:r w:rsidRPr="008F22A0">
              <w:rPr>
                <w:rFonts w:ascii="Times New Roman" w:hAnsi="Times New Roman"/>
              </w:rPr>
              <w:t>förordning (EU) 2019/2033.</w:t>
            </w:r>
          </w:p>
          <w:p w14:paraId="0D8A280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redovisade värdet ska vara säkerhetens värde som det används för beräkningen av exponeringsvärdet och därmed, i tillämpliga fall, värdet efter tillämpning av volatilitetsjusteringen och valutaobalansjusteringen för volatilite</w:t>
            </w:r>
            <w:r w:rsidRPr="008F22A0">
              <w:rPr>
                <w:rFonts w:ascii="Times New Roman" w:hAnsi="Times New Roman"/>
              </w:rPr>
              <w:t>t i artiklarna 30.1 och 30.3 i förordning (EU) 2019/2033.</w:t>
            </w:r>
          </w:p>
        </w:tc>
      </w:tr>
    </w:tbl>
    <w:p w14:paraId="533CC22D" w14:textId="77777777" w:rsidR="00E20575" w:rsidRPr="008F22A0" w:rsidRDefault="00E20575">
      <w:pPr>
        <w:rPr>
          <w:sz w:val="10"/>
          <w:szCs w:val="10"/>
        </w:rPr>
      </w:pPr>
    </w:p>
    <w:p w14:paraId="5CF228BD"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23" w:name="_Toc76556820"/>
      <w:bookmarkStart w:id="124" w:name="_Toc88220467"/>
      <w:r w:rsidRPr="008F22A0">
        <w:rPr>
          <w:rFonts w:ascii="Times New Roman" w:hAnsi="Times New Roman"/>
          <w:sz w:val="24"/>
          <w:u w:val="single"/>
        </w:rPr>
        <w:t>3.13. I 06.12 – DAGLIG HANDELSAKTIVITET – YTTERLIGARE UPPGIFTER (I 6.12)</w:t>
      </w:r>
      <w:bookmarkEnd w:id="123"/>
      <w:bookmarkEnd w:id="124"/>
    </w:p>
    <w:p w14:paraId="5111C62E"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rPr>
      </w:pPr>
      <w:bookmarkStart w:id="125" w:name="_Toc76556821"/>
      <w:bookmarkStart w:id="126" w:name="_Toc88220468"/>
      <w:r w:rsidRPr="008F22A0">
        <w:rPr>
          <w:rFonts w:ascii="Times New Roman" w:hAnsi="Times New Roman"/>
          <w:sz w:val="24"/>
        </w:rPr>
        <w:t>3.13.1</w:t>
      </w:r>
      <w:r w:rsidRPr="008F22A0">
        <w:rPr>
          <w:rFonts w:ascii="Times New Roman" w:hAnsi="Times New Roman"/>
          <w:sz w:val="24"/>
        </w:rPr>
        <w:tab/>
        <w:t>Instruktioner för specifika positioner</w:t>
      </w:r>
      <w:bookmarkEnd w:id="125"/>
      <w:bookmarkEnd w:id="12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1063B1F5" w14:textId="77777777">
        <w:tc>
          <w:tcPr>
            <w:tcW w:w="1129" w:type="dxa"/>
            <w:shd w:val="clear" w:color="auto" w:fill="D9D9D9"/>
          </w:tcPr>
          <w:p w14:paraId="31ECC5A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6367639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109D2137" w14:textId="77777777">
        <w:tc>
          <w:tcPr>
            <w:tcW w:w="1129" w:type="dxa"/>
          </w:tcPr>
          <w:p w14:paraId="5BAEB64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893BD6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Total DTF – </w:t>
            </w:r>
            <w:r w:rsidRPr="008F22A0">
              <w:rPr>
                <w:rFonts w:ascii="Times New Roman" w:hAnsi="Times New Roman"/>
                <w:b/>
                <w:u w:val="single"/>
              </w:rPr>
              <w:t>kontanttransaktioner (genomsnittliga belopp)</w:t>
            </w:r>
          </w:p>
          <w:p w14:paraId="36D6CD3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 ska ange det aritmetiska medelvärdet av DTF – kontanttransaktioner för de resterande sex månaderna i enlighet med artikel 33.1 första stycket i förordning (EU) 2019/2033 och som ska mätas i e</w:t>
            </w:r>
            <w:r w:rsidRPr="008F22A0">
              <w:rPr>
                <w:rFonts w:ascii="Times New Roman" w:hAnsi="Times New Roman"/>
              </w:rPr>
              <w:t>nlighet med artikel 33.2 a i förordning (EU) 2019/2033.</w:t>
            </w:r>
          </w:p>
          <w:p w14:paraId="698AE5C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Det belopp som anges i denna cell ska beakta artikel 33.3 i förordning (EU) 2019/2033.</w:t>
            </w:r>
          </w:p>
        </w:tc>
      </w:tr>
      <w:tr w:rsidR="00E20575" w:rsidRPr="008F22A0" w14:paraId="3D950D64" w14:textId="77777777">
        <w:tc>
          <w:tcPr>
            <w:tcW w:w="1129" w:type="dxa"/>
          </w:tcPr>
          <w:p w14:paraId="770FF75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91E0C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 DTF – derivattransaktioner (genomsnittliga belopp)</w:t>
            </w:r>
          </w:p>
          <w:p w14:paraId="096960C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33.2 b i förordning (EU) </w:t>
            </w:r>
            <w:r w:rsidRPr="008F22A0">
              <w:rPr>
                <w:rFonts w:ascii="Times New Roman" w:hAnsi="Times New Roman"/>
              </w:rPr>
              <w:t>2019/2033.</w:t>
            </w:r>
          </w:p>
          <w:p w14:paraId="2AB373E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 ska ange det aritmetiska medelvärdet av DTF – derivattransaktioner för de resterande sex månaderna i enlighet med artikel 33.1 första stycket i förordning (EU) 2019/2033 och ska mätas i enlighet med artikel 33.2 b i förordnin</w:t>
            </w:r>
            <w:r w:rsidRPr="008F22A0">
              <w:rPr>
                <w:rFonts w:ascii="Times New Roman" w:hAnsi="Times New Roman"/>
              </w:rPr>
              <w:t>g (EU) 2019/2033.</w:t>
            </w:r>
          </w:p>
          <w:p w14:paraId="41719605" w14:textId="77777777" w:rsidR="00E20575" w:rsidRPr="008F22A0" w:rsidRDefault="008F22A0">
            <w:pPr>
              <w:spacing w:after="120" w:line="240" w:lineRule="auto"/>
              <w:jc w:val="both"/>
              <w:rPr>
                <w:rFonts w:ascii="Times New Roman" w:eastAsia="Times New Roman" w:hAnsi="Times New Roman" w:cs="Times New Roman"/>
                <w:bCs/>
                <w:u w:val="single"/>
              </w:rPr>
            </w:pPr>
            <w:r w:rsidRPr="008F22A0">
              <w:rPr>
                <w:rFonts w:ascii="Times New Roman" w:hAnsi="Times New Roman"/>
              </w:rPr>
              <w:t>Det belopp som anges i denna cell ska beakta artikel 33.3 i förordning (EU) 2019/2033.</w:t>
            </w:r>
          </w:p>
        </w:tc>
      </w:tr>
    </w:tbl>
    <w:p w14:paraId="1A2F8B6C" w14:textId="77777777" w:rsidR="00E20575" w:rsidRPr="008F22A0" w:rsidRDefault="00E2057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607DF54D" w14:textId="77777777">
        <w:tc>
          <w:tcPr>
            <w:tcW w:w="1129" w:type="dxa"/>
            <w:shd w:val="clear" w:color="auto" w:fill="D9D9D9"/>
          </w:tcPr>
          <w:p w14:paraId="2D047CC3"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Kolumner</w:t>
            </w:r>
          </w:p>
        </w:tc>
        <w:tc>
          <w:tcPr>
            <w:tcW w:w="7620" w:type="dxa"/>
            <w:shd w:val="clear" w:color="auto" w:fill="D9D9D9"/>
          </w:tcPr>
          <w:p w14:paraId="2033061B"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Rättsliga hänvisningar och instruktioner</w:t>
            </w:r>
          </w:p>
        </w:tc>
      </w:tr>
      <w:tr w:rsidR="00E20575" w:rsidRPr="008F22A0" w14:paraId="7C756AC6" w14:textId="77777777">
        <w:tc>
          <w:tcPr>
            <w:tcW w:w="1129" w:type="dxa"/>
          </w:tcPr>
          <w:p w14:paraId="5B386D5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w:t>
            </w:r>
          </w:p>
        </w:tc>
        <w:tc>
          <w:tcPr>
            <w:tcW w:w="7620" w:type="dxa"/>
          </w:tcPr>
          <w:p w14:paraId="1EC8027E"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Genomsnittligt faktorbelopp – månad t</w:t>
            </w:r>
          </w:p>
          <w:p w14:paraId="7A146BB8"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Värdet av DTF i slutet av den tredje månaden (dvs. </w:t>
            </w:r>
            <w:r w:rsidRPr="008F22A0">
              <w:rPr>
                <w:rFonts w:ascii="Times New Roman" w:hAnsi="Times New Roman"/>
              </w:rPr>
              <w:t>den senaste) i det kvartal som redovisningen avser.</w:t>
            </w:r>
          </w:p>
        </w:tc>
      </w:tr>
      <w:tr w:rsidR="00E20575" w:rsidRPr="008F22A0" w14:paraId="5686ADFF" w14:textId="77777777">
        <w:tc>
          <w:tcPr>
            <w:tcW w:w="1129" w:type="dxa"/>
          </w:tcPr>
          <w:p w14:paraId="3F8E34B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0020</w:t>
            </w:r>
          </w:p>
        </w:tc>
        <w:tc>
          <w:tcPr>
            <w:tcW w:w="7620" w:type="dxa"/>
          </w:tcPr>
          <w:p w14:paraId="4D8994B8"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Genomsnittligt faktorbelopp – månad t-1</w:t>
            </w:r>
          </w:p>
          <w:p w14:paraId="321B25D2"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Värdet av DTF i slutet av den andra månaden i det kvartal som redovisningen avser.</w:t>
            </w:r>
          </w:p>
        </w:tc>
      </w:tr>
      <w:tr w:rsidR="00E20575" w:rsidRPr="008F22A0" w14:paraId="3C4EA595" w14:textId="77777777">
        <w:tc>
          <w:tcPr>
            <w:tcW w:w="1129" w:type="dxa"/>
          </w:tcPr>
          <w:p w14:paraId="07CDFF22"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0030</w:t>
            </w:r>
          </w:p>
        </w:tc>
        <w:tc>
          <w:tcPr>
            <w:tcW w:w="7620" w:type="dxa"/>
          </w:tcPr>
          <w:p w14:paraId="04C1799F"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Genomsnittligt faktorbelopp – månad t-2</w:t>
            </w:r>
          </w:p>
          <w:p w14:paraId="0D637A11"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Värdet av DTF i slutet av </w:t>
            </w:r>
            <w:r w:rsidRPr="008F22A0">
              <w:rPr>
                <w:rFonts w:ascii="Times New Roman" w:hAnsi="Times New Roman"/>
              </w:rPr>
              <w:t>den första månaden i det kvartal som redovisningen avser.</w:t>
            </w:r>
          </w:p>
        </w:tc>
      </w:tr>
    </w:tbl>
    <w:p w14:paraId="303322F1" w14:textId="77777777" w:rsidR="00E20575" w:rsidRPr="008F22A0" w:rsidRDefault="00E20575">
      <w:pPr>
        <w:rPr>
          <w:rFonts w:ascii="Times New Roman" w:eastAsia="Arial" w:hAnsi="Times New Roman" w:cs="Times New Roman"/>
          <w:sz w:val="24"/>
          <w:szCs w:val="24"/>
          <w:u w:val="single"/>
        </w:rPr>
      </w:pPr>
    </w:p>
    <w:p w14:paraId="34D03AEA" w14:textId="77777777" w:rsidR="00E20575" w:rsidRPr="008F22A0" w:rsidRDefault="008F22A0">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127" w:name="_Toc76556822"/>
      <w:bookmarkStart w:id="128" w:name="_Toc88220469"/>
      <w:r w:rsidRPr="008F22A0">
        <w:rPr>
          <w:rFonts w:ascii="Times New Roman" w:hAnsi="Times New Roman"/>
          <w:sz w:val="24"/>
          <w:u w:val="single"/>
        </w:rPr>
        <w:t>3.14. I 06.13 – GENOMSNITTLIGT VÄRDE AV DEN TOTALA DAGLIGA HANDELSAKTIVITETEN (I 6.13)</w:t>
      </w:r>
      <w:bookmarkEnd w:id="127"/>
      <w:bookmarkEnd w:id="128"/>
    </w:p>
    <w:p w14:paraId="3370E1CC" w14:textId="77777777" w:rsidR="00E20575" w:rsidRPr="008F22A0" w:rsidRDefault="008F22A0">
      <w:pPr>
        <w:pStyle w:val="Instructionsberschrift2"/>
        <w:ind w:left="357" w:hanging="215"/>
        <w:rPr>
          <w:rFonts w:ascii="Times New Roman" w:hAnsi="Times New Roman" w:cs="Times New Roman"/>
          <w:sz w:val="24"/>
        </w:rPr>
      </w:pPr>
      <w:bookmarkStart w:id="129" w:name="_Toc76556823"/>
      <w:bookmarkStart w:id="130" w:name="_Toc88220470"/>
      <w:r w:rsidRPr="008F22A0">
        <w:rPr>
          <w:rFonts w:ascii="Times New Roman" w:hAnsi="Times New Roman"/>
          <w:sz w:val="24"/>
          <w:u w:val="none"/>
        </w:rPr>
        <w:t xml:space="preserve">3.14.1. </w:t>
      </w:r>
      <w:r w:rsidRPr="008F22A0">
        <w:rPr>
          <w:rFonts w:ascii="Times New Roman" w:hAnsi="Times New Roman"/>
          <w:sz w:val="24"/>
        </w:rPr>
        <w:t>Instruktioner för specifika positioner</w:t>
      </w:r>
      <w:bookmarkEnd w:id="129"/>
      <w:bookmarkEnd w:id="1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09299AA5" w14:textId="77777777">
        <w:tc>
          <w:tcPr>
            <w:tcW w:w="1129" w:type="dxa"/>
            <w:shd w:val="clear" w:color="auto" w:fill="D9D9D9"/>
          </w:tcPr>
          <w:p w14:paraId="0C933132"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Rad</w:t>
            </w:r>
          </w:p>
        </w:tc>
        <w:tc>
          <w:tcPr>
            <w:tcW w:w="7620" w:type="dxa"/>
            <w:shd w:val="clear" w:color="auto" w:fill="D9D9D9"/>
          </w:tcPr>
          <w:p w14:paraId="05D2F5B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Rättsliga hänvisningar och instruktioner</w:t>
            </w:r>
          </w:p>
        </w:tc>
      </w:tr>
      <w:tr w:rsidR="00E20575" w:rsidRPr="008F22A0" w14:paraId="44A108F7" w14:textId="77777777">
        <w:tc>
          <w:tcPr>
            <w:tcW w:w="1129" w:type="dxa"/>
          </w:tcPr>
          <w:p w14:paraId="1C1E56A7"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EF0CAC"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Daglig handelsaktivitet – kontanttransaktioner</w:t>
            </w:r>
          </w:p>
          <w:p w14:paraId="37C611AE"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Det genomsnittliga värdet av de totala dagliga handelsaktiviteterna (kontanttransaktioner) för den relevanta månaden enligt artikel 33.1 i förordning (EU) 2019/2033 och som ska mätas i enlighet med artikel 33.</w:t>
            </w:r>
            <w:r w:rsidRPr="008F22A0">
              <w:rPr>
                <w:rFonts w:ascii="Times New Roman" w:hAnsi="Times New Roman"/>
              </w:rPr>
              <w:t>2 a i förordning (EU) 2019/2033.</w:t>
            </w:r>
          </w:p>
        </w:tc>
      </w:tr>
      <w:tr w:rsidR="00E20575" w:rsidRPr="008F22A0" w14:paraId="1238DE0E" w14:textId="77777777">
        <w:tc>
          <w:tcPr>
            <w:tcW w:w="1129" w:type="dxa"/>
          </w:tcPr>
          <w:p w14:paraId="70E1D3E1"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8A4B03"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Daglig handelsaktivitet – derivattransaktioner</w:t>
            </w:r>
          </w:p>
          <w:p w14:paraId="2E6C77B3" w14:textId="77777777" w:rsidR="00E20575" w:rsidRPr="008F22A0" w:rsidRDefault="008F22A0">
            <w:pPr>
              <w:spacing w:after="120" w:line="240" w:lineRule="auto"/>
              <w:jc w:val="both"/>
              <w:rPr>
                <w:rFonts w:ascii="Times New Roman" w:eastAsia="Times New Roman" w:hAnsi="Times New Roman" w:cs="Times New Roman"/>
                <w:bCs/>
                <w:szCs w:val="24"/>
                <w:u w:val="single"/>
              </w:rPr>
            </w:pPr>
            <w:r w:rsidRPr="008F22A0">
              <w:rPr>
                <w:rFonts w:ascii="Times New Roman" w:hAnsi="Times New Roman"/>
              </w:rPr>
              <w:t>Det genomsnittliga värdet av de totala dagliga handelsaktiviteterna (derivattransaktioner) för den relevanta månaden enligt artikel 33.1 i förordning (EU) 2019/2033 och s</w:t>
            </w:r>
            <w:r w:rsidRPr="008F22A0">
              <w:rPr>
                <w:rFonts w:ascii="Times New Roman" w:hAnsi="Times New Roman"/>
              </w:rPr>
              <w:t>ka mätas i enlighet med artikel 33.2 b i förordning (EU) 2019/2033.</w:t>
            </w:r>
          </w:p>
        </w:tc>
      </w:tr>
    </w:tbl>
    <w:p w14:paraId="2AAB7243" w14:textId="77777777" w:rsidR="00E20575" w:rsidRPr="008F22A0" w:rsidRDefault="00E20575">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3C85B79A" w14:textId="77777777">
        <w:tc>
          <w:tcPr>
            <w:tcW w:w="1129" w:type="dxa"/>
            <w:shd w:val="clear" w:color="auto" w:fill="D9D9D9"/>
          </w:tcPr>
          <w:p w14:paraId="0E4B508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7A5C285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6E220F44" w14:textId="77777777">
        <w:tc>
          <w:tcPr>
            <w:tcW w:w="1129" w:type="dxa"/>
          </w:tcPr>
          <w:p w14:paraId="70E168C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0010–0080</w:t>
            </w:r>
          </w:p>
        </w:tc>
        <w:tc>
          <w:tcPr>
            <w:tcW w:w="7620" w:type="dxa"/>
          </w:tcPr>
          <w:p w14:paraId="127DB8B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Genomsnittligt värde per månad av de totala dagliga handelsaktiviteterna</w:t>
            </w:r>
          </w:p>
          <w:p w14:paraId="7C2337D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Värdepappersföretag ska i varje </w:t>
            </w:r>
            <w:r w:rsidRPr="008F22A0">
              <w:rPr>
                <w:rFonts w:ascii="Times New Roman" w:hAnsi="Times New Roman"/>
              </w:rPr>
              <w:t>månadskolumn ange det genomsnittliga värdet per månad av de totala dagliga handelsaktiviteterna, mätt i slutet av varje bankdag i enlighet med artikel 33.1 i förordning (EU) 2019/2033.</w:t>
            </w:r>
          </w:p>
        </w:tc>
      </w:tr>
    </w:tbl>
    <w:p w14:paraId="2BB08DBA" w14:textId="77777777" w:rsidR="00E20575" w:rsidRPr="008F22A0" w:rsidRDefault="00E20575">
      <w:pPr>
        <w:rPr>
          <w:rFonts w:ascii="Times New Roman" w:eastAsia="Arial" w:hAnsi="Times New Roman" w:cs="Times New Roman"/>
          <w:sz w:val="24"/>
          <w:szCs w:val="24"/>
          <w:u w:val="single"/>
        </w:rPr>
      </w:pPr>
    </w:p>
    <w:p w14:paraId="2F39F34F" w14:textId="77777777" w:rsidR="00E20575" w:rsidRPr="008F22A0" w:rsidRDefault="008F22A0">
      <w:pPr>
        <w:pStyle w:val="Instructionsberschrift2"/>
        <w:ind w:left="357" w:hanging="357"/>
        <w:rPr>
          <w:rFonts w:ascii="Times New Roman" w:hAnsi="Times New Roman" w:cs="Times New Roman"/>
          <w:b/>
          <w:sz w:val="24"/>
        </w:rPr>
      </w:pPr>
      <w:bookmarkStart w:id="131" w:name="_Toc76556824"/>
      <w:bookmarkStart w:id="132" w:name="_Toc88220471"/>
      <w:r w:rsidRPr="008F22A0">
        <w:rPr>
          <w:rFonts w:ascii="Times New Roman" w:hAnsi="Times New Roman"/>
          <w:b/>
          <w:sz w:val="24"/>
        </w:rPr>
        <w:t>4. Redovisning av koncentrationsrisker</w:t>
      </w:r>
      <w:bookmarkEnd w:id="131"/>
      <w:bookmarkEnd w:id="132"/>
    </w:p>
    <w:p w14:paraId="5D37F643" w14:textId="77777777" w:rsidR="00E20575" w:rsidRPr="008F22A0" w:rsidRDefault="008F22A0">
      <w:pPr>
        <w:pStyle w:val="Instructionsberschrift2"/>
        <w:ind w:left="357" w:hanging="357"/>
        <w:rPr>
          <w:rFonts w:ascii="Times New Roman" w:hAnsi="Times New Roman" w:cs="Times New Roman"/>
          <w:sz w:val="24"/>
        </w:rPr>
      </w:pPr>
      <w:bookmarkStart w:id="133" w:name="_Toc76556825"/>
      <w:bookmarkStart w:id="134" w:name="_Toc88220472"/>
      <w:r w:rsidRPr="008F22A0">
        <w:rPr>
          <w:rFonts w:ascii="Times New Roman" w:hAnsi="Times New Roman"/>
          <w:sz w:val="24"/>
        </w:rPr>
        <w:t>4.1. Allmänna kommentarer</w:t>
      </w:r>
      <w:bookmarkEnd w:id="133"/>
      <w:bookmarkEnd w:id="134"/>
    </w:p>
    <w:p w14:paraId="46EF5D01"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16.</w:t>
      </w:r>
      <w:r w:rsidRPr="008F22A0">
        <w:rPr>
          <w:rFonts w:ascii="Times New Roman" w:hAnsi="Times New Roman" w:cs="Times New Roman"/>
          <w:sz w:val="24"/>
        </w:rPr>
        <w:tab/>
      </w:r>
      <w:r w:rsidRPr="008F22A0">
        <w:rPr>
          <w:rFonts w:ascii="Times New Roman" w:hAnsi="Times New Roman"/>
          <w:sz w:val="24"/>
        </w:rPr>
        <w:t>Redovisning av koncentrationsrisker innehåller information om de koncentrationsrisker som ett värdepappersföretag är exponerat för genom sina positioner i handelslagret på grund av motparterrisk. Detta leder till beräkningen av K-CON, ett ytterligare kapit</w:t>
      </w:r>
      <w:r w:rsidRPr="008F22A0">
        <w:rPr>
          <w:rFonts w:ascii="Times New Roman" w:hAnsi="Times New Roman"/>
          <w:sz w:val="24"/>
        </w:rPr>
        <w:t xml:space="preserve">albaskrav på grund av de exponeringar som värdepappersföretaget har i sin balansräkning. Detta är i linje med definitionen av </w:t>
      </w:r>
      <w:r w:rsidRPr="008F22A0">
        <w:rPr>
          <w:rFonts w:ascii="Times New Roman" w:hAnsi="Times New Roman"/>
          <w:sz w:val="24"/>
        </w:rPr>
        <w:t>”</w:t>
      </w:r>
      <w:r w:rsidRPr="008F22A0">
        <w:rPr>
          <w:rFonts w:ascii="Times New Roman" w:hAnsi="Times New Roman"/>
          <w:sz w:val="24"/>
        </w:rPr>
        <w:t>koncentrationsris</w:t>
      </w:r>
      <w:r w:rsidRPr="008F22A0">
        <w:rPr>
          <w:rFonts w:ascii="Times New Roman" w:hAnsi="Times New Roman"/>
          <w:sz w:val="24"/>
        </w:rPr>
        <w:t>k”</w:t>
      </w:r>
      <w:r w:rsidRPr="008F22A0">
        <w:rPr>
          <w:rFonts w:ascii="Times New Roman" w:hAnsi="Times New Roman"/>
          <w:sz w:val="24"/>
        </w:rPr>
        <w:t xml:space="preserve"> i artikel 4.1.31 i förordning (EU) 2019/2033 där Koncentrationsrisk eller CON avser exponeringar i värdepappersföretagets handelslager mot en kund eller en grupp av kunder med inbördes anknytning vars värde överstiger gränsvärdena i artikel 37.1.</w:t>
      </w:r>
    </w:p>
    <w:p w14:paraId="67CFC215"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17.</w:t>
      </w:r>
      <w:r w:rsidRPr="008F22A0">
        <w:rPr>
          <w:rFonts w:ascii="Times New Roman" w:hAnsi="Times New Roman" w:cs="Times New Roman"/>
          <w:sz w:val="24"/>
        </w:rPr>
        <w:tab/>
      </w:r>
      <w:r w:rsidRPr="008F22A0">
        <w:rPr>
          <w:rFonts w:ascii="Times New Roman" w:hAnsi="Times New Roman"/>
          <w:sz w:val="24"/>
        </w:rPr>
        <w:t>Redo</w:t>
      </w:r>
      <w:r w:rsidRPr="008F22A0">
        <w:rPr>
          <w:rFonts w:ascii="Times New Roman" w:hAnsi="Times New Roman"/>
          <w:sz w:val="24"/>
        </w:rPr>
        <w:t>visning av koncentrationsrisker omfattar även information om följande:</w:t>
      </w:r>
    </w:p>
    <w:p w14:paraId="28558DDA"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i.</w:t>
      </w:r>
      <w:r w:rsidRPr="008F22A0">
        <w:rPr>
          <w:rFonts w:ascii="Times New Roman" w:hAnsi="Times New Roman" w:cs="Times New Roman"/>
          <w:sz w:val="24"/>
        </w:rPr>
        <w:tab/>
      </w:r>
      <w:r w:rsidRPr="008F22A0">
        <w:rPr>
          <w:rFonts w:ascii="Times New Roman" w:hAnsi="Times New Roman"/>
          <w:sz w:val="24"/>
        </w:rPr>
        <w:t>Innehav av kundmedel.</w:t>
      </w:r>
    </w:p>
    <w:p w14:paraId="752F9F16"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ii.</w:t>
      </w:r>
      <w:r w:rsidRPr="008F22A0">
        <w:rPr>
          <w:rFonts w:ascii="Times New Roman" w:hAnsi="Times New Roman" w:cs="Times New Roman"/>
          <w:sz w:val="24"/>
        </w:rPr>
        <w:tab/>
      </w:r>
      <w:r w:rsidRPr="008F22A0">
        <w:rPr>
          <w:rFonts w:ascii="Times New Roman" w:hAnsi="Times New Roman"/>
          <w:sz w:val="24"/>
        </w:rPr>
        <w:t>Kunders tillgångar.</w:t>
      </w:r>
    </w:p>
    <w:p w14:paraId="3EF7065A"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iii.</w:t>
      </w:r>
      <w:r w:rsidRPr="008F22A0">
        <w:rPr>
          <w:rFonts w:ascii="Times New Roman" w:hAnsi="Times New Roman" w:cs="Times New Roman"/>
          <w:sz w:val="24"/>
        </w:rPr>
        <w:tab/>
      </w:r>
      <w:r w:rsidRPr="008F22A0">
        <w:rPr>
          <w:rFonts w:ascii="Times New Roman" w:hAnsi="Times New Roman"/>
          <w:sz w:val="24"/>
        </w:rPr>
        <w:t>Företagets egna likvida medel.</w:t>
      </w:r>
    </w:p>
    <w:p w14:paraId="25BB922C"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iv.</w:t>
      </w:r>
      <w:r w:rsidRPr="008F22A0">
        <w:rPr>
          <w:rFonts w:ascii="Times New Roman" w:hAnsi="Times New Roman" w:cs="Times New Roman"/>
          <w:sz w:val="24"/>
        </w:rPr>
        <w:tab/>
      </w:r>
      <w:r w:rsidRPr="008F22A0">
        <w:rPr>
          <w:rFonts w:ascii="Times New Roman" w:hAnsi="Times New Roman"/>
          <w:sz w:val="24"/>
        </w:rPr>
        <w:t>Intäkter från kunder.</w:t>
      </w:r>
    </w:p>
    <w:p w14:paraId="27E375E8"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v.</w:t>
      </w:r>
      <w:r w:rsidRPr="008F22A0">
        <w:rPr>
          <w:rFonts w:ascii="Times New Roman" w:hAnsi="Times New Roman" w:cs="Times New Roman"/>
          <w:sz w:val="24"/>
        </w:rPr>
        <w:tab/>
      </w:r>
      <w:r w:rsidRPr="008F22A0">
        <w:rPr>
          <w:rFonts w:ascii="Times New Roman" w:hAnsi="Times New Roman"/>
          <w:sz w:val="24"/>
        </w:rPr>
        <w:t>Positioner i handelslagret.</w:t>
      </w:r>
    </w:p>
    <w:p w14:paraId="5C2F098A" w14:textId="77777777" w:rsidR="00E20575" w:rsidRPr="008F22A0" w:rsidRDefault="008F22A0">
      <w:pPr>
        <w:spacing w:after="0" w:line="276" w:lineRule="auto"/>
        <w:ind w:left="2160" w:hanging="180"/>
        <w:jc w:val="both"/>
        <w:rPr>
          <w:rFonts w:ascii="Times New Roman" w:hAnsi="Times New Roman" w:cs="Times New Roman"/>
          <w:sz w:val="24"/>
        </w:rPr>
      </w:pPr>
      <w:r w:rsidRPr="008F22A0">
        <w:rPr>
          <w:rFonts w:ascii="Times New Roman" w:hAnsi="Times New Roman" w:cs="Times New Roman"/>
          <w:sz w:val="24"/>
        </w:rPr>
        <w:t>vi.</w:t>
      </w:r>
      <w:r w:rsidRPr="008F22A0">
        <w:rPr>
          <w:rFonts w:ascii="Times New Roman" w:hAnsi="Times New Roman" w:cs="Times New Roman"/>
          <w:sz w:val="24"/>
        </w:rPr>
        <w:tab/>
      </w:r>
      <w:r w:rsidRPr="008F22A0">
        <w:rPr>
          <w:rFonts w:ascii="Times New Roman" w:hAnsi="Times New Roman"/>
          <w:sz w:val="24"/>
        </w:rPr>
        <w:t>Exponeringar beräknade med beaktande av</w:t>
      </w:r>
      <w:r w:rsidRPr="008F22A0">
        <w:rPr>
          <w:rFonts w:ascii="Times New Roman" w:hAnsi="Times New Roman"/>
          <w:sz w:val="24"/>
        </w:rPr>
        <w:t xml:space="preserve"> tillgångar och poster utanför balansräkningen som inte tagits upp i handelslagret.</w:t>
      </w:r>
    </w:p>
    <w:p w14:paraId="138DDF2F"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18.</w:t>
      </w:r>
      <w:r w:rsidRPr="008F22A0">
        <w:rPr>
          <w:rFonts w:ascii="Times New Roman" w:hAnsi="Times New Roman" w:cs="Times New Roman"/>
          <w:sz w:val="24"/>
        </w:rPr>
        <w:tab/>
      </w:r>
      <w:r w:rsidRPr="008F22A0">
        <w:rPr>
          <w:rFonts w:ascii="Times New Roman" w:hAnsi="Times New Roman"/>
          <w:sz w:val="24"/>
        </w:rPr>
        <w:t xml:space="preserve">Även om ordalydelsen i artikel54.2 i förordning (EU) 2019/2033 också hänvisar till </w:t>
      </w:r>
      <w:r w:rsidRPr="008F22A0">
        <w:rPr>
          <w:rFonts w:ascii="Times New Roman" w:hAnsi="Times New Roman"/>
          <w:sz w:val="24"/>
        </w:rPr>
        <w:t>”</w:t>
      </w:r>
      <w:r w:rsidRPr="008F22A0">
        <w:rPr>
          <w:rFonts w:ascii="Times New Roman" w:hAnsi="Times New Roman"/>
          <w:sz w:val="24"/>
        </w:rPr>
        <w:t>koncentrationsris</w:t>
      </w:r>
      <w:r w:rsidRPr="008F22A0">
        <w:rPr>
          <w:rFonts w:ascii="Times New Roman" w:hAnsi="Times New Roman"/>
          <w:sz w:val="24"/>
        </w:rPr>
        <w:t>k”</w:t>
      </w:r>
      <w:r w:rsidRPr="008F22A0">
        <w:rPr>
          <w:rFonts w:ascii="Times New Roman" w:hAnsi="Times New Roman"/>
          <w:sz w:val="24"/>
        </w:rPr>
        <w:t xml:space="preserve"> är definitionen av denna i artikel 4.1.31 i förordning (EU) 2019</w:t>
      </w:r>
      <w:r w:rsidRPr="008F22A0">
        <w:rPr>
          <w:rFonts w:ascii="Times New Roman" w:hAnsi="Times New Roman"/>
          <w:sz w:val="24"/>
        </w:rPr>
        <w:t xml:space="preserve">/2033 och de gränsvärden som anges i artikel 37.1 i förordning (EU) 2019/2033 inte förenliga med de poster som beskrivs i artikel 54.2 b–e i </w:t>
      </w:r>
      <w:r w:rsidRPr="008F22A0">
        <w:rPr>
          <w:rFonts w:ascii="Times New Roman" w:hAnsi="Times New Roman"/>
        </w:rPr>
        <w:t xml:space="preserve">förordning </w:t>
      </w:r>
      <w:r w:rsidRPr="008F22A0">
        <w:rPr>
          <w:rFonts w:ascii="Times New Roman" w:hAnsi="Times New Roman"/>
          <w:sz w:val="24"/>
        </w:rPr>
        <w:t>(EU) 2019/2033. Därför är den redovisning som krävs inriktad på de fem största positionerna, om sådana f</w:t>
      </w:r>
      <w:r w:rsidRPr="008F22A0">
        <w:rPr>
          <w:rFonts w:ascii="Times New Roman" w:hAnsi="Times New Roman"/>
          <w:sz w:val="24"/>
        </w:rPr>
        <w:t>inns tillgängliga, för var och en av posterna i–vi i punkt 19 som innehas eller kan hänföras till ett visst institut, en viss kund eller en annan enhet. Denna redovisning gör det möjligt för de behöriga myndigheterna att bättre förstå de risker som värdepa</w:t>
      </w:r>
      <w:r w:rsidRPr="008F22A0">
        <w:rPr>
          <w:rFonts w:ascii="Times New Roman" w:hAnsi="Times New Roman"/>
          <w:sz w:val="24"/>
        </w:rPr>
        <w:t>ppersföretagen kan utsättas för till följd av dessa.</w:t>
      </w:r>
    </w:p>
    <w:p w14:paraId="44B7BEB4" w14:textId="77777777" w:rsidR="00E20575" w:rsidRPr="008F22A0" w:rsidRDefault="008F22A0">
      <w:pPr>
        <w:spacing w:line="256" w:lineRule="auto"/>
        <w:ind w:left="993" w:hanging="567"/>
        <w:jc w:val="both"/>
        <w:rPr>
          <w:rFonts w:ascii="Times New Roman" w:hAnsi="Times New Roman" w:cs="Times New Roman"/>
          <w:sz w:val="24"/>
        </w:rPr>
      </w:pPr>
      <w:r w:rsidRPr="008F22A0">
        <w:rPr>
          <w:rFonts w:ascii="Times New Roman" w:hAnsi="Times New Roman" w:cs="Times New Roman"/>
          <w:sz w:val="24"/>
        </w:rPr>
        <w:t>19.</w:t>
      </w:r>
      <w:r w:rsidRPr="008F22A0">
        <w:rPr>
          <w:rFonts w:ascii="Times New Roman" w:hAnsi="Times New Roman" w:cs="Times New Roman"/>
          <w:sz w:val="24"/>
        </w:rPr>
        <w:tab/>
      </w:r>
      <w:r w:rsidRPr="008F22A0">
        <w:rPr>
          <w:rFonts w:ascii="Times New Roman" w:hAnsi="Times New Roman"/>
          <w:sz w:val="24"/>
        </w:rPr>
        <w:t xml:space="preserve">Redovisning av koncentrationsrisker består av mallarna I 07.00 och I 08.00 och, i enlighet med artikel 54.2 i förordning (EU) 2019/2033, behöver företag som uppfyller villkoren för att </w:t>
      </w:r>
      <w:r w:rsidRPr="008F22A0">
        <w:rPr>
          <w:rFonts w:ascii="Times New Roman" w:hAnsi="Times New Roman"/>
          <w:sz w:val="24"/>
        </w:rPr>
        <w:t>betraktas som ett litet och icke-sammanlänkat värdepappersföretag enligt artikel 12.1 i förordning (EU) 2019/2033 inte redovisa information i detta avseende.</w:t>
      </w:r>
    </w:p>
    <w:p w14:paraId="581BD4CF" w14:textId="77777777" w:rsidR="00E20575" w:rsidRPr="008F22A0" w:rsidRDefault="008F22A0">
      <w:pPr>
        <w:pStyle w:val="Instructionsberschrift2"/>
        <w:ind w:left="0"/>
        <w:rPr>
          <w:rFonts w:ascii="Times New Roman" w:hAnsi="Times New Roman" w:cs="Times New Roman"/>
          <w:sz w:val="24"/>
        </w:rPr>
      </w:pPr>
      <w:bookmarkStart w:id="135" w:name="_Toc76556826"/>
      <w:bookmarkStart w:id="136" w:name="_Toc88220473"/>
      <w:r w:rsidRPr="008F22A0">
        <w:rPr>
          <w:rFonts w:ascii="Times New Roman" w:hAnsi="Times New Roman"/>
          <w:sz w:val="24"/>
        </w:rPr>
        <w:t>4.2. I 07.00 – YTTERLIGARE UPPGIFTER OM K-CON (I7)</w:t>
      </w:r>
      <w:bookmarkEnd w:id="135"/>
      <w:bookmarkEnd w:id="136"/>
    </w:p>
    <w:p w14:paraId="3EBFE5BC" w14:textId="77777777" w:rsidR="00E20575" w:rsidRPr="008F22A0" w:rsidRDefault="008F22A0">
      <w:pPr>
        <w:pStyle w:val="Instructionsberschrift2"/>
        <w:ind w:left="0"/>
        <w:rPr>
          <w:rFonts w:ascii="Times New Roman" w:hAnsi="Times New Roman" w:cs="Times New Roman"/>
        </w:rPr>
      </w:pPr>
      <w:bookmarkStart w:id="137" w:name="_Toc76556827"/>
      <w:bookmarkStart w:id="138" w:name="_Toc88220474"/>
      <w:r w:rsidRPr="008F22A0">
        <w:rPr>
          <w:rFonts w:ascii="Times New Roman" w:hAnsi="Times New Roman"/>
          <w:sz w:val="24"/>
          <w:u w:val="none"/>
        </w:rPr>
        <w:t>4.2.1</w:t>
      </w:r>
      <w:r w:rsidRPr="008F22A0">
        <w:rPr>
          <w:rFonts w:ascii="Times New Roman" w:hAnsi="Times New Roman"/>
          <w:sz w:val="24"/>
          <w:u w:val="none"/>
        </w:rPr>
        <w:tab/>
      </w:r>
      <w:r w:rsidRPr="008F22A0">
        <w:rPr>
          <w:rFonts w:ascii="Times New Roman" w:hAnsi="Times New Roman"/>
          <w:sz w:val="24"/>
        </w:rPr>
        <w:t>Instruktioner för specifika positioner</w:t>
      </w:r>
      <w:bookmarkEnd w:id="137"/>
      <w:bookmarkEnd w:id="13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0945C219" w14:textId="77777777">
        <w:tc>
          <w:tcPr>
            <w:tcW w:w="1389" w:type="dxa"/>
            <w:shd w:val="clear" w:color="auto" w:fill="D9D9D9"/>
          </w:tcPr>
          <w:p w14:paraId="62DD43A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w:t>
            </w:r>
            <w:r w:rsidRPr="008F22A0">
              <w:rPr>
                <w:rFonts w:ascii="Times New Roman" w:hAnsi="Times New Roman"/>
              </w:rPr>
              <w:t>lumner</w:t>
            </w:r>
          </w:p>
        </w:tc>
        <w:tc>
          <w:tcPr>
            <w:tcW w:w="7620" w:type="dxa"/>
            <w:shd w:val="clear" w:color="auto" w:fill="D9D9D9"/>
          </w:tcPr>
          <w:p w14:paraId="5D7915C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63F23475" w14:textId="77777777">
        <w:tc>
          <w:tcPr>
            <w:tcW w:w="1389" w:type="dxa"/>
          </w:tcPr>
          <w:p w14:paraId="5433F92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0010–0060</w:t>
            </w:r>
          </w:p>
        </w:tc>
        <w:tc>
          <w:tcPr>
            <w:tcW w:w="7620" w:type="dxa"/>
          </w:tcPr>
          <w:p w14:paraId="68E9E5E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Motpartens ID</w:t>
            </w:r>
          </w:p>
          <w:p w14:paraId="702559C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Värdepappersföretaget ska ange identifieringen av de motparter eller den grupp av kunder med inbördes anknytning mot vilka de har en exponering som överskrider de gränsvärden som ange</w:t>
            </w:r>
            <w:r w:rsidRPr="008F22A0">
              <w:rPr>
                <w:rFonts w:ascii="Times New Roman" w:hAnsi="Times New Roman"/>
              </w:rPr>
              <w:t>s i artikel 37.1 i förordning (EU) 2019/2033.</w:t>
            </w:r>
          </w:p>
        </w:tc>
      </w:tr>
      <w:tr w:rsidR="00E20575" w:rsidRPr="008F22A0" w14:paraId="38FC3138" w14:textId="77777777">
        <w:tc>
          <w:tcPr>
            <w:tcW w:w="1389" w:type="dxa"/>
          </w:tcPr>
          <w:p w14:paraId="5DD34E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0E74E1AD"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Kod</w:t>
            </w:r>
          </w:p>
          <w:p w14:paraId="35026C2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Koden måste som del av en radidentifierare vara unik för varje redovisad enhet. För värdepappersföretag och försäkringsföretag måste koden vara LEI-koden. För andra företag måste koden vara </w:t>
            </w:r>
            <w:r w:rsidRPr="008F22A0">
              <w:rPr>
                <w:rStyle w:val="FormatvorlageInstructionsTabelleText"/>
                <w:rFonts w:ascii="Times New Roman" w:hAnsi="Times New Roman"/>
                <w:sz w:val="22"/>
              </w:rPr>
              <w:t>LEI-koden eller, om den inte finns tillgänglig, en nationell kod. Koden ska vara unik och användas konsekvent i alla mallar och över tid. Koden ska alltid ha ett värde.</w:t>
            </w:r>
          </w:p>
        </w:tc>
      </w:tr>
      <w:tr w:rsidR="00E20575" w:rsidRPr="008F22A0" w14:paraId="170D33F0" w14:textId="77777777">
        <w:tc>
          <w:tcPr>
            <w:tcW w:w="1389" w:type="dxa"/>
          </w:tcPr>
          <w:p w14:paraId="3DF9006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1490EE5F"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Typ av kod</w:t>
            </w:r>
          </w:p>
          <w:p w14:paraId="1715778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p w14:paraId="2D970E5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Typen av kod ska alltid anges.</w:t>
            </w:r>
          </w:p>
        </w:tc>
      </w:tr>
      <w:tr w:rsidR="00E20575" w:rsidRPr="008F22A0" w14:paraId="693311F7" w14:textId="77777777">
        <w:tc>
          <w:tcPr>
            <w:tcW w:w="1389" w:type="dxa"/>
          </w:tcPr>
          <w:p w14:paraId="708E30F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19FA399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2F80546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Namnet ska motsvara namnet på moderföretaget när en grupp av kunder med inbördes anknytning anges. I alla övriga fall ska namnet motsvara den enskilda motparten.</w:t>
            </w:r>
          </w:p>
        </w:tc>
      </w:tr>
      <w:tr w:rsidR="00E20575" w:rsidRPr="008F22A0" w14:paraId="2AC6E4F4" w14:textId="77777777">
        <w:tc>
          <w:tcPr>
            <w:tcW w:w="1389" w:type="dxa"/>
          </w:tcPr>
          <w:p w14:paraId="6745180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60B8BD6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Grupp eller i</w:t>
            </w:r>
            <w:r w:rsidRPr="008F22A0">
              <w:rPr>
                <w:rFonts w:ascii="Times New Roman" w:hAnsi="Times New Roman"/>
                <w:b/>
                <w:u w:val="single"/>
              </w:rPr>
              <w:t>ndividuellt</w:t>
            </w:r>
          </w:p>
          <w:p w14:paraId="2A4817D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Värdepappersföretaget ska ange </w:t>
            </w:r>
            <w:r w:rsidRPr="008F22A0">
              <w:rPr>
                <w:rFonts w:ascii="Times New Roman" w:hAnsi="Times New Roman"/>
              </w:rPr>
              <w:t>”1”</w:t>
            </w:r>
            <w:r w:rsidRPr="008F22A0">
              <w:rPr>
                <w:rFonts w:ascii="Times New Roman" w:hAnsi="Times New Roman"/>
              </w:rPr>
              <w:t xml:space="preserve"> för redovisning av exponeringar mot enskilda kunder eller </w:t>
            </w:r>
            <w:r w:rsidRPr="008F22A0">
              <w:rPr>
                <w:rFonts w:ascii="Times New Roman" w:hAnsi="Times New Roman"/>
              </w:rPr>
              <w:t>”2”</w:t>
            </w:r>
            <w:r w:rsidRPr="008F22A0">
              <w:rPr>
                <w:rFonts w:ascii="Times New Roman" w:hAnsi="Times New Roman"/>
              </w:rPr>
              <w:t xml:space="preserve"> för redovisning av exponeringar mot grupper av kunder med inbördes anknytning.</w:t>
            </w:r>
          </w:p>
        </w:tc>
      </w:tr>
      <w:tr w:rsidR="00E20575" w:rsidRPr="008F22A0" w14:paraId="75C7CBD2" w14:textId="77777777">
        <w:tc>
          <w:tcPr>
            <w:tcW w:w="1389" w:type="dxa"/>
          </w:tcPr>
          <w:p w14:paraId="2B4A1C5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552D015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Typ av motpart</w:t>
            </w:r>
          </w:p>
          <w:p w14:paraId="3A98CC4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Värdepappersföretaget ska för varje </w:t>
            </w:r>
            <w:r w:rsidRPr="008F22A0">
              <w:rPr>
                <w:rFonts w:ascii="Times New Roman" w:hAnsi="Times New Roman"/>
              </w:rPr>
              <w:t>exponering ange om detta är förknippat med följande:</w:t>
            </w:r>
          </w:p>
          <w:p w14:paraId="12E2AF8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1. Ett kreditinstitut eller en grupp av kunder med inbördes anknytning som inbegriper ett kreditinstitut.</w:t>
            </w:r>
          </w:p>
          <w:p w14:paraId="1D752DD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2. Ett värdepappersföretag eller en grupp av kunder med inbördes anknytning som inbegriper ett vä</w:t>
            </w:r>
            <w:r w:rsidRPr="008F22A0">
              <w:rPr>
                <w:rFonts w:ascii="Times New Roman" w:hAnsi="Times New Roman"/>
              </w:rPr>
              <w:t>rdepappersföretag.</w:t>
            </w:r>
          </w:p>
          <w:p w14:paraId="336CF38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3. Andra än kreditinstitut eller värdepappersföretag eller grupper av kunder med inbördes anknytning som omfattar ett värdepappersföretag eller ett institut.</w:t>
            </w:r>
          </w:p>
        </w:tc>
      </w:tr>
      <w:tr w:rsidR="00E20575" w:rsidRPr="008F22A0" w14:paraId="49F7217C" w14:textId="77777777">
        <w:tc>
          <w:tcPr>
            <w:tcW w:w="1389" w:type="dxa"/>
          </w:tcPr>
          <w:p w14:paraId="0CE33D9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0060–0110</w:t>
            </w:r>
          </w:p>
        </w:tc>
        <w:tc>
          <w:tcPr>
            <w:tcW w:w="7620" w:type="dxa"/>
          </w:tcPr>
          <w:p w14:paraId="04BD83F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Exponeringar i handelslagret som överskrider de gränsvärden som ange</w:t>
            </w:r>
            <w:r w:rsidRPr="008F22A0">
              <w:rPr>
                <w:rFonts w:ascii="Times New Roman" w:hAnsi="Times New Roman"/>
                <w:b/>
                <w:u w:val="single"/>
              </w:rPr>
              <w:t>s i artikel 37.1 i förordning (EU) 2019/2033</w:t>
            </w:r>
          </w:p>
          <w:p w14:paraId="757CA5F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Värdepappersföretaget ska lämna information om varje exponering som överskrider de gränsvärden som anges i artikel 37.1 i förordning (EU) 2019/2033 i enlighet med artikel 36 och 39 i förordning (EU) 2019/2033.</w:t>
            </w:r>
          </w:p>
        </w:tc>
      </w:tr>
      <w:tr w:rsidR="00E20575" w:rsidRPr="008F22A0" w14:paraId="36F5A3B7" w14:textId="77777777">
        <w:tc>
          <w:tcPr>
            <w:tcW w:w="1389" w:type="dxa"/>
          </w:tcPr>
          <w:p w14:paraId="28CC738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4678E7F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Exponeringsvärde (EV)</w:t>
            </w:r>
          </w:p>
          <w:p w14:paraId="276709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36 i förordning (EU) 2019/2033.</w:t>
            </w:r>
          </w:p>
        </w:tc>
      </w:tr>
      <w:tr w:rsidR="00E20575" w:rsidRPr="008F22A0" w14:paraId="7CBEFA2E" w14:textId="77777777">
        <w:tc>
          <w:tcPr>
            <w:tcW w:w="1389" w:type="dxa"/>
          </w:tcPr>
          <w:p w14:paraId="089687A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Pr>
          <w:p w14:paraId="11DF329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Exponeringsvärde (i % av kapitalbasen)</w:t>
            </w:r>
          </w:p>
          <w:p w14:paraId="3AA5912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Exponeringen beräknas i enlighet med artikel 36 i förordning (EU) 2019/2033 och uttrycks som en procentandel av företagets </w:t>
            </w:r>
            <w:r w:rsidRPr="008F22A0">
              <w:rPr>
                <w:rFonts w:ascii="Times New Roman" w:hAnsi="Times New Roman"/>
              </w:rPr>
              <w:t>kapitalbas.</w:t>
            </w:r>
          </w:p>
        </w:tc>
      </w:tr>
      <w:tr w:rsidR="00E20575" w:rsidRPr="008F22A0" w14:paraId="2EAE646A" w14:textId="77777777">
        <w:tc>
          <w:tcPr>
            <w:tcW w:w="1389" w:type="dxa"/>
          </w:tcPr>
          <w:p w14:paraId="4590B59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Pr>
          <w:p w14:paraId="5B92431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Kapitalbaskrav för total exponering (OFR)</w:t>
            </w:r>
          </w:p>
          <w:p w14:paraId="15245A71" w14:textId="77777777" w:rsidR="00E20575" w:rsidRPr="008F22A0" w:rsidRDefault="008F22A0">
            <w:pPr>
              <w:autoSpaceDE w:val="0"/>
              <w:autoSpaceDN w:val="0"/>
              <w:adjustRightInd w:val="0"/>
              <w:spacing w:after="120" w:line="240" w:lineRule="auto"/>
              <w:rPr>
                <w:rFonts w:ascii="Times New Roman" w:eastAsia="Times New Roman" w:hAnsi="Times New Roman" w:cs="Times New Roman"/>
                <w:bCs/>
              </w:rPr>
            </w:pPr>
            <w:r w:rsidRPr="008F22A0">
              <w:rPr>
                <w:rFonts w:ascii="Times New Roman" w:hAnsi="Times New Roman"/>
              </w:rPr>
              <w:t xml:space="preserve">Kapitalbaskrav för den totala exponeringen mot den enskilda motparten eller gruppen av kunder med inbördes anknytning, beräknat som det totala beloppet av K-TCD och det specifika </w:t>
            </w:r>
            <w:r w:rsidRPr="008F22A0">
              <w:rPr>
                <w:rFonts w:ascii="Times New Roman" w:hAnsi="Times New Roman"/>
              </w:rPr>
              <w:t>riskkravet för K-NPR för den relevanta exponeringen.</w:t>
            </w:r>
          </w:p>
        </w:tc>
      </w:tr>
      <w:tr w:rsidR="00E20575" w:rsidRPr="008F22A0" w14:paraId="5A3EDC02" w14:textId="77777777">
        <w:tc>
          <w:tcPr>
            <w:tcW w:w="1389" w:type="dxa"/>
          </w:tcPr>
          <w:p w14:paraId="734EF54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w:t>
            </w:r>
          </w:p>
        </w:tc>
        <w:tc>
          <w:tcPr>
            <w:tcW w:w="7620" w:type="dxa"/>
          </w:tcPr>
          <w:p w14:paraId="372546B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Överskridande av exponeringsvärde (EV-L)</w:t>
            </w:r>
          </w:p>
          <w:p w14:paraId="2C15C54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Belopp beräknat i enlighet med artikel 37.2 andra stycket i förordning (EU) 2019/2033 för den relevanta exponeringen.</w:t>
            </w:r>
          </w:p>
        </w:tc>
      </w:tr>
      <w:tr w:rsidR="00E20575" w:rsidRPr="008F22A0" w14:paraId="12436560" w14:textId="77777777">
        <w:tc>
          <w:tcPr>
            <w:tcW w:w="1389" w:type="dxa"/>
          </w:tcPr>
          <w:p w14:paraId="388B2C0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w:t>
            </w:r>
          </w:p>
        </w:tc>
        <w:tc>
          <w:tcPr>
            <w:tcW w:w="7620" w:type="dxa"/>
          </w:tcPr>
          <w:p w14:paraId="4E256A6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Överskottets varaktighet (i daga</w:t>
            </w:r>
            <w:r w:rsidRPr="008F22A0">
              <w:rPr>
                <w:rFonts w:ascii="Times New Roman" w:hAnsi="Times New Roman"/>
                <w:b/>
                <w:u w:val="single"/>
              </w:rPr>
              <w:t>r)</w:t>
            </w:r>
          </w:p>
          <w:p w14:paraId="0C6ED08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Antal dagar som gått sedan exponeringsöverskottet först uppstod.</w:t>
            </w:r>
          </w:p>
        </w:tc>
      </w:tr>
      <w:tr w:rsidR="00E20575" w:rsidRPr="008F22A0" w14:paraId="1A651C3C" w14:textId="77777777">
        <w:tc>
          <w:tcPr>
            <w:tcW w:w="1389" w:type="dxa"/>
          </w:tcPr>
          <w:p w14:paraId="3E94D78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tcPr>
          <w:p w14:paraId="6F1D7D6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K-CON Kapitalbaskrav för överskridande (OFRE)</w:t>
            </w:r>
          </w:p>
          <w:p w14:paraId="5961DCE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Belopp beräknat i enlighet med artikel 39.2 i förordning (EU) 2019/2033 för den relevanta exponeringen.</w:t>
            </w:r>
          </w:p>
        </w:tc>
      </w:tr>
    </w:tbl>
    <w:p w14:paraId="33F8DCC0" w14:textId="77777777" w:rsidR="00E20575" w:rsidRPr="008F22A0" w:rsidRDefault="008F22A0">
      <w:pPr>
        <w:pStyle w:val="Instructionsberschrift2"/>
        <w:ind w:left="357" w:hanging="357"/>
        <w:rPr>
          <w:rFonts w:ascii="Times New Roman" w:hAnsi="Times New Roman" w:cs="Times New Roman"/>
          <w:sz w:val="24"/>
        </w:rPr>
      </w:pPr>
      <w:bookmarkStart w:id="139" w:name="_Toc76556828"/>
      <w:bookmarkStart w:id="140" w:name="_Toc88220475"/>
      <w:r w:rsidRPr="008F22A0">
        <w:rPr>
          <w:rFonts w:ascii="Times New Roman" w:hAnsi="Times New Roman"/>
          <w:sz w:val="24"/>
        </w:rPr>
        <w:t>4.3. I 08.01 – KONCENTRATIONSRI</w:t>
      </w:r>
      <w:r w:rsidRPr="008F22A0">
        <w:rPr>
          <w:rFonts w:ascii="Times New Roman" w:hAnsi="Times New Roman"/>
          <w:sz w:val="24"/>
        </w:rPr>
        <w:t>SKNIVÅ – INNEHAV AV KUNDMEDEL (I 8.1)</w:t>
      </w:r>
      <w:bookmarkEnd w:id="139"/>
      <w:bookmarkEnd w:id="140"/>
    </w:p>
    <w:p w14:paraId="6D397901" w14:textId="77777777" w:rsidR="00E20575" w:rsidRPr="008F22A0" w:rsidRDefault="008F22A0">
      <w:pPr>
        <w:pStyle w:val="Instructionsberschrift2"/>
        <w:ind w:left="357" w:hanging="357"/>
        <w:rPr>
          <w:rFonts w:ascii="Times New Roman" w:hAnsi="Times New Roman" w:cs="Times New Roman"/>
          <w:sz w:val="24"/>
          <w:u w:val="none"/>
        </w:rPr>
      </w:pPr>
      <w:bookmarkStart w:id="141" w:name="_Toc76556829"/>
      <w:bookmarkStart w:id="142" w:name="_Toc88220476"/>
      <w:r w:rsidRPr="008F22A0">
        <w:rPr>
          <w:rFonts w:ascii="Times New Roman" w:hAnsi="Times New Roman"/>
          <w:sz w:val="24"/>
          <w:u w:val="none"/>
        </w:rPr>
        <w:t>4.3.1</w:t>
      </w:r>
      <w:r w:rsidRPr="008F22A0">
        <w:rPr>
          <w:rFonts w:ascii="Times New Roman" w:hAnsi="Times New Roman"/>
          <w:sz w:val="24"/>
          <w:u w:val="none"/>
        </w:rPr>
        <w:tab/>
      </w:r>
      <w:r w:rsidRPr="008F22A0">
        <w:rPr>
          <w:rFonts w:ascii="Times New Roman" w:hAnsi="Times New Roman"/>
          <w:sz w:val="24"/>
        </w:rPr>
        <w:t>Instruktioner för särskilda kolumner</w:t>
      </w:r>
      <w:bookmarkEnd w:id="141"/>
      <w:bookmarkEnd w:id="14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5CE7FB01" w14:textId="77777777">
        <w:tc>
          <w:tcPr>
            <w:tcW w:w="1389" w:type="dxa"/>
            <w:shd w:val="clear" w:color="auto" w:fill="D9D9D9"/>
          </w:tcPr>
          <w:p w14:paraId="50E41199"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Kolumner</w:t>
            </w:r>
          </w:p>
        </w:tc>
        <w:tc>
          <w:tcPr>
            <w:tcW w:w="7620" w:type="dxa"/>
            <w:shd w:val="clear" w:color="auto" w:fill="D9D9D9"/>
          </w:tcPr>
          <w:p w14:paraId="58840CB2"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Rättsliga hänvisningar och instruktioner</w:t>
            </w:r>
          </w:p>
        </w:tc>
      </w:tr>
      <w:tr w:rsidR="00E20575" w:rsidRPr="008F22A0" w14:paraId="59ACD8D6" w14:textId="77777777">
        <w:tc>
          <w:tcPr>
            <w:tcW w:w="1389" w:type="dxa"/>
          </w:tcPr>
          <w:p w14:paraId="4A95363F"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0010–0060</w:t>
            </w:r>
          </w:p>
        </w:tc>
        <w:tc>
          <w:tcPr>
            <w:tcW w:w="7620" w:type="dxa"/>
          </w:tcPr>
          <w:p w14:paraId="594EE368"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Totalt CMH</w:t>
            </w:r>
          </w:p>
          <w:p w14:paraId="4276E26D"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Artikel 54.2 b i förordning (EU) 2019/2033.</w:t>
            </w:r>
          </w:p>
          <w:p w14:paraId="65D93AAC"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Värdepappersföretaget ska ange identifieringen av de fem, om tillgängliga, motparterna eller gruppen av motparter med inbördes anknytning där de största beloppen av kundmedel innehas. </w:t>
            </w:r>
          </w:p>
        </w:tc>
      </w:tr>
      <w:tr w:rsidR="00E20575" w:rsidRPr="008F22A0" w14:paraId="5CE1B51F" w14:textId="77777777">
        <w:tc>
          <w:tcPr>
            <w:tcW w:w="1389" w:type="dxa"/>
          </w:tcPr>
          <w:p w14:paraId="57076959"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w:t>
            </w:r>
          </w:p>
        </w:tc>
        <w:tc>
          <w:tcPr>
            <w:tcW w:w="7620" w:type="dxa"/>
          </w:tcPr>
          <w:p w14:paraId="526172D8" w14:textId="77777777" w:rsidR="00E20575" w:rsidRPr="008F22A0" w:rsidRDefault="008F22A0">
            <w:pPr>
              <w:pStyle w:val="InstructionsText"/>
              <w:rPr>
                <w:rStyle w:val="InstructionsTabelleberschrift"/>
                <w:rFonts w:ascii="Times New Roman" w:hAnsi="Times New Roman"/>
                <w:sz w:val="22"/>
              </w:rPr>
            </w:pPr>
            <w:r w:rsidRPr="008F22A0">
              <w:rPr>
                <w:rStyle w:val="InstructionsTabelleberschrift"/>
                <w:rFonts w:ascii="Times New Roman" w:hAnsi="Times New Roman"/>
                <w:sz w:val="22"/>
              </w:rPr>
              <w:t>Kod</w:t>
            </w:r>
          </w:p>
          <w:p w14:paraId="7F7F9771"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Style w:val="FormatvorlageInstructionsTabelleText"/>
                <w:rFonts w:ascii="Times New Roman" w:hAnsi="Times New Roman"/>
                <w:sz w:val="22"/>
              </w:rPr>
              <w:t xml:space="preserve">Koden måste som del av en radidentifierare vara unik för </w:t>
            </w:r>
            <w:r w:rsidRPr="008F22A0">
              <w:rPr>
                <w:rStyle w:val="FormatvorlageInstructionsTabelleText"/>
                <w:rFonts w:ascii="Times New Roman" w:hAnsi="Times New Roman"/>
                <w:sz w:val="22"/>
              </w:rPr>
              <w:t>varje redovisad enhet. För värdepappersföretag och försäkringsföretag måste koden vara LEI-koden. För andra företag måste koden vara LEI-koden eller, om den inte finns tillgänglig, en nationell kod. Koden ska vara unik och användas konsekvent i alla mallar</w:t>
            </w:r>
            <w:r w:rsidRPr="008F22A0">
              <w:rPr>
                <w:rStyle w:val="FormatvorlageInstructionsTabelleText"/>
                <w:rFonts w:ascii="Times New Roman" w:hAnsi="Times New Roman"/>
                <w:sz w:val="22"/>
              </w:rPr>
              <w:t xml:space="preserve"> och över tid. Koden ska alltid ha ett värde.</w:t>
            </w:r>
          </w:p>
        </w:tc>
      </w:tr>
      <w:tr w:rsidR="00E20575" w:rsidRPr="008F22A0" w14:paraId="03C9A6EA" w14:textId="77777777">
        <w:tc>
          <w:tcPr>
            <w:tcW w:w="1389" w:type="dxa"/>
          </w:tcPr>
          <w:p w14:paraId="59EE55D4"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0020</w:t>
            </w:r>
          </w:p>
        </w:tc>
        <w:tc>
          <w:tcPr>
            <w:tcW w:w="7620" w:type="dxa"/>
          </w:tcPr>
          <w:p w14:paraId="275F919D" w14:textId="77777777" w:rsidR="00E20575" w:rsidRPr="008F22A0" w:rsidRDefault="008F22A0">
            <w:pPr>
              <w:pStyle w:val="InstructionsText"/>
              <w:rPr>
                <w:rStyle w:val="InstructionsTabelleberschrift"/>
                <w:rFonts w:ascii="Times New Roman" w:hAnsi="Times New Roman"/>
                <w:sz w:val="22"/>
              </w:rPr>
            </w:pPr>
            <w:r w:rsidRPr="008F22A0">
              <w:rPr>
                <w:rStyle w:val="InstructionsTabelleberschrift"/>
                <w:rFonts w:ascii="Times New Roman" w:hAnsi="Times New Roman"/>
                <w:sz w:val="22"/>
              </w:rPr>
              <w:t>Typ av kod</w:t>
            </w:r>
          </w:p>
          <w:p w14:paraId="18620795"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7F05593C" w14:textId="77777777">
        <w:tc>
          <w:tcPr>
            <w:tcW w:w="1389" w:type="dxa"/>
          </w:tcPr>
          <w:p w14:paraId="6A1512EE"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0030</w:t>
            </w:r>
          </w:p>
        </w:tc>
        <w:tc>
          <w:tcPr>
            <w:tcW w:w="7620" w:type="dxa"/>
          </w:tcPr>
          <w:p w14:paraId="45842FF1"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Namn</w:t>
            </w:r>
          </w:p>
          <w:p w14:paraId="7B301793" w14:textId="77777777" w:rsidR="00E20575" w:rsidRPr="008F22A0" w:rsidRDefault="008F22A0">
            <w:pPr>
              <w:pStyle w:val="Default"/>
              <w:spacing w:after="120"/>
              <w:jc w:val="both"/>
              <w:rPr>
                <w:sz w:val="22"/>
                <w:szCs w:val="23"/>
              </w:rPr>
            </w:pPr>
            <w:r w:rsidRPr="008F22A0">
              <w:rPr>
                <w:sz w:val="22"/>
              </w:rPr>
              <w:t>Namnet ska motsvara namnet på moderföretaget när en grupp av kunder med inbörde</w:t>
            </w:r>
            <w:r w:rsidRPr="008F22A0">
              <w:rPr>
                <w:sz w:val="22"/>
              </w:rPr>
              <w:t xml:space="preserve">s anknytning anges. I alla övriga fall ska namnet motsvara den enskilda motparten. </w:t>
            </w:r>
          </w:p>
        </w:tc>
      </w:tr>
      <w:tr w:rsidR="00E20575" w:rsidRPr="008F22A0" w14:paraId="5F9C0D69" w14:textId="77777777">
        <w:tc>
          <w:tcPr>
            <w:tcW w:w="1389" w:type="dxa"/>
          </w:tcPr>
          <w:p w14:paraId="0B3D564D"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0040</w:t>
            </w:r>
          </w:p>
        </w:tc>
        <w:tc>
          <w:tcPr>
            <w:tcW w:w="7620" w:type="dxa"/>
          </w:tcPr>
          <w:p w14:paraId="4B24730E"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Grupp eller individuellt</w:t>
            </w:r>
          </w:p>
          <w:p w14:paraId="505ECAEF" w14:textId="77777777" w:rsidR="00E20575" w:rsidRPr="008F22A0" w:rsidRDefault="008F22A0">
            <w:pPr>
              <w:pStyle w:val="Default"/>
              <w:jc w:val="both"/>
              <w:rPr>
                <w:sz w:val="22"/>
              </w:rPr>
            </w:pPr>
            <w:r w:rsidRPr="008F22A0">
              <w:rPr>
                <w:sz w:val="22"/>
              </w:rPr>
              <w:t xml:space="preserve">Värdepappersföretaget ska ange </w:t>
            </w:r>
            <w:r w:rsidRPr="008F22A0">
              <w:rPr>
                <w:sz w:val="22"/>
              </w:rPr>
              <w:t>”1”</w:t>
            </w:r>
            <w:r w:rsidRPr="008F22A0">
              <w:rPr>
                <w:sz w:val="22"/>
              </w:rPr>
              <w:t xml:space="preserve"> för redovisning av exponeringar mot enskilda kunder eller </w:t>
            </w:r>
            <w:r w:rsidRPr="008F22A0">
              <w:rPr>
                <w:sz w:val="22"/>
              </w:rPr>
              <w:t>”2”</w:t>
            </w:r>
            <w:r w:rsidRPr="008F22A0">
              <w:rPr>
                <w:sz w:val="22"/>
              </w:rPr>
              <w:t xml:space="preserve"> för redovisning av exponeringar mot grupper </w:t>
            </w:r>
            <w:r w:rsidRPr="008F22A0">
              <w:rPr>
                <w:sz w:val="22"/>
              </w:rPr>
              <w:t xml:space="preserve">av kunder med inbördes anknytning. </w:t>
            </w:r>
          </w:p>
        </w:tc>
      </w:tr>
      <w:tr w:rsidR="00E20575" w:rsidRPr="008F22A0" w14:paraId="145B80AE" w14:textId="77777777">
        <w:tc>
          <w:tcPr>
            <w:tcW w:w="1389" w:type="dxa"/>
          </w:tcPr>
          <w:p w14:paraId="00BB6624"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0050</w:t>
            </w:r>
          </w:p>
        </w:tc>
        <w:tc>
          <w:tcPr>
            <w:tcW w:w="7620" w:type="dxa"/>
          </w:tcPr>
          <w:p w14:paraId="304A2342"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Totalt CMH på rapporteringsdatum</w:t>
            </w:r>
          </w:p>
          <w:p w14:paraId="27376CF3"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Företaget ska ange det totala beloppet kundmedel på rapporteringsdatum.</w:t>
            </w:r>
          </w:p>
        </w:tc>
      </w:tr>
      <w:tr w:rsidR="00E20575" w:rsidRPr="008F22A0" w14:paraId="240A486C" w14:textId="77777777">
        <w:tc>
          <w:tcPr>
            <w:tcW w:w="1389" w:type="dxa"/>
          </w:tcPr>
          <w:p w14:paraId="15645F9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0060</w:t>
            </w:r>
          </w:p>
        </w:tc>
        <w:tc>
          <w:tcPr>
            <w:tcW w:w="7620" w:type="dxa"/>
          </w:tcPr>
          <w:p w14:paraId="46B4649C"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Procentandel av kundmedel som innehas av detta institut</w:t>
            </w:r>
          </w:p>
          <w:p w14:paraId="118485B6"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Företaget ska ange mängden kundmedel som </w:t>
            </w:r>
            <w:r w:rsidRPr="008F22A0">
              <w:rPr>
                <w:rFonts w:ascii="Times New Roman" w:hAnsi="Times New Roman"/>
              </w:rPr>
              <w:t>innehas på rapporteringsdatum med var och en av de motparter eller grupper av motparter med inbördes anknytning för vilka redovisning görs, uttryckt som en procentandel av det totala beloppet (som anges i kolumn 0050).</w:t>
            </w:r>
          </w:p>
        </w:tc>
      </w:tr>
    </w:tbl>
    <w:p w14:paraId="39891EA4" w14:textId="77777777" w:rsidR="00E20575" w:rsidRPr="008F22A0" w:rsidRDefault="00E20575">
      <w:pPr>
        <w:spacing w:after="0"/>
        <w:rPr>
          <w:rFonts w:ascii="Times New Roman" w:hAnsi="Times New Roman" w:cs="Times New Roman"/>
          <w:u w:val="single"/>
        </w:rPr>
      </w:pPr>
    </w:p>
    <w:p w14:paraId="5C695763" w14:textId="77777777" w:rsidR="00E20575" w:rsidRPr="008F22A0" w:rsidRDefault="008F22A0">
      <w:pPr>
        <w:pStyle w:val="Instructionsberschrift2"/>
        <w:ind w:left="357" w:hanging="357"/>
        <w:rPr>
          <w:rFonts w:ascii="Times New Roman" w:hAnsi="Times New Roman" w:cs="Times New Roman"/>
          <w:sz w:val="24"/>
        </w:rPr>
      </w:pPr>
      <w:bookmarkStart w:id="143" w:name="_Toc76556830"/>
      <w:bookmarkStart w:id="144" w:name="_Toc88220477"/>
      <w:r w:rsidRPr="008F22A0">
        <w:rPr>
          <w:rFonts w:ascii="Times New Roman" w:hAnsi="Times New Roman"/>
          <w:sz w:val="24"/>
        </w:rPr>
        <w:t xml:space="preserve">4.4. I 08.02 – </w:t>
      </w:r>
      <w:r w:rsidRPr="008F22A0">
        <w:rPr>
          <w:rFonts w:ascii="Times New Roman" w:hAnsi="Times New Roman"/>
          <w:sz w:val="24"/>
        </w:rPr>
        <w:t>KONCENTRATIONSRISKNIVÅ – TILLGÅNGAR UNDER FÖRVARING OCH ADMINISTRATION (I 8.2)</w:t>
      </w:r>
      <w:bookmarkEnd w:id="143"/>
      <w:bookmarkEnd w:id="144"/>
    </w:p>
    <w:p w14:paraId="504A5AB0" w14:textId="77777777" w:rsidR="00E20575" w:rsidRPr="008F22A0" w:rsidRDefault="008F22A0">
      <w:pPr>
        <w:pStyle w:val="Instructionsberschrift2"/>
        <w:ind w:left="357" w:hanging="357"/>
        <w:rPr>
          <w:rFonts w:ascii="Times New Roman" w:hAnsi="Times New Roman" w:cs="Times New Roman"/>
          <w:sz w:val="24"/>
          <w:u w:val="none"/>
        </w:rPr>
      </w:pPr>
      <w:bookmarkStart w:id="145" w:name="_Toc76556831"/>
      <w:bookmarkStart w:id="146" w:name="_Toc88220478"/>
      <w:r w:rsidRPr="008F22A0">
        <w:rPr>
          <w:rFonts w:ascii="Times New Roman" w:hAnsi="Times New Roman"/>
          <w:sz w:val="24"/>
          <w:u w:val="none"/>
        </w:rPr>
        <w:t>4.4.1</w:t>
      </w:r>
      <w:r w:rsidRPr="008F22A0">
        <w:rPr>
          <w:rFonts w:ascii="Times New Roman" w:hAnsi="Times New Roman"/>
          <w:sz w:val="24"/>
          <w:u w:val="none"/>
        </w:rPr>
        <w:tab/>
      </w:r>
      <w:r w:rsidRPr="008F22A0">
        <w:rPr>
          <w:rFonts w:ascii="Times New Roman" w:hAnsi="Times New Roman"/>
          <w:sz w:val="24"/>
        </w:rPr>
        <w:t>Instruktioner för särskilda kolumner</w:t>
      </w:r>
      <w:bookmarkEnd w:id="145"/>
      <w:bookmarkEnd w:id="14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7D0E0C9B" w14:textId="77777777">
        <w:tc>
          <w:tcPr>
            <w:tcW w:w="1389" w:type="dxa"/>
            <w:shd w:val="clear" w:color="auto" w:fill="D9D9D9"/>
          </w:tcPr>
          <w:p w14:paraId="4F85F71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61650F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3FBA3D52" w14:textId="77777777">
        <w:tc>
          <w:tcPr>
            <w:tcW w:w="1389" w:type="dxa"/>
          </w:tcPr>
          <w:p w14:paraId="1F069D1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0010–0060</w:t>
            </w:r>
          </w:p>
        </w:tc>
        <w:tc>
          <w:tcPr>
            <w:tcW w:w="7620" w:type="dxa"/>
          </w:tcPr>
          <w:p w14:paraId="5BC5E5F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Totalt ASA</w:t>
            </w:r>
          </w:p>
          <w:p w14:paraId="5213B6F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54.2 c i förordning (EU) 2019/2033.</w:t>
            </w:r>
          </w:p>
          <w:p w14:paraId="595F7FE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Företaget ska ange identifieringen av de fem, om tillgängliga, motparterna eller gruppen av motparter med inbördes anknytning där de största beloppen av kundmedel är deponerade. </w:t>
            </w:r>
          </w:p>
        </w:tc>
      </w:tr>
      <w:tr w:rsidR="00E20575" w:rsidRPr="008F22A0" w14:paraId="5BB79FF1" w14:textId="77777777">
        <w:tc>
          <w:tcPr>
            <w:tcW w:w="1389" w:type="dxa"/>
          </w:tcPr>
          <w:p w14:paraId="66CF576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3B597B8A"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Kod</w:t>
            </w:r>
          </w:p>
          <w:p w14:paraId="72E5248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Koden måste som del av en radidentifierare vara unik för varje redo</w:t>
            </w:r>
            <w:r w:rsidRPr="008F22A0">
              <w:rPr>
                <w:rStyle w:val="FormatvorlageInstructionsTabelleText"/>
                <w:rFonts w:ascii="Times New Roman" w:hAnsi="Times New Roman"/>
                <w:sz w:val="22"/>
              </w:rPr>
              <w:t xml:space="preserve">visad enhet. För värdepappersföretag och försäkringsföretag måste koden vara LEI-koden. För andra företag måste koden vara LEI-koden eller, om den inte finns tillgänglig, en nationell kod. Koden ska vara unik och användas konsekvent i alla mallar och över </w:t>
            </w:r>
            <w:r w:rsidRPr="008F22A0">
              <w:rPr>
                <w:rStyle w:val="FormatvorlageInstructionsTabelleText"/>
                <w:rFonts w:ascii="Times New Roman" w:hAnsi="Times New Roman"/>
                <w:sz w:val="22"/>
              </w:rPr>
              <w:t>tid. Koden ska alltid ha ett värde.</w:t>
            </w:r>
          </w:p>
        </w:tc>
      </w:tr>
      <w:tr w:rsidR="00E20575" w:rsidRPr="008F22A0" w14:paraId="13E86A9E" w14:textId="77777777">
        <w:tc>
          <w:tcPr>
            <w:tcW w:w="1389" w:type="dxa"/>
          </w:tcPr>
          <w:p w14:paraId="2E7FCA4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777FC494"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Typ av kod</w:t>
            </w:r>
          </w:p>
          <w:p w14:paraId="7BA56A3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7DD7AEE0" w14:textId="77777777">
        <w:tc>
          <w:tcPr>
            <w:tcW w:w="1389" w:type="dxa"/>
          </w:tcPr>
          <w:p w14:paraId="564EF083"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2D6DA58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627356D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Namnet ska motsvara namnet på moderföretaget när en grupp av kunder med inbördes </w:t>
            </w:r>
            <w:r w:rsidRPr="008F22A0">
              <w:rPr>
                <w:rFonts w:ascii="Times New Roman" w:hAnsi="Times New Roman"/>
              </w:rPr>
              <w:t>anknytning anges. I alla övriga fall ska namnet motsvara den enskilda motparten</w:t>
            </w:r>
            <w:r w:rsidRPr="008F22A0">
              <w:t>.</w:t>
            </w:r>
          </w:p>
        </w:tc>
      </w:tr>
      <w:tr w:rsidR="00E20575" w:rsidRPr="008F22A0" w14:paraId="61D743AD" w14:textId="77777777">
        <w:tc>
          <w:tcPr>
            <w:tcW w:w="1389" w:type="dxa"/>
          </w:tcPr>
          <w:p w14:paraId="565CC4B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3FF40F6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Grupp eller individuellt</w:t>
            </w:r>
          </w:p>
          <w:p w14:paraId="1100AC1B" w14:textId="77777777" w:rsidR="00E20575" w:rsidRPr="008F22A0" w:rsidRDefault="008F22A0">
            <w:pPr>
              <w:pStyle w:val="Default"/>
              <w:jc w:val="both"/>
              <w:rPr>
                <w:sz w:val="22"/>
                <w:szCs w:val="22"/>
              </w:rPr>
            </w:pPr>
            <w:r w:rsidRPr="008F22A0">
              <w:rPr>
                <w:sz w:val="22"/>
              </w:rPr>
              <w:t xml:space="preserve">Värdepappersföretaget ska ange </w:t>
            </w:r>
            <w:r w:rsidRPr="008F22A0">
              <w:rPr>
                <w:sz w:val="22"/>
              </w:rPr>
              <w:t>”1”</w:t>
            </w:r>
            <w:r w:rsidRPr="008F22A0">
              <w:rPr>
                <w:sz w:val="22"/>
              </w:rPr>
              <w:t xml:space="preserve"> för redovisning av exponeringar mot enskilda kunder eller </w:t>
            </w:r>
            <w:r w:rsidRPr="008F22A0">
              <w:rPr>
                <w:sz w:val="22"/>
              </w:rPr>
              <w:t>”2”</w:t>
            </w:r>
            <w:r w:rsidRPr="008F22A0">
              <w:rPr>
                <w:sz w:val="22"/>
              </w:rPr>
              <w:t xml:space="preserve"> för redovisning av exponeringar mot grupper av kunder med inbördes anknytning. </w:t>
            </w:r>
          </w:p>
        </w:tc>
      </w:tr>
      <w:tr w:rsidR="00E20575" w:rsidRPr="008F22A0" w14:paraId="65E44D9F" w14:textId="77777777">
        <w:tc>
          <w:tcPr>
            <w:tcW w:w="1389" w:type="dxa"/>
          </w:tcPr>
          <w:p w14:paraId="1A4C22B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75DC51F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Totalt ASA på rapporteringsdatum</w:t>
            </w:r>
          </w:p>
          <w:p w14:paraId="204082B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det totala beloppet för kunders värdepapper som förvara</w:t>
            </w:r>
            <w:r w:rsidRPr="008F22A0">
              <w:rPr>
                <w:rFonts w:ascii="Times New Roman" w:hAnsi="Times New Roman"/>
              </w:rPr>
              <w:t>s i varje institution på rapporteringsdatum.</w:t>
            </w:r>
          </w:p>
        </w:tc>
      </w:tr>
      <w:tr w:rsidR="00E20575" w:rsidRPr="008F22A0" w14:paraId="2C7245C5" w14:textId="77777777">
        <w:tc>
          <w:tcPr>
            <w:tcW w:w="1389" w:type="dxa"/>
          </w:tcPr>
          <w:p w14:paraId="0282B91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6C0433A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Procentandel av kunders värdepapper som förvaras i detta institut</w:t>
            </w:r>
          </w:p>
          <w:p w14:paraId="783F38C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Företaget ska ange den mängd av kunders värdepapper som förvaras på rapporteringsdatum med var och en av de motparter eller grupper av </w:t>
            </w:r>
            <w:r w:rsidRPr="008F22A0">
              <w:rPr>
                <w:rFonts w:ascii="Times New Roman" w:hAnsi="Times New Roman"/>
              </w:rPr>
              <w:t>motparter med inbördes anknytning för vilka redovisning görs, uttryckt som en procentandel av det totala beloppet (som anges i kolumn 0050).</w:t>
            </w:r>
          </w:p>
        </w:tc>
      </w:tr>
    </w:tbl>
    <w:p w14:paraId="36EB6CCF" w14:textId="77777777" w:rsidR="00E20575" w:rsidRPr="008F22A0" w:rsidRDefault="00E20575">
      <w:pPr>
        <w:spacing w:after="0"/>
        <w:rPr>
          <w:rFonts w:ascii="Times New Roman" w:hAnsi="Times New Roman" w:cs="Times New Roman"/>
          <w:u w:val="single"/>
        </w:rPr>
      </w:pPr>
    </w:p>
    <w:p w14:paraId="00BA1DAA" w14:textId="77777777" w:rsidR="00E20575" w:rsidRPr="008F22A0" w:rsidRDefault="008F22A0">
      <w:pPr>
        <w:pStyle w:val="Instructionsberschrift2"/>
        <w:ind w:left="357" w:hanging="357"/>
        <w:rPr>
          <w:rFonts w:ascii="Times New Roman" w:hAnsi="Times New Roman" w:cs="Times New Roman"/>
          <w:sz w:val="24"/>
        </w:rPr>
      </w:pPr>
      <w:bookmarkStart w:id="147" w:name="_Toc76556832"/>
      <w:bookmarkStart w:id="148" w:name="_Toc88220479"/>
      <w:r w:rsidRPr="008F22A0">
        <w:rPr>
          <w:rFonts w:ascii="Times New Roman" w:hAnsi="Times New Roman"/>
          <w:sz w:val="24"/>
        </w:rPr>
        <w:t>4.5. I 08.03 – KONCENTRATIONSRISKNIVÅ – TOTALA EGNA BANKMEDEL (I 8.3)</w:t>
      </w:r>
      <w:bookmarkEnd w:id="147"/>
      <w:bookmarkEnd w:id="148"/>
    </w:p>
    <w:p w14:paraId="7F10BBC6" w14:textId="77777777" w:rsidR="00E20575" w:rsidRPr="008F22A0" w:rsidRDefault="008F22A0">
      <w:pPr>
        <w:pStyle w:val="Instructionsberschrift2"/>
        <w:ind w:left="357" w:hanging="357"/>
        <w:rPr>
          <w:rFonts w:ascii="Times New Roman" w:hAnsi="Times New Roman" w:cs="Times New Roman"/>
          <w:sz w:val="24"/>
          <w:u w:val="none"/>
        </w:rPr>
      </w:pPr>
      <w:bookmarkStart w:id="149" w:name="_Toc76556833"/>
      <w:bookmarkStart w:id="150" w:name="_Toc88220480"/>
      <w:r w:rsidRPr="008F22A0">
        <w:rPr>
          <w:rFonts w:ascii="Times New Roman" w:hAnsi="Times New Roman"/>
          <w:sz w:val="24"/>
          <w:u w:val="none"/>
        </w:rPr>
        <w:t>4.5.1</w:t>
      </w:r>
      <w:r w:rsidRPr="008F22A0">
        <w:rPr>
          <w:rFonts w:ascii="Times New Roman" w:hAnsi="Times New Roman"/>
          <w:sz w:val="24"/>
          <w:u w:val="none"/>
        </w:rPr>
        <w:tab/>
      </w:r>
      <w:r w:rsidRPr="008F22A0">
        <w:rPr>
          <w:rFonts w:ascii="Times New Roman" w:hAnsi="Times New Roman"/>
          <w:sz w:val="24"/>
        </w:rPr>
        <w:t>Instruktioner för särskilda kolumner</w:t>
      </w:r>
      <w:bookmarkEnd w:id="149"/>
      <w:bookmarkEnd w:id="15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591D85DC" w14:textId="77777777">
        <w:tc>
          <w:tcPr>
            <w:tcW w:w="1389" w:type="dxa"/>
            <w:shd w:val="clear" w:color="auto" w:fill="D9D9D9"/>
          </w:tcPr>
          <w:p w14:paraId="4000A3E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739C956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258204FC" w14:textId="77777777">
        <w:tc>
          <w:tcPr>
            <w:tcW w:w="1389" w:type="dxa"/>
          </w:tcPr>
          <w:p w14:paraId="5CA52E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0010–0060</w:t>
            </w:r>
          </w:p>
        </w:tc>
        <w:tc>
          <w:tcPr>
            <w:tcW w:w="7620" w:type="dxa"/>
          </w:tcPr>
          <w:p w14:paraId="47E850D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egna bankmedel</w:t>
            </w:r>
          </w:p>
          <w:p w14:paraId="3672AE5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54.2 d och f i förordning (EU) 2019/2033.</w:t>
            </w:r>
          </w:p>
          <w:p w14:paraId="6897E03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Företaget ska ange identifieringen av de fem, om tillgängliga, motparterna eller gruppen av motparter med inbördes anknytning där företaget har de största beloppen egna bankmedel. </w:t>
            </w:r>
          </w:p>
        </w:tc>
      </w:tr>
      <w:tr w:rsidR="00E20575" w:rsidRPr="008F22A0" w14:paraId="312D9A55" w14:textId="77777777">
        <w:tc>
          <w:tcPr>
            <w:tcW w:w="1389" w:type="dxa"/>
          </w:tcPr>
          <w:p w14:paraId="0806115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6BD2F4C3"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Kod</w:t>
            </w:r>
          </w:p>
          <w:p w14:paraId="1704E0B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Koden måste som del av en radidentifierare vara unik för varje re</w:t>
            </w:r>
            <w:r w:rsidRPr="008F22A0">
              <w:rPr>
                <w:rStyle w:val="FormatvorlageInstructionsTabelleText"/>
                <w:rFonts w:ascii="Times New Roman" w:hAnsi="Times New Roman"/>
                <w:sz w:val="22"/>
              </w:rPr>
              <w:t>dovisad enhet. För värdepappersföretag och försäkringsföretag måste koden vara LEI-koden. För andra företag måste koden vara LEI-koden eller, om den inte finns tillgänglig, en nationell kod. Koden ska vara unik och användas konsekvent i alla mallar och öve</w:t>
            </w:r>
            <w:r w:rsidRPr="008F22A0">
              <w:rPr>
                <w:rStyle w:val="FormatvorlageInstructionsTabelleText"/>
                <w:rFonts w:ascii="Times New Roman" w:hAnsi="Times New Roman"/>
                <w:sz w:val="22"/>
              </w:rPr>
              <w:t>r tid. Koden ska alltid ha ett värde.</w:t>
            </w:r>
          </w:p>
        </w:tc>
      </w:tr>
      <w:tr w:rsidR="00E20575" w:rsidRPr="008F22A0" w14:paraId="233D7A9B" w14:textId="77777777">
        <w:tc>
          <w:tcPr>
            <w:tcW w:w="1389" w:type="dxa"/>
          </w:tcPr>
          <w:p w14:paraId="3D867E2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6BA27EC0" w14:textId="77777777" w:rsidR="00E20575" w:rsidRPr="008F22A0" w:rsidRDefault="008F22A0">
            <w:pPr>
              <w:pStyle w:val="InstructionsText"/>
              <w:rPr>
                <w:rStyle w:val="InstructionsTabelleberschrift"/>
                <w:rFonts w:ascii="Times New Roman" w:eastAsiaTheme="minorHAnsi" w:hAnsi="Times New Roman"/>
                <w:bCs/>
                <w:sz w:val="22"/>
                <w:szCs w:val="22"/>
              </w:rPr>
            </w:pPr>
            <w:r w:rsidRPr="008F22A0">
              <w:rPr>
                <w:rStyle w:val="InstructionsTabelleberschrift"/>
                <w:rFonts w:ascii="Times New Roman" w:hAnsi="Times New Roman"/>
                <w:sz w:val="22"/>
              </w:rPr>
              <w:t>Typ av kod</w:t>
            </w:r>
          </w:p>
          <w:p w14:paraId="53E56AC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6687EE57" w14:textId="77777777">
        <w:tc>
          <w:tcPr>
            <w:tcW w:w="1389" w:type="dxa"/>
          </w:tcPr>
          <w:p w14:paraId="089555E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640CCD8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5A360C6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Namnet ska motsvara namnet på moderföretaget när en grupp av kunder med </w:t>
            </w:r>
            <w:r w:rsidRPr="008F22A0">
              <w:rPr>
                <w:rFonts w:ascii="Times New Roman" w:hAnsi="Times New Roman"/>
              </w:rPr>
              <w:t>inbördes anknytning anges. I alla övriga fall ska namnet motsvara den enskilda motparten.</w:t>
            </w:r>
          </w:p>
        </w:tc>
      </w:tr>
      <w:tr w:rsidR="00E20575" w:rsidRPr="008F22A0" w14:paraId="316DB436" w14:textId="77777777">
        <w:tc>
          <w:tcPr>
            <w:tcW w:w="1389" w:type="dxa"/>
          </w:tcPr>
          <w:p w14:paraId="07CF6EA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3BD4B77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Grupp eller individuellt</w:t>
            </w:r>
          </w:p>
          <w:p w14:paraId="6A900070" w14:textId="77777777" w:rsidR="00E20575" w:rsidRPr="008F22A0" w:rsidRDefault="008F22A0">
            <w:pPr>
              <w:pStyle w:val="Default"/>
              <w:spacing w:after="120"/>
              <w:jc w:val="both"/>
              <w:rPr>
                <w:sz w:val="22"/>
                <w:szCs w:val="22"/>
              </w:rPr>
            </w:pPr>
            <w:r w:rsidRPr="008F22A0">
              <w:rPr>
                <w:sz w:val="22"/>
              </w:rPr>
              <w:t xml:space="preserve">Värdepappersföretaget ska ange </w:t>
            </w:r>
            <w:r w:rsidRPr="008F22A0">
              <w:rPr>
                <w:sz w:val="22"/>
              </w:rPr>
              <w:t>”1”</w:t>
            </w:r>
            <w:r w:rsidRPr="008F22A0">
              <w:rPr>
                <w:sz w:val="22"/>
              </w:rPr>
              <w:t xml:space="preserve"> för redovisning av exponeringar mot enskilda kunder eller </w:t>
            </w:r>
            <w:r w:rsidRPr="008F22A0">
              <w:rPr>
                <w:sz w:val="22"/>
              </w:rPr>
              <w:t>”2”</w:t>
            </w:r>
            <w:r w:rsidRPr="008F22A0">
              <w:rPr>
                <w:sz w:val="22"/>
              </w:rPr>
              <w:t xml:space="preserve"> för redovisning av exponeringar mot gr</w:t>
            </w:r>
            <w:r w:rsidRPr="008F22A0">
              <w:rPr>
                <w:sz w:val="22"/>
              </w:rPr>
              <w:t xml:space="preserve">upper av kunder med inbördes anknytning. </w:t>
            </w:r>
          </w:p>
        </w:tc>
      </w:tr>
      <w:tr w:rsidR="00E20575" w:rsidRPr="008F22A0" w14:paraId="6FE0DAFE" w14:textId="77777777">
        <w:tc>
          <w:tcPr>
            <w:tcW w:w="1389" w:type="dxa"/>
          </w:tcPr>
          <w:p w14:paraId="58A7483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2489721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Belopp för företagets kontantinsättningar hos institutet</w:t>
            </w:r>
          </w:p>
          <w:p w14:paraId="47E9D01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det totala beloppet egna medel som förvaras i varje institut på referensdatum.</w:t>
            </w:r>
          </w:p>
        </w:tc>
      </w:tr>
      <w:tr w:rsidR="00E20575" w:rsidRPr="008F22A0" w14:paraId="313F8F66" w14:textId="77777777">
        <w:tc>
          <w:tcPr>
            <w:tcW w:w="1389" w:type="dxa"/>
          </w:tcPr>
          <w:p w14:paraId="203E3DE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0ED9BC0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Belopp för företagets </w:t>
            </w:r>
            <w:r w:rsidRPr="008F22A0">
              <w:rPr>
                <w:rFonts w:ascii="Times New Roman" w:hAnsi="Times New Roman"/>
                <w:b/>
                <w:u w:val="single"/>
              </w:rPr>
              <w:t>kontantinsättningar hos institutet</w:t>
            </w:r>
          </w:p>
          <w:p w14:paraId="520F551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det belopp kontantinsättningar som förvaras på rapporteringsdatum med var och en av de motparter eller grupper av motparter med inbördes anknytning för vilka redovisning görs, uttryckt som en procentand</w:t>
            </w:r>
            <w:r w:rsidRPr="008F22A0">
              <w:rPr>
                <w:rFonts w:ascii="Times New Roman" w:hAnsi="Times New Roman"/>
              </w:rPr>
              <w:t>el av värdepappersföretagets totala egna medel.</w:t>
            </w:r>
          </w:p>
        </w:tc>
      </w:tr>
    </w:tbl>
    <w:p w14:paraId="6E6CF932" w14:textId="77777777" w:rsidR="00E20575" w:rsidRPr="008F22A0" w:rsidRDefault="00E20575">
      <w:pPr>
        <w:spacing w:after="0"/>
        <w:rPr>
          <w:rFonts w:ascii="Times New Roman" w:hAnsi="Times New Roman" w:cs="Times New Roman"/>
          <w:u w:val="single"/>
        </w:rPr>
      </w:pPr>
    </w:p>
    <w:p w14:paraId="65A0D565" w14:textId="77777777" w:rsidR="00E20575" w:rsidRPr="008F22A0" w:rsidRDefault="008F22A0">
      <w:pPr>
        <w:pStyle w:val="Instructionsberschrift2"/>
        <w:ind w:left="357" w:hanging="357"/>
        <w:rPr>
          <w:rFonts w:ascii="Times New Roman" w:hAnsi="Times New Roman" w:cs="Times New Roman"/>
          <w:sz w:val="24"/>
        </w:rPr>
      </w:pPr>
      <w:bookmarkStart w:id="151" w:name="_Toc76556834"/>
      <w:bookmarkStart w:id="152" w:name="_Toc88220481"/>
      <w:r w:rsidRPr="008F22A0">
        <w:rPr>
          <w:rFonts w:ascii="Times New Roman" w:hAnsi="Times New Roman"/>
          <w:sz w:val="24"/>
        </w:rPr>
        <w:t>4.6.</w:t>
      </w:r>
      <w:r w:rsidRPr="008F22A0">
        <w:rPr>
          <w:rFonts w:ascii="Times New Roman" w:hAnsi="Times New Roman"/>
          <w:sz w:val="24"/>
          <w:u w:val="none"/>
        </w:rPr>
        <w:t xml:space="preserve"> </w:t>
      </w:r>
      <w:r w:rsidRPr="008F22A0">
        <w:rPr>
          <w:rFonts w:ascii="Times New Roman" w:hAnsi="Times New Roman"/>
          <w:sz w:val="24"/>
        </w:rPr>
        <w:t>I 08.04 – KONCENTRATIONSRISKNIVÅ – TOTALA INTÄKTER (I 8.4)</w:t>
      </w:r>
      <w:bookmarkEnd w:id="151"/>
      <w:bookmarkEnd w:id="152"/>
    </w:p>
    <w:p w14:paraId="662762A0" w14:textId="77777777" w:rsidR="00E20575" w:rsidRPr="008F22A0" w:rsidRDefault="008F22A0">
      <w:pPr>
        <w:pStyle w:val="Instructionsberschrift2"/>
        <w:ind w:left="357" w:hanging="357"/>
        <w:rPr>
          <w:rFonts w:ascii="Times New Roman" w:hAnsi="Times New Roman" w:cs="Times New Roman"/>
        </w:rPr>
      </w:pPr>
      <w:bookmarkStart w:id="153" w:name="_Toc76556835"/>
      <w:bookmarkStart w:id="154" w:name="_Toc88220482"/>
      <w:r w:rsidRPr="008F22A0">
        <w:rPr>
          <w:rFonts w:ascii="Times New Roman" w:hAnsi="Times New Roman"/>
          <w:sz w:val="24"/>
          <w:u w:val="none"/>
        </w:rPr>
        <w:t>4.6.1</w:t>
      </w:r>
      <w:r w:rsidRPr="008F22A0">
        <w:rPr>
          <w:rFonts w:ascii="Times New Roman" w:hAnsi="Times New Roman"/>
          <w:sz w:val="24"/>
          <w:u w:val="none"/>
        </w:rPr>
        <w:tab/>
      </w:r>
      <w:r w:rsidRPr="008F22A0">
        <w:rPr>
          <w:rFonts w:ascii="Times New Roman" w:hAnsi="Times New Roman"/>
          <w:sz w:val="24"/>
        </w:rPr>
        <w:t>Instruktioner för särskilda kolumner</w:t>
      </w:r>
      <w:bookmarkEnd w:id="153"/>
      <w:bookmarkEnd w:id="15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6D619D0B" w14:textId="77777777">
        <w:tc>
          <w:tcPr>
            <w:tcW w:w="1389" w:type="dxa"/>
            <w:shd w:val="clear" w:color="auto" w:fill="D9D9D9"/>
          </w:tcPr>
          <w:p w14:paraId="0FFF734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55F6853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5BF8B169" w14:textId="77777777">
        <w:tc>
          <w:tcPr>
            <w:tcW w:w="1389" w:type="dxa"/>
          </w:tcPr>
          <w:p w14:paraId="54D297D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0010–0080</w:t>
            </w:r>
          </w:p>
        </w:tc>
        <w:tc>
          <w:tcPr>
            <w:tcW w:w="7620" w:type="dxa"/>
          </w:tcPr>
          <w:p w14:paraId="2E1731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intäkter</w:t>
            </w:r>
          </w:p>
          <w:p w14:paraId="4AD794E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54.2 e och f </w:t>
            </w:r>
            <w:r w:rsidRPr="008F22A0">
              <w:rPr>
                <w:rFonts w:ascii="Times New Roman" w:hAnsi="Times New Roman"/>
              </w:rPr>
              <w:t>i förordning (EU) 2019/2033.</w:t>
            </w:r>
          </w:p>
          <w:p w14:paraId="4B782A3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identifieringen av de fem, om tillgängliga, motparterna eller gruppen av motparter med inbördes anknytning från vilka företaget får de största intäkterna.</w:t>
            </w:r>
          </w:p>
        </w:tc>
      </w:tr>
      <w:tr w:rsidR="00E20575" w:rsidRPr="008F22A0" w14:paraId="39F6573E" w14:textId="77777777">
        <w:tc>
          <w:tcPr>
            <w:tcW w:w="1389" w:type="dxa"/>
          </w:tcPr>
          <w:p w14:paraId="6EBAE7C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135AA6F2"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Kod</w:t>
            </w:r>
          </w:p>
          <w:p w14:paraId="17C349E3" w14:textId="77777777" w:rsidR="00E20575" w:rsidRPr="008F22A0" w:rsidRDefault="008F22A0">
            <w:pPr>
              <w:spacing w:after="120" w:line="240" w:lineRule="auto"/>
              <w:jc w:val="both"/>
              <w:rPr>
                <w:rFonts w:ascii="Times New Roman" w:eastAsia="Times New Roman" w:hAnsi="Times New Roman" w:cs="Times New Roman"/>
                <w:bCs/>
              </w:rPr>
            </w:pPr>
            <w:r w:rsidRPr="008F22A0">
              <w:rPr>
                <w:rStyle w:val="FormatvorlageInstructionsTabelleText"/>
                <w:rFonts w:ascii="Times New Roman" w:hAnsi="Times New Roman"/>
                <w:sz w:val="22"/>
              </w:rPr>
              <w:t xml:space="preserve">Koden måste som del av en radidentifierare </w:t>
            </w:r>
            <w:r w:rsidRPr="008F22A0">
              <w:rPr>
                <w:rStyle w:val="FormatvorlageInstructionsTabelleText"/>
                <w:rFonts w:ascii="Times New Roman" w:hAnsi="Times New Roman"/>
                <w:sz w:val="22"/>
              </w:rPr>
              <w:t>vara unik för varje redovisad enhet. För värdepappersföretag och försäkringsföretag måste koden vara LEI-koden. För andra företag måste koden vara LEI-koden eller, om den inte finns tillgänglig, en nationell kod. Koden ska vara unik och användas konsekvent</w:t>
            </w:r>
            <w:r w:rsidRPr="008F22A0">
              <w:rPr>
                <w:rStyle w:val="FormatvorlageInstructionsTabelleText"/>
                <w:rFonts w:ascii="Times New Roman" w:hAnsi="Times New Roman"/>
                <w:sz w:val="22"/>
              </w:rPr>
              <w:t xml:space="preserve"> i alla mallar och över tid. Koden ska alltid ha ett värde.</w:t>
            </w:r>
          </w:p>
        </w:tc>
      </w:tr>
      <w:tr w:rsidR="00E20575" w:rsidRPr="008F22A0" w14:paraId="4A0850F9" w14:textId="77777777">
        <w:tc>
          <w:tcPr>
            <w:tcW w:w="1389" w:type="dxa"/>
          </w:tcPr>
          <w:p w14:paraId="3A7DADD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028282B9"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Typ av kod</w:t>
            </w:r>
          </w:p>
          <w:p w14:paraId="63DDAB7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5FFEB147" w14:textId="77777777">
        <w:tc>
          <w:tcPr>
            <w:tcW w:w="1389" w:type="dxa"/>
          </w:tcPr>
          <w:p w14:paraId="3C172F4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607DBA4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5260A09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Namnet ska motsvara namnet på moderföretaget när en grupp av </w:t>
            </w:r>
            <w:r w:rsidRPr="008F22A0">
              <w:rPr>
                <w:rFonts w:ascii="Times New Roman" w:hAnsi="Times New Roman"/>
              </w:rPr>
              <w:t>kunder med inbördes anknytning anges. I alla övriga fall ska namnet motsvara den enskilda kunden.</w:t>
            </w:r>
          </w:p>
        </w:tc>
      </w:tr>
      <w:tr w:rsidR="00E20575" w:rsidRPr="008F22A0" w14:paraId="2AD51DF2" w14:textId="77777777">
        <w:tc>
          <w:tcPr>
            <w:tcW w:w="1389" w:type="dxa"/>
          </w:tcPr>
          <w:p w14:paraId="48E3CF8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669C521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Grupp eller individuellt</w:t>
            </w:r>
          </w:p>
          <w:p w14:paraId="160722F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Värdepappersföretaget ska ange </w:t>
            </w:r>
            <w:r w:rsidRPr="008F22A0">
              <w:rPr>
                <w:rFonts w:ascii="Times New Roman" w:hAnsi="Times New Roman"/>
              </w:rPr>
              <w:t>”1”</w:t>
            </w:r>
            <w:r w:rsidRPr="008F22A0">
              <w:rPr>
                <w:rFonts w:ascii="Times New Roman" w:hAnsi="Times New Roman"/>
              </w:rPr>
              <w:t xml:space="preserve"> för redovisning av exponeringar mot enskilda kunder eller </w:t>
            </w:r>
            <w:r w:rsidRPr="008F22A0">
              <w:rPr>
                <w:rFonts w:ascii="Times New Roman" w:hAnsi="Times New Roman"/>
              </w:rPr>
              <w:t>”2”</w:t>
            </w:r>
            <w:r w:rsidRPr="008F22A0">
              <w:rPr>
                <w:rFonts w:ascii="Times New Roman" w:hAnsi="Times New Roman"/>
              </w:rPr>
              <w:t xml:space="preserve"> för redovisning av exponeringa</w:t>
            </w:r>
            <w:r w:rsidRPr="008F22A0">
              <w:rPr>
                <w:rFonts w:ascii="Times New Roman" w:hAnsi="Times New Roman"/>
              </w:rPr>
              <w:t>r mot grupper av kunder med inbördes anknytning.</w:t>
            </w:r>
          </w:p>
        </w:tc>
      </w:tr>
      <w:tr w:rsidR="00E20575" w:rsidRPr="008F22A0" w14:paraId="7222B2B2" w14:textId="77777777">
        <w:tc>
          <w:tcPr>
            <w:tcW w:w="1389" w:type="dxa"/>
          </w:tcPr>
          <w:p w14:paraId="4CEA99F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5F2081E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intäkter från denna kund</w:t>
            </w:r>
          </w:p>
          <w:p w14:paraId="7D243C1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Företaget ska ange de totala intäkterna per kund eller grupp av kunder med inbördes anknytning som genererats sedan räkenskapsårets början. Intäkterna ska delas upp </w:t>
            </w:r>
            <w:r w:rsidRPr="008F22A0">
              <w:rPr>
                <w:rFonts w:ascii="Times New Roman" w:hAnsi="Times New Roman"/>
              </w:rPr>
              <w:t>efter ränte- och utdelningsintäkter å ena sidan och avgifts- och provisionsintäkter å andra sidan.</w:t>
            </w:r>
          </w:p>
        </w:tc>
      </w:tr>
      <w:tr w:rsidR="00E20575" w:rsidRPr="008F22A0" w14:paraId="7BEC1070" w14:textId="77777777">
        <w:tc>
          <w:tcPr>
            <w:tcW w:w="1389" w:type="dxa"/>
          </w:tcPr>
          <w:p w14:paraId="382E3D3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 – 0090</w:t>
            </w:r>
          </w:p>
        </w:tc>
        <w:tc>
          <w:tcPr>
            <w:tcW w:w="7620" w:type="dxa"/>
          </w:tcPr>
          <w:p w14:paraId="60F0409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Räntor och utdelningsintäkter</w:t>
            </w:r>
          </w:p>
        </w:tc>
      </w:tr>
      <w:tr w:rsidR="00E20575" w:rsidRPr="008F22A0" w14:paraId="2137DBE6" w14:textId="77777777">
        <w:tc>
          <w:tcPr>
            <w:tcW w:w="1389" w:type="dxa"/>
          </w:tcPr>
          <w:p w14:paraId="2A3FA27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0060 </w:t>
            </w:r>
          </w:p>
        </w:tc>
        <w:tc>
          <w:tcPr>
            <w:tcW w:w="7620" w:type="dxa"/>
          </w:tcPr>
          <w:p w14:paraId="6649240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Ränte- och utdelningsintäkter – Belopp som genereras av positioner i handelslagret</w:t>
            </w:r>
          </w:p>
          <w:p w14:paraId="1EF7BDC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Handelslager enligt definitionen i artikel 4.1.54 i förordning (EU) 2019/2033. </w:t>
            </w:r>
          </w:p>
        </w:tc>
      </w:tr>
      <w:tr w:rsidR="00E20575" w:rsidRPr="008F22A0" w14:paraId="697C8D43" w14:textId="77777777">
        <w:tc>
          <w:tcPr>
            <w:tcW w:w="1389" w:type="dxa"/>
          </w:tcPr>
          <w:p w14:paraId="76FBDC4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Pr>
          <w:p w14:paraId="373E3B7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Ränte- och utdelningsintäkter – Belopp som genereras av positioner i handelslagret och utanför handelslagret</w:t>
            </w:r>
          </w:p>
        </w:tc>
      </w:tr>
      <w:tr w:rsidR="00E20575" w:rsidRPr="008F22A0" w14:paraId="1C4ECEDC" w14:textId="77777777">
        <w:tc>
          <w:tcPr>
            <w:tcW w:w="1389" w:type="dxa"/>
          </w:tcPr>
          <w:p w14:paraId="6A442A4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Pr>
          <w:p w14:paraId="541748C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Räntor och utdelningsintäkter - varav: Belopp som gener</w:t>
            </w:r>
            <w:r w:rsidRPr="008F22A0">
              <w:rPr>
                <w:rFonts w:ascii="Times New Roman" w:hAnsi="Times New Roman"/>
                <w:b/>
                <w:u w:val="single"/>
              </w:rPr>
              <w:t>erats från poster utanför balansräkningen</w:t>
            </w:r>
          </w:p>
        </w:tc>
      </w:tr>
      <w:tr w:rsidR="00E20575" w:rsidRPr="008F22A0" w14:paraId="58449CC4" w14:textId="77777777">
        <w:tc>
          <w:tcPr>
            <w:tcW w:w="1389" w:type="dxa"/>
          </w:tcPr>
          <w:p w14:paraId="166290F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w:t>
            </w:r>
          </w:p>
        </w:tc>
        <w:tc>
          <w:tcPr>
            <w:tcW w:w="7620" w:type="dxa"/>
          </w:tcPr>
          <w:p w14:paraId="5E60DCD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Procentandel av intäkter och utdelningar från denna kund</w:t>
            </w:r>
          </w:p>
          <w:p w14:paraId="45047D3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de ränte- och utdelningsintäkter som genererats från var och en av kunderna eller grupperna av kunder med inbördes anknytning, uttry</w:t>
            </w:r>
            <w:r w:rsidRPr="008F22A0">
              <w:rPr>
                <w:rFonts w:ascii="Times New Roman" w:hAnsi="Times New Roman"/>
              </w:rPr>
              <w:t>ckt som en procentandel av värdepappersföretagets totala ränte- och utdelningsintäkter.</w:t>
            </w:r>
          </w:p>
        </w:tc>
      </w:tr>
      <w:tr w:rsidR="00E20575" w:rsidRPr="008F22A0" w14:paraId="676EAB55" w14:textId="77777777">
        <w:tc>
          <w:tcPr>
            <w:tcW w:w="1389" w:type="dxa"/>
          </w:tcPr>
          <w:p w14:paraId="5B3EF9B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 – 0110</w:t>
            </w:r>
          </w:p>
        </w:tc>
        <w:tc>
          <w:tcPr>
            <w:tcW w:w="7620" w:type="dxa"/>
          </w:tcPr>
          <w:p w14:paraId="19FF04F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Avgifter och provisioner och övriga intäkter</w:t>
            </w:r>
          </w:p>
        </w:tc>
      </w:tr>
      <w:tr w:rsidR="00E20575" w:rsidRPr="008F22A0" w14:paraId="0D84365F" w14:textId="77777777">
        <w:tc>
          <w:tcPr>
            <w:tcW w:w="1389" w:type="dxa"/>
          </w:tcPr>
          <w:p w14:paraId="1BAFC4C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0100 </w:t>
            </w:r>
          </w:p>
        </w:tc>
        <w:tc>
          <w:tcPr>
            <w:tcW w:w="7620" w:type="dxa"/>
          </w:tcPr>
          <w:p w14:paraId="411CEB8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Avgifter och provisioner och övriga intäkter – Belopp </w:t>
            </w:r>
          </w:p>
        </w:tc>
      </w:tr>
      <w:tr w:rsidR="00E20575" w:rsidRPr="008F22A0" w14:paraId="4F842656" w14:textId="77777777">
        <w:tc>
          <w:tcPr>
            <w:tcW w:w="1389" w:type="dxa"/>
          </w:tcPr>
          <w:p w14:paraId="242680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tcPr>
          <w:p w14:paraId="742DCB1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Procentandel av avgifter och provisioner och övriga intäkter från denna kund</w:t>
            </w:r>
          </w:p>
          <w:p w14:paraId="1BD4D88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de avgifter och provisioner och övriga intäkter som genererats från var och en av kunderna eller gr</w:t>
            </w:r>
            <w:r w:rsidRPr="008F22A0">
              <w:rPr>
                <w:rFonts w:ascii="Times New Roman" w:hAnsi="Times New Roman"/>
              </w:rPr>
              <w:t>upperna av kunder med inbördes anknytning, uttryckt som en procentandel av värdepappersföretagets totala avgifter och provisioner och andra intäkter.</w:t>
            </w:r>
          </w:p>
        </w:tc>
      </w:tr>
    </w:tbl>
    <w:p w14:paraId="1BBF82EB" w14:textId="77777777" w:rsidR="00E20575" w:rsidRPr="008F22A0" w:rsidRDefault="00E20575">
      <w:pPr>
        <w:spacing w:after="0"/>
        <w:rPr>
          <w:rFonts w:ascii="Times New Roman" w:hAnsi="Times New Roman" w:cs="Times New Roman"/>
          <w:u w:val="single"/>
        </w:rPr>
      </w:pPr>
    </w:p>
    <w:p w14:paraId="1D0E2466" w14:textId="77777777" w:rsidR="00E20575" w:rsidRPr="008F22A0" w:rsidRDefault="008F22A0">
      <w:pPr>
        <w:pStyle w:val="Instructionsberschrift2"/>
        <w:ind w:left="357" w:hanging="357"/>
        <w:rPr>
          <w:rFonts w:ascii="Times New Roman" w:hAnsi="Times New Roman" w:cs="Times New Roman"/>
          <w:sz w:val="24"/>
        </w:rPr>
      </w:pPr>
      <w:bookmarkStart w:id="155" w:name="_Toc76556836"/>
      <w:bookmarkStart w:id="156" w:name="_Toc88220483"/>
      <w:r w:rsidRPr="008F22A0">
        <w:rPr>
          <w:rFonts w:ascii="Times New Roman" w:hAnsi="Times New Roman"/>
          <w:sz w:val="24"/>
        </w:rPr>
        <w:t>4.7.</w:t>
      </w:r>
      <w:r w:rsidRPr="008F22A0">
        <w:rPr>
          <w:rFonts w:ascii="Times New Roman" w:hAnsi="Times New Roman"/>
          <w:sz w:val="24"/>
          <w:u w:val="none"/>
        </w:rPr>
        <w:t xml:space="preserve"> </w:t>
      </w:r>
      <w:r w:rsidRPr="008F22A0">
        <w:rPr>
          <w:rFonts w:ascii="Times New Roman" w:hAnsi="Times New Roman"/>
          <w:sz w:val="24"/>
        </w:rPr>
        <w:t>I 08.05 – EXPONERINGAR I HANDELSLAGRET (I 8.5)</w:t>
      </w:r>
      <w:bookmarkEnd w:id="155"/>
      <w:bookmarkEnd w:id="156"/>
    </w:p>
    <w:p w14:paraId="42972B48" w14:textId="77777777" w:rsidR="00E20575" w:rsidRPr="008F22A0" w:rsidRDefault="008F22A0">
      <w:pPr>
        <w:pStyle w:val="Instructionsberschrift2"/>
        <w:ind w:left="357" w:hanging="357"/>
        <w:rPr>
          <w:rFonts w:ascii="Times New Roman" w:hAnsi="Times New Roman" w:cs="Times New Roman"/>
        </w:rPr>
      </w:pPr>
      <w:bookmarkStart w:id="157" w:name="_Toc76556837"/>
      <w:bookmarkStart w:id="158" w:name="_Toc88220484"/>
      <w:r w:rsidRPr="008F22A0">
        <w:rPr>
          <w:rFonts w:ascii="Times New Roman" w:hAnsi="Times New Roman"/>
          <w:sz w:val="24"/>
          <w:u w:val="none"/>
        </w:rPr>
        <w:t>4.7.1</w:t>
      </w:r>
      <w:r w:rsidRPr="008F22A0">
        <w:rPr>
          <w:rFonts w:ascii="Times New Roman" w:hAnsi="Times New Roman"/>
          <w:sz w:val="24"/>
          <w:u w:val="none"/>
        </w:rPr>
        <w:tab/>
      </w:r>
      <w:r w:rsidRPr="008F22A0">
        <w:rPr>
          <w:rFonts w:ascii="Times New Roman" w:hAnsi="Times New Roman"/>
          <w:sz w:val="24"/>
        </w:rPr>
        <w:t>Instruktioner för särskilda kolumner</w:t>
      </w:r>
      <w:bookmarkEnd w:id="157"/>
      <w:bookmarkEnd w:id="15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418EA6A5" w14:textId="77777777">
        <w:tc>
          <w:tcPr>
            <w:tcW w:w="1389" w:type="dxa"/>
            <w:shd w:val="clear" w:color="auto" w:fill="D9D9D9"/>
          </w:tcPr>
          <w:p w14:paraId="3C6434E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Kolumner</w:t>
            </w:r>
          </w:p>
        </w:tc>
        <w:tc>
          <w:tcPr>
            <w:tcW w:w="7620" w:type="dxa"/>
            <w:shd w:val="clear" w:color="auto" w:fill="D9D9D9"/>
          </w:tcPr>
          <w:p w14:paraId="6B4E9A9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7C74374C" w14:textId="77777777">
        <w:tc>
          <w:tcPr>
            <w:tcW w:w="1389" w:type="dxa"/>
          </w:tcPr>
          <w:p w14:paraId="189BDC8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0010–0050</w:t>
            </w:r>
          </w:p>
        </w:tc>
        <w:tc>
          <w:tcPr>
            <w:tcW w:w="7620" w:type="dxa"/>
          </w:tcPr>
          <w:p w14:paraId="2E68506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Exponeringar i handelslagret</w:t>
            </w:r>
          </w:p>
          <w:p w14:paraId="72E0868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54.2 a i förordning (EU) 2019/2033.</w:t>
            </w:r>
          </w:p>
          <w:p w14:paraId="2A96F65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lämna information om de fem största exponeringarna i handelslagret, om tillgängliga.</w:t>
            </w:r>
          </w:p>
        </w:tc>
      </w:tr>
      <w:tr w:rsidR="00E20575" w:rsidRPr="008F22A0" w14:paraId="65842FE0" w14:textId="77777777">
        <w:tc>
          <w:tcPr>
            <w:tcW w:w="1389" w:type="dxa"/>
          </w:tcPr>
          <w:p w14:paraId="117A4F7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1C46DDE6"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Kod</w:t>
            </w:r>
          </w:p>
          <w:p w14:paraId="65BB825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Style w:val="FormatvorlageInstructionsTabelleText"/>
                <w:rFonts w:ascii="Times New Roman" w:hAnsi="Times New Roman"/>
                <w:sz w:val="22"/>
              </w:rPr>
              <w:t xml:space="preserve">Koden måste som del </w:t>
            </w:r>
            <w:r w:rsidRPr="008F22A0">
              <w:rPr>
                <w:rStyle w:val="FormatvorlageInstructionsTabelleText"/>
                <w:rFonts w:ascii="Times New Roman" w:hAnsi="Times New Roman"/>
                <w:sz w:val="22"/>
              </w:rPr>
              <w:t xml:space="preserve">av en radidentifierare vara unik för varje redovisad enhet. För värdepappersföretag och försäkringsföretag måste koden vara LEI-koden. För andra företag måste koden vara LEI-koden eller, om den inte finns tillgänglig, en nationell kod. Koden ska vara unik </w:t>
            </w:r>
            <w:r w:rsidRPr="008F22A0">
              <w:rPr>
                <w:rStyle w:val="FormatvorlageInstructionsTabelleText"/>
                <w:rFonts w:ascii="Times New Roman" w:hAnsi="Times New Roman"/>
                <w:sz w:val="22"/>
              </w:rPr>
              <w:t>och användas konsekvent i alla mallar och över tid. Koden ska alltid ha ett värde.</w:t>
            </w:r>
          </w:p>
        </w:tc>
      </w:tr>
      <w:tr w:rsidR="00E20575" w:rsidRPr="008F22A0" w14:paraId="1ED82B8B" w14:textId="77777777">
        <w:tc>
          <w:tcPr>
            <w:tcW w:w="1389" w:type="dxa"/>
          </w:tcPr>
          <w:p w14:paraId="1B2D904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3E04967C" w14:textId="77777777" w:rsidR="00E20575" w:rsidRPr="008F22A0" w:rsidRDefault="008F22A0">
            <w:pPr>
              <w:pStyle w:val="InstructionsText"/>
              <w:rPr>
                <w:rStyle w:val="InstructionsTabelleberschrift"/>
                <w:rFonts w:ascii="Times New Roman" w:hAnsi="Times New Roman"/>
                <w:sz w:val="22"/>
                <w:szCs w:val="22"/>
              </w:rPr>
            </w:pPr>
            <w:r w:rsidRPr="008F22A0">
              <w:rPr>
                <w:rStyle w:val="InstructionsTabelleberschrift"/>
                <w:rFonts w:ascii="Times New Roman" w:hAnsi="Times New Roman"/>
                <w:sz w:val="22"/>
              </w:rPr>
              <w:t>Typ av kod</w:t>
            </w:r>
          </w:p>
          <w:p w14:paraId="510DF0B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32E04B63" w14:textId="77777777">
        <w:tc>
          <w:tcPr>
            <w:tcW w:w="1389" w:type="dxa"/>
          </w:tcPr>
          <w:p w14:paraId="660B3A8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57D12E6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Namn</w:t>
            </w:r>
          </w:p>
          <w:p w14:paraId="0EECF0D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Namnet ska motsvara namnet på </w:t>
            </w:r>
            <w:r w:rsidRPr="008F22A0">
              <w:rPr>
                <w:rFonts w:ascii="Times New Roman" w:hAnsi="Times New Roman"/>
              </w:rPr>
              <w:t>moderföretaget när en grupp av kunder med inbördes anknytning anges. I alla övriga fall ska namnet motsvara den enskilda motparten.</w:t>
            </w:r>
          </w:p>
        </w:tc>
      </w:tr>
      <w:tr w:rsidR="00E20575" w:rsidRPr="008F22A0" w14:paraId="0E5C83C4" w14:textId="77777777">
        <w:tc>
          <w:tcPr>
            <w:tcW w:w="1389" w:type="dxa"/>
          </w:tcPr>
          <w:p w14:paraId="61B8E24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0CCE1C1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Grupp eller individuellt</w:t>
            </w:r>
          </w:p>
          <w:p w14:paraId="5A190EE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Värdepappersföretaget ska ange </w:t>
            </w:r>
            <w:r w:rsidRPr="008F22A0">
              <w:rPr>
                <w:rFonts w:ascii="Times New Roman" w:hAnsi="Times New Roman"/>
              </w:rPr>
              <w:t>”1”</w:t>
            </w:r>
            <w:r w:rsidRPr="008F22A0">
              <w:rPr>
                <w:rFonts w:ascii="Times New Roman" w:hAnsi="Times New Roman"/>
              </w:rPr>
              <w:t xml:space="preserve"> för redovisning av exponeringar mot enskilda kunder eller </w:t>
            </w:r>
            <w:r w:rsidRPr="008F22A0">
              <w:rPr>
                <w:rFonts w:ascii="Times New Roman" w:hAnsi="Times New Roman"/>
              </w:rPr>
              <w:t>”2”</w:t>
            </w:r>
            <w:r w:rsidRPr="008F22A0">
              <w:rPr>
                <w:rFonts w:ascii="Times New Roman" w:hAnsi="Times New Roman"/>
              </w:rPr>
              <w:t xml:space="preserve"> för redovisning av exponeringar mot grupper av kunder med inbördes anknytning.</w:t>
            </w:r>
          </w:p>
        </w:tc>
      </w:tr>
      <w:tr w:rsidR="00E20575" w:rsidRPr="008F22A0" w14:paraId="5D938825" w14:textId="77777777">
        <w:tc>
          <w:tcPr>
            <w:tcW w:w="1389" w:type="dxa"/>
          </w:tcPr>
          <w:p w14:paraId="0E37A84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083EAC5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Procentandel av exponeringen mot denna motpart i förhållande till företagets kapitalbas (endast positioner i handelslagret)</w:t>
            </w:r>
          </w:p>
          <w:p w14:paraId="6766609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Företaget ska ange exponeringarna i handels</w:t>
            </w:r>
            <w:r w:rsidRPr="008F22A0">
              <w:rPr>
                <w:rFonts w:ascii="Times New Roman" w:hAnsi="Times New Roman"/>
              </w:rPr>
              <w:t>lagret på rapporteringsdatum med var och en av de motparter eller grupper av motparter med inbördes anknytning för vilka redovisning görs, uttryckt som en procentandel av kapitalbasen.</w:t>
            </w:r>
          </w:p>
        </w:tc>
      </w:tr>
    </w:tbl>
    <w:p w14:paraId="7FDADBBD" w14:textId="77777777" w:rsidR="00E20575" w:rsidRPr="008F22A0" w:rsidRDefault="00E20575">
      <w:pPr>
        <w:spacing w:after="0"/>
        <w:rPr>
          <w:rFonts w:ascii="Times New Roman" w:hAnsi="Times New Roman" w:cs="Times New Roman"/>
          <w:u w:val="single"/>
        </w:rPr>
      </w:pPr>
    </w:p>
    <w:p w14:paraId="0A2CDBDF" w14:textId="77777777" w:rsidR="00E20575" w:rsidRPr="008F22A0" w:rsidRDefault="008F22A0">
      <w:pPr>
        <w:pStyle w:val="Instructionsberschrift2"/>
        <w:ind w:left="357" w:hanging="357"/>
        <w:rPr>
          <w:rFonts w:ascii="Times New Roman" w:hAnsi="Times New Roman" w:cs="Times New Roman"/>
          <w:sz w:val="24"/>
        </w:rPr>
      </w:pPr>
      <w:bookmarkStart w:id="159" w:name="_Toc76556838"/>
      <w:bookmarkStart w:id="160" w:name="_Toc88220485"/>
      <w:r w:rsidRPr="008F22A0">
        <w:rPr>
          <w:rFonts w:ascii="Times New Roman" w:hAnsi="Times New Roman"/>
          <w:sz w:val="24"/>
        </w:rPr>
        <w:t xml:space="preserve">4.8. I 08.06 – POSTER UTANFÖR HANDELSLAGRET OCH POSTER UTANFÖR </w:t>
      </w:r>
      <w:r w:rsidRPr="008F22A0">
        <w:rPr>
          <w:rFonts w:ascii="Times New Roman" w:hAnsi="Times New Roman"/>
          <w:sz w:val="24"/>
        </w:rPr>
        <w:t>BALANSRÄKNINGEN (I 8.6)</w:t>
      </w:r>
      <w:bookmarkEnd w:id="159"/>
      <w:bookmarkEnd w:id="160"/>
    </w:p>
    <w:p w14:paraId="75FBB760" w14:textId="77777777" w:rsidR="00E20575" w:rsidRPr="008F22A0" w:rsidRDefault="008F22A0">
      <w:pPr>
        <w:pStyle w:val="Instructionsberschrift2"/>
        <w:ind w:left="357" w:hanging="357"/>
        <w:rPr>
          <w:rFonts w:ascii="Times New Roman" w:hAnsi="Times New Roman" w:cs="Times New Roman"/>
        </w:rPr>
      </w:pPr>
      <w:bookmarkStart w:id="161" w:name="_Toc76556839"/>
      <w:bookmarkStart w:id="162" w:name="_Toc88220486"/>
      <w:r w:rsidRPr="008F22A0">
        <w:rPr>
          <w:rFonts w:ascii="Times New Roman" w:hAnsi="Times New Roman"/>
          <w:sz w:val="24"/>
          <w:u w:val="none"/>
        </w:rPr>
        <w:t>4.8.1</w:t>
      </w:r>
      <w:r w:rsidRPr="008F22A0">
        <w:rPr>
          <w:rFonts w:ascii="Times New Roman" w:hAnsi="Times New Roman"/>
          <w:sz w:val="24"/>
          <w:u w:val="none"/>
        </w:rPr>
        <w:tab/>
      </w:r>
      <w:r w:rsidRPr="008F22A0">
        <w:rPr>
          <w:rFonts w:ascii="Times New Roman" w:hAnsi="Times New Roman"/>
          <w:sz w:val="24"/>
        </w:rPr>
        <w:t>Instruktioner för särskilda kolumner</w:t>
      </w:r>
      <w:bookmarkEnd w:id="161"/>
      <w:bookmarkEnd w:id="16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E20575" w:rsidRPr="008F22A0" w14:paraId="5107618C" w14:textId="77777777">
        <w:tc>
          <w:tcPr>
            <w:tcW w:w="1389" w:type="dxa"/>
            <w:shd w:val="clear" w:color="auto" w:fill="D9D9D9"/>
          </w:tcPr>
          <w:p w14:paraId="54B6D503"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Kolumner</w:t>
            </w:r>
          </w:p>
        </w:tc>
        <w:tc>
          <w:tcPr>
            <w:tcW w:w="7620" w:type="dxa"/>
            <w:shd w:val="clear" w:color="auto" w:fill="D9D9D9"/>
          </w:tcPr>
          <w:p w14:paraId="0516A6BD"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Rättsliga hänvisningar och instruktioner</w:t>
            </w:r>
          </w:p>
        </w:tc>
      </w:tr>
      <w:tr w:rsidR="00E20575" w:rsidRPr="008F22A0" w14:paraId="753C359A" w14:textId="77777777">
        <w:tc>
          <w:tcPr>
            <w:tcW w:w="1389" w:type="dxa"/>
          </w:tcPr>
          <w:p w14:paraId="23361D3D"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0010–0050</w:t>
            </w:r>
          </w:p>
        </w:tc>
        <w:tc>
          <w:tcPr>
            <w:tcW w:w="7620" w:type="dxa"/>
          </w:tcPr>
          <w:p w14:paraId="6E0C7DC8"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Poster utanför handelslagret och poster utanför balansräkningen</w:t>
            </w:r>
          </w:p>
          <w:p w14:paraId="70424C94"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Artikel 54.2 f i förordning (EU) 2019/2033.</w:t>
            </w:r>
          </w:p>
          <w:p w14:paraId="3A80AB66"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Företaget ska lämna </w:t>
            </w:r>
            <w:r w:rsidRPr="008F22A0">
              <w:rPr>
                <w:rFonts w:ascii="Times New Roman" w:hAnsi="Times New Roman"/>
              </w:rPr>
              <w:t>information om de fem största beräknade exponeringarna, om tillgängliga, inklusive tillgångar som inte är registrerade i handelslagret.</w:t>
            </w:r>
          </w:p>
        </w:tc>
      </w:tr>
      <w:tr w:rsidR="00E20575" w:rsidRPr="008F22A0" w14:paraId="59AC18EB" w14:textId="77777777">
        <w:tc>
          <w:tcPr>
            <w:tcW w:w="1389" w:type="dxa"/>
          </w:tcPr>
          <w:p w14:paraId="21E15513"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0010</w:t>
            </w:r>
          </w:p>
        </w:tc>
        <w:tc>
          <w:tcPr>
            <w:tcW w:w="7620" w:type="dxa"/>
          </w:tcPr>
          <w:p w14:paraId="5C8984C1" w14:textId="77777777" w:rsidR="00E20575" w:rsidRPr="008F22A0" w:rsidRDefault="008F22A0">
            <w:pPr>
              <w:pStyle w:val="InstructionsText"/>
              <w:rPr>
                <w:rStyle w:val="InstructionsTabelleberschrift"/>
                <w:rFonts w:ascii="Times New Roman" w:hAnsi="Times New Roman"/>
                <w:sz w:val="22"/>
              </w:rPr>
            </w:pPr>
            <w:r w:rsidRPr="008F22A0">
              <w:rPr>
                <w:rStyle w:val="InstructionsTabelleberschrift"/>
                <w:rFonts w:ascii="Times New Roman" w:hAnsi="Times New Roman"/>
                <w:sz w:val="22"/>
              </w:rPr>
              <w:t>Kod</w:t>
            </w:r>
          </w:p>
          <w:p w14:paraId="22B6CB90"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Style w:val="FormatvorlageInstructionsTabelleText"/>
                <w:rFonts w:ascii="Times New Roman" w:hAnsi="Times New Roman"/>
                <w:sz w:val="22"/>
              </w:rPr>
              <w:t xml:space="preserve">Koden måste som del av en radidentifierare vara unik för varje redovisad enhet. För </w:t>
            </w:r>
            <w:r w:rsidRPr="008F22A0">
              <w:rPr>
                <w:rStyle w:val="FormatvorlageInstructionsTabelleText"/>
                <w:rFonts w:ascii="Times New Roman" w:hAnsi="Times New Roman"/>
                <w:sz w:val="22"/>
              </w:rPr>
              <w:t>värdepappersföretag och försäkringsföretag måste koden vara LEI-koden. För andra företag måste koden vara LEI-koden eller, om den inte finns tillgänglig, en nationell kod. Koden ska vara unik och användas konsekvent i alla mallar och över tid. Koden ska al</w:t>
            </w:r>
            <w:r w:rsidRPr="008F22A0">
              <w:rPr>
                <w:rStyle w:val="FormatvorlageInstructionsTabelleText"/>
                <w:rFonts w:ascii="Times New Roman" w:hAnsi="Times New Roman"/>
                <w:sz w:val="22"/>
              </w:rPr>
              <w:t>ltid ha ett värde.</w:t>
            </w:r>
          </w:p>
        </w:tc>
      </w:tr>
      <w:tr w:rsidR="00E20575" w:rsidRPr="008F22A0" w14:paraId="7ECCB6E8" w14:textId="77777777">
        <w:tc>
          <w:tcPr>
            <w:tcW w:w="1389" w:type="dxa"/>
          </w:tcPr>
          <w:p w14:paraId="3A44E5C2"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0020</w:t>
            </w:r>
          </w:p>
        </w:tc>
        <w:tc>
          <w:tcPr>
            <w:tcW w:w="7620" w:type="dxa"/>
          </w:tcPr>
          <w:p w14:paraId="002F1D05" w14:textId="77777777" w:rsidR="00E20575" w:rsidRPr="008F22A0" w:rsidRDefault="008F22A0">
            <w:pPr>
              <w:pStyle w:val="InstructionsText"/>
              <w:rPr>
                <w:rStyle w:val="InstructionsTabelleberschrift"/>
                <w:rFonts w:ascii="Times New Roman" w:hAnsi="Times New Roman"/>
                <w:sz w:val="22"/>
              </w:rPr>
            </w:pPr>
            <w:r w:rsidRPr="008F22A0">
              <w:rPr>
                <w:rStyle w:val="InstructionsTabelleberschrift"/>
                <w:rFonts w:ascii="Times New Roman" w:hAnsi="Times New Roman"/>
                <w:sz w:val="22"/>
              </w:rPr>
              <w:t>Typ av kod</w:t>
            </w:r>
          </w:p>
          <w:p w14:paraId="2A78FE9E"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Värdepappersföretagen ska ange typ av kod som anges i kolumn 0010 som </w:t>
            </w:r>
            <w:r w:rsidRPr="008F22A0">
              <w:rPr>
                <w:rFonts w:ascii="Times New Roman" w:hAnsi="Times New Roman"/>
              </w:rPr>
              <w:t>”</w:t>
            </w:r>
            <w:r w:rsidRPr="008F22A0">
              <w:rPr>
                <w:rFonts w:ascii="Times New Roman" w:hAnsi="Times New Roman"/>
              </w:rPr>
              <w:t>LEI-ko</w:t>
            </w:r>
            <w:r w:rsidRPr="008F22A0">
              <w:rPr>
                <w:rFonts w:ascii="Times New Roman" w:hAnsi="Times New Roman"/>
              </w:rPr>
              <w:t>d”</w:t>
            </w:r>
            <w:r w:rsidRPr="008F22A0">
              <w:rPr>
                <w:rFonts w:ascii="Times New Roman" w:hAnsi="Times New Roman"/>
              </w:rPr>
              <w:t xml:space="preserve"> eller </w:t>
            </w:r>
            <w:r w:rsidRPr="008F22A0">
              <w:rPr>
                <w:rFonts w:ascii="Times New Roman" w:hAnsi="Times New Roman"/>
              </w:rPr>
              <w:t>”</w:t>
            </w:r>
            <w:r w:rsidRPr="008F22A0">
              <w:rPr>
                <w:rFonts w:ascii="Times New Roman" w:hAnsi="Times New Roman"/>
              </w:rPr>
              <w:t>nationell ko</w:t>
            </w:r>
            <w:r w:rsidRPr="008F22A0">
              <w:rPr>
                <w:rFonts w:ascii="Times New Roman" w:hAnsi="Times New Roman"/>
              </w:rPr>
              <w:t>d”</w:t>
            </w:r>
            <w:r w:rsidRPr="008F22A0">
              <w:rPr>
                <w:rFonts w:ascii="Times New Roman" w:hAnsi="Times New Roman"/>
              </w:rPr>
              <w:t>.</w:t>
            </w:r>
          </w:p>
        </w:tc>
      </w:tr>
      <w:tr w:rsidR="00E20575" w:rsidRPr="008F22A0" w14:paraId="4C3CDB78" w14:textId="77777777">
        <w:tc>
          <w:tcPr>
            <w:tcW w:w="1389" w:type="dxa"/>
          </w:tcPr>
          <w:p w14:paraId="0E91E3C3"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0030</w:t>
            </w:r>
          </w:p>
        </w:tc>
        <w:tc>
          <w:tcPr>
            <w:tcW w:w="7620" w:type="dxa"/>
          </w:tcPr>
          <w:p w14:paraId="0DDB5E86"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Namn</w:t>
            </w:r>
          </w:p>
          <w:p w14:paraId="33C5F460"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 xml:space="preserve">Namnet ska motsvara namnet på moderföretaget när en grupp av kunder med inbördes anknytning anges. I alla </w:t>
            </w:r>
            <w:r w:rsidRPr="008F22A0">
              <w:rPr>
                <w:rFonts w:ascii="Times New Roman" w:hAnsi="Times New Roman"/>
              </w:rPr>
              <w:t>övriga fall ska namnet motsvara den enskilda motparten.</w:t>
            </w:r>
          </w:p>
        </w:tc>
      </w:tr>
      <w:tr w:rsidR="00E20575" w:rsidRPr="008F22A0" w14:paraId="26D68146" w14:textId="77777777">
        <w:tc>
          <w:tcPr>
            <w:tcW w:w="1389" w:type="dxa"/>
          </w:tcPr>
          <w:p w14:paraId="55BC6734"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0040</w:t>
            </w:r>
          </w:p>
        </w:tc>
        <w:tc>
          <w:tcPr>
            <w:tcW w:w="7620" w:type="dxa"/>
          </w:tcPr>
          <w:p w14:paraId="37D02336"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Grupp eller individuellt</w:t>
            </w:r>
          </w:p>
          <w:p w14:paraId="46E3A8FB"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Värdepappersföretaget ska ange </w:t>
            </w:r>
            <w:r w:rsidRPr="008F22A0">
              <w:rPr>
                <w:rFonts w:ascii="Times New Roman" w:hAnsi="Times New Roman"/>
              </w:rPr>
              <w:t>”1”</w:t>
            </w:r>
            <w:r w:rsidRPr="008F22A0">
              <w:rPr>
                <w:rFonts w:ascii="Times New Roman" w:hAnsi="Times New Roman"/>
              </w:rPr>
              <w:t xml:space="preserve"> för redovisning av exponeringar mot enskilda kunder eller </w:t>
            </w:r>
            <w:r w:rsidRPr="008F22A0">
              <w:rPr>
                <w:rFonts w:ascii="Times New Roman" w:hAnsi="Times New Roman"/>
              </w:rPr>
              <w:t>”2”</w:t>
            </w:r>
            <w:r w:rsidRPr="008F22A0">
              <w:rPr>
                <w:rFonts w:ascii="Times New Roman" w:hAnsi="Times New Roman"/>
              </w:rPr>
              <w:t xml:space="preserve"> för redovisning av exponeringar mot grupper av kunder med inbördes anknytning.</w:t>
            </w:r>
          </w:p>
        </w:tc>
      </w:tr>
      <w:tr w:rsidR="00E20575" w:rsidRPr="008F22A0" w14:paraId="5D26A9D1" w14:textId="77777777">
        <w:tc>
          <w:tcPr>
            <w:tcW w:w="1389" w:type="dxa"/>
          </w:tcPr>
          <w:p w14:paraId="0E2A16FA" w14:textId="77777777" w:rsidR="00E20575" w:rsidRPr="008F22A0" w:rsidRDefault="008F22A0">
            <w:pPr>
              <w:spacing w:after="120" w:line="240" w:lineRule="auto"/>
              <w:jc w:val="both"/>
              <w:rPr>
                <w:rFonts w:ascii="Times New Roman" w:eastAsia="Times New Roman" w:hAnsi="Times New Roman" w:cs="Times New Roman"/>
                <w:bCs/>
                <w:szCs w:val="24"/>
              </w:rPr>
            </w:pPr>
            <w:r w:rsidRPr="008F22A0">
              <w:rPr>
                <w:rFonts w:ascii="Times New Roman" w:hAnsi="Times New Roman"/>
              </w:rPr>
              <w:t>0050</w:t>
            </w:r>
          </w:p>
        </w:tc>
        <w:tc>
          <w:tcPr>
            <w:tcW w:w="7620" w:type="dxa"/>
          </w:tcPr>
          <w:p w14:paraId="7FC01F4D"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b/>
                <w:u w:val="single"/>
              </w:rPr>
              <w:t>Procentandel av exponeringen i förhållande till företagets kapitalbas (inklusive tillgångar utanför balansräkningen och poster utanför handelslagret)</w:t>
            </w:r>
          </w:p>
          <w:p w14:paraId="087DCCCE" w14:textId="77777777" w:rsidR="00E20575" w:rsidRPr="008F22A0" w:rsidRDefault="008F22A0">
            <w:pPr>
              <w:spacing w:after="120" w:line="240" w:lineRule="auto"/>
              <w:jc w:val="both"/>
              <w:rPr>
                <w:rFonts w:ascii="Times New Roman" w:eastAsia="Times New Roman" w:hAnsi="Times New Roman" w:cs="Times New Roman"/>
                <w:b/>
                <w:bCs/>
                <w:szCs w:val="24"/>
                <w:u w:val="single"/>
              </w:rPr>
            </w:pPr>
            <w:r w:rsidRPr="008F22A0">
              <w:rPr>
                <w:rFonts w:ascii="Times New Roman" w:hAnsi="Times New Roman"/>
              </w:rPr>
              <w:t xml:space="preserve">Företaget ska </w:t>
            </w:r>
            <w:r w:rsidRPr="008F22A0">
              <w:rPr>
                <w:rFonts w:ascii="Times New Roman" w:hAnsi="Times New Roman"/>
              </w:rPr>
              <w:t>ange exponeringar, beräknade med beaktande av tillgångar och poster utanför balansräkningen utöver positioner i handelslagret, på rapporteringsdatum till var och en av de motparter eller grupper av motparter med inbördes anknytning för vilka redovisning gö</w:t>
            </w:r>
            <w:r w:rsidRPr="008F22A0">
              <w:rPr>
                <w:rFonts w:ascii="Times New Roman" w:hAnsi="Times New Roman"/>
              </w:rPr>
              <w:t>rs, uttryckt som en procentandel av godtagbart kapital.</w:t>
            </w:r>
          </w:p>
        </w:tc>
      </w:tr>
    </w:tbl>
    <w:p w14:paraId="2F4D8C7F" w14:textId="77777777" w:rsidR="00E20575" w:rsidRPr="008F22A0" w:rsidRDefault="00E20575">
      <w:pPr>
        <w:spacing w:after="0"/>
        <w:rPr>
          <w:rFonts w:ascii="Times New Roman" w:hAnsi="Times New Roman" w:cs="Times New Roman"/>
          <w:u w:val="single"/>
        </w:rPr>
      </w:pPr>
    </w:p>
    <w:p w14:paraId="4D13A83F" w14:textId="77777777" w:rsidR="00E20575" w:rsidRPr="008F22A0" w:rsidRDefault="008F22A0">
      <w:pPr>
        <w:pStyle w:val="Instructionsberschrift2"/>
        <w:ind w:left="357" w:hanging="357"/>
        <w:rPr>
          <w:rFonts w:ascii="Times New Roman" w:hAnsi="Times New Roman" w:cs="Times New Roman"/>
          <w:b/>
          <w:sz w:val="24"/>
        </w:rPr>
      </w:pPr>
      <w:bookmarkStart w:id="163" w:name="_Toc76556840"/>
      <w:bookmarkStart w:id="164" w:name="_Toc88220487"/>
      <w:r w:rsidRPr="008F22A0">
        <w:rPr>
          <w:rFonts w:ascii="Times New Roman" w:hAnsi="Times New Roman"/>
          <w:b/>
          <w:sz w:val="24"/>
        </w:rPr>
        <w:t>5. LIKVIDITETSKRAV</w:t>
      </w:r>
      <w:bookmarkEnd w:id="163"/>
      <w:bookmarkEnd w:id="164"/>
    </w:p>
    <w:p w14:paraId="062A5700"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65" w:name="_Toc76556841"/>
      <w:bookmarkStart w:id="166" w:name="_Toc88220488"/>
      <w:r w:rsidRPr="008F22A0">
        <w:rPr>
          <w:rFonts w:ascii="Times New Roman" w:hAnsi="Times New Roman"/>
          <w:sz w:val="24"/>
          <w:u w:val="single"/>
        </w:rPr>
        <w:t>5.1 I 09.00 – LIKVIDITETSKRAV (I 9)</w:t>
      </w:r>
      <w:bookmarkEnd w:id="165"/>
      <w:bookmarkEnd w:id="166"/>
    </w:p>
    <w:p w14:paraId="215853DF" w14:textId="77777777" w:rsidR="00E20575" w:rsidRPr="008F22A0" w:rsidRDefault="008F22A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67" w:name="_Toc76556842"/>
      <w:bookmarkStart w:id="168" w:name="_Toc88220489"/>
      <w:r w:rsidRPr="008F22A0">
        <w:rPr>
          <w:rFonts w:ascii="Times New Roman" w:hAnsi="Times New Roman"/>
          <w:sz w:val="24"/>
        </w:rPr>
        <w:t>5.1.1</w:t>
      </w:r>
      <w:r w:rsidRPr="008F22A0">
        <w:rPr>
          <w:rFonts w:ascii="Times New Roman" w:hAnsi="Times New Roman"/>
          <w:sz w:val="24"/>
        </w:rPr>
        <w:tab/>
      </w:r>
      <w:r w:rsidRPr="008F22A0">
        <w:rPr>
          <w:rFonts w:ascii="Times New Roman" w:hAnsi="Times New Roman"/>
          <w:sz w:val="24"/>
          <w:u w:val="single"/>
        </w:rPr>
        <w:t>Instruktioner för specifika positioner</w:t>
      </w:r>
      <w:bookmarkEnd w:id="167"/>
      <w:bookmarkEnd w:id="16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20575" w:rsidRPr="008F22A0" w14:paraId="4E3AA295" w14:textId="77777777">
        <w:tc>
          <w:tcPr>
            <w:tcW w:w="1129" w:type="dxa"/>
            <w:shd w:val="clear" w:color="auto" w:fill="D9D9D9"/>
          </w:tcPr>
          <w:p w14:paraId="549666A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Rad</w:t>
            </w:r>
          </w:p>
        </w:tc>
        <w:tc>
          <w:tcPr>
            <w:tcW w:w="7620" w:type="dxa"/>
            <w:shd w:val="clear" w:color="auto" w:fill="D9D9D9"/>
          </w:tcPr>
          <w:p w14:paraId="28EE04C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Rättsliga hänvisningar och instruktioner</w:t>
            </w:r>
          </w:p>
        </w:tc>
      </w:tr>
      <w:tr w:rsidR="00E20575" w:rsidRPr="008F22A0" w14:paraId="39CEE5E1" w14:textId="77777777">
        <w:tc>
          <w:tcPr>
            <w:tcW w:w="1129" w:type="dxa"/>
          </w:tcPr>
          <w:p w14:paraId="3A7C08D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0010</w:t>
            </w:r>
          </w:p>
        </w:tc>
        <w:tc>
          <w:tcPr>
            <w:tcW w:w="7620" w:type="dxa"/>
          </w:tcPr>
          <w:p w14:paraId="436D0537"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Likviditetskrav</w:t>
            </w:r>
          </w:p>
          <w:p w14:paraId="486DDD4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43.1 i </w:t>
            </w:r>
            <w:r w:rsidRPr="008F22A0">
              <w:rPr>
                <w:rFonts w:ascii="Times New Roman" w:hAnsi="Times New Roman"/>
              </w:rPr>
              <w:t>förordning (EU) 2019/2033.</w:t>
            </w:r>
          </w:p>
        </w:tc>
      </w:tr>
      <w:tr w:rsidR="00E20575" w:rsidRPr="008F22A0" w14:paraId="4E57CCF7" w14:textId="77777777">
        <w:tc>
          <w:tcPr>
            <w:tcW w:w="1129" w:type="dxa"/>
          </w:tcPr>
          <w:p w14:paraId="5155B09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0020</w:t>
            </w:r>
          </w:p>
        </w:tc>
        <w:tc>
          <w:tcPr>
            <w:tcW w:w="7620" w:type="dxa"/>
          </w:tcPr>
          <w:p w14:paraId="5F64987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Kundgarantier</w:t>
            </w:r>
          </w:p>
          <w:p w14:paraId="313A515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45 i förordning (EU) 2019/2033.</w:t>
            </w:r>
          </w:p>
          <w:p w14:paraId="254E77D4" w14:textId="77777777" w:rsidR="00E20575" w:rsidRPr="008F22A0" w:rsidRDefault="008F22A0">
            <w:pPr>
              <w:pStyle w:val="CommentText"/>
              <w:rPr>
                <w:rFonts w:ascii="Times New Roman" w:eastAsia="Times New Roman" w:hAnsi="Times New Roman" w:cs="Times New Roman"/>
                <w:bCs/>
                <w:sz w:val="22"/>
                <w:szCs w:val="22"/>
              </w:rPr>
            </w:pPr>
            <w:r w:rsidRPr="008F22A0">
              <w:rPr>
                <w:rFonts w:ascii="Times New Roman" w:hAnsi="Times New Roman"/>
                <w:sz w:val="22"/>
              </w:rPr>
              <w:t>Det redovisade värdet ska vara 1,6 % av det totala garantibeloppet till kunderna i enlighet med artikel 45 i förordning (EU) 2019/2033.</w:t>
            </w:r>
          </w:p>
        </w:tc>
      </w:tr>
      <w:tr w:rsidR="00E20575" w:rsidRPr="008F22A0" w14:paraId="343F2411" w14:textId="77777777">
        <w:tc>
          <w:tcPr>
            <w:tcW w:w="1129" w:type="dxa"/>
          </w:tcPr>
          <w:p w14:paraId="195F0E7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0030</w:t>
            </w:r>
          </w:p>
        </w:tc>
        <w:tc>
          <w:tcPr>
            <w:tcW w:w="7620" w:type="dxa"/>
          </w:tcPr>
          <w:p w14:paraId="6EBB23A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Totalt likvida </w:t>
            </w:r>
            <w:r w:rsidRPr="008F22A0">
              <w:rPr>
                <w:rFonts w:ascii="Times New Roman" w:hAnsi="Times New Roman"/>
                <w:b/>
                <w:u w:val="single"/>
              </w:rPr>
              <w:t>tillgångar</w:t>
            </w:r>
          </w:p>
          <w:p w14:paraId="1C52B20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43.1 a och artikel 43.2 i förordning (EU) 2019/2033.</w:t>
            </w:r>
          </w:p>
          <w:p w14:paraId="2B839406" w14:textId="77777777" w:rsidR="00E20575" w:rsidRPr="008F22A0" w:rsidRDefault="008F22A0">
            <w:pPr>
              <w:pStyle w:val="CommentText"/>
              <w:rPr>
                <w:rFonts w:ascii="Times New Roman" w:eastAsia="Times New Roman" w:hAnsi="Times New Roman" w:cs="Times New Roman"/>
                <w:bCs/>
                <w:sz w:val="22"/>
                <w:szCs w:val="22"/>
              </w:rPr>
            </w:pPr>
            <w:r w:rsidRPr="008F22A0">
              <w:rPr>
                <w:rFonts w:ascii="Times New Roman" w:hAnsi="Times New Roman"/>
                <w:sz w:val="22"/>
              </w:rPr>
              <w:t>Totala likvida tillgångar ska anges efter tillämpning av relevanta nedsättningar.</w:t>
            </w:r>
          </w:p>
          <w:p w14:paraId="71D284D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Denna rad är summan av raderna 0040, 0050, 0060, 0170, 0230, 0290 och 0300.</w:t>
            </w:r>
          </w:p>
        </w:tc>
      </w:tr>
      <w:tr w:rsidR="00E20575" w:rsidRPr="008F22A0" w14:paraId="764B09CE" w14:textId="77777777">
        <w:tc>
          <w:tcPr>
            <w:tcW w:w="1129" w:type="dxa"/>
          </w:tcPr>
          <w:p w14:paraId="755772A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0040</w:t>
            </w:r>
          </w:p>
        </w:tc>
        <w:tc>
          <w:tcPr>
            <w:tcW w:w="7620" w:type="dxa"/>
          </w:tcPr>
          <w:p w14:paraId="36D709C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Icke intecknad kortf</w:t>
            </w:r>
            <w:r w:rsidRPr="008F22A0">
              <w:rPr>
                <w:rFonts w:ascii="Times New Roman" w:hAnsi="Times New Roman"/>
                <w:b/>
                <w:u w:val="single"/>
              </w:rPr>
              <w:t>ristig inlåning</w:t>
            </w:r>
          </w:p>
          <w:p w14:paraId="729FC4BA"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43.1 d och artikel 43.2 i förordning (EU) 2019/2033.</w:t>
            </w:r>
          </w:p>
        </w:tc>
      </w:tr>
      <w:tr w:rsidR="00E20575" w:rsidRPr="008F22A0" w14:paraId="57A343B7" w14:textId="77777777">
        <w:tc>
          <w:tcPr>
            <w:tcW w:w="1129" w:type="dxa"/>
          </w:tcPr>
          <w:p w14:paraId="37C415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0050</w:t>
            </w:r>
          </w:p>
        </w:tc>
        <w:tc>
          <w:tcPr>
            <w:tcW w:w="7620" w:type="dxa"/>
          </w:tcPr>
          <w:p w14:paraId="788AFDB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Totala godtagbara fordringar som förfaller inom 30 dagar</w:t>
            </w:r>
          </w:p>
          <w:p w14:paraId="0733572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43.3 i förordning (EU) 2019/2033 och artikel 43.2 i förordning (EU) 2019/2033.</w:t>
            </w:r>
          </w:p>
        </w:tc>
      </w:tr>
      <w:tr w:rsidR="00E20575" w:rsidRPr="008F22A0" w14:paraId="65541A70" w14:textId="77777777">
        <w:tc>
          <w:tcPr>
            <w:tcW w:w="1129" w:type="dxa"/>
          </w:tcPr>
          <w:p w14:paraId="2D69A77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0060</w:t>
            </w:r>
          </w:p>
        </w:tc>
        <w:tc>
          <w:tcPr>
            <w:tcW w:w="7620" w:type="dxa"/>
          </w:tcPr>
          <w:p w14:paraId="49493300"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på nivå 1</w:t>
            </w:r>
          </w:p>
          <w:p w14:paraId="1836738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w:t>
            </w:r>
            <w:r w:rsidRPr="008F22A0">
              <w:rPr>
                <w:rFonts w:ascii="Times New Roman" w:hAnsi="Times New Roman"/>
              </w:rPr>
              <w:t>tikel 10 i delegerad förordning (EU) 2015/61 och artikel 43.2 i förordning (EU) 2019/2033.</w:t>
            </w:r>
          </w:p>
          <w:p w14:paraId="7BF9A992" w14:textId="77777777" w:rsidR="00E20575" w:rsidRPr="008F22A0" w:rsidRDefault="008F22A0">
            <w:pPr>
              <w:pStyle w:val="CommentText"/>
              <w:rPr>
                <w:rFonts w:ascii="Times New Roman" w:eastAsia="Times New Roman" w:hAnsi="Times New Roman" w:cs="Times New Roman"/>
                <w:bCs/>
                <w:sz w:val="22"/>
                <w:szCs w:val="22"/>
              </w:rPr>
            </w:pPr>
            <w:r w:rsidRPr="008F22A0">
              <w:rPr>
                <w:rFonts w:ascii="Times New Roman" w:hAnsi="Times New Roman"/>
                <w:sz w:val="22"/>
              </w:rPr>
              <w:t>Totala likvida tillgångar ska anges efter tillämpning av relevanta nedsättningar.</w:t>
            </w:r>
          </w:p>
          <w:p w14:paraId="33EB4F7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Summa raderna 0070–0160.</w:t>
            </w:r>
          </w:p>
        </w:tc>
      </w:tr>
      <w:tr w:rsidR="00E20575" w:rsidRPr="008F22A0" w14:paraId="00DA1D1E" w14:textId="77777777">
        <w:tc>
          <w:tcPr>
            <w:tcW w:w="1129" w:type="dxa"/>
          </w:tcPr>
          <w:p w14:paraId="668719D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0070</w:t>
            </w:r>
          </w:p>
        </w:tc>
        <w:tc>
          <w:tcPr>
            <w:tcW w:w="7620" w:type="dxa"/>
          </w:tcPr>
          <w:p w14:paraId="67F7678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Mynt och sedlar</w:t>
            </w:r>
          </w:p>
          <w:p w14:paraId="194BB41C" w14:textId="77777777" w:rsidR="00E20575" w:rsidRPr="008F22A0" w:rsidRDefault="008F22A0">
            <w:pPr>
              <w:pStyle w:val="InstructionsText"/>
              <w:rPr>
                <w:rFonts w:cs="Times New Roman"/>
                <w:sz w:val="22"/>
                <w:szCs w:val="22"/>
              </w:rPr>
            </w:pPr>
            <w:r w:rsidRPr="008F22A0">
              <w:rPr>
                <w:sz w:val="22"/>
              </w:rPr>
              <w:t xml:space="preserve">Artikel 10.1 a i delegerad </w:t>
            </w:r>
            <w:r w:rsidRPr="008F22A0">
              <w:rPr>
                <w:sz w:val="22"/>
              </w:rPr>
              <w:t>förordning (EU) 2015/61.</w:t>
            </w:r>
          </w:p>
          <w:p w14:paraId="084958A3" w14:textId="77777777" w:rsidR="00E20575" w:rsidRPr="008F22A0" w:rsidRDefault="008F22A0">
            <w:pPr>
              <w:pStyle w:val="InstructionsText"/>
              <w:rPr>
                <w:rFonts w:cs="Times New Roman"/>
                <w:sz w:val="22"/>
                <w:szCs w:val="22"/>
              </w:rPr>
            </w:pPr>
            <w:r w:rsidRPr="008F22A0">
              <w:rPr>
                <w:sz w:val="22"/>
              </w:rPr>
              <w:t>Totala kontanta medel i form av sedlar och mynt.</w:t>
            </w:r>
          </w:p>
        </w:tc>
      </w:tr>
      <w:tr w:rsidR="00E20575" w:rsidRPr="008F22A0" w14:paraId="21BB1D30" w14:textId="77777777">
        <w:tc>
          <w:tcPr>
            <w:tcW w:w="1129" w:type="dxa"/>
          </w:tcPr>
          <w:p w14:paraId="4A9BA85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0080</w:t>
            </w:r>
          </w:p>
        </w:tc>
        <w:tc>
          <w:tcPr>
            <w:tcW w:w="7620" w:type="dxa"/>
          </w:tcPr>
          <w:p w14:paraId="5096046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Uttagbara centralbanksreserver</w:t>
            </w:r>
          </w:p>
          <w:p w14:paraId="2633867C" w14:textId="77777777" w:rsidR="00E20575" w:rsidRPr="008F22A0" w:rsidRDefault="008F22A0">
            <w:pPr>
              <w:pStyle w:val="InstructionsText"/>
              <w:rPr>
                <w:rFonts w:cs="Times New Roman"/>
                <w:sz w:val="22"/>
                <w:szCs w:val="22"/>
              </w:rPr>
            </w:pPr>
            <w:r w:rsidRPr="008F22A0">
              <w:rPr>
                <w:sz w:val="22"/>
              </w:rPr>
              <w:t>Artikel 10.1 b iii i delegerad förordning (EU) 2015/61.</w:t>
            </w:r>
          </w:p>
        </w:tc>
      </w:tr>
      <w:tr w:rsidR="00E20575" w:rsidRPr="008F22A0" w14:paraId="6319967F" w14:textId="77777777">
        <w:tc>
          <w:tcPr>
            <w:tcW w:w="1129" w:type="dxa"/>
          </w:tcPr>
          <w:p w14:paraId="225B819F"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0090</w:t>
            </w:r>
          </w:p>
        </w:tc>
        <w:tc>
          <w:tcPr>
            <w:tcW w:w="7620" w:type="dxa"/>
          </w:tcPr>
          <w:p w14:paraId="2B8879A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Centralbankstillgångar</w:t>
            </w:r>
          </w:p>
          <w:p w14:paraId="2DB064D9" w14:textId="77777777" w:rsidR="00E20575" w:rsidRPr="008F22A0" w:rsidRDefault="008F22A0">
            <w:pPr>
              <w:pStyle w:val="InstructionsText"/>
              <w:rPr>
                <w:rFonts w:cs="Times New Roman"/>
                <w:sz w:val="22"/>
                <w:szCs w:val="22"/>
              </w:rPr>
            </w:pPr>
            <w:r w:rsidRPr="008F22A0">
              <w:rPr>
                <w:sz w:val="22"/>
              </w:rPr>
              <w:t>Artikel 10.1 b i och ii i delegerad förordning (EU) 2015/61.</w:t>
            </w:r>
          </w:p>
        </w:tc>
      </w:tr>
      <w:tr w:rsidR="00E20575" w:rsidRPr="008F22A0" w14:paraId="6E760E60" w14:textId="77777777">
        <w:tc>
          <w:tcPr>
            <w:tcW w:w="1129" w:type="dxa"/>
          </w:tcPr>
          <w:p w14:paraId="67AF72C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0100</w:t>
            </w:r>
          </w:p>
        </w:tc>
        <w:tc>
          <w:tcPr>
            <w:tcW w:w="7620" w:type="dxa"/>
          </w:tcPr>
          <w:p w14:paraId="50D34B08"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Statliga tillgångar</w:t>
            </w:r>
          </w:p>
          <w:p w14:paraId="54F24CB8"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10.1 c i och ii i delegerad förordning (EU) 2015/61.</w:t>
            </w:r>
          </w:p>
        </w:tc>
      </w:tr>
      <w:tr w:rsidR="00E20575" w:rsidRPr="008F22A0" w14:paraId="75DC9264" w14:textId="77777777">
        <w:tc>
          <w:tcPr>
            <w:tcW w:w="1129" w:type="dxa"/>
          </w:tcPr>
          <w:p w14:paraId="4212696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0110</w:t>
            </w:r>
          </w:p>
        </w:tc>
        <w:tc>
          <w:tcPr>
            <w:tcW w:w="7620" w:type="dxa"/>
          </w:tcPr>
          <w:p w14:paraId="5763011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Regionala/lokala förvaltningars tillgångar</w:t>
            </w:r>
          </w:p>
          <w:p w14:paraId="0C2EAE2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10.1 c iii och iv i delegerad förordning (EU) 2015/61.</w:t>
            </w:r>
          </w:p>
        </w:tc>
      </w:tr>
      <w:tr w:rsidR="00E20575" w:rsidRPr="008F22A0" w14:paraId="652E9B6D" w14:textId="77777777">
        <w:tc>
          <w:tcPr>
            <w:tcW w:w="1129" w:type="dxa"/>
          </w:tcPr>
          <w:p w14:paraId="29E9005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0120</w:t>
            </w:r>
          </w:p>
        </w:tc>
        <w:tc>
          <w:tcPr>
            <w:tcW w:w="7620" w:type="dxa"/>
          </w:tcPr>
          <w:p w14:paraId="6ABDCBC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Tillgångar från enheter inom den </w:t>
            </w:r>
            <w:r w:rsidRPr="008F22A0">
              <w:rPr>
                <w:rFonts w:ascii="Times New Roman" w:hAnsi="Times New Roman"/>
                <w:b/>
                <w:u w:val="single"/>
              </w:rPr>
              <w:t>offentliga sektorn</w:t>
            </w:r>
          </w:p>
          <w:p w14:paraId="0E40C0B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10.1 c v i delegerad förordning (EU) 2015/61.</w:t>
            </w:r>
          </w:p>
        </w:tc>
      </w:tr>
      <w:tr w:rsidR="00E20575" w:rsidRPr="008F22A0" w14:paraId="68FC9DF1" w14:textId="77777777">
        <w:tc>
          <w:tcPr>
            <w:tcW w:w="1129" w:type="dxa"/>
          </w:tcPr>
          <w:p w14:paraId="480D881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0130</w:t>
            </w:r>
          </w:p>
        </w:tc>
        <w:tc>
          <w:tcPr>
            <w:tcW w:w="7620" w:type="dxa"/>
          </w:tcPr>
          <w:p w14:paraId="4A2B2FA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Medtagbara tillgångar i nationell eller utländsk valuta från nationella regeringar och centralbanker</w:t>
            </w:r>
          </w:p>
          <w:p w14:paraId="75D0DEB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10.1 d i delegerad förordning (EU) 2015/61.</w:t>
            </w:r>
          </w:p>
        </w:tc>
      </w:tr>
      <w:tr w:rsidR="00E20575" w:rsidRPr="008F22A0" w14:paraId="6B428FE0" w14:textId="77777777">
        <w:tc>
          <w:tcPr>
            <w:tcW w:w="1129" w:type="dxa"/>
          </w:tcPr>
          <w:p w14:paraId="3E441ED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0140</w:t>
            </w:r>
          </w:p>
        </w:tc>
        <w:tc>
          <w:tcPr>
            <w:tcW w:w="7620" w:type="dxa"/>
          </w:tcPr>
          <w:p w14:paraId="565ED97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från kr</w:t>
            </w:r>
            <w:r w:rsidRPr="008F22A0">
              <w:rPr>
                <w:rFonts w:ascii="Times New Roman" w:hAnsi="Times New Roman"/>
                <w:b/>
                <w:u w:val="single"/>
              </w:rPr>
              <w:t>editinstitut (skyddas av medlemsstatens regering, subventionerad långivare)</w:t>
            </w:r>
          </w:p>
          <w:p w14:paraId="0FCA9F01" w14:textId="77777777" w:rsidR="00E20575" w:rsidRPr="008F22A0" w:rsidRDefault="008F22A0">
            <w:pPr>
              <w:pStyle w:val="InstructionsText"/>
              <w:rPr>
                <w:rFonts w:cs="Times New Roman"/>
                <w:b/>
                <w:sz w:val="22"/>
                <w:szCs w:val="22"/>
                <w:u w:val="single"/>
              </w:rPr>
            </w:pPr>
            <w:r w:rsidRPr="008F22A0">
              <w:rPr>
                <w:sz w:val="22"/>
              </w:rPr>
              <w:t>Artikel 10.1 e i och ii i delegerad förordning (EU) 2015/61.</w:t>
            </w:r>
          </w:p>
        </w:tc>
      </w:tr>
      <w:tr w:rsidR="00E20575" w:rsidRPr="008F22A0" w14:paraId="20C89A3A" w14:textId="77777777">
        <w:tc>
          <w:tcPr>
            <w:tcW w:w="1129" w:type="dxa"/>
          </w:tcPr>
          <w:p w14:paraId="73966C2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0150</w:t>
            </w:r>
          </w:p>
        </w:tc>
        <w:tc>
          <w:tcPr>
            <w:tcW w:w="7620" w:type="dxa"/>
          </w:tcPr>
          <w:p w14:paraId="6CBFDDAC"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från multilaterala utvecklingsbanker och internationella organisationer</w:t>
            </w:r>
          </w:p>
          <w:p w14:paraId="17A7F0AB" w14:textId="77777777" w:rsidR="00E20575" w:rsidRPr="008F22A0" w:rsidRDefault="008F22A0">
            <w:pPr>
              <w:pStyle w:val="InstructionsText"/>
              <w:rPr>
                <w:rFonts w:cs="Times New Roman"/>
                <w:sz w:val="22"/>
                <w:szCs w:val="22"/>
              </w:rPr>
            </w:pPr>
            <w:r w:rsidRPr="008F22A0">
              <w:rPr>
                <w:sz w:val="22"/>
              </w:rPr>
              <w:t xml:space="preserve">Artikel 10.1 g i </w:t>
            </w:r>
            <w:r w:rsidRPr="008F22A0">
              <w:rPr>
                <w:sz w:val="22"/>
              </w:rPr>
              <w:t>delegerad förordning (EU) 2015/61.</w:t>
            </w:r>
          </w:p>
        </w:tc>
      </w:tr>
      <w:tr w:rsidR="00E20575" w:rsidRPr="008F22A0" w14:paraId="7A585F0B" w14:textId="77777777">
        <w:tc>
          <w:tcPr>
            <w:tcW w:w="1129" w:type="dxa"/>
          </w:tcPr>
          <w:p w14:paraId="4AD16F32"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0160</w:t>
            </w:r>
          </w:p>
        </w:tc>
        <w:tc>
          <w:tcPr>
            <w:tcW w:w="7620" w:type="dxa"/>
            <w:vAlign w:val="center"/>
          </w:tcPr>
          <w:p w14:paraId="5FA3BFFB"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Säkerställda obligationer med extremt hög kvalitet</w:t>
            </w:r>
          </w:p>
          <w:p w14:paraId="2808F2D3"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10.1 f i delegerad förordning (EU) 2015/61.</w:t>
            </w:r>
          </w:p>
        </w:tc>
      </w:tr>
      <w:tr w:rsidR="00E20575" w:rsidRPr="008F22A0" w14:paraId="3FF6B697" w14:textId="77777777">
        <w:trPr>
          <w:trHeight w:val="885"/>
        </w:trPr>
        <w:tc>
          <w:tcPr>
            <w:tcW w:w="1129" w:type="dxa"/>
          </w:tcPr>
          <w:p w14:paraId="2B431365"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0170</w:t>
            </w:r>
          </w:p>
        </w:tc>
        <w:tc>
          <w:tcPr>
            <w:tcW w:w="7620" w:type="dxa"/>
            <w:vAlign w:val="center"/>
          </w:tcPr>
          <w:p w14:paraId="474BE0D5"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på nivå 2A</w:t>
            </w:r>
          </w:p>
          <w:p w14:paraId="44FD2EBC"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 xml:space="preserve">Artikel 11 i delegerad förordning (EU) 2015/61 och artikel 43.2 i </w:t>
            </w:r>
            <w:r w:rsidRPr="008F22A0">
              <w:rPr>
                <w:rFonts w:ascii="Times New Roman" w:hAnsi="Times New Roman"/>
              </w:rPr>
              <w:t>förordning (EU) 2019/2033.</w:t>
            </w:r>
          </w:p>
        </w:tc>
      </w:tr>
      <w:tr w:rsidR="00E20575" w:rsidRPr="008F22A0" w14:paraId="11DA9AD7" w14:textId="77777777">
        <w:tc>
          <w:tcPr>
            <w:tcW w:w="1129" w:type="dxa"/>
          </w:tcPr>
          <w:p w14:paraId="76C7A5F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4367F7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Regionala/lokala förvaltningars eller offentliga organs tillgångar (medlemsstat, riskvikt 20 %)</w:t>
            </w:r>
          </w:p>
          <w:p w14:paraId="19C4115B" w14:textId="77777777" w:rsidR="00E20575" w:rsidRPr="008F22A0" w:rsidRDefault="008F22A0">
            <w:pPr>
              <w:spacing w:after="0"/>
              <w:ind w:left="33"/>
              <w:rPr>
                <w:rFonts w:ascii="Times New Roman" w:eastAsia="Times New Roman" w:hAnsi="Times New Roman" w:cs="Times New Roman"/>
                <w:bCs/>
              </w:rPr>
            </w:pPr>
            <w:r w:rsidRPr="008F22A0">
              <w:rPr>
                <w:rFonts w:ascii="Times New Roman" w:hAnsi="Times New Roman"/>
              </w:rPr>
              <w:t>Artikel 11.1 a i delegerad förordning (EU) 2015/61.</w:t>
            </w:r>
          </w:p>
        </w:tc>
      </w:tr>
      <w:tr w:rsidR="00E20575" w:rsidRPr="008F22A0" w14:paraId="39AB7461" w14:textId="77777777">
        <w:tc>
          <w:tcPr>
            <w:tcW w:w="1129" w:type="dxa"/>
          </w:tcPr>
          <w:p w14:paraId="0A72E83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439C6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 xml:space="preserve">Tillgångar från centralbank eller </w:t>
            </w:r>
            <w:r w:rsidRPr="008F22A0">
              <w:rPr>
                <w:rFonts w:ascii="Times New Roman" w:hAnsi="Times New Roman"/>
                <w:b/>
                <w:u w:val="single"/>
              </w:rPr>
              <w:t>nationella/regionala förvaltningar eller lokala förvaltningar eller offentliga organ (tredjeland, riskvikt 20 %)</w:t>
            </w:r>
          </w:p>
          <w:p w14:paraId="3DD54456" w14:textId="77777777" w:rsidR="00E20575" w:rsidRPr="008F22A0" w:rsidRDefault="008F22A0">
            <w:pPr>
              <w:spacing w:after="0"/>
              <w:ind w:left="33"/>
              <w:rPr>
                <w:rFonts w:ascii="Times New Roman" w:eastAsia="Times New Roman" w:hAnsi="Times New Roman" w:cs="Times New Roman"/>
                <w:bCs/>
              </w:rPr>
            </w:pPr>
            <w:r w:rsidRPr="008F22A0">
              <w:rPr>
                <w:rFonts w:ascii="Times New Roman" w:hAnsi="Times New Roman"/>
              </w:rPr>
              <w:t>Artikel 11.1 b i delegerad förordning (EU) 2015/61.</w:t>
            </w:r>
          </w:p>
        </w:tc>
      </w:tr>
      <w:tr w:rsidR="00E20575" w:rsidRPr="008F22A0" w14:paraId="7890239D" w14:textId="77777777">
        <w:tc>
          <w:tcPr>
            <w:tcW w:w="1129" w:type="dxa"/>
          </w:tcPr>
          <w:p w14:paraId="019C7E9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B20A8D"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Säkerställda obligationer med hög kvalitet (CQS2)</w:t>
            </w:r>
          </w:p>
          <w:p w14:paraId="284BA1EF" w14:textId="77777777" w:rsidR="00E20575" w:rsidRPr="008F22A0" w:rsidRDefault="008F22A0">
            <w:pPr>
              <w:spacing w:after="0"/>
              <w:ind w:left="33"/>
              <w:rPr>
                <w:rFonts w:ascii="Times New Roman" w:eastAsia="Times New Roman" w:hAnsi="Times New Roman" w:cs="Times New Roman"/>
                <w:b/>
                <w:bCs/>
                <w:u w:val="single"/>
              </w:rPr>
            </w:pPr>
            <w:r w:rsidRPr="008F22A0">
              <w:rPr>
                <w:rFonts w:ascii="Times New Roman" w:hAnsi="Times New Roman"/>
              </w:rPr>
              <w:t>Artikel 11.1 c i delegerad förordni</w:t>
            </w:r>
            <w:r w:rsidRPr="008F22A0">
              <w:rPr>
                <w:rFonts w:ascii="Times New Roman" w:hAnsi="Times New Roman"/>
              </w:rPr>
              <w:t>ng (EU) 2015/61.</w:t>
            </w:r>
          </w:p>
        </w:tc>
      </w:tr>
      <w:tr w:rsidR="00E20575" w:rsidRPr="008F22A0" w14:paraId="624CA88F" w14:textId="77777777">
        <w:tc>
          <w:tcPr>
            <w:tcW w:w="1129" w:type="dxa"/>
          </w:tcPr>
          <w:p w14:paraId="4CB33D6A"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347DD4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Säkerställda obligationer med hög kvalitet (tredjeland, CQS1)</w:t>
            </w:r>
          </w:p>
          <w:p w14:paraId="46FFE6F9" w14:textId="77777777" w:rsidR="00E20575" w:rsidRPr="008F22A0" w:rsidRDefault="008F22A0">
            <w:pPr>
              <w:spacing w:after="0"/>
              <w:ind w:left="33"/>
              <w:rPr>
                <w:rFonts w:ascii="Times New Roman" w:eastAsia="Times New Roman" w:hAnsi="Times New Roman" w:cs="Times New Roman"/>
                <w:b/>
                <w:bCs/>
                <w:u w:val="single"/>
              </w:rPr>
            </w:pPr>
            <w:r w:rsidRPr="008F22A0">
              <w:rPr>
                <w:rFonts w:ascii="Times New Roman" w:hAnsi="Times New Roman"/>
              </w:rPr>
              <w:t>Artikel 11.1 d i delegerad förordning (EU) 2015/61.</w:t>
            </w:r>
          </w:p>
        </w:tc>
      </w:tr>
      <w:tr w:rsidR="00E20575" w:rsidRPr="008F22A0" w14:paraId="1EACAD42" w14:textId="77777777">
        <w:tc>
          <w:tcPr>
            <w:tcW w:w="1129" w:type="dxa"/>
          </w:tcPr>
          <w:p w14:paraId="31EB687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127F8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Företagsvärdepapper (CQS1)</w:t>
            </w:r>
          </w:p>
          <w:p w14:paraId="73B26A80" w14:textId="77777777" w:rsidR="00E20575" w:rsidRPr="008F22A0" w:rsidRDefault="008F22A0">
            <w:pPr>
              <w:spacing w:after="0"/>
              <w:ind w:left="33"/>
              <w:rPr>
                <w:rFonts w:ascii="Times New Roman" w:eastAsia="Times New Roman" w:hAnsi="Times New Roman" w:cs="Times New Roman"/>
                <w:b/>
                <w:bCs/>
                <w:u w:val="single"/>
              </w:rPr>
            </w:pPr>
            <w:r w:rsidRPr="008F22A0">
              <w:rPr>
                <w:rFonts w:ascii="Times New Roman" w:hAnsi="Times New Roman"/>
              </w:rPr>
              <w:t>Artikel 11.1 e i delegerad förordning (EU) 2015/61.</w:t>
            </w:r>
          </w:p>
        </w:tc>
      </w:tr>
      <w:tr w:rsidR="00E20575" w:rsidRPr="008F22A0" w14:paraId="494E9AF4" w14:textId="77777777">
        <w:trPr>
          <w:trHeight w:val="1001"/>
        </w:trPr>
        <w:tc>
          <w:tcPr>
            <w:tcW w:w="1129" w:type="dxa"/>
          </w:tcPr>
          <w:p w14:paraId="617F8116"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88071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Tillgångar på nivå 2B</w:t>
            </w:r>
          </w:p>
          <w:p w14:paraId="44854FA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12 i delegerad förordning (EU) 2015/61 och artikel 43.2 i förordning (EU) 2019/2033.</w:t>
            </w:r>
          </w:p>
        </w:tc>
      </w:tr>
      <w:tr w:rsidR="00E20575" w:rsidRPr="008F22A0" w14:paraId="1950FF39" w14:textId="77777777">
        <w:tc>
          <w:tcPr>
            <w:tcW w:w="1129" w:type="dxa"/>
          </w:tcPr>
          <w:p w14:paraId="679B6D30"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B8AF8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Värdepapper med bakomliggande tillgångar som säkerhet</w:t>
            </w:r>
          </w:p>
          <w:p w14:paraId="58323611"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12.1 a och artikel 13.2 g i delegerad förordning (EU) 2015/61.</w:t>
            </w:r>
          </w:p>
        </w:tc>
      </w:tr>
      <w:tr w:rsidR="00E20575" w:rsidRPr="008F22A0" w14:paraId="1E605A5A" w14:textId="77777777">
        <w:tc>
          <w:tcPr>
            <w:tcW w:w="1129" w:type="dxa"/>
          </w:tcPr>
          <w:p w14:paraId="535BE76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7C92F04"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b/>
                <w:u w:val="single"/>
              </w:rPr>
              <w:t>Företagsvärdepapper</w:t>
            </w:r>
          </w:p>
          <w:p w14:paraId="4C1D62B3" w14:textId="77777777" w:rsidR="00E20575" w:rsidRPr="008F22A0" w:rsidRDefault="008F22A0">
            <w:pPr>
              <w:spacing w:after="0"/>
              <w:ind w:left="33"/>
              <w:rPr>
                <w:rFonts w:ascii="Times New Roman" w:hAnsi="Times New Roman" w:cs="Times New Roman"/>
                <w:bCs/>
              </w:rPr>
            </w:pPr>
            <w:r w:rsidRPr="008F22A0">
              <w:rPr>
                <w:rFonts w:ascii="Times New Roman" w:hAnsi="Times New Roman"/>
              </w:rPr>
              <w:t>Artikel 12.1 b i delegerad förordning (EU) 2015/61.</w:t>
            </w:r>
          </w:p>
        </w:tc>
      </w:tr>
      <w:tr w:rsidR="00E20575" w:rsidRPr="008F22A0" w14:paraId="7F8F17D2" w14:textId="77777777">
        <w:tc>
          <w:tcPr>
            <w:tcW w:w="1129" w:type="dxa"/>
          </w:tcPr>
          <w:p w14:paraId="7176E2B1"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8E3A2BF"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Aktier (större aktieindex)</w:t>
            </w:r>
          </w:p>
          <w:p w14:paraId="4FE782BB" w14:textId="77777777" w:rsidR="00E20575" w:rsidRPr="008F22A0" w:rsidRDefault="008F22A0">
            <w:pPr>
              <w:spacing w:after="0"/>
              <w:ind w:left="33"/>
              <w:rPr>
                <w:rFonts w:ascii="Times New Roman" w:eastAsia="Times New Roman" w:hAnsi="Times New Roman" w:cs="Times New Roman"/>
                <w:b/>
                <w:bCs/>
                <w:u w:val="single"/>
              </w:rPr>
            </w:pPr>
            <w:r w:rsidRPr="008F22A0">
              <w:rPr>
                <w:rFonts w:ascii="Times New Roman" w:hAnsi="Times New Roman"/>
              </w:rPr>
              <w:t>Artikel 12.1 c i delegerad förordning (EU) 2015/61.</w:t>
            </w:r>
          </w:p>
        </w:tc>
      </w:tr>
      <w:tr w:rsidR="00E20575" w:rsidRPr="008F22A0" w14:paraId="56F123C0" w14:textId="77777777">
        <w:tc>
          <w:tcPr>
            <w:tcW w:w="1129" w:type="dxa"/>
          </w:tcPr>
          <w:p w14:paraId="2F91D5F7"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CA362E"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Likviditetsfaciliteter med begränsad användning från centralbank</w:t>
            </w:r>
          </w:p>
          <w:p w14:paraId="508D473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12.1 d i delegerad f</w:t>
            </w:r>
            <w:r w:rsidRPr="008F22A0">
              <w:rPr>
                <w:rFonts w:ascii="Times New Roman" w:hAnsi="Times New Roman"/>
              </w:rPr>
              <w:t>örordning (EU) 2015/61.</w:t>
            </w:r>
          </w:p>
        </w:tc>
      </w:tr>
      <w:tr w:rsidR="00E20575" w:rsidRPr="008F22A0" w14:paraId="5B329313" w14:textId="77777777">
        <w:tc>
          <w:tcPr>
            <w:tcW w:w="1129" w:type="dxa"/>
          </w:tcPr>
          <w:p w14:paraId="7BF56DBD"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7FE892"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Säkerställda obligationer med hög kvalitet (riskvikt 35 %)</w:t>
            </w:r>
          </w:p>
          <w:p w14:paraId="7309D4B8" w14:textId="77777777" w:rsidR="00E20575" w:rsidRPr="008F22A0" w:rsidRDefault="008F22A0">
            <w:pPr>
              <w:spacing w:after="0"/>
              <w:ind w:left="33"/>
              <w:rPr>
                <w:rFonts w:ascii="Times New Roman" w:eastAsia="Times New Roman" w:hAnsi="Times New Roman" w:cs="Times New Roman"/>
                <w:b/>
                <w:bCs/>
                <w:u w:val="single"/>
              </w:rPr>
            </w:pPr>
            <w:r w:rsidRPr="008F22A0">
              <w:rPr>
                <w:rFonts w:ascii="Times New Roman" w:hAnsi="Times New Roman"/>
              </w:rPr>
              <w:t>Artikel 15.2 f i delegerad förordning (EU) 2015/61.</w:t>
            </w:r>
          </w:p>
        </w:tc>
      </w:tr>
      <w:tr w:rsidR="00E20575" w:rsidRPr="008F22A0" w14:paraId="385C6FD0" w14:textId="77777777">
        <w:trPr>
          <w:trHeight w:val="1061"/>
        </w:trPr>
        <w:tc>
          <w:tcPr>
            <w:tcW w:w="1129" w:type="dxa"/>
          </w:tcPr>
          <w:p w14:paraId="3E412009"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76D4D4"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Kvalificerade aktier/andelar i fond:</w:t>
            </w:r>
          </w:p>
          <w:p w14:paraId="60CFC7DE"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Artikel 15 i delegerad förordning (EU) 2015/61.</w:t>
            </w:r>
          </w:p>
          <w:p w14:paraId="1E337D59"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 xml:space="preserve">Artikel 43.1 b i </w:t>
            </w:r>
            <w:r w:rsidRPr="008F22A0">
              <w:rPr>
                <w:rFonts w:ascii="Times New Roman" w:hAnsi="Times New Roman"/>
              </w:rPr>
              <w:t>förordning (EU) 2019/2033.</w:t>
            </w:r>
          </w:p>
        </w:tc>
      </w:tr>
      <w:tr w:rsidR="00E20575" w14:paraId="763DABEE" w14:textId="77777777">
        <w:trPr>
          <w:trHeight w:val="568"/>
        </w:trPr>
        <w:tc>
          <w:tcPr>
            <w:tcW w:w="1129" w:type="dxa"/>
          </w:tcPr>
          <w:p w14:paraId="4D3A460B" w14:textId="77777777" w:rsidR="00E20575" w:rsidRPr="008F22A0" w:rsidRDefault="008F22A0">
            <w:pPr>
              <w:spacing w:after="120" w:line="240" w:lineRule="auto"/>
              <w:jc w:val="both"/>
              <w:rPr>
                <w:rFonts w:ascii="Times New Roman" w:eastAsia="Times New Roman" w:hAnsi="Times New Roman" w:cs="Times New Roman"/>
                <w:bCs/>
              </w:rPr>
            </w:pPr>
            <w:r w:rsidRPr="008F22A0">
              <w:rPr>
                <w:rFonts w:ascii="Times New Roman" w:hAnsi="Times New Roman"/>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9DF8C6" w14:textId="77777777" w:rsidR="00E20575" w:rsidRPr="008F22A0"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b/>
                <w:u w:val="single"/>
              </w:rPr>
              <w:t>Totalt övriga godtagbara finansieringsinstrument</w:t>
            </w:r>
          </w:p>
          <w:p w14:paraId="7A5DA987" w14:textId="77777777" w:rsidR="00E20575" w:rsidRDefault="008F22A0">
            <w:pPr>
              <w:spacing w:after="120" w:line="240" w:lineRule="auto"/>
              <w:jc w:val="both"/>
              <w:rPr>
                <w:rFonts w:ascii="Times New Roman" w:eastAsia="Times New Roman" w:hAnsi="Times New Roman" w:cs="Times New Roman"/>
                <w:b/>
                <w:bCs/>
                <w:u w:val="single"/>
              </w:rPr>
            </w:pPr>
            <w:r w:rsidRPr="008F22A0">
              <w:rPr>
                <w:rFonts w:ascii="Times New Roman" w:hAnsi="Times New Roman"/>
              </w:rPr>
              <w:t>Artikel 43.1 c i förordning (EU) 2019/2033.</w:t>
            </w:r>
          </w:p>
        </w:tc>
      </w:tr>
    </w:tbl>
    <w:p w14:paraId="36F9CE76" w14:textId="77777777" w:rsidR="00E20575" w:rsidRDefault="00E20575">
      <w:pPr>
        <w:keepNext/>
        <w:spacing w:before="240" w:after="240" w:line="240" w:lineRule="auto"/>
        <w:jc w:val="both"/>
        <w:outlineLvl w:val="1"/>
      </w:pPr>
    </w:p>
    <w:sectPr w:rsidR="00E20575">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210C6" w14:textId="77777777" w:rsidR="00E20575" w:rsidRDefault="00E20575">
      <w:pPr>
        <w:pStyle w:val="Footer"/>
      </w:pPr>
    </w:p>
  </w:endnote>
  <w:endnote w:type="continuationSeparator" w:id="0">
    <w:p w14:paraId="3FA92996" w14:textId="77777777" w:rsidR="00E20575" w:rsidRDefault="00E20575">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D20F0" w14:textId="77777777" w:rsidR="00E20575" w:rsidRDefault="00E205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C6D6" w14:textId="77777777" w:rsidR="00E20575" w:rsidRDefault="008F22A0">
    <w:pPr>
      <w:pStyle w:val="Footer"/>
      <w:tabs>
        <w:tab w:val="clear" w:pos="4513"/>
        <w:tab w:val="clear" w:pos="9026"/>
        <w:tab w:val="right" w:pos="9071"/>
      </w:tabs>
    </w:pPr>
    <w:r>
      <w:t>SV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40C5" w14:textId="77777777" w:rsidR="00E20575" w:rsidRDefault="00E20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2483B" w14:textId="77777777" w:rsidR="00E20575" w:rsidRDefault="00E20575">
      <w:pPr>
        <w:pStyle w:val="Footer"/>
      </w:pPr>
    </w:p>
  </w:footnote>
  <w:footnote w:type="continuationSeparator" w:id="0">
    <w:p w14:paraId="7F1372C9" w14:textId="77777777" w:rsidR="00E20575" w:rsidRDefault="00E20575">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C0E9" w14:textId="77777777" w:rsidR="00E20575" w:rsidRDefault="008F22A0">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DA43C" w14:textId="55E555D9" w:rsidR="00E20575" w:rsidRDefault="008F22A0">
    <w:pPr>
      <w:pStyle w:val="Header"/>
    </w:pPr>
    <w:r>
      <w:rPr>
        <w:noProof/>
      </w:rPr>
      <mc:AlternateContent>
        <mc:Choice Requires="wps">
          <w:drawing>
            <wp:anchor distT="0" distB="0" distL="114300" distR="114300" simplePos="0" relativeHeight="251659264" behindDoc="0" locked="0" layoutInCell="0" allowOverlap="1" wp14:anchorId="5A1B3A80" wp14:editId="578B8A4C">
              <wp:simplePos x="0" y="0"/>
              <wp:positionH relativeFrom="page">
                <wp:posOffset>0</wp:posOffset>
              </wp:positionH>
              <wp:positionV relativeFrom="page">
                <wp:posOffset>190500</wp:posOffset>
              </wp:positionV>
              <wp:extent cx="7560310" cy="273050"/>
              <wp:effectExtent l="0" t="0" r="0" b="12700"/>
              <wp:wrapNone/>
              <wp:docPr id="1" name="MSIPCM16a641f1822e9c6ec578738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5771A9" w14:textId="1D0CC044" w:rsidR="008F22A0" w:rsidRPr="008F22A0" w:rsidRDefault="008F22A0" w:rsidP="008F22A0">
                          <w:pPr>
                            <w:spacing w:after="0"/>
                            <w:rPr>
                              <w:rFonts w:ascii="Calibri" w:hAnsi="Calibri" w:cs="Calibri"/>
                              <w:color w:val="000000"/>
                              <w:sz w:val="24"/>
                            </w:rPr>
                          </w:pPr>
                          <w:r w:rsidRPr="008F22A0">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A1B3A80" id="_x0000_t202" coordsize="21600,21600" o:spt="202" path="m,l,21600r21600,l21600,xe">
              <v:stroke joinstyle="miter"/>
              <v:path gradientshapeok="t" o:connecttype="rect"/>
            </v:shapetype>
            <v:shape id="MSIPCM16a641f1822e9c6ec578738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AsgL/2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495771A9" w14:textId="1D0CC044" w:rsidR="008F22A0" w:rsidRPr="008F22A0" w:rsidRDefault="008F22A0" w:rsidP="008F22A0">
                    <w:pPr>
                      <w:spacing w:after="0"/>
                      <w:rPr>
                        <w:rFonts w:ascii="Calibri" w:hAnsi="Calibri" w:cs="Calibri"/>
                        <w:color w:val="000000"/>
                        <w:sz w:val="24"/>
                      </w:rPr>
                    </w:pPr>
                    <w:r w:rsidRPr="008F22A0">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7B42" w14:textId="77777777" w:rsidR="00E20575" w:rsidRDefault="008F22A0">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revisionView w:markup="0"/>
  <w:defaultTabStop w:val="720"/>
  <w:hyphenationZone w:val="283"/>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20575"/>
    <w:rsid w:val="008F22A0"/>
    <w:rsid w:val="00E205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14:docId w14:val="09B22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sv-SE" w:bidi="sv-SE"/>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v-S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sv-S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3688DE96-5D04-4F2A-9EE8-6B975B655739}">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11432</Words>
  <Characters>81513</Characters>
  <Application>Microsoft Office Word</Application>
  <DocSecurity>0</DocSecurity>
  <Lines>3881</Lines>
  <Paragraphs>2581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2022-01-14T15:09:19Z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119047dd-d441-42c1-a109-9dcd452d8f52</vt:lpwstr>
  </property>
  <property fmtid="{D5CDD505-2E9C-101B-9397-08002B2CF9AE}" pid="8" name="MSIP_Label_5c7eb9de-735b-4a68-8fe4-c9c62709b012_ContentBits">
    <vt:lpwstr>1</vt:lpwstr>
  </property>
</Properties>
</file>