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3E839" w14:textId="77777777" w:rsidR="00223EA9" w:rsidRPr="00FD63A8" w:rsidRDefault="00FD63A8">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r w:rsidRPr="00FD63A8">
        <w:rPr>
          <w:rFonts w:ascii="Times New Roman" w:hAnsi="Times New Roman"/>
          <w:b/>
          <w:sz w:val="24"/>
        </w:rPr>
        <w:t>SV</w:t>
      </w:r>
      <w:r w:rsidRPr="00FD63A8">
        <w:br/>
      </w:r>
      <w:r w:rsidRPr="00FD63A8">
        <w:rPr>
          <w:rFonts w:ascii="Times New Roman" w:hAnsi="Times New Roman"/>
          <w:b/>
          <w:sz w:val="24"/>
        </w:rPr>
        <w:t>BILAGA IX</w:t>
      </w:r>
    </w:p>
    <w:p w14:paraId="686095FE" w14:textId="77777777" w:rsidR="00223EA9" w:rsidRPr="00FD63A8" w:rsidRDefault="00FD63A8">
      <w:pPr>
        <w:spacing w:after="240" w:line="240" w:lineRule="auto"/>
        <w:jc w:val="center"/>
        <w:rPr>
          <w:rFonts w:ascii="Times New Roman" w:eastAsia="Times New Roman" w:hAnsi="Times New Roman" w:cs="Times New Roman"/>
          <w:b/>
          <w:sz w:val="24"/>
          <w:szCs w:val="20"/>
          <w:u w:val="single"/>
        </w:rPr>
      </w:pPr>
      <w:r w:rsidRPr="00FD63A8">
        <w:rPr>
          <w:rFonts w:ascii="Times New Roman" w:hAnsi="Times New Roman"/>
          <w:b/>
          <w:sz w:val="24"/>
          <w:u w:val="single"/>
        </w:rPr>
        <w:t xml:space="preserve">BILAGA </w:t>
      </w:r>
      <w:bookmarkEnd w:id="0"/>
      <w:bookmarkEnd w:id="1"/>
      <w:r w:rsidRPr="00FD63A8">
        <w:rPr>
          <w:rFonts w:ascii="Times New Roman" w:hAnsi="Times New Roman"/>
          <w:b/>
          <w:sz w:val="24"/>
          <w:u w:val="single"/>
        </w:rPr>
        <w:t>IX</w:t>
      </w:r>
    </w:p>
    <w:p w14:paraId="5C670F75" w14:textId="77777777" w:rsidR="00223EA9" w:rsidRPr="00FD63A8" w:rsidRDefault="00FD63A8">
      <w:pPr>
        <w:spacing w:after="240" w:line="240" w:lineRule="auto"/>
        <w:jc w:val="center"/>
        <w:rPr>
          <w:rFonts w:ascii="Times New Roman" w:eastAsia="Times New Roman" w:hAnsi="Times New Roman" w:cs="Times New Roman"/>
          <w:b/>
          <w:sz w:val="24"/>
          <w:szCs w:val="20"/>
        </w:rPr>
      </w:pPr>
      <w:r w:rsidRPr="00FD63A8">
        <w:rPr>
          <w:rFonts w:ascii="Times New Roman" w:hAnsi="Times New Roman"/>
          <w:b/>
          <w:sz w:val="24"/>
        </w:rPr>
        <w:t>RAPPORTERING OM GRUPPKAPITALTEST</w:t>
      </w:r>
    </w:p>
    <w:p w14:paraId="78C8E1B4" w14:textId="77777777" w:rsidR="00223EA9" w:rsidRPr="00FD63A8" w:rsidRDefault="00FD63A8">
      <w:pPr>
        <w:spacing w:after="0" w:line="240" w:lineRule="auto"/>
        <w:rPr>
          <w:rFonts w:ascii="Times New Roman" w:eastAsia="Times New Roman" w:hAnsi="Times New Roman" w:cs="Times New Roman"/>
          <w:sz w:val="24"/>
          <w:szCs w:val="24"/>
        </w:rPr>
      </w:pPr>
      <w:r w:rsidRPr="00FD63A8">
        <w:rPr>
          <w:rFonts w:ascii="Times New Roman" w:hAnsi="Times New Roman"/>
          <w:sz w:val="24"/>
        </w:rPr>
        <w:t>Innehållsförteckning</w:t>
      </w:r>
    </w:p>
    <w:p w14:paraId="4D87AD4D" w14:textId="77777777" w:rsidR="00223EA9" w:rsidRPr="00FD63A8" w:rsidRDefault="00FD63A8">
      <w:pPr>
        <w:pStyle w:val="TOC2"/>
        <w:tabs>
          <w:tab w:val="right" w:leader="dot" w:pos="9016"/>
        </w:tabs>
        <w:rPr>
          <w:rFonts w:eastAsiaTheme="minorEastAsia"/>
          <w:noProof/>
          <w:lang w:eastAsia="en-US" w:bidi="ar-SA"/>
        </w:rPr>
      </w:pPr>
      <w:r w:rsidRPr="00FD63A8">
        <w:rPr>
          <w:rFonts w:ascii="Times New Roman" w:hAnsi="Times New Roman"/>
          <w:noProof/>
        </w:rPr>
        <w:t>DEL I: ALLMÄNNA INSTRUKTIONER</w:t>
      </w:r>
      <w:r w:rsidRPr="00FD63A8">
        <w:rPr>
          <w:noProof/>
        </w:rPr>
        <w:tab/>
        <w:t>2</w:t>
      </w:r>
    </w:p>
    <w:p w14:paraId="69104700" w14:textId="77777777" w:rsidR="00223EA9" w:rsidRPr="00FD63A8" w:rsidRDefault="00FD63A8">
      <w:pPr>
        <w:pStyle w:val="TOC2"/>
        <w:tabs>
          <w:tab w:val="right" w:leader="dot" w:pos="9016"/>
        </w:tabs>
        <w:rPr>
          <w:rFonts w:eastAsiaTheme="minorEastAsia"/>
          <w:noProof/>
          <w:lang w:eastAsia="en-US" w:bidi="ar-SA"/>
        </w:rPr>
      </w:pPr>
      <w:r w:rsidRPr="00FD63A8">
        <w:rPr>
          <w:rFonts w:ascii="Times New Roman" w:hAnsi="Times New Roman"/>
          <w:noProof/>
        </w:rPr>
        <w:t>1. Struktur och praxis</w:t>
      </w:r>
      <w:r w:rsidRPr="00FD63A8">
        <w:rPr>
          <w:noProof/>
        </w:rPr>
        <w:tab/>
        <w:t>2</w:t>
      </w:r>
    </w:p>
    <w:p w14:paraId="3080B7A6" w14:textId="77777777" w:rsidR="00223EA9" w:rsidRPr="00FD63A8" w:rsidRDefault="00FD63A8">
      <w:pPr>
        <w:pStyle w:val="TOC2"/>
        <w:tabs>
          <w:tab w:val="right" w:leader="dot" w:pos="9016"/>
        </w:tabs>
        <w:rPr>
          <w:rFonts w:eastAsiaTheme="minorEastAsia"/>
          <w:noProof/>
          <w:lang w:eastAsia="en-US" w:bidi="ar-SA"/>
        </w:rPr>
      </w:pPr>
      <w:r w:rsidRPr="00FD63A8">
        <w:rPr>
          <w:rFonts w:ascii="Times New Roman" w:hAnsi="Times New Roman"/>
          <w:noProof/>
          <w:u w:val="single"/>
        </w:rPr>
        <w:t>1.1 Struktur</w:t>
      </w:r>
      <w:r w:rsidRPr="00FD63A8">
        <w:rPr>
          <w:noProof/>
        </w:rPr>
        <w:tab/>
        <w:t>2</w:t>
      </w:r>
    </w:p>
    <w:p w14:paraId="55121D51" w14:textId="77777777" w:rsidR="00223EA9" w:rsidRPr="00FD63A8" w:rsidRDefault="00FD63A8">
      <w:pPr>
        <w:pStyle w:val="TOC2"/>
        <w:tabs>
          <w:tab w:val="right" w:leader="dot" w:pos="9016"/>
        </w:tabs>
        <w:rPr>
          <w:rFonts w:eastAsiaTheme="minorEastAsia"/>
          <w:noProof/>
          <w:lang w:eastAsia="en-US" w:bidi="ar-SA"/>
        </w:rPr>
      </w:pPr>
      <w:r w:rsidRPr="00FD63A8">
        <w:rPr>
          <w:rFonts w:ascii="Times New Roman" w:hAnsi="Times New Roman"/>
          <w:noProof/>
          <w:u w:val="single"/>
        </w:rPr>
        <w:t>1.2 Numrering</w:t>
      </w:r>
      <w:r w:rsidRPr="00FD63A8">
        <w:rPr>
          <w:noProof/>
        </w:rPr>
        <w:tab/>
        <w:t>2</w:t>
      </w:r>
    </w:p>
    <w:p w14:paraId="32FB873D" w14:textId="77777777" w:rsidR="00223EA9" w:rsidRPr="00FD63A8" w:rsidRDefault="00FD63A8">
      <w:pPr>
        <w:pStyle w:val="TOC2"/>
        <w:tabs>
          <w:tab w:val="right" w:leader="dot" w:pos="9016"/>
        </w:tabs>
        <w:rPr>
          <w:rFonts w:eastAsiaTheme="minorEastAsia"/>
          <w:noProof/>
          <w:lang w:eastAsia="en-US" w:bidi="ar-SA"/>
        </w:rPr>
      </w:pPr>
      <w:r w:rsidRPr="00FD63A8">
        <w:rPr>
          <w:rFonts w:ascii="Times New Roman" w:hAnsi="Times New Roman"/>
          <w:noProof/>
          <w:u w:val="single"/>
        </w:rPr>
        <w:t>1.3 Tecken</w:t>
      </w:r>
      <w:r w:rsidRPr="00FD63A8">
        <w:rPr>
          <w:noProof/>
        </w:rPr>
        <w:tab/>
        <w:t>2</w:t>
      </w:r>
    </w:p>
    <w:p w14:paraId="76800EB1" w14:textId="77777777" w:rsidR="00223EA9" w:rsidRPr="00FD63A8" w:rsidRDefault="00FD63A8">
      <w:pPr>
        <w:pStyle w:val="TOC2"/>
        <w:tabs>
          <w:tab w:val="right" w:leader="dot" w:pos="9016"/>
        </w:tabs>
        <w:rPr>
          <w:rFonts w:eastAsiaTheme="minorEastAsia"/>
          <w:noProof/>
          <w:lang w:eastAsia="en-US" w:bidi="ar-SA"/>
        </w:rPr>
      </w:pPr>
      <w:r w:rsidRPr="00FD63A8">
        <w:rPr>
          <w:rFonts w:ascii="Times New Roman" w:hAnsi="Times New Roman"/>
          <w:noProof/>
        </w:rPr>
        <w:t>DEL II: MALLRELATERADE INSTRUKTIONER</w:t>
      </w:r>
      <w:r w:rsidRPr="00FD63A8">
        <w:rPr>
          <w:noProof/>
        </w:rPr>
        <w:tab/>
        <w:t>2</w:t>
      </w:r>
    </w:p>
    <w:p w14:paraId="29C08CD8" w14:textId="77777777" w:rsidR="00223EA9" w:rsidRPr="00FD63A8" w:rsidRDefault="00FD63A8">
      <w:pPr>
        <w:pStyle w:val="TOC2"/>
        <w:tabs>
          <w:tab w:val="right" w:leader="dot" w:pos="9016"/>
        </w:tabs>
        <w:rPr>
          <w:rFonts w:eastAsiaTheme="minorEastAsia"/>
          <w:noProof/>
          <w:lang w:eastAsia="en-US" w:bidi="ar-SA"/>
        </w:rPr>
      </w:pPr>
      <w:r w:rsidRPr="00FD63A8">
        <w:rPr>
          <w:rFonts w:ascii="Times New Roman" w:hAnsi="Times New Roman"/>
          <w:b/>
          <w:noProof/>
        </w:rPr>
        <w:t xml:space="preserve">1. </w:t>
      </w:r>
      <w:r w:rsidRPr="00FD63A8">
        <w:rPr>
          <w:rFonts w:ascii="Times New Roman" w:hAnsi="Times New Roman"/>
          <w:b/>
          <w:noProof/>
        </w:rPr>
        <w:t>KAPITALBAS: NIVÅ, SAMMANSÄTTNING, KRAV OCH BERÄKNING</w:t>
      </w:r>
      <w:r w:rsidRPr="00FD63A8">
        <w:rPr>
          <w:noProof/>
        </w:rPr>
        <w:tab/>
        <w:t>2</w:t>
      </w:r>
    </w:p>
    <w:p w14:paraId="5AE80DB6" w14:textId="77777777" w:rsidR="00223EA9" w:rsidRPr="00FD63A8" w:rsidRDefault="00FD63A8">
      <w:pPr>
        <w:pStyle w:val="TOC2"/>
        <w:tabs>
          <w:tab w:val="right" w:leader="dot" w:pos="9016"/>
        </w:tabs>
        <w:rPr>
          <w:rFonts w:eastAsiaTheme="minorEastAsia"/>
          <w:noProof/>
          <w:lang w:eastAsia="en-US" w:bidi="ar-SA"/>
        </w:rPr>
      </w:pPr>
      <w:r w:rsidRPr="00FD63A8">
        <w:rPr>
          <w:rFonts w:ascii="Times New Roman" w:hAnsi="Times New Roman"/>
          <w:noProof/>
        </w:rPr>
        <w:t>1.1 Allmänna kommentarer</w:t>
      </w:r>
      <w:r w:rsidRPr="00FD63A8">
        <w:rPr>
          <w:noProof/>
        </w:rPr>
        <w:tab/>
        <w:t>2</w:t>
      </w:r>
    </w:p>
    <w:p w14:paraId="1362F7C1" w14:textId="77777777" w:rsidR="00223EA9" w:rsidRPr="00FD63A8" w:rsidRDefault="00FD63A8">
      <w:pPr>
        <w:pStyle w:val="TOC2"/>
        <w:tabs>
          <w:tab w:val="right" w:leader="dot" w:pos="9016"/>
        </w:tabs>
        <w:rPr>
          <w:rFonts w:eastAsiaTheme="minorEastAsia"/>
          <w:noProof/>
          <w:lang w:eastAsia="en-US" w:bidi="ar-SA"/>
        </w:rPr>
      </w:pPr>
      <w:r w:rsidRPr="00FD63A8">
        <w:rPr>
          <w:rFonts w:ascii="Times New Roman" w:hAnsi="Times New Roman"/>
          <w:noProof/>
        </w:rPr>
        <w:t>1,2. I 11.01 – KAPITALBASENS SAMMANSÄTTNING – GRUPPKAPITALTEST (I11.1)</w:t>
      </w:r>
      <w:r w:rsidRPr="00FD63A8">
        <w:rPr>
          <w:noProof/>
        </w:rPr>
        <w:tab/>
        <w:t>3</w:t>
      </w:r>
    </w:p>
    <w:p w14:paraId="56C76B86" w14:textId="77777777" w:rsidR="00223EA9" w:rsidRPr="00FD63A8" w:rsidRDefault="00FD63A8">
      <w:pPr>
        <w:pStyle w:val="TOC2"/>
        <w:tabs>
          <w:tab w:val="left" w:pos="1100"/>
          <w:tab w:val="right" w:leader="dot" w:pos="9016"/>
        </w:tabs>
        <w:rPr>
          <w:rFonts w:eastAsiaTheme="minorEastAsia"/>
          <w:noProof/>
          <w:lang w:eastAsia="en-US" w:bidi="ar-SA"/>
        </w:rPr>
      </w:pPr>
      <w:r w:rsidRPr="00FD63A8">
        <w:rPr>
          <w:rFonts w:ascii="Times New Roman" w:hAnsi="Times New Roman"/>
          <w:noProof/>
        </w:rPr>
        <w:t>1.2.1</w:t>
      </w:r>
      <w:r w:rsidRPr="00FD63A8">
        <w:rPr>
          <w:rFonts w:ascii="Times New Roman" w:hAnsi="Times New Roman"/>
          <w:noProof/>
        </w:rPr>
        <w:tab/>
        <w:t>Instruktioner för specifika positioner</w:t>
      </w:r>
      <w:r w:rsidRPr="00FD63A8">
        <w:rPr>
          <w:noProof/>
        </w:rPr>
        <w:tab/>
        <w:t>3</w:t>
      </w:r>
    </w:p>
    <w:p w14:paraId="3B74C74D" w14:textId="77777777" w:rsidR="00223EA9" w:rsidRPr="00FD63A8" w:rsidRDefault="00FD63A8">
      <w:pPr>
        <w:pStyle w:val="TOC2"/>
        <w:tabs>
          <w:tab w:val="right" w:leader="dot" w:pos="9016"/>
        </w:tabs>
        <w:rPr>
          <w:rFonts w:eastAsiaTheme="minorEastAsia"/>
          <w:noProof/>
          <w:lang w:eastAsia="en-US" w:bidi="ar-SA"/>
        </w:rPr>
      </w:pPr>
      <w:r w:rsidRPr="00FD63A8">
        <w:rPr>
          <w:rFonts w:ascii="Times New Roman" w:hAnsi="Times New Roman"/>
          <w:noProof/>
        </w:rPr>
        <w:t xml:space="preserve">1.3 I 11.02 KAPITALBASKRAVEN - </w:t>
      </w:r>
      <w:r w:rsidRPr="00FD63A8">
        <w:rPr>
          <w:rFonts w:ascii="Times New Roman" w:hAnsi="Times New Roman"/>
          <w:noProof/>
        </w:rPr>
        <w:t>GRUPPKAPITALTEST (I11.2)</w:t>
      </w:r>
      <w:r w:rsidRPr="00FD63A8">
        <w:rPr>
          <w:noProof/>
        </w:rPr>
        <w:tab/>
        <w:t>8</w:t>
      </w:r>
    </w:p>
    <w:p w14:paraId="0A0EA3BA" w14:textId="77777777" w:rsidR="00223EA9" w:rsidRPr="00FD63A8" w:rsidRDefault="00FD63A8">
      <w:pPr>
        <w:pStyle w:val="TOC2"/>
        <w:tabs>
          <w:tab w:val="left" w:pos="1100"/>
          <w:tab w:val="right" w:leader="dot" w:pos="9016"/>
        </w:tabs>
        <w:rPr>
          <w:rFonts w:eastAsiaTheme="minorEastAsia"/>
          <w:noProof/>
          <w:lang w:eastAsia="en-US" w:bidi="ar-SA"/>
        </w:rPr>
      </w:pPr>
      <w:r w:rsidRPr="00FD63A8">
        <w:rPr>
          <w:rFonts w:ascii="Times New Roman" w:hAnsi="Times New Roman"/>
          <w:noProof/>
        </w:rPr>
        <w:t>1.3.1</w:t>
      </w:r>
      <w:r w:rsidRPr="00FD63A8">
        <w:rPr>
          <w:rFonts w:ascii="Times New Roman" w:hAnsi="Times New Roman"/>
          <w:noProof/>
        </w:rPr>
        <w:tab/>
      </w:r>
      <w:r w:rsidRPr="00FD63A8">
        <w:rPr>
          <w:rFonts w:ascii="Times New Roman" w:hAnsi="Times New Roman"/>
          <w:noProof/>
          <w:u w:val="single"/>
        </w:rPr>
        <w:t>Instruktioner för specifika positioner</w:t>
      </w:r>
      <w:r w:rsidRPr="00FD63A8">
        <w:rPr>
          <w:noProof/>
        </w:rPr>
        <w:tab/>
        <w:t>8</w:t>
      </w:r>
    </w:p>
    <w:p w14:paraId="6EABC65F" w14:textId="77777777" w:rsidR="00223EA9" w:rsidRPr="00FD63A8" w:rsidRDefault="00FD63A8">
      <w:pPr>
        <w:pStyle w:val="TOC2"/>
        <w:tabs>
          <w:tab w:val="right" w:leader="dot" w:pos="9016"/>
        </w:tabs>
        <w:rPr>
          <w:rFonts w:eastAsiaTheme="minorEastAsia"/>
          <w:noProof/>
          <w:lang w:eastAsia="en-US" w:bidi="ar-SA"/>
        </w:rPr>
      </w:pPr>
      <w:r w:rsidRPr="00FD63A8">
        <w:rPr>
          <w:rFonts w:ascii="Times New Roman" w:hAnsi="Times New Roman"/>
          <w:noProof/>
        </w:rPr>
        <w:t>1.4 IF 11.03 INFORMATION OM DOTTERFÖRETAGEN (IF11.3)</w:t>
      </w:r>
      <w:r w:rsidRPr="00FD63A8">
        <w:rPr>
          <w:noProof/>
        </w:rPr>
        <w:tab/>
        <w:t>9</w:t>
      </w:r>
    </w:p>
    <w:p w14:paraId="4EE6265E" w14:textId="77777777" w:rsidR="00223EA9" w:rsidRPr="00FD63A8" w:rsidRDefault="00FD63A8">
      <w:pPr>
        <w:pStyle w:val="TOC2"/>
        <w:tabs>
          <w:tab w:val="left" w:pos="1100"/>
          <w:tab w:val="right" w:leader="dot" w:pos="9016"/>
        </w:tabs>
        <w:rPr>
          <w:rFonts w:eastAsiaTheme="minorEastAsia"/>
          <w:noProof/>
          <w:lang w:val="en-US" w:eastAsia="en-US" w:bidi="ar-SA"/>
        </w:rPr>
      </w:pPr>
      <w:r w:rsidRPr="00FD63A8">
        <w:rPr>
          <w:rFonts w:ascii="Times New Roman" w:hAnsi="Times New Roman"/>
          <w:noProof/>
        </w:rPr>
        <w:t>1.4.1</w:t>
      </w:r>
      <w:r w:rsidRPr="00FD63A8">
        <w:rPr>
          <w:rFonts w:ascii="Times New Roman" w:hAnsi="Times New Roman"/>
          <w:noProof/>
        </w:rPr>
        <w:tab/>
      </w:r>
      <w:r w:rsidRPr="00FD63A8">
        <w:rPr>
          <w:rFonts w:ascii="Times New Roman" w:hAnsi="Times New Roman"/>
          <w:noProof/>
          <w:u w:val="single"/>
        </w:rPr>
        <w:t>Instruktioner för specifika positioner</w:t>
      </w:r>
      <w:r w:rsidRPr="00FD63A8">
        <w:rPr>
          <w:noProof/>
        </w:rPr>
        <w:tab/>
        <w:t>9</w:t>
      </w:r>
      <w:bookmarkStart w:id="6" w:name="_Toc360188322"/>
      <w:bookmarkStart w:id="7" w:name="_Toc473560870"/>
      <w:bookmarkStart w:id="8" w:name="_Toc7084155"/>
    </w:p>
    <w:p w14:paraId="6E5AC7BA" w14:textId="77777777" w:rsidR="00223EA9" w:rsidRPr="00FD63A8" w:rsidRDefault="00223EA9"/>
    <w:p w14:paraId="2BAD13C5" w14:textId="77777777" w:rsidR="00223EA9" w:rsidRPr="00FD63A8" w:rsidRDefault="00223EA9"/>
    <w:p w14:paraId="29DC474E" w14:textId="77777777" w:rsidR="00223EA9" w:rsidRPr="00FD63A8" w:rsidRDefault="00FD63A8">
      <w:pPr>
        <w:pStyle w:val="Heading2"/>
        <w:rPr>
          <w:rFonts w:ascii="Times New Roman" w:hAnsi="Times New Roman"/>
        </w:rPr>
      </w:pPr>
      <w:bookmarkStart w:id="9" w:name="_Toc44434021"/>
      <w:bookmarkStart w:id="10" w:name="_Toc88139594"/>
      <w:r w:rsidRPr="00FD63A8">
        <w:rPr>
          <w:rFonts w:ascii="Times New Roman" w:hAnsi="Times New Roman"/>
        </w:rPr>
        <w:t>DEL I: ALLMÄNNA INSTRUKTIONER</w:t>
      </w:r>
      <w:bookmarkEnd w:id="9"/>
      <w:bookmarkEnd w:id="10"/>
    </w:p>
    <w:p w14:paraId="02A853E8" w14:textId="77777777" w:rsidR="00223EA9" w:rsidRPr="00FD63A8" w:rsidRDefault="00FD63A8">
      <w:pPr>
        <w:keepNext/>
        <w:spacing w:before="240" w:after="240" w:line="240" w:lineRule="auto"/>
        <w:jc w:val="both"/>
        <w:outlineLvl w:val="1"/>
        <w:rPr>
          <w:rFonts w:ascii="Times New Roman" w:eastAsia="Arial" w:hAnsi="Times New Roman" w:cs="Times New Roman"/>
          <w:sz w:val="24"/>
          <w:szCs w:val="24"/>
        </w:rPr>
      </w:pPr>
      <w:bookmarkStart w:id="11" w:name="_Toc44434022"/>
      <w:bookmarkStart w:id="12" w:name="_Toc88139595"/>
      <w:r w:rsidRPr="00FD63A8">
        <w:rPr>
          <w:rFonts w:ascii="Times New Roman" w:hAnsi="Times New Roman"/>
          <w:sz w:val="24"/>
        </w:rPr>
        <w:t>1. Struktur och praxis</w:t>
      </w:r>
      <w:bookmarkEnd w:id="11"/>
      <w:bookmarkEnd w:id="12"/>
    </w:p>
    <w:p w14:paraId="0EA79339" w14:textId="77777777" w:rsidR="00223EA9" w:rsidRPr="00FD63A8" w:rsidRDefault="00FD63A8">
      <w:pPr>
        <w:keepNext/>
        <w:spacing w:before="240" w:after="240" w:line="240" w:lineRule="auto"/>
        <w:jc w:val="both"/>
        <w:outlineLvl w:val="1"/>
        <w:rPr>
          <w:rFonts w:ascii="Times New Roman" w:eastAsia="Arial" w:hAnsi="Times New Roman" w:cs="Times New Roman"/>
          <w:sz w:val="24"/>
          <w:szCs w:val="24"/>
          <w:u w:val="single"/>
        </w:rPr>
      </w:pPr>
      <w:bookmarkStart w:id="13" w:name="_Toc44434023"/>
      <w:bookmarkStart w:id="14" w:name="_Toc88139596"/>
      <w:r w:rsidRPr="00FD63A8">
        <w:rPr>
          <w:rFonts w:ascii="Times New Roman" w:hAnsi="Times New Roman"/>
          <w:sz w:val="24"/>
          <w:u w:val="single"/>
        </w:rPr>
        <w:t>1.1 Struktur</w:t>
      </w:r>
      <w:bookmarkEnd w:id="13"/>
      <w:bookmarkEnd w:id="14"/>
    </w:p>
    <w:p w14:paraId="4DC79E11" w14:textId="77777777" w:rsidR="00223EA9" w:rsidRPr="00FD63A8" w:rsidRDefault="00FD63A8">
      <w:pPr>
        <w:spacing w:line="256" w:lineRule="auto"/>
        <w:ind w:left="993" w:hanging="504"/>
        <w:jc w:val="both"/>
        <w:rPr>
          <w:rFonts w:ascii="Times New Roman" w:hAnsi="Times New Roman" w:cs="Times New Roman"/>
        </w:rPr>
      </w:pPr>
      <w:r w:rsidRPr="00FD63A8">
        <w:rPr>
          <w:rFonts w:ascii="Times New Roman" w:hAnsi="Times New Roman" w:cs="Times New Roman"/>
        </w:rPr>
        <w:t>1.</w:t>
      </w:r>
      <w:r w:rsidRPr="00FD63A8">
        <w:rPr>
          <w:rFonts w:ascii="Times New Roman" w:hAnsi="Times New Roman" w:cs="Times New Roman"/>
        </w:rPr>
        <w:tab/>
      </w:r>
      <w:r w:rsidRPr="00FD63A8">
        <w:rPr>
          <w:rFonts w:ascii="Times New Roman" w:hAnsi="Times New Roman"/>
        </w:rPr>
        <w:t>Sammantaget består rapporteringen av gruppkapitaltester av två mallar:</w:t>
      </w:r>
    </w:p>
    <w:p w14:paraId="7E07D108" w14:textId="77777777" w:rsidR="00223EA9" w:rsidRPr="00FD63A8" w:rsidRDefault="00FD63A8">
      <w:pPr>
        <w:spacing w:line="256" w:lineRule="auto"/>
        <w:ind w:left="1728" w:hanging="648"/>
        <w:jc w:val="both"/>
        <w:rPr>
          <w:rFonts w:ascii="Times New Roman" w:hAnsi="Times New Roman" w:cs="Times New Roman"/>
        </w:rPr>
      </w:pPr>
      <w:r w:rsidRPr="00FD63A8">
        <w:rPr>
          <w:rFonts w:ascii="Times New Roman" w:hAnsi="Times New Roman" w:cs="Times New Roman"/>
        </w:rPr>
        <w:t>a)</w:t>
      </w:r>
      <w:r w:rsidRPr="00FD63A8">
        <w:rPr>
          <w:rFonts w:ascii="Times New Roman" w:hAnsi="Times New Roman" w:cs="Times New Roman"/>
        </w:rPr>
        <w:tab/>
      </w:r>
      <w:r w:rsidRPr="00FD63A8">
        <w:rPr>
          <w:rFonts w:ascii="Times New Roman" w:hAnsi="Times New Roman"/>
        </w:rPr>
        <w:t>Kapitalbasens sammansättning.</w:t>
      </w:r>
    </w:p>
    <w:p w14:paraId="0CEB1E77" w14:textId="77777777" w:rsidR="00223EA9" w:rsidRPr="00FD63A8" w:rsidRDefault="00FD63A8">
      <w:pPr>
        <w:spacing w:line="256" w:lineRule="auto"/>
        <w:ind w:left="1728" w:hanging="648"/>
        <w:jc w:val="both"/>
        <w:rPr>
          <w:rFonts w:ascii="Times New Roman" w:hAnsi="Times New Roman" w:cs="Times New Roman"/>
        </w:rPr>
      </w:pPr>
      <w:r w:rsidRPr="00FD63A8">
        <w:rPr>
          <w:rFonts w:ascii="Times New Roman" w:hAnsi="Times New Roman" w:cs="Times New Roman"/>
        </w:rPr>
        <w:t>b)</w:t>
      </w:r>
      <w:r w:rsidRPr="00FD63A8">
        <w:rPr>
          <w:rFonts w:ascii="Times New Roman" w:hAnsi="Times New Roman" w:cs="Times New Roman"/>
        </w:rPr>
        <w:tab/>
      </w:r>
      <w:r w:rsidRPr="00FD63A8">
        <w:rPr>
          <w:rFonts w:ascii="Times New Roman" w:hAnsi="Times New Roman"/>
        </w:rPr>
        <w:t>Kapitalbasinstrument.</w:t>
      </w:r>
    </w:p>
    <w:p w14:paraId="32FC66C4" w14:textId="77777777" w:rsidR="00223EA9" w:rsidRPr="00FD63A8" w:rsidRDefault="00FD63A8">
      <w:pPr>
        <w:pStyle w:val="InstructionsText2"/>
        <w:numPr>
          <w:ilvl w:val="0"/>
          <w:numId w:val="0"/>
        </w:numPr>
        <w:ind w:left="360" w:hanging="360"/>
      </w:pPr>
      <w:r w:rsidRPr="00FD63A8">
        <w:t>2.</w:t>
      </w:r>
      <w:r w:rsidRPr="00FD63A8">
        <w:tab/>
        <w:t>För varje mall ges hänvisningar till lagstiftningen. I den här delen av genomförandeförordningen finns utförligare informati</w:t>
      </w:r>
      <w:r w:rsidRPr="00FD63A8">
        <w:t>on om de mer allmänna aspekterna av rapporteringen för varje mallgrupp, instruktioner för specifika positioner och valideringsregler.</w:t>
      </w:r>
    </w:p>
    <w:p w14:paraId="17FF3523" w14:textId="77777777" w:rsidR="00223EA9" w:rsidRPr="00FD63A8" w:rsidRDefault="00FD63A8">
      <w:pPr>
        <w:keepNext/>
        <w:spacing w:before="240" w:after="240" w:line="240" w:lineRule="auto"/>
        <w:jc w:val="both"/>
        <w:outlineLvl w:val="1"/>
        <w:rPr>
          <w:rFonts w:ascii="Times New Roman" w:eastAsia="Arial" w:hAnsi="Times New Roman" w:cs="Times New Roman"/>
          <w:sz w:val="24"/>
          <w:szCs w:val="24"/>
          <w:u w:val="single"/>
        </w:rPr>
      </w:pPr>
      <w:bookmarkStart w:id="15" w:name="_Toc44434024"/>
      <w:bookmarkStart w:id="16" w:name="_Toc88139597"/>
      <w:r w:rsidRPr="00FD63A8">
        <w:rPr>
          <w:rFonts w:ascii="Times New Roman" w:hAnsi="Times New Roman"/>
          <w:sz w:val="24"/>
          <w:u w:val="single"/>
        </w:rPr>
        <w:lastRenderedPageBreak/>
        <w:t>1.2 Numrering</w:t>
      </w:r>
      <w:bookmarkEnd w:id="15"/>
      <w:bookmarkEnd w:id="16"/>
    </w:p>
    <w:p w14:paraId="34A64194" w14:textId="77777777" w:rsidR="00223EA9" w:rsidRPr="00FD63A8" w:rsidRDefault="00FD63A8">
      <w:pPr>
        <w:pStyle w:val="InstructionsText2"/>
        <w:numPr>
          <w:ilvl w:val="0"/>
          <w:numId w:val="0"/>
        </w:numPr>
        <w:ind w:left="360" w:hanging="360"/>
      </w:pPr>
      <w:r w:rsidRPr="00FD63A8">
        <w:t>3.</w:t>
      </w:r>
      <w:r w:rsidRPr="00FD63A8">
        <w:tab/>
        <w:t>För att hänvisa till kolumner, rader och celler i en mall används i detta dokument beteckningssystemet en</w:t>
      </w:r>
      <w:r w:rsidRPr="00FD63A8">
        <w:t>ligt punkterna 4–7. I valideringsreglerna hänvisas ofta till dessa numeriska koder.</w:t>
      </w:r>
    </w:p>
    <w:p w14:paraId="692E97A4" w14:textId="77777777" w:rsidR="00223EA9" w:rsidRPr="00FD63A8" w:rsidRDefault="00FD63A8">
      <w:pPr>
        <w:pStyle w:val="InstructionsText2"/>
        <w:numPr>
          <w:ilvl w:val="0"/>
          <w:numId w:val="0"/>
        </w:numPr>
        <w:ind w:left="360" w:hanging="360"/>
      </w:pPr>
      <w:r w:rsidRPr="00FD63A8">
        <w:t>4.</w:t>
      </w:r>
      <w:r w:rsidRPr="00FD63A8">
        <w:tab/>
        <w:t>Följande allmänna beteckningssystem används i instruktionerna: {Mall, Rad, Kolumn}.</w:t>
      </w:r>
    </w:p>
    <w:p w14:paraId="3B7C565B" w14:textId="77777777" w:rsidR="00223EA9" w:rsidRPr="00FD63A8" w:rsidRDefault="00FD63A8">
      <w:pPr>
        <w:pStyle w:val="InstructionsText2"/>
        <w:numPr>
          <w:ilvl w:val="0"/>
          <w:numId w:val="0"/>
        </w:numPr>
        <w:ind w:left="360" w:hanging="360"/>
      </w:pPr>
      <w:r w:rsidRPr="00FD63A8">
        <w:t>5.</w:t>
      </w:r>
      <w:r w:rsidRPr="00FD63A8">
        <w:tab/>
        <w:t>Vid validering inom en mall där man endast använder datapunkter från den mallen an</w:t>
      </w:r>
      <w:r w:rsidRPr="00FD63A8">
        <w:t>ges inte mallen i beteckningen: {Rad, Kolumn}.</w:t>
      </w:r>
    </w:p>
    <w:p w14:paraId="2C09AA7D" w14:textId="77777777" w:rsidR="00223EA9" w:rsidRPr="00FD63A8" w:rsidRDefault="00FD63A8">
      <w:pPr>
        <w:pStyle w:val="InstructionsText2"/>
        <w:numPr>
          <w:ilvl w:val="0"/>
          <w:numId w:val="0"/>
        </w:numPr>
        <w:ind w:left="360" w:hanging="360"/>
      </w:pPr>
      <w:r w:rsidRPr="00FD63A8">
        <w:t>6.</w:t>
      </w:r>
      <w:r w:rsidRPr="00FD63A8">
        <w:tab/>
        <w:t>Om mallen bara har en kolumn, anges endast rader. {Mall, Rad}.</w:t>
      </w:r>
    </w:p>
    <w:p w14:paraId="09DE578D" w14:textId="77777777" w:rsidR="00223EA9" w:rsidRPr="00FD63A8" w:rsidRDefault="00FD63A8">
      <w:pPr>
        <w:pStyle w:val="InstructionsText2"/>
        <w:numPr>
          <w:ilvl w:val="0"/>
          <w:numId w:val="0"/>
        </w:numPr>
        <w:ind w:left="360" w:hanging="360"/>
      </w:pPr>
      <w:r w:rsidRPr="00FD63A8">
        <w:t>7.</w:t>
      </w:r>
      <w:r w:rsidRPr="00FD63A8">
        <w:tab/>
        <w:t>En asterisk betyder att valideringen avser de rader eller kolumner som anges före den.</w:t>
      </w:r>
    </w:p>
    <w:p w14:paraId="31D18368" w14:textId="77777777" w:rsidR="00223EA9" w:rsidRPr="00FD63A8" w:rsidRDefault="00FD63A8">
      <w:pPr>
        <w:keepNext/>
        <w:spacing w:before="240" w:after="240" w:line="240" w:lineRule="auto"/>
        <w:jc w:val="both"/>
        <w:outlineLvl w:val="1"/>
        <w:rPr>
          <w:rFonts w:ascii="Times New Roman" w:eastAsia="Arial" w:hAnsi="Times New Roman" w:cs="Times New Roman"/>
          <w:sz w:val="24"/>
          <w:szCs w:val="24"/>
          <w:u w:val="single"/>
        </w:rPr>
      </w:pPr>
      <w:bookmarkStart w:id="17" w:name="_Toc44434025"/>
      <w:bookmarkStart w:id="18" w:name="_Toc88139598"/>
      <w:r w:rsidRPr="00FD63A8">
        <w:rPr>
          <w:rFonts w:ascii="Times New Roman" w:hAnsi="Times New Roman"/>
          <w:sz w:val="24"/>
          <w:u w:val="single"/>
        </w:rPr>
        <w:t>1.3 Tecken</w:t>
      </w:r>
      <w:bookmarkEnd w:id="17"/>
      <w:bookmarkEnd w:id="18"/>
    </w:p>
    <w:p w14:paraId="4DAAF5B0" w14:textId="77777777" w:rsidR="00223EA9" w:rsidRPr="00FD63A8" w:rsidRDefault="00FD63A8">
      <w:pPr>
        <w:pStyle w:val="InstructionsText2"/>
        <w:numPr>
          <w:ilvl w:val="0"/>
          <w:numId w:val="0"/>
        </w:numPr>
        <w:ind w:left="360" w:hanging="360"/>
      </w:pPr>
      <w:r w:rsidRPr="00FD63A8">
        <w:t>8.</w:t>
      </w:r>
      <w:r w:rsidRPr="00FD63A8">
        <w:tab/>
        <w:t xml:space="preserve">Alla belopp som ökar </w:t>
      </w:r>
      <w:r w:rsidRPr="00FD63A8">
        <w:t>kapitalbasen, kapitalkraven eller likviditetskraven ska redovisas som ett positivt belopp. Tvärtom ska alla belopp som minskar den totala kapitalbasen eller de totala kapitalkraven redovisas som ett negativt belopp. Om namnet på en post föregås av ett minu</w:t>
      </w:r>
      <w:r w:rsidRPr="00FD63A8">
        <w:t>stecken (-) förväntas inga positiva belopp anges för den posten.</w:t>
      </w:r>
    </w:p>
    <w:p w14:paraId="32A030AA" w14:textId="77777777" w:rsidR="00223EA9" w:rsidRPr="00FD63A8" w:rsidRDefault="00FD63A8">
      <w:pPr>
        <w:pStyle w:val="Heading2"/>
        <w:rPr>
          <w:rFonts w:ascii="Times New Roman" w:hAnsi="Times New Roman"/>
        </w:rPr>
      </w:pPr>
      <w:bookmarkStart w:id="19" w:name="_Toc44434027"/>
      <w:bookmarkStart w:id="20" w:name="_Toc88139599"/>
      <w:r w:rsidRPr="00FD63A8">
        <w:rPr>
          <w:rFonts w:ascii="Times New Roman" w:hAnsi="Times New Roman"/>
        </w:rPr>
        <w:t>DEL II: MALLRELATERADE INSTRUKTIONER</w:t>
      </w:r>
      <w:bookmarkEnd w:id="6"/>
      <w:bookmarkEnd w:id="7"/>
      <w:bookmarkEnd w:id="8"/>
      <w:bookmarkEnd w:id="19"/>
      <w:bookmarkEnd w:id="20"/>
    </w:p>
    <w:p w14:paraId="4677A76C" w14:textId="77777777" w:rsidR="00223EA9" w:rsidRPr="00FD63A8" w:rsidRDefault="00FD63A8">
      <w:pPr>
        <w:pStyle w:val="Instructionsberschrift2"/>
        <w:ind w:left="357" w:hanging="357"/>
        <w:rPr>
          <w:rFonts w:ascii="Times New Roman" w:hAnsi="Times New Roman" w:cs="Times New Roman"/>
          <w:b/>
          <w:sz w:val="24"/>
        </w:rPr>
      </w:pPr>
      <w:bookmarkStart w:id="21" w:name="_Toc44434028"/>
      <w:bookmarkStart w:id="22" w:name="_Toc88139600"/>
      <w:r w:rsidRPr="00FD63A8">
        <w:rPr>
          <w:rFonts w:ascii="Times New Roman" w:hAnsi="Times New Roman"/>
          <w:b/>
          <w:sz w:val="24"/>
          <w:u w:val="none"/>
        </w:rPr>
        <w:t>1. KAPITALBAS: NIVÅ, SAMMANSÄTTNING, KRAV OCH BERÄKNING</w:t>
      </w:r>
      <w:bookmarkEnd w:id="21"/>
      <w:bookmarkEnd w:id="22"/>
    </w:p>
    <w:p w14:paraId="775EC6E1" w14:textId="77777777" w:rsidR="00223EA9" w:rsidRPr="00FD63A8" w:rsidRDefault="00FD63A8">
      <w:pPr>
        <w:pStyle w:val="Instructionsberschrift2"/>
        <w:ind w:left="357" w:hanging="357"/>
        <w:rPr>
          <w:rFonts w:ascii="Times New Roman" w:hAnsi="Times New Roman" w:cs="Times New Roman"/>
          <w:sz w:val="24"/>
        </w:rPr>
      </w:pPr>
      <w:bookmarkStart w:id="23" w:name="_Toc44434029"/>
      <w:bookmarkStart w:id="24" w:name="_Toc88139601"/>
      <w:r w:rsidRPr="00FD63A8">
        <w:rPr>
          <w:rFonts w:ascii="Times New Roman" w:hAnsi="Times New Roman"/>
          <w:sz w:val="24"/>
          <w:u w:val="none"/>
        </w:rPr>
        <w:t xml:space="preserve">1.1 </w:t>
      </w:r>
      <w:r w:rsidRPr="00FD63A8">
        <w:rPr>
          <w:rFonts w:ascii="Times New Roman" w:hAnsi="Times New Roman"/>
          <w:sz w:val="24"/>
        </w:rPr>
        <w:t>Allmänna kommentarer</w:t>
      </w:r>
      <w:bookmarkEnd w:id="23"/>
      <w:bookmarkEnd w:id="24"/>
    </w:p>
    <w:p w14:paraId="0A008E1E" w14:textId="77777777" w:rsidR="00223EA9" w:rsidRPr="00FD63A8" w:rsidRDefault="00FD63A8">
      <w:pPr>
        <w:spacing w:line="256" w:lineRule="auto"/>
        <w:ind w:left="993" w:hanging="567"/>
        <w:jc w:val="both"/>
        <w:rPr>
          <w:rFonts w:ascii="Times New Roman" w:hAnsi="Times New Roman" w:cs="Times New Roman"/>
          <w:sz w:val="24"/>
        </w:rPr>
      </w:pPr>
      <w:r w:rsidRPr="00FD63A8">
        <w:rPr>
          <w:rFonts w:ascii="Times New Roman" w:hAnsi="Times New Roman" w:cs="Times New Roman"/>
          <w:sz w:val="24"/>
        </w:rPr>
        <w:t>10.</w:t>
      </w:r>
      <w:r w:rsidRPr="00FD63A8">
        <w:rPr>
          <w:rFonts w:ascii="Times New Roman" w:hAnsi="Times New Roman" w:cs="Times New Roman"/>
          <w:sz w:val="24"/>
        </w:rPr>
        <w:tab/>
      </w:r>
      <w:r w:rsidRPr="00FD63A8">
        <w:rPr>
          <w:rFonts w:ascii="Times New Roman" w:hAnsi="Times New Roman"/>
          <w:sz w:val="24"/>
        </w:rPr>
        <w:t xml:space="preserve">Avsnittet om översikt över kapitalbasen innehåller </w:t>
      </w:r>
      <w:r w:rsidRPr="00FD63A8">
        <w:rPr>
          <w:rFonts w:ascii="Times New Roman" w:hAnsi="Times New Roman"/>
          <w:sz w:val="24"/>
        </w:rPr>
        <w:t>information om värdepappersföretagets kapitalbas och dess kapitalbaskrav. Det består av två mallar:</w:t>
      </w:r>
    </w:p>
    <w:p w14:paraId="5258C96C" w14:textId="77777777" w:rsidR="00223EA9" w:rsidRPr="00FD63A8" w:rsidRDefault="00FD63A8">
      <w:pPr>
        <w:spacing w:line="256" w:lineRule="auto"/>
        <w:ind w:left="1728" w:hanging="648"/>
        <w:jc w:val="both"/>
        <w:rPr>
          <w:rFonts w:ascii="Times New Roman" w:hAnsi="Times New Roman" w:cs="Times New Roman"/>
          <w:sz w:val="24"/>
        </w:rPr>
      </w:pPr>
      <w:r w:rsidRPr="00FD63A8">
        <w:rPr>
          <w:rFonts w:ascii="Times New Roman" w:hAnsi="Times New Roman" w:cs="Times New Roman"/>
          <w:sz w:val="24"/>
        </w:rPr>
        <w:t>a)</w:t>
      </w:r>
      <w:r w:rsidRPr="00FD63A8">
        <w:rPr>
          <w:rFonts w:ascii="Times New Roman" w:hAnsi="Times New Roman" w:cs="Times New Roman"/>
          <w:sz w:val="24"/>
        </w:rPr>
        <w:tab/>
      </w:r>
      <w:r w:rsidRPr="00FD63A8">
        <w:rPr>
          <w:rFonts w:ascii="Times New Roman" w:hAnsi="Times New Roman"/>
          <w:sz w:val="24"/>
        </w:rPr>
        <w:t>Mall I 11.01 innehåller sammansättningarna av den kapitalbas som ett värdepappersföretag innehar: Kärnprimärkapital, övrigt primärkapital för kapitaltäck</w:t>
      </w:r>
      <w:r w:rsidRPr="00FD63A8">
        <w:rPr>
          <w:rFonts w:ascii="Times New Roman" w:hAnsi="Times New Roman"/>
          <w:sz w:val="24"/>
        </w:rPr>
        <w:t>ningsändamål och supplementärkapital.</w:t>
      </w:r>
    </w:p>
    <w:p w14:paraId="33341ABD" w14:textId="77777777" w:rsidR="00223EA9" w:rsidRPr="00FD63A8" w:rsidRDefault="00FD63A8">
      <w:pPr>
        <w:spacing w:line="256" w:lineRule="auto"/>
        <w:ind w:left="1728" w:hanging="648"/>
        <w:jc w:val="both"/>
        <w:rPr>
          <w:rFonts w:ascii="Times New Roman" w:hAnsi="Times New Roman" w:cs="Times New Roman"/>
          <w:sz w:val="24"/>
        </w:rPr>
      </w:pPr>
      <w:r w:rsidRPr="00FD63A8">
        <w:rPr>
          <w:rFonts w:ascii="Times New Roman" w:hAnsi="Times New Roman" w:cs="Times New Roman"/>
          <w:sz w:val="24"/>
        </w:rPr>
        <w:t>b)</w:t>
      </w:r>
      <w:r w:rsidRPr="00FD63A8">
        <w:rPr>
          <w:rFonts w:ascii="Times New Roman" w:hAnsi="Times New Roman" w:cs="Times New Roman"/>
          <w:sz w:val="24"/>
        </w:rPr>
        <w:tab/>
      </w:r>
      <w:r w:rsidRPr="00FD63A8">
        <w:rPr>
          <w:rFonts w:ascii="Times New Roman" w:hAnsi="Times New Roman"/>
          <w:sz w:val="24"/>
        </w:rPr>
        <w:t xml:space="preserve">Mall I 11.02 innehåller information om </w:t>
      </w:r>
      <w:r w:rsidRPr="00FD63A8">
        <w:rPr>
          <w:rFonts w:ascii="Times New Roman" w:hAnsi="Times New Roman"/>
          <w:sz w:val="24"/>
        </w:rPr>
        <w:t>”</w:t>
      </w:r>
      <w:r w:rsidRPr="00FD63A8">
        <w:rPr>
          <w:rFonts w:ascii="Times New Roman" w:hAnsi="Times New Roman"/>
          <w:sz w:val="24"/>
        </w:rPr>
        <w:t>kapitalbaskrave</w:t>
      </w:r>
      <w:r w:rsidRPr="00FD63A8">
        <w:rPr>
          <w:rFonts w:ascii="Times New Roman" w:hAnsi="Times New Roman"/>
          <w:sz w:val="24"/>
        </w:rPr>
        <w:t>n”</w:t>
      </w:r>
      <w:r w:rsidRPr="00FD63A8">
        <w:rPr>
          <w:rFonts w:ascii="Times New Roman" w:hAnsi="Times New Roman"/>
          <w:sz w:val="24"/>
        </w:rPr>
        <w:t xml:space="preserve"> i samband med gruppkapitaltestet, dvs. koncerninterna innehav, eventualförpliktelser och dotterföretagens totala kapitalbaskrav.</w:t>
      </w:r>
    </w:p>
    <w:p w14:paraId="70F28AB7" w14:textId="77777777" w:rsidR="00223EA9" w:rsidRPr="00FD63A8" w:rsidRDefault="00FD63A8">
      <w:pPr>
        <w:spacing w:line="256" w:lineRule="auto"/>
        <w:ind w:left="1728" w:hanging="648"/>
        <w:jc w:val="both"/>
        <w:rPr>
          <w:rFonts w:ascii="Times New Roman" w:hAnsi="Times New Roman" w:cs="Times New Roman"/>
          <w:sz w:val="24"/>
        </w:rPr>
      </w:pPr>
      <w:r w:rsidRPr="00FD63A8">
        <w:rPr>
          <w:rFonts w:ascii="Times New Roman" w:hAnsi="Times New Roman" w:cs="Times New Roman"/>
          <w:sz w:val="24"/>
        </w:rPr>
        <w:t>c)</w:t>
      </w:r>
      <w:r w:rsidRPr="00FD63A8">
        <w:rPr>
          <w:rFonts w:ascii="Times New Roman" w:hAnsi="Times New Roman" w:cs="Times New Roman"/>
          <w:sz w:val="24"/>
        </w:rPr>
        <w:tab/>
      </w:r>
      <w:r w:rsidRPr="00FD63A8">
        <w:rPr>
          <w:rFonts w:ascii="Times New Roman" w:hAnsi="Times New Roman"/>
          <w:sz w:val="24"/>
        </w:rPr>
        <w:t>Mall I 11.03 innehåller r</w:t>
      </w:r>
      <w:r w:rsidRPr="00FD63A8">
        <w:rPr>
          <w:rFonts w:ascii="Times New Roman" w:hAnsi="Times New Roman"/>
          <w:sz w:val="24"/>
        </w:rPr>
        <w:t>elevant information om kapitalkrav, eventualförpliktelser, efterställda fordringar och innehav i enheter i den finansiella sektorn på dotterföretagsnivå, uppdelade efter enhet.</w:t>
      </w:r>
    </w:p>
    <w:p w14:paraId="23C08851" w14:textId="77777777" w:rsidR="00223EA9" w:rsidRPr="00FD63A8" w:rsidRDefault="00FD63A8">
      <w:pPr>
        <w:spacing w:line="256" w:lineRule="auto"/>
        <w:ind w:left="993" w:hanging="567"/>
        <w:jc w:val="both"/>
        <w:rPr>
          <w:rFonts w:ascii="Times New Roman" w:hAnsi="Times New Roman" w:cs="Times New Roman"/>
          <w:sz w:val="24"/>
        </w:rPr>
      </w:pPr>
      <w:r w:rsidRPr="00FD63A8">
        <w:rPr>
          <w:rFonts w:ascii="Times New Roman" w:hAnsi="Times New Roman" w:cs="Times New Roman"/>
          <w:sz w:val="24"/>
        </w:rPr>
        <w:t>11.</w:t>
      </w:r>
      <w:r w:rsidRPr="00FD63A8">
        <w:rPr>
          <w:rFonts w:ascii="Times New Roman" w:hAnsi="Times New Roman" w:cs="Times New Roman"/>
          <w:sz w:val="24"/>
        </w:rPr>
        <w:tab/>
      </w:r>
      <w:r w:rsidRPr="00FD63A8">
        <w:rPr>
          <w:rFonts w:ascii="Times New Roman" w:hAnsi="Times New Roman"/>
          <w:sz w:val="24"/>
        </w:rPr>
        <w:t>Beloppen i dessa mallar beräknas utan avdrag för övergångsjusteringar. Dett</w:t>
      </w:r>
      <w:r w:rsidRPr="00FD63A8">
        <w:rPr>
          <w:rFonts w:ascii="Times New Roman" w:hAnsi="Times New Roman"/>
          <w:sz w:val="24"/>
        </w:rPr>
        <w:t>a innebär att beloppen (utom när övergångskravet för kapitalbasen uttryckligen anges) beräknas i enlighet med slutbestämmelserna (dvs. som om det inte fanns några övergångsbestämmelser).</w:t>
      </w:r>
    </w:p>
    <w:p w14:paraId="2C3A4C64" w14:textId="77777777" w:rsidR="00223EA9" w:rsidRPr="00FD63A8" w:rsidRDefault="00FD63A8">
      <w:pPr>
        <w:pStyle w:val="Instructionsberschrift2"/>
        <w:ind w:left="357" w:hanging="357"/>
        <w:rPr>
          <w:rFonts w:ascii="Times New Roman" w:hAnsi="Times New Roman" w:cs="Times New Roman"/>
          <w:sz w:val="24"/>
        </w:rPr>
      </w:pPr>
      <w:bookmarkStart w:id="25" w:name="_Toc44434030"/>
      <w:bookmarkStart w:id="26" w:name="_Toc88139602"/>
      <w:r w:rsidRPr="00FD63A8">
        <w:rPr>
          <w:rFonts w:ascii="Times New Roman" w:hAnsi="Times New Roman"/>
          <w:sz w:val="24"/>
        </w:rPr>
        <w:lastRenderedPageBreak/>
        <w:t>1,2. I 11.01 – KAPITALBASENS SAMMANSÄTTNING – GRUPPKAPITALTEST (I11.1</w:t>
      </w:r>
      <w:r w:rsidRPr="00FD63A8">
        <w:rPr>
          <w:rFonts w:ascii="Times New Roman" w:hAnsi="Times New Roman"/>
          <w:sz w:val="24"/>
        </w:rPr>
        <w:t>)</w:t>
      </w:r>
      <w:bookmarkEnd w:id="25"/>
      <w:bookmarkEnd w:id="26"/>
    </w:p>
    <w:p w14:paraId="53915E4F" w14:textId="77777777" w:rsidR="00223EA9" w:rsidRPr="00FD63A8" w:rsidRDefault="00FD63A8">
      <w:pPr>
        <w:pStyle w:val="Instructionsberschrift2"/>
        <w:ind w:left="357" w:hanging="357"/>
        <w:rPr>
          <w:rFonts w:ascii="Times New Roman" w:hAnsi="Times New Roman" w:cs="Times New Roman"/>
          <w:sz w:val="24"/>
        </w:rPr>
      </w:pPr>
      <w:bookmarkStart w:id="27" w:name="_Toc44434031"/>
      <w:bookmarkStart w:id="28" w:name="_Toc88139603"/>
      <w:r w:rsidRPr="00FD63A8">
        <w:rPr>
          <w:rFonts w:ascii="Times New Roman" w:hAnsi="Times New Roman"/>
          <w:sz w:val="24"/>
          <w:u w:val="none"/>
        </w:rPr>
        <w:t>1.2.1</w:t>
      </w:r>
      <w:r w:rsidRPr="00FD63A8">
        <w:rPr>
          <w:rFonts w:ascii="Times New Roman" w:hAnsi="Times New Roman"/>
          <w:sz w:val="24"/>
          <w:u w:val="none"/>
        </w:rPr>
        <w:tab/>
      </w:r>
      <w:r w:rsidRPr="00FD63A8">
        <w:rPr>
          <w:rFonts w:ascii="Times New Roman" w:hAnsi="Times New Roman"/>
          <w:sz w:val="24"/>
        </w:rPr>
        <w:t>Instruktioner för specifika positioner</w:t>
      </w:r>
      <w:bookmarkEnd w:id="27"/>
      <w:bookmarkEnd w:id="2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23EA9" w:rsidRPr="00FD63A8" w14:paraId="4CA808B5" w14:textId="77777777">
        <w:tc>
          <w:tcPr>
            <w:tcW w:w="1129" w:type="dxa"/>
            <w:shd w:val="clear" w:color="auto" w:fill="D9D9D9"/>
          </w:tcPr>
          <w:p w14:paraId="0ADBEF91"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Rad</w:t>
            </w:r>
          </w:p>
        </w:tc>
        <w:tc>
          <w:tcPr>
            <w:tcW w:w="7620" w:type="dxa"/>
            <w:shd w:val="clear" w:color="auto" w:fill="D9D9D9"/>
          </w:tcPr>
          <w:p w14:paraId="3282529C"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Rättsliga hänvisningar och instruktioner</w:t>
            </w:r>
          </w:p>
        </w:tc>
      </w:tr>
      <w:tr w:rsidR="00223EA9" w:rsidRPr="00FD63A8" w14:paraId="62A0F90A" w14:textId="77777777">
        <w:tc>
          <w:tcPr>
            <w:tcW w:w="1129" w:type="dxa"/>
          </w:tcPr>
          <w:p w14:paraId="6562E004"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0010</w:t>
            </w:r>
          </w:p>
        </w:tc>
        <w:tc>
          <w:tcPr>
            <w:tcW w:w="7620" w:type="dxa"/>
          </w:tcPr>
          <w:p w14:paraId="1D38F89C"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KAPITALBAS</w:t>
            </w:r>
          </w:p>
          <w:p w14:paraId="2DA63584"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9.1 i förordning (EU) 2019/2033.</w:t>
            </w:r>
          </w:p>
          <w:p w14:paraId="5C5FCF4F"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Style w:val="FormatvorlageInstructionsTabelleText"/>
                <w:rFonts w:ascii="Times New Roman" w:hAnsi="Times New Roman"/>
                <w:sz w:val="22"/>
              </w:rPr>
              <w:t xml:space="preserve">Ett värdepappersföretags kapitalbas ska utgöras av summan av dess primärkapital och </w:t>
            </w:r>
            <w:r w:rsidRPr="00FD63A8">
              <w:rPr>
                <w:rStyle w:val="FormatvorlageInstructionsTabelleText"/>
                <w:rFonts w:ascii="Times New Roman" w:hAnsi="Times New Roman"/>
                <w:sz w:val="22"/>
              </w:rPr>
              <w:t>supplementärkapital.</w:t>
            </w:r>
          </w:p>
        </w:tc>
      </w:tr>
      <w:tr w:rsidR="00223EA9" w:rsidRPr="00FD63A8" w14:paraId="75CC0B43" w14:textId="77777777">
        <w:tc>
          <w:tcPr>
            <w:tcW w:w="1129" w:type="dxa"/>
          </w:tcPr>
          <w:p w14:paraId="547EF1B0"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0020</w:t>
            </w:r>
          </w:p>
        </w:tc>
        <w:tc>
          <w:tcPr>
            <w:tcW w:w="7620" w:type="dxa"/>
          </w:tcPr>
          <w:p w14:paraId="250ACCD9"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PRIMÄRKAPITAL</w:t>
            </w:r>
          </w:p>
          <w:p w14:paraId="2A61677E"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Style w:val="FormatvorlageInstructionsTabelleText"/>
                <w:rFonts w:ascii="Times New Roman" w:hAnsi="Times New Roman"/>
                <w:sz w:val="22"/>
              </w:rPr>
              <w:t>Primärkapital är summan av kärnprimärkapital och övrigt primärkapital för kapitaltäckningsändamål.</w:t>
            </w:r>
          </w:p>
        </w:tc>
      </w:tr>
      <w:tr w:rsidR="00223EA9" w:rsidRPr="00FD63A8" w14:paraId="3CEBEBB4" w14:textId="77777777">
        <w:tc>
          <w:tcPr>
            <w:tcW w:w="1129" w:type="dxa"/>
          </w:tcPr>
          <w:p w14:paraId="2FD8F5EA"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0030</w:t>
            </w:r>
          </w:p>
        </w:tc>
        <w:tc>
          <w:tcPr>
            <w:tcW w:w="7620" w:type="dxa"/>
          </w:tcPr>
          <w:p w14:paraId="315ECD21"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Style w:val="InstructionsTabelleberschrift"/>
                <w:rFonts w:ascii="Times New Roman" w:hAnsi="Times New Roman"/>
                <w:sz w:val="22"/>
              </w:rPr>
              <w:t>KÄRNPRIMÄRKAPITAL</w:t>
            </w:r>
          </w:p>
          <w:p w14:paraId="1CF02A88"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9.1 i förordning (EU) 2019/2033.</w:t>
            </w:r>
          </w:p>
          <w:p w14:paraId="449C5815" w14:textId="77777777" w:rsidR="00223EA9" w:rsidRPr="00FD63A8" w:rsidRDefault="00FD63A8">
            <w:pPr>
              <w:spacing w:after="120" w:line="240" w:lineRule="auto"/>
              <w:jc w:val="both"/>
              <w:rPr>
                <w:rFonts w:ascii="Times New Roman" w:eastAsia="Times New Roman" w:hAnsi="Times New Roman" w:cs="Times New Roman"/>
                <w:bCs/>
              </w:rPr>
            </w:pPr>
            <w:r w:rsidRPr="00FD63A8">
              <w:rPr>
                <w:rStyle w:val="FormatvorlageInstructionsTabelleText"/>
                <w:rFonts w:ascii="Times New Roman" w:hAnsi="Times New Roman"/>
                <w:sz w:val="22"/>
              </w:rPr>
              <w:t>Artikel 50 i förordning (EU) nr 575/2013</w:t>
            </w:r>
          </w:p>
        </w:tc>
      </w:tr>
      <w:tr w:rsidR="00223EA9" w:rsidRPr="00FD63A8" w14:paraId="7D965909" w14:textId="77777777">
        <w:tc>
          <w:tcPr>
            <w:tcW w:w="1129" w:type="dxa"/>
          </w:tcPr>
          <w:p w14:paraId="41BE3C92"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0040</w:t>
            </w:r>
          </w:p>
        </w:tc>
        <w:tc>
          <w:tcPr>
            <w:tcW w:w="7620" w:type="dxa"/>
          </w:tcPr>
          <w:p w14:paraId="3A268142"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Fullt betalda kapitalinstrument</w:t>
            </w:r>
          </w:p>
          <w:p w14:paraId="7239A11B"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9.1 i i förordning (EU) 2019/2033.</w:t>
            </w:r>
          </w:p>
          <w:p w14:paraId="27E68ABC" w14:textId="77777777" w:rsidR="00223EA9" w:rsidRPr="00FD63A8" w:rsidRDefault="00FD63A8">
            <w:pPr>
              <w:pStyle w:val="InstructionsText"/>
              <w:rPr>
                <w:rStyle w:val="FormatvorlageInstructionsTabelleText"/>
                <w:rFonts w:ascii="Times New Roman" w:hAnsi="Times New Roman"/>
                <w:sz w:val="22"/>
                <w:szCs w:val="22"/>
              </w:rPr>
            </w:pPr>
            <w:r w:rsidRPr="00FD63A8">
              <w:rPr>
                <w:rStyle w:val="FormatvorlageInstructionsTabelleText"/>
                <w:rFonts w:ascii="Times New Roman" w:hAnsi="Times New Roman"/>
                <w:sz w:val="22"/>
              </w:rPr>
              <w:t>Artikel 26.1 a och artiklarna 27–31 i förordning (EU) nr 575/2013.</w:t>
            </w:r>
          </w:p>
          <w:p w14:paraId="526526F0" w14:textId="77777777" w:rsidR="00223EA9" w:rsidRPr="00FD63A8" w:rsidRDefault="00FD63A8">
            <w:pPr>
              <w:pStyle w:val="InstructionsText"/>
              <w:rPr>
                <w:rStyle w:val="FormatvorlageInstructionsTabelleText"/>
                <w:rFonts w:ascii="Times New Roman" w:hAnsi="Times New Roman"/>
                <w:sz w:val="22"/>
                <w:szCs w:val="22"/>
              </w:rPr>
            </w:pPr>
            <w:r w:rsidRPr="00FD63A8">
              <w:rPr>
                <w:rStyle w:val="FormatvorlageInstructionsTabelleText"/>
                <w:rFonts w:ascii="Times New Roman" w:hAnsi="Times New Roman"/>
                <w:sz w:val="22"/>
              </w:rPr>
              <w:t>Kapitalinstrument i ömsesidiga bolag, kooperativa sammanslutningar eller jämförbara institut (artiklarna 27 och 29</w:t>
            </w:r>
            <w:r w:rsidRPr="00FD63A8">
              <w:rPr>
                <w:rStyle w:val="FormatvorlageInstructionsTabelleText"/>
                <w:rFonts w:ascii="Times New Roman" w:hAnsi="Times New Roman"/>
                <w:sz w:val="22"/>
              </w:rPr>
              <w:t xml:space="preserve"> i förordning (EU) nr 575/2013) ska inkluderas.</w:t>
            </w:r>
          </w:p>
          <w:p w14:paraId="0D939A76" w14:textId="77777777" w:rsidR="00223EA9" w:rsidRPr="00FD63A8" w:rsidRDefault="00FD63A8">
            <w:pPr>
              <w:pStyle w:val="InstructionsText"/>
              <w:rPr>
                <w:rStyle w:val="FormatvorlageInstructionsTabelleText"/>
                <w:rFonts w:ascii="Times New Roman" w:hAnsi="Times New Roman"/>
                <w:sz w:val="22"/>
                <w:szCs w:val="22"/>
              </w:rPr>
            </w:pPr>
            <w:r w:rsidRPr="00FD63A8">
              <w:rPr>
                <w:rStyle w:val="FormatvorlageInstructionsTabelleText"/>
                <w:rFonts w:ascii="Times New Roman" w:hAnsi="Times New Roman"/>
                <w:sz w:val="22"/>
              </w:rPr>
              <w:t>Den överkursfond som hör ihop med instrumentet ska inte inkluderas.</w:t>
            </w:r>
          </w:p>
          <w:p w14:paraId="7299491A" w14:textId="77777777" w:rsidR="00223EA9" w:rsidRPr="00FD63A8" w:rsidRDefault="00FD63A8">
            <w:pPr>
              <w:pStyle w:val="InstructionsText"/>
              <w:rPr>
                <w:sz w:val="22"/>
                <w:szCs w:val="22"/>
              </w:rPr>
            </w:pPr>
            <w:r w:rsidRPr="00FD63A8">
              <w:rPr>
                <w:rStyle w:val="FormatvorlageInstructionsTabelleText"/>
                <w:rFonts w:ascii="Times New Roman" w:hAnsi="Times New Roman"/>
                <w:sz w:val="22"/>
              </w:rPr>
              <w:t xml:space="preserve">Kapitalinstrument som tecknats av offentliga myndigheter i nödsituationer ska inkluderas om samtliga villkor i artikel 31 i förordning (EU) </w:t>
            </w:r>
            <w:r w:rsidRPr="00FD63A8">
              <w:rPr>
                <w:rStyle w:val="FormatvorlageInstructionsTabelleText"/>
                <w:rFonts w:ascii="Times New Roman" w:hAnsi="Times New Roman"/>
                <w:sz w:val="22"/>
              </w:rPr>
              <w:t>nr 575/2013 är uppfyllda.</w:t>
            </w:r>
          </w:p>
        </w:tc>
      </w:tr>
      <w:tr w:rsidR="00223EA9" w:rsidRPr="00FD63A8" w14:paraId="4A7916E4" w14:textId="77777777">
        <w:tc>
          <w:tcPr>
            <w:tcW w:w="1129" w:type="dxa"/>
          </w:tcPr>
          <w:p w14:paraId="0BE2B25F"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0050</w:t>
            </w:r>
          </w:p>
        </w:tc>
        <w:tc>
          <w:tcPr>
            <w:tcW w:w="7620" w:type="dxa"/>
          </w:tcPr>
          <w:p w14:paraId="12E1A2FB"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Överkursfond</w:t>
            </w:r>
          </w:p>
          <w:p w14:paraId="7536410F"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9.1 i i förordning (EU) 2019/2033.</w:t>
            </w:r>
          </w:p>
          <w:p w14:paraId="3D6AE066" w14:textId="77777777" w:rsidR="00223EA9" w:rsidRPr="00FD63A8" w:rsidRDefault="00FD63A8">
            <w:pPr>
              <w:spacing w:after="120" w:line="240" w:lineRule="auto"/>
              <w:jc w:val="both"/>
              <w:rPr>
                <w:rStyle w:val="FormatvorlageInstructionsTabelleText"/>
                <w:rFonts w:ascii="Times New Roman" w:hAnsi="Times New Roman"/>
                <w:sz w:val="22"/>
              </w:rPr>
            </w:pPr>
            <w:r w:rsidRPr="00FD63A8">
              <w:rPr>
                <w:rStyle w:val="FormatvorlageInstructionsTabelleText"/>
                <w:rFonts w:ascii="Times New Roman" w:hAnsi="Times New Roman"/>
                <w:sz w:val="22"/>
              </w:rPr>
              <w:t>Artikel 26.1 b i förordning (EU) nr 575/2013.</w:t>
            </w:r>
          </w:p>
          <w:p w14:paraId="482F7DF3" w14:textId="77777777" w:rsidR="00223EA9" w:rsidRPr="00FD63A8" w:rsidRDefault="00FD63A8">
            <w:pPr>
              <w:pStyle w:val="InstructionsText"/>
              <w:rPr>
                <w:rStyle w:val="FormatvorlageInstructionsTabelleText"/>
                <w:rFonts w:ascii="Times New Roman" w:hAnsi="Times New Roman"/>
                <w:sz w:val="22"/>
                <w:szCs w:val="22"/>
              </w:rPr>
            </w:pPr>
            <w:r w:rsidRPr="00FD63A8">
              <w:rPr>
                <w:rStyle w:val="FormatvorlageInstructionsTabelleText"/>
                <w:rFonts w:ascii="Times New Roman" w:hAnsi="Times New Roman"/>
                <w:sz w:val="22"/>
              </w:rPr>
              <w:t>Överkursfond har den innebörd som anges i tillämplig redovisningsstandard.</w:t>
            </w:r>
          </w:p>
          <w:p w14:paraId="60FFA566"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Style w:val="FormatvorlageInstructionsTabelleText"/>
                <w:rFonts w:ascii="Times New Roman" w:hAnsi="Times New Roman"/>
                <w:sz w:val="22"/>
              </w:rPr>
              <w:t>I denna post ska den del av beloppet rapportera</w:t>
            </w:r>
            <w:r w:rsidRPr="00FD63A8">
              <w:rPr>
                <w:rStyle w:val="FormatvorlageInstructionsTabelleText"/>
                <w:rFonts w:ascii="Times New Roman" w:hAnsi="Times New Roman"/>
                <w:sz w:val="22"/>
              </w:rPr>
              <w:t xml:space="preserve">s som rör </w:t>
            </w:r>
            <w:r w:rsidRPr="00FD63A8">
              <w:rPr>
                <w:rStyle w:val="FormatvorlageInstructionsTabelleText"/>
                <w:rFonts w:ascii="Times New Roman" w:hAnsi="Times New Roman"/>
                <w:sz w:val="22"/>
              </w:rPr>
              <w:t>”</w:t>
            </w:r>
            <w:r w:rsidRPr="00FD63A8">
              <w:rPr>
                <w:rStyle w:val="FormatvorlageInstructionsTabelleText"/>
                <w:rFonts w:ascii="Times New Roman" w:hAnsi="Times New Roman"/>
                <w:sz w:val="22"/>
              </w:rPr>
              <w:t>fullt betalda kapitalinstrumen</w:t>
            </w:r>
            <w:r w:rsidRPr="00FD63A8">
              <w:rPr>
                <w:rStyle w:val="FormatvorlageInstructionsTabelleText"/>
                <w:rFonts w:ascii="Times New Roman" w:hAnsi="Times New Roman"/>
                <w:sz w:val="22"/>
              </w:rPr>
              <w:t>t”</w:t>
            </w:r>
            <w:r w:rsidRPr="00FD63A8">
              <w:rPr>
                <w:rStyle w:val="FormatvorlageInstructionsTabelleText"/>
                <w:rFonts w:ascii="Times New Roman" w:hAnsi="Times New Roman"/>
                <w:sz w:val="22"/>
              </w:rPr>
              <w:t>.</w:t>
            </w:r>
          </w:p>
        </w:tc>
      </w:tr>
      <w:tr w:rsidR="00223EA9" w:rsidRPr="00FD63A8" w14:paraId="2CF57F1E" w14:textId="77777777">
        <w:tc>
          <w:tcPr>
            <w:tcW w:w="1129" w:type="dxa"/>
          </w:tcPr>
          <w:p w14:paraId="227004B1"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0060</w:t>
            </w:r>
          </w:p>
        </w:tc>
        <w:tc>
          <w:tcPr>
            <w:tcW w:w="7620" w:type="dxa"/>
          </w:tcPr>
          <w:p w14:paraId="3E70C84D"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Balanserade vinstmedel</w:t>
            </w:r>
          </w:p>
          <w:p w14:paraId="07C10F30"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 xml:space="preserve">Artikel 9.1 i </w:t>
            </w:r>
            <w:r w:rsidRPr="00FD63A8">
              <w:rPr>
                <w:rStyle w:val="FormatvorlageInstructionsTabelleText"/>
                <w:rFonts w:ascii="Times New Roman" w:hAnsi="Times New Roman"/>
                <w:sz w:val="22"/>
              </w:rPr>
              <w:t>i</w:t>
            </w:r>
            <w:r w:rsidRPr="00FD63A8">
              <w:rPr>
                <w:rFonts w:ascii="Times New Roman" w:hAnsi="Times New Roman"/>
              </w:rPr>
              <w:t xml:space="preserve"> förordning (EU) 2019/2033.</w:t>
            </w:r>
          </w:p>
          <w:p w14:paraId="1470566B" w14:textId="77777777" w:rsidR="00223EA9" w:rsidRPr="00FD63A8" w:rsidRDefault="00FD63A8">
            <w:pPr>
              <w:spacing w:after="120" w:line="240" w:lineRule="auto"/>
              <w:jc w:val="both"/>
              <w:rPr>
                <w:rStyle w:val="FormatvorlageInstructionsTabelleText"/>
                <w:rFonts w:ascii="Times New Roman" w:hAnsi="Times New Roman"/>
                <w:sz w:val="22"/>
              </w:rPr>
            </w:pPr>
            <w:r w:rsidRPr="00FD63A8">
              <w:rPr>
                <w:rStyle w:val="FormatvorlageInstructionsTabelleText"/>
                <w:rFonts w:ascii="Times New Roman" w:hAnsi="Times New Roman"/>
                <w:sz w:val="22"/>
              </w:rPr>
              <w:t>Artikel 26.1 c i förordning (EU) nr 575/2013.</w:t>
            </w:r>
          </w:p>
          <w:p w14:paraId="34B00044" w14:textId="77777777" w:rsidR="00223EA9" w:rsidRPr="00FD63A8" w:rsidRDefault="00FD63A8">
            <w:pPr>
              <w:spacing w:after="120" w:line="240" w:lineRule="auto"/>
              <w:jc w:val="both"/>
              <w:rPr>
                <w:rStyle w:val="FormatvorlageInstructionsTabelleText"/>
                <w:rFonts w:ascii="Times New Roman" w:hAnsi="Times New Roman"/>
                <w:sz w:val="22"/>
              </w:rPr>
            </w:pPr>
            <w:r w:rsidRPr="00FD63A8">
              <w:rPr>
                <w:rStyle w:val="FormatvorlageInstructionsTabelleText"/>
                <w:rFonts w:ascii="Times New Roman" w:hAnsi="Times New Roman"/>
                <w:sz w:val="22"/>
              </w:rPr>
              <w:t xml:space="preserve">I balanserade vinstmedel ingår balanserade vinstmedel från det föregående året och </w:t>
            </w:r>
            <w:r w:rsidRPr="00FD63A8">
              <w:rPr>
                <w:rStyle w:val="FormatvorlageInstructionsTabelleText"/>
                <w:rFonts w:ascii="Times New Roman" w:hAnsi="Times New Roman"/>
                <w:sz w:val="22"/>
              </w:rPr>
              <w:t>delårs- eller årsöverskott.</w:t>
            </w:r>
          </w:p>
          <w:p w14:paraId="5F070FC9"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rPr>
              <w:t>Summan av raderna 0070 och 0080 ska anges.</w:t>
            </w:r>
          </w:p>
        </w:tc>
      </w:tr>
      <w:tr w:rsidR="00223EA9" w:rsidRPr="00FD63A8" w14:paraId="11F78AA3" w14:textId="77777777">
        <w:tc>
          <w:tcPr>
            <w:tcW w:w="1129" w:type="dxa"/>
          </w:tcPr>
          <w:p w14:paraId="611A675B"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0070</w:t>
            </w:r>
          </w:p>
        </w:tc>
        <w:tc>
          <w:tcPr>
            <w:tcW w:w="7620" w:type="dxa"/>
          </w:tcPr>
          <w:p w14:paraId="4CFBF682"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Balanserade vinstmedel från föregående år</w:t>
            </w:r>
          </w:p>
          <w:p w14:paraId="792CBB01"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4.1.123 och artikel 26.1 c i förordning (EU) nr 575/2013.</w:t>
            </w:r>
          </w:p>
          <w:p w14:paraId="440F1724"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rPr>
              <w:t xml:space="preserve">I artikel 4.1.123 i förordning (EU) nr 575/2013 definieras balanserade vinstmedel som </w:t>
            </w:r>
            <w:r w:rsidRPr="00FD63A8">
              <w:rPr>
                <w:rFonts w:ascii="Times New Roman" w:hAnsi="Times New Roman"/>
              </w:rPr>
              <w:t>”</w:t>
            </w:r>
            <w:r w:rsidRPr="00FD63A8">
              <w:rPr>
                <w:rFonts w:ascii="Times New Roman" w:hAnsi="Times New Roman"/>
              </w:rPr>
              <w:t>balanserad vinst och förlust från föregående räkenskapsår i enlighet med tillämpliga redovisningsrama</w:t>
            </w:r>
            <w:r w:rsidRPr="00FD63A8">
              <w:rPr>
                <w:rFonts w:ascii="Times New Roman" w:hAnsi="Times New Roman"/>
              </w:rPr>
              <w:t>r”</w:t>
            </w:r>
            <w:r w:rsidRPr="00FD63A8">
              <w:rPr>
                <w:rFonts w:ascii="Times New Roman" w:hAnsi="Times New Roman"/>
              </w:rPr>
              <w:t>.</w:t>
            </w:r>
          </w:p>
        </w:tc>
      </w:tr>
      <w:tr w:rsidR="00223EA9" w:rsidRPr="00FD63A8" w14:paraId="6BDAB6A6" w14:textId="77777777">
        <w:tc>
          <w:tcPr>
            <w:tcW w:w="1129" w:type="dxa"/>
          </w:tcPr>
          <w:p w14:paraId="608E386C"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0080</w:t>
            </w:r>
          </w:p>
        </w:tc>
        <w:tc>
          <w:tcPr>
            <w:tcW w:w="7620" w:type="dxa"/>
          </w:tcPr>
          <w:p w14:paraId="4B1783B1"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Överskott</w:t>
            </w:r>
          </w:p>
          <w:p w14:paraId="6023EBD3" w14:textId="77777777" w:rsidR="00223EA9" w:rsidRPr="00FD63A8" w:rsidRDefault="00FD63A8">
            <w:pPr>
              <w:spacing w:after="120" w:line="240" w:lineRule="auto"/>
              <w:jc w:val="both"/>
              <w:rPr>
                <w:rFonts w:ascii="Times New Roman" w:eastAsia="Times New Roman" w:hAnsi="Times New Roman" w:cs="Times New Roman"/>
              </w:rPr>
            </w:pPr>
            <w:r w:rsidRPr="00FD63A8">
              <w:rPr>
                <w:rFonts w:ascii="Times New Roman" w:hAnsi="Times New Roman"/>
              </w:rPr>
              <w:lastRenderedPageBreak/>
              <w:t>Artikel 4.1.121, artikel 26.2 och artikel 36.1 a</w:t>
            </w:r>
            <w:r w:rsidRPr="00FD63A8">
              <w:rPr>
                <w:rFonts w:ascii="Times New Roman" w:hAnsi="Times New Roman"/>
              </w:rPr>
              <w:t xml:space="preserve"> i förordning (EU) nr 575/2013.</w:t>
            </w:r>
          </w:p>
          <w:p w14:paraId="5D1AE547"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rPr>
              <w:t xml:space="preserve">Enligt artikel 26.2 i förordning (EU) nr 575/2013 får delårs- eller årsöverskott räknas in i balanserade vinstmedel, efter förhandstillstånd från behörig myndighet och om vissa villkor är uppfyllda. </w:t>
            </w:r>
          </w:p>
        </w:tc>
      </w:tr>
      <w:tr w:rsidR="00223EA9" w:rsidRPr="00FD63A8" w14:paraId="6934E02C" w14:textId="77777777">
        <w:tc>
          <w:tcPr>
            <w:tcW w:w="1129" w:type="dxa"/>
          </w:tcPr>
          <w:p w14:paraId="409DE0B0"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lastRenderedPageBreak/>
              <w:t>0090</w:t>
            </w:r>
          </w:p>
        </w:tc>
        <w:tc>
          <w:tcPr>
            <w:tcW w:w="7620" w:type="dxa"/>
          </w:tcPr>
          <w:p w14:paraId="03C18673"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Ackumulerat övrigt</w:t>
            </w:r>
            <w:r w:rsidRPr="00FD63A8">
              <w:rPr>
                <w:rFonts w:ascii="Times New Roman" w:hAnsi="Times New Roman"/>
                <w:b/>
                <w:u w:val="single"/>
              </w:rPr>
              <w:t xml:space="preserve"> totalresultat</w:t>
            </w:r>
          </w:p>
          <w:p w14:paraId="324F9A55"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9.1 i i förordning (EU) 2019/2033.</w:t>
            </w:r>
          </w:p>
          <w:p w14:paraId="32E07D54" w14:textId="77777777" w:rsidR="00223EA9" w:rsidRPr="00FD63A8" w:rsidRDefault="00FD63A8">
            <w:pPr>
              <w:spacing w:after="120" w:line="240" w:lineRule="auto"/>
              <w:jc w:val="both"/>
              <w:rPr>
                <w:rFonts w:ascii="Times New Roman" w:hAnsi="Times New Roman" w:cs="Times New Roman"/>
                <w:bCs/>
              </w:rPr>
            </w:pPr>
            <w:r w:rsidRPr="00FD63A8">
              <w:rPr>
                <w:rStyle w:val="FormatvorlageInstructionsTabelleText"/>
                <w:rFonts w:ascii="Times New Roman" w:hAnsi="Times New Roman"/>
                <w:sz w:val="22"/>
              </w:rPr>
              <w:t>Artikel 26.1 d i förordning (EU) nr 575/2013.</w:t>
            </w:r>
          </w:p>
        </w:tc>
      </w:tr>
      <w:tr w:rsidR="00223EA9" w:rsidRPr="00FD63A8" w14:paraId="133D8031" w14:textId="77777777">
        <w:tc>
          <w:tcPr>
            <w:tcW w:w="1129" w:type="dxa"/>
          </w:tcPr>
          <w:p w14:paraId="2C88DDF7"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0100</w:t>
            </w:r>
          </w:p>
        </w:tc>
        <w:tc>
          <w:tcPr>
            <w:tcW w:w="7620" w:type="dxa"/>
          </w:tcPr>
          <w:p w14:paraId="19B80860"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Övriga reserver</w:t>
            </w:r>
          </w:p>
          <w:p w14:paraId="442614D4"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9.1 i i förordning (EU) 2019/2033.</w:t>
            </w:r>
          </w:p>
          <w:p w14:paraId="03F9ED93" w14:textId="77777777" w:rsidR="00223EA9" w:rsidRPr="00FD63A8" w:rsidRDefault="00FD63A8">
            <w:pPr>
              <w:spacing w:after="120" w:line="240" w:lineRule="auto"/>
              <w:jc w:val="both"/>
              <w:rPr>
                <w:rStyle w:val="FormatvorlageInstructionsTabelleText"/>
                <w:rFonts w:ascii="Times New Roman" w:hAnsi="Times New Roman"/>
                <w:sz w:val="22"/>
              </w:rPr>
            </w:pPr>
            <w:r w:rsidRPr="00FD63A8">
              <w:rPr>
                <w:rStyle w:val="FormatvorlageInstructionsTabelleText"/>
                <w:rFonts w:ascii="Times New Roman" w:hAnsi="Times New Roman"/>
                <w:sz w:val="22"/>
              </w:rPr>
              <w:t>Artikel 4.1.117 och artikel 26.1 e i förordning (EU) nr 575/2013.</w:t>
            </w:r>
          </w:p>
          <w:p w14:paraId="261BCABD"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Style w:val="FormatvorlageInstructionsTabelleText"/>
                <w:rFonts w:ascii="Times New Roman" w:hAnsi="Times New Roman"/>
                <w:sz w:val="22"/>
              </w:rPr>
              <w:t xml:space="preserve">Beloppet ska </w:t>
            </w:r>
            <w:r w:rsidRPr="00FD63A8">
              <w:rPr>
                <w:rStyle w:val="FormatvorlageInstructionsTabelleText"/>
                <w:rFonts w:ascii="Times New Roman" w:hAnsi="Times New Roman"/>
                <w:sz w:val="22"/>
              </w:rPr>
              <w:t>rapporteras efter avdrag för de eventuella skattepålagor som kan förutses när beräkningen görs.</w:t>
            </w:r>
          </w:p>
        </w:tc>
      </w:tr>
      <w:tr w:rsidR="00223EA9" w:rsidRPr="00FD63A8" w14:paraId="38B5D63F" w14:textId="77777777">
        <w:tc>
          <w:tcPr>
            <w:tcW w:w="1129" w:type="dxa"/>
          </w:tcPr>
          <w:p w14:paraId="396B8EE0"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0120</w:t>
            </w:r>
          </w:p>
        </w:tc>
        <w:tc>
          <w:tcPr>
            <w:tcW w:w="7620" w:type="dxa"/>
          </w:tcPr>
          <w:p w14:paraId="6E54EE41"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Justeringar av kärnprimärkapital på grund av försiktighetsmarginaler</w:t>
            </w:r>
          </w:p>
          <w:p w14:paraId="4B452D5F"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9.1 i i förordning (EU) 2019/2033.</w:t>
            </w:r>
          </w:p>
          <w:p w14:paraId="37EA75CC"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Style w:val="FormatvorlageInstructionsTabelleText"/>
                <w:rFonts w:ascii="Times New Roman" w:hAnsi="Times New Roman"/>
                <w:sz w:val="22"/>
              </w:rPr>
              <w:t>Artiklarna 32–35 i förordning (EU) nr 575/</w:t>
            </w:r>
            <w:r w:rsidRPr="00FD63A8">
              <w:rPr>
                <w:rStyle w:val="FormatvorlageInstructionsTabelleText"/>
                <w:rFonts w:ascii="Times New Roman" w:hAnsi="Times New Roman"/>
                <w:sz w:val="22"/>
              </w:rPr>
              <w:t>2013.</w:t>
            </w:r>
          </w:p>
        </w:tc>
      </w:tr>
      <w:tr w:rsidR="00223EA9" w:rsidRPr="00FD63A8" w14:paraId="26B19D48" w14:textId="77777777">
        <w:tc>
          <w:tcPr>
            <w:tcW w:w="1129" w:type="dxa"/>
          </w:tcPr>
          <w:p w14:paraId="32E8FF23"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0130</w:t>
            </w:r>
          </w:p>
        </w:tc>
        <w:tc>
          <w:tcPr>
            <w:tcW w:w="7620" w:type="dxa"/>
          </w:tcPr>
          <w:p w14:paraId="2F90A9CC"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Övriga fonder</w:t>
            </w:r>
          </w:p>
          <w:p w14:paraId="5BCEC6E8"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rPr>
              <w:t>Artikel 9.4 i förordning (EU) 2019/2033.</w:t>
            </w:r>
          </w:p>
        </w:tc>
      </w:tr>
      <w:tr w:rsidR="00223EA9" w:rsidRPr="00FD63A8" w14:paraId="722D4B47" w14:textId="77777777">
        <w:tc>
          <w:tcPr>
            <w:tcW w:w="1129" w:type="dxa"/>
          </w:tcPr>
          <w:p w14:paraId="06EB9552"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0145</w:t>
            </w:r>
          </w:p>
        </w:tc>
        <w:tc>
          <w:tcPr>
            <w:tcW w:w="7620" w:type="dxa"/>
          </w:tcPr>
          <w:p w14:paraId="16CC2D2E"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 TOTALA AVDRAG FRÅN KÄRNPRIMÄRKAPITAL</w:t>
            </w:r>
          </w:p>
          <w:p w14:paraId="31EDEEA4"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8.2 a i förordning (EU) 2019/2033, artikel 36.1 i förordning (EU) nr 575/2013, med undantag av led i i den punkten.</w:t>
            </w:r>
          </w:p>
          <w:p w14:paraId="0FE8D482"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 xml:space="preserve">Summan av rad </w:t>
            </w:r>
            <w:r w:rsidRPr="00FD63A8">
              <w:rPr>
                <w:rFonts w:ascii="Times New Roman" w:hAnsi="Times New Roman"/>
              </w:rPr>
              <w:t>0150 och raderna 0190–0280 ska anges.</w:t>
            </w:r>
          </w:p>
        </w:tc>
      </w:tr>
      <w:tr w:rsidR="00223EA9" w:rsidRPr="00FD63A8" w14:paraId="62D1F84B" w14:textId="77777777">
        <w:tc>
          <w:tcPr>
            <w:tcW w:w="1129" w:type="dxa"/>
          </w:tcPr>
          <w:p w14:paraId="4EADCAA5"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0150</w:t>
            </w:r>
          </w:p>
        </w:tc>
        <w:tc>
          <w:tcPr>
            <w:tcW w:w="7620" w:type="dxa"/>
            <w:shd w:val="clear" w:color="auto" w:fill="auto"/>
          </w:tcPr>
          <w:p w14:paraId="7C43EC7C"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 Egna kärnprimärkapitalinstrument</w:t>
            </w:r>
          </w:p>
          <w:p w14:paraId="54D45B5D" w14:textId="77777777" w:rsidR="00223EA9" w:rsidRPr="00FD63A8" w:rsidRDefault="00FD63A8">
            <w:pPr>
              <w:rPr>
                <w:rFonts w:cs="Times New Roman"/>
              </w:rPr>
            </w:pPr>
            <w:r w:rsidRPr="00FD63A8">
              <w:rPr>
                <w:rFonts w:ascii="Times New Roman" w:hAnsi="Times New Roman"/>
              </w:rPr>
              <w:t>Artikel 9.1 i i förordning (EU) 2019/2033.</w:t>
            </w:r>
          </w:p>
          <w:p w14:paraId="71C1E49C" w14:textId="77777777" w:rsidR="00223EA9" w:rsidRPr="00FD63A8" w:rsidRDefault="00FD63A8">
            <w:pPr>
              <w:rPr>
                <w:rStyle w:val="FormatvorlageInstructionsTabelleText"/>
                <w:rFonts w:ascii="Times New Roman" w:hAnsi="Times New Roman"/>
                <w:bCs w:val="0"/>
                <w:sz w:val="22"/>
              </w:rPr>
            </w:pPr>
            <w:r w:rsidRPr="00FD63A8">
              <w:rPr>
                <w:rStyle w:val="FormatvorlageInstructionsTabelleText"/>
                <w:rFonts w:ascii="Times New Roman" w:hAnsi="Times New Roman"/>
                <w:sz w:val="22"/>
              </w:rPr>
              <w:t>Artikel 36.1 f och artikel 42 i förordning (EU) nr 575/2013.</w:t>
            </w:r>
          </w:p>
          <w:p w14:paraId="366C2F1B" w14:textId="77777777" w:rsidR="00223EA9" w:rsidRPr="00FD63A8" w:rsidRDefault="00FD63A8">
            <w:pPr>
              <w:pStyle w:val="InstructionsText"/>
              <w:rPr>
                <w:rStyle w:val="FormatvorlageInstructionsTabelleText"/>
                <w:rFonts w:ascii="Times New Roman" w:hAnsi="Times New Roman"/>
                <w:sz w:val="22"/>
                <w:szCs w:val="22"/>
              </w:rPr>
            </w:pPr>
            <w:r w:rsidRPr="00FD63A8">
              <w:rPr>
                <w:rStyle w:val="FormatvorlageInstructionsTabelleText"/>
                <w:rFonts w:ascii="Times New Roman" w:hAnsi="Times New Roman"/>
                <w:sz w:val="22"/>
              </w:rPr>
              <w:t xml:space="preserve">Det egna kärnprimärkapital som det rapporterande institutet eller </w:t>
            </w:r>
            <w:r w:rsidRPr="00FD63A8">
              <w:rPr>
                <w:rStyle w:val="FormatvorlageInstructionsTabelleText"/>
                <w:rFonts w:ascii="Times New Roman" w:hAnsi="Times New Roman"/>
                <w:sz w:val="22"/>
              </w:rPr>
              <w:t>den rapporterande gruppen innehar på rapporteringsdatum. Omfattas av undantagen i artikel 42 i förordning (EU) nr 575/2013.</w:t>
            </w:r>
          </w:p>
          <w:p w14:paraId="6F57F127" w14:textId="77777777" w:rsidR="00223EA9" w:rsidRPr="00FD63A8" w:rsidRDefault="00FD63A8">
            <w:pPr>
              <w:pStyle w:val="InstructionsText"/>
              <w:rPr>
                <w:rStyle w:val="FormatvorlageInstructionsTabelleText"/>
                <w:rFonts w:ascii="Times New Roman" w:hAnsi="Times New Roman"/>
                <w:sz w:val="22"/>
                <w:szCs w:val="22"/>
              </w:rPr>
            </w:pPr>
            <w:r w:rsidRPr="00FD63A8">
              <w:rPr>
                <w:rStyle w:val="FormatvorlageInstructionsTabelleText"/>
                <w:rFonts w:ascii="Times New Roman" w:hAnsi="Times New Roman"/>
                <w:sz w:val="22"/>
              </w:rPr>
              <w:t xml:space="preserve">Aktieinnehav som ingår i </w:t>
            </w:r>
            <w:r w:rsidRPr="00FD63A8">
              <w:rPr>
                <w:rStyle w:val="FormatvorlageInstructionsTabelleText"/>
                <w:rFonts w:ascii="Times New Roman" w:hAnsi="Times New Roman"/>
                <w:sz w:val="22"/>
              </w:rPr>
              <w:t>”</w:t>
            </w:r>
            <w:r w:rsidRPr="00FD63A8">
              <w:rPr>
                <w:rStyle w:val="FormatvorlageInstructionsTabelleText"/>
                <w:rFonts w:ascii="Times New Roman" w:hAnsi="Times New Roman"/>
                <w:sz w:val="22"/>
              </w:rPr>
              <w:t>ej godtagbara kapitalinstrumen</w:t>
            </w:r>
            <w:r w:rsidRPr="00FD63A8">
              <w:rPr>
                <w:rStyle w:val="FormatvorlageInstructionsTabelleText"/>
                <w:rFonts w:ascii="Times New Roman" w:hAnsi="Times New Roman"/>
                <w:sz w:val="22"/>
              </w:rPr>
              <w:t>t”</w:t>
            </w:r>
            <w:r w:rsidRPr="00FD63A8">
              <w:rPr>
                <w:rStyle w:val="FormatvorlageInstructionsTabelleText"/>
                <w:rFonts w:ascii="Times New Roman" w:hAnsi="Times New Roman"/>
                <w:sz w:val="22"/>
              </w:rPr>
              <w:t xml:space="preserve"> ska inte anges på denna rad.</w:t>
            </w:r>
          </w:p>
          <w:p w14:paraId="1BCB56E9" w14:textId="77777777" w:rsidR="00223EA9" w:rsidRPr="00FD63A8" w:rsidRDefault="00FD63A8">
            <w:pPr>
              <w:pStyle w:val="InstructionsText"/>
              <w:rPr>
                <w:sz w:val="22"/>
                <w:szCs w:val="22"/>
              </w:rPr>
            </w:pPr>
            <w:r w:rsidRPr="00FD63A8">
              <w:rPr>
                <w:rStyle w:val="FormatvorlageInstructionsTabelleText"/>
                <w:rFonts w:ascii="Times New Roman" w:hAnsi="Times New Roman"/>
                <w:sz w:val="22"/>
              </w:rPr>
              <w:t>Den överkursfond som hör ihop med aktieinneh</w:t>
            </w:r>
            <w:r w:rsidRPr="00FD63A8">
              <w:rPr>
                <w:rStyle w:val="FormatvorlageInstructionsTabelleText"/>
                <w:rFonts w:ascii="Times New Roman" w:hAnsi="Times New Roman"/>
                <w:sz w:val="22"/>
              </w:rPr>
              <w:t>avet ska ingå i det belopp som anges.</w:t>
            </w:r>
          </w:p>
        </w:tc>
      </w:tr>
      <w:tr w:rsidR="00223EA9" w:rsidRPr="00FD63A8" w14:paraId="74D5CFBF" w14:textId="77777777">
        <w:tc>
          <w:tcPr>
            <w:tcW w:w="1129" w:type="dxa"/>
          </w:tcPr>
          <w:p w14:paraId="2C2F324F"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9A9CB1B"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 Förluster för innevarande räkenskapsår</w:t>
            </w:r>
          </w:p>
          <w:p w14:paraId="71E18C71"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rPr>
              <w:t>Artikel 36.1 a i förordning (EU) nr 575/2013.</w:t>
            </w:r>
          </w:p>
        </w:tc>
      </w:tr>
      <w:tr w:rsidR="00223EA9" w:rsidRPr="00FD63A8" w14:paraId="319FB237" w14:textId="77777777">
        <w:tc>
          <w:tcPr>
            <w:tcW w:w="1129" w:type="dxa"/>
          </w:tcPr>
          <w:p w14:paraId="498FC69A"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BC2D14C"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 Goodwill</w:t>
            </w:r>
          </w:p>
          <w:p w14:paraId="6BE411CB"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9.1 i i förordning (EU) 2019/2033.</w:t>
            </w:r>
          </w:p>
          <w:p w14:paraId="278B9A00"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Style w:val="FormatvorlageInstructionsTabelleText"/>
                <w:rFonts w:ascii="Times New Roman" w:hAnsi="Times New Roman"/>
                <w:sz w:val="22"/>
              </w:rPr>
              <w:t xml:space="preserve">Artikel 4.1.113, artikel 36.1 b och artikel 37 i </w:t>
            </w:r>
            <w:r w:rsidRPr="00FD63A8">
              <w:rPr>
                <w:rStyle w:val="FormatvorlageInstructionsTabelleText"/>
                <w:rFonts w:ascii="Times New Roman" w:hAnsi="Times New Roman"/>
                <w:sz w:val="22"/>
              </w:rPr>
              <w:t>förordning (EU) nr 575/2013.</w:t>
            </w:r>
          </w:p>
        </w:tc>
      </w:tr>
      <w:tr w:rsidR="00223EA9" w:rsidRPr="00FD63A8" w14:paraId="2706EB6B" w14:textId="77777777">
        <w:tc>
          <w:tcPr>
            <w:tcW w:w="1129" w:type="dxa"/>
          </w:tcPr>
          <w:p w14:paraId="5684B501"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C20DD14"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 Övriga immateriella tillgångar</w:t>
            </w:r>
          </w:p>
          <w:p w14:paraId="53CE0974"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9.1 i i förordning (EU) 2019/2033.</w:t>
            </w:r>
          </w:p>
          <w:p w14:paraId="224D8208" w14:textId="77777777" w:rsidR="00223EA9" w:rsidRPr="00FD63A8" w:rsidRDefault="00FD63A8">
            <w:pPr>
              <w:pStyle w:val="InstructionsText"/>
              <w:rPr>
                <w:rStyle w:val="FormatvorlageInstructionsTabelleText"/>
                <w:rFonts w:ascii="Times New Roman" w:eastAsiaTheme="minorHAnsi" w:hAnsi="Times New Roman"/>
                <w:bCs/>
                <w:sz w:val="22"/>
                <w:szCs w:val="22"/>
              </w:rPr>
            </w:pPr>
            <w:r w:rsidRPr="00FD63A8">
              <w:rPr>
                <w:rStyle w:val="FormatvorlageInstructionsTabelleText"/>
                <w:rFonts w:ascii="Times New Roman" w:hAnsi="Times New Roman"/>
                <w:sz w:val="22"/>
              </w:rPr>
              <w:t>Artikel 4.1.115, artikel 36.1 b och artikel 37 a i förordning (EU) nr 575/2013.</w:t>
            </w:r>
          </w:p>
          <w:p w14:paraId="12822D0C"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Style w:val="FormatvorlageInstructionsTabelleText"/>
                <w:rFonts w:ascii="Times New Roman" w:hAnsi="Times New Roman"/>
                <w:sz w:val="22"/>
              </w:rPr>
              <w:lastRenderedPageBreak/>
              <w:t>Övriga immateriella tillgångar är immateriella tillgångar enlig</w:t>
            </w:r>
            <w:r w:rsidRPr="00FD63A8">
              <w:rPr>
                <w:rStyle w:val="FormatvorlageInstructionsTabelleText"/>
                <w:rFonts w:ascii="Times New Roman" w:hAnsi="Times New Roman"/>
                <w:sz w:val="22"/>
              </w:rPr>
              <w:t>t tillämplig redovisningsstandard, minus goodwill, även denna enligt tillämplig redovisningsstandard.</w:t>
            </w:r>
          </w:p>
        </w:tc>
      </w:tr>
      <w:tr w:rsidR="00223EA9" w:rsidRPr="00FD63A8" w14:paraId="6074ABEB" w14:textId="77777777">
        <w:tc>
          <w:tcPr>
            <w:tcW w:w="1129" w:type="dxa"/>
          </w:tcPr>
          <w:p w14:paraId="4F823B57"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lastRenderedPageBreak/>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22B5FC8"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 Uppskjutna skattefordringar som är beroende av framtida lönsamhet och som inte uppstår till följd av temporära skillnader minus tillhörande skat</w:t>
            </w:r>
            <w:r w:rsidRPr="00FD63A8">
              <w:rPr>
                <w:rFonts w:ascii="Times New Roman" w:hAnsi="Times New Roman"/>
                <w:b/>
                <w:u w:val="single"/>
              </w:rPr>
              <w:t>teskulder</w:t>
            </w:r>
          </w:p>
          <w:p w14:paraId="65065A10"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9.2 a i förordning (EU) 2019/2033.</w:t>
            </w:r>
          </w:p>
          <w:p w14:paraId="3FBA12EC"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rPr>
              <w:t>Artikel 36.1 c i förordning (EU) nr 575/2013.</w:t>
            </w:r>
          </w:p>
        </w:tc>
      </w:tr>
      <w:tr w:rsidR="00223EA9" w:rsidRPr="00FD63A8" w14:paraId="21D55B12" w14:textId="77777777">
        <w:tc>
          <w:tcPr>
            <w:tcW w:w="1129" w:type="dxa"/>
          </w:tcPr>
          <w:p w14:paraId="76F43B72"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29985E5"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 Kvalificerat innehav utanför den finansiella sektorn som överstiger 15 % av kapitalbasen</w:t>
            </w:r>
          </w:p>
          <w:p w14:paraId="26B250E0"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10.1 a i förordning (EU) 2019/2033.</w:t>
            </w:r>
          </w:p>
        </w:tc>
      </w:tr>
      <w:tr w:rsidR="00223EA9" w:rsidRPr="00FD63A8" w14:paraId="33081E4D" w14:textId="77777777">
        <w:tc>
          <w:tcPr>
            <w:tcW w:w="1129" w:type="dxa"/>
          </w:tcPr>
          <w:p w14:paraId="11139623"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77372F7"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 xml:space="preserve">(-) </w:t>
            </w:r>
            <w:r w:rsidRPr="00FD63A8">
              <w:rPr>
                <w:rFonts w:ascii="Times New Roman" w:hAnsi="Times New Roman"/>
                <w:b/>
                <w:u w:val="single"/>
              </w:rPr>
              <w:t>Totala kvalificerade innehav i andra företag än enheter i den finansiella sektorn som överstiger 60 % av deras kapitalbas</w:t>
            </w:r>
          </w:p>
          <w:p w14:paraId="630E34B0"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rPr>
              <w:t>Artikel 10.1 b i förordning (EU) 2019/2033.</w:t>
            </w:r>
          </w:p>
        </w:tc>
      </w:tr>
      <w:tr w:rsidR="00223EA9" w:rsidRPr="00FD63A8" w14:paraId="29C3E1C3" w14:textId="77777777">
        <w:tc>
          <w:tcPr>
            <w:tcW w:w="1129" w:type="dxa"/>
          </w:tcPr>
          <w:p w14:paraId="597F4C0F"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395BE5C"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 Kärnprimärkapitalinstrument i enheter i den finansiella sektorn i vilka moderför</w:t>
            </w:r>
            <w:r w:rsidRPr="00FD63A8">
              <w:rPr>
                <w:rFonts w:ascii="Times New Roman" w:hAnsi="Times New Roman"/>
                <w:b/>
                <w:u w:val="single"/>
              </w:rPr>
              <w:t>etaget inte har ett väsentligt innehav</w:t>
            </w:r>
          </w:p>
          <w:p w14:paraId="22B479E9"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9.2 c i förordning (EU) 2019/2033.</w:t>
            </w:r>
          </w:p>
          <w:p w14:paraId="00B592C0"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36.1 h i förordning (EU) nr 575/2013.</w:t>
            </w:r>
          </w:p>
          <w:p w14:paraId="50CB7E94"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rPr>
              <w:t>Moderföretag inom unionen på denna rad avser modervärdepappersföretag inom unionen, investeringsholdingföretag inom unionen, bla</w:t>
            </w:r>
            <w:r w:rsidRPr="00FD63A8">
              <w:rPr>
                <w:rFonts w:ascii="Times New Roman" w:hAnsi="Times New Roman"/>
              </w:rPr>
              <w:t>ndat finansiellt moderholdingföretag inom unionen eller varje annat moderföretag som är ett värdepappersföretag, finansiellt institut, företag som tillhandahåller anknutna tjänster eller anknutet ombud.</w:t>
            </w:r>
          </w:p>
        </w:tc>
      </w:tr>
      <w:tr w:rsidR="00223EA9" w:rsidRPr="00FD63A8" w14:paraId="7693E687" w14:textId="77777777">
        <w:tc>
          <w:tcPr>
            <w:tcW w:w="1129" w:type="dxa"/>
          </w:tcPr>
          <w:p w14:paraId="5AB8CDA8"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EB67B5F"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 xml:space="preserve">(-) Tillgångar i förmånsbestämda </w:t>
            </w:r>
            <w:r w:rsidRPr="00FD63A8">
              <w:rPr>
                <w:rFonts w:ascii="Times New Roman" w:hAnsi="Times New Roman"/>
                <w:b/>
                <w:u w:val="single"/>
              </w:rPr>
              <w:t>pensionsplaner</w:t>
            </w:r>
          </w:p>
          <w:p w14:paraId="39A7E772"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9.2 b i förordning (EU) 2019/2033.</w:t>
            </w:r>
          </w:p>
          <w:p w14:paraId="7966C4AC"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rPr>
              <w:t>Artikel 36.1 e i förordning (EU) nr 575/2013.</w:t>
            </w:r>
          </w:p>
        </w:tc>
      </w:tr>
      <w:tr w:rsidR="00223EA9" w:rsidRPr="00FD63A8" w14:paraId="24DD846C" w14:textId="77777777">
        <w:tc>
          <w:tcPr>
            <w:tcW w:w="1129" w:type="dxa"/>
          </w:tcPr>
          <w:p w14:paraId="22FFC68D"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970CC4A"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 Övriga avdrag</w:t>
            </w:r>
          </w:p>
          <w:p w14:paraId="075A0E26"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rPr>
              <w:t>Summan av alla övriga avdrag i enlighet med artikel 36.1 i förordning (EU) nr 575/2013, med undantag av avdrag enligt artikel 36</w:t>
            </w:r>
            <w:r w:rsidRPr="00FD63A8">
              <w:rPr>
                <w:rFonts w:ascii="Times New Roman" w:hAnsi="Times New Roman"/>
              </w:rPr>
              <w:t>.1 i i förordning (EU) nr 575/2013, som inte ingår i någon av raderna 0150–0270 ovan.</w:t>
            </w:r>
          </w:p>
        </w:tc>
      </w:tr>
      <w:tr w:rsidR="00223EA9" w:rsidRPr="00FD63A8" w14:paraId="2DA7900B" w14:textId="77777777">
        <w:tc>
          <w:tcPr>
            <w:tcW w:w="1129" w:type="dxa"/>
          </w:tcPr>
          <w:p w14:paraId="612DFB0C"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0295</w:t>
            </w:r>
          </w:p>
        </w:tc>
        <w:tc>
          <w:tcPr>
            <w:tcW w:w="7620" w:type="dxa"/>
            <w:tcBorders>
              <w:top w:val="nil"/>
              <w:left w:val="single" w:sz="4" w:space="0" w:color="auto"/>
              <w:bottom w:val="single" w:sz="4" w:space="0" w:color="auto"/>
              <w:right w:val="single" w:sz="4" w:space="0" w:color="auto"/>
            </w:tcBorders>
            <w:shd w:val="clear" w:color="auto" w:fill="auto"/>
            <w:vAlign w:val="bottom"/>
          </w:tcPr>
          <w:p w14:paraId="3C04F711"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Kärnprimärkapital: Andra kapitalposter, avdrag och justeringar</w:t>
            </w:r>
          </w:p>
          <w:p w14:paraId="25871CBF"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Denna rad ska i tillämpliga fall omfatta summan av följande poster:</w:t>
            </w:r>
          </w:p>
          <w:p w14:paraId="4B668F7F" w14:textId="77777777" w:rsidR="00223EA9" w:rsidRPr="00FD63A8" w:rsidRDefault="00FD63A8">
            <w:pPr>
              <w:spacing w:after="120" w:line="240" w:lineRule="auto"/>
              <w:ind w:left="360" w:hanging="360"/>
              <w:jc w:val="both"/>
              <w:rPr>
                <w:rFonts w:ascii="Times New Roman" w:eastAsia="Times New Roman" w:hAnsi="Times New Roman" w:cs="Times New Roman"/>
                <w:bCs/>
              </w:rPr>
            </w:pPr>
            <w:r w:rsidRPr="00FD63A8">
              <w:rPr>
                <w:rFonts w:ascii="Times New Roman" w:eastAsia="Times New Roman" w:hAnsi="Times New Roman" w:cs="Times New Roman"/>
                <w:bCs/>
              </w:rPr>
              <w:t>—</w:t>
            </w:r>
            <w:r w:rsidRPr="00FD63A8">
              <w:rPr>
                <w:rFonts w:ascii="Times New Roman" w:eastAsia="Times New Roman" w:hAnsi="Times New Roman" w:cs="Times New Roman"/>
                <w:bCs/>
              </w:rPr>
              <w:tab/>
            </w:r>
            <w:r w:rsidRPr="00FD63A8">
              <w:rPr>
                <w:rFonts w:ascii="Times New Roman" w:hAnsi="Times New Roman"/>
              </w:rPr>
              <w:t>Övergångsjusteringar på grund av kärnprimärkapitalinstrument för vilka äldre regler får fortsätta att tillämpas (artikel 483.1, 483.2 och 483.3 samt artiklarna 484–487 i förordning (EU) nr 575/2013).</w:t>
            </w:r>
          </w:p>
          <w:p w14:paraId="389BD93F" w14:textId="77777777" w:rsidR="00223EA9" w:rsidRPr="00FD63A8" w:rsidRDefault="00FD63A8">
            <w:pPr>
              <w:spacing w:after="120" w:line="240" w:lineRule="auto"/>
              <w:ind w:left="360" w:hanging="360"/>
              <w:jc w:val="both"/>
              <w:rPr>
                <w:rFonts w:ascii="Times New Roman" w:eastAsia="Times New Roman" w:hAnsi="Times New Roman" w:cs="Times New Roman"/>
                <w:bCs/>
              </w:rPr>
            </w:pPr>
            <w:r w:rsidRPr="00FD63A8">
              <w:rPr>
                <w:rFonts w:ascii="Times New Roman" w:eastAsia="Times New Roman" w:hAnsi="Times New Roman" w:cs="Times New Roman"/>
                <w:bCs/>
              </w:rPr>
              <w:t>—</w:t>
            </w:r>
            <w:r w:rsidRPr="00FD63A8">
              <w:rPr>
                <w:rFonts w:ascii="Times New Roman" w:eastAsia="Times New Roman" w:hAnsi="Times New Roman" w:cs="Times New Roman"/>
                <w:bCs/>
              </w:rPr>
              <w:tab/>
            </w:r>
            <w:r w:rsidRPr="00FD63A8">
              <w:rPr>
                <w:rFonts w:ascii="Times New Roman" w:hAnsi="Times New Roman"/>
              </w:rPr>
              <w:t>Andra övergångsjusteringar av kärnprimärkapital (artik</w:t>
            </w:r>
            <w:r w:rsidRPr="00FD63A8">
              <w:rPr>
                <w:rFonts w:ascii="Times New Roman" w:hAnsi="Times New Roman"/>
              </w:rPr>
              <w:t>larna 469–478 och artikel 481 i förordning (EU) nr 575/2013): Justeringar av avdragen från kärnprimärkapital på grund av övergångsbestämmelser.</w:t>
            </w:r>
          </w:p>
          <w:p w14:paraId="4DEA251F" w14:textId="77777777" w:rsidR="00223EA9" w:rsidRPr="00FD63A8" w:rsidRDefault="00FD63A8">
            <w:pPr>
              <w:spacing w:after="120" w:line="240" w:lineRule="auto"/>
              <w:ind w:left="360" w:hanging="360"/>
              <w:jc w:val="both"/>
              <w:rPr>
                <w:rFonts w:ascii="Times New Roman" w:eastAsia="Times New Roman" w:hAnsi="Times New Roman" w:cs="Times New Roman"/>
                <w:b/>
                <w:bCs/>
                <w:u w:val="single"/>
              </w:rPr>
            </w:pPr>
            <w:r w:rsidRPr="00FD63A8">
              <w:rPr>
                <w:rFonts w:ascii="Times New Roman" w:eastAsia="Times New Roman" w:hAnsi="Times New Roman" w:cs="Times New Roman"/>
                <w:bCs/>
              </w:rPr>
              <w:t>—</w:t>
            </w:r>
            <w:r w:rsidRPr="00FD63A8">
              <w:rPr>
                <w:rFonts w:ascii="Times New Roman" w:eastAsia="Times New Roman" w:hAnsi="Times New Roman" w:cs="Times New Roman"/>
                <w:bCs/>
              </w:rPr>
              <w:tab/>
            </w:r>
            <w:r w:rsidRPr="00FD63A8">
              <w:rPr>
                <w:rFonts w:ascii="Times New Roman" w:hAnsi="Times New Roman"/>
              </w:rPr>
              <w:t>Andra delar i eller avdrag från en kärnprimärkapitalpost som inte kan hänföras till någon av raderna 0040–0280</w:t>
            </w:r>
            <w:r w:rsidRPr="00FD63A8">
              <w:rPr>
                <w:rFonts w:ascii="Times New Roman" w:hAnsi="Times New Roman"/>
              </w:rPr>
              <w:t>.</w:t>
            </w:r>
          </w:p>
          <w:p w14:paraId="2A9EEAEF"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rPr>
              <w:t>Denna rad ska inte användas för att ta med kapitalposter eller avdrag som inte omfattas av förordning (EU) 2019/2033 eller förordning (EU) nr 575/2013 vid beräkningen av kapitaltäckningsgraden.</w:t>
            </w:r>
          </w:p>
        </w:tc>
      </w:tr>
      <w:tr w:rsidR="00223EA9" w:rsidRPr="00FD63A8" w14:paraId="4157D021" w14:textId="77777777">
        <w:tc>
          <w:tcPr>
            <w:tcW w:w="1129" w:type="dxa"/>
          </w:tcPr>
          <w:p w14:paraId="104DB8D6"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lastRenderedPageBreak/>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0B89E1F"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ÖVRIGT PRIMÄRKAPITAL FÖR KAPITALTÄCKNINGSÄNDAMÅL</w:t>
            </w:r>
          </w:p>
          <w:p w14:paraId="1596BD77"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w:t>
            </w:r>
            <w:r w:rsidRPr="00FD63A8">
              <w:rPr>
                <w:rFonts w:ascii="Times New Roman" w:hAnsi="Times New Roman"/>
              </w:rPr>
              <w:t>el 9.1 i förordning (EU) 2019/2033.</w:t>
            </w:r>
          </w:p>
          <w:p w14:paraId="52EF4C88"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rPr>
              <w:t>Artikel 61 i förordning (EU) nr 575/2013</w:t>
            </w:r>
          </w:p>
        </w:tc>
      </w:tr>
      <w:tr w:rsidR="00223EA9" w:rsidRPr="00FD63A8" w14:paraId="4751EEB9" w14:textId="77777777">
        <w:tc>
          <w:tcPr>
            <w:tcW w:w="1129" w:type="dxa"/>
          </w:tcPr>
          <w:p w14:paraId="60D849D8"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495C4B9"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Fullt betalda direkt emitterade kapitalinstrument</w:t>
            </w:r>
          </w:p>
          <w:p w14:paraId="60A8E491"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9.1 i i förordning (EU) 2019/2033.</w:t>
            </w:r>
          </w:p>
          <w:p w14:paraId="4A557614" w14:textId="77777777" w:rsidR="00223EA9" w:rsidRPr="00FD63A8" w:rsidRDefault="00FD63A8">
            <w:pPr>
              <w:pStyle w:val="InstructionsText"/>
              <w:rPr>
                <w:rStyle w:val="FormatvorlageInstructionsTabelleText"/>
                <w:rFonts w:ascii="Times New Roman" w:hAnsi="Times New Roman"/>
                <w:sz w:val="22"/>
                <w:szCs w:val="22"/>
              </w:rPr>
            </w:pPr>
            <w:r w:rsidRPr="00FD63A8">
              <w:rPr>
                <w:rStyle w:val="FormatvorlageInstructionsTabelleText"/>
                <w:rFonts w:ascii="Times New Roman" w:hAnsi="Times New Roman"/>
                <w:sz w:val="22"/>
              </w:rPr>
              <w:t xml:space="preserve">Artikel 51 a och artiklarna 52, 53 och 54 i förordning (EU) nr </w:t>
            </w:r>
            <w:r w:rsidRPr="00FD63A8">
              <w:rPr>
                <w:rStyle w:val="FormatvorlageInstructionsTabelleText"/>
                <w:rFonts w:ascii="Times New Roman" w:hAnsi="Times New Roman"/>
                <w:sz w:val="22"/>
              </w:rPr>
              <w:t>575/2013.</w:t>
            </w:r>
          </w:p>
          <w:p w14:paraId="4B9FAA37"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Style w:val="FormatvorlageInstructionsTabelleText"/>
                <w:rFonts w:ascii="Times New Roman" w:hAnsi="Times New Roman"/>
                <w:sz w:val="22"/>
              </w:rPr>
              <w:t>Den överkursfond som är relaterad till instrumentet ska inte ingå i det belopp som anges.</w:t>
            </w:r>
          </w:p>
        </w:tc>
      </w:tr>
      <w:tr w:rsidR="00223EA9" w:rsidRPr="00FD63A8" w14:paraId="4EF44F2D" w14:textId="77777777">
        <w:tc>
          <w:tcPr>
            <w:tcW w:w="1129" w:type="dxa"/>
          </w:tcPr>
          <w:p w14:paraId="2D401AE1"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F540441"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Överkursfond</w:t>
            </w:r>
          </w:p>
          <w:p w14:paraId="2533F547"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9.1 i i förordning (EU) 2019/2033.</w:t>
            </w:r>
          </w:p>
          <w:p w14:paraId="55555918" w14:textId="77777777" w:rsidR="00223EA9" w:rsidRPr="00FD63A8" w:rsidRDefault="00FD63A8">
            <w:pPr>
              <w:pStyle w:val="InstructionsText"/>
              <w:rPr>
                <w:rStyle w:val="FormatvorlageInstructionsTabelleText"/>
                <w:rFonts w:ascii="Times New Roman" w:hAnsi="Times New Roman"/>
                <w:sz w:val="22"/>
                <w:szCs w:val="22"/>
              </w:rPr>
            </w:pPr>
            <w:r w:rsidRPr="00FD63A8">
              <w:rPr>
                <w:rStyle w:val="FormatvorlageInstructionsTabelleText"/>
                <w:rFonts w:ascii="Times New Roman" w:hAnsi="Times New Roman"/>
                <w:sz w:val="22"/>
              </w:rPr>
              <w:t>Artikel 51 b i förordning (EU) nr 575/2013.</w:t>
            </w:r>
          </w:p>
          <w:p w14:paraId="4647BF51" w14:textId="77777777" w:rsidR="00223EA9" w:rsidRPr="00FD63A8" w:rsidRDefault="00FD63A8">
            <w:pPr>
              <w:pStyle w:val="InstructionsText"/>
              <w:rPr>
                <w:rStyle w:val="FormatvorlageInstructionsTabelleText"/>
                <w:rFonts w:ascii="Times New Roman" w:hAnsi="Times New Roman"/>
                <w:sz w:val="22"/>
                <w:szCs w:val="22"/>
              </w:rPr>
            </w:pPr>
            <w:r w:rsidRPr="00FD63A8">
              <w:rPr>
                <w:rStyle w:val="FormatvorlageInstructionsTabelleText"/>
                <w:rFonts w:ascii="Times New Roman" w:hAnsi="Times New Roman"/>
                <w:sz w:val="22"/>
              </w:rPr>
              <w:t xml:space="preserve">Överkursfond har den innebörd som anges i </w:t>
            </w:r>
            <w:r w:rsidRPr="00FD63A8">
              <w:rPr>
                <w:rStyle w:val="FormatvorlageInstructionsTabelleText"/>
                <w:rFonts w:ascii="Times New Roman" w:hAnsi="Times New Roman"/>
                <w:sz w:val="22"/>
              </w:rPr>
              <w:t>tillämplig redovisningsstandard.</w:t>
            </w:r>
          </w:p>
          <w:p w14:paraId="498358D9"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Style w:val="FormatvorlageInstructionsTabelleText"/>
                <w:rFonts w:ascii="Times New Roman" w:hAnsi="Times New Roman"/>
                <w:sz w:val="22"/>
              </w:rPr>
              <w:t xml:space="preserve">I denna post ska den del av beloppet rapporteras som rör </w:t>
            </w:r>
            <w:r w:rsidRPr="00FD63A8">
              <w:rPr>
                <w:rStyle w:val="FormatvorlageInstructionsTabelleText"/>
                <w:rFonts w:ascii="Times New Roman" w:hAnsi="Times New Roman"/>
                <w:sz w:val="22"/>
              </w:rPr>
              <w:t>”</w:t>
            </w:r>
            <w:r w:rsidRPr="00FD63A8">
              <w:rPr>
                <w:rStyle w:val="FormatvorlageInstructionsTabelleText"/>
                <w:rFonts w:ascii="Times New Roman" w:hAnsi="Times New Roman"/>
                <w:sz w:val="22"/>
              </w:rPr>
              <w:t>fullt betalda kapitalinstrumen</w:t>
            </w:r>
            <w:r w:rsidRPr="00FD63A8">
              <w:rPr>
                <w:rStyle w:val="FormatvorlageInstructionsTabelleText"/>
                <w:rFonts w:ascii="Times New Roman" w:hAnsi="Times New Roman"/>
                <w:sz w:val="22"/>
              </w:rPr>
              <w:t>t”</w:t>
            </w:r>
            <w:r w:rsidRPr="00FD63A8">
              <w:rPr>
                <w:rStyle w:val="FormatvorlageInstructionsTabelleText"/>
                <w:rFonts w:ascii="Times New Roman" w:hAnsi="Times New Roman"/>
                <w:sz w:val="22"/>
              </w:rPr>
              <w:t>.</w:t>
            </w:r>
          </w:p>
        </w:tc>
      </w:tr>
      <w:tr w:rsidR="00223EA9" w:rsidRPr="00FD63A8" w14:paraId="322C5FAC" w14:textId="77777777">
        <w:tc>
          <w:tcPr>
            <w:tcW w:w="1129" w:type="dxa"/>
          </w:tcPr>
          <w:p w14:paraId="0D8E6318"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0335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2A7C38DB"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 TOTALA AVDRAG FRÅN ÖVRIGT PRIMÄRKAPITAL FÖR KAPITALTÄCKNINGSÄNDAMÅL (PRIMÄRKAPITALTILLSKOTTSINSTRUMENT)</w:t>
            </w:r>
          </w:p>
          <w:p w14:paraId="7A9DF8AE" w14:textId="77777777" w:rsidR="00223EA9" w:rsidRPr="00FD63A8" w:rsidRDefault="00FD63A8">
            <w:pPr>
              <w:spacing w:before="60" w:after="60"/>
              <w:rPr>
                <w:rFonts w:ascii="Times New Roman" w:hAnsi="Times New Roman" w:cs="Times New Roman"/>
              </w:rPr>
            </w:pPr>
            <w:r w:rsidRPr="00FD63A8">
              <w:rPr>
                <w:rFonts w:ascii="Times New Roman" w:hAnsi="Times New Roman"/>
              </w:rPr>
              <w:t>Artikel 56 i föro</w:t>
            </w:r>
            <w:r w:rsidRPr="00FD63A8">
              <w:rPr>
                <w:rFonts w:ascii="Times New Roman" w:hAnsi="Times New Roman"/>
              </w:rPr>
              <w:t>rdning (EU) nr 575/2013, med undantag för led d i den artikeln.</w:t>
            </w:r>
          </w:p>
          <w:p w14:paraId="195A2439"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Totalsumman av raderna 0340, 0380 och 0400 ska anges.</w:t>
            </w:r>
          </w:p>
        </w:tc>
      </w:tr>
      <w:tr w:rsidR="00223EA9" w:rsidRPr="00FD63A8" w14:paraId="1115D9F1" w14:textId="77777777">
        <w:tc>
          <w:tcPr>
            <w:tcW w:w="1129" w:type="dxa"/>
          </w:tcPr>
          <w:p w14:paraId="6B5F0F77"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8E13B19"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 Eget primärkapitaltillskottsinstrument</w:t>
            </w:r>
          </w:p>
          <w:p w14:paraId="33A4F318"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9.1 i i förordning (EU) 2019/2033.</w:t>
            </w:r>
          </w:p>
          <w:p w14:paraId="5A0E9E5C" w14:textId="77777777" w:rsidR="00223EA9" w:rsidRPr="00FD63A8" w:rsidRDefault="00FD63A8">
            <w:pPr>
              <w:spacing w:after="120" w:line="240" w:lineRule="auto"/>
              <w:jc w:val="both"/>
              <w:rPr>
                <w:rStyle w:val="FormatvorlageInstructionsTabelleText"/>
                <w:rFonts w:ascii="Times New Roman" w:hAnsi="Times New Roman"/>
                <w:sz w:val="22"/>
              </w:rPr>
            </w:pPr>
            <w:r w:rsidRPr="00FD63A8">
              <w:rPr>
                <w:rStyle w:val="FormatvorlageInstructionsTabelleText"/>
                <w:rFonts w:ascii="Times New Roman" w:hAnsi="Times New Roman"/>
                <w:sz w:val="22"/>
              </w:rPr>
              <w:t xml:space="preserve">Artikel 52.1 b, artikel 56 a och </w:t>
            </w:r>
            <w:r w:rsidRPr="00FD63A8">
              <w:rPr>
                <w:rStyle w:val="FormatvorlageInstructionsTabelleText"/>
                <w:rFonts w:ascii="Times New Roman" w:hAnsi="Times New Roman"/>
                <w:sz w:val="22"/>
              </w:rPr>
              <w:t>artikel 57 i förordning (EU) nr 575/2013.</w:t>
            </w:r>
          </w:p>
          <w:p w14:paraId="7DDE0390" w14:textId="77777777" w:rsidR="00223EA9" w:rsidRPr="00FD63A8" w:rsidRDefault="00FD63A8">
            <w:pPr>
              <w:pStyle w:val="InstructionsText"/>
              <w:rPr>
                <w:rStyle w:val="FormatvorlageInstructionsTabelleText"/>
                <w:rFonts w:ascii="Times New Roman" w:hAnsi="Times New Roman"/>
                <w:sz w:val="22"/>
                <w:szCs w:val="22"/>
              </w:rPr>
            </w:pPr>
            <w:r w:rsidRPr="00FD63A8">
              <w:rPr>
                <w:rStyle w:val="FormatvorlageInstructionsTabelleText"/>
                <w:rFonts w:ascii="Times New Roman" w:hAnsi="Times New Roman"/>
                <w:sz w:val="22"/>
              </w:rPr>
              <w:t>Egna primärkapitaltillskottinstrument som värdepappersföretaget innehar på rapporteringsdatum. Omfattas av undantagen i artikel 57 i förordning (EU) nr 575/2013.</w:t>
            </w:r>
          </w:p>
          <w:p w14:paraId="493BAAD7" w14:textId="77777777" w:rsidR="00223EA9" w:rsidRPr="00FD63A8" w:rsidRDefault="00FD63A8">
            <w:pPr>
              <w:pStyle w:val="InstructionsText"/>
              <w:rPr>
                <w:sz w:val="22"/>
                <w:szCs w:val="22"/>
              </w:rPr>
            </w:pPr>
            <w:r w:rsidRPr="00FD63A8">
              <w:rPr>
                <w:rStyle w:val="FormatvorlageInstructionsTabelleText"/>
                <w:rFonts w:ascii="Times New Roman" w:hAnsi="Times New Roman"/>
                <w:sz w:val="22"/>
              </w:rPr>
              <w:t>Den överkursfond som hör ihop med aktieinnehavet ska</w:t>
            </w:r>
            <w:r w:rsidRPr="00FD63A8">
              <w:rPr>
                <w:rStyle w:val="FormatvorlageInstructionsTabelleText"/>
                <w:rFonts w:ascii="Times New Roman" w:hAnsi="Times New Roman"/>
                <w:sz w:val="22"/>
              </w:rPr>
              <w:t xml:space="preserve"> ingå i det belopp som anges.</w:t>
            </w:r>
          </w:p>
        </w:tc>
      </w:tr>
      <w:tr w:rsidR="00223EA9" w:rsidRPr="00FD63A8" w14:paraId="7E5F673B" w14:textId="77777777">
        <w:tc>
          <w:tcPr>
            <w:tcW w:w="1129" w:type="dxa"/>
          </w:tcPr>
          <w:p w14:paraId="0E56B23E"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F00B723"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 Primärkapitaltillskottsinstrument i enheter i den finansiella sektorn i vilka moderföretaget inte har ett väsentligt innehav</w:t>
            </w:r>
          </w:p>
          <w:p w14:paraId="497E7F8C"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9.2 c i förordning (EU) 2019/2033.</w:t>
            </w:r>
          </w:p>
          <w:p w14:paraId="14F002CA"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56 c i förordning (EU) nr 575/2013.</w:t>
            </w:r>
          </w:p>
          <w:p w14:paraId="56A7CC8F"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rPr>
              <w:t>Mode</w:t>
            </w:r>
            <w:r w:rsidRPr="00FD63A8">
              <w:rPr>
                <w:rFonts w:ascii="Times New Roman" w:hAnsi="Times New Roman"/>
              </w:rPr>
              <w:t>rföretag inom unionen på denna rad avser modervärdepappersföretag inom unionen, investeringsholdingföretag inom unionen, blandat finansiellt moderholdingföretag inom unionen eller varje annat moderföretag som är ett värdepappersföretag, finansiellt institu</w:t>
            </w:r>
            <w:r w:rsidRPr="00FD63A8">
              <w:rPr>
                <w:rFonts w:ascii="Times New Roman" w:hAnsi="Times New Roman"/>
              </w:rPr>
              <w:t>t, företag som tillhandahåller anknutna tjänster eller anknutet ombud.</w:t>
            </w:r>
          </w:p>
        </w:tc>
      </w:tr>
      <w:tr w:rsidR="00223EA9" w:rsidRPr="00FD63A8" w14:paraId="2C81BF96" w14:textId="77777777">
        <w:tc>
          <w:tcPr>
            <w:tcW w:w="1129" w:type="dxa"/>
          </w:tcPr>
          <w:p w14:paraId="2D08481B"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1C30F72"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 Övriga avdrag</w:t>
            </w:r>
          </w:p>
          <w:p w14:paraId="233467E0"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rPr>
              <w:t xml:space="preserve">Summan av alla övriga avdrag i enlighet med artikel 56 i förordning (EU) nr 575/2013, med undantag av avdrag enligt artikel 56 d i förordning (EU) nr </w:t>
            </w:r>
            <w:r w:rsidRPr="00FD63A8">
              <w:rPr>
                <w:rFonts w:ascii="Times New Roman" w:hAnsi="Times New Roman"/>
              </w:rPr>
              <w:t>575/2013, som inte ingår i någon av raderna 0340 eller 0380 ovan.</w:t>
            </w:r>
          </w:p>
        </w:tc>
      </w:tr>
      <w:tr w:rsidR="00223EA9" w:rsidRPr="00FD63A8" w14:paraId="676B8440" w14:textId="77777777">
        <w:tc>
          <w:tcPr>
            <w:tcW w:w="1129" w:type="dxa"/>
          </w:tcPr>
          <w:p w14:paraId="089FB4B6"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0415</w:t>
            </w:r>
          </w:p>
        </w:tc>
        <w:tc>
          <w:tcPr>
            <w:tcW w:w="7620" w:type="dxa"/>
            <w:tcBorders>
              <w:top w:val="nil"/>
              <w:left w:val="single" w:sz="4" w:space="0" w:color="auto"/>
              <w:bottom w:val="single" w:sz="4" w:space="0" w:color="auto"/>
              <w:right w:val="single" w:sz="4" w:space="0" w:color="auto"/>
            </w:tcBorders>
            <w:shd w:val="clear" w:color="auto" w:fill="auto"/>
            <w:vAlign w:val="bottom"/>
          </w:tcPr>
          <w:p w14:paraId="71E46E13"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Primärkapitaltillskott: Andra kapitalposter, avdrag och justeringar</w:t>
            </w:r>
          </w:p>
          <w:p w14:paraId="635FC570"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Denna rad ska i tillämpliga fall omfatta summan av följande poster:</w:t>
            </w:r>
          </w:p>
          <w:p w14:paraId="6C264150" w14:textId="77777777" w:rsidR="00223EA9" w:rsidRPr="00FD63A8" w:rsidRDefault="00FD63A8">
            <w:pPr>
              <w:spacing w:after="120" w:line="240" w:lineRule="auto"/>
              <w:ind w:left="360" w:hanging="360"/>
              <w:jc w:val="both"/>
              <w:rPr>
                <w:rFonts w:ascii="Times New Roman" w:eastAsia="Times New Roman" w:hAnsi="Times New Roman" w:cs="Times New Roman"/>
                <w:bCs/>
              </w:rPr>
            </w:pPr>
            <w:r w:rsidRPr="00FD63A8">
              <w:rPr>
                <w:rFonts w:ascii="Times New Roman" w:eastAsia="Times New Roman" w:hAnsi="Times New Roman" w:cs="Times New Roman"/>
                <w:bCs/>
              </w:rPr>
              <w:lastRenderedPageBreak/>
              <w:t>—</w:t>
            </w:r>
            <w:r w:rsidRPr="00FD63A8">
              <w:rPr>
                <w:rFonts w:ascii="Times New Roman" w:eastAsia="Times New Roman" w:hAnsi="Times New Roman" w:cs="Times New Roman"/>
                <w:bCs/>
              </w:rPr>
              <w:tab/>
            </w:r>
            <w:r w:rsidRPr="00FD63A8">
              <w:rPr>
                <w:rFonts w:ascii="Times New Roman" w:hAnsi="Times New Roman"/>
              </w:rPr>
              <w:t>Övergångsjusteringar på grund av primärkapital</w:t>
            </w:r>
            <w:r w:rsidRPr="00FD63A8">
              <w:rPr>
                <w:rFonts w:ascii="Times New Roman" w:hAnsi="Times New Roman"/>
              </w:rPr>
              <w:t>tillskottsinstrument för vilka äldre regler får fortsätta att tillämpas (artikel 483.4 och 483.5, artiklarna 484–487 samt artiklarna 489 och 491 i förordning (EU) nr 575/2013).</w:t>
            </w:r>
          </w:p>
          <w:p w14:paraId="12A47BEC" w14:textId="77777777" w:rsidR="00223EA9" w:rsidRPr="00FD63A8" w:rsidRDefault="00FD63A8">
            <w:pPr>
              <w:spacing w:after="120" w:line="240" w:lineRule="auto"/>
              <w:ind w:left="360" w:hanging="360"/>
              <w:jc w:val="both"/>
              <w:rPr>
                <w:rFonts w:ascii="Times New Roman" w:eastAsia="Times New Roman" w:hAnsi="Times New Roman" w:cs="Times New Roman"/>
                <w:bCs/>
              </w:rPr>
            </w:pPr>
            <w:r w:rsidRPr="00FD63A8">
              <w:rPr>
                <w:rFonts w:ascii="Times New Roman" w:eastAsia="Times New Roman" w:hAnsi="Times New Roman" w:cs="Times New Roman"/>
                <w:bCs/>
              </w:rPr>
              <w:t>—</w:t>
            </w:r>
            <w:r w:rsidRPr="00FD63A8">
              <w:rPr>
                <w:rFonts w:ascii="Times New Roman" w:eastAsia="Times New Roman" w:hAnsi="Times New Roman" w:cs="Times New Roman"/>
                <w:bCs/>
              </w:rPr>
              <w:tab/>
            </w:r>
            <w:r w:rsidRPr="00FD63A8">
              <w:rPr>
                <w:rFonts w:ascii="Times New Roman" w:hAnsi="Times New Roman"/>
              </w:rPr>
              <w:t>Andra övergångsjusteringar av primärkapitaltillskott (artiklarna 472, 473a, 4</w:t>
            </w:r>
            <w:r w:rsidRPr="00FD63A8">
              <w:rPr>
                <w:rFonts w:ascii="Times New Roman" w:hAnsi="Times New Roman"/>
              </w:rPr>
              <w:t>74, 475, 478 och 481 i förordning (EU) nr 575/2013): Justeringar av avdrag på grund av övergångsbestämmelser.</w:t>
            </w:r>
          </w:p>
          <w:p w14:paraId="4B32C8E7" w14:textId="77777777" w:rsidR="00223EA9" w:rsidRPr="00FD63A8" w:rsidRDefault="00FD63A8">
            <w:pPr>
              <w:spacing w:after="120" w:line="240" w:lineRule="auto"/>
              <w:ind w:left="360" w:hanging="360"/>
              <w:jc w:val="both"/>
              <w:rPr>
                <w:rFonts w:ascii="Times New Roman" w:eastAsia="Times New Roman" w:hAnsi="Times New Roman" w:cs="Times New Roman"/>
                <w:bCs/>
              </w:rPr>
            </w:pPr>
            <w:r w:rsidRPr="00FD63A8">
              <w:rPr>
                <w:rFonts w:ascii="Times New Roman" w:eastAsia="Times New Roman" w:hAnsi="Times New Roman" w:cs="Times New Roman"/>
                <w:bCs/>
              </w:rPr>
              <w:t>—</w:t>
            </w:r>
            <w:r w:rsidRPr="00FD63A8">
              <w:rPr>
                <w:rFonts w:ascii="Times New Roman" w:eastAsia="Times New Roman" w:hAnsi="Times New Roman" w:cs="Times New Roman"/>
                <w:bCs/>
              </w:rPr>
              <w:tab/>
            </w:r>
            <w:r w:rsidRPr="00FD63A8">
              <w:rPr>
                <w:rFonts w:ascii="Times New Roman" w:hAnsi="Times New Roman"/>
              </w:rPr>
              <w:t>Avdrag från primärkapitaltillskottsposter som överstiger eget primärkapitaltillskott som dras av från kärnprimärkapitalet i enlighet med artikel</w:t>
            </w:r>
            <w:r w:rsidRPr="00FD63A8">
              <w:rPr>
                <w:rFonts w:ascii="Times New Roman" w:hAnsi="Times New Roman"/>
              </w:rPr>
              <w:t xml:space="preserve"> 36.1 j i förordning (EU) nr 575/2013: Primärkapitaltillskottet får inte vara negativt, men det är möjligt att avdragen från primärkapitaltillskottsposterna överstiger beloppet för tillgängliga primärkapitaltillskottsposter. Om så sker representerar denna </w:t>
            </w:r>
            <w:r w:rsidRPr="00FD63A8">
              <w:rPr>
                <w:rFonts w:ascii="Times New Roman" w:hAnsi="Times New Roman"/>
              </w:rPr>
              <w:t>post det belopp som behövs för att det belopp som anges på rad 0300 ska bli noll och motsvarar det inverterade belopp som dragits av från primärkapitaltillskottsposter som överstiger det egna primärkapitaltillskottet, som anges, bland övriga avdrag, på rad</w:t>
            </w:r>
            <w:r w:rsidRPr="00FD63A8">
              <w:rPr>
                <w:rFonts w:ascii="Times New Roman" w:hAnsi="Times New Roman"/>
              </w:rPr>
              <w:t xml:space="preserve"> 0280.</w:t>
            </w:r>
          </w:p>
          <w:p w14:paraId="76521A49" w14:textId="77777777" w:rsidR="00223EA9" w:rsidRPr="00FD63A8" w:rsidRDefault="00FD63A8">
            <w:pPr>
              <w:spacing w:after="120" w:line="240" w:lineRule="auto"/>
              <w:ind w:left="360" w:hanging="360"/>
              <w:jc w:val="both"/>
              <w:rPr>
                <w:rFonts w:ascii="Times New Roman" w:eastAsia="Times New Roman" w:hAnsi="Times New Roman" w:cs="Times New Roman"/>
                <w:bCs/>
              </w:rPr>
            </w:pPr>
            <w:r w:rsidRPr="00FD63A8">
              <w:rPr>
                <w:rFonts w:ascii="Times New Roman" w:eastAsia="Times New Roman" w:hAnsi="Times New Roman" w:cs="Times New Roman"/>
                <w:bCs/>
              </w:rPr>
              <w:t>—</w:t>
            </w:r>
            <w:r w:rsidRPr="00FD63A8">
              <w:rPr>
                <w:rFonts w:ascii="Times New Roman" w:eastAsia="Times New Roman" w:hAnsi="Times New Roman" w:cs="Times New Roman"/>
                <w:bCs/>
              </w:rPr>
              <w:tab/>
            </w:r>
            <w:r w:rsidRPr="00FD63A8">
              <w:rPr>
                <w:rFonts w:ascii="Times New Roman" w:hAnsi="Times New Roman"/>
              </w:rPr>
              <w:t>Andra delar i eller avdrag från en primärkapitaltillskottspost som inte kan hänföras till någon av raderna 0310–0400.</w:t>
            </w:r>
          </w:p>
          <w:p w14:paraId="46C75097"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rPr>
              <w:t>Denna rad ska inte användas för att ta med kapitalposter eller avdrag som inte omfattas av förordning (EU) 2019/2033 eller förord</w:t>
            </w:r>
            <w:r w:rsidRPr="00FD63A8">
              <w:rPr>
                <w:rFonts w:ascii="Times New Roman" w:hAnsi="Times New Roman"/>
              </w:rPr>
              <w:t>ning (EU) nr 575/2013 vid beräkningen av kapitaltäckningsgraden.</w:t>
            </w:r>
          </w:p>
        </w:tc>
      </w:tr>
      <w:tr w:rsidR="00223EA9" w:rsidRPr="00FD63A8" w14:paraId="3388864B" w14:textId="77777777">
        <w:tc>
          <w:tcPr>
            <w:tcW w:w="1129" w:type="dxa"/>
          </w:tcPr>
          <w:p w14:paraId="22BD6B76"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7D04A09"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SUPPLEMENTÄRKAPITAL</w:t>
            </w:r>
          </w:p>
          <w:p w14:paraId="6CB50FA3"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9.1 i förordning (EU) 2019/2033.</w:t>
            </w:r>
          </w:p>
          <w:p w14:paraId="7925CE48" w14:textId="77777777" w:rsidR="00223EA9" w:rsidRPr="00FD63A8" w:rsidRDefault="00FD63A8">
            <w:pPr>
              <w:spacing w:after="120" w:line="240" w:lineRule="auto"/>
              <w:jc w:val="both"/>
              <w:rPr>
                <w:rStyle w:val="FormatvorlageInstructionsTabelleText"/>
                <w:rFonts w:ascii="Times New Roman" w:hAnsi="Times New Roman"/>
                <w:sz w:val="22"/>
              </w:rPr>
            </w:pPr>
            <w:r w:rsidRPr="00FD63A8">
              <w:rPr>
                <w:rStyle w:val="FormatvorlageInstructionsTabelleText"/>
                <w:rFonts w:ascii="Times New Roman" w:hAnsi="Times New Roman"/>
                <w:sz w:val="22"/>
              </w:rPr>
              <w:t>Artikel 71 i förordning (EU) nr 575/2013</w:t>
            </w:r>
          </w:p>
          <w:p w14:paraId="3A6799EA" w14:textId="77777777" w:rsidR="00223EA9" w:rsidRPr="00FD63A8" w:rsidRDefault="00FD63A8">
            <w:pPr>
              <w:pStyle w:val="CommentText"/>
              <w:rPr>
                <w:sz w:val="22"/>
                <w:szCs w:val="22"/>
              </w:rPr>
            </w:pPr>
            <w:r w:rsidRPr="00FD63A8">
              <w:rPr>
                <w:rFonts w:ascii="Times New Roman" w:hAnsi="Times New Roman"/>
                <w:sz w:val="22"/>
              </w:rPr>
              <w:t>Totalsumman av raderna 0430–0455 och rad 0525 ska anges.</w:t>
            </w:r>
          </w:p>
        </w:tc>
      </w:tr>
      <w:tr w:rsidR="00223EA9" w:rsidRPr="00FD63A8" w14:paraId="4CBD61B8" w14:textId="77777777">
        <w:tc>
          <w:tcPr>
            <w:tcW w:w="1129" w:type="dxa"/>
          </w:tcPr>
          <w:p w14:paraId="1794AE62"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DF2B5DA"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 xml:space="preserve">Fullt betalda </w:t>
            </w:r>
            <w:r w:rsidRPr="00FD63A8">
              <w:rPr>
                <w:rFonts w:ascii="Times New Roman" w:hAnsi="Times New Roman"/>
                <w:b/>
                <w:u w:val="single"/>
              </w:rPr>
              <w:t>direkt emitterade kapitalinstrument</w:t>
            </w:r>
          </w:p>
          <w:p w14:paraId="23373447"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9.1 i i förordning (EU) 2019/2033.</w:t>
            </w:r>
          </w:p>
          <w:p w14:paraId="17DD5798" w14:textId="77777777" w:rsidR="00223EA9" w:rsidRPr="00FD63A8" w:rsidRDefault="00FD63A8">
            <w:pPr>
              <w:pStyle w:val="InstructionsText"/>
              <w:rPr>
                <w:rStyle w:val="FormatvorlageInstructionsTabelleText"/>
                <w:rFonts w:ascii="Times New Roman" w:eastAsiaTheme="minorHAnsi" w:hAnsi="Times New Roman"/>
                <w:bCs/>
                <w:sz w:val="22"/>
                <w:szCs w:val="22"/>
              </w:rPr>
            </w:pPr>
            <w:r w:rsidRPr="00FD63A8">
              <w:rPr>
                <w:rStyle w:val="FormatvorlageInstructionsTabelleText"/>
                <w:rFonts w:ascii="Times New Roman" w:hAnsi="Times New Roman"/>
                <w:sz w:val="22"/>
              </w:rPr>
              <w:t>Artikel 62 a och artiklarna 63 och 65 i förordning (EU) nr 575/2013.</w:t>
            </w:r>
          </w:p>
          <w:p w14:paraId="217626DB"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Style w:val="FormatvorlageInstructionsTabelleText"/>
                <w:rFonts w:ascii="Times New Roman" w:hAnsi="Times New Roman"/>
                <w:sz w:val="22"/>
              </w:rPr>
              <w:t>Den överkursfond som är relaterad till instrumentet ska inte ingå i det belopp som anges.</w:t>
            </w:r>
          </w:p>
        </w:tc>
      </w:tr>
      <w:tr w:rsidR="00223EA9" w:rsidRPr="00FD63A8" w14:paraId="7F982912" w14:textId="77777777">
        <w:tc>
          <w:tcPr>
            <w:tcW w:w="1129" w:type="dxa"/>
          </w:tcPr>
          <w:p w14:paraId="185AB899"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B687682"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Överkursfond</w:t>
            </w:r>
          </w:p>
          <w:p w14:paraId="21974A85"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9.1 i i förordning (EU) 2019/2033.</w:t>
            </w:r>
          </w:p>
          <w:p w14:paraId="44129C5E" w14:textId="77777777" w:rsidR="00223EA9" w:rsidRPr="00FD63A8" w:rsidRDefault="00FD63A8">
            <w:pPr>
              <w:pStyle w:val="InstructionsText"/>
              <w:rPr>
                <w:rStyle w:val="FormatvorlageInstructionsTabelleText"/>
                <w:rFonts w:ascii="Times New Roman" w:hAnsi="Times New Roman"/>
                <w:sz w:val="22"/>
                <w:szCs w:val="22"/>
              </w:rPr>
            </w:pPr>
            <w:r w:rsidRPr="00FD63A8">
              <w:rPr>
                <w:rStyle w:val="FormatvorlageInstructionsTabelleText"/>
                <w:rFonts w:ascii="Times New Roman" w:hAnsi="Times New Roman"/>
                <w:sz w:val="22"/>
              </w:rPr>
              <w:t>Artikel 62 b och artikel 65 i förordning (EU) nr 575/2013.</w:t>
            </w:r>
          </w:p>
          <w:p w14:paraId="1905AA00" w14:textId="77777777" w:rsidR="00223EA9" w:rsidRPr="00FD63A8" w:rsidRDefault="00FD63A8">
            <w:pPr>
              <w:pStyle w:val="InstructionsText"/>
              <w:rPr>
                <w:rStyle w:val="FormatvorlageInstructionsTabelleText"/>
                <w:rFonts w:ascii="Times New Roman" w:hAnsi="Times New Roman"/>
                <w:sz w:val="22"/>
                <w:szCs w:val="22"/>
              </w:rPr>
            </w:pPr>
            <w:r w:rsidRPr="00FD63A8">
              <w:rPr>
                <w:rStyle w:val="FormatvorlageInstructionsTabelleText"/>
                <w:rFonts w:ascii="Times New Roman" w:hAnsi="Times New Roman"/>
                <w:sz w:val="22"/>
              </w:rPr>
              <w:t>Överkursfond har den innebörd som anges i tillämplig redovisningsstandard.</w:t>
            </w:r>
          </w:p>
          <w:p w14:paraId="09579267" w14:textId="77777777" w:rsidR="00223EA9" w:rsidRPr="00FD63A8" w:rsidRDefault="00FD63A8">
            <w:pPr>
              <w:pStyle w:val="InstructionsText"/>
              <w:rPr>
                <w:sz w:val="22"/>
                <w:szCs w:val="22"/>
              </w:rPr>
            </w:pPr>
            <w:r w:rsidRPr="00FD63A8">
              <w:rPr>
                <w:rStyle w:val="FormatvorlageInstructionsTabelleText"/>
                <w:rFonts w:ascii="Times New Roman" w:hAnsi="Times New Roman"/>
                <w:sz w:val="22"/>
              </w:rPr>
              <w:t xml:space="preserve">I denna post ska den del av beloppet rapporteras som rör </w:t>
            </w:r>
            <w:r w:rsidRPr="00FD63A8">
              <w:rPr>
                <w:rStyle w:val="FormatvorlageInstructionsTabelleText"/>
                <w:rFonts w:ascii="Times New Roman" w:hAnsi="Times New Roman"/>
                <w:sz w:val="22"/>
              </w:rPr>
              <w:t>”</w:t>
            </w:r>
            <w:r w:rsidRPr="00FD63A8">
              <w:rPr>
                <w:rStyle w:val="FormatvorlageInstructionsTabelleText"/>
                <w:rFonts w:ascii="Times New Roman" w:hAnsi="Times New Roman"/>
                <w:sz w:val="22"/>
              </w:rPr>
              <w:t>fullt betalda kapitalinstrumen</w:t>
            </w:r>
            <w:r w:rsidRPr="00FD63A8">
              <w:rPr>
                <w:rStyle w:val="FormatvorlageInstructionsTabelleText"/>
                <w:rFonts w:ascii="Times New Roman" w:hAnsi="Times New Roman"/>
                <w:sz w:val="22"/>
              </w:rPr>
              <w:t>t”</w:t>
            </w:r>
            <w:r w:rsidRPr="00FD63A8">
              <w:rPr>
                <w:rStyle w:val="FormatvorlageInstructionsTabelleText"/>
                <w:rFonts w:ascii="Times New Roman" w:hAnsi="Times New Roman"/>
                <w:sz w:val="22"/>
              </w:rPr>
              <w:t>.</w:t>
            </w:r>
          </w:p>
        </w:tc>
      </w:tr>
      <w:tr w:rsidR="00223EA9" w:rsidRPr="00FD63A8" w14:paraId="28FC9ABA" w14:textId="77777777">
        <w:tc>
          <w:tcPr>
            <w:tcW w:w="1129" w:type="dxa"/>
          </w:tcPr>
          <w:p w14:paraId="0B6C8576"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0455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5D48C553"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 TOTALA AVDRAG FRÅN SUPPLEMENTÄRKAPITAL</w:t>
            </w:r>
          </w:p>
          <w:p w14:paraId="4BC6E99A"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66 i förordning (EU) nr 575/2013, med undantag för led d i den artikeln.</w:t>
            </w:r>
          </w:p>
        </w:tc>
      </w:tr>
      <w:tr w:rsidR="00223EA9" w:rsidRPr="00FD63A8" w14:paraId="0E7B21C7" w14:textId="77777777">
        <w:tc>
          <w:tcPr>
            <w:tcW w:w="1129" w:type="dxa"/>
          </w:tcPr>
          <w:p w14:paraId="7DC8ACFB"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6A10A1A"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 Egna supplementärkapital</w:t>
            </w:r>
            <w:r w:rsidRPr="00FD63A8">
              <w:rPr>
                <w:rFonts w:ascii="Times New Roman" w:hAnsi="Times New Roman"/>
                <w:b/>
                <w:u w:val="single"/>
              </w:rPr>
              <w:t>instrument</w:t>
            </w:r>
          </w:p>
          <w:p w14:paraId="3B0D5718"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9.1 i i förordning (EU) 2019/2033.</w:t>
            </w:r>
          </w:p>
          <w:p w14:paraId="09D310C9" w14:textId="77777777" w:rsidR="00223EA9" w:rsidRPr="00FD63A8" w:rsidRDefault="00FD63A8">
            <w:pPr>
              <w:pStyle w:val="InstructionsText"/>
              <w:rPr>
                <w:rStyle w:val="FormatvorlageInstructionsTabelleText"/>
                <w:rFonts w:ascii="Times New Roman" w:hAnsi="Times New Roman"/>
                <w:sz w:val="22"/>
                <w:szCs w:val="22"/>
              </w:rPr>
            </w:pPr>
            <w:r w:rsidRPr="00FD63A8">
              <w:rPr>
                <w:rStyle w:val="FormatvorlageInstructionsTabelleText"/>
                <w:rFonts w:ascii="Times New Roman" w:hAnsi="Times New Roman"/>
                <w:sz w:val="22"/>
              </w:rPr>
              <w:t>Artikel 63 b i, artikel 66 a och artikel 67 i förordning (EU) nr 575/2013.</w:t>
            </w:r>
          </w:p>
          <w:p w14:paraId="01379310" w14:textId="77777777" w:rsidR="00223EA9" w:rsidRPr="00FD63A8" w:rsidRDefault="00FD63A8">
            <w:pPr>
              <w:pStyle w:val="InstructionsText"/>
              <w:rPr>
                <w:rStyle w:val="FormatvorlageInstructionsTabelleText"/>
                <w:rFonts w:ascii="Times New Roman" w:hAnsi="Times New Roman"/>
                <w:sz w:val="22"/>
                <w:szCs w:val="22"/>
              </w:rPr>
            </w:pPr>
            <w:r w:rsidRPr="00FD63A8">
              <w:rPr>
                <w:rStyle w:val="FormatvorlageInstructionsTabelleText"/>
                <w:rFonts w:ascii="Times New Roman" w:hAnsi="Times New Roman"/>
                <w:sz w:val="22"/>
              </w:rPr>
              <w:t xml:space="preserve">Egna supplementärkapitalinstrument som det rapporterande institutet eller den rapporterande gruppen innehar på </w:t>
            </w:r>
            <w:r w:rsidRPr="00FD63A8">
              <w:rPr>
                <w:rStyle w:val="FormatvorlageInstructionsTabelleText"/>
                <w:rFonts w:ascii="Times New Roman" w:hAnsi="Times New Roman"/>
                <w:sz w:val="22"/>
              </w:rPr>
              <w:t>rapporteringsdatum. Omfattas av undantagen i artikel 67 i förordning (EU) nr 575/2013.</w:t>
            </w:r>
          </w:p>
          <w:p w14:paraId="4C118E73" w14:textId="77777777" w:rsidR="00223EA9" w:rsidRPr="00FD63A8" w:rsidRDefault="00FD63A8">
            <w:pPr>
              <w:pStyle w:val="InstructionsText"/>
              <w:rPr>
                <w:rStyle w:val="FormatvorlageInstructionsTabelleText"/>
                <w:rFonts w:ascii="Times New Roman" w:hAnsi="Times New Roman"/>
                <w:sz w:val="22"/>
                <w:szCs w:val="22"/>
              </w:rPr>
            </w:pPr>
            <w:r w:rsidRPr="00FD63A8">
              <w:rPr>
                <w:rStyle w:val="FormatvorlageInstructionsTabelleText"/>
                <w:rFonts w:ascii="Times New Roman" w:hAnsi="Times New Roman"/>
                <w:sz w:val="22"/>
              </w:rPr>
              <w:t xml:space="preserve">Aktieinnehav som ingår i </w:t>
            </w:r>
            <w:r w:rsidRPr="00FD63A8">
              <w:rPr>
                <w:rStyle w:val="FormatvorlageInstructionsTabelleText"/>
                <w:rFonts w:ascii="Times New Roman" w:hAnsi="Times New Roman"/>
                <w:sz w:val="22"/>
              </w:rPr>
              <w:t>”</w:t>
            </w:r>
            <w:r w:rsidRPr="00FD63A8">
              <w:rPr>
                <w:rStyle w:val="FormatvorlageInstructionsTabelleText"/>
                <w:rFonts w:ascii="Times New Roman" w:hAnsi="Times New Roman"/>
                <w:sz w:val="22"/>
              </w:rPr>
              <w:t>ej godtagbara kapitalinstrumen</w:t>
            </w:r>
            <w:r w:rsidRPr="00FD63A8">
              <w:rPr>
                <w:rStyle w:val="FormatvorlageInstructionsTabelleText"/>
                <w:rFonts w:ascii="Times New Roman" w:hAnsi="Times New Roman"/>
                <w:sz w:val="22"/>
              </w:rPr>
              <w:t>t”</w:t>
            </w:r>
            <w:r w:rsidRPr="00FD63A8">
              <w:rPr>
                <w:rStyle w:val="FormatvorlageInstructionsTabelleText"/>
                <w:rFonts w:ascii="Times New Roman" w:hAnsi="Times New Roman"/>
                <w:sz w:val="22"/>
              </w:rPr>
              <w:t xml:space="preserve"> ska inte anges på denna rad.</w:t>
            </w:r>
          </w:p>
          <w:p w14:paraId="5892B01D" w14:textId="77777777" w:rsidR="00223EA9" w:rsidRPr="00FD63A8" w:rsidRDefault="00FD63A8">
            <w:pPr>
              <w:pStyle w:val="InstructionsText"/>
              <w:rPr>
                <w:sz w:val="22"/>
                <w:szCs w:val="22"/>
              </w:rPr>
            </w:pPr>
            <w:r w:rsidRPr="00FD63A8">
              <w:rPr>
                <w:rStyle w:val="FormatvorlageInstructionsTabelleText"/>
                <w:rFonts w:ascii="Times New Roman" w:hAnsi="Times New Roman"/>
                <w:sz w:val="22"/>
              </w:rPr>
              <w:t>Den överkursfond som hör ihop med aktieinnehavet ska ingå i det belopp som anges.</w:t>
            </w:r>
          </w:p>
        </w:tc>
      </w:tr>
      <w:tr w:rsidR="00223EA9" w:rsidRPr="00FD63A8" w14:paraId="25016263" w14:textId="77777777">
        <w:tc>
          <w:tcPr>
            <w:tcW w:w="1129" w:type="dxa"/>
          </w:tcPr>
          <w:p w14:paraId="24CB8F95"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lastRenderedPageBreak/>
              <w:t>0500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0501B20"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 Supplementärkapitaltillskottsinstrument i enheter i den finansiella sektorn i vilka moderföretaget inte har ett väsentligt innehav</w:t>
            </w:r>
          </w:p>
          <w:p w14:paraId="0C2D65DB"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9.2 c i förordning (EU) 2019/2033.</w:t>
            </w:r>
          </w:p>
          <w:p w14:paraId="44A9441F"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66 c i förordning (EU) nr 575/2013.</w:t>
            </w:r>
          </w:p>
          <w:p w14:paraId="2CA730A1"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rPr>
              <w:t>Moderföretag inom unionen p</w:t>
            </w:r>
            <w:r w:rsidRPr="00FD63A8">
              <w:rPr>
                <w:rFonts w:ascii="Times New Roman" w:hAnsi="Times New Roman"/>
              </w:rPr>
              <w:t>å denna rad avser modervärdepappersföretag inom unionen, investeringsholdingföretag inom unionen, blandat finansiellt moderholdingföretag inom unionen eller varje annat moderföretag som är ett värdepappersföretag, finansiellt institut, företag som tillhand</w:t>
            </w:r>
            <w:r w:rsidRPr="00FD63A8">
              <w:rPr>
                <w:rFonts w:ascii="Times New Roman" w:hAnsi="Times New Roman"/>
              </w:rPr>
              <w:t>ahåller anknutna tjänster eller anknutet ombud.</w:t>
            </w:r>
          </w:p>
        </w:tc>
      </w:tr>
      <w:tr w:rsidR="00223EA9" w:rsidRPr="00FD63A8" w14:paraId="428A754C" w14:textId="77777777">
        <w:tc>
          <w:tcPr>
            <w:tcW w:w="1129" w:type="dxa"/>
            <w:tcBorders>
              <w:bottom w:val="single" w:sz="4" w:space="0" w:color="auto"/>
            </w:tcBorders>
          </w:tcPr>
          <w:p w14:paraId="412837E5"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0525</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EF5346B"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Supplementärkapital: Andra kapitalposter, avdrag och justeringar</w:t>
            </w:r>
          </w:p>
          <w:p w14:paraId="5FE8B9BF"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Denna rad ska i tillämpliga fall omfatta summan av följande poster:</w:t>
            </w:r>
          </w:p>
          <w:p w14:paraId="7E2ABC29" w14:textId="77777777" w:rsidR="00223EA9" w:rsidRPr="00FD63A8" w:rsidRDefault="00FD63A8">
            <w:pPr>
              <w:spacing w:after="120" w:line="240" w:lineRule="auto"/>
              <w:ind w:left="360" w:hanging="360"/>
              <w:jc w:val="both"/>
              <w:rPr>
                <w:rFonts w:ascii="Times New Roman" w:eastAsia="Times New Roman" w:hAnsi="Times New Roman" w:cs="Times New Roman"/>
                <w:bCs/>
              </w:rPr>
            </w:pPr>
            <w:r w:rsidRPr="00FD63A8">
              <w:rPr>
                <w:rFonts w:ascii="Times New Roman" w:eastAsia="Times New Roman" w:hAnsi="Times New Roman" w:cs="Times New Roman"/>
                <w:bCs/>
              </w:rPr>
              <w:t>—</w:t>
            </w:r>
            <w:r w:rsidRPr="00FD63A8">
              <w:rPr>
                <w:rFonts w:ascii="Times New Roman" w:eastAsia="Times New Roman" w:hAnsi="Times New Roman" w:cs="Times New Roman"/>
                <w:bCs/>
              </w:rPr>
              <w:tab/>
            </w:r>
            <w:r w:rsidRPr="00FD63A8">
              <w:rPr>
                <w:rFonts w:ascii="Times New Roman" w:hAnsi="Times New Roman"/>
              </w:rPr>
              <w:t xml:space="preserve">Övergångsjusteringar på grund av </w:t>
            </w:r>
            <w:r w:rsidRPr="00FD63A8">
              <w:rPr>
                <w:rFonts w:ascii="Times New Roman" w:hAnsi="Times New Roman"/>
              </w:rPr>
              <w:t>supplementärkapitalinstrument för vilka äldre regler får fortsätta att tillämpas (artikel 483.6 och 483.7, artiklarna 484, 486, 488, 490 och 491 i förordning (EU) nr 575/2013).</w:t>
            </w:r>
          </w:p>
          <w:p w14:paraId="488160B0" w14:textId="77777777" w:rsidR="00223EA9" w:rsidRPr="00FD63A8" w:rsidRDefault="00FD63A8">
            <w:pPr>
              <w:spacing w:after="120" w:line="240" w:lineRule="auto"/>
              <w:ind w:left="360" w:hanging="360"/>
              <w:jc w:val="both"/>
              <w:rPr>
                <w:rFonts w:ascii="Times New Roman" w:eastAsia="Times New Roman" w:hAnsi="Times New Roman" w:cs="Times New Roman"/>
                <w:bCs/>
              </w:rPr>
            </w:pPr>
            <w:r w:rsidRPr="00FD63A8">
              <w:rPr>
                <w:rFonts w:ascii="Times New Roman" w:eastAsia="Times New Roman" w:hAnsi="Times New Roman" w:cs="Times New Roman"/>
                <w:bCs/>
              </w:rPr>
              <w:t>—</w:t>
            </w:r>
            <w:r w:rsidRPr="00FD63A8">
              <w:rPr>
                <w:rFonts w:ascii="Times New Roman" w:eastAsia="Times New Roman" w:hAnsi="Times New Roman" w:cs="Times New Roman"/>
                <w:bCs/>
              </w:rPr>
              <w:tab/>
            </w:r>
            <w:r w:rsidRPr="00FD63A8">
              <w:rPr>
                <w:rFonts w:ascii="Times New Roman" w:hAnsi="Times New Roman"/>
              </w:rPr>
              <w:t>Andra övergångsjusteringar av supplementärkapital (artiklarna 472, 473a, 476,</w:t>
            </w:r>
            <w:r w:rsidRPr="00FD63A8">
              <w:rPr>
                <w:rFonts w:ascii="Times New Roman" w:hAnsi="Times New Roman"/>
              </w:rPr>
              <w:t xml:space="preserve"> 477, 478 och 481 i förordning (EU) nr 575/2013): Justeringar av avdragen från supplementärkapital på grund av övergångsbestämmelser.</w:t>
            </w:r>
          </w:p>
          <w:p w14:paraId="26671A14" w14:textId="77777777" w:rsidR="00223EA9" w:rsidRPr="00FD63A8" w:rsidRDefault="00FD63A8">
            <w:pPr>
              <w:spacing w:after="120" w:line="240" w:lineRule="auto"/>
              <w:ind w:left="360" w:hanging="360"/>
              <w:jc w:val="both"/>
              <w:rPr>
                <w:rFonts w:ascii="Times New Roman" w:eastAsia="Times New Roman" w:hAnsi="Times New Roman" w:cs="Times New Roman"/>
                <w:bCs/>
              </w:rPr>
            </w:pPr>
            <w:r w:rsidRPr="00FD63A8">
              <w:rPr>
                <w:rFonts w:ascii="Times New Roman" w:eastAsia="Times New Roman" w:hAnsi="Times New Roman" w:cs="Times New Roman"/>
                <w:bCs/>
              </w:rPr>
              <w:t>—</w:t>
            </w:r>
            <w:r w:rsidRPr="00FD63A8">
              <w:rPr>
                <w:rFonts w:ascii="Times New Roman" w:eastAsia="Times New Roman" w:hAnsi="Times New Roman" w:cs="Times New Roman"/>
                <w:bCs/>
              </w:rPr>
              <w:tab/>
            </w:r>
            <w:r w:rsidRPr="00FD63A8">
              <w:rPr>
                <w:rFonts w:ascii="Times New Roman" w:hAnsi="Times New Roman"/>
              </w:rPr>
              <w:t>Avdrag från primärkapitaltillskottsposter som överstiger eget primärkapitaltillskott, som dras av från kärnprimärkapital</w:t>
            </w:r>
            <w:r w:rsidRPr="00FD63A8">
              <w:rPr>
                <w:rFonts w:ascii="Times New Roman" w:hAnsi="Times New Roman"/>
              </w:rPr>
              <w:t>et i enlighet med artikel 56 e i förordning (EU) nr 575/2013: Supplementärkapital får inte vara negativt, men det är möjligt att avdragen från supplementärkapitalposter överstiger beloppet för tillgängliga supplementärkapitalposter. Om så sker representera</w:t>
            </w:r>
            <w:r w:rsidRPr="00FD63A8">
              <w:rPr>
                <w:rFonts w:ascii="Times New Roman" w:hAnsi="Times New Roman"/>
              </w:rPr>
              <w:t>r denna post det belopp som behövs för att det belopp som rapporteras på rad 0420 ska bli noll.</w:t>
            </w:r>
          </w:p>
          <w:p w14:paraId="5C603872" w14:textId="77777777" w:rsidR="00223EA9" w:rsidRPr="00FD63A8" w:rsidRDefault="00FD63A8">
            <w:pPr>
              <w:spacing w:after="120" w:line="240" w:lineRule="auto"/>
              <w:ind w:left="360" w:hanging="360"/>
              <w:jc w:val="both"/>
              <w:rPr>
                <w:rFonts w:ascii="Times New Roman" w:eastAsia="Times New Roman" w:hAnsi="Times New Roman" w:cs="Times New Roman"/>
                <w:bCs/>
              </w:rPr>
            </w:pPr>
            <w:r w:rsidRPr="00FD63A8">
              <w:rPr>
                <w:rFonts w:ascii="Times New Roman" w:eastAsia="Times New Roman" w:hAnsi="Times New Roman" w:cs="Times New Roman"/>
                <w:bCs/>
              </w:rPr>
              <w:t>—</w:t>
            </w:r>
            <w:r w:rsidRPr="00FD63A8">
              <w:rPr>
                <w:rFonts w:ascii="Times New Roman" w:eastAsia="Times New Roman" w:hAnsi="Times New Roman" w:cs="Times New Roman"/>
                <w:bCs/>
              </w:rPr>
              <w:tab/>
            </w:r>
            <w:r w:rsidRPr="00FD63A8">
              <w:rPr>
                <w:rFonts w:ascii="Times New Roman" w:hAnsi="Times New Roman"/>
              </w:rPr>
              <w:t>Andra delar i eller avdrag från en supplementärkapitalpost som inte kan hänföras till någon av raderna 0430–0500.</w:t>
            </w:r>
          </w:p>
          <w:p w14:paraId="72625CAE"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rPr>
              <w:t xml:space="preserve">Denna rad ska inte användas för att ta </w:t>
            </w:r>
            <w:r w:rsidRPr="00FD63A8">
              <w:rPr>
                <w:rFonts w:ascii="Times New Roman" w:hAnsi="Times New Roman"/>
              </w:rPr>
              <w:t>med kapitalposter eller avdrag som inte omfattas av förordning (EU) 2019/2033 eller förordning (EU) nr 575/2013 vid beräkningen av kapitaltäckningsgraden.</w:t>
            </w:r>
          </w:p>
        </w:tc>
      </w:tr>
    </w:tbl>
    <w:p w14:paraId="54C2C8A3" w14:textId="77777777" w:rsidR="00223EA9" w:rsidRPr="00FD63A8" w:rsidRDefault="00FD63A8">
      <w:pPr>
        <w:pStyle w:val="Instructionsberschrift2"/>
        <w:ind w:left="357" w:hanging="357"/>
        <w:rPr>
          <w:rFonts w:ascii="Times New Roman" w:hAnsi="Times New Roman" w:cs="Times New Roman"/>
          <w:sz w:val="24"/>
          <w:u w:val="none"/>
        </w:rPr>
      </w:pPr>
      <w:bookmarkStart w:id="29" w:name="_Toc44434032"/>
      <w:bookmarkStart w:id="30" w:name="_Toc88139604"/>
      <w:r w:rsidRPr="00FD63A8">
        <w:rPr>
          <w:rFonts w:ascii="Times New Roman" w:hAnsi="Times New Roman"/>
          <w:sz w:val="24"/>
          <w:u w:val="none"/>
        </w:rPr>
        <w:t>1.3</w:t>
      </w:r>
      <w:r w:rsidRPr="00FD63A8">
        <w:rPr>
          <w:rFonts w:ascii="Times New Roman" w:hAnsi="Times New Roman"/>
          <w:sz w:val="24"/>
        </w:rPr>
        <w:t xml:space="preserve"> I 11.02 KAPITALBASKRAVEN - GRUPPKAPITALTEST (I11.2)</w:t>
      </w:r>
      <w:bookmarkEnd w:id="29"/>
      <w:bookmarkEnd w:id="30"/>
    </w:p>
    <w:p w14:paraId="4F9801DC" w14:textId="77777777" w:rsidR="00223EA9" w:rsidRPr="00FD63A8" w:rsidRDefault="00FD63A8">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1" w:name="_Toc44434033"/>
      <w:bookmarkStart w:id="32" w:name="_Toc88139605"/>
      <w:r w:rsidRPr="00FD63A8">
        <w:rPr>
          <w:rFonts w:ascii="Times New Roman" w:hAnsi="Times New Roman"/>
          <w:sz w:val="24"/>
        </w:rPr>
        <w:t>1.3.1</w:t>
      </w:r>
      <w:r w:rsidRPr="00FD63A8">
        <w:rPr>
          <w:rFonts w:ascii="Times New Roman" w:hAnsi="Times New Roman"/>
          <w:sz w:val="24"/>
        </w:rPr>
        <w:tab/>
      </w:r>
      <w:r w:rsidRPr="00FD63A8">
        <w:rPr>
          <w:rFonts w:ascii="Times New Roman" w:hAnsi="Times New Roman"/>
          <w:sz w:val="24"/>
          <w:u w:val="single"/>
        </w:rPr>
        <w:t>Instruktioner för specifika positioner</w:t>
      </w:r>
      <w:bookmarkEnd w:id="31"/>
      <w:bookmarkEnd w:id="3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23EA9" w:rsidRPr="00FD63A8" w14:paraId="034479C6" w14:textId="77777777">
        <w:tc>
          <w:tcPr>
            <w:tcW w:w="1129" w:type="dxa"/>
            <w:shd w:val="clear" w:color="auto" w:fill="D9D9D9"/>
          </w:tcPr>
          <w:p w14:paraId="158C3D4D"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Rad</w:t>
            </w:r>
          </w:p>
        </w:tc>
        <w:tc>
          <w:tcPr>
            <w:tcW w:w="7620" w:type="dxa"/>
            <w:shd w:val="clear" w:color="auto" w:fill="D9D9D9"/>
          </w:tcPr>
          <w:p w14:paraId="4018676C"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Rättsliga hänvisningar och instruktioner</w:t>
            </w:r>
          </w:p>
        </w:tc>
      </w:tr>
      <w:tr w:rsidR="00223EA9" w:rsidRPr="00FD63A8" w14:paraId="24FD1F8D" w14:textId="77777777">
        <w:tc>
          <w:tcPr>
            <w:tcW w:w="1129" w:type="dxa"/>
            <w:tcBorders>
              <w:top w:val="single" w:sz="4" w:space="0" w:color="auto"/>
              <w:left w:val="single" w:sz="4" w:space="0" w:color="auto"/>
              <w:bottom w:val="single" w:sz="4" w:space="0" w:color="auto"/>
              <w:right w:val="single" w:sz="4" w:space="0" w:color="auto"/>
            </w:tcBorders>
          </w:tcPr>
          <w:p w14:paraId="750044BE"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0010</w:t>
            </w:r>
          </w:p>
        </w:tc>
        <w:tc>
          <w:tcPr>
            <w:tcW w:w="7620" w:type="dxa"/>
            <w:tcBorders>
              <w:top w:val="single" w:sz="4" w:space="0" w:color="auto"/>
              <w:left w:val="single" w:sz="4" w:space="0" w:color="auto"/>
              <w:bottom w:val="single" w:sz="4" w:space="0" w:color="auto"/>
              <w:right w:val="single" w:sz="4" w:space="0" w:color="auto"/>
            </w:tcBorders>
          </w:tcPr>
          <w:p w14:paraId="265A267D"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 xml:space="preserve">Kärnprimärkapitalinstrument i enheter i den finansiella sektorn i </w:t>
            </w:r>
            <w:r w:rsidRPr="00FD63A8">
              <w:rPr>
                <w:rFonts w:ascii="Times New Roman" w:hAnsi="Times New Roman"/>
                <w:b/>
                <w:u w:val="single"/>
              </w:rPr>
              <w:t>värdepappersföretagsgruppen i vilka moderföretaget har ett väsentligt innehav</w:t>
            </w:r>
          </w:p>
          <w:p w14:paraId="6B833E62"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rPr>
              <w:t>Artikel 8.3 a i förordning (EU) 2019/2033, jämförd med artikel 36.1 i i förordning (EU) nr 575/2013.</w:t>
            </w:r>
          </w:p>
        </w:tc>
      </w:tr>
      <w:tr w:rsidR="00223EA9" w:rsidRPr="00FD63A8" w14:paraId="7A71E1B0" w14:textId="77777777">
        <w:tc>
          <w:tcPr>
            <w:tcW w:w="1129" w:type="dxa"/>
            <w:tcBorders>
              <w:top w:val="single" w:sz="4" w:space="0" w:color="auto"/>
              <w:bottom w:val="single" w:sz="4" w:space="0" w:color="auto"/>
            </w:tcBorders>
          </w:tcPr>
          <w:p w14:paraId="1DB03812"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0020</w:t>
            </w:r>
          </w:p>
        </w:tc>
        <w:tc>
          <w:tcPr>
            <w:tcW w:w="7620" w:type="dxa"/>
            <w:tcBorders>
              <w:top w:val="single" w:sz="4" w:space="0" w:color="auto"/>
              <w:bottom w:val="single" w:sz="4" w:space="0" w:color="auto"/>
            </w:tcBorders>
          </w:tcPr>
          <w:p w14:paraId="0C63C7D5"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Primärkapitaltillskottsinstrument i enheter i den finansiella sektorn i</w:t>
            </w:r>
            <w:r w:rsidRPr="00FD63A8">
              <w:rPr>
                <w:rFonts w:ascii="Times New Roman" w:hAnsi="Times New Roman"/>
                <w:b/>
                <w:u w:val="single"/>
              </w:rPr>
              <w:t xml:space="preserve"> värdepappersföretagsgruppen i vilka moderföretaget har ett väsentligt innehav</w:t>
            </w:r>
          </w:p>
          <w:p w14:paraId="6AF6002E"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8.3 a i förordning (EU) 2019/2033, jämförd med artikel 56 d i förordning (EU) nr 575/2013.</w:t>
            </w:r>
          </w:p>
        </w:tc>
      </w:tr>
      <w:tr w:rsidR="00223EA9" w:rsidRPr="00FD63A8" w14:paraId="3DEF74A2" w14:textId="77777777">
        <w:tc>
          <w:tcPr>
            <w:tcW w:w="1129" w:type="dxa"/>
            <w:tcBorders>
              <w:top w:val="single" w:sz="4" w:space="0" w:color="auto"/>
              <w:bottom w:val="single" w:sz="4" w:space="0" w:color="auto"/>
            </w:tcBorders>
          </w:tcPr>
          <w:p w14:paraId="7DEC1C3D"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0030</w:t>
            </w:r>
          </w:p>
        </w:tc>
        <w:tc>
          <w:tcPr>
            <w:tcW w:w="7620" w:type="dxa"/>
            <w:tcBorders>
              <w:top w:val="single" w:sz="4" w:space="0" w:color="auto"/>
              <w:bottom w:val="single" w:sz="4" w:space="0" w:color="auto"/>
            </w:tcBorders>
          </w:tcPr>
          <w:p w14:paraId="66044160"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Supplementärkapitaltillskottsinstrument i enheter i den finansiella sektorn i värdepappersföretagsgruppen i vilka moderföretaget har ett väsentligt innehav</w:t>
            </w:r>
          </w:p>
          <w:p w14:paraId="4C4CEB66"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rPr>
              <w:t>Artikel 8.3 a jämförd med artikel 66 d i förordning (EU) nr 575/2013.</w:t>
            </w:r>
          </w:p>
        </w:tc>
      </w:tr>
      <w:tr w:rsidR="00223EA9" w:rsidRPr="00FD63A8" w14:paraId="776FFF70" w14:textId="77777777">
        <w:tc>
          <w:tcPr>
            <w:tcW w:w="1129" w:type="dxa"/>
          </w:tcPr>
          <w:p w14:paraId="265A36C1"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lastRenderedPageBreak/>
              <w:t>0040</w:t>
            </w:r>
          </w:p>
        </w:tc>
        <w:tc>
          <w:tcPr>
            <w:tcW w:w="7620" w:type="dxa"/>
          </w:tcPr>
          <w:p w14:paraId="6DF36406"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b/>
                <w:u w:val="single"/>
              </w:rPr>
              <w:t xml:space="preserve">Innehav i enheter i den </w:t>
            </w:r>
            <w:r w:rsidRPr="00FD63A8">
              <w:rPr>
                <w:rFonts w:ascii="Times New Roman" w:hAnsi="Times New Roman"/>
                <w:b/>
                <w:u w:val="single"/>
              </w:rPr>
              <w:t>finansiella sektorn i värdepappersföretagsgruppen i den mån de inte utgör kapitalbas för den gruppenhet som moderföretaget investerar i</w:t>
            </w:r>
          </w:p>
          <w:p w14:paraId="2D51392F"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8.3 a i förordning (EU) 2019/2033.</w:t>
            </w:r>
          </w:p>
          <w:p w14:paraId="200B956B"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Denna rad ska inkludera moderföretagets innehav i den mån de inte utgör kapit</w:t>
            </w:r>
            <w:r w:rsidRPr="00FD63A8">
              <w:rPr>
                <w:rFonts w:ascii="Times New Roman" w:hAnsi="Times New Roman"/>
              </w:rPr>
              <w:t>albas för den gruppenhet som moderföretaget investerar i.</w:t>
            </w:r>
          </w:p>
        </w:tc>
      </w:tr>
      <w:tr w:rsidR="00223EA9" w:rsidRPr="00FD63A8" w14:paraId="53047708" w14:textId="77777777">
        <w:tc>
          <w:tcPr>
            <w:tcW w:w="1129" w:type="dxa"/>
            <w:tcBorders>
              <w:bottom w:val="single" w:sz="4" w:space="0" w:color="auto"/>
            </w:tcBorders>
          </w:tcPr>
          <w:p w14:paraId="1EA7562A"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0050</w:t>
            </w:r>
          </w:p>
        </w:tc>
        <w:tc>
          <w:tcPr>
            <w:tcW w:w="7620" w:type="dxa"/>
            <w:tcBorders>
              <w:bottom w:val="single" w:sz="4" w:space="0" w:color="auto"/>
            </w:tcBorders>
          </w:tcPr>
          <w:p w14:paraId="14A14115"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b/>
                <w:u w:val="single"/>
              </w:rPr>
              <w:t>Efterställda fordringar från enheter i den finansiella sektorn i värdepappersföretagsgruppen</w:t>
            </w:r>
          </w:p>
          <w:p w14:paraId="094A8279"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8.3 a i förordning (EU) 2019/2033.</w:t>
            </w:r>
          </w:p>
          <w:p w14:paraId="0A7C0625"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rPr>
              <w:t xml:space="preserve">Denna rad ska innehålla efterställda </w:t>
            </w:r>
            <w:r w:rsidRPr="00FD63A8">
              <w:rPr>
                <w:rFonts w:ascii="Times New Roman" w:hAnsi="Times New Roman"/>
              </w:rPr>
              <w:t>fordringar från moderföretaget i den mån de inte utgör kapitalbas för den gruppenhet som moderföretaget investerar i.</w:t>
            </w:r>
          </w:p>
        </w:tc>
      </w:tr>
      <w:tr w:rsidR="00223EA9" w:rsidRPr="00FD63A8" w14:paraId="48755A5E" w14:textId="77777777">
        <w:tc>
          <w:tcPr>
            <w:tcW w:w="1129" w:type="dxa"/>
            <w:tcBorders>
              <w:top w:val="single" w:sz="4" w:space="0" w:color="auto"/>
              <w:bottom w:val="single" w:sz="4" w:space="0" w:color="auto"/>
            </w:tcBorders>
          </w:tcPr>
          <w:p w14:paraId="6D575395"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0060</w:t>
            </w:r>
          </w:p>
        </w:tc>
        <w:tc>
          <w:tcPr>
            <w:tcW w:w="7620" w:type="dxa"/>
            <w:tcBorders>
              <w:top w:val="single" w:sz="4" w:space="0" w:color="auto"/>
              <w:bottom w:val="single" w:sz="4" w:space="0" w:color="auto"/>
            </w:tcBorders>
          </w:tcPr>
          <w:p w14:paraId="4A2E67A0"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Eventualförpliktelser till förmån för enheter i värdepappersföretagsgruppen</w:t>
            </w:r>
          </w:p>
          <w:p w14:paraId="714A3F90"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8.3 b i förordning (EU) 2019/2033.</w:t>
            </w:r>
          </w:p>
        </w:tc>
      </w:tr>
      <w:tr w:rsidR="00223EA9" w:rsidRPr="00FD63A8" w14:paraId="12025B55" w14:textId="77777777">
        <w:tc>
          <w:tcPr>
            <w:tcW w:w="1129" w:type="dxa"/>
            <w:tcBorders>
              <w:top w:val="single" w:sz="4" w:space="0" w:color="auto"/>
            </w:tcBorders>
          </w:tcPr>
          <w:p w14:paraId="5918A715"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0070</w:t>
            </w:r>
          </w:p>
        </w:tc>
        <w:tc>
          <w:tcPr>
            <w:tcW w:w="7620" w:type="dxa"/>
            <w:tcBorders>
              <w:top w:val="single" w:sz="4" w:space="0" w:color="auto"/>
            </w:tcBorders>
          </w:tcPr>
          <w:p w14:paraId="21CEAFCA"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Totala kapitalbaskrav för dotterföretagen</w:t>
            </w:r>
          </w:p>
          <w:p w14:paraId="113AA616"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Vid tillämpning av artikel 8.4 i förordning (EU) 2019/2033.</w:t>
            </w:r>
          </w:p>
        </w:tc>
      </w:tr>
    </w:tbl>
    <w:p w14:paraId="7F768E56" w14:textId="77777777" w:rsidR="00223EA9" w:rsidRPr="00FD63A8" w:rsidRDefault="00FD63A8">
      <w:pPr>
        <w:pStyle w:val="Instructionsberschrift2"/>
        <w:ind w:left="357" w:hanging="357"/>
        <w:rPr>
          <w:rFonts w:ascii="Times New Roman" w:hAnsi="Times New Roman" w:cs="Times New Roman"/>
          <w:sz w:val="24"/>
        </w:rPr>
      </w:pPr>
      <w:bookmarkStart w:id="33" w:name="_Toc44434034"/>
      <w:bookmarkStart w:id="34" w:name="_Toc88139606"/>
      <w:bookmarkEnd w:id="2"/>
      <w:bookmarkEnd w:id="3"/>
      <w:bookmarkEnd w:id="4"/>
      <w:bookmarkEnd w:id="5"/>
      <w:r w:rsidRPr="00FD63A8">
        <w:rPr>
          <w:rFonts w:ascii="Times New Roman" w:hAnsi="Times New Roman"/>
          <w:sz w:val="24"/>
          <w:u w:val="none"/>
        </w:rPr>
        <w:t>1.4</w:t>
      </w:r>
      <w:r w:rsidRPr="00FD63A8">
        <w:rPr>
          <w:rFonts w:ascii="Times New Roman" w:hAnsi="Times New Roman"/>
          <w:sz w:val="24"/>
        </w:rPr>
        <w:t xml:space="preserve"> IF 11.03 INFORMATION OM DOTTERFÖRETAGEN (IF11.3)</w:t>
      </w:r>
      <w:bookmarkEnd w:id="33"/>
      <w:bookmarkEnd w:id="34"/>
    </w:p>
    <w:p w14:paraId="023F7DDF" w14:textId="77777777" w:rsidR="00223EA9" w:rsidRPr="00FD63A8" w:rsidRDefault="00FD63A8">
      <w:pPr>
        <w:spacing w:line="256" w:lineRule="auto"/>
        <w:ind w:left="1224" w:hanging="504"/>
        <w:jc w:val="both"/>
        <w:rPr>
          <w:rFonts w:ascii="Times New Roman" w:hAnsi="Times New Roman" w:cs="Times New Roman"/>
          <w:sz w:val="24"/>
        </w:rPr>
      </w:pPr>
      <w:r w:rsidRPr="00FD63A8">
        <w:rPr>
          <w:rFonts w:ascii="Times New Roman" w:hAnsi="Times New Roman" w:cs="Times New Roman"/>
          <w:sz w:val="24"/>
        </w:rPr>
        <w:t>10.</w:t>
      </w:r>
      <w:r w:rsidRPr="00FD63A8">
        <w:rPr>
          <w:rFonts w:ascii="Times New Roman" w:hAnsi="Times New Roman" w:cs="Times New Roman"/>
          <w:sz w:val="24"/>
        </w:rPr>
        <w:tab/>
      </w:r>
      <w:r w:rsidRPr="00FD63A8">
        <w:rPr>
          <w:rFonts w:ascii="Times New Roman" w:hAnsi="Times New Roman"/>
          <w:sz w:val="24"/>
        </w:rPr>
        <w:t xml:space="preserve">Alla enheter som omfattas av gruppkapitaltestet ska anges i denna mall. Detta ska även </w:t>
      </w:r>
      <w:r w:rsidRPr="00FD63A8">
        <w:rPr>
          <w:rFonts w:ascii="Times New Roman" w:hAnsi="Times New Roman"/>
          <w:sz w:val="24"/>
        </w:rPr>
        <w:t>omfatta själva gruppens moderföretag.</w:t>
      </w:r>
    </w:p>
    <w:p w14:paraId="58CC749B" w14:textId="77777777" w:rsidR="00223EA9" w:rsidRPr="00FD63A8" w:rsidRDefault="00FD63A8">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5" w:name="_Toc44434035"/>
      <w:bookmarkStart w:id="36" w:name="_Toc88139607"/>
      <w:r w:rsidRPr="00FD63A8">
        <w:rPr>
          <w:rFonts w:ascii="Times New Roman" w:hAnsi="Times New Roman"/>
          <w:sz w:val="24"/>
        </w:rPr>
        <w:t>1.4.1</w:t>
      </w:r>
      <w:r w:rsidRPr="00FD63A8">
        <w:rPr>
          <w:rFonts w:ascii="Times New Roman" w:hAnsi="Times New Roman"/>
          <w:sz w:val="24"/>
        </w:rPr>
        <w:tab/>
      </w:r>
      <w:r w:rsidRPr="00FD63A8">
        <w:rPr>
          <w:rFonts w:ascii="Times New Roman" w:hAnsi="Times New Roman"/>
          <w:sz w:val="24"/>
          <w:u w:val="single"/>
        </w:rPr>
        <w:t>Instruktioner för specifika positioner</w:t>
      </w:r>
      <w:bookmarkEnd w:id="35"/>
      <w:bookmarkEnd w:id="3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23EA9" w:rsidRPr="00FD63A8" w14:paraId="28600E3E" w14:textId="77777777">
        <w:tc>
          <w:tcPr>
            <w:tcW w:w="1129" w:type="dxa"/>
            <w:shd w:val="clear" w:color="auto" w:fill="D9D9D9"/>
          </w:tcPr>
          <w:p w14:paraId="36A238AD"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Kolumner</w:t>
            </w:r>
          </w:p>
        </w:tc>
        <w:tc>
          <w:tcPr>
            <w:tcW w:w="7620" w:type="dxa"/>
            <w:shd w:val="clear" w:color="auto" w:fill="D9D9D9"/>
          </w:tcPr>
          <w:p w14:paraId="08651194"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Rättsliga hänvisningar och instruktioner</w:t>
            </w:r>
          </w:p>
        </w:tc>
      </w:tr>
      <w:tr w:rsidR="00223EA9" w:rsidRPr="00FD63A8" w14:paraId="733AE150" w14:textId="77777777">
        <w:tc>
          <w:tcPr>
            <w:tcW w:w="1129" w:type="dxa"/>
          </w:tcPr>
          <w:p w14:paraId="080F3233"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0010</w:t>
            </w:r>
          </w:p>
        </w:tc>
        <w:tc>
          <w:tcPr>
            <w:tcW w:w="7620" w:type="dxa"/>
          </w:tcPr>
          <w:p w14:paraId="4A05818E"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Kod</w:t>
            </w:r>
          </w:p>
          <w:p w14:paraId="5047F2CF"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rPr>
              <w:t xml:space="preserve">Koden måste som del av en radidentifierare vara unik för varje redovisad enhet. För </w:t>
            </w:r>
            <w:r w:rsidRPr="00FD63A8">
              <w:rPr>
                <w:rFonts w:ascii="Times New Roman" w:hAnsi="Times New Roman"/>
              </w:rPr>
              <w:t>värdepappersföretag och försäkringsföretag måste koden vara LEI-koden. För andra företag måste koden vara LEI-koden eller, om den inte finns tillgänglig, en nationell kod. Koden ska vara unik och användas konsekvent i alla mallar och över tid. Koden ska al</w:t>
            </w:r>
            <w:r w:rsidRPr="00FD63A8">
              <w:rPr>
                <w:rFonts w:ascii="Times New Roman" w:hAnsi="Times New Roman"/>
              </w:rPr>
              <w:t>ltid ha ett värde.</w:t>
            </w:r>
          </w:p>
        </w:tc>
      </w:tr>
      <w:tr w:rsidR="00223EA9" w:rsidRPr="00FD63A8" w14:paraId="0D427919" w14:textId="77777777">
        <w:tc>
          <w:tcPr>
            <w:tcW w:w="1129" w:type="dxa"/>
          </w:tcPr>
          <w:p w14:paraId="34E2AC67"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0020</w:t>
            </w:r>
          </w:p>
        </w:tc>
        <w:tc>
          <w:tcPr>
            <w:tcW w:w="7620" w:type="dxa"/>
          </w:tcPr>
          <w:p w14:paraId="76FCCC72"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Typ av kod</w:t>
            </w:r>
          </w:p>
          <w:p w14:paraId="5B3C3A3B"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 xml:space="preserve">Värdepappersföretagen ska ange typ av kod som rapporteras i kolumn 0010 som </w:t>
            </w:r>
            <w:r w:rsidRPr="00FD63A8">
              <w:rPr>
                <w:rFonts w:ascii="Times New Roman" w:hAnsi="Times New Roman"/>
              </w:rPr>
              <w:t>”</w:t>
            </w:r>
            <w:r w:rsidRPr="00FD63A8">
              <w:rPr>
                <w:rFonts w:ascii="Times New Roman" w:hAnsi="Times New Roman"/>
              </w:rPr>
              <w:t>LEI-ko</w:t>
            </w:r>
            <w:r w:rsidRPr="00FD63A8">
              <w:rPr>
                <w:rFonts w:ascii="Times New Roman" w:hAnsi="Times New Roman"/>
              </w:rPr>
              <w:t>d”</w:t>
            </w:r>
            <w:r w:rsidRPr="00FD63A8">
              <w:rPr>
                <w:rFonts w:ascii="Times New Roman" w:hAnsi="Times New Roman"/>
              </w:rPr>
              <w:t xml:space="preserve"> eller </w:t>
            </w:r>
            <w:r w:rsidRPr="00FD63A8">
              <w:rPr>
                <w:rFonts w:ascii="Times New Roman" w:hAnsi="Times New Roman"/>
              </w:rPr>
              <w:t>”</w:t>
            </w:r>
            <w:r w:rsidRPr="00FD63A8">
              <w:rPr>
                <w:rFonts w:ascii="Times New Roman" w:hAnsi="Times New Roman"/>
              </w:rPr>
              <w:t>nationell ko</w:t>
            </w:r>
            <w:r w:rsidRPr="00FD63A8">
              <w:rPr>
                <w:rFonts w:ascii="Times New Roman" w:hAnsi="Times New Roman"/>
              </w:rPr>
              <w:t>d”</w:t>
            </w:r>
            <w:r w:rsidRPr="00FD63A8">
              <w:rPr>
                <w:rFonts w:ascii="Times New Roman" w:hAnsi="Times New Roman"/>
              </w:rPr>
              <w:t>.</w:t>
            </w:r>
          </w:p>
          <w:p w14:paraId="3092DD59"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rPr>
              <w:t>Typen av kod ska alltid rapporteras.</w:t>
            </w:r>
          </w:p>
        </w:tc>
      </w:tr>
      <w:tr w:rsidR="00223EA9" w:rsidRPr="00FD63A8" w14:paraId="07391841" w14:textId="77777777">
        <w:tc>
          <w:tcPr>
            <w:tcW w:w="1129" w:type="dxa"/>
          </w:tcPr>
          <w:p w14:paraId="4A2C7EC9"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0030</w:t>
            </w:r>
          </w:p>
        </w:tc>
        <w:tc>
          <w:tcPr>
            <w:tcW w:w="7620" w:type="dxa"/>
          </w:tcPr>
          <w:p w14:paraId="2808C288"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Namn på företaget</w:t>
            </w:r>
          </w:p>
          <w:p w14:paraId="731BA941"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Style w:val="InstructionsTabelleText"/>
                <w:rFonts w:ascii="Times New Roman" w:hAnsi="Times New Roman"/>
                <w:sz w:val="22"/>
              </w:rPr>
              <w:t xml:space="preserve">Namnet på det företag som omfattas av </w:t>
            </w:r>
            <w:r w:rsidRPr="00FD63A8">
              <w:rPr>
                <w:rStyle w:val="InstructionsTabelleText"/>
                <w:rFonts w:ascii="Times New Roman" w:hAnsi="Times New Roman"/>
                <w:sz w:val="22"/>
              </w:rPr>
              <w:t>konsolideringen.</w:t>
            </w:r>
          </w:p>
        </w:tc>
      </w:tr>
      <w:tr w:rsidR="00223EA9" w:rsidRPr="00FD63A8" w14:paraId="3D9DD3B5" w14:textId="77777777">
        <w:tc>
          <w:tcPr>
            <w:tcW w:w="1129" w:type="dxa"/>
          </w:tcPr>
          <w:p w14:paraId="34642FFC"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0040</w:t>
            </w:r>
          </w:p>
        </w:tc>
        <w:tc>
          <w:tcPr>
            <w:tcW w:w="7620" w:type="dxa"/>
          </w:tcPr>
          <w:p w14:paraId="02919D22" w14:textId="77777777" w:rsidR="00223EA9" w:rsidRPr="00FD63A8" w:rsidRDefault="00FD63A8">
            <w:pPr>
              <w:spacing w:after="120" w:line="240" w:lineRule="auto"/>
              <w:jc w:val="both"/>
              <w:rPr>
                <w:rFonts w:ascii="Times New Roman" w:eastAsia="Times New Roman" w:hAnsi="Times New Roman" w:cs="Times New Roman"/>
                <w:b/>
                <w:bCs/>
              </w:rPr>
            </w:pPr>
            <w:r w:rsidRPr="00FD63A8">
              <w:rPr>
                <w:rFonts w:ascii="Times New Roman" w:hAnsi="Times New Roman"/>
                <w:b/>
              </w:rPr>
              <w:t>Moder- eller dotterföretag</w:t>
            </w:r>
          </w:p>
          <w:p w14:paraId="2745D8E0"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Anger om den enhet som rapporteras på raden är gruppens moderföretag eller ett dotterföretag</w:t>
            </w:r>
          </w:p>
        </w:tc>
      </w:tr>
      <w:tr w:rsidR="00223EA9" w:rsidRPr="00FD63A8" w14:paraId="377ED857" w14:textId="77777777">
        <w:tc>
          <w:tcPr>
            <w:tcW w:w="1129" w:type="dxa"/>
          </w:tcPr>
          <w:p w14:paraId="6ACF986C"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0050</w:t>
            </w:r>
          </w:p>
        </w:tc>
        <w:tc>
          <w:tcPr>
            <w:tcW w:w="7620" w:type="dxa"/>
          </w:tcPr>
          <w:p w14:paraId="391766FD"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Land</w:t>
            </w:r>
          </w:p>
          <w:p w14:paraId="51D6C636" w14:textId="77777777" w:rsidR="00223EA9" w:rsidRPr="00FD63A8" w:rsidRDefault="00FD63A8">
            <w:pPr>
              <w:autoSpaceDE w:val="0"/>
              <w:autoSpaceDN w:val="0"/>
              <w:spacing w:before="40" w:after="40" w:line="240" w:lineRule="auto"/>
              <w:rPr>
                <w:rFonts w:ascii="Times New Roman" w:eastAsia="Times New Roman" w:hAnsi="Times New Roman" w:cs="Times New Roman"/>
                <w:b/>
                <w:bCs/>
                <w:u w:val="single"/>
              </w:rPr>
            </w:pPr>
            <w:r w:rsidRPr="00FD63A8">
              <w:rPr>
                <w:rStyle w:val="InstructionsTabelleText"/>
                <w:rFonts w:ascii="Times New Roman" w:hAnsi="Times New Roman"/>
                <w:sz w:val="22"/>
              </w:rPr>
              <w:t>Det land där dotterföretaget är beläget ska anges.</w:t>
            </w:r>
          </w:p>
        </w:tc>
      </w:tr>
      <w:tr w:rsidR="00223EA9" w:rsidRPr="00FD63A8" w14:paraId="227DEC36" w14:textId="77777777">
        <w:tc>
          <w:tcPr>
            <w:tcW w:w="1129" w:type="dxa"/>
          </w:tcPr>
          <w:p w14:paraId="183E4977"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0060 – 0100</w:t>
            </w:r>
          </w:p>
        </w:tc>
        <w:tc>
          <w:tcPr>
            <w:tcW w:w="7620" w:type="dxa"/>
          </w:tcPr>
          <w:p w14:paraId="28951520"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 xml:space="preserve">Moderföretagets </w:t>
            </w:r>
            <w:r w:rsidRPr="00FD63A8">
              <w:rPr>
                <w:rFonts w:ascii="Times New Roman" w:hAnsi="Times New Roman"/>
                <w:b/>
                <w:u w:val="single"/>
              </w:rPr>
              <w:t>investeringar</w:t>
            </w:r>
          </w:p>
          <w:p w14:paraId="7A583D9F"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8.3 a i förordning (EU) 2019/2033.</w:t>
            </w:r>
          </w:p>
          <w:p w14:paraId="2640E42A"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rPr>
              <w:t>I detta avsnitt ska moderföretagets investeringar i gruppenheterna anges.</w:t>
            </w:r>
          </w:p>
        </w:tc>
      </w:tr>
      <w:tr w:rsidR="00223EA9" w:rsidRPr="00FD63A8" w14:paraId="0BF507A5" w14:textId="77777777">
        <w:tc>
          <w:tcPr>
            <w:tcW w:w="1129" w:type="dxa"/>
            <w:tcBorders>
              <w:top w:val="single" w:sz="4" w:space="0" w:color="auto"/>
              <w:left w:val="single" w:sz="4" w:space="0" w:color="auto"/>
              <w:bottom w:val="single" w:sz="4" w:space="0" w:color="auto"/>
              <w:right w:val="single" w:sz="4" w:space="0" w:color="auto"/>
            </w:tcBorders>
          </w:tcPr>
          <w:p w14:paraId="53DB9BFF"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0060</w:t>
            </w:r>
          </w:p>
        </w:tc>
        <w:tc>
          <w:tcPr>
            <w:tcW w:w="7620" w:type="dxa"/>
            <w:tcBorders>
              <w:top w:val="single" w:sz="4" w:space="0" w:color="auto"/>
              <w:left w:val="single" w:sz="4" w:space="0" w:color="auto"/>
              <w:bottom w:val="single" w:sz="4" w:space="0" w:color="auto"/>
              <w:right w:val="single" w:sz="4" w:space="0" w:color="auto"/>
            </w:tcBorders>
          </w:tcPr>
          <w:p w14:paraId="2AFC714F"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b/>
                <w:u w:val="single"/>
              </w:rPr>
              <w:t>Kärnprimärkapital</w:t>
            </w:r>
          </w:p>
          <w:p w14:paraId="3193BE37"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rPr>
              <w:t xml:space="preserve">Artikel 8.3 a i förordning (EU) 2019/2033, jämförd med artikel 36.1 i i förordning (EU) nr </w:t>
            </w:r>
            <w:r w:rsidRPr="00FD63A8">
              <w:rPr>
                <w:rFonts w:ascii="Times New Roman" w:hAnsi="Times New Roman"/>
              </w:rPr>
              <w:t>575/2013.</w:t>
            </w:r>
          </w:p>
        </w:tc>
      </w:tr>
      <w:tr w:rsidR="00223EA9" w:rsidRPr="00FD63A8" w14:paraId="2BB81FEC" w14:textId="77777777">
        <w:tc>
          <w:tcPr>
            <w:tcW w:w="1129" w:type="dxa"/>
            <w:tcBorders>
              <w:top w:val="single" w:sz="4" w:space="0" w:color="auto"/>
              <w:bottom w:val="single" w:sz="4" w:space="0" w:color="auto"/>
            </w:tcBorders>
          </w:tcPr>
          <w:p w14:paraId="5232F93E"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0070</w:t>
            </w:r>
          </w:p>
        </w:tc>
        <w:tc>
          <w:tcPr>
            <w:tcW w:w="7620" w:type="dxa"/>
            <w:tcBorders>
              <w:top w:val="single" w:sz="4" w:space="0" w:color="auto"/>
              <w:bottom w:val="single" w:sz="4" w:space="0" w:color="auto"/>
            </w:tcBorders>
          </w:tcPr>
          <w:p w14:paraId="08909120"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b/>
                <w:u w:val="single"/>
              </w:rPr>
              <w:t>Primärkapitaltillskott</w:t>
            </w:r>
          </w:p>
          <w:p w14:paraId="2D1C24AF"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8.3 a i förordning (EU) 2019/2033, jämförd med artikel 56 d i förordning (EU) nr 575/2013.</w:t>
            </w:r>
          </w:p>
        </w:tc>
      </w:tr>
      <w:tr w:rsidR="00223EA9" w:rsidRPr="00FD63A8" w14:paraId="64F40156" w14:textId="77777777">
        <w:tc>
          <w:tcPr>
            <w:tcW w:w="1129" w:type="dxa"/>
            <w:tcBorders>
              <w:top w:val="single" w:sz="4" w:space="0" w:color="auto"/>
              <w:bottom w:val="single" w:sz="4" w:space="0" w:color="auto"/>
            </w:tcBorders>
          </w:tcPr>
          <w:p w14:paraId="51AD6C1D"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0080</w:t>
            </w:r>
          </w:p>
        </w:tc>
        <w:tc>
          <w:tcPr>
            <w:tcW w:w="7620" w:type="dxa"/>
            <w:tcBorders>
              <w:top w:val="single" w:sz="4" w:space="0" w:color="auto"/>
              <w:bottom w:val="single" w:sz="4" w:space="0" w:color="auto"/>
            </w:tcBorders>
          </w:tcPr>
          <w:p w14:paraId="0519640A"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Supplementärkapital</w:t>
            </w:r>
          </w:p>
          <w:p w14:paraId="3A1F7C65"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rPr>
              <w:t>Artikel 8.3 a i förordning (EU) 2019/2033, jämförd med artikel 66 d i förordning (EU) nr 575</w:t>
            </w:r>
            <w:r w:rsidRPr="00FD63A8">
              <w:rPr>
                <w:rFonts w:ascii="Times New Roman" w:hAnsi="Times New Roman"/>
              </w:rPr>
              <w:t>/2013.</w:t>
            </w:r>
          </w:p>
        </w:tc>
      </w:tr>
      <w:tr w:rsidR="00223EA9" w:rsidRPr="00FD63A8" w14:paraId="25EBEDA8" w14:textId="77777777">
        <w:tc>
          <w:tcPr>
            <w:tcW w:w="1129" w:type="dxa"/>
          </w:tcPr>
          <w:p w14:paraId="7FE4277D"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0090</w:t>
            </w:r>
          </w:p>
        </w:tc>
        <w:tc>
          <w:tcPr>
            <w:tcW w:w="7620" w:type="dxa"/>
          </w:tcPr>
          <w:p w14:paraId="6ECBF226"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Innehav</w:t>
            </w:r>
          </w:p>
          <w:p w14:paraId="211592DE"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8.3 a i förordning (EU) 2019/2033.</w:t>
            </w:r>
          </w:p>
          <w:p w14:paraId="53B01A40"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Denna kolumn ska innehålla moderföretagets innehav i den mån det inte utgör kapitalbas för den gruppenhet som moderföretaget investerar i.</w:t>
            </w:r>
          </w:p>
        </w:tc>
      </w:tr>
      <w:tr w:rsidR="00223EA9" w:rsidRPr="00FD63A8" w14:paraId="4476EF1B" w14:textId="77777777">
        <w:tc>
          <w:tcPr>
            <w:tcW w:w="1129" w:type="dxa"/>
            <w:tcBorders>
              <w:bottom w:val="single" w:sz="4" w:space="0" w:color="auto"/>
            </w:tcBorders>
          </w:tcPr>
          <w:p w14:paraId="670908CA"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0100</w:t>
            </w:r>
          </w:p>
        </w:tc>
        <w:tc>
          <w:tcPr>
            <w:tcW w:w="7620" w:type="dxa"/>
            <w:tcBorders>
              <w:bottom w:val="single" w:sz="4" w:space="0" w:color="auto"/>
            </w:tcBorders>
          </w:tcPr>
          <w:p w14:paraId="60A32784"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b/>
                <w:u w:val="single"/>
              </w:rPr>
              <w:t>Efterställda fordringar</w:t>
            </w:r>
          </w:p>
          <w:p w14:paraId="6E2FCFA3"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 xml:space="preserve">Artikel 8.3 a i </w:t>
            </w:r>
            <w:r w:rsidRPr="00FD63A8">
              <w:rPr>
                <w:rFonts w:ascii="Times New Roman" w:hAnsi="Times New Roman"/>
              </w:rPr>
              <w:t>förordning (EU) 2019/2033.</w:t>
            </w:r>
          </w:p>
          <w:p w14:paraId="3B3D9481"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rPr>
              <w:t>Denna kolumn ska innehålla efterställda fordringar från moderföretaget i den mån de inte utgör kapitalbas för den gruppenhet som moderföretaget investerar i.</w:t>
            </w:r>
          </w:p>
        </w:tc>
      </w:tr>
      <w:tr w:rsidR="00223EA9" w:rsidRPr="00FD63A8" w14:paraId="336E7DF1" w14:textId="77777777">
        <w:tc>
          <w:tcPr>
            <w:tcW w:w="1129" w:type="dxa"/>
            <w:tcBorders>
              <w:top w:val="single" w:sz="4" w:space="0" w:color="auto"/>
              <w:bottom w:val="single" w:sz="4" w:space="0" w:color="auto"/>
            </w:tcBorders>
          </w:tcPr>
          <w:p w14:paraId="21BFBB46"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0110</w:t>
            </w:r>
          </w:p>
        </w:tc>
        <w:tc>
          <w:tcPr>
            <w:tcW w:w="7620" w:type="dxa"/>
            <w:tcBorders>
              <w:top w:val="single" w:sz="4" w:space="0" w:color="auto"/>
              <w:bottom w:val="single" w:sz="4" w:space="0" w:color="auto"/>
            </w:tcBorders>
          </w:tcPr>
          <w:p w14:paraId="53802573"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 xml:space="preserve">Moderföretagets eventualförpliktelser till förmån för </w:t>
            </w:r>
            <w:r w:rsidRPr="00FD63A8">
              <w:rPr>
                <w:rFonts w:ascii="Times New Roman" w:hAnsi="Times New Roman"/>
                <w:b/>
                <w:u w:val="single"/>
              </w:rPr>
              <w:t>företaget</w:t>
            </w:r>
          </w:p>
          <w:p w14:paraId="76298F61"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8.3 b i förordning (EU) 2019/2033.</w:t>
            </w:r>
          </w:p>
        </w:tc>
      </w:tr>
      <w:tr w:rsidR="00223EA9" w:rsidRPr="00FD63A8" w14:paraId="7816819B" w14:textId="77777777">
        <w:tc>
          <w:tcPr>
            <w:tcW w:w="1129" w:type="dxa"/>
            <w:tcBorders>
              <w:top w:val="single" w:sz="4" w:space="0" w:color="auto"/>
              <w:bottom w:val="single" w:sz="4" w:space="0" w:color="auto"/>
            </w:tcBorders>
          </w:tcPr>
          <w:p w14:paraId="30E24A36"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0120</w:t>
            </w:r>
          </w:p>
        </w:tc>
        <w:tc>
          <w:tcPr>
            <w:tcW w:w="7620" w:type="dxa"/>
            <w:tcBorders>
              <w:top w:val="single" w:sz="4" w:space="0" w:color="auto"/>
              <w:bottom w:val="single" w:sz="4" w:space="0" w:color="auto"/>
            </w:tcBorders>
          </w:tcPr>
          <w:p w14:paraId="7445D447"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Totala kapitalbaskrav för dotterföretagen</w:t>
            </w:r>
          </w:p>
          <w:p w14:paraId="35ED9FC1"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Artikel 8.4 i förordning (EU) 2019/2033.</w:t>
            </w:r>
          </w:p>
        </w:tc>
      </w:tr>
      <w:tr w:rsidR="00223EA9" w:rsidRPr="00FD63A8" w14:paraId="2AC1D7E4" w14:textId="77777777">
        <w:tc>
          <w:tcPr>
            <w:tcW w:w="1129" w:type="dxa"/>
            <w:tcBorders>
              <w:top w:val="single" w:sz="4" w:space="0" w:color="auto"/>
              <w:bottom w:val="single" w:sz="4" w:space="0" w:color="auto"/>
            </w:tcBorders>
          </w:tcPr>
          <w:p w14:paraId="127716FD"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0130</w:t>
            </w:r>
          </w:p>
        </w:tc>
        <w:tc>
          <w:tcPr>
            <w:tcW w:w="7620" w:type="dxa"/>
            <w:tcBorders>
              <w:top w:val="single" w:sz="4" w:space="0" w:color="auto"/>
              <w:bottom w:val="single" w:sz="4" w:space="0" w:color="auto"/>
            </w:tcBorders>
          </w:tcPr>
          <w:p w14:paraId="7DB9AF2A"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Permanent minimikapitalkrav</w:t>
            </w:r>
          </w:p>
          <w:p w14:paraId="5781D47E" w14:textId="77777777" w:rsidR="00223EA9" w:rsidRPr="00FD63A8" w:rsidRDefault="00FD63A8">
            <w:pPr>
              <w:spacing w:after="120" w:line="240" w:lineRule="auto"/>
              <w:jc w:val="both"/>
              <w:rPr>
                <w:rFonts w:ascii="Times New Roman" w:eastAsia="Times New Roman" w:hAnsi="Times New Roman" w:cs="Times New Roman"/>
                <w:bCs/>
                <w:color w:val="000000" w:themeColor="text1"/>
              </w:rPr>
            </w:pPr>
            <w:r w:rsidRPr="00FD63A8">
              <w:rPr>
                <w:rFonts w:ascii="Times New Roman" w:hAnsi="Times New Roman"/>
                <w:color w:val="000000" w:themeColor="text1"/>
              </w:rPr>
              <w:t>Artikel 14 i förordning (EU) 2019/2033.</w:t>
            </w:r>
          </w:p>
        </w:tc>
      </w:tr>
      <w:tr w:rsidR="00223EA9" w:rsidRPr="00FD63A8" w14:paraId="5A4A7C6D" w14:textId="77777777">
        <w:tc>
          <w:tcPr>
            <w:tcW w:w="1129" w:type="dxa"/>
            <w:tcBorders>
              <w:top w:val="single" w:sz="4" w:space="0" w:color="auto"/>
              <w:bottom w:val="single" w:sz="4" w:space="0" w:color="auto"/>
            </w:tcBorders>
          </w:tcPr>
          <w:p w14:paraId="698411CE"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0140</w:t>
            </w:r>
          </w:p>
        </w:tc>
        <w:tc>
          <w:tcPr>
            <w:tcW w:w="7620" w:type="dxa"/>
            <w:tcBorders>
              <w:top w:val="single" w:sz="4" w:space="0" w:color="auto"/>
              <w:bottom w:val="single" w:sz="4" w:space="0" w:color="auto"/>
            </w:tcBorders>
          </w:tcPr>
          <w:p w14:paraId="0AABECB9"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K-faktorkrav</w:t>
            </w:r>
          </w:p>
          <w:p w14:paraId="00A5235E" w14:textId="77777777" w:rsidR="00223EA9" w:rsidRPr="00FD63A8" w:rsidRDefault="00FD63A8">
            <w:pPr>
              <w:spacing w:after="120" w:line="240" w:lineRule="auto"/>
              <w:jc w:val="both"/>
              <w:rPr>
                <w:rFonts w:ascii="Times New Roman" w:eastAsia="Times New Roman" w:hAnsi="Times New Roman" w:cs="Times New Roman"/>
                <w:bCs/>
                <w:color w:val="000000" w:themeColor="text1"/>
              </w:rPr>
            </w:pPr>
            <w:r w:rsidRPr="00FD63A8">
              <w:rPr>
                <w:rFonts w:ascii="Times New Roman" w:hAnsi="Times New Roman"/>
                <w:color w:val="000000" w:themeColor="text1"/>
              </w:rPr>
              <w:t xml:space="preserve">Artikel 15 i </w:t>
            </w:r>
            <w:r w:rsidRPr="00FD63A8">
              <w:rPr>
                <w:rFonts w:ascii="Times New Roman" w:hAnsi="Times New Roman"/>
                <w:color w:val="000000" w:themeColor="text1"/>
              </w:rPr>
              <w:t>förordning (EU) 2019/2033.</w:t>
            </w:r>
          </w:p>
        </w:tc>
      </w:tr>
      <w:tr w:rsidR="00223EA9" w:rsidRPr="00FD63A8" w14:paraId="29D39DAC" w14:textId="77777777">
        <w:tc>
          <w:tcPr>
            <w:tcW w:w="1129" w:type="dxa"/>
            <w:tcBorders>
              <w:top w:val="single" w:sz="4" w:space="0" w:color="auto"/>
            </w:tcBorders>
          </w:tcPr>
          <w:p w14:paraId="7694530A"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0150</w:t>
            </w:r>
          </w:p>
        </w:tc>
        <w:tc>
          <w:tcPr>
            <w:tcW w:w="7620" w:type="dxa"/>
            <w:tcBorders>
              <w:top w:val="single" w:sz="4" w:space="0" w:color="auto"/>
            </w:tcBorders>
          </w:tcPr>
          <w:p w14:paraId="33428C16"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Förvaltade tillgångar</w:t>
            </w:r>
          </w:p>
          <w:p w14:paraId="1B04FFBC" w14:textId="77777777" w:rsidR="00223EA9" w:rsidRPr="00FD63A8" w:rsidRDefault="00FD63A8">
            <w:pPr>
              <w:spacing w:after="120" w:line="240" w:lineRule="auto"/>
              <w:jc w:val="both"/>
              <w:rPr>
                <w:rFonts w:ascii="Times New Roman" w:eastAsia="Times New Roman" w:hAnsi="Times New Roman" w:cs="Times New Roman"/>
                <w:bCs/>
                <w:color w:val="000000" w:themeColor="text1"/>
              </w:rPr>
            </w:pPr>
            <w:r w:rsidRPr="00FD63A8">
              <w:rPr>
                <w:rFonts w:ascii="Times New Roman" w:hAnsi="Times New Roman"/>
                <w:color w:val="000000" w:themeColor="text1"/>
              </w:rPr>
              <w:t>Artikel 15.2 och artikel 17 i förordning (EU) 2019/2033.</w:t>
            </w:r>
          </w:p>
        </w:tc>
      </w:tr>
      <w:tr w:rsidR="00223EA9" w:rsidRPr="00FD63A8" w14:paraId="76EDC1D0" w14:textId="77777777">
        <w:tc>
          <w:tcPr>
            <w:tcW w:w="1129" w:type="dxa"/>
            <w:tcBorders>
              <w:top w:val="single" w:sz="4" w:space="0" w:color="auto"/>
            </w:tcBorders>
          </w:tcPr>
          <w:p w14:paraId="3654A92D"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0160</w:t>
            </w:r>
          </w:p>
        </w:tc>
        <w:tc>
          <w:tcPr>
            <w:tcW w:w="7620" w:type="dxa"/>
            <w:tcBorders>
              <w:top w:val="single" w:sz="4" w:space="0" w:color="auto"/>
            </w:tcBorders>
          </w:tcPr>
          <w:p w14:paraId="68EAE715"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Innehav av kundmedel - på separerade konton</w:t>
            </w:r>
          </w:p>
          <w:p w14:paraId="16AFF243" w14:textId="77777777" w:rsidR="00223EA9" w:rsidRPr="00FD63A8" w:rsidRDefault="00FD63A8">
            <w:pPr>
              <w:spacing w:after="120" w:line="240" w:lineRule="auto"/>
              <w:jc w:val="both"/>
              <w:rPr>
                <w:rFonts w:ascii="Times New Roman" w:eastAsia="Times New Roman" w:hAnsi="Times New Roman" w:cs="Times New Roman"/>
                <w:bCs/>
                <w:color w:val="000000" w:themeColor="text1"/>
              </w:rPr>
            </w:pPr>
            <w:r w:rsidRPr="00FD63A8">
              <w:rPr>
                <w:rFonts w:ascii="Times New Roman" w:hAnsi="Times New Roman"/>
                <w:color w:val="000000" w:themeColor="text1"/>
              </w:rPr>
              <w:t>Artikel 15.2 och artikel 18 i förordning (EU) 2019/2033.</w:t>
            </w:r>
          </w:p>
        </w:tc>
      </w:tr>
      <w:tr w:rsidR="00223EA9" w:rsidRPr="00FD63A8" w14:paraId="3BC9BE42" w14:textId="77777777">
        <w:tc>
          <w:tcPr>
            <w:tcW w:w="1129" w:type="dxa"/>
            <w:tcBorders>
              <w:top w:val="single" w:sz="4" w:space="0" w:color="auto"/>
            </w:tcBorders>
          </w:tcPr>
          <w:p w14:paraId="1A3141B9"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0170</w:t>
            </w:r>
          </w:p>
        </w:tc>
        <w:tc>
          <w:tcPr>
            <w:tcW w:w="7620" w:type="dxa"/>
            <w:tcBorders>
              <w:top w:val="single" w:sz="4" w:space="0" w:color="auto"/>
            </w:tcBorders>
          </w:tcPr>
          <w:p w14:paraId="6EB3251B"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 xml:space="preserve">Innehav av kundmedel - på </w:t>
            </w:r>
            <w:r w:rsidRPr="00FD63A8">
              <w:rPr>
                <w:rFonts w:ascii="Times New Roman" w:hAnsi="Times New Roman"/>
                <w:b/>
                <w:u w:val="single"/>
              </w:rPr>
              <w:t>icke-separerade konton</w:t>
            </w:r>
          </w:p>
          <w:p w14:paraId="69A360E9" w14:textId="77777777" w:rsidR="00223EA9" w:rsidRPr="00FD63A8" w:rsidRDefault="00FD63A8">
            <w:pPr>
              <w:spacing w:after="120" w:line="240" w:lineRule="auto"/>
              <w:jc w:val="both"/>
              <w:rPr>
                <w:rFonts w:ascii="Times New Roman" w:eastAsia="Times New Roman" w:hAnsi="Times New Roman" w:cs="Times New Roman"/>
                <w:bCs/>
                <w:color w:val="000000" w:themeColor="text1"/>
              </w:rPr>
            </w:pPr>
            <w:r w:rsidRPr="00FD63A8">
              <w:rPr>
                <w:rFonts w:ascii="Times New Roman" w:hAnsi="Times New Roman"/>
                <w:color w:val="000000" w:themeColor="text1"/>
              </w:rPr>
              <w:t>Artikel 15.2 och artikel 18 i förordning (EU) 2019/2033.</w:t>
            </w:r>
          </w:p>
        </w:tc>
      </w:tr>
      <w:tr w:rsidR="00223EA9" w:rsidRPr="00FD63A8" w14:paraId="66C2E2DD" w14:textId="77777777">
        <w:tc>
          <w:tcPr>
            <w:tcW w:w="1129" w:type="dxa"/>
            <w:tcBorders>
              <w:top w:val="single" w:sz="4" w:space="0" w:color="auto"/>
            </w:tcBorders>
          </w:tcPr>
          <w:p w14:paraId="4594CE3B"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0180</w:t>
            </w:r>
          </w:p>
        </w:tc>
        <w:tc>
          <w:tcPr>
            <w:tcW w:w="7620" w:type="dxa"/>
            <w:tcBorders>
              <w:top w:val="single" w:sz="4" w:space="0" w:color="auto"/>
            </w:tcBorders>
          </w:tcPr>
          <w:p w14:paraId="78B8889E" w14:textId="77777777" w:rsidR="00223EA9" w:rsidRPr="00FD63A8" w:rsidRDefault="00FD63A8">
            <w:pPr>
              <w:tabs>
                <w:tab w:val="left" w:pos="3948"/>
              </w:tabs>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Tillgångar under förvaring och administration</w:t>
            </w:r>
          </w:p>
          <w:p w14:paraId="5A5E17C6" w14:textId="77777777" w:rsidR="00223EA9" w:rsidRPr="00FD63A8" w:rsidRDefault="00FD63A8">
            <w:pPr>
              <w:spacing w:after="120" w:line="240" w:lineRule="auto"/>
              <w:jc w:val="both"/>
              <w:rPr>
                <w:rFonts w:ascii="Times New Roman" w:eastAsia="Times New Roman" w:hAnsi="Times New Roman" w:cs="Times New Roman"/>
                <w:bCs/>
                <w:color w:val="000000" w:themeColor="text1"/>
              </w:rPr>
            </w:pPr>
            <w:r w:rsidRPr="00FD63A8">
              <w:rPr>
                <w:rFonts w:ascii="Times New Roman" w:hAnsi="Times New Roman"/>
                <w:color w:val="000000" w:themeColor="text1"/>
              </w:rPr>
              <w:t xml:space="preserve">Artikel 15.2 och artikel 19 i förordning (EU) 2019/2033. </w:t>
            </w:r>
          </w:p>
        </w:tc>
      </w:tr>
      <w:tr w:rsidR="00223EA9" w:rsidRPr="00FD63A8" w14:paraId="1A94A0DE" w14:textId="77777777">
        <w:tc>
          <w:tcPr>
            <w:tcW w:w="1129" w:type="dxa"/>
            <w:tcBorders>
              <w:top w:val="single" w:sz="4" w:space="0" w:color="auto"/>
            </w:tcBorders>
          </w:tcPr>
          <w:p w14:paraId="5D86339E"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0190</w:t>
            </w:r>
          </w:p>
        </w:tc>
        <w:tc>
          <w:tcPr>
            <w:tcW w:w="7620" w:type="dxa"/>
            <w:tcBorders>
              <w:top w:val="single" w:sz="4" w:space="0" w:color="auto"/>
            </w:tcBorders>
          </w:tcPr>
          <w:p w14:paraId="00770D7E"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Hantering av kundorder – kontanttransaktioner</w:t>
            </w:r>
          </w:p>
          <w:p w14:paraId="724D4D1F" w14:textId="77777777" w:rsidR="00223EA9" w:rsidRPr="00FD63A8" w:rsidRDefault="00FD63A8">
            <w:pPr>
              <w:spacing w:after="120" w:line="240" w:lineRule="auto"/>
              <w:jc w:val="both"/>
              <w:rPr>
                <w:rFonts w:ascii="Times New Roman" w:eastAsia="Times New Roman" w:hAnsi="Times New Roman" w:cs="Times New Roman"/>
                <w:bCs/>
                <w:color w:val="000000" w:themeColor="text1"/>
              </w:rPr>
            </w:pPr>
            <w:r w:rsidRPr="00FD63A8">
              <w:rPr>
                <w:rFonts w:ascii="Times New Roman" w:hAnsi="Times New Roman"/>
                <w:color w:val="000000" w:themeColor="text1"/>
              </w:rPr>
              <w:t xml:space="preserve">Artikel 15.2, </w:t>
            </w:r>
            <w:r w:rsidRPr="00FD63A8">
              <w:rPr>
                <w:rFonts w:ascii="Times New Roman" w:hAnsi="Times New Roman"/>
                <w:color w:val="000000" w:themeColor="text1"/>
              </w:rPr>
              <w:t>artikel 20.1 och artikel 20.2 a i förordning (EU) 2019/2033.</w:t>
            </w:r>
          </w:p>
        </w:tc>
      </w:tr>
      <w:tr w:rsidR="00223EA9" w:rsidRPr="00FD63A8" w14:paraId="251B0A17" w14:textId="77777777">
        <w:tc>
          <w:tcPr>
            <w:tcW w:w="1129" w:type="dxa"/>
            <w:tcBorders>
              <w:top w:val="single" w:sz="4" w:space="0" w:color="auto"/>
            </w:tcBorders>
          </w:tcPr>
          <w:p w14:paraId="52EC1460"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0200</w:t>
            </w:r>
          </w:p>
        </w:tc>
        <w:tc>
          <w:tcPr>
            <w:tcW w:w="7620" w:type="dxa"/>
            <w:tcBorders>
              <w:top w:val="single" w:sz="4" w:space="0" w:color="auto"/>
            </w:tcBorders>
          </w:tcPr>
          <w:p w14:paraId="45D69BC3"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Hantering av kundorder – derivattransaktioner</w:t>
            </w:r>
          </w:p>
          <w:p w14:paraId="55226F77" w14:textId="77777777" w:rsidR="00223EA9" w:rsidRPr="00FD63A8" w:rsidRDefault="00FD63A8">
            <w:pPr>
              <w:spacing w:after="120" w:line="240" w:lineRule="auto"/>
              <w:jc w:val="both"/>
              <w:rPr>
                <w:rFonts w:ascii="Times New Roman" w:eastAsia="Times New Roman" w:hAnsi="Times New Roman" w:cs="Times New Roman"/>
                <w:bCs/>
                <w:color w:val="000000" w:themeColor="text1"/>
              </w:rPr>
            </w:pPr>
            <w:r w:rsidRPr="00FD63A8">
              <w:rPr>
                <w:rFonts w:ascii="Times New Roman" w:hAnsi="Times New Roman"/>
                <w:color w:val="000000" w:themeColor="text1"/>
              </w:rPr>
              <w:t>Artikel 15.2, artikel 20.1 och artikel 20.2 b i förordning (EU) 2019/2033.</w:t>
            </w:r>
          </w:p>
        </w:tc>
      </w:tr>
      <w:tr w:rsidR="00223EA9" w:rsidRPr="00FD63A8" w14:paraId="09B041E1" w14:textId="77777777">
        <w:tc>
          <w:tcPr>
            <w:tcW w:w="1129" w:type="dxa"/>
            <w:tcBorders>
              <w:top w:val="single" w:sz="4" w:space="0" w:color="auto"/>
            </w:tcBorders>
          </w:tcPr>
          <w:p w14:paraId="195ED060"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0210</w:t>
            </w:r>
          </w:p>
        </w:tc>
        <w:tc>
          <w:tcPr>
            <w:tcW w:w="7620" w:type="dxa"/>
            <w:tcBorders>
              <w:top w:val="single" w:sz="4" w:space="0" w:color="auto"/>
            </w:tcBorders>
          </w:tcPr>
          <w:p w14:paraId="656CB94E"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K-nettopositionsriskkrav</w:t>
            </w:r>
          </w:p>
          <w:p w14:paraId="170DDBA7" w14:textId="77777777" w:rsidR="00223EA9" w:rsidRPr="00FD63A8" w:rsidRDefault="00FD63A8">
            <w:pPr>
              <w:spacing w:after="120" w:line="240" w:lineRule="auto"/>
              <w:jc w:val="both"/>
              <w:rPr>
                <w:rFonts w:ascii="Times New Roman" w:eastAsia="Times New Roman" w:hAnsi="Times New Roman" w:cs="Times New Roman"/>
                <w:bCs/>
                <w:color w:val="000000" w:themeColor="text1"/>
              </w:rPr>
            </w:pPr>
            <w:r w:rsidRPr="00FD63A8">
              <w:rPr>
                <w:rFonts w:ascii="Times New Roman" w:hAnsi="Times New Roman"/>
                <w:color w:val="000000" w:themeColor="text1"/>
              </w:rPr>
              <w:t xml:space="preserve">Artikel 22 i förordning (EU) </w:t>
            </w:r>
            <w:r w:rsidRPr="00FD63A8">
              <w:rPr>
                <w:rFonts w:ascii="Times New Roman" w:hAnsi="Times New Roman"/>
                <w:color w:val="000000" w:themeColor="text1"/>
              </w:rPr>
              <w:t>2019/2033.</w:t>
            </w:r>
          </w:p>
        </w:tc>
      </w:tr>
      <w:tr w:rsidR="00223EA9" w:rsidRPr="00FD63A8" w14:paraId="22DC4E1D" w14:textId="77777777">
        <w:tc>
          <w:tcPr>
            <w:tcW w:w="1129" w:type="dxa"/>
            <w:tcBorders>
              <w:top w:val="single" w:sz="4" w:space="0" w:color="auto"/>
            </w:tcBorders>
          </w:tcPr>
          <w:p w14:paraId="49DC0EA8"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0220</w:t>
            </w:r>
          </w:p>
        </w:tc>
        <w:tc>
          <w:tcPr>
            <w:tcW w:w="7620" w:type="dxa"/>
            <w:tcBorders>
              <w:top w:val="single" w:sz="4" w:space="0" w:color="auto"/>
            </w:tcBorders>
          </w:tcPr>
          <w:p w14:paraId="1A2B2C88"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Angiven clearingmarginal</w:t>
            </w:r>
          </w:p>
          <w:p w14:paraId="05582DA9" w14:textId="77777777" w:rsidR="00223EA9" w:rsidRPr="00FD63A8" w:rsidRDefault="00FD63A8">
            <w:pPr>
              <w:spacing w:after="120" w:line="240" w:lineRule="auto"/>
              <w:jc w:val="both"/>
              <w:rPr>
                <w:rFonts w:ascii="Times New Roman" w:eastAsia="Times New Roman" w:hAnsi="Times New Roman" w:cs="Times New Roman"/>
                <w:bCs/>
                <w:color w:val="000000" w:themeColor="text1"/>
              </w:rPr>
            </w:pPr>
            <w:r w:rsidRPr="00FD63A8">
              <w:rPr>
                <w:rFonts w:ascii="Times New Roman" w:hAnsi="Times New Roman"/>
                <w:color w:val="000000" w:themeColor="text1"/>
              </w:rPr>
              <w:t>Artikel 23.2 i förordning (EU) 2019/2033.</w:t>
            </w:r>
          </w:p>
        </w:tc>
      </w:tr>
      <w:tr w:rsidR="00223EA9" w:rsidRPr="00FD63A8" w14:paraId="7149EA4D" w14:textId="77777777">
        <w:tc>
          <w:tcPr>
            <w:tcW w:w="1129" w:type="dxa"/>
            <w:tcBorders>
              <w:top w:val="single" w:sz="4" w:space="0" w:color="auto"/>
            </w:tcBorders>
          </w:tcPr>
          <w:p w14:paraId="78AD7E55"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0230</w:t>
            </w:r>
          </w:p>
        </w:tc>
        <w:tc>
          <w:tcPr>
            <w:tcW w:w="7620" w:type="dxa"/>
            <w:tcBorders>
              <w:top w:val="single" w:sz="4" w:space="0" w:color="auto"/>
            </w:tcBorders>
          </w:tcPr>
          <w:p w14:paraId="32D46DE1"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Motpartsrisk</w:t>
            </w:r>
          </w:p>
          <w:p w14:paraId="1A8812E7" w14:textId="77777777" w:rsidR="00223EA9" w:rsidRPr="00FD63A8" w:rsidRDefault="00FD63A8">
            <w:pPr>
              <w:spacing w:after="120" w:line="240" w:lineRule="auto"/>
              <w:jc w:val="both"/>
              <w:rPr>
                <w:rFonts w:ascii="Times New Roman" w:eastAsia="Times New Roman" w:hAnsi="Times New Roman" w:cs="Times New Roman"/>
                <w:bCs/>
                <w:color w:val="000000" w:themeColor="text1"/>
              </w:rPr>
            </w:pPr>
            <w:r w:rsidRPr="00FD63A8">
              <w:rPr>
                <w:rFonts w:ascii="Times New Roman" w:hAnsi="Times New Roman"/>
                <w:color w:val="000000" w:themeColor="text1"/>
              </w:rPr>
              <w:t>Artikel 26 och artikel 24 i förordning (EU) 2019/2033.</w:t>
            </w:r>
          </w:p>
        </w:tc>
      </w:tr>
      <w:tr w:rsidR="00223EA9" w:rsidRPr="00FD63A8" w14:paraId="6986BB37" w14:textId="77777777">
        <w:tc>
          <w:tcPr>
            <w:tcW w:w="1129" w:type="dxa"/>
            <w:tcBorders>
              <w:top w:val="single" w:sz="4" w:space="0" w:color="auto"/>
            </w:tcBorders>
          </w:tcPr>
          <w:p w14:paraId="3BAE89A1"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0240</w:t>
            </w:r>
          </w:p>
        </w:tc>
        <w:tc>
          <w:tcPr>
            <w:tcW w:w="7620" w:type="dxa"/>
            <w:tcBorders>
              <w:top w:val="single" w:sz="4" w:space="0" w:color="auto"/>
            </w:tcBorders>
          </w:tcPr>
          <w:p w14:paraId="31E2B07E"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Daglig handelsaktivitet – kontanttransaktioner</w:t>
            </w:r>
          </w:p>
          <w:p w14:paraId="6099A4CB" w14:textId="77777777" w:rsidR="00223EA9" w:rsidRPr="00FD63A8" w:rsidRDefault="00FD63A8">
            <w:pPr>
              <w:spacing w:after="120" w:line="240" w:lineRule="auto"/>
              <w:jc w:val="both"/>
              <w:rPr>
                <w:rFonts w:ascii="Times New Roman" w:eastAsia="Times New Roman" w:hAnsi="Times New Roman" w:cs="Times New Roman"/>
                <w:bCs/>
                <w:color w:val="000000" w:themeColor="text1"/>
              </w:rPr>
            </w:pPr>
            <w:r w:rsidRPr="00FD63A8">
              <w:rPr>
                <w:rFonts w:ascii="Times New Roman" w:hAnsi="Times New Roman"/>
                <w:color w:val="000000" w:themeColor="text1"/>
              </w:rPr>
              <w:t xml:space="preserve">Vid beräkning av K-faktorkrav ska </w:t>
            </w:r>
            <w:r w:rsidRPr="00FD63A8">
              <w:rPr>
                <w:rFonts w:ascii="Times New Roman" w:hAnsi="Times New Roman"/>
                <w:color w:val="000000" w:themeColor="text1"/>
              </w:rPr>
              <w:t>värdepappersföretag rapportera genom att tillämpa koefficienten i artikel 15.2 i förordning (EU) 2019/2033.</w:t>
            </w:r>
          </w:p>
          <w:p w14:paraId="0153E37B" w14:textId="77777777" w:rsidR="00223EA9" w:rsidRPr="00FD63A8" w:rsidRDefault="00FD63A8">
            <w:pPr>
              <w:spacing w:after="120" w:line="240" w:lineRule="auto"/>
              <w:jc w:val="both"/>
              <w:rPr>
                <w:rFonts w:ascii="Times New Roman" w:eastAsia="Times New Roman" w:hAnsi="Times New Roman" w:cs="Times New Roman"/>
                <w:bCs/>
                <w:i/>
                <w:color w:val="000000" w:themeColor="text1"/>
              </w:rPr>
            </w:pPr>
            <w:r w:rsidRPr="00FD63A8">
              <w:rPr>
                <w:rFonts w:ascii="Times New Roman" w:hAnsi="Times New Roman"/>
                <w:color w:val="000000" w:themeColor="text1"/>
              </w:rPr>
              <w:t>Vid stressade marknadsförhållanden ska värdepappersföretagen, i enlighet med artikel 15.5 c i förordning (EU) 2019/2033, tillämpa en justerad koeffi</w:t>
            </w:r>
            <w:r w:rsidRPr="00FD63A8">
              <w:rPr>
                <w:rFonts w:ascii="Times New Roman" w:hAnsi="Times New Roman"/>
                <w:color w:val="000000" w:themeColor="text1"/>
              </w:rPr>
              <w:t>cient som specificeras i den punkten.</w:t>
            </w:r>
          </w:p>
          <w:p w14:paraId="0A4A9019" w14:textId="77777777" w:rsidR="00223EA9" w:rsidRPr="00FD63A8" w:rsidRDefault="00FD63A8">
            <w:pPr>
              <w:spacing w:after="120" w:line="240" w:lineRule="auto"/>
              <w:jc w:val="both"/>
              <w:rPr>
                <w:rFonts w:ascii="Times New Roman" w:eastAsia="Times New Roman" w:hAnsi="Times New Roman" w:cs="Times New Roman"/>
                <w:bCs/>
                <w:color w:val="000000" w:themeColor="text1"/>
              </w:rPr>
            </w:pPr>
            <w:r w:rsidRPr="00FD63A8">
              <w:rPr>
                <w:rFonts w:ascii="Times New Roman" w:hAnsi="Times New Roman"/>
                <w:color w:val="000000" w:themeColor="text1"/>
              </w:rPr>
              <w:t>Den dagliga handelsaktivitetsfaktorn ska beräknas i enlighet med artikel 33.2 a i förordning (EU) 2019/2033.</w:t>
            </w:r>
          </w:p>
        </w:tc>
      </w:tr>
      <w:tr w:rsidR="00223EA9" w:rsidRPr="00FD63A8" w14:paraId="3D4965F9" w14:textId="77777777">
        <w:tc>
          <w:tcPr>
            <w:tcW w:w="1129" w:type="dxa"/>
            <w:tcBorders>
              <w:top w:val="single" w:sz="4" w:space="0" w:color="auto"/>
            </w:tcBorders>
          </w:tcPr>
          <w:p w14:paraId="70C911CB"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0250</w:t>
            </w:r>
          </w:p>
        </w:tc>
        <w:tc>
          <w:tcPr>
            <w:tcW w:w="7620" w:type="dxa"/>
            <w:tcBorders>
              <w:top w:val="single" w:sz="4" w:space="0" w:color="auto"/>
            </w:tcBorders>
          </w:tcPr>
          <w:p w14:paraId="6CBC94FA"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Daglig handelsaktivitet – derivattransaktioner</w:t>
            </w:r>
          </w:p>
          <w:p w14:paraId="19AC1AF5" w14:textId="77777777" w:rsidR="00223EA9" w:rsidRPr="00FD63A8" w:rsidRDefault="00FD63A8">
            <w:pPr>
              <w:spacing w:after="120" w:line="240" w:lineRule="auto"/>
              <w:jc w:val="both"/>
              <w:rPr>
                <w:rFonts w:ascii="Times New Roman" w:eastAsia="Times New Roman" w:hAnsi="Times New Roman" w:cs="Times New Roman"/>
                <w:bCs/>
                <w:color w:val="000000" w:themeColor="text1"/>
              </w:rPr>
            </w:pPr>
            <w:r w:rsidRPr="00FD63A8">
              <w:rPr>
                <w:rFonts w:ascii="Times New Roman" w:hAnsi="Times New Roman"/>
                <w:color w:val="000000" w:themeColor="text1"/>
              </w:rPr>
              <w:t>Vid beräkning av K-faktorkrav ska värdepappersföretag ra</w:t>
            </w:r>
            <w:r w:rsidRPr="00FD63A8">
              <w:rPr>
                <w:rFonts w:ascii="Times New Roman" w:hAnsi="Times New Roman"/>
                <w:color w:val="000000" w:themeColor="text1"/>
              </w:rPr>
              <w:t>pportera genom att tillämpa koefficienten i artikel 15.2 i förordning (EU) 2019/2033.</w:t>
            </w:r>
          </w:p>
          <w:p w14:paraId="7A92DE46" w14:textId="77777777" w:rsidR="00223EA9" w:rsidRPr="00FD63A8" w:rsidRDefault="00FD63A8">
            <w:pPr>
              <w:spacing w:after="120" w:line="240" w:lineRule="auto"/>
              <w:jc w:val="both"/>
              <w:rPr>
                <w:rFonts w:ascii="Times New Roman" w:eastAsia="Times New Roman" w:hAnsi="Times New Roman" w:cs="Times New Roman"/>
                <w:bCs/>
                <w:i/>
                <w:color w:val="000000" w:themeColor="text1"/>
              </w:rPr>
            </w:pPr>
            <w:r w:rsidRPr="00FD63A8">
              <w:rPr>
                <w:rFonts w:ascii="Times New Roman" w:hAnsi="Times New Roman"/>
                <w:color w:val="000000" w:themeColor="text1"/>
              </w:rPr>
              <w:t>Vid stressade marknadsförhållanden ska värdepappersföretagen, i enlighet med artikel 15.5 c i förordning (EU) 2019/2033, tillämpa en justerad koefficient som specificeras</w:t>
            </w:r>
            <w:r w:rsidRPr="00FD63A8">
              <w:rPr>
                <w:rFonts w:ascii="Times New Roman" w:hAnsi="Times New Roman"/>
                <w:color w:val="000000" w:themeColor="text1"/>
              </w:rPr>
              <w:t xml:space="preserve"> i den punkten.</w:t>
            </w:r>
          </w:p>
          <w:p w14:paraId="6F662940" w14:textId="77777777" w:rsidR="00223EA9" w:rsidRPr="00FD63A8" w:rsidRDefault="00FD63A8">
            <w:pPr>
              <w:spacing w:after="120" w:line="240" w:lineRule="auto"/>
              <w:jc w:val="both"/>
              <w:rPr>
                <w:rFonts w:ascii="Times New Roman" w:eastAsia="Times New Roman" w:hAnsi="Times New Roman" w:cs="Times New Roman"/>
                <w:bCs/>
                <w:color w:val="000000" w:themeColor="text1"/>
              </w:rPr>
            </w:pPr>
            <w:r w:rsidRPr="00FD63A8">
              <w:rPr>
                <w:rFonts w:ascii="Times New Roman" w:hAnsi="Times New Roman"/>
                <w:color w:val="000000" w:themeColor="text1"/>
              </w:rPr>
              <w:t>Den dagliga handelsaktivitetsfaktorn ska beräknas i enlighet med artikel 33.2 b i förordning (EU) 2019/2033.</w:t>
            </w:r>
          </w:p>
        </w:tc>
      </w:tr>
      <w:tr w:rsidR="00223EA9" w:rsidRPr="00FD63A8" w14:paraId="21B582E8" w14:textId="77777777">
        <w:tc>
          <w:tcPr>
            <w:tcW w:w="1129" w:type="dxa"/>
            <w:tcBorders>
              <w:top w:val="single" w:sz="4" w:space="0" w:color="auto"/>
            </w:tcBorders>
          </w:tcPr>
          <w:p w14:paraId="43D9E6AF"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0260</w:t>
            </w:r>
          </w:p>
        </w:tc>
        <w:tc>
          <w:tcPr>
            <w:tcW w:w="7620" w:type="dxa"/>
            <w:tcBorders>
              <w:top w:val="single" w:sz="4" w:space="0" w:color="auto"/>
            </w:tcBorders>
          </w:tcPr>
          <w:p w14:paraId="1973B0A0"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Krav på K-koncentrationsrisk</w:t>
            </w:r>
          </w:p>
          <w:p w14:paraId="064BB6EE" w14:textId="77777777" w:rsidR="00223EA9" w:rsidRPr="00FD63A8" w:rsidRDefault="00FD63A8">
            <w:pPr>
              <w:spacing w:after="120" w:line="240" w:lineRule="auto"/>
              <w:jc w:val="both"/>
              <w:rPr>
                <w:rFonts w:ascii="Times New Roman" w:eastAsia="Times New Roman" w:hAnsi="Times New Roman" w:cs="Times New Roman"/>
                <w:bCs/>
                <w:color w:val="000000" w:themeColor="text1"/>
              </w:rPr>
            </w:pPr>
            <w:r w:rsidRPr="00FD63A8">
              <w:rPr>
                <w:rFonts w:ascii="Times New Roman" w:hAnsi="Times New Roman"/>
                <w:color w:val="000000" w:themeColor="text1"/>
              </w:rPr>
              <w:t>Artiklarna 37.2, 39 och 24 i förordning (EU) 2019/2033.</w:t>
            </w:r>
          </w:p>
        </w:tc>
      </w:tr>
      <w:tr w:rsidR="00223EA9" w14:paraId="08CA4AF5" w14:textId="77777777">
        <w:tc>
          <w:tcPr>
            <w:tcW w:w="1129" w:type="dxa"/>
            <w:tcBorders>
              <w:top w:val="single" w:sz="4" w:space="0" w:color="auto"/>
            </w:tcBorders>
          </w:tcPr>
          <w:p w14:paraId="4B6BCBD5" w14:textId="77777777" w:rsidR="00223EA9" w:rsidRPr="00FD63A8" w:rsidRDefault="00FD63A8">
            <w:pPr>
              <w:spacing w:after="120" w:line="240" w:lineRule="auto"/>
              <w:jc w:val="both"/>
              <w:rPr>
                <w:rFonts w:ascii="Times New Roman" w:eastAsia="Times New Roman" w:hAnsi="Times New Roman" w:cs="Times New Roman"/>
                <w:bCs/>
              </w:rPr>
            </w:pPr>
            <w:r w:rsidRPr="00FD63A8">
              <w:rPr>
                <w:rFonts w:ascii="Times New Roman" w:hAnsi="Times New Roman"/>
              </w:rPr>
              <w:t>0270</w:t>
            </w:r>
          </w:p>
        </w:tc>
        <w:tc>
          <w:tcPr>
            <w:tcW w:w="7620" w:type="dxa"/>
            <w:tcBorders>
              <w:top w:val="single" w:sz="4" w:space="0" w:color="auto"/>
            </w:tcBorders>
          </w:tcPr>
          <w:p w14:paraId="01778426" w14:textId="77777777" w:rsidR="00223EA9" w:rsidRPr="00FD63A8" w:rsidRDefault="00FD63A8">
            <w:pPr>
              <w:spacing w:after="120" w:line="240" w:lineRule="auto"/>
              <w:jc w:val="both"/>
              <w:rPr>
                <w:rFonts w:ascii="Times New Roman" w:eastAsia="Times New Roman" w:hAnsi="Times New Roman" w:cs="Times New Roman"/>
                <w:b/>
                <w:bCs/>
                <w:u w:val="single"/>
              </w:rPr>
            </w:pPr>
            <w:r w:rsidRPr="00FD63A8">
              <w:rPr>
                <w:rFonts w:ascii="Times New Roman" w:hAnsi="Times New Roman"/>
                <w:b/>
                <w:u w:val="single"/>
              </w:rPr>
              <w:t>Krav baserat på fasta omkostnader</w:t>
            </w:r>
          </w:p>
          <w:p w14:paraId="61154A25" w14:textId="77777777" w:rsidR="00223EA9" w:rsidRDefault="00FD63A8">
            <w:pPr>
              <w:spacing w:after="120" w:line="240" w:lineRule="auto"/>
              <w:jc w:val="both"/>
              <w:rPr>
                <w:rFonts w:ascii="Times New Roman" w:eastAsia="Times New Roman" w:hAnsi="Times New Roman" w:cs="Times New Roman"/>
                <w:bCs/>
                <w:color w:val="000000" w:themeColor="text1"/>
              </w:rPr>
            </w:pPr>
            <w:r w:rsidRPr="00FD63A8">
              <w:rPr>
                <w:rFonts w:ascii="Times New Roman" w:hAnsi="Times New Roman"/>
                <w:color w:val="000000" w:themeColor="text1"/>
              </w:rPr>
              <w:t>Artikel 13 i förordning (EU) 2019/2033.</w:t>
            </w:r>
          </w:p>
        </w:tc>
      </w:tr>
    </w:tbl>
    <w:p w14:paraId="53AA4BF4" w14:textId="77777777" w:rsidR="00223EA9" w:rsidRDefault="00223EA9">
      <w:pPr>
        <w:pStyle w:val="Instructionsberschrift2"/>
        <w:ind w:left="357" w:hanging="357"/>
      </w:pPr>
    </w:p>
    <w:sectPr w:rsidR="00223EA9">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D4288" w14:textId="77777777" w:rsidR="00223EA9" w:rsidRDefault="00223EA9">
      <w:pPr>
        <w:pStyle w:val="Footer"/>
      </w:pPr>
    </w:p>
  </w:endnote>
  <w:endnote w:type="continuationSeparator" w:id="0">
    <w:p w14:paraId="2794AE09" w14:textId="77777777" w:rsidR="00223EA9" w:rsidRDefault="00223EA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345CD" w14:textId="77777777" w:rsidR="00223EA9" w:rsidRDefault="00223E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7E9CD" w14:textId="77777777" w:rsidR="00223EA9" w:rsidRDefault="00FD63A8">
    <w:pPr>
      <w:pStyle w:val="Footer"/>
      <w:tabs>
        <w:tab w:val="clear" w:pos="4513"/>
        <w:tab w:val="clear" w:pos="9026"/>
        <w:tab w:val="right" w:pos="9071"/>
      </w:tabs>
    </w:pPr>
    <w:r>
      <w:t>SV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11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F59DD" w14:textId="77777777" w:rsidR="00223EA9" w:rsidRDefault="00223E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0BD43" w14:textId="77777777" w:rsidR="00223EA9" w:rsidRDefault="00223EA9">
      <w:pPr>
        <w:pStyle w:val="Footer"/>
      </w:pPr>
    </w:p>
  </w:footnote>
  <w:footnote w:type="continuationSeparator" w:id="0">
    <w:p w14:paraId="3A8BA095" w14:textId="77777777" w:rsidR="00223EA9" w:rsidRDefault="00223EA9">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51D68" w14:textId="77777777" w:rsidR="00223EA9" w:rsidRDefault="00FD63A8">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458E8" w14:textId="5883DCFC" w:rsidR="00223EA9" w:rsidRDefault="00FD63A8">
    <w:pPr>
      <w:pStyle w:val="Header"/>
    </w:pPr>
    <w:r>
      <w:rPr>
        <w:noProof/>
      </w:rPr>
      <mc:AlternateContent>
        <mc:Choice Requires="wps">
          <w:drawing>
            <wp:anchor distT="0" distB="0" distL="114300" distR="114300" simplePos="0" relativeHeight="251659264" behindDoc="0" locked="0" layoutInCell="0" allowOverlap="1" wp14:anchorId="55C1A123" wp14:editId="0D4D27E8">
              <wp:simplePos x="0" y="0"/>
              <wp:positionH relativeFrom="page">
                <wp:posOffset>0</wp:posOffset>
              </wp:positionH>
              <wp:positionV relativeFrom="page">
                <wp:posOffset>190500</wp:posOffset>
              </wp:positionV>
              <wp:extent cx="7560310" cy="273050"/>
              <wp:effectExtent l="0" t="0" r="0" b="12700"/>
              <wp:wrapNone/>
              <wp:docPr id="1" name="MSIPCMe65d49ebb2510da810bd8152"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CA70BDE" w14:textId="1DD1FB6C" w:rsidR="00FD63A8" w:rsidRPr="00FD63A8" w:rsidRDefault="00FD63A8" w:rsidP="00FD63A8">
                          <w:pPr>
                            <w:spacing w:after="0"/>
                            <w:rPr>
                              <w:rFonts w:ascii="Calibri" w:hAnsi="Calibri" w:cs="Calibri"/>
                              <w:color w:val="000000"/>
                              <w:sz w:val="24"/>
                            </w:rPr>
                          </w:pPr>
                          <w:r w:rsidRPr="00FD63A8">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5C1A123" id="_x0000_t202" coordsize="21600,21600" o:spt="202" path="m,l,21600r21600,l21600,xe">
              <v:stroke joinstyle="miter"/>
              <v:path gradientshapeok="t" o:connecttype="rect"/>
            </v:shapetype>
            <v:shape id="MSIPCMe65d49ebb2510da810bd8152"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" o:allowincell="f" filled="f" stroked="f" strokeweight=".5pt">
              <v:fill o:detectmouseclick="t"/>
              <v:textbox inset="20pt,0,,0">
                <w:txbxContent>
                  <w:p w14:paraId="5CA70BDE" w14:textId="1DD1FB6C" w:rsidR="00FD63A8" w:rsidRPr="00FD63A8" w:rsidRDefault="00FD63A8" w:rsidP="00FD63A8">
                    <w:pPr>
                      <w:spacing w:after="0"/>
                      <w:rPr>
                        <w:rFonts w:ascii="Calibri" w:hAnsi="Calibri" w:cs="Calibri"/>
                        <w:color w:val="000000"/>
                        <w:sz w:val="24"/>
                      </w:rPr>
                    </w:pPr>
                    <w:r w:rsidRPr="00FD63A8">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797F7" w14:textId="77777777" w:rsidR="00223EA9" w:rsidRDefault="00FD63A8">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5"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9DE1B7E"/>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5"/>
  </w:num>
  <w:num w:numId="3">
    <w:abstractNumId w:val="11"/>
  </w:num>
  <w:num w:numId="4">
    <w:abstractNumId w:val="0"/>
  </w:num>
  <w:num w:numId="5">
    <w:abstractNumId w:val="3"/>
  </w:num>
  <w:num w:numId="6">
    <w:abstractNumId w:val="1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revisionView w:markup="0"/>
  <w:defaultTabStop w:val="720"/>
  <w:hyphenationZone w:val="283"/>
  <w:characterSpacingControl w:val="doNotCompress"/>
  <w:hdrShapeDefaults>
    <o:shapedefaults v:ext="edit" spidmax="140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223EA9"/>
    <w:rsid w:val="00223EA9"/>
    <w:rsid w:val="00FD6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0289"/>
    <o:shapelayout v:ext="edit">
      <o:idmap v:ext="edit" data="1"/>
    </o:shapelayout>
  </w:shapeDefaults>
  <w:decimalSymbol w:val="."/>
  <w:listSeparator w:val=","/>
  <w14:docId w14:val="66DD1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sv-SE" w:bidi="sv-SE"/>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sv-SE"/>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sv-S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character" w:customStyle="1" w:styleId="InstructionsTabelleText">
    <w:name w:val="Instructions Tabelle Text"/>
    <w:rPr>
      <w:rFonts w:ascii="Verdana" w:hAnsi="Verdana" w:cs="Times New Roman"/>
      <w:sz w:val="20"/>
    </w:rPr>
  </w:style>
  <w:style w:type="paragraph" w:styleId="Re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6BEE3563-1BB0-4799-A8B8-0AEE15EC65F2}">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2798</Words>
  <Characters>19951</Characters>
  <Application>Microsoft Office Word</Application>
  <DocSecurity>0</DocSecurity>
  <Lines>950</Lines>
  <Paragraphs>631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2021-11-25T15:00:00Z</dcterms:created>
  <dcterms:modified xsi:type="dcterms:W3CDTF">2022-01-14T15:18:00Z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2022-01-14T15:18:06Z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24623a86-2c1d-4844-bfa0-e028ae90f53f</vt:lpwstr>
  </property>
  <property fmtid="{D5CDD505-2E9C-101B-9397-08002B2CF9AE}" pid="8" name="MSIP_Label_5c7eb9de-735b-4a68-8fe4-c9c62709b012_ContentBits">
    <vt:lpwstr>1</vt:lpwstr>
  </property>
</Properties>
</file>