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DA</w:t>
      </w:r>
      <w:r>
        <w:br/>
      </w:r>
      <w:r>
        <w:rPr>
          <w:rFonts w:ascii="Times New Roman" w:hAnsi="Times New Roman"/>
          <w:b/>
          <w:sz w:val="24"/>
          <w:szCs w:val="20"/>
        </w:rPr>
        <w:t>BILAG IV</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»BILAG</w:t>
      </w:r>
      <w:bookmarkEnd w:id="0"/>
      <w:bookmarkEnd w:id="1"/>
      <w:r>
        <w:rPr>
          <w:rFonts w:ascii="Times New Roman" w:hAnsi="Times New Roman"/>
          <w:b/>
          <w:sz w:val="24"/>
          <w:szCs w:val="20"/>
          <w:u w:val="single"/>
        </w:rPr>
        <w:t>IV</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INDBERETNING FOR SMÅ OG IKKE INDBYRDES FORBUNDNE INVESTERINGSSELSKABER</w:t>
      </w:r>
    </w:p>
    <w:p>
      <w:pPr>
        <w:spacing w:after="0" w:line="240" w:lineRule="auto"/>
        <w:rPr>
          <w:rFonts w:ascii="Times New Roman" w:eastAsia="Times New Roman" w:hAnsi="Times New Roman" w:cs="Times New Roman"/>
          <w:sz w:val="24"/>
          <w:szCs w:val="24"/>
        </w:rPr>
      </w:pPr>
      <w:r>
        <w:rPr>
          <w:rFonts w:ascii="Times New Roman" w:hAnsi="Times New Roman"/>
          <w:sz w:val="24"/>
          <w:szCs w:val="24"/>
        </w:rPr>
        <w:t>Indholdsfortegnelse</w:t>
      </w:r>
    </w:p>
    <w:p>
      <w:pPr>
        <w:pStyle w:val="TOC2"/>
        <w:rPr>
          <w:rFonts w:eastAsiaTheme="minorEastAsia"/>
          <w:noProof/>
        </w:rPr>
      </w:pPr>
      <w:r>
        <w:rPr>
          <w:rFonts w:ascii="Times New Roman" w:hAnsi="Times New Roman"/>
          <w:noProof/>
        </w:rPr>
        <w:t>DEL I: GENERELLE INSTRUKSER</w:t>
      </w:r>
      <w:r>
        <w:rPr>
          <w:noProof/>
        </w:rPr>
        <w:tab/>
        <w:t>2</w:t>
      </w:r>
    </w:p>
    <w:p>
      <w:pPr>
        <w:pStyle w:val="TOC2"/>
        <w:rPr>
          <w:rFonts w:eastAsiaTheme="minorEastAsia"/>
          <w:noProof/>
        </w:rPr>
      </w:pPr>
      <w:r>
        <w:rPr>
          <w:rFonts w:ascii="Times New Roman" w:hAnsi="Times New Roman"/>
          <w:noProof/>
        </w:rPr>
        <w:t>1. Opbygning og konventioner</w:t>
      </w:r>
      <w:r>
        <w:rPr>
          <w:noProof/>
        </w:rPr>
        <w:tab/>
        <w:t>2</w:t>
      </w:r>
    </w:p>
    <w:p>
      <w:pPr>
        <w:pStyle w:val="TOC2"/>
        <w:rPr>
          <w:rFonts w:eastAsiaTheme="minorEastAsia"/>
          <w:noProof/>
        </w:rPr>
      </w:pPr>
      <w:r>
        <w:rPr>
          <w:rFonts w:ascii="Times New Roman" w:hAnsi="Times New Roman"/>
          <w:noProof/>
          <w:u w:val="single"/>
        </w:rPr>
        <w:t>1.1 Opbygning</w:t>
      </w:r>
      <w:r>
        <w:rPr>
          <w:noProof/>
        </w:rPr>
        <w:tab/>
        <w:t>2</w:t>
      </w:r>
    </w:p>
    <w:p>
      <w:pPr>
        <w:pStyle w:val="TOC2"/>
        <w:rPr>
          <w:rFonts w:eastAsiaTheme="minorEastAsia"/>
          <w:noProof/>
        </w:rPr>
      </w:pPr>
      <w:r>
        <w:rPr>
          <w:rFonts w:ascii="Times New Roman" w:hAnsi="Times New Roman"/>
          <w:noProof/>
          <w:u w:val="single"/>
        </w:rPr>
        <w:t>1.2 Nummereringskonvention</w:t>
      </w:r>
      <w:r>
        <w:rPr>
          <w:noProof/>
        </w:rPr>
        <w:tab/>
        <w:t>2</w:t>
      </w:r>
    </w:p>
    <w:p>
      <w:pPr>
        <w:pStyle w:val="TOC2"/>
        <w:rPr>
          <w:rFonts w:eastAsiaTheme="minorEastAsia"/>
          <w:noProof/>
        </w:rPr>
      </w:pPr>
      <w:r>
        <w:rPr>
          <w:rFonts w:ascii="Times New Roman" w:hAnsi="Times New Roman"/>
          <w:noProof/>
          <w:u w:val="single"/>
        </w:rPr>
        <w:t>1.3 Tegnkonvention</w:t>
      </w:r>
      <w:r>
        <w:rPr>
          <w:noProof/>
        </w:rPr>
        <w:tab/>
        <w:t>2</w:t>
      </w:r>
    </w:p>
    <w:p>
      <w:pPr>
        <w:pStyle w:val="TOC2"/>
        <w:rPr>
          <w:rFonts w:eastAsiaTheme="minorEastAsia"/>
          <w:noProof/>
        </w:rPr>
      </w:pPr>
      <w:r>
        <w:rPr>
          <w:rFonts w:ascii="Times New Roman" w:hAnsi="Times New Roman"/>
          <w:noProof/>
          <w:u w:val="single"/>
        </w:rPr>
        <w:t>1.4 Tilsynsmæssig konsolidering</w:t>
      </w:r>
      <w:r>
        <w:rPr>
          <w:noProof/>
        </w:rPr>
        <w:tab/>
        <w:t>2</w:t>
      </w:r>
    </w:p>
    <w:p>
      <w:pPr>
        <w:pStyle w:val="TOC2"/>
        <w:rPr>
          <w:rFonts w:eastAsiaTheme="minorEastAsia"/>
          <w:noProof/>
        </w:rPr>
      </w:pPr>
      <w:r>
        <w:rPr>
          <w:rFonts w:ascii="Times New Roman" w:hAnsi="Times New Roman"/>
          <w:noProof/>
        </w:rPr>
        <w:t>DEL II: INSTRUKSER VEDRØRENDE SKEMAER</w:t>
      </w:r>
      <w:r>
        <w:rPr>
          <w:noProof/>
        </w:rPr>
        <w:tab/>
        <w:t>3</w:t>
      </w:r>
    </w:p>
    <w:p>
      <w:pPr>
        <w:pStyle w:val="TOC2"/>
        <w:rPr>
          <w:rFonts w:eastAsiaTheme="minorEastAsia"/>
          <w:noProof/>
        </w:rPr>
      </w:pPr>
      <w:r>
        <w:rPr>
          <w:rFonts w:ascii="Times New Roman" w:hAnsi="Times New Roman"/>
          <w:b/>
          <w:noProof/>
        </w:rPr>
        <w:t>1. KAPITALGRUNDLAG: NIVEAU, SAMMENSÆTNING, KRAV OG BEREGNING</w:t>
      </w:r>
      <w:r>
        <w:rPr>
          <w:noProof/>
        </w:rPr>
        <w:tab/>
        <w:t>3</w:t>
      </w:r>
    </w:p>
    <w:p>
      <w:pPr>
        <w:pStyle w:val="TOC2"/>
        <w:rPr>
          <w:rFonts w:eastAsiaTheme="minorEastAsia"/>
          <w:noProof/>
        </w:rPr>
      </w:pPr>
      <w:r>
        <w:rPr>
          <w:rFonts w:ascii="Times New Roman" w:hAnsi="Times New Roman"/>
          <w:noProof/>
        </w:rPr>
        <w:t>1.1 Generelle bemærkninger</w:t>
      </w:r>
      <w:r>
        <w:rPr>
          <w:noProof/>
        </w:rPr>
        <w:tab/>
        <w:t>3</w:t>
      </w:r>
    </w:p>
    <w:p>
      <w:pPr>
        <w:pStyle w:val="TOC2"/>
        <w:rPr>
          <w:rFonts w:eastAsiaTheme="minorEastAsia"/>
          <w:noProof/>
        </w:rPr>
      </w:pPr>
      <w:r>
        <w:rPr>
          <w:rFonts w:ascii="Times New Roman" w:hAnsi="Times New Roman"/>
          <w:noProof/>
        </w:rPr>
        <w:t>1.2. I 01.01 — SAMMENSÆTNING AF KAPITALGRUNDLAGET (I 1,1)</w:t>
      </w:r>
      <w:r>
        <w:rPr>
          <w:noProof/>
        </w:rPr>
        <w:tab/>
        <w:t>3</w:t>
      </w:r>
    </w:p>
    <w:p>
      <w:pPr>
        <w:pStyle w:val="TOC2"/>
        <w:rPr>
          <w:rFonts w:eastAsiaTheme="minorEastAsia"/>
          <w:noProof/>
        </w:rPr>
      </w:pPr>
      <w:r>
        <w:rPr>
          <w:rFonts w:ascii="Times New Roman" w:hAnsi="Times New Roman"/>
          <w:noProof/>
        </w:rPr>
        <w:t>1.2.1.</w:t>
      </w:r>
      <w:r>
        <w:rPr>
          <w:rFonts w:eastAsiaTheme="minorEastAsia"/>
          <w:noProof/>
        </w:rPr>
        <w:tab/>
      </w:r>
      <w:r>
        <w:rPr>
          <w:rFonts w:ascii="Times New Roman" w:hAnsi="Times New Roman"/>
          <w:noProof/>
        </w:rPr>
        <w:t>Instrukser vedrørende specifikke positioner</w:t>
      </w:r>
      <w:r>
        <w:rPr>
          <w:noProof/>
        </w:rPr>
        <w:tab/>
        <w:t>3</w:t>
      </w:r>
    </w:p>
    <w:p>
      <w:pPr>
        <w:pStyle w:val="TOC2"/>
        <w:rPr>
          <w:rFonts w:eastAsiaTheme="minorEastAsia"/>
          <w:noProof/>
        </w:rPr>
      </w:pPr>
      <w:r>
        <w:rPr>
          <w:rFonts w:ascii="Times New Roman" w:hAnsi="Times New Roman"/>
          <w:noProof/>
        </w:rPr>
        <w:t>1.3. I 02.03 — KAPITALGRUNDLAGSKRAV (I 2.3)</w:t>
      </w:r>
      <w:r>
        <w:rPr>
          <w:noProof/>
        </w:rPr>
        <w:tab/>
        <w:t>8</w:t>
      </w:r>
    </w:p>
    <w:p>
      <w:pPr>
        <w:pStyle w:val="TOC2"/>
        <w:rPr>
          <w:rFonts w:eastAsiaTheme="minorEastAsia"/>
          <w:noProof/>
        </w:rPr>
      </w:pPr>
      <w:r>
        <w:rPr>
          <w:rFonts w:ascii="Times New Roman" w:hAnsi="Times New Roman"/>
          <w:noProof/>
        </w:rPr>
        <w:t>1.3.1.</w:t>
      </w:r>
      <w:r>
        <w:rPr>
          <w:rFonts w:eastAsiaTheme="minorEastAsia"/>
          <w:noProof/>
        </w:rPr>
        <w:tab/>
      </w:r>
      <w:r>
        <w:rPr>
          <w:rFonts w:ascii="Times New Roman" w:hAnsi="Times New Roman"/>
          <w:noProof/>
          <w:u w:val="single"/>
        </w:rPr>
        <w:t>Instrukser vedrørende specifikke positioner</w:t>
      </w:r>
      <w:r>
        <w:rPr>
          <w:noProof/>
        </w:rPr>
        <w:tab/>
        <w:t>8</w:t>
      </w:r>
    </w:p>
    <w:p>
      <w:pPr>
        <w:pStyle w:val="TOC2"/>
        <w:rPr>
          <w:rFonts w:eastAsiaTheme="minorEastAsia"/>
          <w:noProof/>
        </w:rPr>
      </w:pPr>
      <w:r>
        <w:rPr>
          <w:rFonts w:ascii="Times New Roman" w:hAnsi="Times New Roman"/>
          <w:noProof/>
        </w:rPr>
        <w:t>1.4. I 02.04 — KAPITALPROCENTER (I 2.4)</w:t>
      </w:r>
      <w:r>
        <w:rPr>
          <w:noProof/>
        </w:rPr>
        <w:tab/>
        <w:t>9</w:t>
      </w:r>
    </w:p>
    <w:p>
      <w:pPr>
        <w:pStyle w:val="TOC2"/>
        <w:rPr>
          <w:rFonts w:eastAsiaTheme="minorEastAsia"/>
          <w:noProof/>
        </w:rPr>
      </w:pPr>
      <w:r>
        <w:rPr>
          <w:rFonts w:ascii="Times New Roman" w:hAnsi="Times New Roman"/>
          <w:noProof/>
        </w:rPr>
        <w:t>1.4.1.</w:t>
      </w:r>
      <w:r>
        <w:rPr>
          <w:rFonts w:eastAsiaTheme="minorEastAsia"/>
          <w:noProof/>
        </w:rPr>
        <w:tab/>
      </w:r>
      <w:r>
        <w:rPr>
          <w:rFonts w:ascii="Times New Roman" w:hAnsi="Times New Roman"/>
          <w:noProof/>
          <w:u w:val="single"/>
        </w:rPr>
        <w:t>Instrukser vedrørende specifikke positioner</w:t>
      </w:r>
      <w:r>
        <w:rPr>
          <w:noProof/>
        </w:rPr>
        <w:tab/>
        <w:t>9</w:t>
      </w:r>
    </w:p>
    <w:p>
      <w:pPr>
        <w:pStyle w:val="TOC2"/>
        <w:rPr>
          <w:rFonts w:eastAsiaTheme="minorEastAsia"/>
          <w:noProof/>
        </w:rPr>
      </w:pPr>
      <w:r>
        <w:rPr>
          <w:rFonts w:ascii="Times New Roman" w:hAnsi="Times New Roman"/>
          <w:noProof/>
        </w:rPr>
        <w:t>1.5. I 03.01 — BEREGNING AF KRAV VEDRØRENDE FASTE OMKOSTNINGER (I 3,1)</w:t>
      </w:r>
      <w:r>
        <w:rPr>
          <w:noProof/>
        </w:rPr>
        <w:tab/>
        <w:t>11</w:t>
      </w:r>
    </w:p>
    <w:p>
      <w:pPr>
        <w:pStyle w:val="TOC2"/>
        <w:rPr>
          <w:rFonts w:eastAsiaTheme="minorEastAsia"/>
          <w:noProof/>
        </w:rPr>
      </w:pPr>
      <w:r>
        <w:rPr>
          <w:rFonts w:ascii="Times New Roman" w:hAnsi="Times New Roman"/>
          <w:noProof/>
        </w:rPr>
        <w:t>1.5.1.</w:t>
      </w:r>
      <w:r>
        <w:rPr>
          <w:rFonts w:ascii="Times New Roman" w:hAnsi="Times New Roman"/>
          <w:noProof/>
        </w:rPr>
        <w:tab/>
      </w:r>
      <w:r>
        <w:rPr>
          <w:rFonts w:ascii="Times New Roman" w:hAnsi="Times New Roman"/>
          <w:noProof/>
          <w:u w:val="single"/>
        </w:rPr>
        <w:t>Instrukser vedrørende specifikke positioner</w:t>
      </w:r>
      <w:r>
        <w:rPr>
          <w:noProof/>
        </w:rPr>
        <w:tab/>
        <w:t>11</w:t>
      </w:r>
    </w:p>
    <w:p>
      <w:pPr>
        <w:pStyle w:val="TOC2"/>
        <w:rPr>
          <w:rFonts w:eastAsiaTheme="minorEastAsia"/>
          <w:noProof/>
        </w:rPr>
      </w:pPr>
      <w:r>
        <w:rPr>
          <w:rFonts w:ascii="Times New Roman" w:hAnsi="Times New Roman"/>
          <w:noProof/>
        </w:rPr>
        <w:t>2. SMÅ OG IKKE INDBYRDES FORBUNDNE INVESTERINGSSELSKABER</w:t>
      </w:r>
      <w:r>
        <w:rPr>
          <w:noProof/>
        </w:rPr>
        <w:tab/>
        <w:t>13</w:t>
      </w:r>
    </w:p>
    <w:p>
      <w:pPr>
        <w:pStyle w:val="TOC2"/>
        <w:rPr>
          <w:rFonts w:eastAsiaTheme="minorEastAsia"/>
          <w:noProof/>
        </w:rPr>
      </w:pPr>
      <w:r>
        <w:rPr>
          <w:rFonts w:ascii="Times New Roman" w:hAnsi="Times New Roman"/>
          <w:noProof/>
        </w:rPr>
        <w:t>2.1.</w:t>
      </w:r>
      <w:r>
        <w:rPr>
          <w:rFonts w:ascii="Times New Roman" w:hAnsi="Times New Roman"/>
          <w:noProof/>
        </w:rPr>
        <w:tab/>
      </w:r>
      <w:r>
        <w:rPr>
          <w:rFonts w:ascii="Times New Roman" w:hAnsi="Times New Roman"/>
          <w:noProof/>
          <w:u w:val="single"/>
        </w:rPr>
        <w:t>I 05.00 — AKTIVITETSNIVEAU — TÆRSKELJUSTERING (I 5)</w:t>
      </w:r>
      <w:r>
        <w:rPr>
          <w:noProof/>
        </w:rPr>
        <w:tab/>
        <w:t>13</w:t>
      </w:r>
    </w:p>
    <w:p>
      <w:pPr>
        <w:pStyle w:val="TOC2"/>
        <w:rPr>
          <w:rFonts w:eastAsiaTheme="minorEastAsia"/>
          <w:noProof/>
        </w:rPr>
      </w:pPr>
      <w:r>
        <w:rPr>
          <w:rFonts w:ascii="Times New Roman" w:hAnsi="Times New Roman"/>
          <w:noProof/>
        </w:rPr>
        <w:t>2.1.1.</w:t>
      </w:r>
      <w:r>
        <w:rPr>
          <w:rFonts w:eastAsiaTheme="minorEastAsia"/>
          <w:noProof/>
        </w:rPr>
        <w:tab/>
      </w:r>
      <w:r>
        <w:rPr>
          <w:rFonts w:ascii="Times New Roman" w:hAnsi="Times New Roman"/>
          <w:noProof/>
          <w:u w:val="single"/>
        </w:rPr>
        <w:t>Instrukser vedrørende specifikke positioner</w:t>
      </w:r>
      <w:r>
        <w:rPr>
          <w:noProof/>
        </w:rPr>
        <w:tab/>
        <w:t>13</w:t>
      </w:r>
    </w:p>
    <w:p>
      <w:pPr>
        <w:pStyle w:val="TOC2"/>
        <w:rPr>
          <w:rFonts w:eastAsiaTheme="minorEastAsia"/>
          <w:noProof/>
        </w:rPr>
      </w:pPr>
      <w:r>
        <w:rPr>
          <w:rFonts w:ascii="Times New Roman" w:hAnsi="Times New Roman"/>
          <w:b/>
          <w:noProof/>
        </w:rPr>
        <w:t>3. LIKVIDITETSKRAV</w:t>
      </w:r>
      <w:r>
        <w:rPr>
          <w:noProof/>
        </w:rPr>
        <w:tab/>
        <w:t>16</w:t>
      </w:r>
    </w:p>
    <w:p>
      <w:pPr>
        <w:pStyle w:val="TOC2"/>
        <w:rPr>
          <w:rFonts w:eastAsiaTheme="minorEastAsia"/>
          <w:noProof/>
        </w:rPr>
      </w:pPr>
      <w:r>
        <w:rPr>
          <w:rFonts w:ascii="Times New Roman" w:hAnsi="Times New Roman"/>
          <w:noProof/>
          <w:u w:val="single"/>
        </w:rPr>
        <w:t>3.1. I 09.01 — LIKVIDITETSKRAV (I 9,1)</w:t>
      </w:r>
      <w:r>
        <w:rPr>
          <w:noProof/>
        </w:rPr>
        <w:tab/>
        <w:t>16</w:t>
      </w:r>
    </w:p>
    <w:p>
      <w:pPr>
        <w:pStyle w:val="TOC2"/>
        <w:rPr>
          <w:rFonts w:eastAsiaTheme="minorEastAsia"/>
          <w:noProof/>
        </w:rPr>
      </w:pPr>
      <w:r>
        <w:rPr>
          <w:rFonts w:ascii="Times New Roman" w:hAnsi="Times New Roman"/>
          <w:noProof/>
        </w:rPr>
        <w:t>3.1.1.</w:t>
      </w:r>
      <w:r>
        <w:rPr>
          <w:rFonts w:eastAsiaTheme="minorEastAsia"/>
          <w:noProof/>
        </w:rPr>
        <w:tab/>
      </w:r>
      <w:r>
        <w:rPr>
          <w:rFonts w:ascii="Times New Roman" w:hAnsi="Times New Roman"/>
          <w:noProof/>
          <w:u w:val="single"/>
        </w:rPr>
        <w:t>Instrukser vedrørende specifikke positioner</w:t>
      </w:r>
      <w:r>
        <w:rPr>
          <w:noProof/>
        </w:rPr>
        <w:tab/>
        <w:t>16</w:t>
      </w:r>
      <w:bookmarkStart w:id="7" w:name="_Toc360188322"/>
      <w:bookmarkStart w:id="8" w:name="_Toc473560870"/>
      <w:bookmarkStart w:id="9" w:name="_Toc7084155"/>
    </w:p>
    <w:p>
      <w:pPr>
        <w:pStyle w:val="Heading2"/>
        <w:rPr>
          <w:rFonts w:ascii="Times New Roman" w:hAnsi="Times New Roman"/>
        </w:rPr>
      </w:pPr>
      <w:bookmarkStart w:id="10" w:name="_Toc88221436"/>
      <w:r>
        <w:rPr>
          <w:rFonts w:ascii="Times New Roman" w:hAnsi="Times New Roman"/>
        </w:rPr>
        <w:t>DEL I: GENERELLE INSTRUKSER</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8221437"/>
      <w:r>
        <w:rPr>
          <w:rFonts w:ascii="Times New Roman" w:hAnsi="Times New Roman"/>
          <w:sz w:val="24"/>
          <w:szCs w:val="24"/>
        </w:rPr>
        <w:t>1. Opbygning og konventioner</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8221438"/>
      <w:r>
        <w:rPr>
          <w:rFonts w:ascii="Times New Roman" w:hAnsi="Times New Roman"/>
          <w:sz w:val="24"/>
          <w:szCs w:val="24"/>
          <w:u w:val="single"/>
        </w:rPr>
        <w:t>1.1 Opbygning</w:t>
      </w:r>
      <w:bookmarkEnd w:id="12"/>
    </w:p>
    <w:p>
      <w:pPr>
        <w:spacing w:line="256" w:lineRule="auto"/>
        <w:ind w:left="993" w:hanging="50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Overordnet set består rammen af følgende informationsblokke:</w:t>
      </w:r>
    </w:p>
    <w:p>
      <w:pPr>
        <w:spacing w:line="256" w:lineRule="auto"/>
        <w:ind w:left="1728" w:hanging="648"/>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rPr>
        <w:t>Kapitalgrundlag</w:t>
      </w:r>
    </w:p>
    <w:p>
      <w:pPr>
        <w:spacing w:line="256" w:lineRule="auto"/>
        <w:ind w:left="1728" w:hanging="648"/>
        <w:jc w:val="both"/>
        <w:rPr>
          <w:rFonts w:ascii="Times New Roman" w:hAnsi="Times New Roman" w:cs="Times New Roman"/>
        </w:rPr>
      </w:pPr>
      <w:r>
        <w:rPr>
          <w:rFonts w:ascii="Times New Roman" w:hAnsi="Times New Roman" w:cs="Times New Roman"/>
        </w:rPr>
        <w:lastRenderedPageBreak/>
        <w:t>b)</w:t>
      </w:r>
      <w:r>
        <w:rPr>
          <w:rFonts w:ascii="Times New Roman" w:hAnsi="Times New Roman" w:cs="Times New Roman"/>
        </w:rPr>
        <w:tab/>
      </w:r>
      <w:r>
        <w:rPr>
          <w:rFonts w:ascii="Times New Roman" w:hAnsi="Times New Roman"/>
        </w:rPr>
        <w:t>Kapitalgrundlagskravsberegninger</w:t>
      </w:r>
    </w:p>
    <w:p>
      <w:pPr>
        <w:spacing w:line="256" w:lineRule="auto"/>
        <w:ind w:left="1728" w:hanging="648"/>
        <w:jc w:val="both"/>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rPr>
        <w:t>Beregning af krav vedrørende faste omkostninger</w:t>
      </w:r>
    </w:p>
    <w:p>
      <w:pPr>
        <w:spacing w:line="256" w:lineRule="auto"/>
        <w:ind w:left="1728" w:hanging="648"/>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rPr>
        <w:t>Aktivitetsniveau for så vidt angår betingelserne i artikel 12, stk. 1, i forordning (EU) 2019/2033</w:t>
      </w:r>
    </w:p>
    <w:p>
      <w:pPr>
        <w:spacing w:line="256" w:lineRule="auto"/>
        <w:ind w:left="1728" w:hanging="648"/>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r>
      <w:r>
        <w:rPr>
          <w:rFonts w:ascii="Times New Roman" w:hAnsi="Times New Roman"/>
        </w:rPr>
        <w:t>Likviditetskrav.</w:t>
      </w:r>
    </w:p>
    <w:p>
      <w:pPr>
        <w:pStyle w:val="InstructionsText2"/>
        <w:numPr>
          <w:ilvl w:val="0"/>
          <w:numId w:val="0"/>
        </w:numPr>
        <w:ind w:left="360" w:hanging="360"/>
      </w:pPr>
      <w:r>
        <w:t>2.</w:t>
      </w:r>
      <w:r>
        <w:tab/>
        <w:t>For hvert skema gives der henvisninger til retsakter. Yderligere detaljerede oplysninger om de mere generelle aspekter af indberetningen via hver blok af skemaer, instrukser vedrørende specifikke positioner samt valideringsregler findes i denne del af denne forordning.</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8221439"/>
      <w:r>
        <w:rPr>
          <w:rFonts w:ascii="Times New Roman" w:hAnsi="Times New Roman"/>
          <w:sz w:val="24"/>
          <w:szCs w:val="24"/>
          <w:u w:val="single"/>
        </w:rPr>
        <w:t>1.2 Nummereringskonvention</w:t>
      </w:r>
      <w:bookmarkEnd w:id="13"/>
    </w:p>
    <w:p>
      <w:pPr>
        <w:pStyle w:val="InstructionsText2"/>
        <w:numPr>
          <w:ilvl w:val="0"/>
          <w:numId w:val="0"/>
        </w:numPr>
        <w:ind w:left="360" w:hanging="360"/>
      </w:pPr>
      <w:r>
        <w:t>3.</w:t>
      </w:r>
      <w:r>
        <w:tab/>
        <w:t>Dokumentet følger de konventioner for tekst, der er beskrevet i punkt 4-7, når der henvises til kolonner, rækker og celler i skemaerne. Disse numeriske koder anvendes i vid udstrækning i valideringsreglerne.</w:t>
      </w:r>
    </w:p>
    <w:p>
      <w:pPr>
        <w:pStyle w:val="InstructionsText2"/>
        <w:numPr>
          <w:ilvl w:val="0"/>
          <w:numId w:val="0"/>
        </w:numPr>
        <w:ind w:left="360" w:hanging="360"/>
      </w:pPr>
      <w:r>
        <w:t>4.</w:t>
      </w:r>
      <w:r>
        <w:tab/>
        <w:t>Følgende generelle notation anvendes i instrukserne: {Skema; Række; Kolonne}.</w:t>
      </w:r>
    </w:p>
    <w:p>
      <w:pPr>
        <w:pStyle w:val="InstructionsText2"/>
        <w:numPr>
          <w:ilvl w:val="0"/>
          <w:numId w:val="0"/>
        </w:numPr>
        <w:ind w:left="360" w:hanging="360"/>
      </w:pPr>
      <w:r>
        <w:t>5.</w:t>
      </w:r>
      <w:r>
        <w:tab/>
        <w:t>Ved valideringer i et skema, hvor kun datapunkter fra skemaet anvendes, henviser notationer ikke til et skema: {Række; Kolonne}.</w:t>
      </w:r>
    </w:p>
    <w:p>
      <w:pPr>
        <w:pStyle w:val="InstructionsText2"/>
        <w:numPr>
          <w:ilvl w:val="0"/>
          <w:numId w:val="0"/>
        </w:numPr>
        <w:ind w:left="360" w:hanging="360"/>
      </w:pPr>
      <w:r>
        <w:t>6.</w:t>
      </w:r>
      <w:r>
        <w:tab/>
        <w:t>I forbindelse med skemaer med kun én kolonne henvises der kun til rækker: {Skema; Række}</w:t>
      </w:r>
    </w:p>
    <w:p>
      <w:pPr>
        <w:pStyle w:val="InstructionsText2"/>
        <w:numPr>
          <w:ilvl w:val="0"/>
          <w:numId w:val="0"/>
        </w:numPr>
        <w:ind w:left="360" w:hanging="360"/>
      </w:pPr>
      <w:r>
        <w:t>7.</w:t>
      </w:r>
      <w:r>
        <w:tab/>
        <w:t>En asterisk viser, at validering udføres for de angivne rækker eller kolonner.</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8221440"/>
      <w:r>
        <w:rPr>
          <w:rFonts w:ascii="Times New Roman" w:hAnsi="Times New Roman"/>
          <w:sz w:val="24"/>
          <w:szCs w:val="24"/>
          <w:u w:val="single"/>
        </w:rPr>
        <w:t>1.3 Tegnkonvention</w:t>
      </w:r>
      <w:bookmarkEnd w:id="14"/>
    </w:p>
    <w:p>
      <w:pPr>
        <w:pStyle w:val="InstructionsText2"/>
        <w:numPr>
          <w:ilvl w:val="0"/>
          <w:numId w:val="0"/>
        </w:numPr>
        <w:ind w:left="360" w:hanging="360"/>
      </w:pPr>
      <w:r>
        <w:t>8.</w:t>
      </w:r>
      <w:r>
        <w:tab/>
        <w:t>Beløb, der forøger kapitalgrundlaget eller kapitalgrundlagskravene eller likviditetskravene, indberettes som et positivt tal. Modsat indberettes beløb, der reducerer det samlede kapitalgrundlag eller det samlede kapitalgrundlagskrav, som et negativt tal. Hvis der er indsat et negativt fortegn (-) ved teksten ud for en post, indberettes et positivt tal ikke for den pågældende post.</w:t>
      </w:r>
    </w:p>
    <w:p>
      <w:pPr>
        <w:keepNext/>
        <w:spacing w:before="240" w:after="240" w:line="240" w:lineRule="auto"/>
        <w:jc w:val="both"/>
        <w:outlineLvl w:val="1"/>
        <w:rPr>
          <w:rFonts w:ascii="Times New Roman" w:eastAsia="Arial" w:hAnsi="Times New Roman" w:cs="Times New Roman"/>
          <w:sz w:val="24"/>
          <w:szCs w:val="24"/>
          <w:u w:val="single"/>
        </w:rPr>
      </w:pPr>
      <w:bookmarkStart w:id="15" w:name="_Toc76557276"/>
      <w:bookmarkStart w:id="16" w:name="_Toc88221441"/>
      <w:r>
        <w:rPr>
          <w:rFonts w:ascii="Times New Roman" w:hAnsi="Times New Roman"/>
          <w:sz w:val="24"/>
          <w:szCs w:val="24"/>
          <w:u w:val="single"/>
        </w:rPr>
        <w:t>1.4</w:t>
      </w:r>
      <w:bookmarkEnd w:id="15"/>
      <w:r>
        <w:rPr>
          <w:rFonts w:ascii="Times New Roman" w:hAnsi="Times New Roman"/>
          <w:sz w:val="24"/>
          <w:szCs w:val="24"/>
          <w:u w:val="single"/>
        </w:rPr>
        <w:t xml:space="preserve"> Tilsynsmæssig konsolidering</w:t>
      </w:r>
      <w:bookmarkEnd w:id="16"/>
    </w:p>
    <w:p>
      <w:pPr>
        <w:spacing w:line="256" w:lineRule="auto"/>
        <w:ind w:left="360" w:hanging="360"/>
        <w:jc w:val="both"/>
        <w:rPr>
          <w:rFonts w:ascii="Times New Roman" w:hAnsi="Times New Roman" w:cs="Times New Roman"/>
          <w:sz w:val="24"/>
        </w:rPr>
      </w:pPr>
      <w:r>
        <w:rPr>
          <w:rFonts w:ascii="Times New Roman" w:hAnsi="Times New Roman" w:cs="Times New Roman"/>
          <w:sz w:val="24"/>
        </w:rPr>
        <w:t>9.</w:t>
      </w:r>
      <w:r>
        <w:rPr>
          <w:rFonts w:ascii="Times New Roman" w:hAnsi="Times New Roman" w:cs="Times New Roman"/>
          <w:sz w:val="24"/>
        </w:rPr>
        <w:tab/>
      </w:r>
      <w:r>
        <w:rPr>
          <w:rFonts w:ascii="Times New Roman" w:hAnsi="Times New Roman"/>
          <w:sz w:val="24"/>
        </w:rPr>
        <w:t>Medmindre der er indrømmet en undtagelse, finder forordning (EU) 2019/2033 og direktiv (EU) 2019/2034 anvendelse på investeringsselskaber på individuelt og konsolideret niveau, hvilket omfatter indberetningskrav i syvende del af forordning (EU) 2019/2033. I artikel 4, stk. 1, nr. 11), i forordning (EU) 2019/2033 defineres en konsolideret situation som den situation, der følger af anvendelsen af kravene i forordning (EU) 2019/2033 på en investeringsselskabskoncern, som om enhederne i koncernen sammen udgjorde et enkelt investeringsselskab. I henhold til artikel 7 i forordning (EU) 2019/2033 skal investeringsselskabskoncerner opfylde indberetningskravene i alle skemaer på basis af deres rammer for tilsynsmæssig konsolidering (som kan være forskellige fra deres rammer for regnskabskonsolidering).</w:t>
      </w:r>
    </w:p>
    <w:p>
      <w:pPr>
        <w:pStyle w:val="Heading2"/>
        <w:rPr>
          <w:rFonts w:ascii="Times New Roman" w:hAnsi="Times New Roman"/>
        </w:rPr>
      </w:pPr>
      <w:bookmarkStart w:id="17" w:name="_Toc88221442"/>
      <w:r>
        <w:rPr>
          <w:rFonts w:ascii="Times New Roman" w:hAnsi="Times New Roman"/>
        </w:rPr>
        <w:t>DEL II: INSTRUKSER VEDRØRENDE SKEMAER</w:t>
      </w:r>
      <w:bookmarkEnd w:id="7"/>
      <w:bookmarkEnd w:id="8"/>
      <w:bookmarkEnd w:id="9"/>
      <w:bookmarkEnd w:id="17"/>
    </w:p>
    <w:p>
      <w:pPr>
        <w:pStyle w:val="Instructionsberschrift2"/>
        <w:ind w:left="357" w:hanging="357"/>
        <w:rPr>
          <w:rFonts w:ascii="Times New Roman" w:hAnsi="Times New Roman" w:cs="Times New Roman"/>
          <w:b/>
          <w:sz w:val="24"/>
        </w:rPr>
      </w:pPr>
      <w:bookmarkStart w:id="18" w:name="_Toc88221443"/>
      <w:r>
        <w:rPr>
          <w:rFonts w:ascii="Times New Roman" w:hAnsi="Times New Roman"/>
          <w:b/>
          <w:sz w:val="24"/>
          <w:u w:val="none"/>
        </w:rPr>
        <w:t>1. KAPITALGRUNDLAG: NIVEAU, SAMMENSÆTNING, KRAV OG BEREGNING</w:t>
      </w:r>
      <w:bookmarkEnd w:id="18"/>
    </w:p>
    <w:p>
      <w:pPr>
        <w:pStyle w:val="Instructionsberschrift2"/>
        <w:ind w:left="357" w:hanging="357"/>
        <w:rPr>
          <w:rFonts w:ascii="Times New Roman" w:hAnsi="Times New Roman" w:cs="Times New Roman"/>
          <w:sz w:val="24"/>
        </w:rPr>
      </w:pPr>
      <w:bookmarkStart w:id="19" w:name="_Toc88221444"/>
      <w:r>
        <w:rPr>
          <w:rFonts w:ascii="Times New Roman" w:hAnsi="Times New Roman"/>
          <w:sz w:val="24"/>
        </w:rPr>
        <w:t>1.1 Generelle bemærkninger</w:t>
      </w:r>
      <w:bookmarkEnd w:id="19"/>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Afsnittet om oversigten over kapitalgrundlag indeholder oplysninger om det kapitalgrundlag, som et investeringsselskab besidder, og om dets kapitalgrundlagskrav. Den består af to skemaer:</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Skema I 01.01 omfatter sammensætningen af det kapitalgrundlag, som et investeringsselskab besidder: Egentlig kernekapital (CET1), hybrid kernekapital (AT1) og supplerende kapital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Skema I 02.03 og I 02.04 omfatter det samlede kapitalgrundlagskrav, det permanente minimumskapitalkrav, kravet vedrørende faste omkostninger, eventuelle krav om yderligere kapitalgrundlag og vejledning samt overgangskapitalgrundlagskravet og kapitalprocenter.</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Skema I 03.01 omfatter oplysninger om beregningen af kravet vedrørende faste omkostninger.</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Posterne i disse skemaer er før indregning af overgangsjusteringer. Det betyder, at tallene (undtagen hvor overgangskapitalgrundlagskravet specifikt er angivet) beregnes i henhold til de endelige bestemmelser (dvs. som om der ikke var nogen overgangsbestemmelser).</w:t>
      </w:r>
    </w:p>
    <w:p>
      <w:pPr>
        <w:pStyle w:val="Instructionsberschrift2"/>
        <w:ind w:left="357" w:hanging="357"/>
        <w:rPr>
          <w:rFonts w:ascii="Times New Roman" w:hAnsi="Times New Roman" w:cs="Times New Roman"/>
          <w:sz w:val="24"/>
          <w:u w:val="none"/>
        </w:rPr>
      </w:pPr>
      <w:bookmarkStart w:id="20" w:name="_Toc88221445"/>
      <w:r>
        <w:rPr>
          <w:rFonts w:ascii="Times New Roman" w:hAnsi="Times New Roman"/>
          <w:sz w:val="24"/>
          <w:u w:val="none"/>
        </w:rPr>
        <w:t xml:space="preserve">1.2. </w:t>
      </w:r>
      <w:r>
        <w:rPr>
          <w:rFonts w:ascii="Times New Roman" w:hAnsi="Times New Roman"/>
          <w:sz w:val="24"/>
        </w:rPr>
        <w:t>I 01.01 — SAMMENSÆTNING AF KAPITALGRUNDLAGET (I 1,1)</w:t>
      </w:r>
      <w:bookmarkEnd w:id="20"/>
    </w:p>
    <w:p>
      <w:pPr>
        <w:pStyle w:val="Instructionsberschrift2"/>
        <w:ind w:left="357" w:hanging="357"/>
        <w:rPr>
          <w:rFonts w:ascii="Times New Roman" w:hAnsi="Times New Roman" w:cs="Times New Roman"/>
          <w:sz w:val="24"/>
        </w:rPr>
      </w:pPr>
      <w:bookmarkStart w:id="21" w:name="_Toc88221446"/>
      <w:r>
        <w:rPr>
          <w:rFonts w:ascii="Times New Roman" w:hAnsi="Times New Roman"/>
          <w:sz w:val="24"/>
          <w:u w:val="none"/>
        </w:rPr>
        <w:t>1.2.1.</w:t>
      </w:r>
      <w:r>
        <w:tab/>
      </w:r>
      <w:r>
        <w:rPr>
          <w:rFonts w:ascii="Times New Roman" w:hAnsi="Times New Roman"/>
          <w:sz w:val="24"/>
        </w:rPr>
        <w:t>Instrukser vedrørende specifikke positioner</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Række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Henvisninger til retsakter og instrukser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KAPITALGRUNDLAG</w:t>
            </w:r>
          </w:p>
          <w:p>
            <w:pPr>
              <w:spacing w:after="120" w:line="240" w:lineRule="auto"/>
              <w:jc w:val="both"/>
              <w:rPr>
                <w:rFonts w:ascii="Times New Roman" w:eastAsia="Times New Roman" w:hAnsi="Times New Roman" w:cs="Times New Roman"/>
                <w:bCs/>
              </w:rPr>
            </w:pPr>
            <w:r>
              <w:rPr>
                <w:rFonts w:ascii="Times New Roman" w:hAnsi="Times New Roman"/>
                <w:bCs/>
              </w:rPr>
              <w:t>Artikel 9, stk. 1,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Et investeringsselskabs kapitalgrundlag består af summen af dets kernekapital og supplerende kapital.</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 samlede sum af række 0020 og række 0380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KERNEKAPITAL</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Kernekapitalen er summen af egentlig kernekapital og hybrid kernekapital.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EGENTLIG KERNEKAPITAL</w:t>
            </w:r>
          </w:p>
          <w:p>
            <w:pPr>
              <w:spacing w:after="120" w:line="240" w:lineRule="auto"/>
              <w:jc w:val="both"/>
              <w:rPr>
                <w:rFonts w:ascii="Times New Roman" w:eastAsia="Times New Roman" w:hAnsi="Times New Roman" w:cs="Times New Roman"/>
                <w:bCs/>
              </w:rPr>
            </w:pPr>
            <w:r>
              <w:rPr>
                <w:rFonts w:ascii="Times New Roman" w:hAnsi="Times New Roman"/>
                <w:bCs/>
              </w:rPr>
              <w:t>Artikel 9, stk. 1,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50 i forordning (EU) nr. 575/2013.</w:t>
            </w:r>
          </w:p>
          <w:p>
            <w:pPr>
              <w:spacing w:after="120" w:line="240" w:lineRule="auto"/>
              <w:jc w:val="both"/>
              <w:rPr>
                <w:rFonts w:ascii="Times New Roman" w:eastAsia="Times New Roman" w:hAnsi="Times New Roman" w:cs="Times New Roman"/>
                <w:bCs/>
              </w:rPr>
            </w:pPr>
            <w:r>
              <w:rPr>
                <w:rFonts w:ascii="Times New Roman" w:hAnsi="Times New Roman"/>
                <w:bCs/>
              </w:rPr>
              <w:t>Den samlede sum af række 0040-0060, række 0090-0140 og række 0290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Fuldt indbetalte kapitalinstrumenter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26, stk. 1, litra a), og artikel 27-31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Indberetningen skal indbefatte gensidige selskabers, andelsselskabers og lignende institutters kapitalinstrumenter (artikel 27 og 29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Overkurs ved emission i forbindelse med instrumenterne indberettes ikke.</w:t>
            </w:r>
          </w:p>
          <w:p>
            <w:pPr>
              <w:pStyle w:val="InstructionsText"/>
              <w:rPr>
                <w:sz w:val="22"/>
                <w:szCs w:val="22"/>
              </w:rPr>
            </w:pPr>
            <w:r>
              <w:rPr>
                <w:rStyle w:val="FormatvorlageInstructionsTabelleText"/>
                <w:rFonts w:ascii="Times New Roman" w:hAnsi="Times New Roman"/>
                <w:sz w:val="22"/>
                <w:szCs w:val="22"/>
              </w:rPr>
              <w:t>Kapitalinstrumenter, som offentlige myndigheder har tegnet i nødsituationer, indberettes, hvis samtlige betingelser i artikel 31 i forordning (EU) nr. 575/2013 er opfyldt.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Overkurs ved emission</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26, stk. 1, litra b),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Overkurs ved emission har samme betydning som i den gældende regnskabsstandard.</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Det beløb, der indberettes i denne post, skal være den andel, der vedrører de »indbetalte kapitalinstrumenter«.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Overført resultat</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Artikel 26, stk. 1, litra c), i forordning (EU) nr. 575/2013.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Overført resultat omfatter overført resultat for det foregående år samt kvalificerede foreløbige overskud og overskud ved årets udgang.</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 samlede sum af række 0070 og række 0080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Overført resultat for foregående år</w:t>
            </w:r>
          </w:p>
          <w:p>
            <w:pPr>
              <w:spacing w:after="120" w:line="240" w:lineRule="auto"/>
              <w:jc w:val="both"/>
              <w:rPr>
                <w:rFonts w:ascii="Times New Roman" w:eastAsia="Times New Roman" w:hAnsi="Times New Roman" w:cs="Times New Roman"/>
              </w:rPr>
            </w:pPr>
            <w:r>
              <w:rPr>
                <w:rFonts w:ascii="Times New Roman" w:hAnsi="Times New Roman"/>
              </w:rPr>
              <w:t>Artikel 4, stk. 1, nr. 123), og artikel 26, stk. 1, litra c), i forordning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I artikel 4, stk. 1, nr. 123), i forordning (EU) nr. 575/2013 defineres overført resultat som fremført driftsresultat opgjort som det endelige overskud eller tab i henhold til de gældende regnskabsregler.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Kvalificeret overskud</w:t>
            </w:r>
          </w:p>
          <w:p>
            <w:pPr>
              <w:spacing w:after="120" w:line="240" w:lineRule="auto"/>
              <w:jc w:val="both"/>
              <w:rPr>
                <w:rFonts w:ascii="Times New Roman" w:eastAsia="Times New Roman" w:hAnsi="Times New Roman" w:cs="Times New Roman"/>
              </w:rPr>
            </w:pPr>
            <w:r>
              <w:rPr>
                <w:rFonts w:ascii="Times New Roman" w:hAnsi="Times New Roman"/>
              </w:rPr>
              <w:t>Artikel 4, stk. 1, nr. 121), artikel 26, stk. 2, og artikel 36, stk. 1, litra a), i forordning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I henhold til artikel 26, stk. 2, i forordning (EU) nr. 575/2013 kan foreløbige overskud og overskud ved årets udgang medregnes med den kompetente myndigheds forudgående tilladelse, hvis visse betingelser opfyldes.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Akkumuleret anden totalindkomst</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Artikel 26, stk. 1, litra d),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Andre reserver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4, stk. 1, nr. 117), og artikel 26, stk. 1, litra e), i forordning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Det indberettede beløb skal være fratrukket enhver form for skat, der kan forudses på beregningstidspunktet.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Minoritetsinteresser, der indgår i den egentlige kernekapital</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84, stk. 1, artikel 85, stk. 1, og artikel 87, stk. 1, i forordning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Summen af beløbene for alle minoritetsinteresser, der indgår i den konsoliderede egentlige kernekapital.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Justeringer af egentlig kernekapital som følge af filtre</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9, stk. 1, litra i), i forordning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Artikel 32-35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Andre midler</w:t>
            </w:r>
          </w:p>
          <w:p>
            <w:pPr>
              <w:spacing w:after="120" w:line="240" w:lineRule="auto"/>
              <w:jc w:val="both"/>
              <w:rPr>
                <w:rFonts w:ascii="Times New Roman" w:eastAsia="Times New Roman" w:hAnsi="Times New Roman" w:cs="Times New Roman"/>
                <w:bCs/>
              </w:rPr>
            </w:pPr>
            <w:r>
              <w:rPr>
                <w:rFonts w:ascii="Times New Roman" w:hAnsi="Times New Roman"/>
              </w:rPr>
              <w:t>Artikel 9, stk. 4,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FRADRAG I ALT I DEN EGENTLIGE KERNEKAPITAL</w:t>
            </w:r>
          </w:p>
          <w:p>
            <w:pPr>
              <w:spacing w:after="120" w:line="240" w:lineRule="auto"/>
              <w:jc w:val="both"/>
              <w:rPr>
                <w:rFonts w:ascii="Times New Roman" w:eastAsia="Times New Roman" w:hAnsi="Times New Roman" w:cs="Times New Roman"/>
                <w:bCs/>
              </w:rPr>
            </w:pPr>
            <w:r>
              <w:rPr>
                <w:rFonts w:ascii="Times New Roman" w:hAnsi="Times New Roman"/>
                <w:bCs/>
              </w:rPr>
              <w:t>Den samlede sum af række 0190-0285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Tab i det løbende regnskabsår</w:t>
            </w:r>
          </w:p>
          <w:p>
            <w:pPr>
              <w:spacing w:after="120" w:line="240" w:lineRule="auto"/>
              <w:jc w:val="both"/>
              <w:rPr>
                <w:rFonts w:ascii="Times New Roman" w:eastAsia="Times New Roman" w:hAnsi="Times New Roman" w:cs="Times New Roman"/>
                <w:b/>
                <w:bCs/>
                <w:u w:val="single"/>
              </w:rPr>
            </w:pPr>
            <w:r>
              <w:rPr>
                <w:rFonts w:ascii="Times New Roman" w:hAnsi="Times New Roman"/>
              </w:rPr>
              <w:t>Artikel 36, stk. 1, litra a),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sv-SE"/>
              </w:rPr>
            </w:pPr>
            <w:r>
              <w:rPr>
                <w:rFonts w:ascii="Times New Roman" w:hAnsi="Times New Roman"/>
                <w:b/>
                <w:bCs/>
                <w:u w:val="single"/>
                <w:lang w:val="sv-SE"/>
              </w:rPr>
              <w:t>(-) Goodwill</w:t>
            </w:r>
          </w:p>
          <w:p>
            <w:pPr>
              <w:spacing w:after="120" w:line="240" w:lineRule="auto"/>
              <w:jc w:val="both"/>
              <w:rPr>
                <w:rFonts w:ascii="Times New Roman" w:eastAsia="Times New Roman" w:hAnsi="Times New Roman" w:cs="Times New Roman"/>
                <w:bCs/>
                <w:lang w:val="sv-SE"/>
              </w:rPr>
            </w:pPr>
            <w:r>
              <w:rPr>
                <w:rFonts w:ascii="Times New Roman" w:hAnsi="Times New Roman"/>
                <w:bCs/>
                <w:lang w:val="sv-SE"/>
              </w:rPr>
              <w:t>Artikel 9, stk. 1, litra i), i forordning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Artikel 4, stk. 1, nr. 113), artikel 36, stk. 1, litra b), og artikel 37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Andre immaterielle aktiver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Artikel 4, stk. 1, nr. 115), artikel 36, stk. 1, litra b), og artikel 37, litra a), i forordning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Andre immaterielle aktiver er immaterielle aktiver som i de gældende regnskabsregler minus goodwill, også i henhold til de gældende regnskabsregler.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Udskudte skatteaktiver, som afhænger af fremtidig rentabilitet og ikke skyldes midlertidige forskelle, fratrukket instituttets tilhørende udskudte skatteforpligtelser</w:t>
            </w:r>
          </w:p>
          <w:p>
            <w:pPr>
              <w:spacing w:after="120" w:line="240" w:lineRule="auto"/>
              <w:jc w:val="both"/>
              <w:rPr>
                <w:rFonts w:ascii="Times New Roman" w:eastAsia="Times New Roman" w:hAnsi="Times New Roman" w:cs="Times New Roman"/>
                <w:bCs/>
              </w:rPr>
            </w:pPr>
            <w:r>
              <w:rPr>
                <w:rFonts w:ascii="Times New Roman" w:hAnsi="Times New Roman"/>
                <w:bCs/>
              </w:rPr>
              <w:t>Artikel 9, stk. 2, litra a),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36, stk. 1, litra c),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Kvalificeret deltagelse uden for den finansielle sektor, som udgør over 15 % af kapitalgrundlaget</w:t>
            </w:r>
          </w:p>
          <w:p>
            <w:pPr>
              <w:spacing w:after="120" w:line="240" w:lineRule="auto"/>
              <w:jc w:val="both"/>
              <w:rPr>
                <w:rFonts w:ascii="Times New Roman" w:eastAsia="Times New Roman" w:hAnsi="Times New Roman" w:cs="Times New Roman"/>
                <w:bCs/>
              </w:rPr>
            </w:pPr>
            <w:r>
              <w:rPr>
                <w:rFonts w:ascii="Times New Roman" w:hAnsi="Times New Roman"/>
                <w:bCs/>
              </w:rPr>
              <w:t>Artikel 10, stk. 1, litra a),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Samlet kvalificeret deltagelse i andre virksomheder end enheder i den finansielle sektor, som overstiger 60 % af dets kapitalgrundlag</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10, stk. 1, litra b),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Andre fradrag</w:t>
            </w:r>
          </w:p>
          <w:p>
            <w:pPr>
              <w:spacing w:after="120" w:line="240" w:lineRule="auto"/>
              <w:jc w:val="both"/>
              <w:rPr>
                <w:rFonts w:ascii="Times New Roman" w:eastAsia="Times New Roman" w:hAnsi="Times New Roman" w:cs="Times New Roman"/>
                <w:b/>
                <w:bCs/>
                <w:u w:val="single"/>
              </w:rPr>
            </w:pPr>
            <w:r>
              <w:rPr>
                <w:rFonts w:ascii="Times New Roman" w:hAnsi="Times New Roman"/>
              </w:rPr>
              <w:t>Summen af alle andre fradrag i henhold til artikel 36, stk. 1, i forordning (EU) nr. 575/2013, som ikke indgår i nogen af rækkerne 0160-0240 ovenfor.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Egentlig kernekapital: Andre kapitalelementer, fradrag og justeringer</w:t>
            </w:r>
          </w:p>
          <w:p>
            <w:pPr>
              <w:spacing w:after="120" w:line="240" w:lineRule="auto"/>
              <w:jc w:val="both"/>
              <w:rPr>
                <w:rFonts w:ascii="Times New Roman" w:eastAsia="Times New Roman" w:hAnsi="Times New Roman" w:cs="Times New Roman"/>
                <w:bCs/>
              </w:rPr>
            </w:pPr>
            <w:r>
              <w:rPr>
                <w:rFonts w:ascii="Times New Roman" w:hAnsi="Times New Roman"/>
                <w:bCs/>
              </w:rPr>
              <w:t>Denne række omfatter summen af følgende poster, hvis de foreligger: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Overgangsjusteringer som følge af kapitalinstrumenter, der udgør egentlig kernekapital i henhold til overgangsbestemmelser (artikel 483, stk. 1, 2 og 3, og artikel 484-487 i forordning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Overgangsjusteringer som følge af yderligere minoritetsinteresser (artikel 479 og 480 i forordning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Andre overgangsjusteringer af egentlig kernekapital (artikel 469-478 og 481 i forordning (EU) nr. 575/2013):</w:t>
            </w:r>
            <w:r>
              <w:rPr>
                <w:rFonts w:ascii="Times New Roman" w:hAnsi="Times New Roman"/>
                <w:bCs/>
              </w:rPr>
              <w:t xml:space="preserve"> justeringer af fradrag i egentlig kernekapital som følge af overgangsbestemmelser.</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egentlig kernekapital-elementer eller fradrag i et egentlig kernekapital-element, der ikke kan tildeles en af rækkerne 0040-0285.</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Denne række anvendes ikke til at medtage kapitalposter eller fradrag, som ikke er omfattet af forordning (EU) 2019/2033 eller forordning (EU) nr. 575/2013, i beregningen af solvensnøgletal.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HYBRID KERNEKAPITAL</w:t>
            </w:r>
          </w:p>
          <w:p>
            <w:pPr>
              <w:spacing w:after="120" w:line="240" w:lineRule="auto"/>
              <w:jc w:val="both"/>
              <w:rPr>
                <w:rFonts w:ascii="Times New Roman" w:eastAsia="Times New Roman" w:hAnsi="Times New Roman" w:cs="Times New Roman"/>
                <w:bCs/>
              </w:rPr>
            </w:pPr>
            <w:r>
              <w:rPr>
                <w:rFonts w:ascii="Times New Roman" w:hAnsi="Times New Roman"/>
                <w:bCs/>
              </w:rPr>
              <w:t>Artikel 9, stk. 1, i forordning (EU) 2019/2033.</w:t>
            </w:r>
          </w:p>
          <w:p>
            <w:pPr>
              <w:spacing w:after="120" w:line="240" w:lineRule="auto"/>
              <w:jc w:val="both"/>
              <w:rPr>
                <w:rFonts w:ascii="Times New Roman" w:hAnsi="Times New Roman" w:cs="Times New Roman"/>
              </w:rPr>
            </w:pPr>
            <w:r>
              <w:rPr>
                <w:rFonts w:ascii="Times New Roman" w:hAnsi="Times New Roman"/>
              </w:rPr>
              <w:t>Artikel 61 i forordning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 samlede sum af række 0310-0410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Fuldt indbetalte, direkte udstedte kapitalinstrumenter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51, litra a), og artikel 52, 53 og 54 i forordning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 det indberettede beløb medregnes ikke overkurs ved emission i forbindelse med instrumenterne.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Overkurs ved emission</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51, litra b),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Overkurs ved emission har samme betydning som i den gældende regnskabsstandard.</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Det beløb, der indberettes i denne post, skal være den andel, der vedrører de »fuldt indbetalte og direkte udstedte kapitalinstrumenter«.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FRADRAG I ALT I DEN HYBRIDE KERNEKAPITAL</w:t>
            </w:r>
          </w:p>
          <w:p>
            <w:pPr>
              <w:spacing w:before="60" w:after="60"/>
              <w:rPr>
                <w:rFonts w:ascii="Times New Roman" w:hAnsi="Times New Roman" w:cs="Times New Roman"/>
              </w:rPr>
            </w:pPr>
            <w:r>
              <w:rPr>
                <w:rFonts w:ascii="Times New Roman" w:hAnsi="Times New Roman"/>
              </w:rPr>
              <w:t>Artikel 56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Hybrid kernekapital: Andre kapitalelementer, fradrag og justeringer</w:t>
            </w:r>
          </w:p>
          <w:p>
            <w:pPr>
              <w:spacing w:after="120" w:line="240" w:lineRule="auto"/>
              <w:jc w:val="both"/>
              <w:rPr>
                <w:rFonts w:ascii="Times New Roman" w:eastAsia="Times New Roman" w:hAnsi="Times New Roman" w:cs="Times New Roman"/>
                <w:bCs/>
              </w:rPr>
            </w:pPr>
            <w:r>
              <w:rPr>
                <w:rFonts w:ascii="Times New Roman" w:hAnsi="Times New Roman"/>
                <w:bCs/>
              </w:rPr>
              <w:t>Denne række omfatter summen af følgende poster, hvis de foreligger: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Overgangsjusteringer som følge af kapitalinstrumenter, der udgør hybrid kernekapital i henhold til overgangsbestemmelser (artikel 483, stk. 4 og 5, artikel 484-487 og artikel 489 og 491 i forordning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Instrumenter, som er udstedt af datterselskaber, og som indregnes i den hybride kernekapital (artikel 83, 85 og 86 i forordning (EU) nr. 575/2013):</w:t>
            </w:r>
            <w:r>
              <w:rPr>
                <w:rFonts w:ascii="Times New Roman" w:hAnsi="Times New Roman"/>
                <w:bCs/>
              </w:rPr>
              <w:t xml:space="preserve"> </w:t>
            </w:r>
            <w:r>
              <w:rPr>
                <w:rFonts w:ascii="Times New Roman" w:hAnsi="Times New Roman"/>
              </w:rPr>
              <w:t>Summen af alle beløb for datterselskabers kvalificerende kernekapital, der indgår i den konsoliderede hybride kernekapital, herunder kapital udstedt af en enhed med særligt formål (artikel 83 i forordning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Overgangsjusteringer som følge af yderligere indregning af hybrid kernekapital af instrumenter udstedt af datterselskaber i den supplerende kapital (artikel 480 i forordning (EU) nr. 575/2013):</w:t>
            </w:r>
            <w:r>
              <w:rPr>
                <w:rFonts w:ascii="Times New Roman" w:hAnsi="Times New Roman"/>
                <w:bCs/>
              </w:rPr>
              <w:t xml:space="preserve"> justeringer af det kvalificerende kernekapital indregnet i den konsoliderede hybride kernekapital som følge af overgangsbestemmelser.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Andre overgangsjusteringer af hybrid kernekapital (artikel 472, 473a, 474, 475, 478 og 481 i forordning (EU) nr. 575/2013):</w:t>
            </w:r>
            <w:r>
              <w:rPr>
                <w:rFonts w:ascii="Times New Roman" w:hAnsi="Times New Roman"/>
                <w:bCs/>
              </w:rPr>
              <w:t xml:space="preserve"> justeringer af fradrag som følge af overgangsbestemmelser.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rPr>
              <w:t>Overskud af fradrag i hybride kernekapitalposter i forhold til den hybride kernekapital, fratrukket den egentlige kernekapital i overensstemmelse med artikel 36, stk. 1, litra j), i forordning (EU) nr. 575/2013:</w:t>
            </w:r>
            <w:r>
              <w:rPr>
                <w:rFonts w:ascii="Times New Roman" w:hAnsi="Times New Roman"/>
                <w:bCs/>
              </w:rPr>
              <w:t xml:space="preserve"> Hybrid kernekapital kan ikke være negativ, men det er muligt, at fradragene i hybride kernekapitalposter overstiger værdien af disponible hybride kernekapitalposter. Hvis dette forekommer, repræsenterer denne post det beløb, der er nødvendigt for at øge det beløb, der er indberettet i række 0300, til nul, og den svarer til det omvendte af overskydende fradrag i hybride kernekapitalposter i forhold til hybrid kernekapital, der blandt andre fradrag er medtaget i række 0285.</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hybrid kernekapital-elementer eller fradrag i et hybrid kernekapital-element, der ikke kan tildeles en af rækkerne 0310-0330.</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Denne række anvendes ikke til at medtage kapitalposter eller fradrag, som ikke er omfattet af forordning (EU) 2019/2033 eller forordning (EU) nr. 575/2013, i beregningen af solvensnøgletal.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SUPPLERENDE KAPITAL</w:t>
            </w:r>
          </w:p>
          <w:p>
            <w:pPr>
              <w:spacing w:after="120" w:line="240" w:lineRule="auto"/>
              <w:jc w:val="both"/>
              <w:rPr>
                <w:rFonts w:ascii="Times New Roman" w:eastAsia="Times New Roman" w:hAnsi="Times New Roman" w:cs="Times New Roman"/>
                <w:bCs/>
              </w:rPr>
            </w:pPr>
            <w:r>
              <w:rPr>
                <w:rFonts w:ascii="Times New Roman" w:hAnsi="Times New Roman"/>
              </w:rPr>
              <w:t>Artikel 9, stk. 1,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71 i forordning (EU) nr. 575/2013.</w:t>
            </w:r>
          </w:p>
          <w:p>
            <w:pPr>
              <w:pStyle w:val="CommentText"/>
              <w:rPr>
                <w:sz w:val="22"/>
                <w:szCs w:val="22"/>
              </w:rPr>
            </w:pPr>
            <w:r>
              <w:rPr>
                <w:rFonts w:ascii="Times New Roman" w:hAnsi="Times New Roman"/>
                <w:bCs/>
                <w:sz w:val="22"/>
                <w:szCs w:val="22"/>
              </w:rPr>
              <w:t>Den samlede sum af række 0430-0520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Fuldt indbetalte, direkte udstedte kapitalinstrumenter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Artikel 62, litra a), og artikel 63 og 65 i forordning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 det indberettede beløb medregnes ikke overkurs ved emission i forbindelse med instrumenterne.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Overkurs ved emission</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62, litra b), og artikel 65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Overkurs ved emission har samme betydning som i den gældende regnskabsstandard.</w:t>
            </w:r>
          </w:p>
          <w:p>
            <w:pPr>
              <w:pStyle w:val="InstructionsText"/>
              <w:rPr>
                <w:sz w:val="22"/>
                <w:szCs w:val="22"/>
              </w:rPr>
            </w:pPr>
            <w:r>
              <w:rPr>
                <w:rStyle w:val="FormatvorlageInstructionsTabelleText"/>
                <w:rFonts w:ascii="Times New Roman" w:hAnsi="Times New Roman"/>
                <w:sz w:val="22"/>
                <w:szCs w:val="22"/>
              </w:rPr>
              <w:t>Det beløb, der indberettes i denne post, skal være den andel, der vedrører de »fuldt indbetalte og direkte udstedte kapitalinstrumenter«.</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FRADRAG I ALT I DEN SUPPLERENDE KAPITAL</w:t>
            </w:r>
          </w:p>
          <w:p>
            <w:pPr>
              <w:spacing w:after="120" w:line="240" w:lineRule="auto"/>
              <w:jc w:val="both"/>
              <w:rPr>
                <w:rFonts w:ascii="Times New Roman" w:hAnsi="Times New Roman" w:cs="Times New Roman"/>
              </w:rPr>
            </w:pPr>
            <w:r>
              <w:rPr>
                <w:rFonts w:ascii="Times New Roman" w:hAnsi="Times New Roman"/>
              </w:rPr>
              <w:t>Artikel 66 i forordning (EU) nr. 575/2013.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Supplerende kapital: Andre kapitalelementer, fradrag og justeringer</w:t>
            </w:r>
          </w:p>
          <w:p>
            <w:pPr>
              <w:spacing w:after="120" w:line="240" w:lineRule="auto"/>
              <w:jc w:val="both"/>
              <w:rPr>
                <w:rFonts w:ascii="Times New Roman" w:eastAsia="Times New Roman" w:hAnsi="Times New Roman" w:cs="Times New Roman"/>
                <w:bCs/>
              </w:rPr>
            </w:pPr>
            <w:r>
              <w:rPr>
                <w:rFonts w:ascii="Times New Roman" w:hAnsi="Times New Roman"/>
                <w:bCs/>
              </w:rPr>
              <w:t>Denne række omfatter summen af følgende poster, hvis de foreligger: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Overgangsjusteringer som følge af kapitalinstrumenter, der udgør supplerende kapital i henhold til overgangsbestemmelser (artikel 483, stk. 6 og 7, samt artikel 484, 486, 488, 490 og 491 i forordning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Instrumenter, som er udstedt af datterselskaber, og som indregnes i den supplerende kapital (artikel 83, 87 og 88 i forordning (EU) nr. 575/2013): Summen af alle beløb for datterselskabers kvalificerende kapitalgrundlag, der indgår i den konsoliderede supplerende kapital, herunder kvalificerende supplerende kapital udstedt af en enhed med særligt formål (artikel 83 i forordning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Overgangsjusteringer som følge af yderligere indregning af kapitalinstrumenter udstedt af datterselskaber i den supplerende kapital (artikel 480 i forordning (EU) nr. 575/2013): Justeringer af det kvalificerende kapitalgrundlag indregnet i den konsoliderede supplerende kapital som følge af overgangsbestemmelser.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overgangsjusteringer af supplerende kapital (artikel 472, 473a, 476, 477, 478 og 481 i forordning (EU) nr. 575/2013): Justeringer af fradrag i supplerende kapital som følge af overgangsbestemmelser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Overskud af fradrag i supplerende kapitalposter i forhold til den supplerende kapital, fratrukket den hybride kernekapital i overensstemmelse med artikel 56, litra e), i forordning (EU) nr. 575/2013: Supplerende kapital kan ikke være negativ, men det er muligt, at fradragene i supplerende kapitalposter overstiger værdien af disponible supplerende kapitalposter. Hvis dette forekommer, repræsenterer denne post det beløb, der er nødvendigt for at øge det beløb, der er indberettet i række 0420, til nul.</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supplerende kapital-elementer eller fradrag i et supplerende kapital-element, der ikke kan tildeles en af rækkerne 0430-0450.</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Denne række anvendes ikke til at medtage kapitalposter eller fradrag, som ikke er omfattet af forordning (EU) 2019/2033 eller forordning (EU) nr. 575/2013, i beregningen af solvensnøgletal.</w:t>
            </w:r>
          </w:p>
        </w:tc>
      </w:tr>
    </w:tbl>
    <w:p>
      <w:pPr>
        <w:pStyle w:val="Instructionsberschrift2"/>
        <w:ind w:left="357" w:hanging="357"/>
        <w:rPr>
          <w:rFonts w:ascii="Times New Roman" w:hAnsi="Times New Roman" w:cs="Times New Roman"/>
          <w:sz w:val="24"/>
          <w:u w:val="none"/>
        </w:rPr>
      </w:pPr>
      <w:bookmarkStart w:id="22" w:name="_Toc88221447"/>
      <w:r>
        <w:rPr>
          <w:rFonts w:ascii="Times New Roman" w:hAnsi="Times New Roman"/>
          <w:sz w:val="24"/>
        </w:rPr>
        <w:t>1.3. I 02.03 — KAPITALGRUNDLAGSKRAV (I 2.3)</w:t>
      </w:r>
      <w:bookmarkEnd w:id="22"/>
    </w:p>
    <w:p>
      <w:pPr>
        <w:keepNext/>
        <w:spacing w:before="240" w:after="240" w:line="240" w:lineRule="auto"/>
        <w:ind w:left="357" w:hanging="357"/>
        <w:jc w:val="both"/>
        <w:outlineLvl w:val="1"/>
        <w:rPr>
          <w:rFonts w:ascii="Times New Roman" w:eastAsia="Arial" w:hAnsi="Times New Roman" w:cs="Times New Roman"/>
          <w:u w:val="single"/>
        </w:rPr>
      </w:pPr>
      <w:bookmarkStart w:id="23" w:name="_Toc88221448"/>
      <w:r>
        <w:rPr>
          <w:rFonts w:ascii="Times New Roman" w:hAnsi="Times New Roman"/>
          <w:sz w:val="24"/>
          <w:szCs w:val="24"/>
        </w:rPr>
        <w:t>1.3.1.</w:t>
      </w:r>
      <w:r>
        <w:tab/>
      </w:r>
      <w:r>
        <w:rPr>
          <w:rFonts w:ascii="Times New Roman" w:hAnsi="Times New Roman"/>
          <w:u w:val="single"/>
        </w:rPr>
        <w:t>Instrukser vedrørende specifikke positioner</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Række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Henvisninger til retsakter og instrukser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Kapitalgrundlagskrav</w:t>
            </w:r>
          </w:p>
          <w:p>
            <w:pPr>
              <w:spacing w:after="120" w:line="240" w:lineRule="auto"/>
              <w:jc w:val="both"/>
              <w:rPr>
                <w:rFonts w:ascii="Times New Roman" w:eastAsia="Times New Roman" w:hAnsi="Times New Roman" w:cs="Times New Roman"/>
                <w:bCs/>
              </w:rPr>
            </w:pPr>
            <w:r>
              <w:rPr>
                <w:rFonts w:ascii="Times New Roman" w:hAnsi="Times New Roman"/>
                <w:bCs/>
              </w:rPr>
              <w:t>Artikel 11, stk. 1 og 2,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Denne post skal være maksimum af række 0020 og 0030.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Permanent minimumskapitalkrav</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14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Krav vedrørende faste omkostninger</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13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 xml:space="preserve">0050 – 0090 </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Overgangskapitalgrundlagskrav</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Overgangskrav baseret på kapitalgrundlagskrav i forordning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57, stk. 3, litra a),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Overgangskrav baseret på krav vedrørende faste omkostninger</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57, stk. 3, litra b),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Overgangskrav for investeringsselskaber, der tidligere kun var underlagt et startkapitalkrav</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57, stk. 4, litra a),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Overgangskrav baseret på startkapitalkravet ved meddelelse af tilladelse</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57, stk. 4, litra b),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Overgangskrav for investeringsselskaber, der ikke har tilladelse til at levere visse tjenesteydelser</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57, stk. 4, litra c),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 – 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Memorandumposter</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Yderligere kapitalgrundlagskrav</w:t>
            </w:r>
          </w:p>
          <w:p>
            <w:pPr>
              <w:spacing w:after="120" w:line="240" w:lineRule="auto"/>
              <w:jc w:val="both"/>
              <w:rPr>
                <w:rFonts w:ascii="Times New Roman" w:eastAsia="Times New Roman" w:hAnsi="Times New Roman" w:cs="Times New Roman"/>
                <w:bCs/>
              </w:rPr>
            </w:pPr>
            <w:r>
              <w:rPr>
                <w:rFonts w:ascii="Times New Roman" w:hAnsi="Times New Roman"/>
                <w:bCs/>
              </w:rPr>
              <w:t>Artikel 40 i direktiv (EU) 2019/2034.</w:t>
            </w:r>
          </w:p>
          <w:p>
            <w:pPr>
              <w:spacing w:after="120" w:line="240" w:lineRule="auto"/>
              <w:jc w:val="both"/>
              <w:rPr>
                <w:rFonts w:ascii="Times New Roman" w:eastAsia="Times New Roman" w:hAnsi="Times New Roman" w:cs="Times New Roman"/>
                <w:b/>
                <w:bCs/>
                <w:u w:val="single"/>
              </w:rPr>
            </w:pPr>
            <w:r>
              <w:rPr>
                <w:rFonts w:ascii="Times New Roman" w:hAnsi="Times New Roman"/>
                <w:bCs/>
              </w:rPr>
              <w:t>Yderligere kapitalgrundlag, der kræves i henhold til SREP,</w:t>
            </w:r>
            <w:r>
              <w:rPr>
                <w:rFonts w:ascii="Times New Roman" w:hAnsi="Times New Roman"/>
                <w:b/>
                <w:bCs/>
                <w:u w:val="single"/>
              </w:rPr>
              <w:t xml:space="preserve"> </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Samlede kapitalgrundlagskrav</w:t>
            </w:r>
          </w:p>
          <w:p>
            <w:pPr>
              <w:spacing w:after="120" w:line="240" w:lineRule="auto"/>
              <w:jc w:val="both"/>
              <w:rPr>
                <w:rFonts w:ascii="Times New Roman" w:eastAsia="Times New Roman" w:hAnsi="Times New Roman" w:cs="Times New Roman"/>
                <w:b/>
                <w:bCs/>
                <w:u w:val="single"/>
              </w:rPr>
            </w:pPr>
            <w:r>
              <w:rPr>
                <w:rFonts w:ascii="Times New Roman" w:hAnsi="Times New Roman"/>
              </w:rPr>
              <w:t>Et investeringsselskabs samlede kapitalgrundlagskrav omfatter summen af dets kapitalgrundlagskrav, der finder anvendelse på referencedatoen, de yderligere kapitalgrundlagskrav som indberettet i række 0110 og vejledningen om yderligere kapitalgrundlagskrav som indberettet i række 0120.</w:t>
            </w:r>
          </w:p>
        </w:tc>
      </w:tr>
    </w:tbl>
    <w:p>
      <w:pPr>
        <w:pStyle w:val="Instructionsberschrift2"/>
        <w:ind w:left="357" w:hanging="357"/>
        <w:rPr>
          <w:rFonts w:ascii="Times New Roman" w:hAnsi="Times New Roman" w:cs="Times New Roman"/>
          <w:sz w:val="24"/>
        </w:rPr>
      </w:pPr>
      <w:bookmarkStart w:id="24" w:name="_Toc88221449"/>
      <w:r>
        <w:rPr>
          <w:rFonts w:ascii="Times New Roman" w:hAnsi="Times New Roman"/>
          <w:sz w:val="24"/>
        </w:rPr>
        <w:t>1.4. I 02.04 — KAPITALPROCENTER (I 2.4)</w:t>
      </w:r>
      <w:bookmarkEnd w:id="24"/>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5" w:name="_Toc88221450"/>
      <w:r>
        <w:rPr>
          <w:rFonts w:ascii="Times New Roman" w:hAnsi="Times New Roman"/>
          <w:sz w:val="24"/>
          <w:szCs w:val="24"/>
        </w:rPr>
        <w:t>1.4.1.</w:t>
      </w:r>
      <w:r>
        <w:tab/>
      </w:r>
      <w:r>
        <w:rPr>
          <w:rFonts w:ascii="Times New Roman" w:hAnsi="Times New Roman"/>
          <w:sz w:val="24"/>
          <w:szCs w:val="24"/>
          <w:u w:val="single"/>
        </w:rPr>
        <w:t>Instrukser vedrørende specifikke positioner</w:t>
      </w:r>
      <w:bookmarkEnd w:id="2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Række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Henvisninger til retsakter og instrukser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Egentlig kernekapitalprocent</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a), og artikel 11, stk. 1 og 2,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Posten udtrykkes som en procentdel.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Overskud (+)/Underskud (-) af egentlig kernekapital</w:t>
            </w:r>
          </w:p>
          <w:p>
            <w:pPr>
              <w:spacing w:after="120" w:line="240" w:lineRule="auto"/>
              <w:jc w:val="both"/>
              <w:rPr>
                <w:rFonts w:ascii="Times New Roman" w:hAnsi="Times New Roman" w:cs="Times New Roman"/>
              </w:rPr>
            </w:pPr>
            <w:r>
              <w:rPr>
                <w:rFonts w:ascii="Times New Roman" w:hAnsi="Times New Roman"/>
              </w:rPr>
              <w:t>Denne post viser overskuddet eller underskuddet af egentlig kernekapital i forhold til kravet i artikel 9, stk. 1,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Overgangsbestemmelserne i artikel 57, stk. 3 og 4, forordning (EU) 2019/2033 tages ikke i betragtning under denne post.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Kernekapitalprocent</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b), og artikel 11, stk. 1 og 2,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Posten udtrykkes som en procentdel.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Overskud (+)/Underskud (-) af kernekapital</w:t>
            </w:r>
          </w:p>
          <w:p>
            <w:pPr>
              <w:spacing w:after="120" w:line="240" w:lineRule="auto"/>
              <w:jc w:val="both"/>
              <w:rPr>
                <w:rFonts w:ascii="Times New Roman" w:hAnsi="Times New Roman" w:cs="Times New Roman"/>
              </w:rPr>
            </w:pPr>
            <w:r>
              <w:rPr>
                <w:rFonts w:ascii="Times New Roman" w:hAnsi="Times New Roman"/>
              </w:rPr>
              <w:t>Denne post viser overskuddet eller underskuddet af kernekapital i forhold til kravet i artikel 9, stk. 1,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Overgangsbestemmelserne i artikel 57, stk. 3 og 4, forordning (EU) 2019/2033 tages ikke i betragtning under denne post.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Kapitalgrundlagsprocent</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c), og artikel 11, stk. 1 og 2,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Posten udtrykkes som en procentdel.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Overskud (+)/Underskud (-) af samlet kapitalgrundlag</w:t>
            </w:r>
          </w:p>
          <w:p>
            <w:pPr>
              <w:spacing w:after="120" w:line="240" w:lineRule="auto"/>
              <w:jc w:val="both"/>
              <w:rPr>
                <w:rFonts w:ascii="Times New Roman" w:hAnsi="Times New Roman" w:cs="Times New Roman"/>
              </w:rPr>
            </w:pPr>
            <w:r>
              <w:rPr>
                <w:rFonts w:ascii="Times New Roman" w:hAnsi="Times New Roman"/>
              </w:rPr>
              <w:t>Denne post viser overskuddet eller underskuddet af kapitalgrundlag i forhold til kravet i artikel 9, stk. 1,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Overgangsbestemmelserne i artikel 57, stk. 3 og 4, forordning (EU) 2019/2033 tages ikke i betragtning under denne post.</w:t>
            </w:r>
          </w:p>
        </w:tc>
      </w:tr>
    </w:tbl>
    <w:p>
      <w:pPr>
        <w:pStyle w:val="Instructionsberschrift2"/>
        <w:ind w:left="357" w:hanging="357"/>
        <w:rPr>
          <w:rFonts w:ascii="Times New Roman" w:hAnsi="Times New Roman" w:cs="Times New Roman"/>
          <w:sz w:val="24"/>
        </w:rPr>
      </w:pPr>
    </w:p>
    <w:p>
      <w:pPr>
        <w:pStyle w:val="Instructionsberschrift2"/>
        <w:ind w:left="357" w:hanging="357"/>
        <w:rPr>
          <w:rFonts w:ascii="Times New Roman" w:hAnsi="Times New Roman" w:cs="Times New Roman"/>
          <w:sz w:val="24"/>
        </w:rPr>
      </w:pPr>
      <w:bookmarkStart w:id="26" w:name="_Toc88221451"/>
      <w:r>
        <w:rPr>
          <w:rFonts w:ascii="Times New Roman" w:hAnsi="Times New Roman"/>
          <w:sz w:val="24"/>
        </w:rPr>
        <w:t>1.5. I 03.01 — BEREGNING AF KRAV VEDRØRENDE FASTE OMKOSTNINGER (I 3,1)</w:t>
      </w:r>
      <w:bookmarkEnd w:id="2"/>
      <w:bookmarkEnd w:id="3"/>
      <w:bookmarkEnd w:id="26"/>
      <w:bookmarkEnd w:id="4"/>
      <w:bookmarkEnd w:id="5"/>
    </w:p>
    <w:p>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7" w:name="_Toc310414968"/>
      <w:bookmarkStart w:id="28" w:name="_Toc360188326"/>
      <w:bookmarkStart w:id="29" w:name="_Toc473560874"/>
      <w:bookmarkStart w:id="30" w:name="_Toc7084159"/>
      <w:bookmarkStart w:id="31" w:name="_Toc88221452"/>
      <w:r>
        <w:rPr>
          <w:rFonts w:ascii="Times New Roman" w:hAnsi="Times New Roman"/>
          <w:sz w:val="24"/>
          <w:szCs w:val="24"/>
        </w:rPr>
        <w:t>1.5.1.</w:t>
      </w:r>
      <w:r>
        <w:rPr>
          <w:rFonts w:ascii="Times New Roman" w:hAnsi="Times New Roman"/>
          <w:sz w:val="24"/>
          <w:szCs w:val="24"/>
        </w:rPr>
        <w:tab/>
      </w:r>
      <w:r>
        <w:rPr>
          <w:rFonts w:ascii="Times New Roman" w:hAnsi="Times New Roman"/>
          <w:sz w:val="24"/>
          <w:szCs w:val="24"/>
          <w:u w:val="single"/>
        </w:rPr>
        <w:t>Instrukser vedrørende specifikke positioner</w:t>
      </w:r>
      <w:bookmarkStart w:id="32" w:name="_Toc308175821"/>
      <w:bookmarkEnd w:id="32"/>
      <w:bookmarkEnd w:id="27"/>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Række</w:t>
            </w:r>
          </w:p>
        </w:tc>
        <w:tc>
          <w:tcPr>
            <w:tcW w:w="7620"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Henvisninger til retsakter og instrukser</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Krav vedrørende faste omkostninger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rPr>
              <w:t>Artikel 13, stk. 1, i forordning (EU) 2019/2033.</w:t>
            </w:r>
          </w:p>
          <w:p>
            <w:pPr>
              <w:spacing w:after="120" w:line="240" w:lineRule="auto"/>
              <w:jc w:val="both"/>
              <w:rPr>
                <w:rFonts w:ascii="Times New Roman" w:hAnsi="Times New Roman" w:cs="Times New Roman"/>
              </w:rPr>
            </w:pPr>
            <w:r>
              <w:rPr>
                <w:rFonts w:ascii="Times New Roman" w:hAnsi="Times New Roman"/>
              </w:rPr>
              <w:t>Det indberettede beløb skal udgøre mindst 25 % af de årlige faste omkostninger for det foregående år (række 0020).</w:t>
            </w:r>
          </w:p>
          <w:p>
            <w:pPr>
              <w:spacing w:after="120" w:line="240" w:lineRule="auto"/>
              <w:jc w:val="both"/>
              <w:rPr>
                <w:rFonts w:ascii="Times New Roman" w:hAnsi="Times New Roman" w:cs="Times New Roman"/>
              </w:rPr>
            </w:pPr>
            <w:r>
              <w:rPr>
                <w:rFonts w:ascii="Times New Roman" w:hAnsi="Times New Roman"/>
              </w:rPr>
              <w:t>Hvis der sker en væsentlig ændring, jf. artikel 13, stk. 2, i forordning (EU) 2019/2033, skal det indberettede beløb være det krav vedrørende faste omkostninger, som den kompetente myndighed har fastsat i overensstemmelse med nævnte artikel.</w:t>
            </w:r>
          </w:p>
          <w:p>
            <w:pPr>
              <w:spacing w:after="120" w:line="240" w:lineRule="auto"/>
              <w:jc w:val="both"/>
              <w:rPr>
                <w:rFonts w:ascii="Times New Roman" w:hAnsi="Times New Roman" w:cs="Times New Roman"/>
              </w:rPr>
            </w:pPr>
            <w:r>
              <w:rPr>
                <w:rFonts w:ascii="Times New Roman" w:hAnsi="Times New Roman"/>
              </w:rPr>
              <w:t>I de tilfælde, der er anført i artikel 13, stk. 3, i forordning (EU) 2019/2033, skal det indberettede beløb være de forventede faste omkostninger for det indeværende år (række 0200).</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0020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Årlige faste omkostninger for det foregående år efter udlodning af overskud</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13, stk. 1, i forordning (EU) 2019/2033.</w:t>
            </w:r>
          </w:p>
          <w:p>
            <w:pPr>
              <w:pStyle w:val="CommentText"/>
              <w:rPr>
                <w:rFonts w:ascii="Times New Roman" w:hAnsi="Times New Roman" w:cs="Times New Roman"/>
                <w:sz w:val="22"/>
                <w:szCs w:val="22"/>
              </w:rPr>
            </w:pPr>
            <w:r>
              <w:rPr>
                <w:rFonts w:ascii="Times New Roman" w:hAnsi="Times New Roman"/>
                <w:bCs/>
                <w:color w:val="000000" w:themeColor="text1"/>
                <w:sz w:val="22"/>
                <w:szCs w:val="22"/>
              </w:rPr>
              <w:t xml:space="preserve">Investeringsselskaber skal indberette de faste omkostninger for det foregående år efter udlodning af overskud.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Samlede omkostninger for det foregående år efter udlodning af overskud</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rPr>
              <w:t>Artikel 13, stk. 1, i forordning (EU)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Det indberettede beløb skal være efter udlodning af overskud.</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0040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Heraf: Faste omkostninger afholdt af tredjeparter på investeringsselskabernes vegne</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rPr>
              <w:t>Artikel 13 i forordning (EU)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Samlede fradrag</w:t>
            </w:r>
          </w:p>
          <w:p>
            <w:pPr>
              <w:pStyle w:val="NumPar1"/>
              <w:numPr>
                <w:ilvl w:val="0"/>
                <w:numId w:val="0"/>
              </w:numPr>
              <w:rPr>
                <w:sz w:val="22"/>
              </w:rPr>
            </w:pPr>
            <w:r>
              <w:rPr>
                <w:sz w:val="22"/>
              </w:rPr>
              <w:t>Ud over de fradrag, der er omhandlet i artikel 13, stk. 4, i forordning (EU) 2019/2033, fratrækkes følgende poster også de samlede omkostninger, hvis de indgår i de samlede omkostninger i overensstemmelse med de relevante regnskabsregler:</w:t>
            </w:r>
          </w:p>
          <w:p>
            <w:pPr>
              <w:pStyle w:val="Point1letter"/>
              <w:numPr>
                <w:ilvl w:val="0"/>
                <w:numId w:val="0"/>
              </w:numPr>
              <w:tabs>
                <w:tab w:val="left" w:pos="850"/>
              </w:tabs>
              <w:ind w:left="492" w:hanging="567"/>
              <w:rPr>
                <w:sz w:val="22"/>
              </w:rPr>
            </w:pPr>
            <w:r>
              <w:rPr>
                <w:sz w:val="22"/>
              </w:rPr>
              <w:t>a)</w:t>
            </w:r>
            <w:r>
              <w:rPr>
                <w:sz w:val="22"/>
              </w:rPr>
              <w:tab/>
              <w:t>gebyrer, kurtage og andre omkostninger betalt til centrale modparter, børser og andre markedspladser og mellemhandlere med henblik på gennemførelse, registrering eller clearing af transaktioner, men kun hvis de videregives direkte til og opkræves af kunderne. Disse omfatter ikke gebyrer og andre omkostninger, der er nødvendige for at opretholde medlemskab eller på anden måde opfylde finansielle forpligtelser vedrørende tabsdeling over for centrale modparter, børser og andre markedspladser</w:t>
            </w:r>
          </w:p>
          <w:p>
            <w:pPr>
              <w:pStyle w:val="Point1letter"/>
              <w:numPr>
                <w:ilvl w:val="0"/>
                <w:numId w:val="0"/>
              </w:numPr>
              <w:tabs>
                <w:tab w:val="left" w:pos="850"/>
              </w:tabs>
              <w:ind w:left="492" w:hanging="567"/>
              <w:rPr>
                <w:sz w:val="22"/>
              </w:rPr>
            </w:pPr>
            <w:r>
              <w:rPr>
                <w:sz w:val="22"/>
              </w:rPr>
              <w:t>b)</w:t>
            </w:r>
            <w:r>
              <w:rPr>
                <w:sz w:val="22"/>
              </w:rPr>
              <w:tab/>
              <w:t>renter betalt til kunder af kunders penge, hvis der ikke er nogen forpligtelse til at betale sådanne renter</w:t>
            </w:r>
          </w:p>
          <w:p>
            <w:pPr>
              <w:pStyle w:val="Point1letter"/>
              <w:numPr>
                <w:ilvl w:val="0"/>
                <w:numId w:val="0"/>
              </w:numPr>
              <w:tabs>
                <w:tab w:val="left" w:pos="850"/>
              </w:tabs>
              <w:ind w:left="492" w:hanging="567"/>
              <w:rPr>
                <w:sz w:val="22"/>
              </w:rPr>
            </w:pPr>
            <w:r>
              <w:rPr>
                <w:sz w:val="22"/>
              </w:rPr>
              <w:t>c)</w:t>
            </w:r>
            <w:r>
              <w:rPr>
                <w:sz w:val="22"/>
              </w:rPr>
              <w:tab/>
              <w:t>udgifter til skatter, hvis de forfalder i forhold til investeringsselskabets årlige overskud</w:t>
            </w:r>
          </w:p>
          <w:p>
            <w:pPr>
              <w:pStyle w:val="Point1letter"/>
              <w:numPr>
                <w:ilvl w:val="0"/>
                <w:numId w:val="0"/>
              </w:numPr>
              <w:tabs>
                <w:tab w:val="left" w:pos="850"/>
              </w:tabs>
              <w:ind w:left="492" w:hanging="567"/>
              <w:rPr>
                <w:sz w:val="22"/>
              </w:rPr>
            </w:pPr>
            <w:r>
              <w:rPr>
                <w:sz w:val="22"/>
              </w:rPr>
              <w:t>d)</w:t>
            </w:r>
            <w:r>
              <w:rPr>
                <w:sz w:val="22"/>
              </w:rPr>
              <w:tab/>
              <w:t>tab som følge af handel for egen regning med finansielle instrumenter</w:t>
            </w:r>
          </w:p>
          <w:p>
            <w:pPr>
              <w:pStyle w:val="Point1letter"/>
              <w:numPr>
                <w:ilvl w:val="0"/>
                <w:numId w:val="0"/>
              </w:numPr>
              <w:tabs>
                <w:tab w:val="left" w:pos="850"/>
              </w:tabs>
              <w:ind w:left="492" w:hanging="567"/>
              <w:rPr>
                <w:sz w:val="22"/>
              </w:rPr>
            </w:pPr>
            <w:r>
              <w:rPr>
                <w:sz w:val="22"/>
              </w:rPr>
              <w:t>e)</w:t>
            </w:r>
            <w:r>
              <w:rPr>
                <w:sz w:val="22"/>
              </w:rPr>
              <w:tab/>
              <w:t>betalinger i forbindelse med kontraktbaserede aftaler om overførsel af overskud og tab, i henhold til hvilke investeringsselskabet er forpligtet til efter udarbejdelsen af årsregnskabet at overføre sit årsregnskab til moderselskabet</w:t>
            </w:r>
          </w:p>
          <w:p>
            <w:pPr>
              <w:pStyle w:val="Point1letter"/>
              <w:numPr>
                <w:ilvl w:val="0"/>
                <w:numId w:val="0"/>
              </w:numPr>
              <w:tabs>
                <w:tab w:val="left" w:pos="850"/>
              </w:tabs>
              <w:ind w:left="492" w:hanging="567"/>
              <w:rPr>
                <w:color w:val="000000" w:themeColor="text1"/>
                <w:sz w:val="22"/>
              </w:rPr>
            </w:pPr>
            <w:r>
              <w:rPr>
                <w:color w:val="000000" w:themeColor="text1"/>
                <w:sz w:val="22"/>
              </w:rPr>
              <w:t>f)</w:t>
            </w:r>
            <w:r>
              <w:rPr>
                <w:color w:val="000000" w:themeColor="text1"/>
                <w:sz w:val="22"/>
              </w:rPr>
              <w:tab/>
            </w:r>
            <w:r>
              <w:rPr>
                <w:sz w:val="22"/>
              </w:rPr>
              <w:t>betalinger til midler til dækning af generelle kreditinstitutrisici i overensstemmelse med artikel 26, stk. 1, litra f), i forordning (EU) nr. 575/2013</w:t>
            </w:r>
          </w:p>
          <w:p>
            <w:pPr>
              <w:pStyle w:val="Point1letter"/>
              <w:numPr>
                <w:ilvl w:val="0"/>
                <w:numId w:val="0"/>
              </w:numPr>
              <w:tabs>
                <w:tab w:val="left" w:pos="850"/>
              </w:tabs>
              <w:ind w:left="492" w:hanging="567"/>
              <w:rPr>
                <w:rFonts w:eastAsia="Times New Roman"/>
                <w:bCs/>
                <w:color w:val="000000" w:themeColor="text1"/>
                <w:sz w:val="22"/>
              </w:rPr>
            </w:pPr>
            <w:r>
              <w:rPr>
                <w:rFonts w:eastAsia="Times New Roman"/>
                <w:bCs/>
                <w:color w:val="000000" w:themeColor="text1"/>
                <w:sz w:val="22"/>
              </w:rPr>
              <w:t>g)</w:t>
            </w:r>
            <w:r>
              <w:rPr>
                <w:rFonts w:eastAsia="Times New Roman"/>
                <w:bCs/>
                <w:color w:val="000000" w:themeColor="text1"/>
                <w:sz w:val="22"/>
              </w:rPr>
              <w:tab/>
            </w:r>
            <w:r>
              <w:rPr>
                <w:sz w:val="22"/>
              </w:rPr>
              <w:t>omkostninger vedrørende poster, der allerede er fratrukket kapitalgrundlaget i overensstemmelse med artikel 36, stk. 1, i forordning (EU) nr. 575/2013</w:t>
            </w:r>
            <w:r>
              <w:rPr>
                <w:bCs/>
                <w:color w:val="000000" w:themeColor="text1"/>
                <w:sz w:val="22"/>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Medarbejderbonusser og andre vederlag</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13, stk. 4, litra a), i forordning (EU) 2019/2033.</w:t>
            </w:r>
          </w:p>
          <w:p>
            <w:pPr>
              <w:pStyle w:val="NumPar1"/>
              <w:numPr>
                <w:ilvl w:val="0"/>
                <w:numId w:val="0"/>
              </w:numPr>
              <w:rPr>
                <w:sz w:val="22"/>
              </w:rPr>
            </w:pPr>
            <w:r>
              <w:rPr>
                <w:sz w:val="22"/>
              </w:rPr>
              <w:t>Medarbejderbonusser og andre vederlag anses for at afhænge af investeringsselskabets nettooverskud i det pågældende år, hvis begge følgende betingelser er opfyldt:</w:t>
            </w:r>
          </w:p>
          <w:p>
            <w:pPr>
              <w:pStyle w:val="Point1letter"/>
              <w:numPr>
                <w:ilvl w:val="0"/>
                <w:numId w:val="0"/>
              </w:numPr>
              <w:ind w:left="634" w:hanging="567"/>
              <w:rPr>
                <w:sz w:val="22"/>
              </w:rPr>
            </w:pPr>
            <w:r>
              <w:rPr>
                <w:sz w:val="22"/>
              </w:rPr>
              <w:t>h)</w:t>
            </w:r>
            <w:r>
              <w:rPr>
                <w:sz w:val="22"/>
              </w:rPr>
              <w:tab/>
              <w:t>Medarbejderbonusserne og andre vederlag, der skal fratrækkes, er allerede blevet udbetalt til de ansatte i året forud for udbetalingsåret, eller udbetalingen af medarbejderbonusser og andre vederlag til medarbejderne vil ikke have nogen indvirkning på selskabets kapitalposition i det år, hvor udbetalingen finder sted.</w:t>
            </w:r>
          </w:p>
          <w:p>
            <w:pPr>
              <w:pStyle w:val="Point1letter"/>
              <w:numPr>
                <w:ilvl w:val="0"/>
                <w:numId w:val="0"/>
              </w:numPr>
              <w:ind w:left="634" w:hanging="567"/>
              <w:rPr>
                <w:rFonts w:eastAsia="Times New Roman"/>
                <w:bCs/>
                <w:color w:val="000000" w:themeColor="text1"/>
                <w:sz w:val="22"/>
              </w:rPr>
            </w:pPr>
            <w:r>
              <w:rPr>
                <w:rFonts w:eastAsia="Times New Roman"/>
                <w:bCs/>
                <w:color w:val="000000" w:themeColor="text1"/>
                <w:sz w:val="22"/>
              </w:rPr>
              <w:t>i)</w:t>
            </w:r>
            <w:r>
              <w:rPr>
                <w:rFonts w:eastAsia="Times New Roman"/>
                <w:bCs/>
                <w:color w:val="000000" w:themeColor="text1"/>
                <w:sz w:val="22"/>
              </w:rPr>
              <w:tab/>
            </w:r>
            <w:r>
              <w:rPr>
                <w:sz w:val="22"/>
              </w:rPr>
              <w:t>Med hensyn til det indeværende år og de kommende år er selskabet ikke forpligtet til at give eller tildele yderligere bonusser eller andre betalinger i form af vederlag, medmindre det opnår et nettooverskud i det pågældende år.</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(-)Medarbejdernes, direktørernes og partnernes andele af nettooverskud</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13, stk. 4, litra b), i forordning (EU)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Medarbejdernes, direktørernes og partnernes andele af overskud beregnes på grundlag af nettooverskuddet.</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Andre skønsmæssige betalinger af overskud og variabel aflønning</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13, stk. 4, litra c), i forordning (EU)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Delte provisioner og gebyrer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13, stk. 4, litra d), i forordning (EU)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Gebyrer, kurtage og andre omkostninger, som betales til centrale modparter, og som opkræves af kunder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Gebyrer, kurtage og andre omkostninger betalt til centrale modparter, børser og andre markedspladser og mellemhandlere med henblik på gennemførelse, registrering eller clearing af transaktioner, men kun hvis de videregives direkte til og opkræves af kunderne. Disse omfatter ikke gebyrer og andre omkostninger, der er nødvendige for at opretholde medlemskab eller på anden måde opfylde finansielle forpligtelser vedrørende tabsdeling over for centrale modparter, børser og andre markedspladser.</w:t>
            </w:r>
            <w:r>
              <w:rPr>
                <w:rFonts w:ascii="Times New Roman" w:hAnsi="Times New Roman"/>
                <w:bCs/>
                <w:color w:val="000000" w:themeColor="text1"/>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Gebyrer til tilknyttede agenter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rPr>
              <w:t>Artikel 13, stk. 4, litra e), i forordning (EU)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Engangsudgifter fra ikkeordinære aktiviteter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13, stk. 4, litra f), i forordning (EU)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0140</w:t>
            </w:r>
          </w:p>
          <w:p>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pPr>
              <w:spacing w:after="120" w:line="240" w:lineRule="auto"/>
              <w:jc w:val="both"/>
              <w:rPr>
                <w:rFonts w:ascii="Times New Roman" w:eastAsia="Times New Roman" w:hAnsi="Times New Roman" w:cs="Times New Roman"/>
                <w:bCs/>
                <w:color w:val="000000" w:themeColor="text1"/>
                <w:u w:val="single"/>
              </w:rPr>
            </w:pPr>
            <w:r>
              <w:rPr>
                <w:rFonts w:ascii="Times New Roman" w:hAnsi="Times New Roman"/>
                <w:b/>
                <w:bCs/>
                <w:color w:val="000000" w:themeColor="text1"/>
                <w:u w:val="single"/>
              </w:rPr>
              <w:t>(−) Udgifter til skatter</w:t>
            </w:r>
          </w:p>
          <w:p>
            <w:pPr>
              <w:pStyle w:val="Point1letter"/>
              <w:numPr>
                <w:ilvl w:val="0"/>
                <w:numId w:val="0"/>
              </w:numPr>
              <w:rPr>
                <w:rFonts w:eastAsia="Times New Roman"/>
                <w:color w:val="000000" w:themeColor="text1"/>
                <w:sz w:val="22"/>
              </w:rPr>
            </w:pPr>
            <w:r>
              <w:rPr>
                <w:sz w:val="22"/>
              </w:rPr>
              <w:t>Udgifter til skatter, hvis de forfalder i forhold til investeringsselskabets årlige overskud.</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Tab som følge af handel for egen regning med finansielle instrumenter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Forklaring overflødig</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Kontraktbaserede aftaler om overførsel af overskud og tab</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Betalinger i forbindelse med kontraktbaserede aftaler om overførsel af overskud og tab, i henhold til hvilke investeringsselskabet er forpligtet til efter udarbejdelsen af årsregnskabet at overføre sit årsregnskab til moderselskabet.</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Udgifter til råvarer</w:t>
            </w:r>
          </w:p>
          <w:p>
            <w:pPr>
              <w:spacing w:after="120" w:line="240" w:lineRule="auto"/>
              <w:jc w:val="both"/>
              <w:rPr>
                <w:rFonts w:ascii="Times New Roman" w:eastAsia="Times New Roman" w:hAnsi="Times New Roman" w:cs="Times New Roman"/>
                <w:bCs/>
                <w:color w:val="000000" w:themeColor="text1"/>
              </w:rPr>
            </w:pPr>
            <w:bookmarkStart w:id="33" w:name="_Toc38271703"/>
            <w:r>
              <w:rPr>
                <w:rFonts w:ascii="Times New Roman" w:hAnsi="Times New Roman"/>
                <w:bCs/>
                <w:color w:val="000000" w:themeColor="text1"/>
              </w:rPr>
              <w:t>Råvare- og emissionskvotehandlere kan fratrække udgifter til råvarer i forbindelse med et investeringsselskab, der handler med derivater af den underliggende råvare.</w:t>
            </w:r>
            <w:bookmarkEnd w:id="33"/>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(−)Betalinger til midler til dækning af generelle kreditinstitutsrisici</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rPr>
              <w:t>Betalinger til midler til dækning af generelle kreditinstitutrisici i overensstemmelse med artikel 26, stk. 1, litra f), i forordning (EU) nr. 575/2013.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(−)Omkostninger vedrørende poster, der allerede er fratrukket kapitalgrundlaget</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rPr>
              <w:t>Omkostninger vedrørende poster, der allerede er fratrukket kapitalgrundlaget i overensstemmelse med artikel 36, stk. 1, i forordning (EU) nr. 575/2013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Forventede faste omkostninger for det indeværende år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De forventede faste omkostninger for det indeværende år efter udlodning af overskud.</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Ændring i faste omkostninger (%)</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Beløbet indberettes som den absolutte værdi af:</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[(Årlige faste omkostninger for det indeværende år) — (forventede faste omkostninger for det foregående år)/(årlige faste omkostninger for det foregående år)]</w:t>
            </w:r>
          </w:p>
        </w:tc>
      </w:tr>
    </w:tbl>
    <w:p>
      <w:pPr>
        <w:spacing w:after="120" w:line="240" w:lineRule="auto"/>
        <w:jc w:val="both"/>
        <w:rPr>
          <w:rFonts w:ascii="Times New Roman" w:eastAsia="Times New Roman" w:hAnsi="Times New Roman" w:cs="Times New Roman"/>
          <w:sz w:val="24"/>
          <w:szCs w:val="24"/>
          <w:lang w:eastAsia="de-DE"/>
        </w:rPr>
      </w:pPr>
    </w:p>
    <w:p>
      <w:pPr>
        <w:pStyle w:val="Instructionsberschrift2"/>
        <w:ind w:left="357" w:hanging="357"/>
        <w:rPr>
          <w:rFonts w:ascii="Times New Roman" w:hAnsi="Times New Roman" w:cs="Times New Roman"/>
          <w:sz w:val="24"/>
          <w:u w:val="none"/>
        </w:rPr>
      </w:pPr>
      <w:bookmarkStart w:id="34" w:name="_Toc88221453"/>
      <w:r>
        <w:rPr>
          <w:rFonts w:ascii="Times New Roman" w:hAnsi="Times New Roman"/>
          <w:sz w:val="24"/>
          <w:u w:val="none"/>
        </w:rPr>
        <w:t>2. SMÅ OG IKKE INDBYRDES FORBUNDNE INVESTERINGSSELSKABER</w:t>
      </w:r>
      <w:bookmarkEnd w:id="34"/>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5" w:name="_Toc473560875"/>
      <w:bookmarkStart w:id="36" w:name="_Toc7084160"/>
      <w:bookmarkStart w:id="37" w:name="_Toc88221454"/>
      <w:bookmarkStart w:id="38" w:name="_Toc308175823"/>
      <w:bookmarkStart w:id="39" w:name="_Toc360188327"/>
      <w:r>
        <w:rPr>
          <w:rFonts w:ascii="Times New Roman" w:hAnsi="Times New Roman"/>
          <w:sz w:val="24"/>
          <w:szCs w:val="24"/>
        </w:rPr>
        <w:t>2.1.</w:t>
      </w:r>
      <w:r>
        <w:rPr>
          <w:rFonts w:ascii="Times New Roman" w:hAnsi="Times New Roman"/>
          <w:sz w:val="24"/>
          <w:szCs w:val="24"/>
        </w:rPr>
        <w:tab/>
      </w:r>
      <w:r>
        <w:rPr>
          <w:rFonts w:ascii="Times New Roman" w:hAnsi="Times New Roman"/>
          <w:sz w:val="24"/>
          <w:szCs w:val="24"/>
          <w:u w:val="single"/>
        </w:rPr>
        <w:t>I 05.00 — AKTIVITETSNIVEAU — TÆRSKELJUSTERING (I 5)</w:t>
      </w:r>
      <w:bookmarkEnd w:id="35"/>
      <w:bookmarkEnd w:id="36"/>
      <w:bookmarkEnd w:id="37"/>
      <w:bookmarkEnd w:id="38"/>
      <w:bookmarkEnd w:id="39"/>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310414970"/>
      <w:bookmarkStart w:id="41" w:name="_Toc360188328"/>
      <w:bookmarkStart w:id="42" w:name="_Toc473560876"/>
      <w:bookmarkStart w:id="43" w:name="_Toc7084161"/>
      <w:bookmarkStart w:id="44" w:name="_Toc88221455"/>
      <w:r>
        <w:rPr>
          <w:rFonts w:ascii="Times New Roman" w:hAnsi="Times New Roman"/>
          <w:sz w:val="24"/>
          <w:szCs w:val="24"/>
        </w:rPr>
        <w:t>2.1.1.</w:t>
      </w:r>
      <w:r>
        <w:tab/>
      </w:r>
      <w:r>
        <w:rPr>
          <w:rFonts w:ascii="Times New Roman" w:hAnsi="Times New Roman"/>
          <w:sz w:val="24"/>
          <w:szCs w:val="24"/>
          <w:u w:val="single"/>
        </w:rPr>
        <w:t>Instrukser vedrørende specifikke positioner</w:t>
      </w:r>
      <w:bookmarkStart w:id="45" w:name="_Toc308175824"/>
      <w:bookmarkEnd w:id="45"/>
      <w:bookmarkEnd w:id="40"/>
      <w:bookmarkEnd w:id="41"/>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Række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Henvisninger til retsakter og instrukser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(Kombinerede) aktiver under forvaltning</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a),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Hvis det indberettende investeringsselskab er en del af en koncern, fastsættes den indberettede værdi på et kombineret grundlag for alle investeringsselskaber, som er en del af en koncern i henhold til artikel 12, stk. 2,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Investeringsselskaber medtager skønsmæssige og ikkeskønsmæssige aktiver under forvaltning.</w:t>
            </w:r>
          </w:p>
          <w:p>
            <w:pPr>
              <w:spacing w:after="120" w:line="240" w:lineRule="auto"/>
              <w:jc w:val="both"/>
              <w:rPr>
                <w:rFonts w:ascii="Times New Roman" w:eastAsia="Times New Roman" w:hAnsi="Times New Roman" w:cs="Times New Roman"/>
                <w:b/>
                <w:bCs/>
                <w:u w:val="single"/>
              </w:rPr>
            </w:pPr>
            <w:r>
              <w:rPr>
                <w:rFonts w:ascii="Times New Roman" w:hAnsi="Times New Roman"/>
                <w:bCs/>
              </w:rPr>
              <w:t>Det indberettede beløb er det beløb, der ville blive anvendt til beregning af K-faktorer før anvendelse af relevante koefficienter.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(Kombinerede) kundeordrer, der behandles — kontanthandler</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b), nr. i),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Hvis det indberettende investeringsselskab er en del af en koncern, fastsættes den indberettede værdi på et kombineret grundlag for alle investeringsselskaber, som er en del af en koncern i henhold til artikel 12, stk. 2,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Det indberettede beløb er det beløb, der ville blive anvendt til beregning af K-faktorer før anvendelse af relevante koefficienter.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(Kombinerede) kundeordrer, der behandles — derivater</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b), nr. i),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Hvis det indberettende investeringsselskab er en del af en koncern, fastsættes den indberettede værdi på et kombineret grundlag for alle investeringsselskaber, som er en del af en koncern i henhold til artikel 12, stk. 2,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Det indberettede beløb er det beløb, der ville blive anvendt til beregning af K-faktorer før anvendelse af relevante koefficienter.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Aktiver, der beskyttes og administreres</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c),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Det indberettede beløb er det beløb, der ville blive anvendt til beregning af K-faktorer før anvendelse af relevante koefficienter.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Kunders penge, der opbevares</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d),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Det indberettede beløb er det beløb, der ville blive anvendt til beregning af K-faktorer før anvendelse af relevante koefficienter.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Daglig handelsstrøm — kontanthandler og derivathandler</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e),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Det indberettede beløb er det beløb, der ville blive anvendt til beregning af K-faktorer før anvendelse af relevante koefficienter.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Nettopositionsrisiko</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f),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Det indberettede beløb er det beløb, der ville blive anvendt til beregning af K-faktorer før anvendelse af relevante koefficienter.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Opkrævet clearingmargen</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f), i forordning (EU) 2019/2033.</w:t>
            </w:r>
          </w:p>
          <w:p>
            <w:pPr>
              <w:spacing w:after="120" w:line="240" w:lineRule="auto"/>
              <w:jc w:val="both"/>
              <w:rPr>
                <w:rFonts w:ascii="Times New Roman" w:eastAsia="Times New Roman" w:hAnsi="Times New Roman" w:cs="Times New Roman"/>
                <w:b/>
                <w:bCs/>
              </w:rPr>
            </w:pPr>
            <w:r>
              <w:rPr>
                <w:rFonts w:ascii="Times New Roman" w:hAnsi="Times New Roman"/>
                <w:bCs/>
              </w:rPr>
              <w:t>Det indberettede beløb er det beløb, der ville blive anvendt til beregning af K-faktorer før anvendelse af relevante koefficienter.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Handelsmodparters misligholdelse</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g),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Det indberettede beløb er det beløb, der ville blive anvendt til beregning af K-faktorer før anvendelse af relevante koefficienter.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(Kombinerede) balanceførte og ikkebalanceførte poster</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h),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Hvis det indberettende investeringsselskab er en del af en koncern, fastsættes den indberettede værdi på et kombineret grundlag for alle investeringsselskaber, som er en del af en koncern i henhold til artikel 12, stk. 2,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Samlede årlige bruttoindtægter</w:t>
            </w:r>
          </w:p>
          <w:p>
            <w:pPr>
              <w:spacing w:after="120" w:line="240" w:lineRule="auto"/>
              <w:jc w:val="both"/>
              <w:rPr>
                <w:rFonts w:ascii="Times New Roman" w:eastAsia="Times New Roman" w:hAnsi="Times New Roman" w:cs="Times New Roman"/>
                <w:bCs/>
              </w:rPr>
            </w:pPr>
            <w:r>
              <w:rPr>
                <w:rFonts w:ascii="Times New Roman" w:hAnsi="Times New Roman"/>
                <w:bCs/>
              </w:rPr>
              <w:t>Artikel 12, stk. 1, litra i),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 xml:space="preserve">Hvis det indberettende investeringsselskab er en del af en koncern, fastsættes den indberettede værdi på et </w:t>
            </w:r>
            <w:r>
              <w:rPr>
                <w:rFonts w:ascii="Times New Roman" w:hAnsi="Times New Roman"/>
                <w:bCs/>
                <w:u w:val="single"/>
              </w:rPr>
              <w:t>kombineret grundlag</w:t>
            </w:r>
            <w:r>
              <w:rPr>
                <w:rFonts w:ascii="Times New Roman" w:hAnsi="Times New Roman"/>
                <w:bCs/>
              </w:rPr>
              <w:t xml:space="preserve"> for alle investeringsselskaber, som er en del af en koncern i henhold til artikel 12, stk. 2,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Den indberettede værdi skal være (række 0120 + række 0130).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Årlige bruttoindtægter</w:t>
            </w:r>
          </w:p>
          <w:p>
            <w:pPr>
              <w:spacing w:after="120" w:line="240" w:lineRule="auto"/>
              <w:jc w:val="both"/>
              <w:rPr>
                <w:rFonts w:ascii="Times New Roman" w:eastAsia="Times New Roman" w:hAnsi="Times New Roman" w:cs="Times New Roman"/>
                <w:b/>
                <w:bCs/>
                <w:u w:val="single"/>
              </w:rPr>
            </w:pPr>
            <w:r>
              <w:rPr>
                <w:rFonts w:ascii="Times New Roman" w:hAnsi="Times New Roman"/>
                <w:bCs/>
              </w:rPr>
              <w:t xml:space="preserve">Værdien af de samlede årlige bruttoindtægter </w:t>
            </w:r>
            <w:r>
              <w:rPr>
                <w:rFonts w:ascii="Times New Roman" w:hAnsi="Times New Roman"/>
                <w:bCs/>
                <w:u w:val="single"/>
              </w:rPr>
              <w:t>eksklusive</w:t>
            </w:r>
            <w:r>
              <w:rPr>
                <w:rFonts w:ascii="Times New Roman" w:hAnsi="Times New Roman"/>
                <w:bCs/>
              </w:rPr>
              <w:t xml:space="preserve"> bruttoindtægter genereret inden for koncernen, jf. artikel 12, stk. 2,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(−)Koncernintern andel af de årlige bruttoindtægter</w:t>
            </w:r>
          </w:p>
          <w:p>
            <w:pPr>
              <w:spacing w:after="120" w:line="240" w:lineRule="auto"/>
              <w:jc w:val="both"/>
              <w:rPr>
                <w:rFonts w:ascii="Times New Roman" w:eastAsia="Times New Roman" w:hAnsi="Times New Roman" w:cs="Times New Roman"/>
                <w:b/>
                <w:bCs/>
                <w:u w:val="single"/>
              </w:rPr>
            </w:pPr>
            <w:r>
              <w:rPr>
                <w:rFonts w:ascii="Times New Roman" w:hAnsi="Times New Roman"/>
                <w:bCs/>
              </w:rPr>
              <w:t>Værdien af de årlige bruttoindtægter genereret inden for investeringsselskabskoncernen, jf. artikel 12, stk. 2,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modtagelse og formidling af ordrer</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Artikel 4, stk. 1, nr. 2),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udførelse af ordrer på kunders vegne</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Artikel 4, stk. 1, nr. 2),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handel for egen regning</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2),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porteføljepleje</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2),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investeringsrådgivning</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2),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afsætningsgaranti for finansielle instrumenter/placering på grundlag af en fast forpligtelse</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2),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placering uden en fast forpligtelse</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2),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driften af en MHF</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2),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driften af en OHF</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2),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opbevaring og administration af finansielle 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3),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kredit- eller långivning til investorer</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3),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rådgivning til virksomheder vedrørende kapitalstrukturer, erhvervsstrategi og dermed beslægtede spørgsmål samt rådgivning og tjenesteydelser vedrørende fusioner og opkøb af virksomheder</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3),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valutatjenester</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3),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investeringsanalyser og finansielle analyser</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3),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Heraf: indtægter fra tjenesteydelser i forbindelse med garantistillelse</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3), i direktiv 2014/65/EU.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rPr>
            </w:pPr>
            <w:r>
              <w:rPr>
                <w:rFonts w:ascii="Times New Roman" w:hAnsi="Times New Roman"/>
                <w:b/>
                <w:bCs/>
                <w:u w:val="single"/>
              </w:rPr>
              <w:t>Heraf: investeringsservice og accessoriske aktiviteter i forbindelse med derivaters underliggende 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54, stk. 1, litra d),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4, stk. 1, nr. 3), i direktiv 2014/65/EU.</w:t>
            </w:r>
          </w:p>
        </w:tc>
      </w:tr>
    </w:tbl>
    <w:p>
      <w:pPr>
        <w:pStyle w:val="Instructionsberschrift2"/>
        <w:ind w:left="357" w:hanging="357"/>
        <w:rPr>
          <w:rFonts w:ascii="Times New Roman" w:hAnsi="Times New Roman" w:cs="Times New Roman"/>
          <w:b/>
          <w:sz w:val="24"/>
          <w:u w:val="none"/>
        </w:rPr>
      </w:pPr>
    </w:p>
    <w:p>
      <w:pPr>
        <w:pStyle w:val="Instructionsberschrift2"/>
        <w:ind w:left="357" w:hanging="357"/>
        <w:rPr>
          <w:rFonts w:ascii="Times New Roman" w:hAnsi="Times New Roman" w:cs="Times New Roman"/>
          <w:b/>
          <w:sz w:val="24"/>
          <w:u w:val="none"/>
        </w:rPr>
      </w:pPr>
      <w:bookmarkStart w:id="46" w:name="_Toc88221456"/>
      <w:r>
        <w:rPr>
          <w:rFonts w:ascii="Times New Roman" w:hAnsi="Times New Roman"/>
          <w:b/>
          <w:sz w:val="24"/>
          <w:u w:val="none"/>
        </w:rPr>
        <w:t>3. LIKVIDITETSKRAV</w:t>
      </w:r>
      <w:bookmarkEnd w:id="46"/>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221457"/>
      <w:r>
        <w:rPr>
          <w:rFonts w:ascii="Times New Roman" w:hAnsi="Times New Roman"/>
          <w:sz w:val="24"/>
          <w:szCs w:val="24"/>
          <w:u w:val="single"/>
        </w:rPr>
        <w:t>3.1. I 09.01 — LIKVIDITETSKRAV (I 9,1)</w:t>
      </w:r>
      <w:bookmarkEnd w:id="47"/>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8" w:name="_Toc88221458"/>
      <w:r>
        <w:rPr>
          <w:rFonts w:ascii="Times New Roman" w:hAnsi="Times New Roman"/>
          <w:sz w:val="24"/>
          <w:szCs w:val="24"/>
        </w:rPr>
        <w:t>3.1.1.</w:t>
      </w:r>
      <w:r>
        <w:tab/>
      </w:r>
      <w:r>
        <w:rPr>
          <w:rFonts w:ascii="Times New Roman" w:hAnsi="Times New Roman"/>
          <w:sz w:val="24"/>
          <w:szCs w:val="24"/>
          <w:u w:val="single"/>
        </w:rPr>
        <w:t>Instrukser vedrørende specifikke positioner</w:t>
      </w:r>
      <w:bookmarkEnd w:id="4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Række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Henvisninger til retsakter og instrukser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lang w:val="sv-SE"/>
              </w:rPr>
            </w:pPr>
            <w:r>
              <w:rPr>
                <w:rFonts w:ascii="Times New Roman" w:hAnsi="Times New Roman"/>
                <w:b/>
                <w:bCs/>
                <w:u w:val="single"/>
                <w:lang w:val="sv-SE"/>
              </w:rPr>
              <w:t>Likviditetskrav</w:t>
            </w:r>
          </w:p>
          <w:p>
            <w:pPr>
              <w:spacing w:after="120" w:line="240" w:lineRule="auto"/>
              <w:jc w:val="both"/>
              <w:rPr>
                <w:rFonts w:ascii="Times New Roman" w:eastAsia="Times New Roman" w:hAnsi="Times New Roman" w:cs="Times New Roman"/>
                <w:b/>
                <w:bCs/>
                <w:u w:val="single"/>
                <w:lang w:val="sv-SE"/>
              </w:rPr>
            </w:pPr>
            <w:r>
              <w:rPr>
                <w:rFonts w:ascii="Times New Roman" w:hAnsi="Times New Roman"/>
                <w:bCs/>
                <w:lang w:val="sv-SE"/>
              </w:rPr>
              <w:t>Artikel 43, stk. 1,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Kundegarantier</w:t>
            </w:r>
          </w:p>
          <w:p>
            <w:pPr>
              <w:spacing w:after="120" w:line="240" w:lineRule="auto"/>
              <w:jc w:val="both"/>
              <w:rPr>
                <w:rFonts w:ascii="Times New Roman" w:eastAsia="Times New Roman" w:hAnsi="Times New Roman" w:cs="Times New Roman"/>
                <w:bCs/>
              </w:rPr>
            </w:pPr>
            <w:r>
              <w:rPr>
                <w:rFonts w:ascii="Times New Roman" w:hAnsi="Times New Roman"/>
                <w:bCs/>
              </w:rPr>
              <w:t>Artikel 45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Den indberettede værdi skal være 1,6 % af det samlede beløb for garantier, der er ydet til kunderne, jf. artikel 45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Samlede likvide aktiver</w:t>
            </w:r>
          </w:p>
          <w:p>
            <w:pPr>
              <w:spacing w:after="120" w:line="240" w:lineRule="auto"/>
              <w:jc w:val="both"/>
              <w:rPr>
                <w:rFonts w:ascii="Times New Roman" w:eastAsia="Times New Roman" w:hAnsi="Times New Roman" w:cs="Times New Roman"/>
                <w:bCs/>
              </w:rPr>
            </w:pPr>
            <w:r>
              <w:rPr>
                <w:rFonts w:ascii="Times New Roman" w:hAnsi="Times New Roman"/>
                <w:bCs/>
              </w:rPr>
              <w:t>Artikel 43, stk. 1, litra a), og artikel 43, stk. 2, i forordning (EU) 2019/2033.</w:t>
            </w:r>
          </w:p>
          <w:p>
            <w:pPr>
              <w:pStyle w:val="CommentText"/>
              <w:rPr>
                <w:rFonts w:ascii="Times New Roman" w:eastAsia="Times New Roman" w:hAnsi="Times New Roman" w:cs="Times New Roman"/>
                <w:b/>
                <w:bCs/>
                <w:sz w:val="22"/>
                <w:szCs w:val="22"/>
                <w:u w:val="single"/>
              </w:rPr>
            </w:pPr>
            <w:r>
              <w:rPr>
                <w:rFonts w:ascii="Times New Roman" w:hAnsi="Times New Roman"/>
                <w:bCs/>
                <w:sz w:val="22"/>
                <w:szCs w:val="22"/>
              </w:rPr>
              <w:t>Samlede likvide aktiver indberettes efter anvendelse af relevante haircuts.</w:t>
            </w:r>
          </w:p>
        </w:tc>
      </w:tr>
    </w:tbl>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065A3D" w16cid:durableId="24899E7E"/>
  <w16cid:commentId w16cid:paraId="79E4C2DA" w16cid:durableId="24899E7F"/>
  <w16cid:commentId w16cid:paraId="4F93143D" w16cid:durableId="24899E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DA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F43E7686"/>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BE2C1950"/>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A29E2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IE" w:vendorID="64" w:dllVersion="131078" w:nlCheck="1" w:checkStyle="1"/>
  <w:activeWritingStyle w:appName="MSWord" w:lang="en-GB" w:vendorID="64" w:dllVersion="131078" w:nlCheck="1" w:checkStyle="1"/>
  <w:activeWritingStyle w:appName="MSWord" w:lang="da-DK" w:vendorID="64" w:dllVersion="131078" w:nlCheck="1" w:checkStyle="0"/>
  <w:revisionView w:markup="0"/>
  <w:defaultTabStop w:val="720"/>
  <w:hyphenationZone w:val="283"/>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da-DK"/>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E802048-131C-46B0-9F80-6C32DA610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5224</Words>
  <Characters>29780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2021-11-25T16:31:00Z</dcterms:modified>
  <cp:category/>
</cp:coreProperties>
</file>