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EEF20A" w14:textId="77777777" w:rsidR="006C0DAA" w:rsidRPr="00E37E07" w:rsidRDefault="00E37E07">
      <w:pPr>
        <w:spacing w:after="240" w:line="240" w:lineRule="auto"/>
        <w:jc w:val="center"/>
        <w:rPr>
          <w:rFonts w:ascii="Times New Roman" w:eastAsia="Times New Roman" w:hAnsi="Times New Roman" w:cs="Times New Roman"/>
          <w:b/>
          <w:sz w:val="24"/>
          <w:szCs w:val="24"/>
        </w:rPr>
      </w:pPr>
      <w:bookmarkStart w:id="0" w:name="_Toc359315628"/>
      <w:bookmarkStart w:id="1" w:name="_Toc361844197"/>
      <w:bookmarkStart w:id="2" w:name="_Toc473560873"/>
      <w:bookmarkStart w:id="3" w:name="_Toc7084158"/>
      <w:bookmarkStart w:id="4" w:name="_Toc308175820"/>
      <w:bookmarkStart w:id="5" w:name="_Toc360188325"/>
      <w:r w:rsidRPr="00E37E07">
        <w:rPr>
          <w:rFonts w:ascii="Times New Roman" w:hAnsi="Times New Roman"/>
          <w:b/>
          <w:sz w:val="24"/>
          <w:szCs w:val="24"/>
        </w:rPr>
        <w:t>HR</w:t>
      </w:r>
      <w:r w:rsidRPr="00E37E07">
        <w:br/>
      </w:r>
      <w:r w:rsidRPr="00E37E07">
        <w:rPr>
          <w:rFonts w:ascii="Times New Roman" w:hAnsi="Times New Roman"/>
          <w:b/>
          <w:sz w:val="24"/>
          <w:szCs w:val="24"/>
        </w:rPr>
        <w:t>PRILOG II.</w:t>
      </w:r>
    </w:p>
    <w:p w14:paraId="0EC85156" w14:textId="77777777" w:rsidR="006C0DAA" w:rsidRPr="00E37E07" w:rsidRDefault="00E37E07">
      <w:pPr>
        <w:spacing w:after="240" w:line="240" w:lineRule="auto"/>
        <w:jc w:val="center"/>
        <w:rPr>
          <w:rFonts w:ascii="Times New Roman" w:eastAsia="Times New Roman" w:hAnsi="Times New Roman" w:cs="Times New Roman"/>
          <w:b/>
          <w:sz w:val="24"/>
          <w:szCs w:val="20"/>
          <w:u w:val="single"/>
        </w:rPr>
      </w:pPr>
      <w:r w:rsidRPr="00E37E07">
        <w:rPr>
          <w:rFonts w:ascii="Times New Roman" w:hAnsi="Times New Roman"/>
          <w:b/>
          <w:sz w:val="24"/>
          <w:szCs w:val="20"/>
          <w:u w:val="single"/>
        </w:rPr>
        <w:t>PRILOG II.</w:t>
      </w:r>
      <w:bookmarkEnd w:id="0"/>
      <w:bookmarkEnd w:id="1"/>
    </w:p>
    <w:p w14:paraId="35E512B4" w14:textId="77777777" w:rsidR="006C0DAA" w:rsidRPr="00E37E07" w:rsidRDefault="00E37E07">
      <w:pPr>
        <w:spacing w:after="240" w:line="240" w:lineRule="auto"/>
        <w:jc w:val="center"/>
        <w:rPr>
          <w:rFonts w:ascii="Times New Roman" w:eastAsia="Times New Roman" w:hAnsi="Times New Roman" w:cs="Times New Roman"/>
          <w:b/>
          <w:sz w:val="24"/>
          <w:szCs w:val="20"/>
        </w:rPr>
      </w:pPr>
      <w:r w:rsidRPr="00E37E07">
        <w:rPr>
          <w:rFonts w:ascii="Times New Roman" w:hAnsi="Times New Roman"/>
          <w:b/>
          <w:sz w:val="24"/>
          <w:szCs w:val="20"/>
        </w:rPr>
        <w:t>IZVJEŠĆIVANJE ZA INVESTICIJSKA DRUŠTVA KOJA NISU MALA I NEPOVEZANA INVESTICIJSKA DRUŠTVA</w:t>
      </w:r>
    </w:p>
    <w:p w14:paraId="300B61A7" w14:textId="77777777" w:rsidR="006C0DAA" w:rsidRPr="00E37E07" w:rsidRDefault="00E37E07">
      <w:pPr>
        <w:spacing w:after="0" w:line="240" w:lineRule="auto"/>
        <w:rPr>
          <w:rFonts w:ascii="Times New Roman" w:eastAsia="Times New Roman" w:hAnsi="Times New Roman" w:cs="Times New Roman"/>
          <w:sz w:val="24"/>
          <w:szCs w:val="24"/>
        </w:rPr>
      </w:pPr>
      <w:r w:rsidRPr="00E37E07">
        <w:rPr>
          <w:rFonts w:ascii="Times New Roman" w:hAnsi="Times New Roman"/>
          <w:sz w:val="24"/>
          <w:szCs w:val="24"/>
        </w:rPr>
        <w:t>Sadržaj</w:t>
      </w:r>
    </w:p>
    <w:p w14:paraId="3FAE0A7A" w14:textId="77777777" w:rsidR="006C0DAA" w:rsidRPr="00E37E07" w:rsidRDefault="00E37E07">
      <w:pPr>
        <w:pStyle w:val="TOC2"/>
        <w:tabs>
          <w:tab w:val="right" w:leader="dot" w:pos="9016"/>
        </w:tabs>
        <w:rPr>
          <w:rFonts w:eastAsiaTheme="minorEastAsia"/>
          <w:noProof/>
          <w:lang w:val="en-IE" w:eastAsia="en-IE"/>
        </w:rPr>
      </w:pPr>
      <w:r w:rsidRPr="00E37E07">
        <w:rPr>
          <w:rFonts w:ascii="Times New Roman" w:hAnsi="Times New Roman"/>
          <w:noProof/>
        </w:rPr>
        <w:t>DIO I. OPĆE UPUTE</w:t>
      </w:r>
      <w:r w:rsidRPr="00E37E07">
        <w:rPr>
          <w:noProof/>
        </w:rPr>
        <w:tab/>
        <w:t>4</w:t>
      </w:r>
    </w:p>
    <w:p w14:paraId="12D4B6C0" w14:textId="77777777" w:rsidR="006C0DAA" w:rsidRPr="00E37E07" w:rsidRDefault="00E37E07">
      <w:pPr>
        <w:pStyle w:val="TOC2"/>
        <w:tabs>
          <w:tab w:val="right" w:leader="dot" w:pos="9016"/>
        </w:tabs>
        <w:rPr>
          <w:rFonts w:eastAsiaTheme="minorEastAsia"/>
          <w:noProof/>
          <w:lang w:val="en-IE" w:eastAsia="en-IE"/>
        </w:rPr>
      </w:pPr>
      <w:r w:rsidRPr="00E37E07">
        <w:rPr>
          <w:rFonts w:ascii="Times New Roman" w:hAnsi="Times New Roman"/>
          <w:noProof/>
        </w:rPr>
        <w:t>1. Struktura i pravila</w:t>
      </w:r>
      <w:r w:rsidRPr="00E37E07">
        <w:rPr>
          <w:noProof/>
        </w:rPr>
        <w:tab/>
        <w:t>4</w:t>
      </w:r>
    </w:p>
    <w:p w14:paraId="0573A1B8" w14:textId="77777777" w:rsidR="006C0DAA" w:rsidRPr="00E37E07" w:rsidRDefault="00E37E07">
      <w:pPr>
        <w:pStyle w:val="TOC2"/>
        <w:tabs>
          <w:tab w:val="right" w:leader="dot" w:pos="9016"/>
        </w:tabs>
        <w:rPr>
          <w:rFonts w:eastAsiaTheme="minorEastAsia"/>
          <w:noProof/>
          <w:lang w:val="en-IE" w:eastAsia="en-IE"/>
        </w:rPr>
      </w:pPr>
      <w:r w:rsidRPr="00E37E07">
        <w:rPr>
          <w:rFonts w:ascii="Times New Roman" w:hAnsi="Times New Roman"/>
          <w:noProof/>
          <w:u w:val="single"/>
        </w:rPr>
        <w:t>1.1. Struktura</w:t>
      </w:r>
      <w:r w:rsidRPr="00E37E07">
        <w:rPr>
          <w:noProof/>
        </w:rPr>
        <w:tab/>
        <w:t>4</w:t>
      </w:r>
    </w:p>
    <w:p w14:paraId="400FCBA3" w14:textId="77777777" w:rsidR="006C0DAA" w:rsidRPr="00E37E07" w:rsidRDefault="00E37E07">
      <w:pPr>
        <w:pStyle w:val="TOC2"/>
        <w:tabs>
          <w:tab w:val="right" w:leader="dot" w:pos="9016"/>
        </w:tabs>
        <w:rPr>
          <w:rFonts w:eastAsiaTheme="minorEastAsia"/>
          <w:noProof/>
          <w:lang w:val="en-IE" w:eastAsia="en-IE"/>
        </w:rPr>
      </w:pPr>
      <w:r w:rsidRPr="00E37E07">
        <w:rPr>
          <w:rFonts w:ascii="Times New Roman" w:hAnsi="Times New Roman"/>
          <w:noProof/>
          <w:u w:val="single"/>
        </w:rPr>
        <w:t>1.2. Pravila označivanja brojevima</w:t>
      </w:r>
      <w:r w:rsidRPr="00E37E07">
        <w:rPr>
          <w:noProof/>
        </w:rPr>
        <w:tab/>
        <w:t>4</w:t>
      </w:r>
    </w:p>
    <w:p w14:paraId="3904041B" w14:textId="77777777" w:rsidR="006C0DAA" w:rsidRPr="00E37E07" w:rsidRDefault="00E37E07">
      <w:pPr>
        <w:pStyle w:val="TOC2"/>
        <w:tabs>
          <w:tab w:val="right" w:leader="dot" w:pos="9016"/>
        </w:tabs>
        <w:rPr>
          <w:rFonts w:eastAsiaTheme="minorEastAsia"/>
          <w:noProof/>
          <w:lang w:val="en-IE" w:eastAsia="en-IE"/>
        </w:rPr>
      </w:pPr>
      <w:r w:rsidRPr="00E37E07">
        <w:rPr>
          <w:rFonts w:ascii="Times New Roman" w:hAnsi="Times New Roman"/>
          <w:noProof/>
          <w:u w:val="single"/>
        </w:rPr>
        <w:t xml:space="preserve">1.3. </w:t>
      </w:r>
      <w:r w:rsidRPr="00E37E07">
        <w:rPr>
          <w:rFonts w:ascii="Times New Roman" w:hAnsi="Times New Roman"/>
          <w:noProof/>
          <w:u w:val="single"/>
        </w:rPr>
        <w:t>Pravila o predznaku</w:t>
      </w:r>
      <w:r w:rsidRPr="00E37E07">
        <w:rPr>
          <w:noProof/>
        </w:rPr>
        <w:tab/>
        <w:t>4</w:t>
      </w:r>
    </w:p>
    <w:p w14:paraId="6A1E5C1E" w14:textId="77777777" w:rsidR="006C0DAA" w:rsidRPr="00E37E07" w:rsidRDefault="00E37E07">
      <w:pPr>
        <w:pStyle w:val="TOC2"/>
        <w:tabs>
          <w:tab w:val="right" w:leader="dot" w:pos="9016"/>
        </w:tabs>
        <w:rPr>
          <w:rFonts w:eastAsiaTheme="minorEastAsia"/>
          <w:noProof/>
          <w:lang w:val="en-IE" w:eastAsia="en-IE"/>
        </w:rPr>
      </w:pPr>
      <w:r w:rsidRPr="00E37E07">
        <w:rPr>
          <w:rFonts w:ascii="Times New Roman" w:hAnsi="Times New Roman"/>
          <w:noProof/>
          <w:u w:val="single"/>
        </w:rPr>
        <w:t>1.4. Bonitetna konsolidacija</w:t>
      </w:r>
      <w:r w:rsidRPr="00E37E07">
        <w:rPr>
          <w:noProof/>
        </w:rPr>
        <w:tab/>
        <w:t>4</w:t>
      </w:r>
    </w:p>
    <w:p w14:paraId="29C0E2B6" w14:textId="77777777" w:rsidR="006C0DAA" w:rsidRPr="00E37E07" w:rsidRDefault="00E37E07">
      <w:pPr>
        <w:pStyle w:val="TOC2"/>
        <w:tabs>
          <w:tab w:val="right" w:leader="dot" w:pos="9016"/>
        </w:tabs>
        <w:rPr>
          <w:rFonts w:eastAsiaTheme="minorEastAsia"/>
          <w:noProof/>
          <w:lang w:val="en-IE" w:eastAsia="en-IE"/>
        </w:rPr>
      </w:pPr>
      <w:r w:rsidRPr="00E37E07">
        <w:rPr>
          <w:rFonts w:ascii="Times New Roman" w:hAnsi="Times New Roman"/>
          <w:noProof/>
        </w:rPr>
        <w:t>DIO II. UPUTE ZA OBRASCE</w:t>
      </w:r>
      <w:r w:rsidRPr="00E37E07">
        <w:rPr>
          <w:noProof/>
        </w:rPr>
        <w:tab/>
        <w:t>5</w:t>
      </w:r>
    </w:p>
    <w:p w14:paraId="67C62499" w14:textId="77777777" w:rsidR="006C0DAA" w:rsidRPr="00E37E07" w:rsidRDefault="00E37E07">
      <w:pPr>
        <w:pStyle w:val="TOC2"/>
        <w:tabs>
          <w:tab w:val="right" w:leader="dot" w:pos="9016"/>
        </w:tabs>
        <w:rPr>
          <w:rFonts w:eastAsiaTheme="minorEastAsia"/>
          <w:noProof/>
          <w:lang w:val="en-IE" w:eastAsia="en-IE"/>
        </w:rPr>
      </w:pPr>
      <w:r w:rsidRPr="00E37E07">
        <w:rPr>
          <w:rFonts w:ascii="Times New Roman" w:hAnsi="Times New Roman"/>
          <w:b/>
          <w:noProof/>
        </w:rPr>
        <w:t>1. REGULATORNI KAPITAL: RAZINA, SASTAV, ZAHTJEVI I IZRAČUN</w:t>
      </w:r>
      <w:r w:rsidRPr="00E37E07">
        <w:rPr>
          <w:noProof/>
        </w:rPr>
        <w:tab/>
        <w:t>5</w:t>
      </w:r>
    </w:p>
    <w:p w14:paraId="37770289" w14:textId="77777777" w:rsidR="006C0DAA" w:rsidRPr="00E37E07" w:rsidRDefault="00E37E07">
      <w:pPr>
        <w:pStyle w:val="TOC2"/>
        <w:tabs>
          <w:tab w:val="right" w:leader="dot" w:pos="9016"/>
        </w:tabs>
        <w:rPr>
          <w:rFonts w:eastAsiaTheme="minorEastAsia"/>
          <w:noProof/>
          <w:lang w:val="en-IE" w:eastAsia="en-IE"/>
        </w:rPr>
      </w:pPr>
      <w:r w:rsidRPr="00E37E07">
        <w:rPr>
          <w:rFonts w:ascii="Times New Roman" w:hAnsi="Times New Roman"/>
          <w:noProof/>
        </w:rPr>
        <w:t>1.1. Opće napomene</w:t>
      </w:r>
      <w:r w:rsidRPr="00E37E07">
        <w:rPr>
          <w:noProof/>
        </w:rPr>
        <w:tab/>
        <w:t>5</w:t>
      </w:r>
    </w:p>
    <w:p w14:paraId="6BA90C65" w14:textId="77777777" w:rsidR="006C0DAA" w:rsidRPr="00E37E07" w:rsidRDefault="00E37E07">
      <w:pPr>
        <w:pStyle w:val="TOC2"/>
        <w:tabs>
          <w:tab w:val="right" w:leader="dot" w:pos="9016"/>
        </w:tabs>
        <w:rPr>
          <w:rFonts w:eastAsiaTheme="minorEastAsia"/>
          <w:noProof/>
          <w:lang w:val="en-IE" w:eastAsia="en-IE"/>
        </w:rPr>
      </w:pPr>
      <w:r w:rsidRPr="00E37E07">
        <w:rPr>
          <w:rFonts w:ascii="Times New Roman" w:hAnsi="Times New Roman"/>
          <w:noProof/>
        </w:rPr>
        <w:t>1.2. I 01.00 – SASTAV REGULATORNOG KAPITALA (I 1)</w:t>
      </w:r>
      <w:r w:rsidRPr="00E37E07">
        <w:rPr>
          <w:noProof/>
        </w:rPr>
        <w:tab/>
        <w:t>5</w:t>
      </w:r>
    </w:p>
    <w:p w14:paraId="4F4D7B99" w14:textId="77777777" w:rsidR="006C0DAA" w:rsidRPr="00E37E07" w:rsidRDefault="00E37E07">
      <w:pPr>
        <w:pStyle w:val="TOC2"/>
        <w:tabs>
          <w:tab w:val="left" w:pos="1100"/>
          <w:tab w:val="right" w:leader="dot" w:pos="9016"/>
        </w:tabs>
        <w:rPr>
          <w:rFonts w:eastAsiaTheme="minorEastAsia"/>
          <w:noProof/>
          <w:lang w:val="en-IE" w:eastAsia="en-IE"/>
        </w:rPr>
      </w:pPr>
      <w:r w:rsidRPr="00E37E07">
        <w:rPr>
          <w:rFonts w:ascii="Times New Roman" w:hAnsi="Times New Roman"/>
          <w:noProof/>
        </w:rPr>
        <w:t>1.2.1</w:t>
      </w:r>
      <w:r w:rsidRPr="00E37E07">
        <w:rPr>
          <w:rFonts w:ascii="Times New Roman" w:hAnsi="Times New Roman"/>
          <w:noProof/>
        </w:rPr>
        <w:tab/>
      </w:r>
      <w:r w:rsidRPr="00E37E07">
        <w:rPr>
          <w:rFonts w:ascii="Times New Roman" w:hAnsi="Times New Roman"/>
          <w:noProof/>
          <w:u w:val="single"/>
        </w:rPr>
        <w:t>Upute za specifične pozicije</w:t>
      </w:r>
      <w:r w:rsidRPr="00E37E07">
        <w:rPr>
          <w:noProof/>
        </w:rPr>
        <w:tab/>
        <w:t>5</w:t>
      </w:r>
    </w:p>
    <w:p w14:paraId="6A8B6EA0" w14:textId="77777777" w:rsidR="006C0DAA" w:rsidRPr="00E37E07" w:rsidRDefault="00E37E07">
      <w:pPr>
        <w:pStyle w:val="TOC2"/>
        <w:tabs>
          <w:tab w:val="right" w:leader="dot" w:pos="9016"/>
        </w:tabs>
        <w:rPr>
          <w:rFonts w:eastAsiaTheme="minorEastAsia"/>
          <w:noProof/>
          <w:lang w:val="en-IE" w:eastAsia="en-IE"/>
        </w:rPr>
      </w:pPr>
      <w:r w:rsidRPr="00E37E07">
        <w:rPr>
          <w:rFonts w:ascii="Times New Roman" w:hAnsi="Times New Roman"/>
          <w:noProof/>
          <w:u w:val="single"/>
        </w:rPr>
        <w:t>1.3. I 02.01 – KAPITALNI ZAHTJEVI (I 2.1)</w:t>
      </w:r>
      <w:r w:rsidRPr="00E37E07">
        <w:rPr>
          <w:noProof/>
        </w:rPr>
        <w:tab/>
        <w:t>12</w:t>
      </w:r>
    </w:p>
    <w:p w14:paraId="021FEC5C" w14:textId="77777777" w:rsidR="006C0DAA" w:rsidRPr="00E37E07" w:rsidRDefault="00E37E07">
      <w:pPr>
        <w:pStyle w:val="TOC2"/>
        <w:tabs>
          <w:tab w:val="left" w:pos="1100"/>
          <w:tab w:val="right" w:leader="dot" w:pos="9016"/>
        </w:tabs>
        <w:rPr>
          <w:rFonts w:eastAsiaTheme="minorEastAsia"/>
          <w:noProof/>
          <w:lang w:val="en-IE" w:eastAsia="en-IE"/>
        </w:rPr>
      </w:pPr>
      <w:r w:rsidRPr="00E37E07">
        <w:rPr>
          <w:rFonts w:ascii="Times New Roman" w:hAnsi="Times New Roman"/>
          <w:noProof/>
        </w:rPr>
        <w:t>1.3.1</w:t>
      </w:r>
      <w:r w:rsidRPr="00E37E07">
        <w:rPr>
          <w:rFonts w:ascii="Times New Roman" w:hAnsi="Times New Roman"/>
          <w:noProof/>
        </w:rPr>
        <w:tab/>
      </w:r>
      <w:r w:rsidRPr="00E37E07">
        <w:rPr>
          <w:rFonts w:ascii="Times New Roman" w:hAnsi="Times New Roman"/>
          <w:noProof/>
          <w:u w:val="single"/>
        </w:rPr>
        <w:t>Upute za specifične pozicije</w:t>
      </w:r>
      <w:r w:rsidRPr="00E37E07">
        <w:rPr>
          <w:noProof/>
        </w:rPr>
        <w:tab/>
        <w:t>12</w:t>
      </w:r>
    </w:p>
    <w:p w14:paraId="1DBB3F0B" w14:textId="77777777" w:rsidR="006C0DAA" w:rsidRPr="00E37E07" w:rsidRDefault="00E37E07">
      <w:pPr>
        <w:pStyle w:val="TOC2"/>
        <w:tabs>
          <w:tab w:val="right" w:leader="dot" w:pos="9016"/>
        </w:tabs>
        <w:rPr>
          <w:rFonts w:eastAsiaTheme="minorEastAsia"/>
          <w:noProof/>
          <w:lang w:val="en-IE" w:eastAsia="en-IE"/>
        </w:rPr>
      </w:pPr>
      <w:r w:rsidRPr="00E37E07">
        <w:rPr>
          <w:rFonts w:ascii="Times New Roman" w:hAnsi="Times New Roman"/>
          <w:noProof/>
          <w:u w:val="single"/>
        </w:rPr>
        <w:t>1.4. I 02.02 – STOPE KAPITALA (I 2.2)</w:t>
      </w:r>
      <w:r w:rsidRPr="00E37E07">
        <w:rPr>
          <w:noProof/>
        </w:rPr>
        <w:tab/>
        <w:t>13</w:t>
      </w:r>
    </w:p>
    <w:p w14:paraId="336E56A0" w14:textId="77777777" w:rsidR="006C0DAA" w:rsidRPr="00E37E07" w:rsidRDefault="00E37E07">
      <w:pPr>
        <w:pStyle w:val="TOC2"/>
        <w:tabs>
          <w:tab w:val="left" w:pos="1100"/>
          <w:tab w:val="right" w:leader="dot" w:pos="9016"/>
        </w:tabs>
        <w:rPr>
          <w:rFonts w:eastAsiaTheme="minorEastAsia"/>
          <w:noProof/>
          <w:lang w:val="en-IE" w:eastAsia="en-IE"/>
        </w:rPr>
      </w:pPr>
      <w:r w:rsidRPr="00E37E07">
        <w:rPr>
          <w:rFonts w:ascii="Times New Roman" w:hAnsi="Times New Roman"/>
          <w:noProof/>
        </w:rPr>
        <w:t>1.4.1</w:t>
      </w:r>
      <w:r w:rsidRPr="00E37E07">
        <w:rPr>
          <w:rFonts w:ascii="Times New Roman" w:hAnsi="Times New Roman"/>
          <w:noProof/>
        </w:rPr>
        <w:tab/>
      </w:r>
      <w:r w:rsidRPr="00E37E07">
        <w:rPr>
          <w:rFonts w:ascii="Times New Roman" w:hAnsi="Times New Roman"/>
          <w:noProof/>
          <w:u w:val="single"/>
        </w:rPr>
        <w:t>Upute za specifične pozicije</w:t>
      </w:r>
      <w:r w:rsidRPr="00E37E07">
        <w:rPr>
          <w:noProof/>
        </w:rPr>
        <w:tab/>
        <w:t>13</w:t>
      </w:r>
    </w:p>
    <w:p w14:paraId="2AFE0980" w14:textId="77777777" w:rsidR="006C0DAA" w:rsidRPr="00E37E07" w:rsidRDefault="00E37E07">
      <w:pPr>
        <w:pStyle w:val="TOC2"/>
        <w:tabs>
          <w:tab w:val="right" w:leader="dot" w:pos="9016"/>
        </w:tabs>
        <w:rPr>
          <w:rFonts w:eastAsiaTheme="minorEastAsia"/>
          <w:noProof/>
          <w:lang w:val="en-IE" w:eastAsia="en-IE"/>
        </w:rPr>
      </w:pPr>
      <w:r w:rsidRPr="00E37E07">
        <w:rPr>
          <w:rFonts w:ascii="Times New Roman" w:hAnsi="Times New Roman"/>
          <w:noProof/>
          <w:u w:val="single"/>
        </w:rPr>
        <w:t>1.5. I 03.00 – IZRAČUN ZAHTJEVA ZA FIKSNE OPĆE TROŠKOVE (I 3)</w:t>
      </w:r>
      <w:r w:rsidRPr="00E37E07">
        <w:rPr>
          <w:noProof/>
        </w:rPr>
        <w:tab/>
        <w:t>14</w:t>
      </w:r>
    </w:p>
    <w:p w14:paraId="6EBF3103" w14:textId="77777777" w:rsidR="006C0DAA" w:rsidRPr="00E37E07" w:rsidRDefault="00E37E07">
      <w:pPr>
        <w:pStyle w:val="TOC2"/>
        <w:tabs>
          <w:tab w:val="left" w:pos="1100"/>
          <w:tab w:val="right" w:leader="dot" w:pos="9016"/>
        </w:tabs>
        <w:rPr>
          <w:rFonts w:eastAsiaTheme="minorEastAsia"/>
          <w:noProof/>
          <w:lang w:val="en-IE" w:eastAsia="en-IE"/>
        </w:rPr>
      </w:pPr>
      <w:r w:rsidRPr="00E37E07">
        <w:rPr>
          <w:rFonts w:ascii="Times New Roman" w:hAnsi="Times New Roman"/>
          <w:noProof/>
        </w:rPr>
        <w:t>1.5.1</w:t>
      </w:r>
      <w:r w:rsidRPr="00E37E07">
        <w:rPr>
          <w:rFonts w:ascii="Times New Roman" w:hAnsi="Times New Roman"/>
          <w:noProof/>
        </w:rPr>
        <w:tab/>
      </w:r>
      <w:r w:rsidRPr="00E37E07">
        <w:rPr>
          <w:rFonts w:ascii="Times New Roman" w:hAnsi="Times New Roman"/>
          <w:noProof/>
          <w:u w:val="single"/>
        </w:rPr>
        <w:t>Upute za specifične poz</w:t>
      </w:r>
      <w:r w:rsidRPr="00E37E07">
        <w:rPr>
          <w:rFonts w:ascii="Times New Roman" w:hAnsi="Times New Roman"/>
          <w:noProof/>
          <w:u w:val="single"/>
        </w:rPr>
        <w:t>icije</w:t>
      </w:r>
      <w:r w:rsidRPr="00E37E07">
        <w:rPr>
          <w:noProof/>
        </w:rPr>
        <w:tab/>
        <w:t>14</w:t>
      </w:r>
    </w:p>
    <w:p w14:paraId="37C8452A" w14:textId="77777777" w:rsidR="006C0DAA" w:rsidRPr="00E37E07" w:rsidRDefault="00E37E07">
      <w:pPr>
        <w:pStyle w:val="TOC2"/>
        <w:tabs>
          <w:tab w:val="right" w:leader="dot" w:pos="9016"/>
        </w:tabs>
        <w:rPr>
          <w:rFonts w:eastAsiaTheme="minorEastAsia"/>
          <w:noProof/>
          <w:lang w:val="en-IE" w:eastAsia="en-IE"/>
        </w:rPr>
      </w:pPr>
      <w:r w:rsidRPr="00E37E07">
        <w:rPr>
          <w:rFonts w:ascii="Times New Roman" w:hAnsi="Times New Roman"/>
          <w:noProof/>
          <w:u w:val="single"/>
        </w:rPr>
        <w:t>1.6. I 04.00 – IZRAČUNI UKUPNOG ZAHTJEVA ZA FAKTOR K (I 4)</w:t>
      </w:r>
      <w:r w:rsidRPr="00E37E07">
        <w:rPr>
          <w:noProof/>
        </w:rPr>
        <w:tab/>
        <w:t>17</w:t>
      </w:r>
    </w:p>
    <w:p w14:paraId="19122684" w14:textId="77777777" w:rsidR="006C0DAA" w:rsidRPr="00E37E07" w:rsidRDefault="00E37E07">
      <w:pPr>
        <w:pStyle w:val="TOC2"/>
        <w:tabs>
          <w:tab w:val="left" w:pos="1100"/>
          <w:tab w:val="right" w:leader="dot" w:pos="9016"/>
        </w:tabs>
        <w:rPr>
          <w:rFonts w:eastAsiaTheme="minorEastAsia"/>
          <w:noProof/>
          <w:lang w:val="en-IE" w:eastAsia="en-IE"/>
        </w:rPr>
      </w:pPr>
      <w:r w:rsidRPr="00E37E07">
        <w:rPr>
          <w:rFonts w:ascii="Times New Roman" w:hAnsi="Times New Roman"/>
          <w:noProof/>
        </w:rPr>
        <w:t>1.6.1</w:t>
      </w:r>
      <w:r w:rsidRPr="00E37E07">
        <w:rPr>
          <w:rFonts w:ascii="Times New Roman" w:hAnsi="Times New Roman"/>
          <w:noProof/>
        </w:rPr>
        <w:tab/>
      </w:r>
      <w:r w:rsidRPr="00E37E07">
        <w:rPr>
          <w:rFonts w:ascii="Times New Roman" w:hAnsi="Times New Roman"/>
          <w:noProof/>
          <w:u w:val="single"/>
        </w:rPr>
        <w:t>Upute za specifične pozicije</w:t>
      </w:r>
      <w:r w:rsidRPr="00E37E07">
        <w:rPr>
          <w:noProof/>
        </w:rPr>
        <w:tab/>
        <w:t>17</w:t>
      </w:r>
    </w:p>
    <w:p w14:paraId="685C49A7" w14:textId="77777777" w:rsidR="006C0DAA" w:rsidRPr="00E37E07" w:rsidRDefault="00E37E07">
      <w:pPr>
        <w:pStyle w:val="TOC2"/>
        <w:tabs>
          <w:tab w:val="right" w:leader="dot" w:pos="9016"/>
        </w:tabs>
        <w:rPr>
          <w:rFonts w:eastAsiaTheme="minorEastAsia"/>
          <w:noProof/>
          <w:lang w:val="en-IE" w:eastAsia="en-IE"/>
        </w:rPr>
      </w:pPr>
      <w:r w:rsidRPr="00E37E07">
        <w:rPr>
          <w:rFonts w:ascii="Times New Roman" w:hAnsi="Times New Roman"/>
          <w:b/>
          <w:noProof/>
        </w:rPr>
        <w:t>2. MALA I NEPOVEZANA INVESTICIJSKA DRUŠTVA</w:t>
      </w:r>
      <w:r w:rsidRPr="00E37E07">
        <w:rPr>
          <w:noProof/>
        </w:rPr>
        <w:tab/>
        <w:t>18</w:t>
      </w:r>
    </w:p>
    <w:p w14:paraId="3782723F" w14:textId="77777777" w:rsidR="006C0DAA" w:rsidRPr="00E37E07" w:rsidRDefault="00E37E07">
      <w:pPr>
        <w:pStyle w:val="TOC2"/>
        <w:tabs>
          <w:tab w:val="right" w:leader="dot" w:pos="9016"/>
        </w:tabs>
        <w:rPr>
          <w:rFonts w:eastAsiaTheme="minorEastAsia"/>
          <w:noProof/>
          <w:lang w:val="en-IE" w:eastAsia="en-IE"/>
        </w:rPr>
      </w:pPr>
      <w:r w:rsidRPr="00E37E07">
        <w:rPr>
          <w:rFonts w:ascii="Times New Roman" w:hAnsi="Times New Roman"/>
          <w:noProof/>
          <w:u w:val="single"/>
        </w:rPr>
        <w:t>2.1. I 05.00 – RAZINA AKTIVNOSTI – PREISPITIVANJE PRAGOVA (I 5)</w:t>
      </w:r>
      <w:r w:rsidRPr="00E37E07">
        <w:rPr>
          <w:noProof/>
        </w:rPr>
        <w:tab/>
        <w:t>18</w:t>
      </w:r>
    </w:p>
    <w:p w14:paraId="2265A7EA" w14:textId="77777777" w:rsidR="006C0DAA" w:rsidRPr="00E37E07" w:rsidRDefault="00E37E07">
      <w:pPr>
        <w:pStyle w:val="TOC2"/>
        <w:tabs>
          <w:tab w:val="left" w:pos="1100"/>
          <w:tab w:val="right" w:leader="dot" w:pos="9016"/>
        </w:tabs>
        <w:rPr>
          <w:rFonts w:eastAsiaTheme="minorEastAsia"/>
          <w:noProof/>
          <w:lang w:val="en-IE" w:eastAsia="en-IE"/>
        </w:rPr>
      </w:pPr>
      <w:r w:rsidRPr="00E37E07">
        <w:rPr>
          <w:rFonts w:ascii="Times New Roman" w:hAnsi="Times New Roman"/>
          <w:noProof/>
        </w:rPr>
        <w:t>2.1.1</w:t>
      </w:r>
      <w:r w:rsidRPr="00E37E07">
        <w:rPr>
          <w:rFonts w:ascii="Times New Roman" w:hAnsi="Times New Roman"/>
          <w:noProof/>
        </w:rPr>
        <w:tab/>
      </w:r>
      <w:r w:rsidRPr="00E37E07">
        <w:rPr>
          <w:rFonts w:ascii="Times New Roman" w:hAnsi="Times New Roman"/>
          <w:noProof/>
          <w:u w:val="single"/>
        </w:rPr>
        <w:t>Upute za specifične pozicije</w:t>
      </w:r>
      <w:r w:rsidRPr="00E37E07">
        <w:rPr>
          <w:noProof/>
        </w:rPr>
        <w:tab/>
        <w:t>18</w:t>
      </w:r>
    </w:p>
    <w:p w14:paraId="30E78B5C" w14:textId="77777777" w:rsidR="006C0DAA" w:rsidRPr="00E37E07" w:rsidRDefault="00E37E07">
      <w:pPr>
        <w:pStyle w:val="TOC2"/>
        <w:tabs>
          <w:tab w:val="right" w:leader="dot" w:pos="9016"/>
        </w:tabs>
        <w:rPr>
          <w:rFonts w:eastAsiaTheme="minorEastAsia"/>
          <w:noProof/>
          <w:lang w:val="en-IE" w:eastAsia="en-IE"/>
        </w:rPr>
      </w:pPr>
      <w:r w:rsidRPr="00E37E07">
        <w:rPr>
          <w:rFonts w:ascii="Times New Roman" w:hAnsi="Times New Roman"/>
          <w:b/>
          <w:noProof/>
        </w:rPr>
        <w:t>3. ZAHTJEVI ZA FAKTOR K – DODATNI PODACI</w:t>
      </w:r>
      <w:r w:rsidRPr="00E37E07">
        <w:rPr>
          <w:noProof/>
        </w:rPr>
        <w:tab/>
        <w:t>21</w:t>
      </w:r>
    </w:p>
    <w:p w14:paraId="3DDA099C" w14:textId="77777777" w:rsidR="006C0DAA" w:rsidRPr="00E37E07" w:rsidRDefault="00E37E07">
      <w:pPr>
        <w:pStyle w:val="TOC2"/>
        <w:tabs>
          <w:tab w:val="right" w:leader="dot" w:pos="9016"/>
        </w:tabs>
        <w:rPr>
          <w:rFonts w:eastAsiaTheme="minorEastAsia"/>
          <w:noProof/>
          <w:lang w:val="en-IE" w:eastAsia="en-IE"/>
        </w:rPr>
      </w:pPr>
      <w:r w:rsidRPr="00E37E07">
        <w:rPr>
          <w:rFonts w:ascii="Times New Roman" w:hAnsi="Times New Roman"/>
          <w:noProof/>
          <w:u w:val="single"/>
        </w:rPr>
        <w:t>3.2. I 06.01 – IMOVINA POD UPRAVLJANJEM – DODATNI PODACI (I 6.1)</w:t>
      </w:r>
      <w:r w:rsidRPr="00E37E07">
        <w:rPr>
          <w:noProof/>
        </w:rPr>
        <w:tab/>
        <w:t>22</w:t>
      </w:r>
    </w:p>
    <w:p w14:paraId="70AF808F" w14:textId="77777777" w:rsidR="006C0DAA" w:rsidRPr="00E37E07" w:rsidRDefault="00E37E07">
      <w:pPr>
        <w:pStyle w:val="TOC2"/>
        <w:tabs>
          <w:tab w:val="left" w:pos="1100"/>
          <w:tab w:val="right" w:leader="dot" w:pos="9016"/>
        </w:tabs>
        <w:rPr>
          <w:rFonts w:eastAsiaTheme="minorEastAsia"/>
          <w:noProof/>
          <w:lang w:val="en-IE" w:eastAsia="en-IE"/>
        </w:rPr>
      </w:pPr>
      <w:r w:rsidRPr="00E37E07">
        <w:rPr>
          <w:rFonts w:ascii="Times New Roman" w:hAnsi="Times New Roman"/>
          <w:noProof/>
        </w:rPr>
        <w:t>3.2.1</w:t>
      </w:r>
      <w:r w:rsidRPr="00E37E07">
        <w:rPr>
          <w:rFonts w:ascii="Times New Roman" w:hAnsi="Times New Roman"/>
          <w:noProof/>
        </w:rPr>
        <w:tab/>
      </w:r>
      <w:r w:rsidRPr="00E37E07">
        <w:rPr>
          <w:rFonts w:ascii="Times New Roman" w:hAnsi="Times New Roman"/>
          <w:noProof/>
          <w:u w:val="single"/>
        </w:rPr>
        <w:t>Upute za specifične pozicije</w:t>
      </w:r>
      <w:r w:rsidRPr="00E37E07">
        <w:rPr>
          <w:noProof/>
        </w:rPr>
        <w:tab/>
        <w:t>22</w:t>
      </w:r>
    </w:p>
    <w:p w14:paraId="17E3D474" w14:textId="77777777" w:rsidR="006C0DAA" w:rsidRPr="00E37E07" w:rsidRDefault="00E37E07">
      <w:pPr>
        <w:pStyle w:val="TOC2"/>
        <w:tabs>
          <w:tab w:val="right" w:leader="dot" w:pos="9016"/>
        </w:tabs>
        <w:rPr>
          <w:rFonts w:eastAsiaTheme="minorEastAsia"/>
          <w:noProof/>
          <w:lang w:val="en-IE" w:eastAsia="en-IE"/>
        </w:rPr>
      </w:pPr>
      <w:r w:rsidRPr="00E37E07">
        <w:rPr>
          <w:rFonts w:ascii="Times New Roman" w:hAnsi="Times New Roman"/>
          <w:noProof/>
          <w:u w:val="single"/>
        </w:rPr>
        <w:t>3.3. I 06.02 – MJESEČNA IMOVINA POD UPRAVLJANJEM (I 6.2)</w:t>
      </w:r>
      <w:r w:rsidRPr="00E37E07">
        <w:rPr>
          <w:noProof/>
        </w:rPr>
        <w:tab/>
        <w:t>23</w:t>
      </w:r>
    </w:p>
    <w:p w14:paraId="1A5A2C34" w14:textId="77777777" w:rsidR="006C0DAA" w:rsidRPr="00E37E07" w:rsidRDefault="00E37E07">
      <w:pPr>
        <w:pStyle w:val="TOC2"/>
        <w:tabs>
          <w:tab w:val="left" w:pos="1100"/>
          <w:tab w:val="right" w:leader="dot" w:pos="9016"/>
        </w:tabs>
        <w:rPr>
          <w:rFonts w:eastAsiaTheme="minorEastAsia"/>
          <w:noProof/>
          <w:lang w:val="en-IE" w:eastAsia="en-IE"/>
        </w:rPr>
      </w:pPr>
      <w:r w:rsidRPr="00E37E07">
        <w:rPr>
          <w:rFonts w:ascii="Times New Roman" w:hAnsi="Times New Roman"/>
          <w:noProof/>
        </w:rPr>
        <w:t>3.3.1</w:t>
      </w:r>
      <w:r w:rsidRPr="00E37E07">
        <w:rPr>
          <w:rFonts w:ascii="Times New Roman" w:hAnsi="Times New Roman"/>
          <w:noProof/>
        </w:rPr>
        <w:tab/>
      </w:r>
      <w:r w:rsidRPr="00E37E07">
        <w:rPr>
          <w:rFonts w:ascii="Times New Roman" w:hAnsi="Times New Roman"/>
          <w:noProof/>
          <w:u w:val="single"/>
        </w:rPr>
        <w:t>Upute za specifične pozicije</w:t>
      </w:r>
      <w:r w:rsidRPr="00E37E07">
        <w:rPr>
          <w:noProof/>
        </w:rPr>
        <w:tab/>
        <w:t>23</w:t>
      </w:r>
    </w:p>
    <w:p w14:paraId="105E7400" w14:textId="77777777" w:rsidR="006C0DAA" w:rsidRPr="00E37E07" w:rsidRDefault="00E37E07">
      <w:pPr>
        <w:pStyle w:val="TOC2"/>
        <w:tabs>
          <w:tab w:val="right" w:leader="dot" w:pos="9016"/>
        </w:tabs>
        <w:rPr>
          <w:rFonts w:eastAsiaTheme="minorEastAsia"/>
          <w:noProof/>
          <w:lang w:val="en-IE" w:eastAsia="en-IE"/>
        </w:rPr>
      </w:pPr>
      <w:r w:rsidRPr="00E37E07">
        <w:rPr>
          <w:rFonts w:ascii="Times New Roman" w:hAnsi="Times New Roman"/>
          <w:noProof/>
          <w:u w:val="single"/>
        </w:rPr>
        <w:t>3.4.</w:t>
      </w:r>
      <w:r w:rsidRPr="00E37E07">
        <w:rPr>
          <w:rFonts w:ascii="Times New Roman" w:hAnsi="Times New Roman"/>
          <w:noProof/>
          <w:u w:val="single"/>
        </w:rPr>
        <w:t xml:space="preserve"> I 06.03 – NOVČANA SREDSTVA KLIJENTA KOJA SE DRŽE – DODATNI PODACI (I 6.3)</w:t>
      </w:r>
      <w:r w:rsidRPr="00E37E07">
        <w:rPr>
          <w:noProof/>
        </w:rPr>
        <w:tab/>
        <w:t>23</w:t>
      </w:r>
    </w:p>
    <w:p w14:paraId="1294E4D1" w14:textId="77777777" w:rsidR="006C0DAA" w:rsidRPr="00E37E07" w:rsidRDefault="00E37E07">
      <w:pPr>
        <w:pStyle w:val="TOC2"/>
        <w:tabs>
          <w:tab w:val="left" w:pos="1100"/>
          <w:tab w:val="right" w:leader="dot" w:pos="9016"/>
        </w:tabs>
        <w:rPr>
          <w:rFonts w:eastAsiaTheme="minorEastAsia"/>
          <w:noProof/>
          <w:lang w:val="en-IE" w:eastAsia="en-IE"/>
        </w:rPr>
      </w:pPr>
      <w:r w:rsidRPr="00E37E07">
        <w:rPr>
          <w:rFonts w:ascii="Times New Roman" w:hAnsi="Times New Roman"/>
          <w:noProof/>
        </w:rPr>
        <w:t>3.4.1</w:t>
      </w:r>
      <w:r w:rsidRPr="00E37E07">
        <w:rPr>
          <w:rFonts w:ascii="Times New Roman" w:hAnsi="Times New Roman"/>
          <w:noProof/>
        </w:rPr>
        <w:tab/>
      </w:r>
      <w:r w:rsidRPr="00E37E07">
        <w:rPr>
          <w:rFonts w:ascii="Times New Roman" w:hAnsi="Times New Roman"/>
          <w:noProof/>
          <w:u w:val="single"/>
        </w:rPr>
        <w:t>Upute za specifične pozicije</w:t>
      </w:r>
      <w:r w:rsidRPr="00E37E07">
        <w:rPr>
          <w:noProof/>
        </w:rPr>
        <w:tab/>
        <w:t>23</w:t>
      </w:r>
    </w:p>
    <w:p w14:paraId="751ADDF8" w14:textId="77777777" w:rsidR="006C0DAA" w:rsidRPr="00E37E07" w:rsidRDefault="00E37E07">
      <w:pPr>
        <w:pStyle w:val="TOC2"/>
        <w:tabs>
          <w:tab w:val="right" w:leader="dot" w:pos="9016"/>
        </w:tabs>
        <w:rPr>
          <w:rFonts w:eastAsiaTheme="minorEastAsia"/>
          <w:noProof/>
          <w:lang w:val="en-IE" w:eastAsia="en-IE"/>
        </w:rPr>
      </w:pPr>
      <w:r w:rsidRPr="00E37E07">
        <w:rPr>
          <w:rFonts w:ascii="Times New Roman" w:hAnsi="Times New Roman"/>
          <w:noProof/>
          <w:u w:val="single"/>
        </w:rPr>
        <w:lastRenderedPageBreak/>
        <w:t>3.5. I 06.04 – PROSJEČNA VRIJEDNOST UKUPNIH DNEVNIH NOVČANIH SREDSTAVA KLIJENTA KOJA SE DRŽE (I 6.4)</w:t>
      </w:r>
      <w:r w:rsidRPr="00E37E07">
        <w:rPr>
          <w:noProof/>
        </w:rPr>
        <w:tab/>
        <w:t>24</w:t>
      </w:r>
    </w:p>
    <w:p w14:paraId="22C26E34" w14:textId="77777777" w:rsidR="006C0DAA" w:rsidRPr="00E37E07" w:rsidRDefault="00E37E07">
      <w:pPr>
        <w:pStyle w:val="TOC2"/>
        <w:tabs>
          <w:tab w:val="left" w:pos="1100"/>
          <w:tab w:val="right" w:leader="dot" w:pos="9016"/>
        </w:tabs>
        <w:rPr>
          <w:rFonts w:eastAsiaTheme="minorEastAsia"/>
          <w:noProof/>
          <w:lang w:val="en-IE" w:eastAsia="en-IE"/>
        </w:rPr>
      </w:pPr>
      <w:r w:rsidRPr="00E37E07">
        <w:rPr>
          <w:rFonts w:ascii="Times New Roman" w:hAnsi="Times New Roman"/>
          <w:noProof/>
        </w:rPr>
        <w:t>3.5.1</w:t>
      </w:r>
      <w:r w:rsidRPr="00E37E07">
        <w:rPr>
          <w:rFonts w:ascii="Times New Roman" w:hAnsi="Times New Roman"/>
          <w:noProof/>
        </w:rPr>
        <w:tab/>
      </w:r>
      <w:r w:rsidRPr="00E37E07">
        <w:rPr>
          <w:rFonts w:ascii="Times New Roman" w:hAnsi="Times New Roman"/>
          <w:noProof/>
          <w:u w:val="single"/>
        </w:rPr>
        <w:t>Upute za specifične pozicije</w:t>
      </w:r>
      <w:r w:rsidRPr="00E37E07">
        <w:rPr>
          <w:noProof/>
        </w:rPr>
        <w:tab/>
        <w:t>2</w:t>
      </w:r>
      <w:r w:rsidRPr="00E37E07">
        <w:rPr>
          <w:noProof/>
        </w:rPr>
        <w:t>4</w:t>
      </w:r>
    </w:p>
    <w:p w14:paraId="180A8527" w14:textId="77777777" w:rsidR="006C0DAA" w:rsidRPr="00E37E07" w:rsidRDefault="00E37E07">
      <w:pPr>
        <w:pStyle w:val="TOC2"/>
        <w:tabs>
          <w:tab w:val="right" w:leader="dot" w:pos="9016"/>
        </w:tabs>
        <w:rPr>
          <w:rFonts w:eastAsiaTheme="minorEastAsia"/>
          <w:noProof/>
          <w:lang w:val="en-IE" w:eastAsia="en-IE"/>
        </w:rPr>
      </w:pPr>
      <w:r w:rsidRPr="00E37E07">
        <w:rPr>
          <w:rFonts w:ascii="Times New Roman" w:hAnsi="Times New Roman"/>
          <w:noProof/>
          <w:u w:val="single"/>
        </w:rPr>
        <w:t>3.6. I 06.05 – IMOVINA KOJA SE POHRANJUJE I ADMINISTRIRA – DODATNI PODACI (I 6.5)</w:t>
      </w:r>
      <w:r w:rsidRPr="00E37E07">
        <w:rPr>
          <w:noProof/>
        </w:rPr>
        <w:tab/>
        <w:t>25</w:t>
      </w:r>
    </w:p>
    <w:p w14:paraId="66A2EED9" w14:textId="77777777" w:rsidR="006C0DAA" w:rsidRPr="00E37E07" w:rsidRDefault="00E37E07">
      <w:pPr>
        <w:pStyle w:val="TOC2"/>
        <w:tabs>
          <w:tab w:val="left" w:pos="1100"/>
          <w:tab w:val="right" w:leader="dot" w:pos="9016"/>
        </w:tabs>
        <w:rPr>
          <w:rFonts w:eastAsiaTheme="minorEastAsia"/>
          <w:noProof/>
          <w:lang w:val="en-IE" w:eastAsia="en-IE"/>
        </w:rPr>
      </w:pPr>
      <w:r w:rsidRPr="00E37E07">
        <w:rPr>
          <w:rFonts w:ascii="Times New Roman" w:hAnsi="Times New Roman"/>
          <w:noProof/>
        </w:rPr>
        <w:t>3.6.1</w:t>
      </w:r>
      <w:r w:rsidRPr="00E37E07">
        <w:rPr>
          <w:rFonts w:ascii="Times New Roman" w:hAnsi="Times New Roman"/>
          <w:noProof/>
        </w:rPr>
        <w:tab/>
        <w:t>Upute za specifične pozicije</w:t>
      </w:r>
      <w:r w:rsidRPr="00E37E07">
        <w:rPr>
          <w:noProof/>
        </w:rPr>
        <w:tab/>
        <w:t>25</w:t>
      </w:r>
    </w:p>
    <w:p w14:paraId="13B1F831" w14:textId="77777777" w:rsidR="006C0DAA" w:rsidRPr="00E37E07" w:rsidRDefault="00E37E07">
      <w:pPr>
        <w:pStyle w:val="TOC2"/>
        <w:tabs>
          <w:tab w:val="right" w:leader="dot" w:pos="9016"/>
        </w:tabs>
        <w:rPr>
          <w:rFonts w:eastAsiaTheme="minorEastAsia"/>
          <w:noProof/>
          <w:lang w:val="en-IE" w:eastAsia="en-IE"/>
        </w:rPr>
      </w:pPr>
      <w:r w:rsidRPr="00E37E07">
        <w:rPr>
          <w:rFonts w:ascii="Times New Roman" w:hAnsi="Times New Roman"/>
          <w:noProof/>
          <w:u w:val="single"/>
        </w:rPr>
        <w:t>3.7. I 06.06 – PROSJEČNA VRIJEDNOST UKUPNE DNEVNE IMOVINE KOJA SE POHRANJUJE I ADMINISTRIRA (I 6.6)</w:t>
      </w:r>
      <w:r w:rsidRPr="00E37E07">
        <w:rPr>
          <w:noProof/>
        </w:rPr>
        <w:tab/>
        <w:t>26</w:t>
      </w:r>
    </w:p>
    <w:p w14:paraId="2D8B1EDB" w14:textId="77777777" w:rsidR="006C0DAA" w:rsidRPr="00E37E07" w:rsidRDefault="00E37E07">
      <w:pPr>
        <w:pStyle w:val="TOC2"/>
        <w:tabs>
          <w:tab w:val="left" w:pos="1100"/>
          <w:tab w:val="right" w:leader="dot" w:pos="9016"/>
        </w:tabs>
        <w:rPr>
          <w:rFonts w:eastAsiaTheme="minorEastAsia"/>
          <w:noProof/>
          <w:lang w:val="en-IE" w:eastAsia="en-IE"/>
        </w:rPr>
      </w:pPr>
      <w:r w:rsidRPr="00E37E07">
        <w:rPr>
          <w:rFonts w:ascii="Times New Roman" w:hAnsi="Times New Roman"/>
          <w:noProof/>
        </w:rPr>
        <w:t>3.7.1</w:t>
      </w:r>
      <w:r w:rsidRPr="00E37E07">
        <w:rPr>
          <w:rFonts w:ascii="Times New Roman" w:hAnsi="Times New Roman"/>
          <w:noProof/>
        </w:rPr>
        <w:tab/>
      </w:r>
      <w:r w:rsidRPr="00E37E07">
        <w:rPr>
          <w:rFonts w:ascii="Times New Roman" w:hAnsi="Times New Roman"/>
          <w:noProof/>
          <w:u w:val="single"/>
        </w:rPr>
        <w:t xml:space="preserve">Upute za </w:t>
      </w:r>
      <w:r w:rsidRPr="00E37E07">
        <w:rPr>
          <w:rFonts w:ascii="Times New Roman" w:hAnsi="Times New Roman"/>
          <w:noProof/>
          <w:u w:val="single"/>
        </w:rPr>
        <w:t>specifične pozicije</w:t>
      </w:r>
      <w:r w:rsidRPr="00E37E07">
        <w:rPr>
          <w:noProof/>
        </w:rPr>
        <w:tab/>
        <w:t>26</w:t>
      </w:r>
    </w:p>
    <w:p w14:paraId="4D2B9418" w14:textId="77777777" w:rsidR="006C0DAA" w:rsidRPr="00E37E07" w:rsidRDefault="00E37E07">
      <w:pPr>
        <w:pStyle w:val="TOC2"/>
        <w:tabs>
          <w:tab w:val="right" w:leader="dot" w:pos="9016"/>
        </w:tabs>
        <w:rPr>
          <w:rFonts w:eastAsiaTheme="minorEastAsia"/>
          <w:noProof/>
          <w:lang w:val="en-IE" w:eastAsia="en-IE"/>
        </w:rPr>
      </w:pPr>
      <w:r w:rsidRPr="00E37E07">
        <w:rPr>
          <w:rFonts w:ascii="Times New Roman" w:hAnsi="Times New Roman"/>
          <w:noProof/>
          <w:u w:val="single"/>
        </w:rPr>
        <w:t>3.8. I 06.07 – OBRAĐENI NALOZI KLIJENTA – DODATNI PODACI (I 6.7)</w:t>
      </w:r>
      <w:r w:rsidRPr="00E37E07">
        <w:rPr>
          <w:noProof/>
        </w:rPr>
        <w:tab/>
        <w:t>27</w:t>
      </w:r>
    </w:p>
    <w:p w14:paraId="1BDD4313" w14:textId="77777777" w:rsidR="006C0DAA" w:rsidRPr="00E37E07" w:rsidRDefault="00E37E07">
      <w:pPr>
        <w:pStyle w:val="TOC2"/>
        <w:tabs>
          <w:tab w:val="left" w:pos="1100"/>
          <w:tab w:val="right" w:leader="dot" w:pos="9016"/>
        </w:tabs>
        <w:rPr>
          <w:rFonts w:eastAsiaTheme="minorEastAsia"/>
          <w:noProof/>
          <w:lang w:val="en-IE" w:eastAsia="en-IE"/>
        </w:rPr>
      </w:pPr>
      <w:r w:rsidRPr="00E37E07">
        <w:rPr>
          <w:rFonts w:ascii="Times New Roman" w:hAnsi="Times New Roman"/>
          <w:noProof/>
        </w:rPr>
        <w:t>3.8.1</w:t>
      </w:r>
      <w:r w:rsidRPr="00E37E07">
        <w:rPr>
          <w:rFonts w:ascii="Times New Roman" w:hAnsi="Times New Roman"/>
          <w:noProof/>
        </w:rPr>
        <w:tab/>
      </w:r>
      <w:r w:rsidRPr="00E37E07">
        <w:rPr>
          <w:rFonts w:ascii="Times New Roman" w:hAnsi="Times New Roman"/>
          <w:noProof/>
          <w:u w:val="single"/>
        </w:rPr>
        <w:t>Upute za specifične pozicije</w:t>
      </w:r>
      <w:r w:rsidRPr="00E37E07">
        <w:rPr>
          <w:noProof/>
        </w:rPr>
        <w:tab/>
        <w:t>27</w:t>
      </w:r>
    </w:p>
    <w:p w14:paraId="1262E807" w14:textId="77777777" w:rsidR="006C0DAA" w:rsidRPr="00E37E07" w:rsidRDefault="00E37E07">
      <w:pPr>
        <w:pStyle w:val="TOC2"/>
        <w:tabs>
          <w:tab w:val="right" w:leader="dot" w:pos="9016"/>
        </w:tabs>
        <w:rPr>
          <w:rFonts w:eastAsiaTheme="minorEastAsia"/>
          <w:noProof/>
          <w:lang w:val="en-IE" w:eastAsia="en-IE"/>
        </w:rPr>
      </w:pPr>
      <w:r w:rsidRPr="00E37E07">
        <w:rPr>
          <w:rFonts w:ascii="Times New Roman" w:hAnsi="Times New Roman"/>
          <w:noProof/>
          <w:u w:val="single"/>
        </w:rPr>
        <w:t>3.9. I 06.08 – PROSJEČNA VRIJEDNOST UKUPNIH DNEVNIH OBRAĐENIH NALOGA KLIJENTA (I 6.8)</w:t>
      </w:r>
      <w:r w:rsidRPr="00E37E07">
        <w:rPr>
          <w:noProof/>
        </w:rPr>
        <w:tab/>
        <w:t>28</w:t>
      </w:r>
    </w:p>
    <w:p w14:paraId="776C09E4" w14:textId="77777777" w:rsidR="006C0DAA" w:rsidRPr="00E37E07" w:rsidRDefault="00E37E07">
      <w:pPr>
        <w:pStyle w:val="TOC2"/>
        <w:tabs>
          <w:tab w:val="left" w:pos="1100"/>
          <w:tab w:val="right" w:leader="dot" w:pos="9016"/>
        </w:tabs>
        <w:rPr>
          <w:rFonts w:eastAsiaTheme="minorEastAsia"/>
          <w:noProof/>
          <w:lang w:val="en-IE" w:eastAsia="en-IE"/>
        </w:rPr>
      </w:pPr>
      <w:r w:rsidRPr="00E37E07">
        <w:rPr>
          <w:rFonts w:ascii="Times New Roman" w:hAnsi="Times New Roman"/>
          <w:noProof/>
        </w:rPr>
        <w:t>3.9.1</w:t>
      </w:r>
      <w:r w:rsidRPr="00E37E07">
        <w:rPr>
          <w:rFonts w:ascii="Times New Roman" w:hAnsi="Times New Roman"/>
          <w:noProof/>
        </w:rPr>
        <w:tab/>
      </w:r>
      <w:r w:rsidRPr="00E37E07">
        <w:rPr>
          <w:rFonts w:ascii="Times New Roman" w:hAnsi="Times New Roman"/>
          <w:noProof/>
          <w:u w:val="single"/>
        </w:rPr>
        <w:t xml:space="preserve">Upute za specifične </w:t>
      </w:r>
      <w:r w:rsidRPr="00E37E07">
        <w:rPr>
          <w:rFonts w:ascii="Times New Roman" w:hAnsi="Times New Roman"/>
          <w:noProof/>
          <w:u w:val="single"/>
        </w:rPr>
        <w:t>pozicije</w:t>
      </w:r>
      <w:r w:rsidRPr="00E37E07">
        <w:rPr>
          <w:noProof/>
        </w:rPr>
        <w:tab/>
        <w:t>28</w:t>
      </w:r>
    </w:p>
    <w:p w14:paraId="06C45642" w14:textId="77777777" w:rsidR="006C0DAA" w:rsidRPr="00E37E07" w:rsidRDefault="00E37E07">
      <w:pPr>
        <w:pStyle w:val="TOC2"/>
        <w:tabs>
          <w:tab w:val="right" w:leader="dot" w:pos="9016"/>
        </w:tabs>
        <w:rPr>
          <w:rFonts w:eastAsiaTheme="minorEastAsia"/>
          <w:noProof/>
          <w:lang w:val="en-IE" w:eastAsia="en-IE"/>
        </w:rPr>
      </w:pPr>
      <w:r w:rsidRPr="00E37E07">
        <w:rPr>
          <w:rFonts w:ascii="Times New Roman" w:hAnsi="Times New Roman"/>
          <w:noProof/>
          <w:u w:val="single"/>
        </w:rPr>
        <w:t>3.10. I 06.09 – FAKTOR K ZA RIZIK NETO POZICIJA – DODATNI PODACI (I 6.9)</w:t>
      </w:r>
      <w:r w:rsidRPr="00E37E07">
        <w:rPr>
          <w:noProof/>
        </w:rPr>
        <w:tab/>
        <w:t>29</w:t>
      </w:r>
    </w:p>
    <w:p w14:paraId="352DE124" w14:textId="77777777" w:rsidR="006C0DAA" w:rsidRPr="00E37E07" w:rsidRDefault="00E37E07">
      <w:pPr>
        <w:pStyle w:val="TOC2"/>
        <w:tabs>
          <w:tab w:val="left" w:pos="1100"/>
          <w:tab w:val="right" w:leader="dot" w:pos="9016"/>
        </w:tabs>
        <w:rPr>
          <w:rFonts w:eastAsiaTheme="minorEastAsia"/>
          <w:noProof/>
          <w:lang w:val="en-IE" w:eastAsia="en-IE"/>
        </w:rPr>
      </w:pPr>
      <w:r w:rsidRPr="00E37E07">
        <w:rPr>
          <w:rFonts w:ascii="Times New Roman" w:hAnsi="Times New Roman"/>
          <w:noProof/>
        </w:rPr>
        <w:t>3.10.1</w:t>
      </w:r>
      <w:r w:rsidRPr="00E37E07">
        <w:rPr>
          <w:rFonts w:ascii="Times New Roman" w:hAnsi="Times New Roman"/>
          <w:noProof/>
        </w:rPr>
        <w:tab/>
      </w:r>
      <w:r w:rsidRPr="00E37E07">
        <w:rPr>
          <w:rFonts w:ascii="Times New Roman" w:hAnsi="Times New Roman"/>
          <w:noProof/>
          <w:u w:val="single"/>
        </w:rPr>
        <w:t>Upute za specifične pozicije</w:t>
      </w:r>
      <w:r w:rsidRPr="00E37E07">
        <w:rPr>
          <w:noProof/>
        </w:rPr>
        <w:tab/>
        <w:t>29</w:t>
      </w:r>
    </w:p>
    <w:p w14:paraId="3C2300A3" w14:textId="77777777" w:rsidR="006C0DAA" w:rsidRPr="00E37E07" w:rsidRDefault="00E37E07">
      <w:pPr>
        <w:pStyle w:val="TOC2"/>
        <w:tabs>
          <w:tab w:val="right" w:leader="dot" w:pos="9016"/>
        </w:tabs>
        <w:rPr>
          <w:rFonts w:eastAsiaTheme="minorEastAsia"/>
          <w:noProof/>
          <w:lang w:val="en-IE" w:eastAsia="en-IE"/>
        </w:rPr>
      </w:pPr>
      <w:r w:rsidRPr="00E37E07">
        <w:rPr>
          <w:rFonts w:ascii="Times New Roman" w:hAnsi="Times New Roman"/>
          <w:noProof/>
          <w:u w:val="single"/>
        </w:rPr>
        <w:t>3.11. I 06.10 – PRUŽENA MARŽA PORAVNANJA – DODATNI PODACI (I 6.10)</w:t>
      </w:r>
      <w:r w:rsidRPr="00E37E07">
        <w:rPr>
          <w:noProof/>
        </w:rPr>
        <w:tab/>
        <w:t>30</w:t>
      </w:r>
    </w:p>
    <w:p w14:paraId="25DC4FE6" w14:textId="77777777" w:rsidR="006C0DAA" w:rsidRPr="00E37E07" w:rsidRDefault="00E37E07">
      <w:pPr>
        <w:pStyle w:val="TOC2"/>
        <w:tabs>
          <w:tab w:val="right" w:leader="dot" w:pos="9016"/>
        </w:tabs>
        <w:rPr>
          <w:rFonts w:eastAsiaTheme="minorEastAsia"/>
          <w:noProof/>
          <w:lang w:val="en-IE" w:eastAsia="en-IE"/>
        </w:rPr>
      </w:pPr>
      <w:r w:rsidRPr="00E37E07">
        <w:rPr>
          <w:rFonts w:ascii="Times New Roman" w:hAnsi="Times New Roman"/>
          <w:noProof/>
        </w:rPr>
        <w:t xml:space="preserve">3.11.1. </w:t>
      </w:r>
      <w:r w:rsidRPr="00E37E07">
        <w:rPr>
          <w:rFonts w:ascii="Times New Roman" w:hAnsi="Times New Roman"/>
          <w:noProof/>
          <w:u w:val="single"/>
        </w:rPr>
        <w:t>Upute za specifične pozicije</w:t>
      </w:r>
      <w:r w:rsidRPr="00E37E07">
        <w:rPr>
          <w:noProof/>
        </w:rPr>
        <w:tab/>
        <w:t>31</w:t>
      </w:r>
    </w:p>
    <w:p w14:paraId="0FF1E680" w14:textId="77777777" w:rsidR="006C0DAA" w:rsidRPr="00E37E07" w:rsidRDefault="00E37E07">
      <w:pPr>
        <w:pStyle w:val="TOC2"/>
        <w:tabs>
          <w:tab w:val="right" w:leader="dot" w:pos="9016"/>
        </w:tabs>
        <w:rPr>
          <w:rFonts w:eastAsiaTheme="minorEastAsia"/>
          <w:noProof/>
          <w:lang w:val="en-IE" w:eastAsia="en-IE"/>
        </w:rPr>
      </w:pPr>
      <w:r w:rsidRPr="00E37E07">
        <w:rPr>
          <w:rFonts w:ascii="Times New Roman" w:hAnsi="Times New Roman"/>
          <w:noProof/>
          <w:u w:val="single"/>
        </w:rPr>
        <w:t>3.12. I 06.11 – NAS</w:t>
      </w:r>
      <w:r w:rsidRPr="00E37E07">
        <w:rPr>
          <w:rFonts w:ascii="Times New Roman" w:hAnsi="Times New Roman"/>
          <w:noProof/>
          <w:u w:val="single"/>
        </w:rPr>
        <w:t>TANAK STATUSA NEISPUNJAVANJA OBVEZA DRUGE UGOVORNE STRANE U TRGOVANJU (TCD) – DODATNI PODACI (I 6.11)</w:t>
      </w:r>
      <w:r w:rsidRPr="00E37E07">
        <w:rPr>
          <w:noProof/>
        </w:rPr>
        <w:tab/>
        <w:t>31</w:t>
      </w:r>
    </w:p>
    <w:p w14:paraId="4E247BF7" w14:textId="77777777" w:rsidR="006C0DAA" w:rsidRPr="00E37E07" w:rsidRDefault="00E37E07">
      <w:pPr>
        <w:pStyle w:val="TOC2"/>
        <w:tabs>
          <w:tab w:val="left" w:pos="1100"/>
          <w:tab w:val="right" w:leader="dot" w:pos="9016"/>
        </w:tabs>
        <w:rPr>
          <w:rFonts w:eastAsiaTheme="minorEastAsia"/>
          <w:noProof/>
          <w:lang w:val="en-IE" w:eastAsia="en-IE"/>
        </w:rPr>
      </w:pPr>
      <w:r w:rsidRPr="00E37E07">
        <w:rPr>
          <w:rFonts w:ascii="Times New Roman" w:hAnsi="Times New Roman"/>
          <w:noProof/>
        </w:rPr>
        <w:t>3.12.1</w:t>
      </w:r>
      <w:r w:rsidRPr="00E37E07">
        <w:rPr>
          <w:rFonts w:ascii="Times New Roman" w:hAnsi="Times New Roman"/>
          <w:noProof/>
        </w:rPr>
        <w:tab/>
      </w:r>
      <w:r w:rsidRPr="00E37E07">
        <w:rPr>
          <w:rFonts w:ascii="Times New Roman" w:hAnsi="Times New Roman"/>
          <w:noProof/>
          <w:u w:val="single"/>
        </w:rPr>
        <w:t>Upute za specifične pozicije</w:t>
      </w:r>
      <w:r w:rsidRPr="00E37E07">
        <w:rPr>
          <w:noProof/>
        </w:rPr>
        <w:tab/>
        <w:t>31</w:t>
      </w:r>
    </w:p>
    <w:p w14:paraId="68B486CC" w14:textId="77777777" w:rsidR="006C0DAA" w:rsidRPr="00E37E07" w:rsidRDefault="00E37E07">
      <w:pPr>
        <w:pStyle w:val="TOC2"/>
        <w:tabs>
          <w:tab w:val="right" w:leader="dot" w:pos="9016"/>
        </w:tabs>
        <w:rPr>
          <w:rFonts w:eastAsiaTheme="minorEastAsia"/>
          <w:noProof/>
          <w:lang w:val="en-IE" w:eastAsia="en-IE"/>
        </w:rPr>
      </w:pPr>
      <w:r w:rsidRPr="00E37E07">
        <w:rPr>
          <w:rFonts w:ascii="Times New Roman" w:hAnsi="Times New Roman"/>
          <w:noProof/>
          <w:u w:val="single"/>
        </w:rPr>
        <w:t>3.13. I 06.12 – DNEVNI PROMET TRGOVANJA – DODATNI PODACI (I 6.12)</w:t>
      </w:r>
      <w:r w:rsidRPr="00E37E07">
        <w:rPr>
          <w:noProof/>
        </w:rPr>
        <w:tab/>
        <w:t>33</w:t>
      </w:r>
    </w:p>
    <w:p w14:paraId="70A438AB" w14:textId="77777777" w:rsidR="006C0DAA" w:rsidRPr="00E37E07" w:rsidRDefault="00E37E07">
      <w:pPr>
        <w:pStyle w:val="TOC2"/>
        <w:tabs>
          <w:tab w:val="left" w:pos="1320"/>
          <w:tab w:val="right" w:leader="dot" w:pos="9016"/>
        </w:tabs>
        <w:rPr>
          <w:rFonts w:eastAsiaTheme="minorEastAsia"/>
          <w:noProof/>
          <w:lang w:val="en-IE" w:eastAsia="en-IE"/>
        </w:rPr>
      </w:pPr>
      <w:r w:rsidRPr="00E37E07">
        <w:rPr>
          <w:rFonts w:ascii="Times New Roman" w:hAnsi="Times New Roman"/>
          <w:noProof/>
        </w:rPr>
        <w:t>3.13.1</w:t>
      </w:r>
      <w:r w:rsidRPr="00E37E07">
        <w:rPr>
          <w:rFonts w:ascii="Times New Roman" w:hAnsi="Times New Roman"/>
          <w:noProof/>
        </w:rPr>
        <w:tab/>
        <w:t>Upute za specifične pozicije</w:t>
      </w:r>
      <w:r w:rsidRPr="00E37E07">
        <w:rPr>
          <w:noProof/>
        </w:rPr>
        <w:tab/>
        <w:t>33</w:t>
      </w:r>
    </w:p>
    <w:p w14:paraId="671EDBEC" w14:textId="77777777" w:rsidR="006C0DAA" w:rsidRPr="00E37E07" w:rsidRDefault="00E37E07">
      <w:pPr>
        <w:pStyle w:val="TOC2"/>
        <w:tabs>
          <w:tab w:val="right" w:leader="dot" w:pos="9016"/>
        </w:tabs>
        <w:rPr>
          <w:rFonts w:eastAsiaTheme="minorEastAsia"/>
          <w:noProof/>
          <w:lang w:val="en-IE" w:eastAsia="en-IE"/>
        </w:rPr>
      </w:pPr>
      <w:r w:rsidRPr="00E37E07">
        <w:rPr>
          <w:rFonts w:ascii="Times New Roman" w:hAnsi="Times New Roman"/>
          <w:noProof/>
          <w:u w:val="single"/>
        </w:rPr>
        <w:t>3.14</w:t>
      </w:r>
      <w:r w:rsidRPr="00E37E07">
        <w:rPr>
          <w:rFonts w:ascii="Times New Roman" w:hAnsi="Times New Roman"/>
          <w:noProof/>
          <w:u w:val="single"/>
        </w:rPr>
        <w:t>. I 06.13 – PROSJEČNA VRIJEDNOST UKUPNIH DNEVNIH PROMETA TRGOVANJA (I 6.13)</w:t>
      </w:r>
      <w:r w:rsidRPr="00E37E07">
        <w:rPr>
          <w:noProof/>
        </w:rPr>
        <w:tab/>
        <w:t>34</w:t>
      </w:r>
    </w:p>
    <w:p w14:paraId="25E7EAD7" w14:textId="77777777" w:rsidR="006C0DAA" w:rsidRPr="00E37E07" w:rsidRDefault="00E37E07">
      <w:pPr>
        <w:pStyle w:val="TOC2"/>
        <w:tabs>
          <w:tab w:val="right" w:leader="dot" w:pos="9016"/>
        </w:tabs>
        <w:rPr>
          <w:rFonts w:eastAsiaTheme="minorEastAsia"/>
          <w:noProof/>
          <w:lang w:val="en-IE" w:eastAsia="en-IE"/>
        </w:rPr>
      </w:pPr>
      <w:r w:rsidRPr="00E37E07">
        <w:rPr>
          <w:rFonts w:ascii="Times New Roman" w:hAnsi="Times New Roman"/>
          <w:noProof/>
        </w:rPr>
        <w:t>3.14.1. Upute za specifične pozicije</w:t>
      </w:r>
      <w:r w:rsidRPr="00E37E07">
        <w:rPr>
          <w:noProof/>
        </w:rPr>
        <w:tab/>
        <w:t>34</w:t>
      </w:r>
    </w:p>
    <w:p w14:paraId="4D29087B" w14:textId="77777777" w:rsidR="006C0DAA" w:rsidRPr="00E37E07" w:rsidRDefault="00E37E07">
      <w:pPr>
        <w:pStyle w:val="TOC2"/>
        <w:tabs>
          <w:tab w:val="right" w:leader="dot" w:pos="9016"/>
        </w:tabs>
        <w:rPr>
          <w:rFonts w:eastAsiaTheme="minorEastAsia"/>
          <w:noProof/>
          <w:lang w:val="en-IE" w:eastAsia="en-IE"/>
        </w:rPr>
      </w:pPr>
      <w:r w:rsidRPr="00E37E07">
        <w:rPr>
          <w:rFonts w:ascii="Times New Roman" w:hAnsi="Times New Roman"/>
          <w:b/>
          <w:noProof/>
        </w:rPr>
        <w:t>4. IZVJEŠĆIVANJE O KONCENTRACIJSKOM RIZIKU</w:t>
      </w:r>
      <w:r w:rsidRPr="00E37E07">
        <w:rPr>
          <w:noProof/>
        </w:rPr>
        <w:tab/>
        <w:t>34</w:t>
      </w:r>
    </w:p>
    <w:p w14:paraId="3A373060" w14:textId="77777777" w:rsidR="006C0DAA" w:rsidRPr="00E37E07" w:rsidRDefault="00E37E07">
      <w:pPr>
        <w:pStyle w:val="TOC2"/>
        <w:tabs>
          <w:tab w:val="right" w:leader="dot" w:pos="9016"/>
        </w:tabs>
        <w:rPr>
          <w:rFonts w:eastAsiaTheme="minorEastAsia"/>
          <w:noProof/>
          <w:lang w:val="en-IE" w:eastAsia="en-IE"/>
        </w:rPr>
      </w:pPr>
      <w:r w:rsidRPr="00E37E07">
        <w:rPr>
          <w:rFonts w:ascii="Times New Roman" w:hAnsi="Times New Roman"/>
          <w:noProof/>
        </w:rPr>
        <w:t>4.1. Opće napomene</w:t>
      </w:r>
      <w:r w:rsidRPr="00E37E07">
        <w:rPr>
          <w:noProof/>
        </w:rPr>
        <w:tab/>
        <w:t>34</w:t>
      </w:r>
    </w:p>
    <w:p w14:paraId="7247969C" w14:textId="77777777" w:rsidR="006C0DAA" w:rsidRPr="00E37E07" w:rsidRDefault="00E37E07">
      <w:pPr>
        <w:pStyle w:val="TOC2"/>
        <w:tabs>
          <w:tab w:val="right" w:leader="dot" w:pos="9016"/>
        </w:tabs>
        <w:rPr>
          <w:rFonts w:eastAsiaTheme="minorEastAsia"/>
          <w:noProof/>
          <w:lang w:val="en-IE" w:eastAsia="en-IE"/>
        </w:rPr>
      </w:pPr>
      <w:r w:rsidRPr="00E37E07">
        <w:rPr>
          <w:rFonts w:ascii="Times New Roman" w:hAnsi="Times New Roman"/>
          <w:noProof/>
        </w:rPr>
        <w:t>4.2. I 07.00 – KONCENTRACIJSKI RIZIK (K-CON) – DODATNI PODACI (I7)</w:t>
      </w:r>
      <w:r w:rsidRPr="00E37E07">
        <w:rPr>
          <w:noProof/>
        </w:rPr>
        <w:tab/>
        <w:t>35</w:t>
      </w:r>
    </w:p>
    <w:p w14:paraId="3F69C04E" w14:textId="77777777" w:rsidR="006C0DAA" w:rsidRPr="00E37E07" w:rsidRDefault="00E37E07">
      <w:pPr>
        <w:pStyle w:val="TOC2"/>
        <w:tabs>
          <w:tab w:val="left" w:pos="1100"/>
          <w:tab w:val="right" w:leader="dot" w:pos="9016"/>
        </w:tabs>
        <w:rPr>
          <w:rFonts w:eastAsiaTheme="minorEastAsia"/>
          <w:noProof/>
          <w:lang w:val="en-IE" w:eastAsia="en-IE"/>
        </w:rPr>
      </w:pPr>
      <w:r w:rsidRPr="00E37E07">
        <w:rPr>
          <w:rFonts w:ascii="Times New Roman" w:hAnsi="Times New Roman"/>
          <w:noProof/>
        </w:rPr>
        <w:t>4.2.1</w:t>
      </w:r>
      <w:r w:rsidRPr="00E37E07">
        <w:rPr>
          <w:rFonts w:ascii="Times New Roman" w:hAnsi="Times New Roman"/>
          <w:noProof/>
        </w:rPr>
        <w:tab/>
        <w:t>Upute za specifične pozicije</w:t>
      </w:r>
      <w:r w:rsidRPr="00E37E07">
        <w:rPr>
          <w:noProof/>
        </w:rPr>
        <w:tab/>
        <w:t>35</w:t>
      </w:r>
    </w:p>
    <w:p w14:paraId="57033DE3" w14:textId="77777777" w:rsidR="006C0DAA" w:rsidRPr="00E37E07" w:rsidRDefault="00E37E07">
      <w:pPr>
        <w:pStyle w:val="TOC2"/>
        <w:tabs>
          <w:tab w:val="right" w:leader="dot" w:pos="9016"/>
        </w:tabs>
        <w:rPr>
          <w:rFonts w:eastAsiaTheme="minorEastAsia"/>
          <w:noProof/>
          <w:lang w:val="en-IE" w:eastAsia="en-IE"/>
        </w:rPr>
      </w:pPr>
      <w:r w:rsidRPr="00E37E07">
        <w:rPr>
          <w:rFonts w:ascii="Times New Roman" w:hAnsi="Times New Roman"/>
          <w:noProof/>
        </w:rPr>
        <w:t>4.3. I 08.01 – RAZINA KONCENTRACIJSKOG RIZIKA – NOVČANA SREDSTVA KLIJENTA KOJA SE DRŽE (I 8.1)</w:t>
      </w:r>
      <w:r w:rsidRPr="00E37E07">
        <w:rPr>
          <w:noProof/>
        </w:rPr>
        <w:tab/>
        <w:t>36</w:t>
      </w:r>
    </w:p>
    <w:p w14:paraId="326A073B" w14:textId="77777777" w:rsidR="006C0DAA" w:rsidRPr="00E37E07" w:rsidRDefault="00E37E07">
      <w:pPr>
        <w:pStyle w:val="TOC2"/>
        <w:tabs>
          <w:tab w:val="left" w:pos="1100"/>
          <w:tab w:val="right" w:leader="dot" w:pos="9016"/>
        </w:tabs>
        <w:rPr>
          <w:rFonts w:eastAsiaTheme="minorEastAsia"/>
          <w:noProof/>
          <w:lang w:val="en-IE" w:eastAsia="en-IE"/>
        </w:rPr>
      </w:pPr>
      <w:r w:rsidRPr="00E37E07">
        <w:rPr>
          <w:rFonts w:ascii="Times New Roman" w:hAnsi="Times New Roman"/>
          <w:noProof/>
        </w:rPr>
        <w:t>4.3.1</w:t>
      </w:r>
      <w:r w:rsidRPr="00E37E07">
        <w:rPr>
          <w:rFonts w:ascii="Times New Roman" w:hAnsi="Times New Roman"/>
          <w:noProof/>
        </w:rPr>
        <w:tab/>
        <w:t>Upute za određene stupce</w:t>
      </w:r>
      <w:r w:rsidRPr="00E37E07">
        <w:rPr>
          <w:noProof/>
        </w:rPr>
        <w:tab/>
        <w:t>36</w:t>
      </w:r>
    </w:p>
    <w:p w14:paraId="28A42D24" w14:textId="77777777" w:rsidR="006C0DAA" w:rsidRPr="00E37E07" w:rsidRDefault="00E37E07">
      <w:pPr>
        <w:pStyle w:val="TOC2"/>
        <w:tabs>
          <w:tab w:val="right" w:leader="dot" w:pos="9016"/>
        </w:tabs>
        <w:rPr>
          <w:rFonts w:eastAsiaTheme="minorEastAsia"/>
          <w:noProof/>
          <w:lang w:val="en-IE" w:eastAsia="en-IE"/>
        </w:rPr>
      </w:pPr>
      <w:r w:rsidRPr="00E37E07">
        <w:rPr>
          <w:rFonts w:ascii="Times New Roman" w:hAnsi="Times New Roman"/>
          <w:noProof/>
        </w:rPr>
        <w:t>4.4. I 08.02 – RAZINA KONCENTRACIJSKOG RIZIKA – IMOVINA KOJA SE POHRANJUJE I ADMINIST</w:t>
      </w:r>
      <w:r w:rsidRPr="00E37E07">
        <w:rPr>
          <w:rFonts w:ascii="Times New Roman" w:hAnsi="Times New Roman"/>
          <w:noProof/>
        </w:rPr>
        <w:t>RIRA (I 8.2)</w:t>
      </w:r>
      <w:r w:rsidRPr="00E37E07">
        <w:rPr>
          <w:noProof/>
        </w:rPr>
        <w:tab/>
        <w:t>37</w:t>
      </w:r>
    </w:p>
    <w:p w14:paraId="3D64753A" w14:textId="77777777" w:rsidR="006C0DAA" w:rsidRPr="00E37E07" w:rsidRDefault="00E37E07">
      <w:pPr>
        <w:pStyle w:val="TOC2"/>
        <w:tabs>
          <w:tab w:val="left" w:pos="1100"/>
          <w:tab w:val="right" w:leader="dot" w:pos="9016"/>
        </w:tabs>
        <w:rPr>
          <w:rFonts w:eastAsiaTheme="minorEastAsia"/>
          <w:noProof/>
          <w:lang w:val="en-IE" w:eastAsia="en-IE"/>
        </w:rPr>
      </w:pPr>
      <w:r w:rsidRPr="00E37E07">
        <w:rPr>
          <w:rFonts w:ascii="Times New Roman" w:hAnsi="Times New Roman"/>
          <w:noProof/>
        </w:rPr>
        <w:t>4.4.1</w:t>
      </w:r>
      <w:r w:rsidRPr="00E37E07">
        <w:rPr>
          <w:rFonts w:ascii="Times New Roman" w:hAnsi="Times New Roman"/>
          <w:noProof/>
        </w:rPr>
        <w:tab/>
        <w:t>Upute za određene stupce</w:t>
      </w:r>
      <w:r w:rsidRPr="00E37E07">
        <w:rPr>
          <w:noProof/>
        </w:rPr>
        <w:tab/>
        <w:t>37</w:t>
      </w:r>
    </w:p>
    <w:p w14:paraId="51F1FFEC" w14:textId="77777777" w:rsidR="006C0DAA" w:rsidRPr="00E37E07" w:rsidRDefault="00E37E07">
      <w:pPr>
        <w:pStyle w:val="TOC2"/>
        <w:tabs>
          <w:tab w:val="right" w:leader="dot" w:pos="9016"/>
        </w:tabs>
        <w:rPr>
          <w:rFonts w:eastAsiaTheme="minorEastAsia"/>
          <w:noProof/>
          <w:lang w:val="en-IE" w:eastAsia="en-IE"/>
        </w:rPr>
      </w:pPr>
      <w:r w:rsidRPr="00E37E07">
        <w:rPr>
          <w:rFonts w:ascii="Times New Roman" w:hAnsi="Times New Roman"/>
          <w:noProof/>
        </w:rPr>
        <w:t>4.5. I 08.03 – RAZINA KONCENTRACIJSKOG RIZIKA – UKUPNA DEPONIRANA VLASTITA NOVČANA SREDSTVA (I 8.3)</w:t>
      </w:r>
      <w:r w:rsidRPr="00E37E07">
        <w:rPr>
          <w:noProof/>
        </w:rPr>
        <w:tab/>
        <w:t>38</w:t>
      </w:r>
    </w:p>
    <w:p w14:paraId="4BF3D002" w14:textId="77777777" w:rsidR="006C0DAA" w:rsidRPr="00E37E07" w:rsidRDefault="00E37E07">
      <w:pPr>
        <w:pStyle w:val="TOC2"/>
        <w:tabs>
          <w:tab w:val="left" w:pos="1100"/>
          <w:tab w:val="right" w:leader="dot" w:pos="9016"/>
        </w:tabs>
        <w:rPr>
          <w:rFonts w:eastAsiaTheme="minorEastAsia"/>
          <w:noProof/>
          <w:lang w:val="en-IE" w:eastAsia="en-IE"/>
        </w:rPr>
      </w:pPr>
      <w:r w:rsidRPr="00E37E07">
        <w:rPr>
          <w:rFonts w:ascii="Times New Roman" w:hAnsi="Times New Roman"/>
          <w:noProof/>
        </w:rPr>
        <w:lastRenderedPageBreak/>
        <w:t>4.5.1</w:t>
      </w:r>
      <w:r w:rsidRPr="00E37E07">
        <w:rPr>
          <w:rFonts w:ascii="Times New Roman" w:hAnsi="Times New Roman"/>
          <w:noProof/>
        </w:rPr>
        <w:tab/>
        <w:t>Upute za određene stupce</w:t>
      </w:r>
      <w:r w:rsidRPr="00E37E07">
        <w:rPr>
          <w:noProof/>
        </w:rPr>
        <w:tab/>
        <w:t>38</w:t>
      </w:r>
    </w:p>
    <w:p w14:paraId="637FBD4F" w14:textId="77777777" w:rsidR="006C0DAA" w:rsidRPr="00E37E07" w:rsidRDefault="00E37E07">
      <w:pPr>
        <w:pStyle w:val="TOC2"/>
        <w:tabs>
          <w:tab w:val="right" w:leader="dot" w:pos="9016"/>
        </w:tabs>
        <w:rPr>
          <w:rFonts w:eastAsiaTheme="minorEastAsia"/>
          <w:noProof/>
          <w:lang w:val="en-IE" w:eastAsia="en-IE"/>
        </w:rPr>
      </w:pPr>
      <w:r w:rsidRPr="00E37E07">
        <w:rPr>
          <w:rFonts w:ascii="Times New Roman" w:hAnsi="Times New Roman"/>
          <w:noProof/>
        </w:rPr>
        <w:t xml:space="preserve">4.6. I 08.04 – RAZINA KONCENTRACIJSKOG RIZIKA – UKUPNA DOBIT (I </w:t>
      </w:r>
      <w:r w:rsidRPr="00E37E07">
        <w:rPr>
          <w:rFonts w:ascii="Times New Roman" w:hAnsi="Times New Roman"/>
          <w:noProof/>
        </w:rPr>
        <w:t>8.4)</w:t>
      </w:r>
      <w:r w:rsidRPr="00E37E07">
        <w:rPr>
          <w:noProof/>
        </w:rPr>
        <w:tab/>
        <w:t>39</w:t>
      </w:r>
    </w:p>
    <w:p w14:paraId="368E5EB6" w14:textId="77777777" w:rsidR="006C0DAA" w:rsidRPr="00E37E07" w:rsidRDefault="00E37E07">
      <w:pPr>
        <w:pStyle w:val="TOC2"/>
        <w:tabs>
          <w:tab w:val="left" w:pos="1100"/>
          <w:tab w:val="right" w:leader="dot" w:pos="9016"/>
        </w:tabs>
        <w:rPr>
          <w:rFonts w:eastAsiaTheme="minorEastAsia"/>
          <w:noProof/>
          <w:lang w:val="en-IE" w:eastAsia="en-IE"/>
        </w:rPr>
      </w:pPr>
      <w:r w:rsidRPr="00E37E07">
        <w:rPr>
          <w:rFonts w:ascii="Times New Roman" w:hAnsi="Times New Roman"/>
          <w:noProof/>
        </w:rPr>
        <w:t>4.6.1</w:t>
      </w:r>
      <w:r w:rsidRPr="00E37E07">
        <w:rPr>
          <w:rFonts w:ascii="Times New Roman" w:hAnsi="Times New Roman"/>
          <w:noProof/>
        </w:rPr>
        <w:tab/>
        <w:t>Upute za određene stupce</w:t>
      </w:r>
      <w:r w:rsidRPr="00E37E07">
        <w:rPr>
          <w:noProof/>
        </w:rPr>
        <w:tab/>
        <w:t>39</w:t>
      </w:r>
    </w:p>
    <w:p w14:paraId="0ED42BE2" w14:textId="77777777" w:rsidR="006C0DAA" w:rsidRPr="00E37E07" w:rsidRDefault="00E37E07">
      <w:pPr>
        <w:pStyle w:val="TOC2"/>
        <w:tabs>
          <w:tab w:val="right" w:leader="dot" w:pos="9016"/>
        </w:tabs>
        <w:rPr>
          <w:rFonts w:eastAsiaTheme="minorEastAsia"/>
          <w:noProof/>
          <w:lang w:val="en-IE" w:eastAsia="en-IE"/>
        </w:rPr>
      </w:pPr>
      <w:r w:rsidRPr="00E37E07">
        <w:rPr>
          <w:rFonts w:ascii="Times New Roman" w:hAnsi="Times New Roman"/>
          <w:noProof/>
        </w:rPr>
        <w:t>4.7. I 08.05 – IZLOŽENOSTI IZ KNJIGE TRGOVANJA (I 8.5)</w:t>
      </w:r>
      <w:r w:rsidRPr="00E37E07">
        <w:rPr>
          <w:noProof/>
        </w:rPr>
        <w:tab/>
        <w:t>40</w:t>
      </w:r>
    </w:p>
    <w:p w14:paraId="7CA446AE" w14:textId="77777777" w:rsidR="006C0DAA" w:rsidRPr="00E37E07" w:rsidRDefault="00E37E07">
      <w:pPr>
        <w:pStyle w:val="TOC2"/>
        <w:tabs>
          <w:tab w:val="left" w:pos="1100"/>
          <w:tab w:val="right" w:leader="dot" w:pos="9016"/>
        </w:tabs>
        <w:rPr>
          <w:rFonts w:eastAsiaTheme="minorEastAsia"/>
          <w:noProof/>
          <w:lang w:val="en-IE" w:eastAsia="en-IE"/>
        </w:rPr>
      </w:pPr>
      <w:r w:rsidRPr="00E37E07">
        <w:rPr>
          <w:rFonts w:ascii="Times New Roman" w:hAnsi="Times New Roman"/>
          <w:noProof/>
        </w:rPr>
        <w:t>4.7.1</w:t>
      </w:r>
      <w:r w:rsidRPr="00E37E07">
        <w:rPr>
          <w:rFonts w:ascii="Times New Roman" w:hAnsi="Times New Roman"/>
          <w:noProof/>
        </w:rPr>
        <w:tab/>
        <w:t>Upute za određene stupce</w:t>
      </w:r>
      <w:r w:rsidRPr="00E37E07">
        <w:rPr>
          <w:noProof/>
        </w:rPr>
        <w:tab/>
        <w:t>40</w:t>
      </w:r>
    </w:p>
    <w:p w14:paraId="45386949" w14:textId="77777777" w:rsidR="006C0DAA" w:rsidRPr="00E37E07" w:rsidRDefault="00E37E07">
      <w:pPr>
        <w:pStyle w:val="TOC2"/>
        <w:tabs>
          <w:tab w:val="right" w:leader="dot" w:pos="9016"/>
        </w:tabs>
        <w:rPr>
          <w:rFonts w:eastAsiaTheme="minorEastAsia"/>
          <w:noProof/>
          <w:lang w:val="en-IE" w:eastAsia="en-IE"/>
        </w:rPr>
      </w:pPr>
      <w:r w:rsidRPr="00E37E07">
        <w:rPr>
          <w:rFonts w:ascii="Times New Roman" w:hAnsi="Times New Roman"/>
          <w:noProof/>
        </w:rPr>
        <w:t>4.8. I 08.06 – KNJIGA POZICIJA KOJIMA SE NE TRGUJE I IZVANBILANČNE STAVKE (I 8.6)</w:t>
      </w:r>
      <w:r w:rsidRPr="00E37E07">
        <w:rPr>
          <w:noProof/>
        </w:rPr>
        <w:tab/>
        <w:t>41</w:t>
      </w:r>
    </w:p>
    <w:p w14:paraId="202BFAE6" w14:textId="77777777" w:rsidR="006C0DAA" w:rsidRPr="00E37E07" w:rsidRDefault="00E37E07">
      <w:pPr>
        <w:pStyle w:val="TOC2"/>
        <w:tabs>
          <w:tab w:val="left" w:pos="1100"/>
          <w:tab w:val="right" w:leader="dot" w:pos="9016"/>
        </w:tabs>
        <w:rPr>
          <w:rFonts w:eastAsiaTheme="minorEastAsia"/>
          <w:noProof/>
          <w:lang w:val="en-IE" w:eastAsia="en-IE"/>
        </w:rPr>
      </w:pPr>
      <w:r w:rsidRPr="00E37E07">
        <w:rPr>
          <w:rFonts w:ascii="Times New Roman" w:hAnsi="Times New Roman"/>
          <w:noProof/>
        </w:rPr>
        <w:t>4.8.1</w:t>
      </w:r>
      <w:r w:rsidRPr="00E37E07">
        <w:rPr>
          <w:rFonts w:ascii="Times New Roman" w:hAnsi="Times New Roman"/>
          <w:noProof/>
        </w:rPr>
        <w:tab/>
        <w:t>Upute za određene stupce</w:t>
      </w:r>
      <w:r w:rsidRPr="00E37E07">
        <w:rPr>
          <w:noProof/>
        </w:rPr>
        <w:tab/>
        <w:t>41</w:t>
      </w:r>
    </w:p>
    <w:p w14:paraId="52451A2D" w14:textId="77777777" w:rsidR="006C0DAA" w:rsidRPr="00E37E07" w:rsidRDefault="00E37E07">
      <w:pPr>
        <w:pStyle w:val="TOC2"/>
        <w:tabs>
          <w:tab w:val="right" w:leader="dot" w:pos="9016"/>
        </w:tabs>
        <w:rPr>
          <w:rFonts w:eastAsiaTheme="minorEastAsia"/>
          <w:noProof/>
          <w:lang w:val="en-IE" w:eastAsia="en-IE"/>
        </w:rPr>
      </w:pPr>
      <w:r w:rsidRPr="00E37E07">
        <w:rPr>
          <w:rFonts w:ascii="Times New Roman" w:hAnsi="Times New Roman"/>
          <w:b/>
          <w:noProof/>
        </w:rPr>
        <w:t>5. LIKVIDNOSNI ZAHTJEVI</w:t>
      </w:r>
      <w:r w:rsidRPr="00E37E07">
        <w:rPr>
          <w:noProof/>
        </w:rPr>
        <w:tab/>
        <w:t>42</w:t>
      </w:r>
    </w:p>
    <w:p w14:paraId="400A1B45" w14:textId="77777777" w:rsidR="006C0DAA" w:rsidRPr="00E37E07" w:rsidRDefault="00E37E07">
      <w:pPr>
        <w:pStyle w:val="TOC2"/>
        <w:tabs>
          <w:tab w:val="right" w:leader="dot" w:pos="9016"/>
        </w:tabs>
        <w:rPr>
          <w:rFonts w:eastAsiaTheme="minorEastAsia"/>
          <w:noProof/>
          <w:lang w:val="en-IE" w:eastAsia="en-IE"/>
        </w:rPr>
      </w:pPr>
      <w:r w:rsidRPr="00E37E07">
        <w:rPr>
          <w:rFonts w:ascii="Times New Roman" w:hAnsi="Times New Roman"/>
          <w:noProof/>
          <w:u w:val="single"/>
        </w:rPr>
        <w:t>5.1 I 09.00 – LIKVIDNOSNI ZAHTJEVI (I 9)</w:t>
      </w:r>
      <w:r w:rsidRPr="00E37E07">
        <w:rPr>
          <w:noProof/>
        </w:rPr>
        <w:tab/>
        <w:t>42</w:t>
      </w:r>
    </w:p>
    <w:p w14:paraId="5EC5079F" w14:textId="77777777" w:rsidR="006C0DAA" w:rsidRPr="00E37E07" w:rsidRDefault="00E37E07">
      <w:pPr>
        <w:pStyle w:val="TOC2"/>
        <w:tabs>
          <w:tab w:val="left" w:pos="1100"/>
          <w:tab w:val="right" w:leader="dot" w:pos="9016"/>
        </w:tabs>
        <w:rPr>
          <w:rFonts w:eastAsiaTheme="minorEastAsia"/>
          <w:noProof/>
          <w:lang w:val="en-IE" w:eastAsia="en-IE"/>
        </w:rPr>
      </w:pPr>
      <w:r w:rsidRPr="00E37E07">
        <w:rPr>
          <w:rFonts w:ascii="Times New Roman" w:hAnsi="Times New Roman"/>
          <w:noProof/>
        </w:rPr>
        <w:t>5.1.1</w:t>
      </w:r>
      <w:r w:rsidRPr="00E37E07">
        <w:rPr>
          <w:rFonts w:ascii="Times New Roman" w:hAnsi="Times New Roman"/>
          <w:noProof/>
        </w:rPr>
        <w:tab/>
      </w:r>
      <w:r w:rsidRPr="00E37E07">
        <w:rPr>
          <w:rFonts w:ascii="Times New Roman" w:hAnsi="Times New Roman"/>
          <w:noProof/>
          <w:u w:val="single"/>
        </w:rPr>
        <w:t>Upute za specifične pozicije</w:t>
      </w:r>
      <w:r w:rsidRPr="00E37E07">
        <w:rPr>
          <w:noProof/>
        </w:rPr>
        <w:tab/>
        <w:t>42</w:t>
      </w:r>
      <w:bookmarkStart w:id="6" w:name="_Toc360188322"/>
      <w:bookmarkStart w:id="7" w:name="_Toc473560870"/>
      <w:bookmarkStart w:id="8" w:name="_Toc7084155"/>
    </w:p>
    <w:p w14:paraId="47C24BA2" w14:textId="77777777" w:rsidR="006C0DAA" w:rsidRPr="00E37E07" w:rsidRDefault="006C0DAA">
      <w:pPr>
        <w:rPr>
          <w:lang w:val="en-IE"/>
        </w:rPr>
      </w:pPr>
    </w:p>
    <w:p w14:paraId="03DC5CC6" w14:textId="77777777" w:rsidR="006C0DAA" w:rsidRPr="00E37E07" w:rsidRDefault="006C0DAA">
      <w:pPr>
        <w:rPr>
          <w:lang w:val="en-IE"/>
        </w:rPr>
      </w:pPr>
    </w:p>
    <w:p w14:paraId="37DFC004" w14:textId="77777777" w:rsidR="006C0DAA" w:rsidRPr="00E37E07" w:rsidRDefault="006C0DAA">
      <w:pPr>
        <w:rPr>
          <w:lang w:val="en-IE"/>
        </w:rPr>
      </w:pPr>
    </w:p>
    <w:p w14:paraId="1DD63A1D" w14:textId="77777777" w:rsidR="006C0DAA" w:rsidRPr="00E37E07" w:rsidRDefault="00E37E07">
      <w:pPr>
        <w:pStyle w:val="Heading2"/>
        <w:rPr>
          <w:rFonts w:ascii="Times New Roman" w:hAnsi="Times New Roman"/>
        </w:rPr>
      </w:pPr>
      <w:bookmarkStart w:id="9" w:name="_Toc35795004"/>
      <w:bookmarkStart w:id="10" w:name="_Toc88218377"/>
      <w:r w:rsidRPr="00E37E07">
        <w:rPr>
          <w:rFonts w:ascii="Times New Roman" w:hAnsi="Times New Roman"/>
        </w:rPr>
        <w:t>DIO I. OPĆE UPUTE</w:t>
      </w:r>
      <w:bookmarkEnd w:id="9"/>
      <w:bookmarkEnd w:id="10"/>
    </w:p>
    <w:p w14:paraId="3E802A26" w14:textId="77777777" w:rsidR="006C0DAA" w:rsidRPr="00E37E07" w:rsidRDefault="00E37E07">
      <w:pPr>
        <w:keepNext/>
        <w:spacing w:before="240" w:after="240" w:line="240" w:lineRule="auto"/>
        <w:jc w:val="both"/>
        <w:outlineLvl w:val="1"/>
        <w:rPr>
          <w:rFonts w:ascii="Times New Roman" w:eastAsia="Arial" w:hAnsi="Times New Roman" w:cs="Times New Roman"/>
          <w:sz w:val="24"/>
          <w:szCs w:val="24"/>
        </w:rPr>
      </w:pPr>
      <w:bookmarkStart w:id="11" w:name="_Toc35795005"/>
      <w:bookmarkStart w:id="12" w:name="_Toc88218378"/>
      <w:r w:rsidRPr="00E37E07">
        <w:rPr>
          <w:rFonts w:ascii="Times New Roman" w:hAnsi="Times New Roman"/>
          <w:sz w:val="24"/>
          <w:szCs w:val="24"/>
        </w:rPr>
        <w:t>1. Struktura i pravila</w:t>
      </w:r>
      <w:bookmarkEnd w:id="11"/>
      <w:bookmarkEnd w:id="12"/>
    </w:p>
    <w:p w14:paraId="55DDD5CF" w14:textId="77777777" w:rsidR="006C0DAA" w:rsidRPr="00E37E07" w:rsidRDefault="00E37E07">
      <w:pPr>
        <w:keepNext/>
        <w:spacing w:before="240" w:after="240" w:line="240" w:lineRule="auto"/>
        <w:jc w:val="both"/>
        <w:outlineLvl w:val="1"/>
        <w:rPr>
          <w:rFonts w:ascii="Times New Roman" w:eastAsia="Arial" w:hAnsi="Times New Roman" w:cs="Times New Roman"/>
          <w:sz w:val="24"/>
          <w:szCs w:val="24"/>
          <w:u w:val="single"/>
        </w:rPr>
      </w:pPr>
      <w:bookmarkStart w:id="13" w:name="_Toc35795006"/>
      <w:bookmarkStart w:id="14" w:name="_Toc88218379"/>
      <w:r w:rsidRPr="00E37E07">
        <w:rPr>
          <w:rFonts w:ascii="Times New Roman" w:hAnsi="Times New Roman"/>
          <w:sz w:val="24"/>
          <w:szCs w:val="24"/>
          <w:u w:val="single"/>
        </w:rPr>
        <w:t>1.1. Struktura</w:t>
      </w:r>
      <w:bookmarkEnd w:id="13"/>
      <w:bookmarkEnd w:id="14"/>
    </w:p>
    <w:p w14:paraId="3A605684" w14:textId="77777777" w:rsidR="006C0DAA" w:rsidRPr="00E37E07" w:rsidRDefault="00E37E07">
      <w:pPr>
        <w:spacing w:line="256" w:lineRule="auto"/>
        <w:ind w:left="284" w:hanging="284"/>
        <w:jc w:val="both"/>
        <w:rPr>
          <w:rFonts w:ascii="Times New Roman" w:hAnsi="Times New Roman" w:cs="Times New Roman"/>
        </w:rPr>
      </w:pPr>
      <w:r w:rsidRPr="00E37E07">
        <w:rPr>
          <w:rFonts w:ascii="Times New Roman" w:hAnsi="Times New Roman" w:cs="Times New Roman"/>
        </w:rPr>
        <w:t>1.</w:t>
      </w:r>
      <w:r w:rsidRPr="00E37E07">
        <w:rPr>
          <w:rFonts w:ascii="Times New Roman" w:hAnsi="Times New Roman" w:cs="Times New Roman"/>
        </w:rPr>
        <w:tab/>
      </w:r>
      <w:r w:rsidRPr="00E37E07">
        <w:rPr>
          <w:rFonts w:ascii="Times New Roman" w:hAnsi="Times New Roman"/>
        </w:rPr>
        <w:t>Općenito okvir čine sljedeće skupine informacija:</w:t>
      </w:r>
    </w:p>
    <w:p w14:paraId="1CE3EA82" w14:textId="77777777" w:rsidR="006C0DAA" w:rsidRPr="00E37E07" w:rsidRDefault="00E37E07">
      <w:pPr>
        <w:spacing w:line="256" w:lineRule="auto"/>
        <w:ind w:left="1728" w:hanging="648"/>
        <w:jc w:val="both"/>
        <w:rPr>
          <w:rFonts w:ascii="Times New Roman" w:hAnsi="Times New Roman" w:cs="Times New Roman"/>
        </w:rPr>
      </w:pPr>
      <w:r w:rsidRPr="00E37E07">
        <w:rPr>
          <w:rFonts w:ascii="Times New Roman" w:hAnsi="Times New Roman" w:cs="Times New Roman"/>
        </w:rPr>
        <w:t>(a)</w:t>
      </w:r>
      <w:r w:rsidRPr="00E37E07">
        <w:rPr>
          <w:rFonts w:ascii="Times New Roman" w:hAnsi="Times New Roman" w:cs="Times New Roman"/>
        </w:rPr>
        <w:tab/>
      </w:r>
      <w:r w:rsidRPr="00E37E07">
        <w:rPr>
          <w:rFonts w:ascii="Times New Roman" w:hAnsi="Times New Roman"/>
        </w:rPr>
        <w:t>regulatorni kapital;</w:t>
      </w:r>
    </w:p>
    <w:p w14:paraId="6EA84DEC" w14:textId="77777777" w:rsidR="006C0DAA" w:rsidRPr="00E37E07" w:rsidRDefault="00E37E07">
      <w:pPr>
        <w:spacing w:line="256" w:lineRule="auto"/>
        <w:ind w:left="1728" w:hanging="648"/>
        <w:jc w:val="both"/>
        <w:rPr>
          <w:rFonts w:ascii="Times New Roman" w:hAnsi="Times New Roman" w:cs="Times New Roman"/>
        </w:rPr>
      </w:pPr>
      <w:r w:rsidRPr="00E37E07">
        <w:rPr>
          <w:rFonts w:ascii="Times New Roman" w:hAnsi="Times New Roman" w:cs="Times New Roman"/>
        </w:rPr>
        <w:t>(b)</w:t>
      </w:r>
      <w:r w:rsidRPr="00E37E07">
        <w:rPr>
          <w:rFonts w:ascii="Times New Roman" w:hAnsi="Times New Roman" w:cs="Times New Roman"/>
        </w:rPr>
        <w:tab/>
      </w:r>
      <w:r w:rsidRPr="00E37E07">
        <w:rPr>
          <w:rFonts w:ascii="Times New Roman" w:hAnsi="Times New Roman"/>
        </w:rPr>
        <w:t>izraču</w:t>
      </w:r>
      <w:r w:rsidRPr="00E37E07">
        <w:rPr>
          <w:rFonts w:ascii="Times New Roman" w:hAnsi="Times New Roman"/>
        </w:rPr>
        <w:t>ni kapitalnih zahtjeva;</w:t>
      </w:r>
    </w:p>
    <w:p w14:paraId="49C248A0" w14:textId="77777777" w:rsidR="006C0DAA" w:rsidRPr="00E37E07" w:rsidRDefault="00E37E07">
      <w:pPr>
        <w:spacing w:line="256" w:lineRule="auto"/>
        <w:ind w:left="1728" w:hanging="648"/>
        <w:jc w:val="both"/>
        <w:rPr>
          <w:rFonts w:ascii="Times New Roman" w:hAnsi="Times New Roman" w:cs="Times New Roman"/>
        </w:rPr>
      </w:pPr>
      <w:r w:rsidRPr="00E37E07">
        <w:rPr>
          <w:rFonts w:ascii="Times New Roman" w:hAnsi="Times New Roman" w:cs="Times New Roman"/>
        </w:rPr>
        <w:t>(c)</w:t>
      </w:r>
      <w:r w:rsidRPr="00E37E07">
        <w:rPr>
          <w:rFonts w:ascii="Times New Roman" w:hAnsi="Times New Roman" w:cs="Times New Roman"/>
        </w:rPr>
        <w:tab/>
      </w:r>
      <w:r w:rsidRPr="00E37E07">
        <w:rPr>
          <w:rFonts w:ascii="Times New Roman" w:hAnsi="Times New Roman"/>
        </w:rPr>
        <w:t>izračun zahtjeva za fiksne opće troškove;</w:t>
      </w:r>
    </w:p>
    <w:p w14:paraId="3D68FF90" w14:textId="77777777" w:rsidR="006C0DAA" w:rsidRPr="00E37E07" w:rsidRDefault="00E37E07">
      <w:pPr>
        <w:spacing w:line="256" w:lineRule="auto"/>
        <w:ind w:left="1728" w:hanging="648"/>
        <w:jc w:val="both"/>
        <w:rPr>
          <w:rFonts w:ascii="Times New Roman" w:hAnsi="Times New Roman" w:cs="Times New Roman"/>
        </w:rPr>
      </w:pPr>
      <w:r w:rsidRPr="00E37E07">
        <w:rPr>
          <w:rFonts w:ascii="Times New Roman" w:hAnsi="Times New Roman" w:cs="Times New Roman"/>
        </w:rPr>
        <w:t>(d)</w:t>
      </w:r>
      <w:r w:rsidRPr="00E37E07">
        <w:rPr>
          <w:rFonts w:ascii="Times New Roman" w:hAnsi="Times New Roman" w:cs="Times New Roman"/>
        </w:rPr>
        <w:tab/>
      </w:r>
      <w:r w:rsidRPr="00E37E07">
        <w:rPr>
          <w:rFonts w:ascii="Times New Roman" w:hAnsi="Times New Roman"/>
        </w:rPr>
        <w:t>razina aktivnosti u odnosu na uvjete iz članka 12. stavka 1. Uredbe (EU) 2019/2033;</w:t>
      </w:r>
    </w:p>
    <w:p w14:paraId="0020FE33" w14:textId="77777777" w:rsidR="006C0DAA" w:rsidRPr="00E37E07" w:rsidRDefault="00E37E07">
      <w:pPr>
        <w:spacing w:line="256" w:lineRule="auto"/>
        <w:ind w:left="1728" w:hanging="648"/>
        <w:jc w:val="both"/>
        <w:rPr>
          <w:rFonts w:ascii="Times New Roman" w:hAnsi="Times New Roman" w:cs="Times New Roman"/>
        </w:rPr>
      </w:pPr>
      <w:r w:rsidRPr="00E37E07">
        <w:rPr>
          <w:rFonts w:ascii="Times New Roman" w:hAnsi="Times New Roman" w:cs="Times New Roman"/>
        </w:rPr>
        <w:t>(e)</w:t>
      </w:r>
      <w:r w:rsidRPr="00E37E07">
        <w:rPr>
          <w:rFonts w:ascii="Times New Roman" w:hAnsi="Times New Roman" w:cs="Times New Roman"/>
        </w:rPr>
        <w:tab/>
      </w:r>
      <w:r w:rsidRPr="00E37E07">
        <w:rPr>
          <w:rFonts w:ascii="Times New Roman" w:hAnsi="Times New Roman"/>
        </w:rPr>
        <w:t>izračuni zahtjeva za faktor K;</w:t>
      </w:r>
    </w:p>
    <w:p w14:paraId="0CC49790" w14:textId="77777777" w:rsidR="006C0DAA" w:rsidRPr="00E37E07" w:rsidRDefault="00E37E07">
      <w:pPr>
        <w:spacing w:line="256" w:lineRule="auto"/>
        <w:ind w:left="1728" w:hanging="648"/>
        <w:jc w:val="both"/>
        <w:rPr>
          <w:rFonts w:ascii="Times New Roman" w:hAnsi="Times New Roman" w:cs="Times New Roman"/>
        </w:rPr>
      </w:pPr>
      <w:r w:rsidRPr="00E37E07">
        <w:rPr>
          <w:rFonts w:ascii="Times New Roman" w:hAnsi="Times New Roman" w:cs="Times New Roman"/>
        </w:rPr>
        <w:t>(f)</w:t>
      </w:r>
      <w:r w:rsidRPr="00E37E07">
        <w:rPr>
          <w:rFonts w:ascii="Times New Roman" w:hAnsi="Times New Roman" w:cs="Times New Roman"/>
        </w:rPr>
        <w:tab/>
      </w:r>
      <w:r w:rsidRPr="00E37E07">
        <w:rPr>
          <w:rFonts w:ascii="Times New Roman" w:hAnsi="Times New Roman"/>
        </w:rPr>
        <w:t>zahtjevi za koncentracijski rizik;</w:t>
      </w:r>
    </w:p>
    <w:p w14:paraId="6CF72928" w14:textId="77777777" w:rsidR="006C0DAA" w:rsidRPr="00E37E07" w:rsidRDefault="00E37E07">
      <w:pPr>
        <w:spacing w:line="256" w:lineRule="auto"/>
        <w:ind w:left="1728" w:hanging="648"/>
        <w:jc w:val="both"/>
        <w:rPr>
          <w:rFonts w:ascii="Times New Roman" w:hAnsi="Times New Roman" w:cs="Times New Roman"/>
        </w:rPr>
      </w:pPr>
      <w:r w:rsidRPr="00E37E07">
        <w:rPr>
          <w:rFonts w:ascii="Times New Roman" w:hAnsi="Times New Roman" w:cs="Times New Roman"/>
        </w:rPr>
        <w:t>(g)</w:t>
      </w:r>
      <w:r w:rsidRPr="00E37E07">
        <w:rPr>
          <w:rFonts w:ascii="Times New Roman" w:hAnsi="Times New Roman" w:cs="Times New Roman"/>
        </w:rPr>
        <w:tab/>
      </w:r>
      <w:r w:rsidRPr="00E37E07">
        <w:rPr>
          <w:rFonts w:ascii="Times New Roman" w:hAnsi="Times New Roman"/>
        </w:rPr>
        <w:t>likvidnosni zahtjevi.</w:t>
      </w:r>
    </w:p>
    <w:p w14:paraId="60F2D470" w14:textId="77777777" w:rsidR="006C0DAA" w:rsidRPr="00E37E07" w:rsidRDefault="00E37E07">
      <w:pPr>
        <w:pStyle w:val="InstructionsText2"/>
        <w:numPr>
          <w:ilvl w:val="0"/>
          <w:numId w:val="0"/>
        </w:numPr>
        <w:ind w:left="360" w:hanging="360"/>
      </w:pPr>
      <w:r w:rsidRPr="00E37E07">
        <w:t>2.</w:t>
      </w:r>
      <w:r w:rsidRPr="00E37E07">
        <w:tab/>
        <w:t>Za svaki je obrazac navedena pravna osnova. Ovaj dio Uredbe sadržava dodatne detaljne informacije o općenitijim aspektima izvješćivanja u svakoj skupini obrazaca, upute za specifične pozicije te pravila validacije.</w:t>
      </w:r>
    </w:p>
    <w:p w14:paraId="5ECCB36A" w14:textId="77777777" w:rsidR="006C0DAA" w:rsidRPr="00E37E07" w:rsidRDefault="00E37E07">
      <w:pPr>
        <w:keepNext/>
        <w:spacing w:before="240" w:after="240" w:line="240" w:lineRule="auto"/>
        <w:jc w:val="both"/>
        <w:outlineLvl w:val="1"/>
        <w:rPr>
          <w:rFonts w:ascii="Times New Roman" w:eastAsia="Arial" w:hAnsi="Times New Roman" w:cs="Times New Roman"/>
          <w:sz w:val="24"/>
          <w:szCs w:val="24"/>
          <w:u w:val="single"/>
        </w:rPr>
      </w:pPr>
      <w:bookmarkStart w:id="15" w:name="_Toc35795007"/>
      <w:bookmarkStart w:id="16" w:name="_Toc88218380"/>
      <w:r w:rsidRPr="00E37E07">
        <w:rPr>
          <w:rFonts w:ascii="Times New Roman" w:hAnsi="Times New Roman"/>
          <w:sz w:val="24"/>
          <w:szCs w:val="24"/>
          <w:u w:val="single"/>
        </w:rPr>
        <w:t>1.2. Pravila ozn</w:t>
      </w:r>
      <w:r w:rsidRPr="00E37E07">
        <w:rPr>
          <w:rFonts w:ascii="Times New Roman" w:hAnsi="Times New Roman"/>
          <w:sz w:val="24"/>
          <w:szCs w:val="24"/>
          <w:u w:val="single"/>
        </w:rPr>
        <w:t>ačivanja brojevima</w:t>
      </w:r>
      <w:bookmarkEnd w:id="15"/>
      <w:bookmarkEnd w:id="16"/>
    </w:p>
    <w:p w14:paraId="6E0BC478" w14:textId="77777777" w:rsidR="006C0DAA" w:rsidRPr="00E37E07" w:rsidRDefault="00E37E07">
      <w:pPr>
        <w:pStyle w:val="InstructionsText2"/>
        <w:numPr>
          <w:ilvl w:val="0"/>
          <w:numId w:val="0"/>
        </w:numPr>
        <w:ind w:left="360" w:hanging="360"/>
      </w:pPr>
      <w:r w:rsidRPr="00E37E07">
        <w:t>3.</w:t>
      </w:r>
      <w:r w:rsidRPr="00E37E07">
        <w:tab/>
        <w:t>Pri upućivanju na stupce, retke i rubrike obrazaca u dokumentu se poštuju pravila označivanja iz točaka od 4. do 7. Te se brojčane oznake u velikoj mjeri koriste u pravilima validacije.</w:t>
      </w:r>
    </w:p>
    <w:p w14:paraId="547D1D10" w14:textId="77777777" w:rsidR="006C0DAA" w:rsidRPr="00E37E07" w:rsidRDefault="00E37E07">
      <w:pPr>
        <w:pStyle w:val="InstructionsText2"/>
        <w:numPr>
          <w:ilvl w:val="0"/>
          <w:numId w:val="0"/>
        </w:numPr>
        <w:ind w:left="360" w:hanging="360"/>
      </w:pPr>
      <w:r w:rsidRPr="00E37E07">
        <w:t>4.</w:t>
      </w:r>
      <w:r w:rsidRPr="00E37E07">
        <w:tab/>
        <w:t xml:space="preserve">U uputama se primjenjuje sljedeća opća </w:t>
      </w:r>
      <w:r w:rsidRPr="00E37E07">
        <w:t>bilješka: {Obrazac; Redak; stupac}.</w:t>
      </w:r>
    </w:p>
    <w:p w14:paraId="5ED0D730" w14:textId="77777777" w:rsidR="006C0DAA" w:rsidRPr="00E37E07" w:rsidRDefault="00E37E07">
      <w:pPr>
        <w:pStyle w:val="InstructionsText2"/>
        <w:numPr>
          <w:ilvl w:val="0"/>
          <w:numId w:val="0"/>
        </w:numPr>
        <w:ind w:left="360" w:hanging="360"/>
      </w:pPr>
      <w:r w:rsidRPr="00E37E07">
        <w:lastRenderedPageBreak/>
        <w:t>5.</w:t>
      </w:r>
      <w:r w:rsidRPr="00E37E07">
        <w:tab/>
        <w:t>U slučaju validacija u okviru obrasca pri kojima se koriste samo podaci iz tog obrasca, bilješkama se ne upućuje na obrazac: {Redak; stupac}.</w:t>
      </w:r>
    </w:p>
    <w:p w14:paraId="0CDC2741" w14:textId="77777777" w:rsidR="006C0DAA" w:rsidRPr="00E37E07" w:rsidRDefault="00E37E07">
      <w:pPr>
        <w:pStyle w:val="InstructionsText2"/>
        <w:numPr>
          <w:ilvl w:val="0"/>
          <w:numId w:val="0"/>
        </w:numPr>
        <w:ind w:left="360" w:hanging="360"/>
      </w:pPr>
      <w:r w:rsidRPr="00E37E07">
        <w:t>6.</w:t>
      </w:r>
      <w:r w:rsidRPr="00E37E07">
        <w:tab/>
        <w:t>U slučaju obrazaca samo s jednim stupcem upućuje se samo na retke: {Obra</w:t>
      </w:r>
      <w:r w:rsidRPr="00E37E07">
        <w:t>zac; Redak}.</w:t>
      </w:r>
    </w:p>
    <w:p w14:paraId="74DAA1C8" w14:textId="77777777" w:rsidR="006C0DAA" w:rsidRPr="00E37E07" w:rsidRDefault="00E37E07">
      <w:pPr>
        <w:pStyle w:val="InstructionsText2"/>
        <w:numPr>
          <w:ilvl w:val="0"/>
          <w:numId w:val="0"/>
        </w:numPr>
        <w:ind w:left="360" w:hanging="360"/>
      </w:pPr>
      <w:r w:rsidRPr="00E37E07">
        <w:t>7.</w:t>
      </w:r>
      <w:r w:rsidRPr="00E37E07">
        <w:tab/>
        <w:t>Znak zvjezdice koristi se kako bi se naznačilo da je validacija izvršena za prethodno navedene retke ili stupce.</w:t>
      </w:r>
    </w:p>
    <w:p w14:paraId="027D6634" w14:textId="77777777" w:rsidR="006C0DAA" w:rsidRPr="00E37E07" w:rsidRDefault="00E37E07">
      <w:pPr>
        <w:keepNext/>
        <w:spacing w:before="240" w:after="240" w:line="240" w:lineRule="auto"/>
        <w:jc w:val="both"/>
        <w:outlineLvl w:val="1"/>
        <w:rPr>
          <w:rFonts w:ascii="Times New Roman" w:eastAsia="Arial" w:hAnsi="Times New Roman" w:cs="Times New Roman"/>
          <w:sz w:val="24"/>
          <w:szCs w:val="24"/>
          <w:u w:val="single"/>
        </w:rPr>
      </w:pPr>
      <w:bookmarkStart w:id="17" w:name="_Toc35795008"/>
      <w:bookmarkStart w:id="18" w:name="_Toc88218381"/>
      <w:r w:rsidRPr="00E37E07">
        <w:rPr>
          <w:rFonts w:ascii="Times New Roman" w:hAnsi="Times New Roman"/>
          <w:sz w:val="24"/>
          <w:szCs w:val="24"/>
          <w:u w:val="single"/>
        </w:rPr>
        <w:t>1.3. Pravila o predznaku</w:t>
      </w:r>
      <w:bookmarkEnd w:id="17"/>
      <w:bookmarkEnd w:id="18"/>
    </w:p>
    <w:p w14:paraId="1FC685C6" w14:textId="77777777" w:rsidR="006C0DAA" w:rsidRPr="00E37E07" w:rsidRDefault="00E37E07">
      <w:pPr>
        <w:pStyle w:val="InstructionsText2"/>
        <w:numPr>
          <w:ilvl w:val="0"/>
          <w:numId w:val="0"/>
        </w:numPr>
        <w:ind w:left="360" w:hanging="360"/>
      </w:pPr>
      <w:r w:rsidRPr="00E37E07">
        <w:t>8.</w:t>
      </w:r>
      <w:r w:rsidRPr="00E37E07">
        <w:tab/>
        <w:t>Svaki iznos kojim se povećava regulatorni kapital, kapitalni zahtjevi ili likvidnosni zahtjevi iska</w:t>
      </w:r>
      <w:r w:rsidRPr="00E37E07">
        <w:t>zuje se kao pozitivna vrijednost. Nasuprot tome, svaki iznos kojim se ukupni regulatorni kapital ili kapitalni zahtjevi umanjuju iskazuje se kao negativna vrijednost. Uz stavku kojoj prethodi negativan predznak (–) ne očekuje se navođenje pozitivnog broja.</w:t>
      </w:r>
    </w:p>
    <w:p w14:paraId="1E06CF35" w14:textId="77777777" w:rsidR="006C0DAA" w:rsidRPr="00E37E07" w:rsidRDefault="00E37E07">
      <w:pPr>
        <w:keepNext/>
        <w:spacing w:before="240" w:after="240" w:line="240" w:lineRule="auto"/>
        <w:jc w:val="both"/>
        <w:outlineLvl w:val="1"/>
        <w:rPr>
          <w:rFonts w:ascii="Times New Roman" w:eastAsia="Arial" w:hAnsi="Times New Roman" w:cs="Times New Roman"/>
          <w:sz w:val="24"/>
          <w:szCs w:val="24"/>
          <w:u w:val="single"/>
        </w:rPr>
      </w:pPr>
      <w:bookmarkStart w:id="19" w:name="_Toc35795010"/>
      <w:bookmarkStart w:id="20" w:name="_Toc88218382"/>
      <w:r w:rsidRPr="00E37E07">
        <w:rPr>
          <w:rFonts w:ascii="Times New Roman" w:hAnsi="Times New Roman"/>
          <w:sz w:val="24"/>
          <w:szCs w:val="24"/>
          <w:u w:val="single"/>
        </w:rPr>
        <w:t>1.4. Bonitetna konsolidacija</w:t>
      </w:r>
      <w:bookmarkEnd w:id="19"/>
      <w:bookmarkEnd w:id="20"/>
    </w:p>
    <w:p w14:paraId="0647D94F" w14:textId="77777777" w:rsidR="006C0DAA" w:rsidRPr="00E37E07" w:rsidRDefault="00E37E07">
      <w:pPr>
        <w:spacing w:line="256" w:lineRule="auto"/>
        <w:ind w:left="360" w:hanging="360"/>
        <w:jc w:val="both"/>
        <w:rPr>
          <w:rFonts w:ascii="Times New Roman" w:hAnsi="Times New Roman" w:cs="Times New Roman"/>
          <w:sz w:val="24"/>
        </w:rPr>
      </w:pPr>
      <w:r w:rsidRPr="00E37E07">
        <w:rPr>
          <w:rFonts w:ascii="Times New Roman" w:hAnsi="Times New Roman" w:cs="Times New Roman"/>
          <w:sz w:val="24"/>
        </w:rPr>
        <w:t>9.</w:t>
      </w:r>
      <w:r w:rsidRPr="00E37E07">
        <w:rPr>
          <w:rFonts w:ascii="Times New Roman" w:hAnsi="Times New Roman" w:cs="Times New Roman"/>
          <w:sz w:val="24"/>
        </w:rPr>
        <w:tab/>
      </w:r>
      <w:r w:rsidRPr="00E37E07">
        <w:rPr>
          <w:rFonts w:ascii="Times New Roman" w:hAnsi="Times New Roman"/>
          <w:sz w:val="24"/>
        </w:rPr>
        <w:t>Osim ako je odobreno izuzeće, Uredba (EU) 2019/2033 i Direktiva (EU) 2019/2034 primjenjuju se na investicijska društva na pojedinačnoj i konsolidiranoj osnovi, što uključuje zahtjeve za izvješćivanje iz dijela sedmog Uredbe</w:t>
      </w:r>
      <w:r w:rsidRPr="00E37E07">
        <w:rPr>
          <w:rFonts w:ascii="Times New Roman" w:hAnsi="Times New Roman"/>
          <w:sz w:val="24"/>
        </w:rPr>
        <w:t xml:space="preserve"> (EU) 2019/2033. U članku 4. stavku 1. točki 11. Uredbe (EU) 2019/2033 konsolidirani položaj definira se kao položaj koji nastane primjenom zahtjeva Uredbe (EU) 2019/2033 na grupu investicijskog društva kao da subjekti te grupe čine jedno investicijsko dru</w:t>
      </w:r>
      <w:r w:rsidRPr="00E37E07">
        <w:rPr>
          <w:rFonts w:ascii="Times New Roman" w:hAnsi="Times New Roman"/>
          <w:sz w:val="24"/>
        </w:rPr>
        <w:t>štvo. Nakon primjene članka 7. Uredbe (EU) 2019/2033 grupe investicijskih društava ispunjavaju zahtjeve za izvješćivanje u svim obrascima na temelju njihova opsega bonitetne konsolidacije (koji se može razlikovati od njihova opsega računovodstvene konsolid</w:t>
      </w:r>
      <w:r w:rsidRPr="00E37E07">
        <w:rPr>
          <w:rFonts w:ascii="Times New Roman" w:hAnsi="Times New Roman"/>
          <w:sz w:val="24"/>
        </w:rPr>
        <w:t>acije).</w:t>
      </w:r>
    </w:p>
    <w:p w14:paraId="0D684FE5" w14:textId="77777777" w:rsidR="006C0DAA" w:rsidRPr="00E37E07" w:rsidRDefault="00E37E07">
      <w:pPr>
        <w:pStyle w:val="Heading2"/>
        <w:rPr>
          <w:rFonts w:ascii="Times New Roman" w:hAnsi="Times New Roman"/>
        </w:rPr>
      </w:pPr>
      <w:bookmarkStart w:id="21" w:name="_Toc88218383"/>
      <w:r w:rsidRPr="00E37E07">
        <w:rPr>
          <w:rFonts w:ascii="Times New Roman" w:hAnsi="Times New Roman"/>
        </w:rPr>
        <w:t>DIO II. UPUTE ZA OBRASCE</w:t>
      </w:r>
      <w:bookmarkEnd w:id="6"/>
      <w:bookmarkEnd w:id="7"/>
      <w:bookmarkEnd w:id="8"/>
      <w:bookmarkEnd w:id="21"/>
    </w:p>
    <w:p w14:paraId="75CDAD66" w14:textId="77777777" w:rsidR="006C0DAA" w:rsidRPr="00E37E07" w:rsidRDefault="00E37E07">
      <w:pPr>
        <w:pStyle w:val="Instructionsberschrift2"/>
        <w:ind w:left="357" w:hanging="357"/>
        <w:rPr>
          <w:rFonts w:ascii="Times New Roman" w:hAnsi="Times New Roman" w:cs="Times New Roman"/>
          <w:b/>
          <w:sz w:val="24"/>
        </w:rPr>
      </w:pPr>
      <w:bookmarkStart w:id="22" w:name="_Toc35795012"/>
      <w:bookmarkStart w:id="23" w:name="_Toc88218384"/>
      <w:r w:rsidRPr="00E37E07">
        <w:rPr>
          <w:rFonts w:ascii="Times New Roman" w:hAnsi="Times New Roman"/>
          <w:b/>
          <w:sz w:val="24"/>
          <w:u w:val="none"/>
        </w:rPr>
        <w:t>1. REGULATORNI KAPITAL: RAZINA, SASTAV, ZAHTJEVI I IZRAČUN</w:t>
      </w:r>
      <w:bookmarkEnd w:id="22"/>
      <w:bookmarkEnd w:id="23"/>
    </w:p>
    <w:p w14:paraId="6E821E82" w14:textId="77777777" w:rsidR="006C0DAA" w:rsidRPr="00E37E07" w:rsidRDefault="00E37E07">
      <w:pPr>
        <w:pStyle w:val="Instructionsberschrift2"/>
        <w:ind w:left="357" w:hanging="357"/>
        <w:rPr>
          <w:rFonts w:ascii="Times New Roman" w:hAnsi="Times New Roman" w:cs="Times New Roman"/>
          <w:sz w:val="24"/>
        </w:rPr>
      </w:pPr>
      <w:bookmarkStart w:id="24" w:name="_Toc35795013"/>
      <w:bookmarkStart w:id="25" w:name="_Toc88218385"/>
      <w:r w:rsidRPr="00E37E07">
        <w:rPr>
          <w:rFonts w:ascii="Times New Roman" w:hAnsi="Times New Roman"/>
          <w:sz w:val="24"/>
          <w:u w:val="none"/>
        </w:rPr>
        <w:t>1.1. Opće napomene</w:t>
      </w:r>
      <w:bookmarkEnd w:id="24"/>
      <w:bookmarkEnd w:id="25"/>
    </w:p>
    <w:p w14:paraId="10D95631" w14:textId="77777777" w:rsidR="006C0DAA" w:rsidRPr="00E37E07" w:rsidRDefault="00E37E07">
      <w:pPr>
        <w:spacing w:line="256" w:lineRule="auto"/>
        <w:ind w:left="993" w:hanging="567"/>
        <w:jc w:val="both"/>
        <w:rPr>
          <w:rFonts w:ascii="Times New Roman" w:hAnsi="Times New Roman" w:cs="Times New Roman"/>
          <w:sz w:val="24"/>
        </w:rPr>
      </w:pPr>
      <w:r w:rsidRPr="00E37E07">
        <w:rPr>
          <w:rFonts w:ascii="Times New Roman" w:hAnsi="Times New Roman" w:cs="Times New Roman"/>
          <w:sz w:val="24"/>
        </w:rPr>
        <w:t>10.</w:t>
      </w:r>
      <w:r w:rsidRPr="00E37E07">
        <w:rPr>
          <w:rFonts w:ascii="Times New Roman" w:hAnsi="Times New Roman" w:cs="Times New Roman"/>
          <w:sz w:val="24"/>
        </w:rPr>
        <w:tab/>
      </w:r>
      <w:r w:rsidRPr="00E37E07">
        <w:rPr>
          <w:rFonts w:ascii="Times New Roman" w:hAnsi="Times New Roman"/>
          <w:sz w:val="24"/>
        </w:rPr>
        <w:t>Odjeljak s pregledom regulatornog kapitala sadržava informacije o regulatornom kapitalu i kapitalnim zahtjevima investicijskog društva. Sadrž</w:t>
      </w:r>
      <w:r w:rsidRPr="00E37E07">
        <w:rPr>
          <w:rFonts w:ascii="Times New Roman" w:hAnsi="Times New Roman"/>
          <w:sz w:val="24"/>
        </w:rPr>
        <w:t>ava dva obrasca:</w:t>
      </w:r>
    </w:p>
    <w:p w14:paraId="7CCC5E1A" w14:textId="77777777" w:rsidR="006C0DAA" w:rsidRPr="00E37E07" w:rsidRDefault="00E37E07">
      <w:pPr>
        <w:spacing w:line="256" w:lineRule="auto"/>
        <w:ind w:left="1728" w:hanging="648"/>
        <w:jc w:val="both"/>
        <w:rPr>
          <w:rFonts w:ascii="Times New Roman" w:hAnsi="Times New Roman" w:cs="Times New Roman"/>
          <w:sz w:val="24"/>
        </w:rPr>
      </w:pPr>
      <w:r w:rsidRPr="00E37E07">
        <w:rPr>
          <w:rFonts w:ascii="Times New Roman" w:hAnsi="Times New Roman" w:cs="Times New Roman"/>
          <w:sz w:val="24"/>
        </w:rPr>
        <w:t>(a)</w:t>
      </w:r>
      <w:r w:rsidRPr="00E37E07">
        <w:rPr>
          <w:rFonts w:ascii="Times New Roman" w:hAnsi="Times New Roman" w:cs="Times New Roman"/>
          <w:sz w:val="24"/>
        </w:rPr>
        <w:tab/>
      </w:r>
      <w:r w:rsidRPr="00E37E07">
        <w:rPr>
          <w:rFonts w:ascii="Times New Roman" w:hAnsi="Times New Roman"/>
          <w:sz w:val="24"/>
        </w:rPr>
        <w:t>obrazac I 01.00 odnosi se na sastav regulatornog kapitala investicijskog društva: redovni osnovni kapital (CET1), dodatni osnovni kapital (AT1) i dopunski kapital (T2);</w:t>
      </w:r>
    </w:p>
    <w:p w14:paraId="47431683" w14:textId="77777777" w:rsidR="006C0DAA" w:rsidRPr="00E37E07" w:rsidRDefault="00E37E07">
      <w:pPr>
        <w:spacing w:line="256" w:lineRule="auto"/>
        <w:ind w:left="1728" w:hanging="648"/>
        <w:jc w:val="both"/>
        <w:rPr>
          <w:rFonts w:ascii="Times New Roman" w:hAnsi="Times New Roman" w:cs="Times New Roman"/>
          <w:sz w:val="24"/>
        </w:rPr>
      </w:pPr>
      <w:r w:rsidRPr="00E37E07">
        <w:rPr>
          <w:rFonts w:ascii="Times New Roman" w:hAnsi="Times New Roman" w:cs="Times New Roman"/>
          <w:sz w:val="24"/>
        </w:rPr>
        <w:t>(b)</w:t>
      </w:r>
      <w:r w:rsidRPr="00E37E07">
        <w:rPr>
          <w:rFonts w:ascii="Times New Roman" w:hAnsi="Times New Roman" w:cs="Times New Roman"/>
          <w:sz w:val="24"/>
        </w:rPr>
        <w:tab/>
      </w:r>
      <w:r w:rsidRPr="00E37E07">
        <w:rPr>
          <w:rFonts w:ascii="Times New Roman" w:hAnsi="Times New Roman"/>
          <w:sz w:val="24"/>
        </w:rPr>
        <w:t>obrasci I 02.01 i I 02.02 odnose se na ukupni kapitalni zahtje</w:t>
      </w:r>
      <w:r w:rsidRPr="00E37E07">
        <w:rPr>
          <w:rFonts w:ascii="Times New Roman" w:hAnsi="Times New Roman"/>
          <w:sz w:val="24"/>
        </w:rPr>
        <w:t>v, zahtjev za trajni minimalni kapital, zahtjev za fiksne opće troškove i ukupni zahtjev za faktor K, sve dodatne kapitalne zahtjeve i smjernice o regulatornom kapitalu te prijelazni kapitalni zahtjev i stope kapitala;</w:t>
      </w:r>
    </w:p>
    <w:p w14:paraId="73C37E39" w14:textId="77777777" w:rsidR="006C0DAA" w:rsidRPr="00E37E07" w:rsidRDefault="00E37E07">
      <w:pPr>
        <w:spacing w:line="256" w:lineRule="auto"/>
        <w:ind w:left="1728" w:hanging="648"/>
        <w:jc w:val="both"/>
        <w:rPr>
          <w:rFonts w:ascii="Times New Roman" w:hAnsi="Times New Roman" w:cs="Times New Roman"/>
          <w:sz w:val="24"/>
        </w:rPr>
      </w:pPr>
      <w:r w:rsidRPr="00E37E07">
        <w:rPr>
          <w:rFonts w:ascii="Times New Roman" w:hAnsi="Times New Roman" w:cs="Times New Roman"/>
          <w:sz w:val="24"/>
        </w:rPr>
        <w:t>(c)</w:t>
      </w:r>
      <w:r w:rsidRPr="00E37E07">
        <w:rPr>
          <w:rFonts w:ascii="Times New Roman" w:hAnsi="Times New Roman" w:cs="Times New Roman"/>
          <w:sz w:val="24"/>
        </w:rPr>
        <w:tab/>
      </w:r>
      <w:r w:rsidRPr="00E37E07">
        <w:rPr>
          <w:rFonts w:ascii="Times New Roman" w:hAnsi="Times New Roman"/>
          <w:sz w:val="24"/>
        </w:rPr>
        <w:t>obrazac I 03.00 sadržava informac</w:t>
      </w:r>
      <w:r w:rsidRPr="00E37E07">
        <w:rPr>
          <w:rFonts w:ascii="Times New Roman" w:hAnsi="Times New Roman"/>
          <w:sz w:val="24"/>
        </w:rPr>
        <w:t>ije o izračunu zahtjeva za fiksne opće troškove;</w:t>
      </w:r>
    </w:p>
    <w:p w14:paraId="2DCE3A5B" w14:textId="77777777" w:rsidR="006C0DAA" w:rsidRPr="00E37E07" w:rsidRDefault="00E37E07">
      <w:pPr>
        <w:spacing w:line="256" w:lineRule="auto"/>
        <w:ind w:left="1728" w:hanging="648"/>
        <w:jc w:val="both"/>
        <w:rPr>
          <w:rFonts w:ascii="Times New Roman" w:hAnsi="Times New Roman" w:cs="Times New Roman"/>
          <w:sz w:val="24"/>
        </w:rPr>
      </w:pPr>
      <w:r w:rsidRPr="00E37E07">
        <w:rPr>
          <w:rFonts w:ascii="Times New Roman" w:hAnsi="Times New Roman" w:cs="Times New Roman"/>
          <w:sz w:val="24"/>
        </w:rPr>
        <w:t>(d)</w:t>
      </w:r>
      <w:r w:rsidRPr="00E37E07">
        <w:rPr>
          <w:rFonts w:ascii="Times New Roman" w:hAnsi="Times New Roman" w:cs="Times New Roman"/>
          <w:sz w:val="24"/>
        </w:rPr>
        <w:tab/>
      </w:r>
      <w:r w:rsidRPr="00E37E07">
        <w:rPr>
          <w:rFonts w:ascii="Times New Roman" w:hAnsi="Times New Roman"/>
          <w:sz w:val="24"/>
        </w:rPr>
        <w:t>obrazac I 04.00 sadržava zahtjeve za faktore K i iznos faktora.</w:t>
      </w:r>
    </w:p>
    <w:p w14:paraId="5BA19364" w14:textId="77777777" w:rsidR="006C0DAA" w:rsidRPr="00E37E07" w:rsidRDefault="00E37E07">
      <w:pPr>
        <w:spacing w:line="256" w:lineRule="auto"/>
        <w:ind w:left="993" w:hanging="567"/>
        <w:jc w:val="both"/>
        <w:rPr>
          <w:rFonts w:ascii="Times New Roman" w:hAnsi="Times New Roman" w:cs="Times New Roman"/>
          <w:sz w:val="24"/>
        </w:rPr>
      </w:pPr>
      <w:r w:rsidRPr="00E37E07">
        <w:rPr>
          <w:rFonts w:ascii="Times New Roman" w:hAnsi="Times New Roman" w:cs="Times New Roman"/>
          <w:sz w:val="24"/>
        </w:rPr>
        <w:lastRenderedPageBreak/>
        <w:t>11.</w:t>
      </w:r>
      <w:r w:rsidRPr="00E37E07">
        <w:rPr>
          <w:rFonts w:ascii="Times New Roman" w:hAnsi="Times New Roman" w:cs="Times New Roman"/>
          <w:sz w:val="24"/>
        </w:rPr>
        <w:tab/>
      </w:r>
      <w:r w:rsidRPr="00E37E07">
        <w:rPr>
          <w:rFonts w:ascii="Times New Roman" w:hAnsi="Times New Roman"/>
          <w:sz w:val="24"/>
        </w:rPr>
        <w:t xml:space="preserve">Za stavke u ovim obrascima nisu u obzir uzeta prijelazna usklađenja. To znači da se vrijednosti (osim ako je posebno naveden </w:t>
      </w:r>
      <w:r w:rsidRPr="00E37E07">
        <w:rPr>
          <w:rFonts w:ascii="Times New Roman" w:hAnsi="Times New Roman"/>
          <w:sz w:val="24"/>
        </w:rPr>
        <w:t>prijelazni kapitalni zahtjev) izračunavaju u skladu sa završnim odredbama (tj. kao da nema prijelaznih odredbi).</w:t>
      </w:r>
    </w:p>
    <w:p w14:paraId="60A05777" w14:textId="77777777" w:rsidR="006C0DAA" w:rsidRPr="00E37E07" w:rsidRDefault="00E37E07">
      <w:pPr>
        <w:pStyle w:val="Instructionsberschrift2"/>
        <w:ind w:left="357" w:hanging="357"/>
        <w:rPr>
          <w:rFonts w:ascii="Times New Roman" w:hAnsi="Times New Roman" w:cs="Times New Roman"/>
          <w:sz w:val="24"/>
        </w:rPr>
      </w:pPr>
      <w:bookmarkStart w:id="26" w:name="_Toc35795014"/>
      <w:bookmarkStart w:id="27" w:name="_Toc88218386"/>
      <w:r w:rsidRPr="00E37E07">
        <w:rPr>
          <w:rFonts w:ascii="Times New Roman" w:hAnsi="Times New Roman"/>
          <w:sz w:val="24"/>
        </w:rPr>
        <w:t>1.2. I 01.00 – SASTAV REGULATORNOG KAPITALA (I 1)</w:t>
      </w:r>
      <w:bookmarkEnd w:id="26"/>
      <w:bookmarkEnd w:id="27"/>
    </w:p>
    <w:p w14:paraId="02485EE7" w14:textId="77777777" w:rsidR="006C0DAA" w:rsidRPr="00E37E07" w:rsidRDefault="00E37E0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8" w:name="_Toc88218387"/>
      <w:r w:rsidRPr="00E37E07">
        <w:rPr>
          <w:rFonts w:ascii="Times New Roman" w:hAnsi="Times New Roman"/>
          <w:sz w:val="24"/>
          <w:szCs w:val="24"/>
        </w:rPr>
        <w:t>1.2.1</w:t>
      </w:r>
      <w:r w:rsidRPr="00E37E07">
        <w:rPr>
          <w:rFonts w:ascii="Times New Roman" w:hAnsi="Times New Roman"/>
          <w:sz w:val="24"/>
          <w:szCs w:val="24"/>
        </w:rPr>
        <w:tab/>
      </w:r>
      <w:r w:rsidRPr="00E37E07">
        <w:rPr>
          <w:rFonts w:ascii="Times New Roman" w:hAnsi="Times New Roman"/>
          <w:sz w:val="24"/>
          <w:szCs w:val="24"/>
          <w:u w:val="single"/>
        </w:rPr>
        <w:t>Upute za specifične pozicije</w:t>
      </w:r>
      <w:bookmarkEnd w:id="2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C0DAA" w:rsidRPr="00E37E07" w14:paraId="5529ED53" w14:textId="77777777">
        <w:tc>
          <w:tcPr>
            <w:tcW w:w="1129" w:type="dxa"/>
            <w:shd w:val="clear" w:color="auto" w:fill="D9D9D9"/>
          </w:tcPr>
          <w:p w14:paraId="2D6D8243"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Redak</w:t>
            </w:r>
          </w:p>
        </w:tc>
        <w:tc>
          <w:tcPr>
            <w:tcW w:w="7620" w:type="dxa"/>
            <w:shd w:val="clear" w:color="auto" w:fill="D9D9D9"/>
          </w:tcPr>
          <w:p w14:paraId="5D2AFC9D"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Pravna osnova i upute</w:t>
            </w:r>
          </w:p>
        </w:tc>
      </w:tr>
      <w:tr w:rsidR="006C0DAA" w:rsidRPr="00E37E07" w14:paraId="11C651D2" w14:textId="77777777">
        <w:tc>
          <w:tcPr>
            <w:tcW w:w="1129" w:type="dxa"/>
          </w:tcPr>
          <w:p w14:paraId="44825E45"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0010</w:t>
            </w:r>
          </w:p>
        </w:tc>
        <w:tc>
          <w:tcPr>
            <w:tcW w:w="7620" w:type="dxa"/>
          </w:tcPr>
          <w:p w14:paraId="58676417"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xml:space="preserve">REGULATORNI </w:t>
            </w:r>
            <w:r w:rsidRPr="00E37E07">
              <w:rPr>
                <w:rFonts w:ascii="Times New Roman" w:hAnsi="Times New Roman"/>
                <w:b/>
                <w:bCs/>
                <w:u w:val="single"/>
              </w:rPr>
              <w:t>KAPITAL</w:t>
            </w:r>
          </w:p>
          <w:p w14:paraId="1177BD3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9. stavak 1. Uredbe (EU) 2019/2033</w:t>
            </w:r>
          </w:p>
          <w:p w14:paraId="39A1DDCA"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Style w:val="FormatvorlageInstructionsTabelleText"/>
                <w:rFonts w:ascii="Times New Roman" w:hAnsi="Times New Roman"/>
                <w:sz w:val="22"/>
              </w:rPr>
              <w:t>Regulatorni kapital investicijskog društva sastoji se od zbroja njegova osnovnog kapitala i dopunskog kapitala.</w:t>
            </w:r>
          </w:p>
        </w:tc>
      </w:tr>
      <w:tr w:rsidR="006C0DAA" w:rsidRPr="00E37E07" w14:paraId="3502D74A" w14:textId="77777777">
        <w:tc>
          <w:tcPr>
            <w:tcW w:w="1129" w:type="dxa"/>
          </w:tcPr>
          <w:p w14:paraId="003DAB0D"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0020</w:t>
            </w:r>
          </w:p>
        </w:tc>
        <w:tc>
          <w:tcPr>
            <w:tcW w:w="7620" w:type="dxa"/>
          </w:tcPr>
          <w:p w14:paraId="58D7C951"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OSNOVNI KAPITAL</w:t>
            </w:r>
          </w:p>
          <w:p w14:paraId="69532016"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Style w:val="FormatvorlageInstructionsTabelleText"/>
                <w:rFonts w:ascii="Times New Roman" w:hAnsi="Times New Roman"/>
                <w:sz w:val="22"/>
              </w:rPr>
              <w:t xml:space="preserve">Osnovni kapital zbroj je redovnog osnovnog kapitala i dodatnog </w:t>
            </w:r>
            <w:r w:rsidRPr="00E37E07">
              <w:rPr>
                <w:rStyle w:val="FormatvorlageInstructionsTabelleText"/>
                <w:rFonts w:ascii="Times New Roman" w:hAnsi="Times New Roman"/>
                <w:sz w:val="22"/>
              </w:rPr>
              <w:t>osnovnog kapitala.</w:t>
            </w:r>
          </w:p>
        </w:tc>
      </w:tr>
      <w:tr w:rsidR="006C0DAA" w:rsidRPr="00E37E07" w14:paraId="6B0E6C65" w14:textId="77777777">
        <w:tc>
          <w:tcPr>
            <w:tcW w:w="1129" w:type="dxa"/>
          </w:tcPr>
          <w:p w14:paraId="490A0FEB"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0030</w:t>
            </w:r>
          </w:p>
        </w:tc>
        <w:tc>
          <w:tcPr>
            <w:tcW w:w="7620" w:type="dxa"/>
          </w:tcPr>
          <w:p w14:paraId="221182A4"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Style w:val="InstructionsTabelleberschrift"/>
                <w:rFonts w:ascii="Times New Roman" w:hAnsi="Times New Roman"/>
                <w:sz w:val="22"/>
              </w:rPr>
              <w:t>REDOVNI OSNOVNI KAPITAL</w:t>
            </w:r>
          </w:p>
          <w:p w14:paraId="14CD800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9. stavak 1. Uredbe (EU) 2019/2033</w:t>
            </w:r>
          </w:p>
          <w:p w14:paraId="2AB48992" w14:textId="77777777" w:rsidR="006C0DAA" w:rsidRPr="00E37E07" w:rsidRDefault="00E37E07">
            <w:pPr>
              <w:spacing w:after="120" w:line="240" w:lineRule="auto"/>
              <w:jc w:val="both"/>
            </w:pPr>
            <w:r w:rsidRPr="00E37E07">
              <w:rPr>
                <w:rStyle w:val="FormatvorlageInstructionsTabelleText"/>
                <w:rFonts w:ascii="Times New Roman" w:hAnsi="Times New Roman"/>
                <w:sz w:val="22"/>
              </w:rPr>
              <w:t>Članak 50. Uredbe (EU) br. 575/2013</w:t>
            </w:r>
          </w:p>
        </w:tc>
      </w:tr>
      <w:tr w:rsidR="006C0DAA" w:rsidRPr="00E37E07" w14:paraId="6D8A9E19" w14:textId="77777777">
        <w:tc>
          <w:tcPr>
            <w:tcW w:w="1129" w:type="dxa"/>
          </w:tcPr>
          <w:p w14:paraId="23614E09"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0040</w:t>
            </w:r>
          </w:p>
        </w:tc>
        <w:tc>
          <w:tcPr>
            <w:tcW w:w="7620" w:type="dxa"/>
          </w:tcPr>
          <w:p w14:paraId="66FB861C"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U potpunosti plaćeni instrumenti kapitala</w:t>
            </w:r>
          </w:p>
          <w:p w14:paraId="5A54CE04"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9. stavak 1. točka</w:t>
            </w:r>
            <w:r w:rsidRPr="00E37E07">
              <w:rPr>
                <w:rFonts w:ascii="Times New Roman" w:hAnsi="Times New Roman"/>
                <w:bCs/>
              </w:rPr>
              <w:t xml:space="preserve"> i.</w:t>
            </w:r>
            <w:r w:rsidRPr="00E37E07">
              <w:rPr>
                <w:rFonts w:ascii="Times New Roman" w:hAnsi="Times New Roman"/>
                <w:bCs/>
              </w:rPr>
              <w:t xml:space="preserve"> Uredbe (EU) 2019/2033</w:t>
            </w:r>
          </w:p>
          <w:p w14:paraId="0270543C" w14:textId="77777777" w:rsidR="006C0DAA" w:rsidRPr="00E37E07" w:rsidRDefault="00E37E07">
            <w:pPr>
              <w:pStyle w:val="InstructionsText"/>
              <w:rPr>
                <w:rStyle w:val="FormatvorlageInstructionsTabelleText"/>
                <w:rFonts w:ascii="Times New Roman" w:hAnsi="Times New Roman"/>
                <w:sz w:val="22"/>
                <w:szCs w:val="22"/>
              </w:rPr>
            </w:pPr>
            <w:r w:rsidRPr="00E37E07">
              <w:t xml:space="preserve">Članak 26. stavak 1. </w:t>
            </w:r>
            <w:r w:rsidRPr="00E37E07">
              <w:t>točka (a) i članci od 27. do 31. Uredbe (EU) br. 575/2013</w:t>
            </w:r>
          </w:p>
          <w:p w14:paraId="2A5C410A" w14:textId="77777777" w:rsidR="006C0DAA" w:rsidRPr="00E37E07" w:rsidRDefault="00E37E07">
            <w:pPr>
              <w:pStyle w:val="InstructionsText"/>
              <w:rPr>
                <w:rStyle w:val="FormatvorlageInstructionsTabelleText"/>
                <w:rFonts w:ascii="Times New Roman" w:hAnsi="Times New Roman"/>
                <w:sz w:val="22"/>
                <w:szCs w:val="22"/>
              </w:rPr>
            </w:pPr>
            <w:r w:rsidRPr="00E37E07">
              <w:rPr>
                <w:rStyle w:val="FormatvorlageInstructionsTabelleText"/>
                <w:rFonts w:ascii="Times New Roman" w:hAnsi="Times New Roman"/>
                <w:sz w:val="22"/>
                <w:szCs w:val="22"/>
              </w:rPr>
              <w:t>Uključuju se instrumenti kapitala uzajamnih institucija, zadruga ili sličnih institucija (članci 27. i 29. Uredbe (EU) br. 575/2013).</w:t>
            </w:r>
          </w:p>
          <w:p w14:paraId="3037DBCD" w14:textId="77777777" w:rsidR="006C0DAA" w:rsidRPr="00E37E07" w:rsidRDefault="00E37E07">
            <w:pPr>
              <w:pStyle w:val="InstructionsText"/>
              <w:rPr>
                <w:rStyle w:val="FormatvorlageInstructionsTabelleText"/>
                <w:rFonts w:ascii="Times New Roman" w:hAnsi="Times New Roman"/>
                <w:sz w:val="22"/>
                <w:szCs w:val="22"/>
              </w:rPr>
            </w:pPr>
            <w:r w:rsidRPr="00E37E07">
              <w:rPr>
                <w:rStyle w:val="FormatvorlageInstructionsTabelleText"/>
                <w:rFonts w:ascii="Times New Roman" w:hAnsi="Times New Roman"/>
                <w:sz w:val="22"/>
                <w:szCs w:val="22"/>
              </w:rPr>
              <w:t>Ne uključuje se premija na dionice povezana s instrumentima.</w:t>
            </w:r>
          </w:p>
          <w:p w14:paraId="69F816AB" w14:textId="77777777" w:rsidR="006C0DAA" w:rsidRPr="00E37E07" w:rsidRDefault="00E37E07">
            <w:pPr>
              <w:pStyle w:val="InstructionsText"/>
            </w:pPr>
            <w:r w:rsidRPr="00E37E07">
              <w:rPr>
                <w:rStyle w:val="FormatvorlageInstructionsTabelleText"/>
                <w:rFonts w:ascii="Times New Roman" w:hAnsi="Times New Roman"/>
                <w:sz w:val="22"/>
                <w:szCs w:val="22"/>
              </w:rPr>
              <w:t>Ins</w:t>
            </w:r>
            <w:r w:rsidRPr="00E37E07">
              <w:rPr>
                <w:rStyle w:val="FormatvorlageInstructionsTabelleText"/>
                <w:rFonts w:ascii="Times New Roman" w:hAnsi="Times New Roman"/>
                <w:sz w:val="22"/>
                <w:szCs w:val="22"/>
              </w:rPr>
              <w:t>trumenti kapitala koje upisuju tijela javne vlasti u izvanrednim situacijama uključuju se ako su ispunjeni svi uvjeti iz članka 31. Uredbe (EU) br. 575/2013.</w:t>
            </w:r>
          </w:p>
        </w:tc>
      </w:tr>
      <w:tr w:rsidR="006C0DAA" w:rsidRPr="00E37E07" w14:paraId="7F82DAB8" w14:textId="77777777">
        <w:tc>
          <w:tcPr>
            <w:tcW w:w="1129" w:type="dxa"/>
          </w:tcPr>
          <w:p w14:paraId="79E00835"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0050</w:t>
            </w:r>
          </w:p>
        </w:tc>
        <w:tc>
          <w:tcPr>
            <w:tcW w:w="7620" w:type="dxa"/>
          </w:tcPr>
          <w:p w14:paraId="22A7E572"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Premija na dionice</w:t>
            </w:r>
          </w:p>
          <w:p w14:paraId="1E1A1A90"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9. stavak 1. točka</w:t>
            </w:r>
            <w:r w:rsidRPr="00E37E07">
              <w:rPr>
                <w:rFonts w:ascii="Times New Roman" w:hAnsi="Times New Roman"/>
                <w:bCs/>
              </w:rPr>
              <w:t xml:space="preserve"> i.</w:t>
            </w:r>
            <w:r w:rsidRPr="00E37E07">
              <w:rPr>
                <w:rFonts w:ascii="Times New Roman" w:hAnsi="Times New Roman"/>
                <w:bCs/>
              </w:rPr>
              <w:t xml:space="preserve"> Uredbe (EU) 2019/2033</w:t>
            </w:r>
          </w:p>
          <w:p w14:paraId="6A79B91D" w14:textId="77777777" w:rsidR="006C0DAA" w:rsidRPr="00E37E07" w:rsidRDefault="00E37E07">
            <w:pPr>
              <w:spacing w:after="120" w:line="240" w:lineRule="auto"/>
              <w:jc w:val="both"/>
              <w:rPr>
                <w:rStyle w:val="FormatvorlageInstructionsTabelleText"/>
                <w:rFonts w:ascii="Times New Roman" w:hAnsi="Times New Roman"/>
                <w:sz w:val="22"/>
              </w:rPr>
            </w:pPr>
            <w:r w:rsidRPr="00E37E07">
              <w:rPr>
                <w:rStyle w:val="FormatvorlageInstructionsTabelleText"/>
                <w:rFonts w:ascii="Times New Roman" w:hAnsi="Times New Roman"/>
                <w:sz w:val="22"/>
              </w:rPr>
              <w:t xml:space="preserve">Članak 26. </w:t>
            </w:r>
            <w:r w:rsidRPr="00E37E07">
              <w:rPr>
                <w:rStyle w:val="FormatvorlageInstructionsTabelleText"/>
                <w:rFonts w:ascii="Times New Roman" w:hAnsi="Times New Roman"/>
                <w:sz w:val="22"/>
              </w:rPr>
              <w:t>stavak 1. točka (b) Uredbe (EU) br. 575/2013</w:t>
            </w:r>
          </w:p>
          <w:p w14:paraId="5ABF6D38" w14:textId="77777777" w:rsidR="006C0DAA" w:rsidRPr="00E37E07" w:rsidRDefault="00E37E07">
            <w:pPr>
              <w:pStyle w:val="InstructionsText"/>
              <w:rPr>
                <w:rStyle w:val="FormatvorlageInstructionsTabelleText"/>
                <w:rFonts w:ascii="Times New Roman" w:hAnsi="Times New Roman"/>
                <w:sz w:val="22"/>
                <w:szCs w:val="22"/>
              </w:rPr>
            </w:pPr>
            <w:r w:rsidRPr="00E37E07">
              <w:rPr>
                <w:rStyle w:val="FormatvorlageInstructionsTabelleText"/>
                <w:rFonts w:ascii="Times New Roman" w:hAnsi="Times New Roman"/>
                <w:sz w:val="22"/>
                <w:szCs w:val="22"/>
              </w:rPr>
              <w:t>Premija na dionice ima isto značenje kao i u primjenjivom računovodstvenom standardu.</w:t>
            </w:r>
          </w:p>
          <w:p w14:paraId="7CCDD575"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Style w:val="FormatvorlageInstructionsTabelleText"/>
                <w:rFonts w:ascii="Times New Roman" w:hAnsi="Times New Roman"/>
                <w:sz w:val="22"/>
              </w:rPr>
              <w:t>Iznos koji se iskazuje u ovoj stavci dio je koji se odnosi na „plaćene instrumente kapitala”.</w:t>
            </w:r>
          </w:p>
        </w:tc>
      </w:tr>
      <w:tr w:rsidR="006C0DAA" w:rsidRPr="00E37E07" w14:paraId="2C881EB2" w14:textId="77777777">
        <w:tc>
          <w:tcPr>
            <w:tcW w:w="1129" w:type="dxa"/>
          </w:tcPr>
          <w:p w14:paraId="5A0DB05D"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0060</w:t>
            </w:r>
          </w:p>
        </w:tc>
        <w:tc>
          <w:tcPr>
            <w:tcW w:w="7620" w:type="dxa"/>
          </w:tcPr>
          <w:p w14:paraId="5A33D2CC"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Zadržana dobit</w:t>
            </w:r>
          </w:p>
          <w:p w14:paraId="112AD559"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Članak 9. </w:t>
            </w:r>
            <w:r w:rsidRPr="00E37E07">
              <w:rPr>
                <w:rFonts w:ascii="Times New Roman" w:hAnsi="Times New Roman"/>
                <w:bCs/>
              </w:rPr>
              <w:t>stavak 1. točka</w:t>
            </w:r>
            <w:r w:rsidRPr="00E37E07">
              <w:rPr>
                <w:rFonts w:ascii="Times New Roman" w:hAnsi="Times New Roman"/>
                <w:bCs/>
              </w:rPr>
              <w:t xml:space="preserve"> i.</w:t>
            </w:r>
            <w:r w:rsidRPr="00E37E07">
              <w:rPr>
                <w:rFonts w:ascii="Times New Roman" w:hAnsi="Times New Roman"/>
                <w:bCs/>
              </w:rPr>
              <w:t xml:space="preserve"> Uredbe (EU) 2019/2033</w:t>
            </w:r>
          </w:p>
          <w:p w14:paraId="334766C3"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Članak 26. stavak 1. točka (c) Uredbe (EU) br. 575/2013</w:t>
            </w:r>
          </w:p>
          <w:p w14:paraId="553E1FDB" w14:textId="77777777" w:rsidR="006C0DAA" w:rsidRPr="00E37E07" w:rsidRDefault="00E37E07">
            <w:pPr>
              <w:spacing w:after="120" w:line="240" w:lineRule="auto"/>
              <w:jc w:val="both"/>
              <w:rPr>
                <w:rStyle w:val="FormatvorlageInstructionsTabelleText"/>
                <w:rFonts w:ascii="Times New Roman" w:hAnsi="Times New Roman"/>
                <w:sz w:val="22"/>
              </w:rPr>
            </w:pPr>
            <w:r w:rsidRPr="00E37E07">
              <w:rPr>
                <w:rStyle w:val="FormatvorlageInstructionsTabelleText"/>
                <w:rFonts w:ascii="Times New Roman" w:hAnsi="Times New Roman"/>
                <w:sz w:val="22"/>
              </w:rPr>
              <w:t>Zadržana dobit uključuje zadržanu dobit prethodne godine uvećanu za priznatu dobit tekuće godine ostvarenu tijekom poslovne godine ili dobit tekuće godine ostv</w:t>
            </w:r>
            <w:r w:rsidRPr="00E37E07">
              <w:rPr>
                <w:rStyle w:val="FormatvorlageInstructionsTabelleText"/>
                <w:rFonts w:ascii="Times New Roman" w:hAnsi="Times New Roman"/>
                <w:sz w:val="22"/>
              </w:rPr>
              <w:t>arenu na kraju poslovne godine.</w:t>
            </w:r>
          </w:p>
          <w:p w14:paraId="4B58E64E"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Iskazuje se ukupni zbroj redaka 0070 i 0080.</w:t>
            </w:r>
          </w:p>
        </w:tc>
      </w:tr>
      <w:tr w:rsidR="006C0DAA" w:rsidRPr="00E37E07" w14:paraId="7F721F86" w14:textId="77777777">
        <w:tc>
          <w:tcPr>
            <w:tcW w:w="1129" w:type="dxa"/>
          </w:tcPr>
          <w:p w14:paraId="7D0E5CC4"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0070</w:t>
            </w:r>
          </w:p>
        </w:tc>
        <w:tc>
          <w:tcPr>
            <w:tcW w:w="7620" w:type="dxa"/>
          </w:tcPr>
          <w:p w14:paraId="2B09BDB2"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Zadržana dobit iz proteklih godina</w:t>
            </w:r>
          </w:p>
          <w:p w14:paraId="2FBF1E1F" w14:textId="77777777" w:rsidR="006C0DAA" w:rsidRPr="00E37E07" w:rsidRDefault="00E37E07">
            <w:pPr>
              <w:spacing w:after="120" w:line="240" w:lineRule="auto"/>
              <w:jc w:val="both"/>
              <w:rPr>
                <w:rFonts w:ascii="Times New Roman" w:eastAsia="Times New Roman" w:hAnsi="Times New Roman"/>
              </w:rPr>
            </w:pPr>
            <w:r w:rsidRPr="00E37E07">
              <w:rPr>
                <w:rFonts w:ascii="Times New Roman" w:hAnsi="Times New Roman"/>
              </w:rPr>
              <w:t>Članak 4. stavak 1. točka 123. i članak 26. stavak 1. točka (c) Uredbe (EU) br. 575/2013</w:t>
            </w:r>
          </w:p>
          <w:p w14:paraId="51F3578A"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Style w:val="FormatvorlageInstructionsTabelleText"/>
                <w:rFonts w:ascii="Times New Roman" w:hAnsi="Times New Roman"/>
                <w:sz w:val="22"/>
              </w:rPr>
              <w:lastRenderedPageBreak/>
              <w:t>Člankom 4. stavkom 1. točkom 123. Uredbe (EU) br.</w:t>
            </w:r>
            <w:r w:rsidRPr="00E37E07">
              <w:rPr>
                <w:rStyle w:val="FormatvorlageInstructionsTabelleText"/>
                <w:rFonts w:ascii="Times New Roman" w:hAnsi="Times New Roman"/>
                <w:sz w:val="22"/>
              </w:rPr>
              <w:t> 575/2013 zadržana dobit definirana je kao „prenesena dobit i gubitak koji proizlaze iz dobiti ili gubitka proteklih godina, u skladu s primjenjivim računovodstvenim okvirom”.</w:t>
            </w:r>
          </w:p>
        </w:tc>
      </w:tr>
      <w:tr w:rsidR="006C0DAA" w:rsidRPr="00E37E07" w14:paraId="27932BD4" w14:textId="77777777">
        <w:tc>
          <w:tcPr>
            <w:tcW w:w="1129" w:type="dxa"/>
          </w:tcPr>
          <w:p w14:paraId="58304214"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lastRenderedPageBreak/>
              <w:t>0080</w:t>
            </w:r>
          </w:p>
        </w:tc>
        <w:tc>
          <w:tcPr>
            <w:tcW w:w="7620" w:type="dxa"/>
          </w:tcPr>
          <w:p w14:paraId="4E63D068"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Prihvatljiva dobit</w:t>
            </w:r>
          </w:p>
          <w:p w14:paraId="663F0922" w14:textId="77777777" w:rsidR="006C0DAA" w:rsidRPr="00E37E07" w:rsidRDefault="00E37E07">
            <w:pPr>
              <w:spacing w:after="120" w:line="240" w:lineRule="auto"/>
              <w:jc w:val="both"/>
              <w:rPr>
                <w:rFonts w:ascii="Times New Roman" w:eastAsia="Times New Roman" w:hAnsi="Times New Roman"/>
              </w:rPr>
            </w:pPr>
            <w:r w:rsidRPr="00E37E07">
              <w:rPr>
                <w:rFonts w:ascii="Times New Roman" w:hAnsi="Times New Roman"/>
              </w:rPr>
              <w:t xml:space="preserve">Članak 4. stavak 1. točka 121. i članak 26. </w:t>
            </w:r>
            <w:r w:rsidRPr="00E37E07">
              <w:rPr>
                <w:rFonts w:ascii="Times New Roman" w:hAnsi="Times New Roman"/>
              </w:rPr>
              <w:t>stavak 2. Uredbe (EU) br. 575/2013</w:t>
            </w:r>
          </w:p>
          <w:p w14:paraId="1B4E5803"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rPr>
              <w:t>Člankom 26. stavkom 2. Uredbe (EU) br. 575/2013 dopušteno je uz prethodno odobrenje nadležnih tijela uključiti dobit tekuće godine ostvarenu tijekom poslovne godine ili dobit tekuće godine ostvarenu na kraju poslovne godi</w:t>
            </w:r>
            <w:r w:rsidRPr="00E37E07">
              <w:rPr>
                <w:rFonts w:ascii="Times New Roman" w:hAnsi="Times New Roman"/>
              </w:rPr>
              <w:t xml:space="preserve">ne kao zadržanu dobit, ako su ispunjeni neki uvjeti. </w:t>
            </w:r>
          </w:p>
        </w:tc>
      </w:tr>
      <w:tr w:rsidR="006C0DAA" w:rsidRPr="00E37E07" w14:paraId="3143FFAF" w14:textId="77777777">
        <w:tc>
          <w:tcPr>
            <w:tcW w:w="1129" w:type="dxa"/>
          </w:tcPr>
          <w:p w14:paraId="54053B75"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0090</w:t>
            </w:r>
          </w:p>
        </w:tc>
        <w:tc>
          <w:tcPr>
            <w:tcW w:w="7620" w:type="dxa"/>
          </w:tcPr>
          <w:p w14:paraId="67C6D05E"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Akumulirana ostala sveobuhvatna dobit</w:t>
            </w:r>
          </w:p>
          <w:p w14:paraId="5134905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9. stavak 1. točka</w:t>
            </w:r>
            <w:r w:rsidRPr="00E37E07">
              <w:rPr>
                <w:rFonts w:ascii="Times New Roman" w:hAnsi="Times New Roman"/>
                <w:bCs/>
              </w:rPr>
              <w:t xml:space="preserve"> i.</w:t>
            </w:r>
            <w:r w:rsidRPr="00E37E07">
              <w:rPr>
                <w:rFonts w:ascii="Times New Roman" w:hAnsi="Times New Roman"/>
                <w:bCs/>
              </w:rPr>
              <w:t xml:space="preserve"> Uredbe (EU) 2019/2033</w:t>
            </w:r>
          </w:p>
          <w:p w14:paraId="68918263" w14:textId="77777777" w:rsidR="006C0DAA" w:rsidRPr="00E37E07" w:rsidRDefault="00E37E07">
            <w:pPr>
              <w:spacing w:after="120" w:line="240" w:lineRule="auto"/>
              <w:jc w:val="both"/>
              <w:rPr>
                <w:rFonts w:ascii="Times New Roman" w:hAnsi="Times New Roman" w:cs="Times New Roman"/>
                <w:bCs/>
              </w:rPr>
            </w:pPr>
            <w:r w:rsidRPr="00E37E07">
              <w:rPr>
                <w:rStyle w:val="FormatvorlageInstructionsTabelleText"/>
                <w:rFonts w:ascii="Times New Roman" w:hAnsi="Times New Roman"/>
                <w:sz w:val="22"/>
              </w:rPr>
              <w:t>Članak 26. stavak 1. točka (d) Uredbe (EU) br. 575/2013</w:t>
            </w:r>
          </w:p>
        </w:tc>
      </w:tr>
      <w:tr w:rsidR="006C0DAA" w:rsidRPr="00E37E07" w14:paraId="2D204A56" w14:textId="77777777">
        <w:tc>
          <w:tcPr>
            <w:tcW w:w="1129" w:type="dxa"/>
          </w:tcPr>
          <w:p w14:paraId="18B4AFBF"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0100</w:t>
            </w:r>
          </w:p>
        </w:tc>
        <w:tc>
          <w:tcPr>
            <w:tcW w:w="7620" w:type="dxa"/>
          </w:tcPr>
          <w:p w14:paraId="66C6FDB0"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Ostale rezerve</w:t>
            </w:r>
          </w:p>
          <w:p w14:paraId="7AFF37D4"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9. stavak 1. točka</w:t>
            </w:r>
            <w:r w:rsidRPr="00E37E07">
              <w:rPr>
                <w:rFonts w:ascii="Times New Roman" w:hAnsi="Times New Roman"/>
                <w:bCs/>
              </w:rPr>
              <w:t xml:space="preserve"> i.</w:t>
            </w:r>
            <w:r w:rsidRPr="00E37E07">
              <w:rPr>
                <w:rFonts w:ascii="Times New Roman" w:hAnsi="Times New Roman"/>
                <w:bCs/>
              </w:rPr>
              <w:t xml:space="preserve"> U</w:t>
            </w:r>
            <w:r w:rsidRPr="00E37E07">
              <w:rPr>
                <w:rFonts w:ascii="Times New Roman" w:hAnsi="Times New Roman"/>
                <w:bCs/>
              </w:rPr>
              <w:t>redbe (EU) 2019/2033</w:t>
            </w:r>
          </w:p>
          <w:p w14:paraId="2C0DB9A0" w14:textId="77777777" w:rsidR="006C0DAA" w:rsidRPr="00E37E07" w:rsidRDefault="00E37E07">
            <w:pPr>
              <w:spacing w:after="120" w:line="240" w:lineRule="auto"/>
              <w:jc w:val="both"/>
              <w:rPr>
                <w:rStyle w:val="FormatvorlageInstructionsTabelleText"/>
                <w:rFonts w:ascii="Times New Roman" w:hAnsi="Times New Roman"/>
                <w:sz w:val="22"/>
              </w:rPr>
            </w:pPr>
            <w:r w:rsidRPr="00E37E07">
              <w:rPr>
                <w:rStyle w:val="FormatvorlageInstructionsTabelleText"/>
                <w:rFonts w:ascii="Times New Roman" w:hAnsi="Times New Roman"/>
                <w:sz w:val="22"/>
              </w:rPr>
              <w:t>Članak 4. stavak 1. točka 117. i članak 26. stavak 1. točka (e) Uredbe (EU) br. 575/2013</w:t>
            </w:r>
          </w:p>
          <w:p w14:paraId="25970179"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Style w:val="FormatvorlageInstructionsTabelleText"/>
                <w:rFonts w:ascii="Times New Roman" w:hAnsi="Times New Roman"/>
                <w:sz w:val="22"/>
              </w:rPr>
              <w:t>Iznos koji se iskazuje ne uključuje porezne troškove predvidive u trenutku izračuna.</w:t>
            </w:r>
          </w:p>
        </w:tc>
      </w:tr>
      <w:tr w:rsidR="006C0DAA" w:rsidRPr="00E37E07" w14:paraId="771388EB" w14:textId="77777777">
        <w:tc>
          <w:tcPr>
            <w:tcW w:w="1129" w:type="dxa"/>
          </w:tcPr>
          <w:p w14:paraId="4AD094BE"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0110</w:t>
            </w:r>
          </w:p>
        </w:tc>
        <w:tc>
          <w:tcPr>
            <w:tcW w:w="7620" w:type="dxa"/>
            <w:shd w:val="clear" w:color="auto" w:fill="auto"/>
          </w:tcPr>
          <w:p w14:paraId="3EE70C26"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Manjinski udjel priznat u redovnom osnovnom kapitalu</w:t>
            </w:r>
          </w:p>
          <w:p w14:paraId="40C9E073" w14:textId="77777777" w:rsidR="006C0DAA" w:rsidRPr="00E37E07" w:rsidRDefault="00E37E07">
            <w:pPr>
              <w:spacing w:after="120" w:line="240" w:lineRule="auto"/>
              <w:jc w:val="both"/>
              <w:rPr>
                <w:rStyle w:val="FormatvorlageInstructionsTabelleText"/>
                <w:rFonts w:ascii="Times New Roman" w:hAnsi="Times New Roman"/>
                <w:sz w:val="22"/>
              </w:rPr>
            </w:pPr>
            <w:r w:rsidRPr="00E37E07">
              <w:rPr>
                <w:rStyle w:val="FormatvorlageInstructionsTabelleText"/>
                <w:rFonts w:ascii="Times New Roman" w:hAnsi="Times New Roman"/>
                <w:sz w:val="22"/>
              </w:rPr>
              <w:t>Čl</w:t>
            </w:r>
            <w:r w:rsidRPr="00E37E07">
              <w:rPr>
                <w:rStyle w:val="FormatvorlageInstructionsTabelleText"/>
                <w:rFonts w:ascii="Times New Roman" w:hAnsi="Times New Roman"/>
                <w:sz w:val="22"/>
              </w:rPr>
              <w:t>anak 84. stavak 1., članak 85. stavak 1. i članak 87. stavak 1. Uredbe (EU) br. 575/2013</w:t>
            </w:r>
          </w:p>
          <w:p w14:paraId="1BB48308"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Style w:val="FormatvorlageInstructionsTabelleText"/>
                <w:rFonts w:ascii="Times New Roman" w:hAnsi="Times New Roman"/>
                <w:sz w:val="22"/>
              </w:rPr>
              <w:t>Zbroj svih iznosa manjinskih udjela društava kćeri koji je uključen u konsolidirani redovni osnovni kapital.</w:t>
            </w:r>
          </w:p>
        </w:tc>
      </w:tr>
      <w:tr w:rsidR="006C0DAA" w:rsidRPr="00E37E07" w14:paraId="129B4053" w14:textId="77777777">
        <w:tc>
          <w:tcPr>
            <w:tcW w:w="1129" w:type="dxa"/>
          </w:tcPr>
          <w:p w14:paraId="4378965B"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0120</w:t>
            </w:r>
          </w:p>
        </w:tc>
        <w:tc>
          <w:tcPr>
            <w:tcW w:w="7620" w:type="dxa"/>
            <w:shd w:val="clear" w:color="auto" w:fill="auto"/>
          </w:tcPr>
          <w:p w14:paraId="042D0BFC"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xml:space="preserve">Usklađenja redovnog osnovnog kapitala zbog </w:t>
            </w:r>
            <w:r w:rsidRPr="00E37E07">
              <w:rPr>
                <w:rFonts w:ascii="Times New Roman" w:hAnsi="Times New Roman"/>
                <w:b/>
                <w:bCs/>
                <w:u w:val="single"/>
              </w:rPr>
              <w:t>bonitetnih filtara</w:t>
            </w:r>
          </w:p>
          <w:p w14:paraId="4F317DBD" w14:textId="77777777" w:rsidR="006C0DAA" w:rsidRPr="00E37E07" w:rsidRDefault="00E37E07">
            <w:pPr>
              <w:spacing w:after="120" w:line="240" w:lineRule="auto"/>
              <w:jc w:val="both"/>
              <w:rPr>
                <w:rStyle w:val="FormatvorlageInstructionsTabelleText"/>
                <w:rFonts w:ascii="Times New Roman" w:hAnsi="Times New Roman"/>
                <w:sz w:val="22"/>
              </w:rPr>
            </w:pPr>
            <w:r w:rsidRPr="00E37E07">
              <w:rPr>
                <w:rStyle w:val="FormatvorlageInstructionsTabelleText"/>
                <w:rFonts w:ascii="Times New Roman" w:hAnsi="Times New Roman"/>
                <w:sz w:val="22"/>
              </w:rPr>
              <w:t>Članak 9. stavak 1. točka</w:t>
            </w:r>
            <w:r w:rsidRPr="00E37E07">
              <w:rPr>
                <w:rStyle w:val="FormatvorlageInstructionsTabelleText"/>
                <w:rFonts w:ascii="Times New Roman" w:hAnsi="Times New Roman"/>
                <w:sz w:val="22"/>
              </w:rPr>
              <w:t xml:space="preserve"> i.</w:t>
            </w:r>
            <w:r w:rsidRPr="00E37E07">
              <w:rPr>
                <w:rStyle w:val="FormatvorlageInstructionsTabelleText"/>
                <w:rFonts w:ascii="Times New Roman" w:hAnsi="Times New Roman"/>
                <w:sz w:val="22"/>
              </w:rPr>
              <w:t xml:space="preserve"> Uredbe (EU) 2019/2033</w:t>
            </w:r>
          </w:p>
          <w:p w14:paraId="38B1A888"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Style w:val="FormatvorlageInstructionsTabelleText"/>
                <w:rFonts w:ascii="Times New Roman" w:hAnsi="Times New Roman"/>
                <w:sz w:val="22"/>
              </w:rPr>
              <w:t>Članci od 32. do 35. Uredbe (EU) br. 575/2013</w:t>
            </w:r>
          </w:p>
        </w:tc>
      </w:tr>
      <w:tr w:rsidR="006C0DAA" w:rsidRPr="00E37E07" w14:paraId="3603BEBE" w14:textId="77777777">
        <w:tc>
          <w:tcPr>
            <w:tcW w:w="1129" w:type="dxa"/>
          </w:tcPr>
          <w:p w14:paraId="68FF7E9A"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0130</w:t>
            </w:r>
          </w:p>
        </w:tc>
        <w:tc>
          <w:tcPr>
            <w:tcW w:w="7620" w:type="dxa"/>
          </w:tcPr>
          <w:p w14:paraId="2CA8BA9B"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Druga sredstva</w:t>
            </w:r>
          </w:p>
          <w:p w14:paraId="600B8BEC"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Članak 9. stavak 4. Uredbe (EU) 2019/2033</w:t>
            </w:r>
          </w:p>
        </w:tc>
      </w:tr>
      <w:tr w:rsidR="006C0DAA" w:rsidRPr="00E37E07" w14:paraId="6E2D34ED" w14:textId="77777777">
        <w:tc>
          <w:tcPr>
            <w:tcW w:w="1129" w:type="dxa"/>
          </w:tcPr>
          <w:p w14:paraId="48B948FA"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0140</w:t>
            </w:r>
          </w:p>
        </w:tc>
        <w:tc>
          <w:tcPr>
            <w:tcW w:w="7620" w:type="dxa"/>
          </w:tcPr>
          <w:p w14:paraId="07318361"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UKUPNI ODBICI OD REDOVNOG OSNOVNOG KAPITALA</w:t>
            </w:r>
          </w:p>
          <w:p w14:paraId="1189CA93"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Iskazuje se </w:t>
            </w:r>
            <w:r w:rsidRPr="00E37E07">
              <w:rPr>
                <w:rFonts w:ascii="Times New Roman" w:hAnsi="Times New Roman"/>
                <w:bCs/>
              </w:rPr>
              <w:t>ukupni zbroj retka 0150 i redaka od 0190 do 0280.</w:t>
            </w:r>
          </w:p>
        </w:tc>
      </w:tr>
      <w:tr w:rsidR="006C0DAA" w:rsidRPr="00E37E07" w14:paraId="04611813" w14:textId="77777777">
        <w:tc>
          <w:tcPr>
            <w:tcW w:w="1129" w:type="dxa"/>
          </w:tcPr>
          <w:p w14:paraId="57546BE5"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0150</w:t>
            </w:r>
          </w:p>
        </w:tc>
        <w:tc>
          <w:tcPr>
            <w:tcW w:w="7620" w:type="dxa"/>
            <w:shd w:val="clear" w:color="auto" w:fill="auto"/>
          </w:tcPr>
          <w:p w14:paraId="5CBC1D83"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Vlastiti instrumenti redovnog osnovnog kapitala</w:t>
            </w:r>
          </w:p>
          <w:p w14:paraId="37C504F4"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9. stavak 1. točka</w:t>
            </w:r>
            <w:r w:rsidRPr="00E37E07">
              <w:rPr>
                <w:rFonts w:ascii="Times New Roman" w:hAnsi="Times New Roman"/>
                <w:bCs/>
              </w:rPr>
              <w:t xml:space="preserve"> i.</w:t>
            </w:r>
            <w:r w:rsidRPr="00E37E07">
              <w:rPr>
                <w:rFonts w:ascii="Times New Roman" w:hAnsi="Times New Roman"/>
                <w:bCs/>
              </w:rPr>
              <w:t xml:space="preserve"> Uredbe (EU) 2019/2033</w:t>
            </w:r>
          </w:p>
          <w:p w14:paraId="1C5BE0BB" w14:textId="77777777" w:rsidR="006C0DAA" w:rsidRPr="00E37E07" w:rsidRDefault="00E37E07">
            <w:pPr>
              <w:pStyle w:val="InstructionsText"/>
              <w:rPr>
                <w:rStyle w:val="FormatvorlageInstructionsTabelleText"/>
                <w:rFonts w:ascii="Times New Roman" w:hAnsi="Times New Roman"/>
                <w:sz w:val="22"/>
                <w:szCs w:val="22"/>
              </w:rPr>
            </w:pPr>
            <w:r w:rsidRPr="00E37E07">
              <w:rPr>
                <w:rStyle w:val="FormatvorlageInstructionsTabelleText"/>
                <w:rFonts w:ascii="Times New Roman" w:hAnsi="Times New Roman"/>
                <w:sz w:val="22"/>
                <w:szCs w:val="22"/>
              </w:rPr>
              <w:t>Članak 36. stavak 1. točka (f) i članak 42. Uredbe (EU) br. 575/2013</w:t>
            </w:r>
          </w:p>
          <w:p w14:paraId="0BC9227B" w14:textId="77777777" w:rsidR="006C0DAA" w:rsidRPr="00E37E07" w:rsidRDefault="00E37E07">
            <w:pPr>
              <w:pStyle w:val="InstructionsText"/>
              <w:rPr>
                <w:rStyle w:val="FormatvorlageInstructionsTabelleText"/>
                <w:rFonts w:ascii="Times New Roman" w:hAnsi="Times New Roman"/>
                <w:sz w:val="22"/>
                <w:szCs w:val="22"/>
              </w:rPr>
            </w:pPr>
            <w:r w:rsidRPr="00E37E07">
              <w:rPr>
                <w:rStyle w:val="FormatvorlageInstructionsTabelleText"/>
                <w:rFonts w:ascii="Times New Roman" w:hAnsi="Times New Roman"/>
                <w:sz w:val="22"/>
                <w:szCs w:val="22"/>
              </w:rPr>
              <w:t>Vlastiti instrumenti redovno</w:t>
            </w:r>
            <w:r w:rsidRPr="00E37E07">
              <w:rPr>
                <w:rStyle w:val="FormatvorlageInstructionsTabelleText"/>
                <w:rFonts w:ascii="Times New Roman" w:hAnsi="Times New Roman"/>
                <w:sz w:val="22"/>
                <w:szCs w:val="22"/>
              </w:rPr>
              <w:t>g osnovnog kapitala koje drži institucija ili grupa koja izvješćuje na datum izvješćivanja. Podložno iznimkama iz članka 42. Uredbe (EU) br. 575/2013.</w:t>
            </w:r>
          </w:p>
          <w:p w14:paraId="3E3C732B" w14:textId="77777777" w:rsidR="006C0DAA" w:rsidRPr="00E37E07" w:rsidRDefault="00E37E07">
            <w:pPr>
              <w:pStyle w:val="InstructionsText"/>
              <w:rPr>
                <w:rStyle w:val="FormatvorlageInstructionsTabelleText"/>
                <w:rFonts w:ascii="Times New Roman" w:hAnsi="Times New Roman"/>
                <w:sz w:val="22"/>
                <w:szCs w:val="22"/>
              </w:rPr>
            </w:pPr>
            <w:r w:rsidRPr="00E37E07">
              <w:rPr>
                <w:rStyle w:val="FormatvorlageInstructionsTabelleText"/>
                <w:rFonts w:ascii="Times New Roman" w:hAnsi="Times New Roman"/>
                <w:sz w:val="22"/>
                <w:szCs w:val="22"/>
              </w:rPr>
              <w:t>U ovom se retku ne iskazuju ulaganja u dionice uključena kao „instrumenti kapitala koji se ne priznaju”.</w:t>
            </w:r>
          </w:p>
          <w:p w14:paraId="301B1216" w14:textId="77777777" w:rsidR="006C0DAA" w:rsidRPr="00E37E07" w:rsidRDefault="00E37E07">
            <w:pPr>
              <w:pStyle w:val="InstructionsText"/>
              <w:rPr>
                <w:rStyle w:val="FormatvorlageInstructionsTabelleText"/>
                <w:rFonts w:ascii="Times New Roman" w:hAnsi="Times New Roman"/>
                <w:sz w:val="22"/>
                <w:szCs w:val="22"/>
              </w:rPr>
            </w:pPr>
            <w:r w:rsidRPr="00E37E07">
              <w:rPr>
                <w:rStyle w:val="FormatvorlageInstructionsTabelleText"/>
                <w:rFonts w:ascii="Times New Roman" w:hAnsi="Times New Roman"/>
                <w:sz w:val="22"/>
                <w:szCs w:val="22"/>
              </w:rPr>
              <w:t>Iznos koji se iskazuje uključuje premiju na dionice povezanu s vlastitim dionicama.</w:t>
            </w:r>
          </w:p>
          <w:p w14:paraId="1991AB30" w14:textId="77777777" w:rsidR="006C0DAA" w:rsidRPr="00E37E07" w:rsidRDefault="006C0DAA">
            <w:pPr>
              <w:pStyle w:val="InstructionsText"/>
            </w:pPr>
          </w:p>
        </w:tc>
      </w:tr>
      <w:tr w:rsidR="006C0DAA" w:rsidRPr="00E37E07" w14:paraId="41DA73A5" w14:textId="77777777">
        <w:tc>
          <w:tcPr>
            <w:tcW w:w="1129" w:type="dxa"/>
          </w:tcPr>
          <w:p w14:paraId="1BE536E5"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0160</w:t>
            </w:r>
          </w:p>
        </w:tc>
        <w:tc>
          <w:tcPr>
            <w:tcW w:w="7620" w:type="dxa"/>
            <w:shd w:val="clear" w:color="auto" w:fill="auto"/>
          </w:tcPr>
          <w:p w14:paraId="4377A630"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Izravna ulaganja u instrumente redovnog osnovnog kapitala</w:t>
            </w:r>
          </w:p>
          <w:p w14:paraId="602F65B7"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9. stavak 1. točka</w:t>
            </w:r>
            <w:r w:rsidRPr="00E37E07">
              <w:rPr>
                <w:rFonts w:ascii="Times New Roman" w:hAnsi="Times New Roman"/>
                <w:bCs/>
              </w:rPr>
              <w:t xml:space="preserve"> i.</w:t>
            </w:r>
            <w:r w:rsidRPr="00E37E07">
              <w:rPr>
                <w:rFonts w:ascii="Times New Roman" w:hAnsi="Times New Roman"/>
                <w:bCs/>
              </w:rPr>
              <w:t xml:space="preserve"> Uredbe (EU) 2019/2033</w:t>
            </w:r>
          </w:p>
          <w:p w14:paraId="155DF500" w14:textId="77777777" w:rsidR="006C0DAA" w:rsidRPr="00E37E07" w:rsidRDefault="00E37E07">
            <w:pPr>
              <w:pStyle w:val="InstructionsText"/>
              <w:rPr>
                <w:rStyle w:val="FormatvorlageInstructionsTabelleText"/>
                <w:rFonts w:ascii="Times New Roman" w:eastAsiaTheme="minorHAnsi" w:hAnsi="Times New Roman"/>
                <w:bCs/>
                <w:sz w:val="22"/>
                <w:szCs w:val="22"/>
              </w:rPr>
            </w:pPr>
            <w:r w:rsidRPr="00E37E07">
              <w:rPr>
                <w:rStyle w:val="FormatvorlageInstructionsTabelleText"/>
                <w:rFonts w:ascii="Times New Roman" w:hAnsi="Times New Roman"/>
                <w:sz w:val="22"/>
                <w:szCs w:val="22"/>
              </w:rPr>
              <w:t xml:space="preserve">Članak 36. stavak 1. točka (f) i </w:t>
            </w:r>
            <w:r w:rsidRPr="00E37E07">
              <w:rPr>
                <w:rStyle w:val="FormatvorlageInstructionsTabelleText"/>
                <w:rFonts w:ascii="Times New Roman" w:hAnsi="Times New Roman"/>
                <w:sz w:val="22"/>
                <w:szCs w:val="22"/>
              </w:rPr>
              <w:t>članak 42. Uredbe (EU) br. 575/2013</w:t>
            </w:r>
          </w:p>
          <w:p w14:paraId="508CBA78" w14:textId="77777777" w:rsidR="006C0DAA" w:rsidRPr="00E37E07" w:rsidRDefault="00E37E07">
            <w:pPr>
              <w:pStyle w:val="InstructionsText"/>
              <w:rPr>
                <w:rFonts w:cs="Times New Roman"/>
                <w:b/>
                <w:bCs w:val="0"/>
                <w:u w:val="single"/>
              </w:rPr>
            </w:pPr>
            <w:r w:rsidRPr="00E37E07">
              <w:rPr>
                <w:rStyle w:val="FormatvorlageInstructionsTabelleText"/>
                <w:rFonts w:ascii="Times New Roman" w:hAnsi="Times New Roman"/>
                <w:bCs/>
                <w:sz w:val="22"/>
              </w:rPr>
              <w:lastRenderedPageBreak/>
              <w:t>Instrumenti redovnog osnovnog kapitala koje drži investicijsko društvo.</w:t>
            </w:r>
          </w:p>
        </w:tc>
      </w:tr>
      <w:tr w:rsidR="006C0DAA" w:rsidRPr="00E37E07" w14:paraId="1D12AB44" w14:textId="77777777">
        <w:tc>
          <w:tcPr>
            <w:tcW w:w="1129" w:type="dxa"/>
          </w:tcPr>
          <w:p w14:paraId="749369EA"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lastRenderedPageBreak/>
              <w:t>0170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6532234"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Neizravna ulaganja u instrumente redovnog osnovnog kapitala</w:t>
            </w:r>
          </w:p>
          <w:p w14:paraId="4E5409D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Članak 9. stavak 1. točka</w:t>
            </w:r>
            <w:r w:rsidRPr="00E37E07">
              <w:rPr>
                <w:rFonts w:ascii="Times New Roman" w:hAnsi="Times New Roman"/>
              </w:rPr>
              <w:t xml:space="preserve"> i.</w:t>
            </w:r>
            <w:r w:rsidRPr="00E37E07">
              <w:rPr>
                <w:rFonts w:ascii="Times New Roman" w:hAnsi="Times New Roman"/>
              </w:rPr>
              <w:t xml:space="preserve"> Uredbe (EU) 2019/2033</w:t>
            </w:r>
          </w:p>
          <w:p w14:paraId="09098A78" w14:textId="77777777" w:rsidR="006C0DAA" w:rsidRPr="00E37E07" w:rsidRDefault="00E37E07">
            <w:pPr>
              <w:spacing w:after="120" w:line="240" w:lineRule="auto"/>
              <w:jc w:val="both"/>
              <w:rPr>
                <w:rFonts w:ascii="Times New Roman" w:eastAsia="Times New Roman" w:hAnsi="Times New Roman"/>
              </w:rPr>
            </w:pPr>
            <w:r w:rsidRPr="00E37E07">
              <w:rPr>
                <w:rFonts w:ascii="Times New Roman" w:hAnsi="Times New Roman"/>
              </w:rPr>
              <w:t xml:space="preserve">Članak 36. </w:t>
            </w:r>
            <w:r w:rsidRPr="00E37E07">
              <w:rPr>
                <w:rFonts w:ascii="Times New Roman" w:hAnsi="Times New Roman"/>
              </w:rPr>
              <w:t>stavak 1. točka (f) i članak 42. Uredbe (EU) br. 575/2013</w:t>
            </w:r>
          </w:p>
          <w:p w14:paraId="4E11D484" w14:textId="77777777" w:rsidR="006C0DAA" w:rsidRPr="00E37E07" w:rsidRDefault="00E37E07">
            <w:pPr>
              <w:spacing w:after="120" w:line="240" w:lineRule="auto"/>
              <w:jc w:val="both"/>
              <w:rPr>
                <w:rFonts w:ascii="Times New Roman" w:eastAsia="Times New Roman" w:hAnsi="Times New Roman"/>
              </w:rPr>
            </w:pPr>
            <w:r w:rsidRPr="00E37E07">
              <w:rPr>
                <w:rFonts w:ascii="Times New Roman" w:hAnsi="Times New Roman"/>
              </w:rPr>
              <w:t>Instrumenti redovnog osnovnog kapitala koje drži investicijsko društvo.</w:t>
            </w:r>
          </w:p>
        </w:tc>
      </w:tr>
      <w:tr w:rsidR="006C0DAA" w:rsidRPr="00E37E07" w14:paraId="36106DE4" w14:textId="77777777">
        <w:tc>
          <w:tcPr>
            <w:tcW w:w="1129" w:type="dxa"/>
          </w:tcPr>
          <w:p w14:paraId="704104F9"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0180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968CA48"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Sintetska ulaganja u instrumente redovnog osnovnog kapitala</w:t>
            </w:r>
          </w:p>
          <w:p w14:paraId="1424EF85"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9. stavak 1. točka</w:t>
            </w:r>
            <w:r w:rsidRPr="00E37E07">
              <w:rPr>
                <w:rFonts w:ascii="Times New Roman" w:hAnsi="Times New Roman"/>
                <w:bCs/>
              </w:rPr>
              <w:t xml:space="preserve"> i.</w:t>
            </w:r>
            <w:r w:rsidRPr="00E37E07">
              <w:rPr>
                <w:rFonts w:ascii="Times New Roman" w:hAnsi="Times New Roman"/>
                <w:bCs/>
              </w:rPr>
              <w:t xml:space="preserve"> Uredbe (EU) 2019/2033</w:t>
            </w:r>
          </w:p>
          <w:p w14:paraId="6805801B"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Style w:val="FormatvorlageInstructionsTabelleText"/>
                <w:rFonts w:ascii="Times New Roman" w:hAnsi="Times New Roman"/>
                <w:sz w:val="22"/>
              </w:rPr>
              <w:t>Članak 4. stavak 1. točka 114., članak 36. stavak 1. točka (f) i članak 42. Uredbe (EU) br. 575/2013</w:t>
            </w:r>
          </w:p>
        </w:tc>
      </w:tr>
      <w:tr w:rsidR="006C0DAA" w:rsidRPr="00E37E07" w14:paraId="4D799FCF" w14:textId="77777777">
        <w:tc>
          <w:tcPr>
            <w:tcW w:w="1129" w:type="dxa"/>
          </w:tcPr>
          <w:p w14:paraId="2F5494C1"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ADB6A2E"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Gubici tekuće financijske godine</w:t>
            </w:r>
          </w:p>
          <w:p w14:paraId="2E855E26"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rPr>
              <w:t>Članak 36. stavak 1. točka (a) Uredbe (EU) br. 575/2013</w:t>
            </w:r>
          </w:p>
        </w:tc>
      </w:tr>
      <w:tr w:rsidR="006C0DAA" w:rsidRPr="00E37E07" w14:paraId="498E6307" w14:textId="77777777">
        <w:tc>
          <w:tcPr>
            <w:tcW w:w="1129" w:type="dxa"/>
          </w:tcPr>
          <w:p w14:paraId="4DF4B764"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02C6672"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xml:space="preserve">(–) </w:t>
            </w:r>
            <w:r w:rsidRPr="00E37E07">
              <w:rPr>
                <w:rFonts w:ascii="Times New Roman" w:hAnsi="Times New Roman"/>
                <w:b/>
                <w:bCs/>
                <w:i/>
                <w:iCs/>
                <w:u w:val="single"/>
              </w:rPr>
              <w:t>Goodwill</w:t>
            </w:r>
          </w:p>
          <w:p w14:paraId="02630B9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9. stavak 1. točka</w:t>
            </w:r>
            <w:r w:rsidRPr="00E37E07">
              <w:rPr>
                <w:rFonts w:ascii="Times New Roman" w:hAnsi="Times New Roman"/>
                <w:bCs/>
              </w:rPr>
              <w:t xml:space="preserve"> i.</w:t>
            </w:r>
            <w:r w:rsidRPr="00E37E07">
              <w:rPr>
                <w:rFonts w:ascii="Times New Roman" w:hAnsi="Times New Roman"/>
                <w:bCs/>
              </w:rPr>
              <w:t xml:space="preserve"> Uredbe (EU) 2019/2033</w:t>
            </w:r>
          </w:p>
          <w:p w14:paraId="2CBF7F96"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Style w:val="FormatvorlageInstructionsTabelleText"/>
                <w:rFonts w:ascii="Times New Roman" w:hAnsi="Times New Roman"/>
                <w:sz w:val="22"/>
              </w:rPr>
              <w:t>Članak 4. stavak 1. točka 113., članak 36. stavak 1. točka (b) i članak 37. Uredbe (EU) br. 575/2013</w:t>
            </w:r>
          </w:p>
        </w:tc>
      </w:tr>
      <w:tr w:rsidR="006C0DAA" w:rsidRPr="00E37E07" w14:paraId="61D1E23E" w14:textId="77777777">
        <w:tc>
          <w:tcPr>
            <w:tcW w:w="1129" w:type="dxa"/>
          </w:tcPr>
          <w:p w14:paraId="7679E399"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D1D5F8A"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Ostala nematerijalna imovina</w:t>
            </w:r>
          </w:p>
          <w:p w14:paraId="2AE70DD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Članak 9. stavak 1. točka</w:t>
            </w:r>
            <w:r w:rsidRPr="00E37E07">
              <w:rPr>
                <w:rFonts w:ascii="Times New Roman" w:hAnsi="Times New Roman"/>
              </w:rPr>
              <w:t xml:space="preserve"> i.</w:t>
            </w:r>
            <w:r w:rsidRPr="00E37E07">
              <w:rPr>
                <w:rFonts w:ascii="Times New Roman" w:hAnsi="Times New Roman"/>
              </w:rPr>
              <w:t xml:space="preserve"> Uredbe (EU) 2019/2033</w:t>
            </w:r>
          </w:p>
          <w:p w14:paraId="7D09FF36" w14:textId="77777777" w:rsidR="006C0DAA" w:rsidRPr="00E37E07" w:rsidRDefault="00E37E07">
            <w:pPr>
              <w:pStyle w:val="InstructionsText"/>
              <w:rPr>
                <w:rStyle w:val="FormatvorlageInstructionsTabelleText"/>
                <w:rFonts w:ascii="Times New Roman" w:eastAsiaTheme="minorHAnsi" w:hAnsi="Times New Roman"/>
                <w:bCs/>
                <w:sz w:val="22"/>
                <w:szCs w:val="22"/>
              </w:rPr>
            </w:pPr>
            <w:r w:rsidRPr="00E37E07">
              <w:rPr>
                <w:rStyle w:val="FormatvorlageInstructionsTabelleText"/>
                <w:rFonts w:ascii="Times New Roman" w:hAnsi="Times New Roman"/>
                <w:sz w:val="22"/>
                <w:szCs w:val="22"/>
              </w:rPr>
              <w:t>Članak 4. stavak 1. točka 115., članak 36. stavak 1. točka (b) i članak 37. točka (a) Uredbe (EU) br. 575/2013</w:t>
            </w:r>
          </w:p>
          <w:p w14:paraId="0390B73A"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Style w:val="FormatvorlageInstructionsTabelleText"/>
                <w:rFonts w:ascii="Times New Roman" w:hAnsi="Times New Roman"/>
                <w:sz w:val="22"/>
              </w:rPr>
              <w:t xml:space="preserve">Ostala nematerijalna imovina je nematerijalna imovina u skladu s primjenjivim računovodstvenim standardom, umanjena za </w:t>
            </w:r>
            <w:r w:rsidRPr="00E37E07">
              <w:rPr>
                <w:rStyle w:val="FormatvorlageInstructionsTabelleText"/>
                <w:rFonts w:ascii="Times New Roman" w:hAnsi="Times New Roman"/>
                <w:i/>
                <w:iCs/>
                <w:sz w:val="22"/>
              </w:rPr>
              <w:t>goo</w:t>
            </w:r>
            <w:r w:rsidRPr="00E37E07">
              <w:rPr>
                <w:rStyle w:val="FormatvorlageInstructionsTabelleText"/>
                <w:rFonts w:ascii="Times New Roman" w:hAnsi="Times New Roman"/>
                <w:i/>
                <w:iCs/>
                <w:sz w:val="22"/>
              </w:rPr>
              <w:t>dwill</w:t>
            </w:r>
            <w:r w:rsidRPr="00E37E07">
              <w:rPr>
                <w:rStyle w:val="FormatvorlageInstructionsTabelleText"/>
                <w:rFonts w:ascii="Times New Roman" w:hAnsi="Times New Roman"/>
                <w:sz w:val="22"/>
              </w:rPr>
              <w:t>, također u skladu s primjenjivim računovodstvenim standardom.</w:t>
            </w:r>
          </w:p>
        </w:tc>
      </w:tr>
      <w:tr w:rsidR="006C0DAA" w:rsidRPr="00E37E07" w14:paraId="385C2252" w14:textId="77777777">
        <w:tc>
          <w:tcPr>
            <w:tcW w:w="1129" w:type="dxa"/>
          </w:tcPr>
          <w:p w14:paraId="4BE14AE0"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D0251DD"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Odgođena porezna imovina koja ovisi o budućoj profitabilnosti i ne proizlazi iz privremenih razlika i ne uključuje povezane porezne obveze</w:t>
            </w:r>
          </w:p>
          <w:p w14:paraId="7D0B40A1"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Članak 9. stavak 2. točka (a) </w:t>
            </w:r>
            <w:r w:rsidRPr="00E37E07">
              <w:rPr>
                <w:rFonts w:ascii="Times New Roman" w:hAnsi="Times New Roman"/>
                <w:bCs/>
              </w:rPr>
              <w:t>Uredbe (EU) br. 2019/2033</w:t>
            </w:r>
          </w:p>
          <w:p w14:paraId="33BB6D48"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Članak 36. stavak 1. točka (c) Uredbe (EU) br. 575/2013</w:t>
            </w:r>
          </w:p>
        </w:tc>
      </w:tr>
      <w:tr w:rsidR="006C0DAA" w:rsidRPr="00E37E07" w14:paraId="0FE13486" w14:textId="77777777">
        <w:tc>
          <w:tcPr>
            <w:tcW w:w="1129" w:type="dxa"/>
          </w:tcPr>
          <w:p w14:paraId="419D8259"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29E7303"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Kvalificirani udjel izvan financijskog sektora koji premašuje 15 % regulatornog kapitala</w:t>
            </w:r>
          </w:p>
          <w:p w14:paraId="23AF1C66"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10. stavak 1. točka (a) Uredbe (EU) br. 2019/2033</w:t>
            </w:r>
          </w:p>
        </w:tc>
      </w:tr>
      <w:tr w:rsidR="006C0DAA" w:rsidRPr="00E37E07" w14:paraId="67FBB8C4" w14:textId="77777777">
        <w:tc>
          <w:tcPr>
            <w:tcW w:w="1129" w:type="dxa"/>
          </w:tcPr>
          <w:p w14:paraId="4DA8A663"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A03F629"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xml:space="preserve">(–) </w:t>
            </w:r>
            <w:r w:rsidRPr="00E37E07">
              <w:rPr>
                <w:rFonts w:ascii="Times New Roman" w:hAnsi="Times New Roman"/>
                <w:b/>
                <w:bCs/>
                <w:u w:val="single"/>
              </w:rPr>
              <w:t>Ukupni kvalificirani udjeli u društvu koje nije subjekt financijskog sektora koji prelaze 60 % regulatornog kapitala</w:t>
            </w:r>
          </w:p>
          <w:p w14:paraId="650766B2"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Članak 10. stavak 1. točka (b) Uredbe (EU) 2019/2033</w:t>
            </w:r>
          </w:p>
        </w:tc>
      </w:tr>
      <w:tr w:rsidR="006C0DAA" w:rsidRPr="00E37E07" w14:paraId="7457AB25" w14:textId="77777777">
        <w:tc>
          <w:tcPr>
            <w:tcW w:w="1129" w:type="dxa"/>
          </w:tcPr>
          <w:p w14:paraId="3EEC2BF1"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55E963E"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Instrumenti redovnog osnovnog kapitala subjekata financijskog sektora ako in</w:t>
            </w:r>
            <w:r w:rsidRPr="00E37E07">
              <w:rPr>
                <w:rFonts w:ascii="Times New Roman" w:hAnsi="Times New Roman"/>
                <w:b/>
                <w:bCs/>
                <w:u w:val="single"/>
              </w:rPr>
              <w:t>vesticijsko društvo nema značajno ulaganje</w:t>
            </w:r>
          </w:p>
          <w:p w14:paraId="18B68C43"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9. stavak 2. točka (c) Uredbe (EU) 2019/2033</w:t>
            </w:r>
          </w:p>
          <w:p w14:paraId="2E2FA19C"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rPr>
              <w:t>Članak 36. stavak 1. točka (h) Uredbe (EU) br. 575/2013</w:t>
            </w:r>
          </w:p>
        </w:tc>
      </w:tr>
      <w:tr w:rsidR="006C0DAA" w:rsidRPr="00E37E07" w14:paraId="54C23DEC" w14:textId="77777777">
        <w:tc>
          <w:tcPr>
            <w:tcW w:w="1129" w:type="dxa"/>
          </w:tcPr>
          <w:p w14:paraId="624DA399"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78A19D8"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xml:space="preserve">(–) Instrumenti redovnog osnovnog kapitala subjekata financijskog sektora ako </w:t>
            </w:r>
            <w:r w:rsidRPr="00E37E07">
              <w:rPr>
                <w:rFonts w:ascii="Times New Roman" w:hAnsi="Times New Roman"/>
                <w:b/>
                <w:bCs/>
                <w:u w:val="single"/>
              </w:rPr>
              <w:t>investicijsko društvo ima značajno ulaganje</w:t>
            </w:r>
          </w:p>
          <w:p w14:paraId="680E579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Članak 9. stavak 2. točka (d) Uredbe (EU) 2019/2033</w:t>
            </w:r>
          </w:p>
          <w:p w14:paraId="09426FA8"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rPr>
              <w:t>Članak 36. stavak 1. točka</w:t>
            </w:r>
            <w:r w:rsidRPr="00E37E07">
              <w:rPr>
                <w:rFonts w:ascii="Times New Roman" w:hAnsi="Times New Roman"/>
              </w:rPr>
              <w:t xml:space="preserve"> i.</w:t>
            </w:r>
            <w:r w:rsidRPr="00E37E07">
              <w:rPr>
                <w:rFonts w:ascii="Times New Roman" w:hAnsi="Times New Roman"/>
              </w:rPr>
              <w:t xml:space="preserve"> Uredbe (EU) br. 575/2013</w:t>
            </w:r>
          </w:p>
        </w:tc>
      </w:tr>
      <w:tr w:rsidR="006C0DAA" w:rsidRPr="00E37E07" w14:paraId="46DB705A" w14:textId="77777777">
        <w:tc>
          <w:tcPr>
            <w:tcW w:w="1129" w:type="dxa"/>
          </w:tcPr>
          <w:p w14:paraId="3ACE61EC"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lastRenderedPageBreak/>
              <w:t>0270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A8F76C0"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Imovina mirovinskog fonda pod pokroviteljstvom poslodavca</w:t>
            </w:r>
          </w:p>
          <w:p w14:paraId="0CCB5954"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 xml:space="preserve">Članak 9. stavak 2. točka (b) Uredbe </w:t>
            </w:r>
            <w:r w:rsidRPr="00E37E07">
              <w:rPr>
                <w:rFonts w:ascii="Times New Roman" w:hAnsi="Times New Roman"/>
              </w:rPr>
              <w:t>(EU) 2019/2033</w:t>
            </w:r>
          </w:p>
          <w:p w14:paraId="702E9A1E"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rPr>
              <w:t>Članak 36. stavak 1. točka (e) Uredbe (EU) br. 575/2013</w:t>
            </w:r>
          </w:p>
        </w:tc>
      </w:tr>
      <w:tr w:rsidR="006C0DAA" w:rsidRPr="00E37E07" w14:paraId="25410170" w14:textId="77777777">
        <w:tc>
          <w:tcPr>
            <w:tcW w:w="1129" w:type="dxa"/>
          </w:tcPr>
          <w:p w14:paraId="6B72057C"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0494941"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Drugi odbici</w:t>
            </w:r>
          </w:p>
          <w:p w14:paraId="668C08F8"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rPr>
              <w:t>Zbroj svih ostalih odbitaka u skladu s člankom 36. stavkom 1. Uredbe (EU) br. 575/2013 koji nisu uključeni ni u jedan od prethodno navedenih redaka od 0150 do 027</w:t>
            </w:r>
            <w:r w:rsidRPr="00E37E07">
              <w:rPr>
                <w:rFonts w:ascii="Times New Roman" w:hAnsi="Times New Roman"/>
              </w:rPr>
              <w:t>0</w:t>
            </w:r>
          </w:p>
        </w:tc>
      </w:tr>
      <w:tr w:rsidR="006C0DAA" w:rsidRPr="00E37E07" w14:paraId="6F22FD05" w14:textId="77777777">
        <w:tc>
          <w:tcPr>
            <w:tcW w:w="1129" w:type="dxa"/>
          </w:tcPr>
          <w:p w14:paraId="49E0FC61"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0290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573EF525"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Redovni osnovni kapital: drugi elementi kapitala, odbici i prilagodbe</w:t>
            </w:r>
          </w:p>
          <w:p w14:paraId="254F7977"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Ovaj redak uključuje zbroj sljedećih stavki, ako je primjenjivo:</w:t>
            </w:r>
          </w:p>
          <w:p w14:paraId="74F388B8" w14:textId="77777777" w:rsidR="006C0DAA" w:rsidRPr="00E37E07" w:rsidRDefault="00E37E07">
            <w:pPr>
              <w:spacing w:after="120" w:line="240" w:lineRule="auto"/>
              <w:ind w:left="360" w:hanging="360"/>
              <w:jc w:val="both"/>
              <w:rPr>
                <w:rFonts w:ascii="Times New Roman" w:eastAsia="Times New Roman" w:hAnsi="Times New Roman" w:cs="Times New Roman"/>
                <w:bCs/>
              </w:rPr>
            </w:pPr>
            <w:r w:rsidRPr="00E37E07">
              <w:rPr>
                <w:rFonts w:ascii="Times New Roman" w:eastAsia="Times New Roman" w:hAnsi="Times New Roman" w:cs="Times New Roman"/>
                <w:bCs/>
              </w:rPr>
              <w:t>—</w:t>
            </w:r>
            <w:r w:rsidRPr="00E37E07">
              <w:rPr>
                <w:rFonts w:ascii="Times New Roman" w:eastAsia="Times New Roman" w:hAnsi="Times New Roman" w:cs="Times New Roman"/>
                <w:bCs/>
              </w:rPr>
              <w:tab/>
            </w:r>
            <w:r w:rsidRPr="00E37E07">
              <w:rPr>
                <w:rFonts w:ascii="Times New Roman" w:hAnsi="Times New Roman"/>
                <w:bCs/>
              </w:rPr>
              <w:t xml:space="preserve">prijelazna usklađenja na temelju instrumenata redovnog osnovnog kapitala koji se nastavljaju </w:t>
            </w:r>
            <w:r w:rsidRPr="00E37E07">
              <w:rPr>
                <w:rFonts w:ascii="Times New Roman" w:hAnsi="Times New Roman"/>
                <w:bCs/>
              </w:rPr>
              <w:t>priznavati (članak 483. stavci 1., 2. i 3. i članci od 484. do 487. Uredbe (EU) br. 575/2013),</w:t>
            </w:r>
          </w:p>
          <w:p w14:paraId="3DD0E76A" w14:textId="77777777" w:rsidR="006C0DAA" w:rsidRPr="00E37E07" w:rsidRDefault="00E37E07">
            <w:pPr>
              <w:spacing w:after="120" w:line="240" w:lineRule="auto"/>
              <w:ind w:left="360" w:hanging="360"/>
              <w:jc w:val="both"/>
              <w:rPr>
                <w:rFonts w:ascii="Times New Roman" w:eastAsia="Times New Roman" w:hAnsi="Times New Roman" w:cs="Times New Roman"/>
                <w:bCs/>
              </w:rPr>
            </w:pPr>
            <w:r w:rsidRPr="00E37E07">
              <w:rPr>
                <w:rFonts w:ascii="Times New Roman" w:eastAsia="Times New Roman" w:hAnsi="Times New Roman" w:cs="Times New Roman"/>
                <w:bCs/>
              </w:rPr>
              <w:t>—</w:t>
            </w:r>
            <w:r w:rsidRPr="00E37E07">
              <w:rPr>
                <w:rFonts w:ascii="Times New Roman" w:eastAsia="Times New Roman" w:hAnsi="Times New Roman" w:cs="Times New Roman"/>
                <w:bCs/>
              </w:rPr>
              <w:tab/>
            </w:r>
            <w:r w:rsidRPr="00E37E07">
              <w:rPr>
                <w:rFonts w:ascii="Times New Roman" w:hAnsi="Times New Roman"/>
                <w:bCs/>
              </w:rPr>
              <w:t>prijelazna usklađenja na temelju dodatnih manjinskih udjela (članci 479. i 480. Uredbe (EU) br. 575/2013),</w:t>
            </w:r>
          </w:p>
          <w:p w14:paraId="124AAEFE" w14:textId="77777777" w:rsidR="006C0DAA" w:rsidRPr="00E37E07" w:rsidRDefault="00E37E07">
            <w:pPr>
              <w:spacing w:after="120" w:line="240" w:lineRule="auto"/>
              <w:ind w:left="360" w:hanging="360"/>
              <w:jc w:val="both"/>
              <w:rPr>
                <w:rFonts w:ascii="Times New Roman" w:eastAsia="Times New Roman" w:hAnsi="Times New Roman" w:cs="Times New Roman"/>
                <w:bCs/>
              </w:rPr>
            </w:pPr>
            <w:r w:rsidRPr="00E37E07">
              <w:rPr>
                <w:rFonts w:ascii="Times New Roman" w:eastAsia="Times New Roman" w:hAnsi="Times New Roman" w:cs="Times New Roman"/>
                <w:bCs/>
              </w:rPr>
              <w:t>—</w:t>
            </w:r>
            <w:r w:rsidRPr="00E37E07">
              <w:rPr>
                <w:rFonts w:ascii="Times New Roman" w:eastAsia="Times New Roman" w:hAnsi="Times New Roman" w:cs="Times New Roman"/>
                <w:bCs/>
              </w:rPr>
              <w:tab/>
            </w:r>
            <w:r w:rsidRPr="00E37E07">
              <w:rPr>
                <w:rFonts w:ascii="Times New Roman" w:hAnsi="Times New Roman"/>
                <w:bCs/>
              </w:rPr>
              <w:t>druga prijelazna usklađenja redovnog osnovnog kapi</w:t>
            </w:r>
            <w:r w:rsidRPr="00E37E07">
              <w:rPr>
                <w:rFonts w:ascii="Times New Roman" w:hAnsi="Times New Roman"/>
                <w:bCs/>
              </w:rPr>
              <w:t>tala (članci od 469. do 478. i članak 481. Uredbe (EU) br. 575/2013): usklađenja odbitaka od redovnog osnovnog kapitala na temelju prijelaznih odredbi,</w:t>
            </w:r>
          </w:p>
          <w:p w14:paraId="562805D0" w14:textId="77777777" w:rsidR="006C0DAA" w:rsidRPr="00E37E07" w:rsidRDefault="00E37E07">
            <w:pPr>
              <w:spacing w:after="120" w:line="240" w:lineRule="auto"/>
              <w:ind w:left="360" w:hanging="360"/>
              <w:jc w:val="both"/>
              <w:rPr>
                <w:rFonts w:ascii="Times New Roman" w:eastAsia="Times New Roman" w:hAnsi="Times New Roman" w:cs="Times New Roman"/>
                <w:b/>
                <w:bCs/>
                <w:u w:val="single"/>
              </w:rPr>
            </w:pPr>
            <w:r w:rsidRPr="00E37E07">
              <w:rPr>
                <w:rFonts w:ascii="Times New Roman" w:eastAsia="Times New Roman" w:hAnsi="Times New Roman" w:cs="Times New Roman"/>
                <w:bCs/>
              </w:rPr>
              <w:t>—</w:t>
            </w:r>
            <w:r w:rsidRPr="00E37E07">
              <w:rPr>
                <w:rFonts w:ascii="Times New Roman" w:eastAsia="Times New Roman" w:hAnsi="Times New Roman" w:cs="Times New Roman"/>
                <w:bCs/>
              </w:rPr>
              <w:tab/>
            </w:r>
            <w:r w:rsidRPr="00E37E07">
              <w:rPr>
                <w:rFonts w:ascii="Times New Roman" w:hAnsi="Times New Roman"/>
                <w:bCs/>
              </w:rPr>
              <w:t>drugi elementi redovnog osnovnog kapitala ili odbici od elementa redovnog osnovnog kapitala koji se ne</w:t>
            </w:r>
            <w:r w:rsidRPr="00E37E07">
              <w:rPr>
                <w:rFonts w:ascii="Times New Roman" w:hAnsi="Times New Roman"/>
                <w:bCs/>
              </w:rPr>
              <w:t xml:space="preserve"> mogu rasporediti u jedan od redaka od 0040 do 0280.</w:t>
            </w:r>
          </w:p>
          <w:p w14:paraId="5873D799"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Ovaj se redak ne koristi za uključivanje stavki kapitala ili odbitaka koji nisu obuhvaćeni Uredbom (EU) 2019/2033 ili Uredbom (EU) br. 575/2013 u izračun stopa solventnosti.</w:t>
            </w:r>
            <w:r w:rsidRPr="00E37E07">
              <w:rPr>
                <w:rFonts w:ascii="Times New Roman" w:hAnsi="Times New Roman"/>
                <w:b/>
                <w:bCs/>
                <w:u w:val="single"/>
              </w:rPr>
              <w:t xml:space="preserve"> </w:t>
            </w:r>
          </w:p>
        </w:tc>
      </w:tr>
      <w:tr w:rsidR="006C0DAA" w:rsidRPr="00E37E07" w14:paraId="44B632FE" w14:textId="77777777">
        <w:tc>
          <w:tcPr>
            <w:tcW w:w="1129" w:type="dxa"/>
          </w:tcPr>
          <w:p w14:paraId="2C518CFF"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4F9AE6EE"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DODATNI OSNOVNI KAPITA</w:t>
            </w:r>
            <w:r w:rsidRPr="00E37E07">
              <w:rPr>
                <w:rFonts w:ascii="Times New Roman" w:hAnsi="Times New Roman"/>
                <w:b/>
                <w:bCs/>
                <w:u w:val="single"/>
              </w:rPr>
              <w:t>L</w:t>
            </w:r>
          </w:p>
          <w:p w14:paraId="049A1F91"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9. stavak 1. Uredbe (EU) 2019/2033</w:t>
            </w:r>
          </w:p>
          <w:p w14:paraId="27B9AEC1" w14:textId="77777777" w:rsidR="006C0DAA" w:rsidRPr="00E37E07" w:rsidRDefault="00E37E07">
            <w:pPr>
              <w:spacing w:after="120" w:line="240" w:lineRule="auto"/>
              <w:jc w:val="both"/>
              <w:rPr>
                <w:rFonts w:ascii="Times New Roman" w:hAnsi="Times New Roman" w:cs="Times New Roman"/>
              </w:rPr>
            </w:pPr>
            <w:r w:rsidRPr="00E37E07">
              <w:rPr>
                <w:rFonts w:ascii="Times New Roman" w:hAnsi="Times New Roman"/>
              </w:rPr>
              <w:t>Članak 61. Uredbe (EU) br. 575/2013</w:t>
            </w:r>
          </w:p>
          <w:p w14:paraId="1971FAFB"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Iskazuje se ukupni zbroj redaka od 0310 do 0330 i retka 0410.</w:t>
            </w:r>
          </w:p>
        </w:tc>
      </w:tr>
      <w:tr w:rsidR="006C0DAA" w:rsidRPr="00E37E07" w14:paraId="5B3E5C6B" w14:textId="77777777">
        <w:tc>
          <w:tcPr>
            <w:tcW w:w="1129" w:type="dxa"/>
          </w:tcPr>
          <w:p w14:paraId="1CCF22E0"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179B4BB"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U potpunosti plaćeni, izravno izdani instrumenti kapitala</w:t>
            </w:r>
          </w:p>
          <w:p w14:paraId="45173D1B"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9. stavak 1. točka</w:t>
            </w:r>
            <w:r w:rsidRPr="00E37E07">
              <w:rPr>
                <w:rFonts w:ascii="Times New Roman" w:hAnsi="Times New Roman"/>
                <w:bCs/>
              </w:rPr>
              <w:t xml:space="preserve"> i.</w:t>
            </w:r>
            <w:r w:rsidRPr="00E37E07">
              <w:rPr>
                <w:rFonts w:ascii="Times New Roman" w:hAnsi="Times New Roman"/>
                <w:bCs/>
              </w:rPr>
              <w:t xml:space="preserve"> Uredbe (EU) 2019/2033</w:t>
            </w:r>
          </w:p>
          <w:p w14:paraId="2790001D" w14:textId="77777777" w:rsidR="006C0DAA" w:rsidRPr="00E37E07" w:rsidRDefault="00E37E07">
            <w:pPr>
              <w:pStyle w:val="InstructionsText"/>
              <w:rPr>
                <w:rStyle w:val="FormatvorlageInstructionsTabelleText"/>
                <w:rFonts w:ascii="Times New Roman" w:hAnsi="Times New Roman"/>
                <w:sz w:val="22"/>
                <w:szCs w:val="22"/>
              </w:rPr>
            </w:pPr>
            <w:r w:rsidRPr="00E37E07">
              <w:rPr>
                <w:rStyle w:val="FormatvorlageInstructionsTabelleText"/>
                <w:rFonts w:ascii="Times New Roman" w:hAnsi="Times New Roman"/>
                <w:sz w:val="22"/>
                <w:szCs w:val="22"/>
              </w:rPr>
              <w:t>Članak 51. točka (a) i članci 52., 53. i 54. Uredbe (EU) br. 575/2013</w:t>
            </w:r>
          </w:p>
          <w:p w14:paraId="5A612111"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Style w:val="FormatvorlageInstructionsTabelleText"/>
                <w:rFonts w:ascii="Times New Roman" w:hAnsi="Times New Roman"/>
                <w:sz w:val="22"/>
              </w:rPr>
              <w:t>Iznos koji se iskazuje ne uključuje premiju na dionice povezanu s instrumentima.</w:t>
            </w:r>
          </w:p>
        </w:tc>
      </w:tr>
      <w:tr w:rsidR="006C0DAA" w:rsidRPr="00E37E07" w14:paraId="63BD45C0" w14:textId="77777777">
        <w:tc>
          <w:tcPr>
            <w:tcW w:w="1129" w:type="dxa"/>
          </w:tcPr>
          <w:p w14:paraId="026C6D8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4B1D8A4"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Premija na dionice</w:t>
            </w:r>
          </w:p>
          <w:p w14:paraId="05D0B8D7"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9. stavak 1. točka</w:t>
            </w:r>
            <w:r w:rsidRPr="00E37E07">
              <w:rPr>
                <w:rFonts w:ascii="Times New Roman" w:hAnsi="Times New Roman"/>
                <w:bCs/>
              </w:rPr>
              <w:t xml:space="preserve"> i.</w:t>
            </w:r>
            <w:r w:rsidRPr="00E37E07">
              <w:rPr>
                <w:rFonts w:ascii="Times New Roman" w:hAnsi="Times New Roman"/>
                <w:bCs/>
              </w:rPr>
              <w:t xml:space="preserve"> Uredbe (EU) 2019/2033</w:t>
            </w:r>
          </w:p>
          <w:p w14:paraId="334FCF7F" w14:textId="77777777" w:rsidR="006C0DAA" w:rsidRPr="00E37E07" w:rsidRDefault="00E37E07">
            <w:pPr>
              <w:pStyle w:val="InstructionsText"/>
              <w:rPr>
                <w:rStyle w:val="FormatvorlageInstructionsTabelleText"/>
                <w:rFonts w:ascii="Times New Roman" w:hAnsi="Times New Roman"/>
                <w:sz w:val="22"/>
                <w:szCs w:val="22"/>
              </w:rPr>
            </w:pPr>
            <w:r w:rsidRPr="00E37E07">
              <w:rPr>
                <w:rStyle w:val="FormatvorlageInstructionsTabelleText"/>
                <w:rFonts w:ascii="Times New Roman" w:hAnsi="Times New Roman"/>
                <w:sz w:val="22"/>
                <w:szCs w:val="22"/>
              </w:rPr>
              <w:t>Članak 51., točka (b) Uredbe (EU) br. 575/2013</w:t>
            </w:r>
          </w:p>
          <w:p w14:paraId="17D8083E" w14:textId="77777777" w:rsidR="006C0DAA" w:rsidRPr="00E37E07" w:rsidRDefault="00E37E07">
            <w:pPr>
              <w:pStyle w:val="InstructionsText"/>
              <w:rPr>
                <w:rStyle w:val="FormatvorlageInstructionsTabelleText"/>
                <w:rFonts w:ascii="Times New Roman" w:hAnsi="Times New Roman"/>
                <w:sz w:val="22"/>
                <w:szCs w:val="22"/>
              </w:rPr>
            </w:pPr>
            <w:r w:rsidRPr="00E37E07">
              <w:rPr>
                <w:rStyle w:val="FormatvorlageInstructionsTabelleText"/>
                <w:rFonts w:ascii="Times New Roman" w:hAnsi="Times New Roman"/>
                <w:sz w:val="22"/>
                <w:szCs w:val="22"/>
              </w:rPr>
              <w:t>Premija na dionice ima isto značenje kao i u primjenjivom računovodstvenom standardu.</w:t>
            </w:r>
          </w:p>
          <w:p w14:paraId="55C0E27A"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Style w:val="FormatvorlageInstructionsTabelleText"/>
                <w:rFonts w:ascii="Times New Roman" w:hAnsi="Times New Roman"/>
                <w:sz w:val="22"/>
              </w:rPr>
              <w:t>Iznos koji se iskazuje u ovoj stavci dio je koji se odnosi na „plaćene instrumente kapitala”.</w:t>
            </w:r>
          </w:p>
        </w:tc>
      </w:tr>
      <w:tr w:rsidR="006C0DAA" w:rsidRPr="00E37E07" w14:paraId="1A00A0E1" w14:textId="77777777">
        <w:tc>
          <w:tcPr>
            <w:tcW w:w="1129" w:type="dxa"/>
          </w:tcPr>
          <w:p w14:paraId="6F29B203"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0330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D9F0012"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UKUPNI ODBICI OD DODATNOG OSNOVNOG KAPITALA</w:t>
            </w:r>
          </w:p>
          <w:p w14:paraId="47D28A6E" w14:textId="77777777" w:rsidR="006C0DAA" w:rsidRPr="00E37E07" w:rsidRDefault="00E37E07">
            <w:pPr>
              <w:spacing w:before="60" w:after="60"/>
              <w:rPr>
                <w:rFonts w:ascii="Times New Roman" w:hAnsi="Times New Roman" w:cs="Times New Roman"/>
              </w:rPr>
            </w:pPr>
            <w:r w:rsidRPr="00E37E07">
              <w:rPr>
                <w:rFonts w:ascii="Times New Roman" w:hAnsi="Times New Roman"/>
              </w:rPr>
              <w:t>Članak 56. Uredbe (EU) br. 575/2013</w:t>
            </w:r>
          </w:p>
          <w:p w14:paraId="73157A45"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Iskazuje se ukupni zbroj retka 0340 i redaka od 0380 do 0400.</w:t>
            </w:r>
          </w:p>
        </w:tc>
      </w:tr>
      <w:tr w:rsidR="006C0DAA" w:rsidRPr="00E37E07" w14:paraId="03F653B5" w14:textId="77777777">
        <w:tc>
          <w:tcPr>
            <w:tcW w:w="1129" w:type="dxa"/>
          </w:tcPr>
          <w:p w14:paraId="25289C4D"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0340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200F12B"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Vlastiti instrumenti dodatnog osnovnog kapitala</w:t>
            </w:r>
          </w:p>
          <w:p w14:paraId="1930C52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lastRenderedPageBreak/>
              <w:t>Članak 9. stavak 1. točka</w:t>
            </w:r>
            <w:r w:rsidRPr="00E37E07">
              <w:rPr>
                <w:rFonts w:ascii="Times New Roman" w:hAnsi="Times New Roman"/>
                <w:bCs/>
              </w:rPr>
              <w:t xml:space="preserve"> i.</w:t>
            </w:r>
            <w:r w:rsidRPr="00E37E07">
              <w:rPr>
                <w:rFonts w:ascii="Times New Roman" w:hAnsi="Times New Roman"/>
                <w:bCs/>
              </w:rPr>
              <w:t xml:space="preserve"> Uredbe (EU) 2019/2033</w:t>
            </w:r>
          </w:p>
          <w:p w14:paraId="7F0759E7" w14:textId="77777777" w:rsidR="006C0DAA" w:rsidRPr="00E37E07" w:rsidRDefault="00E37E07">
            <w:pPr>
              <w:pStyle w:val="InstructionsText"/>
              <w:rPr>
                <w:rStyle w:val="FormatvorlageInstructionsTabelleText"/>
                <w:rFonts w:ascii="Times New Roman" w:eastAsiaTheme="minorHAnsi" w:hAnsi="Times New Roman"/>
                <w:bCs/>
                <w:sz w:val="22"/>
                <w:szCs w:val="22"/>
              </w:rPr>
            </w:pPr>
            <w:r w:rsidRPr="00E37E07">
              <w:rPr>
                <w:rStyle w:val="FormatvorlageInstructionsTabelleText"/>
                <w:rFonts w:ascii="Times New Roman" w:hAnsi="Times New Roman"/>
                <w:sz w:val="22"/>
                <w:szCs w:val="22"/>
              </w:rPr>
              <w:t>Članak 52. stavak 1. točka (b), članak 56. točka (a) i članak 57. Uredbe (EU) br. 575/2013</w:t>
            </w:r>
          </w:p>
          <w:p w14:paraId="5810E7BB" w14:textId="77777777" w:rsidR="006C0DAA" w:rsidRPr="00E37E07" w:rsidRDefault="00E37E07">
            <w:pPr>
              <w:pStyle w:val="InstructionsText"/>
              <w:rPr>
                <w:rStyle w:val="FormatvorlageInstructionsTabelleText"/>
                <w:rFonts w:ascii="Times New Roman" w:hAnsi="Times New Roman"/>
                <w:sz w:val="22"/>
                <w:szCs w:val="22"/>
              </w:rPr>
            </w:pPr>
            <w:r w:rsidRPr="00E37E07">
              <w:rPr>
                <w:rStyle w:val="FormatvorlageInstructionsTabelleText"/>
                <w:rFonts w:ascii="Times New Roman" w:hAnsi="Times New Roman"/>
                <w:sz w:val="22"/>
                <w:szCs w:val="22"/>
              </w:rPr>
              <w:t>Vlastiti instrumenti dodatnog osnovnog kapitala koje drži investicijsko društvo na datum izvješćivanja. Podložno iznimkama iz članka 57. Uredb</w:t>
            </w:r>
            <w:r w:rsidRPr="00E37E07">
              <w:rPr>
                <w:rStyle w:val="FormatvorlageInstructionsTabelleText"/>
                <w:rFonts w:ascii="Times New Roman" w:hAnsi="Times New Roman"/>
                <w:sz w:val="22"/>
                <w:szCs w:val="22"/>
              </w:rPr>
              <w:t>e (EU) br. 575/2013.</w:t>
            </w:r>
          </w:p>
          <w:p w14:paraId="1B96D1AB" w14:textId="77777777" w:rsidR="006C0DAA" w:rsidRPr="00E37E07" w:rsidRDefault="00E37E07">
            <w:pPr>
              <w:pStyle w:val="InstructionsText"/>
            </w:pPr>
            <w:r w:rsidRPr="00E37E07">
              <w:rPr>
                <w:rStyle w:val="FormatvorlageInstructionsTabelleText"/>
                <w:rFonts w:ascii="Times New Roman" w:hAnsi="Times New Roman"/>
                <w:sz w:val="22"/>
                <w:szCs w:val="22"/>
              </w:rPr>
              <w:t>Iznos koji se iskazuje uključuje premiju na dionice povezanu s vlastitim dionicama.</w:t>
            </w:r>
          </w:p>
        </w:tc>
      </w:tr>
      <w:tr w:rsidR="006C0DAA" w:rsidRPr="00E37E07" w14:paraId="3EA0C3F1" w14:textId="77777777">
        <w:tc>
          <w:tcPr>
            <w:tcW w:w="1129" w:type="dxa"/>
          </w:tcPr>
          <w:p w14:paraId="1BF5FE47"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lastRenderedPageBreak/>
              <w:t>0350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728B41F"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Izravna ulaganja u instrumente dodatnog osnovnog kapitala</w:t>
            </w:r>
          </w:p>
          <w:p w14:paraId="7F92EA4A"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9. stavak 2. točka (c) Uredbe (EU) 2019/2033</w:t>
            </w:r>
          </w:p>
          <w:p w14:paraId="423321B4"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Članak 56. točka (a) Uredbe (EU</w:t>
            </w:r>
            <w:r w:rsidRPr="00E37E07">
              <w:rPr>
                <w:rFonts w:ascii="Times New Roman" w:hAnsi="Times New Roman"/>
                <w:bCs/>
              </w:rPr>
              <w:t>) br. 575/2013</w:t>
            </w:r>
          </w:p>
        </w:tc>
      </w:tr>
      <w:tr w:rsidR="006C0DAA" w:rsidRPr="00E37E07" w14:paraId="12BF330C" w14:textId="77777777">
        <w:tc>
          <w:tcPr>
            <w:tcW w:w="1129" w:type="dxa"/>
          </w:tcPr>
          <w:p w14:paraId="3889CE51"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0360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9BCC422"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Neizravna ulaganja u instrumente dodatnog osnovnog kapitala</w:t>
            </w:r>
          </w:p>
          <w:p w14:paraId="79BD037F"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9. stavak 2. točka (c) Uredbe (EU) 2019/2033</w:t>
            </w:r>
          </w:p>
          <w:p w14:paraId="633C1359"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Članak 56. točka (a) Uredbe (EU) br. 575/2013</w:t>
            </w:r>
          </w:p>
        </w:tc>
      </w:tr>
      <w:tr w:rsidR="006C0DAA" w:rsidRPr="00E37E07" w14:paraId="2DC9F203" w14:textId="77777777">
        <w:tc>
          <w:tcPr>
            <w:tcW w:w="1129" w:type="dxa"/>
          </w:tcPr>
          <w:p w14:paraId="4C16148C"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0370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61F19C0"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xml:space="preserve">(–) Sintetska ulaganja u instrumente dodatnog osnovnog </w:t>
            </w:r>
            <w:r w:rsidRPr="00E37E07">
              <w:rPr>
                <w:rFonts w:ascii="Times New Roman" w:hAnsi="Times New Roman"/>
                <w:b/>
                <w:bCs/>
                <w:u w:val="single"/>
              </w:rPr>
              <w:t>kapitala</w:t>
            </w:r>
          </w:p>
          <w:p w14:paraId="722B9AE3"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9. stavak 2. točka (c) Uredbe (EU) 2019/2033</w:t>
            </w:r>
          </w:p>
          <w:p w14:paraId="0DE1E2E4"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Članak 56. točka (a) Uredbe (EU) br. 575/2013</w:t>
            </w:r>
          </w:p>
        </w:tc>
      </w:tr>
      <w:tr w:rsidR="006C0DAA" w:rsidRPr="00E37E07" w14:paraId="65262913" w14:textId="77777777">
        <w:tc>
          <w:tcPr>
            <w:tcW w:w="1129" w:type="dxa"/>
          </w:tcPr>
          <w:p w14:paraId="375624DF"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0380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ED1594C"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Instrumenti dodatnog osnovnog kapitala subjekata financijskog sektora ako investicijsko društvo nema značajno ulaganje</w:t>
            </w:r>
          </w:p>
          <w:p w14:paraId="405BB417"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Članak 9. stavak 2. </w:t>
            </w:r>
            <w:r w:rsidRPr="00E37E07">
              <w:rPr>
                <w:rFonts w:ascii="Times New Roman" w:hAnsi="Times New Roman"/>
                <w:bCs/>
              </w:rPr>
              <w:t>točka (c) Uredbe (EU) 2019/2033</w:t>
            </w:r>
          </w:p>
          <w:p w14:paraId="1918BD62"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Članak 56. točka (c) Uredbe (EU) br. 575/2013</w:t>
            </w:r>
          </w:p>
        </w:tc>
      </w:tr>
      <w:tr w:rsidR="006C0DAA" w:rsidRPr="00E37E07" w14:paraId="2EA5D82F" w14:textId="77777777">
        <w:tc>
          <w:tcPr>
            <w:tcW w:w="1129" w:type="dxa"/>
          </w:tcPr>
          <w:p w14:paraId="04029AE4"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0390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2FCE043"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Instrumenti dodatnog osnovnog kapitala subjekata financijskog sektora ako investicijsko društvo ima značajno ulaganje</w:t>
            </w:r>
          </w:p>
          <w:p w14:paraId="6A345676"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Članak 9. stavak 2. točka (c) Uredbe </w:t>
            </w:r>
            <w:r w:rsidRPr="00E37E07">
              <w:rPr>
                <w:rFonts w:ascii="Times New Roman" w:hAnsi="Times New Roman"/>
                <w:bCs/>
              </w:rPr>
              <w:t>(EU) 2019/2033</w:t>
            </w:r>
          </w:p>
          <w:p w14:paraId="74E5CAE6"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Članak 56. točka (d) Uredbe (EU) br. 575/2013</w:t>
            </w:r>
          </w:p>
        </w:tc>
      </w:tr>
      <w:tr w:rsidR="006C0DAA" w:rsidRPr="00E37E07" w14:paraId="34FF19BD" w14:textId="77777777">
        <w:tc>
          <w:tcPr>
            <w:tcW w:w="1129" w:type="dxa"/>
          </w:tcPr>
          <w:p w14:paraId="2B635C04"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0400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DCDD03C"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Drugi odbici</w:t>
            </w:r>
          </w:p>
          <w:p w14:paraId="7BBA4BE9"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Zbroj svih ostalih odbitaka u skladu s člankom 56. Uredbe (EU) br. 575/2013 koji nisu uključeni ni u jedan od prethodno navedenih redaka od 0340 do 0390</w:t>
            </w:r>
          </w:p>
        </w:tc>
      </w:tr>
      <w:tr w:rsidR="006C0DAA" w:rsidRPr="00E37E07" w14:paraId="05A542E4" w14:textId="77777777">
        <w:tc>
          <w:tcPr>
            <w:tcW w:w="1129" w:type="dxa"/>
          </w:tcPr>
          <w:p w14:paraId="398B374F"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0410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CD5AEC3"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Dodatni osnovni kapital: drugi elementi kapitala, odbici i prilagodbe</w:t>
            </w:r>
          </w:p>
          <w:p w14:paraId="1C9E393F"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Ovaj redak uključuje zbroj sljedećih stavki, ako je primjenjivo:</w:t>
            </w:r>
          </w:p>
          <w:p w14:paraId="7D06E785" w14:textId="77777777" w:rsidR="006C0DAA" w:rsidRPr="00E37E07" w:rsidRDefault="00E37E07">
            <w:pPr>
              <w:spacing w:after="120" w:line="240" w:lineRule="auto"/>
              <w:ind w:left="360" w:hanging="360"/>
              <w:jc w:val="both"/>
              <w:rPr>
                <w:rFonts w:ascii="Times New Roman" w:eastAsia="Times New Roman" w:hAnsi="Times New Roman" w:cs="Times New Roman"/>
                <w:bCs/>
              </w:rPr>
            </w:pPr>
            <w:r w:rsidRPr="00E37E07">
              <w:rPr>
                <w:rFonts w:ascii="Times New Roman" w:eastAsia="Times New Roman" w:hAnsi="Times New Roman" w:cs="Times New Roman"/>
                <w:bCs/>
              </w:rPr>
              <w:t>—</w:t>
            </w:r>
            <w:r w:rsidRPr="00E37E07">
              <w:rPr>
                <w:rFonts w:ascii="Times New Roman" w:eastAsia="Times New Roman" w:hAnsi="Times New Roman" w:cs="Times New Roman"/>
                <w:bCs/>
              </w:rPr>
              <w:tab/>
            </w:r>
            <w:r w:rsidRPr="00E37E07">
              <w:rPr>
                <w:rFonts w:ascii="Times New Roman" w:hAnsi="Times New Roman"/>
                <w:bCs/>
              </w:rPr>
              <w:t>prijelazna usklađenja na temelju instrumenata dodatnog osnovnog kapitala koji se nastavljaju priznavati (članak 483. st</w:t>
            </w:r>
            <w:r w:rsidRPr="00E37E07">
              <w:rPr>
                <w:rFonts w:ascii="Times New Roman" w:hAnsi="Times New Roman"/>
                <w:bCs/>
              </w:rPr>
              <w:t>avci 4. i 5., članci od 484. do 487. i članci 489. i 491. Uredbe (EU) br. 575/2013),</w:t>
            </w:r>
          </w:p>
          <w:p w14:paraId="0CECDE05" w14:textId="77777777" w:rsidR="006C0DAA" w:rsidRPr="00E37E07" w:rsidRDefault="00E37E07">
            <w:pPr>
              <w:spacing w:after="120" w:line="240" w:lineRule="auto"/>
              <w:ind w:left="360" w:hanging="360"/>
              <w:jc w:val="both"/>
              <w:rPr>
                <w:rFonts w:ascii="Times New Roman" w:eastAsia="Times New Roman" w:hAnsi="Times New Roman" w:cs="Times New Roman"/>
                <w:bCs/>
              </w:rPr>
            </w:pPr>
            <w:r w:rsidRPr="00E37E07">
              <w:rPr>
                <w:rFonts w:ascii="Times New Roman" w:eastAsia="Times New Roman" w:hAnsi="Times New Roman" w:cs="Times New Roman"/>
                <w:bCs/>
              </w:rPr>
              <w:t>—</w:t>
            </w:r>
            <w:r w:rsidRPr="00E37E07">
              <w:rPr>
                <w:rFonts w:ascii="Times New Roman" w:eastAsia="Times New Roman" w:hAnsi="Times New Roman" w:cs="Times New Roman"/>
                <w:bCs/>
              </w:rPr>
              <w:tab/>
            </w:r>
            <w:r w:rsidRPr="00E37E07">
              <w:rPr>
                <w:rFonts w:ascii="Times New Roman" w:hAnsi="Times New Roman"/>
                <w:bCs/>
              </w:rPr>
              <w:t>instrumenti društava kćeri koji su priznati u dodatnom osnovnom kapitalu (članci 83., 85. i 86. Uredbe (EU) br. 575/2013): zbroj svih iznosa kvalificiranog osnovnog kapi</w:t>
            </w:r>
            <w:r w:rsidRPr="00E37E07">
              <w:rPr>
                <w:rFonts w:ascii="Times New Roman" w:hAnsi="Times New Roman"/>
                <w:bCs/>
              </w:rPr>
              <w:t>tala društava kćeri koji je uključen u konsolidirani dodatni osnovni kapital, uključujući i kapital koji izdaje subjekt posebne namjene (članak 83. Uredbe (EU) br. 575/2013),</w:t>
            </w:r>
          </w:p>
          <w:p w14:paraId="760E0D4D" w14:textId="77777777" w:rsidR="006C0DAA" w:rsidRPr="00E37E07" w:rsidRDefault="00E37E07">
            <w:pPr>
              <w:spacing w:after="120" w:line="240" w:lineRule="auto"/>
              <w:ind w:left="360" w:hanging="360"/>
              <w:jc w:val="both"/>
              <w:rPr>
                <w:rFonts w:ascii="Times New Roman" w:eastAsia="Times New Roman" w:hAnsi="Times New Roman" w:cs="Times New Roman"/>
                <w:bCs/>
              </w:rPr>
            </w:pPr>
            <w:r w:rsidRPr="00E37E07">
              <w:rPr>
                <w:rFonts w:ascii="Times New Roman" w:eastAsia="Times New Roman" w:hAnsi="Times New Roman" w:cs="Times New Roman"/>
                <w:bCs/>
              </w:rPr>
              <w:t>—</w:t>
            </w:r>
            <w:r w:rsidRPr="00E37E07">
              <w:rPr>
                <w:rFonts w:ascii="Times New Roman" w:eastAsia="Times New Roman" w:hAnsi="Times New Roman" w:cs="Times New Roman"/>
                <w:bCs/>
              </w:rPr>
              <w:tab/>
            </w:r>
            <w:r w:rsidRPr="00E37E07">
              <w:rPr>
                <w:rFonts w:ascii="Times New Roman" w:hAnsi="Times New Roman"/>
                <w:bCs/>
              </w:rPr>
              <w:t>prijelazna usklađenja na temelju dodatnog priznavanja instrumenata društava kće</w:t>
            </w:r>
            <w:r w:rsidRPr="00E37E07">
              <w:rPr>
                <w:rFonts w:ascii="Times New Roman" w:hAnsi="Times New Roman"/>
                <w:bCs/>
              </w:rPr>
              <w:t>ri u dodatnom osnovnom kapitalu (članak 480. Uredbe (EU) br. 575/2013) usklađenja kvalificiranog osnovnog kapitala uključenog u konsolidirani dodatni osnovni kapital zbog prijelaznih odredbi,</w:t>
            </w:r>
          </w:p>
          <w:p w14:paraId="1421389D" w14:textId="77777777" w:rsidR="006C0DAA" w:rsidRPr="00E37E07" w:rsidRDefault="00E37E07">
            <w:pPr>
              <w:spacing w:after="120" w:line="240" w:lineRule="auto"/>
              <w:ind w:left="360" w:hanging="360"/>
              <w:jc w:val="both"/>
              <w:rPr>
                <w:rFonts w:ascii="Times New Roman" w:eastAsia="Times New Roman" w:hAnsi="Times New Roman" w:cs="Times New Roman"/>
                <w:bCs/>
              </w:rPr>
            </w:pPr>
            <w:r w:rsidRPr="00E37E07">
              <w:rPr>
                <w:rFonts w:ascii="Times New Roman" w:eastAsia="Times New Roman" w:hAnsi="Times New Roman" w:cs="Times New Roman"/>
                <w:bCs/>
              </w:rPr>
              <w:t>—</w:t>
            </w:r>
            <w:r w:rsidRPr="00E37E07">
              <w:rPr>
                <w:rFonts w:ascii="Times New Roman" w:eastAsia="Times New Roman" w:hAnsi="Times New Roman" w:cs="Times New Roman"/>
                <w:bCs/>
              </w:rPr>
              <w:tab/>
            </w:r>
            <w:r w:rsidRPr="00E37E07">
              <w:rPr>
                <w:rFonts w:ascii="Times New Roman" w:hAnsi="Times New Roman"/>
                <w:bCs/>
              </w:rPr>
              <w:t>druga prijelazna usklađenja dodatnog osnovnog kapitala (članci</w:t>
            </w:r>
            <w:r w:rsidRPr="00E37E07">
              <w:rPr>
                <w:rFonts w:ascii="Times New Roman" w:hAnsi="Times New Roman"/>
                <w:bCs/>
              </w:rPr>
              <w:t> 472., 473.a, 474., 475., 478. i 481. Uredbe (EU) br. 575/2013): usklađenja odbitaka zbog prijelaznih odredbi,</w:t>
            </w:r>
          </w:p>
          <w:p w14:paraId="59859967" w14:textId="77777777" w:rsidR="006C0DAA" w:rsidRPr="00E37E07" w:rsidRDefault="00E37E07">
            <w:pPr>
              <w:spacing w:after="120" w:line="240" w:lineRule="auto"/>
              <w:ind w:left="360" w:hanging="360"/>
              <w:jc w:val="both"/>
              <w:rPr>
                <w:rFonts w:ascii="Times New Roman" w:eastAsia="Times New Roman" w:hAnsi="Times New Roman" w:cs="Times New Roman"/>
                <w:bCs/>
              </w:rPr>
            </w:pPr>
            <w:r w:rsidRPr="00E37E07">
              <w:rPr>
                <w:rFonts w:ascii="Times New Roman" w:eastAsia="Times New Roman" w:hAnsi="Times New Roman" w:cs="Times New Roman"/>
                <w:bCs/>
              </w:rPr>
              <w:lastRenderedPageBreak/>
              <w:t>—</w:t>
            </w:r>
            <w:r w:rsidRPr="00E37E07">
              <w:rPr>
                <w:rFonts w:ascii="Times New Roman" w:eastAsia="Times New Roman" w:hAnsi="Times New Roman" w:cs="Times New Roman"/>
                <w:bCs/>
              </w:rPr>
              <w:tab/>
            </w:r>
            <w:r w:rsidRPr="00E37E07">
              <w:rPr>
                <w:rFonts w:ascii="Times New Roman" w:hAnsi="Times New Roman"/>
                <w:bCs/>
              </w:rPr>
              <w:t>odbitak od stavki dodatnog osnovnog kapitala koji premašuje dodatni osnovni kapital, odbijen od redovnog osnovnog kapitala u skladu s člankom 3</w:t>
            </w:r>
            <w:r w:rsidRPr="00E37E07">
              <w:rPr>
                <w:rFonts w:ascii="Times New Roman" w:hAnsi="Times New Roman"/>
                <w:bCs/>
              </w:rPr>
              <w:t>6. stavkom 1. točkom (j) Uredbe (EU) br. 575/2013: dodatni osnovni kapital ne može biti negativan, ali moguće je da odbici od stavki dodatnog osnovnog kapitala premašuju iznos dostupnih stavki dodatnog osnovnog kapitala. U tom slučaju, u ovoj stavci izraža</w:t>
            </w:r>
            <w:r w:rsidRPr="00E37E07">
              <w:rPr>
                <w:rFonts w:ascii="Times New Roman" w:hAnsi="Times New Roman"/>
                <w:bCs/>
              </w:rPr>
              <w:t>va se iznos potreban da bi se iznos iskazan u retku 0300 povećao na nulu, a odgovara obrnutom iznosu odbitaka od stavki dodatnog osnovnog kapitala koji premašuje dodatni osnovni kapital te je, među ostalim odbicima, uključen u redak 0280,</w:t>
            </w:r>
          </w:p>
          <w:p w14:paraId="755AF15C" w14:textId="77777777" w:rsidR="006C0DAA" w:rsidRPr="00E37E07" w:rsidRDefault="00E37E07">
            <w:pPr>
              <w:spacing w:after="120" w:line="240" w:lineRule="auto"/>
              <w:ind w:left="360" w:hanging="360"/>
              <w:jc w:val="both"/>
              <w:rPr>
                <w:rFonts w:ascii="Times New Roman" w:eastAsia="Times New Roman" w:hAnsi="Times New Roman" w:cs="Times New Roman"/>
                <w:bCs/>
              </w:rPr>
            </w:pPr>
            <w:r w:rsidRPr="00E37E07">
              <w:rPr>
                <w:rFonts w:ascii="Times New Roman" w:eastAsia="Times New Roman" w:hAnsi="Times New Roman" w:cs="Times New Roman"/>
                <w:bCs/>
              </w:rPr>
              <w:t>—</w:t>
            </w:r>
            <w:r w:rsidRPr="00E37E07">
              <w:rPr>
                <w:rFonts w:ascii="Times New Roman" w:eastAsia="Times New Roman" w:hAnsi="Times New Roman" w:cs="Times New Roman"/>
                <w:bCs/>
              </w:rPr>
              <w:tab/>
            </w:r>
            <w:r w:rsidRPr="00E37E07">
              <w:rPr>
                <w:rFonts w:ascii="Times New Roman" w:hAnsi="Times New Roman"/>
                <w:bCs/>
              </w:rPr>
              <w:t xml:space="preserve">drugi </w:t>
            </w:r>
            <w:r w:rsidRPr="00E37E07">
              <w:rPr>
                <w:rFonts w:ascii="Times New Roman" w:hAnsi="Times New Roman"/>
                <w:bCs/>
              </w:rPr>
              <w:t>elementi dodatnog osnovnog kapitala ili odbici od elementa dodatnog osnovnog kapitala koji se ne mogu rasporediti u jedan od redaka od 0310 do 0400.</w:t>
            </w:r>
          </w:p>
          <w:p w14:paraId="3CEA5AAC"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Ovaj se redak ne koristi za uključivanje stavki kapitala ili odbitaka koji nisu obuhvaćeni Uredbom (EU) 201</w:t>
            </w:r>
            <w:r w:rsidRPr="00E37E07">
              <w:rPr>
                <w:rFonts w:ascii="Times New Roman" w:hAnsi="Times New Roman"/>
                <w:bCs/>
              </w:rPr>
              <w:t>9/2033 ili Uredbom (EU) br. 575/2013 u izračun stopa solventnosti.</w:t>
            </w:r>
          </w:p>
        </w:tc>
      </w:tr>
      <w:tr w:rsidR="006C0DAA" w:rsidRPr="00E37E07" w14:paraId="6A47E288" w14:textId="77777777">
        <w:tc>
          <w:tcPr>
            <w:tcW w:w="1129" w:type="dxa"/>
          </w:tcPr>
          <w:p w14:paraId="3003E677"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lastRenderedPageBreak/>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20AD4191"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DOPUNSKI KAPITAL</w:t>
            </w:r>
          </w:p>
          <w:p w14:paraId="31B92574"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9. stavak 1. Uredbe (EU) 2019/2033</w:t>
            </w:r>
          </w:p>
          <w:p w14:paraId="26DE9B73" w14:textId="77777777" w:rsidR="006C0DAA" w:rsidRPr="00E37E07" w:rsidRDefault="00E37E07">
            <w:pPr>
              <w:spacing w:after="120" w:line="240" w:lineRule="auto"/>
              <w:jc w:val="both"/>
              <w:rPr>
                <w:rStyle w:val="FormatvorlageInstructionsTabelleText"/>
                <w:rFonts w:ascii="Times New Roman" w:hAnsi="Times New Roman"/>
                <w:sz w:val="22"/>
              </w:rPr>
            </w:pPr>
            <w:r w:rsidRPr="00E37E07">
              <w:rPr>
                <w:rStyle w:val="FormatvorlageInstructionsTabelleText"/>
                <w:rFonts w:ascii="Times New Roman" w:hAnsi="Times New Roman"/>
                <w:sz w:val="22"/>
              </w:rPr>
              <w:t>Članak 71. Uredbe (EU) br. 575/2013</w:t>
            </w:r>
          </w:p>
          <w:p w14:paraId="44FE491E" w14:textId="77777777" w:rsidR="006C0DAA" w:rsidRPr="00E37E07" w:rsidRDefault="00E37E07">
            <w:pPr>
              <w:pStyle w:val="CommentText"/>
              <w:rPr>
                <w:sz w:val="22"/>
                <w:szCs w:val="22"/>
              </w:rPr>
            </w:pPr>
            <w:r w:rsidRPr="00E37E07">
              <w:rPr>
                <w:rFonts w:ascii="Times New Roman" w:hAnsi="Times New Roman"/>
                <w:bCs/>
                <w:sz w:val="22"/>
                <w:szCs w:val="22"/>
              </w:rPr>
              <w:t>Iskazuje se ukupni zbroj redaka od 0430 do 0450 i retka 0520.</w:t>
            </w:r>
          </w:p>
        </w:tc>
      </w:tr>
      <w:tr w:rsidR="006C0DAA" w:rsidRPr="00E37E07" w14:paraId="0562550E" w14:textId="77777777">
        <w:tc>
          <w:tcPr>
            <w:tcW w:w="1129" w:type="dxa"/>
          </w:tcPr>
          <w:p w14:paraId="62CA650E"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993A846"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xml:space="preserve">U </w:t>
            </w:r>
            <w:r w:rsidRPr="00E37E07">
              <w:rPr>
                <w:rFonts w:ascii="Times New Roman" w:hAnsi="Times New Roman"/>
                <w:b/>
                <w:bCs/>
                <w:u w:val="single"/>
              </w:rPr>
              <w:t>potpunosti plaćeni, izravno izdani instrumenti kapitala</w:t>
            </w:r>
          </w:p>
          <w:p w14:paraId="00AB4546"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9. stavak 1. točka</w:t>
            </w:r>
            <w:r w:rsidRPr="00E37E07">
              <w:rPr>
                <w:rFonts w:ascii="Times New Roman" w:hAnsi="Times New Roman"/>
                <w:bCs/>
              </w:rPr>
              <w:t xml:space="preserve"> i.</w:t>
            </w:r>
            <w:r w:rsidRPr="00E37E07">
              <w:rPr>
                <w:rFonts w:ascii="Times New Roman" w:hAnsi="Times New Roman"/>
                <w:bCs/>
              </w:rPr>
              <w:t xml:space="preserve"> Uredbe (EU) 2019/2033</w:t>
            </w:r>
          </w:p>
          <w:p w14:paraId="458D389D" w14:textId="77777777" w:rsidR="006C0DAA" w:rsidRPr="00E37E07" w:rsidRDefault="00E37E07">
            <w:pPr>
              <w:pStyle w:val="InstructionsText"/>
              <w:rPr>
                <w:rStyle w:val="FormatvorlageInstructionsTabelleText"/>
                <w:rFonts w:ascii="Times New Roman" w:eastAsiaTheme="minorHAnsi" w:hAnsi="Times New Roman"/>
                <w:bCs/>
                <w:sz w:val="22"/>
                <w:szCs w:val="22"/>
              </w:rPr>
            </w:pPr>
            <w:r w:rsidRPr="00E37E07">
              <w:rPr>
                <w:sz w:val="22"/>
                <w:szCs w:val="22"/>
              </w:rPr>
              <w:t>Članak 62. točka (a) te članci 63. i 65. Uredbe (EU) br. 575/2013</w:t>
            </w:r>
          </w:p>
          <w:p w14:paraId="55C1C2FD"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Style w:val="FormatvorlageInstructionsTabelleText"/>
                <w:rFonts w:ascii="Times New Roman" w:hAnsi="Times New Roman"/>
                <w:sz w:val="22"/>
              </w:rPr>
              <w:t xml:space="preserve">Iznos koji se iskazuje ne uključuje premiju na dionice povezanu s </w:t>
            </w:r>
            <w:r w:rsidRPr="00E37E07">
              <w:rPr>
                <w:rStyle w:val="FormatvorlageInstructionsTabelleText"/>
                <w:rFonts w:ascii="Times New Roman" w:hAnsi="Times New Roman"/>
                <w:sz w:val="22"/>
              </w:rPr>
              <w:t>instrumentima.</w:t>
            </w:r>
          </w:p>
        </w:tc>
      </w:tr>
      <w:tr w:rsidR="006C0DAA" w:rsidRPr="00E37E07" w14:paraId="6C18913D" w14:textId="77777777">
        <w:tc>
          <w:tcPr>
            <w:tcW w:w="1129" w:type="dxa"/>
          </w:tcPr>
          <w:p w14:paraId="2865B834"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1586C9E"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Premija na dionice</w:t>
            </w:r>
          </w:p>
          <w:p w14:paraId="184BDF6A"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9. stavak 1. točka</w:t>
            </w:r>
            <w:r w:rsidRPr="00E37E07">
              <w:rPr>
                <w:rFonts w:ascii="Times New Roman" w:hAnsi="Times New Roman"/>
                <w:bCs/>
              </w:rPr>
              <w:t xml:space="preserve"> i.</w:t>
            </w:r>
            <w:r w:rsidRPr="00E37E07">
              <w:rPr>
                <w:rFonts w:ascii="Times New Roman" w:hAnsi="Times New Roman"/>
                <w:bCs/>
              </w:rPr>
              <w:t xml:space="preserve"> Uredbe (EU) 2019/2033</w:t>
            </w:r>
          </w:p>
          <w:p w14:paraId="31C69C35" w14:textId="77777777" w:rsidR="006C0DAA" w:rsidRPr="00E37E07" w:rsidRDefault="00E37E07">
            <w:pPr>
              <w:pStyle w:val="InstructionsText"/>
              <w:rPr>
                <w:rStyle w:val="FormatvorlageInstructionsTabelleText"/>
                <w:rFonts w:ascii="Times New Roman" w:hAnsi="Times New Roman"/>
                <w:sz w:val="22"/>
                <w:szCs w:val="22"/>
              </w:rPr>
            </w:pPr>
            <w:r w:rsidRPr="00E37E07">
              <w:rPr>
                <w:rStyle w:val="FormatvorlageInstructionsTabelleText"/>
                <w:rFonts w:ascii="Times New Roman" w:hAnsi="Times New Roman"/>
                <w:sz w:val="22"/>
                <w:szCs w:val="22"/>
              </w:rPr>
              <w:t>Članak 62. točka (b) i članak 65. Uredbe (EU) br. 575/2013</w:t>
            </w:r>
          </w:p>
          <w:p w14:paraId="2B6367A9" w14:textId="77777777" w:rsidR="006C0DAA" w:rsidRPr="00E37E07" w:rsidRDefault="00E37E07">
            <w:pPr>
              <w:pStyle w:val="InstructionsText"/>
              <w:rPr>
                <w:rStyle w:val="FormatvorlageInstructionsTabelleText"/>
                <w:rFonts w:ascii="Times New Roman" w:hAnsi="Times New Roman"/>
                <w:sz w:val="22"/>
                <w:szCs w:val="22"/>
              </w:rPr>
            </w:pPr>
            <w:r w:rsidRPr="00E37E07">
              <w:rPr>
                <w:rStyle w:val="FormatvorlageInstructionsTabelleText"/>
                <w:rFonts w:ascii="Times New Roman" w:hAnsi="Times New Roman"/>
                <w:sz w:val="22"/>
                <w:szCs w:val="22"/>
              </w:rPr>
              <w:t>Premija na dionice ima isto značenje kao i u primjenjivom računovodstvenom standardu.</w:t>
            </w:r>
          </w:p>
          <w:p w14:paraId="1F8C8009" w14:textId="77777777" w:rsidR="006C0DAA" w:rsidRPr="00E37E07" w:rsidRDefault="00E37E07">
            <w:pPr>
              <w:pStyle w:val="InstructionsText"/>
              <w:rPr>
                <w:sz w:val="22"/>
                <w:szCs w:val="22"/>
              </w:rPr>
            </w:pPr>
            <w:r w:rsidRPr="00E37E07">
              <w:rPr>
                <w:rStyle w:val="FormatvorlageInstructionsTabelleText"/>
                <w:rFonts w:ascii="Times New Roman" w:hAnsi="Times New Roman"/>
                <w:sz w:val="22"/>
                <w:szCs w:val="22"/>
              </w:rPr>
              <w:t xml:space="preserve">Iznos koji se </w:t>
            </w:r>
            <w:r w:rsidRPr="00E37E07">
              <w:rPr>
                <w:rStyle w:val="FormatvorlageInstructionsTabelleText"/>
                <w:rFonts w:ascii="Times New Roman" w:hAnsi="Times New Roman"/>
                <w:sz w:val="22"/>
                <w:szCs w:val="22"/>
              </w:rPr>
              <w:t>iskazuje u ovoj stavci dio je koji se odnosi na „plaćene instrumente kapitala”.</w:t>
            </w:r>
          </w:p>
        </w:tc>
      </w:tr>
      <w:tr w:rsidR="006C0DAA" w:rsidRPr="00E37E07" w14:paraId="0A9F5DB5" w14:textId="77777777">
        <w:tc>
          <w:tcPr>
            <w:tcW w:w="1129" w:type="dxa"/>
          </w:tcPr>
          <w:p w14:paraId="0588C54E"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0450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B05E36D"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UKUPNI ODBICI OD DOPUNSKOG KAPITALA</w:t>
            </w:r>
          </w:p>
          <w:p w14:paraId="5BF2BF3D"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Članak 66. Uredbe (EU) br. 575/2013</w:t>
            </w:r>
          </w:p>
        </w:tc>
      </w:tr>
      <w:tr w:rsidR="006C0DAA" w:rsidRPr="00E37E07" w14:paraId="2273969A" w14:textId="77777777">
        <w:tc>
          <w:tcPr>
            <w:tcW w:w="1129" w:type="dxa"/>
          </w:tcPr>
          <w:p w14:paraId="1EDA945D"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0460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27A82AF"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Vlastiti instrumenti dopunskog kapitala</w:t>
            </w:r>
          </w:p>
          <w:p w14:paraId="70F457AD"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9. stavak 1. točka</w:t>
            </w:r>
            <w:r w:rsidRPr="00E37E07">
              <w:rPr>
                <w:rFonts w:ascii="Times New Roman" w:hAnsi="Times New Roman"/>
                <w:bCs/>
              </w:rPr>
              <w:t xml:space="preserve"> i.</w:t>
            </w:r>
            <w:r w:rsidRPr="00E37E07">
              <w:rPr>
                <w:rFonts w:ascii="Times New Roman" w:hAnsi="Times New Roman"/>
                <w:bCs/>
              </w:rPr>
              <w:t xml:space="preserve"> Uredbe (EU) 201</w:t>
            </w:r>
            <w:r w:rsidRPr="00E37E07">
              <w:rPr>
                <w:rFonts w:ascii="Times New Roman" w:hAnsi="Times New Roman"/>
                <w:bCs/>
              </w:rPr>
              <w:t>9/2033</w:t>
            </w:r>
          </w:p>
          <w:p w14:paraId="68D47B76" w14:textId="77777777" w:rsidR="006C0DAA" w:rsidRPr="00E37E07" w:rsidRDefault="00E37E07">
            <w:pPr>
              <w:pStyle w:val="InstructionsText"/>
              <w:rPr>
                <w:rStyle w:val="FormatvorlageInstructionsTabelleText"/>
                <w:rFonts w:ascii="Times New Roman" w:hAnsi="Times New Roman"/>
                <w:sz w:val="22"/>
                <w:szCs w:val="22"/>
              </w:rPr>
            </w:pPr>
            <w:r w:rsidRPr="00E37E07">
              <w:rPr>
                <w:sz w:val="22"/>
                <w:szCs w:val="22"/>
              </w:rPr>
              <w:t>Članak 63. točka (b) podtočka</w:t>
            </w:r>
            <w:r w:rsidRPr="00E37E07">
              <w:rPr>
                <w:sz w:val="22"/>
                <w:szCs w:val="22"/>
              </w:rPr>
              <w:t xml:space="preserve"> i.</w:t>
            </w:r>
            <w:r w:rsidRPr="00E37E07">
              <w:rPr>
                <w:sz w:val="22"/>
                <w:szCs w:val="22"/>
              </w:rPr>
              <w:t>, članak 66. točka (a) i članak 67. Uredbe (EU) br. 575/2013</w:t>
            </w:r>
          </w:p>
          <w:p w14:paraId="3A914232" w14:textId="77777777" w:rsidR="006C0DAA" w:rsidRPr="00E37E07" w:rsidRDefault="00E37E07">
            <w:pPr>
              <w:pStyle w:val="InstructionsText"/>
              <w:rPr>
                <w:rStyle w:val="FormatvorlageInstructionsTabelleText"/>
                <w:rFonts w:ascii="Times New Roman" w:hAnsi="Times New Roman"/>
                <w:sz w:val="22"/>
                <w:szCs w:val="22"/>
              </w:rPr>
            </w:pPr>
            <w:r w:rsidRPr="00E37E07">
              <w:rPr>
                <w:rStyle w:val="FormatvorlageInstructionsTabelleText"/>
                <w:rFonts w:ascii="Times New Roman" w:hAnsi="Times New Roman"/>
                <w:sz w:val="22"/>
                <w:szCs w:val="22"/>
              </w:rPr>
              <w:t xml:space="preserve">Vlastiti instrumenti dopunskog kapitala koje drži institucija ili grupa koja izvješćuje na datum izvješćivanja. </w:t>
            </w:r>
            <w:r w:rsidRPr="00E37E07">
              <w:rPr>
                <w:sz w:val="22"/>
                <w:szCs w:val="22"/>
              </w:rPr>
              <w:t>Podložno iznimkama iz članka 67. Uredbe (EU) br. 575/2013.</w:t>
            </w:r>
          </w:p>
          <w:p w14:paraId="71A55A51" w14:textId="77777777" w:rsidR="006C0DAA" w:rsidRPr="00E37E07" w:rsidRDefault="00E37E07">
            <w:pPr>
              <w:pStyle w:val="InstructionsText"/>
              <w:rPr>
                <w:rStyle w:val="FormatvorlageInstructionsTabelleText"/>
                <w:rFonts w:ascii="Times New Roman" w:hAnsi="Times New Roman"/>
                <w:sz w:val="22"/>
                <w:szCs w:val="22"/>
              </w:rPr>
            </w:pPr>
            <w:r w:rsidRPr="00E37E07">
              <w:rPr>
                <w:rStyle w:val="FormatvorlageInstructionsTabelleText"/>
                <w:rFonts w:ascii="Times New Roman" w:hAnsi="Times New Roman"/>
                <w:sz w:val="22"/>
                <w:szCs w:val="22"/>
              </w:rPr>
              <w:t>U ovom se retku ne iskazuju ulaganja u dionice uključena kao „instrumenti kapitala ko</w:t>
            </w:r>
            <w:r w:rsidRPr="00E37E07">
              <w:rPr>
                <w:rStyle w:val="FormatvorlageInstructionsTabelleText"/>
                <w:rFonts w:ascii="Times New Roman" w:hAnsi="Times New Roman"/>
                <w:sz w:val="22"/>
                <w:szCs w:val="22"/>
              </w:rPr>
              <w:t>ji se ne priznaju”.</w:t>
            </w:r>
          </w:p>
          <w:p w14:paraId="6F86D3AD" w14:textId="77777777" w:rsidR="006C0DAA" w:rsidRPr="00E37E07" w:rsidRDefault="00E37E07">
            <w:pPr>
              <w:pStyle w:val="InstructionsText"/>
              <w:rPr>
                <w:sz w:val="22"/>
                <w:szCs w:val="22"/>
              </w:rPr>
            </w:pPr>
            <w:r w:rsidRPr="00E37E07">
              <w:rPr>
                <w:rStyle w:val="FormatvorlageInstructionsTabelleText"/>
                <w:rFonts w:ascii="Times New Roman" w:hAnsi="Times New Roman"/>
                <w:sz w:val="22"/>
                <w:szCs w:val="22"/>
              </w:rPr>
              <w:t>Iznos koji se iskazuje uključuje premiju na dionice povezanu s vlastitim dionicama.</w:t>
            </w:r>
          </w:p>
        </w:tc>
      </w:tr>
      <w:tr w:rsidR="006C0DAA" w:rsidRPr="00E37E07" w14:paraId="660A530F" w14:textId="77777777">
        <w:tc>
          <w:tcPr>
            <w:tcW w:w="1129" w:type="dxa"/>
          </w:tcPr>
          <w:p w14:paraId="4765441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0470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2F1543D"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Izravna ulaganja u instrumente dopunskog kapitala</w:t>
            </w:r>
          </w:p>
          <w:p w14:paraId="4F3958A3" w14:textId="77777777" w:rsidR="006C0DAA" w:rsidRPr="00E37E07" w:rsidRDefault="00E37E07">
            <w:pPr>
              <w:pStyle w:val="InstructionsText"/>
              <w:rPr>
                <w:sz w:val="22"/>
                <w:szCs w:val="22"/>
              </w:rPr>
            </w:pPr>
            <w:r w:rsidRPr="00E37E07">
              <w:rPr>
                <w:sz w:val="22"/>
                <w:szCs w:val="22"/>
              </w:rPr>
              <w:t>Članak 63. točka (b), članak 66. točka (a) i članak 67. Uredbe (EU) br. 575/2013</w:t>
            </w:r>
          </w:p>
        </w:tc>
      </w:tr>
      <w:tr w:rsidR="006C0DAA" w:rsidRPr="00E37E07" w14:paraId="30910AA7" w14:textId="77777777">
        <w:tc>
          <w:tcPr>
            <w:tcW w:w="1129" w:type="dxa"/>
          </w:tcPr>
          <w:p w14:paraId="35214B3B"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0480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94FD5AC"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Neizravna ulaganja u instrumente dopunskog kapitala</w:t>
            </w:r>
          </w:p>
          <w:p w14:paraId="66C50D03"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rPr>
              <w:lastRenderedPageBreak/>
              <w:t>Članak 4. stavak 1. točka 114., članak 63. točka (b), članak 66. točka (a) i članak 67. Uredbe (EU) br. 575/2013</w:t>
            </w:r>
          </w:p>
        </w:tc>
      </w:tr>
      <w:tr w:rsidR="006C0DAA" w:rsidRPr="00E37E07" w14:paraId="4671E840" w14:textId="77777777">
        <w:tc>
          <w:tcPr>
            <w:tcW w:w="1129" w:type="dxa"/>
          </w:tcPr>
          <w:p w14:paraId="475264FC"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lastRenderedPageBreak/>
              <w:t>0490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EF8F9DA"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Sintetska ulaganja u instrumente dopunskog kapitala</w:t>
            </w:r>
          </w:p>
          <w:p w14:paraId="70960605"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rPr>
              <w:t xml:space="preserve">Članak 4. </w:t>
            </w:r>
            <w:r w:rsidRPr="00E37E07">
              <w:rPr>
                <w:rFonts w:ascii="Times New Roman" w:hAnsi="Times New Roman"/>
              </w:rPr>
              <w:t>stavak 1. točka 126., članak 63. točka (b), članak 66. točka (a) i članak 67. Uredbe (EU) br. 575/2013</w:t>
            </w:r>
          </w:p>
        </w:tc>
      </w:tr>
      <w:tr w:rsidR="006C0DAA" w:rsidRPr="00E37E07" w14:paraId="12868A94" w14:textId="77777777">
        <w:tc>
          <w:tcPr>
            <w:tcW w:w="1129" w:type="dxa"/>
            <w:tcBorders>
              <w:bottom w:val="single" w:sz="4" w:space="0" w:color="auto"/>
            </w:tcBorders>
          </w:tcPr>
          <w:p w14:paraId="1AE7B199"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0500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59505F6"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Instrumenti dopunskog kapitala subjekata financijskog sektora ako investicijsko društvo nema značajno ulaganje</w:t>
            </w:r>
          </w:p>
          <w:p w14:paraId="01127DDF"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9. stavak 2. točka (c) Ur</w:t>
            </w:r>
            <w:r w:rsidRPr="00E37E07">
              <w:rPr>
                <w:rFonts w:ascii="Times New Roman" w:hAnsi="Times New Roman"/>
                <w:bCs/>
              </w:rPr>
              <w:t>edbe (EU) 2019/2033</w:t>
            </w:r>
          </w:p>
          <w:p w14:paraId="3D737CC6"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Članak 66. točka (c) Uredbe (EU) br. 575/2013</w:t>
            </w:r>
          </w:p>
        </w:tc>
      </w:tr>
      <w:tr w:rsidR="006C0DAA" w:rsidRPr="00E37E07" w14:paraId="3FAE14B1" w14:textId="77777777">
        <w:tc>
          <w:tcPr>
            <w:tcW w:w="1129" w:type="dxa"/>
            <w:tcBorders>
              <w:top w:val="single" w:sz="4" w:space="0" w:color="auto"/>
              <w:bottom w:val="single" w:sz="4" w:space="0" w:color="auto"/>
            </w:tcBorders>
          </w:tcPr>
          <w:p w14:paraId="4E7F1C1E"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0510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D668841"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Instrumenti dopunskog kapitala subjekata financijskog sektora ako investicijsko društvo ima značajno ulaganje</w:t>
            </w:r>
          </w:p>
          <w:p w14:paraId="61863241" w14:textId="77777777" w:rsidR="006C0DAA" w:rsidRPr="00E37E07" w:rsidRDefault="00E37E07">
            <w:pPr>
              <w:pStyle w:val="InstructionsText"/>
              <w:rPr>
                <w:rStyle w:val="FormatvorlageInstructionsTabelleText"/>
                <w:rFonts w:ascii="Times New Roman" w:hAnsi="Times New Roman"/>
                <w:sz w:val="22"/>
                <w:szCs w:val="22"/>
              </w:rPr>
            </w:pPr>
            <w:r w:rsidRPr="00E37E07">
              <w:rPr>
                <w:sz w:val="22"/>
                <w:szCs w:val="22"/>
              </w:rPr>
              <w:t xml:space="preserve">Članak 4. stavak 1. točka 27., članak 66. točka (d) te </w:t>
            </w:r>
            <w:r w:rsidRPr="00E37E07">
              <w:rPr>
                <w:sz w:val="22"/>
                <w:szCs w:val="22"/>
              </w:rPr>
              <w:t>članci 68., 69 i 79. Uredbe (EU) br. 575/2013</w:t>
            </w:r>
          </w:p>
          <w:p w14:paraId="7442BF34"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rPr>
              <w:t>Ulaganja institucije u instrumente dopunskog kapitala subjekata financijskog sektora (kako su definirani u članku 4. stavku 1. točki 27. Uredbe (EU) br. 575/2013) ako investicijsko društvo ima značajno ulaganje</w:t>
            </w:r>
            <w:r w:rsidRPr="00E37E07">
              <w:rPr>
                <w:rFonts w:ascii="Times New Roman" w:hAnsi="Times New Roman"/>
              </w:rPr>
              <w:t xml:space="preserve"> koje je potrebno u potpunosti odbiti</w:t>
            </w:r>
          </w:p>
        </w:tc>
      </w:tr>
      <w:tr w:rsidR="006C0DAA" w:rsidRPr="00E37E07" w14:paraId="30793994" w14:textId="77777777">
        <w:tc>
          <w:tcPr>
            <w:tcW w:w="1129" w:type="dxa"/>
            <w:tcBorders>
              <w:top w:val="single" w:sz="4" w:space="0" w:color="auto"/>
              <w:bottom w:val="single" w:sz="4" w:space="0" w:color="auto"/>
            </w:tcBorders>
          </w:tcPr>
          <w:p w14:paraId="145CAC3C"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0520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2483CC8"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Dopunski kapital: drugi elementi kapitala, odbici i prilagodbe</w:t>
            </w:r>
          </w:p>
          <w:p w14:paraId="6850AD54"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Ovaj redak uključuje zbroj sljedećih stavki, ako je primjenjivo:</w:t>
            </w:r>
          </w:p>
          <w:p w14:paraId="7A166633" w14:textId="77777777" w:rsidR="006C0DAA" w:rsidRPr="00E37E07" w:rsidRDefault="00E37E07">
            <w:pPr>
              <w:spacing w:after="120" w:line="240" w:lineRule="auto"/>
              <w:ind w:left="360" w:hanging="360"/>
              <w:jc w:val="both"/>
              <w:rPr>
                <w:rFonts w:ascii="Times New Roman" w:eastAsia="Times New Roman" w:hAnsi="Times New Roman" w:cs="Times New Roman"/>
                <w:bCs/>
              </w:rPr>
            </w:pPr>
            <w:r w:rsidRPr="00E37E07">
              <w:rPr>
                <w:rFonts w:ascii="Times New Roman" w:eastAsia="Times New Roman" w:hAnsi="Times New Roman" w:cs="Times New Roman"/>
                <w:bCs/>
              </w:rPr>
              <w:t>—</w:t>
            </w:r>
            <w:r w:rsidRPr="00E37E07">
              <w:rPr>
                <w:rFonts w:ascii="Times New Roman" w:eastAsia="Times New Roman" w:hAnsi="Times New Roman" w:cs="Times New Roman"/>
                <w:bCs/>
              </w:rPr>
              <w:tab/>
            </w:r>
            <w:r w:rsidRPr="00E37E07">
              <w:rPr>
                <w:rFonts w:ascii="Times New Roman" w:hAnsi="Times New Roman"/>
                <w:bCs/>
              </w:rPr>
              <w:t xml:space="preserve">prijelazna usklađenja na temelju instrumenata dopunskog kapitala koji se </w:t>
            </w:r>
            <w:r w:rsidRPr="00E37E07">
              <w:rPr>
                <w:rFonts w:ascii="Times New Roman" w:hAnsi="Times New Roman"/>
                <w:bCs/>
              </w:rPr>
              <w:t>nastavljaju priznavati (članak 483. stavci 6. i 7., članci 484., 486., 488., 490. i 491. Uredbe (EU) br. 575/2013),</w:t>
            </w:r>
          </w:p>
          <w:p w14:paraId="485BA7F1" w14:textId="77777777" w:rsidR="006C0DAA" w:rsidRPr="00E37E07" w:rsidRDefault="00E37E07">
            <w:pPr>
              <w:spacing w:after="120" w:line="240" w:lineRule="auto"/>
              <w:ind w:left="360" w:hanging="360"/>
              <w:jc w:val="both"/>
              <w:rPr>
                <w:rFonts w:ascii="Times New Roman" w:eastAsia="Times New Roman" w:hAnsi="Times New Roman" w:cs="Times New Roman"/>
                <w:bCs/>
              </w:rPr>
            </w:pPr>
            <w:r w:rsidRPr="00E37E07">
              <w:rPr>
                <w:rFonts w:ascii="Times New Roman" w:eastAsia="Times New Roman" w:hAnsi="Times New Roman" w:cs="Times New Roman"/>
                <w:bCs/>
              </w:rPr>
              <w:t>—</w:t>
            </w:r>
            <w:r w:rsidRPr="00E37E07">
              <w:rPr>
                <w:rFonts w:ascii="Times New Roman" w:eastAsia="Times New Roman" w:hAnsi="Times New Roman" w:cs="Times New Roman"/>
                <w:bCs/>
              </w:rPr>
              <w:tab/>
            </w:r>
            <w:r w:rsidRPr="00E37E07">
              <w:rPr>
                <w:rFonts w:ascii="Times New Roman" w:hAnsi="Times New Roman"/>
                <w:bCs/>
              </w:rPr>
              <w:t>instrumenti društava kćeri koji su priznati u dopunskom kapitalu (članci 83., 87. i 88. Uredbe (EU) br. 575/2013): zbroj svih iznosa kvali</w:t>
            </w:r>
            <w:r w:rsidRPr="00E37E07">
              <w:rPr>
                <w:rFonts w:ascii="Times New Roman" w:hAnsi="Times New Roman"/>
                <w:bCs/>
              </w:rPr>
              <w:t>ficiranog regulatornog kapitala društava kćeri koji je uključen u konsolidirani dopunski kapital, uključujući i kvalificirani dopunski kapital koji izdaje subjekt posebne namjene (članak 83. Uredbe (EU) br. 575/2013),</w:t>
            </w:r>
          </w:p>
          <w:p w14:paraId="7F46944D" w14:textId="77777777" w:rsidR="006C0DAA" w:rsidRPr="00E37E07" w:rsidRDefault="00E37E07">
            <w:pPr>
              <w:spacing w:after="120" w:line="240" w:lineRule="auto"/>
              <w:ind w:left="360" w:hanging="360"/>
              <w:jc w:val="both"/>
              <w:rPr>
                <w:rFonts w:ascii="Times New Roman" w:eastAsia="Times New Roman" w:hAnsi="Times New Roman" w:cs="Times New Roman"/>
                <w:bCs/>
              </w:rPr>
            </w:pPr>
            <w:r w:rsidRPr="00E37E07">
              <w:rPr>
                <w:rFonts w:ascii="Times New Roman" w:eastAsia="Times New Roman" w:hAnsi="Times New Roman" w:cs="Times New Roman"/>
                <w:bCs/>
              </w:rPr>
              <w:t>—</w:t>
            </w:r>
            <w:r w:rsidRPr="00E37E07">
              <w:rPr>
                <w:rFonts w:ascii="Times New Roman" w:eastAsia="Times New Roman" w:hAnsi="Times New Roman" w:cs="Times New Roman"/>
                <w:bCs/>
              </w:rPr>
              <w:tab/>
            </w:r>
            <w:r w:rsidRPr="00E37E07">
              <w:rPr>
                <w:rFonts w:ascii="Times New Roman" w:hAnsi="Times New Roman"/>
                <w:bCs/>
              </w:rPr>
              <w:t>prijelazna usklađenja na temelju dod</w:t>
            </w:r>
            <w:r w:rsidRPr="00E37E07">
              <w:rPr>
                <w:rFonts w:ascii="Times New Roman" w:hAnsi="Times New Roman"/>
                <w:bCs/>
              </w:rPr>
              <w:t>atnog priznavanja instrumenata društava kćeri u dopunskom kapitalu (članak 480. Uredbe (EU) br. 575/2013): usklađenja kvalificiranog regulatornog kapitala uključenog u konsolidirani dopunski kapital zbog prijelaznih odredbi,</w:t>
            </w:r>
          </w:p>
          <w:p w14:paraId="51B44050" w14:textId="77777777" w:rsidR="006C0DAA" w:rsidRPr="00E37E07" w:rsidRDefault="00E37E07">
            <w:pPr>
              <w:spacing w:after="120" w:line="240" w:lineRule="auto"/>
              <w:ind w:left="360" w:hanging="360"/>
              <w:jc w:val="both"/>
              <w:rPr>
                <w:rFonts w:ascii="Times New Roman" w:eastAsia="Times New Roman" w:hAnsi="Times New Roman" w:cs="Times New Roman"/>
                <w:bCs/>
              </w:rPr>
            </w:pPr>
            <w:r w:rsidRPr="00E37E07">
              <w:rPr>
                <w:rFonts w:ascii="Times New Roman" w:eastAsia="Times New Roman" w:hAnsi="Times New Roman" w:cs="Times New Roman"/>
                <w:bCs/>
              </w:rPr>
              <w:t>—</w:t>
            </w:r>
            <w:r w:rsidRPr="00E37E07">
              <w:rPr>
                <w:rFonts w:ascii="Times New Roman" w:eastAsia="Times New Roman" w:hAnsi="Times New Roman" w:cs="Times New Roman"/>
                <w:bCs/>
              </w:rPr>
              <w:tab/>
            </w:r>
            <w:r w:rsidRPr="00E37E07">
              <w:rPr>
                <w:rFonts w:ascii="Times New Roman" w:hAnsi="Times New Roman"/>
                <w:bCs/>
              </w:rPr>
              <w:t>druga prijelazna usklađenja d</w:t>
            </w:r>
            <w:r w:rsidRPr="00E37E07">
              <w:rPr>
                <w:rFonts w:ascii="Times New Roman" w:hAnsi="Times New Roman"/>
                <w:bCs/>
              </w:rPr>
              <w:t>opunskog kapitala (članci 472., 473.a, 476., 477., 478. i 481. Uredbe (EU) br. 575/2013): usklađenja odbitaka od dopunskog kapitala na temelju prijelaznih odredbi,</w:t>
            </w:r>
          </w:p>
          <w:p w14:paraId="0B141E19" w14:textId="77777777" w:rsidR="006C0DAA" w:rsidRPr="00E37E07" w:rsidRDefault="00E37E07">
            <w:pPr>
              <w:spacing w:after="120" w:line="240" w:lineRule="auto"/>
              <w:ind w:left="360" w:hanging="360"/>
              <w:jc w:val="both"/>
              <w:rPr>
                <w:rFonts w:ascii="Times New Roman" w:eastAsia="Times New Roman" w:hAnsi="Times New Roman" w:cs="Times New Roman"/>
                <w:bCs/>
              </w:rPr>
            </w:pPr>
            <w:r w:rsidRPr="00E37E07">
              <w:rPr>
                <w:rFonts w:ascii="Times New Roman" w:eastAsia="Times New Roman" w:hAnsi="Times New Roman" w:cs="Times New Roman"/>
                <w:bCs/>
              </w:rPr>
              <w:t>—</w:t>
            </w:r>
            <w:r w:rsidRPr="00E37E07">
              <w:rPr>
                <w:rFonts w:ascii="Times New Roman" w:eastAsia="Times New Roman" w:hAnsi="Times New Roman" w:cs="Times New Roman"/>
                <w:bCs/>
              </w:rPr>
              <w:tab/>
            </w:r>
            <w:r w:rsidRPr="00E37E07">
              <w:rPr>
                <w:rFonts w:ascii="Times New Roman" w:hAnsi="Times New Roman"/>
                <w:bCs/>
              </w:rPr>
              <w:t xml:space="preserve">odbitak od stavki dopunskog kapitala koji premašuje dopunski kapital, odbijen od redovnog </w:t>
            </w:r>
            <w:r w:rsidRPr="00E37E07">
              <w:rPr>
                <w:rFonts w:ascii="Times New Roman" w:hAnsi="Times New Roman"/>
                <w:bCs/>
              </w:rPr>
              <w:t>osnovnog kapitala u skladu s člankom 56. točkom (e) Uredbe (EU) br. 575/2013: dopunski kapital ne može biti negativan, ali moguće je da odbici od stavki dopunskog kapitala premašuju iznos dostupnih stavki dopunskog kapitala. U tom slučaju, u ovoj se stavci</w:t>
            </w:r>
            <w:r w:rsidRPr="00E37E07">
              <w:rPr>
                <w:rFonts w:ascii="Times New Roman" w:hAnsi="Times New Roman"/>
                <w:bCs/>
              </w:rPr>
              <w:t xml:space="preserve"> izražava iznos potreban da bi se iznos iskazan u retku 0420 povećao na nulu,</w:t>
            </w:r>
          </w:p>
          <w:p w14:paraId="1DD3612D" w14:textId="77777777" w:rsidR="006C0DAA" w:rsidRPr="00E37E07" w:rsidRDefault="00E37E07">
            <w:pPr>
              <w:spacing w:after="120" w:line="240" w:lineRule="auto"/>
              <w:ind w:left="360" w:hanging="360"/>
              <w:jc w:val="both"/>
              <w:rPr>
                <w:rFonts w:ascii="Times New Roman" w:eastAsia="Times New Roman" w:hAnsi="Times New Roman" w:cs="Times New Roman"/>
                <w:bCs/>
              </w:rPr>
            </w:pPr>
            <w:r w:rsidRPr="00E37E07">
              <w:rPr>
                <w:rFonts w:ascii="Times New Roman" w:eastAsia="Times New Roman" w:hAnsi="Times New Roman" w:cs="Times New Roman"/>
                <w:bCs/>
              </w:rPr>
              <w:t>—</w:t>
            </w:r>
            <w:r w:rsidRPr="00E37E07">
              <w:rPr>
                <w:rFonts w:ascii="Times New Roman" w:eastAsia="Times New Roman" w:hAnsi="Times New Roman" w:cs="Times New Roman"/>
                <w:bCs/>
              </w:rPr>
              <w:tab/>
            </w:r>
            <w:r w:rsidRPr="00E37E07">
              <w:rPr>
                <w:rFonts w:ascii="Times New Roman" w:hAnsi="Times New Roman"/>
                <w:bCs/>
              </w:rPr>
              <w:t>drugi elementi dopunskog kapitala ili odbici od elementa dopunskog kapitala koji se ne mogu rasporediti u jedan od redaka od 0430 do 0510.</w:t>
            </w:r>
          </w:p>
          <w:p w14:paraId="5143C8BF"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 xml:space="preserve">Ovaj se redak ne koristi za </w:t>
            </w:r>
            <w:r w:rsidRPr="00E37E07">
              <w:rPr>
                <w:rFonts w:ascii="Times New Roman" w:hAnsi="Times New Roman"/>
                <w:bCs/>
              </w:rPr>
              <w:t>uključivanje stavki kapitala ili odbitaka koji nisu obuhvaćeni Uredbom (EU) 2019/2033 ili Uredbom (EU) br. 575/2013 u izračun stopa solventnosti.</w:t>
            </w:r>
          </w:p>
        </w:tc>
      </w:tr>
    </w:tbl>
    <w:p w14:paraId="35A2B5B6" w14:textId="77777777" w:rsidR="006C0DAA" w:rsidRPr="00E37E07" w:rsidRDefault="006C0DAA">
      <w:pPr>
        <w:keepNext/>
        <w:spacing w:before="240" w:after="240" w:line="240" w:lineRule="auto"/>
        <w:jc w:val="both"/>
        <w:outlineLvl w:val="1"/>
        <w:rPr>
          <w:rFonts w:ascii="Times New Roman" w:eastAsia="Arial" w:hAnsi="Times New Roman" w:cs="Times New Roman"/>
          <w:sz w:val="24"/>
          <w:szCs w:val="24"/>
        </w:rPr>
      </w:pPr>
    </w:p>
    <w:p w14:paraId="3E21E3E1" w14:textId="77777777" w:rsidR="006C0DAA" w:rsidRPr="00E37E07" w:rsidRDefault="00E37E0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9" w:name="_Toc88218388"/>
      <w:r w:rsidRPr="00E37E07">
        <w:rPr>
          <w:rFonts w:ascii="Times New Roman" w:hAnsi="Times New Roman"/>
          <w:sz w:val="24"/>
          <w:szCs w:val="24"/>
          <w:u w:val="single"/>
        </w:rPr>
        <w:t>1.3. I 02.01 – KAPITALNI ZAHTJEVI (I 2.1)</w:t>
      </w:r>
      <w:bookmarkEnd w:id="29"/>
    </w:p>
    <w:p w14:paraId="353003A2" w14:textId="77777777" w:rsidR="006C0DAA" w:rsidRPr="00E37E07" w:rsidRDefault="00E37E0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0" w:name="_Toc88218389"/>
      <w:r w:rsidRPr="00E37E07">
        <w:rPr>
          <w:rFonts w:ascii="Times New Roman" w:hAnsi="Times New Roman"/>
          <w:sz w:val="24"/>
          <w:szCs w:val="24"/>
        </w:rPr>
        <w:t>1.3.1</w:t>
      </w:r>
      <w:r w:rsidRPr="00E37E07">
        <w:rPr>
          <w:rFonts w:ascii="Times New Roman" w:hAnsi="Times New Roman"/>
          <w:sz w:val="24"/>
          <w:szCs w:val="24"/>
        </w:rPr>
        <w:tab/>
      </w:r>
      <w:r w:rsidRPr="00E37E07">
        <w:rPr>
          <w:rFonts w:ascii="Times New Roman" w:hAnsi="Times New Roman"/>
          <w:sz w:val="24"/>
          <w:szCs w:val="24"/>
          <w:u w:val="single"/>
        </w:rPr>
        <w:t>Upute za specifične pozicije</w:t>
      </w:r>
      <w:bookmarkEnd w:id="3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C0DAA" w:rsidRPr="00E37E07" w14:paraId="0F20591D" w14:textId="77777777">
        <w:tc>
          <w:tcPr>
            <w:tcW w:w="1129" w:type="dxa"/>
            <w:shd w:val="clear" w:color="auto" w:fill="D9D9D9"/>
          </w:tcPr>
          <w:p w14:paraId="0E082FFA"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color w:val="000000" w:themeColor="text1"/>
              </w:rPr>
              <w:t>Redak</w:t>
            </w:r>
          </w:p>
        </w:tc>
        <w:tc>
          <w:tcPr>
            <w:tcW w:w="7620" w:type="dxa"/>
            <w:shd w:val="clear" w:color="auto" w:fill="D9D9D9"/>
          </w:tcPr>
          <w:p w14:paraId="6B25404A"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color w:val="000000" w:themeColor="text1"/>
              </w:rPr>
              <w:t xml:space="preserve">Pravna osnova i </w:t>
            </w:r>
            <w:r w:rsidRPr="00E37E07">
              <w:rPr>
                <w:rFonts w:ascii="Times New Roman" w:hAnsi="Times New Roman"/>
                <w:color w:val="000000" w:themeColor="text1"/>
              </w:rPr>
              <w:t>upute</w:t>
            </w:r>
          </w:p>
        </w:tc>
      </w:tr>
      <w:tr w:rsidR="006C0DAA" w:rsidRPr="00E37E07" w14:paraId="3F283361" w14:textId="77777777">
        <w:tc>
          <w:tcPr>
            <w:tcW w:w="1129" w:type="dxa"/>
          </w:tcPr>
          <w:p w14:paraId="67075552"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0010</w:t>
            </w:r>
          </w:p>
        </w:tc>
        <w:tc>
          <w:tcPr>
            <w:tcW w:w="7620" w:type="dxa"/>
          </w:tcPr>
          <w:p w14:paraId="1F6115F0"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Kapitalni zahtjevi</w:t>
            </w:r>
          </w:p>
          <w:p w14:paraId="6A936849"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Članak 11. stavak 1. Uredbe (EU) 2019/2033</w:t>
            </w:r>
          </w:p>
          <w:p w14:paraId="34149907" w14:textId="77777777" w:rsidR="006C0DAA" w:rsidRPr="00E37E07" w:rsidRDefault="00E37E07">
            <w:pPr>
              <w:spacing w:after="120" w:line="240" w:lineRule="auto"/>
              <w:jc w:val="both"/>
              <w:rPr>
                <w:rFonts w:ascii="Times New Roman" w:eastAsia="Times New Roman" w:hAnsi="Times New Roman" w:cs="Times New Roman"/>
                <w:bCs/>
                <w:i/>
                <w:color w:val="000000" w:themeColor="text1"/>
              </w:rPr>
            </w:pPr>
            <w:r w:rsidRPr="00E37E07">
              <w:rPr>
                <w:rFonts w:ascii="Times New Roman" w:hAnsi="Times New Roman"/>
                <w:bCs/>
              </w:rPr>
              <w:t>Iskazuje se iznos bez primjene članka 57. stavaka 3., 4. ili 6. Uredbe (EU) 2019/2033.</w:t>
            </w:r>
          </w:p>
          <w:p w14:paraId="153F7996"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Iznos koji se iskazuje u ovom retku najviši je iznos iskazan u redcima 0020, 0030 i 0040.</w:t>
            </w:r>
          </w:p>
        </w:tc>
      </w:tr>
      <w:tr w:rsidR="006C0DAA" w:rsidRPr="00E37E07" w14:paraId="7B3DB11B" w14:textId="77777777">
        <w:tc>
          <w:tcPr>
            <w:tcW w:w="1129" w:type="dxa"/>
          </w:tcPr>
          <w:p w14:paraId="0447D972"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0020</w:t>
            </w:r>
          </w:p>
        </w:tc>
        <w:tc>
          <w:tcPr>
            <w:tcW w:w="7620" w:type="dxa"/>
          </w:tcPr>
          <w:p w14:paraId="536DAFA6"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Zahtjev za trajni minimalni kapital</w:t>
            </w:r>
          </w:p>
          <w:p w14:paraId="31F846DA"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Članak 14. Uredbe (EU) 2019/2033</w:t>
            </w:r>
          </w:p>
          <w:p w14:paraId="1CC2E0FB"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Cs/>
              </w:rPr>
              <w:t>Iskazuje se iznos bez primjene članka 57. stavaka 3., 4. ili 6. Uredbe (EU) 2019/2033.</w:t>
            </w:r>
          </w:p>
        </w:tc>
      </w:tr>
      <w:tr w:rsidR="006C0DAA" w:rsidRPr="00E37E07" w14:paraId="71782EE6" w14:textId="77777777">
        <w:tc>
          <w:tcPr>
            <w:tcW w:w="1129" w:type="dxa"/>
          </w:tcPr>
          <w:p w14:paraId="08C0544B"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0030</w:t>
            </w:r>
          </w:p>
        </w:tc>
        <w:tc>
          <w:tcPr>
            <w:tcW w:w="7620" w:type="dxa"/>
          </w:tcPr>
          <w:p w14:paraId="556E81E9"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Zahtjev za fiksne opće troškove</w:t>
            </w:r>
          </w:p>
          <w:p w14:paraId="0B7A981F"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Članak 13. Uredbe (EU) 2019/2033</w:t>
            </w:r>
          </w:p>
          <w:p w14:paraId="792A93E2"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Cs/>
              </w:rPr>
              <w:t>Iskazuje se iznos bez pr</w:t>
            </w:r>
            <w:r w:rsidRPr="00E37E07">
              <w:rPr>
                <w:rFonts w:ascii="Times New Roman" w:hAnsi="Times New Roman"/>
                <w:bCs/>
              </w:rPr>
              <w:t>imjene članka 57. stavaka 3., 4. ili 6. Uredbe (EU) 2019/2033.</w:t>
            </w:r>
          </w:p>
        </w:tc>
      </w:tr>
      <w:tr w:rsidR="006C0DAA" w:rsidRPr="00E37E07" w14:paraId="19799178" w14:textId="77777777">
        <w:tc>
          <w:tcPr>
            <w:tcW w:w="1129" w:type="dxa"/>
          </w:tcPr>
          <w:p w14:paraId="2AAC19AE"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0040</w:t>
            </w:r>
          </w:p>
        </w:tc>
        <w:tc>
          <w:tcPr>
            <w:tcW w:w="7620" w:type="dxa"/>
          </w:tcPr>
          <w:p w14:paraId="2761DFE2"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Ukupni zahtjev za faktor K</w:t>
            </w:r>
          </w:p>
          <w:p w14:paraId="70D6B95D"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Članak 15. Uredbe (EU) 2019/2033</w:t>
            </w:r>
          </w:p>
          <w:p w14:paraId="789223EF"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Cs/>
              </w:rPr>
              <w:t>Iskazuje se iznos bez primjene članka 57. stavaka 3., 4. ili 6. Uredbe (EU) 2019/2033.</w:t>
            </w:r>
          </w:p>
        </w:tc>
      </w:tr>
      <w:tr w:rsidR="006C0DAA" w:rsidRPr="00E37E07" w14:paraId="476D3F2D" w14:textId="77777777">
        <w:tc>
          <w:tcPr>
            <w:tcW w:w="1129" w:type="dxa"/>
          </w:tcPr>
          <w:p w14:paraId="67CE75FE"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0050 – 0100</w:t>
            </w:r>
          </w:p>
        </w:tc>
        <w:tc>
          <w:tcPr>
            <w:tcW w:w="7620" w:type="dxa"/>
          </w:tcPr>
          <w:p w14:paraId="76918376"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Prijelazni kapitalni zahtje</w:t>
            </w:r>
            <w:r w:rsidRPr="00E37E07">
              <w:rPr>
                <w:rFonts w:ascii="Times New Roman" w:hAnsi="Times New Roman"/>
                <w:b/>
                <w:bCs/>
                <w:color w:val="000000" w:themeColor="text1"/>
                <w:u w:val="single"/>
              </w:rPr>
              <w:t>vi</w:t>
            </w:r>
          </w:p>
        </w:tc>
      </w:tr>
      <w:tr w:rsidR="006C0DAA" w:rsidRPr="00E37E07" w14:paraId="047AABA7" w14:textId="77777777">
        <w:tc>
          <w:tcPr>
            <w:tcW w:w="1129" w:type="dxa"/>
          </w:tcPr>
          <w:p w14:paraId="451D7E2F"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0050</w:t>
            </w:r>
          </w:p>
        </w:tc>
        <w:tc>
          <w:tcPr>
            <w:tcW w:w="7620" w:type="dxa"/>
          </w:tcPr>
          <w:p w14:paraId="177EACF0"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Prijelazni zahtjev koji se temelji na kapitalnim zahtjevima iz Uredbe (EU) br. 575/2013</w:t>
            </w:r>
          </w:p>
          <w:p w14:paraId="71BD412F"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Cs/>
              </w:rPr>
              <w:t>Članak 57. stavak 3. točka (a) Uredbe (EU) br. 2019/2033</w:t>
            </w:r>
          </w:p>
        </w:tc>
      </w:tr>
      <w:tr w:rsidR="006C0DAA" w:rsidRPr="00E37E07" w14:paraId="20D7DD03" w14:textId="77777777">
        <w:tc>
          <w:tcPr>
            <w:tcW w:w="1129" w:type="dxa"/>
          </w:tcPr>
          <w:p w14:paraId="7117D7A4"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0060</w:t>
            </w:r>
          </w:p>
        </w:tc>
        <w:tc>
          <w:tcPr>
            <w:tcW w:w="7620" w:type="dxa"/>
          </w:tcPr>
          <w:p w14:paraId="3AB8B4B3"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Prijelazni zahtjev koji se temelji na zahtjevima za fiksne opće troškove</w:t>
            </w:r>
          </w:p>
          <w:p w14:paraId="5AF91643"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Cs/>
              </w:rPr>
              <w:t xml:space="preserve">Članak 57. </w:t>
            </w:r>
            <w:r w:rsidRPr="00E37E07">
              <w:rPr>
                <w:rFonts w:ascii="Times New Roman" w:hAnsi="Times New Roman"/>
                <w:bCs/>
              </w:rPr>
              <w:t>stavak 3. točka (b) Uredbe (EU) 2019/2033</w:t>
            </w:r>
          </w:p>
        </w:tc>
      </w:tr>
      <w:tr w:rsidR="006C0DAA" w:rsidRPr="00E37E07" w14:paraId="2FFA6BDE" w14:textId="77777777">
        <w:tc>
          <w:tcPr>
            <w:tcW w:w="1129" w:type="dxa"/>
          </w:tcPr>
          <w:p w14:paraId="1446794F"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0070</w:t>
            </w:r>
          </w:p>
        </w:tc>
        <w:tc>
          <w:tcPr>
            <w:tcW w:w="7620" w:type="dxa"/>
          </w:tcPr>
          <w:p w14:paraId="6EA88E88"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Prijelazni zahtjev za investicijska društva na koja se prije primjenjivao samo zahtjev za inicijalni kapital</w:t>
            </w:r>
          </w:p>
          <w:p w14:paraId="5370F882"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Cs/>
              </w:rPr>
              <w:t>Članak 57. stavak 4. točka (a) Uredbe (EU) br. 2019/2033</w:t>
            </w:r>
          </w:p>
        </w:tc>
      </w:tr>
      <w:tr w:rsidR="006C0DAA" w:rsidRPr="00E37E07" w14:paraId="663BBAAC" w14:textId="77777777">
        <w:tc>
          <w:tcPr>
            <w:tcW w:w="1129" w:type="dxa"/>
          </w:tcPr>
          <w:p w14:paraId="3508F8EB"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0080</w:t>
            </w:r>
          </w:p>
        </w:tc>
        <w:tc>
          <w:tcPr>
            <w:tcW w:w="7620" w:type="dxa"/>
          </w:tcPr>
          <w:p w14:paraId="34421DF9"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Prijelazni zahtjev koji se temelji n</w:t>
            </w:r>
            <w:r w:rsidRPr="00E37E07">
              <w:rPr>
                <w:rFonts w:ascii="Times New Roman" w:hAnsi="Times New Roman"/>
                <w:b/>
                <w:bCs/>
                <w:color w:val="000000" w:themeColor="text1"/>
                <w:u w:val="single"/>
              </w:rPr>
              <w:t>a zahtjevu za inicijalni kapital pri izdavanju odobrenja za rad</w:t>
            </w:r>
          </w:p>
          <w:p w14:paraId="6784A1B0"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Cs/>
              </w:rPr>
              <w:t>Članak 57. stavak 4. točka (b) Uredbe (EU) 2019/2033</w:t>
            </w:r>
          </w:p>
        </w:tc>
      </w:tr>
      <w:tr w:rsidR="006C0DAA" w:rsidRPr="00E37E07" w14:paraId="5AAA5759" w14:textId="77777777">
        <w:tc>
          <w:tcPr>
            <w:tcW w:w="1129" w:type="dxa"/>
          </w:tcPr>
          <w:p w14:paraId="1C753B3E"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0090</w:t>
            </w:r>
          </w:p>
        </w:tc>
        <w:tc>
          <w:tcPr>
            <w:tcW w:w="7620" w:type="dxa"/>
          </w:tcPr>
          <w:p w14:paraId="586E7C6F"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Prijelazni zahtjev za investicijska društva koja nemaju odobrenje za pružanje određenih usluga</w:t>
            </w:r>
          </w:p>
          <w:p w14:paraId="21A89008"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rPr>
              <w:t xml:space="preserve">Članak 57. stavak 4. točka (c) </w:t>
            </w:r>
            <w:r w:rsidRPr="00E37E07">
              <w:rPr>
                <w:rFonts w:ascii="Times New Roman" w:hAnsi="Times New Roman"/>
                <w:bCs/>
              </w:rPr>
              <w:t>Uredbe (EU) 2019/2033</w:t>
            </w:r>
          </w:p>
        </w:tc>
      </w:tr>
      <w:tr w:rsidR="006C0DAA" w:rsidRPr="00E37E07" w14:paraId="32DE4D11" w14:textId="77777777">
        <w:tc>
          <w:tcPr>
            <w:tcW w:w="1129" w:type="dxa"/>
          </w:tcPr>
          <w:p w14:paraId="53E5E65E"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0100</w:t>
            </w:r>
          </w:p>
        </w:tc>
        <w:tc>
          <w:tcPr>
            <w:tcW w:w="7620" w:type="dxa"/>
          </w:tcPr>
          <w:p w14:paraId="35C399B6"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Prijelazni zahtjev od najmanje 250 000 EUR</w:t>
            </w:r>
          </w:p>
          <w:p w14:paraId="2BECB4BC"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Cs/>
              </w:rPr>
              <w:lastRenderedPageBreak/>
              <w:t>Članak 57. stavak 6. Uredbe (EU) 2019/2033</w:t>
            </w:r>
          </w:p>
        </w:tc>
      </w:tr>
      <w:tr w:rsidR="006C0DAA" w:rsidRPr="00E37E07" w14:paraId="36A0179C" w14:textId="77777777">
        <w:tc>
          <w:tcPr>
            <w:tcW w:w="1129" w:type="dxa"/>
          </w:tcPr>
          <w:p w14:paraId="153F4491"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lastRenderedPageBreak/>
              <w:t>0110 – 0130</w:t>
            </w:r>
          </w:p>
        </w:tc>
        <w:tc>
          <w:tcPr>
            <w:tcW w:w="7620" w:type="dxa"/>
          </w:tcPr>
          <w:p w14:paraId="37363BC7"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Bilješke</w:t>
            </w:r>
          </w:p>
        </w:tc>
      </w:tr>
      <w:tr w:rsidR="006C0DAA" w:rsidRPr="00E37E07" w14:paraId="4BD7C2E1" w14:textId="77777777">
        <w:tc>
          <w:tcPr>
            <w:tcW w:w="1129" w:type="dxa"/>
            <w:tcBorders>
              <w:top w:val="single" w:sz="4" w:space="0" w:color="auto"/>
              <w:left w:val="single" w:sz="4" w:space="0" w:color="auto"/>
              <w:bottom w:val="single" w:sz="4" w:space="0" w:color="auto"/>
              <w:right w:val="single" w:sz="4" w:space="0" w:color="auto"/>
            </w:tcBorders>
          </w:tcPr>
          <w:p w14:paraId="36B69F1A"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0110</w:t>
            </w:r>
          </w:p>
        </w:tc>
        <w:tc>
          <w:tcPr>
            <w:tcW w:w="7620" w:type="dxa"/>
            <w:tcBorders>
              <w:top w:val="single" w:sz="4" w:space="0" w:color="auto"/>
              <w:left w:val="single" w:sz="4" w:space="0" w:color="auto"/>
              <w:bottom w:val="single" w:sz="4" w:space="0" w:color="auto"/>
              <w:right w:val="single" w:sz="4" w:space="0" w:color="auto"/>
            </w:tcBorders>
          </w:tcPr>
          <w:p w14:paraId="170283B6"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Dodatni kapitalni zahtjevi</w:t>
            </w:r>
          </w:p>
          <w:p w14:paraId="568399BC"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Članak 40. Direktive (EU) 2019/2034</w:t>
            </w:r>
          </w:p>
          <w:p w14:paraId="11AD991E"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Cs/>
                <w:color w:val="000000" w:themeColor="text1"/>
              </w:rPr>
              <w:t xml:space="preserve">Dodatni regulatorni kapital potreban nakon </w:t>
            </w:r>
            <w:r w:rsidRPr="00E37E07">
              <w:rPr>
                <w:rFonts w:ascii="Times New Roman" w:hAnsi="Times New Roman"/>
                <w:bCs/>
                <w:color w:val="000000" w:themeColor="text1"/>
              </w:rPr>
              <w:t>postupka nadzorne provjere i ocjene (SREP)</w:t>
            </w:r>
          </w:p>
        </w:tc>
      </w:tr>
      <w:tr w:rsidR="006C0DAA" w:rsidRPr="00E37E07" w14:paraId="75D25A91" w14:textId="77777777">
        <w:tc>
          <w:tcPr>
            <w:tcW w:w="1129" w:type="dxa"/>
            <w:tcBorders>
              <w:top w:val="single" w:sz="4" w:space="0" w:color="auto"/>
              <w:left w:val="single" w:sz="4" w:space="0" w:color="auto"/>
              <w:bottom w:val="single" w:sz="4" w:space="0" w:color="auto"/>
              <w:right w:val="single" w:sz="4" w:space="0" w:color="auto"/>
            </w:tcBorders>
          </w:tcPr>
          <w:p w14:paraId="2F5C074F"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0120</w:t>
            </w:r>
          </w:p>
        </w:tc>
        <w:tc>
          <w:tcPr>
            <w:tcW w:w="7620" w:type="dxa"/>
            <w:tcBorders>
              <w:top w:val="single" w:sz="4" w:space="0" w:color="auto"/>
              <w:left w:val="single" w:sz="4" w:space="0" w:color="auto"/>
              <w:bottom w:val="single" w:sz="4" w:space="0" w:color="auto"/>
              <w:right w:val="single" w:sz="4" w:space="0" w:color="auto"/>
            </w:tcBorders>
          </w:tcPr>
          <w:p w14:paraId="789125CE"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Smjernica o dodatnom regulatornom kapitalu</w:t>
            </w:r>
          </w:p>
          <w:p w14:paraId="7364544E"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rPr>
              <w:t>Članak 41. Direktive (EU) 2019/2034</w:t>
            </w:r>
          </w:p>
          <w:p w14:paraId="6B0339EE"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Cs/>
                <w:color w:val="000000" w:themeColor="text1"/>
              </w:rPr>
              <w:t>Dodatni regulatorni kapital potreban kao dodatne smjernice o regulatornom kapitalu</w:t>
            </w:r>
          </w:p>
        </w:tc>
      </w:tr>
      <w:tr w:rsidR="006C0DAA" w:rsidRPr="00E37E07" w14:paraId="5EAB537D" w14:textId="77777777">
        <w:tc>
          <w:tcPr>
            <w:tcW w:w="1129" w:type="dxa"/>
            <w:tcBorders>
              <w:top w:val="single" w:sz="4" w:space="0" w:color="auto"/>
              <w:left w:val="single" w:sz="4" w:space="0" w:color="auto"/>
              <w:bottom w:val="single" w:sz="4" w:space="0" w:color="auto"/>
              <w:right w:val="single" w:sz="4" w:space="0" w:color="auto"/>
            </w:tcBorders>
          </w:tcPr>
          <w:p w14:paraId="21E9574D"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0130</w:t>
            </w:r>
          </w:p>
        </w:tc>
        <w:tc>
          <w:tcPr>
            <w:tcW w:w="7620" w:type="dxa"/>
            <w:tcBorders>
              <w:top w:val="single" w:sz="4" w:space="0" w:color="auto"/>
              <w:left w:val="single" w:sz="4" w:space="0" w:color="auto"/>
              <w:bottom w:val="single" w:sz="4" w:space="0" w:color="auto"/>
              <w:right w:val="single" w:sz="4" w:space="0" w:color="auto"/>
            </w:tcBorders>
          </w:tcPr>
          <w:p w14:paraId="0FC6EABC"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Ukupni kapitalni zahtjev</w:t>
            </w:r>
          </w:p>
          <w:p w14:paraId="5D27E5E4"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Cs/>
                <w:color w:val="000000" w:themeColor="text1"/>
              </w:rPr>
              <w:t>Kapitalni zahtjevi investicijskog društva sastoje se od zbroja kapitalnih zahtjeva primjenjivih na referentni datum, dodatnog kapitalnog zahtjeva kako je iskazan u retku 0110 i smjernica o regulatornom kapitalu kako su iskazane u retku 0120.</w:t>
            </w:r>
          </w:p>
        </w:tc>
      </w:tr>
    </w:tbl>
    <w:p w14:paraId="6DAEBF52" w14:textId="77777777" w:rsidR="006C0DAA" w:rsidRPr="00E37E07" w:rsidRDefault="00E37E0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1" w:name="_Toc88218390"/>
      <w:r w:rsidRPr="00E37E07">
        <w:rPr>
          <w:rFonts w:ascii="Times New Roman" w:hAnsi="Times New Roman"/>
          <w:sz w:val="24"/>
          <w:szCs w:val="24"/>
          <w:u w:val="single"/>
        </w:rPr>
        <w:t xml:space="preserve">1.4. I 02.02 </w:t>
      </w:r>
      <w:r w:rsidRPr="00E37E07">
        <w:rPr>
          <w:rFonts w:ascii="Times New Roman" w:hAnsi="Times New Roman"/>
          <w:sz w:val="24"/>
          <w:szCs w:val="24"/>
          <w:u w:val="single"/>
        </w:rPr>
        <w:t>– STOPE KAPITALA (I 2.2)</w:t>
      </w:r>
      <w:bookmarkEnd w:id="31"/>
    </w:p>
    <w:p w14:paraId="63EE8F9E" w14:textId="77777777" w:rsidR="006C0DAA" w:rsidRPr="00E37E07" w:rsidRDefault="00E37E0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2" w:name="_Toc88218391"/>
      <w:r w:rsidRPr="00E37E07">
        <w:rPr>
          <w:rFonts w:ascii="Times New Roman" w:hAnsi="Times New Roman"/>
          <w:sz w:val="24"/>
          <w:szCs w:val="24"/>
        </w:rPr>
        <w:t>1.4.1</w:t>
      </w:r>
      <w:r w:rsidRPr="00E37E07">
        <w:rPr>
          <w:rFonts w:ascii="Times New Roman" w:hAnsi="Times New Roman"/>
          <w:sz w:val="24"/>
          <w:szCs w:val="24"/>
        </w:rPr>
        <w:tab/>
      </w:r>
      <w:r w:rsidRPr="00E37E07">
        <w:rPr>
          <w:rFonts w:ascii="Times New Roman" w:hAnsi="Times New Roman"/>
          <w:sz w:val="24"/>
          <w:szCs w:val="24"/>
          <w:u w:val="single"/>
        </w:rPr>
        <w:t>Upute za specifične pozicije</w:t>
      </w:r>
      <w:bookmarkEnd w:id="3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C0DAA" w:rsidRPr="00E37E07" w14:paraId="1FC2A6F8" w14:textId="77777777">
        <w:tc>
          <w:tcPr>
            <w:tcW w:w="1129" w:type="dxa"/>
            <w:shd w:val="clear" w:color="auto" w:fill="D9D9D9"/>
          </w:tcPr>
          <w:p w14:paraId="520890B7"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Redak</w:t>
            </w:r>
          </w:p>
        </w:tc>
        <w:tc>
          <w:tcPr>
            <w:tcW w:w="7620" w:type="dxa"/>
            <w:shd w:val="clear" w:color="auto" w:fill="D9D9D9"/>
          </w:tcPr>
          <w:p w14:paraId="2DA4A109"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Pravna osnova i upute</w:t>
            </w:r>
          </w:p>
        </w:tc>
      </w:tr>
      <w:tr w:rsidR="006C0DAA" w:rsidRPr="00E37E07" w14:paraId="1B984816" w14:textId="77777777">
        <w:tc>
          <w:tcPr>
            <w:tcW w:w="1129" w:type="dxa"/>
          </w:tcPr>
          <w:p w14:paraId="098C43A0"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0010</w:t>
            </w:r>
          </w:p>
        </w:tc>
        <w:tc>
          <w:tcPr>
            <w:tcW w:w="7620" w:type="dxa"/>
          </w:tcPr>
          <w:p w14:paraId="650B0832"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Stopa redovnog osnovnog kapitala</w:t>
            </w:r>
          </w:p>
          <w:p w14:paraId="73465368"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9. stavak 1. točka (a) i članak 11. stavak 1. Uredbe (EU) 2019/2033</w:t>
            </w:r>
          </w:p>
          <w:p w14:paraId="6BFAB68A"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Članak 9. stavak 4. Uredbe </w:t>
            </w:r>
            <w:r w:rsidRPr="00E37E07">
              <w:rPr>
                <w:rFonts w:ascii="Times New Roman" w:hAnsi="Times New Roman"/>
                <w:bCs/>
              </w:rPr>
              <w:t>(EU) 2019/2033</w:t>
            </w:r>
          </w:p>
          <w:p w14:paraId="0C39AC6B"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Ova stavka izražava se kao postotak.</w:t>
            </w:r>
          </w:p>
        </w:tc>
      </w:tr>
      <w:tr w:rsidR="006C0DAA" w:rsidRPr="00E37E07" w14:paraId="7C0A5DC0" w14:textId="77777777">
        <w:tc>
          <w:tcPr>
            <w:tcW w:w="1129" w:type="dxa"/>
          </w:tcPr>
          <w:p w14:paraId="3C1224D9"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0020</w:t>
            </w:r>
          </w:p>
        </w:tc>
        <w:tc>
          <w:tcPr>
            <w:tcW w:w="7620" w:type="dxa"/>
          </w:tcPr>
          <w:p w14:paraId="1F1C5CCB"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Višak (+)/manjak (–) redovnog osnovnog kapitala</w:t>
            </w:r>
          </w:p>
          <w:p w14:paraId="1E20A7EC" w14:textId="77777777" w:rsidR="006C0DAA" w:rsidRPr="00E37E07" w:rsidRDefault="00E37E07">
            <w:pPr>
              <w:spacing w:after="120" w:line="240" w:lineRule="auto"/>
              <w:jc w:val="both"/>
              <w:rPr>
                <w:rFonts w:ascii="Times New Roman" w:hAnsi="Times New Roman" w:cs="Times New Roman"/>
              </w:rPr>
            </w:pPr>
            <w:r w:rsidRPr="00E37E07">
              <w:rPr>
                <w:rFonts w:ascii="Times New Roman" w:hAnsi="Times New Roman"/>
              </w:rPr>
              <w:t>U ovoj stavci iskazuje se višak ili manjak redovnog osnovnog kapitala koji se odnosi na zahtjev iz članka 9. stavka 1. Uredbe (EU) 2019/2033.</w:t>
            </w:r>
          </w:p>
          <w:p w14:paraId="65D6C9D8"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rPr>
              <w:t>Prijelaz</w:t>
            </w:r>
            <w:r w:rsidRPr="00E37E07">
              <w:rPr>
                <w:rFonts w:ascii="Times New Roman" w:hAnsi="Times New Roman"/>
              </w:rPr>
              <w:t>ne odredbe članka 57. stavaka 3. i 4. Uredbe (EU) 2019/2033 ne primjenjuju se na ovu stavku.</w:t>
            </w:r>
          </w:p>
        </w:tc>
      </w:tr>
      <w:tr w:rsidR="006C0DAA" w:rsidRPr="00E37E07" w14:paraId="6AD235D5" w14:textId="77777777">
        <w:tc>
          <w:tcPr>
            <w:tcW w:w="1129" w:type="dxa"/>
          </w:tcPr>
          <w:p w14:paraId="34BB7960"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0030</w:t>
            </w:r>
          </w:p>
        </w:tc>
        <w:tc>
          <w:tcPr>
            <w:tcW w:w="7620" w:type="dxa"/>
          </w:tcPr>
          <w:p w14:paraId="172C1DA3"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Stopa osnovnog kapitala</w:t>
            </w:r>
          </w:p>
          <w:p w14:paraId="1279ADD1"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9. stavak 1. točka (b) i članak 11. stavak 1. Uredbe (EU) 2019/2033</w:t>
            </w:r>
          </w:p>
          <w:p w14:paraId="610DD5DC"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Ova stavka izražava se kao postotak.</w:t>
            </w:r>
          </w:p>
        </w:tc>
      </w:tr>
      <w:tr w:rsidR="006C0DAA" w:rsidRPr="00E37E07" w14:paraId="3E732EE6" w14:textId="77777777">
        <w:tc>
          <w:tcPr>
            <w:tcW w:w="1129" w:type="dxa"/>
          </w:tcPr>
          <w:p w14:paraId="1D680F36"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0040</w:t>
            </w:r>
          </w:p>
        </w:tc>
        <w:tc>
          <w:tcPr>
            <w:tcW w:w="7620" w:type="dxa"/>
          </w:tcPr>
          <w:p w14:paraId="3C1C5492"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xml:space="preserve">Višak </w:t>
            </w:r>
            <w:r w:rsidRPr="00E37E07">
              <w:rPr>
                <w:rFonts w:ascii="Times New Roman" w:hAnsi="Times New Roman"/>
                <w:b/>
                <w:bCs/>
                <w:u w:val="single"/>
              </w:rPr>
              <w:t>(+)/manjak (–) osnovnog kapitala</w:t>
            </w:r>
          </w:p>
          <w:p w14:paraId="25E54998" w14:textId="77777777" w:rsidR="006C0DAA" w:rsidRPr="00E37E07" w:rsidRDefault="00E37E07">
            <w:pPr>
              <w:pStyle w:val="CommentText"/>
              <w:rPr>
                <w:rFonts w:ascii="Times New Roman" w:hAnsi="Times New Roman" w:cs="Times New Roman"/>
                <w:sz w:val="22"/>
                <w:szCs w:val="22"/>
              </w:rPr>
            </w:pPr>
            <w:r w:rsidRPr="00E37E07">
              <w:rPr>
                <w:rFonts w:ascii="Times New Roman" w:hAnsi="Times New Roman"/>
                <w:sz w:val="22"/>
                <w:szCs w:val="22"/>
              </w:rPr>
              <w:t>U ovoj stavci iskazuje se višak ili manjak osnovnog kapitala koji se odnosi na zahtjev iz članka 9. stavka 1. Uredbe (EU) 2019/2033.</w:t>
            </w:r>
          </w:p>
          <w:p w14:paraId="68451CEA" w14:textId="77777777" w:rsidR="006C0DAA" w:rsidRPr="00E37E07" w:rsidRDefault="00E37E07">
            <w:pPr>
              <w:spacing w:after="120" w:line="240" w:lineRule="auto"/>
              <w:jc w:val="both"/>
            </w:pPr>
            <w:r w:rsidRPr="00E37E07">
              <w:rPr>
                <w:rFonts w:ascii="Times New Roman" w:hAnsi="Times New Roman"/>
              </w:rPr>
              <w:t>Prijelazne odredbe članka 57. stavaka 3. i 4. Uredbe (EU) 2019/2033 ne primjenjuju se na o</w:t>
            </w:r>
            <w:r w:rsidRPr="00E37E07">
              <w:rPr>
                <w:rFonts w:ascii="Times New Roman" w:hAnsi="Times New Roman"/>
              </w:rPr>
              <w:t>vu stavku.</w:t>
            </w:r>
          </w:p>
        </w:tc>
      </w:tr>
      <w:tr w:rsidR="006C0DAA" w:rsidRPr="00E37E07" w14:paraId="1B675CDF" w14:textId="77777777">
        <w:tc>
          <w:tcPr>
            <w:tcW w:w="1129" w:type="dxa"/>
          </w:tcPr>
          <w:p w14:paraId="63DB0AFD"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0050</w:t>
            </w:r>
          </w:p>
        </w:tc>
        <w:tc>
          <w:tcPr>
            <w:tcW w:w="7620" w:type="dxa"/>
          </w:tcPr>
          <w:p w14:paraId="65417927"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Stopa regulatornog kapitala</w:t>
            </w:r>
          </w:p>
          <w:p w14:paraId="1BD1C6EE"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9. stavak 1. točka (c) i članak 11. stavak 1. Uredbe (EU) 2019/2033</w:t>
            </w:r>
          </w:p>
          <w:p w14:paraId="59C9524E"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Ova stavka izražava se kao postotak.</w:t>
            </w:r>
          </w:p>
        </w:tc>
      </w:tr>
      <w:tr w:rsidR="006C0DAA" w:rsidRPr="00E37E07" w14:paraId="0FC23FD1" w14:textId="77777777">
        <w:tc>
          <w:tcPr>
            <w:tcW w:w="1129" w:type="dxa"/>
          </w:tcPr>
          <w:p w14:paraId="67628504"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0060</w:t>
            </w:r>
          </w:p>
        </w:tc>
        <w:tc>
          <w:tcPr>
            <w:tcW w:w="7620" w:type="dxa"/>
          </w:tcPr>
          <w:p w14:paraId="4995D886"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Višak (+)/manjak (–) ukupnog kapitala</w:t>
            </w:r>
          </w:p>
          <w:p w14:paraId="14A06001" w14:textId="77777777" w:rsidR="006C0DAA" w:rsidRPr="00E37E07" w:rsidRDefault="00E37E07">
            <w:pPr>
              <w:spacing w:after="120" w:line="240" w:lineRule="auto"/>
              <w:jc w:val="both"/>
              <w:rPr>
                <w:rFonts w:ascii="Times New Roman" w:hAnsi="Times New Roman" w:cs="Times New Roman"/>
              </w:rPr>
            </w:pPr>
            <w:r w:rsidRPr="00E37E07">
              <w:rPr>
                <w:rFonts w:ascii="Times New Roman" w:hAnsi="Times New Roman"/>
              </w:rPr>
              <w:lastRenderedPageBreak/>
              <w:t xml:space="preserve">U ovoj stavci iskazuje se višak ili manjak </w:t>
            </w:r>
            <w:r w:rsidRPr="00E37E07">
              <w:rPr>
                <w:rFonts w:ascii="Times New Roman" w:hAnsi="Times New Roman"/>
              </w:rPr>
              <w:t>regulatornog kapitala koji se odnosi na zahtjev iz članka 9. stavka 1. Uredbe (EU) 2019/2033.</w:t>
            </w:r>
          </w:p>
          <w:p w14:paraId="678FB93D"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rPr>
              <w:t>Prijelazne odredbe članka 57. stavaka 3. i 4. Uredbe (EU) 2019/2033 ne primjenjuju se na ovu stavku.</w:t>
            </w:r>
          </w:p>
        </w:tc>
      </w:tr>
    </w:tbl>
    <w:p w14:paraId="2A16E28F" w14:textId="77777777" w:rsidR="006C0DAA" w:rsidRPr="00E37E07" w:rsidRDefault="00E37E0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3" w:name="_Toc88218392"/>
      <w:r w:rsidRPr="00E37E07">
        <w:rPr>
          <w:rFonts w:ascii="Times New Roman" w:hAnsi="Times New Roman"/>
          <w:sz w:val="24"/>
          <w:szCs w:val="24"/>
          <w:u w:val="single"/>
        </w:rPr>
        <w:lastRenderedPageBreak/>
        <w:t xml:space="preserve">1.5. I 03.00 – IZRAČUN ZAHTJEVA ZA FIKSNE OPĆE </w:t>
      </w:r>
      <w:r w:rsidRPr="00E37E07">
        <w:rPr>
          <w:rFonts w:ascii="Times New Roman" w:hAnsi="Times New Roman"/>
          <w:sz w:val="24"/>
          <w:szCs w:val="24"/>
          <w:u w:val="single"/>
        </w:rPr>
        <w:t>TROŠKOVE (I 3)</w:t>
      </w:r>
      <w:bookmarkEnd w:id="2"/>
      <w:bookmarkEnd w:id="3"/>
      <w:bookmarkEnd w:id="33"/>
      <w:bookmarkEnd w:id="4"/>
      <w:bookmarkEnd w:id="5"/>
    </w:p>
    <w:p w14:paraId="4AFE532D" w14:textId="77777777" w:rsidR="006C0DAA" w:rsidRPr="00E37E07" w:rsidRDefault="00E37E07">
      <w:pPr>
        <w:keepNext/>
        <w:spacing w:before="240" w:after="240" w:line="240" w:lineRule="auto"/>
        <w:ind w:left="357" w:hanging="357"/>
        <w:jc w:val="both"/>
        <w:outlineLvl w:val="1"/>
        <w:rPr>
          <w:rFonts w:ascii="Times New Roman" w:eastAsia="Times New Roman" w:hAnsi="Times New Roman" w:cs="Times New Roman"/>
          <w:sz w:val="24"/>
          <w:szCs w:val="24"/>
        </w:rPr>
      </w:pPr>
      <w:bookmarkStart w:id="34" w:name="_Toc310414968"/>
      <w:bookmarkStart w:id="35" w:name="_Toc308175821"/>
      <w:bookmarkStart w:id="36" w:name="_Toc360188326"/>
      <w:bookmarkStart w:id="37" w:name="_Toc473560874"/>
      <w:bookmarkStart w:id="38" w:name="_Toc7084159"/>
      <w:bookmarkStart w:id="39" w:name="_Toc88218393"/>
      <w:r w:rsidRPr="00E37E07">
        <w:rPr>
          <w:rFonts w:ascii="Times New Roman" w:hAnsi="Times New Roman"/>
          <w:sz w:val="24"/>
          <w:szCs w:val="24"/>
        </w:rPr>
        <w:t>1.5.1</w:t>
      </w:r>
      <w:r w:rsidRPr="00E37E07">
        <w:rPr>
          <w:rFonts w:ascii="Times New Roman" w:hAnsi="Times New Roman"/>
          <w:sz w:val="24"/>
          <w:szCs w:val="24"/>
        </w:rPr>
        <w:tab/>
      </w:r>
      <w:r w:rsidRPr="00E37E07">
        <w:rPr>
          <w:rFonts w:ascii="Times New Roman" w:hAnsi="Times New Roman"/>
          <w:sz w:val="24"/>
          <w:szCs w:val="24"/>
          <w:u w:val="single"/>
        </w:rPr>
        <w:t xml:space="preserve">Upute za specifične </w:t>
      </w:r>
      <w:bookmarkEnd w:id="34"/>
      <w:bookmarkEnd w:id="35"/>
      <w:r w:rsidRPr="00E37E07">
        <w:rPr>
          <w:rFonts w:ascii="Times New Roman" w:hAnsi="Times New Roman"/>
          <w:sz w:val="24"/>
          <w:szCs w:val="24"/>
          <w:u w:val="single"/>
        </w:rPr>
        <w:t>pozicije</w:t>
      </w:r>
      <w:bookmarkEnd w:id="36"/>
      <w:bookmarkEnd w:id="37"/>
      <w:bookmarkEnd w:id="38"/>
      <w:bookmarkEnd w:id="3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C0DAA" w:rsidRPr="00E37E07" w14:paraId="17E7DD02" w14:textId="77777777">
        <w:tc>
          <w:tcPr>
            <w:tcW w:w="1129" w:type="dxa"/>
            <w:shd w:val="clear" w:color="auto" w:fill="D9D9D9"/>
          </w:tcPr>
          <w:p w14:paraId="19C9CD47"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color w:val="000000" w:themeColor="text1"/>
              </w:rPr>
              <w:t>Redak</w:t>
            </w:r>
          </w:p>
        </w:tc>
        <w:tc>
          <w:tcPr>
            <w:tcW w:w="7620" w:type="dxa"/>
            <w:shd w:val="clear" w:color="auto" w:fill="D9D9D9"/>
          </w:tcPr>
          <w:p w14:paraId="6DD4CDCB"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color w:val="000000" w:themeColor="text1"/>
              </w:rPr>
              <w:t>Pravna osnova i upute</w:t>
            </w:r>
          </w:p>
        </w:tc>
      </w:tr>
      <w:tr w:rsidR="006C0DAA" w:rsidRPr="00E37E07" w14:paraId="2AB418A6" w14:textId="77777777">
        <w:tc>
          <w:tcPr>
            <w:tcW w:w="1129" w:type="dxa"/>
          </w:tcPr>
          <w:p w14:paraId="35165DBC"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0010</w:t>
            </w:r>
          </w:p>
        </w:tc>
        <w:tc>
          <w:tcPr>
            <w:tcW w:w="7620" w:type="dxa"/>
          </w:tcPr>
          <w:p w14:paraId="3616BE21"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Zahtjev za fiksne opće troškove</w:t>
            </w:r>
          </w:p>
          <w:p w14:paraId="2188C0BF"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Članak 13. stavak 1. Uredbe (EU) 2019/2033</w:t>
            </w:r>
          </w:p>
          <w:p w14:paraId="1657212D" w14:textId="77777777" w:rsidR="006C0DAA" w:rsidRPr="00E37E07" w:rsidRDefault="00E37E07">
            <w:pPr>
              <w:spacing w:after="120" w:line="240" w:lineRule="auto"/>
              <w:jc w:val="both"/>
              <w:rPr>
                <w:rFonts w:ascii="Times New Roman" w:hAnsi="Times New Roman" w:cs="Times New Roman"/>
              </w:rPr>
            </w:pPr>
            <w:r w:rsidRPr="00E37E07">
              <w:rPr>
                <w:rFonts w:ascii="Times New Roman" w:hAnsi="Times New Roman"/>
              </w:rPr>
              <w:t xml:space="preserve">Iskazani iznos jednak je najmanje 25 % godišnjih fiksnih općih troškova iz prethodne godine </w:t>
            </w:r>
            <w:r w:rsidRPr="00E37E07">
              <w:rPr>
                <w:rFonts w:ascii="Times New Roman" w:hAnsi="Times New Roman"/>
              </w:rPr>
              <w:t>(redak 0020).</w:t>
            </w:r>
          </w:p>
          <w:p w14:paraId="27A08142" w14:textId="77777777" w:rsidR="006C0DAA" w:rsidRPr="00E37E07" w:rsidRDefault="00E37E07">
            <w:pPr>
              <w:spacing w:after="120" w:line="240" w:lineRule="auto"/>
              <w:jc w:val="both"/>
              <w:rPr>
                <w:rFonts w:ascii="Times New Roman" w:hAnsi="Times New Roman" w:cs="Times New Roman"/>
              </w:rPr>
            </w:pPr>
            <w:r w:rsidRPr="00E37E07">
              <w:rPr>
                <w:rFonts w:ascii="Times New Roman" w:hAnsi="Times New Roman"/>
              </w:rPr>
              <w:t>U slučajevima u kojima je došlo do značajne promjene, iznos koji se iskazuje jednak je zahtjevu za fiksne opće troškove koji je nadležno tijelo utvrdilo u skladu s člankom 13. stavkom 2. Uredbe (EU) 2019/2033.</w:t>
            </w:r>
          </w:p>
          <w:p w14:paraId="538B8682" w14:textId="77777777" w:rsidR="006C0DAA" w:rsidRPr="00E37E07" w:rsidRDefault="00E37E07">
            <w:pPr>
              <w:spacing w:after="120" w:line="240" w:lineRule="auto"/>
              <w:jc w:val="both"/>
              <w:rPr>
                <w:rFonts w:ascii="Times New Roman" w:hAnsi="Times New Roman" w:cs="Times New Roman"/>
              </w:rPr>
            </w:pPr>
            <w:r w:rsidRPr="00E37E07">
              <w:rPr>
                <w:rFonts w:ascii="Times New Roman" w:hAnsi="Times New Roman"/>
              </w:rPr>
              <w:t>U slučajevima iz članka 13. stav</w:t>
            </w:r>
            <w:r w:rsidRPr="00E37E07">
              <w:rPr>
                <w:rFonts w:ascii="Times New Roman" w:hAnsi="Times New Roman"/>
              </w:rPr>
              <w:t>ka 3. Uredbe (EU) 2019/2033 iznos koji se iskazuje jednak je predviđenim fiksnim općim troškovima tekuće godine (redak 0210).</w:t>
            </w:r>
          </w:p>
        </w:tc>
      </w:tr>
      <w:tr w:rsidR="006C0DAA" w:rsidRPr="00E37E07" w14:paraId="71DC8CCC" w14:textId="77777777">
        <w:tc>
          <w:tcPr>
            <w:tcW w:w="1129" w:type="dxa"/>
          </w:tcPr>
          <w:p w14:paraId="5A224F9A"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0020</w:t>
            </w:r>
          </w:p>
        </w:tc>
        <w:tc>
          <w:tcPr>
            <w:tcW w:w="7620" w:type="dxa"/>
          </w:tcPr>
          <w:p w14:paraId="7154A2BB"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Godišnji fiksni opći troškovi iz prethodne godine nakon raspodjele dobiti</w:t>
            </w:r>
          </w:p>
          <w:p w14:paraId="56F3CD54"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Članak 13. stavak 1. Uredbe (EU) 2019/2033</w:t>
            </w:r>
          </w:p>
          <w:p w14:paraId="6218F0D9" w14:textId="77777777" w:rsidR="006C0DAA" w:rsidRPr="00E37E07" w:rsidRDefault="00E37E07">
            <w:pPr>
              <w:pStyle w:val="CommentText"/>
              <w:rPr>
                <w:rFonts w:ascii="Times New Roman" w:hAnsi="Times New Roman" w:cs="Times New Roman"/>
              </w:rPr>
            </w:pPr>
            <w:r w:rsidRPr="00E37E07">
              <w:rPr>
                <w:rFonts w:ascii="Times New Roman" w:hAnsi="Times New Roman"/>
                <w:bCs/>
                <w:color w:val="000000" w:themeColor="text1"/>
                <w:sz w:val="22"/>
              </w:rPr>
              <w:t>Investi</w:t>
            </w:r>
            <w:r w:rsidRPr="00E37E07">
              <w:rPr>
                <w:rFonts w:ascii="Times New Roman" w:hAnsi="Times New Roman"/>
                <w:bCs/>
                <w:color w:val="000000" w:themeColor="text1"/>
                <w:sz w:val="22"/>
              </w:rPr>
              <w:t xml:space="preserve">cijska društva iskazuju fiksne opće troškove iz prethodne godine nakon raspodjele dobiti. </w:t>
            </w:r>
          </w:p>
        </w:tc>
      </w:tr>
      <w:tr w:rsidR="006C0DAA" w:rsidRPr="00E37E07" w14:paraId="558A21C8" w14:textId="77777777">
        <w:tc>
          <w:tcPr>
            <w:tcW w:w="1129" w:type="dxa"/>
          </w:tcPr>
          <w:p w14:paraId="35125164"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0030</w:t>
            </w:r>
          </w:p>
        </w:tc>
        <w:tc>
          <w:tcPr>
            <w:tcW w:w="7620" w:type="dxa"/>
          </w:tcPr>
          <w:p w14:paraId="1AC936BB"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Ukupni rashodi iz prethodne godine nakon raspodjele dobiti</w:t>
            </w:r>
          </w:p>
          <w:p w14:paraId="34456FC3"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Članak 13. stavak 1. Uredbe (EU) 2019/2033</w:t>
            </w:r>
          </w:p>
          <w:p w14:paraId="66DD5EC9"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Iskazuje se iznos nakon raspodjele dobiti.</w:t>
            </w:r>
          </w:p>
        </w:tc>
      </w:tr>
      <w:tr w:rsidR="006C0DAA" w:rsidRPr="00E37E07" w14:paraId="7482D3B2" w14:textId="77777777">
        <w:tc>
          <w:tcPr>
            <w:tcW w:w="1129" w:type="dxa"/>
          </w:tcPr>
          <w:p w14:paraId="2F3ECA8D"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0040</w:t>
            </w:r>
          </w:p>
        </w:tc>
        <w:tc>
          <w:tcPr>
            <w:tcW w:w="7620" w:type="dxa"/>
          </w:tcPr>
          <w:p w14:paraId="16ED5559"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 xml:space="preserve">Od </w:t>
            </w:r>
            <w:r w:rsidRPr="00E37E07">
              <w:rPr>
                <w:rFonts w:ascii="Times New Roman" w:hAnsi="Times New Roman"/>
                <w:b/>
                <w:bCs/>
                <w:color w:val="000000" w:themeColor="text1"/>
                <w:u w:val="single"/>
              </w:rPr>
              <w:t>čega: fiksni rashodi koje u ime investicijskih društava snose treće strane</w:t>
            </w:r>
          </w:p>
          <w:p w14:paraId="29EFEDCE" w14:textId="77777777" w:rsidR="006C0DAA" w:rsidRPr="00E37E07" w:rsidRDefault="00E37E07">
            <w:pPr>
              <w:pStyle w:val="NumPar1"/>
              <w:numPr>
                <w:ilvl w:val="0"/>
                <w:numId w:val="0"/>
              </w:numPr>
              <w:rPr>
                <w:rFonts w:eastAsia="Times New Roman"/>
                <w:b/>
                <w:bCs/>
                <w:color w:val="000000" w:themeColor="text1"/>
                <w:u w:val="single"/>
              </w:rPr>
            </w:pPr>
            <w:r w:rsidRPr="00E37E07">
              <w:rPr>
                <w:bCs/>
                <w:color w:val="000000" w:themeColor="text1"/>
                <w:szCs w:val="20"/>
              </w:rPr>
              <w:t>Ako su treće strane, uključujući vezane zastupnike, snosile fiksne rashode u ime investicijskih društava koji nisu već uključeni u ukupne rashode u godišnjem financijskom izvještaju</w:t>
            </w:r>
            <w:r w:rsidRPr="00E37E07">
              <w:rPr>
                <w:bCs/>
                <w:color w:val="000000" w:themeColor="text1"/>
                <w:szCs w:val="20"/>
              </w:rPr>
              <w:t xml:space="preserve"> iz stavka 1., ti fiksni rashodi dodaju se ukupnim rashodima investicijskog društva. Ako je dostupna raščlamba rashoda treće strane, investicijsko društvo iznosu kojim se iskazuju ukupni rashodi dodaje samo svoj udio u tim fiksnim rashodima. Ako takva rašč</w:t>
            </w:r>
            <w:r w:rsidRPr="00E37E07">
              <w:rPr>
                <w:bCs/>
                <w:color w:val="000000" w:themeColor="text1"/>
                <w:szCs w:val="20"/>
              </w:rPr>
              <w:t>lamba nije dostupna, investicijsko društvo iznosu kojim se iskazuju ukupni rashodi dodaje samo svoj udio u rashodima treće strane kako proizlazi iz njegova poslovnog plana.</w:t>
            </w:r>
          </w:p>
        </w:tc>
      </w:tr>
      <w:tr w:rsidR="006C0DAA" w:rsidRPr="00E37E07" w14:paraId="06620824" w14:textId="77777777">
        <w:tc>
          <w:tcPr>
            <w:tcW w:w="1129" w:type="dxa"/>
          </w:tcPr>
          <w:p w14:paraId="5A004807"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0050</w:t>
            </w:r>
          </w:p>
        </w:tc>
        <w:tc>
          <w:tcPr>
            <w:tcW w:w="7620" w:type="dxa"/>
          </w:tcPr>
          <w:p w14:paraId="57D811D4" w14:textId="77777777" w:rsidR="006C0DAA" w:rsidRPr="00E37E07" w:rsidRDefault="00E37E07">
            <w:pPr>
              <w:spacing w:after="120" w:line="240" w:lineRule="auto"/>
              <w:jc w:val="both"/>
              <w:rPr>
                <w:rFonts w:ascii="Times New Roman" w:eastAsia="Times New Roman" w:hAnsi="Times New Roman" w:cs="Times New Roman"/>
                <w:bCs/>
                <w:color w:val="000000" w:themeColor="text1"/>
                <w:szCs w:val="20"/>
              </w:rPr>
            </w:pPr>
            <w:r w:rsidRPr="00E37E07">
              <w:rPr>
                <w:rFonts w:ascii="Times New Roman" w:hAnsi="Times New Roman"/>
                <w:bCs/>
                <w:color w:val="000000" w:themeColor="text1"/>
                <w:szCs w:val="20"/>
              </w:rPr>
              <w:t>(–) Ukupni odbici</w:t>
            </w:r>
          </w:p>
          <w:p w14:paraId="1730D154" w14:textId="77777777" w:rsidR="006C0DAA" w:rsidRPr="00E37E07" w:rsidRDefault="00E37E07">
            <w:pPr>
              <w:spacing w:after="120" w:line="240" w:lineRule="auto"/>
              <w:jc w:val="both"/>
              <w:rPr>
                <w:rFonts w:eastAsia="Times New Roman"/>
                <w:bCs/>
                <w:color w:val="000000" w:themeColor="text1"/>
                <w:szCs w:val="20"/>
              </w:rPr>
            </w:pPr>
            <w:r w:rsidRPr="00E37E07">
              <w:rPr>
                <w:rFonts w:ascii="Times New Roman" w:hAnsi="Times New Roman"/>
                <w:bCs/>
              </w:rPr>
              <w:t>Uz stavke za odbitak iz članka 13. stavka 4. Uredbe (EU) 20</w:t>
            </w:r>
            <w:r w:rsidRPr="00E37E07">
              <w:rPr>
                <w:rFonts w:ascii="Times New Roman" w:hAnsi="Times New Roman"/>
                <w:bCs/>
              </w:rPr>
              <w:t>19/2033, od ukupnih rashoda odbijaju se i sljedeće stavke ako su uključene u ukupne rashode u skladu s relevantnim računovodstvenim okvirom:</w:t>
            </w:r>
          </w:p>
          <w:p w14:paraId="46DB38CA" w14:textId="77777777" w:rsidR="006C0DAA" w:rsidRPr="00E37E07" w:rsidRDefault="00E37E07">
            <w:pPr>
              <w:pStyle w:val="Point1letter"/>
              <w:numPr>
                <w:ilvl w:val="0"/>
                <w:numId w:val="0"/>
              </w:numPr>
              <w:ind w:left="350" w:hanging="426"/>
              <w:rPr>
                <w:rFonts w:eastAsia="Times New Roman"/>
                <w:bCs/>
                <w:color w:val="000000" w:themeColor="text1"/>
                <w:sz w:val="22"/>
                <w:szCs w:val="20"/>
              </w:rPr>
            </w:pPr>
            <w:r w:rsidRPr="00E37E07">
              <w:rPr>
                <w:rFonts w:eastAsia="Times New Roman"/>
                <w:bCs/>
                <w:color w:val="000000" w:themeColor="text1"/>
                <w:sz w:val="22"/>
                <w:szCs w:val="20"/>
              </w:rPr>
              <w:t>(a)</w:t>
            </w:r>
            <w:r w:rsidRPr="00E37E07">
              <w:rPr>
                <w:rFonts w:eastAsia="Times New Roman"/>
                <w:bCs/>
                <w:color w:val="000000" w:themeColor="text1"/>
                <w:sz w:val="22"/>
                <w:szCs w:val="20"/>
              </w:rPr>
              <w:tab/>
            </w:r>
            <w:r w:rsidRPr="00E37E07">
              <w:rPr>
                <w:bCs/>
                <w:color w:val="000000" w:themeColor="text1"/>
                <w:sz w:val="22"/>
                <w:szCs w:val="20"/>
              </w:rPr>
              <w:t>naknade za brokerske usluge i druge naknade koje klijenti plaćaju središnjim drugim ugovornim stranama, burzama</w:t>
            </w:r>
            <w:r w:rsidRPr="00E37E07">
              <w:rPr>
                <w:bCs/>
                <w:color w:val="000000" w:themeColor="text1"/>
                <w:sz w:val="22"/>
                <w:szCs w:val="20"/>
              </w:rPr>
              <w:t xml:space="preserve"> i drugim mjestima trgovanja i posrednicima za izvršenje, registraciju ili poravnanje transakcija samo ako se izravno prenose i naplaćuju klijentima. Ne uključuju naknade kao što je </w:t>
            </w:r>
            <w:r w:rsidRPr="00E37E07">
              <w:rPr>
                <w:bCs/>
                <w:color w:val="000000" w:themeColor="text1"/>
                <w:sz w:val="22"/>
                <w:szCs w:val="20"/>
              </w:rPr>
              <w:lastRenderedPageBreak/>
              <w:t>podmirivanje članarine ili drugih financijskih obveza podjele gubitaka pre</w:t>
            </w:r>
            <w:r w:rsidRPr="00E37E07">
              <w:rPr>
                <w:bCs/>
                <w:color w:val="000000" w:themeColor="text1"/>
                <w:sz w:val="22"/>
                <w:szCs w:val="20"/>
              </w:rPr>
              <w:t>ma središnjim drugim ugovornim stranama, burzama i drugim mjestima trgovanja;</w:t>
            </w:r>
          </w:p>
          <w:p w14:paraId="631E7CD7" w14:textId="77777777" w:rsidR="006C0DAA" w:rsidRPr="00E37E07" w:rsidRDefault="00E37E07">
            <w:pPr>
              <w:pStyle w:val="Point1letter"/>
              <w:numPr>
                <w:ilvl w:val="0"/>
                <w:numId w:val="0"/>
              </w:numPr>
              <w:ind w:left="350" w:hanging="426"/>
              <w:rPr>
                <w:rFonts w:eastAsia="Times New Roman"/>
                <w:bCs/>
                <w:color w:val="000000" w:themeColor="text1"/>
                <w:sz w:val="22"/>
                <w:szCs w:val="20"/>
              </w:rPr>
            </w:pPr>
            <w:r w:rsidRPr="00E37E07">
              <w:rPr>
                <w:rFonts w:eastAsia="Times New Roman"/>
                <w:bCs/>
                <w:color w:val="000000" w:themeColor="text1"/>
                <w:sz w:val="22"/>
                <w:szCs w:val="20"/>
              </w:rPr>
              <w:t>(b)</w:t>
            </w:r>
            <w:r w:rsidRPr="00E37E07">
              <w:rPr>
                <w:rFonts w:eastAsia="Times New Roman"/>
                <w:bCs/>
                <w:color w:val="000000" w:themeColor="text1"/>
                <w:sz w:val="22"/>
                <w:szCs w:val="20"/>
              </w:rPr>
              <w:tab/>
            </w:r>
            <w:r w:rsidRPr="00E37E07">
              <w:rPr>
                <w:bCs/>
                <w:color w:val="000000" w:themeColor="text1"/>
                <w:sz w:val="22"/>
                <w:szCs w:val="20"/>
              </w:rPr>
              <w:t>kamate koje se klijentima isplaćuju na njihova novčana sredstva ako ne postoji nikakva obveza za isplatu takvih kamata;</w:t>
            </w:r>
          </w:p>
          <w:p w14:paraId="23A82DAE" w14:textId="77777777" w:rsidR="006C0DAA" w:rsidRPr="00E37E07" w:rsidRDefault="00E37E07">
            <w:pPr>
              <w:pStyle w:val="Point1letter"/>
              <w:numPr>
                <w:ilvl w:val="0"/>
                <w:numId w:val="0"/>
              </w:numPr>
              <w:ind w:left="350" w:hanging="426"/>
              <w:rPr>
                <w:rFonts w:eastAsia="Times New Roman"/>
                <w:bCs/>
                <w:color w:val="000000" w:themeColor="text1"/>
                <w:sz w:val="22"/>
                <w:szCs w:val="20"/>
              </w:rPr>
            </w:pPr>
            <w:r w:rsidRPr="00E37E07">
              <w:rPr>
                <w:rFonts w:eastAsia="Times New Roman"/>
                <w:bCs/>
                <w:color w:val="000000" w:themeColor="text1"/>
                <w:sz w:val="22"/>
                <w:szCs w:val="20"/>
              </w:rPr>
              <w:t>(c)</w:t>
            </w:r>
            <w:r w:rsidRPr="00E37E07">
              <w:rPr>
                <w:rFonts w:eastAsia="Times New Roman"/>
                <w:bCs/>
                <w:color w:val="000000" w:themeColor="text1"/>
                <w:sz w:val="22"/>
                <w:szCs w:val="20"/>
              </w:rPr>
              <w:tab/>
            </w:r>
            <w:r w:rsidRPr="00E37E07">
              <w:rPr>
                <w:bCs/>
                <w:color w:val="000000" w:themeColor="text1"/>
                <w:sz w:val="22"/>
                <w:szCs w:val="20"/>
              </w:rPr>
              <w:t xml:space="preserve">porezni rashodi ako dospijevaju za godišnju dobit </w:t>
            </w:r>
            <w:r w:rsidRPr="00E37E07">
              <w:rPr>
                <w:bCs/>
                <w:color w:val="000000" w:themeColor="text1"/>
                <w:sz w:val="22"/>
                <w:szCs w:val="20"/>
              </w:rPr>
              <w:t>investicijskog društva;</w:t>
            </w:r>
          </w:p>
          <w:p w14:paraId="05ED436E" w14:textId="77777777" w:rsidR="006C0DAA" w:rsidRPr="00E37E07" w:rsidRDefault="00E37E07">
            <w:pPr>
              <w:pStyle w:val="Point1letter"/>
              <w:numPr>
                <w:ilvl w:val="0"/>
                <w:numId w:val="0"/>
              </w:numPr>
              <w:ind w:left="350" w:hanging="426"/>
              <w:rPr>
                <w:rFonts w:eastAsia="Times New Roman"/>
                <w:bCs/>
                <w:color w:val="000000" w:themeColor="text1"/>
                <w:sz w:val="22"/>
                <w:szCs w:val="20"/>
              </w:rPr>
            </w:pPr>
            <w:r w:rsidRPr="00E37E07">
              <w:rPr>
                <w:rFonts w:eastAsia="Times New Roman"/>
                <w:bCs/>
                <w:color w:val="000000" w:themeColor="text1"/>
                <w:sz w:val="22"/>
                <w:szCs w:val="20"/>
              </w:rPr>
              <w:t>(d)</w:t>
            </w:r>
            <w:r w:rsidRPr="00E37E07">
              <w:rPr>
                <w:rFonts w:eastAsia="Times New Roman"/>
                <w:bCs/>
                <w:color w:val="000000" w:themeColor="text1"/>
                <w:sz w:val="22"/>
                <w:szCs w:val="20"/>
              </w:rPr>
              <w:tab/>
            </w:r>
            <w:r w:rsidRPr="00E37E07">
              <w:rPr>
                <w:bCs/>
                <w:color w:val="000000" w:themeColor="text1"/>
                <w:sz w:val="22"/>
                <w:szCs w:val="20"/>
              </w:rPr>
              <w:t>gubici od trgovanja financijskim instrumentima za vlastiti račun;</w:t>
            </w:r>
          </w:p>
          <w:p w14:paraId="7A4096EB" w14:textId="77777777" w:rsidR="006C0DAA" w:rsidRPr="00E37E07" w:rsidRDefault="00E37E07">
            <w:pPr>
              <w:pStyle w:val="Point1letter"/>
              <w:numPr>
                <w:ilvl w:val="0"/>
                <w:numId w:val="0"/>
              </w:numPr>
              <w:ind w:left="350" w:hanging="426"/>
              <w:rPr>
                <w:rFonts w:eastAsia="Times New Roman"/>
                <w:bCs/>
                <w:color w:val="000000" w:themeColor="text1"/>
                <w:sz w:val="22"/>
                <w:szCs w:val="20"/>
              </w:rPr>
            </w:pPr>
            <w:r w:rsidRPr="00E37E07">
              <w:rPr>
                <w:rFonts w:eastAsia="Times New Roman"/>
                <w:bCs/>
                <w:color w:val="000000" w:themeColor="text1"/>
                <w:sz w:val="22"/>
                <w:szCs w:val="20"/>
              </w:rPr>
              <w:t>(e)</w:t>
            </w:r>
            <w:r w:rsidRPr="00E37E07">
              <w:rPr>
                <w:rFonts w:eastAsia="Times New Roman"/>
                <w:bCs/>
                <w:color w:val="000000" w:themeColor="text1"/>
                <w:sz w:val="22"/>
                <w:szCs w:val="20"/>
              </w:rPr>
              <w:tab/>
            </w:r>
            <w:r w:rsidRPr="00E37E07">
              <w:rPr>
                <w:bCs/>
                <w:color w:val="000000" w:themeColor="text1"/>
                <w:sz w:val="22"/>
                <w:szCs w:val="20"/>
              </w:rPr>
              <w:t xml:space="preserve">plaćanja na temelju ugovora o prijenosu dobiti i gubitka na temelju ugovora u skladu s kojima je investicijsko društvo obvezno, nakon pripreme svojih </w:t>
            </w:r>
            <w:r w:rsidRPr="00E37E07">
              <w:rPr>
                <w:bCs/>
                <w:color w:val="000000" w:themeColor="text1"/>
                <w:sz w:val="22"/>
                <w:szCs w:val="20"/>
              </w:rPr>
              <w:t>godišnjih financijskih izvještaja, prenijeti svoj godišnji rezultat matičnom društvu;</w:t>
            </w:r>
          </w:p>
          <w:p w14:paraId="1AEAABE9" w14:textId="77777777" w:rsidR="006C0DAA" w:rsidRPr="00E37E07" w:rsidRDefault="00E37E07">
            <w:pPr>
              <w:pStyle w:val="Point1letter"/>
              <w:numPr>
                <w:ilvl w:val="0"/>
                <w:numId w:val="0"/>
              </w:numPr>
              <w:ind w:left="350" w:hanging="426"/>
              <w:rPr>
                <w:rFonts w:eastAsia="Times New Roman"/>
                <w:bCs/>
                <w:color w:val="000000" w:themeColor="text1"/>
                <w:sz w:val="22"/>
                <w:szCs w:val="20"/>
              </w:rPr>
            </w:pPr>
            <w:r w:rsidRPr="00E37E07">
              <w:rPr>
                <w:rFonts w:eastAsia="Times New Roman"/>
                <w:bCs/>
                <w:color w:val="000000" w:themeColor="text1"/>
                <w:sz w:val="22"/>
                <w:szCs w:val="20"/>
              </w:rPr>
              <w:t>(f)</w:t>
            </w:r>
            <w:r w:rsidRPr="00E37E07">
              <w:rPr>
                <w:rFonts w:eastAsia="Times New Roman"/>
                <w:bCs/>
                <w:color w:val="000000" w:themeColor="text1"/>
                <w:sz w:val="22"/>
                <w:szCs w:val="20"/>
              </w:rPr>
              <w:tab/>
            </w:r>
            <w:r w:rsidRPr="00E37E07">
              <w:rPr>
                <w:bCs/>
                <w:sz w:val="22"/>
                <w:szCs w:val="20"/>
              </w:rPr>
              <w:t>uplate u rezerve za opće bankovne rizike u skladu s člankom 26. stavkom 1. točkom (f) Uredbe (EU) br. 575/2013;</w:t>
            </w:r>
          </w:p>
          <w:p w14:paraId="37D1CAE8" w14:textId="77777777" w:rsidR="006C0DAA" w:rsidRPr="00E37E07" w:rsidRDefault="00E37E07">
            <w:pPr>
              <w:pStyle w:val="Point1letter"/>
              <w:numPr>
                <w:ilvl w:val="0"/>
                <w:numId w:val="0"/>
              </w:numPr>
              <w:ind w:left="350" w:hanging="426"/>
              <w:rPr>
                <w:rFonts w:eastAsia="Times New Roman"/>
                <w:bCs/>
                <w:color w:val="000000" w:themeColor="text1"/>
                <w:szCs w:val="20"/>
              </w:rPr>
            </w:pPr>
            <w:r w:rsidRPr="00E37E07">
              <w:rPr>
                <w:rFonts w:eastAsia="Times New Roman"/>
                <w:bCs/>
                <w:color w:val="000000" w:themeColor="text1"/>
                <w:szCs w:val="20"/>
              </w:rPr>
              <w:t>(g)</w:t>
            </w:r>
            <w:r w:rsidRPr="00E37E07">
              <w:rPr>
                <w:rFonts w:eastAsia="Times New Roman"/>
                <w:bCs/>
                <w:color w:val="000000" w:themeColor="text1"/>
                <w:szCs w:val="20"/>
              </w:rPr>
              <w:tab/>
            </w:r>
            <w:r w:rsidRPr="00E37E07">
              <w:rPr>
                <w:bCs/>
                <w:sz w:val="22"/>
                <w:szCs w:val="20"/>
              </w:rPr>
              <w:t xml:space="preserve">rashodi povezani sa stavkama koje su već odbijene </w:t>
            </w:r>
            <w:r w:rsidRPr="00E37E07">
              <w:rPr>
                <w:bCs/>
                <w:sz w:val="22"/>
                <w:szCs w:val="20"/>
              </w:rPr>
              <w:t>od regulatornog kapitala u skladu s člankom 36. stavkom 1. Uredbe (EU) br. 575/2013.</w:t>
            </w:r>
          </w:p>
        </w:tc>
      </w:tr>
      <w:tr w:rsidR="006C0DAA" w:rsidRPr="00E37E07" w14:paraId="75A3C1F6" w14:textId="77777777">
        <w:tc>
          <w:tcPr>
            <w:tcW w:w="1129" w:type="dxa"/>
          </w:tcPr>
          <w:p w14:paraId="79DF0918"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lastRenderedPageBreak/>
              <w:t>0060</w:t>
            </w:r>
          </w:p>
        </w:tc>
        <w:tc>
          <w:tcPr>
            <w:tcW w:w="7620" w:type="dxa"/>
          </w:tcPr>
          <w:p w14:paraId="7C6CCA83"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 Bonusi i ostali primici za osoblje</w:t>
            </w:r>
          </w:p>
          <w:p w14:paraId="74A1F9E6"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rPr>
              <w:t>Članak 13. stavak 4. točka (a) Uredbe (EU) br. 2019/2033</w:t>
            </w:r>
          </w:p>
          <w:p w14:paraId="04FCE591" w14:textId="77777777" w:rsidR="006C0DAA" w:rsidRPr="00E37E07" w:rsidRDefault="00E37E07">
            <w:pPr>
              <w:pStyle w:val="NumPar1"/>
              <w:numPr>
                <w:ilvl w:val="0"/>
                <w:numId w:val="0"/>
              </w:numPr>
              <w:rPr>
                <w:rFonts w:eastAsia="Times New Roman"/>
                <w:bCs/>
                <w:color w:val="000000" w:themeColor="text1"/>
                <w:sz w:val="22"/>
                <w:szCs w:val="20"/>
              </w:rPr>
            </w:pPr>
            <w:r w:rsidRPr="00E37E07">
              <w:rPr>
                <w:bCs/>
                <w:color w:val="000000" w:themeColor="text1"/>
                <w:sz w:val="22"/>
                <w:szCs w:val="20"/>
              </w:rPr>
              <w:t xml:space="preserve">Smatra se da bonusi i ostali primici za osoblje ovise o neto </w:t>
            </w:r>
            <w:r w:rsidRPr="00E37E07">
              <w:rPr>
                <w:bCs/>
                <w:color w:val="000000" w:themeColor="text1"/>
                <w:sz w:val="22"/>
                <w:szCs w:val="20"/>
              </w:rPr>
              <w:t>dobiti investicijskog društva u dotičnoj godini ako su ispunjena oba sljedeća uvjeta:</w:t>
            </w:r>
          </w:p>
          <w:p w14:paraId="74FFACA3" w14:textId="77777777" w:rsidR="006C0DAA" w:rsidRPr="00E37E07" w:rsidRDefault="00E37E07">
            <w:pPr>
              <w:pStyle w:val="Point1letter"/>
              <w:numPr>
                <w:ilvl w:val="0"/>
                <w:numId w:val="0"/>
              </w:numPr>
              <w:ind w:left="350" w:hanging="350"/>
              <w:rPr>
                <w:rFonts w:eastAsia="Times New Roman"/>
                <w:bCs/>
                <w:color w:val="000000" w:themeColor="text1"/>
                <w:sz w:val="22"/>
                <w:szCs w:val="20"/>
              </w:rPr>
            </w:pPr>
            <w:r w:rsidRPr="00E37E07">
              <w:rPr>
                <w:rFonts w:eastAsia="Times New Roman"/>
                <w:bCs/>
                <w:color w:val="000000" w:themeColor="text1"/>
                <w:sz w:val="22"/>
                <w:szCs w:val="20"/>
              </w:rPr>
              <w:t>(h)</w:t>
            </w:r>
            <w:r w:rsidRPr="00E37E07">
              <w:rPr>
                <w:rFonts w:eastAsia="Times New Roman"/>
                <w:bCs/>
                <w:color w:val="000000" w:themeColor="text1"/>
                <w:sz w:val="22"/>
                <w:szCs w:val="20"/>
              </w:rPr>
              <w:tab/>
            </w:r>
            <w:r w:rsidRPr="00E37E07">
              <w:rPr>
                <w:bCs/>
                <w:color w:val="000000" w:themeColor="text1"/>
                <w:sz w:val="22"/>
                <w:szCs w:val="20"/>
              </w:rPr>
              <w:t>bonusi i ostali primici za osoblje koji se odbijaju već su isplaćeni zaposlenicima u godini koja prethodi godini isplate ili isplata bonusa i ostalih primitaka za oso</w:t>
            </w:r>
            <w:r w:rsidRPr="00E37E07">
              <w:rPr>
                <w:bCs/>
                <w:color w:val="000000" w:themeColor="text1"/>
                <w:sz w:val="22"/>
                <w:szCs w:val="20"/>
              </w:rPr>
              <w:t>blje neće utjecati na kapitalnu poziciju društva u godini isplate;</w:t>
            </w:r>
          </w:p>
          <w:p w14:paraId="0F8ED590" w14:textId="77777777" w:rsidR="006C0DAA" w:rsidRPr="00E37E07" w:rsidRDefault="00E37E07">
            <w:pPr>
              <w:pStyle w:val="Point1letter"/>
              <w:numPr>
                <w:ilvl w:val="0"/>
                <w:numId w:val="0"/>
              </w:numPr>
              <w:ind w:left="350" w:hanging="350"/>
              <w:rPr>
                <w:rFonts w:eastAsia="Times New Roman"/>
                <w:bCs/>
                <w:color w:val="000000" w:themeColor="text1"/>
              </w:rPr>
            </w:pPr>
            <w:r w:rsidRPr="00E37E07">
              <w:rPr>
                <w:rFonts w:eastAsia="Times New Roman"/>
                <w:bCs/>
                <w:color w:val="000000" w:themeColor="text1"/>
              </w:rPr>
              <w:t>i.</w:t>
            </w:r>
            <w:r w:rsidRPr="00E37E07">
              <w:rPr>
                <w:rFonts w:eastAsia="Times New Roman"/>
                <w:bCs/>
                <w:color w:val="000000" w:themeColor="text1"/>
              </w:rPr>
              <w:tab/>
            </w:r>
            <w:r w:rsidRPr="00E37E07">
              <w:rPr>
                <w:bCs/>
                <w:color w:val="000000" w:themeColor="text1"/>
                <w:szCs w:val="20"/>
              </w:rPr>
              <w:t>za tekuću godinu i sljedeće godine društvo nije dužno dodijeliti ili raspodijeliti dodatne bonuse ili druge isplate u obliku primitaka, osim ako u toj godini ostvari neto dobit.</w:t>
            </w:r>
          </w:p>
        </w:tc>
      </w:tr>
      <w:tr w:rsidR="006C0DAA" w:rsidRPr="00E37E07" w14:paraId="05F000FC" w14:textId="77777777">
        <w:tc>
          <w:tcPr>
            <w:tcW w:w="1129" w:type="dxa"/>
          </w:tcPr>
          <w:p w14:paraId="2654F39A"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0070</w:t>
            </w:r>
          </w:p>
        </w:tc>
        <w:tc>
          <w:tcPr>
            <w:tcW w:w="7620" w:type="dxa"/>
          </w:tcPr>
          <w:p w14:paraId="241230E4"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w:t>
            </w:r>
            <w:r w:rsidRPr="00E37E07">
              <w:rPr>
                <w:rFonts w:ascii="Times New Roman" w:hAnsi="Times New Roman"/>
                <w:b/>
                <w:bCs/>
                <w:color w:val="000000" w:themeColor="text1"/>
                <w:u w:val="single"/>
              </w:rPr>
              <w:t>) Udjeli zaposlenika, direktora i partnera u neto dobiti</w:t>
            </w:r>
          </w:p>
          <w:p w14:paraId="68EA5B6A" w14:textId="77777777" w:rsidR="006C0DAA" w:rsidRPr="00E37E07" w:rsidRDefault="00E37E07">
            <w:pPr>
              <w:spacing w:after="120" w:line="240" w:lineRule="auto"/>
              <w:jc w:val="both"/>
              <w:rPr>
                <w:rFonts w:eastAsia="Times New Roman"/>
                <w:bCs/>
                <w:color w:val="000000" w:themeColor="text1"/>
              </w:rPr>
            </w:pPr>
            <w:r w:rsidRPr="00E37E07">
              <w:rPr>
                <w:rFonts w:ascii="Times New Roman" w:hAnsi="Times New Roman"/>
                <w:bCs/>
              </w:rPr>
              <w:t>Članak 13. stavak 4. točka (b) Uredbe (EU) 2019/2033</w:t>
            </w:r>
          </w:p>
          <w:p w14:paraId="01C1E161"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szCs w:val="20"/>
              </w:rPr>
              <w:t>Udjeli zaposlenika, direktora i partnera u dobiti izračunavaju se na temelju neto dobiti.</w:t>
            </w:r>
          </w:p>
        </w:tc>
      </w:tr>
      <w:tr w:rsidR="006C0DAA" w:rsidRPr="00E37E07" w14:paraId="74B08423" w14:textId="77777777">
        <w:tc>
          <w:tcPr>
            <w:tcW w:w="1129" w:type="dxa"/>
          </w:tcPr>
          <w:p w14:paraId="6362869C"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0080</w:t>
            </w:r>
          </w:p>
        </w:tc>
        <w:tc>
          <w:tcPr>
            <w:tcW w:w="7620" w:type="dxa"/>
          </w:tcPr>
          <w:p w14:paraId="55D2EEF2"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 xml:space="preserve">(–) Druge diskrecijske isplate dobiti i </w:t>
            </w:r>
            <w:r w:rsidRPr="00E37E07">
              <w:rPr>
                <w:rFonts w:ascii="Times New Roman" w:hAnsi="Times New Roman"/>
                <w:b/>
                <w:bCs/>
                <w:color w:val="000000" w:themeColor="text1"/>
                <w:u w:val="single"/>
              </w:rPr>
              <w:t>varijabilni primici</w:t>
            </w:r>
          </w:p>
          <w:p w14:paraId="18259421"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rPr>
              <w:t>Članak 13. stavak 4. točka (c) Uredbe (EU) 2019/2033</w:t>
            </w:r>
          </w:p>
        </w:tc>
      </w:tr>
      <w:tr w:rsidR="006C0DAA" w:rsidRPr="00E37E07" w14:paraId="05619CFF" w14:textId="77777777">
        <w:tc>
          <w:tcPr>
            <w:tcW w:w="1129" w:type="dxa"/>
          </w:tcPr>
          <w:p w14:paraId="32CA1DDD"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0090</w:t>
            </w:r>
          </w:p>
        </w:tc>
        <w:tc>
          <w:tcPr>
            <w:tcW w:w="7620" w:type="dxa"/>
          </w:tcPr>
          <w:p w14:paraId="0EE87789"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 Obveza za dijeljene provizije i naknade</w:t>
            </w:r>
          </w:p>
          <w:p w14:paraId="073E8ADB"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rPr>
              <w:t>Članak 13. stavak 4. točka (d) Uredbe (EU) 2019/2033</w:t>
            </w:r>
          </w:p>
        </w:tc>
      </w:tr>
      <w:tr w:rsidR="006C0DAA" w:rsidRPr="00E37E07" w14:paraId="14B1909A" w14:textId="77777777">
        <w:tc>
          <w:tcPr>
            <w:tcW w:w="1129" w:type="dxa"/>
          </w:tcPr>
          <w:p w14:paraId="0CD0A746"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0100</w:t>
            </w:r>
          </w:p>
        </w:tc>
        <w:tc>
          <w:tcPr>
            <w:tcW w:w="7620" w:type="dxa"/>
          </w:tcPr>
          <w:p w14:paraId="3BADEA98"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 xml:space="preserve">(–) Naknade za brokerske usluge i druge naknade koje klijenti </w:t>
            </w:r>
            <w:r w:rsidRPr="00E37E07">
              <w:rPr>
                <w:rFonts w:ascii="Times New Roman" w:hAnsi="Times New Roman"/>
                <w:b/>
                <w:bCs/>
                <w:color w:val="000000" w:themeColor="text1"/>
                <w:u w:val="single"/>
              </w:rPr>
              <w:t>plaćaju središnjim drugim ugovornim stranama</w:t>
            </w:r>
          </w:p>
          <w:p w14:paraId="1A0D8B9C" w14:textId="77777777" w:rsidR="006C0DAA" w:rsidRPr="00E37E07" w:rsidRDefault="00E37E07">
            <w:pPr>
              <w:pStyle w:val="Point1letter"/>
              <w:numPr>
                <w:ilvl w:val="0"/>
                <w:numId w:val="0"/>
              </w:numPr>
              <w:rPr>
                <w:rFonts w:eastAsia="Times New Roman"/>
                <w:bCs/>
                <w:color w:val="000000" w:themeColor="text1"/>
              </w:rPr>
            </w:pPr>
            <w:r w:rsidRPr="00E37E07">
              <w:rPr>
                <w:bCs/>
                <w:color w:val="000000" w:themeColor="text1"/>
              </w:rPr>
              <w:t>Naknade za brokerske usluge i druge naknade koje klijenti plaćaju središnjim drugim ugovornim stranama, burzama i drugim mjestima trgovanja i posrednicima za izvršenje, registraciju ili poravnanje transakcija sa</w:t>
            </w:r>
            <w:r w:rsidRPr="00E37E07">
              <w:rPr>
                <w:bCs/>
                <w:color w:val="000000" w:themeColor="text1"/>
              </w:rPr>
              <w:t xml:space="preserve">mo ako se izravno prenose i naplaćuju klijentima. Ne uključuju naknade kao što je podmirivanje članarine ili drugih financijskih obveza podjele gubitaka prema središnjim drugim ugovornim stranama, burzama i drugim mjestima trgovanja. </w:t>
            </w:r>
          </w:p>
        </w:tc>
      </w:tr>
      <w:tr w:rsidR="006C0DAA" w:rsidRPr="00E37E07" w14:paraId="1DE8000C" w14:textId="77777777">
        <w:tc>
          <w:tcPr>
            <w:tcW w:w="1129" w:type="dxa"/>
          </w:tcPr>
          <w:p w14:paraId="7B052EDF"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0110</w:t>
            </w:r>
          </w:p>
        </w:tc>
        <w:tc>
          <w:tcPr>
            <w:tcW w:w="7620" w:type="dxa"/>
          </w:tcPr>
          <w:p w14:paraId="10E4136E"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 Naknade vez</w:t>
            </w:r>
            <w:r w:rsidRPr="00E37E07">
              <w:rPr>
                <w:rFonts w:ascii="Times New Roman" w:hAnsi="Times New Roman"/>
                <w:b/>
                <w:bCs/>
                <w:color w:val="000000" w:themeColor="text1"/>
                <w:u w:val="single"/>
              </w:rPr>
              <w:t>anim zastupnicima</w:t>
            </w:r>
          </w:p>
          <w:p w14:paraId="18CA2487"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rPr>
              <w:lastRenderedPageBreak/>
              <w:t>Članak 13. stavak 4. točka (e) Uredbe (EU) 2019/2033</w:t>
            </w:r>
          </w:p>
        </w:tc>
      </w:tr>
      <w:tr w:rsidR="006C0DAA" w:rsidRPr="00E37E07" w14:paraId="14261D1B" w14:textId="77777777">
        <w:tc>
          <w:tcPr>
            <w:tcW w:w="1129" w:type="dxa"/>
          </w:tcPr>
          <w:p w14:paraId="68569E41"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lastRenderedPageBreak/>
              <w:t>0120</w:t>
            </w:r>
          </w:p>
        </w:tc>
        <w:tc>
          <w:tcPr>
            <w:tcW w:w="7620" w:type="dxa"/>
          </w:tcPr>
          <w:p w14:paraId="5E0211E8"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 Kamate koje se klijentima, na temelju odluke društva, isplaćuju na njihova novčana sredstva</w:t>
            </w:r>
          </w:p>
          <w:p w14:paraId="1075D982"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Kamate koje se klijentima isplaćuju na njihova novčana sredstva ako ne postoji nika</w:t>
            </w:r>
            <w:r w:rsidRPr="00E37E07">
              <w:rPr>
                <w:rFonts w:ascii="Times New Roman" w:hAnsi="Times New Roman"/>
                <w:bCs/>
                <w:color w:val="000000" w:themeColor="text1"/>
              </w:rPr>
              <w:t>kva obveza za isplatu takvih kamata</w:t>
            </w:r>
          </w:p>
        </w:tc>
      </w:tr>
      <w:tr w:rsidR="006C0DAA" w:rsidRPr="00E37E07" w14:paraId="5657F2BD" w14:textId="77777777">
        <w:tc>
          <w:tcPr>
            <w:tcW w:w="1129" w:type="dxa"/>
          </w:tcPr>
          <w:p w14:paraId="15375639"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0130</w:t>
            </w:r>
          </w:p>
        </w:tc>
        <w:tc>
          <w:tcPr>
            <w:tcW w:w="7620" w:type="dxa"/>
          </w:tcPr>
          <w:p w14:paraId="06F39224"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 Jednokratni rashodi od neuobičajenih aktivnosti</w:t>
            </w:r>
          </w:p>
          <w:p w14:paraId="493A22DA"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rPr>
              <w:t>Članak 13. stavak 4. točka (f) Uredbe (EU) 2019/2033</w:t>
            </w:r>
          </w:p>
        </w:tc>
      </w:tr>
      <w:tr w:rsidR="006C0DAA" w:rsidRPr="00E37E07" w14:paraId="16ACC8BC" w14:textId="77777777">
        <w:tc>
          <w:tcPr>
            <w:tcW w:w="1129" w:type="dxa"/>
          </w:tcPr>
          <w:p w14:paraId="07082BEF"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0140</w:t>
            </w:r>
          </w:p>
          <w:p w14:paraId="5F8A192F" w14:textId="77777777" w:rsidR="006C0DAA" w:rsidRPr="00E37E07" w:rsidRDefault="006C0DAA">
            <w:pPr>
              <w:spacing w:after="120" w:line="240" w:lineRule="auto"/>
              <w:jc w:val="both"/>
              <w:rPr>
                <w:rFonts w:ascii="Times New Roman" w:eastAsia="Times New Roman" w:hAnsi="Times New Roman" w:cs="Times New Roman"/>
                <w:bCs/>
                <w:color w:val="000000" w:themeColor="text1"/>
                <w:lang w:val="en-IE" w:eastAsia="de-DE"/>
              </w:rPr>
            </w:pPr>
          </w:p>
        </w:tc>
        <w:tc>
          <w:tcPr>
            <w:tcW w:w="7620" w:type="dxa"/>
          </w:tcPr>
          <w:p w14:paraId="4FF5041A" w14:textId="77777777" w:rsidR="006C0DAA" w:rsidRPr="00E37E07" w:rsidRDefault="00E37E07">
            <w:pPr>
              <w:spacing w:after="120" w:line="240" w:lineRule="auto"/>
              <w:jc w:val="both"/>
              <w:rPr>
                <w:rFonts w:ascii="Times New Roman" w:eastAsia="Times New Roman" w:hAnsi="Times New Roman" w:cs="Times New Roman"/>
                <w:bCs/>
                <w:color w:val="000000" w:themeColor="text1"/>
                <w:u w:val="single"/>
              </w:rPr>
            </w:pPr>
            <w:r w:rsidRPr="00E37E07">
              <w:rPr>
                <w:rFonts w:ascii="Times New Roman" w:hAnsi="Times New Roman"/>
                <w:b/>
                <w:bCs/>
                <w:color w:val="000000" w:themeColor="text1"/>
                <w:u w:val="single"/>
              </w:rPr>
              <w:t>(−) Porezni rashodi</w:t>
            </w:r>
          </w:p>
          <w:p w14:paraId="05AB4618" w14:textId="77777777" w:rsidR="006C0DAA" w:rsidRPr="00E37E07" w:rsidRDefault="00E37E07">
            <w:pPr>
              <w:spacing w:after="120" w:line="240" w:lineRule="auto"/>
              <w:jc w:val="both"/>
              <w:rPr>
                <w:rFonts w:ascii="Times New Roman" w:eastAsia="Times New Roman" w:hAnsi="Times New Roman" w:cs="Times New Roman"/>
                <w:color w:val="000000" w:themeColor="text1"/>
              </w:rPr>
            </w:pPr>
            <w:r w:rsidRPr="00E37E07">
              <w:rPr>
                <w:rFonts w:ascii="Times New Roman" w:hAnsi="Times New Roman"/>
                <w:bCs/>
                <w:color w:val="000000" w:themeColor="text1"/>
              </w:rPr>
              <w:t>Porezni rashodi ako dospijevaju za godišnju dobit investicijskog društva</w:t>
            </w:r>
          </w:p>
        </w:tc>
      </w:tr>
      <w:tr w:rsidR="006C0DAA" w:rsidRPr="00E37E07" w14:paraId="376884FA" w14:textId="77777777">
        <w:tc>
          <w:tcPr>
            <w:tcW w:w="1129" w:type="dxa"/>
          </w:tcPr>
          <w:p w14:paraId="7D9D88BE"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0150</w:t>
            </w:r>
          </w:p>
        </w:tc>
        <w:tc>
          <w:tcPr>
            <w:tcW w:w="7620" w:type="dxa"/>
          </w:tcPr>
          <w:p w14:paraId="1F93E6EC"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 Gubici od trgovanja financijskim instrumentima za vlastiti račun</w:t>
            </w:r>
          </w:p>
          <w:p w14:paraId="080EB5FE"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Gubici od trgovanja financijskim instrumentima za vlastiti račun</w:t>
            </w:r>
          </w:p>
        </w:tc>
      </w:tr>
      <w:tr w:rsidR="006C0DAA" w:rsidRPr="00E37E07" w14:paraId="75F4758D" w14:textId="77777777">
        <w:tc>
          <w:tcPr>
            <w:tcW w:w="1129" w:type="dxa"/>
          </w:tcPr>
          <w:p w14:paraId="3FC22B09"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0160</w:t>
            </w:r>
          </w:p>
        </w:tc>
        <w:tc>
          <w:tcPr>
            <w:tcW w:w="7620" w:type="dxa"/>
          </w:tcPr>
          <w:p w14:paraId="16F9C54C"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 Ugovorni sporazumi o prijenosu dobiti i gubitka</w:t>
            </w:r>
          </w:p>
          <w:p w14:paraId="0712C3F6"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Plaćanja na temelju ugovora o prijenosu dobiti i gubitka na teme</w:t>
            </w:r>
            <w:r w:rsidRPr="00E37E07">
              <w:rPr>
                <w:rFonts w:ascii="Times New Roman" w:hAnsi="Times New Roman"/>
                <w:bCs/>
                <w:color w:val="000000" w:themeColor="text1"/>
              </w:rPr>
              <w:t xml:space="preserve">lju ugovora u skladu s kojima je investicijsko društvo obvezno, nakon pripreme svojih godišnjih financijskih izvještaja, prenijeti svoj godišnji rezultat matičnom društvu </w:t>
            </w:r>
          </w:p>
        </w:tc>
      </w:tr>
      <w:tr w:rsidR="006C0DAA" w:rsidRPr="00E37E07" w14:paraId="14E55C76" w14:textId="77777777">
        <w:tc>
          <w:tcPr>
            <w:tcW w:w="1129" w:type="dxa"/>
          </w:tcPr>
          <w:p w14:paraId="3E4EA379"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0170</w:t>
            </w:r>
          </w:p>
        </w:tc>
        <w:tc>
          <w:tcPr>
            <w:tcW w:w="7620" w:type="dxa"/>
          </w:tcPr>
          <w:p w14:paraId="69E23F88"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 Rashodi za sirovine</w:t>
            </w:r>
          </w:p>
          <w:p w14:paraId="27AC37CC"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rPr>
              <w:t>Trgovci robom i emisijskim jedinicama mogu odbiti rash</w:t>
            </w:r>
            <w:r w:rsidRPr="00E37E07">
              <w:rPr>
                <w:rFonts w:ascii="Times New Roman" w:hAnsi="Times New Roman"/>
                <w:bCs/>
              </w:rPr>
              <w:t xml:space="preserve">ode za sirovine povezane s investicijskim društvom koje trguje izvedenicama odnosne robe. </w:t>
            </w:r>
          </w:p>
        </w:tc>
      </w:tr>
      <w:tr w:rsidR="006C0DAA" w:rsidRPr="00E37E07" w14:paraId="7BF3586C" w14:textId="77777777">
        <w:tc>
          <w:tcPr>
            <w:tcW w:w="1129" w:type="dxa"/>
          </w:tcPr>
          <w:p w14:paraId="3E18DC0E"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0180</w:t>
            </w:r>
          </w:p>
        </w:tc>
        <w:tc>
          <w:tcPr>
            <w:tcW w:w="7620" w:type="dxa"/>
          </w:tcPr>
          <w:p w14:paraId="5ABEDFF9"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 Uplate u fond za opće bankovne rizike</w:t>
            </w:r>
          </w:p>
          <w:p w14:paraId="67A339F5" w14:textId="77777777" w:rsidR="006C0DAA" w:rsidRPr="00E37E07" w:rsidRDefault="00E37E07">
            <w:pPr>
              <w:pStyle w:val="Point1letter"/>
              <w:numPr>
                <w:ilvl w:val="0"/>
                <w:numId w:val="0"/>
              </w:numPr>
              <w:rPr>
                <w:rFonts w:eastAsia="Times New Roman"/>
                <w:b/>
                <w:bCs/>
                <w:color w:val="000000" w:themeColor="text1"/>
                <w:sz w:val="22"/>
                <w:u w:val="single"/>
              </w:rPr>
            </w:pPr>
            <w:r w:rsidRPr="00E37E07">
              <w:rPr>
                <w:sz w:val="22"/>
              </w:rPr>
              <w:t xml:space="preserve">Uplate u rezerve za opće bankovne rizike u skladu s člankom 26. stavkom 1. točkom (f) Uredbe (EU) </w:t>
            </w:r>
            <w:r w:rsidRPr="00E37E07">
              <w:rPr>
                <w:sz w:val="22"/>
              </w:rPr>
              <w:t>br. 575/2013</w:t>
            </w:r>
          </w:p>
        </w:tc>
      </w:tr>
      <w:tr w:rsidR="006C0DAA" w:rsidRPr="00E37E07" w14:paraId="6267B37B" w14:textId="77777777">
        <w:tc>
          <w:tcPr>
            <w:tcW w:w="1129" w:type="dxa"/>
          </w:tcPr>
          <w:p w14:paraId="41942111"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0190</w:t>
            </w:r>
          </w:p>
        </w:tc>
        <w:tc>
          <w:tcPr>
            <w:tcW w:w="7620" w:type="dxa"/>
          </w:tcPr>
          <w:p w14:paraId="6AC57080"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 Rashodi povezani sa stavkama koje su već odbijene od regulatornog kapitala</w:t>
            </w:r>
          </w:p>
          <w:p w14:paraId="3379CAD9"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Cs/>
              </w:rPr>
              <w:t>Rashodi povezani sa stavkama koje su već odbijene od regulatornog kapitala u skladu s člankom 36. stavkom 1. Uredbe (EU) br. 575/2013</w:t>
            </w:r>
          </w:p>
        </w:tc>
      </w:tr>
      <w:tr w:rsidR="006C0DAA" w:rsidRPr="00E37E07" w14:paraId="3279BE2D" w14:textId="77777777">
        <w:tc>
          <w:tcPr>
            <w:tcW w:w="1129" w:type="dxa"/>
          </w:tcPr>
          <w:p w14:paraId="3F5D6EEB"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0200</w:t>
            </w:r>
          </w:p>
        </w:tc>
        <w:tc>
          <w:tcPr>
            <w:tcW w:w="7620" w:type="dxa"/>
          </w:tcPr>
          <w:p w14:paraId="7E750329"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Predviđeni fiksni opći troškovi tekuće godine</w:t>
            </w:r>
          </w:p>
          <w:p w14:paraId="6A073B45"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Predviđanja fiksnih općih troškova za tekuću godinu nakon raspodjele dobiti.</w:t>
            </w:r>
          </w:p>
        </w:tc>
      </w:tr>
      <w:tr w:rsidR="006C0DAA" w:rsidRPr="00E37E07" w14:paraId="4274F4FD" w14:textId="77777777">
        <w:tc>
          <w:tcPr>
            <w:tcW w:w="1129" w:type="dxa"/>
          </w:tcPr>
          <w:p w14:paraId="0381A4B6"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0210</w:t>
            </w:r>
          </w:p>
        </w:tc>
        <w:tc>
          <w:tcPr>
            <w:tcW w:w="7620" w:type="dxa"/>
          </w:tcPr>
          <w:p w14:paraId="1F987DDC"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Razlika u fiksnim općim troškovima (%)</w:t>
            </w:r>
          </w:p>
          <w:p w14:paraId="38212D0D"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Iznos se iskazuje kao sljedeća apsolutna vrijednost:</w:t>
            </w:r>
          </w:p>
          <w:p w14:paraId="6BCA142D"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[(Predviđeni fiksni opći troškovi t</w:t>
            </w:r>
            <w:r w:rsidRPr="00E37E07">
              <w:rPr>
                <w:rFonts w:ascii="Times New Roman" w:hAnsi="Times New Roman"/>
                <w:bCs/>
                <w:color w:val="000000" w:themeColor="text1"/>
              </w:rPr>
              <w:t>ekuće godine) – (godišnji fiksni opći troškovi iz prethodne godine)]/(godišnji fiksni opći troškovi iz prethodne godine)</w:t>
            </w:r>
          </w:p>
        </w:tc>
      </w:tr>
    </w:tbl>
    <w:p w14:paraId="1BE76474" w14:textId="77777777" w:rsidR="006C0DAA" w:rsidRPr="00E37E07" w:rsidRDefault="006C0DAA">
      <w:pPr>
        <w:spacing w:after="120" w:line="240" w:lineRule="auto"/>
        <w:jc w:val="both"/>
        <w:rPr>
          <w:rFonts w:ascii="Times New Roman" w:eastAsia="Times New Roman" w:hAnsi="Times New Roman" w:cs="Times New Roman"/>
          <w:sz w:val="24"/>
          <w:szCs w:val="24"/>
          <w:lang w:eastAsia="de-DE"/>
        </w:rPr>
      </w:pPr>
    </w:p>
    <w:p w14:paraId="1705881D" w14:textId="77777777" w:rsidR="006C0DAA" w:rsidRPr="00E37E07" w:rsidRDefault="00E37E0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0" w:name="_Toc88218394"/>
      <w:r w:rsidRPr="00E37E07">
        <w:rPr>
          <w:rFonts w:ascii="Times New Roman" w:hAnsi="Times New Roman"/>
          <w:sz w:val="24"/>
          <w:szCs w:val="24"/>
          <w:u w:val="single"/>
        </w:rPr>
        <w:t>1.6. I 04.00 – IZRAČUNI UKUPNOG ZAHTJEVA ZA FAKTOR K (I 4)</w:t>
      </w:r>
      <w:bookmarkEnd w:id="40"/>
    </w:p>
    <w:p w14:paraId="4A438F6F" w14:textId="77777777" w:rsidR="006C0DAA" w:rsidRPr="00E37E07" w:rsidRDefault="00E37E0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1" w:name="_Toc88218395"/>
      <w:r w:rsidRPr="00E37E07">
        <w:rPr>
          <w:rFonts w:ascii="Times New Roman" w:hAnsi="Times New Roman"/>
          <w:sz w:val="24"/>
          <w:szCs w:val="24"/>
        </w:rPr>
        <w:t>1.6.1</w:t>
      </w:r>
      <w:r w:rsidRPr="00E37E07">
        <w:rPr>
          <w:rFonts w:ascii="Times New Roman" w:hAnsi="Times New Roman"/>
          <w:sz w:val="24"/>
          <w:szCs w:val="24"/>
        </w:rPr>
        <w:tab/>
      </w:r>
      <w:r w:rsidRPr="00E37E07">
        <w:rPr>
          <w:rFonts w:ascii="Times New Roman" w:hAnsi="Times New Roman"/>
          <w:sz w:val="24"/>
          <w:szCs w:val="24"/>
          <w:u w:val="single"/>
        </w:rPr>
        <w:t>Upute za specifične pozicije</w:t>
      </w:r>
      <w:bookmarkEnd w:id="4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C0DAA" w:rsidRPr="00E37E07" w14:paraId="75B481DE" w14:textId="77777777">
        <w:tc>
          <w:tcPr>
            <w:tcW w:w="1129" w:type="dxa"/>
            <w:shd w:val="clear" w:color="auto" w:fill="D9D9D9"/>
          </w:tcPr>
          <w:p w14:paraId="1CE2796E"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color w:val="000000" w:themeColor="text1"/>
              </w:rPr>
              <w:t>Redak</w:t>
            </w:r>
          </w:p>
        </w:tc>
        <w:tc>
          <w:tcPr>
            <w:tcW w:w="7620" w:type="dxa"/>
            <w:shd w:val="clear" w:color="auto" w:fill="D9D9D9"/>
          </w:tcPr>
          <w:p w14:paraId="37593E36"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color w:val="000000" w:themeColor="text1"/>
              </w:rPr>
              <w:t>Pravna osnova i upute</w:t>
            </w:r>
          </w:p>
        </w:tc>
      </w:tr>
      <w:tr w:rsidR="006C0DAA" w:rsidRPr="00E37E07" w14:paraId="7D754265" w14:textId="77777777">
        <w:tc>
          <w:tcPr>
            <w:tcW w:w="1129" w:type="dxa"/>
          </w:tcPr>
          <w:p w14:paraId="28E72334"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0010</w:t>
            </w:r>
          </w:p>
        </w:tc>
        <w:tc>
          <w:tcPr>
            <w:tcW w:w="7620" w:type="dxa"/>
          </w:tcPr>
          <w:p w14:paraId="463E379D"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UKUPNI ZAHTJEV ZA FAKTOR K</w:t>
            </w:r>
          </w:p>
          <w:p w14:paraId="5BE864F0"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Cs/>
                <w:color w:val="000000" w:themeColor="text1"/>
              </w:rPr>
              <w:t>Članak 15. stavak 1. Uredbe (EU) 2019/2033</w:t>
            </w:r>
          </w:p>
        </w:tc>
      </w:tr>
      <w:tr w:rsidR="006C0DAA" w:rsidRPr="00E37E07" w14:paraId="5EF733F5" w14:textId="77777777">
        <w:tc>
          <w:tcPr>
            <w:tcW w:w="1129" w:type="dxa"/>
          </w:tcPr>
          <w:p w14:paraId="16811C86"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0020</w:t>
            </w:r>
          </w:p>
        </w:tc>
        <w:tc>
          <w:tcPr>
            <w:tcW w:w="7620" w:type="dxa"/>
          </w:tcPr>
          <w:p w14:paraId="722FEFA8"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Rizik za klijenta</w:t>
            </w:r>
          </w:p>
          <w:p w14:paraId="3409FBF7"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Članak 16. Uredbe (EU) 2019/2033</w:t>
            </w:r>
          </w:p>
          <w:p w14:paraId="7E13F6FD"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Cs/>
                <w:color w:val="000000" w:themeColor="text1"/>
              </w:rPr>
              <w:lastRenderedPageBreak/>
              <w:t>Iskazuje se iznos jednak zbroju redaka od 0030 do 0080.</w:t>
            </w:r>
          </w:p>
        </w:tc>
      </w:tr>
      <w:tr w:rsidR="006C0DAA" w:rsidRPr="00E37E07" w14:paraId="3BC544A1" w14:textId="77777777">
        <w:tc>
          <w:tcPr>
            <w:tcW w:w="1129" w:type="dxa"/>
          </w:tcPr>
          <w:p w14:paraId="4C911525"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lastRenderedPageBreak/>
              <w:t>0030</w:t>
            </w:r>
          </w:p>
        </w:tc>
        <w:tc>
          <w:tcPr>
            <w:tcW w:w="7620" w:type="dxa"/>
          </w:tcPr>
          <w:p w14:paraId="74E50FCB"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
                <w:bCs/>
                <w:color w:val="000000" w:themeColor="text1"/>
                <w:u w:val="single"/>
              </w:rPr>
              <w:t>Imovina pod upravljanjem</w:t>
            </w:r>
          </w:p>
          <w:p w14:paraId="129BD968"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 xml:space="preserve">Članak 15. stavak 2. i </w:t>
            </w:r>
            <w:r w:rsidRPr="00E37E07">
              <w:rPr>
                <w:rFonts w:ascii="Times New Roman" w:hAnsi="Times New Roman"/>
                <w:bCs/>
                <w:color w:val="000000" w:themeColor="text1"/>
              </w:rPr>
              <w:t>članak 17. Uredbe (EU) 2019/2033</w:t>
            </w:r>
          </w:p>
          <w:p w14:paraId="7FF02B97"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Imovina pod upravljanjem obuhvaća diskrecijsko upravljanje portfeljem i nediskrecijske savjetodavne aranžmane.</w:t>
            </w:r>
          </w:p>
        </w:tc>
      </w:tr>
      <w:tr w:rsidR="006C0DAA" w:rsidRPr="00E37E07" w14:paraId="4ED6F574" w14:textId="77777777">
        <w:trPr>
          <w:trHeight w:val="883"/>
        </w:trPr>
        <w:tc>
          <w:tcPr>
            <w:tcW w:w="1129" w:type="dxa"/>
          </w:tcPr>
          <w:p w14:paraId="19E6A93C"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0040</w:t>
            </w:r>
          </w:p>
        </w:tc>
        <w:tc>
          <w:tcPr>
            <w:tcW w:w="7620" w:type="dxa"/>
          </w:tcPr>
          <w:p w14:paraId="40F726FB"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Novčana sredstva klijenta koja se drže – na odvojenim računima</w:t>
            </w:r>
          </w:p>
          <w:p w14:paraId="649F5043"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Cs/>
                <w:color w:val="000000" w:themeColor="text1"/>
              </w:rPr>
              <w:t>Članak 15. stavak 2. i članak 18. Uredbe (E</w:t>
            </w:r>
            <w:r w:rsidRPr="00E37E07">
              <w:rPr>
                <w:rFonts w:ascii="Times New Roman" w:hAnsi="Times New Roman"/>
                <w:bCs/>
                <w:color w:val="000000" w:themeColor="text1"/>
              </w:rPr>
              <w:t>U) 2019/2033</w:t>
            </w:r>
          </w:p>
        </w:tc>
      </w:tr>
      <w:tr w:rsidR="006C0DAA" w:rsidRPr="00E37E07" w14:paraId="577E7786" w14:textId="77777777">
        <w:trPr>
          <w:trHeight w:val="982"/>
        </w:trPr>
        <w:tc>
          <w:tcPr>
            <w:tcW w:w="1129" w:type="dxa"/>
          </w:tcPr>
          <w:p w14:paraId="27933830"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0050</w:t>
            </w:r>
          </w:p>
        </w:tc>
        <w:tc>
          <w:tcPr>
            <w:tcW w:w="7620" w:type="dxa"/>
          </w:tcPr>
          <w:p w14:paraId="55DF4322"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Novčana sredstva klijenta koja se drže – na neodvojenim računima</w:t>
            </w:r>
          </w:p>
          <w:p w14:paraId="711F43F1"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Cs/>
                <w:color w:val="000000" w:themeColor="text1"/>
              </w:rPr>
              <w:t>Članak 15. stavak 2. i članak 18. Uredbe (EU) 2019/2033</w:t>
            </w:r>
          </w:p>
        </w:tc>
      </w:tr>
      <w:tr w:rsidR="006C0DAA" w:rsidRPr="00E37E07" w14:paraId="756A67EA" w14:textId="77777777">
        <w:tc>
          <w:tcPr>
            <w:tcW w:w="1129" w:type="dxa"/>
          </w:tcPr>
          <w:p w14:paraId="29BC3D00"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0060</w:t>
            </w:r>
          </w:p>
        </w:tc>
        <w:tc>
          <w:tcPr>
            <w:tcW w:w="7620" w:type="dxa"/>
          </w:tcPr>
          <w:p w14:paraId="357D035D"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Imovina koja se pohranjuje i administrira</w:t>
            </w:r>
          </w:p>
          <w:p w14:paraId="17F6E2E0"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 xml:space="preserve">Članak 15. stavak 2. i članak 19. Uredbe </w:t>
            </w:r>
            <w:r w:rsidRPr="00E37E07">
              <w:rPr>
                <w:rFonts w:ascii="Times New Roman" w:hAnsi="Times New Roman"/>
                <w:bCs/>
                <w:color w:val="000000" w:themeColor="text1"/>
              </w:rPr>
              <w:t>(EU) 2019/2033</w:t>
            </w:r>
          </w:p>
        </w:tc>
      </w:tr>
      <w:tr w:rsidR="006C0DAA" w:rsidRPr="00E37E07" w14:paraId="10E1AA37" w14:textId="77777777">
        <w:tc>
          <w:tcPr>
            <w:tcW w:w="1129" w:type="dxa"/>
          </w:tcPr>
          <w:p w14:paraId="0E217339"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0070</w:t>
            </w:r>
          </w:p>
        </w:tc>
        <w:tc>
          <w:tcPr>
            <w:tcW w:w="7620" w:type="dxa"/>
          </w:tcPr>
          <w:p w14:paraId="344E04E2"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Obrađeni nalozi klijenta – novčane transakcije</w:t>
            </w:r>
          </w:p>
          <w:p w14:paraId="301E2E44"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rPr>
              <w:t>Članak 15. stavak 2., članak 20. stavak 1. i članak 20. stavak 2. točka (a) Uredbe (EU) 2019/2033</w:t>
            </w:r>
          </w:p>
        </w:tc>
      </w:tr>
      <w:tr w:rsidR="006C0DAA" w:rsidRPr="00E37E07" w14:paraId="64BFB937" w14:textId="77777777">
        <w:tc>
          <w:tcPr>
            <w:tcW w:w="1129" w:type="dxa"/>
          </w:tcPr>
          <w:p w14:paraId="3C4BCCB5"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0080</w:t>
            </w:r>
          </w:p>
        </w:tc>
        <w:tc>
          <w:tcPr>
            <w:tcW w:w="7620" w:type="dxa"/>
          </w:tcPr>
          <w:p w14:paraId="42F91598"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Obrađeni nalozi klijenta – trgovanje izvedenicama</w:t>
            </w:r>
          </w:p>
          <w:p w14:paraId="68BE39E3"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rPr>
              <w:t xml:space="preserve">Članak 15. stavak 2. i </w:t>
            </w:r>
            <w:r w:rsidRPr="00E37E07">
              <w:rPr>
                <w:rFonts w:ascii="Times New Roman" w:hAnsi="Times New Roman"/>
                <w:bCs/>
              </w:rPr>
              <w:t>članak 20. stavak 1. i članak 20. stavak 2. točka (b) Uredbe (EU) 2019/2033</w:t>
            </w:r>
          </w:p>
        </w:tc>
      </w:tr>
      <w:tr w:rsidR="006C0DAA" w:rsidRPr="00E37E07" w14:paraId="5A08DAE0" w14:textId="77777777">
        <w:tc>
          <w:tcPr>
            <w:tcW w:w="1129" w:type="dxa"/>
          </w:tcPr>
          <w:p w14:paraId="2A316792"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0090</w:t>
            </w:r>
          </w:p>
        </w:tc>
        <w:tc>
          <w:tcPr>
            <w:tcW w:w="7620" w:type="dxa"/>
          </w:tcPr>
          <w:p w14:paraId="445F17CB"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Rizik za tržište</w:t>
            </w:r>
          </w:p>
          <w:p w14:paraId="0F2092BA"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Članak 21. stavak 1. Uredbe (EU) 2019/2033</w:t>
            </w:r>
          </w:p>
          <w:p w14:paraId="6FA9A416"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Cs/>
                <w:color w:val="000000" w:themeColor="text1"/>
              </w:rPr>
              <w:t>Iskazuje se iznos jednak zbroju redaka od 0100 do 0110.</w:t>
            </w:r>
          </w:p>
        </w:tc>
      </w:tr>
      <w:tr w:rsidR="006C0DAA" w:rsidRPr="00E37E07" w14:paraId="2C6BBA52" w14:textId="77777777">
        <w:tc>
          <w:tcPr>
            <w:tcW w:w="1129" w:type="dxa"/>
          </w:tcPr>
          <w:p w14:paraId="20C19905"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0100</w:t>
            </w:r>
          </w:p>
        </w:tc>
        <w:tc>
          <w:tcPr>
            <w:tcW w:w="7620" w:type="dxa"/>
          </w:tcPr>
          <w:p w14:paraId="3E181FE5"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Zahtjev za faktor K-NPR</w:t>
            </w:r>
          </w:p>
          <w:p w14:paraId="3E8C6E2E"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Članak 22. Uredbe (EU) 2019/</w:t>
            </w:r>
            <w:r w:rsidRPr="00E37E07">
              <w:rPr>
                <w:rFonts w:ascii="Times New Roman" w:hAnsi="Times New Roman"/>
                <w:bCs/>
                <w:color w:val="000000" w:themeColor="text1"/>
              </w:rPr>
              <w:t>2033</w:t>
            </w:r>
          </w:p>
        </w:tc>
      </w:tr>
      <w:tr w:rsidR="006C0DAA" w:rsidRPr="00E37E07" w14:paraId="48683839" w14:textId="77777777">
        <w:tc>
          <w:tcPr>
            <w:tcW w:w="1129" w:type="dxa"/>
          </w:tcPr>
          <w:p w14:paraId="3BD7ACF0"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0110</w:t>
            </w:r>
          </w:p>
        </w:tc>
        <w:tc>
          <w:tcPr>
            <w:tcW w:w="7620" w:type="dxa"/>
          </w:tcPr>
          <w:p w14:paraId="5C124229"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Pružena marža poravnanja</w:t>
            </w:r>
          </w:p>
          <w:p w14:paraId="438109F8"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Članak 23. stavak 2. Uredbe (EU) 2019/2033</w:t>
            </w:r>
          </w:p>
        </w:tc>
      </w:tr>
      <w:tr w:rsidR="006C0DAA" w:rsidRPr="00E37E07" w14:paraId="2BD4B622" w14:textId="77777777">
        <w:tc>
          <w:tcPr>
            <w:tcW w:w="1129" w:type="dxa"/>
          </w:tcPr>
          <w:p w14:paraId="6141C756"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0120</w:t>
            </w:r>
          </w:p>
        </w:tc>
        <w:tc>
          <w:tcPr>
            <w:tcW w:w="7620" w:type="dxa"/>
          </w:tcPr>
          <w:p w14:paraId="338905E9"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Rizik za društvo</w:t>
            </w:r>
          </w:p>
          <w:p w14:paraId="2AB4830E"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Članak 24. Uredbe (EU) 2019/2033</w:t>
            </w:r>
          </w:p>
          <w:p w14:paraId="6A146788"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Cs/>
                <w:color w:val="000000" w:themeColor="text1"/>
              </w:rPr>
              <w:t>Iskazuje se iznos jednak zbroju redaka od 0130 do 0160.</w:t>
            </w:r>
          </w:p>
        </w:tc>
      </w:tr>
      <w:tr w:rsidR="006C0DAA" w:rsidRPr="00E37E07" w14:paraId="4465BB5C" w14:textId="77777777">
        <w:tc>
          <w:tcPr>
            <w:tcW w:w="1129" w:type="dxa"/>
          </w:tcPr>
          <w:p w14:paraId="1A5BF525"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0130</w:t>
            </w:r>
          </w:p>
        </w:tc>
        <w:tc>
          <w:tcPr>
            <w:tcW w:w="7620" w:type="dxa"/>
          </w:tcPr>
          <w:p w14:paraId="54D84829"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 xml:space="preserve">Nastanak statusa neispunjavanja obveza druge </w:t>
            </w:r>
            <w:r w:rsidRPr="00E37E07">
              <w:rPr>
                <w:rFonts w:ascii="Times New Roman" w:hAnsi="Times New Roman"/>
                <w:b/>
                <w:bCs/>
                <w:color w:val="000000" w:themeColor="text1"/>
                <w:u w:val="single"/>
              </w:rPr>
              <w:t>ugovorne strane u trgovanju</w:t>
            </w:r>
          </w:p>
          <w:p w14:paraId="08551DD2"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Članak 26. i članak 24. Uredbe (EU) 2019/2033</w:t>
            </w:r>
          </w:p>
        </w:tc>
      </w:tr>
      <w:tr w:rsidR="006C0DAA" w:rsidRPr="00E37E07" w14:paraId="6599DCD9" w14:textId="77777777">
        <w:tc>
          <w:tcPr>
            <w:tcW w:w="1129" w:type="dxa"/>
          </w:tcPr>
          <w:p w14:paraId="0DD1897F"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0140</w:t>
            </w:r>
          </w:p>
        </w:tc>
        <w:tc>
          <w:tcPr>
            <w:tcW w:w="7620" w:type="dxa"/>
          </w:tcPr>
          <w:p w14:paraId="3A949525"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Dnevni promet trgovanja – novčane transakcije</w:t>
            </w:r>
          </w:p>
          <w:p w14:paraId="712A7545"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rPr>
              <w:t>Investicijska društva iskazuju izračun zahtjeva za faktor K primjenom koeficijenta iz članka 15. stavka 2. Uredbe (EU) 2019/2033.</w:t>
            </w:r>
          </w:p>
          <w:p w14:paraId="04E1C730"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rPr>
              <w:t>U skladu s člankom 15. stavkom 5. točkom (c) Uredbe (EU) 2019/2033, u stresnim tržišnim uvjetima investicijska društva primjenjuju prilagođeni koeficijent kako je navedeno u članku 1. stavku 1. točki (a) regulatornih tehničkih standarda za pobliže utvrđiva</w:t>
            </w:r>
            <w:r w:rsidRPr="00E37E07">
              <w:rPr>
                <w:rFonts w:ascii="Times New Roman" w:hAnsi="Times New Roman"/>
                <w:bCs/>
              </w:rPr>
              <w:t>nje prilagodbi koeficijenata faktora K-DTF.</w:t>
            </w:r>
          </w:p>
          <w:p w14:paraId="64A33E4C"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rPr>
              <w:t>Faktor dnevnog prometa trgovanja izračunava se u skladu s člankom 33. stavkom 2. točkom (a) Uredbe Komisije (EU) 2019/2033.</w:t>
            </w:r>
          </w:p>
        </w:tc>
      </w:tr>
      <w:tr w:rsidR="006C0DAA" w:rsidRPr="00E37E07" w14:paraId="31DE02D7" w14:textId="77777777">
        <w:tc>
          <w:tcPr>
            <w:tcW w:w="1129" w:type="dxa"/>
          </w:tcPr>
          <w:p w14:paraId="5ABA589B"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lastRenderedPageBreak/>
              <w:t>0150</w:t>
            </w:r>
          </w:p>
        </w:tc>
        <w:tc>
          <w:tcPr>
            <w:tcW w:w="7620" w:type="dxa"/>
          </w:tcPr>
          <w:p w14:paraId="39E6221A"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Dnevni promet trgovanja – trgovanje izvedenicama</w:t>
            </w:r>
          </w:p>
          <w:p w14:paraId="4CB71995"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rPr>
              <w:t>Investicijska društva iskazuju iz</w:t>
            </w:r>
            <w:r w:rsidRPr="00E37E07">
              <w:rPr>
                <w:rFonts w:ascii="Times New Roman" w:hAnsi="Times New Roman"/>
                <w:bCs/>
              </w:rPr>
              <w:t>račun zahtjeva za faktor K primjenom koeficijenta iz članka 15. stavka 2. Uredbe (EU) 2019/2033.</w:t>
            </w:r>
          </w:p>
          <w:p w14:paraId="275D56AD"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rPr>
              <w:t xml:space="preserve">U skladu s člankom 15. stavkom 5. točkom (c) Uredbe (EU) 2019/2033, u stresnim tržišnim uvjetima investicijska društva primjenjuju prilagođeni </w:t>
            </w:r>
            <w:r w:rsidRPr="00E37E07">
              <w:rPr>
                <w:rFonts w:ascii="Times New Roman" w:hAnsi="Times New Roman"/>
                <w:bCs/>
              </w:rPr>
              <w:t>koeficijent kako je navedeno u članku 1. stavku 1. točki (b) regulatornih tehničkih standarda radi pobližeg određivanja prilagodbe koeficijenata faktora K-DTF.</w:t>
            </w:r>
          </w:p>
          <w:p w14:paraId="42D2F3C1"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rPr>
              <w:t>Faktor dnevnog prometa trgovanja izračunava se u skladu s člankom 33. stavkom 2. točkom (b) Ured</w:t>
            </w:r>
            <w:r w:rsidRPr="00E37E07">
              <w:rPr>
                <w:rFonts w:ascii="Times New Roman" w:hAnsi="Times New Roman"/>
                <w:bCs/>
              </w:rPr>
              <w:t>be Komisije (EU) 2019/2033.</w:t>
            </w:r>
          </w:p>
        </w:tc>
      </w:tr>
      <w:tr w:rsidR="006C0DAA" w:rsidRPr="00E37E07" w14:paraId="27817B17" w14:textId="77777777">
        <w:tc>
          <w:tcPr>
            <w:tcW w:w="1129" w:type="dxa"/>
          </w:tcPr>
          <w:p w14:paraId="2D1FAFC6"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color w:val="000000" w:themeColor="text1"/>
              </w:rPr>
              <w:t>0160</w:t>
            </w:r>
          </w:p>
        </w:tc>
        <w:tc>
          <w:tcPr>
            <w:tcW w:w="7620" w:type="dxa"/>
          </w:tcPr>
          <w:p w14:paraId="33A70537" w14:textId="77777777" w:rsidR="006C0DAA" w:rsidRPr="00E37E07" w:rsidRDefault="00E37E07">
            <w:pPr>
              <w:spacing w:after="120" w:line="240" w:lineRule="auto"/>
              <w:jc w:val="both"/>
              <w:rPr>
                <w:rFonts w:ascii="Times New Roman" w:eastAsia="Times New Roman" w:hAnsi="Times New Roman" w:cs="Times New Roman"/>
                <w:b/>
                <w:bCs/>
                <w:color w:val="000000" w:themeColor="text1"/>
                <w:u w:val="single"/>
              </w:rPr>
            </w:pPr>
            <w:r w:rsidRPr="00E37E07">
              <w:rPr>
                <w:rFonts w:ascii="Times New Roman" w:hAnsi="Times New Roman"/>
                <w:b/>
                <w:bCs/>
                <w:color w:val="000000" w:themeColor="text1"/>
                <w:u w:val="single"/>
              </w:rPr>
              <w:t>Zahtjev za faktor K-CON</w:t>
            </w:r>
          </w:p>
          <w:p w14:paraId="297FD0FE" w14:textId="77777777" w:rsidR="006C0DAA" w:rsidRPr="00E37E07" w:rsidRDefault="00E37E07">
            <w:pPr>
              <w:spacing w:after="120" w:line="240" w:lineRule="auto"/>
              <w:jc w:val="both"/>
              <w:rPr>
                <w:rFonts w:ascii="Times New Roman" w:eastAsia="Times New Roman" w:hAnsi="Times New Roman" w:cs="Times New Roman"/>
                <w:bCs/>
                <w:color w:val="000000" w:themeColor="text1"/>
              </w:rPr>
            </w:pPr>
            <w:r w:rsidRPr="00E37E07">
              <w:rPr>
                <w:rFonts w:ascii="Times New Roman" w:hAnsi="Times New Roman"/>
                <w:bCs/>
              </w:rPr>
              <w:t>Članak 37. stavak 2.. članak 39. i članak 24. Uredbe (EU) 2019/2033</w:t>
            </w:r>
          </w:p>
        </w:tc>
      </w:tr>
    </w:tbl>
    <w:p w14:paraId="2D5BDA87" w14:textId="77777777" w:rsidR="006C0DAA" w:rsidRPr="00E37E07" w:rsidRDefault="006C0DAA">
      <w:pPr>
        <w:rPr>
          <w:lang w:val="en-I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C0DAA" w:rsidRPr="00E37E07" w14:paraId="59759B2B" w14:textId="77777777">
        <w:tc>
          <w:tcPr>
            <w:tcW w:w="1129" w:type="dxa"/>
            <w:shd w:val="clear" w:color="auto" w:fill="D9D9D9"/>
          </w:tcPr>
          <w:p w14:paraId="37DB3739" w14:textId="77777777" w:rsidR="006C0DAA" w:rsidRPr="00E37E07" w:rsidRDefault="00E37E07">
            <w:pPr>
              <w:spacing w:after="120" w:line="240" w:lineRule="auto"/>
              <w:jc w:val="both"/>
              <w:rPr>
                <w:rFonts w:ascii="Times New Roman" w:eastAsia="Times New Roman" w:hAnsi="Times New Roman" w:cs="Times New Roman"/>
                <w:bCs/>
                <w:sz w:val="24"/>
                <w:szCs w:val="24"/>
              </w:rPr>
            </w:pPr>
            <w:r w:rsidRPr="00E37E07">
              <w:rPr>
                <w:rFonts w:ascii="Times New Roman" w:hAnsi="Times New Roman"/>
                <w:sz w:val="24"/>
                <w:szCs w:val="24"/>
              </w:rPr>
              <w:t>Stupci</w:t>
            </w:r>
          </w:p>
        </w:tc>
        <w:tc>
          <w:tcPr>
            <w:tcW w:w="7620" w:type="dxa"/>
            <w:shd w:val="clear" w:color="auto" w:fill="D9D9D9"/>
          </w:tcPr>
          <w:p w14:paraId="6FE258CD" w14:textId="77777777" w:rsidR="006C0DAA" w:rsidRPr="00E37E07" w:rsidRDefault="00E37E07">
            <w:pPr>
              <w:spacing w:after="120" w:line="240" w:lineRule="auto"/>
              <w:jc w:val="both"/>
              <w:rPr>
                <w:rFonts w:ascii="Times New Roman" w:eastAsia="Times New Roman" w:hAnsi="Times New Roman" w:cs="Times New Roman"/>
                <w:bCs/>
                <w:sz w:val="24"/>
                <w:szCs w:val="24"/>
              </w:rPr>
            </w:pPr>
            <w:r w:rsidRPr="00E37E07">
              <w:rPr>
                <w:rFonts w:ascii="Times New Roman" w:hAnsi="Times New Roman"/>
                <w:sz w:val="24"/>
                <w:szCs w:val="24"/>
              </w:rPr>
              <w:t>Pravna osnova i upute</w:t>
            </w:r>
          </w:p>
        </w:tc>
      </w:tr>
      <w:tr w:rsidR="006C0DAA" w:rsidRPr="00E37E07" w14:paraId="394DB409" w14:textId="77777777">
        <w:tc>
          <w:tcPr>
            <w:tcW w:w="1129" w:type="dxa"/>
          </w:tcPr>
          <w:p w14:paraId="0FCEB3A4" w14:textId="77777777" w:rsidR="006C0DAA" w:rsidRPr="00E37E07" w:rsidRDefault="00E37E07">
            <w:pPr>
              <w:spacing w:after="120" w:line="240" w:lineRule="auto"/>
              <w:jc w:val="both"/>
              <w:rPr>
                <w:rFonts w:ascii="Times New Roman" w:eastAsia="Times New Roman" w:hAnsi="Times New Roman" w:cs="Times New Roman"/>
                <w:bCs/>
                <w:sz w:val="24"/>
                <w:szCs w:val="24"/>
              </w:rPr>
            </w:pPr>
            <w:r w:rsidRPr="00E37E07">
              <w:rPr>
                <w:rFonts w:ascii="Times New Roman" w:hAnsi="Times New Roman"/>
                <w:bCs/>
                <w:sz w:val="24"/>
                <w:szCs w:val="24"/>
              </w:rPr>
              <w:t>0010</w:t>
            </w:r>
          </w:p>
        </w:tc>
        <w:tc>
          <w:tcPr>
            <w:tcW w:w="7620" w:type="dxa"/>
          </w:tcPr>
          <w:p w14:paraId="07CE4717" w14:textId="77777777" w:rsidR="006C0DAA" w:rsidRPr="00E37E07" w:rsidRDefault="00E37E07">
            <w:pPr>
              <w:spacing w:after="120" w:line="240" w:lineRule="auto"/>
              <w:jc w:val="both"/>
              <w:rPr>
                <w:rFonts w:ascii="Times New Roman" w:eastAsia="Times New Roman" w:hAnsi="Times New Roman" w:cs="Times New Roman"/>
                <w:b/>
                <w:bCs/>
                <w:color w:val="000000" w:themeColor="text1"/>
                <w:sz w:val="24"/>
                <w:szCs w:val="24"/>
                <w:u w:val="single"/>
              </w:rPr>
            </w:pPr>
            <w:r w:rsidRPr="00E37E07">
              <w:rPr>
                <w:rFonts w:ascii="Times New Roman" w:hAnsi="Times New Roman"/>
                <w:b/>
                <w:bCs/>
                <w:color w:val="000000" w:themeColor="text1"/>
                <w:sz w:val="24"/>
                <w:szCs w:val="24"/>
                <w:u w:val="single"/>
              </w:rPr>
              <w:t>Iznos faktora</w:t>
            </w:r>
          </w:p>
          <w:p w14:paraId="0F89ECCA" w14:textId="77777777" w:rsidR="006C0DAA" w:rsidRPr="00E37E07" w:rsidRDefault="00E37E07">
            <w:pPr>
              <w:spacing w:after="120" w:line="240" w:lineRule="auto"/>
              <w:jc w:val="both"/>
              <w:rPr>
                <w:rFonts w:ascii="Times New Roman" w:eastAsia="Times New Roman" w:hAnsi="Times New Roman" w:cs="Times New Roman"/>
                <w:b/>
                <w:bCs/>
                <w:color w:val="000000" w:themeColor="text1"/>
                <w:sz w:val="24"/>
                <w:szCs w:val="24"/>
                <w:u w:val="single"/>
              </w:rPr>
            </w:pPr>
            <w:r w:rsidRPr="00E37E07">
              <w:rPr>
                <w:rFonts w:ascii="Times New Roman" w:hAnsi="Times New Roman"/>
                <w:bCs/>
                <w:color w:val="000000" w:themeColor="text1"/>
                <w:sz w:val="24"/>
                <w:szCs w:val="24"/>
              </w:rPr>
              <w:t xml:space="preserve">Investicijska društva iskazuju iznos pojedinog faktora prije množenja svakog faktora s odgovarajućim koeficijentom. </w:t>
            </w:r>
          </w:p>
        </w:tc>
      </w:tr>
      <w:tr w:rsidR="006C0DAA" w:rsidRPr="00E37E07" w14:paraId="0D25F8FE" w14:textId="77777777">
        <w:tc>
          <w:tcPr>
            <w:tcW w:w="1129" w:type="dxa"/>
          </w:tcPr>
          <w:p w14:paraId="75008F03" w14:textId="77777777" w:rsidR="006C0DAA" w:rsidRPr="00E37E07" w:rsidRDefault="00E37E07">
            <w:pPr>
              <w:spacing w:after="120" w:line="240" w:lineRule="auto"/>
              <w:jc w:val="both"/>
              <w:rPr>
                <w:rFonts w:ascii="Times New Roman" w:eastAsia="Times New Roman" w:hAnsi="Times New Roman" w:cs="Times New Roman"/>
                <w:bCs/>
                <w:sz w:val="24"/>
                <w:szCs w:val="24"/>
              </w:rPr>
            </w:pPr>
            <w:r w:rsidRPr="00E37E07">
              <w:rPr>
                <w:rFonts w:ascii="Times New Roman" w:hAnsi="Times New Roman"/>
                <w:bCs/>
                <w:sz w:val="24"/>
                <w:szCs w:val="24"/>
              </w:rPr>
              <w:t>0020</w:t>
            </w:r>
          </w:p>
        </w:tc>
        <w:tc>
          <w:tcPr>
            <w:tcW w:w="7620" w:type="dxa"/>
          </w:tcPr>
          <w:p w14:paraId="317B6CD0" w14:textId="77777777" w:rsidR="006C0DAA" w:rsidRPr="00E37E07" w:rsidRDefault="00E37E07">
            <w:pPr>
              <w:tabs>
                <w:tab w:val="left" w:pos="720"/>
                <w:tab w:val="left" w:pos="1440"/>
                <w:tab w:val="left" w:pos="2160"/>
                <w:tab w:val="left" w:pos="2880"/>
                <w:tab w:val="left" w:pos="4973"/>
              </w:tabs>
              <w:spacing w:after="120" w:line="240" w:lineRule="auto"/>
              <w:jc w:val="both"/>
              <w:rPr>
                <w:rFonts w:ascii="Times New Roman" w:eastAsia="Times New Roman" w:hAnsi="Times New Roman" w:cs="Times New Roman"/>
                <w:b/>
                <w:bCs/>
                <w:sz w:val="24"/>
                <w:szCs w:val="24"/>
                <w:u w:val="single"/>
              </w:rPr>
            </w:pPr>
            <w:r w:rsidRPr="00E37E07">
              <w:rPr>
                <w:rFonts w:ascii="Times New Roman" w:hAnsi="Times New Roman"/>
                <w:b/>
                <w:bCs/>
                <w:sz w:val="24"/>
                <w:szCs w:val="24"/>
                <w:u w:val="single"/>
              </w:rPr>
              <w:t>Zahtjev za faktor K</w:t>
            </w:r>
          </w:p>
          <w:p w14:paraId="670A31D0" w14:textId="77777777" w:rsidR="006C0DAA" w:rsidRPr="00E37E07" w:rsidRDefault="00E37E07">
            <w:pPr>
              <w:tabs>
                <w:tab w:val="left" w:pos="720"/>
                <w:tab w:val="left" w:pos="1440"/>
                <w:tab w:val="left" w:pos="2160"/>
                <w:tab w:val="left" w:pos="2880"/>
              </w:tabs>
              <w:spacing w:after="120" w:line="240" w:lineRule="auto"/>
              <w:jc w:val="both"/>
              <w:rPr>
                <w:rFonts w:ascii="Times New Roman" w:eastAsia="Times New Roman" w:hAnsi="Times New Roman" w:cs="Times New Roman"/>
                <w:bCs/>
                <w:sz w:val="24"/>
                <w:szCs w:val="24"/>
              </w:rPr>
            </w:pPr>
            <w:r w:rsidRPr="00E37E07">
              <w:rPr>
                <w:rFonts w:ascii="Times New Roman" w:hAnsi="Times New Roman"/>
                <w:bCs/>
                <w:sz w:val="24"/>
                <w:szCs w:val="24"/>
              </w:rPr>
              <w:t>Izračunava se u skladu s člancima 16., 21. i 24. Uredbe (EU) 2019/2033.</w:t>
            </w:r>
          </w:p>
        </w:tc>
      </w:tr>
    </w:tbl>
    <w:p w14:paraId="04CDE87E" w14:textId="77777777" w:rsidR="006C0DAA" w:rsidRPr="00E37E07" w:rsidRDefault="006C0DAA">
      <w:pPr>
        <w:spacing w:after="120" w:line="240" w:lineRule="auto"/>
        <w:jc w:val="both"/>
        <w:rPr>
          <w:rFonts w:ascii="Times New Roman" w:eastAsia="Times New Roman" w:hAnsi="Times New Roman" w:cs="Times New Roman"/>
          <w:sz w:val="24"/>
          <w:szCs w:val="24"/>
          <w:lang w:val="en-IE" w:eastAsia="de-DE"/>
        </w:rPr>
      </w:pPr>
    </w:p>
    <w:p w14:paraId="6A5CD06F" w14:textId="77777777" w:rsidR="006C0DAA" w:rsidRPr="00E37E07" w:rsidRDefault="00E37E07">
      <w:pPr>
        <w:pStyle w:val="Instructionsberschrift2"/>
        <w:ind w:left="357" w:hanging="357"/>
      </w:pPr>
      <w:bookmarkStart w:id="42" w:name="_Toc35795022"/>
      <w:bookmarkStart w:id="43" w:name="_Toc88218396"/>
      <w:r w:rsidRPr="00E37E07">
        <w:rPr>
          <w:rFonts w:ascii="Times New Roman" w:hAnsi="Times New Roman"/>
          <w:b/>
          <w:sz w:val="24"/>
        </w:rPr>
        <w:t xml:space="preserve">2. MALA I NEPOVEZANA </w:t>
      </w:r>
      <w:r w:rsidRPr="00E37E07">
        <w:rPr>
          <w:rFonts w:ascii="Times New Roman" w:hAnsi="Times New Roman"/>
          <w:b/>
          <w:sz w:val="24"/>
        </w:rPr>
        <w:t>INVESTICIJSKA DRUŠTVA</w:t>
      </w:r>
      <w:bookmarkEnd w:id="42"/>
      <w:bookmarkEnd w:id="43"/>
    </w:p>
    <w:p w14:paraId="05B5280A" w14:textId="77777777" w:rsidR="006C0DAA" w:rsidRPr="00E37E07" w:rsidRDefault="00E37E0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4" w:name="_Toc473560875"/>
      <w:bookmarkStart w:id="45" w:name="_Toc7084160"/>
      <w:bookmarkStart w:id="46" w:name="_Toc88218397"/>
      <w:bookmarkStart w:id="47" w:name="_Toc308175823"/>
      <w:bookmarkStart w:id="48" w:name="_Toc360188327"/>
      <w:r w:rsidRPr="00E37E07">
        <w:rPr>
          <w:rFonts w:ascii="Times New Roman" w:hAnsi="Times New Roman"/>
          <w:sz w:val="24"/>
          <w:szCs w:val="24"/>
          <w:u w:val="single"/>
        </w:rPr>
        <w:t>2.1. I 05.00 – RAZINA AKTIVNOSTI – PREISPITIVANJE PRAGOVA (I 5)</w:t>
      </w:r>
      <w:bookmarkEnd w:id="44"/>
      <w:bookmarkEnd w:id="45"/>
      <w:bookmarkEnd w:id="46"/>
      <w:bookmarkEnd w:id="47"/>
      <w:bookmarkEnd w:id="48"/>
    </w:p>
    <w:p w14:paraId="11CDC8D3" w14:textId="77777777" w:rsidR="006C0DAA" w:rsidRPr="00E37E07" w:rsidRDefault="00E37E07">
      <w:pPr>
        <w:keepNext/>
        <w:spacing w:before="240" w:after="240" w:line="240" w:lineRule="auto"/>
        <w:ind w:left="357" w:hanging="357"/>
        <w:jc w:val="both"/>
        <w:outlineLvl w:val="1"/>
        <w:rPr>
          <w:rFonts w:ascii="Times New Roman" w:eastAsia="Times New Roman" w:hAnsi="Times New Roman" w:cs="Times New Roman"/>
          <w:b/>
        </w:rPr>
      </w:pPr>
      <w:bookmarkStart w:id="49" w:name="_Toc310414970"/>
      <w:bookmarkStart w:id="50" w:name="_Toc308175824"/>
      <w:bookmarkStart w:id="51" w:name="_Toc360188328"/>
      <w:bookmarkStart w:id="52" w:name="_Toc473560876"/>
      <w:bookmarkStart w:id="53" w:name="_Toc7084161"/>
      <w:bookmarkStart w:id="54" w:name="_Toc88218398"/>
      <w:r w:rsidRPr="00E37E07">
        <w:rPr>
          <w:rFonts w:ascii="Times New Roman" w:hAnsi="Times New Roman"/>
          <w:sz w:val="24"/>
          <w:szCs w:val="24"/>
        </w:rPr>
        <w:t>2.1.1</w:t>
      </w:r>
      <w:r w:rsidRPr="00E37E07">
        <w:rPr>
          <w:rFonts w:ascii="Times New Roman" w:hAnsi="Times New Roman"/>
          <w:sz w:val="24"/>
          <w:szCs w:val="24"/>
        </w:rPr>
        <w:tab/>
      </w:r>
      <w:r w:rsidRPr="00E37E07">
        <w:rPr>
          <w:rFonts w:ascii="Times New Roman" w:hAnsi="Times New Roman"/>
          <w:sz w:val="24"/>
          <w:szCs w:val="24"/>
          <w:u w:val="single"/>
        </w:rPr>
        <w:t xml:space="preserve">Upute za specifične </w:t>
      </w:r>
      <w:bookmarkEnd w:id="49"/>
      <w:bookmarkEnd w:id="50"/>
      <w:r w:rsidRPr="00E37E07">
        <w:rPr>
          <w:rFonts w:ascii="Times New Roman" w:hAnsi="Times New Roman"/>
          <w:u w:val="single"/>
        </w:rPr>
        <w:t>pozicije</w:t>
      </w:r>
      <w:bookmarkEnd w:id="51"/>
      <w:bookmarkEnd w:id="52"/>
      <w:bookmarkEnd w:id="53"/>
      <w:bookmarkEnd w:id="5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C0DAA" w:rsidRPr="00E37E07" w14:paraId="4D011841" w14:textId="77777777">
        <w:tc>
          <w:tcPr>
            <w:tcW w:w="1129" w:type="dxa"/>
            <w:shd w:val="clear" w:color="auto" w:fill="D9D9D9"/>
          </w:tcPr>
          <w:p w14:paraId="1E9DFB2E"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Redak</w:t>
            </w:r>
          </w:p>
        </w:tc>
        <w:tc>
          <w:tcPr>
            <w:tcW w:w="7620" w:type="dxa"/>
            <w:shd w:val="clear" w:color="auto" w:fill="D9D9D9"/>
          </w:tcPr>
          <w:p w14:paraId="2DB9D3DA"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Pravna osnova i upute</w:t>
            </w:r>
          </w:p>
        </w:tc>
      </w:tr>
      <w:tr w:rsidR="006C0DAA" w:rsidRPr="00E37E07" w14:paraId="14FAFD30" w14:textId="77777777">
        <w:tc>
          <w:tcPr>
            <w:tcW w:w="1129" w:type="dxa"/>
          </w:tcPr>
          <w:p w14:paraId="3E0C4915"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0010</w:t>
            </w:r>
          </w:p>
        </w:tc>
        <w:tc>
          <w:tcPr>
            <w:tcW w:w="7620" w:type="dxa"/>
          </w:tcPr>
          <w:p w14:paraId="785C91CD"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
                <w:bCs/>
                <w:u w:val="single"/>
              </w:rPr>
              <w:t>(Kombinirana) imovina pod upravljanjem</w:t>
            </w:r>
          </w:p>
          <w:p w14:paraId="12526A40"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Članak 12. stavak 1. točka (a) Uredbe (EU) </w:t>
            </w:r>
            <w:r w:rsidRPr="00E37E07">
              <w:rPr>
                <w:rFonts w:ascii="Times New Roman" w:hAnsi="Times New Roman"/>
                <w:bCs/>
              </w:rPr>
              <w:t>br. 2019/2033</w:t>
            </w:r>
          </w:p>
          <w:p w14:paraId="7EC2C7A1"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Ako je izvještajno investicijsko društvo dio grupe, iskazana vrijednost određuje se na kombiniranoj osnovi za sva investicijska društva koja su članovi grupe u skladu s člankom 12. stavkom2. Uredbe (EU) 2019/2033.</w:t>
            </w:r>
          </w:p>
          <w:p w14:paraId="1171560A"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Investicijska društva uključ</w:t>
            </w:r>
            <w:r w:rsidRPr="00E37E07">
              <w:rPr>
                <w:rFonts w:ascii="Times New Roman" w:hAnsi="Times New Roman"/>
                <w:bCs/>
              </w:rPr>
              <w:t>uju diskrecijsku i nediskrecijsku imovinu pod upravljanjem.</w:t>
            </w:r>
          </w:p>
          <w:p w14:paraId="43FE7C7F"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Iskazuje se iznos koji bi se upotrijebio za izračun faktora K prije primjene relevantnih koeficijenata.</w:t>
            </w:r>
          </w:p>
        </w:tc>
      </w:tr>
      <w:tr w:rsidR="006C0DAA" w:rsidRPr="00E37E07" w14:paraId="7C4C2EE7" w14:textId="77777777">
        <w:tc>
          <w:tcPr>
            <w:tcW w:w="1129" w:type="dxa"/>
          </w:tcPr>
          <w:p w14:paraId="7BCFE73C"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0020</w:t>
            </w:r>
          </w:p>
        </w:tc>
        <w:tc>
          <w:tcPr>
            <w:tcW w:w="7620" w:type="dxa"/>
          </w:tcPr>
          <w:p w14:paraId="71E6EFF7"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
                <w:bCs/>
                <w:u w:val="single"/>
              </w:rPr>
              <w:t>(Kombinirani) obrađeni nalozi klijenta – novčane transakcije</w:t>
            </w:r>
          </w:p>
          <w:p w14:paraId="4390CAA5"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12. stavak 1. točk</w:t>
            </w:r>
            <w:r w:rsidRPr="00E37E07">
              <w:rPr>
                <w:rFonts w:ascii="Times New Roman" w:hAnsi="Times New Roman"/>
                <w:bCs/>
              </w:rPr>
              <w:t>a (b) podtočka</w:t>
            </w:r>
            <w:r w:rsidRPr="00E37E07">
              <w:rPr>
                <w:rFonts w:ascii="Times New Roman" w:hAnsi="Times New Roman"/>
                <w:bCs/>
              </w:rPr>
              <w:t xml:space="preserve"> i.</w:t>
            </w:r>
            <w:r w:rsidRPr="00E37E07">
              <w:rPr>
                <w:rFonts w:ascii="Times New Roman" w:hAnsi="Times New Roman"/>
                <w:bCs/>
              </w:rPr>
              <w:t xml:space="preserve"> Uredbe (EU) 2019/2033</w:t>
            </w:r>
          </w:p>
          <w:p w14:paraId="24BAF5C8"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Ako je izvještajno investicijsko društvo dio grupe, iskazana vrijednost određuje se na kombiniranoj osnovi za sva investicijska društva koja su članovi grupe u skladu s člankom 12. stavkom2. Uredbe </w:t>
            </w:r>
            <w:r w:rsidRPr="00E37E07">
              <w:rPr>
                <w:rFonts w:ascii="Times New Roman" w:hAnsi="Times New Roman"/>
                <w:bCs/>
              </w:rPr>
              <w:t>(EU) 2019/2033.</w:t>
            </w:r>
          </w:p>
          <w:p w14:paraId="3373CB54"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Iskazuje se iznos koji bi se upotrijebio za izračun faktora K prije primjene relevantnih koeficijenata.</w:t>
            </w:r>
          </w:p>
        </w:tc>
      </w:tr>
      <w:tr w:rsidR="006C0DAA" w:rsidRPr="00E37E07" w14:paraId="718822AB" w14:textId="77777777">
        <w:tc>
          <w:tcPr>
            <w:tcW w:w="1129" w:type="dxa"/>
          </w:tcPr>
          <w:p w14:paraId="11B0488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lastRenderedPageBreak/>
              <w:t>0030</w:t>
            </w:r>
          </w:p>
        </w:tc>
        <w:tc>
          <w:tcPr>
            <w:tcW w:w="7620" w:type="dxa"/>
          </w:tcPr>
          <w:p w14:paraId="32DA6EFB"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
                <w:bCs/>
                <w:u w:val="single"/>
              </w:rPr>
              <w:t>(Kombinirani) obrađeni nalozi klijenta – izvedenice</w:t>
            </w:r>
          </w:p>
          <w:p w14:paraId="00E05F2A"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12. stavak 1. točka (b) podtočka ii. Uredbe (EU) 2019/2033</w:t>
            </w:r>
          </w:p>
          <w:p w14:paraId="3AAF88C7"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Ako je izvje</w:t>
            </w:r>
            <w:r w:rsidRPr="00E37E07">
              <w:rPr>
                <w:rFonts w:ascii="Times New Roman" w:hAnsi="Times New Roman"/>
                <w:bCs/>
              </w:rPr>
              <w:t>štajno investicijsko društvo dio grupe, iskazana vrijednost određuje se na kombiniranoj osnovi za sva investicijska društva koja su članovi grupe u skladu s člankom 12. stavkom2. Uredbe (EU) 2019/2033.</w:t>
            </w:r>
          </w:p>
          <w:p w14:paraId="7B1F0ECF"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Iskazuje se iznos koji bi se upotrijebio za izračun fa</w:t>
            </w:r>
            <w:r w:rsidRPr="00E37E07">
              <w:rPr>
                <w:rFonts w:ascii="Times New Roman" w:hAnsi="Times New Roman"/>
                <w:bCs/>
              </w:rPr>
              <w:t>ktora K prije primjene relevantnih koeficijenata.</w:t>
            </w:r>
          </w:p>
        </w:tc>
      </w:tr>
      <w:tr w:rsidR="006C0DAA" w:rsidRPr="00E37E07" w14:paraId="258AA17D" w14:textId="77777777">
        <w:tc>
          <w:tcPr>
            <w:tcW w:w="1129" w:type="dxa"/>
          </w:tcPr>
          <w:p w14:paraId="0EA6E38C"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0040</w:t>
            </w:r>
          </w:p>
        </w:tc>
        <w:tc>
          <w:tcPr>
            <w:tcW w:w="7620" w:type="dxa"/>
          </w:tcPr>
          <w:p w14:paraId="33743B37"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Imovina koja se pohranjuje i administrira</w:t>
            </w:r>
          </w:p>
          <w:p w14:paraId="0D108028"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12. stavak 1. točka (c) Uredbe (EU) 2019/2033</w:t>
            </w:r>
          </w:p>
          <w:p w14:paraId="4D112378"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Iskazuje se iznos koji bi se upotrijebio za izračun faktora K prije primjene relevantnih koeficijenata.</w:t>
            </w:r>
          </w:p>
        </w:tc>
      </w:tr>
      <w:tr w:rsidR="006C0DAA" w:rsidRPr="00E37E07" w14:paraId="7872EC79" w14:textId="77777777">
        <w:tc>
          <w:tcPr>
            <w:tcW w:w="1129" w:type="dxa"/>
          </w:tcPr>
          <w:p w14:paraId="52620BA8"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0050</w:t>
            </w:r>
          </w:p>
        </w:tc>
        <w:tc>
          <w:tcPr>
            <w:tcW w:w="7620" w:type="dxa"/>
          </w:tcPr>
          <w:p w14:paraId="1665FE4E"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Novčana sredstva klijenta koja se drže</w:t>
            </w:r>
          </w:p>
          <w:p w14:paraId="61D9BABE"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12. stavak 1. točka (d) Uredbe (EU) 2019/2033</w:t>
            </w:r>
          </w:p>
          <w:p w14:paraId="78DE0501"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Iskazuje se iznos koji bi se upotrijebio za izračun faktora K prije primjene relevantnih koeficijenata.</w:t>
            </w:r>
          </w:p>
        </w:tc>
      </w:tr>
      <w:tr w:rsidR="006C0DAA" w:rsidRPr="00E37E07" w14:paraId="003C858E" w14:textId="77777777">
        <w:tc>
          <w:tcPr>
            <w:tcW w:w="1129" w:type="dxa"/>
          </w:tcPr>
          <w:p w14:paraId="6BE6DA8F"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0060</w:t>
            </w:r>
          </w:p>
        </w:tc>
        <w:tc>
          <w:tcPr>
            <w:tcW w:w="7620" w:type="dxa"/>
          </w:tcPr>
          <w:p w14:paraId="125BA2DA"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xml:space="preserve">Dnevni promet trgovanja – novčane </w:t>
            </w:r>
            <w:r w:rsidRPr="00E37E07">
              <w:rPr>
                <w:rFonts w:ascii="Times New Roman" w:hAnsi="Times New Roman"/>
                <w:b/>
                <w:bCs/>
                <w:u w:val="single"/>
              </w:rPr>
              <w:t>transakcije i trgovanje izvedenicama</w:t>
            </w:r>
          </w:p>
          <w:p w14:paraId="6083454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12. stavak 1. točka (e) Uredbe (EU) 2019/2033</w:t>
            </w:r>
          </w:p>
          <w:p w14:paraId="2704DA6E"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Iskazuje se iznos koji bi se upotrijebio za izračun faktora K prije primjene relevantnih koeficijenata.</w:t>
            </w:r>
          </w:p>
        </w:tc>
      </w:tr>
      <w:tr w:rsidR="006C0DAA" w:rsidRPr="00E37E07" w14:paraId="1C49CD9B" w14:textId="77777777">
        <w:tc>
          <w:tcPr>
            <w:tcW w:w="1129" w:type="dxa"/>
          </w:tcPr>
          <w:p w14:paraId="2CDC5907"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0070</w:t>
            </w:r>
          </w:p>
        </w:tc>
        <w:tc>
          <w:tcPr>
            <w:tcW w:w="7620" w:type="dxa"/>
          </w:tcPr>
          <w:p w14:paraId="1C501D1D"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Rizik neto pozicija</w:t>
            </w:r>
          </w:p>
          <w:p w14:paraId="4879B2E8"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Članak 12. stavak 1. točka (f) </w:t>
            </w:r>
            <w:r w:rsidRPr="00E37E07">
              <w:rPr>
                <w:rFonts w:ascii="Times New Roman" w:hAnsi="Times New Roman"/>
                <w:bCs/>
              </w:rPr>
              <w:t>Uredbe (EU) 2019/2033</w:t>
            </w:r>
          </w:p>
          <w:p w14:paraId="7FD15228"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Iskazuje se iznos koji bi se upotrijebio za izračun faktora K prije primjene relevantnih koeficijenata.</w:t>
            </w:r>
          </w:p>
        </w:tc>
      </w:tr>
      <w:tr w:rsidR="006C0DAA" w:rsidRPr="00E37E07" w14:paraId="4AD6B7D7" w14:textId="77777777">
        <w:tc>
          <w:tcPr>
            <w:tcW w:w="1129" w:type="dxa"/>
          </w:tcPr>
          <w:p w14:paraId="56617D90"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0080</w:t>
            </w:r>
          </w:p>
        </w:tc>
        <w:tc>
          <w:tcPr>
            <w:tcW w:w="7620" w:type="dxa"/>
          </w:tcPr>
          <w:p w14:paraId="751AD760"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Pružena marža poravnanja</w:t>
            </w:r>
          </w:p>
          <w:p w14:paraId="21C56474"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12. stavak 1. točka (f) Uredbe (EU) 2019/2033</w:t>
            </w:r>
          </w:p>
          <w:p w14:paraId="2CAB833E" w14:textId="77777777" w:rsidR="006C0DAA" w:rsidRPr="00E37E07" w:rsidRDefault="00E37E07">
            <w:pPr>
              <w:spacing w:after="120" w:line="240" w:lineRule="auto"/>
              <w:jc w:val="both"/>
              <w:rPr>
                <w:rFonts w:ascii="Times New Roman" w:eastAsia="Times New Roman" w:hAnsi="Times New Roman" w:cs="Times New Roman"/>
                <w:b/>
                <w:bCs/>
              </w:rPr>
            </w:pPr>
            <w:r w:rsidRPr="00E37E07">
              <w:rPr>
                <w:rFonts w:ascii="Times New Roman" w:hAnsi="Times New Roman"/>
                <w:bCs/>
              </w:rPr>
              <w:t>Iskazuje se iznos koji bi se upotrijebio za iz</w:t>
            </w:r>
            <w:r w:rsidRPr="00E37E07">
              <w:rPr>
                <w:rFonts w:ascii="Times New Roman" w:hAnsi="Times New Roman"/>
                <w:bCs/>
              </w:rPr>
              <w:t>račun faktora K prije primjene relevantnih koeficijenata.</w:t>
            </w:r>
          </w:p>
        </w:tc>
      </w:tr>
      <w:tr w:rsidR="006C0DAA" w:rsidRPr="00E37E07" w14:paraId="03324D60" w14:textId="77777777">
        <w:tc>
          <w:tcPr>
            <w:tcW w:w="1129" w:type="dxa"/>
          </w:tcPr>
          <w:p w14:paraId="2A579689"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0090</w:t>
            </w:r>
          </w:p>
        </w:tc>
        <w:tc>
          <w:tcPr>
            <w:tcW w:w="7620" w:type="dxa"/>
          </w:tcPr>
          <w:p w14:paraId="7D36E107"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Nastanak statusa neispunjavanja obveza druge ugovorne strane u trgovanju</w:t>
            </w:r>
          </w:p>
          <w:p w14:paraId="3D63D2E3"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12. stavak 1. točka (g) Uredbe (EU) 2019/2033</w:t>
            </w:r>
          </w:p>
          <w:p w14:paraId="399E265B"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Iskazuje se iznos koji bi se upotrijebio za izračun faktora K prij</w:t>
            </w:r>
            <w:r w:rsidRPr="00E37E07">
              <w:rPr>
                <w:rFonts w:ascii="Times New Roman" w:hAnsi="Times New Roman"/>
                <w:bCs/>
              </w:rPr>
              <w:t>e primjene relevantnih koeficijenata.</w:t>
            </w:r>
          </w:p>
        </w:tc>
      </w:tr>
      <w:tr w:rsidR="006C0DAA" w:rsidRPr="00E37E07" w14:paraId="23DFD048" w14:textId="77777777">
        <w:tc>
          <w:tcPr>
            <w:tcW w:w="1129" w:type="dxa"/>
          </w:tcPr>
          <w:p w14:paraId="3BCF06F6"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0100</w:t>
            </w:r>
          </w:p>
        </w:tc>
        <w:tc>
          <w:tcPr>
            <w:tcW w:w="7620" w:type="dxa"/>
          </w:tcPr>
          <w:p w14:paraId="104ACFDB"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
                <w:bCs/>
                <w:u w:val="single"/>
              </w:rPr>
              <w:t>(Kombinirane) ukupne bilančne i izvanbilančne stavke</w:t>
            </w:r>
          </w:p>
          <w:p w14:paraId="2114CFCA"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12. stavak 1. točka (h) Uredbe (EU) 2019/2033</w:t>
            </w:r>
          </w:p>
          <w:p w14:paraId="367439F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Ako je izvještajno investicijsko društvo dio grupe, iskazana vrijednost određuje se na </w:t>
            </w:r>
            <w:r w:rsidRPr="00E37E07">
              <w:rPr>
                <w:rFonts w:ascii="Times New Roman" w:hAnsi="Times New Roman"/>
                <w:bCs/>
              </w:rPr>
              <w:t>kombiniranoj osnovi za sva investicijska društva koja su članovi grupe u skladu s člankom 12. stavkom2. Uredbe (EU) 2019/2033.</w:t>
            </w:r>
          </w:p>
        </w:tc>
      </w:tr>
      <w:tr w:rsidR="006C0DAA" w:rsidRPr="00E37E07" w14:paraId="5D572DC4" w14:textId="77777777">
        <w:tc>
          <w:tcPr>
            <w:tcW w:w="1129" w:type="dxa"/>
          </w:tcPr>
          <w:p w14:paraId="5C462C0D"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0110</w:t>
            </w:r>
          </w:p>
        </w:tc>
        <w:tc>
          <w:tcPr>
            <w:tcW w:w="7620" w:type="dxa"/>
          </w:tcPr>
          <w:p w14:paraId="0B14DD05"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
                <w:bCs/>
                <w:u w:val="single"/>
              </w:rPr>
              <w:t>Kombinirani ukupni godišnji bruto prihodi</w:t>
            </w:r>
          </w:p>
          <w:p w14:paraId="3A6FCAAE"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12. stavak 1. točka</w:t>
            </w:r>
            <w:r w:rsidRPr="00E37E07">
              <w:rPr>
                <w:rFonts w:ascii="Times New Roman" w:hAnsi="Times New Roman"/>
                <w:bCs/>
              </w:rPr>
              <w:t xml:space="preserve"> i.</w:t>
            </w:r>
            <w:r w:rsidRPr="00E37E07">
              <w:rPr>
                <w:rFonts w:ascii="Times New Roman" w:hAnsi="Times New Roman"/>
                <w:bCs/>
              </w:rPr>
              <w:t xml:space="preserve"> Uredbe (EU) 2019/2033</w:t>
            </w:r>
          </w:p>
          <w:p w14:paraId="6DBF4216"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Ako je izvještajno investicij</w:t>
            </w:r>
            <w:r w:rsidRPr="00E37E07">
              <w:rPr>
                <w:rFonts w:ascii="Times New Roman" w:hAnsi="Times New Roman"/>
                <w:bCs/>
              </w:rPr>
              <w:t>sko društvo dio grupe, iskazana vrijednost određuje se na kombiniranoj osnovi za sva investicijska društva koja su članovi grupe u skladu s člankom 12. stavkom2. Uredbe (EU) 2019/2033.</w:t>
            </w:r>
          </w:p>
        </w:tc>
      </w:tr>
      <w:tr w:rsidR="006C0DAA" w:rsidRPr="00E37E07" w14:paraId="138CC982" w14:textId="77777777">
        <w:tc>
          <w:tcPr>
            <w:tcW w:w="1129" w:type="dxa"/>
          </w:tcPr>
          <w:p w14:paraId="7483A811"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lastRenderedPageBreak/>
              <w:t>0120</w:t>
            </w:r>
          </w:p>
        </w:tc>
        <w:tc>
          <w:tcPr>
            <w:tcW w:w="7620" w:type="dxa"/>
          </w:tcPr>
          <w:p w14:paraId="79D39BA5"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Ukupni godišnji bruto prihodi</w:t>
            </w:r>
          </w:p>
          <w:p w14:paraId="4606F25E"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Vrijednost ukupnih godišnjih bruto </w:t>
            </w:r>
            <w:r w:rsidRPr="00E37E07">
              <w:rPr>
                <w:rFonts w:ascii="Times New Roman" w:hAnsi="Times New Roman"/>
                <w:bCs/>
              </w:rPr>
              <w:t>prihoda, isključujući bruto prihode ostvarene unutar grupe u skladu s člankom 12. stavkom 2. Uredbe (EU) 2019/2033.</w:t>
            </w:r>
          </w:p>
        </w:tc>
      </w:tr>
      <w:tr w:rsidR="006C0DAA" w:rsidRPr="00E37E07" w14:paraId="05EDFC13" w14:textId="77777777">
        <w:tc>
          <w:tcPr>
            <w:tcW w:w="1129" w:type="dxa"/>
          </w:tcPr>
          <w:p w14:paraId="1B1B2D09"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0130</w:t>
            </w:r>
          </w:p>
        </w:tc>
        <w:tc>
          <w:tcPr>
            <w:tcW w:w="7620" w:type="dxa"/>
          </w:tcPr>
          <w:p w14:paraId="7C9B7D92"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Unutargrupni dio godišnjih bruto prihoda</w:t>
            </w:r>
          </w:p>
          <w:p w14:paraId="742D38EE"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Vrijednost bruto prihoda ostvarenih unutar grupe investicijskog društva u skladu s članko</w:t>
            </w:r>
            <w:r w:rsidRPr="00E37E07">
              <w:rPr>
                <w:rFonts w:ascii="Times New Roman" w:hAnsi="Times New Roman"/>
                <w:bCs/>
              </w:rPr>
              <w:t>m 12. stavkom 2. Uredbe (EU) 2019/2033.</w:t>
            </w:r>
          </w:p>
        </w:tc>
      </w:tr>
      <w:tr w:rsidR="006C0DAA" w:rsidRPr="00E37E07" w14:paraId="41AF1BFD" w14:textId="77777777">
        <w:tc>
          <w:tcPr>
            <w:tcW w:w="1129" w:type="dxa"/>
          </w:tcPr>
          <w:p w14:paraId="15EC10E3"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0140</w:t>
            </w:r>
          </w:p>
        </w:tc>
        <w:tc>
          <w:tcPr>
            <w:tcW w:w="7620" w:type="dxa"/>
          </w:tcPr>
          <w:p w14:paraId="1C509FD8"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Od čega: prihodi od zaprimanja i prijenosa naloga</w:t>
            </w:r>
          </w:p>
          <w:p w14:paraId="5C10F0F7"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54. stavak 1. točka (d) Uredbe (EU) 2019/2033</w:t>
            </w:r>
          </w:p>
          <w:p w14:paraId="10F92939"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4. stavak 1. točka 2. Direktive 2014/65/EU</w:t>
            </w:r>
          </w:p>
        </w:tc>
      </w:tr>
      <w:tr w:rsidR="006C0DAA" w:rsidRPr="00E37E07" w14:paraId="6B355E63" w14:textId="77777777">
        <w:tc>
          <w:tcPr>
            <w:tcW w:w="1129" w:type="dxa"/>
          </w:tcPr>
          <w:p w14:paraId="75D1A029"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0150</w:t>
            </w:r>
          </w:p>
        </w:tc>
        <w:tc>
          <w:tcPr>
            <w:tcW w:w="7620" w:type="dxa"/>
          </w:tcPr>
          <w:p w14:paraId="05FA2A47"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xml:space="preserve">Od čega: prihodi od izvršenja naloga za račun </w:t>
            </w:r>
            <w:r w:rsidRPr="00E37E07">
              <w:rPr>
                <w:rFonts w:ascii="Times New Roman" w:hAnsi="Times New Roman"/>
                <w:b/>
                <w:bCs/>
                <w:u w:val="single"/>
              </w:rPr>
              <w:t>klijenata</w:t>
            </w:r>
          </w:p>
          <w:p w14:paraId="69349020"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54. stavak 1. točka (d) Uredbe (EU) 2019/2033</w:t>
            </w:r>
          </w:p>
          <w:p w14:paraId="208A0D85"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4. stavak 1. točka 2. Direktive 2014/65/EU</w:t>
            </w:r>
          </w:p>
        </w:tc>
      </w:tr>
      <w:tr w:rsidR="006C0DAA" w:rsidRPr="00E37E07" w14:paraId="1573ACBF" w14:textId="77777777">
        <w:tc>
          <w:tcPr>
            <w:tcW w:w="1129" w:type="dxa"/>
          </w:tcPr>
          <w:p w14:paraId="7972E935"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0160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48699029"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Od čega: prihodi od trgovanja za vlastiti račun</w:t>
            </w:r>
          </w:p>
          <w:p w14:paraId="14CC631E"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54. stavak 1. točka (d) Uredbe (EU) 2019/2033</w:t>
            </w:r>
          </w:p>
          <w:p w14:paraId="000330CC"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 xml:space="preserve">Članak 4. stavak 1. točka 2. </w:t>
            </w:r>
            <w:r w:rsidRPr="00E37E07">
              <w:rPr>
                <w:rFonts w:ascii="Times New Roman" w:hAnsi="Times New Roman"/>
                <w:bCs/>
              </w:rPr>
              <w:t>Direktive 2014/65/EU</w:t>
            </w:r>
          </w:p>
        </w:tc>
      </w:tr>
      <w:tr w:rsidR="006C0DAA" w:rsidRPr="00E37E07" w14:paraId="76262F48" w14:textId="77777777">
        <w:tc>
          <w:tcPr>
            <w:tcW w:w="1129" w:type="dxa"/>
          </w:tcPr>
          <w:p w14:paraId="11B6DC6E"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0170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F331C60"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Od čega: prihodi od upravljanja portfeljem</w:t>
            </w:r>
          </w:p>
          <w:p w14:paraId="56D457BE"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54. stavak 1. točka (d) Uredbe (EU) 2019/2033</w:t>
            </w:r>
          </w:p>
          <w:p w14:paraId="2B36F372"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Članak 4. stavak 1. točka 2. Direktive 2014/65/EU</w:t>
            </w:r>
          </w:p>
        </w:tc>
      </w:tr>
      <w:tr w:rsidR="006C0DAA" w:rsidRPr="00E37E07" w14:paraId="65E7ED15" w14:textId="77777777">
        <w:tc>
          <w:tcPr>
            <w:tcW w:w="1129" w:type="dxa"/>
          </w:tcPr>
          <w:p w14:paraId="31F0D950"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0180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FCDAB26"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Od čega: prihodi od investicijskog savjetovanja</w:t>
            </w:r>
          </w:p>
          <w:p w14:paraId="102BCFE3"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Članak 54. stavak 1. </w:t>
            </w:r>
            <w:r w:rsidRPr="00E37E07">
              <w:rPr>
                <w:rFonts w:ascii="Times New Roman" w:hAnsi="Times New Roman"/>
                <w:bCs/>
              </w:rPr>
              <w:t>točka (d) Uredbe (EU) 2019/2033</w:t>
            </w:r>
          </w:p>
          <w:p w14:paraId="7BD2ED56"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Članak 4. stavak 1. točka 2. Direktive 2014/65/EU</w:t>
            </w:r>
          </w:p>
        </w:tc>
      </w:tr>
      <w:tr w:rsidR="006C0DAA" w:rsidRPr="00E37E07" w14:paraId="2D5E7D76" w14:textId="77777777">
        <w:tc>
          <w:tcPr>
            <w:tcW w:w="1129" w:type="dxa"/>
          </w:tcPr>
          <w:p w14:paraId="0D7F2DC0"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30AE089"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Od čega: prihodi od provedbe ponude odnosno prodaje financijskih instrumenata uz obvezu otkupa</w:t>
            </w:r>
          </w:p>
          <w:p w14:paraId="3354D40B"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54. stavak 1. točka (d) Uredbe (EU) 2019/2033</w:t>
            </w:r>
          </w:p>
          <w:p w14:paraId="58576F87"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 xml:space="preserve">Članak 4. stavak 1. </w:t>
            </w:r>
            <w:r w:rsidRPr="00E37E07">
              <w:rPr>
                <w:rFonts w:ascii="Times New Roman" w:hAnsi="Times New Roman"/>
                <w:bCs/>
              </w:rPr>
              <w:t>točka 2. Direktive 2014/65/EU</w:t>
            </w:r>
          </w:p>
        </w:tc>
      </w:tr>
      <w:tr w:rsidR="006C0DAA" w:rsidRPr="00E37E07" w14:paraId="22B35E4A" w14:textId="77777777">
        <w:tc>
          <w:tcPr>
            <w:tcW w:w="1129" w:type="dxa"/>
          </w:tcPr>
          <w:p w14:paraId="1CFFF588"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27B17D5"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Od čega: prihodi od provedbe ponude odnosno prodaje financijskih instrumenata bez obveze otkupa</w:t>
            </w:r>
          </w:p>
          <w:p w14:paraId="674E0D69"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54. stavak 1. točka (d) Uredbe (EU) 2019/2033</w:t>
            </w:r>
          </w:p>
          <w:p w14:paraId="3865567A"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Članak 4. stavak 1. točka 2. Direktive 2014/65/EU</w:t>
            </w:r>
          </w:p>
        </w:tc>
      </w:tr>
      <w:tr w:rsidR="006C0DAA" w:rsidRPr="00E37E07" w14:paraId="6AEB8E4D" w14:textId="77777777">
        <w:tc>
          <w:tcPr>
            <w:tcW w:w="1129" w:type="dxa"/>
          </w:tcPr>
          <w:p w14:paraId="5634F9CC"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95FFACC"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xml:space="preserve">Od čega: </w:t>
            </w:r>
            <w:r w:rsidRPr="00E37E07">
              <w:rPr>
                <w:rFonts w:ascii="Times New Roman" w:hAnsi="Times New Roman"/>
                <w:b/>
                <w:bCs/>
                <w:u w:val="single"/>
              </w:rPr>
              <w:t>prihodi od upravljanja MTP-om</w:t>
            </w:r>
          </w:p>
          <w:p w14:paraId="02254F56"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54. stavak 1. točka (d) Uredbe (EU) 2019/2033</w:t>
            </w:r>
          </w:p>
          <w:p w14:paraId="6C6146F1"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Članak 4. stavak 1. točka 2. Direktive 2014/65/EU</w:t>
            </w:r>
          </w:p>
        </w:tc>
      </w:tr>
      <w:tr w:rsidR="006C0DAA" w:rsidRPr="00E37E07" w14:paraId="65FF8BFB" w14:textId="77777777">
        <w:tc>
          <w:tcPr>
            <w:tcW w:w="1129" w:type="dxa"/>
          </w:tcPr>
          <w:p w14:paraId="69BF0F64"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1BE4D10"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Od čega: prihodi od upravljanja OTP-om</w:t>
            </w:r>
          </w:p>
          <w:p w14:paraId="5C9F4191"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54. stavak 1. točka (d) Uredbe (EU) 2019/2033</w:t>
            </w:r>
          </w:p>
          <w:p w14:paraId="64A340F3"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Članak 4. stavak 1. točka</w:t>
            </w:r>
            <w:r w:rsidRPr="00E37E07">
              <w:rPr>
                <w:rFonts w:ascii="Times New Roman" w:hAnsi="Times New Roman"/>
                <w:bCs/>
              </w:rPr>
              <w:t> 2. Direktive 2014/65/EU</w:t>
            </w:r>
          </w:p>
        </w:tc>
      </w:tr>
      <w:tr w:rsidR="006C0DAA" w:rsidRPr="00E37E07" w14:paraId="0C479DD4" w14:textId="77777777">
        <w:tc>
          <w:tcPr>
            <w:tcW w:w="1129" w:type="dxa"/>
          </w:tcPr>
          <w:p w14:paraId="17AA16FE"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340DCF2"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Od čega: prihodi od pohrane i administriranja financijskih instrumenata</w:t>
            </w:r>
          </w:p>
          <w:p w14:paraId="1A69257B"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54. stavak 1. točka (d) Uredbe (EU) 2019/2033</w:t>
            </w:r>
          </w:p>
          <w:p w14:paraId="4ECF9302"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Članak 4. stavak 1. točka 3. Direktive 2014/65/EU</w:t>
            </w:r>
          </w:p>
        </w:tc>
      </w:tr>
      <w:tr w:rsidR="006C0DAA" w:rsidRPr="00E37E07" w14:paraId="2FCD36F1" w14:textId="77777777">
        <w:tc>
          <w:tcPr>
            <w:tcW w:w="1129" w:type="dxa"/>
          </w:tcPr>
          <w:p w14:paraId="327E8949"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lastRenderedPageBreak/>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B6582FF"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Od čega: prihodi od davanja kredita ili zajm</w:t>
            </w:r>
            <w:r w:rsidRPr="00E37E07">
              <w:rPr>
                <w:rFonts w:ascii="Times New Roman" w:hAnsi="Times New Roman"/>
                <w:b/>
                <w:bCs/>
                <w:u w:val="single"/>
              </w:rPr>
              <w:t>ova ulagateljima</w:t>
            </w:r>
          </w:p>
          <w:p w14:paraId="405F436F"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54. stavak 1. točka (d) Uredbe (EU) 2019/2033</w:t>
            </w:r>
          </w:p>
          <w:p w14:paraId="21AAC827"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Članak 4. stavak 1. točka 3. Direktive 2014/65/EU</w:t>
            </w:r>
          </w:p>
        </w:tc>
      </w:tr>
      <w:tr w:rsidR="006C0DAA" w:rsidRPr="00E37E07" w14:paraId="2F41DA89" w14:textId="77777777">
        <w:tc>
          <w:tcPr>
            <w:tcW w:w="1129" w:type="dxa"/>
          </w:tcPr>
          <w:p w14:paraId="6EC18CEC"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2481D9E"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xml:space="preserve">Od čega: prihodi od savjetovanja društava o strukturi kapitala, poslovnim strategijama i srodnim pitanjima te </w:t>
            </w:r>
            <w:r w:rsidRPr="00E37E07">
              <w:rPr>
                <w:rFonts w:ascii="Times New Roman" w:hAnsi="Times New Roman"/>
                <w:b/>
                <w:bCs/>
                <w:u w:val="single"/>
              </w:rPr>
              <w:t>savjetovanja i usluga povezanih sa spajanjem i kupnjom društava</w:t>
            </w:r>
          </w:p>
          <w:p w14:paraId="73A4EED1"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54. stavak 1. točka (d) Uredbe (EU) 2019/2033</w:t>
            </w:r>
          </w:p>
          <w:p w14:paraId="196ABF84"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Članak 4. stavak 1. točka 3. Direktive 2014/65/EU</w:t>
            </w:r>
          </w:p>
        </w:tc>
      </w:tr>
      <w:tr w:rsidR="006C0DAA" w:rsidRPr="00E37E07" w14:paraId="64AE11B4" w14:textId="77777777">
        <w:tc>
          <w:tcPr>
            <w:tcW w:w="1129" w:type="dxa"/>
          </w:tcPr>
          <w:p w14:paraId="0C697A5C"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587E4ED"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Od čega: prihodi od deviznog poslovanja</w:t>
            </w:r>
          </w:p>
          <w:p w14:paraId="09663935"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54. stavak 1. točka (d) Uredbe (EU) </w:t>
            </w:r>
            <w:r w:rsidRPr="00E37E07">
              <w:rPr>
                <w:rFonts w:ascii="Times New Roman" w:hAnsi="Times New Roman"/>
                <w:bCs/>
              </w:rPr>
              <w:t>2019/2033</w:t>
            </w:r>
          </w:p>
          <w:p w14:paraId="31AD6951"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Članak 4. stavak 1. točka 3. Direktive 2014/65/EU</w:t>
            </w:r>
          </w:p>
        </w:tc>
      </w:tr>
      <w:tr w:rsidR="006C0DAA" w:rsidRPr="00E37E07" w14:paraId="01ABDBCA" w14:textId="77777777">
        <w:tc>
          <w:tcPr>
            <w:tcW w:w="1129" w:type="dxa"/>
          </w:tcPr>
          <w:p w14:paraId="04EA18F6"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3CC3E6E"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Od čega: investicijska istraživanja i financijske analize</w:t>
            </w:r>
          </w:p>
          <w:p w14:paraId="6D83CA1D"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54. stavak 1. točka (d) Uredbe (EU) 2019/2033</w:t>
            </w:r>
          </w:p>
          <w:p w14:paraId="73EDB7AA"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Članak 4. stavak 1. točka 3. Direktive 2014/65/EU</w:t>
            </w:r>
          </w:p>
        </w:tc>
      </w:tr>
      <w:tr w:rsidR="006C0DAA" w:rsidRPr="00E37E07" w14:paraId="658067FC" w14:textId="77777777">
        <w:tc>
          <w:tcPr>
            <w:tcW w:w="1129" w:type="dxa"/>
          </w:tcPr>
          <w:p w14:paraId="391B7E91"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ED364A1"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xml:space="preserve">Od čega: prihodi od </w:t>
            </w:r>
            <w:r w:rsidRPr="00E37E07">
              <w:rPr>
                <w:rFonts w:ascii="Times New Roman" w:hAnsi="Times New Roman"/>
                <w:b/>
                <w:bCs/>
                <w:u w:val="single"/>
              </w:rPr>
              <w:t>usluga povezanih s provedbom ponude odnosno prodaje financijskih instrumenata</w:t>
            </w:r>
          </w:p>
          <w:p w14:paraId="3EC8712B"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54. stavak 1. točka (d) Uredbe (EU) 2019/2033</w:t>
            </w:r>
          </w:p>
          <w:p w14:paraId="2AAA620D"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Članak 4. stavak 1. točka 3. Direktive 2014/65/EU</w:t>
            </w:r>
          </w:p>
        </w:tc>
      </w:tr>
      <w:tr w:rsidR="006C0DAA" w:rsidRPr="00E37E07" w14:paraId="46039F8A" w14:textId="77777777">
        <w:tc>
          <w:tcPr>
            <w:tcW w:w="1129" w:type="dxa"/>
          </w:tcPr>
          <w:p w14:paraId="0A221188"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8073FDC"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
                <w:bCs/>
                <w:u w:val="single"/>
              </w:rPr>
              <w:t xml:space="preserve">Od čega: investicijske usluge i pomoćne aktivnosti koje se odnose na </w:t>
            </w:r>
            <w:r w:rsidRPr="00E37E07">
              <w:rPr>
                <w:rFonts w:ascii="Times New Roman" w:hAnsi="Times New Roman"/>
                <w:b/>
                <w:bCs/>
                <w:u w:val="single"/>
              </w:rPr>
              <w:t>temeljnu imovinu izvedenica</w:t>
            </w:r>
          </w:p>
          <w:p w14:paraId="2929B044"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54. stavak 1. točka (d) Uredbe (EU) 2019/2033</w:t>
            </w:r>
          </w:p>
          <w:p w14:paraId="3F5BF646"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 xml:space="preserve">Članak 4. stavak 1. točka 3. Direktive 2014/65/EU </w:t>
            </w:r>
          </w:p>
        </w:tc>
      </w:tr>
    </w:tbl>
    <w:p w14:paraId="140C4F3F" w14:textId="77777777" w:rsidR="006C0DAA" w:rsidRPr="00E37E07" w:rsidRDefault="00E37E07">
      <w:pPr>
        <w:pStyle w:val="Instructionsberschrift2"/>
        <w:ind w:left="357" w:hanging="357"/>
        <w:rPr>
          <w:b/>
          <w:sz w:val="22"/>
          <w:szCs w:val="22"/>
          <w:u w:val="none"/>
        </w:rPr>
      </w:pPr>
      <w:bookmarkStart w:id="55" w:name="_Toc88218399"/>
      <w:r w:rsidRPr="00E37E07">
        <w:rPr>
          <w:rFonts w:ascii="Times New Roman" w:hAnsi="Times New Roman"/>
          <w:b/>
          <w:sz w:val="24"/>
          <w:u w:val="none"/>
        </w:rPr>
        <w:t xml:space="preserve">3. </w:t>
      </w:r>
      <w:r w:rsidRPr="00E37E07">
        <w:rPr>
          <w:rFonts w:ascii="Times New Roman" w:hAnsi="Times New Roman"/>
          <w:b/>
          <w:sz w:val="22"/>
          <w:szCs w:val="22"/>
          <w:u w:val="none"/>
        </w:rPr>
        <w:t>ZAHTJEVI ZA FAKTOR K – DODATNI PODACI</w:t>
      </w:r>
      <w:bookmarkEnd w:id="55"/>
    </w:p>
    <w:p w14:paraId="3748DCC2" w14:textId="77777777" w:rsidR="006C0DAA" w:rsidRPr="00E37E07" w:rsidRDefault="00E37E07">
      <w:pPr>
        <w:pStyle w:val="CommentText"/>
        <w:jc w:val="both"/>
        <w:rPr>
          <w:rFonts w:ascii="Times New Roman" w:eastAsia="Arial" w:hAnsi="Times New Roman" w:cs="Times New Roman"/>
          <w:sz w:val="22"/>
          <w:szCs w:val="22"/>
          <w:u w:val="single"/>
        </w:rPr>
      </w:pPr>
      <w:r w:rsidRPr="00E37E07">
        <w:rPr>
          <w:rFonts w:ascii="Times New Roman" w:hAnsi="Times New Roman"/>
          <w:sz w:val="22"/>
          <w:szCs w:val="22"/>
          <w:u w:val="single"/>
        </w:rPr>
        <w:t>3.1. Opće napomene</w:t>
      </w:r>
    </w:p>
    <w:p w14:paraId="0149D326" w14:textId="77777777" w:rsidR="006C0DAA" w:rsidRPr="00E37E07" w:rsidRDefault="00E37E07">
      <w:pPr>
        <w:spacing w:line="256" w:lineRule="auto"/>
        <w:ind w:left="993" w:hanging="567"/>
        <w:jc w:val="both"/>
        <w:rPr>
          <w:rFonts w:ascii="Times New Roman" w:hAnsi="Times New Roman" w:cs="Times New Roman"/>
        </w:rPr>
      </w:pPr>
      <w:r w:rsidRPr="00E37E07">
        <w:rPr>
          <w:rFonts w:ascii="Times New Roman" w:hAnsi="Times New Roman" w:cs="Times New Roman"/>
        </w:rPr>
        <w:t>12.</w:t>
      </w:r>
      <w:r w:rsidRPr="00E37E07">
        <w:rPr>
          <w:rFonts w:ascii="Times New Roman" w:hAnsi="Times New Roman" w:cs="Times New Roman"/>
        </w:rPr>
        <w:tab/>
      </w:r>
      <w:r w:rsidRPr="00E37E07">
        <w:rPr>
          <w:rFonts w:ascii="Times New Roman" w:hAnsi="Times New Roman"/>
        </w:rPr>
        <w:t xml:space="preserve">U obrascu I 06.00 za svaki faktor K (AUM, ASA, CMH, COH i </w:t>
      </w:r>
      <w:r w:rsidRPr="00E37E07">
        <w:rPr>
          <w:rFonts w:ascii="Times New Roman" w:hAnsi="Times New Roman"/>
        </w:rPr>
        <w:t>DTF) određene su dvije tablice.</w:t>
      </w:r>
    </w:p>
    <w:p w14:paraId="08361606" w14:textId="77777777" w:rsidR="006C0DAA" w:rsidRPr="00E37E07" w:rsidRDefault="00E37E07">
      <w:pPr>
        <w:spacing w:line="256" w:lineRule="auto"/>
        <w:ind w:left="993" w:hanging="567"/>
        <w:jc w:val="both"/>
        <w:rPr>
          <w:rFonts w:ascii="Times New Roman" w:hAnsi="Times New Roman" w:cs="Times New Roman"/>
        </w:rPr>
      </w:pPr>
      <w:r w:rsidRPr="00E37E07">
        <w:rPr>
          <w:rFonts w:ascii="Times New Roman" w:hAnsi="Times New Roman" w:cs="Times New Roman"/>
        </w:rPr>
        <w:t>13.</w:t>
      </w:r>
      <w:r w:rsidRPr="00E37E07">
        <w:rPr>
          <w:rFonts w:ascii="Times New Roman" w:hAnsi="Times New Roman" w:cs="Times New Roman"/>
        </w:rPr>
        <w:tab/>
      </w:r>
      <w:r w:rsidRPr="00E37E07">
        <w:rPr>
          <w:rFonts w:ascii="Times New Roman" w:hAnsi="Times New Roman"/>
        </w:rPr>
        <w:t>Prva tablica u stupcima sadržava informacije o „iznosu faktora” za svaki mjesec izvještajnog tromjesečja. Iznos faktora je vrijednost koja se upotrebljava za izračun svakog faktora K prije primjene koeficijenta iz tablic</w:t>
      </w:r>
      <w:r w:rsidRPr="00E37E07">
        <w:rPr>
          <w:rFonts w:ascii="Times New Roman" w:hAnsi="Times New Roman"/>
        </w:rPr>
        <w:t>e 1. iz članka 15. stavka 2. Uredbe (EU) 2019/2033.</w:t>
      </w:r>
    </w:p>
    <w:p w14:paraId="1DF7A705" w14:textId="77777777" w:rsidR="006C0DAA" w:rsidRPr="00E37E07" w:rsidRDefault="00E37E07">
      <w:pPr>
        <w:spacing w:line="256" w:lineRule="auto"/>
        <w:ind w:left="993" w:hanging="567"/>
        <w:jc w:val="both"/>
        <w:rPr>
          <w:rFonts w:ascii="Times New Roman" w:hAnsi="Times New Roman" w:cs="Times New Roman"/>
        </w:rPr>
      </w:pPr>
      <w:r w:rsidRPr="00E37E07">
        <w:rPr>
          <w:rFonts w:ascii="Times New Roman" w:hAnsi="Times New Roman" w:cs="Times New Roman"/>
        </w:rPr>
        <w:t>14.</w:t>
      </w:r>
      <w:r w:rsidRPr="00E37E07">
        <w:rPr>
          <w:rFonts w:ascii="Times New Roman" w:hAnsi="Times New Roman" w:cs="Times New Roman"/>
        </w:rPr>
        <w:tab/>
      </w:r>
      <w:r w:rsidRPr="00E37E07">
        <w:rPr>
          <w:rFonts w:ascii="Times New Roman" w:hAnsi="Times New Roman"/>
        </w:rPr>
        <w:t>Druga tablica sadržava detaljne informacije potrebne za izračun iznosa faktora.</w:t>
      </w:r>
    </w:p>
    <w:p w14:paraId="40CF2AB1" w14:textId="77777777" w:rsidR="006C0DAA" w:rsidRPr="00E37E07" w:rsidRDefault="00E37E07">
      <w:pPr>
        <w:spacing w:line="256" w:lineRule="auto"/>
        <w:ind w:left="993"/>
        <w:jc w:val="both"/>
        <w:rPr>
          <w:rFonts w:ascii="Times New Roman" w:hAnsi="Times New Roman" w:cs="Times New Roman"/>
        </w:rPr>
      </w:pPr>
      <w:r w:rsidRPr="00E37E07">
        <w:rPr>
          <w:rFonts w:ascii="Times New Roman" w:hAnsi="Times New Roman"/>
        </w:rPr>
        <w:t>U slučaju AUM-a to odgovara njegovoj vrijednosti na zadnji dan u mjesecu kako je navedeno u članku 17. Uredbe (EU) 2019/</w:t>
      </w:r>
      <w:r w:rsidRPr="00E37E07">
        <w:rPr>
          <w:rFonts w:ascii="Times New Roman" w:hAnsi="Times New Roman"/>
        </w:rPr>
        <w:t>2033.</w:t>
      </w:r>
    </w:p>
    <w:p w14:paraId="66A5AF83" w14:textId="77777777" w:rsidR="006C0DAA" w:rsidRPr="00E37E07" w:rsidRDefault="00E37E07">
      <w:pPr>
        <w:spacing w:line="256" w:lineRule="auto"/>
        <w:ind w:left="993"/>
        <w:jc w:val="both"/>
        <w:rPr>
          <w:rFonts w:ascii="Times New Roman" w:hAnsi="Times New Roman" w:cs="Times New Roman"/>
        </w:rPr>
      </w:pPr>
      <w:r w:rsidRPr="00E37E07">
        <w:rPr>
          <w:rFonts w:ascii="Times New Roman" w:hAnsi="Times New Roman"/>
        </w:rPr>
        <w:t>U slučaju CMH-a, ASA-e, COH-a i DTF-a iskazana vrijednost odgovara mjesečnom prosjeku dnevne vrijednosti relevantnog pokazatelja.</w:t>
      </w:r>
    </w:p>
    <w:p w14:paraId="7D4B29A0" w14:textId="77777777" w:rsidR="006C0DAA" w:rsidRPr="00E37E07" w:rsidRDefault="00E37E07">
      <w:pPr>
        <w:keepNext/>
        <w:spacing w:before="240" w:after="240" w:line="240" w:lineRule="auto"/>
        <w:ind w:left="357" w:hanging="357"/>
        <w:jc w:val="both"/>
        <w:outlineLvl w:val="1"/>
        <w:rPr>
          <w:rFonts w:ascii="Times New Roman" w:eastAsia="Arial" w:hAnsi="Times New Roman" w:cs="Times New Roman"/>
          <w:u w:val="single"/>
        </w:rPr>
      </w:pPr>
      <w:bookmarkStart w:id="56" w:name="_Toc88218400"/>
      <w:r w:rsidRPr="00E37E07">
        <w:rPr>
          <w:rFonts w:ascii="Times New Roman" w:hAnsi="Times New Roman"/>
          <w:u w:val="single"/>
        </w:rPr>
        <w:t>3.2. I 06.01 – IMOVINA POD UPRAVLJANJEM – DODATNI PODACI (I 6.1)</w:t>
      </w:r>
      <w:bookmarkEnd w:id="56"/>
    </w:p>
    <w:p w14:paraId="4788D4B0" w14:textId="77777777" w:rsidR="006C0DAA" w:rsidRPr="00E37E07" w:rsidRDefault="00E37E07">
      <w:pPr>
        <w:keepNext/>
        <w:spacing w:before="240" w:after="240" w:line="240" w:lineRule="auto"/>
        <w:ind w:left="357" w:hanging="357"/>
        <w:jc w:val="both"/>
        <w:outlineLvl w:val="1"/>
      </w:pPr>
      <w:bookmarkStart w:id="57" w:name="_Toc88218401"/>
      <w:r w:rsidRPr="00E37E07">
        <w:rPr>
          <w:rFonts w:ascii="Times New Roman" w:hAnsi="Times New Roman"/>
        </w:rPr>
        <w:t>3.2.1</w:t>
      </w:r>
      <w:r w:rsidRPr="00E37E07">
        <w:rPr>
          <w:rFonts w:ascii="Times New Roman" w:hAnsi="Times New Roman"/>
        </w:rPr>
        <w:tab/>
      </w:r>
      <w:r w:rsidRPr="00E37E07">
        <w:rPr>
          <w:rFonts w:ascii="Times New Roman" w:hAnsi="Times New Roman"/>
          <w:u w:val="single"/>
        </w:rPr>
        <w:t>Upute za specifične pozicije</w:t>
      </w:r>
      <w:bookmarkEnd w:id="5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C0DAA" w:rsidRPr="00E37E07" w14:paraId="46812557" w14:textId="77777777">
        <w:tc>
          <w:tcPr>
            <w:tcW w:w="1129" w:type="dxa"/>
            <w:shd w:val="clear" w:color="auto" w:fill="D9D9D9"/>
          </w:tcPr>
          <w:p w14:paraId="67543DA0"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Redak</w:t>
            </w:r>
          </w:p>
        </w:tc>
        <w:tc>
          <w:tcPr>
            <w:tcW w:w="7620" w:type="dxa"/>
            <w:shd w:val="clear" w:color="auto" w:fill="D9D9D9"/>
          </w:tcPr>
          <w:p w14:paraId="25CD0D3A"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 xml:space="preserve">Pravna osnova </w:t>
            </w:r>
            <w:r w:rsidRPr="00E37E07">
              <w:rPr>
                <w:rFonts w:ascii="Times New Roman" w:hAnsi="Times New Roman"/>
              </w:rPr>
              <w:t>i upute</w:t>
            </w:r>
          </w:p>
        </w:tc>
      </w:tr>
      <w:tr w:rsidR="006C0DAA" w:rsidRPr="00E37E07" w14:paraId="7F4A4DE1" w14:textId="77777777">
        <w:tc>
          <w:tcPr>
            <w:tcW w:w="1129" w:type="dxa"/>
          </w:tcPr>
          <w:p w14:paraId="63824814"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lastRenderedPageBreak/>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814206D"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
                <w:bCs/>
                <w:u w:val="single"/>
              </w:rPr>
              <w:t>Ukupni AUM (prosječni iznosi)</w:t>
            </w:r>
          </w:p>
          <w:p w14:paraId="572CC46C"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4. stavak 1. točka 27. Uredbe (EU) 2019/2033</w:t>
            </w:r>
          </w:p>
          <w:p w14:paraId="6B78405E"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Ukupna vrijednost AUM-a je aritmetička sredina u skladu s člankom 17. stavkom 1. prvim podstavkom Uredbe (EU) 2019/2033. Iskazuje se vrijednost jednaka </w:t>
            </w:r>
            <w:r w:rsidRPr="00E37E07">
              <w:rPr>
                <w:rFonts w:ascii="Times New Roman" w:hAnsi="Times New Roman"/>
                <w:bCs/>
              </w:rPr>
              <w:t>zbroju redaka 0020 i 0040.</w:t>
            </w:r>
          </w:p>
        </w:tc>
      </w:tr>
      <w:tr w:rsidR="006C0DAA" w:rsidRPr="00E37E07" w14:paraId="64E2FDC6" w14:textId="77777777">
        <w:tc>
          <w:tcPr>
            <w:tcW w:w="1129" w:type="dxa"/>
          </w:tcPr>
          <w:p w14:paraId="609ABB21"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B09CDB6"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Od čega: AUM – Diskrecijsko upravljanje portfeljem</w:t>
            </w:r>
          </w:p>
          <w:p w14:paraId="32258819"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Ukupni iznos imovine u vezi s kojom investicijsko društvo obavlja uslugu upravljanja portfeljem kako je definirana u članku 4. stavku 1. točki 8. Direktive 2014/65/EU i izr</w:t>
            </w:r>
            <w:r w:rsidRPr="00E37E07">
              <w:rPr>
                <w:rFonts w:ascii="Times New Roman" w:hAnsi="Times New Roman"/>
                <w:bCs/>
              </w:rPr>
              <w:t>ačunana u skladu s člankom 17. stavkom 1. Uredbe (EU) 2019/2033</w:t>
            </w:r>
          </w:p>
        </w:tc>
      </w:tr>
      <w:tr w:rsidR="006C0DAA" w:rsidRPr="00E37E07" w14:paraId="70268DBD" w14:textId="77777777">
        <w:tc>
          <w:tcPr>
            <w:tcW w:w="1129" w:type="dxa"/>
          </w:tcPr>
          <w:p w14:paraId="732E74D6"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84522C3"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Od čega: AUM službeno delegiran drugom subjektu</w:t>
            </w:r>
          </w:p>
          <w:p w14:paraId="6F5377C4"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Članak 17. stavak 2. Uredbe (EU) 2019/2033</w:t>
            </w:r>
          </w:p>
        </w:tc>
      </w:tr>
      <w:tr w:rsidR="006C0DAA" w:rsidRPr="00E37E07" w14:paraId="0DA9128B" w14:textId="77777777">
        <w:tc>
          <w:tcPr>
            <w:tcW w:w="1129" w:type="dxa"/>
          </w:tcPr>
          <w:p w14:paraId="12188F76"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34468D3"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AUM – Kontinuirano nediskrecijsko savjetovanje</w:t>
            </w:r>
          </w:p>
          <w:p w14:paraId="02764105"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 xml:space="preserve">Ukupni iznos imovine u vezi s kojom </w:t>
            </w:r>
            <w:r w:rsidRPr="00E37E07">
              <w:rPr>
                <w:rFonts w:ascii="Times New Roman" w:hAnsi="Times New Roman"/>
                <w:bCs/>
              </w:rPr>
              <w:t>investicijsko društvo na kontinuiranoj i nediskrecijskoj osnovi obavlja uslugu investicijskog savjetovanja kako je definirana u članku 4. stavku 1. točki 4. Direktive 2014/65/EU</w:t>
            </w:r>
          </w:p>
        </w:tc>
      </w:tr>
    </w:tbl>
    <w:p w14:paraId="2A391B0B" w14:textId="77777777" w:rsidR="006C0DAA" w:rsidRPr="00E37E07" w:rsidRDefault="006C0DAA">
      <w:pPr>
        <w:rPr>
          <w:lang w:val="en-I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C0DAA" w:rsidRPr="00E37E07" w14:paraId="09130283" w14:textId="77777777">
        <w:tc>
          <w:tcPr>
            <w:tcW w:w="1129" w:type="dxa"/>
            <w:shd w:val="clear" w:color="auto" w:fill="D9D9D9"/>
          </w:tcPr>
          <w:p w14:paraId="6BCF367B"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Stupci</w:t>
            </w:r>
          </w:p>
        </w:tc>
        <w:tc>
          <w:tcPr>
            <w:tcW w:w="7620" w:type="dxa"/>
            <w:shd w:val="clear" w:color="auto" w:fill="D9D9D9"/>
          </w:tcPr>
          <w:p w14:paraId="076A0373"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Pravna osnova i upute</w:t>
            </w:r>
          </w:p>
        </w:tc>
      </w:tr>
      <w:tr w:rsidR="006C0DAA" w:rsidRPr="00E37E07" w14:paraId="65968050" w14:textId="77777777">
        <w:tc>
          <w:tcPr>
            <w:tcW w:w="1129" w:type="dxa"/>
          </w:tcPr>
          <w:p w14:paraId="395403C1"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0010</w:t>
            </w:r>
          </w:p>
        </w:tc>
        <w:tc>
          <w:tcPr>
            <w:tcW w:w="7620" w:type="dxa"/>
          </w:tcPr>
          <w:p w14:paraId="6720C460"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Iznos faktora – mjesec t</w:t>
            </w:r>
          </w:p>
          <w:p w14:paraId="6F1A78BB"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Vrijednost AUM-a na kraju trećeg (tj. zadnjeg) mjeseca u tromjesečju na koje se izvješće odnosi.</w:t>
            </w:r>
          </w:p>
        </w:tc>
      </w:tr>
      <w:tr w:rsidR="006C0DAA" w:rsidRPr="00E37E07" w14:paraId="7D08F99C" w14:textId="77777777">
        <w:tc>
          <w:tcPr>
            <w:tcW w:w="1129" w:type="dxa"/>
          </w:tcPr>
          <w:p w14:paraId="59C569EF"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0020</w:t>
            </w:r>
          </w:p>
        </w:tc>
        <w:tc>
          <w:tcPr>
            <w:tcW w:w="7620" w:type="dxa"/>
          </w:tcPr>
          <w:p w14:paraId="057DCCBF"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Iznos faktora – mjesec t-1</w:t>
            </w:r>
          </w:p>
          <w:p w14:paraId="46246379"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AUM za drugi mjesec u tromjesečju na koje se izvješće odnosi</w:t>
            </w:r>
          </w:p>
        </w:tc>
      </w:tr>
      <w:tr w:rsidR="006C0DAA" w:rsidRPr="00E37E07" w14:paraId="774593B6" w14:textId="77777777">
        <w:tc>
          <w:tcPr>
            <w:tcW w:w="1129" w:type="dxa"/>
          </w:tcPr>
          <w:p w14:paraId="5C5CE203"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0030</w:t>
            </w:r>
          </w:p>
        </w:tc>
        <w:tc>
          <w:tcPr>
            <w:tcW w:w="7620" w:type="dxa"/>
          </w:tcPr>
          <w:p w14:paraId="72576F2B"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Iznos faktora – mjesec t–2</w:t>
            </w:r>
          </w:p>
          <w:p w14:paraId="1F50BBE9"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AUM za prvi mjesec u </w:t>
            </w:r>
            <w:r w:rsidRPr="00E37E07">
              <w:rPr>
                <w:rFonts w:ascii="Times New Roman" w:hAnsi="Times New Roman"/>
                <w:bCs/>
              </w:rPr>
              <w:t>tromjesečju na koje se izvješće odnosi</w:t>
            </w:r>
          </w:p>
        </w:tc>
      </w:tr>
    </w:tbl>
    <w:p w14:paraId="4340A48E" w14:textId="77777777" w:rsidR="006C0DAA" w:rsidRPr="00E37E07" w:rsidRDefault="00E37E07">
      <w:pPr>
        <w:keepNext/>
        <w:spacing w:before="240" w:after="240" w:line="240" w:lineRule="auto"/>
        <w:ind w:left="357" w:hanging="357"/>
        <w:jc w:val="both"/>
        <w:outlineLvl w:val="1"/>
        <w:rPr>
          <w:rFonts w:ascii="Times New Roman" w:eastAsia="Arial" w:hAnsi="Times New Roman" w:cs="Times New Roman"/>
          <w:u w:val="single"/>
        </w:rPr>
      </w:pPr>
      <w:bookmarkStart w:id="58" w:name="_Toc88218402"/>
      <w:r w:rsidRPr="00E37E07">
        <w:rPr>
          <w:rFonts w:ascii="Times New Roman" w:hAnsi="Times New Roman"/>
          <w:u w:val="single"/>
        </w:rPr>
        <w:t>3.3. I 06.02 – MJESEČNA IMOVINA POD UPRAVLJANJEM (I 6.2)</w:t>
      </w:r>
      <w:bookmarkEnd w:id="58"/>
    </w:p>
    <w:p w14:paraId="21F5A3BE" w14:textId="77777777" w:rsidR="006C0DAA" w:rsidRPr="00E37E07" w:rsidRDefault="00E37E07">
      <w:pPr>
        <w:keepNext/>
        <w:spacing w:before="240" w:after="240" w:line="240" w:lineRule="auto"/>
        <w:ind w:left="357" w:hanging="357"/>
        <w:jc w:val="both"/>
        <w:outlineLvl w:val="1"/>
        <w:rPr>
          <w:rFonts w:ascii="Times New Roman" w:eastAsia="Arial" w:hAnsi="Times New Roman" w:cs="Times New Roman"/>
        </w:rPr>
      </w:pPr>
      <w:bookmarkStart w:id="59" w:name="_Toc88218403"/>
      <w:r w:rsidRPr="00E37E07">
        <w:rPr>
          <w:rFonts w:ascii="Times New Roman" w:hAnsi="Times New Roman"/>
        </w:rPr>
        <w:t>3.3.1</w:t>
      </w:r>
      <w:r w:rsidRPr="00E37E07">
        <w:rPr>
          <w:rFonts w:ascii="Times New Roman" w:hAnsi="Times New Roman"/>
        </w:rPr>
        <w:tab/>
      </w:r>
      <w:r w:rsidRPr="00E37E07">
        <w:rPr>
          <w:rFonts w:ascii="Times New Roman" w:hAnsi="Times New Roman"/>
          <w:u w:val="single"/>
        </w:rPr>
        <w:t>Upute za specifične pozicije</w:t>
      </w:r>
      <w:bookmarkEnd w:id="5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C0DAA" w:rsidRPr="00E37E07" w14:paraId="1033FEE1" w14:textId="77777777">
        <w:tc>
          <w:tcPr>
            <w:tcW w:w="1129" w:type="dxa"/>
            <w:shd w:val="clear" w:color="auto" w:fill="D9D9D9"/>
          </w:tcPr>
          <w:p w14:paraId="679786CA"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Redak</w:t>
            </w:r>
          </w:p>
        </w:tc>
        <w:tc>
          <w:tcPr>
            <w:tcW w:w="7620" w:type="dxa"/>
            <w:shd w:val="clear" w:color="auto" w:fill="D9D9D9"/>
          </w:tcPr>
          <w:p w14:paraId="3B1ADA43"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Pravna osnova i upute</w:t>
            </w:r>
          </w:p>
        </w:tc>
      </w:tr>
      <w:tr w:rsidR="006C0DAA" w:rsidRPr="00E37E07" w14:paraId="28E58C98" w14:textId="77777777">
        <w:tc>
          <w:tcPr>
            <w:tcW w:w="1129" w:type="dxa"/>
          </w:tcPr>
          <w:p w14:paraId="35C5BC9B"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DE148FE"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Ukupna mjesečna imovina pod upravljanjem</w:t>
            </w:r>
          </w:p>
          <w:p w14:paraId="46BA2B70"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Članak 4. stavak 1. točka 27. Uredbe </w:t>
            </w:r>
            <w:r w:rsidRPr="00E37E07">
              <w:rPr>
                <w:rFonts w:ascii="Times New Roman" w:hAnsi="Times New Roman"/>
                <w:bCs/>
              </w:rPr>
              <w:t>(EU) 2019/2033</w:t>
            </w:r>
          </w:p>
          <w:p w14:paraId="6F214891"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Ukupna mjesečna imovina pod upravljanjem na zadnji radni dan u relevantnom mjesecu kako je navedeno u članku 17. stavku 1. Uredbe (EU) 2019/2033</w:t>
            </w:r>
          </w:p>
          <w:p w14:paraId="6AE9DD8E"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U ovom se retku iskazuje iznos jednak zbroju redaka 0020 i 0040.</w:t>
            </w:r>
          </w:p>
        </w:tc>
      </w:tr>
      <w:tr w:rsidR="006C0DAA" w:rsidRPr="00E37E07" w14:paraId="5F5DFD26" w14:textId="77777777">
        <w:tc>
          <w:tcPr>
            <w:tcW w:w="1129" w:type="dxa"/>
          </w:tcPr>
          <w:p w14:paraId="094F6E60"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74A1378"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
                <w:bCs/>
                <w:u w:val="single"/>
              </w:rPr>
              <w:t>Mjesečna imovina pod upra</w:t>
            </w:r>
            <w:r w:rsidRPr="00E37E07">
              <w:rPr>
                <w:rFonts w:ascii="Times New Roman" w:hAnsi="Times New Roman"/>
                <w:b/>
                <w:bCs/>
                <w:u w:val="single"/>
              </w:rPr>
              <w:t>vljanjem – diskrecijsko upravljanje portfeljem</w:t>
            </w:r>
          </w:p>
          <w:p w14:paraId="7FD9BE14"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Iskazuje se iznos mjesečne imovine u vezi s kojom investicijsko društvo obavlja uslugu upravljanja portfeljem kako je definirana u članku 4. stavku 1. točki 8. Direktive 2014/65/EU sa stanjem na zadnji radni d</w:t>
            </w:r>
            <w:r w:rsidRPr="00E37E07">
              <w:rPr>
                <w:rFonts w:ascii="Times New Roman" w:hAnsi="Times New Roman"/>
                <w:bCs/>
              </w:rPr>
              <w:t>an u relevantnom mjesecu kako je navedeno u članku 17. stavku 1. Uredbe (EU) 2019/2033.</w:t>
            </w:r>
          </w:p>
        </w:tc>
      </w:tr>
      <w:tr w:rsidR="006C0DAA" w:rsidRPr="00E37E07" w14:paraId="7EA4227B" w14:textId="77777777">
        <w:tc>
          <w:tcPr>
            <w:tcW w:w="1129" w:type="dxa"/>
          </w:tcPr>
          <w:p w14:paraId="33C58C9F"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CB0863B"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
                <w:bCs/>
                <w:u w:val="single"/>
              </w:rPr>
              <w:t>Od čega: imovina službeno delegirana drugom subjektu</w:t>
            </w:r>
          </w:p>
          <w:p w14:paraId="5B1A506F"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17. stavak 2. Uredbe (EU) 2019/2033</w:t>
            </w:r>
          </w:p>
          <w:p w14:paraId="1B8CABB6"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lastRenderedPageBreak/>
              <w:t xml:space="preserve">Mjesečna imovina pod upravljanjem koja je službeno delegirana drugom subjektu iskazuje se na zadnji radni dan u relevantnom mjesecu. </w:t>
            </w:r>
          </w:p>
        </w:tc>
      </w:tr>
      <w:tr w:rsidR="006C0DAA" w:rsidRPr="00E37E07" w14:paraId="70B04B26" w14:textId="77777777">
        <w:tc>
          <w:tcPr>
            <w:tcW w:w="1129" w:type="dxa"/>
          </w:tcPr>
          <w:p w14:paraId="79CBBFD1"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lastRenderedPageBreak/>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88AADF0"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
                <w:bCs/>
                <w:u w:val="single"/>
              </w:rPr>
              <w:t>Mjesečna imovina pod upravljanjem – kontinuirano nediskrecijsko savjetovanje</w:t>
            </w:r>
          </w:p>
          <w:p w14:paraId="1B3F9127"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Ukupni iznos imovine u vezi s kojom inv</w:t>
            </w:r>
            <w:r w:rsidRPr="00E37E07">
              <w:rPr>
                <w:rFonts w:ascii="Times New Roman" w:hAnsi="Times New Roman"/>
                <w:bCs/>
              </w:rPr>
              <w:t>esticijsko društvo na kontinuiranoj i nediskrecijskoj osnovi obavlja uslugu investicijskog savjetovanja kako je definirana u članku 4. stavku 1. točki 4. Direktive 2014/65/EU iskazuje se na zadnji radni dan u relevantnom mjesecu.</w:t>
            </w:r>
          </w:p>
        </w:tc>
      </w:tr>
    </w:tbl>
    <w:p w14:paraId="363FE3AC" w14:textId="77777777" w:rsidR="006C0DAA" w:rsidRPr="00E37E07" w:rsidRDefault="006C0DAA">
      <w:pPr>
        <w:keepNext/>
        <w:spacing w:before="240" w:after="240" w:line="240" w:lineRule="auto"/>
        <w:jc w:val="both"/>
        <w:outlineLvl w:val="1"/>
        <w:rPr>
          <w:rFonts w:ascii="Times New Roman" w:eastAsia="Arial" w:hAnsi="Times New Roman" w:cs="Times New Roman"/>
          <w:lang w:val="fr-B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C0DAA" w:rsidRPr="00E37E07" w14:paraId="39932670" w14:textId="77777777">
        <w:tc>
          <w:tcPr>
            <w:tcW w:w="1129" w:type="dxa"/>
            <w:shd w:val="clear" w:color="auto" w:fill="D9D9D9"/>
          </w:tcPr>
          <w:p w14:paraId="4C0E027E"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Stupci</w:t>
            </w:r>
          </w:p>
        </w:tc>
        <w:tc>
          <w:tcPr>
            <w:tcW w:w="7620" w:type="dxa"/>
            <w:shd w:val="clear" w:color="auto" w:fill="D9D9D9"/>
          </w:tcPr>
          <w:p w14:paraId="508280C7"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 xml:space="preserve">Pravna </w:t>
            </w:r>
            <w:r w:rsidRPr="00E37E07">
              <w:rPr>
                <w:rFonts w:ascii="Times New Roman" w:hAnsi="Times New Roman"/>
              </w:rPr>
              <w:t>osnova i upute</w:t>
            </w:r>
          </w:p>
        </w:tc>
      </w:tr>
      <w:tr w:rsidR="006C0DAA" w:rsidRPr="00E37E07" w14:paraId="25BD146A" w14:textId="77777777">
        <w:tc>
          <w:tcPr>
            <w:tcW w:w="1129" w:type="dxa"/>
          </w:tcPr>
          <w:p w14:paraId="5D366FDA"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0010 – 0140</w:t>
            </w:r>
          </w:p>
        </w:tc>
        <w:tc>
          <w:tcPr>
            <w:tcW w:w="7620" w:type="dxa"/>
          </w:tcPr>
          <w:p w14:paraId="0C6DDDE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
                <w:bCs/>
                <w:u w:val="single"/>
              </w:rPr>
              <w:t>Vrijednosti na kraju mjeseca</w:t>
            </w:r>
          </w:p>
          <w:p w14:paraId="6DE5D8DA"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Iskazuju se vrijednosti na zadnji radni dan u relevantnom mjesecu kako je navedeno u članku 17. stavku 1. Uredbe (EU) 2019/2033.</w:t>
            </w:r>
          </w:p>
        </w:tc>
      </w:tr>
    </w:tbl>
    <w:p w14:paraId="61C4EBAA" w14:textId="77777777" w:rsidR="006C0DAA" w:rsidRPr="00E37E07" w:rsidRDefault="00E37E07">
      <w:pPr>
        <w:keepNext/>
        <w:spacing w:before="240" w:after="240" w:line="240" w:lineRule="auto"/>
        <w:ind w:left="357" w:hanging="357"/>
        <w:jc w:val="both"/>
        <w:outlineLvl w:val="1"/>
        <w:rPr>
          <w:rFonts w:ascii="Times New Roman" w:eastAsia="Arial" w:hAnsi="Times New Roman" w:cs="Times New Roman"/>
          <w:u w:val="single"/>
        </w:rPr>
      </w:pPr>
      <w:bookmarkStart w:id="60" w:name="_Toc88218404"/>
      <w:r w:rsidRPr="00E37E07">
        <w:rPr>
          <w:rFonts w:ascii="Times New Roman" w:hAnsi="Times New Roman"/>
          <w:u w:val="single"/>
        </w:rPr>
        <w:t xml:space="preserve">3.4. I 06.03 – NOVČANA SREDSTVA KLIJENTA KOJA SE DRŽE – </w:t>
      </w:r>
      <w:r w:rsidRPr="00E37E07">
        <w:rPr>
          <w:rFonts w:ascii="Times New Roman" w:hAnsi="Times New Roman"/>
          <w:u w:val="single"/>
        </w:rPr>
        <w:t>DODATNI PODACI (I 6.3)</w:t>
      </w:r>
      <w:bookmarkEnd w:id="60"/>
    </w:p>
    <w:p w14:paraId="5A91CBB2" w14:textId="77777777" w:rsidR="006C0DAA" w:rsidRPr="00E37E07" w:rsidRDefault="00E37E07">
      <w:pPr>
        <w:keepNext/>
        <w:spacing w:before="240" w:after="240" w:line="240" w:lineRule="auto"/>
        <w:ind w:left="357" w:hanging="357"/>
        <w:jc w:val="both"/>
        <w:outlineLvl w:val="1"/>
      </w:pPr>
      <w:bookmarkStart w:id="61" w:name="_Toc88218405"/>
      <w:r w:rsidRPr="00E37E07">
        <w:rPr>
          <w:rFonts w:ascii="Times New Roman" w:hAnsi="Times New Roman"/>
        </w:rPr>
        <w:t>3.4.1</w:t>
      </w:r>
      <w:r w:rsidRPr="00E37E07">
        <w:rPr>
          <w:rFonts w:ascii="Times New Roman" w:hAnsi="Times New Roman"/>
        </w:rPr>
        <w:tab/>
      </w:r>
      <w:r w:rsidRPr="00E37E07">
        <w:rPr>
          <w:rFonts w:ascii="Times New Roman" w:hAnsi="Times New Roman"/>
          <w:u w:val="single"/>
        </w:rPr>
        <w:t>Upute za specifične pozicije</w:t>
      </w:r>
      <w:bookmarkEnd w:id="6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C0DAA" w:rsidRPr="00E37E07" w14:paraId="1F853484" w14:textId="77777777">
        <w:tc>
          <w:tcPr>
            <w:tcW w:w="1129" w:type="dxa"/>
            <w:shd w:val="clear" w:color="auto" w:fill="D9D9D9"/>
          </w:tcPr>
          <w:p w14:paraId="26405DEE"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Redak</w:t>
            </w:r>
          </w:p>
        </w:tc>
        <w:tc>
          <w:tcPr>
            <w:tcW w:w="7620" w:type="dxa"/>
            <w:shd w:val="clear" w:color="auto" w:fill="D9D9D9"/>
          </w:tcPr>
          <w:p w14:paraId="0E604D61"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Pravna osnova i upute</w:t>
            </w:r>
          </w:p>
        </w:tc>
      </w:tr>
      <w:tr w:rsidR="006C0DAA" w:rsidRPr="00E37E07" w14:paraId="521EE4EB" w14:textId="77777777">
        <w:tc>
          <w:tcPr>
            <w:tcW w:w="1129" w:type="dxa"/>
            <w:tcBorders>
              <w:bottom w:val="single" w:sz="4" w:space="0" w:color="auto"/>
            </w:tcBorders>
          </w:tcPr>
          <w:p w14:paraId="543C8138"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036364F"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CMH – na odvojenim računima (prosječni iznosi)</w:t>
            </w:r>
          </w:p>
          <w:p w14:paraId="2ACE3CEF"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Članak 4. stavak 1. točke 28. i 49. Uredbe (EU) 2019/2033 i članak 1. regulatornih tehničkih standarda o </w:t>
            </w:r>
            <w:r w:rsidRPr="00E37E07">
              <w:rPr>
                <w:rFonts w:ascii="Times New Roman" w:hAnsi="Times New Roman"/>
                <w:bCs/>
              </w:rPr>
              <w:t>definiciji odvojenog računa (članak 15. stavak 5. točka (b) Uredbe (EU) 2019/2033)</w:t>
            </w:r>
          </w:p>
          <w:p w14:paraId="4504543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Iskazana vrijednost je aritmetička sredina dnevnih vrijednosti CMH-a, ako se novčana sredstva klijenta </w:t>
            </w:r>
            <w:r w:rsidRPr="00E37E07">
              <w:rPr>
                <w:rFonts w:ascii="Times New Roman" w:hAnsi="Times New Roman"/>
                <w:bCs/>
                <w:u w:val="single"/>
              </w:rPr>
              <w:t>drže</w:t>
            </w:r>
            <w:r w:rsidRPr="00E37E07">
              <w:rPr>
                <w:rFonts w:ascii="Times New Roman" w:hAnsi="Times New Roman"/>
                <w:bCs/>
              </w:rPr>
              <w:t xml:space="preserve"> na odvojenim računima u skladu s člankom 18. stavkom 1. prvim pod</w:t>
            </w:r>
            <w:r w:rsidRPr="00E37E07">
              <w:rPr>
                <w:rFonts w:ascii="Times New Roman" w:hAnsi="Times New Roman"/>
                <w:bCs/>
              </w:rPr>
              <w:t>stavkom Uredbe (EU) 2019/2033.</w:t>
            </w:r>
          </w:p>
        </w:tc>
      </w:tr>
      <w:tr w:rsidR="006C0DAA" w:rsidRPr="00E37E07" w14:paraId="7EB577F1" w14:textId="77777777">
        <w:tc>
          <w:tcPr>
            <w:tcW w:w="1129" w:type="dxa"/>
            <w:tcBorders>
              <w:top w:val="single" w:sz="4" w:space="0" w:color="auto"/>
              <w:bottom w:val="single" w:sz="4" w:space="0" w:color="auto"/>
            </w:tcBorders>
          </w:tcPr>
          <w:p w14:paraId="0640F4A6"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4F63FA7"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CMH – na neodvojenim računima (prosječni iznosi)</w:t>
            </w:r>
          </w:p>
          <w:p w14:paraId="75F497BF"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4. stavak 1. točke 28. i 49. Uredbe (EU) 2019/2033</w:t>
            </w:r>
          </w:p>
          <w:p w14:paraId="436E6F6D"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 xml:space="preserve">Iskazana vrijednost je aritmetička sredina dnevnih vrijednosti CMH-a, ako se novčana sredstva klijenta </w:t>
            </w:r>
            <w:r w:rsidRPr="00E37E07">
              <w:rPr>
                <w:rFonts w:ascii="Times New Roman" w:hAnsi="Times New Roman"/>
                <w:bCs/>
                <w:u w:val="single"/>
              </w:rPr>
              <w:t>ne drže</w:t>
            </w:r>
            <w:r w:rsidRPr="00E37E07">
              <w:rPr>
                <w:rFonts w:ascii="Times New Roman" w:hAnsi="Times New Roman"/>
                <w:bCs/>
              </w:rPr>
              <w:t xml:space="preserve"> na odvojenim računima u skladu s člankom 18. stavkom 1. prvim podstavkom Uredbe (EU) 2019/2033.</w:t>
            </w:r>
          </w:p>
        </w:tc>
      </w:tr>
    </w:tbl>
    <w:p w14:paraId="12C76678" w14:textId="77777777" w:rsidR="006C0DAA" w:rsidRPr="00E37E07" w:rsidRDefault="006C0DAA"/>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C0DAA" w:rsidRPr="00E37E07" w14:paraId="5C95E841" w14:textId="77777777">
        <w:tc>
          <w:tcPr>
            <w:tcW w:w="1129" w:type="dxa"/>
            <w:shd w:val="clear" w:color="auto" w:fill="D9D9D9"/>
          </w:tcPr>
          <w:p w14:paraId="06B2BE46"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Stupci</w:t>
            </w:r>
          </w:p>
        </w:tc>
        <w:tc>
          <w:tcPr>
            <w:tcW w:w="7620" w:type="dxa"/>
            <w:shd w:val="clear" w:color="auto" w:fill="D9D9D9"/>
          </w:tcPr>
          <w:p w14:paraId="123A2B25"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Pravna osnova i upute</w:t>
            </w:r>
          </w:p>
        </w:tc>
      </w:tr>
      <w:tr w:rsidR="006C0DAA" w:rsidRPr="00E37E07" w14:paraId="193376B2" w14:textId="77777777">
        <w:tc>
          <w:tcPr>
            <w:tcW w:w="1129" w:type="dxa"/>
          </w:tcPr>
          <w:p w14:paraId="7DFC0031"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0010</w:t>
            </w:r>
          </w:p>
        </w:tc>
        <w:tc>
          <w:tcPr>
            <w:tcW w:w="7620" w:type="dxa"/>
          </w:tcPr>
          <w:p w14:paraId="47A05E4C"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xml:space="preserve">Iznos </w:t>
            </w:r>
            <w:r w:rsidRPr="00E37E07">
              <w:rPr>
                <w:rFonts w:ascii="Times New Roman" w:hAnsi="Times New Roman"/>
                <w:b/>
                <w:bCs/>
                <w:u w:val="single"/>
              </w:rPr>
              <w:t>faktora – mjesec t</w:t>
            </w:r>
          </w:p>
          <w:p w14:paraId="6E4E653F"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CMH na kraju trećeg (tj. zadnjeg) mjeseca u tromjesečju na koje se izvješće odnosi.</w:t>
            </w:r>
          </w:p>
          <w:p w14:paraId="508F0158"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Taj se iznos izračunava kao aritmetička sredina dnevnih iznosa u razdoblju utvrđenom u članku 18. stavku 1. Uredbe (EU) 2019/2033.</w:t>
            </w:r>
          </w:p>
        </w:tc>
      </w:tr>
      <w:tr w:rsidR="006C0DAA" w:rsidRPr="00E37E07" w14:paraId="55D38ECE" w14:textId="77777777">
        <w:tc>
          <w:tcPr>
            <w:tcW w:w="1129" w:type="dxa"/>
          </w:tcPr>
          <w:p w14:paraId="665D4974" w14:textId="77777777" w:rsidR="006C0DAA" w:rsidRPr="00E37E07" w:rsidRDefault="00E37E07">
            <w:pPr>
              <w:spacing w:after="120" w:line="240" w:lineRule="auto"/>
              <w:jc w:val="both"/>
              <w:rPr>
                <w:rFonts w:ascii="Times New Roman" w:eastAsia="Times New Roman" w:hAnsi="Times New Roman" w:cs="Times New Roman"/>
                <w:bCs/>
                <w:sz w:val="24"/>
                <w:szCs w:val="24"/>
              </w:rPr>
            </w:pPr>
            <w:r w:rsidRPr="00E37E07">
              <w:rPr>
                <w:rFonts w:ascii="Times New Roman" w:hAnsi="Times New Roman"/>
                <w:bCs/>
                <w:sz w:val="24"/>
                <w:szCs w:val="24"/>
              </w:rPr>
              <w:t>0020</w:t>
            </w:r>
          </w:p>
        </w:tc>
        <w:tc>
          <w:tcPr>
            <w:tcW w:w="7620" w:type="dxa"/>
          </w:tcPr>
          <w:p w14:paraId="23D7C939" w14:textId="77777777" w:rsidR="006C0DAA" w:rsidRPr="00E37E07" w:rsidRDefault="00E37E07">
            <w:pPr>
              <w:spacing w:after="120" w:line="240" w:lineRule="auto"/>
              <w:jc w:val="both"/>
              <w:rPr>
                <w:rFonts w:ascii="Times New Roman" w:eastAsia="Times New Roman" w:hAnsi="Times New Roman" w:cs="Times New Roman"/>
                <w:b/>
                <w:bCs/>
                <w:sz w:val="24"/>
                <w:szCs w:val="24"/>
                <w:u w:val="single"/>
              </w:rPr>
            </w:pPr>
            <w:r w:rsidRPr="00E37E07">
              <w:rPr>
                <w:rFonts w:ascii="Times New Roman" w:hAnsi="Times New Roman"/>
                <w:b/>
                <w:bCs/>
                <w:sz w:val="24"/>
                <w:szCs w:val="24"/>
                <w:u w:val="single"/>
              </w:rPr>
              <w:t xml:space="preserve">Iznos </w:t>
            </w:r>
            <w:r w:rsidRPr="00E37E07">
              <w:rPr>
                <w:rFonts w:ascii="Times New Roman" w:hAnsi="Times New Roman"/>
                <w:b/>
                <w:bCs/>
                <w:sz w:val="24"/>
                <w:szCs w:val="24"/>
                <w:u w:val="single"/>
              </w:rPr>
              <w:t>faktora – mjesec t-1</w:t>
            </w:r>
          </w:p>
          <w:p w14:paraId="284F60A2" w14:textId="77777777" w:rsidR="006C0DAA" w:rsidRPr="00E37E07" w:rsidRDefault="00E37E07">
            <w:pPr>
              <w:spacing w:after="120" w:line="240" w:lineRule="auto"/>
              <w:jc w:val="both"/>
              <w:rPr>
                <w:rFonts w:ascii="Times New Roman" w:eastAsia="Times New Roman" w:hAnsi="Times New Roman" w:cs="Times New Roman"/>
                <w:bCs/>
                <w:sz w:val="24"/>
                <w:szCs w:val="24"/>
              </w:rPr>
            </w:pPr>
            <w:r w:rsidRPr="00E37E07">
              <w:rPr>
                <w:rFonts w:ascii="Times New Roman" w:hAnsi="Times New Roman"/>
                <w:bCs/>
                <w:sz w:val="24"/>
                <w:szCs w:val="24"/>
              </w:rPr>
              <w:t>CMH na kraju drugog mjeseca u tromjesečju na koje se izvješće odnosi</w:t>
            </w:r>
          </w:p>
          <w:p w14:paraId="083AE0ED" w14:textId="77777777" w:rsidR="006C0DAA" w:rsidRPr="00E37E07" w:rsidRDefault="00E37E07">
            <w:pPr>
              <w:spacing w:after="120" w:line="240" w:lineRule="auto"/>
              <w:jc w:val="both"/>
              <w:rPr>
                <w:rFonts w:ascii="Times New Roman" w:eastAsia="Times New Roman" w:hAnsi="Times New Roman" w:cs="Times New Roman"/>
                <w:b/>
                <w:bCs/>
                <w:sz w:val="24"/>
                <w:szCs w:val="24"/>
                <w:u w:val="single"/>
              </w:rPr>
            </w:pPr>
            <w:r w:rsidRPr="00E37E07">
              <w:rPr>
                <w:rFonts w:ascii="Times New Roman" w:hAnsi="Times New Roman"/>
                <w:bCs/>
              </w:rPr>
              <w:t>Taj se iznos izračunava kao aritmetička sredina dnevnih iznosa u razdoblju utvrđenom u članku 18. stavku 1. Uredbe (EU) 2019/2033.</w:t>
            </w:r>
          </w:p>
        </w:tc>
      </w:tr>
      <w:tr w:rsidR="006C0DAA" w:rsidRPr="00E37E07" w14:paraId="77BF87E9" w14:textId="77777777">
        <w:tc>
          <w:tcPr>
            <w:tcW w:w="1129" w:type="dxa"/>
          </w:tcPr>
          <w:p w14:paraId="301A6335" w14:textId="77777777" w:rsidR="006C0DAA" w:rsidRPr="00E37E07" w:rsidRDefault="00E37E07">
            <w:pPr>
              <w:spacing w:after="120" w:line="240" w:lineRule="auto"/>
              <w:jc w:val="both"/>
              <w:rPr>
                <w:rFonts w:ascii="Times New Roman" w:eastAsia="Times New Roman" w:hAnsi="Times New Roman" w:cs="Times New Roman"/>
                <w:bCs/>
                <w:sz w:val="24"/>
                <w:szCs w:val="24"/>
              </w:rPr>
            </w:pPr>
            <w:r w:rsidRPr="00E37E07">
              <w:rPr>
                <w:rFonts w:ascii="Times New Roman" w:hAnsi="Times New Roman"/>
                <w:bCs/>
                <w:sz w:val="24"/>
                <w:szCs w:val="24"/>
              </w:rPr>
              <w:lastRenderedPageBreak/>
              <w:t>0030</w:t>
            </w:r>
          </w:p>
        </w:tc>
        <w:tc>
          <w:tcPr>
            <w:tcW w:w="7620" w:type="dxa"/>
          </w:tcPr>
          <w:p w14:paraId="7F5CB115" w14:textId="77777777" w:rsidR="006C0DAA" w:rsidRPr="00E37E07" w:rsidRDefault="00E37E07">
            <w:pPr>
              <w:spacing w:after="120" w:line="240" w:lineRule="auto"/>
              <w:jc w:val="both"/>
              <w:rPr>
                <w:rFonts w:ascii="Times New Roman" w:eastAsia="Times New Roman" w:hAnsi="Times New Roman" w:cs="Times New Roman"/>
                <w:b/>
                <w:bCs/>
                <w:sz w:val="24"/>
                <w:szCs w:val="24"/>
                <w:u w:val="single"/>
              </w:rPr>
            </w:pPr>
            <w:r w:rsidRPr="00E37E07">
              <w:rPr>
                <w:rFonts w:ascii="Times New Roman" w:hAnsi="Times New Roman"/>
                <w:b/>
                <w:bCs/>
                <w:sz w:val="24"/>
                <w:szCs w:val="24"/>
                <w:u w:val="single"/>
              </w:rPr>
              <w:t>Iznos faktora – mjesec t–2</w:t>
            </w:r>
          </w:p>
          <w:p w14:paraId="220261C0" w14:textId="77777777" w:rsidR="006C0DAA" w:rsidRPr="00E37E07" w:rsidRDefault="00E37E07">
            <w:pPr>
              <w:spacing w:after="120" w:line="240" w:lineRule="auto"/>
              <w:jc w:val="both"/>
              <w:rPr>
                <w:rFonts w:ascii="Times New Roman" w:eastAsia="Times New Roman" w:hAnsi="Times New Roman" w:cs="Times New Roman"/>
                <w:bCs/>
                <w:sz w:val="24"/>
                <w:szCs w:val="24"/>
              </w:rPr>
            </w:pPr>
            <w:r w:rsidRPr="00E37E07">
              <w:rPr>
                <w:rFonts w:ascii="Times New Roman" w:hAnsi="Times New Roman"/>
                <w:bCs/>
                <w:sz w:val="24"/>
                <w:szCs w:val="24"/>
              </w:rPr>
              <w:t>CMH na kraju prvog mjeseca u tromjesečju na koje se izvješće odnosi</w:t>
            </w:r>
          </w:p>
          <w:p w14:paraId="506CC49C" w14:textId="77777777" w:rsidR="006C0DAA" w:rsidRPr="00E37E07" w:rsidRDefault="00E37E07">
            <w:pPr>
              <w:spacing w:after="120" w:line="240" w:lineRule="auto"/>
              <w:jc w:val="both"/>
              <w:rPr>
                <w:rFonts w:ascii="Times New Roman" w:eastAsia="Times New Roman" w:hAnsi="Times New Roman" w:cs="Times New Roman"/>
                <w:b/>
                <w:bCs/>
                <w:sz w:val="24"/>
                <w:szCs w:val="24"/>
                <w:u w:val="single"/>
              </w:rPr>
            </w:pPr>
            <w:r w:rsidRPr="00E37E07">
              <w:rPr>
                <w:rFonts w:ascii="Times New Roman" w:hAnsi="Times New Roman"/>
                <w:bCs/>
              </w:rPr>
              <w:t>Taj se iznos izračunava kao aritmetička sredina dnevnih iznosa u razdoblju utvrđenom u članku 18. stavku 1. Uredbe (EU) 2019/2033.</w:t>
            </w:r>
          </w:p>
        </w:tc>
      </w:tr>
    </w:tbl>
    <w:p w14:paraId="09CDDD6D" w14:textId="77777777" w:rsidR="006C0DAA" w:rsidRPr="00E37E07" w:rsidRDefault="00E37E0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2" w:name="_Toc88218406"/>
      <w:r w:rsidRPr="00E37E07">
        <w:rPr>
          <w:rFonts w:ascii="Times New Roman" w:hAnsi="Times New Roman"/>
          <w:sz w:val="24"/>
          <w:szCs w:val="24"/>
          <w:u w:val="single"/>
        </w:rPr>
        <w:t>3.5. I 06.04 – PROSJEČNA VRIJEDNOST UKUPNIH DNEVNIH NOVČ</w:t>
      </w:r>
      <w:r w:rsidRPr="00E37E07">
        <w:rPr>
          <w:rFonts w:ascii="Times New Roman" w:hAnsi="Times New Roman"/>
          <w:sz w:val="24"/>
          <w:szCs w:val="24"/>
          <w:u w:val="single"/>
        </w:rPr>
        <w:t>ANIH SREDSTAVA KLIJENTA KOJA SE DRŽE (I 6.4)</w:t>
      </w:r>
      <w:bookmarkEnd w:id="62"/>
    </w:p>
    <w:p w14:paraId="39B441BD" w14:textId="77777777" w:rsidR="006C0DAA" w:rsidRPr="00E37E07" w:rsidRDefault="00E37E07">
      <w:pPr>
        <w:keepNext/>
        <w:spacing w:before="240" w:after="240" w:line="240" w:lineRule="auto"/>
        <w:ind w:left="357" w:hanging="215"/>
        <w:jc w:val="both"/>
        <w:outlineLvl w:val="1"/>
        <w:rPr>
          <w:rFonts w:ascii="Times New Roman" w:eastAsia="Arial" w:hAnsi="Times New Roman" w:cs="Times New Roman"/>
          <w:u w:val="single"/>
        </w:rPr>
      </w:pPr>
      <w:bookmarkStart w:id="63" w:name="_Toc88218407"/>
      <w:r w:rsidRPr="00E37E07">
        <w:rPr>
          <w:rFonts w:ascii="Times New Roman" w:hAnsi="Times New Roman"/>
          <w:sz w:val="24"/>
          <w:szCs w:val="24"/>
        </w:rPr>
        <w:t>3.5.1</w:t>
      </w:r>
      <w:r w:rsidRPr="00E37E07">
        <w:rPr>
          <w:rFonts w:ascii="Times New Roman" w:hAnsi="Times New Roman"/>
          <w:sz w:val="24"/>
          <w:szCs w:val="24"/>
        </w:rPr>
        <w:tab/>
      </w:r>
      <w:r w:rsidRPr="00E37E07">
        <w:rPr>
          <w:rFonts w:ascii="Times New Roman" w:hAnsi="Times New Roman"/>
          <w:u w:val="single"/>
        </w:rPr>
        <w:t>Upute za specifične pozicije</w:t>
      </w:r>
      <w:bookmarkEnd w:id="6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C0DAA" w:rsidRPr="00E37E07" w14:paraId="117E61C5" w14:textId="77777777">
        <w:tc>
          <w:tcPr>
            <w:tcW w:w="1129" w:type="dxa"/>
            <w:shd w:val="clear" w:color="auto" w:fill="D9D9D9"/>
          </w:tcPr>
          <w:p w14:paraId="534AD0C4"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Redak</w:t>
            </w:r>
          </w:p>
        </w:tc>
        <w:tc>
          <w:tcPr>
            <w:tcW w:w="7620" w:type="dxa"/>
            <w:shd w:val="clear" w:color="auto" w:fill="D9D9D9"/>
          </w:tcPr>
          <w:p w14:paraId="7837D8A0"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Pravna osnova i upute</w:t>
            </w:r>
          </w:p>
        </w:tc>
      </w:tr>
      <w:tr w:rsidR="006C0DAA" w:rsidRPr="00E37E07" w14:paraId="01736930" w14:textId="77777777">
        <w:tc>
          <w:tcPr>
            <w:tcW w:w="1129" w:type="dxa"/>
            <w:tcBorders>
              <w:bottom w:val="single" w:sz="4" w:space="0" w:color="auto"/>
            </w:tcBorders>
          </w:tcPr>
          <w:p w14:paraId="38798EEB"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A6CAABC"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
                <w:bCs/>
                <w:u w:val="single"/>
              </w:rPr>
              <w:t>Ukupna dnevna novčana sredstva klijenta koja se drže – na odvojenim računima</w:t>
            </w:r>
          </w:p>
          <w:p w14:paraId="25DEAE36"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Članak 4. stavak 1. točke 28. i 49. Uredbe </w:t>
            </w:r>
            <w:r w:rsidRPr="00E37E07">
              <w:rPr>
                <w:rFonts w:ascii="Times New Roman" w:hAnsi="Times New Roman"/>
                <w:bCs/>
              </w:rPr>
              <w:t>(EU) 2019/2033 i regulatorni tehnički standardi o definiciji odvojenog računa (članak 15. stavak 5. točka (b) Uredbe (EU) 2019/2033)</w:t>
            </w:r>
          </w:p>
          <w:p w14:paraId="6ACE252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Iskazana vrijednost je mjesečni prosjek ukupnih dnevnih novčanih sredstava klijenta koja se drže ako se novčana sredstva kl</w:t>
            </w:r>
            <w:r w:rsidRPr="00E37E07">
              <w:rPr>
                <w:rFonts w:ascii="Times New Roman" w:hAnsi="Times New Roman"/>
                <w:bCs/>
              </w:rPr>
              <w:t xml:space="preserve">ijenta </w:t>
            </w:r>
            <w:r w:rsidRPr="00E37E07">
              <w:rPr>
                <w:rFonts w:ascii="Times New Roman" w:hAnsi="Times New Roman"/>
                <w:bCs/>
                <w:u w:val="single"/>
              </w:rPr>
              <w:t>drže</w:t>
            </w:r>
            <w:r w:rsidRPr="00E37E07">
              <w:rPr>
                <w:rFonts w:ascii="Times New Roman" w:hAnsi="Times New Roman"/>
                <w:bCs/>
              </w:rPr>
              <w:t xml:space="preserve"> na odvojenim računima u skladu s člankom 18. stavkom 1. Uredbe (EU) 2019/2033.</w:t>
            </w:r>
          </w:p>
        </w:tc>
      </w:tr>
      <w:tr w:rsidR="006C0DAA" w:rsidRPr="00E37E07" w14:paraId="5CFFCE86" w14:textId="77777777">
        <w:tc>
          <w:tcPr>
            <w:tcW w:w="1129" w:type="dxa"/>
            <w:tcBorders>
              <w:top w:val="single" w:sz="4" w:space="0" w:color="auto"/>
              <w:bottom w:val="single" w:sz="4" w:space="0" w:color="auto"/>
            </w:tcBorders>
          </w:tcPr>
          <w:p w14:paraId="43971634"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63B9279"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Ukupna dnevna novčana sredstva klijenta koja se drže – na neodvojenim računima</w:t>
            </w:r>
          </w:p>
          <w:p w14:paraId="066EF923"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4. stavak 1. točke 28. i 49. Uredbe (EU) 2019/2033</w:t>
            </w:r>
          </w:p>
          <w:p w14:paraId="6A586AA3"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Iskazana vrijednost je mjesečni prosjek ukupnih dnevnih novčanih sredstava klijenta koja se drže ako se novčana sredstva klijenta </w:t>
            </w:r>
            <w:r w:rsidRPr="00E37E07">
              <w:rPr>
                <w:rFonts w:ascii="Times New Roman" w:hAnsi="Times New Roman"/>
                <w:bCs/>
                <w:u w:val="single"/>
              </w:rPr>
              <w:t>ne drže</w:t>
            </w:r>
            <w:r w:rsidRPr="00E37E07">
              <w:rPr>
                <w:rFonts w:ascii="Times New Roman" w:hAnsi="Times New Roman"/>
                <w:bCs/>
              </w:rPr>
              <w:t xml:space="preserve"> na odvojenim računima u skladu s člankom 18. stavkom 1. Uredbe (EU) 2019/2033.</w:t>
            </w:r>
          </w:p>
        </w:tc>
      </w:tr>
    </w:tbl>
    <w:p w14:paraId="5CA2C651" w14:textId="77777777" w:rsidR="006C0DAA" w:rsidRPr="00E37E07" w:rsidRDefault="006C0DAA">
      <w:pPr>
        <w:keepNext/>
        <w:spacing w:before="240" w:after="240" w:line="240" w:lineRule="auto"/>
        <w:jc w:val="both"/>
        <w:outlineLvl w:val="1"/>
        <w:rPr>
          <w:rFonts w:ascii="Times New Roman" w:eastAsia="Arial" w:hAnsi="Times New Roman" w:cs="Times New Roman"/>
          <w:u w:val="single"/>
          <w:lang w:val="en-I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C0DAA" w:rsidRPr="00E37E07" w14:paraId="53A97F23" w14:textId="77777777">
        <w:tc>
          <w:tcPr>
            <w:tcW w:w="1129" w:type="dxa"/>
            <w:shd w:val="clear" w:color="auto" w:fill="D9D9D9"/>
          </w:tcPr>
          <w:p w14:paraId="6B9EF0E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Stupci</w:t>
            </w:r>
          </w:p>
        </w:tc>
        <w:tc>
          <w:tcPr>
            <w:tcW w:w="7620" w:type="dxa"/>
            <w:shd w:val="clear" w:color="auto" w:fill="D9D9D9"/>
          </w:tcPr>
          <w:p w14:paraId="4B8BF7AD"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Pravna osnova i upute</w:t>
            </w:r>
          </w:p>
        </w:tc>
      </w:tr>
      <w:tr w:rsidR="006C0DAA" w:rsidRPr="00E37E07" w14:paraId="4D8864D7" w14:textId="77777777">
        <w:tc>
          <w:tcPr>
            <w:tcW w:w="1129" w:type="dxa"/>
          </w:tcPr>
          <w:p w14:paraId="287F530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0010 – 0080</w:t>
            </w:r>
          </w:p>
        </w:tc>
        <w:tc>
          <w:tcPr>
            <w:tcW w:w="7620" w:type="dxa"/>
          </w:tcPr>
          <w:p w14:paraId="37A03FC8"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
                <w:bCs/>
                <w:u w:val="single"/>
              </w:rPr>
              <w:t>Mjesečni prosjeci ukupnih dnevnih vrijednosti novčanih sredstava klijenta koja se drže</w:t>
            </w:r>
          </w:p>
          <w:p w14:paraId="19BB9D25"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Investicijska društva za svaki mjesec iskazuju prosječnu mjesečnu vrijednost ukupnih dnevnih novčanih sredstava klijenta koja se drže, koja se mjeri na kraju</w:t>
            </w:r>
            <w:r w:rsidRPr="00E37E07">
              <w:rPr>
                <w:rFonts w:ascii="Times New Roman" w:hAnsi="Times New Roman"/>
                <w:bCs/>
              </w:rPr>
              <w:t xml:space="preserve"> svakog radnog dana u skladu s člankom 18. stavkom 1. Uredbe (EU) 2019/2033.</w:t>
            </w:r>
          </w:p>
        </w:tc>
      </w:tr>
    </w:tbl>
    <w:p w14:paraId="04916221" w14:textId="77777777" w:rsidR="006C0DAA" w:rsidRPr="00E37E07" w:rsidRDefault="006C0DAA">
      <w:pPr>
        <w:keepNext/>
        <w:spacing w:before="240" w:after="240" w:line="240" w:lineRule="auto"/>
        <w:jc w:val="both"/>
        <w:outlineLvl w:val="1"/>
        <w:rPr>
          <w:rFonts w:ascii="Times New Roman" w:eastAsia="Arial" w:hAnsi="Times New Roman" w:cs="Times New Roman"/>
          <w:u w:val="single"/>
          <w:lang w:val="en-IE"/>
        </w:rPr>
      </w:pPr>
    </w:p>
    <w:p w14:paraId="586E2D2E" w14:textId="77777777" w:rsidR="006C0DAA" w:rsidRPr="00E37E07" w:rsidRDefault="00E37E0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4" w:name="_Toc88218408"/>
      <w:r w:rsidRPr="00E37E07">
        <w:rPr>
          <w:rFonts w:ascii="Times New Roman" w:hAnsi="Times New Roman"/>
          <w:sz w:val="24"/>
          <w:szCs w:val="24"/>
          <w:u w:val="single"/>
        </w:rPr>
        <w:t>3.6. I 06.05 – IMOVINA KOJA SE POHRANJUJE I ADMINISTRIRA – DODATNI PODACI (I 6.5)</w:t>
      </w:r>
      <w:bookmarkEnd w:id="64"/>
    </w:p>
    <w:p w14:paraId="15C82976" w14:textId="77777777" w:rsidR="006C0DAA" w:rsidRPr="00E37E07" w:rsidRDefault="00E37E07">
      <w:pPr>
        <w:keepNext/>
        <w:spacing w:before="240" w:after="240" w:line="240" w:lineRule="auto"/>
        <w:ind w:left="357" w:hanging="357"/>
        <w:jc w:val="both"/>
        <w:outlineLvl w:val="1"/>
      </w:pPr>
      <w:bookmarkStart w:id="65" w:name="_Toc88218409"/>
      <w:r w:rsidRPr="00E37E07">
        <w:rPr>
          <w:rFonts w:ascii="Times New Roman" w:hAnsi="Times New Roman"/>
          <w:sz w:val="24"/>
          <w:szCs w:val="24"/>
        </w:rPr>
        <w:t>3.6.1</w:t>
      </w:r>
      <w:r w:rsidRPr="00E37E07">
        <w:rPr>
          <w:rFonts w:ascii="Times New Roman" w:hAnsi="Times New Roman"/>
          <w:sz w:val="24"/>
          <w:szCs w:val="24"/>
        </w:rPr>
        <w:tab/>
      </w:r>
      <w:r w:rsidRPr="00E37E07">
        <w:rPr>
          <w:rFonts w:ascii="Times New Roman" w:hAnsi="Times New Roman"/>
        </w:rPr>
        <w:t>Upute za specifične pozicije</w:t>
      </w:r>
      <w:bookmarkEnd w:id="6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C0DAA" w:rsidRPr="00E37E07" w14:paraId="2EF1B9D1" w14:textId="77777777">
        <w:tc>
          <w:tcPr>
            <w:tcW w:w="1129" w:type="dxa"/>
            <w:shd w:val="clear" w:color="auto" w:fill="D9D9D9"/>
          </w:tcPr>
          <w:p w14:paraId="3AEB4EFC"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Redak</w:t>
            </w:r>
          </w:p>
        </w:tc>
        <w:tc>
          <w:tcPr>
            <w:tcW w:w="7620" w:type="dxa"/>
            <w:shd w:val="clear" w:color="auto" w:fill="D9D9D9"/>
          </w:tcPr>
          <w:p w14:paraId="7041FF7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Pravna osnova i upute</w:t>
            </w:r>
          </w:p>
        </w:tc>
      </w:tr>
      <w:tr w:rsidR="006C0DAA" w:rsidRPr="00E37E07" w14:paraId="7336B50D" w14:textId="77777777">
        <w:tc>
          <w:tcPr>
            <w:tcW w:w="1129" w:type="dxa"/>
          </w:tcPr>
          <w:p w14:paraId="0A725514"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F36A50C"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xml:space="preserve">Ukupna ASA </w:t>
            </w:r>
            <w:r w:rsidRPr="00E37E07">
              <w:rPr>
                <w:rFonts w:ascii="Times New Roman" w:hAnsi="Times New Roman"/>
                <w:b/>
                <w:bCs/>
                <w:u w:val="single"/>
              </w:rPr>
              <w:t>(prosječni iznosi)</w:t>
            </w:r>
          </w:p>
          <w:p w14:paraId="4E66B3D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4. stavak 1. točka 29. Uredbe (EU) 2019/2033</w:t>
            </w:r>
          </w:p>
          <w:p w14:paraId="550D5FCC"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lastRenderedPageBreak/>
              <w:t>Članak 5. stavak 1. regulatornih tehničkih standarda za pobliže utvrđivanje metoda za mjerenje faktora K (članak 15. stavak 5. točka (a) Uredbe (EU) 2019/2033)</w:t>
            </w:r>
          </w:p>
          <w:p w14:paraId="7D20ED26"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Ukupna vrijednost ASA-e j</w:t>
            </w:r>
            <w:r w:rsidRPr="00E37E07">
              <w:rPr>
                <w:rFonts w:ascii="Times New Roman" w:hAnsi="Times New Roman"/>
                <w:bCs/>
              </w:rPr>
              <w:t>e pomični prosjek vrijednosti ukupne imovine koja se dnevno pohranjuje i administrira, koja se mjeri na kraju svakog radnog dana u proteklih devet mjeseci, pri čemu se isključuju vrijednosti za zadnja tri mjeseca u skladu s člankom 19. stavkom 1. prvim pod</w:t>
            </w:r>
            <w:r w:rsidRPr="00E37E07">
              <w:rPr>
                <w:rFonts w:ascii="Times New Roman" w:hAnsi="Times New Roman"/>
                <w:bCs/>
              </w:rPr>
              <w:t xml:space="preserve">stavkom Uredbe (EU) 2019/2033. </w:t>
            </w:r>
          </w:p>
        </w:tc>
      </w:tr>
      <w:tr w:rsidR="006C0DAA" w:rsidRPr="00E37E07" w14:paraId="750AC935" w14:textId="77777777">
        <w:tc>
          <w:tcPr>
            <w:tcW w:w="1129" w:type="dxa"/>
            <w:tcBorders>
              <w:bottom w:val="single" w:sz="4" w:space="0" w:color="auto"/>
            </w:tcBorders>
          </w:tcPr>
          <w:p w14:paraId="14CCA37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lastRenderedPageBreak/>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9A6F94D"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
                <w:bCs/>
                <w:u w:val="single"/>
              </w:rPr>
              <w:t>Od čega: fer vrijednost financijskih instrumenata (2. razina)</w:t>
            </w:r>
          </w:p>
          <w:p w14:paraId="65B6AAE1"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Članak 5. stavak 1. točka (a) regulatornih tehničkih standarda za pobliže utvrđivanje metoda za mjerenje faktora K (članak 15. stavak 5. točka (a) </w:t>
            </w:r>
            <w:r w:rsidRPr="00E37E07">
              <w:rPr>
                <w:rFonts w:ascii="Times New Roman" w:hAnsi="Times New Roman"/>
                <w:bCs/>
              </w:rPr>
              <w:t>Uredbe (EU) 2019/2033)</w:t>
            </w:r>
          </w:p>
          <w:p w14:paraId="2BC66483" w14:textId="77777777" w:rsidR="006C0DAA" w:rsidRPr="00E37E07" w:rsidRDefault="00E37E07">
            <w:pPr>
              <w:autoSpaceDE w:val="0"/>
              <w:autoSpaceDN w:val="0"/>
              <w:spacing w:after="0" w:line="240" w:lineRule="auto"/>
              <w:rPr>
                <w:rFonts w:ascii="Times New Roman" w:eastAsia="Times New Roman" w:hAnsi="Times New Roman" w:cs="Times New Roman"/>
                <w:bCs/>
                <w:i/>
              </w:rPr>
            </w:pPr>
            <w:r w:rsidRPr="00E37E07">
              <w:rPr>
                <w:rFonts w:ascii="Times New Roman" w:hAnsi="Times New Roman"/>
                <w:bCs/>
              </w:rPr>
              <w:t>Financijski instrumenti 2. razine vrednovani u skladu s MSFI-jem 13.81.</w:t>
            </w:r>
          </w:p>
        </w:tc>
      </w:tr>
      <w:tr w:rsidR="006C0DAA" w:rsidRPr="00E37E07" w14:paraId="1D9B64D0" w14:textId="77777777">
        <w:tc>
          <w:tcPr>
            <w:tcW w:w="1129" w:type="dxa"/>
            <w:tcBorders>
              <w:bottom w:val="single" w:sz="4" w:space="0" w:color="auto"/>
            </w:tcBorders>
          </w:tcPr>
          <w:p w14:paraId="39D5EB5E"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EB34B64"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Od čega: fer vrijednost financijskih instrumenata (3. razina)</w:t>
            </w:r>
          </w:p>
          <w:p w14:paraId="1F6017CB"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Članak 5. stavak 1. točka (a) regulatornih tehničkih standarda za pobliže </w:t>
            </w:r>
            <w:r w:rsidRPr="00E37E07">
              <w:rPr>
                <w:rFonts w:ascii="Times New Roman" w:hAnsi="Times New Roman"/>
                <w:bCs/>
              </w:rPr>
              <w:t>utvrđivanje metoda za mjerenje faktora K (članak 15. stavak 5. točka (a) Uredbe (EU) 2019/2033)</w:t>
            </w:r>
          </w:p>
          <w:p w14:paraId="447D7FC4" w14:textId="77777777" w:rsidR="006C0DAA" w:rsidRPr="00E37E07" w:rsidRDefault="00E37E07">
            <w:pPr>
              <w:autoSpaceDE w:val="0"/>
              <w:autoSpaceDN w:val="0"/>
              <w:spacing w:after="0" w:line="240" w:lineRule="auto"/>
            </w:pPr>
            <w:r w:rsidRPr="00E37E07">
              <w:rPr>
                <w:rFonts w:ascii="Times New Roman" w:hAnsi="Times New Roman"/>
                <w:bCs/>
              </w:rPr>
              <w:t>Vrednovanje na temelju ulaznih podataka koji nisu vidljivi upotrebom najboljih dostupnih informacija (</w:t>
            </w:r>
            <w:r w:rsidRPr="00E37E07">
              <w:rPr>
                <w:rFonts w:ascii="Times New Roman" w:hAnsi="Times New Roman"/>
              </w:rPr>
              <w:t>MSFI 13.86)</w:t>
            </w:r>
          </w:p>
        </w:tc>
      </w:tr>
      <w:tr w:rsidR="006C0DAA" w:rsidRPr="00E37E07" w14:paraId="2B8BA706" w14:textId="77777777">
        <w:tc>
          <w:tcPr>
            <w:tcW w:w="1129" w:type="dxa"/>
            <w:tcBorders>
              <w:top w:val="single" w:sz="4" w:space="0" w:color="auto"/>
              <w:bottom w:val="single" w:sz="4" w:space="0" w:color="auto"/>
            </w:tcBorders>
          </w:tcPr>
          <w:p w14:paraId="6D773489"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112755B9"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Od čega: imovina službeno delegirana dru</w:t>
            </w:r>
            <w:r w:rsidRPr="00E37E07">
              <w:rPr>
                <w:rFonts w:ascii="Times New Roman" w:hAnsi="Times New Roman"/>
                <w:b/>
                <w:bCs/>
                <w:u w:val="single"/>
              </w:rPr>
              <w:t>gom financijskom subjektu</w:t>
            </w:r>
          </w:p>
          <w:p w14:paraId="2D1047B1"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19. stavak 2. Uredbe (EU) 2019/2033</w:t>
            </w:r>
          </w:p>
          <w:p w14:paraId="649B0E97"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Vrijednost imovine čija su pohrana i administriranje službeno delegirani drugom financijskom subjektu kao aritmetička sredina u skladu s člankom 19. stavkom 1. prvim podstavkom Uredbe (EU</w:t>
            </w:r>
            <w:r w:rsidRPr="00E37E07">
              <w:rPr>
                <w:rFonts w:ascii="Times New Roman" w:hAnsi="Times New Roman"/>
                <w:bCs/>
              </w:rPr>
              <w:t>) 2019/2033.</w:t>
            </w:r>
          </w:p>
        </w:tc>
      </w:tr>
      <w:tr w:rsidR="006C0DAA" w:rsidRPr="00E37E07" w14:paraId="7DD983E9" w14:textId="77777777">
        <w:tc>
          <w:tcPr>
            <w:tcW w:w="1129" w:type="dxa"/>
            <w:tcBorders>
              <w:top w:val="single" w:sz="4" w:space="0" w:color="auto"/>
            </w:tcBorders>
          </w:tcPr>
          <w:p w14:paraId="279367CC"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5D01D60C"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Od čega: imovina drugog financijskog subjekta službeno delegirana investicijskom društvu</w:t>
            </w:r>
          </w:p>
          <w:p w14:paraId="2A7D7B81"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19. stavak 2. Uredbe (EU) 2019/2033</w:t>
            </w:r>
          </w:p>
          <w:p w14:paraId="2AF7C1FB"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 xml:space="preserve">Vrijednost imovine drugog financijskog subjekta koji je njezinu pohranu i administriranje </w:t>
            </w:r>
            <w:r w:rsidRPr="00E37E07">
              <w:rPr>
                <w:rFonts w:ascii="Times New Roman" w:hAnsi="Times New Roman"/>
                <w:bCs/>
              </w:rPr>
              <w:t>službeno delegirao investicijskom društvu kao aritmetička sredina u skladu s člankom 19. stavkom 1. prvim podstavkom Uredbe (EU) 2019/2033.</w:t>
            </w:r>
          </w:p>
        </w:tc>
      </w:tr>
    </w:tbl>
    <w:p w14:paraId="1CA677A9" w14:textId="77777777" w:rsidR="006C0DAA" w:rsidRPr="00E37E07" w:rsidRDefault="006C0DAA"/>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C0DAA" w:rsidRPr="00E37E07" w14:paraId="5A761B27" w14:textId="77777777">
        <w:tc>
          <w:tcPr>
            <w:tcW w:w="1129" w:type="dxa"/>
            <w:shd w:val="clear" w:color="auto" w:fill="D9D9D9"/>
          </w:tcPr>
          <w:p w14:paraId="3949452B"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Stupci</w:t>
            </w:r>
          </w:p>
        </w:tc>
        <w:tc>
          <w:tcPr>
            <w:tcW w:w="7620" w:type="dxa"/>
            <w:shd w:val="clear" w:color="auto" w:fill="D9D9D9"/>
          </w:tcPr>
          <w:p w14:paraId="4AEF53FE"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Pravna osnova i upute</w:t>
            </w:r>
          </w:p>
        </w:tc>
      </w:tr>
      <w:tr w:rsidR="006C0DAA" w:rsidRPr="00E37E07" w14:paraId="5DEE8DB0" w14:textId="77777777">
        <w:tc>
          <w:tcPr>
            <w:tcW w:w="1129" w:type="dxa"/>
          </w:tcPr>
          <w:p w14:paraId="7FFC85E0"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0010</w:t>
            </w:r>
          </w:p>
        </w:tc>
        <w:tc>
          <w:tcPr>
            <w:tcW w:w="7620" w:type="dxa"/>
          </w:tcPr>
          <w:p w14:paraId="15A8D2FF"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Iznos faktora – mjesec t</w:t>
            </w:r>
          </w:p>
          <w:p w14:paraId="08B3346A"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ASA na kraju trećeg (tj. zadnjeg) mjeseca u </w:t>
            </w:r>
            <w:r w:rsidRPr="00E37E07">
              <w:rPr>
                <w:rFonts w:ascii="Times New Roman" w:hAnsi="Times New Roman"/>
                <w:bCs/>
              </w:rPr>
              <w:t>tromjesečju na koje se izvješće odnosi</w:t>
            </w:r>
          </w:p>
        </w:tc>
      </w:tr>
      <w:tr w:rsidR="006C0DAA" w:rsidRPr="00E37E07" w14:paraId="6FD78B7A" w14:textId="77777777">
        <w:tc>
          <w:tcPr>
            <w:tcW w:w="1129" w:type="dxa"/>
          </w:tcPr>
          <w:p w14:paraId="23BE8835"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0020</w:t>
            </w:r>
          </w:p>
        </w:tc>
        <w:tc>
          <w:tcPr>
            <w:tcW w:w="7620" w:type="dxa"/>
          </w:tcPr>
          <w:p w14:paraId="5F7C28FA"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Iznos faktora – mjesec t-1</w:t>
            </w:r>
          </w:p>
          <w:p w14:paraId="393CE2DA"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ASA na kraju drugog mjeseca u tromjesečju na koje se izvješće odnosi</w:t>
            </w:r>
          </w:p>
        </w:tc>
      </w:tr>
      <w:tr w:rsidR="006C0DAA" w:rsidRPr="00E37E07" w14:paraId="1A449AA2" w14:textId="77777777">
        <w:tc>
          <w:tcPr>
            <w:tcW w:w="1129" w:type="dxa"/>
          </w:tcPr>
          <w:p w14:paraId="3B0EAFB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0030</w:t>
            </w:r>
          </w:p>
        </w:tc>
        <w:tc>
          <w:tcPr>
            <w:tcW w:w="7620" w:type="dxa"/>
          </w:tcPr>
          <w:p w14:paraId="3D771A8D"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Iznos faktora – mjesec t–2</w:t>
            </w:r>
          </w:p>
          <w:p w14:paraId="1D4279BA"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ASA na kraju prvog mjeseca u tromjesečju na koje se izvješće odnosi</w:t>
            </w:r>
          </w:p>
        </w:tc>
      </w:tr>
    </w:tbl>
    <w:p w14:paraId="54ECE5F5" w14:textId="77777777" w:rsidR="006C0DAA" w:rsidRPr="00E37E07" w:rsidRDefault="00E37E0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6" w:name="_Toc88218410"/>
      <w:r w:rsidRPr="00E37E07">
        <w:rPr>
          <w:rFonts w:ascii="Times New Roman" w:hAnsi="Times New Roman"/>
          <w:sz w:val="24"/>
          <w:szCs w:val="24"/>
          <w:u w:val="single"/>
        </w:rPr>
        <w:t xml:space="preserve">3.7. I 06.06 </w:t>
      </w:r>
      <w:r w:rsidRPr="00E37E07">
        <w:rPr>
          <w:rFonts w:ascii="Times New Roman" w:hAnsi="Times New Roman"/>
          <w:sz w:val="24"/>
          <w:szCs w:val="24"/>
          <w:u w:val="single"/>
        </w:rPr>
        <w:t>– PROSJEČNA VRIJEDNOST UKUPNE DNEVNE IMOVINE KOJA SE POHRANJUJE I ADMINISTRIRA (I 6.6)</w:t>
      </w:r>
      <w:bookmarkEnd w:id="66"/>
    </w:p>
    <w:p w14:paraId="1F3ECF2F" w14:textId="77777777" w:rsidR="006C0DAA" w:rsidRPr="00E37E07" w:rsidRDefault="00E37E0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7" w:name="_Toc88218411"/>
      <w:r w:rsidRPr="00E37E07">
        <w:rPr>
          <w:rFonts w:ascii="Times New Roman" w:hAnsi="Times New Roman"/>
          <w:sz w:val="24"/>
          <w:szCs w:val="24"/>
        </w:rPr>
        <w:t>3.7.1</w:t>
      </w:r>
      <w:r w:rsidRPr="00E37E07">
        <w:rPr>
          <w:rFonts w:ascii="Times New Roman" w:hAnsi="Times New Roman"/>
          <w:sz w:val="24"/>
          <w:szCs w:val="24"/>
        </w:rPr>
        <w:tab/>
      </w:r>
      <w:r w:rsidRPr="00E37E07">
        <w:rPr>
          <w:rFonts w:ascii="Times New Roman" w:hAnsi="Times New Roman"/>
          <w:sz w:val="24"/>
          <w:szCs w:val="24"/>
          <w:u w:val="single"/>
        </w:rPr>
        <w:t>Upute za specifične pozicije</w:t>
      </w:r>
      <w:bookmarkEnd w:id="6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C0DAA" w:rsidRPr="00E37E07" w14:paraId="29EF88EA" w14:textId="77777777">
        <w:tc>
          <w:tcPr>
            <w:tcW w:w="1129" w:type="dxa"/>
            <w:shd w:val="clear" w:color="auto" w:fill="D9D9D9"/>
          </w:tcPr>
          <w:p w14:paraId="479EF61F"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Redak</w:t>
            </w:r>
          </w:p>
        </w:tc>
        <w:tc>
          <w:tcPr>
            <w:tcW w:w="7620" w:type="dxa"/>
            <w:shd w:val="clear" w:color="auto" w:fill="D9D9D9"/>
          </w:tcPr>
          <w:p w14:paraId="3854D80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Pravna osnova i upute</w:t>
            </w:r>
          </w:p>
        </w:tc>
      </w:tr>
      <w:tr w:rsidR="006C0DAA" w:rsidRPr="00E37E07" w14:paraId="6FF767D7" w14:textId="77777777">
        <w:tc>
          <w:tcPr>
            <w:tcW w:w="1129" w:type="dxa"/>
          </w:tcPr>
          <w:p w14:paraId="656437B9"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lastRenderedPageBreak/>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0BA8F52"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Imovina koja se pohranjuje i administrira</w:t>
            </w:r>
          </w:p>
          <w:p w14:paraId="201911D6"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Članak 4. stavak 1. točka 29. Uredbe </w:t>
            </w:r>
            <w:r w:rsidRPr="00E37E07">
              <w:rPr>
                <w:rFonts w:ascii="Times New Roman" w:hAnsi="Times New Roman"/>
                <w:bCs/>
              </w:rPr>
              <w:t>(EU) 2019/2033</w:t>
            </w:r>
          </w:p>
          <w:p w14:paraId="7CCDF86F"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5. stavak 1. regulatornih tehničkih standarda za pobliže utvrđivanje metoda za mjerenje faktora K (članak 15. stavak 5. točka (a) Uredbe (EU) 2019/2033)</w:t>
            </w:r>
          </w:p>
          <w:p w14:paraId="04C0B549"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Iskazana vrijednost je mjesečni prosjek ukupne dnevne imovine koja se pohranjuje </w:t>
            </w:r>
            <w:r w:rsidRPr="00E37E07">
              <w:rPr>
                <w:rFonts w:ascii="Times New Roman" w:hAnsi="Times New Roman"/>
                <w:bCs/>
              </w:rPr>
              <w:t>i administrira u skladu s člankom 19. stavkom 1. Uredbe (EU) 2019/2033.</w:t>
            </w:r>
          </w:p>
        </w:tc>
      </w:tr>
      <w:tr w:rsidR="006C0DAA" w:rsidRPr="00E37E07" w14:paraId="58C8E3C9" w14:textId="77777777">
        <w:tc>
          <w:tcPr>
            <w:tcW w:w="1129" w:type="dxa"/>
            <w:tcBorders>
              <w:bottom w:val="single" w:sz="4" w:space="0" w:color="auto"/>
            </w:tcBorders>
          </w:tcPr>
          <w:p w14:paraId="01579766"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857D3F0"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Od čega: fer vrijednost financijskih instrumenata (2. razina)</w:t>
            </w:r>
          </w:p>
          <w:p w14:paraId="7C6A5449"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Članak 5. stavak 2. regulatornih tehničkih standarda za pobliže utvrđivanje metoda za mjerenje faktora K </w:t>
            </w:r>
            <w:r w:rsidRPr="00E37E07">
              <w:rPr>
                <w:rFonts w:ascii="Times New Roman" w:hAnsi="Times New Roman"/>
                <w:bCs/>
              </w:rPr>
              <w:t>(članak 15. stavak 5. točka (a) Uredbe (EU) 2019/2033)</w:t>
            </w:r>
          </w:p>
          <w:p w14:paraId="16305F68"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Financijski instrumenti 2. razine vrednovani u skladu s MSFI-jem 13.81.</w:t>
            </w:r>
          </w:p>
        </w:tc>
      </w:tr>
      <w:tr w:rsidR="006C0DAA" w:rsidRPr="00E37E07" w14:paraId="698B96CD" w14:textId="77777777">
        <w:tc>
          <w:tcPr>
            <w:tcW w:w="1129" w:type="dxa"/>
            <w:tcBorders>
              <w:bottom w:val="single" w:sz="4" w:space="0" w:color="auto"/>
            </w:tcBorders>
          </w:tcPr>
          <w:p w14:paraId="2DD7690B"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BE5885D"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Od čega: fer vrijednost financijskih instrumenata (3. razina)</w:t>
            </w:r>
          </w:p>
          <w:p w14:paraId="6FAD288E" w14:textId="77777777" w:rsidR="006C0DAA" w:rsidRPr="00E37E07" w:rsidRDefault="00E37E07">
            <w:pPr>
              <w:spacing w:after="120" w:line="240" w:lineRule="auto"/>
              <w:jc w:val="both"/>
              <w:rPr>
                <w:rFonts w:ascii="Times New Roman" w:eastAsia="Times New Roman" w:hAnsi="Times New Roman" w:cs="Times New Roman"/>
                <w:bCs/>
                <w:i/>
              </w:rPr>
            </w:pPr>
            <w:r w:rsidRPr="00E37E07">
              <w:rPr>
                <w:rFonts w:ascii="Times New Roman" w:hAnsi="Times New Roman"/>
                <w:bCs/>
              </w:rPr>
              <w:t>Članak 5. stavak 1. točka (a) regulatornih tehničkih standard</w:t>
            </w:r>
            <w:r w:rsidRPr="00E37E07">
              <w:rPr>
                <w:rFonts w:ascii="Times New Roman" w:hAnsi="Times New Roman"/>
                <w:bCs/>
              </w:rPr>
              <w:t>a za pobliže utvrđivanje metoda za mjerenje faktora K (članak 15. stavak 5. točka (a) Uredbe (EU) 2019/2033)</w:t>
            </w:r>
          </w:p>
          <w:p w14:paraId="60F9C872"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rPr>
              <w:t>Vrednovanje na temelju ulaznih podataka koji nisu vidljivi upotrebom najboljih dostupnih informacija (MSFI 13.86</w:t>
            </w:r>
            <w:r w:rsidRPr="00E37E07">
              <w:t>)</w:t>
            </w:r>
          </w:p>
        </w:tc>
      </w:tr>
      <w:tr w:rsidR="006C0DAA" w:rsidRPr="00E37E07" w14:paraId="337326BE" w14:textId="77777777">
        <w:tc>
          <w:tcPr>
            <w:tcW w:w="1129" w:type="dxa"/>
            <w:tcBorders>
              <w:top w:val="single" w:sz="4" w:space="0" w:color="auto"/>
              <w:bottom w:val="single" w:sz="4" w:space="0" w:color="auto"/>
            </w:tcBorders>
          </w:tcPr>
          <w:p w14:paraId="2B252B10"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4BF1D091"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Od čega: imovina službeno d</w:t>
            </w:r>
            <w:r w:rsidRPr="00E37E07">
              <w:rPr>
                <w:rFonts w:ascii="Times New Roman" w:hAnsi="Times New Roman"/>
                <w:b/>
                <w:bCs/>
                <w:u w:val="single"/>
              </w:rPr>
              <w:t>elegirana drugom financijskom subjektu</w:t>
            </w:r>
          </w:p>
          <w:p w14:paraId="16DB16A8"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19. stavak 2. Uredbe (EU) 2019/2033</w:t>
            </w:r>
          </w:p>
          <w:p w14:paraId="6E00E58C"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Iskazana vrijednost je mjesečni prosjek ukupne dnevne imovine čija su pohrana i administriranje službeno delegirani drugom financijskom subjektu u skladu s člankom 19. stavko</w:t>
            </w:r>
            <w:r w:rsidRPr="00E37E07">
              <w:rPr>
                <w:rFonts w:ascii="Times New Roman" w:hAnsi="Times New Roman"/>
                <w:bCs/>
              </w:rPr>
              <w:t>m 1. Uredbe (EU) 2019/2033.</w:t>
            </w:r>
          </w:p>
        </w:tc>
      </w:tr>
      <w:tr w:rsidR="006C0DAA" w:rsidRPr="00E37E07" w14:paraId="01DAF177" w14:textId="77777777">
        <w:tc>
          <w:tcPr>
            <w:tcW w:w="1129" w:type="dxa"/>
            <w:tcBorders>
              <w:top w:val="single" w:sz="4" w:space="0" w:color="auto"/>
            </w:tcBorders>
          </w:tcPr>
          <w:p w14:paraId="63A21CAA"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5D329733"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Od čega: imovina drugog financijskog subjekta službeno delegirana investicijskom društvu</w:t>
            </w:r>
          </w:p>
          <w:p w14:paraId="78DF5983"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19. stavak 2. Uredbe (EU) 2019/2033</w:t>
            </w:r>
          </w:p>
          <w:p w14:paraId="2B79FC90"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 xml:space="preserve">Iskazana vrijednost je mjesečni prosjek ukupne dnevne imovine drugog </w:t>
            </w:r>
            <w:r w:rsidRPr="00E37E07">
              <w:rPr>
                <w:rFonts w:ascii="Times New Roman" w:hAnsi="Times New Roman"/>
                <w:bCs/>
              </w:rPr>
              <w:t>financijskog subjekta koji je pohranu i administriranje službeno delegirao investicijskom društvu u skladu s člankom 19. stavkom 1. Uredbe (EU) 2019/2033.</w:t>
            </w:r>
          </w:p>
        </w:tc>
      </w:tr>
    </w:tbl>
    <w:p w14:paraId="476E0AD7" w14:textId="77777777" w:rsidR="006C0DAA" w:rsidRPr="00E37E07" w:rsidRDefault="006C0DAA">
      <w:pPr>
        <w:rPr>
          <w:lang w:val="en-I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C0DAA" w:rsidRPr="00E37E07" w14:paraId="41B11B08" w14:textId="77777777">
        <w:tc>
          <w:tcPr>
            <w:tcW w:w="1129" w:type="dxa"/>
            <w:shd w:val="clear" w:color="auto" w:fill="D9D9D9"/>
          </w:tcPr>
          <w:p w14:paraId="63A2C52E"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Stupci</w:t>
            </w:r>
          </w:p>
        </w:tc>
        <w:tc>
          <w:tcPr>
            <w:tcW w:w="7620" w:type="dxa"/>
            <w:shd w:val="clear" w:color="auto" w:fill="D9D9D9"/>
          </w:tcPr>
          <w:p w14:paraId="767355D7"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Pravna osnova i upute</w:t>
            </w:r>
          </w:p>
        </w:tc>
      </w:tr>
      <w:tr w:rsidR="006C0DAA" w:rsidRPr="00E37E07" w14:paraId="5B84BB29" w14:textId="77777777">
        <w:tc>
          <w:tcPr>
            <w:tcW w:w="1129" w:type="dxa"/>
          </w:tcPr>
          <w:p w14:paraId="4266DA8C"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0010 – 0080</w:t>
            </w:r>
          </w:p>
        </w:tc>
        <w:tc>
          <w:tcPr>
            <w:tcW w:w="7620" w:type="dxa"/>
          </w:tcPr>
          <w:p w14:paraId="7EDB0220"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
                <w:bCs/>
                <w:u w:val="single"/>
              </w:rPr>
              <w:t xml:space="preserve">Mjesečni prosjeci ukupnih dnevnih vrijednosti </w:t>
            </w:r>
            <w:r w:rsidRPr="00E37E07">
              <w:rPr>
                <w:rFonts w:ascii="Times New Roman" w:hAnsi="Times New Roman"/>
                <w:b/>
                <w:bCs/>
                <w:u w:val="single"/>
              </w:rPr>
              <w:t>imovine koja se pohranjuje i administrira</w:t>
            </w:r>
          </w:p>
          <w:p w14:paraId="32ED7A97"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Investicijska društva za svaki mjesec iskazuju prosječnu dnevnu vrijednost ukupne dnevne imovine koja se pohranjuje i administrira, koja se mjeri na kraju svakog radnog dana u skladu s člankom 19. </w:t>
            </w:r>
            <w:r w:rsidRPr="00E37E07">
              <w:rPr>
                <w:rFonts w:ascii="Times New Roman" w:hAnsi="Times New Roman"/>
                <w:bCs/>
              </w:rPr>
              <w:t>stavkom 1. Uredbe (EU) 2019/2033.</w:t>
            </w:r>
          </w:p>
        </w:tc>
      </w:tr>
    </w:tbl>
    <w:p w14:paraId="0E0CF89A" w14:textId="77777777" w:rsidR="006C0DAA" w:rsidRPr="00E37E07" w:rsidRDefault="00E37E0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8" w:name="_Toc88218412"/>
      <w:r w:rsidRPr="00E37E07">
        <w:rPr>
          <w:rFonts w:ascii="Times New Roman" w:hAnsi="Times New Roman"/>
          <w:sz w:val="24"/>
          <w:szCs w:val="24"/>
          <w:u w:val="single"/>
        </w:rPr>
        <w:t>3.8. I 06.07 – OBRAĐENI NALOZI KLIJENTA – DODATNI PODACI (I 6.7)</w:t>
      </w:r>
      <w:bookmarkEnd w:id="68"/>
    </w:p>
    <w:p w14:paraId="22A9E438" w14:textId="77777777" w:rsidR="006C0DAA" w:rsidRPr="00E37E07" w:rsidRDefault="00E37E07">
      <w:pPr>
        <w:keepNext/>
        <w:spacing w:before="240" w:after="240" w:line="240" w:lineRule="auto"/>
        <w:ind w:left="357" w:hanging="215"/>
        <w:jc w:val="both"/>
        <w:outlineLvl w:val="1"/>
      </w:pPr>
      <w:bookmarkStart w:id="69" w:name="_Toc88218413"/>
      <w:r w:rsidRPr="00E37E07">
        <w:rPr>
          <w:rFonts w:ascii="Times New Roman" w:hAnsi="Times New Roman"/>
          <w:sz w:val="24"/>
          <w:szCs w:val="24"/>
        </w:rPr>
        <w:t>3.8.1</w:t>
      </w:r>
      <w:r w:rsidRPr="00E37E07">
        <w:rPr>
          <w:rFonts w:ascii="Times New Roman" w:hAnsi="Times New Roman"/>
          <w:sz w:val="24"/>
          <w:szCs w:val="24"/>
        </w:rPr>
        <w:tab/>
      </w:r>
      <w:r w:rsidRPr="00E37E07">
        <w:rPr>
          <w:rFonts w:ascii="Times New Roman" w:hAnsi="Times New Roman"/>
          <w:sz w:val="24"/>
          <w:szCs w:val="24"/>
          <w:u w:val="single"/>
        </w:rPr>
        <w:t>Upute za specifične pozicije</w:t>
      </w:r>
      <w:bookmarkEnd w:id="6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C0DAA" w:rsidRPr="00E37E07" w14:paraId="432305B0" w14:textId="77777777">
        <w:tc>
          <w:tcPr>
            <w:tcW w:w="1129" w:type="dxa"/>
            <w:shd w:val="clear" w:color="auto" w:fill="D9D9D9"/>
          </w:tcPr>
          <w:p w14:paraId="6AA4FBA1"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Redak</w:t>
            </w:r>
          </w:p>
        </w:tc>
        <w:tc>
          <w:tcPr>
            <w:tcW w:w="7620" w:type="dxa"/>
            <w:shd w:val="clear" w:color="auto" w:fill="D9D9D9"/>
          </w:tcPr>
          <w:p w14:paraId="56562DAC"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Pravna osnova i upute</w:t>
            </w:r>
          </w:p>
        </w:tc>
      </w:tr>
      <w:tr w:rsidR="006C0DAA" w:rsidRPr="00E37E07" w14:paraId="6728DA68" w14:textId="77777777">
        <w:tc>
          <w:tcPr>
            <w:tcW w:w="1129" w:type="dxa"/>
          </w:tcPr>
          <w:p w14:paraId="319E017D"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5ABD601"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COH – novčane transakcije (prosječni iznosi)</w:t>
            </w:r>
          </w:p>
          <w:p w14:paraId="7C3DA3AD"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lastRenderedPageBreak/>
              <w:t xml:space="preserve">Vrijednost COH-a za novčane </w:t>
            </w:r>
            <w:r w:rsidRPr="00E37E07">
              <w:rPr>
                <w:rFonts w:ascii="Times New Roman" w:hAnsi="Times New Roman"/>
                <w:bCs/>
              </w:rPr>
              <w:t>transakcije kako su definirane u članku 4. stavku 1. točki 30. Uredbe (EU) 2019/2033 i izmjerene u skladu s člankom 20. stavkom 1. Uredbe (EU) 2019/2033.</w:t>
            </w:r>
          </w:p>
          <w:p w14:paraId="63BD1058"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Investicijska društva iskazuju aritmetičku sredinu vrijednosti COH-a za novčane transakcije za prethod</w:t>
            </w:r>
            <w:r w:rsidRPr="00E37E07">
              <w:rPr>
                <w:rFonts w:ascii="Times New Roman" w:hAnsi="Times New Roman"/>
                <w:bCs/>
              </w:rPr>
              <w:t>nih šest mjeseci, pri čemu se isključuju vrijednosti za zadnja tri mjeseca u skladu s člankom 20. stavkom 1. prvim podstavkom Uredbe (EU) 2019/2033, koja se mjeri u skladu s člankom 20. stavkom 2. točkom (a) Uredbe (EU) 2019/2033.</w:t>
            </w:r>
          </w:p>
        </w:tc>
      </w:tr>
      <w:tr w:rsidR="006C0DAA" w:rsidRPr="00E37E07" w14:paraId="3B05B4E5" w14:textId="77777777">
        <w:tc>
          <w:tcPr>
            <w:tcW w:w="1129" w:type="dxa"/>
          </w:tcPr>
          <w:p w14:paraId="254FAAD7"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lastRenderedPageBreak/>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C59B286"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Od čega: izvršavanj</w:t>
            </w:r>
            <w:r w:rsidRPr="00E37E07">
              <w:rPr>
                <w:rFonts w:ascii="Times New Roman" w:hAnsi="Times New Roman"/>
                <w:b/>
                <w:bCs/>
                <w:u w:val="single"/>
              </w:rPr>
              <w:t>e naloga klijenta</w:t>
            </w:r>
          </w:p>
          <w:p w14:paraId="1822B645"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Vrijednost COH-a za novčane transakcije u vezi s kojima investicijsko društvo obavlja usluge izvršavanja naloga klijenta za račun klijenta kako je definirano u članku 4. stavku 1. točki 5. Direktive 2014/65/EU.</w:t>
            </w:r>
          </w:p>
          <w:p w14:paraId="06B724A6"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Iskazuje se aritmetička sre</w:t>
            </w:r>
            <w:r w:rsidRPr="00E37E07">
              <w:rPr>
                <w:rFonts w:ascii="Times New Roman" w:hAnsi="Times New Roman"/>
                <w:bCs/>
              </w:rPr>
              <w:t>dina vrijednosti COH-a za prethodnih šest mjeseci, pri čemu se isključuju vrijednosti za zadnja tri mjeseca u skladu s člankom 20. stavkom 1. prvim podstavkom Uredbe (EU) 2019/2033</w:t>
            </w:r>
          </w:p>
        </w:tc>
      </w:tr>
      <w:tr w:rsidR="006C0DAA" w:rsidRPr="00E37E07" w14:paraId="78A6E5C9" w14:textId="77777777">
        <w:tc>
          <w:tcPr>
            <w:tcW w:w="1129" w:type="dxa"/>
          </w:tcPr>
          <w:p w14:paraId="64F97EB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27E53C5"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Od čega: zaprimanje i prijenos naloga klijenta</w:t>
            </w:r>
          </w:p>
          <w:p w14:paraId="536095FD"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Vrijednost COH-a za </w:t>
            </w:r>
            <w:r w:rsidRPr="00E37E07">
              <w:rPr>
                <w:rFonts w:ascii="Times New Roman" w:hAnsi="Times New Roman"/>
                <w:bCs/>
              </w:rPr>
              <w:t>novčane transakcije u vezi s kojima investicijsko društvo obavlja usluge zaprimanja i prijenosa naloga klijenta</w:t>
            </w:r>
          </w:p>
          <w:p w14:paraId="3B66FA8E" w14:textId="77777777" w:rsidR="006C0DAA" w:rsidRPr="00E37E07" w:rsidRDefault="00E37E07">
            <w:pPr>
              <w:spacing w:after="120" w:line="240" w:lineRule="auto"/>
              <w:jc w:val="both"/>
              <w:rPr>
                <w:rFonts w:ascii="Times New Roman" w:eastAsia="Times New Roman" w:hAnsi="Times New Roman" w:cs="Times New Roman"/>
                <w:b/>
                <w:bCs/>
              </w:rPr>
            </w:pPr>
            <w:r w:rsidRPr="00E37E07">
              <w:rPr>
                <w:rFonts w:ascii="Times New Roman" w:hAnsi="Times New Roman"/>
                <w:bCs/>
              </w:rPr>
              <w:t xml:space="preserve">Iskazuje se aritmetička sredina vrijednosti COH-a za prethodnih šest mjeseci, pri čemu se isključuju vrijednosti za zadnja tri mjeseca u skladu </w:t>
            </w:r>
            <w:r w:rsidRPr="00E37E07">
              <w:rPr>
                <w:rFonts w:ascii="Times New Roman" w:hAnsi="Times New Roman"/>
                <w:bCs/>
              </w:rPr>
              <w:t>s člankom 20. stavkom 1. prvim podstavkom Uredbe (EU) 2019/2033</w:t>
            </w:r>
          </w:p>
        </w:tc>
      </w:tr>
      <w:tr w:rsidR="006C0DAA" w:rsidRPr="00E37E07" w14:paraId="5311CBF1" w14:textId="77777777">
        <w:tc>
          <w:tcPr>
            <w:tcW w:w="1129" w:type="dxa"/>
          </w:tcPr>
          <w:p w14:paraId="35CA45CF"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BE4DE5B"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COH – izvedenice (prosječni iznosi)</w:t>
            </w:r>
          </w:p>
          <w:p w14:paraId="06331FD4"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4. stavak 1. točka 30. Uredbe (EU) 2019/2033</w:t>
            </w:r>
          </w:p>
          <w:p w14:paraId="7258C887"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Investicijska društva iskazuju aritmetičku sredinu vrijednosti COH-a za izvedenice za prethodnih š</w:t>
            </w:r>
            <w:r w:rsidRPr="00E37E07">
              <w:rPr>
                <w:rFonts w:ascii="Times New Roman" w:hAnsi="Times New Roman"/>
                <w:bCs/>
              </w:rPr>
              <w:t>est mjeseci, pri čemu se isključuju vrijednosti za zadnja tri mjeseca u skladu s člankom 20. stavkom 1. prvim podstavkom Uredbe (EU) 2019/2033, koja se mjeri u skladu s člankom 20. stavkom 2. točkom (b) Uredbe (EU) 2019/2033.</w:t>
            </w:r>
          </w:p>
        </w:tc>
      </w:tr>
      <w:tr w:rsidR="006C0DAA" w:rsidRPr="00E37E07" w14:paraId="43F12635" w14:textId="77777777">
        <w:tc>
          <w:tcPr>
            <w:tcW w:w="1129" w:type="dxa"/>
          </w:tcPr>
          <w:p w14:paraId="6CC9C1C7"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31BD858"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Od čega: izvršavanje nal</w:t>
            </w:r>
            <w:r w:rsidRPr="00E37E07">
              <w:rPr>
                <w:rFonts w:ascii="Times New Roman" w:hAnsi="Times New Roman"/>
                <w:b/>
                <w:bCs/>
                <w:u w:val="single"/>
              </w:rPr>
              <w:t>oga klijenta</w:t>
            </w:r>
          </w:p>
          <w:p w14:paraId="2E4774EC"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Vrijednost COH-a za trgovanje izvedenicama u vezi s kojima investicijsko društvo obavlja usluge izvršavanja naloga klijenta za račun klijenta kako je definirano u članku 4. stavku 1. točki 5. Direktive 2014/65/EU.</w:t>
            </w:r>
          </w:p>
          <w:p w14:paraId="065D4A1E" w14:textId="77777777" w:rsidR="006C0DAA" w:rsidRPr="00E37E07" w:rsidRDefault="00E37E07">
            <w:pPr>
              <w:spacing w:after="120" w:line="240" w:lineRule="auto"/>
              <w:jc w:val="both"/>
              <w:rPr>
                <w:rFonts w:ascii="Times New Roman" w:eastAsia="Times New Roman" w:hAnsi="Times New Roman" w:cs="Times New Roman"/>
                <w:b/>
                <w:bCs/>
              </w:rPr>
            </w:pPr>
            <w:r w:rsidRPr="00E37E07">
              <w:rPr>
                <w:rFonts w:ascii="Times New Roman" w:hAnsi="Times New Roman"/>
                <w:bCs/>
              </w:rPr>
              <w:t>Iskazuje se aritmetička sredi</w:t>
            </w:r>
            <w:r w:rsidRPr="00E37E07">
              <w:rPr>
                <w:rFonts w:ascii="Times New Roman" w:hAnsi="Times New Roman"/>
                <w:bCs/>
              </w:rPr>
              <w:t>na vrijednosti COH-a za prethodnih šest mjeseci, pri čemu se isključuju vrijednosti za zadnja tri mjeseca u skladu s člankom 20. stavkom 1. prvim podstavkom Uredbe (EU) 2019/2033</w:t>
            </w:r>
          </w:p>
        </w:tc>
      </w:tr>
      <w:tr w:rsidR="006C0DAA" w:rsidRPr="00E37E07" w14:paraId="56D4859D" w14:textId="77777777">
        <w:tc>
          <w:tcPr>
            <w:tcW w:w="1129" w:type="dxa"/>
          </w:tcPr>
          <w:p w14:paraId="155399C5"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33EDE3A"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Od čega: zaprimanje i prijenos naloga klijenta</w:t>
            </w:r>
          </w:p>
          <w:p w14:paraId="5DE031BB"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Vrijednost COH-a za </w:t>
            </w:r>
            <w:r w:rsidRPr="00E37E07">
              <w:rPr>
                <w:rFonts w:ascii="Times New Roman" w:hAnsi="Times New Roman"/>
                <w:bCs/>
              </w:rPr>
              <w:t>trgovanje izvedenicama u vezi s kojima investicijsko društvo obavlja usluge zaprimanja i prijenosa naloga klijenta</w:t>
            </w:r>
          </w:p>
          <w:p w14:paraId="7CE0CAE4" w14:textId="77777777" w:rsidR="006C0DAA" w:rsidRPr="00E37E07" w:rsidRDefault="00E37E07">
            <w:pPr>
              <w:spacing w:after="120" w:line="240" w:lineRule="auto"/>
              <w:jc w:val="both"/>
              <w:rPr>
                <w:rFonts w:ascii="Times New Roman" w:eastAsia="Times New Roman" w:hAnsi="Times New Roman" w:cs="Times New Roman"/>
                <w:b/>
                <w:bCs/>
              </w:rPr>
            </w:pPr>
            <w:r w:rsidRPr="00E37E07">
              <w:rPr>
                <w:rFonts w:ascii="Times New Roman" w:hAnsi="Times New Roman"/>
                <w:bCs/>
              </w:rPr>
              <w:t>Iskazuje se aritmetička sredina vrijednosti COH-a za prethodnih šest mjeseci, pri čemu se isključuju vrijednosti za zadnja tri mjeseca u skla</w:t>
            </w:r>
            <w:r w:rsidRPr="00E37E07">
              <w:rPr>
                <w:rFonts w:ascii="Times New Roman" w:hAnsi="Times New Roman"/>
                <w:bCs/>
              </w:rPr>
              <w:t>du s člankom 20. stavkom 1. prvim podstavkom Uredbe (EU) 2019/2033</w:t>
            </w:r>
          </w:p>
        </w:tc>
      </w:tr>
    </w:tbl>
    <w:p w14:paraId="3216AA62" w14:textId="77777777" w:rsidR="006C0DAA" w:rsidRPr="00E37E07" w:rsidRDefault="006C0DAA"/>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C0DAA" w:rsidRPr="00E37E07" w14:paraId="5D6660B2" w14:textId="77777777">
        <w:tc>
          <w:tcPr>
            <w:tcW w:w="1129" w:type="dxa"/>
            <w:shd w:val="clear" w:color="auto" w:fill="D9D9D9"/>
          </w:tcPr>
          <w:p w14:paraId="2A933CFB" w14:textId="77777777" w:rsidR="006C0DAA" w:rsidRPr="00E37E07" w:rsidRDefault="00E37E07">
            <w:pPr>
              <w:spacing w:after="120" w:line="240" w:lineRule="auto"/>
              <w:jc w:val="both"/>
              <w:rPr>
                <w:rFonts w:ascii="Times New Roman" w:eastAsia="Times New Roman" w:hAnsi="Times New Roman" w:cs="Times New Roman"/>
                <w:bCs/>
                <w:szCs w:val="24"/>
              </w:rPr>
            </w:pPr>
            <w:r w:rsidRPr="00E37E07">
              <w:rPr>
                <w:rFonts w:ascii="Times New Roman" w:hAnsi="Times New Roman"/>
                <w:szCs w:val="24"/>
              </w:rPr>
              <w:t>Stupci</w:t>
            </w:r>
          </w:p>
        </w:tc>
        <w:tc>
          <w:tcPr>
            <w:tcW w:w="7620" w:type="dxa"/>
            <w:shd w:val="clear" w:color="auto" w:fill="D9D9D9"/>
          </w:tcPr>
          <w:p w14:paraId="6D9738AE" w14:textId="77777777" w:rsidR="006C0DAA" w:rsidRPr="00E37E07" w:rsidRDefault="00E37E07">
            <w:pPr>
              <w:spacing w:after="120" w:line="240" w:lineRule="auto"/>
              <w:jc w:val="both"/>
              <w:rPr>
                <w:rFonts w:ascii="Times New Roman" w:eastAsia="Times New Roman" w:hAnsi="Times New Roman" w:cs="Times New Roman"/>
                <w:bCs/>
                <w:szCs w:val="24"/>
              </w:rPr>
            </w:pPr>
            <w:r w:rsidRPr="00E37E07">
              <w:rPr>
                <w:rFonts w:ascii="Times New Roman" w:hAnsi="Times New Roman"/>
                <w:szCs w:val="24"/>
              </w:rPr>
              <w:t>Pravna osnova i upute</w:t>
            </w:r>
          </w:p>
        </w:tc>
      </w:tr>
      <w:tr w:rsidR="006C0DAA" w:rsidRPr="00E37E07" w14:paraId="74915878" w14:textId="77777777">
        <w:tc>
          <w:tcPr>
            <w:tcW w:w="1129" w:type="dxa"/>
          </w:tcPr>
          <w:p w14:paraId="3B9885AD" w14:textId="77777777" w:rsidR="006C0DAA" w:rsidRPr="00E37E07" w:rsidRDefault="00E37E07">
            <w:pPr>
              <w:spacing w:after="120" w:line="240" w:lineRule="auto"/>
              <w:jc w:val="both"/>
              <w:rPr>
                <w:rFonts w:ascii="Times New Roman" w:eastAsia="Times New Roman" w:hAnsi="Times New Roman" w:cs="Times New Roman"/>
                <w:bCs/>
                <w:szCs w:val="24"/>
              </w:rPr>
            </w:pPr>
            <w:r w:rsidRPr="00E37E07">
              <w:rPr>
                <w:rFonts w:ascii="Times New Roman" w:hAnsi="Times New Roman"/>
                <w:bCs/>
                <w:szCs w:val="24"/>
              </w:rPr>
              <w:t>0010</w:t>
            </w:r>
          </w:p>
        </w:tc>
        <w:tc>
          <w:tcPr>
            <w:tcW w:w="7620" w:type="dxa"/>
          </w:tcPr>
          <w:p w14:paraId="654CFEBC" w14:textId="77777777" w:rsidR="006C0DAA" w:rsidRPr="00E37E07" w:rsidRDefault="00E37E07">
            <w:pPr>
              <w:spacing w:after="120" w:line="240" w:lineRule="auto"/>
              <w:jc w:val="both"/>
              <w:rPr>
                <w:rFonts w:ascii="Times New Roman" w:eastAsia="Times New Roman" w:hAnsi="Times New Roman" w:cs="Times New Roman"/>
                <w:b/>
                <w:bCs/>
                <w:szCs w:val="24"/>
                <w:u w:val="single"/>
              </w:rPr>
            </w:pPr>
            <w:r w:rsidRPr="00E37E07">
              <w:rPr>
                <w:rFonts w:ascii="Times New Roman" w:hAnsi="Times New Roman"/>
                <w:b/>
                <w:bCs/>
                <w:szCs w:val="24"/>
                <w:u w:val="single"/>
              </w:rPr>
              <w:t>Iznos faktora – mjesec t</w:t>
            </w:r>
          </w:p>
          <w:p w14:paraId="55D557AD" w14:textId="77777777" w:rsidR="006C0DAA" w:rsidRPr="00E37E07" w:rsidRDefault="00E37E07">
            <w:pPr>
              <w:spacing w:after="120" w:line="240" w:lineRule="auto"/>
              <w:jc w:val="both"/>
              <w:rPr>
                <w:rFonts w:ascii="Times New Roman" w:eastAsia="Times New Roman" w:hAnsi="Times New Roman" w:cs="Times New Roman"/>
                <w:bCs/>
                <w:szCs w:val="24"/>
              </w:rPr>
            </w:pPr>
            <w:r w:rsidRPr="00E37E07">
              <w:rPr>
                <w:rFonts w:ascii="Times New Roman" w:hAnsi="Times New Roman"/>
                <w:bCs/>
                <w:szCs w:val="24"/>
              </w:rPr>
              <w:lastRenderedPageBreak/>
              <w:t xml:space="preserve">Vrijednost COH-a na kraju trećeg (tj. zadnjeg) mjeseca u tromjesečju na koje se izvješće odnosi </w:t>
            </w:r>
          </w:p>
        </w:tc>
      </w:tr>
      <w:tr w:rsidR="006C0DAA" w:rsidRPr="00E37E07" w14:paraId="1651CEE4" w14:textId="77777777">
        <w:trPr>
          <w:trHeight w:val="1051"/>
        </w:trPr>
        <w:tc>
          <w:tcPr>
            <w:tcW w:w="1129" w:type="dxa"/>
          </w:tcPr>
          <w:p w14:paraId="06FBDE85" w14:textId="77777777" w:rsidR="006C0DAA" w:rsidRPr="00E37E07" w:rsidRDefault="00E37E07">
            <w:pPr>
              <w:spacing w:after="120" w:line="240" w:lineRule="auto"/>
              <w:jc w:val="both"/>
              <w:rPr>
                <w:rFonts w:ascii="Times New Roman" w:eastAsia="Times New Roman" w:hAnsi="Times New Roman" w:cs="Times New Roman"/>
                <w:bCs/>
                <w:szCs w:val="24"/>
              </w:rPr>
            </w:pPr>
            <w:r w:rsidRPr="00E37E07">
              <w:rPr>
                <w:rFonts w:ascii="Times New Roman" w:hAnsi="Times New Roman"/>
                <w:bCs/>
                <w:szCs w:val="24"/>
              </w:rPr>
              <w:lastRenderedPageBreak/>
              <w:t>0020</w:t>
            </w:r>
          </w:p>
        </w:tc>
        <w:tc>
          <w:tcPr>
            <w:tcW w:w="7620" w:type="dxa"/>
          </w:tcPr>
          <w:p w14:paraId="07944F97" w14:textId="77777777" w:rsidR="006C0DAA" w:rsidRPr="00E37E07" w:rsidRDefault="00E37E07">
            <w:pPr>
              <w:spacing w:after="120" w:line="240" w:lineRule="auto"/>
              <w:jc w:val="both"/>
              <w:rPr>
                <w:rFonts w:ascii="Times New Roman" w:eastAsia="Times New Roman" w:hAnsi="Times New Roman" w:cs="Times New Roman"/>
                <w:b/>
                <w:bCs/>
                <w:szCs w:val="24"/>
                <w:u w:val="single"/>
              </w:rPr>
            </w:pPr>
            <w:r w:rsidRPr="00E37E07">
              <w:rPr>
                <w:rFonts w:ascii="Times New Roman" w:hAnsi="Times New Roman"/>
                <w:b/>
                <w:bCs/>
                <w:szCs w:val="24"/>
                <w:u w:val="single"/>
              </w:rPr>
              <w:t>Iznos faktora – mjesec t-1</w:t>
            </w:r>
          </w:p>
          <w:p w14:paraId="5FBDFAF7" w14:textId="77777777" w:rsidR="006C0DAA" w:rsidRPr="00E37E07" w:rsidRDefault="00E37E07">
            <w:pPr>
              <w:spacing w:after="120" w:line="240" w:lineRule="auto"/>
              <w:jc w:val="both"/>
              <w:rPr>
                <w:rFonts w:ascii="Times New Roman" w:eastAsia="Times New Roman" w:hAnsi="Times New Roman" w:cs="Times New Roman"/>
                <w:b/>
                <w:bCs/>
                <w:szCs w:val="24"/>
                <w:u w:val="single"/>
              </w:rPr>
            </w:pPr>
            <w:r w:rsidRPr="00E37E07">
              <w:rPr>
                <w:rFonts w:ascii="Times New Roman" w:hAnsi="Times New Roman"/>
                <w:bCs/>
                <w:szCs w:val="24"/>
              </w:rPr>
              <w:t>Vrijednost COH-a na kraju drugog mjeseca u tromjesečju na koje se izvješće odnosi</w:t>
            </w:r>
          </w:p>
        </w:tc>
      </w:tr>
      <w:tr w:rsidR="006C0DAA" w:rsidRPr="00E37E07" w14:paraId="74880B21" w14:textId="77777777">
        <w:tc>
          <w:tcPr>
            <w:tcW w:w="1129" w:type="dxa"/>
          </w:tcPr>
          <w:p w14:paraId="5B7ACFA7" w14:textId="77777777" w:rsidR="006C0DAA" w:rsidRPr="00E37E07" w:rsidRDefault="00E37E07">
            <w:pPr>
              <w:spacing w:after="120" w:line="240" w:lineRule="auto"/>
              <w:jc w:val="both"/>
              <w:rPr>
                <w:rFonts w:ascii="Times New Roman" w:eastAsia="Times New Roman" w:hAnsi="Times New Roman" w:cs="Times New Roman"/>
                <w:bCs/>
                <w:szCs w:val="24"/>
              </w:rPr>
            </w:pPr>
            <w:r w:rsidRPr="00E37E07">
              <w:rPr>
                <w:rFonts w:ascii="Times New Roman" w:hAnsi="Times New Roman"/>
                <w:bCs/>
                <w:szCs w:val="24"/>
              </w:rPr>
              <w:t>0030</w:t>
            </w:r>
          </w:p>
        </w:tc>
        <w:tc>
          <w:tcPr>
            <w:tcW w:w="7620" w:type="dxa"/>
          </w:tcPr>
          <w:p w14:paraId="117D16CF" w14:textId="77777777" w:rsidR="006C0DAA" w:rsidRPr="00E37E07" w:rsidRDefault="00E37E07">
            <w:pPr>
              <w:spacing w:after="120" w:line="240" w:lineRule="auto"/>
              <w:jc w:val="both"/>
              <w:rPr>
                <w:rFonts w:ascii="Times New Roman" w:eastAsia="Times New Roman" w:hAnsi="Times New Roman" w:cs="Times New Roman"/>
                <w:b/>
                <w:bCs/>
                <w:szCs w:val="24"/>
                <w:u w:val="single"/>
              </w:rPr>
            </w:pPr>
            <w:r w:rsidRPr="00E37E07">
              <w:rPr>
                <w:rFonts w:ascii="Times New Roman" w:hAnsi="Times New Roman"/>
                <w:b/>
                <w:bCs/>
                <w:szCs w:val="24"/>
                <w:u w:val="single"/>
              </w:rPr>
              <w:t>Iznos faktora – mjesec t–2</w:t>
            </w:r>
          </w:p>
          <w:p w14:paraId="06E0AE36" w14:textId="77777777" w:rsidR="006C0DAA" w:rsidRPr="00E37E07" w:rsidRDefault="00E37E07">
            <w:pPr>
              <w:spacing w:after="120" w:line="240" w:lineRule="auto"/>
              <w:jc w:val="both"/>
              <w:rPr>
                <w:rFonts w:ascii="Times New Roman" w:eastAsia="Times New Roman" w:hAnsi="Times New Roman" w:cs="Times New Roman"/>
                <w:b/>
                <w:bCs/>
                <w:szCs w:val="24"/>
                <w:u w:val="single"/>
              </w:rPr>
            </w:pPr>
            <w:r w:rsidRPr="00E37E07">
              <w:rPr>
                <w:rFonts w:ascii="Times New Roman" w:hAnsi="Times New Roman"/>
                <w:bCs/>
                <w:szCs w:val="24"/>
              </w:rPr>
              <w:t>Vrijednost COH-a na kraju prvog mjeseca u tromjesečju na koje se izvješće odnosi</w:t>
            </w:r>
          </w:p>
        </w:tc>
      </w:tr>
    </w:tbl>
    <w:p w14:paraId="221FF610" w14:textId="77777777" w:rsidR="006C0DAA" w:rsidRPr="00E37E07" w:rsidRDefault="00E37E0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0" w:name="_Toc88218414"/>
      <w:r w:rsidRPr="00E37E07">
        <w:rPr>
          <w:rFonts w:ascii="Times New Roman" w:hAnsi="Times New Roman"/>
          <w:sz w:val="24"/>
          <w:szCs w:val="24"/>
          <w:u w:val="single"/>
        </w:rPr>
        <w:t>3.9. I 06.08 – PROSJEČNA VRIJEDNOST UKUPNIH DNEVNIH OBRAĐENIH NALOGA KLIJENTA (I 6.8)</w:t>
      </w:r>
      <w:bookmarkEnd w:id="70"/>
    </w:p>
    <w:p w14:paraId="3F2F8E11" w14:textId="77777777" w:rsidR="006C0DAA" w:rsidRPr="00E37E07" w:rsidRDefault="00E37E0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1" w:name="_Toc88218415"/>
      <w:r w:rsidRPr="00E37E07">
        <w:rPr>
          <w:rFonts w:ascii="Times New Roman" w:hAnsi="Times New Roman"/>
          <w:sz w:val="24"/>
          <w:szCs w:val="24"/>
        </w:rPr>
        <w:t>3.9.1</w:t>
      </w:r>
      <w:r w:rsidRPr="00E37E07">
        <w:rPr>
          <w:rFonts w:ascii="Times New Roman" w:hAnsi="Times New Roman"/>
          <w:sz w:val="24"/>
          <w:szCs w:val="24"/>
        </w:rPr>
        <w:tab/>
      </w:r>
      <w:r w:rsidRPr="00E37E07">
        <w:rPr>
          <w:rFonts w:ascii="Times New Roman" w:hAnsi="Times New Roman"/>
          <w:sz w:val="24"/>
          <w:szCs w:val="24"/>
          <w:u w:val="single"/>
        </w:rPr>
        <w:t>Upute za specifične pozicije</w:t>
      </w:r>
      <w:bookmarkEnd w:id="7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C0DAA" w:rsidRPr="00E37E07" w14:paraId="5BE99DAF" w14:textId="77777777">
        <w:tc>
          <w:tcPr>
            <w:tcW w:w="1129" w:type="dxa"/>
            <w:shd w:val="clear" w:color="auto" w:fill="D9D9D9"/>
          </w:tcPr>
          <w:p w14:paraId="1E69FC3E"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Redak</w:t>
            </w:r>
          </w:p>
        </w:tc>
        <w:tc>
          <w:tcPr>
            <w:tcW w:w="7620" w:type="dxa"/>
            <w:shd w:val="clear" w:color="auto" w:fill="D9D9D9"/>
          </w:tcPr>
          <w:p w14:paraId="62FE96BC"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Pravna osnova i upute</w:t>
            </w:r>
          </w:p>
        </w:tc>
      </w:tr>
      <w:tr w:rsidR="006C0DAA" w:rsidRPr="00E37E07" w14:paraId="14961C82" w14:textId="77777777">
        <w:tc>
          <w:tcPr>
            <w:tcW w:w="1129" w:type="dxa"/>
          </w:tcPr>
          <w:p w14:paraId="2C53384A"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FA33013"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xml:space="preserve">Ukupni dnevni </w:t>
            </w:r>
            <w:r w:rsidRPr="00E37E07">
              <w:rPr>
                <w:rFonts w:ascii="Times New Roman" w:hAnsi="Times New Roman"/>
                <w:b/>
                <w:bCs/>
                <w:u w:val="single"/>
              </w:rPr>
              <w:t>obrađeni nalozi klijenta – novčane transakcije</w:t>
            </w:r>
          </w:p>
          <w:p w14:paraId="0277FD6E"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Članak 4. stavak 1. točka 30. Uredbe (EU) 2019/2033</w:t>
            </w:r>
          </w:p>
          <w:p w14:paraId="50422519"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Prosječna vrijednost ukupnih dnevnih obrađenih naloga klijenta (novčane transakcije) u relevantnom mjesecu kako je navedeno u članku 20. stavku 1. Uredbe (EU</w:t>
            </w:r>
            <w:r w:rsidRPr="00E37E07">
              <w:rPr>
                <w:rFonts w:ascii="Times New Roman" w:hAnsi="Times New Roman"/>
                <w:bCs/>
              </w:rPr>
              <w:t>) 2019/2033, koja se mjeri u skladu s člankom 20. stavkom 2. točkom (a) Uredbe (EU) 2019/2033.</w:t>
            </w:r>
          </w:p>
        </w:tc>
      </w:tr>
      <w:tr w:rsidR="006C0DAA" w:rsidRPr="00E37E07" w14:paraId="00A52E22" w14:textId="77777777">
        <w:tc>
          <w:tcPr>
            <w:tcW w:w="1129" w:type="dxa"/>
          </w:tcPr>
          <w:p w14:paraId="5DD06B56"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FB2A05B"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Od čega: izvršavanje naloga klijenta</w:t>
            </w:r>
          </w:p>
          <w:p w14:paraId="22BE7BEE"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Prosječna vrijednost ukupnih dnevnih obrađenih naloga klijenta za novčane transakcije u vezi s kojima </w:t>
            </w:r>
            <w:r w:rsidRPr="00E37E07">
              <w:rPr>
                <w:rFonts w:ascii="Times New Roman" w:hAnsi="Times New Roman"/>
                <w:bCs/>
              </w:rPr>
              <w:t>investicijsko društvo obavlja usluge izvršavanja naloga klijenta za račun klijenta kako je definirano u članku 4. stavku 1. točki 5. Direktive 2014/65/EU</w:t>
            </w:r>
          </w:p>
        </w:tc>
      </w:tr>
      <w:tr w:rsidR="006C0DAA" w:rsidRPr="00E37E07" w14:paraId="1F54EB51" w14:textId="77777777">
        <w:tc>
          <w:tcPr>
            <w:tcW w:w="1129" w:type="dxa"/>
          </w:tcPr>
          <w:p w14:paraId="5BE78B91"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CE222E0"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Od čega: zaprimanje i prijenos naloga klijenta</w:t>
            </w:r>
          </w:p>
          <w:p w14:paraId="6A60D193" w14:textId="77777777" w:rsidR="006C0DAA" w:rsidRPr="00E37E07" w:rsidRDefault="00E37E07">
            <w:pPr>
              <w:spacing w:after="120" w:line="240" w:lineRule="auto"/>
              <w:jc w:val="both"/>
              <w:rPr>
                <w:rFonts w:ascii="Times New Roman" w:eastAsia="Times New Roman" w:hAnsi="Times New Roman" w:cs="Times New Roman"/>
                <w:b/>
                <w:bCs/>
              </w:rPr>
            </w:pPr>
            <w:r w:rsidRPr="00E37E07">
              <w:rPr>
                <w:rFonts w:ascii="Times New Roman" w:hAnsi="Times New Roman"/>
                <w:bCs/>
              </w:rPr>
              <w:t>Prosječna vrijednost ukupnih dnevnih obrađenih na</w:t>
            </w:r>
            <w:r w:rsidRPr="00E37E07">
              <w:rPr>
                <w:rFonts w:ascii="Times New Roman" w:hAnsi="Times New Roman"/>
                <w:bCs/>
              </w:rPr>
              <w:t>loga klijenta za novčane transakcije u vezi s kojima investicijsko društvo obavlja usluge zaprimanja i prijenosa naloga klijenta</w:t>
            </w:r>
          </w:p>
        </w:tc>
      </w:tr>
      <w:tr w:rsidR="006C0DAA" w:rsidRPr="00E37E07" w14:paraId="4D75D41A" w14:textId="77777777">
        <w:tc>
          <w:tcPr>
            <w:tcW w:w="1129" w:type="dxa"/>
          </w:tcPr>
          <w:p w14:paraId="17D44005"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4A8BF21"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Ukupni dnevni obrađeni nalozi klijenta – izvedenice</w:t>
            </w:r>
          </w:p>
          <w:p w14:paraId="18B9417D"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4. stavak 1. točka 30. Uredbe (EU) 2019/2033</w:t>
            </w:r>
          </w:p>
          <w:p w14:paraId="16120C7D"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Prosječna vrijedn</w:t>
            </w:r>
            <w:r w:rsidRPr="00E37E07">
              <w:rPr>
                <w:rFonts w:ascii="Times New Roman" w:hAnsi="Times New Roman"/>
                <w:bCs/>
              </w:rPr>
              <w:t>ost ukupnih dnevnih obrađenih naloga klijenta (izvedenice) u relevantnom mjesecu kako je navedeno u članku 20. stavku 1. Uredbe (EU) 2019/2033, koja se mjeri u skladu s člankom 20. stavkom 2. točkom (b) Uredbe (EU) 2019/2033.</w:t>
            </w:r>
          </w:p>
        </w:tc>
      </w:tr>
      <w:tr w:rsidR="006C0DAA" w:rsidRPr="00E37E07" w14:paraId="0747C16A" w14:textId="77777777">
        <w:tc>
          <w:tcPr>
            <w:tcW w:w="1129" w:type="dxa"/>
          </w:tcPr>
          <w:p w14:paraId="3C56C83B"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84C50A7"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Od čega: izvršavanje nal</w:t>
            </w:r>
            <w:r w:rsidRPr="00E37E07">
              <w:rPr>
                <w:rFonts w:ascii="Times New Roman" w:hAnsi="Times New Roman"/>
                <w:b/>
                <w:bCs/>
                <w:u w:val="single"/>
              </w:rPr>
              <w:t>oga klijenta</w:t>
            </w:r>
          </w:p>
          <w:p w14:paraId="52BF12F9" w14:textId="77777777" w:rsidR="006C0DAA" w:rsidRPr="00E37E07" w:rsidRDefault="00E37E07">
            <w:pPr>
              <w:spacing w:after="120" w:line="240" w:lineRule="auto"/>
              <w:jc w:val="both"/>
              <w:rPr>
                <w:rFonts w:ascii="Times New Roman" w:eastAsia="Times New Roman" w:hAnsi="Times New Roman" w:cs="Times New Roman"/>
                <w:b/>
                <w:bCs/>
              </w:rPr>
            </w:pPr>
            <w:r w:rsidRPr="00E37E07">
              <w:rPr>
                <w:rFonts w:ascii="Times New Roman" w:hAnsi="Times New Roman"/>
                <w:bCs/>
              </w:rPr>
              <w:t>Prosječna vrijednost ukupnih dnevnih obrađenih naloga klijenta za trgovanje izvedenicama u vezi s kojima investicijsko društvo obavlja usluge izvršavanja naloga klijenta za račun klijenta kako je definirano u članku 4. stavku 1. točki 5. Direk</w:t>
            </w:r>
            <w:r w:rsidRPr="00E37E07">
              <w:rPr>
                <w:rFonts w:ascii="Times New Roman" w:hAnsi="Times New Roman"/>
                <w:bCs/>
              </w:rPr>
              <w:t>tive 2014/65/EU</w:t>
            </w:r>
          </w:p>
        </w:tc>
      </w:tr>
      <w:tr w:rsidR="006C0DAA" w:rsidRPr="00E37E07" w14:paraId="42DC4E52" w14:textId="77777777">
        <w:tc>
          <w:tcPr>
            <w:tcW w:w="1129" w:type="dxa"/>
          </w:tcPr>
          <w:p w14:paraId="66D3A2A6"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0139B69"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Od čega: zaprimanje i prijenos naloga klijenta</w:t>
            </w:r>
          </w:p>
          <w:p w14:paraId="6B3DF491" w14:textId="77777777" w:rsidR="006C0DAA" w:rsidRPr="00E37E07" w:rsidRDefault="00E37E07">
            <w:pPr>
              <w:spacing w:after="120" w:line="240" w:lineRule="auto"/>
              <w:jc w:val="both"/>
              <w:rPr>
                <w:rFonts w:ascii="Times New Roman" w:eastAsia="Times New Roman" w:hAnsi="Times New Roman" w:cs="Times New Roman"/>
                <w:b/>
                <w:bCs/>
              </w:rPr>
            </w:pPr>
            <w:r w:rsidRPr="00E37E07">
              <w:rPr>
                <w:rFonts w:ascii="Times New Roman" w:hAnsi="Times New Roman"/>
                <w:bCs/>
              </w:rPr>
              <w:t xml:space="preserve">Prosječna vrijednost ukupnih dnevnih obrađenih naloga klijenta za trgovanje izvedenicama u vezi s kojima investicijsko društvo obavlja usluge zaprimanja i prijenosa naloga </w:t>
            </w:r>
            <w:r w:rsidRPr="00E37E07">
              <w:rPr>
                <w:rFonts w:ascii="Times New Roman" w:hAnsi="Times New Roman"/>
                <w:bCs/>
              </w:rPr>
              <w:t>klijenta</w:t>
            </w:r>
          </w:p>
        </w:tc>
      </w:tr>
    </w:tbl>
    <w:p w14:paraId="18B56C25" w14:textId="77777777" w:rsidR="006C0DAA" w:rsidRPr="00E37E07" w:rsidRDefault="006C0DAA">
      <w:pPr>
        <w:keepNext/>
        <w:spacing w:before="240" w:after="240" w:line="240" w:lineRule="auto"/>
        <w:ind w:left="357" w:hanging="215"/>
        <w:jc w:val="both"/>
        <w:outlineLvl w:val="1"/>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C0DAA" w:rsidRPr="00E37E07" w14:paraId="12C8FF41" w14:textId="77777777">
        <w:tc>
          <w:tcPr>
            <w:tcW w:w="1129" w:type="dxa"/>
            <w:shd w:val="clear" w:color="auto" w:fill="D9D9D9"/>
          </w:tcPr>
          <w:p w14:paraId="03027E71"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Stupci</w:t>
            </w:r>
          </w:p>
        </w:tc>
        <w:tc>
          <w:tcPr>
            <w:tcW w:w="7620" w:type="dxa"/>
            <w:shd w:val="clear" w:color="auto" w:fill="D9D9D9"/>
          </w:tcPr>
          <w:p w14:paraId="11B974F8"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Pravna osnova i upute</w:t>
            </w:r>
          </w:p>
        </w:tc>
      </w:tr>
      <w:tr w:rsidR="006C0DAA" w:rsidRPr="00E37E07" w14:paraId="285A6EB5" w14:textId="77777777">
        <w:tc>
          <w:tcPr>
            <w:tcW w:w="1129" w:type="dxa"/>
          </w:tcPr>
          <w:p w14:paraId="43F50AB9"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0010 – 0050</w:t>
            </w:r>
          </w:p>
        </w:tc>
        <w:tc>
          <w:tcPr>
            <w:tcW w:w="7620" w:type="dxa"/>
          </w:tcPr>
          <w:p w14:paraId="2AA9383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
                <w:bCs/>
                <w:u w:val="single"/>
              </w:rPr>
              <w:t>Mjesečni prosjeci ukupnih dnevnih vrijednosti obrađenih naloga klijenta</w:t>
            </w:r>
          </w:p>
          <w:p w14:paraId="38DD999A"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 xml:space="preserve">Investicijska društva za svaki mjesec iskazuju mjesečnu prosječnu vrijednost ukupnih dnevnih naloga klijenta obrađenih u </w:t>
            </w:r>
            <w:r w:rsidRPr="00E37E07">
              <w:rPr>
                <w:rFonts w:ascii="Times New Roman" w:hAnsi="Times New Roman"/>
                <w:bCs/>
              </w:rPr>
              <w:t>skladu s člankom 20. stavkom 1.</w:t>
            </w:r>
          </w:p>
        </w:tc>
      </w:tr>
    </w:tbl>
    <w:p w14:paraId="3055CD5A" w14:textId="77777777" w:rsidR="006C0DAA" w:rsidRPr="00E37E07" w:rsidRDefault="00E37E0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2" w:name="_Toc88218416"/>
      <w:r w:rsidRPr="00E37E07">
        <w:rPr>
          <w:rFonts w:ascii="Times New Roman" w:hAnsi="Times New Roman"/>
          <w:sz w:val="24"/>
          <w:szCs w:val="24"/>
          <w:u w:val="single"/>
        </w:rPr>
        <w:t>3.10. I 06.09 – FAKTOR K ZA RIZIK NETO POZICIJA – DODATNI PODACI (I 6.9)</w:t>
      </w:r>
      <w:bookmarkEnd w:id="72"/>
    </w:p>
    <w:p w14:paraId="66B3C6FE" w14:textId="77777777" w:rsidR="006C0DAA" w:rsidRPr="00E37E07" w:rsidRDefault="00E37E07">
      <w:pPr>
        <w:keepNext/>
        <w:spacing w:before="240" w:after="240" w:line="240" w:lineRule="auto"/>
        <w:ind w:left="357" w:hanging="215"/>
        <w:jc w:val="both"/>
        <w:outlineLvl w:val="1"/>
      </w:pPr>
      <w:bookmarkStart w:id="73" w:name="_Toc88218417"/>
      <w:r w:rsidRPr="00E37E07">
        <w:rPr>
          <w:rFonts w:ascii="Times New Roman" w:hAnsi="Times New Roman"/>
          <w:sz w:val="24"/>
          <w:szCs w:val="24"/>
        </w:rPr>
        <w:t>3.10.1</w:t>
      </w:r>
      <w:r w:rsidRPr="00E37E07">
        <w:rPr>
          <w:rFonts w:ascii="Times New Roman" w:hAnsi="Times New Roman"/>
          <w:sz w:val="24"/>
          <w:szCs w:val="24"/>
        </w:rPr>
        <w:tab/>
      </w:r>
      <w:r w:rsidRPr="00E37E07">
        <w:rPr>
          <w:rFonts w:ascii="Times New Roman" w:hAnsi="Times New Roman"/>
          <w:sz w:val="24"/>
          <w:szCs w:val="24"/>
          <w:u w:val="single"/>
        </w:rPr>
        <w:t>Upute za specifične pozicije</w:t>
      </w:r>
      <w:bookmarkEnd w:id="7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C0DAA" w:rsidRPr="00E37E07" w14:paraId="53C29A29" w14:textId="77777777">
        <w:tc>
          <w:tcPr>
            <w:tcW w:w="1129" w:type="dxa"/>
            <w:shd w:val="clear" w:color="auto" w:fill="D9D9D9"/>
          </w:tcPr>
          <w:p w14:paraId="19E5DB30"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Redak</w:t>
            </w:r>
          </w:p>
        </w:tc>
        <w:tc>
          <w:tcPr>
            <w:tcW w:w="7620" w:type="dxa"/>
            <w:shd w:val="clear" w:color="auto" w:fill="D9D9D9"/>
          </w:tcPr>
          <w:p w14:paraId="22167CE8"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Pravna osnova i upute</w:t>
            </w:r>
          </w:p>
        </w:tc>
      </w:tr>
      <w:tr w:rsidR="006C0DAA" w:rsidRPr="00E37E07" w14:paraId="207E8CC9" w14:textId="77777777">
        <w:tc>
          <w:tcPr>
            <w:tcW w:w="1129" w:type="dxa"/>
          </w:tcPr>
          <w:p w14:paraId="6BA0F47A"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8CFE781"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Ukupni standardizirani pristup</w:t>
            </w:r>
          </w:p>
          <w:p w14:paraId="7AF10B03"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Članak 22. točka (a) Uredbe </w:t>
            </w:r>
            <w:r w:rsidRPr="00E37E07">
              <w:rPr>
                <w:rFonts w:ascii="Times New Roman" w:hAnsi="Times New Roman"/>
                <w:bCs/>
              </w:rPr>
              <w:t>(EU) 2019/2033</w:t>
            </w:r>
          </w:p>
          <w:p w14:paraId="0C40796A"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Pozicije za koje je kapitalni zahtjev utvrđen u skladu s dijelom trećim glavom IV. poglavljima 2., 3. ili 4. Uredbe (EU) br. 575/2013</w:t>
            </w:r>
          </w:p>
        </w:tc>
      </w:tr>
      <w:tr w:rsidR="006C0DAA" w:rsidRPr="00E37E07" w14:paraId="1D71F610" w14:textId="77777777">
        <w:tc>
          <w:tcPr>
            <w:tcW w:w="1129" w:type="dxa"/>
          </w:tcPr>
          <w:p w14:paraId="31EBB41E"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A69A61C"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Pozicijski rizik</w:t>
            </w:r>
          </w:p>
          <w:p w14:paraId="02165764"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22. točka (a) i članak 21. stavak 3. Uredbe (EU) 2019/2033</w:t>
            </w:r>
          </w:p>
          <w:p w14:paraId="2E235B4A"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Pozicije iz </w:t>
            </w:r>
            <w:r w:rsidRPr="00E37E07">
              <w:rPr>
                <w:rFonts w:ascii="Times New Roman" w:hAnsi="Times New Roman"/>
                <w:bCs/>
              </w:rPr>
              <w:t>knjige trgovanja za koje je kapitalni zahtjev za pozicijski rizik utvrđen u skladu s dijelom trećim glavom IV. poglavljem 2. Uredbe (EU) br. 575/2013</w:t>
            </w:r>
          </w:p>
        </w:tc>
      </w:tr>
      <w:tr w:rsidR="006C0DAA" w:rsidRPr="00E37E07" w14:paraId="17CFDE72" w14:textId="77777777">
        <w:tc>
          <w:tcPr>
            <w:tcW w:w="1129" w:type="dxa"/>
          </w:tcPr>
          <w:p w14:paraId="37F97591"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8200687"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Vlasnički instrumenti</w:t>
            </w:r>
          </w:p>
          <w:p w14:paraId="7FA7547D" w14:textId="77777777" w:rsidR="006C0DAA" w:rsidRPr="00E37E07" w:rsidRDefault="00E37E07">
            <w:pPr>
              <w:spacing w:after="120" w:line="240" w:lineRule="auto"/>
              <w:jc w:val="both"/>
              <w:rPr>
                <w:rFonts w:ascii="Times New Roman" w:eastAsia="Times New Roman" w:hAnsi="Times New Roman" w:cs="Times New Roman"/>
                <w:b/>
                <w:bCs/>
              </w:rPr>
            </w:pPr>
            <w:r w:rsidRPr="00E37E07">
              <w:rPr>
                <w:rFonts w:ascii="Times New Roman" w:hAnsi="Times New Roman"/>
                <w:bCs/>
              </w:rPr>
              <w:t>Članak 22. točka (a) i članak 21. stavak 3. Uredbe (EU) 2019/2033</w:t>
            </w:r>
          </w:p>
          <w:p w14:paraId="51612B88" w14:textId="77777777" w:rsidR="006C0DAA" w:rsidRPr="00E37E07" w:rsidRDefault="00E37E07">
            <w:pPr>
              <w:pStyle w:val="Default"/>
              <w:jc w:val="both"/>
              <w:rPr>
                <w:sz w:val="22"/>
                <w:szCs w:val="22"/>
              </w:rPr>
            </w:pPr>
            <w:r w:rsidRPr="00E37E07">
              <w:rPr>
                <w:sz w:val="22"/>
                <w:szCs w:val="22"/>
              </w:rPr>
              <w:t xml:space="preserve">Pozicije iz </w:t>
            </w:r>
            <w:r w:rsidRPr="00E37E07">
              <w:rPr>
                <w:sz w:val="22"/>
                <w:szCs w:val="22"/>
              </w:rPr>
              <w:t xml:space="preserve">knjige trgovanja u vlasničkim instrumentima za koje je kapitalni zahtjev utvrđen u skladu s dijelom trećim glavom IV. poglavljem 2. odjeljkom 3. Uredbe (EU) br. 575/2013 </w:t>
            </w:r>
          </w:p>
        </w:tc>
      </w:tr>
      <w:tr w:rsidR="006C0DAA" w:rsidRPr="00E37E07" w14:paraId="393FE817" w14:textId="77777777">
        <w:tc>
          <w:tcPr>
            <w:tcW w:w="1129" w:type="dxa"/>
          </w:tcPr>
          <w:p w14:paraId="1C956D5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B8F9538"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Dužnički instrumenti</w:t>
            </w:r>
          </w:p>
          <w:p w14:paraId="3E5C4230" w14:textId="77777777" w:rsidR="006C0DAA" w:rsidRPr="00E37E07" w:rsidRDefault="00E37E07">
            <w:pPr>
              <w:spacing w:after="120" w:line="240" w:lineRule="auto"/>
              <w:jc w:val="both"/>
              <w:rPr>
                <w:rFonts w:ascii="Times New Roman" w:eastAsia="Times New Roman" w:hAnsi="Times New Roman" w:cs="Times New Roman"/>
                <w:b/>
                <w:bCs/>
              </w:rPr>
            </w:pPr>
            <w:r w:rsidRPr="00E37E07">
              <w:rPr>
                <w:rFonts w:ascii="Times New Roman" w:hAnsi="Times New Roman"/>
                <w:bCs/>
              </w:rPr>
              <w:t xml:space="preserve">Članak 22. točka (a) i članak 21. stavak 3. Uredbe </w:t>
            </w:r>
            <w:r w:rsidRPr="00E37E07">
              <w:rPr>
                <w:rFonts w:ascii="Times New Roman" w:hAnsi="Times New Roman"/>
                <w:bCs/>
              </w:rPr>
              <w:t>(EU) 2019/2033</w:t>
            </w:r>
          </w:p>
          <w:p w14:paraId="7463F1CB"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rPr>
              <w:t>Pozicije iz knjige trgovanja u dužničkim instrumentima za koje je kapitalni zahtjev utvrđen u skladu s dijelom trećim glavom IV. poglavljem 2. odjeljkom 2. Uredbe (EU) br. 575/2013</w:t>
            </w:r>
          </w:p>
        </w:tc>
      </w:tr>
      <w:tr w:rsidR="006C0DAA" w:rsidRPr="00E37E07" w14:paraId="2BF2C2C3" w14:textId="77777777">
        <w:tc>
          <w:tcPr>
            <w:tcW w:w="1129" w:type="dxa"/>
          </w:tcPr>
          <w:p w14:paraId="63B7913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44A1903"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Od čega: sekuritizacije</w:t>
            </w:r>
          </w:p>
          <w:p w14:paraId="79AE4680" w14:textId="77777777" w:rsidR="006C0DAA" w:rsidRPr="00E37E07" w:rsidRDefault="00E37E07">
            <w:pPr>
              <w:spacing w:after="120" w:line="240" w:lineRule="auto"/>
              <w:jc w:val="both"/>
              <w:rPr>
                <w:rFonts w:ascii="Times New Roman" w:hAnsi="Times New Roman" w:cs="Times New Roman"/>
              </w:rPr>
            </w:pPr>
            <w:r w:rsidRPr="00E37E07">
              <w:rPr>
                <w:rFonts w:ascii="Times New Roman" w:hAnsi="Times New Roman"/>
                <w:bCs/>
              </w:rPr>
              <w:t xml:space="preserve">Članak 22. točka (a) i </w:t>
            </w:r>
            <w:r w:rsidRPr="00E37E07">
              <w:rPr>
                <w:rFonts w:ascii="Times New Roman" w:hAnsi="Times New Roman"/>
                <w:bCs/>
              </w:rPr>
              <w:t>članak 21. stavak 3. Uredbe (EU) 2019/2033</w:t>
            </w:r>
          </w:p>
          <w:p w14:paraId="2DD3A878"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rPr>
              <w:t>Pozicije u sekuritizacijskim instrumentima iz članka 337. Uredbe (EU) br. 575/2013 i pozicije u korelacijskom portfelju namijenjenom trgovanju iz članka 338. Uredbe (EU) br. 575/2013.</w:t>
            </w:r>
          </w:p>
        </w:tc>
      </w:tr>
      <w:tr w:rsidR="006C0DAA" w:rsidRPr="00E37E07" w14:paraId="03E51FE4" w14:textId="77777777">
        <w:tc>
          <w:tcPr>
            <w:tcW w:w="1129" w:type="dxa"/>
            <w:tcBorders>
              <w:bottom w:val="single" w:sz="4" w:space="0" w:color="auto"/>
            </w:tcBorders>
          </w:tcPr>
          <w:p w14:paraId="1B266B0A"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0055</w:t>
            </w:r>
          </w:p>
        </w:tc>
        <w:tc>
          <w:tcPr>
            <w:tcW w:w="7620" w:type="dxa"/>
            <w:tcBorders>
              <w:top w:val="nil"/>
              <w:left w:val="single" w:sz="4" w:space="0" w:color="auto"/>
              <w:bottom w:val="single" w:sz="4" w:space="0" w:color="auto"/>
              <w:right w:val="single" w:sz="4" w:space="0" w:color="auto"/>
            </w:tcBorders>
            <w:shd w:val="clear" w:color="auto" w:fill="auto"/>
            <w:vAlign w:val="bottom"/>
          </w:tcPr>
          <w:p w14:paraId="2BE51AF4"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Poseban pristup pozicij</w:t>
            </w:r>
            <w:r w:rsidRPr="00E37E07">
              <w:rPr>
                <w:rFonts w:ascii="Times New Roman" w:hAnsi="Times New Roman"/>
                <w:b/>
                <w:bCs/>
                <w:u w:val="single"/>
              </w:rPr>
              <w:t>skom riziku za subjekte za zajednička ulaganja (CIU-ovi)</w:t>
            </w:r>
          </w:p>
          <w:p w14:paraId="0F47BE96" w14:textId="77777777" w:rsidR="006C0DAA" w:rsidRPr="00E37E07" w:rsidRDefault="00E37E07">
            <w:pPr>
              <w:spacing w:after="120" w:line="240" w:lineRule="auto"/>
              <w:jc w:val="both"/>
              <w:rPr>
                <w:rFonts w:ascii="Times New Roman" w:hAnsi="Times New Roman" w:cs="Times New Roman"/>
              </w:rPr>
            </w:pPr>
            <w:r w:rsidRPr="00E37E07">
              <w:rPr>
                <w:rFonts w:ascii="Times New Roman" w:hAnsi="Times New Roman"/>
                <w:bCs/>
              </w:rPr>
              <w:t>Članak 22. točka (a) i članak 21. stavak 3. Uredbe (EU) 2019/2033</w:t>
            </w:r>
          </w:p>
          <w:p w14:paraId="4E673FF5" w14:textId="77777777" w:rsidR="006C0DAA" w:rsidRPr="00E37E07" w:rsidRDefault="00E37E07">
            <w:pPr>
              <w:spacing w:after="120" w:line="240" w:lineRule="auto"/>
              <w:jc w:val="both"/>
              <w:rPr>
                <w:rFonts w:ascii="Times New Roman" w:hAnsi="Times New Roman" w:cs="Times New Roman"/>
              </w:rPr>
            </w:pPr>
            <w:r w:rsidRPr="00E37E07">
              <w:rPr>
                <w:rFonts w:ascii="Times New Roman" w:hAnsi="Times New Roman"/>
              </w:rPr>
              <w:t xml:space="preserve">Ukupni iznos izloženosti riziku za pozicije u CIU-u ako se kapitalni zahtjevi izračunavaju u skladu s člankom 348. stavkom 1. Uredbe </w:t>
            </w:r>
            <w:r w:rsidRPr="00E37E07">
              <w:rPr>
                <w:rFonts w:ascii="Times New Roman" w:hAnsi="Times New Roman"/>
              </w:rPr>
              <w:t>(EU) br. 575/2013 odmah ili kao posljedica gornje granice utvrđene u članku 350. stavku 3. točki (c) Uredbe (EU) br. 575/2013. U Uredbi (EU) br. 575/2013 te pozicije nisu izričito raspoređene u kamatni rizik ili rizik vlasničkih instrumenata.</w:t>
            </w:r>
          </w:p>
          <w:p w14:paraId="6A0D6E12" w14:textId="77777777" w:rsidR="006C0DAA" w:rsidRPr="00E37E07" w:rsidRDefault="00E37E07">
            <w:pPr>
              <w:spacing w:after="120" w:line="240" w:lineRule="auto"/>
              <w:jc w:val="both"/>
              <w:rPr>
                <w:rFonts w:ascii="Times New Roman" w:hAnsi="Times New Roman" w:cs="Times New Roman"/>
              </w:rPr>
            </w:pPr>
            <w:r w:rsidRPr="00E37E07">
              <w:rPr>
                <w:rFonts w:ascii="Times New Roman" w:hAnsi="Times New Roman"/>
              </w:rPr>
              <w:lastRenderedPageBreak/>
              <w:t>Ako se primje</w:t>
            </w:r>
            <w:r w:rsidRPr="00E37E07">
              <w:rPr>
                <w:rFonts w:ascii="Times New Roman" w:hAnsi="Times New Roman"/>
              </w:rPr>
              <w:t>njuje poseban pristup u skladu s prvom rečenicom članka 348. stavka 1. Uredbe (EU) br. 575/2013, iskazuje se 32 % neto pozicije relevantne izloženosti CIU-a.</w:t>
            </w:r>
          </w:p>
          <w:p w14:paraId="2044A11A"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rPr>
              <w:t xml:space="preserve">Ako se primjenjuje poseban pristup u skladu s drugom rečenicom članka 348. stavka 1. Uredbe </w:t>
            </w:r>
            <w:r w:rsidRPr="00E37E07">
              <w:rPr>
                <w:rFonts w:ascii="Times New Roman" w:hAnsi="Times New Roman"/>
              </w:rPr>
              <w:t>(EU) br. 575/2013, iskazuje se manje od 32 % neto pozicije relevantne izloženosti CIU-a i razlika između 40 % navedene neto pozicije i kapitalnih zahtjeva koji proizlaze iz valutnog rizika povezanog s navedenom izloženosti CIU-a, ovisno o tome što je niže.</w:t>
            </w:r>
          </w:p>
        </w:tc>
      </w:tr>
      <w:tr w:rsidR="006C0DAA" w:rsidRPr="00E37E07" w14:paraId="2413530C" w14:textId="77777777">
        <w:tc>
          <w:tcPr>
            <w:tcW w:w="1129" w:type="dxa"/>
            <w:tcBorders>
              <w:bottom w:val="single" w:sz="4" w:space="0" w:color="auto"/>
            </w:tcBorders>
          </w:tcPr>
          <w:p w14:paraId="08051F36"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lastRenderedPageBreak/>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78B02A1"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Valutni rizik</w:t>
            </w:r>
          </w:p>
          <w:p w14:paraId="3AF0B42E" w14:textId="77777777" w:rsidR="006C0DAA" w:rsidRPr="00E37E07" w:rsidRDefault="00E37E07">
            <w:pPr>
              <w:spacing w:after="120" w:line="240" w:lineRule="auto"/>
              <w:jc w:val="both"/>
              <w:rPr>
                <w:rFonts w:ascii="Times New Roman" w:eastAsia="Times New Roman" w:hAnsi="Times New Roman" w:cs="Times New Roman"/>
                <w:b/>
                <w:bCs/>
              </w:rPr>
            </w:pPr>
            <w:r w:rsidRPr="00E37E07">
              <w:rPr>
                <w:rFonts w:ascii="Times New Roman" w:hAnsi="Times New Roman"/>
                <w:bCs/>
              </w:rPr>
              <w:t>Članak 22. točka (a) i članak 21. stavci 3. i 4. Uredbe (EU) 2019/2033</w:t>
            </w:r>
          </w:p>
          <w:p w14:paraId="3F3D0C72"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rPr>
              <w:t>Pozicije podložne valutnom riziku za koje je kapitalni zahtjev utvrđen u skladu s dijelom trećim glavom IV. poglavljem 3. Uredbe (EU) br. 575/2013</w:t>
            </w:r>
          </w:p>
        </w:tc>
      </w:tr>
      <w:tr w:rsidR="006C0DAA" w:rsidRPr="00E37E07" w14:paraId="7F358A72" w14:textId="77777777">
        <w:tc>
          <w:tcPr>
            <w:tcW w:w="1129" w:type="dxa"/>
            <w:tcBorders>
              <w:top w:val="single" w:sz="4" w:space="0" w:color="auto"/>
            </w:tcBorders>
          </w:tcPr>
          <w:p w14:paraId="1465C0D7"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EA3A48A"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Robni rizik</w:t>
            </w:r>
          </w:p>
          <w:p w14:paraId="06EC10F6" w14:textId="77777777" w:rsidR="006C0DAA" w:rsidRPr="00E37E07" w:rsidRDefault="00E37E07">
            <w:pPr>
              <w:spacing w:after="120" w:line="240" w:lineRule="auto"/>
              <w:jc w:val="both"/>
              <w:rPr>
                <w:rFonts w:ascii="Times New Roman" w:eastAsia="Times New Roman" w:hAnsi="Times New Roman" w:cs="Times New Roman"/>
                <w:b/>
                <w:bCs/>
              </w:rPr>
            </w:pPr>
            <w:r w:rsidRPr="00E37E07">
              <w:rPr>
                <w:rFonts w:ascii="Times New Roman" w:hAnsi="Times New Roman"/>
                <w:bCs/>
              </w:rPr>
              <w:t>Članak 22. točka (a) i članak 21. stavci 3. i 4. Uredbe (EU) 2019/2033</w:t>
            </w:r>
          </w:p>
          <w:p w14:paraId="29536424"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rPr>
              <w:t>Pozicije podložne robnom riziku za koje je kapitalni zahtjev utvrđen u skladu s dijelom trećim glavom IV. poglavljem 4. Uredbe (EU) br. 575/2013</w:t>
            </w:r>
          </w:p>
        </w:tc>
      </w:tr>
      <w:tr w:rsidR="006C0DAA" w:rsidRPr="00E37E07" w14:paraId="0EBC5457" w14:textId="77777777">
        <w:tc>
          <w:tcPr>
            <w:tcW w:w="1129" w:type="dxa"/>
            <w:tcBorders>
              <w:top w:val="single" w:sz="4" w:space="0" w:color="auto"/>
              <w:left w:val="single" w:sz="4" w:space="0" w:color="auto"/>
              <w:bottom w:val="single" w:sz="4" w:space="0" w:color="auto"/>
              <w:right w:val="single" w:sz="4" w:space="0" w:color="auto"/>
            </w:tcBorders>
          </w:tcPr>
          <w:p w14:paraId="440D41A8"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4B9CA8D1"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Pristup internih modela</w:t>
            </w:r>
          </w:p>
          <w:p w14:paraId="54052B26" w14:textId="77777777" w:rsidR="006C0DAA" w:rsidRPr="00E37E07" w:rsidRDefault="00E37E07">
            <w:pPr>
              <w:spacing w:after="120" w:line="240" w:lineRule="auto"/>
              <w:jc w:val="both"/>
              <w:rPr>
                <w:rFonts w:ascii="Times New Roman" w:hAnsi="Times New Roman" w:cs="Times New Roman"/>
              </w:rPr>
            </w:pPr>
            <w:r w:rsidRPr="00E37E07">
              <w:rPr>
                <w:rFonts w:ascii="Times New Roman" w:hAnsi="Times New Roman"/>
              </w:rPr>
              <w:t>Članak 57. stavak 2. i članak 21. stavci 3. i 4. Uredbe (EU) 2019/2033</w:t>
            </w:r>
          </w:p>
          <w:p w14:paraId="655526BF" w14:textId="77777777" w:rsidR="006C0DAA" w:rsidRPr="00E37E07" w:rsidRDefault="00E37E07">
            <w:pPr>
              <w:spacing w:after="120" w:line="240" w:lineRule="auto"/>
              <w:jc w:val="both"/>
              <w:rPr>
                <w:rFonts w:ascii="Times New Roman" w:eastAsia="Times New Roman" w:hAnsi="Times New Roman" w:cs="Times New Roman"/>
                <w:b/>
                <w:bCs/>
              </w:rPr>
            </w:pPr>
            <w:r w:rsidRPr="00E37E07">
              <w:rPr>
                <w:rFonts w:ascii="Times New Roman" w:hAnsi="Times New Roman"/>
              </w:rPr>
              <w:t>Pozicije iz knjige trgovanja i pozicije iz knjige pozicija kojima se ne trguje koje su podložne valutnom ili robnom riziku za koje je kapitalni zahtjev utvrđen u skladu s dijelom trećim</w:t>
            </w:r>
            <w:r w:rsidRPr="00E37E07">
              <w:rPr>
                <w:rFonts w:ascii="Times New Roman" w:hAnsi="Times New Roman"/>
              </w:rPr>
              <w:t xml:space="preserve"> glavom IV. poglavljem 5. Uredbe (EU) br. 575/2013</w:t>
            </w:r>
          </w:p>
        </w:tc>
      </w:tr>
    </w:tbl>
    <w:p w14:paraId="69FC571C" w14:textId="77777777" w:rsidR="006C0DAA" w:rsidRPr="00E37E07" w:rsidRDefault="00E37E0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4" w:name="_Toc88218418"/>
      <w:r w:rsidRPr="00E37E07">
        <w:rPr>
          <w:rFonts w:ascii="Times New Roman" w:hAnsi="Times New Roman"/>
          <w:sz w:val="24"/>
          <w:szCs w:val="24"/>
          <w:u w:val="single"/>
        </w:rPr>
        <w:t>3.11. I 06.10 – PRUŽENA MARŽA PORAVNANJA – DODATNI PODACI (I 6.10)</w:t>
      </w:r>
      <w:bookmarkEnd w:id="74"/>
    </w:p>
    <w:p w14:paraId="10A6AE48" w14:textId="77777777" w:rsidR="006C0DAA" w:rsidRPr="00E37E07" w:rsidRDefault="00E37E07">
      <w:pPr>
        <w:spacing w:line="256" w:lineRule="auto"/>
        <w:ind w:left="993" w:hanging="567"/>
        <w:jc w:val="both"/>
        <w:rPr>
          <w:rFonts w:ascii="Times New Roman" w:hAnsi="Times New Roman" w:cs="Times New Roman"/>
          <w:sz w:val="24"/>
        </w:rPr>
      </w:pPr>
      <w:r w:rsidRPr="00E37E07">
        <w:rPr>
          <w:rFonts w:ascii="Times New Roman" w:hAnsi="Times New Roman" w:cs="Times New Roman"/>
          <w:sz w:val="24"/>
        </w:rPr>
        <w:t>15.</w:t>
      </w:r>
      <w:r w:rsidRPr="00E37E07">
        <w:rPr>
          <w:rFonts w:ascii="Times New Roman" w:hAnsi="Times New Roman" w:cs="Times New Roman"/>
          <w:sz w:val="24"/>
        </w:rPr>
        <w:tab/>
      </w:r>
      <w:r w:rsidRPr="00E37E07">
        <w:rPr>
          <w:rFonts w:ascii="Times New Roman" w:hAnsi="Times New Roman"/>
          <w:sz w:val="24"/>
        </w:rPr>
        <w:t xml:space="preserve">Društva koja trguju za vlastiti račun u ovom obrascu navode sve klirinške članove kvalificiranih središnjih drugih ugovornih </w:t>
      </w:r>
      <w:r w:rsidRPr="00E37E07">
        <w:rPr>
          <w:rFonts w:ascii="Times New Roman" w:hAnsi="Times New Roman"/>
          <w:sz w:val="24"/>
        </w:rPr>
        <w:t>strana koji su odgovorni za izvršenje i namiru transakcija društva.</w:t>
      </w:r>
    </w:p>
    <w:p w14:paraId="6578C337" w14:textId="77777777" w:rsidR="006C0DAA" w:rsidRPr="00E37E07" w:rsidRDefault="00E37E07">
      <w:pPr>
        <w:keepNext/>
        <w:spacing w:before="240" w:after="240" w:line="240" w:lineRule="auto"/>
        <w:ind w:left="357" w:hanging="215"/>
        <w:jc w:val="both"/>
        <w:outlineLvl w:val="1"/>
        <w:rPr>
          <w:rFonts w:ascii="Times New Roman" w:eastAsia="Arial" w:hAnsi="Times New Roman" w:cs="Times New Roman"/>
          <w:sz w:val="24"/>
          <w:szCs w:val="24"/>
        </w:rPr>
      </w:pPr>
      <w:bookmarkStart w:id="75" w:name="_Toc88218419"/>
      <w:r w:rsidRPr="00E37E07">
        <w:rPr>
          <w:rFonts w:ascii="Times New Roman" w:hAnsi="Times New Roman"/>
          <w:sz w:val="24"/>
          <w:szCs w:val="24"/>
        </w:rPr>
        <w:t xml:space="preserve">3.11.1. </w:t>
      </w:r>
      <w:r w:rsidRPr="00E37E07">
        <w:rPr>
          <w:rFonts w:ascii="Times New Roman" w:hAnsi="Times New Roman"/>
          <w:sz w:val="24"/>
          <w:szCs w:val="24"/>
          <w:u w:val="single"/>
        </w:rPr>
        <w:t>Upute za specifične pozicije</w:t>
      </w:r>
      <w:bookmarkEnd w:id="7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C0DAA" w:rsidRPr="00E37E07" w14:paraId="726677F0" w14:textId="77777777">
        <w:tc>
          <w:tcPr>
            <w:tcW w:w="1129" w:type="dxa"/>
            <w:shd w:val="clear" w:color="auto" w:fill="D9D9D9"/>
          </w:tcPr>
          <w:p w14:paraId="64E6049F"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Stupac</w:t>
            </w:r>
          </w:p>
        </w:tc>
        <w:tc>
          <w:tcPr>
            <w:tcW w:w="7620" w:type="dxa"/>
            <w:shd w:val="clear" w:color="auto" w:fill="D9D9D9"/>
          </w:tcPr>
          <w:p w14:paraId="674C3A53"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Pravna osnova i upute</w:t>
            </w:r>
          </w:p>
        </w:tc>
      </w:tr>
      <w:tr w:rsidR="006C0DAA" w:rsidRPr="00E37E07" w14:paraId="12993311" w14:textId="77777777">
        <w:tc>
          <w:tcPr>
            <w:tcW w:w="1129" w:type="dxa"/>
          </w:tcPr>
          <w:p w14:paraId="601420B5"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0010 – 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F379698"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Član sustava poravnanja</w:t>
            </w:r>
          </w:p>
        </w:tc>
      </w:tr>
      <w:tr w:rsidR="006C0DAA" w:rsidRPr="00E37E07" w14:paraId="2C8EF2F3" w14:textId="77777777">
        <w:tc>
          <w:tcPr>
            <w:tcW w:w="1129" w:type="dxa"/>
          </w:tcPr>
          <w:p w14:paraId="1A48D1BE"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6A33332"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Ime</w:t>
            </w:r>
          </w:p>
          <w:p w14:paraId="6DF008D0"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Investicijska društva navode ime svakog klirinškog člana </w:t>
            </w:r>
            <w:r w:rsidRPr="00E37E07">
              <w:rPr>
                <w:rFonts w:ascii="Times New Roman" w:hAnsi="Times New Roman"/>
                <w:bCs/>
              </w:rPr>
              <w:t>kvalificiranih središnjih drugih ugovornih strana koji je odgovoran za izvršenje i namiru transakcija društva koje trguje za vlastiti račun.</w:t>
            </w:r>
          </w:p>
        </w:tc>
      </w:tr>
      <w:tr w:rsidR="006C0DAA" w:rsidRPr="00E37E07" w14:paraId="78B3394C" w14:textId="77777777">
        <w:tc>
          <w:tcPr>
            <w:tcW w:w="1129" w:type="dxa"/>
          </w:tcPr>
          <w:p w14:paraId="030B1099"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A887986"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Oznaka</w:t>
            </w:r>
          </w:p>
          <w:p w14:paraId="40AAEF83" w14:textId="77777777" w:rsidR="006C0DAA" w:rsidRPr="00E37E07" w:rsidRDefault="00E37E07">
            <w:pPr>
              <w:spacing w:after="120" w:line="240" w:lineRule="auto"/>
              <w:jc w:val="both"/>
              <w:rPr>
                <w:rFonts w:eastAsia="Times New Roman"/>
              </w:rPr>
            </w:pPr>
            <w:r w:rsidRPr="00E37E07">
              <w:rPr>
                <w:rFonts w:ascii="Times New Roman" w:hAnsi="Times New Roman"/>
              </w:rPr>
              <w:t>Ta je oznaka dio jedinstvenog identifikatora retka za svaki subjekt o kojem se izvješćuje. Za investic</w:t>
            </w:r>
            <w:r w:rsidRPr="00E37E07">
              <w:rPr>
                <w:rFonts w:ascii="Times New Roman" w:hAnsi="Times New Roman"/>
              </w:rPr>
              <w:t>ijska društva, to je oznaka LEI. Za druge subjekte to je oznaka LEI ili, ako nije dostupna, nacionalna oznaka. Oznaka je jedinstvena i cijelo se vrijeme dosljedno koristi u svim obrascima. Oznaka uvijek mora imati vrijednost.</w:t>
            </w:r>
          </w:p>
        </w:tc>
      </w:tr>
      <w:tr w:rsidR="006C0DAA" w:rsidRPr="00E37E07" w14:paraId="56D85A72" w14:textId="77777777">
        <w:tc>
          <w:tcPr>
            <w:tcW w:w="1129" w:type="dxa"/>
          </w:tcPr>
          <w:p w14:paraId="0EAA081B"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C05B213"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Vrsta oznake</w:t>
            </w:r>
          </w:p>
          <w:p w14:paraId="718D5A91"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Vrsta oznak</w:t>
            </w:r>
            <w:r w:rsidRPr="00E37E07">
              <w:rPr>
                <w:rFonts w:ascii="Times New Roman" w:hAnsi="Times New Roman"/>
                <w:bCs/>
              </w:rPr>
              <w:t>e iskazana u stupcu 0020 navodi se</w:t>
            </w:r>
            <w:r w:rsidRPr="00E37E07">
              <w:rPr>
                <w:rFonts w:ascii="Times New Roman" w:hAnsi="Times New Roman"/>
              </w:rPr>
              <w:t xml:space="preserve"> </w:t>
            </w:r>
            <w:r w:rsidRPr="00E37E07">
              <w:rPr>
                <w:rStyle w:val="FormatvorlageInstructionsTabelleText"/>
                <w:rFonts w:ascii="Times New Roman" w:hAnsi="Times New Roman"/>
                <w:sz w:val="22"/>
              </w:rPr>
              <w:t>kao „oznaka LEI” ili „nacionalna oznaka”.</w:t>
            </w:r>
          </w:p>
        </w:tc>
      </w:tr>
      <w:tr w:rsidR="006C0DAA" w:rsidRPr="00E37E07" w14:paraId="4D0D8105" w14:textId="77777777">
        <w:tc>
          <w:tcPr>
            <w:tcW w:w="1129" w:type="dxa"/>
          </w:tcPr>
          <w:p w14:paraId="4512A54D"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lastRenderedPageBreak/>
              <w:t>0040 – 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775C454C" w14:textId="77777777" w:rsidR="006C0DAA" w:rsidRPr="00E37E07" w:rsidRDefault="00E37E07">
            <w:pPr>
              <w:spacing w:after="120" w:line="240" w:lineRule="auto"/>
              <w:rPr>
                <w:rFonts w:ascii="Times New Roman" w:eastAsia="Times New Roman" w:hAnsi="Times New Roman" w:cs="Times New Roman"/>
                <w:b/>
                <w:bCs/>
                <w:u w:val="single"/>
              </w:rPr>
            </w:pPr>
            <w:r w:rsidRPr="00E37E07">
              <w:rPr>
                <w:rFonts w:ascii="Times New Roman" w:hAnsi="Times New Roman"/>
                <w:b/>
                <w:bCs/>
                <w:u w:val="single"/>
              </w:rPr>
              <w:t>Doprinos ukupnoj marži koja se zahtijeva na dnevnoj osnovi</w:t>
            </w:r>
          </w:p>
          <w:p w14:paraId="29DB7C0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Investicijska društva navode informacije za tri dana u prethodna tri mjeseca na koja je izračunan </w:t>
            </w:r>
            <w:r w:rsidRPr="00E37E07">
              <w:rPr>
                <w:rFonts w:ascii="Times New Roman" w:hAnsi="Times New Roman"/>
                <w:bCs/>
              </w:rPr>
              <w:t>najveći, drugi najveći i treći najveći iznos ukupne marže koja se zahtijeva na dnevnoj osnovi, kako je navedeno u članku 23. stavku 2. Uredbe (EU) 2019/2033.</w:t>
            </w:r>
          </w:p>
          <w:p w14:paraId="643114E4"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Investicijsko društvo u obrascu navodi sve klirinške članove koji su sudjelovali barem jedan od ti</w:t>
            </w:r>
            <w:r w:rsidRPr="00E37E07">
              <w:rPr>
                <w:rFonts w:ascii="Times New Roman" w:hAnsi="Times New Roman"/>
                <w:bCs/>
              </w:rPr>
              <w:t>h dana.</w:t>
            </w:r>
          </w:p>
          <w:p w14:paraId="49FB698F"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 xml:space="preserve">Doprinos ukupnoj marži koja se zahtijeva na dnevnoj osnovi iskazuje se kao iznos prije množenja s faktorom 1.3 iz članka 23. stavka 2. Uredbe (EU) 2019/2033. </w:t>
            </w:r>
          </w:p>
        </w:tc>
      </w:tr>
      <w:tr w:rsidR="006C0DAA" w:rsidRPr="00E37E07" w14:paraId="7168C24A" w14:textId="77777777">
        <w:tc>
          <w:tcPr>
            <w:tcW w:w="1129" w:type="dxa"/>
          </w:tcPr>
          <w:p w14:paraId="1A1B7024"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9A9C7F5"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
                <w:bCs/>
                <w:u w:val="single"/>
              </w:rPr>
              <w:t>Doprinos ukupnoj marži koja se zahtijeva na dnevnoj osnovi – na dan najvećeg iznosa</w:t>
            </w:r>
            <w:r w:rsidRPr="00E37E07">
              <w:rPr>
                <w:rFonts w:ascii="Times New Roman" w:hAnsi="Times New Roman"/>
                <w:b/>
                <w:bCs/>
                <w:u w:val="single"/>
              </w:rPr>
              <w:t xml:space="preserve"> ukupne marže koja se zahtijeva</w:t>
            </w:r>
          </w:p>
        </w:tc>
      </w:tr>
      <w:tr w:rsidR="006C0DAA" w:rsidRPr="00E37E07" w14:paraId="675E518B" w14:textId="77777777">
        <w:tc>
          <w:tcPr>
            <w:tcW w:w="1129" w:type="dxa"/>
          </w:tcPr>
          <w:p w14:paraId="5AF28B3D"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5D494D4"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Doprinos ukupnoj marži koja se zahtijeva na dnevnoj osnovi – na dan drugog najvećeg iznosa ukupne marže koja se zahtijeva</w:t>
            </w:r>
          </w:p>
        </w:tc>
      </w:tr>
      <w:tr w:rsidR="006C0DAA" w:rsidRPr="00E37E07" w14:paraId="5CE4E309" w14:textId="77777777">
        <w:tc>
          <w:tcPr>
            <w:tcW w:w="1129" w:type="dxa"/>
          </w:tcPr>
          <w:p w14:paraId="286B3B1B"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4C74D15"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xml:space="preserve">Doprinos ukupnoj marži koja se zahtijeva na dnevnoj osnovi – na dan trećeg </w:t>
            </w:r>
            <w:r w:rsidRPr="00E37E07">
              <w:rPr>
                <w:rFonts w:ascii="Times New Roman" w:hAnsi="Times New Roman"/>
                <w:b/>
                <w:bCs/>
                <w:u w:val="single"/>
              </w:rPr>
              <w:t>najvećeg iznosa ukupne marže koja se zahtijeva</w:t>
            </w:r>
          </w:p>
        </w:tc>
      </w:tr>
    </w:tbl>
    <w:p w14:paraId="53E6CA40" w14:textId="77777777" w:rsidR="006C0DAA" w:rsidRPr="00E37E07" w:rsidRDefault="00E37E0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6" w:name="_Toc88218420"/>
      <w:r w:rsidRPr="00E37E07">
        <w:rPr>
          <w:rFonts w:ascii="Times New Roman" w:hAnsi="Times New Roman"/>
          <w:sz w:val="24"/>
          <w:szCs w:val="24"/>
          <w:u w:val="single"/>
        </w:rPr>
        <w:t>3.12. I 06.11 – NASTANAK STATUSA NEISPUNJAVANJA OBVEZA DRUGE UGOVORNE STRANE U TRGOVANJU (TCD) – DODATNI PODACI (I 6.11)</w:t>
      </w:r>
      <w:bookmarkEnd w:id="76"/>
    </w:p>
    <w:p w14:paraId="57E9EE5D" w14:textId="77777777" w:rsidR="006C0DAA" w:rsidRPr="00E37E07" w:rsidRDefault="00E37E0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7" w:name="_Toc88218421"/>
      <w:r w:rsidRPr="00E37E07">
        <w:rPr>
          <w:rFonts w:ascii="Times New Roman" w:hAnsi="Times New Roman"/>
          <w:sz w:val="24"/>
          <w:szCs w:val="24"/>
        </w:rPr>
        <w:t>3.12.1</w:t>
      </w:r>
      <w:r w:rsidRPr="00E37E07">
        <w:rPr>
          <w:rFonts w:ascii="Times New Roman" w:hAnsi="Times New Roman"/>
          <w:sz w:val="24"/>
          <w:szCs w:val="24"/>
        </w:rPr>
        <w:tab/>
      </w:r>
      <w:r w:rsidRPr="00E37E07">
        <w:rPr>
          <w:rFonts w:ascii="Times New Roman" w:hAnsi="Times New Roman"/>
          <w:sz w:val="24"/>
          <w:szCs w:val="24"/>
          <w:u w:val="single"/>
        </w:rPr>
        <w:t>Upute za specifične pozicije</w:t>
      </w:r>
      <w:bookmarkEnd w:id="7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C0DAA" w:rsidRPr="00E37E07" w14:paraId="7B1F5CDA" w14:textId="77777777">
        <w:tc>
          <w:tcPr>
            <w:tcW w:w="1129" w:type="dxa"/>
            <w:shd w:val="clear" w:color="auto" w:fill="D9D9D9"/>
          </w:tcPr>
          <w:p w14:paraId="446A3BF4"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Redak</w:t>
            </w:r>
          </w:p>
        </w:tc>
        <w:tc>
          <w:tcPr>
            <w:tcW w:w="7620" w:type="dxa"/>
            <w:shd w:val="clear" w:color="auto" w:fill="D9D9D9"/>
          </w:tcPr>
          <w:p w14:paraId="3A8AD52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Pravna osnova i upute</w:t>
            </w:r>
          </w:p>
        </w:tc>
      </w:tr>
      <w:tr w:rsidR="006C0DAA" w:rsidRPr="00E37E07" w14:paraId="3DA26DA9" w14:textId="77777777">
        <w:tc>
          <w:tcPr>
            <w:tcW w:w="1129" w:type="dxa"/>
          </w:tcPr>
          <w:p w14:paraId="7D3A1FC9"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0010 – 0080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39E26751"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Raščlamba prema metodi za određivanje vrijednosti izloženosti</w:t>
            </w:r>
          </w:p>
        </w:tc>
      </w:tr>
      <w:tr w:rsidR="006C0DAA" w:rsidRPr="00E37E07" w14:paraId="30433D4C" w14:textId="77777777">
        <w:tc>
          <w:tcPr>
            <w:tcW w:w="1129" w:type="dxa"/>
          </w:tcPr>
          <w:p w14:paraId="1B55C111"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43DC6664"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
                <w:bCs/>
                <w:u w:val="single"/>
              </w:rPr>
              <w:t>Primjena Uredbe (EU) 2019/2033: faktor K-TCD</w:t>
            </w:r>
          </w:p>
          <w:p w14:paraId="7950F386"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26. Uredbe (EU) 2019/2033</w:t>
            </w:r>
          </w:p>
          <w:p w14:paraId="319B5CC8"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Izloženosti za koje se kapitalni zahtjev izračunava kao faktor K-TCD u skladu s člankom 26. Uredbe (EU) 2019/2</w:t>
            </w:r>
            <w:r w:rsidRPr="00E37E07">
              <w:rPr>
                <w:rFonts w:ascii="Times New Roman" w:hAnsi="Times New Roman"/>
                <w:bCs/>
              </w:rPr>
              <w:t>033.</w:t>
            </w:r>
          </w:p>
        </w:tc>
      </w:tr>
      <w:tr w:rsidR="006C0DAA" w:rsidRPr="00E37E07" w14:paraId="206FE614" w14:textId="77777777">
        <w:tc>
          <w:tcPr>
            <w:tcW w:w="1129" w:type="dxa"/>
          </w:tcPr>
          <w:p w14:paraId="1E9361E1"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71EC357"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Alternativni pristupi: vrijednost izloženosti utvrđena u skladu s Uredbom (EU) br. 575/2013</w:t>
            </w:r>
          </w:p>
          <w:p w14:paraId="1238A8D7"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25. stavak 4. prvi podstavak Uredbe (EU) 2019/2033</w:t>
            </w:r>
          </w:p>
          <w:p w14:paraId="22B1F77B"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 xml:space="preserve">Izloženosti za koje se vrijednost izloženosti utvrđuje u skladu s Uredbom (EU) </w:t>
            </w:r>
            <w:r w:rsidRPr="00E37E07">
              <w:rPr>
                <w:rFonts w:ascii="Times New Roman" w:hAnsi="Times New Roman"/>
                <w:bCs/>
              </w:rPr>
              <w:t>br. 575/2013 i čiji se povezani kapitalni zahtjevi izračunavaju tako da se vrijednost izloženosti pomnoži s faktorom rizika iz tablice 2. u članku 26. Uredbe (EU) 2019/2033</w:t>
            </w:r>
          </w:p>
        </w:tc>
      </w:tr>
      <w:tr w:rsidR="006C0DAA" w:rsidRPr="00E37E07" w14:paraId="44077928" w14:textId="77777777">
        <w:tc>
          <w:tcPr>
            <w:tcW w:w="1129" w:type="dxa"/>
          </w:tcPr>
          <w:p w14:paraId="7FDA502C"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542B00D"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xml:space="preserve">Standardizirani pristup za kreditni rizik druge ugovorne strane </w:t>
            </w:r>
            <w:r w:rsidRPr="00E37E07">
              <w:rPr>
                <w:rFonts w:ascii="Times New Roman" w:hAnsi="Times New Roman"/>
                <w:b/>
                <w:bCs/>
                <w:u w:val="single"/>
              </w:rPr>
              <w:t>(SA-CCR)</w:t>
            </w:r>
          </w:p>
          <w:p w14:paraId="1A68DD88"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274. Uredbe (EU) br. 575/2013</w:t>
            </w:r>
          </w:p>
        </w:tc>
      </w:tr>
      <w:tr w:rsidR="006C0DAA" w:rsidRPr="00E37E07" w14:paraId="6B12FC77" w14:textId="77777777">
        <w:tc>
          <w:tcPr>
            <w:tcW w:w="1129" w:type="dxa"/>
          </w:tcPr>
          <w:p w14:paraId="6DBFC9B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1A9AD85"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Pojednostavnjeni SA-CCR</w:t>
            </w:r>
          </w:p>
          <w:p w14:paraId="1572AAE6" w14:textId="77777777" w:rsidR="006C0DAA" w:rsidRPr="00E37E07" w:rsidRDefault="00E37E07">
            <w:pPr>
              <w:spacing w:after="120" w:line="240" w:lineRule="auto"/>
              <w:jc w:val="both"/>
              <w:rPr>
                <w:rFonts w:ascii="Times New Roman" w:eastAsia="Times New Roman" w:hAnsi="Times New Roman" w:cs="Times New Roman"/>
              </w:rPr>
            </w:pPr>
            <w:r w:rsidRPr="00E37E07">
              <w:rPr>
                <w:rFonts w:ascii="Times New Roman" w:hAnsi="Times New Roman"/>
                <w:bCs/>
              </w:rPr>
              <w:t>Članak 281. Uredbe (EU) br. 575/2013</w:t>
            </w:r>
          </w:p>
        </w:tc>
      </w:tr>
      <w:tr w:rsidR="006C0DAA" w:rsidRPr="00E37E07" w14:paraId="6293583E" w14:textId="77777777">
        <w:tc>
          <w:tcPr>
            <w:tcW w:w="1129" w:type="dxa"/>
          </w:tcPr>
          <w:p w14:paraId="526C42F0"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E50C5A2"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Metoda originalne izloženosti</w:t>
            </w:r>
          </w:p>
          <w:p w14:paraId="1BBAA687"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rPr>
              <w:t>Članak 282. Uredbe (EU) br. 575/2013</w:t>
            </w:r>
          </w:p>
        </w:tc>
      </w:tr>
      <w:tr w:rsidR="006C0DAA" w:rsidRPr="00E37E07" w14:paraId="4B4F5B84" w14:textId="77777777">
        <w:tc>
          <w:tcPr>
            <w:tcW w:w="1129" w:type="dxa"/>
          </w:tcPr>
          <w:p w14:paraId="49AD1C23"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11D4DD9"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xml:space="preserve">Alternativni pristupi: potpuna primjena okvira Uredbe (EU) </w:t>
            </w:r>
            <w:r w:rsidRPr="00E37E07">
              <w:rPr>
                <w:rFonts w:ascii="Times New Roman" w:hAnsi="Times New Roman"/>
                <w:b/>
                <w:bCs/>
                <w:u w:val="single"/>
              </w:rPr>
              <w:t>br. 575/2013</w:t>
            </w:r>
          </w:p>
          <w:p w14:paraId="2C403D39"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Članak 25. stavak 4. drugi podstavak Uredbe (EU) 2019/2033</w:t>
            </w:r>
          </w:p>
          <w:p w14:paraId="377980CF"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lastRenderedPageBreak/>
              <w:t xml:space="preserve">Izloženosti za koje se vrijednost izloženosti i kapitalni zahtjevi utvrđuju u skladu s Uredbom (EU) br. 575/2013 </w:t>
            </w:r>
          </w:p>
        </w:tc>
      </w:tr>
      <w:tr w:rsidR="006C0DAA" w:rsidRPr="00E37E07" w14:paraId="3174A9DC" w14:textId="77777777">
        <w:tc>
          <w:tcPr>
            <w:tcW w:w="1129" w:type="dxa"/>
          </w:tcPr>
          <w:p w14:paraId="3E76BA6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lastRenderedPageBreak/>
              <w:t>0070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BD91CDD"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Bilješka: Komponenta CVA</w:t>
            </w:r>
          </w:p>
          <w:p w14:paraId="03352D45"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Članak 25. stavak 5. i </w:t>
            </w:r>
            <w:r w:rsidRPr="00E37E07">
              <w:rPr>
                <w:rFonts w:ascii="Times New Roman" w:hAnsi="Times New Roman"/>
                <w:bCs/>
              </w:rPr>
              <w:t>članak 26. Uredbe (EU) 2019/2033</w:t>
            </w:r>
          </w:p>
          <w:p w14:paraId="2A166198"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Ako institucija primjenjuje pristup iz članka 26. Uredbe (EU) 2019/2033 ili odstupanje iz članka 26. stavka 5. prvog podstavka Uredbe (EU) 2019/2033, komponenta CVA utvrđuje se kao razlika između relevantnog iznosa nakon pr</w:t>
            </w:r>
            <w:r w:rsidRPr="00E37E07">
              <w:rPr>
                <w:rFonts w:ascii="Times New Roman" w:hAnsi="Times New Roman"/>
                <w:bCs/>
              </w:rPr>
              <w:t>imjene multiplikatora faktora CVA i relevantnog iznosa prije primjene multiplikatora faktora CVA.</w:t>
            </w:r>
          </w:p>
          <w:p w14:paraId="37AAE089"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Ako institucija primjenjuje odstupanje iz članka 25. stavka 5. drugog podstavka Uredbe (EU) 2019/2033, komponenta CVA utvrđuje se u skladu s dijelom trećim gl</w:t>
            </w:r>
            <w:r w:rsidRPr="00E37E07">
              <w:rPr>
                <w:rFonts w:ascii="Times New Roman" w:hAnsi="Times New Roman"/>
                <w:bCs/>
              </w:rPr>
              <w:t>avom VI. Uredbe (EU) br. 575/2013.</w:t>
            </w:r>
          </w:p>
        </w:tc>
      </w:tr>
      <w:tr w:rsidR="006C0DAA" w:rsidRPr="00E37E07" w14:paraId="66E17315" w14:textId="77777777">
        <w:tc>
          <w:tcPr>
            <w:tcW w:w="1129" w:type="dxa"/>
          </w:tcPr>
          <w:p w14:paraId="63A51857"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FA39D04"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od čega: izračunana u skladu s okvirom Uredbe (EU) br. 575/2013</w:t>
            </w:r>
          </w:p>
          <w:p w14:paraId="52CB935F"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25. stavak 5. drugi podstavak Uredbe (EU) 2019/2033</w:t>
            </w:r>
          </w:p>
        </w:tc>
      </w:tr>
      <w:tr w:rsidR="006C0DAA" w:rsidRPr="00E37E07" w14:paraId="140799A0" w14:textId="77777777">
        <w:tc>
          <w:tcPr>
            <w:tcW w:w="1129" w:type="dxa"/>
          </w:tcPr>
          <w:p w14:paraId="7208E915"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0090 – 0110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AE2BF84"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Raščlamba prema vrsti druge ugovorne strane</w:t>
            </w:r>
          </w:p>
          <w:p w14:paraId="47DA1294"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Druge ugovorne strane raščlanjuju s</w:t>
            </w:r>
            <w:r w:rsidRPr="00E37E07">
              <w:rPr>
                <w:rFonts w:ascii="Times New Roman" w:hAnsi="Times New Roman"/>
                <w:bCs/>
              </w:rPr>
              <w:t>e prema vrstama drugih ugovornih strana iz tablice 2. iz članka 26. Uredbe (EU) 2019/2033</w:t>
            </w:r>
          </w:p>
        </w:tc>
      </w:tr>
      <w:tr w:rsidR="006C0DAA" w:rsidRPr="00E37E07" w14:paraId="4BBAB153" w14:textId="77777777">
        <w:tc>
          <w:tcPr>
            <w:tcW w:w="1129" w:type="dxa"/>
          </w:tcPr>
          <w:p w14:paraId="029D4B26"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675890DF"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
                <w:bCs/>
                <w:u w:val="single"/>
              </w:rPr>
              <w:t>Središnje države, središnje banke i subjekti javnog sektora</w:t>
            </w:r>
          </w:p>
        </w:tc>
      </w:tr>
      <w:tr w:rsidR="006C0DAA" w:rsidRPr="00E37E07" w14:paraId="20827D58" w14:textId="77777777">
        <w:tc>
          <w:tcPr>
            <w:tcW w:w="1129" w:type="dxa"/>
          </w:tcPr>
          <w:p w14:paraId="5431A6BA"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0100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FD604CA"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Kreditne institucije i investicijska društva</w:t>
            </w:r>
          </w:p>
        </w:tc>
      </w:tr>
      <w:tr w:rsidR="006C0DAA" w:rsidRPr="00E37E07" w14:paraId="3CAE2882" w14:textId="77777777">
        <w:tc>
          <w:tcPr>
            <w:tcW w:w="1129" w:type="dxa"/>
          </w:tcPr>
          <w:p w14:paraId="490F6924"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0110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F41718D"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Ostale druge ugovorne strane</w:t>
            </w:r>
          </w:p>
        </w:tc>
      </w:tr>
    </w:tbl>
    <w:p w14:paraId="0054C77E" w14:textId="77777777" w:rsidR="006C0DAA" w:rsidRPr="00E37E07" w:rsidRDefault="006C0DAA">
      <w:pPr>
        <w:rPr>
          <w:rFonts w:ascii="Times New Roman" w:eastAsia="Arial" w:hAnsi="Times New Roman" w:cs="Times New Roman"/>
          <w:sz w:val="24"/>
          <w:szCs w:val="24"/>
          <w:u w:val="single"/>
          <w:lang w:val="en-IE"/>
        </w:rPr>
      </w:pPr>
    </w:p>
    <w:tbl>
      <w:tblPr>
        <w:tblW w:w="8840"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40"/>
        <w:gridCol w:w="7700"/>
      </w:tblGrid>
      <w:tr w:rsidR="006C0DAA" w:rsidRPr="00E37E07" w14:paraId="6FB3A8EB" w14:textId="77777777">
        <w:trPr>
          <w:trHeight w:val="382"/>
        </w:trPr>
        <w:tc>
          <w:tcPr>
            <w:tcW w:w="1140" w:type="dxa"/>
            <w:shd w:val="clear" w:color="auto" w:fill="D9D9D9"/>
          </w:tcPr>
          <w:p w14:paraId="4F75CC18"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Stupac</w:t>
            </w:r>
          </w:p>
        </w:tc>
        <w:tc>
          <w:tcPr>
            <w:tcW w:w="7700" w:type="dxa"/>
            <w:shd w:val="clear" w:color="auto" w:fill="D9D9D9"/>
          </w:tcPr>
          <w:p w14:paraId="75238BB6"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Pravna osnova i upute</w:t>
            </w:r>
          </w:p>
        </w:tc>
      </w:tr>
      <w:tr w:rsidR="006C0DAA" w:rsidRPr="00E37E07" w14:paraId="47E3F5AF" w14:textId="77777777">
        <w:trPr>
          <w:trHeight w:val="1019"/>
        </w:trPr>
        <w:tc>
          <w:tcPr>
            <w:tcW w:w="1140" w:type="dxa"/>
          </w:tcPr>
          <w:p w14:paraId="5A643D79"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0010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52973FC5"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Zahtjev za faktor K</w:t>
            </w:r>
          </w:p>
          <w:p w14:paraId="0F76493A"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Kapitalni zahtjev iskazuje se kako je izračunan u skladu s člankom 26. Uredbe (EU) 2019/2033 ili primjenjivim odredbama Uredbe (EU) br. 575/2013.</w:t>
            </w:r>
          </w:p>
        </w:tc>
      </w:tr>
      <w:tr w:rsidR="006C0DAA" w:rsidRPr="00E37E07" w14:paraId="4DA597C6" w14:textId="77777777">
        <w:trPr>
          <w:trHeight w:val="764"/>
        </w:trPr>
        <w:tc>
          <w:tcPr>
            <w:tcW w:w="1140" w:type="dxa"/>
          </w:tcPr>
          <w:p w14:paraId="0F551C95"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0020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4F364A15"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Vrijednost izloženosti</w:t>
            </w:r>
          </w:p>
          <w:p w14:paraId="70C4EC2E"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Vrijednost izloženosti </w:t>
            </w:r>
            <w:r w:rsidRPr="00E37E07">
              <w:rPr>
                <w:rFonts w:ascii="Times New Roman" w:hAnsi="Times New Roman"/>
                <w:bCs/>
              </w:rPr>
              <w:t>iskazuje se kako je izračunana u skladu s člankom 27. Uredbe (EU) 2019/2033 ili primjenjivim odredbama Uredbe (EU) br. 575/2013.</w:t>
            </w:r>
          </w:p>
        </w:tc>
      </w:tr>
      <w:tr w:rsidR="006C0DAA" w:rsidRPr="00E37E07" w14:paraId="053080ED" w14:textId="77777777">
        <w:trPr>
          <w:trHeight w:val="764"/>
        </w:trPr>
        <w:tc>
          <w:tcPr>
            <w:tcW w:w="1140" w:type="dxa"/>
          </w:tcPr>
          <w:p w14:paraId="64BC5288"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0030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27B70FD0"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Trošak zamjene (RC)</w:t>
            </w:r>
          </w:p>
          <w:p w14:paraId="34E66153"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28. Uredbe (EU) 2019/2033</w:t>
            </w:r>
          </w:p>
        </w:tc>
      </w:tr>
      <w:tr w:rsidR="006C0DAA" w:rsidRPr="00E37E07" w14:paraId="791E912C" w14:textId="77777777">
        <w:trPr>
          <w:trHeight w:val="764"/>
        </w:trPr>
        <w:tc>
          <w:tcPr>
            <w:tcW w:w="1140" w:type="dxa"/>
          </w:tcPr>
          <w:p w14:paraId="30CEBA6C"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0040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05D28F2A"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Potencijalna buduća izloženost (PFE)</w:t>
            </w:r>
          </w:p>
          <w:p w14:paraId="79CAEE2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Članak 29. Uredbe </w:t>
            </w:r>
            <w:r w:rsidRPr="00E37E07">
              <w:rPr>
                <w:rFonts w:ascii="Times New Roman" w:hAnsi="Times New Roman"/>
                <w:bCs/>
              </w:rPr>
              <w:t>(EU) 2019/2033</w:t>
            </w:r>
          </w:p>
        </w:tc>
      </w:tr>
      <w:tr w:rsidR="006C0DAA" w:rsidRPr="00E37E07" w14:paraId="58635B21" w14:textId="77777777">
        <w:trPr>
          <w:trHeight w:val="810"/>
        </w:trPr>
        <w:tc>
          <w:tcPr>
            <w:tcW w:w="1140" w:type="dxa"/>
          </w:tcPr>
          <w:p w14:paraId="24B44AE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0050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33A98A5B"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Kolateral (C)</w:t>
            </w:r>
          </w:p>
          <w:p w14:paraId="0A2D9F20"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30. stavci 2. i 3. Uredbe (EU) 2019/2033</w:t>
            </w:r>
          </w:p>
          <w:p w14:paraId="133E4ED7"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Iskazana vrijednost je vrijednost kolaterala upotrijebljena za izračun vrijednosti izloženosti i stoga, ako je primjenjivo, vrijednost nakon primjene korektivnog faktora i k</w:t>
            </w:r>
            <w:r w:rsidRPr="00E37E07">
              <w:rPr>
                <w:rFonts w:ascii="Times New Roman" w:hAnsi="Times New Roman"/>
                <w:bCs/>
              </w:rPr>
              <w:t>orektivnog faktora za valutnu neusklađenost iz članka 30. stavaka 1. i 3. Uredbe (EU) 2019/2033.</w:t>
            </w:r>
          </w:p>
        </w:tc>
      </w:tr>
    </w:tbl>
    <w:p w14:paraId="76ABF6B3" w14:textId="77777777" w:rsidR="006C0DAA" w:rsidRPr="00E37E07" w:rsidRDefault="006C0DAA">
      <w:pPr>
        <w:rPr>
          <w:sz w:val="10"/>
          <w:szCs w:val="10"/>
          <w:lang w:val="en-IE"/>
        </w:rPr>
      </w:pPr>
    </w:p>
    <w:p w14:paraId="3E241894" w14:textId="77777777" w:rsidR="006C0DAA" w:rsidRPr="00E37E07" w:rsidRDefault="00E37E0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8" w:name="_Toc88218422"/>
      <w:r w:rsidRPr="00E37E07">
        <w:rPr>
          <w:rFonts w:ascii="Times New Roman" w:hAnsi="Times New Roman"/>
          <w:sz w:val="24"/>
          <w:szCs w:val="24"/>
          <w:u w:val="single"/>
        </w:rPr>
        <w:lastRenderedPageBreak/>
        <w:t>3.13. I 06.12 – DNEVNI PROMET TRGOVANJA – DODATNI PODACI (I 6.12)</w:t>
      </w:r>
      <w:bookmarkEnd w:id="78"/>
    </w:p>
    <w:p w14:paraId="09CFC0CF" w14:textId="77777777" w:rsidR="006C0DAA" w:rsidRPr="00E37E07" w:rsidRDefault="00E37E07">
      <w:pPr>
        <w:keepNext/>
        <w:spacing w:before="240" w:after="240" w:line="240" w:lineRule="auto"/>
        <w:ind w:left="357" w:hanging="215"/>
        <w:jc w:val="both"/>
        <w:outlineLvl w:val="1"/>
        <w:rPr>
          <w:rFonts w:ascii="Times New Roman" w:eastAsia="Arial" w:hAnsi="Times New Roman" w:cs="Times New Roman"/>
          <w:sz w:val="24"/>
          <w:szCs w:val="24"/>
        </w:rPr>
      </w:pPr>
      <w:bookmarkStart w:id="79" w:name="_Toc88218423"/>
      <w:r w:rsidRPr="00E37E07">
        <w:rPr>
          <w:rFonts w:ascii="Times New Roman" w:hAnsi="Times New Roman"/>
          <w:sz w:val="24"/>
          <w:szCs w:val="24"/>
        </w:rPr>
        <w:t>3.13.1</w:t>
      </w:r>
      <w:r w:rsidRPr="00E37E07">
        <w:rPr>
          <w:rFonts w:ascii="Times New Roman" w:hAnsi="Times New Roman"/>
          <w:sz w:val="24"/>
          <w:szCs w:val="24"/>
        </w:rPr>
        <w:tab/>
        <w:t>Upute za specifične pozicije</w:t>
      </w:r>
      <w:bookmarkEnd w:id="7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C0DAA" w:rsidRPr="00E37E07" w14:paraId="3A7314E0" w14:textId="77777777">
        <w:tc>
          <w:tcPr>
            <w:tcW w:w="1129" w:type="dxa"/>
            <w:shd w:val="clear" w:color="auto" w:fill="D9D9D9"/>
          </w:tcPr>
          <w:p w14:paraId="02246CEA"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Redak</w:t>
            </w:r>
          </w:p>
        </w:tc>
        <w:tc>
          <w:tcPr>
            <w:tcW w:w="7620" w:type="dxa"/>
            <w:shd w:val="clear" w:color="auto" w:fill="D9D9D9"/>
          </w:tcPr>
          <w:p w14:paraId="4A730AD3"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Pravna osnova i upute</w:t>
            </w:r>
          </w:p>
        </w:tc>
      </w:tr>
      <w:tr w:rsidR="006C0DAA" w:rsidRPr="00E37E07" w14:paraId="2C3719D8" w14:textId="77777777">
        <w:tc>
          <w:tcPr>
            <w:tcW w:w="1129" w:type="dxa"/>
          </w:tcPr>
          <w:p w14:paraId="6BF4A625"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396D24E"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xml:space="preserve">Ukupni DTF – </w:t>
            </w:r>
            <w:r w:rsidRPr="00E37E07">
              <w:rPr>
                <w:rFonts w:ascii="Times New Roman" w:hAnsi="Times New Roman"/>
                <w:b/>
                <w:bCs/>
                <w:u w:val="single"/>
              </w:rPr>
              <w:t>novčane transakcije (prosječni iznosi)</w:t>
            </w:r>
          </w:p>
          <w:p w14:paraId="6C0EAD5C"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Investicijska društva iskazuju aritmetičku sredinu vrijednosti DTF-a za novčane transakcije za preostalih šest mjeseci, u skladu s člankom 33. stavkom 1. prvim podstavkom Uredbe (EU) 2019/2033, koja se mjeri u skladu </w:t>
            </w:r>
            <w:r w:rsidRPr="00E37E07">
              <w:rPr>
                <w:rFonts w:ascii="Times New Roman" w:hAnsi="Times New Roman"/>
                <w:bCs/>
              </w:rPr>
              <w:t>s člankom 33. stavkom 2. točkom (a) Uredbe (EU) 2019/2033.</w:t>
            </w:r>
          </w:p>
          <w:p w14:paraId="0A1D9704"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U iznosu iskazanom u ovoj rubrici uzima se u obzir članak 33. stavak 3. Uredbe (EU) 2019/2033.</w:t>
            </w:r>
          </w:p>
        </w:tc>
      </w:tr>
      <w:tr w:rsidR="006C0DAA" w:rsidRPr="00E37E07" w14:paraId="51131152" w14:textId="77777777">
        <w:tc>
          <w:tcPr>
            <w:tcW w:w="1129" w:type="dxa"/>
          </w:tcPr>
          <w:p w14:paraId="58E73F7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A79D94C"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Ukupni DTF – trgovanje izvedenicama (prosječni iznosi)</w:t>
            </w:r>
          </w:p>
          <w:p w14:paraId="6F920D20"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Članak 33. stavak 2. točka (b) </w:t>
            </w:r>
            <w:r w:rsidRPr="00E37E07">
              <w:rPr>
                <w:rFonts w:ascii="Times New Roman" w:hAnsi="Times New Roman"/>
                <w:bCs/>
              </w:rPr>
              <w:t>Uredbe (EU) 2019/2033</w:t>
            </w:r>
          </w:p>
          <w:p w14:paraId="510E80A1"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Investicijska društva iskazuju aritmetičku sredinu vrijednosti DTF-a za trgovanje izvedenicama za preostalih šest mjeseci, u skladu s člankom 33. stavkom 1. prvim podstavkom Uredbe (EU) 2019/2033, koja se mjeri u skladu s člankom 33. </w:t>
            </w:r>
            <w:r w:rsidRPr="00E37E07">
              <w:rPr>
                <w:rFonts w:ascii="Times New Roman" w:hAnsi="Times New Roman"/>
                <w:bCs/>
              </w:rPr>
              <w:t>stavkom 2. točkom (b) Uredbe (EU) 2019/2033.</w:t>
            </w:r>
          </w:p>
          <w:p w14:paraId="34699201" w14:textId="77777777" w:rsidR="006C0DAA" w:rsidRPr="00E37E07" w:rsidRDefault="00E37E07">
            <w:pPr>
              <w:spacing w:after="120" w:line="240" w:lineRule="auto"/>
              <w:jc w:val="both"/>
              <w:rPr>
                <w:rFonts w:ascii="Times New Roman" w:eastAsia="Times New Roman" w:hAnsi="Times New Roman" w:cs="Times New Roman"/>
                <w:bCs/>
                <w:u w:val="single"/>
              </w:rPr>
            </w:pPr>
            <w:r w:rsidRPr="00E37E07">
              <w:rPr>
                <w:rFonts w:ascii="Times New Roman" w:hAnsi="Times New Roman"/>
                <w:bCs/>
              </w:rPr>
              <w:t>U iznosu iskazanom u ovoj rubrici uzima se u obzir članak 33. stavak 3. Uredbe (EU) 2019/2033.</w:t>
            </w:r>
          </w:p>
        </w:tc>
      </w:tr>
    </w:tbl>
    <w:p w14:paraId="638C5246" w14:textId="77777777" w:rsidR="006C0DAA" w:rsidRPr="00E37E07" w:rsidRDefault="006C0DAA">
      <w:pPr>
        <w:rPr>
          <w:rFonts w:ascii="Times New Roman" w:eastAsia="Arial" w:hAnsi="Times New Roman" w:cs="Times New Roman"/>
          <w:sz w:val="24"/>
          <w:szCs w:val="24"/>
          <w:u w:val="single"/>
          <w:lang w:val="en-I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C0DAA" w:rsidRPr="00E37E07" w14:paraId="302A7B35" w14:textId="77777777">
        <w:tc>
          <w:tcPr>
            <w:tcW w:w="1129" w:type="dxa"/>
            <w:shd w:val="clear" w:color="auto" w:fill="D9D9D9"/>
          </w:tcPr>
          <w:p w14:paraId="193D3F51" w14:textId="77777777" w:rsidR="006C0DAA" w:rsidRPr="00E37E07" w:rsidRDefault="00E37E07">
            <w:pPr>
              <w:spacing w:after="120" w:line="240" w:lineRule="auto"/>
              <w:jc w:val="both"/>
              <w:rPr>
                <w:rFonts w:ascii="Times New Roman" w:eastAsia="Times New Roman" w:hAnsi="Times New Roman" w:cs="Times New Roman"/>
                <w:bCs/>
                <w:szCs w:val="24"/>
              </w:rPr>
            </w:pPr>
            <w:r w:rsidRPr="00E37E07">
              <w:rPr>
                <w:rFonts w:ascii="Times New Roman" w:hAnsi="Times New Roman"/>
                <w:szCs w:val="24"/>
              </w:rPr>
              <w:t>Stupci</w:t>
            </w:r>
          </w:p>
        </w:tc>
        <w:tc>
          <w:tcPr>
            <w:tcW w:w="7620" w:type="dxa"/>
            <w:shd w:val="clear" w:color="auto" w:fill="D9D9D9"/>
          </w:tcPr>
          <w:p w14:paraId="5DB2D1E1" w14:textId="77777777" w:rsidR="006C0DAA" w:rsidRPr="00E37E07" w:rsidRDefault="00E37E07">
            <w:pPr>
              <w:spacing w:after="120" w:line="240" w:lineRule="auto"/>
              <w:jc w:val="both"/>
              <w:rPr>
                <w:rFonts w:ascii="Times New Roman" w:eastAsia="Times New Roman" w:hAnsi="Times New Roman" w:cs="Times New Roman"/>
                <w:bCs/>
                <w:szCs w:val="24"/>
              </w:rPr>
            </w:pPr>
            <w:r w:rsidRPr="00E37E07">
              <w:rPr>
                <w:rFonts w:ascii="Times New Roman" w:hAnsi="Times New Roman"/>
                <w:szCs w:val="24"/>
              </w:rPr>
              <w:t>Pravna osnova i upute</w:t>
            </w:r>
          </w:p>
        </w:tc>
      </w:tr>
      <w:tr w:rsidR="006C0DAA" w:rsidRPr="00E37E07" w14:paraId="5E2D55FF" w14:textId="77777777">
        <w:tc>
          <w:tcPr>
            <w:tcW w:w="1129" w:type="dxa"/>
          </w:tcPr>
          <w:p w14:paraId="68C56B41" w14:textId="77777777" w:rsidR="006C0DAA" w:rsidRPr="00E37E07" w:rsidRDefault="00E37E07">
            <w:pPr>
              <w:spacing w:after="120" w:line="240" w:lineRule="auto"/>
              <w:jc w:val="both"/>
              <w:rPr>
                <w:rFonts w:ascii="Times New Roman" w:eastAsia="Times New Roman" w:hAnsi="Times New Roman" w:cs="Times New Roman"/>
                <w:bCs/>
                <w:szCs w:val="24"/>
              </w:rPr>
            </w:pPr>
            <w:r w:rsidRPr="00E37E07">
              <w:rPr>
                <w:rFonts w:ascii="Times New Roman" w:hAnsi="Times New Roman"/>
                <w:bCs/>
                <w:szCs w:val="24"/>
              </w:rPr>
              <w:t>0010</w:t>
            </w:r>
          </w:p>
        </w:tc>
        <w:tc>
          <w:tcPr>
            <w:tcW w:w="7620" w:type="dxa"/>
          </w:tcPr>
          <w:p w14:paraId="78B095FE" w14:textId="77777777" w:rsidR="006C0DAA" w:rsidRPr="00E37E07" w:rsidRDefault="00E37E07">
            <w:pPr>
              <w:spacing w:after="120" w:line="240" w:lineRule="auto"/>
              <w:jc w:val="both"/>
              <w:rPr>
                <w:rFonts w:ascii="Times New Roman" w:eastAsia="Times New Roman" w:hAnsi="Times New Roman" w:cs="Times New Roman"/>
                <w:b/>
                <w:bCs/>
                <w:szCs w:val="24"/>
                <w:u w:val="single"/>
              </w:rPr>
            </w:pPr>
            <w:r w:rsidRPr="00E37E07">
              <w:rPr>
                <w:rFonts w:ascii="Times New Roman" w:hAnsi="Times New Roman"/>
                <w:b/>
                <w:bCs/>
                <w:szCs w:val="24"/>
                <w:u w:val="single"/>
              </w:rPr>
              <w:t>Prosječni iznos faktora – mjesec t</w:t>
            </w:r>
          </w:p>
          <w:p w14:paraId="29773B5E" w14:textId="77777777" w:rsidR="006C0DAA" w:rsidRPr="00E37E07" w:rsidRDefault="00E37E07">
            <w:pPr>
              <w:spacing w:after="120" w:line="240" w:lineRule="auto"/>
              <w:jc w:val="both"/>
              <w:rPr>
                <w:rFonts w:ascii="Times New Roman" w:eastAsia="Times New Roman" w:hAnsi="Times New Roman" w:cs="Times New Roman"/>
                <w:bCs/>
                <w:szCs w:val="24"/>
              </w:rPr>
            </w:pPr>
            <w:r w:rsidRPr="00E37E07">
              <w:rPr>
                <w:rFonts w:ascii="Times New Roman" w:hAnsi="Times New Roman"/>
                <w:bCs/>
                <w:szCs w:val="24"/>
              </w:rPr>
              <w:t xml:space="preserve">Vrijednost DTF-a na kraju trećeg (tj. </w:t>
            </w:r>
            <w:r w:rsidRPr="00E37E07">
              <w:rPr>
                <w:rFonts w:ascii="Times New Roman" w:hAnsi="Times New Roman"/>
                <w:bCs/>
                <w:szCs w:val="24"/>
              </w:rPr>
              <w:t>zadnjeg) mjeseca u tromjesečju na koje se izvješće odnosi</w:t>
            </w:r>
          </w:p>
        </w:tc>
      </w:tr>
      <w:tr w:rsidR="006C0DAA" w:rsidRPr="00E37E07" w14:paraId="3F51B1F8" w14:textId="77777777">
        <w:tc>
          <w:tcPr>
            <w:tcW w:w="1129" w:type="dxa"/>
          </w:tcPr>
          <w:p w14:paraId="0C48F11B" w14:textId="77777777" w:rsidR="006C0DAA" w:rsidRPr="00E37E07" w:rsidRDefault="00E37E07">
            <w:pPr>
              <w:spacing w:after="120" w:line="240" w:lineRule="auto"/>
              <w:jc w:val="both"/>
              <w:rPr>
                <w:rFonts w:ascii="Times New Roman" w:eastAsia="Times New Roman" w:hAnsi="Times New Roman" w:cs="Times New Roman"/>
                <w:bCs/>
                <w:szCs w:val="24"/>
              </w:rPr>
            </w:pPr>
            <w:r w:rsidRPr="00E37E07">
              <w:rPr>
                <w:rFonts w:ascii="Times New Roman" w:hAnsi="Times New Roman"/>
                <w:bCs/>
                <w:szCs w:val="24"/>
              </w:rPr>
              <w:t>0020</w:t>
            </w:r>
          </w:p>
        </w:tc>
        <w:tc>
          <w:tcPr>
            <w:tcW w:w="7620" w:type="dxa"/>
          </w:tcPr>
          <w:p w14:paraId="655647A3" w14:textId="77777777" w:rsidR="006C0DAA" w:rsidRPr="00E37E07" w:rsidRDefault="00E37E07">
            <w:pPr>
              <w:spacing w:after="120" w:line="240" w:lineRule="auto"/>
              <w:jc w:val="both"/>
              <w:rPr>
                <w:rFonts w:ascii="Times New Roman" w:eastAsia="Times New Roman" w:hAnsi="Times New Roman" w:cs="Times New Roman"/>
                <w:b/>
                <w:bCs/>
                <w:szCs w:val="24"/>
                <w:u w:val="single"/>
              </w:rPr>
            </w:pPr>
            <w:r w:rsidRPr="00E37E07">
              <w:rPr>
                <w:rFonts w:ascii="Times New Roman" w:hAnsi="Times New Roman"/>
                <w:b/>
                <w:bCs/>
                <w:szCs w:val="24"/>
                <w:u w:val="single"/>
              </w:rPr>
              <w:t>Prosječni iznos faktora – mjesec t–1</w:t>
            </w:r>
          </w:p>
          <w:p w14:paraId="3A072636" w14:textId="77777777" w:rsidR="006C0DAA" w:rsidRPr="00E37E07" w:rsidRDefault="00E37E07">
            <w:pPr>
              <w:spacing w:after="120" w:line="240" w:lineRule="auto"/>
              <w:jc w:val="both"/>
              <w:rPr>
                <w:rFonts w:ascii="Times New Roman" w:eastAsia="Times New Roman" w:hAnsi="Times New Roman" w:cs="Times New Roman"/>
                <w:b/>
                <w:bCs/>
                <w:szCs w:val="24"/>
                <w:u w:val="single"/>
              </w:rPr>
            </w:pPr>
            <w:r w:rsidRPr="00E37E07">
              <w:rPr>
                <w:rFonts w:ascii="Times New Roman" w:hAnsi="Times New Roman"/>
                <w:bCs/>
                <w:szCs w:val="24"/>
              </w:rPr>
              <w:t>Vrijednost DTF-a na kraju drugog mjeseca u tromjesečju na koje se izvješće odnosi</w:t>
            </w:r>
          </w:p>
        </w:tc>
      </w:tr>
      <w:tr w:rsidR="006C0DAA" w:rsidRPr="00E37E07" w14:paraId="2E2241CD" w14:textId="77777777">
        <w:tc>
          <w:tcPr>
            <w:tcW w:w="1129" w:type="dxa"/>
          </w:tcPr>
          <w:p w14:paraId="3C255474" w14:textId="77777777" w:rsidR="006C0DAA" w:rsidRPr="00E37E07" w:rsidRDefault="00E37E07">
            <w:pPr>
              <w:spacing w:after="120" w:line="240" w:lineRule="auto"/>
              <w:jc w:val="both"/>
              <w:rPr>
                <w:rFonts w:ascii="Times New Roman" w:eastAsia="Times New Roman" w:hAnsi="Times New Roman" w:cs="Times New Roman"/>
                <w:bCs/>
                <w:szCs w:val="24"/>
              </w:rPr>
            </w:pPr>
            <w:r w:rsidRPr="00E37E07">
              <w:rPr>
                <w:rFonts w:ascii="Times New Roman" w:hAnsi="Times New Roman"/>
                <w:bCs/>
                <w:szCs w:val="24"/>
              </w:rPr>
              <w:t>0030</w:t>
            </w:r>
          </w:p>
        </w:tc>
        <w:tc>
          <w:tcPr>
            <w:tcW w:w="7620" w:type="dxa"/>
          </w:tcPr>
          <w:p w14:paraId="7F25CC6A" w14:textId="77777777" w:rsidR="006C0DAA" w:rsidRPr="00E37E07" w:rsidRDefault="00E37E07">
            <w:pPr>
              <w:spacing w:after="120" w:line="240" w:lineRule="auto"/>
              <w:jc w:val="both"/>
              <w:rPr>
                <w:rFonts w:ascii="Times New Roman" w:eastAsia="Times New Roman" w:hAnsi="Times New Roman" w:cs="Times New Roman"/>
                <w:b/>
                <w:bCs/>
                <w:szCs w:val="24"/>
                <w:u w:val="single"/>
              </w:rPr>
            </w:pPr>
            <w:r w:rsidRPr="00E37E07">
              <w:rPr>
                <w:rFonts w:ascii="Times New Roman" w:hAnsi="Times New Roman"/>
                <w:b/>
                <w:bCs/>
                <w:szCs w:val="24"/>
                <w:u w:val="single"/>
              </w:rPr>
              <w:t>Prosječni iznos faktora – mjesec t-2</w:t>
            </w:r>
          </w:p>
          <w:p w14:paraId="681FFC63" w14:textId="77777777" w:rsidR="006C0DAA" w:rsidRPr="00E37E07" w:rsidRDefault="00E37E07">
            <w:pPr>
              <w:spacing w:after="120" w:line="240" w:lineRule="auto"/>
              <w:jc w:val="both"/>
              <w:rPr>
                <w:rFonts w:ascii="Times New Roman" w:eastAsia="Times New Roman" w:hAnsi="Times New Roman" w:cs="Times New Roman"/>
                <w:b/>
                <w:bCs/>
                <w:szCs w:val="24"/>
                <w:u w:val="single"/>
              </w:rPr>
            </w:pPr>
            <w:r w:rsidRPr="00E37E07">
              <w:rPr>
                <w:rFonts w:ascii="Times New Roman" w:hAnsi="Times New Roman"/>
                <w:bCs/>
                <w:szCs w:val="24"/>
              </w:rPr>
              <w:t xml:space="preserve">Vrijednost DTF-a na kraju </w:t>
            </w:r>
            <w:r w:rsidRPr="00E37E07">
              <w:rPr>
                <w:rFonts w:ascii="Times New Roman" w:hAnsi="Times New Roman"/>
                <w:bCs/>
                <w:szCs w:val="24"/>
              </w:rPr>
              <w:t>prvog mjeseca u tromjesečju na koje se izvješće odnosi</w:t>
            </w:r>
          </w:p>
        </w:tc>
      </w:tr>
    </w:tbl>
    <w:p w14:paraId="73431529" w14:textId="77777777" w:rsidR="006C0DAA" w:rsidRPr="00E37E07" w:rsidRDefault="006C0DAA">
      <w:pPr>
        <w:rPr>
          <w:rFonts w:ascii="Times New Roman" w:eastAsia="Arial" w:hAnsi="Times New Roman" w:cs="Times New Roman"/>
          <w:sz w:val="24"/>
          <w:szCs w:val="24"/>
          <w:u w:val="single"/>
        </w:rPr>
      </w:pPr>
    </w:p>
    <w:p w14:paraId="6F8FAEDE" w14:textId="77777777" w:rsidR="006C0DAA" w:rsidRPr="00E37E07" w:rsidRDefault="00E37E07">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80" w:name="_Toc88218424"/>
      <w:r w:rsidRPr="00E37E07">
        <w:rPr>
          <w:rFonts w:ascii="Times New Roman" w:hAnsi="Times New Roman"/>
          <w:sz w:val="24"/>
          <w:szCs w:val="24"/>
          <w:u w:val="single"/>
        </w:rPr>
        <w:t>3.14. I 06.13 – PROSJEČNA VRIJEDNOST UKUPNIH DNEVNIH PROMETA TRGOVANJA (I 6.13)</w:t>
      </w:r>
      <w:bookmarkEnd w:id="80"/>
    </w:p>
    <w:p w14:paraId="763466EB" w14:textId="77777777" w:rsidR="006C0DAA" w:rsidRPr="00E37E07" w:rsidRDefault="00E37E07">
      <w:pPr>
        <w:pStyle w:val="Instructionsberschrift2"/>
        <w:ind w:left="357" w:hanging="215"/>
        <w:rPr>
          <w:rFonts w:ascii="Times New Roman" w:hAnsi="Times New Roman" w:cs="Times New Roman"/>
          <w:sz w:val="24"/>
        </w:rPr>
      </w:pPr>
      <w:bookmarkStart w:id="81" w:name="_Toc88218425"/>
      <w:r w:rsidRPr="00E37E07">
        <w:rPr>
          <w:rFonts w:ascii="Times New Roman" w:hAnsi="Times New Roman"/>
          <w:sz w:val="24"/>
          <w:u w:val="none"/>
        </w:rPr>
        <w:t xml:space="preserve">3.14.1. </w:t>
      </w:r>
      <w:r w:rsidRPr="00E37E07">
        <w:rPr>
          <w:rFonts w:ascii="Times New Roman" w:hAnsi="Times New Roman"/>
          <w:sz w:val="24"/>
        </w:rPr>
        <w:t>Upute za specifične pozicije</w:t>
      </w:r>
      <w:bookmarkEnd w:id="8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C0DAA" w:rsidRPr="00E37E07" w14:paraId="1FD9E5B0" w14:textId="77777777">
        <w:tc>
          <w:tcPr>
            <w:tcW w:w="1129" w:type="dxa"/>
            <w:shd w:val="clear" w:color="auto" w:fill="D9D9D9"/>
          </w:tcPr>
          <w:p w14:paraId="535D3158" w14:textId="77777777" w:rsidR="006C0DAA" w:rsidRPr="00E37E07" w:rsidRDefault="00E37E07">
            <w:pPr>
              <w:spacing w:after="120" w:line="240" w:lineRule="auto"/>
              <w:jc w:val="both"/>
              <w:rPr>
                <w:rFonts w:ascii="Times New Roman" w:eastAsia="Times New Roman" w:hAnsi="Times New Roman" w:cs="Times New Roman"/>
                <w:bCs/>
                <w:szCs w:val="24"/>
              </w:rPr>
            </w:pPr>
            <w:r w:rsidRPr="00E37E07">
              <w:rPr>
                <w:rFonts w:ascii="Times New Roman" w:hAnsi="Times New Roman"/>
                <w:szCs w:val="24"/>
              </w:rPr>
              <w:t>Redak</w:t>
            </w:r>
          </w:p>
        </w:tc>
        <w:tc>
          <w:tcPr>
            <w:tcW w:w="7620" w:type="dxa"/>
            <w:shd w:val="clear" w:color="auto" w:fill="D9D9D9"/>
          </w:tcPr>
          <w:p w14:paraId="393ACD11" w14:textId="77777777" w:rsidR="006C0DAA" w:rsidRPr="00E37E07" w:rsidRDefault="00E37E07">
            <w:pPr>
              <w:spacing w:after="120" w:line="240" w:lineRule="auto"/>
              <w:jc w:val="both"/>
              <w:rPr>
                <w:rFonts w:ascii="Times New Roman" w:eastAsia="Times New Roman" w:hAnsi="Times New Roman" w:cs="Times New Roman"/>
                <w:bCs/>
                <w:szCs w:val="24"/>
              </w:rPr>
            </w:pPr>
            <w:r w:rsidRPr="00E37E07">
              <w:rPr>
                <w:rFonts w:ascii="Times New Roman" w:hAnsi="Times New Roman"/>
                <w:szCs w:val="24"/>
              </w:rPr>
              <w:t>Pravna osnova i upute</w:t>
            </w:r>
          </w:p>
        </w:tc>
      </w:tr>
      <w:tr w:rsidR="006C0DAA" w:rsidRPr="00E37E07" w14:paraId="5A58DCCE" w14:textId="77777777">
        <w:tc>
          <w:tcPr>
            <w:tcW w:w="1129" w:type="dxa"/>
          </w:tcPr>
          <w:p w14:paraId="054D429E" w14:textId="77777777" w:rsidR="006C0DAA" w:rsidRPr="00E37E07" w:rsidRDefault="00E37E07">
            <w:pPr>
              <w:spacing w:after="120" w:line="240" w:lineRule="auto"/>
              <w:jc w:val="both"/>
              <w:rPr>
                <w:rFonts w:ascii="Times New Roman" w:eastAsia="Times New Roman" w:hAnsi="Times New Roman" w:cs="Times New Roman"/>
                <w:bCs/>
                <w:szCs w:val="24"/>
              </w:rPr>
            </w:pPr>
            <w:r w:rsidRPr="00E37E07">
              <w:rPr>
                <w:rFonts w:ascii="Times New Roman" w:hAnsi="Times New Roman"/>
                <w:bCs/>
                <w:szCs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0016B4A" w14:textId="77777777" w:rsidR="006C0DAA" w:rsidRPr="00E37E07" w:rsidRDefault="00E37E07">
            <w:pPr>
              <w:spacing w:after="120" w:line="240" w:lineRule="auto"/>
              <w:jc w:val="both"/>
              <w:rPr>
                <w:rFonts w:ascii="Times New Roman" w:eastAsia="Times New Roman" w:hAnsi="Times New Roman" w:cs="Times New Roman"/>
                <w:b/>
                <w:bCs/>
                <w:szCs w:val="24"/>
                <w:u w:val="single"/>
              </w:rPr>
            </w:pPr>
            <w:r w:rsidRPr="00E37E07">
              <w:rPr>
                <w:rFonts w:ascii="Times New Roman" w:hAnsi="Times New Roman"/>
                <w:b/>
                <w:bCs/>
                <w:szCs w:val="24"/>
                <w:u w:val="single"/>
              </w:rPr>
              <w:t xml:space="preserve">Dnevni promet trgovanja – novčane </w:t>
            </w:r>
            <w:r w:rsidRPr="00E37E07">
              <w:rPr>
                <w:rFonts w:ascii="Times New Roman" w:hAnsi="Times New Roman"/>
                <w:b/>
                <w:bCs/>
                <w:szCs w:val="24"/>
                <w:u w:val="single"/>
              </w:rPr>
              <w:t>transakcije</w:t>
            </w:r>
          </w:p>
          <w:p w14:paraId="517D98B9" w14:textId="77777777" w:rsidR="006C0DAA" w:rsidRPr="00E37E07" w:rsidRDefault="00E37E07">
            <w:pPr>
              <w:spacing w:after="120" w:line="240" w:lineRule="auto"/>
              <w:jc w:val="both"/>
              <w:rPr>
                <w:rFonts w:ascii="Times New Roman" w:eastAsia="Times New Roman" w:hAnsi="Times New Roman" w:cs="Times New Roman"/>
                <w:bCs/>
                <w:szCs w:val="24"/>
              </w:rPr>
            </w:pPr>
            <w:r w:rsidRPr="00E37E07">
              <w:rPr>
                <w:rFonts w:ascii="Times New Roman" w:hAnsi="Times New Roman"/>
                <w:bCs/>
              </w:rPr>
              <w:t>Prosječna vrijednost ukupnog dnevnog prometa trgovanja (novčana vrijednost) u relevantnom mjesecu kako je navedeno u članku 33. stavku 1. Uredbe (EU) 2019/2033, koja se mjeri u skladu s člankom 33. stavkom 2. točkom (a) Uredbe (EU) 2019/2033.</w:t>
            </w:r>
          </w:p>
        </w:tc>
      </w:tr>
      <w:tr w:rsidR="006C0DAA" w:rsidRPr="00E37E07" w14:paraId="29113F76" w14:textId="77777777">
        <w:tc>
          <w:tcPr>
            <w:tcW w:w="1129" w:type="dxa"/>
          </w:tcPr>
          <w:p w14:paraId="1E1BAC3F" w14:textId="77777777" w:rsidR="006C0DAA" w:rsidRPr="00E37E07" w:rsidRDefault="00E37E07">
            <w:pPr>
              <w:spacing w:after="120" w:line="240" w:lineRule="auto"/>
              <w:jc w:val="both"/>
              <w:rPr>
                <w:rFonts w:ascii="Times New Roman" w:eastAsia="Times New Roman" w:hAnsi="Times New Roman" w:cs="Times New Roman"/>
                <w:bCs/>
                <w:szCs w:val="24"/>
              </w:rPr>
            </w:pPr>
            <w:r w:rsidRPr="00E37E07">
              <w:rPr>
                <w:rFonts w:ascii="Times New Roman" w:hAnsi="Times New Roman"/>
                <w:bCs/>
                <w:szCs w:val="24"/>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6ABA576" w14:textId="77777777" w:rsidR="006C0DAA" w:rsidRPr="00E37E07" w:rsidRDefault="00E37E07">
            <w:pPr>
              <w:spacing w:after="120" w:line="240" w:lineRule="auto"/>
              <w:jc w:val="both"/>
              <w:rPr>
                <w:rFonts w:ascii="Times New Roman" w:eastAsia="Times New Roman" w:hAnsi="Times New Roman" w:cs="Times New Roman"/>
                <w:b/>
                <w:bCs/>
                <w:szCs w:val="24"/>
                <w:u w:val="single"/>
              </w:rPr>
            </w:pPr>
            <w:r w:rsidRPr="00E37E07">
              <w:rPr>
                <w:rFonts w:ascii="Times New Roman" w:hAnsi="Times New Roman"/>
                <w:b/>
                <w:bCs/>
                <w:szCs w:val="24"/>
                <w:u w:val="single"/>
              </w:rPr>
              <w:t>Dnevni promet trgovanja – trgovanje izvedenicama</w:t>
            </w:r>
          </w:p>
          <w:p w14:paraId="21F758AA" w14:textId="77777777" w:rsidR="006C0DAA" w:rsidRPr="00E37E07" w:rsidRDefault="00E37E07">
            <w:pPr>
              <w:spacing w:after="120" w:line="240" w:lineRule="auto"/>
              <w:jc w:val="both"/>
              <w:rPr>
                <w:rFonts w:ascii="Times New Roman" w:eastAsia="Times New Roman" w:hAnsi="Times New Roman" w:cs="Times New Roman"/>
                <w:bCs/>
                <w:szCs w:val="24"/>
                <w:u w:val="single"/>
              </w:rPr>
            </w:pPr>
            <w:r w:rsidRPr="00E37E07">
              <w:rPr>
                <w:rFonts w:ascii="Times New Roman" w:hAnsi="Times New Roman"/>
                <w:bCs/>
              </w:rPr>
              <w:lastRenderedPageBreak/>
              <w:t>Prosječna vrijednost ukupne dnevne vrijednosti prometa trgovanja (trgovanje izvedenicama) u relevantnom mjesecu kako je navedeno u članku 33. stavku 1. Uredbe (EU) 2019/2033, koja se mjeri u skladu s čl</w:t>
            </w:r>
            <w:r w:rsidRPr="00E37E07">
              <w:rPr>
                <w:rFonts w:ascii="Times New Roman" w:hAnsi="Times New Roman"/>
                <w:bCs/>
              </w:rPr>
              <w:t>ankom 33. stavkom 2. točkom (b) Uredbe (EU) 2019/2033.</w:t>
            </w:r>
          </w:p>
        </w:tc>
      </w:tr>
    </w:tbl>
    <w:p w14:paraId="15BC5335" w14:textId="77777777" w:rsidR="006C0DAA" w:rsidRPr="00E37E07" w:rsidRDefault="006C0DAA">
      <w:pPr>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C0DAA" w:rsidRPr="00E37E07" w14:paraId="02B54BFC" w14:textId="77777777">
        <w:tc>
          <w:tcPr>
            <w:tcW w:w="1129" w:type="dxa"/>
            <w:shd w:val="clear" w:color="auto" w:fill="D9D9D9"/>
          </w:tcPr>
          <w:p w14:paraId="74D0DAB6"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Stupci</w:t>
            </w:r>
          </w:p>
        </w:tc>
        <w:tc>
          <w:tcPr>
            <w:tcW w:w="7620" w:type="dxa"/>
            <w:shd w:val="clear" w:color="auto" w:fill="D9D9D9"/>
          </w:tcPr>
          <w:p w14:paraId="0B637CBE"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Pravna osnova i upute</w:t>
            </w:r>
          </w:p>
        </w:tc>
      </w:tr>
      <w:tr w:rsidR="006C0DAA" w:rsidRPr="00E37E07" w14:paraId="4ECFECCF" w14:textId="77777777">
        <w:tc>
          <w:tcPr>
            <w:tcW w:w="1129" w:type="dxa"/>
          </w:tcPr>
          <w:p w14:paraId="0030B68D"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0010 – 0080</w:t>
            </w:r>
          </w:p>
        </w:tc>
        <w:tc>
          <w:tcPr>
            <w:tcW w:w="7620" w:type="dxa"/>
          </w:tcPr>
          <w:p w14:paraId="67D7F4F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
                <w:bCs/>
                <w:u w:val="single"/>
              </w:rPr>
              <w:t>Mjesečni prosjeci ukupnih dnevnih vrijednosti prometa trgovanja</w:t>
            </w:r>
          </w:p>
          <w:p w14:paraId="62DCE1D1"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Investicijska društva u odgovarajućem stupcu mjeseca iskazuju prosječnu mjesečnu </w:t>
            </w:r>
            <w:r w:rsidRPr="00E37E07">
              <w:rPr>
                <w:rFonts w:ascii="Times New Roman" w:hAnsi="Times New Roman"/>
                <w:bCs/>
              </w:rPr>
              <w:t>vrijednost ukupne dnevne vrijednosti prometa trgovanja, koja se mjeri tijekom svakog radnog dana u skladu s člankom 33. stavkom 1. Uredbe (EU) 2019/2033.</w:t>
            </w:r>
          </w:p>
        </w:tc>
      </w:tr>
    </w:tbl>
    <w:p w14:paraId="19BCB1E5" w14:textId="77777777" w:rsidR="006C0DAA" w:rsidRPr="00E37E07" w:rsidRDefault="006C0DAA">
      <w:pPr>
        <w:rPr>
          <w:rFonts w:ascii="Times New Roman" w:eastAsia="Arial" w:hAnsi="Times New Roman" w:cs="Times New Roman"/>
          <w:sz w:val="24"/>
          <w:szCs w:val="24"/>
          <w:u w:val="single"/>
          <w:lang w:val="en-IE"/>
        </w:rPr>
      </w:pPr>
    </w:p>
    <w:p w14:paraId="770158DB" w14:textId="77777777" w:rsidR="006C0DAA" w:rsidRPr="00E37E07" w:rsidRDefault="00E37E07">
      <w:pPr>
        <w:pStyle w:val="Instructionsberschrift2"/>
        <w:ind w:left="357" w:hanging="357"/>
        <w:rPr>
          <w:rFonts w:ascii="Times New Roman" w:hAnsi="Times New Roman" w:cs="Times New Roman"/>
          <w:b/>
          <w:sz w:val="24"/>
        </w:rPr>
      </w:pPr>
      <w:bookmarkStart w:id="82" w:name="_Toc88218426"/>
      <w:r w:rsidRPr="00E37E07">
        <w:rPr>
          <w:rFonts w:ascii="Times New Roman" w:hAnsi="Times New Roman"/>
          <w:b/>
          <w:sz w:val="24"/>
        </w:rPr>
        <w:t>4. IZVJEŠĆIVANJE O KONCENTRACIJSKOM RIZIKU</w:t>
      </w:r>
      <w:bookmarkEnd w:id="82"/>
    </w:p>
    <w:p w14:paraId="09BAD262" w14:textId="77777777" w:rsidR="006C0DAA" w:rsidRPr="00E37E07" w:rsidRDefault="00E37E07">
      <w:pPr>
        <w:pStyle w:val="Instructionsberschrift2"/>
        <w:ind w:left="357" w:hanging="357"/>
        <w:rPr>
          <w:rFonts w:ascii="Times New Roman" w:hAnsi="Times New Roman" w:cs="Times New Roman"/>
          <w:sz w:val="24"/>
        </w:rPr>
      </w:pPr>
      <w:bookmarkStart w:id="83" w:name="_Toc88218427"/>
      <w:r w:rsidRPr="00E37E07">
        <w:rPr>
          <w:rFonts w:ascii="Times New Roman" w:hAnsi="Times New Roman"/>
          <w:sz w:val="24"/>
        </w:rPr>
        <w:t>4.1. Opće napomene</w:t>
      </w:r>
      <w:bookmarkEnd w:id="83"/>
    </w:p>
    <w:p w14:paraId="5F25A0CA" w14:textId="77777777" w:rsidR="006C0DAA" w:rsidRPr="00E37E07" w:rsidRDefault="00E37E07">
      <w:pPr>
        <w:spacing w:line="256" w:lineRule="auto"/>
        <w:ind w:left="993" w:hanging="567"/>
        <w:jc w:val="both"/>
        <w:rPr>
          <w:rFonts w:ascii="Times New Roman" w:hAnsi="Times New Roman" w:cs="Times New Roman"/>
          <w:sz w:val="24"/>
        </w:rPr>
      </w:pPr>
      <w:r w:rsidRPr="00E37E07">
        <w:rPr>
          <w:rFonts w:ascii="Times New Roman" w:hAnsi="Times New Roman" w:cs="Times New Roman"/>
          <w:sz w:val="24"/>
        </w:rPr>
        <w:t>16.</w:t>
      </w:r>
      <w:r w:rsidRPr="00E37E07">
        <w:rPr>
          <w:rFonts w:ascii="Times New Roman" w:hAnsi="Times New Roman" w:cs="Times New Roman"/>
          <w:sz w:val="24"/>
        </w:rPr>
        <w:tab/>
      </w:r>
      <w:r w:rsidRPr="00E37E07">
        <w:rPr>
          <w:rFonts w:ascii="Times New Roman" w:hAnsi="Times New Roman"/>
          <w:sz w:val="24"/>
        </w:rPr>
        <w:t>Izvješćivanje o koncentracijskom riziku obuhvaća informacije o koncentracijskim rizicima kojima je investicijsko društvo izloženo kroz svoje pozicije iz knjige trgovanja zbog neispunjenja obveza drugih ugovornih strana. To dovodi do izračuna faktora K-CON,</w:t>
      </w:r>
      <w:r w:rsidRPr="00E37E07">
        <w:rPr>
          <w:rFonts w:ascii="Times New Roman" w:hAnsi="Times New Roman"/>
          <w:sz w:val="24"/>
        </w:rPr>
        <w:t xml:space="preserve"> dodatnog kapitalnog zahtjeva zbog izloženosti investicijskog društva u njegovoj bilanci. </w:t>
      </w:r>
      <w:r w:rsidRPr="00E37E07">
        <w:rPr>
          <w:rFonts w:ascii="Times New Roman" w:hAnsi="Times New Roman"/>
        </w:rPr>
        <w:t>To je u skladu s definicijom „koncentracijskog rizika” iz članka 4. stavka 1. točke 31. Uredbe (EU) 2019/2033 u skladu s kojom:</w:t>
      </w:r>
      <w:r w:rsidRPr="00E37E07">
        <w:rPr>
          <w:rFonts w:ascii="Times New Roman" w:hAnsi="Times New Roman"/>
          <w:sz w:val="24"/>
        </w:rPr>
        <w:t xml:space="preserve"> „koncentracijski rizik ” ili „CON” zna</w:t>
      </w:r>
      <w:r w:rsidRPr="00E37E07">
        <w:rPr>
          <w:rFonts w:ascii="Times New Roman" w:hAnsi="Times New Roman"/>
          <w:sz w:val="24"/>
        </w:rPr>
        <w:t>či izloženosti u knjizi trgovanja investicijskog društva prema klijentu ili grupi povezanih klijenata čija vrijednost prekoračuje ograničenja iz članka 37. stavka 1.</w:t>
      </w:r>
    </w:p>
    <w:p w14:paraId="41963F26" w14:textId="77777777" w:rsidR="006C0DAA" w:rsidRPr="00E37E07" w:rsidRDefault="00E37E07">
      <w:pPr>
        <w:spacing w:line="256" w:lineRule="auto"/>
        <w:ind w:left="993" w:hanging="567"/>
        <w:jc w:val="both"/>
        <w:rPr>
          <w:rFonts w:ascii="Times New Roman" w:hAnsi="Times New Roman" w:cs="Times New Roman"/>
          <w:sz w:val="24"/>
        </w:rPr>
      </w:pPr>
      <w:r w:rsidRPr="00E37E07">
        <w:rPr>
          <w:rFonts w:ascii="Times New Roman" w:hAnsi="Times New Roman" w:cs="Times New Roman"/>
          <w:sz w:val="24"/>
        </w:rPr>
        <w:t>17.</w:t>
      </w:r>
      <w:r w:rsidRPr="00E37E07">
        <w:rPr>
          <w:rFonts w:ascii="Times New Roman" w:hAnsi="Times New Roman" w:cs="Times New Roman"/>
          <w:sz w:val="24"/>
        </w:rPr>
        <w:tab/>
      </w:r>
      <w:r w:rsidRPr="00E37E07">
        <w:rPr>
          <w:rFonts w:ascii="Times New Roman" w:hAnsi="Times New Roman"/>
          <w:sz w:val="24"/>
        </w:rPr>
        <w:t>Izvješćivanje o koncentracijskom riziku uključuje i informacije o sljedećem:</w:t>
      </w:r>
    </w:p>
    <w:p w14:paraId="3C015F82" w14:textId="77777777" w:rsidR="006C0DAA" w:rsidRPr="00E37E07" w:rsidRDefault="00E37E07">
      <w:pPr>
        <w:spacing w:after="0" w:line="276" w:lineRule="auto"/>
        <w:ind w:left="2160" w:hanging="180"/>
        <w:jc w:val="both"/>
        <w:rPr>
          <w:rFonts w:ascii="Times New Roman" w:hAnsi="Times New Roman" w:cs="Times New Roman"/>
          <w:sz w:val="24"/>
        </w:rPr>
      </w:pPr>
      <w:r w:rsidRPr="00E37E07">
        <w:rPr>
          <w:rFonts w:ascii="Times New Roman" w:hAnsi="Times New Roman" w:cs="Times New Roman"/>
          <w:sz w:val="24"/>
        </w:rPr>
        <w:t>i.</w:t>
      </w:r>
      <w:r w:rsidRPr="00E37E07">
        <w:rPr>
          <w:rFonts w:ascii="Times New Roman" w:hAnsi="Times New Roman" w:cs="Times New Roman"/>
          <w:sz w:val="24"/>
        </w:rPr>
        <w:tab/>
      </w:r>
      <w:r w:rsidRPr="00E37E07">
        <w:rPr>
          <w:rFonts w:ascii="Times New Roman" w:hAnsi="Times New Roman"/>
          <w:sz w:val="24"/>
        </w:rPr>
        <w:t>novčan</w:t>
      </w:r>
      <w:r w:rsidRPr="00E37E07">
        <w:rPr>
          <w:rFonts w:ascii="Times New Roman" w:hAnsi="Times New Roman"/>
          <w:sz w:val="24"/>
        </w:rPr>
        <w:t>a sredstva klijenta;</w:t>
      </w:r>
    </w:p>
    <w:p w14:paraId="1BB9DBBD" w14:textId="77777777" w:rsidR="006C0DAA" w:rsidRPr="00E37E07" w:rsidRDefault="00E37E07">
      <w:pPr>
        <w:spacing w:after="0" w:line="276" w:lineRule="auto"/>
        <w:ind w:left="2160" w:hanging="180"/>
        <w:jc w:val="both"/>
        <w:rPr>
          <w:rFonts w:ascii="Times New Roman" w:hAnsi="Times New Roman" w:cs="Times New Roman"/>
          <w:sz w:val="24"/>
        </w:rPr>
      </w:pPr>
      <w:r w:rsidRPr="00E37E07">
        <w:rPr>
          <w:rFonts w:ascii="Times New Roman" w:hAnsi="Times New Roman" w:cs="Times New Roman"/>
          <w:sz w:val="24"/>
        </w:rPr>
        <w:t>ii.</w:t>
      </w:r>
      <w:r w:rsidRPr="00E37E07">
        <w:rPr>
          <w:rFonts w:ascii="Times New Roman" w:hAnsi="Times New Roman" w:cs="Times New Roman"/>
          <w:sz w:val="24"/>
        </w:rPr>
        <w:tab/>
      </w:r>
      <w:r w:rsidRPr="00E37E07">
        <w:rPr>
          <w:rFonts w:ascii="Times New Roman" w:hAnsi="Times New Roman"/>
          <w:sz w:val="24"/>
        </w:rPr>
        <w:t>imovina klijenta;</w:t>
      </w:r>
    </w:p>
    <w:p w14:paraId="442FAF83" w14:textId="77777777" w:rsidR="006C0DAA" w:rsidRPr="00E37E07" w:rsidRDefault="00E37E07">
      <w:pPr>
        <w:spacing w:after="0" w:line="276" w:lineRule="auto"/>
        <w:ind w:left="2160" w:hanging="180"/>
        <w:jc w:val="both"/>
        <w:rPr>
          <w:rFonts w:ascii="Times New Roman" w:hAnsi="Times New Roman" w:cs="Times New Roman"/>
          <w:sz w:val="24"/>
        </w:rPr>
      </w:pPr>
      <w:r w:rsidRPr="00E37E07">
        <w:rPr>
          <w:rFonts w:ascii="Times New Roman" w:hAnsi="Times New Roman" w:cs="Times New Roman"/>
          <w:sz w:val="24"/>
        </w:rPr>
        <w:t>iii.</w:t>
      </w:r>
      <w:r w:rsidRPr="00E37E07">
        <w:rPr>
          <w:rFonts w:ascii="Times New Roman" w:hAnsi="Times New Roman" w:cs="Times New Roman"/>
          <w:sz w:val="24"/>
        </w:rPr>
        <w:tab/>
      </w:r>
      <w:r w:rsidRPr="00E37E07">
        <w:rPr>
          <w:rFonts w:ascii="Times New Roman" w:hAnsi="Times New Roman"/>
          <w:sz w:val="24"/>
        </w:rPr>
        <w:t>vlastita novčana sredstva društva;</w:t>
      </w:r>
    </w:p>
    <w:p w14:paraId="746D03DC" w14:textId="77777777" w:rsidR="006C0DAA" w:rsidRPr="00E37E07" w:rsidRDefault="00E37E07">
      <w:pPr>
        <w:spacing w:after="0" w:line="276" w:lineRule="auto"/>
        <w:ind w:left="2160" w:hanging="180"/>
        <w:jc w:val="both"/>
        <w:rPr>
          <w:rFonts w:ascii="Times New Roman" w:hAnsi="Times New Roman" w:cs="Times New Roman"/>
          <w:sz w:val="24"/>
        </w:rPr>
      </w:pPr>
      <w:r w:rsidRPr="00E37E07">
        <w:rPr>
          <w:rFonts w:ascii="Times New Roman" w:hAnsi="Times New Roman" w:cs="Times New Roman"/>
          <w:sz w:val="24"/>
        </w:rPr>
        <w:t>iv.</w:t>
      </w:r>
      <w:r w:rsidRPr="00E37E07">
        <w:rPr>
          <w:rFonts w:ascii="Times New Roman" w:hAnsi="Times New Roman" w:cs="Times New Roman"/>
          <w:sz w:val="24"/>
        </w:rPr>
        <w:tab/>
      </w:r>
      <w:r w:rsidRPr="00E37E07">
        <w:rPr>
          <w:rFonts w:ascii="Times New Roman" w:hAnsi="Times New Roman"/>
          <w:sz w:val="24"/>
        </w:rPr>
        <w:t>dobit od klijenata;</w:t>
      </w:r>
    </w:p>
    <w:p w14:paraId="153A15DF" w14:textId="77777777" w:rsidR="006C0DAA" w:rsidRPr="00E37E07" w:rsidRDefault="00E37E07">
      <w:pPr>
        <w:spacing w:after="0" w:line="276" w:lineRule="auto"/>
        <w:ind w:left="2160" w:hanging="180"/>
        <w:jc w:val="both"/>
        <w:rPr>
          <w:rFonts w:ascii="Times New Roman" w:hAnsi="Times New Roman" w:cs="Times New Roman"/>
          <w:sz w:val="24"/>
        </w:rPr>
      </w:pPr>
      <w:r w:rsidRPr="00E37E07">
        <w:rPr>
          <w:rFonts w:ascii="Times New Roman" w:hAnsi="Times New Roman" w:cs="Times New Roman"/>
          <w:sz w:val="24"/>
        </w:rPr>
        <w:t>v.</w:t>
      </w:r>
      <w:r w:rsidRPr="00E37E07">
        <w:rPr>
          <w:rFonts w:ascii="Times New Roman" w:hAnsi="Times New Roman" w:cs="Times New Roman"/>
          <w:sz w:val="24"/>
        </w:rPr>
        <w:tab/>
      </w:r>
      <w:r w:rsidRPr="00E37E07">
        <w:rPr>
          <w:rFonts w:ascii="Times New Roman" w:hAnsi="Times New Roman"/>
          <w:sz w:val="24"/>
        </w:rPr>
        <w:t>pozicije iz knjige trgovanja;</w:t>
      </w:r>
    </w:p>
    <w:p w14:paraId="7065C4BB" w14:textId="77777777" w:rsidR="006C0DAA" w:rsidRPr="00E37E07" w:rsidRDefault="00E37E07">
      <w:pPr>
        <w:spacing w:after="0" w:line="276" w:lineRule="auto"/>
        <w:ind w:left="2160" w:hanging="180"/>
        <w:jc w:val="both"/>
        <w:rPr>
          <w:rFonts w:ascii="Times New Roman" w:hAnsi="Times New Roman" w:cs="Times New Roman"/>
          <w:sz w:val="24"/>
        </w:rPr>
      </w:pPr>
      <w:r w:rsidRPr="00E37E07">
        <w:rPr>
          <w:rFonts w:ascii="Times New Roman" w:hAnsi="Times New Roman" w:cs="Times New Roman"/>
          <w:sz w:val="24"/>
        </w:rPr>
        <w:t>vi.</w:t>
      </w:r>
      <w:r w:rsidRPr="00E37E07">
        <w:rPr>
          <w:rFonts w:ascii="Times New Roman" w:hAnsi="Times New Roman" w:cs="Times New Roman"/>
          <w:sz w:val="24"/>
        </w:rPr>
        <w:tab/>
      </w:r>
      <w:r w:rsidRPr="00E37E07">
        <w:rPr>
          <w:rFonts w:ascii="Times New Roman" w:hAnsi="Times New Roman"/>
          <w:sz w:val="24"/>
        </w:rPr>
        <w:t>izloženosti izračunane uzimajući u obzir imovinu i izvanbilančne stavke koje nisu evidentirane u knjizi trgovanj</w:t>
      </w:r>
      <w:r w:rsidRPr="00E37E07">
        <w:rPr>
          <w:rFonts w:ascii="Times New Roman" w:hAnsi="Times New Roman"/>
          <w:sz w:val="24"/>
        </w:rPr>
        <w:t>a.</w:t>
      </w:r>
    </w:p>
    <w:p w14:paraId="0B392708" w14:textId="77777777" w:rsidR="006C0DAA" w:rsidRPr="00E37E07" w:rsidRDefault="00E37E07">
      <w:pPr>
        <w:spacing w:line="256" w:lineRule="auto"/>
        <w:ind w:left="993" w:hanging="567"/>
        <w:jc w:val="both"/>
        <w:rPr>
          <w:rFonts w:ascii="Times New Roman" w:hAnsi="Times New Roman" w:cs="Times New Roman"/>
          <w:sz w:val="24"/>
        </w:rPr>
      </w:pPr>
      <w:r w:rsidRPr="00E37E07">
        <w:rPr>
          <w:rFonts w:ascii="Times New Roman" w:hAnsi="Times New Roman" w:cs="Times New Roman"/>
          <w:sz w:val="24"/>
        </w:rPr>
        <w:t>18.</w:t>
      </w:r>
      <w:r w:rsidRPr="00E37E07">
        <w:rPr>
          <w:rFonts w:ascii="Times New Roman" w:hAnsi="Times New Roman" w:cs="Times New Roman"/>
          <w:sz w:val="24"/>
        </w:rPr>
        <w:tab/>
      </w:r>
      <w:r w:rsidRPr="00E37E07">
        <w:rPr>
          <w:rFonts w:ascii="Times New Roman" w:hAnsi="Times New Roman"/>
          <w:sz w:val="24"/>
        </w:rPr>
        <w:t>Iako se u članku 54. stavku 2. Uredbe (EU) 2019/2033 upućuje i na „koncentracijski rizik”, definicija tog rizika iz članka 4. stavka 1. točke 31. Uredbe (EU) 2019/2033 i ograničenja iz članka 37. stavka 1. Uredbe (EU) 2019/2033 nisu u skladu sa stav</w:t>
      </w:r>
      <w:r w:rsidRPr="00E37E07">
        <w:rPr>
          <w:rFonts w:ascii="Times New Roman" w:hAnsi="Times New Roman"/>
          <w:sz w:val="24"/>
        </w:rPr>
        <w:t>kama opisanima u članku 54. stavku 2. točkama od (b) do (e) Uredbe (EU) 2019/2033. Zbog toga je potrebno izvješćivanje usmjereno na pet najvećih pozicija, ako su dostupne, za svaku od stavki iz točke 19. podtočaka od</w:t>
      </w:r>
      <w:r w:rsidRPr="00E37E07">
        <w:rPr>
          <w:rFonts w:ascii="Times New Roman" w:hAnsi="Times New Roman"/>
          <w:sz w:val="24"/>
        </w:rPr>
        <w:t xml:space="preserve"> i.</w:t>
      </w:r>
      <w:r w:rsidRPr="00E37E07">
        <w:rPr>
          <w:rFonts w:ascii="Times New Roman" w:hAnsi="Times New Roman"/>
          <w:sz w:val="24"/>
        </w:rPr>
        <w:t xml:space="preserve"> do vi. koje drže ili se mogu pripisa</w:t>
      </w:r>
      <w:r w:rsidRPr="00E37E07">
        <w:rPr>
          <w:rFonts w:ascii="Times New Roman" w:hAnsi="Times New Roman"/>
          <w:sz w:val="24"/>
        </w:rPr>
        <w:t>ti određenoj instituciji, klijentu ili drugom subjektu. Tim se izvješćivanjem nadležnim tijelima omogućuje da bolje razumiju rizike s kojima bi se investicijska društva mogla suočiti.</w:t>
      </w:r>
    </w:p>
    <w:p w14:paraId="2A9B235E" w14:textId="77777777" w:rsidR="006C0DAA" w:rsidRPr="00E37E07" w:rsidRDefault="00E37E07">
      <w:pPr>
        <w:spacing w:line="256" w:lineRule="auto"/>
        <w:ind w:left="993" w:hanging="567"/>
        <w:jc w:val="both"/>
        <w:rPr>
          <w:rFonts w:ascii="Times New Roman" w:hAnsi="Times New Roman" w:cs="Times New Roman"/>
          <w:sz w:val="24"/>
        </w:rPr>
      </w:pPr>
      <w:r w:rsidRPr="00E37E07">
        <w:rPr>
          <w:rFonts w:ascii="Times New Roman" w:hAnsi="Times New Roman" w:cs="Times New Roman"/>
          <w:sz w:val="24"/>
        </w:rPr>
        <w:t>19.</w:t>
      </w:r>
      <w:r w:rsidRPr="00E37E07">
        <w:rPr>
          <w:rFonts w:ascii="Times New Roman" w:hAnsi="Times New Roman" w:cs="Times New Roman"/>
          <w:sz w:val="24"/>
        </w:rPr>
        <w:tab/>
      </w:r>
      <w:r w:rsidRPr="00E37E07">
        <w:rPr>
          <w:rFonts w:ascii="Times New Roman" w:hAnsi="Times New Roman"/>
          <w:sz w:val="24"/>
        </w:rPr>
        <w:t xml:space="preserve">Za izvješćivanje o koncentracijskom riziku </w:t>
      </w:r>
      <w:r w:rsidRPr="00E37E07">
        <w:rPr>
          <w:rFonts w:ascii="Times New Roman" w:hAnsi="Times New Roman"/>
          <w:sz w:val="24"/>
        </w:rPr>
        <w:t xml:space="preserve">upotrebljavaju se obrasci I 07.00 i I 08.00. U skladu s člankom 54. stavkom 2. Uredbe (EU) 2019/2033 društva koja </w:t>
      </w:r>
      <w:r w:rsidRPr="00E37E07">
        <w:rPr>
          <w:rFonts w:ascii="Times New Roman" w:hAnsi="Times New Roman"/>
          <w:sz w:val="24"/>
        </w:rPr>
        <w:lastRenderedPageBreak/>
        <w:t>ispunjavaju uvjete, određene u članku 12. stavku 1. Uredbe (EU) 2019/2033, koji su potrebni da bi ih se smatralo malim i nepovezanim investici</w:t>
      </w:r>
      <w:r w:rsidRPr="00E37E07">
        <w:rPr>
          <w:rFonts w:ascii="Times New Roman" w:hAnsi="Times New Roman"/>
          <w:sz w:val="24"/>
        </w:rPr>
        <w:t>jskim društvima nisu obvezna dostavljati informacije o tome.</w:t>
      </w:r>
    </w:p>
    <w:p w14:paraId="1CA88F3D" w14:textId="77777777" w:rsidR="006C0DAA" w:rsidRPr="00E37E07" w:rsidRDefault="00E37E07">
      <w:pPr>
        <w:pStyle w:val="Instructionsberschrift2"/>
        <w:ind w:left="0"/>
        <w:rPr>
          <w:rFonts w:ascii="Times New Roman" w:hAnsi="Times New Roman" w:cs="Times New Roman"/>
          <w:sz w:val="24"/>
        </w:rPr>
      </w:pPr>
      <w:bookmarkStart w:id="84" w:name="_Toc88218428"/>
      <w:r w:rsidRPr="00E37E07">
        <w:rPr>
          <w:rFonts w:ascii="Times New Roman" w:hAnsi="Times New Roman"/>
          <w:sz w:val="24"/>
        </w:rPr>
        <w:t>4.2. I 07.00 – KONCENTRACIJSKI RIZIK (K-CON) – DODATNI PODACI (I7)</w:t>
      </w:r>
      <w:bookmarkEnd w:id="84"/>
    </w:p>
    <w:p w14:paraId="098BD295" w14:textId="77777777" w:rsidR="006C0DAA" w:rsidRPr="00E37E07" w:rsidRDefault="00E37E07">
      <w:pPr>
        <w:pStyle w:val="Instructionsberschrift2"/>
        <w:ind w:left="0"/>
        <w:rPr>
          <w:rFonts w:ascii="Times New Roman" w:hAnsi="Times New Roman" w:cs="Times New Roman"/>
        </w:rPr>
      </w:pPr>
      <w:bookmarkStart w:id="85" w:name="_Toc88218429"/>
      <w:r w:rsidRPr="00E37E07">
        <w:rPr>
          <w:rFonts w:ascii="Times New Roman" w:hAnsi="Times New Roman"/>
          <w:sz w:val="24"/>
          <w:u w:val="none"/>
        </w:rPr>
        <w:t>4.2.1</w:t>
      </w:r>
      <w:r w:rsidRPr="00E37E07">
        <w:rPr>
          <w:rFonts w:ascii="Times New Roman" w:hAnsi="Times New Roman"/>
          <w:sz w:val="24"/>
          <w:u w:val="none"/>
        </w:rPr>
        <w:tab/>
      </w:r>
      <w:r w:rsidRPr="00E37E07">
        <w:rPr>
          <w:rFonts w:ascii="Times New Roman" w:hAnsi="Times New Roman"/>
          <w:sz w:val="24"/>
        </w:rPr>
        <w:t>Upute za specifične pozicije</w:t>
      </w:r>
      <w:bookmarkEnd w:id="85"/>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6C0DAA" w:rsidRPr="00E37E07" w14:paraId="4229BE47" w14:textId="77777777">
        <w:tc>
          <w:tcPr>
            <w:tcW w:w="1389" w:type="dxa"/>
            <w:shd w:val="clear" w:color="auto" w:fill="D9D9D9"/>
          </w:tcPr>
          <w:p w14:paraId="541A532D"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Stupci</w:t>
            </w:r>
          </w:p>
        </w:tc>
        <w:tc>
          <w:tcPr>
            <w:tcW w:w="7620" w:type="dxa"/>
            <w:shd w:val="clear" w:color="auto" w:fill="D9D9D9"/>
          </w:tcPr>
          <w:p w14:paraId="10F5D645"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Pravna osnova i upute</w:t>
            </w:r>
          </w:p>
        </w:tc>
      </w:tr>
      <w:tr w:rsidR="006C0DAA" w:rsidRPr="00E37E07" w14:paraId="46EDB3B3" w14:textId="77777777">
        <w:tc>
          <w:tcPr>
            <w:tcW w:w="1389" w:type="dxa"/>
          </w:tcPr>
          <w:p w14:paraId="56757FE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0010 – 0060</w:t>
            </w:r>
          </w:p>
        </w:tc>
        <w:tc>
          <w:tcPr>
            <w:tcW w:w="7620" w:type="dxa"/>
          </w:tcPr>
          <w:p w14:paraId="74B7F5FD"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Identifikacijska oznaka druge ugovorne strane</w:t>
            </w:r>
          </w:p>
          <w:p w14:paraId="5064D289"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Inves</w:t>
            </w:r>
            <w:r w:rsidRPr="00E37E07">
              <w:rPr>
                <w:rFonts w:ascii="Times New Roman" w:hAnsi="Times New Roman"/>
                <w:bCs/>
              </w:rPr>
              <w:t>ticijsko društvo navodi identifikacijske oznake drugih ugovornih strana ili grupa povezanih klijenata prema kojima ima izloženost koja premašuje ograničenja iz članka 37. stavka 1. Uredbe (EU) 2019/2033.</w:t>
            </w:r>
          </w:p>
        </w:tc>
      </w:tr>
      <w:tr w:rsidR="006C0DAA" w:rsidRPr="00E37E07" w14:paraId="55C408E8" w14:textId="77777777">
        <w:tc>
          <w:tcPr>
            <w:tcW w:w="1389" w:type="dxa"/>
          </w:tcPr>
          <w:p w14:paraId="2813C361"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0010</w:t>
            </w:r>
          </w:p>
        </w:tc>
        <w:tc>
          <w:tcPr>
            <w:tcW w:w="7620" w:type="dxa"/>
          </w:tcPr>
          <w:p w14:paraId="193B228D" w14:textId="77777777" w:rsidR="006C0DAA" w:rsidRPr="00E37E07" w:rsidRDefault="00E37E07">
            <w:pPr>
              <w:pStyle w:val="InstructionsText"/>
              <w:rPr>
                <w:rStyle w:val="InstructionsTabelleberschrift"/>
                <w:rFonts w:ascii="Times New Roman" w:hAnsi="Times New Roman"/>
                <w:sz w:val="22"/>
                <w:szCs w:val="22"/>
              </w:rPr>
            </w:pPr>
            <w:r w:rsidRPr="00E37E07">
              <w:rPr>
                <w:rStyle w:val="InstructionsTabelleberschrift"/>
                <w:rFonts w:ascii="Times New Roman" w:hAnsi="Times New Roman"/>
                <w:sz w:val="22"/>
                <w:szCs w:val="22"/>
              </w:rPr>
              <w:t>Oznaka</w:t>
            </w:r>
          </w:p>
          <w:p w14:paraId="0CA94B8D"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Style w:val="FormatvorlageInstructionsTabelleText"/>
                <w:rFonts w:ascii="Times New Roman" w:hAnsi="Times New Roman"/>
                <w:sz w:val="22"/>
              </w:rPr>
              <w:t xml:space="preserve">Ta je oznaka dio </w:t>
            </w:r>
            <w:r w:rsidRPr="00E37E07">
              <w:rPr>
                <w:rStyle w:val="FormatvorlageInstructionsTabelleText"/>
                <w:rFonts w:ascii="Times New Roman" w:hAnsi="Times New Roman"/>
                <w:sz w:val="22"/>
              </w:rPr>
              <w:t>jedinstvenog identifikatora retka za svaki subjekt o kojem se izvješćuje. Za investicijska društva i društva za osiguranje, to je oznaka LEI. Za druge subjekte to je oznaka LEI ili, ako nije dostupna, nacionalna oznaka. Oznaka je jedinstvena i cijelo se vr</w:t>
            </w:r>
            <w:r w:rsidRPr="00E37E07">
              <w:rPr>
                <w:rStyle w:val="FormatvorlageInstructionsTabelleText"/>
                <w:rFonts w:ascii="Times New Roman" w:hAnsi="Times New Roman"/>
                <w:sz w:val="22"/>
              </w:rPr>
              <w:t>ijeme dosljedno koristi u svim obrascima. Oznaka uvijek mora imati vrijednost.</w:t>
            </w:r>
          </w:p>
        </w:tc>
      </w:tr>
      <w:tr w:rsidR="006C0DAA" w:rsidRPr="00E37E07" w14:paraId="5F7E0344" w14:textId="77777777">
        <w:tc>
          <w:tcPr>
            <w:tcW w:w="1389" w:type="dxa"/>
          </w:tcPr>
          <w:p w14:paraId="5C969E5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0020</w:t>
            </w:r>
          </w:p>
        </w:tc>
        <w:tc>
          <w:tcPr>
            <w:tcW w:w="7620" w:type="dxa"/>
          </w:tcPr>
          <w:p w14:paraId="19449B2A" w14:textId="77777777" w:rsidR="006C0DAA" w:rsidRPr="00E37E07" w:rsidRDefault="00E37E07">
            <w:pPr>
              <w:pStyle w:val="InstructionsText"/>
              <w:rPr>
                <w:rStyle w:val="InstructionsTabelleberschrift"/>
                <w:rFonts w:ascii="Times New Roman" w:hAnsi="Times New Roman"/>
                <w:sz w:val="22"/>
                <w:szCs w:val="22"/>
              </w:rPr>
            </w:pPr>
            <w:r w:rsidRPr="00E37E07">
              <w:rPr>
                <w:rStyle w:val="InstructionsTabelleberschrift"/>
                <w:rFonts w:ascii="Times New Roman" w:hAnsi="Times New Roman"/>
                <w:sz w:val="22"/>
                <w:szCs w:val="22"/>
              </w:rPr>
              <w:t>Vrsta oznake</w:t>
            </w:r>
          </w:p>
          <w:p w14:paraId="780158E5"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Investicijska društva za vrstu oznake iskazanu u stupcu 0010 navode „oznaka LEI” ili „nacionalna oznaka”.</w:t>
            </w:r>
          </w:p>
          <w:p w14:paraId="66BC43B2"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Uvijek se navodi vrsta oznake.</w:t>
            </w:r>
          </w:p>
        </w:tc>
      </w:tr>
      <w:tr w:rsidR="006C0DAA" w:rsidRPr="00E37E07" w14:paraId="4F7D1C60" w14:textId="77777777">
        <w:tc>
          <w:tcPr>
            <w:tcW w:w="1389" w:type="dxa"/>
          </w:tcPr>
          <w:p w14:paraId="00502E5C"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0030</w:t>
            </w:r>
          </w:p>
        </w:tc>
        <w:tc>
          <w:tcPr>
            <w:tcW w:w="7620" w:type="dxa"/>
          </w:tcPr>
          <w:p w14:paraId="1F0F2D0E"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Ime</w:t>
            </w:r>
          </w:p>
          <w:p w14:paraId="24403D51"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Naziv je je</w:t>
            </w:r>
            <w:r w:rsidRPr="00E37E07">
              <w:rPr>
                <w:rFonts w:ascii="Times New Roman" w:hAnsi="Times New Roman"/>
              </w:rPr>
              <w:t>dnak nazivu matičnog društva uvijek kada se iskazuje grupa povezanih osoba. U svim ostalim slučajevima naziv odgovara pojedinačnoj drugoj ugovornoj strani.</w:t>
            </w:r>
          </w:p>
        </w:tc>
      </w:tr>
      <w:tr w:rsidR="006C0DAA" w:rsidRPr="00E37E07" w14:paraId="3F76DB82" w14:textId="77777777">
        <w:tc>
          <w:tcPr>
            <w:tcW w:w="1389" w:type="dxa"/>
          </w:tcPr>
          <w:p w14:paraId="0DB66173"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0040</w:t>
            </w:r>
          </w:p>
        </w:tc>
        <w:tc>
          <w:tcPr>
            <w:tcW w:w="7620" w:type="dxa"/>
          </w:tcPr>
          <w:p w14:paraId="28C532B3"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Grupa/pojedinac</w:t>
            </w:r>
          </w:p>
          <w:p w14:paraId="3036C02A"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rPr>
              <w:t>Investicijsko društvo upisuje „1” kada iskazuje izloženosti prema pojedinačnim</w:t>
            </w:r>
            <w:r w:rsidRPr="00E37E07">
              <w:rPr>
                <w:rFonts w:ascii="Times New Roman" w:hAnsi="Times New Roman"/>
              </w:rPr>
              <w:t xml:space="preserve"> klijentima ili „2” kada iskazuje izloženosti prema grupi povezanih klijenata.</w:t>
            </w:r>
          </w:p>
        </w:tc>
      </w:tr>
      <w:tr w:rsidR="006C0DAA" w:rsidRPr="00E37E07" w14:paraId="4512F90A" w14:textId="77777777">
        <w:tc>
          <w:tcPr>
            <w:tcW w:w="1389" w:type="dxa"/>
          </w:tcPr>
          <w:p w14:paraId="4DCFD24F"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0050</w:t>
            </w:r>
          </w:p>
        </w:tc>
        <w:tc>
          <w:tcPr>
            <w:tcW w:w="7620" w:type="dxa"/>
          </w:tcPr>
          <w:p w14:paraId="38C3F080"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Vrsta druge ugovorne strane</w:t>
            </w:r>
          </w:p>
          <w:p w14:paraId="4FEE232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Investicijsko društvo za svaku izloženost iskazuje ako je povezana s:</w:t>
            </w:r>
          </w:p>
          <w:p w14:paraId="7DC6B7E0"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1. kreditnom institucijom ili grupom povezanih klijenata koja </w:t>
            </w:r>
            <w:r w:rsidRPr="00E37E07">
              <w:rPr>
                <w:rFonts w:ascii="Times New Roman" w:hAnsi="Times New Roman"/>
                <w:bCs/>
              </w:rPr>
              <w:t>uključuje kreditnu instituciju;</w:t>
            </w:r>
          </w:p>
          <w:p w14:paraId="4B88F520"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2. investicijskim društvom ili grupom povezanih klijenata koja uključuje investicijsko društvo;</w:t>
            </w:r>
          </w:p>
          <w:p w14:paraId="6030A411"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3. drugim subjektom koji nije kreditna institucija, investicijsko društvo ili grupa povezanih klijenata koja uključuje investici</w:t>
            </w:r>
            <w:r w:rsidRPr="00E37E07">
              <w:rPr>
                <w:rFonts w:ascii="Times New Roman" w:hAnsi="Times New Roman"/>
                <w:bCs/>
              </w:rPr>
              <w:t>jsko društvo ili instituciju.</w:t>
            </w:r>
          </w:p>
        </w:tc>
      </w:tr>
      <w:tr w:rsidR="006C0DAA" w:rsidRPr="00E37E07" w14:paraId="73BF182A" w14:textId="77777777">
        <w:tc>
          <w:tcPr>
            <w:tcW w:w="1389" w:type="dxa"/>
          </w:tcPr>
          <w:p w14:paraId="03E8DECF"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0060 – 0110</w:t>
            </w:r>
          </w:p>
        </w:tc>
        <w:tc>
          <w:tcPr>
            <w:tcW w:w="7620" w:type="dxa"/>
          </w:tcPr>
          <w:p w14:paraId="17B86D70"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Izloženosti iz knjige trgovanja koje premašuju ograničenja iz članka 37. stavka 1. Uredbe (EU) 2019/2033</w:t>
            </w:r>
          </w:p>
          <w:p w14:paraId="194B2B0C"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Investicijsko društvo navodi informacije o svakoj izloženosti koja premašuje ograničenja iz članka 37. stavk</w:t>
            </w:r>
            <w:r w:rsidRPr="00E37E07">
              <w:rPr>
                <w:rFonts w:ascii="Times New Roman" w:hAnsi="Times New Roman"/>
                <w:bCs/>
              </w:rPr>
              <w:t>a 1. Uredbe (EU) 2019/2033 u skladu s člancima 36. i 39. Uredbe (EU) 2019/2033.</w:t>
            </w:r>
          </w:p>
        </w:tc>
      </w:tr>
      <w:tr w:rsidR="006C0DAA" w:rsidRPr="00E37E07" w14:paraId="7AE01F75" w14:textId="77777777">
        <w:tc>
          <w:tcPr>
            <w:tcW w:w="1389" w:type="dxa"/>
          </w:tcPr>
          <w:p w14:paraId="050EF4EE"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0060</w:t>
            </w:r>
          </w:p>
        </w:tc>
        <w:tc>
          <w:tcPr>
            <w:tcW w:w="7620" w:type="dxa"/>
          </w:tcPr>
          <w:p w14:paraId="29D6F0B4"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Vrijednost izloženosti (EV)</w:t>
            </w:r>
          </w:p>
          <w:p w14:paraId="35DD039B"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36. Uredbe (EU) 2019/2033</w:t>
            </w:r>
          </w:p>
        </w:tc>
      </w:tr>
      <w:tr w:rsidR="006C0DAA" w:rsidRPr="00E37E07" w14:paraId="7CFD7FEE" w14:textId="77777777">
        <w:tc>
          <w:tcPr>
            <w:tcW w:w="1389" w:type="dxa"/>
          </w:tcPr>
          <w:p w14:paraId="0323B6A8"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lastRenderedPageBreak/>
              <w:t>0070</w:t>
            </w:r>
          </w:p>
        </w:tc>
        <w:tc>
          <w:tcPr>
            <w:tcW w:w="7620" w:type="dxa"/>
          </w:tcPr>
          <w:p w14:paraId="0C22F4EB"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Vrijednost izloženosti (u % regulatornog kapitala)</w:t>
            </w:r>
          </w:p>
          <w:p w14:paraId="341AA375"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Izloženost izračunana u skladu s člankom 36. Uredbe </w:t>
            </w:r>
            <w:r w:rsidRPr="00E37E07">
              <w:rPr>
                <w:rFonts w:ascii="Times New Roman" w:hAnsi="Times New Roman"/>
                <w:bCs/>
              </w:rPr>
              <w:t>(EU) 2019/2033 i izražena kao postotak regulatornog kapitala društva.</w:t>
            </w:r>
          </w:p>
        </w:tc>
      </w:tr>
      <w:tr w:rsidR="006C0DAA" w:rsidRPr="00E37E07" w14:paraId="2ACC5981" w14:textId="77777777">
        <w:tc>
          <w:tcPr>
            <w:tcW w:w="1389" w:type="dxa"/>
          </w:tcPr>
          <w:p w14:paraId="2421C68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0080</w:t>
            </w:r>
          </w:p>
        </w:tc>
        <w:tc>
          <w:tcPr>
            <w:tcW w:w="7620" w:type="dxa"/>
          </w:tcPr>
          <w:p w14:paraId="3EC940D1"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Kapitalni zahtjev za ukupnu izloženost (OFR)</w:t>
            </w:r>
          </w:p>
          <w:p w14:paraId="49C878BA" w14:textId="77777777" w:rsidR="006C0DAA" w:rsidRPr="00E37E07" w:rsidRDefault="00E37E07">
            <w:pPr>
              <w:autoSpaceDE w:val="0"/>
              <w:autoSpaceDN w:val="0"/>
              <w:adjustRightInd w:val="0"/>
              <w:spacing w:after="120" w:line="240" w:lineRule="auto"/>
              <w:rPr>
                <w:rFonts w:ascii="Times New Roman" w:eastAsia="Times New Roman" w:hAnsi="Times New Roman" w:cs="Times New Roman"/>
                <w:bCs/>
              </w:rPr>
            </w:pPr>
            <w:r w:rsidRPr="00E37E07">
              <w:rPr>
                <w:rFonts w:ascii="Times New Roman" w:hAnsi="Times New Roman"/>
              </w:rPr>
              <w:t xml:space="preserve">Kapitalni zahtjev za ukupnu izloženost prema pojedinačnoj drugoj ugovornoj strani ili grupi povezanih klijenata, koji se </w:t>
            </w:r>
            <w:r w:rsidRPr="00E37E07">
              <w:rPr>
                <w:rFonts w:ascii="Times New Roman" w:hAnsi="Times New Roman"/>
              </w:rPr>
              <w:t>izračunava kao ukupni iznos faktora K-TCD i posebnog zahtjeva za rizik za faktor K-NPR za relevantnu izloženost.</w:t>
            </w:r>
          </w:p>
        </w:tc>
      </w:tr>
      <w:tr w:rsidR="006C0DAA" w:rsidRPr="00E37E07" w14:paraId="4B61C024" w14:textId="77777777">
        <w:tc>
          <w:tcPr>
            <w:tcW w:w="1389" w:type="dxa"/>
          </w:tcPr>
          <w:p w14:paraId="7C926CD9"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0090</w:t>
            </w:r>
          </w:p>
        </w:tc>
        <w:tc>
          <w:tcPr>
            <w:tcW w:w="7620" w:type="dxa"/>
          </w:tcPr>
          <w:p w14:paraId="1866A982"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Prekoračenje vrijednosti izloženosti (EVE)</w:t>
            </w:r>
          </w:p>
          <w:p w14:paraId="3581B0A0"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Iznos izračunan u skladu s člankom 37. stavkom 2. drugim podstavkom Uredbe (EU) 2019/2033 za r</w:t>
            </w:r>
            <w:r w:rsidRPr="00E37E07">
              <w:rPr>
                <w:rFonts w:ascii="Times New Roman" w:hAnsi="Times New Roman"/>
                <w:bCs/>
              </w:rPr>
              <w:t>elevantnu izloženost</w:t>
            </w:r>
          </w:p>
        </w:tc>
      </w:tr>
      <w:tr w:rsidR="006C0DAA" w:rsidRPr="00E37E07" w14:paraId="5152D22B" w14:textId="77777777">
        <w:tc>
          <w:tcPr>
            <w:tcW w:w="1389" w:type="dxa"/>
          </w:tcPr>
          <w:p w14:paraId="00151301"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0100</w:t>
            </w:r>
          </w:p>
        </w:tc>
        <w:tc>
          <w:tcPr>
            <w:tcW w:w="7620" w:type="dxa"/>
          </w:tcPr>
          <w:p w14:paraId="4386AC62"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Trajanje prekoračenja (u danima)</w:t>
            </w:r>
          </w:p>
          <w:p w14:paraId="20900D16"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Broj dana koji je prošao otkad je prvi put nastao višak izloženosti.</w:t>
            </w:r>
          </w:p>
        </w:tc>
      </w:tr>
      <w:tr w:rsidR="006C0DAA" w:rsidRPr="00E37E07" w14:paraId="3995C04F" w14:textId="77777777">
        <w:tc>
          <w:tcPr>
            <w:tcW w:w="1389" w:type="dxa"/>
          </w:tcPr>
          <w:p w14:paraId="715598E7"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0110</w:t>
            </w:r>
          </w:p>
        </w:tc>
        <w:tc>
          <w:tcPr>
            <w:tcW w:w="7620" w:type="dxa"/>
          </w:tcPr>
          <w:p w14:paraId="7BD7DB96"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Kapitalni zahtjev za faktor K-CON za prekoračenje (OFRE)</w:t>
            </w:r>
          </w:p>
          <w:p w14:paraId="23100B7F"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Iznos izračunan u skladu s člankom 39. stavkom 2. Uredbe (EU) 20</w:t>
            </w:r>
            <w:r w:rsidRPr="00E37E07">
              <w:rPr>
                <w:rFonts w:ascii="Times New Roman" w:hAnsi="Times New Roman"/>
                <w:bCs/>
              </w:rPr>
              <w:t>19/2033 za relevantnu izloženost</w:t>
            </w:r>
          </w:p>
        </w:tc>
      </w:tr>
    </w:tbl>
    <w:p w14:paraId="40FF60E1" w14:textId="77777777" w:rsidR="006C0DAA" w:rsidRPr="00E37E07" w:rsidRDefault="00E37E07">
      <w:pPr>
        <w:pStyle w:val="Instructionsberschrift2"/>
        <w:ind w:left="357" w:hanging="357"/>
        <w:rPr>
          <w:rFonts w:ascii="Times New Roman" w:hAnsi="Times New Roman" w:cs="Times New Roman"/>
          <w:sz w:val="24"/>
        </w:rPr>
      </w:pPr>
      <w:bookmarkStart w:id="86" w:name="_Toc88218430"/>
      <w:r w:rsidRPr="00E37E07">
        <w:rPr>
          <w:rFonts w:ascii="Times New Roman" w:hAnsi="Times New Roman"/>
          <w:sz w:val="24"/>
        </w:rPr>
        <w:t>4.3. I 08.01 – RAZINA KONCENTRACIJSKOG RIZIKA – NOVČANA SREDSTVA KLIJENTA KOJA SE DRŽE (I 8.1)</w:t>
      </w:r>
      <w:bookmarkEnd w:id="86"/>
    </w:p>
    <w:p w14:paraId="20346AD6" w14:textId="77777777" w:rsidR="006C0DAA" w:rsidRPr="00E37E07" w:rsidRDefault="00E37E07">
      <w:pPr>
        <w:pStyle w:val="Instructionsberschrift2"/>
        <w:ind w:left="357" w:hanging="357"/>
        <w:rPr>
          <w:rFonts w:ascii="Times New Roman" w:hAnsi="Times New Roman" w:cs="Times New Roman"/>
          <w:sz w:val="24"/>
          <w:u w:val="none"/>
        </w:rPr>
      </w:pPr>
      <w:bookmarkStart w:id="87" w:name="_Toc88218431"/>
      <w:r w:rsidRPr="00E37E07">
        <w:rPr>
          <w:rFonts w:ascii="Times New Roman" w:hAnsi="Times New Roman"/>
          <w:sz w:val="24"/>
          <w:u w:val="none"/>
        </w:rPr>
        <w:t>4.3.1</w:t>
      </w:r>
      <w:r w:rsidRPr="00E37E07">
        <w:rPr>
          <w:rFonts w:ascii="Times New Roman" w:hAnsi="Times New Roman"/>
          <w:sz w:val="24"/>
          <w:u w:val="none"/>
        </w:rPr>
        <w:tab/>
      </w:r>
      <w:r w:rsidRPr="00E37E07">
        <w:rPr>
          <w:rFonts w:ascii="Times New Roman" w:hAnsi="Times New Roman"/>
          <w:sz w:val="24"/>
        </w:rPr>
        <w:t>Upute za određene stupce</w:t>
      </w:r>
      <w:bookmarkEnd w:id="87"/>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6C0DAA" w:rsidRPr="00E37E07" w14:paraId="5416E13E" w14:textId="77777777">
        <w:tc>
          <w:tcPr>
            <w:tcW w:w="1389" w:type="dxa"/>
            <w:shd w:val="clear" w:color="auto" w:fill="D9D9D9"/>
          </w:tcPr>
          <w:p w14:paraId="15F35814" w14:textId="77777777" w:rsidR="006C0DAA" w:rsidRPr="00E37E07" w:rsidRDefault="00E37E07">
            <w:pPr>
              <w:spacing w:after="120" w:line="240" w:lineRule="auto"/>
              <w:jc w:val="both"/>
              <w:rPr>
                <w:rFonts w:ascii="Times New Roman" w:eastAsia="Times New Roman" w:hAnsi="Times New Roman" w:cs="Times New Roman"/>
                <w:bCs/>
                <w:szCs w:val="24"/>
              </w:rPr>
            </w:pPr>
            <w:r w:rsidRPr="00E37E07">
              <w:rPr>
                <w:rFonts w:ascii="Times New Roman" w:hAnsi="Times New Roman"/>
                <w:szCs w:val="24"/>
              </w:rPr>
              <w:t>Stupci</w:t>
            </w:r>
          </w:p>
        </w:tc>
        <w:tc>
          <w:tcPr>
            <w:tcW w:w="7620" w:type="dxa"/>
            <w:shd w:val="clear" w:color="auto" w:fill="D9D9D9"/>
          </w:tcPr>
          <w:p w14:paraId="3386C3EB" w14:textId="77777777" w:rsidR="006C0DAA" w:rsidRPr="00E37E07" w:rsidRDefault="00E37E07">
            <w:pPr>
              <w:spacing w:after="120" w:line="240" w:lineRule="auto"/>
              <w:jc w:val="both"/>
              <w:rPr>
                <w:rFonts w:ascii="Times New Roman" w:eastAsia="Times New Roman" w:hAnsi="Times New Roman" w:cs="Times New Roman"/>
                <w:bCs/>
                <w:szCs w:val="24"/>
              </w:rPr>
            </w:pPr>
            <w:r w:rsidRPr="00E37E07">
              <w:rPr>
                <w:rFonts w:ascii="Times New Roman" w:hAnsi="Times New Roman"/>
                <w:szCs w:val="24"/>
              </w:rPr>
              <w:t>Pravna osnova i upute</w:t>
            </w:r>
          </w:p>
        </w:tc>
      </w:tr>
      <w:tr w:rsidR="006C0DAA" w:rsidRPr="00E37E07" w14:paraId="46A648B3" w14:textId="77777777">
        <w:tc>
          <w:tcPr>
            <w:tcW w:w="1389" w:type="dxa"/>
          </w:tcPr>
          <w:p w14:paraId="0CCBDD52" w14:textId="77777777" w:rsidR="006C0DAA" w:rsidRPr="00E37E07" w:rsidRDefault="00E37E07">
            <w:pPr>
              <w:spacing w:after="120" w:line="240" w:lineRule="auto"/>
              <w:jc w:val="both"/>
              <w:rPr>
                <w:rFonts w:ascii="Times New Roman" w:eastAsia="Times New Roman" w:hAnsi="Times New Roman" w:cs="Times New Roman"/>
                <w:bCs/>
                <w:szCs w:val="24"/>
              </w:rPr>
            </w:pPr>
            <w:r w:rsidRPr="00E37E07">
              <w:rPr>
                <w:rFonts w:ascii="Times New Roman" w:hAnsi="Times New Roman"/>
                <w:bCs/>
                <w:szCs w:val="24"/>
              </w:rPr>
              <w:t>0010 – 0060</w:t>
            </w:r>
          </w:p>
        </w:tc>
        <w:tc>
          <w:tcPr>
            <w:tcW w:w="7620" w:type="dxa"/>
          </w:tcPr>
          <w:p w14:paraId="03F64572" w14:textId="77777777" w:rsidR="006C0DAA" w:rsidRPr="00E37E07" w:rsidRDefault="00E37E07">
            <w:pPr>
              <w:spacing w:after="120" w:line="240" w:lineRule="auto"/>
              <w:jc w:val="both"/>
              <w:rPr>
                <w:rFonts w:ascii="Times New Roman" w:eastAsia="Times New Roman" w:hAnsi="Times New Roman" w:cs="Times New Roman"/>
                <w:b/>
                <w:bCs/>
                <w:szCs w:val="24"/>
                <w:u w:val="single"/>
              </w:rPr>
            </w:pPr>
            <w:r w:rsidRPr="00E37E07">
              <w:rPr>
                <w:rFonts w:ascii="Times New Roman" w:hAnsi="Times New Roman"/>
                <w:b/>
                <w:bCs/>
                <w:szCs w:val="24"/>
                <w:u w:val="single"/>
              </w:rPr>
              <w:t>Ukupni CMH</w:t>
            </w:r>
          </w:p>
          <w:p w14:paraId="19D2D1CD" w14:textId="77777777" w:rsidR="006C0DAA" w:rsidRPr="00E37E07" w:rsidRDefault="00E37E07">
            <w:pPr>
              <w:spacing w:after="120" w:line="240" w:lineRule="auto"/>
              <w:jc w:val="both"/>
              <w:rPr>
                <w:rFonts w:ascii="Times New Roman" w:eastAsia="Times New Roman" w:hAnsi="Times New Roman" w:cs="Times New Roman"/>
                <w:bCs/>
                <w:szCs w:val="24"/>
              </w:rPr>
            </w:pPr>
            <w:r w:rsidRPr="00E37E07">
              <w:rPr>
                <w:rFonts w:ascii="Times New Roman" w:hAnsi="Times New Roman"/>
                <w:bCs/>
              </w:rPr>
              <w:t xml:space="preserve">Članak 54. stavak 2. točka (b) Uredbe </w:t>
            </w:r>
            <w:r w:rsidRPr="00E37E07">
              <w:rPr>
                <w:rFonts w:ascii="Times New Roman" w:hAnsi="Times New Roman"/>
                <w:bCs/>
              </w:rPr>
              <w:t>(EU) 2019/2033</w:t>
            </w:r>
          </w:p>
          <w:p w14:paraId="47C75F78" w14:textId="77777777" w:rsidR="006C0DAA" w:rsidRPr="00E37E07" w:rsidRDefault="00E37E07">
            <w:pPr>
              <w:spacing w:after="120" w:line="240" w:lineRule="auto"/>
              <w:jc w:val="both"/>
              <w:rPr>
                <w:rFonts w:ascii="Times New Roman" w:eastAsia="Times New Roman" w:hAnsi="Times New Roman" w:cs="Times New Roman"/>
                <w:bCs/>
                <w:szCs w:val="24"/>
              </w:rPr>
            </w:pPr>
            <w:r w:rsidRPr="00E37E07">
              <w:rPr>
                <w:rFonts w:ascii="Times New Roman" w:hAnsi="Times New Roman"/>
                <w:bCs/>
                <w:szCs w:val="24"/>
              </w:rPr>
              <w:t xml:space="preserve">Investicijsko društvo navodi identifikacijske oznake pet drugih ugovornih strana ili grupa povezanih drugih ugovornih strana, ako su dostupne, kod kojih se drže najveći iznosi novčanih sredstava klijenta. </w:t>
            </w:r>
          </w:p>
        </w:tc>
      </w:tr>
      <w:tr w:rsidR="006C0DAA" w:rsidRPr="00E37E07" w14:paraId="79295EB3" w14:textId="77777777">
        <w:tc>
          <w:tcPr>
            <w:tcW w:w="1389" w:type="dxa"/>
          </w:tcPr>
          <w:p w14:paraId="743FC727" w14:textId="77777777" w:rsidR="006C0DAA" w:rsidRPr="00E37E07" w:rsidRDefault="00E37E07">
            <w:pPr>
              <w:spacing w:after="120" w:line="240" w:lineRule="auto"/>
              <w:jc w:val="both"/>
              <w:rPr>
                <w:rFonts w:ascii="Times New Roman" w:eastAsia="Times New Roman" w:hAnsi="Times New Roman" w:cs="Times New Roman"/>
                <w:bCs/>
                <w:szCs w:val="24"/>
              </w:rPr>
            </w:pPr>
            <w:r w:rsidRPr="00E37E07">
              <w:rPr>
                <w:rFonts w:ascii="Times New Roman" w:hAnsi="Times New Roman"/>
                <w:bCs/>
                <w:szCs w:val="24"/>
              </w:rPr>
              <w:t>0010</w:t>
            </w:r>
          </w:p>
        </w:tc>
        <w:tc>
          <w:tcPr>
            <w:tcW w:w="7620" w:type="dxa"/>
          </w:tcPr>
          <w:p w14:paraId="4DC811FD" w14:textId="77777777" w:rsidR="006C0DAA" w:rsidRPr="00E37E07" w:rsidRDefault="00E37E07">
            <w:pPr>
              <w:pStyle w:val="InstructionsText"/>
              <w:rPr>
                <w:rStyle w:val="InstructionsTabelleberschrift"/>
                <w:rFonts w:ascii="Times New Roman" w:hAnsi="Times New Roman"/>
                <w:sz w:val="22"/>
              </w:rPr>
            </w:pPr>
            <w:r w:rsidRPr="00E37E07">
              <w:rPr>
                <w:rStyle w:val="InstructionsTabelleberschrift"/>
                <w:rFonts w:ascii="Times New Roman" w:hAnsi="Times New Roman"/>
                <w:sz w:val="22"/>
              </w:rPr>
              <w:t>Oznaka</w:t>
            </w:r>
          </w:p>
          <w:p w14:paraId="0F66E344" w14:textId="77777777" w:rsidR="006C0DAA" w:rsidRPr="00E37E07" w:rsidRDefault="00E37E07">
            <w:pPr>
              <w:spacing w:after="120" w:line="240" w:lineRule="auto"/>
              <w:jc w:val="both"/>
              <w:rPr>
                <w:rFonts w:ascii="Times New Roman" w:eastAsia="Times New Roman" w:hAnsi="Times New Roman" w:cs="Times New Roman"/>
                <w:b/>
                <w:bCs/>
                <w:szCs w:val="24"/>
                <w:u w:val="single"/>
              </w:rPr>
            </w:pPr>
            <w:r w:rsidRPr="00E37E07">
              <w:rPr>
                <w:rStyle w:val="FormatvorlageInstructionsTabelleText"/>
                <w:rFonts w:ascii="Times New Roman" w:hAnsi="Times New Roman"/>
                <w:sz w:val="22"/>
                <w:szCs w:val="24"/>
              </w:rPr>
              <w:t xml:space="preserve">Ta je oznaka dio </w:t>
            </w:r>
            <w:r w:rsidRPr="00E37E07">
              <w:rPr>
                <w:rStyle w:val="FormatvorlageInstructionsTabelleText"/>
                <w:rFonts w:ascii="Times New Roman" w:hAnsi="Times New Roman"/>
                <w:sz w:val="22"/>
                <w:szCs w:val="24"/>
              </w:rPr>
              <w:t>jedinstvenog identifikatora retka za svaki subjekt o kojem se izvješćuje. Za investicijska društva i društva za osiguranje, to je oznaka LEI. Za druge subjekte to je oznaka LEI ili, ako nije dostupna, nacionalna oznaka. Oznaka je jedinstvena i cijelo se vr</w:t>
            </w:r>
            <w:r w:rsidRPr="00E37E07">
              <w:rPr>
                <w:rStyle w:val="FormatvorlageInstructionsTabelleText"/>
                <w:rFonts w:ascii="Times New Roman" w:hAnsi="Times New Roman"/>
                <w:sz w:val="22"/>
                <w:szCs w:val="24"/>
              </w:rPr>
              <w:t>ijeme dosljedno koristi u svim obrascima. Oznaka uvijek mora imati vrijednost.</w:t>
            </w:r>
          </w:p>
        </w:tc>
      </w:tr>
      <w:tr w:rsidR="006C0DAA" w:rsidRPr="00E37E07" w14:paraId="2155357D" w14:textId="77777777">
        <w:tc>
          <w:tcPr>
            <w:tcW w:w="1389" w:type="dxa"/>
          </w:tcPr>
          <w:p w14:paraId="4322DF4E" w14:textId="77777777" w:rsidR="006C0DAA" w:rsidRPr="00E37E07" w:rsidRDefault="00E37E07">
            <w:pPr>
              <w:spacing w:after="120" w:line="240" w:lineRule="auto"/>
              <w:jc w:val="both"/>
              <w:rPr>
                <w:rFonts w:ascii="Times New Roman" w:eastAsia="Times New Roman" w:hAnsi="Times New Roman" w:cs="Times New Roman"/>
                <w:bCs/>
                <w:szCs w:val="24"/>
              </w:rPr>
            </w:pPr>
            <w:r w:rsidRPr="00E37E07">
              <w:rPr>
                <w:rFonts w:ascii="Times New Roman" w:hAnsi="Times New Roman"/>
                <w:bCs/>
                <w:szCs w:val="24"/>
              </w:rPr>
              <w:t>0020</w:t>
            </w:r>
          </w:p>
        </w:tc>
        <w:tc>
          <w:tcPr>
            <w:tcW w:w="7620" w:type="dxa"/>
          </w:tcPr>
          <w:p w14:paraId="2BDD8AEE" w14:textId="77777777" w:rsidR="006C0DAA" w:rsidRPr="00E37E07" w:rsidRDefault="00E37E07">
            <w:pPr>
              <w:pStyle w:val="InstructionsText"/>
              <w:rPr>
                <w:rStyle w:val="InstructionsTabelleberschrift"/>
                <w:rFonts w:ascii="Times New Roman" w:hAnsi="Times New Roman"/>
                <w:sz w:val="22"/>
              </w:rPr>
            </w:pPr>
            <w:r w:rsidRPr="00E37E07">
              <w:rPr>
                <w:rStyle w:val="InstructionsTabelleberschrift"/>
                <w:rFonts w:ascii="Times New Roman" w:hAnsi="Times New Roman"/>
                <w:sz w:val="22"/>
              </w:rPr>
              <w:t>Vrsta oznake</w:t>
            </w:r>
          </w:p>
          <w:p w14:paraId="6D278CE6" w14:textId="77777777" w:rsidR="006C0DAA" w:rsidRPr="00E37E07" w:rsidRDefault="00E37E07">
            <w:pPr>
              <w:spacing w:after="120" w:line="240" w:lineRule="auto"/>
              <w:jc w:val="both"/>
              <w:rPr>
                <w:rFonts w:ascii="Times New Roman" w:eastAsia="Times New Roman" w:hAnsi="Times New Roman" w:cs="Times New Roman"/>
                <w:bCs/>
                <w:szCs w:val="24"/>
              </w:rPr>
            </w:pPr>
            <w:r w:rsidRPr="00E37E07">
              <w:rPr>
                <w:rFonts w:ascii="Times New Roman" w:hAnsi="Times New Roman"/>
                <w:bCs/>
                <w:szCs w:val="24"/>
              </w:rPr>
              <w:t>Investicijska društva za vrstu oznake iskazanu u stupcu 0010 navode „oznaka LEI” ili „nacionalna oznaka”.</w:t>
            </w:r>
          </w:p>
        </w:tc>
      </w:tr>
      <w:tr w:rsidR="006C0DAA" w:rsidRPr="00E37E07" w14:paraId="42692D36" w14:textId="77777777">
        <w:tc>
          <w:tcPr>
            <w:tcW w:w="1389" w:type="dxa"/>
          </w:tcPr>
          <w:p w14:paraId="5CF1BF78" w14:textId="77777777" w:rsidR="006C0DAA" w:rsidRPr="00E37E07" w:rsidRDefault="00E37E07">
            <w:pPr>
              <w:spacing w:after="120" w:line="240" w:lineRule="auto"/>
              <w:jc w:val="both"/>
              <w:rPr>
                <w:rFonts w:ascii="Times New Roman" w:eastAsia="Times New Roman" w:hAnsi="Times New Roman" w:cs="Times New Roman"/>
                <w:bCs/>
                <w:szCs w:val="24"/>
              </w:rPr>
            </w:pPr>
            <w:r w:rsidRPr="00E37E07">
              <w:rPr>
                <w:rFonts w:ascii="Times New Roman" w:hAnsi="Times New Roman"/>
                <w:bCs/>
                <w:szCs w:val="24"/>
              </w:rPr>
              <w:t>0030</w:t>
            </w:r>
          </w:p>
        </w:tc>
        <w:tc>
          <w:tcPr>
            <w:tcW w:w="7620" w:type="dxa"/>
          </w:tcPr>
          <w:p w14:paraId="414B4E3D" w14:textId="77777777" w:rsidR="006C0DAA" w:rsidRPr="00E37E07" w:rsidRDefault="00E37E07">
            <w:pPr>
              <w:spacing w:after="120" w:line="240" w:lineRule="auto"/>
              <w:jc w:val="both"/>
              <w:rPr>
                <w:rFonts w:ascii="Times New Roman" w:eastAsia="Times New Roman" w:hAnsi="Times New Roman" w:cs="Times New Roman"/>
                <w:b/>
                <w:bCs/>
                <w:szCs w:val="24"/>
                <w:u w:val="single"/>
              </w:rPr>
            </w:pPr>
            <w:r w:rsidRPr="00E37E07">
              <w:rPr>
                <w:rFonts w:ascii="Times New Roman" w:hAnsi="Times New Roman"/>
                <w:b/>
                <w:bCs/>
                <w:szCs w:val="24"/>
                <w:u w:val="single"/>
              </w:rPr>
              <w:t>Ime</w:t>
            </w:r>
          </w:p>
          <w:p w14:paraId="0105465E" w14:textId="77777777" w:rsidR="006C0DAA" w:rsidRPr="00E37E07" w:rsidRDefault="00E37E07">
            <w:pPr>
              <w:pStyle w:val="Default"/>
              <w:spacing w:after="120"/>
              <w:jc w:val="both"/>
              <w:rPr>
                <w:sz w:val="22"/>
                <w:szCs w:val="23"/>
              </w:rPr>
            </w:pPr>
            <w:r w:rsidRPr="00E37E07">
              <w:rPr>
                <w:sz w:val="22"/>
                <w:szCs w:val="23"/>
              </w:rPr>
              <w:t>Naziv je jednak nazivu matičnog društva uv</w:t>
            </w:r>
            <w:r w:rsidRPr="00E37E07">
              <w:rPr>
                <w:sz w:val="22"/>
                <w:szCs w:val="23"/>
              </w:rPr>
              <w:t xml:space="preserve">ijek kada se iskazuje grupa povezanih drugih ugovornih strana. U svim ostalim slučajevima naziv odgovara pojedinačnoj drugoj ugovornoj strani. </w:t>
            </w:r>
          </w:p>
        </w:tc>
      </w:tr>
      <w:tr w:rsidR="006C0DAA" w:rsidRPr="00E37E07" w14:paraId="405C714E" w14:textId="77777777">
        <w:tc>
          <w:tcPr>
            <w:tcW w:w="1389" w:type="dxa"/>
          </w:tcPr>
          <w:p w14:paraId="57F838C6" w14:textId="77777777" w:rsidR="006C0DAA" w:rsidRPr="00E37E07" w:rsidRDefault="00E37E07">
            <w:pPr>
              <w:spacing w:after="120" w:line="240" w:lineRule="auto"/>
              <w:jc w:val="both"/>
              <w:rPr>
                <w:rFonts w:ascii="Times New Roman" w:eastAsia="Times New Roman" w:hAnsi="Times New Roman" w:cs="Times New Roman"/>
                <w:bCs/>
                <w:szCs w:val="24"/>
              </w:rPr>
            </w:pPr>
            <w:r w:rsidRPr="00E37E07">
              <w:rPr>
                <w:rFonts w:ascii="Times New Roman" w:hAnsi="Times New Roman"/>
                <w:bCs/>
                <w:szCs w:val="24"/>
              </w:rPr>
              <w:t>0040</w:t>
            </w:r>
          </w:p>
        </w:tc>
        <w:tc>
          <w:tcPr>
            <w:tcW w:w="7620" w:type="dxa"/>
          </w:tcPr>
          <w:p w14:paraId="68A6E629" w14:textId="77777777" w:rsidR="006C0DAA" w:rsidRPr="00E37E07" w:rsidRDefault="00E37E07">
            <w:pPr>
              <w:spacing w:after="120" w:line="240" w:lineRule="auto"/>
              <w:jc w:val="both"/>
              <w:rPr>
                <w:rFonts w:ascii="Times New Roman" w:eastAsia="Times New Roman" w:hAnsi="Times New Roman" w:cs="Times New Roman"/>
                <w:b/>
                <w:bCs/>
                <w:szCs w:val="24"/>
                <w:u w:val="single"/>
              </w:rPr>
            </w:pPr>
            <w:r w:rsidRPr="00E37E07">
              <w:rPr>
                <w:rFonts w:ascii="Times New Roman" w:hAnsi="Times New Roman"/>
                <w:b/>
                <w:bCs/>
                <w:szCs w:val="24"/>
                <w:u w:val="single"/>
              </w:rPr>
              <w:t>Grupa/pojedinac</w:t>
            </w:r>
          </w:p>
          <w:p w14:paraId="65D891C0" w14:textId="77777777" w:rsidR="006C0DAA" w:rsidRPr="00E37E07" w:rsidRDefault="00E37E07">
            <w:pPr>
              <w:pStyle w:val="Default"/>
              <w:jc w:val="both"/>
              <w:rPr>
                <w:sz w:val="22"/>
              </w:rPr>
            </w:pPr>
            <w:r w:rsidRPr="00E37E07">
              <w:rPr>
                <w:sz w:val="22"/>
                <w:szCs w:val="23"/>
              </w:rPr>
              <w:t>Društvo upisuje „1” kada iskazuje izloženosti prema pojedinačnim klijentima ili „2” kada i</w:t>
            </w:r>
            <w:r w:rsidRPr="00E37E07">
              <w:rPr>
                <w:sz w:val="22"/>
                <w:szCs w:val="23"/>
              </w:rPr>
              <w:t xml:space="preserve">skazuje izloženosti prema grupi povezanih klijenata. </w:t>
            </w:r>
          </w:p>
        </w:tc>
      </w:tr>
      <w:tr w:rsidR="006C0DAA" w:rsidRPr="00E37E07" w14:paraId="04BBD1C9" w14:textId="77777777">
        <w:tc>
          <w:tcPr>
            <w:tcW w:w="1389" w:type="dxa"/>
          </w:tcPr>
          <w:p w14:paraId="35738F29" w14:textId="77777777" w:rsidR="006C0DAA" w:rsidRPr="00E37E07" w:rsidRDefault="00E37E07">
            <w:pPr>
              <w:spacing w:after="120" w:line="240" w:lineRule="auto"/>
              <w:jc w:val="both"/>
              <w:rPr>
                <w:rFonts w:ascii="Times New Roman" w:eastAsia="Times New Roman" w:hAnsi="Times New Roman" w:cs="Times New Roman"/>
                <w:bCs/>
                <w:szCs w:val="24"/>
              </w:rPr>
            </w:pPr>
            <w:r w:rsidRPr="00E37E07">
              <w:rPr>
                <w:rFonts w:ascii="Times New Roman" w:hAnsi="Times New Roman"/>
                <w:bCs/>
                <w:szCs w:val="24"/>
              </w:rPr>
              <w:t>0050</w:t>
            </w:r>
          </w:p>
        </w:tc>
        <w:tc>
          <w:tcPr>
            <w:tcW w:w="7620" w:type="dxa"/>
          </w:tcPr>
          <w:p w14:paraId="2D47D8DC" w14:textId="77777777" w:rsidR="006C0DAA" w:rsidRPr="00E37E07" w:rsidRDefault="00E37E07">
            <w:pPr>
              <w:spacing w:after="120" w:line="240" w:lineRule="auto"/>
              <w:jc w:val="both"/>
              <w:rPr>
                <w:rFonts w:ascii="Times New Roman" w:eastAsia="Times New Roman" w:hAnsi="Times New Roman" w:cs="Times New Roman"/>
                <w:b/>
                <w:bCs/>
                <w:szCs w:val="24"/>
                <w:u w:val="single"/>
              </w:rPr>
            </w:pPr>
            <w:r w:rsidRPr="00E37E07">
              <w:rPr>
                <w:rFonts w:ascii="Times New Roman" w:hAnsi="Times New Roman"/>
                <w:b/>
                <w:bCs/>
                <w:szCs w:val="24"/>
                <w:u w:val="single"/>
              </w:rPr>
              <w:t>Ukupni CMH na datum izvješćivanja</w:t>
            </w:r>
          </w:p>
          <w:p w14:paraId="385735E8" w14:textId="77777777" w:rsidR="006C0DAA" w:rsidRPr="00E37E07" w:rsidRDefault="00E37E07">
            <w:pPr>
              <w:spacing w:after="120" w:line="240" w:lineRule="auto"/>
              <w:jc w:val="both"/>
              <w:rPr>
                <w:rFonts w:ascii="Times New Roman" w:eastAsia="Times New Roman" w:hAnsi="Times New Roman" w:cs="Times New Roman"/>
                <w:bCs/>
                <w:szCs w:val="24"/>
              </w:rPr>
            </w:pPr>
            <w:r w:rsidRPr="00E37E07">
              <w:rPr>
                <w:rFonts w:ascii="Times New Roman" w:hAnsi="Times New Roman"/>
                <w:bCs/>
                <w:szCs w:val="24"/>
              </w:rPr>
              <w:lastRenderedPageBreak/>
              <w:t>Društvo iskazuje ukupni iznos novčanih sredstava klijenta na datum izvješćivanja.</w:t>
            </w:r>
          </w:p>
        </w:tc>
      </w:tr>
      <w:tr w:rsidR="006C0DAA" w:rsidRPr="00E37E07" w14:paraId="54053053" w14:textId="77777777">
        <w:tc>
          <w:tcPr>
            <w:tcW w:w="1389" w:type="dxa"/>
          </w:tcPr>
          <w:p w14:paraId="346BD0F4" w14:textId="77777777" w:rsidR="006C0DAA" w:rsidRPr="00E37E07" w:rsidRDefault="00E37E07">
            <w:pPr>
              <w:spacing w:after="120" w:line="240" w:lineRule="auto"/>
              <w:jc w:val="both"/>
              <w:rPr>
                <w:rFonts w:ascii="Times New Roman" w:eastAsia="Times New Roman" w:hAnsi="Times New Roman" w:cs="Times New Roman"/>
                <w:bCs/>
                <w:szCs w:val="24"/>
              </w:rPr>
            </w:pPr>
            <w:r w:rsidRPr="00E37E07">
              <w:rPr>
                <w:rFonts w:ascii="Times New Roman" w:hAnsi="Times New Roman"/>
                <w:bCs/>
                <w:szCs w:val="24"/>
              </w:rPr>
              <w:lastRenderedPageBreak/>
              <w:t>0060</w:t>
            </w:r>
          </w:p>
        </w:tc>
        <w:tc>
          <w:tcPr>
            <w:tcW w:w="7620" w:type="dxa"/>
          </w:tcPr>
          <w:p w14:paraId="273BFEAD" w14:textId="77777777" w:rsidR="006C0DAA" w:rsidRPr="00E37E07" w:rsidRDefault="00E37E07">
            <w:pPr>
              <w:spacing w:after="120" w:line="240" w:lineRule="auto"/>
              <w:jc w:val="both"/>
              <w:rPr>
                <w:rFonts w:ascii="Times New Roman" w:eastAsia="Times New Roman" w:hAnsi="Times New Roman" w:cs="Times New Roman"/>
                <w:b/>
                <w:bCs/>
                <w:szCs w:val="24"/>
                <w:u w:val="single"/>
              </w:rPr>
            </w:pPr>
            <w:r w:rsidRPr="00E37E07">
              <w:rPr>
                <w:rFonts w:ascii="Times New Roman" w:hAnsi="Times New Roman"/>
                <w:b/>
                <w:bCs/>
                <w:szCs w:val="24"/>
                <w:u w:val="single"/>
              </w:rPr>
              <w:t>Postotak novčanih sredstava klijenta koja se drže u instituciji</w:t>
            </w:r>
          </w:p>
          <w:p w14:paraId="43A60B1D" w14:textId="77777777" w:rsidR="006C0DAA" w:rsidRPr="00E37E07" w:rsidRDefault="00E37E07">
            <w:pPr>
              <w:spacing w:after="120" w:line="240" w:lineRule="auto"/>
              <w:jc w:val="both"/>
              <w:rPr>
                <w:rFonts w:ascii="Times New Roman" w:eastAsia="Times New Roman" w:hAnsi="Times New Roman" w:cs="Times New Roman"/>
                <w:bCs/>
                <w:szCs w:val="24"/>
              </w:rPr>
            </w:pPr>
            <w:r w:rsidRPr="00E37E07">
              <w:rPr>
                <w:rFonts w:ascii="Times New Roman" w:hAnsi="Times New Roman"/>
                <w:bCs/>
                <w:szCs w:val="24"/>
              </w:rPr>
              <w:t>Društvo iskazuje iznos novčanih sredstava klijenta koja se drže na datum izvješćivanja za svaku drugu ugovornu stranu ili grupu povezanih drugih ugovornih strana o kojima se izvješćuje, izražen kao postotak ukupnog iznosa (navedenog u stupcu 0050).</w:t>
            </w:r>
          </w:p>
        </w:tc>
      </w:tr>
    </w:tbl>
    <w:p w14:paraId="661BC35B" w14:textId="77777777" w:rsidR="006C0DAA" w:rsidRPr="00E37E07" w:rsidRDefault="006C0DAA">
      <w:pPr>
        <w:spacing w:after="0"/>
        <w:rPr>
          <w:rFonts w:ascii="Times New Roman" w:hAnsi="Times New Roman" w:cs="Times New Roman"/>
          <w:u w:val="single"/>
        </w:rPr>
      </w:pPr>
    </w:p>
    <w:p w14:paraId="522266C7" w14:textId="77777777" w:rsidR="006C0DAA" w:rsidRPr="00E37E07" w:rsidRDefault="00E37E07">
      <w:pPr>
        <w:pStyle w:val="Instructionsberschrift2"/>
        <w:ind w:left="357" w:hanging="357"/>
        <w:rPr>
          <w:rFonts w:ascii="Times New Roman" w:hAnsi="Times New Roman" w:cs="Times New Roman"/>
          <w:sz w:val="24"/>
        </w:rPr>
      </w:pPr>
      <w:bookmarkStart w:id="88" w:name="_Toc88218432"/>
      <w:r w:rsidRPr="00E37E07">
        <w:rPr>
          <w:rFonts w:ascii="Times New Roman" w:hAnsi="Times New Roman"/>
          <w:sz w:val="24"/>
        </w:rPr>
        <w:t xml:space="preserve">4.4. </w:t>
      </w:r>
      <w:r w:rsidRPr="00E37E07">
        <w:rPr>
          <w:rFonts w:ascii="Times New Roman" w:hAnsi="Times New Roman"/>
          <w:sz w:val="24"/>
        </w:rPr>
        <w:t>I 08.02 – RAZINA KONCENTRACIJSKOG RIZIKA – IMOVINA KOJA SE POHRANJUJE I ADMINISTRIRA (I 8.2)</w:t>
      </w:r>
      <w:bookmarkEnd w:id="88"/>
    </w:p>
    <w:p w14:paraId="0CCDCFA4" w14:textId="77777777" w:rsidR="006C0DAA" w:rsidRPr="00E37E07" w:rsidRDefault="00E37E07">
      <w:pPr>
        <w:pStyle w:val="Instructionsberschrift2"/>
        <w:ind w:left="357" w:hanging="357"/>
        <w:rPr>
          <w:rFonts w:ascii="Times New Roman" w:hAnsi="Times New Roman" w:cs="Times New Roman"/>
          <w:sz w:val="24"/>
          <w:u w:val="none"/>
        </w:rPr>
      </w:pPr>
      <w:bookmarkStart w:id="89" w:name="_Toc88218433"/>
      <w:r w:rsidRPr="00E37E07">
        <w:rPr>
          <w:rFonts w:ascii="Times New Roman" w:hAnsi="Times New Roman"/>
          <w:sz w:val="24"/>
          <w:u w:val="none"/>
        </w:rPr>
        <w:t>4.4.1</w:t>
      </w:r>
      <w:r w:rsidRPr="00E37E07">
        <w:rPr>
          <w:rFonts w:ascii="Times New Roman" w:hAnsi="Times New Roman"/>
          <w:sz w:val="24"/>
          <w:u w:val="none"/>
        </w:rPr>
        <w:tab/>
      </w:r>
      <w:r w:rsidRPr="00E37E07">
        <w:rPr>
          <w:rFonts w:ascii="Times New Roman" w:hAnsi="Times New Roman"/>
          <w:sz w:val="24"/>
        </w:rPr>
        <w:t>Upute za određene stupce</w:t>
      </w:r>
      <w:bookmarkEnd w:id="89"/>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6C0DAA" w:rsidRPr="00E37E07" w14:paraId="04305876" w14:textId="77777777">
        <w:tc>
          <w:tcPr>
            <w:tcW w:w="1389" w:type="dxa"/>
            <w:shd w:val="clear" w:color="auto" w:fill="D9D9D9"/>
          </w:tcPr>
          <w:p w14:paraId="4EA376E8"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Stupci</w:t>
            </w:r>
          </w:p>
        </w:tc>
        <w:tc>
          <w:tcPr>
            <w:tcW w:w="7620" w:type="dxa"/>
            <w:shd w:val="clear" w:color="auto" w:fill="D9D9D9"/>
          </w:tcPr>
          <w:p w14:paraId="70158230"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Pravna osnova i upute</w:t>
            </w:r>
          </w:p>
        </w:tc>
      </w:tr>
      <w:tr w:rsidR="006C0DAA" w:rsidRPr="00E37E07" w14:paraId="3B11FB27" w14:textId="77777777">
        <w:tc>
          <w:tcPr>
            <w:tcW w:w="1389" w:type="dxa"/>
          </w:tcPr>
          <w:p w14:paraId="4DBE656F"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0010 – 0060</w:t>
            </w:r>
          </w:p>
        </w:tc>
        <w:tc>
          <w:tcPr>
            <w:tcW w:w="7620" w:type="dxa"/>
          </w:tcPr>
          <w:p w14:paraId="1C462081"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Ukupna ASA</w:t>
            </w:r>
          </w:p>
          <w:p w14:paraId="4959ABC9"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54. stavak 2. točka (c) Uredbe (EU) 2019/2033</w:t>
            </w:r>
          </w:p>
          <w:p w14:paraId="10201D55"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 xml:space="preserve">Društvo navodi identifikacijske oznake pet drugih ugovornih strana ili grupa povezanih drugih ugovornih strana, ako su dostupne, kod kojih su deponirani najveći iznosi vrijednosnih papira klijenta. </w:t>
            </w:r>
          </w:p>
        </w:tc>
      </w:tr>
      <w:tr w:rsidR="006C0DAA" w:rsidRPr="00E37E07" w14:paraId="1548AFDA" w14:textId="77777777">
        <w:tc>
          <w:tcPr>
            <w:tcW w:w="1389" w:type="dxa"/>
          </w:tcPr>
          <w:p w14:paraId="3BDCE6A1"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0010</w:t>
            </w:r>
          </w:p>
        </w:tc>
        <w:tc>
          <w:tcPr>
            <w:tcW w:w="7620" w:type="dxa"/>
          </w:tcPr>
          <w:p w14:paraId="248871B3" w14:textId="77777777" w:rsidR="006C0DAA" w:rsidRPr="00E37E07" w:rsidRDefault="00E37E07">
            <w:pPr>
              <w:pStyle w:val="InstructionsText"/>
              <w:rPr>
                <w:rStyle w:val="InstructionsTabelleberschrift"/>
                <w:rFonts w:ascii="Times New Roman" w:hAnsi="Times New Roman"/>
                <w:sz w:val="22"/>
                <w:szCs w:val="22"/>
              </w:rPr>
            </w:pPr>
            <w:r w:rsidRPr="00E37E07">
              <w:rPr>
                <w:rStyle w:val="InstructionsTabelleberschrift"/>
                <w:rFonts w:ascii="Times New Roman" w:hAnsi="Times New Roman"/>
                <w:sz w:val="22"/>
                <w:szCs w:val="22"/>
              </w:rPr>
              <w:t>Oznaka</w:t>
            </w:r>
          </w:p>
          <w:p w14:paraId="217EB73F"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Style w:val="FormatvorlageInstructionsTabelleText"/>
                <w:rFonts w:ascii="Times New Roman" w:hAnsi="Times New Roman"/>
                <w:sz w:val="22"/>
              </w:rPr>
              <w:t>Ta je oznaka dio jedinstvenog identifikatora</w:t>
            </w:r>
            <w:r w:rsidRPr="00E37E07">
              <w:rPr>
                <w:rStyle w:val="FormatvorlageInstructionsTabelleText"/>
                <w:rFonts w:ascii="Times New Roman" w:hAnsi="Times New Roman"/>
                <w:sz w:val="22"/>
              </w:rPr>
              <w:t xml:space="preserve"> retka za svaki subjekt o kojem se izvješćuje. Za investicijska društva i društva za osiguranje, to je oznaka LEI. Za druge subjekte to je oznaka LEI ili, ako nije dostupna, nacionalna oznaka. Oznaka je jedinstvena i cijelo se vrijeme dosljedno koristi u s</w:t>
            </w:r>
            <w:r w:rsidRPr="00E37E07">
              <w:rPr>
                <w:rStyle w:val="FormatvorlageInstructionsTabelleText"/>
                <w:rFonts w:ascii="Times New Roman" w:hAnsi="Times New Roman"/>
                <w:sz w:val="22"/>
              </w:rPr>
              <w:t>vim obrascima. Oznaka uvijek mora imati vrijednost.</w:t>
            </w:r>
          </w:p>
        </w:tc>
      </w:tr>
      <w:tr w:rsidR="006C0DAA" w:rsidRPr="00E37E07" w14:paraId="3D15E9CE" w14:textId="77777777">
        <w:tc>
          <w:tcPr>
            <w:tcW w:w="1389" w:type="dxa"/>
          </w:tcPr>
          <w:p w14:paraId="208EE80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0020</w:t>
            </w:r>
          </w:p>
        </w:tc>
        <w:tc>
          <w:tcPr>
            <w:tcW w:w="7620" w:type="dxa"/>
          </w:tcPr>
          <w:p w14:paraId="256755D7" w14:textId="77777777" w:rsidR="006C0DAA" w:rsidRPr="00E37E07" w:rsidRDefault="00E37E07">
            <w:pPr>
              <w:pStyle w:val="InstructionsText"/>
              <w:rPr>
                <w:rStyle w:val="InstructionsTabelleberschrift"/>
                <w:rFonts w:ascii="Times New Roman" w:hAnsi="Times New Roman"/>
                <w:sz w:val="22"/>
                <w:szCs w:val="22"/>
              </w:rPr>
            </w:pPr>
            <w:r w:rsidRPr="00E37E07">
              <w:rPr>
                <w:rStyle w:val="InstructionsTabelleberschrift"/>
                <w:rFonts w:ascii="Times New Roman" w:hAnsi="Times New Roman"/>
                <w:sz w:val="22"/>
                <w:szCs w:val="22"/>
              </w:rPr>
              <w:t>Vrsta oznake</w:t>
            </w:r>
          </w:p>
          <w:p w14:paraId="0854ED07"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Investicijska društva za vrstu oznake iskazanu u stupcu 0010 navode „oznaka LEI” ili „nacionalna oznaka”.</w:t>
            </w:r>
          </w:p>
        </w:tc>
      </w:tr>
      <w:tr w:rsidR="006C0DAA" w:rsidRPr="00E37E07" w14:paraId="3157F170" w14:textId="77777777">
        <w:tc>
          <w:tcPr>
            <w:tcW w:w="1389" w:type="dxa"/>
          </w:tcPr>
          <w:p w14:paraId="0CB74986"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0030</w:t>
            </w:r>
          </w:p>
        </w:tc>
        <w:tc>
          <w:tcPr>
            <w:tcW w:w="7620" w:type="dxa"/>
          </w:tcPr>
          <w:p w14:paraId="6E8C4A4E"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Ime</w:t>
            </w:r>
          </w:p>
          <w:p w14:paraId="170B8E1F"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 xml:space="preserve">Naziv je jednak nazivu matičnog društva uvijek kada se </w:t>
            </w:r>
            <w:r w:rsidRPr="00E37E07">
              <w:rPr>
                <w:rFonts w:ascii="Times New Roman" w:hAnsi="Times New Roman"/>
              </w:rPr>
              <w:t>iskazuje grupa povezanih drugih ugovornih strana. U svim ostalim slučajevima naziv odgovara pojedinačnoj drugoj ugovornoj strani.</w:t>
            </w:r>
          </w:p>
        </w:tc>
      </w:tr>
      <w:tr w:rsidR="006C0DAA" w:rsidRPr="00E37E07" w14:paraId="26EA8B49" w14:textId="77777777">
        <w:tc>
          <w:tcPr>
            <w:tcW w:w="1389" w:type="dxa"/>
          </w:tcPr>
          <w:p w14:paraId="15D615AE"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0040</w:t>
            </w:r>
          </w:p>
        </w:tc>
        <w:tc>
          <w:tcPr>
            <w:tcW w:w="7620" w:type="dxa"/>
          </w:tcPr>
          <w:p w14:paraId="510A6C55"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Grupa/pojedinac</w:t>
            </w:r>
          </w:p>
          <w:p w14:paraId="17EAD498" w14:textId="77777777" w:rsidR="006C0DAA" w:rsidRPr="00E37E07" w:rsidRDefault="00E37E07">
            <w:pPr>
              <w:pStyle w:val="Default"/>
              <w:jc w:val="both"/>
              <w:rPr>
                <w:sz w:val="22"/>
                <w:szCs w:val="22"/>
              </w:rPr>
            </w:pPr>
            <w:r w:rsidRPr="00E37E07">
              <w:rPr>
                <w:sz w:val="22"/>
                <w:szCs w:val="22"/>
              </w:rPr>
              <w:t>Društvo upisuje „1” kada iskazuje izloženosti prema pojedinačnim klijentima ili „2” kada iskazuje izlože</w:t>
            </w:r>
            <w:r w:rsidRPr="00E37E07">
              <w:rPr>
                <w:sz w:val="22"/>
                <w:szCs w:val="22"/>
              </w:rPr>
              <w:t xml:space="preserve">nosti prema grupi povezanih klijenata. </w:t>
            </w:r>
          </w:p>
        </w:tc>
      </w:tr>
      <w:tr w:rsidR="006C0DAA" w:rsidRPr="00E37E07" w14:paraId="778CB202" w14:textId="77777777">
        <w:tc>
          <w:tcPr>
            <w:tcW w:w="1389" w:type="dxa"/>
          </w:tcPr>
          <w:p w14:paraId="0EEE2E9D"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0050</w:t>
            </w:r>
          </w:p>
        </w:tc>
        <w:tc>
          <w:tcPr>
            <w:tcW w:w="7620" w:type="dxa"/>
          </w:tcPr>
          <w:p w14:paraId="627EEE43"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Ukupna ASA na datum izvješćivanja</w:t>
            </w:r>
          </w:p>
          <w:p w14:paraId="3A876724"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Društvo iskazuje ukupni iznos vrijednosnih papira klijenta deponiranih u pojedinoj instituciji na datum izvješćivanja.</w:t>
            </w:r>
          </w:p>
        </w:tc>
      </w:tr>
      <w:tr w:rsidR="006C0DAA" w:rsidRPr="00E37E07" w14:paraId="35D32422" w14:textId="77777777">
        <w:tc>
          <w:tcPr>
            <w:tcW w:w="1389" w:type="dxa"/>
          </w:tcPr>
          <w:p w14:paraId="6B95E013"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0060</w:t>
            </w:r>
          </w:p>
        </w:tc>
        <w:tc>
          <w:tcPr>
            <w:tcW w:w="7620" w:type="dxa"/>
          </w:tcPr>
          <w:p w14:paraId="6FC221B9"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xml:space="preserve">Postotak vrijednosnih papira klijenta </w:t>
            </w:r>
            <w:r w:rsidRPr="00E37E07">
              <w:rPr>
                <w:rFonts w:ascii="Times New Roman" w:hAnsi="Times New Roman"/>
                <w:b/>
                <w:bCs/>
                <w:u w:val="single"/>
              </w:rPr>
              <w:t>deponiranih u instituciji</w:t>
            </w:r>
          </w:p>
          <w:p w14:paraId="0594BAE9"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Društvo iskazuje iznos deponiranih vrijednosnih papira klijenta na datum izvješćivanja za svaku drugu ugovornu stranu ili grupu povezanih drugih ugovornih strana o kojima se izvješćuje, izražen kao postotak ukupnog iznosa (naveden</w:t>
            </w:r>
            <w:r w:rsidRPr="00E37E07">
              <w:rPr>
                <w:rFonts w:ascii="Times New Roman" w:hAnsi="Times New Roman"/>
                <w:bCs/>
              </w:rPr>
              <w:t>og u stupcu 0050).</w:t>
            </w:r>
          </w:p>
        </w:tc>
      </w:tr>
    </w:tbl>
    <w:p w14:paraId="001DFBA1" w14:textId="77777777" w:rsidR="006C0DAA" w:rsidRPr="00E37E07" w:rsidRDefault="006C0DAA">
      <w:pPr>
        <w:spacing w:after="0"/>
        <w:rPr>
          <w:rFonts w:ascii="Times New Roman" w:hAnsi="Times New Roman" w:cs="Times New Roman"/>
          <w:u w:val="single"/>
        </w:rPr>
      </w:pPr>
    </w:p>
    <w:p w14:paraId="194B09B6" w14:textId="77777777" w:rsidR="006C0DAA" w:rsidRPr="00E37E07" w:rsidRDefault="00E37E07">
      <w:pPr>
        <w:pStyle w:val="Instructionsberschrift2"/>
        <w:ind w:left="357" w:hanging="357"/>
        <w:rPr>
          <w:rFonts w:ascii="Times New Roman" w:hAnsi="Times New Roman" w:cs="Times New Roman"/>
          <w:sz w:val="24"/>
        </w:rPr>
      </w:pPr>
      <w:bookmarkStart w:id="90" w:name="_Toc88218434"/>
      <w:r w:rsidRPr="00E37E07">
        <w:rPr>
          <w:rFonts w:ascii="Times New Roman" w:hAnsi="Times New Roman"/>
          <w:sz w:val="24"/>
        </w:rPr>
        <w:lastRenderedPageBreak/>
        <w:t>4.5. I 08.03 – RAZINA KONCENTRACIJSKOG RIZIKA – UKUPNA DEPONIRANA VLASTITA NOVČANA SREDSTVA (I 8.3)</w:t>
      </w:r>
      <w:bookmarkEnd w:id="90"/>
    </w:p>
    <w:p w14:paraId="6EC043C3" w14:textId="77777777" w:rsidR="006C0DAA" w:rsidRPr="00E37E07" w:rsidRDefault="00E37E07">
      <w:pPr>
        <w:pStyle w:val="Instructionsberschrift2"/>
        <w:ind w:left="357" w:hanging="357"/>
        <w:rPr>
          <w:rFonts w:ascii="Times New Roman" w:hAnsi="Times New Roman" w:cs="Times New Roman"/>
          <w:sz w:val="24"/>
          <w:u w:val="none"/>
        </w:rPr>
      </w:pPr>
      <w:bookmarkStart w:id="91" w:name="_Toc88218435"/>
      <w:r w:rsidRPr="00E37E07">
        <w:rPr>
          <w:rFonts w:ascii="Times New Roman" w:hAnsi="Times New Roman"/>
          <w:sz w:val="24"/>
          <w:u w:val="none"/>
        </w:rPr>
        <w:t>4.5.1</w:t>
      </w:r>
      <w:r w:rsidRPr="00E37E07">
        <w:rPr>
          <w:rFonts w:ascii="Times New Roman" w:hAnsi="Times New Roman"/>
          <w:sz w:val="24"/>
          <w:u w:val="none"/>
        </w:rPr>
        <w:tab/>
      </w:r>
      <w:r w:rsidRPr="00E37E07">
        <w:rPr>
          <w:rFonts w:ascii="Times New Roman" w:hAnsi="Times New Roman"/>
          <w:sz w:val="24"/>
        </w:rPr>
        <w:t>Upute za određene stupce</w:t>
      </w:r>
      <w:bookmarkEnd w:id="91"/>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6C0DAA" w:rsidRPr="00E37E07" w14:paraId="64ED5B0F" w14:textId="77777777">
        <w:tc>
          <w:tcPr>
            <w:tcW w:w="1389" w:type="dxa"/>
            <w:shd w:val="clear" w:color="auto" w:fill="D9D9D9"/>
          </w:tcPr>
          <w:p w14:paraId="60F48455"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Stupci</w:t>
            </w:r>
          </w:p>
        </w:tc>
        <w:tc>
          <w:tcPr>
            <w:tcW w:w="7620" w:type="dxa"/>
            <w:shd w:val="clear" w:color="auto" w:fill="D9D9D9"/>
          </w:tcPr>
          <w:p w14:paraId="1F85A3E5"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Pravna osnova i upute</w:t>
            </w:r>
          </w:p>
        </w:tc>
      </w:tr>
      <w:tr w:rsidR="006C0DAA" w:rsidRPr="00E37E07" w14:paraId="7F208438" w14:textId="77777777">
        <w:tc>
          <w:tcPr>
            <w:tcW w:w="1389" w:type="dxa"/>
          </w:tcPr>
          <w:p w14:paraId="00CB4A9C"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0010 – 0060</w:t>
            </w:r>
          </w:p>
        </w:tc>
        <w:tc>
          <w:tcPr>
            <w:tcW w:w="7620" w:type="dxa"/>
          </w:tcPr>
          <w:p w14:paraId="11F9F554"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Ukupna deponirana vlastita novčana sredstva</w:t>
            </w:r>
          </w:p>
          <w:p w14:paraId="3D4542E7"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54. stavak 2. točke (d) i (f) Uredbe (EU) 2019/2033</w:t>
            </w:r>
          </w:p>
          <w:p w14:paraId="25245D6A"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 xml:space="preserve">Društvo navodi identifikacijske oznake pet drugih ugovornih strana ili grupa povezanih drugih ugovornih strana, ako su dostupne, kod kojih su deponirani najveći iznosi vlastitih novčanih sredstava </w:t>
            </w:r>
            <w:r w:rsidRPr="00E37E07">
              <w:rPr>
                <w:rFonts w:ascii="Times New Roman" w:hAnsi="Times New Roman"/>
                <w:bCs/>
              </w:rPr>
              <w:t xml:space="preserve">društva. </w:t>
            </w:r>
          </w:p>
        </w:tc>
      </w:tr>
      <w:tr w:rsidR="006C0DAA" w:rsidRPr="00E37E07" w14:paraId="3A01C6DD" w14:textId="77777777">
        <w:tc>
          <w:tcPr>
            <w:tcW w:w="1389" w:type="dxa"/>
          </w:tcPr>
          <w:p w14:paraId="1D7D5AF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0010</w:t>
            </w:r>
          </w:p>
        </w:tc>
        <w:tc>
          <w:tcPr>
            <w:tcW w:w="7620" w:type="dxa"/>
          </w:tcPr>
          <w:p w14:paraId="6D16C077" w14:textId="77777777" w:rsidR="006C0DAA" w:rsidRPr="00E37E07" w:rsidRDefault="00E37E07">
            <w:pPr>
              <w:pStyle w:val="InstructionsText"/>
              <w:rPr>
                <w:rStyle w:val="InstructionsTabelleberschrift"/>
                <w:rFonts w:ascii="Times New Roman" w:hAnsi="Times New Roman"/>
                <w:sz w:val="22"/>
                <w:szCs w:val="22"/>
              </w:rPr>
            </w:pPr>
            <w:r w:rsidRPr="00E37E07">
              <w:rPr>
                <w:rStyle w:val="InstructionsTabelleberschrift"/>
                <w:rFonts w:ascii="Times New Roman" w:hAnsi="Times New Roman"/>
                <w:sz w:val="22"/>
                <w:szCs w:val="22"/>
              </w:rPr>
              <w:t>Oznaka</w:t>
            </w:r>
          </w:p>
          <w:p w14:paraId="1CE28B2C"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Style w:val="FormatvorlageInstructionsTabelleText"/>
                <w:rFonts w:ascii="Times New Roman" w:hAnsi="Times New Roman"/>
                <w:sz w:val="22"/>
              </w:rPr>
              <w:t>Ta je oznaka dio jedinstvenog identifikatora retka za svaki subjekt o kojem se izvješćuje. Za investicijska društva i društva za osiguranje, to je oznaka LEI. Za druge subjekte to je oznaka LEI ili, ako nije dostupna, nacionalna ozna</w:t>
            </w:r>
            <w:r w:rsidRPr="00E37E07">
              <w:rPr>
                <w:rStyle w:val="FormatvorlageInstructionsTabelleText"/>
                <w:rFonts w:ascii="Times New Roman" w:hAnsi="Times New Roman"/>
                <w:sz w:val="22"/>
              </w:rPr>
              <w:t>ka. Oznaka je jedinstvena i cijelo se vrijeme dosljedno koristi u svim obrascima. Oznaka uvijek mora imati vrijednost.</w:t>
            </w:r>
          </w:p>
        </w:tc>
      </w:tr>
      <w:tr w:rsidR="006C0DAA" w:rsidRPr="00E37E07" w14:paraId="0FDA9132" w14:textId="77777777">
        <w:tc>
          <w:tcPr>
            <w:tcW w:w="1389" w:type="dxa"/>
          </w:tcPr>
          <w:p w14:paraId="7136E8BE"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0020</w:t>
            </w:r>
          </w:p>
        </w:tc>
        <w:tc>
          <w:tcPr>
            <w:tcW w:w="7620" w:type="dxa"/>
          </w:tcPr>
          <w:p w14:paraId="628BC6C5" w14:textId="77777777" w:rsidR="006C0DAA" w:rsidRPr="00E37E07" w:rsidRDefault="00E37E07">
            <w:pPr>
              <w:pStyle w:val="InstructionsText"/>
              <w:rPr>
                <w:rStyle w:val="InstructionsTabelleberschrift"/>
                <w:rFonts w:ascii="Times New Roman" w:eastAsiaTheme="minorHAnsi" w:hAnsi="Times New Roman"/>
                <w:bCs/>
                <w:sz w:val="22"/>
                <w:szCs w:val="22"/>
              </w:rPr>
            </w:pPr>
            <w:r w:rsidRPr="00E37E07">
              <w:rPr>
                <w:rStyle w:val="InstructionsTabelleberschrift"/>
                <w:rFonts w:ascii="Times New Roman" w:hAnsi="Times New Roman"/>
                <w:sz w:val="22"/>
                <w:szCs w:val="22"/>
              </w:rPr>
              <w:t>Vrsta oznake</w:t>
            </w:r>
          </w:p>
          <w:p w14:paraId="27555640"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Investicijska društva za vrstu oznake iskazanu u stupcu 0010 navode „oznaka LEI” ili „nacionalna oznaka”.</w:t>
            </w:r>
          </w:p>
        </w:tc>
      </w:tr>
      <w:tr w:rsidR="006C0DAA" w:rsidRPr="00E37E07" w14:paraId="4FFFD552" w14:textId="77777777">
        <w:tc>
          <w:tcPr>
            <w:tcW w:w="1389" w:type="dxa"/>
          </w:tcPr>
          <w:p w14:paraId="4F00EAA1"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0030</w:t>
            </w:r>
          </w:p>
        </w:tc>
        <w:tc>
          <w:tcPr>
            <w:tcW w:w="7620" w:type="dxa"/>
          </w:tcPr>
          <w:p w14:paraId="7135F68E"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Ime</w:t>
            </w:r>
          </w:p>
          <w:p w14:paraId="3E409E25"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Naziv je jednak nazivu matičnog društva uvijek kada se iskazuje grupa povezanih drugih ugovornih strana. U svim ostalim slučajevima naziv odgovara pojedinačnoj drugoj ugovornoj strani.</w:t>
            </w:r>
          </w:p>
        </w:tc>
      </w:tr>
      <w:tr w:rsidR="006C0DAA" w:rsidRPr="00E37E07" w14:paraId="2023F7ED" w14:textId="77777777">
        <w:tc>
          <w:tcPr>
            <w:tcW w:w="1389" w:type="dxa"/>
          </w:tcPr>
          <w:p w14:paraId="24A78980"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0040</w:t>
            </w:r>
          </w:p>
        </w:tc>
        <w:tc>
          <w:tcPr>
            <w:tcW w:w="7620" w:type="dxa"/>
          </w:tcPr>
          <w:p w14:paraId="4A52BDC1"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Grupa/pojedinac</w:t>
            </w:r>
          </w:p>
          <w:p w14:paraId="63466F2D" w14:textId="77777777" w:rsidR="006C0DAA" w:rsidRPr="00E37E07" w:rsidRDefault="00E37E07">
            <w:pPr>
              <w:pStyle w:val="Default"/>
              <w:spacing w:after="120"/>
              <w:jc w:val="both"/>
              <w:rPr>
                <w:sz w:val="22"/>
                <w:szCs w:val="22"/>
              </w:rPr>
            </w:pPr>
            <w:r w:rsidRPr="00E37E07">
              <w:rPr>
                <w:sz w:val="22"/>
                <w:szCs w:val="22"/>
              </w:rPr>
              <w:t>Društvo upisuje „1” kada iskazuje izloženosti pre</w:t>
            </w:r>
            <w:r w:rsidRPr="00E37E07">
              <w:rPr>
                <w:sz w:val="22"/>
                <w:szCs w:val="22"/>
              </w:rPr>
              <w:t xml:space="preserve">ma pojedinačnim klijentima ili „2” kada iskazuje izloženosti prema grupi povezanih klijenata. </w:t>
            </w:r>
          </w:p>
        </w:tc>
      </w:tr>
      <w:tr w:rsidR="006C0DAA" w:rsidRPr="00E37E07" w14:paraId="3616A59E" w14:textId="77777777">
        <w:tc>
          <w:tcPr>
            <w:tcW w:w="1389" w:type="dxa"/>
          </w:tcPr>
          <w:p w14:paraId="1EEB0C20"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0050</w:t>
            </w:r>
          </w:p>
        </w:tc>
        <w:tc>
          <w:tcPr>
            <w:tcW w:w="7620" w:type="dxa"/>
          </w:tcPr>
          <w:p w14:paraId="3A3CF6FA"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Iznos novčanih depozita društva u instituciji</w:t>
            </w:r>
          </w:p>
          <w:p w14:paraId="4FDB9602"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Društvo iskazuje ukupni iznos vlastitih novčanih sredstava koja se drže u pojedinoj instituciji na referentni</w:t>
            </w:r>
            <w:r w:rsidRPr="00E37E07">
              <w:rPr>
                <w:rFonts w:ascii="Times New Roman" w:hAnsi="Times New Roman"/>
                <w:bCs/>
              </w:rPr>
              <w:t xml:space="preserve"> datum.</w:t>
            </w:r>
          </w:p>
        </w:tc>
      </w:tr>
      <w:tr w:rsidR="006C0DAA" w:rsidRPr="00E37E07" w14:paraId="3472C73E" w14:textId="77777777">
        <w:tc>
          <w:tcPr>
            <w:tcW w:w="1389" w:type="dxa"/>
          </w:tcPr>
          <w:p w14:paraId="1DDC5E8A"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0060</w:t>
            </w:r>
          </w:p>
        </w:tc>
        <w:tc>
          <w:tcPr>
            <w:tcW w:w="7620" w:type="dxa"/>
          </w:tcPr>
          <w:p w14:paraId="2A239A31"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Postotak vlastitih novčanih depozita društva u instituciji</w:t>
            </w:r>
          </w:p>
          <w:p w14:paraId="32DF1D46"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 xml:space="preserve">Društvo iskazuje iznos deponiranih vlastitih novčanih sredstava na datum izvješćivanja za svaku drugu ugovornu stranu ili grupu povezanih drugih ugovornih strana o kojima se </w:t>
            </w:r>
            <w:r w:rsidRPr="00E37E07">
              <w:rPr>
                <w:rFonts w:ascii="Times New Roman" w:hAnsi="Times New Roman"/>
                <w:bCs/>
              </w:rPr>
              <w:t>izvješćuje, iskazan kao postotak ukupnih vlastitih novčanih sredstava investicijskog društva.</w:t>
            </w:r>
          </w:p>
        </w:tc>
      </w:tr>
    </w:tbl>
    <w:p w14:paraId="325273EF" w14:textId="77777777" w:rsidR="006C0DAA" w:rsidRPr="00E37E07" w:rsidRDefault="006C0DAA">
      <w:pPr>
        <w:spacing w:after="0"/>
        <w:rPr>
          <w:rFonts w:ascii="Times New Roman" w:hAnsi="Times New Roman" w:cs="Times New Roman"/>
          <w:u w:val="single"/>
        </w:rPr>
      </w:pPr>
    </w:p>
    <w:p w14:paraId="20366C92" w14:textId="77777777" w:rsidR="006C0DAA" w:rsidRPr="00E37E07" w:rsidRDefault="00E37E07">
      <w:pPr>
        <w:pStyle w:val="Instructionsberschrift2"/>
        <w:ind w:left="357" w:hanging="357"/>
        <w:rPr>
          <w:rFonts w:ascii="Times New Roman" w:hAnsi="Times New Roman" w:cs="Times New Roman"/>
          <w:sz w:val="24"/>
        </w:rPr>
      </w:pPr>
      <w:bookmarkStart w:id="92" w:name="_Toc88218436"/>
      <w:r w:rsidRPr="00E37E07">
        <w:rPr>
          <w:rFonts w:ascii="Times New Roman" w:hAnsi="Times New Roman"/>
          <w:sz w:val="24"/>
        </w:rPr>
        <w:t>4.6.</w:t>
      </w:r>
      <w:r w:rsidRPr="00E37E07">
        <w:rPr>
          <w:rFonts w:ascii="Times New Roman" w:hAnsi="Times New Roman"/>
          <w:sz w:val="24"/>
          <w:u w:val="none"/>
        </w:rPr>
        <w:t xml:space="preserve"> </w:t>
      </w:r>
      <w:r w:rsidRPr="00E37E07">
        <w:rPr>
          <w:rFonts w:ascii="Times New Roman" w:hAnsi="Times New Roman"/>
          <w:sz w:val="24"/>
        </w:rPr>
        <w:t>I 08.04 – RAZINA KONCENTRACIJSKOG RIZIKA – UKUPNA DOBIT (I 8.4)</w:t>
      </w:r>
      <w:bookmarkEnd w:id="92"/>
    </w:p>
    <w:p w14:paraId="62EFE139" w14:textId="77777777" w:rsidR="006C0DAA" w:rsidRPr="00E37E07" w:rsidRDefault="00E37E07">
      <w:pPr>
        <w:pStyle w:val="Instructionsberschrift2"/>
        <w:ind w:left="357" w:hanging="357"/>
        <w:rPr>
          <w:rFonts w:ascii="Times New Roman" w:hAnsi="Times New Roman" w:cs="Times New Roman"/>
        </w:rPr>
      </w:pPr>
      <w:bookmarkStart w:id="93" w:name="_Toc88218437"/>
      <w:r w:rsidRPr="00E37E07">
        <w:rPr>
          <w:rFonts w:ascii="Times New Roman" w:hAnsi="Times New Roman"/>
          <w:sz w:val="24"/>
          <w:u w:val="none"/>
        </w:rPr>
        <w:t>4.6.1</w:t>
      </w:r>
      <w:r w:rsidRPr="00E37E07">
        <w:rPr>
          <w:rFonts w:ascii="Times New Roman" w:hAnsi="Times New Roman"/>
          <w:sz w:val="24"/>
          <w:u w:val="none"/>
        </w:rPr>
        <w:tab/>
      </w:r>
      <w:r w:rsidRPr="00E37E07">
        <w:rPr>
          <w:rFonts w:ascii="Times New Roman" w:hAnsi="Times New Roman"/>
          <w:sz w:val="24"/>
        </w:rPr>
        <w:t>Upute za određene stupce</w:t>
      </w:r>
      <w:bookmarkEnd w:id="93"/>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6C0DAA" w:rsidRPr="00E37E07" w14:paraId="0C094B66" w14:textId="77777777">
        <w:tc>
          <w:tcPr>
            <w:tcW w:w="1389" w:type="dxa"/>
            <w:shd w:val="clear" w:color="auto" w:fill="D9D9D9"/>
          </w:tcPr>
          <w:p w14:paraId="27A02CC9"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Stupci</w:t>
            </w:r>
          </w:p>
        </w:tc>
        <w:tc>
          <w:tcPr>
            <w:tcW w:w="7620" w:type="dxa"/>
            <w:shd w:val="clear" w:color="auto" w:fill="D9D9D9"/>
          </w:tcPr>
          <w:p w14:paraId="46E2F62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Pravna osnova i upute</w:t>
            </w:r>
          </w:p>
        </w:tc>
      </w:tr>
      <w:tr w:rsidR="006C0DAA" w:rsidRPr="00E37E07" w14:paraId="319C745B" w14:textId="77777777">
        <w:tc>
          <w:tcPr>
            <w:tcW w:w="1389" w:type="dxa"/>
          </w:tcPr>
          <w:p w14:paraId="5B9E41C0"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0010 – 0080</w:t>
            </w:r>
          </w:p>
        </w:tc>
        <w:tc>
          <w:tcPr>
            <w:tcW w:w="7620" w:type="dxa"/>
          </w:tcPr>
          <w:p w14:paraId="614D3758"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Ukupna dobit</w:t>
            </w:r>
          </w:p>
          <w:p w14:paraId="6A510794"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54. stavak 2. točke (e) i (f) Uredbe (EU) 2019/2033</w:t>
            </w:r>
          </w:p>
          <w:p w14:paraId="419CA616"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lastRenderedPageBreak/>
              <w:t>Društvo navodi identifikacijske oznake pet klijenata ili grupa povezanih klijenata, ako su dostupni, od kojih proizlaze najveći iznosi dobiti društva.</w:t>
            </w:r>
          </w:p>
        </w:tc>
      </w:tr>
      <w:tr w:rsidR="006C0DAA" w:rsidRPr="00E37E07" w14:paraId="1F2F762D" w14:textId="77777777">
        <w:tc>
          <w:tcPr>
            <w:tcW w:w="1389" w:type="dxa"/>
          </w:tcPr>
          <w:p w14:paraId="5A28A325"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lastRenderedPageBreak/>
              <w:t>0010</w:t>
            </w:r>
          </w:p>
        </w:tc>
        <w:tc>
          <w:tcPr>
            <w:tcW w:w="7620" w:type="dxa"/>
          </w:tcPr>
          <w:p w14:paraId="6407A558" w14:textId="77777777" w:rsidR="006C0DAA" w:rsidRPr="00E37E07" w:rsidRDefault="00E37E07">
            <w:pPr>
              <w:pStyle w:val="InstructionsText"/>
              <w:rPr>
                <w:rStyle w:val="InstructionsTabelleberschrift"/>
                <w:rFonts w:ascii="Times New Roman" w:hAnsi="Times New Roman"/>
                <w:sz w:val="22"/>
                <w:szCs w:val="22"/>
              </w:rPr>
            </w:pPr>
            <w:r w:rsidRPr="00E37E07">
              <w:rPr>
                <w:rStyle w:val="InstructionsTabelleberschrift"/>
                <w:rFonts w:ascii="Times New Roman" w:hAnsi="Times New Roman"/>
                <w:sz w:val="22"/>
                <w:szCs w:val="22"/>
              </w:rPr>
              <w:t>Oznaka</w:t>
            </w:r>
          </w:p>
          <w:p w14:paraId="145F182F" w14:textId="77777777" w:rsidR="006C0DAA" w:rsidRPr="00E37E07" w:rsidRDefault="00E37E07">
            <w:pPr>
              <w:spacing w:after="120" w:line="240" w:lineRule="auto"/>
              <w:jc w:val="both"/>
              <w:rPr>
                <w:rFonts w:ascii="Times New Roman" w:eastAsia="Times New Roman" w:hAnsi="Times New Roman" w:cs="Times New Roman"/>
                <w:bCs/>
              </w:rPr>
            </w:pPr>
            <w:r w:rsidRPr="00E37E07">
              <w:rPr>
                <w:rStyle w:val="FormatvorlageInstructionsTabelleText"/>
                <w:rFonts w:ascii="Times New Roman" w:hAnsi="Times New Roman"/>
                <w:sz w:val="22"/>
              </w:rPr>
              <w:t>Ta je oznaka dio jedinstvenog ide</w:t>
            </w:r>
            <w:r w:rsidRPr="00E37E07">
              <w:rPr>
                <w:rStyle w:val="FormatvorlageInstructionsTabelleText"/>
                <w:rFonts w:ascii="Times New Roman" w:hAnsi="Times New Roman"/>
                <w:sz w:val="22"/>
              </w:rPr>
              <w:t xml:space="preserve">ntifikatora retka za svaki subjekt o kojem se izvješćuje. Za investicijska društva i društva za osiguranje, to je oznaka LEI. Za druge subjekte to je oznaka LEI ili, ako nije dostupna, nacionalna oznaka. Oznaka je jedinstvena i cijelo se vrijeme dosljedno </w:t>
            </w:r>
            <w:r w:rsidRPr="00E37E07">
              <w:rPr>
                <w:rStyle w:val="FormatvorlageInstructionsTabelleText"/>
                <w:rFonts w:ascii="Times New Roman" w:hAnsi="Times New Roman"/>
                <w:sz w:val="22"/>
              </w:rPr>
              <w:t>koristi u svim obrascima. Oznaka uvijek mora imati vrijednost.</w:t>
            </w:r>
          </w:p>
        </w:tc>
      </w:tr>
      <w:tr w:rsidR="006C0DAA" w:rsidRPr="00E37E07" w14:paraId="5DC29DF7" w14:textId="77777777">
        <w:tc>
          <w:tcPr>
            <w:tcW w:w="1389" w:type="dxa"/>
          </w:tcPr>
          <w:p w14:paraId="7AD5718A"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0020</w:t>
            </w:r>
          </w:p>
        </w:tc>
        <w:tc>
          <w:tcPr>
            <w:tcW w:w="7620" w:type="dxa"/>
          </w:tcPr>
          <w:p w14:paraId="6971A920" w14:textId="77777777" w:rsidR="006C0DAA" w:rsidRPr="00E37E07" w:rsidRDefault="00E37E07">
            <w:pPr>
              <w:pStyle w:val="InstructionsText"/>
              <w:rPr>
                <w:rStyle w:val="InstructionsTabelleberschrift"/>
                <w:rFonts w:ascii="Times New Roman" w:hAnsi="Times New Roman"/>
                <w:sz w:val="22"/>
                <w:szCs w:val="22"/>
              </w:rPr>
            </w:pPr>
            <w:r w:rsidRPr="00E37E07">
              <w:rPr>
                <w:rStyle w:val="InstructionsTabelleberschrift"/>
                <w:rFonts w:ascii="Times New Roman" w:hAnsi="Times New Roman"/>
                <w:sz w:val="22"/>
                <w:szCs w:val="22"/>
              </w:rPr>
              <w:t>Vrsta oznake</w:t>
            </w:r>
          </w:p>
          <w:p w14:paraId="48722357"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Investicijska društva za vrstu oznake iskazanu u stupcu 0010 navode „oznaka LEI” ili „nacionalna oznaka”.</w:t>
            </w:r>
          </w:p>
        </w:tc>
      </w:tr>
      <w:tr w:rsidR="006C0DAA" w:rsidRPr="00E37E07" w14:paraId="671FCE1C" w14:textId="77777777">
        <w:tc>
          <w:tcPr>
            <w:tcW w:w="1389" w:type="dxa"/>
          </w:tcPr>
          <w:p w14:paraId="0E32F303"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0030</w:t>
            </w:r>
          </w:p>
        </w:tc>
        <w:tc>
          <w:tcPr>
            <w:tcW w:w="7620" w:type="dxa"/>
          </w:tcPr>
          <w:p w14:paraId="53A16B3E"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Ime</w:t>
            </w:r>
          </w:p>
          <w:p w14:paraId="729C095B"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 xml:space="preserve">Naziv je jednak nazivu matičnog društva uvijek kada se </w:t>
            </w:r>
            <w:r w:rsidRPr="00E37E07">
              <w:rPr>
                <w:rFonts w:ascii="Times New Roman" w:hAnsi="Times New Roman"/>
              </w:rPr>
              <w:t>iskazuje grupa povezanih osoba. U svim ostalim slučajevima naziv odgovara pojedinačnom klijentu.</w:t>
            </w:r>
          </w:p>
        </w:tc>
      </w:tr>
      <w:tr w:rsidR="006C0DAA" w:rsidRPr="00E37E07" w14:paraId="1706E707" w14:textId="77777777">
        <w:tc>
          <w:tcPr>
            <w:tcW w:w="1389" w:type="dxa"/>
          </w:tcPr>
          <w:p w14:paraId="4A32F14C"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0040</w:t>
            </w:r>
          </w:p>
        </w:tc>
        <w:tc>
          <w:tcPr>
            <w:tcW w:w="7620" w:type="dxa"/>
          </w:tcPr>
          <w:p w14:paraId="1F5FC462"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Grupa/pojedinac</w:t>
            </w:r>
          </w:p>
          <w:p w14:paraId="37FD99ED"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rPr>
              <w:t>Društvo upisuje „1” kada iskazuje izloženosti prema pojedinačnim klijentima ili „2” kada iskazuje izloženosti prema grupi povezanih klije</w:t>
            </w:r>
            <w:r w:rsidRPr="00E37E07">
              <w:rPr>
                <w:rFonts w:ascii="Times New Roman" w:hAnsi="Times New Roman"/>
              </w:rPr>
              <w:t>nata.</w:t>
            </w:r>
          </w:p>
        </w:tc>
      </w:tr>
      <w:tr w:rsidR="006C0DAA" w:rsidRPr="00E37E07" w14:paraId="70DF30C7" w14:textId="77777777">
        <w:tc>
          <w:tcPr>
            <w:tcW w:w="1389" w:type="dxa"/>
          </w:tcPr>
          <w:p w14:paraId="7ED9A76B"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0050</w:t>
            </w:r>
          </w:p>
        </w:tc>
        <w:tc>
          <w:tcPr>
            <w:tcW w:w="7620" w:type="dxa"/>
          </w:tcPr>
          <w:p w14:paraId="7EF8B6B1"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Ukupna dobit od klijenta</w:t>
            </w:r>
          </w:p>
          <w:p w14:paraId="2685AA33"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 xml:space="preserve">Društvo iskazuje ukupnu dobit po klijentu ili grupi povezanih klijenata ostvarenu od početka računovodstvene godine. Dobit se raščlanjuje prema prihodima od kamata i dividendi, s jedne strane, te prihodima od naknada i </w:t>
            </w:r>
            <w:r w:rsidRPr="00E37E07">
              <w:rPr>
                <w:rFonts w:ascii="Times New Roman" w:hAnsi="Times New Roman"/>
                <w:bCs/>
              </w:rPr>
              <w:t>provizija te drugim prihodima, s druge strane.</w:t>
            </w:r>
          </w:p>
        </w:tc>
      </w:tr>
      <w:tr w:rsidR="006C0DAA" w:rsidRPr="00E37E07" w14:paraId="3C518301" w14:textId="77777777">
        <w:tc>
          <w:tcPr>
            <w:tcW w:w="1389" w:type="dxa"/>
          </w:tcPr>
          <w:p w14:paraId="3D5F42B8"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0060 – 0090</w:t>
            </w:r>
          </w:p>
        </w:tc>
        <w:tc>
          <w:tcPr>
            <w:tcW w:w="7620" w:type="dxa"/>
          </w:tcPr>
          <w:p w14:paraId="0A8F7393"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Prihodi od kamata i dividendi</w:t>
            </w:r>
          </w:p>
        </w:tc>
      </w:tr>
      <w:tr w:rsidR="006C0DAA" w:rsidRPr="00E37E07" w14:paraId="522D7CEC" w14:textId="77777777">
        <w:tc>
          <w:tcPr>
            <w:tcW w:w="1389" w:type="dxa"/>
          </w:tcPr>
          <w:p w14:paraId="1E1B8479"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0060 </w:t>
            </w:r>
          </w:p>
        </w:tc>
        <w:tc>
          <w:tcPr>
            <w:tcW w:w="7620" w:type="dxa"/>
          </w:tcPr>
          <w:p w14:paraId="20B5D7E5"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Prihodi od kamata i dividendi – iznos ostvaren pozicijama u knjizi trgovanja</w:t>
            </w:r>
          </w:p>
          <w:p w14:paraId="7B284008"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 xml:space="preserve">Knjiga trgovanja kako je definirana u članku 4. stavku 1. točki 54. Uredbe (EU) 2019/2033 </w:t>
            </w:r>
          </w:p>
        </w:tc>
      </w:tr>
      <w:tr w:rsidR="006C0DAA" w:rsidRPr="00E37E07" w14:paraId="2FAC397E" w14:textId="77777777">
        <w:tc>
          <w:tcPr>
            <w:tcW w:w="1389" w:type="dxa"/>
          </w:tcPr>
          <w:p w14:paraId="361E5A0E"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0070</w:t>
            </w:r>
          </w:p>
        </w:tc>
        <w:tc>
          <w:tcPr>
            <w:tcW w:w="7620" w:type="dxa"/>
          </w:tcPr>
          <w:p w14:paraId="45718947"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Prihodi od kamata i dividendi – iznos ostvaren pozicijama u knjizi pozicija kojima se ne trguje</w:t>
            </w:r>
          </w:p>
        </w:tc>
      </w:tr>
      <w:tr w:rsidR="006C0DAA" w:rsidRPr="00E37E07" w14:paraId="49C0E01A" w14:textId="77777777">
        <w:tc>
          <w:tcPr>
            <w:tcW w:w="1389" w:type="dxa"/>
          </w:tcPr>
          <w:p w14:paraId="7D26624C"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0080</w:t>
            </w:r>
          </w:p>
        </w:tc>
        <w:tc>
          <w:tcPr>
            <w:tcW w:w="7620" w:type="dxa"/>
          </w:tcPr>
          <w:p w14:paraId="44960169"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Prihodi od kamata i dividendi – od čega: iznos ostvaren i</w:t>
            </w:r>
            <w:r w:rsidRPr="00E37E07">
              <w:rPr>
                <w:rFonts w:ascii="Times New Roman" w:hAnsi="Times New Roman"/>
                <w:b/>
                <w:bCs/>
                <w:u w:val="single"/>
              </w:rPr>
              <w:t>zvanbilančnim stavkama</w:t>
            </w:r>
          </w:p>
        </w:tc>
      </w:tr>
      <w:tr w:rsidR="006C0DAA" w:rsidRPr="00E37E07" w14:paraId="6FCA1171" w14:textId="77777777">
        <w:tc>
          <w:tcPr>
            <w:tcW w:w="1389" w:type="dxa"/>
          </w:tcPr>
          <w:p w14:paraId="07621FD0"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0090</w:t>
            </w:r>
          </w:p>
        </w:tc>
        <w:tc>
          <w:tcPr>
            <w:tcW w:w="7620" w:type="dxa"/>
          </w:tcPr>
          <w:p w14:paraId="5A6B2449"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Postotak prihoda od kamata i dividendi od klijenta</w:t>
            </w:r>
          </w:p>
          <w:p w14:paraId="5B5BE76C"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 xml:space="preserve">Društvo iskazuje prihode od kamata i dividendi ostvarene od svakog klijenta ili grupe povezanih osoba, izražene kao postotak ukupnih prihoda od kamata i dividendi </w:t>
            </w:r>
            <w:r w:rsidRPr="00E37E07">
              <w:rPr>
                <w:rFonts w:ascii="Times New Roman" w:hAnsi="Times New Roman"/>
                <w:bCs/>
              </w:rPr>
              <w:t>investicijskog društva.</w:t>
            </w:r>
          </w:p>
        </w:tc>
      </w:tr>
      <w:tr w:rsidR="006C0DAA" w:rsidRPr="00E37E07" w14:paraId="68576732" w14:textId="77777777">
        <w:tc>
          <w:tcPr>
            <w:tcW w:w="1389" w:type="dxa"/>
          </w:tcPr>
          <w:p w14:paraId="360C1BE1"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0100 – 0110</w:t>
            </w:r>
          </w:p>
        </w:tc>
        <w:tc>
          <w:tcPr>
            <w:tcW w:w="7620" w:type="dxa"/>
          </w:tcPr>
          <w:p w14:paraId="09965C16"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Naknade, provizije i drugi prihodi</w:t>
            </w:r>
          </w:p>
        </w:tc>
      </w:tr>
      <w:tr w:rsidR="006C0DAA" w:rsidRPr="00E37E07" w14:paraId="23C23963" w14:textId="77777777">
        <w:tc>
          <w:tcPr>
            <w:tcW w:w="1389" w:type="dxa"/>
          </w:tcPr>
          <w:p w14:paraId="7C1ED3A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0100 </w:t>
            </w:r>
          </w:p>
        </w:tc>
        <w:tc>
          <w:tcPr>
            <w:tcW w:w="7620" w:type="dxa"/>
          </w:tcPr>
          <w:p w14:paraId="45A9F253"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xml:space="preserve">Naknade, provizije i drugi prihodi – iznos </w:t>
            </w:r>
          </w:p>
        </w:tc>
      </w:tr>
      <w:tr w:rsidR="006C0DAA" w:rsidRPr="00E37E07" w14:paraId="20CB6581" w14:textId="77777777">
        <w:tc>
          <w:tcPr>
            <w:tcW w:w="1389" w:type="dxa"/>
          </w:tcPr>
          <w:p w14:paraId="6D205FA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0110</w:t>
            </w:r>
          </w:p>
        </w:tc>
        <w:tc>
          <w:tcPr>
            <w:tcW w:w="7620" w:type="dxa"/>
          </w:tcPr>
          <w:p w14:paraId="0E01AD6F"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Postotak naknada, provizija i drugih prihoda od klijenta</w:t>
            </w:r>
          </w:p>
          <w:p w14:paraId="71673E3C"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 xml:space="preserve">Društvo iskazuje naknade, provizije i druge prihode ostvarene od </w:t>
            </w:r>
            <w:r w:rsidRPr="00E37E07">
              <w:rPr>
                <w:rFonts w:ascii="Times New Roman" w:hAnsi="Times New Roman"/>
                <w:bCs/>
              </w:rPr>
              <w:t>svakog klijenta ili grupe povezanih klijenata, izražene kao postotak ukupnih naknada, provizija i drugih prihoda investicijskog društva.</w:t>
            </w:r>
          </w:p>
        </w:tc>
      </w:tr>
    </w:tbl>
    <w:p w14:paraId="3601DA4F" w14:textId="77777777" w:rsidR="006C0DAA" w:rsidRPr="00E37E07" w:rsidRDefault="006C0DAA">
      <w:pPr>
        <w:spacing w:after="0"/>
        <w:rPr>
          <w:rFonts w:ascii="Times New Roman" w:hAnsi="Times New Roman" w:cs="Times New Roman"/>
          <w:u w:val="single"/>
        </w:rPr>
      </w:pPr>
    </w:p>
    <w:p w14:paraId="0020D761" w14:textId="77777777" w:rsidR="006C0DAA" w:rsidRPr="00E37E07" w:rsidRDefault="00E37E07">
      <w:pPr>
        <w:pStyle w:val="Instructionsberschrift2"/>
        <w:ind w:left="357" w:hanging="357"/>
        <w:rPr>
          <w:rFonts w:ascii="Times New Roman" w:hAnsi="Times New Roman" w:cs="Times New Roman"/>
          <w:sz w:val="24"/>
        </w:rPr>
      </w:pPr>
      <w:bookmarkStart w:id="94" w:name="_Toc88218438"/>
      <w:r w:rsidRPr="00E37E07">
        <w:rPr>
          <w:rFonts w:ascii="Times New Roman" w:hAnsi="Times New Roman"/>
          <w:sz w:val="24"/>
        </w:rPr>
        <w:lastRenderedPageBreak/>
        <w:t>4.7.</w:t>
      </w:r>
      <w:r w:rsidRPr="00E37E07">
        <w:rPr>
          <w:rFonts w:ascii="Times New Roman" w:hAnsi="Times New Roman"/>
          <w:sz w:val="24"/>
          <w:u w:val="none"/>
        </w:rPr>
        <w:t xml:space="preserve"> </w:t>
      </w:r>
      <w:r w:rsidRPr="00E37E07">
        <w:rPr>
          <w:rFonts w:ascii="Times New Roman" w:hAnsi="Times New Roman"/>
          <w:sz w:val="24"/>
        </w:rPr>
        <w:t>I 08.05 – IZLOŽENOSTI IZ KNJIGE TRGOVANJA (I 8.5)</w:t>
      </w:r>
      <w:bookmarkEnd w:id="94"/>
    </w:p>
    <w:p w14:paraId="06F34D14" w14:textId="77777777" w:rsidR="006C0DAA" w:rsidRPr="00E37E07" w:rsidRDefault="00E37E07">
      <w:pPr>
        <w:pStyle w:val="Instructionsberschrift2"/>
        <w:ind w:left="357" w:hanging="357"/>
        <w:rPr>
          <w:rFonts w:ascii="Times New Roman" w:hAnsi="Times New Roman" w:cs="Times New Roman"/>
        </w:rPr>
      </w:pPr>
      <w:bookmarkStart w:id="95" w:name="_Toc88218439"/>
      <w:r w:rsidRPr="00E37E07">
        <w:rPr>
          <w:rFonts w:ascii="Times New Roman" w:hAnsi="Times New Roman"/>
          <w:sz w:val="24"/>
          <w:u w:val="none"/>
        </w:rPr>
        <w:t>4.7.1</w:t>
      </w:r>
      <w:r w:rsidRPr="00E37E07">
        <w:rPr>
          <w:rFonts w:ascii="Times New Roman" w:hAnsi="Times New Roman"/>
          <w:sz w:val="24"/>
          <w:u w:val="none"/>
        </w:rPr>
        <w:tab/>
      </w:r>
      <w:r w:rsidRPr="00E37E07">
        <w:rPr>
          <w:rFonts w:ascii="Times New Roman" w:hAnsi="Times New Roman"/>
          <w:sz w:val="24"/>
        </w:rPr>
        <w:t>Upute za određene stupce</w:t>
      </w:r>
      <w:bookmarkEnd w:id="95"/>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6C0DAA" w:rsidRPr="00E37E07" w14:paraId="231CF88B" w14:textId="77777777">
        <w:tc>
          <w:tcPr>
            <w:tcW w:w="1389" w:type="dxa"/>
            <w:shd w:val="clear" w:color="auto" w:fill="D9D9D9"/>
          </w:tcPr>
          <w:p w14:paraId="3EE0AB85"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Stupci</w:t>
            </w:r>
          </w:p>
        </w:tc>
        <w:tc>
          <w:tcPr>
            <w:tcW w:w="7620" w:type="dxa"/>
            <w:shd w:val="clear" w:color="auto" w:fill="D9D9D9"/>
          </w:tcPr>
          <w:p w14:paraId="4C20D876"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Pravna osnova i upute</w:t>
            </w:r>
          </w:p>
        </w:tc>
      </w:tr>
      <w:tr w:rsidR="006C0DAA" w:rsidRPr="00E37E07" w14:paraId="4838EBA4" w14:textId="77777777">
        <w:tc>
          <w:tcPr>
            <w:tcW w:w="1389" w:type="dxa"/>
          </w:tcPr>
          <w:p w14:paraId="29779F86"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0010 – 0050</w:t>
            </w:r>
          </w:p>
        </w:tc>
        <w:tc>
          <w:tcPr>
            <w:tcW w:w="7620" w:type="dxa"/>
          </w:tcPr>
          <w:p w14:paraId="6D2FA5E7"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Izloženosti iz knjige trgovanja</w:t>
            </w:r>
          </w:p>
          <w:p w14:paraId="57FC8108"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54. stavak 2. točka (a) Uredbe (EU) br. 2019/2033</w:t>
            </w:r>
          </w:p>
          <w:p w14:paraId="0CEF0253"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Društvo navodi informacije koje se odnose na pet najvećih izloženosti iz knjige trgovanja, ako su dostupne.</w:t>
            </w:r>
          </w:p>
        </w:tc>
      </w:tr>
      <w:tr w:rsidR="006C0DAA" w:rsidRPr="00E37E07" w14:paraId="6C0A5824" w14:textId="77777777">
        <w:tc>
          <w:tcPr>
            <w:tcW w:w="1389" w:type="dxa"/>
          </w:tcPr>
          <w:p w14:paraId="4AB4C2FA"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0010</w:t>
            </w:r>
          </w:p>
        </w:tc>
        <w:tc>
          <w:tcPr>
            <w:tcW w:w="7620" w:type="dxa"/>
          </w:tcPr>
          <w:p w14:paraId="13A8C6D7" w14:textId="77777777" w:rsidR="006C0DAA" w:rsidRPr="00E37E07" w:rsidRDefault="00E37E07">
            <w:pPr>
              <w:pStyle w:val="InstructionsText"/>
              <w:rPr>
                <w:rStyle w:val="InstructionsTabelleberschrift"/>
                <w:rFonts w:ascii="Times New Roman" w:hAnsi="Times New Roman"/>
                <w:sz w:val="22"/>
                <w:szCs w:val="22"/>
              </w:rPr>
            </w:pPr>
            <w:r w:rsidRPr="00E37E07">
              <w:rPr>
                <w:rStyle w:val="InstructionsTabelleberschrift"/>
                <w:rFonts w:ascii="Times New Roman" w:hAnsi="Times New Roman"/>
                <w:sz w:val="22"/>
                <w:szCs w:val="22"/>
              </w:rPr>
              <w:t>Oznaka</w:t>
            </w:r>
          </w:p>
          <w:p w14:paraId="4CE0EDA9"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Style w:val="FormatvorlageInstructionsTabelleText"/>
                <w:rFonts w:ascii="Times New Roman" w:hAnsi="Times New Roman"/>
                <w:sz w:val="22"/>
              </w:rPr>
              <w:t xml:space="preserve">Ta je oznaka dio </w:t>
            </w:r>
            <w:r w:rsidRPr="00E37E07">
              <w:rPr>
                <w:rStyle w:val="FormatvorlageInstructionsTabelleText"/>
                <w:rFonts w:ascii="Times New Roman" w:hAnsi="Times New Roman"/>
                <w:sz w:val="22"/>
              </w:rPr>
              <w:t>jedinstvenog identifikatora retka za svaki subjekt o kojem se izvješćuje. Za investicijska društva i društva za osiguranje, to je oznaka LEI. Za druge subjekte to je oznaka LEI ili, ako nije dostupna, nacionalna oznaka. Oznaka je jedinstvena i cijelo se vr</w:t>
            </w:r>
            <w:r w:rsidRPr="00E37E07">
              <w:rPr>
                <w:rStyle w:val="FormatvorlageInstructionsTabelleText"/>
                <w:rFonts w:ascii="Times New Roman" w:hAnsi="Times New Roman"/>
                <w:sz w:val="22"/>
              </w:rPr>
              <w:t>ijeme dosljedno koristi u svim obrascima. Oznaka uvijek mora imati vrijednost.</w:t>
            </w:r>
          </w:p>
        </w:tc>
      </w:tr>
      <w:tr w:rsidR="006C0DAA" w:rsidRPr="00E37E07" w14:paraId="1AE944C4" w14:textId="77777777">
        <w:tc>
          <w:tcPr>
            <w:tcW w:w="1389" w:type="dxa"/>
          </w:tcPr>
          <w:p w14:paraId="63E43E8F"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0020</w:t>
            </w:r>
          </w:p>
        </w:tc>
        <w:tc>
          <w:tcPr>
            <w:tcW w:w="7620" w:type="dxa"/>
          </w:tcPr>
          <w:p w14:paraId="4640D9ED" w14:textId="77777777" w:rsidR="006C0DAA" w:rsidRPr="00E37E07" w:rsidRDefault="00E37E07">
            <w:pPr>
              <w:pStyle w:val="InstructionsText"/>
              <w:rPr>
                <w:rStyle w:val="InstructionsTabelleberschrift"/>
                <w:rFonts w:ascii="Times New Roman" w:hAnsi="Times New Roman"/>
                <w:sz w:val="22"/>
                <w:szCs w:val="22"/>
              </w:rPr>
            </w:pPr>
            <w:r w:rsidRPr="00E37E07">
              <w:rPr>
                <w:rStyle w:val="InstructionsTabelleberschrift"/>
                <w:rFonts w:ascii="Times New Roman" w:hAnsi="Times New Roman"/>
                <w:sz w:val="22"/>
                <w:szCs w:val="22"/>
              </w:rPr>
              <w:t>Vrsta oznake</w:t>
            </w:r>
          </w:p>
          <w:p w14:paraId="40F53B1B"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Investicijska društva za vrstu oznake iskazanu u stupcu 0010 navode „oznaka LEI” ili „nacionalna oznaka”.</w:t>
            </w:r>
          </w:p>
        </w:tc>
      </w:tr>
      <w:tr w:rsidR="006C0DAA" w:rsidRPr="00E37E07" w14:paraId="746EF0FF" w14:textId="77777777">
        <w:tc>
          <w:tcPr>
            <w:tcW w:w="1389" w:type="dxa"/>
          </w:tcPr>
          <w:p w14:paraId="01FFD166"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0030</w:t>
            </w:r>
          </w:p>
        </w:tc>
        <w:tc>
          <w:tcPr>
            <w:tcW w:w="7620" w:type="dxa"/>
          </w:tcPr>
          <w:p w14:paraId="4E10E063"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Ime</w:t>
            </w:r>
          </w:p>
          <w:p w14:paraId="787D27DB"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 xml:space="preserve">Naziv je jednak nazivu matičnog </w:t>
            </w:r>
            <w:r w:rsidRPr="00E37E07">
              <w:rPr>
                <w:rFonts w:ascii="Times New Roman" w:hAnsi="Times New Roman"/>
              </w:rPr>
              <w:t>društva uvijek kada se iskazuje grupa povezanih drugih ugovornih strana. U svim ostalim slučajevima naziv odgovara pojedinačnoj drugoj ugovornoj strani.</w:t>
            </w:r>
          </w:p>
        </w:tc>
      </w:tr>
      <w:tr w:rsidR="006C0DAA" w:rsidRPr="00E37E07" w14:paraId="7CBE1468" w14:textId="77777777">
        <w:tc>
          <w:tcPr>
            <w:tcW w:w="1389" w:type="dxa"/>
          </w:tcPr>
          <w:p w14:paraId="5F204AF7"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0040</w:t>
            </w:r>
          </w:p>
        </w:tc>
        <w:tc>
          <w:tcPr>
            <w:tcW w:w="7620" w:type="dxa"/>
          </w:tcPr>
          <w:p w14:paraId="74E8C7F5"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Grupa/pojedinac</w:t>
            </w:r>
          </w:p>
          <w:p w14:paraId="214C073B"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rPr>
              <w:t>Društvo upisuje „1” kada iskazuje izloženosti prema pojedinačnim klijentima ili „</w:t>
            </w:r>
            <w:r w:rsidRPr="00E37E07">
              <w:rPr>
                <w:rFonts w:ascii="Times New Roman" w:hAnsi="Times New Roman"/>
              </w:rPr>
              <w:t>2” kada iskazuje izloženosti prema grupi povezanih klijenata.</w:t>
            </w:r>
          </w:p>
        </w:tc>
      </w:tr>
      <w:tr w:rsidR="006C0DAA" w:rsidRPr="00E37E07" w14:paraId="53F0F152" w14:textId="77777777">
        <w:tc>
          <w:tcPr>
            <w:tcW w:w="1389" w:type="dxa"/>
          </w:tcPr>
          <w:p w14:paraId="2321DFE8"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0050</w:t>
            </w:r>
          </w:p>
        </w:tc>
        <w:tc>
          <w:tcPr>
            <w:tcW w:w="7620" w:type="dxa"/>
          </w:tcPr>
          <w:p w14:paraId="65978026"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Postotak izloženosti prema toj drugoj ugovornoj strani u odnosu na regulatorni kapital društva (samo pozicije iz knjige trgovanja)</w:t>
            </w:r>
          </w:p>
          <w:p w14:paraId="001C2CD7"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Društvo iskazuje izloženosti iz knjige trgovanja na datum</w:t>
            </w:r>
            <w:r w:rsidRPr="00E37E07">
              <w:rPr>
                <w:rFonts w:ascii="Times New Roman" w:hAnsi="Times New Roman"/>
                <w:bCs/>
              </w:rPr>
              <w:t xml:space="preserve"> izvješćivanja prema svakoj drugoj ugovornoj strani ili grupi povezanih drugih ugovornih strana o kojima se izvješćuje, izražene kao postotak.</w:t>
            </w:r>
          </w:p>
        </w:tc>
      </w:tr>
    </w:tbl>
    <w:p w14:paraId="5D66BFFD" w14:textId="77777777" w:rsidR="006C0DAA" w:rsidRPr="00E37E07" w:rsidRDefault="006C0DAA">
      <w:pPr>
        <w:spacing w:after="0"/>
        <w:rPr>
          <w:rFonts w:ascii="Times New Roman" w:hAnsi="Times New Roman" w:cs="Times New Roman"/>
          <w:u w:val="single"/>
        </w:rPr>
      </w:pPr>
    </w:p>
    <w:p w14:paraId="49E03609" w14:textId="77777777" w:rsidR="006C0DAA" w:rsidRPr="00E37E07" w:rsidRDefault="00E37E07">
      <w:pPr>
        <w:pStyle w:val="Instructionsberschrift2"/>
        <w:ind w:left="357" w:hanging="357"/>
        <w:rPr>
          <w:rFonts w:ascii="Times New Roman" w:hAnsi="Times New Roman" w:cs="Times New Roman"/>
          <w:sz w:val="24"/>
        </w:rPr>
      </w:pPr>
      <w:bookmarkStart w:id="96" w:name="_Toc88218440"/>
      <w:r w:rsidRPr="00E37E07">
        <w:rPr>
          <w:rFonts w:ascii="Times New Roman" w:hAnsi="Times New Roman"/>
          <w:sz w:val="24"/>
        </w:rPr>
        <w:t>4.8. I 08.06 – KNJIGA POZICIJA KOJIMA SE NE TRGUJE I IZVANBILANČNE STAVKE (I 8.6)</w:t>
      </w:r>
      <w:bookmarkEnd w:id="96"/>
    </w:p>
    <w:p w14:paraId="3985CB0A" w14:textId="77777777" w:rsidR="006C0DAA" w:rsidRPr="00E37E07" w:rsidRDefault="00E37E07">
      <w:pPr>
        <w:pStyle w:val="Instructionsberschrift2"/>
        <w:ind w:left="357" w:hanging="357"/>
        <w:rPr>
          <w:rFonts w:ascii="Times New Roman" w:hAnsi="Times New Roman" w:cs="Times New Roman"/>
        </w:rPr>
      </w:pPr>
      <w:bookmarkStart w:id="97" w:name="_Toc88218441"/>
      <w:r w:rsidRPr="00E37E07">
        <w:rPr>
          <w:rFonts w:ascii="Times New Roman" w:hAnsi="Times New Roman"/>
          <w:sz w:val="24"/>
          <w:u w:val="none"/>
        </w:rPr>
        <w:t>4.8.1</w:t>
      </w:r>
      <w:r w:rsidRPr="00E37E07">
        <w:rPr>
          <w:rFonts w:ascii="Times New Roman" w:hAnsi="Times New Roman"/>
          <w:sz w:val="24"/>
          <w:u w:val="none"/>
        </w:rPr>
        <w:tab/>
      </w:r>
      <w:r w:rsidRPr="00E37E07">
        <w:rPr>
          <w:rFonts w:ascii="Times New Roman" w:hAnsi="Times New Roman"/>
          <w:sz w:val="24"/>
        </w:rPr>
        <w:t xml:space="preserve">Upute za </w:t>
      </w:r>
      <w:r w:rsidRPr="00E37E07">
        <w:rPr>
          <w:rFonts w:ascii="Times New Roman" w:hAnsi="Times New Roman"/>
          <w:sz w:val="24"/>
        </w:rPr>
        <w:t>određene stupce</w:t>
      </w:r>
      <w:bookmarkEnd w:id="97"/>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6C0DAA" w:rsidRPr="00E37E07" w14:paraId="2016D0BA" w14:textId="77777777">
        <w:tc>
          <w:tcPr>
            <w:tcW w:w="1389" w:type="dxa"/>
            <w:shd w:val="clear" w:color="auto" w:fill="D9D9D9"/>
          </w:tcPr>
          <w:p w14:paraId="5CCB1B51" w14:textId="77777777" w:rsidR="006C0DAA" w:rsidRPr="00E37E07" w:rsidRDefault="00E37E07">
            <w:pPr>
              <w:spacing w:after="120" w:line="240" w:lineRule="auto"/>
              <w:jc w:val="both"/>
              <w:rPr>
                <w:rFonts w:ascii="Times New Roman" w:eastAsia="Times New Roman" w:hAnsi="Times New Roman" w:cs="Times New Roman"/>
                <w:bCs/>
                <w:szCs w:val="24"/>
              </w:rPr>
            </w:pPr>
            <w:r w:rsidRPr="00E37E07">
              <w:rPr>
                <w:rFonts w:ascii="Times New Roman" w:hAnsi="Times New Roman"/>
                <w:szCs w:val="24"/>
              </w:rPr>
              <w:t>Stupci</w:t>
            </w:r>
          </w:p>
        </w:tc>
        <w:tc>
          <w:tcPr>
            <w:tcW w:w="7620" w:type="dxa"/>
            <w:shd w:val="clear" w:color="auto" w:fill="D9D9D9"/>
          </w:tcPr>
          <w:p w14:paraId="76E3E6B6" w14:textId="77777777" w:rsidR="006C0DAA" w:rsidRPr="00E37E07" w:rsidRDefault="00E37E07">
            <w:pPr>
              <w:spacing w:after="120" w:line="240" w:lineRule="auto"/>
              <w:jc w:val="both"/>
              <w:rPr>
                <w:rFonts w:ascii="Times New Roman" w:eastAsia="Times New Roman" w:hAnsi="Times New Roman" w:cs="Times New Roman"/>
                <w:bCs/>
                <w:szCs w:val="24"/>
              </w:rPr>
            </w:pPr>
            <w:r w:rsidRPr="00E37E07">
              <w:rPr>
                <w:rFonts w:ascii="Times New Roman" w:hAnsi="Times New Roman"/>
                <w:szCs w:val="24"/>
              </w:rPr>
              <w:t>Pravna osnova i upute</w:t>
            </w:r>
          </w:p>
        </w:tc>
      </w:tr>
      <w:tr w:rsidR="006C0DAA" w:rsidRPr="00E37E07" w14:paraId="6B9B08C7" w14:textId="77777777">
        <w:tc>
          <w:tcPr>
            <w:tcW w:w="1389" w:type="dxa"/>
          </w:tcPr>
          <w:p w14:paraId="265225BF" w14:textId="77777777" w:rsidR="006C0DAA" w:rsidRPr="00E37E07" w:rsidRDefault="00E37E07">
            <w:pPr>
              <w:spacing w:after="120" w:line="240" w:lineRule="auto"/>
              <w:jc w:val="both"/>
              <w:rPr>
                <w:rFonts w:ascii="Times New Roman" w:eastAsia="Times New Roman" w:hAnsi="Times New Roman" w:cs="Times New Roman"/>
                <w:bCs/>
                <w:szCs w:val="24"/>
              </w:rPr>
            </w:pPr>
            <w:r w:rsidRPr="00E37E07">
              <w:rPr>
                <w:rFonts w:ascii="Times New Roman" w:hAnsi="Times New Roman"/>
                <w:bCs/>
                <w:szCs w:val="24"/>
              </w:rPr>
              <w:t>0010 – 0050</w:t>
            </w:r>
          </w:p>
        </w:tc>
        <w:tc>
          <w:tcPr>
            <w:tcW w:w="7620" w:type="dxa"/>
          </w:tcPr>
          <w:p w14:paraId="387ED060" w14:textId="77777777" w:rsidR="006C0DAA" w:rsidRPr="00E37E07" w:rsidRDefault="00E37E07">
            <w:pPr>
              <w:spacing w:after="120" w:line="240" w:lineRule="auto"/>
              <w:jc w:val="both"/>
              <w:rPr>
                <w:rFonts w:ascii="Times New Roman" w:eastAsia="Times New Roman" w:hAnsi="Times New Roman" w:cs="Times New Roman"/>
                <w:b/>
                <w:bCs/>
                <w:szCs w:val="24"/>
                <w:u w:val="single"/>
              </w:rPr>
            </w:pPr>
            <w:r w:rsidRPr="00E37E07">
              <w:rPr>
                <w:rFonts w:ascii="Times New Roman" w:hAnsi="Times New Roman"/>
                <w:b/>
                <w:bCs/>
                <w:szCs w:val="24"/>
                <w:u w:val="single"/>
              </w:rPr>
              <w:t>Knjiga pozicija kojima se ne trguje i izvanbilančne stavke</w:t>
            </w:r>
          </w:p>
          <w:p w14:paraId="740CD15B" w14:textId="77777777" w:rsidR="006C0DAA" w:rsidRPr="00E37E07" w:rsidRDefault="00E37E07">
            <w:pPr>
              <w:spacing w:after="120" w:line="240" w:lineRule="auto"/>
              <w:jc w:val="both"/>
              <w:rPr>
                <w:rFonts w:ascii="Times New Roman" w:eastAsia="Times New Roman" w:hAnsi="Times New Roman" w:cs="Times New Roman"/>
                <w:bCs/>
                <w:szCs w:val="24"/>
              </w:rPr>
            </w:pPr>
            <w:r w:rsidRPr="00E37E07">
              <w:rPr>
                <w:rFonts w:ascii="Times New Roman" w:hAnsi="Times New Roman"/>
                <w:bCs/>
              </w:rPr>
              <w:t>Članak 54. stavak 2. točka (f) Uredbe (EU) 2019/2033</w:t>
            </w:r>
          </w:p>
          <w:p w14:paraId="2AC89223" w14:textId="77777777" w:rsidR="006C0DAA" w:rsidRPr="00E37E07" w:rsidRDefault="00E37E07">
            <w:pPr>
              <w:spacing w:after="120" w:line="240" w:lineRule="auto"/>
              <w:jc w:val="both"/>
              <w:rPr>
                <w:rFonts w:ascii="Times New Roman" w:eastAsia="Times New Roman" w:hAnsi="Times New Roman" w:cs="Times New Roman"/>
                <w:b/>
                <w:bCs/>
                <w:szCs w:val="24"/>
                <w:u w:val="single"/>
              </w:rPr>
            </w:pPr>
            <w:r w:rsidRPr="00E37E07">
              <w:rPr>
                <w:rFonts w:ascii="Times New Roman" w:hAnsi="Times New Roman"/>
                <w:bCs/>
                <w:szCs w:val="24"/>
              </w:rPr>
              <w:t xml:space="preserve">Društvo navodi informacije koje se odnose na pet najvećih izloženosti, ako su </w:t>
            </w:r>
            <w:r w:rsidRPr="00E37E07">
              <w:rPr>
                <w:rFonts w:ascii="Times New Roman" w:hAnsi="Times New Roman"/>
                <w:bCs/>
                <w:szCs w:val="24"/>
              </w:rPr>
              <w:t>dostupne, koje su izračunane uzimajući u obzir imovinu koja nije evidentirana u knjizi trgovanja.</w:t>
            </w:r>
          </w:p>
        </w:tc>
      </w:tr>
      <w:tr w:rsidR="006C0DAA" w:rsidRPr="00E37E07" w14:paraId="420E1379" w14:textId="77777777">
        <w:tc>
          <w:tcPr>
            <w:tcW w:w="1389" w:type="dxa"/>
          </w:tcPr>
          <w:p w14:paraId="35AC9FBF" w14:textId="77777777" w:rsidR="006C0DAA" w:rsidRPr="00E37E07" w:rsidRDefault="00E37E07">
            <w:pPr>
              <w:spacing w:after="120" w:line="240" w:lineRule="auto"/>
              <w:jc w:val="both"/>
              <w:rPr>
                <w:rFonts w:ascii="Times New Roman" w:eastAsia="Times New Roman" w:hAnsi="Times New Roman" w:cs="Times New Roman"/>
                <w:bCs/>
                <w:szCs w:val="24"/>
              </w:rPr>
            </w:pPr>
            <w:r w:rsidRPr="00E37E07">
              <w:rPr>
                <w:rFonts w:ascii="Times New Roman" w:hAnsi="Times New Roman"/>
                <w:bCs/>
                <w:szCs w:val="24"/>
              </w:rPr>
              <w:t>0010</w:t>
            </w:r>
          </w:p>
        </w:tc>
        <w:tc>
          <w:tcPr>
            <w:tcW w:w="7620" w:type="dxa"/>
          </w:tcPr>
          <w:p w14:paraId="3A793A21" w14:textId="77777777" w:rsidR="006C0DAA" w:rsidRPr="00E37E07" w:rsidRDefault="00E37E07">
            <w:pPr>
              <w:pStyle w:val="InstructionsText"/>
              <w:rPr>
                <w:rStyle w:val="InstructionsTabelleberschrift"/>
                <w:rFonts w:ascii="Times New Roman" w:hAnsi="Times New Roman"/>
                <w:sz w:val="22"/>
              </w:rPr>
            </w:pPr>
            <w:r w:rsidRPr="00E37E07">
              <w:rPr>
                <w:rStyle w:val="InstructionsTabelleberschrift"/>
                <w:rFonts w:ascii="Times New Roman" w:hAnsi="Times New Roman"/>
                <w:sz w:val="22"/>
              </w:rPr>
              <w:t>Oznaka</w:t>
            </w:r>
          </w:p>
          <w:p w14:paraId="57B7D25D" w14:textId="77777777" w:rsidR="006C0DAA" w:rsidRPr="00E37E07" w:rsidRDefault="00E37E07">
            <w:pPr>
              <w:spacing w:after="120" w:line="240" w:lineRule="auto"/>
              <w:jc w:val="both"/>
              <w:rPr>
                <w:rFonts w:ascii="Times New Roman" w:eastAsia="Times New Roman" w:hAnsi="Times New Roman" w:cs="Times New Roman"/>
                <w:b/>
                <w:bCs/>
                <w:szCs w:val="24"/>
                <w:u w:val="single"/>
              </w:rPr>
            </w:pPr>
            <w:r w:rsidRPr="00E37E07">
              <w:rPr>
                <w:rStyle w:val="FormatvorlageInstructionsTabelleText"/>
                <w:rFonts w:ascii="Times New Roman" w:hAnsi="Times New Roman"/>
                <w:sz w:val="22"/>
                <w:szCs w:val="24"/>
              </w:rPr>
              <w:t xml:space="preserve">Ta je oznaka dio jedinstvenog identifikatora retka za svaki subjekt o kojem se izvješćuje. Za investicijska društva i društva za </w:t>
            </w:r>
            <w:r w:rsidRPr="00E37E07">
              <w:rPr>
                <w:rStyle w:val="FormatvorlageInstructionsTabelleText"/>
                <w:rFonts w:ascii="Times New Roman" w:hAnsi="Times New Roman"/>
                <w:sz w:val="22"/>
                <w:szCs w:val="24"/>
              </w:rPr>
              <w:t xml:space="preserve">osiguranje, to je oznaka LEI. Za </w:t>
            </w:r>
            <w:r w:rsidRPr="00E37E07">
              <w:rPr>
                <w:rStyle w:val="FormatvorlageInstructionsTabelleText"/>
                <w:rFonts w:ascii="Times New Roman" w:hAnsi="Times New Roman"/>
                <w:sz w:val="22"/>
                <w:szCs w:val="24"/>
              </w:rPr>
              <w:lastRenderedPageBreak/>
              <w:t>druge subjekte to je oznaka LEI ili, ako nije dostupna, nacionalna oznaka. Oznaka je jedinstvena i cijelo se vrijeme dosljedno koristi u svim obrascima. Oznaka uvijek mora imati vrijednost.</w:t>
            </w:r>
          </w:p>
        </w:tc>
      </w:tr>
      <w:tr w:rsidR="006C0DAA" w:rsidRPr="00E37E07" w14:paraId="6E7605BB" w14:textId="77777777">
        <w:tc>
          <w:tcPr>
            <w:tcW w:w="1389" w:type="dxa"/>
          </w:tcPr>
          <w:p w14:paraId="310DF30F" w14:textId="77777777" w:rsidR="006C0DAA" w:rsidRPr="00E37E07" w:rsidRDefault="00E37E07">
            <w:pPr>
              <w:spacing w:after="120" w:line="240" w:lineRule="auto"/>
              <w:jc w:val="both"/>
              <w:rPr>
                <w:rFonts w:ascii="Times New Roman" w:eastAsia="Times New Roman" w:hAnsi="Times New Roman" w:cs="Times New Roman"/>
                <w:bCs/>
                <w:szCs w:val="24"/>
              </w:rPr>
            </w:pPr>
            <w:r w:rsidRPr="00E37E07">
              <w:rPr>
                <w:rFonts w:ascii="Times New Roman" w:hAnsi="Times New Roman"/>
                <w:bCs/>
                <w:szCs w:val="24"/>
              </w:rPr>
              <w:lastRenderedPageBreak/>
              <w:t>0020</w:t>
            </w:r>
          </w:p>
        </w:tc>
        <w:tc>
          <w:tcPr>
            <w:tcW w:w="7620" w:type="dxa"/>
          </w:tcPr>
          <w:p w14:paraId="7F3241B7" w14:textId="77777777" w:rsidR="006C0DAA" w:rsidRPr="00E37E07" w:rsidRDefault="00E37E07">
            <w:pPr>
              <w:pStyle w:val="InstructionsText"/>
              <w:rPr>
                <w:rStyle w:val="InstructionsTabelleberschrift"/>
                <w:rFonts w:ascii="Times New Roman" w:hAnsi="Times New Roman"/>
                <w:sz w:val="22"/>
              </w:rPr>
            </w:pPr>
            <w:r w:rsidRPr="00E37E07">
              <w:rPr>
                <w:rStyle w:val="InstructionsTabelleberschrift"/>
                <w:rFonts w:ascii="Times New Roman" w:hAnsi="Times New Roman"/>
                <w:sz w:val="22"/>
              </w:rPr>
              <w:t>Vrsta oznake</w:t>
            </w:r>
          </w:p>
          <w:p w14:paraId="460FFD52" w14:textId="77777777" w:rsidR="006C0DAA" w:rsidRPr="00E37E07" w:rsidRDefault="00E37E07">
            <w:pPr>
              <w:spacing w:after="120" w:line="240" w:lineRule="auto"/>
              <w:jc w:val="both"/>
              <w:rPr>
                <w:rFonts w:ascii="Times New Roman" w:eastAsia="Times New Roman" w:hAnsi="Times New Roman" w:cs="Times New Roman"/>
                <w:b/>
                <w:bCs/>
                <w:szCs w:val="24"/>
                <w:u w:val="single"/>
              </w:rPr>
            </w:pPr>
            <w:r w:rsidRPr="00E37E07">
              <w:rPr>
                <w:rFonts w:ascii="Times New Roman" w:hAnsi="Times New Roman"/>
                <w:bCs/>
                <w:szCs w:val="24"/>
              </w:rPr>
              <w:t xml:space="preserve">Investicijska </w:t>
            </w:r>
            <w:r w:rsidRPr="00E37E07">
              <w:rPr>
                <w:rFonts w:ascii="Times New Roman" w:hAnsi="Times New Roman"/>
                <w:bCs/>
                <w:szCs w:val="24"/>
              </w:rPr>
              <w:t>društva za vrstu oznake iskazanu u stupcu 0010 navode „oznaka LEI” ili „nacionalna oznaka”.</w:t>
            </w:r>
          </w:p>
        </w:tc>
      </w:tr>
      <w:tr w:rsidR="006C0DAA" w:rsidRPr="00E37E07" w14:paraId="4528D2F9" w14:textId="77777777">
        <w:tc>
          <w:tcPr>
            <w:tcW w:w="1389" w:type="dxa"/>
          </w:tcPr>
          <w:p w14:paraId="40C6DA0F" w14:textId="77777777" w:rsidR="006C0DAA" w:rsidRPr="00E37E07" w:rsidRDefault="00E37E07">
            <w:pPr>
              <w:spacing w:after="120" w:line="240" w:lineRule="auto"/>
              <w:jc w:val="both"/>
              <w:rPr>
                <w:rFonts w:ascii="Times New Roman" w:eastAsia="Times New Roman" w:hAnsi="Times New Roman" w:cs="Times New Roman"/>
                <w:bCs/>
                <w:szCs w:val="24"/>
              </w:rPr>
            </w:pPr>
            <w:r w:rsidRPr="00E37E07">
              <w:rPr>
                <w:rFonts w:ascii="Times New Roman" w:hAnsi="Times New Roman"/>
                <w:bCs/>
                <w:szCs w:val="24"/>
              </w:rPr>
              <w:t>0030</w:t>
            </w:r>
          </w:p>
        </w:tc>
        <w:tc>
          <w:tcPr>
            <w:tcW w:w="7620" w:type="dxa"/>
          </w:tcPr>
          <w:p w14:paraId="27A8467F" w14:textId="77777777" w:rsidR="006C0DAA" w:rsidRPr="00E37E07" w:rsidRDefault="00E37E07">
            <w:pPr>
              <w:spacing w:after="120" w:line="240" w:lineRule="auto"/>
              <w:jc w:val="both"/>
              <w:rPr>
                <w:rFonts w:ascii="Times New Roman" w:eastAsia="Times New Roman" w:hAnsi="Times New Roman" w:cs="Times New Roman"/>
                <w:b/>
                <w:bCs/>
                <w:szCs w:val="24"/>
                <w:u w:val="single"/>
              </w:rPr>
            </w:pPr>
            <w:r w:rsidRPr="00E37E07">
              <w:rPr>
                <w:rFonts w:ascii="Times New Roman" w:hAnsi="Times New Roman"/>
                <w:b/>
                <w:bCs/>
                <w:szCs w:val="24"/>
                <w:u w:val="single"/>
              </w:rPr>
              <w:t>Ime</w:t>
            </w:r>
          </w:p>
          <w:p w14:paraId="7DA52FD4" w14:textId="77777777" w:rsidR="006C0DAA" w:rsidRPr="00E37E07" w:rsidRDefault="00E37E07">
            <w:pPr>
              <w:spacing w:after="120" w:line="240" w:lineRule="auto"/>
              <w:jc w:val="both"/>
              <w:rPr>
                <w:rFonts w:ascii="Times New Roman" w:eastAsia="Times New Roman" w:hAnsi="Times New Roman" w:cs="Times New Roman"/>
                <w:bCs/>
                <w:szCs w:val="24"/>
              </w:rPr>
            </w:pPr>
            <w:r w:rsidRPr="00E37E07">
              <w:rPr>
                <w:rFonts w:ascii="Times New Roman" w:hAnsi="Times New Roman"/>
                <w:szCs w:val="23"/>
              </w:rPr>
              <w:t>Naziv je jednak nazivu matičnog društva uvijek kada se iskazuje grupa povezanih drugih ugovornih strana. U svim ostalim slučajevima naziv odgovara pojedin</w:t>
            </w:r>
            <w:r w:rsidRPr="00E37E07">
              <w:rPr>
                <w:rFonts w:ascii="Times New Roman" w:hAnsi="Times New Roman"/>
                <w:szCs w:val="23"/>
              </w:rPr>
              <w:t>ačnoj drugoj ugovornoj strani.</w:t>
            </w:r>
          </w:p>
        </w:tc>
      </w:tr>
      <w:tr w:rsidR="006C0DAA" w:rsidRPr="00E37E07" w14:paraId="1BFCC8CB" w14:textId="77777777">
        <w:tc>
          <w:tcPr>
            <w:tcW w:w="1389" w:type="dxa"/>
          </w:tcPr>
          <w:p w14:paraId="4A327725" w14:textId="77777777" w:rsidR="006C0DAA" w:rsidRPr="00E37E07" w:rsidRDefault="00E37E07">
            <w:pPr>
              <w:spacing w:after="120" w:line="240" w:lineRule="auto"/>
              <w:jc w:val="both"/>
              <w:rPr>
                <w:rFonts w:ascii="Times New Roman" w:eastAsia="Times New Roman" w:hAnsi="Times New Roman" w:cs="Times New Roman"/>
                <w:bCs/>
                <w:szCs w:val="24"/>
              </w:rPr>
            </w:pPr>
            <w:r w:rsidRPr="00E37E07">
              <w:rPr>
                <w:rFonts w:ascii="Times New Roman" w:hAnsi="Times New Roman"/>
                <w:bCs/>
                <w:szCs w:val="24"/>
              </w:rPr>
              <w:t>0040</w:t>
            </w:r>
          </w:p>
        </w:tc>
        <w:tc>
          <w:tcPr>
            <w:tcW w:w="7620" w:type="dxa"/>
          </w:tcPr>
          <w:p w14:paraId="0D11945F" w14:textId="77777777" w:rsidR="006C0DAA" w:rsidRPr="00E37E07" w:rsidRDefault="00E37E07">
            <w:pPr>
              <w:spacing w:after="120" w:line="240" w:lineRule="auto"/>
              <w:jc w:val="both"/>
              <w:rPr>
                <w:rFonts w:ascii="Times New Roman" w:eastAsia="Times New Roman" w:hAnsi="Times New Roman" w:cs="Times New Roman"/>
                <w:b/>
                <w:bCs/>
                <w:szCs w:val="24"/>
                <w:u w:val="single"/>
              </w:rPr>
            </w:pPr>
            <w:r w:rsidRPr="00E37E07">
              <w:rPr>
                <w:rFonts w:ascii="Times New Roman" w:hAnsi="Times New Roman"/>
                <w:b/>
                <w:bCs/>
                <w:szCs w:val="24"/>
                <w:u w:val="single"/>
              </w:rPr>
              <w:t>Grupa/pojedinac</w:t>
            </w:r>
          </w:p>
          <w:p w14:paraId="7675B063" w14:textId="77777777" w:rsidR="006C0DAA" w:rsidRPr="00E37E07" w:rsidRDefault="00E37E07">
            <w:pPr>
              <w:spacing w:after="120" w:line="240" w:lineRule="auto"/>
              <w:jc w:val="both"/>
              <w:rPr>
                <w:rFonts w:ascii="Times New Roman" w:eastAsia="Times New Roman" w:hAnsi="Times New Roman" w:cs="Times New Roman"/>
                <w:b/>
                <w:bCs/>
                <w:szCs w:val="24"/>
                <w:u w:val="single"/>
              </w:rPr>
            </w:pPr>
            <w:r w:rsidRPr="00E37E07">
              <w:rPr>
                <w:rFonts w:ascii="Times New Roman" w:hAnsi="Times New Roman"/>
                <w:szCs w:val="24"/>
              </w:rPr>
              <w:t>Društvo upisuje „1” kada iskazuje izloženosti prema pojedinačnim klijentima ili „2” kada iskazuje izloženosti prema grupi povezanih klijenata.</w:t>
            </w:r>
          </w:p>
        </w:tc>
      </w:tr>
      <w:tr w:rsidR="006C0DAA" w:rsidRPr="00E37E07" w14:paraId="7EE3771F" w14:textId="77777777">
        <w:tc>
          <w:tcPr>
            <w:tcW w:w="1389" w:type="dxa"/>
          </w:tcPr>
          <w:p w14:paraId="4BAFCCEA" w14:textId="77777777" w:rsidR="006C0DAA" w:rsidRPr="00E37E07" w:rsidRDefault="00E37E07">
            <w:pPr>
              <w:spacing w:after="120" w:line="240" w:lineRule="auto"/>
              <w:jc w:val="both"/>
              <w:rPr>
                <w:rFonts w:ascii="Times New Roman" w:eastAsia="Times New Roman" w:hAnsi="Times New Roman" w:cs="Times New Roman"/>
                <w:bCs/>
                <w:szCs w:val="24"/>
              </w:rPr>
            </w:pPr>
            <w:r w:rsidRPr="00E37E07">
              <w:rPr>
                <w:rFonts w:ascii="Times New Roman" w:hAnsi="Times New Roman"/>
                <w:bCs/>
                <w:szCs w:val="24"/>
              </w:rPr>
              <w:t>0050</w:t>
            </w:r>
          </w:p>
        </w:tc>
        <w:tc>
          <w:tcPr>
            <w:tcW w:w="7620" w:type="dxa"/>
          </w:tcPr>
          <w:p w14:paraId="32551D8D" w14:textId="77777777" w:rsidR="006C0DAA" w:rsidRPr="00E37E07" w:rsidRDefault="00E37E07">
            <w:pPr>
              <w:spacing w:after="120" w:line="240" w:lineRule="auto"/>
              <w:jc w:val="both"/>
              <w:rPr>
                <w:rFonts w:ascii="Times New Roman" w:eastAsia="Times New Roman" w:hAnsi="Times New Roman" w:cs="Times New Roman"/>
                <w:b/>
                <w:bCs/>
                <w:szCs w:val="24"/>
                <w:u w:val="single"/>
              </w:rPr>
            </w:pPr>
            <w:r w:rsidRPr="00E37E07">
              <w:rPr>
                <w:rFonts w:ascii="Times New Roman" w:hAnsi="Times New Roman"/>
                <w:b/>
                <w:bCs/>
                <w:szCs w:val="24"/>
                <w:u w:val="single"/>
              </w:rPr>
              <w:t xml:space="preserve">Postotak izloženosti u odnosu na </w:t>
            </w:r>
            <w:r w:rsidRPr="00E37E07">
              <w:rPr>
                <w:rFonts w:ascii="Times New Roman" w:hAnsi="Times New Roman"/>
                <w:b/>
                <w:bCs/>
                <w:szCs w:val="24"/>
                <w:u w:val="single"/>
              </w:rPr>
              <w:t>regulatorni kapital društva (uključujući izvanbilančnu imovinu i stavke iz knjige pozicija kojima se ne trguje)</w:t>
            </w:r>
          </w:p>
          <w:p w14:paraId="065B7D52" w14:textId="77777777" w:rsidR="006C0DAA" w:rsidRPr="00E37E07" w:rsidRDefault="00E37E07">
            <w:pPr>
              <w:spacing w:after="120" w:line="240" w:lineRule="auto"/>
              <w:jc w:val="both"/>
              <w:rPr>
                <w:rFonts w:ascii="Times New Roman" w:eastAsia="Times New Roman" w:hAnsi="Times New Roman" w:cs="Times New Roman"/>
                <w:b/>
                <w:bCs/>
                <w:szCs w:val="24"/>
                <w:u w:val="single"/>
              </w:rPr>
            </w:pPr>
            <w:r w:rsidRPr="00E37E07">
              <w:rPr>
                <w:rFonts w:ascii="Times New Roman" w:hAnsi="Times New Roman"/>
                <w:bCs/>
                <w:szCs w:val="24"/>
              </w:rPr>
              <w:t>Društvo iskazuje izloženosti, koje se izračunavaju uzimajući u obzir imovinu i izvanbilančne stavke koje nisu evidentirane u knjizi trgovanja uz</w:t>
            </w:r>
            <w:r w:rsidRPr="00E37E07">
              <w:rPr>
                <w:rFonts w:ascii="Times New Roman" w:hAnsi="Times New Roman"/>
                <w:bCs/>
                <w:szCs w:val="24"/>
              </w:rPr>
              <w:t xml:space="preserve"> pozicije iz knjige trgovanja, na datum izvješćivanja za svaku drugu ugovornu stranu ili grupu povezanih drugih ugovornih strana o kojima se izvješćuje, izražene kao postotak priznatog kapitala.</w:t>
            </w:r>
          </w:p>
        </w:tc>
      </w:tr>
    </w:tbl>
    <w:p w14:paraId="775DD346" w14:textId="77777777" w:rsidR="006C0DAA" w:rsidRPr="00E37E07" w:rsidRDefault="006C0DAA">
      <w:pPr>
        <w:spacing w:after="0"/>
        <w:rPr>
          <w:rFonts w:ascii="Times New Roman" w:hAnsi="Times New Roman" w:cs="Times New Roman"/>
          <w:u w:val="single"/>
        </w:rPr>
      </w:pPr>
    </w:p>
    <w:p w14:paraId="657F1DBD" w14:textId="77777777" w:rsidR="006C0DAA" w:rsidRPr="00E37E07" w:rsidRDefault="00E37E07">
      <w:pPr>
        <w:pStyle w:val="Instructionsberschrift2"/>
        <w:ind w:left="357" w:hanging="357"/>
        <w:rPr>
          <w:rFonts w:ascii="Times New Roman" w:hAnsi="Times New Roman" w:cs="Times New Roman"/>
          <w:b/>
          <w:sz w:val="24"/>
        </w:rPr>
      </w:pPr>
      <w:bookmarkStart w:id="98" w:name="_Toc88218442"/>
      <w:r w:rsidRPr="00E37E07">
        <w:rPr>
          <w:rFonts w:ascii="Times New Roman" w:hAnsi="Times New Roman"/>
          <w:b/>
          <w:sz w:val="24"/>
        </w:rPr>
        <w:t>5. LIKVIDNOSNI ZAHTJEVI</w:t>
      </w:r>
      <w:bookmarkEnd w:id="98"/>
    </w:p>
    <w:p w14:paraId="58A4B87F" w14:textId="77777777" w:rsidR="006C0DAA" w:rsidRPr="00E37E07" w:rsidRDefault="00E37E0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99" w:name="_Toc88218443"/>
      <w:r w:rsidRPr="00E37E07">
        <w:rPr>
          <w:rFonts w:ascii="Times New Roman" w:hAnsi="Times New Roman"/>
          <w:sz w:val="24"/>
          <w:szCs w:val="24"/>
          <w:u w:val="single"/>
        </w:rPr>
        <w:t xml:space="preserve">5.1 I 09.00 – </w:t>
      </w:r>
      <w:r w:rsidRPr="00E37E07">
        <w:rPr>
          <w:rFonts w:ascii="Times New Roman" w:hAnsi="Times New Roman"/>
          <w:sz w:val="24"/>
          <w:szCs w:val="24"/>
          <w:u w:val="single"/>
        </w:rPr>
        <w:t>LIKVIDNOSNI ZAHTJEVI (I 9)</w:t>
      </w:r>
      <w:bookmarkEnd w:id="99"/>
    </w:p>
    <w:p w14:paraId="4246BC00" w14:textId="77777777" w:rsidR="006C0DAA" w:rsidRPr="00E37E07" w:rsidRDefault="00E37E07">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100" w:name="_Toc88218444"/>
      <w:r w:rsidRPr="00E37E07">
        <w:rPr>
          <w:rFonts w:ascii="Times New Roman" w:hAnsi="Times New Roman"/>
          <w:sz w:val="24"/>
          <w:szCs w:val="24"/>
        </w:rPr>
        <w:t>5.1.1</w:t>
      </w:r>
      <w:r w:rsidRPr="00E37E07">
        <w:rPr>
          <w:rFonts w:ascii="Times New Roman" w:hAnsi="Times New Roman"/>
          <w:sz w:val="24"/>
          <w:szCs w:val="24"/>
        </w:rPr>
        <w:tab/>
      </w:r>
      <w:r w:rsidRPr="00E37E07">
        <w:rPr>
          <w:rFonts w:ascii="Times New Roman" w:hAnsi="Times New Roman"/>
          <w:sz w:val="24"/>
          <w:szCs w:val="24"/>
          <w:u w:val="single"/>
        </w:rPr>
        <w:t>Upute za specifične pozicije</w:t>
      </w:r>
      <w:bookmarkEnd w:id="10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C0DAA" w:rsidRPr="00E37E07" w14:paraId="3CF4A2F5" w14:textId="77777777">
        <w:tc>
          <w:tcPr>
            <w:tcW w:w="1129" w:type="dxa"/>
            <w:shd w:val="clear" w:color="auto" w:fill="D9D9D9"/>
          </w:tcPr>
          <w:p w14:paraId="2EA71A00"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Redak</w:t>
            </w:r>
          </w:p>
        </w:tc>
        <w:tc>
          <w:tcPr>
            <w:tcW w:w="7620" w:type="dxa"/>
            <w:shd w:val="clear" w:color="auto" w:fill="D9D9D9"/>
          </w:tcPr>
          <w:p w14:paraId="5B9D4F36"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rPr>
              <w:t>Pravna osnova i upute</w:t>
            </w:r>
          </w:p>
        </w:tc>
      </w:tr>
      <w:tr w:rsidR="006C0DAA" w:rsidRPr="00E37E07" w14:paraId="0EC8D1D7" w14:textId="77777777">
        <w:tc>
          <w:tcPr>
            <w:tcW w:w="1129" w:type="dxa"/>
          </w:tcPr>
          <w:p w14:paraId="101C70C4"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0010</w:t>
            </w:r>
          </w:p>
        </w:tc>
        <w:tc>
          <w:tcPr>
            <w:tcW w:w="7620" w:type="dxa"/>
          </w:tcPr>
          <w:p w14:paraId="2E1EC7ED"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Likvidnosni zahtjev</w:t>
            </w:r>
          </w:p>
          <w:p w14:paraId="6DE895D4"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Članak 43. stavak 1. Uredbe (EU) 2019/2033</w:t>
            </w:r>
          </w:p>
        </w:tc>
      </w:tr>
      <w:tr w:rsidR="006C0DAA" w:rsidRPr="00E37E07" w14:paraId="6276D789" w14:textId="77777777">
        <w:tc>
          <w:tcPr>
            <w:tcW w:w="1129" w:type="dxa"/>
          </w:tcPr>
          <w:p w14:paraId="4926E744"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0020</w:t>
            </w:r>
          </w:p>
        </w:tc>
        <w:tc>
          <w:tcPr>
            <w:tcW w:w="7620" w:type="dxa"/>
          </w:tcPr>
          <w:p w14:paraId="74830473"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Jamstva klijentima</w:t>
            </w:r>
          </w:p>
          <w:p w14:paraId="614EAD6E"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45. Uredbe (EU) 2019/2033</w:t>
            </w:r>
          </w:p>
          <w:p w14:paraId="22604654" w14:textId="77777777" w:rsidR="006C0DAA" w:rsidRPr="00E37E07" w:rsidRDefault="00E37E07">
            <w:pPr>
              <w:pStyle w:val="CommentText"/>
              <w:rPr>
                <w:rFonts w:ascii="Times New Roman" w:eastAsia="Times New Roman" w:hAnsi="Times New Roman" w:cs="Times New Roman"/>
                <w:bCs/>
                <w:sz w:val="22"/>
                <w:szCs w:val="22"/>
              </w:rPr>
            </w:pPr>
            <w:r w:rsidRPr="00E37E07">
              <w:rPr>
                <w:rFonts w:ascii="Times New Roman" w:hAnsi="Times New Roman"/>
                <w:bCs/>
                <w:sz w:val="22"/>
                <w:szCs w:val="22"/>
              </w:rPr>
              <w:t xml:space="preserve">Iskazana vrijednost je 1,6 % </w:t>
            </w:r>
            <w:r w:rsidRPr="00E37E07">
              <w:rPr>
                <w:rFonts w:ascii="Times New Roman" w:hAnsi="Times New Roman"/>
                <w:bCs/>
                <w:sz w:val="22"/>
                <w:szCs w:val="22"/>
              </w:rPr>
              <w:t>ukupnog iznosa jamstava danih klijentima u skladu s člankom 45. Uredbe (EU) 2019/2033.</w:t>
            </w:r>
          </w:p>
        </w:tc>
      </w:tr>
      <w:tr w:rsidR="006C0DAA" w:rsidRPr="00E37E07" w14:paraId="26FF6127" w14:textId="77777777">
        <w:tc>
          <w:tcPr>
            <w:tcW w:w="1129" w:type="dxa"/>
          </w:tcPr>
          <w:p w14:paraId="04378681"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0030</w:t>
            </w:r>
          </w:p>
        </w:tc>
        <w:tc>
          <w:tcPr>
            <w:tcW w:w="7620" w:type="dxa"/>
          </w:tcPr>
          <w:p w14:paraId="612FAD45"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Ukupna likvidna imovina</w:t>
            </w:r>
          </w:p>
          <w:p w14:paraId="7D1728EC"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43. stavak 1. točka (a) i članak 43. stavak 2. Uredbe (EU) 2019/2033</w:t>
            </w:r>
          </w:p>
          <w:p w14:paraId="7C89E569" w14:textId="77777777" w:rsidR="006C0DAA" w:rsidRPr="00E37E07" w:rsidRDefault="00E37E07">
            <w:pPr>
              <w:pStyle w:val="CommentText"/>
              <w:rPr>
                <w:rFonts w:ascii="Times New Roman" w:eastAsia="Times New Roman" w:hAnsi="Times New Roman" w:cs="Times New Roman"/>
                <w:bCs/>
                <w:sz w:val="22"/>
                <w:szCs w:val="22"/>
              </w:rPr>
            </w:pPr>
            <w:r w:rsidRPr="00E37E07">
              <w:rPr>
                <w:rFonts w:ascii="Times New Roman" w:hAnsi="Times New Roman"/>
                <w:bCs/>
                <w:sz w:val="22"/>
                <w:szCs w:val="22"/>
              </w:rPr>
              <w:t xml:space="preserve">Ukupna likvidna imovina iskazuje se nakon primjene </w:t>
            </w:r>
            <w:r w:rsidRPr="00E37E07">
              <w:rPr>
                <w:rFonts w:ascii="Times New Roman" w:hAnsi="Times New Roman"/>
                <w:bCs/>
                <w:sz w:val="22"/>
                <w:szCs w:val="22"/>
              </w:rPr>
              <w:t>odgovarajućih korektivnih faktora.</w:t>
            </w:r>
          </w:p>
          <w:p w14:paraId="5132DAC4"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Ovaj je redak zbroj redaka 0040, 0050, 0060, 0170, 0230, 0290 i 0300.</w:t>
            </w:r>
          </w:p>
        </w:tc>
      </w:tr>
      <w:tr w:rsidR="006C0DAA" w:rsidRPr="00E37E07" w14:paraId="3EDD12F9" w14:textId="77777777">
        <w:tc>
          <w:tcPr>
            <w:tcW w:w="1129" w:type="dxa"/>
          </w:tcPr>
          <w:p w14:paraId="2E3EE7BE"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0040</w:t>
            </w:r>
          </w:p>
        </w:tc>
        <w:tc>
          <w:tcPr>
            <w:tcW w:w="7620" w:type="dxa"/>
          </w:tcPr>
          <w:p w14:paraId="3E4D1DF2"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Neopterećeni kratkoročni depoziti</w:t>
            </w:r>
          </w:p>
          <w:p w14:paraId="2F82900D"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Članak 43. stavak 1. točka (d) i članak 43. stavak 2. Uredbe (EU) 2019/2033</w:t>
            </w:r>
          </w:p>
        </w:tc>
      </w:tr>
      <w:tr w:rsidR="006C0DAA" w:rsidRPr="00E37E07" w14:paraId="72EAE107" w14:textId="77777777">
        <w:tc>
          <w:tcPr>
            <w:tcW w:w="1129" w:type="dxa"/>
          </w:tcPr>
          <w:p w14:paraId="422DA28A"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0050</w:t>
            </w:r>
          </w:p>
        </w:tc>
        <w:tc>
          <w:tcPr>
            <w:tcW w:w="7620" w:type="dxa"/>
          </w:tcPr>
          <w:p w14:paraId="6BC157EE"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xml:space="preserve">Ukupna </w:t>
            </w:r>
            <w:r w:rsidRPr="00E37E07">
              <w:rPr>
                <w:rFonts w:ascii="Times New Roman" w:hAnsi="Times New Roman"/>
                <w:b/>
                <w:bCs/>
                <w:u w:val="single"/>
              </w:rPr>
              <w:t>prihvatljiva potraživanja s dospijećem u roku od 30 dana</w:t>
            </w:r>
          </w:p>
          <w:p w14:paraId="73573075"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lastRenderedPageBreak/>
              <w:t>Članak 43. stavak 3. Uredbe (EU) 2019/2033 i članak 43. stavak 2. Uredbe (EU) 2019/2033</w:t>
            </w:r>
          </w:p>
        </w:tc>
      </w:tr>
      <w:tr w:rsidR="006C0DAA" w:rsidRPr="00E37E07" w14:paraId="25BDC3B0" w14:textId="77777777">
        <w:tc>
          <w:tcPr>
            <w:tcW w:w="1129" w:type="dxa"/>
          </w:tcPr>
          <w:p w14:paraId="37C7B25E"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lastRenderedPageBreak/>
              <w:t>0060</w:t>
            </w:r>
          </w:p>
        </w:tc>
        <w:tc>
          <w:tcPr>
            <w:tcW w:w="7620" w:type="dxa"/>
          </w:tcPr>
          <w:p w14:paraId="03129E7D"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Imovina prvog stupnja</w:t>
            </w:r>
          </w:p>
          <w:p w14:paraId="7C56C8D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10. Delegirane uredbe (EU) 2015/61 i članak 43. stavak 2. Uredbe (EU) 2019/2</w:t>
            </w:r>
            <w:r w:rsidRPr="00E37E07">
              <w:rPr>
                <w:rFonts w:ascii="Times New Roman" w:hAnsi="Times New Roman"/>
                <w:bCs/>
              </w:rPr>
              <w:t>033</w:t>
            </w:r>
          </w:p>
          <w:p w14:paraId="28630EF6" w14:textId="77777777" w:rsidR="006C0DAA" w:rsidRPr="00E37E07" w:rsidRDefault="00E37E07">
            <w:pPr>
              <w:pStyle w:val="CommentText"/>
              <w:rPr>
                <w:rFonts w:ascii="Times New Roman" w:eastAsia="Times New Roman" w:hAnsi="Times New Roman" w:cs="Times New Roman"/>
                <w:bCs/>
                <w:sz w:val="22"/>
                <w:szCs w:val="22"/>
              </w:rPr>
            </w:pPr>
            <w:r w:rsidRPr="00E37E07">
              <w:rPr>
                <w:rFonts w:ascii="Times New Roman" w:hAnsi="Times New Roman"/>
                <w:bCs/>
                <w:sz w:val="22"/>
                <w:szCs w:val="22"/>
              </w:rPr>
              <w:t>Ukupna likvidna imovina iskazuje se nakon primjene odgovarajućih korektivnih faktora.</w:t>
            </w:r>
          </w:p>
          <w:p w14:paraId="7B41C8B5"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Zbroj redaka od 0070 do 0160</w:t>
            </w:r>
          </w:p>
        </w:tc>
      </w:tr>
      <w:tr w:rsidR="006C0DAA" w:rsidRPr="00E37E07" w14:paraId="15787B8C" w14:textId="77777777">
        <w:tc>
          <w:tcPr>
            <w:tcW w:w="1129" w:type="dxa"/>
          </w:tcPr>
          <w:p w14:paraId="7C08FB32"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0070</w:t>
            </w:r>
          </w:p>
        </w:tc>
        <w:tc>
          <w:tcPr>
            <w:tcW w:w="7620" w:type="dxa"/>
          </w:tcPr>
          <w:p w14:paraId="7F999935"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Kovanice i novčanice</w:t>
            </w:r>
          </w:p>
          <w:p w14:paraId="429783C2" w14:textId="77777777" w:rsidR="006C0DAA" w:rsidRPr="00E37E07" w:rsidRDefault="00E37E07">
            <w:pPr>
              <w:pStyle w:val="InstructionsText"/>
              <w:rPr>
                <w:rFonts w:cs="Times New Roman"/>
                <w:sz w:val="22"/>
                <w:szCs w:val="22"/>
              </w:rPr>
            </w:pPr>
            <w:r w:rsidRPr="00E37E07">
              <w:rPr>
                <w:sz w:val="22"/>
                <w:szCs w:val="22"/>
              </w:rPr>
              <w:t>Članak 10. stavak 1. točka (a) Delegirane uredbe (EU) 2015/61</w:t>
            </w:r>
          </w:p>
          <w:p w14:paraId="49A68CE8" w14:textId="77777777" w:rsidR="006C0DAA" w:rsidRPr="00E37E07" w:rsidRDefault="00E37E07">
            <w:pPr>
              <w:pStyle w:val="InstructionsText"/>
              <w:rPr>
                <w:rFonts w:cs="Times New Roman"/>
                <w:sz w:val="22"/>
                <w:szCs w:val="22"/>
              </w:rPr>
            </w:pPr>
            <w:r w:rsidRPr="00E37E07">
              <w:rPr>
                <w:sz w:val="22"/>
                <w:szCs w:val="22"/>
              </w:rPr>
              <w:t xml:space="preserve">Ukupni gotovinski iznos kovanica i </w:t>
            </w:r>
            <w:r w:rsidRPr="00E37E07">
              <w:rPr>
                <w:sz w:val="22"/>
                <w:szCs w:val="22"/>
              </w:rPr>
              <w:t>novčanica.</w:t>
            </w:r>
          </w:p>
        </w:tc>
      </w:tr>
      <w:tr w:rsidR="006C0DAA" w:rsidRPr="00E37E07" w14:paraId="5A227704" w14:textId="77777777">
        <w:tc>
          <w:tcPr>
            <w:tcW w:w="1129" w:type="dxa"/>
          </w:tcPr>
          <w:p w14:paraId="4A28667A"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0080</w:t>
            </w:r>
          </w:p>
        </w:tc>
        <w:tc>
          <w:tcPr>
            <w:tcW w:w="7620" w:type="dxa"/>
          </w:tcPr>
          <w:p w14:paraId="0AF02E24"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Rezerve središnje banke koje se mogu povući</w:t>
            </w:r>
          </w:p>
          <w:p w14:paraId="3B26CA0F" w14:textId="77777777" w:rsidR="006C0DAA" w:rsidRPr="00E37E07" w:rsidRDefault="00E37E07">
            <w:pPr>
              <w:pStyle w:val="InstructionsText"/>
              <w:rPr>
                <w:rFonts w:cs="Times New Roman"/>
                <w:sz w:val="22"/>
                <w:szCs w:val="22"/>
              </w:rPr>
            </w:pPr>
            <w:r w:rsidRPr="00E37E07">
              <w:rPr>
                <w:sz w:val="22"/>
                <w:szCs w:val="22"/>
              </w:rPr>
              <w:t>Članak 10. stavak 1. točka (b) podtočka iii. Delegirane uredbe (EU) 2015/61</w:t>
            </w:r>
          </w:p>
        </w:tc>
      </w:tr>
      <w:tr w:rsidR="006C0DAA" w:rsidRPr="00E37E07" w14:paraId="1A85C828" w14:textId="77777777">
        <w:tc>
          <w:tcPr>
            <w:tcW w:w="1129" w:type="dxa"/>
          </w:tcPr>
          <w:p w14:paraId="773CBEEC"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0090</w:t>
            </w:r>
          </w:p>
        </w:tc>
        <w:tc>
          <w:tcPr>
            <w:tcW w:w="7620" w:type="dxa"/>
          </w:tcPr>
          <w:p w14:paraId="70756834"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Imovina središnje banke</w:t>
            </w:r>
          </w:p>
          <w:p w14:paraId="632B987C" w14:textId="77777777" w:rsidR="006C0DAA" w:rsidRPr="00E37E07" w:rsidRDefault="00E37E07">
            <w:pPr>
              <w:pStyle w:val="InstructionsText"/>
              <w:rPr>
                <w:rFonts w:cs="Times New Roman"/>
                <w:sz w:val="22"/>
                <w:szCs w:val="22"/>
              </w:rPr>
            </w:pPr>
            <w:r w:rsidRPr="00E37E07">
              <w:rPr>
                <w:sz w:val="22"/>
                <w:szCs w:val="22"/>
              </w:rPr>
              <w:t>Članak 10. stavak 1. točka (b) podtočke</w:t>
            </w:r>
            <w:r w:rsidRPr="00E37E07">
              <w:rPr>
                <w:sz w:val="22"/>
                <w:szCs w:val="22"/>
              </w:rPr>
              <w:t xml:space="preserve"> i.</w:t>
            </w:r>
            <w:r w:rsidRPr="00E37E07">
              <w:rPr>
                <w:sz w:val="22"/>
                <w:szCs w:val="22"/>
              </w:rPr>
              <w:t xml:space="preserve"> i ii. Delegirane uredbe (EU) 2015/61</w:t>
            </w:r>
          </w:p>
        </w:tc>
      </w:tr>
      <w:tr w:rsidR="006C0DAA" w:rsidRPr="00E37E07" w14:paraId="226C6ADC" w14:textId="77777777">
        <w:tc>
          <w:tcPr>
            <w:tcW w:w="1129" w:type="dxa"/>
          </w:tcPr>
          <w:p w14:paraId="195C6AB8"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0100</w:t>
            </w:r>
          </w:p>
        </w:tc>
        <w:tc>
          <w:tcPr>
            <w:tcW w:w="7620" w:type="dxa"/>
          </w:tcPr>
          <w:p w14:paraId="0976D390"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Imovina središnje države</w:t>
            </w:r>
          </w:p>
          <w:p w14:paraId="2E9EF010"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10. stavak 1. točka (c) podtočke</w:t>
            </w:r>
            <w:r w:rsidRPr="00E37E07">
              <w:rPr>
                <w:rFonts w:ascii="Times New Roman" w:hAnsi="Times New Roman"/>
                <w:bCs/>
              </w:rPr>
              <w:t xml:space="preserve"> i.</w:t>
            </w:r>
            <w:r w:rsidRPr="00E37E07">
              <w:rPr>
                <w:rFonts w:ascii="Times New Roman" w:hAnsi="Times New Roman"/>
                <w:bCs/>
              </w:rPr>
              <w:t xml:space="preserve"> i ii. Delegirane uredbe (EU) 2015/61</w:t>
            </w:r>
          </w:p>
        </w:tc>
      </w:tr>
      <w:tr w:rsidR="006C0DAA" w:rsidRPr="00E37E07" w14:paraId="23F1CF6D" w14:textId="77777777">
        <w:tc>
          <w:tcPr>
            <w:tcW w:w="1129" w:type="dxa"/>
          </w:tcPr>
          <w:p w14:paraId="344C339E"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0110</w:t>
            </w:r>
          </w:p>
        </w:tc>
        <w:tc>
          <w:tcPr>
            <w:tcW w:w="7620" w:type="dxa"/>
          </w:tcPr>
          <w:p w14:paraId="6A6508FD"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Imovina jedinica područne (regionalne)/lokalne samouprave</w:t>
            </w:r>
          </w:p>
          <w:p w14:paraId="4116D4E3"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10. stavak 1. točka (c) podtočke iii. i iv. Delegirane uredbe (EU) 2015/61</w:t>
            </w:r>
          </w:p>
        </w:tc>
      </w:tr>
      <w:tr w:rsidR="006C0DAA" w:rsidRPr="00E37E07" w14:paraId="05477165" w14:textId="77777777">
        <w:tc>
          <w:tcPr>
            <w:tcW w:w="1129" w:type="dxa"/>
          </w:tcPr>
          <w:p w14:paraId="0EAF3C9A"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0120</w:t>
            </w:r>
          </w:p>
        </w:tc>
        <w:tc>
          <w:tcPr>
            <w:tcW w:w="7620" w:type="dxa"/>
          </w:tcPr>
          <w:p w14:paraId="73B495AB"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Imovina subjekata javnog sektora</w:t>
            </w:r>
          </w:p>
          <w:p w14:paraId="71DEA406"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10. stavak 1. točka (c) podtočka</w:t>
            </w:r>
            <w:r w:rsidRPr="00E37E07">
              <w:rPr>
                <w:rFonts w:ascii="Times New Roman" w:hAnsi="Times New Roman"/>
                <w:bCs/>
              </w:rPr>
              <w:t xml:space="preserve"> v.</w:t>
            </w:r>
            <w:r w:rsidRPr="00E37E07">
              <w:rPr>
                <w:rFonts w:ascii="Times New Roman" w:hAnsi="Times New Roman"/>
                <w:bCs/>
              </w:rPr>
              <w:t xml:space="preserve"> Delegirane uredbe (EU) 2015/61</w:t>
            </w:r>
          </w:p>
        </w:tc>
      </w:tr>
      <w:tr w:rsidR="006C0DAA" w:rsidRPr="00E37E07" w14:paraId="471402A1" w14:textId="77777777">
        <w:tc>
          <w:tcPr>
            <w:tcW w:w="1129" w:type="dxa"/>
          </w:tcPr>
          <w:p w14:paraId="20D5E2DF"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0130</w:t>
            </w:r>
          </w:p>
        </w:tc>
        <w:tc>
          <w:tcPr>
            <w:tcW w:w="7620" w:type="dxa"/>
          </w:tcPr>
          <w:p w14:paraId="486D3ACF"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Priznata imovina središnje države i središnje banke u domaćoj i stranoj valuti</w:t>
            </w:r>
          </w:p>
          <w:p w14:paraId="21760113"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Članak 10. stavak 1. točka (d) Delegirane uredbe (EU) 2015/61</w:t>
            </w:r>
          </w:p>
        </w:tc>
      </w:tr>
      <w:tr w:rsidR="006C0DAA" w:rsidRPr="00E37E07" w14:paraId="58D7613D" w14:textId="77777777">
        <w:tc>
          <w:tcPr>
            <w:tcW w:w="1129" w:type="dxa"/>
          </w:tcPr>
          <w:p w14:paraId="65B5B453"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0140</w:t>
            </w:r>
          </w:p>
        </w:tc>
        <w:tc>
          <w:tcPr>
            <w:tcW w:w="7620" w:type="dxa"/>
          </w:tcPr>
          <w:p w14:paraId="06D3CC31"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Imovina kreditne institucije (koju štiti tijelo države članice, zajmodavac koji odobrava promotivne kredite)</w:t>
            </w:r>
          </w:p>
          <w:p w14:paraId="064D26D5" w14:textId="77777777" w:rsidR="006C0DAA" w:rsidRPr="00E37E07" w:rsidRDefault="00E37E07">
            <w:pPr>
              <w:pStyle w:val="InstructionsText"/>
              <w:rPr>
                <w:rFonts w:cs="Times New Roman"/>
                <w:b/>
                <w:sz w:val="22"/>
                <w:szCs w:val="22"/>
                <w:u w:val="single"/>
              </w:rPr>
            </w:pPr>
            <w:r w:rsidRPr="00E37E07">
              <w:rPr>
                <w:sz w:val="22"/>
                <w:szCs w:val="22"/>
              </w:rPr>
              <w:t>Članak 10. stavak 1. točka (e) podtočke</w:t>
            </w:r>
            <w:r w:rsidRPr="00E37E07">
              <w:rPr>
                <w:sz w:val="22"/>
                <w:szCs w:val="22"/>
              </w:rPr>
              <w:t xml:space="preserve"> i.</w:t>
            </w:r>
            <w:r w:rsidRPr="00E37E07">
              <w:rPr>
                <w:sz w:val="22"/>
                <w:szCs w:val="22"/>
              </w:rPr>
              <w:t xml:space="preserve"> i ii. Delegirane uredbe (EU) 2015/61</w:t>
            </w:r>
          </w:p>
        </w:tc>
      </w:tr>
      <w:tr w:rsidR="006C0DAA" w:rsidRPr="00E37E07" w14:paraId="627DE44B" w14:textId="77777777">
        <w:tc>
          <w:tcPr>
            <w:tcW w:w="1129" w:type="dxa"/>
          </w:tcPr>
          <w:p w14:paraId="59BA5346"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0150</w:t>
            </w:r>
          </w:p>
        </w:tc>
        <w:tc>
          <w:tcPr>
            <w:tcW w:w="7620" w:type="dxa"/>
          </w:tcPr>
          <w:p w14:paraId="5C1996C5"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 xml:space="preserve">Imovina multilateralnih razvojnih banaka i </w:t>
            </w:r>
            <w:r w:rsidRPr="00E37E07">
              <w:rPr>
                <w:rFonts w:ascii="Times New Roman" w:hAnsi="Times New Roman"/>
                <w:b/>
                <w:bCs/>
                <w:u w:val="single"/>
              </w:rPr>
              <w:t>međunarodnih organizacija</w:t>
            </w:r>
          </w:p>
          <w:p w14:paraId="5CB9E472" w14:textId="77777777" w:rsidR="006C0DAA" w:rsidRPr="00E37E07" w:rsidRDefault="00E37E07">
            <w:pPr>
              <w:pStyle w:val="InstructionsText"/>
              <w:rPr>
                <w:rFonts w:cs="Times New Roman"/>
                <w:sz w:val="22"/>
                <w:szCs w:val="22"/>
              </w:rPr>
            </w:pPr>
            <w:r w:rsidRPr="00E37E07">
              <w:rPr>
                <w:sz w:val="22"/>
                <w:szCs w:val="22"/>
              </w:rPr>
              <w:t>Članak 10. stavak 1. točka (g) Delegirane uredbe (EU) 2015/61</w:t>
            </w:r>
          </w:p>
        </w:tc>
      </w:tr>
      <w:tr w:rsidR="006C0DAA" w:rsidRPr="00E37E07" w14:paraId="2E42DF91" w14:textId="77777777">
        <w:tc>
          <w:tcPr>
            <w:tcW w:w="1129" w:type="dxa"/>
          </w:tcPr>
          <w:p w14:paraId="12AC0D41"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0160</w:t>
            </w:r>
          </w:p>
        </w:tc>
        <w:tc>
          <w:tcPr>
            <w:tcW w:w="7620" w:type="dxa"/>
            <w:vAlign w:val="center"/>
          </w:tcPr>
          <w:p w14:paraId="6D8541B0"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Pokrivene obveznice iznimno visoke kvalitete</w:t>
            </w:r>
          </w:p>
          <w:p w14:paraId="2C35FD4B"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Članak 10. stavak 1. točka (f) Delegirane uredbe (EU) 2015/61</w:t>
            </w:r>
          </w:p>
        </w:tc>
      </w:tr>
      <w:tr w:rsidR="006C0DAA" w:rsidRPr="00E37E07" w14:paraId="3B231C84" w14:textId="77777777">
        <w:trPr>
          <w:trHeight w:val="885"/>
        </w:trPr>
        <w:tc>
          <w:tcPr>
            <w:tcW w:w="1129" w:type="dxa"/>
          </w:tcPr>
          <w:p w14:paraId="568795CA"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0170</w:t>
            </w:r>
          </w:p>
        </w:tc>
        <w:tc>
          <w:tcPr>
            <w:tcW w:w="7620" w:type="dxa"/>
            <w:vAlign w:val="center"/>
          </w:tcPr>
          <w:p w14:paraId="2A8A579A"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Imovina 2.A stupnja</w:t>
            </w:r>
          </w:p>
          <w:p w14:paraId="184F7408"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Članak 11. </w:t>
            </w:r>
            <w:r w:rsidRPr="00E37E07">
              <w:rPr>
                <w:rFonts w:ascii="Times New Roman" w:hAnsi="Times New Roman"/>
                <w:bCs/>
              </w:rPr>
              <w:t>Delegirane uredbe (EU) 2015/61 i članak 43. stavak 2. Uredbe (EU) 2019/2033</w:t>
            </w:r>
          </w:p>
        </w:tc>
      </w:tr>
      <w:tr w:rsidR="006C0DAA" w:rsidRPr="00E37E07" w14:paraId="7268CE00" w14:textId="77777777">
        <w:tc>
          <w:tcPr>
            <w:tcW w:w="1129" w:type="dxa"/>
          </w:tcPr>
          <w:p w14:paraId="4D09C3FA"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0180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AB0275D"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Imovina jedinica područne (regionalne)/lokalne samouprave ili subjekata javnog sektora (država članica, ponder rizika 20 %)</w:t>
            </w:r>
          </w:p>
          <w:p w14:paraId="22E2D096" w14:textId="77777777" w:rsidR="006C0DAA" w:rsidRPr="00E37E07" w:rsidRDefault="00E37E07">
            <w:pPr>
              <w:spacing w:after="0"/>
              <w:ind w:left="33"/>
              <w:rPr>
                <w:rFonts w:ascii="Times New Roman" w:eastAsia="Times New Roman" w:hAnsi="Times New Roman" w:cs="Times New Roman"/>
                <w:bCs/>
              </w:rPr>
            </w:pPr>
            <w:r w:rsidRPr="00E37E07">
              <w:rPr>
                <w:rFonts w:ascii="Times New Roman" w:hAnsi="Times New Roman"/>
                <w:bCs/>
              </w:rPr>
              <w:t>Članak 11. stavak 1. točka (a) Delegirane uredbe (</w:t>
            </w:r>
            <w:r w:rsidRPr="00E37E07">
              <w:rPr>
                <w:rFonts w:ascii="Times New Roman" w:hAnsi="Times New Roman"/>
                <w:bCs/>
              </w:rPr>
              <w:t>EU) 2015/61</w:t>
            </w:r>
          </w:p>
        </w:tc>
      </w:tr>
      <w:tr w:rsidR="006C0DAA" w:rsidRPr="00E37E07" w14:paraId="31BA3722" w14:textId="77777777">
        <w:tc>
          <w:tcPr>
            <w:tcW w:w="1129" w:type="dxa"/>
          </w:tcPr>
          <w:p w14:paraId="39B3C917"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1365132"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Imovina središnje banke ili središnje države/jedinica područne (regionalne) ili lokalne samouprave ili subjekata javnog sektora (treća zemlja, ponder rizika 20 %)</w:t>
            </w:r>
          </w:p>
          <w:p w14:paraId="5BD5BCD6" w14:textId="77777777" w:rsidR="006C0DAA" w:rsidRPr="00E37E07" w:rsidRDefault="00E37E07">
            <w:pPr>
              <w:spacing w:after="0"/>
              <w:ind w:left="33"/>
              <w:rPr>
                <w:rFonts w:ascii="Times New Roman" w:eastAsia="Times New Roman" w:hAnsi="Times New Roman" w:cs="Times New Roman"/>
                <w:bCs/>
              </w:rPr>
            </w:pPr>
            <w:r w:rsidRPr="00E37E07">
              <w:rPr>
                <w:rFonts w:ascii="Times New Roman" w:hAnsi="Times New Roman"/>
                <w:bCs/>
              </w:rPr>
              <w:t>Članak 11. stavak 1. točka (b) Delegirane uredbe (EU) 2015/61</w:t>
            </w:r>
          </w:p>
        </w:tc>
      </w:tr>
      <w:tr w:rsidR="006C0DAA" w:rsidRPr="00E37E07" w14:paraId="33139621" w14:textId="77777777">
        <w:tc>
          <w:tcPr>
            <w:tcW w:w="1129" w:type="dxa"/>
          </w:tcPr>
          <w:p w14:paraId="4FE1E193"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797B685"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Pokrivene obveznice visoke kvalitete (2. stupanj kreditne kvalitete)</w:t>
            </w:r>
          </w:p>
          <w:p w14:paraId="0241D84C" w14:textId="77777777" w:rsidR="006C0DAA" w:rsidRPr="00E37E07" w:rsidRDefault="00E37E07">
            <w:pPr>
              <w:spacing w:after="0"/>
              <w:ind w:left="33"/>
              <w:rPr>
                <w:rFonts w:ascii="Times New Roman" w:eastAsia="Times New Roman" w:hAnsi="Times New Roman" w:cs="Times New Roman"/>
                <w:b/>
                <w:bCs/>
                <w:u w:val="single"/>
              </w:rPr>
            </w:pPr>
            <w:r w:rsidRPr="00E37E07">
              <w:rPr>
                <w:rFonts w:ascii="Times New Roman" w:hAnsi="Times New Roman"/>
                <w:bCs/>
              </w:rPr>
              <w:t>Članak 11. stavak 1. točka (c) Delegirane uredbe (EU) 2015/61</w:t>
            </w:r>
          </w:p>
        </w:tc>
      </w:tr>
      <w:tr w:rsidR="006C0DAA" w:rsidRPr="00E37E07" w14:paraId="5D1E0AC7" w14:textId="77777777">
        <w:tc>
          <w:tcPr>
            <w:tcW w:w="1129" w:type="dxa"/>
          </w:tcPr>
          <w:p w14:paraId="11734483"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lastRenderedPageBreak/>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E181BE0"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Pokrivene obveznice visoke kvalitete (treća zemlja, 1. stupanj kreditne kvalitete)</w:t>
            </w:r>
          </w:p>
          <w:p w14:paraId="4DF22263" w14:textId="77777777" w:rsidR="006C0DAA" w:rsidRPr="00E37E07" w:rsidRDefault="00E37E07">
            <w:pPr>
              <w:spacing w:after="0"/>
              <w:ind w:left="33"/>
              <w:rPr>
                <w:rFonts w:ascii="Times New Roman" w:eastAsia="Times New Roman" w:hAnsi="Times New Roman" w:cs="Times New Roman"/>
                <w:b/>
                <w:bCs/>
                <w:u w:val="single"/>
              </w:rPr>
            </w:pPr>
            <w:r w:rsidRPr="00E37E07">
              <w:rPr>
                <w:rFonts w:ascii="Times New Roman" w:hAnsi="Times New Roman"/>
                <w:bCs/>
              </w:rPr>
              <w:t xml:space="preserve">Članak 11. stavak 1. točka (d) </w:t>
            </w:r>
            <w:r w:rsidRPr="00E37E07">
              <w:rPr>
                <w:rFonts w:ascii="Times New Roman" w:hAnsi="Times New Roman"/>
                <w:bCs/>
              </w:rPr>
              <w:t>Delegirane uredbe (EU) 2015/61</w:t>
            </w:r>
          </w:p>
        </w:tc>
      </w:tr>
      <w:tr w:rsidR="006C0DAA" w:rsidRPr="00E37E07" w14:paraId="02B721AE" w14:textId="77777777">
        <w:tc>
          <w:tcPr>
            <w:tcW w:w="1129" w:type="dxa"/>
          </w:tcPr>
          <w:p w14:paraId="649053D3"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FECB633"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Dužnički vrijednosni papiri trgovačkih društava (1. stupanj kreditne kvalitete)</w:t>
            </w:r>
          </w:p>
          <w:p w14:paraId="07166F43" w14:textId="77777777" w:rsidR="006C0DAA" w:rsidRPr="00E37E07" w:rsidRDefault="00E37E07">
            <w:pPr>
              <w:spacing w:after="0"/>
              <w:ind w:left="33"/>
              <w:rPr>
                <w:rFonts w:ascii="Times New Roman" w:eastAsia="Times New Roman" w:hAnsi="Times New Roman" w:cs="Times New Roman"/>
                <w:b/>
                <w:bCs/>
                <w:u w:val="single"/>
              </w:rPr>
            </w:pPr>
            <w:r w:rsidRPr="00E37E07">
              <w:rPr>
                <w:rFonts w:ascii="Times New Roman" w:hAnsi="Times New Roman"/>
                <w:bCs/>
              </w:rPr>
              <w:t>Članak 11. stavak 1. točka (e) Delegirane uredbe (EU) 2015/61</w:t>
            </w:r>
          </w:p>
        </w:tc>
      </w:tr>
      <w:tr w:rsidR="006C0DAA" w:rsidRPr="00E37E07" w14:paraId="70FCE2A5" w14:textId="77777777">
        <w:trPr>
          <w:trHeight w:val="1001"/>
        </w:trPr>
        <w:tc>
          <w:tcPr>
            <w:tcW w:w="1129" w:type="dxa"/>
          </w:tcPr>
          <w:p w14:paraId="4693B680"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BCD1F60"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Imovina 2.B stupnja</w:t>
            </w:r>
          </w:p>
          <w:p w14:paraId="77396C4E"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Članak 12. Delegirane uredbe </w:t>
            </w:r>
            <w:r w:rsidRPr="00E37E07">
              <w:rPr>
                <w:rFonts w:ascii="Times New Roman" w:hAnsi="Times New Roman"/>
                <w:bCs/>
              </w:rPr>
              <w:t>(EU) 2015/61 i članak 43. stavak 2. Uredbe (EU) 2019/2033</w:t>
            </w:r>
          </w:p>
        </w:tc>
      </w:tr>
      <w:tr w:rsidR="006C0DAA" w:rsidRPr="00E37E07" w14:paraId="6EE09EBF" w14:textId="77777777">
        <w:tc>
          <w:tcPr>
            <w:tcW w:w="1129" w:type="dxa"/>
          </w:tcPr>
          <w:p w14:paraId="308FCCF4"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7B66D9B"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Vrijednosni papiri osigurani imovinom</w:t>
            </w:r>
          </w:p>
          <w:p w14:paraId="4C97994B"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Članak 12. stavak 1. točka (a) i članak 13. stavak 2. točka (g) Delegirane uredbe (EU) 2015/61</w:t>
            </w:r>
          </w:p>
        </w:tc>
      </w:tr>
      <w:tr w:rsidR="006C0DAA" w:rsidRPr="00E37E07" w14:paraId="0CE7E6FB" w14:textId="77777777">
        <w:tc>
          <w:tcPr>
            <w:tcW w:w="1129" w:type="dxa"/>
          </w:tcPr>
          <w:p w14:paraId="3A36F0AF"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8BC479B"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
                <w:bCs/>
                <w:u w:val="single"/>
              </w:rPr>
              <w:t xml:space="preserve">Dužnički vrijednosni papiri trgovačkih </w:t>
            </w:r>
            <w:r w:rsidRPr="00E37E07">
              <w:rPr>
                <w:rFonts w:ascii="Times New Roman" w:hAnsi="Times New Roman"/>
                <w:b/>
                <w:bCs/>
                <w:u w:val="single"/>
              </w:rPr>
              <w:t>društava</w:t>
            </w:r>
          </w:p>
          <w:p w14:paraId="1A1403F1" w14:textId="77777777" w:rsidR="006C0DAA" w:rsidRPr="00E37E07" w:rsidRDefault="00E37E07">
            <w:pPr>
              <w:spacing w:after="0"/>
              <w:ind w:left="33"/>
              <w:rPr>
                <w:rFonts w:ascii="Times New Roman" w:hAnsi="Times New Roman" w:cs="Times New Roman"/>
                <w:bCs/>
              </w:rPr>
            </w:pPr>
            <w:r w:rsidRPr="00E37E07">
              <w:rPr>
                <w:rFonts w:ascii="Times New Roman" w:hAnsi="Times New Roman"/>
                <w:bCs/>
              </w:rPr>
              <w:t>Članak 12. stavak 1. točka (b) Delegirane uredbe (EU) 2015/61</w:t>
            </w:r>
          </w:p>
        </w:tc>
      </w:tr>
      <w:tr w:rsidR="006C0DAA" w:rsidRPr="00E37E07" w14:paraId="4797C63F" w14:textId="77777777">
        <w:tc>
          <w:tcPr>
            <w:tcW w:w="1129" w:type="dxa"/>
          </w:tcPr>
          <w:p w14:paraId="3794E807"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6961AE6"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Dionice (glavni burzovni indeks)</w:t>
            </w:r>
          </w:p>
          <w:p w14:paraId="2792D8E6" w14:textId="77777777" w:rsidR="006C0DAA" w:rsidRPr="00E37E07" w:rsidRDefault="00E37E07">
            <w:pPr>
              <w:spacing w:after="0"/>
              <w:ind w:left="33"/>
              <w:rPr>
                <w:rFonts w:ascii="Times New Roman" w:eastAsia="Times New Roman" w:hAnsi="Times New Roman" w:cs="Times New Roman"/>
                <w:b/>
                <w:bCs/>
                <w:u w:val="single"/>
              </w:rPr>
            </w:pPr>
            <w:r w:rsidRPr="00E37E07">
              <w:rPr>
                <w:rFonts w:ascii="Times New Roman" w:hAnsi="Times New Roman"/>
                <w:bCs/>
              </w:rPr>
              <w:t>Članak 12. stavak 1. točka (c) Delegirane uredbe (EU) 2015/61</w:t>
            </w:r>
          </w:p>
        </w:tc>
      </w:tr>
      <w:tr w:rsidR="006C0DAA" w:rsidRPr="00E37E07" w14:paraId="660407A8" w14:textId="77777777">
        <w:tc>
          <w:tcPr>
            <w:tcW w:w="1129" w:type="dxa"/>
          </w:tcPr>
          <w:p w14:paraId="249D3ECC"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F7EDEC4"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Obvezujuće likvidnosne linije ograničene primjene koje može osigurati središnj</w:t>
            </w:r>
            <w:r w:rsidRPr="00E37E07">
              <w:rPr>
                <w:rFonts w:ascii="Times New Roman" w:hAnsi="Times New Roman"/>
                <w:b/>
                <w:bCs/>
                <w:u w:val="single"/>
              </w:rPr>
              <w:t>a banka</w:t>
            </w:r>
          </w:p>
          <w:p w14:paraId="0134EA10"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Članak 12. stavak 1. točka (d) Delegirane uredbe (EU) 2015/61</w:t>
            </w:r>
          </w:p>
        </w:tc>
      </w:tr>
      <w:tr w:rsidR="006C0DAA" w:rsidRPr="00E37E07" w14:paraId="2E623AB5" w14:textId="77777777">
        <w:tc>
          <w:tcPr>
            <w:tcW w:w="1129" w:type="dxa"/>
          </w:tcPr>
          <w:p w14:paraId="43A69970"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9594815"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Pokrivene obveznice visoke kvalitete (ponder rizika 35 %)</w:t>
            </w:r>
          </w:p>
          <w:p w14:paraId="212F4B23" w14:textId="77777777" w:rsidR="006C0DAA" w:rsidRPr="00E37E07" w:rsidRDefault="00E37E07">
            <w:pPr>
              <w:spacing w:after="0"/>
              <w:ind w:left="33"/>
              <w:rPr>
                <w:rFonts w:ascii="Times New Roman" w:eastAsia="Times New Roman" w:hAnsi="Times New Roman" w:cs="Times New Roman"/>
                <w:b/>
                <w:bCs/>
                <w:u w:val="single"/>
              </w:rPr>
            </w:pPr>
            <w:r w:rsidRPr="00E37E07">
              <w:rPr>
                <w:rFonts w:ascii="Times New Roman" w:hAnsi="Times New Roman"/>
                <w:bCs/>
              </w:rPr>
              <w:t>Članak 15. stavak 2. točka (f) Delegirane uredbe (EU) 2015/61</w:t>
            </w:r>
          </w:p>
        </w:tc>
      </w:tr>
      <w:tr w:rsidR="006C0DAA" w:rsidRPr="00E37E07" w14:paraId="356CACA3" w14:textId="77777777">
        <w:trPr>
          <w:trHeight w:val="1061"/>
        </w:trPr>
        <w:tc>
          <w:tcPr>
            <w:tcW w:w="1129" w:type="dxa"/>
          </w:tcPr>
          <w:p w14:paraId="0973060D"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CBBE177"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Priznate dionice/udjeli u CIU-u</w:t>
            </w:r>
          </w:p>
          <w:p w14:paraId="6EC5434E"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 xml:space="preserve">Članak 15. </w:t>
            </w:r>
            <w:r w:rsidRPr="00E37E07">
              <w:rPr>
                <w:rFonts w:ascii="Times New Roman" w:hAnsi="Times New Roman"/>
                <w:bCs/>
              </w:rPr>
              <w:t>Delegirane uredbe (EU) 2015/61</w:t>
            </w:r>
          </w:p>
          <w:p w14:paraId="20B40691"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Članak 43. stavak 1. točka (b) Uredbe (EU) 2019/2033</w:t>
            </w:r>
          </w:p>
        </w:tc>
      </w:tr>
      <w:tr w:rsidR="006C0DAA" w14:paraId="636C90B7" w14:textId="77777777">
        <w:trPr>
          <w:trHeight w:val="568"/>
        </w:trPr>
        <w:tc>
          <w:tcPr>
            <w:tcW w:w="1129" w:type="dxa"/>
          </w:tcPr>
          <w:p w14:paraId="2527B964" w14:textId="77777777" w:rsidR="006C0DAA" w:rsidRPr="00E37E07" w:rsidRDefault="00E37E07">
            <w:pPr>
              <w:spacing w:after="120" w:line="240" w:lineRule="auto"/>
              <w:jc w:val="both"/>
              <w:rPr>
                <w:rFonts w:ascii="Times New Roman" w:eastAsia="Times New Roman" w:hAnsi="Times New Roman" w:cs="Times New Roman"/>
                <w:bCs/>
              </w:rPr>
            </w:pPr>
            <w:r w:rsidRPr="00E37E07">
              <w:rPr>
                <w:rFonts w:ascii="Times New Roman" w:hAnsi="Times New Roman"/>
                <w:bCs/>
              </w:rPr>
              <w:t>0300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FFFF270" w14:textId="77777777" w:rsidR="006C0DAA" w:rsidRPr="00E37E07"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
                <w:bCs/>
                <w:u w:val="single"/>
              </w:rPr>
              <w:t>Ukupni ostali prihvatljivi financijski instrumenti</w:t>
            </w:r>
          </w:p>
          <w:p w14:paraId="1904ACF9" w14:textId="77777777" w:rsidR="006C0DAA" w:rsidRDefault="00E37E07">
            <w:pPr>
              <w:spacing w:after="120" w:line="240" w:lineRule="auto"/>
              <w:jc w:val="both"/>
              <w:rPr>
                <w:rFonts w:ascii="Times New Roman" w:eastAsia="Times New Roman" w:hAnsi="Times New Roman" w:cs="Times New Roman"/>
                <w:b/>
                <w:bCs/>
                <w:u w:val="single"/>
              </w:rPr>
            </w:pPr>
            <w:r w:rsidRPr="00E37E07">
              <w:rPr>
                <w:rFonts w:ascii="Times New Roman" w:hAnsi="Times New Roman"/>
                <w:bCs/>
              </w:rPr>
              <w:t>Članak 43. stavak 1. točka (c) Uredbe (EU) 2019/2033</w:t>
            </w:r>
          </w:p>
        </w:tc>
      </w:tr>
    </w:tbl>
    <w:p w14:paraId="56F8A887" w14:textId="77777777" w:rsidR="006C0DAA" w:rsidRDefault="006C0DAA">
      <w:pPr>
        <w:keepNext/>
        <w:spacing w:before="240" w:after="240" w:line="240" w:lineRule="auto"/>
        <w:jc w:val="both"/>
        <w:outlineLvl w:val="1"/>
      </w:pPr>
    </w:p>
    <w:sectPr w:rsidR="006C0DAA">
      <w:headerReference w:type="even" r:id="rId9"/>
      <w:headerReference w:type="default" r:id="rId10"/>
      <w:footerReference w:type="default" r:id="rId11"/>
      <w:headerReference w:type="first" r:id="rId12"/>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B0D930" w14:textId="77777777" w:rsidR="006C0DAA" w:rsidRDefault="006C0DAA">
      <w:pPr>
        <w:pStyle w:val="Footer"/>
      </w:pPr>
    </w:p>
  </w:endnote>
  <w:endnote w:type="continuationSeparator" w:id="0">
    <w:p w14:paraId="3D98F472" w14:textId="77777777" w:rsidR="006C0DAA" w:rsidRDefault="006C0DAA">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4903D1" w14:textId="77777777" w:rsidR="006C0DAA" w:rsidRDefault="00E37E07">
    <w:pPr>
      <w:pStyle w:val="Footer"/>
      <w:tabs>
        <w:tab w:val="clear" w:pos="4513"/>
        <w:tab w:val="clear" w:pos="9026"/>
        <w:tab w:val="right" w:pos="9071"/>
      </w:tabs>
    </w:pPr>
    <w:r>
      <w:t xml:space="preserve">HR - </w:t>
    </w:r>
    <w:r>
      <w:t>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43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661A0A" w14:textId="77777777" w:rsidR="006C0DAA" w:rsidRDefault="006C0DAA">
      <w:pPr>
        <w:pStyle w:val="Footer"/>
      </w:pPr>
    </w:p>
  </w:footnote>
  <w:footnote w:type="continuationSeparator" w:id="0">
    <w:p w14:paraId="1D7E5C7A" w14:textId="77777777" w:rsidR="006C0DAA" w:rsidRDefault="006C0DAA">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69823D" w14:textId="77777777" w:rsidR="006C0DAA" w:rsidRDefault="00E37E07">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80734C" w14:textId="29C2A15B" w:rsidR="006C0DAA" w:rsidRDefault="00E37E07">
    <w:pPr>
      <w:pStyle w:val="Header"/>
    </w:pPr>
    <w:r>
      <w:rPr>
        <w:noProof/>
      </w:rPr>
      <mc:AlternateContent>
        <mc:Choice Requires="wps">
          <w:drawing>
            <wp:anchor distT="0" distB="0" distL="114300" distR="114300" simplePos="0" relativeHeight="251659264" behindDoc="0" locked="0" layoutInCell="0" allowOverlap="1" wp14:anchorId="2AB4F614" wp14:editId="5C8CFF59">
              <wp:simplePos x="0" y="0"/>
              <wp:positionH relativeFrom="page">
                <wp:posOffset>0</wp:posOffset>
              </wp:positionH>
              <wp:positionV relativeFrom="page">
                <wp:posOffset>190500</wp:posOffset>
              </wp:positionV>
              <wp:extent cx="7560310" cy="273050"/>
              <wp:effectExtent l="0" t="0" r="0" b="12700"/>
              <wp:wrapNone/>
              <wp:docPr id="1" name="MSIPCM75514be9844491f00ad01a7a"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C5AB578" w14:textId="360F5081" w:rsidR="00E37E07" w:rsidRPr="00E37E07" w:rsidRDefault="00E37E07" w:rsidP="00E37E07">
                          <w:pPr>
                            <w:spacing w:after="0"/>
                            <w:rPr>
                              <w:rFonts w:ascii="Calibri" w:hAnsi="Calibri" w:cs="Calibri"/>
                              <w:color w:val="000000"/>
                              <w:sz w:val="24"/>
                            </w:rPr>
                          </w:pPr>
                          <w:r w:rsidRPr="00E37E07">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2AB4F614" id="_x0000_t202" coordsize="21600,21600" o:spt="202" path="m,l,21600r21600,l21600,xe">
              <v:stroke joinstyle="miter"/>
              <v:path gradientshapeok="t" o:connecttype="rect"/>
            </v:shapetype>
            <v:shape id="MSIPCM75514be9844491f00ad01a7a" o:spid="_x0000_s1026" type="#_x0000_t202" alt="{&quot;HashCode&quot;:-466411507,&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" o:allowincell="f" filled="f" stroked="f" strokeweight=".5pt">
              <v:fill o:detectmouseclick="t"/>
              <v:textbox inset="20pt,0,,0">
                <w:txbxContent>
                  <w:p w14:paraId="3C5AB578" w14:textId="360F5081" w:rsidR="00E37E07" w:rsidRPr="00E37E07" w:rsidRDefault="00E37E07" w:rsidP="00E37E07">
                    <w:pPr>
                      <w:spacing w:after="0"/>
                      <w:rPr>
                        <w:rFonts w:ascii="Calibri" w:hAnsi="Calibri" w:cs="Calibri"/>
                        <w:color w:val="000000"/>
                        <w:sz w:val="24"/>
                      </w:rPr>
                    </w:pPr>
                    <w:r w:rsidRPr="00E37E07">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C2B82E" w14:textId="77777777" w:rsidR="006C0DAA" w:rsidRDefault="00E37E07">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B27A00"/>
    <w:multiLevelType w:val="hybridMultilevel"/>
    <w:tmpl w:val="451EE6F2"/>
    <w:lvl w:ilvl="0" w:tplc="F95A7C40">
      <w:start w:val="2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90357E"/>
    <w:multiLevelType w:val="hybridMultilevel"/>
    <w:tmpl w:val="DA8CD66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48F510BB"/>
    <w:multiLevelType w:val="hybridMultilevel"/>
    <w:tmpl w:val="24008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C027C80"/>
    <w:multiLevelType w:val="hybridMultilevel"/>
    <w:tmpl w:val="5B589FB0"/>
    <w:lvl w:ilvl="0" w:tplc="566E1830">
      <w:start w:val="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4D5D5E"/>
    <w:multiLevelType w:val="hybridMultilevel"/>
    <w:tmpl w:val="53C413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D6692A"/>
    <w:multiLevelType w:val="hybridMultilevel"/>
    <w:tmpl w:val="0554A25E"/>
    <w:lvl w:ilvl="0" w:tplc="0415000F">
      <w:start w:val="1"/>
      <w:numFmt w:val="decimal"/>
      <w:lvlText w:val="%1."/>
      <w:lvlJc w:val="left"/>
      <w:pPr>
        <w:ind w:left="770" w:hanging="360"/>
      </w:pPr>
    </w:lvl>
    <w:lvl w:ilvl="1" w:tplc="04150019">
      <w:start w:val="1"/>
      <w:numFmt w:val="lowerLetter"/>
      <w:lvlText w:val="%2."/>
      <w:lvlJc w:val="left"/>
      <w:pPr>
        <w:ind w:left="1490" w:hanging="360"/>
      </w:pPr>
    </w:lvl>
    <w:lvl w:ilvl="2" w:tplc="0415001B">
      <w:start w:val="1"/>
      <w:numFmt w:val="lowerRoman"/>
      <w:lvlText w:val="%3."/>
      <w:lvlJc w:val="right"/>
      <w:pPr>
        <w:ind w:left="2210" w:hanging="180"/>
      </w:pPr>
    </w:lvl>
    <w:lvl w:ilvl="3" w:tplc="0415000F">
      <w:start w:val="1"/>
      <w:numFmt w:val="decimal"/>
      <w:lvlText w:val="%4."/>
      <w:lvlJc w:val="left"/>
      <w:pPr>
        <w:ind w:left="2930" w:hanging="360"/>
      </w:pPr>
    </w:lvl>
    <w:lvl w:ilvl="4" w:tplc="04150019">
      <w:start w:val="1"/>
      <w:numFmt w:val="lowerLetter"/>
      <w:lvlText w:val="%5."/>
      <w:lvlJc w:val="left"/>
      <w:pPr>
        <w:ind w:left="3650" w:hanging="360"/>
      </w:pPr>
    </w:lvl>
    <w:lvl w:ilvl="5" w:tplc="0415001B">
      <w:start w:val="1"/>
      <w:numFmt w:val="lowerRoman"/>
      <w:lvlText w:val="%6."/>
      <w:lvlJc w:val="right"/>
      <w:pPr>
        <w:ind w:left="4370" w:hanging="180"/>
      </w:pPr>
    </w:lvl>
    <w:lvl w:ilvl="6" w:tplc="0415000F">
      <w:start w:val="1"/>
      <w:numFmt w:val="decimal"/>
      <w:lvlText w:val="%7."/>
      <w:lvlJc w:val="left"/>
      <w:pPr>
        <w:ind w:left="5090" w:hanging="360"/>
      </w:pPr>
    </w:lvl>
    <w:lvl w:ilvl="7" w:tplc="04150019">
      <w:start w:val="1"/>
      <w:numFmt w:val="lowerLetter"/>
      <w:lvlText w:val="%8."/>
      <w:lvlJc w:val="left"/>
      <w:pPr>
        <w:ind w:left="5810" w:hanging="360"/>
      </w:pPr>
    </w:lvl>
    <w:lvl w:ilvl="8" w:tplc="0415001B">
      <w:start w:val="1"/>
      <w:numFmt w:val="lowerRoman"/>
      <w:lvlText w:val="%9."/>
      <w:lvlJc w:val="right"/>
      <w:pPr>
        <w:ind w:left="6530" w:hanging="180"/>
      </w:pPr>
    </w:lvl>
  </w:abstractNum>
  <w:abstractNum w:abstractNumId="21" w15:restartNumberingAfterBreak="0">
    <w:nsid w:val="7DDE010F"/>
    <w:multiLevelType w:val="hybridMultilevel"/>
    <w:tmpl w:val="8A02D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E3092E"/>
    <w:multiLevelType w:val="hybridMultilevel"/>
    <w:tmpl w:val="280CAFBC"/>
    <w:lvl w:ilvl="0" w:tplc="202C8F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1"/>
  </w:num>
  <w:num w:numId="5">
    <w:abstractNumId w:val="6"/>
  </w:num>
  <w:num w:numId="6">
    <w:abstractNumId w:val="19"/>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5"/>
  </w:num>
  <w:num w:numId="14">
    <w:abstractNumId w:val="22"/>
  </w:num>
  <w:num w:numId="15">
    <w:abstractNumId w:val="16"/>
  </w:num>
  <w:num w:numId="16">
    <w:abstractNumId w:val="15"/>
  </w:num>
  <w:num w:numId="17">
    <w:abstractNumId w:val="0"/>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21"/>
  </w:num>
  <w:num w:numId="21">
    <w:abstractNumId w:val="2"/>
  </w:num>
  <w:num w:numId="22">
    <w:abstractNumId w:val="4"/>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0" w:nlCheck="1" w:checkStyle="0"/>
  <w:defaultTabStop w:val="720"/>
  <w:hyphenationZone w:val="283"/>
  <w:characterSpacingControl w:val="doNotCompress"/>
  <w:hdrShapeDefaults>
    <o:shapedefaults v:ext="edit" spidmax="260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C0DAA"/>
    <w:rsid w:val="006C0DAA"/>
    <w:rsid w:val="00E37E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0097"/>
    <o:shapelayout v:ext="edit">
      <o:idmap v:ext="edit" data="1"/>
    </o:shapelayout>
  </w:shapeDefaults>
  <w:decimalSymbol w:val="."/>
  <w:listSeparator w:val=","/>
  <w14:docId w14:val="33499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hr-HR"/>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ind w:left="33"/>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paragraph" w:styleId="Revision">
    <w:name w:val="Revision"/>
    <w:hidden/>
    <w:uiPriority w:val="99"/>
    <w:semiHidden/>
    <w:pPr>
      <w:spacing w:after="0" w:line="240" w:lineRule="auto"/>
    </w:pPr>
  </w:style>
  <w:style w:type="paragraph" w:customStyle="1" w:styleId="NumPar1">
    <w:name w:val="NumPar 1"/>
    <w:basedOn w:val="Normal"/>
    <w:next w:val="Normal"/>
    <w:pPr>
      <w:numPr>
        <w:numId w:val="22"/>
      </w:numPr>
      <w:spacing w:before="120" w:after="120" w:line="240" w:lineRule="auto"/>
      <w:jc w:val="both"/>
    </w:pPr>
    <w:rPr>
      <w:rFonts w:ascii="Times New Roman" w:hAnsi="Times New Roman" w:cs="Times New Roman"/>
      <w:sz w:val="24"/>
    </w:rPr>
  </w:style>
  <w:style w:type="paragraph" w:customStyle="1" w:styleId="NumPar2">
    <w:name w:val="NumPar 2"/>
    <w:basedOn w:val="Normal"/>
    <w:next w:val="Normal"/>
    <w:pPr>
      <w:numPr>
        <w:ilvl w:val="1"/>
        <w:numId w:val="22"/>
      </w:numPr>
      <w:spacing w:before="120" w:after="120" w:line="240" w:lineRule="auto"/>
      <w:jc w:val="both"/>
    </w:pPr>
    <w:rPr>
      <w:rFonts w:ascii="Times New Roman" w:hAnsi="Times New Roman" w:cs="Times New Roman"/>
      <w:sz w:val="24"/>
    </w:rPr>
  </w:style>
  <w:style w:type="paragraph" w:customStyle="1" w:styleId="NumPar3">
    <w:name w:val="NumPar 3"/>
    <w:basedOn w:val="Normal"/>
    <w:next w:val="Normal"/>
    <w:pPr>
      <w:numPr>
        <w:ilvl w:val="2"/>
        <w:numId w:val="22"/>
      </w:numPr>
      <w:spacing w:before="120" w:after="120" w:line="240" w:lineRule="auto"/>
      <w:jc w:val="both"/>
    </w:pPr>
    <w:rPr>
      <w:rFonts w:ascii="Times New Roman" w:hAnsi="Times New Roman" w:cs="Times New Roman"/>
      <w:sz w:val="24"/>
    </w:rPr>
  </w:style>
  <w:style w:type="paragraph" w:customStyle="1" w:styleId="NumPar4">
    <w:name w:val="NumPar 4"/>
    <w:basedOn w:val="Normal"/>
    <w:next w:val="Normal"/>
    <w:pPr>
      <w:numPr>
        <w:ilvl w:val="3"/>
        <w:numId w:val="22"/>
      </w:numPr>
      <w:spacing w:before="120" w:after="120" w:line="240" w:lineRule="auto"/>
      <w:jc w:val="both"/>
    </w:pPr>
    <w:rPr>
      <w:rFonts w:ascii="Times New Roman" w:hAnsi="Times New Roman" w:cs="Times New Roman"/>
      <w:sz w:val="24"/>
    </w:r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Point0number">
    <w:name w:val="Point 0 (number)"/>
    <w:basedOn w:val="Normal"/>
    <w:pPr>
      <w:numPr>
        <w:numId w:val="23"/>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pPr>
      <w:numPr>
        <w:ilvl w:val="2"/>
        <w:numId w:val="23"/>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pPr>
      <w:numPr>
        <w:ilvl w:val="4"/>
        <w:numId w:val="23"/>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pPr>
      <w:numPr>
        <w:ilvl w:val="6"/>
        <w:numId w:val="23"/>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pPr>
      <w:numPr>
        <w:ilvl w:val="1"/>
        <w:numId w:val="23"/>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pPr>
      <w:numPr>
        <w:ilvl w:val="3"/>
        <w:numId w:val="23"/>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pPr>
      <w:numPr>
        <w:ilvl w:val="5"/>
        <w:numId w:val="23"/>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pPr>
      <w:numPr>
        <w:ilvl w:val="7"/>
        <w:numId w:val="23"/>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pPr>
      <w:numPr>
        <w:ilvl w:val="8"/>
        <w:numId w:val="23"/>
      </w:numPr>
      <w:spacing w:before="120" w:after="120" w:line="240" w:lineRule="auto"/>
      <w:jc w:val="both"/>
    </w:pPr>
    <w:rPr>
      <w:rFonts w:ascii="Times New Roman" w:hAnsi="Times New Roman" w:cs="Times New Roman"/>
      <w:sz w:val="24"/>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53476">
      <w:bodyDiv w:val="1"/>
      <w:marLeft w:val="0"/>
      <w:marRight w:val="0"/>
      <w:marTop w:val="0"/>
      <w:marBottom w:val="0"/>
      <w:divBdr>
        <w:top w:val="none" w:sz="0" w:space="0" w:color="auto"/>
        <w:left w:val="none" w:sz="0" w:space="0" w:color="auto"/>
        <w:bottom w:val="none" w:sz="0" w:space="0" w:color="auto"/>
        <w:right w:val="none" w:sz="0" w:space="0" w:color="auto"/>
      </w:divBdr>
    </w:div>
    <w:div w:id="143280252">
      <w:bodyDiv w:val="1"/>
      <w:marLeft w:val="0"/>
      <w:marRight w:val="0"/>
      <w:marTop w:val="0"/>
      <w:marBottom w:val="0"/>
      <w:divBdr>
        <w:top w:val="none" w:sz="0" w:space="0" w:color="auto"/>
        <w:left w:val="none" w:sz="0" w:space="0" w:color="auto"/>
        <w:bottom w:val="none" w:sz="0" w:space="0" w:color="auto"/>
        <w:right w:val="none" w:sz="0" w:space="0" w:color="auto"/>
      </w:divBdr>
    </w:div>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00938872">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1558661704">
      <w:bodyDiv w:val="1"/>
      <w:marLeft w:val="0"/>
      <w:marRight w:val="0"/>
      <w:marTop w:val="0"/>
      <w:marBottom w:val="0"/>
      <w:divBdr>
        <w:top w:val="none" w:sz="0" w:space="0" w:color="auto"/>
        <w:left w:val="none" w:sz="0" w:space="0" w:color="auto"/>
        <w:bottom w:val="none" w:sz="0" w:space="0" w:color="auto"/>
        <w:right w:val="none" w:sz="0" w:space="0" w:color="auto"/>
      </w:divBdr>
    </w:div>
    <w:div w:id="1636256824">
      <w:bodyDiv w:val="1"/>
      <w:marLeft w:val="0"/>
      <w:marRight w:val="0"/>
      <w:marTop w:val="0"/>
      <w:marBottom w:val="0"/>
      <w:divBdr>
        <w:top w:val="none" w:sz="0" w:space="0" w:color="auto"/>
        <w:left w:val="none" w:sz="0" w:space="0" w:color="auto"/>
        <w:bottom w:val="none" w:sz="0" w:space="0" w:color="auto"/>
        <w:right w:val="none" w:sz="0" w:space="0" w:color="auto"/>
      </w:divBdr>
    </w:div>
    <w:div w:id="1974946842">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Props1.xml><?xml version="1.0" encoding="utf-8"?>
<ds:datastoreItem xmlns:ds="http://schemas.openxmlformats.org/officeDocument/2006/customXml" ds:itemID="{B4B392EC-050E-4788-8FB0-39FE06CB8670}">
  <ds:schemaRefs>
    <ds:schemaRef ds:uri="http://schemas.openxmlformats.org/officeDocument/2006/bibliography"/>
  </ds:schemaRefs>
</ds:datastoreItem>
</file>

<file path=customXml/itemProps2.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43</Pages>
  <Words>13910</Words>
  <Characters>79290</Characters>
  <Application>Microsoft Office Word</Application>
  <DocSecurity>0</DocSecurity>
  <Lines>660</Lines>
  <Paragraphs>186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2021-11-25T14:54:00Z</dcterms:created>
  <dcterms:modified xsi:type="dcterms:W3CDTF">2022-01-14T16:17:00Z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2022-01-14T16:17:53Z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1e03522a-7ef3-484b-879a-53b88c6e8b72</vt:lpwstr>
  </property>
  <property fmtid="{D5CDD505-2E9C-101B-9397-08002B2CF9AE}" pid="8" name="MSIP_Label_5c7eb9de-735b-4a68-8fe4-c9c62709b012_ContentBits">
    <vt:lpwstr>1</vt:lpwstr>
  </property>
</Properties>
</file>