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BDA58" w14:textId="77777777" w:rsidR="00D413F5" w:rsidRPr="00BB1C90" w:rsidRDefault="00BB1C90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Toc359315628"/>
      <w:bookmarkStart w:id="1" w:name="_Toc361844197"/>
      <w:bookmarkStart w:id="2" w:name="_Toc473560873"/>
      <w:bookmarkStart w:id="3" w:name="_Toc7084158"/>
      <w:bookmarkStart w:id="4" w:name="_Toc308175820"/>
      <w:bookmarkStart w:id="5" w:name="_Toc360188325"/>
      <w:r w:rsidRPr="00BB1C90">
        <w:rPr>
          <w:rFonts w:ascii="Times New Roman" w:hAnsi="Times New Roman"/>
          <w:b/>
          <w:sz w:val="24"/>
          <w:szCs w:val="24"/>
        </w:rPr>
        <w:t>PL</w:t>
      </w:r>
      <w:r w:rsidRPr="00BB1C90">
        <w:br/>
      </w:r>
      <w:r w:rsidRPr="00BB1C90">
        <w:rPr>
          <w:rFonts w:ascii="Times New Roman" w:hAnsi="Times New Roman"/>
          <w:b/>
          <w:sz w:val="24"/>
          <w:szCs w:val="20"/>
        </w:rPr>
        <w:t>ZAŁĄCZNIK IX</w:t>
      </w:r>
    </w:p>
    <w:p w14:paraId="05046998" w14:textId="77777777" w:rsidR="00D413F5" w:rsidRPr="00BB1C90" w:rsidRDefault="00BB1C90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BB1C90">
        <w:rPr>
          <w:rFonts w:ascii="Times New Roman" w:hAnsi="Times New Roman"/>
          <w:b/>
          <w:sz w:val="24"/>
          <w:szCs w:val="20"/>
          <w:u w:val="single"/>
        </w:rPr>
        <w:t xml:space="preserve">„ZAŁĄCZNIK </w:t>
      </w:r>
      <w:bookmarkEnd w:id="0"/>
      <w:bookmarkEnd w:id="1"/>
      <w:r w:rsidRPr="00BB1C90">
        <w:rPr>
          <w:rFonts w:ascii="Times New Roman" w:hAnsi="Times New Roman"/>
          <w:b/>
          <w:sz w:val="24"/>
          <w:szCs w:val="20"/>
          <w:u w:val="single"/>
        </w:rPr>
        <w:t>IX”</w:t>
      </w:r>
    </w:p>
    <w:p w14:paraId="15539701" w14:textId="77777777" w:rsidR="00D413F5" w:rsidRPr="00BB1C90" w:rsidRDefault="00BB1C90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B1C90">
        <w:rPr>
          <w:rFonts w:ascii="Times New Roman" w:hAnsi="Times New Roman"/>
          <w:b/>
          <w:sz w:val="24"/>
          <w:szCs w:val="20"/>
        </w:rPr>
        <w:t>SPRAWOZDAWCZOŚĆ W ZAKRESIE GRUPOWEGO TESTU KAPITAŁOWEGO</w:t>
      </w:r>
    </w:p>
    <w:p w14:paraId="42D4D056" w14:textId="77777777" w:rsidR="00D413F5" w:rsidRPr="00BB1C90" w:rsidRDefault="00BB1C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C90">
        <w:rPr>
          <w:rFonts w:ascii="Times New Roman" w:hAnsi="Times New Roman"/>
          <w:sz w:val="24"/>
          <w:szCs w:val="24"/>
        </w:rPr>
        <w:t>Spis treści</w:t>
      </w:r>
    </w:p>
    <w:p w14:paraId="79495E50" w14:textId="77777777" w:rsidR="00D413F5" w:rsidRPr="00BB1C90" w:rsidRDefault="00BB1C90">
      <w:pPr>
        <w:pStyle w:val="TOC2"/>
        <w:tabs>
          <w:tab w:val="right" w:leader="dot" w:pos="9016"/>
        </w:tabs>
        <w:rPr>
          <w:rFonts w:eastAsiaTheme="minorEastAsia"/>
        </w:rPr>
      </w:pPr>
      <w:r w:rsidRPr="00BB1C90">
        <w:rPr>
          <w:rFonts w:ascii="Times New Roman" w:hAnsi="Times New Roman"/>
        </w:rPr>
        <w:t>CZĘŚĆ I: INSTRUKCJE OGÓLNE</w:t>
      </w:r>
      <w:r w:rsidRPr="00BB1C90">
        <w:tab/>
        <w:t>2</w:t>
      </w:r>
    </w:p>
    <w:p w14:paraId="0EB4128F" w14:textId="77777777" w:rsidR="00D413F5" w:rsidRPr="00BB1C90" w:rsidRDefault="00BB1C90">
      <w:pPr>
        <w:pStyle w:val="TOC2"/>
        <w:tabs>
          <w:tab w:val="right" w:leader="dot" w:pos="9016"/>
        </w:tabs>
        <w:rPr>
          <w:rFonts w:eastAsiaTheme="minorEastAsia"/>
        </w:rPr>
      </w:pPr>
      <w:r w:rsidRPr="00BB1C90">
        <w:rPr>
          <w:rFonts w:ascii="Times New Roman" w:hAnsi="Times New Roman"/>
        </w:rPr>
        <w:t>1. Struktura i konwencje</w:t>
      </w:r>
      <w:r w:rsidRPr="00BB1C90">
        <w:tab/>
        <w:t>2</w:t>
      </w:r>
    </w:p>
    <w:p w14:paraId="2D38B637" w14:textId="77777777" w:rsidR="00D413F5" w:rsidRPr="00BB1C90" w:rsidRDefault="00BB1C90">
      <w:pPr>
        <w:pStyle w:val="TOC2"/>
        <w:tabs>
          <w:tab w:val="right" w:leader="dot" w:pos="9016"/>
        </w:tabs>
        <w:rPr>
          <w:rFonts w:eastAsiaTheme="minorEastAsia"/>
        </w:rPr>
      </w:pPr>
      <w:r w:rsidRPr="00BB1C90">
        <w:rPr>
          <w:rFonts w:ascii="Times New Roman" w:hAnsi="Times New Roman"/>
          <w:u w:val="single"/>
        </w:rPr>
        <w:t>1.1 Struktura</w:t>
      </w:r>
      <w:r w:rsidRPr="00BB1C90">
        <w:tab/>
        <w:t>2</w:t>
      </w:r>
    </w:p>
    <w:p w14:paraId="73B333A5" w14:textId="77777777" w:rsidR="00D413F5" w:rsidRPr="00BB1C90" w:rsidRDefault="00BB1C90">
      <w:pPr>
        <w:pStyle w:val="TOC2"/>
        <w:tabs>
          <w:tab w:val="right" w:leader="dot" w:pos="9016"/>
        </w:tabs>
        <w:rPr>
          <w:rFonts w:eastAsiaTheme="minorEastAsia"/>
        </w:rPr>
      </w:pPr>
      <w:r w:rsidRPr="00BB1C90">
        <w:rPr>
          <w:rFonts w:ascii="Times New Roman" w:hAnsi="Times New Roman"/>
          <w:u w:val="single"/>
        </w:rPr>
        <w:t>1.2 Konwencja numeracji</w:t>
      </w:r>
      <w:r w:rsidRPr="00BB1C90">
        <w:tab/>
        <w:t>2</w:t>
      </w:r>
    </w:p>
    <w:p w14:paraId="3CD12EB6" w14:textId="77777777" w:rsidR="00D413F5" w:rsidRPr="00BB1C90" w:rsidRDefault="00BB1C90">
      <w:pPr>
        <w:pStyle w:val="TOC2"/>
        <w:tabs>
          <w:tab w:val="right" w:leader="dot" w:pos="9016"/>
        </w:tabs>
        <w:rPr>
          <w:rFonts w:eastAsiaTheme="minorEastAsia"/>
        </w:rPr>
      </w:pPr>
      <w:r w:rsidRPr="00BB1C90">
        <w:rPr>
          <w:rFonts w:ascii="Times New Roman" w:hAnsi="Times New Roman"/>
          <w:u w:val="single"/>
        </w:rPr>
        <w:t>1.3 Konwencja znaków</w:t>
      </w:r>
      <w:r w:rsidRPr="00BB1C90">
        <w:tab/>
        <w:t>2</w:t>
      </w:r>
    </w:p>
    <w:p w14:paraId="3FF9DA01" w14:textId="77777777" w:rsidR="00D413F5" w:rsidRPr="00BB1C90" w:rsidRDefault="00BB1C90">
      <w:pPr>
        <w:pStyle w:val="TOC2"/>
        <w:tabs>
          <w:tab w:val="right" w:leader="dot" w:pos="9016"/>
        </w:tabs>
        <w:rPr>
          <w:rFonts w:eastAsiaTheme="minorEastAsia"/>
        </w:rPr>
      </w:pPr>
      <w:r w:rsidRPr="00BB1C90">
        <w:rPr>
          <w:rFonts w:ascii="Times New Roman" w:hAnsi="Times New Roman"/>
        </w:rPr>
        <w:t xml:space="preserve">CZĘŚĆ II: </w:t>
      </w:r>
      <w:r w:rsidRPr="00BB1C90">
        <w:rPr>
          <w:rFonts w:ascii="Times New Roman" w:hAnsi="Times New Roman"/>
        </w:rPr>
        <w:t>INSTRUKCJE DOTYCZĄCE WZORÓW</w:t>
      </w:r>
      <w:r w:rsidRPr="00BB1C90">
        <w:tab/>
        <w:t>3</w:t>
      </w:r>
    </w:p>
    <w:p w14:paraId="6F2D22B1" w14:textId="77777777" w:rsidR="00D413F5" w:rsidRPr="00BB1C90" w:rsidRDefault="00BB1C90">
      <w:pPr>
        <w:pStyle w:val="TOC2"/>
        <w:tabs>
          <w:tab w:val="right" w:leader="dot" w:pos="9016"/>
        </w:tabs>
        <w:rPr>
          <w:rFonts w:eastAsiaTheme="minorEastAsia"/>
        </w:rPr>
      </w:pPr>
      <w:r w:rsidRPr="00BB1C90">
        <w:rPr>
          <w:rFonts w:ascii="Times New Roman" w:hAnsi="Times New Roman"/>
          <w:b/>
        </w:rPr>
        <w:t>1. FUNDUSZE WŁASNE: POZIOM, STRUKTURA, WYMOGI I OBLICZENIA</w:t>
      </w:r>
      <w:r w:rsidRPr="00BB1C90">
        <w:tab/>
        <w:t>3</w:t>
      </w:r>
    </w:p>
    <w:p w14:paraId="3198C156" w14:textId="77777777" w:rsidR="00D413F5" w:rsidRPr="00BB1C90" w:rsidRDefault="00BB1C90">
      <w:pPr>
        <w:pStyle w:val="TOC2"/>
        <w:tabs>
          <w:tab w:val="right" w:leader="dot" w:pos="9016"/>
        </w:tabs>
        <w:rPr>
          <w:rFonts w:eastAsiaTheme="minorEastAsia"/>
        </w:rPr>
      </w:pPr>
      <w:r w:rsidRPr="00BB1C90">
        <w:rPr>
          <w:rFonts w:ascii="Times New Roman" w:hAnsi="Times New Roman"/>
        </w:rPr>
        <w:t>1.1 Uwagi ogólne</w:t>
      </w:r>
      <w:r w:rsidRPr="00BB1C90">
        <w:tab/>
        <w:t>3</w:t>
      </w:r>
    </w:p>
    <w:p w14:paraId="4C3DBC69" w14:textId="77777777" w:rsidR="00D413F5" w:rsidRPr="00BB1C90" w:rsidRDefault="00BB1C90">
      <w:pPr>
        <w:pStyle w:val="TOC2"/>
        <w:tabs>
          <w:tab w:val="right" w:leader="dot" w:pos="9016"/>
        </w:tabs>
        <w:rPr>
          <w:rFonts w:eastAsiaTheme="minorEastAsia"/>
        </w:rPr>
      </w:pPr>
      <w:r w:rsidRPr="00BB1C90">
        <w:rPr>
          <w:rFonts w:ascii="Times New Roman" w:hAnsi="Times New Roman"/>
        </w:rPr>
        <w:t>1.2. I 11.01 – STRUKTURA FUNDUSZY WŁASNYCH – GRUPOWY TEST KAPITAŁOWY (I11.1)</w:t>
      </w:r>
      <w:r w:rsidRPr="00BB1C90">
        <w:tab/>
        <w:t>3</w:t>
      </w:r>
    </w:p>
    <w:p w14:paraId="7771DC83" w14:textId="77777777" w:rsidR="00D413F5" w:rsidRPr="00BB1C90" w:rsidRDefault="00BB1C90">
      <w:pPr>
        <w:pStyle w:val="TOC2"/>
        <w:tabs>
          <w:tab w:val="left" w:pos="1100"/>
          <w:tab w:val="right" w:leader="dot" w:pos="9016"/>
        </w:tabs>
        <w:rPr>
          <w:rFonts w:eastAsiaTheme="minorEastAsia"/>
        </w:rPr>
      </w:pPr>
      <w:r w:rsidRPr="00BB1C90">
        <w:rPr>
          <w:rFonts w:ascii="Times New Roman" w:hAnsi="Times New Roman"/>
        </w:rPr>
        <w:t>1.2.1.</w:t>
      </w:r>
      <w:r w:rsidRPr="00BB1C90">
        <w:rPr>
          <w:rFonts w:eastAsiaTheme="minorEastAsia"/>
        </w:rPr>
        <w:tab/>
      </w:r>
      <w:r w:rsidRPr="00BB1C90">
        <w:rPr>
          <w:rFonts w:ascii="Times New Roman" w:hAnsi="Times New Roman"/>
        </w:rPr>
        <w:t>Instrukcje dotyczące poszczególnych pozycji</w:t>
      </w:r>
      <w:r w:rsidRPr="00BB1C90">
        <w:tab/>
        <w:t>3</w:t>
      </w:r>
    </w:p>
    <w:p w14:paraId="66257BA8" w14:textId="77777777" w:rsidR="00D413F5" w:rsidRPr="00BB1C90" w:rsidRDefault="00BB1C90">
      <w:pPr>
        <w:pStyle w:val="TOC2"/>
        <w:tabs>
          <w:tab w:val="right" w:leader="dot" w:pos="9016"/>
        </w:tabs>
        <w:rPr>
          <w:rFonts w:eastAsiaTheme="minorEastAsia"/>
        </w:rPr>
      </w:pPr>
      <w:r w:rsidRPr="00BB1C90">
        <w:rPr>
          <w:rFonts w:ascii="Times New Roman" w:hAnsi="Times New Roman"/>
        </w:rPr>
        <w:t xml:space="preserve">1.3 I </w:t>
      </w:r>
      <w:r w:rsidRPr="00BB1C90">
        <w:rPr>
          <w:rFonts w:ascii="Times New Roman" w:hAnsi="Times New Roman"/>
        </w:rPr>
        <w:t>11.02 WYMOGI W ZAKRESIE FUNDUSZY WŁASNYCH – GRUPOWY TEST KAPITAŁOWY (I11.2)</w:t>
      </w:r>
      <w:r w:rsidRPr="00BB1C90">
        <w:tab/>
        <w:t>9</w:t>
      </w:r>
    </w:p>
    <w:p w14:paraId="4705D5CA" w14:textId="77777777" w:rsidR="00D413F5" w:rsidRPr="00BB1C90" w:rsidRDefault="00BB1C90">
      <w:pPr>
        <w:pStyle w:val="TOC2"/>
        <w:tabs>
          <w:tab w:val="left" w:pos="1100"/>
          <w:tab w:val="right" w:leader="dot" w:pos="9016"/>
        </w:tabs>
        <w:rPr>
          <w:rFonts w:eastAsiaTheme="minorEastAsia"/>
        </w:rPr>
      </w:pPr>
      <w:r w:rsidRPr="00BB1C90">
        <w:rPr>
          <w:rFonts w:ascii="Times New Roman" w:hAnsi="Times New Roman"/>
        </w:rPr>
        <w:t>1.3.1.</w:t>
      </w:r>
      <w:r w:rsidRPr="00BB1C90">
        <w:rPr>
          <w:rFonts w:eastAsiaTheme="minorEastAsia"/>
        </w:rPr>
        <w:tab/>
      </w:r>
      <w:r w:rsidRPr="00BB1C90">
        <w:rPr>
          <w:rFonts w:ascii="Times New Roman" w:hAnsi="Times New Roman"/>
          <w:u w:val="single"/>
        </w:rPr>
        <w:t>Instrukcje dotyczące poszczególnych pozycji</w:t>
      </w:r>
      <w:r w:rsidRPr="00BB1C90">
        <w:tab/>
        <w:t>9</w:t>
      </w:r>
    </w:p>
    <w:p w14:paraId="45E78697" w14:textId="77777777" w:rsidR="00D413F5" w:rsidRPr="00BB1C90" w:rsidRDefault="00BB1C90">
      <w:pPr>
        <w:pStyle w:val="TOC2"/>
        <w:tabs>
          <w:tab w:val="right" w:leader="dot" w:pos="9016"/>
        </w:tabs>
        <w:rPr>
          <w:rFonts w:eastAsiaTheme="minorEastAsia"/>
        </w:rPr>
      </w:pPr>
      <w:r w:rsidRPr="00BB1C90">
        <w:rPr>
          <w:rFonts w:ascii="Times New Roman" w:hAnsi="Times New Roman"/>
        </w:rPr>
        <w:t>1.4 IF 11.03 INFORMACJE O JEDNOSTKACH ZALEŻNYCH (IF11.3)</w:t>
      </w:r>
      <w:r w:rsidRPr="00BB1C90">
        <w:tab/>
        <w:t>10</w:t>
      </w:r>
    </w:p>
    <w:p w14:paraId="5E233162" w14:textId="77777777" w:rsidR="00D413F5" w:rsidRPr="00BB1C90" w:rsidRDefault="00BB1C90">
      <w:pPr>
        <w:pStyle w:val="TOC2"/>
        <w:tabs>
          <w:tab w:val="left" w:pos="1100"/>
          <w:tab w:val="right" w:leader="dot" w:pos="9016"/>
        </w:tabs>
        <w:rPr>
          <w:rFonts w:eastAsiaTheme="minorEastAsia"/>
        </w:rPr>
      </w:pPr>
      <w:r w:rsidRPr="00BB1C90">
        <w:rPr>
          <w:rFonts w:ascii="Times New Roman" w:hAnsi="Times New Roman"/>
        </w:rPr>
        <w:t>1.4.1.</w:t>
      </w:r>
      <w:r w:rsidRPr="00BB1C90">
        <w:rPr>
          <w:rFonts w:eastAsiaTheme="minorEastAsia"/>
        </w:rPr>
        <w:tab/>
      </w:r>
      <w:r w:rsidRPr="00BB1C90">
        <w:rPr>
          <w:rFonts w:ascii="Times New Roman" w:hAnsi="Times New Roman"/>
          <w:u w:val="single"/>
        </w:rPr>
        <w:t>Instrukcje dotyczące poszczególnych pozycji</w:t>
      </w:r>
      <w:r w:rsidRPr="00BB1C90">
        <w:tab/>
        <w:t>10</w:t>
      </w:r>
      <w:bookmarkStart w:id="6" w:name="_Toc360188322"/>
      <w:bookmarkStart w:id="7" w:name="_Toc473560870"/>
      <w:bookmarkStart w:id="8" w:name="_Toc7084155"/>
    </w:p>
    <w:p w14:paraId="072A7757" w14:textId="77777777" w:rsidR="00D413F5" w:rsidRPr="00BB1C90" w:rsidRDefault="00D413F5"/>
    <w:p w14:paraId="0330E5F4" w14:textId="77777777" w:rsidR="00D413F5" w:rsidRPr="00BB1C90" w:rsidRDefault="00D413F5"/>
    <w:p w14:paraId="05F26E9A" w14:textId="77777777" w:rsidR="00D413F5" w:rsidRPr="00BB1C90" w:rsidRDefault="00BB1C90">
      <w:pPr>
        <w:pStyle w:val="Heading2"/>
        <w:rPr>
          <w:rFonts w:ascii="Times New Roman" w:hAnsi="Times New Roman"/>
        </w:rPr>
      </w:pPr>
      <w:bookmarkStart w:id="9" w:name="_Toc88127791"/>
      <w:r w:rsidRPr="00BB1C90">
        <w:rPr>
          <w:rFonts w:ascii="Times New Roman" w:hAnsi="Times New Roman"/>
        </w:rPr>
        <w:t xml:space="preserve">CZĘŚĆ I: </w:t>
      </w:r>
      <w:r w:rsidRPr="00BB1C90">
        <w:rPr>
          <w:rFonts w:ascii="Times New Roman" w:hAnsi="Times New Roman"/>
        </w:rPr>
        <w:t>INSTRUKCJE OGÓLNE</w:t>
      </w:r>
      <w:bookmarkEnd w:id="9"/>
    </w:p>
    <w:p w14:paraId="4089BCD3" w14:textId="77777777" w:rsidR="00D413F5" w:rsidRPr="00BB1C90" w:rsidRDefault="00BB1C90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10" w:name="_Toc88127792"/>
      <w:r w:rsidRPr="00BB1C90">
        <w:rPr>
          <w:rFonts w:ascii="Times New Roman" w:hAnsi="Times New Roman"/>
          <w:sz w:val="24"/>
          <w:szCs w:val="24"/>
        </w:rPr>
        <w:t>1. Struktura i konwencje</w:t>
      </w:r>
      <w:bookmarkEnd w:id="10"/>
    </w:p>
    <w:p w14:paraId="7F1DC1EE" w14:textId="77777777" w:rsidR="00D413F5" w:rsidRPr="00BB1C90" w:rsidRDefault="00BB1C90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1" w:name="_Toc88127793"/>
      <w:r w:rsidRPr="00BB1C90">
        <w:rPr>
          <w:rFonts w:ascii="Times New Roman" w:hAnsi="Times New Roman"/>
          <w:sz w:val="24"/>
          <w:szCs w:val="24"/>
          <w:u w:val="single"/>
        </w:rPr>
        <w:t>1.1 Struktura</w:t>
      </w:r>
      <w:bookmarkEnd w:id="11"/>
    </w:p>
    <w:p w14:paraId="33A5CFD5" w14:textId="77777777" w:rsidR="00D413F5" w:rsidRPr="00BB1C90" w:rsidRDefault="00BB1C90">
      <w:pPr>
        <w:spacing w:line="256" w:lineRule="auto"/>
        <w:ind w:left="993" w:hanging="504"/>
        <w:jc w:val="both"/>
        <w:rPr>
          <w:rFonts w:ascii="Times New Roman" w:hAnsi="Times New Roman" w:cs="Times New Roman"/>
        </w:rPr>
      </w:pPr>
      <w:r w:rsidRPr="00BB1C90">
        <w:rPr>
          <w:rFonts w:ascii="Times New Roman" w:hAnsi="Times New Roman" w:cs="Times New Roman"/>
        </w:rPr>
        <w:t>1.</w:t>
      </w:r>
      <w:r w:rsidRPr="00BB1C90">
        <w:rPr>
          <w:rFonts w:ascii="Times New Roman" w:hAnsi="Times New Roman" w:cs="Times New Roman"/>
        </w:rPr>
        <w:tab/>
      </w:r>
      <w:r w:rsidRPr="00BB1C90">
        <w:rPr>
          <w:rFonts w:ascii="Times New Roman" w:hAnsi="Times New Roman"/>
        </w:rPr>
        <w:t>Zasadniczo sprawozdawczość w zakresie grupowego testu kapitałowego obejmuje 2 wzory:</w:t>
      </w:r>
    </w:p>
    <w:p w14:paraId="7B22E854" w14:textId="77777777" w:rsidR="00D413F5" w:rsidRPr="00BB1C90" w:rsidRDefault="00BB1C90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BB1C90">
        <w:rPr>
          <w:rFonts w:ascii="Times New Roman" w:hAnsi="Times New Roman" w:cs="Times New Roman"/>
        </w:rPr>
        <w:t>(a)</w:t>
      </w:r>
      <w:r w:rsidRPr="00BB1C90">
        <w:rPr>
          <w:rFonts w:ascii="Times New Roman" w:hAnsi="Times New Roman" w:cs="Times New Roman"/>
        </w:rPr>
        <w:tab/>
      </w:r>
      <w:r w:rsidRPr="00BB1C90">
        <w:rPr>
          <w:rFonts w:ascii="Times New Roman" w:hAnsi="Times New Roman"/>
        </w:rPr>
        <w:t>struktura funduszy własnych;</w:t>
      </w:r>
    </w:p>
    <w:p w14:paraId="0537E970" w14:textId="77777777" w:rsidR="00D413F5" w:rsidRPr="00BB1C90" w:rsidRDefault="00BB1C90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BB1C90">
        <w:rPr>
          <w:rFonts w:ascii="Times New Roman" w:hAnsi="Times New Roman" w:cs="Times New Roman"/>
        </w:rPr>
        <w:t>(b)</w:t>
      </w:r>
      <w:r w:rsidRPr="00BB1C90">
        <w:rPr>
          <w:rFonts w:ascii="Times New Roman" w:hAnsi="Times New Roman" w:cs="Times New Roman"/>
        </w:rPr>
        <w:tab/>
      </w:r>
      <w:r w:rsidRPr="00BB1C90">
        <w:rPr>
          <w:rFonts w:ascii="Times New Roman" w:hAnsi="Times New Roman"/>
        </w:rPr>
        <w:t>instrumenty funduszy własnych.</w:t>
      </w:r>
    </w:p>
    <w:p w14:paraId="4D03182C" w14:textId="77777777" w:rsidR="00D413F5" w:rsidRPr="00BB1C90" w:rsidRDefault="00BB1C90">
      <w:pPr>
        <w:pStyle w:val="InstructionsText2"/>
        <w:numPr>
          <w:ilvl w:val="0"/>
          <w:numId w:val="0"/>
        </w:numPr>
        <w:ind w:left="360" w:hanging="360"/>
      </w:pPr>
      <w:r w:rsidRPr="00BB1C90">
        <w:t>2.</w:t>
      </w:r>
      <w:r w:rsidRPr="00BB1C90">
        <w:tab/>
        <w:t>Dla każdego wzoru podano odniesienia pra</w:t>
      </w:r>
      <w:r w:rsidRPr="00BB1C90">
        <w:t>wne. Niniejsza część rozporządzenia zawiera dodatkowe szczegółowe informacje dotyczące bardziej ogólnych aspektów sprawozdawczości w ramach każdego zestawienia wzorów, instrukcje dotyczące poszczególnych pozycji, a także zasady walidacji.</w:t>
      </w:r>
    </w:p>
    <w:p w14:paraId="0AC32974" w14:textId="77777777" w:rsidR="00D413F5" w:rsidRPr="00BB1C90" w:rsidRDefault="00BB1C90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2" w:name="_Toc88127794"/>
      <w:r w:rsidRPr="00BB1C90">
        <w:rPr>
          <w:rFonts w:ascii="Times New Roman" w:hAnsi="Times New Roman"/>
          <w:sz w:val="24"/>
          <w:szCs w:val="24"/>
          <w:u w:val="single"/>
        </w:rPr>
        <w:lastRenderedPageBreak/>
        <w:t>1.2 Konwencja num</w:t>
      </w:r>
      <w:r w:rsidRPr="00BB1C90">
        <w:rPr>
          <w:rFonts w:ascii="Times New Roman" w:hAnsi="Times New Roman"/>
          <w:sz w:val="24"/>
          <w:szCs w:val="24"/>
          <w:u w:val="single"/>
        </w:rPr>
        <w:t>eracji</w:t>
      </w:r>
      <w:bookmarkEnd w:id="12"/>
    </w:p>
    <w:p w14:paraId="7C19F5F8" w14:textId="77777777" w:rsidR="00D413F5" w:rsidRPr="00BB1C90" w:rsidRDefault="00BB1C90">
      <w:pPr>
        <w:pStyle w:val="InstructionsText2"/>
        <w:numPr>
          <w:ilvl w:val="0"/>
          <w:numId w:val="0"/>
        </w:numPr>
        <w:ind w:left="360" w:hanging="360"/>
      </w:pPr>
      <w:r w:rsidRPr="00BB1C90">
        <w:t>3.</w:t>
      </w:r>
      <w:r w:rsidRPr="00BB1C90">
        <w:tab/>
        <w:t>W przypadku odwołań do kolumn, wierszy i pól przedmiotowych wzorów w dokumencie przestrzega się konwencji oznaczania przedstawionej w pkt 4–7. Przedmiotowe kody numeryczne znajdują szerokie zastosowanie w zasadach walidacji.</w:t>
      </w:r>
    </w:p>
    <w:p w14:paraId="0AFE1918" w14:textId="77777777" w:rsidR="00D413F5" w:rsidRPr="00BB1C90" w:rsidRDefault="00BB1C90">
      <w:pPr>
        <w:pStyle w:val="InstructionsText2"/>
        <w:numPr>
          <w:ilvl w:val="0"/>
          <w:numId w:val="0"/>
        </w:numPr>
        <w:ind w:left="360" w:hanging="360"/>
      </w:pPr>
      <w:r w:rsidRPr="00BB1C90">
        <w:t>4.</w:t>
      </w:r>
      <w:r w:rsidRPr="00BB1C90">
        <w:tab/>
        <w:t>W instrukcjach sto</w:t>
      </w:r>
      <w:r w:rsidRPr="00BB1C90">
        <w:t>sowany jest następujący ogólny zapis: {wzór; wiersz; kolumna}.</w:t>
      </w:r>
    </w:p>
    <w:p w14:paraId="511553B5" w14:textId="77777777" w:rsidR="00D413F5" w:rsidRPr="00BB1C90" w:rsidRDefault="00BB1C90">
      <w:pPr>
        <w:pStyle w:val="InstructionsText2"/>
        <w:numPr>
          <w:ilvl w:val="0"/>
          <w:numId w:val="0"/>
        </w:numPr>
        <w:ind w:left="360" w:hanging="360"/>
      </w:pPr>
      <w:r w:rsidRPr="00BB1C90">
        <w:t>5.</w:t>
      </w:r>
      <w:r w:rsidRPr="00BB1C90">
        <w:tab/>
        <w:t>W przypadku walidacji wewnątrz wzoru, w których stosuje się tylko punkty danych z tego wzoru, zapisy nie odnoszą się do wzoru: {wiersz; kolumna}.</w:t>
      </w:r>
    </w:p>
    <w:p w14:paraId="3A39241E" w14:textId="77777777" w:rsidR="00D413F5" w:rsidRPr="00BB1C90" w:rsidRDefault="00BB1C90">
      <w:pPr>
        <w:pStyle w:val="InstructionsText2"/>
        <w:numPr>
          <w:ilvl w:val="0"/>
          <w:numId w:val="0"/>
        </w:numPr>
        <w:ind w:left="360" w:hanging="360"/>
      </w:pPr>
      <w:r w:rsidRPr="00BB1C90">
        <w:t>6.</w:t>
      </w:r>
      <w:r w:rsidRPr="00BB1C90">
        <w:tab/>
        <w:t>W przypadku wzorów zawierających tylko je</w:t>
      </w:r>
      <w:r w:rsidRPr="00BB1C90">
        <w:t>dną kolumnę zapis odnosi się tylko do wierszy: {wzór; wiersz}.</w:t>
      </w:r>
    </w:p>
    <w:p w14:paraId="3D2B52D0" w14:textId="77777777" w:rsidR="00D413F5" w:rsidRPr="00BB1C90" w:rsidRDefault="00BB1C90">
      <w:pPr>
        <w:pStyle w:val="InstructionsText2"/>
        <w:numPr>
          <w:ilvl w:val="0"/>
          <w:numId w:val="0"/>
        </w:numPr>
        <w:ind w:left="360" w:hanging="360"/>
      </w:pPr>
      <w:r w:rsidRPr="00BB1C90">
        <w:t>7.</w:t>
      </w:r>
      <w:r w:rsidRPr="00BB1C90">
        <w:tab/>
        <w:t>Znak gwiazdki stosuje się w celu wyrażenia, że walidacja jest wykonywana dla określonych wcześniej wierszy lub kolumn.</w:t>
      </w:r>
    </w:p>
    <w:p w14:paraId="4214CD14" w14:textId="77777777" w:rsidR="00D413F5" w:rsidRPr="00BB1C90" w:rsidRDefault="00BB1C90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3" w:name="_Toc88127795"/>
      <w:r w:rsidRPr="00BB1C90">
        <w:rPr>
          <w:rFonts w:ascii="Times New Roman" w:hAnsi="Times New Roman"/>
          <w:sz w:val="24"/>
          <w:szCs w:val="24"/>
          <w:u w:val="single"/>
        </w:rPr>
        <w:t>1.3 Konwencja znaków</w:t>
      </w:r>
      <w:bookmarkEnd w:id="13"/>
    </w:p>
    <w:p w14:paraId="330C581A" w14:textId="77777777" w:rsidR="00D413F5" w:rsidRPr="00BB1C90" w:rsidRDefault="00BB1C90">
      <w:pPr>
        <w:pStyle w:val="InstructionsText2"/>
        <w:numPr>
          <w:ilvl w:val="0"/>
          <w:numId w:val="0"/>
        </w:numPr>
        <w:ind w:left="360" w:hanging="360"/>
      </w:pPr>
      <w:r w:rsidRPr="00BB1C90">
        <w:t>8.</w:t>
      </w:r>
      <w:r w:rsidRPr="00BB1C90">
        <w:tab/>
        <w:t xml:space="preserve">Każdą kwotę, która zwiększa fundusze </w:t>
      </w:r>
      <w:r w:rsidRPr="00BB1C90">
        <w:t>własne lub wymogi w zakresie funduszy własnych lub wymogi dotyczące płynności, zgłasza się jako wartość dodatnią. Z kolei każdą kwotę, która zmniejsza łączne fundusze własne lub wymogi w zakresie funduszy własnych, przedstawia się jako wartość ujemną. Jeże</w:t>
      </w:r>
      <w:r w:rsidRPr="00BB1C90">
        <w:t>li przed oznaczeniem pozycji znajduje się znak ujemny (-), dla tej pozycji nie oczekuje się zgłoszenia wartości dodatniej.</w:t>
      </w:r>
    </w:p>
    <w:p w14:paraId="7B9C9D22" w14:textId="77777777" w:rsidR="00D413F5" w:rsidRPr="00BB1C90" w:rsidRDefault="00BB1C90">
      <w:pPr>
        <w:pStyle w:val="Heading2"/>
        <w:rPr>
          <w:rFonts w:ascii="Times New Roman" w:hAnsi="Times New Roman"/>
        </w:rPr>
      </w:pPr>
      <w:bookmarkStart w:id="14" w:name="_Toc88127796"/>
      <w:r w:rsidRPr="00BB1C90">
        <w:rPr>
          <w:rFonts w:ascii="Times New Roman" w:hAnsi="Times New Roman"/>
        </w:rPr>
        <w:t>CZĘŚĆ II: INSTRUKCJE DOTYCZĄCE WZORÓW</w:t>
      </w:r>
      <w:bookmarkEnd w:id="6"/>
      <w:bookmarkEnd w:id="7"/>
      <w:bookmarkEnd w:id="8"/>
      <w:bookmarkEnd w:id="14"/>
    </w:p>
    <w:p w14:paraId="42450A54" w14:textId="77777777" w:rsidR="00D413F5" w:rsidRPr="00BB1C90" w:rsidRDefault="00BB1C90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15" w:name="_Toc88127797"/>
      <w:r w:rsidRPr="00BB1C90">
        <w:rPr>
          <w:rFonts w:ascii="Times New Roman" w:hAnsi="Times New Roman"/>
          <w:b/>
          <w:sz w:val="24"/>
          <w:u w:val="none"/>
        </w:rPr>
        <w:t>1. FUNDUSZE WŁASNE: POZIOM, STRUKTURA, WYMOGI I OBLICZENIA</w:t>
      </w:r>
      <w:bookmarkEnd w:id="15"/>
    </w:p>
    <w:p w14:paraId="6DA9FE6C" w14:textId="77777777" w:rsidR="00D413F5" w:rsidRPr="00BB1C90" w:rsidRDefault="00BB1C90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6" w:name="_Toc88127798"/>
      <w:r w:rsidRPr="00BB1C90">
        <w:rPr>
          <w:rFonts w:ascii="Times New Roman" w:hAnsi="Times New Roman"/>
          <w:sz w:val="24"/>
          <w:u w:val="none"/>
        </w:rPr>
        <w:t xml:space="preserve">1.1 </w:t>
      </w:r>
      <w:r w:rsidRPr="00BB1C90">
        <w:rPr>
          <w:rFonts w:ascii="Times New Roman" w:hAnsi="Times New Roman"/>
          <w:sz w:val="24"/>
        </w:rPr>
        <w:t>Uwagi ogólne</w:t>
      </w:r>
      <w:bookmarkEnd w:id="16"/>
    </w:p>
    <w:p w14:paraId="2D926122" w14:textId="77777777" w:rsidR="00D413F5" w:rsidRPr="00BB1C90" w:rsidRDefault="00BB1C90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BB1C90">
        <w:rPr>
          <w:rFonts w:ascii="Times New Roman" w:hAnsi="Times New Roman" w:cs="Times New Roman"/>
          <w:sz w:val="24"/>
        </w:rPr>
        <w:t>10.</w:t>
      </w:r>
      <w:r w:rsidRPr="00BB1C90">
        <w:rPr>
          <w:rFonts w:ascii="Times New Roman" w:hAnsi="Times New Roman" w:cs="Times New Roman"/>
          <w:sz w:val="24"/>
        </w:rPr>
        <w:tab/>
      </w:r>
      <w:r w:rsidRPr="00BB1C90">
        <w:rPr>
          <w:rFonts w:ascii="Times New Roman" w:hAnsi="Times New Roman"/>
          <w:sz w:val="24"/>
        </w:rPr>
        <w:t xml:space="preserve">Sekcja </w:t>
      </w:r>
      <w:r w:rsidRPr="00BB1C90">
        <w:rPr>
          <w:rFonts w:ascii="Times New Roman" w:hAnsi="Times New Roman"/>
          <w:sz w:val="24"/>
        </w:rPr>
        <w:t>obejmująca przegląd funduszy własnych zawiera informacje na temat funduszy własnych posiadanych przez firmę inwestycyjną oraz wymogów w zakresie funduszy własnych. Obejmuje ona trzy wzory:</w:t>
      </w:r>
    </w:p>
    <w:p w14:paraId="63A51E68" w14:textId="77777777" w:rsidR="00D413F5" w:rsidRPr="00BB1C90" w:rsidRDefault="00BB1C90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BB1C90">
        <w:rPr>
          <w:rFonts w:ascii="Times New Roman" w:hAnsi="Times New Roman" w:cs="Times New Roman"/>
          <w:sz w:val="24"/>
        </w:rPr>
        <w:t>(a)</w:t>
      </w:r>
      <w:r w:rsidRPr="00BB1C90">
        <w:rPr>
          <w:rFonts w:ascii="Times New Roman" w:hAnsi="Times New Roman" w:cs="Times New Roman"/>
          <w:sz w:val="24"/>
        </w:rPr>
        <w:tab/>
      </w:r>
      <w:r w:rsidRPr="00BB1C90">
        <w:rPr>
          <w:rFonts w:ascii="Times New Roman" w:hAnsi="Times New Roman"/>
          <w:sz w:val="24"/>
        </w:rPr>
        <w:t>wzór I 11.01 zawiera struktury funduszy własnych będących w pos</w:t>
      </w:r>
      <w:r w:rsidRPr="00BB1C90">
        <w:rPr>
          <w:rFonts w:ascii="Times New Roman" w:hAnsi="Times New Roman"/>
          <w:sz w:val="24"/>
        </w:rPr>
        <w:t>iadaniu firmy inwestycyjnej: kapitał podstawowy Tier I, kapitał dodatkowy Tier I oraz kapitał Tier II;</w:t>
      </w:r>
    </w:p>
    <w:p w14:paraId="508C5971" w14:textId="77777777" w:rsidR="00D413F5" w:rsidRPr="00BB1C90" w:rsidRDefault="00BB1C90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BB1C90">
        <w:rPr>
          <w:rFonts w:ascii="Times New Roman" w:hAnsi="Times New Roman" w:cs="Times New Roman"/>
          <w:sz w:val="24"/>
        </w:rPr>
        <w:t>(b)</w:t>
      </w:r>
      <w:r w:rsidRPr="00BB1C90">
        <w:rPr>
          <w:rFonts w:ascii="Times New Roman" w:hAnsi="Times New Roman" w:cs="Times New Roman"/>
          <w:sz w:val="24"/>
        </w:rPr>
        <w:tab/>
      </w:r>
      <w:r w:rsidRPr="00BB1C90">
        <w:rPr>
          <w:rFonts w:ascii="Times New Roman" w:hAnsi="Times New Roman"/>
          <w:sz w:val="24"/>
        </w:rPr>
        <w:t>wzór I 11.02 zawiera informacje na temat „wymogów w zakresie funduszy własnych” w kontekście grupowego testu kapitałowego, tj. wewnątrzgrupowych paki</w:t>
      </w:r>
      <w:r w:rsidRPr="00BB1C90">
        <w:rPr>
          <w:rFonts w:ascii="Times New Roman" w:hAnsi="Times New Roman"/>
          <w:sz w:val="24"/>
        </w:rPr>
        <w:t>etów akcji, zobowiązań warunkowych oraz łącznych wymogów w zakresie funduszy własnych jednostek zależnych;</w:t>
      </w:r>
    </w:p>
    <w:p w14:paraId="33501FD7" w14:textId="77777777" w:rsidR="00D413F5" w:rsidRPr="00BB1C90" w:rsidRDefault="00BB1C90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BB1C90">
        <w:rPr>
          <w:rFonts w:ascii="Times New Roman" w:hAnsi="Times New Roman" w:cs="Times New Roman"/>
          <w:sz w:val="24"/>
        </w:rPr>
        <w:t>(c)</w:t>
      </w:r>
      <w:r w:rsidRPr="00BB1C90">
        <w:rPr>
          <w:rFonts w:ascii="Times New Roman" w:hAnsi="Times New Roman" w:cs="Times New Roman"/>
          <w:sz w:val="24"/>
        </w:rPr>
        <w:tab/>
      </w:r>
      <w:r w:rsidRPr="00BB1C90">
        <w:rPr>
          <w:rFonts w:ascii="Times New Roman" w:hAnsi="Times New Roman"/>
          <w:sz w:val="24"/>
        </w:rPr>
        <w:t>wzór I 11.03 zawiera odpowiednie informacje o wymogach kapitałowych, zobowiązaniach warunkowych, należnościach podporządkowanych i pakietach akcj</w:t>
      </w:r>
      <w:r w:rsidRPr="00BB1C90">
        <w:rPr>
          <w:rFonts w:ascii="Times New Roman" w:hAnsi="Times New Roman"/>
          <w:sz w:val="24"/>
        </w:rPr>
        <w:t>i podmiotów sektora finansowego na poziomie jednostek zależnych, z podziałem na poszczególne podmioty.</w:t>
      </w:r>
    </w:p>
    <w:p w14:paraId="23E24224" w14:textId="77777777" w:rsidR="00D413F5" w:rsidRPr="00BB1C90" w:rsidRDefault="00BB1C90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BB1C90">
        <w:rPr>
          <w:rFonts w:ascii="Times New Roman" w:hAnsi="Times New Roman" w:cs="Times New Roman"/>
          <w:sz w:val="24"/>
        </w:rPr>
        <w:t>11.</w:t>
      </w:r>
      <w:r w:rsidRPr="00BB1C90">
        <w:rPr>
          <w:rFonts w:ascii="Times New Roman" w:hAnsi="Times New Roman" w:cs="Times New Roman"/>
          <w:sz w:val="24"/>
        </w:rPr>
        <w:tab/>
      </w:r>
      <w:r w:rsidRPr="00BB1C90">
        <w:rPr>
          <w:rFonts w:ascii="Times New Roman" w:hAnsi="Times New Roman"/>
          <w:sz w:val="24"/>
        </w:rPr>
        <w:t>Pozycje w tych wzorach podaje się w formie wartości przed odliczeniem korekt w okresie przejściowym. Oznacza to, że dane liczbowe (z wyjątkiem przypa</w:t>
      </w:r>
      <w:r w:rsidRPr="00BB1C90">
        <w:rPr>
          <w:rFonts w:ascii="Times New Roman" w:hAnsi="Times New Roman"/>
          <w:sz w:val="24"/>
        </w:rPr>
        <w:t xml:space="preserve">dków, w których wyraźnie określono przejściowy wymóg w zakresie funduszy własnych) są </w:t>
      </w:r>
      <w:r w:rsidRPr="00BB1C90">
        <w:rPr>
          <w:rFonts w:ascii="Times New Roman" w:hAnsi="Times New Roman"/>
          <w:sz w:val="24"/>
        </w:rPr>
        <w:lastRenderedPageBreak/>
        <w:t>obliczane zgodnie z przepisami końcowymi (tzn. tak, jakby nie było przepisów przejściowych).</w:t>
      </w:r>
    </w:p>
    <w:p w14:paraId="3A101A0C" w14:textId="77777777" w:rsidR="00D413F5" w:rsidRPr="00BB1C90" w:rsidRDefault="00BB1C90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7" w:name="_Toc88127799"/>
      <w:r w:rsidRPr="00BB1C90">
        <w:rPr>
          <w:rFonts w:ascii="Times New Roman" w:hAnsi="Times New Roman"/>
          <w:sz w:val="24"/>
        </w:rPr>
        <w:t>1.2. I 11.01 – STRUKTURA FUNDUSZY WŁASNYCH – GRUPOWY TEST KAPITAŁOWY (I11.1)</w:t>
      </w:r>
      <w:bookmarkEnd w:id="17"/>
    </w:p>
    <w:p w14:paraId="16C41654" w14:textId="77777777" w:rsidR="00D413F5" w:rsidRPr="00BB1C90" w:rsidRDefault="00BB1C90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8" w:name="_Toc88127800"/>
      <w:r w:rsidRPr="00BB1C90">
        <w:rPr>
          <w:rFonts w:ascii="Times New Roman" w:hAnsi="Times New Roman"/>
          <w:sz w:val="24"/>
          <w:u w:val="none"/>
        </w:rPr>
        <w:t>1.2.1.</w:t>
      </w:r>
      <w:r w:rsidRPr="00BB1C90">
        <w:tab/>
      </w:r>
      <w:r w:rsidRPr="00BB1C90">
        <w:rPr>
          <w:rFonts w:ascii="Times New Roman" w:hAnsi="Times New Roman"/>
          <w:sz w:val="24"/>
        </w:rPr>
        <w:t>Instrukcje dotyczące poszczególnych pozycji</w:t>
      </w:r>
      <w:bookmarkEnd w:id="18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413F5" w:rsidRPr="00BB1C90" w14:paraId="7E7EB786" w14:textId="77777777">
        <w:tc>
          <w:tcPr>
            <w:tcW w:w="1129" w:type="dxa"/>
            <w:shd w:val="clear" w:color="auto" w:fill="D9D9D9"/>
          </w:tcPr>
          <w:p w14:paraId="7B99516E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</w:rPr>
              <w:t>Wiersz</w:t>
            </w:r>
          </w:p>
        </w:tc>
        <w:tc>
          <w:tcPr>
            <w:tcW w:w="7620" w:type="dxa"/>
            <w:shd w:val="clear" w:color="auto" w:fill="D9D9D9"/>
          </w:tcPr>
          <w:p w14:paraId="43D5DCA6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</w:rPr>
              <w:t>Odniesienia prawne i instrukcje</w:t>
            </w:r>
          </w:p>
        </w:tc>
      </w:tr>
      <w:tr w:rsidR="00D413F5" w:rsidRPr="00BB1C90" w14:paraId="700A33F5" w14:textId="77777777">
        <w:tc>
          <w:tcPr>
            <w:tcW w:w="1129" w:type="dxa"/>
          </w:tcPr>
          <w:p w14:paraId="5E538D1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465947B5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FUNDUSZE WŁASNE</w:t>
            </w:r>
          </w:p>
          <w:p w14:paraId="6A20D11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rozporządzenia (UE) 2019/2033.</w:t>
            </w:r>
          </w:p>
          <w:p w14:paraId="0802D74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Fundusze własne danej firmy inwestycyjnej stanowią sumę jej kapitału Tier I i kapitału Tier II.</w:t>
            </w:r>
          </w:p>
        </w:tc>
      </w:tr>
      <w:tr w:rsidR="00D413F5" w:rsidRPr="00BB1C90" w14:paraId="24897EC7" w14:textId="77777777">
        <w:tc>
          <w:tcPr>
            <w:tcW w:w="1129" w:type="dxa"/>
          </w:tcPr>
          <w:p w14:paraId="5278246E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661A757D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KAPITAŁ TIER I</w:t>
            </w:r>
          </w:p>
          <w:p w14:paraId="201A1AF9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Kapitał Tier I stanowi sumę kapitału podstawowego Tier I i kapitału dodatkowego Tier I.</w:t>
            </w:r>
          </w:p>
        </w:tc>
      </w:tr>
      <w:tr w:rsidR="00D413F5" w:rsidRPr="00BB1C90" w14:paraId="59D43DF7" w14:textId="77777777">
        <w:tc>
          <w:tcPr>
            <w:tcW w:w="1129" w:type="dxa"/>
          </w:tcPr>
          <w:p w14:paraId="49D1543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7E99679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Style w:val="InstructionsTabelleberschrift"/>
                <w:rFonts w:ascii="Times New Roman" w:hAnsi="Times New Roman"/>
                <w:sz w:val="22"/>
              </w:rPr>
              <w:t>KAPITAŁ PODSTAWOWY TIER I</w:t>
            </w:r>
          </w:p>
          <w:p w14:paraId="5E29393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rozporządzenia (UE) 2019/2033.</w:t>
            </w:r>
          </w:p>
          <w:p w14:paraId="6E840582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Art. 50 rozporządzenia (UE) nr 575/2013.</w:t>
            </w:r>
          </w:p>
        </w:tc>
      </w:tr>
      <w:tr w:rsidR="00D413F5" w:rsidRPr="00BB1C90" w14:paraId="17A62A5D" w14:textId="77777777">
        <w:tc>
          <w:tcPr>
            <w:tcW w:w="1129" w:type="dxa"/>
          </w:tcPr>
          <w:p w14:paraId="3E5A22BE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22F3B016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 xml:space="preserve">W pełni opłacone 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instrumenty kapitałowe</w:t>
            </w:r>
          </w:p>
          <w:p w14:paraId="79B70665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7D7D38B0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26 ust. 1 lit. a) i art. 27–31 rozporządzenia (UE) nr 575/2013.</w:t>
            </w:r>
          </w:p>
          <w:p w14:paraId="47F4BCA3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Uwzględniane są instrumenty kapitałowe towarzystw ubezpieczeń wzajemnych, spółdzielni lub podobnych instytucji </w:t>
            </w: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(art. 27 i 29 rozporządzenia (UE) nr 575/2013).</w:t>
            </w:r>
          </w:p>
          <w:p w14:paraId="12F58712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Nie uwzględnia się ażio emisyjnego związanego z instrumentami.</w:t>
            </w:r>
          </w:p>
          <w:p w14:paraId="704B6673" w14:textId="77777777" w:rsidR="00D413F5" w:rsidRPr="00BB1C90" w:rsidRDefault="00BB1C90">
            <w:pPr>
              <w:pStyle w:val="InstructionsText"/>
              <w:rPr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Instrumenty kapitałowe subskrybowane przez organy publiczne w sytuacjach nadzwyczajnych są uwzględniane, jeżeli spełnione zostały wszystkie warun</w:t>
            </w: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ki określone w art. 31 rozporządzenia (UE) nr 575/2013.</w:t>
            </w:r>
          </w:p>
        </w:tc>
      </w:tr>
      <w:tr w:rsidR="00D413F5" w:rsidRPr="00BB1C90" w14:paraId="7CB920B1" w14:textId="77777777">
        <w:tc>
          <w:tcPr>
            <w:tcW w:w="1129" w:type="dxa"/>
          </w:tcPr>
          <w:p w14:paraId="5CB3EA8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7D3843F5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Ażio emisyjne</w:t>
            </w:r>
          </w:p>
          <w:p w14:paraId="7293F9D3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31E3FC2E" w14:textId="77777777" w:rsidR="00D413F5" w:rsidRPr="00BB1C90" w:rsidRDefault="00BB1C90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Art. 26 ust. 1 lit. b) rozporządzenia (UE) nr 575/2013.</w:t>
            </w:r>
          </w:p>
          <w:p w14:paraId="124E332D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Ażio emisyjne ma takie samo znaczenie jak w mających zastosowanie stand</w:t>
            </w: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ardach rachunkowości.</w:t>
            </w:r>
          </w:p>
          <w:p w14:paraId="5D0DFD3E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Kwota, którą należy zgłosić w tej pozycji, stanowi część związaną z pozycją „Opłacone instrumenty kapitałowe”.</w:t>
            </w:r>
          </w:p>
        </w:tc>
      </w:tr>
      <w:tr w:rsidR="00D413F5" w:rsidRPr="00BB1C90" w14:paraId="698A3F31" w14:textId="77777777">
        <w:tc>
          <w:tcPr>
            <w:tcW w:w="1129" w:type="dxa"/>
          </w:tcPr>
          <w:p w14:paraId="6528191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4E576BA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Zyski zatrzymane</w:t>
            </w:r>
          </w:p>
          <w:p w14:paraId="0ACAFAB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lit. i)</w:t>
            </w: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 xml:space="preserve"> </w:t>
            </w:r>
            <w:r w:rsidRPr="00BB1C90">
              <w:rPr>
                <w:rFonts w:ascii="Times New Roman" w:hAnsi="Times New Roman"/>
                <w:bCs/>
              </w:rPr>
              <w:t>rozporządzenia (UE) 2019/2033.</w:t>
            </w:r>
          </w:p>
          <w:p w14:paraId="2801AFD4" w14:textId="77777777" w:rsidR="00D413F5" w:rsidRPr="00BB1C90" w:rsidRDefault="00BB1C90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 xml:space="preserve">Art. 26 ust. 1 lit. c) </w:t>
            </w: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rozporządzenia (UE) nr 575/2013.</w:t>
            </w:r>
          </w:p>
          <w:p w14:paraId="63C30DF6" w14:textId="77777777" w:rsidR="00D413F5" w:rsidRPr="00BB1C90" w:rsidRDefault="00BB1C90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Zyski zatrzymane obejmują zyski zatrzymane z poprzednich lat powiększone o uznane zyski z bieżącego okresu lub zyski roczne.</w:t>
            </w:r>
          </w:p>
          <w:p w14:paraId="4CFB8E2D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>Należy podać sumę wierszy 0070 i 0080.</w:t>
            </w:r>
          </w:p>
        </w:tc>
      </w:tr>
      <w:tr w:rsidR="00D413F5" w:rsidRPr="00BB1C90" w14:paraId="53814B34" w14:textId="77777777">
        <w:tc>
          <w:tcPr>
            <w:tcW w:w="1129" w:type="dxa"/>
          </w:tcPr>
          <w:p w14:paraId="77A73BC0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65AC25BD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Zyski zatrzymane w poprzednich latach</w:t>
            </w:r>
          </w:p>
          <w:p w14:paraId="1830C092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4 ust. 1 p</w:t>
            </w:r>
            <w:r w:rsidRPr="00BB1C90">
              <w:rPr>
                <w:rFonts w:ascii="Times New Roman" w:hAnsi="Times New Roman"/>
                <w:bCs/>
              </w:rPr>
              <w:t>kt 123 i art. 26 ust. 1 lit. c) rozporządzenia (UE) nr 575/2013.</w:t>
            </w:r>
          </w:p>
          <w:p w14:paraId="21584CA6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lastRenderedPageBreak/>
              <w:t>W art. 4 ust. 1 pkt 123 rozporządzenia (UE) nr 575/2013 zyski zatrzymane zdefiniowano jako „zyski i straty wynikające z ostatecznego zastosowania wyniku finansowego zgodnie z mającymi zastoso</w:t>
            </w:r>
            <w:r w:rsidRPr="00BB1C90">
              <w:rPr>
                <w:rFonts w:ascii="Times New Roman" w:hAnsi="Times New Roman"/>
                <w:bCs/>
              </w:rPr>
              <w:t>wanie standardami rachunkowości”.</w:t>
            </w:r>
          </w:p>
        </w:tc>
      </w:tr>
      <w:tr w:rsidR="00D413F5" w:rsidRPr="00BB1C90" w14:paraId="4F3578A9" w14:textId="77777777">
        <w:tc>
          <w:tcPr>
            <w:tcW w:w="1129" w:type="dxa"/>
          </w:tcPr>
          <w:p w14:paraId="222EEDF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lastRenderedPageBreak/>
              <w:t>0080</w:t>
            </w:r>
          </w:p>
        </w:tc>
        <w:tc>
          <w:tcPr>
            <w:tcW w:w="7620" w:type="dxa"/>
          </w:tcPr>
          <w:p w14:paraId="7D6D1CE2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Uznany zysk</w:t>
            </w:r>
          </w:p>
          <w:p w14:paraId="5DFA14B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B1C90">
              <w:rPr>
                <w:rFonts w:ascii="Times New Roman" w:hAnsi="Times New Roman"/>
              </w:rPr>
              <w:t>Art. 4 ust. 1 pkt 121, art. 26 ust. 2 i art. 36 ust. 1 lit. a) rozporządzenia (UE) nr 575/2013.</w:t>
            </w:r>
          </w:p>
          <w:p w14:paraId="5DF9B22E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</w:rPr>
              <w:t xml:space="preserve">Art. 26 ust. 2 rozporządzenia (UE) nr 575/2013 pozwala – pod warunkiem otrzymania wcześniejszej zgody właściwego organu – na włączenie do zysków zatrzymanych zysków z bieżącego okresu lub zysków rocznych, jeśli spełnione są pewne warunki. </w:t>
            </w:r>
          </w:p>
        </w:tc>
      </w:tr>
      <w:tr w:rsidR="00D413F5" w:rsidRPr="00BB1C90" w14:paraId="154D7C6D" w14:textId="77777777">
        <w:tc>
          <w:tcPr>
            <w:tcW w:w="1129" w:type="dxa"/>
          </w:tcPr>
          <w:p w14:paraId="5162BF1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5449AB13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Skumulowan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e inne całkowite dochody</w:t>
            </w:r>
          </w:p>
          <w:p w14:paraId="2934C9F3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69344525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Art. 26 ust. 1 lit. d) rozporządzenia (UE) nr 575/2013.</w:t>
            </w:r>
          </w:p>
        </w:tc>
      </w:tr>
      <w:tr w:rsidR="00D413F5" w:rsidRPr="00BB1C90" w14:paraId="708BA1F1" w14:textId="77777777">
        <w:tc>
          <w:tcPr>
            <w:tcW w:w="1129" w:type="dxa"/>
          </w:tcPr>
          <w:p w14:paraId="58AB2F39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3A3F7E7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Kapitał rezerwowy</w:t>
            </w:r>
          </w:p>
          <w:p w14:paraId="30E27BA2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7BADD3BC" w14:textId="77777777" w:rsidR="00D413F5" w:rsidRPr="00BB1C90" w:rsidRDefault="00BB1C90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 xml:space="preserve">Art. 4 ust. 1 pkt 117 i art. 26 ust. 1 </w:t>
            </w: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lit. e) rozporządzenia (UE) nr 575/2013.</w:t>
            </w:r>
          </w:p>
          <w:p w14:paraId="56A0C3FD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Kwota, którą należy zgłosić, jest kwotą po odliczeniu wszelkich obciążeń podatkowych dających się przewidzieć w chwili wyliczania tej kwoty.</w:t>
            </w:r>
          </w:p>
        </w:tc>
      </w:tr>
      <w:tr w:rsidR="00D413F5" w:rsidRPr="00BB1C90" w14:paraId="2FB0F02E" w14:textId="77777777">
        <w:tc>
          <w:tcPr>
            <w:tcW w:w="1129" w:type="dxa"/>
          </w:tcPr>
          <w:p w14:paraId="37D07D02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5458834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Korekty w kapitale podstawowym Tier I z tytułu filtrów ostrożnościow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ych</w:t>
            </w:r>
          </w:p>
          <w:p w14:paraId="62B1148E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3E6E7CA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Art. 32–35 rozporządzenia (UE) nr 575/2013.</w:t>
            </w:r>
          </w:p>
        </w:tc>
      </w:tr>
      <w:tr w:rsidR="00D413F5" w:rsidRPr="00BB1C90" w14:paraId="04F6EBEB" w14:textId="77777777">
        <w:tc>
          <w:tcPr>
            <w:tcW w:w="1129" w:type="dxa"/>
          </w:tcPr>
          <w:p w14:paraId="31FAE290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00D27D9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Inne fundusze</w:t>
            </w:r>
          </w:p>
          <w:p w14:paraId="2628C414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>Art. 9 ust. 4 rozporządzenia (UE) 2019/2033.</w:t>
            </w:r>
          </w:p>
        </w:tc>
      </w:tr>
      <w:tr w:rsidR="00D413F5" w:rsidRPr="00BB1C90" w14:paraId="578846A0" w14:textId="77777777">
        <w:tc>
          <w:tcPr>
            <w:tcW w:w="1129" w:type="dxa"/>
          </w:tcPr>
          <w:p w14:paraId="0FC53B4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0145</w:t>
            </w:r>
          </w:p>
        </w:tc>
        <w:tc>
          <w:tcPr>
            <w:tcW w:w="7620" w:type="dxa"/>
          </w:tcPr>
          <w:p w14:paraId="1C7FC4A9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(-) CAŁKOWITE ODLICZENIA OD KAPITAŁU PODSTAWOWEGO TIER I</w:t>
            </w:r>
          </w:p>
          <w:p w14:paraId="6CA84984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 xml:space="preserve">Art. 8 ust. 2 </w:t>
            </w:r>
            <w:r w:rsidRPr="00BB1C90">
              <w:rPr>
                <w:rFonts w:ascii="Times New Roman" w:hAnsi="Times New Roman"/>
                <w:bCs/>
              </w:rPr>
              <w:t>lit. a) rozporządzenia (UE) 2019/2033, art. 36 ust. 1 rozporządzenia (UE) nr 575/2013 z wyjątkiem lit. i) tego ustępu.</w:t>
            </w:r>
          </w:p>
          <w:p w14:paraId="0F19456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Należy podać sumę wierszy 0150 i 0190–0280.</w:t>
            </w:r>
          </w:p>
        </w:tc>
      </w:tr>
      <w:tr w:rsidR="00D413F5" w:rsidRPr="00BB1C90" w14:paraId="0413B7A5" w14:textId="77777777">
        <w:tc>
          <w:tcPr>
            <w:tcW w:w="1129" w:type="dxa"/>
          </w:tcPr>
          <w:p w14:paraId="220A4989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  <w:shd w:val="clear" w:color="auto" w:fill="auto"/>
          </w:tcPr>
          <w:p w14:paraId="7FB3C556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(-) Instrumenty własne w kapitale podstawowym Tier I</w:t>
            </w:r>
          </w:p>
          <w:p w14:paraId="2EA679C4" w14:textId="77777777" w:rsidR="00D413F5" w:rsidRPr="00BB1C90" w:rsidRDefault="00BB1C90">
            <w:pPr>
              <w:rPr>
                <w:rFonts w:cs="Times New Roman"/>
              </w:rPr>
            </w:pPr>
            <w:r w:rsidRPr="00BB1C90">
              <w:rPr>
                <w:rFonts w:ascii="Times New Roman" w:hAnsi="Times New Roman"/>
                <w:bCs/>
              </w:rPr>
              <w:t>Art. 9 ust. 1 lit. i) rozporządzen</w:t>
            </w:r>
            <w:r w:rsidRPr="00BB1C90">
              <w:rPr>
                <w:rFonts w:ascii="Times New Roman" w:hAnsi="Times New Roman"/>
                <w:bCs/>
              </w:rPr>
              <w:t>ia (UE) 2019/2033.</w:t>
            </w:r>
          </w:p>
          <w:p w14:paraId="439A220E" w14:textId="77777777" w:rsidR="00D413F5" w:rsidRPr="00BB1C90" w:rsidRDefault="00BB1C90">
            <w:pPr>
              <w:rPr>
                <w:rStyle w:val="FormatvorlageInstructionsTabelleText"/>
                <w:rFonts w:ascii="Times New Roman" w:hAnsi="Times New Roman"/>
                <w:bCs w:val="0"/>
                <w:sz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Art. 36 ust. 1 lit. f) i art. 42 rozporządzenia (UE) nr 575/2013.</w:t>
            </w:r>
          </w:p>
          <w:p w14:paraId="0B19425D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Instrumenty własne w kapitale podstawowym Tier I będące w posiadaniu instytucji lub grupy sprawozdającej na sprawozdawczy dzień odniesienia. Z zastrzeżeniem </w:t>
            </w: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wyjątków określonych w art. 42 rozporządzenia (UE) nr 575/2013.</w:t>
            </w:r>
          </w:p>
          <w:p w14:paraId="6313A401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W tym wierszu nie zgłasza się udziałów kapitałowych zaliczanych do „Nieuznanych instrumentów kapitałowych”.</w:t>
            </w:r>
          </w:p>
          <w:p w14:paraId="03879960" w14:textId="77777777" w:rsidR="00D413F5" w:rsidRPr="00BB1C90" w:rsidRDefault="00BB1C90">
            <w:pPr>
              <w:pStyle w:val="InstructionsText"/>
              <w:rPr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Kwota, którą należy zgłosić, obejmuje ażio emisyjne związane z własnymi udziałami.</w:t>
            </w:r>
          </w:p>
        </w:tc>
      </w:tr>
      <w:tr w:rsidR="00D413F5" w:rsidRPr="00BB1C90" w14:paraId="259E61B1" w14:textId="77777777">
        <w:tc>
          <w:tcPr>
            <w:tcW w:w="1129" w:type="dxa"/>
          </w:tcPr>
          <w:p w14:paraId="0378D829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95E9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(-) Straty za bieżący rok obrachunkowy</w:t>
            </w:r>
          </w:p>
          <w:p w14:paraId="587F459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</w:rPr>
              <w:t>Art. 36 ust. 1 lit. a) rozporządzenia (UE) nr 575/2013.</w:t>
            </w:r>
          </w:p>
        </w:tc>
      </w:tr>
      <w:tr w:rsidR="00D413F5" w:rsidRPr="00BB1C90" w14:paraId="3CA36DAA" w14:textId="77777777">
        <w:tc>
          <w:tcPr>
            <w:tcW w:w="1129" w:type="dxa"/>
          </w:tcPr>
          <w:p w14:paraId="48168BF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4FD5E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(-) Wartość firmy</w:t>
            </w:r>
          </w:p>
          <w:p w14:paraId="6E78C92D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lastRenderedPageBreak/>
              <w:t>Art. 9 ust. 1 lit. i) rozporządzenia (UE) 2019/2033.</w:t>
            </w:r>
          </w:p>
          <w:p w14:paraId="2ACAAED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 xml:space="preserve">Art. 4 ust. 1 pkt 113, art. 36 ust. 1 lit. b) i art. 37 </w:t>
            </w: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rozporządzenia (UE) nr 575/2013.</w:t>
            </w:r>
          </w:p>
        </w:tc>
      </w:tr>
      <w:tr w:rsidR="00D413F5" w:rsidRPr="00BB1C90" w14:paraId="589BEC38" w14:textId="77777777">
        <w:tc>
          <w:tcPr>
            <w:tcW w:w="1129" w:type="dxa"/>
          </w:tcPr>
          <w:p w14:paraId="64B2E5A0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lastRenderedPageBreak/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0274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(-) Inne wartości niematerialne i prawne</w:t>
            </w:r>
          </w:p>
          <w:p w14:paraId="728FCE2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11E53FBC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4 ust. 1 pkt 115, art. 36 ust. 1 lit. b) i art. 37 lit. a) rozporządzenia (UE) nr 575/2013.</w:t>
            </w:r>
          </w:p>
          <w:p w14:paraId="22CAC95E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Inne wartości niematerialn</w:t>
            </w: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e i prawne to wartości niematerialne i prawne zgodnie z mającym zastosowanie standardem rachunkowości, pomniejszone o wartość firmy, również zgodnie z mającym zastosowanie standardem rachunkowości.</w:t>
            </w:r>
          </w:p>
        </w:tc>
      </w:tr>
      <w:tr w:rsidR="00D413F5" w:rsidRPr="00BB1C90" w14:paraId="17E0FB2D" w14:textId="77777777">
        <w:tc>
          <w:tcPr>
            <w:tcW w:w="1129" w:type="dxa"/>
          </w:tcPr>
          <w:p w14:paraId="70C20EB6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B4B4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 xml:space="preserve">(-) Aktywa z tytułu odroczonego podatku dochodowego 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oparte na przyszłej rentowności i niewynikające z różnic przejściowych po odliczeniu powiązanych rezerw z tytułu podatku dochodowego</w:t>
            </w:r>
          </w:p>
          <w:p w14:paraId="2F4504D2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2 lit. a) rozporządzenia (UE) 2019/2033.</w:t>
            </w:r>
          </w:p>
          <w:p w14:paraId="05D6AE14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>Art. 36 ust. 1 lit. c) rozporządzenia (UE) nr 575/2013.</w:t>
            </w:r>
          </w:p>
        </w:tc>
      </w:tr>
      <w:tr w:rsidR="00D413F5" w:rsidRPr="00BB1C90" w14:paraId="41E5B8BD" w14:textId="77777777">
        <w:tc>
          <w:tcPr>
            <w:tcW w:w="1129" w:type="dxa"/>
          </w:tcPr>
          <w:p w14:paraId="2D10B2E2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B512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 xml:space="preserve">(-) 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Znaczny pakiet akcji spoza sektora finansowego, który przekracza 15 % funduszy własnych</w:t>
            </w:r>
          </w:p>
          <w:p w14:paraId="6B554930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10 ust. 1 lit. a) rozporządzenia (UE) 2019/2033.</w:t>
            </w:r>
          </w:p>
        </w:tc>
      </w:tr>
      <w:tr w:rsidR="00D413F5" w:rsidRPr="00BB1C90" w14:paraId="1CBE4520" w14:textId="77777777">
        <w:tc>
          <w:tcPr>
            <w:tcW w:w="1129" w:type="dxa"/>
          </w:tcPr>
          <w:p w14:paraId="24ECFFB5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7C73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 xml:space="preserve">(-) Łączna wartość znacznych pakietów akcji w przedsiębiorstwach innych niż podmioty sektora 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finansowego, która przekracza 60 % funduszy własnych</w:t>
            </w:r>
          </w:p>
          <w:p w14:paraId="1A251C60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>Art. 10 ust. 1 lit. b) rozporządzenia (UE) 2019/2033.</w:t>
            </w:r>
          </w:p>
        </w:tc>
      </w:tr>
      <w:tr w:rsidR="00D413F5" w:rsidRPr="00BB1C90" w14:paraId="0B1268C1" w14:textId="77777777">
        <w:tc>
          <w:tcPr>
            <w:tcW w:w="1129" w:type="dxa"/>
          </w:tcPr>
          <w:p w14:paraId="4A6EA395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6657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 xml:space="preserve">(-) Instrumenty w kapitale podstawowym Tier I podmiotów sektora finansowego, jeżeli jednostka dominująca nie dokonała znacznej inwestycji w te 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podmioty</w:t>
            </w:r>
          </w:p>
          <w:p w14:paraId="6BF06ED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2 lit. c) rozporządzenia (UE) 2019/2033.</w:t>
            </w:r>
          </w:p>
          <w:p w14:paraId="01D9D0D5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36 ust. 1 lit. h) rozporządzenia (UE) nr 575/2013.</w:t>
            </w:r>
          </w:p>
          <w:p w14:paraId="1C2D25DE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 xml:space="preserve">Unijna jednostka dominująca w tym wierszu oznacza unijne dominujące firmy inwestycyjne, unijne dominujące inwestycyjne spółki holdingowe, </w:t>
            </w:r>
            <w:r w:rsidRPr="00BB1C90">
              <w:rPr>
                <w:rFonts w:ascii="Times New Roman" w:hAnsi="Times New Roman"/>
                <w:bCs/>
              </w:rPr>
              <w:t>unijne dominujące finansowe spółki holdingowe o działalności mieszanej lub każdą inną jednostkę dominującą będącą firmą inwestycyjną, instytucją finansową, przedsiębiorstwem usług pomocniczych lub agentem.</w:t>
            </w:r>
          </w:p>
        </w:tc>
      </w:tr>
      <w:tr w:rsidR="00D413F5" w:rsidRPr="00BB1C90" w14:paraId="3F3DBF61" w14:textId="77777777">
        <w:tc>
          <w:tcPr>
            <w:tcW w:w="1129" w:type="dxa"/>
          </w:tcPr>
          <w:p w14:paraId="5C4979F2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81DD9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 xml:space="preserve">(-) Aktywa funduszu emerytalnego ze 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zdefiniowanymi świadczeniami</w:t>
            </w:r>
          </w:p>
          <w:p w14:paraId="42FDB4A5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2 lit. b) rozporządzenia (UE) 2019/2033.</w:t>
            </w:r>
          </w:p>
          <w:p w14:paraId="1A07FB3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>Art. 36 ust. 1 lit. e) rozporządzenia (UE) nr 575/2013.</w:t>
            </w:r>
          </w:p>
        </w:tc>
      </w:tr>
      <w:tr w:rsidR="00D413F5" w:rsidRPr="00BB1C90" w14:paraId="05033EDC" w14:textId="77777777">
        <w:tc>
          <w:tcPr>
            <w:tcW w:w="1129" w:type="dxa"/>
          </w:tcPr>
          <w:p w14:paraId="3EE3C7E0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7BBD5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(-) Inne odliczenia</w:t>
            </w:r>
          </w:p>
          <w:p w14:paraId="636DC3F3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</w:rPr>
              <w:t>Suma wszystkich innych odliczeń na podstawie art. 36 ust. 1 rozporządzenia (UE) nr 575/2013,</w:t>
            </w:r>
            <w:r w:rsidRPr="00BB1C90">
              <w:rPr>
                <w:rFonts w:ascii="Times New Roman" w:hAnsi="Times New Roman"/>
              </w:rPr>
              <w:t xml:space="preserve"> z wyjątkiem odliczeń na podstawie art. 36 ust. 1 lit. i) rozporządzenia (UE) nr 575/2013, których nie uwzględniono w żadnym z wierszy 0150–0270 powyżej.</w:t>
            </w:r>
          </w:p>
        </w:tc>
      </w:tr>
      <w:tr w:rsidR="00D413F5" w:rsidRPr="00BB1C90" w14:paraId="28664FDC" w14:textId="77777777">
        <w:tc>
          <w:tcPr>
            <w:tcW w:w="1129" w:type="dxa"/>
          </w:tcPr>
          <w:p w14:paraId="688F41E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0295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F4B46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Kapitał podstawowy Tier I: Inne elementy kapitału, odliczenia i korekty</w:t>
            </w:r>
          </w:p>
          <w:p w14:paraId="4357A3E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Wiersz ten obejmuje sumę</w:t>
            </w:r>
            <w:r w:rsidRPr="00BB1C90">
              <w:rPr>
                <w:rFonts w:ascii="Times New Roman" w:hAnsi="Times New Roman"/>
                <w:bCs/>
              </w:rPr>
              <w:t xml:space="preserve"> następujących pozycji, w stosownych przypadkach:</w:t>
            </w:r>
          </w:p>
          <w:p w14:paraId="1437CF34" w14:textId="77777777" w:rsidR="00D413F5" w:rsidRPr="00BB1C90" w:rsidRDefault="00BB1C9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BB1C90">
              <w:rPr>
                <w:rFonts w:ascii="Times New Roman" w:eastAsia="Times New Roman" w:hAnsi="Times New Roman" w:cs="Times New Roman"/>
                <w:bCs/>
              </w:rPr>
              <w:tab/>
            </w:r>
            <w:r w:rsidRPr="00BB1C90">
              <w:rPr>
                <w:rFonts w:ascii="Times New Roman" w:hAnsi="Times New Roman"/>
                <w:bCs/>
              </w:rPr>
              <w:t xml:space="preserve">korekty w okresie przejściowym z tytułu instrumentów w kapitale podstawowym Tier I podlegających zasadzie praw nabytych (art. 483 ust. 1, 2 i 3 oraz art. 484–487 rozporządzenia (UE) nr </w:t>
            </w:r>
            <w:r w:rsidRPr="00BB1C90">
              <w:rPr>
                <w:rFonts w:ascii="Times New Roman" w:hAnsi="Times New Roman"/>
                <w:bCs/>
              </w:rPr>
              <w:t>575/2013);</w:t>
            </w:r>
          </w:p>
          <w:p w14:paraId="3C14C227" w14:textId="77777777" w:rsidR="00D413F5" w:rsidRPr="00BB1C90" w:rsidRDefault="00BB1C9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eastAsia="Times New Roman" w:hAnsi="Times New Roman" w:cs="Times New Roman"/>
                <w:bCs/>
              </w:rPr>
              <w:lastRenderedPageBreak/>
              <w:t>—</w:t>
            </w:r>
            <w:r w:rsidRPr="00BB1C90">
              <w:rPr>
                <w:rFonts w:ascii="Times New Roman" w:eastAsia="Times New Roman" w:hAnsi="Times New Roman" w:cs="Times New Roman"/>
                <w:bCs/>
              </w:rPr>
              <w:tab/>
            </w:r>
            <w:r w:rsidRPr="00BB1C90">
              <w:rPr>
                <w:rFonts w:ascii="Times New Roman" w:hAnsi="Times New Roman"/>
                <w:bCs/>
              </w:rPr>
              <w:t>inne korekty w okresie przejściowym w kapitale podstawowym Tier I (art. 469–478 i art. 481 rozporządzenia (UE) nr 575/2013): korekty odliczeń od kapitału podstawowego Tier I wynikające z przepisów przejściowych;</w:t>
            </w:r>
          </w:p>
          <w:p w14:paraId="036917DB" w14:textId="77777777" w:rsidR="00D413F5" w:rsidRPr="00BB1C90" w:rsidRDefault="00BB1C9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BB1C90">
              <w:rPr>
                <w:rFonts w:ascii="Times New Roman" w:eastAsia="Times New Roman" w:hAnsi="Times New Roman" w:cs="Times New Roman"/>
                <w:bCs/>
              </w:rPr>
              <w:tab/>
            </w:r>
            <w:r w:rsidRPr="00BB1C90">
              <w:rPr>
                <w:rFonts w:ascii="Times New Roman" w:hAnsi="Times New Roman"/>
                <w:bCs/>
              </w:rPr>
              <w:t>inne elementy kapitału podsta</w:t>
            </w:r>
            <w:r w:rsidRPr="00BB1C90">
              <w:rPr>
                <w:rFonts w:ascii="Times New Roman" w:hAnsi="Times New Roman"/>
                <w:bCs/>
              </w:rPr>
              <w:t>wowego Tier I lub odliczenia od elementu kapitału podstawowego Tier I, których nie można przypisać do żadnego z wierszy 0040–0280.</w:t>
            </w:r>
          </w:p>
          <w:p w14:paraId="71C4DD2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>Wiersza tego nie używa się do uwzględniania w obliczeniach współczynników wypłacalności pozycji kapitałowych lub odliczeń, kt</w:t>
            </w:r>
            <w:r w:rsidRPr="00BB1C90">
              <w:rPr>
                <w:rFonts w:ascii="Times New Roman" w:hAnsi="Times New Roman"/>
                <w:bCs/>
              </w:rPr>
              <w:t>óre nie są objęte rozporządzeniem (UE) 2019/2033 ani rozporządzeniem (UE) nr 575/2013.</w:t>
            </w:r>
          </w:p>
        </w:tc>
      </w:tr>
      <w:tr w:rsidR="00D413F5" w:rsidRPr="00BB1C90" w14:paraId="663C66E8" w14:textId="77777777">
        <w:tc>
          <w:tcPr>
            <w:tcW w:w="1129" w:type="dxa"/>
          </w:tcPr>
          <w:p w14:paraId="7812611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lastRenderedPageBreak/>
              <w:t>0300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3BC1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KAPITAŁ DODATKOWY TIER I</w:t>
            </w:r>
          </w:p>
          <w:p w14:paraId="19F2DD2D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rozporządzenia (UE) 2019/2033.</w:t>
            </w:r>
          </w:p>
          <w:p w14:paraId="151BCAB6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</w:rPr>
              <w:t>Art. 61 rozporządzenia (UE) nr 575/2013.</w:t>
            </w:r>
          </w:p>
        </w:tc>
      </w:tr>
      <w:tr w:rsidR="00D413F5" w:rsidRPr="00BB1C90" w14:paraId="0158D16B" w14:textId="77777777">
        <w:tc>
          <w:tcPr>
            <w:tcW w:w="1129" w:type="dxa"/>
          </w:tcPr>
          <w:p w14:paraId="3644B45D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0310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824B6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 xml:space="preserve">W pełni opłacone, bezpośrednio 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wyemitowane instrumenty kapitałowe</w:t>
            </w:r>
          </w:p>
          <w:p w14:paraId="0D35143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48544682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51 lit. a) oraz art. 52, 53 i 54 rozporządzenia (UE) nr 575/2013.</w:t>
            </w:r>
          </w:p>
          <w:p w14:paraId="6421D79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 xml:space="preserve">Kwota, którą należy zgłosić, nie obejmuje ażio emisyjnego związanego z </w:t>
            </w: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instrumentami.</w:t>
            </w:r>
          </w:p>
        </w:tc>
      </w:tr>
      <w:tr w:rsidR="00D413F5" w:rsidRPr="00BB1C90" w14:paraId="4D54762D" w14:textId="77777777">
        <w:tc>
          <w:tcPr>
            <w:tcW w:w="1129" w:type="dxa"/>
          </w:tcPr>
          <w:p w14:paraId="47669843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0320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C2A7E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Ażio emisyjne</w:t>
            </w:r>
          </w:p>
          <w:p w14:paraId="1026F526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41977052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51 lit. b) rozporządzenia (UE) nr 575/2013.</w:t>
            </w:r>
          </w:p>
          <w:p w14:paraId="69BCD87F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Ażio emisyjne ma takie samo znaczenie jak w mających zastosowanie standardach rachunkowości.</w:t>
            </w:r>
          </w:p>
          <w:p w14:paraId="0CCA70C2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 xml:space="preserve">Kwota, którą należy </w:t>
            </w: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zgłosić w tej pozycji, stanowi część związaną z pozycją „Opłacone instrumenty kapitałowe”.</w:t>
            </w:r>
          </w:p>
        </w:tc>
      </w:tr>
      <w:tr w:rsidR="00D413F5" w:rsidRPr="00BB1C90" w14:paraId="743A007B" w14:textId="77777777">
        <w:tc>
          <w:tcPr>
            <w:tcW w:w="1129" w:type="dxa"/>
          </w:tcPr>
          <w:p w14:paraId="3C4682ED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0335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98B1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(-) CAŁKOWITE ODLICZENIA OD KAPITAŁU DODATKOWEGO TIER I</w:t>
            </w:r>
          </w:p>
          <w:p w14:paraId="06FB19FA" w14:textId="77777777" w:rsidR="00D413F5" w:rsidRPr="00BB1C90" w:rsidRDefault="00BB1C90">
            <w:pPr>
              <w:spacing w:before="60" w:after="60"/>
              <w:rPr>
                <w:rFonts w:ascii="Times New Roman" w:hAnsi="Times New Roman" w:cs="Times New Roman"/>
              </w:rPr>
            </w:pPr>
            <w:r w:rsidRPr="00BB1C90">
              <w:rPr>
                <w:rFonts w:ascii="Times New Roman" w:hAnsi="Times New Roman"/>
              </w:rPr>
              <w:t>Art. 56 rozporządzenia (UE) nr 575/2013 z wyjątkiem lit. d) tego artykułu.</w:t>
            </w:r>
          </w:p>
          <w:p w14:paraId="6A204D15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Należy podać łączną sumę wie</w:t>
            </w:r>
            <w:r w:rsidRPr="00BB1C90">
              <w:rPr>
                <w:rFonts w:ascii="Times New Roman" w:hAnsi="Times New Roman"/>
                <w:bCs/>
              </w:rPr>
              <w:t>rszy 0340, 0380 i 0400.</w:t>
            </w:r>
          </w:p>
        </w:tc>
      </w:tr>
      <w:tr w:rsidR="00D413F5" w:rsidRPr="00BB1C90" w14:paraId="68F2F84B" w14:textId="77777777">
        <w:tc>
          <w:tcPr>
            <w:tcW w:w="1129" w:type="dxa"/>
          </w:tcPr>
          <w:p w14:paraId="7031776D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0340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F7D7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(-) Instrumenty własne w kapitale dodatkowym Tier I</w:t>
            </w:r>
          </w:p>
          <w:p w14:paraId="313D3B96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1523BEEA" w14:textId="77777777" w:rsidR="00D413F5" w:rsidRPr="00BB1C90" w:rsidRDefault="00BB1C90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Art. 52 ust. 1 lit. b), art. 56 lit. a) i art. 57 rozporządzenia (UE) nr 575/2013.</w:t>
            </w:r>
          </w:p>
          <w:p w14:paraId="175FCD2F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Instrumenty własne w kapitale </w:t>
            </w: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dodatkowym Tier I będące w posiadaniu firmy inwestycyjnej na sprawozdawczy dzień odniesienia. Z zastrzeżeniem wyjątków określonych w art. 57 rozporządzenia (UE) nr 575/2013.</w:t>
            </w:r>
          </w:p>
          <w:p w14:paraId="514F4410" w14:textId="77777777" w:rsidR="00D413F5" w:rsidRPr="00BB1C90" w:rsidRDefault="00BB1C90">
            <w:pPr>
              <w:pStyle w:val="InstructionsText"/>
              <w:rPr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Kwota, którą należy zgłosić, obejmuje ażio emisyjne związane z własnymi udziałami.</w:t>
            </w:r>
          </w:p>
        </w:tc>
      </w:tr>
      <w:tr w:rsidR="00D413F5" w:rsidRPr="00BB1C90" w14:paraId="4A4E0D21" w14:textId="77777777">
        <w:tc>
          <w:tcPr>
            <w:tcW w:w="1129" w:type="dxa"/>
          </w:tcPr>
          <w:p w14:paraId="4C2C5752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0380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ECB3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(-) Instrumenty w kapitale dodatkowym Tier I podmiotów sektora finansowego, jeżeli jednostka dominująca nie dokonała znacznej inwestycji w te podmioty</w:t>
            </w:r>
          </w:p>
          <w:p w14:paraId="2466E26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2 lit. c) rozporządzenia (UE) 2019/2033.</w:t>
            </w:r>
          </w:p>
          <w:p w14:paraId="1A0993E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56 lit. c) rozporządzenia (UE) nr 575/20</w:t>
            </w:r>
            <w:r w:rsidRPr="00BB1C90">
              <w:rPr>
                <w:rFonts w:ascii="Times New Roman" w:hAnsi="Times New Roman"/>
                <w:bCs/>
              </w:rPr>
              <w:t>13.</w:t>
            </w:r>
          </w:p>
          <w:p w14:paraId="7C7C5ECE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 xml:space="preserve">Unijna jednostka dominująca w tym wierszu oznacza unijne dominujące firmy inwestycyjne, unijne dominujące inwestycyjne spółki holdingowe, unijne dominujące finansowe spółki holdingowe o działalności mieszanej lub każdą inną jednostkę dominującą będącą </w:t>
            </w:r>
            <w:r w:rsidRPr="00BB1C90">
              <w:rPr>
                <w:rFonts w:ascii="Times New Roman" w:hAnsi="Times New Roman"/>
                <w:bCs/>
              </w:rPr>
              <w:t>firmą inwestycyjną, instytucją finansową, przedsiębiorstwem usług pomocniczych lub agentem.</w:t>
            </w:r>
          </w:p>
        </w:tc>
      </w:tr>
      <w:tr w:rsidR="00D413F5" w:rsidRPr="00BB1C90" w14:paraId="13749DEB" w14:textId="77777777">
        <w:tc>
          <w:tcPr>
            <w:tcW w:w="1129" w:type="dxa"/>
          </w:tcPr>
          <w:p w14:paraId="2F5A946A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lastRenderedPageBreak/>
              <w:t>0400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C6FCA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(-) Inne odliczenia</w:t>
            </w:r>
          </w:p>
          <w:p w14:paraId="2F596496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 xml:space="preserve">Suma wszystkich innych odliczeń na podstawie art. 56 rozporządzenia (UE) nr 575/2013, z wyjątkiem odliczeń na podstawie art. 56 </w:t>
            </w:r>
            <w:r w:rsidRPr="00BB1C90">
              <w:rPr>
                <w:rFonts w:ascii="Times New Roman" w:hAnsi="Times New Roman"/>
                <w:bCs/>
              </w:rPr>
              <w:t>lit. d) rozporządzenia (UE) nr 575/2013, których nie uwzględniono w żadnym z powyższych wierszy 0340 ani 0380.</w:t>
            </w:r>
          </w:p>
        </w:tc>
      </w:tr>
      <w:tr w:rsidR="00D413F5" w:rsidRPr="00BB1C90" w14:paraId="583F7868" w14:textId="77777777">
        <w:tc>
          <w:tcPr>
            <w:tcW w:w="1129" w:type="dxa"/>
          </w:tcPr>
          <w:p w14:paraId="7BDB0886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0415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2F9D0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Kapitał dodatkowy Tier I: Inne elementy kapitału, odliczenia i korekty</w:t>
            </w:r>
          </w:p>
          <w:p w14:paraId="4A96613A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Wiersz ten obejmuje sumę następujących pozycji, w stosownych przypad</w:t>
            </w:r>
            <w:r w:rsidRPr="00BB1C90">
              <w:rPr>
                <w:rFonts w:ascii="Times New Roman" w:hAnsi="Times New Roman"/>
                <w:bCs/>
              </w:rPr>
              <w:t>kach:</w:t>
            </w:r>
          </w:p>
          <w:p w14:paraId="061CBE8C" w14:textId="77777777" w:rsidR="00D413F5" w:rsidRPr="00BB1C90" w:rsidRDefault="00BB1C9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BB1C90">
              <w:rPr>
                <w:rFonts w:ascii="Times New Roman" w:eastAsia="Times New Roman" w:hAnsi="Times New Roman" w:cs="Times New Roman"/>
                <w:bCs/>
              </w:rPr>
              <w:tab/>
            </w:r>
            <w:r w:rsidRPr="00BB1C90">
              <w:rPr>
                <w:rFonts w:ascii="Times New Roman" w:hAnsi="Times New Roman"/>
                <w:bCs/>
              </w:rPr>
              <w:t>korekty w okresie przejściowym z tytułu instrumentów w kapitale dodatkowym Tier I podlegających zasadzie praw nabytych (art. 483 ust. 4 i 5, art. 484–487, art. 489 i 491 rozporządzenia (UE) nr 575/2013);</w:t>
            </w:r>
          </w:p>
          <w:p w14:paraId="17C6B77C" w14:textId="77777777" w:rsidR="00D413F5" w:rsidRPr="00BB1C90" w:rsidRDefault="00BB1C9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BB1C90">
              <w:rPr>
                <w:rFonts w:ascii="Times New Roman" w:eastAsia="Times New Roman" w:hAnsi="Times New Roman" w:cs="Times New Roman"/>
                <w:bCs/>
              </w:rPr>
              <w:tab/>
            </w:r>
            <w:r w:rsidRPr="00BB1C90">
              <w:rPr>
                <w:rFonts w:ascii="Times New Roman" w:hAnsi="Times New Roman"/>
                <w:bCs/>
              </w:rPr>
              <w:t>inne korekty w okresie przejściowym w kapi</w:t>
            </w:r>
            <w:r w:rsidRPr="00BB1C90">
              <w:rPr>
                <w:rFonts w:ascii="Times New Roman" w:hAnsi="Times New Roman"/>
                <w:bCs/>
              </w:rPr>
              <w:t>tale dodatkowym Tier I (art. 472, 473a, 474, 475, 478 i 481 rozporządzenia (UE) nr 575/2013): korekty odliczeń wynikające z przepisów przejściowych;</w:t>
            </w:r>
          </w:p>
          <w:p w14:paraId="3D79D37C" w14:textId="77777777" w:rsidR="00D413F5" w:rsidRPr="00BB1C90" w:rsidRDefault="00BB1C9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BB1C90">
              <w:rPr>
                <w:rFonts w:ascii="Times New Roman" w:eastAsia="Times New Roman" w:hAnsi="Times New Roman" w:cs="Times New Roman"/>
                <w:bCs/>
              </w:rPr>
              <w:tab/>
            </w:r>
            <w:r w:rsidRPr="00BB1C90">
              <w:rPr>
                <w:rFonts w:ascii="Times New Roman" w:hAnsi="Times New Roman"/>
                <w:bCs/>
              </w:rPr>
              <w:t xml:space="preserve">nadwyżka odliczenia od pozycji dodatkowych w Tier I ponad kapitał dodatkowy Tier I, odliczona z kapitału </w:t>
            </w:r>
            <w:r w:rsidRPr="00BB1C90">
              <w:rPr>
                <w:rFonts w:ascii="Times New Roman" w:hAnsi="Times New Roman"/>
                <w:bCs/>
              </w:rPr>
              <w:t xml:space="preserve">podstawowego Tier I zgodnie z art. 36 ust. 1 lit. j) rozporządzenia (UE) nr 575/2013: kapitał dodatkowy Tier I nie może mieć wartości ujemnej, ale możliwa jest sytuacja, w której odliczenia od pozycji dodatkowych w Tier I mają większą wartość niż dostępne </w:t>
            </w:r>
            <w:r w:rsidRPr="00BB1C90">
              <w:rPr>
                <w:rFonts w:ascii="Times New Roman" w:hAnsi="Times New Roman"/>
                <w:bCs/>
              </w:rPr>
              <w:t>pozycje dodatkowe w Tier I. Jeżeli tak się stanie, pozycja ta stanowi kwotę potrzebną do zwiększenia kwoty wykazanej w wierszu 0300 do zera i jest równa odwrotności nadwyżki odliczeń od pozycji dodatkowych w Tier I ponad kapitał dodatkowy Tier I uwzględnio</w:t>
            </w:r>
            <w:r w:rsidRPr="00BB1C90">
              <w:rPr>
                <w:rFonts w:ascii="Times New Roman" w:hAnsi="Times New Roman"/>
                <w:bCs/>
              </w:rPr>
              <w:t>nych, wraz z innymi odliczeniami, w wierszu 0280;</w:t>
            </w:r>
          </w:p>
          <w:p w14:paraId="05B301CF" w14:textId="77777777" w:rsidR="00D413F5" w:rsidRPr="00BB1C90" w:rsidRDefault="00BB1C9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BB1C90">
              <w:rPr>
                <w:rFonts w:ascii="Times New Roman" w:eastAsia="Times New Roman" w:hAnsi="Times New Roman" w:cs="Times New Roman"/>
                <w:bCs/>
              </w:rPr>
              <w:tab/>
            </w:r>
            <w:r w:rsidRPr="00BB1C90">
              <w:rPr>
                <w:rFonts w:ascii="Times New Roman" w:hAnsi="Times New Roman"/>
                <w:bCs/>
              </w:rPr>
              <w:t>inne elementy kapitału dodatkowego Tier I lub odliczenia od elementu kapitału dodatkowego Tier I, których nie można przypisać do żadnego z wierszy 0310–0400.</w:t>
            </w:r>
          </w:p>
          <w:p w14:paraId="3F5919C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 xml:space="preserve">Wiersza tego nie używa się do uwzględniania w </w:t>
            </w:r>
            <w:r w:rsidRPr="00BB1C90">
              <w:rPr>
                <w:rFonts w:ascii="Times New Roman" w:hAnsi="Times New Roman"/>
                <w:bCs/>
              </w:rPr>
              <w:t>obliczeniach współczynników wypłacalności pozycji kapitałowych lub odliczeń, które nie są objęte rozporządzeniem (UE) 2019/2033 ani rozporządzeniem (UE) nr 575/2013.</w:t>
            </w:r>
          </w:p>
        </w:tc>
      </w:tr>
      <w:tr w:rsidR="00D413F5" w:rsidRPr="00BB1C90" w14:paraId="35CD7E5E" w14:textId="77777777">
        <w:tc>
          <w:tcPr>
            <w:tcW w:w="1129" w:type="dxa"/>
          </w:tcPr>
          <w:p w14:paraId="15FB0AB2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0420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60B2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KAPITAŁ TIER II</w:t>
            </w:r>
          </w:p>
          <w:p w14:paraId="6075E13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rozporządzenia (UE) 2019/2033.</w:t>
            </w:r>
          </w:p>
          <w:p w14:paraId="254E7205" w14:textId="77777777" w:rsidR="00D413F5" w:rsidRPr="00BB1C90" w:rsidRDefault="00BB1C90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 xml:space="preserve">Art. 71 </w:t>
            </w: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rozporządzenia (UE) nr 575/2013.</w:t>
            </w:r>
          </w:p>
          <w:p w14:paraId="4D78FEA2" w14:textId="77777777" w:rsidR="00D413F5" w:rsidRPr="00BB1C90" w:rsidRDefault="00BB1C90">
            <w:pPr>
              <w:pStyle w:val="CommentText"/>
              <w:rPr>
                <w:sz w:val="22"/>
                <w:szCs w:val="22"/>
              </w:rPr>
            </w:pPr>
            <w:r w:rsidRPr="00BB1C90">
              <w:rPr>
                <w:rFonts w:ascii="Times New Roman" w:hAnsi="Times New Roman"/>
                <w:bCs/>
                <w:sz w:val="22"/>
                <w:szCs w:val="22"/>
              </w:rPr>
              <w:t>Należy podać łączną sumę wierszy 0430–0455 i 0525.</w:t>
            </w:r>
          </w:p>
        </w:tc>
      </w:tr>
      <w:tr w:rsidR="00D413F5" w:rsidRPr="00BB1C90" w14:paraId="23E41057" w14:textId="77777777">
        <w:tc>
          <w:tcPr>
            <w:tcW w:w="1129" w:type="dxa"/>
          </w:tcPr>
          <w:p w14:paraId="2775BD1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0430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4904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W pełni opłacone, bezpośrednio wyemitowane instrumenty kapitałowe</w:t>
            </w:r>
          </w:p>
          <w:p w14:paraId="5D80852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268034CE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62 lit. a), art. 63 i 65 rozporządzenia (U</w:t>
            </w: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E) nr 575/2013.</w:t>
            </w:r>
          </w:p>
          <w:p w14:paraId="1F76994E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</w:rPr>
              <w:t>Kwota, którą należy zgłosić, nie obejmuje ażio emisyjnego związanego z instrumentami.</w:t>
            </w:r>
          </w:p>
        </w:tc>
      </w:tr>
      <w:tr w:rsidR="00D413F5" w:rsidRPr="00BB1C90" w14:paraId="78B92FFC" w14:textId="77777777">
        <w:tc>
          <w:tcPr>
            <w:tcW w:w="1129" w:type="dxa"/>
          </w:tcPr>
          <w:p w14:paraId="7F53AC9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0440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259D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Ażio emisyjne</w:t>
            </w:r>
          </w:p>
          <w:p w14:paraId="030DF769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49D92A3F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62 lit. b) i art. 65 rozporządzenia (UE) nr 575/2013.</w:t>
            </w:r>
          </w:p>
          <w:p w14:paraId="2B368816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Ażio emisyjne ma </w:t>
            </w: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takie samo znaczenie jak w mających zastosowanie standardach rachunkowości.</w:t>
            </w:r>
          </w:p>
          <w:p w14:paraId="660F6C43" w14:textId="77777777" w:rsidR="00D413F5" w:rsidRPr="00BB1C90" w:rsidRDefault="00BB1C90">
            <w:pPr>
              <w:pStyle w:val="InstructionsText"/>
              <w:rPr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Kwota, którą należy zgłosić w tej pozycji, stanowi część związaną z pozycją „Opłacone instrumenty kapitałowe”.</w:t>
            </w:r>
          </w:p>
        </w:tc>
      </w:tr>
      <w:tr w:rsidR="00D413F5" w:rsidRPr="00BB1C90" w14:paraId="7D04E2DE" w14:textId="77777777">
        <w:tc>
          <w:tcPr>
            <w:tcW w:w="1129" w:type="dxa"/>
          </w:tcPr>
          <w:p w14:paraId="7372DB1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0455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C0E00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(-) CAŁKOWITE ODLICZENIA OD KAPITAŁU TIER II</w:t>
            </w:r>
          </w:p>
          <w:p w14:paraId="38C1C73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</w:rPr>
              <w:lastRenderedPageBreak/>
              <w:t>Art. 66 rozporządz</w:t>
            </w:r>
            <w:r w:rsidRPr="00BB1C90">
              <w:rPr>
                <w:rFonts w:ascii="Times New Roman" w:hAnsi="Times New Roman"/>
              </w:rPr>
              <w:t>enia (UE) nr 575/2013 z wyjątkiem lit. d) tego artykułu.</w:t>
            </w:r>
          </w:p>
        </w:tc>
      </w:tr>
      <w:tr w:rsidR="00D413F5" w:rsidRPr="00BB1C90" w14:paraId="296EEF24" w14:textId="77777777">
        <w:tc>
          <w:tcPr>
            <w:tcW w:w="1129" w:type="dxa"/>
          </w:tcPr>
          <w:p w14:paraId="3F8066F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lastRenderedPageBreak/>
              <w:t>0460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A14FA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(-) Instrumenty własne w kapitale Tier II</w:t>
            </w:r>
          </w:p>
          <w:p w14:paraId="0403841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1 lit. i) rozporządzenia (UE) 2019/2033.</w:t>
            </w:r>
          </w:p>
          <w:p w14:paraId="15EFA5A6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Art. 63 lit. b) pkt (i), art. 66 lit. a) i art. 67 rozporządzenia (UE) nr 575/2013.</w:t>
            </w:r>
          </w:p>
          <w:p w14:paraId="25B2A0BB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Instrumenty własne w kapitale Tier II będące w posiadaniu instytucji lub grupy sprawozdającej na sprawozdawczy dzień odniesienia. Z zastrzeżeniem wyjątków określonych w art. 67 rozporządzenia (UE) nr 575/2013.</w:t>
            </w:r>
          </w:p>
          <w:p w14:paraId="50CCEE17" w14:textId="77777777" w:rsidR="00D413F5" w:rsidRPr="00BB1C90" w:rsidRDefault="00BB1C9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W tym wierszu nie zgłasza się udziałów kapitał</w:t>
            </w: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owych zaliczanych do „Nieuznanych instrumentów kapitałowych”.</w:t>
            </w:r>
          </w:p>
          <w:p w14:paraId="60D6BF1F" w14:textId="77777777" w:rsidR="00D413F5" w:rsidRPr="00BB1C90" w:rsidRDefault="00BB1C90">
            <w:pPr>
              <w:pStyle w:val="InstructionsText"/>
              <w:rPr>
                <w:sz w:val="22"/>
                <w:szCs w:val="22"/>
              </w:rPr>
            </w:pPr>
            <w:r w:rsidRPr="00BB1C9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Kwota, którą należy zgłosić, obejmuje ażio emisyjne związane z własnymi udziałami.</w:t>
            </w:r>
          </w:p>
        </w:tc>
      </w:tr>
      <w:tr w:rsidR="00D413F5" w:rsidRPr="00BB1C90" w14:paraId="26F8D7A9" w14:textId="77777777">
        <w:tc>
          <w:tcPr>
            <w:tcW w:w="1129" w:type="dxa"/>
          </w:tcPr>
          <w:p w14:paraId="1FD8FA9E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0500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33E43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(-) Instrumenty w kapitale Tier II podmiotów sektora finansowego, jeżeli jednostka dominująca nie dokonał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a znacznej inwestycji w te podmioty</w:t>
            </w:r>
          </w:p>
          <w:p w14:paraId="17487964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9 ust. 2 lit. c) rozporządzenia (UE) 2019/2033.</w:t>
            </w:r>
          </w:p>
          <w:p w14:paraId="5265BE2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66 lit. c) rozporządzenia (UE) nr 575/2013.</w:t>
            </w:r>
          </w:p>
          <w:p w14:paraId="243BD8C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>Unijna jednostka dominująca w tym wierszu oznacza unijne dominujące firmy inwestycyjne, unijne dominujące inwestycyjne</w:t>
            </w:r>
            <w:r w:rsidRPr="00BB1C90">
              <w:rPr>
                <w:rFonts w:ascii="Times New Roman" w:hAnsi="Times New Roman"/>
                <w:bCs/>
              </w:rPr>
              <w:t xml:space="preserve"> spółki holdingowe, unijne dominujące finansowe spółki holdingowe o działalności mieszanej lub każdą inną jednostkę dominującą będącą firmą inwestycyjną, instytucją finansową, przedsiębiorstwem usług pomocniczych lub agentem.</w:t>
            </w:r>
          </w:p>
        </w:tc>
      </w:tr>
      <w:tr w:rsidR="00D413F5" w:rsidRPr="00BB1C90" w14:paraId="4F29361F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33764829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0525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B1799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 xml:space="preserve">Kapitał Tier II: 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Inne elementy kapitału, odliczenia i korekty</w:t>
            </w:r>
          </w:p>
          <w:p w14:paraId="3385261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Wiersz ten obejmuje sumę następujących pozycji, w stosownych przypadkach:</w:t>
            </w:r>
          </w:p>
          <w:p w14:paraId="16133492" w14:textId="77777777" w:rsidR="00D413F5" w:rsidRPr="00BB1C90" w:rsidRDefault="00BB1C9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BB1C90">
              <w:rPr>
                <w:rFonts w:ascii="Times New Roman" w:eastAsia="Times New Roman" w:hAnsi="Times New Roman" w:cs="Times New Roman"/>
                <w:bCs/>
              </w:rPr>
              <w:tab/>
            </w:r>
            <w:r w:rsidRPr="00BB1C90">
              <w:rPr>
                <w:rFonts w:ascii="Times New Roman" w:hAnsi="Times New Roman"/>
                <w:bCs/>
              </w:rPr>
              <w:t>korekty w okresie przejściowym z tytułu instrumentów w kapitale Tier II podlegających zasadzie praw nabytych (art. 483 ust. 6 i 7, art.</w:t>
            </w:r>
            <w:r w:rsidRPr="00BB1C90">
              <w:rPr>
                <w:rFonts w:ascii="Times New Roman" w:hAnsi="Times New Roman"/>
                <w:bCs/>
              </w:rPr>
              <w:t> 484, 486, 488, 490 i 491 rozporządzenia (UE) nr 575/2013);</w:t>
            </w:r>
          </w:p>
          <w:p w14:paraId="79D4944F" w14:textId="77777777" w:rsidR="00D413F5" w:rsidRPr="00BB1C90" w:rsidRDefault="00BB1C9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BB1C90">
              <w:rPr>
                <w:rFonts w:ascii="Times New Roman" w:eastAsia="Times New Roman" w:hAnsi="Times New Roman" w:cs="Times New Roman"/>
                <w:bCs/>
              </w:rPr>
              <w:tab/>
            </w:r>
            <w:r w:rsidRPr="00BB1C90">
              <w:rPr>
                <w:rFonts w:ascii="Times New Roman" w:hAnsi="Times New Roman"/>
                <w:bCs/>
              </w:rPr>
              <w:t>inne korekty w okresie przejściowym w kapitale Tier II (art. 472, 473a, 476, 477, 478 i 481 rozporządzenia (UE) nr 575/2013): korekty odliczeń od kapitału Tier II wynikające z przepisów przejści</w:t>
            </w:r>
            <w:r w:rsidRPr="00BB1C90">
              <w:rPr>
                <w:rFonts w:ascii="Times New Roman" w:hAnsi="Times New Roman"/>
                <w:bCs/>
              </w:rPr>
              <w:t>owych;</w:t>
            </w:r>
          </w:p>
          <w:p w14:paraId="6B4AA1A5" w14:textId="77777777" w:rsidR="00D413F5" w:rsidRPr="00BB1C90" w:rsidRDefault="00BB1C9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BB1C90">
              <w:rPr>
                <w:rFonts w:ascii="Times New Roman" w:eastAsia="Times New Roman" w:hAnsi="Times New Roman" w:cs="Times New Roman"/>
                <w:bCs/>
              </w:rPr>
              <w:tab/>
            </w:r>
            <w:r w:rsidRPr="00BB1C90">
              <w:rPr>
                <w:rFonts w:ascii="Times New Roman" w:hAnsi="Times New Roman"/>
                <w:bCs/>
              </w:rPr>
              <w:t xml:space="preserve">nadwyżka odliczenia od pozycji w Tier II ponad kapitał Tier II, odliczona z kapitału dodatkowego Tier I zgodnie z art. 56 lit. e) rozporządzenia (UE) nr 575/2013: kapitał Tier II nie może mieć wartości ujemnej, ale możliwa jest sytuacja, w której </w:t>
            </w:r>
            <w:r w:rsidRPr="00BB1C90">
              <w:rPr>
                <w:rFonts w:ascii="Times New Roman" w:hAnsi="Times New Roman"/>
                <w:bCs/>
              </w:rPr>
              <w:t>odliczenia od pozycji w Tier II mają większą wartość niż dostępne pozycje w Tier II. Jeżeli tak się stanie, pozycja ta stanowi kwotę potrzebną do zwiększenia kwoty wykazanej w wierszu 0420 do zera;</w:t>
            </w:r>
          </w:p>
          <w:p w14:paraId="29281607" w14:textId="77777777" w:rsidR="00D413F5" w:rsidRPr="00BB1C90" w:rsidRDefault="00BB1C9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BB1C90">
              <w:rPr>
                <w:rFonts w:ascii="Times New Roman" w:eastAsia="Times New Roman" w:hAnsi="Times New Roman" w:cs="Times New Roman"/>
                <w:bCs/>
              </w:rPr>
              <w:tab/>
            </w:r>
            <w:r w:rsidRPr="00BB1C90">
              <w:rPr>
                <w:rFonts w:ascii="Times New Roman" w:hAnsi="Times New Roman"/>
                <w:bCs/>
              </w:rPr>
              <w:t>inne elementy kapitału Tier II lub odliczenia od element</w:t>
            </w:r>
            <w:r w:rsidRPr="00BB1C90">
              <w:rPr>
                <w:rFonts w:ascii="Times New Roman" w:hAnsi="Times New Roman"/>
                <w:bCs/>
              </w:rPr>
              <w:t>u kapitału Tier II, których nie można przypisać do żadnego z wierszy 0430–0500.</w:t>
            </w:r>
          </w:p>
          <w:p w14:paraId="01E1D15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>Wiersza tego nie używa się do uwzględniania w obliczeniach współczynników wypłacalności pozycji kapitałowych lub odliczeń, które nie są objęte rozporządzeniem (UE) 2019/2033 an</w:t>
            </w:r>
            <w:r w:rsidRPr="00BB1C90">
              <w:rPr>
                <w:rFonts w:ascii="Times New Roman" w:hAnsi="Times New Roman"/>
                <w:bCs/>
              </w:rPr>
              <w:t>i rozporządzeniem (UE) nr 575/2013.</w:t>
            </w:r>
          </w:p>
        </w:tc>
      </w:tr>
    </w:tbl>
    <w:p w14:paraId="7B0E2797" w14:textId="77777777" w:rsidR="00D413F5" w:rsidRPr="00BB1C90" w:rsidRDefault="00BB1C90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9" w:name="_Toc88127801"/>
      <w:r w:rsidRPr="00BB1C90">
        <w:rPr>
          <w:rFonts w:ascii="Times New Roman" w:hAnsi="Times New Roman"/>
          <w:sz w:val="24"/>
          <w:u w:val="none"/>
        </w:rPr>
        <w:t>1.3</w:t>
      </w:r>
      <w:r w:rsidRPr="00BB1C90">
        <w:rPr>
          <w:rFonts w:ascii="Times New Roman" w:hAnsi="Times New Roman"/>
          <w:sz w:val="24"/>
        </w:rPr>
        <w:t xml:space="preserve"> I 11.02 WYMOGI W ZAKRESIE FUNDUSZY WŁASNYCH – GRUPOWY TEST KAPITAŁOWY (I11.2)</w:t>
      </w:r>
      <w:bookmarkEnd w:id="19"/>
    </w:p>
    <w:p w14:paraId="6911C503" w14:textId="77777777" w:rsidR="00D413F5" w:rsidRPr="00BB1C90" w:rsidRDefault="00BB1C90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0" w:name="_Toc88127802"/>
      <w:r w:rsidRPr="00BB1C90">
        <w:rPr>
          <w:rFonts w:ascii="Times New Roman" w:hAnsi="Times New Roman"/>
          <w:sz w:val="24"/>
          <w:szCs w:val="24"/>
        </w:rPr>
        <w:t>1.3.1.</w:t>
      </w:r>
      <w:r w:rsidRPr="00BB1C90">
        <w:tab/>
      </w:r>
      <w:r w:rsidRPr="00BB1C90">
        <w:rPr>
          <w:rFonts w:ascii="Times New Roman" w:hAnsi="Times New Roman"/>
          <w:sz w:val="24"/>
          <w:szCs w:val="24"/>
          <w:u w:val="single"/>
        </w:rPr>
        <w:t>Instrukcje dotyczące poszczególnych pozycji</w:t>
      </w:r>
      <w:bookmarkEnd w:id="2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413F5" w:rsidRPr="00BB1C90" w14:paraId="678FE6B9" w14:textId="77777777">
        <w:tc>
          <w:tcPr>
            <w:tcW w:w="1129" w:type="dxa"/>
            <w:shd w:val="clear" w:color="auto" w:fill="D9D9D9"/>
          </w:tcPr>
          <w:p w14:paraId="69BFF95A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</w:rPr>
              <w:t>Wiersz</w:t>
            </w:r>
          </w:p>
        </w:tc>
        <w:tc>
          <w:tcPr>
            <w:tcW w:w="7620" w:type="dxa"/>
            <w:shd w:val="clear" w:color="auto" w:fill="D9D9D9"/>
          </w:tcPr>
          <w:p w14:paraId="04CDD5CE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</w:rPr>
              <w:t>Odniesienia prawne i instrukcje</w:t>
            </w:r>
          </w:p>
        </w:tc>
      </w:tr>
      <w:tr w:rsidR="00D413F5" w:rsidRPr="00BB1C90" w14:paraId="5031CD05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2B7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lastRenderedPageBreak/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290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 xml:space="preserve">Instrumenty w kapitale 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podstawowym Tier I podmiotów sektora finansowego w grupie firm inwestycyjnych, jeżeli jednostka dominująca dokonała znacznej inwestycji w te podmioty</w:t>
            </w:r>
          </w:p>
          <w:p w14:paraId="72EEDA1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>Art. 8 ust. 3 lit. a) rozporządzenia (UE) 2019/2033 w związku z art. 36 ust. 1 lit. i) rozporządzenia (UE)</w:t>
            </w:r>
            <w:r w:rsidRPr="00BB1C90">
              <w:rPr>
                <w:rFonts w:ascii="Times New Roman" w:hAnsi="Times New Roman"/>
                <w:bCs/>
              </w:rPr>
              <w:t xml:space="preserve"> nr 575/2013.</w:t>
            </w:r>
          </w:p>
        </w:tc>
      </w:tr>
      <w:tr w:rsidR="00D413F5" w:rsidRPr="00BB1C90" w14:paraId="5203CBE7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1930DDD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218790F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Instrumenty w kapitale dodatkowym Tier I podmiotów sektora finansowego w grupie firm inwestycyjnych, jeżeli jednostka dominująca dokonała znacznej inwestycji w te podmioty</w:t>
            </w:r>
          </w:p>
          <w:p w14:paraId="68D1C1C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 xml:space="preserve">Art. 8 ust. 3 lit. a) rozporządzenia (UE) 2019/2033 w związku z </w:t>
            </w:r>
            <w:r w:rsidRPr="00BB1C90">
              <w:rPr>
                <w:rFonts w:ascii="Times New Roman" w:hAnsi="Times New Roman"/>
                <w:bCs/>
              </w:rPr>
              <w:t>art. 56 lit. d) rozporządzenia (UE) nr 575/2013.</w:t>
            </w:r>
          </w:p>
        </w:tc>
      </w:tr>
      <w:tr w:rsidR="00D413F5" w:rsidRPr="00BB1C90" w14:paraId="75DD11D9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6B24A3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30D6E086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Instrumenty w kapitale Tier II podmiotów sektora finansowego w grupie firm inwestycyjnych, jeżeli jednostka dominująca dokonała znacznej inwestycji w te podmioty</w:t>
            </w:r>
          </w:p>
          <w:p w14:paraId="3E7050E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 xml:space="preserve">Art. 8 ust. 3 lit. a) w związku z </w:t>
            </w:r>
            <w:r w:rsidRPr="00BB1C90">
              <w:rPr>
                <w:rFonts w:ascii="Times New Roman" w:hAnsi="Times New Roman"/>
                <w:bCs/>
              </w:rPr>
              <w:t>art. 66 lit. d) rozporządzenia (UE) nr 575/2013.</w:t>
            </w:r>
          </w:p>
        </w:tc>
      </w:tr>
      <w:tr w:rsidR="00D413F5" w:rsidRPr="00BB1C90" w14:paraId="31941861" w14:textId="77777777">
        <w:tc>
          <w:tcPr>
            <w:tcW w:w="1129" w:type="dxa"/>
          </w:tcPr>
          <w:p w14:paraId="3D02A0CD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28DFB2C3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Udziały kapitałowe podmiotów sektora finansowego w grupie firm inwestycyjnych w zakresie, w jakim nie stanowią one funduszy własnych podmiotu z grupy, w który inwestuje jednostka dominująca</w:t>
            </w:r>
          </w:p>
          <w:p w14:paraId="28D9B7F6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8 ust.</w:t>
            </w:r>
            <w:r w:rsidRPr="00BB1C90">
              <w:rPr>
                <w:rFonts w:ascii="Times New Roman" w:hAnsi="Times New Roman"/>
                <w:bCs/>
              </w:rPr>
              <w:t> 3 lit. a) rozporządzenia (UE) 2019/2033.</w:t>
            </w:r>
          </w:p>
          <w:p w14:paraId="4373190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W tym wierszu ujmuje się pakiety akcji jednostki dominującej w zakresie, w jakim nie stanowią one funduszy własnych podmiotu z grupy, w który inwestuje jednostka dominująca.</w:t>
            </w:r>
          </w:p>
        </w:tc>
      </w:tr>
      <w:tr w:rsidR="00D413F5" w:rsidRPr="00BB1C90" w14:paraId="212ACB87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19781E3A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14:paraId="302C5A82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 xml:space="preserve">Należności 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podporządkowane podmiotów sektora finansowego w grupie firm inwestycyjnych</w:t>
            </w:r>
          </w:p>
          <w:p w14:paraId="3098F2F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8 ust. 3 lit. a) rozporządzenia (UE) 2019/2033.</w:t>
            </w:r>
          </w:p>
          <w:p w14:paraId="76AE8B8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>W tym wierszu ujmuje się należności podporządkowane jednostki dominującej w zakresie, w jakim nie stanowią one funduszy własnych</w:t>
            </w:r>
            <w:r w:rsidRPr="00BB1C90">
              <w:rPr>
                <w:rFonts w:ascii="Times New Roman" w:hAnsi="Times New Roman"/>
                <w:bCs/>
              </w:rPr>
              <w:t xml:space="preserve"> podmiotu z grupy, w który inwestuje jednostka dominująca.</w:t>
            </w:r>
          </w:p>
        </w:tc>
      </w:tr>
      <w:tr w:rsidR="00D413F5" w:rsidRPr="00BB1C90" w14:paraId="21EAC6B8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01CEB0A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715C538E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Zobowiązania warunkowe na rzecz podmiotów z grupy firm inwestycyjnych</w:t>
            </w:r>
          </w:p>
          <w:p w14:paraId="7DFE5AB5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8 ust. 3 lit. b) rozporządzenia (UE) 2019/2033.</w:t>
            </w:r>
          </w:p>
        </w:tc>
      </w:tr>
      <w:tr w:rsidR="00D413F5" w:rsidRPr="00BB1C90" w14:paraId="1DB16993" w14:textId="77777777">
        <w:tc>
          <w:tcPr>
            <w:tcW w:w="1129" w:type="dxa"/>
            <w:tcBorders>
              <w:top w:val="single" w:sz="4" w:space="0" w:color="auto"/>
            </w:tcBorders>
          </w:tcPr>
          <w:p w14:paraId="46D64926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25C11B83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 xml:space="preserve">Łączne wymogi w zakresie funduszy własnych jednostek 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zależnych</w:t>
            </w:r>
          </w:p>
          <w:p w14:paraId="7C4928D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W przypadku stosowania przepisów art. 8 ust. 4 rozporządzenia (UE) 2019/2033.</w:t>
            </w:r>
          </w:p>
        </w:tc>
      </w:tr>
    </w:tbl>
    <w:p w14:paraId="3A2BE460" w14:textId="77777777" w:rsidR="00D413F5" w:rsidRPr="00BB1C90" w:rsidRDefault="00BB1C90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1" w:name="_Toc88127803"/>
      <w:bookmarkEnd w:id="2"/>
      <w:bookmarkEnd w:id="3"/>
      <w:bookmarkEnd w:id="4"/>
      <w:bookmarkEnd w:id="5"/>
      <w:r w:rsidRPr="00BB1C90">
        <w:rPr>
          <w:rFonts w:ascii="Times New Roman" w:hAnsi="Times New Roman"/>
          <w:sz w:val="24"/>
          <w:u w:val="none"/>
        </w:rPr>
        <w:t>1.4</w:t>
      </w:r>
      <w:r w:rsidRPr="00BB1C90">
        <w:rPr>
          <w:rFonts w:ascii="Times New Roman" w:hAnsi="Times New Roman"/>
          <w:sz w:val="24"/>
        </w:rPr>
        <w:t xml:space="preserve"> IF 11.03 INFORMACJE O JEDNOSTKACH ZALEŻNYCH (IF11.3)</w:t>
      </w:r>
      <w:bookmarkEnd w:id="21"/>
    </w:p>
    <w:p w14:paraId="40E504A7" w14:textId="77777777" w:rsidR="00D413F5" w:rsidRPr="00BB1C90" w:rsidRDefault="00BB1C90">
      <w:pPr>
        <w:spacing w:line="256" w:lineRule="auto"/>
        <w:ind w:left="1224" w:hanging="504"/>
        <w:jc w:val="both"/>
        <w:rPr>
          <w:rFonts w:ascii="Times New Roman" w:hAnsi="Times New Roman" w:cs="Times New Roman"/>
          <w:sz w:val="24"/>
        </w:rPr>
      </w:pPr>
      <w:r w:rsidRPr="00BB1C90">
        <w:rPr>
          <w:rFonts w:ascii="Times New Roman" w:hAnsi="Times New Roman" w:cs="Times New Roman"/>
          <w:sz w:val="24"/>
        </w:rPr>
        <w:t>10.</w:t>
      </w:r>
      <w:r w:rsidRPr="00BB1C90">
        <w:rPr>
          <w:rFonts w:ascii="Times New Roman" w:hAnsi="Times New Roman" w:cs="Times New Roman"/>
          <w:sz w:val="24"/>
        </w:rPr>
        <w:tab/>
      </w:r>
      <w:r w:rsidRPr="00BB1C90">
        <w:rPr>
          <w:rFonts w:ascii="Times New Roman" w:hAnsi="Times New Roman"/>
          <w:sz w:val="24"/>
        </w:rPr>
        <w:t xml:space="preserve">W niniejszym wzorze uwzględnia się wszystkie podmioty, które wzięły udział w grupowym teście </w:t>
      </w:r>
      <w:r w:rsidRPr="00BB1C90">
        <w:rPr>
          <w:rFonts w:ascii="Times New Roman" w:hAnsi="Times New Roman"/>
          <w:sz w:val="24"/>
        </w:rPr>
        <w:t>kapitałowym. Dotyczy to także samej jednostki dominującej grupy.</w:t>
      </w:r>
    </w:p>
    <w:p w14:paraId="2CF042FA" w14:textId="77777777" w:rsidR="00D413F5" w:rsidRPr="00BB1C90" w:rsidRDefault="00BB1C90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2" w:name="_Toc88127804"/>
      <w:r w:rsidRPr="00BB1C90">
        <w:rPr>
          <w:rFonts w:ascii="Times New Roman" w:hAnsi="Times New Roman"/>
          <w:sz w:val="24"/>
          <w:szCs w:val="24"/>
        </w:rPr>
        <w:t>1.4.1.</w:t>
      </w:r>
      <w:r w:rsidRPr="00BB1C90">
        <w:tab/>
      </w:r>
      <w:r w:rsidRPr="00BB1C90">
        <w:rPr>
          <w:rFonts w:ascii="Times New Roman" w:hAnsi="Times New Roman"/>
          <w:sz w:val="24"/>
          <w:szCs w:val="24"/>
          <w:u w:val="single"/>
        </w:rPr>
        <w:t>Instrukcje dotyczące poszczególnych pozycji</w:t>
      </w:r>
      <w:bookmarkEnd w:id="2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D413F5" w:rsidRPr="00BB1C90" w14:paraId="344922B1" w14:textId="77777777">
        <w:tc>
          <w:tcPr>
            <w:tcW w:w="1129" w:type="dxa"/>
            <w:shd w:val="clear" w:color="auto" w:fill="D9D9D9"/>
          </w:tcPr>
          <w:p w14:paraId="18462F2A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</w:rPr>
              <w:t>Kolumny</w:t>
            </w:r>
          </w:p>
        </w:tc>
        <w:tc>
          <w:tcPr>
            <w:tcW w:w="7620" w:type="dxa"/>
            <w:shd w:val="clear" w:color="auto" w:fill="D9D9D9"/>
          </w:tcPr>
          <w:p w14:paraId="578C168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</w:rPr>
              <w:t>Odniesienia prawne i instrukcje</w:t>
            </w:r>
          </w:p>
        </w:tc>
      </w:tr>
      <w:tr w:rsidR="00D413F5" w:rsidRPr="00BB1C90" w14:paraId="2A672A11" w14:textId="77777777">
        <w:tc>
          <w:tcPr>
            <w:tcW w:w="1129" w:type="dxa"/>
          </w:tcPr>
          <w:p w14:paraId="74C4BE7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3ACC8140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Kod</w:t>
            </w:r>
          </w:p>
          <w:p w14:paraId="528744C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 xml:space="preserve">Kod jako część identyfikatora wiersza musi być unikatowy dla każdego </w:t>
            </w:r>
            <w:r w:rsidRPr="00BB1C90">
              <w:rPr>
                <w:rFonts w:ascii="Times New Roman" w:hAnsi="Times New Roman"/>
                <w:bCs/>
              </w:rPr>
              <w:t xml:space="preserve">zgłaszanego podmiotu. W przypadku firm inwestycyjnych i zakładów ubezpieczeń kodem jest kod LEI. W przypadku innych podmiotów kodem jest kod LEI lub – jeżeli kod taki </w:t>
            </w:r>
            <w:r w:rsidRPr="00BB1C90">
              <w:rPr>
                <w:rFonts w:ascii="Times New Roman" w:hAnsi="Times New Roman"/>
                <w:bCs/>
              </w:rPr>
              <w:lastRenderedPageBreak/>
              <w:t>jest niedostępny – kod krajowy. Kod jest niepowtarzalny i stosuje się go jednolicie we ws</w:t>
            </w:r>
            <w:r w:rsidRPr="00BB1C90">
              <w:rPr>
                <w:rFonts w:ascii="Times New Roman" w:hAnsi="Times New Roman"/>
                <w:bCs/>
              </w:rPr>
              <w:t>zystkich wzorach i na przestrzeni czasu. Kod zawsze posiada wartość.</w:t>
            </w:r>
          </w:p>
        </w:tc>
      </w:tr>
      <w:tr w:rsidR="00D413F5" w:rsidRPr="00BB1C90" w14:paraId="72652535" w14:textId="77777777">
        <w:tc>
          <w:tcPr>
            <w:tcW w:w="1129" w:type="dxa"/>
          </w:tcPr>
          <w:p w14:paraId="52C58D7D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lastRenderedPageBreak/>
              <w:t>0020</w:t>
            </w:r>
          </w:p>
        </w:tc>
        <w:tc>
          <w:tcPr>
            <w:tcW w:w="7620" w:type="dxa"/>
          </w:tcPr>
          <w:p w14:paraId="7FD1E0E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Rodzaj kodu</w:t>
            </w:r>
          </w:p>
          <w:p w14:paraId="31ADFEB9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Jednostka sprawozdawcza określa rodzaj kodu podany w kolumnie 0010 jako „kod LEI” lub „kod krajowy”.</w:t>
            </w:r>
          </w:p>
          <w:p w14:paraId="7B11BBF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>Należy zawsze zgłaszać rodzaj kodu.</w:t>
            </w:r>
          </w:p>
        </w:tc>
      </w:tr>
      <w:tr w:rsidR="00D413F5" w:rsidRPr="00BB1C90" w14:paraId="345057B6" w14:textId="77777777">
        <w:tc>
          <w:tcPr>
            <w:tcW w:w="1129" w:type="dxa"/>
          </w:tcPr>
          <w:p w14:paraId="2D5155D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245809F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Nazwa podmiotu</w:t>
            </w:r>
          </w:p>
          <w:p w14:paraId="60839DFA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Style w:val="InstructionsTabelleText"/>
                <w:rFonts w:ascii="Times New Roman" w:hAnsi="Times New Roman"/>
                <w:sz w:val="22"/>
              </w:rPr>
              <w:t xml:space="preserve">Nazwa </w:t>
            </w:r>
            <w:r w:rsidRPr="00BB1C90">
              <w:rPr>
                <w:rStyle w:val="InstructionsTabelleText"/>
                <w:rFonts w:ascii="Times New Roman" w:hAnsi="Times New Roman"/>
                <w:sz w:val="22"/>
              </w:rPr>
              <w:t>podmiotu objętego zakresem konsolidacji.</w:t>
            </w:r>
          </w:p>
        </w:tc>
      </w:tr>
      <w:tr w:rsidR="00D413F5" w:rsidRPr="00BB1C90" w14:paraId="5F4AA113" w14:textId="77777777">
        <w:tc>
          <w:tcPr>
            <w:tcW w:w="1129" w:type="dxa"/>
          </w:tcPr>
          <w:p w14:paraId="0941BD6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3A0CF669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C90">
              <w:rPr>
                <w:rFonts w:ascii="Times New Roman" w:hAnsi="Times New Roman"/>
                <w:b/>
                <w:bCs/>
              </w:rPr>
              <w:t>Jednostka dominująca/zależna</w:t>
            </w:r>
          </w:p>
          <w:p w14:paraId="1E55DEA2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Wskazuje, czy podmiot zgłoszony w danym wierszu jest jednostką dominującą grupy, czy też jednostką zależną.</w:t>
            </w:r>
          </w:p>
        </w:tc>
      </w:tr>
      <w:tr w:rsidR="00D413F5" w:rsidRPr="00BB1C90" w14:paraId="498B68F7" w14:textId="77777777">
        <w:tc>
          <w:tcPr>
            <w:tcW w:w="1129" w:type="dxa"/>
          </w:tcPr>
          <w:p w14:paraId="4D1246E5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513695B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Państwo</w:t>
            </w:r>
          </w:p>
          <w:p w14:paraId="361B1F45" w14:textId="77777777" w:rsidR="00D413F5" w:rsidRPr="00BB1C90" w:rsidRDefault="00BB1C90">
            <w:pPr>
              <w:autoSpaceDE w:val="0"/>
              <w:autoSpaceDN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Style w:val="InstructionsTabelleText"/>
                <w:rFonts w:ascii="Times New Roman" w:hAnsi="Times New Roman"/>
                <w:sz w:val="22"/>
              </w:rPr>
              <w:t xml:space="preserve">Należy podać państwo, w którym zlokalizowana jest </w:t>
            </w:r>
            <w:r w:rsidRPr="00BB1C90">
              <w:rPr>
                <w:rStyle w:val="InstructionsTabelleText"/>
                <w:rFonts w:ascii="Times New Roman" w:hAnsi="Times New Roman"/>
                <w:sz w:val="22"/>
              </w:rPr>
              <w:t>jednostka zależna.</w:t>
            </w:r>
          </w:p>
        </w:tc>
      </w:tr>
      <w:tr w:rsidR="00D413F5" w:rsidRPr="00BB1C90" w14:paraId="41F27A72" w14:textId="77777777">
        <w:tc>
          <w:tcPr>
            <w:tcW w:w="1129" w:type="dxa"/>
          </w:tcPr>
          <w:p w14:paraId="0446AFD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0060–0100</w:t>
            </w:r>
          </w:p>
        </w:tc>
        <w:tc>
          <w:tcPr>
            <w:tcW w:w="7620" w:type="dxa"/>
          </w:tcPr>
          <w:p w14:paraId="26D471F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Inwestycje jednostki dominującej</w:t>
            </w:r>
          </w:p>
          <w:p w14:paraId="3F26018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8 ust. 3 lit. a) rozporządzenia (UE) 2019/2033.</w:t>
            </w:r>
          </w:p>
          <w:p w14:paraId="3015733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>W tej sekcji należy wymienić inwestycje jednostki dominującej w podmioty należące do grupy.</w:t>
            </w:r>
          </w:p>
        </w:tc>
      </w:tr>
      <w:tr w:rsidR="00D413F5" w:rsidRPr="00BB1C90" w14:paraId="01A50F8D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435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A8AA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Kapitał podstawowy Tier I</w:t>
            </w:r>
          </w:p>
          <w:p w14:paraId="57375AD9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 xml:space="preserve">Art. 8 </w:t>
            </w:r>
            <w:r w:rsidRPr="00BB1C90">
              <w:rPr>
                <w:rFonts w:ascii="Times New Roman" w:hAnsi="Times New Roman"/>
                <w:bCs/>
              </w:rPr>
              <w:t>ust. 3 lit. a) rozporządzenia (UE) 2019/2033 w związku z art. 36 ust. 1 lit. i) rozporządzenia (UE) nr 575/2013.</w:t>
            </w:r>
          </w:p>
        </w:tc>
      </w:tr>
      <w:tr w:rsidR="00D413F5" w:rsidRPr="00BB1C90" w14:paraId="0B98BCC6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34524A19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53F16B90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Kapitał dodatkowy Tier I</w:t>
            </w:r>
          </w:p>
          <w:p w14:paraId="6FB8476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8 ust. 3 lit. a) rozporządzenia (UE) 2019/2033 w związku z art. 56 lit. d) rozporządzenia (UE) nr 575/2013.</w:t>
            </w:r>
          </w:p>
        </w:tc>
      </w:tr>
      <w:tr w:rsidR="00D413F5" w:rsidRPr="00BB1C90" w14:paraId="5BED3331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D8EB6C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670772C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Kapitał Tier II</w:t>
            </w:r>
          </w:p>
          <w:p w14:paraId="23CBC910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>Art. 8 ust. 3 lit. a) rozporządzenia (UE) 2019/2033 w związku z art. 66 lit. d) rozporządzenia (UE) nr 575/2013.</w:t>
            </w:r>
          </w:p>
        </w:tc>
      </w:tr>
      <w:tr w:rsidR="00D413F5" w:rsidRPr="00BB1C90" w14:paraId="61DE4268" w14:textId="77777777">
        <w:tc>
          <w:tcPr>
            <w:tcW w:w="1129" w:type="dxa"/>
          </w:tcPr>
          <w:p w14:paraId="35D1CA79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4C515E7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Pakiety akcji</w:t>
            </w:r>
          </w:p>
          <w:p w14:paraId="68A20B9D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8 ust. 3 lit. a) rozporządzenia (UE) 2019/2033.</w:t>
            </w:r>
          </w:p>
          <w:p w14:paraId="2BA48710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 xml:space="preserve">W tej kolumnie ujmuje się pakiety akcji </w:t>
            </w:r>
            <w:r w:rsidRPr="00BB1C90">
              <w:rPr>
                <w:rFonts w:ascii="Times New Roman" w:hAnsi="Times New Roman"/>
                <w:bCs/>
              </w:rPr>
              <w:t>jednostki dominującej w zakresie, w jakim nie stanowią one funduszy własnych podmiotu z grupy, w który inwestuje jednostka dominująca.</w:t>
            </w:r>
          </w:p>
        </w:tc>
      </w:tr>
      <w:tr w:rsidR="00D413F5" w:rsidRPr="00BB1C90" w14:paraId="3F8AF5E7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26A6889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14:paraId="5DD1F505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Należności podporządkowane</w:t>
            </w:r>
          </w:p>
          <w:p w14:paraId="5AB1B28E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8 ust. 3 lit. a) rozporządzenia (UE) 2019/2033.</w:t>
            </w:r>
          </w:p>
          <w:p w14:paraId="6E1BE772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Cs/>
              </w:rPr>
              <w:t>W tej kolumnie ujmuje się należnośc</w:t>
            </w:r>
            <w:r w:rsidRPr="00BB1C90">
              <w:rPr>
                <w:rFonts w:ascii="Times New Roman" w:hAnsi="Times New Roman"/>
                <w:bCs/>
              </w:rPr>
              <w:t>i podporządkowane jednostki dominującej w zakresie, w jakim nie stanowią one funduszy własnych podmiotu z grupy, w który inwestuje jednostka dominująca.</w:t>
            </w:r>
          </w:p>
        </w:tc>
      </w:tr>
      <w:tr w:rsidR="00D413F5" w:rsidRPr="00BB1C90" w14:paraId="6CF713EC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51087190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4BF98890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Zobowiązania warunkowe jednostki dominującej na rzecz podmiotu</w:t>
            </w:r>
          </w:p>
          <w:p w14:paraId="3EF8E1B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 xml:space="preserve">Art. 8 ust. 3 lit. b) </w:t>
            </w:r>
            <w:r w:rsidRPr="00BB1C90">
              <w:rPr>
                <w:rFonts w:ascii="Times New Roman" w:hAnsi="Times New Roman"/>
                <w:bCs/>
              </w:rPr>
              <w:t>rozporządzenia (UE) 2019/2033.</w:t>
            </w:r>
          </w:p>
        </w:tc>
      </w:tr>
      <w:tr w:rsidR="00D413F5" w:rsidRPr="00BB1C90" w14:paraId="584B8497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5DC42FA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4A6521AA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Łączne wymogi w zakresie funduszy własnych jednostek zależnych</w:t>
            </w:r>
          </w:p>
          <w:p w14:paraId="24C9443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Art. 8 ust. 4 rozporządzenia (UE) 2019/2033.</w:t>
            </w:r>
          </w:p>
        </w:tc>
      </w:tr>
      <w:tr w:rsidR="00D413F5" w:rsidRPr="00BB1C90" w14:paraId="3A00CF16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642A8A0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lastRenderedPageBreak/>
              <w:t>0130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4EFEA522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Stały kapitał minimalny</w:t>
            </w:r>
          </w:p>
          <w:p w14:paraId="1A11DABA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>Art. 14 rozporządzenia (UE) 2019/2033.</w:t>
            </w:r>
          </w:p>
        </w:tc>
      </w:tr>
      <w:tr w:rsidR="00D413F5" w:rsidRPr="00BB1C90" w14:paraId="09EDBCF2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4C155DB3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6AB88CA4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 xml:space="preserve">Wymóg oparty na 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współczynniku K</w:t>
            </w:r>
          </w:p>
          <w:p w14:paraId="44F8700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>Art. 15 rozporządzenia (UE) 2019/2033.</w:t>
            </w:r>
          </w:p>
        </w:tc>
      </w:tr>
      <w:tr w:rsidR="00D413F5" w:rsidRPr="00BB1C90" w14:paraId="44952558" w14:textId="77777777">
        <w:tc>
          <w:tcPr>
            <w:tcW w:w="1129" w:type="dxa"/>
            <w:tcBorders>
              <w:top w:val="single" w:sz="4" w:space="0" w:color="auto"/>
            </w:tcBorders>
          </w:tcPr>
          <w:p w14:paraId="00763695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52189B1D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Zarządzane aktywa</w:t>
            </w:r>
          </w:p>
          <w:p w14:paraId="15038F1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>Art. 15 ust. 2 i art. 17 rozporządzenia (UE) 2019/2033.</w:t>
            </w:r>
          </w:p>
        </w:tc>
      </w:tr>
      <w:tr w:rsidR="00D413F5" w:rsidRPr="00BB1C90" w14:paraId="6B17C636" w14:textId="77777777">
        <w:tc>
          <w:tcPr>
            <w:tcW w:w="1129" w:type="dxa"/>
            <w:tcBorders>
              <w:top w:val="single" w:sz="4" w:space="0" w:color="auto"/>
            </w:tcBorders>
          </w:tcPr>
          <w:p w14:paraId="28C67F74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621460DA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Przechowywane środki pieniężne klientów – wyodrębnione</w:t>
            </w:r>
          </w:p>
          <w:p w14:paraId="42D4719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 xml:space="preserve">Art. 15 ust. 2 i art. 18 rozporządzenia (UE) </w:t>
            </w:r>
            <w:r w:rsidRPr="00BB1C90">
              <w:rPr>
                <w:rFonts w:ascii="Times New Roman" w:hAnsi="Times New Roman"/>
                <w:bCs/>
                <w:color w:val="000000" w:themeColor="text1"/>
              </w:rPr>
              <w:t>2019/2033.</w:t>
            </w:r>
          </w:p>
        </w:tc>
      </w:tr>
      <w:tr w:rsidR="00D413F5" w:rsidRPr="00BB1C90" w14:paraId="1CB06C83" w14:textId="77777777">
        <w:tc>
          <w:tcPr>
            <w:tcW w:w="1129" w:type="dxa"/>
            <w:tcBorders>
              <w:top w:val="single" w:sz="4" w:space="0" w:color="auto"/>
            </w:tcBorders>
          </w:tcPr>
          <w:p w14:paraId="0A1C0393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6FC1DEEA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Przechowywane środki pieniężne klientów – niewyodrębnione</w:t>
            </w:r>
          </w:p>
          <w:p w14:paraId="7B919FE7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>Art. 15 ust. 2 i art. 18 rozporządzenia (UE) 2019/2033.</w:t>
            </w:r>
          </w:p>
        </w:tc>
      </w:tr>
      <w:tr w:rsidR="00D413F5" w:rsidRPr="00BB1C90" w14:paraId="1193424D" w14:textId="77777777">
        <w:tc>
          <w:tcPr>
            <w:tcW w:w="1129" w:type="dxa"/>
            <w:tcBorders>
              <w:top w:val="single" w:sz="4" w:space="0" w:color="auto"/>
            </w:tcBorders>
          </w:tcPr>
          <w:p w14:paraId="373FA05A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1EF77078" w14:textId="77777777" w:rsidR="00D413F5" w:rsidRPr="00BB1C90" w:rsidRDefault="00BB1C90">
            <w:pPr>
              <w:tabs>
                <w:tab w:val="left" w:pos="394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Aktywa zabezpieczone i objęte administrowaniem</w:t>
            </w:r>
          </w:p>
          <w:p w14:paraId="15A261E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 xml:space="preserve">Art. 15 ust. 2 i art. 19 rozporządzenia (UE) 2019/2033. </w:t>
            </w:r>
          </w:p>
        </w:tc>
      </w:tr>
      <w:tr w:rsidR="00D413F5" w:rsidRPr="00BB1C90" w14:paraId="11E91F1E" w14:textId="77777777">
        <w:tc>
          <w:tcPr>
            <w:tcW w:w="1129" w:type="dxa"/>
            <w:tcBorders>
              <w:top w:val="single" w:sz="4" w:space="0" w:color="auto"/>
            </w:tcBorders>
          </w:tcPr>
          <w:p w14:paraId="596333DA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4DC90EA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Obsługiwa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ne zlecenia klientów – transakcje na rynku kasowym</w:t>
            </w:r>
          </w:p>
          <w:p w14:paraId="3544226A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>Art. 15 ust. 2 i art. 20 ust. 1 oraz art. 20 ust. 2 lit. a) rozporządzenia (UE) 2019/2033.</w:t>
            </w:r>
          </w:p>
        </w:tc>
      </w:tr>
      <w:tr w:rsidR="00D413F5" w:rsidRPr="00BB1C90" w14:paraId="5EBFCA87" w14:textId="77777777">
        <w:tc>
          <w:tcPr>
            <w:tcW w:w="1129" w:type="dxa"/>
            <w:tcBorders>
              <w:top w:val="single" w:sz="4" w:space="0" w:color="auto"/>
            </w:tcBorders>
          </w:tcPr>
          <w:p w14:paraId="375B76E0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4AEC32F6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Obsługiwane zlecenia klientów – transakcje na rynku instrumentów pochodnych</w:t>
            </w:r>
          </w:p>
          <w:p w14:paraId="626BDB0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 xml:space="preserve">Art. 15 ust. 2 i art. 20 </w:t>
            </w:r>
            <w:r w:rsidRPr="00BB1C90">
              <w:rPr>
                <w:rFonts w:ascii="Times New Roman" w:hAnsi="Times New Roman"/>
                <w:bCs/>
                <w:color w:val="000000" w:themeColor="text1"/>
              </w:rPr>
              <w:t>ust. 1 oraz art. 20 ust. 2 lit. b) rozporządzenia (UE) 2019/2033.</w:t>
            </w:r>
          </w:p>
        </w:tc>
      </w:tr>
      <w:tr w:rsidR="00D413F5" w:rsidRPr="00BB1C90" w14:paraId="0AE8B07D" w14:textId="77777777">
        <w:tc>
          <w:tcPr>
            <w:tcW w:w="1129" w:type="dxa"/>
            <w:tcBorders>
              <w:top w:val="single" w:sz="4" w:space="0" w:color="auto"/>
            </w:tcBorders>
          </w:tcPr>
          <w:p w14:paraId="7EC99573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16775903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Wymóg w zakresie pozycji ryzyka netto dla współczynnika K</w:t>
            </w:r>
          </w:p>
          <w:p w14:paraId="7B9E81D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>Art. 22 rozporządzenia (UE) 2019/2033.</w:t>
            </w:r>
          </w:p>
        </w:tc>
      </w:tr>
      <w:tr w:rsidR="00D413F5" w:rsidRPr="00BB1C90" w14:paraId="47876ACA" w14:textId="77777777">
        <w:tc>
          <w:tcPr>
            <w:tcW w:w="1129" w:type="dxa"/>
            <w:tcBorders>
              <w:top w:val="single" w:sz="4" w:space="0" w:color="auto"/>
            </w:tcBorders>
          </w:tcPr>
          <w:p w14:paraId="1BC75DB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4A61FE35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Wniesiony depozyt rozliczeniowy</w:t>
            </w:r>
          </w:p>
          <w:p w14:paraId="2C6205D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 xml:space="preserve">Art. 23 ust. 2 rozporządzenia (UE) </w:t>
            </w:r>
            <w:r w:rsidRPr="00BB1C90">
              <w:rPr>
                <w:rFonts w:ascii="Times New Roman" w:hAnsi="Times New Roman"/>
                <w:bCs/>
                <w:color w:val="000000" w:themeColor="text1"/>
              </w:rPr>
              <w:t>2019/2033.</w:t>
            </w:r>
          </w:p>
        </w:tc>
      </w:tr>
      <w:tr w:rsidR="00D413F5" w:rsidRPr="00BB1C90" w14:paraId="43183442" w14:textId="77777777">
        <w:tc>
          <w:tcPr>
            <w:tcW w:w="1129" w:type="dxa"/>
            <w:tcBorders>
              <w:top w:val="single" w:sz="4" w:space="0" w:color="auto"/>
            </w:tcBorders>
          </w:tcPr>
          <w:p w14:paraId="3118A51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198352A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Niewykonanie zobowiązania przez kontrahenta transakcyjnego</w:t>
            </w:r>
          </w:p>
          <w:p w14:paraId="5E06B9F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>Art. 26 i art. 24 rozporządzenia (UE) 2019/2033.</w:t>
            </w:r>
          </w:p>
        </w:tc>
      </w:tr>
      <w:tr w:rsidR="00D413F5" w:rsidRPr="00BB1C90" w14:paraId="18B76E4F" w14:textId="77777777">
        <w:tc>
          <w:tcPr>
            <w:tcW w:w="1129" w:type="dxa"/>
            <w:tcBorders>
              <w:top w:val="single" w:sz="4" w:space="0" w:color="auto"/>
            </w:tcBorders>
          </w:tcPr>
          <w:p w14:paraId="12999C6D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2A12A9E9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Dzienne przepływy transakcyjne dla transakcji na rynku kasowym</w:t>
            </w:r>
          </w:p>
          <w:p w14:paraId="290D1ED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 xml:space="preserve">Do celów obliczania wymogu opartego na </w:t>
            </w:r>
            <w:r w:rsidRPr="00BB1C90">
              <w:rPr>
                <w:rFonts w:ascii="Times New Roman" w:hAnsi="Times New Roman"/>
                <w:bCs/>
                <w:color w:val="000000" w:themeColor="text1"/>
              </w:rPr>
              <w:t>współczynniku K firmy inwestycyjne dokonują zgłoszeń z zastosowaniem współczynnika procentowego określonego w art. 15 ust. 2 rozporządzenia (UE) 2019/2033.</w:t>
            </w:r>
          </w:p>
          <w:p w14:paraId="77651E14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>W przypadku skrajnych warunków rynkowych, zgodnie z art. 15 ust. 5 lit. c) rozporządzenia (UE) 2019/</w:t>
            </w:r>
            <w:r w:rsidRPr="00BB1C90">
              <w:rPr>
                <w:rFonts w:ascii="Times New Roman" w:hAnsi="Times New Roman"/>
                <w:bCs/>
                <w:color w:val="000000" w:themeColor="text1"/>
              </w:rPr>
              <w:t>2033, firmy inwestycyjne stosują skorygowany współczynnik procentowy określony w tej literze.</w:t>
            </w:r>
          </w:p>
          <w:p w14:paraId="7D3FEEC1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>Współczynnik dziennych przepływów transakcyjnych oblicza się zgodnie z art. 33 ust. 2 lit. a) rozporządzenia (UE) 2019/2033.</w:t>
            </w:r>
          </w:p>
        </w:tc>
      </w:tr>
      <w:tr w:rsidR="00D413F5" w:rsidRPr="00BB1C90" w14:paraId="595737AA" w14:textId="77777777">
        <w:tc>
          <w:tcPr>
            <w:tcW w:w="1129" w:type="dxa"/>
            <w:tcBorders>
              <w:top w:val="single" w:sz="4" w:space="0" w:color="auto"/>
            </w:tcBorders>
          </w:tcPr>
          <w:p w14:paraId="500F7A7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7CDA99D8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 xml:space="preserve">Dzienne przepływy transakcyjne </w:t>
            </w:r>
            <w:r w:rsidRPr="00BB1C90">
              <w:rPr>
                <w:rFonts w:ascii="Times New Roman" w:hAnsi="Times New Roman"/>
                <w:b/>
                <w:bCs/>
                <w:u w:val="single"/>
              </w:rPr>
              <w:t>dla transakcji na rynku instrumentów pochodnych</w:t>
            </w:r>
          </w:p>
          <w:p w14:paraId="694CF983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>Do celów obliczania wymogu opartego na współczynniku K firmy inwestycyjne dokonują zgłoszeń z zastosowaniem współczynnika procentowego określonego w art. 15 ust. 2 rozporządzenia (UE) 2019/2033.</w:t>
            </w:r>
          </w:p>
          <w:p w14:paraId="490D1525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>W przypadku s</w:t>
            </w:r>
            <w:r w:rsidRPr="00BB1C90">
              <w:rPr>
                <w:rFonts w:ascii="Times New Roman" w:hAnsi="Times New Roman"/>
                <w:bCs/>
                <w:color w:val="000000" w:themeColor="text1"/>
              </w:rPr>
              <w:t>krajnych warunków rynkowych, zgodnie z art. 15 ust. 5 lit. c) rozporządzenia (UE) 2019/2033, firmy inwestycyjne stosują skorygowany współczynnik procentowy określony w tej literze.</w:t>
            </w:r>
          </w:p>
          <w:p w14:paraId="15F0FE44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lastRenderedPageBreak/>
              <w:t>Współczynnik dziennych przepływów transakcyjnych oblicza się zgodnie z art.</w:t>
            </w:r>
            <w:r w:rsidRPr="00BB1C90">
              <w:rPr>
                <w:rFonts w:ascii="Times New Roman" w:hAnsi="Times New Roman"/>
                <w:bCs/>
                <w:color w:val="000000" w:themeColor="text1"/>
              </w:rPr>
              <w:t> 33 ust. 2 lit. b) rozporządzenia (UE) 2019/2033.</w:t>
            </w:r>
          </w:p>
        </w:tc>
      </w:tr>
      <w:tr w:rsidR="00D413F5" w:rsidRPr="00BB1C90" w14:paraId="784DC5AC" w14:textId="77777777">
        <w:tc>
          <w:tcPr>
            <w:tcW w:w="1129" w:type="dxa"/>
            <w:tcBorders>
              <w:top w:val="single" w:sz="4" w:space="0" w:color="auto"/>
            </w:tcBorders>
          </w:tcPr>
          <w:p w14:paraId="01FF611C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lastRenderedPageBreak/>
              <w:t>0260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3D3D1550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Wymóg w zakresie współczynnika K dotyczącego ryzyka koncentracji</w:t>
            </w:r>
          </w:p>
          <w:p w14:paraId="6B6762FF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>Art. 37 ust. 2, art. 39 i art. 24 rozporządzenia (UE) 2019/2033.</w:t>
            </w:r>
          </w:p>
        </w:tc>
      </w:tr>
      <w:tr w:rsidR="00D413F5" w14:paraId="6E83FF8A" w14:textId="77777777">
        <w:tc>
          <w:tcPr>
            <w:tcW w:w="1129" w:type="dxa"/>
            <w:tcBorders>
              <w:top w:val="single" w:sz="4" w:space="0" w:color="auto"/>
            </w:tcBorders>
          </w:tcPr>
          <w:p w14:paraId="5AA54D32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B1C90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128F5ECB" w14:textId="77777777" w:rsidR="00D413F5" w:rsidRPr="00BB1C90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B1C90">
              <w:rPr>
                <w:rFonts w:ascii="Times New Roman" w:hAnsi="Times New Roman"/>
                <w:b/>
                <w:bCs/>
                <w:u w:val="single"/>
              </w:rPr>
              <w:t>Wymóg dotyczący stałych kosztów pośrednich</w:t>
            </w:r>
          </w:p>
          <w:p w14:paraId="21344D3E" w14:textId="77777777" w:rsidR="00D413F5" w:rsidRDefault="00BB1C9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B1C90">
              <w:rPr>
                <w:rFonts w:ascii="Times New Roman" w:hAnsi="Times New Roman"/>
                <w:bCs/>
                <w:color w:val="000000" w:themeColor="text1"/>
              </w:rPr>
              <w:t>Art. 13 rozporządzeni</w:t>
            </w:r>
            <w:r w:rsidRPr="00BB1C90">
              <w:rPr>
                <w:rFonts w:ascii="Times New Roman" w:hAnsi="Times New Roman"/>
                <w:bCs/>
                <w:color w:val="000000" w:themeColor="text1"/>
              </w:rPr>
              <w:t>a (UE) 2019/2033.</w:t>
            </w:r>
          </w:p>
        </w:tc>
      </w:tr>
    </w:tbl>
    <w:p w14:paraId="58EF3DED" w14:textId="77777777" w:rsidR="00D413F5" w:rsidRDefault="00D413F5">
      <w:pPr>
        <w:pStyle w:val="Instructionsberschrift2"/>
        <w:ind w:left="357" w:hanging="357"/>
      </w:pPr>
    </w:p>
    <w:sectPr w:rsidR="00D413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308CA3" w14:textId="77777777" w:rsidR="00D413F5" w:rsidRDefault="00D413F5">
      <w:pPr>
        <w:pStyle w:val="Footer"/>
      </w:pPr>
    </w:p>
  </w:endnote>
  <w:endnote w:type="continuationSeparator" w:id="0">
    <w:p w14:paraId="0D111F1E" w14:textId="77777777" w:rsidR="00D413F5" w:rsidRDefault="00D413F5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E0A02" w14:textId="77777777" w:rsidR="00D413F5" w:rsidRDefault="00D413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37297" w14:textId="77777777" w:rsidR="00D413F5" w:rsidRDefault="00BB1C90">
    <w:pPr>
      <w:pStyle w:val="Footer"/>
      <w:tabs>
        <w:tab w:val="clear" w:pos="4513"/>
        <w:tab w:val="clear" w:pos="9026"/>
        <w:tab w:val="right" w:pos="9071"/>
      </w:tabs>
    </w:pPr>
    <w:r>
      <w:t>PL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A55D2" w14:textId="77777777" w:rsidR="00D413F5" w:rsidRDefault="00D413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7A368" w14:textId="77777777" w:rsidR="00D413F5" w:rsidRDefault="00D413F5">
      <w:pPr>
        <w:pStyle w:val="Footer"/>
      </w:pPr>
    </w:p>
  </w:footnote>
  <w:footnote w:type="continuationSeparator" w:id="0">
    <w:p w14:paraId="4611DDEA" w14:textId="77777777" w:rsidR="00D413F5" w:rsidRDefault="00D413F5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FBCD9" w14:textId="77777777" w:rsidR="00D413F5" w:rsidRDefault="00BB1C90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15D34" w14:textId="75AB08AC" w:rsidR="00D413F5" w:rsidRDefault="00BB1C9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789D27" wp14:editId="4914BE8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63f646d6ad9419123a84c23c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06B303F" w14:textId="5F7C160E" w:rsidR="00BB1C90" w:rsidRPr="00BB1C90" w:rsidRDefault="00BB1C90" w:rsidP="00BB1C90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BB1C90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789D27" id="_x0000_t202" coordsize="21600,21600" o:spt="202" path="m,l,21600r21600,l21600,xe">
              <v:stroke joinstyle="miter"/>
              <v:path gradientshapeok="t" o:connecttype="rect"/>
            </v:shapetype>
            <v:shape id="MSIPCM63f646d6ad9419123a84c23c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YOQsAIAAEcFAAAOAAAAZHJzL2Uyb0RvYy54bWysVE1v2zAMvQ/YfxB02Gmt7cRxm6xOkaXo&#10;ViBtA6RDz4osxQZsSZWU2tmw/z5KltO122nYxaZIih+Pj7q47JoaPTNtKilynJzGGDFBZVGJXY6/&#10;PVyfnGNkLBEFqaVgOT4wgy/n799dtGrGRrKUdcE0giDCzFqV49JaNYsiQ0vWEHMqFRNg5FI3xMJR&#10;76JCkxaiN3U0iuMsaqUulJaUGQPaq96I5z4+54zae84Ns6jOMdRm/Vf779Z9o/kFme00UWVFQxnk&#10;H6poSCUg6THUFbEE7XX1R6imoloaye0plU0kOa8o8z1AN0n8pptNSRTzvQA4Rh1hMv8vLL17XmtU&#10;FTA7jARpYES3m5v18jYb8yzNiowU0zSZJqMxOU/paEwxKpihgOCPD097aT99JaZcyoL1p9lJmmVp&#10;kkzis4/BzqpdaYP1PAWGBMNjVdgy6CfTyVG/rgllDRPDnSEMAaL0cghwIwrWhQD9b62rhujDK68N&#10;UAC4GfyScPdBqqCJj4lXjA85QfnTUaNVZgYIbRRgZLvPsnMwBb0BpZt4x3Xj/jBLBHYg2eFILNZZ&#10;REF5NsnicQImCrbR2TieeOZFL7eVNvYLkw1yQo41VO35RJ5XxkJGcB1cXDIhr6u69uStBWpznI0h&#10;5CsL3KgFXHQ99LU6yXbbLjSwlcUB+tKyXwqj6HUFyVfE2DXRsAVQL2y2vYcPryUkkUHCqJT6+9/0&#10;zh/ICVaMWtiqHJunPdEMo/pGAG1HkzSO3R76EwjaC9MkTeGwHbRi3ywlbCxwEsryovO19SByLZtH&#10;2PyFSwcmIigkzbEdxKWFExjg5aBssfAybJwidiU2irrQDi2H6UP3SLQKwFsY2Z0cFo/M3uDf+/Y4&#10;L/ZW8soPxyHbwxkAh231Mwsvi3sOfj97r5f3b/4L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KdBg5CwAgAARwUAAA4AAAAA&#10;AAAAAAAAAAAALgIAAGRycy9lMm9Eb2MueG1sUEsBAi0AFAAGAAgAAAAhAGkB3iPcAAAABwEAAA8A&#10;AAAAAAAAAAAAAAAACgUAAGRycy9kb3ducmV2LnhtbFBLBQYAAAAABAAEAPMAAAATBgAAAAA=&#10;" o:allowincell="f" filled="f" stroked="f" strokeweight=".5pt">
              <v:fill o:detectmouseclick="t"/>
              <v:textbox inset="20pt,0,,0">
                <w:txbxContent>
                  <w:p w14:paraId="006B303F" w14:textId="5F7C160E" w:rsidR="00BB1C90" w:rsidRPr="00BB1C90" w:rsidRDefault="00BB1C90" w:rsidP="00BB1C90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BB1C90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D335B" w14:textId="77777777" w:rsidR="00D413F5" w:rsidRDefault="00BB1C90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04293"/>
    <w:multiLevelType w:val="hybridMultilevel"/>
    <w:tmpl w:val="C2D274AC"/>
    <w:lvl w:ilvl="0" w:tplc="9B189216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802EC7"/>
    <w:multiLevelType w:val="multilevel"/>
    <w:tmpl w:val="3BFC9D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E4026E"/>
    <w:multiLevelType w:val="hybridMultilevel"/>
    <w:tmpl w:val="ED7C6D3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B">
      <w:start w:val="1"/>
      <w:numFmt w:val="lowerRoman"/>
      <w:lvlText w:val="%2."/>
      <w:lvlJc w:val="righ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F45FC0"/>
    <w:multiLevelType w:val="hybridMultilevel"/>
    <w:tmpl w:val="861075D0"/>
    <w:lvl w:ilvl="0" w:tplc="BAEC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DE1B7E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857503B"/>
    <w:multiLevelType w:val="multilevel"/>
    <w:tmpl w:val="9EF841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5544C6"/>
    <w:multiLevelType w:val="hybridMultilevel"/>
    <w:tmpl w:val="B5AE6A30"/>
    <w:lvl w:ilvl="0" w:tplc="FE302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71863"/>
    <w:multiLevelType w:val="hybridMultilevel"/>
    <w:tmpl w:val="E5404712"/>
    <w:lvl w:ilvl="0" w:tplc="40D6B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0"/>
  </w:num>
  <w:num w:numId="5">
    <w:abstractNumId w:val="3"/>
  </w:num>
  <w:num w:numId="6">
    <w:abstractNumId w:val="1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hyphenationZone w:val="283"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413F5"/>
    <w:rsid w:val="00BB1C90"/>
    <w:rsid w:val="00D4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7"/>
    <o:shapelayout v:ext="edit">
      <o:idmap v:ext="edit" data="1"/>
    </o:shapelayout>
  </w:shapeDefaults>
  <w:decimalSymbol w:val="."/>
  <w:listSeparator w:val=","/>
  <w14:docId w14:val="2B62D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9"/>
    <w:rPr>
      <w:rFonts w:ascii="Verdana" w:eastAsia="Arial" w:hAnsi="Verdana" w:cs="Times New Roman"/>
      <w:b/>
      <w:sz w:val="24"/>
      <w:szCs w:val="24"/>
      <w:u w:val="single"/>
      <w:lang w:val="pl-PL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4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="Times New Roman" w:hAnsi="Times New Roman" w:cs="Arial"/>
      <w:bCs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fzhlungszeichen3">
    <w:name w:val="Aufzählungszeichen3"/>
    <w:basedOn w:val="Normal"/>
    <w:uiPriority w:val="1"/>
    <w:qFormat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sz w:val="20"/>
      <w:szCs w:val="24"/>
    </w:rPr>
  </w:style>
  <w:style w:type="paragraph" w:customStyle="1" w:styleId="InstructionsText2">
    <w:name w:val="Instructions Text 2"/>
    <w:basedOn w:val="InstructionsText"/>
    <w:qFormat/>
    <w:pPr>
      <w:numPr>
        <w:numId w:val="12"/>
      </w:numPr>
      <w:spacing w:after="240"/>
    </w:pPr>
    <w:rPr>
      <w:rFonts w:cs="Times New Roman"/>
      <w:bCs w:val="0"/>
    </w:rPr>
  </w:style>
  <w:style w:type="paragraph" w:customStyle="1" w:styleId="Instructionsberschrift2">
    <w:name w:val="Instructions Überschrift 2"/>
    <w:basedOn w:val="Heading2"/>
    <w:pPr>
      <w:spacing w:after="240"/>
      <w:ind w:left="720"/>
    </w:pPr>
    <w:rPr>
      <w:rFonts w:cs="Arial"/>
      <w:b w:val="0"/>
      <w:sz w:val="20"/>
    </w:rPr>
  </w:style>
  <w:style w:type="character" w:customStyle="1" w:styleId="ListParagraphChar">
    <w:name w:val="List Paragraph Char"/>
    <w:link w:val="ListParagraph"/>
    <w:uiPriority w:val="34"/>
  </w:style>
  <w:style w:type="character" w:customStyle="1" w:styleId="InstructionsTabelleText">
    <w:name w:val="Instructions Tabelle Text"/>
    <w:rPr>
      <w:rFonts w:ascii="Verdana" w:hAnsi="Verdana" w:cs="Times New Roman"/>
      <w:sz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FE2DC7D0-18F5-4101-89A4-7A61E30911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00584-2808-442D-BA8D-CDE8FD90B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3809</Words>
  <Characters>21713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2021-11-25T14:58:00Z</dcterms:created>
  <dcterms:modified xsi:type="dcterms:W3CDTF">2022-01-14T17:07:00Z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2022-01-14T17:07:08Z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c818467e-2594-4ed8-960e-0cf619e75573</vt:lpwstr>
  </property>
  <property fmtid="{D5CDD505-2E9C-101B-9397-08002B2CF9AE}" pid="8" name="MSIP_Label_5c7eb9de-735b-4a68-8fe4-c9c62709b012_ContentBits">
    <vt:lpwstr>1</vt:lpwstr>
  </property>
</Properties>
</file>