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B5E7E4" w14:textId="77777777" w:rsidR="00ED3F18" w:rsidRPr="00E71EAB" w:rsidRDefault="00E71EAB">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E71EAB">
        <w:rPr>
          <w:rFonts w:ascii="Times New Roman" w:hAnsi="Times New Roman"/>
          <w:b/>
          <w:sz w:val="24"/>
          <w:szCs w:val="24"/>
        </w:rPr>
        <w:t>CS</w:t>
      </w:r>
      <w:r w:rsidRPr="00E71EAB">
        <w:rPr>
          <w:rFonts w:ascii="Times New Roman" w:hAnsi="Times New Roman"/>
          <w:b/>
          <w:sz w:val="24"/>
          <w:szCs w:val="24"/>
        </w:rPr>
        <w:br/>
      </w:r>
      <w:r w:rsidRPr="00E71EAB">
        <w:rPr>
          <w:rFonts w:ascii="Times New Roman" w:hAnsi="Times New Roman"/>
          <w:b/>
          <w:sz w:val="24"/>
          <w:szCs w:val="20"/>
        </w:rPr>
        <w:t>PŘÍLOHA IV</w:t>
      </w:r>
    </w:p>
    <w:p w14:paraId="368DEE52" w14:textId="77777777" w:rsidR="00ED3F18" w:rsidRPr="00E71EAB" w:rsidRDefault="00E71EAB">
      <w:pPr>
        <w:spacing w:after="240" w:line="240" w:lineRule="auto"/>
        <w:jc w:val="center"/>
        <w:rPr>
          <w:rFonts w:ascii="Times New Roman" w:eastAsia="Times New Roman" w:hAnsi="Times New Roman" w:cs="Times New Roman"/>
          <w:b/>
          <w:sz w:val="24"/>
          <w:szCs w:val="20"/>
          <w:u w:val="single"/>
        </w:rPr>
      </w:pPr>
      <w:r w:rsidRPr="00E71EAB">
        <w:rPr>
          <w:rFonts w:ascii="Times New Roman" w:hAnsi="Times New Roman"/>
          <w:b/>
          <w:sz w:val="24"/>
          <w:szCs w:val="20"/>
          <w:u w:val="single"/>
        </w:rPr>
        <w:t xml:space="preserve">„PŘÍLOHA </w:t>
      </w:r>
      <w:bookmarkEnd w:id="0"/>
      <w:bookmarkEnd w:id="1"/>
      <w:r w:rsidRPr="00E71EAB">
        <w:rPr>
          <w:rFonts w:ascii="Times New Roman" w:hAnsi="Times New Roman"/>
          <w:b/>
          <w:sz w:val="24"/>
          <w:szCs w:val="20"/>
          <w:u w:val="single"/>
        </w:rPr>
        <w:t>IV</w:t>
      </w:r>
    </w:p>
    <w:p w14:paraId="7DFC871E" w14:textId="77777777" w:rsidR="00ED3F18" w:rsidRPr="00E71EAB" w:rsidRDefault="00E71EAB">
      <w:pPr>
        <w:spacing w:after="240" w:line="240" w:lineRule="auto"/>
        <w:jc w:val="center"/>
        <w:rPr>
          <w:rFonts w:ascii="Times New Roman" w:eastAsia="Times New Roman" w:hAnsi="Times New Roman" w:cs="Times New Roman"/>
          <w:b/>
          <w:sz w:val="24"/>
          <w:szCs w:val="20"/>
        </w:rPr>
      </w:pPr>
      <w:r w:rsidRPr="00E71EAB">
        <w:rPr>
          <w:rFonts w:ascii="Times New Roman" w:hAnsi="Times New Roman"/>
          <w:b/>
          <w:sz w:val="24"/>
          <w:szCs w:val="20"/>
        </w:rPr>
        <w:t>PODÁVÁNÍ ZPRÁV MALÝMI A NEPROPOJENÝMI INVESTIČNÍMI PODNIKY</w:t>
      </w:r>
    </w:p>
    <w:p w14:paraId="5BD8871A" w14:textId="77777777" w:rsidR="00ED3F18" w:rsidRPr="00E71EAB" w:rsidRDefault="00E71EAB">
      <w:pPr>
        <w:spacing w:after="0" w:line="240" w:lineRule="auto"/>
        <w:rPr>
          <w:rFonts w:ascii="Times New Roman" w:eastAsia="Times New Roman" w:hAnsi="Times New Roman" w:cs="Times New Roman"/>
          <w:sz w:val="24"/>
          <w:szCs w:val="24"/>
        </w:rPr>
      </w:pPr>
      <w:r w:rsidRPr="00E71EAB">
        <w:rPr>
          <w:rFonts w:ascii="Times New Roman" w:hAnsi="Times New Roman"/>
          <w:sz w:val="24"/>
          <w:szCs w:val="24"/>
        </w:rPr>
        <w:t>Obsah</w:t>
      </w:r>
    </w:p>
    <w:p w14:paraId="1CC3DE5E" w14:textId="77777777" w:rsidR="00ED3F18" w:rsidRPr="00E71EAB" w:rsidRDefault="00E71EAB">
      <w:pPr>
        <w:pStyle w:val="TOC2"/>
        <w:rPr>
          <w:rFonts w:eastAsiaTheme="minorEastAsia"/>
          <w:noProof/>
          <w:lang w:eastAsia="cs-CZ"/>
        </w:rPr>
      </w:pPr>
      <w:r w:rsidRPr="00E71EAB">
        <w:rPr>
          <w:rFonts w:ascii="Times New Roman" w:hAnsi="Times New Roman"/>
          <w:noProof/>
        </w:rPr>
        <w:t>ČÁST I: OBECNÉ POKYNY</w:t>
      </w:r>
      <w:r w:rsidRPr="00E71EAB">
        <w:rPr>
          <w:noProof/>
        </w:rPr>
        <w:tab/>
        <w:t>2</w:t>
      </w:r>
    </w:p>
    <w:p w14:paraId="21368189" w14:textId="77777777" w:rsidR="00ED3F18" w:rsidRPr="00E71EAB" w:rsidRDefault="00E71EAB">
      <w:pPr>
        <w:pStyle w:val="TOC2"/>
        <w:rPr>
          <w:rFonts w:eastAsiaTheme="minorEastAsia"/>
          <w:noProof/>
          <w:lang w:eastAsia="cs-CZ"/>
        </w:rPr>
      </w:pPr>
      <w:r w:rsidRPr="00E71EAB">
        <w:rPr>
          <w:rFonts w:ascii="Times New Roman" w:hAnsi="Times New Roman"/>
          <w:noProof/>
        </w:rPr>
        <w:t>1. Struktura a konvence</w:t>
      </w:r>
      <w:r w:rsidRPr="00E71EAB">
        <w:rPr>
          <w:noProof/>
        </w:rPr>
        <w:tab/>
        <w:t>2</w:t>
      </w:r>
    </w:p>
    <w:p w14:paraId="43141FE3" w14:textId="77777777" w:rsidR="00ED3F18" w:rsidRPr="00E71EAB" w:rsidRDefault="00E71EAB">
      <w:pPr>
        <w:pStyle w:val="TOC2"/>
        <w:rPr>
          <w:rFonts w:eastAsiaTheme="minorEastAsia"/>
          <w:noProof/>
          <w:lang w:eastAsia="cs-CZ"/>
        </w:rPr>
      </w:pPr>
      <w:r w:rsidRPr="00E71EAB">
        <w:rPr>
          <w:rFonts w:ascii="Times New Roman" w:hAnsi="Times New Roman"/>
          <w:noProof/>
          <w:u w:val="single"/>
        </w:rPr>
        <w:t>1.1 Struktura</w:t>
      </w:r>
      <w:r w:rsidRPr="00E71EAB">
        <w:rPr>
          <w:noProof/>
        </w:rPr>
        <w:tab/>
        <w:t>2</w:t>
      </w:r>
    </w:p>
    <w:p w14:paraId="76182D5D" w14:textId="77777777" w:rsidR="00ED3F18" w:rsidRPr="00E71EAB" w:rsidRDefault="00E71EAB">
      <w:pPr>
        <w:pStyle w:val="TOC2"/>
        <w:rPr>
          <w:rFonts w:eastAsiaTheme="minorEastAsia"/>
          <w:noProof/>
          <w:lang w:eastAsia="cs-CZ"/>
        </w:rPr>
      </w:pPr>
      <w:r w:rsidRPr="00E71EAB">
        <w:rPr>
          <w:rFonts w:ascii="Times New Roman" w:hAnsi="Times New Roman"/>
          <w:noProof/>
          <w:u w:val="single"/>
        </w:rPr>
        <w:t>1.2 Konvence v oblasti číslování</w:t>
      </w:r>
      <w:r w:rsidRPr="00E71EAB">
        <w:rPr>
          <w:noProof/>
        </w:rPr>
        <w:tab/>
        <w:t>2</w:t>
      </w:r>
    </w:p>
    <w:p w14:paraId="18914A30" w14:textId="77777777" w:rsidR="00ED3F18" w:rsidRPr="00E71EAB" w:rsidRDefault="00E71EAB">
      <w:pPr>
        <w:pStyle w:val="TOC2"/>
        <w:rPr>
          <w:rFonts w:eastAsiaTheme="minorEastAsia"/>
          <w:noProof/>
          <w:lang w:eastAsia="cs-CZ"/>
        </w:rPr>
      </w:pPr>
      <w:r w:rsidRPr="00E71EAB">
        <w:rPr>
          <w:rFonts w:ascii="Times New Roman" w:hAnsi="Times New Roman"/>
          <w:noProof/>
          <w:u w:val="single"/>
        </w:rPr>
        <w:t>1.3 Konvence v oblasti znamének</w:t>
      </w:r>
      <w:r w:rsidRPr="00E71EAB">
        <w:rPr>
          <w:noProof/>
        </w:rPr>
        <w:tab/>
        <w:t>2</w:t>
      </w:r>
    </w:p>
    <w:p w14:paraId="18D7E197" w14:textId="77777777" w:rsidR="00ED3F18" w:rsidRPr="00E71EAB" w:rsidRDefault="00E71EAB">
      <w:pPr>
        <w:pStyle w:val="TOC2"/>
        <w:rPr>
          <w:rFonts w:eastAsiaTheme="minorEastAsia"/>
          <w:noProof/>
          <w:lang w:eastAsia="cs-CZ"/>
        </w:rPr>
      </w:pPr>
      <w:r w:rsidRPr="00E71EAB">
        <w:rPr>
          <w:rFonts w:ascii="Times New Roman" w:hAnsi="Times New Roman"/>
          <w:noProof/>
          <w:u w:val="single"/>
        </w:rPr>
        <w:t xml:space="preserve">1.4 </w:t>
      </w:r>
      <w:r w:rsidRPr="00E71EAB">
        <w:rPr>
          <w:rFonts w:ascii="Times New Roman" w:hAnsi="Times New Roman"/>
          <w:noProof/>
          <w:u w:val="single"/>
        </w:rPr>
        <w:t>Obezřetnostní konsolidace</w:t>
      </w:r>
      <w:r w:rsidRPr="00E71EAB">
        <w:rPr>
          <w:noProof/>
        </w:rPr>
        <w:tab/>
        <w:t>2</w:t>
      </w:r>
    </w:p>
    <w:p w14:paraId="2CF622A4" w14:textId="77777777" w:rsidR="00ED3F18" w:rsidRPr="00E71EAB" w:rsidRDefault="00E71EAB">
      <w:pPr>
        <w:pStyle w:val="TOC2"/>
        <w:rPr>
          <w:rFonts w:eastAsiaTheme="minorEastAsia"/>
          <w:noProof/>
          <w:lang w:eastAsia="cs-CZ"/>
        </w:rPr>
      </w:pPr>
      <w:r w:rsidRPr="00E71EAB">
        <w:rPr>
          <w:rFonts w:ascii="Times New Roman" w:hAnsi="Times New Roman"/>
          <w:noProof/>
        </w:rPr>
        <w:t>ČÁST II: POKYNY K ŠABLONÁM</w:t>
      </w:r>
      <w:r w:rsidRPr="00E71EAB">
        <w:rPr>
          <w:noProof/>
        </w:rPr>
        <w:tab/>
        <w:t>3</w:t>
      </w:r>
    </w:p>
    <w:p w14:paraId="799BBDAC" w14:textId="77777777" w:rsidR="00ED3F18" w:rsidRPr="00E71EAB" w:rsidRDefault="00E71EAB">
      <w:pPr>
        <w:pStyle w:val="TOC2"/>
        <w:rPr>
          <w:rFonts w:eastAsiaTheme="minorEastAsia"/>
          <w:noProof/>
          <w:lang w:eastAsia="cs-CZ"/>
        </w:rPr>
      </w:pPr>
      <w:r w:rsidRPr="00E71EAB">
        <w:rPr>
          <w:rFonts w:ascii="Times New Roman" w:hAnsi="Times New Roman"/>
          <w:b/>
          <w:noProof/>
        </w:rPr>
        <w:t>1. KAPITÁL: VÝŠE, SLOŽENÍ, POŽADAVKY A VÝPOČET</w:t>
      </w:r>
      <w:r w:rsidRPr="00E71EAB">
        <w:rPr>
          <w:noProof/>
        </w:rPr>
        <w:tab/>
        <w:t>3</w:t>
      </w:r>
    </w:p>
    <w:p w14:paraId="66C8765A" w14:textId="77777777" w:rsidR="00ED3F18" w:rsidRPr="00E71EAB" w:rsidRDefault="00E71EAB">
      <w:pPr>
        <w:pStyle w:val="TOC2"/>
        <w:rPr>
          <w:rFonts w:eastAsiaTheme="minorEastAsia"/>
          <w:noProof/>
          <w:lang w:eastAsia="cs-CZ"/>
        </w:rPr>
      </w:pPr>
      <w:r w:rsidRPr="00E71EAB">
        <w:rPr>
          <w:rFonts w:ascii="Times New Roman" w:hAnsi="Times New Roman"/>
          <w:noProof/>
        </w:rPr>
        <w:t>1.1 Obecné poznámky</w:t>
      </w:r>
      <w:r w:rsidRPr="00E71EAB">
        <w:rPr>
          <w:noProof/>
        </w:rPr>
        <w:tab/>
        <w:t>3</w:t>
      </w:r>
    </w:p>
    <w:p w14:paraId="3371591A" w14:textId="77777777" w:rsidR="00ED3F18" w:rsidRPr="00E71EAB" w:rsidRDefault="00E71EAB">
      <w:pPr>
        <w:pStyle w:val="TOC2"/>
        <w:rPr>
          <w:rFonts w:eastAsiaTheme="minorEastAsia"/>
          <w:noProof/>
          <w:lang w:eastAsia="cs-CZ"/>
        </w:rPr>
      </w:pPr>
      <w:r w:rsidRPr="00E71EAB">
        <w:rPr>
          <w:rFonts w:ascii="Times New Roman" w:hAnsi="Times New Roman"/>
          <w:noProof/>
        </w:rPr>
        <w:t>1.2. I 01.01 – SLOŽENÍ KAPITÁLU (I 1.1)</w:t>
      </w:r>
      <w:r w:rsidRPr="00E71EAB">
        <w:rPr>
          <w:noProof/>
        </w:rPr>
        <w:tab/>
        <w:t>3</w:t>
      </w:r>
    </w:p>
    <w:p w14:paraId="1E73FE55" w14:textId="77777777" w:rsidR="00ED3F18" w:rsidRPr="00E71EAB" w:rsidRDefault="00E71EAB">
      <w:pPr>
        <w:pStyle w:val="TOC2"/>
        <w:rPr>
          <w:rFonts w:eastAsiaTheme="minorEastAsia"/>
          <w:noProof/>
          <w:lang w:eastAsia="cs-CZ"/>
        </w:rPr>
      </w:pPr>
      <w:r w:rsidRPr="00E71EAB">
        <w:rPr>
          <w:rFonts w:ascii="Times New Roman" w:hAnsi="Times New Roman"/>
          <w:noProof/>
        </w:rPr>
        <w:t>1.2.1.</w:t>
      </w:r>
      <w:r w:rsidRPr="00E71EAB">
        <w:rPr>
          <w:rFonts w:eastAsiaTheme="minorEastAsia"/>
          <w:noProof/>
          <w:lang w:eastAsia="cs-CZ"/>
        </w:rPr>
        <w:tab/>
      </w:r>
      <w:r w:rsidRPr="00E71EAB">
        <w:rPr>
          <w:rFonts w:ascii="Times New Roman" w:hAnsi="Times New Roman"/>
          <w:noProof/>
        </w:rPr>
        <w:t>Pokyny pro konkrétní pozice</w:t>
      </w:r>
      <w:r w:rsidRPr="00E71EAB">
        <w:rPr>
          <w:noProof/>
        </w:rPr>
        <w:tab/>
        <w:t>3</w:t>
      </w:r>
    </w:p>
    <w:p w14:paraId="62F0CC15" w14:textId="77777777" w:rsidR="00ED3F18" w:rsidRPr="00E71EAB" w:rsidRDefault="00E71EAB">
      <w:pPr>
        <w:pStyle w:val="TOC2"/>
        <w:rPr>
          <w:rFonts w:eastAsiaTheme="minorEastAsia"/>
          <w:noProof/>
          <w:lang w:eastAsia="cs-CZ"/>
        </w:rPr>
      </w:pPr>
      <w:r w:rsidRPr="00E71EAB">
        <w:rPr>
          <w:rFonts w:ascii="Times New Roman" w:hAnsi="Times New Roman"/>
          <w:noProof/>
        </w:rPr>
        <w:t>1.3 I 02.03 – KAPITÁLOVÉ POŽADAVKY (I 2.3)</w:t>
      </w:r>
      <w:r w:rsidRPr="00E71EAB">
        <w:rPr>
          <w:noProof/>
        </w:rPr>
        <w:tab/>
        <w:t>8</w:t>
      </w:r>
    </w:p>
    <w:p w14:paraId="4AD22D3A" w14:textId="77777777" w:rsidR="00ED3F18" w:rsidRPr="00E71EAB" w:rsidRDefault="00E71EAB">
      <w:pPr>
        <w:pStyle w:val="TOC2"/>
        <w:rPr>
          <w:rFonts w:eastAsiaTheme="minorEastAsia"/>
          <w:noProof/>
          <w:lang w:eastAsia="cs-CZ"/>
        </w:rPr>
      </w:pPr>
      <w:r w:rsidRPr="00E71EAB">
        <w:rPr>
          <w:rFonts w:ascii="Times New Roman" w:hAnsi="Times New Roman"/>
          <w:noProof/>
        </w:rPr>
        <w:t>1.3.1.</w:t>
      </w:r>
      <w:r w:rsidRPr="00E71EAB">
        <w:rPr>
          <w:rFonts w:eastAsiaTheme="minorEastAsia"/>
          <w:noProof/>
          <w:lang w:eastAsia="cs-CZ"/>
        </w:rPr>
        <w:tab/>
      </w:r>
      <w:r w:rsidRPr="00E71EAB">
        <w:rPr>
          <w:rFonts w:ascii="Times New Roman" w:hAnsi="Times New Roman"/>
          <w:noProof/>
        </w:rPr>
        <w:t>Pokyny pro konkrétní pozice</w:t>
      </w:r>
      <w:r w:rsidRPr="00E71EAB">
        <w:rPr>
          <w:noProof/>
        </w:rPr>
        <w:tab/>
        <w:t>8</w:t>
      </w:r>
    </w:p>
    <w:p w14:paraId="7C1DDD9D" w14:textId="77777777" w:rsidR="00ED3F18" w:rsidRPr="00E71EAB" w:rsidRDefault="00E71EAB">
      <w:pPr>
        <w:pStyle w:val="TOC2"/>
        <w:rPr>
          <w:rFonts w:eastAsiaTheme="minorEastAsia"/>
          <w:noProof/>
          <w:lang w:eastAsia="cs-CZ"/>
        </w:rPr>
      </w:pPr>
      <w:r w:rsidRPr="00E71EAB">
        <w:rPr>
          <w:rFonts w:ascii="Times New Roman" w:hAnsi="Times New Roman"/>
          <w:noProof/>
        </w:rPr>
        <w:t>1.4. I 02.04 – KAPITÁLOVÉ POMĚRY (I 2.4)</w:t>
      </w:r>
      <w:r w:rsidRPr="00E71EAB">
        <w:rPr>
          <w:noProof/>
        </w:rPr>
        <w:tab/>
        <w:t>9</w:t>
      </w:r>
    </w:p>
    <w:p w14:paraId="20CBBE2F" w14:textId="77777777" w:rsidR="00ED3F18" w:rsidRPr="00E71EAB" w:rsidRDefault="00E71EAB">
      <w:pPr>
        <w:pStyle w:val="TOC2"/>
        <w:rPr>
          <w:rFonts w:eastAsiaTheme="minorEastAsia"/>
          <w:noProof/>
          <w:lang w:eastAsia="cs-CZ"/>
        </w:rPr>
      </w:pPr>
      <w:r w:rsidRPr="00E71EAB">
        <w:rPr>
          <w:rFonts w:ascii="Times New Roman" w:hAnsi="Times New Roman"/>
          <w:noProof/>
        </w:rPr>
        <w:t>1.4.1.</w:t>
      </w:r>
      <w:r w:rsidRPr="00E71EAB">
        <w:rPr>
          <w:rFonts w:eastAsiaTheme="minorEastAsia"/>
          <w:noProof/>
          <w:lang w:eastAsia="cs-CZ"/>
        </w:rPr>
        <w:tab/>
      </w:r>
      <w:r w:rsidRPr="00E71EAB">
        <w:rPr>
          <w:rFonts w:ascii="Times New Roman" w:hAnsi="Times New Roman"/>
          <w:noProof/>
        </w:rPr>
        <w:t>Pokyny pro konkrétní pozice</w:t>
      </w:r>
      <w:r w:rsidRPr="00E71EAB">
        <w:rPr>
          <w:noProof/>
        </w:rPr>
        <w:tab/>
        <w:t>9</w:t>
      </w:r>
    </w:p>
    <w:p w14:paraId="434BC526" w14:textId="77777777" w:rsidR="00ED3F18" w:rsidRPr="00E71EAB" w:rsidRDefault="00E71EAB">
      <w:pPr>
        <w:pStyle w:val="TOC2"/>
        <w:rPr>
          <w:rFonts w:eastAsiaTheme="minorEastAsia"/>
          <w:noProof/>
          <w:lang w:eastAsia="cs-CZ"/>
        </w:rPr>
      </w:pPr>
      <w:r w:rsidRPr="00E71EAB">
        <w:rPr>
          <w:rFonts w:ascii="Times New Roman" w:hAnsi="Times New Roman"/>
          <w:noProof/>
        </w:rPr>
        <w:t>1.5. I 03.01 – VÝPOČET POŽADAVKU DLE FIXNÍCH REŽIJNÍCH NÁKLADŮ (I 3.1)</w:t>
      </w:r>
      <w:r w:rsidRPr="00E71EAB">
        <w:rPr>
          <w:noProof/>
        </w:rPr>
        <w:tab/>
        <w:t>10</w:t>
      </w:r>
    </w:p>
    <w:p w14:paraId="4CD725DC" w14:textId="77777777" w:rsidR="00ED3F18" w:rsidRPr="00E71EAB" w:rsidRDefault="00E71EAB">
      <w:pPr>
        <w:pStyle w:val="TOC2"/>
        <w:rPr>
          <w:rFonts w:eastAsiaTheme="minorEastAsia"/>
          <w:noProof/>
          <w:lang w:eastAsia="cs-CZ"/>
        </w:rPr>
      </w:pPr>
      <w:r w:rsidRPr="00E71EAB">
        <w:rPr>
          <w:rFonts w:ascii="Times New Roman" w:hAnsi="Times New Roman"/>
          <w:noProof/>
        </w:rPr>
        <w:t>1.5.1.</w:t>
      </w:r>
      <w:r w:rsidRPr="00E71EAB">
        <w:rPr>
          <w:rFonts w:ascii="Times New Roman" w:hAnsi="Times New Roman"/>
          <w:noProof/>
        </w:rPr>
        <w:tab/>
        <w:t>Pokyny pro konkrétní pozice</w:t>
      </w:r>
      <w:r w:rsidRPr="00E71EAB">
        <w:rPr>
          <w:noProof/>
        </w:rPr>
        <w:tab/>
        <w:t>10</w:t>
      </w:r>
    </w:p>
    <w:p w14:paraId="74D447B4" w14:textId="77777777" w:rsidR="00ED3F18" w:rsidRPr="00E71EAB" w:rsidRDefault="00E71EAB">
      <w:pPr>
        <w:pStyle w:val="TOC2"/>
        <w:rPr>
          <w:rFonts w:eastAsiaTheme="minorEastAsia"/>
          <w:noProof/>
          <w:lang w:eastAsia="cs-CZ"/>
        </w:rPr>
      </w:pPr>
      <w:r w:rsidRPr="00E71EAB">
        <w:rPr>
          <w:rFonts w:ascii="Times New Roman" w:hAnsi="Times New Roman"/>
          <w:noProof/>
        </w:rPr>
        <w:t>2. MALÉ A NEPROPOJENÉ INVES</w:t>
      </w:r>
      <w:r w:rsidRPr="00E71EAB">
        <w:rPr>
          <w:rFonts w:ascii="Times New Roman" w:hAnsi="Times New Roman"/>
          <w:noProof/>
        </w:rPr>
        <w:t>TIČNÍ PODNIKY</w:t>
      </w:r>
      <w:r w:rsidRPr="00E71EAB">
        <w:rPr>
          <w:noProof/>
        </w:rPr>
        <w:tab/>
        <w:t>12</w:t>
      </w:r>
    </w:p>
    <w:p w14:paraId="0ECFBBFB" w14:textId="77777777" w:rsidR="00ED3F18" w:rsidRPr="00E71EAB" w:rsidRDefault="00E71EAB">
      <w:pPr>
        <w:pStyle w:val="TOC2"/>
        <w:rPr>
          <w:rFonts w:eastAsiaTheme="minorEastAsia"/>
          <w:noProof/>
          <w:lang w:eastAsia="cs-CZ"/>
        </w:rPr>
      </w:pPr>
      <w:r w:rsidRPr="00E71EAB">
        <w:rPr>
          <w:rFonts w:ascii="Times New Roman" w:hAnsi="Times New Roman"/>
          <w:noProof/>
        </w:rPr>
        <w:t>2.1.</w:t>
      </w:r>
      <w:r w:rsidRPr="00E71EAB">
        <w:rPr>
          <w:rFonts w:ascii="Times New Roman" w:hAnsi="Times New Roman"/>
          <w:noProof/>
        </w:rPr>
        <w:tab/>
        <w:t>I 05.00 – INTENZITA ČINNOSTI – PŘEZKUM PRAHOVÝCH HODNOT (I 5)</w:t>
      </w:r>
      <w:r w:rsidRPr="00E71EAB">
        <w:rPr>
          <w:noProof/>
        </w:rPr>
        <w:tab/>
        <w:t>12</w:t>
      </w:r>
    </w:p>
    <w:p w14:paraId="526B3BC3" w14:textId="77777777" w:rsidR="00ED3F18" w:rsidRPr="00E71EAB" w:rsidRDefault="00E71EAB">
      <w:pPr>
        <w:pStyle w:val="TOC2"/>
        <w:rPr>
          <w:rFonts w:eastAsiaTheme="minorEastAsia"/>
          <w:noProof/>
          <w:lang w:eastAsia="cs-CZ"/>
        </w:rPr>
      </w:pPr>
      <w:r w:rsidRPr="00E71EAB">
        <w:rPr>
          <w:rFonts w:ascii="Times New Roman" w:hAnsi="Times New Roman"/>
          <w:noProof/>
        </w:rPr>
        <w:t>2.1.1.</w:t>
      </w:r>
      <w:r w:rsidRPr="00E71EAB">
        <w:rPr>
          <w:rFonts w:eastAsiaTheme="minorEastAsia"/>
          <w:noProof/>
          <w:lang w:eastAsia="cs-CZ"/>
        </w:rPr>
        <w:tab/>
      </w:r>
      <w:r w:rsidRPr="00E71EAB">
        <w:rPr>
          <w:rFonts w:ascii="Times New Roman" w:hAnsi="Times New Roman"/>
          <w:noProof/>
        </w:rPr>
        <w:t>Pokyny pro konkrétní pozice</w:t>
      </w:r>
      <w:r w:rsidRPr="00E71EAB">
        <w:rPr>
          <w:noProof/>
        </w:rPr>
        <w:tab/>
        <w:t>12</w:t>
      </w:r>
    </w:p>
    <w:p w14:paraId="76E08ECA" w14:textId="77777777" w:rsidR="00ED3F18" w:rsidRPr="00E71EAB" w:rsidRDefault="00E71EAB">
      <w:pPr>
        <w:pStyle w:val="TOC2"/>
        <w:rPr>
          <w:rFonts w:eastAsiaTheme="minorEastAsia"/>
          <w:noProof/>
          <w:lang w:eastAsia="cs-CZ"/>
        </w:rPr>
      </w:pPr>
      <w:r w:rsidRPr="00E71EAB">
        <w:rPr>
          <w:rFonts w:ascii="Times New Roman" w:hAnsi="Times New Roman"/>
          <w:b/>
          <w:noProof/>
        </w:rPr>
        <w:t>3. POŽADAVKY NA LIKVIDITU</w:t>
      </w:r>
      <w:r w:rsidRPr="00E71EAB">
        <w:rPr>
          <w:noProof/>
        </w:rPr>
        <w:tab/>
        <w:t>15</w:t>
      </w:r>
    </w:p>
    <w:p w14:paraId="1FD2CB41" w14:textId="77777777" w:rsidR="00ED3F18" w:rsidRPr="00E71EAB" w:rsidRDefault="00E71EAB">
      <w:pPr>
        <w:pStyle w:val="TOC2"/>
        <w:rPr>
          <w:rFonts w:eastAsiaTheme="minorEastAsia"/>
          <w:noProof/>
          <w:lang w:eastAsia="cs-CZ"/>
        </w:rPr>
      </w:pPr>
      <w:r w:rsidRPr="00E71EAB">
        <w:rPr>
          <w:rFonts w:ascii="Times New Roman" w:hAnsi="Times New Roman"/>
          <w:noProof/>
        </w:rPr>
        <w:t>3.1 I 09.01 – POŽADAVKY NA LIKVIDITU (I 9.1)</w:t>
      </w:r>
      <w:r w:rsidRPr="00E71EAB">
        <w:rPr>
          <w:noProof/>
        </w:rPr>
        <w:tab/>
        <w:t>15</w:t>
      </w:r>
    </w:p>
    <w:p w14:paraId="74CC376E" w14:textId="77777777" w:rsidR="00ED3F18" w:rsidRPr="00E71EAB" w:rsidRDefault="00E71EAB">
      <w:pPr>
        <w:pStyle w:val="TOC2"/>
        <w:rPr>
          <w:rFonts w:eastAsiaTheme="minorEastAsia"/>
          <w:noProof/>
          <w:lang w:eastAsia="cs-CZ"/>
        </w:rPr>
      </w:pPr>
      <w:r w:rsidRPr="00E71EAB">
        <w:rPr>
          <w:rFonts w:ascii="Times New Roman" w:hAnsi="Times New Roman"/>
          <w:noProof/>
        </w:rPr>
        <w:t>3.1.1.</w:t>
      </w:r>
      <w:r w:rsidRPr="00E71EAB">
        <w:rPr>
          <w:rFonts w:eastAsiaTheme="minorEastAsia"/>
          <w:noProof/>
          <w:lang w:eastAsia="cs-CZ"/>
        </w:rPr>
        <w:tab/>
      </w:r>
      <w:r w:rsidRPr="00E71EAB">
        <w:rPr>
          <w:rFonts w:ascii="Times New Roman" w:hAnsi="Times New Roman"/>
          <w:noProof/>
        </w:rPr>
        <w:t>Pokyny pro konkrétní pozice</w:t>
      </w:r>
      <w:r w:rsidRPr="00E71EAB">
        <w:rPr>
          <w:noProof/>
        </w:rPr>
        <w:tab/>
        <w:t>15</w:t>
      </w:r>
      <w:bookmarkStart w:id="6" w:name="_Toc360188322"/>
      <w:bookmarkStart w:id="7" w:name="_Toc473560870"/>
      <w:bookmarkStart w:id="8" w:name="_Toc7084155"/>
    </w:p>
    <w:p w14:paraId="5977675A" w14:textId="77777777" w:rsidR="00ED3F18" w:rsidRPr="00E71EAB" w:rsidRDefault="00E71EAB">
      <w:pPr>
        <w:pStyle w:val="Heading2"/>
        <w:rPr>
          <w:rFonts w:ascii="Times New Roman" w:hAnsi="Times New Roman"/>
        </w:rPr>
      </w:pPr>
      <w:bookmarkStart w:id="9" w:name="_Toc88124547"/>
      <w:r w:rsidRPr="00E71EAB">
        <w:rPr>
          <w:rFonts w:ascii="Times New Roman" w:hAnsi="Times New Roman"/>
        </w:rPr>
        <w:t>ČÁST I: OBECNÉ P</w:t>
      </w:r>
      <w:r w:rsidRPr="00E71EAB">
        <w:rPr>
          <w:rFonts w:ascii="Times New Roman" w:hAnsi="Times New Roman"/>
        </w:rPr>
        <w:t>OKYNY</w:t>
      </w:r>
      <w:bookmarkEnd w:id="9"/>
    </w:p>
    <w:p w14:paraId="54C4D337" w14:textId="77777777" w:rsidR="00ED3F18" w:rsidRPr="00E71EAB" w:rsidRDefault="00E71EAB">
      <w:pPr>
        <w:keepNext/>
        <w:spacing w:before="240" w:after="240" w:line="240" w:lineRule="auto"/>
        <w:jc w:val="both"/>
        <w:outlineLvl w:val="1"/>
        <w:rPr>
          <w:rFonts w:ascii="Times New Roman" w:eastAsia="Arial" w:hAnsi="Times New Roman" w:cs="Times New Roman"/>
          <w:sz w:val="24"/>
          <w:szCs w:val="24"/>
        </w:rPr>
      </w:pPr>
      <w:bookmarkStart w:id="10" w:name="_Toc88124548"/>
      <w:r w:rsidRPr="00E71EAB">
        <w:rPr>
          <w:rFonts w:ascii="Times New Roman" w:hAnsi="Times New Roman"/>
          <w:sz w:val="24"/>
          <w:szCs w:val="24"/>
        </w:rPr>
        <w:t>1. Struktura a konvence</w:t>
      </w:r>
      <w:bookmarkEnd w:id="10"/>
    </w:p>
    <w:p w14:paraId="1DE7D7EC" w14:textId="77777777" w:rsidR="00ED3F18" w:rsidRPr="00E71EAB" w:rsidRDefault="00E71EAB">
      <w:pPr>
        <w:keepNext/>
        <w:spacing w:before="240" w:after="240" w:line="240" w:lineRule="auto"/>
        <w:jc w:val="both"/>
        <w:outlineLvl w:val="1"/>
        <w:rPr>
          <w:rFonts w:ascii="Times New Roman" w:eastAsia="Arial" w:hAnsi="Times New Roman" w:cs="Times New Roman"/>
          <w:sz w:val="24"/>
          <w:szCs w:val="24"/>
          <w:u w:val="single"/>
        </w:rPr>
      </w:pPr>
      <w:bookmarkStart w:id="11" w:name="_Toc88124549"/>
      <w:r w:rsidRPr="00E71EAB">
        <w:rPr>
          <w:rFonts w:ascii="Times New Roman" w:hAnsi="Times New Roman"/>
          <w:sz w:val="24"/>
          <w:szCs w:val="24"/>
          <w:u w:val="single"/>
        </w:rPr>
        <w:t>1.1 Struktura</w:t>
      </w:r>
      <w:bookmarkEnd w:id="11"/>
    </w:p>
    <w:p w14:paraId="625344A3" w14:textId="77777777" w:rsidR="00ED3F18" w:rsidRPr="00E71EAB" w:rsidRDefault="00E71EAB">
      <w:pPr>
        <w:spacing w:line="256" w:lineRule="auto"/>
        <w:ind w:left="993" w:hanging="504"/>
        <w:jc w:val="both"/>
        <w:rPr>
          <w:rFonts w:ascii="Times New Roman" w:hAnsi="Times New Roman" w:cs="Times New Roman"/>
        </w:rPr>
      </w:pPr>
      <w:r w:rsidRPr="00E71EAB">
        <w:rPr>
          <w:rFonts w:ascii="Times New Roman" w:hAnsi="Times New Roman" w:cs="Times New Roman"/>
        </w:rPr>
        <w:t>1.</w:t>
      </w:r>
      <w:r w:rsidRPr="00E71EAB">
        <w:rPr>
          <w:rFonts w:ascii="Times New Roman" w:hAnsi="Times New Roman" w:cs="Times New Roman"/>
        </w:rPr>
        <w:tab/>
      </w:r>
      <w:r w:rsidRPr="00E71EAB">
        <w:rPr>
          <w:rFonts w:ascii="Times New Roman" w:hAnsi="Times New Roman"/>
        </w:rPr>
        <w:t>Rámec celkově sestává z následujících skupin informací:</w:t>
      </w:r>
    </w:p>
    <w:p w14:paraId="2F7CFB21" w14:textId="77777777" w:rsidR="00ED3F18" w:rsidRPr="00E71EAB" w:rsidRDefault="00E71EAB">
      <w:pPr>
        <w:spacing w:line="256" w:lineRule="auto"/>
        <w:ind w:left="1728" w:hanging="648"/>
        <w:jc w:val="both"/>
        <w:rPr>
          <w:rFonts w:ascii="Times New Roman" w:hAnsi="Times New Roman" w:cs="Times New Roman"/>
        </w:rPr>
      </w:pPr>
      <w:r w:rsidRPr="00E71EAB">
        <w:rPr>
          <w:rFonts w:ascii="Times New Roman" w:hAnsi="Times New Roman" w:cs="Times New Roman"/>
        </w:rPr>
        <w:t>a)</w:t>
      </w:r>
      <w:r w:rsidRPr="00E71EAB">
        <w:rPr>
          <w:rFonts w:ascii="Times New Roman" w:hAnsi="Times New Roman" w:cs="Times New Roman"/>
        </w:rPr>
        <w:tab/>
      </w:r>
      <w:r w:rsidRPr="00E71EAB">
        <w:rPr>
          <w:rFonts w:ascii="Times New Roman" w:hAnsi="Times New Roman"/>
        </w:rPr>
        <w:t>kapitál;</w:t>
      </w:r>
    </w:p>
    <w:p w14:paraId="68BAF9A0" w14:textId="77777777" w:rsidR="00ED3F18" w:rsidRPr="00E71EAB" w:rsidRDefault="00E71EAB">
      <w:pPr>
        <w:spacing w:line="256" w:lineRule="auto"/>
        <w:ind w:left="1728" w:hanging="648"/>
        <w:jc w:val="both"/>
        <w:rPr>
          <w:rFonts w:ascii="Times New Roman" w:hAnsi="Times New Roman" w:cs="Times New Roman"/>
        </w:rPr>
      </w:pPr>
      <w:r w:rsidRPr="00E71EAB">
        <w:rPr>
          <w:rFonts w:ascii="Times New Roman" w:hAnsi="Times New Roman" w:cs="Times New Roman"/>
        </w:rPr>
        <w:t>b)</w:t>
      </w:r>
      <w:r w:rsidRPr="00E71EAB">
        <w:rPr>
          <w:rFonts w:ascii="Times New Roman" w:hAnsi="Times New Roman" w:cs="Times New Roman"/>
        </w:rPr>
        <w:tab/>
      </w:r>
      <w:r w:rsidRPr="00E71EAB">
        <w:rPr>
          <w:rFonts w:ascii="Times New Roman" w:hAnsi="Times New Roman"/>
        </w:rPr>
        <w:t>výpočty kapitálových požadavků;</w:t>
      </w:r>
    </w:p>
    <w:p w14:paraId="68076AC1" w14:textId="77777777" w:rsidR="00ED3F18" w:rsidRPr="00E71EAB" w:rsidRDefault="00E71EAB">
      <w:pPr>
        <w:spacing w:line="256" w:lineRule="auto"/>
        <w:ind w:left="1728" w:hanging="648"/>
        <w:jc w:val="both"/>
        <w:rPr>
          <w:rFonts w:ascii="Times New Roman" w:hAnsi="Times New Roman" w:cs="Times New Roman"/>
        </w:rPr>
      </w:pPr>
      <w:r w:rsidRPr="00E71EAB">
        <w:rPr>
          <w:rFonts w:ascii="Times New Roman" w:hAnsi="Times New Roman" w:cs="Times New Roman"/>
        </w:rPr>
        <w:lastRenderedPageBreak/>
        <w:t>c)</w:t>
      </w:r>
      <w:r w:rsidRPr="00E71EAB">
        <w:rPr>
          <w:rFonts w:ascii="Times New Roman" w:hAnsi="Times New Roman" w:cs="Times New Roman"/>
        </w:rPr>
        <w:tab/>
      </w:r>
      <w:r w:rsidRPr="00E71EAB">
        <w:rPr>
          <w:rFonts w:ascii="Times New Roman" w:hAnsi="Times New Roman"/>
        </w:rPr>
        <w:t>výpočet požadavků dle fixních režijních nákladů;</w:t>
      </w:r>
    </w:p>
    <w:p w14:paraId="7F976313" w14:textId="77777777" w:rsidR="00ED3F18" w:rsidRPr="00E71EAB" w:rsidRDefault="00E71EAB">
      <w:pPr>
        <w:spacing w:line="256" w:lineRule="auto"/>
        <w:ind w:left="1728" w:hanging="648"/>
        <w:jc w:val="both"/>
        <w:rPr>
          <w:rFonts w:ascii="Times New Roman" w:hAnsi="Times New Roman" w:cs="Times New Roman"/>
        </w:rPr>
      </w:pPr>
      <w:r w:rsidRPr="00E71EAB">
        <w:rPr>
          <w:rFonts w:ascii="Times New Roman" w:hAnsi="Times New Roman" w:cs="Times New Roman"/>
        </w:rPr>
        <w:t>d)</w:t>
      </w:r>
      <w:r w:rsidRPr="00E71EAB">
        <w:rPr>
          <w:rFonts w:ascii="Times New Roman" w:hAnsi="Times New Roman" w:cs="Times New Roman"/>
        </w:rPr>
        <w:tab/>
      </w:r>
      <w:r w:rsidRPr="00E71EAB">
        <w:rPr>
          <w:rFonts w:ascii="Times New Roman" w:hAnsi="Times New Roman"/>
        </w:rPr>
        <w:t xml:space="preserve">intenzita činnosti ve vztahu k podmínkám </w:t>
      </w:r>
      <w:r w:rsidRPr="00E71EAB">
        <w:rPr>
          <w:rFonts w:ascii="Times New Roman" w:hAnsi="Times New Roman"/>
        </w:rPr>
        <w:t>stanoveným v čl. 12 odst. 1 nařízení (EU) 2019/2033;</w:t>
      </w:r>
    </w:p>
    <w:p w14:paraId="6DC0BE7E" w14:textId="77777777" w:rsidR="00ED3F18" w:rsidRPr="00E71EAB" w:rsidRDefault="00E71EAB">
      <w:pPr>
        <w:spacing w:line="256" w:lineRule="auto"/>
        <w:ind w:left="1728" w:hanging="648"/>
        <w:jc w:val="both"/>
        <w:rPr>
          <w:rFonts w:ascii="Times New Roman" w:hAnsi="Times New Roman" w:cs="Times New Roman"/>
        </w:rPr>
      </w:pPr>
      <w:r w:rsidRPr="00E71EAB">
        <w:rPr>
          <w:rFonts w:ascii="Times New Roman" w:hAnsi="Times New Roman" w:cs="Times New Roman"/>
        </w:rPr>
        <w:t>e)</w:t>
      </w:r>
      <w:r w:rsidRPr="00E71EAB">
        <w:rPr>
          <w:rFonts w:ascii="Times New Roman" w:hAnsi="Times New Roman" w:cs="Times New Roman"/>
        </w:rPr>
        <w:tab/>
      </w:r>
      <w:r w:rsidRPr="00E71EAB">
        <w:rPr>
          <w:rFonts w:ascii="Times New Roman" w:hAnsi="Times New Roman"/>
        </w:rPr>
        <w:t>požadavky na likviditu.</w:t>
      </w:r>
    </w:p>
    <w:p w14:paraId="1658EBE0" w14:textId="77777777" w:rsidR="00ED3F18" w:rsidRPr="00E71EAB" w:rsidRDefault="00E71EAB">
      <w:pPr>
        <w:pStyle w:val="InstructionsText2"/>
        <w:numPr>
          <w:ilvl w:val="0"/>
          <w:numId w:val="0"/>
        </w:numPr>
        <w:ind w:left="360" w:hanging="360"/>
      </w:pPr>
      <w:r w:rsidRPr="00E71EAB">
        <w:t>2.</w:t>
      </w:r>
      <w:r w:rsidRPr="00E71EAB">
        <w:tab/>
        <w:t>Ke každé šabloně jsou uvedeny odkazy na právní předpisy. V této části tohoto nařízení jsou obsaženy další podrobné informace týkající se obecnějších aspektů podávání zpráv k</w:t>
      </w:r>
      <w:r w:rsidRPr="00E71EAB">
        <w:t>e každé skupině šablon, pokyny ohledně specifických pozic a také pravidla pro ověřování.</w:t>
      </w:r>
    </w:p>
    <w:p w14:paraId="6C5DACD7" w14:textId="77777777" w:rsidR="00ED3F18" w:rsidRPr="00E71EAB" w:rsidRDefault="00E71EAB">
      <w:pPr>
        <w:keepNext/>
        <w:spacing w:before="240" w:after="240" w:line="240" w:lineRule="auto"/>
        <w:jc w:val="both"/>
        <w:outlineLvl w:val="1"/>
        <w:rPr>
          <w:rFonts w:ascii="Times New Roman" w:eastAsia="Arial" w:hAnsi="Times New Roman" w:cs="Times New Roman"/>
          <w:sz w:val="24"/>
          <w:szCs w:val="24"/>
          <w:u w:val="single"/>
        </w:rPr>
      </w:pPr>
      <w:bookmarkStart w:id="12" w:name="_Toc88124550"/>
      <w:r w:rsidRPr="00E71EAB">
        <w:rPr>
          <w:rFonts w:ascii="Times New Roman" w:hAnsi="Times New Roman"/>
          <w:sz w:val="24"/>
          <w:szCs w:val="24"/>
          <w:u w:val="single"/>
        </w:rPr>
        <w:t>1.2 Konvence v oblasti číslování</w:t>
      </w:r>
      <w:bookmarkEnd w:id="12"/>
    </w:p>
    <w:p w14:paraId="60BCA459" w14:textId="77777777" w:rsidR="00ED3F18" w:rsidRPr="00E71EAB" w:rsidRDefault="00E71EAB">
      <w:pPr>
        <w:pStyle w:val="InstructionsText2"/>
        <w:numPr>
          <w:ilvl w:val="0"/>
          <w:numId w:val="0"/>
        </w:numPr>
        <w:ind w:left="360" w:hanging="360"/>
      </w:pPr>
      <w:r w:rsidRPr="00E71EAB">
        <w:t>3.</w:t>
      </w:r>
      <w:r w:rsidRPr="00E71EAB">
        <w:tab/>
        <w:t xml:space="preserve">Jestliže dokument odkazuje na sloupce, řádky a buňky šablon, řídí se označováním, které je stanoveno v bodech 4 až 7. </w:t>
      </w:r>
      <w:r w:rsidRPr="00E71EAB">
        <w:t>Uvedené číselné kódy se běžně používají v pravidlech pro ověřování.</w:t>
      </w:r>
    </w:p>
    <w:p w14:paraId="3FF9C811" w14:textId="77777777" w:rsidR="00ED3F18" w:rsidRPr="00E71EAB" w:rsidRDefault="00E71EAB">
      <w:pPr>
        <w:pStyle w:val="InstructionsText2"/>
        <w:numPr>
          <w:ilvl w:val="0"/>
          <w:numId w:val="0"/>
        </w:numPr>
        <w:ind w:left="360" w:hanging="360"/>
      </w:pPr>
      <w:r w:rsidRPr="00E71EAB">
        <w:t>4.</w:t>
      </w:r>
      <w:r w:rsidRPr="00E71EAB">
        <w:tab/>
        <w:t>V pokynech se používá tento obecný zápis: {šablona; řádek; sloupec}.</w:t>
      </w:r>
    </w:p>
    <w:p w14:paraId="6C7D16EE" w14:textId="77777777" w:rsidR="00ED3F18" w:rsidRPr="00E71EAB" w:rsidRDefault="00E71EAB">
      <w:pPr>
        <w:pStyle w:val="InstructionsText2"/>
        <w:numPr>
          <w:ilvl w:val="0"/>
          <w:numId w:val="0"/>
        </w:numPr>
        <w:ind w:left="360" w:hanging="360"/>
      </w:pPr>
      <w:r w:rsidRPr="00E71EAB">
        <w:t>5.</w:t>
      </w:r>
      <w:r w:rsidRPr="00E71EAB">
        <w:tab/>
        <w:t>V případě validací v rámci šablony, ve které jsou užity pouze údaje z této šablony, zápisy neodkazují na šablonu:</w:t>
      </w:r>
      <w:r w:rsidRPr="00E71EAB">
        <w:t xml:space="preserve"> {řádek; sloupec}.</w:t>
      </w:r>
    </w:p>
    <w:p w14:paraId="15E591BD" w14:textId="77777777" w:rsidR="00ED3F18" w:rsidRPr="00E71EAB" w:rsidRDefault="00E71EAB">
      <w:pPr>
        <w:pStyle w:val="InstructionsText2"/>
        <w:numPr>
          <w:ilvl w:val="0"/>
          <w:numId w:val="0"/>
        </w:numPr>
        <w:ind w:left="360" w:hanging="360"/>
      </w:pPr>
      <w:r w:rsidRPr="00E71EAB">
        <w:t>6.</w:t>
      </w:r>
      <w:r w:rsidRPr="00E71EAB">
        <w:tab/>
        <w:t>Má-li šablona pouze jeden sloupec, odkazuje se pouze na řádky: {šablona; řádek}.</w:t>
      </w:r>
    </w:p>
    <w:p w14:paraId="2314BB15" w14:textId="77777777" w:rsidR="00ED3F18" w:rsidRPr="00E71EAB" w:rsidRDefault="00E71EAB">
      <w:pPr>
        <w:pStyle w:val="InstructionsText2"/>
        <w:numPr>
          <w:ilvl w:val="0"/>
          <w:numId w:val="0"/>
        </w:numPr>
        <w:ind w:left="360" w:hanging="360"/>
      </w:pPr>
      <w:r w:rsidRPr="00E71EAB">
        <w:t>7.</w:t>
      </w:r>
      <w:r w:rsidRPr="00E71EAB">
        <w:tab/>
        <w:t>Hvězdičkou se označuje skutečnost, že u předem specifikovaných řádků či sloupců byla provedena validace.</w:t>
      </w:r>
    </w:p>
    <w:p w14:paraId="6D59C9AD" w14:textId="77777777" w:rsidR="00ED3F18" w:rsidRPr="00E71EAB" w:rsidRDefault="00E71EAB">
      <w:pPr>
        <w:keepNext/>
        <w:spacing w:before="240" w:after="240" w:line="240" w:lineRule="auto"/>
        <w:jc w:val="both"/>
        <w:outlineLvl w:val="1"/>
        <w:rPr>
          <w:rFonts w:ascii="Times New Roman" w:eastAsia="Arial" w:hAnsi="Times New Roman" w:cs="Times New Roman"/>
          <w:sz w:val="24"/>
          <w:szCs w:val="24"/>
          <w:u w:val="single"/>
        </w:rPr>
      </w:pPr>
      <w:bookmarkStart w:id="13" w:name="_Toc88124551"/>
      <w:r w:rsidRPr="00E71EAB">
        <w:rPr>
          <w:rFonts w:ascii="Times New Roman" w:hAnsi="Times New Roman"/>
          <w:sz w:val="24"/>
          <w:szCs w:val="24"/>
          <w:u w:val="single"/>
        </w:rPr>
        <w:t>1.3 Konvence v oblasti znamének</w:t>
      </w:r>
      <w:bookmarkEnd w:id="13"/>
    </w:p>
    <w:p w14:paraId="289AE2C4" w14:textId="77777777" w:rsidR="00ED3F18" w:rsidRPr="00E71EAB" w:rsidRDefault="00E71EAB">
      <w:pPr>
        <w:pStyle w:val="InstructionsText2"/>
        <w:numPr>
          <w:ilvl w:val="0"/>
          <w:numId w:val="0"/>
        </w:numPr>
        <w:ind w:left="360" w:hanging="360"/>
      </w:pPr>
      <w:r w:rsidRPr="00E71EAB">
        <w:t>8.</w:t>
      </w:r>
      <w:r w:rsidRPr="00E71EAB">
        <w:tab/>
        <w:t>Jakákoli č</w:t>
      </w:r>
      <w:r w:rsidRPr="00E71EAB">
        <w:t>ástka, která zvyšuje kapitál nebo kapitálové požadavky nebo požadavky na likviditu, se vykazuje jako kladné číslo. Naopak jakákoli částka, která celkový kapitál nebo kapitálové požadavky snižuje, se vykazuje jako záporné číslo. Je-li před označením položky</w:t>
      </w:r>
      <w:r w:rsidRPr="00E71EAB">
        <w:t xml:space="preserve"> uvedeno záporné znaménko (–), předpokládá se, že u této položky nebude uvedeno kladné číslo.</w:t>
      </w:r>
    </w:p>
    <w:p w14:paraId="58FA48DA" w14:textId="77777777" w:rsidR="00ED3F18" w:rsidRPr="00E71EAB" w:rsidRDefault="00E71EAB">
      <w:pPr>
        <w:keepNext/>
        <w:spacing w:before="240" w:after="240" w:line="240" w:lineRule="auto"/>
        <w:jc w:val="both"/>
        <w:outlineLvl w:val="1"/>
        <w:rPr>
          <w:rFonts w:ascii="Times New Roman" w:eastAsia="Arial" w:hAnsi="Times New Roman" w:cs="Times New Roman"/>
          <w:sz w:val="24"/>
          <w:szCs w:val="24"/>
          <w:u w:val="single"/>
        </w:rPr>
      </w:pPr>
      <w:bookmarkStart w:id="14" w:name="_Toc76557276"/>
      <w:bookmarkStart w:id="15" w:name="_Toc88124552"/>
      <w:r w:rsidRPr="00E71EAB">
        <w:rPr>
          <w:rFonts w:ascii="Times New Roman" w:hAnsi="Times New Roman"/>
          <w:sz w:val="24"/>
          <w:szCs w:val="24"/>
          <w:u w:val="single"/>
        </w:rPr>
        <w:t>1.4</w:t>
      </w:r>
      <w:bookmarkEnd w:id="14"/>
      <w:r w:rsidRPr="00E71EAB">
        <w:rPr>
          <w:rFonts w:ascii="Times New Roman" w:hAnsi="Times New Roman"/>
          <w:sz w:val="24"/>
          <w:szCs w:val="24"/>
          <w:u w:val="single"/>
        </w:rPr>
        <w:t xml:space="preserve"> Obezřetnostní konsolidace</w:t>
      </w:r>
      <w:bookmarkEnd w:id="15"/>
    </w:p>
    <w:p w14:paraId="14C9B042" w14:textId="77777777" w:rsidR="00ED3F18" w:rsidRPr="00E71EAB" w:rsidRDefault="00E71EAB">
      <w:pPr>
        <w:spacing w:line="256" w:lineRule="auto"/>
        <w:ind w:left="360" w:hanging="360"/>
        <w:jc w:val="both"/>
        <w:rPr>
          <w:rFonts w:ascii="Times New Roman" w:hAnsi="Times New Roman" w:cs="Times New Roman"/>
          <w:sz w:val="24"/>
        </w:rPr>
      </w:pPr>
      <w:r w:rsidRPr="00E71EAB">
        <w:rPr>
          <w:rFonts w:ascii="Times New Roman" w:hAnsi="Times New Roman" w:cs="Times New Roman"/>
          <w:sz w:val="24"/>
        </w:rPr>
        <w:t>9.</w:t>
      </w:r>
      <w:r w:rsidRPr="00E71EAB">
        <w:rPr>
          <w:rFonts w:ascii="Times New Roman" w:hAnsi="Times New Roman" w:cs="Times New Roman"/>
          <w:sz w:val="24"/>
        </w:rPr>
        <w:tab/>
      </w:r>
      <w:r w:rsidRPr="00E71EAB">
        <w:rPr>
          <w:rFonts w:ascii="Times New Roman" w:hAnsi="Times New Roman"/>
          <w:sz w:val="24"/>
        </w:rPr>
        <w:t>Pokud nebylo přiznáno osvobození, vztahují se na investiční podniky na individuálním i konsolidovaném základě nařízení (EU) 2019/</w:t>
      </w:r>
      <w:r w:rsidRPr="00E71EAB">
        <w:rPr>
          <w:rFonts w:ascii="Times New Roman" w:hAnsi="Times New Roman"/>
          <w:sz w:val="24"/>
        </w:rPr>
        <w:t>2033 a směrnice (EU) 2019/2034 a požadavky na podávání zpráv obsažené v části sedmé nařízení (EU) 2019/2033. Ustanovení čl. 4 odst. 1 bodu 11 nařízení (EU) 2019/2033 definuje konsolidovanou situaci jako situaci vyplývající z uplatnění požadavků nařízení (E</w:t>
      </w:r>
      <w:r w:rsidRPr="00E71EAB">
        <w:rPr>
          <w:rFonts w:ascii="Times New Roman" w:hAnsi="Times New Roman"/>
          <w:sz w:val="24"/>
        </w:rPr>
        <w:t>U) 2019/2033 na skupinu investičního podniku, jako kdyby subjekty skupiny tvořily společně jediný investiční podnik. Na základě použití článku 7 nařízení (EU) 2019/2033 skupiny investičních podniků splní požadavky na podávání zpráv obsažené ve všech šablon</w:t>
      </w:r>
      <w:r w:rsidRPr="00E71EAB">
        <w:rPr>
          <w:rFonts w:ascii="Times New Roman" w:hAnsi="Times New Roman"/>
          <w:sz w:val="24"/>
        </w:rPr>
        <w:t>ách na základě jejich působnosti obezřetnostní konsolidace (která se může lišit od rozsahu jejich účetní konsolidace).</w:t>
      </w:r>
    </w:p>
    <w:p w14:paraId="187B9E62" w14:textId="77777777" w:rsidR="00ED3F18" w:rsidRPr="00E71EAB" w:rsidRDefault="00E71EAB">
      <w:pPr>
        <w:pStyle w:val="Heading2"/>
        <w:rPr>
          <w:rFonts w:ascii="Times New Roman" w:hAnsi="Times New Roman"/>
        </w:rPr>
      </w:pPr>
      <w:bookmarkStart w:id="16" w:name="_Toc88124553"/>
      <w:r w:rsidRPr="00E71EAB">
        <w:rPr>
          <w:rFonts w:ascii="Times New Roman" w:hAnsi="Times New Roman"/>
        </w:rPr>
        <w:lastRenderedPageBreak/>
        <w:t>ČÁST II: POKYNY K ŠABLONÁM</w:t>
      </w:r>
      <w:bookmarkEnd w:id="6"/>
      <w:bookmarkEnd w:id="7"/>
      <w:bookmarkEnd w:id="8"/>
      <w:bookmarkEnd w:id="16"/>
    </w:p>
    <w:p w14:paraId="5977D73D" w14:textId="77777777" w:rsidR="00ED3F18" w:rsidRPr="00E71EAB" w:rsidRDefault="00E71EAB">
      <w:pPr>
        <w:pStyle w:val="Instructionsberschrift2"/>
        <w:ind w:left="357" w:hanging="357"/>
        <w:rPr>
          <w:rFonts w:ascii="Times New Roman" w:hAnsi="Times New Roman" w:cs="Times New Roman"/>
          <w:b/>
          <w:sz w:val="24"/>
        </w:rPr>
      </w:pPr>
      <w:bookmarkStart w:id="17" w:name="_Toc88124554"/>
      <w:r w:rsidRPr="00E71EAB">
        <w:rPr>
          <w:rFonts w:ascii="Times New Roman" w:hAnsi="Times New Roman"/>
          <w:b/>
          <w:sz w:val="24"/>
          <w:u w:val="none"/>
        </w:rPr>
        <w:t>1. KAPITÁL: VÝŠE, SLOŽENÍ, POŽADAVKY A VÝPOČET</w:t>
      </w:r>
      <w:bookmarkEnd w:id="17"/>
    </w:p>
    <w:p w14:paraId="65891D7E" w14:textId="77777777" w:rsidR="00ED3F18" w:rsidRPr="00E71EAB" w:rsidRDefault="00E71EAB">
      <w:pPr>
        <w:pStyle w:val="Instructionsberschrift2"/>
        <w:ind w:left="357" w:hanging="357"/>
        <w:rPr>
          <w:rFonts w:ascii="Times New Roman" w:hAnsi="Times New Roman" w:cs="Times New Roman"/>
          <w:sz w:val="24"/>
        </w:rPr>
      </w:pPr>
      <w:bookmarkStart w:id="18" w:name="_Toc88124555"/>
      <w:r w:rsidRPr="00E71EAB">
        <w:rPr>
          <w:rFonts w:ascii="Times New Roman" w:hAnsi="Times New Roman"/>
          <w:sz w:val="24"/>
          <w:u w:val="none"/>
        </w:rPr>
        <w:t>1.1</w:t>
      </w:r>
      <w:r w:rsidRPr="00E71EAB">
        <w:rPr>
          <w:rFonts w:ascii="Times New Roman" w:hAnsi="Times New Roman"/>
          <w:sz w:val="24"/>
        </w:rPr>
        <w:t xml:space="preserve"> Obecné poznámky</w:t>
      </w:r>
      <w:bookmarkEnd w:id="18"/>
    </w:p>
    <w:p w14:paraId="583D5EE9" w14:textId="77777777" w:rsidR="00ED3F18" w:rsidRPr="00E71EAB" w:rsidRDefault="00E71EAB">
      <w:pPr>
        <w:spacing w:line="256" w:lineRule="auto"/>
        <w:ind w:left="993" w:hanging="567"/>
        <w:jc w:val="both"/>
        <w:rPr>
          <w:rFonts w:ascii="Times New Roman" w:hAnsi="Times New Roman" w:cs="Times New Roman"/>
          <w:sz w:val="24"/>
        </w:rPr>
      </w:pPr>
      <w:r w:rsidRPr="00E71EAB">
        <w:rPr>
          <w:rFonts w:ascii="Times New Roman" w:hAnsi="Times New Roman" w:cs="Times New Roman"/>
          <w:sz w:val="24"/>
        </w:rPr>
        <w:t>10.</w:t>
      </w:r>
      <w:r w:rsidRPr="00E71EAB">
        <w:rPr>
          <w:rFonts w:ascii="Times New Roman" w:hAnsi="Times New Roman" w:cs="Times New Roman"/>
          <w:sz w:val="24"/>
        </w:rPr>
        <w:tab/>
      </w:r>
      <w:r w:rsidRPr="00E71EAB">
        <w:rPr>
          <w:rFonts w:ascii="Times New Roman" w:hAnsi="Times New Roman"/>
          <w:sz w:val="24"/>
        </w:rPr>
        <w:t>Oddíl pojednávající o kapitálu obsahuje</w:t>
      </w:r>
      <w:r w:rsidRPr="00E71EAB">
        <w:rPr>
          <w:rFonts w:ascii="Times New Roman" w:hAnsi="Times New Roman"/>
          <w:sz w:val="24"/>
        </w:rPr>
        <w:t xml:space="preserve"> informace o kapitálu, který investiční podnik drží, a jeho kapitálových požadavcích. Obsahuje dvě šablony:</w:t>
      </w:r>
    </w:p>
    <w:p w14:paraId="456EFF50" w14:textId="77777777" w:rsidR="00ED3F18" w:rsidRPr="00E71EAB" w:rsidRDefault="00E71EAB">
      <w:pPr>
        <w:spacing w:line="256" w:lineRule="auto"/>
        <w:ind w:left="1728" w:hanging="648"/>
        <w:jc w:val="both"/>
        <w:rPr>
          <w:rFonts w:ascii="Times New Roman" w:hAnsi="Times New Roman" w:cs="Times New Roman"/>
          <w:sz w:val="24"/>
        </w:rPr>
      </w:pPr>
      <w:r w:rsidRPr="00E71EAB">
        <w:rPr>
          <w:rFonts w:ascii="Times New Roman" w:hAnsi="Times New Roman" w:cs="Times New Roman"/>
          <w:sz w:val="24"/>
        </w:rPr>
        <w:t>a)</w:t>
      </w:r>
      <w:r w:rsidRPr="00E71EAB">
        <w:rPr>
          <w:rFonts w:ascii="Times New Roman" w:hAnsi="Times New Roman" w:cs="Times New Roman"/>
          <w:sz w:val="24"/>
        </w:rPr>
        <w:tab/>
      </w:r>
      <w:r w:rsidRPr="00E71EAB">
        <w:rPr>
          <w:rFonts w:ascii="Times New Roman" w:hAnsi="Times New Roman"/>
          <w:sz w:val="24"/>
        </w:rPr>
        <w:t>šablona I 01.01 zahrnuje složení kapitálu, který drží investiční podnik: kmenového kapitálu tier 1 (CET1), vedlejšího kapitálu tier 1 (AT1) a kap</w:t>
      </w:r>
      <w:r w:rsidRPr="00E71EAB">
        <w:rPr>
          <w:rFonts w:ascii="Times New Roman" w:hAnsi="Times New Roman"/>
          <w:sz w:val="24"/>
        </w:rPr>
        <w:t>itálu tier 2 (T2);</w:t>
      </w:r>
    </w:p>
    <w:p w14:paraId="4E4584C4" w14:textId="77777777" w:rsidR="00ED3F18" w:rsidRPr="00E71EAB" w:rsidRDefault="00E71EAB">
      <w:pPr>
        <w:spacing w:line="256" w:lineRule="auto"/>
        <w:ind w:left="1728" w:hanging="648"/>
        <w:jc w:val="both"/>
        <w:rPr>
          <w:rFonts w:ascii="Times New Roman" w:hAnsi="Times New Roman" w:cs="Times New Roman"/>
          <w:sz w:val="24"/>
        </w:rPr>
      </w:pPr>
      <w:r w:rsidRPr="00E71EAB">
        <w:rPr>
          <w:rFonts w:ascii="Times New Roman" w:hAnsi="Times New Roman" w:cs="Times New Roman"/>
          <w:sz w:val="24"/>
        </w:rPr>
        <w:t>b)</w:t>
      </w:r>
      <w:r w:rsidRPr="00E71EAB">
        <w:rPr>
          <w:rFonts w:ascii="Times New Roman" w:hAnsi="Times New Roman" w:cs="Times New Roman"/>
          <w:sz w:val="24"/>
        </w:rPr>
        <w:tab/>
      </w:r>
      <w:r w:rsidRPr="00E71EAB">
        <w:rPr>
          <w:rFonts w:ascii="Times New Roman" w:hAnsi="Times New Roman"/>
          <w:sz w:val="24"/>
        </w:rPr>
        <w:t xml:space="preserve">šablony I 02.03 a I 02.04 zahrnují celkový kapitálový požadavek, trvalý minimální kapitálový požadavek, požadavek dle fixních režijních nákladů, případný dodatečný kapitálový požadavek a pokyny a přechodný kapitálový </w:t>
      </w:r>
      <w:r w:rsidRPr="00E71EAB">
        <w:rPr>
          <w:rFonts w:ascii="Times New Roman" w:hAnsi="Times New Roman"/>
          <w:sz w:val="24"/>
        </w:rPr>
        <w:t>požadavek a kapitálové poměry;</w:t>
      </w:r>
    </w:p>
    <w:p w14:paraId="5C0331D6" w14:textId="77777777" w:rsidR="00ED3F18" w:rsidRPr="00E71EAB" w:rsidRDefault="00E71EAB">
      <w:pPr>
        <w:spacing w:line="256" w:lineRule="auto"/>
        <w:ind w:left="1728" w:hanging="648"/>
        <w:jc w:val="both"/>
        <w:rPr>
          <w:rFonts w:ascii="Times New Roman" w:hAnsi="Times New Roman" w:cs="Times New Roman"/>
          <w:sz w:val="24"/>
        </w:rPr>
      </w:pPr>
      <w:r w:rsidRPr="00E71EAB">
        <w:rPr>
          <w:rFonts w:ascii="Times New Roman" w:hAnsi="Times New Roman" w:cs="Times New Roman"/>
          <w:sz w:val="24"/>
        </w:rPr>
        <w:t>c)</w:t>
      </w:r>
      <w:r w:rsidRPr="00E71EAB">
        <w:rPr>
          <w:rFonts w:ascii="Times New Roman" w:hAnsi="Times New Roman" w:cs="Times New Roman"/>
          <w:sz w:val="24"/>
        </w:rPr>
        <w:tab/>
      </w:r>
      <w:r w:rsidRPr="00E71EAB">
        <w:rPr>
          <w:rFonts w:ascii="Times New Roman" w:hAnsi="Times New Roman"/>
          <w:sz w:val="24"/>
        </w:rPr>
        <w:t>šablona I 03.01 obsahuje informace týkající se výpočtu požadavku dle fixních režijních nákladů.</w:t>
      </w:r>
    </w:p>
    <w:p w14:paraId="019BC865" w14:textId="77777777" w:rsidR="00ED3F18" w:rsidRPr="00E71EAB" w:rsidRDefault="00E71EAB">
      <w:pPr>
        <w:spacing w:line="256" w:lineRule="auto"/>
        <w:ind w:left="993" w:hanging="567"/>
        <w:jc w:val="both"/>
        <w:rPr>
          <w:rFonts w:ascii="Times New Roman" w:hAnsi="Times New Roman" w:cs="Times New Roman"/>
          <w:sz w:val="24"/>
        </w:rPr>
      </w:pPr>
      <w:r w:rsidRPr="00E71EAB">
        <w:rPr>
          <w:rFonts w:ascii="Times New Roman" w:hAnsi="Times New Roman" w:cs="Times New Roman"/>
          <w:sz w:val="24"/>
        </w:rPr>
        <w:t>11.</w:t>
      </w:r>
      <w:r w:rsidRPr="00E71EAB">
        <w:rPr>
          <w:rFonts w:ascii="Times New Roman" w:hAnsi="Times New Roman" w:cs="Times New Roman"/>
          <w:sz w:val="24"/>
        </w:rPr>
        <w:tab/>
      </w:r>
      <w:r w:rsidRPr="00E71EAB">
        <w:rPr>
          <w:rFonts w:ascii="Times New Roman" w:hAnsi="Times New Roman"/>
          <w:sz w:val="24"/>
        </w:rPr>
        <w:t xml:space="preserve">Položky v těchto šablonách se obecně uvádějí bez přechodných úprav. Znamená to, že číselné hodnoty (kromě případů, kdy je </w:t>
      </w:r>
      <w:r w:rsidRPr="00E71EAB">
        <w:rPr>
          <w:rFonts w:ascii="Times New Roman" w:hAnsi="Times New Roman"/>
          <w:sz w:val="24"/>
        </w:rPr>
        <w:t>výslovně uveden přechodný kapitálový požadavek) se vypočítávají podle závěrečných ustanovení (tj. jako kdyby neexistovala přechodná ustanovení).</w:t>
      </w:r>
    </w:p>
    <w:p w14:paraId="50638283" w14:textId="77777777" w:rsidR="00ED3F18" w:rsidRPr="00E71EAB" w:rsidRDefault="00E71EAB">
      <w:pPr>
        <w:pStyle w:val="Instructionsberschrift2"/>
        <w:ind w:left="357" w:hanging="357"/>
        <w:rPr>
          <w:rFonts w:ascii="Times New Roman" w:hAnsi="Times New Roman" w:cs="Times New Roman"/>
          <w:sz w:val="24"/>
          <w:u w:val="none"/>
        </w:rPr>
      </w:pPr>
      <w:bookmarkStart w:id="19" w:name="_Toc88124556"/>
      <w:r w:rsidRPr="00E71EAB">
        <w:rPr>
          <w:rFonts w:ascii="Times New Roman" w:hAnsi="Times New Roman"/>
          <w:sz w:val="24"/>
          <w:u w:val="none"/>
        </w:rPr>
        <w:t xml:space="preserve">1.2. </w:t>
      </w:r>
      <w:r w:rsidRPr="00E71EAB">
        <w:rPr>
          <w:rFonts w:ascii="Times New Roman" w:hAnsi="Times New Roman"/>
          <w:sz w:val="24"/>
        </w:rPr>
        <w:t>I</w:t>
      </w:r>
      <w:r w:rsidRPr="00E71EAB">
        <w:rPr>
          <w:rFonts w:ascii="Times New Roman" w:hAnsi="Times New Roman"/>
          <w:sz w:val="24"/>
          <w:u w:val="none"/>
        </w:rPr>
        <w:t> </w:t>
      </w:r>
      <w:r w:rsidRPr="00E71EAB">
        <w:rPr>
          <w:rFonts w:ascii="Times New Roman" w:hAnsi="Times New Roman"/>
          <w:sz w:val="24"/>
        </w:rPr>
        <w:t>01.01 – SLOŽENÍ KAPITÁLU (I 1.1)</w:t>
      </w:r>
      <w:bookmarkEnd w:id="19"/>
    </w:p>
    <w:p w14:paraId="1492C1CC" w14:textId="77777777" w:rsidR="00ED3F18" w:rsidRPr="00E71EAB" w:rsidRDefault="00E71EAB">
      <w:pPr>
        <w:pStyle w:val="Instructionsberschrift2"/>
        <w:ind w:left="357" w:hanging="357"/>
        <w:rPr>
          <w:rFonts w:ascii="Times New Roman" w:hAnsi="Times New Roman" w:cs="Times New Roman"/>
          <w:sz w:val="24"/>
        </w:rPr>
      </w:pPr>
      <w:bookmarkStart w:id="20" w:name="_Toc88124557"/>
      <w:r w:rsidRPr="00E71EAB">
        <w:rPr>
          <w:rFonts w:ascii="Times New Roman" w:hAnsi="Times New Roman"/>
          <w:sz w:val="24"/>
          <w:u w:val="none"/>
        </w:rPr>
        <w:t>1.2.1.</w:t>
      </w:r>
      <w:r w:rsidRPr="00E71EAB">
        <w:rPr>
          <w:rFonts w:ascii="Times New Roman" w:hAnsi="Times New Roman"/>
          <w:sz w:val="24"/>
          <w:u w:val="none"/>
        </w:rPr>
        <w:tab/>
      </w:r>
      <w:r w:rsidRPr="00E71EAB">
        <w:rPr>
          <w:rFonts w:ascii="Times New Roman" w:hAnsi="Times New Roman"/>
          <w:sz w:val="24"/>
        </w:rPr>
        <w:t>Pokyny pro konkrétní pozice</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D3F18" w:rsidRPr="00E71EAB" w14:paraId="14B7B17B" w14:textId="77777777">
        <w:tc>
          <w:tcPr>
            <w:tcW w:w="1129" w:type="dxa"/>
            <w:shd w:val="clear" w:color="auto" w:fill="D9D9D9"/>
          </w:tcPr>
          <w:p w14:paraId="5D2164C2"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rPr>
              <w:t>Řádek</w:t>
            </w:r>
          </w:p>
        </w:tc>
        <w:tc>
          <w:tcPr>
            <w:tcW w:w="7620" w:type="dxa"/>
            <w:shd w:val="clear" w:color="auto" w:fill="D9D9D9"/>
          </w:tcPr>
          <w:p w14:paraId="65234269"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rPr>
              <w:t xml:space="preserve">Odkazy na právní </w:t>
            </w:r>
            <w:r w:rsidRPr="00E71EAB">
              <w:rPr>
                <w:rFonts w:ascii="Times New Roman" w:hAnsi="Times New Roman"/>
              </w:rPr>
              <w:t>předpisy a pokyny</w:t>
            </w:r>
          </w:p>
        </w:tc>
      </w:tr>
      <w:tr w:rsidR="00ED3F18" w:rsidRPr="00E71EAB" w14:paraId="5DE45CE5" w14:textId="77777777">
        <w:tc>
          <w:tcPr>
            <w:tcW w:w="1129" w:type="dxa"/>
          </w:tcPr>
          <w:p w14:paraId="66206E68"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0010</w:t>
            </w:r>
          </w:p>
        </w:tc>
        <w:tc>
          <w:tcPr>
            <w:tcW w:w="7620" w:type="dxa"/>
          </w:tcPr>
          <w:p w14:paraId="05388ADD"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KAPITÁL</w:t>
            </w:r>
          </w:p>
          <w:p w14:paraId="6533F628"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9 odst. 1 nařízení (EU) 2019/2033.</w:t>
            </w:r>
          </w:p>
          <w:p w14:paraId="15774D60" w14:textId="77777777" w:rsidR="00ED3F18" w:rsidRPr="00E71EAB" w:rsidRDefault="00E71EAB">
            <w:pPr>
              <w:spacing w:after="120" w:line="240" w:lineRule="auto"/>
              <w:jc w:val="both"/>
              <w:rPr>
                <w:rStyle w:val="FormatvorlageInstructionsTabelleText"/>
                <w:rFonts w:ascii="Times New Roman" w:hAnsi="Times New Roman"/>
                <w:sz w:val="22"/>
              </w:rPr>
            </w:pPr>
            <w:r w:rsidRPr="00E71EAB">
              <w:rPr>
                <w:rStyle w:val="FormatvorlageInstructionsTabelleText"/>
                <w:rFonts w:ascii="Times New Roman" w:hAnsi="Times New Roman"/>
                <w:sz w:val="22"/>
              </w:rPr>
              <w:t>Kapitál investičního podniku je součtem jeho kapitálu tier 1 a tier 2.</w:t>
            </w:r>
          </w:p>
          <w:p w14:paraId="1CE0247C"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Vykáže se celkový součet řádků (0020 a 0380).</w:t>
            </w:r>
          </w:p>
        </w:tc>
      </w:tr>
      <w:tr w:rsidR="00ED3F18" w:rsidRPr="00E71EAB" w14:paraId="2DE1F705" w14:textId="77777777">
        <w:tc>
          <w:tcPr>
            <w:tcW w:w="1129" w:type="dxa"/>
          </w:tcPr>
          <w:p w14:paraId="1CCCB1B5"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0020</w:t>
            </w:r>
          </w:p>
        </w:tc>
        <w:tc>
          <w:tcPr>
            <w:tcW w:w="7620" w:type="dxa"/>
          </w:tcPr>
          <w:p w14:paraId="73CA3189"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KAPITÁL TIER 1</w:t>
            </w:r>
          </w:p>
          <w:p w14:paraId="2EDB4B3C"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Style w:val="FormatvorlageInstructionsTabelleText"/>
                <w:rFonts w:ascii="Times New Roman" w:hAnsi="Times New Roman"/>
                <w:sz w:val="22"/>
              </w:rPr>
              <w:t xml:space="preserve">Kapitál tier 1 je součtem </w:t>
            </w:r>
            <w:r w:rsidRPr="00E71EAB">
              <w:rPr>
                <w:rStyle w:val="FormatvorlageInstructionsTabelleText"/>
                <w:rFonts w:ascii="Times New Roman" w:hAnsi="Times New Roman"/>
                <w:sz w:val="22"/>
              </w:rPr>
              <w:t>kmenového kapitálu tier 1 a vedlejšího kapitálu tier 1.</w:t>
            </w:r>
          </w:p>
        </w:tc>
      </w:tr>
      <w:tr w:rsidR="00ED3F18" w:rsidRPr="00E71EAB" w14:paraId="1BC5ECFC" w14:textId="77777777">
        <w:tc>
          <w:tcPr>
            <w:tcW w:w="1129" w:type="dxa"/>
          </w:tcPr>
          <w:p w14:paraId="50CE3376"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0030</w:t>
            </w:r>
          </w:p>
        </w:tc>
        <w:tc>
          <w:tcPr>
            <w:tcW w:w="7620" w:type="dxa"/>
          </w:tcPr>
          <w:p w14:paraId="11991BFF"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Style w:val="InstructionsTabelleberschrift"/>
                <w:rFonts w:ascii="Times New Roman" w:hAnsi="Times New Roman"/>
                <w:sz w:val="22"/>
              </w:rPr>
              <w:t>KMENOVÝ KAPITÁL TIER 1</w:t>
            </w:r>
          </w:p>
          <w:p w14:paraId="39D3CF38"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9 odst. 1 nařízení (EU) 2019/2033.</w:t>
            </w:r>
          </w:p>
          <w:p w14:paraId="0DC1590F" w14:textId="77777777" w:rsidR="00ED3F18" w:rsidRPr="00E71EAB" w:rsidRDefault="00E71EAB">
            <w:pPr>
              <w:spacing w:after="120" w:line="240" w:lineRule="auto"/>
              <w:jc w:val="both"/>
              <w:rPr>
                <w:rStyle w:val="FormatvorlageInstructionsTabelleText"/>
                <w:rFonts w:ascii="Times New Roman" w:hAnsi="Times New Roman"/>
                <w:sz w:val="22"/>
              </w:rPr>
            </w:pPr>
            <w:r w:rsidRPr="00E71EAB">
              <w:rPr>
                <w:rStyle w:val="FormatvorlageInstructionsTabelleText"/>
                <w:rFonts w:ascii="Times New Roman" w:hAnsi="Times New Roman"/>
                <w:i/>
                <w:sz w:val="22"/>
              </w:rPr>
              <w:t>Článek 50</w:t>
            </w:r>
            <w:r w:rsidRPr="00E71EAB">
              <w:rPr>
                <w:rStyle w:val="FormatvorlageInstructionsTabelleText"/>
                <w:rFonts w:ascii="Times New Roman" w:hAnsi="Times New Roman"/>
                <w:sz w:val="22"/>
              </w:rPr>
              <w:t xml:space="preserve"> nařízení (EU) č. 575/2013.</w:t>
            </w:r>
          </w:p>
          <w:p w14:paraId="4D825363"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Vykáže se celkový součet řádků (0040 až 0060, 0090 až 0140 a 0290).</w:t>
            </w:r>
          </w:p>
        </w:tc>
      </w:tr>
      <w:tr w:rsidR="00ED3F18" w:rsidRPr="00E71EAB" w14:paraId="2108B057" w14:textId="77777777">
        <w:tc>
          <w:tcPr>
            <w:tcW w:w="1129" w:type="dxa"/>
          </w:tcPr>
          <w:p w14:paraId="1321483B"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0040</w:t>
            </w:r>
          </w:p>
        </w:tc>
        <w:tc>
          <w:tcPr>
            <w:tcW w:w="7620" w:type="dxa"/>
          </w:tcPr>
          <w:p w14:paraId="7EDCBA40"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xml:space="preserve">Zcela </w:t>
            </w:r>
            <w:r w:rsidRPr="00E71EAB">
              <w:rPr>
                <w:rFonts w:ascii="Times New Roman" w:hAnsi="Times New Roman"/>
                <w:b/>
                <w:bCs/>
                <w:u w:val="single"/>
              </w:rPr>
              <w:t>splacené kapitálové nástroje</w:t>
            </w:r>
          </w:p>
          <w:p w14:paraId="74E219A4"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9 odst. 1 bodu i) nařízení (EU) 2019/2033.</w:t>
            </w:r>
          </w:p>
          <w:p w14:paraId="20FE941A" w14:textId="77777777" w:rsidR="00ED3F18" w:rsidRPr="00E71EAB" w:rsidRDefault="00E71EAB">
            <w:pPr>
              <w:pStyle w:val="InstructionsText"/>
              <w:rPr>
                <w:rStyle w:val="FormatvorlageInstructionsTabelleText"/>
                <w:rFonts w:ascii="Times New Roman" w:hAnsi="Times New Roman"/>
                <w:sz w:val="22"/>
                <w:szCs w:val="22"/>
              </w:rPr>
            </w:pPr>
            <w:r w:rsidRPr="00E71EAB">
              <w:rPr>
                <w:rStyle w:val="FormatvorlageInstructionsTabelleText"/>
                <w:rFonts w:ascii="Times New Roman" w:hAnsi="Times New Roman"/>
                <w:sz w:val="22"/>
                <w:szCs w:val="22"/>
              </w:rPr>
              <w:t>Ustanovení čl. 26 odst. 1 písm. a) a článků 27 až 31 nařízení (EU) č. 575/2013.</w:t>
            </w:r>
          </w:p>
          <w:p w14:paraId="61847618" w14:textId="77777777" w:rsidR="00ED3F18" w:rsidRPr="00E71EAB" w:rsidRDefault="00E71EAB">
            <w:pPr>
              <w:pStyle w:val="InstructionsText"/>
              <w:rPr>
                <w:rStyle w:val="FormatvorlageInstructionsTabelleText"/>
                <w:rFonts w:ascii="Times New Roman" w:hAnsi="Times New Roman"/>
                <w:sz w:val="22"/>
                <w:szCs w:val="22"/>
              </w:rPr>
            </w:pPr>
            <w:r w:rsidRPr="00E71EAB">
              <w:rPr>
                <w:rStyle w:val="FormatvorlageInstructionsTabelleText"/>
                <w:rFonts w:ascii="Times New Roman" w:hAnsi="Times New Roman"/>
                <w:sz w:val="22"/>
                <w:szCs w:val="22"/>
              </w:rPr>
              <w:t>Zahrnují se kapitálové nástroje vzájemných institucí, družstev nebo podobných institucí (</w:t>
            </w:r>
            <w:r w:rsidRPr="00E71EAB">
              <w:rPr>
                <w:rStyle w:val="FormatvorlageInstructionsTabelleText"/>
                <w:rFonts w:ascii="Times New Roman" w:hAnsi="Times New Roman"/>
                <w:sz w:val="22"/>
                <w:szCs w:val="22"/>
              </w:rPr>
              <w:t>články 27 a 29 nařízení (EU) č. 575/2013).</w:t>
            </w:r>
          </w:p>
          <w:p w14:paraId="31B36FF4" w14:textId="77777777" w:rsidR="00ED3F18" w:rsidRPr="00E71EAB" w:rsidRDefault="00E71EAB">
            <w:pPr>
              <w:pStyle w:val="InstructionsText"/>
              <w:rPr>
                <w:rStyle w:val="FormatvorlageInstructionsTabelleText"/>
                <w:rFonts w:ascii="Times New Roman" w:hAnsi="Times New Roman"/>
                <w:sz w:val="22"/>
                <w:szCs w:val="22"/>
              </w:rPr>
            </w:pPr>
            <w:r w:rsidRPr="00E71EAB">
              <w:rPr>
                <w:rStyle w:val="FormatvorlageInstructionsTabelleText"/>
                <w:rFonts w:ascii="Times New Roman" w:hAnsi="Times New Roman"/>
                <w:sz w:val="22"/>
                <w:szCs w:val="22"/>
              </w:rPr>
              <w:t>Emisní ážio související s těmito nástroji není zahrnuto.</w:t>
            </w:r>
          </w:p>
          <w:p w14:paraId="4BDAB96F" w14:textId="77777777" w:rsidR="00ED3F18" w:rsidRPr="00E71EAB" w:rsidRDefault="00E71EAB">
            <w:pPr>
              <w:pStyle w:val="InstructionsText"/>
              <w:rPr>
                <w:sz w:val="22"/>
                <w:szCs w:val="22"/>
              </w:rPr>
            </w:pPr>
            <w:r w:rsidRPr="00E71EAB">
              <w:rPr>
                <w:rStyle w:val="FormatvorlageInstructionsTabelleText"/>
                <w:rFonts w:ascii="Times New Roman" w:hAnsi="Times New Roman"/>
                <w:sz w:val="22"/>
                <w:szCs w:val="22"/>
              </w:rPr>
              <w:lastRenderedPageBreak/>
              <w:t>Zahrnují se kapitálové nástroje upsané veřejnými orgány v mimořádných situacích, jsou-li splněny všechny podmínky článku 31 nařízení (EU) č. 575/2013.</w:t>
            </w:r>
          </w:p>
        </w:tc>
      </w:tr>
      <w:tr w:rsidR="00ED3F18" w:rsidRPr="00E71EAB" w14:paraId="56F28DE6" w14:textId="77777777">
        <w:tc>
          <w:tcPr>
            <w:tcW w:w="1129" w:type="dxa"/>
          </w:tcPr>
          <w:p w14:paraId="6561CB5A"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lastRenderedPageBreak/>
              <w:t>0050</w:t>
            </w:r>
          </w:p>
        </w:tc>
        <w:tc>
          <w:tcPr>
            <w:tcW w:w="7620" w:type="dxa"/>
          </w:tcPr>
          <w:p w14:paraId="73C31C0D"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Emisní ážio</w:t>
            </w:r>
          </w:p>
          <w:p w14:paraId="1F180F31"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9 odst. 1 bodu i) nařízení (EU) 2019/2033.</w:t>
            </w:r>
          </w:p>
          <w:p w14:paraId="790B9700" w14:textId="77777777" w:rsidR="00ED3F18" w:rsidRPr="00E71EAB" w:rsidRDefault="00E71EAB">
            <w:pPr>
              <w:spacing w:after="120" w:line="240" w:lineRule="auto"/>
              <w:jc w:val="both"/>
              <w:rPr>
                <w:rStyle w:val="FormatvorlageInstructionsTabelleText"/>
                <w:rFonts w:ascii="Times New Roman" w:hAnsi="Times New Roman"/>
                <w:sz w:val="22"/>
              </w:rPr>
            </w:pPr>
            <w:r w:rsidRPr="00E71EAB">
              <w:rPr>
                <w:rStyle w:val="FormatvorlageInstructionsTabelleText"/>
                <w:rFonts w:ascii="Times New Roman" w:hAnsi="Times New Roman"/>
                <w:sz w:val="22"/>
              </w:rPr>
              <w:t>Ustanovení čl. 26 odst. 1 písm. b) nařízení (EU) č. 575/2013.</w:t>
            </w:r>
          </w:p>
          <w:p w14:paraId="4CACD0C9" w14:textId="77777777" w:rsidR="00ED3F18" w:rsidRPr="00E71EAB" w:rsidRDefault="00E71EAB">
            <w:pPr>
              <w:pStyle w:val="InstructionsText"/>
              <w:rPr>
                <w:rStyle w:val="FormatvorlageInstructionsTabelleText"/>
                <w:rFonts w:ascii="Times New Roman" w:hAnsi="Times New Roman"/>
                <w:sz w:val="22"/>
                <w:szCs w:val="22"/>
              </w:rPr>
            </w:pPr>
            <w:r w:rsidRPr="00E71EAB">
              <w:rPr>
                <w:rStyle w:val="FormatvorlageInstructionsTabelleText"/>
                <w:rFonts w:ascii="Times New Roman" w:hAnsi="Times New Roman"/>
                <w:sz w:val="22"/>
                <w:szCs w:val="22"/>
              </w:rPr>
              <w:t>Emisní ážio má stejný význam jako v použitelném účetním standardu.</w:t>
            </w:r>
          </w:p>
          <w:p w14:paraId="1CD29D8B"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Style w:val="FormatvorlageInstructionsTabelleText"/>
                <w:rFonts w:ascii="Times New Roman" w:hAnsi="Times New Roman"/>
                <w:sz w:val="22"/>
              </w:rPr>
              <w:t>Částka, která má být vykázána v této položce, je čás</w:t>
            </w:r>
            <w:r w:rsidRPr="00E71EAB">
              <w:rPr>
                <w:rStyle w:val="FormatvorlageInstructionsTabelleText"/>
                <w:rFonts w:ascii="Times New Roman" w:hAnsi="Times New Roman"/>
                <w:sz w:val="22"/>
              </w:rPr>
              <w:t>tí vztahující se k položce „Splacené kapitálové nástroje“.</w:t>
            </w:r>
          </w:p>
        </w:tc>
      </w:tr>
      <w:tr w:rsidR="00ED3F18" w:rsidRPr="00E71EAB" w14:paraId="2E9036FC" w14:textId="77777777">
        <w:tc>
          <w:tcPr>
            <w:tcW w:w="1129" w:type="dxa"/>
          </w:tcPr>
          <w:p w14:paraId="323A976F"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0060</w:t>
            </w:r>
          </w:p>
        </w:tc>
        <w:tc>
          <w:tcPr>
            <w:tcW w:w="7620" w:type="dxa"/>
          </w:tcPr>
          <w:p w14:paraId="0CD03FDD"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Nerozdělený zisk</w:t>
            </w:r>
          </w:p>
          <w:p w14:paraId="2C2EC027"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9 odst. 1 bodu i) nařízení (EU) 2019/2033.</w:t>
            </w:r>
          </w:p>
          <w:p w14:paraId="188E5ADB" w14:textId="77777777" w:rsidR="00ED3F18" w:rsidRPr="00E71EAB" w:rsidRDefault="00E71EAB">
            <w:pPr>
              <w:spacing w:after="120" w:line="240" w:lineRule="auto"/>
              <w:jc w:val="both"/>
              <w:rPr>
                <w:rFonts w:ascii="Times New Roman" w:eastAsia="Times New Roman" w:hAnsi="Times New Roman" w:cs="Times New Roman"/>
                <w:bCs/>
              </w:rPr>
            </w:pPr>
            <w:r w:rsidRPr="00E71EAB">
              <w:rPr>
                <w:rStyle w:val="FormatvorlageInstructionsTabelleText"/>
                <w:rFonts w:ascii="Times New Roman" w:hAnsi="Times New Roman"/>
                <w:sz w:val="22"/>
              </w:rPr>
              <w:t>Ustanovení čl. 26 odst. 1 písm. c) nařízení (EU) č. 575/2013.</w:t>
            </w:r>
          </w:p>
          <w:p w14:paraId="2840505D" w14:textId="77777777" w:rsidR="00ED3F18" w:rsidRPr="00E71EAB" w:rsidRDefault="00E71EAB">
            <w:pPr>
              <w:spacing w:after="120" w:line="240" w:lineRule="auto"/>
              <w:jc w:val="both"/>
              <w:rPr>
                <w:rStyle w:val="FormatvorlageInstructionsTabelleText"/>
                <w:rFonts w:ascii="Times New Roman" w:hAnsi="Times New Roman"/>
                <w:sz w:val="22"/>
              </w:rPr>
            </w:pPr>
            <w:r w:rsidRPr="00E71EAB">
              <w:rPr>
                <w:rStyle w:val="FormatvorlageInstructionsTabelleText"/>
                <w:rFonts w:ascii="Times New Roman" w:hAnsi="Times New Roman"/>
                <w:sz w:val="22"/>
              </w:rPr>
              <w:t>Nerozdělený zisk zahrnuje nerozdělený zisk z předchozí</w:t>
            </w:r>
            <w:r w:rsidRPr="00E71EAB">
              <w:rPr>
                <w:rStyle w:val="FormatvorlageInstructionsTabelleText"/>
                <w:rFonts w:ascii="Times New Roman" w:hAnsi="Times New Roman"/>
                <w:sz w:val="22"/>
              </w:rPr>
              <w:t>ho roku, k němuž se přičte způsobilý mezitímní zisk nebo zisk ke konci roku.</w:t>
            </w:r>
          </w:p>
          <w:p w14:paraId="4657BA3B"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Vykáže se celkový součet řádků 0070 a 0080.</w:t>
            </w:r>
          </w:p>
        </w:tc>
      </w:tr>
      <w:tr w:rsidR="00ED3F18" w:rsidRPr="00E71EAB" w14:paraId="76A9320A" w14:textId="77777777">
        <w:tc>
          <w:tcPr>
            <w:tcW w:w="1129" w:type="dxa"/>
          </w:tcPr>
          <w:p w14:paraId="6D9A3B4F"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0070</w:t>
            </w:r>
          </w:p>
        </w:tc>
        <w:tc>
          <w:tcPr>
            <w:tcW w:w="7620" w:type="dxa"/>
          </w:tcPr>
          <w:p w14:paraId="50E236C4"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Nerozdělený zisk z předchozích let</w:t>
            </w:r>
          </w:p>
          <w:p w14:paraId="115BDACB" w14:textId="77777777" w:rsidR="00ED3F18" w:rsidRPr="00E71EAB" w:rsidRDefault="00E71EAB">
            <w:pPr>
              <w:spacing w:after="120" w:line="240" w:lineRule="auto"/>
              <w:jc w:val="both"/>
              <w:rPr>
                <w:rFonts w:ascii="Times New Roman" w:eastAsia="Times New Roman" w:hAnsi="Times New Roman" w:cs="Times New Roman"/>
              </w:rPr>
            </w:pPr>
            <w:r w:rsidRPr="00E71EAB">
              <w:rPr>
                <w:rFonts w:ascii="Times New Roman" w:hAnsi="Times New Roman"/>
              </w:rPr>
              <w:t>Ustanovení čl. 4 odst. 1 bodu 123 a čl. 26 odst. 1 písm. c) nařízení (EU) č. 575/2013.</w:t>
            </w:r>
          </w:p>
          <w:p w14:paraId="0BE54C35"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rPr>
              <w:t>V</w:t>
            </w:r>
            <w:r w:rsidRPr="00E71EAB">
              <w:rPr>
                <w:rFonts w:ascii="Times New Roman" w:eastAsia="Times New Roman" w:hAnsi="Times New Roman" w:cs="Times New Roman"/>
              </w:rPr>
              <w:t> </w:t>
            </w:r>
            <w:r w:rsidRPr="00E71EAB">
              <w:rPr>
                <w:rFonts w:ascii="Times New Roman" w:hAnsi="Times New Roman"/>
              </w:rPr>
              <w:t>čl. 4 odst. 1 bodu 123 nařízení (EU) č. 575/2013 je nerozdělený zisk definován jako „zisky a ztráty z předchozích období po započtení hospodářského výsledku podle použitelného účetního rámce“.</w:t>
            </w:r>
          </w:p>
        </w:tc>
      </w:tr>
      <w:tr w:rsidR="00ED3F18" w:rsidRPr="00E71EAB" w14:paraId="16035CB0" w14:textId="77777777">
        <w:tc>
          <w:tcPr>
            <w:tcW w:w="1129" w:type="dxa"/>
          </w:tcPr>
          <w:p w14:paraId="53F1B0F4"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0080</w:t>
            </w:r>
          </w:p>
        </w:tc>
        <w:tc>
          <w:tcPr>
            <w:tcW w:w="7620" w:type="dxa"/>
          </w:tcPr>
          <w:p w14:paraId="7A1E5C46"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Způsobilý zisk</w:t>
            </w:r>
          </w:p>
          <w:p w14:paraId="79C6EF40" w14:textId="77777777" w:rsidR="00ED3F18" w:rsidRPr="00E71EAB" w:rsidRDefault="00E71EAB">
            <w:pPr>
              <w:spacing w:after="120" w:line="240" w:lineRule="auto"/>
              <w:jc w:val="both"/>
              <w:rPr>
                <w:rFonts w:ascii="Times New Roman" w:eastAsia="Times New Roman" w:hAnsi="Times New Roman" w:cs="Times New Roman"/>
              </w:rPr>
            </w:pPr>
            <w:r w:rsidRPr="00E71EAB">
              <w:rPr>
                <w:rFonts w:ascii="Times New Roman" w:hAnsi="Times New Roman"/>
              </w:rPr>
              <w:t xml:space="preserve">Ustanovení čl. 4 odst. 1 bodu 121, čl. 26 </w:t>
            </w:r>
            <w:r w:rsidRPr="00E71EAB">
              <w:rPr>
                <w:rFonts w:ascii="Times New Roman" w:hAnsi="Times New Roman"/>
              </w:rPr>
              <w:t>odst. 2 a čl. 36 odst. 1 písm. a) nařízení (EU) č. 575/2013.</w:t>
            </w:r>
          </w:p>
          <w:p w14:paraId="5FD553F9"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rPr>
              <w:t>Podle čl. 26 odst. 2</w:t>
            </w:r>
            <w:r w:rsidRPr="00E71EAB">
              <w:rPr>
                <w:rStyle w:val="FormatvorlageInstructionsTabelleText"/>
                <w:rFonts w:ascii="Times New Roman" w:hAnsi="Times New Roman"/>
                <w:sz w:val="22"/>
              </w:rPr>
              <w:t xml:space="preserve"> </w:t>
            </w:r>
            <w:r w:rsidRPr="00E71EAB">
              <w:rPr>
                <w:rFonts w:ascii="Times New Roman" w:hAnsi="Times New Roman"/>
              </w:rPr>
              <w:t>nařízení (EU) č. 575/2013 je možno zahrnout do nerozděleného zisku mezitímní zisk nebo zisk ke konci roku, a to s předchozím svolením příslušného orgánu, pokud jsou splněny u</w:t>
            </w:r>
            <w:r w:rsidRPr="00E71EAB">
              <w:rPr>
                <w:rFonts w:ascii="Times New Roman" w:hAnsi="Times New Roman"/>
              </w:rPr>
              <w:t xml:space="preserve">rčité podmínky. </w:t>
            </w:r>
          </w:p>
        </w:tc>
      </w:tr>
      <w:tr w:rsidR="00ED3F18" w:rsidRPr="00E71EAB" w14:paraId="3881C225" w14:textId="77777777">
        <w:tc>
          <w:tcPr>
            <w:tcW w:w="1129" w:type="dxa"/>
          </w:tcPr>
          <w:p w14:paraId="1A078EA0"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0090</w:t>
            </w:r>
          </w:p>
        </w:tc>
        <w:tc>
          <w:tcPr>
            <w:tcW w:w="7620" w:type="dxa"/>
          </w:tcPr>
          <w:p w14:paraId="2EF75CEE"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Kumulovaný ostatní úplný výsledek hospodaření</w:t>
            </w:r>
          </w:p>
          <w:p w14:paraId="62B4D0E7"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9 odst. 1 bodu i) nařízení (EU) 2019/2033.</w:t>
            </w:r>
          </w:p>
          <w:p w14:paraId="4DBF21D5" w14:textId="77777777" w:rsidR="00ED3F18" w:rsidRPr="00E71EAB" w:rsidRDefault="00E71EAB">
            <w:pPr>
              <w:spacing w:after="120" w:line="240" w:lineRule="auto"/>
              <w:jc w:val="both"/>
              <w:rPr>
                <w:rFonts w:ascii="Times New Roman" w:hAnsi="Times New Roman" w:cs="Times New Roman"/>
                <w:bCs/>
              </w:rPr>
            </w:pPr>
            <w:r w:rsidRPr="00E71EAB">
              <w:rPr>
                <w:rStyle w:val="FormatvorlageInstructionsTabelleText"/>
                <w:rFonts w:ascii="Times New Roman" w:hAnsi="Times New Roman"/>
                <w:sz w:val="22"/>
              </w:rPr>
              <w:t>Ustanovení čl. 26 odst. 1 písm. d) nařízení (EU) č. 575/2013.</w:t>
            </w:r>
          </w:p>
        </w:tc>
      </w:tr>
      <w:tr w:rsidR="00ED3F18" w:rsidRPr="00E71EAB" w14:paraId="2A4FCB10" w14:textId="77777777">
        <w:tc>
          <w:tcPr>
            <w:tcW w:w="1129" w:type="dxa"/>
          </w:tcPr>
          <w:p w14:paraId="6501D025"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0100</w:t>
            </w:r>
          </w:p>
        </w:tc>
        <w:tc>
          <w:tcPr>
            <w:tcW w:w="7620" w:type="dxa"/>
          </w:tcPr>
          <w:p w14:paraId="119AF8F4"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Ostatní fondy</w:t>
            </w:r>
          </w:p>
          <w:p w14:paraId="014D767F"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 xml:space="preserve">Ustanovení čl. 9 odst. 1 bodu i) nařízení (EU) </w:t>
            </w:r>
            <w:r w:rsidRPr="00E71EAB">
              <w:rPr>
                <w:rFonts w:ascii="Times New Roman" w:hAnsi="Times New Roman"/>
                <w:bCs/>
              </w:rPr>
              <w:t>2019/2033.</w:t>
            </w:r>
          </w:p>
          <w:p w14:paraId="13C78F0D" w14:textId="77777777" w:rsidR="00ED3F18" w:rsidRPr="00E71EAB" w:rsidRDefault="00E71EAB">
            <w:pPr>
              <w:spacing w:after="120" w:line="240" w:lineRule="auto"/>
              <w:jc w:val="both"/>
              <w:rPr>
                <w:rStyle w:val="FormatvorlageInstructionsTabelleText"/>
                <w:rFonts w:ascii="Times New Roman" w:hAnsi="Times New Roman"/>
                <w:sz w:val="22"/>
              </w:rPr>
            </w:pPr>
            <w:r w:rsidRPr="00E71EAB">
              <w:rPr>
                <w:rStyle w:val="FormatvorlageInstructionsTabelleText"/>
                <w:rFonts w:ascii="Times New Roman" w:hAnsi="Times New Roman"/>
                <w:sz w:val="22"/>
              </w:rPr>
              <w:t>Ustanovení čl. 4 odst. 1 bodu 117 a čl. 26 odst. 1 písm. e) nařízení (EU) č. 575/2013.</w:t>
            </w:r>
          </w:p>
          <w:p w14:paraId="69C79FF1"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Style w:val="FormatvorlageInstructionsTabelleText"/>
                <w:rFonts w:ascii="Times New Roman" w:hAnsi="Times New Roman"/>
                <w:sz w:val="22"/>
              </w:rPr>
              <w:t>Částka, která má být vykázána, musí být očištěna o veškeré daňové platby předvídatelné v době výpočtu.</w:t>
            </w:r>
          </w:p>
        </w:tc>
      </w:tr>
      <w:tr w:rsidR="00ED3F18" w:rsidRPr="00E71EAB" w14:paraId="1395AE96" w14:textId="77777777">
        <w:tc>
          <w:tcPr>
            <w:tcW w:w="1129" w:type="dxa"/>
          </w:tcPr>
          <w:p w14:paraId="522DF330"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0110</w:t>
            </w:r>
          </w:p>
        </w:tc>
        <w:tc>
          <w:tcPr>
            <w:tcW w:w="7620" w:type="dxa"/>
            <w:shd w:val="clear" w:color="auto" w:fill="auto"/>
          </w:tcPr>
          <w:p w14:paraId="47D75220"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Menšinový podíl uznaný v kmenovém kapitálu tier 1</w:t>
            </w:r>
          </w:p>
          <w:p w14:paraId="2A767FBA" w14:textId="77777777" w:rsidR="00ED3F18" w:rsidRPr="00E71EAB" w:rsidRDefault="00E71EAB">
            <w:pPr>
              <w:spacing w:after="120" w:line="240" w:lineRule="auto"/>
              <w:jc w:val="both"/>
              <w:rPr>
                <w:rStyle w:val="FormatvorlageInstructionsTabelleText"/>
                <w:rFonts w:ascii="Times New Roman" w:hAnsi="Times New Roman"/>
                <w:sz w:val="22"/>
              </w:rPr>
            </w:pPr>
            <w:r w:rsidRPr="00E71EAB">
              <w:rPr>
                <w:rStyle w:val="FormatvorlageInstructionsTabelleText"/>
                <w:rFonts w:ascii="Times New Roman" w:hAnsi="Times New Roman"/>
                <w:sz w:val="22"/>
              </w:rPr>
              <w:t>Ustanovení čl. 84 odst. 1, čl. 85 odst. 1 a čl. 87 odst. 1 nařízení (EU) č. 575/2013.</w:t>
            </w:r>
          </w:p>
          <w:p w14:paraId="1F0EBDD7"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Style w:val="FormatvorlageInstructionsTabelleText"/>
                <w:rFonts w:ascii="Times New Roman" w:hAnsi="Times New Roman"/>
                <w:sz w:val="22"/>
              </w:rPr>
              <w:t>Součet všech částek menšinových podílů dceřiných podniků, který se zahrne do konsolidovaného kmenového kapitálu tier 1.</w:t>
            </w:r>
          </w:p>
        </w:tc>
      </w:tr>
      <w:tr w:rsidR="00ED3F18" w:rsidRPr="00E71EAB" w14:paraId="4CD69FA1" w14:textId="77777777">
        <w:tc>
          <w:tcPr>
            <w:tcW w:w="1129" w:type="dxa"/>
          </w:tcPr>
          <w:p w14:paraId="70575CEC"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0120</w:t>
            </w:r>
          </w:p>
        </w:tc>
        <w:tc>
          <w:tcPr>
            <w:tcW w:w="7620" w:type="dxa"/>
            <w:shd w:val="clear" w:color="auto" w:fill="auto"/>
          </w:tcPr>
          <w:p w14:paraId="6294BEEC"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xml:space="preserve">Úpravy kmenového kapitálu tier 1 </w:t>
            </w:r>
            <w:r w:rsidRPr="00E71EAB">
              <w:rPr>
                <w:rFonts w:ascii="Times New Roman" w:hAnsi="Times New Roman"/>
                <w:b/>
                <w:bCs/>
                <w:u w:val="single"/>
              </w:rPr>
              <w:t>v důsledku obezřetnostních filtrů</w:t>
            </w:r>
          </w:p>
          <w:p w14:paraId="7F6D40DE" w14:textId="77777777" w:rsidR="00ED3F18" w:rsidRPr="00E71EAB" w:rsidRDefault="00E71EAB">
            <w:pPr>
              <w:spacing w:after="120" w:line="240" w:lineRule="auto"/>
              <w:jc w:val="both"/>
              <w:rPr>
                <w:rStyle w:val="FormatvorlageInstructionsTabelleText"/>
                <w:rFonts w:ascii="Times New Roman" w:hAnsi="Times New Roman"/>
                <w:sz w:val="22"/>
              </w:rPr>
            </w:pPr>
            <w:r w:rsidRPr="00E71EAB">
              <w:rPr>
                <w:rStyle w:val="FormatvorlageInstructionsTabelleText"/>
                <w:rFonts w:ascii="Times New Roman" w:hAnsi="Times New Roman"/>
                <w:sz w:val="22"/>
              </w:rPr>
              <w:t>Ustanovení čl. 9 odst. 1 bodu i) nařízení (EU) 2019/2033.</w:t>
            </w:r>
          </w:p>
          <w:p w14:paraId="1D5E7C63"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Style w:val="FormatvorlageInstructionsTabelleText"/>
                <w:rFonts w:ascii="Times New Roman" w:hAnsi="Times New Roman"/>
                <w:sz w:val="22"/>
              </w:rPr>
              <w:t>Články 32 až 35 nařízení (EU) č. 575/2013.</w:t>
            </w:r>
          </w:p>
        </w:tc>
      </w:tr>
      <w:tr w:rsidR="00ED3F18" w:rsidRPr="00E71EAB" w14:paraId="35B73123" w14:textId="77777777">
        <w:tc>
          <w:tcPr>
            <w:tcW w:w="1129" w:type="dxa"/>
          </w:tcPr>
          <w:p w14:paraId="60B6D022"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lastRenderedPageBreak/>
              <w:t>0130</w:t>
            </w:r>
          </w:p>
        </w:tc>
        <w:tc>
          <w:tcPr>
            <w:tcW w:w="7620" w:type="dxa"/>
          </w:tcPr>
          <w:p w14:paraId="605B90BA"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Ostatní fondy</w:t>
            </w:r>
          </w:p>
          <w:p w14:paraId="33CC0A62"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rPr>
              <w:t>Ustanovení čl. 9 odst. 4</w:t>
            </w:r>
            <w:r w:rsidRPr="00E71EAB">
              <w:rPr>
                <w:rStyle w:val="FormatvorlageInstructionsTabelleText"/>
                <w:rFonts w:ascii="Times New Roman" w:hAnsi="Times New Roman"/>
                <w:sz w:val="22"/>
              </w:rPr>
              <w:t xml:space="preserve"> </w:t>
            </w:r>
            <w:r w:rsidRPr="00E71EAB">
              <w:rPr>
                <w:rFonts w:ascii="Times New Roman" w:hAnsi="Times New Roman"/>
              </w:rPr>
              <w:t>nařízení (EU) 2019/2033.</w:t>
            </w:r>
          </w:p>
        </w:tc>
      </w:tr>
      <w:tr w:rsidR="00ED3F18" w:rsidRPr="00E71EAB" w14:paraId="63B92CFE" w14:textId="77777777">
        <w:tc>
          <w:tcPr>
            <w:tcW w:w="1129" w:type="dxa"/>
          </w:tcPr>
          <w:p w14:paraId="4FE4D5E5"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0140</w:t>
            </w:r>
          </w:p>
        </w:tc>
        <w:tc>
          <w:tcPr>
            <w:tcW w:w="7620" w:type="dxa"/>
          </w:tcPr>
          <w:p w14:paraId="18EE854A"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xml:space="preserve">(–) ODPOČTY OD KMENOVÉHO KAPITÁLU TIER 1 </w:t>
            </w:r>
            <w:r w:rsidRPr="00E71EAB">
              <w:rPr>
                <w:rFonts w:ascii="Times New Roman" w:hAnsi="Times New Roman"/>
                <w:b/>
                <w:bCs/>
                <w:u w:val="single"/>
              </w:rPr>
              <w:t>CELKEM</w:t>
            </w:r>
          </w:p>
          <w:p w14:paraId="117C2C38"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Vykáže se celkový součet řádků 0190 až 0285.</w:t>
            </w:r>
          </w:p>
        </w:tc>
      </w:tr>
      <w:tr w:rsidR="00ED3F18" w:rsidRPr="00E71EAB" w14:paraId="47C1A720" w14:textId="77777777">
        <w:tc>
          <w:tcPr>
            <w:tcW w:w="1129" w:type="dxa"/>
          </w:tcPr>
          <w:p w14:paraId="52000582"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5E02204"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Ztráty běžného účetního roku</w:t>
            </w:r>
          </w:p>
          <w:p w14:paraId="6285F2D4"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rPr>
              <w:t>Ustanovení čl. 36 odst. 1 písm. a) nařízení (EU) č. 575/2013.</w:t>
            </w:r>
          </w:p>
        </w:tc>
      </w:tr>
      <w:tr w:rsidR="00ED3F18" w:rsidRPr="00E71EAB" w14:paraId="3B8D5BB7" w14:textId="77777777">
        <w:tc>
          <w:tcPr>
            <w:tcW w:w="1129" w:type="dxa"/>
          </w:tcPr>
          <w:p w14:paraId="6B3556FB"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56CBA6"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Goodwill</w:t>
            </w:r>
          </w:p>
          <w:p w14:paraId="34CF91DF"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9 odst. 1 bodu i) nařízení (EU) 2019/2033.</w:t>
            </w:r>
          </w:p>
          <w:p w14:paraId="1A1BE783"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Style w:val="FormatvorlageInstructionsTabelleText"/>
                <w:rFonts w:ascii="Times New Roman" w:hAnsi="Times New Roman"/>
                <w:sz w:val="22"/>
              </w:rPr>
              <w:t xml:space="preserve">Ustanovení čl. 4 </w:t>
            </w:r>
            <w:r w:rsidRPr="00E71EAB">
              <w:rPr>
                <w:rStyle w:val="FormatvorlageInstructionsTabelleText"/>
                <w:rFonts w:ascii="Times New Roman" w:hAnsi="Times New Roman"/>
                <w:sz w:val="22"/>
              </w:rPr>
              <w:t>odst. 1 bodu 113, čl. 36 odst. 1 písm. b) a článku 37 nařízení (EU) č. 575/2013.</w:t>
            </w:r>
          </w:p>
        </w:tc>
      </w:tr>
      <w:tr w:rsidR="00ED3F18" w:rsidRPr="00E71EAB" w14:paraId="6CB07CCA" w14:textId="77777777">
        <w:tc>
          <w:tcPr>
            <w:tcW w:w="1129" w:type="dxa"/>
          </w:tcPr>
          <w:p w14:paraId="39044E21"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53608E0"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Jiná nehmotná aktiva</w:t>
            </w:r>
          </w:p>
          <w:p w14:paraId="34FF5EC1"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9 odst. 1 bodu i) nařízení (EU) 2019/2033.</w:t>
            </w:r>
          </w:p>
          <w:p w14:paraId="43E2E2D0" w14:textId="77777777" w:rsidR="00ED3F18" w:rsidRPr="00E71EAB" w:rsidRDefault="00E71EAB">
            <w:pPr>
              <w:pStyle w:val="InstructionsText"/>
              <w:rPr>
                <w:rStyle w:val="FormatvorlageInstructionsTabelleText"/>
                <w:rFonts w:ascii="Times New Roman" w:eastAsiaTheme="minorHAnsi" w:hAnsi="Times New Roman"/>
                <w:bCs/>
                <w:sz w:val="22"/>
                <w:szCs w:val="22"/>
              </w:rPr>
            </w:pPr>
            <w:r w:rsidRPr="00E71EAB">
              <w:rPr>
                <w:rStyle w:val="FormatvorlageInstructionsTabelleText"/>
                <w:rFonts w:ascii="Times New Roman" w:hAnsi="Times New Roman"/>
                <w:sz w:val="22"/>
                <w:szCs w:val="22"/>
              </w:rPr>
              <w:t xml:space="preserve">Ustanovení čl. 4 odst. 1 bodu 115, čl. 36 odst. 1 písm. b) a čl. 37 písm. a) nařízení </w:t>
            </w:r>
            <w:r w:rsidRPr="00E71EAB">
              <w:rPr>
                <w:rStyle w:val="FormatvorlageInstructionsTabelleText"/>
                <w:rFonts w:ascii="Times New Roman" w:hAnsi="Times New Roman"/>
                <w:sz w:val="22"/>
                <w:szCs w:val="22"/>
              </w:rPr>
              <w:t>(EU) č. 575/2013</w:t>
            </w:r>
          </w:p>
          <w:p w14:paraId="72241116"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Style w:val="FormatvorlageInstructionsTabelleText"/>
                <w:rFonts w:ascii="Times New Roman" w:hAnsi="Times New Roman"/>
                <w:sz w:val="22"/>
              </w:rPr>
              <w:t>Za jiná nehmotná aktiva se považují nehmotná aktiva podle použitelného účetního standardu bez goodwillu rovněž dle použitelného účetního standardu.</w:t>
            </w:r>
          </w:p>
        </w:tc>
      </w:tr>
      <w:tr w:rsidR="00ED3F18" w:rsidRPr="00E71EAB" w14:paraId="44D29360" w14:textId="77777777">
        <w:tc>
          <w:tcPr>
            <w:tcW w:w="1129" w:type="dxa"/>
          </w:tcPr>
          <w:p w14:paraId="49B03EB4"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96259D5"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Odložené daňové pohledávky, které jsou závislé na budoucím zisku a nevyplývají z </w:t>
            </w:r>
            <w:r w:rsidRPr="00E71EAB">
              <w:rPr>
                <w:rFonts w:ascii="Times New Roman" w:hAnsi="Times New Roman"/>
                <w:b/>
                <w:bCs/>
                <w:u w:val="single"/>
              </w:rPr>
              <w:t>přechodných rozdílů, po zohlednění souvisejících daňových závazků</w:t>
            </w:r>
          </w:p>
          <w:p w14:paraId="1D1CFD13"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9 odst. 2 písm. a) nařízení (EU) 2019/2033.</w:t>
            </w:r>
          </w:p>
          <w:p w14:paraId="7C257A52"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36 odst. 1 písm. c) nařízení (EU) č. 575/2013.</w:t>
            </w:r>
          </w:p>
        </w:tc>
      </w:tr>
      <w:tr w:rsidR="00ED3F18" w:rsidRPr="00E71EAB" w14:paraId="61881BA1" w14:textId="77777777">
        <w:tc>
          <w:tcPr>
            <w:tcW w:w="1129" w:type="dxa"/>
          </w:tcPr>
          <w:p w14:paraId="5D6C9FD1"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3BFBE1"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xml:space="preserve">(–) Kvalifikovaná účast mimo finanční sektor </w:t>
            </w:r>
            <w:r w:rsidRPr="00E71EAB">
              <w:rPr>
                <w:rFonts w:ascii="Times New Roman" w:hAnsi="Times New Roman"/>
                <w:b/>
                <w:bCs/>
                <w:u w:val="single"/>
              </w:rPr>
              <w:t>přesahující 15 % kapitálu</w:t>
            </w:r>
          </w:p>
          <w:p w14:paraId="373AB03E"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10 odst. 1 písm. a) nařízení (EU) 2019/2033.</w:t>
            </w:r>
          </w:p>
        </w:tc>
      </w:tr>
      <w:tr w:rsidR="00ED3F18" w:rsidRPr="00E71EAB" w14:paraId="75AFF46A" w14:textId="77777777">
        <w:tc>
          <w:tcPr>
            <w:tcW w:w="1129" w:type="dxa"/>
          </w:tcPr>
          <w:p w14:paraId="3D98D8EA"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C6524A"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Celkové kvalifikované účastí v podnicích, které nejsou subjekty finančního sektoru, přesahující 60 % kapitálu</w:t>
            </w:r>
          </w:p>
          <w:p w14:paraId="724FAD15"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 xml:space="preserve">Ustanovení čl. 10 odst. 1 písm. b) </w:t>
            </w:r>
            <w:r w:rsidRPr="00E71EAB">
              <w:rPr>
                <w:rFonts w:ascii="Times New Roman" w:hAnsi="Times New Roman"/>
                <w:bCs/>
              </w:rPr>
              <w:t>nařízení (EU) 2019/2033.</w:t>
            </w:r>
          </w:p>
        </w:tc>
      </w:tr>
      <w:tr w:rsidR="00ED3F18" w:rsidRPr="00E71EAB" w14:paraId="169F6711" w14:textId="77777777">
        <w:tc>
          <w:tcPr>
            <w:tcW w:w="1129" w:type="dxa"/>
          </w:tcPr>
          <w:p w14:paraId="7A407506"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14:paraId="15D66463"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Ostatní odpočty</w:t>
            </w:r>
          </w:p>
          <w:p w14:paraId="5CD5F185"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rPr>
              <w:t>Součet všech ostatních odpočtů v souladu s čl. 36 odst. 1</w:t>
            </w:r>
            <w:r w:rsidRPr="00E71EAB">
              <w:rPr>
                <w:rStyle w:val="FormatvorlageInstructionsTabelleText"/>
                <w:rFonts w:ascii="Times New Roman" w:hAnsi="Times New Roman"/>
                <w:sz w:val="22"/>
              </w:rPr>
              <w:t xml:space="preserve"> </w:t>
            </w:r>
            <w:r w:rsidRPr="00E71EAB">
              <w:rPr>
                <w:rFonts w:ascii="Times New Roman" w:hAnsi="Times New Roman"/>
              </w:rPr>
              <w:t>nařízení (EU) č. 575/2013, které nejsou zahrnuty v žádném z výše uvedených řádků 0160 až 0240.</w:t>
            </w:r>
          </w:p>
        </w:tc>
      </w:tr>
      <w:tr w:rsidR="00ED3F18" w:rsidRPr="00E71EAB" w14:paraId="74133BA0" w14:textId="77777777">
        <w:tc>
          <w:tcPr>
            <w:tcW w:w="1129" w:type="dxa"/>
          </w:tcPr>
          <w:p w14:paraId="7C41B24A"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F61CD25"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xml:space="preserve">KMENOVÝ KAPITÁL TIER 1: Ostatní </w:t>
            </w:r>
            <w:r w:rsidRPr="00E71EAB">
              <w:rPr>
                <w:rFonts w:ascii="Times New Roman" w:hAnsi="Times New Roman"/>
                <w:b/>
                <w:bCs/>
                <w:u w:val="single"/>
              </w:rPr>
              <w:t>kapitálové položky, odpočty od kapitálu a úpravy kapitálu</w:t>
            </w:r>
          </w:p>
          <w:p w14:paraId="660805D7"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Tento řádek zahrnuje v příslušných případech součet těchto položek:</w:t>
            </w:r>
          </w:p>
          <w:p w14:paraId="5CD4FD9E" w14:textId="77777777" w:rsidR="00ED3F18" w:rsidRPr="00E71EAB" w:rsidRDefault="00E71EAB">
            <w:pPr>
              <w:spacing w:after="120" w:line="240" w:lineRule="auto"/>
              <w:ind w:left="360" w:hanging="360"/>
              <w:jc w:val="both"/>
              <w:rPr>
                <w:rFonts w:ascii="Times New Roman" w:eastAsia="Times New Roman" w:hAnsi="Times New Roman" w:cs="Times New Roman"/>
                <w:bCs/>
              </w:rPr>
            </w:pPr>
            <w:r w:rsidRPr="00E71EAB">
              <w:rPr>
                <w:rFonts w:ascii="Times New Roman" w:eastAsia="Times New Roman" w:hAnsi="Times New Roman" w:cs="Times New Roman"/>
                <w:bCs/>
              </w:rPr>
              <w:t>—</w:t>
            </w:r>
            <w:r w:rsidRPr="00E71EAB">
              <w:rPr>
                <w:rFonts w:ascii="Times New Roman" w:eastAsia="Times New Roman" w:hAnsi="Times New Roman" w:cs="Times New Roman"/>
                <w:bCs/>
              </w:rPr>
              <w:tab/>
            </w:r>
            <w:r w:rsidRPr="00E71EAB">
              <w:rPr>
                <w:rFonts w:ascii="Times New Roman" w:hAnsi="Times New Roman"/>
              </w:rPr>
              <w:t xml:space="preserve">přechodné úpravy provedené v důsledku nástrojů zahrnovaných do kmenového kapitálu tier </w:t>
            </w:r>
            <w:r w:rsidRPr="00E71EAB">
              <w:rPr>
                <w:rFonts w:ascii="Times New Roman" w:hAnsi="Times New Roman"/>
                <w:bCs/>
              </w:rPr>
              <w:t>1, pro něž platí zachování právních účink</w:t>
            </w:r>
            <w:r w:rsidRPr="00E71EAB">
              <w:rPr>
                <w:rFonts w:ascii="Times New Roman" w:hAnsi="Times New Roman"/>
                <w:bCs/>
              </w:rPr>
              <w:t>ů (čl. 483 odst. 1, 2 a 3 a články 484 až 487</w:t>
            </w:r>
            <w:r w:rsidRPr="00E71EAB">
              <w:rPr>
                <w:rStyle w:val="FormatvorlageInstructionsTabelleText"/>
                <w:rFonts w:ascii="Times New Roman" w:hAnsi="Times New Roman"/>
                <w:sz w:val="22"/>
              </w:rPr>
              <w:t xml:space="preserve"> </w:t>
            </w:r>
            <w:r w:rsidRPr="00E71EAB">
              <w:rPr>
                <w:rFonts w:ascii="Times New Roman" w:hAnsi="Times New Roman"/>
              </w:rPr>
              <w:t xml:space="preserve">nařízení </w:t>
            </w:r>
            <w:r w:rsidRPr="00E71EAB">
              <w:rPr>
                <w:rFonts w:ascii="Times New Roman" w:hAnsi="Times New Roman"/>
                <w:bCs/>
              </w:rPr>
              <w:t>(EU) č. 575/2013),</w:t>
            </w:r>
          </w:p>
          <w:p w14:paraId="7212818B" w14:textId="77777777" w:rsidR="00ED3F18" w:rsidRPr="00E71EAB" w:rsidRDefault="00E71EAB">
            <w:pPr>
              <w:spacing w:after="120" w:line="240" w:lineRule="auto"/>
              <w:ind w:left="360" w:hanging="360"/>
              <w:jc w:val="both"/>
              <w:rPr>
                <w:rFonts w:ascii="Times New Roman" w:eastAsia="Times New Roman" w:hAnsi="Times New Roman" w:cs="Times New Roman"/>
                <w:bCs/>
              </w:rPr>
            </w:pPr>
            <w:r w:rsidRPr="00E71EAB">
              <w:rPr>
                <w:rFonts w:ascii="Times New Roman" w:eastAsia="Times New Roman" w:hAnsi="Times New Roman" w:cs="Times New Roman"/>
                <w:bCs/>
              </w:rPr>
              <w:t>—</w:t>
            </w:r>
            <w:r w:rsidRPr="00E71EAB">
              <w:rPr>
                <w:rFonts w:ascii="Times New Roman" w:eastAsia="Times New Roman" w:hAnsi="Times New Roman" w:cs="Times New Roman"/>
                <w:bCs/>
              </w:rPr>
              <w:tab/>
            </w:r>
            <w:r w:rsidRPr="00E71EAB">
              <w:rPr>
                <w:rFonts w:ascii="Times New Roman" w:hAnsi="Times New Roman"/>
              </w:rPr>
              <w:t>přechodné úpravy provedené v důsledku dodatečných menšinových podílů (články 479 a 480</w:t>
            </w:r>
            <w:r w:rsidRPr="00E71EAB">
              <w:rPr>
                <w:rStyle w:val="FormatvorlageInstructionsTabelleText"/>
                <w:rFonts w:ascii="Times New Roman" w:hAnsi="Times New Roman"/>
                <w:sz w:val="22"/>
              </w:rPr>
              <w:t xml:space="preserve"> </w:t>
            </w:r>
            <w:r w:rsidRPr="00E71EAB">
              <w:rPr>
                <w:rFonts w:ascii="Times New Roman" w:hAnsi="Times New Roman"/>
              </w:rPr>
              <w:t>nařízení (EU) č. 575/2013),</w:t>
            </w:r>
          </w:p>
          <w:p w14:paraId="4B00A7F5" w14:textId="77777777" w:rsidR="00ED3F18" w:rsidRPr="00E71EAB" w:rsidRDefault="00E71EAB">
            <w:pPr>
              <w:spacing w:after="120" w:line="240" w:lineRule="auto"/>
              <w:ind w:left="360" w:hanging="360"/>
              <w:jc w:val="both"/>
              <w:rPr>
                <w:rFonts w:ascii="Times New Roman" w:eastAsia="Times New Roman" w:hAnsi="Times New Roman" w:cs="Times New Roman"/>
                <w:bCs/>
              </w:rPr>
            </w:pPr>
            <w:r w:rsidRPr="00E71EAB">
              <w:rPr>
                <w:rFonts w:ascii="Times New Roman" w:eastAsia="Times New Roman" w:hAnsi="Times New Roman" w:cs="Times New Roman"/>
                <w:bCs/>
              </w:rPr>
              <w:t>—</w:t>
            </w:r>
            <w:r w:rsidRPr="00E71EAB">
              <w:rPr>
                <w:rFonts w:ascii="Times New Roman" w:eastAsia="Times New Roman" w:hAnsi="Times New Roman" w:cs="Times New Roman"/>
                <w:bCs/>
              </w:rPr>
              <w:tab/>
            </w:r>
            <w:r w:rsidRPr="00E71EAB">
              <w:rPr>
                <w:rFonts w:ascii="Times New Roman" w:hAnsi="Times New Roman"/>
              </w:rPr>
              <w:t xml:space="preserve">ostatní přechodné úpravy kmenového kapitálu tier 1 (články 469 </w:t>
            </w:r>
            <w:r w:rsidRPr="00E71EAB">
              <w:rPr>
                <w:rFonts w:ascii="Times New Roman" w:hAnsi="Times New Roman"/>
              </w:rPr>
              <w:t>až 478 a článek 481</w:t>
            </w:r>
            <w:r w:rsidRPr="00E71EAB">
              <w:rPr>
                <w:rStyle w:val="FormatvorlageInstructionsTabelleText"/>
                <w:rFonts w:ascii="Times New Roman" w:hAnsi="Times New Roman"/>
                <w:sz w:val="22"/>
              </w:rPr>
              <w:t xml:space="preserve"> </w:t>
            </w:r>
            <w:r w:rsidRPr="00E71EAB">
              <w:rPr>
                <w:rFonts w:ascii="Times New Roman" w:hAnsi="Times New Roman"/>
              </w:rPr>
              <w:t>nařízení (EU) č. 575/2013):</w:t>
            </w:r>
            <w:r w:rsidRPr="00E71EAB">
              <w:rPr>
                <w:rFonts w:ascii="Times New Roman" w:hAnsi="Times New Roman"/>
                <w:bCs/>
              </w:rPr>
              <w:t xml:space="preserve"> úpravy odpočtů od kmenového kapitálu tier 1 v důsledku přechodných ustanovení,</w:t>
            </w:r>
          </w:p>
          <w:p w14:paraId="73384295" w14:textId="77777777" w:rsidR="00ED3F18" w:rsidRPr="00E71EAB" w:rsidRDefault="00E71EAB">
            <w:pPr>
              <w:spacing w:after="120" w:line="240" w:lineRule="auto"/>
              <w:ind w:left="360" w:hanging="360"/>
              <w:jc w:val="both"/>
              <w:rPr>
                <w:rFonts w:ascii="Times New Roman" w:eastAsia="Times New Roman" w:hAnsi="Times New Roman" w:cs="Times New Roman"/>
                <w:b/>
                <w:bCs/>
                <w:u w:val="single"/>
              </w:rPr>
            </w:pPr>
            <w:r w:rsidRPr="00E71EAB">
              <w:rPr>
                <w:rFonts w:ascii="Times New Roman" w:eastAsia="Times New Roman" w:hAnsi="Times New Roman" w:cs="Times New Roman"/>
                <w:bCs/>
              </w:rPr>
              <w:lastRenderedPageBreak/>
              <w:t>—</w:t>
            </w:r>
            <w:r w:rsidRPr="00E71EAB">
              <w:rPr>
                <w:rFonts w:ascii="Times New Roman" w:eastAsia="Times New Roman" w:hAnsi="Times New Roman" w:cs="Times New Roman"/>
                <w:bCs/>
              </w:rPr>
              <w:tab/>
            </w:r>
            <w:r w:rsidRPr="00E71EAB">
              <w:rPr>
                <w:rFonts w:ascii="Times New Roman" w:hAnsi="Times New Roman"/>
                <w:bCs/>
              </w:rPr>
              <w:t>ostatní položky kmenového kapitálu tier 1 nebo odpočty od položky kmenového kapitálu tier 1, které nelze přiřadit do jednoho z </w:t>
            </w:r>
            <w:r w:rsidRPr="00E71EAB">
              <w:rPr>
                <w:rFonts w:ascii="Times New Roman" w:hAnsi="Times New Roman"/>
                <w:bCs/>
              </w:rPr>
              <w:t>řádků 0040 až 0285.</w:t>
            </w:r>
          </w:p>
          <w:p w14:paraId="505F5380"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Tento řádek neslouží k zahrnutí kapitálových položek či odpočtů od kapitálu, na něž se nevztahuje nařízení (EU) 2019/2033 nebo nařízení (EU) č. 575/2013, do výpočtu ukazatelů kapitálové přiměřenosti.</w:t>
            </w:r>
          </w:p>
        </w:tc>
      </w:tr>
      <w:tr w:rsidR="00ED3F18" w:rsidRPr="00E71EAB" w14:paraId="6AE91FCF" w14:textId="77777777">
        <w:tc>
          <w:tcPr>
            <w:tcW w:w="1129" w:type="dxa"/>
          </w:tcPr>
          <w:p w14:paraId="20E35912"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lastRenderedPageBreak/>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CDCC967"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VEDLEJŠÍ KAPITÁL TIER 1</w:t>
            </w:r>
          </w:p>
          <w:p w14:paraId="4D27414B"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w:t>
            </w:r>
            <w:r w:rsidRPr="00E71EAB">
              <w:rPr>
                <w:rFonts w:ascii="Times New Roman" w:hAnsi="Times New Roman"/>
                <w:bCs/>
              </w:rPr>
              <w:t>vení čl. 9 odst. 1 nařízení (EU) 2019/2033.</w:t>
            </w:r>
          </w:p>
          <w:p w14:paraId="7600C205" w14:textId="77777777" w:rsidR="00ED3F18" w:rsidRPr="00E71EAB" w:rsidRDefault="00E71EAB">
            <w:pPr>
              <w:spacing w:after="120" w:line="240" w:lineRule="auto"/>
              <w:jc w:val="both"/>
              <w:rPr>
                <w:rFonts w:ascii="Times New Roman" w:hAnsi="Times New Roman" w:cs="Times New Roman"/>
              </w:rPr>
            </w:pPr>
            <w:r w:rsidRPr="00E71EAB">
              <w:rPr>
                <w:rFonts w:ascii="Times New Roman" w:hAnsi="Times New Roman"/>
                <w:i/>
              </w:rPr>
              <w:t>Článek 61</w:t>
            </w:r>
            <w:r w:rsidRPr="00E71EAB">
              <w:rPr>
                <w:rFonts w:ascii="Times New Roman" w:hAnsi="Times New Roman"/>
              </w:rPr>
              <w:t xml:space="preserve"> nařízení (EU) č. 575/2013.</w:t>
            </w:r>
          </w:p>
          <w:p w14:paraId="1620299D"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Vykáže se celkový součet řádků 0310 až 0410.</w:t>
            </w:r>
          </w:p>
        </w:tc>
      </w:tr>
      <w:tr w:rsidR="00ED3F18" w:rsidRPr="00E71EAB" w14:paraId="42D53B65" w14:textId="77777777">
        <w:tc>
          <w:tcPr>
            <w:tcW w:w="1129" w:type="dxa"/>
          </w:tcPr>
          <w:p w14:paraId="0C7635BF"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F8A971"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Plně uhrazené přímo vydané kapitálové nástroje</w:t>
            </w:r>
          </w:p>
          <w:p w14:paraId="378931B6"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9 odst. 1 bodu i) nařízení (EU) 2019/2033.</w:t>
            </w:r>
          </w:p>
          <w:p w14:paraId="2544EEE8" w14:textId="77777777" w:rsidR="00ED3F18" w:rsidRPr="00E71EAB" w:rsidRDefault="00E71EAB">
            <w:pPr>
              <w:pStyle w:val="InstructionsText"/>
              <w:rPr>
                <w:rStyle w:val="FormatvorlageInstructionsTabelleText"/>
                <w:rFonts w:ascii="Times New Roman" w:hAnsi="Times New Roman"/>
                <w:sz w:val="22"/>
                <w:szCs w:val="22"/>
              </w:rPr>
            </w:pPr>
            <w:r w:rsidRPr="00E71EAB">
              <w:rPr>
                <w:rStyle w:val="FormatvorlageInstructionsTabelleText"/>
                <w:rFonts w:ascii="Times New Roman" w:hAnsi="Times New Roman"/>
                <w:sz w:val="22"/>
                <w:szCs w:val="22"/>
              </w:rPr>
              <w:t>Ustanovení čl. 51 písm. a) a článků 52, 53 a 54 nařízení (EU) č. 575/2013.</w:t>
            </w:r>
          </w:p>
          <w:p w14:paraId="608E0150"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Style w:val="FormatvorlageInstructionsTabelleText"/>
                <w:rFonts w:ascii="Times New Roman" w:hAnsi="Times New Roman"/>
                <w:sz w:val="22"/>
              </w:rPr>
              <w:t>Částka, která má být vykázána, nezahrnuje emisní ážio související s těmito nástroji.</w:t>
            </w:r>
          </w:p>
        </w:tc>
      </w:tr>
      <w:tr w:rsidR="00ED3F18" w:rsidRPr="00E71EAB" w14:paraId="651144AA" w14:textId="77777777">
        <w:tc>
          <w:tcPr>
            <w:tcW w:w="1129" w:type="dxa"/>
          </w:tcPr>
          <w:p w14:paraId="095469A9"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663551"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Emisní ážio</w:t>
            </w:r>
          </w:p>
          <w:p w14:paraId="1A180B64"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9 odst. 1 bodu i) nařízení (EU) 2019/2033.</w:t>
            </w:r>
          </w:p>
          <w:p w14:paraId="2779C030" w14:textId="77777777" w:rsidR="00ED3F18" w:rsidRPr="00E71EAB" w:rsidRDefault="00E71EAB">
            <w:pPr>
              <w:pStyle w:val="InstructionsText"/>
              <w:rPr>
                <w:rStyle w:val="FormatvorlageInstructionsTabelleText"/>
                <w:rFonts w:ascii="Times New Roman" w:hAnsi="Times New Roman"/>
                <w:sz w:val="22"/>
                <w:szCs w:val="22"/>
              </w:rPr>
            </w:pPr>
            <w:r w:rsidRPr="00E71EAB">
              <w:rPr>
                <w:rStyle w:val="FormatvorlageInstructionsTabelleText"/>
                <w:rFonts w:ascii="Times New Roman" w:hAnsi="Times New Roman"/>
                <w:sz w:val="22"/>
                <w:szCs w:val="22"/>
              </w:rPr>
              <w:t xml:space="preserve">Ustanovení </w:t>
            </w:r>
            <w:r w:rsidRPr="00E71EAB">
              <w:rPr>
                <w:rStyle w:val="FormatvorlageInstructionsTabelleText"/>
                <w:rFonts w:ascii="Times New Roman" w:hAnsi="Times New Roman"/>
                <w:sz w:val="22"/>
                <w:szCs w:val="22"/>
              </w:rPr>
              <w:t>čl. 51 písm. b) nařízení (EU) č. 575/2013.</w:t>
            </w:r>
          </w:p>
          <w:p w14:paraId="04CEC882" w14:textId="77777777" w:rsidR="00ED3F18" w:rsidRPr="00E71EAB" w:rsidRDefault="00E71EAB">
            <w:pPr>
              <w:pStyle w:val="InstructionsText"/>
              <w:rPr>
                <w:rStyle w:val="FormatvorlageInstructionsTabelleText"/>
                <w:rFonts w:ascii="Times New Roman" w:hAnsi="Times New Roman"/>
                <w:sz w:val="22"/>
                <w:szCs w:val="22"/>
              </w:rPr>
            </w:pPr>
            <w:r w:rsidRPr="00E71EAB">
              <w:rPr>
                <w:rStyle w:val="FormatvorlageInstructionsTabelleText"/>
                <w:rFonts w:ascii="Times New Roman" w:hAnsi="Times New Roman"/>
                <w:sz w:val="22"/>
                <w:szCs w:val="22"/>
              </w:rPr>
              <w:t>Emisní ážio má stejný význam jako v použitelném účetním standardu.</w:t>
            </w:r>
          </w:p>
          <w:p w14:paraId="0BEED941"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Style w:val="FormatvorlageInstructionsTabelleText"/>
                <w:rFonts w:ascii="Times New Roman" w:hAnsi="Times New Roman"/>
                <w:sz w:val="22"/>
              </w:rPr>
              <w:t>Částka, která má být vykázána v této položce, je částí vztahující se k položce „Plně uhrazené přímo vydané kapitálové nástroje“.</w:t>
            </w:r>
          </w:p>
        </w:tc>
      </w:tr>
      <w:tr w:rsidR="00ED3F18" w:rsidRPr="00E71EAB" w14:paraId="0F11CC78" w14:textId="77777777">
        <w:tc>
          <w:tcPr>
            <w:tcW w:w="1129" w:type="dxa"/>
          </w:tcPr>
          <w:p w14:paraId="6284147C"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012B404"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ODPOČTY</w:t>
            </w:r>
            <w:r w:rsidRPr="00E71EAB">
              <w:rPr>
                <w:rFonts w:ascii="Times New Roman" w:hAnsi="Times New Roman"/>
                <w:b/>
                <w:bCs/>
                <w:u w:val="single"/>
              </w:rPr>
              <w:t xml:space="preserve"> OD VEDLEJŠÍHO KAPITÁLU TIER 1 CELKEM</w:t>
            </w:r>
          </w:p>
          <w:p w14:paraId="68909E32" w14:textId="77777777" w:rsidR="00ED3F18" w:rsidRPr="00E71EAB" w:rsidRDefault="00E71EAB">
            <w:pPr>
              <w:spacing w:before="60" w:after="60"/>
              <w:rPr>
                <w:rFonts w:ascii="Times New Roman" w:hAnsi="Times New Roman" w:cs="Times New Roman"/>
              </w:rPr>
            </w:pPr>
            <w:r w:rsidRPr="00E71EAB">
              <w:rPr>
                <w:rFonts w:ascii="Times New Roman" w:hAnsi="Times New Roman"/>
                <w:i/>
              </w:rPr>
              <w:t>Článek 56</w:t>
            </w:r>
            <w:r w:rsidRPr="00E71EAB">
              <w:rPr>
                <w:rStyle w:val="FormatvorlageInstructionsTabelleText"/>
                <w:rFonts w:ascii="Times New Roman" w:hAnsi="Times New Roman"/>
                <w:sz w:val="22"/>
              </w:rPr>
              <w:t xml:space="preserve"> </w:t>
            </w:r>
            <w:r w:rsidRPr="00E71EAB">
              <w:rPr>
                <w:rFonts w:ascii="Times New Roman" w:hAnsi="Times New Roman"/>
              </w:rPr>
              <w:t>nařízení (EU) č. 575/2013.</w:t>
            </w:r>
          </w:p>
        </w:tc>
      </w:tr>
      <w:tr w:rsidR="00ED3F18" w:rsidRPr="00E71EAB" w14:paraId="468321D9" w14:textId="77777777">
        <w:tc>
          <w:tcPr>
            <w:tcW w:w="1129" w:type="dxa"/>
          </w:tcPr>
          <w:p w14:paraId="38DDD2B7"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0E97605"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Vedlejší kapitál tier 1: Ostatní kapitálové položky, odpočty od kapitálu a úpravy kapitálu</w:t>
            </w:r>
          </w:p>
          <w:p w14:paraId="076178DC"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Tento řádek zahrnuje v příslušných případech součet těchto položek:</w:t>
            </w:r>
          </w:p>
          <w:p w14:paraId="416637A2" w14:textId="77777777" w:rsidR="00ED3F18" w:rsidRPr="00E71EAB" w:rsidRDefault="00E71EAB">
            <w:pPr>
              <w:spacing w:after="120" w:line="240" w:lineRule="auto"/>
              <w:ind w:left="360" w:hanging="360"/>
              <w:jc w:val="both"/>
              <w:rPr>
                <w:rFonts w:ascii="Times New Roman" w:eastAsia="Times New Roman" w:hAnsi="Times New Roman" w:cs="Times New Roman"/>
                <w:bCs/>
              </w:rPr>
            </w:pPr>
            <w:r w:rsidRPr="00E71EAB">
              <w:rPr>
                <w:rFonts w:ascii="Times New Roman" w:eastAsia="Times New Roman" w:hAnsi="Times New Roman" w:cs="Times New Roman"/>
                <w:bCs/>
              </w:rPr>
              <w:t>—</w:t>
            </w:r>
            <w:r w:rsidRPr="00E71EAB">
              <w:rPr>
                <w:rFonts w:ascii="Times New Roman" w:eastAsia="Times New Roman" w:hAnsi="Times New Roman" w:cs="Times New Roman"/>
                <w:bCs/>
              </w:rPr>
              <w:tab/>
            </w:r>
            <w:r w:rsidRPr="00E71EAB">
              <w:rPr>
                <w:rFonts w:ascii="Times New Roman" w:hAnsi="Times New Roman"/>
              </w:rPr>
              <w:t>přechodné úpravy provedené v důsledku nástrojů zahrnovaných do vedlejšího kapitálu tier 1</w:t>
            </w:r>
            <w:r w:rsidRPr="00E71EAB">
              <w:rPr>
                <w:rFonts w:ascii="Times New Roman" w:hAnsi="Times New Roman"/>
                <w:bCs/>
              </w:rPr>
              <w:t>, pro něž platí zachování právních účinků (čl. 483 odst. 4 a 5 a články 484 až 487, články 489 a 491</w:t>
            </w:r>
            <w:r w:rsidRPr="00E71EAB">
              <w:rPr>
                <w:rStyle w:val="FormatvorlageInstructionsTabelleText"/>
                <w:rFonts w:ascii="Times New Roman" w:hAnsi="Times New Roman"/>
                <w:sz w:val="22"/>
              </w:rPr>
              <w:t xml:space="preserve"> </w:t>
            </w:r>
            <w:r w:rsidRPr="00E71EAB">
              <w:rPr>
                <w:rFonts w:ascii="Times New Roman" w:hAnsi="Times New Roman"/>
              </w:rPr>
              <w:t xml:space="preserve">nařízení </w:t>
            </w:r>
            <w:r w:rsidRPr="00E71EAB">
              <w:rPr>
                <w:rFonts w:ascii="Times New Roman" w:hAnsi="Times New Roman"/>
                <w:bCs/>
              </w:rPr>
              <w:t>(EU) č. 575/2013)</w:t>
            </w:r>
            <w:r w:rsidRPr="00E71EAB">
              <w:rPr>
                <w:rFonts w:ascii="Times New Roman" w:hAnsi="Times New Roman"/>
              </w:rPr>
              <w:t>,</w:t>
            </w:r>
          </w:p>
          <w:p w14:paraId="09712609" w14:textId="77777777" w:rsidR="00ED3F18" w:rsidRPr="00E71EAB" w:rsidRDefault="00E71EAB">
            <w:pPr>
              <w:spacing w:after="120" w:line="240" w:lineRule="auto"/>
              <w:ind w:left="360" w:hanging="360"/>
              <w:jc w:val="both"/>
              <w:rPr>
                <w:rFonts w:ascii="Times New Roman" w:eastAsia="Times New Roman" w:hAnsi="Times New Roman" w:cs="Times New Roman"/>
                <w:bCs/>
              </w:rPr>
            </w:pPr>
            <w:r w:rsidRPr="00E71EAB">
              <w:rPr>
                <w:rFonts w:ascii="Times New Roman" w:eastAsia="Times New Roman" w:hAnsi="Times New Roman" w:cs="Times New Roman"/>
                <w:bCs/>
              </w:rPr>
              <w:t>—</w:t>
            </w:r>
            <w:r w:rsidRPr="00E71EAB">
              <w:rPr>
                <w:rFonts w:ascii="Times New Roman" w:eastAsia="Times New Roman" w:hAnsi="Times New Roman" w:cs="Times New Roman"/>
                <w:bCs/>
              </w:rPr>
              <w:tab/>
            </w:r>
            <w:r w:rsidRPr="00E71EAB">
              <w:rPr>
                <w:rFonts w:ascii="Times New Roman" w:hAnsi="Times New Roman"/>
              </w:rPr>
              <w:t>nástroje vydané dceřinými podniky a </w:t>
            </w:r>
            <w:r w:rsidRPr="00E71EAB">
              <w:rPr>
                <w:rFonts w:ascii="Times New Roman" w:hAnsi="Times New Roman"/>
              </w:rPr>
              <w:t>uznané ve vedlejším kapitálu tier 1 (články 83, 85 a 86</w:t>
            </w:r>
            <w:r w:rsidRPr="00E71EAB">
              <w:rPr>
                <w:rStyle w:val="FormatvorlageInstructionsTabelleText"/>
                <w:rFonts w:ascii="Times New Roman" w:hAnsi="Times New Roman"/>
                <w:sz w:val="22"/>
              </w:rPr>
              <w:t xml:space="preserve"> </w:t>
            </w:r>
            <w:r w:rsidRPr="00E71EAB">
              <w:rPr>
                <w:rFonts w:ascii="Times New Roman" w:hAnsi="Times New Roman"/>
              </w:rPr>
              <w:t>nařízení (EU) č. 575/2013):</w:t>
            </w:r>
            <w:r w:rsidRPr="00E71EAB">
              <w:rPr>
                <w:rFonts w:ascii="Times New Roman" w:hAnsi="Times New Roman"/>
                <w:bCs/>
              </w:rPr>
              <w:t xml:space="preserve"> </w:t>
            </w:r>
            <w:r w:rsidRPr="00E71EAB">
              <w:rPr>
                <w:rFonts w:ascii="Times New Roman" w:hAnsi="Times New Roman"/>
              </w:rPr>
              <w:t>součet všech částek kvalifikovaného kapitálu tier 1 dceřiných podniků</w:t>
            </w:r>
            <w:r w:rsidRPr="00E71EAB">
              <w:rPr>
                <w:rFonts w:ascii="Times New Roman" w:hAnsi="Times New Roman"/>
                <w:bCs/>
              </w:rPr>
              <w:t>, který se zahrne do konsolidovaného vedlejšího kapitálu tier 1, včetně kapitálu vydaného jednotkou pro</w:t>
            </w:r>
            <w:r w:rsidRPr="00E71EAB">
              <w:rPr>
                <w:rFonts w:ascii="Times New Roman" w:hAnsi="Times New Roman"/>
                <w:bCs/>
              </w:rPr>
              <w:t xml:space="preserve"> speciální účel (článek 83</w:t>
            </w:r>
            <w:r w:rsidRPr="00E71EAB">
              <w:rPr>
                <w:rStyle w:val="FormatvorlageInstructionsTabelleText"/>
                <w:rFonts w:ascii="Times New Roman" w:hAnsi="Times New Roman"/>
                <w:sz w:val="22"/>
              </w:rPr>
              <w:t xml:space="preserve"> </w:t>
            </w:r>
            <w:r w:rsidRPr="00E71EAB">
              <w:rPr>
                <w:rFonts w:ascii="Times New Roman" w:hAnsi="Times New Roman"/>
              </w:rPr>
              <w:t xml:space="preserve">nařízení </w:t>
            </w:r>
            <w:r w:rsidRPr="00E71EAB">
              <w:rPr>
                <w:rFonts w:ascii="Times New Roman" w:hAnsi="Times New Roman"/>
                <w:bCs/>
              </w:rPr>
              <w:t>(EU) č. 575/2013),</w:t>
            </w:r>
          </w:p>
          <w:p w14:paraId="54CCD520" w14:textId="77777777" w:rsidR="00ED3F18" w:rsidRPr="00E71EAB" w:rsidRDefault="00E71EAB">
            <w:pPr>
              <w:spacing w:after="120" w:line="240" w:lineRule="auto"/>
              <w:ind w:left="360" w:hanging="360"/>
              <w:jc w:val="both"/>
              <w:rPr>
                <w:rFonts w:ascii="Times New Roman" w:eastAsia="Times New Roman" w:hAnsi="Times New Roman" w:cs="Times New Roman"/>
                <w:bCs/>
              </w:rPr>
            </w:pPr>
            <w:r w:rsidRPr="00E71EAB">
              <w:rPr>
                <w:rFonts w:ascii="Times New Roman" w:eastAsia="Times New Roman" w:hAnsi="Times New Roman" w:cs="Times New Roman"/>
                <w:bCs/>
              </w:rPr>
              <w:t>—</w:t>
            </w:r>
            <w:r w:rsidRPr="00E71EAB">
              <w:rPr>
                <w:rFonts w:ascii="Times New Roman" w:eastAsia="Times New Roman" w:hAnsi="Times New Roman" w:cs="Times New Roman"/>
                <w:bCs/>
              </w:rPr>
              <w:tab/>
            </w:r>
            <w:r w:rsidRPr="00E71EAB">
              <w:rPr>
                <w:rFonts w:ascii="Times New Roman" w:hAnsi="Times New Roman"/>
              </w:rPr>
              <w:t>přechodné úpravy v důsledku dodatečného uznání nástrojů, které byly vydány dceřinými podniky, ve vedlejším kapitálu tier 1 (článek 480</w:t>
            </w:r>
            <w:r w:rsidRPr="00E71EAB">
              <w:rPr>
                <w:rStyle w:val="FormatvorlageInstructionsTabelleText"/>
                <w:rFonts w:ascii="Times New Roman" w:hAnsi="Times New Roman"/>
                <w:sz w:val="22"/>
              </w:rPr>
              <w:t xml:space="preserve"> </w:t>
            </w:r>
            <w:r w:rsidRPr="00E71EAB">
              <w:rPr>
                <w:rFonts w:ascii="Times New Roman" w:hAnsi="Times New Roman"/>
              </w:rPr>
              <w:t>nařízení (EU) č. 575/2013): úpravy kvalifikovaného kapitálu tier</w:t>
            </w:r>
            <w:r w:rsidRPr="00E71EAB">
              <w:rPr>
                <w:rFonts w:ascii="Times New Roman" w:hAnsi="Times New Roman"/>
              </w:rPr>
              <w:t xml:space="preserve"> 1 zahrnutého v konsolidovaném vedlejším kapitálu tier 1 provedené v důsledku přechodných ustanovení,</w:t>
            </w:r>
          </w:p>
          <w:p w14:paraId="51190CC2" w14:textId="77777777" w:rsidR="00ED3F18" w:rsidRPr="00E71EAB" w:rsidRDefault="00E71EAB">
            <w:pPr>
              <w:spacing w:after="120" w:line="240" w:lineRule="auto"/>
              <w:ind w:left="360" w:hanging="360"/>
              <w:jc w:val="both"/>
              <w:rPr>
                <w:rFonts w:ascii="Times New Roman" w:eastAsia="Times New Roman" w:hAnsi="Times New Roman" w:cs="Times New Roman"/>
                <w:bCs/>
              </w:rPr>
            </w:pPr>
            <w:r w:rsidRPr="00E71EAB">
              <w:rPr>
                <w:rFonts w:ascii="Times New Roman" w:eastAsia="Times New Roman" w:hAnsi="Times New Roman" w:cs="Times New Roman"/>
                <w:bCs/>
              </w:rPr>
              <w:t>—</w:t>
            </w:r>
            <w:r w:rsidRPr="00E71EAB">
              <w:rPr>
                <w:rFonts w:ascii="Times New Roman" w:eastAsia="Times New Roman" w:hAnsi="Times New Roman" w:cs="Times New Roman"/>
                <w:bCs/>
              </w:rPr>
              <w:tab/>
            </w:r>
            <w:r w:rsidRPr="00E71EAB">
              <w:rPr>
                <w:rFonts w:ascii="Times New Roman" w:hAnsi="Times New Roman"/>
              </w:rPr>
              <w:t>ostatní přechodné úpravy vedlejšího kapitálu tier 1 (články 472, 473a, 474, 475, 478 a 481</w:t>
            </w:r>
            <w:r w:rsidRPr="00E71EAB">
              <w:rPr>
                <w:rStyle w:val="FormatvorlageInstructionsTabelleText"/>
                <w:rFonts w:ascii="Times New Roman" w:hAnsi="Times New Roman"/>
                <w:sz w:val="22"/>
              </w:rPr>
              <w:t xml:space="preserve"> </w:t>
            </w:r>
            <w:r w:rsidRPr="00E71EAB">
              <w:rPr>
                <w:rFonts w:ascii="Times New Roman" w:hAnsi="Times New Roman"/>
              </w:rPr>
              <w:t>nařízení (EU) č. 575/2013):</w:t>
            </w:r>
            <w:r w:rsidRPr="00E71EAB">
              <w:rPr>
                <w:rFonts w:ascii="Times New Roman" w:hAnsi="Times New Roman"/>
                <w:bCs/>
              </w:rPr>
              <w:t xml:space="preserve"> úpravy odpočtů v důsledku přechodných ustanovení,</w:t>
            </w:r>
          </w:p>
          <w:p w14:paraId="490B4A0A" w14:textId="77777777" w:rsidR="00ED3F18" w:rsidRPr="00E71EAB" w:rsidRDefault="00E71EAB">
            <w:pPr>
              <w:spacing w:after="120" w:line="240" w:lineRule="auto"/>
              <w:ind w:left="360" w:hanging="360"/>
              <w:jc w:val="both"/>
              <w:rPr>
                <w:rFonts w:ascii="Times New Roman" w:eastAsia="Times New Roman" w:hAnsi="Times New Roman" w:cs="Times New Roman"/>
                <w:bCs/>
              </w:rPr>
            </w:pPr>
            <w:r w:rsidRPr="00E71EAB">
              <w:rPr>
                <w:rFonts w:ascii="Times New Roman" w:eastAsia="Times New Roman" w:hAnsi="Times New Roman" w:cs="Times New Roman"/>
                <w:bCs/>
              </w:rPr>
              <w:t>—</w:t>
            </w:r>
            <w:r w:rsidRPr="00E71EAB">
              <w:rPr>
                <w:rFonts w:ascii="Times New Roman" w:eastAsia="Times New Roman" w:hAnsi="Times New Roman" w:cs="Times New Roman"/>
                <w:bCs/>
              </w:rPr>
              <w:tab/>
            </w:r>
            <w:r w:rsidRPr="00E71EAB">
              <w:rPr>
                <w:rFonts w:ascii="Times New Roman" w:hAnsi="Times New Roman"/>
              </w:rPr>
              <w:t xml:space="preserve">odpočet od položek vedlejšího kapitálu tier </w:t>
            </w:r>
            <w:r w:rsidRPr="00E71EAB">
              <w:rPr>
                <w:rFonts w:ascii="Times New Roman" w:hAnsi="Times New Roman"/>
                <w:bCs/>
              </w:rPr>
              <w:t>1, který přesahuje výši vedlejšího kapitálu tier 1, který se odečítá od kmenového kapitálu tier 1 v souladu s čl. 36 odst. 1 písm. j)</w:t>
            </w:r>
            <w:r w:rsidRPr="00E71EAB">
              <w:rPr>
                <w:rStyle w:val="FormatvorlageInstructionsTabelleText"/>
                <w:rFonts w:ascii="Times New Roman" w:hAnsi="Times New Roman"/>
                <w:sz w:val="22"/>
              </w:rPr>
              <w:t xml:space="preserve"> </w:t>
            </w:r>
            <w:r w:rsidRPr="00E71EAB">
              <w:rPr>
                <w:rFonts w:ascii="Times New Roman" w:hAnsi="Times New Roman"/>
              </w:rPr>
              <w:t>nařízení (EU) č. 575/2013</w:t>
            </w:r>
            <w:r w:rsidRPr="00E71EAB">
              <w:rPr>
                <w:rFonts w:ascii="Times New Roman" w:hAnsi="Times New Roman"/>
              </w:rPr>
              <w:t>:</w:t>
            </w:r>
            <w:r w:rsidRPr="00E71EAB">
              <w:rPr>
                <w:rFonts w:ascii="Times New Roman" w:hAnsi="Times New Roman"/>
                <w:bCs/>
              </w:rPr>
              <w:t xml:space="preserve"> vedlejší kapitál tier 1 nemůže být záporný, ale odpočty od položek vedlejšího kapitálu tier 1 mohou překročit výši položek dostupného vedlejšího kapitálu tier 1. Pokud k tomu dojde, tato položka </w:t>
            </w:r>
            <w:r w:rsidRPr="00E71EAB">
              <w:rPr>
                <w:rFonts w:ascii="Times New Roman" w:hAnsi="Times New Roman"/>
                <w:bCs/>
              </w:rPr>
              <w:lastRenderedPageBreak/>
              <w:t>představuje částku potřebnou ke zvýšení částky vykázané v ř</w:t>
            </w:r>
            <w:r w:rsidRPr="00E71EAB">
              <w:rPr>
                <w:rFonts w:ascii="Times New Roman" w:hAnsi="Times New Roman"/>
                <w:bCs/>
              </w:rPr>
              <w:t>ádku 0300 na nulu a rovná se převrácené hodnotě odpočtů od položek vedlejšího kapitálu tier 1, které přesahují výši vedlejšího kapitálu tier 1, zahrnutých jako ostatní odpočty v řádku 0285,</w:t>
            </w:r>
          </w:p>
          <w:p w14:paraId="51243A1F" w14:textId="77777777" w:rsidR="00ED3F18" w:rsidRPr="00E71EAB" w:rsidRDefault="00E71EAB">
            <w:pPr>
              <w:spacing w:after="120" w:line="240" w:lineRule="auto"/>
              <w:ind w:left="360" w:hanging="360"/>
              <w:jc w:val="both"/>
              <w:rPr>
                <w:rFonts w:ascii="Times New Roman" w:eastAsia="Times New Roman" w:hAnsi="Times New Roman" w:cs="Times New Roman"/>
                <w:bCs/>
              </w:rPr>
            </w:pPr>
            <w:r w:rsidRPr="00E71EAB">
              <w:rPr>
                <w:rFonts w:ascii="Times New Roman" w:eastAsia="Times New Roman" w:hAnsi="Times New Roman" w:cs="Times New Roman"/>
                <w:bCs/>
              </w:rPr>
              <w:t>—</w:t>
            </w:r>
            <w:r w:rsidRPr="00E71EAB">
              <w:rPr>
                <w:rFonts w:ascii="Times New Roman" w:eastAsia="Times New Roman" w:hAnsi="Times New Roman" w:cs="Times New Roman"/>
                <w:bCs/>
              </w:rPr>
              <w:tab/>
            </w:r>
            <w:r w:rsidRPr="00E71EAB">
              <w:rPr>
                <w:rFonts w:ascii="Times New Roman" w:hAnsi="Times New Roman"/>
                <w:bCs/>
              </w:rPr>
              <w:t>ostatní položky vedlejšího kapitálu tier 1 nebo odpočty od polož</w:t>
            </w:r>
            <w:r w:rsidRPr="00E71EAB">
              <w:rPr>
                <w:rFonts w:ascii="Times New Roman" w:hAnsi="Times New Roman"/>
                <w:bCs/>
              </w:rPr>
              <w:t>ky vedlejšího kapitálu tier 1, které nelze přiřadit do jednoho z řádků 0310 až 0330.</w:t>
            </w:r>
          </w:p>
          <w:p w14:paraId="75D6A4F4"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Tento řádek neslouží k zahrnutí kapitálových položek či odpočtů od kapitálu, na něž se nevztahuje nařízení (EU) 2019/2033 nebo nařízení (EU) č. 575/2013, do výpočtu ukazat</w:t>
            </w:r>
            <w:r w:rsidRPr="00E71EAB">
              <w:rPr>
                <w:rFonts w:ascii="Times New Roman" w:hAnsi="Times New Roman"/>
                <w:bCs/>
              </w:rPr>
              <w:t>elů kapitálové přiměřenosti</w:t>
            </w:r>
          </w:p>
        </w:tc>
      </w:tr>
      <w:tr w:rsidR="00ED3F18" w:rsidRPr="00E71EAB" w14:paraId="5C37C7F5" w14:textId="77777777">
        <w:tc>
          <w:tcPr>
            <w:tcW w:w="1129" w:type="dxa"/>
          </w:tcPr>
          <w:p w14:paraId="2FB64964"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F2A46B5"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KAPITÁL TIER 2</w:t>
            </w:r>
          </w:p>
          <w:p w14:paraId="13E7959A"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rPr>
              <w:t>Ustanovení čl. 9 odst. 1</w:t>
            </w:r>
            <w:r w:rsidRPr="00E71EAB">
              <w:rPr>
                <w:rStyle w:val="FormatvorlageInstructionsTabelleText"/>
                <w:rFonts w:ascii="Times New Roman" w:hAnsi="Times New Roman"/>
                <w:sz w:val="22"/>
              </w:rPr>
              <w:t xml:space="preserve"> </w:t>
            </w:r>
            <w:r w:rsidRPr="00E71EAB">
              <w:rPr>
                <w:rFonts w:ascii="Times New Roman" w:hAnsi="Times New Roman"/>
              </w:rPr>
              <w:t>nařízení (EU) 2019/2033.</w:t>
            </w:r>
          </w:p>
          <w:p w14:paraId="3662F48F" w14:textId="77777777" w:rsidR="00ED3F18" w:rsidRPr="00E71EAB" w:rsidRDefault="00E71EAB">
            <w:pPr>
              <w:spacing w:after="120" w:line="240" w:lineRule="auto"/>
              <w:jc w:val="both"/>
              <w:rPr>
                <w:rStyle w:val="FormatvorlageInstructionsTabelleText"/>
                <w:rFonts w:ascii="Times New Roman" w:hAnsi="Times New Roman"/>
                <w:sz w:val="22"/>
              </w:rPr>
            </w:pPr>
            <w:r w:rsidRPr="00E71EAB">
              <w:rPr>
                <w:rStyle w:val="FormatvorlageInstructionsTabelleText"/>
                <w:rFonts w:ascii="Times New Roman" w:hAnsi="Times New Roman"/>
                <w:i/>
                <w:sz w:val="22"/>
              </w:rPr>
              <w:t>Článek 71</w:t>
            </w:r>
            <w:r w:rsidRPr="00E71EAB">
              <w:rPr>
                <w:rStyle w:val="FormatvorlageInstructionsTabelleText"/>
                <w:rFonts w:ascii="Times New Roman" w:hAnsi="Times New Roman"/>
                <w:sz w:val="22"/>
              </w:rPr>
              <w:t xml:space="preserve"> nařízení (EU) č. 575/2013.</w:t>
            </w:r>
          </w:p>
          <w:p w14:paraId="0D4CF3F5" w14:textId="77777777" w:rsidR="00ED3F18" w:rsidRPr="00E71EAB" w:rsidRDefault="00E71EAB">
            <w:pPr>
              <w:pStyle w:val="CommentText"/>
              <w:rPr>
                <w:sz w:val="22"/>
                <w:szCs w:val="22"/>
              </w:rPr>
            </w:pPr>
            <w:r w:rsidRPr="00E71EAB">
              <w:rPr>
                <w:rFonts w:ascii="Times New Roman" w:hAnsi="Times New Roman"/>
                <w:bCs/>
                <w:sz w:val="22"/>
                <w:szCs w:val="22"/>
              </w:rPr>
              <w:t>Vykáže se celkový součet řádků 0430 až 0520.</w:t>
            </w:r>
          </w:p>
        </w:tc>
      </w:tr>
      <w:tr w:rsidR="00ED3F18" w:rsidRPr="00E71EAB" w14:paraId="62AF7B98" w14:textId="77777777">
        <w:tc>
          <w:tcPr>
            <w:tcW w:w="1129" w:type="dxa"/>
          </w:tcPr>
          <w:p w14:paraId="62FEE68E"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7DFCCA5"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Plně uhrazené přímo vydané kapitálové nástroje</w:t>
            </w:r>
          </w:p>
          <w:p w14:paraId="0FBAC7D6"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 xml:space="preserve">Ustanovení čl. 9 </w:t>
            </w:r>
            <w:r w:rsidRPr="00E71EAB">
              <w:rPr>
                <w:rFonts w:ascii="Times New Roman" w:hAnsi="Times New Roman"/>
                <w:bCs/>
              </w:rPr>
              <w:t>odst. 1 bodu i) nařízení (EU) 2019/2033.</w:t>
            </w:r>
          </w:p>
          <w:p w14:paraId="0B9113D1" w14:textId="77777777" w:rsidR="00ED3F18" w:rsidRPr="00E71EAB" w:rsidRDefault="00E71EAB">
            <w:pPr>
              <w:pStyle w:val="InstructionsText"/>
              <w:rPr>
                <w:rStyle w:val="FormatvorlageInstructionsTabelleText"/>
                <w:rFonts w:ascii="Times New Roman" w:eastAsiaTheme="minorHAnsi" w:hAnsi="Times New Roman"/>
                <w:bCs/>
                <w:sz w:val="22"/>
                <w:szCs w:val="22"/>
              </w:rPr>
            </w:pPr>
            <w:r w:rsidRPr="00E71EAB">
              <w:rPr>
                <w:rStyle w:val="FormatvorlageInstructionsTabelleText"/>
                <w:rFonts w:ascii="Times New Roman" w:hAnsi="Times New Roman"/>
                <w:sz w:val="22"/>
                <w:szCs w:val="22"/>
              </w:rPr>
              <w:t>Ustanovení čl. 62 písm. a) a článků 63 a 65 nařízení (EU) č. 575/2013.</w:t>
            </w:r>
          </w:p>
          <w:p w14:paraId="57B1FFCF"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Style w:val="FormatvorlageInstructionsTabelleText"/>
                <w:rFonts w:ascii="Times New Roman" w:hAnsi="Times New Roman"/>
                <w:sz w:val="22"/>
              </w:rPr>
              <w:t>Částka, která má být vykázána, nezahrnuje emisní ážio související s těmito nástroji.</w:t>
            </w:r>
          </w:p>
        </w:tc>
      </w:tr>
      <w:tr w:rsidR="00ED3F18" w:rsidRPr="00E71EAB" w14:paraId="62DE8CCC" w14:textId="77777777">
        <w:tc>
          <w:tcPr>
            <w:tcW w:w="1129" w:type="dxa"/>
          </w:tcPr>
          <w:p w14:paraId="0125566E"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0717622"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Emisní ážio</w:t>
            </w:r>
          </w:p>
          <w:p w14:paraId="6BCDA45B"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 xml:space="preserve">Ustanovení čl. 9 odst. 1 bodu i) </w:t>
            </w:r>
            <w:r w:rsidRPr="00E71EAB">
              <w:rPr>
                <w:rFonts w:ascii="Times New Roman" w:hAnsi="Times New Roman"/>
                <w:bCs/>
              </w:rPr>
              <w:t>nařízení (EU) 2019/2033.</w:t>
            </w:r>
          </w:p>
          <w:p w14:paraId="4B2730A1" w14:textId="77777777" w:rsidR="00ED3F18" w:rsidRPr="00E71EAB" w:rsidRDefault="00E71EAB">
            <w:pPr>
              <w:pStyle w:val="InstructionsText"/>
              <w:rPr>
                <w:rStyle w:val="FormatvorlageInstructionsTabelleText"/>
                <w:rFonts w:ascii="Times New Roman" w:hAnsi="Times New Roman"/>
                <w:sz w:val="22"/>
                <w:szCs w:val="22"/>
              </w:rPr>
            </w:pPr>
            <w:r w:rsidRPr="00E71EAB">
              <w:rPr>
                <w:rStyle w:val="FormatvorlageInstructionsTabelleText"/>
                <w:rFonts w:ascii="Times New Roman" w:hAnsi="Times New Roman"/>
                <w:sz w:val="22"/>
                <w:szCs w:val="22"/>
              </w:rPr>
              <w:t>Ustanovení čl. 62 písm. b) a článku 65 nařízení (EU) č. 575/2013.</w:t>
            </w:r>
          </w:p>
          <w:p w14:paraId="39817292" w14:textId="77777777" w:rsidR="00ED3F18" w:rsidRPr="00E71EAB" w:rsidRDefault="00E71EAB">
            <w:pPr>
              <w:pStyle w:val="InstructionsText"/>
              <w:rPr>
                <w:rStyle w:val="FormatvorlageInstructionsTabelleText"/>
                <w:rFonts w:ascii="Times New Roman" w:hAnsi="Times New Roman"/>
                <w:sz w:val="22"/>
                <w:szCs w:val="22"/>
              </w:rPr>
            </w:pPr>
            <w:r w:rsidRPr="00E71EAB">
              <w:rPr>
                <w:rStyle w:val="FormatvorlageInstructionsTabelleText"/>
                <w:rFonts w:ascii="Times New Roman" w:hAnsi="Times New Roman"/>
                <w:sz w:val="22"/>
                <w:szCs w:val="22"/>
              </w:rPr>
              <w:t>Emisní ážio má stejný význam jako v použitelném účetním standardu.</w:t>
            </w:r>
          </w:p>
          <w:p w14:paraId="36151BF6" w14:textId="77777777" w:rsidR="00ED3F18" w:rsidRPr="00E71EAB" w:rsidRDefault="00E71EAB">
            <w:pPr>
              <w:pStyle w:val="InstructionsText"/>
              <w:rPr>
                <w:sz w:val="22"/>
                <w:szCs w:val="22"/>
              </w:rPr>
            </w:pPr>
            <w:r w:rsidRPr="00E71EAB">
              <w:rPr>
                <w:rStyle w:val="FormatvorlageInstructionsTabelleText"/>
                <w:rFonts w:ascii="Times New Roman" w:hAnsi="Times New Roman"/>
                <w:sz w:val="22"/>
                <w:szCs w:val="22"/>
              </w:rPr>
              <w:t>Částka, která má být vykázána v této položce, je částí vztahující se k položce „Plně uhrazené přím</w:t>
            </w:r>
            <w:r w:rsidRPr="00E71EAB">
              <w:rPr>
                <w:rStyle w:val="FormatvorlageInstructionsTabelleText"/>
                <w:rFonts w:ascii="Times New Roman" w:hAnsi="Times New Roman"/>
                <w:sz w:val="22"/>
                <w:szCs w:val="22"/>
              </w:rPr>
              <w:t>o vydané kapitálové nástroje“.</w:t>
            </w:r>
          </w:p>
        </w:tc>
      </w:tr>
      <w:tr w:rsidR="00ED3F18" w:rsidRPr="00E71EAB" w14:paraId="00693B71" w14:textId="77777777">
        <w:tc>
          <w:tcPr>
            <w:tcW w:w="1129" w:type="dxa"/>
            <w:tcBorders>
              <w:top w:val="single" w:sz="4" w:space="0" w:color="auto"/>
              <w:bottom w:val="single" w:sz="4" w:space="0" w:color="auto"/>
            </w:tcBorders>
          </w:tcPr>
          <w:p w14:paraId="0ECC658C"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26073DD"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ODPOČTY OD KAPITÁLU TIER 2 CELKEM</w:t>
            </w:r>
          </w:p>
          <w:p w14:paraId="5949D47A" w14:textId="77777777" w:rsidR="00ED3F18" w:rsidRPr="00E71EAB" w:rsidRDefault="00E71EAB">
            <w:pPr>
              <w:spacing w:after="120" w:line="240" w:lineRule="auto"/>
              <w:jc w:val="both"/>
              <w:rPr>
                <w:rFonts w:ascii="Times New Roman" w:hAnsi="Times New Roman" w:cs="Times New Roman"/>
              </w:rPr>
            </w:pPr>
            <w:r w:rsidRPr="00E71EAB">
              <w:rPr>
                <w:rFonts w:ascii="Times New Roman" w:hAnsi="Times New Roman"/>
                <w:i/>
              </w:rPr>
              <w:t>Článek 66</w:t>
            </w:r>
            <w:r w:rsidRPr="00E71EAB">
              <w:rPr>
                <w:rStyle w:val="FormatvorlageInstructionsTabelleText"/>
                <w:rFonts w:ascii="Times New Roman" w:hAnsi="Times New Roman"/>
                <w:sz w:val="22"/>
              </w:rPr>
              <w:t xml:space="preserve"> </w:t>
            </w:r>
            <w:r w:rsidRPr="00E71EAB">
              <w:rPr>
                <w:rFonts w:ascii="Times New Roman" w:hAnsi="Times New Roman"/>
              </w:rPr>
              <w:t>nařízení (EU) č. 575/2013.</w:t>
            </w:r>
          </w:p>
        </w:tc>
      </w:tr>
      <w:tr w:rsidR="00ED3F18" w:rsidRPr="00E71EAB" w14:paraId="7421214D" w14:textId="77777777">
        <w:tc>
          <w:tcPr>
            <w:tcW w:w="1129" w:type="dxa"/>
            <w:tcBorders>
              <w:top w:val="single" w:sz="4" w:space="0" w:color="auto"/>
            </w:tcBorders>
          </w:tcPr>
          <w:p w14:paraId="601A1FD6"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5444103"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Kapitál tier 2: Ostatní kapitálové položky, odpočty od kapitálu a úpravy kapitálu</w:t>
            </w:r>
          </w:p>
          <w:p w14:paraId="067F0A60"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 xml:space="preserve">Tento řádek zahrnuje v příslušných případech </w:t>
            </w:r>
            <w:r w:rsidRPr="00E71EAB">
              <w:rPr>
                <w:rFonts w:ascii="Times New Roman" w:hAnsi="Times New Roman"/>
                <w:bCs/>
              </w:rPr>
              <w:t>součet těchto položek:</w:t>
            </w:r>
          </w:p>
          <w:p w14:paraId="52BDC922" w14:textId="77777777" w:rsidR="00ED3F18" w:rsidRPr="00E71EAB" w:rsidRDefault="00E71EAB">
            <w:pPr>
              <w:spacing w:after="120" w:line="240" w:lineRule="auto"/>
              <w:ind w:left="360" w:hanging="360"/>
              <w:jc w:val="both"/>
              <w:rPr>
                <w:rFonts w:ascii="Times New Roman" w:eastAsia="Times New Roman" w:hAnsi="Times New Roman" w:cs="Times New Roman"/>
                <w:bCs/>
              </w:rPr>
            </w:pPr>
            <w:r w:rsidRPr="00E71EAB">
              <w:rPr>
                <w:rFonts w:ascii="Times New Roman" w:eastAsia="Times New Roman" w:hAnsi="Times New Roman" w:cs="Times New Roman"/>
                <w:bCs/>
              </w:rPr>
              <w:t>—</w:t>
            </w:r>
            <w:r w:rsidRPr="00E71EAB">
              <w:rPr>
                <w:rFonts w:ascii="Times New Roman" w:eastAsia="Times New Roman" w:hAnsi="Times New Roman" w:cs="Times New Roman"/>
                <w:bCs/>
              </w:rPr>
              <w:tab/>
            </w:r>
            <w:r w:rsidRPr="00E71EAB">
              <w:rPr>
                <w:rFonts w:ascii="Times New Roman" w:hAnsi="Times New Roman"/>
                <w:bCs/>
              </w:rPr>
              <w:t>přechodné úpravy provedené v důsledku nástrojů zahrnovaných do kapitálu tier 2, pro něž platí zachování právních účinků (čl. 483 odst. 6 a 7 a články 484, 486, 488, 490 a 491 nařízení (EU) č. 575/2013),</w:t>
            </w:r>
          </w:p>
          <w:p w14:paraId="55DA0966" w14:textId="77777777" w:rsidR="00ED3F18" w:rsidRPr="00E71EAB" w:rsidRDefault="00E71EAB">
            <w:pPr>
              <w:spacing w:after="120" w:line="240" w:lineRule="auto"/>
              <w:ind w:left="360" w:hanging="360"/>
              <w:jc w:val="both"/>
              <w:rPr>
                <w:rFonts w:ascii="Times New Roman" w:eastAsia="Times New Roman" w:hAnsi="Times New Roman" w:cs="Times New Roman"/>
                <w:bCs/>
              </w:rPr>
            </w:pPr>
            <w:r w:rsidRPr="00E71EAB">
              <w:rPr>
                <w:rFonts w:ascii="Times New Roman" w:eastAsia="Times New Roman" w:hAnsi="Times New Roman" w:cs="Times New Roman"/>
                <w:bCs/>
              </w:rPr>
              <w:t>—</w:t>
            </w:r>
            <w:r w:rsidRPr="00E71EAB">
              <w:rPr>
                <w:rFonts w:ascii="Times New Roman" w:eastAsia="Times New Roman" w:hAnsi="Times New Roman" w:cs="Times New Roman"/>
                <w:bCs/>
              </w:rPr>
              <w:tab/>
            </w:r>
            <w:r w:rsidRPr="00E71EAB">
              <w:rPr>
                <w:rFonts w:ascii="Times New Roman" w:hAnsi="Times New Roman"/>
                <w:bCs/>
              </w:rPr>
              <w:t xml:space="preserve">nástroje vydané dceřinými </w:t>
            </w:r>
            <w:r w:rsidRPr="00E71EAB">
              <w:rPr>
                <w:rFonts w:ascii="Times New Roman" w:hAnsi="Times New Roman"/>
                <w:bCs/>
              </w:rPr>
              <w:t>podniky a uznané v kapitálu tier 2 (články 83, 87 a 88 nařízení (EU) č. 575/2013): součet všech částek kvalifikovaného kapitálu dceřiných podniků, který se zahrne do konsolidovaného kapitálu tier 2, včetně kvalifikovaného kapitálu tier 2 vydaného jednotkou</w:t>
            </w:r>
            <w:r w:rsidRPr="00E71EAB">
              <w:rPr>
                <w:rFonts w:ascii="Times New Roman" w:hAnsi="Times New Roman"/>
                <w:bCs/>
              </w:rPr>
              <w:t xml:space="preserve"> pro speciální účel (článek 83 nařízení (EU) č. 575/2013),</w:t>
            </w:r>
          </w:p>
          <w:p w14:paraId="28A7650C" w14:textId="77777777" w:rsidR="00ED3F18" w:rsidRPr="00E71EAB" w:rsidRDefault="00E71EAB">
            <w:pPr>
              <w:spacing w:after="120" w:line="240" w:lineRule="auto"/>
              <w:ind w:left="360" w:hanging="360"/>
              <w:jc w:val="both"/>
              <w:rPr>
                <w:rFonts w:ascii="Times New Roman" w:eastAsia="Times New Roman" w:hAnsi="Times New Roman" w:cs="Times New Roman"/>
                <w:bCs/>
              </w:rPr>
            </w:pPr>
            <w:r w:rsidRPr="00E71EAB">
              <w:rPr>
                <w:rFonts w:ascii="Times New Roman" w:eastAsia="Times New Roman" w:hAnsi="Times New Roman" w:cs="Times New Roman"/>
                <w:bCs/>
              </w:rPr>
              <w:t>—</w:t>
            </w:r>
            <w:r w:rsidRPr="00E71EAB">
              <w:rPr>
                <w:rFonts w:ascii="Times New Roman" w:eastAsia="Times New Roman" w:hAnsi="Times New Roman" w:cs="Times New Roman"/>
                <w:bCs/>
              </w:rPr>
              <w:tab/>
            </w:r>
            <w:r w:rsidRPr="00E71EAB">
              <w:rPr>
                <w:rFonts w:ascii="Times New Roman" w:hAnsi="Times New Roman"/>
                <w:bCs/>
              </w:rPr>
              <w:t xml:space="preserve">přechodné úpravy v důsledku dodatečného uznání nástrojů, které byly vydány dceřinými podniky, v kapitálu tier 2 (článek 480 nařízení (EU) č. 575/2013): úpravy kvalifikovaného kapitálu zahrnutého </w:t>
            </w:r>
            <w:r w:rsidRPr="00E71EAB">
              <w:rPr>
                <w:rFonts w:ascii="Times New Roman" w:hAnsi="Times New Roman"/>
                <w:bCs/>
              </w:rPr>
              <w:t>v konsolidovaném kapitálu tier 2 provedené v důsledku přechodných ustanovení,</w:t>
            </w:r>
          </w:p>
          <w:p w14:paraId="38DC52C7" w14:textId="77777777" w:rsidR="00ED3F18" w:rsidRPr="00E71EAB" w:rsidRDefault="00E71EAB">
            <w:pPr>
              <w:spacing w:after="120" w:line="240" w:lineRule="auto"/>
              <w:ind w:left="360" w:hanging="360"/>
              <w:jc w:val="both"/>
              <w:rPr>
                <w:rFonts w:ascii="Times New Roman" w:eastAsia="Times New Roman" w:hAnsi="Times New Roman" w:cs="Times New Roman"/>
                <w:bCs/>
              </w:rPr>
            </w:pPr>
            <w:r w:rsidRPr="00E71EAB">
              <w:rPr>
                <w:rFonts w:ascii="Times New Roman" w:eastAsia="Times New Roman" w:hAnsi="Times New Roman" w:cs="Times New Roman"/>
                <w:bCs/>
              </w:rPr>
              <w:t>—</w:t>
            </w:r>
            <w:r w:rsidRPr="00E71EAB">
              <w:rPr>
                <w:rFonts w:ascii="Times New Roman" w:eastAsia="Times New Roman" w:hAnsi="Times New Roman" w:cs="Times New Roman"/>
                <w:bCs/>
              </w:rPr>
              <w:tab/>
            </w:r>
            <w:r w:rsidRPr="00E71EAB">
              <w:rPr>
                <w:rFonts w:ascii="Times New Roman" w:hAnsi="Times New Roman"/>
                <w:bCs/>
              </w:rPr>
              <w:t>ostatní přechodné úpravy kapitálu tier 2 (články 472, 473a, 476, 477, 478 a 481 nařízení (EU) č. 575/2013): úpravy odpočtů od kapitálu tier 2 v důsledku přechodných ustanovení,</w:t>
            </w:r>
          </w:p>
          <w:p w14:paraId="776078D4" w14:textId="77777777" w:rsidR="00ED3F18" w:rsidRPr="00E71EAB" w:rsidRDefault="00E71EAB">
            <w:pPr>
              <w:spacing w:after="120" w:line="240" w:lineRule="auto"/>
              <w:ind w:left="360" w:hanging="360"/>
              <w:jc w:val="both"/>
              <w:rPr>
                <w:rFonts w:ascii="Times New Roman" w:eastAsia="Times New Roman" w:hAnsi="Times New Roman" w:cs="Times New Roman"/>
                <w:bCs/>
              </w:rPr>
            </w:pPr>
            <w:r w:rsidRPr="00E71EAB">
              <w:rPr>
                <w:rFonts w:ascii="Times New Roman" w:eastAsia="Times New Roman" w:hAnsi="Times New Roman" w:cs="Times New Roman"/>
                <w:bCs/>
              </w:rPr>
              <w:t>—</w:t>
            </w:r>
            <w:r w:rsidRPr="00E71EAB">
              <w:rPr>
                <w:rFonts w:ascii="Times New Roman" w:eastAsia="Times New Roman" w:hAnsi="Times New Roman" w:cs="Times New Roman"/>
                <w:bCs/>
              </w:rPr>
              <w:tab/>
            </w:r>
            <w:r w:rsidRPr="00E71EAB">
              <w:rPr>
                <w:rFonts w:ascii="Times New Roman" w:hAnsi="Times New Roman"/>
                <w:bCs/>
              </w:rPr>
              <w:t xml:space="preserve">odpočet od položek kapitálu tier 2, který přesahuje výši kapitálu tier 2, který se odečítá od vedlejšího kapitálu tier 1 v souladu s čl. 56 písm. e) nařízení (EU) </w:t>
            </w:r>
            <w:r w:rsidRPr="00E71EAB">
              <w:rPr>
                <w:rFonts w:ascii="Times New Roman" w:hAnsi="Times New Roman"/>
                <w:bCs/>
              </w:rPr>
              <w:lastRenderedPageBreak/>
              <w:t>č. 575/2013: kapitál tier 2 nemůže být záporný, ale odpočty od položek kapitálu tier 2 moh</w:t>
            </w:r>
            <w:r w:rsidRPr="00E71EAB">
              <w:rPr>
                <w:rFonts w:ascii="Times New Roman" w:hAnsi="Times New Roman"/>
                <w:bCs/>
              </w:rPr>
              <w:t>ou překročit výši položek dostupného kapitálu tier 2. Pokud k tomu dojde, tato položka představuje částku potřebnou ke zvýšení částky vykázané v řádku 0420 na nulu,</w:t>
            </w:r>
          </w:p>
          <w:p w14:paraId="4B08435E" w14:textId="77777777" w:rsidR="00ED3F18" w:rsidRPr="00E71EAB" w:rsidRDefault="00E71EAB">
            <w:pPr>
              <w:spacing w:after="120" w:line="240" w:lineRule="auto"/>
              <w:ind w:left="360" w:hanging="360"/>
              <w:jc w:val="both"/>
              <w:rPr>
                <w:rFonts w:ascii="Times New Roman" w:eastAsia="Times New Roman" w:hAnsi="Times New Roman" w:cs="Times New Roman"/>
                <w:bCs/>
              </w:rPr>
            </w:pPr>
            <w:r w:rsidRPr="00E71EAB">
              <w:rPr>
                <w:rFonts w:ascii="Times New Roman" w:eastAsia="Times New Roman" w:hAnsi="Times New Roman" w:cs="Times New Roman"/>
                <w:bCs/>
              </w:rPr>
              <w:t>—</w:t>
            </w:r>
            <w:r w:rsidRPr="00E71EAB">
              <w:rPr>
                <w:rFonts w:ascii="Times New Roman" w:eastAsia="Times New Roman" w:hAnsi="Times New Roman" w:cs="Times New Roman"/>
                <w:bCs/>
              </w:rPr>
              <w:tab/>
            </w:r>
            <w:r w:rsidRPr="00E71EAB">
              <w:rPr>
                <w:rFonts w:ascii="Times New Roman" w:hAnsi="Times New Roman"/>
                <w:bCs/>
              </w:rPr>
              <w:t>ostatní položky kapitálu tier 2 nebo odpočty od položky kapitálu tier 2, které nelze přiř</w:t>
            </w:r>
            <w:r w:rsidRPr="00E71EAB">
              <w:rPr>
                <w:rFonts w:ascii="Times New Roman" w:hAnsi="Times New Roman"/>
                <w:bCs/>
              </w:rPr>
              <w:t>adit do jednoho z řádků 0430 až 0450.</w:t>
            </w:r>
          </w:p>
          <w:p w14:paraId="170D4BC9"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Tento řádek neslouží k zahrnutí kapitálových položek či odpočtů od kapitálu, na něž se nevztahuje nařízení (EU) 2019/2033 nebo nařízení (EU) č. 575/2013, do výpočtu ukazatelů kapitálové přiměřenosti.</w:t>
            </w:r>
          </w:p>
        </w:tc>
      </w:tr>
    </w:tbl>
    <w:p w14:paraId="36078B86" w14:textId="77777777" w:rsidR="00ED3F18" w:rsidRPr="00E71EAB" w:rsidRDefault="00E71EAB">
      <w:pPr>
        <w:pStyle w:val="Instructionsberschrift2"/>
        <w:ind w:left="357" w:hanging="357"/>
        <w:rPr>
          <w:rFonts w:ascii="Times New Roman" w:hAnsi="Times New Roman" w:cs="Times New Roman"/>
          <w:sz w:val="24"/>
          <w:u w:val="none"/>
        </w:rPr>
      </w:pPr>
      <w:bookmarkStart w:id="21" w:name="_Toc88124558"/>
      <w:r w:rsidRPr="00E71EAB">
        <w:rPr>
          <w:rFonts w:ascii="Times New Roman" w:hAnsi="Times New Roman"/>
          <w:sz w:val="24"/>
          <w:u w:val="none"/>
        </w:rPr>
        <w:lastRenderedPageBreak/>
        <w:t>1.3</w:t>
      </w:r>
      <w:r w:rsidRPr="00E71EAB">
        <w:rPr>
          <w:rFonts w:ascii="Times New Roman" w:hAnsi="Times New Roman"/>
          <w:sz w:val="24"/>
        </w:rPr>
        <w:t xml:space="preserve"> I 02.03 – KAPITÁLOVÉ POŽADAVKY (I 2.3)</w:t>
      </w:r>
      <w:bookmarkEnd w:id="21"/>
    </w:p>
    <w:p w14:paraId="5A805398" w14:textId="77777777" w:rsidR="00ED3F18" w:rsidRPr="00E71EAB" w:rsidRDefault="00E71EAB">
      <w:pPr>
        <w:keepNext/>
        <w:spacing w:before="240" w:after="240" w:line="240" w:lineRule="auto"/>
        <w:ind w:left="357" w:hanging="357"/>
        <w:jc w:val="both"/>
        <w:outlineLvl w:val="1"/>
        <w:rPr>
          <w:rFonts w:ascii="Times New Roman" w:eastAsia="Arial" w:hAnsi="Times New Roman" w:cs="Times New Roman"/>
          <w:u w:val="single"/>
        </w:rPr>
      </w:pPr>
      <w:bookmarkStart w:id="22" w:name="_Toc88124559"/>
      <w:r w:rsidRPr="00E71EAB">
        <w:rPr>
          <w:rFonts w:ascii="Times New Roman" w:hAnsi="Times New Roman"/>
          <w:sz w:val="24"/>
          <w:szCs w:val="24"/>
        </w:rPr>
        <w:t>1.3.1.</w:t>
      </w:r>
      <w:r w:rsidRPr="00E71EAB">
        <w:rPr>
          <w:rFonts w:ascii="Times New Roman" w:hAnsi="Times New Roman"/>
          <w:sz w:val="24"/>
          <w:szCs w:val="24"/>
        </w:rPr>
        <w:tab/>
      </w:r>
      <w:r w:rsidRPr="00E71EAB">
        <w:rPr>
          <w:rFonts w:ascii="Times New Roman" w:hAnsi="Times New Roman"/>
          <w:sz w:val="24"/>
          <w:szCs w:val="24"/>
          <w:u w:val="single"/>
        </w:rPr>
        <w:t>Pokyny pro konkrétní pozice</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D3F18" w:rsidRPr="00E71EAB" w14:paraId="7BB9E10A" w14:textId="77777777">
        <w:tc>
          <w:tcPr>
            <w:tcW w:w="1129" w:type="dxa"/>
            <w:shd w:val="clear" w:color="auto" w:fill="D9D9D9"/>
          </w:tcPr>
          <w:p w14:paraId="0813C5BD"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rPr>
              <w:t>Řádek</w:t>
            </w:r>
          </w:p>
        </w:tc>
        <w:tc>
          <w:tcPr>
            <w:tcW w:w="7620" w:type="dxa"/>
            <w:shd w:val="clear" w:color="auto" w:fill="D9D9D9"/>
          </w:tcPr>
          <w:p w14:paraId="79959D21"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rPr>
              <w:t>Odkazy na právní předpisy a pokyny</w:t>
            </w:r>
          </w:p>
        </w:tc>
      </w:tr>
      <w:tr w:rsidR="00ED3F18" w:rsidRPr="00E71EAB" w14:paraId="067445F7" w14:textId="77777777">
        <w:tc>
          <w:tcPr>
            <w:tcW w:w="1129" w:type="dxa"/>
          </w:tcPr>
          <w:p w14:paraId="24FB25C2"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0010</w:t>
            </w:r>
          </w:p>
        </w:tc>
        <w:tc>
          <w:tcPr>
            <w:tcW w:w="7620" w:type="dxa"/>
          </w:tcPr>
          <w:p w14:paraId="51E45752"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Kapitálový požadavek</w:t>
            </w:r>
          </w:p>
          <w:p w14:paraId="3FF6C872"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11 odst. 1 a 2 nařízení (EU) 2019/2033.</w:t>
            </w:r>
          </w:p>
          <w:p w14:paraId="79748737"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 xml:space="preserve">Tento řádek je maximální hodnotou řádku 0020 </w:t>
            </w:r>
            <w:r w:rsidRPr="00E71EAB">
              <w:rPr>
                <w:rFonts w:ascii="Times New Roman" w:hAnsi="Times New Roman"/>
                <w:bCs/>
              </w:rPr>
              <w:t>a řádku 0030.</w:t>
            </w:r>
          </w:p>
        </w:tc>
      </w:tr>
      <w:tr w:rsidR="00ED3F18" w:rsidRPr="00E71EAB" w14:paraId="3711CA34" w14:textId="77777777">
        <w:tc>
          <w:tcPr>
            <w:tcW w:w="1129" w:type="dxa"/>
          </w:tcPr>
          <w:p w14:paraId="35ACC74F"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0020</w:t>
            </w:r>
          </w:p>
        </w:tc>
        <w:tc>
          <w:tcPr>
            <w:tcW w:w="7620" w:type="dxa"/>
          </w:tcPr>
          <w:p w14:paraId="4066EC7A"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Trvalý minimální kapitálový požadavek</w:t>
            </w:r>
          </w:p>
          <w:p w14:paraId="478AE8CD"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i/>
              </w:rPr>
              <w:t>Článek 14</w:t>
            </w:r>
            <w:r w:rsidRPr="00E71EAB">
              <w:rPr>
                <w:rFonts w:ascii="Times New Roman" w:hAnsi="Times New Roman"/>
                <w:bCs/>
              </w:rPr>
              <w:t xml:space="preserve"> nařízení (EU) 2019/2033.</w:t>
            </w:r>
          </w:p>
        </w:tc>
      </w:tr>
      <w:tr w:rsidR="00ED3F18" w:rsidRPr="00E71EAB" w14:paraId="25A8D9AE" w14:textId="77777777">
        <w:tc>
          <w:tcPr>
            <w:tcW w:w="1129" w:type="dxa"/>
          </w:tcPr>
          <w:p w14:paraId="4086FC8A"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0030</w:t>
            </w:r>
          </w:p>
        </w:tc>
        <w:tc>
          <w:tcPr>
            <w:tcW w:w="7620" w:type="dxa"/>
          </w:tcPr>
          <w:p w14:paraId="15931732"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Požadavek dle fixních režijních nákladů</w:t>
            </w:r>
          </w:p>
          <w:p w14:paraId="46EDA391"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i/>
              </w:rPr>
              <w:t>Článek 13</w:t>
            </w:r>
            <w:r w:rsidRPr="00E71EAB">
              <w:rPr>
                <w:rFonts w:ascii="Times New Roman" w:hAnsi="Times New Roman"/>
                <w:bCs/>
              </w:rPr>
              <w:t xml:space="preserve"> nařízení (EU) 2019/2033.</w:t>
            </w:r>
          </w:p>
        </w:tc>
      </w:tr>
      <w:tr w:rsidR="00ED3F18" w:rsidRPr="00E71EAB" w14:paraId="4E9B8B80" w14:textId="77777777">
        <w:tc>
          <w:tcPr>
            <w:tcW w:w="1129" w:type="dxa"/>
          </w:tcPr>
          <w:p w14:paraId="59B3A02E"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 xml:space="preserve">0050–0090 </w:t>
            </w:r>
          </w:p>
        </w:tc>
        <w:tc>
          <w:tcPr>
            <w:tcW w:w="7620" w:type="dxa"/>
          </w:tcPr>
          <w:p w14:paraId="5B14F8D9"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Přechodné kapitálové požadavky</w:t>
            </w:r>
          </w:p>
        </w:tc>
      </w:tr>
      <w:tr w:rsidR="00ED3F18" w:rsidRPr="00E71EAB" w14:paraId="582945D9" w14:textId="77777777">
        <w:tc>
          <w:tcPr>
            <w:tcW w:w="1129" w:type="dxa"/>
          </w:tcPr>
          <w:p w14:paraId="40439234"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0050</w:t>
            </w:r>
          </w:p>
        </w:tc>
        <w:tc>
          <w:tcPr>
            <w:tcW w:w="7620" w:type="dxa"/>
          </w:tcPr>
          <w:p w14:paraId="7B4CB386"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xml:space="preserve">Přechodný požadavek na </w:t>
            </w:r>
            <w:r w:rsidRPr="00E71EAB">
              <w:rPr>
                <w:rFonts w:ascii="Times New Roman" w:hAnsi="Times New Roman"/>
                <w:b/>
                <w:bCs/>
                <w:u w:val="single"/>
              </w:rPr>
              <w:t>základě kapitálových požadavků dle nařízení (EU) č. 575/2013</w:t>
            </w:r>
          </w:p>
          <w:p w14:paraId="48900554"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57 odst. 3 písm. a) nařízení (EU) 2019/2033.</w:t>
            </w:r>
          </w:p>
        </w:tc>
      </w:tr>
      <w:tr w:rsidR="00ED3F18" w:rsidRPr="00E71EAB" w14:paraId="21E0C122" w14:textId="77777777">
        <w:tc>
          <w:tcPr>
            <w:tcW w:w="1129" w:type="dxa"/>
          </w:tcPr>
          <w:p w14:paraId="426989F9"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0060</w:t>
            </w:r>
          </w:p>
        </w:tc>
        <w:tc>
          <w:tcPr>
            <w:tcW w:w="7620" w:type="dxa"/>
          </w:tcPr>
          <w:p w14:paraId="65DEDDC3"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Přechodný požadavek na základě požadavků dle fixních režijních nákladů</w:t>
            </w:r>
          </w:p>
          <w:p w14:paraId="31EE668B"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 xml:space="preserve">Ustanovení čl. 57 odst. 3 písm. b) nařízení (EU) </w:t>
            </w:r>
            <w:r w:rsidRPr="00E71EAB">
              <w:rPr>
                <w:rFonts w:ascii="Times New Roman" w:hAnsi="Times New Roman"/>
                <w:bCs/>
              </w:rPr>
              <w:t>2019/2033.</w:t>
            </w:r>
          </w:p>
        </w:tc>
      </w:tr>
      <w:tr w:rsidR="00ED3F18" w:rsidRPr="00E71EAB" w14:paraId="228A8287" w14:textId="77777777">
        <w:tc>
          <w:tcPr>
            <w:tcW w:w="1129" w:type="dxa"/>
          </w:tcPr>
          <w:p w14:paraId="465DF8A3"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0070</w:t>
            </w:r>
          </w:p>
        </w:tc>
        <w:tc>
          <w:tcPr>
            <w:tcW w:w="7620" w:type="dxa"/>
          </w:tcPr>
          <w:p w14:paraId="1E186367"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Přechodný požadavek pro investiční podniky, které dříve podléhaly požadavku na počáteční kapitál</w:t>
            </w:r>
          </w:p>
          <w:p w14:paraId="28AA2642"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57 odst. 4 písm. a) nařízení (EU) 2019/2033.</w:t>
            </w:r>
          </w:p>
        </w:tc>
      </w:tr>
      <w:tr w:rsidR="00ED3F18" w:rsidRPr="00E71EAB" w14:paraId="56693992" w14:textId="77777777">
        <w:tc>
          <w:tcPr>
            <w:tcW w:w="1129" w:type="dxa"/>
          </w:tcPr>
          <w:p w14:paraId="36BE32A3"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0080</w:t>
            </w:r>
          </w:p>
        </w:tc>
        <w:tc>
          <w:tcPr>
            <w:tcW w:w="7620" w:type="dxa"/>
          </w:tcPr>
          <w:p w14:paraId="39A95688"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Přechodný požadavek na základě požadavku na počáteční kapitál při udělení po</w:t>
            </w:r>
            <w:r w:rsidRPr="00E71EAB">
              <w:rPr>
                <w:rFonts w:ascii="Times New Roman" w:hAnsi="Times New Roman"/>
                <w:b/>
                <w:bCs/>
                <w:u w:val="single"/>
              </w:rPr>
              <w:t>volení</w:t>
            </w:r>
          </w:p>
          <w:p w14:paraId="3069658A"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57 odst. 4 písm. b) nařízení (EU) 2019/2033.</w:t>
            </w:r>
          </w:p>
        </w:tc>
      </w:tr>
      <w:tr w:rsidR="00ED3F18" w:rsidRPr="00E71EAB" w14:paraId="2ACEBBF0" w14:textId="77777777">
        <w:tc>
          <w:tcPr>
            <w:tcW w:w="1129" w:type="dxa"/>
          </w:tcPr>
          <w:p w14:paraId="1DD27919"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0090</w:t>
            </w:r>
          </w:p>
        </w:tc>
        <w:tc>
          <w:tcPr>
            <w:tcW w:w="7620" w:type="dxa"/>
          </w:tcPr>
          <w:p w14:paraId="2E7C6C81"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Přechodný požadavek pro investiční podniky, které nemají povolení poskytovat určité služby</w:t>
            </w:r>
          </w:p>
          <w:p w14:paraId="765B6215"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57 odst. 4 písm. c) nařízení (EU) 2019/2033.</w:t>
            </w:r>
          </w:p>
        </w:tc>
      </w:tr>
      <w:tr w:rsidR="00ED3F18" w:rsidRPr="00E71EAB" w14:paraId="0D6A821C" w14:textId="77777777">
        <w:tc>
          <w:tcPr>
            <w:tcW w:w="1129" w:type="dxa"/>
          </w:tcPr>
          <w:p w14:paraId="580CA6D9"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0110–0130</w:t>
            </w:r>
          </w:p>
        </w:tc>
        <w:tc>
          <w:tcPr>
            <w:tcW w:w="7620" w:type="dxa"/>
          </w:tcPr>
          <w:p w14:paraId="7869C9AA"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xml:space="preserve">Doplňkové </w:t>
            </w:r>
            <w:r w:rsidRPr="00E71EAB">
              <w:rPr>
                <w:rFonts w:ascii="Times New Roman" w:hAnsi="Times New Roman"/>
                <w:b/>
                <w:bCs/>
                <w:u w:val="single"/>
              </w:rPr>
              <w:t>položky</w:t>
            </w:r>
          </w:p>
        </w:tc>
      </w:tr>
      <w:tr w:rsidR="00ED3F18" w:rsidRPr="00E71EAB" w14:paraId="26CBF857" w14:textId="77777777">
        <w:tc>
          <w:tcPr>
            <w:tcW w:w="1129" w:type="dxa"/>
            <w:tcBorders>
              <w:top w:val="single" w:sz="4" w:space="0" w:color="auto"/>
              <w:left w:val="single" w:sz="4" w:space="0" w:color="auto"/>
              <w:bottom w:val="single" w:sz="4" w:space="0" w:color="auto"/>
              <w:right w:val="single" w:sz="4" w:space="0" w:color="auto"/>
            </w:tcBorders>
          </w:tcPr>
          <w:p w14:paraId="4A0E2FAF"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0110</w:t>
            </w:r>
          </w:p>
        </w:tc>
        <w:tc>
          <w:tcPr>
            <w:tcW w:w="7620" w:type="dxa"/>
            <w:tcBorders>
              <w:top w:val="single" w:sz="4" w:space="0" w:color="auto"/>
              <w:left w:val="single" w:sz="4" w:space="0" w:color="auto"/>
              <w:bottom w:val="single" w:sz="4" w:space="0" w:color="auto"/>
              <w:right w:val="single" w:sz="4" w:space="0" w:color="auto"/>
            </w:tcBorders>
          </w:tcPr>
          <w:p w14:paraId="1D48194E"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Dodatečné kapitálové požadavky</w:t>
            </w:r>
          </w:p>
          <w:p w14:paraId="71FF78CF"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i/>
              </w:rPr>
              <w:t>Článek 40</w:t>
            </w:r>
            <w:r w:rsidRPr="00E71EAB">
              <w:rPr>
                <w:rFonts w:ascii="Times New Roman" w:hAnsi="Times New Roman"/>
                <w:bCs/>
              </w:rPr>
              <w:t xml:space="preserve"> směrnice (EU) 2019/2034.</w:t>
            </w:r>
          </w:p>
          <w:p w14:paraId="70CA953B"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lastRenderedPageBreak/>
              <w:t>Dodatečný kapitálový požadavek na základě procesu přezkumu a hodnocení.</w:t>
            </w:r>
            <w:r w:rsidRPr="00E71EAB">
              <w:rPr>
                <w:rFonts w:ascii="Times New Roman" w:hAnsi="Times New Roman"/>
                <w:b/>
                <w:bCs/>
                <w:u w:val="single"/>
              </w:rPr>
              <w:t xml:space="preserve"> </w:t>
            </w:r>
          </w:p>
        </w:tc>
      </w:tr>
      <w:tr w:rsidR="00ED3F18" w:rsidRPr="00E71EAB" w14:paraId="7492933D" w14:textId="77777777">
        <w:tc>
          <w:tcPr>
            <w:tcW w:w="1129" w:type="dxa"/>
            <w:tcBorders>
              <w:top w:val="single" w:sz="4" w:space="0" w:color="auto"/>
              <w:left w:val="single" w:sz="4" w:space="0" w:color="auto"/>
              <w:bottom w:val="single" w:sz="4" w:space="0" w:color="auto"/>
              <w:right w:val="single" w:sz="4" w:space="0" w:color="auto"/>
            </w:tcBorders>
          </w:tcPr>
          <w:p w14:paraId="7A02D77A"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lastRenderedPageBreak/>
              <w:t>0120</w:t>
            </w:r>
          </w:p>
        </w:tc>
        <w:tc>
          <w:tcPr>
            <w:tcW w:w="7620" w:type="dxa"/>
            <w:tcBorders>
              <w:top w:val="single" w:sz="4" w:space="0" w:color="auto"/>
              <w:left w:val="single" w:sz="4" w:space="0" w:color="auto"/>
              <w:bottom w:val="single" w:sz="4" w:space="0" w:color="auto"/>
              <w:right w:val="single" w:sz="4" w:space="0" w:color="auto"/>
            </w:tcBorders>
          </w:tcPr>
          <w:p w14:paraId="5A115429"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Celkový kapitálový požadavek</w:t>
            </w:r>
          </w:p>
          <w:p w14:paraId="65D69803"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rPr>
              <w:t xml:space="preserve">Celkový kapitálový požadavek investičního podniku se skládá ze </w:t>
            </w:r>
            <w:r w:rsidRPr="00E71EAB">
              <w:rPr>
                <w:rFonts w:ascii="Times New Roman" w:hAnsi="Times New Roman"/>
              </w:rPr>
              <w:t>součtu jeho kapitálových požadavků platných k referenčnímu datu, dodatečného kapitálového požadavku uvedeného v řádku 0110 a pokynů k držení dodatečného kapitálu uvedených v řádku 0120.</w:t>
            </w:r>
          </w:p>
        </w:tc>
      </w:tr>
    </w:tbl>
    <w:p w14:paraId="3627776F" w14:textId="77777777" w:rsidR="00ED3F18" w:rsidRPr="00E71EAB" w:rsidRDefault="00E71EAB">
      <w:pPr>
        <w:pStyle w:val="Instructionsberschrift2"/>
        <w:ind w:left="357" w:hanging="357"/>
        <w:rPr>
          <w:rFonts w:ascii="Times New Roman" w:hAnsi="Times New Roman" w:cs="Times New Roman"/>
          <w:sz w:val="24"/>
        </w:rPr>
      </w:pPr>
      <w:bookmarkStart w:id="23" w:name="_Toc88124560"/>
      <w:r w:rsidRPr="00E71EAB">
        <w:rPr>
          <w:rFonts w:ascii="Times New Roman" w:hAnsi="Times New Roman"/>
          <w:sz w:val="24"/>
        </w:rPr>
        <w:t>1.4. I 02.04 – KAPITÁLOVÉ POMĚRY (I 2.4)</w:t>
      </w:r>
      <w:bookmarkEnd w:id="23"/>
    </w:p>
    <w:p w14:paraId="231DA2EF" w14:textId="77777777" w:rsidR="00ED3F18" w:rsidRPr="00E71EAB" w:rsidRDefault="00E71EA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4" w:name="_Toc88124561"/>
      <w:r w:rsidRPr="00E71EAB">
        <w:rPr>
          <w:rFonts w:ascii="Times New Roman" w:hAnsi="Times New Roman"/>
          <w:sz w:val="24"/>
          <w:szCs w:val="24"/>
        </w:rPr>
        <w:t>1.4.1.</w:t>
      </w:r>
      <w:r w:rsidRPr="00E71EAB">
        <w:rPr>
          <w:rFonts w:ascii="Times New Roman" w:hAnsi="Times New Roman"/>
          <w:sz w:val="24"/>
          <w:szCs w:val="24"/>
        </w:rPr>
        <w:tab/>
      </w:r>
      <w:r w:rsidRPr="00E71EAB">
        <w:rPr>
          <w:rFonts w:ascii="Times New Roman" w:hAnsi="Times New Roman"/>
          <w:sz w:val="24"/>
          <w:szCs w:val="24"/>
          <w:u w:val="single"/>
        </w:rPr>
        <w:t xml:space="preserve">Pokyny pro konkrétní </w:t>
      </w:r>
      <w:r w:rsidRPr="00E71EAB">
        <w:rPr>
          <w:rFonts w:ascii="Times New Roman" w:hAnsi="Times New Roman"/>
          <w:sz w:val="24"/>
          <w:szCs w:val="24"/>
          <w:u w:val="single"/>
        </w:rPr>
        <w:t>pozice</w:t>
      </w:r>
      <w:bookmarkEnd w:id="2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D3F18" w:rsidRPr="00E71EAB" w14:paraId="31FC08AD" w14:textId="77777777">
        <w:tc>
          <w:tcPr>
            <w:tcW w:w="1129" w:type="dxa"/>
            <w:shd w:val="clear" w:color="auto" w:fill="D9D9D9"/>
          </w:tcPr>
          <w:p w14:paraId="43007AD9"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rPr>
              <w:t>Řádek</w:t>
            </w:r>
          </w:p>
        </w:tc>
        <w:tc>
          <w:tcPr>
            <w:tcW w:w="7620" w:type="dxa"/>
            <w:shd w:val="clear" w:color="auto" w:fill="D9D9D9"/>
          </w:tcPr>
          <w:p w14:paraId="0475B060"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rPr>
              <w:t>Odkazy na právní předpisy a pokyny</w:t>
            </w:r>
          </w:p>
        </w:tc>
      </w:tr>
      <w:tr w:rsidR="00ED3F18" w:rsidRPr="00E71EAB" w14:paraId="27E8E84C" w14:textId="77777777">
        <w:tc>
          <w:tcPr>
            <w:tcW w:w="1129" w:type="dxa"/>
          </w:tcPr>
          <w:p w14:paraId="2CE5985C"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0010</w:t>
            </w:r>
          </w:p>
        </w:tc>
        <w:tc>
          <w:tcPr>
            <w:tcW w:w="7620" w:type="dxa"/>
          </w:tcPr>
          <w:p w14:paraId="7F12CE25"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Poměr kmenového kapitálu tier 1</w:t>
            </w:r>
          </w:p>
          <w:p w14:paraId="0F7B61A6"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9 odst. 1 písm. a) a čl. 11 odst. 1 a 2 nařízení (EU) 2019/2033.</w:t>
            </w:r>
          </w:p>
          <w:p w14:paraId="0B5DC8B1"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Tato položka se vyjádří v procentech.</w:t>
            </w:r>
          </w:p>
        </w:tc>
      </w:tr>
      <w:tr w:rsidR="00ED3F18" w:rsidRPr="00E71EAB" w14:paraId="6CC8BAF7" w14:textId="77777777">
        <w:tc>
          <w:tcPr>
            <w:tcW w:w="1129" w:type="dxa"/>
          </w:tcPr>
          <w:p w14:paraId="2D2475B7"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0020</w:t>
            </w:r>
          </w:p>
        </w:tc>
        <w:tc>
          <w:tcPr>
            <w:tcW w:w="7620" w:type="dxa"/>
          </w:tcPr>
          <w:p w14:paraId="6AC4B99B"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xml:space="preserve">Přebytek (+)/nedostatek (–) kmenového </w:t>
            </w:r>
            <w:r w:rsidRPr="00E71EAB">
              <w:rPr>
                <w:rFonts w:ascii="Times New Roman" w:hAnsi="Times New Roman"/>
                <w:b/>
                <w:bCs/>
                <w:u w:val="single"/>
              </w:rPr>
              <w:t>kapitálu tier 1</w:t>
            </w:r>
          </w:p>
          <w:p w14:paraId="18115E21" w14:textId="77777777" w:rsidR="00ED3F18" w:rsidRPr="00E71EAB" w:rsidRDefault="00E71EAB">
            <w:pPr>
              <w:spacing w:after="120" w:line="240" w:lineRule="auto"/>
              <w:jc w:val="both"/>
              <w:rPr>
                <w:rFonts w:ascii="Times New Roman" w:hAnsi="Times New Roman" w:cs="Times New Roman"/>
              </w:rPr>
            </w:pPr>
            <w:r w:rsidRPr="00E71EAB">
              <w:rPr>
                <w:rFonts w:ascii="Times New Roman" w:hAnsi="Times New Roman"/>
              </w:rPr>
              <w:t>Tato položka uvádí přebytek nebo nedostatek kmenového kapitálu tier 1 v souvislosti s požadavkem uvedeným v čl. 9 odst. 1 nařízení (EU) 2019/2033.</w:t>
            </w:r>
          </w:p>
          <w:p w14:paraId="6D54E456"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rPr>
              <w:t>Přechodná ustanovení čl. 57 odst. 3 a 4 nařízení (EU) 2019/2033 se pro tuto položku nezohledn</w:t>
            </w:r>
            <w:r w:rsidRPr="00E71EAB">
              <w:rPr>
                <w:rFonts w:ascii="Times New Roman" w:hAnsi="Times New Roman"/>
              </w:rPr>
              <w:t>í.</w:t>
            </w:r>
          </w:p>
        </w:tc>
      </w:tr>
      <w:tr w:rsidR="00ED3F18" w:rsidRPr="00E71EAB" w14:paraId="64FC32FA" w14:textId="77777777">
        <w:tc>
          <w:tcPr>
            <w:tcW w:w="1129" w:type="dxa"/>
          </w:tcPr>
          <w:p w14:paraId="6BB97C28"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0030</w:t>
            </w:r>
          </w:p>
        </w:tc>
        <w:tc>
          <w:tcPr>
            <w:tcW w:w="7620" w:type="dxa"/>
          </w:tcPr>
          <w:p w14:paraId="45DCF00F"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Poměr kapitálu tier 1</w:t>
            </w:r>
          </w:p>
          <w:p w14:paraId="47F24E15"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9 odst. 1 písm. b) a čl. 11 odst. 1 a 2 nařízení (EU) 2019/2033.</w:t>
            </w:r>
          </w:p>
          <w:p w14:paraId="35AA6547"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Tato položka se vyjádří v procentech.</w:t>
            </w:r>
          </w:p>
        </w:tc>
      </w:tr>
      <w:tr w:rsidR="00ED3F18" w:rsidRPr="00E71EAB" w14:paraId="4859418E" w14:textId="77777777">
        <w:tc>
          <w:tcPr>
            <w:tcW w:w="1129" w:type="dxa"/>
          </w:tcPr>
          <w:p w14:paraId="3A3C8706"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0040</w:t>
            </w:r>
          </w:p>
        </w:tc>
        <w:tc>
          <w:tcPr>
            <w:tcW w:w="7620" w:type="dxa"/>
          </w:tcPr>
          <w:p w14:paraId="3F14C1BA"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Přebytek (+)/nedostatek (–) kapitálu tier 1</w:t>
            </w:r>
          </w:p>
          <w:p w14:paraId="1A58E087" w14:textId="77777777" w:rsidR="00ED3F18" w:rsidRPr="00E71EAB" w:rsidRDefault="00E71EAB">
            <w:pPr>
              <w:spacing w:after="120" w:line="240" w:lineRule="auto"/>
              <w:jc w:val="both"/>
              <w:rPr>
                <w:rFonts w:ascii="Times New Roman" w:hAnsi="Times New Roman" w:cs="Times New Roman"/>
              </w:rPr>
            </w:pPr>
            <w:r w:rsidRPr="00E71EAB">
              <w:rPr>
                <w:rFonts w:ascii="Times New Roman" w:hAnsi="Times New Roman"/>
              </w:rPr>
              <w:t xml:space="preserve">Tato položka uvádí přebytek nebo nedostatek </w:t>
            </w:r>
            <w:r w:rsidRPr="00E71EAB">
              <w:rPr>
                <w:rFonts w:ascii="Times New Roman" w:hAnsi="Times New Roman"/>
              </w:rPr>
              <w:t>kapitálu tier 1 v souvislosti s požadavkem uvedeným v čl. 9 odst. 1 nařízení (EU) 2019/2033.</w:t>
            </w:r>
          </w:p>
          <w:p w14:paraId="5EAA5A5B"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rPr>
              <w:t>Přechodná ustanovení čl. 57 odst. 3 a 4 nařízení (EU) 2019/2033 se pro tuto položku nezohlední.</w:t>
            </w:r>
          </w:p>
        </w:tc>
      </w:tr>
      <w:tr w:rsidR="00ED3F18" w:rsidRPr="00E71EAB" w14:paraId="08285BA4" w14:textId="77777777">
        <w:tc>
          <w:tcPr>
            <w:tcW w:w="1129" w:type="dxa"/>
          </w:tcPr>
          <w:p w14:paraId="2334BF07"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0050</w:t>
            </w:r>
          </w:p>
        </w:tc>
        <w:tc>
          <w:tcPr>
            <w:tcW w:w="7620" w:type="dxa"/>
          </w:tcPr>
          <w:p w14:paraId="39912C3C"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Poměr kapitálu</w:t>
            </w:r>
          </w:p>
          <w:p w14:paraId="115AD896"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9 odst. 1 písm. c) a čl. 11 ods</w:t>
            </w:r>
            <w:r w:rsidRPr="00E71EAB">
              <w:rPr>
                <w:rFonts w:ascii="Times New Roman" w:hAnsi="Times New Roman"/>
                <w:bCs/>
              </w:rPr>
              <w:t>t. 1 a 2 nařízení (EU) 2019/2033.</w:t>
            </w:r>
          </w:p>
          <w:p w14:paraId="65339D59"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Tato položka se vyjádří v procentech.</w:t>
            </w:r>
          </w:p>
        </w:tc>
      </w:tr>
      <w:tr w:rsidR="00ED3F18" w:rsidRPr="00E71EAB" w14:paraId="143D6BB4" w14:textId="77777777">
        <w:tc>
          <w:tcPr>
            <w:tcW w:w="1129" w:type="dxa"/>
          </w:tcPr>
          <w:p w14:paraId="0F50632B"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0060</w:t>
            </w:r>
          </w:p>
        </w:tc>
        <w:tc>
          <w:tcPr>
            <w:tcW w:w="7620" w:type="dxa"/>
          </w:tcPr>
          <w:p w14:paraId="19F93221"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Přebytek (+)/nedostatek (–) celkového kapitálu</w:t>
            </w:r>
          </w:p>
          <w:p w14:paraId="0804D6BC" w14:textId="77777777" w:rsidR="00ED3F18" w:rsidRPr="00E71EAB" w:rsidRDefault="00E71EAB">
            <w:pPr>
              <w:spacing w:after="120" w:line="240" w:lineRule="auto"/>
              <w:jc w:val="both"/>
              <w:rPr>
                <w:rFonts w:ascii="Times New Roman" w:hAnsi="Times New Roman" w:cs="Times New Roman"/>
              </w:rPr>
            </w:pPr>
            <w:r w:rsidRPr="00E71EAB">
              <w:rPr>
                <w:rFonts w:ascii="Times New Roman" w:hAnsi="Times New Roman"/>
              </w:rPr>
              <w:t>Tato položka uvádí přebytek nebo nedostatek kapitálu v souvislosti s požadavkem uvedeným v čl. 9 odst. 1 nařízení (EU) 2019/2033.</w:t>
            </w:r>
          </w:p>
          <w:p w14:paraId="3CAEAD5C"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rPr>
              <w:t>P</w:t>
            </w:r>
            <w:r w:rsidRPr="00E71EAB">
              <w:rPr>
                <w:rFonts w:ascii="Times New Roman" w:hAnsi="Times New Roman"/>
              </w:rPr>
              <w:t>řechodná ustanovení čl. 57 odst. 3 a 4 nařízení (EU) 2019/2033 se pro tuto položku nezohlední.</w:t>
            </w:r>
          </w:p>
        </w:tc>
      </w:tr>
    </w:tbl>
    <w:p w14:paraId="1359A499" w14:textId="77777777" w:rsidR="00ED3F18" w:rsidRPr="00E71EAB" w:rsidRDefault="00ED3F18">
      <w:pPr>
        <w:pStyle w:val="Instructionsberschrift2"/>
        <w:ind w:left="357" w:hanging="357"/>
        <w:rPr>
          <w:rFonts w:ascii="Times New Roman" w:hAnsi="Times New Roman" w:cs="Times New Roman"/>
          <w:sz w:val="24"/>
        </w:rPr>
      </w:pPr>
    </w:p>
    <w:p w14:paraId="710C2AA4" w14:textId="77777777" w:rsidR="00ED3F18" w:rsidRPr="00E71EAB" w:rsidRDefault="00E71EAB">
      <w:pPr>
        <w:pStyle w:val="Instructionsberschrift2"/>
        <w:ind w:left="357" w:hanging="357"/>
        <w:rPr>
          <w:rFonts w:ascii="Times New Roman" w:hAnsi="Times New Roman" w:cs="Times New Roman"/>
          <w:sz w:val="24"/>
        </w:rPr>
      </w:pPr>
      <w:bookmarkStart w:id="25" w:name="_Toc88124562"/>
      <w:r w:rsidRPr="00E71EAB">
        <w:rPr>
          <w:rFonts w:ascii="Times New Roman" w:hAnsi="Times New Roman"/>
          <w:sz w:val="24"/>
        </w:rPr>
        <w:t>1.5. I 03.01 – VÝPOČET POŽADAVKU DLE FIXNÍCH REŽIJNÍCH NÁKLADŮ (I 3.1)</w:t>
      </w:r>
      <w:bookmarkEnd w:id="2"/>
      <w:bookmarkEnd w:id="3"/>
      <w:bookmarkEnd w:id="25"/>
      <w:bookmarkEnd w:id="4"/>
      <w:bookmarkEnd w:id="5"/>
    </w:p>
    <w:p w14:paraId="7ACCC418" w14:textId="77777777" w:rsidR="00ED3F18" w:rsidRPr="00E71EAB" w:rsidRDefault="00E71EAB">
      <w:pPr>
        <w:keepNext/>
        <w:spacing w:before="240" w:after="240" w:line="240" w:lineRule="auto"/>
        <w:ind w:left="357" w:hanging="357"/>
        <w:jc w:val="both"/>
        <w:outlineLvl w:val="1"/>
        <w:rPr>
          <w:rFonts w:ascii="Times New Roman" w:eastAsia="Times New Roman" w:hAnsi="Times New Roman" w:cs="Times New Roman"/>
          <w:sz w:val="24"/>
          <w:szCs w:val="24"/>
        </w:rPr>
      </w:pPr>
      <w:bookmarkStart w:id="26" w:name="_Toc308175821"/>
      <w:bookmarkStart w:id="27" w:name="_Toc310414968"/>
      <w:bookmarkStart w:id="28" w:name="_Toc360188326"/>
      <w:bookmarkStart w:id="29" w:name="_Toc473560874"/>
      <w:bookmarkStart w:id="30" w:name="_Toc7084159"/>
      <w:bookmarkStart w:id="31" w:name="_Toc88124563"/>
      <w:r w:rsidRPr="00E71EAB">
        <w:rPr>
          <w:rFonts w:ascii="Times New Roman" w:hAnsi="Times New Roman"/>
          <w:sz w:val="24"/>
          <w:szCs w:val="24"/>
        </w:rPr>
        <w:t>1.5.1.</w:t>
      </w:r>
      <w:r w:rsidRPr="00E71EAB">
        <w:rPr>
          <w:rFonts w:ascii="Times New Roman" w:hAnsi="Times New Roman"/>
          <w:sz w:val="24"/>
          <w:szCs w:val="24"/>
        </w:rPr>
        <w:tab/>
      </w:r>
      <w:r w:rsidRPr="00E71EAB">
        <w:rPr>
          <w:rFonts w:ascii="Times New Roman" w:hAnsi="Times New Roman"/>
          <w:sz w:val="24"/>
          <w:szCs w:val="24"/>
          <w:u w:val="single"/>
        </w:rPr>
        <w:t xml:space="preserve">Pokyny pro konkrétní </w:t>
      </w:r>
      <w:bookmarkEnd w:id="26"/>
      <w:bookmarkEnd w:id="27"/>
      <w:r w:rsidRPr="00E71EAB">
        <w:rPr>
          <w:rFonts w:ascii="Times New Roman" w:hAnsi="Times New Roman"/>
          <w:sz w:val="24"/>
          <w:szCs w:val="24"/>
          <w:u w:val="single"/>
        </w:rPr>
        <w:t>pozice</w:t>
      </w:r>
      <w:bookmarkEnd w:id="28"/>
      <w:bookmarkEnd w:id="29"/>
      <w:bookmarkEnd w:id="30"/>
      <w:bookmarkEnd w:id="3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D3F18" w:rsidRPr="00E71EAB" w14:paraId="3AF9026A" w14:textId="77777777">
        <w:tc>
          <w:tcPr>
            <w:tcW w:w="1129" w:type="dxa"/>
            <w:shd w:val="clear" w:color="auto" w:fill="D9D9D9"/>
          </w:tcPr>
          <w:p w14:paraId="1C8BC9ED"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color w:val="000000" w:themeColor="text1"/>
              </w:rPr>
              <w:t>Řádek</w:t>
            </w:r>
          </w:p>
        </w:tc>
        <w:tc>
          <w:tcPr>
            <w:tcW w:w="7620" w:type="dxa"/>
            <w:shd w:val="clear" w:color="auto" w:fill="D9D9D9"/>
          </w:tcPr>
          <w:p w14:paraId="39CE50A8"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color w:val="000000" w:themeColor="text1"/>
              </w:rPr>
              <w:t>Odkazy na právní předpisy a pokyny</w:t>
            </w:r>
          </w:p>
        </w:tc>
      </w:tr>
      <w:tr w:rsidR="00ED3F18" w:rsidRPr="00E71EAB" w14:paraId="293676B1" w14:textId="77777777">
        <w:tc>
          <w:tcPr>
            <w:tcW w:w="1129" w:type="dxa"/>
          </w:tcPr>
          <w:p w14:paraId="7DDE7DFC"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0010</w:t>
            </w:r>
          </w:p>
        </w:tc>
        <w:tc>
          <w:tcPr>
            <w:tcW w:w="7620" w:type="dxa"/>
          </w:tcPr>
          <w:p w14:paraId="5B9438D0"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Požadavek dle fixních režijních nákladů</w:t>
            </w:r>
          </w:p>
          <w:p w14:paraId="60545E99"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rPr>
              <w:t>Ustanovení čl. 13 odst. 1 nařízení (EU) 2019/2033.</w:t>
            </w:r>
          </w:p>
          <w:p w14:paraId="1FBE0806" w14:textId="77777777" w:rsidR="00ED3F18" w:rsidRPr="00E71EAB" w:rsidRDefault="00E71EAB">
            <w:pPr>
              <w:spacing w:after="120" w:line="240" w:lineRule="auto"/>
              <w:jc w:val="both"/>
              <w:rPr>
                <w:rFonts w:ascii="Times New Roman" w:hAnsi="Times New Roman" w:cs="Times New Roman"/>
              </w:rPr>
            </w:pPr>
            <w:r w:rsidRPr="00E71EAB">
              <w:rPr>
                <w:rFonts w:ascii="Times New Roman" w:hAnsi="Times New Roman"/>
              </w:rPr>
              <w:t>Vykázaná částka musí činit alespoň 25 % ročních fixních režijních nákladů předchozího roku (řádek 0020).</w:t>
            </w:r>
          </w:p>
          <w:p w14:paraId="58468BFF" w14:textId="77777777" w:rsidR="00ED3F18" w:rsidRPr="00E71EAB" w:rsidRDefault="00E71EAB">
            <w:pPr>
              <w:spacing w:after="120" w:line="240" w:lineRule="auto"/>
              <w:jc w:val="both"/>
              <w:rPr>
                <w:rFonts w:ascii="Times New Roman" w:hAnsi="Times New Roman" w:cs="Times New Roman"/>
              </w:rPr>
            </w:pPr>
            <w:r w:rsidRPr="00E71EAB">
              <w:rPr>
                <w:rFonts w:ascii="Times New Roman" w:hAnsi="Times New Roman"/>
              </w:rPr>
              <w:t xml:space="preserve">Pokud dojde k podstatné změně podle čl. 13 odst. 2 nařízení </w:t>
            </w:r>
            <w:r w:rsidRPr="00E71EAB">
              <w:rPr>
                <w:rFonts w:ascii="Times New Roman" w:hAnsi="Times New Roman"/>
              </w:rPr>
              <w:t>(EU) 2019/2033, je vykázanou částkou požadavek dle fixních režijních nákladů uložený příslušným orgánem v souladu s uvedeným článkem.</w:t>
            </w:r>
          </w:p>
          <w:p w14:paraId="257589DC" w14:textId="77777777" w:rsidR="00ED3F18" w:rsidRPr="00E71EAB" w:rsidRDefault="00E71EAB">
            <w:pPr>
              <w:spacing w:after="120" w:line="240" w:lineRule="auto"/>
              <w:jc w:val="both"/>
              <w:rPr>
                <w:rFonts w:ascii="Times New Roman" w:hAnsi="Times New Roman" w:cs="Times New Roman"/>
              </w:rPr>
            </w:pPr>
            <w:r w:rsidRPr="00E71EAB">
              <w:rPr>
                <w:rFonts w:ascii="Times New Roman" w:hAnsi="Times New Roman"/>
              </w:rPr>
              <w:t>V</w:t>
            </w:r>
            <w:r w:rsidRPr="00E71EAB">
              <w:rPr>
                <w:rFonts w:ascii="Times New Roman" w:hAnsi="Times New Roman" w:cs="Times New Roman"/>
              </w:rPr>
              <w:t> </w:t>
            </w:r>
            <w:r w:rsidRPr="00E71EAB">
              <w:rPr>
                <w:rFonts w:ascii="Times New Roman" w:hAnsi="Times New Roman"/>
              </w:rPr>
              <w:t xml:space="preserve">případech uvedených v čl. 13 odst. 3 nařízení (EU) 2019/2033 jsou vykázanou částkou předpokládané fixní režijní náklady </w:t>
            </w:r>
            <w:r w:rsidRPr="00E71EAB">
              <w:rPr>
                <w:rFonts w:ascii="Times New Roman" w:hAnsi="Times New Roman"/>
              </w:rPr>
              <w:t>běžného roku (řádek 0200).</w:t>
            </w:r>
          </w:p>
        </w:tc>
      </w:tr>
      <w:tr w:rsidR="00ED3F18" w:rsidRPr="00E71EAB" w14:paraId="0C2EDF94" w14:textId="77777777">
        <w:tc>
          <w:tcPr>
            <w:tcW w:w="1129" w:type="dxa"/>
          </w:tcPr>
          <w:p w14:paraId="29743FDD"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0020</w:t>
            </w:r>
          </w:p>
        </w:tc>
        <w:tc>
          <w:tcPr>
            <w:tcW w:w="7620" w:type="dxa"/>
          </w:tcPr>
          <w:p w14:paraId="6BC2D9C6"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Roční fixní režijní náklady předchozího roku po rozdělení zisku</w:t>
            </w:r>
          </w:p>
          <w:p w14:paraId="2D296EA0"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Ustanovení čl. 13 odst. 1 nařízení (EU) 2019/2033.</w:t>
            </w:r>
          </w:p>
          <w:p w14:paraId="2985C6F8" w14:textId="77777777" w:rsidR="00ED3F18" w:rsidRPr="00E71EAB" w:rsidRDefault="00E71EAB">
            <w:pPr>
              <w:pStyle w:val="CommentText"/>
              <w:rPr>
                <w:rFonts w:ascii="Times New Roman" w:hAnsi="Times New Roman" w:cs="Times New Roman"/>
                <w:sz w:val="22"/>
                <w:szCs w:val="22"/>
              </w:rPr>
            </w:pPr>
            <w:r w:rsidRPr="00E71EAB">
              <w:rPr>
                <w:rFonts w:ascii="Times New Roman" w:hAnsi="Times New Roman"/>
                <w:bCs/>
                <w:color w:val="000000" w:themeColor="text1"/>
                <w:sz w:val="22"/>
                <w:szCs w:val="22"/>
              </w:rPr>
              <w:t xml:space="preserve">Investiční podniky vykáží fixní režijní náklady předchozího roku po rozdělení zisku. </w:t>
            </w:r>
          </w:p>
        </w:tc>
      </w:tr>
      <w:tr w:rsidR="00ED3F18" w:rsidRPr="00E71EAB" w14:paraId="74116B2F" w14:textId="77777777">
        <w:tc>
          <w:tcPr>
            <w:tcW w:w="1129" w:type="dxa"/>
          </w:tcPr>
          <w:p w14:paraId="7D43EF2D"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0030</w:t>
            </w:r>
          </w:p>
        </w:tc>
        <w:tc>
          <w:tcPr>
            <w:tcW w:w="7620" w:type="dxa"/>
          </w:tcPr>
          <w:p w14:paraId="323B9D51"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Celkové náklady předchozího roku po rozdělení zisku</w:t>
            </w:r>
          </w:p>
          <w:p w14:paraId="340EEB97" w14:textId="77777777" w:rsidR="00ED3F18" w:rsidRPr="00E71EAB" w:rsidRDefault="00E71EAB">
            <w:pPr>
              <w:spacing w:after="120" w:line="240" w:lineRule="auto"/>
              <w:jc w:val="both"/>
              <w:rPr>
                <w:rFonts w:ascii="Times New Roman" w:eastAsia="Times New Roman" w:hAnsi="Times New Roman" w:cs="Times New Roman"/>
                <w:bCs/>
                <w:i/>
                <w:color w:val="000000" w:themeColor="text1"/>
              </w:rPr>
            </w:pPr>
            <w:r w:rsidRPr="00E71EAB">
              <w:rPr>
                <w:rFonts w:ascii="Times New Roman" w:hAnsi="Times New Roman"/>
                <w:bCs/>
              </w:rPr>
              <w:t>Ustanovení čl. 13 odst. 1 nařízení (EU) 2019/2033.</w:t>
            </w:r>
          </w:p>
          <w:p w14:paraId="3B70DE6A"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Vykáže se částka po rozdělení zisku.</w:t>
            </w:r>
          </w:p>
        </w:tc>
      </w:tr>
      <w:tr w:rsidR="00ED3F18" w:rsidRPr="00E71EAB" w14:paraId="3EDAADE6" w14:textId="77777777">
        <w:tc>
          <w:tcPr>
            <w:tcW w:w="1129" w:type="dxa"/>
          </w:tcPr>
          <w:p w14:paraId="5B49F2BE"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0040</w:t>
            </w:r>
          </w:p>
        </w:tc>
        <w:tc>
          <w:tcPr>
            <w:tcW w:w="7620" w:type="dxa"/>
          </w:tcPr>
          <w:p w14:paraId="3EF248DA"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 xml:space="preserve">Z toho: fixní </w:t>
            </w:r>
            <w:r w:rsidRPr="00E71EAB">
              <w:rPr>
                <w:rFonts w:ascii="Times New Roman" w:hAnsi="Times New Roman"/>
                <w:b/>
                <w:bCs/>
                <w:color w:val="000000" w:themeColor="text1"/>
                <w:u w:val="single"/>
              </w:rPr>
              <w:t>náklady vynaložené jménem investičních podniků třetími stranami</w:t>
            </w:r>
          </w:p>
          <w:p w14:paraId="6FE1A743"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Cs/>
                <w:i/>
              </w:rPr>
              <w:t>Článek 13</w:t>
            </w:r>
            <w:r w:rsidRPr="00E71EAB">
              <w:rPr>
                <w:rFonts w:ascii="Times New Roman" w:hAnsi="Times New Roman"/>
                <w:bCs/>
              </w:rPr>
              <w:t xml:space="preserve"> nařízení (EU) 2019/2033.</w:t>
            </w:r>
          </w:p>
        </w:tc>
      </w:tr>
      <w:tr w:rsidR="00ED3F18" w:rsidRPr="00E71EAB" w14:paraId="68C92415" w14:textId="77777777">
        <w:tc>
          <w:tcPr>
            <w:tcW w:w="1129" w:type="dxa"/>
          </w:tcPr>
          <w:p w14:paraId="664E346F"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0050</w:t>
            </w:r>
          </w:p>
        </w:tc>
        <w:tc>
          <w:tcPr>
            <w:tcW w:w="7620" w:type="dxa"/>
          </w:tcPr>
          <w:p w14:paraId="613E6508"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 Celkové odpočty</w:t>
            </w:r>
          </w:p>
          <w:p w14:paraId="31B6D486" w14:textId="77777777" w:rsidR="00ED3F18" w:rsidRPr="00E71EAB" w:rsidRDefault="00E71EAB">
            <w:pPr>
              <w:pStyle w:val="NumPar1"/>
              <w:numPr>
                <w:ilvl w:val="0"/>
                <w:numId w:val="0"/>
              </w:numPr>
              <w:rPr>
                <w:sz w:val="22"/>
              </w:rPr>
            </w:pPr>
            <w:r w:rsidRPr="00E71EAB">
              <w:rPr>
                <w:sz w:val="22"/>
              </w:rPr>
              <w:t xml:space="preserve">Vedle položek k odpočtu uvedených v čl. 13 odst. 4 nařízení (EU) 2019/2033 se od celkových nákladů odečítají také </w:t>
            </w:r>
            <w:r w:rsidRPr="00E71EAB">
              <w:rPr>
                <w:sz w:val="22"/>
              </w:rPr>
              <w:t>následující položky, pokud jsou v souladu s příslušným účetním rámcem zahrnuty do celkových nákladů:</w:t>
            </w:r>
          </w:p>
          <w:p w14:paraId="4E03F2BE" w14:textId="77777777" w:rsidR="00ED3F18" w:rsidRPr="00E71EAB" w:rsidRDefault="00E71EAB">
            <w:pPr>
              <w:pStyle w:val="Point1letter"/>
              <w:numPr>
                <w:ilvl w:val="0"/>
                <w:numId w:val="0"/>
              </w:numPr>
              <w:tabs>
                <w:tab w:val="left" w:pos="910"/>
              </w:tabs>
              <w:ind w:left="484" w:hanging="567"/>
            </w:pPr>
            <w:r w:rsidRPr="00E71EAB">
              <w:t>a)</w:t>
            </w:r>
            <w:r w:rsidRPr="00E71EAB">
              <w:tab/>
              <w:t>poplatky, provize makléřům a jiné platby hrazené ústředním protistranám, burzám a jiným obchodním místům a zprostředkujícím makléřům za účelem provádění</w:t>
            </w:r>
            <w:r w:rsidRPr="00E71EAB">
              <w:t xml:space="preserve">, registrace nebo zúčtování transakcí, a to pouze v případě, že jsou přímo přeneseny na zákazníky a zákazníkům účtovány. Tyto položky nezahrnují poplatky a jiné zúčtovatelné částky nezbytné k zachování členství nebo plnění finančních závazků týkajících se </w:t>
            </w:r>
            <w:r w:rsidRPr="00E71EAB">
              <w:t>sdílení ztrát vůči ústředním protistranám, burzám a jiným obchodním místům;</w:t>
            </w:r>
          </w:p>
          <w:p w14:paraId="0884499B" w14:textId="77777777" w:rsidR="00ED3F18" w:rsidRPr="00E71EAB" w:rsidRDefault="00E71EAB">
            <w:pPr>
              <w:pStyle w:val="Point1letter"/>
              <w:numPr>
                <w:ilvl w:val="0"/>
                <w:numId w:val="0"/>
              </w:numPr>
              <w:tabs>
                <w:tab w:val="left" w:pos="850"/>
              </w:tabs>
              <w:ind w:left="492" w:hanging="567"/>
              <w:rPr>
                <w:sz w:val="22"/>
              </w:rPr>
            </w:pPr>
            <w:r w:rsidRPr="00E71EAB">
              <w:rPr>
                <w:sz w:val="22"/>
              </w:rPr>
              <w:t>b)</w:t>
            </w:r>
            <w:r w:rsidRPr="00E71EAB">
              <w:rPr>
                <w:sz w:val="22"/>
              </w:rPr>
              <w:tab/>
              <w:t>úroky placené zákazníkům z peněz zákazníků, pokud není stanovena žádná povinnost jakéhokoli druhu tyto úroky platit;</w:t>
            </w:r>
          </w:p>
          <w:p w14:paraId="560865F8" w14:textId="77777777" w:rsidR="00ED3F18" w:rsidRPr="00E71EAB" w:rsidRDefault="00E71EAB">
            <w:pPr>
              <w:pStyle w:val="Point1letter"/>
              <w:numPr>
                <w:ilvl w:val="0"/>
                <w:numId w:val="0"/>
              </w:numPr>
              <w:tabs>
                <w:tab w:val="left" w:pos="850"/>
              </w:tabs>
              <w:ind w:left="492" w:hanging="567"/>
              <w:rPr>
                <w:sz w:val="22"/>
              </w:rPr>
            </w:pPr>
            <w:r w:rsidRPr="00E71EAB">
              <w:rPr>
                <w:sz w:val="22"/>
              </w:rPr>
              <w:t>c)</w:t>
            </w:r>
            <w:r w:rsidRPr="00E71EAB">
              <w:rPr>
                <w:sz w:val="22"/>
              </w:rPr>
              <w:tab/>
              <w:t>daňové výdaje, pokud jsou splatné ve vztahu k ročnímu zis</w:t>
            </w:r>
            <w:r w:rsidRPr="00E71EAB">
              <w:rPr>
                <w:sz w:val="22"/>
              </w:rPr>
              <w:t>ku investičního podniku;</w:t>
            </w:r>
          </w:p>
          <w:p w14:paraId="1B3CD0CF" w14:textId="77777777" w:rsidR="00ED3F18" w:rsidRPr="00E71EAB" w:rsidRDefault="00E71EAB">
            <w:pPr>
              <w:pStyle w:val="Point1letter"/>
              <w:numPr>
                <w:ilvl w:val="0"/>
                <w:numId w:val="0"/>
              </w:numPr>
              <w:tabs>
                <w:tab w:val="left" w:pos="850"/>
              </w:tabs>
              <w:ind w:left="492" w:hanging="567"/>
              <w:rPr>
                <w:sz w:val="22"/>
              </w:rPr>
            </w:pPr>
            <w:r w:rsidRPr="00E71EAB">
              <w:rPr>
                <w:sz w:val="22"/>
              </w:rPr>
              <w:t>d)</w:t>
            </w:r>
            <w:r w:rsidRPr="00E71EAB">
              <w:rPr>
                <w:sz w:val="22"/>
              </w:rPr>
              <w:tab/>
              <w:t>ztráty z obchodování s finančními nástroji na vlastní účet;</w:t>
            </w:r>
          </w:p>
          <w:p w14:paraId="07235664" w14:textId="77777777" w:rsidR="00ED3F18" w:rsidRPr="00E71EAB" w:rsidRDefault="00E71EAB">
            <w:pPr>
              <w:pStyle w:val="Point1letter"/>
              <w:numPr>
                <w:ilvl w:val="0"/>
                <w:numId w:val="0"/>
              </w:numPr>
              <w:tabs>
                <w:tab w:val="left" w:pos="850"/>
              </w:tabs>
              <w:ind w:left="492" w:hanging="567"/>
              <w:rPr>
                <w:sz w:val="22"/>
              </w:rPr>
            </w:pPr>
            <w:r w:rsidRPr="00E71EAB">
              <w:rPr>
                <w:sz w:val="22"/>
              </w:rPr>
              <w:lastRenderedPageBreak/>
              <w:t>e)</w:t>
            </w:r>
            <w:r w:rsidRPr="00E71EAB">
              <w:rPr>
                <w:sz w:val="22"/>
              </w:rPr>
              <w:tab/>
              <w:t>platby související s dohodami o převodu zisku a ztrát, podle nichž se investiční podnik zavazuje po vypracování roční účetní závěrky převést svůj roční výsledek mate</w:t>
            </w:r>
            <w:r w:rsidRPr="00E71EAB">
              <w:rPr>
                <w:sz w:val="22"/>
              </w:rPr>
              <w:t>řskému podniku;</w:t>
            </w:r>
          </w:p>
          <w:p w14:paraId="71B5EEDA" w14:textId="77777777" w:rsidR="00ED3F18" w:rsidRPr="00E71EAB" w:rsidRDefault="00E71EAB">
            <w:pPr>
              <w:pStyle w:val="Point1letter"/>
              <w:numPr>
                <w:ilvl w:val="0"/>
                <w:numId w:val="0"/>
              </w:numPr>
              <w:tabs>
                <w:tab w:val="left" w:pos="850"/>
              </w:tabs>
              <w:ind w:left="492" w:hanging="567"/>
              <w:rPr>
                <w:color w:val="000000" w:themeColor="text1"/>
                <w:sz w:val="22"/>
              </w:rPr>
            </w:pPr>
            <w:r w:rsidRPr="00E71EAB">
              <w:rPr>
                <w:color w:val="000000" w:themeColor="text1"/>
                <w:sz w:val="22"/>
              </w:rPr>
              <w:t>f)</w:t>
            </w:r>
            <w:r w:rsidRPr="00E71EAB">
              <w:rPr>
                <w:color w:val="000000" w:themeColor="text1"/>
                <w:sz w:val="22"/>
              </w:rPr>
              <w:tab/>
            </w:r>
            <w:r w:rsidRPr="00E71EAB">
              <w:rPr>
                <w:bCs/>
                <w:color w:val="000000" w:themeColor="text1"/>
                <w:sz w:val="22"/>
              </w:rPr>
              <w:t>platby do rezervního fondu na všeobecná bankovní rizika v souladu s čl. 26 odst. 1 písm. f) nařízení (EU) č. 575/2013;</w:t>
            </w:r>
          </w:p>
          <w:p w14:paraId="6B9907B2" w14:textId="77777777" w:rsidR="00ED3F18" w:rsidRPr="00E71EAB" w:rsidRDefault="00E71EAB">
            <w:pPr>
              <w:pStyle w:val="Point1letter"/>
              <w:numPr>
                <w:ilvl w:val="0"/>
                <w:numId w:val="0"/>
              </w:numPr>
              <w:tabs>
                <w:tab w:val="left" w:pos="850"/>
              </w:tabs>
              <w:ind w:left="492" w:hanging="567"/>
              <w:rPr>
                <w:rFonts w:eastAsia="Times New Roman"/>
                <w:bCs/>
                <w:color w:val="000000" w:themeColor="text1"/>
                <w:sz w:val="22"/>
              </w:rPr>
            </w:pPr>
            <w:r w:rsidRPr="00E71EAB">
              <w:rPr>
                <w:rFonts w:eastAsia="Times New Roman"/>
                <w:bCs/>
                <w:color w:val="000000" w:themeColor="text1"/>
                <w:sz w:val="22"/>
              </w:rPr>
              <w:t>g)</w:t>
            </w:r>
            <w:r w:rsidRPr="00E71EAB">
              <w:rPr>
                <w:rFonts w:eastAsia="Times New Roman"/>
                <w:bCs/>
                <w:color w:val="000000" w:themeColor="text1"/>
                <w:sz w:val="22"/>
              </w:rPr>
              <w:tab/>
            </w:r>
            <w:r w:rsidRPr="00E71EAB">
              <w:rPr>
                <w:sz w:val="22"/>
              </w:rPr>
              <w:t>náklady související s položkami, které již byly odečteny od kapitálu v souladu s čl. 36 odst. 1 nařízení (EU) č. 57</w:t>
            </w:r>
            <w:r w:rsidRPr="00E71EAB">
              <w:rPr>
                <w:sz w:val="22"/>
              </w:rPr>
              <w:t>5/2013.</w:t>
            </w:r>
            <w:r w:rsidRPr="00E71EAB">
              <w:rPr>
                <w:bCs/>
                <w:color w:val="000000" w:themeColor="text1"/>
                <w:sz w:val="22"/>
              </w:rPr>
              <w:t xml:space="preserve"> </w:t>
            </w:r>
          </w:p>
        </w:tc>
      </w:tr>
      <w:tr w:rsidR="00ED3F18" w:rsidRPr="00E71EAB" w14:paraId="1DE60147" w14:textId="77777777">
        <w:tc>
          <w:tcPr>
            <w:tcW w:w="1129" w:type="dxa"/>
          </w:tcPr>
          <w:p w14:paraId="077A338A"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lastRenderedPageBreak/>
              <w:t>0060</w:t>
            </w:r>
          </w:p>
        </w:tc>
        <w:tc>
          <w:tcPr>
            <w:tcW w:w="7620" w:type="dxa"/>
          </w:tcPr>
          <w:p w14:paraId="7617FCE9"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 Bonusy pracovníků a jiné odměny</w:t>
            </w:r>
          </w:p>
          <w:p w14:paraId="114E774D"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Ustanovení čl. 13 odst. 4 písm. a) nařízení (EU) 2019/2033.</w:t>
            </w:r>
          </w:p>
          <w:p w14:paraId="0A4373CE" w14:textId="77777777" w:rsidR="00ED3F18" w:rsidRPr="00E71EAB" w:rsidRDefault="00E71EAB">
            <w:pPr>
              <w:pStyle w:val="NumPar1"/>
              <w:numPr>
                <w:ilvl w:val="0"/>
                <w:numId w:val="0"/>
              </w:numPr>
              <w:rPr>
                <w:sz w:val="22"/>
              </w:rPr>
            </w:pPr>
            <w:r w:rsidRPr="00E71EAB">
              <w:rPr>
                <w:sz w:val="22"/>
              </w:rPr>
              <w:t xml:space="preserve">Má se za to, že bonusy pracovníků a jiné odměny závisí na čistém zisku investičního podniku v příslušném roce, pokud jsou splněny obě tyto </w:t>
            </w:r>
            <w:r w:rsidRPr="00E71EAB">
              <w:rPr>
                <w:sz w:val="22"/>
              </w:rPr>
              <w:t>podmínky:</w:t>
            </w:r>
          </w:p>
          <w:p w14:paraId="58BE6D77" w14:textId="77777777" w:rsidR="00ED3F18" w:rsidRPr="00E71EAB" w:rsidRDefault="00E71EAB">
            <w:pPr>
              <w:pStyle w:val="Point1letter"/>
              <w:numPr>
                <w:ilvl w:val="0"/>
                <w:numId w:val="0"/>
              </w:numPr>
              <w:ind w:left="634" w:hanging="567"/>
              <w:rPr>
                <w:sz w:val="22"/>
              </w:rPr>
            </w:pPr>
            <w:r w:rsidRPr="00E71EAB">
              <w:rPr>
                <w:sz w:val="22"/>
              </w:rPr>
              <w:t>h)</w:t>
            </w:r>
            <w:r w:rsidRPr="00E71EAB">
              <w:rPr>
                <w:sz w:val="22"/>
              </w:rPr>
              <w:tab/>
              <w:t>bonusy pracovníků a jiné odměny, které mají být odečteny, již byly zaměstnancům vyplaceny v roce předcházejícím roku výplaty, nebo výplata bonusů pracovníků a jiných odměn zaměstnancům nebude mít žádný dopad na stav kapitálu podniku v roce výp</w:t>
            </w:r>
            <w:r w:rsidRPr="00E71EAB">
              <w:rPr>
                <w:sz w:val="22"/>
              </w:rPr>
              <w:t>laty;</w:t>
            </w:r>
          </w:p>
          <w:p w14:paraId="1C7A60F3" w14:textId="77777777" w:rsidR="00ED3F18" w:rsidRPr="00E71EAB" w:rsidRDefault="00E71EAB">
            <w:pPr>
              <w:pStyle w:val="Point1letter"/>
              <w:numPr>
                <w:ilvl w:val="0"/>
                <w:numId w:val="0"/>
              </w:numPr>
              <w:ind w:left="634" w:hanging="567"/>
              <w:rPr>
                <w:rFonts w:eastAsia="Times New Roman"/>
                <w:bCs/>
                <w:color w:val="000000" w:themeColor="text1"/>
                <w:sz w:val="22"/>
              </w:rPr>
            </w:pPr>
            <w:r w:rsidRPr="00E71EAB">
              <w:rPr>
                <w:rFonts w:eastAsia="Times New Roman"/>
                <w:bCs/>
                <w:color w:val="000000" w:themeColor="text1"/>
                <w:sz w:val="22"/>
              </w:rPr>
              <w:t>i)</w:t>
            </w:r>
            <w:r w:rsidRPr="00E71EAB">
              <w:rPr>
                <w:rFonts w:eastAsia="Times New Roman"/>
                <w:bCs/>
                <w:color w:val="000000" w:themeColor="text1"/>
                <w:sz w:val="22"/>
              </w:rPr>
              <w:tab/>
            </w:r>
            <w:r w:rsidRPr="00E71EAB">
              <w:rPr>
                <w:sz w:val="22"/>
              </w:rPr>
              <w:t>s</w:t>
            </w:r>
            <w:r w:rsidRPr="00E71EAB">
              <w:rPr>
                <w:rFonts w:eastAsia="Times New Roman"/>
                <w:bCs/>
                <w:color w:val="000000" w:themeColor="text1"/>
                <w:sz w:val="22"/>
              </w:rPr>
              <w:t> </w:t>
            </w:r>
            <w:r w:rsidRPr="00E71EAB">
              <w:rPr>
                <w:sz w:val="22"/>
              </w:rPr>
              <w:t>ohledem na běžný rok a budoucí roky není podnik povinen udělovat nebo přidělovat žádné další bonusy nebo jiné platby ve formě odměn, pokud v daném roce nedosáhne čistého zisku.</w:t>
            </w:r>
          </w:p>
        </w:tc>
      </w:tr>
      <w:tr w:rsidR="00ED3F18" w:rsidRPr="00E71EAB" w14:paraId="3698C528" w14:textId="77777777">
        <w:tc>
          <w:tcPr>
            <w:tcW w:w="1129" w:type="dxa"/>
          </w:tcPr>
          <w:p w14:paraId="1BCBC0B6"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0070</w:t>
            </w:r>
          </w:p>
        </w:tc>
        <w:tc>
          <w:tcPr>
            <w:tcW w:w="7620" w:type="dxa"/>
          </w:tcPr>
          <w:p w14:paraId="72ACB744"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 Podíly zaměstnanců, řídících pracovníků a společníků na či</w:t>
            </w:r>
            <w:r w:rsidRPr="00E71EAB">
              <w:rPr>
                <w:rFonts w:ascii="Times New Roman" w:hAnsi="Times New Roman"/>
                <w:b/>
                <w:bCs/>
                <w:color w:val="000000" w:themeColor="text1"/>
                <w:u w:val="single"/>
              </w:rPr>
              <w:t>stém zisku</w:t>
            </w:r>
          </w:p>
          <w:p w14:paraId="66FFB1E6"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Ustanovení čl. 13 odst. 4 písm. b) nařízení (EU) 2019/2033.</w:t>
            </w:r>
          </w:p>
          <w:p w14:paraId="7A58AAAE"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rPr>
              <w:t>Podíl zaměstnanců, řídících pracovníků a společníků na zisku se vypočítá na základě čistého zisku.</w:t>
            </w:r>
          </w:p>
        </w:tc>
      </w:tr>
      <w:tr w:rsidR="00ED3F18" w:rsidRPr="00E71EAB" w14:paraId="6B7A4191" w14:textId="77777777">
        <w:tc>
          <w:tcPr>
            <w:tcW w:w="1129" w:type="dxa"/>
          </w:tcPr>
          <w:p w14:paraId="1DD05165"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0080</w:t>
            </w:r>
          </w:p>
        </w:tc>
        <w:tc>
          <w:tcPr>
            <w:tcW w:w="7620" w:type="dxa"/>
          </w:tcPr>
          <w:p w14:paraId="5BCF5C91"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 Jiná rozdělení zisku a pohyblivé složky odměny na základě volného uvážení po</w:t>
            </w:r>
            <w:r w:rsidRPr="00E71EAB">
              <w:rPr>
                <w:rFonts w:ascii="Times New Roman" w:hAnsi="Times New Roman"/>
                <w:b/>
                <w:bCs/>
                <w:color w:val="000000" w:themeColor="text1"/>
                <w:u w:val="single"/>
              </w:rPr>
              <w:t>dniku</w:t>
            </w:r>
          </w:p>
          <w:p w14:paraId="3D1F0E74"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Ustanovení čl. 13 odst. 4 písm. c) nařízení (EU) 2019/2033.</w:t>
            </w:r>
          </w:p>
        </w:tc>
      </w:tr>
      <w:tr w:rsidR="00ED3F18" w:rsidRPr="00E71EAB" w14:paraId="1DBB65B3" w14:textId="77777777">
        <w:tc>
          <w:tcPr>
            <w:tcW w:w="1129" w:type="dxa"/>
          </w:tcPr>
          <w:p w14:paraId="4C32582D"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0090</w:t>
            </w:r>
          </w:p>
        </w:tc>
        <w:tc>
          <w:tcPr>
            <w:tcW w:w="7620" w:type="dxa"/>
          </w:tcPr>
          <w:p w14:paraId="426DA3F8"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 Závazky ze sdílených provizí a poplatků</w:t>
            </w:r>
          </w:p>
          <w:p w14:paraId="033830F9"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Ustanovení čl. 13 odst. 4 písm. d) nařízení (EU) 2019/2033.</w:t>
            </w:r>
          </w:p>
        </w:tc>
      </w:tr>
      <w:tr w:rsidR="00ED3F18" w:rsidRPr="00E71EAB" w14:paraId="02744226" w14:textId="77777777">
        <w:tc>
          <w:tcPr>
            <w:tcW w:w="1129" w:type="dxa"/>
          </w:tcPr>
          <w:p w14:paraId="39394212"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0100</w:t>
            </w:r>
          </w:p>
        </w:tc>
        <w:tc>
          <w:tcPr>
            <w:tcW w:w="7620" w:type="dxa"/>
          </w:tcPr>
          <w:p w14:paraId="64A8864D"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 xml:space="preserve">(–) Poplatky, provize makléřům a jiné platby hrazené ústředním </w:t>
            </w:r>
            <w:r w:rsidRPr="00E71EAB">
              <w:rPr>
                <w:rFonts w:ascii="Times New Roman" w:hAnsi="Times New Roman"/>
                <w:b/>
                <w:bCs/>
                <w:color w:val="000000" w:themeColor="text1"/>
                <w:u w:val="single"/>
              </w:rPr>
              <w:t>protistranám, které jsou účtovány zákazníkům</w:t>
            </w:r>
          </w:p>
          <w:p w14:paraId="3035290A"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rPr>
              <w:t>Poplatky, provize makléřům a jiné platby hrazené ústředním protistranám, burzám a jiným obchodním místům a zprostředkujícím makléřům za účelem provádění, registrace nebo zúčtování transakcí, a to pouze v případě</w:t>
            </w:r>
            <w:r w:rsidRPr="00E71EAB">
              <w:rPr>
                <w:rFonts w:ascii="Times New Roman" w:hAnsi="Times New Roman"/>
              </w:rPr>
              <w:t>, že jsou přímo přeneseny na zákazníky a zákazníkům účtovány. Tyto položky nezahrnují poplatky a jiné zúčtovatelné částky nezbytné k zachování členství nebo plnění finančních závazků týkajících se sdílení ztrát vůči ústředním protistranám, burzám a jiným o</w:t>
            </w:r>
            <w:r w:rsidRPr="00E71EAB">
              <w:rPr>
                <w:rFonts w:ascii="Times New Roman" w:hAnsi="Times New Roman"/>
              </w:rPr>
              <w:t>bchodním místům.</w:t>
            </w:r>
            <w:r w:rsidRPr="00E71EAB">
              <w:rPr>
                <w:rFonts w:ascii="Times New Roman" w:hAnsi="Times New Roman"/>
                <w:bCs/>
                <w:color w:val="000000" w:themeColor="text1"/>
              </w:rPr>
              <w:t xml:space="preserve"> </w:t>
            </w:r>
          </w:p>
        </w:tc>
      </w:tr>
      <w:tr w:rsidR="00ED3F18" w:rsidRPr="00E71EAB" w14:paraId="1239AFDD" w14:textId="77777777">
        <w:tc>
          <w:tcPr>
            <w:tcW w:w="1129" w:type="dxa"/>
          </w:tcPr>
          <w:p w14:paraId="411A534B"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0110</w:t>
            </w:r>
          </w:p>
        </w:tc>
        <w:tc>
          <w:tcPr>
            <w:tcW w:w="7620" w:type="dxa"/>
          </w:tcPr>
          <w:p w14:paraId="29FA3386"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 Poplatky vázaným zástupcům</w:t>
            </w:r>
          </w:p>
          <w:p w14:paraId="7E976CE6"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rPr>
              <w:t>Ustanovení čl. </w:t>
            </w:r>
            <w:r w:rsidRPr="00E71EAB">
              <w:rPr>
                <w:rFonts w:ascii="Times New Roman" w:hAnsi="Times New Roman"/>
                <w:bCs/>
                <w:color w:val="000000" w:themeColor="text1"/>
              </w:rPr>
              <w:t>13 odst. 4 písm. e)</w:t>
            </w:r>
            <w:r w:rsidRPr="00E71EAB">
              <w:rPr>
                <w:rFonts w:ascii="Times New Roman" w:hAnsi="Times New Roman"/>
                <w:bCs/>
              </w:rPr>
              <w:t xml:space="preserve"> nařízení (</w:t>
            </w:r>
            <w:r w:rsidRPr="00E71EAB">
              <w:rPr>
                <w:rFonts w:ascii="Times New Roman" w:hAnsi="Times New Roman"/>
                <w:bCs/>
                <w:color w:val="000000" w:themeColor="text1"/>
              </w:rPr>
              <w:t>EU) 2019/2033.</w:t>
            </w:r>
          </w:p>
        </w:tc>
      </w:tr>
      <w:tr w:rsidR="00ED3F18" w:rsidRPr="00E71EAB" w14:paraId="6CA3AF18" w14:textId="77777777">
        <w:tc>
          <w:tcPr>
            <w:tcW w:w="1129" w:type="dxa"/>
          </w:tcPr>
          <w:p w14:paraId="4A1C71F3"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0130</w:t>
            </w:r>
          </w:p>
        </w:tc>
        <w:tc>
          <w:tcPr>
            <w:tcW w:w="7620" w:type="dxa"/>
          </w:tcPr>
          <w:p w14:paraId="404C47C0"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 Jednorázové výdaje vyplývající z jiné než běžné činnosti</w:t>
            </w:r>
          </w:p>
          <w:p w14:paraId="49696DBC"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Ustanovení čl. 13 odst. 4 písm. f) nařízení (EU) 2019/2033.</w:t>
            </w:r>
          </w:p>
        </w:tc>
      </w:tr>
      <w:tr w:rsidR="00ED3F18" w:rsidRPr="00E71EAB" w14:paraId="66DFF7AE" w14:textId="77777777">
        <w:tc>
          <w:tcPr>
            <w:tcW w:w="1129" w:type="dxa"/>
          </w:tcPr>
          <w:p w14:paraId="5E8117D7"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0140</w:t>
            </w:r>
          </w:p>
          <w:p w14:paraId="197C7125" w14:textId="77777777" w:rsidR="00ED3F18" w:rsidRPr="00E71EAB" w:rsidRDefault="00ED3F18">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560D4A58" w14:textId="77777777" w:rsidR="00ED3F18" w:rsidRPr="00E71EAB" w:rsidRDefault="00E71EAB">
            <w:pPr>
              <w:spacing w:after="120" w:line="240" w:lineRule="auto"/>
              <w:jc w:val="both"/>
              <w:rPr>
                <w:rFonts w:ascii="Times New Roman" w:eastAsia="Times New Roman" w:hAnsi="Times New Roman" w:cs="Times New Roman"/>
                <w:bCs/>
                <w:color w:val="000000" w:themeColor="text1"/>
                <w:u w:val="single"/>
              </w:rPr>
            </w:pPr>
            <w:r w:rsidRPr="00E71EAB">
              <w:rPr>
                <w:rFonts w:ascii="Times New Roman" w:hAnsi="Times New Roman"/>
                <w:b/>
                <w:bCs/>
                <w:color w:val="000000" w:themeColor="text1"/>
                <w:u w:val="single"/>
              </w:rPr>
              <w:t xml:space="preserve">(–) </w:t>
            </w:r>
            <w:r w:rsidRPr="00E71EAB">
              <w:rPr>
                <w:rFonts w:ascii="Times New Roman" w:hAnsi="Times New Roman"/>
                <w:b/>
                <w:bCs/>
                <w:color w:val="000000" w:themeColor="text1"/>
                <w:u w:val="single"/>
              </w:rPr>
              <w:t>Daňové náklady</w:t>
            </w:r>
          </w:p>
          <w:p w14:paraId="56E9EAC2" w14:textId="77777777" w:rsidR="00ED3F18" w:rsidRPr="00E71EAB" w:rsidRDefault="00E71EAB">
            <w:pPr>
              <w:pStyle w:val="Point1letter"/>
              <w:numPr>
                <w:ilvl w:val="0"/>
                <w:numId w:val="0"/>
              </w:numPr>
              <w:rPr>
                <w:rFonts w:eastAsia="Times New Roman"/>
                <w:color w:val="000000" w:themeColor="text1"/>
                <w:sz w:val="22"/>
              </w:rPr>
            </w:pPr>
            <w:r w:rsidRPr="00E71EAB">
              <w:rPr>
                <w:sz w:val="22"/>
              </w:rPr>
              <w:t>Daňové náklady, pokud jsou splatné ve vztahu k ročnímu zisku investičního podniku.</w:t>
            </w:r>
          </w:p>
        </w:tc>
      </w:tr>
      <w:tr w:rsidR="00ED3F18" w:rsidRPr="00E71EAB" w14:paraId="7D319EF3" w14:textId="77777777">
        <w:tc>
          <w:tcPr>
            <w:tcW w:w="1129" w:type="dxa"/>
          </w:tcPr>
          <w:p w14:paraId="392DBAEF"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0150</w:t>
            </w:r>
          </w:p>
        </w:tc>
        <w:tc>
          <w:tcPr>
            <w:tcW w:w="7620" w:type="dxa"/>
          </w:tcPr>
          <w:p w14:paraId="2A692BCE"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 Ztráty z obchodování s finančními nástroji na vlastní účet</w:t>
            </w:r>
          </w:p>
          <w:p w14:paraId="1FC25488"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lastRenderedPageBreak/>
              <w:t>Vyplývá z textu.</w:t>
            </w:r>
          </w:p>
        </w:tc>
      </w:tr>
      <w:tr w:rsidR="00ED3F18" w:rsidRPr="00E71EAB" w14:paraId="0EC27BDC" w14:textId="77777777">
        <w:tc>
          <w:tcPr>
            <w:tcW w:w="1129" w:type="dxa"/>
          </w:tcPr>
          <w:p w14:paraId="73ABBD4C"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lastRenderedPageBreak/>
              <w:t>0160</w:t>
            </w:r>
          </w:p>
        </w:tc>
        <w:tc>
          <w:tcPr>
            <w:tcW w:w="7620" w:type="dxa"/>
          </w:tcPr>
          <w:p w14:paraId="1E89F18A"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 Dohody o převodu zisku a ztrát</w:t>
            </w:r>
          </w:p>
          <w:p w14:paraId="2D040863"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rPr>
              <w:t xml:space="preserve">Platby související </w:t>
            </w:r>
            <w:r w:rsidRPr="00E71EAB">
              <w:rPr>
                <w:rFonts w:ascii="Times New Roman" w:hAnsi="Times New Roman"/>
              </w:rPr>
              <w:t>s dohodami o převodu zisku a ztrát, podle nichž se investiční podnik zavazuje po vypracování roční účetní závěrky převést svůj roční výsledek mateřskému podniku.</w:t>
            </w:r>
          </w:p>
        </w:tc>
      </w:tr>
      <w:tr w:rsidR="00ED3F18" w:rsidRPr="00E71EAB" w14:paraId="00AC533F" w14:textId="77777777">
        <w:tc>
          <w:tcPr>
            <w:tcW w:w="1129" w:type="dxa"/>
          </w:tcPr>
          <w:p w14:paraId="56165BBF"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0170</w:t>
            </w:r>
          </w:p>
        </w:tc>
        <w:tc>
          <w:tcPr>
            <w:tcW w:w="7620" w:type="dxa"/>
          </w:tcPr>
          <w:p w14:paraId="32CA8A66"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 Náklady na suroviny</w:t>
            </w:r>
          </w:p>
          <w:p w14:paraId="1F2C46FE"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bookmarkStart w:id="32" w:name="_Toc38271703"/>
            <w:r w:rsidRPr="00E71EAB">
              <w:rPr>
                <w:rFonts w:ascii="Times New Roman" w:hAnsi="Times New Roman"/>
                <w:bCs/>
                <w:color w:val="000000" w:themeColor="text1"/>
              </w:rPr>
              <w:t xml:space="preserve">Obchodníci s komoditami a emisními povolenkami si mohou odečíst </w:t>
            </w:r>
            <w:r w:rsidRPr="00E71EAB">
              <w:rPr>
                <w:rFonts w:ascii="Times New Roman" w:hAnsi="Times New Roman"/>
                <w:bCs/>
                <w:color w:val="000000" w:themeColor="text1"/>
              </w:rPr>
              <w:t>náklady na suroviny v souvislosti s obchodováním investičního podniku s deriváty podkladové komodity.</w:t>
            </w:r>
            <w:bookmarkEnd w:id="32"/>
          </w:p>
        </w:tc>
      </w:tr>
      <w:tr w:rsidR="00ED3F18" w:rsidRPr="00E71EAB" w14:paraId="217FE67A" w14:textId="77777777">
        <w:tc>
          <w:tcPr>
            <w:tcW w:w="1129" w:type="dxa"/>
          </w:tcPr>
          <w:p w14:paraId="6E024A9C"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0180</w:t>
            </w:r>
          </w:p>
        </w:tc>
        <w:tc>
          <w:tcPr>
            <w:tcW w:w="7620" w:type="dxa"/>
          </w:tcPr>
          <w:p w14:paraId="68F541C0"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 Platby do rezervního fondu na všeobecná bankovní rizika</w:t>
            </w:r>
          </w:p>
          <w:p w14:paraId="23E84A87"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Cs/>
                <w:color w:val="000000" w:themeColor="text1"/>
              </w:rPr>
              <w:t>Platby do rezervního fondu na všeobecná bankovní rizika v souladu s čl. 26 odst. 1 písm.</w:t>
            </w:r>
            <w:r w:rsidRPr="00E71EAB">
              <w:rPr>
                <w:rFonts w:ascii="Times New Roman" w:hAnsi="Times New Roman"/>
                <w:bCs/>
                <w:color w:val="000000" w:themeColor="text1"/>
              </w:rPr>
              <w:t xml:space="preserve"> f) nařízení (EU) č. 575/2013.</w:t>
            </w:r>
          </w:p>
        </w:tc>
      </w:tr>
      <w:tr w:rsidR="00ED3F18" w:rsidRPr="00E71EAB" w14:paraId="47C98D65" w14:textId="77777777">
        <w:tc>
          <w:tcPr>
            <w:tcW w:w="1129" w:type="dxa"/>
          </w:tcPr>
          <w:p w14:paraId="42B98A19"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0190</w:t>
            </w:r>
          </w:p>
        </w:tc>
        <w:tc>
          <w:tcPr>
            <w:tcW w:w="7620" w:type="dxa"/>
          </w:tcPr>
          <w:p w14:paraId="62F3A843"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 Náklady související s položkami, které již byly odečteny od kapitálu</w:t>
            </w:r>
          </w:p>
          <w:p w14:paraId="388B019C"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Cs/>
              </w:rPr>
              <w:t>Náklady související s položkami, které již byly odečteny od kapitálu v souladu s čl. 36 odst. 1 nařízení (</w:t>
            </w:r>
            <w:r w:rsidRPr="00E71EAB">
              <w:rPr>
                <w:rFonts w:ascii="Times New Roman" w:hAnsi="Times New Roman"/>
                <w:bCs/>
                <w:color w:val="000000" w:themeColor="text1"/>
              </w:rPr>
              <w:t>EU) č. 575/2013</w:t>
            </w:r>
            <w:r w:rsidRPr="00E71EAB">
              <w:rPr>
                <w:rFonts w:ascii="Times New Roman" w:hAnsi="Times New Roman"/>
                <w:bCs/>
              </w:rPr>
              <w:t>.</w:t>
            </w:r>
          </w:p>
        </w:tc>
      </w:tr>
      <w:tr w:rsidR="00ED3F18" w:rsidRPr="00E71EAB" w14:paraId="52ED22E8" w14:textId="77777777">
        <w:tc>
          <w:tcPr>
            <w:tcW w:w="1129" w:type="dxa"/>
          </w:tcPr>
          <w:p w14:paraId="1A423FB9"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0200</w:t>
            </w:r>
          </w:p>
        </w:tc>
        <w:tc>
          <w:tcPr>
            <w:tcW w:w="7620" w:type="dxa"/>
          </w:tcPr>
          <w:p w14:paraId="7A93627D"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Předpokládané fixní režijní náklady běžného roku</w:t>
            </w:r>
          </w:p>
          <w:p w14:paraId="03363DCA"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Předpoklad fixních režijních nákladů běžného roku po rozdělení zisku.</w:t>
            </w:r>
          </w:p>
        </w:tc>
      </w:tr>
      <w:tr w:rsidR="00ED3F18" w:rsidRPr="00E71EAB" w14:paraId="6DF28865" w14:textId="77777777">
        <w:tc>
          <w:tcPr>
            <w:tcW w:w="1129" w:type="dxa"/>
          </w:tcPr>
          <w:p w14:paraId="6E6104C8"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0210</w:t>
            </w:r>
          </w:p>
        </w:tc>
        <w:tc>
          <w:tcPr>
            <w:tcW w:w="7620" w:type="dxa"/>
          </w:tcPr>
          <w:p w14:paraId="1B017015" w14:textId="77777777" w:rsidR="00ED3F18" w:rsidRPr="00E71EAB" w:rsidRDefault="00E71EAB">
            <w:pPr>
              <w:spacing w:after="120" w:line="240" w:lineRule="auto"/>
              <w:jc w:val="both"/>
              <w:rPr>
                <w:rFonts w:ascii="Times New Roman" w:eastAsia="Times New Roman" w:hAnsi="Times New Roman" w:cs="Times New Roman"/>
                <w:b/>
                <w:bCs/>
                <w:color w:val="000000" w:themeColor="text1"/>
                <w:u w:val="single"/>
              </w:rPr>
            </w:pPr>
            <w:r w:rsidRPr="00E71EAB">
              <w:rPr>
                <w:rFonts w:ascii="Times New Roman" w:hAnsi="Times New Roman"/>
                <w:b/>
                <w:bCs/>
                <w:color w:val="000000" w:themeColor="text1"/>
                <w:u w:val="single"/>
              </w:rPr>
              <w:t>Výkyv fixních režijních nákladů (%)</w:t>
            </w:r>
          </w:p>
          <w:p w14:paraId="2135A02F"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Částka se vykáže jako absolutní hodnota:</w:t>
            </w:r>
          </w:p>
          <w:p w14:paraId="214EFAA6" w14:textId="77777777" w:rsidR="00ED3F18" w:rsidRPr="00E71EAB" w:rsidRDefault="00E71EAB">
            <w:pPr>
              <w:spacing w:after="120" w:line="240" w:lineRule="auto"/>
              <w:jc w:val="both"/>
              <w:rPr>
                <w:rFonts w:ascii="Times New Roman" w:eastAsia="Times New Roman" w:hAnsi="Times New Roman" w:cs="Times New Roman"/>
                <w:bCs/>
                <w:color w:val="000000" w:themeColor="text1"/>
              </w:rPr>
            </w:pPr>
            <w:r w:rsidRPr="00E71EAB">
              <w:rPr>
                <w:rFonts w:ascii="Times New Roman" w:hAnsi="Times New Roman"/>
                <w:bCs/>
                <w:color w:val="000000" w:themeColor="text1"/>
              </w:rPr>
              <w:t>[(roční fixní režijní náklady běžného roku) – (předpok</w:t>
            </w:r>
            <w:r w:rsidRPr="00E71EAB">
              <w:rPr>
                <w:rFonts w:ascii="Times New Roman" w:hAnsi="Times New Roman"/>
                <w:bCs/>
                <w:color w:val="000000" w:themeColor="text1"/>
              </w:rPr>
              <w:t>ládané fixní režijní náklady předchozího roku)/(roční fixní režijní náklady předchozího roku)]</w:t>
            </w:r>
          </w:p>
        </w:tc>
      </w:tr>
    </w:tbl>
    <w:p w14:paraId="0C677F95" w14:textId="77777777" w:rsidR="00ED3F18" w:rsidRPr="00E71EAB" w:rsidRDefault="00ED3F18">
      <w:pPr>
        <w:spacing w:after="120" w:line="240" w:lineRule="auto"/>
        <w:jc w:val="both"/>
        <w:rPr>
          <w:rFonts w:ascii="Times New Roman" w:eastAsia="Times New Roman" w:hAnsi="Times New Roman" w:cs="Times New Roman"/>
          <w:sz w:val="24"/>
          <w:szCs w:val="24"/>
          <w:lang w:eastAsia="de-DE"/>
        </w:rPr>
      </w:pPr>
    </w:p>
    <w:p w14:paraId="79963863" w14:textId="77777777" w:rsidR="00ED3F18" w:rsidRPr="00E71EAB" w:rsidRDefault="00E71EAB">
      <w:pPr>
        <w:pStyle w:val="Instructionsberschrift2"/>
        <w:ind w:left="357" w:hanging="357"/>
        <w:rPr>
          <w:rFonts w:ascii="Times New Roman" w:hAnsi="Times New Roman" w:cs="Times New Roman"/>
          <w:sz w:val="24"/>
          <w:u w:val="none"/>
        </w:rPr>
      </w:pPr>
      <w:bookmarkStart w:id="33" w:name="_Toc88124564"/>
      <w:r w:rsidRPr="00E71EAB">
        <w:rPr>
          <w:rFonts w:ascii="Times New Roman" w:hAnsi="Times New Roman"/>
          <w:sz w:val="24"/>
          <w:u w:val="none"/>
        </w:rPr>
        <w:t>2. MALÉ A NEPROPOJENÉ INVESTIČNÍ PODNIKY</w:t>
      </w:r>
      <w:bookmarkEnd w:id="33"/>
    </w:p>
    <w:p w14:paraId="12FE3630" w14:textId="77777777" w:rsidR="00ED3F18" w:rsidRPr="00E71EAB" w:rsidRDefault="00E71EA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4" w:name="_Toc473560875"/>
      <w:bookmarkStart w:id="35" w:name="_Toc7084160"/>
      <w:bookmarkStart w:id="36" w:name="_Toc88124565"/>
      <w:bookmarkStart w:id="37" w:name="_Toc308175823"/>
      <w:bookmarkStart w:id="38" w:name="_Toc360188327"/>
      <w:r w:rsidRPr="00E71EAB">
        <w:rPr>
          <w:rFonts w:ascii="Times New Roman" w:hAnsi="Times New Roman"/>
          <w:sz w:val="24"/>
          <w:szCs w:val="24"/>
        </w:rPr>
        <w:t>2.1.</w:t>
      </w:r>
      <w:r w:rsidRPr="00E71EAB">
        <w:rPr>
          <w:rFonts w:ascii="Times New Roman" w:hAnsi="Times New Roman"/>
          <w:sz w:val="24"/>
          <w:szCs w:val="24"/>
        </w:rPr>
        <w:tab/>
      </w:r>
      <w:r w:rsidRPr="00E71EAB">
        <w:rPr>
          <w:rFonts w:ascii="Times New Roman" w:hAnsi="Times New Roman"/>
          <w:sz w:val="24"/>
          <w:szCs w:val="24"/>
          <w:u w:val="single"/>
        </w:rPr>
        <w:t>I</w:t>
      </w:r>
      <w:r w:rsidRPr="00E71EAB">
        <w:rPr>
          <w:rFonts w:ascii="Times New Roman" w:hAnsi="Times New Roman"/>
          <w:sz w:val="24"/>
          <w:szCs w:val="24"/>
        </w:rPr>
        <w:t> </w:t>
      </w:r>
      <w:r w:rsidRPr="00E71EAB">
        <w:rPr>
          <w:rFonts w:ascii="Times New Roman" w:hAnsi="Times New Roman"/>
          <w:sz w:val="24"/>
          <w:szCs w:val="24"/>
          <w:u w:val="single"/>
        </w:rPr>
        <w:t>05.00 – INTENZITA ČINNOSTI – PŘEZKUM PRAHOVÝCH HODNOT (I 5)</w:t>
      </w:r>
      <w:bookmarkEnd w:id="34"/>
      <w:bookmarkEnd w:id="35"/>
      <w:bookmarkEnd w:id="36"/>
      <w:bookmarkEnd w:id="37"/>
      <w:bookmarkEnd w:id="38"/>
    </w:p>
    <w:p w14:paraId="3D718B9B" w14:textId="77777777" w:rsidR="00ED3F18" w:rsidRPr="00E71EAB" w:rsidRDefault="00E71EA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9" w:name="_Toc310414970"/>
      <w:bookmarkStart w:id="40" w:name="_Toc360188328"/>
      <w:bookmarkStart w:id="41" w:name="_Toc473560876"/>
      <w:bookmarkStart w:id="42" w:name="_Toc7084161"/>
      <w:bookmarkStart w:id="43" w:name="_Toc88124566"/>
      <w:r w:rsidRPr="00E71EAB">
        <w:rPr>
          <w:rFonts w:ascii="Times New Roman" w:hAnsi="Times New Roman"/>
          <w:sz w:val="24"/>
          <w:szCs w:val="24"/>
        </w:rPr>
        <w:t>2.1.1.</w:t>
      </w:r>
      <w:r w:rsidRPr="00E71EAB">
        <w:rPr>
          <w:rFonts w:ascii="Times New Roman" w:hAnsi="Times New Roman"/>
          <w:sz w:val="24"/>
          <w:szCs w:val="24"/>
        </w:rPr>
        <w:tab/>
      </w:r>
      <w:bookmarkStart w:id="44" w:name="_Toc308175824"/>
      <w:r w:rsidRPr="00E71EAB">
        <w:rPr>
          <w:rFonts w:ascii="Times New Roman" w:hAnsi="Times New Roman"/>
          <w:sz w:val="24"/>
          <w:szCs w:val="24"/>
          <w:u w:val="single"/>
        </w:rPr>
        <w:t xml:space="preserve">Pokyny pro konkrétní </w:t>
      </w:r>
      <w:bookmarkEnd w:id="44"/>
      <w:bookmarkEnd w:id="39"/>
      <w:r w:rsidRPr="00E71EAB">
        <w:rPr>
          <w:rFonts w:ascii="Times New Roman" w:hAnsi="Times New Roman"/>
          <w:sz w:val="24"/>
          <w:szCs w:val="24"/>
          <w:u w:val="single"/>
        </w:rPr>
        <w:t>pozice</w:t>
      </w:r>
      <w:bookmarkEnd w:id="40"/>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D3F18" w:rsidRPr="00E71EAB" w14:paraId="151DF1B2" w14:textId="77777777">
        <w:tc>
          <w:tcPr>
            <w:tcW w:w="1129" w:type="dxa"/>
            <w:shd w:val="clear" w:color="auto" w:fill="D9D9D9"/>
          </w:tcPr>
          <w:p w14:paraId="48058DAD"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rPr>
              <w:t>Řádek</w:t>
            </w:r>
          </w:p>
        </w:tc>
        <w:tc>
          <w:tcPr>
            <w:tcW w:w="7620" w:type="dxa"/>
            <w:shd w:val="clear" w:color="auto" w:fill="D9D9D9"/>
          </w:tcPr>
          <w:p w14:paraId="181913EC"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rPr>
              <w:t>Odkazy na právní předpisy a pokyny</w:t>
            </w:r>
          </w:p>
        </w:tc>
      </w:tr>
      <w:tr w:rsidR="00ED3F18" w:rsidRPr="00E71EAB" w14:paraId="13AA6F87" w14:textId="77777777">
        <w:tc>
          <w:tcPr>
            <w:tcW w:w="1129" w:type="dxa"/>
          </w:tcPr>
          <w:p w14:paraId="38CDEC8B"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0010</w:t>
            </w:r>
          </w:p>
        </w:tc>
        <w:tc>
          <w:tcPr>
            <w:tcW w:w="7620" w:type="dxa"/>
          </w:tcPr>
          <w:p w14:paraId="4EF850C9"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
                <w:bCs/>
                <w:u w:val="single"/>
              </w:rPr>
              <w:t>(Kombinovaný) spravovaný majetek</w:t>
            </w:r>
          </w:p>
          <w:p w14:paraId="27400304"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12 odst. 1 písm. a) nařízení (EU) 2019/2033.</w:t>
            </w:r>
          </w:p>
          <w:p w14:paraId="5DC07BAE"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Pokud je investiční podnik, který podává zprávu, součástí skupiny, vykazovaná hodnota se určí kombinovaně pro všechny inve</w:t>
            </w:r>
            <w:r w:rsidRPr="00E71EAB">
              <w:rPr>
                <w:rFonts w:ascii="Times New Roman" w:hAnsi="Times New Roman"/>
                <w:bCs/>
              </w:rPr>
              <w:t>stiční podniky, které jsou součástí jedné skupiny, podle čl. 12 odst. 2 nařízení (EU) 2019/2033.</w:t>
            </w:r>
          </w:p>
          <w:p w14:paraId="3C55AA23"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Investiční podniky uvedou spravovaný majetek s možností vlastního uvážení i bez možnosti vlastního uvážení.</w:t>
            </w:r>
          </w:p>
          <w:p w14:paraId="3D6CD815"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Vykáže se částka, která by byla použita pro výpočet</w:t>
            </w:r>
            <w:r w:rsidRPr="00E71EAB">
              <w:rPr>
                <w:rFonts w:ascii="Times New Roman" w:hAnsi="Times New Roman"/>
                <w:bCs/>
              </w:rPr>
              <w:t xml:space="preserve"> K-faktorů před uplatněním příslušných koeficientů.</w:t>
            </w:r>
          </w:p>
        </w:tc>
      </w:tr>
      <w:tr w:rsidR="00ED3F18" w:rsidRPr="00E71EAB" w14:paraId="2FD77686" w14:textId="77777777">
        <w:tc>
          <w:tcPr>
            <w:tcW w:w="1129" w:type="dxa"/>
          </w:tcPr>
          <w:p w14:paraId="0C8555FA"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0020</w:t>
            </w:r>
          </w:p>
        </w:tc>
        <w:tc>
          <w:tcPr>
            <w:tcW w:w="7620" w:type="dxa"/>
          </w:tcPr>
          <w:p w14:paraId="724019AE"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
                <w:bCs/>
                <w:u w:val="single"/>
              </w:rPr>
              <w:t>(Kombinované) zpracované pokyny zákazníků – hotovostní obchody</w:t>
            </w:r>
          </w:p>
          <w:p w14:paraId="20261B74"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12 odst. 1 písm. b) bodu i) nařízení (EU) 2019/2033.</w:t>
            </w:r>
          </w:p>
          <w:p w14:paraId="70F7F2B3"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lastRenderedPageBreak/>
              <w:t xml:space="preserve">Pokud je investiční podnik, který podává zprávu, součástí </w:t>
            </w:r>
            <w:r w:rsidRPr="00E71EAB">
              <w:rPr>
                <w:rFonts w:ascii="Times New Roman" w:hAnsi="Times New Roman"/>
                <w:bCs/>
              </w:rPr>
              <w:t>skupiny, vykazovaná hodnota se určí kombinovaně pro všechny investiční podniky, které jsou součástí jedné skupiny, podle čl. 12 odst. 2 nařízení (EU) 2019/2033.</w:t>
            </w:r>
          </w:p>
          <w:p w14:paraId="7326BAC1"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Vykáže se částka, která by byla použita pro výpočet K-faktorů před uplatněním příslušných koefi</w:t>
            </w:r>
            <w:r w:rsidRPr="00E71EAB">
              <w:rPr>
                <w:rFonts w:ascii="Times New Roman" w:hAnsi="Times New Roman"/>
                <w:bCs/>
              </w:rPr>
              <w:t>cientů.</w:t>
            </w:r>
          </w:p>
        </w:tc>
      </w:tr>
      <w:tr w:rsidR="00ED3F18" w:rsidRPr="00E71EAB" w14:paraId="69260167" w14:textId="77777777">
        <w:tc>
          <w:tcPr>
            <w:tcW w:w="1129" w:type="dxa"/>
          </w:tcPr>
          <w:p w14:paraId="77EAC89F"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lastRenderedPageBreak/>
              <w:t>0030</w:t>
            </w:r>
          </w:p>
        </w:tc>
        <w:tc>
          <w:tcPr>
            <w:tcW w:w="7620" w:type="dxa"/>
          </w:tcPr>
          <w:p w14:paraId="051F62B8"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
                <w:bCs/>
                <w:u w:val="single"/>
              </w:rPr>
              <w:t>(Kombinované) zpracované pokyny zákazníků – obchody s deriváty</w:t>
            </w:r>
          </w:p>
          <w:p w14:paraId="201AD023"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12 odst. 1 písm. b) bodu i) nařízení (EU) 2019/2033.</w:t>
            </w:r>
          </w:p>
          <w:p w14:paraId="3FAF9765"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Pokud je investiční podnik, který podává zprávu, součástí skupiny, vykazovaná hodnota se určí kombinovaně pro v</w:t>
            </w:r>
            <w:r w:rsidRPr="00E71EAB">
              <w:rPr>
                <w:rFonts w:ascii="Times New Roman" w:hAnsi="Times New Roman"/>
                <w:bCs/>
              </w:rPr>
              <w:t>šechny investiční podniky, které jsou součástí jedné skupiny, podle čl. 12 odst. 2 nařízení (EU) 2019/2033.</w:t>
            </w:r>
          </w:p>
          <w:p w14:paraId="4E4FDEDF"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Vykáže se částka, která by byla použita pro výpočet K-faktorů před uplatněním příslušných koeficientů.</w:t>
            </w:r>
          </w:p>
        </w:tc>
      </w:tr>
      <w:tr w:rsidR="00ED3F18" w:rsidRPr="00E71EAB" w14:paraId="04E3F773" w14:textId="77777777">
        <w:tc>
          <w:tcPr>
            <w:tcW w:w="1129" w:type="dxa"/>
          </w:tcPr>
          <w:p w14:paraId="7210B7F0"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0040</w:t>
            </w:r>
          </w:p>
        </w:tc>
        <w:tc>
          <w:tcPr>
            <w:tcW w:w="7620" w:type="dxa"/>
          </w:tcPr>
          <w:p w14:paraId="066D6522"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Majetek v úschově a správě</w:t>
            </w:r>
          </w:p>
          <w:p w14:paraId="2DCD6F0B"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w:t>
            </w:r>
            <w:r w:rsidRPr="00E71EAB">
              <w:rPr>
                <w:rFonts w:ascii="Times New Roman" w:hAnsi="Times New Roman"/>
                <w:bCs/>
              </w:rPr>
              <w:t>l. 12 odst. 1 písm. c) nařízení (EU) 2019/2033.</w:t>
            </w:r>
          </w:p>
          <w:p w14:paraId="3D29BA7C"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Vykáže se částka, která by byla použita pro výpočet K-faktorů před uplatněním příslušných koeficientů.</w:t>
            </w:r>
          </w:p>
        </w:tc>
      </w:tr>
      <w:tr w:rsidR="00ED3F18" w:rsidRPr="00E71EAB" w14:paraId="700C8CF1" w14:textId="77777777">
        <w:tc>
          <w:tcPr>
            <w:tcW w:w="1129" w:type="dxa"/>
          </w:tcPr>
          <w:p w14:paraId="3898A66F"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0050</w:t>
            </w:r>
          </w:p>
        </w:tc>
        <w:tc>
          <w:tcPr>
            <w:tcW w:w="7620" w:type="dxa"/>
          </w:tcPr>
          <w:p w14:paraId="5335B7E1"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Držená hotovost zákazníků</w:t>
            </w:r>
          </w:p>
          <w:p w14:paraId="4EDC1E7C"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12 odst. 1 písm. d) nařízení (EU) 2019/2033.</w:t>
            </w:r>
          </w:p>
          <w:p w14:paraId="6D8A5C87"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 xml:space="preserve">Vykáže se </w:t>
            </w:r>
            <w:r w:rsidRPr="00E71EAB">
              <w:rPr>
                <w:rFonts w:ascii="Times New Roman" w:hAnsi="Times New Roman"/>
                <w:bCs/>
              </w:rPr>
              <w:t>částka, která by byla použita pro výpočet K-faktorů před uplatněním příslušných koeficientů.</w:t>
            </w:r>
          </w:p>
        </w:tc>
      </w:tr>
      <w:tr w:rsidR="00ED3F18" w:rsidRPr="00E71EAB" w14:paraId="4ED3621D" w14:textId="77777777">
        <w:tc>
          <w:tcPr>
            <w:tcW w:w="1129" w:type="dxa"/>
          </w:tcPr>
          <w:p w14:paraId="2C87FAF4"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0060</w:t>
            </w:r>
          </w:p>
        </w:tc>
        <w:tc>
          <w:tcPr>
            <w:tcW w:w="7620" w:type="dxa"/>
          </w:tcPr>
          <w:p w14:paraId="77B330CA"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Denní objem obchodování – hotovostní obchody a obchody s deriváty</w:t>
            </w:r>
          </w:p>
          <w:p w14:paraId="3063A088"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12 odst. 1 písm. e) nařízení (EU) 2019/2033.</w:t>
            </w:r>
          </w:p>
          <w:p w14:paraId="791251A7"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Vykáže se částka, která by byla</w:t>
            </w:r>
            <w:r w:rsidRPr="00E71EAB">
              <w:rPr>
                <w:rFonts w:ascii="Times New Roman" w:hAnsi="Times New Roman"/>
                <w:bCs/>
              </w:rPr>
              <w:t xml:space="preserve"> použita pro výpočet K-faktorů před uplatněním příslušných koeficientů.</w:t>
            </w:r>
          </w:p>
        </w:tc>
      </w:tr>
      <w:tr w:rsidR="00ED3F18" w:rsidRPr="00E71EAB" w14:paraId="075DBC5F" w14:textId="77777777">
        <w:tc>
          <w:tcPr>
            <w:tcW w:w="1129" w:type="dxa"/>
          </w:tcPr>
          <w:p w14:paraId="1E67C27C"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0070</w:t>
            </w:r>
          </w:p>
        </w:tc>
        <w:tc>
          <w:tcPr>
            <w:tcW w:w="7620" w:type="dxa"/>
          </w:tcPr>
          <w:p w14:paraId="0D9CE19F"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Čisté poziční riziko</w:t>
            </w:r>
          </w:p>
          <w:p w14:paraId="56884AAE"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12 odst. 1 písm. f) nařízení (EU) 2019/2033.</w:t>
            </w:r>
          </w:p>
          <w:p w14:paraId="45A5DEB6"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Vykáže se částka, která by byla použita pro výpočet K-faktorů před uplatněním příslušných koefici</w:t>
            </w:r>
            <w:r w:rsidRPr="00E71EAB">
              <w:rPr>
                <w:rFonts w:ascii="Times New Roman" w:hAnsi="Times New Roman"/>
                <w:bCs/>
              </w:rPr>
              <w:t>entů.</w:t>
            </w:r>
          </w:p>
        </w:tc>
      </w:tr>
      <w:tr w:rsidR="00ED3F18" w:rsidRPr="00E71EAB" w14:paraId="1AF0B0CD" w14:textId="77777777">
        <w:tc>
          <w:tcPr>
            <w:tcW w:w="1129" w:type="dxa"/>
          </w:tcPr>
          <w:p w14:paraId="32102A3B"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0080</w:t>
            </w:r>
          </w:p>
        </w:tc>
        <w:tc>
          <w:tcPr>
            <w:tcW w:w="7620" w:type="dxa"/>
          </w:tcPr>
          <w:p w14:paraId="3130E93C"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Marže požadovaná pro účely clearingu</w:t>
            </w:r>
          </w:p>
          <w:p w14:paraId="3C70676F"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12 odst. 1 písm. f) nařízení (EU) 2019/2033.</w:t>
            </w:r>
          </w:p>
          <w:p w14:paraId="3F3CCF7C" w14:textId="77777777" w:rsidR="00ED3F18" w:rsidRPr="00E71EAB" w:rsidRDefault="00E71EAB">
            <w:pPr>
              <w:spacing w:after="120" w:line="240" w:lineRule="auto"/>
              <w:jc w:val="both"/>
              <w:rPr>
                <w:rFonts w:ascii="Times New Roman" w:eastAsia="Times New Roman" w:hAnsi="Times New Roman" w:cs="Times New Roman"/>
                <w:b/>
                <w:bCs/>
              </w:rPr>
            </w:pPr>
            <w:r w:rsidRPr="00E71EAB">
              <w:rPr>
                <w:rFonts w:ascii="Times New Roman" w:hAnsi="Times New Roman"/>
                <w:bCs/>
              </w:rPr>
              <w:t>Vykáže se částka, která by byla použita pro výpočet K-faktorů před uplatněním příslušných koeficientů.</w:t>
            </w:r>
          </w:p>
        </w:tc>
      </w:tr>
      <w:tr w:rsidR="00ED3F18" w:rsidRPr="00E71EAB" w14:paraId="77CC8AAF" w14:textId="77777777">
        <w:tc>
          <w:tcPr>
            <w:tcW w:w="1129" w:type="dxa"/>
          </w:tcPr>
          <w:p w14:paraId="1EBB5967"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0090</w:t>
            </w:r>
          </w:p>
        </w:tc>
        <w:tc>
          <w:tcPr>
            <w:tcW w:w="7620" w:type="dxa"/>
          </w:tcPr>
          <w:p w14:paraId="14618F59"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Selhání protistrany obchodu</w:t>
            </w:r>
          </w:p>
          <w:p w14:paraId="7DC51561"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12 odst. 1 písm. g) nařízení (EU) 2019/2033.</w:t>
            </w:r>
          </w:p>
          <w:p w14:paraId="0CD23875"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Vykáže se částka, která by byla použita pro výpočet K-faktorů před uplatněním příslušných koeficientů.</w:t>
            </w:r>
          </w:p>
        </w:tc>
      </w:tr>
      <w:tr w:rsidR="00ED3F18" w:rsidRPr="00E71EAB" w14:paraId="355DEA46" w14:textId="77777777">
        <w:tc>
          <w:tcPr>
            <w:tcW w:w="1129" w:type="dxa"/>
          </w:tcPr>
          <w:p w14:paraId="7CF165E3"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0100</w:t>
            </w:r>
          </w:p>
        </w:tc>
        <w:tc>
          <w:tcPr>
            <w:tcW w:w="7620" w:type="dxa"/>
          </w:tcPr>
          <w:p w14:paraId="53DEC1A8"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
                <w:bCs/>
                <w:u w:val="single"/>
              </w:rPr>
              <w:t>(Kombinovaná) rozvahová i podrozvahová bilanční suma</w:t>
            </w:r>
          </w:p>
          <w:p w14:paraId="23B81E2E"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12 odst. 1 písm. h)</w:t>
            </w:r>
            <w:r w:rsidRPr="00E71EAB">
              <w:rPr>
                <w:rFonts w:ascii="Times New Roman" w:hAnsi="Times New Roman"/>
                <w:bCs/>
              </w:rPr>
              <w:t xml:space="preserve"> nařízení (EU) 2019/2033.</w:t>
            </w:r>
          </w:p>
          <w:p w14:paraId="696A7D83"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Pokud je investiční podnik, který podává zprávu, součástí skupiny, vykazovaná hodnota se určí kombinovaně pro všechny investiční podniky, které jsou součástí jedné skupiny, podle čl. 12 odst. 2 nařízení (EU) 2019/2033.</w:t>
            </w:r>
          </w:p>
        </w:tc>
      </w:tr>
      <w:tr w:rsidR="00ED3F18" w:rsidRPr="00E71EAB" w14:paraId="045C933E" w14:textId="77777777">
        <w:tc>
          <w:tcPr>
            <w:tcW w:w="1129" w:type="dxa"/>
          </w:tcPr>
          <w:p w14:paraId="6EF1578B"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lastRenderedPageBreak/>
              <w:t>0110</w:t>
            </w:r>
          </w:p>
        </w:tc>
        <w:tc>
          <w:tcPr>
            <w:tcW w:w="7620" w:type="dxa"/>
          </w:tcPr>
          <w:p w14:paraId="3BB860B7"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
                <w:bCs/>
                <w:u w:val="single"/>
              </w:rPr>
              <w:t>Kombi</w:t>
            </w:r>
            <w:r w:rsidRPr="00E71EAB">
              <w:rPr>
                <w:rFonts w:ascii="Times New Roman" w:hAnsi="Times New Roman"/>
                <w:b/>
                <w:bCs/>
                <w:u w:val="single"/>
              </w:rPr>
              <w:t>nované celkové hrubé roční výnosy</w:t>
            </w:r>
          </w:p>
          <w:p w14:paraId="2B6311A4"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12 odst. 1 bodu i) nařízení (EU) 2019/2033.</w:t>
            </w:r>
          </w:p>
          <w:p w14:paraId="12A88D28"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 xml:space="preserve">Pokud je investiční podnik, který podává zprávu, součástí skupiny, vykazovaná hodnota se určí </w:t>
            </w:r>
            <w:r w:rsidRPr="00E71EAB">
              <w:rPr>
                <w:rFonts w:ascii="Times New Roman" w:hAnsi="Times New Roman"/>
                <w:bCs/>
                <w:u w:val="single"/>
              </w:rPr>
              <w:t>kombinovaně</w:t>
            </w:r>
            <w:r w:rsidRPr="00E71EAB">
              <w:rPr>
                <w:rFonts w:ascii="Times New Roman" w:hAnsi="Times New Roman"/>
                <w:bCs/>
              </w:rPr>
              <w:t xml:space="preserve"> pro všechny investiční podniky, které jsou součástí jedné</w:t>
            </w:r>
            <w:r w:rsidRPr="00E71EAB">
              <w:rPr>
                <w:rFonts w:ascii="Times New Roman" w:hAnsi="Times New Roman"/>
                <w:bCs/>
              </w:rPr>
              <w:t xml:space="preserve"> skupiny, podle čl. 12 odst. 2 nařízení (EU) 2019/2033.</w:t>
            </w:r>
          </w:p>
          <w:p w14:paraId="673C036E"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Vykáže se hodnota (řádek 0120 + řádek 0130).</w:t>
            </w:r>
          </w:p>
        </w:tc>
      </w:tr>
      <w:tr w:rsidR="00ED3F18" w:rsidRPr="00E71EAB" w14:paraId="6004F118" w14:textId="77777777">
        <w:tc>
          <w:tcPr>
            <w:tcW w:w="1129" w:type="dxa"/>
          </w:tcPr>
          <w:p w14:paraId="6E8963CC"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0120</w:t>
            </w:r>
          </w:p>
        </w:tc>
        <w:tc>
          <w:tcPr>
            <w:tcW w:w="7620" w:type="dxa"/>
          </w:tcPr>
          <w:p w14:paraId="27C684BE"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Celkové hrubé roční výnosy</w:t>
            </w:r>
          </w:p>
          <w:p w14:paraId="05DF3BC7"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 xml:space="preserve">Hodnota celkových ročních hrubých výnosů </w:t>
            </w:r>
            <w:r w:rsidRPr="00E71EAB">
              <w:rPr>
                <w:rFonts w:ascii="Times New Roman" w:hAnsi="Times New Roman"/>
                <w:bCs/>
                <w:u w:val="single"/>
              </w:rPr>
              <w:t>bez</w:t>
            </w:r>
            <w:r w:rsidRPr="00E71EAB">
              <w:rPr>
                <w:rFonts w:ascii="Times New Roman" w:hAnsi="Times New Roman"/>
                <w:bCs/>
              </w:rPr>
              <w:t xml:space="preserve"> hrubých výnosů vytvořených v rámci skupiny podle čl. 12 odst. 2 nařízení (EU)</w:t>
            </w:r>
            <w:r w:rsidRPr="00E71EAB">
              <w:rPr>
                <w:rFonts w:ascii="Times New Roman" w:hAnsi="Times New Roman"/>
                <w:bCs/>
              </w:rPr>
              <w:t xml:space="preserve"> 2019/2033.</w:t>
            </w:r>
          </w:p>
        </w:tc>
      </w:tr>
      <w:tr w:rsidR="00ED3F18" w:rsidRPr="00E71EAB" w14:paraId="31322D73" w14:textId="77777777">
        <w:tc>
          <w:tcPr>
            <w:tcW w:w="1129" w:type="dxa"/>
          </w:tcPr>
          <w:p w14:paraId="38A22193"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0130</w:t>
            </w:r>
          </w:p>
        </w:tc>
        <w:tc>
          <w:tcPr>
            <w:tcW w:w="7620" w:type="dxa"/>
          </w:tcPr>
          <w:p w14:paraId="3EEEE7E8"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Část hrubých ročních výnosů uvnitř skupiny</w:t>
            </w:r>
          </w:p>
          <w:p w14:paraId="6E439182"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Hodnota hrubých výnosů vytvořených v rámci skupiny investičního podniku podle čl. 12 odst. 2 nařízení (EU) 2019/2033.</w:t>
            </w:r>
          </w:p>
        </w:tc>
      </w:tr>
      <w:tr w:rsidR="00ED3F18" w:rsidRPr="00E71EAB" w14:paraId="03D23018" w14:textId="77777777">
        <w:tc>
          <w:tcPr>
            <w:tcW w:w="1129" w:type="dxa"/>
          </w:tcPr>
          <w:p w14:paraId="6D066D1E"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0140</w:t>
            </w:r>
          </w:p>
        </w:tc>
        <w:tc>
          <w:tcPr>
            <w:tcW w:w="7620" w:type="dxa"/>
          </w:tcPr>
          <w:p w14:paraId="2A94F7A9"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Z toho: výnosy z přijímání a předávání pokynů</w:t>
            </w:r>
          </w:p>
          <w:p w14:paraId="2FEDC744"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 xml:space="preserve">Ustanovení </w:t>
            </w:r>
            <w:r w:rsidRPr="00E71EAB">
              <w:rPr>
                <w:rFonts w:ascii="Times New Roman" w:hAnsi="Times New Roman"/>
                <w:bCs/>
              </w:rPr>
              <w:t>čl. 54 odst. 1 písm. d) nařízení (EU) 2019/2033.</w:t>
            </w:r>
          </w:p>
          <w:p w14:paraId="5002505F"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4 odst. 1 bodu 2 směrnice 2014/65/EU</w:t>
            </w:r>
          </w:p>
        </w:tc>
      </w:tr>
      <w:tr w:rsidR="00ED3F18" w:rsidRPr="00E71EAB" w14:paraId="6A2D8829" w14:textId="77777777">
        <w:tc>
          <w:tcPr>
            <w:tcW w:w="1129" w:type="dxa"/>
          </w:tcPr>
          <w:p w14:paraId="318BCB8E"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0150</w:t>
            </w:r>
          </w:p>
        </w:tc>
        <w:tc>
          <w:tcPr>
            <w:tcW w:w="7620" w:type="dxa"/>
          </w:tcPr>
          <w:p w14:paraId="5B0CE153"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Z toho: výnosy z provádění pokynů zákazníků</w:t>
            </w:r>
          </w:p>
          <w:p w14:paraId="182D05B8"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54 odst. 1 písm. d) nařízení (EU) 2019/2033.</w:t>
            </w:r>
          </w:p>
          <w:p w14:paraId="12413226"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4 odst. 1 bodu 2 směrnice 2014</w:t>
            </w:r>
            <w:r w:rsidRPr="00E71EAB">
              <w:rPr>
                <w:rFonts w:ascii="Times New Roman" w:hAnsi="Times New Roman"/>
                <w:bCs/>
              </w:rPr>
              <w:t>/65/EU</w:t>
            </w:r>
          </w:p>
        </w:tc>
      </w:tr>
      <w:tr w:rsidR="00ED3F18" w:rsidRPr="00E71EAB" w14:paraId="484C7A55" w14:textId="77777777">
        <w:tc>
          <w:tcPr>
            <w:tcW w:w="1129" w:type="dxa"/>
          </w:tcPr>
          <w:p w14:paraId="6FCD7B1D"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8F8E8CB"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Z toho: výnosy z obchodování na vlastní účet</w:t>
            </w:r>
          </w:p>
          <w:p w14:paraId="400784E5"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54 odst. 1 písm. d) nařízení (EU) 2019/2033.</w:t>
            </w:r>
          </w:p>
          <w:p w14:paraId="7B82142A"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4 odst. 1 bodu 2 směrnice 2014/65/EU</w:t>
            </w:r>
          </w:p>
        </w:tc>
      </w:tr>
      <w:tr w:rsidR="00ED3F18" w:rsidRPr="00E71EAB" w14:paraId="43C970DF" w14:textId="77777777">
        <w:tc>
          <w:tcPr>
            <w:tcW w:w="1129" w:type="dxa"/>
          </w:tcPr>
          <w:p w14:paraId="38FDD816"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D578939"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Z toho: výnosy ze správy portfolií</w:t>
            </w:r>
          </w:p>
          <w:p w14:paraId="2238499E"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 xml:space="preserve">Ustanovení čl. 54 odst. 1 písm. d) </w:t>
            </w:r>
            <w:r w:rsidRPr="00E71EAB">
              <w:rPr>
                <w:rFonts w:ascii="Times New Roman" w:hAnsi="Times New Roman"/>
                <w:bCs/>
              </w:rPr>
              <w:t>nařízení (EU) 2019/2033.</w:t>
            </w:r>
          </w:p>
          <w:p w14:paraId="646CFA41"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4 odst. 1 bodu 2 směrnice 2014/65/EU</w:t>
            </w:r>
          </w:p>
        </w:tc>
      </w:tr>
      <w:tr w:rsidR="00ED3F18" w:rsidRPr="00E71EAB" w14:paraId="28A7A522" w14:textId="77777777">
        <w:tc>
          <w:tcPr>
            <w:tcW w:w="1129" w:type="dxa"/>
          </w:tcPr>
          <w:p w14:paraId="21FBEC03"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899F020"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Z toho: výnosy z investičního poradenství</w:t>
            </w:r>
          </w:p>
          <w:p w14:paraId="249DEEF1"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54 odst. 1 písm. d) nařízení (EU) 2019/2033.</w:t>
            </w:r>
          </w:p>
          <w:p w14:paraId="59E45BEE"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4 odst. 1 bodu 2 směrnice 2014/65/EU</w:t>
            </w:r>
          </w:p>
        </w:tc>
      </w:tr>
      <w:tr w:rsidR="00ED3F18" w:rsidRPr="00E71EAB" w14:paraId="0B141307" w14:textId="77777777">
        <w:tc>
          <w:tcPr>
            <w:tcW w:w="1129" w:type="dxa"/>
          </w:tcPr>
          <w:p w14:paraId="4276E3DD"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6107F4F"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xml:space="preserve">Z toho: </w:t>
            </w:r>
            <w:r w:rsidRPr="00E71EAB">
              <w:rPr>
                <w:rFonts w:ascii="Times New Roman" w:hAnsi="Times New Roman"/>
                <w:b/>
                <w:bCs/>
                <w:u w:val="single"/>
              </w:rPr>
              <w:t>výnosy z upsání finančních nástrojů nebo umístění finančních nástrojů na základě pevného závazku převzetí</w:t>
            </w:r>
          </w:p>
          <w:p w14:paraId="21F0D45D"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54 odst. 1 písm. d) nařízení (EU) 2019/2033.</w:t>
            </w:r>
          </w:p>
          <w:p w14:paraId="2F0FC562"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4 odst. 1 bodu 2 směrnice 2014/65/EU</w:t>
            </w:r>
          </w:p>
        </w:tc>
      </w:tr>
      <w:tr w:rsidR="00ED3F18" w:rsidRPr="00E71EAB" w14:paraId="0CA58BE2" w14:textId="77777777">
        <w:tc>
          <w:tcPr>
            <w:tcW w:w="1129" w:type="dxa"/>
          </w:tcPr>
          <w:p w14:paraId="1C2A9F87"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A36C96C"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Z toho: výnosy z umisťování fina</w:t>
            </w:r>
            <w:r w:rsidRPr="00E71EAB">
              <w:rPr>
                <w:rFonts w:ascii="Times New Roman" w:hAnsi="Times New Roman"/>
                <w:b/>
                <w:bCs/>
                <w:u w:val="single"/>
              </w:rPr>
              <w:t>nčních nástrojů bez pevného závazku převzetí</w:t>
            </w:r>
          </w:p>
          <w:p w14:paraId="12DA03BD"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54 odst. 1 písm. d) nařízení (EU) 2019/2033.</w:t>
            </w:r>
          </w:p>
          <w:p w14:paraId="50CE126C"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4 odst. 1 bodu 2 směrnice 2014/65/EU</w:t>
            </w:r>
          </w:p>
        </w:tc>
      </w:tr>
      <w:tr w:rsidR="00ED3F18" w:rsidRPr="00E71EAB" w14:paraId="4E37FA93" w14:textId="77777777">
        <w:tc>
          <w:tcPr>
            <w:tcW w:w="1129" w:type="dxa"/>
          </w:tcPr>
          <w:p w14:paraId="45F41DFD"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12F584A"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Z toho: výnosy z provozování mnohostranného obchodního systému</w:t>
            </w:r>
          </w:p>
          <w:p w14:paraId="505ADF81"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 xml:space="preserve">Ustanovení čl. 54 </w:t>
            </w:r>
            <w:r w:rsidRPr="00E71EAB">
              <w:rPr>
                <w:rFonts w:ascii="Times New Roman" w:hAnsi="Times New Roman"/>
                <w:bCs/>
              </w:rPr>
              <w:t>odst. 1 písm. d) nařízení (EU) 2019/2033.</w:t>
            </w:r>
          </w:p>
          <w:p w14:paraId="493D42C9"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4 odst. 1 bodu 2 směrnice 2014/65/EU</w:t>
            </w:r>
          </w:p>
        </w:tc>
      </w:tr>
      <w:tr w:rsidR="00ED3F18" w:rsidRPr="00E71EAB" w14:paraId="6C2E460A" w14:textId="77777777">
        <w:tc>
          <w:tcPr>
            <w:tcW w:w="1129" w:type="dxa"/>
          </w:tcPr>
          <w:p w14:paraId="5494C646"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A874258"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Z toho: výnosy z provozování organizovaného obchodního systému</w:t>
            </w:r>
          </w:p>
          <w:p w14:paraId="62091EC8"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lastRenderedPageBreak/>
              <w:t>Ustanovení čl. 54 odst. 1 písm. d) nařízení (EU) 2019/2033.</w:t>
            </w:r>
          </w:p>
          <w:p w14:paraId="12EEBF51"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4 odst. 1 bodu 2 s</w:t>
            </w:r>
            <w:r w:rsidRPr="00E71EAB">
              <w:rPr>
                <w:rFonts w:ascii="Times New Roman" w:hAnsi="Times New Roman"/>
                <w:bCs/>
              </w:rPr>
              <w:t>měrnice 2014/65/EU</w:t>
            </w:r>
          </w:p>
        </w:tc>
      </w:tr>
      <w:tr w:rsidR="00ED3F18" w:rsidRPr="00E71EAB" w14:paraId="49658AB4" w14:textId="77777777">
        <w:tc>
          <w:tcPr>
            <w:tcW w:w="1129" w:type="dxa"/>
          </w:tcPr>
          <w:p w14:paraId="4641CFA4"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lastRenderedPageBreak/>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5C79088"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Z toho: výnosy z ukládání a správy finančních nástrojů</w:t>
            </w:r>
          </w:p>
          <w:p w14:paraId="340095F6"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54 odst. 1 písm. d) nařízení (EU) 2019/2033.</w:t>
            </w:r>
          </w:p>
          <w:p w14:paraId="1585CF11"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4 odst. 1 bodu 3 směrnice 2014/65/EU</w:t>
            </w:r>
          </w:p>
        </w:tc>
      </w:tr>
      <w:tr w:rsidR="00ED3F18" w:rsidRPr="00E71EAB" w14:paraId="6D388285" w14:textId="77777777">
        <w:tc>
          <w:tcPr>
            <w:tcW w:w="1129" w:type="dxa"/>
          </w:tcPr>
          <w:p w14:paraId="5786F8D3"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004A3E5"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Z toho: výnosy z poskytování úvěrů nebo půjček investorům</w:t>
            </w:r>
          </w:p>
          <w:p w14:paraId="7D1081F2"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54 odst. 1 písm. d) nařízení (EU) 2019/2033.</w:t>
            </w:r>
          </w:p>
          <w:p w14:paraId="7D56278F"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4 odst. 1 bodu 3 směrnice 2014/65/EU</w:t>
            </w:r>
          </w:p>
        </w:tc>
      </w:tr>
      <w:tr w:rsidR="00ED3F18" w:rsidRPr="00E71EAB" w14:paraId="2C069BF0" w14:textId="77777777">
        <w:tc>
          <w:tcPr>
            <w:tcW w:w="1129" w:type="dxa"/>
          </w:tcPr>
          <w:p w14:paraId="2BF425F9"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0618C76"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Z toho: výnosy z poradenské činnosti podnikům v oblasti struktury kapitálu, průmyslové strategie a souvisejících záležitostí a poradenství</w:t>
            </w:r>
            <w:r w:rsidRPr="00E71EAB">
              <w:rPr>
                <w:rFonts w:ascii="Times New Roman" w:hAnsi="Times New Roman"/>
                <w:b/>
                <w:bCs/>
                <w:u w:val="single"/>
              </w:rPr>
              <w:t xml:space="preserve"> a služeb týkajících se fúzí a nákupu podniků</w:t>
            </w:r>
          </w:p>
          <w:p w14:paraId="49565DE3"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54 odst. 1 písm. d) nařízení (EU) 2019/2033.</w:t>
            </w:r>
          </w:p>
          <w:p w14:paraId="115CB133"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4 odst. 1 bodu 3 směrnice 2014/65/EU</w:t>
            </w:r>
          </w:p>
        </w:tc>
      </w:tr>
      <w:tr w:rsidR="00ED3F18" w:rsidRPr="00E71EAB" w14:paraId="3007D341" w14:textId="77777777">
        <w:tc>
          <w:tcPr>
            <w:tcW w:w="1129" w:type="dxa"/>
          </w:tcPr>
          <w:p w14:paraId="149918B0"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054CAE3"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Z toho: výnosy z měnových služeb</w:t>
            </w:r>
          </w:p>
          <w:p w14:paraId="5FF85415"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 xml:space="preserve">Ustanovení čl. 54 odst. 1 písm. d) nařízení (EU) </w:t>
            </w:r>
            <w:r w:rsidRPr="00E71EAB">
              <w:rPr>
                <w:rFonts w:ascii="Times New Roman" w:hAnsi="Times New Roman"/>
                <w:bCs/>
              </w:rPr>
              <w:t>2019/2033.</w:t>
            </w:r>
          </w:p>
          <w:p w14:paraId="54BE9FDD"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4 odst. 1 bodu 3 směrnice 2014/65/EU</w:t>
            </w:r>
          </w:p>
        </w:tc>
      </w:tr>
      <w:tr w:rsidR="00ED3F18" w:rsidRPr="00E71EAB" w14:paraId="624FD980" w14:textId="77777777">
        <w:tc>
          <w:tcPr>
            <w:tcW w:w="1129" w:type="dxa"/>
          </w:tcPr>
          <w:p w14:paraId="374022A8"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27E49CB"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Z toho: investiční výzkum a finanční analýza</w:t>
            </w:r>
          </w:p>
          <w:p w14:paraId="31E1C484"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54 odst. 1 písm. d) nařízení (EU) 2019/2033.</w:t>
            </w:r>
          </w:p>
          <w:p w14:paraId="3D3CD8A4"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4 odst. 1 bodu 3 směrnice 2014/65/EU</w:t>
            </w:r>
          </w:p>
        </w:tc>
      </w:tr>
      <w:tr w:rsidR="00ED3F18" w:rsidRPr="00E71EAB" w14:paraId="30045EF1" w14:textId="77777777">
        <w:tc>
          <w:tcPr>
            <w:tcW w:w="1129" w:type="dxa"/>
          </w:tcPr>
          <w:p w14:paraId="2C58001B"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708E845"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 xml:space="preserve">Z toho: výnosy ze </w:t>
            </w:r>
            <w:r w:rsidRPr="00E71EAB">
              <w:rPr>
                <w:rFonts w:ascii="Times New Roman" w:hAnsi="Times New Roman"/>
                <w:b/>
                <w:bCs/>
                <w:u w:val="single"/>
              </w:rPr>
              <w:t>služeb souvisejících s upisováním</w:t>
            </w:r>
          </w:p>
          <w:p w14:paraId="3BC37E73"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54 odst. 1 písm. d) nařízení (EU) 2019/2033.</w:t>
            </w:r>
          </w:p>
          <w:p w14:paraId="55D6E462"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4 odst. 1 bodu 3 směrnice 2014/65/EU</w:t>
            </w:r>
          </w:p>
        </w:tc>
      </w:tr>
      <w:tr w:rsidR="00ED3F18" w:rsidRPr="00E71EAB" w14:paraId="61D0ACBF" w14:textId="77777777">
        <w:tc>
          <w:tcPr>
            <w:tcW w:w="1129" w:type="dxa"/>
          </w:tcPr>
          <w:p w14:paraId="32BB0723"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C0D9D69"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
                <w:bCs/>
                <w:u w:val="single"/>
              </w:rPr>
              <w:t>Z toho: investiční služby a doplňkové činnosti související s podkladovým aktivem derivátů</w:t>
            </w:r>
          </w:p>
          <w:p w14:paraId="415C9ADD"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w:t>
            </w:r>
            <w:r w:rsidRPr="00E71EAB">
              <w:rPr>
                <w:rFonts w:ascii="Times New Roman" w:hAnsi="Times New Roman"/>
                <w:bCs/>
              </w:rPr>
              <w:t> 54 odst. 1 písm. d) nařízení (EU) 2019/2033.</w:t>
            </w:r>
          </w:p>
          <w:p w14:paraId="18ADE256"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4 odst. 1 bodu 3 směrnice 2014/65/EU.</w:t>
            </w:r>
          </w:p>
        </w:tc>
      </w:tr>
    </w:tbl>
    <w:p w14:paraId="1D7FFB5F" w14:textId="77777777" w:rsidR="00ED3F18" w:rsidRPr="00E71EAB" w:rsidRDefault="00ED3F18">
      <w:pPr>
        <w:pStyle w:val="Instructionsberschrift2"/>
        <w:ind w:left="357" w:hanging="357"/>
        <w:rPr>
          <w:rFonts w:ascii="Times New Roman" w:hAnsi="Times New Roman" w:cs="Times New Roman"/>
          <w:b/>
          <w:sz w:val="24"/>
          <w:u w:val="none"/>
        </w:rPr>
      </w:pPr>
    </w:p>
    <w:p w14:paraId="51DB3923" w14:textId="77777777" w:rsidR="00ED3F18" w:rsidRPr="00E71EAB" w:rsidRDefault="00E71EAB">
      <w:pPr>
        <w:pStyle w:val="Instructionsberschrift2"/>
        <w:ind w:left="357" w:hanging="357"/>
        <w:rPr>
          <w:rFonts w:ascii="Times New Roman" w:hAnsi="Times New Roman" w:cs="Times New Roman"/>
          <w:b/>
          <w:sz w:val="24"/>
          <w:u w:val="none"/>
        </w:rPr>
      </w:pPr>
      <w:bookmarkStart w:id="45" w:name="_Toc88124567"/>
      <w:r w:rsidRPr="00E71EAB">
        <w:rPr>
          <w:rFonts w:ascii="Times New Roman" w:hAnsi="Times New Roman"/>
          <w:b/>
          <w:sz w:val="24"/>
          <w:u w:val="none"/>
        </w:rPr>
        <w:t>3. POŽADAVKY NA LIKVIDITU</w:t>
      </w:r>
      <w:bookmarkEnd w:id="45"/>
    </w:p>
    <w:p w14:paraId="622BD472" w14:textId="77777777" w:rsidR="00ED3F18" w:rsidRPr="00E71EAB" w:rsidRDefault="00E71EA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6" w:name="_Toc88124568"/>
      <w:r w:rsidRPr="00E71EAB">
        <w:rPr>
          <w:rFonts w:ascii="Times New Roman" w:hAnsi="Times New Roman"/>
          <w:sz w:val="24"/>
          <w:szCs w:val="24"/>
          <w:u w:val="single"/>
        </w:rPr>
        <w:t>3.1 I 09.01 – POŽADAVKY NA LIKVIDITU (I 9.1)</w:t>
      </w:r>
      <w:bookmarkEnd w:id="46"/>
    </w:p>
    <w:p w14:paraId="4682065C" w14:textId="77777777" w:rsidR="00ED3F18" w:rsidRPr="00E71EAB" w:rsidRDefault="00E71EA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88124569"/>
      <w:r w:rsidRPr="00E71EAB">
        <w:rPr>
          <w:rFonts w:ascii="Times New Roman" w:hAnsi="Times New Roman"/>
          <w:sz w:val="24"/>
          <w:szCs w:val="24"/>
        </w:rPr>
        <w:t>3.1.1.</w:t>
      </w:r>
      <w:r w:rsidRPr="00E71EAB">
        <w:rPr>
          <w:rFonts w:ascii="Times New Roman" w:hAnsi="Times New Roman"/>
          <w:sz w:val="24"/>
          <w:szCs w:val="24"/>
        </w:rPr>
        <w:tab/>
      </w:r>
      <w:r w:rsidRPr="00E71EAB">
        <w:rPr>
          <w:rFonts w:ascii="Times New Roman" w:hAnsi="Times New Roman"/>
          <w:sz w:val="24"/>
          <w:szCs w:val="24"/>
          <w:u w:val="single"/>
        </w:rPr>
        <w:t>Pokyny pro konkrétní pozice</w:t>
      </w:r>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D3F18" w:rsidRPr="00E71EAB" w14:paraId="1058A794" w14:textId="77777777">
        <w:tc>
          <w:tcPr>
            <w:tcW w:w="1129" w:type="dxa"/>
            <w:shd w:val="clear" w:color="auto" w:fill="D9D9D9"/>
          </w:tcPr>
          <w:p w14:paraId="053AD550"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rPr>
              <w:t>Řádek</w:t>
            </w:r>
          </w:p>
        </w:tc>
        <w:tc>
          <w:tcPr>
            <w:tcW w:w="7620" w:type="dxa"/>
            <w:shd w:val="clear" w:color="auto" w:fill="D9D9D9"/>
          </w:tcPr>
          <w:p w14:paraId="3D160207"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rPr>
              <w:t>Odkazy na právní předpisy a pokyny</w:t>
            </w:r>
          </w:p>
        </w:tc>
      </w:tr>
      <w:tr w:rsidR="00ED3F18" w:rsidRPr="00E71EAB" w14:paraId="0AC77022" w14:textId="77777777">
        <w:tc>
          <w:tcPr>
            <w:tcW w:w="1129" w:type="dxa"/>
          </w:tcPr>
          <w:p w14:paraId="342194DC"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0010</w:t>
            </w:r>
          </w:p>
        </w:tc>
        <w:tc>
          <w:tcPr>
            <w:tcW w:w="7620" w:type="dxa"/>
          </w:tcPr>
          <w:p w14:paraId="07588954"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Požadavek na likviditu</w:t>
            </w:r>
          </w:p>
          <w:p w14:paraId="6A9900FA"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Cs/>
              </w:rPr>
              <w:t>Ustanovení čl. 43 odst. 1 nařízení (EU) 2019/2033.</w:t>
            </w:r>
          </w:p>
        </w:tc>
      </w:tr>
      <w:tr w:rsidR="00ED3F18" w:rsidRPr="00E71EAB" w14:paraId="3AC1822B" w14:textId="77777777">
        <w:tc>
          <w:tcPr>
            <w:tcW w:w="1129" w:type="dxa"/>
          </w:tcPr>
          <w:p w14:paraId="20257EC0"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0020</w:t>
            </w:r>
          </w:p>
        </w:tc>
        <w:tc>
          <w:tcPr>
            <w:tcW w:w="7620" w:type="dxa"/>
          </w:tcPr>
          <w:p w14:paraId="597C60A4"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Záruky zákazníkům</w:t>
            </w:r>
          </w:p>
          <w:p w14:paraId="13946C11"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i/>
              </w:rPr>
              <w:t>Článek 45</w:t>
            </w:r>
            <w:r w:rsidRPr="00E71EAB">
              <w:rPr>
                <w:rFonts w:ascii="Times New Roman" w:hAnsi="Times New Roman"/>
                <w:bCs/>
              </w:rPr>
              <w:t xml:space="preserve"> nařízení (EU) 2019/2033.</w:t>
            </w:r>
          </w:p>
          <w:p w14:paraId="40027EA6"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lastRenderedPageBreak/>
              <w:t xml:space="preserve">Vykáže se hodnota odpovídající 1,6 % z celkové částky záruk poskytnutých zákazníkům podle článku 45 nařízení (EU) </w:t>
            </w:r>
            <w:r w:rsidRPr="00E71EAB">
              <w:rPr>
                <w:rFonts w:ascii="Times New Roman" w:hAnsi="Times New Roman"/>
                <w:bCs/>
              </w:rPr>
              <w:t>2019/2033.</w:t>
            </w:r>
          </w:p>
        </w:tc>
      </w:tr>
      <w:tr w:rsidR="00ED3F18" w14:paraId="7D89D1BB" w14:textId="77777777">
        <w:tc>
          <w:tcPr>
            <w:tcW w:w="1129" w:type="dxa"/>
          </w:tcPr>
          <w:p w14:paraId="2CAB799F"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lastRenderedPageBreak/>
              <w:t>0030</w:t>
            </w:r>
          </w:p>
        </w:tc>
        <w:tc>
          <w:tcPr>
            <w:tcW w:w="7620" w:type="dxa"/>
          </w:tcPr>
          <w:p w14:paraId="4965A5F9" w14:textId="77777777" w:rsidR="00ED3F18" w:rsidRPr="00E71EAB" w:rsidRDefault="00E71EAB">
            <w:pPr>
              <w:spacing w:after="120" w:line="240" w:lineRule="auto"/>
              <w:jc w:val="both"/>
              <w:rPr>
                <w:rFonts w:ascii="Times New Roman" w:eastAsia="Times New Roman" w:hAnsi="Times New Roman" w:cs="Times New Roman"/>
                <w:b/>
                <w:bCs/>
                <w:u w:val="single"/>
              </w:rPr>
            </w:pPr>
            <w:r w:rsidRPr="00E71EAB">
              <w:rPr>
                <w:rFonts w:ascii="Times New Roman" w:hAnsi="Times New Roman"/>
                <w:b/>
                <w:bCs/>
                <w:u w:val="single"/>
              </w:rPr>
              <w:t>Likvidní aktiva celkem</w:t>
            </w:r>
          </w:p>
          <w:p w14:paraId="5B9D19CC" w14:textId="77777777" w:rsidR="00ED3F18" w:rsidRPr="00E71EAB" w:rsidRDefault="00E71EAB">
            <w:pPr>
              <w:spacing w:after="120" w:line="240" w:lineRule="auto"/>
              <w:jc w:val="both"/>
              <w:rPr>
                <w:rFonts w:ascii="Times New Roman" w:eastAsia="Times New Roman" w:hAnsi="Times New Roman" w:cs="Times New Roman"/>
                <w:bCs/>
              </w:rPr>
            </w:pPr>
            <w:r w:rsidRPr="00E71EAB">
              <w:rPr>
                <w:rFonts w:ascii="Times New Roman" w:hAnsi="Times New Roman"/>
                <w:bCs/>
              </w:rPr>
              <w:t>Ustanovení čl. 43 odst. 1 písm. a) a čl. 43 odst. 2 nařízení (EU) 2019/2033.</w:t>
            </w:r>
          </w:p>
          <w:p w14:paraId="34F386DE" w14:textId="77777777" w:rsidR="00ED3F18" w:rsidRDefault="00E71EAB">
            <w:pPr>
              <w:pStyle w:val="CommentText"/>
              <w:rPr>
                <w:rFonts w:ascii="Times New Roman" w:eastAsia="Times New Roman" w:hAnsi="Times New Roman" w:cs="Times New Roman"/>
                <w:b/>
                <w:bCs/>
                <w:sz w:val="22"/>
                <w:szCs w:val="22"/>
                <w:u w:val="single"/>
              </w:rPr>
            </w:pPr>
            <w:r w:rsidRPr="00E71EAB">
              <w:rPr>
                <w:rFonts w:ascii="Times New Roman" w:hAnsi="Times New Roman"/>
                <w:bCs/>
                <w:sz w:val="22"/>
                <w:szCs w:val="22"/>
              </w:rPr>
              <w:t>Likvidní aktiva celkem se vykáží po uplatnění příslušných srážek.</w:t>
            </w:r>
          </w:p>
        </w:tc>
      </w:tr>
    </w:tbl>
    <w:p w14:paraId="2B3FE008" w14:textId="77777777" w:rsidR="00ED3F18" w:rsidRDefault="00ED3F18"/>
    <w:sectPr w:rsidR="00ED3F18">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0B1B43" w14:textId="77777777" w:rsidR="00ED3F18" w:rsidRDefault="00ED3F18">
      <w:pPr>
        <w:pStyle w:val="Footer"/>
      </w:pPr>
    </w:p>
  </w:endnote>
  <w:endnote w:type="continuationSeparator" w:id="0">
    <w:p w14:paraId="0A19ACE4" w14:textId="77777777" w:rsidR="00ED3F18" w:rsidRDefault="00ED3F1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ACDA4" w14:textId="77777777" w:rsidR="00ED3F18" w:rsidRDefault="00E71EAB">
    <w:pPr>
      <w:pStyle w:val="Footer"/>
      <w:tabs>
        <w:tab w:val="clear" w:pos="4513"/>
        <w:tab w:val="clear" w:pos="9026"/>
        <w:tab w:val="right" w:pos="9071"/>
      </w:tabs>
    </w:pPr>
    <w:r>
      <w:t xml:space="preserve">CS - Cleaned </w:t>
    </w:r>
    <w:r>
      <w:t>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82585D" w14:textId="77777777" w:rsidR="00ED3F18" w:rsidRDefault="00ED3F18">
      <w:pPr>
        <w:pStyle w:val="Footer"/>
      </w:pPr>
    </w:p>
  </w:footnote>
  <w:footnote w:type="continuationSeparator" w:id="0">
    <w:p w14:paraId="65356F94" w14:textId="77777777" w:rsidR="00ED3F18" w:rsidRDefault="00ED3F18">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80769" w14:textId="77777777" w:rsidR="00ED3F18" w:rsidRDefault="00E71EAB">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0F0B6" w14:textId="1A15233A" w:rsidR="00ED3F18" w:rsidRDefault="00E71EAB">
    <w:pPr>
      <w:pStyle w:val="Header"/>
    </w:pPr>
    <w:r>
      <w:rPr>
        <w:noProof/>
      </w:rPr>
      <mc:AlternateContent>
        <mc:Choice Requires="wps">
          <w:drawing>
            <wp:anchor distT="0" distB="0" distL="114300" distR="114300" simplePos="0" relativeHeight="251659264" behindDoc="0" locked="0" layoutInCell="0" allowOverlap="1" wp14:anchorId="37F51E65" wp14:editId="584E98A5">
              <wp:simplePos x="0" y="0"/>
              <wp:positionH relativeFrom="page">
                <wp:posOffset>0</wp:posOffset>
              </wp:positionH>
              <wp:positionV relativeFrom="page">
                <wp:posOffset>190500</wp:posOffset>
              </wp:positionV>
              <wp:extent cx="7560310" cy="273050"/>
              <wp:effectExtent l="0" t="0" r="0" b="12700"/>
              <wp:wrapNone/>
              <wp:docPr id="1" name="MSIPCM507d4950b7f8caf96086a619"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E51804" w14:textId="22550EF1" w:rsidR="00E71EAB" w:rsidRPr="00E71EAB" w:rsidRDefault="00E71EAB" w:rsidP="00E71EAB">
                          <w:pPr>
                            <w:spacing w:after="0"/>
                            <w:rPr>
                              <w:rFonts w:ascii="Calibri" w:hAnsi="Calibri" w:cs="Calibri"/>
                              <w:color w:val="000000"/>
                              <w:sz w:val="24"/>
                            </w:rPr>
                          </w:pPr>
                          <w:r w:rsidRPr="00E71EAB">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7F51E65" id="_x0000_t202" coordsize="21600,21600" o:spt="202" path="m,l,21600r21600,l21600,xe">
              <v:stroke joinstyle="miter"/>
              <v:path gradientshapeok="t" o:connecttype="rect"/>
            </v:shapetype>
            <v:shape id="MSIPCM507d4950b7f8caf96086a619"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Bfdp9W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40E51804" w14:textId="22550EF1" w:rsidR="00E71EAB" w:rsidRPr="00E71EAB" w:rsidRDefault="00E71EAB" w:rsidP="00E71EAB">
                    <w:pPr>
                      <w:spacing w:after="0"/>
                      <w:rPr>
                        <w:rFonts w:ascii="Calibri" w:hAnsi="Calibri" w:cs="Calibri"/>
                        <w:color w:val="000000"/>
                        <w:sz w:val="24"/>
                      </w:rPr>
                    </w:pPr>
                    <w:r w:rsidRPr="00E71EAB">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F1BB4" w14:textId="77777777" w:rsidR="00ED3F18" w:rsidRDefault="00E71EAB">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3C78B8"/>
    <w:multiLevelType w:val="multilevel"/>
    <w:tmpl w:val="292A942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02EC7"/>
    <w:multiLevelType w:val="multilevel"/>
    <w:tmpl w:val="D53C1852"/>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57503B"/>
    <w:multiLevelType w:val="multilevel"/>
    <w:tmpl w:val="50FC63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3"/>
  </w:num>
  <w:num w:numId="4">
    <w:abstractNumId w:val="0"/>
  </w:num>
  <w:num w:numId="5">
    <w:abstractNumId w:val="5"/>
  </w:num>
  <w:num w:numId="6">
    <w:abstractNumId w:val="15"/>
  </w:num>
  <w:num w:numId="7">
    <w:abstractNumId w:val="11"/>
  </w:num>
  <w:num w:numId="8">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2"/>
  </w:num>
  <w:num w:numId="21">
    <w:abstractNumId w:val="3"/>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activeWritingStyle w:appName="MSWord" w:lang="en-US" w:vendorID="64" w:dllVersion="6" w:nlCheck="1" w:checkStyle="1"/>
  <w:defaultTabStop w:val="720"/>
  <w:hyphenationZone w:val="283"/>
  <w:characterSpacingControl w:val="doNotCompress"/>
  <w:hdrShapeDefaults>
    <o:shapedefaults v:ext="edit" spidmax="152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D3F18"/>
    <w:rsid w:val="00E71EAB"/>
    <w:rsid w:val="00ED3F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2577"/>
    <o:shapelayout v:ext="edit">
      <o:idmap v:ext="edit" data="1"/>
    </o:shapelayout>
  </w:shapeDefaults>
  <w:decimalSymbol w:val="."/>
  <w:listSeparator w:val=","/>
  <w14:docId w14:val="420DF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cs-CZ"/>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0"/>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97273F15-3AD6-4E94-9ED4-6BE097587D71}">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4861</Words>
  <Characters>27709</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2021-11-25T15:01:00Z</dcterms:created>
  <dcterms:modified xsi:type="dcterms:W3CDTF">2022-01-14T15:21:00Z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2022-01-14T15:21:31Z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d540ae18-0acf-4e3b-9d05-53a5971fe1d6</vt:lpwstr>
  </property>
  <property fmtid="{D5CDD505-2E9C-101B-9397-08002B2CF9AE}" pid="8" name="MSIP_Label_5c7eb9de-735b-4a68-8fe4-c9c62709b012_ContentBits">
    <vt:lpwstr>1</vt:lpwstr>
  </property>
</Properties>
</file>