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9B5DD" w14:textId="77777777" w:rsidR="004D7AAB" w:rsidRPr="00336696" w:rsidRDefault="003366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336696">
        <w:rPr>
          <w:rFonts w:ascii="Times New Roman" w:hAnsi="Times New Roman"/>
          <w:b/>
          <w:sz w:val="24"/>
          <w:szCs w:val="24"/>
        </w:rPr>
        <w:t>CS</w:t>
      </w:r>
      <w:r w:rsidRPr="00336696">
        <w:rPr>
          <w:rFonts w:ascii="Times New Roman" w:hAnsi="Times New Roman"/>
          <w:b/>
          <w:sz w:val="24"/>
          <w:szCs w:val="24"/>
        </w:rPr>
        <w:br/>
        <w:t>PŘÍLOHA II</w:t>
      </w:r>
    </w:p>
    <w:p w14:paraId="2772BB13" w14:textId="77777777" w:rsidR="004D7AAB" w:rsidRPr="00336696" w:rsidRDefault="003366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336696">
        <w:rPr>
          <w:rFonts w:ascii="Times New Roman" w:hAnsi="Times New Roman"/>
          <w:b/>
          <w:sz w:val="24"/>
          <w:szCs w:val="20"/>
          <w:u w:val="single"/>
        </w:rPr>
        <w:t>PŘÍLOHA II</w:t>
      </w:r>
      <w:bookmarkEnd w:id="0"/>
      <w:bookmarkEnd w:id="1"/>
    </w:p>
    <w:p w14:paraId="777F8EEE" w14:textId="77777777" w:rsidR="004D7AAB" w:rsidRPr="00336696" w:rsidRDefault="003366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36696">
        <w:rPr>
          <w:rFonts w:ascii="Times New Roman" w:hAnsi="Times New Roman"/>
          <w:b/>
          <w:sz w:val="24"/>
          <w:szCs w:val="20"/>
        </w:rPr>
        <w:t>PODÁVÁNÍ ZPRÁV INVESTIČNÍMI PODNIKY, KTERÉ NEJSOU MALÉ A NEPROPOJENÉ INVESTIČNÍ PODNIKY</w:t>
      </w:r>
    </w:p>
    <w:p w14:paraId="739B4827" w14:textId="77777777" w:rsidR="004D7AAB" w:rsidRPr="00336696" w:rsidRDefault="00336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696">
        <w:rPr>
          <w:rFonts w:ascii="Times New Roman" w:hAnsi="Times New Roman"/>
          <w:sz w:val="24"/>
          <w:szCs w:val="24"/>
        </w:rPr>
        <w:t>Obsah</w:t>
      </w:r>
    </w:p>
    <w:p w14:paraId="272BFE93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ČÁST I: OBECNÉ POKYNY</w:t>
      </w:r>
      <w:r w:rsidRPr="00336696">
        <w:rPr>
          <w:noProof/>
        </w:rPr>
        <w:tab/>
        <w:t>4</w:t>
      </w:r>
    </w:p>
    <w:p w14:paraId="5DD2115C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 Struktura a konvence</w:t>
      </w:r>
      <w:r w:rsidRPr="00336696">
        <w:rPr>
          <w:noProof/>
        </w:rPr>
        <w:tab/>
        <w:t>4</w:t>
      </w:r>
    </w:p>
    <w:p w14:paraId="5EF0ECF5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1.1 Struktura</w:t>
      </w:r>
      <w:r w:rsidRPr="00336696">
        <w:rPr>
          <w:noProof/>
        </w:rPr>
        <w:tab/>
        <w:t>4</w:t>
      </w:r>
    </w:p>
    <w:p w14:paraId="5BBF5A7A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1.2 Konvence v oblasti číslování</w:t>
      </w:r>
      <w:r w:rsidRPr="00336696">
        <w:rPr>
          <w:noProof/>
        </w:rPr>
        <w:tab/>
        <w:t>4</w:t>
      </w:r>
    </w:p>
    <w:p w14:paraId="56FEF49A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 xml:space="preserve">1.3 </w:t>
      </w:r>
      <w:r w:rsidRPr="00336696">
        <w:rPr>
          <w:rFonts w:ascii="Times New Roman" w:hAnsi="Times New Roman"/>
          <w:noProof/>
          <w:u w:val="single"/>
        </w:rPr>
        <w:t>Konvence v oblasti znamének</w:t>
      </w:r>
      <w:r w:rsidRPr="00336696">
        <w:rPr>
          <w:noProof/>
        </w:rPr>
        <w:tab/>
        <w:t>4</w:t>
      </w:r>
    </w:p>
    <w:p w14:paraId="0DFAA292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1.4 Obezřetnostní konsolidace</w:t>
      </w:r>
      <w:r w:rsidRPr="00336696">
        <w:rPr>
          <w:noProof/>
        </w:rPr>
        <w:tab/>
        <w:t>4</w:t>
      </w:r>
    </w:p>
    <w:p w14:paraId="633B80B8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ČÁST II: POKYNY K ŠABLONÁM</w:t>
      </w:r>
      <w:r w:rsidRPr="00336696">
        <w:rPr>
          <w:noProof/>
        </w:rPr>
        <w:tab/>
        <w:t>5</w:t>
      </w:r>
    </w:p>
    <w:p w14:paraId="7CC61032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b/>
          <w:noProof/>
        </w:rPr>
        <w:t>1. KAPITÁL: VÝŠE, SLOŽENÍ, POŽADAVKY A VÝPOČET</w:t>
      </w:r>
      <w:r w:rsidRPr="00336696">
        <w:rPr>
          <w:noProof/>
        </w:rPr>
        <w:tab/>
        <w:t>5</w:t>
      </w:r>
    </w:p>
    <w:p w14:paraId="556849F2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1.1 Obecné poznámky</w:t>
      </w:r>
      <w:r w:rsidRPr="00336696">
        <w:rPr>
          <w:noProof/>
        </w:rPr>
        <w:tab/>
        <w:t>5</w:t>
      </w:r>
    </w:p>
    <w:p w14:paraId="1CE9A574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1.2. I 01.00 – SLOŽENÍ KAPITÁLU (I 1)</w:t>
      </w:r>
      <w:r w:rsidRPr="00336696">
        <w:rPr>
          <w:noProof/>
        </w:rPr>
        <w:tab/>
        <w:t>5</w:t>
      </w:r>
    </w:p>
    <w:p w14:paraId="4A7D1321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1.2.1.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5</w:t>
      </w:r>
    </w:p>
    <w:p w14:paraId="3B53B779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 xml:space="preserve">1.3. </w:t>
      </w:r>
      <w:r w:rsidRPr="00336696">
        <w:rPr>
          <w:rFonts w:ascii="Times New Roman" w:hAnsi="Times New Roman"/>
          <w:noProof/>
          <w:u w:val="single"/>
        </w:rPr>
        <w:t>I 02.01 – KAPITÁLOVÉ POŽADAVKY (I 2.1)</w:t>
      </w:r>
      <w:r w:rsidRPr="00336696">
        <w:rPr>
          <w:noProof/>
        </w:rPr>
        <w:tab/>
        <w:t>12</w:t>
      </w:r>
    </w:p>
    <w:p w14:paraId="15B278AC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1.3.1.</w:t>
      </w:r>
      <w:r w:rsidRPr="00336696">
        <w:rPr>
          <w:rFonts w:ascii="Times New Roman" w:hAnsi="Times New Roman"/>
          <w:noProof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12</w:t>
      </w:r>
    </w:p>
    <w:p w14:paraId="7ACC1E8B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1.4. I 02.02 – KAPITÁLOVÉ POMĚRY (I 2.2)</w:t>
      </w:r>
      <w:r w:rsidRPr="00336696">
        <w:rPr>
          <w:noProof/>
        </w:rPr>
        <w:tab/>
        <w:t>13</w:t>
      </w:r>
    </w:p>
    <w:p w14:paraId="03BCC651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1.4.1.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13</w:t>
      </w:r>
    </w:p>
    <w:p w14:paraId="7C10C2CD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1.5. I 03.00 – VÝPOČET POŽADAVKU DLE FIXNÍCH REŽIJNÍCH NÁKLADŮ (I 3)</w:t>
      </w:r>
      <w:r w:rsidRPr="00336696">
        <w:rPr>
          <w:noProof/>
        </w:rPr>
        <w:tab/>
        <w:t>14</w:t>
      </w:r>
    </w:p>
    <w:p w14:paraId="2A0E2736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1.5.1.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</w:t>
      </w:r>
      <w:r w:rsidRPr="00336696">
        <w:rPr>
          <w:rFonts w:ascii="Times New Roman" w:hAnsi="Times New Roman"/>
          <w:noProof/>
          <w:u w:val="single"/>
        </w:rPr>
        <w:t>rétní pozice</w:t>
      </w:r>
      <w:r w:rsidRPr="00336696">
        <w:rPr>
          <w:noProof/>
        </w:rPr>
        <w:tab/>
        <w:t>14</w:t>
      </w:r>
    </w:p>
    <w:p w14:paraId="7C031C74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1.6. I 04.00 – VÝPOČTY CELKOVÉHO POŽADAVKU DLE K-FAKTORŮ (I 4)</w:t>
      </w:r>
      <w:r w:rsidRPr="00336696">
        <w:rPr>
          <w:noProof/>
        </w:rPr>
        <w:tab/>
        <w:t>17</w:t>
      </w:r>
    </w:p>
    <w:p w14:paraId="1E67862E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1.6.1.</w:t>
      </w:r>
      <w:r w:rsidRPr="00336696">
        <w:rPr>
          <w:rFonts w:ascii="Times New Roman" w:hAnsi="Times New Roman"/>
          <w:noProof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17</w:t>
      </w:r>
    </w:p>
    <w:p w14:paraId="049345E4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b/>
          <w:noProof/>
        </w:rPr>
        <w:t>2. MALÉ A NEPROPOJENÉ INVESTIČNÍ PODNIKY</w:t>
      </w:r>
      <w:r w:rsidRPr="00336696">
        <w:rPr>
          <w:noProof/>
        </w:rPr>
        <w:tab/>
        <w:t>18</w:t>
      </w:r>
    </w:p>
    <w:p w14:paraId="20ECF1A1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2.1. I 05.00 – INTENZITA ČINNOSTI – PŘEZKUM PRAHOVÝCH HODNOT (I 5)</w:t>
      </w:r>
      <w:r w:rsidRPr="00336696">
        <w:rPr>
          <w:noProof/>
        </w:rPr>
        <w:tab/>
        <w:t>18</w:t>
      </w:r>
    </w:p>
    <w:p w14:paraId="3CFE7100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2.1.1.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</w:t>
      </w:r>
      <w:r w:rsidRPr="00336696">
        <w:rPr>
          <w:rFonts w:ascii="Times New Roman" w:hAnsi="Times New Roman"/>
          <w:noProof/>
          <w:u w:val="single"/>
        </w:rPr>
        <w:t>rétní pozice</w:t>
      </w:r>
      <w:r w:rsidRPr="00336696">
        <w:rPr>
          <w:noProof/>
        </w:rPr>
        <w:tab/>
        <w:t>18</w:t>
      </w:r>
    </w:p>
    <w:p w14:paraId="0841D9BB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b/>
          <w:noProof/>
        </w:rPr>
        <w:t>3. POŽADAVKY DLE K-FAKTORŮ – DOPLŇUJÍCÍ PODROBNOSTI</w:t>
      </w:r>
      <w:r w:rsidRPr="00336696">
        <w:rPr>
          <w:noProof/>
        </w:rPr>
        <w:tab/>
        <w:t>21</w:t>
      </w:r>
    </w:p>
    <w:p w14:paraId="614A8E68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3.2. I 06.01 – SPRAVOVANÝ MAJETEK – DOPLŇUJÍCÍ PODROBNOSTI (I 6.1)</w:t>
      </w:r>
      <w:r w:rsidRPr="00336696">
        <w:rPr>
          <w:noProof/>
        </w:rPr>
        <w:tab/>
        <w:t>22</w:t>
      </w:r>
    </w:p>
    <w:p w14:paraId="044623D2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3.2.1.</w:t>
      </w:r>
      <w:r w:rsidRPr="00336696">
        <w:rPr>
          <w:rFonts w:ascii="Times New Roman" w:hAnsi="Times New Roman"/>
          <w:noProof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22</w:t>
      </w:r>
    </w:p>
    <w:p w14:paraId="11D8E252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3.3. I 06.02 – MĚSÍČNÍ SPRAVOVANÝ MAJETEK (I 6.2)</w:t>
      </w:r>
      <w:r w:rsidRPr="00336696">
        <w:rPr>
          <w:noProof/>
        </w:rPr>
        <w:tab/>
        <w:t>23</w:t>
      </w:r>
    </w:p>
    <w:p w14:paraId="486F0BA7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3.3.1.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</w:t>
      </w:r>
      <w:r w:rsidRPr="00336696">
        <w:rPr>
          <w:rFonts w:ascii="Times New Roman" w:hAnsi="Times New Roman"/>
          <w:noProof/>
          <w:u w:val="single"/>
        </w:rPr>
        <w:t>tní pozice</w:t>
      </w:r>
      <w:r w:rsidRPr="00336696">
        <w:rPr>
          <w:noProof/>
        </w:rPr>
        <w:tab/>
        <w:t>23</w:t>
      </w:r>
    </w:p>
    <w:p w14:paraId="671ED16B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3.4. I 06.03 – DRŽENÉ PENÍZE ZÁKAZNÍKŮ – DOPLŇUJÍCÍ PODROBNOSTI (I 6.3)</w:t>
      </w:r>
      <w:r w:rsidRPr="00336696">
        <w:rPr>
          <w:noProof/>
        </w:rPr>
        <w:tab/>
        <w:t>23</w:t>
      </w:r>
    </w:p>
    <w:p w14:paraId="2454E837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3.4.1.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23</w:t>
      </w:r>
    </w:p>
    <w:p w14:paraId="685D407F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lastRenderedPageBreak/>
        <w:t>3.5. I 06.04 – PRŮMĚRNÁ HODNOTA CELKOVÝCH DENNÍCH DRŽENÝCH PENĚZ ZÁKAZNÍKŮ (I 6.4)</w:t>
      </w:r>
      <w:r w:rsidRPr="00336696">
        <w:rPr>
          <w:noProof/>
        </w:rPr>
        <w:tab/>
        <w:t>24</w:t>
      </w:r>
    </w:p>
    <w:p w14:paraId="5C804305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3.5.1.</w:t>
      </w:r>
      <w:r w:rsidRPr="00336696">
        <w:rPr>
          <w:rFonts w:ascii="Times New Roman" w:hAnsi="Times New Roman"/>
          <w:noProof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24</w:t>
      </w:r>
    </w:p>
    <w:p w14:paraId="3F97EC76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3.6. I 06.05 – MAJETEK V ÚSCHOVĚ A SPRÁVĚ – DOPLŇUJÍCÍ PODROBNOSTI (I 6.5)</w:t>
      </w:r>
      <w:r w:rsidRPr="00336696">
        <w:rPr>
          <w:noProof/>
        </w:rPr>
        <w:tab/>
        <w:t>25</w:t>
      </w:r>
    </w:p>
    <w:p w14:paraId="425735F2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3.6.1.</w:t>
      </w:r>
      <w:r w:rsidRPr="00336696">
        <w:rPr>
          <w:rFonts w:ascii="Times New Roman" w:hAnsi="Times New Roman"/>
          <w:noProof/>
        </w:rPr>
        <w:tab/>
        <w:t>Pokyny pro konkrétní pozice</w:t>
      </w:r>
      <w:r w:rsidRPr="00336696">
        <w:rPr>
          <w:noProof/>
        </w:rPr>
        <w:tab/>
        <w:t>25</w:t>
      </w:r>
    </w:p>
    <w:p w14:paraId="26BD5EE8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3.7. I 06.06 – PRŮMĚRNÁ HODNOTA DENNÍHO MAJETKU V ÚSCHOVĚ A SPRÁVĚ CELKEM (I 6.6)</w:t>
      </w:r>
      <w:r w:rsidRPr="00336696">
        <w:rPr>
          <w:noProof/>
        </w:rPr>
        <w:tab/>
        <w:t>26</w:t>
      </w:r>
    </w:p>
    <w:p w14:paraId="49EEA387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3.7.1.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26</w:t>
      </w:r>
    </w:p>
    <w:p w14:paraId="63044330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3.8. I 06.07 – ZP</w:t>
      </w:r>
      <w:r w:rsidRPr="00336696">
        <w:rPr>
          <w:rFonts w:ascii="Times New Roman" w:hAnsi="Times New Roman"/>
          <w:noProof/>
          <w:u w:val="single"/>
        </w:rPr>
        <w:t>RACOVANÉ POKYNY ZÁKAZNÍKŮ – DOPLŇUJÍCÍ PODROBNOSTI (I 6.7)</w:t>
      </w:r>
      <w:r w:rsidRPr="00336696">
        <w:rPr>
          <w:noProof/>
        </w:rPr>
        <w:tab/>
        <w:t>27</w:t>
      </w:r>
    </w:p>
    <w:p w14:paraId="35927DC7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3.8.1.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27</w:t>
      </w:r>
    </w:p>
    <w:p w14:paraId="4FF00000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3.9. I 06.08 – PRŮMĚRNÁ HODNOTA CELKOVÝCH DENNÍCH ZPRACOVANÝCH POKYNŮ ZÁKAZNÍKŮ (I 6.8)</w:t>
      </w:r>
      <w:r w:rsidRPr="00336696">
        <w:rPr>
          <w:noProof/>
        </w:rPr>
        <w:tab/>
        <w:t>28</w:t>
      </w:r>
    </w:p>
    <w:p w14:paraId="453CEF7E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3.9.1.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28</w:t>
      </w:r>
    </w:p>
    <w:p w14:paraId="4DBC9967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 xml:space="preserve">3.10. I 06.09 – </w:t>
      </w:r>
      <w:r w:rsidRPr="00336696">
        <w:rPr>
          <w:rFonts w:ascii="Times New Roman" w:hAnsi="Times New Roman"/>
          <w:noProof/>
          <w:u w:val="single"/>
        </w:rPr>
        <w:t>K-FAKTOR ČISTÉ POZIČNÍ RIZIKO – DOPLŇUJÍCÍ PODROBNOSTI (I 6.9)</w:t>
      </w:r>
      <w:r w:rsidRPr="00336696">
        <w:rPr>
          <w:noProof/>
        </w:rPr>
        <w:tab/>
        <w:t>29</w:t>
      </w:r>
    </w:p>
    <w:p w14:paraId="5755DC15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3.10.1.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29</w:t>
      </w:r>
    </w:p>
    <w:p w14:paraId="13E8FF67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3.11. I 06.10 – MARŽE POŽADOVANÁ PRO ÚČELY CLEARINGU – DOPLŇUJÍCÍ PODROBNOSTI (I 6.10)</w:t>
      </w:r>
      <w:r w:rsidRPr="00336696">
        <w:rPr>
          <w:noProof/>
        </w:rPr>
        <w:tab/>
        <w:t>30</w:t>
      </w:r>
    </w:p>
    <w:p w14:paraId="6C9AC9DD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 xml:space="preserve">3.11.1. </w:t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30</w:t>
      </w:r>
    </w:p>
    <w:p w14:paraId="093F0D03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3.12. I 06.11 – SELHÁN</w:t>
      </w:r>
      <w:r w:rsidRPr="00336696">
        <w:rPr>
          <w:rFonts w:ascii="Times New Roman" w:hAnsi="Times New Roman"/>
          <w:noProof/>
          <w:u w:val="single"/>
        </w:rPr>
        <w:t>Í PROTISTRANY OBCHODU – DOPLŇUJÍCÍ PODROBNOSTI (I 6.11)</w:t>
      </w:r>
      <w:r w:rsidRPr="00336696">
        <w:rPr>
          <w:noProof/>
        </w:rPr>
        <w:tab/>
        <w:t>31</w:t>
      </w:r>
    </w:p>
    <w:p w14:paraId="52E2EAF4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3.12.1.</w:t>
      </w:r>
      <w:r w:rsidRPr="00336696">
        <w:rPr>
          <w:rFonts w:eastAsiaTheme="minorEastAsia"/>
          <w:noProof/>
          <w:lang w:eastAsia="cs-CZ"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31</w:t>
      </w:r>
    </w:p>
    <w:p w14:paraId="665C7BB0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3.13. I 06.12 – DENNÍ OBJEM OBCHODOVÁNÍ – DOPLŇUJÍCÍ PODROBNOSTI (I 6.12)</w:t>
      </w:r>
      <w:r w:rsidRPr="00336696">
        <w:rPr>
          <w:noProof/>
        </w:rPr>
        <w:tab/>
        <w:t>33</w:t>
      </w:r>
    </w:p>
    <w:p w14:paraId="0502021B" w14:textId="77777777" w:rsidR="004D7AAB" w:rsidRPr="00336696" w:rsidRDefault="00336696">
      <w:pPr>
        <w:pStyle w:val="TOC2"/>
        <w:tabs>
          <w:tab w:val="left" w:pos="132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3.13.1.</w:t>
      </w:r>
      <w:r w:rsidRPr="00336696">
        <w:rPr>
          <w:rFonts w:ascii="Times New Roman" w:hAnsi="Times New Roman"/>
          <w:noProof/>
        </w:rPr>
        <w:tab/>
        <w:t>Pokyny pro konkrétní pozice</w:t>
      </w:r>
      <w:r w:rsidRPr="00336696">
        <w:rPr>
          <w:noProof/>
        </w:rPr>
        <w:tab/>
        <w:t>33</w:t>
      </w:r>
    </w:p>
    <w:p w14:paraId="39178041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>3.14. I 06.13 – PRŮMĚRNÁ HODNOTA CELKOVÉHO</w:t>
      </w:r>
      <w:r w:rsidRPr="00336696">
        <w:rPr>
          <w:rFonts w:ascii="Times New Roman" w:hAnsi="Times New Roman"/>
          <w:noProof/>
          <w:u w:val="single"/>
        </w:rPr>
        <w:t xml:space="preserve"> DENNÍHO OBJEMU OBCHODOVÁNÍ (I 6.13)</w:t>
      </w:r>
      <w:r w:rsidRPr="00336696">
        <w:rPr>
          <w:noProof/>
        </w:rPr>
        <w:tab/>
        <w:t>33</w:t>
      </w:r>
    </w:p>
    <w:p w14:paraId="55A00B2A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3.14.1. Pokyny pro konkrétní pozice</w:t>
      </w:r>
      <w:r w:rsidRPr="00336696">
        <w:rPr>
          <w:noProof/>
        </w:rPr>
        <w:tab/>
        <w:t>33</w:t>
      </w:r>
    </w:p>
    <w:p w14:paraId="77D92405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b/>
          <w:noProof/>
        </w:rPr>
        <w:t>4. PODÁVÁNÍ ZPRÁV O RIZIKU KONCENTRACE</w:t>
      </w:r>
      <w:r w:rsidRPr="00336696">
        <w:rPr>
          <w:noProof/>
        </w:rPr>
        <w:tab/>
        <w:t>34</w:t>
      </w:r>
    </w:p>
    <w:p w14:paraId="6047C4E2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4.1. Obecné poznámky</w:t>
      </w:r>
      <w:r w:rsidRPr="00336696">
        <w:rPr>
          <w:noProof/>
        </w:rPr>
        <w:tab/>
        <w:t>34</w:t>
      </w:r>
    </w:p>
    <w:p w14:paraId="3C58EFB0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4.2. I 07.00 – K-CON – DOPLŇUJÍCÍ PODROBNOSTI (I7)</w:t>
      </w:r>
      <w:r w:rsidRPr="00336696">
        <w:rPr>
          <w:noProof/>
        </w:rPr>
        <w:tab/>
        <w:t>34</w:t>
      </w:r>
    </w:p>
    <w:p w14:paraId="3AF007C2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4.2.1.</w:t>
      </w:r>
      <w:r w:rsidRPr="00336696">
        <w:rPr>
          <w:rFonts w:ascii="Times New Roman" w:hAnsi="Times New Roman"/>
          <w:noProof/>
        </w:rPr>
        <w:tab/>
        <w:t>Pokyny pro konkrétní pozice</w:t>
      </w:r>
      <w:r w:rsidRPr="00336696">
        <w:rPr>
          <w:noProof/>
        </w:rPr>
        <w:tab/>
        <w:t>34</w:t>
      </w:r>
    </w:p>
    <w:p w14:paraId="256668A2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4.3. I 08.01 – ÚROV</w:t>
      </w:r>
      <w:r w:rsidRPr="00336696">
        <w:rPr>
          <w:rFonts w:ascii="Times New Roman" w:hAnsi="Times New Roman"/>
          <w:noProof/>
        </w:rPr>
        <w:t>EŇ RIZIKA KONCENTRACE – DRŽENÉ PENÍZE ZÁKAZNÍKŮ (I 8.1)</w:t>
      </w:r>
      <w:r w:rsidRPr="00336696">
        <w:rPr>
          <w:noProof/>
        </w:rPr>
        <w:tab/>
        <w:t>36</w:t>
      </w:r>
    </w:p>
    <w:p w14:paraId="64C8C972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4.3.1.</w:t>
      </w:r>
      <w:r w:rsidRPr="00336696">
        <w:rPr>
          <w:rFonts w:ascii="Times New Roman" w:hAnsi="Times New Roman"/>
          <w:noProof/>
        </w:rPr>
        <w:tab/>
        <w:t>Pokyny týkající se jednotlivých sloupců</w:t>
      </w:r>
      <w:r w:rsidRPr="00336696">
        <w:rPr>
          <w:noProof/>
        </w:rPr>
        <w:tab/>
        <w:t>36</w:t>
      </w:r>
    </w:p>
    <w:p w14:paraId="05E4F5E8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4.4. I 08.02 – ÚROVEŇ RIZIKA KONCENTRACE – MAJETEK V ÚSCHOVĚ A SPRÁVĚ (I 8.2)</w:t>
      </w:r>
      <w:r w:rsidRPr="00336696">
        <w:rPr>
          <w:noProof/>
        </w:rPr>
        <w:tab/>
        <w:t>37</w:t>
      </w:r>
    </w:p>
    <w:p w14:paraId="3BBA7071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4.4.1.</w:t>
      </w:r>
      <w:r w:rsidRPr="00336696">
        <w:rPr>
          <w:rFonts w:ascii="Times New Roman" w:hAnsi="Times New Roman"/>
          <w:noProof/>
        </w:rPr>
        <w:tab/>
        <w:t>Pokyny týkající se jednotlivých sloupců</w:t>
      </w:r>
      <w:r w:rsidRPr="00336696">
        <w:rPr>
          <w:noProof/>
        </w:rPr>
        <w:tab/>
        <w:t>37</w:t>
      </w:r>
    </w:p>
    <w:p w14:paraId="7A786A80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 xml:space="preserve">4.5. </w:t>
      </w:r>
      <w:r w:rsidRPr="00336696">
        <w:rPr>
          <w:rFonts w:ascii="Times New Roman" w:hAnsi="Times New Roman"/>
          <w:noProof/>
        </w:rPr>
        <w:t>I 08.03 – ÚROVEŇ RIZIKA KONCENTRACE – ULOŽENÁ VLASTNÍ HOTOVOST CELKEM (I 8.3)</w:t>
      </w:r>
      <w:r w:rsidRPr="00336696">
        <w:rPr>
          <w:noProof/>
        </w:rPr>
        <w:tab/>
        <w:t>37</w:t>
      </w:r>
    </w:p>
    <w:p w14:paraId="789AAD54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lastRenderedPageBreak/>
        <w:t>4.5.1.</w:t>
      </w:r>
      <w:r w:rsidRPr="00336696">
        <w:rPr>
          <w:rFonts w:ascii="Times New Roman" w:hAnsi="Times New Roman"/>
          <w:noProof/>
        </w:rPr>
        <w:tab/>
        <w:t>Pokyny týkající se jednotlivých sloupců</w:t>
      </w:r>
      <w:r w:rsidRPr="00336696">
        <w:rPr>
          <w:noProof/>
        </w:rPr>
        <w:tab/>
        <w:t>37</w:t>
      </w:r>
    </w:p>
    <w:p w14:paraId="60F86108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4.6. I 08.04 – ÚROVEŇ RIZIKA KONCENTRACE – ZISK CELKEM (I 8.4)</w:t>
      </w:r>
      <w:r w:rsidRPr="00336696">
        <w:rPr>
          <w:noProof/>
        </w:rPr>
        <w:tab/>
        <w:t>38</w:t>
      </w:r>
    </w:p>
    <w:p w14:paraId="33AF50F1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4.6.1.</w:t>
      </w:r>
      <w:r w:rsidRPr="00336696">
        <w:rPr>
          <w:rFonts w:ascii="Times New Roman" w:hAnsi="Times New Roman"/>
          <w:noProof/>
        </w:rPr>
        <w:tab/>
        <w:t>Pokyny týkající se jednotlivých sloupců</w:t>
      </w:r>
      <w:r w:rsidRPr="00336696">
        <w:rPr>
          <w:noProof/>
        </w:rPr>
        <w:tab/>
        <w:t>38</w:t>
      </w:r>
    </w:p>
    <w:p w14:paraId="67C0E9A4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4.7. I 08</w:t>
      </w:r>
      <w:r w:rsidRPr="00336696">
        <w:rPr>
          <w:rFonts w:ascii="Times New Roman" w:hAnsi="Times New Roman"/>
          <w:noProof/>
        </w:rPr>
        <w:t>.05 – EXPOZICE OBCHODNÍHO PORTFOLIA (I 8.5)</w:t>
      </w:r>
      <w:r w:rsidRPr="00336696">
        <w:rPr>
          <w:noProof/>
        </w:rPr>
        <w:tab/>
        <w:t>39</w:t>
      </w:r>
    </w:p>
    <w:p w14:paraId="6ED02C57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4.7.1.</w:t>
      </w:r>
      <w:r w:rsidRPr="00336696">
        <w:rPr>
          <w:rFonts w:ascii="Times New Roman" w:hAnsi="Times New Roman"/>
          <w:noProof/>
        </w:rPr>
        <w:tab/>
        <w:t>Pokyny týkající se jednotlivých sloupců</w:t>
      </w:r>
      <w:r w:rsidRPr="00336696">
        <w:rPr>
          <w:noProof/>
        </w:rPr>
        <w:tab/>
        <w:t>39</w:t>
      </w:r>
    </w:p>
    <w:p w14:paraId="4341F7CC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4.8. I 08.06 – INVESTIČNÍ PORTFOLIO A PODROZVAHOVÉ POLOŽKY (I 8.6)</w:t>
      </w:r>
      <w:r w:rsidRPr="00336696">
        <w:rPr>
          <w:noProof/>
        </w:rPr>
        <w:tab/>
        <w:t>40</w:t>
      </w:r>
    </w:p>
    <w:p w14:paraId="54CC200E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4.8.1.</w:t>
      </w:r>
      <w:r w:rsidRPr="00336696">
        <w:rPr>
          <w:rFonts w:ascii="Times New Roman" w:hAnsi="Times New Roman"/>
          <w:noProof/>
        </w:rPr>
        <w:tab/>
        <w:t>Pokyny týkající se jednotlivých sloupců</w:t>
      </w:r>
      <w:r w:rsidRPr="00336696">
        <w:rPr>
          <w:noProof/>
        </w:rPr>
        <w:tab/>
        <w:t>40</w:t>
      </w:r>
    </w:p>
    <w:p w14:paraId="35F695D9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b/>
          <w:noProof/>
        </w:rPr>
        <w:t>5. POŽADAVKY NA LIKVIDITU</w:t>
      </w:r>
      <w:r w:rsidRPr="00336696">
        <w:rPr>
          <w:noProof/>
        </w:rPr>
        <w:tab/>
        <w:t>41</w:t>
      </w:r>
    </w:p>
    <w:p w14:paraId="4FDF7ABA" w14:textId="77777777" w:rsidR="004D7AAB" w:rsidRPr="00336696" w:rsidRDefault="00336696">
      <w:pPr>
        <w:pStyle w:val="TOC2"/>
        <w:tabs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  <w:u w:val="single"/>
        </w:rPr>
        <w:t xml:space="preserve">5.1 </w:t>
      </w:r>
      <w:r w:rsidRPr="00336696">
        <w:rPr>
          <w:rFonts w:ascii="Times New Roman" w:hAnsi="Times New Roman"/>
          <w:noProof/>
          <w:u w:val="single"/>
        </w:rPr>
        <w:t>I 09.00 – POŽADAVKY NA LIKVIDITU (I 9)</w:t>
      </w:r>
      <w:r w:rsidRPr="00336696">
        <w:rPr>
          <w:noProof/>
        </w:rPr>
        <w:tab/>
        <w:t>41</w:t>
      </w:r>
    </w:p>
    <w:p w14:paraId="4B7403B1" w14:textId="77777777" w:rsidR="004D7AAB" w:rsidRPr="00336696" w:rsidRDefault="00336696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cs-CZ"/>
        </w:rPr>
      </w:pPr>
      <w:r w:rsidRPr="00336696">
        <w:rPr>
          <w:rFonts w:ascii="Times New Roman" w:hAnsi="Times New Roman"/>
          <w:noProof/>
        </w:rPr>
        <w:t>5.1.1.</w:t>
      </w:r>
      <w:r w:rsidRPr="00336696">
        <w:rPr>
          <w:rFonts w:ascii="Times New Roman" w:hAnsi="Times New Roman"/>
          <w:noProof/>
        </w:rPr>
        <w:tab/>
      </w:r>
      <w:r w:rsidRPr="00336696">
        <w:rPr>
          <w:rFonts w:ascii="Times New Roman" w:hAnsi="Times New Roman"/>
          <w:noProof/>
          <w:u w:val="single"/>
        </w:rPr>
        <w:t>Pokyny pro konkrétní pozice</w:t>
      </w:r>
      <w:r w:rsidRPr="00336696">
        <w:rPr>
          <w:noProof/>
        </w:rPr>
        <w:tab/>
        <w:t>41</w:t>
      </w:r>
      <w:bookmarkStart w:id="6" w:name="_Toc360188322"/>
      <w:bookmarkStart w:id="7" w:name="_Toc473560870"/>
      <w:bookmarkStart w:id="8" w:name="_Toc7084155"/>
    </w:p>
    <w:p w14:paraId="3CBE7A23" w14:textId="77777777" w:rsidR="004D7AAB" w:rsidRPr="00336696" w:rsidRDefault="004D7AAB"/>
    <w:p w14:paraId="72606C93" w14:textId="77777777" w:rsidR="004D7AAB" w:rsidRPr="00336696" w:rsidRDefault="004D7AAB"/>
    <w:p w14:paraId="783237C3" w14:textId="77777777" w:rsidR="004D7AAB" w:rsidRPr="00336696" w:rsidRDefault="004D7AAB"/>
    <w:p w14:paraId="3992377D" w14:textId="77777777" w:rsidR="004D7AAB" w:rsidRPr="00336696" w:rsidRDefault="00336696">
      <w:pPr>
        <w:pStyle w:val="Heading2"/>
        <w:rPr>
          <w:rFonts w:ascii="Times New Roman" w:hAnsi="Times New Roman"/>
        </w:rPr>
      </w:pPr>
      <w:bookmarkStart w:id="9" w:name="_Toc35795004"/>
      <w:bookmarkStart w:id="10" w:name="_Toc88125738"/>
      <w:r w:rsidRPr="00336696">
        <w:rPr>
          <w:rFonts w:ascii="Times New Roman" w:hAnsi="Times New Roman"/>
        </w:rPr>
        <w:t>ČÁST I: OBECNÉ POKYNY</w:t>
      </w:r>
      <w:bookmarkEnd w:id="9"/>
      <w:bookmarkEnd w:id="10"/>
    </w:p>
    <w:p w14:paraId="396795CB" w14:textId="77777777" w:rsidR="004D7AAB" w:rsidRPr="00336696" w:rsidRDefault="00336696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1" w:name="_Toc35795005"/>
      <w:bookmarkStart w:id="12" w:name="_Toc88125739"/>
      <w:r w:rsidRPr="00336696">
        <w:rPr>
          <w:rFonts w:ascii="Times New Roman" w:hAnsi="Times New Roman"/>
          <w:sz w:val="24"/>
          <w:szCs w:val="24"/>
        </w:rPr>
        <w:t>1. Struktura a konvence</w:t>
      </w:r>
      <w:bookmarkEnd w:id="11"/>
      <w:bookmarkEnd w:id="12"/>
    </w:p>
    <w:p w14:paraId="55EA6F5A" w14:textId="77777777" w:rsidR="004D7AAB" w:rsidRPr="00336696" w:rsidRDefault="00336696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35795006"/>
      <w:bookmarkStart w:id="14" w:name="_Toc88125740"/>
      <w:r w:rsidRPr="00336696">
        <w:rPr>
          <w:rFonts w:ascii="Times New Roman" w:hAnsi="Times New Roman"/>
          <w:sz w:val="24"/>
          <w:szCs w:val="24"/>
          <w:u w:val="single"/>
        </w:rPr>
        <w:t>1.1 Struktura</w:t>
      </w:r>
      <w:bookmarkEnd w:id="13"/>
      <w:bookmarkEnd w:id="14"/>
    </w:p>
    <w:p w14:paraId="1DBEAB09" w14:textId="77777777" w:rsidR="004D7AAB" w:rsidRPr="00336696" w:rsidRDefault="00336696">
      <w:p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1.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Rámec celkově sestává z následujících skupin informací:</w:t>
      </w:r>
    </w:p>
    <w:p w14:paraId="36B43BDB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a)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kapitál;</w:t>
      </w:r>
    </w:p>
    <w:p w14:paraId="3B691441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b)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 xml:space="preserve">výpočty kapitálových </w:t>
      </w:r>
      <w:r w:rsidRPr="00336696">
        <w:rPr>
          <w:rFonts w:ascii="Times New Roman" w:hAnsi="Times New Roman"/>
        </w:rPr>
        <w:t>požadavků;</w:t>
      </w:r>
    </w:p>
    <w:p w14:paraId="493AD755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c)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výpočet požadavků dle fixních režijních nákladů;</w:t>
      </w:r>
    </w:p>
    <w:p w14:paraId="7163A9EC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d)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intenzita činnosti ve vztahu k podmínkám stanoveným v čl. 12 odst. 1 nařízení (EU) 2019/2033;</w:t>
      </w:r>
    </w:p>
    <w:p w14:paraId="177ABEF8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e)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výpočty požadavků dle K-faktorů;</w:t>
      </w:r>
    </w:p>
    <w:p w14:paraId="5AFCE9DD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f)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požadavky týkající se rizika koncentrace;</w:t>
      </w:r>
    </w:p>
    <w:p w14:paraId="33A49ED9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g)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požadavky na</w:t>
      </w:r>
      <w:r w:rsidRPr="00336696">
        <w:rPr>
          <w:rFonts w:ascii="Times New Roman" w:hAnsi="Times New Roman"/>
        </w:rPr>
        <w:t xml:space="preserve"> likviditu.</w:t>
      </w:r>
    </w:p>
    <w:p w14:paraId="4D6EC352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t>2.</w:t>
      </w:r>
      <w:r w:rsidRPr="00336696">
        <w:tab/>
        <w:t>Ke každé šabloně jsou uvedeny odkazy na právní předpisy. V této části tohoto nařízení jsou obsaženy další podrobné informace týkající se obecnějších aspektů podávání zpráv ke každé skupině šablon, pokyny ohledně specifických pozic a také pra</w:t>
      </w:r>
      <w:r w:rsidRPr="00336696">
        <w:t>vidla pro ověřování.</w:t>
      </w:r>
    </w:p>
    <w:p w14:paraId="2D480E7C" w14:textId="77777777" w:rsidR="004D7AAB" w:rsidRPr="00336696" w:rsidRDefault="00336696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5" w:name="_Toc35795007"/>
      <w:bookmarkStart w:id="16" w:name="_Toc88125741"/>
      <w:r w:rsidRPr="00336696">
        <w:rPr>
          <w:rFonts w:ascii="Times New Roman" w:hAnsi="Times New Roman"/>
          <w:sz w:val="24"/>
          <w:szCs w:val="24"/>
          <w:u w:val="single"/>
        </w:rPr>
        <w:t>1.2 Konvence v oblasti číslování</w:t>
      </w:r>
      <w:bookmarkEnd w:id="15"/>
      <w:bookmarkEnd w:id="16"/>
    </w:p>
    <w:p w14:paraId="406081E4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t>3.</w:t>
      </w:r>
      <w:r w:rsidRPr="00336696">
        <w:tab/>
        <w:t>Jestliže dokument odkazuje na sloupce, řádky a buňky šablon, řídí se označováním, které je stanoveno v bodech 4 až 7. Uvedené číselné kódy se běžně používají v pravidlech pro ověřování.</w:t>
      </w:r>
    </w:p>
    <w:p w14:paraId="5163CF4F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t>4.</w:t>
      </w:r>
      <w:r w:rsidRPr="00336696">
        <w:tab/>
      </w:r>
      <w:r w:rsidRPr="00336696">
        <w:t>V pokynech se používá tento obecný zápis: {šablona; řádek; sloupec}.</w:t>
      </w:r>
    </w:p>
    <w:p w14:paraId="7D14EE79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lastRenderedPageBreak/>
        <w:t>5.</w:t>
      </w:r>
      <w:r w:rsidRPr="00336696">
        <w:tab/>
        <w:t>V případě validací v rámci šablony, ve které jsou užity pouze údaje z této šablony, zápisy neodkazují na šablonu: {řádek; sloupec}.</w:t>
      </w:r>
    </w:p>
    <w:p w14:paraId="270DA3ED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t>6.</w:t>
      </w:r>
      <w:r w:rsidRPr="00336696">
        <w:tab/>
        <w:t>Má-li šablona pouze jeden sloupec, odkazuje se po</w:t>
      </w:r>
      <w:r w:rsidRPr="00336696">
        <w:t>uze na řádky: {šablona; řádek}.</w:t>
      </w:r>
    </w:p>
    <w:p w14:paraId="51567A43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t>7.</w:t>
      </w:r>
      <w:r w:rsidRPr="00336696">
        <w:tab/>
        <w:t>Hvězdičkou se označuje skutečnost, že u předem specifikovaných řádků či sloupců byla provedena validace.</w:t>
      </w:r>
    </w:p>
    <w:p w14:paraId="7D9D3AE5" w14:textId="77777777" w:rsidR="004D7AAB" w:rsidRPr="00336696" w:rsidRDefault="00336696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7" w:name="_Toc35795008"/>
      <w:bookmarkStart w:id="18" w:name="_Toc88125742"/>
      <w:r w:rsidRPr="00336696">
        <w:rPr>
          <w:rFonts w:ascii="Times New Roman" w:hAnsi="Times New Roman"/>
          <w:sz w:val="24"/>
          <w:szCs w:val="24"/>
          <w:u w:val="single"/>
        </w:rPr>
        <w:t>1.3 Konvence v oblasti znamének</w:t>
      </w:r>
      <w:bookmarkEnd w:id="17"/>
      <w:bookmarkEnd w:id="18"/>
    </w:p>
    <w:p w14:paraId="13E96C3D" w14:textId="77777777" w:rsidR="004D7AAB" w:rsidRPr="00336696" w:rsidRDefault="00336696">
      <w:pPr>
        <w:pStyle w:val="InstructionsText2"/>
        <w:numPr>
          <w:ilvl w:val="0"/>
          <w:numId w:val="0"/>
        </w:numPr>
        <w:ind w:left="360" w:hanging="360"/>
      </w:pPr>
      <w:r w:rsidRPr="00336696">
        <w:t>8.</w:t>
      </w:r>
      <w:r w:rsidRPr="00336696">
        <w:tab/>
        <w:t>Jakákoli částka, která zvyšuje kapitál nebo kapitálové požadavky nebo požadavky n</w:t>
      </w:r>
      <w:r w:rsidRPr="00336696">
        <w:t>a likviditu, se vykazuje jako kladné číslo. Naopak jakákoli částka, která celkový kapitál nebo kapitálové požadavky snižuje, se vykazuje jako záporné číslo. Je-li před označením položky uvedeno záporné znaménko (–), předpokládá se, že u této položky nebude</w:t>
      </w:r>
      <w:r w:rsidRPr="00336696">
        <w:t xml:space="preserve"> uvedeno kladné číslo.</w:t>
      </w:r>
    </w:p>
    <w:p w14:paraId="7CEA1C2D" w14:textId="77777777" w:rsidR="004D7AAB" w:rsidRPr="00336696" w:rsidRDefault="00336696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9" w:name="_Toc35795010"/>
      <w:bookmarkStart w:id="20" w:name="_Toc88125743"/>
      <w:r w:rsidRPr="00336696">
        <w:rPr>
          <w:rFonts w:ascii="Times New Roman" w:hAnsi="Times New Roman"/>
          <w:sz w:val="24"/>
          <w:szCs w:val="24"/>
          <w:u w:val="single"/>
        </w:rPr>
        <w:t>1.4 Obezřetnostní konsolidace</w:t>
      </w:r>
      <w:bookmarkEnd w:id="19"/>
      <w:bookmarkEnd w:id="20"/>
    </w:p>
    <w:p w14:paraId="3C47D725" w14:textId="77777777" w:rsidR="004D7AAB" w:rsidRPr="00336696" w:rsidRDefault="00336696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9.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Pokud nebylo přiznáno osvobození, vztahují se na investiční podniky na individuálním i konsolidovaném základě nařízení (EU) 2019/2033 a směrnice (EU) 2019/2034 a požadavky na podávání zpráv obsažené v</w:t>
      </w:r>
      <w:r w:rsidRPr="00336696">
        <w:rPr>
          <w:rFonts w:ascii="Times New Roman" w:hAnsi="Times New Roman"/>
          <w:sz w:val="24"/>
        </w:rPr>
        <w:t> části sedmé nařízení (EU) 2019/2033. Ustanovení čl. 4 odst. 1 bodu 11 nařízení (EU) 2019/2033 definuje konsolidovanou situaci jako situaci vyplývající z uplatnění požadavků nařízení (EU) 2019/2033 na skupinu investičního podniku, jako kdyby subjekty skupi</w:t>
      </w:r>
      <w:r w:rsidRPr="00336696">
        <w:rPr>
          <w:rFonts w:ascii="Times New Roman" w:hAnsi="Times New Roman"/>
          <w:sz w:val="24"/>
        </w:rPr>
        <w:t>ny tvořily společně jediný investiční podnik. Na základě použití článku 7 nařízení (EU) 2019/2033 skupiny investičních podniků splní požadavky na podávání zpráv obsažené ve všech šablonách na základě jejich působnosti obezřetnostní konsolidace (která se mů</w:t>
      </w:r>
      <w:r w:rsidRPr="00336696">
        <w:rPr>
          <w:rFonts w:ascii="Times New Roman" w:hAnsi="Times New Roman"/>
          <w:sz w:val="24"/>
        </w:rPr>
        <w:t>že lišit od rozsahu jejich účetní konsolidace).</w:t>
      </w:r>
    </w:p>
    <w:p w14:paraId="2B157664" w14:textId="77777777" w:rsidR="004D7AAB" w:rsidRPr="00336696" w:rsidRDefault="00336696">
      <w:pPr>
        <w:pStyle w:val="Heading2"/>
        <w:rPr>
          <w:rFonts w:ascii="Times New Roman" w:hAnsi="Times New Roman"/>
        </w:rPr>
      </w:pPr>
      <w:bookmarkStart w:id="21" w:name="_Toc88125744"/>
      <w:r w:rsidRPr="00336696">
        <w:rPr>
          <w:rFonts w:ascii="Times New Roman" w:hAnsi="Times New Roman"/>
        </w:rPr>
        <w:t>ČÁST II: POKYNY K ŠABLONÁM</w:t>
      </w:r>
      <w:bookmarkEnd w:id="6"/>
      <w:bookmarkEnd w:id="7"/>
      <w:bookmarkEnd w:id="8"/>
      <w:bookmarkEnd w:id="21"/>
    </w:p>
    <w:p w14:paraId="716BACE5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22" w:name="_Toc35795012"/>
      <w:bookmarkStart w:id="23" w:name="_Toc88125745"/>
      <w:r w:rsidRPr="00336696">
        <w:rPr>
          <w:rFonts w:ascii="Times New Roman" w:hAnsi="Times New Roman"/>
          <w:b/>
          <w:sz w:val="24"/>
          <w:u w:val="none"/>
        </w:rPr>
        <w:t>1. KAPITÁL: VÝŠE, SLOŽENÍ, POŽADAVKY A VÝPOČET</w:t>
      </w:r>
      <w:bookmarkEnd w:id="22"/>
      <w:bookmarkEnd w:id="23"/>
    </w:p>
    <w:p w14:paraId="4AD4D3D6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4" w:name="_Toc35795013"/>
      <w:bookmarkStart w:id="25" w:name="_Toc88125746"/>
      <w:r w:rsidRPr="00336696">
        <w:rPr>
          <w:rFonts w:ascii="Times New Roman" w:hAnsi="Times New Roman"/>
          <w:sz w:val="24"/>
          <w:u w:val="none"/>
        </w:rPr>
        <w:t>1.1 Obecné poznámky</w:t>
      </w:r>
      <w:bookmarkEnd w:id="24"/>
      <w:bookmarkEnd w:id="25"/>
    </w:p>
    <w:p w14:paraId="61CFA250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10.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Oddíl pojednávající o kapitálu obsahuje informace o kapitálu, který investiční podnik drží, a jeho kapitálovýc</w:t>
      </w:r>
      <w:r w:rsidRPr="00336696">
        <w:rPr>
          <w:rFonts w:ascii="Times New Roman" w:hAnsi="Times New Roman"/>
          <w:sz w:val="24"/>
        </w:rPr>
        <w:t>h požadavcích. Obsahuje dvě šablony:</w:t>
      </w:r>
    </w:p>
    <w:p w14:paraId="7592D4A4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a)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šablona I 01.00 zahrnuje složení kapitálu, který drží investiční podnik: kmenového kapitálu tier 1 (CET1), vedlejšího kapitálu tier 1 (AT1) a kapitálu tier 2 (T2);</w:t>
      </w:r>
    </w:p>
    <w:p w14:paraId="1CF481E7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b)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 xml:space="preserve">šablony I 02.01 a I 02.02 zahrnují celkový </w:t>
      </w:r>
      <w:r w:rsidRPr="00336696">
        <w:rPr>
          <w:rFonts w:ascii="Times New Roman" w:hAnsi="Times New Roman"/>
          <w:sz w:val="24"/>
        </w:rPr>
        <w:t>kapitálový požadavek, trvalý minimální kapitálový požadavek, požadavek dle fixních režijních nákladů a celkový požadavek dle K-faktorů, případný dodatečný kapitálový požadavek a pokyny a přechodný kapitálový požadavek a kapitálové poměry;</w:t>
      </w:r>
    </w:p>
    <w:p w14:paraId="6B284B2A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c)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šablona I 03.0</w:t>
      </w:r>
      <w:r w:rsidRPr="00336696">
        <w:rPr>
          <w:rFonts w:ascii="Times New Roman" w:hAnsi="Times New Roman"/>
          <w:sz w:val="24"/>
        </w:rPr>
        <w:t>0 obsahuje informace týkající se výpočtu požadavku dle fixních režijních nákladů;</w:t>
      </w:r>
    </w:p>
    <w:p w14:paraId="03D878B5" w14:textId="77777777" w:rsidR="004D7AAB" w:rsidRPr="00336696" w:rsidRDefault="00336696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d)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šablona I 04.00 obsahuje požadavky dle K-faktorů a výši faktoru.</w:t>
      </w:r>
    </w:p>
    <w:p w14:paraId="229B6157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lastRenderedPageBreak/>
        <w:t>11.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Položky v těchto šablonách se obecně uvádějí bez přechodných úprav. Znamená to, že číselné hodnoty (kr</w:t>
      </w:r>
      <w:r w:rsidRPr="00336696">
        <w:rPr>
          <w:rFonts w:ascii="Times New Roman" w:hAnsi="Times New Roman"/>
          <w:sz w:val="24"/>
        </w:rPr>
        <w:t>omě případů, kdy je výslovně uveden přechodný kapitálový požadavek) se vypočítávají podle závěrečných ustanovení (tj. jako kdyby neexistovala přechodná ustanovení).</w:t>
      </w:r>
    </w:p>
    <w:p w14:paraId="3DF2192D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6" w:name="_Toc35795014"/>
      <w:bookmarkStart w:id="27" w:name="_Toc88125747"/>
      <w:r w:rsidRPr="00336696">
        <w:rPr>
          <w:rFonts w:ascii="Times New Roman" w:hAnsi="Times New Roman"/>
          <w:sz w:val="24"/>
        </w:rPr>
        <w:t>1.2. I 01.00 – SLOŽENÍ KAPITÁLU (I 1)</w:t>
      </w:r>
      <w:bookmarkEnd w:id="26"/>
      <w:bookmarkEnd w:id="27"/>
    </w:p>
    <w:p w14:paraId="0BBCB3A2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8" w:name="_Toc88125748"/>
      <w:r w:rsidRPr="00336696">
        <w:rPr>
          <w:rFonts w:ascii="Times New Roman" w:hAnsi="Times New Roman"/>
          <w:sz w:val="24"/>
          <w:szCs w:val="24"/>
        </w:rPr>
        <w:t>1.2.1.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2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25D0EFB" w14:textId="77777777">
        <w:tc>
          <w:tcPr>
            <w:tcW w:w="1129" w:type="dxa"/>
            <w:shd w:val="clear" w:color="auto" w:fill="D9D9D9"/>
          </w:tcPr>
          <w:p w14:paraId="614410F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0B4C8A2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Odkazy na </w:t>
            </w:r>
            <w:r w:rsidRPr="00336696">
              <w:rPr>
                <w:rFonts w:ascii="Times New Roman" w:hAnsi="Times New Roman"/>
              </w:rPr>
              <w:t>právní předpisy a pokyny</w:t>
            </w:r>
          </w:p>
        </w:tc>
      </w:tr>
      <w:tr w:rsidR="004D7AAB" w:rsidRPr="00336696" w14:paraId="36B9793B" w14:textId="77777777">
        <w:tc>
          <w:tcPr>
            <w:tcW w:w="1129" w:type="dxa"/>
          </w:tcPr>
          <w:p w14:paraId="17145C9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332046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</w:t>
            </w:r>
          </w:p>
          <w:p w14:paraId="30DF7F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nařízení (EU) 2019/2033.</w:t>
            </w:r>
          </w:p>
          <w:p w14:paraId="092049B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Kapitál investičního podniku je součtem jeho kapitálu tier 1 a tier 2.</w:t>
            </w:r>
          </w:p>
        </w:tc>
      </w:tr>
      <w:tr w:rsidR="004D7AAB" w:rsidRPr="00336696" w14:paraId="0280EA16" w14:textId="77777777">
        <w:tc>
          <w:tcPr>
            <w:tcW w:w="1129" w:type="dxa"/>
          </w:tcPr>
          <w:p w14:paraId="046C8E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39BC67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 TIER 1</w:t>
            </w:r>
          </w:p>
          <w:p w14:paraId="1A1A6AD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Kapitál tier 1 je součtem kmenového kapitálu tier 1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a vedlejšího kapitálu tier 1.</w:t>
            </w:r>
          </w:p>
        </w:tc>
      </w:tr>
      <w:tr w:rsidR="004D7AAB" w:rsidRPr="00336696" w14:paraId="75522393" w14:textId="77777777">
        <w:tc>
          <w:tcPr>
            <w:tcW w:w="1129" w:type="dxa"/>
          </w:tcPr>
          <w:p w14:paraId="26A101C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9CDA9C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</w:rPr>
              <w:t>KMENOVÝ KAPITÁL TIER 1</w:t>
            </w:r>
          </w:p>
          <w:p w14:paraId="31F60A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nařízení (EU) 2019/2033.</w:t>
            </w:r>
          </w:p>
          <w:p w14:paraId="4703BC0D" w14:textId="77777777" w:rsidR="004D7AAB" w:rsidRPr="00336696" w:rsidRDefault="00336696">
            <w:pPr>
              <w:spacing w:after="120" w:line="240" w:lineRule="auto"/>
              <w:jc w:val="both"/>
            </w:pPr>
            <w:r w:rsidRPr="00336696">
              <w:rPr>
                <w:rStyle w:val="FormatvorlageInstructionsTabelleText"/>
                <w:rFonts w:ascii="Times New Roman" w:hAnsi="Times New Roman"/>
                <w:i/>
                <w:sz w:val="22"/>
              </w:rPr>
              <w:t>Článek 50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nařízení (EU) č. 575/2013.</w:t>
            </w:r>
          </w:p>
        </w:tc>
      </w:tr>
      <w:tr w:rsidR="004D7AAB" w:rsidRPr="00336696" w14:paraId="3648AE54" w14:textId="77777777">
        <w:tc>
          <w:tcPr>
            <w:tcW w:w="1129" w:type="dxa"/>
          </w:tcPr>
          <w:p w14:paraId="6B2BAA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054AF3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Zcela splacené kapitálové nástroje</w:t>
            </w:r>
          </w:p>
          <w:p w14:paraId="277D242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06E14145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26 odst. 1 písm. a) a článků 27 až 31</w:t>
            </w:r>
            <w:r w:rsidRPr="00336696"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0A9197A9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Zahrnují se kapitálové nástroje vzájemných institucí, družstev nebo podobných institucí (články 27 a 29 nařízení (EU) č. 575/2013).</w:t>
            </w:r>
          </w:p>
          <w:p w14:paraId="0E73EC97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Emisní ážio související s těmito nástroji ne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zahrnuto.</w:t>
            </w:r>
          </w:p>
          <w:p w14:paraId="10480731" w14:textId="77777777" w:rsidR="004D7AAB" w:rsidRPr="00336696" w:rsidRDefault="00336696">
            <w:pPr>
              <w:pStyle w:val="InstructionsText"/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Zahrnují se kapitálové nástroje upsané veřejnými orgány v mimořádných situacích, jsou-li splněny všechny podmínky článku 31 nařízení (EU) č. 575/2013.</w:t>
            </w:r>
          </w:p>
        </w:tc>
      </w:tr>
      <w:tr w:rsidR="004D7AAB" w:rsidRPr="00336696" w14:paraId="556C3E8C" w14:textId="77777777">
        <w:tc>
          <w:tcPr>
            <w:tcW w:w="1129" w:type="dxa"/>
          </w:tcPr>
          <w:p w14:paraId="1D54A9F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408BC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Emisní ážio</w:t>
            </w:r>
          </w:p>
          <w:p w14:paraId="6E35341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0A1B9D1D" w14:textId="77777777" w:rsidR="004D7AAB" w:rsidRPr="00336696" w:rsidRDefault="00336696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26 odst. 1 písm. b) nařízení (EU) č. 575/2013.</w:t>
            </w:r>
          </w:p>
          <w:p w14:paraId="60671DB3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Emisní ážio má stejný význam jako v použitelném účetním standardu.</w:t>
            </w:r>
          </w:p>
          <w:p w14:paraId="6EEB56C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Částka, která má být vykázána v této položce, je částí vztahující se k položce „Splacené kapitálové nástroje“.</w:t>
            </w:r>
          </w:p>
        </w:tc>
      </w:tr>
      <w:tr w:rsidR="004D7AAB" w:rsidRPr="00336696" w14:paraId="03FEA651" w14:textId="77777777">
        <w:tc>
          <w:tcPr>
            <w:tcW w:w="1129" w:type="dxa"/>
          </w:tcPr>
          <w:p w14:paraId="34A8544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8B521D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Nerozdělen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ý zisk</w:t>
            </w:r>
          </w:p>
          <w:p w14:paraId="17DF57D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6E38E7A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26 odst. 1 písm. c)</w:t>
            </w:r>
            <w:r w:rsidRPr="00336696">
              <w:rPr>
                <w:rFonts w:ascii="Times New Roman" w:hAnsi="Times New Roman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nařízení (EU) č. 575/2013.</w:t>
            </w:r>
          </w:p>
          <w:p w14:paraId="181C061B" w14:textId="77777777" w:rsidR="004D7AAB" w:rsidRPr="00336696" w:rsidRDefault="00336696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Nerozdělený zisk zahrnuje nerozdělený zisk z předchozího roku, k němuž se přičte způsobilý mezitímní zisk nebo zisk ke konci roku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.</w:t>
            </w:r>
          </w:p>
          <w:p w14:paraId="0622E6D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celkový součet řádků 0070 a 0080.</w:t>
            </w:r>
          </w:p>
        </w:tc>
      </w:tr>
      <w:tr w:rsidR="004D7AAB" w:rsidRPr="00336696" w14:paraId="3FFBF717" w14:textId="77777777">
        <w:tc>
          <w:tcPr>
            <w:tcW w:w="1129" w:type="dxa"/>
          </w:tcPr>
          <w:p w14:paraId="5B3F2D9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21C4F49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Nerozdělený zisk z předchozích let</w:t>
            </w:r>
          </w:p>
          <w:p w14:paraId="1BE80C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336696">
              <w:rPr>
                <w:rFonts w:ascii="Times New Roman" w:hAnsi="Times New Roman"/>
              </w:rPr>
              <w:t>Ustanovení čl. 4 odst. 1 bodu 123 a čl. 26 odst. 1 písm. c) nařízení (EU) č. 575/2013.</w:t>
            </w:r>
          </w:p>
          <w:p w14:paraId="3036C3A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V</w:t>
            </w:r>
            <w:r w:rsidRPr="00336696">
              <w:rPr>
                <w:rFonts w:ascii="Times New Roman" w:eastAsia="Times New Roman" w:hAnsi="Times New Roman"/>
              </w:rPr>
              <w:t> 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čl. 4 odst. 1 bodu 123 nařízení (EU) č. 575/2013 je nerozdělený zisk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definován jako „zisky a ztráty z předchozích období po započtení hospodářského výsledku podle použitelného účetního rámce“.</w:t>
            </w:r>
          </w:p>
        </w:tc>
      </w:tr>
      <w:tr w:rsidR="004D7AAB" w:rsidRPr="00336696" w14:paraId="2BA2289E" w14:textId="77777777">
        <w:tc>
          <w:tcPr>
            <w:tcW w:w="1129" w:type="dxa"/>
          </w:tcPr>
          <w:p w14:paraId="4043140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686364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Způsobilý zisk</w:t>
            </w:r>
          </w:p>
          <w:p w14:paraId="481BD8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336696">
              <w:rPr>
                <w:rFonts w:ascii="Times New Roman" w:hAnsi="Times New Roman"/>
              </w:rPr>
              <w:t>Ustanovení čl. 4 odst. 1 bodu 121 a čl. 26 odst. 2 nařízení (EU) č. 575/2013.</w:t>
            </w:r>
          </w:p>
          <w:p w14:paraId="6F4B023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 xml:space="preserve">Podle čl. 26 odst. 2 nařízení (EU) č. 575/2013 je možno zahrnout do nerozděleného zisku mezitímní zisk nebo zisk ke konci roku, a to s předchozím svolením příslušného orgánu, pokud jsou splněny určité podmínky. </w:t>
            </w:r>
          </w:p>
        </w:tc>
      </w:tr>
      <w:tr w:rsidR="004D7AAB" w:rsidRPr="00336696" w14:paraId="32D7CC20" w14:textId="77777777">
        <w:tc>
          <w:tcPr>
            <w:tcW w:w="1129" w:type="dxa"/>
          </w:tcPr>
          <w:p w14:paraId="06FD077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341376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Kumulovaný ostatní úplný výsledek hosp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odaření</w:t>
            </w:r>
          </w:p>
          <w:p w14:paraId="69AD882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414C9A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26 odst. 1 písm. d) nařízení (EU) č. 575/2013.</w:t>
            </w:r>
          </w:p>
        </w:tc>
      </w:tr>
      <w:tr w:rsidR="004D7AAB" w:rsidRPr="00336696" w14:paraId="2A414938" w14:textId="77777777">
        <w:tc>
          <w:tcPr>
            <w:tcW w:w="1129" w:type="dxa"/>
          </w:tcPr>
          <w:p w14:paraId="1BBEAE3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7D2E052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Ostatní fondy</w:t>
            </w:r>
          </w:p>
          <w:p w14:paraId="6988006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218476D1" w14:textId="77777777" w:rsidR="004D7AAB" w:rsidRPr="00336696" w:rsidRDefault="00336696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4 odst. 1 bodu 117 a čl. 26 odst. 1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písm. e) nařízení (EU) č. 575/2013.</w:t>
            </w:r>
          </w:p>
          <w:p w14:paraId="71CEEC0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Částka, která má být vykázána, musí být očištěna o veškeré daňové platby předvídatelné v době výpočtu.</w:t>
            </w:r>
          </w:p>
        </w:tc>
      </w:tr>
      <w:tr w:rsidR="004D7AAB" w:rsidRPr="00336696" w14:paraId="6B43F661" w14:textId="77777777">
        <w:tc>
          <w:tcPr>
            <w:tcW w:w="1129" w:type="dxa"/>
          </w:tcPr>
          <w:p w14:paraId="25A2B53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6E100BC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Menšinový podíl uznaný v kmenovém kapitálu tier 1</w:t>
            </w:r>
          </w:p>
          <w:p w14:paraId="78A1901C" w14:textId="77777777" w:rsidR="004D7AAB" w:rsidRPr="00336696" w:rsidRDefault="00336696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84 odst. 1, čl. 85 odst. 1 a čl. 87 odst. 1 n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ařízení (EU) č. 575/2013</w:t>
            </w:r>
          </w:p>
          <w:p w14:paraId="69227DE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Součet všech částek menšinových podílů dceřiných podniků, který se zahrne do konsolidovaného kmenového kapitálu tier 1.</w:t>
            </w:r>
          </w:p>
        </w:tc>
      </w:tr>
      <w:tr w:rsidR="004D7AAB" w:rsidRPr="00336696" w14:paraId="2C275D68" w14:textId="77777777">
        <w:tc>
          <w:tcPr>
            <w:tcW w:w="1129" w:type="dxa"/>
          </w:tcPr>
          <w:p w14:paraId="294FD8A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7738655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Úpravy kmenového kapitálu tier 1 v důsledku obezřetnostních filtrů</w:t>
            </w:r>
          </w:p>
          <w:p w14:paraId="4994F4E0" w14:textId="77777777" w:rsidR="004D7AAB" w:rsidRPr="00336696" w:rsidRDefault="00336696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Ustanovení čl. 9 odst. 1 bodu i)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nařízení (EU) 2019/2033.</w:t>
            </w:r>
          </w:p>
          <w:p w14:paraId="728324C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články 32 až 35 nařízení (EU) č. 575/2013.</w:t>
            </w:r>
          </w:p>
        </w:tc>
      </w:tr>
      <w:tr w:rsidR="004D7AAB" w:rsidRPr="00336696" w14:paraId="67E9141F" w14:textId="77777777">
        <w:tc>
          <w:tcPr>
            <w:tcW w:w="1129" w:type="dxa"/>
          </w:tcPr>
          <w:p w14:paraId="7D373AB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4AD479D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Ostatní fondy</w:t>
            </w:r>
          </w:p>
          <w:p w14:paraId="5451F9C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4 nařízení (EU) 2019/2033.</w:t>
            </w:r>
          </w:p>
        </w:tc>
      </w:tr>
      <w:tr w:rsidR="004D7AAB" w:rsidRPr="00336696" w14:paraId="36F4531C" w14:textId="77777777">
        <w:tc>
          <w:tcPr>
            <w:tcW w:w="1129" w:type="dxa"/>
          </w:tcPr>
          <w:p w14:paraId="73B5E39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23EA15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ODPOČTY OD KMENOVÉHO KAPITÁLU TIER 1 CELKEM</w:t>
            </w:r>
          </w:p>
          <w:p w14:paraId="665A72D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celkový součet řádku 0150 a řádků 0190 až 0280.</w:t>
            </w:r>
          </w:p>
        </w:tc>
      </w:tr>
      <w:tr w:rsidR="004D7AAB" w:rsidRPr="00336696" w14:paraId="49747DA6" w14:textId="77777777">
        <w:tc>
          <w:tcPr>
            <w:tcW w:w="1129" w:type="dxa"/>
          </w:tcPr>
          <w:p w14:paraId="56252B1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6AF2197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Vlastní nástroje zahrnované do kmenového kapitálu tier 1</w:t>
            </w:r>
          </w:p>
          <w:p w14:paraId="64C7F8D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66A15D3D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36 odst. 1 písm. f) a článku 42 nařízení (EU) č. 575/2013.</w:t>
            </w:r>
          </w:p>
          <w:p w14:paraId="5782DBE7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Vlastní nástroje zahrnované do kmenového kapitálu tier 1 d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ržené vykazující institucí nebo skupinou ke dni vykazování. S výhradou výjimek uvedených v článku 42 nařízení (EU) č. 575/2013.</w:t>
            </w:r>
          </w:p>
          <w:p w14:paraId="523B1897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 tomto řádku se nevykazují držby akcií zahrnuté v položce „Nezpůsobilé kapitálové nástroje“.</w:t>
            </w:r>
          </w:p>
          <w:p w14:paraId="402B335F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Částka, která má být vykázána, zah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rnuje emisní ážio související s vlastními akciemi.</w:t>
            </w:r>
          </w:p>
          <w:p w14:paraId="545E872C" w14:textId="77777777" w:rsidR="004D7AAB" w:rsidRPr="00336696" w:rsidRDefault="004D7AAB">
            <w:pPr>
              <w:pStyle w:val="InstructionsText"/>
            </w:pPr>
          </w:p>
        </w:tc>
      </w:tr>
      <w:tr w:rsidR="004D7AAB" w:rsidRPr="00336696" w14:paraId="33685471" w14:textId="77777777">
        <w:tc>
          <w:tcPr>
            <w:tcW w:w="1129" w:type="dxa"/>
          </w:tcPr>
          <w:p w14:paraId="15051A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shd w:val="clear" w:color="auto" w:fill="auto"/>
          </w:tcPr>
          <w:p w14:paraId="7FE5E25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Přímé kapitálové investice do nástrojů zahrnovaných do kmenového kapitálu tier 1</w:t>
            </w:r>
          </w:p>
          <w:p w14:paraId="3128F5F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0B705D19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Ustanovení čl. 36 odst. 1 písm. f)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 článku 42 nařízení (EU) č. 575/2013</w:t>
            </w:r>
          </w:p>
          <w:p w14:paraId="70B0382F" w14:textId="77777777" w:rsidR="004D7AAB" w:rsidRPr="00336696" w:rsidRDefault="00336696">
            <w:pPr>
              <w:pStyle w:val="InstructionsText"/>
              <w:rPr>
                <w:rFonts w:cs="Times New Roman"/>
                <w:b/>
                <w:bCs w:val="0"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bCs/>
                <w:sz w:val="22"/>
              </w:rPr>
              <w:t>Nástroje zahrnované do kmenového kapitálu tier 1 držené investičním podnikem.</w:t>
            </w:r>
          </w:p>
        </w:tc>
      </w:tr>
      <w:tr w:rsidR="004D7AAB" w:rsidRPr="00336696" w14:paraId="2E345844" w14:textId="77777777">
        <w:tc>
          <w:tcPr>
            <w:tcW w:w="1129" w:type="dxa"/>
          </w:tcPr>
          <w:p w14:paraId="447C462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BE42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Nepřímé kapitálové investice do nástrojů zahrnovaných do kmenového kapitálu tier 1</w:t>
            </w:r>
          </w:p>
          <w:p w14:paraId="6D8C05B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Ustanovení čl. 9 odst. 1 bodu i)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 xml:space="preserve">nařízení (EU) </w:t>
            </w:r>
            <w:r w:rsidRPr="00336696">
              <w:rPr>
                <w:rFonts w:ascii="Times New Roman" w:hAnsi="Times New Roman"/>
              </w:rPr>
              <w:t>2019/2033.</w:t>
            </w:r>
          </w:p>
          <w:p w14:paraId="2FC4A9E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336696">
              <w:rPr>
                <w:rFonts w:ascii="Times New Roman" w:hAnsi="Times New Roman"/>
              </w:rPr>
              <w:lastRenderedPageBreak/>
              <w:t>Ustanovení čl. 36 odst. 1 písm. f) a článku 42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č. 575/2013.</w:t>
            </w:r>
          </w:p>
          <w:p w14:paraId="26B5F99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336696">
              <w:rPr>
                <w:rFonts w:ascii="Times New Roman" w:hAnsi="Times New Roman"/>
              </w:rPr>
              <w:t>Nástroje zahrnované do kmenového kapitálu tier 1 držené investičním podnikem.</w:t>
            </w:r>
          </w:p>
        </w:tc>
      </w:tr>
      <w:tr w:rsidR="004D7AAB" w:rsidRPr="00336696" w14:paraId="121542D3" w14:textId="77777777">
        <w:tc>
          <w:tcPr>
            <w:tcW w:w="1129" w:type="dxa"/>
          </w:tcPr>
          <w:p w14:paraId="292AF6B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34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(−) Syntetické kapitálové investice do nástrojů zahrnovaných do kmenového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kapitálu tier 1</w:t>
            </w:r>
          </w:p>
          <w:p w14:paraId="76B9D0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5178605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4 odst. 1 bodu 114, čl. 36 odst. 1 písm. f) a článku 42 nařízení (EU) č. 575/2013.</w:t>
            </w:r>
          </w:p>
        </w:tc>
      </w:tr>
      <w:tr w:rsidR="004D7AAB" w:rsidRPr="00336696" w14:paraId="1940EC10" w14:textId="77777777">
        <w:tc>
          <w:tcPr>
            <w:tcW w:w="1129" w:type="dxa"/>
          </w:tcPr>
          <w:p w14:paraId="54B162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598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Ztráty běžného účetního roku</w:t>
            </w:r>
          </w:p>
          <w:p w14:paraId="3F00B5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Ustanovení čl. 36 odst. 1 písm. a) nařízení (</w:t>
            </w:r>
            <w:r w:rsidRPr="00336696">
              <w:rPr>
                <w:rFonts w:ascii="Times New Roman" w:hAnsi="Times New Roman"/>
              </w:rPr>
              <w:t>EU) č. 575/2013.</w:t>
            </w:r>
          </w:p>
        </w:tc>
      </w:tr>
      <w:tr w:rsidR="004D7AAB" w:rsidRPr="00336696" w14:paraId="534D4B89" w14:textId="77777777">
        <w:tc>
          <w:tcPr>
            <w:tcW w:w="1129" w:type="dxa"/>
          </w:tcPr>
          <w:p w14:paraId="6AACEA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C4F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Goodwill</w:t>
            </w:r>
          </w:p>
          <w:p w14:paraId="2D0CB5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5B89DF6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4 odst. 1 bodu 113, čl. 36 odst. 1 písm. b) a článku 37 nařízení (EU) č. 575/2013.</w:t>
            </w:r>
          </w:p>
        </w:tc>
      </w:tr>
      <w:tr w:rsidR="004D7AAB" w:rsidRPr="00336696" w14:paraId="0BAF68EE" w14:textId="77777777">
        <w:tc>
          <w:tcPr>
            <w:tcW w:w="1129" w:type="dxa"/>
          </w:tcPr>
          <w:p w14:paraId="5757B9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682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Jiná nehmotná aktiva</w:t>
            </w:r>
          </w:p>
          <w:p w14:paraId="6943ABB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Ustanovení čl. 9 odst. 1 bodu </w:t>
            </w:r>
            <w:r w:rsidRPr="00336696">
              <w:rPr>
                <w:rFonts w:ascii="Times New Roman" w:hAnsi="Times New Roman"/>
              </w:rPr>
              <w:t>i)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2019/2033.</w:t>
            </w:r>
          </w:p>
          <w:p w14:paraId="641F60BF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4 odst. 1 bodu 115, čl. 36 odst. 1 písm. b) a čl. 37 písm. a) nařízení (EU) č. 575/2013.</w:t>
            </w:r>
          </w:p>
          <w:p w14:paraId="22CF745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Za jiná nehmotná aktiva se považují nehmotná aktiva podle použitelného účetního standardu bez goodwillu rovněž dle použiteln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ého účetního standardu.</w:t>
            </w:r>
          </w:p>
        </w:tc>
      </w:tr>
      <w:tr w:rsidR="004D7AAB" w:rsidRPr="00336696" w14:paraId="290E76B2" w14:textId="77777777">
        <w:tc>
          <w:tcPr>
            <w:tcW w:w="1129" w:type="dxa"/>
          </w:tcPr>
          <w:p w14:paraId="635929D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6B32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Odložené daňové pohledávky, které jsou závislé na budoucím zisku a nevyplývají z přechodných rozdílů, po zohlednění souvisejících daňových závazků</w:t>
            </w:r>
          </w:p>
          <w:p w14:paraId="0C3308A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a) nařízení (EU) 2019/2033.</w:t>
            </w:r>
          </w:p>
          <w:p w14:paraId="1CDEC3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3</w:t>
            </w:r>
            <w:r w:rsidRPr="00336696">
              <w:rPr>
                <w:rFonts w:ascii="Times New Roman" w:hAnsi="Times New Roman"/>
                <w:bCs/>
              </w:rPr>
              <w:t>6 odst. 1 písm. c) nařízení (EU) č. 575/2013.</w:t>
            </w:r>
          </w:p>
        </w:tc>
      </w:tr>
      <w:tr w:rsidR="004D7AAB" w:rsidRPr="00336696" w14:paraId="1CD310C2" w14:textId="77777777">
        <w:tc>
          <w:tcPr>
            <w:tcW w:w="1129" w:type="dxa"/>
          </w:tcPr>
          <w:p w14:paraId="2AEC55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14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Kvalifikovaná účast mimo finanční sektor přesahující 15 % kapitálu</w:t>
            </w:r>
          </w:p>
          <w:p w14:paraId="30C5517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10 odst. 1 písm. a) nařízení (EU) 2019/2033.</w:t>
            </w:r>
          </w:p>
        </w:tc>
      </w:tr>
      <w:tr w:rsidR="004D7AAB" w:rsidRPr="00336696" w14:paraId="6B5A6EAC" w14:textId="77777777">
        <w:tc>
          <w:tcPr>
            <w:tcW w:w="1129" w:type="dxa"/>
          </w:tcPr>
          <w:p w14:paraId="6836A3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6B8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(–) Celkové kvalifikované účastí v podnicích, které nejsou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subjekty finančního sektoru, přesahující 60 % kapitálu</w:t>
            </w:r>
          </w:p>
          <w:p w14:paraId="5D0D895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10 odst. 1 písm. b) nařízení (EU) 2019/2033.</w:t>
            </w:r>
          </w:p>
        </w:tc>
      </w:tr>
      <w:tr w:rsidR="004D7AAB" w:rsidRPr="00336696" w14:paraId="3ACA6DE2" w14:textId="77777777">
        <w:tc>
          <w:tcPr>
            <w:tcW w:w="1129" w:type="dxa"/>
          </w:tcPr>
          <w:p w14:paraId="0754B2C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0EC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Nástroje zahrnované do kmenového kapitálu tier 1 subjektů finančního sektoru, v nichž investiční podnik nemá významnou investici</w:t>
            </w:r>
          </w:p>
          <w:p w14:paraId="01AEE95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nařízení (EU) 2019/2033.</w:t>
            </w:r>
          </w:p>
          <w:p w14:paraId="2E3B7A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Ustanovení čl. 36 odst. 1 písm. h)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č. 575/2013.</w:t>
            </w:r>
          </w:p>
        </w:tc>
      </w:tr>
      <w:tr w:rsidR="004D7AAB" w:rsidRPr="00336696" w14:paraId="73732C3C" w14:textId="77777777">
        <w:tc>
          <w:tcPr>
            <w:tcW w:w="1129" w:type="dxa"/>
          </w:tcPr>
          <w:p w14:paraId="02E652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1C3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(–) Nástroje zahrnované do kmenového kapitálu tier 1 subjektů finančního sektoru, v nichž má investiční podnik významnou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investici</w:t>
            </w:r>
          </w:p>
          <w:p w14:paraId="278E8A9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Ustanovení čl. 9 odst. 2 písm. d)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2019/2033.</w:t>
            </w:r>
          </w:p>
          <w:p w14:paraId="226763F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Ustanovení čl. 36 odst. 1 písm. i)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č. 575/2013.</w:t>
            </w:r>
          </w:p>
        </w:tc>
      </w:tr>
      <w:tr w:rsidR="004D7AAB" w:rsidRPr="00336696" w14:paraId="035FC0C9" w14:textId="77777777">
        <w:tc>
          <w:tcPr>
            <w:tcW w:w="1129" w:type="dxa"/>
          </w:tcPr>
          <w:p w14:paraId="2474DF6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B31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Aktiva penzijního fondu definovaných požitků</w:t>
            </w:r>
          </w:p>
          <w:p w14:paraId="6C99FFB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Ustanovení čl. </w:t>
            </w:r>
            <w:r w:rsidRPr="00336696">
              <w:rPr>
                <w:rFonts w:ascii="Times New Roman" w:hAnsi="Times New Roman"/>
                <w:bCs/>
              </w:rPr>
              <w:t>9 odst. 2 písm. b)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</w:t>
            </w:r>
            <w:r w:rsidRPr="00336696">
              <w:rPr>
                <w:rFonts w:ascii="Times New Roman" w:hAnsi="Times New Roman"/>
                <w:bCs/>
              </w:rPr>
              <w:t>EU) 2019/2033.</w:t>
            </w:r>
          </w:p>
          <w:p w14:paraId="6AF2E59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 xml:space="preserve">Ustanovení </w:t>
            </w:r>
            <w:r w:rsidRPr="00336696">
              <w:rPr>
                <w:rFonts w:ascii="Times New Roman" w:hAnsi="Times New Roman"/>
              </w:rPr>
              <w:t>čl. 36 odst. 1 písm. e)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č. 575/2013.</w:t>
            </w:r>
          </w:p>
        </w:tc>
      </w:tr>
      <w:tr w:rsidR="004D7AAB" w:rsidRPr="00336696" w14:paraId="39A67BC5" w14:textId="77777777">
        <w:tc>
          <w:tcPr>
            <w:tcW w:w="1129" w:type="dxa"/>
          </w:tcPr>
          <w:p w14:paraId="0B737F2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2452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Ostatní odpočty</w:t>
            </w:r>
          </w:p>
          <w:p w14:paraId="4B849DC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Součet všech ostatních odpočtů v souladu s čl. 36 odst. 1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336696">
              <w:rPr>
                <w:rFonts w:ascii="Times New Roman" w:hAnsi="Times New Roman"/>
              </w:rPr>
              <w:t>nařízení (EU) č. 575/2013, které nejsou zahrnuty v žádném z výše uvedených řádků 0150 až 0270.</w:t>
            </w:r>
          </w:p>
        </w:tc>
      </w:tr>
      <w:tr w:rsidR="004D7AAB" w:rsidRPr="00336696" w14:paraId="4DEA1554" w14:textId="77777777">
        <w:tc>
          <w:tcPr>
            <w:tcW w:w="1129" w:type="dxa"/>
          </w:tcPr>
          <w:p w14:paraId="42E6F42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26A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KMENOVÝ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 TIER 1: Ostatní kapitálové položky, odpočty od kapitálu a úpravy kapitálu</w:t>
            </w:r>
          </w:p>
          <w:p w14:paraId="7634DEC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Tento řádek zahrnuje v příslušných případech součet těchto položek:</w:t>
            </w:r>
          </w:p>
          <w:p w14:paraId="65541CA9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 xml:space="preserve">přechodné úpravy provedené v důsledku nástrojů zahrnovaných do kmenového kapitálu tier 1, pro něž platí </w:t>
            </w:r>
            <w:r w:rsidRPr="00336696">
              <w:rPr>
                <w:rFonts w:ascii="Times New Roman" w:hAnsi="Times New Roman"/>
                <w:bCs/>
              </w:rPr>
              <w:t>zachování právních účinků (čl. 483 odst. 1, 2 a 3 a články 484 až 487 nařízení (EU) č. 575/2013),</w:t>
            </w:r>
          </w:p>
          <w:p w14:paraId="66DC769A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přechodné úpravy provedené v důsledku dodatečných menšinových podílů (články 479 a 480 nařízení (EU) č. 575/2013),</w:t>
            </w:r>
          </w:p>
          <w:p w14:paraId="32BEF1C6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ostatní přechodné úpravy kmenového kapi</w:t>
            </w:r>
            <w:r w:rsidRPr="00336696">
              <w:rPr>
                <w:rFonts w:ascii="Times New Roman" w:hAnsi="Times New Roman"/>
                <w:bCs/>
              </w:rPr>
              <w:t>tálu tier 1 (články 469 až 478 a článek 481 nařízení (EU) č. 575/2013): úpravy odpočtů od kmenového kapitálu tier 1 v důsledku přechodných ustanovení,</w:t>
            </w:r>
          </w:p>
          <w:p w14:paraId="624E0E1F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ostatní položky kmenového kapitálu tier 1 nebo odpočty od položky kmenového kapitálu tier 1, které nelz</w:t>
            </w:r>
            <w:r w:rsidRPr="00336696">
              <w:rPr>
                <w:rFonts w:ascii="Times New Roman" w:hAnsi="Times New Roman"/>
                <w:bCs/>
              </w:rPr>
              <w:t>e přiřadit do jednoho z řádků 0040 až 0280.</w:t>
            </w:r>
          </w:p>
          <w:p w14:paraId="6780A94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Tento řádek neslouží k zahrnutí kapitálových položek či odpočtů od kapitálu, na něž se nevztahuje nařízení (EU) 2019/2033 nebo nařízení (EU) č. 575/2013, do výpočtu ukazatelů kapitálové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4D7AAB" w:rsidRPr="00336696" w14:paraId="1BFB02BA" w14:textId="77777777">
        <w:tc>
          <w:tcPr>
            <w:tcW w:w="1129" w:type="dxa"/>
          </w:tcPr>
          <w:p w14:paraId="284114E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BBA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VEDLEJŠÍ KAPITÁL TI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ER 1</w:t>
            </w:r>
          </w:p>
          <w:p w14:paraId="738DCD2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nařízení (EU) 2019/2033.</w:t>
            </w:r>
          </w:p>
          <w:p w14:paraId="220563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  <w:i/>
              </w:rPr>
              <w:t>Článek 61</w:t>
            </w:r>
            <w:r w:rsidRPr="00336696">
              <w:rPr>
                <w:rFonts w:ascii="Times New Roman" w:hAnsi="Times New Roman"/>
              </w:rPr>
              <w:t xml:space="preserve"> nařízení (EU) č. 575/2013.</w:t>
            </w:r>
          </w:p>
          <w:p w14:paraId="43D6A16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celkový součet řádků 0310 až 0330 a řádku 0410.</w:t>
            </w:r>
          </w:p>
        </w:tc>
      </w:tr>
      <w:tr w:rsidR="004D7AAB" w:rsidRPr="00336696" w14:paraId="3F19C157" w14:textId="77777777">
        <w:tc>
          <w:tcPr>
            <w:tcW w:w="1129" w:type="dxa"/>
          </w:tcPr>
          <w:p w14:paraId="07A45B4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EBE7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Plně uhrazené přímo vydané kapitálové nástroje</w:t>
            </w:r>
          </w:p>
          <w:p w14:paraId="32ED7E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9 odst. 1 bodu i) nařízení (EU) </w:t>
            </w:r>
            <w:r w:rsidRPr="00336696">
              <w:rPr>
                <w:rFonts w:ascii="Times New Roman" w:hAnsi="Times New Roman"/>
                <w:bCs/>
              </w:rPr>
              <w:t>2019/2033.</w:t>
            </w:r>
          </w:p>
          <w:p w14:paraId="5C1BA35C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51 písm. a) a článků 52, 53 a 54</w:t>
            </w:r>
            <w:r w:rsidRPr="00336696"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2B56E1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Částka, která má být vykázána, nezahrnuje emisní ážio související s těmito nástroji.</w:t>
            </w:r>
          </w:p>
        </w:tc>
      </w:tr>
      <w:tr w:rsidR="004D7AAB" w:rsidRPr="00336696" w14:paraId="49AD88BF" w14:textId="77777777">
        <w:tc>
          <w:tcPr>
            <w:tcW w:w="1129" w:type="dxa"/>
          </w:tcPr>
          <w:p w14:paraId="5A1AEBC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38A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Emisní ážio</w:t>
            </w:r>
          </w:p>
          <w:p w14:paraId="2F7FE68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58BCD5DD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51 písm. b)</w:t>
            </w:r>
            <w:r w:rsidRPr="00336696"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5F6557EC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Emisní ážio má stejný význam jako v použitelném účetním standardu.</w:t>
            </w:r>
          </w:p>
          <w:p w14:paraId="4DEAF45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Částka, která má být vykázána v této položce, je částí vztahující se k položce „Splacené kapitálové nástroje“.</w:t>
            </w:r>
          </w:p>
        </w:tc>
      </w:tr>
      <w:tr w:rsidR="004D7AAB" w:rsidRPr="00336696" w14:paraId="72C68E42" w14:textId="77777777">
        <w:tc>
          <w:tcPr>
            <w:tcW w:w="1129" w:type="dxa"/>
          </w:tcPr>
          <w:p w14:paraId="2163F5F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7BE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ODPOČTY OD VED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LEJŠÍHO KAPITÁLU TIER 1 CELKEM</w:t>
            </w:r>
          </w:p>
          <w:p w14:paraId="48FEC920" w14:textId="77777777" w:rsidR="004D7AAB" w:rsidRPr="00336696" w:rsidRDefault="00336696">
            <w:pPr>
              <w:spacing w:before="60" w:after="60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  <w:i/>
              </w:rPr>
              <w:t>Článek 56</w:t>
            </w:r>
            <w:r w:rsidRPr="00336696">
              <w:rPr>
                <w:rFonts w:ascii="Times New Roman" w:hAnsi="Times New Roman"/>
              </w:rPr>
              <w:t xml:space="preserve"> nařízení (EU) č. 575/2013.</w:t>
            </w:r>
          </w:p>
          <w:p w14:paraId="7176B9E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celkový součet řádku 0340 a řádků 0380 až 0400.</w:t>
            </w:r>
          </w:p>
        </w:tc>
      </w:tr>
      <w:tr w:rsidR="004D7AAB" w:rsidRPr="00336696" w14:paraId="7F9F2EED" w14:textId="77777777">
        <w:tc>
          <w:tcPr>
            <w:tcW w:w="1129" w:type="dxa"/>
          </w:tcPr>
          <w:p w14:paraId="464C74C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11C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Vlastní nástroje zahrnované do vedlejšího kapitálu tier 1</w:t>
            </w:r>
          </w:p>
          <w:p w14:paraId="089B88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9 odst. 1 bodu i) nařízení (EU) </w:t>
            </w:r>
            <w:r w:rsidRPr="00336696">
              <w:rPr>
                <w:rFonts w:ascii="Times New Roman" w:hAnsi="Times New Roman"/>
                <w:bCs/>
              </w:rPr>
              <w:t>2019/2033.</w:t>
            </w:r>
          </w:p>
          <w:p w14:paraId="51D969F0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52 odst. 1 písm. b), čl. 56 písm. a) a článku 57</w:t>
            </w:r>
            <w:r w:rsidRPr="00336696"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1CC20DA2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Vlastní nástroje zahrnované do vedlejšího kapitálu tier 1 držené investičním podnikem ke dni vykazování. S výhradou výjimek uvedených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 článku 57</w:t>
            </w:r>
            <w:r w:rsidRPr="00336696"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5B91B37A" w14:textId="77777777" w:rsidR="004D7AAB" w:rsidRPr="00336696" w:rsidRDefault="00336696">
            <w:pPr>
              <w:pStyle w:val="InstructionsText"/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Částka, která má být vykázána, zahrnuje emisní ážio související s vlastními akciemi.</w:t>
            </w:r>
          </w:p>
        </w:tc>
      </w:tr>
      <w:tr w:rsidR="004D7AAB" w:rsidRPr="00336696" w14:paraId="12DB9BF7" w14:textId="77777777">
        <w:tc>
          <w:tcPr>
            <w:tcW w:w="1129" w:type="dxa"/>
          </w:tcPr>
          <w:p w14:paraId="18D8319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0350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FCB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Přímé kapitálové investice do nástrojů zahrnovaných do vedlejšího kapitálu tier 1</w:t>
            </w:r>
          </w:p>
          <w:p w14:paraId="033310E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</w:t>
            </w:r>
            <w:r w:rsidRPr="00336696">
              <w:rPr>
                <w:rFonts w:ascii="Times New Roman" w:hAnsi="Times New Roman"/>
                <w:bCs/>
              </w:rPr>
              <w:t>ní (EU) 2019/2033.</w:t>
            </w:r>
          </w:p>
          <w:p w14:paraId="591B997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56 písm. a) nařízení (EU) č. 575/2013.</w:t>
            </w:r>
          </w:p>
        </w:tc>
      </w:tr>
      <w:tr w:rsidR="004D7AAB" w:rsidRPr="00336696" w14:paraId="5E060934" w14:textId="77777777">
        <w:tc>
          <w:tcPr>
            <w:tcW w:w="1129" w:type="dxa"/>
          </w:tcPr>
          <w:p w14:paraId="0DFB178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F3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Nepřímé kapitálové investice do nástrojů zahrnovaných do vedlejšího kapitálu tier 1</w:t>
            </w:r>
          </w:p>
          <w:p w14:paraId="4F961A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nařízení (EU) 2019/2033.</w:t>
            </w:r>
          </w:p>
          <w:p w14:paraId="4C79217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56 písm. a) </w:t>
            </w:r>
            <w:r w:rsidRPr="00336696">
              <w:rPr>
                <w:rFonts w:ascii="Times New Roman" w:hAnsi="Times New Roman"/>
                <w:bCs/>
              </w:rPr>
              <w:t>nařízení (EU) č. 575/2013.</w:t>
            </w:r>
          </w:p>
        </w:tc>
      </w:tr>
      <w:tr w:rsidR="004D7AAB" w:rsidRPr="00336696" w14:paraId="21BC5660" w14:textId="77777777">
        <w:tc>
          <w:tcPr>
            <w:tcW w:w="1129" w:type="dxa"/>
          </w:tcPr>
          <w:p w14:paraId="289BFF7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4171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Syntetické kapitálové investice do nástrojů zahrnovaných do vedlejšího kapitálu tier 1</w:t>
            </w:r>
          </w:p>
          <w:p w14:paraId="491713F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nařízení (EU) 2019/2033.</w:t>
            </w:r>
          </w:p>
          <w:p w14:paraId="1566BF0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56 písm. a) nařízení (EU) č. 575/2013.</w:t>
            </w:r>
          </w:p>
        </w:tc>
      </w:tr>
      <w:tr w:rsidR="004D7AAB" w:rsidRPr="00336696" w14:paraId="2E4D1EDB" w14:textId="77777777">
        <w:tc>
          <w:tcPr>
            <w:tcW w:w="1129" w:type="dxa"/>
          </w:tcPr>
          <w:p w14:paraId="514A75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D78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(–) Nástroje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zahrnované do vedlejšího kapitálu tier 1 subjektů finančního sektoru, v nichž investiční podnik nemá významnou investici</w:t>
            </w:r>
          </w:p>
          <w:p w14:paraId="241CF27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nařízení (EU) 2019/2033.</w:t>
            </w:r>
          </w:p>
          <w:p w14:paraId="058DDC6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56 písm. c) nařízení (EU) č. 575/2013.</w:t>
            </w:r>
          </w:p>
        </w:tc>
      </w:tr>
      <w:tr w:rsidR="004D7AAB" w:rsidRPr="00336696" w14:paraId="536175F3" w14:textId="77777777">
        <w:tc>
          <w:tcPr>
            <w:tcW w:w="1129" w:type="dxa"/>
          </w:tcPr>
          <w:p w14:paraId="5FA57D5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6A6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Nástroje zah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rnované do vedlejšího kapitálu tier 1 subjektů finančního sektoru, v nichž má investiční podnik významnou investici</w:t>
            </w:r>
          </w:p>
          <w:p w14:paraId="328F294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nařízení (EU) 2019/2033.</w:t>
            </w:r>
          </w:p>
          <w:p w14:paraId="392ECC5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56 písm. d) nařízení (EU) č. 575/2013.</w:t>
            </w:r>
          </w:p>
        </w:tc>
      </w:tr>
      <w:tr w:rsidR="004D7AAB" w:rsidRPr="00336696" w14:paraId="7574F6A8" w14:textId="77777777">
        <w:tc>
          <w:tcPr>
            <w:tcW w:w="1129" w:type="dxa"/>
          </w:tcPr>
          <w:p w14:paraId="5CF6D76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2420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(–) Ostatní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odpočty</w:t>
            </w:r>
          </w:p>
          <w:p w14:paraId="459B64C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Součet všech ostatních odpočtů v souladu s článkem 56 nařízení (EU) č. 575/2013, které nejsou zahrnuty v žádném z výše uvedených řádků 0340 až 0390.</w:t>
            </w:r>
          </w:p>
        </w:tc>
      </w:tr>
      <w:tr w:rsidR="004D7AAB" w:rsidRPr="00336696" w14:paraId="5D2ECEAE" w14:textId="77777777">
        <w:tc>
          <w:tcPr>
            <w:tcW w:w="1129" w:type="dxa"/>
          </w:tcPr>
          <w:p w14:paraId="2327943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3F0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Vedlejší kapitál tier 1: Ostatní kapitálové položky, odpočty od kapitálu a úpravy kapitálu</w:t>
            </w:r>
          </w:p>
          <w:p w14:paraId="6074ADB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Te</w:t>
            </w:r>
            <w:r w:rsidRPr="00336696">
              <w:rPr>
                <w:rFonts w:ascii="Times New Roman" w:hAnsi="Times New Roman"/>
                <w:bCs/>
              </w:rPr>
              <w:t>nto řádek zahrnuje v příslušných případech součet těchto položek:</w:t>
            </w:r>
          </w:p>
          <w:p w14:paraId="7739D5FE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 xml:space="preserve">přechodné úpravy provedené v důsledku nástrojů zahrnovaných do vedlejšího kapitálu tier 1, pro něž platí zachování právních účinků (čl. 483 odst. 4 a 5 a články 484 až 487, články 489 </w:t>
            </w:r>
            <w:r w:rsidRPr="00336696">
              <w:rPr>
                <w:rFonts w:ascii="Times New Roman" w:hAnsi="Times New Roman"/>
                <w:bCs/>
              </w:rPr>
              <w:t>a 491 nařízení (EU) č. 575/2013),</w:t>
            </w:r>
          </w:p>
          <w:p w14:paraId="00D3632B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nástroje vydané dceřinými podniky a uznané ve vedlejším kapitálu tier 1 (články 83, 85 a 86 nařízení (EU) č. 575/2013): součet všech částek kvalifikovaného kapitálu tier 1 dceřiných podniků, který se zahrne do konsolidov</w:t>
            </w:r>
            <w:r w:rsidRPr="00336696">
              <w:rPr>
                <w:rFonts w:ascii="Times New Roman" w:hAnsi="Times New Roman"/>
                <w:bCs/>
              </w:rPr>
              <w:t>aného vedlejšího kapitálu tier 1, včetně kapitálu vydaného jednotkou pro speciální účel (článek 83 nařízení (EU) č. 575/2013),</w:t>
            </w:r>
          </w:p>
          <w:p w14:paraId="48901FB1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přechodné úpravy v důsledku dodatečného uznání nástrojů, které byly vydány dceřinými podniky, ve vedlejším kapitálu tier 1 (člá</w:t>
            </w:r>
            <w:r w:rsidRPr="00336696">
              <w:rPr>
                <w:rFonts w:ascii="Times New Roman" w:hAnsi="Times New Roman"/>
                <w:bCs/>
              </w:rPr>
              <w:t>nek 480 nařízení (EU) č. 575/2013), úpravy kvalifikovaného kapitálu tier 1 zahrnutého v konsolidovaném vedlejším kapitálu tier 1 provedené v důsledku přechodných ustanovení,</w:t>
            </w:r>
          </w:p>
          <w:p w14:paraId="5C1CB68C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ostatní přechodné úpravy vedlejšího kapitálu tier 1 (články 472, 473a, 474, 475,</w:t>
            </w:r>
            <w:r w:rsidRPr="00336696">
              <w:rPr>
                <w:rFonts w:ascii="Times New Roman" w:hAnsi="Times New Roman"/>
                <w:bCs/>
              </w:rPr>
              <w:t xml:space="preserve"> 478 a 481 nařízení (EU) č. 575/2013): úpravy odpočtů v důsledku přechodných ustanovení,</w:t>
            </w:r>
          </w:p>
          <w:p w14:paraId="5493F7B8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odpočet od položek vedlejšího kapitálu tier 1, který přesahuje výši vedlejšího kapitálu tier 1, který se odečítá od kmenového kapitálu tier 1 v souladu s čl. 36 odst</w:t>
            </w:r>
            <w:r w:rsidRPr="00336696">
              <w:rPr>
                <w:rFonts w:ascii="Times New Roman" w:hAnsi="Times New Roman"/>
                <w:bCs/>
              </w:rPr>
              <w:t>. 1 písm. j) nařízení (EU) č. 575/2013: vedlejší kapitál tier 1 nemůže být záporný, ale odpočty od položek vedlejšího kapitálu tier 1 mohou překročit výši položek dostupného vedlejšího kapitálu tier 1. Pokud k tomu dojde, tato položka představuje částku po</w:t>
            </w:r>
            <w:r w:rsidRPr="00336696">
              <w:rPr>
                <w:rFonts w:ascii="Times New Roman" w:hAnsi="Times New Roman"/>
                <w:bCs/>
              </w:rPr>
              <w:t>třebnou ke zvýšení částky vykázané v řádku 0300 na nulu a rovná se převrácené hodnotě odpočtů od položek vedlejšího kapitálu tier 1, které přesahují výši vedlejšího kapitálu tier 1, zahrnutých jako ostatní odpočty v řádku 0280,</w:t>
            </w:r>
          </w:p>
          <w:p w14:paraId="4B932609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 xml:space="preserve">ostatní položky </w:t>
            </w:r>
            <w:r w:rsidRPr="00336696">
              <w:rPr>
                <w:rFonts w:ascii="Times New Roman" w:hAnsi="Times New Roman"/>
                <w:bCs/>
              </w:rPr>
              <w:t>vedlejšího kapitálu tier 1 nebo odpočty od položky vedlejšího kapitálu tier 1, které nelze přiřadit do jednoho z řádků 0310 až 0400.</w:t>
            </w:r>
          </w:p>
          <w:p w14:paraId="6726F91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Tento řádek neslouží k zahrnutí kapitálových položek či odpočtů od kapitálu, na něž se nevztahuje nařízení (EU) 2019/2033 n</w:t>
            </w:r>
            <w:r w:rsidRPr="00336696">
              <w:rPr>
                <w:rFonts w:ascii="Times New Roman" w:hAnsi="Times New Roman"/>
                <w:bCs/>
              </w:rPr>
              <w:t>ebo nařízení (EU) č. 575/2013, do výpočtu ukazatelů kapitálové přiměřenosti.</w:t>
            </w:r>
          </w:p>
        </w:tc>
      </w:tr>
      <w:tr w:rsidR="004D7AAB" w:rsidRPr="00336696" w14:paraId="03EDA1EF" w14:textId="77777777">
        <w:tc>
          <w:tcPr>
            <w:tcW w:w="1129" w:type="dxa"/>
          </w:tcPr>
          <w:p w14:paraId="67BBD58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9B7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 TIER 2</w:t>
            </w:r>
          </w:p>
          <w:p w14:paraId="14E4761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nařízení (EU) 2019/2033.</w:t>
            </w:r>
          </w:p>
          <w:p w14:paraId="1B9294F1" w14:textId="77777777" w:rsidR="004D7AAB" w:rsidRPr="00336696" w:rsidRDefault="00336696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i/>
                <w:sz w:val="22"/>
              </w:rPr>
              <w:t>Článek 71</w:t>
            </w:r>
            <w:r w:rsidRPr="00336696">
              <w:rPr>
                <w:rFonts w:ascii="Times New Roman" w:hAnsi="Times New Roman"/>
                <w:bCs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nařízení (EU) č. 575/2013.</w:t>
            </w:r>
          </w:p>
          <w:p w14:paraId="61689374" w14:textId="77777777" w:rsidR="004D7AAB" w:rsidRPr="00336696" w:rsidRDefault="00336696">
            <w:pPr>
              <w:pStyle w:val="CommentText"/>
              <w:rPr>
                <w:sz w:val="22"/>
                <w:szCs w:val="22"/>
              </w:rPr>
            </w:pPr>
            <w:r w:rsidRPr="00336696">
              <w:rPr>
                <w:rFonts w:ascii="Times New Roman" w:hAnsi="Times New Roman"/>
                <w:bCs/>
                <w:sz w:val="22"/>
                <w:szCs w:val="22"/>
              </w:rPr>
              <w:t>Vykáže se celkový součet řádků 0430 až 0450 a řádku 0520.</w:t>
            </w:r>
          </w:p>
        </w:tc>
      </w:tr>
      <w:tr w:rsidR="004D7AAB" w:rsidRPr="00336696" w14:paraId="17BB408B" w14:textId="77777777">
        <w:tc>
          <w:tcPr>
            <w:tcW w:w="1129" w:type="dxa"/>
          </w:tcPr>
          <w:p w14:paraId="4E6A0A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087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Plně uhrazené přímo vydané kapitálové nástroje</w:t>
            </w:r>
          </w:p>
          <w:p w14:paraId="7BDA1F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79FD9372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62 písm. a) a článků 63 a 65</w:t>
            </w:r>
            <w:r w:rsidRPr="00336696">
              <w:rPr>
                <w:sz w:val="22"/>
                <w:szCs w:val="22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100E82C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Částka, která má být vykázána, nezahrnuje emisní ážio související s těmito nástr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oji.</w:t>
            </w:r>
          </w:p>
        </w:tc>
      </w:tr>
      <w:tr w:rsidR="004D7AAB" w:rsidRPr="00336696" w14:paraId="4E0BBC23" w14:textId="77777777">
        <w:tc>
          <w:tcPr>
            <w:tcW w:w="1129" w:type="dxa"/>
          </w:tcPr>
          <w:p w14:paraId="05A7D5D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353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Emisní ážio</w:t>
            </w:r>
          </w:p>
          <w:p w14:paraId="65DCEA2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(EU) 2019/2033.</w:t>
            </w:r>
          </w:p>
          <w:p w14:paraId="670FA0F9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62 písm. b) a článku 65</w:t>
            </w:r>
            <w:r w:rsidRPr="00336696">
              <w:rPr>
                <w:bCs w:val="0"/>
                <w:sz w:val="22"/>
                <w:szCs w:val="22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5D9F633F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Emisní ážio má stejný význam jako v použitelném účetním standardu.</w:t>
            </w:r>
          </w:p>
          <w:p w14:paraId="46AF4C37" w14:textId="77777777" w:rsidR="004D7AAB" w:rsidRPr="00336696" w:rsidRDefault="00336696">
            <w:pPr>
              <w:pStyle w:val="InstructionsText"/>
              <w:rPr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Částka, která má být vykázána v této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položce, je částí vztahující se k položce „Splacené kapitálové nástroje“.</w:t>
            </w:r>
          </w:p>
        </w:tc>
      </w:tr>
      <w:tr w:rsidR="004D7AAB" w:rsidRPr="00336696" w14:paraId="0038FD1B" w14:textId="77777777">
        <w:tc>
          <w:tcPr>
            <w:tcW w:w="1129" w:type="dxa"/>
          </w:tcPr>
          <w:p w14:paraId="333D62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CB09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ODPOČTY OD KAPITÁLU TIER 2 CELKEM</w:t>
            </w:r>
          </w:p>
          <w:p w14:paraId="7D10953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i/>
              </w:rPr>
              <w:t>Článek 66</w:t>
            </w:r>
            <w:r w:rsidRPr="00336696">
              <w:rPr>
                <w:rFonts w:ascii="Times New Roman" w:hAnsi="Times New Roman"/>
              </w:rPr>
              <w:t xml:space="preserve"> nařízení (EU) č. 575/2013.</w:t>
            </w:r>
          </w:p>
        </w:tc>
      </w:tr>
      <w:tr w:rsidR="004D7AAB" w:rsidRPr="00336696" w14:paraId="1935A2E1" w14:textId="77777777">
        <w:tc>
          <w:tcPr>
            <w:tcW w:w="1129" w:type="dxa"/>
          </w:tcPr>
          <w:p w14:paraId="2552A92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48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Vlastní nástroje zahrnované do kapitálu tier 2</w:t>
            </w:r>
          </w:p>
          <w:p w14:paraId="50BC984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bodu i) nařízení (E</w:t>
            </w:r>
            <w:r w:rsidRPr="00336696">
              <w:rPr>
                <w:rFonts w:ascii="Times New Roman" w:hAnsi="Times New Roman"/>
                <w:bCs/>
              </w:rPr>
              <w:t>U) 2019/2033.</w:t>
            </w:r>
          </w:p>
          <w:p w14:paraId="6E2A36B3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63 písm. b) bodu i), čl. 66 písm. a) a článku 67</w:t>
            </w:r>
            <w:r w:rsidRPr="00336696">
              <w:rPr>
                <w:bCs w:val="0"/>
                <w:sz w:val="22"/>
                <w:szCs w:val="22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64817499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Vlastní nástroje zahrnované do kapitálu tier 2 držené vykazující institucí nebo skupinou ke dni vykazování. S výhradou výjimek uvedených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 článku 67</w:t>
            </w:r>
            <w:r w:rsidRPr="00336696">
              <w:rPr>
                <w:sz w:val="22"/>
                <w:szCs w:val="22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55631049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 tomto řádku se nevykazují držby akcií zahrnuté v položce „Nezpůsobilé kapitálové nástroje“.</w:t>
            </w:r>
          </w:p>
          <w:p w14:paraId="5474A047" w14:textId="77777777" w:rsidR="004D7AAB" w:rsidRPr="00336696" w:rsidRDefault="00336696">
            <w:pPr>
              <w:pStyle w:val="InstructionsText"/>
              <w:rPr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Částka, která má být vykázána, zahrnuje emisní ážio související s vlastními akciemi.</w:t>
            </w:r>
          </w:p>
        </w:tc>
      </w:tr>
      <w:tr w:rsidR="004D7AAB" w:rsidRPr="00336696" w14:paraId="4CC111C9" w14:textId="77777777">
        <w:tc>
          <w:tcPr>
            <w:tcW w:w="1129" w:type="dxa"/>
          </w:tcPr>
          <w:p w14:paraId="39B6587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DF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Přímé kapitálové investice d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o nástrojů zahrnovaných do kapitálu tier 2</w:t>
            </w:r>
          </w:p>
          <w:p w14:paraId="22C3CDF6" w14:textId="77777777" w:rsidR="004D7AAB" w:rsidRPr="00336696" w:rsidRDefault="00336696">
            <w:pPr>
              <w:pStyle w:val="InstructionsText"/>
              <w:rPr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63 písm. b), čl. 66 písm. a) a článku 67</w:t>
            </w:r>
            <w:r w:rsidRPr="00336696">
              <w:rPr>
                <w:bCs w:val="0"/>
                <w:sz w:val="22"/>
                <w:szCs w:val="22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</w:tc>
      </w:tr>
      <w:tr w:rsidR="004D7AAB" w:rsidRPr="00336696" w14:paraId="1A7C6D28" w14:textId="77777777">
        <w:tc>
          <w:tcPr>
            <w:tcW w:w="1129" w:type="dxa"/>
          </w:tcPr>
          <w:p w14:paraId="25D427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0480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997E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Nepřímé kapitálové investice do nástrojů zahrnovaných do kapitálu tier 2</w:t>
            </w:r>
          </w:p>
          <w:p w14:paraId="4044625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4 odst. 1 bodu 114, čl. 63 písm.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b), čl. 66 písm. a) a článku 67</w:t>
            </w:r>
            <w:r w:rsidRPr="00336696">
              <w:rPr>
                <w:rFonts w:ascii="Times New Roman" w:hAnsi="Times New Roman"/>
                <w:bCs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nařízení (EU) č. 575/2013.</w:t>
            </w:r>
          </w:p>
        </w:tc>
      </w:tr>
      <w:tr w:rsidR="004D7AAB" w:rsidRPr="00336696" w14:paraId="3E4F5BD7" w14:textId="77777777">
        <w:tc>
          <w:tcPr>
            <w:tcW w:w="1129" w:type="dxa"/>
          </w:tcPr>
          <w:p w14:paraId="3274660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0490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0EB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(−) Syntetické kapitálové investice do nástrojů zahrnovaných do kapitálu tier 2</w:t>
            </w:r>
          </w:p>
          <w:p w14:paraId="504D3D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Ustanovení čl. 4 odst. 1 bodu 126, čl. 63 písm. b), čl. 66 písm. a) a článku 67</w:t>
            </w:r>
            <w:r w:rsidRPr="00336696">
              <w:rPr>
                <w:rFonts w:ascii="Times New Roman" w:hAnsi="Times New Roman"/>
                <w:bCs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nařízení (EU)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č. 575/2013.</w:t>
            </w:r>
          </w:p>
        </w:tc>
      </w:tr>
      <w:tr w:rsidR="004D7AAB" w:rsidRPr="00336696" w14:paraId="7529ADB2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5830D8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371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Nástroje zahrnované do kapitálu tier 2 subjektů finančního sektoru, v nichž investiční podnik nemá významnou investici</w:t>
            </w:r>
          </w:p>
          <w:p w14:paraId="366CF3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2 písm. c) nařízení (EU) 2019/2033.</w:t>
            </w:r>
          </w:p>
          <w:p w14:paraId="0CBACBD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66 písm. c) nařízení (EU) č. 575/2013.</w:t>
            </w:r>
          </w:p>
        </w:tc>
      </w:tr>
      <w:tr w:rsidR="004D7AAB" w:rsidRPr="00336696" w14:paraId="78878BE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AF97C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0510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77F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Nástroje zahrnované do kapitálu tier 2 subjektů finančního sektoru, v nichž má investiční podnik významnou investici</w:t>
            </w:r>
          </w:p>
          <w:p w14:paraId="0F037C0C" w14:textId="77777777" w:rsidR="004D7AAB" w:rsidRPr="00336696" w:rsidRDefault="0033669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Ustanovení čl. 4 odst. 1 bodu 27, čl. 66 písm. d) a článků 68, 69 a 79</w:t>
            </w:r>
            <w:r w:rsidRPr="00336696">
              <w:rPr>
                <w:bCs w:val="0"/>
                <w:sz w:val="22"/>
                <w:szCs w:val="22"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nařízení (EU) č. 575/2013.</w:t>
            </w:r>
          </w:p>
          <w:p w14:paraId="13BA98E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Kapitálové investice instituce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do nástrojů kapitálu tier 2 subjektů finančního sektoru (ve smyslu čl. 4 odst. 1 bodu 27</w:t>
            </w:r>
            <w:r w:rsidRPr="00336696">
              <w:rPr>
                <w:rFonts w:ascii="Times New Roman" w:hAnsi="Times New Roman"/>
                <w:bCs/>
              </w:rPr>
              <w:t xml:space="preserve">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nařízení (EU) č. 575/2013), v nichž má investiční podnik významnou investici, se odečítají v plném rozsahu.</w:t>
            </w:r>
          </w:p>
        </w:tc>
      </w:tr>
      <w:tr w:rsidR="004D7AAB" w:rsidRPr="00336696" w14:paraId="1067BE9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30F4EE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1AA2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Kapitál tier 2: Ostatní kapitálové položky,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odpočty od kapitálu a úpravy kapitálu</w:t>
            </w:r>
          </w:p>
          <w:p w14:paraId="40F8D4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Tento řádek zahrnuje v příslušných případech součet těchto položek:</w:t>
            </w:r>
          </w:p>
          <w:p w14:paraId="24FC8CD0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přechodné úpravy provedené v důsledku nástrojů zahrnovaných do kapitálu tier 2, pro něž platí zachování právních účinků (čl. 483 odst. 6 a 7 a článk</w:t>
            </w:r>
            <w:r w:rsidRPr="00336696">
              <w:rPr>
                <w:rFonts w:ascii="Times New Roman" w:hAnsi="Times New Roman"/>
                <w:bCs/>
              </w:rPr>
              <w:t>y 484, 486, 488, 490 a 491 nařízení (EU) č. 575/2013),</w:t>
            </w:r>
          </w:p>
          <w:p w14:paraId="07B2D365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nástroje vydané dceřinými podniky a uznané v kapitálu tier 2 (články 83, 87 a 88 nařízení (EU) č. 575/2013): součet všech částek kvalifikovaného kapitálu dceřiných podniků, který se zahrne do konsoli</w:t>
            </w:r>
            <w:r w:rsidRPr="00336696">
              <w:rPr>
                <w:rFonts w:ascii="Times New Roman" w:hAnsi="Times New Roman"/>
                <w:bCs/>
              </w:rPr>
              <w:t>dovaného kapitálu tier 2, včetně kvalifikovaného kapitálu tier 2 vydaného jednotkou pro speciální účel (článek 83 nařízení (EU) č. 575/2013),</w:t>
            </w:r>
          </w:p>
          <w:p w14:paraId="72647645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 xml:space="preserve">přechodné úpravy v důsledku dodatečného uznání nástrojů, které byly vydány dceřinými podniky, v kapitálu tier 2 </w:t>
            </w:r>
            <w:r w:rsidRPr="00336696">
              <w:rPr>
                <w:rFonts w:ascii="Times New Roman" w:hAnsi="Times New Roman"/>
                <w:bCs/>
              </w:rPr>
              <w:t>(článek 480 nařízení (EU) č. 575/2013): úpravy kvalifikovaného kapitálu zahrnutého v konsolidovaném kapitálu tier 2 provedené v důsledku přechodných ustanovení,</w:t>
            </w:r>
          </w:p>
          <w:p w14:paraId="131A3832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ostatní přechodné úpravy kapitálu tier 2 (články 472, 473a, 476, 477, 478 a 481 nařízení (EU)</w:t>
            </w:r>
            <w:r w:rsidRPr="00336696">
              <w:rPr>
                <w:rFonts w:ascii="Times New Roman" w:hAnsi="Times New Roman"/>
                <w:bCs/>
              </w:rPr>
              <w:t xml:space="preserve"> č. 575/2013): úpravy odpočtů od kapitálu tier 2 v důsledku přechodných ustanovení,</w:t>
            </w:r>
          </w:p>
          <w:p w14:paraId="6FEA84D7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odpočet od položek kapitálu tier 2, který přesahuje výši kapitálu tier 2, který se odečítá od vedlejšího kapitálu tier 1 v souladu s čl. 56 písm. e) nařízení (EU) č. 575/</w:t>
            </w:r>
            <w:r w:rsidRPr="00336696">
              <w:rPr>
                <w:rFonts w:ascii="Times New Roman" w:hAnsi="Times New Roman"/>
                <w:bCs/>
              </w:rPr>
              <w:t>2013: kapitál tier 2 nemůže být záporný, ale odpočty od položek kapitálu tier 2 mohou překročit výši položek dostupného kapitálu tier 2. Pokud k tomu dojde, tato položka představuje částku potřebnou ke zvýšení částky vykázané v řádku 0420 na nulu,</w:t>
            </w:r>
          </w:p>
          <w:p w14:paraId="12F73288" w14:textId="77777777" w:rsidR="004D7AAB" w:rsidRPr="00336696" w:rsidRDefault="00336696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336696">
              <w:rPr>
                <w:rFonts w:ascii="Times New Roman" w:eastAsia="Times New Roman" w:hAnsi="Times New Roman" w:cs="Times New Roman"/>
                <w:bCs/>
              </w:rPr>
              <w:tab/>
            </w:r>
            <w:r w:rsidRPr="00336696">
              <w:rPr>
                <w:rFonts w:ascii="Times New Roman" w:hAnsi="Times New Roman"/>
                <w:bCs/>
              </w:rPr>
              <w:t>ostatn</w:t>
            </w:r>
            <w:r w:rsidRPr="00336696">
              <w:rPr>
                <w:rFonts w:ascii="Times New Roman" w:hAnsi="Times New Roman"/>
                <w:bCs/>
              </w:rPr>
              <w:t>í položky kapitálu tier 2 nebo odpočty od položky kapitálu tier 2, které nelze přiřadit do jednoho z řádků 0430 až 0510.</w:t>
            </w:r>
          </w:p>
          <w:p w14:paraId="305A39C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Tento řádek neslouží k zahrnutí kapitálových položek či odpočtů od kapitálu, na něž se nevztahuje nařízení (EU) 2019/2033 nebo nařízení</w:t>
            </w:r>
            <w:r w:rsidRPr="00336696">
              <w:rPr>
                <w:rFonts w:ascii="Times New Roman" w:hAnsi="Times New Roman"/>
                <w:bCs/>
              </w:rPr>
              <w:t xml:space="preserve"> (EU) č. 575/2013, do výpočtu ukazatelů kapitálové přiměřenosti.</w:t>
            </w:r>
          </w:p>
        </w:tc>
      </w:tr>
    </w:tbl>
    <w:p w14:paraId="7706A5C0" w14:textId="77777777" w:rsidR="004D7AAB" w:rsidRPr="00336696" w:rsidRDefault="004D7AA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</w:p>
    <w:p w14:paraId="5511B83A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9" w:name="_Toc88125749"/>
      <w:r w:rsidRPr="00336696">
        <w:rPr>
          <w:rFonts w:ascii="Times New Roman" w:hAnsi="Times New Roman"/>
          <w:sz w:val="24"/>
          <w:szCs w:val="24"/>
          <w:u w:val="single"/>
        </w:rPr>
        <w:t>1.3. I 02.01 – KAPITÁLOVÉ POŽADAVKY (I 2.1)</w:t>
      </w:r>
      <w:bookmarkEnd w:id="29"/>
    </w:p>
    <w:p w14:paraId="23D55E1E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0" w:name="_Toc88125750"/>
      <w:r w:rsidRPr="00336696">
        <w:rPr>
          <w:rFonts w:ascii="Times New Roman" w:hAnsi="Times New Roman"/>
          <w:sz w:val="24"/>
          <w:szCs w:val="24"/>
        </w:rPr>
        <w:t>1.3.1.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3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5D95252C" w14:textId="77777777">
        <w:tc>
          <w:tcPr>
            <w:tcW w:w="1129" w:type="dxa"/>
            <w:shd w:val="clear" w:color="auto" w:fill="D9D9D9"/>
          </w:tcPr>
          <w:p w14:paraId="4B885E9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color w:val="000000" w:themeColor="text1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49A1C1D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color w:val="000000" w:themeColor="text1"/>
              </w:rPr>
              <w:t>Odkazy na právní předpisy a pokyny</w:t>
            </w:r>
          </w:p>
        </w:tc>
      </w:tr>
      <w:tr w:rsidR="004D7AAB" w:rsidRPr="00336696" w14:paraId="38D9DA05" w14:textId="77777777">
        <w:tc>
          <w:tcPr>
            <w:tcW w:w="1129" w:type="dxa"/>
          </w:tcPr>
          <w:p w14:paraId="3DBFF64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0858E8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Kapitálový požadavek</w:t>
            </w:r>
          </w:p>
          <w:p w14:paraId="55E3F7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Ustanovení čl. 11 odst. 1 nařízení 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(EU) 2019/2033.</w:t>
            </w:r>
          </w:p>
          <w:p w14:paraId="258BF67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Vykáže se částka bez uplatnění čl. 57 odst. 3, 4 a 6 nařízení (EU) 2019/2033.</w:t>
            </w:r>
          </w:p>
          <w:p w14:paraId="057A1DE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V</w:t>
            </w:r>
            <w:r w:rsidRPr="00336696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  <w:t> 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tomto řádku se vykáže částka, jež je maximální částka vykázaná v řádcích 0020, 0030 a 0040.</w:t>
            </w:r>
          </w:p>
        </w:tc>
      </w:tr>
      <w:tr w:rsidR="004D7AAB" w:rsidRPr="00336696" w14:paraId="271401FA" w14:textId="77777777">
        <w:tc>
          <w:tcPr>
            <w:tcW w:w="1129" w:type="dxa"/>
          </w:tcPr>
          <w:p w14:paraId="188DC7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121885B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Trvalý minimální kapitálový požadavek</w:t>
            </w:r>
          </w:p>
          <w:p w14:paraId="51CED68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  <w:color w:val="000000" w:themeColor="text1"/>
              </w:rPr>
              <w:t>Článek 14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 nařízení (EU) 2019/2033.</w:t>
            </w:r>
          </w:p>
          <w:p w14:paraId="070A095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částka bez uplatnění čl. 57 odst. 3, 4 a 6 nařízení (EU) 2019/2033.</w:t>
            </w:r>
          </w:p>
        </w:tc>
      </w:tr>
      <w:tr w:rsidR="004D7AAB" w:rsidRPr="00336696" w14:paraId="1343003C" w14:textId="77777777">
        <w:tc>
          <w:tcPr>
            <w:tcW w:w="1129" w:type="dxa"/>
          </w:tcPr>
          <w:p w14:paraId="459CAB5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2665E21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Požadavek dle fixních režijních nákladů</w:t>
            </w:r>
          </w:p>
          <w:p w14:paraId="2D9ED8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  <w:color w:val="000000" w:themeColor="text1"/>
              </w:rPr>
              <w:t>Článek 13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 nařízení (EU) 2019/2033.</w:t>
            </w:r>
          </w:p>
          <w:p w14:paraId="41F5F19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částka bez uplatnění čl. 57 odst. 3, 4 a 6 nařízení (EU) 2019</w:t>
            </w:r>
            <w:r w:rsidRPr="00336696">
              <w:rPr>
                <w:rFonts w:ascii="Times New Roman" w:hAnsi="Times New Roman"/>
                <w:bCs/>
              </w:rPr>
              <w:t>/2033.</w:t>
            </w:r>
          </w:p>
        </w:tc>
      </w:tr>
      <w:tr w:rsidR="004D7AAB" w:rsidRPr="00336696" w14:paraId="3120B575" w14:textId="77777777">
        <w:tc>
          <w:tcPr>
            <w:tcW w:w="1129" w:type="dxa"/>
          </w:tcPr>
          <w:p w14:paraId="0C6CBC5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428308F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Celkový požadavek dle K-faktorů</w:t>
            </w:r>
          </w:p>
          <w:p w14:paraId="37FBA2A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  <w:color w:val="000000" w:themeColor="text1"/>
              </w:rPr>
              <w:t>Článek 15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 nařízení (EU) 2019/2033.</w:t>
            </w:r>
          </w:p>
          <w:p w14:paraId="4B9BBFF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částka bez uplatnění čl. 57 odst. 3, 4 a 6 nařízení (EU) 2019/2033.</w:t>
            </w:r>
          </w:p>
        </w:tc>
      </w:tr>
      <w:tr w:rsidR="004D7AAB" w:rsidRPr="00336696" w14:paraId="279F4AC5" w14:textId="77777777">
        <w:tc>
          <w:tcPr>
            <w:tcW w:w="1129" w:type="dxa"/>
          </w:tcPr>
          <w:p w14:paraId="4EDE28F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0050–0100</w:t>
            </w:r>
          </w:p>
        </w:tc>
        <w:tc>
          <w:tcPr>
            <w:tcW w:w="7620" w:type="dxa"/>
          </w:tcPr>
          <w:p w14:paraId="3BD64E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Přechodné kapitálové požadavky</w:t>
            </w:r>
          </w:p>
        </w:tc>
      </w:tr>
      <w:tr w:rsidR="004D7AAB" w:rsidRPr="00336696" w14:paraId="6808476C" w14:textId="77777777">
        <w:tc>
          <w:tcPr>
            <w:tcW w:w="1129" w:type="dxa"/>
          </w:tcPr>
          <w:p w14:paraId="25042B8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2C06AA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Přechodný požadavek na základě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kapitálových požadavků dle nařízení (EU) č. 575/2013</w:t>
            </w:r>
          </w:p>
          <w:p w14:paraId="16BCE77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57 odst. 3 písm. a) nařízení (EU) 2019/2033.</w:t>
            </w:r>
          </w:p>
        </w:tc>
      </w:tr>
      <w:tr w:rsidR="004D7AAB" w:rsidRPr="00336696" w14:paraId="71976563" w14:textId="77777777">
        <w:tc>
          <w:tcPr>
            <w:tcW w:w="1129" w:type="dxa"/>
          </w:tcPr>
          <w:p w14:paraId="20A8E4D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0A60919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Přechodný požadavek na základě požadavku dle fixních režijních nákladů</w:t>
            </w:r>
          </w:p>
          <w:p w14:paraId="35BEBE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57 odst. 3 písm. b) nařízení (EU) 2019/2033.</w:t>
            </w:r>
          </w:p>
        </w:tc>
      </w:tr>
      <w:tr w:rsidR="004D7AAB" w:rsidRPr="00336696" w14:paraId="51B928A1" w14:textId="77777777">
        <w:tc>
          <w:tcPr>
            <w:tcW w:w="1129" w:type="dxa"/>
          </w:tcPr>
          <w:p w14:paraId="581989D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66CAC9B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Přechodný požadavek pro investiční podniky, které dříve podléhaly požadavku na počáteční kapitál</w:t>
            </w:r>
          </w:p>
          <w:p w14:paraId="0CA930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57 odst. 4 písm. a) nařízení (EU) 2019/2033.</w:t>
            </w:r>
          </w:p>
        </w:tc>
      </w:tr>
      <w:tr w:rsidR="004D7AAB" w:rsidRPr="00336696" w14:paraId="76879A51" w14:textId="77777777">
        <w:tc>
          <w:tcPr>
            <w:tcW w:w="1129" w:type="dxa"/>
          </w:tcPr>
          <w:p w14:paraId="47588F4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2B7DEBD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Přechodný požadavek na základě požadavku na počáteční kapitál při udělení povolení</w:t>
            </w:r>
          </w:p>
          <w:p w14:paraId="18CC73E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</w:t>
            </w:r>
            <w:r w:rsidRPr="00336696">
              <w:rPr>
                <w:rFonts w:ascii="Times New Roman" w:hAnsi="Times New Roman"/>
                <w:bCs/>
              </w:rPr>
              <w:t xml:space="preserve"> čl. 57 odst. 4 písm. b) nařízení (EU) 2019/2033.</w:t>
            </w:r>
          </w:p>
        </w:tc>
      </w:tr>
      <w:tr w:rsidR="004D7AAB" w:rsidRPr="00336696" w14:paraId="5C02A5FE" w14:textId="77777777">
        <w:tc>
          <w:tcPr>
            <w:tcW w:w="1129" w:type="dxa"/>
          </w:tcPr>
          <w:p w14:paraId="4B380C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4035839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Přechodný požadavek pro investiční podniky, které nemají povolení poskytovat určité služby</w:t>
            </w:r>
          </w:p>
          <w:p w14:paraId="6005DD2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57 odst. 4 písm. c) nařízení (EU) 2019/2033.</w:t>
            </w:r>
          </w:p>
        </w:tc>
      </w:tr>
      <w:tr w:rsidR="004D7AAB" w:rsidRPr="00336696" w14:paraId="30F2B940" w14:textId="77777777">
        <w:tc>
          <w:tcPr>
            <w:tcW w:w="1129" w:type="dxa"/>
          </w:tcPr>
          <w:p w14:paraId="6CA6E6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59DD05F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Přechodný požadavek na nejméně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250 000 EUR</w:t>
            </w:r>
          </w:p>
          <w:p w14:paraId="0F39A16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57 odst. 6 nařízení (EU) 2019/2033.</w:t>
            </w:r>
          </w:p>
        </w:tc>
      </w:tr>
      <w:tr w:rsidR="004D7AAB" w:rsidRPr="00336696" w14:paraId="75EBAC75" w14:textId="77777777">
        <w:tc>
          <w:tcPr>
            <w:tcW w:w="1129" w:type="dxa"/>
          </w:tcPr>
          <w:p w14:paraId="6AB9A03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0110–0130</w:t>
            </w:r>
          </w:p>
        </w:tc>
        <w:tc>
          <w:tcPr>
            <w:tcW w:w="7620" w:type="dxa"/>
          </w:tcPr>
          <w:p w14:paraId="6E455C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Doplňkové položky</w:t>
            </w:r>
          </w:p>
        </w:tc>
      </w:tr>
      <w:tr w:rsidR="004D7AAB" w:rsidRPr="00336696" w14:paraId="3958C7C1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024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lastRenderedPageBreak/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69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Dodatečné kapitálové požadavky</w:t>
            </w:r>
          </w:p>
          <w:p w14:paraId="1AF683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  <w:color w:val="000000" w:themeColor="text1"/>
              </w:rPr>
              <w:t>Článek 40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 směrnice (EU) 2019/2034.</w:t>
            </w:r>
          </w:p>
          <w:p w14:paraId="7E1CFE6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Dodatečný kapitálový požadavek na základě procesu přezkumu a hodnocení.</w:t>
            </w:r>
          </w:p>
        </w:tc>
      </w:tr>
      <w:tr w:rsidR="004D7AAB" w:rsidRPr="00336696" w14:paraId="623AF414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073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832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Pokyny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 držení dodatečného kapitálu</w:t>
            </w:r>
          </w:p>
          <w:p w14:paraId="75443A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41</w:t>
            </w:r>
            <w:r w:rsidRPr="00336696">
              <w:rPr>
                <w:rFonts w:ascii="Times New Roman" w:hAnsi="Times New Roman"/>
                <w:bCs/>
              </w:rPr>
              <w:t xml:space="preserve"> směrnice (EU) 2019/2034.</w:t>
            </w:r>
          </w:p>
          <w:p w14:paraId="558B760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Dodatečný kapitálový požadavek podle pokynů k držení dodatečného kapitálu.</w:t>
            </w:r>
          </w:p>
        </w:tc>
      </w:tr>
      <w:tr w:rsidR="004D7AAB" w:rsidRPr="00336696" w14:paraId="51C04AE6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9CC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2FC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Celkový kapitálový požadavek</w:t>
            </w:r>
          </w:p>
          <w:p w14:paraId="16D3AD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Celkový kapitálový požadavek investičního podniku se skládá ze součtu jeho kapitá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lových požadavků platných k referenčnímu datu, dodatečného kapitálového požadavku uvedeného v řádku 0110 a pokynů k držení dodatečného kapitálu uvedených v řádku 0120.</w:t>
            </w:r>
          </w:p>
        </w:tc>
      </w:tr>
    </w:tbl>
    <w:p w14:paraId="59063754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1" w:name="_Toc88125751"/>
      <w:r w:rsidRPr="00336696">
        <w:rPr>
          <w:rFonts w:ascii="Times New Roman" w:hAnsi="Times New Roman"/>
          <w:sz w:val="24"/>
          <w:szCs w:val="24"/>
          <w:u w:val="single"/>
        </w:rPr>
        <w:t>1.4. I 02.02 – KAPITÁLOVÉ POMĚRY (I 2.2)</w:t>
      </w:r>
      <w:bookmarkEnd w:id="31"/>
    </w:p>
    <w:p w14:paraId="5E856489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2" w:name="_Toc88125752"/>
      <w:r w:rsidRPr="00336696">
        <w:rPr>
          <w:rFonts w:ascii="Times New Roman" w:hAnsi="Times New Roman"/>
          <w:sz w:val="24"/>
          <w:szCs w:val="24"/>
        </w:rPr>
        <w:t>1.4.1.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3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7E87E9EC" w14:textId="77777777">
        <w:tc>
          <w:tcPr>
            <w:tcW w:w="1129" w:type="dxa"/>
            <w:shd w:val="clear" w:color="auto" w:fill="D9D9D9"/>
          </w:tcPr>
          <w:p w14:paraId="3E6EBF8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39B562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320918D9" w14:textId="77777777">
        <w:tc>
          <w:tcPr>
            <w:tcW w:w="1129" w:type="dxa"/>
          </w:tcPr>
          <w:p w14:paraId="3F26026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03763C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Poměr kmenového kapitálu tier 1</w:t>
            </w:r>
          </w:p>
          <w:p w14:paraId="57FB261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písm. a) a čl. 11 odst. 1 nařízení (EU) 2019/2033.</w:t>
            </w:r>
          </w:p>
          <w:p w14:paraId="58F098D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4 nařízení (EU) 2019/2033.</w:t>
            </w:r>
          </w:p>
          <w:p w14:paraId="2125610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Tato položka se vyjádří v procentech.</w:t>
            </w:r>
          </w:p>
        </w:tc>
      </w:tr>
      <w:tr w:rsidR="004D7AAB" w:rsidRPr="00336696" w14:paraId="141CE03C" w14:textId="77777777">
        <w:tc>
          <w:tcPr>
            <w:tcW w:w="1129" w:type="dxa"/>
          </w:tcPr>
          <w:p w14:paraId="220B10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D88C0A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Přebytek (+)/nedostatek (–) kmenového kapitálu tier 1</w:t>
            </w:r>
          </w:p>
          <w:p w14:paraId="2252D4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>Tato položka uvádí přebytek nebo nedostatek kmenového kapitálu tier 1 v souvislosti s požadavkem uvedeným v čl. 9 odst. 1 nařízení (EU) 2019/2033.</w:t>
            </w:r>
          </w:p>
          <w:p w14:paraId="5EB9AC8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Přechodná ustanovení čl. 57 odst. 3 a 4 nařízení (EU) 2</w:t>
            </w:r>
            <w:r w:rsidRPr="00336696">
              <w:rPr>
                <w:rFonts w:ascii="Times New Roman" w:hAnsi="Times New Roman"/>
              </w:rPr>
              <w:t>019/2033 se pro tuto položku nezohlední.</w:t>
            </w:r>
          </w:p>
        </w:tc>
      </w:tr>
      <w:tr w:rsidR="004D7AAB" w:rsidRPr="00336696" w14:paraId="50D6D427" w14:textId="77777777">
        <w:tc>
          <w:tcPr>
            <w:tcW w:w="1129" w:type="dxa"/>
          </w:tcPr>
          <w:p w14:paraId="32D316D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71F32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Poměr kapitálu tier 1</w:t>
            </w:r>
          </w:p>
          <w:p w14:paraId="32E266B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odst. 1 písm. b) a čl. 11 odst. 1 nařízení (EU) 2019/2033.</w:t>
            </w:r>
          </w:p>
          <w:p w14:paraId="328C70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Tato položka se vyjádří v procentech.</w:t>
            </w:r>
          </w:p>
        </w:tc>
      </w:tr>
      <w:tr w:rsidR="004D7AAB" w:rsidRPr="00336696" w14:paraId="77802EC6" w14:textId="77777777">
        <w:tc>
          <w:tcPr>
            <w:tcW w:w="1129" w:type="dxa"/>
          </w:tcPr>
          <w:p w14:paraId="5C95B1E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75D6238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Přebytek (+)/nedostatek (–) kapitálu tier 1</w:t>
            </w:r>
          </w:p>
          <w:p w14:paraId="331D2E75" w14:textId="77777777" w:rsidR="004D7AAB" w:rsidRPr="00336696" w:rsidRDefault="00336696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336696">
              <w:rPr>
                <w:rFonts w:ascii="Times New Roman" w:hAnsi="Times New Roman"/>
              </w:rPr>
              <w:t xml:space="preserve">Tato </w:t>
            </w:r>
            <w:r w:rsidRPr="00336696">
              <w:rPr>
                <w:rFonts w:ascii="Times New Roman" w:hAnsi="Times New Roman"/>
                <w:sz w:val="22"/>
                <w:szCs w:val="22"/>
              </w:rPr>
              <w:t xml:space="preserve">položka uvádí </w:t>
            </w:r>
            <w:r w:rsidRPr="00336696">
              <w:rPr>
                <w:rFonts w:ascii="Times New Roman" w:hAnsi="Times New Roman"/>
                <w:sz w:val="22"/>
                <w:szCs w:val="22"/>
              </w:rPr>
              <w:t>přebytek nebo nedostatek kapitálu tier 1 v souvislosti s požadavkem uvedeným v čl. 9 odst. 1</w:t>
            </w:r>
            <w:r w:rsidRPr="00336696">
              <w:rPr>
                <w:rFonts w:ascii="Times New Roman" w:hAnsi="Times New Roman"/>
              </w:rPr>
              <w:t xml:space="preserve"> nařízení (EU) 2019/2033.</w:t>
            </w:r>
          </w:p>
          <w:p w14:paraId="018C1EA4" w14:textId="77777777" w:rsidR="004D7AAB" w:rsidRPr="00336696" w:rsidRDefault="00336696">
            <w:pPr>
              <w:spacing w:after="120" w:line="240" w:lineRule="auto"/>
              <w:jc w:val="both"/>
            </w:pPr>
            <w:r w:rsidRPr="00336696">
              <w:rPr>
                <w:rFonts w:ascii="Times New Roman" w:hAnsi="Times New Roman"/>
              </w:rPr>
              <w:t>Přechodná ustanovení čl. 57 odst. 3 a 4 nařízení (EU) 2019/2033 se pro tuto položku nezohlední.</w:t>
            </w:r>
          </w:p>
        </w:tc>
      </w:tr>
      <w:tr w:rsidR="004D7AAB" w:rsidRPr="00336696" w14:paraId="4E04853E" w14:textId="77777777">
        <w:tc>
          <w:tcPr>
            <w:tcW w:w="1129" w:type="dxa"/>
          </w:tcPr>
          <w:p w14:paraId="0B8F60C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1680D1F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Poměr kapitálu</w:t>
            </w:r>
          </w:p>
          <w:p w14:paraId="6703CD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9 odst</w:t>
            </w:r>
            <w:r w:rsidRPr="00336696">
              <w:rPr>
                <w:rFonts w:ascii="Times New Roman" w:hAnsi="Times New Roman"/>
                <w:bCs/>
              </w:rPr>
              <w:t>. 1 písm. c) a čl. 11 odst. 1 nařízení (EU) 2019/2033.</w:t>
            </w:r>
          </w:p>
          <w:p w14:paraId="17EF2FA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Tato položka se vyjádří v procentech.</w:t>
            </w:r>
          </w:p>
        </w:tc>
      </w:tr>
      <w:tr w:rsidR="004D7AAB" w:rsidRPr="00336696" w14:paraId="13263163" w14:textId="77777777">
        <w:tc>
          <w:tcPr>
            <w:tcW w:w="1129" w:type="dxa"/>
          </w:tcPr>
          <w:p w14:paraId="1E78785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0EAE3D4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Přebytek (+)/nedostatek (–) celkového kapitálu</w:t>
            </w:r>
          </w:p>
          <w:p w14:paraId="4D71E78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 xml:space="preserve">Tato položka uvádí přebytek nebo nedostatek kapitálu v souvislosti s požadavkem uvedeným v čl. 9 </w:t>
            </w:r>
            <w:r w:rsidRPr="00336696">
              <w:rPr>
                <w:rFonts w:ascii="Times New Roman" w:hAnsi="Times New Roman"/>
              </w:rPr>
              <w:t>odst. 1 nařízení (EU) 2019/2033.</w:t>
            </w:r>
          </w:p>
          <w:p w14:paraId="25CBB68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lastRenderedPageBreak/>
              <w:t>Přechodná ustanovení čl. 57 odst. 3 a 4 nařízení (EU) 2019/2033 se pro tuto položku nezohlední.</w:t>
            </w:r>
          </w:p>
        </w:tc>
      </w:tr>
    </w:tbl>
    <w:p w14:paraId="3B415C5C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3" w:name="_Toc88125753"/>
      <w:r w:rsidRPr="00336696">
        <w:rPr>
          <w:rFonts w:ascii="Times New Roman" w:hAnsi="Times New Roman"/>
          <w:sz w:val="24"/>
          <w:szCs w:val="24"/>
          <w:u w:val="single"/>
        </w:rPr>
        <w:lastRenderedPageBreak/>
        <w:t>1.5. I 03.00 – VÝPOČET POŽADAVKU DLE FIXNÍCH REŽIJNÍCH NÁKLADŮ (I 3)</w:t>
      </w:r>
      <w:bookmarkEnd w:id="2"/>
      <w:bookmarkEnd w:id="3"/>
      <w:bookmarkEnd w:id="33"/>
      <w:bookmarkEnd w:id="4"/>
      <w:bookmarkEnd w:id="5"/>
    </w:p>
    <w:p w14:paraId="55811481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4" w:name="_Toc310414968"/>
      <w:bookmarkStart w:id="35" w:name="_Toc360188326"/>
      <w:bookmarkStart w:id="36" w:name="_Toc473560874"/>
      <w:bookmarkStart w:id="37" w:name="_Toc7084159"/>
      <w:bookmarkStart w:id="38" w:name="_Toc88125754"/>
      <w:r w:rsidRPr="00336696">
        <w:rPr>
          <w:rFonts w:ascii="Times New Roman" w:hAnsi="Times New Roman"/>
          <w:sz w:val="24"/>
          <w:szCs w:val="24"/>
        </w:rPr>
        <w:t>1.5.1.</w:t>
      </w:r>
      <w:r w:rsidRPr="00336696">
        <w:rPr>
          <w:rFonts w:ascii="Times New Roman" w:hAnsi="Times New Roman"/>
          <w:sz w:val="24"/>
          <w:szCs w:val="24"/>
        </w:rPr>
        <w:tab/>
      </w:r>
      <w:bookmarkStart w:id="39" w:name="_Toc308175821"/>
      <w:r w:rsidRPr="00336696">
        <w:rPr>
          <w:rFonts w:ascii="Times New Roman" w:hAnsi="Times New Roman"/>
          <w:sz w:val="24"/>
          <w:szCs w:val="24"/>
          <w:u w:val="single"/>
        </w:rPr>
        <w:t xml:space="preserve">Pokyny pro konkrétní </w:t>
      </w:r>
      <w:bookmarkEnd w:id="39"/>
      <w:bookmarkEnd w:id="34"/>
      <w:r w:rsidRPr="00336696">
        <w:rPr>
          <w:rFonts w:ascii="Times New Roman" w:hAnsi="Times New Roman"/>
          <w:sz w:val="24"/>
          <w:szCs w:val="24"/>
          <w:u w:val="single"/>
        </w:rPr>
        <w:t>pozice</w:t>
      </w:r>
      <w:bookmarkEnd w:id="35"/>
      <w:bookmarkEnd w:id="36"/>
      <w:bookmarkEnd w:id="37"/>
      <w:bookmarkEnd w:id="3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74B5CE19" w14:textId="77777777">
        <w:tc>
          <w:tcPr>
            <w:tcW w:w="1129" w:type="dxa"/>
            <w:shd w:val="clear" w:color="auto" w:fill="D9D9D9"/>
          </w:tcPr>
          <w:p w14:paraId="53FC85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color w:val="000000" w:themeColor="text1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19ABF3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color w:val="000000" w:themeColor="text1"/>
              </w:rPr>
              <w:t xml:space="preserve">Odkazy na </w:t>
            </w:r>
            <w:r w:rsidRPr="00336696">
              <w:rPr>
                <w:rFonts w:ascii="Times New Roman" w:hAnsi="Times New Roman"/>
                <w:color w:val="000000" w:themeColor="text1"/>
              </w:rPr>
              <w:t>právní předpisy a pokyny</w:t>
            </w:r>
          </w:p>
        </w:tc>
      </w:tr>
      <w:tr w:rsidR="004D7AAB" w:rsidRPr="00336696" w14:paraId="6F34FE3A" w14:textId="77777777">
        <w:tc>
          <w:tcPr>
            <w:tcW w:w="1129" w:type="dxa"/>
          </w:tcPr>
          <w:p w14:paraId="7DB09D3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7B8C958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Požadavek dle fixních režijních nákladů</w:t>
            </w:r>
          </w:p>
          <w:p w14:paraId="5B52608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Ustanovení čl. 13 odst. 1 nařízení (EU) 2019/2033.</w:t>
            </w:r>
          </w:p>
          <w:p w14:paraId="024EAD5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>Vykázaná částka musí činit alespoň 25 % ročních fixních režijních nákladů předchozího roku (řádek 0020).</w:t>
            </w:r>
          </w:p>
          <w:p w14:paraId="1F5D556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 xml:space="preserve">Pokud dojde </w:t>
            </w:r>
            <w:r w:rsidRPr="00336696">
              <w:rPr>
                <w:rFonts w:ascii="Times New Roman" w:hAnsi="Times New Roman"/>
              </w:rPr>
              <w:t>k podstatné změně, je vykázanou částkou požadavek dle fixních režijních nákladů uložený příslušným orgánem v souladu s čl. 13 odst. 2 nařízení (EU) 2019/2033.</w:t>
            </w:r>
          </w:p>
          <w:p w14:paraId="5AA10B2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>V</w:t>
            </w:r>
            <w:r w:rsidRPr="00336696">
              <w:rPr>
                <w:rFonts w:ascii="Times New Roman" w:hAnsi="Times New Roman" w:cs="Times New Roman"/>
              </w:rPr>
              <w:t> </w:t>
            </w:r>
            <w:r w:rsidRPr="00336696">
              <w:rPr>
                <w:rFonts w:ascii="Times New Roman" w:hAnsi="Times New Roman"/>
              </w:rPr>
              <w:t>případech uvedených v čl. 13 odst. 3 nařízení (EU) 2019/2033 jsou vykázanou částkou předpokláda</w:t>
            </w:r>
            <w:r w:rsidRPr="00336696">
              <w:rPr>
                <w:rFonts w:ascii="Times New Roman" w:hAnsi="Times New Roman"/>
              </w:rPr>
              <w:t>né fixní režijní náklady běžného roku (řádek 0210).</w:t>
            </w:r>
          </w:p>
        </w:tc>
      </w:tr>
      <w:tr w:rsidR="004D7AAB" w:rsidRPr="00336696" w14:paraId="484EB517" w14:textId="77777777">
        <w:tc>
          <w:tcPr>
            <w:tcW w:w="1129" w:type="dxa"/>
          </w:tcPr>
          <w:p w14:paraId="5F09DFF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18E2125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Roční fixní režijní náklady předchozího roku po rozdělení zisku</w:t>
            </w:r>
          </w:p>
          <w:p w14:paraId="33E5BCD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13 odst. 1 nařízení (EU) 2019/2033.</w:t>
            </w:r>
          </w:p>
          <w:p w14:paraId="0F8A50E9" w14:textId="77777777" w:rsidR="004D7AAB" w:rsidRPr="00336696" w:rsidRDefault="00336696">
            <w:pPr>
              <w:pStyle w:val="CommentText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  <w:sz w:val="22"/>
              </w:rPr>
              <w:t>Investiční podniky vykáží fixní režijní náklady předchozího roku po rozdělení zisku</w:t>
            </w:r>
            <w:r w:rsidRPr="00336696">
              <w:rPr>
                <w:rFonts w:ascii="Times New Roman" w:hAnsi="Times New Roman"/>
                <w:bCs/>
                <w:color w:val="000000" w:themeColor="text1"/>
                <w:sz w:val="22"/>
              </w:rPr>
              <w:t xml:space="preserve">. </w:t>
            </w:r>
          </w:p>
        </w:tc>
      </w:tr>
      <w:tr w:rsidR="004D7AAB" w:rsidRPr="00336696" w14:paraId="1B4A3A01" w14:textId="77777777">
        <w:tc>
          <w:tcPr>
            <w:tcW w:w="1129" w:type="dxa"/>
          </w:tcPr>
          <w:p w14:paraId="0E8600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45DD9E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Celkové náklady předchozího roku po rozdělení zisku</w:t>
            </w:r>
          </w:p>
          <w:p w14:paraId="6204FD1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13 odst. 1 nařízení (EU) 2019/2033.</w:t>
            </w:r>
          </w:p>
          <w:p w14:paraId="746D2C5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Vykáže se částka po rozdělení zisku.</w:t>
            </w:r>
          </w:p>
        </w:tc>
      </w:tr>
      <w:tr w:rsidR="004D7AAB" w:rsidRPr="00336696" w14:paraId="37A65A3B" w14:textId="77777777">
        <w:tc>
          <w:tcPr>
            <w:tcW w:w="1129" w:type="dxa"/>
          </w:tcPr>
          <w:p w14:paraId="09A007B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5B54B8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Z toho: fixní náklady vynaložené jménem investičních podniků třetími stranami</w:t>
            </w:r>
          </w:p>
          <w:p w14:paraId="5C3D5302" w14:textId="77777777" w:rsidR="004D7AAB" w:rsidRPr="00336696" w:rsidRDefault="00336696">
            <w:pPr>
              <w:pStyle w:val="NumPar1"/>
              <w:numPr>
                <w:ilvl w:val="0"/>
                <w:numId w:val="0"/>
              </w:numPr>
              <w:rPr>
                <w:rFonts w:eastAsia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bCs/>
                <w:color w:val="000000" w:themeColor="text1"/>
                <w:szCs w:val="20"/>
              </w:rPr>
              <w:t xml:space="preserve">Pokud třetí </w:t>
            </w:r>
            <w:r w:rsidRPr="00336696">
              <w:rPr>
                <w:bCs/>
                <w:color w:val="000000" w:themeColor="text1"/>
                <w:szCs w:val="20"/>
              </w:rPr>
              <w:t>stranám, včetně vázaných zástupců, vznikly jménem investičních podniků fixní náklady, které však nejsou zahrnuty do celkových nákladů v roční účetní závěrce uvedené v odstavci 1, přičtou se tyto fixní náklady k celkovým nákladům investičního podniku. Pokud</w:t>
            </w:r>
            <w:r w:rsidRPr="00336696">
              <w:rPr>
                <w:bCs/>
                <w:color w:val="000000" w:themeColor="text1"/>
                <w:szCs w:val="20"/>
              </w:rPr>
              <w:t xml:space="preserve"> je k dispozici rozčlenění nákladů třetí strany, investiční podnik připočte k číselné hodnotě představující celkové náklady pouze podíl těchto fixních nákladů, které se vztahují na investiční podnik. Pokud takové rozčlenění není k dispozici, investiční pod</w:t>
            </w:r>
            <w:r w:rsidRPr="00336696">
              <w:rPr>
                <w:bCs/>
                <w:color w:val="000000" w:themeColor="text1"/>
                <w:szCs w:val="20"/>
              </w:rPr>
              <w:t>nik připočte k číselné hodnotě představující celkové náklady pouze svůj podíl nákladů třetí strany, jenž vyplývá z obchodního plánu investičního podniku.</w:t>
            </w:r>
          </w:p>
        </w:tc>
      </w:tr>
      <w:tr w:rsidR="004D7AAB" w:rsidRPr="00336696" w14:paraId="48E9EDD5" w14:textId="77777777">
        <w:tc>
          <w:tcPr>
            <w:tcW w:w="1129" w:type="dxa"/>
          </w:tcPr>
          <w:p w14:paraId="03E04F7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4F56683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  <w:szCs w:val="20"/>
              </w:rPr>
              <w:t>(–) Celkové odpočty</w:t>
            </w:r>
          </w:p>
          <w:p w14:paraId="40E9F9B3" w14:textId="77777777" w:rsidR="004D7AAB" w:rsidRPr="00336696" w:rsidRDefault="00336696">
            <w:pPr>
              <w:spacing w:after="120" w:line="240" w:lineRule="auto"/>
              <w:jc w:val="both"/>
              <w:rPr>
                <w:rFonts w:eastAsia="Times New Roman"/>
                <w:bCs/>
                <w:color w:val="000000" w:themeColor="text1"/>
                <w:szCs w:val="20"/>
              </w:rPr>
            </w:pPr>
            <w:r w:rsidRPr="00336696">
              <w:rPr>
                <w:rFonts w:ascii="Times New Roman" w:hAnsi="Times New Roman"/>
                <w:bCs/>
              </w:rPr>
              <w:t>Vedle položek k odpočtu uvedených v </w:t>
            </w:r>
            <w:r w:rsidRPr="00336696">
              <w:rPr>
                <w:rFonts w:ascii="Times New Roman" w:hAnsi="Times New Roman"/>
                <w:bCs/>
                <w:color w:val="000000" w:themeColor="text1"/>
                <w:szCs w:val="20"/>
              </w:rPr>
              <w:t>čl. 13 odst. 4 nařízení (</w:t>
            </w:r>
            <w:r w:rsidRPr="00336696">
              <w:rPr>
                <w:rFonts w:ascii="Times New Roman" w:hAnsi="Times New Roman"/>
                <w:bCs/>
              </w:rPr>
              <w:t>EU) 2019/2033 s</w:t>
            </w:r>
            <w:r w:rsidRPr="00336696">
              <w:rPr>
                <w:rFonts w:ascii="Times New Roman" w:hAnsi="Times New Roman"/>
                <w:bCs/>
              </w:rPr>
              <w:t>e od celkových nákladů odečítají také následující položky, pokud jsou v souladu s příslušným účetním rámcem zahrnuty do celkových nákladů:</w:t>
            </w:r>
          </w:p>
          <w:p w14:paraId="6B1D266F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tabs>
                <w:tab w:val="left" w:pos="343"/>
              </w:tabs>
              <w:ind w:left="343" w:hanging="426"/>
              <w:rPr>
                <w:rFonts w:eastAsia="Times New Roman"/>
              </w:rPr>
            </w:pPr>
            <w:r w:rsidRPr="00336696">
              <w:rPr>
                <w:rFonts w:eastAsia="Times New Roman"/>
              </w:rPr>
              <w:t>a)</w:t>
            </w:r>
            <w:r w:rsidRPr="00336696">
              <w:rPr>
                <w:rFonts w:eastAsia="Times New Roman"/>
              </w:rPr>
              <w:tab/>
            </w:r>
            <w:r w:rsidRPr="00336696">
              <w:t>poplatky, provize makléřům a jiné platby hrazené ústředním protistranám, burzám a jiným obchodním místům a zprostř</w:t>
            </w:r>
            <w:r w:rsidRPr="00336696">
              <w:t xml:space="preserve">edkujícím makléřům za účelem provádění, registrace nebo zúčtování transakcí, a to pouze v případě, že jsou přímo přeneseny na zákazníky a zákazníkům účtovány. Tyto položky nezahrnují poplatky a jiné zúčtovatelné částky nezbytné </w:t>
            </w:r>
            <w:r w:rsidRPr="00336696">
              <w:lastRenderedPageBreak/>
              <w:t>k zachování členství nebo pl</w:t>
            </w:r>
            <w:r w:rsidRPr="00336696">
              <w:t>nění finančních závazků týkajících se sdílení ztrát vůči ústředním protistranám, burzám a jiným obchodním místům;</w:t>
            </w:r>
          </w:p>
          <w:p w14:paraId="58586B6E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b)</w:t>
            </w: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úroky placené zákazníkům z peněz zákazníků, pokud není stanovena žádná povinnost jakéhokoli druhu tyto úroky platit;</w:t>
            </w:r>
          </w:p>
          <w:p w14:paraId="531E4595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c)</w:t>
            </w: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 xml:space="preserve">daňové </w:t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výdaje, pokud jsou splatné ve vztahu k ročnímu zisku investičního podniku;</w:t>
            </w:r>
          </w:p>
          <w:p w14:paraId="4B60512D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d)</w:t>
            </w: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ztráty z obchodování s finančními nástroji na vlastní účet;</w:t>
            </w:r>
          </w:p>
          <w:p w14:paraId="49170257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e)</w:t>
            </w: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platby související s dohodami o převodu zisku a ztrát, podle nichž se investiční podnik zavazuje po vypracování roč</w:t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ní účetní závěrky převést svůj roční výsledek mateřskému podniku;</w:t>
            </w:r>
          </w:p>
          <w:p w14:paraId="12C19907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f)</w:t>
            </w: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platby do rezervního fondu na všeobecná bankovní rizika v souladu s čl. 26 odst. 1 písm. f) nařízení (EU) č. 575/2013;</w:t>
            </w:r>
          </w:p>
          <w:p w14:paraId="281857B8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Cs w:val="20"/>
              </w:rPr>
              <w:t>g)</w:t>
            </w:r>
            <w:r w:rsidRPr="00336696">
              <w:rPr>
                <w:rFonts w:eastAsia="Times New Roman"/>
                <w:bCs/>
                <w:color w:val="000000" w:themeColor="text1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 xml:space="preserve">náklady související s položkami, které již byly odečteny od </w:t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kapitálu v souladu s čl. 36 odst. 1 nařízení (EU) č. 575/2013.</w:t>
            </w:r>
          </w:p>
        </w:tc>
      </w:tr>
      <w:tr w:rsidR="004D7AAB" w:rsidRPr="00336696" w14:paraId="43E1C54A" w14:textId="77777777">
        <w:tc>
          <w:tcPr>
            <w:tcW w:w="1129" w:type="dxa"/>
          </w:tcPr>
          <w:p w14:paraId="5155E2D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66ED13F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Bonusy pracovníků a jiné odměny</w:t>
            </w:r>
          </w:p>
          <w:p w14:paraId="3025041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13 odst. 4 písm. a) nařízení (EU) 2019/2033.</w:t>
            </w:r>
          </w:p>
          <w:p w14:paraId="1719BF45" w14:textId="77777777" w:rsidR="004D7AAB" w:rsidRPr="00336696" w:rsidRDefault="00336696">
            <w:pPr>
              <w:pStyle w:val="NumPar1"/>
              <w:numPr>
                <w:ilvl w:val="0"/>
                <w:numId w:val="0"/>
              </w:numPr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bCs/>
                <w:color w:val="000000" w:themeColor="text1"/>
                <w:sz w:val="22"/>
                <w:szCs w:val="20"/>
              </w:rPr>
              <w:t>Má se za to, že bonusy pracovníků a jiné odměny závisí na čistém zisku investičního podniku</w:t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 xml:space="preserve"> v příslušném roce, pokud jsou splněny obě tyto podmínky:</w:t>
            </w:r>
          </w:p>
          <w:p w14:paraId="51CB6B4B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350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h)</w:t>
            </w:r>
            <w:r w:rsidRPr="00336696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>bonusy pracovníků a jiné odměny, které mají být odečteny, již byly zaměstnancům vyplaceny v roce předcházejícím roku výplaty, nebo výplata bonusů pracovníků a jiných odměn zaměstnancům nebude mít</w:t>
            </w:r>
            <w:r w:rsidRPr="00336696">
              <w:rPr>
                <w:bCs/>
                <w:color w:val="000000" w:themeColor="text1"/>
                <w:sz w:val="22"/>
                <w:szCs w:val="20"/>
              </w:rPr>
              <w:t xml:space="preserve"> žádný dopad na stav kapitálu podniku v roce výplaty;</w:t>
            </w:r>
          </w:p>
          <w:p w14:paraId="03E0030D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ind w:left="350" w:hanging="350"/>
              <w:rPr>
                <w:rFonts w:eastAsia="Times New Roman"/>
                <w:bCs/>
                <w:color w:val="000000" w:themeColor="text1"/>
              </w:rPr>
            </w:pPr>
            <w:r w:rsidRPr="00336696">
              <w:rPr>
                <w:rFonts w:eastAsia="Times New Roman"/>
                <w:bCs/>
                <w:color w:val="000000" w:themeColor="text1"/>
              </w:rPr>
              <w:t>i)</w:t>
            </w:r>
            <w:r w:rsidRPr="00336696">
              <w:rPr>
                <w:rFonts w:eastAsia="Times New Roman"/>
                <w:bCs/>
                <w:color w:val="000000" w:themeColor="text1"/>
              </w:rPr>
              <w:tab/>
            </w:r>
            <w:r w:rsidRPr="00336696">
              <w:rPr>
                <w:bCs/>
                <w:color w:val="000000" w:themeColor="text1"/>
                <w:szCs w:val="20"/>
              </w:rPr>
              <w:t>s</w:t>
            </w:r>
            <w:r w:rsidRPr="00336696">
              <w:rPr>
                <w:rFonts w:eastAsia="Times New Roman"/>
                <w:bCs/>
                <w:color w:val="000000" w:themeColor="text1"/>
              </w:rPr>
              <w:t> </w:t>
            </w:r>
            <w:r w:rsidRPr="00336696">
              <w:rPr>
                <w:bCs/>
                <w:color w:val="000000" w:themeColor="text1"/>
                <w:szCs w:val="20"/>
              </w:rPr>
              <w:t>ohledem na běžný rok a budoucí roky není podnik povinen udělovat nebo přidělovat žádné další bonusy nebo jiné platby ve formě odměn, pokud v daném roce nedosáhne čistého zisku.</w:t>
            </w:r>
          </w:p>
        </w:tc>
      </w:tr>
      <w:tr w:rsidR="004D7AAB" w:rsidRPr="00336696" w14:paraId="1317CB1E" w14:textId="77777777">
        <w:tc>
          <w:tcPr>
            <w:tcW w:w="1129" w:type="dxa"/>
          </w:tcPr>
          <w:p w14:paraId="475A91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78826D1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(–)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Podíly zaměstnanců, řídících pracovníků a společníků na čistém zisku</w:t>
            </w:r>
          </w:p>
          <w:p w14:paraId="3EA09B7F" w14:textId="77777777" w:rsidR="004D7AAB" w:rsidRPr="00336696" w:rsidRDefault="00336696">
            <w:pPr>
              <w:spacing w:after="120" w:line="240" w:lineRule="auto"/>
              <w:jc w:val="both"/>
              <w:rPr>
                <w:rFonts w:eastAsia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13 odst. 4 písm. b) nařízení (EU) 2019/2033.</w:t>
            </w:r>
          </w:p>
          <w:p w14:paraId="327A263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  <w:szCs w:val="20"/>
              </w:rPr>
              <w:t>Podíl zaměstnanců, řídících pracovníků a společníků na zisku se vypočítá na základě čistého zisku.</w:t>
            </w:r>
          </w:p>
        </w:tc>
      </w:tr>
      <w:tr w:rsidR="004D7AAB" w:rsidRPr="00336696" w14:paraId="5ED941EC" w14:textId="77777777">
        <w:tc>
          <w:tcPr>
            <w:tcW w:w="1129" w:type="dxa"/>
          </w:tcPr>
          <w:p w14:paraId="12D802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03F4634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(–) Jiná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rozdělení zisku a pohyblivé složky odměny na základě volného uvážení podniku</w:t>
            </w:r>
          </w:p>
          <w:p w14:paraId="5191BB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13 odst. 4 písm. c) nařízení (EU) 2019/2033.</w:t>
            </w:r>
          </w:p>
        </w:tc>
      </w:tr>
      <w:tr w:rsidR="004D7AAB" w:rsidRPr="00336696" w14:paraId="3577AA4A" w14:textId="77777777">
        <w:tc>
          <w:tcPr>
            <w:tcW w:w="1129" w:type="dxa"/>
          </w:tcPr>
          <w:p w14:paraId="4FC2DA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014212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Závazky ze sdílených provizí a poplatků</w:t>
            </w:r>
          </w:p>
          <w:p w14:paraId="5EDF3EC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13 odst. 4 písm. d) nařízení (EU) 2019/2033.</w:t>
            </w:r>
          </w:p>
        </w:tc>
      </w:tr>
      <w:tr w:rsidR="004D7AAB" w:rsidRPr="00336696" w14:paraId="3067997E" w14:textId="77777777">
        <w:tc>
          <w:tcPr>
            <w:tcW w:w="1129" w:type="dxa"/>
          </w:tcPr>
          <w:p w14:paraId="4ACCA9F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28A0E4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 Poplatky, provize makléřům a jiné platby hrazené ústředním protistranám, které jsou účtovány zákazníkům</w:t>
            </w:r>
          </w:p>
          <w:p w14:paraId="3F580FEC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bCs/>
                <w:color w:val="000000" w:themeColor="text1"/>
              </w:rPr>
            </w:pPr>
            <w:r w:rsidRPr="00336696">
              <w:rPr>
                <w:bCs/>
                <w:color w:val="000000" w:themeColor="text1"/>
              </w:rPr>
              <w:t>Poplatky, provize makléřům a jiné platby hrazené ústředním protistranám, burzám a jiným obchodním místům a zprostředkujícím makléřům za účelem prováděn</w:t>
            </w:r>
            <w:r w:rsidRPr="00336696">
              <w:rPr>
                <w:bCs/>
                <w:color w:val="000000" w:themeColor="text1"/>
              </w:rPr>
              <w:t>í, registrace nebo zúčtování transakcí, a to pouze v případě, že jsou přímo přeneseny na zákazníky a zákazníkům účtovány. Tyto položky nezahrnují poplatky a jiné zúčtovatelné částky nezbytné k zachování členství nebo plnění finančních závazků týkajících se</w:t>
            </w:r>
            <w:r w:rsidRPr="00336696">
              <w:rPr>
                <w:bCs/>
                <w:color w:val="000000" w:themeColor="text1"/>
              </w:rPr>
              <w:t xml:space="preserve"> sdílení ztrát vůči ústředním protistranám, burzám a jiným obchodním místům; </w:t>
            </w:r>
          </w:p>
        </w:tc>
      </w:tr>
      <w:tr w:rsidR="004D7AAB" w:rsidRPr="00336696" w14:paraId="5737E594" w14:textId="77777777">
        <w:tc>
          <w:tcPr>
            <w:tcW w:w="1129" w:type="dxa"/>
          </w:tcPr>
          <w:p w14:paraId="117838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lastRenderedPageBreak/>
              <w:t>0110</w:t>
            </w:r>
          </w:p>
        </w:tc>
        <w:tc>
          <w:tcPr>
            <w:tcW w:w="7620" w:type="dxa"/>
          </w:tcPr>
          <w:p w14:paraId="4C1EB2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Poplatky vázaným zástupcům</w:t>
            </w:r>
          </w:p>
          <w:p w14:paraId="50A7FA3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13 odst. 4 písm. e)</w:t>
            </w:r>
            <w:r w:rsidRPr="00336696">
              <w:rPr>
                <w:rFonts w:ascii="Times New Roman" w:hAnsi="Times New Roman"/>
                <w:bCs/>
              </w:rPr>
              <w:t xml:space="preserve"> nařízení (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EU) 2019/2033.</w:t>
            </w:r>
          </w:p>
        </w:tc>
      </w:tr>
      <w:tr w:rsidR="004D7AAB" w:rsidRPr="00336696" w14:paraId="3E8768F8" w14:textId="77777777">
        <w:tc>
          <w:tcPr>
            <w:tcW w:w="1129" w:type="dxa"/>
          </w:tcPr>
          <w:p w14:paraId="166F3C6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</w:tcPr>
          <w:p w14:paraId="446DFD6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(–) Úroky placené zákazníkům z peněz zákazníků na základě volného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uvážení podniku</w:t>
            </w:r>
          </w:p>
          <w:p w14:paraId="4A9E85F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Úroky placené zákazníkům z peněz zákazníků, pokud není stanovena žádná povinnost jakéhokoli druhu tyto úroky platit</w:t>
            </w:r>
            <w:r w:rsidRPr="00336696">
              <w:t>;</w:t>
            </w:r>
          </w:p>
        </w:tc>
      </w:tr>
      <w:tr w:rsidR="004D7AAB" w:rsidRPr="00336696" w14:paraId="1829FA13" w14:textId="77777777">
        <w:tc>
          <w:tcPr>
            <w:tcW w:w="1129" w:type="dxa"/>
          </w:tcPr>
          <w:p w14:paraId="6BD2CA0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109E84B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Jednorázové výdaje vyplývající z jiné než běžné činnosti</w:t>
            </w:r>
          </w:p>
          <w:p w14:paraId="2C56C75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13 odst. 4 písm. f)</w:t>
            </w:r>
            <w:r w:rsidRPr="00336696">
              <w:rPr>
                <w:rFonts w:ascii="Times New Roman" w:hAnsi="Times New Roman"/>
                <w:bCs/>
              </w:rPr>
              <w:t xml:space="preserve"> nařízení (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EU) 2019/20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33.</w:t>
            </w:r>
          </w:p>
        </w:tc>
      </w:tr>
      <w:tr w:rsidR="004D7AAB" w:rsidRPr="00336696" w14:paraId="0AC7FCF2" w14:textId="77777777">
        <w:tc>
          <w:tcPr>
            <w:tcW w:w="1129" w:type="dxa"/>
          </w:tcPr>
          <w:p w14:paraId="1D6B57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3A080CCF" w14:textId="77777777" w:rsidR="004D7AAB" w:rsidRPr="00336696" w:rsidRDefault="004D7A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61E0361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Daňové náklady</w:t>
            </w:r>
          </w:p>
          <w:p w14:paraId="718808D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Daňové náklady, pokud jsou splatné ve vztahu k ročnímu zisku investičního podniku.</w:t>
            </w:r>
          </w:p>
        </w:tc>
      </w:tr>
      <w:tr w:rsidR="004D7AAB" w:rsidRPr="00336696" w14:paraId="56D5B23B" w14:textId="77777777">
        <w:tc>
          <w:tcPr>
            <w:tcW w:w="1129" w:type="dxa"/>
          </w:tcPr>
          <w:p w14:paraId="353F85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60F0E16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Ztráty z obchodování s finančními nástroji na vlastní účet</w:t>
            </w:r>
          </w:p>
          <w:p w14:paraId="14031F5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Ztráty z obchodování s finančními nástroji na vlastní účet.</w:t>
            </w:r>
          </w:p>
        </w:tc>
      </w:tr>
      <w:tr w:rsidR="004D7AAB" w:rsidRPr="00336696" w14:paraId="3D68BA88" w14:textId="77777777">
        <w:tc>
          <w:tcPr>
            <w:tcW w:w="1129" w:type="dxa"/>
          </w:tcPr>
          <w:p w14:paraId="5F235D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6ACD59F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(–)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Dohody o převodu zisku a ztrát</w:t>
            </w:r>
          </w:p>
          <w:p w14:paraId="6301215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Platby související s dohodami o převodu zisku a ztrát, podle nichž se investiční podnik zavazuje po vypracování roční účetní závěrky převést svůj roční výsledek mateřskému podniku. </w:t>
            </w:r>
          </w:p>
        </w:tc>
      </w:tr>
      <w:tr w:rsidR="004D7AAB" w:rsidRPr="00336696" w14:paraId="529A98ED" w14:textId="77777777">
        <w:tc>
          <w:tcPr>
            <w:tcW w:w="1129" w:type="dxa"/>
          </w:tcPr>
          <w:p w14:paraId="75C8C8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32C1A3B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Náklady na suroviny</w:t>
            </w:r>
          </w:p>
          <w:p w14:paraId="49B227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 xml:space="preserve">Obchodníci s komoditami a emisními povolenkami si mohou odečíst náklady na suroviny v souvislosti s obchodováním investičního podniku s deriváty podkladové komodity. </w:t>
            </w:r>
          </w:p>
        </w:tc>
      </w:tr>
      <w:tr w:rsidR="004D7AAB" w:rsidRPr="00336696" w14:paraId="00CA2954" w14:textId="77777777">
        <w:tc>
          <w:tcPr>
            <w:tcW w:w="1129" w:type="dxa"/>
          </w:tcPr>
          <w:p w14:paraId="0FE9A1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10F0156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Platby do rezervního fondu na všeobecná bankovní rizika</w:t>
            </w:r>
          </w:p>
          <w:p w14:paraId="6572D109" w14:textId="77777777" w:rsidR="004D7AAB" w:rsidRPr="00336696" w:rsidRDefault="00336696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b/>
                <w:bCs/>
                <w:color w:val="000000" w:themeColor="text1"/>
                <w:sz w:val="22"/>
                <w:u w:val="single"/>
              </w:rPr>
            </w:pPr>
            <w:r w:rsidRPr="00336696">
              <w:rPr>
                <w:color w:val="000000" w:themeColor="text1"/>
                <w:sz w:val="22"/>
              </w:rPr>
              <w:t>Platby do rezervního fo</w:t>
            </w:r>
            <w:r w:rsidRPr="00336696">
              <w:rPr>
                <w:color w:val="000000" w:themeColor="text1"/>
                <w:sz w:val="22"/>
              </w:rPr>
              <w:t>ndu na všeobecná bankovní rizika v souladu s čl. 26 odst. 1 písm. f) nařízení (EU) č. 575/2013.</w:t>
            </w:r>
          </w:p>
        </w:tc>
      </w:tr>
      <w:tr w:rsidR="004D7AAB" w:rsidRPr="00336696" w14:paraId="7AC31027" w14:textId="77777777">
        <w:tc>
          <w:tcPr>
            <w:tcW w:w="1129" w:type="dxa"/>
          </w:tcPr>
          <w:p w14:paraId="66A033E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2AF54F6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Náklady související s položkami, které již byly odečteny od kapitálu</w:t>
            </w:r>
          </w:p>
          <w:p w14:paraId="1FF4508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Náklady související s položkami, které již byly odečteny od kapitálu </w:t>
            </w:r>
            <w:r w:rsidRPr="00336696">
              <w:rPr>
                <w:rFonts w:ascii="Times New Roman" w:hAnsi="Times New Roman"/>
                <w:bCs/>
              </w:rPr>
              <w:t>v souladu s čl. 36 odst. 1 nařízení (EU) č. 575/2013.</w:t>
            </w:r>
          </w:p>
        </w:tc>
      </w:tr>
      <w:tr w:rsidR="004D7AAB" w:rsidRPr="00336696" w14:paraId="5C49CFA2" w14:textId="77777777">
        <w:tc>
          <w:tcPr>
            <w:tcW w:w="1129" w:type="dxa"/>
          </w:tcPr>
          <w:p w14:paraId="284FADB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13C72D2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Předpokládané fixní režijní náklady běžného roku</w:t>
            </w:r>
          </w:p>
          <w:p w14:paraId="5B1C007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Předpoklad fixních režijních nákladů běžného roku po rozdělení zisku.</w:t>
            </w:r>
          </w:p>
        </w:tc>
      </w:tr>
      <w:tr w:rsidR="004D7AAB" w:rsidRPr="00336696" w14:paraId="601DE5A9" w14:textId="77777777">
        <w:tc>
          <w:tcPr>
            <w:tcW w:w="1129" w:type="dxa"/>
          </w:tcPr>
          <w:p w14:paraId="16AF58D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5FF0D6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Výkyv fixních režijních nákladů (%)</w:t>
            </w:r>
          </w:p>
          <w:p w14:paraId="35507A4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 xml:space="preserve">Částka se vykáže jako 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absolutní hodnota:</w:t>
            </w:r>
          </w:p>
          <w:p w14:paraId="6B70C4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[(předpokládané fixní režijní náklady běžného roku) – (roční fixní režijní náklady předchozího roku)]/(roční fixní režijní náklady předchozího roku).</w:t>
            </w:r>
          </w:p>
        </w:tc>
      </w:tr>
    </w:tbl>
    <w:p w14:paraId="76007469" w14:textId="77777777" w:rsidR="004D7AAB" w:rsidRPr="00336696" w:rsidRDefault="004D7AA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A7ECF31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0" w:name="_Toc88125755"/>
      <w:r w:rsidRPr="00336696">
        <w:rPr>
          <w:rFonts w:ascii="Times New Roman" w:hAnsi="Times New Roman"/>
          <w:sz w:val="24"/>
          <w:szCs w:val="24"/>
          <w:u w:val="single"/>
        </w:rPr>
        <w:t>1.6. I 04.00 – VÝPOČTY CELKOVÉHO POŽADAVKU DLE K-FAKTORŮ (I 4)</w:t>
      </w:r>
      <w:bookmarkEnd w:id="40"/>
    </w:p>
    <w:p w14:paraId="3DDF45C5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1" w:name="_Toc88125756"/>
      <w:r w:rsidRPr="00336696">
        <w:rPr>
          <w:rFonts w:ascii="Times New Roman" w:hAnsi="Times New Roman"/>
          <w:sz w:val="24"/>
          <w:szCs w:val="24"/>
        </w:rPr>
        <w:t>1.6.1.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</w:t>
      </w:r>
      <w:r w:rsidRPr="00336696">
        <w:rPr>
          <w:rFonts w:ascii="Times New Roman" w:hAnsi="Times New Roman"/>
          <w:sz w:val="24"/>
          <w:szCs w:val="24"/>
          <w:u w:val="single"/>
        </w:rPr>
        <w:t>rétní pozice</w:t>
      </w:r>
      <w:bookmarkEnd w:id="4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66853F43" w14:textId="77777777">
        <w:tc>
          <w:tcPr>
            <w:tcW w:w="1129" w:type="dxa"/>
            <w:shd w:val="clear" w:color="auto" w:fill="D9D9D9"/>
          </w:tcPr>
          <w:p w14:paraId="39846E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color w:val="000000" w:themeColor="text1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28913AB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color w:val="000000" w:themeColor="text1"/>
              </w:rPr>
              <w:t>Odkazy na právní předpisy a pokyny</w:t>
            </w:r>
          </w:p>
        </w:tc>
      </w:tr>
      <w:tr w:rsidR="004D7AAB" w:rsidRPr="00336696" w14:paraId="2617BE8B" w14:textId="77777777">
        <w:tc>
          <w:tcPr>
            <w:tcW w:w="1129" w:type="dxa"/>
          </w:tcPr>
          <w:p w14:paraId="20D8D89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39F8E36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CELKOVÝ POŽADAVEK DLE K-FAKTORŮ</w:t>
            </w:r>
          </w:p>
          <w:p w14:paraId="1C37DCA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15 odst. 1 nařízení (EU) 2019/2033.</w:t>
            </w:r>
          </w:p>
        </w:tc>
      </w:tr>
      <w:tr w:rsidR="004D7AAB" w:rsidRPr="00336696" w14:paraId="4029ED3B" w14:textId="77777777">
        <w:tc>
          <w:tcPr>
            <w:tcW w:w="1129" w:type="dxa"/>
          </w:tcPr>
          <w:p w14:paraId="77F59AD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lastRenderedPageBreak/>
              <w:t>0020</w:t>
            </w:r>
          </w:p>
        </w:tc>
        <w:tc>
          <w:tcPr>
            <w:tcW w:w="7620" w:type="dxa"/>
          </w:tcPr>
          <w:p w14:paraId="2442C4E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Rizika pro zákazníka</w:t>
            </w:r>
          </w:p>
          <w:p w14:paraId="3087FFB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16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  <w:p w14:paraId="6C6A2C1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Vykázaná částka je součtem řádků 0030 až 0080.</w:t>
            </w:r>
          </w:p>
        </w:tc>
      </w:tr>
      <w:tr w:rsidR="004D7AAB" w:rsidRPr="00336696" w14:paraId="4731123E" w14:textId="77777777">
        <w:tc>
          <w:tcPr>
            <w:tcW w:w="1129" w:type="dxa"/>
          </w:tcPr>
          <w:p w14:paraId="237ED4E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53BADE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Spravovaný majetek</w:t>
            </w:r>
          </w:p>
          <w:p w14:paraId="42FFC84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15 odst. 2 a článku 17 nařízení (EU) 2019/2033.</w:t>
            </w:r>
          </w:p>
          <w:p w14:paraId="69B45BC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Spravovaný majetek zahrnuje jak správu portfolia s možností vlastního uvážení, tak poradenská ujednání bez možnosti vlastního uvážení.</w:t>
            </w:r>
          </w:p>
        </w:tc>
      </w:tr>
      <w:tr w:rsidR="004D7AAB" w:rsidRPr="00336696" w14:paraId="0B5081BE" w14:textId="77777777">
        <w:trPr>
          <w:trHeight w:val="883"/>
        </w:trPr>
        <w:tc>
          <w:tcPr>
            <w:tcW w:w="1129" w:type="dxa"/>
          </w:tcPr>
          <w:p w14:paraId="4095BC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4B6E3F0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Držené peníze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zákazníků – oddělené</w:t>
            </w:r>
          </w:p>
          <w:p w14:paraId="5F744A3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15 odst. 2 a článku 18 nařízení (EU) 2019/2033.</w:t>
            </w:r>
          </w:p>
        </w:tc>
      </w:tr>
      <w:tr w:rsidR="004D7AAB" w:rsidRPr="00336696" w14:paraId="5518D880" w14:textId="77777777">
        <w:trPr>
          <w:trHeight w:val="982"/>
        </w:trPr>
        <w:tc>
          <w:tcPr>
            <w:tcW w:w="1129" w:type="dxa"/>
          </w:tcPr>
          <w:p w14:paraId="2A8E145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27B0126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Držené peníze zákazníků – neoddělené</w:t>
            </w:r>
          </w:p>
          <w:p w14:paraId="28BF7C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15 odst. 2 a článku 18 nařízení (EU) 2019/2033.</w:t>
            </w:r>
          </w:p>
        </w:tc>
      </w:tr>
      <w:tr w:rsidR="004D7AAB" w:rsidRPr="00336696" w14:paraId="706666C1" w14:textId="77777777">
        <w:tc>
          <w:tcPr>
            <w:tcW w:w="1129" w:type="dxa"/>
          </w:tcPr>
          <w:p w14:paraId="35368C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08C0A5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Majetek v úschově a správě</w:t>
            </w:r>
          </w:p>
          <w:p w14:paraId="61AACC2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15 odst. 2 </w:t>
            </w:r>
            <w:r w:rsidRPr="00336696">
              <w:rPr>
                <w:rFonts w:ascii="Times New Roman" w:hAnsi="Times New Roman"/>
                <w:bCs/>
              </w:rPr>
              <w:t>a článku 19 nařízení (EU) 2019/2033.</w:t>
            </w:r>
          </w:p>
        </w:tc>
      </w:tr>
      <w:tr w:rsidR="004D7AAB" w:rsidRPr="00336696" w14:paraId="049E01DC" w14:textId="77777777">
        <w:tc>
          <w:tcPr>
            <w:tcW w:w="1129" w:type="dxa"/>
          </w:tcPr>
          <w:p w14:paraId="2380E69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231BC9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Zpracované pokyny zákazníků – hotovostní obchody</w:t>
            </w:r>
          </w:p>
          <w:p w14:paraId="7BFF1A3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15 odst. 2 a čl. 20 odst. 1 a čl. 20 odst. 2 písm. a)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18755E7B" w14:textId="77777777">
        <w:tc>
          <w:tcPr>
            <w:tcW w:w="1129" w:type="dxa"/>
          </w:tcPr>
          <w:p w14:paraId="3CB9FFD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4699517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Zpracované pokyny zákazníků – obchody s deriváty</w:t>
            </w:r>
          </w:p>
          <w:p w14:paraId="02D74B6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15 odst. 2 a čl. 20 odst. 1 a čl. 20 odst. 2 písm. b)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76BBF5DE" w14:textId="77777777">
        <w:tc>
          <w:tcPr>
            <w:tcW w:w="1129" w:type="dxa"/>
          </w:tcPr>
          <w:p w14:paraId="69B64B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118AEF1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Rizika pro trh</w:t>
            </w:r>
          </w:p>
          <w:p w14:paraId="1A03A0E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21 odst. 1 nařízení (EU) 2019/2033.</w:t>
            </w:r>
          </w:p>
          <w:p w14:paraId="184052F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Vykázaná částka je součtem řádků 0100 až 0110.</w:t>
            </w:r>
          </w:p>
        </w:tc>
      </w:tr>
      <w:tr w:rsidR="004D7AAB" w:rsidRPr="00336696" w14:paraId="78096962" w14:textId="77777777">
        <w:tc>
          <w:tcPr>
            <w:tcW w:w="1129" w:type="dxa"/>
          </w:tcPr>
          <w:p w14:paraId="23D4369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1F3E285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Požadavek na čisté poziční riziko dle </w:t>
            </w: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K-faktorů</w:t>
            </w:r>
          </w:p>
          <w:p w14:paraId="2E9DD53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22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4D7F2221" w14:textId="77777777">
        <w:tc>
          <w:tcPr>
            <w:tcW w:w="1129" w:type="dxa"/>
          </w:tcPr>
          <w:p w14:paraId="1C1CBC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157C3E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Marže požadovaná pro účely clearingu</w:t>
            </w:r>
          </w:p>
          <w:p w14:paraId="5A6E1DE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23 odst. 2 nařízení (EU) 2019/2033.</w:t>
            </w:r>
          </w:p>
        </w:tc>
      </w:tr>
      <w:tr w:rsidR="004D7AAB" w:rsidRPr="00336696" w14:paraId="20227948" w14:textId="77777777">
        <w:tc>
          <w:tcPr>
            <w:tcW w:w="1129" w:type="dxa"/>
          </w:tcPr>
          <w:p w14:paraId="214D30B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</w:tcPr>
          <w:p w14:paraId="2951D4F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Rizika pro podnik</w:t>
            </w:r>
          </w:p>
          <w:p w14:paraId="4362BE7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24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  <w:p w14:paraId="3E32062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Vykázaná částka je součtem řádků 0130 až 0160.</w:t>
            </w:r>
          </w:p>
        </w:tc>
      </w:tr>
      <w:tr w:rsidR="004D7AAB" w:rsidRPr="00336696" w14:paraId="16CC9771" w14:textId="77777777">
        <w:tc>
          <w:tcPr>
            <w:tcW w:w="1129" w:type="dxa"/>
          </w:tcPr>
          <w:p w14:paraId="65938F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68FCD05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Selhání protistrany obchodu</w:t>
            </w:r>
          </w:p>
          <w:p w14:paraId="45D1A5A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Články 26 a 24 nařízení (EU) 2019/2033.</w:t>
            </w:r>
          </w:p>
        </w:tc>
      </w:tr>
      <w:tr w:rsidR="004D7AAB" w:rsidRPr="00336696" w14:paraId="130BD021" w14:textId="77777777">
        <w:tc>
          <w:tcPr>
            <w:tcW w:w="1129" w:type="dxa"/>
          </w:tcPr>
          <w:p w14:paraId="41DA7E2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</w:tc>
        <w:tc>
          <w:tcPr>
            <w:tcW w:w="7620" w:type="dxa"/>
          </w:tcPr>
          <w:p w14:paraId="762574A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Denní objem obchodování – hotovostní obchody</w:t>
            </w:r>
          </w:p>
          <w:p w14:paraId="15FA160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Pro účely výpočtu požadavků dle K-faktorů investiční podniky vykáží údaje pomocí koeficientu podle čl. 15 odst. 2 nařízení (EU) 2019/2033</w:t>
            </w:r>
            <w:r w:rsidRPr="00336696">
              <w:rPr>
                <w:rFonts w:ascii="Times New Roman" w:hAnsi="Times New Roman"/>
                <w:bCs/>
              </w:rPr>
              <w:t>.</w:t>
            </w:r>
          </w:p>
          <w:p w14:paraId="362AA8E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V</w:t>
            </w:r>
            <w:r w:rsidRPr="0033669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</w:t>
            </w:r>
            <w:r w:rsidRPr="00336696">
              <w:rPr>
                <w:rFonts w:ascii="Times New Roman" w:hAnsi="Times New Roman"/>
                <w:bCs/>
              </w:rPr>
              <w:t>případě napjatých tržních podmínek v souladu s čl. 15 odst. 5 písm. c) nařízení (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EU) 2019/2033 investiční podniky použijí upravený koeficient podle čl. 1 odst. 1 písm. a) regulačních technických norem k upřesnění úpravy koeficientů K-DTF</w:t>
            </w:r>
            <w:r w:rsidRPr="00336696">
              <w:rPr>
                <w:rFonts w:ascii="Times New Roman" w:hAnsi="Times New Roman"/>
                <w:bCs/>
              </w:rPr>
              <w:t>.</w:t>
            </w:r>
          </w:p>
          <w:p w14:paraId="1D9FB5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Faktor denníh</w:t>
            </w:r>
            <w:r w:rsidRPr="00336696">
              <w:rPr>
                <w:rFonts w:ascii="Times New Roman" w:hAnsi="Times New Roman"/>
                <w:bCs/>
              </w:rPr>
              <w:t>o objemu obchodování se vypočítá v souladu s čl. 33 odst. 2 písm. a) nařízení (EU) 2019/2033.</w:t>
            </w:r>
          </w:p>
        </w:tc>
      </w:tr>
      <w:tr w:rsidR="004D7AAB" w:rsidRPr="00336696" w14:paraId="24AEFD33" w14:textId="77777777">
        <w:tc>
          <w:tcPr>
            <w:tcW w:w="1129" w:type="dxa"/>
          </w:tcPr>
          <w:p w14:paraId="473C4BD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lastRenderedPageBreak/>
              <w:t>0150</w:t>
            </w:r>
          </w:p>
        </w:tc>
        <w:tc>
          <w:tcPr>
            <w:tcW w:w="7620" w:type="dxa"/>
          </w:tcPr>
          <w:p w14:paraId="6F3761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Denní objem obchodování – obchody s deriváty</w:t>
            </w:r>
          </w:p>
          <w:p w14:paraId="3A9A0F9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Pro účely výpočtu požadavků dle K-faktorů investiční podniky vykáží údaje pomocí koeficientu podle čl. 15 odst.</w:t>
            </w:r>
            <w:r w:rsidRPr="00336696">
              <w:rPr>
                <w:rFonts w:ascii="Times New Roman" w:hAnsi="Times New Roman"/>
                <w:bCs/>
              </w:rPr>
              <w:t> 2 nařízení (EU) 2019/2033.</w:t>
            </w:r>
          </w:p>
          <w:p w14:paraId="4355EB8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V</w:t>
            </w:r>
            <w:r w:rsidRPr="0033669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</w:t>
            </w:r>
            <w:r w:rsidRPr="00336696">
              <w:rPr>
                <w:rFonts w:ascii="Times New Roman" w:hAnsi="Times New Roman"/>
                <w:bCs/>
              </w:rPr>
              <w:t>případě napjatých tržních podmínek v souladu s čl. 15 odst. 5 písm. c) nařízení (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EU) 2019/2033 investiční podniky použijí upravený koeficient podle čl. 1 odst. 1 písm. b) regulačních technických norem k upřesnění úpravy koefic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ientů K-DTF</w:t>
            </w:r>
            <w:r w:rsidRPr="00336696">
              <w:rPr>
                <w:rFonts w:ascii="Times New Roman" w:hAnsi="Times New Roman"/>
                <w:bCs/>
              </w:rPr>
              <w:t>.</w:t>
            </w:r>
          </w:p>
          <w:p w14:paraId="523A612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Faktor denního objemu obchodování se vypočítá v souladu s čl. 33 odst. 2 písm. b) nařízení (EU) 2019/2033.</w:t>
            </w:r>
          </w:p>
        </w:tc>
      </w:tr>
      <w:tr w:rsidR="004D7AAB" w:rsidRPr="00336696" w14:paraId="7C57E9ED" w14:textId="77777777">
        <w:tc>
          <w:tcPr>
            <w:tcW w:w="1129" w:type="dxa"/>
          </w:tcPr>
          <w:p w14:paraId="68345F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3C2F412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Požadavek na riziko koncentrace dle K-faktorů</w:t>
            </w:r>
          </w:p>
          <w:p w14:paraId="7BE431D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36696">
              <w:rPr>
                <w:rFonts w:ascii="Times New Roman" w:hAnsi="Times New Roman"/>
                <w:bCs/>
              </w:rPr>
              <w:t>Ustanovení čl. </w:t>
            </w:r>
            <w:r w:rsidRPr="00336696">
              <w:rPr>
                <w:rFonts w:ascii="Times New Roman" w:hAnsi="Times New Roman"/>
                <w:bCs/>
                <w:color w:val="000000" w:themeColor="text1"/>
              </w:rPr>
              <w:t>37 odst. 2 a článků 39 a 24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</w:tbl>
    <w:p w14:paraId="53B6228E" w14:textId="77777777" w:rsidR="004D7AAB" w:rsidRPr="00336696" w:rsidRDefault="004D7AAB">
      <w:pPr>
        <w:rPr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34E969BF" w14:textId="77777777">
        <w:tc>
          <w:tcPr>
            <w:tcW w:w="1129" w:type="dxa"/>
            <w:shd w:val="clear" w:color="auto" w:fill="D9D9D9"/>
          </w:tcPr>
          <w:p w14:paraId="0D588C5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sz w:val="24"/>
                <w:szCs w:val="24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190D790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sz w:val="24"/>
                <w:szCs w:val="24"/>
              </w:rPr>
              <w:t>Odkazy na právní předpisy a pokyny</w:t>
            </w:r>
          </w:p>
        </w:tc>
      </w:tr>
      <w:tr w:rsidR="004D7AAB" w:rsidRPr="00336696" w14:paraId="01B528AC" w14:textId="77777777">
        <w:tc>
          <w:tcPr>
            <w:tcW w:w="1129" w:type="dxa"/>
          </w:tcPr>
          <w:p w14:paraId="798A9A8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0010</w:t>
            </w:r>
          </w:p>
        </w:tc>
        <w:tc>
          <w:tcPr>
            <w:tcW w:w="7620" w:type="dxa"/>
          </w:tcPr>
          <w:p w14:paraId="55580F1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Výše faktoru</w:t>
            </w:r>
          </w:p>
          <w:p w14:paraId="2E4755D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Investiční podniky vykáží částku, jež odpovídá každému z faktorů, před vynásobením každého faktoru odpovídajícím koeficientem. </w:t>
            </w:r>
          </w:p>
        </w:tc>
      </w:tr>
      <w:tr w:rsidR="004D7AAB" w:rsidRPr="00336696" w14:paraId="6DFBB022" w14:textId="77777777">
        <w:tc>
          <w:tcPr>
            <w:tcW w:w="1129" w:type="dxa"/>
          </w:tcPr>
          <w:p w14:paraId="1DE602D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0020</w:t>
            </w:r>
          </w:p>
        </w:tc>
        <w:tc>
          <w:tcPr>
            <w:tcW w:w="7620" w:type="dxa"/>
          </w:tcPr>
          <w:p w14:paraId="1C088A7E" w14:textId="77777777" w:rsidR="004D7AAB" w:rsidRPr="00336696" w:rsidRDefault="003366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973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Požadavek dle K-faktorů</w:t>
            </w:r>
          </w:p>
          <w:p w14:paraId="0EB5C2B7" w14:textId="77777777" w:rsidR="004D7AAB" w:rsidRPr="00336696" w:rsidRDefault="00336696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 xml:space="preserve">Vypočte se v souladu s články 16, 21 </w:t>
            </w: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a 24 nařízení (EU) 2019/2033.</w:t>
            </w:r>
          </w:p>
        </w:tc>
      </w:tr>
    </w:tbl>
    <w:p w14:paraId="6BA0F765" w14:textId="77777777" w:rsidR="004D7AAB" w:rsidRPr="00336696" w:rsidRDefault="004D7AA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93FBF07" w14:textId="77777777" w:rsidR="004D7AAB" w:rsidRPr="00336696" w:rsidRDefault="00336696">
      <w:pPr>
        <w:pStyle w:val="Instructionsberschrift2"/>
        <w:ind w:left="357" w:hanging="357"/>
      </w:pPr>
      <w:bookmarkStart w:id="42" w:name="_Toc35795022"/>
      <w:bookmarkStart w:id="43" w:name="_Toc88125757"/>
      <w:r w:rsidRPr="00336696">
        <w:rPr>
          <w:rFonts w:ascii="Times New Roman" w:hAnsi="Times New Roman"/>
          <w:b/>
          <w:sz w:val="24"/>
        </w:rPr>
        <w:t>2. MALÉ A NEPROPOJENÉ INVESTIČNÍ PODNIKY</w:t>
      </w:r>
      <w:bookmarkEnd w:id="42"/>
      <w:bookmarkEnd w:id="43"/>
    </w:p>
    <w:p w14:paraId="3D902139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4" w:name="_Toc473560875"/>
      <w:bookmarkStart w:id="45" w:name="_Toc7084160"/>
      <w:bookmarkStart w:id="46" w:name="_Toc88125758"/>
      <w:bookmarkStart w:id="47" w:name="_Toc308175823"/>
      <w:bookmarkStart w:id="48" w:name="_Toc360188327"/>
      <w:r w:rsidRPr="00336696">
        <w:rPr>
          <w:rFonts w:ascii="Times New Roman" w:hAnsi="Times New Roman"/>
          <w:sz w:val="24"/>
          <w:szCs w:val="24"/>
          <w:u w:val="single"/>
        </w:rPr>
        <w:t>2.1. I 05.00 – INTENZITA ČINNOSTI – PŘEZKUM PRAHOVÝCH HODNOT (I 5)</w:t>
      </w:r>
      <w:bookmarkEnd w:id="44"/>
      <w:bookmarkEnd w:id="45"/>
      <w:bookmarkEnd w:id="46"/>
      <w:bookmarkEnd w:id="47"/>
      <w:bookmarkEnd w:id="48"/>
    </w:p>
    <w:p w14:paraId="5D574B97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b/>
        </w:rPr>
      </w:pPr>
      <w:bookmarkStart w:id="49" w:name="_Toc310414970"/>
      <w:bookmarkStart w:id="50" w:name="_Toc360188328"/>
      <w:bookmarkStart w:id="51" w:name="_Toc473560876"/>
      <w:bookmarkStart w:id="52" w:name="_Toc7084161"/>
      <w:bookmarkStart w:id="53" w:name="_Toc88125759"/>
      <w:r w:rsidRPr="00336696">
        <w:rPr>
          <w:rFonts w:ascii="Times New Roman" w:hAnsi="Times New Roman"/>
          <w:sz w:val="24"/>
          <w:szCs w:val="24"/>
        </w:rPr>
        <w:t>2.1.1.</w:t>
      </w:r>
      <w:r w:rsidRPr="00336696">
        <w:rPr>
          <w:rFonts w:ascii="Times New Roman" w:hAnsi="Times New Roman"/>
          <w:sz w:val="24"/>
          <w:szCs w:val="24"/>
        </w:rPr>
        <w:tab/>
      </w:r>
      <w:bookmarkStart w:id="54" w:name="_Toc308175824"/>
      <w:r w:rsidRPr="00336696">
        <w:rPr>
          <w:rFonts w:ascii="Times New Roman" w:hAnsi="Times New Roman"/>
          <w:sz w:val="24"/>
          <w:szCs w:val="24"/>
          <w:u w:val="single"/>
        </w:rPr>
        <w:t>Pokyny pro konkrétní</w:t>
      </w:r>
      <w:r w:rsidRPr="00336696">
        <w:rPr>
          <w:rFonts w:ascii="Times New Roman" w:hAnsi="Times New Roman"/>
          <w:u w:val="single"/>
        </w:rPr>
        <w:t xml:space="preserve"> </w:t>
      </w:r>
      <w:bookmarkEnd w:id="54"/>
      <w:bookmarkEnd w:id="49"/>
      <w:r w:rsidRPr="00336696">
        <w:rPr>
          <w:rFonts w:ascii="Times New Roman" w:hAnsi="Times New Roman"/>
          <w:u w:val="single"/>
        </w:rPr>
        <w:t>pozice</w:t>
      </w:r>
      <w:bookmarkEnd w:id="50"/>
      <w:bookmarkEnd w:id="51"/>
      <w:bookmarkEnd w:id="52"/>
      <w:bookmarkEnd w:id="5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D23B7ED" w14:textId="77777777">
        <w:tc>
          <w:tcPr>
            <w:tcW w:w="1129" w:type="dxa"/>
            <w:shd w:val="clear" w:color="auto" w:fill="D9D9D9"/>
          </w:tcPr>
          <w:p w14:paraId="78FBCF6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6F514D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410118E" w14:textId="77777777">
        <w:tc>
          <w:tcPr>
            <w:tcW w:w="1129" w:type="dxa"/>
          </w:tcPr>
          <w:p w14:paraId="7E53C6F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F045FE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(Kombinovaný) spravovaný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majetek</w:t>
            </w:r>
          </w:p>
          <w:p w14:paraId="15DFCB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a) nařízení (EU) 2019/2033.</w:t>
            </w:r>
          </w:p>
          <w:p w14:paraId="4596877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Pokud je investiční podnik, který podává zprávu, součástí skupiny, vykazovaná hodnota se určí kombinovaně pro všechny investiční podniky, které jsou součástí jedné skupiny, podle čl. 12 od</w:t>
            </w:r>
            <w:r w:rsidRPr="00336696">
              <w:rPr>
                <w:rFonts w:ascii="Times New Roman" w:hAnsi="Times New Roman"/>
                <w:bCs/>
              </w:rPr>
              <w:t>st. 2 nařízení (EU) 2019/2033.</w:t>
            </w:r>
          </w:p>
          <w:p w14:paraId="3AD6C5B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Investiční podniky uvedou spravovaný majetek s možností vlastního uvážení i bez možnosti vlastního uvážení.</w:t>
            </w:r>
          </w:p>
          <w:p w14:paraId="5C6C5B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částka, která by byla použita pro výpočet</w:t>
            </w:r>
            <w:r w:rsidRPr="00336696">
              <w:rPr>
                <w:rFonts w:ascii="Times New Roman" w:hAnsi="Times New Roman"/>
                <w:bCs/>
              </w:rPr>
              <w:br/>
              <w:t>K-faktorů před uplatněním příslušných koeficientů.</w:t>
            </w:r>
          </w:p>
        </w:tc>
      </w:tr>
      <w:tr w:rsidR="004D7AAB" w:rsidRPr="00336696" w14:paraId="7F0F3752" w14:textId="77777777">
        <w:tc>
          <w:tcPr>
            <w:tcW w:w="1129" w:type="dxa"/>
          </w:tcPr>
          <w:p w14:paraId="377E48B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2B9071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(Kombino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vané) zpracované pokyny zákazníků – hotovostní obchody</w:t>
            </w:r>
          </w:p>
          <w:p w14:paraId="0F5229C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b) bodu i) nařízení (EU) 2019/2033.</w:t>
            </w:r>
          </w:p>
          <w:p w14:paraId="5E191C5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Pokud je investiční podnik, který podává zprávu, součástí skupiny, vykazovaná hodnota se určí kombinovaně pro všechny </w:t>
            </w:r>
            <w:r w:rsidRPr="00336696">
              <w:rPr>
                <w:rFonts w:ascii="Times New Roman" w:hAnsi="Times New Roman"/>
                <w:bCs/>
              </w:rPr>
              <w:t>investiční podniky, které jsou součástí jedné skupiny, podle čl. 12 odst. 2 nařízení (EU) 2019/2033.</w:t>
            </w:r>
          </w:p>
          <w:p w14:paraId="046057A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Vykáže se částka, která by byla použita pro výpočet K-faktorů před uplatněním příslušných koeficientů.</w:t>
            </w:r>
          </w:p>
        </w:tc>
      </w:tr>
      <w:tr w:rsidR="004D7AAB" w:rsidRPr="00336696" w14:paraId="6776AB62" w14:textId="77777777">
        <w:tc>
          <w:tcPr>
            <w:tcW w:w="1129" w:type="dxa"/>
          </w:tcPr>
          <w:p w14:paraId="05CA319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38DD177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(Kombinované) zpracované pokyny zákazníků – ob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chody s deriváty</w:t>
            </w:r>
          </w:p>
          <w:p w14:paraId="14D91CA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b) bodu ii) nařízení (EU) 2019/2033.</w:t>
            </w:r>
          </w:p>
          <w:p w14:paraId="682BE00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Pokud je investiční podnik, který podává zprávu, součástí skupiny, vykazovaná hodnota se určí kombinovaně pro všechny investiční podniky, které jsou součástí jedné skupin</w:t>
            </w:r>
            <w:r w:rsidRPr="00336696">
              <w:rPr>
                <w:rFonts w:ascii="Times New Roman" w:hAnsi="Times New Roman"/>
                <w:bCs/>
              </w:rPr>
              <w:t>y, podle čl. 12 odst. 2 nařízení (EU) 2019/2033.</w:t>
            </w:r>
          </w:p>
          <w:p w14:paraId="763EEF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částka, která by byla použita pro výpočet K-faktorů před uplatněním příslušných koeficientů.</w:t>
            </w:r>
          </w:p>
        </w:tc>
      </w:tr>
      <w:tr w:rsidR="004D7AAB" w:rsidRPr="00336696" w14:paraId="22975BAB" w14:textId="77777777">
        <w:tc>
          <w:tcPr>
            <w:tcW w:w="1129" w:type="dxa"/>
          </w:tcPr>
          <w:p w14:paraId="4E99BD1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7AF9250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Majetek v úschově a správě</w:t>
            </w:r>
          </w:p>
          <w:p w14:paraId="430E64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c) nařízení (EU) 2019/2033.</w:t>
            </w:r>
          </w:p>
          <w:p w14:paraId="1A2F45D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č</w:t>
            </w:r>
            <w:r w:rsidRPr="00336696">
              <w:rPr>
                <w:rFonts w:ascii="Times New Roman" w:hAnsi="Times New Roman"/>
                <w:bCs/>
              </w:rPr>
              <w:t>ástka, která by byla použita pro výpočet K-faktorů před uplatněním příslušných koeficientů.</w:t>
            </w:r>
          </w:p>
        </w:tc>
      </w:tr>
      <w:tr w:rsidR="004D7AAB" w:rsidRPr="00336696" w14:paraId="29D3BF2B" w14:textId="77777777">
        <w:tc>
          <w:tcPr>
            <w:tcW w:w="1129" w:type="dxa"/>
          </w:tcPr>
          <w:p w14:paraId="23A46DB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610C61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Držená hotovost zákazníků</w:t>
            </w:r>
          </w:p>
          <w:p w14:paraId="7C8D23D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d) nařízení (EU) 2019/2033.</w:t>
            </w:r>
          </w:p>
          <w:p w14:paraId="4DA40EA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Vykáže se částka, která by byla použita pro výpočet K-faktorů před </w:t>
            </w:r>
            <w:r w:rsidRPr="00336696">
              <w:rPr>
                <w:rFonts w:ascii="Times New Roman" w:hAnsi="Times New Roman"/>
                <w:bCs/>
              </w:rPr>
              <w:t>uplatněním příslušných koeficientů.</w:t>
            </w:r>
          </w:p>
        </w:tc>
      </w:tr>
      <w:tr w:rsidR="004D7AAB" w:rsidRPr="00336696" w14:paraId="6ED34A8B" w14:textId="77777777">
        <w:tc>
          <w:tcPr>
            <w:tcW w:w="1129" w:type="dxa"/>
          </w:tcPr>
          <w:p w14:paraId="3B5990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760BCA2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Denní objem obchodování – hotovostní obchody a obchody s deriváty</w:t>
            </w:r>
          </w:p>
          <w:p w14:paraId="3D569B2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e) nařízení (EU) 2019/2033.</w:t>
            </w:r>
          </w:p>
          <w:p w14:paraId="3E8AD32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Vykáže se částka, která by byla použita pro výpočet K-faktorů před uplatněním </w:t>
            </w:r>
            <w:r w:rsidRPr="00336696">
              <w:rPr>
                <w:rFonts w:ascii="Times New Roman" w:hAnsi="Times New Roman"/>
                <w:bCs/>
              </w:rPr>
              <w:t>příslušných koeficientů.</w:t>
            </w:r>
          </w:p>
        </w:tc>
      </w:tr>
      <w:tr w:rsidR="004D7AAB" w:rsidRPr="00336696" w14:paraId="1BF2B31E" w14:textId="77777777">
        <w:tc>
          <w:tcPr>
            <w:tcW w:w="1129" w:type="dxa"/>
          </w:tcPr>
          <w:p w14:paraId="3ADFAC5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31E4149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Čisté poziční riziko</w:t>
            </w:r>
          </w:p>
          <w:p w14:paraId="15F7F16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f) nařízení (EU) 2019/2033.</w:t>
            </w:r>
          </w:p>
          <w:p w14:paraId="63F3D30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částka, která by byla použita pro výpočet K-faktorů před uplatněním příslušných koeficientů.</w:t>
            </w:r>
          </w:p>
        </w:tc>
      </w:tr>
      <w:tr w:rsidR="004D7AAB" w:rsidRPr="00336696" w14:paraId="40A67E45" w14:textId="77777777">
        <w:tc>
          <w:tcPr>
            <w:tcW w:w="1129" w:type="dxa"/>
          </w:tcPr>
          <w:p w14:paraId="48CE530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2E52FD5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Marže požadovaná pro účely clearing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u</w:t>
            </w:r>
          </w:p>
          <w:p w14:paraId="40CCEFD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f) nařízení (EU) 2019/2033.</w:t>
            </w:r>
          </w:p>
          <w:p w14:paraId="111A7FD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částka, která by byla použita pro výpočet K-faktorů před uplatněním příslušných koeficientů.</w:t>
            </w:r>
          </w:p>
        </w:tc>
      </w:tr>
      <w:tr w:rsidR="004D7AAB" w:rsidRPr="00336696" w14:paraId="73A48323" w14:textId="77777777">
        <w:tc>
          <w:tcPr>
            <w:tcW w:w="1129" w:type="dxa"/>
          </w:tcPr>
          <w:p w14:paraId="4E46F4E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132D577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Selhání protistrany obchodu</w:t>
            </w:r>
          </w:p>
          <w:p w14:paraId="4D8085F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g) nařízení (EU) 2019/203</w:t>
            </w:r>
            <w:r w:rsidRPr="00336696">
              <w:rPr>
                <w:rFonts w:ascii="Times New Roman" w:hAnsi="Times New Roman"/>
                <w:bCs/>
              </w:rPr>
              <w:t>3.</w:t>
            </w:r>
          </w:p>
          <w:p w14:paraId="56A0D8A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částka, která by byla použita pro výpočet K-faktorů před uplatněním příslušných koeficientů.</w:t>
            </w:r>
          </w:p>
        </w:tc>
      </w:tr>
      <w:tr w:rsidR="004D7AAB" w:rsidRPr="00336696" w14:paraId="36746353" w14:textId="77777777">
        <w:tc>
          <w:tcPr>
            <w:tcW w:w="1129" w:type="dxa"/>
          </w:tcPr>
          <w:p w14:paraId="0947DB5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24B560C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(Kombinovaná) rozvahová i podrozvahová bilanční suma</w:t>
            </w:r>
          </w:p>
          <w:p w14:paraId="5D4FA96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h) nařízení (EU) 2019/2033.</w:t>
            </w:r>
          </w:p>
          <w:p w14:paraId="5421F9A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Pokud je investiční </w:t>
            </w:r>
            <w:r w:rsidRPr="00336696">
              <w:rPr>
                <w:rFonts w:ascii="Times New Roman" w:hAnsi="Times New Roman"/>
                <w:bCs/>
              </w:rPr>
              <w:t>podnik, který podává zprávu, součástí skupiny, vykazovaná hodnota se určí kombinovaně pro všechny investiční podniky, které jsou součástí jedné skupiny, podle čl. 12 odst. 2 nařízení (EU) 2019/2033.</w:t>
            </w:r>
          </w:p>
        </w:tc>
      </w:tr>
      <w:tr w:rsidR="004D7AAB" w:rsidRPr="00336696" w14:paraId="7FBCB872" w14:textId="77777777">
        <w:tc>
          <w:tcPr>
            <w:tcW w:w="1129" w:type="dxa"/>
          </w:tcPr>
          <w:p w14:paraId="2A133C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3EF92A3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Kombinované celkové hrubé roční výnosy</w:t>
            </w:r>
          </w:p>
          <w:p w14:paraId="77D5A14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</w:t>
            </w:r>
            <w:r w:rsidRPr="00336696">
              <w:rPr>
                <w:rFonts w:ascii="Times New Roman" w:hAnsi="Times New Roman"/>
                <w:bCs/>
              </w:rPr>
              <w:t>l. 12 odst. 1 bodu i) nařízení (EU) 2019/2033.</w:t>
            </w:r>
          </w:p>
          <w:p w14:paraId="5999E3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Pokud je investiční podnik, který podává zprávu, součástí skupiny, vykazovaná hodnota se určí kombinovaně pro všechny investiční podniky, které jsou součástí jedné skupiny, podle čl. 12 odst. 2 nařízení (EU) 2</w:t>
            </w:r>
            <w:r w:rsidRPr="00336696">
              <w:rPr>
                <w:rFonts w:ascii="Times New Roman" w:hAnsi="Times New Roman"/>
                <w:bCs/>
              </w:rPr>
              <w:t>019/2033.</w:t>
            </w:r>
          </w:p>
        </w:tc>
      </w:tr>
      <w:tr w:rsidR="004D7AAB" w:rsidRPr="00336696" w14:paraId="429E54E3" w14:textId="77777777">
        <w:tc>
          <w:tcPr>
            <w:tcW w:w="1129" w:type="dxa"/>
          </w:tcPr>
          <w:p w14:paraId="05FCEE2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0120</w:t>
            </w:r>
          </w:p>
        </w:tc>
        <w:tc>
          <w:tcPr>
            <w:tcW w:w="7620" w:type="dxa"/>
          </w:tcPr>
          <w:p w14:paraId="5348B75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Celkové hrubé roční výnosy</w:t>
            </w:r>
          </w:p>
          <w:p w14:paraId="27AD68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Hodnota celkových ročních hrubých výnosů bez hrubých výnosů vytvořených v rámci skupiny podle čl. 12 odst. 2 nařízení (EU) 2019/2033.</w:t>
            </w:r>
          </w:p>
        </w:tc>
      </w:tr>
      <w:tr w:rsidR="004D7AAB" w:rsidRPr="00336696" w14:paraId="059AA824" w14:textId="77777777">
        <w:tc>
          <w:tcPr>
            <w:tcW w:w="1129" w:type="dxa"/>
          </w:tcPr>
          <w:p w14:paraId="4F2B62A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4E757B5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(–) Část hrubých ročních výnosů uvnitř skupiny</w:t>
            </w:r>
          </w:p>
          <w:p w14:paraId="0C0A63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Hodnota hrubých výnosů vyt</w:t>
            </w:r>
            <w:r w:rsidRPr="00336696">
              <w:rPr>
                <w:rFonts w:ascii="Times New Roman" w:hAnsi="Times New Roman"/>
                <w:bCs/>
              </w:rPr>
              <w:t>vořených v rámci skupiny investičního podniku podle čl. 12 odst. 2 nařízení (EU) 2019/2033.</w:t>
            </w:r>
          </w:p>
        </w:tc>
      </w:tr>
      <w:tr w:rsidR="004D7AAB" w:rsidRPr="00336696" w14:paraId="6C33E477" w14:textId="77777777">
        <w:tc>
          <w:tcPr>
            <w:tcW w:w="1129" w:type="dxa"/>
          </w:tcPr>
          <w:p w14:paraId="1931273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0DBA8DC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přijímání a předávání pokynů</w:t>
            </w:r>
          </w:p>
          <w:p w14:paraId="48DCC2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5823B0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4 odst. 1 bodu 2 směrnice </w:t>
            </w:r>
            <w:r w:rsidRPr="00336696">
              <w:rPr>
                <w:rFonts w:ascii="Times New Roman" w:hAnsi="Times New Roman"/>
                <w:bCs/>
              </w:rPr>
              <w:t>2014/65/EU.</w:t>
            </w:r>
          </w:p>
        </w:tc>
      </w:tr>
      <w:tr w:rsidR="004D7AAB" w:rsidRPr="00336696" w14:paraId="0FBFF088" w14:textId="77777777">
        <w:tc>
          <w:tcPr>
            <w:tcW w:w="1129" w:type="dxa"/>
          </w:tcPr>
          <w:p w14:paraId="1DD0A32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680F63E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provádění pokynů zákazníků</w:t>
            </w:r>
          </w:p>
          <w:p w14:paraId="3179A91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23585BA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07E0A59D" w14:textId="77777777">
        <w:tc>
          <w:tcPr>
            <w:tcW w:w="1129" w:type="dxa"/>
          </w:tcPr>
          <w:p w14:paraId="517B37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FA0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obchodování na vlastní účet</w:t>
            </w:r>
          </w:p>
          <w:p w14:paraId="08C7572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</w:t>
            </w:r>
            <w:r w:rsidRPr="00336696">
              <w:rPr>
                <w:rFonts w:ascii="Times New Roman" w:hAnsi="Times New Roman"/>
                <w:bCs/>
              </w:rPr>
              <w:t>. d) nařízení (EU) 2019/2033.</w:t>
            </w:r>
          </w:p>
          <w:p w14:paraId="6266413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7CD56547" w14:textId="77777777">
        <w:tc>
          <w:tcPr>
            <w:tcW w:w="1129" w:type="dxa"/>
          </w:tcPr>
          <w:p w14:paraId="503E283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97F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ze správy portfolií</w:t>
            </w:r>
          </w:p>
          <w:p w14:paraId="4E673A8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693DA44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46CA4728" w14:textId="77777777">
        <w:tc>
          <w:tcPr>
            <w:tcW w:w="1129" w:type="dxa"/>
          </w:tcPr>
          <w:p w14:paraId="219B5B4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018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 toho: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výnosy z investičního poradenství</w:t>
            </w:r>
          </w:p>
          <w:p w14:paraId="7AE92AC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5E1AD78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23857DD4" w14:textId="77777777">
        <w:tc>
          <w:tcPr>
            <w:tcW w:w="1129" w:type="dxa"/>
          </w:tcPr>
          <w:p w14:paraId="5918947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3EE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upsání finančních nástrojů nebo umístění finančních nástrojů na základě pevného závazk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u převzetí</w:t>
            </w:r>
          </w:p>
          <w:p w14:paraId="00EEA53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5E454C1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19C046EA" w14:textId="77777777">
        <w:tc>
          <w:tcPr>
            <w:tcW w:w="1129" w:type="dxa"/>
          </w:tcPr>
          <w:p w14:paraId="533901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A0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umisťování finančních nástrojů bez pevného závazku převzetí</w:t>
            </w:r>
          </w:p>
          <w:p w14:paraId="38C5C2C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54 odst. 1 písm. d) nařízení (EU) </w:t>
            </w:r>
            <w:r w:rsidRPr="00336696">
              <w:rPr>
                <w:rFonts w:ascii="Times New Roman" w:hAnsi="Times New Roman"/>
                <w:bCs/>
              </w:rPr>
              <w:t>2019/2033.</w:t>
            </w:r>
          </w:p>
          <w:p w14:paraId="15CDF86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6DE60F4D" w14:textId="77777777">
        <w:tc>
          <w:tcPr>
            <w:tcW w:w="1129" w:type="dxa"/>
          </w:tcPr>
          <w:p w14:paraId="006D464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6E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provozování mnohostranného obchodního systému</w:t>
            </w:r>
          </w:p>
          <w:p w14:paraId="18F7EF5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7AA6D9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6E86CFAF" w14:textId="77777777">
        <w:tc>
          <w:tcPr>
            <w:tcW w:w="1129" w:type="dxa"/>
          </w:tcPr>
          <w:p w14:paraId="2DE5DE4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2E6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toho: výnosy z provozování organizovaného obchodního systému</w:t>
            </w:r>
          </w:p>
          <w:p w14:paraId="7796031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5102AB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 směrnice 2014/65/EU.</w:t>
            </w:r>
          </w:p>
        </w:tc>
      </w:tr>
      <w:tr w:rsidR="004D7AAB" w:rsidRPr="00336696" w14:paraId="1872C07D" w14:textId="77777777">
        <w:tc>
          <w:tcPr>
            <w:tcW w:w="1129" w:type="dxa"/>
          </w:tcPr>
          <w:p w14:paraId="44DA6D7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BEC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ukládání a správy finančních nástrojů</w:t>
            </w:r>
          </w:p>
          <w:p w14:paraId="1395992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 xml:space="preserve">Ustanovení </w:t>
            </w:r>
            <w:r w:rsidRPr="00336696">
              <w:rPr>
                <w:rFonts w:ascii="Times New Roman" w:hAnsi="Times New Roman"/>
                <w:bCs/>
              </w:rPr>
              <w:t>čl. 54 odst. 1 písm. d) nařízení (EU) 2019/2033.</w:t>
            </w:r>
          </w:p>
          <w:p w14:paraId="6D20A54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 směrnice 2014/65/EU.</w:t>
            </w:r>
          </w:p>
        </w:tc>
      </w:tr>
      <w:tr w:rsidR="004D7AAB" w:rsidRPr="00336696" w14:paraId="50E2CA1F" w14:textId="77777777">
        <w:tc>
          <w:tcPr>
            <w:tcW w:w="1129" w:type="dxa"/>
          </w:tcPr>
          <w:p w14:paraId="054F276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191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poskytování úvěrů nebo půjček investorům</w:t>
            </w:r>
          </w:p>
          <w:p w14:paraId="4D7997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4CA429C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4 </w:t>
            </w:r>
            <w:r w:rsidRPr="00336696">
              <w:rPr>
                <w:rFonts w:ascii="Times New Roman" w:hAnsi="Times New Roman"/>
                <w:bCs/>
              </w:rPr>
              <w:t>odst. 1 bodu 3 směrnice 2014/65/EU.</w:t>
            </w:r>
          </w:p>
        </w:tc>
      </w:tr>
      <w:tr w:rsidR="004D7AAB" w:rsidRPr="00336696" w14:paraId="00C421FB" w14:textId="77777777">
        <w:tc>
          <w:tcPr>
            <w:tcW w:w="1129" w:type="dxa"/>
          </w:tcPr>
          <w:p w14:paraId="2770EE8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FCF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poradenské činnosti podnikům v oblasti struktury kapitálu, průmyslové strategie a souvisejících záležitostí a poradenství a služeb týkajících se fúzí a nákupu podniků</w:t>
            </w:r>
          </w:p>
          <w:p w14:paraId="334786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</w:t>
            </w:r>
            <w:r w:rsidRPr="00336696">
              <w:rPr>
                <w:rFonts w:ascii="Times New Roman" w:hAnsi="Times New Roman"/>
                <w:bCs/>
              </w:rPr>
              <w:t>. d) nařízení (EU) 2019/2033.</w:t>
            </w:r>
          </w:p>
          <w:p w14:paraId="5A08056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 směrnice 2014/65/EU.</w:t>
            </w:r>
          </w:p>
        </w:tc>
      </w:tr>
      <w:tr w:rsidR="004D7AAB" w:rsidRPr="00336696" w14:paraId="28903A81" w14:textId="77777777">
        <w:tc>
          <w:tcPr>
            <w:tcW w:w="1129" w:type="dxa"/>
          </w:tcPr>
          <w:p w14:paraId="7F583A5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7F6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 měnových služeb</w:t>
            </w:r>
          </w:p>
          <w:p w14:paraId="1E9F9F5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6CAF9FB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 směrnice 2014/65/EU.</w:t>
            </w:r>
          </w:p>
        </w:tc>
      </w:tr>
      <w:tr w:rsidR="004D7AAB" w:rsidRPr="00336696" w14:paraId="7F5A4BD9" w14:textId="77777777">
        <w:tc>
          <w:tcPr>
            <w:tcW w:w="1129" w:type="dxa"/>
          </w:tcPr>
          <w:p w14:paraId="402131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24E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investi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ční výzkum a finanční analýza</w:t>
            </w:r>
          </w:p>
          <w:p w14:paraId="5FFE841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421D76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 směrnice 2014/65/EU.</w:t>
            </w:r>
          </w:p>
        </w:tc>
      </w:tr>
      <w:tr w:rsidR="004D7AAB" w:rsidRPr="00336696" w14:paraId="2262ADE4" w14:textId="77777777">
        <w:tc>
          <w:tcPr>
            <w:tcW w:w="1129" w:type="dxa"/>
          </w:tcPr>
          <w:p w14:paraId="461CC65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7B1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výnosy ze služeb souvisejících s upisováním</w:t>
            </w:r>
          </w:p>
          <w:p w14:paraId="6968AF4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54 odst. 1 písm. d) nařízení (EU) </w:t>
            </w:r>
            <w:r w:rsidRPr="00336696">
              <w:rPr>
                <w:rFonts w:ascii="Times New Roman" w:hAnsi="Times New Roman"/>
                <w:bCs/>
              </w:rPr>
              <w:t>2019/2033.</w:t>
            </w:r>
          </w:p>
          <w:p w14:paraId="7019A1D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 směrnice 2014/65/EU.</w:t>
            </w:r>
          </w:p>
        </w:tc>
      </w:tr>
      <w:tr w:rsidR="004D7AAB" w:rsidRPr="00336696" w14:paraId="7B09F367" w14:textId="77777777">
        <w:tc>
          <w:tcPr>
            <w:tcW w:w="1129" w:type="dxa"/>
          </w:tcPr>
          <w:p w14:paraId="3EB5D62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47B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investiční služby a doplňkové činnosti související s podkladovým aktivem derivátů</w:t>
            </w:r>
          </w:p>
          <w:p w14:paraId="7D5A7A1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1 písm. d) nařízení (EU) 2019/2033.</w:t>
            </w:r>
          </w:p>
          <w:p w14:paraId="1309D3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 směr</w:t>
            </w:r>
            <w:r w:rsidRPr="00336696">
              <w:rPr>
                <w:rFonts w:ascii="Times New Roman" w:hAnsi="Times New Roman"/>
                <w:bCs/>
              </w:rPr>
              <w:t xml:space="preserve">nice 2014/65/EU. </w:t>
            </w:r>
          </w:p>
        </w:tc>
      </w:tr>
    </w:tbl>
    <w:p w14:paraId="47CB9DAB" w14:textId="77777777" w:rsidR="004D7AAB" w:rsidRPr="00336696" w:rsidRDefault="00336696">
      <w:pPr>
        <w:pStyle w:val="Instructionsberschrift2"/>
        <w:ind w:left="357" w:hanging="357"/>
        <w:rPr>
          <w:b/>
          <w:sz w:val="22"/>
          <w:szCs w:val="22"/>
          <w:u w:val="none"/>
        </w:rPr>
      </w:pPr>
      <w:bookmarkStart w:id="55" w:name="_Toc88125760"/>
      <w:r w:rsidRPr="00336696">
        <w:rPr>
          <w:rFonts w:ascii="Times New Roman" w:hAnsi="Times New Roman"/>
          <w:b/>
          <w:sz w:val="24"/>
          <w:u w:val="none"/>
        </w:rPr>
        <w:t xml:space="preserve">3. </w:t>
      </w:r>
      <w:r w:rsidRPr="00336696">
        <w:rPr>
          <w:rFonts w:ascii="Times New Roman" w:hAnsi="Times New Roman"/>
          <w:b/>
          <w:sz w:val="22"/>
          <w:szCs w:val="22"/>
          <w:u w:val="none"/>
        </w:rPr>
        <w:t>POŽADAVKY DLE K-FAKTORŮ – DOPLŇUJÍCÍ PODROBNOSTI</w:t>
      </w:r>
      <w:bookmarkEnd w:id="55"/>
    </w:p>
    <w:p w14:paraId="696C8EA6" w14:textId="77777777" w:rsidR="004D7AAB" w:rsidRPr="00336696" w:rsidRDefault="00336696">
      <w:pPr>
        <w:pStyle w:val="CommentText"/>
        <w:jc w:val="both"/>
        <w:rPr>
          <w:rFonts w:ascii="Times New Roman" w:eastAsia="Arial" w:hAnsi="Times New Roman" w:cs="Times New Roman"/>
          <w:sz w:val="22"/>
          <w:szCs w:val="22"/>
          <w:u w:val="single"/>
        </w:rPr>
      </w:pPr>
      <w:r w:rsidRPr="00336696">
        <w:rPr>
          <w:rFonts w:ascii="Times New Roman" w:hAnsi="Times New Roman"/>
          <w:sz w:val="22"/>
          <w:szCs w:val="22"/>
          <w:u w:val="single"/>
        </w:rPr>
        <w:t>3.1. Obecné poznámky</w:t>
      </w:r>
    </w:p>
    <w:p w14:paraId="04A954DE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12.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V</w:t>
      </w:r>
      <w:r w:rsidRPr="00336696">
        <w:rPr>
          <w:rFonts w:ascii="Times New Roman" w:hAnsi="Times New Roman" w:cs="Times New Roman"/>
        </w:rPr>
        <w:t> </w:t>
      </w:r>
      <w:r w:rsidRPr="00336696">
        <w:rPr>
          <w:rFonts w:ascii="Times New Roman" w:hAnsi="Times New Roman"/>
        </w:rPr>
        <w:t>šabloně I 06.00 má každý z K-faktorů AUM, ASA, CMH, COH a DTF dvě určené tabulky.</w:t>
      </w:r>
    </w:p>
    <w:p w14:paraId="6F2984F7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13.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 xml:space="preserve">První tabulka obsahuje ve sloupcích informace týkající se „výše </w:t>
      </w:r>
      <w:r w:rsidRPr="00336696">
        <w:rPr>
          <w:rFonts w:ascii="Times New Roman" w:hAnsi="Times New Roman"/>
        </w:rPr>
        <w:t>faktoru“ pro každý měsíc čtvrtletí, za které se podává zpráva. Výše faktoru je hodnota, která se používá pro výpočet každého K-faktoru před použitím koeficientu z tabulky 1 v čl. 15 odst. 2 nařízení (EU) 2019/2033.</w:t>
      </w:r>
    </w:p>
    <w:p w14:paraId="26DEDA0A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 w:cs="Times New Roman"/>
        </w:rPr>
        <w:t>14.</w:t>
      </w:r>
      <w:r w:rsidRPr="00336696">
        <w:rPr>
          <w:rFonts w:ascii="Times New Roman" w:hAnsi="Times New Roman" w:cs="Times New Roman"/>
        </w:rPr>
        <w:tab/>
      </w:r>
      <w:r w:rsidRPr="00336696">
        <w:rPr>
          <w:rFonts w:ascii="Times New Roman" w:hAnsi="Times New Roman"/>
        </w:rPr>
        <w:t>Druhá tabulka obsahuje podrobné infor</w:t>
      </w:r>
      <w:r w:rsidRPr="00336696">
        <w:rPr>
          <w:rFonts w:ascii="Times New Roman" w:hAnsi="Times New Roman"/>
        </w:rPr>
        <w:t>mace nezbytné k výpočtu výše faktoru.</w:t>
      </w:r>
    </w:p>
    <w:p w14:paraId="4E5F7119" w14:textId="77777777" w:rsidR="004D7AAB" w:rsidRPr="00336696" w:rsidRDefault="00336696">
      <w:p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/>
        </w:rPr>
        <w:t>V</w:t>
      </w:r>
      <w:r w:rsidRPr="00336696">
        <w:rPr>
          <w:rFonts w:ascii="Times New Roman" w:hAnsi="Times New Roman" w:cs="Times New Roman"/>
        </w:rPr>
        <w:t> </w:t>
      </w:r>
      <w:r w:rsidRPr="00336696">
        <w:rPr>
          <w:rFonts w:ascii="Times New Roman" w:hAnsi="Times New Roman"/>
        </w:rPr>
        <w:t>případě AUM vykazovaná výše odpovídá hodnotě spravovaného majetku k poslednímu dni v měsíci podle článku 17 nařízení (EU) 2019/2033.</w:t>
      </w:r>
    </w:p>
    <w:p w14:paraId="3E82A027" w14:textId="77777777" w:rsidR="004D7AAB" w:rsidRPr="00336696" w:rsidRDefault="00336696">
      <w:p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336696">
        <w:rPr>
          <w:rFonts w:ascii="Times New Roman" w:hAnsi="Times New Roman"/>
        </w:rPr>
        <w:t>V</w:t>
      </w:r>
      <w:r w:rsidRPr="00336696">
        <w:rPr>
          <w:rFonts w:ascii="Times New Roman" w:hAnsi="Times New Roman" w:cs="Times New Roman"/>
        </w:rPr>
        <w:t> </w:t>
      </w:r>
      <w:r w:rsidRPr="00336696">
        <w:rPr>
          <w:rFonts w:ascii="Times New Roman" w:hAnsi="Times New Roman"/>
        </w:rPr>
        <w:t>případě CMH, ASA, COH a DTF vykazovaná hodnota odpovídá průměru denní hodnoty pří</w:t>
      </w:r>
      <w:r w:rsidRPr="00336696">
        <w:rPr>
          <w:rFonts w:ascii="Times New Roman" w:hAnsi="Times New Roman"/>
        </w:rPr>
        <w:t>slušného ukazatele za měsíc.</w:t>
      </w:r>
    </w:p>
    <w:p w14:paraId="3446CA5E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56" w:name="_Toc88125761"/>
      <w:r w:rsidRPr="00336696">
        <w:rPr>
          <w:rFonts w:ascii="Times New Roman" w:hAnsi="Times New Roman"/>
          <w:u w:val="single"/>
        </w:rPr>
        <w:lastRenderedPageBreak/>
        <w:t>3.2. I 06.01 – SPRAVOVANÝ MAJETEK – DOPLŇUJÍCÍ PODROBNOSTI (I 6.1)</w:t>
      </w:r>
      <w:bookmarkEnd w:id="56"/>
    </w:p>
    <w:p w14:paraId="1ACE3598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</w:pPr>
      <w:bookmarkStart w:id="57" w:name="_Toc88125762"/>
      <w:r w:rsidRPr="00336696">
        <w:rPr>
          <w:rFonts w:ascii="Times New Roman" w:hAnsi="Times New Roman"/>
        </w:rPr>
        <w:t>3.2.1.</w:t>
      </w:r>
      <w:r w:rsidRPr="00336696">
        <w:rPr>
          <w:rFonts w:ascii="Times New Roman" w:hAnsi="Times New Roman"/>
        </w:rPr>
        <w:tab/>
      </w:r>
      <w:r w:rsidRPr="00336696">
        <w:rPr>
          <w:rFonts w:ascii="Times New Roman" w:hAnsi="Times New Roman"/>
          <w:u w:val="single"/>
        </w:rPr>
        <w:t>Pokyny pro konkrétní pozice</w:t>
      </w:r>
      <w:bookmarkEnd w:id="5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9CEC0D8" w14:textId="77777777">
        <w:tc>
          <w:tcPr>
            <w:tcW w:w="1129" w:type="dxa"/>
            <w:shd w:val="clear" w:color="auto" w:fill="D9D9D9"/>
          </w:tcPr>
          <w:p w14:paraId="73EAB99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0EDEF0F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2331D0D" w14:textId="77777777">
        <w:tc>
          <w:tcPr>
            <w:tcW w:w="1129" w:type="dxa"/>
          </w:tcPr>
          <w:p w14:paraId="2BC8F02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6E7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Spravovaný majetek celkem (průměrné částky)</w:t>
            </w:r>
          </w:p>
          <w:p w14:paraId="6FE7BFD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4 odst. 1 bodu 27 </w:t>
            </w:r>
            <w:r w:rsidRPr="00336696">
              <w:rPr>
                <w:rFonts w:ascii="Times New Roman" w:hAnsi="Times New Roman"/>
                <w:bCs/>
              </w:rPr>
              <w:t>nařízení (EU) 2019/2033.</w:t>
            </w:r>
          </w:p>
          <w:p w14:paraId="28B6A70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Celková hodnota AUM jako aritmetický průměr podle čl. 17 odst. 1 prvního pododstavce nařízení (EU) 2019/2033. Vykázaná hodnota je součtem řádků 0020 a 0040.</w:t>
            </w:r>
          </w:p>
        </w:tc>
      </w:tr>
      <w:tr w:rsidR="004D7AAB" w:rsidRPr="00336696" w14:paraId="17EE0DD0" w14:textId="77777777">
        <w:tc>
          <w:tcPr>
            <w:tcW w:w="1129" w:type="dxa"/>
          </w:tcPr>
          <w:p w14:paraId="7DEE3D3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110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spravovaný majetek – správa portfolia s možností vlastního u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vážení</w:t>
            </w:r>
          </w:p>
          <w:p w14:paraId="522CB37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Celková výše majetku, v souvislosti s nímž investiční podnik poskytuje službu správy portfolia podle čl. 4 odst. 1 bodu 8 směrnice 2014/65/EU, jež se vypočítá podle čl. 17 odst. 1 nařízení (EU) 2019/2033.</w:t>
            </w:r>
          </w:p>
        </w:tc>
      </w:tr>
      <w:tr w:rsidR="004D7AAB" w:rsidRPr="00336696" w14:paraId="1AA0567D" w14:textId="77777777">
        <w:tc>
          <w:tcPr>
            <w:tcW w:w="1129" w:type="dxa"/>
          </w:tcPr>
          <w:p w14:paraId="2294AAC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828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 toho: spravovaný majetek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formálně přenesený na jiný subjekt</w:t>
            </w:r>
          </w:p>
          <w:p w14:paraId="02F8B76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17 odst. 2 nařízení (EU) 2019/2033.</w:t>
            </w:r>
          </w:p>
        </w:tc>
      </w:tr>
      <w:tr w:rsidR="004D7AAB" w:rsidRPr="00336696" w14:paraId="35CB9770" w14:textId="77777777">
        <w:tc>
          <w:tcPr>
            <w:tcW w:w="1129" w:type="dxa"/>
          </w:tcPr>
          <w:p w14:paraId="1422C71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7BE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Spravovaný majetek – poradenství průběžné povahy bez možnosti vlastního uvážení</w:t>
            </w:r>
          </w:p>
          <w:p w14:paraId="72C6202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Celková výše majetku, v souvislosti s nímž investiční podnik průběžně a bez </w:t>
            </w:r>
            <w:r w:rsidRPr="00336696">
              <w:rPr>
                <w:rFonts w:ascii="Times New Roman" w:hAnsi="Times New Roman"/>
                <w:bCs/>
              </w:rPr>
              <w:t>možnosti vlastního uvážení poskytuje službu investičního poradenství podle čl. 4 odst. 1 bodu 4 směrnice 2014/65/EU.</w:t>
            </w:r>
          </w:p>
        </w:tc>
      </w:tr>
    </w:tbl>
    <w:p w14:paraId="5E7D6A7E" w14:textId="77777777" w:rsidR="004D7AAB" w:rsidRPr="00336696" w:rsidRDefault="004D7AAB">
      <w:pPr>
        <w:rPr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3D3F93BC" w14:textId="77777777">
        <w:tc>
          <w:tcPr>
            <w:tcW w:w="1129" w:type="dxa"/>
            <w:shd w:val="clear" w:color="auto" w:fill="D9D9D9"/>
          </w:tcPr>
          <w:p w14:paraId="0C6B569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0CE4B6A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3CEA9003" w14:textId="77777777">
        <w:tc>
          <w:tcPr>
            <w:tcW w:w="1129" w:type="dxa"/>
          </w:tcPr>
          <w:p w14:paraId="4B136B3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303ECC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Výše faktoru – měsíc t</w:t>
            </w:r>
          </w:p>
          <w:p w14:paraId="089E53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AUM ke konci třetího měsíce (tj. posledního) čtvrtletí, za </w:t>
            </w:r>
            <w:r w:rsidRPr="00336696">
              <w:rPr>
                <w:rFonts w:ascii="Times New Roman" w:hAnsi="Times New Roman"/>
                <w:bCs/>
              </w:rPr>
              <w:t>které se zpráva podává.</w:t>
            </w:r>
          </w:p>
        </w:tc>
      </w:tr>
      <w:tr w:rsidR="004D7AAB" w:rsidRPr="00336696" w14:paraId="0E1E5E48" w14:textId="77777777">
        <w:tc>
          <w:tcPr>
            <w:tcW w:w="1129" w:type="dxa"/>
          </w:tcPr>
          <w:p w14:paraId="0DA39DA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8E4E6D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Výše faktoru – měsíc t–1</w:t>
            </w:r>
          </w:p>
          <w:p w14:paraId="60789CA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AUM za druhý měsíc čtvrtletí, za které se zpráva podává.</w:t>
            </w:r>
          </w:p>
        </w:tc>
      </w:tr>
      <w:tr w:rsidR="004D7AAB" w:rsidRPr="00336696" w14:paraId="79664028" w14:textId="77777777">
        <w:tc>
          <w:tcPr>
            <w:tcW w:w="1129" w:type="dxa"/>
          </w:tcPr>
          <w:p w14:paraId="3E1398B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0D5A26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Výše faktoru – měsíc t–2</w:t>
            </w:r>
          </w:p>
          <w:p w14:paraId="6EC43D0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AUM za první měsíc čtvrtletí, za které se zpráva podává.</w:t>
            </w:r>
          </w:p>
        </w:tc>
      </w:tr>
    </w:tbl>
    <w:p w14:paraId="62B8403B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58" w:name="_Toc88125763"/>
      <w:r w:rsidRPr="00336696">
        <w:rPr>
          <w:rFonts w:ascii="Times New Roman" w:hAnsi="Times New Roman"/>
          <w:u w:val="single"/>
        </w:rPr>
        <w:t xml:space="preserve">3.3. I 06.02 – MĚSÍČNÍ SPRAVOVANÝ MAJETEK </w:t>
      </w:r>
      <w:r w:rsidRPr="00336696">
        <w:rPr>
          <w:rFonts w:ascii="Times New Roman" w:hAnsi="Times New Roman"/>
          <w:u w:val="single"/>
        </w:rPr>
        <w:t>(I 6.2)</w:t>
      </w:r>
      <w:bookmarkEnd w:id="58"/>
    </w:p>
    <w:p w14:paraId="51850175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</w:rPr>
      </w:pPr>
      <w:bookmarkStart w:id="59" w:name="_Toc88125764"/>
      <w:r w:rsidRPr="00336696">
        <w:rPr>
          <w:rFonts w:ascii="Times New Roman" w:hAnsi="Times New Roman"/>
        </w:rPr>
        <w:t>3.3.1.</w:t>
      </w:r>
      <w:r w:rsidRPr="00336696">
        <w:rPr>
          <w:rFonts w:ascii="Times New Roman" w:hAnsi="Times New Roman"/>
        </w:rPr>
        <w:tab/>
      </w:r>
      <w:r w:rsidRPr="00336696">
        <w:rPr>
          <w:rFonts w:ascii="Times New Roman" w:hAnsi="Times New Roman"/>
          <w:u w:val="single"/>
        </w:rPr>
        <w:t>Pokyny pro konkrétní pozice</w:t>
      </w:r>
      <w:bookmarkEnd w:id="5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375A4DD7" w14:textId="77777777">
        <w:tc>
          <w:tcPr>
            <w:tcW w:w="1129" w:type="dxa"/>
            <w:shd w:val="clear" w:color="auto" w:fill="D9D9D9"/>
          </w:tcPr>
          <w:p w14:paraId="7695C0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69FA033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1054FAB4" w14:textId="77777777">
        <w:tc>
          <w:tcPr>
            <w:tcW w:w="1129" w:type="dxa"/>
          </w:tcPr>
          <w:p w14:paraId="1E690A6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198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Celkový měsíční spravovaný majetek</w:t>
            </w:r>
          </w:p>
          <w:p w14:paraId="2403E9A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27 nařízení (EU) 2019/2033.</w:t>
            </w:r>
          </w:p>
          <w:p w14:paraId="452750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Celkový měsíční spravovaný majetek k poslednímu obchodnímu dni </w:t>
            </w:r>
            <w:r w:rsidRPr="00336696">
              <w:rPr>
                <w:rFonts w:ascii="Times New Roman" w:hAnsi="Times New Roman"/>
                <w:bCs/>
              </w:rPr>
              <w:t>příslušného měsíce podle čl. 17 odst. 1 nařízení (EU) 2019/2033.</w:t>
            </w:r>
          </w:p>
          <w:p w14:paraId="1057B8B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Vykázaná částka v tomto řádku je součtem řádků 0020 a 0040.</w:t>
            </w:r>
          </w:p>
        </w:tc>
      </w:tr>
      <w:tr w:rsidR="004D7AAB" w:rsidRPr="00336696" w14:paraId="7ACBC582" w14:textId="77777777">
        <w:tc>
          <w:tcPr>
            <w:tcW w:w="1129" w:type="dxa"/>
          </w:tcPr>
          <w:p w14:paraId="272278C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06C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Měsíční spravovaný majetek – správa portfolia s možností vlastního uvážení</w:t>
            </w:r>
          </w:p>
          <w:p w14:paraId="20EE8E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částka představující měsíční majetek, v </w:t>
            </w:r>
            <w:r w:rsidRPr="00336696">
              <w:rPr>
                <w:rFonts w:ascii="Times New Roman" w:hAnsi="Times New Roman"/>
                <w:bCs/>
              </w:rPr>
              <w:t xml:space="preserve">souvislosti s nímž investiční podnik poskytuje službu správy portfolia podle čl. 4 odst. 1 bodu 8 směrnice </w:t>
            </w:r>
            <w:r w:rsidRPr="00336696">
              <w:rPr>
                <w:rFonts w:ascii="Times New Roman" w:hAnsi="Times New Roman"/>
                <w:bCs/>
              </w:rPr>
              <w:lastRenderedPageBreak/>
              <w:t>2014/65/EU k poslednímu obchodnímu dni příslušného měsíce podle čl. 17 odst. 1 nařízení (EU) 2019/2033.</w:t>
            </w:r>
          </w:p>
        </w:tc>
      </w:tr>
      <w:tr w:rsidR="004D7AAB" w:rsidRPr="00336696" w14:paraId="627032B6" w14:textId="77777777">
        <w:tc>
          <w:tcPr>
            <w:tcW w:w="1129" w:type="dxa"/>
          </w:tcPr>
          <w:p w14:paraId="76650F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F454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 toho: majetek formálně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přenesený na jiný subjekt</w:t>
            </w:r>
          </w:p>
          <w:p w14:paraId="6510BF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17 odst. 2 nařízení (EU) 2019/2033.</w:t>
            </w:r>
          </w:p>
          <w:p w14:paraId="4E85147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Měsíční majetek, jehož správou byl formálně pověřen jiný subjekt, vykázaný k poslednímu obchodnímu dni příslušného měsíce. </w:t>
            </w:r>
          </w:p>
        </w:tc>
      </w:tr>
      <w:tr w:rsidR="004D7AAB" w:rsidRPr="00336696" w14:paraId="3039EA88" w14:textId="77777777">
        <w:tc>
          <w:tcPr>
            <w:tcW w:w="1129" w:type="dxa"/>
          </w:tcPr>
          <w:p w14:paraId="0556638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441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Měsíční spravovaný majetek – poradenství průběžné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 povahy bez možnosti vlastního uvážení</w:t>
            </w:r>
          </w:p>
          <w:p w14:paraId="15C48B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Celková výše majetku, v souvislosti s nímž investiční podnik průběžně a bez možnosti vlastního uvážení poskytuje službu investičního poradenství podle čl. 4 odst. 1 bodu 4 směrnice 2014/65/EU, vykázaná k poslednímu ob</w:t>
            </w:r>
            <w:r w:rsidRPr="00336696">
              <w:rPr>
                <w:rFonts w:ascii="Times New Roman" w:hAnsi="Times New Roman"/>
                <w:bCs/>
              </w:rPr>
              <w:t>chodnímu dni příslušného měsíce.</w:t>
            </w:r>
          </w:p>
        </w:tc>
      </w:tr>
    </w:tbl>
    <w:p w14:paraId="38E7238C" w14:textId="77777777" w:rsidR="004D7AAB" w:rsidRPr="00336696" w:rsidRDefault="004D7AA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E383049" w14:textId="77777777">
        <w:tc>
          <w:tcPr>
            <w:tcW w:w="1129" w:type="dxa"/>
            <w:shd w:val="clear" w:color="auto" w:fill="D9D9D9"/>
          </w:tcPr>
          <w:p w14:paraId="164B77E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684445D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550D3E6" w14:textId="77777777">
        <w:tc>
          <w:tcPr>
            <w:tcW w:w="1129" w:type="dxa"/>
          </w:tcPr>
          <w:p w14:paraId="6CA118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0010–0140</w:t>
            </w:r>
          </w:p>
        </w:tc>
        <w:tc>
          <w:tcPr>
            <w:tcW w:w="7620" w:type="dxa"/>
          </w:tcPr>
          <w:p w14:paraId="7B3847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Hodnoty ke konci měsíce</w:t>
            </w:r>
          </w:p>
          <w:p w14:paraId="3918BE7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Vykáží se hodnoty k poslednímu obchodnímu dni příslušného měsíce podle čl. 17 odst. 1 nařízení (EU) 2019/2033.</w:t>
            </w:r>
          </w:p>
        </w:tc>
      </w:tr>
    </w:tbl>
    <w:p w14:paraId="08DDD628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60" w:name="_Toc88125765"/>
      <w:r w:rsidRPr="00336696">
        <w:rPr>
          <w:rFonts w:ascii="Times New Roman" w:hAnsi="Times New Roman"/>
          <w:u w:val="single"/>
        </w:rPr>
        <w:t xml:space="preserve">3.4. I 06.03 – DRŽENÉ </w:t>
      </w:r>
      <w:r w:rsidRPr="00336696">
        <w:rPr>
          <w:rFonts w:ascii="Times New Roman" w:hAnsi="Times New Roman"/>
          <w:u w:val="single"/>
        </w:rPr>
        <w:t>PENÍZE ZÁKAZNÍKŮ – DOPLŇUJÍCÍ PODROBNOSTI (I 6.3)</w:t>
      </w:r>
      <w:bookmarkEnd w:id="60"/>
    </w:p>
    <w:p w14:paraId="416D6777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</w:pPr>
      <w:bookmarkStart w:id="61" w:name="_Toc88125766"/>
      <w:r w:rsidRPr="00336696">
        <w:rPr>
          <w:rFonts w:ascii="Times New Roman" w:hAnsi="Times New Roman"/>
        </w:rPr>
        <w:t>3.4.1.</w:t>
      </w:r>
      <w:r w:rsidRPr="00336696">
        <w:rPr>
          <w:rFonts w:ascii="Times New Roman" w:hAnsi="Times New Roman"/>
        </w:rPr>
        <w:tab/>
      </w:r>
      <w:r w:rsidRPr="00336696">
        <w:rPr>
          <w:rFonts w:ascii="Times New Roman" w:hAnsi="Times New Roman"/>
          <w:u w:val="single"/>
        </w:rPr>
        <w:t>Pokyny pro konkrétní pozice</w:t>
      </w:r>
      <w:bookmarkEnd w:id="6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0E7C4487" w14:textId="77777777">
        <w:tc>
          <w:tcPr>
            <w:tcW w:w="1129" w:type="dxa"/>
            <w:shd w:val="clear" w:color="auto" w:fill="D9D9D9"/>
          </w:tcPr>
          <w:p w14:paraId="1D271D2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0095D0E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2D272FC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505DA64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5F0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Držené peníze zákazníků – oddělené (průměrné částky)</w:t>
            </w:r>
          </w:p>
          <w:p w14:paraId="760A42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4 odst. 1 bodů 28 a 49 nařízení (EU) 2019/2033 </w:t>
            </w:r>
            <w:r w:rsidRPr="00336696">
              <w:rPr>
                <w:rFonts w:ascii="Times New Roman" w:hAnsi="Times New Roman"/>
                <w:bCs/>
              </w:rPr>
              <w:t>a článku 1 regulačních technických norem pojednávající o definici odděleného účtu (čl. 15 odst. 5 písm. b) nařízení (EU) 2019/2033).</w:t>
            </w:r>
          </w:p>
          <w:p w14:paraId="02B7089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Vykázaná hodnota je aritmetickým průměrem denních hodnot CMH, pokud </w:t>
            </w:r>
            <w:r w:rsidRPr="00336696">
              <w:rPr>
                <w:rFonts w:ascii="Times New Roman" w:hAnsi="Times New Roman"/>
                <w:bCs/>
                <w:u w:val="single"/>
              </w:rPr>
              <w:t>jsou</w:t>
            </w:r>
            <w:r w:rsidRPr="00336696">
              <w:rPr>
                <w:rFonts w:ascii="Times New Roman" w:hAnsi="Times New Roman"/>
                <w:bCs/>
              </w:rPr>
              <w:t xml:space="preserve"> peníze zákazníků drženy na oddělených účtech podle</w:t>
            </w:r>
            <w:r w:rsidRPr="00336696">
              <w:rPr>
                <w:rFonts w:ascii="Times New Roman" w:hAnsi="Times New Roman"/>
                <w:bCs/>
              </w:rPr>
              <w:t xml:space="preserve"> čl. 18 odst. 1 prvního pododstavce nařízení (EU) 2019/2033.</w:t>
            </w:r>
          </w:p>
        </w:tc>
      </w:tr>
      <w:tr w:rsidR="004D7AAB" w:rsidRPr="00336696" w14:paraId="74D0FC0C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E92025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B2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Držené peníze zákazníků – neoddělené (průměrné částky)</w:t>
            </w:r>
          </w:p>
          <w:p w14:paraId="3ED2323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28 a 49 nařízení (EU) 2019/2033.</w:t>
            </w:r>
          </w:p>
          <w:p w14:paraId="20DDB76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Vykázaná hodnota je aritmetickým průměrem denních hodnot CMH, pokud </w:t>
            </w:r>
            <w:r w:rsidRPr="00336696">
              <w:rPr>
                <w:rFonts w:ascii="Times New Roman" w:hAnsi="Times New Roman"/>
                <w:bCs/>
                <w:u w:val="single"/>
              </w:rPr>
              <w:t>nejsou</w:t>
            </w:r>
            <w:r w:rsidRPr="00336696">
              <w:rPr>
                <w:rFonts w:ascii="Times New Roman" w:hAnsi="Times New Roman"/>
                <w:bCs/>
              </w:rPr>
              <w:t xml:space="preserve"> peníze zákazníků drženy na oddělených účtech podle čl. 18 odst. 1 prvního pododstavce nařízení (EU) 2019/2033.</w:t>
            </w:r>
          </w:p>
        </w:tc>
      </w:tr>
    </w:tbl>
    <w:p w14:paraId="10624336" w14:textId="77777777" w:rsidR="004D7AAB" w:rsidRPr="00336696" w:rsidRDefault="004D7AAB">
      <w:pPr>
        <w:rPr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6C910067" w14:textId="77777777">
        <w:tc>
          <w:tcPr>
            <w:tcW w:w="1129" w:type="dxa"/>
            <w:shd w:val="clear" w:color="auto" w:fill="D9D9D9"/>
          </w:tcPr>
          <w:p w14:paraId="24B922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6D8042D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714EA405" w14:textId="77777777">
        <w:tc>
          <w:tcPr>
            <w:tcW w:w="1129" w:type="dxa"/>
          </w:tcPr>
          <w:p w14:paraId="11C968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6BDC4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Výše faktoru –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měsíc t</w:t>
            </w:r>
          </w:p>
          <w:p w14:paraId="692E91D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CMH ke konci třetího měsíce (tj. posledního) čtvrtletí, kterého se zpráva týká.</w:t>
            </w:r>
          </w:p>
          <w:p w14:paraId="3A9E988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Tato částka se vypočítá jako aritmetický průměr denních částek v období uvedeném v čl. 18 odst. 1 nařízení (EU) 2019/2033.</w:t>
            </w:r>
          </w:p>
        </w:tc>
      </w:tr>
      <w:tr w:rsidR="004D7AAB" w:rsidRPr="00336696" w14:paraId="410FC884" w14:textId="77777777">
        <w:tc>
          <w:tcPr>
            <w:tcW w:w="1129" w:type="dxa"/>
          </w:tcPr>
          <w:p w14:paraId="70F7555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0020</w:t>
            </w:r>
          </w:p>
        </w:tc>
        <w:tc>
          <w:tcPr>
            <w:tcW w:w="7620" w:type="dxa"/>
          </w:tcPr>
          <w:p w14:paraId="5B92D33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Výše faktoru – měsíc t–1</w:t>
            </w:r>
          </w:p>
          <w:p w14:paraId="2ABE87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CMH ke konci d</w:t>
            </w: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ruhého měsíce čtvrtletí, za které se zpráva podává.</w:t>
            </w:r>
          </w:p>
          <w:p w14:paraId="6A6BB51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Tato </w:t>
            </w: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částka se vypočítá jako aritmetický průměr denních částek v období uvedeném v čl. 18 odst. 1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569D4665" w14:textId="77777777">
        <w:tc>
          <w:tcPr>
            <w:tcW w:w="1129" w:type="dxa"/>
          </w:tcPr>
          <w:p w14:paraId="158C45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0030</w:t>
            </w:r>
          </w:p>
        </w:tc>
        <w:tc>
          <w:tcPr>
            <w:tcW w:w="7620" w:type="dxa"/>
          </w:tcPr>
          <w:p w14:paraId="4153E9C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Výše faktoru – měsíc t–2</w:t>
            </w:r>
          </w:p>
          <w:p w14:paraId="4B3CC8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 xml:space="preserve">CMH ke konci prvního měsíce čtvrtletí, za </w:t>
            </w:r>
            <w:r w:rsidRPr="00336696">
              <w:rPr>
                <w:rFonts w:ascii="Times New Roman" w:hAnsi="Times New Roman"/>
                <w:bCs/>
                <w:sz w:val="24"/>
                <w:szCs w:val="24"/>
              </w:rPr>
              <w:t>které se zpráva podává.</w:t>
            </w:r>
          </w:p>
          <w:p w14:paraId="75E4690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Tato částka se vypočítá jako aritmetický průměr denních částek v období uvedeném v čl. 18 odst. 1 nařízení (EU) 2019/2033.</w:t>
            </w:r>
          </w:p>
        </w:tc>
      </w:tr>
    </w:tbl>
    <w:p w14:paraId="6AA2746B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2" w:name="_Toc88125767"/>
      <w:r w:rsidRPr="00336696">
        <w:rPr>
          <w:rFonts w:ascii="Times New Roman" w:hAnsi="Times New Roman"/>
          <w:sz w:val="24"/>
          <w:szCs w:val="24"/>
          <w:u w:val="single"/>
        </w:rPr>
        <w:t>3.5. I 06.04 – PRŮMĚRNÁ HODNOTA CELKOVÝCH DENNÍCH DRŽENÝCH PENĚZ ZÁKAZNÍKŮ (I 6.4)</w:t>
      </w:r>
      <w:bookmarkEnd w:id="62"/>
    </w:p>
    <w:p w14:paraId="75592401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63" w:name="_Toc88125768"/>
      <w:r w:rsidRPr="00336696">
        <w:rPr>
          <w:rFonts w:ascii="Times New Roman" w:hAnsi="Times New Roman"/>
          <w:sz w:val="24"/>
          <w:szCs w:val="24"/>
        </w:rPr>
        <w:t>3.5.1.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u w:val="single"/>
        </w:rPr>
        <w:t xml:space="preserve">Pokyny pro </w:t>
      </w:r>
      <w:r w:rsidRPr="00336696">
        <w:rPr>
          <w:rFonts w:ascii="Times New Roman" w:hAnsi="Times New Roman"/>
          <w:u w:val="single"/>
        </w:rPr>
        <w:t>konkrétní pozice</w:t>
      </w:r>
      <w:bookmarkEnd w:id="6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47BBEC62" w14:textId="77777777">
        <w:tc>
          <w:tcPr>
            <w:tcW w:w="1129" w:type="dxa"/>
            <w:shd w:val="clear" w:color="auto" w:fill="D9D9D9"/>
          </w:tcPr>
          <w:p w14:paraId="77C733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3004EB1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31558AE7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F683E5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BBE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Celkové denní držené peníze zákazníků – oddělené</w:t>
            </w:r>
          </w:p>
          <w:p w14:paraId="022533F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4 odst. 1 bodů 28 a 49 nařízení (EU) 2019/2033 a regulační technické normy pojednávající o definici odděleného účtu </w:t>
            </w:r>
            <w:r w:rsidRPr="00336696">
              <w:rPr>
                <w:rFonts w:ascii="Times New Roman" w:hAnsi="Times New Roman"/>
                <w:bCs/>
              </w:rPr>
              <w:t>(čl. 15 odst. 5 písm. b) nařízení (EU) 2019/2033).</w:t>
            </w:r>
          </w:p>
          <w:p w14:paraId="68481B8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Vykázaná hodnota je měsíčním průměrem celkových denních držených peněz zákazníků, pokud </w:t>
            </w:r>
            <w:r w:rsidRPr="00336696">
              <w:rPr>
                <w:rFonts w:ascii="Times New Roman" w:hAnsi="Times New Roman"/>
                <w:bCs/>
                <w:u w:val="single"/>
              </w:rPr>
              <w:t>jsou</w:t>
            </w:r>
            <w:r w:rsidRPr="00336696">
              <w:rPr>
                <w:rFonts w:ascii="Times New Roman" w:hAnsi="Times New Roman"/>
                <w:bCs/>
              </w:rPr>
              <w:t xml:space="preserve"> peníze zákazníků drženy na oddělených účtech podle čl. 18 odst. 1 nařízení (EU) 2019/2033.</w:t>
            </w:r>
          </w:p>
        </w:tc>
      </w:tr>
      <w:tr w:rsidR="004D7AAB" w:rsidRPr="00336696" w14:paraId="7B2FB9F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9BE7D8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1C9E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Celkové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denní držené peníze zákazníků – neoddělené</w:t>
            </w:r>
          </w:p>
          <w:p w14:paraId="000B8F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28 a 49 nařízení (EU) 2019/2033.</w:t>
            </w:r>
          </w:p>
          <w:p w14:paraId="5689AFF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Vykázaná hodnota je měsíčním průměrem celkových denních držených peněz zákazníků, pokud </w:t>
            </w:r>
            <w:r w:rsidRPr="00336696">
              <w:rPr>
                <w:rFonts w:ascii="Times New Roman" w:hAnsi="Times New Roman"/>
                <w:bCs/>
                <w:u w:val="single"/>
              </w:rPr>
              <w:t>nejsou</w:t>
            </w:r>
            <w:r w:rsidRPr="00336696">
              <w:rPr>
                <w:rFonts w:ascii="Times New Roman" w:hAnsi="Times New Roman"/>
                <w:bCs/>
              </w:rPr>
              <w:t xml:space="preserve"> peníze zákazníků drženy na oddělených účtech podle čl. </w:t>
            </w:r>
            <w:r w:rsidRPr="00336696">
              <w:rPr>
                <w:rFonts w:ascii="Times New Roman" w:hAnsi="Times New Roman"/>
                <w:bCs/>
              </w:rPr>
              <w:t>18 odst. 1 nařízení (EU) 2019/2033.</w:t>
            </w:r>
          </w:p>
        </w:tc>
      </w:tr>
    </w:tbl>
    <w:p w14:paraId="70FE4B83" w14:textId="77777777" w:rsidR="004D7AAB" w:rsidRPr="00336696" w:rsidRDefault="004D7AA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u w:val="single"/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68D30C50" w14:textId="77777777">
        <w:tc>
          <w:tcPr>
            <w:tcW w:w="1129" w:type="dxa"/>
            <w:shd w:val="clear" w:color="auto" w:fill="D9D9D9"/>
          </w:tcPr>
          <w:p w14:paraId="66A3DA7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3702285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B872200" w14:textId="77777777">
        <w:tc>
          <w:tcPr>
            <w:tcW w:w="1129" w:type="dxa"/>
          </w:tcPr>
          <w:p w14:paraId="038C506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0010–0080</w:t>
            </w:r>
          </w:p>
        </w:tc>
        <w:tc>
          <w:tcPr>
            <w:tcW w:w="7620" w:type="dxa"/>
          </w:tcPr>
          <w:p w14:paraId="38F626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Měsíční průměrné hodnoty celkových denních držených peněz zákazníků</w:t>
            </w:r>
          </w:p>
          <w:p w14:paraId="563508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vykáží každý měsíc průměrnou měsíční hodnotu celkových denních </w:t>
            </w:r>
            <w:r w:rsidRPr="00336696">
              <w:rPr>
                <w:rFonts w:ascii="Times New Roman" w:hAnsi="Times New Roman"/>
                <w:bCs/>
              </w:rPr>
              <w:t>držených peněz zákazníků měřených ke konci každého obchodního dne podle čl. 18 odst. 1 nařízení (EU) 2019/2033.</w:t>
            </w:r>
          </w:p>
        </w:tc>
      </w:tr>
    </w:tbl>
    <w:p w14:paraId="1A3045AD" w14:textId="77777777" w:rsidR="004D7AAB" w:rsidRPr="00336696" w:rsidRDefault="004D7AA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u w:val="single"/>
          <w:lang w:val="en-IE"/>
        </w:rPr>
      </w:pPr>
    </w:p>
    <w:p w14:paraId="48EDB1FF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4" w:name="_Toc88125769"/>
      <w:r w:rsidRPr="00336696">
        <w:rPr>
          <w:rFonts w:ascii="Times New Roman" w:hAnsi="Times New Roman"/>
          <w:sz w:val="24"/>
          <w:szCs w:val="24"/>
          <w:u w:val="single"/>
        </w:rPr>
        <w:t>3.6. I 06.05 – MAJETEK V ÚSCHOVĚ A SPRÁVĚ – DOPLŇUJÍCÍ PODROBNOSTI (I 6.5)</w:t>
      </w:r>
      <w:bookmarkEnd w:id="64"/>
    </w:p>
    <w:p w14:paraId="61D26DA9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</w:pPr>
      <w:bookmarkStart w:id="65" w:name="_Toc88125770"/>
      <w:r w:rsidRPr="00336696">
        <w:rPr>
          <w:rFonts w:ascii="Times New Roman" w:hAnsi="Times New Roman"/>
          <w:sz w:val="24"/>
          <w:szCs w:val="24"/>
        </w:rPr>
        <w:t>3.6.1.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</w:rPr>
        <w:t>Pokyny pro konkrétní pozice</w:t>
      </w:r>
      <w:bookmarkEnd w:id="6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24420AC8" w14:textId="77777777">
        <w:tc>
          <w:tcPr>
            <w:tcW w:w="1129" w:type="dxa"/>
            <w:shd w:val="clear" w:color="auto" w:fill="D9D9D9"/>
          </w:tcPr>
          <w:p w14:paraId="60C5C70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1E725C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Odkazy na právní </w:t>
            </w:r>
            <w:r w:rsidRPr="00336696">
              <w:rPr>
                <w:rFonts w:ascii="Times New Roman" w:hAnsi="Times New Roman"/>
              </w:rPr>
              <w:t>předpisy a pokyny</w:t>
            </w:r>
          </w:p>
        </w:tc>
      </w:tr>
      <w:tr w:rsidR="004D7AAB" w:rsidRPr="00336696" w14:paraId="67FB683B" w14:textId="77777777">
        <w:tc>
          <w:tcPr>
            <w:tcW w:w="1129" w:type="dxa"/>
          </w:tcPr>
          <w:p w14:paraId="14A46D0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8AB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Majetek v úschově a správě celkem (průměrné částky)</w:t>
            </w:r>
          </w:p>
          <w:p w14:paraId="47356A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29 nařízení (EU) 2019/2033.</w:t>
            </w:r>
          </w:p>
          <w:p w14:paraId="674465C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 xml:space="preserve">Ustanovení čl. 5 odst. 1 regulačních technických norem upřesňujících metody pro měření K-faktorů (čl. 15 odst. 5 </w:t>
            </w:r>
            <w:r w:rsidRPr="00336696">
              <w:rPr>
                <w:rFonts w:ascii="Times New Roman" w:hAnsi="Times New Roman"/>
                <w:bCs/>
              </w:rPr>
              <w:t>písm. a) nařízení (EU) 2019/2033).</w:t>
            </w:r>
          </w:p>
          <w:p w14:paraId="4602797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Celková hodnota ASA jako klouzavý průměr hodnoty celkového denního majetku v úschově a správě, která se stanoví na konci každého obchodního dne za předchozích devět měsíců, přičemž se vyloučí tři nejaktuálnější měsíce, po</w:t>
            </w:r>
            <w:r w:rsidRPr="00336696">
              <w:rPr>
                <w:rFonts w:ascii="Times New Roman" w:hAnsi="Times New Roman"/>
                <w:bCs/>
              </w:rPr>
              <w:t xml:space="preserve">dle čl. 19 odst. 1 prvního pododstavce nařízení (EU) 2019/2033. </w:t>
            </w:r>
          </w:p>
        </w:tc>
      </w:tr>
      <w:tr w:rsidR="004D7AAB" w:rsidRPr="00336696" w14:paraId="2CE74ACF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32DA85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8EC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reálná hodnota finančního nástroje (úroveň 2)</w:t>
            </w:r>
          </w:p>
          <w:p w14:paraId="7B82B2C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5 odst. 1 písm. a) regulačních technických norem upřesňujících metody pro měření K-faktorů (čl. 15 odst. 5 </w:t>
            </w:r>
            <w:r w:rsidRPr="00336696">
              <w:rPr>
                <w:rFonts w:ascii="Times New Roman" w:hAnsi="Times New Roman"/>
                <w:bCs/>
              </w:rPr>
              <w:t>písm. a) nařízení (EU) 2019/2033).</w:t>
            </w:r>
          </w:p>
          <w:p w14:paraId="6011FB6C" w14:textId="77777777" w:rsidR="004D7AAB" w:rsidRPr="00336696" w:rsidRDefault="00336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336696">
              <w:rPr>
                <w:rFonts w:ascii="Times New Roman" w:hAnsi="Times New Roman"/>
                <w:bCs/>
              </w:rPr>
              <w:t>Finanční nástroje úrovně 2 oceněné podle IFRS 13.81.</w:t>
            </w:r>
          </w:p>
        </w:tc>
      </w:tr>
      <w:tr w:rsidR="004D7AAB" w:rsidRPr="00336696" w14:paraId="60602934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02DA23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037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reálná hodnota finančního nástroje (úroveň 3)</w:t>
            </w:r>
          </w:p>
          <w:p w14:paraId="2EAF7E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5 odst. 1 písm. a) regulačních technických norem upřesňujících metody pro měření </w:t>
            </w:r>
            <w:r w:rsidRPr="00336696">
              <w:rPr>
                <w:rFonts w:ascii="Times New Roman" w:hAnsi="Times New Roman"/>
                <w:bCs/>
              </w:rPr>
              <w:t>K-faktorů (čl. 15 odst. 5 písm. a) nařízení (EU) 2019/2033).</w:t>
            </w:r>
          </w:p>
          <w:p w14:paraId="1D9B0D76" w14:textId="77777777" w:rsidR="004D7AAB" w:rsidRPr="00336696" w:rsidRDefault="00336696">
            <w:pPr>
              <w:autoSpaceDE w:val="0"/>
              <w:autoSpaceDN w:val="0"/>
              <w:spacing w:after="0" w:line="240" w:lineRule="auto"/>
            </w:pPr>
            <w:r w:rsidRPr="00336696">
              <w:rPr>
                <w:rFonts w:ascii="Times New Roman" w:hAnsi="Times New Roman"/>
                <w:bCs/>
              </w:rPr>
              <w:t>Ocenění na základě nepozorovatelných vstupů za použití nejlepších dostupných informací IFRS 13.86.</w:t>
            </w:r>
          </w:p>
        </w:tc>
      </w:tr>
      <w:tr w:rsidR="004D7AAB" w:rsidRPr="00336696" w14:paraId="6A203F2A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41998B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82B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majetek formálně přenesený na jiný finanční subjekt</w:t>
            </w:r>
          </w:p>
          <w:p w14:paraId="591879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19 odst. 2 naří</w:t>
            </w:r>
            <w:r w:rsidRPr="00336696">
              <w:rPr>
                <w:rFonts w:ascii="Times New Roman" w:hAnsi="Times New Roman"/>
                <w:bCs/>
              </w:rPr>
              <w:t>zení (EU) 2019/2033.</w:t>
            </w:r>
          </w:p>
          <w:p w14:paraId="1B06ACC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Hodnota majetku, jehož úschova a správa byla formálně přenesena na jiný finanční subjekt, jako aritmetický průměr podle čl. 19 odst. 1 prvního pododstavce nařízení (EU) 2019/2033.</w:t>
            </w:r>
          </w:p>
        </w:tc>
      </w:tr>
      <w:tr w:rsidR="004D7AAB" w:rsidRPr="00336696" w14:paraId="04A7A5D5" w14:textId="77777777">
        <w:tc>
          <w:tcPr>
            <w:tcW w:w="1129" w:type="dxa"/>
            <w:tcBorders>
              <w:top w:val="single" w:sz="4" w:space="0" w:color="auto"/>
            </w:tcBorders>
          </w:tcPr>
          <w:p w14:paraId="7224106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8A6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 toho: majetek jiného finančního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subjektu, který jej formálně přenesl na investiční podnik</w:t>
            </w:r>
          </w:p>
          <w:p w14:paraId="6648477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19 odst. 2 nařízení (EU) 2019/2033.</w:t>
            </w:r>
          </w:p>
          <w:p w14:paraId="7DE9928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Hodnota majetku jiného finančního subjektu, který formálně přenesl jeho úschovu a správu na investiční podnik, jako aritmetický průměr podle čl. 19</w:t>
            </w:r>
            <w:r w:rsidRPr="00336696">
              <w:rPr>
                <w:rFonts w:ascii="Times New Roman" w:hAnsi="Times New Roman"/>
                <w:bCs/>
              </w:rPr>
              <w:t xml:space="preserve"> odst. 1 prvního pododstavce nařízení (EU) 2019/2033.</w:t>
            </w:r>
          </w:p>
        </w:tc>
      </w:tr>
    </w:tbl>
    <w:p w14:paraId="2E918CDC" w14:textId="77777777" w:rsidR="004D7AAB" w:rsidRPr="00336696" w:rsidRDefault="004D7AAB">
      <w:pPr>
        <w:rPr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48FC9AC4" w14:textId="77777777">
        <w:tc>
          <w:tcPr>
            <w:tcW w:w="1129" w:type="dxa"/>
            <w:shd w:val="clear" w:color="auto" w:fill="D9D9D9"/>
          </w:tcPr>
          <w:p w14:paraId="20D59B6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3DB7A33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5D528A85" w14:textId="77777777">
        <w:tc>
          <w:tcPr>
            <w:tcW w:w="1129" w:type="dxa"/>
          </w:tcPr>
          <w:p w14:paraId="1DCA36B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1A282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Výše faktoru – měsíc t</w:t>
            </w:r>
          </w:p>
          <w:p w14:paraId="0274FE7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ASA ke konci třetího měsíce (tj. posledního) čtvrtletí, za které se zpráva podává.</w:t>
            </w:r>
          </w:p>
        </w:tc>
      </w:tr>
      <w:tr w:rsidR="004D7AAB" w:rsidRPr="00336696" w14:paraId="79ED4E1D" w14:textId="77777777">
        <w:tc>
          <w:tcPr>
            <w:tcW w:w="1129" w:type="dxa"/>
          </w:tcPr>
          <w:p w14:paraId="4298FD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23328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Výše faktoru – měsíc t–1</w:t>
            </w:r>
          </w:p>
          <w:p w14:paraId="7FA50C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ASA ke </w:t>
            </w:r>
            <w:r w:rsidRPr="00336696">
              <w:rPr>
                <w:rFonts w:ascii="Times New Roman" w:hAnsi="Times New Roman"/>
                <w:bCs/>
              </w:rPr>
              <w:t>konci druhého měsíce čtvrtletí, za které se zpráva podává.</w:t>
            </w:r>
          </w:p>
        </w:tc>
      </w:tr>
      <w:tr w:rsidR="004D7AAB" w:rsidRPr="00336696" w14:paraId="2B34F7FF" w14:textId="77777777">
        <w:tc>
          <w:tcPr>
            <w:tcW w:w="1129" w:type="dxa"/>
          </w:tcPr>
          <w:p w14:paraId="1FDAAF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379D9E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Výše faktoru – měsíc t–2</w:t>
            </w:r>
          </w:p>
          <w:p w14:paraId="14A8CF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ASA ke konci prvního měsíce čtvrtletí, za které se zpráva podává.</w:t>
            </w:r>
          </w:p>
        </w:tc>
      </w:tr>
    </w:tbl>
    <w:p w14:paraId="2A1AAFAE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6" w:name="_Toc88125771"/>
      <w:r w:rsidRPr="00336696">
        <w:rPr>
          <w:rFonts w:ascii="Times New Roman" w:hAnsi="Times New Roman"/>
          <w:sz w:val="24"/>
          <w:szCs w:val="24"/>
          <w:u w:val="single"/>
        </w:rPr>
        <w:t>3.7. I 06.06 – PRŮMĚRNÁ HODNOTA DENNÍHO MAJETKU V ÚSCHOVĚ A SPRÁVĚ CELKEM (I 6.6)</w:t>
      </w:r>
      <w:bookmarkEnd w:id="66"/>
    </w:p>
    <w:p w14:paraId="5CD268F8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7" w:name="_Toc88125772"/>
      <w:r w:rsidRPr="00336696">
        <w:rPr>
          <w:rFonts w:ascii="Times New Roman" w:hAnsi="Times New Roman"/>
          <w:sz w:val="24"/>
          <w:szCs w:val="24"/>
        </w:rPr>
        <w:t>3.7.1.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6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493A6567" w14:textId="77777777">
        <w:tc>
          <w:tcPr>
            <w:tcW w:w="1129" w:type="dxa"/>
            <w:shd w:val="clear" w:color="auto" w:fill="D9D9D9"/>
          </w:tcPr>
          <w:p w14:paraId="0F11EC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3DA049C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7CB9099" w14:textId="77777777">
        <w:tc>
          <w:tcPr>
            <w:tcW w:w="1129" w:type="dxa"/>
          </w:tcPr>
          <w:p w14:paraId="6050F6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8DD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Majetek v úschově a správě</w:t>
            </w:r>
          </w:p>
          <w:p w14:paraId="1235E9F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29 nařízení (EU) 2019/2033.</w:t>
            </w:r>
          </w:p>
          <w:p w14:paraId="395CA52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 xml:space="preserve">Ustanovení čl. 5 odst. 1 regulačních technických norem upřesňujících metody pro měření </w:t>
            </w:r>
            <w:r w:rsidRPr="00336696">
              <w:rPr>
                <w:rFonts w:ascii="Times New Roman" w:hAnsi="Times New Roman"/>
                <w:bCs/>
              </w:rPr>
              <w:t>K-faktorů (čl. 15 odst. 5 písm. a) nařízení (EU) 2019/2033).</w:t>
            </w:r>
          </w:p>
          <w:p w14:paraId="3238CAD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hodnota odpovídající měsíčnímu průměru celkového denního majetku v úschově a správě podle čl. 19 odst. 1 nařízení (EU) 2019/2033.</w:t>
            </w:r>
          </w:p>
        </w:tc>
      </w:tr>
      <w:tr w:rsidR="004D7AAB" w:rsidRPr="00336696" w14:paraId="26F5E59D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677711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A68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 toho: reálná hodnota finančního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nástroje (úroveň 2)</w:t>
            </w:r>
          </w:p>
          <w:p w14:paraId="41A6C1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 odst. 2 regulačních technických norem upřesňujících metody pro měření K-faktorů (čl. 15 odst. 5 písm. a) nařízení (EU) 2019/2033).</w:t>
            </w:r>
          </w:p>
          <w:p w14:paraId="355F601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Finanční nástroje úrovně 2 oceněné podle IFRS 13.81.</w:t>
            </w:r>
          </w:p>
        </w:tc>
      </w:tr>
      <w:tr w:rsidR="004D7AAB" w:rsidRPr="00336696" w14:paraId="0B69656E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27685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852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reálná hodnota finanč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ního nástroje (úroveň 3)</w:t>
            </w:r>
          </w:p>
          <w:p w14:paraId="0DEA09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336696">
              <w:rPr>
                <w:rFonts w:ascii="Times New Roman" w:hAnsi="Times New Roman"/>
                <w:bCs/>
              </w:rPr>
              <w:t>Ustanovení čl. 5 odst. 1 písm. a) regulačních technických norem upřesňujících metody pro měření K-faktorů (čl. 15 odst. 5 písm. a) nařízení (EU) 2019/2033).</w:t>
            </w:r>
          </w:p>
          <w:p w14:paraId="667E03E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Ocenění na základě nepozorovatelných vstupů za použití nejlepších dostupný</w:t>
            </w:r>
            <w:r w:rsidRPr="00336696">
              <w:rPr>
                <w:rFonts w:ascii="Times New Roman" w:hAnsi="Times New Roman"/>
                <w:bCs/>
              </w:rPr>
              <w:t>ch informací IFRS 13.86.</w:t>
            </w:r>
          </w:p>
        </w:tc>
      </w:tr>
      <w:tr w:rsidR="004D7AAB" w:rsidRPr="00336696" w14:paraId="40503D6E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564E7A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ED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majetek formálně přenesený na jiný finanční subjekt</w:t>
            </w:r>
          </w:p>
          <w:p w14:paraId="69B32A5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19 odst. 2 nařízení (EU) 2019/2033.</w:t>
            </w:r>
          </w:p>
          <w:p w14:paraId="196B315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Vykáže se hodnota odpovídající měsíčnímu průměru celkového denního majetku, jehož úschova a správa byla formálně p</w:t>
            </w:r>
            <w:r w:rsidRPr="00336696">
              <w:rPr>
                <w:rFonts w:ascii="Times New Roman" w:hAnsi="Times New Roman"/>
                <w:bCs/>
              </w:rPr>
              <w:t>řenesena na jiný finanční subjekt podle čl. 19 odst. 1 nařízení (EU) 2019/2033.</w:t>
            </w:r>
          </w:p>
        </w:tc>
      </w:tr>
      <w:tr w:rsidR="004D7AAB" w:rsidRPr="00336696" w14:paraId="6BF3D928" w14:textId="77777777">
        <w:tc>
          <w:tcPr>
            <w:tcW w:w="1129" w:type="dxa"/>
            <w:tcBorders>
              <w:top w:val="single" w:sz="4" w:space="0" w:color="auto"/>
            </w:tcBorders>
          </w:tcPr>
          <w:p w14:paraId="61517D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52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majetek jiného finančního subjektu, který jej formálně přenesl na investiční podnik</w:t>
            </w:r>
          </w:p>
          <w:p w14:paraId="20FAD6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19 odst. 2 nařízení (EU) 2019/2033.</w:t>
            </w:r>
          </w:p>
          <w:p w14:paraId="5206DA5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Vykáže se hodnota </w:t>
            </w:r>
            <w:r w:rsidRPr="00336696">
              <w:rPr>
                <w:rFonts w:ascii="Times New Roman" w:hAnsi="Times New Roman"/>
                <w:bCs/>
              </w:rPr>
              <w:t>odpovídající měsíčnímu průměru celkového denního majetku jiného finančního subjektu, který jeho úschovu a správu formálně přenesl na investiční podnik podle čl. 19 odst. 1 nařízení (EU) 2019/2033.</w:t>
            </w:r>
          </w:p>
        </w:tc>
      </w:tr>
    </w:tbl>
    <w:p w14:paraId="04DEB64A" w14:textId="77777777" w:rsidR="004D7AAB" w:rsidRPr="00336696" w:rsidRDefault="004D7AAB">
      <w:pPr>
        <w:rPr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244BF285" w14:textId="77777777">
        <w:tc>
          <w:tcPr>
            <w:tcW w:w="1129" w:type="dxa"/>
            <w:shd w:val="clear" w:color="auto" w:fill="D9D9D9"/>
          </w:tcPr>
          <w:p w14:paraId="6F03F7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064BC8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5E94818" w14:textId="77777777">
        <w:tc>
          <w:tcPr>
            <w:tcW w:w="1129" w:type="dxa"/>
          </w:tcPr>
          <w:p w14:paraId="10A38F5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0010–0080</w:t>
            </w:r>
          </w:p>
        </w:tc>
        <w:tc>
          <w:tcPr>
            <w:tcW w:w="7620" w:type="dxa"/>
          </w:tcPr>
          <w:p w14:paraId="6DBDD65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Měsíční průměrné hodnoty celkového denního majetku v úschově a správě</w:t>
            </w:r>
          </w:p>
          <w:p w14:paraId="26D49F2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vykáží každý měsíc průměrnou denní hodnotu celkového denního majetku v úschově a správě, která se stanoví na konci každého obchodního dne, podle čl. 19 </w:t>
            </w:r>
            <w:r w:rsidRPr="00336696">
              <w:rPr>
                <w:rFonts w:ascii="Times New Roman" w:hAnsi="Times New Roman"/>
                <w:bCs/>
              </w:rPr>
              <w:t>odst. 1 nařízení (EU) 2019/2033.</w:t>
            </w:r>
          </w:p>
        </w:tc>
      </w:tr>
    </w:tbl>
    <w:p w14:paraId="217FA6C6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8" w:name="_Toc88125773"/>
      <w:r w:rsidRPr="00336696">
        <w:rPr>
          <w:rFonts w:ascii="Times New Roman" w:hAnsi="Times New Roman"/>
          <w:sz w:val="24"/>
          <w:szCs w:val="24"/>
          <w:u w:val="single"/>
        </w:rPr>
        <w:t>3.8. I 06.07 – ZPRACOVANÉ POKYNY ZÁKAZNÍKŮ – DOPLŇUJÍCÍ PODROBNOSTI (I 6.7)</w:t>
      </w:r>
      <w:bookmarkEnd w:id="68"/>
    </w:p>
    <w:p w14:paraId="392DBC8B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</w:pPr>
      <w:bookmarkStart w:id="69" w:name="_Toc88125774"/>
      <w:r w:rsidRPr="00336696">
        <w:rPr>
          <w:rFonts w:ascii="Times New Roman" w:hAnsi="Times New Roman"/>
          <w:sz w:val="24"/>
          <w:szCs w:val="24"/>
        </w:rPr>
        <w:t>3.8.1.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6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0A7A2798" w14:textId="77777777">
        <w:tc>
          <w:tcPr>
            <w:tcW w:w="1129" w:type="dxa"/>
            <w:shd w:val="clear" w:color="auto" w:fill="D9D9D9"/>
          </w:tcPr>
          <w:p w14:paraId="2AA6E65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5FDF097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889E625" w14:textId="77777777">
        <w:tc>
          <w:tcPr>
            <w:tcW w:w="1129" w:type="dxa"/>
          </w:tcPr>
          <w:p w14:paraId="0B4DA92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EA96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Zpracované pokyny zákazníků – hotovostní obchody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(průměrné částky)</w:t>
            </w:r>
          </w:p>
          <w:p w14:paraId="739516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Hodnota COH – hotovostních obchodů podle čl. 4 odst. 1 bodu 30 nařízení (EU) 2019/2033 a stanovená podle čl. 20 odst. 1 nařízení (EU) 2019/2033.</w:t>
            </w:r>
          </w:p>
          <w:p w14:paraId="3990F16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Investiční podniky vykazují aritmetický průměr výše COH – hotovostních obchodů za předchozích</w:t>
            </w:r>
            <w:r w:rsidRPr="00336696">
              <w:rPr>
                <w:rFonts w:ascii="Times New Roman" w:hAnsi="Times New Roman"/>
                <w:bCs/>
              </w:rPr>
              <w:t xml:space="preserve"> šest měsíců, přičemž se vyloučí tři nejaktuálnější měsíce, podle čl. 20 </w:t>
            </w:r>
            <w:r w:rsidRPr="00336696">
              <w:rPr>
                <w:rFonts w:ascii="Times New Roman" w:hAnsi="Times New Roman"/>
                <w:bCs/>
              </w:rPr>
              <w:lastRenderedPageBreak/>
              <w:t>odst. 1 prvního pododstavce nařízení (EU) 2019/2033, která se měří podle čl. 20 odst. 2 písm. a) nařízení (EU) 2019/2033.</w:t>
            </w:r>
          </w:p>
        </w:tc>
      </w:tr>
      <w:tr w:rsidR="004D7AAB" w:rsidRPr="00336696" w14:paraId="55DB3045" w14:textId="77777777">
        <w:tc>
          <w:tcPr>
            <w:tcW w:w="1129" w:type="dxa"/>
          </w:tcPr>
          <w:p w14:paraId="2D4ED83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318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provádění pokynů zákazníků</w:t>
            </w:r>
          </w:p>
          <w:p w14:paraId="1BDA65E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COH pro hotovostní o</w:t>
            </w:r>
            <w:r w:rsidRPr="00336696">
              <w:rPr>
                <w:rFonts w:ascii="Times New Roman" w:hAnsi="Times New Roman"/>
                <w:bCs/>
              </w:rPr>
              <w:t>bchody, v souvislosti s nimiž investiční podnik poskytuje službu provádění pokynů zákazníků podle čl. 4 odst. 1 bodu 5 směrnice 2014/65/EU.</w:t>
            </w:r>
          </w:p>
          <w:p w14:paraId="248322C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Vykazuje se aritmetický průměr hodnoty COH za předchozích šest měsíců, přičemž se vyloučí tři nejaktuálnější měsíce,</w:t>
            </w:r>
            <w:r w:rsidRPr="00336696">
              <w:rPr>
                <w:rFonts w:ascii="Times New Roman" w:hAnsi="Times New Roman"/>
                <w:bCs/>
              </w:rPr>
              <w:t xml:space="preserve"> podle čl. 20 odst. 1 prvního pododstavce nařízení (EU) 2019/2033.</w:t>
            </w:r>
          </w:p>
        </w:tc>
      </w:tr>
      <w:tr w:rsidR="004D7AAB" w:rsidRPr="00336696" w14:paraId="0F456715" w14:textId="77777777">
        <w:tc>
          <w:tcPr>
            <w:tcW w:w="1129" w:type="dxa"/>
          </w:tcPr>
          <w:p w14:paraId="54D7B5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8528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přijímání a předávání pokynů zákazníků</w:t>
            </w:r>
          </w:p>
          <w:p w14:paraId="4162811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COH pro hotovostní obchody, v souvislosti s nimiž investiční podnik poskytuje službu přijímání a předávání pokynů zákazníků.</w:t>
            </w:r>
          </w:p>
          <w:p w14:paraId="7AFE77C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Vykazuje se aritmetický průměr hodnoty COH za předchozích šest měsíců, přičemž se vyloučí tři nejaktuálnější měsíce, podle čl. 20 odst. 1 prvního pododstavce nařízení (EU) 2019/2033.</w:t>
            </w:r>
          </w:p>
        </w:tc>
      </w:tr>
      <w:tr w:rsidR="004D7AAB" w:rsidRPr="00336696" w14:paraId="290DC2E5" w14:textId="77777777">
        <w:tc>
          <w:tcPr>
            <w:tcW w:w="1129" w:type="dxa"/>
          </w:tcPr>
          <w:p w14:paraId="7490523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F9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Zpracované pokyny zákazníků – deriváty (průměrné částky)</w:t>
            </w:r>
          </w:p>
          <w:p w14:paraId="303CB8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</w:t>
            </w:r>
            <w:r w:rsidRPr="00336696">
              <w:rPr>
                <w:rFonts w:ascii="Times New Roman" w:hAnsi="Times New Roman"/>
                <w:bCs/>
              </w:rPr>
              <w:t xml:space="preserve"> čl. 4 odst. 1 bodu 30 nařízení (EU) 2019/2033.</w:t>
            </w:r>
          </w:p>
          <w:p w14:paraId="24854D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Investiční podniky vykazují aritmetický průměr výše COH – derivátů za předchozích šest měsíců, přičemž se vyloučí tři nejaktuálnější měsíce, podle čl. 20 odst. 1 prvního pododstavce nařízení (EU) 2019/2033, k</w:t>
            </w:r>
            <w:r w:rsidRPr="00336696">
              <w:rPr>
                <w:rFonts w:ascii="Times New Roman" w:hAnsi="Times New Roman"/>
                <w:bCs/>
              </w:rPr>
              <w:t>terá se měří podle čl. 20 odst. 2 písm. b) nařízení (EU) 2019/2033.</w:t>
            </w:r>
          </w:p>
        </w:tc>
      </w:tr>
      <w:tr w:rsidR="004D7AAB" w:rsidRPr="00336696" w14:paraId="30F22129" w14:textId="77777777">
        <w:tc>
          <w:tcPr>
            <w:tcW w:w="1129" w:type="dxa"/>
          </w:tcPr>
          <w:p w14:paraId="0FFA98D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6A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provádění pokynů zákazníků</w:t>
            </w:r>
          </w:p>
          <w:p w14:paraId="7F999B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COH pro deriváty, v souvislosti s nimiž investiční podnik poskytuje službu provádění pokynů zákazníků podle čl. 4 odst. 1 bodu 5 směrnice 2014/65/E</w:t>
            </w:r>
            <w:r w:rsidRPr="00336696">
              <w:rPr>
                <w:rFonts w:ascii="Times New Roman" w:hAnsi="Times New Roman"/>
                <w:bCs/>
              </w:rPr>
              <w:t>U.</w:t>
            </w:r>
          </w:p>
          <w:p w14:paraId="4301A3B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Vykazuje se aritmetický průměr hodnoty COH za předchozích šest měsíců, přičemž se vyloučí tři nejaktuálnější měsíce, podle čl. 20 odst. 1 prvního pododstavce nařízení (EU) 2019/2033.</w:t>
            </w:r>
          </w:p>
        </w:tc>
      </w:tr>
      <w:tr w:rsidR="004D7AAB" w:rsidRPr="00336696" w14:paraId="6648BAFF" w14:textId="77777777">
        <w:tc>
          <w:tcPr>
            <w:tcW w:w="1129" w:type="dxa"/>
          </w:tcPr>
          <w:p w14:paraId="53EEE3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BB6B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přijímání a předávání pokynů zákazníků</w:t>
            </w:r>
          </w:p>
          <w:p w14:paraId="06BE64C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COH pro </w:t>
            </w:r>
            <w:r w:rsidRPr="00336696">
              <w:rPr>
                <w:rFonts w:ascii="Times New Roman" w:hAnsi="Times New Roman"/>
                <w:bCs/>
              </w:rPr>
              <w:t>deriváty, v souvislosti s nimiž investiční podnik poskytuje službu přijímání a předávání pokynů zákazníků.</w:t>
            </w:r>
          </w:p>
          <w:p w14:paraId="512DD4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Vykazuje se aritmetický průměr hodnoty COH za předchozích šest měsíců, přičemž se vyloučí tři nejaktuálnější měsíce, podle čl. 20 odst. 1 prvního pod</w:t>
            </w:r>
            <w:r w:rsidRPr="00336696">
              <w:rPr>
                <w:rFonts w:ascii="Times New Roman" w:hAnsi="Times New Roman"/>
                <w:bCs/>
              </w:rPr>
              <w:t>odstavce nařízení (EU) 2019/2033.</w:t>
            </w:r>
          </w:p>
        </w:tc>
      </w:tr>
    </w:tbl>
    <w:p w14:paraId="0F3AA746" w14:textId="77777777" w:rsidR="004D7AAB" w:rsidRPr="00336696" w:rsidRDefault="004D7AAB">
      <w:pPr>
        <w:rPr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66E3C4F5" w14:textId="77777777">
        <w:tc>
          <w:tcPr>
            <w:tcW w:w="1129" w:type="dxa"/>
            <w:shd w:val="clear" w:color="auto" w:fill="D9D9D9"/>
          </w:tcPr>
          <w:p w14:paraId="582FEBB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4172A9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Odkazy na právní předpisy a pokyny</w:t>
            </w:r>
          </w:p>
        </w:tc>
      </w:tr>
      <w:tr w:rsidR="004D7AAB" w:rsidRPr="00336696" w14:paraId="3CCE627E" w14:textId="77777777">
        <w:tc>
          <w:tcPr>
            <w:tcW w:w="1129" w:type="dxa"/>
          </w:tcPr>
          <w:p w14:paraId="4B07E1E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0872B1F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Výše faktoru – měsíc t</w:t>
            </w:r>
          </w:p>
          <w:p w14:paraId="332210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 xml:space="preserve">Hodnota COH ke konci třetího měsíce (posledního) čtvrtletí, kterého se zpráva týká. </w:t>
            </w:r>
          </w:p>
        </w:tc>
      </w:tr>
      <w:tr w:rsidR="004D7AAB" w:rsidRPr="00336696" w14:paraId="2F14114A" w14:textId="77777777">
        <w:trPr>
          <w:trHeight w:val="1051"/>
        </w:trPr>
        <w:tc>
          <w:tcPr>
            <w:tcW w:w="1129" w:type="dxa"/>
          </w:tcPr>
          <w:p w14:paraId="54A5563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65E938A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Výše faktoru – měsíc t–1</w:t>
            </w:r>
          </w:p>
          <w:p w14:paraId="3F2FFD4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Hodnota COH ke konci druhého měsíce čtvrtletí, za které se zpráva podává.</w:t>
            </w:r>
          </w:p>
        </w:tc>
      </w:tr>
      <w:tr w:rsidR="004D7AAB" w:rsidRPr="00336696" w14:paraId="1CE90DBF" w14:textId="77777777">
        <w:tc>
          <w:tcPr>
            <w:tcW w:w="1129" w:type="dxa"/>
          </w:tcPr>
          <w:p w14:paraId="2FE819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76339A9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Výše faktoru – měsíc t–2</w:t>
            </w:r>
          </w:p>
          <w:p w14:paraId="34BEF5D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 xml:space="preserve">Hodnota COH ke konci prvního </w:t>
            </w:r>
            <w:r w:rsidRPr="00336696">
              <w:rPr>
                <w:rFonts w:ascii="Times New Roman" w:hAnsi="Times New Roman"/>
                <w:bCs/>
                <w:szCs w:val="24"/>
              </w:rPr>
              <w:t>měsíce čtvrtletí, za které se zpráva podává.</w:t>
            </w:r>
          </w:p>
        </w:tc>
      </w:tr>
    </w:tbl>
    <w:p w14:paraId="33C1226B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0" w:name="_Toc88125775"/>
      <w:r w:rsidRPr="00336696">
        <w:rPr>
          <w:rFonts w:ascii="Times New Roman" w:hAnsi="Times New Roman"/>
          <w:sz w:val="24"/>
          <w:szCs w:val="24"/>
          <w:u w:val="single"/>
        </w:rPr>
        <w:lastRenderedPageBreak/>
        <w:t>3.9. I 06.08 – PRŮMĚRNÁ HODNOTA CELKOVÝCH DENNÍCH ZPRACOVANÝCH POKYNŮ ZÁKAZNÍKŮ (I 6.8)</w:t>
      </w:r>
      <w:bookmarkEnd w:id="70"/>
    </w:p>
    <w:p w14:paraId="13522808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1" w:name="_Toc88125776"/>
      <w:r w:rsidRPr="00336696">
        <w:rPr>
          <w:rFonts w:ascii="Times New Roman" w:hAnsi="Times New Roman"/>
          <w:sz w:val="24"/>
          <w:szCs w:val="24"/>
        </w:rPr>
        <w:t>3.9.1.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7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79F22330" w14:textId="77777777">
        <w:tc>
          <w:tcPr>
            <w:tcW w:w="1129" w:type="dxa"/>
            <w:shd w:val="clear" w:color="auto" w:fill="D9D9D9"/>
          </w:tcPr>
          <w:p w14:paraId="51D6877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2E186BF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5C6712E3" w14:textId="77777777">
        <w:tc>
          <w:tcPr>
            <w:tcW w:w="1129" w:type="dxa"/>
          </w:tcPr>
          <w:p w14:paraId="593CE77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7AF6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Celkové denní zpracované pokyny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zákazníků – hotovostní obchody</w:t>
            </w:r>
          </w:p>
          <w:p w14:paraId="40608B4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30 nařízení (EU) 2019/2033.</w:t>
            </w:r>
          </w:p>
          <w:p w14:paraId="52CB4D7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Průměrná hodnota celkových denních zpracovaných pokynů zákazníků (hotovostních obchodů) za příslušný měsíc podle čl. 20 odst. 1 nařízení (EU) 2019/2033, jež se měří po</w:t>
            </w:r>
            <w:r w:rsidRPr="00336696">
              <w:rPr>
                <w:rFonts w:ascii="Times New Roman" w:hAnsi="Times New Roman"/>
                <w:bCs/>
              </w:rPr>
              <w:t>dle čl. 20 odst. 2 písm. a) nařízení (EU) 2019/2033.</w:t>
            </w:r>
          </w:p>
        </w:tc>
      </w:tr>
      <w:tr w:rsidR="004D7AAB" w:rsidRPr="00336696" w14:paraId="73EE8376" w14:textId="77777777">
        <w:tc>
          <w:tcPr>
            <w:tcW w:w="1129" w:type="dxa"/>
          </w:tcPr>
          <w:p w14:paraId="794C6DB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40B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provádění pokynů zákazníků</w:t>
            </w:r>
          </w:p>
          <w:p w14:paraId="57D3D06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Průměrná hodnota celkových denních zpracovaných pokynů zákazníků pro hotovostní obchody, v souvislosti s nimiž investiční podnik poskytuje službu </w:t>
            </w:r>
            <w:r w:rsidRPr="00336696">
              <w:rPr>
                <w:rFonts w:ascii="Times New Roman" w:hAnsi="Times New Roman"/>
                <w:bCs/>
              </w:rPr>
              <w:t>provádění pokynů zákazníků podle čl. 4 odst. 1 bodu 5 směrnice 2014/65/EU.</w:t>
            </w:r>
          </w:p>
        </w:tc>
      </w:tr>
      <w:tr w:rsidR="004D7AAB" w:rsidRPr="00336696" w14:paraId="21E05FF9" w14:textId="77777777">
        <w:tc>
          <w:tcPr>
            <w:tcW w:w="1129" w:type="dxa"/>
          </w:tcPr>
          <w:p w14:paraId="20363EB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3E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přijímání a předávání pokynů zákazníků</w:t>
            </w:r>
          </w:p>
          <w:p w14:paraId="1CA9319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Průměrná hodnota celkových denních zpracovaných pokynů zákazníků pro hotovostní obchody, v souvislosti s nimiž investiční podnik</w:t>
            </w:r>
            <w:r w:rsidRPr="00336696">
              <w:rPr>
                <w:rFonts w:ascii="Times New Roman" w:hAnsi="Times New Roman"/>
                <w:bCs/>
              </w:rPr>
              <w:t xml:space="preserve"> poskytuje službu přijímání a předávání pokynů zákazníků.</w:t>
            </w:r>
          </w:p>
        </w:tc>
      </w:tr>
      <w:tr w:rsidR="004D7AAB" w:rsidRPr="00336696" w14:paraId="7D0DBA7A" w14:textId="77777777">
        <w:tc>
          <w:tcPr>
            <w:tcW w:w="1129" w:type="dxa"/>
          </w:tcPr>
          <w:p w14:paraId="37CE9F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463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Celkové denní zpracované pokyny zákazníků – deriváty</w:t>
            </w:r>
          </w:p>
          <w:p w14:paraId="53DD33C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 odst. 1 bodu 30 nařízení (EU) 2019/2033.</w:t>
            </w:r>
          </w:p>
          <w:p w14:paraId="6818089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Průměrná hodnota celkových denních zpracovaných pokynů zákazníků (derivátů) za př</w:t>
            </w:r>
            <w:r w:rsidRPr="00336696">
              <w:rPr>
                <w:rFonts w:ascii="Times New Roman" w:hAnsi="Times New Roman"/>
                <w:bCs/>
              </w:rPr>
              <w:t>íslušný měsíc podle čl. 20 odst. 1 nařízení (EU) 2019/2033, jež se měří podle čl. 20 odst. 2 písm. b) nařízení (EU) 2019/2033.</w:t>
            </w:r>
          </w:p>
        </w:tc>
      </w:tr>
      <w:tr w:rsidR="004D7AAB" w:rsidRPr="00336696" w14:paraId="2FCE3A84" w14:textId="77777777">
        <w:tc>
          <w:tcPr>
            <w:tcW w:w="1129" w:type="dxa"/>
          </w:tcPr>
          <w:p w14:paraId="12B7DAA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D82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provádění pokynů zákazníků</w:t>
            </w:r>
          </w:p>
          <w:p w14:paraId="490DC1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Průměrná hodnota celkových denních zpracovaných pokynů zákazníků pro deriváty, v souvisl</w:t>
            </w:r>
            <w:r w:rsidRPr="00336696">
              <w:rPr>
                <w:rFonts w:ascii="Times New Roman" w:hAnsi="Times New Roman"/>
                <w:bCs/>
              </w:rPr>
              <w:t>osti s nimiž investiční podnik poskytuje službu provádění pokynů zákazníků podle čl. 4 odst. 1 bodu 5 směrnice 2014/65/EU.</w:t>
            </w:r>
          </w:p>
        </w:tc>
      </w:tr>
      <w:tr w:rsidR="004D7AAB" w:rsidRPr="00336696" w14:paraId="69A88E65" w14:textId="77777777">
        <w:tc>
          <w:tcPr>
            <w:tcW w:w="1129" w:type="dxa"/>
          </w:tcPr>
          <w:p w14:paraId="15A79F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083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přijímání a předávání pokynů zákazníků</w:t>
            </w:r>
          </w:p>
          <w:p w14:paraId="6F82028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Průměrná hodnota celkových denních zpracovaných pokynů zákazníků pro </w:t>
            </w:r>
            <w:r w:rsidRPr="00336696">
              <w:rPr>
                <w:rFonts w:ascii="Times New Roman" w:hAnsi="Times New Roman"/>
                <w:bCs/>
              </w:rPr>
              <w:t>deriváty, v souvislosti s nimiž investiční podnik poskytuje službu přijímání a předávání pokynů zákazníků.</w:t>
            </w:r>
          </w:p>
        </w:tc>
      </w:tr>
    </w:tbl>
    <w:p w14:paraId="026BBB4C" w14:textId="77777777" w:rsidR="004D7AAB" w:rsidRPr="00336696" w:rsidRDefault="004D7AAB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503DD91" w14:textId="77777777">
        <w:tc>
          <w:tcPr>
            <w:tcW w:w="1129" w:type="dxa"/>
            <w:shd w:val="clear" w:color="auto" w:fill="D9D9D9"/>
          </w:tcPr>
          <w:p w14:paraId="79FCF6B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7892062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2793737" w14:textId="77777777">
        <w:tc>
          <w:tcPr>
            <w:tcW w:w="1129" w:type="dxa"/>
          </w:tcPr>
          <w:p w14:paraId="5057C8D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0010–0050</w:t>
            </w:r>
          </w:p>
        </w:tc>
        <w:tc>
          <w:tcPr>
            <w:tcW w:w="7620" w:type="dxa"/>
          </w:tcPr>
          <w:p w14:paraId="52C0865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Měsíční průměrné hodnoty celkových denních zpracovaných pokynů zákazníků</w:t>
            </w:r>
          </w:p>
          <w:p w14:paraId="3EEDC3B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</w:t>
            </w:r>
            <w:r w:rsidRPr="00336696">
              <w:rPr>
                <w:rFonts w:ascii="Times New Roman" w:hAnsi="Times New Roman"/>
                <w:bCs/>
              </w:rPr>
              <w:t>podniky vykazují každý měsíc průměrnou měsíční hodnotu celkových denních zpracovaných pokynů zákazníků podle čl. 20 odst. 1.</w:t>
            </w:r>
          </w:p>
        </w:tc>
      </w:tr>
    </w:tbl>
    <w:p w14:paraId="3F48119F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2" w:name="_Toc88125777"/>
      <w:r w:rsidRPr="00336696">
        <w:rPr>
          <w:rFonts w:ascii="Times New Roman" w:hAnsi="Times New Roman"/>
          <w:sz w:val="24"/>
          <w:szCs w:val="24"/>
          <w:u w:val="single"/>
        </w:rPr>
        <w:lastRenderedPageBreak/>
        <w:t>3.10. I 06.09 – K-FAKTOR ČISTÉ POZIČNÍ RIZIKO – DOPLŇUJÍCÍ PODROBNOSTI (I 6.9)</w:t>
      </w:r>
      <w:bookmarkEnd w:id="72"/>
    </w:p>
    <w:p w14:paraId="4AD8D608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</w:pPr>
      <w:bookmarkStart w:id="73" w:name="_Toc88125778"/>
      <w:r w:rsidRPr="00336696">
        <w:rPr>
          <w:rFonts w:ascii="Times New Roman" w:hAnsi="Times New Roman"/>
          <w:sz w:val="24"/>
          <w:szCs w:val="24"/>
        </w:rPr>
        <w:t>3.10.1.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7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52F0B43D" w14:textId="77777777">
        <w:tc>
          <w:tcPr>
            <w:tcW w:w="1129" w:type="dxa"/>
            <w:shd w:val="clear" w:color="auto" w:fill="D9D9D9"/>
          </w:tcPr>
          <w:p w14:paraId="7B97BF8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079AA67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3E8BD780" w14:textId="77777777">
        <w:tc>
          <w:tcPr>
            <w:tcW w:w="1129" w:type="dxa"/>
          </w:tcPr>
          <w:p w14:paraId="773F6AE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7C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Standardizovaný přístup celkem</w:t>
            </w:r>
          </w:p>
          <w:p w14:paraId="22ADB7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nařízení (EU) 2019/2033.</w:t>
            </w:r>
          </w:p>
          <w:p w14:paraId="7D764D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Pozice, pro které je kapitálový požadavek stanoven v souladu s kapitolami 2, 3 nebo 4 hlavy IV části třetí nařízení (EU) č. 575/2013</w:t>
            </w:r>
            <w:r w:rsidRPr="00336696">
              <w:rPr>
                <w:rFonts w:ascii="Times New Roman" w:hAnsi="Times New Roman"/>
                <w:bCs/>
              </w:rPr>
              <w:t>.</w:t>
            </w:r>
          </w:p>
        </w:tc>
      </w:tr>
      <w:tr w:rsidR="004D7AAB" w:rsidRPr="00336696" w14:paraId="3D209F6A" w14:textId="77777777">
        <w:tc>
          <w:tcPr>
            <w:tcW w:w="1129" w:type="dxa"/>
          </w:tcPr>
          <w:p w14:paraId="15D7192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CA3D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Poziční riziko</w:t>
            </w:r>
          </w:p>
          <w:p w14:paraId="4C57460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nařízení (EU) 2019/2033.</w:t>
            </w:r>
          </w:p>
          <w:p w14:paraId="4B2748C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Pozice v obchodním portfoliu, pro které je kapitálový požadavek pro poziční riziko stanoven v souladu s kapitolou 2 hlavy IV části třetí nařízení (EU) </w:t>
            </w:r>
            <w:r w:rsidRPr="00336696">
              <w:rPr>
                <w:rFonts w:ascii="Times New Roman" w:hAnsi="Times New Roman"/>
                <w:bCs/>
              </w:rPr>
              <w:t>č. 575/2013.</w:t>
            </w:r>
          </w:p>
        </w:tc>
      </w:tr>
      <w:tr w:rsidR="004D7AAB" w:rsidRPr="00336696" w14:paraId="68763D86" w14:textId="77777777">
        <w:tc>
          <w:tcPr>
            <w:tcW w:w="1129" w:type="dxa"/>
          </w:tcPr>
          <w:p w14:paraId="27906F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66F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Kapitálové nástroje</w:t>
            </w:r>
          </w:p>
          <w:p w14:paraId="494AE65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nařízení (EU) 2019/2033.</w:t>
            </w:r>
          </w:p>
          <w:p w14:paraId="5974949D" w14:textId="77777777" w:rsidR="004D7AAB" w:rsidRPr="00336696" w:rsidRDefault="00336696">
            <w:pPr>
              <w:pStyle w:val="Default"/>
              <w:jc w:val="both"/>
              <w:rPr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Pozice v obchodním portfoliu v kapitálových nástrojích, pro které je kapitálový požadavek stanoven v souladu s oddílem 3 kapitoly 2 hlavy IV části t</w:t>
            </w:r>
            <w:r w:rsidRPr="00336696">
              <w:rPr>
                <w:sz w:val="22"/>
                <w:szCs w:val="22"/>
              </w:rPr>
              <w:t xml:space="preserve">řetí nařízení (EU) č. 575/2013. </w:t>
            </w:r>
          </w:p>
        </w:tc>
      </w:tr>
      <w:tr w:rsidR="004D7AAB" w:rsidRPr="00336696" w14:paraId="517C9499" w14:textId="77777777">
        <w:tc>
          <w:tcPr>
            <w:tcW w:w="1129" w:type="dxa"/>
          </w:tcPr>
          <w:p w14:paraId="1B232C8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EF6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Dluhové nástroje</w:t>
            </w:r>
          </w:p>
          <w:p w14:paraId="4EFE06A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nařízení (EU) 2019/2033.</w:t>
            </w:r>
          </w:p>
          <w:p w14:paraId="025351F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 xml:space="preserve">Pozice v obchodním portfoliu v dluhových nástrojích, pro které je kapitálový požadavek stanoven v souladu s oddílem 2 </w:t>
            </w:r>
            <w:r w:rsidRPr="00336696">
              <w:rPr>
                <w:rFonts w:ascii="Times New Roman" w:hAnsi="Times New Roman"/>
              </w:rPr>
              <w:t>kapitoly 2 hlavy IV části třetí nařízení (EU) č. 575/2013</w:t>
            </w:r>
            <w:r w:rsidRPr="00336696">
              <w:t>.</w:t>
            </w:r>
          </w:p>
        </w:tc>
      </w:tr>
      <w:tr w:rsidR="004D7AAB" w:rsidRPr="00336696" w14:paraId="349A9BFC" w14:textId="77777777">
        <w:tc>
          <w:tcPr>
            <w:tcW w:w="1129" w:type="dxa"/>
          </w:tcPr>
          <w:p w14:paraId="335D94F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A6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sekuritizace</w:t>
            </w:r>
          </w:p>
          <w:p w14:paraId="142AC11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nařízení (EU) 2019/2033.</w:t>
            </w:r>
          </w:p>
          <w:p w14:paraId="473E1AE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 xml:space="preserve">Pozice v sekuritizovaných nástrojích podle článku 337 nařízení (EU) č. 575/2013 a pozice </w:t>
            </w:r>
            <w:r w:rsidRPr="00336696">
              <w:rPr>
                <w:rFonts w:ascii="Times New Roman" w:hAnsi="Times New Roman"/>
              </w:rPr>
              <w:t>v portfoliu obchodování s korelací podle článku 338 nařízení (EU) č. 575/2013.</w:t>
            </w:r>
          </w:p>
        </w:tc>
      </w:tr>
      <w:tr w:rsidR="004D7AAB" w:rsidRPr="00336696" w14:paraId="12391224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A5ECF6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F5B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Zvláštní přístup pro poziční riziko u subjektů kolektivního investování</w:t>
            </w:r>
          </w:p>
          <w:p w14:paraId="474C29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nařízení (EU) 2019/2033.</w:t>
            </w:r>
          </w:p>
          <w:p w14:paraId="4FF0F31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>Celkový objem rizikové expozic</w:t>
            </w:r>
            <w:r w:rsidRPr="00336696">
              <w:rPr>
                <w:rFonts w:ascii="Times New Roman" w:hAnsi="Times New Roman"/>
              </w:rPr>
              <w:t>e u pozic v subjektech kolektivního investování, pokud se kapitálové požadavky vypočtou podle čl. 348 odst. 1 nařízení (EU) č. 575/2013 buďto ihned, nebo v důsledku stropu vymezeného v čl. 350 odst. 3 písm. c) nařízení (EU) č. 575/2013. V nařízení (EU) č. </w:t>
            </w:r>
            <w:r w:rsidRPr="00336696">
              <w:rPr>
                <w:rFonts w:ascii="Times New Roman" w:hAnsi="Times New Roman"/>
              </w:rPr>
              <w:t>575/2013 není výslovně stanoveno zařazení těchto pozic k úrokovému riziku, nebo akciovému riziku.</w:t>
            </w:r>
          </w:p>
          <w:p w14:paraId="69A98C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>Uplatňuje-li se zvláštní přístup podle první věty čl. 348 odst. 1 nařízení (EU) č. 575/2013, vykazuje se částka ve výši 32 % čisté pozice dotčené expozice sub</w:t>
            </w:r>
            <w:r w:rsidRPr="00336696">
              <w:rPr>
                <w:rFonts w:ascii="Times New Roman" w:hAnsi="Times New Roman"/>
              </w:rPr>
              <w:t>jektů kolektivního investování.</w:t>
            </w:r>
          </w:p>
          <w:p w14:paraId="28885BD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 xml:space="preserve">Uplatňuje-li se zvláštní přístup podle druhé věty čl. 348 odst. 1 nařízení (EU) č. 575/2013, vykazuje se nižší z těchto dvou hodnot: 32 % čisté pozice příslušné expozice subjektů kolektivního investování a rozdíl mezi </w:t>
            </w:r>
            <w:r w:rsidRPr="00336696">
              <w:rPr>
                <w:rFonts w:ascii="Times New Roman" w:hAnsi="Times New Roman"/>
              </w:rPr>
              <w:t>40 % této čisté pozice a kapitálovými požadavky vyplývajícími z měnového rizika, které souvisí s expozicí subjektů kolektivního investování.</w:t>
            </w:r>
          </w:p>
        </w:tc>
      </w:tr>
      <w:tr w:rsidR="004D7AAB" w:rsidRPr="00336696" w14:paraId="27DB8FE0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3279B54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92E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Měnové riziko</w:t>
            </w:r>
          </w:p>
          <w:p w14:paraId="030D6D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a 4 nařízení (EU) 2019/2033.</w:t>
            </w:r>
          </w:p>
          <w:p w14:paraId="351CAB1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Pozice vystavené měnov</w:t>
            </w:r>
            <w:r w:rsidRPr="00336696">
              <w:rPr>
                <w:rFonts w:ascii="Times New Roman" w:hAnsi="Times New Roman"/>
              </w:rPr>
              <w:t>ému riziku, pro které je kapitálový požadavek stanoven v souladu s kapitolou 3 hlavy IV části třetí nařízení (EU) č. 575/2013.</w:t>
            </w:r>
          </w:p>
        </w:tc>
      </w:tr>
      <w:tr w:rsidR="004D7AAB" w:rsidRPr="00336696" w14:paraId="02274274" w14:textId="77777777">
        <w:tc>
          <w:tcPr>
            <w:tcW w:w="1129" w:type="dxa"/>
            <w:tcBorders>
              <w:top w:val="single" w:sz="4" w:space="0" w:color="auto"/>
            </w:tcBorders>
          </w:tcPr>
          <w:p w14:paraId="2D2B5B5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FA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Komoditní riziko</w:t>
            </w:r>
          </w:p>
          <w:p w14:paraId="5105693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22 písm. a) a čl. 21 odst. 3 a 4 nařízení (EU) 2019/2033.</w:t>
            </w:r>
          </w:p>
          <w:p w14:paraId="57A2230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Pozice vystavené komoditnímu rizi</w:t>
            </w:r>
            <w:r w:rsidRPr="00336696">
              <w:rPr>
                <w:rFonts w:ascii="Times New Roman" w:hAnsi="Times New Roman"/>
              </w:rPr>
              <w:t>ku, pro které je kapitálový požadavek stanoven v souladu s kapitolou 4 hlavy IV části třetí nařízení (EU) č. 575/2013.</w:t>
            </w:r>
          </w:p>
        </w:tc>
      </w:tr>
      <w:tr w:rsidR="004D7AAB" w:rsidRPr="00336696" w14:paraId="57BE600D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0D5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B5F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Metoda interních modelů</w:t>
            </w:r>
          </w:p>
          <w:p w14:paraId="3D5F243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36696">
              <w:rPr>
                <w:rFonts w:ascii="Times New Roman" w:hAnsi="Times New Roman"/>
              </w:rPr>
              <w:t>Ustanovení čl. 57 odst. 2 a čl. 21 odst. 3 a 4 nařízení (EU) 2019/2033.</w:t>
            </w:r>
          </w:p>
          <w:p w14:paraId="05FD0BE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6696">
              <w:rPr>
                <w:rFonts w:ascii="Times New Roman" w:hAnsi="Times New Roman"/>
              </w:rPr>
              <w:t xml:space="preserve">Pozice v obchodním </w:t>
            </w:r>
            <w:r w:rsidRPr="00336696">
              <w:rPr>
                <w:rFonts w:ascii="Times New Roman" w:hAnsi="Times New Roman"/>
              </w:rPr>
              <w:t>portfoliu a pozice v investičním portfoliu vystavené měnovému riziku nebo komoditnímu riziku, pro které je kapitálový požadavek stanoven v souladu s kapitolou 5 hlavy IV části třetí nařízení (EU) č. 575/2013.</w:t>
            </w:r>
          </w:p>
        </w:tc>
      </w:tr>
    </w:tbl>
    <w:p w14:paraId="3D77C956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4" w:name="_Toc88125779"/>
      <w:r w:rsidRPr="00336696">
        <w:rPr>
          <w:rFonts w:ascii="Times New Roman" w:hAnsi="Times New Roman"/>
          <w:sz w:val="24"/>
          <w:szCs w:val="24"/>
          <w:u w:val="single"/>
        </w:rPr>
        <w:t xml:space="preserve">3.11. I 06.10 – MARŽE POŽADOVANÁ PRO </w:t>
      </w:r>
      <w:r w:rsidRPr="00336696">
        <w:rPr>
          <w:rFonts w:ascii="Times New Roman" w:hAnsi="Times New Roman"/>
          <w:sz w:val="24"/>
          <w:szCs w:val="24"/>
          <w:u w:val="single"/>
        </w:rPr>
        <w:t>ÚČELY CLEARINGU – DOPLŇUJÍCÍ PODROBNOSTI (I 6.10)</w:t>
      </w:r>
      <w:bookmarkEnd w:id="74"/>
    </w:p>
    <w:p w14:paraId="3773B053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15.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V</w:t>
      </w:r>
      <w:r w:rsidRPr="00336696">
        <w:rPr>
          <w:rFonts w:ascii="Times New Roman" w:hAnsi="Times New Roman" w:cs="Times New Roman"/>
          <w:sz w:val="24"/>
        </w:rPr>
        <w:t> </w:t>
      </w:r>
      <w:r w:rsidRPr="00336696">
        <w:rPr>
          <w:rFonts w:ascii="Times New Roman" w:hAnsi="Times New Roman"/>
          <w:sz w:val="24"/>
        </w:rPr>
        <w:t xml:space="preserve">této šabloně vykazují podniky obchodující na vlastní účet všechny členy clearingového systému způsobilých ústředních protistran, na jejichž odpovědnost probíhá provádění a vypořádání obchodů </w:t>
      </w:r>
      <w:r w:rsidRPr="00336696">
        <w:rPr>
          <w:rFonts w:ascii="Times New Roman" w:hAnsi="Times New Roman"/>
          <w:sz w:val="24"/>
        </w:rPr>
        <w:t>podniku.</w:t>
      </w:r>
    </w:p>
    <w:p w14:paraId="6C402FF3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75" w:name="_Toc88125780"/>
      <w:r w:rsidRPr="00336696">
        <w:rPr>
          <w:rFonts w:ascii="Times New Roman" w:hAnsi="Times New Roman"/>
          <w:sz w:val="24"/>
          <w:szCs w:val="24"/>
        </w:rPr>
        <w:t xml:space="preserve">3.11.1. </w:t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7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B24D278" w14:textId="77777777">
        <w:tc>
          <w:tcPr>
            <w:tcW w:w="1129" w:type="dxa"/>
            <w:shd w:val="clear" w:color="auto" w:fill="D9D9D9"/>
          </w:tcPr>
          <w:p w14:paraId="757C68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Sloupec</w:t>
            </w:r>
          </w:p>
        </w:tc>
        <w:tc>
          <w:tcPr>
            <w:tcW w:w="7620" w:type="dxa"/>
            <w:shd w:val="clear" w:color="auto" w:fill="D9D9D9"/>
          </w:tcPr>
          <w:p w14:paraId="40B92DF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C9CCDA2" w14:textId="77777777">
        <w:tc>
          <w:tcPr>
            <w:tcW w:w="1129" w:type="dxa"/>
          </w:tcPr>
          <w:p w14:paraId="6EAAFD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B91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Člen clearingového systému</w:t>
            </w:r>
          </w:p>
        </w:tc>
      </w:tr>
      <w:tr w:rsidR="004D7AAB" w:rsidRPr="00336696" w14:paraId="07A9FB5C" w14:textId="77777777">
        <w:tc>
          <w:tcPr>
            <w:tcW w:w="1129" w:type="dxa"/>
          </w:tcPr>
          <w:p w14:paraId="768984C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F10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Název/jméno</w:t>
            </w:r>
          </w:p>
          <w:p w14:paraId="6FA77E6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vykazují názvy/jména všech členů clearingového systému způsobilých ústředních </w:t>
            </w:r>
            <w:r w:rsidRPr="00336696">
              <w:rPr>
                <w:rFonts w:ascii="Times New Roman" w:hAnsi="Times New Roman"/>
                <w:bCs/>
              </w:rPr>
              <w:t>protistran, na jejichž odpovědnost probíhá provádění a vypořádání obchodů podniku obchodujícího na vlastní účet.</w:t>
            </w:r>
          </w:p>
        </w:tc>
      </w:tr>
      <w:tr w:rsidR="004D7AAB" w:rsidRPr="00336696" w14:paraId="3C10D5B1" w14:textId="77777777">
        <w:tc>
          <w:tcPr>
            <w:tcW w:w="1129" w:type="dxa"/>
          </w:tcPr>
          <w:p w14:paraId="1F1CB14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A5E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Kód</w:t>
            </w:r>
          </w:p>
          <w:p w14:paraId="30A81A97" w14:textId="77777777" w:rsidR="004D7AAB" w:rsidRPr="00336696" w:rsidRDefault="00336696">
            <w:pPr>
              <w:spacing w:after="120" w:line="240" w:lineRule="auto"/>
              <w:jc w:val="both"/>
              <w:rPr>
                <w:rFonts w:eastAsia="Times New Roman"/>
              </w:rPr>
            </w:pPr>
            <w:r w:rsidRPr="00336696">
              <w:rPr>
                <w:rFonts w:ascii="Times New Roman" w:hAnsi="Times New Roman"/>
              </w:rPr>
              <w:t xml:space="preserve">Kód jakožto součást identifikátoru řádku musí být jedinečný pro každý vykazovaný subjekt. U investičních podniků se jako kód použije </w:t>
            </w:r>
            <w:r w:rsidRPr="00336696">
              <w:rPr>
                <w:rFonts w:ascii="Times New Roman" w:hAnsi="Times New Roman"/>
              </w:rPr>
              <w:t>identifikační kód právnické osoby (kód LEI). U jiných subjektů se použije kód LEI nebo případně vnitrostátní kód, není-li kód LEI k dispozici. Kód je jedinečný a používá se trvale a ve všech šablonách jednotně. V poli pro kód musí být vždy uvedena nějaká h</w:t>
            </w:r>
            <w:r w:rsidRPr="00336696">
              <w:rPr>
                <w:rFonts w:ascii="Times New Roman" w:hAnsi="Times New Roman"/>
              </w:rPr>
              <w:t>odnota.</w:t>
            </w:r>
          </w:p>
        </w:tc>
      </w:tr>
      <w:tr w:rsidR="004D7AAB" w:rsidRPr="00336696" w14:paraId="25C4A37B" w14:textId="77777777">
        <w:tc>
          <w:tcPr>
            <w:tcW w:w="1129" w:type="dxa"/>
          </w:tcPr>
          <w:p w14:paraId="6CE2C2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AD2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Typ kódu</w:t>
            </w:r>
          </w:p>
          <w:p w14:paraId="359EBCF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 xml:space="preserve">Typ kódu vykázaný ve sloupci 0020 se uvede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jako „typ kódu LEI“ nebo „typ vnitrostátního kódu“.</w:t>
            </w:r>
          </w:p>
        </w:tc>
      </w:tr>
      <w:tr w:rsidR="004D7AAB" w:rsidRPr="00336696" w14:paraId="6B7CF2CE" w14:textId="77777777">
        <w:tc>
          <w:tcPr>
            <w:tcW w:w="1129" w:type="dxa"/>
          </w:tcPr>
          <w:p w14:paraId="03C065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0040–0060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F69F" w14:textId="77777777" w:rsidR="004D7AAB" w:rsidRPr="00336696" w:rsidRDefault="0033669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Příspěvek k celkové marži požadované na denní bázi</w:t>
            </w:r>
          </w:p>
          <w:p w14:paraId="64D3D55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vykazují informace za tři dny během </w:t>
            </w:r>
            <w:r w:rsidRPr="00336696">
              <w:rPr>
                <w:rFonts w:ascii="Times New Roman" w:hAnsi="Times New Roman"/>
                <w:bCs/>
              </w:rPr>
              <w:t>předcházejících tří měsíců, kdy byla vypočtena nejvyšší, druhá nejvyšší a třetí nejvyšší výše celkové marže požadované na denní bázi podle čl. 23 odst. 2 nařízení (EU) 2019/2033.</w:t>
            </w:r>
          </w:p>
          <w:p w14:paraId="2DACC24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 xml:space="preserve">Investiční podnik v šabloně uvede všechny členy clearingového systému, kteří </w:t>
            </w:r>
            <w:r w:rsidRPr="00336696">
              <w:rPr>
                <w:rFonts w:ascii="Times New Roman" w:hAnsi="Times New Roman"/>
                <w:bCs/>
              </w:rPr>
              <w:t>byli alespoň v jeden z těchto dnů použiti.</w:t>
            </w:r>
          </w:p>
          <w:p w14:paraId="57A4E1F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Příspěvek k celkové marži požadované na denní bázi se vykazuje jako částka před vynásobením koeficientem 1,3 podle čl. 23 odst. 2 nařízení (EU) 2019/2033. </w:t>
            </w:r>
          </w:p>
        </w:tc>
      </w:tr>
      <w:tr w:rsidR="004D7AAB" w:rsidRPr="00336696" w14:paraId="764ABA53" w14:textId="77777777">
        <w:tc>
          <w:tcPr>
            <w:tcW w:w="1129" w:type="dxa"/>
          </w:tcPr>
          <w:p w14:paraId="337BA6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926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Příspěvek k celkové marži požadované na denní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bázi – v den nejvyšší výše celkové požadované marže</w:t>
            </w:r>
          </w:p>
        </w:tc>
      </w:tr>
      <w:tr w:rsidR="004D7AAB" w:rsidRPr="00336696" w14:paraId="6AAEDDE9" w14:textId="77777777">
        <w:tc>
          <w:tcPr>
            <w:tcW w:w="1129" w:type="dxa"/>
          </w:tcPr>
          <w:p w14:paraId="2BDB04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6AE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Příspěvek k celkové marži požadované na denní bázi – v den druhé nejvyšší výše celkové požadované marže</w:t>
            </w:r>
          </w:p>
        </w:tc>
      </w:tr>
      <w:tr w:rsidR="004D7AAB" w:rsidRPr="00336696" w14:paraId="044EA5D1" w14:textId="77777777">
        <w:tc>
          <w:tcPr>
            <w:tcW w:w="1129" w:type="dxa"/>
          </w:tcPr>
          <w:p w14:paraId="51842F5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654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Příspěvek k celkové marži požadované na denní bázi – v den třetí nejvyšší výše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celkové požadované marže</w:t>
            </w:r>
          </w:p>
        </w:tc>
      </w:tr>
    </w:tbl>
    <w:p w14:paraId="583BFAAC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6" w:name="_Toc88125781"/>
      <w:r w:rsidRPr="00336696">
        <w:rPr>
          <w:rFonts w:ascii="Times New Roman" w:hAnsi="Times New Roman"/>
          <w:sz w:val="24"/>
          <w:szCs w:val="24"/>
          <w:u w:val="single"/>
        </w:rPr>
        <w:t>3.12. I 06.11 – SELHÁNÍ PROTISTRANY OBCHODU – DOPLŇUJÍCÍ PODROBNOSTI (I 6.11)</w:t>
      </w:r>
      <w:bookmarkEnd w:id="76"/>
    </w:p>
    <w:p w14:paraId="100C77B9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7" w:name="_Toc88125782"/>
      <w:r w:rsidRPr="00336696">
        <w:rPr>
          <w:rFonts w:ascii="Times New Roman" w:hAnsi="Times New Roman"/>
          <w:sz w:val="24"/>
          <w:szCs w:val="24"/>
        </w:rPr>
        <w:t>3.12.1.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7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6B9BDDD1" w14:textId="77777777">
        <w:tc>
          <w:tcPr>
            <w:tcW w:w="1129" w:type="dxa"/>
            <w:shd w:val="clear" w:color="auto" w:fill="D9D9D9"/>
          </w:tcPr>
          <w:p w14:paraId="4959A28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0EBC5F2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0E58D59" w14:textId="77777777">
        <w:tc>
          <w:tcPr>
            <w:tcW w:w="1129" w:type="dxa"/>
          </w:tcPr>
          <w:p w14:paraId="55999C0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913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Členění podle metody pro určení hodnoty expozice</w:t>
            </w:r>
          </w:p>
        </w:tc>
      </w:tr>
      <w:tr w:rsidR="004D7AAB" w:rsidRPr="00336696" w14:paraId="279A4124" w14:textId="77777777">
        <w:tc>
          <w:tcPr>
            <w:tcW w:w="1129" w:type="dxa"/>
          </w:tcPr>
          <w:p w14:paraId="016C37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AFC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Použití nařízení (EU) 2019/2033: K-TCD</w:t>
            </w:r>
          </w:p>
          <w:p w14:paraId="290FED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26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  <w:p w14:paraId="6328999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Expozice, pro které se kapitálový požadavek vypočítá jako K-TCD v souladu s článkem 26 nařízení (EU) 2019/2033.</w:t>
            </w:r>
          </w:p>
        </w:tc>
      </w:tr>
      <w:tr w:rsidR="004D7AAB" w:rsidRPr="00336696" w14:paraId="27A63137" w14:textId="77777777">
        <w:tc>
          <w:tcPr>
            <w:tcW w:w="1129" w:type="dxa"/>
          </w:tcPr>
          <w:p w14:paraId="63C1D21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08F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Alternativní přístupy: Hodnota expozice určená podle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nařízení (EU) č. 575/2013</w:t>
            </w:r>
          </w:p>
          <w:p w14:paraId="05B387B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25 odst. 4 prvního pododstavce nařízení (EU) 2019/2033.</w:t>
            </w:r>
          </w:p>
          <w:p w14:paraId="536A14A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Expozice, pro které je hodnota expozice určena podle nařízení (EU) č. 575/2013 a jejichž související kapitálové požadavky se vypočítají vynásobením hodnoty exp</w:t>
            </w:r>
            <w:r w:rsidRPr="00336696">
              <w:rPr>
                <w:rFonts w:ascii="Times New Roman" w:hAnsi="Times New Roman"/>
                <w:bCs/>
              </w:rPr>
              <w:t>ozice rizikovým faktorem uvedeným v tabulce 2 v článku 26 nařízení (EU) 2019/2033.</w:t>
            </w:r>
          </w:p>
        </w:tc>
      </w:tr>
      <w:tr w:rsidR="004D7AAB" w:rsidRPr="00336696" w14:paraId="2EADC3C7" w14:textId="77777777">
        <w:tc>
          <w:tcPr>
            <w:tcW w:w="1129" w:type="dxa"/>
          </w:tcPr>
          <w:p w14:paraId="2DBAE4D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1D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SA-CCR</w:t>
            </w:r>
          </w:p>
          <w:p w14:paraId="0B2F3FC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274</w:t>
            </w:r>
            <w:r w:rsidRPr="00336696">
              <w:rPr>
                <w:rFonts w:ascii="Times New Roman" w:hAnsi="Times New Roman"/>
                <w:bCs/>
              </w:rPr>
              <w:t xml:space="preserve"> nařízení (EU) č. 575/2013.</w:t>
            </w:r>
          </w:p>
        </w:tc>
      </w:tr>
      <w:tr w:rsidR="004D7AAB" w:rsidRPr="00336696" w14:paraId="58829800" w14:textId="77777777">
        <w:tc>
          <w:tcPr>
            <w:tcW w:w="1129" w:type="dxa"/>
          </w:tcPr>
          <w:p w14:paraId="5B3C7C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6D4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Zjednodušený přístup SA-CCR</w:t>
            </w:r>
          </w:p>
          <w:p w14:paraId="396450F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281</w:t>
            </w:r>
            <w:r w:rsidRPr="00336696">
              <w:rPr>
                <w:rFonts w:ascii="Times New Roman" w:hAnsi="Times New Roman"/>
                <w:bCs/>
              </w:rPr>
              <w:t xml:space="preserve"> nařízení (EU) č. 575/2013.</w:t>
            </w:r>
          </w:p>
        </w:tc>
      </w:tr>
      <w:tr w:rsidR="004D7AAB" w:rsidRPr="00336696" w14:paraId="2A8D4180" w14:textId="77777777">
        <w:tc>
          <w:tcPr>
            <w:tcW w:w="1129" w:type="dxa"/>
          </w:tcPr>
          <w:p w14:paraId="250E1F6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7F5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Metoda původní expozice</w:t>
            </w:r>
          </w:p>
          <w:p w14:paraId="4B3E27E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i/>
              </w:rPr>
              <w:t>Článek 282</w:t>
            </w:r>
            <w:r w:rsidRPr="00336696">
              <w:rPr>
                <w:rFonts w:ascii="Times New Roman" w:hAnsi="Times New Roman"/>
              </w:rPr>
              <w:t xml:space="preserve"> nařízení (EU) č. 575/2013.</w:t>
            </w:r>
          </w:p>
        </w:tc>
      </w:tr>
      <w:tr w:rsidR="004D7AAB" w:rsidRPr="00336696" w14:paraId="115EDE0D" w14:textId="77777777">
        <w:tc>
          <w:tcPr>
            <w:tcW w:w="1129" w:type="dxa"/>
          </w:tcPr>
          <w:p w14:paraId="0816A60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AB1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Alternativní přístupy: Použití rámce nařízení (EU) č. 575/2013 v plném rozsahu</w:t>
            </w:r>
          </w:p>
          <w:p w14:paraId="571052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25 odst. 4 druhého pododstavce nařízení (EU) 2019/2033.</w:t>
            </w:r>
          </w:p>
          <w:p w14:paraId="282E402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Expozice, pro které jsou hodnota expozice a kapitálové požadavky určeny </w:t>
            </w:r>
            <w:r w:rsidRPr="00336696">
              <w:rPr>
                <w:rFonts w:ascii="Times New Roman" w:hAnsi="Times New Roman"/>
                <w:bCs/>
              </w:rPr>
              <w:t xml:space="preserve">v souladu s nařízením (EU) č. 575/2013. </w:t>
            </w:r>
          </w:p>
        </w:tc>
      </w:tr>
      <w:tr w:rsidR="004D7AAB" w:rsidRPr="00336696" w14:paraId="70ED720E" w14:textId="77777777">
        <w:tc>
          <w:tcPr>
            <w:tcW w:w="1129" w:type="dxa"/>
          </w:tcPr>
          <w:p w14:paraId="7F7944B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9F2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Doplňková položka: Složka úvěrové úpravy v ocenění</w:t>
            </w:r>
          </w:p>
          <w:p w14:paraId="3EDEAB0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25 odst. 5 a článku 26 nařízení (EU) 2019/2033.</w:t>
            </w:r>
          </w:p>
          <w:p w14:paraId="7F52FC0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Pokud instituce uplatňují přístup podle článku 26 nařízení (EU) 2019/2033 nebo </w:t>
            </w:r>
            <w:r w:rsidRPr="00336696">
              <w:rPr>
                <w:rFonts w:ascii="Times New Roman" w:hAnsi="Times New Roman"/>
                <w:bCs/>
              </w:rPr>
              <w:t xml:space="preserve">uplatňují výjimku z čl. 26 odst. 5 prvního pododstavce nařízení (EU) 2019/2033, určí </w:t>
            </w:r>
            <w:r w:rsidRPr="00336696">
              <w:rPr>
                <w:rFonts w:ascii="Times New Roman" w:hAnsi="Times New Roman"/>
                <w:bCs/>
              </w:rPr>
              <w:lastRenderedPageBreak/>
              <w:t>se složka CVA jako rozdíl mezi příslušnou částkou po uplatnění CVA faktoru a příslušnou částkou před uplatněním CVA faktoru.</w:t>
            </w:r>
          </w:p>
          <w:p w14:paraId="2D9CBC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Pokud instituce uplatňují výjimku z čl. 25 ods</w:t>
            </w:r>
            <w:r w:rsidRPr="00336696">
              <w:rPr>
                <w:rFonts w:ascii="Times New Roman" w:hAnsi="Times New Roman"/>
                <w:bCs/>
              </w:rPr>
              <w:t>t. 5 druhého pododstavce nařízení (EU) 2019/2033, určí se složka CVA v souladu s hlavou VI části třetí nařízení (EU) č. 575/2013.</w:t>
            </w:r>
          </w:p>
        </w:tc>
      </w:tr>
      <w:tr w:rsidR="004D7AAB" w:rsidRPr="00336696" w14:paraId="53EC2340" w14:textId="77777777">
        <w:tc>
          <w:tcPr>
            <w:tcW w:w="1129" w:type="dxa"/>
          </w:tcPr>
          <w:p w14:paraId="603D686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8DF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 toho: vypočteno v souladu s rámcem nařízení (EU) č. 575/2013</w:t>
            </w:r>
          </w:p>
          <w:p w14:paraId="1185C53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25 odst. 5 druhého pododstavce nařízení (E</w:t>
            </w:r>
            <w:r w:rsidRPr="00336696">
              <w:rPr>
                <w:rFonts w:ascii="Times New Roman" w:hAnsi="Times New Roman"/>
                <w:bCs/>
              </w:rPr>
              <w:t>U) 2019/2033.</w:t>
            </w:r>
          </w:p>
        </w:tc>
      </w:tr>
      <w:tr w:rsidR="004D7AAB" w:rsidRPr="00336696" w14:paraId="76844914" w14:textId="77777777">
        <w:tc>
          <w:tcPr>
            <w:tcW w:w="1129" w:type="dxa"/>
          </w:tcPr>
          <w:p w14:paraId="25113EA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0090–0110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051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Členění podle druhu protistrany</w:t>
            </w:r>
          </w:p>
          <w:p w14:paraId="1FD9830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Členění protistran vychází z druhů protistran uvedených v tabulce 2 v článku 26 nařízení (EU) 2019/2033.</w:t>
            </w:r>
          </w:p>
        </w:tc>
      </w:tr>
      <w:tr w:rsidR="004D7AAB" w:rsidRPr="00336696" w14:paraId="1A6B90FC" w14:textId="77777777">
        <w:tc>
          <w:tcPr>
            <w:tcW w:w="1129" w:type="dxa"/>
          </w:tcPr>
          <w:p w14:paraId="4BF4848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A12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Ústřední vlády, centrální banky a subjekty veřejného sektoru</w:t>
            </w:r>
          </w:p>
        </w:tc>
      </w:tr>
      <w:tr w:rsidR="004D7AAB" w:rsidRPr="00336696" w14:paraId="6685CEC9" w14:textId="77777777">
        <w:tc>
          <w:tcPr>
            <w:tcW w:w="1129" w:type="dxa"/>
          </w:tcPr>
          <w:p w14:paraId="2BA5E24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53C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Úvěrové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instituce a investiční podniky</w:t>
            </w:r>
          </w:p>
        </w:tc>
      </w:tr>
      <w:tr w:rsidR="004D7AAB" w:rsidRPr="00336696" w14:paraId="4178BF81" w14:textId="77777777">
        <w:tc>
          <w:tcPr>
            <w:tcW w:w="1129" w:type="dxa"/>
          </w:tcPr>
          <w:p w14:paraId="365AD8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6E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Ostatní protistrany</w:t>
            </w:r>
          </w:p>
        </w:tc>
      </w:tr>
    </w:tbl>
    <w:p w14:paraId="5057900E" w14:textId="77777777" w:rsidR="004D7AAB" w:rsidRPr="00336696" w:rsidRDefault="004D7AAB">
      <w:pPr>
        <w:rPr>
          <w:rFonts w:ascii="Times New Roman" w:eastAsia="Arial" w:hAnsi="Times New Roman" w:cs="Times New Roman"/>
          <w:sz w:val="24"/>
          <w:szCs w:val="24"/>
          <w:u w:val="single"/>
          <w:lang w:val="en-IE"/>
        </w:rPr>
      </w:pPr>
    </w:p>
    <w:tbl>
      <w:tblPr>
        <w:tblW w:w="8840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0"/>
        <w:gridCol w:w="7700"/>
      </w:tblGrid>
      <w:tr w:rsidR="004D7AAB" w:rsidRPr="00336696" w14:paraId="1084CFA8" w14:textId="77777777">
        <w:trPr>
          <w:trHeight w:val="382"/>
        </w:trPr>
        <w:tc>
          <w:tcPr>
            <w:tcW w:w="1140" w:type="dxa"/>
            <w:shd w:val="clear" w:color="auto" w:fill="D9D9D9"/>
          </w:tcPr>
          <w:p w14:paraId="4A3E3A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Sloupec</w:t>
            </w:r>
          </w:p>
        </w:tc>
        <w:tc>
          <w:tcPr>
            <w:tcW w:w="7700" w:type="dxa"/>
            <w:shd w:val="clear" w:color="auto" w:fill="D9D9D9"/>
          </w:tcPr>
          <w:p w14:paraId="5066BD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31BCD0DD" w14:textId="77777777">
        <w:trPr>
          <w:trHeight w:val="1019"/>
        </w:trPr>
        <w:tc>
          <w:tcPr>
            <w:tcW w:w="1140" w:type="dxa"/>
          </w:tcPr>
          <w:p w14:paraId="521F2C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48B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Požadavek dle K-faktorů</w:t>
            </w:r>
          </w:p>
          <w:p w14:paraId="397DFF6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Kapitálový požadavek se vykáže podle výpočtu v souladu s článkem 26 nařízení (EU) 2019/2033 nebo příslušnými </w:t>
            </w:r>
            <w:r w:rsidRPr="00336696">
              <w:rPr>
                <w:rFonts w:ascii="Times New Roman" w:hAnsi="Times New Roman"/>
                <w:bCs/>
              </w:rPr>
              <w:t>ustanoveními nařízení (EU) č. 575/2013.</w:t>
            </w:r>
          </w:p>
        </w:tc>
      </w:tr>
      <w:tr w:rsidR="004D7AAB" w:rsidRPr="00336696" w14:paraId="2EF58176" w14:textId="77777777">
        <w:trPr>
          <w:trHeight w:val="764"/>
        </w:trPr>
        <w:tc>
          <w:tcPr>
            <w:tcW w:w="1140" w:type="dxa"/>
          </w:tcPr>
          <w:p w14:paraId="33A5871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C71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Hodnota expozice</w:t>
            </w:r>
          </w:p>
          <w:p w14:paraId="405243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Hodnota expozice vypočtená v souladu s článkem 27 nařízení (EU) 2019/2033 nebo příslušnými ustanoveními nařízení (EU) č. 575/2013.</w:t>
            </w:r>
          </w:p>
        </w:tc>
      </w:tr>
      <w:tr w:rsidR="004D7AAB" w:rsidRPr="00336696" w14:paraId="474B9A7A" w14:textId="77777777">
        <w:trPr>
          <w:trHeight w:val="764"/>
        </w:trPr>
        <w:tc>
          <w:tcPr>
            <w:tcW w:w="1140" w:type="dxa"/>
          </w:tcPr>
          <w:p w14:paraId="1B7469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3BD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Reprodukční náklady (RC)</w:t>
            </w:r>
          </w:p>
          <w:p w14:paraId="3661216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28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517ED355" w14:textId="77777777">
        <w:trPr>
          <w:trHeight w:val="764"/>
        </w:trPr>
        <w:tc>
          <w:tcPr>
            <w:tcW w:w="1140" w:type="dxa"/>
          </w:tcPr>
          <w:p w14:paraId="3A72124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5DC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Potenciální budoucí expozice (PFE)</w:t>
            </w:r>
          </w:p>
          <w:p w14:paraId="04FF4EC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29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08FA9944" w14:textId="77777777">
        <w:trPr>
          <w:trHeight w:val="810"/>
        </w:trPr>
        <w:tc>
          <w:tcPr>
            <w:tcW w:w="1140" w:type="dxa"/>
          </w:tcPr>
          <w:p w14:paraId="097E3AF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32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Kolaterál</w:t>
            </w:r>
          </w:p>
          <w:p w14:paraId="319E8C6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30 odst. 2 a 3 nařízení (EU) 2019/2033.</w:t>
            </w:r>
          </w:p>
          <w:p w14:paraId="2A7C98B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Vykáže se hodnota představující hodnotu kolaterálu použitá pro výpočet hodnoty expo</w:t>
            </w:r>
            <w:r w:rsidRPr="00336696">
              <w:rPr>
                <w:rFonts w:ascii="Times New Roman" w:hAnsi="Times New Roman"/>
                <w:bCs/>
              </w:rPr>
              <w:t>zice, a tedy případně hodnota po uplatnění koeficientu volatility a koeficientu volatility pro nesoulad měn podle čl. 30 odst. 1 a 3 nařízení (EU) 2019/2033.</w:t>
            </w:r>
          </w:p>
        </w:tc>
      </w:tr>
    </w:tbl>
    <w:p w14:paraId="10D68CD0" w14:textId="77777777" w:rsidR="004D7AAB" w:rsidRPr="00336696" w:rsidRDefault="004D7AAB">
      <w:pPr>
        <w:rPr>
          <w:sz w:val="10"/>
          <w:szCs w:val="10"/>
          <w:lang w:val="en-IE"/>
        </w:rPr>
      </w:pPr>
    </w:p>
    <w:p w14:paraId="11E4C981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8" w:name="_Toc88125783"/>
      <w:r w:rsidRPr="00336696">
        <w:rPr>
          <w:rFonts w:ascii="Times New Roman" w:hAnsi="Times New Roman"/>
          <w:sz w:val="24"/>
          <w:szCs w:val="24"/>
          <w:u w:val="single"/>
        </w:rPr>
        <w:t>3.13. I 06.12 – DENNÍ OBJEM OBCHODOVÁNÍ – DOPLŇUJÍCÍ PODROBNOSTI (I 6.12)</w:t>
      </w:r>
      <w:bookmarkEnd w:id="78"/>
    </w:p>
    <w:p w14:paraId="11130759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79" w:name="_Toc88125784"/>
      <w:r w:rsidRPr="00336696">
        <w:rPr>
          <w:rFonts w:ascii="Times New Roman" w:hAnsi="Times New Roman"/>
          <w:sz w:val="24"/>
          <w:szCs w:val="24"/>
        </w:rPr>
        <w:t>3.13.1.</w:t>
      </w:r>
      <w:r w:rsidRPr="00336696">
        <w:rPr>
          <w:rFonts w:ascii="Times New Roman" w:hAnsi="Times New Roman"/>
          <w:sz w:val="24"/>
          <w:szCs w:val="24"/>
        </w:rPr>
        <w:tab/>
        <w:t xml:space="preserve">Pokyny pro </w:t>
      </w:r>
      <w:r w:rsidRPr="00336696">
        <w:rPr>
          <w:rFonts w:ascii="Times New Roman" w:hAnsi="Times New Roman"/>
          <w:sz w:val="24"/>
          <w:szCs w:val="24"/>
        </w:rPr>
        <w:t>konkrétní pozice</w:t>
      </w:r>
      <w:bookmarkEnd w:id="7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8D46615" w14:textId="77777777">
        <w:tc>
          <w:tcPr>
            <w:tcW w:w="1129" w:type="dxa"/>
            <w:shd w:val="clear" w:color="auto" w:fill="D9D9D9"/>
          </w:tcPr>
          <w:p w14:paraId="220D9EA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7F8B29E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4D7EC050" w14:textId="77777777">
        <w:tc>
          <w:tcPr>
            <w:tcW w:w="1129" w:type="dxa"/>
          </w:tcPr>
          <w:p w14:paraId="275CE63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4A0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Celkový denní objem obchodování – hotovostní obchody (průměrné částky)</w:t>
            </w:r>
          </w:p>
          <w:p w14:paraId="1D3CF96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vykazují aritmetický průměr výše DTF – hotovostních obchodů za zbývajících šest měsíců podle </w:t>
            </w:r>
            <w:r w:rsidRPr="00336696">
              <w:rPr>
                <w:rFonts w:ascii="Times New Roman" w:hAnsi="Times New Roman"/>
                <w:bCs/>
              </w:rPr>
              <w:t>čl. 33 odst. 1 prvního pododstavce nařízení (EU) 2019/2033, která se měří podle čl. 33 odst. 2 písm. a) nařízení (EU) 2019/2033.</w:t>
            </w:r>
          </w:p>
          <w:p w14:paraId="473814B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Částka vykázaná v této buňce zohlední čl. 33 odst. 3 nařízení (EU) 2019/2033.</w:t>
            </w:r>
          </w:p>
        </w:tc>
      </w:tr>
      <w:tr w:rsidR="004D7AAB" w:rsidRPr="00336696" w14:paraId="5FBC89D6" w14:textId="77777777">
        <w:tc>
          <w:tcPr>
            <w:tcW w:w="1129" w:type="dxa"/>
          </w:tcPr>
          <w:p w14:paraId="12A49A2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880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Celkový denní objem obchodování – obchody s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 deriváty (průměrné částky)</w:t>
            </w:r>
          </w:p>
          <w:p w14:paraId="1BA45C8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33 odst. 2 písm. b) nařízení (EU) 2019/2033.</w:t>
            </w:r>
          </w:p>
          <w:p w14:paraId="0B7F1ED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vykazují aritmetický průměr výše DTF – obchodů s deriváty za zbývajících šest měsíců podle čl. 33 odst. 1 prvního pododstavce nařízení (EU) </w:t>
            </w:r>
            <w:r w:rsidRPr="00336696">
              <w:rPr>
                <w:rFonts w:ascii="Times New Roman" w:hAnsi="Times New Roman"/>
                <w:bCs/>
              </w:rPr>
              <w:t>2019/2033, která se měří podle čl. 33 odst. 2 písm. b) nařízení (EU) 2019/2033.</w:t>
            </w:r>
          </w:p>
          <w:p w14:paraId="26CE9F2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Částka vykázaná v této buňce zohlední čl. 33 odst. 3 nařízení (EU) 2019/2033.</w:t>
            </w:r>
          </w:p>
        </w:tc>
      </w:tr>
    </w:tbl>
    <w:p w14:paraId="5F00BB72" w14:textId="77777777" w:rsidR="004D7AAB" w:rsidRPr="00336696" w:rsidRDefault="004D7AAB">
      <w:pPr>
        <w:rPr>
          <w:rFonts w:ascii="Times New Roman" w:eastAsia="Arial" w:hAnsi="Times New Roman" w:cs="Times New Roman"/>
          <w:sz w:val="24"/>
          <w:szCs w:val="24"/>
          <w:u w:val="single"/>
          <w:lang w:val="en-I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202D83EA" w14:textId="77777777">
        <w:tc>
          <w:tcPr>
            <w:tcW w:w="1129" w:type="dxa"/>
            <w:shd w:val="clear" w:color="auto" w:fill="D9D9D9"/>
          </w:tcPr>
          <w:p w14:paraId="3A23E30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0DCA2D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Odkazy na právní předpisy a pokyny</w:t>
            </w:r>
          </w:p>
        </w:tc>
      </w:tr>
      <w:tr w:rsidR="004D7AAB" w:rsidRPr="00336696" w14:paraId="06DD967B" w14:textId="77777777">
        <w:tc>
          <w:tcPr>
            <w:tcW w:w="1129" w:type="dxa"/>
          </w:tcPr>
          <w:p w14:paraId="0D2A67D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2EDEC06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Průměrná výše faktoru – měsíc t</w:t>
            </w:r>
          </w:p>
          <w:p w14:paraId="32872D3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 xml:space="preserve">Hodnota DTF </w:t>
            </w:r>
            <w:r w:rsidRPr="00336696">
              <w:rPr>
                <w:rFonts w:ascii="Times New Roman" w:hAnsi="Times New Roman"/>
                <w:bCs/>
                <w:szCs w:val="24"/>
              </w:rPr>
              <w:t>ke konci třetího měsíce (posledního) čtvrtletí, kterého se zpráva týká.</w:t>
            </w:r>
          </w:p>
        </w:tc>
      </w:tr>
      <w:tr w:rsidR="004D7AAB" w:rsidRPr="00336696" w14:paraId="7BC246D5" w14:textId="77777777">
        <w:tc>
          <w:tcPr>
            <w:tcW w:w="1129" w:type="dxa"/>
          </w:tcPr>
          <w:p w14:paraId="7DE2B2D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7CF2D65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Průměrná výše faktoru – měsíc t–1</w:t>
            </w:r>
          </w:p>
          <w:p w14:paraId="0B1690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Hodnota DTF ke konci druhého měsíce čtvrtletí, za které se zpráva podává.</w:t>
            </w:r>
          </w:p>
        </w:tc>
      </w:tr>
      <w:tr w:rsidR="004D7AAB" w:rsidRPr="00336696" w14:paraId="704717D3" w14:textId="77777777">
        <w:tc>
          <w:tcPr>
            <w:tcW w:w="1129" w:type="dxa"/>
          </w:tcPr>
          <w:p w14:paraId="672453C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77B024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Průměrná výše faktoru – měsíc t–2</w:t>
            </w:r>
          </w:p>
          <w:p w14:paraId="3B84CA0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 xml:space="preserve">Hodnota DTF ke konci </w:t>
            </w:r>
            <w:r w:rsidRPr="00336696">
              <w:rPr>
                <w:rFonts w:ascii="Times New Roman" w:hAnsi="Times New Roman"/>
                <w:bCs/>
                <w:szCs w:val="24"/>
              </w:rPr>
              <w:t>prvního měsíce čtvrtletí, za které se zpráva podává.</w:t>
            </w:r>
          </w:p>
        </w:tc>
      </w:tr>
    </w:tbl>
    <w:p w14:paraId="7269FD13" w14:textId="77777777" w:rsidR="004D7AAB" w:rsidRPr="00336696" w:rsidRDefault="004D7AAB">
      <w:pPr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671EB2D1" w14:textId="77777777" w:rsidR="004D7AAB" w:rsidRPr="00336696" w:rsidRDefault="00336696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80" w:name="_Toc88125785"/>
      <w:r w:rsidRPr="00336696">
        <w:rPr>
          <w:rFonts w:ascii="Times New Roman" w:hAnsi="Times New Roman"/>
          <w:sz w:val="24"/>
          <w:szCs w:val="24"/>
          <w:u w:val="single"/>
        </w:rPr>
        <w:t>3.14. I 06.13 – PRŮMĚRNÁ HODNOTA CELKOVÉHO DENNÍHO OBJEMU OBCHODOVÁNÍ (I 6.13)</w:t>
      </w:r>
      <w:bookmarkEnd w:id="80"/>
    </w:p>
    <w:p w14:paraId="1FBEF1F1" w14:textId="77777777" w:rsidR="004D7AAB" w:rsidRPr="00336696" w:rsidRDefault="00336696">
      <w:pPr>
        <w:pStyle w:val="Instructionsberschrift2"/>
        <w:ind w:left="357" w:hanging="215"/>
        <w:rPr>
          <w:rFonts w:ascii="Times New Roman" w:hAnsi="Times New Roman" w:cs="Times New Roman"/>
          <w:sz w:val="24"/>
        </w:rPr>
      </w:pPr>
      <w:bookmarkStart w:id="81" w:name="_Toc88125786"/>
      <w:r w:rsidRPr="00336696">
        <w:rPr>
          <w:rFonts w:ascii="Times New Roman" w:hAnsi="Times New Roman"/>
          <w:sz w:val="24"/>
          <w:u w:val="none"/>
        </w:rPr>
        <w:t xml:space="preserve">3.14.1. </w:t>
      </w:r>
      <w:r w:rsidRPr="00336696">
        <w:rPr>
          <w:rFonts w:ascii="Times New Roman" w:hAnsi="Times New Roman"/>
          <w:sz w:val="24"/>
        </w:rPr>
        <w:t>Pokyny pro konkrétní pozice</w:t>
      </w:r>
      <w:bookmarkEnd w:id="8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448A54BE" w14:textId="77777777">
        <w:tc>
          <w:tcPr>
            <w:tcW w:w="1129" w:type="dxa"/>
            <w:shd w:val="clear" w:color="auto" w:fill="D9D9D9"/>
          </w:tcPr>
          <w:p w14:paraId="7B54613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6F239EA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Odkazy na právní předpisy a pokyny</w:t>
            </w:r>
          </w:p>
        </w:tc>
      </w:tr>
      <w:tr w:rsidR="004D7AAB" w:rsidRPr="00336696" w14:paraId="67825524" w14:textId="77777777">
        <w:tc>
          <w:tcPr>
            <w:tcW w:w="1129" w:type="dxa"/>
          </w:tcPr>
          <w:p w14:paraId="09E1E26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5A0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Denní objem obchodování – </w:t>
            </w: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hotovostní obchody</w:t>
            </w:r>
          </w:p>
          <w:p w14:paraId="4A061C8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</w:rPr>
              <w:t xml:space="preserve">Průměrná hodnota celkového denního </w:t>
            </w:r>
            <w:r w:rsidRPr="00336696">
              <w:rPr>
                <w:rFonts w:ascii="Times New Roman" w:hAnsi="Times New Roman"/>
                <w:bCs/>
                <w:szCs w:val="24"/>
              </w:rPr>
              <w:t>objemu obchodování (hotovostních obchodů) za příslušný měsíc podle čl. 33 odst. 1 nařízení (</w:t>
            </w:r>
            <w:r w:rsidRPr="00336696">
              <w:rPr>
                <w:rFonts w:ascii="Times New Roman" w:hAnsi="Times New Roman"/>
                <w:bCs/>
              </w:rPr>
              <w:t>EU) 2019/2033, jež se měří podle čl. 33 odst. 2 písm. a) nařízení (EU) 2019/2033.</w:t>
            </w:r>
          </w:p>
        </w:tc>
      </w:tr>
      <w:tr w:rsidR="004D7AAB" w:rsidRPr="00336696" w14:paraId="55B306B1" w14:textId="77777777">
        <w:tc>
          <w:tcPr>
            <w:tcW w:w="1129" w:type="dxa"/>
          </w:tcPr>
          <w:p w14:paraId="0E0932F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46B3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Denní objem obchodován</w:t>
            </w: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í – obchody s deriváty</w:t>
            </w:r>
          </w:p>
          <w:p w14:paraId="68C12B9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Průměrná hodnota celkového denního objemu obchodování </w:t>
            </w:r>
            <w:r w:rsidRPr="00336696">
              <w:rPr>
                <w:rFonts w:ascii="Times New Roman" w:hAnsi="Times New Roman"/>
                <w:bCs/>
                <w:szCs w:val="24"/>
              </w:rPr>
              <w:t>(obchodů s deriváty) za příslušný měsíc podle čl. 33 odst. 1 nařízení (</w:t>
            </w:r>
            <w:r w:rsidRPr="00336696">
              <w:rPr>
                <w:rFonts w:ascii="Times New Roman" w:hAnsi="Times New Roman"/>
                <w:bCs/>
              </w:rPr>
              <w:t>EU) 2019/2033, jež se měří podle čl. 33 odst. 2 písm. b) nařízení (EU) 2019/2033.</w:t>
            </w:r>
          </w:p>
        </w:tc>
      </w:tr>
    </w:tbl>
    <w:p w14:paraId="50149A47" w14:textId="77777777" w:rsidR="004D7AAB" w:rsidRPr="00336696" w:rsidRDefault="004D7AAB">
      <w:pPr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6396E326" w14:textId="77777777">
        <w:tc>
          <w:tcPr>
            <w:tcW w:w="1129" w:type="dxa"/>
            <w:shd w:val="clear" w:color="auto" w:fill="D9D9D9"/>
          </w:tcPr>
          <w:p w14:paraId="416F77C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6C53BD6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Odkazy na </w:t>
            </w:r>
            <w:r w:rsidRPr="00336696">
              <w:rPr>
                <w:rFonts w:ascii="Times New Roman" w:hAnsi="Times New Roman"/>
              </w:rPr>
              <w:t>právní předpisy a pokyny</w:t>
            </w:r>
          </w:p>
        </w:tc>
      </w:tr>
      <w:tr w:rsidR="004D7AAB" w:rsidRPr="00336696" w14:paraId="2001004F" w14:textId="77777777">
        <w:tc>
          <w:tcPr>
            <w:tcW w:w="1129" w:type="dxa"/>
          </w:tcPr>
          <w:p w14:paraId="2E95200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0010–0080</w:t>
            </w:r>
          </w:p>
        </w:tc>
        <w:tc>
          <w:tcPr>
            <w:tcW w:w="7620" w:type="dxa"/>
          </w:tcPr>
          <w:p w14:paraId="29FA12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Měsíční průměrné hodnoty celkového denního objemu obchodování</w:t>
            </w:r>
          </w:p>
          <w:p w14:paraId="79B496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vykáží v každém příslušném sloupci měsíce průměrnou měsíční hodnotu celkového denního objemu obchodování měřenou během každého </w:t>
            </w:r>
            <w:r w:rsidRPr="00336696">
              <w:rPr>
                <w:rFonts w:ascii="Times New Roman" w:hAnsi="Times New Roman"/>
                <w:bCs/>
              </w:rPr>
              <w:t>obchodního dne podle čl. 33 odst. 1 nařízení (EU) 2019/2033.</w:t>
            </w:r>
          </w:p>
        </w:tc>
      </w:tr>
    </w:tbl>
    <w:p w14:paraId="6175A30D" w14:textId="77777777" w:rsidR="004D7AAB" w:rsidRPr="00336696" w:rsidRDefault="004D7AAB">
      <w:pPr>
        <w:rPr>
          <w:rFonts w:ascii="Times New Roman" w:eastAsia="Arial" w:hAnsi="Times New Roman" w:cs="Times New Roman"/>
          <w:sz w:val="24"/>
          <w:szCs w:val="24"/>
          <w:u w:val="single"/>
          <w:lang w:val="en-IE"/>
        </w:rPr>
      </w:pPr>
    </w:p>
    <w:p w14:paraId="78FD0715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82" w:name="_Toc88125787"/>
      <w:r w:rsidRPr="00336696">
        <w:rPr>
          <w:rFonts w:ascii="Times New Roman" w:hAnsi="Times New Roman"/>
          <w:b/>
          <w:sz w:val="24"/>
        </w:rPr>
        <w:lastRenderedPageBreak/>
        <w:t>4. PODÁVÁNÍ ZPRÁV O RIZIKU KONCENTRACE</w:t>
      </w:r>
      <w:bookmarkEnd w:id="82"/>
    </w:p>
    <w:p w14:paraId="1E0596E9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3" w:name="_Toc88125788"/>
      <w:r w:rsidRPr="00336696">
        <w:rPr>
          <w:rFonts w:ascii="Times New Roman" w:hAnsi="Times New Roman"/>
          <w:sz w:val="24"/>
        </w:rPr>
        <w:t>4.1. Obecné poznámky</w:t>
      </w:r>
      <w:bookmarkEnd w:id="83"/>
    </w:p>
    <w:p w14:paraId="577B19DF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16.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Podávání zpráv o riziku koncentrace zahrnuje informace o rizicích koncentrace, kterým je investiční podnik vystaven prostřednictv</w:t>
      </w:r>
      <w:r w:rsidRPr="00336696">
        <w:rPr>
          <w:rFonts w:ascii="Times New Roman" w:hAnsi="Times New Roman"/>
          <w:sz w:val="24"/>
        </w:rPr>
        <w:t>ím pozic v obchodním portfoliu v důsledku selhání protistran. Na základě toho se vypočítá K-CON, dodatečný kapitálový požadavek v důsledku expozic, které má investiční podnik ve své rozvaze. Tento výpočet je v souladu s definicí „rizika koncentrace“ obsaže</w:t>
      </w:r>
      <w:r w:rsidRPr="00336696">
        <w:rPr>
          <w:rFonts w:ascii="Times New Roman" w:hAnsi="Times New Roman"/>
          <w:sz w:val="24"/>
        </w:rPr>
        <w:t>nou v čl. 4 odst. 1 bodu 31 nařízení (EU) 2019/2033, který uvádí, že: „rizikem koncentrace“ či „CON“ (concentration risk) se rozumí expozice v obchodním portfoliu investičního podniku vůči zákazníkovi nebo ekonomicky spjaté skupině klientů, jejíž hodnota p</w:t>
      </w:r>
      <w:r w:rsidRPr="00336696">
        <w:rPr>
          <w:rFonts w:ascii="Times New Roman" w:hAnsi="Times New Roman"/>
          <w:sz w:val="24"/>
        </w:rPr>
        <w:t>řesahuje limity uvedené v čl. 37 odst. 1.</w:t>
      </w:r>
    </w:p>
    <w:p w14:paraId="289C66D1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17.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Podávání zpráv o riziku koncentrace rovněž zahrnuje informace o:</w:t>
      </w:r>
    </w:p>
    <w:p w14:paraId="13211B7F" w14:textId="77777777" w:rsidR="004D7AAB" w:rsidRPr="00336696" w:rsidRDefault="00336696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i.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penězích zákazníků;</w:t>
      </w:r>
    </w:p>
    <w:p w14:paraId="78289A1F" w14:textId="77777777" w:rsidR="004D7AAB" w:rsidRPr="00336696" w:rsidRDefault="00336696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ii.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majetku zákazníků;</w:t>
      </w:r>
    </w:p>
    <w:p w14:paraId="48AD7FF0" w14:textId="77777777" w:rsidR="004D7AAB" w:rsidRPr="00336696" w:rsidRDefault="00336696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iii.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vlastní hotovosti podniku;</w:t>
      </w:r>
    </w:p>
    <w:p w14:paraId="4311EA96" w14:textId="77777777" w:rsidR="004D7AAB" w:rsidRPr="00336696" w:rsidRDefault="00336696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iv.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zisku od zákazníků;</w:t>
      </w:r>
    </w:p>
    <w:p w14:paraId="21615283" w14:textId="77777777" w:rsidR="004D7AAB" w:rsidRPr="00336696" w:rsidRDefault="00336696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v.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pozicích v obchodním portfoliu;</w:t>
      </w:r>
    </w:p>
    <w:p w14:paraId="2DA73326" w14:textId="77777777" w:rsidR="004D7AAB" w:rsidRPr="00336696" w:rsidRDefault="00336696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vi.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>expo</w:t>
      </w:r>
      <w:r w:rsidRPr="00336696">
        <w:rPr>
          <w:rFonts w:ascii="Times New Roman" w:hAnsi="Times New Roman"/>
          <w:sz w:val="24"/>
        </w:rPr>
        <w:t>zicích vypočtených s přihlédnutím k aktivům a podrozvahovým položkám neevidovaným v obchodním portfoliu.</w:t>
      </w:r>
    </w:p>
    <w:p w14:paraId="0261FE31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18.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 xml:space="preserve">Ačkoli znění čl. 54 odst. 2 nařízení (EU) 2019/2033 také zmiňuje pojem „riziko koncentrace“, nejsou definice tohoto pojmu obsažená v čl. 4 odst. 1 </w:t>
      </w:r>
      <w:r w:rsidRPr="00336696">
        <w:rPr>
          <w:rFonts w:ascii="Times New Roman" w:hAnsi="Times New Roman"/>
          <w:sz w:val="24"/>
        </w:rPr>
        <w:t>bodu 31 nařízení (EU) 2019/2033 ani limity stanovené v čl. 37 odst. 1 nařízení (EU) 2019/2033 slučitelné s položkami popsanými v čl. 54 odst. 2 písm. b) až e) nařízení (EU) 2019/2033. Z tohoto důvodu se požadované podávání zpráv zaměřuje na pět nejvýznamně</w:t>
      </w:r>
      <w:r w:rsidRPr="00336696">
        <w:rPr>
          <w:rFonts w:ascii="Times New Roman" w:hAnsi="Times New Roman"/>
          <w:sz w:val="24"/>
        </w:rPr>
        <w:t xml:space="preserve">jších pozic, jsou-li k dispozici, s ohledem na každý z bodů i) až vi) odstavce 19, které jsou drženy konkrétní institucí, zákazníkem nebo jiným subjektem. Toto podávání zpráv umožňuje příslušným orgánům lépe porozumět rizikům, kterým by investiční podniky </w:t>
      </w:r>
      <w:r w:rsidRPr="00336696">
        <w:rPr>
          <w:rFonts w:ascii="Times New Roman" w:hAnsi="Times New Roman"/>
          <w:sz w:val="24"/>
        </w:rPr>
        <w:t>mohly být díky nim vystaveny.</w:t>
      </w:r>
    </w:p>
    <w:p w14:paraId="046158EC" w14:textId="77777777" w:rsidR="004D7AAB" w:rsidRPr="00336696" w:rsidRDefault="00336696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336696">
        <w:rPr>
          <w:rFonts w:ascii="Times New Roman" w:hAnsi="Times New Roman" w:cs="Times New Roman"/>
          <w:sz w:val="24"/>
        </w:rPr>
        <w:t>19.</w:t>
      </w:r>
      <w:r w:rsidRPr="00336696">
        <w:rPr>
          <w:rFonts w:ascii="Times New Roman" w:hAnsi="Times New Roman" w:cs="Times New Roman"/>
          <w:sz w:val="24"/>
        </w:rPr>
        <w:tab/>
      </w:r>
      <w:r w:rsidRPr="00336696">
        <w:rPr>
          <w:rFonts w:ascii="Times New Roman" w:hAnsi="Times New Roman"/>
          <w:sz w:val="24"/>
        </w:rPr>
        <w:t xml:space="preserve">Podávání zpráv o riziku koncentrace zahrnuje šablony I 07.00 a I 08.00 a podle čl. 54 odst. 2 nařízení (EU) 2019/2033 podniky, které splňují podmínky pro to, aby mohly být považovány za malé a nepropojené </w:t>
      </w:r>
      <w:r w:rsidRPr="00336696">
        <w:rPr>
          <w:rFonts w:ascii="Times New Roman" w:hAnsi="Times New Roman"/>
          <w:sz w:val="24"/>
        </w:rPr>
        <w:t>investiční podniky, stanovené v čl. 12 odst. 1 nařízení (EU) 2019/2033, nejsou povinny v tomto ohledu podávat žádné zprávy.</w:t>
      </w:r>
    </w:p>
    <w:p w14:paraId="259D1547" w14:textId="77777777" w:rsidR="004D7AAB" w:rsidRPr="00336696" w:rsidRDefault="00336696">
      <w:pPr>
        <w:pStyle w:val="Instructionsberschrift2"/>
        <w:ind w:left="0"/>
        <w:rPr>
          <w:rFonts w:ascii="Times New Roman" w:hAnsi="Times New Roman" w:cs="Times New Roman"/>
          <w:sz w:val="24"/>
        </w:rPr>
      </w:pPr>
      <w:bookmarkStart w:id="84" w:name="_Toc88125789"/>
      <w:r w:rsidRPr="00336696">
        <w:rPr>
          <w:rFonts w:ascii="Times New Roman" w:hAnsi="Times New Roman"/>
          <w:sz w:val="24"/>
        </w:rPr>
        <w:t>4.2. I 07.00 – K-CON – DOPLŇUJÍCÍ PODROBNOSTI (I7)</w:t>
      </w:r>
      <w:bookmarkEnd w:id="84"/>
    </w:p>
    <w:p w14:paraId="16461077" w14:textId="77777777" w:rsidR="004D7AAB" w:rsidRPr="00336696" w:rsidRDefault="00336696">
      <w:pPr>
        <w:pStyle w:val="Instructionsberschrift2"/>
        <w:ind w:left="0"/>
        <w:rPr>
          <w:rFonts w:ascii="Times New Roman" w:hAnsi="Times New Roman" w:cs="Times New Roman"/>
        </w:rPr>
      </w:pPr>
      <w:bookmarkStart w:id="85" w:name="_Toc88125790"/>
      <w:r w:rsidRPr="00336696">
        <w:rPr>
          <w:rFonts w:ascii="Times New Roman" w:hAnsi="Times New Roman"/>
          <w:sz w:val="24"/>
          <w:u w:val="none"/>
        </w:rPr>
        <w:t>4.2.1.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>Pokyny pro konkrétní pozice</w:t>
      </w:r>
      <w:bookmarkEnd w:id="85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330871A7" w14:textId="77777777">
        <w:tc>
          <w:tcPr>
            <w:tcW w:w="1389" w:type="dxa"/>
            <w:shd w:val="clear" w:color="auto" w:fill="D9D9D9"/>
          </w:tcPr>
          <w:p w14:paraId="18F25AF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2499957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Odkazy na právní předpisy </w:t>
            </w:r>
            <w:r w:rsidRPr="00336696">
              <w:rPr>
                <w:rFonts w:ascii="Times New Roman" w:hAnsi="Times New Roman"/>
              </w:rPr>
              <w:t>a pokyny</w:t>
            </w:r>
          </w:p>
        </w:tc>
      </w:tr>
      <w:tr w:rsidR="004D7AAB" w:rsidRPr="00336696" w14:paraId="7F9136B2" w14:textId="77777777">
        <w:tc>
          <w:tcPr>
            <w:tcW w:w="1389" w:type="dxa"/>
          </w:tcPr>
          <w:p w14:paraId="65FCED5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0010–0060</w:t>
            </w:r>
          </w:p>
        </w:tc>
        <w:tc>
          <w:tcPr>
            <w:tcW w:w="7620" w:type="dxa"/>
          </w:tcPr>
          <w:p w14:paraId="3329363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Identifikace protistrany</w:t>
            </w:r>
          </w:p>
          <w:p w14:paraId="4F11F92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Investiční podnik uvede identifikaci protistran nebo ekonomicky spjaté skupiny klientů, vůči nimž má expozici přesahující limity stanovené v čl. 37 odst. 1 nařízení (EU) 2019/2033.</w:t>
            </w:r>
          </w:p>
        </w:tc>
      </w:tr>
      <w:tr w:rsidR="004D7AAB" w:rsidRPr="00336696" w14:paraId="382080CF" w14:textId="77777777">
        <w:tc>
          <w:tcPr>
            <w:tcW w:w="1389" w:type="dxa"/>
          </w:tcPr>
          <w:p w14:paraId="00EC347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</w:tcPr>
          <w:p w14:paraId="00A57EFE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Kód</w:t>
            </w:r>
          </w:p>
          <w:p w14:paraId="68058DD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Kód jakožto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součást identifikátoru řádku musí být jedinečný pro každý vykazovaný subjekt. V případě investičních podniků a pojišťoven se použije kód LEI. U jiných subjektů se použije kód LEI nebo případně vnitrostátní kód, není-li kód LEI k dispozici. Kód je jedinečný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a používá se trvale a ve všech šablonách jednotně. V poli pro kód musí být vždy uvedena nějaká hodnota.</w:t>
            </w:r>
          </w:p>
        </w:tc>
      </w:tr>
      <w:tr w:rsidR="004D7AAB" w:rsidRPr="00336696" w14:paraId="503E082E" w14:textId="77777777">
        <w:tc>
          <w:tcPr>
            <w:tcW w:w="1389" w:type="dxa"/>
          </w:tcPr>
          <w:p w14:paraId="51FA59C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C539D5C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Typ kódu</w:t>
            </w:r>
          </w:p>
          <w:p w14:paraId="7EC8996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Investiční podniky označí typ kódu vykázaného ve sloupci 0010 jako „typ kódu LEI“ nebo „typ vnitrostátního kódu“.</w:t>
            </w:r>
          </w:p>
          <w:p w14:paraId="70B0F8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Typ kódu se vykazuje v</w:t>
            </w:r>
            <w:r w:rsidRPr="00336696">
              <w:rPr>
                <w:rFonts w:ascii="Times New Roman" w:hAnsi="Times New Roman"/>
                <w:bCs/>
              </w:rPr>
              <w:t>ždy.</w:t>
            </w:r>
          </w:p>
        </w:tc>
      </w:tr>
      <w:tr w:rsidR="004D7AAB" w:rsidRPr="00336696" w14:paraId="6457E28C" w14:textId="77777777">
        <w:tc>
          <w:tcPr>
            <w:tcW w:w="1389" w:type="dxa"/>
          </w:tcPr>
          <w:p w14:paraId="76CCBDA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793991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Název/jméno</w:t>
            </w:r>
          </w:p>
          <w:p w14:paraId="6463D10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Pokud se podává zpráva o ekonomicky spjaté skupině klientů, název musí odpovídat názvu mateřského podniku. Ve všech ostatních případech název odpovídá jednotlivé protistraně.</w:t>
            </w:r>
          </w:p>
        </w:tc>
      </w:tr>
      <w:tr w:rsidR="004D7AAB" w:rsidRPr="00336696" w14:paraId="7B47EC19" w14:textId="77777777">
        <w:tc>
          <w:tcPr>
            <w:tcW w:w="1389" w:type="dxa"/>
          </w:tcPr>
          <w:p w14:paraId="1A9AF43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598D12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Skupina nebo jednotlivá protistrana</w:t>
            </w:r>
          </w:p>
          <w:p w14:paraId="129BBA5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Investiční podni</w:t>
            </w:r>
            <w:r w:rsidRPr="00336696">
              <w:rPr>
                <w:rFonts w:ascii="Times New Roman" w:hAnsi="Times New Roman"/>
              </w:rPr>
              <w:t>k uvede „1“ v případě podávání zpráv o expozicích vůči jednotlivým klientům nebo „2“ v případě podávání zpráv o expozicích vůči ekonomicky spjatým skupinám klientů.</w:t>
            </w:r>
          </w:p>
        </w:tc>
      </w:tr>
      <w:tr w:rsidR="004D7AAB" w:rsidRPr="00336696" w14:paraId="234ED85C" w14:textId="77777777">
        <w:tc>
          <w:tcPr>
            <w:tcW w:w="1389" w:type="dxa"/>
          </w:tcPr>
          <w:p w14:paraId="1139752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644FBBD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Druh protistrany</w:t>
            </w:r>
          </w:p>
          <w:p w14:paraId="61E7330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 podává zprávu pro každou expozici, pokud je </w:t>
            </w:r>
            <w:r w:rsidRPr="00336696">
              <w:rPr>
                <w:rFonts w:ascii="Times New Roman" w:hAnsi="Times New Roman"/>
                <w:bCs/>
              </w:rPr>
              <w:t>spojena s:</w:t>
            </w:r>
          </w:p>
          <w:p w14:paraId="7D9D654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1. úvěrovou institucí nebo ekonomicky spjatou skupinou klientů, která zahrnuje úvěrovou instituci;</w:t>
            </w:r>
          </w:p>
          <w:p w14:paraId="1A43A83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2. investičním podnikem nebo ekonomicky spjatou skupinou klientů, která zahrnuje investiční podnik;</w:t>
            </w:r>
          </w:p>
          <w:p w14:paraId="309A1CC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3. jinou institucí než úvěrovou institucí nebo</w:t>
            </w:r>
            <w:r w:rsidRPr="00336696">
              <w:rPr>
                <w:rFonts w:ascii="Times New Roman" w:hAnsi="Times New Roman"/>
                <w:bCs/>
              </w:rPr>
              <w:t xml:space="preserve"> jiným podnikem než investičním podnikem nebo ekonomicky spjatou skupinou klientů, která zahrnuje investiční podnik nebo instituci</w:t>
            </w:r>
          </w:p>
        </w:tc>
      </w:tr>
      <w:tr w:rsidR="004D7AAB" w:rsidRPr="00336696" w14:paraId="05CAF6A4" w14:textId="77777777">
        <w:tc>
          <w:tcPr>
            <w:tcW w:w="1389" w:type="dxa"/>
          </w:tcPr>
          <w:p w14:paraId="22CF01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0060–0110</w:t>
            </w:r>
          </w:p>
        </w:tc>
        <w:tc>
          <w:tcPr>
            <w:tcW w:w="7620" w:type="dxa"/>
          </w:tcPr>
          <w:p w14:paraId="7A7E973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Expozice obchodního portfolia přesahující limity stanovené v čl. 37 odst. 1 nařízení (EU) 2019/2033</w:t>
            </w:r>
          </w:p>
          <w:p w14:paraId="657CF4D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Investiční podnik uvede informace o každé expozici přesahující limity stanovené v čl. 37 odst. 1 nařízení (EU) 2019/2033 v souladu s články 36 a 39 nařízení (EU) 2019/2033.</w:t>
            </w:r>
          </w:p>
        </w:tc>
      </w:tr>
      <w:tr w:rsidR="004D7AAB" w:rsidRPr="00336696" w14:paraId="3A86EA92" w14:textId="77777777">
        <w:tc>
          <w:tcPr>
            <w:tcW w:w="1389" w:type="dxa"/>
          </w:tcPr>
          <w:p w14:paraId="5664AD1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6F506D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Hodnota expozice</w:t>
            </w:r>
          </w:p>
          <w:p w14:paraId="7B95BD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36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</w:tc>
      </w:tr>
      <w:tr w:rsidR="004D7AAB" w:rsidRPr="00336696" w14:paraId="26FAA088" w14:textId="77777777">
        <w:tc>
          <w:tcPr>
            <w:tcW w:w="1389" w:type="dxa"/>
          </w:tcPr>
          <w:p w14:paraId="64E1B5A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4203E1D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Hodnota expozice (j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ako % kapitálu)</w:t>
            </w:r>
          </w:p>
          <w:p w14:paraId="29FB410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Expozice vypočtená v souladu s článkem 36 nařízení (EU) 2019/2033 a vyjádřená jako procentní podíl kapitálu podniku.</w:t>
            </w:r>
          </w:p>
        </w:tc>
      </w:tr>
      <w:tr w:rsidR="004D7AAB" w:rsidRPr="00336696" w14:paraId="1D6301FD" w14:textId="77777777">
        <w:tc>
          <w:tcPr>
            <w:tcW w:w="1389" w:type="dxa"/>
          </w:tcPr>
          <w:p w14:paraId="77ED45F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64A1F64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Kapitálový požadavek celkové expozice</w:t>
            </w:r>
          </w:p>
          <w:p w14:paraId="34723B8B" w14:textId="77777777" w:rsidR="004D7AAB" w:rsidRPr="00336696" w:rsidRDefault="00336696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Kapitálový požadavek celkové expozice vůči jednotlivé protistraně nebo </w:t>
            </w:r>
            <w:r w:rsidRPr="00336696">
              <w:rPr>
                <w:rFonts w:ascii="Times New Roman" w:hAnsi="Times New Roman"/>
              </w:rPr>
              <w:t>ekonomicky spjaté skupině klientů vypočtený jako celková výše K-TCD a požadavku specifického rizika dle K-NPR pro příslušnou expozici.</w:t>
            </w:r>
          </w:p>
        </w:tc>
      </w:tr>
      <w:tr w:rsidR="004D7AAB" w:rsidRPr="00336696" w14:paraId="7179CA4C" w14:textId="77777777">
        <w:tc>
          <w:tcPr>
            <w:tcW w:w="1389" w:type="dxa"/>
          </w:tcPr>
          <w:p w14:paraId="7A500D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6C14194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Překročení hodnoty expozice</w:t>
            </w:r>
          </w:p>
          <w:p w14:paraId="5A1BA44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Částka vypočtená v souladu s čl. 37 odst. 2 druhým pododstavcem nařízení (EU) 2019/2033</w:t>
            </w:r>
            <w:r w:rsidRPr="00336696">
              <w:rPr>
                <w:rFonts w:ascii="Times New Roman" w:hAnsi="Times New Roman"/>
                <w:bCs/>
              </w:rPr>
              <w:t xml:space="preserve"> pro příslušnou expozici.</w:t>
            </w:r>
          </w:p>
        </w:tc>
      </w:tr>
      <w:tr w:rsidR="004D7AAB" w:rsidRPr="00336696" w14:paraId="4DC0CE74" w14:textId="77777777">
        <w:tc>
          <w:tcPr>
            <w:tcW w:w="1389" w:type="dxa"/>
          </w:tcPr>
          <w:p w14:paraId="6852C0A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0100</w:t>
            </w:r>
          </w:p>
        </w:tc>
        <w:tc>
          <w:tcPr>
            <w:tcW w:w="7620" w:type="dxa"/>
          </w:tcPr>
          <w:p w14:paraId="49B5374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Doba trvání překročení (v dnech)</w:t>
            </w:r>
          </w:p>
          <w:p w14:paraId="4817A27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Počet dní uplynulých od prvního výskytu překročení expozice.</w:t>
            </w:r>
          </w:p>
        </w:tc>
      </w:tr>
      <w:tr w:rsidR="004D7AAB" w:rsidRPr="00336696" w14:paraId="66B85BF4" w14:textId="77777777">
        <w:tc>
          <w:tcPr>
            <w:tcW w:w="1389" w:type="dxa"/>
          </w:tcPr>
          <w:p w14:paraId="78BD117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08537CC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Kapitálový požadavek K-CON pro překročení</w:t>
            </w:r>
          </w:p>
          <w:p w14:paraId="05E614C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Částka vypočtená v souladu s čl. 39 odst. 2 nařízení (EU) 2019/2033 pro příslušnou</w:t>
            </w:r>
            <w:r w:rsidRPr="00336696">
              <w:rPr>
                <w:rFonts w:ascii="Times New Roman" w:hAnsi="Times New Roman"/>
                <w:bCs/>
              </w:rPr>
              <w:t xml:space="preserve"> expozici.</w:t>
            </w:r>
          </w:p>
        </w:tc>
      </w:tr>
    </w:tbl>
    <w:p w14:paraId="49AC7FEC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6" w:name="_Toc88125791"/>
      <w:r w:rsidRPr="00336696">
        <w:rPr>
          <w:rFonts w:ascii="Times New Roman" w:hAnsi="Times New Roman"/>
          <w:sz w:val="24"/>
        </w:rPr>
        <w:t>4.3. I 08.01 – ÚROVEŇ RIZIKA KONCENTRACE – DRŽENÉ PENÍZE ZÁKAZNÍKŮ (I 8.1)</w:t>
      </w:r>
      <w:bookmarkEnd w:id="86"/>
    </w:p>
    <w:p w14:paraId="79B46A3B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7" w:name="_Toc88125792"/>
      <w:r w:rsidRPr="00336696">
        <w:rPr>
          <w:rFonts w:ascii="Times New Roman" w:hAnsi="Times New Roman"/>
          <w:sz w:val="24"/>
          <w:u w:val="none"/>
        </w:rPr>
        <w:t>4.3.1.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>Pokyny týkající se jednotlivých sloupců</w:t>
      </w:r>
      <w:bookmarkEnd w:id="87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59EF32B8" w14:textId="77777777">
        <w:tc>
          <w:tcPr>
            <w:tcW w:w="1389" w:type="dxa"/>
            <w:shd w:val="clear" w:color="auto" w:fill="D9D9D9"/>
          </w:tcPr>
          <w:p w14:paraId="195C50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0577A48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Odkazy na právní předpisy a pokyny</w:t>
            </w:r>
          </w:p>
        </w:tc>
      </w:tr>
      <w:tr w:rsidR="004D7AAB" w:rsidRPr="00336696" w14:paraId="4DEDFEA5" w14:textId="77777777">
        <w:tc>
          <w:tcPr>
            <w:tcW w:w="1389" w:type="dxa"/>
          </w:tcPr>
          <w:p w14:paraId="4879A3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0010–0060</w:t>
            </w:r>
          </w:p>
        </w:tc>
        <w:tc>
          <w:tcPr>
            <w:tcW w:w="7620" w:type="dxa"/>
          </w:tcPr>
          <w:p w14:paraId="7D8AB2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Celkem CMH</w:t>
            </w:r>
          </w:p>
          <w:p w14:paraId="4CF8084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</w:rPr>
              <w:t>Ustanovení čl. </w:t>
            </w:r>
            <w:r w:rsidRPr="00336696">
              <w:rPr>
                <w:rFonts w:ascii="Times New Roman" w:hAnsi="Times New Roman"/>
                <w:bCs/>
                <w:szCs w:val="24"/>
              </w:rPr>
              <w:t>54 odst. 2 písm. b)</w:t>
            </w:r>
            <w:r w:rsidRPr="00336696">
              <w:rPr>
                <w:rFonts w:ascii="Times New Roman" w:hAnsi="Times New Roman"/>
                <w:bCs/>
              </w:rPr>
              <w:t xml:space="preserve"> nařízení (</w:t>
            </w:r>
            <w:r w:rsidRPr="00336696">
              <w:rPr>
                <w:rFonts w:ascii="Times New Roman" w:hAnsi="Times New Roman"/>
                <w:bCs/>
                <w:szCs w:val="24"/>
              </w:rPr>
              <w:t xml:space="preserve">EU) </w:t>
            </w:r>
            <w:r w:rsidRPr="00336696">
              <w:rPr>
                <w:rFonts w:ascii="Times New Roman" w:hAnsi="Times New Roman"/>
                <w:bCs/>
                <w:szCs w:val="24"/>
              </w:rPr>
              <w:t>2019/2033.</w:t>
            </w:r>
          </w:p>
          <w:p w14:paraId="6261685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 xml:space="preserve">Investiční podnik uvede identifikaci pokud možno pěti protistran nebo ekonomicky spjaté skupiny protistran, ve kterých jsou drženy největší částky peněz zákazníků. </w:t>
            </w:r>
          </w:p>
        </w:tc>
      </w:tr>
      <w:tr w:rsidR="004D7AAB" w:rsidRPr="00336696" w14:paraId="0507A44A" w14:textId="77777777">
        <w:tc>
          <w:tcPr>
            <w:tcW w:w="1389" w:type="dxa"/>
          </w:tcPr>
          <w:p w14:paraId="3E4EDCA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7272DA69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</w:rPr>
              <w:t>Kód</w:t>
            </w:r>
          </w:p>
          <w:p w14:paraId="3B31EAC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 xml:space="preserve">Kód jakožto součást identifikátoru řádku musí být jedinečný pro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 xml:space="preserve">každý vykazovaný subjekt. V případě investičních podniků a pojišťoven se použije kód LEI. U jiných subjektů se použije kód LEI nebo případně vnitrostátní kód, není-li kód LEI k dispozici. Kód je jedinečný a používá se trvale a ve všech šablonách jednotně.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V poli pro kód musí být vždy uvedena nějaká hodnota.</w:t>
            </w:r>
          </w:p>
        </w:tc>
      </w:tr>
      <w:tr w:rsidR="004D7AAB" w:rsidRPr="00336696" w14:paraId="62914542" w14:textId="77777777">
        <w:tc>
          <w:tcPr>
            <w:tcW w:w="1389" w:type="dxa"/>
          </w:tcPr>
          <w:p w14:paraId="11366AE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6FAECB7E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</w:rPr>
              <w:t>Typ kódu</w:t>
            </w:r>
          </w:p>
          <w:p w14:paraId="1FC1A2D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Investiční podniky označí typ kódu vykázaného ve sloupci 0010 jako „typ kódu LEI“ nebo „typ vnitrostátního kódu“.</w:t>
            </w:r>
          </w:p>
        </w:tc>
      </w:tr>
      <w:tr w:rsidR="004D7AAB" w:rsidRPr="00336696" w14:paraId="6BC0FD0E" w14:textId="77777777">
        <w:tc>
          <w:tcPr>
            <w:tcW w:w="1389" w:type="dxa"/>
          </w:tcPr>
          <w:p w14:paraId="7A1ADA6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733A858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Název/jméno</w:t>
            </w:r>
          </w:p>
          <w:p w14:paraId="2722591A" w14:textId="77777777" w:rsidR="004D7AAB" w:rsidRPr="00336696" w:rsidRDefault="00336696">
            <w:pPr>
              <w:pStyle w:val="Default"/>
              <w:spacing w:after="120"/>
              <w:jc w:val="both"/>
              <w:rPr>
                <w:sz w:val="22"/>
                <w:szCs w:val="23"/>
              </w:rPr>
            </w:pPr>
            <w:r w:rsidRPr="00336696">
              <w:rPr>
                <w:sz w:val="22"/>
                <w:szCs w:val="23"/>
              </w:rPr>
              <w:t>Pokud se podává zpráva o ekonomicky spjaté skupině proti</w:t>
            </w:r>
            <w:r w:rsidRPr="00336696">
              <w:rPr>
                <w:sz w:val="22"/>
                <w:szCs w:val="23"/>
              </w:rPr>
              <w:t xml:space="preserve">stran, název musí odpovídat názvu mateřského podniku. Ve všech ostatních případech název odpovídá jednotlivé protistraně. </w:t>
            </w:r>
          </w:p>
        </w:tc>
      </w:tr>
      <w:tr w:rsidR="004D7AAB" w:rsidRPr="00336696" w14:paraId="46FA70E9" w14:textId="77777777">
        <w:tc>
          <w:tcPr>
            <w:tcW w:w="1389" w:type="dxa"/>
          </w:tcPr>
          <w:p w14:paraId="65B8EE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0040</w:t>
            </w:r>
          </w:p>
        </w:tc>
        <w:tc>
          <w:tcPr>
            <w:tcW w:w="7620" w:type="dxa"/>
          </w:tcPr>
          <w:p w14:paraId="029A251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Skupina nebo jednotlivá protistrana</w:t>
            </w:r>
          </w:p>
          <w:p w14:paraId="6E8D8A2A" w14:textId="77777777" w:rsidR="004D7AAB" w:rsidRPr="00336696" w:rsidRDefault="00336696">
            <w:pPr>
              <w:pStyle w:val="Default"/>
              <w:jc w:val="both"/>
              <w:rPr>
                <w:sz w:val="22"/>
              </w:rPr>
            </w:pPr>
            <w:r w:rsidRPr="00336696">
              <w:rPr>
                <w:sz w:val="22"/>
                <w:szCs w:val="23"/>
              </w:rPr>
              <w:t>Investiční podnik uvede „1“ v případě podávání zpráv o expozicích vůči jednotlivým klientům</w:t>
            </w:r>
            <w:r w:rsidRPr="00336696">
              <w:rPr>
                <w:sz w:val="22"/>
                <w:szCs w:val="23"/>
              </w:rPr>
              <w:t xml:space="preserve"> nebo „2“ v případě podávání zpráv o expozicích vůči ekonomicky spjatým skupinám klientů. </w:t>
            </w:r>
          </w:p>
        </w:tc>
      </w:tr>
      <w:tr w:rsidR="004D7AAB" w:rsidRPr="00336696" w14:paraId="73FD0741" w14:textId="77777777">
        <w:tc>
          <w:tcPr>
            <w:tcW w:w="1389" w:type="dxa"/>
          </w:tcPr>
          <w:p w14:paraId="10CA6A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0050</w:t>
            </w:r>
          </w:p>
        </w:tc>
        <w:tc>
          <w:tcPr>
            <w:tcW w:w="7620" w:type="dxa"/>
          </w:tcPr>
          <w:p w14:paraId="40681BC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Držené peníze zákazníků celkem ke dni podání zpráv</w:t>
            </w:r>
          </w:p>
          <w:p w14:paraId="74FEF4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Podnik uvede celkovou výši peněz zákazníků ke dni, k němuž se zpráva podává.</w:t>
            </w:r>
          </w:p>
        </w:tc>
      </w:tr>
      <w:tr w:rsidR="004D7AAB" w:rsidRPr="00336696" w14:paraId="08AF3F9F" w14:textId="77777777">
        <w:tc>
          <w:tcPr>
            <w:tcW w:w="1389" w:type="dxa"/>
          </w:tcPr>
          <w:p w14:paraId="4D0C3F3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0060</w:t>
            </w:r>
          </w:p>
        </w:tc>
        <w:tc>
          <w:tcPr>
            <w:tcW w:w="7620" w:type="dxa"/>
          </w:tcPr>
          <w:p w14:paraId="69E25C3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Procentní podíl </w:t>
            </w: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držených peněz zákazníků v této instituci</w:t>
            </w:r>
          </w:p>
          <w:p w14:paraId="2BF8F3D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Podnik uvede částku peněz zákazníků držených ke dni, k němuž se zpráva podává, u každé protistrany nebo ekonomicky spjaté skupiny klientů, pro kterou se podává zpráva, vyjádřenou jako procentní podíl z celkové výše</w:t>
            </w:r>
            <w:r w:rsidRPr="00336696">
              <w:rPr>
                <w:rFonts w:ascii="Times New Roman" w:hAnsi="Times New Roman"/>
                <w:bCs/>
                <w:szCs w:val="24"/>
              </w:rPr>
              <w:t xml:space="preserve"> (uvedené ve sloupci 0050).</w:t>
            </w:r>
          </w:p>
        </w:tc>
      </w:tr>
    </w:tbl>
    <w:p w14:paraId="4628794C" w14:textId="77777777" w:rsidR="004D7AAB" w:rsidRPr="00336696" w:rsidRDefault="004D7AAB">
      <w:pPr>
        <w:spacing w:after="0"/>
        <w:rPr>
          <w:rFonts w:ascii="Times New Roman" w:hAnsi="Times New Roman" w:cs="Times New Roman"/>
          <w:u w:val="single"/>
        </w:rPr>
      </w:pPr>
    </w:p>
    <w:p w14:paraId="19C23DD7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8" w:name="_Toc88125793"/>
      <w:r w:rsidRPr="00336696">
        <w:rPr>
          <w:rFonts w:ascii="Times New Roman" w:hAnsi="Times New Roman"/>
          <w:sz w:val="24"/>
        </w:rPr>
        <w:lastRenderedPageBreak/>
        <w:t>4.4. I 08.02 – ÚROVEŇ RIZIKA KONCENTRACE – MAJETEK V ÚSCHOVĚ A SPRÁVĚ (I 8.2)</w:t>
      </w:r>
      <w:bookmarkEnd w:id="88"/>
    </w:p>
    <w:p w14:paraId="4BCB23CB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9" w:name="_Toc88125794"/>
      <w:r w:rsidRPr="00336696">
        <w:rPr>
          <w:rFonts w:ascii="Times New Roman" w:hAnsi="Times New Roman"/>
          <w:sz w:val="24"/>
          <w:u w:val="none"/>
        </w:rPr>
        <w:t>4.4.1.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>Pokyny týkající se jednotlivých sloupců</w:t>
      </w:r>
      <w:bookmarkEnd w:id="89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098BA3AD" w14:textId="77777777">
        <w:tc>
          <w:tcPr>
            <w:tcW w:w="1389" w:type="dxa"/>
            <w:shd w:val="clear" w:color="auto" w:fill="D9D9D9"/>
          </w:tcPr>
          <w:p w14:paraId="4B28EF8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7C7AAEA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7D387E75" w14:textId="77777777">
        <w:tc>
          <w:tcPr>
            <w:tcW w:w="1389" w:type="dxa"/>
          </w:tcPr>
          <w:p w14:paraId="4D12D75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0010–0060</w:t>
            </w:r>
          </w:p>
        </w:tc>
        <w:tc>
          <w:tcPr>
            <w:tcW w:w="7620" w:type="dxa"/>
          </w:tcPr>
          <w:p w14:paraId="66DB5CD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ASA celkem</w:t>
            </w:r>
          </w:p>
          <w:p w14:paraId="0884E40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54 odst. 2 písm. c) </w:t>
            </w:r>
            <w:r w:rsidRPr="00336696">
              <w:rPr>
                <w:rFonts w:ascii="Times New Roman" w:hAnsi="Times New Roman"/>
                <w:bCs/>
              </w:rPr>
              <w:t>nařízení (EU) 2019/2033.</w:t>
            </w:r>
          </w:p>
          <w:p w14:paraId="6D2D483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Podnik uvede identifikaci pokud možno pěti protistran nebo ekonomicky spjaté skupiny protistran, ve kterých jsou uloženy největší částky cenných papírů zákazníků. </w:t>
            </w:r>
          </w:p>
        </w:tc>
      </w:tr>
      <w:tr w:rsidR="004D7AAB" w:rsidRPr="00336696" w14:paraId="2702D197" w14:textId="77777777">
        <w:tc>
          <w:tcPr>
            <w:tcW w:w="1389" w:type="dxa"/>
          </w:tcPr>
          <w:p w14:paraId="7B5840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3BF5F4D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Kód</w:t>
            </w:r>
          </w:p>
          <w:p w14:paraId="5FB7BE0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Kód jakožto součást identifikátoru řádku musí být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jedinečný pro každý vykazovaný subjekt. V případě investičních podniků a pojišťoven se použije kód LEI. U jiných subjektů se použije kód LEI nebo případně vnitrostátní kód, není-li kód LEI k dispozici. Kód je jedinečný a používá se trvale a ve všech šablon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ách jednotně. V poli pro kód musí být vždy uvedena nějaká hodnota.</w:t>
            </w:r>
          </w:p>
        </w:tc>
      </w:tr>
      <w:tr w:rsidR="004D7AAB" w:rsidRPr="00336696" w14:paraId="602F3676" w14:textId="77777777">
        <w:tc>
          <w:tcPr>
            <w:tcW w:w="1389" w:type="dxa"/>
          </w:tcPr>
          <w:p w14:paraId="322F51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C5CCF5B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Typ kódu</w:t>
            </w:r>
          </w:p>
          <w:p w14:paraId="6F8BC5C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Investiční podniky označí typ kódu vykázaného ve sloupci 0010 jako „typ kódu LEI“ nebo „typ vnitrostátního kódu“.</w:t>
            </w:r>
          </w:p>
        </w:tc>
      </w:tr>
      <w:tr w:rsidR="004D7AAB" w:rsidRPr="00336696" w14:paraId="466BA605" w14:textId="77777777">
        <w:tc>
          <w:tcPr>
            <w:tcW w:w="1389" w:type="dxa"/>
          </w:tcPr>
          <w:p w14:paraId="0E493EB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AF6960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Název/jméno</w:t>
            </w:r>
          </w:p>
          <w:p w14:paraId="50E6EF0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Pokud se podává zpráva </w:t>
            </w:r>
            <w:r w:rsidRPr="00336696">
              <w:rPr>
                <w:rFonts w:ascii="Times New Roman" w:hAnsi="Times New Roman"/>
              </w:rPr>
              <w:t>o ekonomicky spjaté skupině protistran, název musí odpovídat názvu mateřského podniku. Ve všech ostatních případech název odpovídá jednotlivé protistraně.</w:t>
            </w:r>
          </w:p>
        </w:tc>
      </w:tr>
      <w:tr w:rsidR="004D7AAB" w:rsidRPr="00336696" w14:paraId="43FA5CA6" w14:textId="77777777">
        <w:tc>
          <w:tcPr>
            <w:tcW w:w="1389" w:type="dxa"/>
          </w:tcPr>
          <w:p w14:paraId="2ACCF18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35B58A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Skupina nebo jednotlivá protistrana</w:t>
            </w:r>
          </w:p>
          <w:p w14:paraId="32641159" w14:textId="77777777" w:rsidR="004D7AAB" w:rsidRPr="00336696" w:rsidRDefault="00336696">
            <w:pPr>
              <w:pStyle w:val="Default"/>
              <w:jc w:val="both"/>
              <w:rPr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Investiční podnik uvede „1“ v případě podávání zpráv o expo</w:t>
            </w:r>
            <w:r w:rsidRPr="00336696">
              <w:rPr>
                <w:sz w:val="22"/>
                <w:szCs w:val="22"/>
              </w:rPr>
              <w:t xml:space="preserve">zicích vůči jednotlivým klientům nebo „2“ v případě podávání zpráv o expozicích vůči ekonomicky spjatým skupinám klientů. </w:t>
            </w:r>
          </w:p>
        </w:tc>
      </w:tr>
      <w:tr w:rsidR="004D7AAB" w:rsidRPr="00336696" w14:paraId="0856EFC8" w14:textId="77777777">
        <w:tc>
          <w:tcPr>
            <w:tcW w:w="1389" w:type="dxa"/>
          </w:tcPr>
          <w:p w14:paraId="76C1138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68184B2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Majetek v úschově a správě celkem ke dni podání zpráv</w:t>
            </w:r>
          </w:p>
          <w:p w14:paraId="07093C3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celkovou výši cenných papírů zákazníků uložených v každé ins</w:t>
            </w:r>
            <w:r w:rsidRPr="00336696">
              <w:rPr>
                <w:rFonts w:ascii="Times New Roman" w:hAnsi="Times New Roman"/>
                <w:bCs/>
              </w:rPr>
              <w:t>tituci ke dni, k němuž se zpráva podává.</w:t>
            </w:r>
          </w:p>
        </w:tc>
      </w:tr>
      <w:tr w:rsidR="004D7AAB" w:rsidRPr="00336696" w14:paraId="0BAABA54" w14:textId="77777777">
        <w:tc>
          <w:tcPr>
            <w:tcW w:w="1389" w:type="dxa"/>
          </w:tcPr>
          <w:p w14:paraId="0A39862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5BDD40D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Procentní podíl cenných papírů zákazníků uložených v této instituci</w:t>
            </w:r>
          </w:p>
          <w:p w14:paraId="520E5A4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Podnik uvede částku cenných papírů zákazníků uložených ke dni, k němuž se zpráva podává, u každé protistrany nebo ekonomicky spjaté </w:t>
            </w:r>
            <w:r w:rsidRPr="00336696">
              <w:rPr>
                <w:rFonts w:ascii="Times New Roman" w:hAnsi="Times New Roman"/>
                <w:bCs/>
              </w:rPr>
              <w:t>skupiny protistran, pro kterou se podává zpráva, vyjádřenou jako procentní podíl z celkové výše (uvedené ve sloupci 0050).</w:t>
            </w:r>
          </w:p>
        </w:tc>
      </w:tr>
    </w:tbl>
    <w:p w14:paraId="2FBADC24" w14:textId="77777777" w:rsidR="004D7AAB" w:rsidRPr="00336696" w:rsidRDefault="004D7AAB">
      <w:pPr>
        <w:spacing w:after="0"/>
        <w:rPr>
          <w:rFonts w:ascii="Times New Roman" w:hAnsi="Times New Roman" w:cs="Times New Roman"/>
          <w:u w:val="single"/>
        </w:rPr>
      </w:pPr>
    </w:p>
    <w:p w14:paraId="2E9C30B0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0" w:name="_Toc88125795"/>
      <w:r w:rsidRPr="00336696">
        <w:rPr>
          <w:rFonts w:ascii="Times New Roman" w:hAnsi="Times New Roman"/>
          <w:sz w:val="24"/>
        </w:rPr>
        <w:t>4.5. I 08.03 – ÚROVEŇ RIZIKA KONCENTRACE – ULOŽENÁ VLASTNÍ HOTOVOST CELKEM (I 8.3)</w:t>
      </w:r>
      <w:bookmarkEnd w:id="90"/>
    </w:p>
    <w:p w14:paraId="3904A116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1" w:name="_Toc88125796"/>
      <w:r w:rsidRPr="00336696">
        <w:rPr>
          <w:rFonts w:ascii="Times New Roman" w:hAnsi="Times New Roman"/>
          <w:sz w:val="24"/>
          <w:u w:val="none"/>
        </w:rPr>
        <w:t>4.5.1.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 xml:space="preserve">Pokyny týkající se </w:t>
      </w:r>
      <w:r w:rsidRPr="00336696">
        <w:rPr>
          <w:rFonts w:ascii="Times New Roman" w:hAnsi="Times New Roman"/>
          <w:sz w:val="24"/>
        </w:rPr>
        <w:t>jednotlivých sloupců</w:t>
      </w:r>
      <w:bookmarkEnd w:id="91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5C58ACF7" w14:textId="77777777">
        <w:tc>
          <w:tcPr>
            <w:tcW w:w="1389" w:type="dxa"/>
            <w:shd w:val="clear" w:color="auto" w:fill="D9D9D9"/>
          </w:tcPr>
          <w:p w14:paraId="01A497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2266C9C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9679D46" w14:textId="77777777">
        <w:tc>
          <w:tcPr>
            <w:tcW w:w="1389" w:type="dxa"/>
          </w:tcPr>
          <w:p w14:paraId="50F06FD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0010–0060</w:t>
            </w:r>
          </w:p>
        </w:tc>
        <w:tc>
          <w:tcPr>
            <w:tcW w:w="7620" w:type="dxa"/>
          </w:tcPr>
          <w:p w14:paraId="330031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Uložená vlastní hotovost celkem</w:t>
            </w:r>
          </w:p>
          <w:p w14:paraId="296F28E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2 písm. d) a f) nařízení (EU) 2019/2033.</w:t>
            </w:r>
          </w:p>
          <w:p w14:paraId="288174B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 xml:space="preserve">Podnik uvede identifikaci pokud možno pěti protistran nebo ekonomicky spjaté skupiny protistran, ve kterých jsou uloženy největší částky vlastní hotovosti podniku. </w:t>
            </w:r>
          </w:p>
        </w:tc>
      </w:tr>
      <w:tr w:rsidR="004D7AAB" w:rsidRPr="00336696" w14:paraId="28052C90" w14:textId="77777777">
        <w:tc>
          <w:tcPr>
            <w:tcW w:w="1389" w:type="dxa"/>
          </w:tcPr>
          <w:p w14:paraId="6709458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</w:tcPr>
          <w:p w14:paraId="69BCD6E8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Kód</w:t>
            </w:r>
          </w:p>
          <w:p w14:paraId="0C8D691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Kód jakožto součást identifikátoru řádku musí být jedinečný pro každý vykazovaný 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subjekt. V případě investičních podniků a pojišťoven se použije kód LEI. U jiných subjektů se použije kód LEI nebo případně vnitrostátní kód, není-li kód LEI k dispozici. Kód je jedinečný a používá se trvale a ve všech šablonách jednotně. V poli pro kód mu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sí být vždy uvedena nějaká hodnota.</w:t>
            </w:r>
          </w:p>
        </w:tc>
      </w:tr>
      <w:tr w:rsidR="004D7AAB" w:rsidRPr="00336696" w14:paraId="350E3885" w14:textId="77777777">
        <w:tc>
          <w:tcPr>
            <w:tcW w:w="1389" w:type="dxa"/>
          </w:tcPr>
          <w:p w14:paraId="698B534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1077349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Typ kódu</w:t>
            </w:r>
          </w:p>
          <w:p w14:paraId="35DE87D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Investiční podniky označí typ kódu vykázaného ve sloupci 0010 jako „typ kódu LEI“ nebo „typ vnitrostátního kódu“.</w:t>
            </w:r>
          </w:p>
        </w:tc>
      </w:tr>
      <w:tr w:rsidR="004D7AAB" w:rsidRPr="00336696" w14:paraId="6CF7C5ED" w14:textId="77777777">
        <w:tc>
          <w:tcPr>
            <w:tcW w:w="1389" w:type="dxa"/>
          </w:tcPr>
          <w:p w14:paraId="7D9B11F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410E28A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Název/jméno</w:t>
            </w:r>
          </w:p>
          <w:p w14:paraId="573A270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Pokud se podává zpráva o ekonomicky spjaté skupině protistran, název </w:t>
            </w:r>
            <w:r w:rsidRPr="00336696">
              <w:rPr>
                <w:rFonts w:ascii="Times New Roman" w:hAnsi="Times New Roman"/>
              </w:rPr>
              <w:t>musí odpovídat názvu mateřského podniku. Ve všech ostatních případech název odpovídá jednotlivé protistraně.</w:t>
            </w:r>
          </w:p>
        </w:tc>
      </w:tr>
      <w:tr w:rsidR="004D7AAB" w:rsidRPr="00336696" w14:paraId="4EB30AE3" w14:textId="77777777">
        <w:tc>
          <w:tcPr>
            <w:tcW w:w="1389" w:type="dxa"/>
          </w:tcPr>
          <w:p w14:paraId="7871108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493050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Skupina nebo jednotlivá protistrana</w:t>
            </w:r>
          </w:p>
          <w:p w14:paraId="37338646" w14:textId="77777777" w:rsidR="004D7AAB" w:rsidRPr="00336696" w:rsidRDefault="00336696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Investiční podnik uvede „1“ v případě podávání zpráv o expozicích vůči jednotlivým klientům nebo „2“ v př</w:t>
            </w:r>
            <w:r w:rsidRPr="00336696">
              <w:rPr>
                <w:sz w:val="22"/>
                <w:szCs w:val="22"/>
              </w:rPr>
              <w:t xml:space="preserve">ípadě podávání zpráv o expozicích vůči ekonomicky spjatým skupinám klientů. </w:t>
            </w:r>
          </w:p>
        </w:tc>
      </w:tr>
      <w:tr w:rsidR="004D7AAB" w:rsidRPr="00336696" w14:paraId="1BD977B5" w14:textId="77777777">
        <w:tc>
          <w:tcPr>
            <w:tcW w:w="1389" w:type="dxa"/>
          </w:tcPr>
          <w:p w14:paraId="45B590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6163A6D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Částka hotovosti podniku uložené v této instituci</w:t>
            </w:r>
          </w:p>
          <w:p w14:paraId="4704BD2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celkovou výši vlastní hotovosti držené v každé instituci ke dni, k němuž se zpráva podává.</w:t>
            </w:r>
          </w:p>
        </w:tc>
      </w:tr>
      <w:tr w:rsidR="004D7AAB" w:rsidRPr="00336696" w14:paraId="4C47AB28" w14:textId="77777777">
        <w:tc>
          <w:tcPr>
            <w:tcW w:w="1389" w:type="dxa"/>
          </w:tcPr>
          <w:p w14:paraId="00D21BD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1783E79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Procentní podíl vlastní hotovosti podniku uložené v této instituci</w:t>
            </w:r>
          </w:p>
          <w:p w14:paraId="3A57904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částku vlastní hotovosti uložené ke dni, k němuž se zpráva podává, u každé protistrany nebo ekonomicky spjaté skupiny protistran, pro kterou se podává zpráva, vyjádřenou jako p</w:t>
            </w:r>
            <w:r w:rsidRPr="00336696">
              <w:rPr>
                <w:rFonts w:ascii="Times New Roman" w:hAnsi="Times New Roman"/>
                <w:bCs/>
              </w:rPr>
              <w:t>rocentní podíl z celkové výše vlastní hotovosti investičního podniku.</w:t>
            </w:r>
          </w:p>
        </w:tc>
      </w:tr>
    </w:tbl>
    <w:p w14:paraId="747E0322" w14:textId="77777777" w:rsidR="004D7AAB" w:rsidRPr="00336696" w:rsidRDefault="004D7AAB">
      <w:pPr>
        <w:spacing w:after="0"/>
        <w:rPr>
          <w:rFonts w:ascii="Times New Roman" w:hAnsi="Times New Roman" w:cs="Times New Roman"/>
          <w:u w:val="single"/>
        </w:rPr>
      </w:pPr>
    </w:p>
    <w:p w14:paraId="214B14E2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2" w:name="_Toc88125797"/>
      <w:r w:rsidRPr="00336696">
        <w:rPr>
          <w:rFonts w:ascii="Times New Roman" w:hAnsi="Times New Roman"/>
          <w:sz w:val="24"/>
        </w:rPr>
        <w:t>4.6.</w:t>
      </w:r>
      <w:r w:rsidRPr="00336696">
        <w:rPr>
          <w:rFonts w:ascii="Times New Roman" w:hAnsi="Times New Roman"/>
          <w:sz w:val="24"/>
          <w:u w:val="none"/>
        </w:rPr>
        <w:t xml:space="preserve"> </w:t>
      </w:r>
      <w:r w:rsidRPr="00336696">
        <w:rPr>
          <w:rFonts w:ascii="Times New Roman" w:hAnsi="Times New Roman"/>
          <w:sz w:val="24"/>
        </w:rPr>
        <w:t>I</w:t>
      </w:r>
      <w:r w:rsidRPr="00336696">
        <w:rPr>
          <w:rFonts w:ascii="Times New Roman" w:hAnsi="Times New Roman"/>
          <w:sz w:val="24"/>
          <w:u w:val="none"/>
        </w:rPr>
        <w:t> </w:t>
      </w:r>
      <w:r w:rsidRPr="00336696">
        <w:rPr>
          <w:rFonts w:ascii="Times New Roman" w:hAnsi="Times New Roman"/>
          <w:sz w:val="24"/>
        </w:rPr>
        <w:t>08.04 – ÚROVEŇ RIZIKA KONCENTRACE – ZISK CELKEM (I 8.4)</w:t>
      </w:r>
      <w:bookmarkEnd w:id="92"/>
    </w:p>
    <w:p w14:paraId="586CDA5F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3" w:name="_Toc88125798"/>
      <w:r w:rsidRPr="00336696">
        <w:rPr>
          <w:rFonts w:ascii="Times New Roman" w:hAnsi="Times New Roman"/>
          <w:sz w:val="24"/>
          <w:u w:val="none"/>
        </w:rPr>
        <w:t>4.6.1.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>Pokyny týkající se jednotlivých sloupců</w:t>
      </w:r>
      <w:bookmarkEnd w:id="93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63391477" w14:textId="77777777">
        <w:tc>
          <w:tcPr>
            <w:tcW w:w="1389" w:type="dxa"/>
            <w:shd w:val="clear" w:color="auto" w:fill="D9D9D9"/>
          </w:tcPr>
          <w:p w14:paraId="6302582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6BFCFB1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22624970" w14:textId="77777777">
        <w:tc>
          <w:tcPr>
            <w:tcW w:w="1389" w:type="dxa"/>
          </w:tcPr>
          <w:p w14:paraId="1FD3102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0010–0080</w:t>
            </w:r>
          </w:p>
        </w:tc>
        <w:tc>
          <w:tcPr>
            <w:tcW w:w="7620" w:type="dxa"/>
          </w:tcPr>
          <w:p w14:paraId="7F1F190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Zisk celkem</w:t>
            </w:r>
          </w:p>
          <w:p w14:paraId="67102D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2 písm. e) a f) nařízení (EU) 2019/2033.</w:t>
            </w:r>
          </w:p>
          <w:p w14:paraId="72B199B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identifikaci pokud možno pěti zákazníků nebo ekonomicky spjaté skupiny klientů, od nichž pochází největší částky zisku podniku.</w:t>
            </w:r>
          </w:p>
        </w:tc>
      </w:tr>
      <w:tr w:rsidR="004D7AAB" w:rsidRPr="00336696" w14:paraId="53415F35" w14:textId="77777777">
        <w:tc>
          <w:tcPr>
            <w:tcW w:w="1389" w:type="dxa"/>
          </w:tcPr>
          <w:p w14:paraId="2FA8064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C04F122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Kód</w:t>
            </w:r>
          </w:p>
          <w:p w14:paraId="44A3996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Kód jakožto součást identifikátoru řádku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 xml:space="preserve"> musí být jedinečný pro každý vykazovaný subjekt. V případě investičních podniků a pojišťoven se použije kód LEI. U jiných subjektů se použije kód LEI nebo případně vnitrostátní kód, není-li kód LEI k dispozici. Kód je jedinečný a používá se trvale a ve vš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ech šablonách jednotně. V poli pro kód musí být vždy uvedena nějaká hodnota.</w:t>
            </w:r>
          </w:p>
        </w:tc>
      </w:tr>
      <w:tr w:rsidR="004D7AAB" w:rsidRPr="00336696" w14:paraId="5A3E2A9F" w14:textId="77777777">
        <w:tc>
          <w:tcPr>
            <w:tcW w:w="1389" w:type="dxa"/>
          </w:tcPr>
          <w:p w14:paraId="0DEE5D1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C75A687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Typ kódu</w:t>
            </w:r>
          </w:p>
          <w:p w14:paraId="18824FD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Investiční podniky označí typ kódu vykázaného ve sloupci 0010 jako „typ kódu LEI“ nebo „typ vnitrostátního kódu“.</w:t>
            </w:r>
          </w:p>
        </w:tc>
      </w:tr>
      <w:tr w:rsidR="004D7AAB" w:rsidRPr="00336696" w14:paraId="10D51600" w14:textId="77777777">
        <w:tc>
          <w:tcPr>
            <w:tcW w:w="1389" w:type="dxa"/>
          </w:tcPr>
          <w:p w14:paraId="1DF5FA1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0088268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Název/jméno</w:t>
            </w:r>
          </w:p>
          <w:p w14:paraId="023A477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 xml:space="preserve">Pokud se podává zpráva </w:t>
            </w:r>
            <w:r w:rsidRPr="00336696">
              <w:rPr>
                <w:rFonts w:ascii="Times New Roman" w:hAnsi="Times New Roman"/>
              </w:rPr>
              <w:t>o ekonomicky spjaté skupině klientů, název musí odpovídat názvu mateřského podniku. Ve všech ostatních případech název odpovídá jednotlivého klienta.</w:t>
            </w:r>
          </w:p>
        </w:tc>
      </w:tr>
      <w:tr w:rsidR="004D7AAB" w:rsidRPr="00336696" w14:paraId="337276E7" w14:textId="77777777">
        <w:tc>
          <w:tcPr>
            <w:tcW w:w="1389" w:type="dxa"/>
          </w:tcPr>
          <w:p w14:paraId="59B9B49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4519A9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Skupina nebo jednotlivá protistrana</w:t>
            </w:r>
          </w:p>
          <w:p w14:paraId="09A5A9D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Investiční podnik uvede „1“ v případě podávání zpráv o expozicíc</w:t>
            </w:r>
            <w:r w:rsidRPr="00336696">
              <w:rPr>
                <w:rFonts w:ascii="Times New Roman" w:hAnsi="Times New Roman"/>
              </w:rPr>
              <w:t>h vůči jednotlivým klientům nebo „2“ v případě podávání zpráv o expozicích vůči ekonomicky spjatým skupinám klientů.</w:t>
            </w:r>
          </w:p>
        </w:tc>
      </w:tr>
      <w:tr w:rsidR="004D7AAB" w:rsidRPr="00336696" w14:paraId="404B9CC2" w14:textId="77777777">
        <w:tc>
          <w:tcPr>
            <w:tcW w:w="1389" w:type="dxa"/>
          </w:tcPr>
          <w:p w14:paraId="494839C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2DE956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Celkové výnosy od tohoto zákazníka</w:t>
            </w:r>
          </w:p>
          <w:p w14:paraId="6015D2F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Podnik vykáže celkové výnosy na každého klienta nebo ekonomicky spjatou skupinu klientů vytvořené </w:t>
            </w:r>
            <w:r w:rsidRPr="00336696">
              <w:rPr>
                <w:rFonts w:ascii="Times New Roman" w:hAnsi="Times New Roman"/>
                <w:bCs/>
              </w:rPr>
              <w:t>od začátku účetního období. Výnosy se člení na úrokové výnosy a výnosy z dividend na jedné straně a výnosy z poplatků a provizí a ostatní výnosy na straně druhé.</w:t>
            </w:r>
          </w:p>
        </w:tc>
      </w:tr>
      <w:tr w:rsidR="004D7AAB" w:rsidRPr="00336696" w14:paraId="6A1F0E93" w14:textId="77777777">
        <w:tc>
          <w:tcPr>
            <w:tcW w:w="1389" w:type="dxa"/>
          </w:tcPr>
          <w:p w14:paraId="2FC9937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0060–0090</w:t>
            </w:r>
          </w:p>
        </w:tc>
        <w:tc>
          <w:tcPr>
            <w:tcW w:w="7620" w:type="dxa"/>
          </w:tcPr>
          <w:p w14:paraId="632A558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Úrokové výnosy a výnosy z dividend</w:t>
            </w:r>
          </w:p>
        </w:tc>
      </w:tr>
      <w:tr w:rsidR="004D7AAB" w:rsidRPr="00336696" w14:paraId="1014EE1F" w14:textId="77777777">
        <w:tc>
          <w:tcPr>
            <w:tcW w:w="1389" w:type="dxa"/>
          </w:tcPr>
          <w:p w14:paraId="447F200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0060 </w:t>
            </w:r>
          </w:p>
        </w:tc>
        <w:tc>
          <w:tcPr>
            <w:tcW w:w="7620" w:type="dxa"/>
          </w:tcPr>
          <w:p w14:paraId="5BFB90D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Úrokové výnosy a výnosy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z dividend – částka vytvořená z pozic v obchodním portfoliu</w:t>
            </w:r>
          </w:p>
          <w:p w14:paraId="5CF0771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Obchodní portfolio podle čl. 4 odst. 1 bodu 54 nařízení (EU) 2019/2033. </w:t>
            </w:r>
          </w:p>
        </w:tc>
      </w:tr>
      <w:tr w:rsidR="004D7AAB" w:rsidRPr="00336696" w14:paraId="6C69E153" w14:textId="77777777">
        <w:tc>
          <w:tcPr>
            <w:tcW w:w="1389" w:type="dxa"/>
          </w:tcPr>
          <w:p w14:paraId="0DFFC30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27EA8E8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Úrokové výnosy a výnosy z dividend – částka vytvořená z pozic v investičním portfoliu</w:t>
            </w:r>
          </w:p>
        </w:tc>
      </w:tr>
      <w:tr w:rsidR="004D7AAB" w:rsidRPr="00336696" w14:paraId="12266093" w14:textId="77777777">
        <w:tc>
          <w:tcPr>
            <w:tcW w:w="1389" w:type="dxa"/>
          </w:tcPr>
          <w:p w14:paraId="34F60DA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5E76E4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Úrokové výnosy a výnosy z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 dividend – z toho: Částka vytvořená z podrozvahových položek</w:t>
            </w:r>
          </w:p>
        </w:tc>
      </w:tr>
      <w:tr w:rsidR="004D7AAB" w:rsidRPr="00336696" w14:paraId="11B4E4CD" w14:textId="77777777">
        <w:tc>
          <w:tcPr>
            <w:tcW w:w="1389" w:type="dxa"/>
          </w:tcPr>
          <w:p w14:paraId="6553B09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6AB15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Procentní podíl úrokových výnosů a výnosů z dividend od tohoto zákazníka</w:t>
            </w:r>
          </w:p>
          <w:p w14:paraId="7C7438D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úrokové výnosy a výnosy z dividend vytvořené od každého zákazníka nebo ekonomicky spjaté skupiny klien</w:t>
            </w:r>
            <w:r w:rsidRPr="00336696">
              <w:rPr>
                <w:rFonts w:ascii="Times New Roman" w:hAnsi="Times New Roman"/>
                <w:bCs/>
              </w:rPr>
              <w:t>tů, vyjádřené jako procentní podíl z celkových úrokových výnosů a výnosů z dividend investičního podniku.</w:t>
            </w:r>
          </w:p>
        </w:tc>
      </w:tr>
      <w:tr w:rsidR="004D7AAB" w:rsidRPr="00336696" w14:paraId="0BC778CC" w14:textId="77777777">
        <w:tc>
          <w:tcPr>
            <w:tcW w:w="1389" w:type="dxa"/>
          </w:tcPr>
          <w:p w14:paraId="63BA408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0100–0110</w:t>
            </w:r>
          </w:p>
        </w:tc>
        <w:tc>
          <w:tcPr>
            <w:tcW w:w="7620" w:type="dxa"/>
          </w:tcPr>
          <w:p w14:paraId="7B4B1D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Poplatky a provize a jiné výnosy</w:t>
            </w:r>
          </w:p>
        </w:tc>
      </w:tr>
      <w:tr w:rsidR="004D7AAB" w:rsidRPr="00336696" w14:paraId="53621E1C" w14:textId="77777777">
        <w:tc>
          <w:tcPr>
            <w:tcW w:w="1389" w:type="dxa"/>
          </w:tcPr>
          <w:p w14:paraId="7E71D5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0100 </w:t>
            </w:r>
          </w:p>
        </w:tc>
        <w:tc>
          <w:tcPr>
            <w:tcW w:w="7620" w:type="dxa"/>
          </w:tcPr>
          <w:p w14:paraId="7006E3E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Poplatky a provize a jiné výnosy – výše </w:t>
            </w:r>
          </w:p>
        </w:tc>
      </w:tr>
      <w:tr w:rsidR="004D7AAB" w:rsidRPr="00336696" w14:paraId="63FE0A3A" w14:textId="77777777">
        <w:tc>
          <w:tcPr>
            <w:tcW w:w="1389" w:type="dxa"/>
          </w:tcPr>
          <w:p w14:paraId="762A08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459487F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Procentní podíl poplatků a provizí a jiných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výnosů od tohoto zákazníka</w:t>
            </w:r>
          </w:p>
          <w:p w14:paraId="6E30DF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poplatky a provize a jiné výnosy vytvořené od každého zákazníka nebo ekonomicky spjaté skupiny klientů, vyjádřené jako procentní podíl z celkových poplatků a provizí a jiných výnosů investičního podniku.</w:t>
            </w:r>
          </w:p>
        </w:tc>
      </w:tr>
    </w:tbl>
    <w:p w14:paraId="23DB4EC7" w14:textId="77777777" w:rsidR="004D7AAB" w:rsidRPr="00336696" w:rsidRDefault="004D7AAB">
      <w:pPr>
        <w:spacing w:after="0"/>
        <w:rPr>
          <w:rFonts w:ascii="Times New Roman" w:hAnsi="Times New Roman" w:cs="Times New Roman"/>
          <w:u w:val="single"/>
        </w:rPr>
      </w:pPr>
    </w:p>
    <w:p w14:paraId="2F69FDDD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4" w:name="_Toc88125799"/>
      <w:r w:rsidRPr="00336696">
        <w:rPr>
          <w:rFonts w:ascii="Times New Roman" w:hAnsi="Times New Roman"/>
          <w:sz w:val="24"/>
        </w:rPr>
        <w:t>4.7.</w:t>
      </w:r>
      <w:r w:rsidRPr="00336696">
        <w:rPr>
          <w:rFonts w:ascii="Times New Roman" w:hAnsi="Times New Roman"/>
          <w:sz w:val="24"/>
          <w:u w:val="none"/>
        </w:rPr>
        <w:t xml:space="preserve"> </w:t>
      </w:r>
      <w:r w:rsidRPr="00336696">
        <w:rPr>
          <w:rFonts w:ascii="Times New Roman" w:hAnsi="Times New Roman"/>
          <w:sz w:val="24"/>
        </w:rPr>
        <w:t>I</w:t>
      </w:r>
      <w:r w:rsidRPr="00336696">
        <w:rPr>
          <w:rFonts w:ascii="Times New Roman" w:hAnsi="Times New Roman"/>
          <w:sz w:val="24"/>
          <w:u w:val="none"/>
        </w:rPr>
        <w:t> </w:t>
      </w:r>
      <w:r w:rsidRPr="00336696">
        <w:rPr>
          <w:rFonts w:ascii="Times New Roman" w:hAnsi="Times New Roman"/>
          <w:sz w:val="24"/>
        </w:rPr>
        <w:t>08.05 – EXPOZICE OBCHODNÍHO PORTFOLIA (I 8.5)</w:t>
      </w:r>
      <w:bookmarkEnd w:id="94"/>
    </w:p>
    <w:p w14:paraId="103CCB66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5" w:name="_Toc88125800"/>
      <w:r w:rsidRPr="00336696">
        <w:rPr>
          <w:rFonts w:ascii="Times New Roman" w:hAnsi="Times New Roman"/>
          <w:sz w:val="24"/>
          <w:u w:val="none"/>
        </w:rPr>
        <w:t>4.7.1.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>Pokyny týkající se jednotlivých sloupců</w:t>
      </w:r>
      <w:bookmarkEnd w:id="95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082BC66D" w14:textId="77777777">
        <w:tc>
          <w:tcPr>
            <w:tcW w:w="1389" w:type="dxa"/>
            <w:shd w:val="clear" w:color="auto" w:fill="D9D9D9"/>
          </w:tcPr>
          <w:p w14:paraId="0753BFC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32F1FAB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právní předpisy a pokyny</w:t>
            </w:r>
          </w:p>
        </w:tc>
      </w:tr>
      <w:tr w:rsidR="004D7AAB" w:rsidRPr="00336696" w14:paraId="0D2B082F" w14:textId="77777777">
        <w:tc>
          <w:tcPr>
            <w:tcW w:w="1389" w:type="dxa"/>
          </w:tcPr>
          <w:p w14:paraId="126800D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0010–0050</w:t>
            </w:r>
          </w:p>
        </w:tc>
        <w:tc>
          <w:tcPr>
            <w:tcW w:w="7620" w:type="dxa"/>
          </w:tcPr>
          <w:p w14:paraId="3AF414C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Expozice obchodního portfolia</w:t>
            </w:r>
          </w:p>
          <w:p w14:paraId="40CD579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2 písm. a) nařízení (EU) 2019/2033.</w:t>
            </w:r>
          </w:p>
          <w:p w14:paraId="20A5A15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 xml:space="preserve">Podnik uvede </w:t>
            </w:r>
            <w:r w:rsidRPr="00336696">
              <w:rPr>
                <w:rFonts w:ascii="Times New Roman" w:hAnsi="Times New Roman"/>
                <w:bCs/>
              </w:rPr>
              <w:t>informace o pěti nejvýznamnějších expozicích obchodního portfolia, jsou-li k dispozici.</w:t>
            </w:r>
          </w:p>
        </w:tc>
      </w:tr>
      <w:tr w:rsidR="004D7AAB" w:rsidRPr="00336696" w14:paraId="4BACE13E" w14:textId="77777777">
        <w:tc>
          <w:tcPr>
            <w:tcW w:w="1389" w:type="dxa"/>
          </w:tcPr>
          <w:p w14:paraId="46E59F6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</w:tcPr>
          <w:p w14:paraId="72222D2D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Kód</w:t>
            </w:r>
          </w:p>
          <w:p w14:paraId="242C1EF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Kód jakožto součást identifikátoru řádku musí být jedinečný pro každý vykazovaný subjekt. V případě investičních podniků a pojišťoven se použije kód LEI. U ji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</w:rPr>
              <w:t>ných subjektů se použije kód LEI nebo případně vnitrostátní kód, není-li kód LEI k dispozici. Kód je jedinečný a používá se trvale a ve všech šablonách jednotně. V poli pro kód musí být vždy uvedena nějaká hodnota.</w:t>
            </w:r>
          </w:p>
        </w:tc>
      </w:tr>
      <w:tr w:rsidR="004D7AAB" w:rsidRPr="00336696" w14:paraId="171CDD05" w14:textId="77777777">
        <w:tc>
          <w:tcPr>
            <w:tcW w:w="1389" w:type="dxa"/>
          </w:tcPr>
          <w:p w14:paraId="4249D67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5B6B136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Typ kódu</w:t>
            </w:r>
          </w:p>
          <w:p w14:paraId="6CB92DB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Investiční podniky </w:t>
            </w:r>
            <w:r w:rsidRPr="00336696">
              <w:rPr>
                <w:rFonts w:ascii="Times New Roman" w:hAnsi="Times New Roman"/>
                <w:bCs/>
              </w:rPr>
              <w:t>označí typ kódu vykázaného ve sloupci 0010 jako „typ kódu LEI“ nebo „typ vnitrostátního kódu“.</w:t>
            </w:r>
          </w:p>
        </w:tc>
      </w:tr>
      <w:tr w:rsidR="004D7AAB" w:rsidRPr="00336696" w14:paraId="2976BB64" w14:textId="77777777">
        <w:tc>
          <w:tcPr>
            <w:tcW w:w="1389" w:type="dxa"/>
          </w:tcPr>
          <w:p w14:paraId="4957BA3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458EDE8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Název/jméno</w:t>
            </w:r>
          </w:p>
          <w:p w14:paraId="14FC2DD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Pokud se podává zpráva o ekonomicky spjaté skupině protistran, název musí odpovídat názvu mateřského podniku. Ve všech ostatních případech náze</w:t>
            </w:r>
            <w:r w:rsidRPr="00336696">
              <w:rPr>
                <w:rFonts w:ascii="Times New Roman" w:hAnsi="Times New Roman"/>
              </w:rPr>
              <w:t>v odpovídá jednotlivé protistraně.</w:t>
            </w:r>
          </w:p>
        </w:tc>
      </w:tr>
      <w:tr w:rsidR="004D7AAB" w:rsidRPr="00336696" w14:paraId="6406DAB6" w14:textId="77777777">
        <w:tc>
          <w:tcPr>
            <w:tcW w:w="1389" w:type="dxa"/>
          </w:tcPr>
          <w:p w14:paraId="4AFFA69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CA7090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Skupina nebo jednotlivá protistrana</w:t>
            </w:r>
          </w:p>
          <w:p w14:paraId="3F13573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</w:rPr>
              <w:t>Investiční podnik uvede „1“ v případě podávání zpráv o expozicích vůči jednotlivým klientům nebo „2“ v případě podávání zpráv o expozicích vůči ekonomicky spjatým skupinám klientů</w:t>
            </w:r>
            <w:r w:rsidRPr="00336696">
              <w:rPr>
                <w:rFonts w:ascii="Times New Roman" w:hAnsi="Times New Roman"/>
              </w:rPr>
              <w:t>.</w:t>
            </w:r>
          </w:p>
        </w:tc>
      </w:tr>
      <w:tr w:rsidR="004D7AAB" w:rsidRPr="00336696" w14:paraId="464DC60C" w14:textId="77777777">
        <w:tc>
          <w:tcPr>
            <w:tcW w:w="1389" w:type="dxa"/>
          </w:tcPr>
          <w:p w14:paraId="7601554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C306FF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Procentní podíl expozice vůči této protistraně s ohledem na kapitál podniku (pouze pozice v obchodním portfoliu)</w:t>
            </w:r>
          </w:p>
          <w:p w14:paraId="5944FA9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Podnik uvede expozice obchodního portfolia ke dni, k němuž se zpráva podává, vůči každé protistraně nebo ekonomicky spjaté skupině prot</w:t>
            </w:r>
            <w:r w:rsidRPr="00336696">
              <w:rPr>
                <w:rFonts w:ascii="Times New Roman" w:hAnsi="Times New Roman"/>
                <w:bCs/>
              </w:rPr>
              <w:t>istran, pro kterou se podává zpráva, vyjádřené jako procentní podíl kapitálu).</w:t>
            </w:r>
          </w:p>
        </w:tc>
      </w:tr>
    </w:tbl>
    <w:p w14:paraId="30B3A2BC" w14:textId="77777777" w:rsidR="004D7AAB" w:rsidRPr="00336696" w:rsidRDefault="004D7AAB">
      <w:pPr>
        <w:spacing w:after="0"/>
        <w:rPr>
          <w:rFonts w:ascii="Times New Roman" w:hAnsi="Times New Roman" w:cs="Times New Roman"/>
          <w:u w:val="single"/>
        </w:rPr>
      </w:pPr>
    </w:p>
    <w:p w14:paraId="7676E11B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6" w:name="_Toc88125801"/>
      <w:r w:rsidRPr="00336696">
        <w:rPr>
          <w:rFonts w:ascii="Times New Roman" w:hAnsi="Times New Roman"/>
          <w:sz w:val="24"/>
        </w:rPr>
        <w:t>4.8. I 08.06 – INVESTIČNÍ PORTFOLIO A PODROZVAHOVÉ POLOŽKY (I 8.6)</w:t>
      </w:r>
      <w:bookmarkEnd w:id="96"/>
    </w:p>
    <w:p w14:paraId="49A6CEB5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7" w:name="_Toc88125802"/>
      <w:r w:rsidRPr="00336696">
        <w:rPr>
          <w:rFonts w:ascii="Times New Roman" w:hAnsi="Times New Roman"/>
          <w:sz w:val="24"/>
          <w:u w:val="none"/>
        </w:rPr>
        <w:t>4.8.1.</w:t>
      </w:r>
      <w:r w:rsidRPr="00336696">
        <w:rPr>
          <w:rFonts w:ascii="Times New Roman" w:hAnsi="Times New Roman"/>
          <w:sz w:val="24"/>
          <w:u w:val="none"/>
        </w:rPr>
        <w:tab/>
      </w:r>
      <w:r w:rsidRPr="00336696">
        <w:rPr>
          <w:rFonts w:ascii="Times New Roman" w:hAnsi="Times New Roman"/>
          <w:sz w:val="24"/>
        </w:rPr>
        <w:t>Pokyny týkající se jednotlivých sloupců</w:t>
      </w:r>
      <w:bookmarkEnd w:id="97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D7AAB" w:rsidRPr="00336696" w14:paraId="4DE0B9F6" w14:textId="77777777">
        <w:tc>
          <w:tcPr>
            <w:tcW w:w="1389" w:type="dxa"/>
            <w:shd w:val="clear" w:color="auto" w:fill="D9D9D9"/>
          </w:tcPr>
          <w:p w14:paraId="1F54C0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Sloupce</w:t>
            </w:r>
          </w:p>
        </w:tc>
        <w:tc>
          <w:tcPr>
            <w:tcW w:w="7620" w:type="dxa"/>
            <w:shd w:val="clear" w:color="auto" w:fill="D9D9D9"/>
          </w:tcPr>
          <w:p w14:paraId="1156E6C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4"/>
              </w:rPr>
              <w:t>Odkazy na právní předpisy a pokyny</w:t>
            </w:r>
          </w:p>
        </w:tc>
      </w:tr>
      <w:tr w:rsidR="004D7AAB" w:rsidRPr="00336696" w14:paraId="3F3E5C9C" w14:textId="77777777">
        <w:tc>
          <w:tcPr>
            <w:tcW w:w="1389" w:type="dxa"/>
          </w:tcPr>
          <w:p w14:paraId="414ADF6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0010–0050</w:t>
            </w:r>
          </w:p>
        </w:tc>
        <w:tc>
          <w:tcPr>
            <w:tcW w:w="7620" w:type="dxa"/>
          </w:tcPr>
          <w:p w14:paraId="7068F5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Investiční portfolio a podrozvahové položky</w:t>
            </w:r>
          </w:p>
          <w:p w14:paraId="058D683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</w:rPr>
              <w:t>Ustanovení čl. 54 odst. 2 písm. f) nařízení (EU) 2019/2033.</w:t>
            </w:r>
          </w:p>
          <w:p w14:paraId="1CE2AE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Podnik uvede informace týkající se pokud možno pěti nejvýznamnějších expozic vypočítaných včetně aktiv neevidovaných v obchodním portfoliu.</w:t>
            </w:r>
          </w:p>
        </w:tc>
      </w:tr>
      <w:tr w:rsidR="004D7AAB" w:rsidRPr="00336696" w14:paraId="09A21025" w14:textId="77777777">
        <w:tc>
          <w:tcPr>
            <w:tcW w:w="1389" w:type="dxa"/>
          </w:tcPr>
          <w:p w14:paraId="5673B0D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2F546F6B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</w:rPr>
              <w:t>Kód</w:t>
            </w:r>
          </w:p>
          <w:p w14:paraId="554315A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Kód jakožto součást identifikátoru řádku musí být jedinečný pro každý vykazovaný subjekt. V případě investičních podniků a pojišťoven se použije kód LEI. U jiných subjektů se použije kód LEI nebo případně vnitrostátní kód, není-li kód LEI k dispoz</w:t>
            </w:r>
            <w:r w:rsidRPr="00336696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ici. Kód je jedinečný a používá se trvale a ve všech šablonách jednotně. V poli pro kód musí být vždy uvedena nějaká hodnota.</w:t>
            </w:r>
          </w:p>
        </w:tc>
      </w:tr>
      <w:tr w:rsidR="004D7AAB" w:rsidRPr="00336696" w14:paraId="54C27A8A" w14:textId="77777777">
        <w:tc>
          <w:tcPr>
            <w:tcW w:w="1389" w:type="dxa"/>
          </w:tcPr>
          <w:p w14:paraId="29520D9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4BDF615F" w14:textId="77777777" w:rsidR="004D7AAB" w:rsidRPr="00336696" w:rsidRDefault="00336696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336696">
              <w:rPr>
                <w:rStyle w:val="InstructionsTabelleberschrift"/>
                <w:rFonts w:ascii="Times New Roman" w:hAnsi="Times New Roman"/>
                <w:sz w:val="22"/>
              </w:rPr>
              <w:t>Typ kódu</w:t>
            </w:r>
          </w:p>
          <w:p w14:paraId="53A7505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Investiční podniky označí typ kódu vykázaného ve sloupci 0010 jako „typ kódu LEI“ nebo „typ vnitrostátního kódu“.</w:t>
            </w:r>
          </w:p>
        </w:tc>
      </w:tr>
      <w:tr w:rsidR="004D7AAB" w:rsidRPr="00336696" w14:paraId="61ABC311" w14:textId="77777777">
        <w:tc>
          <w:tcPr>
            <w:tcW w:w="1389" w:type="dxa"/>
          </w:tcPr>
          <w:p w14:paraId="43E3E4E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18D1A44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Název/jméno</w:t>
            </w:r>
          </w:p>
          <w:p w14:paraId="3D96EA6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szCs w:val="23"/>
              </w:rPr>
              <w:lastRenderedPageBreak/>
              <w:t>Pokud se podává zpráva o ekonomicky spjaté skupině protistran, název musí odpovídat názvu mateřského podniku. Ve všech ostatních případech název odpovídá jednotlivé protistraně.</w:t>
            </w:r>
          </w:p>
        </w:tc>
      </w:tr>
      <w:tr w:rsidR="004D7AAB" w:rsidRPr="00336696" w14:paraId="6855849A" w14:textId="77777777">
        <w:tc>
          <w:tcPr>
            <w:tcW w:w="1389" w:type="dxa"/>
          </w:tcPr>
          <w:p w14:paraId="156745D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lastRenderedPageBreak/>
              <w:t>0040</w:t>
            </w:r>
          </w:p>
        </w:tc>
        <w:tc>
          <w:tcPr>
            <w:tcW w:w="7620" w:type="dxa"/>
          </w:tcPr>
          <w:p w14:paraId="35EFC4D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Skupina nebo jednotlivá protistrana</w:t>
            </w:r>
          </w:p>
          <w:p w14:paraId="4A60381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szCs w:val="24"/>
              </w:rPr>
              <w:t>Investiční podnik uvede „1“ v případě podávání zpráv o expozicích vůči jednotlivým klientům nebo „2“ v případě podávání zpráv o expozicích vůči ekonomicky spjatým skupinám klientů.</w:t>
            </w:r>
          </w:p>
        </w:tc>
      </w:tr>
      <w:tr w:rsidR="004D7AAB" w:rsidRPr="00336696" w14:paraId="36761FA9" w14:textId="77777777">
        <w:tc>
          <w:tcPr>
            <w:tcW w:w="1389" w:type="dxa"/>
          </w:tcPr>
          <w:p w14:paraId="33CD008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0050</w:t>
            </w:r>
          </w:p>
        </w:tc>
        <w:tc>
          <w:tcPr>
            <w:tcW w:w="7620" w:type="dxa"/>
          </w:tcPr>
          <w:p w14:paraId="5A9938A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Procentní podíl expozice s ohledem na kapitál podniku (včetně </w:t>
            </w:r>
            <w:r w:rsidRPr="00336696">
              <w:rPr>
                <w:rFonts w:ascii="Times New Roman" w:hAnsi="Times New Roman"/>
                <w:b/>
                <w:bCs/>
                <w:szCs w:val="24"/>
                <w:u w:val="single"/>
              </w:rPr>
              <w:t>podrozvahových položek a položek investičního portfolia)</w:t>
            </w:r>
          </w:p>
          <w:p w14:paraId="431FCFD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336696">
              <w:rPr>
                <w:rFonts w:ascii="Times New Roman" w:hAnsi="Times New Roman"/>
                <w:bCs/>
                <w:szCs w:val="24"/>
              </w:rPr>
              <w:t>Podnik uvede expozice vypočítané s přihlédnutím k aktivům a podrozvahovým položkám neevidovaným v obchodním portfoliu nad rámec pozic v obchodním portfoliu, a to ke dni podání zprávy vůči každé proti</w:t>
            </w:r>
            <w:r w:rsidRPr="00336696">
              <w:rPr>
                <w:rFonts w:ascii="Times New Roman" w:hAnsi="Times New Roman"/>
                <w:bCs/>
                <w:szCs w:val="24"/>
              </w:rPr>
              <w:t>straně nebo ekonomicky spjaté skupině protistran, pro které se zpráva podává, vyjádřené jako procentní podíl způsobilého kapitálu.</w:t>
            </w:r>
          </w:p>
        </w:tc>
      </w:tr>
    </w:tbl>
    <w:p w14:paraId="6CA97015" w14:textId="77777777" w:rsidR="004D7AAB" w:rsidRPr="00336696" w:rsidRDefault="004D7AAB">
      <w:pPr>
        <w:spacing w:after="0"/>
        <w:rPr>
          <w:rFonts w:ascii="Times New Roman" w:hAnsi="Times New Roman" w:cs="Times New Roman"/>
          <w:u w:val="single"/>
        </w:rPr>
      </w:pPr>
    </w:p>
    <w:p w14:paraId="3B3DBFBA" w14:textId="77777777" w:rsidR="004D7AAB" w:rsidRPr="00336696" w:rsidRDefault="00336696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98" w:name="_Toc88125803"/>
      <w:r w:rsidRPr="00336696">
        <w:rPr>
          <w:rFonts w:ascii="Times New Roman" w:hAnsi="Times New Roman"/>
          <w:b/>
          <w:sz w:val="24"/>
        </w:rPr>
        <w:t>5. POŽADAVKY NA LIKVIDITU</w:t>
      </w:r>
      <w:bookmarkEnd w:id="98"/>
    </w:p>
    <w:p w14:paraId="4AF12434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99" w:name="_Toc88125804"/>
      <w:r w:rsidRPr="00336696">
        <w:rPr>
          <w:rFonts w:ascii="Times New Roman" w:hAnsi="Times New Roman"/>
          <w:sz w:val="24"/>
          <w:szCs w:val="24"/>
          <w:u w:val="single"/>
        </w:rPr>
        <w:t>5.1 I 09.00 – POŽADAVKY NA LIKVIDITU (I 9)</w:t>
      </w:r>
      <w:bookmarkEnd w:id="99"/>
    </w:p>
    <w:p w14:paraId="2006AC5E" w14:textId="77777777" w:rsidR="004D7AAB" w:rsidRPr="00336696" w:rsidRDefault="00336696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00" w:name="_Toc88125805"/>
      <w:r w:rsidRPr="00336696">
        <w:rPr>
          <w:rFonts w:ascii="Times New Roman" w:hAnsi="Times New Roman"/>
          <w:sz w:val="24"/>
          <w:szCs w:val="24"/>
        </w:rPr>
        <w:t>5.1.1.</w:t>
      </w:r>
      <w:r w:rsidRPr="00336696">
        <w:rPr>
          <w:rFonts w:ascii="Times New Roman" w:hAnsi="Times New Roman"/>
          <w:sz w:val="24"/>
          <w:szCs w:val="24"/>
        </w:rPr>
        <w:tab/>
      </w:r>
      <w:r w:rsidRPr="00336696">
        <w:rPr>
          <w:rFonts w:ascii="Times New Roman" w:hAnsi="Times New Roman"/>
          <w:sz w:val="24"/>
          <w:szCs w:val="24"/>
          <w:u w:val="single"/>
        </w:rPr>
        <w:t>Pokyny pro konkrétní pozice</w:t>
      </w:r>
      <w:bookmarkEnd w:id="10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7AAB" w:rsidRPr="00336696" w14:paraId="1C923DCC" w14:textId="77777777">
        <w:tc>
          <w:tcPr>
            <w:tcW w:w="1129" w:type="dxa"/>
            <w:shd w:val="clear" w:color="auto" w:fill="D9D9D9"/>
          </w:tcPr>
          <w:p w14:paraId="3B0F64F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58A066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</w:rPr>
              <w:t>Odkazy na prá</w:t>
            </w:r>
            <w:r w:rsidRPr="00336696">
              <w:rPr>
                <w:rFonts w:ascii="Times New Roman" w:hAnsi="Times New Roman"/>
              </w:rPr>
              <w:t>vní předpisy a pokyny</w:t>
            </w:r>
          </w:p>
        </w:tc>
      </w:tr>
      <w:tr w:rsidR="004D7AAB" w:rsidRPr="00336696" w14:paraId="7CE4956E" w14:textId="77777777">
        <w:tc>
          <w:tcPr>
            <w:tcW w:w="1129" w:type="dxa"/>
          </w:tcPr>
          <w:p w14:paraId="31598C7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36F2E9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Požadavek na likviditu</w:t>
            </w:r>
          </w:p>
          <w:p w14:paraId="6B5A290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43 odst. 1 nařízení (EU) 2019/2033.</w:t>
            </w:r>
          </w:p>
        </w:tc>
      </w:tr>
      <w:tr w:rsidR="004D7AAB" w:rsidRPr="00336696" w14:paraId="0B7531AB" w14:textId="77777777">
        <w:tc>
          <w:tcPr>
            <w:tcW w:w="1129" w:type="dxa"/>
          </w:tcPr>
          <w:p w14:paraId="68459D7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1B6A57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Záruky zákazníkům</w:t>
            </w:r>
          </w:p>
          <w:p w14:paraId="66F77C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45</w:t>
            </w:r>
            <w:r w:rsidRPr="00336696">
              <w:rPr>
                <w:rFonts w:ascii="Times New Roman" w:hAnsi="Times New Roman"/>
                <w:bCs/>
              </w:rPr>
              <w:t xml:space="preserve"> nařízení (EU) 2019/2033.</w:t>
            </w:r>
          </w:p>
          <w:p w14:paraId="3F67C81F" w14:textId="77777777" w:rsidR="004D7AAB" w:rsidRPr="00336696" w:rsidRDefault="00336696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36696">
              <w:rPr>
                <w:rFonts w:ascii="Times New Roman" w:hAnsi="Times New Roman"/>
                <w:bCs/>
                <w:sz w:val="22"/>
                <w:szCs w:val="22"/>
              </w:rPr>
              <w:t xml:space="preserve">Vykáže se hodnota odpovídající 1,6 % z celkové částky záruk poskytnutých zákazníkům podle </w:t>
            </w:r>
            <w:r w:rsidRPr="00336696">
              <w:rPr>
                <w:rFonts w:ascii="Times New Roman" w:hAnsi="Times New Roman"/>
                <w:bCs/>
                <w:sz w:val="22"/>
                <w:szCs w:val="22"/>
              </w:rPr>
              <w:t>článku 45 nařízení (EU) 2019/2033.</w:t>
            </w:r>
          </w:p>
        </w:tc>
      </w:tr>
      <w:tr w:rsidR="004D7AAB" w:rsidRPr="00336696" w14:paraId="4CF8CF90" w14:textId="77777777">
        <w:tc>
          <w:tcPr>
            <w:tcW w:w="1129" w:type="dxa"/>
          </w:tcPr>
          <w:p w14:paraId="29FF2FE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DDCC4D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Likvidní aktiva celkem</w:t>
            </w:r>
          </w:p>
          <w:p w14:paraId="59797BB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43 odst. 1 písm. a) a čl. 43 odst. 2 nařízení (EU) 2019/2033.</w:t>
            </w:r>
          </w:p>
          <w:p w14:paraId="248B4FF4" w14:textId="77777777" w:rsidR="004D7AAB" w:rsidRPr="00336696" w:rsidRDefault="00336696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36696">
              <w:rPr>
                <w:rFonts w:ascii="Times New Roman" w:hAnsi="Times New Roman"/>
                <w:bCs/>
                <w:sz w:val="22"/>
                <w:szCs w:val="22"/>
              </w:rPr>
              <w:t>Likvidní aktiva celkem se vykáží po uplatnění příslušných srážek.</w:t>
            </w:r>
          </w:p>
          <w:p w14:paraId="0F8719E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Tento řádek je součtem řádků 0040, 0050, </w:t>
            </w:r>
            <w:r w:rsidRPr="00336696">
              <w:rPr>
                <w:rFonts w:ascii="Times New Roman" w:hAnsi="Times New Roman"/>
                <w:bCs/>
              </w:rPr>
              <w:t>0060, 0170, 0230, 0290 a 0300.</w:t>
            </w:r>
          </w:p>
        </w:tc>
      </w:tr>
      <w:tr w:rsidR="004D7AAB" w:rsidRPr="00336696" w14:paraId="288616C1" w14:textId="77777777">
        <w:tc>
          <w:tcPr>
            <w:tcW w:w="1129" w:type="dxa"/>
          </w:tcPr>
          <w:p w14:paraId="003FA6B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4EADD4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Nezatížené krátkodobé vklady</w:t>
            </w:r>
          </w:p>
          <w:p w14:paraId="61377B6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43 odst. 1 písm. d) a čl. 43 odst. 2 nařízení (EU) 2019/2033.</w:t>
            </w:r>
          </w:p>
        </w:tc>
      </w:tr>
      <w:tr w:rsidR="004D7AAB" w:rsidRPr="00336696" w14:paraId="7F8CF1C2" w14:textId="77777777">
        <w:tc>
          <w:tcPr>
            <w:tcW w:w="1129" w:type="dxa"/>
          </w:tcPr>
          <w:p w14:paraId="3B23B90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647D8C3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Celkové způsobilé pohledávky splatné do 30 dnů</w:t>
            </w:r>
          </w:p>
          <w:p w14:paraId="3F78276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43 odst. 3 nařízení (EU) 2019/2033 a čl. 43 o</w:t>
            </w:r>
            <w:r w:rsidRPr="00336696">
              <w:rPr>
                <w:rFonts w:ascii="Times New Roman" w:hAnsi="Times New Roman"/>
                <w:bCs/>
              </w:rPr>
              <w:t>dst. 2 nařízení (EU) 2019/2033.</w:t>
            </w:r>
          </w:p>
        </w:tc>
      </w:tr>
      <w:tr w:rsidR="004D7AAB" w:rsidRPr="00336696" w14:paraId="14B01CC7" w14:textId="77777777">
        <w:tc>
          <w:tcPr>
            <w:tcW w:w="1129" w:type="dxa"/>
          </w:tcPr>
          <w:p w14:paraId="5D23A10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AE565A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úrovně 1</w:t>
            </w:r>
          </w:p>
          <w:p w14:paraId="0D78B46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10</w:t>
            </w:r>
            <w:r w:rsidRPr="00336696">
              <w:rPr>
                <w:rFonts w:ascii="Times New Roman" w:hAnsi="Times New Roman"/>
                <w:bCs/>
              </w:rPr>
              <w:t xml:space="preserve"> nařízení v přenesené pravomoci (EU) 2015/61 a čl. 43 odst. 2 nařízení (EU) 2019/2033.</w:t>
            </w:r>
          </w:p>
          <w:p w14:paraId="6AAD5789" w14:textId="77777777" w:rsidR="004D7AAB" w:rsidRPr="00336696" w:rsidRDefault="00336696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36696">
              <w:rPr>
                <w:rFonts w:ascii="Times New Roman" w:hAnsi="Times New Roman"/>
                <w:bCs/>
                <w:sz w:val="22"/>
                <w:szCs w:val="22"/>
              </w:rPr>
              <w:t>Likvidní aktiva celkem se vykáží po uplatnění příslušných srážek.</w:t>
            </w:r>
          </w:p>
          <w:p w14:paraId="1704229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Součet řádků 0070 až 0160.</w:t>
            </w:r>
          </w:p>
        </w:tc>
      </w:tr>
      <w:tr w:rsidR="004D7AAB" w:rsidRPr="00336696" w14:paraId="779FC187" w14:textId="77777777">
        <w:tc>
          <w:tcPr>
            <w:tcW w:w="1129" w:type="dxa"/>
          </w:tcPr>
          <w:p w14:paraId="434CC5E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7351E17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Mince a bankovky</w:t>
            </w:r>
          </w:p>
          <w:p w14:paraId="2742D624" w14:textId="77777777" w:rsidR="004D7AAB" w:rsidRPr="00336696" w:rsidRDefault="00336696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Ustanovení čl. 10 odst. 1 písm. a) nařízení v přenesené pravomoci (EU) 2015/61.</w:t>
            </w:r>
          </w:p>
          <w:p w14:paraId="4A1DE324" w14:textId="77777777" w:rsidR="004D7AAB" w:rsidRPr="00336696" w:rsidRDefault="00336696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Celková výše hotovosti z mincí a bankovek.</w:t>
            </w:r>
          </w:p>
        </w:tc>
      </w:tr>
      <w:tr w:rsidR="004D7AAB" w:rsidRPr="00336696" w14:paraId="387230A4" w14:textId="77777777">
        <w:tc>
          <w:tcPr>
            <w:tcW w:w="1129" w:type="dxa"/>
          </w:tcPr>
          <w:p w14:paraId="46D055F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417FFE8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Vyplatitelné rezervy v centrální bance</w:t>
            </w:r>
          </w:p>
          <w:p w14:paraId="6653D07D" w14:textId="77777777" w:rsidR="004D7AAB" w:rsidRPr="00336696" w:rsidRDefault="00336696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 xml:space="preserve">Ustanovení čl. 10 odst. 1 písm. b) bodu iii) nařízení </w:t>
            </w:r>
            <w:r w:rsidRPr="00336696">
              <w:rPr>
                <w:sz w:val="22"/>
                <w:szCs w:val="22"/>
              </w:rPr>
              <w:t>v přenesené pravomoci (EU) 2015/61.</w:t>
            </w:r>
          </w:p>
        </w:tc>
      </w:tr>
      <w:tr w:rsidR="004D7AAB" w:rsidRPr="00336696" w14:paraId="5A015809" w14:textId="77777777">
        <w:tc>
          <w:tcPr>
            <w:tcW w:w="1129" w:type="dxa"/>
          </w:tcPr>
          <w:p w14:paraId="0FC0C64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182EB8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ve vztahu k centrálním bankám</w:t>
            </w:r>
          </w:p>
          <w:p w14:paraId="469194AC" w14:textId="77777777" w:rsidR="004D7AAB" w:rsidRPr="00336696" w:rsidRDefault="00336696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Ustanovení čl. 10 odst. 1 písm. b) bodu i) a ii) nařízení v přenesené pravomoci (EU) 2015/61.</w:t>
            </w:r>
          </w:p>
        </w:tc>
      </w:tr>
      <w:tr w:rsidR="004D7AAB" w:rsidRPr="00336696" w14:paraId="67AAAE68" w14:textId="77777777">
        <w:tc>
          <w:tcPr>
            <w:tcW w:w="1129" w:type="dxa"/>
          </w:tcPr>
          <w:p w14:paraId="009B2B0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5BCEC2F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ve vztahu k ústředním vládám</w:t>
            </w:r>
          </w:p>
          <w:p w14:paraId="261AA7F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10 odst. 1 písm. c) </w:t>
            </w:r>
            <w:r w:rsidRPr="00336696">
              <w:rPr>
                <w:rFonts w:ascii="Times New Roman" w:hAnsi="Times New Roman"/>
                <w:bCs/>
              </w:rPr>
              <w:t>bodu i) a ii) nařízení v přenesené pravomoci (EU) 2015/61.</w:t>
            </w:r>
          </w:p>
        </w:tc>
      </w:tr>
      <w:tr w:rsidR="004D7AAB" w:rsidRPr="00336696" w14:paraId="7E09653C" w14:textId="77777777">
        <w:tc>
          <w:tcPr>
            <w:tcW w:w="1129" w:type="dxa"/>
          </w:tcPr>
          <w:p w14:paraId="19F1B96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6962744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ve vztahu k regionálním vládám/místním orgánům</w:t>
            </w:r>
          </w:p>
          <w:p w14:paraId="01142CD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10 odst. 1 písm. c) bodu iii) a iv) nařízení v přenesené pravomoci (EU) 2015/61.</w:t>
            </w:r>
          </w:p>
        </w:tc>
      </w:tr>
      <w:tr w:rsidR="004D7AAB" w:rsidRPr="00336696" w14:paraId="002B4535" w14:textId="77777777">
        <w:tc>
          <w:tcPr>
            <w:tcW w:w="1129" w:type="dxa"/>
          </w:tcPr>
          <w:p w14:paraId="497D97E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723A181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ve vztahu k subjektům veřejn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ého sektoru</w:t>
            </w:r>
          </w:p>
          <w:p w14:paraId="39BC198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10 odst. 1 písm. c) bodu v) nařízení v přenesené pravomoci (EU) 2015/61.</w:t>
            </w:r>
          </w:p>
        </w:tc>
      </w:tr>
      <w:tr w:rsidR="004D7AAB" w:rsidRPr="00336696" w14:paraId="631C033B" w14:textId="77777777">
        <w:tc>
          <w:tcPr>
            <w:tcW w:w="1129" w:type="dxa"/>
          </w:tcPr>
          <w:p w14:paraId="170A9F7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0D94DF0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Uznatelná aktiva ve vztahu k ústředním vládám a centrálním bankám v národní a zahraniční měně</w:t>
            </w:r>
          </w:p>
          <w:p w14:paraId="233C808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10 odst. 1 písm. d) nařízení v přenesené </w:t>
            </w:r>
            <w:r w:rsidRPr="00336696">
              <w:rPr>
                <w:rFonts w:ascii="Times New Roman" w:hAnsi="Times New Roman"/>
                <w:bCs/>
              </w:rPr>
              <w:t>pravomoci (EU) 2015/61.</w:t>
            </w:r>
          </w:p>
        </w:tc>
      </w:tr>
      <w:tr w:rsidR="004D7AAB" w:rsidRPr="00336696" w14:paraId="62A1DDF1" w14:textId="77777777">
        <w:tc>
          <w:tcPr>
            <w:tcW w:w="1129" w:type="dxa"/>
          </w:tcPr>
          <w:p w14:paraId="44B4DD5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699BB2C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ve vztahu k úvěrovým institucím (instituce chráněné vládou členského státu, poskytovatelé podpůrných úvěrů)</w:t>
            </w:r>
          </w:p>
          <w:p w14:paraId="1525B51D" w14:textId="77777777" w:rsidR="004D7AAB" w:rsidRPr="00336696" w:rsidRDefault="00336696">
            <w:pPr>
              <w:pStyle w:val="InstructionsText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336696">
              <w:rPr>
                <w:sz w:val="22"/>
                <w:szCs w:val="22"/>
              </w:rPr>
              <w:t>Ustanovení čl. 10 odst. 1 písm. e) bodu i) a ii) nařízení v přenesené pravomoci (EU) 2015/61.</w:t>
            </w:r>
          </w:p>
        </w:tc>
      </w:tr>
      <w:tr w:rsidR="004D7AAB" w:rsidRPr="00336696" w14:paraId="03C9E46A" w14:textId="77777777">
        <w:tc>
          <w:tcPr>
            <w:tcW w:w="1129" w:type="dxa"/>
          </w:tcPr>
          <w:p w14:paraId="76CC608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19A0368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ve vztahu k mezinárodním rozvojovým bankám a mezinárodním organizacím</w:t>
            </w:r>
          </w:p>
          <w:p w14:paraId="3258628F" w14:textId="77777777" w:rsidR="004D7AAB" w:rsidRPr="00336696" w:rsidRDefault="00336696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336696">
              <w:rPr>
                <w:sz w:val="22"/>
                <w:szCs w:val="22"/>
              </w:rPr>
              <w:t>Ustanovení čl. 10 odst. 1 písm. g) nařízení v přenesené pravomoci (EU) 2015/61.</w:t>
            </w:r>
          </w:p>
        </w:tc>
      </w:tr>
      <w:tr w:rsidR="004D7AAB" w:rsidRPr="00336696" w14:paraId="683B5C86" w14:textId="77777777">
        <w:tc>
          <w:tcPr>
            <w:tcW w:w="1129" w:type="dxa"/>
          </w:tcPr>
          <w:p w14:paraId="734C6F8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vAlign w:val="center"/>
          </w:tcPr>
          <w:p w14:paraId="565F70A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Kryté dluhopisy mimořádně vysoké kvality</w:t>
            </w:r>
          </w:p>
          <w:p w14:paraId="26716BA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10 odst. 1 písm. f) nařízení v přenes</w:t>
            </w:r>
            <w:r w:rsidRPr="00336696">
              <w:rPr>
                <w:rFonts w:ascii="Times New Roman" w:hAnsi="Times New Roman"/>
                <w:bCs/>
              </w:rPr>
              <w:t>ené pravomoci (EU) 2015/61.</w:t>
            </w:r>
          </w:p>
        </w:tc>
      </w:tr>
      <w:tr w:rsidR="004D7AAB" w:rsidRPr="00336696" w14:paraId="70719F62" w14:textId="77777777">
        <w:trPr>
          <w:trHeight w:val="885"/>
        </w:trPr>
        <w:tc>
          <w:tcPr>
            <w:tcW w:w="1129" w:type="dxa"/>
          </w:tcPr>
          <w:p w14:paraId="48597ABD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vAlign w:val="center"/>
          </w:tcPr>
          <w:p w14:paraId="2BC67A61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úrovně 2 A</w:t>
            </w:r>
          </w:p>
          <w:p w14:paraId="7851AD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11</w:t>
            </w:r>
            <w:r w:rsidRPr="00336696">
              <w:rPr>
                <w:rFonts w:ascii="Times New Roman" w:hAnsi="Times New Roman"/>
                <w:bCs/>
              </w:rPr>
              <w:t xml:space="preserve"> nařízení v přenesené pravomoci (EU) 2015/61 a čl. 43 odst. 2 nařízení (EU) 2019/2033.</w:t>
            </w:r>
          </w:p>
        </w:tc>
      </w:tr>
      <w:tr w:rsidR="004D7AAB" w:rsidRPr="00336696" w14:paraId="74E7248B" w14:textId="77777777">
        <w:tc>
          <w:tcPr>
            <w:tcW w:w="1129" w:type="dxa"/>
          </w:tcPr>
          <w:p w14:paraId="51FC791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8FB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Aktiva ve vztahu k regionálním vládám/místním orgánům nebo subjektům veřejného sektoru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(členský stát, riziková váha 20 %)</w:t>
            </w:r>
          </w:p>
          <w:p w14:paraId="729C654D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11 odst. 1 písm. a) nařízení v přenesené pravomoci (EU) 2015/61.</w:t>
            </w:r>
          </w:p>
        </w:tc>
      </w:tr>
      <w:tr w:rsidR="004D7AAB" w:rsidRPr="00336696" w14:paraId="6DDF6217" w14:textId="77777777">
        <w:tc>
          <w:tcPr>
            <w:tcW w:w="1129" w:type="dxa"/>
          </w:tcPr>
          <w:p w14:paraId="6271E62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312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Aktiva ve vztahu k centrálním bankám nebo ústředním/regionálním vládám nebo místním orgánům nebo subjektům veřejného sektoru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(třetí země, riziková váha 20 %)</w:t>
            </w:r>
          </w:p>
          <w:p w14:paraId="31463802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11 odst. 1 písm. b) nařízení v přenesené pravomoci (EU) 2015/61.</w:t>
            </w:r>
          </w:p>
        </w:tc>
      </w:tr>
      <w:tr w:rsidR="004D7AAB" w:rsidRPr="00336696" w14:paraId="78241DA3" w14:textId="77777777">
        <w:tc>
          <w:tcPr>
            <w:tcW w:w="1129" w:type="dxa"/>
          </w:tcPr>
          <w:p w14:paraId="2DC303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CB6C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Kryté dluhopisy vysoké kvality (stupeň úvěrové kvality 2)</w:t>
            </w:r>
          </w:p>
          <w:p w14:paraId="4EADAF1F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11 odst. 1 písm. c) nařízení v přenesené pravomoci (EU) 2015/61.</w:t>
            </w:r>
          </w:p>
        </w:tc>
      </w:tr>
      <w:tr w:rsidR="004D7AAB" w:rsidRPr="00336696" w14:paraId="76111ABF" w14:textId="77777777">
        <w:tc>
          <w:tcPr>
            <w:tcW w:w="1129" w:type="dxa"/>
          </w:tcPr>
          <w:p w14:paraId="1C91ED3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A87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Kryté dluhopisy vysoké kvality (třetí země, stupeň úvěrové kvality 1)</w:t>
            </w:r>
          </w:p>
          <w:p w14:paraId="7C5C2555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11 odst. 1 písm. d) nařízení v přenesené pravomoci (EU) 2015/61.</w:t>
            </w:r>
          </w:p>
        </w:tc>
      </w:tr>
      <w:tr w:rsidR="004D7AAB" w:rsidRPr="00336696" w14:paraId="767F0DBB" w14:textId="77777777">
        <w:tc>
          <w:tcPr>
            <w:tcW w:w="1129" w:type="dxa"/>
          </w:tcPr>
          <w:p w14:paraId="093C0EB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lastRenderedPageBreak/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648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Korporátní dluhové cenné papíry (stupeň úvěrové kvality 1)</w:t>
            </w:r>
          </w:p>
          <w:p w14:paraId="2332FF76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11 odst. 1 </w:t>
            </w:r>
            <w:r w:rsidRPr="00336696">
              <w:rPr>
                <w:rFonts w:ascii="Times New Roman" w:hAnsi="Times New Roman"/>
                <w:bCs/>
              </w:rPr>
              <w:t>písm. e) nařízení v přenesené pravomoci (EU) 2015/61.</w:t>
            </w:r>
          </w:p>
        </w:tc>
      </w:tr>
      <w:tr w:rsidR="004D7AAB" w:rsidRPr="00336696" w14:paraId="531937A7" w14:textId="77777777">
        <w:trPr>
          <w:trHeight w:val="1001"/>
        </w:trPr>
        <w:tc>
          <w:tcPr>
            <w:tcW w:w="1129" w:type="dxa"/>
          </w:tcPr>
          <w:p w14:paraId="033EC42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0AE0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Aktiva úrovně 2B</w:t>
            </w:r>
          </w:p>
          <w:p w14:paraId="5BC5ECC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12</w:t>
            </w:r>
            <w:r w:rsidRPr="00336696">
              <w:rPr>
                <w:rFonts w:ascii="Times New Roman" w:hAnsi="Times New Roman"/>
                <w:bCs/>
              </w:rPr>
              <w:t xml:space="preserve"> nařízení v přenesené pravomoci (EU) 2015/61 a čl. 43 odst. 2 nařízení (EU) 2019/2033.</w:t>
            </w:r>
          </w:p>
        </w:tc>
      </w:tr>
      <w:tr w:rsidR="004D7AAB" w:rsidRPr="00336696" w14:paraId="35B7B0CB" w14:textId="77777777">
        <w:tc>
          <w:tcPr>
            <w:tcW w:w="1129" w:type="dxa"/>
          </w:tcPr>
          <w:p w14:paraId="0978E5B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CA4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Cenné papíry zajištěné aktivy</w:t>
            </w:r>
          </w:p>
          <w:p w14:paraId="652E2113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12 odst. 1 písm. a) </w:t>
            </w:r>
            <w:r w:rsidRPr="00336696">
              <w:rPr>
                <w:rFonts w:ascii="Times New Roman" w:hAnsi="Times New Roman"/>
                <w:bCs/>
              </w:rPr>
              <w:t>a čl. 13 odst. 2 písm. g) nařízení v přenesené pravomoci (EU) 2015/61.</w:t>
            </w:r>
          </w:p>
        </w:tc>
      </w:tr>
      <w:tr w:rsidR="004D7AAB" w:rsidRPr="00336696" w14:paraId="668C0221" w14:textId="77777777">
        <w:tc>
          <w:tcPr>
            <w:tcW w:w="1129" w:type="dxa"/>
          </w:tcPr>
          <w:p w14:paraId="63061BE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9985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Korporátní dluhové cenné papíry</w:t>
            </w:r>
          </w:p>
          <w:p w14:paraId="53D67D26" w14:textId="77777777" w:rsidR="004D7AAB" w:rsidRPr="00336696" w:rsidRDefault="00336696">
            <w:pPr>
              <w:spacing w:after="0"/>
              <w:ind w:left="33"/>
              <w:rPr>
                <w:rFonts w:ascii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b) nařízení v přenesené pravomoci (EU) 2015/61.</w:t>
            </w:r>
          </w:p>
        </w:tc>
      </w:tr>
      <w:tr w:rsidR="004D7AAB" w:rsidRPr="00336696" w14:paraId="303CDAD3" w14:textId="77777777">
        <w:tc>
          <w:tcPr>
            <w:tcW w:w="1129" w:type="dxa"/>
          </w:tcPr>
          <w:p w14:paraId="243A9856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E7B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Akcie (hlavní akciový index)</w:t>
            </w:r>
          </w:p>
          <w:p w14:paraId="5FB14F52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 xml:space="preserve">Ustanovení čl. 12 odst. 1 </w:t>
            </w:r>
            <w:r w:rsidRPr="00336696">
              <w:rPr>
                <w:rFonts w:ascii="Times New Roman" w:hAnsi="Times New Roman"/>
                <w:bCs/>
              </w:rPr>
              <w:t>písm. c) nařízení v přenesené pravomoci (EU) 2015/61.</w:t>
            </w:r>
          </w:p>
        </w:tc>
      </w:tr>
      <w:tr w:rsidR="004D7AAB" w:rsidRPr="00336696" w14:paraId="2C296BCE" w14:textId="77777777">
        <w:tc>
          <w:tcPr>
            <w:tcW w:w="1129" w:type="dxa"/>
          </w:tcPr>
          <w:p w14:paraId="29A3A8E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182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Závazné likviditní přísliby centrálních bank s omezeným použitím</w:t>
            </w:r>
          </w:p>
          <w:p w14:paraId="7A6FC019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12 odst. 1 písm. d) nařízení v přenesené pravomoci (EU) 2015/61.</w:t>
            </w:r>
          </w:p>
        </w:tc>
      </w:tr>
      <w:tr w:rsidR="004D7AAB" w:rsidRPr="00336696" w14:paraId="0DFD2C90" w14:textId="77777777">
        <w:tc>
          <w:tcPr>
            <w:tcW w:w="1129" w:type="dxa"/>
          </w:tcPr>
          <w:p w14:paraId="4C1986E4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B67E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 xml:space="preserve">Kryté dluhopisy vysoké kvality </w:t>
            </w:r>
            <w:r w:rsidRPr="00336696">
              <w:rPr>
                <w:rFonts w:ascii="Times New Roman" w:hAnsi="Times New Roman"/>
                <w:b/>
                <w:bCs/>
                <w:u w:val="single"/>
              </w:rPr>
              <w:t>(riziková váha 35 %)</w:t>
            </w:r>
          </w:p>
          <w:p w14:paraId="085DB533" w14:textId="77777777" w:rsidR="004D7AAB" w:rsidRPr="00336696" w:rsidRDefault="00336696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15 odst. 2 písm. f) nařízení v přenesené pravomoci (EU) 2015/61.</w:t>
            </w:r>
          </w:p>
        </w:tc>
      </w:tr>
      <w:tr w:rsidR="004D7AAB" w:rsidRPr="00336696" w14:paraId="3EF90D83" w14:textId="77777777">
        <w:trPr>
          <w:trHeight w:val="1061"/>
        </w:trPr>
        <w:tc>
          <w:tcPr>
            <w:tcW w:w="1129" w:type="dxa"/>
          </w:tcPr>
          <w:p w14:paraId="44A34B48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E11F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Způsobilé akcie/podílové jednotky v subjektech kolektivního investování</w:t>
            </w:r>
          </w:p>
          <w:p w14:paraId="5C48458A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  <w:i/>
              </w:rPr>
              <w:t>Článek 15</w:t>
            </w:r>
            <w:r w:rsidRPr="00336696">
              <w:rPr>
                <w:rFonts w:ascii="Times New Roman" w:hAnsi="Times New Roman"/>
                <w:bCs/>
              </w:rPr>
              <w:t xml:space="preserve"> nařízení v přenesené pravomoci (EU) 2015/61.</w:t>
            </w:r>
          </w:p>
          <w:p w14:paraId="5BA0B2D2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43 odst. 1 písm. b) nařízení (EU) 2019/2033.</w:t>
            </w:r>
          </w:p>
        </w:tc>
      </w:tr>
      <w:tr w:rsidR="004D7AAB" w14:paraId="65717A1D" w14:textId="77777777">
        <w:trPr>
          <w:trHeight w:val="568"/>
        </w:trPr>
        <w:tc>
          <w:tcPr>
            <w:tcW w:w="1129" w:type="dxa"/>
          </w:tcPr>
          <w:p w14:paraId="738831A7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36696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D66B" w14:textId="77777777" w:rsidR="004D7AAB" w:rsidRPr="00336696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/>
                <w:bCs/>
                <w:u w:val="single"/>
              </w:rPr>
              <w:t>Ostatní způsobilé finanční nástroje celkem</w:t>
            </w:r>
          </w:p>
          <w:p w14:paraId="6E5F9F5C" w14:textId="77777777" w:rsidR="004D7AAB" w:rsidRDefault="003366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36696">
              <w:rPr>
                <w:rFonts w:ascii="Times New Roman" w:hAnsi="Times New Roman"/>
                <w:bCs/>
              </w:rPr>
              <w:t>Ustanovení čl. 43 odst. 1 písm. c) nařízení (EU) 2019/2033.</w:t>
            </w:r>
          </w:p>
        </w:tc>
      </w:tr>
    </w:tbl>
    <w:p w14:paraId="4D66A7BD" w14:textId="77777777" w:rsidR="004D7AAB" w:rsidRDefault="004D7AAB">
      <w:pPr>
        <w:keepNext/>
        <w:spacing w:before="240" w:after="240" w:line="240" w:lineRule="auto"/>
        <w:jc w:val="both"/>
        <w:outlineLvl w:val="1"/>
        <w:rPr>
          <w:lang w:val="en-IE"/>
        </w:rPr>
      </w:pPr>
    </w:p>
    <w:sectPr w:rsidR="004D7AA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CC79D" w14:textId="77777777" w:rsidR="004D7AAB" w:rsidRDefault="004D7AAB">
      <w:pPr>
        <w:pStyle w:val="Footer"/>
      </w:pPr>
    </w:p>
  </w:endnote>
  <w:endnote w:type="continuationSeparator" w:id="0">
    <w:p w14:paraId="51BA545B" w14:textId="77777777" w:rsidR="004D7AAB" w:rsidRDefault="004D7AAB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838E9" w14:textId="77777777" w:rsidR="004D7AAB" w:rsidRDefault="00336696">
    <w:pPr>
      <w:pStyle w:val="Footer"/>
      <w:tabs>
        <w:tab w:val="clear" w:pos="4513"/>
        <w:tab w:val="clear" w:pos="9026"/>
        <w:tab w:val="right" w:pos="9071"/>
      </w:tabs>
    </w:pPr>
    <w:r>
      <w:t>CS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43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DEB81" w14:textId="77777777" w:rsidR="004D7AAB" w:rsidRDefault="004D7AAB">
      <w:pPr>
        <w:pStyle w:val="Footer"/>
      </w:pPr>
    </w:p>
  </w:footnote>
  <w:footnote w:type="continuationSeparator" w:id="0">
    <w:p w14:paraId="206CB142" w14:textId="77777777" w:rsidR="004D7AAB" w:rsidRDefault="004D7AAB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BB819" w14:textId="77777777" w:rsidR="004D7AAB" w:rsidRDefault="00336696">
    <w:pPr>
      <w:pStyle w:val="Header"/>
    </w:pPr>
    <w:r>
      <w:rPr>
        <w:rFonts w:ascii="Times New Roman" w:hAnsi="Times New Roman" w:cs="Times New Roman"/>
        <w:color w:val="000000"/>
        <w:sz w:val="24"/>
      </w:rPr>
      <w:t xml:space="preserve">Central Bank of Ireland - </w:t>
    </w:r>
    <w:r>
      <w:rPr>
        <w:rFonts w:ascii="Times New Roman" w:hAnsi="Times New Roman" w:cs="Times New Roman"/>
        <w:color w:val="000000"/>
        <w:sz w:val="24"/>
      </w:rPr>
      <w:t>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CC8A4" w14:textId="6F9CB445" w:rsidR="004D7AAB" w:rsidRDefault="0033669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BCACBB" wp14:editId="30540DD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29e74e099a9130745beba3a1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4B0FA5" w14:textId="793BCCA6" w:rsidR="00336696" w:rsidRPr="00336696" w:rsidRDefault="00336696" w:rsidP="0033669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336696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BCACBB" id="_x0000_t202" coordsize="21600,21600" o:spt="202" path="m,l,21600r21600,l21600,xe">
              <v:stroke joinstyle="miter"/>
              <v:path gradientshapeok="t" o:connecttype="rect"/>
            </v:shapetype>
            <v:shape id="MSIPCM29e74e099a9130745beba3a1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Iog+Ry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634B0FA5" w14:textId="793BCCA6" w:rsidR="00336696" w:rsidRPr="00336696" w:rsidRDefault="00336696" w:rsidP="0033669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336696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6DE78" w14:textId="77777777" w:rsidR="004D7AAB" w:rsidRDefault="00336696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27A00"/>
    <w:multiLevelType w:val="hybridMultilevel"/>
    <w:tmpl w:val="451EE6F2"/>
    <w:lvl w:ilvl="0" w:tplc="F95A7C4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3C78B8"/>
    <w:multiLevelType w:val="multilevel"/>
    <w:tmpl w:val="D05265C4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802EC7"/>
    <w:multiLevelType w:val="multilevel"/>
    <w:tmpl w:val="CD0A8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0357E"/>
    <w:multiLevelType w:val="hybridMultilevel"/>
    <w:tmpl w:val="DA8CD66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510BB"/>
    <w:multiLevelType w:val="hybridMultilevel"/>
    <w:tmpl w:val="2400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57503B"/>
    <w:multiLevelType w:val="multilevel"/>
    <w:tmpl w:val="294A4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027C80"/>
    <w:multiLevelType w:val="hybridMultilevel"/>
    <w:tmpl w:val="5B589FB0"/>
    <w:lvl w:ilvl="0" w:tplc="566E183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D5D5E"/>
    <w:multiLevelType w:val="hybridMultilevel"/>
    <w:tmpl w:val="53C41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6692A"/>
    <w:multiLevelType w:val="hybridMultilevel"/>
    <w:tmpl w:val="0554A25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21" w15:restartNumberingAfterBreak="0">
    <w:nsid w:val="7DDE010F"/>
    <w:multiLevelType w:val="hybridMultilevel"/>
    <w:tmpl w:val="8A02D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3092E"/>
    <w:multiLevelType w:val="hybridMultilevel"/>
    <w:tmpl w:val="280CAFBC"/>
    <w:lvl w:ilvl="0" w:tplc="202C8F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1"/>
  </w:num>
  <w:num w:numId="5">
    <w:abstractNumId w:val="6"/>
  </w:num>
  <w:num w:numId="6">
    <w:abstractNumId w:val="19"/>
  </w:num>
  <w:num w:numId="7">
    <w:abstractNumId w:val="13"/>
  </w:num>
  <w:num w:numId="8">
    <w:abstractNumId w:val="1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  <w:num w:numId="14">
    <w:abstractNumId w:val="22"/>
  </w:num>
  <w:num w:numId="15">
    <w:abstractNumId w:val="16"/>
  </w:num>
  <w:num w:numId="16">
    <w:abstractNumId w:val="15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"/>
  </w:num>
  <w:num w:numId="22">
    <w:abstractNumId w:val="4"/>
  </w:num>
  <w:num w:numId="23">
    <w:abstractNumId w:val="3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defaultTabStop w:val="720"/>
  <w:hyphenationZone w:val="283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D7AAB"/>
    <w:rsid w:val="00336696"/>
    <w:rsid w:val="004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."/>
  <w:listSeparator w:val=","/>
  <w14:docId w14:val="57F5A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ind w:left="33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Point0number">
    <w:name w:val="Point 0 (number)"/>
    <w:basedOn w:val="Normal"/>
    <w:pPr>
      <w:numPr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F55FDC41-CE85-4152-A03A-69E8A0D767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13920</Words>
  <Characters>79345</Characters>
  <Application>Microsoft Office Word</Application>
  <DocSecurity>0</DocSecurity>
  <Lines>661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2021-11-25T14:53:00Z</dcterms:created>
  <dcterms:modified xsi:type="dcterms:W3CDTF">2022-01-14T15:20:00Z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2022-01-14T15:20:52Z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de1f8bbb-bce0-4529-a969-4b4cc755d188</vt:lpwstr>
  </property>
  <property fmtid="{D5CDD505-2E9C-101B-9397-08002B2CF9AE}" pid="8" name="MSIP_Label_5c7eb9de-735b-4a68-8fe4-c9c62709b012_ContentBits">
    <vt:lpwstr>1</vt:lpwstr>
  </property>
</Properties>
</file>