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A26498" w14:textId="77777777" w:rsidR="00D5314D" w:rsidRPr="00AE4522" w:rsidRDefault="00AE4522">
      <w:pPr>
        <w:pStyle w:val="Typedudocument"/>
        <w:rPr>
          <w:szCs w:val="24"/>
        </w:rPr>
      </w:pPr>
      <w:r w:rsidRPr="00AE4522">
        <w:rPr>
          <w:szCs w:val="24"/>
        </w:rPr>
        <w:t>Regulamentul de punere în aplicare (UE) 2021/</w:t>
      </w:r>
      <w:r w:rsidRPr="00AE4522">
        <w:rPr>
          <w:szCs w:val="24"/>
          <w:highlight w:val="yellow"/>
        </w:rPr>
        <w:t>…</w:t>
      </w:r>
      <w:r w:rsidRPr="00AE4522">
        <w:rPr>
          <w:szCs w:val="24"/>
        </w:rPr>
        <w:t xml:space="preserve"> al Comisiei</w:t>
      </w:r>
    </w:p>
    <w:p w14:paraId="37FA1FB1" w14:textId="77777777" w:rsidR="00D5314D" w:rsidRPr="00AE4522" w:rsidRDefault="00AE4522">
      <w:pPr>
        <w:pStyle w:val="Datedadoption"/>
        <w:rPr>
          <w:szCs w:val="24"/>
        </w:rPr>
      </w:pPr>
      <w:r w:rsidRPr="00AE4522">
        <w:rPr>
          <w:szCs w:val="24"/>
        </w:rPr>
        <w:t xml:space="preserve">din </w:t>
      </w:r>
      <w:r w:rsidRPr="00AE4522">
        <w:rPr>
          <w:rStyle w:val="Marker2"/>
          <w:color w:val="auto"/>
          <w:szCs w:val="24"/>
        </w:rPr>
        <w:t>6 decembrie 2021</w:t>
      </w:r>
    </w:p>
    <w:p w14:paraId="119EA88A" w14:textId="77777777" w:rsidR="00D5314D" w:rsidRPr="00AE4522" w:rsidRDefault="00AE4522">
      <w:pPr>
        <w:pStyle w:val="Titreobjet"/>
        <w:rPr>
          <w:szCs w:val="24"/>
        </w:rPr>
      </w:pPr>
      <w:r w:rsidRPr="00AE4522">
        <w:rPr>
          <w:szCs w:val="24"/>
        </w:rPr>
        <w:t>de stabilire a standardelor tehnice de punere în aplicare pentru ap</w:t>
      </w:r>
      <w:r w:rsidR="00A94FCE">
        <w:rPr>
          <w:szCs w:val="24"/>
        </w:rPr>
        <w:t xml:space="preserve">licarea Regulamentului (UE) </w:t>
      </w:r>
      <w:r w:rsidRPr="00AE4522">
        <w:rPr>
          <w:szCs w:val="24"/>
        </w:rPr>
        <w:t>2019/2033 al Parlamentului European și al Consiliului în ceea ce privește raportarea în scopuri de supraveghere și publicarea de informații de către firmele de investiții</w:t>
      </w:r>
    </w:p>
    <w:p w14:paraId="0EB46471" w14:textId="77777777" w:rsidR="00D5314D" w:rsidRPr="00AE4522" w:rsidRDefault="00AE4522">
      <w:pPr>
        <w:pStyle w:val="IntrtEEE"/>
        <w:rPr>
          <w:b/>
          <w:szCs w:val="24"/>
        </w:rPr>
      </w:pPr>
      <w:r w:rsidRPr="00AE4522">
        <w:rPr>
          <w:b/>
          <w:szCs w:val="24"/>
        </w:rPr>
        <w:t>(Text cu relevanță pentru SEE)</w:t>
      </w:r>
    </w:p>
    <w:p w14:paraId="397E0045" w14:textId="77777777" w:rsidR="00D5314D" w:rsidRPr="00AE4522" w:rsidRDefault="00AE4522">
      <w:pPr>
        <w:pStyle w:val="Institutionquiagit"/>
        <w:rPr>
          <w:szCs w:val="24"/>
        </w:rPr>
      </w:pPr>
      <w:r w:rsidRPr="00AE4522">
        <w:rPr>
          <w:szCs w:val="24"/>
        </w:rPr>
        <w:t>COMISIA EUROPEANĂ,</w:t>
      </w:r>
    </w:p>
    <w:p w14:paraId="31DD19E7" w14:textId="77777777" w:rsidR="00D5314D" w:rsidRPr="00AE4522" w:rsidRDefault="00AE4522">
      <w:pPr>
        <w:rPr>
          <w:szCs w:val="24"/>
        </w:rPr>
      </w:pPr>
      <w:r w:rsidRPr="00AE4522">
        <w:rPr>
          <w:szCs w:val="24"/>
        </w:rPr>
        <w:t>având în vedere Tratatul privind funcționarea Uniunii Europene,</w:t>
      </w:r>
    </w:p>
    <w:p w14:paraId="0A378DA9" w14:textId="77777777" w:rsidR="00D5314D" w:rsidRPr="00AE4522" w:rsidRDefault="00AE4522">
      <w:pPr>
        <w:rPr>
          <w:szCs w:val="24"/>
        </w:rPr>
      </w:pPr>
      <w:r w:rsidRPr="00AE4522">
        <w:rPr>
          <w:szCs w:val="24"/>
        </w:rPr>
        <w:t>având în vedere Regulamentul (UE) 2019/2033 al Parlamentului European și al Consiliului din 27 noiembrie 2019 privind cerințele prudențiale ale firmelor de investiții și de modificare a Regulamentelor (UE) nr. 1093/2010, (UE) nr. 575/2013, (UE) nr. 600/2014 și (UE) nr. 806/2014 </w:t>
      </w:r>
      <w:r w:rsidRPr="00AE4522">
        <w:rPr>
          <w:rStyle w:val="FootnoteReference"/>
          <w:szCs w:val="24"/>
        </w:rPr>
        <w:footnoteReference w:id="1"/>
      </w:r>
      <w:r w:rsidRPr="00AE4522">
        <w:rPr>
          <w:szCs w:val="24"/>
        </w:rPr>
        <w:t>, în special articolul 49 alineatul (2) și articolul 54 alineatul (3),</w:t>
      </w:r>
    </w:p>
    <w:p w14:paraId="10423E9A" w14:textId="77777777" w:rsidR="00D5314D" w:rsidRPr="00AE4522" w:rsidRDefault="00AE4522">
      <w:pPr>
        <w:rPr>
          <w:szCs w:val="24"/>
        </w:rPr>
      </w:pPr>
      <w:r w:rsidRPr="00AE4522">
        <w:rPr>
          <w:szCs w:val="24"/>
        </w:rPr>
        <w:t>întrucât:</w:t>
      </w:r>
    </w:p>
    <w:p w14:paraId="586841E2" w14:textId="77777777" w:rsidR="00D5314D" w:rsidRPr="00AE4522" w:rsidRDefault="00AE4522">
      <w:pPr>
        <w:pStyle w:val="Considrant"/>
        <w:numPr>
          <w:ilvl w:val="0"/>
          <w:numId w:val="0"/>
        </w:numPr>
        <w:tabs>
          <w:tab w:val="left" w:pos="709"/>
        </w:tabs>
        <w:ind w:left="709" w:hanging="709"/>
        <w:rPr>
          <w:szCs w:val="24"/>
        </w:rPr>
      </w:pPr>
      <w:r w:rsidRPr="00AE4522">
        <w:rPr>
          <w:szCs w:val="24"/>
        </w:rPr>
        <w:t>(1)</w:t>
      </w:r>
      <w:r w:rsidRPr="00AE4522">
        <w:rPr>
          <w:szCs w:val="24"/>
        </w:rPr>
        <w:tab/>
        <w:t>Cerințele de raportare aplicabile firmelor de investiții prevăzute la articolul 54 din Regulamentul (UE) 2019/2033 ar trebui să fie adaptate la activitatea firmelor de investiții și să fie proporționale cu amploarea și complexitatea diferitelor firme de investiții. Cerințele respective ar trebui să țină seama în special de faptul că anumite firme de investiții trebuie să fie considerate mici și neinterconectate, în conformitate cu condițiile prevăzute la articolul 12 din Regulamentul (UE) 2019/2033.</w:t>
      </w:r>
    </w:p>
    <w:p w14:paraId="32B44DD3" w14:textId="77777777" w:rsidR="00D5314D" w:rsidRPr="00AE4522" w:rsidRDefault="00AE4522">
      <w:pPr>
        <w:pStyle w:val="Considrant"/>
        <w:numPr>
          <w:ilvl w:val="0"/>
          <w:numId w:val="0"/>
        </w:numPr>
        <w:tabs>
          <w:tab w:val="left" w:pos="709"/>
        </w:tabs>
        <w:ind w:left="709" w:hanging="709"/>
        <w:rPr>
          <w:szCs w:val="24"/>
        </w:rPr>
      </w:pPr>
      <w:r w:rsidRPr="00AE4522">
        <w:rPr>
          <w:szCs w:val="24"/>
        </w:rPr>
        <w:t>(2)</w:t>
      </w:r>
      <w:r w:rsidRPr="00AE4522">
        <w:rPr>
          <w:szCs w:val="24"/>
        </w:rPr>
        <w:tab/>
        <w:t>În conformitate cu articolul 54 alineatul (1) din Regulamentul (UE) 2019/2033, firmele de investiții mici și neinterconectate trebuie să raporteze informații cu privire la nivelul și structura fondurilor proprii, la cerințele de fonduri proprii, la baza de calcul al cerințelor de fonduri proprii și la nivelul de activitate în ceea ce privește respectarea condițiilor stabilite la articolul 12 alineatul (1) din Regulamentul (UE) 2019/2033. Astfel, firmele mici și neinterconectate nu sunt obligate să raporteze informații cu același nivel de detaliu ca alte firme de investiții care fac obiectul Regulamentului (UE) 2019/2033. Prin urmare, modelele de raportare privind calcularea bazată pe factorii K nu ar trebui să se aplice firmelor mici și neinterconectate. În plus, în conformitate cu articolul 54 alineatul (2) al treilea par</w:t>
      </w:r>
      <w:r w:rsidR="00427710">
        <w:rPr>
          <w:szCs w:val="24"/>
        </w:rPr>
        <w:t xml:space="preserve">agraf din Regulamentul (UE) </w:t>
      </w:r>
      <w:r w:rsidRPr="00AE4522">
        <w:rPr>
          <w:szCs w:val="24"/>
        </w:rPr>
        <w:t>2019/2033, firmele mici și neinterconectate sunt exceptate de la raportarea privind riscul de concentrare, iar autoritățile competente pot scuti firmele mici și neinterconectate de obligația de a raporta cu privire la cerințele de lichiditate.</w:t>
      </w:r>
    </w:p>
    <w:p w14:paraId="4A1A5F82" w14:textId="77777777" w:rsidR="00D5314D" w:rsidRPr="00AE4522" w:rsidRDefault="00AE4522">
      <w:pPr>
        <w:pStyle w:val="Considrant"/>
        <w:numPr>
          <w:ilvl w:val="0"/>
          <w:numId w:val="0"/>
        </w:numPr>
        <w:tabs>
          <w:tab w:val="left" w:pos="709"/>
        </w:tabs>
        <w:ind w:left="709" w:hanging="709"/>
        <w:rPr>
          <w:szCs w:val="24"/>
        </w:rPr>
      </w:pPr>
      <w:r w:rsidRPr="00AE4522">
        <w:rPr>
          <w:szCs w:val="24"/>
        </w:rPr>
        <w:t>(3)</w:t>
      </w:r>
      <w:r w:rsidRPr="00AE4522">
        <w:rPr>
          <w:szCs w:val="24"/>
        </w:rPr>
        <w:tab/>
        <w:t>Toate firmele de investiții care fac obiectul Regulamentului (UE) 2019/2033 ar trebui să își raporteze profilul de activitate și dimensiunea, pentru a permite autorităților competente să evalueze dacă firmele de investiții respective îndeplinesc condițiile prevăzute la articolul 12 din Regulamentul (UE) 2019/2033 pentru a fi clasificate drept firme de investiții mici și neinterconectate.</w:t>
      </w:r>
    </w:p>
    <w:p w14:paraId="70CEDF7B" w14:textId="77777777" w:rsidR="00D5314D" w:rsidRPr="00AE4522" w:rsidRDefault="00AE4522">
      <w:pPr>
        <w:pStyle w:val="Considrant"/>
        <w:numPr>
          <w:ilvl w:val="0"/>
          <w:numId w:val="0"/>
        </w:numPr>
        <w:tabs>
          <w:tab w:val="left" w:pos="709"/>
        </w:tabs>
        <w:ind w:left="709" w:hanging="709"/>
        <w:rPr>
          <w:szCs w:val="24"/>
        </w:rPr>
      </w:pPr>
      <w:r w:rsidRPr="00AE4522">
        <w:rPr>
          <w:szCs w:val="24"/>
        </w:rPr>
        <w:lastRenderedPageBreak/>
        <w:t>(4)</w:t>
      </w:r>
      <w:r w:rsidRPr="00AE4522">
        <w:rPr>
          <w:szCs w:val="24"/>
        </w:rPr>
        <w:tab/>
        <w:t>Pentru a asigura transparența pentru investitorii lor și pentru piețele mai largi, articolul 46 din Regulamentul (UE) 2019/2033 impune firmelor de investiții, altele decât firmele de investiții mici și neinterconectate, să facă publice informațiile specificate în partea a șasea din regulamentul respectiv. Firmele de investiții mici și neinterconectate nu fac obiectul respectivelor cerințe referitoare la publicarea informațiilor, cu excepția cazului în care acestea emit instrumente de fonduri proprii de nivel 1 suplimentar pentru a asigura transparența pentru investitorii în respectivele instrumente.</w:t>
      </w:r>
    </w:p>
    <w:p w14:paraId="4B60690B" w14:textId="77777777" w:rsidR="00D5314D" w:rsidRPr="00AE4522" w:rsidRDefault="00AE4522">
      <w:pPr>
        <w:pStyle w:val="Considrant"/>
        <w:numPr>
          <w:ilvl w:val="0"/>
          <w:numId w:val="0"/>
        </w:numPr>
        <w:tabs>
          <w:tab w:val="left" w:pos="709"/>
        </w:tabs>
        <w:ind w:left="709" w:hanging="709"/>
        <w:rPr>
          <w:szCs w:val="24"/>
        </w:rPr>
      </w:pPr>
      <w:r w:rsidRPr="00AE4522">
        <w:rPr>
          <w:szCs w:val="24"/>
        </w:rPr>
        <w:t>(5)</w:t>
      </w:r>
      <w:r w:rsidRPr="00AE4522">
        <w:rPr>
          <w:szCs w:val="24"/>
        </w:rPr>
        <w:tab/>
        <w:t>Prezentul regulament ar trebui să furnizeze firmelor de investiții modele și tabele pentru a transmite informații suficient de cuprinzătoare și comparabile privind structura și calitatea fondurilor lor proprii. Mai precis, este necesar să se introducă un model de publicare cantitativă a informațiilor privind structura fondurilor proprii și un model flexibil privind reconcilierea fondurilor proprii reglementate cu situațiile financiare auditate. Din același motiv, este, de asemenea, necesar să se stabilească un model cu informații privind cele mai relevante caracteristici ale instrumentelor de fonduri proprii emise de o firmă de investiții.</w:t>
      </w:r>
    </w:p>
    <w:p w14:paraId="4CAAB279" w14:textId="77777777" w:rsidR="00D5314D" w:rsidRPr="00AE4522" w:rsidRDefault="00AE4522">
      <w:pPr>
        <w:pStyle w:val="Considrant"/>
        <w:numPr>
          <w:ilvl w:val="0"/>
          <w:numId w:val="0"/>
        </w:numPr>
        <w:tabs>
          <w:tab w:val="left" w:pos="709"/>
        </w:tabs>
        <w:ind w:left="709" w:hanging="709"/>
        <w:rPr>
          <w:szCs w:val="24"/>
        </w:rPr>
      </w:pPr>
      <w:r w:rsidRPr="00AE4522">
        <w:rPr>
          <w:szCs w:val="24"/>
        </w:rPr>
        <w:t>(6)</w:t>
      </w:r>
      <w:r w:rsidRPr="00AE4522">
        <w:rPr>
          <w:szCs w:val="24"/>
        </w:rPr>
        <w:tab/>
      </w:r>
      <w:r w:rsidRPr="00AE4522">
        <w:rPr>
          <w:color w:val="000000"/>
          <w:szCs w:val="24"/>
        </w:rPr>
        <w:t>Pentru a facilita punerea în aplicare a cerințelor de raportare și de publicare, este necesar să se consolideze coerența dintre modelele de raportare și de publicare. Modelul pentru publicarea informațiilor privind structura fondurilor proprii ar trebui, prin urmare, să fie aliniat îndeaproape cu modelul de raportare aferent privind nivelul și structura fondurilor proprii. Din același motiv, modelul pentru publicarea informațiilor privind reconcilierea completă a fondurilor proprii cu situațiile financiare auditate ar trebui să fie flexibil, în sensul că defalcarea din cadrul modelului ar trebui să se bazeze pe defalcarea bilanțului din situațiile financiare auditate ale firmei de investiții. În plus, modelul de publicare a informațiilor cu privire la principalele caracteristici ale fondurilor proprii reglementate ar trebui să fie un Model fix, iar complexitatea sa ar trebui să depindă de complexitatea instrumentelor de fonduri proprii.</w:t>
      </w:r>
    </w:p>
    <w:p w14:paraId="133B3F00" w14:textId="317E18E2" w:rsidR="00D5314D" w:rsidRPr="00AE4522" w:rsidRDefault="00AE4522" w:rsidP="00FC6736">
      <w:pPr>
        <w:pStyle w:val="Considrant"/>
        <w:numPr>
          <w:ilvl w:val="0"/>
          <w:numId w:val="0"/>
        </w:numPr>
        <w:tabs>
          <w:tab w:val="left" w:pos="709"/>
        </w:tabs>
        <w:ind w:left="709" w:hanging="709"/>
        <w:rPr>
          <w:szCs w:val="24"/>
        </w:rPr>
      </w:pPr>
      <w:r w:rsidRPr="00AE4522">
        <w:rPr>
          <w:szCs w:val="24"/>
        </w:rPr>
        <w:t>(7)</w:t>
      </w:r>
      <w:r w:rsidRPr="00AE4522">
        <w:rPr>
          <w:szCs w:val="24"/>
        </w:rPr>
        <w:tab/>
        <w:t>Pentru a se asigura că nu cresc în mod nejustificat costurile de asigurare a conformității pentru firmele de investiții și că se menține calitatea datelor, obligațiile de raportare și de publicare a informațiilor ar trebui să fie aliniate unele cu altele în cea mai mare măsură posibilă. Prin urmare, este oportun să se stabilească, într-un singur regulament, standarde aplicabile atât în cazul cerințelor în materie de raportare, cât și în cazul celor în materie de publicare.</w:t>
      </w:r>
    </w:p>
    <w:p w14:paraId="62ECA8AE" w14:textId="77777777" w:rsidR="00D5314D" w:rsidRPr="00AE4522" w:rsidRDefault="00AE4522">
      <w:pPr>
        <w:pStyle w:val="Considrant"/>
        <w:numPr>
          <w:ilvl w:val="0"/>
          <w:numId w:val="0"/>
        </w:numPr>
        <w:tabs>
          <w:tab w:val="left" w:pos="709"/>
        </w:tabs>
        <w:ind w:left="709" w:hanging="709"/>
        <w:rPr>
          <w:szCs w:val="24"/>
        </w:rPr>
      </w:pPr>
      <w:r w:rsidRPr="00AE4522">
        <w:rPr>
          <w:szCs w:val="24"/>
        </w:rPr>
        <w:t>(9)</w:t>
      </w:r>
      <w:r w:rsidRPr="00AE4522">
        <w:rPr>
          <w:szCs w:val="24"/>
        </w:rPr>
        <w:tab/>
        <w:t>Prezentul regulament se bazează pe proiectul de standarde tehnice de punere în aplicare transmis Comisiei de către Autoritatea Bancară Europeană (ABE), după consultarea Autorității Europene pentru Valori Mobiliare și Piețe.</w:t>
      </w:r>
    </w:p>
    <w:p w14:paraId="2C101891" w14:textId="77777777" w:rsidR="00D5314D" w:rsidRPr="00AE4522" w:rsidRDefault="00AE4522">
      <w:pPr>
        <w:pStyle w:val="Considrant"/>
        <w:numPr>
          <w:ilvl w:val="0"/>
          <w:numId w:val="0"/>
        </w:numPr>
        <w:tabs>
          <w:tab w:val="left" w:pos="709"/>
        </w:tabs>
        <w:ind w:left="709" w:hanging="709"/>
        <w:rPr>
          <w:szCs w:val="24"/>
        </w:rPr>
      </w:pPr>
      <w:r w:rsidRPr="00AE4522">
        <w:rPr>
          <w:szCs w:val="24"/>
        </w:rPr>
        <w:t>(10)</w:t>
      </w:r>
      <w:r w:rsidRPr="00AE4522">
        <w:rPr>
          <w:szCs w:val="24"/>
        </w:rPr>
        <w:tab/>
        <w:t>ABE a efectuat consultări publice deschise cu privire la proiectele de standarde tehnice de punere în aplicare pe care se bazează prezentul regulament, a analizat costurile și beneficiile potențiale aferente și a solicitat avizul Grupului părților interesate din domeniul bancar, instituit în conformitate cu articolul 37 din Regulamentul (UE) nr. 1093/2010 al Parlamentului European și al Consiliului </w:t>
      </w:r>
      <w:r w:rsidRPr="00AE4522">
        <w:rPr>
          <w:rStyle w:val="FootnoteReference"/>
          <w:szCs w:val="24"/>
        </w:rPr>
        <w:footnoteReference w:id="2"/>
      </w:r>
      <w:r w:rsidRPr="00AE4522">
        <w:rPr>
          <w:szCs w:val="24"/>
        </w:rPr>
        <w:t>,</w:t>
      </w:r>
    </w:p>
    <w:p w14:paraId="008B4819" w14:textId="77777777" w:rsidR="00D5314D" w:rsidRPr="00AE4522" w:rsidRDefault="00AE4522">
      <w:pPr>
        <w:pStyle w:val="Formuledadoption"/>
        <w:rPr>
          <w:szCs w:val="24"/>
        </w:rPr>
      </w:pPr>
      <w:r w:rsidRPr="00AE4522">
        <w:rPr>
          <w:szCs w:val="24"/>
        </w:rPr>
        <w:lastRenderedPageBreak/>
        <w:t>ADOPTĂ PREZENTUL REGULAMENT:</w:t>
      </w:r>
    </w:p>
    <w:p w14:paraId="7A599D41" w14:textId="77777777" w:rsidR="00D5314D" w:rsidRPr="00AE4522" w:rsidRDefault="00AE4522">
      <w:pPr>
        <w:pStyle w:val="ChapterTitle"/>
        <w:rPr>
          <w:b w:val="0"/>
          <w:sz w:val="24"/>
          <w:szCs w:val="24"/>
        </w:rPr>
      </w:pPr>
      <w:r w:rsidRPr="00AE4522">
        <w:rPr>
          <w:b w:val="0"/>
          <w:sz w:val="24"/>
          <w:szCs w:val="24"/>
        </w:rPr>
        <w:t>CAPITOLUL I</w:t>
      </w:r>
    </w:p>
    <w:p w14:paraId="5AF2ACF7" w14:textId="77777777" w:rsidR="00D5314D" w:rsidRPr="00AE4522" w:rsidRDefault="00AE4522">
      <w:pPr>
        <w:pStyle w:val="ChapterTitle"/>
        <w:rPr>
          <w:sz w:val="24"/>
          <w:szCs w:val="24"/>
        </w:rPr>
      </w:pPr>
      <w:r w:rsidRPr="00AE4522">
        <w:rPr>
          <w:sz w:val="24"/>
          <w:szCs w:val="24"/>
        </w:rPr>
        <w:t>RAPORTAREA ÎN SCOPURI DE SUPRAVEGHERE</w:t>
      </w:r>
    </w:p>
    <w:p w14:paraId="2AE269C1" w14:textId="77777777" w:rsidR="00D5314D" w:rsidRPr="00AE4522" w:rsidRDefault="00AE4522">
      <w:pPr>
        <w:pStyle w:val="Titrearticle"/>
        <w:rPr>
          <w:szCs w:val="24"/>
        </w:rPr>
      </w:pPr>
      <w:r w:rsidRPr="00AE4522">
        <w:rPr>
          <w:szCs w:val="24"/>
        </w:rPr>
        <w:t>Articolul 1</w:t>
      </w:r>
    </w:p>
    <w:p w14:paraId="4AFFEBC7" w14:textId="77777777" w:rsidR="00D5314D" w:rsidRPr="00AE4522" w:rsidRDefault="00AE4522">
      <w:pPr>
        <w:pStyle w:val="Titrearticle"/>
        <w:spacing w:before="120"/>
        <w:rPr>
          <w:b/>
          <w:i w:val="0"/>
          <w:szCs w:val="24"/>
        </w:rPr>
      </w:pPr>
      <w:r w:rsidRPr="00AE4522">
        <w:rPr>
          <w:b/>
          <w:i w:val="0"/>
          <w:szCs w:val="24"/>
        </w:rPr>
        <w:t>Datele de referință ale raportării</w:t>
      </w:r>
    </w:p>
    <w:p w14:paraId="570502E4" w14:textId="77777777" w:rsidR="00D5314D" w:rsidRPr="00AE4522" w:rsidRDefault="00AE4522">
      <w:pPr>
        <w:pStyle w:val="NumPar1"/>
        <w:numPr>
          <w:ilvl w:val="0"/>
          <w:numId w:val="0"/>
        </w:numPr>
        <w:tabs>
          <w:tab w:val="left" w:pos="567"/>
        </w:tabs>
        <w:rPr>
          <w:szCs w:val="24"/>
        </w:rPr>
      </w:pPr>
      <w:r w:rsidRPr="00AE4522">
        <w:rPr>
          <w:szCs w:val="24"/>
        </w:rPr>
        <w:t>(1)</w:t>
      </w:r>
      <w:r w:rsidRPr="00AE4522">
        <w:rPr>
          <w:szCs w:val="24"/>
        </w:rPr>
        <w:tab/>
        <w:t>Informațiile menționate la articolul 54 alineatul (1) din regulament se raportează astfel cum sunt disponibile aceste informații la următoarele date de referință ale raportării:</w:t>
      </w:r>
    </w:p>
    <w:p w14:paraId="764CB73F"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raportare trimestrială: 31 martie, 30 iunie, 30 septembrie și 31 decembrie;</w:t>
      </w:r>
    </w:p>
    <w:p w14:paraId="781EE498"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raportare anuală: 31 decembrie.</w:t>
      </w:r>
    </w:p>
    <w:p w14:paraId="54348D09" w14:textId="77777777" w:rsidR="00D5314D" w:rsidRPr="00AE4522" w:rsidRDefault="00AE4522">
      <w:pPr>
        <w:pStyle w:val="NumPar1"/>
        <w:numPr>
          <w:ilvl w:val="0"/>
          <w:numId w:val="0"/>
        </w:numPr>
        <w:tabs>
          <w:tab w:val="left" w:pos="567"/>
        </w:tabs>
        <w:rPr>
          <w:szCs w:val="24"/>
        </w:rPr>
      </w:pPr>
      <w:r w:rsidRPr="00AE4522">
        <w:rPr>
          <w:szCs w:val="24"/>
        </w:rPr>
        <w:t>2.</w:t>
      </w:r>
      <w:r w:rsidRPr="00AE4522">
        <w:rPr>
          <w:szCs w:val="24"/>
        </w:rPr>
        <w:tab/>
        <w:t>Datele de referință ale raportării menționate la alineatul (1) pot fi ajustate în cazul în care firmele de investiții sunt autorizate prin legislația națională să își raporteze informațiile financiare în funcție de data de încheiere a exercițiului lor financiar, care diferă de anul calendaristic, astfel încât raportarea trimestrială a informațiilor să se efectueze la fiecare trei luni ale exercițiului financiar respectiv, iar raportarea anuală la sfârșitul exercițiului financiar.</w:t>
      </w:r>
    </w:p>
    <w:p w14:paraId="7F1368CF" w14:textId="77777777" w:rsidR="00D5314D" w:rsidRPr="00AE4522" w:rsidRDefault="00AE4522">
      <w:pPr>
        <w:pStyle w:val="Titrearticle"/>
        <w:rPr>
          <w:szCs w:val="24"/>
        </w:rPr>
      </w:pPr>
      <w:r w:rsidRPr="00AE4522">
        <w:rPr>
          <w:szCs w:val="24"/>
        </w:rPr>
        <w:t>Articolul 2</w:t>
      </w:r>
    </w:p>
    <w:p w14:paraId="26A8C589" w14:textId="77777777" w:rsidR="00D5314D" w:rsidRPr="00AE4522" w:rsidRDefault="00AE4522">
      <w:pPr>
        <w:pStyle w:val="Titrearticle"/>
        <w:spacing w:before="120"/>
        <w:rPr>
          <w:b/>
          <w:i w:val="0"/>
          <w:szCs w:val="24"/>
        </w:rPr>
      </w:pPr>
      <w:r w:rsidRPr="00AE4522">
        <w:rPr>
          <w:b/>
          <w:i w:val="0"/>
          <w:szCs w:val="24"/>
        </w:rPr>
        <w:t>Datele de transmitere a raportării</w:t>
      </w:r>
    </w:p>
    <w:p w14:paraId="33AEE7D2" w14:textId="77777777" w:rsidR="00D5314D" w:rsidRPr="00AE4522" w:rsidRDefault="00AE4522">
      <w:pPr>
        <w:pStyle w:val="NumPar1"/>
        <w:numPr>
          <w:ilvl w:val="0"/>
          <w:numId w:val="0"/>
        </w:numPr>
        <w:tabs>
          <w:tab w:val="left" w:pos="567"/>
        </w:tabs>
        <w:rPr>
          <w:szCs w:val="24"/>
        </w:rPr>
      </w:pPr>
      <w:r w:rsidRPr="00AE4522">
        <w:rPr>
          <w:szCs w:val="24"/>
        </w:rPr>
        <w:t>(1)</w:t>
      </w:r>
      <w:r w:rsidRPr="00AE4522">
        <w:rPr>
          <w:szCs w:val="24"/>
        </w:rPr>
        <w:tab/>
        <w:t>Informațiile menționate la articolul 54 alineatul (1) din Regulamentul (UE) 2019/2033 se raportează până la sfârșitul programului de lucru în următoarele date de transmitere a raportării:</w:t>
      </w:r>
    </w:p>
    <w:p w14:paraId="58002EF7"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raportare trimestrială: 12 mai, 11 august, 11 noiembrie și 11 februarie;</w:t>
      </w:r>
    </w:p>
    <w:p w14:paraId="1A16A51B"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raportare anuală: 11 februarie.</w:t>
      </w:r>
    </w:p>
    <w:p w14:paraId="71C8BB72" w14:textId="77777777" w:rsidR="00D5314D" w:rsidRPr="00AE4522" w:rsidRDefault="00AE4522">
      <w:pPr>
        <w:pStyle w:val="NumPar1"/>
        <w:numPr>
          <w:ilvl w:val="0"/>
          <w:numId w:val="0"/>
        </w:numPr>
        <w:tabs>
          <w:tab w:val="left" w:pos="567"/>
        </w:tabs>
        <w:rPr>
          <w:szCs w:val="24"/>
        </w:rPr>
      </w:pPr>
      <w:r w:rsidRPr="00AE4522">
        <w:rPr>
          <w:szCs w:val="24"/>
        </w:rPr>
        <w:t>(2)</w:t>
      </w:r>
      <w:r w:rsidRPr="00AE4522">
        <w:rPr>
          <w:szCs w:val="24"/>
        </w:rPr>
        <w:tab/>
        <w:t>În cazul în care data de transmitere a raportării este o sărbătoare legală în statul membru al autorității competente căreia trebuie să i se prezinte raportul sau o zi de sâmbătă ori de duminică, data de transmitere a raportării este ziua lucrătoare următoare.</w:t>
      </w:r>
    </w:p>
    <w:p w14:paraId="3CCBFEEC" w14:textId="77777777" w:rsidR="00D5314D" w:rsidRPr="00AE4522" w:rsidRDefault="00AE4522">
      <w:pPr>
        <w:pStyle w:val="NumPar1"/>
        <w:numPr>
          <w:ilvl w:val="0"/>
          <w:numId w:val="0"/>
        </w:numPr>
        <w:tabs>
          <w:tab w:val="left" w:pos="567"/>
        </w:tabs>
        <w:rPr>
          <w:szCs w:val="24"/>
        </w:rPr>
      </w:pPr>
      <w:r w:rsidRPr="00AE4522">
        <w:rPr>
          <w:szCs w:val="24"/>
        </w:rPr>
        <w:t>(3)</w:t>
      </w:r>
      <w:r w:rsidRPr="00AE4522">
        <w:rPr>
          <w:szCs w:val="24"/>
        </w:rPr>
        <w:tab/>
        <w:t>În cazul în care firmele de investiții raportează informațiile care le privesc utilizând date de referință ale raportării ajustate pe baza datei la care se încheie exercițiile lor financiare, astfel cum se prevede la articolul 1 alineatul (2) din prezentul regulament, datele de transmitere pot fi ajustate în consecință, astfel încât să se mențină aceeași perioadă de transmitere față de data de referință a raportării ajustată.</w:t>
      </w:r>
    </w:p>
    <w:p w14:paraId="78FF7CF9" w14:textId="77777777" w:rsidR="00D5314D" w:rsidRPr="00AE4522" w:rsidRDefault="00AE4522">
      <w:pPr>
        <w:pStyle w:val="NumPar1"/>
        <w:numPr>
          <w:ilvl w:val="0"/>
          <w:numId w:val="0"/>
        </w:numPr>
        <w:tabs>
          <w:tab w:val="left" w:pos="567"/>
        </w:tabs>
        <w:rPr>
          <w:szCs w:val="24"/>
        </w:rPr>
      </w:pPr>
      <w:r w:rsidRPr="00AE4522">
        <w:rPr>
          <w:szCs w:val="24"/>
        </w:rPr>
        <w:t>(4)</w:t>
      </w:r>
      <w:r w:rsidRPr="00AE4522">
        <w:rPr>
          <w:szCs w:val="24"/>
        </w:rPr>
        <w:tab/>
        <w:t>Firmele de investiții pot prezenta cifre neauditate. În cazul în care cifrele auditate sunt diferite față de cifrele neauditate transmise, se prezintă fără întârziere cifrele revizuite în urma auditării. În sensul prezentului articol, „cifre neauditate” înseamnă cifre care nu au făcut obiectul unei opinii a unui auditor extern, în timp ce cifrele auditate sunt cifrele care au făcut obiectul unui audit efectuat de un auditor extern care și-a exprimat o opinie de audit.</w:t>
      </w:r>
    </w:p>
    <w:p w14:paraId="7C6A431B" w14:textId="77777777" w:rsidR="00D5314D" w:rsidRPr="00AE4522" w:rsidRDefault="00AE4522">
      <w:pPr>
        <w:pStyle w:val="NumPar1"/>
        <w:numPr>
          <w:ilvl w:val="0"/>
          <w:numId w:val="0"/>
        </w:numPr>
        <w:tabs>
          <w:tab w:val="left" w:pos="567"/>
        </w:tabs>
        <w:rPr>
          <w:szCs w:val="24"/>
        </w:rPr>
      </w:pPr>
      <w:r w:rsidRPr="00AE4522">
        <w:rPr>
          <w:szCs w:val="24"/>
        </w:rPr>
        <w:t>(5)</w:t>
      </w:r>
      <w:r w:rsidRPr="00AE4522">
        <w:rPr>
          <w:szCs w:val="24"/>
        </w:rPr>
        <w:tab/>
        <w:t>Se transmit, de asemenea, fără întârziere, autorităților competente corecțiile rapoartelor prezentate.</w:t>
      </w:r>
    </w:p>
    <w:p w14:paraId="139D5D52" w14:textId="77777777" w:rsidR="00D5314D" w:rsidRPr="00AE4522" w:rsidRDefault="00AE4522">
      <w:pPr>
        <w:pStyle w:val="Titrearticle"/>
        <w:rPr>
          <w:szCs w:val="24"/>
        </w:rPr>
      </w:pPr>
      <w:r w:rsidRPr="00AE4522">
        <w:rPr>
          <w:szCs w:val="24"/>
        </w:rPr>
        <w:lastRenderedPageBreak/>
        <w:t>Articolul 3</w:t>
      </w:r>
    </w:p>
    <w:p w14:paraId="1711C5AB" w14:textId="77777777" w:rsidR="00D5314D" w:rsidRPr="00AE4522" w:rsidRDefault="00AE4522">
      <w:pPr>
        <w:pStyle w:val="Titrearticle"/>
        <w:spacing w:before="120"/>
        <w:rPr>
          <w:b/>
          <w:i w:val="0"/>
          <w:szCs w:val="24"/>
        </w:rPr>
      </w:pPr>
      <w:r w:rsidRPr="00AE4522">
        <w:rPr>
          <w:b/>
          <w:i w:val="0"/>
          <w:szCs w:val="24"/>
        </w:rPr>
        <w:t>Aplicarea cerințelor de raportare pe bază individuală</w:t>
      </w:r>
    </w:p>
    <w:p w14:paraId="1FD8F169" w14:textId="77777777" w:rsidR="00D5314D" w:rsidRPr="00AE4522" w:rsidRDefault="00AE4522">
      <w:pPr>
        <w:rPr>
          <w:szCs w:val="24"/>
        </w:rPr>
      </w:pPr>
      <w:r w:rsidRPr="00AE4522">
        <w:rPr>
          <w:szCs w:val="24"/>
        </w:rPr>
        <w:t>Pentru a respecta cerințele de raportare de la articolul 54 din Regulamentul (UE) 2019/2033 pe bază individuală, firmele de investiții raportează informațiile specificate la articolele 5, 6 și 7 din prezentul regulament cu frecvența specificată în acesta.</w:t>
      </w:r>
    </w:p>
    <w:p w14:paraId="60B21D23" w14:textId="77777777" w:rsidR="00D5314D" w:rsidRPr="00AE4522" w:rsidRDefault="00AE4522">
      <w:pPr>
        <w:pStyle w:val="Titrearticle"/>
        <w:rPr>
          <w:szCs w:val="24"/>
        </w:rPr>
      </w:pPr>
      <w:r w:rsidRPr="00AE4522">
        <w:rPr>
          <w:szCs w:val="24"/>
        </w:rPr>
        <w:t>Articolul 4</w:t>
      </w:r>
    </w:p>
    <w:p w14:paraId="2C14B94F" w14:textId="77777777" w:rsidR="00D5314D" w:rsidRPr="00AE4522" w:rsidRDefault="00AE4522">
      <w:pPr>
        <w:pStyle w:val="Titrearticle"/>
        <w:spacing w:before="120"/>
        <w:rPr>
          <w:b/>
          <w:i w:val="0"/>
          <w:szCs w:val="24"/>
        </w:rPr>
      </w:pPr>
      <w:r w:rsidRPr="00AE4522">
        <w:rPr>
          <w:b/>
          <w:i w:val="0"/>
          <w:szCs w:val="24"/>
        </w:rPr>
        <w:t>Aplicarea cerințelor de publicare pe bază consolidată</w:t>
      </w:r>
    </w:p>
    <w:p w14:paraId="3215CD43" w14:textId="77777777" w:rsidR="00D5314D" w:rsidRPr="00AE4522" w:rsidRDefault="00AE4522">
      <w:pPr>
        <w:rPr>
          <w:i/>
          <w:szCs w:val="24"/>
        </w:rPr>
      </w:pPr>
      <w:r w:rsidRPr="00AE4522">
        <w:rPr>
          <w:szCs w:val="24"/>
        </w:rPr>
        <w:t>Pentru a respecta cerințele de raportare de la articolul 54 din Regulamentul (UE) 2019/2033 pe bază consolidată, firmele de investiții raportează informațiile specificate la articolele 5 și 6 din prezentul regulament de punere în aplicare cu frecvența specificată în acesta.</w:t>
      </w:r>
    </w:p>
    <w:p w14:paraId="09705AB6" w14:textId="77777777" w:rsidR="00D5314D" w:rsidRPr="00AE4522" w:rsidRDefault="00AE4522">
      <w:pPr>
        <w:pStyle w:val="Titrearticle"/>
        <w:rPr>
          <w:szCs w:val="24"/>
        </w:rPr>
      </w:pPr>
      <w:r w:rsidRPr="00AE4522">
        <w:rPr>
          <w:szCs w:val="24"/>
        </w:rPr>
        <w:t>Articolul 5</w:t>
      </w:r>
    </w:p>
    <w:p w14:paraId="3654A3A7" w14:textId="77777777" w:rsidR="00D5314D" w:rsidRPr="00AE4522" w:rsidRDefault="00AE4522">
      <w:pPr>
        <w:pStyle w:val="Titrearticle"/>
        <w:spacing w:before="120"/>
        <w:rPr>
          <w:b/>
          <w:i w:val="0"/>
          <w:szCs w:val="24"/>
        </w:rPr>
      </w:pPr>
      <w:r w:rsidRPr="00AE4522">
        <w:rPr>
          <w:b/>
          <w:i w:val="0"/>
          <w:szCs w:val="24"/>
        </w:rPr>
        <w:t>Raportarea și frecvența raportării de către firmele de investiții, altele decât firmele de investiții mici și neinterconectate</w:t>
      </w:r>
    </w:p>
    <w:p w14:paraId="68170599" w14:textId="77777777" w:rsidR="00D5314D" w:rsidRPr="00AE4522" w:rsidRDefault="00AE4522">
      <w:pPr>
        <w:pStyle w:val="NumPar1"/>
        <w:numPr>
          <w:ilvl w:val="0"/>
          <w:numId w:val="0"/>
        </w:numPr>
        <w:tabs>
          <w:tab w:val="left" w:pos="567"/>
        </w:tabs>
        <w:rPr>
          <w:szCs w:val="24"/>
        </w:rPr>
      </w:pPr>
      <w:r w:rsidRPr="00AE4522">
        <w:rPr>
          <w:szCs w:val="24"/>
        </w:rPr>
        <w:t>(1)</w:t>
      </w:r>
      <w:r w:rsidRPr="00AE4522">
        <w:rPr>
          <w:szCs w:val="24"/>
        </w:rPr>
        <w:tab/>
        <w:t>Firmele de investiții, altele decât firmele de investiții mici și neinterconectate, raportează informațiile prevăzute la articolul 54 alineatele (1) și (2) din Regulamentul (UE) 2019/2033 utilizând modelele prevăzute în anexa I la prezentul regulament, în conformitate cu instrucțiunile prevăzute în anexa II la prezentul regulament, cu o frecvență trimestrială.</w:t>
      </w:r>
    </w:p>
    <w:p w14:paraId="563EA6CE" w14:textId="77777777" w:rsidR="00D5314D" w:rsidRPr="00AE4522" w:rsidRDefault="00AE4522">
      <w:pPr>
        <w:pStyle w:val="NumPar1"/>
        <w:numPr>
          <w:ilvl w:val="0"/>
          <w:numId w:val="0"/>
        </w:numPr>
        <w:tabs>
          <w:tab w:val="left" w:pos="567"/>
        </w:tabs>
        <w:rPr>
          <w:szCs w:val="24"/>
        </w:rPr>
      </w:pPr>
      <w:r w:rsidRPr="00AE4522">
        <w:rPr>
          <w:szCs w:val="24"/>
        </w:rPr>
        <w:t>(2)</w:t>
      </w:r>
      <w:r w:rsidRPr="00AE4522">
        <w:rPr>
          <w:szCs w:val="24"/>
        </w:rPr>
        <w:tab/>
        <w:t>Firmele de investiții, altele decât firmele de investiții mici și neinterconectate, care determină cerința calculată pe baza factorilor K aferenți RtM bazându-se pe K-NPR, în conformitate cu articolul 21 alineatul (1) din Regulamentul (UE) 2019/2033, raportează cu o frecvență trimestrială informațiile specificate în modelele C 18.00-C 24.00 din anexa I la Regulamentul de punere în aplicare (UE) 2021/451 al Comisiei</w:t>
      </w:r>
      <w:r w:rsidRPr="00AE4522">
        <w:rPr>
          <w:rStyle w:val="FootnoteReference"/>
          <w:szCs w:val="24"/>
        </w:rPr>
        <w:footnoteReference w:id="3"/>
      </w:r>
      <w:r w:rsidRPr="00AE4522">
        <w:rPr>
          <w:szCs w:val="24"/>
        </w:rPr>
        <w:t>, în conformitate cu instrucțiunile prevăzute în partea 2 din anexa II la regulamentul de punere în aplicare respectiv.</w:t>
      </w:r>
    </w:p>
    <w:p w14:paraId="3C922014" w14:textId="77777777" w:rsidR="00D5314D" w:rsidRPr="00AE4522" w:rsidRDefault="00AE4522">
      <w:pPr>
        <w:pStyle w:val="NumPar1"/>
        <w:numPr>
          <w:ilvl w:val="0"/>
          <w:numId w:val="0"/>
        </w:numPr>
        <w:tabs>
          <w:tab w:val="left" w:pos="567"/>
        </w:tabs>
        <w:rPr>
          <w:szCs w:val="24"/>
        </w:rPr>
      </w:pPr>
      <w:r w:rsidRPr="00AE4522">
        <w:rPr>
          <w:szCs w:val="24"/>
        </w:rPr>
        <w:t>(3)</w:t>
      </w:r>
      <w:r w:rsidRPr="00AE4522">
        <w:rPr>
          <w:szCs w:val="24"/>
        </w:rPr>
        <w:tab/>
        <w:t>Firmele de investiții, altele decât firmele de investiții mici și neinterconectate, care recurg la derogarea prevăzută la articolul 25 alineatul (4) din Regulamentul (UE) 2019/2033 raportează cu o frecvență trimestrială informațiile specificate în modelul C 34.02 din anexa I la Regulamentul de punere în aplicare (UE) 2021/451, în conformitate cu instrucțiunile prevăzute în partea 2 din anexa II la regulamentul de punere în aplicare respectiv.</w:t>
      </w:r>
    </w:p>
    <w:p w14:paraId="4CE560AD" w14:textId="77777777" w:rsidR="00D5314D" w:rsidRPr="00AE4522" w:rsidRDefault="00AE4522">
      <w:pPr>
        <w:pStyle w:val="NumPar1"/>
        <w:numPr>
          <w:ilvl w:val="0"/>
          <w:numId w:val="0"/>
        </w:numPr>
        <w:tabs>
          <w:tab w:val="left" w:pos="567"/>
        </w:tabs>
        <w:rPr>
          <w:szCs w:val="24"/>
        </w:rPr>
      </w:pPr>
      <w:r w:rsidRPr="00AE4522">
        <w:rPr>
          <w:szCs w:val="24"/>
        </w:rPr>
        <w:t>(4)</w:t>
      </w:r>
      <w:r w:rsidRPr="00AE4522">
        <w:rPr>
          <w:szCs w:val="24"/>
        </w:rPr>
        <w:tab/>
        <w:t>Firmele de investiții, altele decât firmele de investiții mici și neinterconectate, care recurg la derogarea prevăzută la articolul 25 alineatul (5) al doilea paragraf din Regulamentul (UE) 2019/2033 raportează cu o frecvență trimestrială informațiile specificate în modelul C 25.00 din anexa I la Regulamentul de punere în aplicare (UE) 2021/451, în conformitate cu instrucțiunile prevăzute în partea 2 din anexa II la regulamentul de punere în aplicare respectiv.</w:t>
      </w:r>
    </w:p>
    <w:p w14:paraId="16BABCA5" w14:textId="77777777" w:rsidR="00D5314D" w:rsidRPr="00AE4522" w:rsidRDefault="00AE4522">
      <w:pPr>
        <w:pStyle w:val="Titrearticle"/>
        <w:rPr>
          <w:szCs w:val="24"/>
        </w:rPr>
      </w:pPr>
      <w:r w:rsidRPr="00AE4522">
        <w:rPr>
          <w:szCs w:val="24"/>
        </w:rPr>
        <w:lastRenderedPageBreak/>
        <w:t>Articolul 6</w:t>
      </w:r>
    </w:p>
    <w:p w14:paraId="14E3B9B8" w14:textId="77777777" w:rsidR="00D5314D" w:rsidRPr="00AE4522" w:rsidRDefault="00AE4522">
      <w:pPr>
        <w:pStyle w:val="Titrearticle"/>
        <w:spacing w:before="120"/>
        <w:rPr>
          <w:b/>
          <w:i w:val="0"/>
          <w:szCs w:val="24"/>
        </w:rPr>
      </w:pPr>
      <w:r w:rsidRPr="00AE4522">
        <w:rPr>
          <w:b/>
          <w:i w:val="0"/>
          <w:szCs w:val="24"/>
        </w:rPr>
        <w:t>Raportarea și frecvența raportării de către firmele de investiții mici și neinterconectate</w:t>
      </w:r>
    </w:p>
    <w:p w14:paraId="7F588F06" w14:textId="77777777" w:rsidR="00D5314D" w:rsidRPr="00AE4522" w:rsidRDefault="00AE4522">
      <w:pPr>
        <w:pStyle w:val="NumPar1"/>
        <w:numPr>
          <w:ilvl w:val="0"/>
          <w:numId w:val="0"/>
        </w:numPr>
        <w:tabs>
          <w:tab w:val="left" w:pos="567"/>
        </w:tabs>
        <w:rPr>
          <w:szCs w:val="24"/>
        </w:rPr>
      </w:pPr>
      <w:r w:rsidRPr="00AE4522">
        <w:rPr>
          <w:szCs w:val="24"/>
        </w:rPr>
        <w:t>(1)</w:t>
      </w:r>
      <w:r w:rsidRPr="00AE4522">
        <w:rPr>
          <w:szCs w:val="24"/>
        </w:rPr>
        <w:tab/>
        <w:t>Firmele de investiții mici și neinterconectate raportează informațiile specificate în modelele din anexa III la prezentul regulament în conformitate cu instrucțiunile din anexa IV la prezentul regulament cu o frecvență anuală. Firmele de investiții care beneficiază de derogarea menționată la articolul 43 alineatul (1) al doilea paragraf din Regulamentul (UE) 2019/2033 sunt scutite de obligația de a transmite informațiile specificate în modelul IF 09.01 din anexa III la prezentul regulament.</w:t>
      </w:r>
    </w:p>
    <w:p w14:paraId="0373C874" w14:textId="77777777" w:rsidR="00D5314D" w:rsidRPr="00AE4522" w:rsidRDefault="00AE4522">
      <w:pPr>
        <w:pStyle w:val="Titrearticle"/>
        <w:rPr>
          <w:szCs w:val="24"/>
        </w:rPr>
      </w:pPr>
      <w:r w:rsidRPr="00AE4522">
        <w:rPr>
          <w:szCs w:val="24"/>
        </w:rPr>
        <w:t>Articolul 7</w:t>
      </w:r>
    </w:p>
    <w:p w14:paraId="0BDDB394" w14:textId="77777777" w:rsidR="00D5314D" w:rsidRPr="00AE4522" w:rsidRDefault="00AE4522">
      <w:pPr>
        <w:pStyle w:val="Titrearticle"/>
        <w:spacing w:before="120"/>
        <w:rPr>
          <w:b/>
          <w:i w:val="0"/>
          <w:szCs w:val="24"/>
        </w:rPr>
      </w:pPr>
      <w:r w:rsidRPr="00AE4522">
        <w:rPr>
          <w:b/>
          <w:i w:val="0"/>
          <w:szCs w:val="24"/>
        </w:rPr>
        <w:t>Formatul și frecvența raportării efectuate de entitățile care beneficiază de aplicarea articolului 8 din Regulamentul (UE) 2019/2033</w:t>
      </w:r>
    </w:p>
    <w:p w14:paraId="533EF966" w14:textId="77777777" w:rsidR="00D5314D" w:rsidRPr="00AE4522" w:rsidRDefault="00AE4522">
      <w:pPr>
        <w:rPr>
          <w:rFonts w:eastAsia="Times New Roman"/>
          <w:szCs w:val="24"/>
        </w:rPr>
      </w:pPr>
      <w:r w:rsidRPr="00AE4522">
        <w:rPr>
          <w:szCs w:val="24"/>
        </w:rPr>
        <w:t>Prin derogare de la articolul 4 din prezentul regulament, entitățile menționate la articolul 8 alineatul (3) din Regulamentul (UE) 2019/2033 care beneficiază de aplicarea articolului respectiv raportează informațiile prevăzute în modelele din anexa VIII la prezentul regulament în conformitate cu instrucțiunile prevăzute în anexa IX la prezentul regulament, cu o frecvență trimestrială.</w:t>
      </w:r>
    </w:p>
    <w:p w14:paraId="31F2A695" w14:textId="77777777" w:rsidR="00D5314D" w:rsidRPr="00AE4522" w:rsidRDefault="00AE4522">
      <w:pPr>
        <w:pStyle w:val="Titrearticle"/>
        <w:rPr>
          <w:szCs w:val="24"/>
        </w:rPr>
      </w:pPr>
      <w:r w:rsidRPr="00AE4522">
        <w:rPr>
          <w:szCs w:val="24"/>
        </w:rPr>
        <w:t>Articolul 8</w:t>
      </w:r>
    </w:p>
    <w:p w14:paraId="44ED6484" w14:textId="77777777" w:rsidR="00D5314D" w:rsidRPr="00AE4522" w:rsidRDefault="00AE4522">
      <w:pPr>
        <w:pStyle w:val="Titrearticle"/>
        <w:spacing w:before="120"/>
        <w:rPr>
          <w:b/>
          <w:i w:val="0"/>
          <w:szCs w:val="24"/>
        </w:rPr>
      </w:pPr>
      <w:r w:rsidRPr="00AE4522">
        <w:rPr>
          <w:b/>
          <w:i w:val="0"/>
          <w:szCs w:val="24"/>
        </w:rPr>
        <w:t>Precizia datelor și informațiile asociate transmiterilor</w:t>
      </w:r>
    </w:p>
    <w:p w14:paraId="6235F33E" w14:textId="77777777" w:rsidR="00D5314D" w:rsidRPr="00AE4522" w:rsidRDefault="00AE4522">
      <w:pPr>
        <w:pStyle w:val="NumPar1"/>
        <w:numPr>
          <w:ilvl w:val="0"/>
          <w:numId w:val="0"/>
        </w:numPr>
        <w:tabs>
          <w:tab w:val="left" w:pos="567"/>
        </w:tabs>
        <w:rPr>
          <w:szCs w:val="24"/>
        </w:rPr>
      </w:pPr>
      <w:r w:rsidRPr="00AE4522">
        <w:rPr>
          <w:szCs w:val="24"/>
        </w:rPr>
        <w:t>(1)</w:t>
      </w:r>
      <w:r w:rsidRPr="00AE4522">
        <w:rPr>
          <w:szCs w:val="24"/>
        </w:rPr>
        <w:tab/>
        <w:t>Firmele de investiții transmit informațiile menționate în prezentul regulament în formatele și reprezentările pentru schimbul de date specificate de autoritățile competente și respectând definiția punctului de date din modelul referitor la punctele de date și formulele de validare specificate în anexa V, precum și următoarele specificații:</w:t>
      </w:r>
    </w:p>
    <w:p w14:paraId="4AC182D1"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informațiile care nu sunt necesare sau care nu se aplică nu sunt incluse în datele transmise;</w:t>
      </w:r>
    </w:p>
    <w:p w14:paraId="7CC457FA"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valorile numerice sunt prezentate ca fapte, în conformitate cu următoarele convenții:</w:t>
      </w:r>
    </w:p>
    <w:p w14:paraId="136FF9AD" w14:textId="77777777" w:rsidR="00D5314D" w:rsidRPr="00AE4522" w:rsidRDefault="00AE4522">
      <w:pPr>
        <w:pStyle w:val="Point2"/>
        <w:ind w:left="1134"/>
        <w:rPr>
          <w:szCs w:val="24"/>
        </w:rPr>
      </w:pPr>
      <w:r w:rsidRPr="00AE4522">
        <w:rPr>
          <w:szCs w:val="24"/>
        </w:rPr>
        <w:t>(i)</w:t>
      </w:r>
      <w:r w:rsidRPr="00AE4522">
        <w:rPr>
          <w:szCs w:val="24"/>
        </w:rPr>
        <w:tab/>
        <w:t>punctele de date cu tipul de date „Monetar” se raportează cu o precizie minimă de mii de unități;</w:t>
      </w:r>
    </w:p>
    <w:p w14:paraId="49CA0C08" w14:textId="77777777" w:rsidR="00D5314D" w:rsidRPr="00AE4522" w:rsidRDefault="00AE4522">
      <w:pPr>
        <w:pStyle w:val="Point2"/>
        <w:ind w:left="1134"/>
        <w:rPr>
          <w:szCs w:val="24"/>
        </w:rPr>
      </w:pPr>
      <w:r w:rsidRPr="00AE4522">
        <w:rPr>
          <w:szCs w:val="24"/>
        </w:rPr>
        <w:t>(ii)</w:t>
      </w:r>
      <w:r w:rsidRPr="00AE4522">
        <w:rPr>
          <w:szCs w:val="24"/>
        </w:rPr>
        <w:tab/>
        <w:t>punctele de date cu tipul de date „Procentaj” se exprimă per unitate cu o precizie minimă de patru zecimale;</w:t>
      </w:r>
    </w:p>
    <w:p w14:paraId="673C72DC" w14:textId="77777777" w:rsidR="00D5314D" w:rsidRPr="00AE4522" w:rsidRDefault="00AE4522">
      <w:pPr>
        <w:pStyle w:val="Point2"/>
        <w:ind w:left="1134"/>
        <w:rPr>
          <w:szCs w:val="24"/>
        </w:rPr>
      </w:pPr>
      <w:r w:rsidRPr="00AE4522">
        <w:rPr>
          <w:szCs w:val="24"/>
        </w:rPr>
        <w:t>(iii)</w:t>
      </w:r>
      <w:r w:rsidRPr="00AE4522">
        <w:rPr>
          <w:szCs w:val="24"/>
        </w:rPr>
        <w:tab/>
        <w:t>punctele de date cu tipul de date „Număr întreg” sunt raportate fără a se utiliza zecimale și cu o precizie de unități.</w:t>
      </w:r>
    </w:p>
    <w:p w14:paraId="150F479A" w14:textId="77777777" w:rsidR="00D5314D" w:rsidRPr="00AE4522" w:rsidRDefault="00AE4522">
      <w:pPr>
        <w:pStyle w:val="NumPar1"/>
        <w:numPr>
          <w:ilvl w:val="0"/>
          <w:numId w:val="0"/>
        </w:numPr>
        <w:tabs>
          <w:tab w:val="left" w:pos="567"/>
        </w:tabs>
        <w:rPr>
          <w:szCs w:val="24"/>
        </w:rPr>
      </w:pPr>
      <w:r w:rsidRPr="00AE4522">
        <w:rPr>
          <w:szCs w:val="24"/>
        </w:rPr>
        <w:t>(2)</w:t>
      </w:r>
      <w:r w:rsidRPr="00AE4522">
        <w:rPr>
          <w:szCs w:val="24"/>
        </w:rPr>
        <w:tab/>
        <w:t>Firmele de investiții sunt identificate prin identificatorul entității juridice (LEI). Entitățile juridice și contrapărțile, altele decât firmele de investiții, sunt identificate cu ajutorul LEI în cazul în care acesta este disponibil.</w:t>
      </w:r>
    </w:p>
    <w:p w14:paraId="063AA515" w14:textId="77777777" w:rsidR="00D5314D" w:rsidRPr="00AE4522" w:rsidRDefault="00AE4522">
      <w:pPr>
        <w:pStyle w:val="NumPar1"/>
        <w:numPr>
          <w:ilvl w:val="0"/>
          <w:numId w:val="0"/>
        </w:numPr>
        <w:tabs>
          <w:tab w:val="left" w:pos="567"/>
        </w:tabs>
        <w:rPr>
          <w:szCs w:val="24"/>
        </w:rPr>
      </w:pPr>
      <w:r w:rsidRPr="00AE4522">
        <w:rPr>
          <w:szCs w:val="24"/>
        </w:rPr>
        <w:t>(3)</w:t>
      </w:r>
      <w:r w:rsidRPr="00AE4522">
        <w:rPr>
          <w:szCs w:val="24"/>
        </w:rPr>
        <w:tab/>
        <w:t>Informațiile furnizate de firmele de investiții în temeiul prezentului regulament sunt însoțite de următoarele informații:</w:t>
      </w:r>
    </w:p>
    <w:p w14:paraId="12DBCAB5"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data de referință a raportării și perioada de referință;</w:t>
      </w:r>
    </w:p>
    <w:p w14:paraId="14FC3E73"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moneda de raportare;</w:t>
      </w:r>
    </w:p>
    <w:p w14:paraId="2BF47A33" w14:textId="77777777" w:rsidR="00D5314D" w:rsidRPr="00AE4522" w:rsidRDefault="00AE4522">
      <w:pPr>
        <w:pStyle w:val="Point1letter"/>
        <w:numPr>
          <w:ilvl w:val="0"/>
          <w:numId w:val="0"/>
        </w:numPr>
        <w:ind w:left="567" w:hanging="567"/>
        <w:rPr>
          <w:szCs w:val="24"/>
        </w:rPr>
      </w:pPr>
      <w:r w:rsidRPr="00AE4522">
        <w:rPr>
          <w:szCs w:val="24"/>
        </w:rPr>
        <w:t>(c)</w:t>
      </w:r>
      <w:r w:rsidRPr="00AE4522">
        <w:rPr>
          <w:szCs w:val="24"/>
        </w:rPr>
        <w:tab/>
        <w:t>standardul contabil;</w:t>
      </w:r>
    </w:p>
    <w:p w14:paraId="5D00C7C0" w14:textId="77777777" w:rsidR="00D5314D" w:rsidRPr="00AE4522" w:rsidRDefault="00AE4522">
      <w:pPr>
        <w:pStyle w:val="Point1letter"/>
        <w:numPr>
          <w:ilvl w:val="0"/>
          <w:numId w:val="0"/>
        </w:numPr>
        <w:ind w:left="567" w:hanging="567"/>
        <w:rPr>
          <w:szCs w:val="24"/>
        </w:rPr>
      </w:pPr>
      <w:r w:rsidRPr="00AE4522">
        <w:rPr>
          <w:szCs w:val="24"/>
        </w:rPr>
        <w:t>(d)</w:t>
      </w:r>
      <w:r w:rsidRPr="00AE4522">
        <w:rPr>
          <w:szCs w:val="24"/>
        </w:rPr>
        <w:tab/>
        <w:t>identificatorul entității juridice (LEI) al instituției raportoare;</w:t>
      </w:r>
    </w:p>
    <w:p w14:paraId="01FBE6B2" w14:textId="77777777" w:rsidR="00D5314D" w:rsidRPr="00AE4522" w:rsidRDefault="00AE4522">
      <w:pPr>
        <w:pStyle w:val="Point1letter"/>
        <w:numPr>
          <w:ilvl w:val="0"/>
          <w:numId w:val="0"/>
        </w:numPr>
        <w:ind w:left="567" w:hanging="567"/>
        <w:rPr>
          <w:szCs w:val="24"/>
        </w:rPr>
      </w:pPr>
      <w:r w:rsidRPr="00AE4522">
        <w:rPr>
          <w:szCs w:val="24"/>
        </w:rPr>
        <w:t>(e)</w:t>
      </w:r>
      <w:r w:rsidRPr="00AE4522">
        <w:rPr>
          <w:szCs w:val="24"/>
        </w:rPr>
        <w:tab/>
        <w:t>perimetrul de consolidare.</w:t>
      </w:r>
    </w:p>
    <w:p w14:paraId="37CDFB41" w14:textId="77777777" w:rsidR="00D5314D" w:rsidRPr="00AE4522" w:rsidRDefault="00AE4522">
      <w:pPr>
        <w:pStyle w:val="ChapterTitle"/>
        <w:rPr>
          <w:b w:val="0"/>
          <w:sz w:val="24"/>
          <w:szCs w:val="24"/>
        </w:rPr>
      </w:pPr>
      <w:r w:rsidRPr="00AE4522">
        <w:rPr>
          <w:b w:val="0"/>
          <w:sz w:val="24"/>
          <w:szCs w:val="24"/>
        </w:rPr>
        <w:lastRenderedPageBreak/>
        <w:t>CAPITOLUL II</w:t>
      </w:r>
    </w:p>
    <w:p w14:paraId="742CB61E" w14:textId="77777777" w:rsidR="00D5314D" w:rsidRPr="00AE4522" w:rsidRDefault="00AE4522">
      <w:pPr>
        <w:pStyle w:val="ChapterTitle"/>
        <w:rPr>
          <w:sz w:val="24"/>
          <w:szCs w:val="24"/>
        </w:rPr>
      </w:pPr>
      <w:r w:rsidRPr="00AE4522">
        <w:rPr>
          <w:sz w:val="24"/>
          <w:szCs w:val="24"/>
        </w:rPr>
        <w:t>PUBLICAREA DE INFORMAȚII DE CĂTRE FIRMELE DE INVESTIȚII</w:t>
      </w:r>
    </w:p>
    <w:p w14:paraId="72539501" w14:textId="77777777" w:rsidR="00D5314D" w:rsidRPr="00AE4522" w:rsidRDefault="00AE4522">
      <w:pPr>
        <w:pStyle w:val="Titrearticle"/>
        <w:rPr>
          <w:szCs w:val="24"/>
        </w:rPr>
      </w:pPr>
      <w:r w:rsidRPr="00AE4522">
        <w:rPr>
          <w:szCs w:val="24"/>
        </w:rPr>
        <w:t>Articolul 9</w:t>
      </w:r>
    </w:p>
    <w:p w14:paraId="0B884E2A" w14:textId="77777777" w:rsidR="00D5314D" w:rsidRPr="00AE4522" w:rsidRDefault="00AE4522">
      <w:pPr>
        <w:pStyle w:val="Titrearticle"/>
        <w:spacing w:before="120"/>
        <w:rPr>
          <w:b/>
          <w:i w:val="0"/>
          <w:szCs w:val="24"/>
        </w:rPr>
      </w:pPr>
      <w:r w:rsidRPr="00AE4522">
        <w:rPr>
          <w:b/>
          <w:i w:val="0"/>
          <w:szCs w:val="24"/>
        </w:rPr>
        <w:t>Principiile publicării</w:t>
      </w:r>
    </w:p>
    <w:p w14:paraId="072B4C0C" w14:textId="77777777" w:rsidR="00D5314D" w:rsidRPr="00AE4522" w:rsidRDefault="00AE4522">
      <w:pPr>
        <w:pStyle w:val="NumPar1"/>
        <w:numPr>
          <w:ilvl w:val="0"/>
          <w:numId w:val="0"/>
        </w:numPr>
        <w:rPr>
          <w:szCs w:val="24"/>
        </w:rPr>
      </w:pPr>
      <w:r>
        <w:rPr>
          <w:szCs w:val="24"/>
        </w:rPr>
        <w:t>(</w:t>
      </w:r>
      <w:r w:rsidRPr="00AE4522">
        <w:rPr>
          <w:szCs w:val="24"/>
        </w:rPr>
        <w:t>1</w:t>
      </w:r>
      <w:r>
        <w:rPr>
          <w:szCs w:val="24"/>
        </w:rPr>
        <w:t>)</w:t>
      </w:r>
      <w:r w:rsidRPr="00AE4522">
        <w:rPr>
          <w:szCs w:val="24"/>
        </w:rPr>
        <w:tab/>
        <w:t>Informațiile care trebuie publicate în conformitate cu prezentul regulament respectă următoarelor principii:</w:t>
      </w:r>
    </w:p>
    <w:p w14:paraId="231110F9"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informațiile publicate fac obiectul aceluiași nivel de verificare internă ca cel aplicabil raportului de administrare inclus în raportul financiar al firmei de investiții;</w:t>
      </w:r>
    </w:p>
    <w:p w14:paraId="60C4E52A"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informațiile publicate trebuie să fie clare și să fie prezentate într-o formă ușor de înțeles de către utilizatori și comunicate prin intermediul unui mediu accesibil. Mesajele importante trebuie să fie evidențiate și ușor de găsit. Problemele complexe trebuie explicate într-un limbaj simplu. Informațiile conexe trebuie să fie prezentate împreună;</w:t>
      </w:r>
    </w:p>
    <w:p w14:paraId="7C986BBF" w14:textId="77777777" w:rsidR="00D5314D" w:rsidRPr="00AE4522" w:rsidRDefault="00AE4522">
      <w:pPr>
        <w:pStyle w:val="Point1letter"/>
        <w:numPr>
          <w:ilvl w:val="0"/>
          <w:numId w:val="0"/>
        </w:numPr>
        <w:ind w:left="567" w:hanging="567"/>
        <w:rPr>
          <w:szCs w:val="24"/>
        </w:rPr>
      </w:pPr>
      <w:r w:rsidRPr="00AE4522">
        <w:rPr>
          <w:szCs w:val="24"/>
        </w:rPr>
        <w:t>(c)</w:t>
      </w:r>
      <w:r w:rsidRPr="00AE4522">
        <w:rPr>
          <w:szCs w:val="24"/>
        </w:rPr>
        <w:tab/>
        <w:t>informațiile publicate trebuie să fie semnificative și consecvente în timp, pentru a permite utilizatorilor informațiilor să compare informațiile între perioadele de publicare;</w:t>
      </w:r>
    </w:p>
    <w:p w14:paraId="7E6A8960" w14:textId="77777777" w:rsidR="00D5314D" w:rsidRPr="00AE4522" w:rsidRDefault="00AE4522">
      <w:pPr>
        <w:pStyle w:val="Point1letter"/>
        <w:numPr>
          <w:ilvl w:val="0"/>
          <w:numId w:val="0"/>
        </w:numPr>
        <w:ind w:left="567" w:hanging="567"/>
        <w:rPr>
          <w:szCs w:val="24"/>
        </w:rPr>
      </w:pPr>
      <w:r w:rsidRPr="00AE4522">
        <w:rPr>
          <w:szCs w:val="24"/>
        </w:rPr>
        <w:t>(d)</w:t>
      </w:r>
      <w:r w:rsidRPr="00AE4522">
        <w:rPr>
          <w:szCs w:val="24"/>
        </w:rPr>
        <w:tab/>
        <w:t>informațiile cantitative sunt însoțite de explicații calitative și de orice altă informație suplimentară care poate fi necesară pentru ca utilizatorii acestor informații să le înțeleagă, subliniind în special orice modificare semnificativă a informațiilor publicate față de informații publicate anterior.</w:t>
      </w:r>
    </w:p>
    <w:p w14:paraId="582525FA" w14:textId="77777777" w:rsidR="00D5314D" w:rsidRPr="00AE4522" w:rsidRDefault="00AE4522">
      <w:pPr>
        <w:pStyle w:val="Titrearticle"/>
        <w:rPr>
          <w:szCs w:val="24"/>
        </w:rPr>
      </w:pPr>
      <w:r w:rsidRPr="00AE4522">
        <w:rPr>
          <w:szCs w:val="24"/>
        </w:rPr>
        <w:t>Articolul 10</w:t>
      </w:r>
    </w:p>
    <w:p w14:paraId="242EDCA3" w14:textId="77777777" w:rsidR="00D5314D" w:rsidRPr="00AE4522" w:rsidRDefault="00AE4522">
      <w:pPr>
        <w:pStyle w:val="Titrearticle"/>
        <w:spacing w:before="120"/>
        <w:rPr>
          <w:b/>
          <w:i w:val="0"/>
          <w:szCs w:val="24"/>
        </w:rPr>
      </w:pPr>
      <w:r w:rsidRPr="00AE4522">
        <w:rPr>
          <w:b/>
          <w:i w:val="0"/>
          <w:szCs w:val="24"/>
        </w:rPr>
        <w:t>Publicarea informațiilor privind fondurile proprii de către firmele de investiții</w:t>
      </w:r>
    </w:p>
    <w:p w14:paraId="34D31383" w14:textId="77777777" w:rsidR="00D5314D" w:rsidRPr="00AE4522" w:rsidRDefault="00AE4522">
      <w:pPr>
        <w:rPr>
          <w:szCs w:val="24"/>
        </w:rPr>
      </w:pPr>
      <w:r w:rsidRPr="00AE4522">
        <w:rPr>
          <w:szCs w:val="24"/>
        </w:rPr>
        <w:t>Firmele de investiții fac publice informațiile privind fondurile proprii prevăzute la articolul 49 alineatul (1) din Regulamentul (UE) 2019/2033 utilizând modelele din anexa VI la prezentul regulament și în conformitate cu instrucțiunile relevante prevăzute în anexa VII la prezentul regulament.</w:t>
      </w:r>
    </w:p>
    <w:p w14:paraId="20A04835" w14:textId="77777777" w:rsidR="00D5314D" w:rsidRPr="00AE4522" w:rsidRDefault="00AE4522">
      <w:pPr>
        <w:pStyle w:val="Titrearticle"/>
        <w:rPr>
          <w:szCs w:val="24"/>
        </w:rPr>
      </w:pPr>
      <w:r w:rsidRPr="00AE4522">
        <w:rPr>
          <w:szCs w:val="24"/>
        </w:rPr>
        <w:t>Articolul 11</w:t>
      </w:r>
    </w:p>
    <w:p w14:paraId="3FFED4E6" w14:textId="77777777" w:rsidR="00D5314D" w:rsidRPr="00AE4522" w:rsidRDefault="00AE4522">
      <w:pPr>
        <w:pStyle w:val="Titrearticle"/>
        <w:spacing w:before="120"/>
        <w:rPr>
          <w:b/>
          <w:i w:val="0"/>
          <w:szCs w:val="24"/>
        </w:rPr>
      </w:pPr>
      <w:r w:rsidRPr="00AE4522">
        <w:rPr>
          <w:b/>
          <w:i w:val="0"/>
          <w:szCs w:val="24"/>
        </w:rPr>
        <w:t>Dispoziții generale privind publicarea informațiilor</w:t>
      </w:r>
    </w:p>
    <w:p w14:paraId="2E3A4583" w14:textId="77777777" w:rsidR="00D5314D" w:rsidRPr="00AE4522" w:rsidRDefault="00AE4522">
      <w:pPr>
        <w:pStyle w:val="NumPar1"/>
        <w:numPr>
          <w:ilvl w:val="0"/>
          <w:numId w:val="0"/>
        </w:numPr>
        <w:tabs>
          <w:tab w:val="left" w:pos="567"/>
        </w:tabs>
        <w:rPr>
          <w:szCs w:val="24"/>
        </w:rPr>
      </w:pPr>
      <w:r>
        <w:rPr>
          <w:szCs w:val="24"/>
        </w:rPr>
        <w:t>(</w:t>
      </w:r>
      <w:r w:rsidRPr="00AE4522">
        <w:rPr>
          <w:szCs w:val="24"/>
        </w:rPr>
        <w:t>1</w:t>
      </w:r>
      <w:r>
        <w:rPr>
          <w:szCs w:val="24"/>
        </w:rPr>
        <w:t>)</w:t>
      </w:r>
      <w:r w:rsidRPr="00AE4522">
        <w:rPr>
          <w:szCs w:val="24"/>
        </w:rPr>
        <w:tab/>
        <w:t>Atunci când fac publice informațiile menționate la articolul 10 din prezentul regulament, firmele de investiții se asigură că valorile numerice sunt prezentate ca fapte, în conformitate cu următoarele dispoziții:</w:t>
      </w:r>
    </w:p>
    <w:p w14:paraId="0C8970C9"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datele monetare cantitative se publică cu o precizie minimă de mii de unități;</w:t>
      </w:r>
    </w:p>
    <w:p w14:paraId="0FB8795B"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datele cantitative prezentate ca „Procentaj” se exprimă per unitate cu o precizie minimă de patru zecimale.</w:t>
      </w:r>
    </w:p>
    <w:p w14:paraId="33146396" w14:textId="77777777" w:rsidR="00D5314D" w:rsidRPr="00AE4522" w:rsidRDefault="00AE4522">
      <w:pPr>
        <w:pStyle w:val="NumPar1"/>
        <w:numPr>
          <w:ilvl w:val="0"/>
          <w:numId w:val="0"/>
        </w:numPr>
        <w:tabs>
          <w:tab w:val="left" w:pos="567"/>
        </w:tabs>
        <w:rPr>
          <w:szCs w:val="24"/>
        </w:rPr>
      </w:pPr>
      <w:r>
        <w:rPr>
          <w:szCs w:val="24"/>
        </w:rPr>
        <w:t>(</w:t>
      </w:r>
      <w:r w:rsidRPr="00AE4522">
        <w:rPr>
          <w:szCs w:val="24"/>
        </w:rPr>
        <w:t>2</w:t>
      </w:r>
      <w:r>
        <w:rPr>
          <w:szCs w:val="24"/>
        </w:rPr>
        <w:t>)</w:t>
      </w:r>
      <w:r w:rsidRPr="00AE4522">
        <w:rPr>
          <w:szCs w:val="24"/>
        </w:rPr>
        <w:tab/>
        <w:t>Atunci când publică informațiile menționate la articolul 10 din prezentul regulament, firmele de investiții se asigură că datele sunt asociate cu toate informațiile următoare:</w:t>
      </w:r>
    </w:p>
    <w:p w14:paraId="303D4EEE" w14:textId="77777777" w:rsidR="00D5314D" w:rsidRPr="00AE4522" w:rsidRDefault="00AE4522">
      <w:pPr>
        <w:pStyle w:val="Point1letter"/>
        <w:numPr>
          <w:ilvl w:val="0"/>
          <w:numId w:val="0"/>
        </w:numPr>
        <w:ind w:left="567" w:hanging="567"/>
        <w:rPr>
          <w:szCs w:val="24"/>
        </w:rPr>
      </w:pPr>
      <w:r w:rsidRPr="00AE4522">
        <w:rPr>
          <w:szCs w:val="24"/>
        </w:rPr>
        <w:t>(a)</w:t>
      </w:r>
      <w:r w:rsidRPr="00AE4522">
        <w:rPr>
          <w:szCs w:val="24"/>
        </w:rPr>
        <w:tab/>
        <w:t>dată de referință a publicării și perioada de referință;</w:t>
      </w:r>
    </w:p>
    <w:p w14:paraId="3B09C758" w14:textId="77777777" w:rsidR="00D5314D" w:rsidRPr="00AE4522" w:rsidRDefault="00AE4522">
      <w:pPr>
        <w:pStyle w:val="Point1letter"/>
        <w:numPr>
          <w:ilvl w:val="0"/>
          <w:numId w:val="0"/>
        </w:numPr>
        <w:ind w:left="567" w:hanging="567"/>
        <w:rPr>
          <w:szCs w:val="24"/>
        </w:rPr>
      </w:pPr>
      <w:r w:rsidRPr="00AE4522">
        <w:rPr>
          <w:szCs w:val="24"/>
        </w:rPr>
        <w:t>(b)</w:t>
      </w:r>
      <w:r w:rsidRPr="00AE4522">
        <w:rPr>
          <w:szCs w:val="24"/>
        </w:rPr>
        <w:tab/>
        <w:t>moneda în care sunt exprimate datele publicate;</w:t>
      </w:r>
    </w:p>
    <w:p w14:paraId="01314E5E" w14:textId="77777777" w:rsidR="00D5314D" w:rsidRPr="00AE4522" w:rsidRDefault="00AE4522">
      <w:pPr>
        <w:pStyle w:val="Point1letter"/>
        <w:numPr>
          <w:ilvl w:val="0"/>
          <w:numId w:val="0"/>
        </w:numPr>
        <w:ind w:left="567" w:hanging="567"/>
        <w:rPr>
          <w:szCs w:val="24"/>
        </w:rPr>
      </w:pPr>
      <w:r w:rsidRPr="00AE4522">
        <w:rPr>
          <w:szCs w:val="24"/>
        </w:rPr>
        <w:t>(c)</w:t>
      </w:r>
      <w:r w:rsidRPr="00AE4522">
        <w:rPr>
          <w:szCs w:val="24"/>
        </w:rPr>
        <w:tab/>
        <w:t>denumirea și, dacă este cazul, identificatorul entității juridice (LEI) al instituției care publică informațiile;</w:t>
      </w:r>
    </w:p>
    <w:p w14:paraId="5B9825FE" w14:textId="77777777" w:rsidR="00D5314D" w:rsidRPr="00AE4522" w:rsidRDefault="00AE4522">
      <w:pPr>
        <w:pStyle w:val="Point1letter"/>
        <w:numPr>
          <w:ilvl w:val="0"/>
          <w:numId w:val="0"/>
        </w:numPr>
        <w:ind w:left="567" w:hanging="567"/>
        <w:rPr>
          <w:szCs w:val="24"/>
        </w:rPr>
      </w:pPr>
      <w:r w:rsidRPr="00AE4522">
        <w:rPr>
          <w:szCs w:val="24"/>
        </w:rPr>
        <w:t>(d)</w:t>
      </w:r>
      <w:r w:rsidRPr="00AE4522">
        <w:rPr>
          <w:szCs w:val="24"/>
        </w:rPr>
        <w:tab/>
        <w:t>standardul contabil utilizat, dacă este cazul;</w:t>
      </w:r>
    </w:p>
    <w:p w14:paraId="76F663CD" w14:textId="77777777" w:rsidR="00D5314D" w:rsidRPr="00AE4522" w:rsidRDefault="00AE4522">
      <w:pPr>
        <w:pStyle w:val="Point1letter"/>
        <w:numPr>
          <w:ilvl w:val="0"/>
          <w:numId w:val="0"/>
        </w:numPr>
        <w:ind w:left="567" w:hanging="567"/>
        <w:rPr>
          <w:szCs w:val="24"/>
        </w:rPr>
      </w:pPr>
      <w:r w:rsidRPr="00AE4522">
        <w:rPr>
          <w:szCs w:val="24"/>
        </w:rPr>
        <w:lastRenderedPageBreak/>
        <w:t>(e)</w:t>
      </w:r>
      <w:r w:rsidRPr="00AE4522">
        <w:rPr>
          <w:szCs w:val="24"/>
        </w:rPr>
        <w:tab/>
        <w:t>perimetrul de consolidare, dacă este cazul.</w:t>
      </w:r>
    </w:p>
    <w:p w14:paraId="655FB5AB" w14:textId="77777777" w:rsidR="00D5314D" w:rsidRPr="00AE4522" w:rsidRDefault="00AE4522">
      <w:pPr>
        <w:pStyle w:val="ChapterTitle"/>
        <w:rPr>
          <w:b w:val="0"/>
          <w:sz w:val="24"/>
          <w:szCs w:val="24"/>
        </w:rPr>
      </w:pPr>
      <w:r w:rsidRPr="00AE4522">
        <w:rPr>
          <w:b w:val="0"/>
          <w:sz w:val="24"/>
          <w:szCs w:val="24"/>
        </w:rPr>
        <w:t>CAPITOLUL III</w:t>
      </w:r>
    </w:p>
    <w:p w14:paraId="23C94740" w14:textId="77777777" w:rsidR="00D5314D" w:rsidRPr="00AE4522" w:rsidRDefault="00AE4522">
      <w:pPr>
        <w:pStyle w:val="ChapterTitle"/>
        <w:rPr>
          <w:sz w:val="24"/>
          <w:szCs w:val="24"/>
        </w:rPr>
      </w:pPr>
      <w:r w:rsidRPr="00AE4522">
        <w:rPr>
          <w:sz w:val="24"/>
          <w:szCs w:val="24"/>
        </w:rPr>
        <w:t>DISPOZIȚII FINALE</w:t>
      </w:r>
    </w:p>
    <w:p w14:paraId="7BBF2BD4" w14:textId="77777777" w:rsidR="00D5314D" w:rsidRPr="00AE4522" w:rsidRDefault="00AE4522">
      <w:pPr>
        <w:pStyle w:val="Titrearticle"/>
        <w:spacing w:before="120"/>
        <w:rPr>
          <w:szCs w:val="24"/>
        </w:rPr>
      </w:pPr>
      <w:r w:rsidRPr="00AE4522">
        <w:rPr>
          <w:szCs w:val="24"/>
        </w:rPr>
        <w:t>Articolul 12</w:t>
      </w:r>
    </w:p>
    <w:p w14:paraId="70014C17" w14:textId="4251ED29" w:rsidR="00D5314D" w:rsidRPr="00AE4522" w:rsidRDefault="00AE4522">
      <w:pPr>
        <w:pStyle w:val="Titrearticle"/>
        <w:spacing w:before="120"/>
        <w:rPr>
          <w:b/>
          <w:i w:val="0"/>
          <w:szCs w:val="24"/>
        </w:rPr>
      </w:pPr>
      <w:r w:rsidRPr="00AE4522">
        <w:rPr>
          <w:b/>
          <w:i w:val="0"/>
          <w:szCs w:val="24"/>
        </w:rPr>
        <w:t>Intrarea în vigoare</w:t>
      </w:r>
    </w:p>
    <w:p w14:paraId="7CD0F3BB" w14:textId="77777777" w:rsidR="00D5314D" w:rsidRPr="00AE4522" w:rsidRDefault="00AE4522">
      <w:pPr>
        <w:rPr>
          <w:szCs w:val="24"/>
        </w:rPr>
      </w:pPr>
      <w:r w:rsidRPr="00AE4522">
        <w:rPr>
          <w:szCs w:val="24"/>
        </w:rPr>
        <w:t xml:space="preserve">Prezentul regulament intră în vigoare în a douăzecea zi de la data publicării în </w:t>
      </w:r>
      <w:r w:rsidRPr="00AE4522">
        <w:rPr>
          <w:i/>
          <w:szCs w:val="24"/>
        </w:rPr>
        <w:t>Jurnalul Oficial al Uniunii Europene</w:t>
      </w:r>
      <w:r w:rsidRPr="00AE4522">
        <w:rPr>
          <w:szCs w:val="24"/>
        </w:rPr>
        <w:t>.</w:t>
      </w:r>
    </w:p>
    <w:p w14:paraId="772343FE" w14:textId="77777777" w:rsidR="00D5314D" w:rsidRPr="00AE4522" w:rsidRDefault="00AE4522">
      <w:pPr>
        <w:pStyle w:val="Applicationdirecte"/>
        <w:rPr>
          <w:szCs w:val="24"/>
        </w:rPr>
      </w:pPr>
      <w:r w:rsidRPr="00AE4522">
        <w:rPr>
          <w:szCs w:val="24"/>
        </w:rPr>
        <w:t>Prezentul regulament este obligatoriu în toate elementele sale și se aplică direct în toate statele membre.</w:t>
      </w:r>
    </w:p>
    <w:p w14:paraId="1EF4593E" w14:textId="77777777" w:rsidR="00D5314D" w:rsidRPr="00AE4522" w:rsidRDefault="00AE4522">
      <w:pPr>
        <w:pStyle w:val="Fait"/>
        <w:rPr>
          <w:szCs w:val="24"/>
        </w:rPr>
      </w:pPr>
      <w:r w:rsidRPr="00AE4522">
        <w:rPr>
          <w:szCs w:val="24"/>
        </w:rPr>
        <w:t>Adoptat la Bruxelles,</w:t>
      </w:r>
      <w:r>
        <w:rPr>
          <w:szCs w:val="24"/>
        </w:rPr>
        <w:t xml:space="preserve"> 6 decembrie 2021.</w:t>
      </w:r>
    </w:p>
    <w:p w14:paraId="1F105DA4" w14:textId="77777777" w:rsidR="00D5314D" w:rsidRPr="00AE4522" w:rsidRDefault="00AE4522">
      <w:pPr>
        <w:pStyle w:val="Institutionquisigne"/>
        <w:rPr>
          <w:szCs w:val="24"/>
        </w:rPr>
      </w:pPr>
      <w:r>
        <w:rPr>
          <w:szCs w:val="24"/>
        </w:rPr>
        <w:tab/>
        <w:t>Pentru Comisie</w:t>
      </w:r>
    </w:p>
    <w:p w14:paraId="51E5264F" w14:textId="77777777" w:rsidR="00D5314D" w:rsidRPr="00AE4522" w:rsidRDefault="00AE4522">
      <w:pPr>
        <w:pStyle w:val="Personnequisigne"/>
        <w:rPr>
          <w:szCs w:val="24"/>
        </w:rPr>
      </w:pPr>
      <w:r>
        <w:rPr>
          <w:szCs w:val="24"/>
        </w:rPr>
        <w:tab/>
        <w:t>Președintele</w:t>
      </w:r>
    </w:p>
    <w:p w14:paraId="5EFB7459" w14:textId="77777777" w:rsidR="00D5314D" w:rsidRPr="00AE4522" w:rsidRDefault="00AE4522">
      <w:pPr>
        <w:pStyle w:val="Personnequisigne"/>
        <w:rPr>
          <w:i w:val="0"/>
          <w:szCs w:val="24"/>
        </w:rPr>
      </w:pPr>
      <w:r w:rsidRPr="00AE4522">
        <w:rPr>
          <w:szCs w:val="24"/>
        </w:rPr>
        <w:tab/>
      </w:r>
      <w:r>
        <w:rPr>
          <w:i w:val="0"/>
          <w:szCs w:val="24"/>
        </w:rPr>
        <w:t>Ursula VON DER LEYEN</w:t>
      </w:r>
    </w:p>
    <w:sectPr w:rsidR="00D5314D" w:rsidRPr="00AE4522">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C5162" w14:textId="77777777" w:rsidR="00D5314D" w:rsidRDefault="00AE4522">
      <w:pPr>
        <w:spacing w:before="0" w:after="0"/>
      </w:pPr>
      <w:r>
        <w:separator/>
      </w:r>
    </w:p>
  </w:endnote>
  <w:endnote w:type="continuationSeparator" w:id="0">
    <w:p w14:paraId="45EB1E8E" w14:textId="77777777" w:rsidR="00D5314D" w:rsidRDefault="00AE45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46E1D" w14:textId="77777777" w:rsidR="00D5314D" w:rsidRDefault="00D531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2BB531" w14:textId="77777777" w:rsidR="00D5314D" w:rsidRDefault="00AE4522">
    <w:pPr>
      <w:pStyle w:val="Footer"/>
      <w:tabs>
        <w:tab w:val="clear" w:pos="4535"/>
        <w:tab w:val="clear" w:pos="9921"/>
      </w:tabs>
      <w:ind w:left="0" w:right="0"/>
    </w:pPr>
    <w:r>
      <w:t>RO - Cleaned document</w:t>
    </w:r>
    <w:r>
      <w:tab/>
    </w:r>
    <w:r>
      <w:fldChar w:fldCharType="begin"/>
    </w:r>
    <w:r>
      <w:instrText xml:space="preserve"> PAGE \* MERGEFORMAT </w:instrText>
    </w:r>
    <w:r>
      <w:fldChar w:fldCharType="separate"/>
    </w:r>
    <w:r w:rsidR="00427710">
      <w:rPr>
        <w:noProof/>
      </w:rPr>
      <w:t>2</w:t>
    </w:r>
    <w:r>
      <w:fldChar w:fldCharType="end"/>
    </w:r>
    <w:r>
      <w:t>/</w:t>
    </w:r>
    <w:r w:rsidR="00FC6736">
      <w:fldChar w:fldCharType="begin"/>
    </w:r>
    <w:r w:rsidR="00FC6736">
      <w:instrText xml:space="preserve"> NUMPAGES \* MERGEFORMAT </w:instrText>
    </w:r>
    <w:r w:rsidR="00FC6736">
      <w:fldChar w:fldCharType="separate"/>
    </w:r>
    <w:r w:rsidR="00427710">
      <w:rPr>
        <w:noProof/>
      </w:rPr>
      <w:t>7</w:t>
    </w:r>
    <w:r w:rsidR="00FC6736">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FE5CDB" w14:textId="77777777" w:rsidR="00D5314D" w:rsidRDefault="00D53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B5764" w14:textId="77777777" w:rsidR="00D5314D" w:rsidRDefault="00AE4522">
      <w:pPr>
        <w:spacing w:before="0" w:after="0"/>
      </w:pPr>
      <w:r>
        <w:separator/>
      </w:r>
    </w:p>
  </w:footnote>
  <w:footnote w:type="continuationSeparator" w:id="0">
    <w:p w14:paraId="2F25E8CC" w14:textId="77777777" w:rsidR="00D5314D" w:rsidRDefault="00AE4522">
      <w:pPr>
        <w:spacing w:before="0" w:after="0"/>
      </w:pPr>
      <w:r>
        <w:continuationSeparator/>
      </w:r>
    </w:p>
  </w:footnote>
  <w:footnote w:id="1">
    <w:p w14:paraId="3F67DD39" w14:textId="77777777" w:rsidR="00D5314D" w:rsidRDefault="00AE4522">
      <w:pPr>
        <w:pStyle w:val="FootnoteText"/>
      </w:pPr>
      <w:r>
        <w:rPr>
          <w:rStyle w:val="FootnoteReference"/>
        </w:rPr>
        <w:footnoteRef/>
      </w:r>
      <w:r>
        <w:tab/>
        <w:t>JO L 314, 5.12.2019, p. 1.</w:t>
      </w:r>
    </w:p>
  </w:footnote>
  <w:footnote w:id="2">
    <w:p w14:paraId="0E9E9D37" w14:textId="77777777" w:rsidR="00D5314D" w:rsidRDefault="00AE4522">
      <w:pPr>
        <w:pStyle w:val="FootnoteText"/>
      </w:pPr>
      <w:r>
        <w:rPr>
          <w:rStyle w:val="FootnoteReference"/>
        </w:rPr>
        <w:footnoteRef/>
      </w:r>
      <w:r>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 12).</w:t>
      </w:r>
    </w:p>
  </w:footnote>
  <w:footnote w:id="3">
    <w:p w14:paraId="760201B9" w14:textId="77777777" w:rsidR="00AE4522" w:rsidRPr="00AE4522" w:rsidRDefault="00AE4522">
      <w:pPr>
        <w:pStyle w:val="FootnoteText"/>
      </w:pPr>
      <w:r>
        <w:rPr>
          <w:rStyle w:val="FootnoteReference"/>
        </w:rPr>
        <w:footnoteRef/>
      </w:r>
      <w:r>
        <w:tab/>
      </w:r>
      <w:r w:rsidRPr="00AE4522">
        <w:t>Regulamentul de punere în aplicare (UE) 2021/451 al Comisiei din 17 decembrie 2020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680/2014</w:t>
      </w:r>
      <w:r>
        <w:t xml:space="preserve"> (JO L 97, 19.3.2921,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469AB" w14:textId="77777777" w:rsidR="00D5314D" w:rsidRDefault="00D531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0A501F" w14:textId="220FAFFE" w:rsidR="00D5314D" w:rsidRDefault="00FC6736">
    <w:pPr>
      <w:pStyle w:val="Header"/>
    </w:pPr>
    <w:r>
      <w:rPr>
        <w:noProof/>
      </w:rPr>
      <mc:AlternateContent>
        <mc:Choice Requires="wps">
          <w:drawing>
            <wp:anchor distT="0" distB="0" distL="114300" distR="114300" simplePos="0" relativeHeight="251659264" behindDoc="0" locked="0" layoutInCell="0" allowOverlap="1" wp14:anchorId="4EDF5AF2" wp14:editId="2420ED51">
              <wp:simplePos x="0" y="0"/>
              <wp:positionH relativeFrom="page">
                <wp:posOffset>0</wp:posOffset>
              </wp:positionH>
              <wp:positionV relativeFrom="page">
                <wp:posOffset>190500</wp:posOffset>
              </wp:positionV>
              <wp:extent cx="7560945" cy="273050"/>
              <wp:effectExtent l="0" t="0" r="0" b="12700"/>
              <wp:wrapNone/>
              <wp:docPr id="1" name="MSIPCMa3f34dcaacd7166432703dee"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BC07E1D" w14:textId="2C5F3E3D" w:rsidR="00FC6736" w:rsidRPr="00FC6736" w:rsidRDefault="00FC6736" w:rsidP="00FC6736">
                          <w:pPr>
                            <w:spacing w:before="0" w:after="0"/>
                            <w:jc w:val="left"/>
                            <w:rPr>
                              <w:rFonts w:ascii="Calibri" w:hAnsi="Calibri" w:cs="Calibri"/>
                              <w:color w:val="000000"/>
                            </w:rPr>
                          </w:pPr>
                          <w:r w:rsidRPr="00FC6736">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4EDF5AF2" id="_x0000_t202" coordsize="21600,21600" o:spt="202" path="m,l,21600r21600,l21600,xe">
              <v:stroke joinstyle="miter"/>
              <v:path gradientshapeok="t" o:connecttype="rect"/>
            </v:shapetype>
            <v:shape id="MSIPCMa3f34dcaacd7166432703dee"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" o:allowincell="f" filled="f" stroked="f" strokeweight=".5pt">
              <v:fill o:detectmouseclick="t"/>
              <v:textbox inset="20pt,0,,0">
                <w:txbxContent>
                  <w:p w14:paraId="0BC07E1D" w14:textId="2C5F3E3D" w:rsidR="00FC6736" w:rsidRPr="00FC6736" w:rsidRDefault="00FC6736" w:rsidP="00FC6736">
                    <w:pPr>
                      <w:spacing w:before="0" w:after="0"/>
                      <w:jc w:val="left"/>
                      <w:rPr>
                        <w:rFonts w:ascii="Calibri" w:hAnsi="Calibri" w:cs="Calibri"/>
                        <w:color w:val="000000"/>
                      </w:rPr>
                    </w:pPr>
                    <w:r w:rsidRPr="00FC6736">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CCCAA" w14:textId="77777777" w:rsidR="00D5314D" w:rsidRDefault="00D53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pStyle w:val="NumPar5"/>
      <w:lvlText w:val="(%5)"/>
      <w:lvlJc w:val="left"/>
      <w:pPr>
        <w:ind w:left="1800" w:hanging="360"/>
      </w:pPr>
    </w:lvl>
    <w:lvl w:ilvl="5">
      <w:start w:val="1"/>
      <w:numFmt w:val="lowerRoman"/>
      <w:pStyle w:val="NumPar6"/>
      <w:lvlText w:val="(%6)"/>
      <w:lvlJc w:val="left"/>
      <w:pPr>
        <w:ind w:left="2160" w:hanging="360"/>
      </w:pPr>
    </w:lvl>
    <w:lvl w:ilvl="6">
      <w:start w:val="1"/>
      <w:numFmt w:val="decimal"/>
      <w:pStyle w:val="NumPar7"/>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pStyle w:val="Heading5"/>
      <w:lvlText w:val="(%5)"/>
      <w:lvlJc w:val="left"/>
      <w:pPr>
        <w:ind w:left="1800" w:hanging="360"/>
      </w:pPr>
    </w:lvl>
    <w:lvl w:ilvl="5">
      <w:start w:val="1"/>
      <w:numFmt w:val="lowerRoman"/>
      <w:pStyle w:val="Heading6"/>
      <w:lvlText w:val="(%6)"/>
      <w:lvlJc w:val="left"/>
      <w:pPr>
        <w:ind w:left="2160" w:hanging="360"/>
      </w:pPr>
    </w:lvl>
    <w:lvl w:ilvl="6">
      <w:start w:val="1"/>
      <w:numFmt w:val="decimal"/>
      <w:pStyle w:val="Heading7"/>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2"/>
    <w:lvlOverride w:ilvl="0">
      <w:startOverride w:val="1"/>
    </w:lvlOverride>
  </w:num>
  <w:num w:numId="24">
    <w:abstractNumId w:val="14"/>
  </w:num>
  <w:num w:numId="25">
    <w:abstractNumId w:val="9"/>
  </w:num>
  <w:num w:numId="26">
    <w:abstractNumId w:val="20"/>
  </w:num>
  <w:num w:numId="27">
    <w:abstractNumId w:val="19"/>
  </w:num>
  <w:num w:numId="28">
    <w:abstractNumId w:val="12"/>
  </w:num>
  <w:num w:numId="29">
    <w:abstractNumId w:val="21"/>
  </w:num>
  <w:num w:numId="30">
    <w:abstractNumId w:val="11"/>
  </w:num>
  <w:num w:numId="31">
    <w:abstractNumId w:val="13"/>
  </w:num>
  <w:num w:numId="32">
    <w:abstractNumId w:val="9"/>
  </w:num>
  <w:num w:numId="33">
    <w:abstractNumId w:val="20"/>
  </w:num>
  <w:num w:numId="34">
    <w:abstractNumId w:val="8"/>
  </w:num>
  <w:num w:numId="35">
    <w:abstractNumId w:val="15"/>
  </w:num>
  <w:num w:numId="36">
    <w:abstractNumId w:val="17"/>
  </w:num>
  <w:num w:numId="37">
    <w:abstractNumId w:val="18"/>
  </w:num>
  <w:num w:numId="38">
    <w:abstractNumId w:val="10"/>
  </w:num>
  <w:num w:numId="39">
    <w:abstractNumId w:val="16"/>
  </w:num>
  <w:num w:numId="40">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defaultTabStop w:val="720"/>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5:58:5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RRIGENDUM" w:val="&lt;UNUSED&gt;"/>
    <w:docVar w:name="LW_COVERPAGE_EXISTS" w:val="True"/>
    <w:docVar w:name="LW_COVERPAGE_GUID" w:val="903DE1F9-226D-4F09-A0FE-F2B0F6463060"/>
    <w:docVar w:name="LW_COVERPAGE_TYPE" w:val="1"/>
    <w:docVar w:name="LW_CROSSREFERENCE" w:val="&lt;UNUSED&gt;"/>
    <w:docVar w:name="LW_DATE.ADOPT.CP" w:val="din XXX"/>
    <w:docVar w:name="LW_DATE.ADOPT.CP_DATEFORMAT" w:val="din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stabilire a standardelor tehnice de punere în aplicare pentru aplicarea Regulamentului (UE) nr. 2019/2033 al Parlamentului European \u537?i al Consiliului în ceea ce prive\u537?te raportarea în scopuri de supraveghere \u537?i publicarea de informa\u539?ii de c\u259?tre firmele de investi\u539?ii"/>
    <w:docVar w:name="LW_TYPE.DOC.CP" w:val="REGULAMENTUL DE PUNERE ÎN APLICARE (UE) \u8230?/\u8230? AL COMISIEI"/>
  </w:docVars>
  <w:rsids>
    <w:rsidRoot w:val="00D5314D"/>
    <w:rsid w:val="00427710"/>
    <w:rsid w:val="00A94FCE"/>
    <w:rsid w:val="00AE4522"/>
    <w:rsid w:val="00D5314D"/>
    <w:rsid w:val="00FC6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A3E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33"/>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3"/>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3"/>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3"/>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6"/>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ro-RO"/>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ro-RO"/>
    </w:rPr>
  </w:style>
  <w:style w:type="paragraph" w:styleId="Revision">
    <w:name w:val="Revision"/>
    <w:hidden/>
    <w:uiPriority w:val="99"/>
    <w:semiHidden/>
    <w:pPr>
      <w:spacing w:after="0" w:line="240" w:lineRule="auto"/>
    </w:pPr>
    <w:rPr>
      <w:rFonts w:ascii="Times New Roman" w:hAnsi="Times New Roman" w:cs="Times New Roman"/>
      <w:sz w:val="24"/>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Point5">
    <w:name w:val="Point 5"/>
    <w:basedOn w:val="Normal"/>
    <w:pPr>
      <w:ind w:left="3685" w:hanging="567"/>
    </w:pPr>
  </w:style>
  <w:style w:type="paragraph" w:customStyle="1" w:styleId="Tiret5">
    <w:name w:val="Tiret 5"/>
    <w:basedOn w:val="Point5"/>
    <w:pPr>
      <w:numPr>
        <w:numId w:val="24"/>
      </w:numPr>
    </w:pPr>
  </w:style>
  <w:style w:type="paragraph" w:customStyle="1" w:styleId="NumPar5">
    <w:name w:val="NumPar 5"/>
    <w:basedOn w:val="Normal"/>
    <w:next w:val="Text2"/>
    <w:pPr>
      <w:numPr>
        <w:ilvl w:val="4"/>
        <w:numId w:val="25"/>
      </w:numPr>
    </w:pPr>
  </w:style>
  <w:style w:type="paragraph" w:customStyle="1" w:styleId="NumPar6">
    <w:name w:val="NumPar 6"/>
    <w:basedOn w:val="Normal"/>
    <w:next w:val="Text2"/>
    <w:pPr>
      <w:numPr>
        <w:ilvl w:val="5"/>
        <w:numId w:val="25"/>
      </w:numPr>
    </w:pPr>
  </w:style>
  <w:style w:type="paragraph" w:customStyle="1" w:styleId="NumPar7">
    <w:name w:val="NumPar 7"/>
    <w:basedOn w:val="Normal"/>
    <w:next w:val="Text2"/>
    <w:pPr>
      <w:numPr>
        <w:ilvl w:val="6"/>
        <w:numId w:val="25"/>
      </w:numPr>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2"/>
      </w:numPr>
    </w:pPr>
  </w:style>
  <w:style w:type="paragraph" w:customStyle="1" w:styleId="NumPar2">
    <w:name w:val="NumPar 2"/>
    <w:basedOn w:val="Normal"/>
    <w:next w:val="Text1"/>
    <w:pPr>
      <w:numPr>
        <w:ilvl w:val="1"/>
        <w:numId w:val="32"/>
      </w:numPr>
    </w:pPr>
  </w:style>
  <w:style w:type="paragraph" w:customStyle="1" w:styleId="NumPar3">
    <w:name w:val="NumPar 3"/>
    <w:basedOn w:val="Normal"/>
    <w:next w:val="Text1"/>
    <w:pPr>
      <w:numPr>
        <w:ilvl w:val="2"/>
        <w:numId w:val="32"/>
      </w:numPr>
    </w:pPr>
  </w:style>
  <w:style w:type="paragraph" w:customStyle="1" w:styleId="NumPar4">
    <w:name w:val="NumPar 4"/>
    <w:basedOn w:val="Normal"/>
    <w:next w:val="Text1"/>
    <w:pPr>
      <w:numPr>
        <w:ilvl w:val="3"/>
        <w:numId w:val="32"/>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4"/>
      </w:numPr>
    </w:pPr>
  </w:style>
  <w:style w:type="paragraph" w:customStyle="1" w:styleId="Point1number">
    <w:name w:val="Point 1 (number)"/>
    <w:basedOn w:val="Normal"/>
    <w:pPr>
      <w:numPr>
        <w:ilvl w:val="2"/>
        <w:numId w:val="34"/>
      </w:numPr>
    </w:pPr>
  </w:style>
  <w:style w:type="paragraph" w:customStyle="1" w:styleId="Point2number">
    <w:name w:val="Point 2 (number)"/>
    <w:basedOn w:val="Normal"/>
    <w:pPr>
      <w:numPr>
        <w:ilvl w:val="4"/>
        <w:numId w:val="34"/>
      </w:numPr>
    </w:pPr>
  </w:style>
  <w:style w:type="paragraph" w:customStyle="1" w:styleId="Point3number">
    <w:name w:val="Point 3 (number)"/>
    <w:basedOn w:val="Normal"/>
    <w:pPr>
      <w:numPr>
        <w:ilvl w:val="6"/>
        <w:numId w:val="34"/>
      </w:numPr>
    </w:pPr>
  </w:style>
  <w:style w:type="paragraph" w:customStyle="1" w:styleId="Point0letter">
    <w:name w:val="Point 0 (letter)"/>
    <w:basedOn w:val="Normal"/>
    <w:pPr>
      <w:numPr>
        <w:ilvl w:val="1"/>
        <w:numId w:val="34"/>
      </w:numPr>
    </w:pPr>
  </w:style>
  <w:style w:type="paragraph" w:customStyle="1" w:styleId="Point1letter">
    <w:name w:val="Point 1 (letter)"/>
    <w:basedOn w:val="Normal"/>
    <w:pPr>
      <w:numPr>
        <w:ilvl w:val="3"/>
        <w:numId w:val="34"/>
      </w:numPr>
    </w:pPr>
  </w:style>
  <w:style w:type="paragraph" w:customStyle="1" w:styleId="Point2letter">
    <w:name w:val="Point 2 (letter)"/>
    <w:basedOn w:val="Normal"/>
    <w:pPr>
      <w:numPr>
        <w:ilvl w:val="5"/>
        <w:numId w:val="34"/>
      </w:numPr>
    </w:pPr>
  </w:style>
  <w:style w:type="paragraph" w:customStyle="1" w:styleId="Point3letter">
    <w:name w:val="Point 3 (letter)"/>
    <w:basedOn w:val="Normal"/>
    <w:pPr>
      <w:numPr>
        <w:ilvl w:val="7"/>
        <w:numId w:val="34"/>
      </w:numPr>
    </w:pPr>
  </w:style>
  <w:style w:type="paragraph" w:customStyle="1" w:styleId="Point4letter">
    <w:name w:val="Point 4 (letter)"/>
    <w:basedOn w:val="Normal"/>
    <w:pPr>
      <w:numPr>
        <w:ilvl w:val="8"/>
        <w:numId w:val="34"/>
      </w:numPr>
    </w:pPr>
  </w:style>
  <w:style w:type="paragraph" w:customStyle="1" w:styleId="Bullet0">
    <w:name w:val="Bullet 0"/>
    <w:basedOn w:val="Normal"/>
    <w:pPr>
      <w:numPr>
        <w:numId w:val="35"/>
      </w:numPr>
    </w:pPr>
  </w:style>
  <w:style w:type="paragraph" w:customStyle="1" w:styleId="Bullet1">
    <w:name w:val="Bullet 1"/>
    <w:basedOn w:val="Normal"/>
    <w:pPr>
      <w:numPr>
        <w:numId w:val="36"/>
      </w:numPr>
    </w:pPr>
  </w:style>
  <w:style w:type="paragraph" w:customStyle="1" w:styleId="Bullet2">
    <w:name w:val="Bullet 2"/>
    <w:basedOn w:val="Normal"/>
    <w:pPr>
      <w:numPr>
        <w:numId w:val="37"/>
      </w:numPr>
    </w:pPr>
  </w:style>
  <w:style w:type="paragraph" w:customStyle="1" w:styleId="Bullet3">
    <w:name w:val="Bullet 3"/>
    <w:basedOn w:val="Normal"/>
    <w:pPr>
      <w:numPr>
        <w:numId w:val="38"/>
      </w:numPr>
    </w:pPr>
  </w:style>
  <w:style w:type="paragraph" w:customStyle="1" w:styleId="Bullet4">
    <w:name w:val="Bullet 4"/>
    <w:basedOn w:val="Normal"/>
    <w:pPr>
      <w:numPr>
        <w:numId w:val="39"/>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0"/>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D3023-A82E-4707-BB4F-237DEDBA0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2539</Words>
  <Characters>14476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2021-11-25T14:58:00Z</dcterms:created>
  <dcterms:modified xsi:type="dcterms:W3CDTF">2022-01-14T17:11:00Z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20200226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Green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2022-01-14T17:11:33Z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35fcaa41-eded-48cb-be04-b5db62b800b8</vt:lpwstr>
  </property>
  <property fmtid="{D5CDD505-2E9C-101B-9397-08002B2CF9AE}" pid="15" name="MSIP_Label_5c7eb9de-735b-4a68-8fe4-c9c62709b012_ContentBits">
    <vt:lpwstr>1</vt:lpwstr>
  </property>
</Properties>
</file>