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28D78" w14:textId="77777777" w:rsidR="00DA369E" w:rsidRPr="00601AE3" w:rsidRDefault="00601AE3">
      <w:pPr>
        <w:spacing w:after="240" w:line="240" w:lineRule="auto"/>
        <w:jc w:val="center"/>
        <w:rPr>
          <w:rFonts w:ascii="Times New Roman" w:eastAsia="Times New Roman" w:hAnsi="Times New Roman" w:cs="Times New Roman"/>
          <w:b/>
          <w:sz w:val="24"/>
          <w:szCs w:val="20"/>
        </w:rPr>
      </w:pPr>
      <w:bookmarkStart w:id="0" w:name="_Toc359315628"/>
      <w:bookmarkStart w:id="1" w:name="_Toc361844197"/>
      <w:bookmarkStart w:id="2" w:name="_Toc473560873"/>
      <w:bookmarkStart w:id="3" w:name="_Toc7084158"/>
      <w:bookmarkStart w:id="4" w:name="_Toc308175820"/>
      <w:bookmarkStart w:id="5" w:name="_Toc360188325"/>
      <w:r w:rsidRPr="00601AE3">
        <w:rPr>
          <w:rFonts w:ascii="Times New Roman" w:hAnsi="Times New Roman"/>
          <w:b/>
          <w:sz w:val="24"/>
        </w:rPr>
        <w:t>SV</w:t>
      </w:r>
      <w:r w:rsidRPr="00601AE3">
        <w:br/>
      </w:r>
      <w:r w:rsidRPr="00601AE3">
        <w:rPr>
          <w:rFonts w:ascii="Times New Roman" w:hAnsi="Times New Roman"/>
          <w:b/>
          <w:sz w:val="24"/>
        </w:rPr>
        <w:t>BILAGA IV</w:t>
      </w:r>
    </w:p>
    <w:p w14:paraId="7E1A05AA" w14:textId="77777777" w:rsidR="00DA369E" w:rsidRPr="00601AE3" w:rsidRDefault="00601AE3">
      <w:pPr>
        <w:spacing w:after="240" w:line="240" w:lineRule="auto"/>
        <w:jc w:val="center"/>
        <w:rPr>
          <w:rFonts w:ascii="Times New Roman" w:eastAsia="Times New Roman" w:hAnsi="Times New Roman" w:cs="Times New Roman"/>
          <w:b/>
          <w:sz w:val="24"/>
          <w:szCs w:val="20"/>
          <w:u w:val="single"/>
        </w:rPr>
      </w:pPr>
      <w:r w:rsidRPr="00601AE3">
        <w:rPr>
          <w:rFonts w:ascii="Times New Roman" w:hAnsi="Times New Roman"/>
          <w:b/>
          <w:sz w:val="24"/>
          <w:u w:val="single"/>
        </w:rPr>
        <w:t xml:space="preserve">BILAGA </w:t>
      </w:r>
      <w:bookmarkEnd w:id="0"/>
      <w:bookmarkEnd w:id="1"/>
      <w:r w:rsidRPr="00601AE3">
        <w:rPr>
          <w:rFonts w:ascii="Times New Roman" w:hAnsi="Times New Roman"/>
          <w:b/>
          <w:sz w:val="24"/>
          <w:u w:val="single"/>
        </w:rPr>
        <w:t>IV</w:t>
      </w:r>
    </w:p>
    <w:p w14:paraId="47583921" w14:textId="77777777" w:rsidR="00DA369E" w:rsidRPr="00601AE3" w:rsidRDefault="00601AE3">
      <w:pPr>
        <w:spacing w:after="240" w:line="240" w:lineRule="auto"/>
        <w:jc w:val="center"/>
        <w:rPr>
          <w:rFonts w:ascii="Times New Roman" w:eastAsia="Times New Roman" w:hAnsi="Times New Roman" w:cs="Times New Roman"/>
          <w:b/>
          <w:sz w:val="24"/>
          <w:szCs w:val="20"/>
        </w:rPr>
      </w:pPr>
      <w:r w:rsidRPr="00601AE3">
        <w:rPr>
          <w:rFonts w:ascii="Times New Roman" w:hAnsi="Times New Roman"/>
          <w:b/>
          <w:sz w:val="24"/>
        </w:rPr>
        <w:t>RAPPORTERING FÖR SMÅ OCH ICKE-SAMMANLÄNKADE VÄRDEPAPPERSFÖRETAG</w:t>
      </w:r>
    </w:p>
    <w:p w14:paraId="1E946FE5" w14:textId="77777777" w:rsidR="00DA369E" w:rsidRPr="00601AE3" w:rsidRDefault="00601AE3">
      <w:pPr>
        <w:spacing w:after="0" w:line="240" w:lineRule="auto"/>
        <w:rPr>
          <w:rFonts w:ascii="Times New Roman" w:eastAsia="Times New Roman" w:hAnsi="Times New Roman" w:cs="Times New Roman"/>
          <w:sz w:val="24"/>
          <w:szCs w:val="24"/>
        </w:rPr>
      </w:pPr>
      <w:r w:rsidRPr="00601AE3">
        <w:rPr>
          <w:rFonts w:ascii="Times New Roman" w:hAnsi="Times New Roman"/>
          <w:sz w:val="24"/>
        </w:rPr>
        <w:t>Innehållsförteckning</w:t>
      </w:r>
    </w:p>
    <w:p w14:paraId="3F9573EA" w14:textId="77777777" w:rsidR="00DA369E" w:rsidRPr="00601AE3" w:rsidRDefault="00601AE3">
      <w:pPr>
        <w:pStyle w:val="TOC2"/>
        <w:rPr>
          <w:rFonts w:eastAsiaTheme="minorEastAsia"/>
          <w:lang w:eastAsia="en-US" w:bidi="ar-SA"/>
        </w:rPr>
      </w:pPr>
      <w:r w:rsidRPr="00601AE3">
        <w:t>DEL I: ALLMÄNNA INSTRUKTIONER</w:t>
      </w:r>
      <w:r w:rsidRPr="00601AE3">
        <w:tab/>
        <w:t>2</w:t>
      </w:r>
    </w:p>
    <w:p w14:paraId="638CBC09" w14:textId="77777777" w:rsidR="00DA369E" w:rsidRPr="00601AE3" w:rsidRDefault="00601AE3">
      <w:pPr>
        <w:pStyle w:val="TOC2"/>
        <w:rPr>
          <w:rFonts w:eastAsiaTheme="minorEastAsia"/>
          <w:lang w:eastAsia="en-US" w:bidi="ar-SA"/>
        </w:rPr>
      </w:pPr>
      <w:r w:rsidRPr="00601AE3">
        <w:t>1. Struktur och praxis</w:t>
      </w:r>
      <w:r w:rsidRPr="00601AE3">
        <w:tab/>
        <w:t>2</w:t>
      </w:r>
    </w:p>
    <w:p w14:paraId="291691EB" w14:textId="77777777" w:rsidR="00DA369E" w:rsidRPr="00601AE3" w:rsidRDefault="00601AE3">
      <w:pPr>
        <w:pStyle w:val="TOC2"/>
        <w:rPr>
          <w:rFonts w:eastAsiaTheme="minorEastAsia"/>
          <w:lang w:eastAsia="en-US" w:bidi="ar-SA"/>
        </w:rPr>
      </w:pPr>
      <w:r w:rsidRPr="00601AE3">
        <w:rPr>
          <w:u w:val="single"/>
        </w:rPr>
        <w:t>1.1 Struktur</w:t>
      </w:r>
      <w:r w:rsidRPr="00601AE3">
        <w:tab/>
        <w:t>2</w:t>
      </w:r>
    </w:p>
    <w:p w14:paraId="61E8A662" w14:textId="77777777" w:rsidR="00DA369E" w:rsidRPr="00601AE3" w:rsidRDefault="00601AE3">
      <w:pPr>
        <w:pStyle w:val="TOC2"/>
        <w:rPr>
          <w:rFonts w:eastAsiaTheme="minorEastAsia"/>
          <w:lang w:eastAsia="en-US" w:bidi="ar-SA"/>
        </w:rPr>
      </w:pPr>
      <w:r w:rsidRPr="00601AE3">
        <w:rPr>
          <w:u w:val="single"/>
        </w:rPr>
        <w:t>1.2 Numrering</w:t>
      </w:r>
      <w:r w:rsidRPr="00601AE3">
        <w:tab/>
        <w:t>2</w:t>
      </w:r>
    </w:p>
    <w:p w14:paraId="3543D86A" w14:textId="77777777" w:rsidR="00DA369E" w:rsidRPr="00601AE3" w:rsidRDefault="00601AE3">
      <w:pPr>
        <w:pStyle w:val="TOC2"/>
        <w:rPr>
          <w:rFonts w:eastAsiaTheme="minorEastAsia"/>
          <w:lang w:eastAsia="en-US" w:bidi="ar-SA"/>
        </w:rPr>
      </w:pPr>
      <w:r w:rsidRPr="00601AE3">
        <w:rPr>
          <w:u w:val="single"/>
        </w:rPr>
        <w:t>1.3 Tecken</w:t>
      </w:r>
      <w:r w:rsidRPr="00601AE3">
        <w:tab/>
        <w:t>2</w:t>
      </w:r>
    </w:p>
    <w:p w14:paraId="06D23A0C" w14:textId="77777777" w:rsidR="00DA369E" w:rsidRPr="00601AE3" w:rsidRDefault="00601AE3">
      <w:pPr>
        <w:pStyle w:val="TOC2"/>
        <w:rPr>
          <w:rFonts w:eastAsiaTheme="minorEastAsia"/>
          <w:lang w:eastAsia="en-US" w:bidi="ar-SA"/>
        </w:rPr>
      </w:pPr>
      <w:r w:rsidRPr="00601AE3">
        <w:rPr>
          <w:u w:val="single"/>
        </w:rPr>
        <w:t xml:space="preserve">1.4 Konsolidering under </w:t>
      </w:r>
      <w:r w:rsidRPr="00601AE3">
        <w:rPr>
          <w:u w:val="single"/>
        </w:rPr>
        <w:t>tillsyn</w:t>
      </w:r>
      <w:r w:rsidRPr="00601AE3">
        <w:tab/>
        <w:t>2</w:t>
      </w:r>
    </w:p>
    <w:p w14:paraId="4A09822D" w14:textId="77777777" w:rsidR="00DA369E" w:rsidRPr="00601AE3" w:rsidRDefault="00601AE3">
      <w:pPr>
        <w:pStyle w:val="TOC2"/>
        <w:rPr>
          <w:rFonts w:eastAsiaTheme="minorEastAsia"/>
          <w:lang w:eastAsia="en-US" w:bidi="ar-SA"/>
        </w:rPr>
      </w:pPr>
      <w:r w:rsidRPr="00601AE3">
        <w:t>DEL II: MALLRELATERADE INSTRUKTIONER</w:t>
      </w:r>
      <w:r w:rsidRPr="00601AE3">
        <w:tab/>
        <w:t>3</w:t>
      </w:r>
    </w:p>
    <w:p w14:paraId="69D3CB71" w14:textId="77777777" w:rsidR="00DA369E" w:rsidRPr="00601AE3" w:rsidRDefault="00601AE3">
      <w:pPr>
        <w:pStyle w:val="TOC2"/>
        <w:rPr>
          <w:rFonts w:eastAsiaTheme="minorEastAsia"/>
          <w:lang w:eastAsia="en-US" w:bidi="ar-SA"/>
        </w:rPr>
      </w:pPr>
      <w:r w:rsidRPr="00601AE3">
        <w:t>1. KAPITALBAS: NIVÅ, SAMMANSÄTTNING, KRAV OCH BERÄKNING</w:t>
      </w:r>
      <w:r w:rsidRPr="00601AE3">
        <w:tab/>
        <w:t>3</w:t>
      </w:r>
    </w:p>
    <w:p w14:paraId="7D3098BF" w14:textId="77777777" w:rsidR="00DA369E" w:rsidRPr="00601AE3" w:rsidRDefault="00601AE3">
      <w:pPr>
        <w:pStyle w:val="TOC2"/>
        <w:rPr>
          <w:rFonts w:eastAsiaTheme="minorEastAsia"/>
          <w:lang w:eastAsia="en-US" w:bidi="ar-SA"/>
        </w:rPr>
      </w:pPr>
      <w:r w:rsidRPr="00601AE3">
        <w:t>1.1 Allmänna kommentarer</w:t>
      </w:r>
      <w:r w:rsidRPr="00601AE3">
        <w:tab/>
        <w:t>3</w:t>
      </w:r>
    </w:p>
    <w:p w14:paraId="4C60CA67" w14:textId="77777777" w:rsidR="00DA369E" w:rsidRPr="00601AE3" w:rsidRDefault="00601AE3">
      <w:pPr>
        <w:pStyle w:val="TOC2"/>
        <w:rPr>
          <w:rFonts w:eastAsiaTheme="minorEastAsia"/>
          <w:lang w:eastAsia="en-US" w:bidi="ar-SA"/>
        </w:rPr>
      </w:pPr>
      <w:r w:rsidRPr="00601AE3">
        <w:t>1,2. I 01.01 – KAPITALBASENS SAMMANSÄTTNING (I 1.1)</w:t>
      </w:r>
      <w:r w:rsidRPr="00601AE3">
        <w:tab/>
        <w:t>3</w:t>
      </w:r>
    </w:p>
    <w:p w14:paraId="3841A45D" w14:textId="77777777" w:rsidR="00DA369E" w:rsidRPr="00601AE3" w:rsidRDefault="00601AE3">
      <w:pPr>
        <w:pStyle w:val="TOC2"/>
        <w:rPr>
          <w:rFonts w:eastAsiaTheme="minorEastAsia"/>
          <w:lang w:eastAsia="en-US" w:bidi="ar-SA"/>
        </w:rPr>
      </w:pPr>
      <w:r w:rsidRPr="00601AE3">
        <w:t>1.2.1</w:t>
      </w:r>
      <w:r w:rsidRPr="00601AE3">
        <w:tab/>
        <w:t>Instruktioner för specifika positioner</w:t>
      </w:r>
      <w:r w:rsidRPr="00601AE3">
        <w:tab/>
        <w:t>3</w:t>
      </w:r>
    </w:p>
    <w:p w14:paraId="494B608C" w14:textId="77777777" w:rsidR="00DA369E" w:rsidRPr="00601AE3" w:rsidRDefault="00601AE3">
      <w:pPr>
        <w:pStyle w:val="TOC2"/>
        <w:rPr>
          <w:rFonts w:eastAsiaTheme="minorEastAsia"/>
          <w:lang w:eastAsia="en-US" w:bidi="ar-SA"/>
        </w:rPr>
      </w:pPr>
      <w:r w:rsidRPr="00601AE3">
        <w:t xml:space="preserve">1.3 I 02.03 – </w:t>
      </w:r>
      <w:r w:rsidRPr="00601AE3">
        <w:t>KAPITALBASKRAV (I 2.3)</w:t>
      </w:r>
      <w:r w:rsidRPr="00601AE3">
        <w:tab/>
        <w:t>8</w:t>
      </w:r>
    </w:p>
    <w:p w14:paraId="6BC3AFC0" w14:textId="77777777" w:rsidR="00DA369E" w:rsidRPr="00601AE3" w:rsidRDefault="00601AE3">
      <w:pPr>
        <w:pStyle w:val="TOC2"/>
        <w:rPr>
          <w:rFonts w:eastAsiaTheme="minorEastAsia"/>
          <w:lang w:eastAsia="en-US" w:bidi="ar-SA"/>
        </w:rPr>
      </w:pPr>
      <w:r w:rsidRPr="00601AE3">
        <w:t>1.3.1</w:t>
      </w:r>
      <w:r w:rsidRPr="00601AE3">
        <w:tab/>
      </w:r>
      <w:r w:rsidRPr="00601AE3">
        <w:rPr>
          <w:u w:val="single"/>
        </w:rPr>
        <w:t>Instruktioner för specifika positioner</w:t>
      </w:r>
      <w:r w:rsidRPr="00601AE3">
        <w:tab/>
        <w:t>8</w:t>
      </w:r>
    </w:p>
    <w:p w14:paraId="4D3A513C" w14:textId="77777777" w:rsidR="00DA369E" w:rsidRPr="00601AE3" w:rsidRDefault="00601AE3">
      <w:pPr>
        <w:pStyle w:val="TOC2"/>
        <w:rPr>
          <w:rFonts w:eastAsiaTheme="minorEastAsia"/>
          <w:lang w:eastAsia="en-US" w:bidi="ar-SA"/>
        </w:rPr>
      </w:pPr>
      <w:r w:rsidRPr="00601AE3">
        <w:t>1.4. I 02.04 – KAPITALRELATIONER (I 2.4)</w:t>
      </w:r>
      <w:r w:rsidRPr="00601AE3">
        <w:tab/>
        <w:t>9</w:t>
      </w:r>
    </w:p>
    <w:p w14:paraId="514B47A2" w14:textId="77777777" w:rsidR="00DA369E" w:rsidRPr="00601AE3" w:rsidRDefault="00601AE3">
      <w:pPr>
        <w:pStyle w:val="TOC2"/>
        <w:rPr>
          <w:rFonts w:eastAsiaTheme="minorEastAsia"/>
          <w:lang w:eastAsia="en-US" w:bidi="ar-SA"/>
        </w:rPr>
      </w:pPr>
      <w:r w:rsidRPr="00601AE3">
        <w:t>1.4.1</w:t>
      </w:r>
      <w:r w:rsidRPr="00601AE3">
        <w:tab/>
      </w:r>
      <w:r w:rsidRPr="00601AE3">
        <w:rPr>
          <w:u w:val="single"/>
        </w:rPr>
        <w:t>Instruktioner för specifika positioner</w:t>
      </w:r>
      <w:r w:rsidRPr="00601AE3">
        <w:tab/>
        <w:t>9</w:t>
      </w:r>
    </w:p>
    <w:p w14:paraId="5007EDB7" w14:textId="77777777" w:rsidR="00DA369E" w:rsidRPr="00601AE3" w:rsidRDefault="00601AE3">
      <w:pPr>
        <w:pStyle w:val="TOC2"/>
        <w:rPr>
          <w:rFonts w:eastAsiaTheme="minorEastAsia"/>
          <w:lang w:eastAsia="en-US" w:bidi="ar-SA"/>
        </w:rPr>
      </w:pPr>
      <w:r w:rsidRPr="00601AE3">
        <w:t>1.5. I 03.01 – BERÄKNING AV KRAV PÅ FASTA OMKOSTNADER (I 3.1)</w:t>
      </w:r>
      <w:r w:rsidRPr="00601AE3">
        <w:tab/>
        <w:t>10</w:t>
      </w:r>
    </w:p>
    <w:p w14:paraId="5B37537B" w14:textId="77777777" w:rsidR="00DA369E" w:rsidRPr="00601AE3" w:rsidRDefault="00601AE3">
      <w:pPr>
        <w:pStyle w:val="TOC2"/>
        <w:rPr>
          <w:rFonts w:eastAsiaTheme="minorEastAsia"/>
          <w:lang w:eastAsia="en-US" w:bidi="ar-SA"/>
        </w:rPr>
      </w:pPr>
      <w:r w:rsidRPr="00601AE3">
        <w:t>1.5.1</w:t>
      </w:r>
      <w:r w:rsidRPr="00601AE3">
        <w:tab/>
      </w:r>
      <w:r w:rsidRPr="00601AE3">
        <w:rPr>
          <w:u w:val="single"/>
        </w:rPr>
        <w:t>Instruktioner för speci</w:t>
      </w:r>
      <w:r w:rsidRPr="00601AE3">
        <w:rPr>
          <w:u w:val="single"/>
        </w:rPr>
        <w:t>fika positioner</w:t>
      </w:r>
      <w:r w:rsidRPr="00601AE3">
        <w:tab/>
        <w:t>10</w:t>
      </w:r>
    </w:p>
    <w:p w14:paraId="748A72E4" w14:textId="77777777" w:rsidR="00DA369E" w:rsidRPr="00601AE3" w:rsidRDefault="00601AE3">
      <w:pPr>
        <w:pStyle w:val="TOC2"/>
        <w:rPr>
          <w:rFonts w:eastAsiaTheme="minorEastAsia"/>
          <w:lang w:eastAsia="en-US" w:bidi="ar-SA"/>
        </w:rPr>
      </w:pPr>
      <w:r w:rsidRPr="00601AE3">
        <w:t>2. SMÅ OCH ICKE-SAMMANLÄNKADE VÄRDEPAPPERSFÖRETAG</w:t>
      </w:r>
      <w:r w:rsidRPr="00601AE3">
        <w:tab/>
        <w:t>12</w:t>
      </w:r>
    </w:p>
    <w:p w14:paraId="7E669387" w14:textId="77777777" w:rsidR="00DA369E" w:rsidRPr="00601AE3" w:rsidRDefault="00601AE3">
      <w:pPr>
        <w:pStyle w:val="TOC2"/>
        <w:rPr>
          <w:rFonts w:eastAsiaTheme="minorEastAsia"/>
          <w:lang w:eastAsia="en-US" w:bidi="ar-SA"/>
        </w:rPr>
      </w:pPr>
      <w:r w:rsidRPr="00601AE3">
        <w:t>2,1</w:t>
      </w:r>
      <w:r w:rsidRPr="00601AE3">
        <w:rPr>
          <w:rFonts w:eastAsiaTheme="minorEastAsia"/>
          <w:lang w:eastAsia="en-US" w:bidi="ar-SA"/>
        </w:rPr>
        <w:tab/>
      </w:r>
      <w:r w:rsidRPr="00601AE3">
        <w:t>I 05.00 – VERKSAMHETSNIVÅ – ÖVERSYN AV TRÖSKELVÄRDEN (I 5)</w:t>
      </w:r>
      <w:r w:rsidRPr="00601AE3">
        <w:tab/>
        <w:t>12</w:t>
      </w:r>
    </w:p>
    <w:p w14:paraId="4036A83D" w14:textId="77777777" w:rsidR="00DA369E" w:rsidRPr="00601AE3" w:rsidRDefault="00601AE3">
      <w:pPr>
        <w:pStyle w:val="TOC2"/>
        <w:rPr>
          <w:rFonts w:eastAsiaTheme="minorEastAsia"/>
          <w:lang w:eastAsia="en-US" w:bidi="ar-SA"/>
        </w:rPr>
      </w:pPr>
      <w:r w:rsidRPr="00601AE3">
        <w:t>2.1.1</w:t>
      </w:r>
      <w:r w:rsidRPr="00601AE3">
        <w:tab/>
      </w:r>
      <w:r w:rsidRPr="00601AE3">
        <w:rPr>
          <w:u w:val="single"/>
        </w:rPr>
        <w:t>Instruktioner för specifika positioner</w:t>
      </w:r>
      <w:r w:rsidRPr="00601AE3">
        <w:tab/>
        <w:t>12</w:t>
      </w:r>
    </w:p>
    <w:p w14:paraId="0BE1124A" w14:textId="77777777" w:rsidR="00DA369E" w:rsidRPr="00601AE3" w:rsidRDefault="00601AE3">
      <w:pPr>
        <w:pStyle w:val="TOC2"/>
        <w:rPr>
          <w:rFonts w:eastAsiaTheme="minorEastAsia"/>
          <w:lang w:eastAsia="en-US" w:bidi="ar-SA"/>
        </w:rPr>
      </w:pPr>
      <w:r w:rsidRPr="00601AE3">
        <w:rPr>
          <w:b/>
        </w:rPr>
        <w:t>3. LIKVIDITETSKRAV</w:t>
      </w:r>
      <w:r w:rsidRPr="00601AE3">
        <w:tab/>
        <w:t>15</w:t>
      </w:r>
    </w:p>
    <w:p w14:paraId="54876A76" w14:textId="77777777" w:rsidR="00DA369E" w:rsidRPr="00601AE3" w:rsidRDefault="00601AE3">
      <w:pPr>
        <w:pStyle w:val="TOC2"/>
        <w:rPr>
          <w:rFonts w:eastAsiaTheme="minorEastAsia"/>
          <w:lang w:eastAsia="en-US" w:bidi="ar-SA"/>
        </w:rPr>
      </w:pPr>
      <w:r w:rsidRPr="00601AE3">
        <w:t>3.1 I 09.01 – LIKVIDITETSKRAV (I 9,1)</w:t>
      </w:r>
      <w:r w:rsidRPr="00601AE3">
        <w:tab/>
        <w:t>15</w:t>
      </w:r>
    </w:p>
    <w:p w14:paraId="6A0C18F1" w14:textId="77777777" w:rsidR="00DA369E" w:rsidRPr="00601AE3" w:rsidRDefault="00601AE3">
      <w:pPr>
        <w:pStyle w:val="TOC2"/>
        <w:rPr>
          <w:rFonts w:eastAsiaTheme="minorEastAsia"/>
          <w:lang w:eastAsia="en-US" w:bidi="ar-SA"/>
        </w:rPr>
      </w:pPr>
      <w:r w:rsidRPr="00601AE3">
        <w:t>3.1.1</w:t>
      </w:r>
      <w:r w:rsidRPr="00601AE3">
        <w:tab/>
      </w:r>
      <w:r w:rsidRPr="00601AE3">
        <w:rPr>
          <w:u w:val="single"/>
        </w:rPr>
        <w:t>Instruktioner för specifika positioner</w:t>
      </w:r>
      <w:r w:rsidRPr="00601AE3">
        <w:tab/>
        <w:t>15</w:t>
      </w:r>
      <w:bookmarkStart w:id="6" w:name="_Toc360188322"/>
      <w:bookmarkStart w:id="7" w:name="_Toc473560870"/>
      <w:bookmarkStart w:id="8" w:name="_Toc7084155"/>
    </w:p>
    <w:p w14:paraId="6D25BADA" w14:textId="77777777" w:rsidR="00DA369E" w:rsidRPr="00601AE3" w:rsidRDefault="00601AE3">
      <w:pPr>
        <w:pStyle w:val="Heading2"/>
        <w:rPr>
          <w:rFonts w:ascii="Times New Roman" w:hAnsi="Times New Roman"/>
        </w:rPr>
      </w:pPr>
      <w:bookmarkStart w:id="9" w:name="_Toc76557271"/>
      <w:bookmarkStart w:id="10" w:name="_Toc88219794"/>
      <w:r w:rsidRPr="00601AE3">
        <w:rPr>
          <w:rFonts w:ascii="Times New Roman" w:hAnsi="Times New Roman"/>
        </w:rPr>
        <w:t>DEL I: ALLMÄNNA INSTRUKTIONER</w:t>
      </w:r>
      <w:bookmarkEnd w:id="9"/>
      <w:bookmarkEnd w:id="10"/>
    </w:p>
    <w:p w14:paraId="5B7E2D36" w14:textId="77777777" w:rsidR="00DA369E" w:rsidRPr="00601AE3" w:rsidRDefault="00601AE3">
      <w:pPr>
        <w:keepNext/>
        <w:spacing w:before="240" w:after="240" w:line="240" w:lineRule="auto"/>
        <w:jc w:val="both"/>
        <w:outlineLvl w:val="1"/>
        <w:rPr>
          <w:rFonts w:ascii="Times New Roman" w:eastAsia="Arial" w:hAnsi="Times New Roman" w:cs="Times New Roman"/>
          <w:sz w:val="24"/>
          <w:szCs w:val="24"/>
        </w:rPr>
      </w:pPr>
      <w:bookmarkStart w:id="11" w:name="_Toc76557272"/>
      <w:bookmarkStart w:id="12" w:name="_Toc88219795"/>
      <w:r w:rsidRPr="00601AE3">
        <w:rPr>
          <w:rFonts w:ascii="Times New Roman" w:hAnsi="Times New Roman"/>
          <w:sz w:val="24"/>
        </w:rPr>
        <w:t>1. Struktur och praxis</w:t>
      </w:r>
      <w:bookmarkEnd w:id="11"/>
      <w:bookmarkEnd w:id="12"/>
    </w:p>
    <w:p w14:paraId="12995FBD" w14:textId="77777777" w:rsidR="00DA369E" w:rsidRPr="00601AE3" w:rsidRDefault="00601AE3">
      <w:pPr>
        <w:keepNext/>
        <w:spacing w:before="240" w:after="240" w:line="240" w:lineRule="auto"/>
        <w:jc w:val="both"/>
        <w:outlineLvl w:val="1"/>
        <w:rPr>
          <w:rFonts w:ascii="Times New Roman" w:eastAsia="Arial" w:hAnsi="Times New Roman" w:cs="Times New Roman"/>
          <w:sz w:val="24"/>
          <w:szCs w:val="24"/>
          <w:u w:val="single"/>
        </w:rPr>
      </w:pPr>
      <w:bookmarkStart w:id="13" w:name="_Toc76557273"/>
      <w:bookmarkStart w:id="14" w:name="_Toc88219796"/>
      <w:r w:rsidRPr="00601AE3">
        <w:rPr>
          <w:rFonts w:ascii="Times New Roman" w:hAnsi="Times New Roman"/>
          <w:sz w:val="24"/>
          <w:u w:val="single"/>
        </w:rPr>
        <w:t>1.1 Struktur</w:t>
      </w:r>
      <w:bookmarkEnd w:id="13"/>
      <w:bookmarkEnd w:id="14"/>
    </w:p>
    <w:p w14:paraId="20FA9773" w14:textId="77777777" w:rsidR="00DA369E" w:rsidRPr="00601AE3" w:rsidRDefault="00601AE3">
      <w:pPr>
        <w:spacing w:line="256" w:lineRule="auto"/>
        <w:ind w:left="993" w:hanging="504"/>
        <w:jc w:val="both"/>
        <w:rPr>
          <w:rFonts w:ascii="Times New Roman" w:hAnsi="Times New Roman" w:cs="Times New Roman"/>
        </w:rPr>
      </w:pPr>
      <w:r w:rsidRPr="00601AE3">
        <w:rPr>
          <w:rFonts w:ascii="Times New Roman" w:hAnsi="Times New Roman" w:cs="Times New Roman"/>
        </w:rPr>
        <w:t>1.</w:t>
      </w:r>
      <w:r w:rsidRPr="00601AE3">
        <w:rPr>
          <w:rFonts w:ascii="Times New Roman" w:hAnsi="Times New Roman" w:cs="Times New Roman"/>
        </w:rPr>
        <w:tab/>
      </w:r>
      <w:r w:rsidRPr="00601AE3">
        <w:rPr>
          <w:rFonts w:ascii="Times New Roman" w:hAnsi="Times New Roman"/>
        </w:rPr>
        <w:t>På det hela taget består regelverket av följande information:</w:t>
      </w:r>
    </w:p>
    <w:p w14:paraId="4890DCAF" w14:textId="77777777" w:rsidR="00DA369E" w:rsidRPr="00601AE3" w:rsidRDefault="00601AE3">
      <w:pPr>
        <w:spacing w:line="256" w:lineRule="auto"/>
        <w:ind w:left="1728" w:hanging="648"/>
        <w:jc w:val="both"/>
        <w:rPr>
          <w:rFonts w:ascii="Times New Roman" w:hAnsi="Times New Roman" w:cs="Times New Roman"/>
        </w:rPr>
      </w:pPr>
      <w:r w:rsidRPr="00601AE3">
        <w:rPr>
          <w:rFonts w:ascii="Times New Roman" w:hAnsi="Times New Roman" w:cs="Times New Roman"/>
        </w:rPr>
        <w:t>a)</w:t>
      </w:r>
      <w:r w:rsidRPr="00601AE3">
        <w:rPr>
          <w:rFonts w:ascii="Times New Roman" w:hAnsi="Times New Roman" w:cs="Times New Roman"/>
        </w:rPr>
        <w:tab/>
      </w:r>
      <w:r w:rsidRPr="00601AE3">
        <w:rPr>
          <w:rFonts w:ascii="Times New Roman" w:hAnsi="Times New Roman"/>
        </w:rPr>
        <w:t>Kapitalbas.</w:t>
      </w:r>
    </w:p>
    <w:p w14:paraId="786F1178" w14:textId="77777777" w:rsidR="00DA369E" w:rsidRPr="00601AE3" w:rsidRDefault="00601AE3">
      <w:pPr>
        <w:spacing w:line="256" w:lineRule="auto"/>
        <w:ind w:left="1728" w:hanging="648"/>
        <w:jc w:val="both"/>
        <w:rPr>
          <w:rFonts w:ascii="Times New Roman" w:hAnsi="Times New Roman" w:cs="Times New Roman"/>
        </w:rPr>
      </w:pPr>
      <w:r w:rsidRPr="00601AE3">
        <w:rPr>
          <w:rFonts w:ascii="Times New Roman" w:hAnsi="Times New Roman" w:cs="Times New Roman"/>
        </w:rPr>
        <w:lastRenderedPageBreak/>
        <w:t>b)</w:t>
      </w:r>
      <w:r w:rsidRPr="00601AE3">
        <w:rPr>
          <w:rFonts w:ascii="Times New Roman" w:hAnsi="Times New Roman" w:cs="Times New Roman"/>
        </w:rPr>
        <w:tab/>
      </w:r>
      <w:r w:rsidRPr="00601AE3">
        <w:rPr>
          <w:rFonts w:ascii="Times New Roman" w:hAnsi="Times New Roman"/>
        </w:rPr>
        <w:t>Beräkningar av kapitalbaskrav.</w:t>
      </w:r>
    </w:p>
    <w:p w14:paraId="57FE1803" w14:textId="77777777" w:rsidR="00DA369E" w:rsidRPr="00601AE3" w:rsidRDefault="00601AE3">
      <w:pPr>
        <w:spacing w:line="256" w:lineRule="auto"/>
        <w:ind w:left="1728" w:hanging="648"/>
        <w:jc w:val="both"/>
        <w:rPr>
          <w:rFonts w:ascii="Times New Roman" w:hAnsi="Times New Roman" w:cs="Times New Roman"/>
        </w:rPr>
      </w:pPr>
      <w:r w:rsidRPr="00601AE3">
        <w:rPr>
          <w:rFonts w:ascii="Times New Roman" w:hAnsi="Times New Roman" w:cs="Times New Roman"/>
        </w:rPr>
        <w:t>c)</w:t>
      </w:r>
      <w:r w:rsidRPr="00601AE3">
        <w:rPr>
          <w:rFonts w:ascii="Times New Roman" w:hAnsi="Times New Roman" w:cs="Times New Roman"/>
        </w:rPr>
        <w:tab/>
      </w:r>
      <w:r w:rsidRPr="00601AE3">
        <w:rPr>
          <w:rFonts w:ascii="Times New Roman" w:hAnsi="Times New Roman"/>
        </w:rPr>
        <w:t>Beräkning av krav på fast</w:t>
      </w:r>
      <w:r w:rsidRPr="00601AE3">
        <w:rPr>
          <w:rFonts w:ascii="Times New Roman" w:hAnsi="Times New Roman"/>
        </w:rPr>
        <w:t>a omkostnader.</w:t>
      </w:r>
    </w:p>
    <w:p w14:paraId="49EC08D3" w14:textId="77777777" w:rsidR="00DA369E" w:rsidRPr="00601AE3" w:rsidRDefault="00601AE3">
      <w:pPr>
        <w:spacing w:line="256" w:lineRule="auto"/>
        <w:ind w:left="1728" w:hanging="648"/>
        <w:jc w:val="both"/>
        <w:rPr>
          <w:rFonts w:ascii="Times New Roman" w:hAnsi="Times New Roman" w:cs="Times New Roman"/>
        </w:rPr>
      </w:pPr>
      <w:r w:rsidRPr="00601AE3">
        <w:rPr>
          <w:rFonts w:ascii="Times New Roman" w:hAnsi="Times New Roman" w:cs="Times New Roman"/>
        </w:rPr>
        <w:t>d)</w:t>
      </w:r>
      <w:r w:rsidRPr="00601AE3">
        <w:rPr>
          <w:rFonts w:ascii="Times New Roman" w:hAnsi="Times New Roman" w:cs="Times New Roman"/>
        </w:rPr>
        <w:tab/>
      </w:r>
      <w:r w:rsidRPr="00601AE3">
        <w:rPr>
          <w:rFonts w:ascii="Times New Roman" w:hAnsi="Times New Roman"/>
        </w:rPr>
        <w:t>Verksamhetsnivå i enlighet med villkoren i artikel 12.1 i förordning (EU) 2019/2033.</w:t>
      </w:r>
    </w:p>
    <w:p w14:paraId="7F1B6968" w14:textId="77777777" w:rsidR="00DA369E" w:rsidRPr="00601AE3" w:rsidRDefault="00601AE3">
      <w:pPr>
        <w:spacing w:line="256" w:lineRule="auto"/>
        <w:ind w:left="1728" w:hanging="648"/>
        <w:jc w:val="both"/>
        <w:rPr>
          <w:rFonts w:ascii="Times New Roman" w:hAnsi="Times New Roman" w:cs="Times New Roman"/>
        </w:rPr>
      </w:pPr>
      <w:r w:rsidRPr="00601AE3">
        <w:rPr>
          <w:rFonts w:ascii="Times New Roman" w:hAnsi="Times New Roman" w:cs="Times New Roman"/>
        </w:rPr>
        <w:t>e)</w:t>
      </w:r>
      <w:r w:rsidRPr="00601AE3">
        <w:rPr>
          <w:rFonts w:ascii="Times New Roman" w:hAnsi="Times New Roman" w:cs="Times New Roman"/>
        </w:rPr>
        <w:tab/>
      </w:r>
      <w:r w:rsidRPr="00601AE3">
        <w:rPr>
          <w:rFonts w:ascii="Times New Roman" w:hAnsi="Times New Roman"/>
        </w:rPr>
        <w:t>Likviditetskrav.</w:t>
      </w:r>
    </w:p>
    <w:p w14:paraId="59A7A40E" w14:textId="77777777" w:rsidR="00DA369E" w:rsidRPr="00601AE3" w:rsidRDefault="00601AE3">
      <w:pPr>
        <w:pStyle w:val="InstructionsText2"/>
        <w:numPr>
          <w:ilvl w:val="0"/>
          <w:numId w:val="0"/>
        </w:numPr>
        <w:ind w:left="360" w:hanging="360"/>
      </w:pPr>
      <w:r w:rsidRPr="00601AE3">
        <w:t>2.</w:t>
      </w:r>
      <w:r w:rsidRPr="00601AE3">
        <w:tab/>
        <w:t>För varje mall ges hänvisningar till lagstiftningen. Den här delen av förordningen innehåller utförligare information om de mer al</w:t>
      </w:r>
      <w:r w:rsidRPr="00601AE3">
        <w:t>lmänna aspekterna vad gäller rapporteringen för varje grupp av mallar, instruktioner för specifika positioner samt valideringsregler.</w:t>
      </w:r>
    </w:p>
    <w:p w14:paraId="0F4D8EDF" w14:textId="77777777" w:rsidR="00DA369E" w:rsidRPr="00601AE3" w:rsidRDefault="00601AE3">
      <w:pPr>
        <w:keepNext/>
        <w:spacing w:before="240" w:after="240" w:line="240" w:lineRule="auto"/>
        <w:jc w:val="both"/>
        <w:outlineLvl w:val="1"/>
        <w:rPr>
          <w:rFonts w:ascii="Times New Roman" w:eastAsia="Arial" w:hAnsi="Times New Roman" w:cs="Times New Roman"/>
          <w:sz w:val="24"/>
          <w:szCs w:val="24"/>
          <w:u w:val="single"/>
        </w:rPr>
      </w:pPr>
      <w:bookmarkStart w:id="15" w:name="_Toc76557274"/>
      <w:bookmarkStart w:id="16" w:name="_Toc88219797"/>
      <w:r w:rsidRPr="00601AE3">
        <w:rPr>
          <w:rFonts w:ascii="Times New Roman" w:hAnsi="Times New Roman"/>
          <w:sz w:val="24"/>
          <w:u w:val="single"/>
        </w:rPr>
        <w:t>1.2 Numrering</w:t>
      </w:r>
      <w:bookmarkEnd w:id="15"/>
      <w:bookmarkEnd w:id="16"/>
    </w:p>
    <w:p w14:paraId="2D6EB610" w14:textId="77777777" w:rsidR="00DA369E" w:rsidRPr="00601AE3" w:rsidRDefault="00601AE3">
      <w:pPr>
        <w:pStyle w:val="InstructionsText2"/>
        <w:numPr>
          <w:ilvl w:val="0"/>
          <w:numId w:val="0"/>
        </w:numPr>
        <w:ind w:left="360" w:hanging="360"/>
      </w:pPr>
      <w:r w:rsidRPr="00601AE3">
        <w:t>3.</w:t>
      </w:r>
      <w:r w:rsidRPr="00601AE3">
        <w:tab/>
        <w:t xml:space="preserve">För att hänvisa till kolumner, rader och celler i en mall används i detta dokument </w:t>
      </w:r>
      <w:r w:rsidRPr="00601AE3">
        <w:t>beteckningssystemet enligt punkterna 4–7. I valideringsreglerna hänvisas ofta till dessa numeriska koder.</w:t>
      </w:r>
    </w:p>
    <w:p w14:paraId="0B4B4E5F" w14:textId="77777777" w:rsidR="00DA369E" w:rsidRPr="00601AE3" w:rsidRDefault="00601AE3">
      <w:pPr>
        <w:pStyle w:val="InstructionsText2"/>
        <w:numPr>
          <w:ilvl w:val="0"/>
          <w:numId w:val="0"/>
        </w:numPr>
        <w:ind w:left="360" w:hanging="360"/>
      </w:pPr>
      <w:r w:rsidRPr="00601AE3">
        <w:t>4.</w:t>
      </w:r>
      <w:r w:rsidRPr="00601AE3">
        <w:tab/>
        <w:t>Följande allmänna beteckningssystem används i instruktionerna: {Mall, Rad, Kolumn}.</w:t>
      </w:r>
    </w:p>
    <w:p w14:paraId="630A3BB8" w14:textId="77777777" w:rsidR="00DA369E" w:rsidRPr="00601AE3" w:rsidRDefault="00601AE3">
      <w:pPr>
        <w:pStyle w:val="InstructionsText2"/>
        <w:numPr>
          <w:ilvl w:val="0"/>
          <w:numId w:val="0"/>
        </w:numPr>
        <w:ind w:left="360" w:hanging="360"/>
      </w:pPr>
      <w:r w:rsidRPr="00601AE3">
        <w:t>5.</w:t>
      </w:r>
      <w:r w:rsidRPr="00601AE3">
        <w:tab/>
        <w:t>Vid validering inom en mall i vilken man endast använder dat</w:t>
      </w:r>
      <w:r w:rsidRPr="00601AE3">
        <w:t>apunkter från den mallen anges inte mallen i beteckningen: {Rad, Kolumn}.</w:t>
      </w:r>
    </w:p>
    <w:p w14:paraId="1AA1FE4D" w14:textId="77777777" w:rsidR="00DA369E" w:rsidRPr="00601AE3" w:rsidRDefault="00601AE3">
      <w:pPr>
        <w:pStyle w:val="InstructionsText2"/>
        <w:numPr>
          <w:ilvl w:val="0"/>
          <w:numId w:val="0"/>
        </w:numPr>
        <w:ind w:left="360" w:hanging="360"/>
      </w:pPr>
      <w:r w:rsidRPr="00601AE3">
        <w:t>6.</w:t>
      </w:r>
      <w:r w:rsidRPr="00601AE3">
        <w:tab/>
        <w:t>Om mallen bara har en kolumn, anges endast rader. {Mall, Rad}.</w:t>
      </w:r>
    </w:p>
    <w:p w14:paraId="53A59E7F" w14:textId="77777777" w:rsidR="00DA369E" w:rsidRPr="00601AE3" w:rsidRDefault="00601AE3">
      <w:pPr>
        <w:pStyle w:val="InstructionsText2"/>
        <w:numPr>
          <w:ilvl w:val="0"/>
          <w:numId w:val="0"/>
        </w:numPr>
        <w:ind w:left="360" w:hanging="360"/>
      </w:pPr>
      <w:r w:rsidRPr="00601AE3">
        <w:t>7.</w:t>
      </w:r>
      <w:r w:rsidRPr="00601AE3">
        <w:tab/>
        <w:t>En asterisk betyder att valideringen avser de rader eller kolumner som anges före den.</w:t>
      </w:r>
    </w:p>
    <w:p w14:paraId="13BE55C4" w14:textId="77777777" w:rsidR="00DA369E" w:rsidRPr="00601AE3" w:rsidRDefault="00601AE3">
      <w:pPr>
        <w:keepNext/>
        <w:spacing w:before="240" w:after="240" w:line="240" w:lineRule="auto"/>
        <w:jc w:val="both"/>
        <w:outlineLvl w:val="1"/>
        <w:rPr>
          <w:rFonts w:ascii="Times New Roman" w:eastAsia="Arial" w:hAnsi="Times New Roman" w:cs="Times New Roman"/>
          <w:sz w:val="24"/>
          <w:szCs w:val="24"/>
          <w:u w:val="single"/>
        </w:rPr>
      </w:pPr>
      <w:bookmarkStart w:id="17" w:name="_Toc76557275"/>
      <w:bookmarkStart w:id="18" w:name="_Toc88219798"/>
      <w:r w:rsidRPr="00601AE3">
        <w:rPr>
          <w:rFonts w:ascii="Times New Roman" w:hAnsi="Times New Roman"/>
          <w:sz w:val="24"/>
          <w:u w:val="single"/>
        </w:rPr>
        <w:t>1.3 Tecken</w:t>
      </w:r>
      <w:bookmarkEnd w:id="17"/>
      <w:bookmarkEnd w:id="18"/>
    </w:p>
    <w:p w14:paraId="07ECFBB3" w14:textId="77777777" w:rsidR="00DA369E" w:rsidRPr="00601AE3" w:rsidRDefault="00601AE3">
      <w:pPr>
        <w:pStyle w:val="InstructionsText2"/>
        <w:numPr>
          <w:ilvl w:val="0"/>
          <w:numId w:val="0"/>
        </w:numPr>
        <w:ind w:left="360" w:hanging="360"/>
      </w:pPr>
      <w:r w:rsidRPr="00601AE3">
        <w:t>8.</w:t>
      </w:r>
      <w:r w:rsidRPr="00601AE3">
        <w:tab/>
        <w:t xml:space="preserve">Alla </w:t>
      </w:r>
      <w:r w:rsidRPr="00601AE3">
        <w:t>belopp som ökar kapitalbasen, kapitalkraven eller likviditetskraven ska rapporteras som ett positivt belopp. Tvärtom ska alla belopp som minskar den totala kapitalbasen eller de totala kapitalkraven redovisas som ett negativt belopp. Om namnet på en post f</w:t>
      </w:r>
      <w:r w:rsidRPr="00601AE3">
        <w:t>öregås av ett minustecken (-) förväntas inga positiva belopp redovisas för den posten.</w:t>
      </w:r>
    </w:p>
    <w:p w14:paraId="2980BE0C" w14:textId="77777777" w:rsidR="00DA369E" w:rsidRPr="00601AE3" w:rsidRDefault="00601AE3">
      <w:pPr>
        <w:keepNext/>
        <w:spacing w:before="240" w:after="240" w:line="240" w:lineRule="auto"/>
        <w:jc w:val="both"/>
        <w:outlineLvl w:val="1"/>
        <w:rPr>
          <w:rFonts w:ascii="Times New Roman" w:eastAsia="Arial" w:hAnsi="Times New Roman" w:cs="Times New Roman"/>
          <w:sz w:val="24"/>
          <w:szCs w:val="24"/>
          <w:u w:val="single"/>
        </w:rPr>
      </w:pPr>
      <w:bookmarkStart w:id="19" w:name="_Toc76557276"/>
      <w:bookmarkStart w:id="20" w:name="_Toc88219799"/>
      <w:r w:rsidRPr="00601AE3">
        <w:rPr>
          <w:rFonts w:ascii="Times New Roman" w:hAnsi="Times New Roman"/>
          <w:sz w:val="24"/>
          <w:u w:val="single"/>
        </w:rPr>
        <w:t>1.4</w:t>
      </w:r>
      <w:bookmarkStart w:id="21" w:name="_Toc76557277"/>
      <w:bookmarkEnd w:id="19"/>
      <w:r w:rsidRPr="00601AE3">
        <w:rPr>
          <w:rFonts w:ascii="Times New Roman" w:hAnsi="Times New Roman"/>
          <w:sz w:val="24"/>
          <w:u w:val="single"/>
        </w:rPr>
        <w:t xml:space="preserve"> Konsolidering under tillsyn</w:t>
      </w:r>
      <w:bookmarkEnd w:id="21"/>
      <w:bookmarkEnd w:id="20"/>
    </w:p>
    <w:p w14:paraId="4B0798CB" w14:textId="77777777" w:rsidR="00DA369E" w:rsidRPr="00601AE3" w:rsidRDefault="00601AE3">
      <w:pPr>
        <w:spacing w:line="256" w:lineRule="auto"/>
        <w:ind w:left="360" w:hanging="360"/>
        <w:jc w:val="both"/>
        <w:rPr>
          <w:rFonts w:ascii="Times New Roman" w:hAnsi="Times New Roman" w:cs="Times New Roman"/>
          <w:sz w:val="24"/>
        </w:rPr>
      </w:pPr>
      <w:r w:rsidRPr="00601AE3">
        <w:rPr>
          <w:rFonts w:ascii="Times New Roman" w:hAnsi="Times New Roman" w:cs="Times New Roman"/>
          <w:sz w:val="24"/>
        </w:rPr>
        <w:t>9.</w:t>
      </w:r>
      <w:r w:rsidRPr="00601AE3">
        <w:rPr>
          <w:rFonts w:ascii="Times New Roman" w:hAnsi="Times New Roman" w:cs="Times New Roman"/>
          <w:sz w:val="24"/>
        </w:rPr>
        <w:tab/>
      </w:r>
      <w:r w:rsidRPr="00601AE3">
        <w:rPr>
          <w:rFonts w:ascii="Times New Roman" w:hAnsi="Times New Roman"/>
          <w:sz w:val="24"/>
        </w:rPr>
        <w:t>Om inget undantag har beviljats är förordning (EU) 2019/2033 och direktiv (EU) 2019/2034 tillämpliga på värdepappersföretag på individ</w:t>
      </w:r>
      <w:r w:rsidRPr="00601AE3">
        <w:rPr>
          <w:rFonts w:ascii="Times New Roman" w:hAnsi="Times New Roman"/>
          <w:sz w:val="24"/>
        </w:rPr>
        <w:t>uell nivå och på gruppnivå, vilket inbegriper rapporteringskraven i del sju i förordning (EU) 2019/2033. I artikel 4.1.11 i förordning (EU) 2019/2033 definieras en konsoliderad situation som resultatet av att kraven i förordning (EU) 2019/2033 tillämpas på</w:t>
      </w:r>
      <w:r w:rsidRPr="00601AE3">
        <w:rPr>
          <w:rFonts w:ascii="Times New Roman" w:hAnsi="Times New Roman"/>
          <w:sz w:val="24"/>
        </w:rPr>
        <w:t xml:space="preserve"> en värdepappersföretagsgrupp som om enheterna i gruppen utgjorde ett enda värdepappersföretag. Efter tillämpningen av artikel 7 i förordning (EU) 2019/2033 ska värdepappersföretagsgrupper uppfylla rapporteringskraven i alla mallar på grundval av deras omf</w:t>
      </w:r>
      <w:r w:rsidRPr="00601AE3">
        <w:rPr>
          <w:rFonts w:ascii="Times New Roman" w:hAnsi="Times New Roman"/>
          <w:sz w:val="24"/>
        </w:rPr>
        <w:t>attning av konsolidering under tillsyn (som kan skilja sig från konsolideringen på redovisningsnivå).</w:t>
      </w:r>
    </w:p>
    <w:p w14:paraId="7D7D73B1" w14:textId="77777777" w:rsidR="00DA369E" w:rsidRPr="00601AE3" w:rsidRDefault="00601AE3">
      <w:pPr>
        <w:pStyle w:val="Heading2"/>
        <w:rPr>
          <w:rFonts w:ascii="Times New Roman" w:hAnsi="Times New Roman"/>
        </w:rPr>
      </w:pPr>
      <w:bookmarkStart w:id="22" w:name="_Toc76557278"/>
      <w:bookmarkStart w:id="23" w:name="_Toc88219800"/>
      <w:r w:rsidRPr="00601AE3">
        <w:rPr>
          <w:rFonts w:ascii="Times New Roman" w:hAnsi="Times New Roman"/>
        </w:rPr>
        <w:lastRenderedPageBreak/>
        <w:t>DEL II: MALLRELATERADE INSTRUKTIONER</w:t>
      </w:r>
      <w:bookmarkEnd w:id="6"/>
      <w:bookmarkEnd w:id="7"/>
      <w:bookmarkEnd w:id="8"/>
      <w:bookmarkEnd w:id="22"/>
      <w:bookmarkEnd w:id="23"/>
    </w:p>
    <w:p w14:paraId="50CC463C" w14:textId="77777777" w:rsidR="00DA369E" w:rsidRPr="00601AE3" w:rsidRDefault="00601AE3">
      <w:pPr>
        <w:pStyle w:val="Instructionsberschrift2"/>
        <w:ind w:left="357" w:hanging="357"/>
        <w:rPr>
          <w:rFonts w:ascii="Times New Roman" w:hAnsi="Times New Roman" w:cs="Times New Roman"/>
          <w:b/>
          <w:sz w:val="24"/>
        </w:rPr>
      </w:pPr>
      <w:bookmarkStart w:id="24" w:name="_Toc76557279"/>
      <w:bookmarkStart w:id="25" w:name="_Toc88219801"/>
      <w:r w:rsidRPr="00601AE3">
        <w:rPr>
          <w:rFonts w:ascii="Times New Roman" w:hAnsi="Times New Roman"/>
          <w:b/>
          <w:sz w:val="24"/>
          <w:u w:val="none"/>
        </w:rPr>
        <w:t>1. KAPITALBAS: NIVÅ, SAMMANSÄTTNING, KRAV OCH BERÄKNING</w:t>
      </w:r>
      <w:bookmarkEnd w:id="24"/>
      <w:bookmarkEnd w:id="25"/>
    </w:p>
    <w:p w14:paraId="47AF4C3B" w14:textId="77777777" w:rsidR="00DA369E" w:rsidRPr="00601AE3" w:rsidRDefault="00601AE3">
      <w:pPr>
        <w:pStyle w:val="Instructionsberschrift2"/>
        <w:ind w:left="357" w:hanging="357"/>
        <w:rPr>
          <w:rFonts w:ascii="Times New Roman" w:hAnsi="Times New Roman" w:cs="Times New Roman"/>
          <w:sz w:val="24"/>
        </w:rPr>
      </w:pPr>
      <w:bookmarkStart w:id="26" w:name="_Toc76557280"/>
      <w:bookmarkStart w:id="27" w:name="_Toc88219802"/>
      <w:r w:rsidRPr="00601AE3">
        <w:rPr>
          <w:rFonts w:ascii="Times New Roman" w:hAnsi="Times New Roman"/>
          <w:sz w:val="24"/>
          <w:u w:val="none"/>
        </w:rPr>
        <w:t xml:space="preserve">1.1 </w:t>
      </w:r>
      <w:r w:rsidRPr="00601AE3">
        <w:rPr>
          <w:rFonts w:ascii="Times New Roman" w:hAnsi="Times New Roman"/>
          <w:sz w:val="24"/>
        </w:rPr>
        <w:t>Allmänna kommentarer</w:t>
      </w:r>
      <w:bookmarkEnd w:id="26"/>
      <w:bookmarkEnd w:id="27"/>
    </w:p>
    <w:p w14:paraId="2B0C4482" w14:textId="77777777" w:rsidR="00DA369E" w:rsidRPr="00601AE3" w:rsidRDefault="00601AE3">
      <w:pPr>
        <w:spacing w:line="256" w:lineRule="auto"/>
        <w:ind w:left="993" w:hanging="567"/>
        <w:jc w:val="both"/>
        <w:rPr>
          <w:rFonts w:ascii="Times New Roman" w:hAnsi="Times New Roman" w:cs="Times New Roman"/>
          <w:sz w:val="24"/>
        </w:rPr>
      </w:pPr>
      <w:r w:rsidRPr="00601AE3">
        <w:rPr>
          <w:rFonts w:ascii="Times New Roman" w:hAnsi="Times New Roman" w:cs="Times New Roman"/>
          <w:sz w:val="24"/>
        </w:rPr>
        <w:t>10.</w:t>
      </w:r>
      <w:r w:rsidRPr="00601AE3">
        <w:rPr>
          <w:rFonts w:ascii="Times New Roman" w:hAnsi="Times New Roman" w:cs="Times New Roman"/>
          <w:sz w:val="24"/>
        </w:rPr>
        <w:tab/>
      </w:r>
      <w:r w:rsidRPr="00601AE3">
        <w:rPr>
          <w:rFonts w:ascii="Times New Roman" w:hAnsi="Times New Roman"/>
          <w:sz w:val="24"/>
        </w:rPr>
        <w:t>Avsnittet om översikt över kapit</w:t>
      </w:r>
      <w:r w:rsidRPr="00601AE3">
        <w:rPr>
          <w:rFonts w:ascii="Times New Roman" w:hAnsi="Times New Roman"/>
          <w:sz w:val="24"/>
        </w:rPr>
        <w:t>albasen innehåller information om värdepappersföretagets kapitalbas och dess kapitalbaskrav. Det består av två mallar:</w:t>
      </w:r>
    </w:p>
    <w:p w14:paraId="10ACF73C" w14:textId="77777777" w:rsidR="00DA369E" w:rsidRPr="00601AE3" w:rsidRDefault="00601AE3">
      <w:pPr>
        <w:spacing w:line="256" w:lineRule="auto"/>
        <w:ind w:left="1728" w:hanging="648"/>
        <w:jc w:val="both"/>
        <w:rPr>
          <w:rFonts w:ascii="Times New Roman" w:hAnsi="Times New Roman" w:cs="Times New Roman"/>
          <w:sz w:val="24"/>
        </w:rPr>
      </w:pPr>
      <w:r w:rsidRPr="00601AE3">
        <w:rPr>
          <w:rFonts w:ascii="Times New Roman" w:hAnsi="Times New Roman" w:cs="Times New Roman"/>
          <w:sz w:val="24"/>
        </w:rPr>
        <w:t>a)</w:t>
      </w:r>
      <w:r w:rsidRPr="00601AE3">
        <w:rPr>
          <w:rFonts w:ascii="Times New Roman" w:hAnsi="Times New Roman" w:cs="Times New Roman"/>
          <w:sz w:val="24"/>
        </w:rPr>
        <w:tab/>
      </w:r>
      <w:r w:rsidRPr="00601AE3">
        <w:rPr>
          <w:rFonts w:ascii="Times New Roman" w:hAnsi="Times New Roman"/>
          <w:sz w:val="24"/>
        </w:rPr>
        <w:t>Mall I 01.01 innehåller sammansättningarna av den kapitalbas som ett värdepappersföretag innehar: Kärnprimärkapital, övrigt primärkapi</w:t>
      </w:r>
      <w:r w:rsidRPr="00601AE3">
        <w:rPr>
          <w:rFonts w:ascii="Times New Roman" w:hAnsi="Times New Roman"/>
          <w:sz w:val="24"/>
        </w:rPr>
        <w:t>tal för kapitaltäckningsändamål och supplementärkapital.</w:t>
      </w:r>
    </w:p>
    <w:p w14:paraId="569581A0" w14:textId="77777777" w:rsidR="00DA369E" w:rsidRPr="00601AE3" w:rsidRDefault="00601AE3">
      <w:pPr>
        <w:spacing w:line="256" w:lineRule="auto"/>
        <w:ind w:left="1728" w:hanging="648"/>
        <w:jc w:val="both"/>
        <w:rPr>
          <w:rFonts w:ascii="Times New Roman" w:hAnsi="Times New Roman" w:cs="Times New Roman"/>
          <w:sz w:val="24"/>
        </w:rPr>
      </w:pPr>
      <w:r w:rsidRPr="00601AE3">
        <w:rPr>
          <w:rFonts w:ascii="Times New Roman" w:hAnsi="Times New Roman" w:cs="Times New Roman"/>
          <w:sz w:val="24"/>
        </w:rPr>
        <w:t>b)</w:t>
      </w:r>
      <w:r w:rsidRPr="00601AE3">
        <w:rPr>
          <w:rFonts w:ascii="Times New Roman" w:hAnsi="Times New Roman" w:cs="Times New Roman"/>
          <w:sz w:val="24"/>
        </w:rPr>
        <w:tab/>
      </w:r>
      <w:r w:rsidRPr="00601AE3">
        <w:rPr>
          <w:rFonts w:ascii="Times New Roman" w:hAnsi="Times New Roman"/>
          <w:sz w:val="24"/>
        </w:rPr>
        <w:t>Mallarna I 02.03 och I 02.04 innehåller det totala kapitalbaskravet, det permanenta minimikapitalkravet, kravet på fasta omkostnader, eventuella ytterligare kapitalbaskrav och riktlinjer samt över</w:t>
      </w:r>
      <w:r w:rsidRPr="00601AE3">
        <w:rPr>
          <w:rFonts w:ascii="Times New Roman" w:hAnsi="Times New Roman"/>
          <w:sz w:val="24"/>
        </w:rPr>
        <w:t>gångskrav för kapitalbasen och kapitalrelationer.</w:t>
      </w:r>
    </w:p>
    <w:p w14:paraId="409AC63E" w14:textId="77777777" w:rsidR="00DA369E" w:rsidRPr="00601AE3" w:rsidRDefault="00601AE3">
      <w:pPr>
        <w:spacing w:line="256" w:lineRule="auto"/>
        <w:ind w:left="1728" w:hanging="648"/>
        <w:jc w:val="both"/>
        <w:rPr>
          <w:rFonts w:ascii="Times New Roman" w:hAnsi="Times New Roman" w:cs="Times New Roman"/>
          <w:sz w:val="24"/>
        </w:rPr>
      </w:pPr>
      <w:r w:rsidRPr="00601AE3">
        <w:rPr>
          <w:rFonts w:ascii="Times New Roman" w:hAnsi="Times New Roman" w:cs="Times New Roman"/>
          <w:sz w:val="24"/>
        </w:rPr>
        <w:t>c)</w:t>
      </w:r>
      <w:r w:rsidRPr="00601AE3">
        <w:rPr>
          <w:rFonts w:ascii="Times New Roman" w:hAnsi="Times New Roman" w:cs="Times New Roman"/>
          <w:sz w:val="24"/>
        </w:rPr>
        <w:tab/>
      </w:r>
      <w:r w:rsidRPr="00601AE3">
        <w:rPr>
          <w:rFonts w:ascii="Times New Roman" w:hAnsi="Times New Roman"/>
          <w:sz w:val="24"/>
        </w:rPr>
        <w:t>I mall 03.01 finns information om beräkningen av kravet på fasta omkostnader.</w:t>
      </w:r>
    </w:p>
    <w:p w14:paraId="0CB420AD" w14:textId="77777777" w:rsidR="00DA369E" w:rsidRPr="00601AE3" w:rsidRDefault="00601AE3">
      <w:pPr>
        <w:spacing w:line="256" w:lineRule="auto"/>
        <w:ind w:left="993" w:hanging="567"/>
        <w:jc w:val="both"/>
        <w:rPr>
          <w:rFonts w:ascii="Times New Roman" w:hAnsi="Times New Roman" w:cs="Times New Roman"/>
          <w:sz w:val="24"/>
        </w:rPr>
      </w:pPr>
      <w:r w:rsidRPr="00601AE3">
        <w:rPr>
          <w:rFonts w:ascii="Times New Roman" w:hAnsi="Times New Roman" w:cs="Times New Roman"/>
          <w:sz w:val="24"/>
        </w:rPr>
        <w:t>11.</w:t>
      </w:r>
      <w:r w:rsidRPr="00601AE3">
        <w:rPr>
          <w:rFonts w:ascii="Times New Roman" w:hAnsi="Times New Roman" w:cs="Times New Roman"/>
          <w:sz w:val="24"/>
        </w:rPr>
        <w:tab/>
      </w:r>
      <w:r w:rsidRPr="00601AE3">
        <w:rPr>
          <w:rFonts w:ascii="Times New Roman" w:hAnsi="Times New Roman"/>
          <w:sz w:val="24"/>
        </w:rPr>
        <w:t>Beloppen i dessa mallar beräknas utan avdrag för övergångsjusteringar. Detta innebär att beloppen (utom när övergångskrav</w:t>
      </w:r>
      <w:r w:rsidRPr="00601AE3">
        <w:rPr>
          <w:rFonts w:ascii="Times New Roman" w:hAnsi="Times New Roman"/>
          <w:sz w:val="24"/>
        </w:rPr>
        <w:t>et för kapitalbasen uttryckligen anges) beräknas i enlighet med slutbestämmelserna (dvs. som om det inte fanns några övergångsbestämmelser).</w:t>
      </w:r>
    </w:p>
    <w:p w14:paraId="755652C1" w14:textId="77777777" w:rsidR="00DA369E" w:rsidRPr="00601AE3" w:rsidRDefault="00601AE3">
      <w:pPr>
        <w:pStyle w:val="Instructionsberschrift2"/>
        <w:ind w:left="357" w:hanging="357"/>
        <w:rPr>
          <w:rFonts w:ascii="Times New Roman" w:hAnsi="Times New Roman" w:cs="Times New Roman"/>
          <w:sz w:val="24"/>
          <w:u w:val="none"/>
        </w:rPr>
      </w:pPr>
      <w:bookmarkStart w:id="28" w:name="_Toc76557281"/>
      <w:bookmarkStart w:id="29" w:name="_Toc88219803"/>
      <w:r w:rsidRPr="00601AE3">
        <w:rPr>
          <w:rFonts w:ascii="Times New Roman" w:hAnsi="Times New Roman"/>
          <w:sz w:val="24"/>
          <w:u w:val="none"/>
        </w:rPr>
        <w:t xml:space="preserve">1,2. </w:t>
      </w:r>
      <w:r w:rsidRPr="00601AE3">
        <w:rPr>
          <w:rFonts w:ascii="Times New Roman" w:hAnsi="Times New Roman"/>
          <w:sz w:val="24"/>
        </w:rPr>
        <w:t>I 01.01 – KAPITALBASENS SAMMANSÄTTNING (I 1.1)</w:t>
      </w:r>
      <w:bookmarkEnd w:id="28"/>
      <w:bookmarkEnd w:id="29"/>
    </w:p>
    <w:p w14:paraId="0BB1A203" w14:textId="77777777" w:rsidR="00DA369E" w:rsidRPr="00601AE3" w:rsidRDefault="00601AE3">
      <w:pPr>
        <w:pStyle w:val="Instructionsberschrift2"/>
        <w:ind w:left="357" w:hanging="357"/>
        <w:rPr>
          <w:rFonts w:ascii="Times New Roman" w:hAnsi="Times New Roman" w:cs="Times New Roman"/>
          <w:sz w:val="24"/>
        </w:rPr>
      </w:pPr>
      <w:bookmarkStart w:id="30" w:name="_Toc76557282"/>
      <w:bookmarkStart w:id="31" w:name="_Toc88219804"/>
      <w:r w:rsidRPr="00601AE3">
        <w:rPr>
          <w:rFonts w:ascii="Times New Roman" w:hAnsi="Times New Roman"/>
          <w:sz w:val="24"/>
          <w:u w:val="none"/>
        </w:rPr>
        <w:t>1.2.1</w:t>
      </w:r>
      <w:r w:rsidRPr="00601AE3">
        <w:rPr>
          <w:rFonts w:ascii="Times New Roman" w:hAnsi="Times New Roman"/>
          <w:sz w:val="24"/>
          <w:u w:val="none"/>
        </w:rPr>
        <w:tab/>
      </w:r>
      <w:r w:rsidRPr="00601AE3">
        <w:rPr>
          <w:rFonts w:ascii="Times New Roman" w:hAnsi="Times New Roman"/>
          <w:sz w:val="24"/>
        </w:rPr>
        <w:t>Instruktioner för specifika positioner</w:t>
      </w:r>
      <w:bookmarkEnd w:id="30"/>
      <w:bookmarkEnd w:id="31"/>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7A0F2C3B" w14:textId="77777777">
        <w:tc>
          <w:tcPr>
            <w:tcW w:w="1129" w:type="dxa"/>
            <w:shd w:val="clear" w:color="auto" w:fill="D9D9D9"/>
          </w:tcPr>
          <w:p w14:paraId="38A1162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Rad</w:t>
            </w:r>
          </w:p>
        </w:tc>
        <w:tc>
          <w:tcPr>
            <w:tcW w:w="7620" w:type="dxa"/>
            <w:shd w:val="clear" w:color="auto" w:fill="D9D9D9"/>
          </w:tcPr>
          <w:p w14:paraId="16DB671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Rättsliga hänvisningar och instruktioner</w:t>
            </w:r>
          </w:p>
        </w:tc>
      </w:tr>
      <w:tr w:rsidR="00DA369E" w:rsidRPr="00601AE3" w14:paraId="0DB1FD65" w14:textId="77777777">
        <w:tc>
          <w:tcPr>
            <w:tcW w:w="1129" w:type="dxa"/>
          </w:tcPr>
          <w:p w14:paraId="3320C0D4"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0010</w:t>
            </w:r>
          </w:p>
        </w:tc>
        <w:tc>
          <w:tcPr>
            <w:tcW w:w="7620" w:type="dxa"/>
          </w:tcPr>
          <w:p w14:paraId="0A92665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KAPITALBAS</w:t>
            </w:r>
          </w:p>
          <w:p w14:paraId="2D6D3C4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förordning (EU) 2019/2033.</w:t>
            </w:r>
          </w:p>
          <w:p w14:paraId="52AF12E3"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Ett värdepappersföretags kapitalbas ska utgöras av summan av dess primärkapital och supplementärkapital.</w:t>
            </w:r>
          </w:p>
          <w:p w14:paraId="2174822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Totalsumman av raderna (0020 och 0380) ska </w:t>
            </w:r>
            <w:r w:rsidRPr="00601AE3">
              <w:rPr>
                <w:rFonts w:ascii="Times New Roman" w:hAnsi="Times New Roman"/>
              </w:rPr>
              <w:t>anges.</w:t>
            </w:r>
          </w:p>
        </w:tc>
      </w:tr>
      <w:tr w:rsidR="00DA369E" w:rsidRPr="00601AE3" w14:paraId="178E0650" w14:textId="77777777">
        <w:tc>
          <w:tcPr>
            <w:tcW w:w="1129" w:type="dxa"/>
          </w:tcPr>
          <w:p w14:paraId="0052BC6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0020</w:t>
            </w:r>
          </w:p>
        </w:tc>
        <w:tc>
          <w:tcPr>
            <w:tcW w:w="7620" w:type="dxa"/>
          </w:tcPr>
          <w:p w14:paraId="01124B1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PRIMÄRKAPITAL</w:t>
            </w:r>
          </w:p>
          <w:p w14:paraId="35D716A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Primärkapital är summan av kärnprimärkapital och övrigt primärkapital för kapitaltäckningsändamål.</w:t>
            </w:r>
          </w:p>
        </w:tc>
      </w:tr>
      <w:tr w:rsidR="00DA369E" w:rsidRPr="00601AE3" w14:paraId="60A29AAA" w14:textId="77777777">
        <w:tc>
          <w:tcPr>
            <w:tcW w:w="1129" w:type="dxa"/>
          </w:tcPr>
          <w:p w14:paraId="3E94F5D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0030</w:t>
            </w:r>
          </w:p>
        </w:tc>
        <w:tc>
          <w:tcPr>
            <w:tcW w:w="7620" w:type="dxa"/>
          </w:tcPr>
          <w:p w14:paraId="73A81D9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InstructionsTabelleberschrift"/>
                <w:rFonts w:ascii="Times New Roman" w:hAnsi="Times New Roman"/>
                <w:sz w:val="22"/>
              </w:rPr>
              <w:t>KÄRNPRIMÄRKAPITAL</w:t>
            </w:r>
          </w:p>
          <w:p w14:paraId="1383CD3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förordning (EU) 2019/2033.</w:t>
            </w:r>
          </w:p>
          <w:p w14:paraId="4264D35B"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Artikel 50 i förordning (EU) nr 575/2013</w:t>
            </w:r>
          </w:p>
          <w:p w14:paraId="310D271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Totalsumman av </w:t>
            </w:r>
            <w:r w:rsidRPr="00601AE3">
              <w:rPr>
                <w:rFonts w:ascii="Times New Roman" w:hAnsi="Times New Roman"/>
              </w:rPr>
              <w:t>raderna (0040–0060, 0090–0140 och 0290) ska anges.</w:t>
            </w:r>
          </w:p>
        </w:tc>
      </w:tr>
      <w:tr w:rsidR="00DA369E" w:rsidRPr="00601AE3" w14:paraId="2F68732A" w14:textId="77777777">
        <w:tc>
          <w:tcPr>
            <w:tcW w:w="1129" w:type="dxa"/>
          </w:tcPr>
          <w:p w14:paraId="591453C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0040</w:t>
            </w:r>
          </w:p>
        </w:tc>
        <w:tc>
          <w:tcPr>
            <w:tcW w:w="7620" w:type="dxa"/>
          </w:tcPr>
          <w:p w14:paraId="7BDE17C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Fullt betalda kapitalinstrument</w:t>
            </w:r>
          </w:p>
          <w:p w14:paraId="1244545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6264560F"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Artikel 26.1 a och artiklarna 27–31 i förordning (EU) nr 575/2013.</w:t>
            </w:r>
          </w:p>
          <w:p w14:paraId="3E467017"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lastRenderedPageBreak/>
              <w:t>Kapitalinstrument i ömsesidiga bolag, kooperativa sammans</w:t>
            </w:r>
            <w:r w:rsidRPr="00601AE3">
              <w:rPr>
                <w:rStyle w:val="FormatvorlageInstructionsTabelleText"/>
                <w:rFonts w:ascii="Times New Roman" w:hAnsi="Times New Roman"/>
                <w:sz w:val="22"/>
              </w:rPr>
              <w:t>lutningar eller jämförbara institut (artiklarna 27 och 29 i förordning (EU) nr 575/2013) ska inkluderas.</w:t>
            </w:r>
          </w:p>
          <w:p w14:paraId="2F46F8C0"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Den överkursfond som hör ihop med instrumentet ska inte inkluderas.</w:t>
            </w:r>
          </w:p>
          <w:p w14:paraId="50C1A1C9" w14:textId="77777777" w:rsidR="00DA369E" w:rsidRPr="00601AE3" w:rsidRDefault="00601AE3">
            <w:pPr>
              <w:pStyle w:val="InstructionsText"/>
              <w:rPr>
                <w:sz w:val="22"/>
                <w:szCs w:val="22"/>
              </w:rPr>
            </w:pPr>
            <w:r w:rsidRPr="00601AE3">
              <w:rPr>
                <w:rStyle w:val="FormatvorlageInstructionsTabelleText"/>
                <w:rFonts w:ascii="Times New Roman" w:hAnsi="Times New Roman"/>
                <w:sz w:val="22"/>
              </w:rPr>
              <w:t>Kapitalinstrument som tecknats av offentliga myndigheter i nödsituationer ska inklu</w:t>
            </w:r>
            <w:r w:rsidRPr="00601AE3">
              <w:rPr>
                <w:rStyle w:val="FormatvorlageInstructionsTabelleText"/>
                <w:rFonts w:ascii="Times New Roman" w:hAnsi="Times New Roman"/>
                <w:sz w:val="22"/>
              </w:rPr>
              <w:t>deras om samtliga villkor i artikel 31 i förordning (EU) nr 575/2013 är uppfyllda.</w:t>
            </w:r>
          </w:p>
        </w:tc>
      </w:tr>
      <w:tr w:rsidR="00DA369E" w:rsidRPr="00601AE3" w14:paraId="15AC6B39" w14:textId="77777777">
        <w:tc>
          <w:tcPr>
            <w:tcW w:w="1129" w:type="dxa"/>
          </w:tcPr>
          <w:p w14:paraId="5516CF4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0050</w:t>
            </w:r>
          </w:p>
        </w:tc>
        <w:tc>
          <w:tcPr>
            <w:tcW w:w="7620" w:type="dxa"/>
          </w:tcPr>
          <w:p w14:paraId="67199E8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Överkursfond</w:t>
            </w:r>
          </w:p>
          <w:p w14:paraId="5CE4219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36E9C206"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Artikel 26.1 b i förordning (EU) nr 575/2013.</w:t>
            </w:r>
          </w:p>
          <w:p w14:paraId="40C5390B"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 xml:space="preserve">Överkursfond har den innebörd som anges i tillämplig </w:t>
            </w:r>
            <w:r w:rsidRPr="00601AE3">
              <w:rPr>
                <w:rStyle w:val="FormatvorlageInstructionsTabelleText"/>
                <w:rFonts w:ascii="Times New Roman" w:hAnsi="Times New Roman"/>
                <w:sz w:val="22"/>
              </w:rPr>
              <w:t>redovisningsstandard.</w:t>
            </w:r>
          </w:p>
          <w:p w14:paraId="692A452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 xml:space="preserve">I denna post ska den del av beloppet rapporteras som rör </w:t>
            </w:r>
            <w:r w:rsidRPr="00601AE3">
              <w:rPr>
                <w:rStyle w:val="FormatvorlageInstructionsTabelleText"/>
                <w:rFonts w:ascii="Times New Roman" w:hAnsi="Times New Roman"/>
                <w:sz w:val="22"/>
              </w:rPr>
              <w:t>”</w:t>
            </w:r>
            <w:r w:rsidRPr="00601AE3">
              <w:rPr>
                <w:rStyle w:val="FormatvorlageInstructionsTabelleText"/>
                <w:rFonts w:ascii="Times New Roman" w:hAnsi="Times New Roman"/>
                <w:sz w:val="22"/>
              </w:rPr>
              <w:t>fullt betalda kapitalinstrumen</w:t>
            </w:r>
            <w:r w:rsidRPr="00601AE3">
              <w:rPr>
                <w:rStyle w:val="FormatvorlageInstructionsTabelleText"/>
                <w:rFonts w:ascii="Times New Roman" w:hAnsi="Times New Roman"/>
                <w:sz w:val="22"/>
              </w:rPr>
              <w:t>t”</w:t>
            </w:r>
            <w:r w:rsidRPr="00601AE3">
              <w:rPr>
                <w:rStyle w:val="FormatvorlageInstructionsTabelleText"/>
                <w:rFonts w:ascii="Times New Roman" w:hAnsi="Times New Roman"/>
                <w:sz w:val="22"/>
              </w:rPr>
              <w:t>.</w:t>
            </w:r>
          </w:p>
        </w:tc>
      </w:tr>
      <w:tr w:rsidR="00DA369E" w:rsidRPr="00601AE3" w14:paraId="35AC3EF0" w14:textId="77777777">
        <w:tc>
          <w:tcPr>
            <w:tcW w:w="1129" w:type="dxa"/>
          </w:tcPr>
          <w:p w14:paraId="129A331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0060</w:t>
            </w:r>
          </w:p>
        </w:tc>
        <w:tc>
          <w:tcPr>
            <w:tcW w:w="7620" w:type="dxa"/>
          </w:tcPr>
          <w:p w14:paraId="40A5BFF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Balanserade vinstmedel</w:t>
            </w:r>
          </w:p>
          <w:p w14:paraId="31C2F1D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1EC500BA" w14:textId="77777777" w:rsidR="00DA369E" w:rsidRPr="00601AE3" w:rsidRDefault="00601AE3">
            <w:pPr>
              <w:spacing w:after="120" w:line="240" w:lineRule="auto"/>
              <w:jc w:val="both"/>
              <w:rPr>
                <w:rFonts w:ascii="Times New Roman" w:eastAsia="Times New Roman" w:hAnsi="Times New Roman" w:cs="Times New Roman"/>
                <w:bCs/>
              </w:rPr>
            </w:pPr>
            <w:r w:rsidRPr="00601AE3">
              <w:rPr>
                <w:rStyle w:val="FormatvorlageInstructionsTabelleText"/>
                <w:rFonts w:ascii="Times New Roman" w:hAnsi="Times New Roman"/>
                <w:sz w:val="22"/>
              </w:rPr>
              <w:t>Artikel 26.1 c i förordning (EU) nr 575/2013.</w:t>
            </w:r>
          </w:p>
          <w:p w14:paraId="06B9B2D2"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 xml:space="preserve">I balanserade </w:t>
            </w:r>
            <w:r w:rsidRPr="00601AE3">
              <w:rPr>
                <w:rStyle w:val="FormatvorlageInstructionsTabelleText"/>
                <w:rFonts w:ascii="Times New Roman" w:hAnsi="Times New Roman"/>
                <w:sz w:val="22"/>
              </w:rPr>
              <w:t>vinstmedel ingår balanserade vinstmedel från det föregående året och delårs- eller årsöverskott.</w:t>
            </w:r>
          </w:p>
          <w:p w14:paraId="1D0DCE3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Totalsumman av raderna 0070 och 0080 ska anges.</w:t>
            </w:r>
          </w:p>
        </w:tc>
      </w:tr>
      <w:tr w:rsidR="00DA369E" w:rsidRPr="00601AE3" w14:paraId="6F8058C9" w14:textId="77777777">
        <w:tc>
          <w:tcPr>
            <w:tcW w:w="1129" w:type="dxa"/>
          </w:tcPr>
          <w:p w14:paraId="2BF750C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0070</w:t>
            </w:r>
          </w:p>
        </w:tc>
        <w:tc>
          <w:tcPr>
            <w:tcW w:w="7620" w:type="dxa"/>
          </w:tcPr>
          <w:p w14:paraId="49E3E3F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Balanserade vinstmedel från föregående år</w:t>
            </w:r>
          </w:p>
          <w:p w14:paraId="46ACB772" w14:textId="77777777" w:rsidR="00DA369E" w:rsidRPr="00601AE3" w:rsidRDefault="00601AE3">
            <w:pPr>
              <w:spacing w:after="120" w:line="240" w:lineRule="auto"/>
              <w:jc w:val="both"/>
              <w:rPr>
                <w:rFonts w:ascii="Times New Roman" w:eastAsia="Times New Roman" w:hAnsi="Times New Roman" w:cs="Times New Roman"/>
              </w:rPr>
            </w:pPr>
            <w:r w:rsidRPr="00601AE3">
              <w:rPr>
                <w:rFonts w:ascii="Times New Roman" w:hAnsi="Times New Roman"/>
              </w:rPr>
              <w:t>Artikel 4.1.123 och artikel 26.1 c i förordning (EU) nr 575/201</w:t>
            </w:r>
            <w:r w:rsidRPr="00601AE3">
              <w:rPr>
                <w:rFonts w:ascii="Times New Roman" w:hAnsi="Times New Roman"/>
              </w:rPr>
              <w:t>3.</w:t>
            </w:r>
          </w:p>
          <w:p w14:paraId="6B0665E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I artikel 4.1.123 i förordning (EU) nr 575/2013 definieras balanserade vinstmedel som </w:t>
            </w:r>
            <w:r w:rsidRPr="00601AE3">
              <w:rPr>
                <w:rFonts w:ascii="Times New Roman" w:hAnsi="Times New Roman"/>
              </w:rPr>
              <w:t>”</w:t>
            </w:r>
            <w:r w:rsidRPr="00601AE3">
              <w:rPr>
                <w:rFonts w:ascii="Times New Roman" w:hAnsi="Times New Roman"/>
              </w:rPr>
              <w:t>balanserad vinst och förlust från föregående räkenskapsår i enlighet med tillämpliga redovisningsrama</w:t>
            </w:r>
            <w:r w:rsidRPr="00601AE3">
              <w:rPr>
                <w:rFonts w:ascii="Times New Roman" w:hAnsi="Times New Roman"/>
              </w:rPr>
              <w:t>r”</w:t>
            </w:r>
            <w:r w:rsidRPr="00601AE3">
              <w:rPr>
                <w:rFonts w:ascii="Times New Roman" w:hAnsi="Times New Roman"/>
              </w:rPr>
              <w:t>.</w:t>
            </w:r>
          </w:p>
        </w:tc>
      </w:tr>
      <w:tr w:rsidR="00DA369E" w:rsidRPr="00601AE3" w14:paraId="7625FFD6" w14:textId="77777777">
        <w:tc>
          <w:tcPr>
            <w:tcW w:w="1129" w:type="dxa"/>
          </w:tcPr>
          <w:p w14:paraId="29DAF94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0080</w:t>
            </w:r>
          </w:p>
        </w:tc>
        <w:tc>
          <w:tcPr>
            <w:tcW w:w="7620" w:type="dxa"/>
          </w:tcPr>
          <w:p w14:paraId="5098EB2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Överskott</w:t>
            </w:r>
          </w:p>
          <w:p w14:paraId="1583493C" w14:textId="77777777" w:rsidR="00DA369E" w:rsidRPr="00601AE3" w:rsidRDefault="00601AE3">
            <w:pPr>
              <w:spacing w:after="120" w:line="240" w:lineRule="auto"/>
              <w:jc w:val="both"/>
              <w:rPr>
                <w:rFonts w:ascii="Times New Roman" w:eastAsia="Times New Roman" w:hAnsi="Times New Roman" w:cs="Times New Roman"/>
              </w:rPr>
            </w:pPr>
            <w:r w:rsidRPr="00601AE3">
              <w:rPr>
                <w:rFonts w:ascii="Times New Roman" w:hAnsi="Times New Roman"/>
              </w:rPr>
              <w:t xml:space="preserve">Artikel 4.1.121, artikel 26.2 och </w:t>
            </w:r>
            <w:r w:rsidRPr="00601AE3">
              <w:rPr>
                <w:rFonts w:ascii="Times New Roman" w:hAnsi="Times New Roman"/>
              </w:rPr>
              <w:t>artikel 36.1 a i förordning (EU) nr 575/2013.</w:t>
            </w:r>
          </w:p>
          <w:p w14:paraId="689D507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Enligt artikel 26.2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får delårs- eller årsöverskott räknas in i balanserade vinstmedel, efter förhandstillstånd från behörig myndighet och om vissa villkor är uppfyllda. </w:t>
            </w:r>
          </w:p>
        </w:tc>
      </w:tr>
      <w:tr w:rsidR="00DA369E" w:rsidRPr="00601AE3" w14:paraId="634F3B58" w14:textId="77777777">
        <w:tc>
          <w:tcPr>
            <w:tcW w:w="1129" w:type="dxa"/>
          </w:tcPr>
          <w:p w14:paraId="2AD49D9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0090</w:t>
            </w:r>
          </w:p>
        </w:tc>
        <w:tc>
          <w:tcPr>
            <w:tcW w:w="7620" w:type="dxa"/>
          </w:tcPr>
          <w:p w14:paraId="39ADA20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Acku</w:t>
            </w:r>
            <w:r w:rsidRPr="00601AE3">
              <w:rPr>
                <w:rFonts w:ascii="Times New Roman" w:hAnsi="Times New Roman"/>
                <w:b/>
                <w:u w:val="single"/>
              </w:rPr>
              <w:t>mulerat övrigt totalresultat</w:t>
            </w:r>
          </w:p>
          <w:p w14:paraId="552D1AD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3E6C7EF4" w14:textId="77777777" w:rsidR="00DA369E" w:rsidRPr="00601AE3" w:rsidRDefault="00601AE3">
            <w:pPr>
              <w:spacing w:after="120" w:line="240" w:lineRule="auto"/>
              <w:jc w:val="both"/>
              <w:rPr>
                <w:rFonts w:ascii="Times New Roman" w:hAnsi="Times New Roman" w:cs="Times New Roman"/>
                <w:bCs/>
              </w:rPr>
            </w:pPr>
            <w:r w:rsidRPr="00601AE3">
              <w:rPr>
                <w:rStyle w:val="FormatvorlageInstructionsTabelleText"/>
                <w:rFonts w:ascii="Times New Roman" w:hAnsi="Times New Roman"/>
                <w:sz w:val="22"/>
              </w:rPr>
              <w:t>Artikel 26.1 d i förordning (EU) nr 575/2013.</w:t>
            </w:r>
          </w:p>
        </w:tc>
      </w:tr>
      <w:tr w:rsidR="00DA369E" w:rsidRPr="00601AE3" w14:paraId="27332B10" w14:textId="77777777">
        <w:tc>
          <w:tcPr>
            <w:tcW w:w="1129" w:type="dxa"/>
          </w:tcPr>
          <w:p w14:paraId="71A47D9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0100</w:t>
            </w:r>
          </w:p>
        </w:tc>
        <w:tc>
          <w:tcPr>
            <w:tcW w:w="7620" w:type="dxa"/>
          </w:tcPr>
          <w:p w14:paraId="4E73669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Övriga reserver</w:t>
            </w:r>
          </w:p>
          <w:p w14:paraId="3C33B38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267C1C5D"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Artikel 4.1.117 och artikel 26.1 e i förordning (EU) nr 575/2013.</w:t>
            </w:r>
          </w:p>
          <w:p w14:paraId="0258E41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Beloppe</w:t>
            </w:r>
            <w:r w:rsidRPr="00601AE3">
              <w:rPr>
                <w:rStyle w:val="FormatvorlageInstructionsTabelleText"/>
                <w:rFonts w:ascii="Times New Roman" w:hAnsi="Times New Roman"/>
                <w:sz w:val="22"/>
              </w:rPr>
              <w:t>t ska anges efter avdrag för de eventuella skattepålagor som kan förutses när beräkningen görs.</w:t>
            </w:r>
          </w:p>
        </w:tc>
      </w:tr>
      <w:tr w:rsidR="00DA369E" w:rsidRPr="00601AE3" w14:paraId="2C07F8DE" w14:textId="77777777">
        <w:tc>
          <w:tcPr>
            <w:tcW w:w="1129" w:type="dxa"/>
          </w:tcPr>
          <w:p w14:paraId="7107BD1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0110</w:t>
            </w:r>
          </w:p>
        </w:tc>
        <w:tc>
          <w:tcPr>
            <w:tcW w:w="7620" w:type="dxa"/>
            <w:shd w:val="clear" w:color="auto" w:fill="auto"/>
          </w:tcPr>
          <w:p w14:paraId="50EDCF4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Minoritetsintressen som ingår i kärnprimärkapitalet</w:t>
            </w:r>
          </w:p>
          <w:p w14:paraId="4E35D259"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Artiklarna 84.1, 85.1 och 87.1 i förordning (EU) nr 575/2013.</w:t>
            </w:r>
          </w:p>
          <w:p w14:paraId="01D38E5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 xml:space="preserve">Summan av samtliga </w:t>
            </w:r>
            <w:r w:rsidRPr="00601AE3">
              <w:rPr>
                <w:rStyle w:val="FormatvorlageInstructionsTabelleText"/>
                <w:rFonts w:ascii="Times New Roman" w:hAnsi="Times New Roman"/>
                <w:sz w:val="22"/>
              </w:rPr>
              <w:t>dotterföretags minoritetsintressen som ingår i det konsoliderade kärnprimärkapitalet.</w:t>
            </w:r>
          </w:p>
        </w:tc>
      </w:tr>
      <w:tr w:rsidR="00DA369E" w:rsidRPr="00601AE3" w14:paraId="7EEBCE56" w14:textId="77777777">
        <w:tc>
          <w:tcPr>
            <w:tcW w:w="1129" w:type="dxa"/>
          </w:tcPr>
          <w:p w14:paraId="48E33A0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0120</w:t>
            </w:r>
          </w:p>
        </w:tc>
        <w:tc>
          <w:tcPr>
            <w:tcW w:w="7620" w:type="dxa"/>
            <w:shd w:val="clear" w:color="auto" w:fill="auto"/>
          </w:tcPr>
          <w:p w14:paraId="50355C0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Justeringar av kärnprimärkapital på grund av försiktighetsmarginaler</w:t>
            </w:r>
          </w:p>
          <w:p w14:paraId="2A17872E"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lastRenderedPageBreak/>
              <w:t>Artikel 9.1 i i förordning (EU) 2019/2033.</w:t>
            </w:r>
          </w:p>
          <w:p w14:paraId="63A9AA0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Artiklarna 32–35 i förordning (EU) nr 575/2013.</w:t>
            </w:r>
          </w:p>
        </w:tc>
      </w:tr>
      <w:tr w:rsidR="00DA369E" w:rsidRPr="00601AE3" w14:paraId="0C3910EF" w14:textId="77777777">
        <w:tc>
          <w:tcPr>
            <w:tcW w:w="1129" w:type="dxa"/>
          </w:tcPr>
          <w:p w14:paraId="3757C19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013</w:t>
            </w:r>
            <w:r w:rsidRPr="00601AE3">
              <w:rPr>
                <w:rFonts w:ascii="Times New Roman" w:hAnsi="Times New Roman"/>
              </w:rPr>
              <w:t>0</w:t>
            </w:r>
          </w:p>
        </w:tc>
        <w:tc>
          <w:tcPr>
            <w:tcW w:w="7620" w:type="dxa"/>
          </w:tcPr>
          <w:p w14:paraId="3CAB6DF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Övriga fonder</w:t>
            </w:r>
          </w:p>
          <w:p w14:paraId="17A7677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9.4 </w:t>
            </w:r>
            <w:r w:rsidRPr="00601AE3">
              <w:rPr>
                <w:rStyle w:val="FormatvorlageInstructionsTabelleText"/>
                <w:rFonts w:ascii="Times New Roman" w:hAnsi="Times New Roman"/>
                <w:sz w:val="22"/>
              </w:rPr>
              <w:t>i</w:t>
            </w:r>
            <w:r w:rsidRPr="00601AE3">
              <w:rPr>
                <w:rFonts w:ascii="Times New Roman" w:hAnsi="Times New Roman"/>
              </w:rPr>
              <w:t xml:space="preserve"> förordning (EU) 2019/2033.</w:t>
            </w:r>
          </w:p>
        </w:tc>
      </w:tr>
      <w:tr w:rsidR="00DA369E" w:rsidRPr="00601AE3" w14:paraId="67093260" w14:textId="77777777">
        <w:tc>
          <w:tcPr>
            <w:tcW w:w="1129" w:type="dxa"/>
          </w:tcPr>
          <w:p w14:paraId="044B45F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0140</w:t>
            </w:r>
          </w:p>
        </w:tc>
        <w:tc>
          <w:tcPr>
            <w:tcW w:w="7620" w:type="dxa"/>
          </w:tcPr>
          <w:p w14:paraId="56C8D85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TOTALA AVDRAG FRÅN KÄRNPRIMÄRKAPITAL</w:t>
            </w:r>
          </w:p>
          <w:p w14:paraId="7220953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Totalsumman av raderna 0190–0285 ska anges.</w:t>
            </w:r>
          </w:p>
        </w:tc>
      </w:tr>
      <w:tr w:rsidR="00DA369E" w:rsidRPr="00601AE3" w14:paraId="713C26AF" w14:textId="77777777">
        <w:tc>
          <w:tcPr>
            <w:tcW w:w="1129" w:type="dxa"/>
          </w:tcPr>
          <w:p w14:paraId="66DE6D28"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E0E810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Förluster för innevarande räkenskapsår</w:t>
            </w:r>
          </w:p>
          <w:p w14:paraId="0D78E02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36.1 a i förordning (EU) nr 575/2013.</w:t>
            </w:r>
          </w:p>
        </w:tc>
      </w:tr>
      <w:tr w:rsidR="00DA369E" w:rsidRPr="00601AE3" w14:paraId="236C9B42" w14:textId="77777777">
        <w:tc>
          <w:tcPr>
            <w:tcW w:w="1129" w:type="dxa"/>
          </w:tcPr>
          <w:p w14:paraId="2BA504B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B2546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 </w:t>
            </w:r>
            <w:r w:rsidRPr="00601AE3">
              <w:rPr>
                <w:rFonts w:ascii="Times New Roman" w:hAnsi="Times New Roman"/>
                <w:b/>
                <w:u w:val="single"/>
              </w:rPr>
              <w:t>Goodwill</w:t>
            </w:r>
          </w:p>
          <w:p w14:paraId="785D5D5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30D2D61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Artikel 4.1.113, artikel 36.1 b och artikel 37 i förordning (EU) nr 575/2013.</w:t>
            </w:r>
          </w:p>
        </w:tc>
      </w:tr>
      <w:tr w:rsidR="00DA369E" w:rsidRPr="00601AE3" w14:paraId="5A8FD228" w14:textId="77777777">
        <w:tc>
          <w:tcPr>
            <w:tcW w:w="1129" w:type="dxa"/>
          </w:tcPr>
          <w:p w14:paraId="188CF77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72FE447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Övriga immateriella tillgångar</w:t>
            </w:r>
          </w:p>
          <w:p w14:paraId="1F95072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333F79E5" w14:textId="77777777" w:rsidR="00DA369E" w:rsidRPr="00601AE3" w:rsidRDefault="00601AE3">
            <w:pPr>
              <w:pStyle w:val="InstructionsText"/>
              <w:rPr>
                <w:rStyle w:val="FormatvorlageInstructionsTabelleText"/>
                <w:rFonts w:ascii="Times New Roman" w:eastAsiaTheme="minorHAnsi" w:hAnsi="Times New Roman"/>
                <w:bCs/>
                <w:sz w:val="22"/>
                <w:szCs w:val="22"/>
              </w:rPr>
            </w:pPr>
            <w:r w:rsidRPr="00601AE3">
              <w:rPr>
                <w:rStyle w:val="FormatvorlageInstructionsTabelleText"/>
                <w:rFonts w:ascii="Times New Roman" w:hAnsi="Times New Roman"/>
                <w:sz w:val="22"/>
              </w:rPr>
              <w:t>Artikel 4.1.115, artikel 36.1 b och artike</w:t>
            </w:r>
            <w:r w:rsidRPr="00601AE3">
              <w:rPr>
                <w:rStyle w:val="FormatvorlageInstructionsTabelleText"/>
                <w:rFonts w:ascii="Times New Roman" w:hAnsi="Times New Roman"/>
                <w:sz w:val="22"/>
              </w:rPr>
              <w:t>l 37 a i förordning (EU) nr 575/2013.</w:t>
            </w:r>
          </w:p>
          <w:p w14:paraId="2534182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Övriga immateriella tillgångar är immateriella tillgångar enligt tillämplig redovisningsstandard minus goodwill, även denna enligt tillämplig redovisningsstandard.</w:t>
            </w:r>
          </w:p>
        </w:tc>
      </w:tr>
      <w:tr w:rsidR="00DA369E" w:rsidRPr="00601AE3" w14:paraId="3095D8CF" w14:textId="77777777">
        <w:tc>
          <w:tcPr>
            <w:tcW w:w="1129" w:type="dxa"/>
          </w:tcPr>
          <w:p w14:paraId="5A7E2CA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583367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 Uppskjutna skattefordringar som är beroende </w:t>
            </w:r>
            <w:r w:rsidRPr="00601AE3">
              <w:rPr>
                <w:rFonts w:ascii="Times New Roman" w:hAnsi="Times New Roman"/>
                <w:b/>
                <w:u w:val="single"/>
              </w:rPr>
              <w:t>av framtida lönsamhet och som inte uppstår till följd av temporära skillnader minus tillhörande skatteskulder</w:t>
            </w:r>
          </w:p>
          <w:p w14:paraId="05CD577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9.2 a i förordning (EU) 2019/2033.</w:t>
            </w:r>
          </w:p>
          <w:p w14:paraId="31A20B3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36.1 c i förordning (EU) nr 575/2013.</w:t>
            </w:r>
          </w:p>
        </w:tc>
      </w:tr>
      <w:tr w:rsidR="00DA369E" w:rsidRPr="00601AE3" w14:paraId="4222444A" w14:textId="77777777">
        <w:tc>
          <w:tcPr>
            <w:tcW w:w="1129" w:type="dxa"/>
          </w:tcPr>
          <w:p w14:paraId="7FAB592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B8768A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 Kvalificerat innehav utanför den </w:t>
            </w:r>
            <w:r w:rsidRPr="00601AE3">
              <w:rPr>
                <w:rFonts w:ascii="Times New Roman" w:hAnsi="Times New Roman"/>
                <w:b/>
                <w:u w:val="single"/>
              </w:rPr>
              <w:t>finansiella sektorn som överstiger 15 % av kapitalbasen</w:t>
            </w:r>
          </w:p>
          <w:p w14:paraId="44C7DAD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10.1 a i förordning (EU) 2019/2033.</w:t>
            </w:r>
          </w:p>
        </w:tc>
      </w:tr>
      <w:tr w:rsidR="00DA369E" w:rsidRPr="00601AE3" w14:paraId="1EFEAE42" w14:textId="77777777">
        <w:tc>
          <w:tcPr>
            <w:tcW w:w="1129" w:type="dxa"/>
          </w:tcPr>
          <w:p w14:paraId="37A2A5D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5C13CF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Totala kvalificerade innehav i andra företag än enheter i den finansiella sektorn som överstiger 60 % av deras kapitalbas</w:t>
            </w:r>
          </w:p>
          <w:p w14:paraId="114BAB7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Artikel 10.1 b i </w:t>
            </w:r>
            <w:r w:rsidRPr="00601AE3">
              <w:rPr>
                <w:rFonts w:ascii="Times New Roman" w:hAnsi="Times New Roman"/>
              </w:rPr>
              <w:t>förordning (EU) 2019/2033.</w:t>
            </w:r>
          </w:p>
        </w:tc>
      </w:tr>
      <w:tr w:rsidR="00DA369E" w:rsidRPr="00601AE3" w14:paraId="7E87E96D" w14:textId="77777777">
        <w:tc>
          <w:tcPr>
            <w:tcW w:w="1129" w:type="dxa"/>
          </w:tcPr>
          <w:p w14:paraId="2B6FD74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0285</w:t>
            </w:r>
          </w:p>
        </w:tc>
        <w:tc>
          <w:tcPr>
            <w:tcW w:w="7620" w:type="dxa"/>
            <w:tcBorders>
              <w:top w:val="nil"/>
              <w:left w:val="single" w:sz="4" w:space="0" w:color="auto"/>
              <w:bottom w:val="single" w:sz="4" w:space="0" w:color="auto"/>
              <w:right w:val="single" w:sz="4" w:space="0" w:color="auto"/>
            </w:tcBorders>
            <w:shd w:val="clear" w:color="auto" w:fill="auto"/>
            <w:vAlign w:val="bottom"/>
          </w:tcPr>
          <w:p w14:paraId="7CA23BD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Övriga avdrag</w:t>
            </w:r>
          </w:p>
          <w:p w14:paraId="76DFB0A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Summan av alla övriga avdrag i enlighet med artikel 36.1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som inte ingår i någon av raderna 0160–0240 ovan.</w:t>
            </w:r>
          </w:p>
        </w:tc>
      </w:tr>
      <w:tr w:rsidR="00DA369E" w:rsidRPr="00601AE3" w14:paraId="63589CB5" w14:textId="77777777">
        <w:tc>
          <w:tcPr>
            <w:tcW w:w="1129" w:type="dxa"/>
          </w:tcPr>
          <w:p w14:paraId="3F12EBD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0290</w:t>
            </w:r>
          </w:p>
        </w:tc>
        <w:tc>
          <w:tcPr>
            <w:tcW w:w="7620" w:type="dxa"/>
            <w:tcBorders>
              <w:top w:val="nil"/>
              <w:left w:val="single" w:sz="4" w:space="0" w:color="auto"/>
              <w:bottom w:val="single" w:sz="4" w:space="0" w:color="auto"/>
              <w:right w:val="single" w:sz="4" w:space="0" w:color="auto"/>
            </w:tcBorders>
            <w:shd w:val="clear" w:color="auto" w:fill="auto"/>
            <w:vAlign w:val="bottom"/>
          </w:tcPr>
          <w:p w14:paraId="53ED761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Kärnprimärkapital: Andra kapitalposter, avdrag och </w:t>
            </w:r>
            <w:r w:rsidRPr="00601AE3">
              <w:rPr>
                <w:rFonts w:ascii="Times New Roman" w:hAnsi="Times New Roman"/>
                <w:b/>
                <w:u w:val="single"/>
              </w:rPr>
              <w:t>justeringar</w:t>
            </w:r>
          </w:p>
          <w:p w14:paraId="57D7F69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Denna rad ska i tillämpliga fall omfatta summan av följande poster:</w:t>
            </w:r>
          </w:p>
          <w:p w14:paraId="131B0AF2"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Övergångsjusteringar på grund av kärnprimärkapitalinstrument för vilka äldre regler får fortsätta att tillämpas (artikel 483.1, 483.2 och 483.3 samt artiklarna 484–487 </w:t>
            </w:r>
            <w:r w:rsidRPr="00601AE3">
              <w:rPr>
                <w:rStyle w:val="FormatvorlageInstructionsTabelleText"/>
                <w:rFonts w:ascii="Times New Roman" w:hAnsi="Times New Roman"/>
                <w:sz w:val="22"/>
              </w:rPr>
              <w:t>i</w:t>
            </w:r>
            <w:r w:rsidRPr="00601AE3">
              <w:rPr>
                <w:rFonts w:ascii="Times New Roman" w:hAnsi="Times New Roman"/>
              </w:rPr>
              <w:t xml:space="preserve"> föro</w:t>
            </w:r>
            <w:r w:rsidRPr="00601AE3">
              <w:rPr>
                <w:rFonts w:ascii="Times New Roman" w:hAnsi="Times New Roman"/>
              </w:rPr>
              <w:t>rdning (EU) nr 575/2013).</w:t>
            </w:r>
          </w:p>
          <w:p w14:paraId="0F7F9978"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Övergångsjusteringar på grund av ytterligare minoritetsinnehav (artiklarna 479 och 480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p>
          <w:p w14:paraId="2D2F42DF"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Andra övergångsjusteringar av kärnprimärkapital (artiklarna 469–478 och 481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r w:rsidRPr="00601AE3">
              <w:rPr>
                <w:rFonts w:ascii="Times New Roman" w:hAnsi="Times New Roman"/>
              </w:rPr>
              <w:t xml:space="preserve"> Justeringar av avdragen från kärnprimärkapital på grund av övergångsbestämmelser.</w:t>
            </w:r>
          </w:p>
          <w:p w14:paraId="09253A49" w14:textId="77777777" w:rsidR="00DA369E" w:rsidRPr="00601AE3" w:rsidRDefault="00601AE3">
            <w:pPr>
              <w:spacing w:after="120" w:line="240" w:lineRule="auto"/>
              <w:ind w:left="360" w:hanging="360"/>
              <w:jc w:val="both"/>
              <w:rPr>
                <w:rFonts w:ascii="Times New Roman" w:eastAsia="Times New Roman" w:hAnsi="Times New Roman" w:cs="Times New Roman"/>
                <w:b/>
                <w:bCs/>
                <w:u w:val="single"/>
              </w:rPr>
            </w:pPr>
            <w:r w:rsidRPr="00601AE3">
              <w:rPr>
                <w:rFonts w:ascii="Times New Roman" w:eastAsia="Times New Roman" w:hAnsi="Times New Roman" w:cs="Times New Roman"/>
                <w:bCs/>
              </w:rPr>
              <w:lastRenderedPageBreak/>
              <w:t>—</w:t>
            </w:r>
            <w:r w:rsidRPr="00601AE3">
              <w:rPr>
                <w:rFonts w:ascii="Times New Roman" w:eastAsia="Times New Roman" w:hAnsi="Times New Roman" w:cs="Times New Roman"/>
                <w:bCs/>
              </w:rPr>
              <w:tab/>
            </w:r>
            <w:r w:rsidRPr="00601AE3">
              <w:rPr>
                <w:rFonts w:ascii="Times New Roman" w:hAnsi="Times New Roman"/>
              </w:rPr>
              <w:t>Andra delar i eller avdrag från en kärnprimärkapitalpost som inte kan hänföras till någon av raderna 0040–0285.</w:t>
            </w:r>
          </w:p>
          <w:p w14:paraId="7439AAC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Denna rad ska inte användas för att ta med kapitalposter el</w:t>
            </w:r>
            <w:r w:rsidRPr="00601AE3">
              <w:rPr>
                <w:rFonts w:ascii="Times New Roman" w:hAnsi="Times New Roman"/>
              </w:rPr>
              <w:t>ler avdrag som inte omfattas av förordning (EU) 2019/2033 eller förordning (EU) nr 575/2013 vid beräkningen av kapitaltäckningsgraden.</w:t>
            </w:r>
          </w:p>
        </w:tc>
      </w:tr>
      <w:tr w:rsidR="00DA369E" w:rsidRPr="00601AE3" w14:paraId="0D268553" w14:textId="77777777">
        <w:tc>
          <w:tcPr>
            <w:tcW w:w="1129" w:type="dxa"/>
          </w:tcPr>
          <w:p w14:paraId="5980A97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0300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37F3032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ÖVRIGT PRIMÄRKAPITAL FÖR KAPITALTÄCKNINGSÄNDAMÅL</w:t>
            </w:r>
          </w:p>
          <w:p w14:paraId="00CD4B8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förordning (EU) 2019/2033.</w:t>
            </w:r>
          </w:p>
          <w:p w14:paraId="5ED7821C"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 xml:space="preserve">Artikel 61 i </w:t>
            </w:r>
            <w:r w:rsidRPr="00601AE3">
              <w:rPr>
                <w:rFonts w:ascii="Times New Roman" w:hAnsi="Times New Roman"/>
              </w:rPr>
              <w:t>förordning (EU) nr 575/2013.</w:t>
            </w:r>
          </w:p>
          <w:p w14:paraId="0CA766F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Totalsumman av raderna 0310–0410 ska anges.</w:t>
            </w:r>
          </w:p>
        </w:tc>
      </w:tr>
      <w:tr w:rsidR="00DA369E" w:rsidRPr="00601AE3" w14:paraId="111BE674" w14:textId="77777777">
        <w:tc>
          <w:tcPr>
            <w:tcW w:w="1129" w:type="dxa"/>
          </w:tcPr>
          <w:p w14:paraId="19D5885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0310</w:t>
            </w:r>
          </w:p>
        </w:tc>
        <w:tc>
          <w:tcPr>
            <w:tcW w:w="7620" w:type="dxa"/>
            <w:tcBorders>
              <w:top w:val="nil"/>
              <w:left w:val="single" w:sz="4" w:space="0" w:color="auto"/>
              <w:bottom w:val="single" w:sz="4" w:space="0" w:color="auto"/>
              <w:right w:val="single" w:sz="4" w:space="0" w:color="auto"/>
            </w:tcBorders>
            <w:shd w:val="clear" w:color="auto" w:fill="auto"/>
            <w:vAlign w:val="bottom"/>
          </w:tcPr>
          <w:p w14:paraId="2FDC142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Fullt betalda direkt emitterade kapitalinstrument</w:t>
            </w:r>
          </w:p>
          <w:p w14:paraId="28FDC588"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2A8FB013"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Artikel 51 a och artiklarna 52, 53 och 54 i förordning (EU) nr 575/2013.</w:t>
            </w:r>
          </w:p>
          <w:p w14:paraId="65628F2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 xml:space="preserve">Den </w:t>
            </w:r>
            <w:r w:rsidRPr="00601AE3">
              <w:rPr>
                <w:rStyle w:val="FormatvorlageInstructionsTabelleText"/>
                <w:rFonts w:ascii="Times New Roman" w:hAnsi="Times New Roman"/>
                <w:sz w:val="22"/>
              </w:rPr>
              <w:t>överkursfond som är relaterad till instrumentet ska inte ingå i det belopp som anges.</w:t>
            </w:r>
          </w:p>
        </w:tc>
      </w:tr>
      <w:tr w:rsidR="00DA369E" w:rsidRPr="00601AE3" w14:paraId="305BFC0E" w14:textId="77777777">
        <w:tc>
          <w:tcPr>
            <w:tcW w:w="1129" w:type="dxa"/>
          </w:tcPr>
          <w:p w14:paraId="7664A49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0320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E0B146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Överkursfond</w:t>
            </w:r>
          </w:p>
          <w:p w14:paraId="5A1A0A9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i i förordning (EU) 2019/2033.</w:t>
            </w:r>
          </w:p>
          <w:p w14:paraId="3414D032"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Artikel 51 b i förordning (EU) nr 575/2013.</w:t>
            </w:r>
          </w:p>
          <w:p w14:paraId="1D83CE61"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 xml:space="preserve">Överkursfond har den innebörd som anges i tillämplig </w:t>
            </w:r>
            <w:r w:rsidRPr="00601AE3">
              <w:rPr>
                <w:rStyle w:val="FormatvorlageInstructionsTabelleText"/>
                <w:rFonts w:ascii="Times New Roman" w:hAnsi="Times New Roman"/>
                <w:sz w:val="22"/>
              </w:rPr>
              <w:t>redovisningsstandard.</w:t>
            </w:r>
          </w:p>
          <w:p w14:paraId="64912C4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 xml:space="preserve">I denna post ska den del av beloppet rapporteras som rör </w:t>
            </w:r>
            <w:r w:rsidRPr="00601AE3">
              <w:rPr>
                <w:rStyle w:val="FormatvorlageInstructionsTabelleText"/>
                <w:rFonts w:ascii="Times New Roman" w:hAnsi="Times New Roman"/>
                <w:sz w:val="22"/>
              </w:rPr>
              <w:t>”</w:t>
            </w:r>
            <w:r w:rsidRPr="00601AE3">
              <w:rPr>
                <w:rStyle w:val="FormatvorlageInstructionsTabelleText"/>
                <w:rFonts w:ascii="Times New Roman" w:hAnsi="Times New Roman"/>
                <w:sz w:val="22"/>
              </w:rPr>
              <w:t>fullt betalda direkt emitterade kapitalinstrumen</w:t>
            </w:r>
            <w:r w:rsidRPr="00601AE3">
              <w:rPr>
                <w:rStyle w:val="FormatvorlageInstructionsTabelleText"/>
                <w:rFonts w:ascii="Times New Roman" w:hAnsi="Times New Roman"/>
                <w:sz w:val="22"/>
              </w:rPr>
              <w:t>t”</w:t>
            </w:r>
            <w:r w:rsidRPr="00601AE3">
              <w:rPr>
                <w:rStyle w:val="FormatvorlageInstructionsTabelleText"/>
                <w:rFonts w:ascii="Times New Roman" w:hAnsi="Times New Roman"/>
                <w:sz w:val="22"/>
              </w:rPr>
              <w:t>.</w:t>
            </w:r>
          </w:p>
        </w:tc>
      </w:tr>
      <w:tr w:rsidR="00DA369E" w:rsidRPr="00601AE3" w14:paraId="2101CB85" w14:textId="77777777">
        <w:tc>
          <w:tcPr>
            <w:tcW w:w="1129" w:type="dxa"/>
          </w:tcPr>
          <w:p w14:paraId="53E1664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0330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91D665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TOTALA AVDRAG FRÅN ÖVRIGT PRIMÄRKAPITAL FÖR KAPITALTÄCKNINGSÄNDAMÅL</w:t>
            </w:r>
          </w:p>
          <w:p w14:paraId="47EB17ED" w14:textId="77777777" w:rsidR="00DA369E" w:rsidRPr="00601AE3" w:rsidRDefault="00601AE3">
            <w:pPr>
              <w:spacing w:before="60" w:after="60"/>
              <w:rPr>
                <w:rFonts w:ascii="Times New Roman" w:hAnsi="Times New Roman" w:cs="Times New Roman"/>
              </w:rPr>
            </w:pPr>
            <w:r w:rsidRPr="00601AE3">
              <w:rPr>
                <w:rFonts w:ascii="Times New Roman" w:hAnsi="Times New Roman"/>
              </w:rPr>
              <w:t xml:space="preserve">Artikel 56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p>
        </w:tc>
      </w:tr>
      <w:tr w:rsidR="00DA369E" w:rsidRPr="00601AE3" w14:paraId="7E0AFC16" w14:textId="77777777">
        <w:tc>
          <w:tcPr>
            <w:tcW w:w="1129" w:type="dxa"/>
          </w:tcPr>
          <w:p w14:paraId="5CE980C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041</w:t>
            </w:r>
            <w:r w:rsidRPr="00601AE3">
              <w:rPr>
                <w:rFonts w:ascii="Times New Roman" w:hAnsi="Times New Roman"/>
              </w:rPr>
              <w:t>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4FE863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Övrigt primärkapital för kapitaltäckningsändamål (primärkapitaltillskott): Andra kapitalposter, avdrag och justeringar</w:t>
            </w:r>
          </w:p>
          <w:p w14:paraId="336F0A9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Denna rad ska i tillämpliga fall omfatta summan av följande poster:</w:t>
            </w:r>
          </w:p>
          <w:p w14:paraId="45F57E25"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Övergångsjusteringar på grund av primärkapitaltillskottinstrument för vilka äldre regler får fortsätta att tillämpas (artikel 483.4 och 483.5 samt artiklarna 484–487, artiklarna 489 och 491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p>
          <w:p w14:paraId="75F53BFD"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Instrument som emitterats av dot</w:t>
            </w:r>
            <w:r w:rsidRPr="00601AE3">
              <w:rPr>
                <w:rFonts w:ascii="Times New Roman" w:hAnsi="Times New Roman"/>
              </w:rPr>
              <w:t xml:space="preserve">terföretag som anges i primärkapitaltillskott (artiklarna 83, 85 och 86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Summan av alla belopp för kvalificerande primärkapital i dotterföretag som ingår i konsoliderat primärkapitaltillskott, inklusive kapital som emitterats</w:t>
            </w:r>
            <w:r w:rsidRPr="00601AE3">
              <w:rPr>
                <w:rFonts w:ascii="Times New Roman" w:hAnsi="Times New Roman"/>
              </w:rPr>
              <w:t xml:space="preserve"> av ett specialföretag (artikel 83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p>
          <w:p w14:paraId="5C0B3DFD"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Övergångsjusteringar på grund av att primärkapitaltillskott tas upp i instrument som utgivits av dotterföretag (artikel 480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justeringar av kvalificerande pr</w:t>
            </w:r>
            <w:r w:rsidRPr="00601AE3">
              <w:rPr>
                <w:rFonts w:ascii="Times New Roman" w:hAnsi="Times New Roman"/>
              </w:rPr>
              <w:t>imärkapital som, på grund av övergångsbestämmelser, ingår i det konsoliderade primärkapitaltillskottet.</w:t>
            </w:r>
          </w:p>
          <w:p w14:paraId="3655EE19"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Andra övergångsjusteringar av primärkapitaltillskott (artiklarna 472, 473a, 474, 475, 478 och 481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Justeringar av avdra</w:t>
            </w:r>
            <w:r w:rsidRPr="00601AE3">
              <w:rPr>
                <w:rFonts w:ascii="Times New Roman" w:hAnsi="Times New Roman"/>
              </w:rPr>
              <w:t>g på grund av övergångsbestämmelser.</w:t>
            </w:r>
          </w:p>
          <w:p w14:paraId="199C1119"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Avdrag från primärkapitaltillskottposter som överstiger primärkapitaltillskott, som dras av från kärnprimärkapitalet i enlighet med artikel 36.1 j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 Primärkapitaltillskott får inte vara ne</w:t>
            </w:r>
            <w:r w:rsidRPr="00601AE3">
              <w:rPr>
                <w:rFonts w:ascii="Times New Roman" w:hAnsi="Times New Roman"/>
              </w:rPr>
              <w:t xml:space="preserve">gativt, men det är möjligt att avdragen från primärkapitaltillskottsposter överstiger beloppet för </w:t>
            </w:r>
            <w:r w:rsidRPr="00601AE3">
              <w:rPr>
                <w:rFonts w:ascii="Times New Roman" w:hAnsi="Times New Roman"/>
              </w:rPr>
              <w:lastRenderedPageBreak/>
              <w:t>tillgängliga primärkapitaltillskottsposter. Om så sker representerar denna post det belopp som behövs för att det belopp som anges på rad 0300 ska bli noll o</w:t>
            </w:r>
            <w:r w:rsidRPr="00601AE3">
              <w:rPr>
                <w:rFonts w:ascii="Times New Roman" w:hAnsi="Times New Roman"/>
              </w:rPr>
              <w:t>ch motsvara det inverterade belopp som dragits av från primärkapitaltillskottsposter som överstiger det egna primärkapitaltillskottet, som anges bland övriga avdrag i rad 0285.</w:t>
            </w:r>
          </w:p>
          <w:p w14:paraId="1348A1A9"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Andra delar i eller avdrag från en post i </w:t>
            </w:r>
            <w:r w:rsidRPr="00601AE3">
              <w:rPr>
                <w:rFonts w:ascii="Times New Roman" w:hAnsi="Times New Roman"/>
              </w:rPr>
              <w:t>primärkapitaltillskottet som inte kan hänföras till någon av raderna 0310–0330.</w:t>
            </w:r>
          </w:p>
          <w:p w14:paraId="646E7EF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Denna rad ska inte användas för att ta med kapitalposter eller avdrag som inte omfattas av förordning (EU) 2019/2033 eller förordning (EU) nr 575/2013 vid beräkningen av kapita</w:t>
            </w:r>
            <w:r w:rsidRPr="00601AE3">
              <w:rPr>
                <w:rFonts w:ascii="Times New Roman" w:hAnsi="Times New Roman"/>
              </w:rPr>
              <w:t>ltäckningsgraden.</w:t>
            </w:r>
          </w:p>
        </w:tc>
      </w:tr>
      <w:tr w:rsidR="00DA369E" w:rsidRPr="00601AE3" w14:paraId="25C4BB7B" w14:textId="77777777">
        <w:tc>
          <w:tcPr>
            <w:tcW w:w="1129" w:type="dxa"/>
          </w:tcPr>
          <w:p w14:paraId="0675D71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0420</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1C8A9C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SUPPLEMENTÄRKAPITAL</w:t>
            </w:r>
          </w:p>
          <w:p w14:paraId="3A2601C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9.1 </w:t>
            </w:r>
            <w:r w:rsidRPr="00601AE3">
              <w:rPr>
                <w:rStyle w:val="FormatvorlageInstructionsTabelleText"/>
                <w:rFonts w:ascii="Times New Roman" w:hAnsi="Times New Roman"/>
                <w:sz w:val="22"/>
              </w:rPr>
              <w:t>i</w:t>
            </w:r>
            <w:r w:rsidRPr="00601AE3">
              <w:rPr>
                <w:rFonts w:ascii="Times New Roman" w:hAnsi="Times New Roman"/>
              </w:rPr>
              <w:t xml:space="preserve"> förordning (EU) 2019/2033.</w:t>
            </w:r>
          </w:p>
          <w:p w14:paraId="5F1ED1AF" w14:textId="77777777" w:rsidR="00DA369E" w:rsidRPr="00601AE3" w:rsidRDefault="00601AE3">
            <w:pPr>
              <w:spacing w:after="120" w:line="240" w:lineRule="auto"/>
              <w:jc w:val="both"/>
              <w:rPr>
                <w:rStyle w:val="FormatvorlageInstructionsTabelleText"/>
                <w:rFonts w:ascii="Times New Roman" w:hAnsi="Times New Roman"/>
                <w:sz w:val="22"/>
              </w:rPr>
            </w:pPr>
            <w:r w:rsidRPr="00601AE3">
              <w:rPr>
                <w:rStyle w:val="FormatvorlageInstructionsTabelleText"/>
                <w:rFonts w:ascii="Times New Roman" w:hAnsi="Times New Roman"/>
                <w:sz w:val="22"/>
              </w:rPr>
              <w:t>Artikel 71 i förordning (EU) nr 575/2013</w:t>
            </w:r>
          </w:p>
          <w:p w14:paraId="3C5F0EBA" w14:textId="77777777" w:rsidR="00DA369E" w:rsidRPr="00601AE3" w:rsidRDefault="00601AE3">
            <w:pPr>
              <w:pStyle w:val="CommentText"/>
              <w:rPr>
                <w:sz w:val="22"/>
                <w:szCs w:val="22"/>
              </w:rPr>
            </w:pPr>
            <w:r w:rsidRPr="00601AE3">
              <w:rPr>
                <w:rFonts w:ascii="Times New Roman" w:hAnsi="Times New Roman"/>
                <w:sz w:val="22"/>
              </w:rPr>
              <w:t>Totalsumman av raderna 0430–0520 ska anges.</w:t>
            </w:r>
          </w:p>
        </w:tc>
      </w:tr>
      <w:tr w:rsidR="00DA369E" w:rsidRPr="00601AE3" w14:paraId="5045BCA0" w14:textId="77777777">
        <w:tc>
          <w:tcPr>
            <w:tcW w:w="1129" w:type="dxa"/>
          </w:tcPr>
          <w:p w14:paraId="0759233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0430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01A8E46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Fullt betalda direkt emitterade kapitalinstrument</w:t>
            </w:r>
          </w:p>
          <w:p w14:paraId="474EFAB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9.1 i i </w:t>
            </w:r>
            <w:r w:rsidRPr="00601AE3">
              <w:rPr>
                <w:rFonts w:ascii="Times New Roman" w:hAnsi="Times New Roman"/>
              </w:rPr>
              <w:t>förordning (EU) 2019/2033.</w:t>
            </w:r>
          </w:p>
          <w:p w14:paraId="3BF51A45" w14:textId="77777777" w:rsidR="00DA369E" w:rsidRPr="00601AE3" w:rsidRDefault="00601AE3">
            <w:pPr>
              <w:pStyle w:val="InstructionsText"/>
              <w:rPr>
                <w:rStyle w:val="FormatvorlageInstructionsTabelleText"/>
                <w:rFonts w:ascii="Times New Roman" w:eastAsiaTheme="minorHAnsi" w:hAnsi="Times New Roman"/>
                <w:bCs/>
                <w:sz w:val="22"/>
                <w:szCs w:val="22"/>
              </w:rPr>
            </w:pPr>
            <w:r w:rsidRPr="00601AE3">
              <w:rPr>
                <w:rStyle w:val="FormatvorlageInstructionsTabelleText"/>
                <w:rFonts w:ascii="Times New Roman" w:hAnsi="Times New Roman"/>
                <w:sz w:val="22"/>
              </w:rPr>
              <w:t>Artikel 62 a och artiklarna 63 och 65 i förordning (EU) nr 575/2013.</w:t>
            </w:r>
          </w:p>
          <w:p w14:paraId="44FD9B9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Style w:val="FormatvorlageInstructionsTabelleText"/>
                <w:rFonts w:ascii="Times New Roman" w:hAnsi="Times New Roman"/>
                <w:sz w:val="22"/>
              </w:rPr>
              <w:t>Den överkursfond som är relaterad till instrumentet ska inte ingå i det belopp som anges.</w:t>
            </w:r>
          </w:p>
        </w:tc>
      </w:tr>
      <w:tr w:rsidR="00DA369E" w:rsidRPr="00601AE3" w14:paraId="3A1A0025" w14:textId="77777777">
        <w:tc>
          <w:tcPr>
            <w:tcW w:w="1129" w:type="dxa"/>
          </w:tcPr>
          <w:p w14:paraId="1E6233B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0440</w:t>
            </w:r>
          </w:p>
        </w:tc>
        <w:tc>
          <w:tcPr>
            <w:tcW w:w="7620" w:type="dxa"/>
            <w:tcBorders>
              <w:top w:val="nil"/>
              <w:left w:val="single" w:sz="4" w:space="0" w:color="auto"/>
              <w:bottom w:val="single" w:sz="4" w:space="0" w:color="auto"/>
              <w:right w:val="single" w:sz="4" w:space="0" w:color="auto"/>
            </w:tcBorders>
            <w:shd w:val="clear" w:color="auto" w:fill="auto"/>
            <w:vAlign w:val="bottom"/>
          </w:tcPr>
          <w:p w14:paraId="3867F64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Överkursfond</w:t>
            </w:r>
          </w:p>
          <w:p w14:paraId="075F33F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9.1 i i förordning (EU) </w:t>
            </w:r>
            <w:r w:rsidRPr="00601AE3">
              <w:rPr>
                <w:rFonts w:ascii="Times New Roman" w:hAnsi="Times New Roman"/>
              </w:rPr>
              <w:t>2019/2033.</w:t>
            </w:r>
          </w:p>
          <w:p w14:paraId="6A5888F4"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Artikel 62 b och artikel 65 i förordning (EU) nr 575/2013.</w:t>
            </w:r>
          </w:p>
          <w:p w14:paraId="618AE1C3" w14:textId="77777777" w:rsidR="00DA369E" w:rsidRPr="00601AE3" w:rsidRDefault="00601AE3">
            <w:pPr>
              <w:pStyle w:val="InstructionsText"/>
              <w:rPr>
                <w:rStyle w:val="FormatvorlageInstructionsTabelleText"/>
                <w:rFonts w:ascii="Times New Roman" w:hAnsi="Times New Roman"/>
                <w:sz w:val="22"/>
                <w:szCs w:val="22"/>
              </w:rPr>
            </w:pPr>
            <w:r w:rsidRPr="00601AE3">
              <w:rPr>
                <w:rStyle w:val="FormatvorlageInstructionsTabelleText"/>
                <w:rFonts w:ascii="Times New Roman" w:hAnsi="Times New Roman"/>
                <w:sz w:val="22"/>
              </w:rPr>
              <w:t>Överkursfond har den innebörd som anges i tillämplig redovisningsstandard.</w:t>
            </w:r>
          </w:p>
          <w:p w14:paraId="2803EFFA" w14:textId="77777777" w:rsidR="00DA369E" w:rsidRPr="00601AE3" w:rsidRDefault="00601AE3">
            <w:pPr>
              <w:pStyle w:val="InstructionsText"/>
              <w:rPr>
                <w:sz w:val="22"/>
                <w:szCs w:val="22"/>
              </w:rPr>
            </w:pPr>
            <w:r w:rsidRPr="00601AE3">
              <w:rPr>
                <w:rStyle w:val="FormatvorlageInstructionsTabelleText"/>
                <w:rFonts w:ascii="Times New Roman" w:hAnsi="Times New Roman"/>
                <w:sz w:val="22"/>
              </w:rPr>
              <w:t xml:space="preserve">I denna post ska den del av beloppet rapporteras som rör </w:t>
            </w:r>
            <w:r w:rsidRPr="00601AE3">
              <w:rPr>
                <w:rStyle w:val="FormatvorlageInstructionsTabelleText"/>
                <w:rFonts w:ascii="Times New Roman" w:hAnsi="Times New Roman"/>
                <w:sz w:val="22"/>
              </w:rPr>
              <w:t>”</w:t>
            </w:r>
            <w:r w:rsidRPr="00601AE3">
              <w:rPr>
                <w:rStyle w:val="FormatvorlageInstructionsTabelleText"/>
                <w:rFonts w:ascii="Times New Roman" w:hAnsi="Times New Roman"/>
                <w:sz w:val="22"/>
              </w:rPr>
              <w:t>fullt betalda direkt emitterade kapitalinstrumen</w:t>
            </w:r>
            <w:r w:rsidRPr="00601AE3">
              <w:rPr>
                <w:rStyle w:val="FormatvorlageInstructionsTabelleText"/>
                <w:rFonts w:ascii="Times New Roman" w:hAnsi="Times New Roman"/>
                <w:sz w:val="22"/>
              </w:rPr>
              <w:t>t”</w:t>
            </w:r>
            <w:r w:rsidRPr="00601AE3">
              <w:rPr>
                <w:rStyle w:val="FormatvorlageInstructionsTabelleText"/>
                <w:rFonts w:ascii="Times New Roman" w:hAnsi="Times New Roman"/>
                <w:sz w:val="22"/>
              </w:rPr>
              <w:t>.</w:t>
            </w:r>
          </w:p>
        </w:tc>
      </w:tr>
      <w:tr w:rsidR="00DA369E" w:rsidRPr="00601AE3" w14:paraId="6FD5A5EA" w14:textId="77777777">
        <w:tc>
          <w:tcPr>
            <w:tcW w:w="1129" w:type="dxa"/>
            <w:tcBorders>
              <w:top w:val="single" w:sz="4" w:space="0" w:color="auto"/>
              <w:bottom w:val="single" w:sz="4" w:space="0" w:color="auto"/>
            </w:tcBorders>
          </w:tcPr>
          <w:p w14:paraId="1284595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0450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7A65416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TOTALA AVDRAG FRÅN SUPPLEMENTÄRKAPITAL</w:t>
            </w:r>
          </w:p>
          <w:p w14:paraId="198A75CB"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 xml:space="preserve">Artikel 66 </w:t>
            </w:r>
            <w:r w:rsidRPr="00601AE3">
              <w:rPr>
                <w:rStyle w:val="FormatvorlageInstructionsTabelleText"/>
                <w:rFonts w:ascii="Times New Roman" w:hAnsi="Times New Roman"/>
                <w:sz w:val="22"/>
              </w:rPr>
              <w:t>i</w:t>
            </w:r>
            <w:r w:rsidRPr="00601AE3">
              <w:rPr>
                <w:rFonts w:ascii="Times New Roman" w:hAnsi="Times New Roman"/>
              </w:rPr>
              <w:t xml:space="preserve"> förordning (EU) nr 575/2013.</w:t>
            </w:r>
          </w:p>
        </w:tc>
      </w:tr>
      <w:tr w:rsidR="00DA369E" w:rsidRPr="00601AE3" w14:paraId="3D0599A7" w14:textId="77777777">
        <w:tc>
          <w:tcPr>
            <w:tcW w:w="1129" w:type="dxa"/>
            <w:tcBorders>
              <w:top w:val="single" w:sz="4" w:space="0" w:color="auto"/>
            </w:tcBorders>
          </w:tcPr>
          <w:p w14:paraId="724AF28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0520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4047DE7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Supplementärkapital: Andra kapitalposter, avdrag och justeringar</w:t>
            </w:r>
          </w:p>
          <w:p w14:paraId="202E73F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Denna rad ska i tillämpliga fall omfatta summan av följande poster:</w:t>
            </w:r>
          </w:p>
          <w:p w14:paraId="3122AFEE"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Övergångsjusteringar på grund av supplementärkapitalinstrument för vilka äldre regler får fortsätta att tillämpas (artikel 483.6 och 483.7, artiklarna 484, 486, 488, 490 och 491 i förordning (EU) nr 575/2013).</w:t>
            </w:r>
          </w:p>
          <w:p w14:paraId="1AC40CF6"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Instrument som emitterats av dotterföretag s</w:t>
            </w:r>
            <w:r w:rsidRPr="00601AE3">
              <w:rPr>
                <w:rFonts w:ascii="Times New Roman" w:hAnsi="Times New Roman"/>
              </w:rPr>
              <w:t>om tas upp i supplementärkapital (artiklarna 83, 87 och 88 i förordning (EU) nr 575/2013): Summan av alla belopp för kvalificerande kapitalbas i dotterföretag som ingår i det konsoliderade supplementärkapitalet, inklusive kvalificerande supplementärkapital</w:t>
            </w:r>
            <w:r w:rsidRPr="00601AE3">
              <w:rPr>
                <w:rFonts w:ascii="Times New Roman" w:hAnsi="Times New Roman"/>
              </w:rPr>
              <w:t xml:space="preserve"> som utgivits av ett specialföretag (artikel 83 i förordning (EU) nr 575/2013).</w:t>
            </w:r>
          </w:p>
          <w:p w14:paraId="6E32087D"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 xml:space="preserve">Övergångsjusteringar på grund av att kapitalinstrument som emitterats av dotterföretag tas upp i supplementärkapital (artikel 480 i förordning (EU) nr 575/2013): Justeringar </w:t>
            </w:r>
            <w:r w:rsidRPr="00601AE3">
              <w:rPr>
                <w:rFonts w:ascii="Times New Roman" w:hAnsi="Times New Roman"/>
              </w:rPr>
              <w:t>av den kvalificerande kapitalbas som ingår i konsoliderat supplementärkapital på grund av övergångsbestämmelser.</w:t>
            </w:r>
          </w:p>
          <w:p w14:paraId="107C9C6C"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Andra övergångsjusteringar av supplementärkapital (artiklarna 472, 473a, 476, 477, 478 och 481 i förordning (EU) nr 575/2013): Justeringar av</w:t>
            </w:r>
            <w:r w:rsidRPr="00601AE3">
              <w:rPr>
                <w:rFonts w:ascii="Times New Roman" w:hAnsi="Times New Roman"/>
              </w:rPr>
              <w:t xml:space="preserve"> avdragen från supplementärkapital på grund av övergångsbestämmelser.</w:t>
            </w:r>
          </w:p>
          <w:p w14:paraId="17899C33"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lastRenderedPageBreak/>
              <w:t>—</w:t>
            </w:r>
            <w:r w:rsidRPr="00601AE3">
              <w:rPr>
                <w:rFonts w:ascii="Times New Roman" w:eastAsia="Times New Roman" w:hAnsi="Times New Roman" w:cs="Times New Roman"/>
                <w:bCs/>
              </w:rPr>
              <w:tab/>
            </w:r>
            <w:r w:rsidRPr="00601AE3">
              <w:rPr>
                <w:rFonts w:ascii="Times New Roman" w:hAnsi="Times New Roman"/>
              </w:rPr>
              <w:t>Avdrag från supplementärkapitalposter som överstiger supplementärkapital, som dras av från primärkapitaltillskott i enlighet med artikel 56 e i förordning (EU) nr 575/2013: Supplementä</w:t>
            </w:r>
            <w:r w:rsidRPr="00601AE3">
              <w:rPr>
                <w:rFonts w:ascii="Times New Roman" w:hAnsi="Times New Roman"/>
              </w:rPr>
              <w:t>rkapital får inte vara negativt, men det är möjligt att avdragen från supplementärkapitalposter överstiger beloppet för tillgängliga supplementärkapitalposter. Om så sker representerar denna post det belopp som behövs för att det belopp som anges på rad 04</w:t>
            </w:r>
            <w:r w:rsidRPr="00601AE3">
              <w:rPr>
                <w:rFonts w:ascii="Times New Roman" w:hAnsi="Times New Roman"/>
              </w:rPr>
              <w:t>20 ska bli noll.</w:t>
            </w:r>
          </w:p>
          <w:p w14:paraId="153A1683" w14:textId="77777777" w:rsidR="00DA369E" w:rsidRPr="00601AE3" w:rsidRDefault="00601AE3">
            <w:pPr>
              <w:spacing w:after="120" w:line="240" w:lineRule="auto"/>
              <w:ind w:left="360" w:hanging="360"/>
              <w:jc w:val="both"/>
              <w:rPr>
                <w:rFonts w:ascii="Times New Roman" w:eastAsia="Times New Roman" w:hAnsi="Times New Roman" w:cs="Times New Roman"/>
                <w:bCs/>
              </w:rPr>
            </w:pPr>
            <w:r w:rsidRPr="00601AE3">
              <w:rPr>
                <w:rFonts w:ascii="Times New Roman" w:eastAsia="Times New Roman" w:hAnsi="Times New Roman" w:cs="Times New Roman"/>
                <w:bCs/>
              </w:rPr>
              <w:t>—</w:t>
            </w:r>
            <w:r w:rsidRPr="00601AE3">
              <w:rPr>
                <w:rFonts w:ascii="Times New Roman" w:eastAsia="Times New Roman" w:hAnsi="Times New Roman" w:cs="Times New Roman"/>
                <w:bCs/>
              </w:rPr>
              <w:tab/>
            </w:r>
            <w:r w:rsidRPr="00601AE3">
              <w:rPr>
                <w:rFonts w:ascii="Times New Roman" w:hAnsi="Times New Roman"/>
              </w:rPr>
              <w:t>Andra delar i eller avdrag från en supplementärkapitalpost som inte kan hänföras till någon av raderna 0430–0450.</w:t>
            </w:r>
          </w:p>
          <w:p w14:paraId="707E6C1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Denna rad ska inte användas för att ta med kapitalposter eller avdrag som inte omfattas av förordning (EU) 2019/2033 eller </w:t>
            </w:r>
            <w:r w:rsidRPr="00601AE3">
              <w:rPr>
                <w:rFonts w:ascii="Times New Roman" w:hAnsi="Times New Roman"/>
              </w:rPr>
              <w:t>förordning (EU) nr 575/2013 vid beräkning av kapitaltäckningsgraden.</w:t>
            </w:r>
          </w:p>
        </w:tc>
      </w:tr>
    </w:tbl>
    <w:p w14:paraId="1AE479B5" w14:textId="77777777" w:rsidR="00DA369E" w:rsidRPr="00601AE3" w:rsidRDefault="00601AE3">
      <w:pPr>
        <w:pStyle w:val="Instructionsberschrift2"/>
        <w:ind w:left="357" w:hanging="357"/>
        <w:rPr>
          <w:rFonts w:ascii="Times New Roman" w:hAnsi="Times New Roman" w:cs="Times New Roman"/>
          <w:sz w:val="24"/>
          <w:u w:val="none"/>
        </w:rPr>
      </w:pPr>
      <w:bookmarkStart w:id="32" w:name="_Toc76557283"/>
      <w:bookmarkStart w:id="33" w:name="_Toc88219805"/>
      <w:r w:rsidRPr="00601AE3">
        <w:rPr>
          <w:rFonts w:ascii="Times New Roman" w:hAnsi="Times New Roman"/>
          <w:sz w:val="24"/>
          <w:u w:val="none"/>
        </w:rPr>
        <w:lastRenderedPageBreak/>
        <w:t>1.3</w:t>
      </w:r>
      <w:r w:rsidRPr="00601AE3">
        <w:rPr>
          <w:rFonts w:ascii="Times New Roman" w:hAnsi="Times New Roman"/>
          <w:sz w:val="24"/>
        </w:rPr>
        <w:t xml:space="preserve"> I 02.03 – KAPITALBASKRAV (I 2.3)</w:t>
      </w:r>
      <w:bookmarkEnd w:id="32"/>
      <w:bookmarkEnd w:id="33"/>
    </w:p>
    <w:p w14:paraId="4A1DC6A8"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u w:val="single"/>
        </w:rPr>
      </w:pPr>
      <w:bookmarkStart w:id="34" w:name="_Toc76557284"/>
      <w:bookmarkStart w:id="35" w:name="_Toc88219806"/>
      <w:r w:rsidRPr="00601AE3">
        <w:rPr>
          <w:rFonts w:ascii="Times New Roman" w:hAnsi="Times New Roman"/>
          <w:sz w:val="24"/>
        </w:rPr>
        <w:t>1.3.1</w:t>
      </w:r>
      <w:r w:rsidRPr="00601AE3">
        <w:rPr>
          <w:rFonts w:ascii="Times New Roman" w:hAnsi="Times New Roman"/>
          <w:sz w:val="24"/>
        </w:rPr>
        <w:tab/>
      </w:r>
      <w:r w:rsidRPr="00601AE3">
        <w:rPr>
          <w:rFonts w:ascii="Times New Roman" w:hAnsi="Times New Roman"/>
          <w:sz w:val="24"/>
          <w:u w:val="single"/>
        </w:rPr>
        <w:t xml:space="preserve">Instruktioner för </w:t>
      </w:r>
      <w:r w:rsidRPr="00601AE3">
        <w:rPr>
          <w:rFonts w:ascii="Times New Roman" w:hAnsi="Times New Roman"/>
          <w:u w:val="single"/>
        </w:rPr>
        <w:t>specifika positioner</w:t>
      </w:r>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148EA87F" w14:textId="77777777">
        <w:tc>
          <w:tcPr>
            <w:tcW w:w="1129" w:type="dxa"/>
            <w:shd w:val="clear" w:color="auto" w:fill="D9D9D9"/>
          </w:tcPr>
          <w:p w14:paraId="735AF3D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Rad</w:t>
            </w:r>
          </w:p>
        </w:tc>
        <w:tc>
          <w:tcPr>
            <w:tcW w:w="7620" w:type="dxa"/>
            <w:shd w:val="clear" w:color="auto" w:fill="D9D9D9"/>
          </w:tcPr>
          <w:p w14:paraId="0348A28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Rättsliga hänvisningar och instruktioner</w:t>
            </w:r>
          </w:p>
        </w:tc>
      </w:tr>
      <w:tr w:rsidR="00DA369E" w:rsidRPr="00601AE3" w14:paraId="6222ADE5" w14:textId="77777777">
        <w:tc>
          <w:tcPr>
            <w:tcW w:w="1129" w:type="dxa"/>
          </w:tcPr>
          <w:p w14:paraId="3FE2D91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0010</w:t>
            </w:r>
          </w:p>
        </w:tc>
        <w:tc>
          <w:tcPr>
            <w:tcW w:w="7620" w:type="dxa"/>
          </w:tcPr>
          <w:p w14:paraId="7CB0419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Kapitalbaskrav</w:t>
            </w:r>
          </w:p>
          <w:p w14:paraId="10D13B1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11.1 och 11.2 i </w:t>
            </w:r>
            <w:r w:rsidRPr="00601AE3">
              <w:rPr>
                <w:rFonts w:ascii="Times New Roman" w:hAnsi="Times New Roman"/>
              </w:rPr>
              <w:t>förordning (EU) 2019/2033.</w:t>
            </w:r>
          </w:p>
          <w:p w14:paraId="45D39C5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Denna post ska vara högst i raderna 0020 och 0030.</w:t>
            </w:r>
          </w:p>
        </w:tc>
      </w:tr>
      <w:tr w:rsidR="00DA369E" w:rsidRPr="00601AE3" w14:paraId="11A18471" w14:textId="77777777">
        <w:tc>
          <w:tcPr>
            <w:tcW w:w="1129" w:type="dxa"/>
          </w:tcPr>
          <w:p w14:paraId="67760BA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0020</w:t>
            </w:r>
          </w:p>
        </w:tc>
        <w:tc>
          <w:tcPr>
            <w:tcW w:w="7620" w:type="dxa"/>
          </w:tcPr>
          <w:p w14:paraId="36AAAB6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Permanent minimikapitalkrav</w:t>
            </w:r>
          </w:p>
          <w:p w14:paraId="4C7DD00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14 i förordning (EU) 2019/2033.</w:t>
            </w:r>
          </w:p>
        </w:tc>
      </w:tr>
      <w:tr w:rsidR="00DA369E" w:rsidRPr="00601AE3" w14:paraId="761BE04A" w14:textId="77777777">
        <w:tc>
          <w:tcPr>
            <w:tcW w:w="1129" w:type="dxa"/>
          </w:tcPr>
          <w:p w14:paraId="7C62A0D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0030</w:t>
            </w:r>
          </w:p>
        </w:tc>
        <w:tc>
          <w:tcPr>
            <w:tcW w:w="7620" w:type="dxa"/>
          </w:tcPr>
          <w:p w14:paraId="6EC238D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Krav baserat på fasta omkostnader</w:t>
            </w:r>
          </w:p>
          <w:p w14:paraId="2C0C7CC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13 i förordning (EU) 2019/2033.</w:t>
            </w:r>
          </w:p>
        </w:tc>
      </w:tr>
      <w:tr w:rsidR="00DA369E" w:rsidRPr="00601AE3" w14:paraId="106610B1" w14:textId="77777777">
        <w:tc>
          <w:tcPr>
            <w:tcW w:w="1129" w:type="dxa"/>
          </w:tcPr>
          <w:p w14:paraId="26787CB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0050 – 0090 </w:t>
            </w:r>
          </w:p>
        </w:tc>
        <w:tc>
          <w:tcPr>
            <w:tcW w:w="7620" w:type="dxa"/>
          </w:tcPr>
          <w:p w14:paraId="7754EF1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för kapitalbasen</w:t>
            </w:r>
          </w:p>
        </w:tc>
      </w:tr>
      <w:tr w:rsidR="00DA369E" w:rsidRPr="00601AE3" w14:paraId="5B3FFB45" w14:textId="77777777">
        <w:tc>
          <w:tcPr>
            <w:tcW w:w="1129" w:type="dxa"/>
          </w:tcPr>
          <w:p w14:paraId="369B122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0050</w:t>
            </w:r>
          </w:p>
        </w:tc>
        <w:tc>
          <w:tcPr>
            <w:tcW w:w="7620" w:type="dxa"/>
          </w:tcPr>
          <w:p w14:paraId="7614DA7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på grundval av kapitalbaskraven i förordning (EU) nr 575/2013</w:t>
            </w:r>
          </w:p>
          <w:p w14:paraId="190E78E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57.3 a i förordning (EU) 2019/2033.</w:t>
            </w:r>
          </w:p>
        </w:tc>
      </w:tr>
      <w:tr w:rsidR="00DA369E" w:rsidRPr="00601AE3" w14:paraId="4CA8E27C" w14:textId="77777777">
        <w:tc>
          <w:tcPr>
            <w:tcW w:w="1129" w:type="dxa"/>
          </w:tcPr>
          <w:p w14:paraId="4097745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0060</w:t>
            </w:r>
          </w:p>
        </w:tc>
        <w:tc>
          <w:tcPr>
            <w:tcW w:w="7620" w:type="dxa"/>
          </w:tcPr>
          <w:p w14:paraId="0D57D5A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baserat på krav på fasta omkostnader</w:t>
            </w:r>
          </w:p>
          <w:p w14:paraId="7DAC0E2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57.3 b i förordning (</w:t>
            </w:r>
            <w:r w:rsidRPr="00601AE3">
              <w:rPr>
                <w:rFonts w:ascii="Times New Roman" w:hAnsi="Times New Roman"/>
              </w:rPr>
              <w:t>EU) 2019/2033.</w:t>
            </w:r>
          </w:p>
        </w:tc>
      </w:tr>
      <w:tr w:rsidR="00DA369E" w:rsidRPr="00601AE3" w14:paraId="07F75BA7" w14:textId="77777777">
        <w:tc>
          <w:tcPr>
            <w:tcW w:w="1129" w:type="dxa"/>
          </w:tcPr>
          <w:p w14:paraId="06059EE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0070</w:t>
            </w:r>
          </w:p>
        </w:tc>
        <w:tc>
          <w:tcPr>
            <w:tcW w:w="7620" w:type="dxa"/>
          </w:tcPr>
          <w:p w14:paraId="20AE581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för värdepappersföretag som tidigare bara omfattades av ett startkapitalkrav</w:t>
            </w:r>
          </w:p>
          <w:p w14:paraId="5B7739F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57.4 a i förordning (EU) 2019/2033.</w:t>
            </w:r>
          </w:p>
        </w:tc>
      </w:tr>
      <w:tr w:rsidR="00DA369E" w:rsidRPr="00601AE3" w14:paraId="0E230C6C" w14:textId="77777777">
        <w:tc>
          <w:tcPr>
            <w:tcW w:w="1129" w:type="dxa"/>
          </w:tcPr>
          <w:p w14:paraId="3783BB8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0080</w:t>
            </w:r>
          </w:p>
        </w:tc>
        <w:tc>
          <w:tcPr>
            <w:tcW w:w="7620" w:type="dxa"/>
          </w:tcPr>
          <w:p w14:paraId="53BD39A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baserat på startkapitalkravet vid auktorisationen</w:t>
            </w:r>
          </w:p>
          <w:p w14:paraId="1D5983D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Artikel 57.4 b i </w:t>
            </w:r>
            <w:r w:rsidRPr="00601AE3">
              <w:rPr>
                <w:rFonts w:ascii="Times New Roman" w:hAnsi="Times New Roman"/>
              </w:rPr>
              <w:t>förordning (EU) 2019/2033.</w:t>
            </w:r>
          </w:p>
        </w:tc>
      </w:tr>
      <w:tr w:rsidR="00DA369E" w:rsidRPr="00601AE3" w14:paraId="352D2870" w14:textId="77777777">
        <w:tc>
          <w:tcPr>
            <w:tcW w:w="1129" w:type="dxa"/>
          </w:tcPr>
          <w:p w14:paraId="71A04BB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0090</w:t>
            </w:r>
          </w:p>
        </w:tc>
        <w:tc>
          <w:tcPr>
            <w:tcW w:w="7620" w:type="dxa"/>
          </w:tcPr>
          <w:p w14:paraId="2D86C74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Övergångskrav för värdepappersföretag som inte är auktoriserade att tillhandahålla vissa tjänster</w:t>
            </w:r>
          </w:p>
          <w:p w14:paraId="269820C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57.4 c i förordning (EU) 2019/2033.</w:t>
            </w:r>
          </w:p>
        </w:tc>
      </w:tr>
      <w:tr w:rsidR="00DA369E" w:rsidRPr="00601AE3" w14:paraId="3C15A2E5" w14:textId="77777777">
        <w:tc>
          <w:tcPr>
            <w:tcW w:w="1129" w:type="dxa"/>
          </w:tcPr>
          <w:p w14:paraId="20751D7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0110 – 0130</w:t>
            </w:r>
          </w:p>
        </w:tc>
        <w:tc>
          <w:tcPr>
            <w:tcW w:w="7620" w:type="dxa"/>
          </w:tcPr>
          <w:p w14:paraId="47F9253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Memorandumposter</w:t>
            </w:r>
          </w:p>
        </w:tc>
      </w:tr>
      <w:tr w:rsidR="00DA369E" w:rsidRPr="00601AE3" w14:paraId="0984CAF0" w14:textId="77777777">
        <w:tc>
          <w:tcPr>
            <w:tcW w:w="1129" w:type="dxa"/>
            <w:tcBorders>
              <w:top w:val="single" w:sz="4" w:space="0" w:color="auto"/>
              <w:left w:val="single" w:sz="4" w:space="0" w:color="auto"/>
              <w:bottom w:val="single" w:sz="4" w:space="0" w:color="auto"/>
              <w:right w:val="single" w:sz="4" w:space="0" w:color="auto"/>
            </w:tcBorders>
          </w:tcPr>
          <w:p w14:paraId="251704F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0110</w:t>
            </w:r>
          </w:p>
        </w:tc>
        <w:tc>
          <w:tcPr>
            <w:tcW w:w="7620" w:type="dxa"/>
            <w:tcBorders>
              <w:top w:val="single" w:sz="4" w:space="0" w:color="auto"/>
              <w:left w:val="single" w:sz="4" w:space="0" w:color="auto"/>
              <w:bottom w:val="single" w:sz="4" w:space="0" w:color="auto"/>
              <w:right w:val="single" w:sz="4" w:space="0" w:color="auto"/>
            </w:tcBorders>
          </w:tcPr>
          <w:p w14:paraId="7F25F5B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Ytterligare kapitalbaskrav</w:t>
            </w:r>
          </w:p>
          <w:p w14:paraId="6E4FFE4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40 i direk</w:t>
            </w:r>
            <w:r w:rsidRPr="00601AE3">
              <w:rPr>
                <w:rFonts w:ascii="Times New Roman" w:hAnsi="Times New Roman"/>
              </w:rPr>
              <w:t>tiv (EU) 2019/2034.</w:t>
            </w:r>
          </w:p>
          <w:p w14:paraId="0DDA448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lastRenderedPageBreak/>
              <w:t>Ytterligare kapitalbas som krävs enligt översyns- och utvärderingsprocessen.</w:t>
            </w:r>
            <w:r w:rsidRPr="00601AE3">
              <w:rPr>
                <w:rFonts w:ascii="Times New Roman" w:hAnsi="Times New Roman"/>
                <w:b/>
                <w:u w:val="single"/>
              </w:rPr>
              <w:t xml:space="preserve"> </w:t>
            </w:r>
          </w:p>
        </w:tc>
      </w:tr>
      <w:tr w:rsidR="00DA369E" w:rsidRPr="00601AE3" w14:paraId="53CFA007" w14:textId="77777777">
        <w:tc>
          <w:tcPr>
            <w:tcW w:w="1129" w:type="dxa"/>
            <w:tcBorders>
              <w:top w:val="single" w:sz="4" w:space="0" w:color="auto"/>
              <w:left w:val="single" w:sz="4" w:space="0" w:color="auto"/>
              <w:bottom w:val="single" w:sz="4" w:space="0" w:color="auto"/>
              <w:right w:val="single" w:sz="4" w:space="0" w:color="auto"/>
            </w:tcBorders>
          </w:tcPr>
          <w:p w14:paraId="466A1A6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0120</w:t>
            </w:r>
          </w:p>
        </w:tc>
        <w:tc>
          <w:tcPr>
            <w:tcW w:w="7620" w:type="dxa"/>
            <w:tcBorders>
              <w:top w:val="single" w:sz="4" w:space="0" w:color="auto"/>
              <w:left w:val="single" w:sz="4" w:space="0" w:color="auto"/>
              <w:bottom w:val="single" w:sz="4" w:space="0" w:color="auto"/>
              <w:right w:val="single" w:sz="4" w:space="0" w:color="auto"/>
            </w:tcBorders>
          </w:tcPr>
          <w:p w14:paraId="6F82AFC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Totalt kapitalbaskrav</w:t>
            </w:r>
          </w:p>
          <w:p w14:paraId="039DB259"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Ett värdepappersföretags totala kapitalbaskrav ska bestå av summan av dess tillämpliga kapitalbaskrav på </w:t>
            </w:r>
            <w:r w:rsidRPr="00601AE3">
              <w:rPr>
                <w:rFonts w:ascii="Times New Roman" w:hAnsi="Times New Roman"/>
              </w:rPr>
              <w:t>referensdatum, det ytterligare kapitalbaskrav som anges på rad 0110 och riktlinje för de ytterligare kapitalbaskrav som anges på rad 0120.</w:t>
            </w:r>
          </w:p>
        </w:tc>
      </w:tr>
    </w:tbl>
    <w:p w14:paraId="5F3B0003" w14:textId="77777777" w:rsidR="00DA369E" w:rsidRPr="00601AE3" w:rsidRDefault="00601AE3">
      <w:pPr>
        <w:pStyle w:val="Instructionsberschrift2"/>
        <w:ind w:left="357" w:hanging="357"/>
        <w:rPr>
          <w:rFonts w:ascii="Times New Roman" w:hAnsi="Times New Roman" w:cs="Times New Roman"/>
          <w:sz w:val="24"/>
        </w:rPr>
      </w:pPr>
      <w:bookmarkStart w:id="36" w:name="_Toc76557285"/>
      <w:bookmarkStart w:id="37" w:name="_Toc88219807"/>
      <w:r w:rsidRPr="00601AE3">
        <w:rPr>
          <w:rFonts w:ascii="Times New Roman" w:hAnsi="Times New Roman"/>
          <w:sz w:val="24"/>
        </w:rPr>
        <w:t>1.4. I 02.04 – KAPITALRELATIONER (I 2.4)</w:t>
      </w:r>
      <w:bookmarkEnd w:id="36"/>
      <w:bookmarkEnd w:id="37"/>
    </w:p>
    <w:p w14:paraId="757C5A43"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38" w:name="_Toc76557286"/>
      <w:bookmarkStart w:id="39" w:name="_Toc88219808"/>
      <w:r w:rsidRPr="00601AE3">
        <w:rPr>
          <w:rFonts w:ascii="Times New Roman" w:hAnsi="Times New Roman"/>
          <w:sz w:val="24"/>
        </w:rPr>
        <w:t>1.4.1</w:t>
      </w:r>
      <w:r w:rsidRPr="00601AE3">
        <w:rPr>
          <w:rFonts w:ascii="Times New Roman" w:hAnsi="Times New Roman"/>
          <w:sz w:val="24"/>
        </w:rPr>
        <w:tab/>
      </w:r>
      <w:r w:rsidRPr="00601AE3">
        <w:rPr>
          <w:rFonts w:ascii="Times New Roman" w:hAnsi="Times New Roman"/>
          <w:sz w:val="24"/>
          <w:u w:val="single"/>
        </w:rPr>
        <w:t>Instruktioner för specifika positioner</w:t>
      </w:r>
      <w:bookmarkEnd w:id="38"/>
      <w:bookmarkEnd w:id="39"/>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18EE7058" w14:textId="77777777">
        <w:tc>
          <w:tcPr>
            <w:tcW w:w="1129" w:type="dxa"/>
            <w:shd w:val="clear" w:color="auto" w:fill="D9D9D9"/>
          </w:tcPr>
          <w:p w14:paraId="3E9FC11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Rad</w:t>
            </w:r>
          </w:p>
        </w:tc>
        <w:tc>
          <w:tcPr>
            <w:tcW w:w="7620" w:type="dxa"/>
            <w:shd w:val="clear" w:color="auto" w:fill="D9D9D9"/>
          </w:tcPr>
          <w:p w14:paraId="11C04A48"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Rättsliga </w:t>
            </w:r>
            <w:r w:rsidRPr="00601AE3">
              <w:rPr>
                <w:rFonts w:ascii="Times New Roman" w:hAnsi="Times New Roman"/>
              </w:rPr>
              <w:t>hänvisningar och instruktioner</w:t>
            </w:r>
          </w:p>
        </w:tc>
      </w:tr>
      <w:tr w:rsidR="00DA369E" w:rsidRPr="00601AE3" w14:paraId="33789DFD" w14:textId="77777777">
        <w:tc>
          <w:tcPr>
            <w:tcW w:w="1129" w:type="dxa"/>
          </w:tcPr>
          <w:p w14:paraId="0E589EB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0010</w:t>
            </w:r>
          </w:p>
        </w:tc>
        <w:tc>
          <w:tcPr>
            <w:tcW w:w="7620" w:type="dxa"/>
          </w:tcPr>
          <w:p w14:paraId="78CC7AAF"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Primärkapitalkvot</w:t>
            </w:r>
          </w:p>
          <w:p w14:paraId="578B86F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a och artikel 11.1 och 11.2 i förordning (EU) 2019/2033.</w:t>
            </w:r>
          </w:p>
          <w:p w14:paraId="1EC62B5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Denna post anges som en procentandel.</w:t>
            </w:r>
          </w:p>
        </w:tc>
      </w:tr>
      <w:tr w:rsidR="00DA369E" w:rsidRPr="00601AE3" w14:paraId="122E92CF" w14:textId="77777777">
        <w:tc>
          <w:tcPr>
            <w:tcW w:w="1129" w:type="dxa"/>
          </w:tcPr>
          <w:p w14:paraId="3551CB6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0020</w:t>
            </w:r>
          </w:p>
        </w:tc>
        <w:tc>
          <w:tcPr>
            <w:tcW w:w="7620" w:type="dxa"/>
          </w:tcPr>
          <w:p w14:paraId="1DF4F5C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Överskott (+)/underskott (-) av kärnprimärkapital</w:t>
            </w:r>
          </w:p>
          <w:p w14:paraId="59849D97"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 xml:space="preserve">Denna post visar överskott eller </w:t>
            </w:r>
            <w:r w:rsidRPr="00601AE3">
              <w:rPr>
                <w:rFonts w:ascii="Times New Roman" w:hAnsi="Times New Roman"/>
              </w:rPr>
              <w:t>underskott i kärnprimärkapital i förhållande till kravet i artikel 9.1 i förordning (EU) 2019/2033.</w:t>
            </w:r>
          </w:p>
          <w:p w14:paraId="4F9E97B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Övergångsbestämmelserna i artikel 57.3 och 57.4 i förordning (EU) 2019/2033 ska inte beaktas för denna post.</w:t>
            </w:r>
          </w:p>
        </w:tc>
      </w:tr>
      <w:tr w:rsidR="00DA369E" w:rsidRPr="00601AE3" w14:paraId="5F6CEDDE" w14:textId="77777777">
        <w:tc>
          <w:tcPr>
            <w:tcW w:w="1129" w:type="dxa"/>
          </w:tcPr>
          <w:p w14:paraId="1FC2CE7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0030</w:t>
            </w:r>
          </w:p>
        </w:tc>
        <w:tc>
          <w:tcPr>
            <w:tcW w:w="7620" w:type="dxa"/>
          </w:tcPr>
          <w:p w14:paraId="0F76843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Kärnprimärkapitalkvot</w:t>
            </w:r>
          </w:p>
          <w:p w14:paraId="50BB108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b och artikel 11.1 och 11.2 i förordning (EU) 2019/2033.</w:t>
            </w:r>
          </w:p>
          <w:p w14:paraId="337660D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Denna post anges som en procentandel.</w:t>
            </w:r>
          </w:p>
        </w:tc>
      </w:tr>
      <w:tr w:rsidR="00DA369E" w:rsidRPr="00601AE3" w14:paraId="12593571" w14:textId="77777777">
        <w:tc>
          <w:tcPr>
            <w:tcW w:w="1129" w:type="dxa"/>
          </w:tcPr>
          <w:p w14:paraId="70EE437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0040</w:t>
            </w:r>
          </w:p>
        </w:tc>
        <w:tc>
          <w:tcPr>
            <w:tcW w:w="7620" w:type="dxa"/>
          </w:tcPr>
          <w:p w14:paraId="7F9F736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Överskott (+)/underskott (-) av kärnprimärkapital</w:t>
            </w:r>
          </w:p>
          <w:p w14:paraId="231A95AD"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Denna post visar överskott eller underskott av kärnprimärkapital i förh</w:t>
            </w:r>
            <w:r w:rsidRPr="00601AE3">
              <w:rPr>
                <w:rFonts w:ascii="Times New Roman" w:hAnsi="Times New Roman"/>
              </w:rPr>
              <w:t>ållande till kravet i artikel 9.1 i förordning (EU) 2019/2033.</w:t>
            </w:r>
          </w:p>
          <w:p w14:paraId="4DECD94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Övergångsbestämmelserna i artikel 57.3 och 57.4 i förordning (EU) 2019/2033 ska inte beaktas för denna post.</w:t>
            </w:r>
          </w:p>
        </w:tc>
      </w:tr>
      <w:tr w:rsidR="00DA369E" w:rsidRPr="00601AE3" w14:paraId="13148AC8" w14:textId="77777777">
        <w:tc>
          <w:tcPr>
            <w:tcW w:w="1129" w:type="dxa"/>
          </w:tcPr>
          <w:p w14:paraId="0363FB0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0050</w:t>
            </w:r>
          </w:p>
        </w:tc>
        <w:tc>
          <w:tcPr>
            <w:tcW w:w="7620" w:type="dxa"/>
          </w:tcPr>
          <w:p w14:paraId="2DA31B1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Kapitalbaskvot</w:t>
            </w:r>
          </w:p>
          <w:p w14:paraId="6553BE8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9.1 c och artikel 11.1 och 11.2 i förordning (EU) 2019/</w:t>
            </w:r>
            <w:r w:rsidRPr="00601AE3">
              <w:rPr>
                <w:rFonts w:ascii="Times New Roman" w:hAnsi="Times New Roman"/>
              </w:rPr>
              <w:t>2033.</w:t>
            </w:r>
          </w:p>
          <w:p w14:paraId="58C184E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Denna post anges som en procentandel.</w:t>
            </w:r>
          </w:p>
        </w:tc>
      </w:tr>
      <w:tr w:rsidR="00DA369E" w:rsidRPr="00601AE3" w14:paraId="1BA262E0" w14:textId="77777777">
        <w:tc>
          <w:tcPr>
            <w:tcW w:w="1129" w:type="dxa"/>
          </w:tcPr>
          <w:p w14:paraId="161CCD9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0060</w:t>
            </w:r>
          </w:p>
        </w:tc>
        <w:tc>
          <w:tcPr>
            <w:tcW w:w="7620" w:type="dxa"/>
          </w:tcPr>
          <w:p w14:paraId="6A08A0E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Överskott (+)/underskott (-) i totalt kapital</w:t>
            </w:r>
          </w:p>
          <w:p w14:paraId="68129A55"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Denna post visar överskott eller underskott i kapitalbasen i förhållande till kravet i artikel 9.1 i förordning (EU) 2019/2033.</w:t>
            </w:r>
          </w:p>
          <w:p w14:paraId="2CB7A0D9"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Övergångsbestämmelserna i artikel 57.3 och 57.4 i förordning (EU) 2019/2033 ska inte beaktas för denna post.</w:t>
            </w:r>
          </w:p>
        </w:tc>
      </w:tr>
    </w:tbl>
    <w:p w14:paraId="3FB7EE23" w14:textId="77777777" w:rsidR="00DA369E" w:rsidRPr="00601AE3" w:rsidRDefault="00DA369E">
      <w:pPr>
        <w:pStyle w:val="Instructionsberschrift2"/>
        <w:ind w:left="357" w:hanging="357"/>
        <w:rPr>
          <w:rFonts w:ascii="Times New Roman" w:hAnsi="Times New Roman" w:cs="Times New Roman"/>
          <w:sz w:val="24"/>
        </w:rPr>
      </w:pPr>
      <w:bookmarkStart w:id="40" w:name="_Toc76557287"/>
    </w:p>
    <w:p w14:paraId="0E37887D" w14:textId="77777777" w:rsidR="00DA369E" w:rsidRPr="00601AE3" w:rsidRDefault="00601AE3">
      <w:pPr>
        <w:pStyle w:val="Instructionsberschrift2"/>
        <w:ind w:left="357" w:hanging="357"/>
        <w:rPr>
          <w:rFonts w:ascii="Times New Roman" w:hAnsi="Times New Roman" w:cs="Times New Roman"/>
          <w:sz w:val="24"/>
        </w:rPr>
      </w:pPr>
      <w:bookmarkStart w:id="41" w:name="_Toc88219809"/>
      <w:r w:rsidRPr="00601AE3">
        <w:rPr>
          <w:rFonts w:ascii="Times New Roman" w:hAnsi="Times New Roman"/>
          <w:sz w:val="24"/>
        </w:rPr>
        <w:t>1.5. I 03.01 – BERÄKNING AV KRAV PÅ FASTA OMKOSTNADER (I 3.1)</w:t>
      </w:r>
      <w:bookmarkEnd w:id="2"/>
      <w:bookmarkEnd w:id="3"/>
      <w:bookmarkEnd w:id="40"/>
      <w:bookmarkEnd w:id="41"/>
      <w:bookmarkEnd w:id="4"/>
      <w:bookmarkEnd w:id="5"/>
    </w:p>
    <w:p w14:paraId="037BD9BD" w14:textId="77777777" w:rsidR="00DA369E" w:rsidRPr="00601AE3" w:rsidRDefault="00601AE3">
      <w:pPr>
        <w:keepNext/>
        <w:spacing w:before="240" w:after="240" w:line="240" w:lineRule="auto"/>
        <w:ind w:left="357" w:hanging="357"/>
        <w:jc w:val="both"/>
        <w:outlineLvl w:val="1"/>
        <w:rPr>
          <w:rFonts w:ascii="Times New Roman" w:eastAsia="Times New Roman" w:hAnsi="Times New Roman" w:cs="Times New Roman"/>
          <w:sz w:val="24"/>
          <w:szCs w:val="24"/>
        </w:rPr>
      </w:pPr>
      <w:bookmarkStart w:id="42" w:name="_Toc308175821"/>
      <w:bookmarkStart w:id="43" w:name="_Toc310414968"/>
      <w:bookmarkStart w:id="44" w:name="_Toc360188326"/>
      <w:bookmarkStart w:id="45" w:name="_Toc473560874"/>
      <w:bookmarkStart w:id="46" w:name="_Toc7084159"/>
      <w:bookmarkStart w:id="47" w:name="_Toc76557288"/>
      <w:bookmarkStart w:id="48" w:name="_Toc88219810"/>
      <w:r w:rsidRPr="00601AE3">
        <w:rPr>
          <w:rFonts w:ascii="Times New Roman" w:hAnsi="Times New Roman"/>
          <w:sz w:val="24"/>
        </w:rPr>
        <w:t>1.5.1</w:t>
      </w:r>
      <w:r w:rsidRPr="00601AE3">
        <w:rPr>
          <w:rFonts w:ascii="Times New Roman" w:hAnsi="Times New Roman"/>
          <w:sz w:val="24"/>
        </w:rPr>
        <w:tab/>
      </w:r>
      <w:r w:rsidRPr="00601AE3">
        <w:rPr>
          <w:rFonts w:ascii="Times New Roman" w:hAnsi="Times New Roman"/>
          <w:sz w:val="24"/>
          <w:u w:val="single"/>
        </w:rPr>
        <w:t xml:space="preserve">Instruktioner för specifika </w:t>
      </w:r>
      <w:bookmarkEnd w:id="42"/>
      <w:bookmarkEnd w:id="43"/>
      <w:r w:rsidRPr="00601AE3">
        <w:rPr>
          <w:rFonts w:ascii="Times New Roman" w:hAnsi="Times New Roman"/>
          <w:sz w:val="24"/>
          <w:u w:val="single"/>
        </w:rPr>
        <w:t>positioner</w:t>
      </w:r>
      <w:bookmarkEnd w:id="44"/>
      <w:bookmarkEnd w:id="45"/>
      <w:bookmarkEnd w:id="46"/>
      <w:bookmarkEnd w:id="47"/>
      <w:bookmarkEnd w:id="48"/>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65E6ADBD" w14:textId="77777777">
        <w:tc>
          <w:tcPr>
            <w:tcW w:w="1129" w:type="dxa"/>
            <w:shd w:val="clear" w:color="auto" w:fill="D9D9D9"/>
          </w:tcPr>
          <w:p w14:paraId="415CCF39"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Rad</w:t>
            </w:r>
          </w:p>
        </w:tc>
        <w:tc>
          <w:tcPr>
            <w:tcW w:w="7620" w:type="dxa"/>
            <w:shd w:val="clear" w:color="auto" w:fill="D9D9D9"/>
          </w:tcPr>
          <w:p w14:paraId="208693F4"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 xml:space="preserve">Rättsliga hänvisningar och </w:t>
            </w:r>
            <w:r w:rsidRPr="00601AE3">
              <w:rPr>
                <w:rFonts w:ascii="Times New Roman" w:hAnsi="Times New Roman"/>
                <w:color w:val="000000" w:themeColor="text1"/>
              </w:rPr>
              <w:t>instruktioner</w:t>
            </w:r>
          </w:p>
        </w:tc>
      </w:tr>
      <w:tr w:rsidR="00DA369E" w:rsidRPr="00601AE3" w14:paraId="7661D76A" w14:textId="77777777">
        <w:tc>
          <w:tcPr>
            <w:tcW w:w="1129" w:type="dxa"/>
          </w:tcPr>
          <w:p w14:paraId="5DA40B0B"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0010</w:t>
            </w:r>
          </w:p>
        </w:tc>
        <w:tc>
          <w:tcPr>
            <w:tcW w:w="7620" w:type="dxa"/>
          </w:tcPr>
          <w:p w14:paraId="79488799"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Krav baserat på fasta omkostnader</w:t>
            </w:r>
          </w:p>
          <w:p w14:paraId="6E86FA48"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13.1 i förordning (EU) 2019/2033.</w:t>
            </w:r>
          </w:p>
          <w:p w14:paraId="4B3C862E"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Det rapporterade beloppet ska vara minst 25 % av de årliga fasta omkostnaderna för föregående år (rad 0020).</w:t>
            </w:r>
          </w:p>
          <w:p w14:paraId="6BF46D72"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 xml:space="preserve">Om det sker en väsentlig förändring enligt vad som </w:t>
            </w:r>
            <w:r w:rsidRPr="00601AE3">
              <w:rPr>
                <w:rFonts w:ascii="Times New Roman" w:hAnsi="Times New Roman"/>
              </w:rPr>
              <w:t>anges i artikel 13.2 i förordning (EU) 2019/2033 ska det beloppet som anges vara det krav på fasta omkostnader som den behöriga myndigheten har fastställt i enlighet med den artikeln.</w:t>
            </w:r>
          </w:p>
          <w:p w14:paraId="1B17AD58" w14:textId="77777777" w:rsidR="00DA369E" w:rsidRPr="00601AE3" w:rsidRDefault="00601AE3">
            <w:pPr>
              <w:spacing w:after="120" w:line="240" w:lineRule="auto"/>
              <w:jc w:val="both"/>
              <w:rPr>
                <w:rFonts w:ascii="Times New Roman" w:hAnsi="Times New Roman" w:cs="Times New Roman"/>
              </w:rPr>
            </w:pPr>
            <w:r w:rsidRPr="00601AE3">
              <w:rPr>
                <w:rFonts w:ascii="Times New Roman" w:hAnsi="Times New Roman"/>
              </w:rPr>
              <w:t>I de fall som anges i artikel 13.3 i förordning (EU) 2019/2033 ska det b</w:t>
            </w:r>
            <w:r w:rsidRPr="00601AE3">
              <w:rPr>
                <w:rFonts w:ascii="Times New Roman" w:hAnsi="Times New Roman"/>
              </w:rPr>
              <w:t>elopp som ska anges vara de beräknade fasta omkostnaderna för innevarande år (rad 0200).</w:t>
            </w:r>
          </w:p>
        </w:tc>
      </w:tr>
      <w:tr w:rsidR="00DA369E" w:rsidRPr="00601AE3" w14:paraId="1A1DD945" w14:textId="77777777">
        <w:tc>
          <w:tcPr>
            <w:tcW w:w="1129" w:type="dxa"/>
          </w:tcPr>
          <w:p w14:paraId="22920488"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0020</w:t>
            </w:r>
          </w:p>
        </w:tc>
        <w:tc>
          <w:tcPr>
            <w:tcW w:w="7620" w:type="dxa"/>
          </w:tcPr>
          <w:p w14:paraId="56C4952B"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Årliga fasta omkostnader från föregående år efter vinstutdelning</w:t>
            </w:r>
          </w:p>
          <w:p w14:paraId="4E9B8290"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13.1 i förordning (EU) 2019/2033.</w:t>
            </w:r>
          </w:p>
          <w:p w14:paraId="3EECB663" w14:textId="77777777" w:rsidR="00DA369E" w:rsidRPr="00601AE3" w:rsidRDefault="00601AE3">
            <w:pPr>
              <w:pStyle w:val="CommentText"/>
              <w:rPr>
                <w:rFonts w:ascii="Times New Roman" w:hAnsi="Times New Roman" w:cs="Times New Roman"/>
                <w:sz w:val="22"/>
                <w:szCs w:val="22"/>
              </w:rPr>
            </w:pPr>
            <w:r w:rsidRPr="00601AE3">
              <w:rPr>
                <w:rFonts w:ascii="Times New Roman" w:hAnsi="Times New Roman"/>
                <w:color w:val="000000" w:themeColor="text1"/>
                <w:sz w:val="22"/>
              </w:rPr>
              <w:t xml:space="preserve">Värdepappersföretag ska ange de fasta omkostnaderna för det föregående året efter vinstutdelningen. </w:t>
            </w:r>
          </w:p>
        </w:tc>
      </w:tr>
      <w:tr w:rsidR="00DA369E" w:rsidRPr="00601AE3" w14:paraId="6338C166" w14:textId="77777777">
        <w:tc>
          <w:tcPr>
            <w:tcW w:w="1129" w:type="dxa"/>
          </w:tcPr>
          <w:p w14:paraId="0624F5BA"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0030</w:t>
            </w:r>
          </w:p>
        </w:tc>
        <w:tc>
          <w:tcPr>
            <w:tcW w:w="7620" w:type="dxa"/>
          </w:tcPr>
          <w:p w14:paraId="52F382E3"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Totala kostnader för föregående år efter vinstutdelning</w:t>
            </w:r>
          </w:p>
          <w:p w14:paraId="62F11FA5" w14:textId="77777777" w:rsidR="00DA369E" w:rsidRPr="00601AE3" w:rsidRDefault="00601AE3">
            <w:pPr>
              <w:spacing w:after="120" w:line="240" w:lineRule="auto"/>
              <w:jc w:val="both"/>
              <w:rPr>
                <w:rFonts w:ascii="Times New Roman" w:eastAsia="Times New Roman" w:hAnsi="Times New Roman" w:cs="Times New Roman"/>
                <w:bCs/>
                <w:i/>
                <w:color w:val="000000" w:themeColor="text1"/>
              </w:rPr>
            </w:pPr>
            <w:r w:rsidRPr="00601AE3">
              <w:rPr>
                <w:rFonts w:ascii="Times New Roman" w:hAnsi="Times New Roman"/>
                <w:color w:val="000000" w:themeColor="text1"/>
              </w:rPr>
              <w:t>Artikel 13.1 i förordning (EU) 2019/2033.</w:t>
            </w:r>
          </w:p>
          <w:p w14:paraId="5757ED55"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 xml:space="preserve">Det belopp som ska anges ska redovisas efter </w:t>
            </w:r>
            <w:r w:rsidRPr="00601AE3">
              <w:rPr>
                <w:rFonts w:ascii="Times New Roman" w:hAnsi="Times New Roman"/>
                <w:color w:val="000000" w:themeColor="text1"/>
              </w:rPr>
              <w:t>vinstutdelningen.</w:t>
            </w:r>
          </w:p>
        </w:tc>
      </w:tr>
      <w:tr w:rsidR="00DA369E" w:rsidRPr="00601AE3" w14:paraId="1F955700" w14:textId="77777777">
        <w:tc>
          <w:tcPr>
            <w:tcW w:w="1129" w:type="dxa"/>
          </w:tcPr>
          <w:p w14:paraId="136058FF"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0040</w:t>
            </w:r>
          </w:p>
        </w:tc>
        <w:tc>
          <w:tcPr>
            <w:tcW w:w="7620" w:type="dxa"/>
          </w:tcPr>
          <w:p w14:paraId="7242FA89"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Varav: Fasta kostnader som tredje parter ådragit sig för värdepappersföretagens räkning</w:t>
            </w:r>
          </w:p>
          <w:p w14:paraId="0E925A0D"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color w:val="000000" w:themeColor="text1"/>
              </w:rPr>
              <w:t>Artikel 13 i förordning (EU) 2019/2033.</w:t>
            </w:r>
          </w:p>
        </w:tc>
      </w:tr>
      <w:tr w:rsidR="00DA369E" w:rsidRPr="00601AE3" w14:paraId="42BE95D4" w14:textId="77777777">
        <w:tc>
          <w:tcPr>
            <w:tcW w:w="1129" w:type="dxa"/>
          </w:tcPr>
          <w:p w14:paraId="3F377045"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0050</w:t>
            </w:r>
          </w:p>
        </w:tc>
        <w:tc>
          <w:tcPr>
            <w:tcW w:w="7620" w:type="dxa"/>
          </w:tcPr>
          <w:p w14:paraId="4CDAD5AA"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Totala avdrag</w:t>
            </w:r>
          </w:p>
          <w:p w14:paraId="0243C95B" w14:textId="77777777" w:rsidR="00DA369E" w:rsidRPr="00601AE3" w:rsidRDefault="00601AE3">
            <w:pPr>
              <w:pStyle w:val="NumPar1"/>
              <w:numPr>
                <w:ilvl w:val="0"/>
                <w:numId w:val="0"/>
              </w:numPr>
              <w:rPr>
                <w:sz w:val="22"/>
              </w:rPr>
            </w:pPr>
            <w:r w:rsidRPr="00601AE3">
              <w:t xml:space="preserve">Utöver de poster för avdrag som avses i artikel 13.4 i förordning (EU) </w:t>
            </w:r>
            <w:r w:rsidRPr="00601AE3">
              <w:t>2019/2033 ska även följande poster dras av från de totala kostnaderna, om de ingår i de totala kostnaderna i enlighet med den relevanta redovisningsramen:</w:t>
            </w:r>
          </w:p>
          <w:p w14:paraId="7D905F6D" w14:textId="77777777" w:rsidR="00DA369E" w:rsidRPr="00601AE3" w:rsidRDefault="00601AE3">
            <w:pPr>
              <w:pStyle w:val="Point1letter"/>
              <w:numPr>
                <w:ilvl w:val="0"/>
                <w:numId w:val="0"/>
              </w:numPr>
              <w:tabs>
                <w:tab w:val="left" w:pos="850"/>
              </w:tabs>
              <w:ind w:left="492" w:hanging="567"/>
              <w:rPr>
                <w:sz w:val="22"/>
              </w:rPr>
            </w:pPr>
            <w:r w:rsidRPr="00601AE3">
              <w:rPr>
                <w:sz w:val="22"/>
              </w:rPr>
              <w:t>a)</w:t>
            </w:r>
            <w:r w:rsidRPr="00601AE3">
              <w:rPr>
                <w:sz w:val="22"/>
              </w:rPr>
              <w:tab/>
              <w:t>Avgifter, förmedlingsavgifter och andra avgifter som betalas till centrala motparter, börser och a</w:t>
            </w:r>
            <w:r w:rsidRPr="00601AE3">
              <w:rPr>
                <w:sz w:val="22"/>
              </w:rPr>
              <w:t>ndra handelsplatser och mellanhänder i syfte att utföra, registrera eller cleara transaktioner, endast om de direkt övervältras på och debiteras kunder. Dessa ska inte omfatta pålagor och andra avgifter som är nödvändiga för att behålla medlemskap eller på</w:t>
            </w:r>
            <w:r w:rsidRPr="00601AE3">
              <w:rPr>
                <w:sz w:val="22"/>
              </w:rPr>
              <w:t xml:space="preserve"> annat sätt uppfylla finansiella skyldigheter avseende förlustdelning gentemot centrala motparter, börser och andra handelsplatser.</w:t>
            </w:r>
          </w:p>
          <w:p w14:paraId="26A9E1B8" w14:textId="77777777" w:rsidR="00DA369E" w:rsidRPr="00601AE3" w:rsidRDefault="00601AE3">
            <w:pPr>
              <w:pStyle w:val="Point1letter"/>
              <w:numPr>
                <w:ilvl w:val="0"/>
                <w:numId w:val="0"/>
              </w:numPr>
              <w:tabs>
                <w:tab w:val="left" w:pos="850"/>
              </w:tabs>
              <w:ind w:left="492" w:hanging="567"/>
              <w:rPr>
                <w:sz w:val="22"/>
              </w:rPr>
            </w:pPr>
            <w:r w:rsidRPr="00601AE3">
              <w:rPr>
                <w:sz w:val="22"/>
              </w:rPr>
              <w:t>b)</w:t>
            </w:r>
            <w:r w:rsidRPr="00601AE3">
              <w:rPr>
                <w:sz w:val="22"/>
              </w:rPr>
              <w:tab/>
              <w:t>Ränta som betalas till kunder för kundmedel, om det inte finns någon skyldighet av något slag att betala sådan ränta.</w:t>
            </w:r>
          </w:p>
          <w:p w14:paraId="5E4529D5" w14:textId="77777777" w:rsidR="00DA369E" w:rsidRPr="00601AE3" w:rsidRDefault="00601AE3">
            <w:pPr>
              <w:pStyle w:val="Point1letter"/>
              <w:numPr>
                <w:ilvl w:val="0"/>
                <w:numId w:val="0"/>
              </w:numPr>
              <w:tabs>
                <w:tab w:val="left" w:pos="850"/>
              </w:tabs>
              <w:ind w:left="492" w:hanging="567"/>
              <w:rPr>
                <w:sz w:val="22"/>
              </w:rPr>
            </w:pPr>
            <w:r w:rsidRPr="00601AE3">
              <w:rPr>
                <w:sz w:val="22"/>
              </w:rPr>
              <w:t>c)</w:t>
            </w:r>
            <w:r w:rsidRPr="00601AE3">
              <w:rPr>
                <w:sz w:val="22"/>
              </w:rPr>
              <w:tab/>
            </w:r>
            <w:r w:rsidRPr="00601AE3">
              <w:rPr>
                <w:sz w:val="22"/>
              </w:rPr>
              <w:t>Kostnader från skatter som förfaller till betalning i förhållande till värdepappersföretagets årliga vinst.</w:t>
            </w:r>
          </w:p>
          <w:p w14:paraId="1E62AFFD" w14:textId="77777777" w:rsidR="00DA369E" w:rsidRPr="00601AE3" w:rsidRDefault="00601AE3">
            <w:pPr>
              <w:pStyle w:val="Point1letter"/>
              <w:numPr>
                <w:ilvl w:val="0"/>
                <w:numId w:val="0"/>
              </w:numPr>
              <w:tabs>
                <w:tab w:val="left" w:pos="850"/>
              </w:tabs>
              <w:ind w:left="492" w:hanging="567"/>
              <w:rPr>
                <w:sz w:val="22"/>
              </w:rPr>
            </w:pPr>
            <w:r w:rsidRPr="00601AE3">
              <w:rPr>
                <w:sz w:val="22"/>
              </w:rPr>
              <w:t>d)</w:t>
            </w:r>
            <w:r w:rsidRPr="00601AE3">
              <w:rPr>
                <w:sz w:val="22"/>
              </w:rPr>
              <w:tab/>
              <w:t>Förluster från handel för egen räkning med finansiella instrument.</w:t>
            </w:r>
          </w:p>
          <w:p w14:paraId="4B064E0F" w14:textId="77777777" w:rsidR="00DA369E" w:rsidRPr="00601AE3" w:rsidRDefault="00601AE3">
            <w:pPr>
              <w:pStyle w:val="Point1letter"/>
              <w:numPr>
                <w:ilvl w:val="0"/>
                <w:numId w:val="0"/>
              </w:numPr>
              <w:tabs>
                <w:tab w:val="left" w:pos="850"/>
              </w:tabs>
              <w:ind w:left="492" w:hanging="567"/>
              <w:rPr>
                <w:sz w:val="22"/>
              </w:rPr>
            </w:pPr>
            <w:r w:rsidRPr="00601AE3">
              <w:rPr>
                <w:sz w:val="22"/>
              </w:rPr>
              <w:lastRenderedPageBreak/>
              <w:t>e)</w:t>
            </w:r>
            <w:r w:rsidRPr="00601AE3">
              <w:rPr>
                <w:sz w:val="22"/>
              </w:rPr>
              <w:tab/>
              <w:t>Betalningar i samband med avtalsbaserade resultatöverföringsavtal enligt vi</w:t>
            </w:r>
            <w:r w:rsidRPr="00601AE3">
              <w:rPr>
                <w:sz w:val="22"/>
              </w:rPr>
              <w:t>lka värdepappersföretaget är skyldigt att efter upprättandet av sin årsredovisning överföra sitt årsresultat till moderföretaget.</w:t>
            </w:r>
          </w:p>
          <w:p w14:paraId="4BED646C" w14:textId="77777777" w:rsidR="00DA369E" w:rsidRPr="00601AE3" w:rsidRDefault="00601AE3">
            <w:pPr>
              <w:pStyle w:val="Point1letter"/>
              <w:numPr>
                <w:ilvl w:val="0"/>
                <w:numId w:val="0"/>
              </w:numPr>
              <w:tabs>
                <w:tab w:val="left" w:pos="850"/>
              </w:tabs>
              <w:ind w:left="492" w:hanging="567"/>
              <w:rPr>
                <w:color w:val="000000" w:themeColor="text1"/>
                <w:sz w:val="22"/>
              </w:rPr>
            </w:pPr>
            <w:r w:rsidRPr="00601AE3">
              <w:rPr>
                <w:color w:val="000000" w:themeColor="text1"/>
                <w:sz w:val="22"/>
              </w:rPr>
              <w:t>f)</w:t>
            </w:r>
            <w:r w:rsidRPr="00601AE3">
              <w:rPr>
                <w:color w:val="000000" w:themeColor="text1"/>
                <w:sz w:val="22"/>
              </w:rPr>
              <w:tab/>
            </w:r>
            <w:r w:rsidRPr="00601AE3">
              <w:t>Betalningar till en fond för allmänna risker i bankrörelse i enlighet med artikel 26.1 f i förordning (EU) nr 575/2013.</w:t>
            </w:r>
          </w:p>
          <w:p w14:paraId="6D326E4E" w14:textId="77777777" w:rsidR="00DA369E" w:rsidRPr="00601AE3" w:rsidRDefault="00601AE3">
            <w:pPr>
              <w:pStyle w:val="Point1letter"/>
              <w:numPr>
                <w:ilvl w:val="0"/>
                <w:numId w:val="0"/>
              </w:numPr>
              <w:tabs>
                <w:tab w:val="left" w:pos="850"/>
              </w:tabs>
              <w:ind w:left="492" w:hanging="567"/>
              <w:rPr>
                <w:rFonts w:eastAsia="Times New Roman"/>
                <w:bCs/>
                <w:color w:val="000000" w:themeColor="text1"/>
                <w:sz w:val="22"/>
              </w:rPr>
            </w:pPr>
            <w:r w:rsidRPr="00601AE3">
              <w:rPr>
                <w:rFonts w:eastAsia="Times New Roman"/>
                <w:bCs/>
                <w:color w:val="000000" w:themeColor="text1"/>
                <w:sz w:val="22"/>
              </w:rPr>
              <w:t>g)</w:t>
            </w:r>
            <w:r w:rsidRPr="00601AE3">
              <w:rPr>
                <w:rFonts w:eastAsia="Times New Roman"/>
                <w:bCs/>
                <w:color w:val="000000" w:themeColor="text1"/>
                <w:sz w:val="22"/>
              </w:rPr>
              <w:tab/>
            </w:r>
            <w:r w:rsidRPr="00601AE3">
              <w:t>Kostnader för poster som redan har dragits av från kapitalbasen i enlighet med artikel 36.1 i förordning (EU) nr 575/2013.</w:t>
            </w:r>
            <w:r w:rsidRPr="00601AE3">
              <w:rPr>
                <w:color w:val="000000" w:themeColor="text1"/>
                <w:sz w:val="22"/>
              </w:rPr>
              <w:t xml:space="preserve"> </w:t>
            </w:r>
          </w:p>
        </w:tc>
      </w:tr>
      <w:tr w:rsidR="00DA369E" w:rsidRPr="00601AE3" w14:paraId="2550CAE0" w14:textId="77777777">
        <w:tc>
          <w:tcPr>
            <w:tcW w:w="1129" w:type="dxa"/>
          </w:tcPr>
          <w:p w14:paraId="2486CAA5"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lastRenderedPageBreak/>
              <w:t>0060</w:t>
            </w:r>
          </w:p>
        </w:tc>
        <w:tc>
          <w:tcPr>
            <w:tcW w:w="7620" w:type="dxa"/>
          </w:tcPr>
          <w:p w14:paraId="6218F39B"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Personalens bonusar och annan ersättning</w:t>
            </w:r>
          </w:p>
          <w:p w14:paraId="72466F13"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a i förordning (EU) 2019/2033.</w:t>
            </w:r>
          </w:p>
          <w:p w14:paraId="13203014" w14:textId="77777777" w:rsidR="00DA369E" w:rsidRPr="00601AE3" w:rsidRDefault="00601AE3">
            <w:pPr>
              <w:pStyle w:val="NumPar1"/>
              <w:numPr>
                <w:ilvl w:val="0"/>
                <w:numId w:val="0"/>
              </w:numPr>
              <w:rPr>
                <w:sz w:val="22"/>
              </w:rPr>
            </w:pPr>
            <w:r w:rsidRPr="00601AE3">
              <w:rPr>
                <w:sz w:val="22"/>
              </w:rPr>
              <w:t>Bonusar till personalen och annan ers</w:t>
            </w:r>
            <w:r w:rsidRPr="00601AE3">
              <w:rPr>
                <w:sz w:val="22"/>
              </w:rPr>
              <w:t>ättning ska anses vara beroende av värdepappersföretagets nettovinst under respektive år om båda följande villkor är uppfyllda:</w:t>
            </w:r>
          </w:p>
          <w:p w14:paraId="54E132A0" w14:textId="77777777" w:rsidR="00DA369E" w:rsidRPr="00601AE3" w:rsidRDefault="00601AE3">
            <w:pPr>
              <w:pStyle w:val="Point1letter"/>
              <w:numPr>
                <w:ilvl w:val="0"/>
                <w:numId w:val="0"/>
              </w:numPr>
              <w:ind w:left="634" w:hanging="567"/>
              <w:rPr>
                <w:sz w:val="22"/>
              </w:rPr>
            </w:pPr>
            <w:r w:rsidRPr="00601AE3">
              <w:rPr>
                <w:sz w:val="22"/>
              </w:rPr>
              <w:t>h)</w:t>
            </w:r>
            <w:r w:rsidRPr="00601AE3">
              <w:rPr>
                <w:sz w:val="22"/>
              </w:rPr>
              <w:tab/>
              <w:t xml:space="preserve">Bonusar till personalen eller annan ersättning som ska dras av redan har betalats ut till de anställda under det år som </w:t>
            </w:r>
            <w:r w:rsidRPr="00601AE3">
              <w:rPr>
                <w:sz w:val="22"/>
              </w:rPr>
              <w:t>föregår utbetalningsåret, eller utbetalningen av personalbonusar eller annan ersättning till de anställda inte kommer att påverka företagets kapitalsituation under det år då betalningen görs.</w:t>
            </w:r>
          </w:p>
          <w:p w14:paraId="5E600947" w14:textId="77777777" w:rsidR="00DA369E" w:rsidRPr="00601AE3" w:rsidRDefault="00601AE3">
            <w:pPr>
              <w:pStyle w:val="Point1letter"/>
              <w:numPr>
                <w:ilvl w:val="0"/>
                <w:numId w:val="0"/>
              </w:numPr>
              <w:ind w:left="634" w:hanging="567"/>
              <w:rPr>
                <w:rFonts w:eastAsia="Times New Roman"/>
                <w:bCs/>
                <w:color w:val="000000" w:themeColor="text1"/>
                <w:sz w:val="22"/>
              </w:rPr>
            </w:pPr>
            <w:r w:rsidRPr="00601AE3">
              <w:rPr>
                <w:rFonts w:eastAsia="Times New Roman"/>
                <w:bCs/>
                <w:color w:val="000000" w:themeColor="text1"/>
                <w:sz w:val="22"/>
              </w:rPr>
              <w:t>i)</w:t>
            </w:r>
            <w:r w:rsidRPr="00601AE3">
              <w:rPr>
                <w:rFonts w:eastAsia="Times New Roman"/>
                <w:bCs/>
                <w:color w:val="000000" w:themeColor="text1"/>
                <w:sz w:val="22"/>
              </w:rPr>
              <w:tab/>
            </w:r>
            <w:r w:rsidRPr="00601AE3">
              <w:rPr>
                <w:sz w:val="22"/>
              </w:rPr>
              <w:t xml:space="preserve">När det gäller innevarande och kommande år är företaget inte </w:t>
            </w:r>
            <w:r w:rsidRPr="00601AE3">
              <w:rPr>
                <w:sz w:val="22"/>
              </w:rPr>
              <w:t>skyldigt att bevilja eller fördela ytterligare bonusar eller andra utbetalningar i form av ersättning, såvida det inte gör en nettovinst under det året.</w:t>
            </w:r>
          </w:p>
        </w:tc>
      </w:tr>
      <w:tr w:rsidR="00DA369E" w:rsidRPr="00601AE3" w14:paraId="401BDCB1" w14:textId="77777777">
        <w:tc>
          <w:tcPr>
            <w:tcW w:w="1129" w:type="dxa"/>
          </w:tcPr>
          <w:p w14:paraId="2783C44D"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0070</w:t>
            </w:r>
          </w:p>
        </w:tc>
        <w:tc>
          <w:tcPr>
            <w:tcW w:w="7620" w:type="dxa"/>
          </w:tcPr>
          <w:p w14:paraId="050E780C"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Anställdas, styrelseledamöters och delägares nettovinstandelar</w:t>
            </w:r>
          </w:p>
          <w:p w14:paraId="17200F12"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b i förordning (E</w:t>
            </w:r>
            <w:r w:rsidRPr="00601AE3">
              <w:rPr>
                <w:rFonts w:ascii="Times New Roman" w:hAnsi="Times New Roman"/>
                <w:color w:val="000000" w:themeColor="text1"/>
              </w:rPr>
              <w:t>U) 2019/2033.</w:t>
            </w:r>
          </w:p>
          <w:p w14:paraId="43EEED8C"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rPr>
              <w:t>Anställdas, styrelseledamöters och delägares vinstandelar ska beräknas på grundval av nettovinsten.</w:t>
            </w:r>
          </w:p>
        </w:tc>
      </w:tr>
      <w:tr w:rsidR="00DA369E" w:rsidRPr="00601AE3" w14:paraId="2B056A13" w14:textId="77777777">
        <w:tc>
          <w:tcPr>
            <w:tcW w:w="1129" w:type="dxa"/>
          </w:tcPr>
          <w:p w14:paraId="07EE3B0F"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0080</w:t>
            </w:r>
          </w:p>
        </w:tc>
        <w:tc>
          <w:tcPr>
            <w:tcW w:w="7620" w:type="dxa"/>
          </w:tcPr>
          <w:p w14:paraId="595C703C"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Andra diskretionära utbetalningar av vinster och rörlig ersättning</w:t>
            </w:r>
          </w:p>
          <w:p w14:paraId="4A4A9A11"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c i förordning (EU) 2019/2033.</w:t>
            </w:r>
          </w:p>
        </w:tc>
      </w:tr>
      <w:tr w:rsidR="00DA369E" w:rsidRPr="00601AE3" w14:paraId="060585E5" w14:textId="77777777">
        <w:tc>
          <w:tcPr>
            <w:tcW w:w="1129" w:type="dxa"/>
          </w:tcPr>
          <w:p w14:paraId="09C323F6"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0090</w:t>
            </w:r>
          </w:p>
        </w:tc>
        <w:tc>
          <w:tcPr>
            <w:tcW w:w="7620" w:type="dxa"/>
          </w:tcPr>
          <w:p w14:paraId="1E474BAB"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Delad provi</w:t>
            </w:r>
            <w:r w:rsidRPr="00601AE3">
              <w:rPr>
                <w:rFonts w:ascii="Times New Roman" w:hAnsi="Times New Roman"/>
                <w:b/>
                <w:color w:val="000000" w:themeColor="text1"/>
                <w:u w:val="single"/>
              </w:rPr>
              <w:t>sion och avgifter som ska betalas</w:t>
            </w:r>
          </w:p>
          <w:p w14:paraId="302E948C"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d i förordning (EU) 2019/2033.</w:t>
            </w:r>
          </w:p>
        </w:tc>
      </w:tr>
      <w:tr w:rsidR="00DA369E" w:rsidRPr="00601AE3" w14:paraId="0382D44C" w14:textId="77777777">
        <w:tc>
          <w:tcPr>
            <w:tcW w:w="1129" w:type="dxa"/>
          </w:tcPr>
          <w:p w14:paraId="1CEE5D2A"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0100</w:t>
            </w:r>
          </w:p>
        </w:tc>
        <w:tc>
          <w:tcPr>
            <w:tcW w:w="7620" w:type="dxa"/>
          </w:tcPr>
          <w:p w14:paraId="7F78C5DB"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Avgifter, förmedlingsavgifter och andra avgifter som betalas till centrala motparter och som tas ut av kunder</w:t>
            </w:r>
          </w:p>
          <w:p w14:paraId="574B6C33"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rPr>
              <w:t xml:space="preserve">Avgifter, förmedlingsavgifter och andra avgifter som </w:t>
            </w:r>
            <w:r w:rsidRPr="00601AE3">
              <w:rPr>
                <w:rFonts w:ascii="Times New Roman" w:hAnsi="Times New Roman"/>
              </w:rPr>
              <w:t>betalas till centrala motparter, börser och andra handelsplatser och mellanhänder i syfte att utföra, registrera eller cleara transaktioner, endast om de direkt övervältras på och debiteras kunder. Dessa ska inte omfatta pålagor och andra avgifter som är n</w:t>
            </w:r>
            <w:r w:rsidRPr="00601AE3">
              <w:rPr>
                <w:rFonts w:ascii="Times New Roman" w:hAnsi="Times New Roman"/>
              </w:rPr>
              <w:t>ödvändiga för att behålla medlemskap eller på annat sätt uppfylla finansiella skyldigheter avseende förlustdelning gentemot centrala motparter, börser och andra handelsplatser.</w:t>
            </w:r>
            <w:r w:rsidRPr="00601AE3">
              <w:rPr>
                <w:rFonts w:ascii="Times New Roman" w:hAnsi="Times New Roman"/>
                <w:color w:val="000000" w:themeColor="text1"/>
              </w:rPr>
              <w:t xml:space="preserve"> </w:t>
            </w:r>
          </w:p>
        </w:tc>
      </w:tr>
      <w:tr w:rsidR="00DA369E" w:rsidRPr="00601AE3" w14:paraId="572D5D1D" w14:textId="77777777">
        <w:tc>
          <w:tcPr>
            <w:tcW w:w="1129" w:type="dxa"/>
          </w:tcPr>
          <w:p w14:paraId="4D170D13"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0110</w:t>
            </w:r>
          </w:p>
        </w:tc>
        <w:tc>
          <w:tcPr>
            <w:tcW w:w="7620" w:type="dxa"/>
          </w:tcPr>
          <w:p w14:paraId="085D64DA"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Avgifter till anknutna ombud</w:t>
            </w:r>
          </w:p>
          <w:p w14:paraId="01F2B599"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e i förordning (EU) 2019/2</w:t>
            </w:r>
            <w:r w:rsidRPr="00601AE3">
              <w:rPr>
                <w:rFonts w:ascii="Times New Roman" w:hAnsi="Times New Roman"/>
                <w:color w:val="000000" w:themeColor="text1"/>
              </w:rPr>
              <w:t>033.</w:t>
            </w:r>
          </w:p>
        </w:tc>
      </w:tr>
      <w:tr w:rsidR="00DA369E" w:rsidRPr="00601AE3" w14:paraId="492EF307" w14:textId="77777777">
        <w:tc>
          <w:tcPr>
            <w:tcW w:w="1129" w:type="dxa"/>
          </w:tcPr>
          <w:p w14:paraId="0259F3AA"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0130</w:t>
            </w:r>
          </w:p>
        </w:tc>
        <w:tc>
          <w:tcPr>
            <w:tcW w:w="7620" w:type="dxa"/>
          </w:tcPr>
          <w:p w14:paraId="4FE567DF"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Icke återkommande kostnader från extraordinär verksamhet</w:t>
            </w:r>
          </w:p>
          <w:p w14:paraId="2ECEA8D0"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Artikel 13.4 f i förordning (EU) 2019/2033.</w:t>
            </w:r>
          </w:p>
        </w:tc>
      </w:tr>
      <w:tr w:rsidR="00DA369E" w:rsidRPr="00601AE3" w14:paraId="6229024B" w14:textId="77777777">
        <w:tc>
          <w:tcPr>
            <w:tcW w:w="1129" w:type="dxa"/>
          </w:tcPr>
          <w:p w14:paraId="292E279D"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0140</w:t>
            </w:r>
          </w:p>
          <w:p w14:paraId="6AB2843B" w14:textId="77777777" w:rsidR="00DA369E" w:rsidRPr="00601AE3" w:rsidRDefault="00DA369E">
            <w:pPr>
              <w:spacing w:after="120" w:line="240" w:lineRule="auto"/>
              <w:jc w:val="both"/>
              <w:rPr>
                <w:rFonts w:ascii="Times New Roman" w:eastAsia="Times New Roman" w:hAnsi="Times New Roman" w:cs="Times New Roman"/>
                <w:bCs/>
                <w:color w:val="000000" w:themeColor="text1"/>
              </w:rPr>
            </w:pPr>
          </w:p>
        </w:tc>
        <w:tc>
          <w:tcPr>
            <w:tcW w:w="7620" w:type="dxa"/>
          </w:tcPr>
          <w:p w14:paraId="5D87AF3D" w14:textId="77777777" w:rsidR="00DA369E" w:rsidRPr="00601AE3" w:rsidRDefault="00601AE3">
            <w:pPr>
              <w:spacing w:after="120" w:line="240" w:lineRule="auto"/>
              <w:jc w:val="both"/>
              <w:rPr>
                <w:rFonts w:ascii="Times New Roman" w:eastAsia="Times New Roman" w:hAnsi="Times New Roman" w:cs="Times New Roman"/>
                <w:bCs/>
                <w:color w:val="000000" w:themeColor="text1"/>
                <w:u w:val="single"/>
              </w:rPr>
            </w:pPr>
            <w:r w:rsidRPr="00601AE3">
              <w:rPr>
                <w:rFonts w:ascii="Times New Roman" w:hAnsi="Times New Roman"/>
                <w:b/>
                <w:color w:val="000000" w:themeColor="text1"/>
                <w:u w:val="single"/>
              </w:rPr>
              <w:t>(-) Skattekostnader</w:t>
            </w:r>
          </w:p>
          <w:p w14:paraId="395A8EE7" w14:textId="77777777" w:rsidR="00DA369E" w:rsidRPr="00601AE3" w:rsidRDefault="00601AE3">
            <w:pPr>
              <w:pStyle w:val="Point1letter"/>
              <w:numPr>
                <w:ilvl w:val="0"/>
                <w:numId w:val="0"/>
              </w:numPr>
              <w:rPr>
                <w:rFonts w:eastAsia="Times New Roman"/>
                <w:color w:val="000000" w:themeColor="text1"/>
                <w:sz w:val="22"/>
              </w:rPr>
            </w:pPr>
            <w:r w:rsidRPr="00601AE3">
              <w:rPr>
                <w:sz w:val="22"/>
              </w:rPr>
              <w:t xml:space="preserve">Kostnader från skatter som förfaller till betalning i förhållande till </w:t>
            </w:r>
            <w:r w:rsidRPr="00601AE3">
              <w:rPr>
                <w:sz w:val="22"/>
              </w:rPr>
              <w:t>värdepappersföretagets årliga vinst.</w:t>
            </w:r>
          </w:p>
        </w:tc>
      </w:tr>
      <w:tr w:rsidR="00DA369E" w:rsidRPr="00601AE3" w14:paraId="1B80E0A0" w14:textId="77777777">
        <w:tc>
          <w:tcPr>
            <w:tcW w:w="1129" w:type="dxa"/>
          </w:tcPr>
          <w:p w14:paraId="5A49D0EF"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lastRenderedPageBreak/>
              <w:t>0150</w:t>
            </w:r>
          </w:p>
        </w:tc>
        <w:tc>
          <w:tcPr>
            <w:tcW w:w="7620" w:type="dxa"/>
          </w:tcPr>
          <w:p w14:paraId="5CE14AEC"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Förluster från handel för egen räkning med finansiella instrument</w:t>
            </w:r>
          </w:p>
          <w:p w14:paraId="4A04215E"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Självförklarande.</w:t>
            </w:r>
          </w:p>
        </w:tc>
      </w:tr>
      <w:tr w:rsidR="00DA369E" w:rsidRPr="00601AE3" w14:paraId="0464C45E" w14:textId="77777777">
        <w:tc>
          <w:tcPr>
            <w:tcW w:w="1129" w:type="dxa"/>
          </w:tcPr>
          <w:p w14:paraId="3A362CEC"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0160</w:t>
            </w:r>
          </w:p>
        </w:tc>
        <w:tc>
          <w:tcPr>
            <w:tcW w:w="7620" w:type="dxa"/>
          </w:tcPr>
          <w:p w14:paraId="4B66288F"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Avtalsbaserade vinst- och förlustöverföringsavtal</w:t>
            </w:r>
          </w:p>
          <w:p w14:paraId="292ED316"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rPr>
              <w:t xml:space="preserve">Betalningar i samband med avtalsbaserade </w:t>
            </w:r>
            <w:r w:rsidRPr="00601AE3">
              <w:rPr>
                <w:rFonts w:ascii="Times New Roman" w:hAnsi="Times New Roman"/>
              </w:rPr>
              <w:t>resultatöverföringsavtal enligt vilka värdepappersföretaget är skyldigt att efter upprättandet av sin årsredovisning överföra sitt årsresultat till moderföretaget.</w:t>
            </w:r>
          </w:p>
        </w:tc>
      </w:tr>
      <w:tr w:rsidR="00DA369E" w:rsidRPr="00601AE3" w14:paraId="552A2AE6" w14:textId="77777777">
        <w:tc>
          <w:tcPr>
            <w:tcW w:w="1129" w:type="dxa"/>
          </w:tcPr>
          <w:p w14:paraId="28CE07AB"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0170</w:t>
            </w:r>
          </w:p>
        </w:tc>
        <w:tc>
          <w:tcPr>
            <w:tcW w:w="7620" w:type="dxa"/>
          </w:tcPr>
          <w:p w14:paraId="0308E379"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Råvarukostnader</w:t>
            </w:r>
          </w:p>
          <w:p w14:paraId="070B3CDA"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bookmarkStart w:id="49" w:name="_Toc38271703"/>
            <w:r w:rsidRPr="00601AE3">
              <w:rPr>
                <w:rFonts w:ascii="Times New Roman" w:hAnsi="Times New Roman"/>
                <w:color w:val="000000" w:themeColor="text1"/>
              </w:rPr>
              <w:t>Råvaruhandlare och utsläppshandlare får dra av kostnader för råvar</w:t>
            </w:r>
            <w:r w:rsidRPr="00601AE3">
              <w:rPr>
                <w:rFonts w:ascii="Times New Roman" w:hAnsi="Times New Roman"/>
                <w:color w:val="000000" w:themeColor="text1"/>
              </w:rPr>
              <w:t>or i samband med ett värdepappersföretag som handlar med derivat av den underliggande råvaran.</w:t>
            </w:r>
            <w:bookmarkEnd w:id="49"/>
          </w:p>
        </w:tc>
      </w:tr>
      <w:tr w:rsidR="00DA369E" w:rsidRPr="00601AE3" w14:paraId="790F1BBD" w14:textId="77777777">
        <w:tc>
          <w:tcPr>
            <w:tcW w:w="1129" w:type="dxa"/>
          </w:tcPr>
          <w:p w14:paraId="4DBC90C3"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0180</w:t>
            </w:r>
          </w:p>
        </w:tc>
        <w:tc>
          <w:tcPr>
            <w:tcW w:w="7620" w:type="dxa"/>
          </w:tcPr>
          <w:p w14:paraId="560A63E0"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Inbetalningar till en fond för allmän bankrisk</w:t>
            </w:r>
          </w:p>
          <w:p w14:paraId="67A67CD0"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color w:val="000000" w:themeColor="text1"/>
              </w:rPr>
              <w:t>Betalningar till en fond för allmänna risker i bankrörelse i enlighet med artikel 26.1 f i förordning (E</w:t>
            </w:r>
            <w:r w:rsidRPr="00601AE3">
              <w:rPr>
                <w:rFonts w:ascii="Times New Roman" w:hAnsi="Times New Roman"/>
                <w:color w:val="000000" w:themeColor="text1"/>
              </w:rPr>
              <w:t>U) nr 575/2013.</w:t>
            </w:r>
          </w:p>
        </w:tc>
      </w:tr>
      <w:tr w:rsidR="00DA369E" w:rsidRPr="00601AE3" w14:paraId="20B60DDC" w14:textId="77777777">
        <w:tc>
          <w:tcPr>
            <w:tcW w:w="1129" w:type="dxa"/>
          </w:tcPr>
          <w:p w14:paraId="53A81C3E"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0190</w:t>
            </w:r>
          </w:p>
        </w:tc>
        <w:tc>
          <w:tcPr>
            <w:tcW w:w="7620" w:type="dxa"/>
          </w:tcPr>
          <w:p w14:paraId="735056A7"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 Kostnader för poster som redan har dragits av från kapitalbasen</w:t>
            </w:r>
          </w:p>
          <w:p w14:paraId="6C194697"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color w:val="000000" w:themeColor="text1"/>
              </w:rPr>
              <w:t>Kostnader för poster som redan har dragits av från kapitalbasen i enlighet med artikel 36.1 i förordning (EU) nr 575/2013.</w:t>
            </w:r>
          </w:p>
        </w:tc>
      </w:tr>
      <w:tr w:rsidR="00DA369E" w:rsidRPr="00601AE3" w14:paraId="7FA4943E" w14:textId="77777777">
        <w:tc>
          <w:tcPr>
            <w:tcW w:w="1129" w:type="dxa"/>
          </w:tcPr>
          <w:p w14:paraId="033E8645"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0200</w:t>
            </w:r>
          </w:p>
        </w:tc>
        <w:tc>
          <w:tcPr>
            <w:tcW w:w="7620" w:type="dxa"/>
          </w:tcPr>
          <w:p w14:paraId="10B1B446"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Prognosticerade fasta omkostnader för</w:t>
            </w:r>
            <w:r w:rsidRPr="00601AE3">
              <w:rPr>
                <w:rFonts w:ascii="Times New Roman" w:hAnsi="Times New Roman"/>
                <w:b/>
                <w:color w:val="000000" w:themeColor="text1"/>
                <w:u w:val="single"/>
              </w:rPr>
              <w:t xml:space="preserve"> innevarande år</w:t>
            </w:r>
          </w:p>
          <w:p w14:paraId="0C5DA58C"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Prognosticeringen av de fasta omkostnaderna för innevarande år efter vinstutdelningen.</w:t>
            </w:r>
          </w:p>
        </w:tc>
      </w:tr>
      <w:tr w:rsidR="00DA369E" w:rsidRPr="00601AE3" w14:paraId="3BB491E0" w14:textId="77777777">
        <w:tc>
          <w:tcPr>
            <w:tcW w:w="1129" w:type="dxa"/>
          </w:tcPr>
          <w:p w14:paraId="67D80B0D"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0210</w:t>
            </w:r>
          </w:p>
        </w:tc>
        <w:tc>
          <w:tcPr>
            <w:tcW w:w="7620" w:type="dxa"/>
          </w:tcPr>
          <w:p w14:paraId="662CEDBA" w14:textId="77777777" w:rsidR="00DA369E" w:rsidRPr="00601AE3" w:rsidRDefault="00601AE3">
            <w:pPr>
              <w:spacing w:after="120" w:line="240" w:lineRule="auto"/>
              <w:jc w:val="both"/>
              <w:rPr>
                <w:rFonts w:ascii="Times New Roman" w:eastAsia="Times New Roman" w:hAnsi="Times New Roman" w:cs="Times New Roman"/>
                <w:b/>
                <w:bCs/>
                <w:color w:val="000000" w:themeColor="text1"/>
                <w:u w:val="single"/>
              </w:rPr>
            </w:pPr>
            <w:r w:rsidRPr="00601AE3">
              <w:rPr>
                <w:rFonts w:ascii="Times New Roman" w:hAnsi="Times New Roman"/>
                <w:b/>
                <w:color w:val="000000" w:themeColor="text1"/>
                <w:u w:val="single"/>
              </w:rPr>
              <w:t>Variation i fasta omkostnader (%)</w:t>
            </w:r>
          </w:p>
          <w:p w14:paraId="64A8EA03"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Beloppet ska anges som det absoluta värdet av följande:</w:t>
            </w:r>
          </w:p>
          <w:p w14:paraId="3F264F14" w14:textId="77777777" w:rsidR="00DA369E" w:rsidRPr="00601AE3" w:rsidRDefault="00601AE3">
            <w:pPr>
              <w:spacing w:after="120" w:line="240" w:lineRule="auto"/>
              <w:jc w:val="both"/>
              <w:rPr>
                <w:rFonts w:ascii="Times New Roman" w:eastAsia="Times New Roman" w:hAnsi="Times New Roman" w:cs="Times New Roman"/>
                <w:bCs/>
                <w:color w:val="000000" w:themeColor="text1"/>
              </w:rPr>
            </w:pPr>
            <w:r w:rsidRPr="00601AE3">
              <w:rPr>
                <w:rFonts w:ascii="Times New Roman" w:hAnsi="Times New Roman"/>
                <w:color w:val="000000" w:themeColor="text1"/>
              </w:rPr>
              <w:t xml:space="preserve">[(Årliga fasta omkostnader för innevarande år) – </w:t>
            </w:r>
            <w:r w:rsidRPr="00601AE3">
              <w:rPr>
                <w:rFonts w:ascii="Times New Roman" w:hAnsi="Times New Roman"/>
                <w:color w:val="000000" w:themeColor="text1"/>
              </w:rPr>
              <w:t>(Prognostiserade fasta omkostnader för föregående år)]/(Årliga fasta omkostnader för föregående år)].</w:t>
            </w:r>
          </w:p>
        </w:tc>
      </w:tr>
    </w:tbl>
    <w:p w14:paraId="194D0F86" w14:textId="77777777" w:rsidR="00DA369E" w:rsidRPr="00601AE3" w:rsidRDefault="00DA369E">
      <w:pPr>
        <w:spacing w:after="120" w:line="240" w:lineRule="auto"/>
        <w:jc w:val="both"/>
        <w:rPr>
          <w:rFonts w:ascii="Times New Roman" w:eastAsia="Times New Roman" w:hAnsi="Times New Roman" w:cs="Times New Roman"/>
          <w:sz w:val="24"/>
          <w:szCs w:val="24"/>
        </w:rPr>
      </w:pPr>
    </w:p>
    <w:p w14:paraId="3C5956A8" w14:textId="77777777" w:rsidR="00DA369E" w:rsidRPr="00601AE3" w:rsidRDefault="00601AE3">
      <w:pPr>
        <w:pStyle w:val="Instructionsberschrift2"/>
        <w:ind w:left="357" w:hanging="357"/>
        <w:rPr>
          <w:rFonts w:ascii="Times New Roman" w:hAnsi="Times New Roman" w:cs="Times New Roman"/>
          <w:sz w:val="24"/>
          <w:u w:val="none"/>
        </w:rPr>
      </w:pPr>
      <w:bookmarkStart w:id="50" w:name="_Toc76557289"/>
      <w:bookmarkStart w:id="51" w:name="_Toc88219811"/>
      <w:r w:rsidRPr="00601AE3">
        <w:rPr>
          <w:rFonts w:ascii="Times New Roman" w:hAnsi="Times New Roman"/>
          <w:sz w:val="24"/>
          <w:u w:val="none"/>
        </w:rPr>
        <w:t>2. SMÅ OCH ICKE-SAMMANLÄNKADE VÄRDEPAPPERSFÖRETAG</w:t>
      </w:r>
      <w:bookmarkEnd w:id="50"/>
      <w:bookmarkEnd w:id="51"/>
    </w:p>
    <w:p w14:paraId="4A5E2FBD"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2" w:name="_Toc473560875"/>
      <w:bookmarkStart w:id="53" w:name="_Toc7084160"/>
      <w:bookmarkStart w:id="54" w:name="_Toc76557290"/>
      <w:bookmarkStart w:id="55" w:name="_Toc88219812"/>
      <w:bookmarkStart w:id="56" w:name="_Toc308175823"/>
      <w:bookmarkStart w:id="57" w:name="_Toc360188327"/>
      <w:r w:rsidRPr="00601AE3">
        <w:rPr>
          <w:rFonts w:ascii="Times New Roman" w:hAnsi="Times New Roman"/>
          <w:sz w:val="24"/>
        </w:rPr>
        <w:t>2,1</w:t>
      </w:r>
      <w:r w:rsidRPr="00601AE3">
        <w:tab/>
      </w:r>
      <w:r w:rsidRPr="00601AE3">
        <w:rPr>
          <w:rFonts w:ascii="Times New Roman" w:hAnsi="Times New Roman"/>
          <w:sz w:val="24"/>
          <w:u w:val="single"/>
        </w:rPr>
        <w:t>I 05.00 – VERKSAMHETSNIVÅ – ÖVERSYN AV TRÖSKELVÄRDEN (I 5)</w:t>
      </w:r>
      <w:bookmarkEnd w:id="52"/>
      <w:bookmarkEnd w:id="53"/>
      <w:bookmarkEnd w:id="54"/>
      <w:bookmarkEnd w:id="55"/>
      <w:bookmarkEnd w:id="56"/>
      <w:bookmarkEnd w:id="57"/>
    </w:p>
    <w:p w14:paraId="1A5A5528"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58" w:name="_Toc308175824"/>
      <w:bookmarkStart w:id="59" w:name="_Toc310414970"/>
      <w:bookmarkStart w:id="60" w:name="_Toc360188328"/>
      <w:bookmarkStart w:id="61" w:name="_Toc473560876"/>
      <w:bookmarkStart w:id="62" w:name="_Toc7084161"/>
      <w:bookmarkStart w:id="63" w:name="_Toc76557291"/>
      <w:bookmarkStart w:id="64" w:name="_Toc88219813"/>
      <w:r w:rsidRPr="00601AE3">
        <w:rPr>
          <w:rFonts w:ascii="Times New Roman" w:hAnsi="Times New Roman"/>
          <w:sz w:val="24"/>
        </w:rPr>
        <w:t>2.1.1</w:t>
      </w:r>
      <w:r w:rsidRPr="00601AE3">
        <w:rPr>
          <w:rFonts w:ascii="Times New Roman" w:hAnsi="Times New Roman"/>
          <w:sz w:val="24"/>
        </w:rPr>
        <w:tab/>
      </w:r>
      <w:r w:rsidRPr="00601AE3">
        <w:rPr>
          <w:rFonts w:ascii="Times New Roman" w:hAnsi="Times New Roman"/>
          <w:sz w:val="24"/>
          <w:u w:val="single"/>
        </w:rPr>
        <w:t xml:space="preserve">Instruktioner för specifika </w:t>
      </w:r>
      <w:bookmarkEnd w:id="58"/>
      <w:bookmarkEnd w:id="59"/>
      <w:r w:rsidRPr="00601AE3">
        <w:rPr>
          <w:rFonts w:ascii="Times New Roman" w:hAnsi="Times New Roman"/>
          <w:sz w:val="24"/>
          <w:u w:val="single"/>
        </w:rPr>
        <w:t>positioner</w:t>
      </w:r>
      <w:bookmarkEnd w:id="60"/>
      <w:bookmarkEnd w:id="61"/>
      <w:bookmarkEnd w:id="62"/>
      <w:bookmarkEnd w:id="63"/>
      <w:bookmarkEnd w:id="64"/>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6B3303B3" w14:textId="77777777">
        <w:tc>
          <w:tcPr>
            <w:tcW w:w="1129" w:type="dxa"/>
            <w:shd w:val="clear" w:color="auto" w:fill="D9D9D9"/>
          </w:tcPr>
          <w:p w14:paraId="16819DC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Rad</w:t>
            </w:r>
          </w:p>
        </w:tc>
        <w:tc>
          <w:tcPr>
            <w:tcW w:w="7620" w:type="dxa"/>
            <w:shd w:val="clear" w:color="auto" w:fill="D9D9D9"/>
          </w:tcPr>
          <w:p w14:paraId="058F72C8"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Rättsliga hänvisningar och instruktioner</w:t>
            </w:r>
          </w:p>
        </w:tc>
      </w:tr>
      <w:tr w:rsidR="00DA369E" w:rsidRPr="00601AE3" w14:paraId="54F069D0" w14:textId="77777777">
        <w:tc>
          <w:tcPr>
            <w:tcW w:w="1129" w:type="dxa"/>
          </w:tcPr>
          <w:p w14:paraId="1F21C7D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0010</w:t>
            </w:r>
          </w:p>
        </w:tc>
        <w:tc>
          <w:tcPr>
            <w:tcW w:w="7620" w:type="dxa"/>
          </w:tcPr>
          <w:p w14:paraId="6DFC467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(Kombinerade) förvaltade tillgångar</w:t>
            </w:r>
          </w:p>
          <w:p w14:paraId="0228286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a i förordning (EU) 2019/2033.</w:t>
            </w:r>
          </w:p>
          <w:p w14:paraId="59A219D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Om det rapporterande värdepappersföretaget ingår i en grupp ska det </w:t>
            </w:r>
            <w:r w:rsidRPr="00601AE3">
              <w:rPr>
                <w:rFonts w:ascii="Times New Roman" w:hAnsi="Times New Roman"/>
              </w:rPr>
              <w:t>redovisade värdet fastställas tillsammans för alla värdepappersföretag som ingår i en grupp i enlighet med artikel 12.2 i förordning (EU) 2019/2033.</w:t>
            </w:r>
          </w:p>
          <w:p w14:paraId="3AC5DF3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Värdepappersföretag ska inkludera diskretionära och icke-diskretionära tillgångar under förvaltning.</w:t>
            </w:r>
          </w:p>
          <w:p w14:paraId="5412165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Det re</w:t>
            </w:r>
            <w:r w:rsidRPr="00601AE3">
              <w:rPr>
                <w:rFonts w:ascii="Times New Roman" w:hAnsi="Times New Roman"/>
              </w:rPr>
              <w:t>dovisade beloppet ska vara det belopp som skulle användas för beräkning av K-faktorer före tillämpning av relevanta koefficienter.</w:t>
            </w:r>
          </w:p>
        </w:tc>
      </w:tr>
      <w:tr w:rsidR="00DA369E" w:rsidRPr="00601AE3" w14:paraId="5E2CDC7E" w14:textId="77777777">
        <w:tc>
          <w:tcPr>
            <w:tcW w:w="1129" w:type="dxa"/>
          </w:tcPr>
          <w:p w14:paraId="261838B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0020</w:t>
            </w:r>
          </w:p>
        </w:tc>
        <w:tc>
          <w:tcPr>
            <w:tcW w:w="7620" w:type="dxa"/>
          </w:tcPr>
          <w:p w14:paraId="0A448A64"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(Kombinerad) hantering av kundorder – kontanttransaktioner</w:t>
            </w:r>
          </w:p>
          <w:p w14:paraId="027DE3D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b i i förordning (EU) 2019/2033.</w:t>
            </w:r>
          </w:p>
          <w:p w14:paraId="329B5E5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 xml:space="preserve">Om det </w:t>
            </w:r>
            <w:r w:rsidRPr="00601AE3">
              <w:rPr>
                <w:rFonts w:ascii="Times New Roman" w:hAnsi="Times New Roman"/>
              </w:rPr>
              <w:t>rapporterande värdepappersföretaget ingår i en grupp ska det redovisade värdet fastställas tillsammans för alla värdepappersföretag som ingår i en grupp i enlighet med artikel 12.2 i förordning (EU) 2019/2033.</w:t>
            </w:r>
          </w:p>
          <w:p w14:paraId="0D7F0D4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belopp so</w:t>
            </w:r>
            <w:r w:rsidRPr="00601AE3">
              <w:rPr>
                <w:rFonts w:ascii="Times New Roman" w:hAnsi="Times New Roman"/>
              </w:rPr>
              <w:t>m skulle användas för beräkning av K-faktorer före tillämpning av relevanta koefficienter.</w:t>
            </w:r>
          </w:p>
        </w:tc>
      </w:tr>
      <w:tr w:rsidR="00DA369E" w:rsidRPr="00601AE3" w14:paraId="38E0A4A9" w14:textId="77777777">
        <w:tc>
          <w:tcPr>
            <w:tcW w:w="1129" w:type="dxa"/>
          </w:tcPr>
          <w:p w14:paraId="7A13B21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0030</w:t>
            </w:r>
          </w:p>
        </w:tc>
        <w:tc>
          <w:tcPr>
            <w:tcW w:w="7620" w:type="dxa"/>
          </w:tcPr>
          <w:p w14:paraId="60A4719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(Kombinerad) hantering av kundorder – derivat</w:t>
            </w:r>
          </w:p>
          <w:p w14:paraId="1FA6F8F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b i i förordning (EU) 2019/2033.</w:t>
            </w:r>
          </w:p>
          <w:p w14:paraId="63AAC5C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Om det rapporterande värdepappersföretaget ingår i en grupp ska det</w:t>
            </w:r>
            <w:r w:rsidRPr="00601AE3">
              <w:rPr>
                <w:rFonts w:ascii="Times New Roman" w:hAnsi="Times New Roman"/>
              </w:rPr>
              <w:t xml:space="preserve"> redovisade värdet fastställas tillsammans för alla värdepappersföretag som ingår i en grupp i enlighet med artikel 12.2 i förordning (EU) 2019/2033.</w:t>
            </w:r>
          </w:p>
          <w:p w14:paraId="2972EC5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belopp som skulle användas för beräkning av K-faktorer före tillämpni</w:t>
            </w:r>
            <w:r w:rsidRPr="00601AE3">
              <w:rPr>
                <w:rFonts w:ascii="Times New Roman" w:hAnsi="Times New Roman"/>
              </w:rPr>
              <w:t>ng av relevanta koefficienter.</w:t>
            </w:r>
          </w:p>
        </w:tc>
      </w:tr>
      <w:tr w:rsidR="00DA369E" w:rsidRPr="00601AE3" w14:paraId="77D6698E" w14:textId="77777777">
        <w:tc>
          <w:tcPr>
            <w:tcW w:w="1129" w:type="dxa"/>
          </w:tcPr>
          <w:p w14:paraId="1D19BAF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0040</w:t>
            </w:r>
          </w:p>
        </w:tc>
        <w:tc>
          <w:tcPr>
            <w:tcW w:w="7620" w:type="dxa"/>
          </w:tcPr>
          <w:p w14:paraId="7F25775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Tillgångar under förvaring och administration</w:t>
            </w:r>
          </w:p>
          <w:p w14:paraId="5B5FD22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c i förordning (EU) 2019/2033.</w:t>
            </w:r>
          </w:p>
          <w:p w14:paraId="060E90D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Det redovisade beloppet ska vara det belopp som skulle användas för beräkning av K-faktorer före tillämpning av </w:t>
            </w:r>
            <w:r w:rsidRPr="00601AE3">
              <w:rPr>
                <w:rFonts w:ascii="Times New Roman" w:hAnsi="Times New Roman"/>
              </w:rPr>
              <w:t>relevanta koefficienter.</w:t>
            </w:r>
          </w:p>
        </w:tc>
      </w:tr>
      <w:tr w:rsidR="00DA369E" w:rsidRPr="00601AE3" w14:paraId="6D89B149" w14:textId="77777777">
        <w:tc>
          <w:tcPr>
            <w:tcW w:w="1129" w:type="dxa"/>
          </w:tcPr>
          <w:p w14:paraId="779C5F4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0050</w:t>
            </w:r>
          </w:p>
        </w:tc>
        <w:tc>
          <w:tcPr>
            <w:tcW w:w="7620" w:type="dxa"/>
          </w:tcPr>
          <w:p w14:paraId="4500EA69"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Innehav av kundmedel</w:t>
            </w:r>
          </w:p>
          <w:p w14:paraId="4F2D851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d i förordning (EU) 2019/2033.</w:t>
            </w:r>
          </w:p>
          <w:p w14:paraId="205810D0"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belopp som skulle användas för beräkning av K-faktorer före tillämpning av relevanta koefficienter.</w:t>
            </w:r>
          </w:p>
        </w:tc>
      </w:tr>
      <w:tr w:rsidR="00DA369E" w:rsidRPr="00601AE3" w14:paraId="61263074" w14:textId="77777777">
        <w:tc>
          <w:tcPr>
            <w:tcW w:w="1129" w:type="dxa"/>
          </w:tcPr>
          <w:p w14:paraId="5663206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0060</w:t>
            </w:r>
          </w:p>
        </w:tc>
        <w:tc>
          <w:tcPr>
            <w:tcW w:w="7620" w:type="dxa"/>
          </w:tcPr>
          <w:p w14:paraId="33DFC67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Daglig </w:t>
            </w:r>
            <w:r w:rsidRPr="00601AE3">
              <w:rPr>
                <w:rFonts w:ascii="Times New Roman" w:hAnsi="Times New Roman"/>
                <w:b/>
                <w:u w:val="single"/>
              </w:rPr>
              <w:t>handelsaktivitet – kontanttransaktioner och derivattransaktioner</w:t>
            </w:r>
          </w:p>
          <w:p w14:paraId="2ACCDCE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e i förordning (EU) 2019/2033.</w:t>
            </w:r>
          </w:p>
          <w:p w14:paraId="104278E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belopp som skulle användas för beräkning av K-faktorer före tillämpning av relevanta koefficienter.</w:t>
            </w:r>
          </w:p>
        </w:tc>
      </w:tr>
      <w:tr w:rsidR="00DA369E" w:rsidRPr="00601AE3" w14:paraId="27370220" w14:textId="77777777">
        <w:tc>
          <w:tcPr>
            <w:tcW w:w="1129" w:type="dxa"/>
          </w:tcPr>
          <w:p w14:paraId="111DC4D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0070</w:t>
            </w:r>
          </w:p>
        </w:tc>
        <w:tc>
          <w:tcPr>
            <w:tcW w:w="7620" w:type="dxa"/>
          </w:tcPr>
          <w:p w14:paraId="3E15E2E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Nett</w:t>
            </w:r>
            <w:r w:rsidRPr="00601AE3">
              <w:rPr>
                <w:rFonts w:ascii="Times New Roman" w:hAnsi="Times New Roman"/>
                <w:b/>
                <w:u w:val="single"/>
              </w:rPr>
              <w:t>opositionsrisk</w:t>
            </w:r>
          </w:p>
          <w:p w14:paraId="68AF37A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f i förordning (EU) 2019/2033.</w:t>
            </w:r>
          </w:p>
          <w:p w14:paraId="24F6B2D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belopp som skulle användas för beräkning av K-faktorer före tillämpning av relevanta koefficienter.</w:t>
            </w:r>
          </w:p>
        </w:tc>
      </w:tr>
      <w:tr w:rsidR="00DA369E" w:rsidRPr="00601AE3" w14:paraId="6BCE8425" w14:textId="77777777">
        <w:tc>
          <w:tcPr>
            <w:tcW w:w="1129" w:type="dxa"/>
          </w:tcPr>
          <w:p w14:paraId="0459455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0080</w:t>
            </w:r>
          </w:p>
        </w:tc>
        <w:tc>
          <w:tcPr>
            <w:tcW w:w="7620" w:type="dxa"/>
          </w:tcPr>
          <w:p w14:paraId="6FC4F709"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Angiven clearingmarginal</w:t>
            </w:r>
          </w:p>
          <w:p w14:paraId="7246007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f i förordning (</w:t>
            </w:r>
            <w:r w:rsidRPr="00601AE3">
              <w:rPr>
                <w:rFonts w:ascii="Times New Roman" w:hAnsi="Times New Roman"/>
              </w:rPr>
              <w:t>EU) 2019/2033.</w:t>
            </w:r>
          </w:p>
          <w:p w14:paraId="028CBA2A" w14:textId="77777777" w:rsidR="00DA369E" w:rsidRPr="00601AE3" w:rsidRDefault="00601AE3">
            <w:pPr>
              <w:spacing w:after="120" w:line="240" w:lineRule="auto"/>
              <w:jc w:val="both"/>
              <w:rPr>
                <w:rFonts w:ascii="Times New Roman" w:eastAsia="Times New Roman" w:hAnsi="Times New Roman" w:cs="Times New Roman"/>
                <w:b/>
                <w:bCs/>
              </w:rPr>
            </w:pPr>
            <w:r w:rsidRPr="00601AE3">
              <w:rPr>
                <w:rFonts w:ascii="Times New Roman" w:hAnsi="Times New Roman"/>
              </w:rPr>
              <w:t>Det redovisade beloppet ska vara det belopp som skulle användas för beräkning av K-faktorer före tillämpning av relevanta koefficienter.</w:t>
            </w:r>
          </w:p>
        </w:tc>
      </w:tr>
      <w:tr w:rsidR="00DA369E" w:rsidRPr="00601AE3" w14:paraId="5CA5031C" w14:textId="77777777">
        <w:tc>
          <w:tcPr>
            <w:tcW w:w="1129" w:type="dxa"/>
          </w:tcPr>
          <w:p w14:paraId="6CB063B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0090</w:t>
            </w:r>
          </w:p>
        </w:tc>
        <w:tc>
          <w:tcPr>
            <w:tcW w:w="7620" w:type="dxa"/>
          </w:tcPr>
          <w:p w14:paraId="45ED95E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Motpartsrisk</w:t>
            </w:r>
          </w:p>
          <w:p w14:paraId="469DA57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g i förordning (EU) 2019/2033.</w:t>
            </w:r>
          </w:p>
          <w:p w14:paraId="28E10C6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redovisade beloppet ska vara det belo</w:t>
            </w:r>
            <w:r w:rsidRPr="00601AE3">
              <w:rPr>
                <w:rFonts w:ascii="Times New Roman" w:hAnsi="Times New Roman"/>
              </w:rPr>
              <w:t>pp som skulle användas för beräkning av K-faktorer före tillämpning av relevanta koefficienter.</w:t>
            </w:r>
          </w:p>
        </w:tc>
      </w:tr>
      <w:tr w:rsidR="00DA369E" w:rsidRPr="00601AE3" w14:paraId="5C80D9A4" w14:textId="77777777">
        <w:tc>
          <w:tcPr>
            <w:tcW w:w="1129" w:type="dxa"/>
          </w:tcPr>
          <w:p w14:paraId="41753E8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0100</w:t>
            </w:r>
          </w:p>
        </w:tc>
        <w:tc>
          <w:tcPr>
            <w:tcW w:w="7620" w:type="dxa"/>
          </w:tcPr>
          <w:p w14:paraId="49EBEC4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(Kombinerad) balansomslutnng i och utanför balansräkningen</w:t>
            </w:r>
          </w:p>
          <w:p w14:paraId="7AD50F1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12.1 h i förordning (EU) 2019/2033.</w:t>
            </w:r>
          </w:p>
          <w:p w14:paraId="5AB13D1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Om det rapporterande </w:t>
            </w:r>
            <w:r w:rsidRPr="00601AE3">
              <w:rPr>
                <w:rFonts w:ascii="Times New Roman" w:hAnsi="Times New Roman"/>
              </w:rPr>
              <w:t>värdepappersföretaget ingår i en grupp ska det redovisade värdet fastställas tillsammans för alla värdepappersföretag som ingår i en grupp i enlighet med artikel 12.2 i förordning (EU) 2019/2033.</w:t>
            </w:r>
          </w:p>
        </w:tc>
      </w:tr>
      <w:tr w:rsidR="00DA369E" w:rsidRPr="00601AE3" w14:paraId="0266B96D" w14:textId="77777777">
        <w:tc>
          <w:tcPr>
            <w:tcW w:w="1129" w:type="dxa"/>
          </w:tcPr>
          <w:p w14:paraId="562A5D5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0110</w:t>
            </w:r>
          </w:p>
        </w:tc>
        <w:tc>
          <w:tcPr>
            <w:tcW w:w="7620" w:type="dxa"/>
          </w:tcPr>
          <w:p w14:paraId="324AC61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Kombinerade totala årliga bruttointäkter</w:t>
            </w:r>
          </w:p>
          <w:p w14:paraId="799F30A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12.1 </w:t>
            </w:r>
            <w:r w:rsidRPr="00601AE3">
              <w:rPr>
                <w:rFonts w:ascii="Times New Roman" w:hAnsi="Times New Roman"/>
              </w:rPr>
              <w:t>i i förordning (EU) 2019/2033.</w:t>
            </w:r>
          </w:p>
          <w:p w14:paraId="6B19987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Om det rapporterande värdepappersföretaget ingår i en grupp ska det redovisade värdet fastställas </w:t>
            </w:r>
            <w:r w:rsidRPr="00601AE3">
              <w:rPr>
                <w:rFonts w:ascii="Times New Roman" w:hAnsi="Times New Roman"/>
                <w:u w:val="single"/>
              </w:rPr>
              <w:t>tillsammans</w:t>
            </w:r>
            <w:r w:rsidRPr="00601AE3">
              <w:rPr>
                <w:rFonts w:ascii="Times New Roman" w:hAnsi="Times New Roman"/>
              </w:rPr>
              <w:t xml:space="preserve"> för alla värdepappersföretag som ingår i en grupp i enlighet med artikel 12.2 i förordning (EU) 2019/2033.</w:t>
            </w:r>
          </w:p>
          <w:p w14:paraId="4FFB9A99"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Det redo</w:t>
            </w:r>
            <w:r w:rsidRPr="00601AE3">
              <w:rPr>
                <w:rFonts w:ascii="Times New Roman" w:hAnsi="Times New Roman"/>
              </w:rPr>
              <w:t>visade värdet ska vara (rad 0120 + rad 0130).</w:t>
            </w:r>
          </w:p>
        </w:tc>
      </w:tr>
      <w:tr w:rsidR="00DA369E" w:rsidRPr="00601AE3" w14:paraId="71BE9C2B" w14:textId="77777777">
        <w:tc>
          <w:tcPr>
            <w:tcW w:w="1129" w:type="dxa"/>
          </w:tcPr>
          <w:p w14:paraId="39E435E8"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0120</w:t>
            </w:r>
          </w:p>
        </w:tc>
        <w:tc>
          <w:tcPr>
            <w:tcW w:w="7620" w:type="dxa"/>
          </w:tcPr>
          <w:p w14:paraId="02F4DEA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Totala årliga bruttointäkter</w:t>
            </w:r>
          </w:p>
          <w:p w14:paraId="070F51B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 xml:space="preserve">Värdet av de totala årliga bruttointäkterna </w:t>
            </w:r>
            <w:r w:rsidRPr="00601AE3">
              <w:rPr>
                <w:rFonts w:ascii="Times New Roman" w:hAnsi="Times New Roman"/>
                <w:u w:val="single"/>
              </w:rPr>
              <w:t>exklusive</w:t>
            </w:r>
            <w:r w:rsidRPr="00601AE3">
              <w:rPr>
                <w:rFonts w:ascii="Times New Roman" w:hAnsi="Times New Roman"/>
              </w:rPr>
              <w:t xml:space="preserve"> de bruttointäkter som genereras inom gruppen i enlighet med artikel 12.2 i förordning (EU) 2019/2033.</w:t>
            </w:r>
          </w:p>
        </w:tc>
      </w:tr>
      <w:tr w:rsidR="00DA369E" w:rsidRPr="00601AE3" w14:paraId="5193CDEB" w14:textId="77777777">
        <w:tc>
          <w:tcPr>
            <w:tcW w:w="1129" w:type="dxa"/>
          </w:tcPr>
          <w:p w14:paraId="387A016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0130</w:t>
            </w:r>
          </w:p>
        </w:tc>
        <w:tc>
          <w:tcPr>
            <w:tcW w:w="7620" w:type="dxa"/>
          </w:tcPr>
          <w:p w14:paraId="3B952E7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Gruppintern del av de årliga bruttointäkterna</w:t>
            </w:r>
          </w:p>
          <w:p w14:paraId="6524D88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Värdet av de totala årliga bruttointäkter som genereras inom värdepappersgruppen i enlighet med a</w:t>
            </w:r>
            <w:r w:rsidRPr="00601AE3">
              <w:rPr>
                <w:rFonts w:ascii="Times New Roman" w:hAnsi="Times New Roman"/>
              </w:rPr>
              <w:t>rtikel 12.2 i förordning (EU) 2019/2033.</w:t>
            </w:r>
          </w:p>
        </w:tc>
      </w:tr>
      <w:tr w:rsidR="00DA369E" w:rsidRPr="00601AE3" w14:paraId="5CC23505" w14:textId="77777777">
        <w:tc>
          <w:tcPr>
            <w:tcW w:w="1129" w:type="dxa"/>
          </w:tcPr>
          <w:p w14:paraId="2E4F9B8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0140</w:t>
            </w:r>
          </w:p>
        </w:tc>
        <w:tc>
          <w:tcPr>
            <w:tcW w:w="7620" w:type="dxa"/>
          </w:tcPr>
          <w:p w14:paraId="3F0E0D6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mottagande och vidarebefordran av kundorder</w:t>
            </w:r>
          </w:p>
          <w:p w14:paraId="19257C0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4E137D7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4.1.2 i direktiv 2014/65/EU.</w:t>
            </w:r>
          </w:p>
        </w:tc>
      </w:tr>
      <w:tr w:rsidR="00DA369E" w:rsidRPr="00601AE3" w14:paraId="7F2C62DC" w14:textId="77777777">
        <w:tc>
          <w:tcPr>
            <w:tcW w:w="1129" w:type="dxa"/>
          </w:tcPr>
          <w:p w14:paraId="2178F06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0150</w:t>
            </w:r>
          </w:p>
        </w:tc>
        <w:tc>
          <w:tcPr>
            <w:tcW w:w="7620" w:type="dxa"/>
          </w:tcPr>
          <w:p w14:paraId="37AACB3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Varav: Intäkter från utförande av order för </w:t>
            </w:r>
            <w:r w:rsidRPr="00601AE3">
              <w:rPr>
                <w:rFonts w:ascii="Times New Roman" w:hAnsi="Times New Roman"/>
                <w:b/>
                <w:u w:val="single"/>
              </w:rPr>
              <w:t>kunders räkning</w:t>
            </w:r>
          </w:p>
          <w:p w14:paraId="2E42371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3D479BA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4.1.2 i direktiv 2014/65/EU.</w:t>
            </w:r>
          </w:p>
        </w:tc>
      </w:tr>
      <w:tr w:rsidR="00DA369E" w:rsidRPr="00601AE3" w14:paraId="322A7A94" w14:textId="77777777">
        <w:tc>
          <w:tcPr>
            <w:tcW w:w="1129" w:type="dxa"/>
          </w:tcPr>
          <w:p w14:paraId="64D98D6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0160</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center"/>
          </w:tcPr>
          <w:p w14:paraId="09128F7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handel för egen räkning</w:t>
            </w:r>
          </w:p>
          <w:p w14:paraId="2815D8E4"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692E597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47693C4C" w14:textId="77777777">
        <w:tc>
          <w:tcPr>
            <w:tcW w:w="1129" w:type="dxa"/>
          </w:tcPr>
          <w:p w14:paraId="22AD458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5103A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Varav: </w:t>
            </w:r>
            <w:r w:rsidRPr="00601AE3">
              <w:rPr>
                <w:rFonts w:ascii="Times New Roman" w:hAnsi="Times New Roman"/>
                <w:b/>
                <w:u w:val="single"/>
              </w:rPr>
              <w:t>Intäkter från portföljförvaltning</w:t>
            </w:r>
          </w:p>
          <w:p w14:paraId="7B057BD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1C6E1D5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54411102" w14:textId="77777777">
        <w:tc>
          <w:tcPr>
            <w:tcW w:w="1129" w:type="dxa"/>
          </w:tcPr>
          <w:p w14:paraId="2B3AFC5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0EF491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investeringsrådgivning</w:t>
            </w:r>
          </w:p>
          <w:p w14:paraId="46D37C4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3A546F5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6D7E72A1" w14:textId="77777777">
        <w:tc>
          <w:tcPr>
            <w:tcW w:w="1129" w:type="dxa"/>
          </w:tcPr>
          <w:p w14:paraId="5F366BD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0190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5D4097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garantiverksamhet för finansiella instrument/placering på grundval av ett fast åtagande</w:t>
            </w:r>
          </w:p>
          <w:p w14:paraId="727B3B4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7C9EA72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665A2C14" w14:textId="77777777">
        <w:tc>
          <w:tcPr>
            <w:tcW w:w="1129" w:type="dxa"/>
          </w:tcPr>
          <w:p w14:paraId="27007C0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0200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8A2136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placeringar utan fast åtagande</w:t>
            </w:r>
          </w:p>
          <w:p w14:paraId="5CCEEC2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w:t>
            </w:r>
            <w:r w:rsidRPr="00601AE3">
              <w:rPr>
                <w:rFonts w:ascii="Times New Roman" w:hAnsi="Times New Roman"/>
              </w:rPr>
              <w:t>54.1 d i förordning (EU) 2019/2033.</w:t>
            </w:r>
          </w:p>
          <w:p w14:paraId="09463B3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132A7DB9" w14:textId="77777777">
        <w:tc>
          <w:tcPr>
            <w:tcW w:w="1129" w:type="dxa"/>
          </w:tcPr>
          <w:p w14:paraId="2C59F49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0210</w:t>
            </w:r>
          </w:p>
        </w:tc>
        <w:tc>
          <w:tcPr>
            <w:tcW w:w="7620" w:type="dxa"/>
            <w:tcBorders>
              <w:top w:val="nil"/>
              <w:left w:val="single" w:sz="4" w:space="0" w:color="auto"/>
              <w:bottom w:val="single" w:sz="4" w:space="0" w:color="auto"/>
              <w:right w:val="single" w:sz="4" w:space="0" w:color="auto"/>
            </w:tcBorders>
            <w:shd w:val="clear" w:color="auto" w:fill="auto"/>
            <w:vAlign w:val="center"/>
          </w:tcPr>
          <w:p w14:paraId="1208882B"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driften av en MTF</w:t>
            </w:r>
          </w:p>
          <w:p w14:paraId="6C5C8826"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34E0124A"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0087E289" w14:textId="77777777">
        <w:tc>
          <w:tcPr>
            <w:tcW w:w="1129" w:type="dxa"/>
          </w:tcPr>
          <w:p w14:paraId="6025D7B4"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6D108C2"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driften av en OTF</w:t>
            </w:r>
          </w:p>
          <w:p w14:paraId="3C49B15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Artikel 54.1 d i förordning (EU) 2019/2033.</w:t>
            </w:r>
          </w:p>
          <w:p w14:paraId="7224957D"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4.1.2 i direktiv 2014/65/EU.</w:t>
            </w:r>
          </w:p>
        </w:tc>
      </w:tr>
      <w:tr w:rsidR="00DA369E" w:rsidRPr="00601AE3" w14:paraId="2C0885DD" w14:textId="77777777">
        <w:tc>
          <w:tcPr>
            <w:tcW w:w="1129" w:type="dxa"/>
          </w:tcPr>
          <w:p w14:paraId="780A5AA3"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0230</w:t>
            </w:r>
          </w:p>
        </w:tc>
        <w:tc>
          <w:tcPr>
            <w:tcW w:w="7620" w:type="dxa"/>
            <w:tcBorders>
              <w:top w:val="nil"/>
              <w:left w:val="single" w:sz="4" w:space="0" w:color="auto"/>
              <w:bottom w:val="single" w:sz="4" w:space="0" w:color="auto"/>
              <w:right w:val="single" w:sz="4" w:space="0" w:color="auto"/>
            </w:tcBorders>
            <w:shd w:val="clear" w:color="auto" w:fill="auto"/>
            <w:vAlign w:val="center"/>
          </w:tcPr>
          <w:p w14:paraId="40441A4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förvaring och administration av finansiella instrument</w:t>
            </w:r>
          </w:p>
          <w:p w14:paraId="0FAFD20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6718588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r w:rsidR="00DA369E" w:rsidRPr="00601AE3" w14:paraId="4AFBE4D3" w14:textId="77777777">
        <w:tc>
          <w:tcPr>
            <w:tcW w:w="1129" w:type="dxa"/>
          </w:tcPr>
          <w:p w14:paraId="5E0434D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0240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26B2558"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w:t>
            </w:r>
            <w:r w:rsidRPr="00601AE3">
              <w:rPr>
                <w:rFonts w:ascii="Times New Roman" w:hAnsi="Times New Roman"/>
                <w:b/>
                <w:u w:val="single"/>
              </w:rPr>
              <w:t xml:space="preserve"> Intäkter från beviljande av krediter eller lån till investerare</w:t>
            </w:r>
          </w:p>
          <w:p w14:paraId="43847EA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4CFAC24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r w:rsidR="00DA369E" w:rsidRPr="00601AE3" w14:paraId="48539477" w14:textId="77777777">
        <w:tc>
          <w:tcPr>
            <w:tcW w:w="1129" w:type="dxa"/>
          </w:tcPr>
          <w:p w14:paraId="3C8653F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0250</w:t>
            </w:r>
          </w:p>
        </w:tc>
        <w:tc>
          <w:tcPr>
            <w:tcW w:w="7620" w:type="dxa"/>
            <w:tcBorders>
              <w:top w:val="nil"/>
              <w:left w:val="single" w:sz="4" w:space="0" w:color="auto"/>
              <w:bottom w:val="single" w:sz="4" w:space="0" w:color="auto"/>
              <w:right w:val="single" w:sz="4" w:space="0" w:color="auto"/>
            </w:tcBorders>
            <w:shd w:val="clear" w:color="auto" w:fill="auto"/>
            <w:vAlign w:val="center"/>
          </w:tcPr>
          <w:p w14:paraId="0850C28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 xml:space="preserve">Varav: Intäkter från rådgivning till företag om kapitalstruktur, företagsstrategi och liknande </w:t>
            </w:r>
            <w:r w:rsidRPr="00601AE3">
              <w:rPr>
                <w:rFonts w:ascii="Times New Roman" w:hAnsi="Times New Roman"/>
                <w:b/>
                <w:u w:val="single"/>
              </w:rPr>
              <w:t>frågor samt rådgivning och tjänster vid fusioner och företagsuppköp</w:t>
            </w:r>
          </w:p>
          <w:p w14:paraId="1D42FEDF"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2E387E57"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r w:rsidR="00DA369E" w:rsidRPr="00601AE3" w14:paraId="30E25DBE" w14:textId="77777777">
        <w:tc>
          <w:tcPr>
            <w:tcW w:w="1129" w:type="dxa"/>
          </w:tcPr>
          <w:p w14:paraId="4973704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0260</w:t>
            </w:r>
          </w:p>
        </w:tc>
        <w:tc>
          <w:tcPr>
            <w:tcW w:w="7620" w:type="dxa"/>
            <w:tcBorders>
              <w:top w:val="nil"/>
              <w:left w:val="single" w:sz="4" w:space="0" w:color="auto"/>
              <w:bottom w:val="single" w:sz="4" w:space="0" w:color="auto"/>
              <w:right w:val="single" w:sz="4" w:space="0" w:color="auto"/>
            </w:tcBorders>
            <w:shd w:val="clear" w:color="auto" w:fill="auto"/>
            <w:vAlign w:val="center"/>
          </w:tcPr>
          <w:p w14:paraId="6CA7EFF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valutatjänster</w:t>
            </w:r>
          </w:p>
          <w:p w14:paraId="01AEE20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2D22F373"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w:t>
            </w:r>
            <w:r w:rsidRPr="00601AE3">
              <w:rPr>
                <w:rFonts w:ascii="Times New Roman" w:hAnsi="Times New Roman"/>
              </w:rPr>
              <w:t>tiv 2014/65/EU.</w:t>
            </w:r>
          </w:p>
        </w:tc>
      </w:tr>
      <w:tr w:rsidR="00DA369E" w:rsidRPr="00601AE3" w14:paraId="0B7D36EC" w14:textId="77777777">
        <w:tc>
          <w:tcPr>
            <w:tcW w:w="1129" w:type="dxa"/>
          </w:tcPr>
          <w:p w14:paraId="77332021"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0270</w:t>
            </w:r>
          </w:p>
        </w:tc>
        <w:tc>
          <w:tcPr>
            <w:tcW w:w="7620" w:type="dxa"/>
            <w:tcBorders>
              <w:top w:val="nil"/>
              <w:left w:val="single" w:sz="4" w:space="0" w:color="auto"/>
              <w:bottom w:val="single" w:sz="4" w:space="0" w:color="auto"/>
              <w:right w:val="single" w:sz="4" w:space="0" w:color="auto"/>
            </w:tcBorders>
            <w:shd w:val="clear" w:color="auto" w:fill="auto"/>
            <w:vAlign w:val="center"/>
          </w:tcPr>
          <w:p w14:paraId="7F649795"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Investeringsanalys och finansiell analys</w:t>
            </w:r>
          </w:p>
          <w:p w14:paraId="51182A3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27192A6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r w:rsidR="00DA369E" w:rsidRPr="00601AE3" w14:paraId="49F21BC3" w14:textId="77777777">
        <w:tc>
          <w:tcPr>
            <w:tcW w:w="1129" w:type="dxa"/>
          </w:tcPr>
          <w:p w14:paraId="5DB0AC5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0280</w:t>
            </w:r>
          </w:p>
        </w:tc>
        <w:tc>
          <w:tcPr>
            <w:tcW w:w="7620" w:type="dxa"/>
            <w:tcBorders>
              <w:top w:val="nil"/>
              <w:left w:val="single" w:sz="4" w:space="0" w:color="auto"/>
              <w:bottom w:val="single" w:sz="4" w:space="0" w:color="auto"/>
              <w:right w:val="single" w:sz="4" w:space="0" w:color="auto"/>
            </w:tcBorders>
            <w:shd w:val="clear" w:color="auto" w:fill="auto"/>
            <w:vAlign w:val="center"/>
          </w:tcPr>
          <w:p w14:paraId="5DD1413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Varav: Intäkter från tjänster i samband med garantigivning</w:t>
            </w:r>
          </w:p>
          <w:p w14:paraId="3FBF446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 xml:space="preserve">Artikel 54.1 d i förordning (EU) </w:t>
            </w:r>
            <w:r w:rsidRPr="00601AE3">
              <w:rPr>
                <w:rFonts w:ascii="Times New Roman" w:hAnsi="Times New Roman"/>
              </w:rPr>
              <w:t>2019/2033.</w:t>
            </w:r>
          </w:p>
          <w:p w14:paraId="27B0EFF4"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r w:rsidR="00DA369E" w:rsidRPr="00601AE3" w14:paraId="789D97F9" w14:textId="77777777">
        <w:tc>
          <w:tcPr>
            <w:tcW w:w="1129" w:type="dxa"/>
          </w:tcPr>
          <w:p w14:paraId="681FE38D"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0290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A697EA7"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b/>
                <w:u w:val="single"/>
              </w:rPr>
              <w:t>Varav: Investeringstjänster och sidoverksamhet med anknytning till derivatinstrument</w:t>
            </w:r>
          </w:p>
          <w:p w14:paraId="2C2C8BC2"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54.1 d i förordning (EU) 2019/2033.</w:t>
            </w:r>
          </w:p>
          <w:p w14:paraId="43FA6911"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4.1.3 i direktiv 2014/65/EU.</w:t>
            </w:r>
          </w:p>
        </w:tc>
      </w:tr>
    </w:tbl>
    <w:p w14:paraId="50DC33C0" w14:textId="77777777" w:rsidR="00DA369E" w:rsidRPr="00601AE3" w:rsidRDefault="00DA369E">
      <w:pPr>
        <w:pStyle w:val="Instructionsberschrift2"/>
        <w:ind w:left="357" w:hanging="357"/>
        <w:rPr>
          <w:rFonts w:ascii="Times New Roman" w:hAnsi="Times New Roman" w:cs="Times New Roman"/>
          <w:b/>
          <w:sz w:val="24"/>
          <w:u w:val="none"/>
        </w:rPr>
      </w:pPr>
    </w:p>
    <w:p w14:paraId="2ABA362D" w14:textId="77777777" w:rsidR="00DA369E" w:rsidRPr="00601AE3" w:rsidRDefault="00601AE3">
      <w:pPr>
        <w:pStyle w:val="Instructionsberschrift2"/>
        <w:ind w:left="357" w:hanging="357"/>
        <w:rPr>
          <w:rFonts w:ascii="Times New Roman" w:hAnsi="Times New Roman" w:cs="Times New Roman"/>
          <w:b/>
          <w:sz w:val="24"/>
          <w:u w:val="none"/>
        </w:rPr>
      </w:pPr>
      <w:bookmarkStart w:id="65" w:name="_Toc76557292"/>
      <w:bookmarkStart w:id="66" w:name="_Toc88219814"/>
      <w:r w:rsidRPr="00601AE3">
        <w:rPr>
          <w:rFonts w:ascii="Times New Roman" w:hAnsi="Times New Roman"/>
          <w:b/>
          <w:sz w:val="24"/>
          <w:u w:val="none"/>
        </w:rPr>
        <w:t>3. LIKVIDITETSKRAV</w:t>
      </w:r>
      <w:bookmarkEnd w:id="65"/>
      <w:bookmarkEnd w:id="66"/>
    </w:p>
    <w:p w14:paraId="44BD25A1"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7" w:name="_Toc76557293"/>
      <w:bookmarkStart w:id="68" w:name="_Toc88219815"/>
      <w:r w:rsidRPr="00601AE3">
        <w:rPr>
          <w:rFonts w:ascii="Times New Roman" w:hAnsi="Times New Roman"/>
          <w:sz w:val="24"/>
          <w:u w:val="single"/>
        </w:rPr>
        <w:t xml:space="preserve">3.1 I </w:t>
      </w:r>
      <w:r w:rsidRPr="00601AE3">
        <w:rPr>
          <w:rFonts w:ascii="Times New Roman" w:hAnsi="Times New Roman"/>
          <w:sz w:val="24"/>
          <w:u w:val="single"/>
        </w:rPr>
        <w:t>09.01 – LIKVIDITETSKRAV (I 9,1)</w:t>
      </w:r>
      <w:bookmarkEnd w:id="67"/>
      <w:bookmarkEnd w:id="68"/>
    </w:p>
    <w:p w14:paraId="27595DB1" w14:textId="77777777" w:rsidR="00DA369E" w:rsidRPr="00601AE3" w:rsidRDefault="00601AE3">
      <w:pPr>
        <w:keepNext/>
        <w:spacing w:before="240" w:after="240" w:line="240" w:lineRule="auto"/>
        <w:ind w:left="357" w:hanging="357"/>
        <w:jc w:val="both"/>
        <w:outlineLvl w:val="1"/>
        <w:rPr>
          <w:rFonts w:ascii="Times New Roman" w:eastAsia="Arial" w:hAnsi="Times New Roman" w:cs="Times New Roman"/>
          <w:sz w:val="24"/>
          <w:szCs w:val="24"/>
          <w:u w:val="single"/>
        </w:rPr>
      </w:pPr>
      <w:bookmarkStart w:id="69" w:name="_Toc76557294"/>
      <w:bookmarkStart w:id="70" w:name="_Toc88219816"/>
      <w:r w:rsidRPr="00601AE3">
        <w:rPr>
          <w:rFonts w:ascii="Times New Roman" w:hAnsi="Times New Roman"/>
          <w:sz w:val="24"/>
        </w:rPr>
        <w:t>3.1.1</w:t>
      </w:r>
      <w:r w:rsidRPr="00601AE3">
        <w:rPr>
          <w:rFonts w:ascii="Times New Roman" w:hAnsi="Times New Roman"/>
          <w:sz w:val="24"/>
        </w:rPr>
        <w:tab/>
      </w:r>
      <w:r w:rsidRPr="00601AE3">
        <w:rPr>
          <w:rFonts w:ascii="Times New Roman" w:hAnsi="Times New Roman"/>
          <w:sz w:val="24"/>
          <w:u w:val="single"/>
        </w:rPr>
        <w:t>Instruktioner för specifika positioner</w:t>
      </w:r>
      <w:bookmarkEnd w:id="69"/>
      <w:bookmarkEnd w:id="7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A369E" w:rsidRPr="00601AE3" w14:paraId="04C0EF57" w14:textId="77777777">
        <w:tc>
          <w:tcPr>
            <w:tcW w:w="1129" w:type="dxa"/>
            <w:shd w:val="clear" w:color="auto" w:fill="D9D9D9"/>
          </w:tcPr>
          <w:p w14:paraId="2A6C1EBA"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Rad</w:t>
            </w:r>
          </w:p>
        </w:tc>
        <w:tc>
          <w:tcPr>
            <w:tcW w:w="7620" w:type="dxa"/>
            <w:shd w:val="clear" w:color="auto" w:fill="D9D9D9"/>
          </w:tcPr>
          <w:p w14:paraId="10E38DB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Rättsliga hänvisningar och instruktioner</w:t>
            </w:r>
          </w:p>
        </w:tc>
      </w:tr>
      <w:tr w:rsidR="00DA369E" w:rsidRPr="00601AE3" w14:paraId="6D3FF74A" w14:textId="77777777">
        <w:tc>
          <w:tcPr>
            <w:tcW w:w="1129" w:type="dxa"/>
          </w:tcPr>
          <w:p w14:paraId="78AA9D1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0010</w:t>
            </w:r>
          </w:p>
        </w:tc>
        <w:tc>
          <w:tcPr>
            <w:tcW w:w="7620" w:type="dxa"/>
          </w:tcPr>
          <w:p w14:paraId="445A70CC"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Likviditetskrav</w:t>
            </w:r>
          </w:p>
          <w:p w14:paraId="5CA62756"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rPr>
              <w:t>Artikel 43.1 i förordning (EU) 2019/2033.</w:t>
            </w:r>
          </w:p>
        </w:tc>
      </w:tr>
      <w:tr w:rsidR="00DA369E" w:rsidRPr="00601AE3" w14:paraId="6F9E9AA7" w14:textId="77777777">
        <w:tc>
          <w:tcPr>
            <w:tcW w:w="1129" w:type="dxa"/>
          </w:tcPr>
          <w:p w14:paraId="49FEC50C"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0020</w:t>
            </w:r>
          </w:p>
        </w:tc>
        <w:tc>
          <w:tcPr>
            <w:tcW w:w="7620" w:type="dxa"/>
          </w:tcPr>
          <w:p w14:paraId="4DDA3E3E"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Kundgarantier</w:t>
            </w:r>
          </w:p>
          <w:p w14:paraId="4892A50B"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Artikel 45 i förordning (EU) 2019/2033.</w:t>
            </w:r>
          </w:p>
          <w:p w14:paraId="3CD26CA4"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 xml:space="preserve">Det </w:t>
            </w:r>
            <w:r w:rsidRPr="00601AE3">
              <w:rPr>
                <w:rFonts w:ascii="Times New Roman" w:hAnsi="Times New Roman"/>
              </w:rPr>
              <w:t>redovisade värdet ska vara 1,6 % av det totala garantibeloppet till kunderna i enlighet med artikel 45 i förordning (EU) 2019/2033.</w:t>
            </w:r>
          </w:p>
        </w:tc>
      </w:tr>
      <w:tr w:rsidR="00DA369E" w14:paraId="55FE34B2" w14:textId="77777777">
        <w:tc>
          <w:tcPr>
            <w:tcW w:w="1129" w:type="dxa"/>
          </w:tcPr>
          <w:p w14:paraId="329FF905"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lastRenderedPageBreak/>
              <w:t>0030</w:t>
            </w:r>
          </w:p>
        </w:tc>
        <w:tc>
          <w:tcPr>
            <w:tcW w:w="7620" w:type="dxa"/>
          </w:tcPr>
          <w:p w14:paraId="3E211480" w14:textId="77777777" w:rsidR="00DA369E" w:rsidRPr="00601AE3" w:rsidRDefault="00601AE3">
            <w:pPr>
              <w:spacing w:after="120" w:line="240" w:lineRule="auto"/>
              <w:jc w:val="both"/>
              <w:rPr>
                <w:rFonts w:ascii="Times New Roman" w:eastAsia="Times New Roman" w:hAnsi="Times New Roman" w:cs="Times New Roman"/>
                <w:b/>
                <w:bCs/>
                <w:u w:val="single"/>
              </w:rPr>
            </w:pPr>
            <w:r w:rsidRPr="00601AE3">
              <w:rPr>
                <w:rFonts w:ascii="Times New Roman" w:hAnsi="Times New Roman"/>
                <w:b/>
                <w:u w:val="single"/>
              </w:rPr>
              <w:t>Totala likvida tillgångar</w:t>
            </w:r>
          </w:p>
          <w:p w14:paraId="161C4A9E" w14:textId="77777777" w:rsidR="00DA369E" w:rsidRPr="00601AE3" w:rsidRDefault="00601AE3">
            <w:pPr>
              <w:spacing w:after="120" w:line="240" w:lineRule="auto"/>
              <w:jc w:val="both"/>
              <w:rPr>
                <w:rFonts w:ascii="Times New Roman" w:eastAsia="Times New Roman" w:hAnsi="Times New Roman" w:cs="Times New Roman"/>
                <w:bCs/>
              </w:rPr>
            </w:pPr>
            <w:r w:rsidRPr="00601AE3">
              <w:rPr>
                <w:rFonts w:ascii="Times New Roman" w:hAnsi="Times New Roman"/>
              </w:rPr>
              <w:t>Artiklarna 43.1 a och 43.2 i förordning (EU) 2019/2033.</w:t>
            </w:r>
          </w:p>
          <w:p w14:paraId="56675A40" w14:textId="77777777" w:rsidR="00DA369E" w:rsidRDefault="00601AE3">
            <w:pPr>
              <w:pStyle w:val="CommentText"/>
              <w:rPr>
                <w:rFonts w:ascii="Times New Roman" w:eastAsia="Times New Roman" w:hAnsi="Times New Roman" w:cs="Times New Roman"/>
                <w:b/>
                <w:bCs/>
                <w:sz w:val="22"/>
                <w:szCs w:val="22"/>
                <w:u w:val="single"/>
              </w:rPr>
            </w:pPr>
            <w:r w:rsidRPr="00601AE3">
              <w:rPr>
                <w:rFonts w:ascii="Times New Roman" w:hAnsi="Times New Roman"/>
                <w:sz w:val="22"/>
              </w:rPr>
              <w:t xml:space="preserve">Totala likvida tillgångar ska anges </w:t>
            </w:r>
            <w:r w:rsidRPr="00601AE3">
              <w:rPr>
                <w:rFonts w:ascii="Times New Roman" w:hAnsi="Times New Roman"/>
                <w:sz w:val="22"/>
              </w:rPr>
              <w:t>efter tillämpning av relevanta nedsättningar.</w:t>
            </w:r>
          </w:p>
        </w:tc>
      </w:tr>
    </w:tbl>
    <w:p w14:paraId="14387CA4" w14:textId="77777777" w:rsidR="00DA369E" w:rsidRDefault="00DA369E"/>
    <w:sectPr w:rsidR="00DA369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689CB" w14:textId="77777777" w:rsidR="00DA369E" w:rsidRDefault="00DA369E">
      <w:pPr>
        <w:pStyle w:val="Footer"/>
      </w:pPr>
    </w:p>
  </w:endnote>
  <w:endnote w:type="continuationSeparator" w:id="0">
    <w:p w14:paraId="49C03061" w14:textId="77777777" w:rsidR="00DA369E" w:rsidRDefault="00DA369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5A34D" w14:textId="77777777" w:rsidR="00DA369E" w:rsidRDefault="00DA36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E7C2A" w14:textId="77777777" w:rsidR="00DA369E" w:rsidRDefault="00601AE3">
    <w:pPr>
      <w:pStyle w:val="Footer"/>
      <w:tabs>
        <w:tab w:val="clear" w:pos="4513"/>
        <w:tab w:val="clear" w:pos="9026"/>
        <w:tab w:val="right" w:pos="9071"/>
      </w:tabs>
    </w:pPr>
    <w:r>
      <w:t xml:space="preserve">SV </w:t>
    </w:r>
    <w:r>
      <w:t>-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16</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08553" w14:textId="77777777" w:rsidR="00DA369E" w:rsidRDefault="00DA3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2493D" w14:textId="77777777" w:rsidR="00DA369E" w:rsidRDefault="00DA369E">
      <w:pPr>
        <w:pStyle w:val="Footer"/>
      </w:pPr>
    </w:p>
  </w:footnote>
  <w:footnote w:type="continuationSeparator" w:id="0">
    <w:p w14:paraId="40F2E930" w14:textId="77777777" w:rsidR="00DA369E" w:rsidRDefault="00DA369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F875" w14:textId="77777777" w:rsidR="00DA369E" w:rsidRDefault="00601AE3">
    <w:pPr>
      <w:pStyle w:val="Header"/>
    </w:pPr>
    <w:r>
      <w:rPr>
        <w:rFonts w:ascii="Times New Roman" w:hAnsi="Times New Roman" w:cs="Times New Roman"/>
        <w:color w:val="000000"/>
        <w:sz w:val="24"/>
      </w:rPr>
      <w:t>Central Bank of Ireland - RESTRICTED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579EB" w14:textId="77777777" w:rsidR="00DA369E" w:rsidRDefault="00DA36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2D20" w14:textId="77777777" w:rsidR="00DA369E" w:rsidRDefault="00601AE3">
    <w:pPr>
      <w:pStyle w:val="Header"/>
    </w:pPr>
    <w:r>
      <w:rPr>
        <w:rFonts w:ascii="Times New Roman" w:hAnsi="Times New Roman" w:cs="Times New Roman"/>
        <w:color w:val="000000"/>
        <w:sz w:val="24"/>
      </w:rPr>
      <w:t>Central Bank of Ireland - RESTRICTED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04293"/>
    <w:multiLevelType w:val="hybridMultilevel"/>
    <w:tmpl w:val="C2D274AC"/>
    <w:lvl w:ilvl="0" w:tplc="9B189216">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7C272B"/>
    <w:multiLevelType w:val="hybridMultilevel"/>
    <w:tmpl w:val="5FF2362C"/>
    <w:lvl w:ilvl="0" w:tplc="CF5C816A">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802EC7"/>
    <w:multiLevelType w:val="multilevel"/>
    <w:tmpl w:val="3BFC9DFC"/>
    <w:lvl w:ilvl="0">
      <w:start w:val="1"/>
      <w:numFmt w:val="decimal"/>
      <w:lvlText w:val="%1."/>
      <w:lvlJc w:val="left"/>
      <w:pPr>
        <w:ind w:left="360" w:hanging="360"/>
      </w:pPr>
    </w:lvl>
    <w:lvl w:ilvl="1">
      <w:start w:val="1"/>
      <w:numFmt w:val="decimal"/>
      <w:lvlText w:val="%1.%2."/>
      <w:lvlJc w:val="left"/>
      <w:pPr>
        <w:ind w:left="792" w:hanging="432"/>
      </w:pPr>
    </w:lvl>
    <w:lvl w:ilvl="2">
      <w:start w:val="1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E4026E"/>
    <w:multiLevelType w:val="hybridMultilevel"/>
    <w:tmpl w:val="ED7C6D34"/>
    <w:lvl w:ilvl="0" w:tplc="1809000F">
      <w:start w:val="1"/>
      <w:numFmt w:val="decimal"/>
      <w:lvlText w:val="%1."/>
      <w:lvlJc w:val="left"/>
      <w:pPr>
        <w:ind w:left="720" w:hanging="360"/>
      </w:pPr>
    </w:lvl>
    <w:lvl w:ilvl="1" w:tplc="1809001B">
      <w:start w:val="1"/>
      <w:numFmt w:val="lowerRoman"/>
      <w:lvlText w:val="%2."/>
      <w:lvlJc w:val="righ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7" w15:restartNumberingAfterBreak="0">
    <w:nsid w:val="33F45FC0"/>
    <w:multiLevelType w:val="hybridMultilevel"/>
    <w:tmpl w:val="861075D0"/>
    <w:lvl w:ilvl="0" w:tplc="BAEC61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1E3641"/>
    <w:multiLevelType w:val="hybridMultilevel"/>
    <w:tmpl w:val="10C476E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387F300C"/>
    <w:multiLevelType w:val="multilevel"/>
    <w:tmpl w:val="F990A070"/>
    <w:lvl w:ilvl="0">
      <w:start w:val="1"/>
      <w:numFmt w:val="decimal"/>
      <w:lvlText w:val="%1."/>
      <w:lvlJc w:val="left"/>
      <w:pPr>
        <w:ind w:left="360" w:hanging="360"/>
      </w:pPr>
    </w:lvl>
    <w:lvl w:ilvl="1">
      <w:start w:val="3"/>
      <w:numFmt w:val="decimal"/>
      <w:lvlText w:val="%1.%2."/>
      <w:lvlJc w:val="left"/>
      <w:pPr>
        <w:ind w:left="792" w:hanging="432"/>
      </w:pPr>
    </w:lvl>
    <w:lvl w:ilvl="2">
      <w:start w:val="9"/>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600D98"/>
    <w:multiLevelType w:val="multilevel"/>
    <w:tmpl w:val="A2FAFAAE"/>
    <w:lvl w:ilvl="0">
      <w:start w:val="1"/>
      <w:numFmt w:val="decimal"/>
      <w:lvlText w:val="%1."/>
      <w:lvlJc w:val="left"/>
      <w:pPr>
        <w:ind w:left="360" w:hanging="360"/>
      </w:pPr>
    </w:lvl>
    <w:lvl w:ilvl="1">
      <w:start w:val="4"/>
      <w:numFmt w:val="decimal"/>
      <w:lvlText w:val="%1.%2."/>
      <w:lvlJc w:val="left"/>
      <w:pPr>
        <w:ind w:left="792" w:hanging="432"/>
      </w:pPr>
    </w:lvl>
    <w:lvl w:ilvl="2">
      <w:start w:val="10"/>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AB17E1"/>
    <w:multiLevelType w:val="multilevel"/>
    <w:tmpl w:val="15C8FFFA"/>
    <w:lvl w:ilvl="0">
      <w:start w:val="1"/>
      <w:numFmt w:val="decimal"/>
      <w:lvlText w:val="%1."/>
      <w:lvlJc w:val="left"/>
      <w:pPr>
        <w:ind w:left="360" w:hanging="360"/>
      </w:pPr>
    </w:lvl>
    <w:lvl w:ilvl="1">
      <w:start w:val="2"/>
      <w:numFmt w:val="decimal"/>
      <w:lvlText w:val="%1.%2."/>
      <w:lvlJc w:val="left"/>
      <w:pPr>
        <w:ind w:left="792" w:hanging="432"/>
      </w:pPr>
    </w:lvl>
    <w:lvl w:ilvl="2">
      <w:start w:val="4"/>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85544C6"/>
    <w:multiLevelType w:val="hybridMultilevel"/>
    <w:tmpl w:val="B5AE6A30"/>
    <w:lvl w:ilvl="0" w:tplc="FE30201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371863"/>
    <w:multiLevelType w:val="hybridMultilevel"/>
    <w:tmpl w:val="E5404712"/>
    <w:lvl w:ilvl="0" w:tplc="40D6BD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7"/>
  </w:num>
  <w:num w:numId="3">
    <w:abstractNumId w:val="13"/>
  </w:num>
  <w:num w:numId="4">
    <w:abstractNumId w:val="0"/>
  </w:num>
  <w:num w:numId="5">
    <w:abstractNumId w:val="5"/>
  </w:num>
  <w:num w:numId="6">
    <w:abstractNumId w:val="1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3"/>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4"/>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1"/>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proofState w:spelling="clean" w:grammar="clean"/>
  <w:revisionView w:markup="0"/>
  <w:defaultTabStop w:val="720"/>
  <w:hyphenationZone w:val="283"/>
  <w:characterSpacingControl w:val="doNotCompress"/>
  <w:hdrShapeDefaults>
    <o:shapedefaults v:ext="edit" spidmax="150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369E"/>
    <w:rsid w:val="00601AE3"/>
    <w:rsid w:val="00DA36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0529"/>
    <o:shapelayout v:ext="edit">
      <o:idmap v:ext="edit" data="1"/>
    </o:shapelayout>
  </w:shapeDefaults>
  <w:decimalSymbol w:val="."/>
  <w:listSeparator w:val=","/>
  <w14:docId w14:val="3B1D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sv-SE" w:bidi="sv-SE"/>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pPr>
      <w:keepNext/>
      <w:spacing w:before="240" w:after="120" w:line="240" w:lineRule="auto"/>
      <w:jc w:val="both"/>
      <w:outlineLvl w:val="1"/>
    </w:pPr>
    <w:rPr>
      <w:rFonts w:ascii="Verdana" w:eastAsia="Arial" w:hAnsi="Verdana" w:cs="Times New Roman"/>
      <w:b/>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pPr>
      <w:tabs>
        <w:tab w:val="left" w:pos="1100"/>
        <w:tab w:val="right" w:leader="dot" w:pos="9016"/>
      </w:tabs>
      <w:spacing w:after="100"/>
      <w:ind w:left="220"/>
    </w:pPr>
    <w:rPr>
      <w:rFonts w:cstheme="minorHAnsi"/>
      <w:noProof/>
    </w:rPr>
  </w:style>
  <w:style w:type="character" w:customStyle="1" w:styleId="Heading2Char">
    <w:name w:val="Heading 2 Char"/>
    <w:basedOn w:val="DefaultParagraphFont"/>
    <w:link w:val="Heading2"/>
    <w:uiPriority w:val="99"/>
    <w:rPr>
      <w:rFonts w:ascii="Verdana" w:eastAsia="Arial" w:hAnsi="Verdana" w:cs="Times New Roman"/>
      <w:b/>
      <w:sz w:val="24"/>
      <w:szCs w:val="24"/>
      <w:u w:val="single"/>
      <w:lang w:val="sv-S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link w:val="ListParagraphChar"/>
    <w:uiPriority w:val="34"/>
    <w:qFormat/>
    <w:pPr>
      <w:ind w:left="720"/>
      <w:contextualSpacing/>
    </w:p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spacing w:after="0" w:line="240" w:lineRule="auto"/>
      <w:jc w:val="both"/>
    </w:pPr>
    <w:rPr>
      <w:rFonts w:ascii="Times New Roman" w:eastAsia="Times New Roman" w:hAnsi="Times New Roman" w:cs="Arial"/>
      <w:bCs/>
      <w:sz w:val="24"/>
      <w:szCs w:val="24"/>
    </w:rPr>
  </w:style>
  <w:style w:type="character" w:customStyle="1" w:styleId="InstructionsTextChar">
    <w:name w:val="Instructions Text Char"/>
    <w:link w:val="InstructionsText"/>
    <w:locked/>
    <w:rPr>
      <w:rFonts w:ascii="Times New Roman" w:eastAsia="Times New Roman" w:hAnsi="Times New Roman" w:cs="Arial"/>
      <w:bCs/>
      <w:sz w:val="24"/>
      <w:szCs w:val="24"/>
      <w:lang w:eastAsia="sv-S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fzhlungszeichen3">
    <w:name w:val="Aufzählungszeichen3"/>
    <w:basedOn w:val="Normal"/>
    <w:uiPriority w:val="1"/>
    <w:qFormat/>
    <w:pPr>
      <w:numPr>
        <w:numId w:val="6"/>
      </w:numPr>
      <w:spacing w:before="120" w:after="120" w:line="240" w:lineRule="exact"/>
      <w:jc w:val="both"/>
    </w:pPr>
    <w:rPr>
      <w:rFonts w:ascii="Verdana" w:eastAsia="Times New Roman" w:hAnsi="Verdana" w:cs="Times New Roman"/>
      <w:sz w:val="20"/>
      <w:szCs w:val="24"/>
    </w:rPr>
  </w:style>
  <w:style w:type="paragraph" w:customStyle="1" w:styleId="InstructionsText2">
    <w:name w:val="Instructions Text 2"/>
    <w:basedOn w:val="InstructionsText"/>
    <w:qFormat/>
    <w:pPr>
      <w:numPr>
        <w:numId w:val="12"/>
      </w:numPr>
      <w:spacing w:after="240"/>
    </w:pPr>
    <w:rPr>
      <w:rFonts w:cs="Times New Roman"/>
      <w:bCs w:val="0"/>
    </w:rPr>
  </w:style>
  <w:style w:type="paragraph" w:customStyle="1" w:styleId="Instructionsberschrift2">
    <w:name w:val="Instructions Überschrift 2"/>
    <w:basedOn w:val="Heading2"/>
    <w:pPr>
      <w:spacing w:after="240"/>
      <w:ind w:left="720"/>
    </w:pPr>
    <w:rPr>
      <w:rFonts w:cs="Arial"/>
      <w:b w:val="0"/>
      <w:sz w:val="20"/>
    </w:rPr>
  </w:style>
  <w:style w:type="character" w:customStyle="1" w:styleId="ListParagraphChar">
    <w:name w:val="List Paragraph Char"/>
    <w:link w:val="ListParagraph"/>
    <w:uiPriority w:val="34"/>
  </w:style>
  <w:style w:type="paragraph" w:styleId="Revision">
    <w:name w:val="Revision"/>
    <w:hidden/>
    <w:uiPriority w:val="99"/>
    <w:semiHidden/>
    <w:pPr>
      <w:spacing w:after="0" w:line="240" w:lineRule="auto"/>
    </w:pPr>
  </w:style>
  <w:style w:type="paragraph" w:customStyle="1" w:styleId="NumPar1">
    <w:name w:val="NumPar 1"/>
    <w:basedOn w:val="Normal"/>
    <w:next w:val="Normal"/>
    <w:pPr>
      <w:numPr>
        <w:numId w:val="21"/>
      </w:numPr>
      <w:spacing w:before="120" w:after="120" w:line="240" w:lineRule="auto"/>
      <w:jc w:val="both"/>
    </w:pPr>
    <w:rPr>
      <w:rFonts w:ascii="Times New Roman" w:hAnsi="Times New Roman" w:cs="Times New Roman"/>
      <w:sz w:val="24"/>
    </w:rPr>
  </w:style>
  <w:style w:type="paragraph" w:customStyle="1" w:styleId="NumPar2">
    <w:name w:val="NumPar 2"/>
    <w:basedOn w:val="Normal"/>
    <w:next w:val="Normal"/>
    <w:pPr>
      <w:numPr>
        <w:ilvl w:val="1"/>
        <w:numId w:val="21"/>
      </w:numPr>
      <w:spacing w:before="120" w:after="120" w:line="240" w:lineRule="auto"/>
      <w:jc w:val="both"/>
    </w:pPr>
    <w:rPr>
      <w:rFonts w:ascii="Times New Roman" w:hAnsi="Times New Roman" w:cs="Times New Roman"/>
      <w:sz w:val="24"/>
    </w:rPr>
  </w:style>
  <w:style w:type="paragraph" w:customStyle="1" w:styleId="NumPar3">
    <w:name w:val="NumPar 3"/>
    <w:basedOn w:val="Normal"/>
    <w:next w:val="Normal"/>
    <w:pPr>
      <w:numPr>
        <w:ilvl w:val="2"/>
        <w:numId w:val="21"/>
      </w:numPr>
      <w:spacing w:before="120" w:after="120" w:line="240" w:lineRule="auto"/>
      <w:jc w:val="both"/>
    </w:pPr>
    <w:rPr>
      <w:rFonts w:ascii="Times New Roman" w:hAnsi="Times New Roman" w:cs="Times New Roman"/>
      <w:sz w:val="24"/>
    </w:rPr>
  </w:style>
  <w:style w:type="paragraph" w:customStyle="1" w:styleId="NumPar4">
    <w:name w:val="NumPar 4"/>
    <w:basedOn w:val="Normal"/>
    <w:next w:val="Normal"/>
    <w:pPr>
      <w:numPr>
        <w:ilvl w:val="3"/>
        <w:numId w:val="21"/>
      </w:numPr>
      <w:spacing w:before="120" w:after="120" w:line="240" w:lineRule="auto"/>
      <w:jc w:val="both"/>
    </w:pPr>
    <w:rPr>
      <w:rFonts w:ascii="Times New Roman" w:hAnsi="Times New Roman" w:cs="Times New Roman"/>
      <w:sz w:val="24"/>
    </w:rPr>
  </w:style>
  <w:style w:type="paragraph" w:customStyle="1" w:styleId="Point0number">
    <w:name w:val="Point 0 (number)"/>
    <w:basedOn w:val="Normal"/>
    <w:pPr>
      <w:numPr>
        <w:numId w:val="20"/>
      </w:numPr>
      <w:spacing w:before="120" w:after="120" w:line="240" w:lineRule="auto"/>
      <w:jc w:val="both"/>
    </w:pPr>
    <w:rPr>
      <w:rFonts w:ascii="Times New Roman" w:hAnsi="Times New Roman" w:cs="Times New Roman"/>
      <w:sz w:val="24"/>
    </w:rPr>
  </w:style>
  <w:style w:type="paragraph" w:customStyle="1" w:styleId="Point1number">
    <w:name w:val="Point 1 (number)"/>
    <w:basedOn w:val="Normal"/>
    <w:pPr>
      <w:numPr>
        <w:ilvl w:val="2"/>
        <w:numId w:val="20"/>
      </w:numPr>
      <w:spacing w:before="120" w:after="120" w:line="240" w:lineRule="auto"/>
      <w:jc w:val="both"/>
    </w:pPr>
    <w:rPr>
      <w:rFonts w:ascii="Times New Roman" w:hAnsi="Times New Roman" w:cs="Times New Roman"/>
      <w:sz w:val="24"/>
    </w:rPr>
  </w:style>
  <w:style w:type="paragraph" w:customStyle="1" w:styleId="Point2number">
    <w:name w:val="Point 2 (number)"/>
    <w:basedOn w:val="Normal"/>
    <w:pPr>
      <w:numPr>
        <w:ilvl w:val="4"/>
        <w:numId w:val="20"/>
      </w:numPr>
      <w:spacing w:before="120" w:after="120" w:line="240" w:lineRule="auto"/>
      <w:jc w:val="both"/>
    </w:pPr>
    <w:rPr>
      <w:rFonts w:ascii="Times New Roman" w:hAnsi="Times New Roman" w:cs="Times New Roman"/>
      <w:sz w:val="24"/>
    </w:rPr>
  </w:style>
  <w:style w:type="paragraph" w:customStyle="1" w:styleId="Point3number">
    <w:name w:val="Point 3 (number)"/>
    <w:basedOn w:val="Normal"/>
    <w:pPr>
      <w:numPr>
        <w:ilvl w:val="6"/>
        <w:numId w:val="20"/>
      </w:numPr>
      <w:spacing w:before="120" w:after="120" w:line="240" w:lineRule="auto"/>
      <w:jc w:val="both"/>
    </w:pPr>
    <w:rPr>
      <w:rFonts w:ascii="Times New Roman" w:hAnsi="Times New Roman" w:cs="Times New Roman"/>
      <w:sz w:val="24"/>
    </w:rPr>
  </w:style>
  <w:style w:type="paragraph" w:customStyle="1" w:styleId="Point0letter">
    <w:name w:val="Point 0 (letter)"/>
    <w:basedOn w:val="Normal"/>
    <w:pPr>
      <w:numPr>
        <w:ilvl w:val="1"/>
        <w:numId w:val="20"/>
      </w:numPr>
      <w:spacing w:before="120" w:after="120" w:line="240" w:lineRule="auto"/>
      <w:jc w:val="both"/>
    </w:pPr>
    <w:rPr>
      <w:rFonts w:ascii="Times New Roman" w:hAnsi="Times New Roman" w:cs="Times New Roman"/>
      <w:sz w:val="24"/>
    </w:rPr>
  </w:style>
  <w:style w:type="paragraph" w:customStyle="1" w:styleId="Point1letter">
    <w:name w:val="Point 1 (letter)"/>
    <w:basedOn w:val="Normal"/>
    <w:pPr>
      <w:numPr>
        <w:ilvl w:val="3"/>
        <w:numId w:val="20"/>
      </w:numPr>
      <w:spacing w:before="120" w:after="120" w:line="240" w:lineRule="auto"/>
      <w:jc w:val="both"/>
    </w:pPr>
    <w:rPr>
      <w:rFonts w:ascii="Times New Roman" w:hAnsi="Times New Roman" w:cs="Times New Roman"/>
      <w:sz w:val="24"/>
    </w:rPr>
  </w:style>
  <w:style w:type="paragraph" w:customStyle="1" w:styleId="Point2letter">
    <w:name w:val="Point 2 (letter)"/>
    <w:basedOn w:val="Normal"/>
    <w:pPr>
      <w:numPr>
        <w:ilvl w:val="5"/>
        <w:numId w:val="20"/>
      </w:numPr>
      <w:spacing w:before="120" w:after="120" w:line="240" w:lineRule="auto"/>
      <w:jc w:val="both"/>
    </w:pPr>
    <w:rPr>
      <w:rFonts w:ascii="Times New Roman" w:hAnsi="Times New Roman" w:cs="Times New Roman"/>
      <w:sz w:val="24"/>
    </w:rPr>
  </w:style>
  <w:style w:type="paragraph" w:customStyle="1" w:styleId="Point3letter">
    <w:name w:val="Point 3 (letter)"/>
    <w:basedOn w:val="Normal"/>
    <w:pPr>
      <w:numPr>
        <w:ilvl w:val="7"/>
        <w:numId w:val="20"/>
      </w:numPr>
      <w:spacing w:before="120" w:after="120" w:line="240" w:lineRule="auto"/>
      <w:jc w:val="both"/>
    </w:pPr>
    <w:rPr>
      <w:rFonts w:ascii="Times New Roman" w:hAnsi="Times New Roman" w:cs="Times New Roman"/>
      <w:sz w:val="24"/>
    </w:rPr>
  </w:style>
  <w:style w:type="paragraph" w:customStyle="1" w:styleId="Point4letter">
    <w:name w:val="Point 4 (letter)"/>
    <w:basedOn w:val="Normal"/>
    <w:pPr>
      <w:numPr>
        <w:ilvl w:val="8"/>
        <w:numId w:val="20"/>
      </w:numPr>
      <w:spacing w:before="120" w:after="120" w:line="240" w:lineRule="auto"/>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197953">
      <w:bodyDiv w:val="1"/>
      <w:marLeft w:val="0"/>
      <w:marRight w:val="0"/>
      <w:marTop w:val="0"/>
      <w:marBottom w:val="0"/>
      <w:divBdr>
        <w:top w:val="none" w:sz="0" w:space="0" w:color="auto"/>
        <w:left w:val="none" w:sz="0" w:space="0" w:color="auto"/>
        <w:bottom w:val="none" w:sz="0" w:space="0" w:color="auto"/>
        <w:right w:val="none" w:sz="0" w:space="0" w:color="auto"/>
      </w:divBdr>
    </w:div>
    <w:div w:id="211356039">
      <w:bodyDiv w:val="1"/>
      <w:marLeft w:val="0"/>
      <w:marRight w:val="0"/>
      <w:marTop w:val="0"/>
      <w:marBottom w:val="0"/>
      <w:divBdr>
        <w:top w:val="none" w:sz="0" w:space="0" w:color="auto"/>
        <w:left w:val="none" w:sz="0" w:space="0" w:color="auto"/>
        <w:bottom w:val="none" w:sz="0" w:space="0" w:color="auto"/>
        <w:right w:val="none" w:sz="0" w:space="0" w:color="auto"/>
      </w:divBdr>
    </w:div>
    <w:div w:id="455148165">
      <w:bodyDiv w:val="1"/>
      <w:marLeft w:val="0"/>
      <w:marRight w:val="0"/>
      <w:marTop w:val="0"/>
      <w:marBottom w:val="0"/>
      <w:divBdr>
        <w:top w:val="none" w:sz="0" w:space="0" w:color="auto"/>
        <w:left w:val="none" w:sz="0" w:space="0" w:color="auto"/>
        <w:bottom w:val="none" w:sz="0" w:space="0" w:color="auto"/>
        <w:right w:val="none" w:sz="0" w:space="0" w:color="auto"/>
      </w:divBdr>
    </w:div>
    <w:div w:id="1303537486">
      <w:bodyDiv w:val="1"/>
      <w:marLeft w:val="0"/>
      <w:marRight w:val="0"/>
      <w:marTop w:val="0"/>
      <w:marBottom w:val="0"/>
      <w:divBdr>
        <w:top w:val="none" w:sz="0" w:space="0" w:color="auto"/>
        <w:left w:val="none" w:sz="0" w:space="0" w:color="auto"/>
        <w:bottom w:val="none" w:sz="0" w:space="0" w:color="auto"/>
        <w:right w:val="none" w:sz="0" w:space="0" w:color="auto"/>
      </w:divBdr>
    </w:div>
    <w:div w:id="1431663564">
      <w:bodyDiv w:val="1"/>
      <w:marLeft w:val="0"/>
      <w:marRight w:val="0"/>
      <w:marTop w:val="0"/>
      <w:marBottom w:val="0"/>
      <w:divBdr>
        <w:top w:val="none" w:sz="0" w:space="0" w:color="auto"/>
        <w:left w:val="none" w:sz="0" w:space="0" w:color="auto"/>
        <w:bottom w:val="none" w:sz="0" w:space="0" w:color="auto"/>
        <w:right w:val="none" w:sz="0" w:space="0" w:color="auto"/>
      </w:divBdr>
    </w:div>
    <w:div w:id="2033148956">
      <w:bodyDiv w:val="1"/>
      <w:marLeft w:val="0"/>
      <w:marRight w:val="0"/>
      <w:marTop w:val="0"/>
      <w:marBottom w:val="0"/>
      <w:divBdr>
        <w:top w:val="none" w:sz="0" w:space="0" w:color="auto"/>
        <w:left w:val="none" w:sz="0" w:space="0" w:color="auto"/>
        <w:bottom w:val="none" w:sz="0" w:space="0" w:color="auto"/>
        <w:right w:val="none" w:sz="0" w:space="0" w:color="auto"/>
      </w:divBdr>
    </w:div>
    <w:div w:id="2076051648">
      <w:bodyDiv w:val="1"/>
      <w:marLeft w:val="0"/>
      <w:marRight w:val="0"/>
      <w:marTop w:val="0"/>
      <w:marBottom w:val="0"/>
      <w:divBdr>
        <w:top w:val="none" w:sz="0" w:space="0" w:color="auto"/>
        <w:left w:val="none" w:sz="0" w:space="0" w:color="auto"/>
        <w:bottom w:val="none" w:sz="0" w:space="0" w:color="auto"/>
        <w:right w:val="none" w:sz="0" w:space="0" w:color="auto"/>
      </w:divBdr>
    </w:div>
    <w:div w:id="212731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Props1.xml><?xml version="1.0" encoding="utf-8"?>
<ds:datastoreItem xmlns:ds="http://schemas.openxmlformats.org/officeDocument/2006/customXml" ds:itemID="{0BACB8B1-E580-4A11-9D8F-0B60D5EB1B8B}">
  <ds:schemaRefs>
    <ds:schemaRef ds:uri="http://schemas.openxmlformats.org/officeDocument/2006/bibliography"/>
  </ds:schemaRefs>
</ds:datastoreItem>
</file>

<file path=customXml/itemProps2.xml><?xml version="1.0" encoding="utf-8"?>
<ds:datastoreItem xmlns:ds="http://schemas.openxmlformats.org/officeDocument/2006/customXml" ds:itemID="{67500584-2808-442D-BA8D-CDE8FD90BA8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3943</Words>
  <Characters>28114</Characters>
  <Application>Microsoft Office Word</Application>
  <DocSecurity>0</DocSecurity>
  <Lines>1338</Lines>
  <Paragraphs>890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66ba66e-8b7b-475b-ae81-4aab15d5f212_Enabled">
    <vt:lpwstr>true</vt:lpwstr>
  </property>
  <property fmtid="{D5CDD505-2E9C-101B-9397-08002B2CF9AE}" pid="3" name="MSIP_Label_e66ba66e-8b7b-475b-ae81-4aab15d5f212_SetDate">
    <vt:lpwstr>2022-01-14T15:13:07Z</vt:lpwstr>
  </property>
  <property fmtid="{D5CDD505-2E9C-101B-9397-08002B2CF9AE}" pid="4" name="MSIP_Label_e66ba66e-8b7b-475b-ae81-4aab15d5f212_Method">
    <vt:lpwstr>Privileged</vt:lpwstr>
  </property>
  <property fmtid="{D5CDD505-2E9C-101B-9397-08002B2CF9AE}" pid="5" name="MSIP_Label_e66ba66e-8b7b-475b-ae81-4aab15d5f212_Name">
    <vt:lpwstr>No Label</vt:lpwstr>
  </property>
  <property fmtid="{D5CDD505-2E9C-101B-9397-08002B2CF9AE}" pid="6" name="MSIP_Label_e66ba66e-8b7b-475b-ae81-4aab15d5f212_SiteId">
    <vt:lpwstr>3bacb4ff-f1a2-4c92-b96c-e99fec826b68</vt:lpwstr>
  </property>
  <property fmtid="{D5CDD505-2E9C-101B-9397-08002B2CF9AE}" pid="7" name="MSIP_Label_e66ba66e-8b7b-475b-ae81-4aab15d5f212_ActionId">
    <vt:lpwstr>e0473c4f-1567-42f3-964e-7ac78a046e89</vt:lpwstr>
  </property>
  <property fmtid="{D5CDD505-2E9C-101B-9397-08002B2CF9AE}" pid="8" name="MSIP_Label_e66ba66e-8b7b-475b-ae81-4aab15d5f212_ContentBits">
    <vt:lpwstr>0</vt:lpwstr>
  </property>
</Properties>
</file>