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E6A56" w14:textId="77777777" w:rsidR="00BC1C02" w:rsidRPr="00934C9C" w:rsidRDefault="00006FDF">
      <w:pPr>
        <w:pStyle w:val="Typedudocument"/>
      </w:pPr>
      <w:r w:rsidRPr="00934C9C">
        <w:t xml:space="preserve">Regolament ta’ Implimentazzjoni tal-Kummissjoni </w:t>
      </w:r>
      <w:r w:rsidR="00E73AFD" w:rsidRPr="00934C9C">
        <w:t xml:space="preserve">(UE) </w:t>
      </w:r>
      <w:r w:rsidRPr="00934C9C">
        <w:t>2021</w:t>
      </w:r>
      <w:r w:rsidR="00E73AFD" w:rsidRPr="00934C9C">
        <w:t>/…</w:t>
      </w:r>
    </w:p>
    <w:p w14:paraId="0DC2509E" w14:textId="77777777" w:rsidR="00BC1C02" w:rsidRPr="00934C9C" w:rsidRDefault="00E73AFD">
      <w:pPr>
        <w:pStyle w:val="Datedadoption"/>
      </w:pPr>
      <w:r w:rsidRPr="00934C9C">
        <w:t>ta</w:t>
      </w:r>
      <w:r w:rsidR="00006FDF" w:rsidRPr="00934C9C">
        <w:t>s-6 ta</w:t>
      </w:r>
      <w:r w:rsidRPr="00934C9C">
        <w:t>’</w:t>
      </w:r>
      <w:r w:rsidR="00006FDF" w:rsidRPr="00934C9C">
        <w:t xml:space="preserve"> Diċembru 2021</w:t>
      </w:r>
    </w:p>
    <w:p w14:paraId="729B7C1C" w14:textId="77777777" w:rsidR="00BC1C02" w:rsidRPr="00934C9C" w:rsidRDefault="00E73AFD">
      <w:pPr>
        <w:pStyle w:val="Titreobjet"/>
      </w:pPr>
      <w:r w:rsidRPr="00934C9C">
        <w:t>li jistabbilixxi standards tekniċi ta’ implimentazzjoni għall-applikazzjoni tar-Regolament (UE) 2019/2033 tal-Parlament Ewropew u tal-Kunsill fir-rigward tar-rappurtar superviżorju u d-divulgazzjonijiet tad-ditti tal-investiment</w:t>
      </w:r>
    </w:p>
    <w:p w14:paraId="51F53FA6" w14:textId="77777777" w:rsidR="00BC1C02" w:rsidRPr="00934C9C" w:rsidRDefault="00E73AFD">
      <w:pPr>
        <w:pStyle w:val="IntrtEEE"/>
        <w:rPr>
          <w:b/>
        </w:rPr>
      </w:pPr>
      <w:r w:rsidRPr="00934C9C">
        <w:rPr>
          <w:b/>
        </w:rPr>
        <w:t>(Test b’rilevanza għaż-ŻEE)</w:t>
      </w:r>
    </w:p>
    <w:p w14:paraId="48979859" w14:textId="77777777" w:rsidR="00BC1C02" w:rsidRPr="00934C9C" w:rsidRDefault="00E73AFD">
      <w:pPr>
        <w:pStyle w:val="Institutionquiagit"/>
      </w:pPr>
      <w:r w:rsidRPr="00934C9C">
        <w:t>IL-KUMMISSJONI EWROPEA,</w:t>
      </w:r>
    </w:p>
    <w:p w14:paraId="7ABC6E63" w14:textId="77777777" w:rsidR="00BC1C02" w:rsidRPr="00934C9C" w:rsidRDefault="00E73AFD">
      <w:r w:rsidRPr="00934C9C">
        <w:t>Wara li kkunsidrat it-Trattat dwar il-Funzjonament tal-Unjoni Ewropea,</w:t>
      </w:r>
    </w:p>
    <w:p w14:paraId="29E3C6ED" w14:textId="77777777" w:rsidR="00BC1C02" w:rsidRPr="00934C9C" w:rsidRDefault="00E73AFD">
      <w:r w:rsidRPr="00934C9C">
        <w:t>Wara li kkunsidrat ir-Regolament (UE) 2019/2033 tal-Parlament Ewropew u tal-Kunsill tas-27 ta’ Novembru 2019 dwar ir-rekwiżiti prudenzjali għad-ditti tal-investiment u li jemenda r-Regolamenti (UE) Nru 1093/2010, (UE) Nru 575/2013, (UE) Nru 600/2014 u (UE) Nru 806/2014 </w:t>
      </w:r>
      <w:r w:rsidRPr="00934C9C">
        <w:rPr>
          <w:rStyle w:val="FootnoteReference"/>
        </w:rPr>
        <w:footnoteReference w:id="1"/>
      </w:r>
      <w:r w:rsidRPr="00934C9C">
        <w:t>, u b’mod partikolari l-Artikolu 49(2) u l-Artikolu 54(3) tiegħu,</w:t>
      </w:r>
    </w:p>
    <w:p w14:paraId="2253286C" w14:textId="77777777" w:rsidR="00BC1C02" w:rsidRPr="00934C9C" w:rsidRDefault="00E73AFD">
      <w:r w:rsidRPr="00934C9C">
        <w:t>Billi:</w:t>
      </w:r>
    </w:p>
    <w:p w14:paraId="6B428528" w14:textId="77777777" w:rsidR="00BC1C02" w:rsidRPr="00934C9C" w:rsidRDefault="00E73AFD">
      <w:pPr>
        <w:pStyle w:val="Considrant"/>
        <w:numPr>
          <w:ilvl w:val="0"/>
          <w:numId w:val="0"/>
        </w:numPr>
        <w:tabs>
          <w:tab w:val="left" w:pos="709"/>
        </w:tabs>
        <w:ind w:left="709" w:hanging="709"/>
      </w:pPr>
      <w:r w:rsidRPr="00934C9C">
        <w:t>(1)</w:t>
      </w:r>
      <w:r w:rsidRPr="00934C9C">
        <w:tab/>
        <w:t>Ir-rekwiżiti ta’ rapportar għad-ditti tal-investiment previsti fl-Artikolu 54 tar-Regolament (UE) 2019/2033 jenħtieġ li jkunu mfassla għan-negozju tad-ditti tal-investiment u jkunu proporzjonati għall-iskala u l-kumplessità ta’ ditti tal-investiment differenti. Dawk ir-rekwiżiti jenħtieġ li jqisu b’mod partikolari li ċerti ditti tal-investiment iridu jitqiesu bħala żgħar u mhux interkonnessi skont il-kundizzjonijiet stabbiliti fl-Artikolu 12 tar-Regolament (UE) 2019/2033.</w:t>
      </w:r>
    </w:p>
    <w:p w14:paraId="71FB4C22" w14:textId="77777777" w:rsidR="00BC1C02" w:rsidRPr="00934C9C" w:rsidRDefault="00E73AFD">
      <w:pPr>
        <w:pStyle w:val="Considrant"/>
        <w:numPr>
          <w:ilvl w:val="0"/>
          <w:numId w:val="0"/>
        </w:numPr>
        <w:tabs>
          <w:tab w:val="left" w:pos="709"/>
        </w:tabs>
        <w:ind w:left="709" w:hanging="709"/>
      </w:pPr>
      <w:r w:rsidRPr="00934C9C">
        <w:t>(2)</w:t>
      </w:r>
      <w:r w:rsidRPr="00934C9C">
        <w:tab/>
        <w:t xml:space="preserve">Skont l-Artikolu 54(1) tar-Regolament (UE) 2019/2033, ditti tal-investiment żgħar u mhux interkonnessi jridu jirrapportaw informazzjoni dwar il-livell u l-kompożizzjoni tal-fondi proprji tagħhom, ir-rekwiżiti ta’ fondi proprji tagħhom, il-bażi għall-kalkolu tar-rekwiżiti ta’ fondi proprji tagħhom u l-livell ta’ attività fir-rigward tal-kundizzjonijiet stabbiliti fl-Artikolu 12(1) tar-Regolament (UE) 2019/2033. Għalhekk, ditti żgħar u mhux interkonnessi mhumiex meħtieġa jirrapportaw l-istess livell ta’ dettall ta’ informazzjoni bħal ditti tal-investiment oħra soġġetti għar-Regolament (UE) 2019/2033. Għalhekk, jenħtieġ li l-formoli tar-rapportar dwar il-kalkolu tal-fattur-K ma jkunux applikabbli għal ditti żgħar u mhux interkonnessi. Barra minn hekk, skont it-tielet subparagrafu tal-Artikolu 54(2) tar-Regolament (UE) 2019/2033, </w:t>
      </w:r>
      <w:bookmarkStart w:id="0" w:name="_DV_C108"/>
      <w:r w:rsidRPr="00934C9C">
        <w:t>ditti żgħar u mhux interkonnessi huma eżentati mir-rapportar dwar ir-riskju ta’ konċentrazzjoni u l-awtoritajiet kompetenti jistgħu jeżentaw ditti żgħar u mhux interkonnessi mill-obbligu li jirrapportaw dwar ir-rekwiżiti tal-likwidità</w:t>
      </w:r>
      <w:bookmarkStart w:id="1" w:name="_DV_M108"/>
      <w:bookmarkEnd w:id="0"/>
      <w:bookmarkEnd w:id="1"/>
      <w:r w:rsidRPr="00934C9C">
        <w:t>.</w:t>
      </w:r>
    </w:p>
    <w:p w14:paraId="50A4B740" w14:textId="77777777" w:rsidR="00BC1C02" w:rsidRPr="00934C9C" w:rsidRDefault="00E73AFD">
      <w:pPr>
        <w:pStyle w:val="Considrant"/>
        <w:numPr>
          <w:ilvl w:val="0"/>
          <w:numId w:val="0"/>
        </w:numPr>
        <w:tabs>
          <w:tab w:val="left" w:pos="709"/>
        </w:tabs>
        <w:ind w:left="709" w:hanging="709"/>
      </w:pPr>
      <w:r w:rsidRPr="00934C9C">
        <w:t>(3)</w:t>
      </w:r>
      <w:r w:rsidRPr="00934C9C">
        <w:tab/>
        <w:t>Jenħtieġ li d-ditti tal-investiment kollha soġġetti għar-Regolament (UE) 2019/2033 jirrapportaw il-profil tal-attività u d-daqs tagħhom biex jippermettu lill-awtoritajiet kompetenti jivvalutaw jekk dawk id-ditti tal-investiment jissodisfawx il-kundizzjonijiet stabbiliti fl-Artikolu 12 tar-Regolament (UE) 2019/2033 biex jiġu kklassifikati bħala ditti tal-investiment żgħar u mhux interkonnessi.</w:t>
      </w:r>
    </w:p>
    <w:p w14:paraId="5A16F8AD" w14:textId="77777777" w:rsidR="00BC1C02" w:rsidRPr="00934C9C" w:rsidRDefault="00E73AFD">
      <w:pPr>
        <w:pStyle w:val="Considrant"/>
        <w:numPr>
          <w:ilvl w:val="0"/>
          <w:numId w:val="0"/>
        </w:numPr>
        <w:tabs>
          <w:tab w:val="left" w:pos="709"/>
        </w:tabs>
        <w:ind w:left="709" w:hanging="709"/>
      </w:pPr>
      <w:r w:rsidRPr="00934C9C">
        <w:t>(4)</w:t>
      </w:r>
      <w:r w:rsidRPr="00934C9C">
        <w:tab/>
        <w:t>Sabiex jipprovdi trasparenza lill-investituri tagħhom u lis-swieq usa’, l-Artikolu 46 tar-Regolament (UE) 2019/2033 jirrikjedi li d-ditti tal-investiment għajr id-ditti tal-</w:t>
      </w:r>
      <w:r w:rsidRPr="00934C9C">
        <w:lastRenderedPageBreak/>
        <w:t>investiment żgħar u mhux interkonnessi jiddivulgaw pubblikament l-informazzjoni speċifikata fil-Parti Sitta ta’ dak ir-Regolament. Ditti tal-investiment żgħar u mhux interkonnessi mhumiex soġġetti għal dawk ir-rekwiżiti ta’ divulgazzjoni, ħlief meta joħorġu strumenti tal-Grad 1 Addizzjonali sabiex jipprovdu trasparenza lill-investituri f’dawk l-istrumenti.</w:t>
      </w:r>
    </w:p>
    <w:p w14:paraId="3E4EEA4D" w14:textId="77777777" w:rsidR="00BC1C02" w:rsidRPr="00934C9C" w:rsidRDefault="00E73AFD">
      <w:pPr>
        <w:pStyle w:val="Considrant"/>
        <w:numPr>
          <w:ilvl w:val="0"/>
          <w:numId w:val="0"/>
        </w:numPr>
        <w:tabs>
          <w:tab w:val="left" w:pos="709"/>
        </w:tabs>
        <w:ind w:left="709" w:hanging="709"/>
      </w:pPr>
      <w:r w:rsidRPr="00934C9C">
        <w:t>(5)</w:t>
      </w:r>
      <w:r w:rsidRPr="00934C9C">
        <w:tab/>
        <w:t>Dan ir-Regolament jenħtieġ li jipprovdi lid-ditti tal-investiment b’formoli u tabelli li jwasslu informazzjoni komprensiva u komparabbli biżżejjed dwar il-kompożizzjoni u l-kwalità tal-fondi proprji tagħhom. B’mod aktar speċifiku, huwa meħtieġ li tiġi introdotta formola ta’ divulgazzjoni kwantitattiva dwar il-kompożizzjoni tal-fondi proprji u formola flessibbli dwar ir-rikonċiljazzjoni tal-fondi proprji regolatorji mar-rapporti finanzjarji awditjati. Għall-istess raġuni, huwa meħtieġ ukoll li tiġi stabbilita formola b’informazzjoni dwar l-aktar karatteristiċi rilevanti tal-istrumenti ta’ fondi proprji maħruġa mid-ditta tal-investiment.</w:t>
      </w:r>
    </w:p>
    <w:p w14:paraId="747F6390" w14:textId="77777777" w:rsidR="00BC1C02" w:rsidRPr="00934C9C" w:rsidRDefault="00E73AFD">
      <w:pPr>
        <w:pStyle w:val="Considrant"/>
        <w:numPr>
          <w:ilvl w:val="0"/>
          <w:numId w:val="0"/>
        </w:numPr>
        <w:tabs>
          <w:tab w:val="left" w:pos="709"/>
        </w:tabs>
        <w:ind w:left="709" w:hanging="709"/>
      </w:pPr>
      <w:r w:rsidRPr="00934C9C">
        <w:t>(6)</w:t>
      </w:r>
      <w:r w:rsidRPr="00934C9C">
        <w:tab/>
      </w:r>
      <w:r w:rsidRPr="00934C9C">
        <w:rPr>
          <w:color w:val="000000"/>
        </w:rPr>
        <w:t>Sabiex tiġi ffaċilitata l-implimentazzjoni tar-rekwiżiti ta’ rapportar u divulgazzjoni, huwa meħtieġ li tissaħħaħ il-konsistenza bejn il-formoli tar-rapportar u tad-divulgazzjoni. Il-formola għad-divulgazzjoni dwar il-kompożizzjoni tal-fondi proprji jenħtieġ għalhekk li tkun allinjata mill-qrib mal-formola ta’ rapportar relatata dwar il-livell u l-kompożizzjoni tal-fondi proprji. Għall-istess raġuni, il-formola għad-divulgazzjoni dwar rikonċiljazzjoni sħiħa tal-fondi proprji mar-rapporti finanzjarji awditjati jenħtieġ li tkun flessibbli fis-sens li d-diżaggregazzjoni tal-formola jenħtieġ li tkun ibbażata fuq id-diżaggregazzjoni tal-karta bilanċjali fir-rapporti finanzjarji awditjati tad-ditta tal-investiment. Barra minn hekk, il-formola għad-divulgazzjoni tal-informazzjoni dwar il-karatteristiċi ewlenin tal-fondi proprji regolatorji jenħtieġ li tkun formola fissa u l-kumplessità tagħha jenħtieġ li tiddependi fuq il-kumplessità tal-istrumenti ta’ fondi proprji.</w:t>
      </w:r>
    </w:p>
    <w:p w14:paraId="75F5A477" w14:textId="7E3D48E5" w:rsidR="00BC1C02" w:rsidRPr="00934C9C" w:rsidRDefault="00E73AFD" w:rsidP="00934C9C">
      <w:pPr>
        <w:pStyle w:val="Considrant"/>
        <w:numPr>
          <w:ilvl w:val="0"/>
          <w:numId w:val="0"/>
        </w:numPr>
        <w:tabs>
          <w:tab w:val="left" w:pos="709"/>
        </w:tabs>
        <w:ind w:left="709" w:hanging="709"/>
      </w:pPr>
      <w:r w:rsidRPr="00934C9C">
        <w:t>(7)</w:t>
      </w:r>
      <w:r w:rsidRPr="00934C9C">
        <w:tab/>
        <w:t>Sabiex jiġi żgurat li l-kostijiet tal-konformità għad-ditti tal-investiment ma jiżdidux b’mod mhux raġonevoli u li tinżamm il-kwalità tad-</w:t>
      </w:r>
      <w:r w:rsidRPr="00934C9C">
        <w:rPr>
          <w:i/>
        </w:rPr>
        <w:t>data</w:t>
      </w:r>
      <w:r w:rsidRPr="00934C9C">
        <w:t>, jenħtieġ li l-obbligi tar-rapportar u tad-divulgazzjoni jiġu allinjati fis-sustanza tagħhom kemm jista’ jkun ma’ xulxin. Għalhekk huwa xieraq li jiġu stabbiliti, f’Regolament wieħed, standards applikabbli kemm għar-rekwiżiti ta’ rappurtar kif ukoll għal dawk ta’ divulgazzjoni.</w:t>
      </w:r>
    </w:p>
    <w:p w14:paraId="6BB35294" w14:textId="17A311E7" w:rsidR="00BC1C02" w:rsidRPr="00934C9C" w:rsidRDefault="00E73AFD">
      <w:pPr>
        <w:pStyle w:val="Considrant"/>
        <w:numPr>
          <w:ilvl w:val="0"/>
          <w:numId w:val="0"/>
        </w:numPr>
        <w:tabs>
          <w:tab w:val="left" w:pos="709"/>
        </w:tabs>
        <w:ind w:left="709" w:hanging="709"/>
      </w:pPr>
      <w:r w:rsidRPr="00934C9C">
        <w:t>(</w:t>
      </w:r>
      <w:r w:rsidR="00934C9C" w:rsidRPr="00934C9C">
        <w:t>8</w:t>
      </w:r>
      <w:r w:rsidRPr="00934C9C">
        <w:t>)</w:t>
      </w:r>
      <w:r w:rsidRPr="00934C9C">
        <w:tab/>
        <w:t>Dan ir-Regolament huwa bbażat fuq l-abbozz tal-istandards tekniċi ta’ implimentazzjoni ppreżentat lill-Kummissjoni mill-Awtorità Bankarja Ewropea (EBA) wara li kkonsultat lill-Awtorità Ewropea tat-Titoli u s-Swieq.</w:t>
      </w:r>
    </w:p>
    <w:p w14:paraId="5973E097" w14:textId="3C167A84" w:rsidR="00BC1C02" w:rsidRPr="00934C9C" w:rsidRDefault="00E73AFD">
      <w:pPr>
        <w:pStyle w:val="Considrant"/>
        <w:numPr>
          <w:ilvl w:val="0"/>
          <w:numId w:val="0"/>
        </w:numPr>
        <w:tabs>
          <w:tab w:val="left" w:pos="709"/>
        </w:tabs>
        <w:ind w:left="709" w:hanging="709"/>
      </w:pPr>
      <w:r w:rsidRPr="00934C9C">
        <w:t>(</w:t>
      </w:r>
      <w:r w:rsidR="00934C9C" w:rsidRPr="00934C9C">
        <w:t>9</w:t>
      </w:r>
      <w:r w:rsidRPr="00934C9C">
        <w:t>)</w:t>
      </w:r>
      <w:r w:rsidRPr="00934C9C">
        <w:tab/>
        <w:t>L-EBA wettqet konsultazzjonijiet pubbliċi miftuħa dwar l-abbozz tal-istandards tekniċi ta’ implimentazzjoni li fuqhom huwa bbażat dan ir-Regolament, analizzat il-kostijiet u l-benefiċċji potenzjali relatati u talbet l-opinjoni tal-Grupp tal-Partijiet Bankarji Interessati stabbilit f’konformità mal-Artikolu 37 tar-Regolament (UE) Nru 1093/2010 tal-Parlament Ewropew u tal-Kunsill </w:t>
      </w:r>
      <w:r w:rsidRPr="00934C9C">
        <w:rPr>
          <w:rStyle w:val="FootnoteReference"/>
        </w:rPr>
        <w:footnoteReference w:id="2"/>
      </w:r>
      <w:r w:rsidRPr="00934C9C">
        <w:t>,</w:t>
      </w:r>
    </w:p>
    <w:p w14:paraId="4D7BDF31" w14:textId="77777777" w:rsidR="00BC1C02" w:rsidRPr="00934C9C" w:rsidRDefault="00E73AFD">
      <w:pPr>
        <w:pStyle w:val="Formuledadoption"/>
      </w:pPr>
      <w:r w:rsidRPr="00934C9C">
        <w:lastRenderedPageBreak/>
        <w:t>ADOTTAT DAN IR-REGOLAMENT:</w:t>
      </w:r>
    </w:p>
    <w:p w14:paraId="242E2894" w14:textId="77777777" w:rsidR="00BC1C02" w:rsidRPr="00934C9C" w:rsidRDefault="00E73AFD">
      <w:pPr>
        <w:pStyle w:val="ChapterTitle"/>
        <w:rPr>
          <w:b w:val="0"/>
        </w:rPr>
      </w:pPr>
      <w:r w:rsidRPr="00934C9C">
        <w:rPr>
          <w:b w:val="0"/>
        </w:rPr>
        <w:t>KAPITOLU I</w:t>
      </w:r>
    </w:p>
    <w:p w14:paraId="19D77E13" w14:textId="77777777" w:rsidR="00BC1C02" w:rsidRPr="00934C9C" w:rsidRDefault="00E73AFD">
      <w:pPr>
        <w:pStyle w:val="ChapterTitle"/>
      </w:pPr>
      <w:r w:rsidRPr="00934C9C">
        <w:t>RAPPORTAR SUPERVIŻORJU</w:t>
      </w:r>
    </w:p>
    <w:p w14:paraId="7B0C5D3D" w14:textId="77777777" w:rsidR="00BC1C02" w:rsidRPr="00934C9C" w:rsidRDefault="00E73AFD">
      <w:pPr>
        <w:pStyle w:val="Titrearticle"/>
      </w:pPr>
      <w:r w:rsidRPr="00934C9C">
        <w:t>Artikolu 1</w:t>
      </w:r>
    </w:p>
    <w:p w14:paraId="2461F229" w14:textId="77777777" w:rsidR="00BC1C02" w:rsidRPr="00934C9C" w:rsidRDefault="00E73AFD">
      <w:pPr>
        <w:pStyle w:val="Titrearticle"/>
        <w:spacing w:before="120"/>
        <w:rPr>
          <w:b/>
          <w:i w:val="0"/>
        </w:rPr>
      </w:pPr>
      <w:r w:rsidRPr="00934C9C">
        <w:rPr>
          <w:b/>
          <w:i w:val="0"/>
        </w:rPr>
        <w:t>Dati tar-referenza tar-rappurtar</w:t>
      </w:r>
    </w:p>
    <w:p w14:paraId="5C93D241" w14:textId="77777777" w:rsidR="00BC1C02" w:rsidRPr="00934C9C" w:rsidRDefault="00E73AFD">
      <w:pPr>
        <w:pStyle w:val="NumPar1"/>
        <w:numPr>
          <w:ilvl w:val="0"/>
          <w:numId w:val="0"/>
        </w:numPr>
        <w:tabs>
          <w:tab w:val="left" w:pos="567"/>
        </w:tabs>
      </w:pPr>
      <w:r w:rsidRPr="00934C9C">
        <w:t>1.</w:t>
      </w:r>
      <w:r w:rsidRPr="00934C9C">
        <w:tab/>
        <w:t>L-informazzjoni msemmija fl-Artikolu 54(1) tar-Regolament għandha tiġi rrapportata hekk kif din l-informazzjoni tkun tinsab fid-dati ta’ referenza tar-rapportar li ġejjin:</w:t>
      </w:r>
    </w:p>
    <w:p w14:paraId="2DF5ECC5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(a)</w:t>
      </w:r>
      <w:r w:rsidRPr="00934C9C">
        <w:tab/>
        <w:t>rapporti trimestrali: il-31 ta’ Marzu, it-30 ta’ Ġunju, it-30 ta’ Settembru u l-31 ta’ Diċembru;</w:t>
      </w:r>
    </w:p>
    <w:p w14:paraId="4E88FD49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(b)</w:t>
      </w:r>
      <w:r w:rsidRPr="00934C9C">
        <w:tab/>
        <w:t>rapportar annwali: il-31 ta’ Diċembru.</w:t>
      </w:r>
    </w:p>
    <w:p w14:paraId="7869AA70" w14:textId="77777777" w:rsidR="00BC1C02" w:rsidRPr="00934C9C" w:rsidRDefault="00E73AFD">
      <w:pPr>
        <w:pStyle w:val="NumPar1"/>
        <w:numPr>
          <w:ilvl w:val="0"/>
          <w:numId w:val="0"/>
        </w:numPr>
        <w:tabs>
          <w:tab w:val="left" w:pos="567"/>
        </w:tabs>
      </w:pPr>
      <w:r w:rsidRPr="00934C9C">
        <w:t>2.</w:t>
      </w:r>
      <w:r w:rsidRPr="00934C9C">
        <w:tab/>
        <w:t>Id-dati ta’ referenza tar-rapportar imsemmija fil-paragrafu 1 jistgħu jiġu aġġustati meta d-ditti tal-investiment jitħallew jirrapportaw l-informazzjoni finanzjarja tagħhom abbażi tal-aħħar tas-sena kontabilistika tagħhom li tiddevja mis-sena kalendarja, sabiex ir-rapportar trimestrali tal-informazzjoni jitwettaq kull tliet xhur tas-sena kontabilistika rispettiva u r-rapportar annwali fi tmiem is-sena kontabilistika.</w:t>
      </w:r>
    </w:p>
    <w:p w14:paraId="08BC917D" w14:textId="77777777" w:rsidR="00BC1C02" w:rsidRPr="00934C9C" w:rsidRDefault="00E73AFD">
      <w:pPr>
        <w:pStyle w:val="Titrearticle"/>
      </w:pPr>
      <w:r w:rsidRPr="00934C9C">
        <w:t>Artikolu 2</w:t>
      </w:r>
    </w:p>
    <w:p w14:paraId="45261332" w14:textId="77777777" w:rsidR="00BC1C02" w:rsidRPr="00934C9C" w:rsidRDefault="00E73AFD">
      <w:pPr>
        <w:pStyle w:val="Titrearticle"/>
        <w:spacing w:before="120"/>
        <w:rPr>
          <w:b/>
          <w:i w:val="0"/>
        </w:rPr>
      </w:pPr>
      <w:r w:rsidRPr="00934C9C">
        <w:rPr>
          <w:b/>
          <w:i w:val="0"/>
        </w:rPr>
        <w:t>Rappurtar tad-dati ta’ rimessa</w:t>
      </w:r>
    </w:p>
    <w:p w14:paraId="60BB3423" w14:textId="77777777" w:rsidR="00BC1C02" w:rsidRPr="00934C9C" w:rsidRDefault="00E73AFD">
      <w:pPr>
        <w:pStyle w:val="NumPar1"/>
        <w:numPr>
          <w:ilvl w:val="0"/>
          <w:numId w:val="0"/>
        </w:numPr>
        <w:tabs>
          <w:tab w:val="left" w:pos="567"/>
        </w:tabs>
      </w:pPr>
      <w:r w:rsidRPr="00934C9C">
        <w:t>1.</w:t>
      </w:r>
      <w:r w:rsidRPr="00934C9C">
        <w:tab/>
        <w:t>L-informazzjoni msemmija fl-Artikolu 54(1) tar-Regolament (UE) 2019/2033 għandha tiġi sottomessa sal-għeluq tan-negozju tad-dati ta’ rimessa li ġejjin:</w:t>
      </w:r>
    </w:p>
    <w:p w14:paraId="08CC0DCB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(a)</w:t>
      </w:r>
      <w:r w:rsidRPr="00934C9C">
        <w:tab/>
        <w:t>rapporti kull tliet xhur: it-12 ta’ Mejju, il-11 ta’ Awwissu, il-11 ta’ Novembru u l-11 ta’ Frar;</w:t>
      </w:r>
    </w:p>
    <w:p w14:paraId="1739C784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(b)</w:t>
      </w:r>
      <w:r w:rsidRPr="00934C9C">
        <w:tab/>
        <w:t>rapportar annwali: il-11 ta’ Frar.</w:t>
      </w:r>
    </w:p>
    <w:p w14:paraId="1EA7D139" w14:textId="77777777" w:rsidR="00BC1C02" w:rsidRPr="00934C9C" w:rsidRDefault="00E73AFD">
      <w:pPr>
        <w:pStyle w:val="NumPar1"/>
        <w:numPr>
          <w:ilvl w:val="0"/>
          <w:numId w:val="0"/>
        </w:numPr>
        <w:tabs>
          <w:tab w:val="left" w:pos="567"/>
        </w:tabs>
      </w:pPr>
      <w:r w:rsidRPr="00934C9C">
        <w:t>2.</w:t>
      </w:r>
      <w:r w:rsidRPr="00934C9C">
        <w:tab/>
        <w:t>Meta l-jum ta’ rimessa tar-rapportar ikun festa pubblika fl-Istat Membru tal-awtorità kompetenti li lilha għandu jiġi pprovdut ir-rapport, jew is-Sibt jew il-Ħadd, il-jum ta’ rimessa tar-rapportar għandu jkun il-jum tax-xogħol li jmiss.</w:t>
      </w:r>
    </w:p>
    <w:p w14:paraId="27122903" w14:textId="77777777" w:rsidR="00BC1C02" w:rsidRPr="00934C9C" w:rsidRDefault="00E73AFD">
      <w:pPr>
        <w:pStyle w:val="NumPar1"/>
        <w:numPr>
          <w:ilvl w:val="0"/>
          <w:numId w:val="0"/>
        </w:numPr>
        <w:tabs>
          <w:tab w:val="left" w:pos="567"/>
        </w:tabs>
      </w:pPr>
      <w:r w:rsidRPr="00934C9C">
        <w:t>3.</w:t>
      </w:r>
      <w:r w:rsidRPr="00934C9C">
        <w:tab/>
        <w:t>Meta d-ditti tal-investiment jirrapportaw l-informazzjoni tagħhom billi jużaw dati ta’ referenza tar-rapportar aġġustati abbażi tal-aħħar tas-sena kontabilistika tagħhom kif stabbilit fl-Artikolu 1(2) ta’ dan ir-Regolament, id-dati ta’ rimessa jistgħu jiġu aġġustati skont dan sabiex jinżamm l-istess perjodu ta’ rimessa mid-data ta’ referenza tar-rapportar aġġustata.</w:t>
      </w:r>
    </w:p>
    <w:p w14:paraId="7EBC1F7E" w14:textId="77777777" w:rsidR="00BC1C02" w:rsidRPr="00934C9C" w:rsidRDefault="00E73AFD">
      <w:pPr>
        <w:pStyle w:val="NumPar1"/>
        <w:numPr>
          <w:ilvl w:val="0"/>
          <w:numId w:val="0"/>
        </w:numPr>
        <w:tabs>
          <w:tab w:val="left" w:pos="567"/>
        </w:tabs>
      </w:pPr>
      <w:r w:rsidRPr="00934C9C">
        <w:t>4.</w:t>
      </w:r>
      <w:r w:rsidRPr="00934C9C">
        <w:tab/>
        <w:t>Id-ditti tal-investiment jistgħu jissottomettu ċifri mhux awditjati. Meta ċ-ċifri awditjati jiddevjaw minn ċifri sottomessi mhux awditjati, iċ-ċifri awditjati, riveduti għandhom jiġu preżentati mingħajr dewmien żejjed. Għall-finijiet ta’ dan l-Artikolu, “ċifri mhux awditjati” tfisser ċifri li ma jkunux irċevew opinjoni ta’ awditur estern filwaqt li ċ-ċifri awditjati huma ċifri awditjati minn awditur estern li jesprimi opinjoni tal-awditjar.</w:t>
      </w:r>
    </w:p>
    <w:p w14:paraId="121128F3" w14:textId="77777777" w:rsidR="00BC1C02" w:rsidRPr="00934C9C" w:rsidRDefault="00E73AFD">
      <w:pPr>
        <w:pStyle w:val="NumPar1"/>
        <w:numPr>
          <w:ilvl w:val="0"/>
          <w:numId w:val="0"/>
        </w:numPr>
        <w:tabs>
          <w:tab w:val="left" w:pos="567"/>
        </w:tabs>
      </w:pPr>
      <w:r w:rsidRPr="00934C9C">
        <w:t>5.</w:t>
      </w:r>
      <w:r w:rsidRPr="00934C9C">
        <w:tab/>
        <w:t>Korrezzjonijiet għar-rapporti sottomessi għandhom jiġu sottomessi lill-awtoritajiet kompetenti mingħajr dewmien żejjed.</w:t>
      </w:r>
    </w:p>
    <w:p w14:paraId="375CB5A4" w14:textId="77777777" w:rsidR="00BC1C02" w:rsidRPr="00934C9C" w:rsidRDefault="00E73AFD">
      <w:pPr>
        <w:pStyle w:val="Titrearticle"/>
      </w:pPr>
      <w:r w:rsidRPr="00934C9C">
        <w:lastRenderedPageBreak/>
        <w:t>Artikolu 3</w:t>
      </w:r>
    </w:p>
    <w:p w14:paraId="7AB1135D" w14:textId="77777777" w:rsidR="00BC1C02" w:rsidRPr="00934C9C" w:rsidRDefault="00E73AFD">
      <w:pPr>
        <w:pStyle w:val="Titrearticle"/>
        <w:spacing w:before="120"/>
        <w:rPr>
          <w:b/>
          <w:i w:val="0"/>
        </w:rPr>
      </w:pPr>
      <w:r w:rsidRPr="00934C9C">
        <w:rPr>
          <w:b/>
          <w:i w:val="0"/>
        </w:rPr>
        <w:t>Applikazzjoni tar-rekwiżiti ta’ rappurtar fuq bażi individwali</w:t>
      </w:r>
    </w:p>
    <w:p w14:paraId="7640DF3A" w14:textId="77777777" w:rsidR="00BC1C02" w:rsidRPr="00934C9C" w:rsidRDefault="00E73AFD">
      <w:r w:rsidRPr="00934C9C">
        <w:t>Sabiex jikkonformaw mar-rekwiżiti ta’ rapportar tal-Artikolu 54 tar-Regolament (UE) 2019/2033 fuq bażi individwali, id-ditti tal-investiment għandhom jirrapportaw l-informazzjoni speċifikata fl-Artikoli 5, 6 u 7 ta’ dan ir-Regolament bil-frekwenza speċifikata fihom.</w:t>
      </w:r>
    </w:p>
    <w:p w14:paraId="31C0AB6F" w14:textId="77777777" w:rsidR="00BC1C02" w:rsidRPr="00934C9C" w:rsidRDefault="00E73AFD">
      <w:pPr>
        <w:pStyle w:val="Titrearticle"/>
      </w:pPr>
      <w:r w:rsidRPr="00934C9C">
        <w:t>Artikolu 4</w:t>
      </w:r>
    </w:p>
    <w:p w14:paraId="477D8270" w14:textId="77777777" w:rsidR="00BC1C02" w:rsidRPr="00934C9C" w:rsidRDefault="00E73AFD">
      <w:pPr>
        <w:pStyle w:val="Titrearticle"/>
        <w:spacing w:before="120"/>
        <w:rPr>
          <w:b/>
          <w:i w:val="0"/>
        </w:rPr>
      </w:pPr>
      <w:r w:rsidRPr="00934C9C">
        <w:rPr>
          <w:b/>
          <w:i w:val="0"/>
        </w:rPr>
        <w:t>Applikazzjoni ta’ rekwiżiti ta’ rappurtar fuq bażi kkonsolidata</w:t>
      </w:r>
    </w:p>
    <w:p w14:paraId="3501D69C" w14:textId="77777777" w:rsidR="00BC1C02" w:rsidRPr="00934C9C" w:rsidRDefault="00E73AFD">
      <w:pPr>
        <w:rPr>
          <w:i/>
        </w:rPr>
      </w:pPr>
      <w:r w:rsidRPr="00934C9C">
        <w:t>Sabiex jikkonformaw mar-rekwiżiti ta’ rapportar imsemmija fl-Artikolu 54 tar-Regolament (UE) 2019/2033 fuq bażi konsolidata, id-ditti tal-investiment għandhom jirrapportaw l-informazzjoni speċifikata fl-Artikoli 5 u 6 ta’ dan ir-Regolament ta’ Implimentazzjoni bil-frekwenza speċifikata fihom.</w:t>
      </w:r>
    </w:p>
    <w:p w14:paraId="2292E2EF" w14:textId="77777777" w:rsidR="00BC1C02" w:rsidRPr="00934C9C" w:rsidRDefault="00E73AFD">
      <w:pPr>
        <w:pStyle w:val="Titrearticle"/>
      </w:pPr>
      <w:r w:rsidRPr="00934C9C">
        <w:t>Artikolu 5</w:t>
      </w:r>
    </w:p>
    <w:p w14:paraId="7818B081" w14:textId="77777777" w:rsidR="00BC1C02" w:rsidRPr="00934C9C" w:rsidRDefault="00E73AFD">
      <w:pPr>
        <w:pStyle w:val="Titrearticle"/>
        <w:spacing w:before="120"/>
        <w:rPr>
          <w:b/>
          <w:i w:val="0"/>
        </w:rPr>
      </w:pPr>
      <w:r w:rsidRPr="00934C9C">
        <w:rPr>
          <w:b/>
          <w:i w:val="0"/>
        </w:rPr>
        <w:t>Il-format u l-frekwenza tar-rappurtar mid-ditti tal-investiment għajr id-ditti tal-investiment żgħar u mhux interkonnessi</w:t>
      </w:r>
    </w:p>
    <w:p w14:paraId="66384237" w14:textId="77777777" w:rsidR="00BC1C02" w:rsidRPr="00934C9C" w:rsidRDefault="00E73AFD">
      <w:pPr>
        <w:pStyle w:val="NumPar1"/>
        <w:numPr>
          <w:ilvl w:val="0"/>
          <w:numId w:val="0"/>
        </w:numPr>
        <w:tabs>
          <w:tab w:val="left" w:pos="567"/>
        </w:tabs>
      </w:pPr>
      <w:r w:rsidRPr="00934C9C">
        <w:t>1.</w:t>
      </w:r>
      <w:r w:rsidRPr="00934C9C">
        <w:tab/>
        <w:t>Id-ditti tal-investiment għajr id-ditti tal-investiment żgħar u mhux interkonnessi għandhom jirrapportaw l-informazzjoni meħtieġa mill-paragrafi 1 u 2 tal-Artikolu 54 tar-Regolament (UE) 2019/2033 billi jużaw il-formoli stabbiliti fl-Anness I ta’ dan ir-Regolament skont l-istruzzjonijiet stabbiliti fl-Anness II ta’ dan ir-Regolament bi frekwenza trimestrali.</w:t>
      </w:r>
    </w:p>
    <w:p w14:paraId="175133D7" w14:textId="77777777" w:rsidR="00BC1C02" w:rsidRPr="00934C9C" w:rsidRDefault="00E73AFD">
      <w:pPr>
        <w:pStyle w:val="NumPar1"/>
        <w:numPr>
          <w:ilvl w:val="0"/>
          <w:numId w:val="0"/>
        </w:numPr>
        <w:tabs>
          <w:tab w:val="left" w:pos="567"/>
        </w:tabs>
        <w:rPr>
          <w:szCs w:val="24"/>
        </w:rPr>
      </w:pPr>
      <w:r w:rsidRPr="00934C9C">
        <w:rPr>
          <w:szCs w:val="24"/>
        </w:rPr>
        <w:t>2.</w:t>
      </w:r>
      <w:r w:rsidRPr="00934C9C">
        <w:rPr>
          <w:szCs w:val="24"/>
        </w:rPr>
        <w:tab/>
      </w:r>
      <w:r w:rsidRPr="00934C9C">
        <w:t>Id-ditti tal-investiment għajr id-ditti tal-investiment żgħar u mhux interkonnessi li jiddeterminaw ir-rekwiżit tal-fattur-K tal-RtM fuq il-bażi ta’ K-NPR skont l-Artikolu 21(1) tar-Regolament (UE) 2019/2033 għandhom jirrapportaw l-informazzjoni speċifikata fil-formoli C 18.00 sa C 24.00 tal-Anness I tar-Regolament ta’ Implimentazzjoni tal-Kummissjoni (UE) 2021/451</w:t>
      </w:r>
      <w:r w:rsidR="00006FDF" w:rsidRPr="00934C9C">
        <w:rPr>
          <w:rStyle w:val="FootnoteReference"/>
        </w:rPr>
        <w:footnoteReference w:id="3"/>
      </w:r>
      <w:r w:rsidRPr="00934C9C">
        <w:t xml:space="preserve"> skont l-istruzzjonijiet stabbiliti fil-Parti 2 tal-Anness II ta’ dak ir-Regolament ta’ Implimentazzjoni bi frekwenza trimestrali.</w:t>
      </w:r>
    </w:p>
    <w:p w14:paraId="213E7C40" w14:textId="77777777" w:rsidR="00BC1C02" w:rsidRPr="00934C9C" w:rsidRDefault="00E73AFD">
      <w:pPr>
        <w:pStyle w:val="NumPar1"/>
        <w:numPr>
          <w:ilvl w:val="0"/>
          <w:numId w:val="0"/>
        </w:numPr>
        <w:tabs>
          <w:tab w:val="left" w:pos="567"/>
        </w:tabs>
        <w:rPr>
          <w:szCs w:val="24"/>
        </w:rPr>
      </w:pPr>
      <w:r w:rsidRPr="00934C9C">
        <w:rPr>
          <w:szCs w:val="24"/>
        </w:rPr>
        <w:t>3.</w:t>
      </w:r>
      <w:r w:rsidRPr="00934C9C">
        <w:rPr>
          <w:szCs w:val="24"/>
        </w:rPr>
        <w:tab/>
      </w:r>
      <w:r w:rsidRPr="00934C9C">
        <w:t>Id-ditti tal-investiment għajr id-ditti tal-investiment żgħar u mhux interkonnessi li jagħmlu użu mid-deroga stabbilita fl-Artikolu 25(4) tar-Regolament (UE) 2019/2033 għandhom jirrapportaw l-informazzjoni speċifikata fil-formola C 34.02 tal-Anness I tar-Regolament ta’ Implimentazzjoni (UE) 2021/451 f’konformità mal-istruzzjonijiet stabbiliti fil-Parti 2 tal-Anness II ta’ dak ir-Regolament ta’ Implimentazzjoni bi frekwenza trimestrali.</w:t>
      </w:r>
    </w:p>
    <w:p w14:paraId="75315F1D" w14:textId="77777777" w:rsidR="00BC1C02" w:rsidRPr="00934C9C" w:rsidRDefault="00E73AFD">
      <w:pPr>
        <w:pStyle w:val="NumPar1"/>
        <w:numPr>
          <w:ilvl w:val="0"/>
          <w:numId w:val="0"/>
        </w:numPr>
        <w:tabs>
          <w:tab w:val="left" w:pos="567"/>
        </w:tabs>
        <w:rPr>
          <w:szCs w:val="24"/>
        </w:rPr>
      </w:pPr>
      <w:r w:rsidRPr="00934C9C">
        <w:rPr>
          <w:szCs w:val="24"/>
        </w:rPr>
        <w:t>4.</w:t>
      </w:r>
      <w:r w:rsidRPr="00934C9C">
        <w:rPr>
          <w:szCs w:val="24"/>
        </w:rPr>
        <w:tab/>
      </w:r>
      <w:r w:rsidRPr="00934C9C">
        <w:t>Id-ditti tal-investiment għajr id-ditti tal-investiment żgħar u mhux interkonnessi li jagħmlu użu mid-deroga stabbilita fit-tieni subparagrafu tal-Artikolu 25(5) tar-Regolament (UE) 2019/2033 għandhom jirrapportaw l-informazzjoni speċifikata fil-formola C 25.00 tal-Anness I tar-Regolament ta’ Implimentazzjoni tal-Kummissjoni (UE) 2021/451 skont l-istruzzjonijiet stabbiliti fil-Parti 2 tal-Anness II ta’ dak ir-Regolament ta’ Implimentazzjoni bi frekwenza trimestrali.</w:t>
      </w:r>
    </w:p>
    <w:p w14:paraId="021AE0C3" w14:textId="77777777" w:rsidR="00BC1C02" w:rsidRPr="00934C9C" w:rsidRDefault="00E73AFD">
      <w:pPr>
        <w:pStyle w:val="Titrearticle"/>
      </w:pPr>
      <w:r w:rsidRPr="00934C9C">
        <w:lastRenderedPageBreak/>
        <w:t>Artikolu 6</w:t>
      </w:r>
    </w:p>
    <w:p w14:paraId="5C2D4AD1" w14:textId="77777777" w:rsidR="00BC1C02" w:rsidRPr="00934C9C" w:rsidRDefault="00E73AFD">
      <w:pPr>
        <w:pStyle w:val="Titrearticle"/>
        <w:spacing w:before="120"/>
        <w:rPr>
          <w:b/>
          <w:i w:val="0"/>
        </w:rPr>
      </w:pPr>
      <w:r w:rsidRPr="00934C9C">
        <w:rPr>
          <w:b/>
          <w:i w:val="0"/>
        </w:rPr>
        <w:t>Il-format u l-frekwenza tar-rappurtar mid-ditti tal-investiment żgħar u mhux interkonnessi</w:t>
      </w:r>
    </w:p>
    <w:p w14:paraId="509C13B0" w14:textId="77777777" w:rsidR="00BC1C02" w:rsidRPr="00934C9C" w:rsidRDefault="00186EAC">
      <w:pPr>
        <w:pStyle w:val="NumPar1"/>
        <w:numPr>
          <w:ilvl w:val="0"/>
          <w:numId w:val="0"/>
        </w:numPr>
        <w:tabs>
          <w:tab w:val="left" w:pos="567"/>
        </w:tabs>
      </w:pPr>
      <w:r w:rsidRPr="00934C9C">
        <w:t xml:space="preserve">1. </w:t>
      </w:r>
      <w:r w:rsidR="00E73AFD" w:rsidRPr="00934C9C">
        <w:t>Ditti tal-investiment żgħar u mhux interkonnessi għandhom jirrapportaw l-informazzjoni speċifikata fil-formoli tal-Anness III ta’ dan ir-Regolament skont l-istruzzjonijiet tal-Anness IV ta’ dan ir-Regolament bi frekwenza annwali. Id-ditti tal-investiment li jibbenefikaw mill-eżenzjoni msemmija fl-Artikolu 43(1), it-tieni subparagrafu, tar-Regolament (UE) 2019/2033 għandhom ikunu eżentati mid-dmir li jippreżentaw l-informazzjoni speċifikata fil-formola IF 09.01 tal-Anness III ta’ dan ir-Regolament.</w:t>
      </w:r>
    </w:p>
    <w:p w14:paraId="0EAC16AA" w14:textId="77777777" w:rsidR="00BC1C02" w:rsidRPr="00934C9C" w:rsidRDefault="00E73AFD">
      <w:pPr>
        <w:pStyle w:val="Titrearticle"/>
      </w:pPr>
      <w:r w:rsidRPr="00934C9C">
        <w:t>Artikolu 7</w:t>
      </w:r>
    </w:p>
    <w:p w14:paraId="7AEE356C" w14:textId="77777777" w:rsidR="00BC1C02" w:rsidRPr="00934C9C" w:rsidRDefault="00E73AFD">
      <w:pPr>
        <w:pStyle w:val="Titrearticle"/>
        <w:spacing w:before="120"/>
        <w:rPr>
          <w:b/>
          <w:i w:val="0"/>
        </w:rPr>
      </w:pPr>
      <w:r w:rsidRPr="00934C9C">
        <w:rPr>
          <w:b/>
          <w:i w:val="0"/>
        </w:rPr>
        <w:t>Il-format u l-frekwenza tar-rappurtar mill-entitajiet li jibbenefikaw mill-applikazzjoni tal-Artikolu 8 tar-Regolament (UE) 2019/2033</w:t>
      </w:r>
    </w:p>
    <w:p w14:paraId="1F845CE2" w14:textId="77777777" w:rsidR="00BC1C02" w:rsidRPr="00934C9C" w:rsidRDefault="00E73AFD">
      <w:pPr>
        <w:rPr>
          <w:rFonts w:eastAsia="Times New Roman"/>
          <w:szCs w:val="24"/>
        </w:rPr>
      </w:pPr>
      <w:r w:rsidRPr="00934C9C">
        <w:t>B’deroga mill-Artikolu 4 ta’ dan ir-Regolament, l-entitajiet imsemmija fl-Artikolu 8(3) tar-Regolament (UE) 2019/2033 li qed jibbenefikaw mill-applikazzjoni ta’ dak l-Artikolu għandhom jirrapportaw l-informazzjoni stabbilita fil-formoli tal-Anness VIII ta’ dan ir-Regolament skont l-istruzzjonijiet stabbiliti fl-Anness IX ta’ dan ir-Regolament bi frekwenza trimestrali.</w:t>
      </w:r>
    </w:p>
    <w:p w14:paraId="33EC0C44" w14:textId="77777777" w:rsidR="00BC1C02" w:rsidRPr="00934C9C" w:rsidRDefault="00E73AFD">
      <w:pPr>
        <w:pStyle w:val="Titrearticle"/>
      </w:pPr>
      <w:r w:rsidRPr="00934C9C">
        <w:t>Artikolu 8</w:t>
      </w:r>
    </w:p>
    <w:p w14:paraId="019F4F18" w14:textId="77777777" w:rsidR="00BC1C02" w:rsidRPr="00934C9C" w:rsidRDefault="00E73AFD">
      <w:pPr>
        <w:pStyle w:val="Titrearticle"/>
        <w:spacing w:before="120"/>
        <w:rPr>
          <w:b/>
          <w:i w:val="0"/>
        </w:rPr>
      </w:pPr>
      <w:r w:rsidRPr="00934C9C">
        <w:rPr>
          <w:b/>
          <w:i w:val="0"/>
        </w:rPr>
        <w:t>Il-preċiżjoni tad-</w:t>
      </w:r>
      <w:r w:rsidRPr="00934C9C">
        <w:rPr>
          <w:b/>
        </w:rPr>
        <w:t>data</w:t>
      </w:r>
      <w:r w:rsidRPr="00934C9C">
        <w:rPr>
          <w:b/>
          <w:i w:val="0"/>
        </w:rPr>
        <w:t xml:space="preserve"> u l-informazzjoni assoċjata mas-sottomissjonijiet</w:t>
      </w:r>
    </w:p>
    <w:p w14:paraId="57A9FCA5" w14:textId="77777777" w:rsidR="00BC1C02" w:rsidRPr="00934C9C" w:rsidRDefault="00E73AFD">
      <w:pPr>
        <w:pStyle w:val="NumPar1"/>
        <w:numPr>
          <w:ilvl w:val="0"/>
          <w:numId w:val="0"/>
        </w:numPr>
        <w:tabs>
          <w:tab w:val="left" w:pos="567"/>
        </w:tabs>
      </w:pPr>
      <w:r w:rsidRPr="00934C9C">
        <w:t>1.</w:t>
      </w:r>
      <w:r w:rsidRPr="00934C9C">
        <w:tab/>
        <w:t>Id-ditti tal-investiment għandhom jissottomettu l-informazzjoni msemmija f’dan ir-Regolament fil-formati u r-rappreżentazzjonijiet tal-iskambju tad-</w:t>
      </w:r>
      <w:r w:rsidRPr="00934C9C">
        <w:rPr>
          <w:i/>
        </w:rPr>
        <w:t>data</w:t>
      </w:r>
      <w:r w:rsidRPr="00934C9C">
        <w:t xml:space="preserve"> speċifikati mill-awtoritajiet kompetenti u fir-rispett tad-definizzjoni tal-punt tad-</w:t>
      </w:r>
      <w:r w:rsidRPr="00934C9C">
        <w:rPr>
          <w:i/>
        </w:rPr>
        <w:t>data</w:t>
      </w:r>
      <w:r w:rsidRPr="00934C9C">
        <w:t xml:space="preserve"> tal-mudell tal-punt tad-</w:t>
      </w:r>
      <w:r w:rsidRPr="00934C9C">
        <w:rPr>
          <w:i/>
        </w:rPr>
        <w:t>data</w:t>
      </w:r>
      <w:r w:rsidRPr="00934C9C">
        <w:t xml:space="preserve"> u l-formuli ta’ validazzjoni speċifikati fl-Anness V kif ukoll l-ispeċifikazzjonijiet li ġejjin:</w:t>
      </w:r>
    </w:p>
    <w:p w14:paraId="2F4E373C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(a)</w:t>
      </w:r>
      <w:r w:rsidRPr="00934C9C">
        <w:tab/>
        <w:t>informazzjoni li mhijiex meħtieġa jew li mhijiex applikabbli ma għandhiex tiġi inkluża fi preżentazzjoni tad-</w:t>
      </w:r>
      <w:r w:rsidRPr="00934C9C">
        <w:rPr>
          <w:i/>
        </w:rPr>
        <w:t>data</w:t>
      </w:r>
      <w:r w:rsidRPr="00934C9C">
        <w:t>;</w:t>
      </w:r>
    </w:p>
    <w:p w14:paraId="66A9D050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(b)</w:t>
      </w:r>
      <w:r w:rsidRPr="00934C9C">
        <w:tab/>
        <w:t>il-valuri numeriċi għandhom jiġu sottomessi bħala fatti skont il-konvenzjonijiet li ġejjin:</w:t>
      </w:r>
    </w:p>
    <w:p w14:paraId="1BA96CE6" w14:textId="77777777" w:rsidR="00BC1C02" w:rsidRPr="00934C9C" w:rsidRDefault="00E73AFD">
      <w:pPr>
        <w:pStyle w:val="Point2"/>
        <w:ind w:left="1134"/>
      </w:pPr>
      <w:r w:rsidRPr="00934C9C">
        <w:t>(i)</w:t>
      </w:r>
      <w:r w:rsidRPr="00934C9C">
        <w:tab/>
        <w:t>punti tad-</w:t>
      </w:r>
      <w:r w:rsidRPr="00934C9C">
        <w:rPr>
          <w:i/>
        </w:rPr>
        <w:t>data</w:t>
      </w:r>
      <w:r w:rsidRPr="00934C9C">
        <w:t xml:space="preserve"> bit-tip ta’ </w:t>
      </w:r>
      <w:r w:rsidRPr="00934C9C">
        <w:rPr>
          <w:i/>
        </w:rPr>
        <w:t>data</w:t>
      </w:r>
      <w:r w:rsidRPr="00934C9C">
        <w:t xml:space="preserve"> “Monetarja” għandhom jiġu rrapportati bl-użu minimu ta’ preċiżjoni ekwivalenti għal eluf ta’ unitajiet;</w:t>
      </w:r>
    </w:p>
    <w:p w14:paraId="4DC3733E" w14:textId="77777777" w:rsidR="00BC1C02" w:rsidRPr="00934C9C" w:rsidRDefault="00E73AFD">
      <w:pPr>
        <w:pStyle w:val="Point2"/>
        <w:ind w:left="1134"/>
      </w:pPr>
      <w:r w:rsidRPr="00934C9C">
        <w:t>(ii)</w:t>
      </w:r>
      <w:r w:rsidRPr="00934C9C">
        <w:tab/>
        <w:t>punti tad-</w:t>
      </w:r>
      <w:r w:rsidRPr="00934C9C">
        <w:rPr>
          <w:i/>
        </w:rPr>
        <w:t>data</w:t>
      </w:r>
      <w:r w:rsidRPr="00934C9C">
        <w:t xml:space="preserve"> bit-tip ta’ </w:t>
      </w:r>
      <w:r w:rsidRPr="00934C9C">
        <w:rPr>
          <w:i/>
        </w:rPr>
        <w:t>data</w:t>
      </w:r>
      <w:r w:rsidRPr="00934C9C">
        <w:t xml:space="preserve"> “Perċentwali” għandhom jiġu espressi bħala unità b’minimu ta’ preċiżjoni ekwivalenti għal erba’ ċifri deċimali;</w:t>
      </w:r>
    </w:p>
    <w:p w14:paraId="5E28FA7F" w14:textId="77777777" w:rsidR="00BC1C02" w:rsidRPr="00934C9C" w:rsidRDefault="00E73AFD">
      <w:pPr>
        <w:pStyle w:val="Point2"/>
        <w:ind w:left="1134"/>
      </w:pPr>
      <w:r w:rsidRPr="00934C9C">
        <w:t>(iii)</w:t>
      </w:r>
      <w:r w:rsidRPr="00934C9C">
        <w:tab/>
        <w:t>punti tad-</w:t>
      </w:r>
      <w:r w:rsidRPr="00934C9C">
        <w:rPr>
          <w:i/>
        </w:rPr>
        <w:t>data</w:t>
      </w:r>
      <w:r w:rsidRPr="00934C9C">
        <w:t xml:space="preserve"> bit-tip ta’ </w:t>
      </w:r>
      <w:r w:rsidRPr="00934C9C">
        <w:rPr>
          <w:i/>
        </w:rPr>
        <w:t>data</w:t>
      </w:r>
      <w:r w:rsidRPr="00934C9C">
        <w:t xml:space="preserve"> “Numru Sħiħ” għandhom jiġu rrapportati billi ma jintużawx deċimali u bi preċiżjoni ekwivalenti għal unitajiet.</w:t>
      </w:r>
    </w:p>
    <w:p w14:paraId="651EC655" w14:textId="77777777" w:rsidR="00BC1C02" w:rsidRPr="00934C9C" w:rsidRDefault="00E73AFD">
      <w:pPr>
        <w:pStyle w:val="NumPar1"/>
        <w:numPr>
          <w:ilvl w:val="0"/>
          <w:numId w:val="0"/>
        </w:numPr>
        <w:tabs>
          <w:tab w:val="left" w:pos="567"/>
        </w:tabs>
      </w:pPr>
      <w:r w:rsidRPr="00934C9C">
        <w:t>2.</w:t>
      </w:r>
      <w:r w:rsidRPr="00934C9C">
        <w:tab/>
        <w:t>Id-ditti tal-investiment għandhom jiġu identifikati mill-Identifikatur tal-Entità Ġuridika (legal entity identifier, LEI) tagħhom. L-entitajiet ġuridiċi u l-kontropartijiet għajr id-ditti tal-investiment għandhom jiġu identifikati permezz tal-LEI tagħhom, fejn ikun disponibbli.</w:t>
      </w:r>
    </w:p>
    <w:p w14:paraId="68AB8FCE" w14:textId="77777777" w:rsidR="00BC1C02" w:rsidRPr="00934C9C" w:rsidRDefault="00E73AFD">
      <w:pPr>
        <w:pStyle w:val="NumPar1"/>
        <w:numPr>
          <w:ilvl w:val="0"/>
          <w:numId w:val="0"/>
        </w:numPr>
        <w:tabs>
          <w:tab w:val="left" w:pos="567"/>
        </w:tabs>
      </w:pPr>
      <w:r w:rsidRPr="00934C9C">
        <w:t>3.</w:t>
      </w:r>
      <w:r w:rsidRPr="00934C9C">
        <w:tab/>
        <w:t>L-informazzjoni ppreżentata mid-ditti tal-investiment fuq il-bażi ta’ dan ir-Regolament għandha tkun akkumpanjata mill-informazzjoni li ġejja:</w:t>
      </w:r>
    </w:p>
    <w:p w14:paraId="18B8C561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(a)</w:t>
      </w:r>
      <w:r w:rsidRPr="00934C9C">
        <w:tab/>
        <w:t>ir-rapportar tad-</w:t>
      </w:r>
      <w:r w:rsidRPr="00934C9C">
        <w:rPr>
          <w:i/>
        </w:rPr>
        <w:t>data</w:t>
      </w:r>
      <w:r w:rsidRPr="00934C9C">
        <w:t xml:space="preserve"> ta’ referenza u l-perjodu ta’ referenza;</w:t>
      </w:r>
    </w:p>
    <w:p w14:paraId="0378D12A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(b)</w:t>
      </w:r>
      <w:r w:rsidRPr="00934C9C">
        <w:tab/>
        <w:t>il-munita tar-rapportar;</w:t>
      </w:r>
    </w:p>
    <w:p w14:paraId="4CFCF134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(c)</w:t>
      </w:r>
      <w:r w:rsidRPr="00934C9C">
        <w:tab/>
        <w:t>l-istandard tal-kontabilità;</w:t>
      </w:r>
    </w:p>
    <w:p w14:paraId="1EBE3388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(d)</w:t>
      </w:r>
      <w:r w:rsidRPr="00934C9C">
        <w:tab/>
        <w:t>l-Identifikatur tal-Entità Ġuridika (LEI) tal-istituzzjoni tar-rapportar;</w:t>
      </w:r>
    </w:p>
    <w:p w14:paraId="01CBA181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lastRenderedPageBreak/>
        <w:t>(e)</w:t>
      </w:r>
      <w:r w:rsidRPr="00934C9C">
        <w:tab/>
        <w:t>l-ambitu tal-konsolidazzjoni.</w:t>
      </w:r>
    </w:p>
    <w:p w14:paraId="7BFF9512" w14:textId="77777777" w:rsidR="00BC1C02" w:rsidRPr="00934C9C" w:rsidRDefault="00E73AFD">
      <w:pPr>
        <w:pStyle w:val="ChapterTitle"/>
        <w:rPr>
          <w:b w:val="0"/>
        </w:rPr>
      </w:pPr>
      <w:r w:rsidRPr="00934C9C">
        <w:rPr>
          <w:b w:val="0"/>
        </w:rPr>
        <w:t>KAPITOLU II</w:t>
      </w:r>
    </w:p>
    <w:p w14:paraId="1706D120" w14:textId="77777777" w:rsidR="00BC1C02" w:rsidRPr="00934C9C" w:rsidRDefault="00E73AFD">
      <w:pPr>
        <w:pStyle w:val="ChapterTitle"/>
      </w:pPr>
      <w:r w:rsidRPr="00934C9C">
        <w:t>DIVULGAZZJONI PUBBLIKA MINN DITTI TAL- INVESTIMENT</w:t>
      </w:r>
    </w:p>
    <w:p w14:paraId="7B916D4C" w14:textId="77777777" w:rsidR="00BC1C02" w:rsidRPr="00934C9C" w:rsidRDefault="00E73AFD">
      <w:pPr>
        <w:pStyle w:val="Titrearticle"/>
      </w:pPr>
      <w:r w:rsidRPr="00934C9C">
        <w:t>Artikolu 9</w:t>
      </w:r>
    </w:p>
    <w:p w14:paraId="151AF10D" w14:textId="77777777" w:rsidR="00BC1C02" w:rsidRPr="00934C9C" w:rsidRDefault="00E73AFD">
      <w:pPr>
        <w:pStyle w:val="Titrearticle"/>
        <w:spacing w:before="120"/>
        <w:rPr>
          <w:b/>
          <w:i w:val="0"/>
        </w:rPr>
      </w:pPr>
      <w:r w:rsidRPr="00934C9C">
        <w:rPr>
          <w:b/>
          <w:i w:val="0"/>
        </w:rPr>
        <w:t>Prinċipji tad-divulgazzjoni</w:t>
      </w:r>
    </w:p>
    <w:p w14:paraId="459E3DB0" w14:textId="77777777" w:rsidR="00BC1C02" w:rsidRPr="00934C9C" w:rsidRDefault="00186EAC">
      <w:pPr>
        <w:pStyle w:val="NumPar1"/>
        <w:numPr>
          <w:ilvl w:val="0"/>
          <w:numId w:val="0"/>
        </w:numPr>
      </w:pPr>
      <w:r w:rsidRPr="00934C9C">
        <w:t xml:space="preserve">1. </w:t>
      </w:r>
      <w:r w:rsidRPr="00934C9C">
        <w:tab/>
      </w:r>
      <w:r w:rsidR="00E73AFD" w:rsidRPr="00934C9C">
        <w:t>L-informazzjoni li għandha tiġi divulgata f’konformità ma’ dan ir-Regolament għandha tkun soġġetta għall-prinċipji li ġejjin:</w:t>
      </w:r>
    </w:p>
    <w:p w14:paraId="62B16B17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(a)</w:t>
      </w:r>
      <w:r w:rsidRPr="00934C9C">
        <w:tab/>
        <w:t>id-divulgazzjonijiet għandhom ikunu soġġetti għall-istess livell ta’ verifika interna bħal dak applikabbli għar-rapport maniġerjali inkluż fir-rapport finanzjarju tad-ditta tal-investiment;</w:t>
      </w:r>
    </w:p>
    <w:p w14:paraId="4B664F9C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(b)</w:t>
      </w:r>
      <w:r w:rsidRPr="00934C9C">
        <w:tab/>
        <w:t>id-divulgazzjonijiet għandhom ikunu ċari u għandhom jiġu ppreżentati f’forma li tinftiehem mill-utenti tal-informazzjoni u kkomunikati permezz ta’ mezz aċċessibbli. Messaġġi importanti għandhom jiġu enfasizzati u jkunu faċli biex jinstabu. Kwistjonijiet kumplessi għandhom jiġu spjegati f’lingwaġġ sempliċi. L-informazzjoni relatata għandha tiġi ppreżentata flimkien;</w:t>
      </w:r>
    </w:p>
    <w:p w14:paraId="2F08EFFC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(c)</w:t>
      </w:r>
      <w:r w:rsidRPr="00934C9C">
        <w:tab/>
        <w:t>id-divulgazzjonijiet għandhom ikunu sinifikanti u konsistenti matul iż-żmien biex l-utenti tal-informazzjoni jkunu jistgħu jqabblu l-informazzjoni minn perjodu ta’ divulgazzjoni għal ieħor;</w:t>
      </w:r>
    </w:p>
    <w:p w14:paraId="04EB67FF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(d)</w:t>
      </w:r>
      <w:r w:rsidRPr="00934C9C">
        <w:tab/>
        <w:t>id-divulgazzjonijiet kwantitattivi għandhom ikunu akkumpanjati minn spjegazzjonijiet kwalitattivi u kwalunkwe informazzjoni supplimentari oħra li tista’ tkun meħtieġa sabiex l-utenti ta’ dik l-informazzjoni jifhmuhom, filwaqt li tittieħed nota b’mod partikolari ta’ kwalunkwe bidla sinifikanti fi kwalunkwe divulgazzjoni partikolari meta mqabbla mal-informazzjoni li tinsab fid-divulgazzjonijiet preċedenti.</w:t>
      </w:r>
    </w:p>
    <w:p w14:paraId="5601661F" w14:textId="77777777" w:rsidR="00BC1C02" w:rsidRPr="00934C9C" w:rsidRDefault="00E73AFD">
      <w:pPr>
        <w:pStyle w:val="Titrearticle"/>
      </w:pPr>
      <w:r w:rsidRPr="00934C9C">
        <w:t>Artikolu 10</w:t>
      </w:r>
    </w:p>
    <w:p w14:paraId="0EB78DDA" w14:textId="77777777" w:rsidR="00BC1C02" w:rsidRPr="00934C9C" w:rsidRDefault="00E73AFD">
      <w:pPr>
        <w:pStyle w:val="Titrearticle"/>
        <w:spacing w:before="120"/>
        <w:rPr>
          <w:b/>
          <w:i w:val="0"/>
        </w:rPr>
      </w:pPr>
      <w:r w:rsidRPr="00934C9C">
        <w:rPr>
          <w:b/>
          <w:i w:val="0"/>
        </w:rPr>
        <w:t>Divulgazzjoni tal-fondi proprji mid-ditti tal-investiment</w:t>
      </w:r>
    </w:p>
    <w:p w14:paraId="32C9AED3" w14:textId="77777777" w:rsidR="00BC1C02" w:rsidRPr="00934C9C" w:rsidRDefault="00E73AFD">
      <w:r w:rsidRPr="00934C9C">
        <w:t>Id-ditti tal-investiment għandhom jagħmlu d-divulgazzjonijiet dwar il-fondi proprji meħtieġa mill-Artikolu 49(1) tar-Regolament (UE) 2019/2033 billi jużaw il-formoli tal-Anness VI ta’ dan ir-Regolament u f’konformità mal-istruzzjonijiet rilevanti stabbiliti fl-Anness VII ta’ dan ir-Regolament.</w:t>
      </w:r>
    </w:p>
    <w:p w14:paraId="7E44AB31" w14:textId="77777777" w:rsidR="00BC1C02" w:rsidRPr="00934C9C" w:rsidRDefault="00E73AFD">
      <w:pPr>
        <w:pStyle w:val="Titrearticle"/>
      </w:pPr>
      <w:r w:rsidRPr="00934C9C">
        <w:t>Artikolu 11</w:t>
      </w:r>
    </w:p>
    <w:p w14:paraId="2B686F23" w14:textId="77777777" w:rsidR="00BC1C02" w:rsidRPr="00934C9C" w:rsidRDefault="00E73AFD">
      <w:pPr>
        <w:pStyle w:val="Titrearticle"/>
        <w:spacing w:before="120"/>
        <w:rPr>
          <w:b/>
          <w:i w:val="0"/>
        </w:rPr>
      </w:pPr>
      <w:r w:rsidRPr="00934C9C">
        <w:rPr>
          <w:b/>
          <w:i w:val="0"/>
        </w:rPr>
        <w:t>Dispożizzjonijiet ġenerali dwar id-divulgazzjoni</w:t>
      </w:r>
    </w:p>
    <w:p w14:paraId="607C60C3" w14:textId="77777777" w:rsidR="00BC1C02" w:rsidRPr="00934C9C" w:rsidRDefault="00E73AFD">
      <w:pPr>
        <w:pStyle w:val="NumPar1"/>
        <w:numPr>
          <w:ilvl w:val="0"/>
          <w:numId w:val="0"/>
        </w:numPr>
        <w:tabs>
          <w:tab w:val="left" w:pos="567"/>
        </w:tabs>
      </w:pPr>
      <w:r w:rsidRPr="00934C9C">
        <w:t>1.</w:t>
      </w:r>
      <w:r w:rsidRPr="00934C9C">
        <w:tab/>
        <w:t>Meta jiddivulgaw l-informazzjoni msemmija fl-Artikolu 10 ta’ dan ir-Regolament, id-ditti tal-investiment għandhom jiżguraw li l-valuri numeriċi jiġu ppreżentati bħala fatti f’konformità ma’ dan li ġej:</w:t>
      </w:r>
    </w:p>
    <w:p w14:paraId="1E990AE2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(a)</w:t>
      </w:r>
      <w:r w:rsidRPr="00934C9C">
        <w:tab/>
        <w:t>id-</w:t>
      </w:r>
      <w:r w:rsidRPr="00934C9C">
        <w:rPr>
          <w:i/>
        </w:rPr>
        <w:t>data</w:t>
      </w:r>
      <w:r w:rsidRPr="00934C9C">
        <w:t xml:space="preserve"> monetarja kwantitattiva għandha tiġi divulgata bl-użu ta’ preċiżjoni minima ekwivalenti għal eluf ta’ unitajiet;</w:t>
      </w:r>
    </w:p>
    <w:p w14:paraId="7043451C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(b)</w:t>
      </w:r>
      <w:r w:rsidRPr="00934C9C">
        <w:tab/>
        <w:t>id-</w:t>
      </w:r>
      <w:r w:rsidRPr="00934C9C">
        <w:rPr>
          <w:i/>
        </w:rPr>
        <w:t>data</w:t>
      </w:r>
      <w:r w:rsidRPr="00934C9C">
        <w:t xml:space="preserve"> kwantitattiva ddivulgata bħala “Perċentwal” għandha tintwera bħala unità b’minimu ta’ preċiżjoni ekwivalenti għal erba’ deċimali.</w:t>
      </w:r>
    </w:p>
    <w:p w14:paraId="5FBF282C" w14:textId="77777777" w:rsidR="00BC1C02" w:rsidRPr="00934C9C" w:rsidRDefault="00E73AFD">
      <w:pPr>
        <w:pStyle w:val="NumPar1"/>
        <w:numPr>
          <w:ilvl w:val="0"/>
          <w:numId w:val="0"/>
        </w:numPr>
        <w:tabs>
          <w:tab w:val="left" w:pos="567"/>
        </w:tabs>
      </w:pPr>
      <w:r w:rsidRPr="00934C9C">
        <w:lastRenderedPageBreak/>
        <w:t>2.</w:t>
      </w:r>
      <w:r w:rsidRPr="00934C9C">
        <w:tab/>
        <w:t>Meta jiddivulgaw l-informazzjoni msemmija fl-Artikolu 10 ta’ dan ir-Regolament, id-ditti tal-investiment għandhom jiżguraw li d-</w:t>
      </w:r>
      <w:r w:rsidRPr="00934C9C">
        <w:rPr>
          <w:i/>
        </w:rPr>
        <w:t>data</w:t>
      </w:r>
      <w:r w:rsidRPr="00934C9C">
        <w:t xml:space="preserve"> tkun assoċjata mal-informazzjoni kollha li ġejja:</w:t>
      </w:r>
    </w:p>
    <w:p w14:paraId="43751A7E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(a)</w:t>
      </w:r>
      <w:r w:rsidRPr="00934C9C">
        <w:tab/>
        <w:t>id-data ta’ referenza tad-divulgazzjoni u l-perjodu ta’ referenza;</w:t>
      </w:r>
    </w:p>
    <w:p w14:paraId="7E862CEF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(b)</w:t>
      </w:r>
      <w:r w:rsidRPr="00934C9C">
        <w:tab/>
        <w:t>il-munita tad-divulgazzjoni;</w:t>
      </w:r>
    </w:p>
    <w:p w14:paraId="7C76D2DE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(c)</w:t>
      </w:r>
      <w:r w:rsidRPr="00934C9C">
        <w:tab/>
        <w:t>l-isem u, fejn rilevanti, l-Identifikatur tal-Entità Ġuridika (LEI) tal-istituzzjoni li twettaq id-divulgazzjoni;</w:t>
      </w:r>
    </w:p>
    <w:p w14:paraId="75848D33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(d)</w:t>
      </w:r>
      <w:r w:rsidRPr="00934C9C">
        <w:tab/>
        <w:t>fejn ikun rilevanti, l-istandard kontabilistiku;</w:t>
      </w:r>
    </w:p>
    <w:p w14:paraId="7929D5C9" w14:textId="77777777" w:rsidR="00BC1C02" w:rsidRPr="00934C9C" w:rsidRDefault="00E73AFD">
      <w:pPr>
        <w:pStyle w:val="Point1letter"/>
        <w:numPr>
          <w:ilvl w:val="0"/>
          <w:numId w:val="0"/>
        </w:numPr>
        <w:ind w:left="567" w:hanging="567"/>
      </w:pPr>
      <w:r w:rsidRPr="00934C9C">
        <w:t>(e)</w:t>
      </w:r>
      <w:r w:rsidRPr="00934C9C">
        <w:tab/>
        <w:t>fejn ikun rilevanti, il-kamp ta’ applikazzjoni tal-konsolidazzjoni.</w:t>
      </w:r>
    </w:p>
    <w:p w14:paraId="54FB6E63" w14:textId="77777777" w:rsidR="00BC1C02" w:rsidRPr="00934C9C" w:rsidRDefault="00E73AFD">
      <w:pPr>
        <w:pStyle w:val="ChapterTitle"/>
        <w:rPr>
          <w:b w:val="0"/>
        </w:rPr>
      </w:pPr>
      <w:r w:rsidRPr="00934C9C">
        <w:rPr>
          <w:b w:val="0"/>
        </w:rPr>
        <w:t>KAPITOLU III</w:t>
      </w:r>
    </w:p>
    <w:p w14:paraId="4CC6BB3C" w14:textId="77777777" w:rsidR="00BC1C02" w:rsidRPr="00934C9C" w:rsidRDefault="00E73AFD">
      <w:pPr>
        <w:pStyle w:val="ChapterTitle"/>
      </w:pPr>
      <w:r w:rsidRPr="00934C9C">
        <w:t>DISPOŻIZZJONIJIET FINALI</w:t>
      </w:r>
    </w:p>
    <w:p w14:paraId="7F09BC84" w14:textId="77777777" w:rsidR="00BC1C02" w:rsidRPr="00934C9C" w:rsidRDefault="00E73AFD">
      <w:pPr>
        <w:pStyle w:val="Titrearticle"/>
        <w:spacing w:before="120"/>
      </w:pPr>
      <w:r w:rsidRPr="00934C9C">
        <w:t>Artikolu 12</w:t>
      </w:r>
    </w:p>
    <w:p w14:paraId="2F2DF57F" w14:textId="7503C3E9" w:rsidR="00934C9C" w:rsidRPr="00934C9C" w:rsidRDefault="00E73AFD" w:rsidP="00934C9C">
      <w:pPr>
        <w:pStyle w:val="Titrearticle"/>
        <w:spacing w:before="120"/>
        <w:rPr>
          <w:b/>
          <w:i w:val="0"/>
        </w:rPr>
      </w:pPr>
      <w:r w:rsidRPr="00934C9C">
        <w:rPr>
          <w:b/>
          <w:i w:val="0"/>
        </w:rPr>
        <w:t>Dħul fis-seħħ</w:t>
      </w:r>
    </w:p>
    <w:p w14:paraId="07A302B2" w14:textId="77777777" w:rsidR="00BC1C02" w:rsidRPr="00934C9C" w:rsidRDefault="00E73AFD">
      <w:r w:rsidRPr="00934C9C">
        <w:t>Dan ir-Regolament għandu jidħol fis-seħħ fl-għoxrin jum wara dak tal-pubblikazzjoni tiegħu f’</w:t>
      </w:r>
      <w:r w:rsidRPr="00934C9C">
        <w:rPr>
          <w:i/>
        </w:rPr>
        <w:t>Il-Ġurnal Uffiċjali tal-Unjoni Ewropea</w:t>
      </w:r>
      <w:r w:rsidRPr="00934C9C">
        <w:t>.</w:t>
      </w:r>
    </w:p>
    <w:p w14:paraId="13AB0949" w14:textId="77777777" w:rsidR="00BC1C02" w:rsidRPr="00934C9C" w:rsidRDefault="00E73AFD">
      <w:pPr>
        <w:pStyle w:val="Applicationdirecte"/>
      </w:pPr>
      <w:r w:rsidRPr="00934C9C">
        <w:t>Dan ir-Regolament għandu jorbot fl-intier tiegħu u japplika direttament fl-Istati Membri kollha.</w:t>
      </w:r>
    </w:p>
    <w:p w14:paraId="238FE5DA" w14:textId="77777777" w:rsidR="00BC1C02" w:rsidRPr="00934C9C" w:rsidRDefault="00E73AFD">
      <w:pPr>
        <w:pStyle w:val="Fait"/>
      </w:pPr>
      <w:r w:rsidRPr="00934C9C">
        <w:t>Magħmul fi Brussell,</w:t>
      </w:r>
      <w:r w:rsidR="00006FDF" w:rsidRPr="00934C9C">
        <w:t xml:space="preserve"> is-6 ta’ Diċembru 2021.</w:t>
      </w:r>
    </w:p>
    <w:p w14:paraId="627195BD" w14:textId="77777777" w:rsidR="00BC1C02" w:rsidRPr="00934C9C" w:rsidRDefault="00E73AFD">
      <w:pPr>
        <w:pStyle w:val="Institutionquisigne"/>
      </w:pPr>
      <w:r w:rsidRPr="00934C9C">
        <w:tab/>
        <w:t>Għall-Kummissjoni</w:t>
      </w:r>
    </w:p>
    <w:p w14:paraId="3A8A60AE" w14:textId="77777777" w:rsidR="00BC1C02" w:rsidRPr="00934C9C" w:rsidRDefault="00E73AFD">
      <w:pPr>
        <w:pStyle w:val="Personnequisigne"/>
      </w:pPr>
      <w:r w:rsidRPr="00934C9C">
        <w:tab/>
        <w:t>Il-President</w:t>
      </w:r>
    </w:p>
    <w:p w14:paraId="69ABD810" w14:textId="77777777" w:rsidR="00BC1C02" w:rsidRPr="00006FDF" w:rsidRDefault="00E73AFD">
      <w:pPr>
        <w:pStyle w:val="Personnequisigne"/>
        <w:rPr>
          <w:i w:val="0"/>
        </w:rPr>
      </w:pPr>
      <w:r w:rsidRPr="00934C9C">
        <w:tab/>
      </w:r>
      <w:r w:rsidRPr="00934C9C">
        <w:rPr>
          <w:i w:val="0"/>
        </w:rPr>
        <w:t xml:space="preserve">Ursula </w:t>
      </w:r>
      <w:r w:rsidR="00006FDF" w:rsidRPr="00934C9C">
        <w:rPr>
          <w:i w:val="0"/>
        </w:rPr>
        <w:t>VON DER LEYEN</w:t>
      </w:r>
    </w:p>
    <w:sectPr w:rsidR="00BC1C02" w:rsidRPr="00006FDF">
      <w:headerReference w:type="default" r:id="rId8"/>
      <w:footerReference w:type="default" r:id="rId9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45FD70" w14:textId="77777777" w:rsidR="00C47816" w:rsidRDefault="00C47816">
      <w:pPr>
        <w:spacing w:before="0" w:after="0"/>
      </w:pPr>
      <w:r>
        <w:separator/>
      </w:r>
    </w:p>
  </w:endnote>
  <w:endnote w:type="continuationSeparator" w:id="0">
    <w:p w14:paraId="7911654A" w14:textId="77777777" w:rsidR="00C47816" w:rsidRDefault="00C4781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E2936" w14:textId="77777777" w:rsidR="00BC1C02" w:rsidRDefault="00E73AFD">
    <w:pPr>
      <w:pStyle w:val="Footer"/>
      <w:tabs>
        <w:tab w:val="clear" w:pos="4535"/>
        <w:tab w:val="clear" w:pos="9921"/>
      </w:tabs>
      <w:ind w:left="0" w:right="0"/>
    </w:pPr>
    <w:r>
      <w:t>MT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 w:rsidR="00186EAC">
      <w:rPr>
        <w:noProof/>
      </w:rPr>
      <w:t>6</w:t>
    </w:r>
    <w:r>
      <w:fldChar w:fldCharType="end"/>
    </w:r>
    <w:r>
      <w:t>/</w:t>
    </w:r>
    <w:r w:rsidR="00934C9C">
      <w:fldChar w:fldCharType="begin"/>
    </w:r>
    <w:r w:rsidR="00934C9C">
      <w:instrText xml:space="preserve"> NUMPAGES \* MERGEFORMAT </w:instrText>
    </w:r>
    <w:r w:rsidR="00934C9C">
      <w:fldChar w:fldCharType="separate"/>
    </w:r>
    <w:r w:rsidR="00186EAC">
      <w:rPr>
        <w:noProof/>
      </w:rPr>
      <w:t>7</w:t>
    </w:r>
    <w:r w:rsidR="00934C9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8CCA63" w14:textId="77777777" w:rsidR="00C47816" w:rsidRDefault="00C47816">
      <w:pPr>
        <w:spacing w:before="0" w:after="0"/>
      </w:pPr>
      <w:r>
        <w:separator/>
      </w:r>
    </w:p>
  </w:footnote>
  <w:footnote w:type="continuationSeparator" w:id="0">
    <w:p w14:paraId="214372AA" w14:textId="77777777" w:rsidR="00C47816" w:rsidRDefault="00C47816">
      <w:pPr>
        <w:spacing w:before="0" w:after="0"/>
      </w:pPr>
      <w:r>
        <w:continuationSeparator/>
      </w:r>
    </w:p>
  </w:footnote>
  <w:footnote w:id="1">
    <w:p w14:paraId="47878820" w14:textId="77777777" w:rsidR="00BC1C02" w:rsidRPr="00934C9C" w:rsidRDefault="00E73AFD">
      <w:pPr>
        <w:pStyle w:val="FootnoteText"/>
      </w:pPr>
      <w:r w:rsidRPr="00934C9C">
        <w:rPr>
          <w:rStyle w:val="FootnoteReference"/>
        </w:rPr>
        <w:footnoteRef/>
      </w:r>
      <w:r w:rsidRPr="00934C9C">
        <w:tab/>
        <w:t>ĠU L 314, 5.12.2019, p. 1.</w:t>
      </w:r>
    </w:p>
  </w:footnote>
  <w:footnote w:id="2">
    <w:p w14:paraId="357E1EC6" w14:textId="77777777" w:rsidR="00BC1C02" w:rsidRPr="00934C9C" w:rsidRDefault="00E73AFD">
      <w:pPr>
        <w:pStyle w:val="FootnoteText"/>
      </w:pPr>
      <w:r w:rsidRPr="00934C9C">
        <w:rPr>
          <w:rStyle w:val="FootnoteReference"/>
        </w:rPr>
        <w:footnoteRef/>
      </w:r>
      <w:r w:rsidRPr="00934C9C">
        <w:tab/>
        <w:t>Ir-Regolament (UE) Nru 1093/2010 tal-Parlament Ewropew u tal-Kunsill tal-24 ta’ Novembru 2010 li jistabbilixxi Awtorità Superviżorja Ewropea (Awtorità Bankarja Ewropea), u li jemenda d-Deċiżjoni Nru 716/2009/KE u jħassar id-Deċiżjoni tal-Kummissjoni 2009/78/KE (ĠU L 331, 15.12.2010, p. 12).</w:t>
      </w:r>
    </w:p>
  </w:footnote>
  <w:footnote w:id="3">
    <w:p w14:paraId="426F6207" w14:textId="77777777" w:rsidR="00006FDF" w:rsidRDefault="00006FDF">
      <w:pPr>
        <w:pStyle w:val="FootnoteText"/>
      </w:pPr>
      <w:r w:rsidRPr="00934C9C">
        <w:rPr>
          <w:rStyle w:val="FootnoteReference"/>
        </w:rPr>
        <w:footnoteRef/>
      </w:r>
      <w:r w:rsidRPr="00934C9C">
        <w:t xml:space="preserve"> </w:t>
      </w:r>
      <w:r w:rsidRPr="00934C9C">
        <w:tab/>
        <w:t>Ir-Regolament ta’ implimentazzjoni tal-kummissjoni (UE) 2021/451 tas-17 ta’ Diċembru 2020 li jistabbilixxi standards tekniċi ta’ implimentazzjoni għall-applikazzjoni tar-Regolament (UE) Nru 575/2013 tal-Parlament Ewropew u tal-Kunsill fir-rigward tar-rapportar superviżorju tal-istituzzjonijiet u li jħassar ir-Regolament ta’ Implimentazzjoni (UE) Nru 680/2014 (ĠU L 97, 19.3.2021, p.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766AA" w14:textId="3D368867" w:rsidR="00BC1C02" w:rsidRDefault="00934C9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01BB17B" wp14:editId="417E494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5cac4d958a0ca5d4f9a3f774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6AD6373" w14:textId="65477DFC" w:rsidR="00934C9C" w:rsidRPr="00934C9C" w:rsidRDefault="00934C9C" w:rsidP="00934C9C">
                          <w:pPr>
                            <w:spacing w:before="0" w:after="0"/>
                            <w:jc w:val="lef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934C9C">
                            <w:rPr>
                              <w:rFonts w:ascii="Calibri" w:hAnsi="Calibri" w:cs="Calibri"/>
                              <w:color w:val="000000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1BB17B" id="_x0000_t202" coordsize="21600,21600" o:spt="202" path="m,l,21600r21600,l21600,xe">
              <v:stroke joinstyle="miter"/>
              <v:path gradientshapeok="t" o:connecttype="rect"/>
            </v:shapetype>
            <v:shape id="MSIPCM5cac4d958a0ca5d4f9a3f774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" o:allowincell="f" filled="f" stroked="f" strokeweight=".5pt">
              <v:fill o:detectmouseclick="t"/>
              <v:textbox inset="20pt,0,,0">
                <w:txbxContent>
                  <w:p w14:paraId="46AD6373" w14:textId="65477DFC" w:rsidR="00934C9C" w:rsidRPr="00934C9C" w:rsidRDefault="00934C9C" w:rsidP="00934C9C">
                    <w:pPr>
                      <w:spacing w:before="0" w:after="0"/>
                      <w:jc w:val="left"/>
                      <w:rPr>
                        <w:rFonts w:ascii="Calibri" w:hAnsi="Calibri" w:cs="Calibri"/>
                        <w:color w:val="000000"/>
                      </w:rPr>
                    </w:pPr>
                    <w:r w:rsidRPr="00934C9C">
                      <w:rPr>
                        <w:rFonts w:ascii="Calibri" w:hAnsi="Calibri" w:cs="Calibri"/>
                        <w:color w:val="000000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0B4E1FA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59C8CF9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794E350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EA4BB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BFC4352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8418305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3AD6B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9230E7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"/>
  </w:num>
  <w:num w:numId="21">
    <w:abstractNumId w:val="1"/>
  </w:num>
  <w:num w:numId="22">
    <w:abstractNumId w:val="0"/>
  </w:num>
  <w:num w:numId="23">
    <w:abstractNumId w:val="21"/>
    <w:lvlOverride w:ilvl="0">
      <w:startOverride w:val="1"/>
    </w:lvlOverride>
  </w:num>
  <w:num w:numId="24">
    <w:abstractNumId w:val="18"/>
  </w:num>
  <w:num w:numId="25">
    <w:abstractNumId w:val="12"/>
  </w:num>
  <w:num w:numId="26">
    <w:abstractNumId w:val="20"/>
  </w:num>
  <w:num w:numId="27">
    <w:abstractNumId w:val="11"/>
  </w:num>
  <w:num w:numId="28">
    <w:abstractNumId w:val="13"/>
  </w:num>
  <w:num w:numId="29">
    <w:abstractNumId w:val="9"/>
  </w:num>
  <w:num w:numId="30">
    <w:abstractNumId w:val="19"/>
  </w:num>
  <w:num w:numId="31">
    <w:abstractNumId w:val="8"/>
  </w:num>
  <w:num w:numId="32">
    <w:abstractNumId w:val="14"/>
  </w:num>
  <w:num w:numId="33">
    <w:abstractNumId w:val="16"/>
  </w:num>
  <w:num w:numId="34">
    <w:abstractNumId w:val="17"/>
  </w:num>
  <w:num w:numId="35">
    <w:abstractNumId w:val="10"/>
  </w:num>
  <w:num w:numId="36">
    <w:abstractNumId w:val="15"/>
  </w:num>
  <w:num w:numId="37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de-AT" w:vendorID="64" w:dllVersion="6" w:nlCheck="1" w:checkStyle="0"/>
  <w:activeWritingStyle w:appName="MSWord" w:lang="en-GB" w:vendorID="64" w:dllVersion="6" w:nlCheck="1" w:checkStyle="1"/>
  <w:activeWritingStyle w:appName="MSWord" w:lang="fr-BE" w:vendorID="64" w:dllVersion="6" w:nlCheck="1" w:checkStyle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DQCDateTime" w:val="2021-11-17 15:55:46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43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53084DCD-A6B7-4026-99FB-91BBAE8ADF41"/>
    <w:docVar w:name="LW_COVERPAGE_TYPE" w:val="1"/>
    <w:docVar w:name="LW_CROSSREFERENCE" w:val="&lt;UNUSED&gt;"/>
    <w:docVar w:name="LW_DATE.ADOPT.CP" w:val="ta\u8217? XXX"/>
    <w:docVar w:name="LW_DATE.ADOPT.CP_DATEFORMAT" w:val="ta\u8217?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ssell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st b\u8217?rilevanza g\u295?a\u380?-\u379?EE)"/>
    <w:docVar w:name="LW_LANGUE" w:val="MT"/>
    <w:docVar w:name="LW_LANGUESFAISANTFOI.CP" w:val="&lt;UNUSED&gt;"/>
    <w:docVar w:name="LW_LEVEL_OF_SENSITIVITY" w:val="Standard treatment"/>
    <w:docVar w:name="LW_NOM.INST" w:val="IL-KUMMISSJONI EWROPE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li jistabbilixxi standards tekni\u267?i ta\u8217? implimentazzjoni g\u295?all-applikazzjoni tar-Regolament (UE) 2019/2033 tal-Parlament Ewropew u tal-Kunsill fir-rigward tar-rappurtar supervi\u380?orju u d-divulgazzjonijiet tad-ditti tal-investiment"/>
    <w:docVar w:name="LW_TYPE.DOC.CP" w:val="REGOLAMENT TA\u8217? IMPLIMENTAZZJONI TAL-KUMMISSJONI (UE) .../..."/>
  </w:docVars>
  <w:rsids>
    <w:rsidRoot w:val="00BC1C02"/>
    <w:rsid w:val="00006FDF"/>
    <w:rsid w:val="00184EFC"/>
    <w:rsid w:val="00186EAC"/>
    <w:rsid w:val="00934C9C"/>
    <w:rsid w:val="00BC1C02"/>
    <w:rsid w:val="00C47816"/>
    <w:rsid w:val="00E7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12A84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0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0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0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0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pPr>
      <w:spacing w:before="120" w:after="120" w:line="240" w:lineRule="auto"/>
      <w:jc w:val="both"/>
    </w:pPr>
    <w:rPr>
      <w:rFonts w:eastAsiaTheme="minorEastAsia"/>
      <w:noProof/>
      <w:szCs w:val="24"/>
    </w:rPr>
  </w:style>
  <w:style w:type="character" w:customStyle="1" w:styleId="bodyChar">
    <w:name w:val="body Char"/>
    <w:basedOn w:val="DefaultParagraphFont"/>
    <w:link w:val="body"/>
    <w:rPr>
      <w:rFonts w:eastAsiaTheme="minorEastAsia"/>
      <w:noProof/>
      <w:szCs w:val="24"/>
    </w:r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Paragraph">
    <w:name w:val="List Paragraph"/>
    <w:basedOn w:val="Normal"/>
    <w:link w:val="ListParagraphChar"/>
    <w:uiPriority w:val="34"/>
    <w:qFormat/>
    <w:pPr>
      <w:spacing w:before="0" w:after="160" w:line="259" w:lineRule="auto"/>
      <w:ind w:left="720"/>
      <w:contextualSpacing/>
      <w:jc w:val="left"/>
    </w:pPr>
    <w:rPr>
      <w:rFonts w:asciiTheme="minorHAnsi" w:hAnsiTheme="minorHAnsi" w:cstheme="minorBidi"/>
      <w:sz w:val="22"/>
    </w:rPr>
  </w:style>
  <w:style w:type="paragraph" w:styleId="BodyText">
    <w:name w:val="Body Text"/>
    <w:basedOn w:val="Normal"/>
    <w:link w:val="BodyTextChar"/>
    <w:uiPriority w:val="99"/>
    <w:unhideWhenUsed/>
    <w:pPr>
      <w:spacing w:before="0"/>
      <w:jc w:val="left"/>
    </w:pPr>
    <w:rPr>
      <w:rFonts w:asciiTheme="minorHAnsi" w:eastAsiaTheme="minorEastAsia" w:hAnsiTheme="minorHAnsi" w:cstheme="minorBidi"/>
      <w:sz w:val="22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Pr>
      <w:rFonts w:eastAsiaTheme="minorEastAsia"/>
      <w:szCs w:val="24"/>
    </w:rPr>
  </w:style>
  <w:style w:type="character" w:customStyle="1" w:styleId="ListParagraphChar">
    <w:name w:val="List Paragraph Char"/>
    <w:link w:val="ListParagraph"/>
    <w:uiPriority w:val="34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Number">
    <w:name w:val="List Number"/>
    <w:basedOn w:val="Normal"/>
    <w:uiPriority w:val="99"/>
    <w:semiHidden/>
    <w:unhideWhenUsed/>
    <w:pPr>
      <w:numPr>
        <w:numId w:val="19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2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2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2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mt-MT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mt-MT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24"/>
      </w:numPr>
    </w:pPr>
  </w:style>
  <w:style w:type="paragraph" w:customStyle="1" w:styleId="Tiret1">
    <w:name w:val="Tiret 1"/>
    <w:basedOn w:val="Point1"/>
    <w:pPr>
      <w:numPr>
        <w:numId w:val="25"/>
      </w:numPr>
    </w:pPr>
  </w:style>
  <w:style w:type="paragraph" w:customStyle="1" w:styleId="Tiret2">
    <w:name w:val="Tiret 2"/>
    <w:basedOn w:val="Point2"/>
    <w:pPr>
      <w:numPr>
        <w:numId w:val="26"/>
      </w:numPr>
    </w:pPr>
  </w:style>
  <w:style w:type="paragraph" w:customStyle="1" w:styleId="Tiret3">
    <w:name w:val="Tiret 3"/>
    <w:basedOn w:val="Point3"/>
    <w:pPr>
      <w:numPr>
        <w:numId w:val="27"/>
      </w:numPr>
    </w:pPr>
  </w:style>
  <w:style w:type="paragraph" w:customStyle="1" w:styleId="Tiret4">
    <w:name w:val="Tiret 4"/>
    <w:basedOn w:val="Point4"/>
    <w:pPr>
      <w:numPr>
        <w:numId w:val="28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29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29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29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29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1"/>
      </w:numPr>
    </w:pPr>
  </w:style>
  <w:style w:type="paragraph" w:customStyle="1" w:styleId="Point1number">
    <w:name w:val="Point 1 (number)"/>
    <w:basedOn w:val="Normal"/>
    <w:pPr>
      <w:numPr>
        <w:ilvl w:val="2"/>
        <w:numId w:val="31"/>
      </w:numPr>
    </w:pPr>
  </w:style>
  <w:style w:type="paragraph" w:customStyle="1" w:styleId="Point2number">
    <w:name w:val="Point 2 (number)"/>
    <w:basedOn w:val="Normal"/>
    <w:pPr>
      <w:numPr>
        <w:ilvl w:val="4"/>
        <w:numId w:val="31"/>
      </w:numPr>
    </w:pPr>
  </w:style>
  <w:style w:type="paragraph" w:customStyle="1" w:styleId="Point3number">
    <w:name w:val="Point 3 (number)"/>
    <w:basedOn w:val="Normal"/>
    <w:pPr>
      <w:numPr>
        <w:ilvl w:val="6"/>
        <w:numId w:val="31"/>
      </w:numPr>
    </w:pPr>
  </w:style>
  <w:style w:type="paragraph" w:customStyle="1" w:styleId="Point0letter">
    <w:name w:val="Point 0 (letter)"/>
    <w:basedOn w:val="Normal"/>
    <w:pPr>
      <w:numPr>
        <w:ilvl w:val="1"/>
        <w:numId w:val="31"/>
      </w:numPr>
    </w:pPr>
  </w:style>
  <w:style w:type="paragraph" w:customStyle="1" w:styleId="Point1letter">
    <w:name w:val="Point 1 (letter)"/>
    <w:basedOn w:val="Normal"/>
    <w:pPr>
      <w:numPr>
        <w:ilvl w:val="3"/>
        <w:numId w:val="31"/>
      </w:numPr>
    </w:pPr>
  </w:style>
  <w:style w:type="paragraph" w:customStyle="1" w:styleId="Point2letter">
    <w:name w:val="Point 2 (letter)"/>
    <w:basedOn w:val="Normal"/>
    <w:pPr>
      <w:numPr>
        <w:ilvl w:val="5"/>
        <w:numId w:val="31"/>
      </w:numPr>
    </w:pPr>
  </w:style>
  <w:style w:type="paragraph" w:customStyle="1" w:styleId="Point3letter">
    <w:name w:val="Point 3 (letter)"/>
    <w:basedOn w:val="Normal"/>
    <w:pPr>
      <w:numPr>
        <w:ilvl w:val="7"/>
        <w:numId w:val="31"/>
      </w:numPr>
    </w:pPr>
  </w:style>
  <w:style w:type="paragraph" w:customStyle="1" w:styleId="Point4letter">
    <w:name w:val="Point 4 (letter)"/>
    <w:basedOn w:val="Normal"/>
    <w:pPr>
      <w:numPr>
        <w:ilvl w:val="8"/>
        <w:numId w:val="31"/>
      </w:numPr>
    </w:pPr>
  </w:style>
  <w:style w:type="paragraph" w:customStyle="1" w:styleId="Bullet0">
    <w:name w:val="Bullet 0"/>
    <w:basedOn w:val="Normal"/>
    <w:pPr>
      <w:numPr>
        <w:numId w:val="32"/>
      </w:numPr>
    </w:pPr>
  </w:style>
  <w:style w:type="paragraph" w:customStyle="1" w:styleId="Bullet1">
    <w:name w:val="Bullet 1"/>
    <w:basedOn w:val="Normal"/>
    <w:pPr>
      <w:numPr>
        <w:numId w:val="33"/>
      </w:numPr>
    </w:pPr>
  </w:style>
  <w:style w:type="paragraph" w:customStyle="1" w:styleId="Bullet2">
    <w:name w:val="Bullet 2"/>
    <w:basedOn w:val="Normal"/>
    <w:pPr>
      <w:numPr>
        <w:numId w:val="34"/>
      </w:numPr>
    </w:pPr>
  </w:style>
  <w:style w:type="paragraph" w:customStyle="1" w:styleId="Bullet3">
    <w:name w:val="Bullet 3"/>
    <w:basedOn w:val="Normal"/>
    <w:pPr>
      <w:numPr>
        <w:numId w:val="35"/>
      </w:numPr>
    </w:pPr>
  </w:style>
  <w:style w:type="paragraph" w:customStyle="1" w:styleId="Bullet4">
    <w:name w:val="Bullet 4"/>
    <w:basedOn w:val="Normal"/>
    <w:pPr>
      <w:numPr>
        <w:numId w:val="36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7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03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58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3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58F6-FEDC-4A9B-90B5-32DB94806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2546</Words>
  <Characters>14515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2021-11-25T15:01:00Z</dcterms:created>
  <dcterms:modified xsi:type="dcterms:W3CDTF">2022-01-14T16:55:00Z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Last edited using">
    <vt:lpwstr>LW 7.0.1, Build 20200226</vt:lpwstr>
  </property>
  <property fmtid="{D5CDD505-2E9C-101B-9397-08002B2CF9AE}" pid="4" name="Category">
    <vt:lpwstr>COM/AA</vt:lpwstr>
  </property>
  <property fmtid="{D5CDD505-2E9C-101B-9397-08002B2CF9AE}" pid="5" name="Part">
    <vt:lpwstr>1</vt:lpwstr>
  </property>
  <property fmtid="{D5CDD505-2E9C-101B-9397-08002B2CF9AE}" pid="6" name="Total parts">
    <vt:lpwstr>1</vt:lpwstr>
  </property>
  <property fmtid="{D5CDD505-2E9C-101B-9397-08002B2CF9AE}" pid="7" name="LWTemplateID">
    <vt:lpwstr>SJ-004</vt:lpwstr>
  </property>
  <property fmtid="{D5CDD505-2E9C-101B-9397-08002B2CF9AE}" pid="8" name="DQCStatus">
    <vt:lpwstr>Green (DQC version 03)</vt:lpwstr>
  </property>
  <property fmtid="{D5CDD505-2E9C-101B-9397-08002B2CF9AE}" pid="9" name="MSIP_Label_5c7eb9de-735b-4a68-8fe4-c9c62709b012_Enabled">
    <vt:lpwstr>true</vt:lpwstr>
  </property>
  <property fmtid="{D5CDD505-2E9C-101B-9397-08002B2CF9AE}" pid="10" name="MSIP_Label_5c7eb9de-735b-4a68-8fe4-c9c62709b012_SetDate">
    <vt:lpwstr>2022-01-14T16:55:02Z</vt:lpwstr>
  </property>
  <property fmtid="{D5CDD505-2E9C-101B-9397-08002B2CF9AE}" pid="11" name="MSIP_Label_5c7eb9de-735b-4a68-8fe4-c9c62709b012_Method">
    <vt:lpwstr>Standard</vt:lpwstr>
  </property>
  <property fmtid="{D5CDD505-2E9C-101B-9397-08002B2CF9AE}" pid="12" name="MSIP_Label_5c7eb9de-735b-4a68-8fe4-c9c62709b012_Name">
    <vt:lpwstr>EBA Regular Use</vt:lpwstr>
  </property>
  <property fmtid="{D5CDD505-2E9C-101B-9397-08002B2CF9AE}" pid="13" name="MSIP_Label_5c7eb9de-735b-4a68-8fe4-c9c62709b012_SiteId">
    <vt:lpwstr>3bacb4ff-f1a2-4c92-b96c-e99fec826b68</vt:lpwstr>
  </property>
  <property fmtid="{D5CDD505-2E9C-101B-9397-08002B2CF9AE}" pid="14" name="MSIP_Label_5c7eb9de-735b-4a68-8fe4-c9c62709b012_ActionId">
    <vt:lpwstr>f5bf3af1-4f6b-472f-b923-fcf0e4c3766f</vt:lpwstr>
  </property>
  <property fmtid="{D5CDD505-2E9C-101B-9397-08002B2CF9AE}" pid="15" name="MSIP_Label_5c7eb9de-735b-4a68-8fe4-c9c62709b012_ContentBits">
    <vt:lpwstr>1</vt:lpwstr>
  </property>
</Properties>
</file>