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FBD70" w14:textId="77777777" w:rsidR="008A319E" w:rsidRDefault="00F93FE8">
      <w:pPr>
        <w:pStyle w:val="Typedudocument"/>
      </w:pPr>
      <w:r>
        <w:t>Regulamento de Execução (UE) 2021</w:t>
      </w:r>
      <w:r w:rsidR="003C1FCC">
        <w:t xml:space="preserve">/… </w:t>
      </w:r>
      <w:r>
        <w:t xml:space="preserve">da </w:t>
      </w:r>
      <w:r w:rsidR="003C1FCC">
        <w:t>C</w:t>
      </w:r>
      <w:r>
        <w:t>omissão</w:t>
      </w:r>
    </w:p>
    <w:p w14:paraId="78C33AF7" w14:textId="77777777" w:rsidR="008A319E" w:rsidRDefault="003C1FCC" w:rsidP="00F93FE8">
      <w:pPr>
        <w:pStyle w:val="Typedudocument"/>
      </w:pPr>
      <w:r>
        <w:t xml:space="preserve">de </w:t>
      </w:r>
      <w:r w:rsidR="00F93FE8" w:rsidRPr="00F93FE8">
        <w:t>6 de dezembro de 2021</w:t>
      </w:r>
    </w:p>
    <w:p w14:paraId="74BA084B" w14:textId="77777777" w:rsidR="008A319E" w:rsidRDefault="003C1FCC" w:rsidP="00F93FE8">
      <w:pPr>
        <w:pStyle w:val="Typedudocument"/>
      </w:pPr>
      <w:r>
        <w:t>que estabelece normas técnicas de execução para a aplicação do Regulamento (UE) 2019/2033 do Parlamento Europeu e do Conselho no respeitante à comunicação de informações para fins de supervisão e à divulgação de informações das empresas de investimento</w:t>
      </w:r>
    </w:p>
    <w:p w14:paraId="1FDD1B1C" w14:textId="77777777" w:rsidR="008A319E" w:rsidRDefault="003C1FCC">
      <w:pPr>
        <w:pStyle w:val="IntrtEEE"/>
      </w:pPr>
      <w:r>
        <w:t>(Texto relevante para efeitos do EEE)</w:t>
      </w:r>
    </w:p>
    <w:p w14:paraId="0065D060" w14:textId="77777777" w:rsidR="008A319E" w:rsidRDefault="003C1FCC">
      <w:pPr>
        <w:pStyle w:val="Institutionquiagit"/>
      </w:pPr>
      <w:r>
        <w:t>A COMISSÃO EUROPEIA,</w:t>
      </w:r>
    </w:p>
    <w:p w14:paraId="5CF7A620" w14:textId="77777777" w:rsidR="008A319E" w:rsidRDefault="003C1FCC">
      <w:r>
        <w:t>Tendo em conta o Tratado sobre o Funcionamento da União Europeia,</w:t>
      </w:r>
    </w:p>
    <w:p w14:paraId="23ACFCC2" w14:textId="77777777" w:rsidR="008A319E" w:rsidRDefault="003C1FCC">
      <w:r>
        <w:t>Tendo em conta o Regulamento (UE) 2019/2033 do Parlamento Europeu e do Conselho, de 27 de novembro de 2019, relativo aos requisitos prudenciais aplicáveis às empresas de investimento e que altera os Regulamentos (UE) n.</w:t>
      </w:r>
      <w:r>
        <w:rPr>
          <w:vertAlign w:val="superscript"/>
        </w:rPr>
        <w:t>o</w:t>
      </w:r>
      <w:r>
        <w:t> 1093/2010, (UE) n.</w:t>
      </w:r>
      <w:r>
        <w:rPr>
          <w:vertAlign w:val="superscript"/>
        </w:rPr>
        <w:t>o</w:t>
      </w:r>
      <w:r>
        <w:t> 575/2013, (UE) n.</w:t>
      </w:r>
      <w:r>
        <w:rPr>
          <w:vertAlign w:val="superscript"/>
        </w:rPr>
        <w:t>o</w:t>
      </w:r>
      <w:r>
        <w:t> 600/2014 e (UE) n.</w:t>
      </w:r>
      <w:r>
        <w:rPr>
          <w:vertAlign w:val="superscript"/>
        </w:rPr>
        <w:t>o</w:t>
      </w:r>
      <w:r>
        <w:t> 806/2014 </w:t>
      </w:r>
      <w:r>
        <w:rPr>
          <w:rStyle w:val="FootnoteReference"/>
        </w:rPr>
        <w:footnoteReference w:id="1"/>
      </w:r>
      <w:r>
        <w:t>, nomeadamente o artigo 49.</w:t>
      </w:r>
      <w:r>
        <w:rPr>
          <w:vertAlign w:val="superscript"/>
        </w:rPr>
        <w:t>o</w:t>
      </w:r>
      <w:r>
        <w:t>, n.</w:t>
      </w:r>
      <w:r>
        <w:rPr>
          <w:vertAlign w:val="superscript"/>
        </w:rPr>
        <w:t>o</w:t>
      </w:r>
      <w:r>
        <w:t> 2, e o artigo 54.</w:t>
      </w:r>
      <w:r>
        <w:rPr>
          <w:vertAlign w:val="superscript"/>
        </w:rPr>
        <w:t>o</w:t>
      </w:r>
      <w:r>
        <w:t>, n.</w:t>
      </w:r>
      <w:r>
        <w:rPr>
          <w:vertAlign w:val="superscript"/>
        </w:rPr>
        <w:t>o</w:t>
      </w:r>
      <w:r>
        <w:t> 3,</w:t>
      </w:r>
    </w:p>
    <w:p w14:paraId="3E696C41" w14:textId="77777777" w:rsidR="008A319E" w:rsidRDefault="003C1FCC">
      <w:r>
        <w:t>Considerando o seguinte:</w:t>
      </w:r>
    </w:p>
    <w:p w14:paraId="6D6AC1EB" w14:textId="77777777" w:rsidR="008A319E" w:rsidRDefault="003C1FCC">
      <w:pPr>
        <w:pStyle w:val="Considrant"/>
        <w:numPr>
          <w:ilvl w:val="0"/>
          <w:numId w:val="0"/>
        </w:numPr>
        <w:tabs>
          <w:tab w:val="left" w:pos="709"/>
        </w:tabs>
        <w:ind w:left="709" w:hanging="709"/>
      </w:pPr>
      <w:r>
        <w:t>(1)</w:t>
      </w:r>
      <w:r>
        <w:tab/>
        <w:t>Os requisitos de comunicação de informações das empresas de investimento previstos no artigo 54.</w:t>
      </w:r>
      <w:r>
        <w:rPr>
          <w:vertAlign w:val="superscript"/>
        </w:rPr>
        <w:t>o</w:t>
      </w:r>
      <w:r>
        <w:t xml:space="preserve"> do Regulamento (UE) 2019/2033 devem ser adaptados às atividades das empresas de investimento e proporcionais à escala e complexidade das diferentes empresas de investimento. Esses requisitos devem, em especial, ter em conta que certas empresas de investimento devem ser consideradas de pequena dimensão e não interligadas de acordo com as condições estabelecidas no artigo 12.</w:t>
      </w:r>
      <w:r>
        <w:rPr>
          <w:vertAlign w:val="superscript"/>
        </w:rPr>
        <w:t>o</w:t>
      </w:r>
      <w:r>
        <w:t xml:space="preserve"> do Regulamento (UE) 2019/2033.</w:t>
      </w:r>
    </w:p>
    <w:p w14:paraId="339E3913" w14:textId="77777777" w:rsidR="008A319E" w:rsidRDefault="003C1FCC">
      <w:pPr>
        <w:pStyle w:val="Considrant"/>
        <w:numPr>
          <w:ilvl w:val="0"/>
          <w:numId w:val="0"/>
        </w:numPr>
        <w:tabs>
          <w:tab w:val="left" w:pos="709"/>
        </w:tabs>
        <w:ind w:left="709" w:hanging="709"/>
      </w:pPr>
      <w:r>
        <w:t>(2)</w:t>
      </w:r>
      <w:r>
        <w:tab/>
        <w:t>De acordo com o artigo 54.</w:t>
      </w:r>
      <w:r>
        <w:rPr>
          <w:vertAlign w:val="superscript"/>
        </w:rPr>
        <w:t>o</w:t>
      </w:r>
      <w:r>
        <w:t>, n.</w:t>
      </w:r>
      <w:r>
        <w:rPr>
          <w:vertAlign w:val="superscript"/>
        </w:rPr>
        <w:t>o</w:t>
      </w:r>
      <w:r>
        <w:t> 1, do Regulamento (UE) 2019/2033, as empresas de investimento de pequena dimensão e não interligadas devem comunicar informações sobre o nível e a composição dos seus fundos próprios, os seus requisitos de fundos próprios, a base de cálculo dos seus requisitos de fundos próprios e o nível de atividade no que diz respeito às condições estabelecidas no artigo 12.</w:t>
      </w:r>
      <w:r>
        <w:rPr>
          <w:vertAlign w:val="superscript"/>
        </w:rPr>
        <w:t>o</w:t>
      </w:r>
      <w:r>
        <w:t>, n.</w:t>
      </w:r>
      <w:r>
        <w:rPr>
          <w:vertAlign w:val="superscript"/>
        </w:rPr>
        <w:t>o</w:t>
      </w:r>
      <w:r>
        <w:t> 1, do Regulamento (UE) 2019/2033. Por conseguinte, as empresas de pequena dimensão e não interligadas não são obrigadas a comunicar informações com o mesmo nível de pormenor que as outras empresas de investimento sujeitas ao Regulamento (UE) 2019/2033. Os modelos de comunicação de informações sobre o cálculo dos fatores K não devem, por conseguinte, ser aplicáveis a empresas de pequena dimensão e não interligadas. Além disso, nos termos do artigo 54.</w:t>
      </w:r>
      <w:r>
        <w:rPr>
          <w:vertAlign w:val="superscript"/>
        </w:rPr>
        <w:t>o</w:t>
      </w:r>
      <w:r>
        <w:t>, n.</w:t>
      </w:r>
      <w:r>
        <w:rPr>
          <w:vertAlign w:val="superscript"/>
        </w:rPr>
        <w:t>o</w:t>
      </w:r>
      <w:r>
        <w:t xml:space="preserve"> 2, terceiro parágrafo, do Regulamento (UE) 2019/2033, </w:t>
      </w:r>
      <w:bookmarkStart w:id="0" w:name="_DV_C108"/>
      <w:r>
        <w:t>as empresas de pequena dimensão e não interligadas estão isentas da obrigação de comunicar informações sobre o risco de concentração e as autoridades competentes podem isentar as empresas de pequena dimensão e não interligadas da obrigação de comunicar informações sobre os requisitos de liquidez</w:t>
      </w:r>
      <w:bookmarkStart w:id="1" w:name="_DV_M108"/>
      <w:bookmarkEnd w:id="0"/>
      <w:bookmarkEnd w:id="1"/>
      <w:r>
        <w:t>.</w:t>
      </w:r>
    </w:p>
    <w:p w14:paraId="58006C89" w14:textId="77777777" w:rsidR="008A319E" w:rsidRDefault="003C1FCC">
      <w:pPr>
        <w:pStyle w:val="Considrant"/>
        <w:numPr>
          <w:ilvl w:val="0"/>
          <w:numId w:val="0"/>
        </w:numPr>
        <w:tabs>
          <w:tab w:val="left" w:pos="709"/>
        </w:tabs>
        <w:ind w:left="709" w:hanging="709"/>
      </w:pPr>
      <w:r>
        <w:t>(3)</w:t>
      </w:r>
      <w:r>
        <w:tab/>
        <w:t xml:space="preserve">Todas as empresas de investimento sujeitas ao Regulamento (UE) 2019/2033 devem comunicar o seu perfil de atividade e dimensão, a fim de permitir que as autoridades competentes avaliem se essas empresas de investimento preenchem as condições </w:t>
      </w:r>
      <w:r>
        <w:lastRenderedPageBreak/>
        <w:t>estabelecidas no artigo 12.</w:t>
      </w:r>
      <w:r>
        <w:rPr>
          <w:vertAlign w:val="superscript"/>
        </w:rPr>
        <w:t>o</w:t>
      </w:r>
      <w:r>
        <w:t xml:space="preserve"> do Regulamento (UE) 2019/2033 para serem classificadas empresas de investimento de pequena dimensão e não interligadas.</w:t>
      </w:r>
    </w:p>
    <w:p w14:paraId="2350AD6C" w14:textId="77777777" w:rsidR="008A319E" w:rsidRDefault="003C1FCC">
      <w:pPr>
        <w:pStyle w:val="Considrant"/>
        <w:numPr>
          <w:ilvl w:val="0"/>
          <w:numId w:val="0"/>
        </w:numPr>
        <w:tabs>
          <w:tab w:val="left" w:pos="709"/>
        </w:tabs>
        <w:ind w:left="709" w:hanging="709"/>
      </w:pPr>
      <w:r>
        <w:t>(4)</w:t>
      </w:r>
      <w:r>
        <w:tab/>
        <w:t>A fim de proporcionar transparência aos seus investidores e aos mercados em geral, o artigo 46.</w:t>
      </w:r>
      <w:r>
        <w:rPr>
          <w:vertAlign w:val="superscript"/>
        </w:rPr>
        <w:t>o</w:t>
      </w:r>
      <w:r>
        <w:t xml:space="preserve"> do Regulamento (UE) 2019/2033 exige que as empresas de investimento que não sejam empresas de investimento de pequena dimensão e não interligadas divulguem publicamente as informações especificadas na parte VI do mesmo regulamento. As empresas de investimento de pequena dimensão e não interligadas não estão sujeitas a esses requisitos de divulgação, salvo caso emitam instrumentos de fundos próprios adicionais de nível 1, para proporcionar transparência aos investidores nesses instrumentos.</w:t>
      </w:r>
    </w:p>
    <w:p w14:paraId="6919C00E" w14:textId="77777777" w:rsidR="008A319E" w:rsidRDefault="003C1FCC">
      <w:pPr>
        <w:pStyle w:val="Considrant"/>
        <w:numPr>
          <w:ilvl w:val="0"/>
          <w:numId w:val="0"/>
        </w:numPr>
        <w:tabs>
          <w:tab w:val="left" w:pos="709"/>
        </w:tabs>
        <w:ind w:left="709" w:hanging="709"/>
      </w:pPr>
      <w:r>
        <w:t>(5)</w:t>
      </w:r>
      <w:r>
        <w:tab/>
        <w:t>O presente regulamento deve fornecer às empresas de investimento modelos e quadros que transmitam informações suficientemente completas e comparáveis sobre a composição e a qualidade dos seus fundos próprios. Mais especificamente, é necessário introduzir um modelo de divulgação quantitativa sobre a composição dos fundos próprios e um modelo flexível relativo à conciliação dos fundos próprios regulamentares com as demonstrações financeiras auditadas. Pela mesma razão, é igualmente necessário estabelecer um modelo com informações sobre as características mais relevantes dos instrumentos de fundos próprios emitidos pela empresa de investimento.</w:t>
      </w:r>
    </w:p>
    <w:p w14:paraId="1BE9BF4A" w14:textId="77777777" w:rsidR="008A319E" w:rsidRDefault="003C1FCC">
      <w:pPr>
        <w:pStyle w:val="Considrant"/>
        <w:numPr>
          <w:ilvl w:val="0"/>
          <w:numId w:val="0"/>
        </w:numPr>
        <w:tabs>
          <w:tab w:val="left" w:pos="709"/>
        </w:tabs>
        <w:ind w:left="709" w:hanging="709"/>
      </w:pPr>
      <w:r>
        <w:t>(6)</w:t>
      </w:r>
      <w:r>
        <w:tab/>
      </w:r>
      <w:r>
        <w:rPr>
          <w:color w:val="000000"/>
        </w:rPr>
        <w:t>A fim de facilitar a aplicação dos requisitos de comunicação e divulgação de informações, é necessário reforçar a coerência entre os modelos de comunicação e de divulgação. O modelo de divulgação de informações sobre a composição dos fundos próprios deve, por conseguinte, estar estreitamente alinhado com o modelo de comunicação de informações conexo relativo ao nível e à composição dos fundos próprios. Pela mesma razão, o modelo de divulgação de informações sobre a conciliação completa dos fundos próprios com as demonstrações financeiras auditadas deve ser flexível, na medida em que a discriminação de elementos prevista no modelo deve basear-se na discriminação do balanço nas demonstrações financeiras auditadas da empresa de investimento. Além disso, o modelo de divulgação de informações sobre as principais características dos fundos próprios regulamentares deve ser um modelo fixo e a sua complexidade deve depender da complexidade dos instrumentos de fundos próprios.</w:t>
      </w:r>
    </w:p>
    <w:p w14:paraId="7CA041E9" w14:textId="2426D03D" w:rsidR="008A319E" w:rsidRDefault="003C1FCC" w:rsidP="00516C38">
      <w:pPr>
        <w:pStyle w:val="Considrant"/>
        <w:numPr>
          <w:ilvl w:val="0"/>
          <w:numId w:val="0"/>
        </w:numPr>
        <w:tabs>
          <w:tab w:val="left" w:pos="709"/>
        </w:tabs>
        <w:ind w:left="709" w:hanging="709"/>
      </w:pPr>
      <w:r>
        <w:t>(7)</w:t>
      </w:r>
      <w:r>
        <w:tab/>
        <w:t>A fim de assegurar que os custos de conformidade das empresas de investimento não sejam aumentados de forma injustificada e que a qualidade dos dados seja mantida, as obrigações de comunicação e divulgação de informações devem estar alinhadas entre si, tanto quanto possível, relativamente à sua substância. Por conseguinte, é conveniente estabelecer, num único regulamento, normas aplicáveis tanto à comunicação como à divulgação de informações.</w:t>
      </w:r>
    </w:p>
    <w:p w14:paraId="2B0D93D6" w14:textId="6E7716CD" w:rsidR="008A319E" w:rsidRDefault="003C1FCC">
      <w:pPr>
        <w:pStyle w:val="Considrant"/>
        <w:numPr>
          <w:ilvl w:val="0"/>
          <w:numId w:val="0"/>
        </w:numPr>
        <w:tabs>
          <w:tab w:val="left" w:pos="709"/>
        </w:tabs>
        <w:ind w:left="709" w:hanging="709"/>
      </w:pPr>
      <w:r>
        <w:t>(</w:t>
      </w:r>
      <w:r w:rsidR="00516C38">
        <w:t>8</w:t>
      </w:r>
      <w:r>
        <w:t>)</w:t>
      </w:r>
      <w:r>
        <w:tab/>
        <w:t>O presente regulamento baseia-se no projeto de normas técnicas de execução apresentado à Comissão pela Autoridade Bancária Europeia (EBA) após consulta da Autoridade Europeia dos Valores Mobiliários e dos Mercados.</w:t>
      </w:r>
    </w:p>
    <w:p w14:paraId="42ED4CE3" w14:textId="29B7B6BB" w:rsidR="008A319E" w:rsidRDefault="003C1FCC">
      <w:pPr>
        <w:pStyle w:val="Considrant"/>
        <w:numPr>
          <w:ilvl w:val="0"/>
          <w:numId w:val="0"/>
        </w:numPr>
        <w:tabs>
          <w:tab w:val="left" w:pos="709"/>
        </w:tabs>
        <w:ind w:left="709" w:hanging="709"/>
      </w:pPr>
      <w:r>
        <w:t>(</w:t>
      </w:r>
      <w:r w:rsidR="00516C38">
        <w:t>9</w:t>
      </w:r>
      <w:r>
        <w:t>)</w:t>
      </w:r>
      <w:r>
        <w:tab/>
        <w:t xml:space="preserve">A EBA efetuou consultas públicas abertas sobre os projetos de normas técnicas de execução em que o presente regulamento se baseia, analisou os potenciais custos e benefícios associados e solicitou o parecer do Grupo de Partes Interessadas do Setor </w:t>
      </w:r>
      <w:r>
        <w:lastRenderedPageBreak/>
        <w:t>Bancário, criado nos termos do artigo 37.</w:t>
      </w:r>
      <w:r>
        <w:rPr>
          <w:vertAlign w:val="superscript"/>
        </w:rPr>
        <w:t>o</w:t>
      </w:r>
      <w:r>
        <w:t xml:space="preserve"> do Regulamento (UE) n.</w:t>
      </w:r>
      <w:r>
        <w:rPr>
          <w:vertAlign w:val="superscript"/>
        </w:rPr>
        <w:t>o</w:t>
      </w:r>
      <w:r>
        <w:t> 1093/2010 do Parlamento Europeu e do Conselho </w:t>
      </w:r>
      <w:r>
        <w:rPr>
          <w:rStyle w:val="FootnoteReference"/>
        </w:rPr>
        <w:footnoteReference w:id="2"/>
      </w:r>
      <w:r>
        <w:t>,</w:t>
      </w:r>
    </w:p>
    <w:p w14:paraId="24AB79A2" w14:textId="77777777" w:rsidR="008A319E" w:rsidRDefault="003C1FCC">
      <w:pPr>
        <w:pStyle w:val="Formuledadoption"/>
      </w:pPr>
      <w:r>
        <w:t>ADOTOU O PRESENTE REGULAMENTO:</w:t>
      </w:r>
    </w:p>
    <w:p w14:paraId="6165F52C" w14:textId="77777777" w:rsidR="008A319E" w:rsidRPr="00F93FE8" w:rsidRDefault="003C1FCC">
      <w:pPr>
        <w:pStyle w:val="ChapterTitle"/>
        <w:rPr>
          <w:b w:val="0"/>
        </w:rPr>
      </w:pPr>
      <w:r w:rsidRPr="00F93FE8">
        <w:rPr>
          <w:b w:val="0"/>
        </w:rPr>
        <w:t>CAPÍTULO I</w:t>
      </w:r>
    </w:p>
    <w:p w14:paraId="1F7B711A" w14:textId="77777777" w:rsidR="008A319E" w:rsidRDefault="003C1FCC">
      <w:pPr>
        <w:pStyle w:val="ChapterTitle"/>
      </w:pPr>
      <w:r>
        <w:t>COMUNICAÇÃO DE INFORMAÇÕES PARA FINS DE SUPERVISÃO</w:t>
      </w:r>
    </w:p>
    <w:p w14:paraId="5DAEBD4C" w14:textId="77777777" w:rsidR="008A319E" w:rsidRDefault="003C1FCC">
      <w:pPr>
        <w:pStyle w:val="Titrearticle"/>
      </w:pPr>
      <w:r>
        <w:t>Artigo 1.</w:t>
      </w:r>
      <w:r>
        <w:rPr>
          <w:vertAlign w:val="superscript"/>
        </w:rPr>
        <w:t>o</w:t>
      </w:r>
    </w:p>
    <w:p w14:paraId="13A0F80F" w14:textId="77777777" w:rsidR="008A319E" w:rsidRDefault="003C1FCC">
      <w:pPr>
        <w:pStyle w:val="Titrearticle"/>
        <w:spacing w:before="120"/>
        <w:rPr>
          <w:b/>
          <w:i w:val="0"/>
        </w:rPr>
      </w:pPr>
      <w:r>
        <w:rPr>
          <w:b/>
          <w:i w:val="0"/>
        </w:rPr>
        <w:t>Datas de referência das informações a comunicar</w:t>
      </w:r>
    </w:p>
    <w:p w14:paraId="21591D0F" w14:textId="77777777" w:rsidR="008A319E" w:rsidRDefault="003C1FCC">
      <w:pPr>
        <w:pStyle w:val="NumPar1"/>
        <w:numPr>
          <w:ilvl w:val="0"/>
          <w:numId w:val="0"/>
        </w:numPr>
        <w:tabs>
          <w:tab w:val="left" w:pos="567"/>
        </w:tabs>
      </w:pPr>
      <w:r>
        <w:t>1.</w:t>
      </w:r>
      <w:r>
        <w:tab/>
        <w:t>As informações a que se refere o artigo 54.</w:t>
      </w:r>
      <w:r>
        <w:rPr>
          <w:vertAlign w:val="superscript"/>
        </w:rPr>
        <w:t>o</w:t>
      </w:r>
      <w:r>
        <w:t>, n.</w:t>
      </w:r>
      <w:r>
        <w:rPr>
          <w:vertAlign w:val="superscript"/>
        </w:rPr>
        <w:t>o</w:t>
      </w:r>
      <w:r>
        <w:t> 1, do Regulamento (UE) 2019/2033 devem ser comunicadas do modo em que se encontrem nas seguintes datas de referência:</w:t>
      </w:r>
    </w:p>
    <w:p w14:paraId="72BC9878" w14:textId="77777777" w:rsidR="008A319E" w:rsidRDefault="003C1FCC">
      <w:pPr>
        <w:pStyle w:val="Point1letter"/>
        <w:numPr>
          <w:ilvl w:val="0"/>
          <w:numId w:val="0"/>
        </w:numPr>
        <w:ind w:left="567" w:hanging="567"/>
      </w:pPr>
      <w:r>
        <w:t>a)</w:t>
      </w:r>
      <w:r>
        <w:tab/>
        <w:t>comunicação trimestral de informações: 31 de março, 30 de junho, 30 de setembro e 31 de dezembro;</w:t>
      </w:r>
    </w:p>
    <w:p w14:paraId="4832337F" w14:textId="77777777" w:rsidR="008A319E" w:rsidRDefault="003C1FCC">
      <w:pPr>
        <w:pStyle w:val="Point1letter"/>
        <w:numPr>
          <w:ilvl w:val="0"/>
          <w:numId w:val="0"/>
        </w:numPr>
        <w:ind w:left="567" w:hanging="567"/>
      </w:pPr>
      <w:r>
        <w:t>b)</w:t>
      </w:r>
      <w:r>
        <w:tab/>
        <w:t>comunicação anual de informações: 31 de dezembro.</w:t>
      </w:r>
    </w:p>
    <w:p w14:paraId="48EE6B60" w14:textId="77777777" w:rsidR="008A319E" w:rsidRDefault="003C1FCC">
      <w:pPr>
        <w:pStyle w:val="NumPar1"/>
        <w:numPr>
          <w:ilvl w:val="0"/>
          <w:numId w:val="0"/>
        </w:numPr>
        <w:tabs>
          <w:tab w:val="left" w:pos="567"/>
        </w:tabs>
      </w:pPr>
      <w:r>
        <w:t>2.</w:t>
      </w:r>
      <w:r>
        <w:tab/>
        <w:t>As datas de referência a que se refere o n.</w:t>
      </w:r>
      <w:r>
        <w:rPr>
          <w:vertAlign w:val="superscript"/>
        </w:rPr>
        <w:t>o</w:t>
      </w:r>
      <w:r>
        <w:t> 1 podem ser ajustadas se o direito nacional permitir que as empresas de investimento comuniquem as suas informações financeiras com base na situação no final do seu exercício contabilístico (se diferir do ano civil), de modo a que a comunicação trimestral de informações seja efetuada de três em três meses no respetivo exercício contabilístico e a comunicação anual de informações no final do exercício contabilístico.</w:t>
      </w:r>
    </w:p>
    <w:p w14:paraId="7D9A0C5A" w14:textId="77777777" w:rsidR="008A319E" w:rsidRDefault="003C1FCC">
      <w:pPr>
        <w:pStyle w:val="Titrearticle"/>
      </w:pPr>
      <w:r>
        <w:t>Artigo 2.</w:t>
      </w:r>
      <w:r>
        <w:rPr>
          <w:vertAlign w:val="superscript"/>
        </w:rPr>
        <w:t>o</w:t>
      </w:r>
    </w:p>
    <w:p w14:paraId="19D8C7AB" w14:textId="77777777" w:rsidR="008A319E" w:rsidRDefault="003C1FCC">
      <w:pPr>
        <w:pStyle w:val="Titrearticle"/>
        <w:spacing w:before="120"/>
        <w:rPr>
          <w:b/>
          <w:i w:val="0"/>
        </w:rPr>
      </w:pPr>
      <w:r>
        <w:rPr>
          <w:b/>
          <w:i w:val="0"/>
        </w:rPr>
        <w:t>Datas de apresentação das informações</w:t>
      </w:r>
    </w:p>
    <w:p w14:paraId="2C709F0C" w14:textId="77777777" w:rsidR="008A319E" w:rsidRDefault="003C1FCC">
      <w:pPr>
        <w:pStyle w:val="NumPar1"/>
        <w:numPr>
          <w:ilvl w:val="0"/>
          <w:numId w:val="0"/>
        </w:numPr>
        <w:tabs>
          <w:tab w:val="left" w:pos="567"/>
        </w:tabs>
      </w:pPr>
      <w:r>
        <w:t>1.</w:t>
      </w:r>
      <w:r>
        <w:tab/>
        <w:t>As informações a que se refere o artigo 54.</w:t>
      </w:r>
      <w:r>
        <w:rPr>
          <w:vertAlign w:val="superscript"/>
        </w:rPr>
        <w:t>o</w:t>
      </w:r>
      <w:r>
        <w:t>, n.</w:t>
      </w:r>
      <w:r>
        <w:rPr>
          <w:vertAlign w:val="superscript"/>
        </w:rPr>
        <w:t>o</w:t>
      </w:r>
      <w:r>
        <w:t> 1, do Regulamento (UE) 2019/2033 devem ser comunicadas até ao final do horário de expediente das seguintes datas de apresentação de informações:</w:t>
      </w:r>
    </w:p>
    <w:p w14:paraId="7792647A" w14:textId="77777777" w:rsidR="008A319E" w:rsidRDefault="003C1FCC">
      <w:pPr>
        <w:pStyle w:val="Point1letter"/>
        <w:numPr>
          <w:ilvl w:val="0"/>
          <w:numId w:val="0"/>
        </w:numPr>
        <w:ind w:left="567" w:hanging="567"/>
      </w:pPr>
      <w:r>
        <w:t>a)</w:t>
      </w:r>
      <w:r>
        <w:tab/>
        <w:t>comunicação trimestral de informações: 12 de maio, 11 de agosto, 11 de novembro e 11 de fevereiro;</w:t>
      </w:r>
    </w:p>
    <w:p w14:paraId="46258359" w14:textId="77777777" w:rsidR="008A319E" w:rsidRDefault="003C1FCC">
      <w:pPr>
        <w:pStyle w:val="Point1letter"/>
        <w:numPr>
          <w:ilvl w:val="0"/>
          <w:numId w:val="0"/>
        </w:numPr>
        <w:ind w:left="567" w:hanging="567"/>
      </w:pPr>
      <w:r>
        <w:t>b)</w:t>
      </w:r>
      <w:r>
        <w:tab/>
        <w:t>comunicação anual de informações: 11 de fevereiro.</w:t>
      </w:r>
    </w:p>
    <w:p w14:paraId="282CBDE2" w14:textId="77777777" w:rsidR="008A319E" w:rsidRDefault="003C1FCC">
      <w:pPr>
        <w:pStyle w:val="NumPar1"/>
        <w:numPr>
          <w:ilvl w:val="0"/>
          <w:numId w:val="0"/>
        </w:numPr>
        <w:tabs>
          <w:tab w:val="left" w:pos="567"/>
        </w:tabs>
      </w:pPr>
      <w:r>
        <w:t>2.</w:t>
      </w:r>
      <w:r>
        <w:tab/>
        <w:t>Se o dia de apresentação das informações for um feriado público no Estado-Membro da autoridade competente à qual as informações devem ser apresentadas, ou um sábado ou um domingo, a data de apresentação das informações é o dia útil seguinte.</w:t>
      </w:r>
    </w:p>
    <w:p w14:paraId="577D44B1" w14:textId="77777777" w:rsidR="008A319E" w:rsidRDefault="003C1FCC">
      <w:pPr>
        <w:pStyle w:val="NumPar1"/>
        <w:numPr>
          <w:ilvl w:val="0"/>
          <w:numId w:val="0"/>
        </w:numPr>
        <w:tabs>
          <w:tab w:val="left" w:pos="567"/>
        </w:tabs>
      </w:pPr>
      <w:r>
        <w:t>3.</w:t>
      </w:r>
      <w:r>
        <w:tab/>
        <w:t>Se as empresas de investimento comunicam as suas informações com datas de referência ajustadas baseadas nas respetivas datas de final do exercício contabilístico, como estabelecido no artigo 1.</w:t>
      </w:r>
      <w:r>
        <w:rPr>
          <w:vertAlign w:val="superscript"/>
        </w:rPr>
        <w:t>o</w:t>
      </w:r>
      <w:r>
        <w:t>, n.</w:t>
      </w:r>
      <w:r>
        <w:rPr>
          <w:vertAlign w:val="superscript"/>
        </w:rPr>
        <w:t>o</w:t>
      </w:r>
      <w:r>
        <w:t> 2, do presente regulamento, as datas de apresentação de informações podem ser ajustadas em conformidade, de modo a manter um prazo idêntico para a apresentação de informações a contar da data de referência ajustada.</w:t>
      </w:r>
    </w:p>
    <w:p w14:paraId="7BC11FFA" w14:textId="77777777" w:rsidR="008A319E" w:rsidRDefault="003C1FCC">
      <w:pPr>
        <w:pStyle w:val="NumPar1"/>
        <w:numPr>
          <w:ilvl w:val="0"/>
          <w:numId w:val="0"/>
        </w:numPr>
        <w:tabs>
          <w:tab w:val="left" w:pos="567"/>
        </w:tabs>
      </w:pPr>
      <w:r>
        <w:t>4.</w:t>
      </w:r>
      <w:r>
        <w:tab/>
        <w:t xml:space="preserve">As empresas de investimento podem apresentar valores não auditados. Caso os valores auditados sejam diferentes dos valores não auditados apresentados, os valores revistos, </w:t>
      </w:r>
      <w:r>
        <w:lastRenderedPageBreak/>
        <w:t>auditados, devem ser apresentados sem demora injustificada. Para efeitos do presente artigo, entende-se por «valores não auditados» os valores que não foram objeto de parecer de um auditor externo, ao passo que os valores auditados são valores auditados por um auditor externo que expressou um parecer de auditoria sobre os mesmos.</w:t>
      </w:r>
    </w:p>
    <w:p w14:paraId="3AF4A651" w14:textId="77777777" w:rsidR="008A319E" w:rsidRDefault="003C1FCC">
      <w:pPr>
        <w:pStyle w:val="NumPar1"/>
        <w:numPr>
          <w:ilvl w:val="0"/>
          <w:numId w:val="0"/>
        </w:numPr>
        <w:tabs>
          <w:tab w:val="left" w:pos="567"/>
        </w:tabs>
      </w:pPr>
      <w:r>
        <w:t>5.</w:t>
      </w:r>
      <w:r>
        <w:tab/>
        <w:t>As correções aos relatórios devem ser apresentadas às autoridades competentes sem demora injustificada.</w:t>
      </w:r>
    </w:p>
    <w:p w14:paraId="569D4BDD" w14:textId="77777777" w:rsidR="008A319E" w:rsidRDefault="003C1FCC">
      <w:pPr>
        <w:pStyle w:val="Titrearticle"/>
      </w:pPr>
      <w:r>
        <w:t>Artigo 3.</w:t>
      </w:r>
      <w:r>
        <w:rPr>
          <w:vertAlign w:val="superscript"/>
        </w:rPr>
        <w:t>o</w:t>
      </w:r>
    </w:p>
    <w:p w14:paraId="6B744057" w14:textId="77777777" w:rsidR="008A319E" w:rsidRDefault="003C1FCC">
      <w:pPr>
        <w:pStyle w:val="Titrearticle"/>
        <w:spacing w:before="120"/>
        <w:rPr>
          <w:b/>
          <w:i w:val="0"/>
        </w:rPr>
      </w:pPr>
      <w:r>
        <w:rPr>
          <w:b/>
          <w:i w:val="0"/>
        </w:rPr>
        <w:t>Aplicação dos requisitos de comunicação de informações em base individual</w:t>
      </w:r>
    </w:p>
    <w:p w14:paraId="65D52863" w14:textId="77777777" w:rsidR="008A319E" w:rsidRDefault="003C1FCC">
      <w:r>
        <w:t>A fim de cumprir os requisitos de comunicação de informações previstos no artigo 54.</w:t>
      </w:r>
      <w:r>
        <w:rPr>
          <w:vertAlign w:val="superscript"/>
        </w:rPr>
        <w:t>o</w:t>
      </w:r>
      <w:r>
        <w:t xml:space="preserve"> do Regulamento (UE) 2019/2033 em base individual, as empresas de investimento devem comunicar as informações especificadas nos artigos 5.</w:t>
      </w:r>
      <w:r>
        <w:rPr>
          <w:vertAlign w:val="superscript"/>
        </w:rPr>
        <w:t>o</w:t>
      </w:r>
      <w:r>
        <w:t>, 6.° e 7.° do presente regulamento com a periodicidade aí especificada.</w:t>
      </w:r>
    </w:p>
    <w:p w14:paraId="3D7B55A0" w14:textId="77777777" w:rsidR="008A319E" w:rsidRDefault="003C1FCC">
      <w:pPr>
        <w:pStyle w:val="Titrearticle"/>
      </w:pPr>
      <w:r>
        <w:t>Artigo 4.</w:t>
      </w:r>
      <w:r>
        <w:rPr>
          <w:vertAlign w:val="superscript"/>
        </w:rPr>
        <w:t>o</w:t>
      </w:r>
    </w:p>
    <w:p w14:paraId="3F90B809" w14:textId="77777777" w:rsidR="008A319E" w:rsidRDefault="003C1FCC">
      <w:pPr>
        <w:pStyle w:val="Titrearticle"/>
        <w:spacing w:before="120"/>
        <w:rPr>
          <w:b/>
          <w:i w:val="0"/>
        </w:rPr>
      </w:pPr>
      <w:r>
        <w:rPr>
          <w:b/>
          <w:i w:val="0"/>
        </w:rPr>
        <w:t>Aplicação dos requisitos de comunicação de informações em base consolidada</w:t>
      </w:r>
    </w:p>
    <w:p w14:paraId="2DF1141A" w14:textId="77777777" w:rsidR="008A319E" w:rsidRDefault="003C1FCC">
      <w:pPr>
        <w:rPr>
          <w:i/>
        </w:rPr>
      </w:pPr>
      <w:r>
        <w:t>A fim de cumprir os requisitos de comunicação de informações a que se refere o artigo 54.</w:t>
      </w:r>
      <w:r>
        <w:rPr>
          <w:vertAlign w:val="superscript"/>
        </w:rPr>
        <w:t>o</w:t>
      </w:r>
      <w:r>
        <w:t xml:space="preserve"> do Regulamento (UE) 2019/2033 em base consolidada, as empresas de investimento devem comunicar as informações especificadas nos artigos 5.</w:t>
      </w:r>
      <w:r>
        <w:rPr>
          <w:vertAlign w:val="superscript"/>
        </w:rPr>
        <w:t>o</w:t>
      </w:r>
      <w:r>
        <w:t xml:space="preserve"> e 6.° do presente regulamento de execução com a periodicidade aí especificada.</w:t>
      </w:r>
    </w:p>
    <w:p w14:paraId="149CF354" w14:textId="77777777" w:rsidR="008A319E" w:rsidRDefault="003C1FCC">
      <w:pPr>
        <w:pStyle w:val="Titrearticle"/>
      </w:pPr>
      <w:r>
        <w:t>Artigo 5.</w:t>
      </w:r>
      <w:r>
        <w:rPr>
          <w:vertAlign w:val="superscript"/>
        </w:rPr>
        <w:t>o</w:t>
      </w:r>
    </w:p>
    <w:p w14:paraId="642F94BC" w14:textId="77777777" w:rsidR="008A319E" w:rsidRDefault="003C1FCC">
      <w:pPr>
        <w:pStyle w:val="Titrearticle"/>
        <w:spacing w:before="120"/>
        <w:rPr>
          <w:b/>
          <w:i w:val="0"/>
        </w:rPr>
      </w:pPr>
      <w:r>
        <w:rPr>
          <w:b/>
          <w:i w:val="0"/>
        </w:rPr>
        <w:t>Formato e periodicidade da comunicação de informações por parte das empresas de investimento que não são empresas de investimento de pequena dimensão não interligadas</w:t>
      </w:r>
    </w:p>
    <w:p w14:paraId="1069EB7B" w14:textId="77777777" w:rsidR="008A319E" w:rsidRDefault="003C1FCC">
      <w:pPr>
        <w:pStyle w:val="NumPar1"/>
        <w:numPr>
          <w:ilvl w:val="0"/>
          <w:numId w:val="0"/>
        </w:numPr>
        <w:tabs>
          <w:tab w:val="left" w:pos="567"/>
        </w:tabs>
      </w:pPr>
      <w:r>
        <w:t>1.</w:t>
      </w:r>
      <w:r>
        <w:tab/>
        <w:t>As empresas de investimento que não são empresas de investimento de pequena dimensão não interligadas devem comunicar com uma periodicidade trimestral as informações exigidas pelo artigo 54.</w:t>
      </w:r>
      <w:r>
        <w:rPr>
          <w:vertAlign w:val="superscript"/>
        </w:rPr>
        <w:t>o</w:t>
      </w:r>
      <w:r>
        <w:t>, n.</w:t>
      </w:r>
      <w:r>
        <w:rPr>
          <w:vertAlign w:val="superscript"/>
        </w:rPr>
        <w:t>os</w:t>
      </w:r>
      <w:r>
        <w:t> 1 e 2, do Regulamento (UE) 2019/2033, utilizando os modelos constantes do anexo I do presente regulamento em conformidade com as instruções constantes do anexo II.</w:t>
      </w:r>
    </w:p>
    <w:p w14:paraId="4A7B98D6" w14:textId="77777777" w:rsidR="008A319E" w:rsidRDefault="003C1FCC">
      <w:pPr>
        <w:pStyle w:val="NumPar1"/>
        <w:numPr>
          <w:ilvl w:val="0"/>
          <w:numId w:val="0"/>
        </w:numPr>
        <w:tabs>
          <w:tab w:val="left" w:pos="567"/>
        </w:tabs>
        <w:rPr>
          <w:szCs w:val="24"/>
        </w:rPr>
      </w:pPr>
      <w:r>
        <w:rPr>
          <w:szCs w:val="24"/>
        </w:rPr>
        <w:t>2.</w:t>
      </w:r>
      <w:r>
        <w:rPr>
          <w:szCs w:val="24"/>
        </w:rPr>
        <w:tab/>
      </w:r>
      <w:r>
        <w:t>As empresas de investimento que não são empresas de investimento de pequena dimensão não interligadas que determinem o requisito baseado nos fatores K relativos ao RtM (risco para o mercado) com base no K-NPR (risco de posição líquida dos fatores K) em conformidade com o artigo 21.</w:t>
      </w:r>
      <w:r>
        <w:rPr>
          <w:vertAlign w:val="superscript"/>
        </w:rPr>
        <w:t>o</w:t>
      </w:r>
      <w:r>
        <w:t>, n.</w:t>
      </w:r>
      <w:r>
        <w:rPr>
          <w:vertAlign w:val="superscript"/>
        </w:rPr>
        <w:t>o</w:t>
      </w:r>
      <w:r>
        <w:t> 1, do Regulamento (UE) 2019/2033 devem comunicar com uma periodicidade trimestral as informações especificadas nos modelos C 18.00 a C 24.00 do anexo I do Regulamento de Execução (UE) 2021/451 da Comissão</w:t>
      </w:r>
      <w:r w:rsidR="00F215EE">
        <w:rPr>
          <w:rStyle w:val="FootnoteReference"/>
        </w:rPr>
        <w:footnoteReference w:id="3"/>
      </w:r>
      <w:r>
        <w:t>, em conformidade com as instruções constantes do anexo II, parte 2, desse regulamento de execução.</w:t>
      </w:r>
    </w:p>
    <w:p w14:paraId="02A32AB4" w14:textId="77777777" w:rsidR="008A319E" w:rsidRDefault="003C1FCC">
      <w:pPr>
        <w:pStyle w:val="NumPar1"/>
        <w:numPr>
          <w:ilvl w:val="0"/>
          <w:numId w:val="0"/>
        </w:numPr>
        <w:tabs>
          <w:tab w:val="left" w:pos="567"/>
        </w:tabs>
        <w:rPr>
          <w:szCs w:val="24"/>
        </w:rPr>
      </w:pPr>
      <w:r>
        <w:rPr>
          <w:szCs w:val="24"/>
        </w:rPr>
        <w:t>3.</w:t>
      </w:r>
      <w:r>
        <w:rPr>
          <w:szCs w:val="24"/>
        </w:rPr>
        <w:tab/>
      </w:r>
      <w:r>
        <w:t>As empresas de investimento que não são empresas de investimento de pequena dimensão não interligadas que utilizem a derrogação prevista no artigo 25.</w:t>
      </w:r>
      <w:r>
        <w:rPr>
          <w:vertAlign w:val="superscript"/>
        </w:rPr>
        <w:t>o</w:t>
      </w:r>
      <w:r>
        <w:t>, n.</w:t>
      </w:r>
      <w:r>
        <w:rPr>
          <w:vertAlign w:val="superscript"/>
        </w:rPr>
        <w:t>o</w:t>
      </w:r>
      <w:r>
        <w:t xml:space="preserve"> 4, do Regulamento (UE) 2019/2033 devem comunicar com uma periodicidade trimestral as informações especificadas no modelo C 34.02 do anexo I do Regulamento de Execução (UE) </w:t>
      </w:r>
      <w:r>
        <w:lastRenderedPageBreak/>
        <w:t>2021/451, em conformidade com as instruções constantes do anexo II, parte 2, desse regulamento de execução.</w:t>
      </w:r>
    </w:p>
    <w:p w14:paraId="48A9F084" w14:textId="77777777" w:rsidR="008A319E" w:rsidRDefault="003C1FCC">
      <w:pPr>
        <w:pStyle w:val="NumPar1"/>
        <w:numPr>
          <w:ilvl w:val="0"/>
          <w:numId w:val="0"/>
        </w:numPr>
        <w:tabs>
          <w:tab w:val="left" w:pos="567"/>
        </w:tabs>
        <w:rPr>
          <w:szCs w:val="24"/>
        </w:rPr>
      </w:pPr>
      <w:r>
        <w:rPr>
          <w:szCs w:val="24"/>
        </w:rPr>
        <w:t>4.</w:t>
      </w:r>
      <w:r>
        <w:rPr>
          <w:szCs w:val="24"/>
        </w:rPr>
        <w:tab/>
      </w:r>
      <w:r>
        <w:t>As empresas de investimento que não sejam empresas de investimento de pequena dimensão e não interligadas que recorram à derrogação prevista no artigo 25.</w:t>
      </w:r>
      <w:r>
        <w:rPr>
          <w:vertAlign w:val="superscript"/>
        </w:rPr>
        <w:t>o</w:t>
      </w:r>
      <w:r>
        <w:t>, n.</w:t>
      </w:r>
      <w:r>
        <w:rPr>
          <w:vertAlign w:val="superscript"/>
        </w:rPr>
        <w:t>o</w:t>
      </w:r>
      <w:r>
        <w:t> 5, segundo parágrafo, do Regulamento (UE) 2019/2033 devem comunicar com uma periodicidade trimestral as informações especificadas no modelo C 25.00 do anexo I do Regulamento de Execução (UE) 2021/451, em conformidade com as instruções constantes do seu anexo II, parte 2.</w:t>
      </w:r>
    </w:p>
    <w:p w14:paraId="3A7CC97A" w14:textId="77777777" w:rsidR="008A319E" w:rsidRDefault="003C1FCC">
      <w:pPr>
        <w:pStyle w:val="Titrearticle"/>
      </w:pPr>
      <w:r>
        <w:t>Artigo 6.</w:t>
      </w:r>
      <w:r>
        <w:rPr>
          <w:vertAlign w:val="superscript"/>
        </w:rPr>
        <w:t>o</w:t>
      </w:r>
    </w:p>
    <w:p w14:paraId="604A2FC6" w14:textId="77777777" w:rsidR="008A319E" w:rsidRDefault="003C1FCC">
      <w:pPr>
        <w:pStyle w:val="Titrearticle"/>
        <w:spacing w:before="120"/>
        <w:rPr>
          <w:b/>
          <w:i w:val="0"/>
        </w:rPr>
      </w:pPr>
      <w:r>
        <w:rPr>
          <w:b/>
          <w:i w:val="0"/>
        </w:rPr>
        <w:t>Formato e periodicidade da comunicação de informações por parte das empresas de investimento de pequena dimensão não interligadas</w:t>
      </w:r>
    </w:p>
    <w:p w14:paraId="1917B2B2" w14:textId="77777777" w:rsidR="008A319E" w:rsidRDefault="003C1FCC">
      <w:pPr>
        <w:pStyle w:val="NumPar1"/>
        <w:numPr>
          <w:ilvl w:val="0"/>
          <w:numId w:val="0"/>
        </w:numPr>
        <w:tabs>
          <w:tab w:val="left" w:pos="567"/>
        </w:tabs>
      </w:pPr>
      <w:r>
        <w:t>1.</w:t>
      </w:r>
      <w:r>
        <w:tab/>
        <w:t>As empresas de investimento de pequena dimensão e não interligadas devem comunicar com uma periodicidade anual as informações especificadas nos modelos constantes do anexo III do presente regulamento, em conformidade com as instruções do anexo IV. As empresas de investimento que beneficiam da isenção referida no artigo 43.</w:t>
      </w:r>
      <w:r>
        <w:rPr>
          <w:vertAlign w:val="superscript"/>
        </w:rPr>
        <w:t>o</w:t>
      </w:r>
      <w:r>
        <w:t>, n.</w:t>
      </w:r>
      <w:r>
        <w:rPr>
          <w:vertAlign w:val="superscript"/>
        </w:rPr>
        <w:t>o</w:t>
      </w:r>
      <w:r>
        <w:t> 1, segundo parágrafo, do Regulamento (UE) 2019/2033 ficam isentas da obrigação de apresentar as informações especificadas no modelo IF 09.01 do anexo III do presente regulamento.</w:t>
      </w:r>
    </w:p>
    <w:p w14:paraId="3D2F227E" w14:textId="77777777" w:rsidR="008A319E" w:rsidRDefault="003C1FCC">
      <w:pPr>
        <w:pStyle w:val="Titrearticle"/>
      </w:pPr>
      <w:r>
        <w:t>Artigo 7.</w:t>
      </w:r>
      <w:r>
        <w:rPr>
          <w:vertAlign w:val="superscript"/>
        </w:rPr>
        <w:t>o</w:t>
      </w:r>
    </w:p>
    <w:p w14:paraId="544B0EB8" w14:textId="77777777" w:rsidR="008A319E" w:rsidRDefault="003C1FCC">
      <w:pPr>
        <w:pStyle w:val="Titrearticle"/>
        <w:spacing w:before="120"/>
        <w:rPr>
          <w:b/>
          <w:i w:val="0"/>
        </w:rPr>
      </w:pPr>
      <w:r>
        <w:rPr>
          <w:b/>
          <w:i w:val="0"/>
        </w:rPr>
        <w:t>Formato e periodicidade da comunicação de informações pelas entidades que beneficiam da aplicação do artigo 8.</w:t>
      </w:r>
      <w:r>
        <w:rPr>
          <w:b/>
          <w:i w:val="0"/>
          <w:vertAlign w:val="superscript"/>
        </w:rPr>
        <w:t>o</w:t>
      </w:r>
      <w:r>
        <w:rPr>
          <w:b/>
          <w:i w:val="0"/>
        </w:rPr>
        <w:t xml:space="preserve"> do Regulamento (UE) 2019/2033</w:t>
      </w:r>
    </w:p>
    <w:p w14:paraId="5E80859A" w14:textId="77777777" w:rsidR="008A319E" w:rsidRDefault="003C1FCC">
      <w:pPr>
        <w:rPr>
          <w:rFonts w:eastAsia="Times New Roman"/>
          <w:szCs w:val="24"/>
        </w:rPr>
      </w:pPr>
      <w:r>
        <w:t>Em derrogação do artigo 4.</w:t>
      </w:r>
      <w:r>
        <w:rPr>
          <w:vertAlign w:val="superscript"/>
        </w:rPr>
        <w:t>o</w:t>
      </w:r>
      <w:r>
        <w:t xml:space="preserve"> do presente regulamento, as entidades a que se refere o artigo 8.</w:t>
      </w:r>
      <w:r>
        <w:rPr>
          <w:vertAlign w:val="superscript"/>
        </w:rPr>
        <w:t>o</w:t>
      </w:r>
      <w:r>
        <w:t>, n.</w:t>
      </w:r>
      <w:r>
        <w:rPr>
          <w:vertAlign w:val="superscript"/>
        </w:rPr>
        <w:t>o</w:t>
      </w:r>
      <w:r>
        <w:t> 3, do Regulamento (UE) 2019/2033 que beneficiam da aplicação desse artigo devem comunicar com uma periodicidade trimestral as informações previstas nos modelos constantes do anexo VIII do presente regulamento, em conformidade com as instruções constantes do anexo IX.</w:t>
      </w:r>
    </w:p>
    <w:p w14:paraId="03926035" w14:textId="77777777" w:rsidR="008A319E" w:rsidRDefault="003C1FCC">
      <w:pPr>
        <w:pStyle w:val="Titrearticle"/>
      </w:pPr>
      <w:r>
        <w:t>Artigo 8.</w:t>
      </w:r>
      <w:r>
        <w:rPr>
          <w:vertAlign w:val="superscript"/>
        </w:rPr>
        <w:t>o</w:t>
      </w:r>
    </w:p>
    <w:p w14:paraId="21817D04" w14:textId="77777777" w:rsidR="008A319E" w:rsidRDefault="003C1FCC">
      <w:pPr>
        <w:pStyle w:val="Titrearticle"/>
        <w:spacing w:before="120"/>
        <w:rPr>
          <w:b/>
          <w:i w:val="0"/>
        </w:rPr>
      </w:pPr>
      <w:r>
        <w:rPr>
          <w:b/>
          <w:i w:val="0"/>
        </w:rPr>
        <w:t>Exatidão dos dados e informações associadas às apresentações de dados</w:t>
      </w:r>
    </w:p>
    <w:p w14:paraId="7FA5B8EC" w14:textId="77777777" w:rsidR="008A319E" w:rsidRDefault="003C1FCC">
      <w:pPr>
        <w:pStyle w:val="NumPar1"/>
        <w:numPr>
          <w:ilvl w:val="0"/>
          <w:numId w:val="0"/>
        </w:numPr>
        <w:tabs>
          <w:tab w:val="left" w:pos="567"/>
        </w:tabs>
      </w:pPr>
      <w:r>
        <w:t>1.</w:t>
      </w:r>
      <w:r>
        <w:tab/>
        <w:t>As empresas de investimento devem apresentar as informações referidas no presente regulamento de acordo com os formatos e apresentações de intercâmbio de dados especificados pelas autoridades competentes, respeitando a definição dos dados constante do modelo de dados e as fórmulas de validação especificadas no anexo V, bem como as seguintes especificações:</w:t>
      </w:r>
    </w:p>
    <w:p w14:paraId="13B437F6" w14:textId="77777777" w:rsidR="008A319E" w:rsidRDefault="003C1FCC">
      <w:pPr>
        <w:pStyle w:val="Point1letter"/>
        <w:numPr>
          <w:ilvl w:val="0"/>
          <w:numId w:val="0"/>
        </w:numPr>
        <w:ind w:left="567" w:hanging="567"/>
      </w:pPr>
      <w:r>
        <w:t>a)</w:t>
      </w:r>
      <w:r>
        <w:tab/>
        <w:t>uma apresentação de dados não deve incluir informações não exigidas ou não aplicáveis;</w:t>
      </w:r>
    </w:p>
    <w:p w14:paraId="03D3A685" w14:textId="77777777" w:rsidR="008A319E" w:rsidRDefault="003C1FCC">
      <w:pPr>
        <w:pStyle w:val="Point1letter"/>
        <w:numPr>
          <w:ilvl w:val="0"/>
          <w:numId w:val="0"/>
        </w:numPr>
        <w:ind w:left="567" w:hanging="567"/>
      </w:pPr>
      <w:r>
        <w:t>b)</w:t>
      </w:r>
      <w:r>
        <w:tab/>
        <w:t>os valores numéricos devem ser apresentados como factos nos termos das seguintes convenções:</w:t>
      </w:r>
    </w:p>
    <w:p w14:paraId="69A80119" w14:textId="77777777" w:rsidR="008A319E" w:rsidRDefault="003C1FCC">
      <w:pPr>
        <w:pStyle w:val="Point2"/>
        <w:ind w:left="1134"/>
      </w:pPr>
      <w:r>
        <w:t>i)</w:t>
      </w:r>
      <w:r>
        <w:tab/>
        <w:t>os dados de tipo «Monetário» são comunicados com uma precisão mínima equivalente a milhares de unidades,</w:t>
      </w:r>
    </w:p>
    <w:p w14:paraId="6D3F128B" w14:textId="77777777" w:rsidR="008A319E" w:rsidRDefault="003C1FCC">
      <w:pPr>
        <w:pStyle w:val="Point2"/>
        <w:ind w:left="1134"/>
      </w:pPr>
      <w:r>
        <w:t>ii)</w:t>
      </w:r>
      <w:r>
        <w:tab/>
        <w:t>os dados de tipo «Percentagem» são expressos por unidade com uma precisão mínima equivalente a quatro casas decimais,</w:t>
      </w:r>
    </w:p>
    <w:p w14:paraId="27B73F01" w14:textId="77777777" w:rsidR="008A319E" w:rsidRDefault="003C1FCC">
      <w:pPr>
        <w:pStyle w:val="Point2"/>
        <w:ind w:left="1134"/>
      </w:pPr>
      <w:r>
        <w:t>iii)</w:t>
      </w:r>
      <w:r>
        <w:tab/>
        <w:t>os dados de tipo «Número inteiro» são comunicados sem casas decimais e com uma precisão equivalente à unidade.</w:t>
      </w:r>
    </w:p>
    <w:p w14:paraId="3BF8E168" w14:textId="77777777" w:rsidR="008A319E" w:rsidRDefault="003C1FCC">
      <w:pPr>
        <w:pStyle w:val="NumPar1"/>
        <w:numPr>
          <w:ilvl w:val="0"/>
          <w:numId w:val="0"/>
        </w:numPr>
        <w:tabs>
          <w:tab w:val="left" w:pos="567"/>
        </w:tabs>
      </w:pPr>
      <w:r>
        <w:lastRenderedPageBreak/>
        <w:t>2.</w:t>
      </w:r>
      <w:r>
        <w:tab/>
        <w:t>As empresas de investimento são identificadas pelo seu identificador de entidade jurídica (LEI). As entidades jurídicas e contrapartes que não sejam empresas de investimento são identificadas pelo seu LEI, se disponível.</w:t>
      </w:r>
    </w:p>
    <w:p w14:paraId="55EC16AA" w14:textId="77777777" w:rsidR="008A319E" w:rsidRDefault="003C1FCC">
      <w:pPr>
        <w:pStyle w:val="NumPar1"/>
        <w:numPr>
          <w:ilvl w:val="0"/>
          <w:numId w:val="0"/>
        </w:numPr>
        <w:tabs>
          <w:tab w:val="left" w:pos="567"/>
        </w:tabs>
      </w:pPr>
      <w:r>
        <w:t>3.</w:t>
      </w:r>
      <w:r>
        <w:tab/>
        <w:t>As informações apresentadas pelas empresas de investimento com base no presente regulamento devem ser acompanhadas das seguintes informações:</w:t>
      </w:r>
    </w:p>
    <w:p w14:paraId="5D2E6753" w14:textId="77777777" w:rsidR="008A319E" w:rsidRDefault="003C1FCC">
      <w:pPr>
        <w:pStyle w:val="Point1letter"/>
        <w:numPr>
          <w:ilvl w:val="0"/>
          <w:numId w:val="0"/>
        </w:numPr>
        <w:ind w:left="567" w:hanging="567"/>
      </w:pPr>
      <w:r>
        <w:t>a)</w:t>
      </w:r>
      <w:r>
        <w:tab/>
        <w:t>data de referência e período de referência da comunicação;</w:t>
      </w:r>
    </w:p>
    <w:p w14:paraId="583EC6C0" w14:textId="77777777" w:rsidR="008A319E" w:rsidRDefault="003C1FCC">
      <w:pPr>
        <w:pStyle w:val="Point1letter"/>
        <w:numPr>
          <w:ilvl w:val="0"/>
          <w:numId w:val="0"/>
        </w:numPr>
        <w:ind w:left="567" w:hanging="567"/>
      </w:pPr>
      <w:r>
        <w:t>b)</w:t>
      </w:r>
      <w:r>
        <w:tab/>
        <w:t>moeda da comunicação;</w:t>
      </w:r>
    </w:p>
    <w:p w14:paraId="7B5B874B" w14:textId="77777777" w:rsidR="008A319E" w:rsidRDefault="003C1FCC">
      <w:pPr>
        <w:pStyle w:val="Point1letter"/>
        <w:numPr>
          <w:ilvl w:val="0"/>
          <w:numId w:val="0"/>
        </w:numPr>
        <w:ind w:left="567" w:hanging="567"/>
      </w:pPr>
      <w:r>
        <w:t>c)</w:t>
      </w:r>
      <w:r>
        <w:tab/>
        <w:t>norma contabilística;</w:t>
      </w:r>
    </w:p>
    <w:p w14:paraId="01623665" w14:textId="77777777" w:rsidR="008A319E" w:rsidRDefault="003C1FCC">
      <w:pPr>
        <w:pStyle w:val="Point1letter"/>
        <w:numPr>
          <w:ilvl w:val="0"/>
          <w:numId w:val="0"/>
        </w:numPr>
        <w:ind w:left="567" w:hanging="567"/>
      </w:pPr>
      <w:r>
        <w:t>d)</w:t>
      </w:r>
      <w:r>
        <w:tab/>
        <w:t>identificador de entidade jurídica (LEI) da instituição que comunica as informações;</w:t>
      </w:r>
    </w:p>
    <w:p w14:paraId="2FCD74C5" w14:textId="77777777" w:rsidR="008A319E" w:rsidRDefault="003C1FCC">
      <w:pPr>
        <w:pStyle w:val="Point1letter"/>
        <w:numPr>
          <w:ilvl w:val="0"/>
          <w:numId w:val="0"/>
        </w:numPr>
        <w:ind w:left="567" w:hanging="567"/>
      </w:pPr>
      <w:r>
        <w:t>e)</w:t>
      </w:r>
      <w:r>
        <w:tab/>
        <w:t>perímetro de consolidação.</w:t>
      </w:r>
    </w:p>
    <w:p w14:paraId="78056642" w14:textId="77777777" w:rsidR="008A319E" w:rsidRPr="003C1FCC" w:rsidRDefault="003C1FCC">
      <w:pPr>
        <w:pStyle w:val="ChapterTitle"/>
        <w:rPr>
          <w:b w:val="0"/>
        </w:rPr>
      </w:pPr>
      <w:r w:rsidRPr="003C1FCC">
        <w:rPr>
          <w:b w:val="0"/>
        </w:rPr>
        <w:t>CAPÍTULO II</w:t>
      </w:r>
    </w:p>
    <w:p w14:paraId="0230DC44" w14:textId="77777777" w:rsidR="008A319E" w:rsidRDefault="003C1FCC">
      <w:pPr>
        <w:pStyle w:val="ChapterTitle"/>
      </w:pPr>
      <w:r>
        <w:t>DIVULGAÇÃO PÚBLICA DE INFORMAÇÕES PELAS EMPRESAS DE INVESTIMENTO</w:t>
      </w:r>
    </w:p>
    <w:p w14:paraId="277ED653" w14:textId="77777777" w:rsidR="008A319E" w:rsidRDefault="003C1FCC">
      <w:pPr>
        <w:pStyle w:val="Titrearticle"/>
      </w:pPr>
      <w:r>
        <w:t>Artigo 9.</w:t>
      </w:r>
      <w:r>
        <w:rPr>
          <w:vertAlign w:val="superscript"/>
        </w:rPr>
        <w:t>o</w:t>
      </w:r>
    </w:p>
    <w:p w14:paraId="47F0FBC8" w14:textId="77777777" w:rsidR="008A319E" w:rsidRDefault="003C1FCC">
      <w:pPr>
        <w:pStyle w:val="Titrearticle"/>
        <w:spacing w:before="120"/>
        <w:rPr>
          <w:b/>
          <w:i w:val="0"/>
        </w:rPr>
      </w:pPr>
      <w:r>
        <w:rPr>
          <w:b/>
          <w:i w:val="0"/>
        </w:rPr>
        <w:t>Princípios aplicáveis à divulgação</w:t>
      </w:r>
    </w:p>
    <w:p w14:paraId="02F7F908" w14:textId="77777777" w:rsidR="008A319E" w:rsidRDefault="003C1FCC">
      <w:pPr>
        <w:pStyle w:val="NumPar1"/>
        <w:numPr>
          <w:ilvl w:val="0"/>
          <w:numId w:val="0"/>
        </w:numPr>
      </w:pPr>
      <w:r>
        <w:t>1.</w:t>
      </w:r>
      <w:r>
        <w:tab/>
        <w:t>As informações a divulgar nos termos do presente regulamento estão sujeitas aos seguintes princípios:</w:t>
      </w:r>
    </w:p>
    <w:p w14:paraId="7E19656B" w14:textId="77777777" w:rsidR="008A319E" w:rsidRDefault="003C1FCC">
      <w:pPr>
        <w:pStyle w:val="Point1letter"/>
        <w:numPr>
          <w:ilvl w:val="0"/>
          <w:numId w:val="0"/>
        </w:numPr>
        <w:ind w:left="567" w:hanging="567"/>
      </w:pPr>
      <w:r>
        <w:t>a)</w:t>
      </w:r>
      <w:r>
        <w:tab/>
        <w:t>As divulgações de informações devem ser sujeitas ao mesmo nível de verificação interna que o aplicável ao relatório de gestão incluído no relatório financeiro da empresa de investimento;</w:t>
      </w:r>
    </w:p>
    <w:p w14:paraId="2F54BEF3" w14:textId="77777777" w:rsidR="008A319E" w:rsidRDefault="003C1FCC">
      <w:pPr>
        <w:pStyle w:val="Point1letter"/>
        <w:numPr>
          <w:ilvl w:val="0"/>
          <w:numId w:val="0"/>
        </w:numPr>
        <w:ind w:left="567" w:hanging="567"/>
      </w:pPr>
      <w:r>
        <w:t>b)</w:t>
      </w:r>
      <w:r>
        <w:tab/>
        <w:t>As divulgações de informações devem ser claras e apresentadas de modo compreensível aos utilizadores das informações e comunicadas através de um suporte acessível. As mensagens importantes devem ser destacadas e fáceis de encontrar. As questões complexas devem ser explicadas numa linguagem simples. As informações conexas devem ser apresentadas conjuntamente;</w:t>
      </w:r>
    </w:p>
    <w:p w14:paraId="612E2B3F" w14:textId="77777777" w:rsidR="008A319E" w:rsidRDefault="003C1FCC">
      <w:pPr>
        <w:pStyle w:val="Point1letter"/>
        <w:numPr>
          <w:ilvl w:val="0"/>
          <w:numId w:val="0"/>
        </w:numPr>
        <w:ind w:left="567" w:hanging="567"/>
      </w:pPr>
      <w:r>
        <w:t>c)</w:t>
      </w:r>
      <w:r>
        <w:tab/>
        <w:t>As divulgações de informações devem ser significativas e coerentes ao longo do tempo, a fim de permitir aos utilizadores comparar as informações entre os períodos objeto de divulgação;</w:t>
      </w:r>
    </w:p>
    <w:p w14:paraId="433DE7DA" w14:textId="77777777" w:rsidR="008A319E" w:rsidRDefault="003C1FCC">
      <w:pPr>
        <w:pStyle w:val="Point1letter"/>
        <w:numPr>
          <w:ilvl w:val="0"/>
          <w:numId w:val="0"/>
        </w:numPr>
        <w:ind w:left="567" w:hanging="567"/>
      </w:pPr>
      <w:r>
        <w:t>d)</w:t>
      </w:r>
      <w:r>
        <w:tab/>
        <w:t>Todas as divulgações quantitativas devem ser acompanhadas de explicações qualitativas e de outras informações complementares que possam ser necessárias para que os utilizadores dessas informações as entendam, tendo em conta, nomeadamente, qualquer alteração significativa em qualquer divulgação efetuada por comparação com as informações incluídas em divulgações anteriores.</w:t>
      </w:r>
    </w:p>
    <w:p w14:paraId="38F4797A" w14:textId="77777777" w:rsidR="008A319E" w:rsidRDefault="003C1FCC">
      <w:pPr>
        <w:pStyle w:val="Titrearticle"/>
      </w:pPr>
      <w:r>
        <w:t>Artigo 10.</w:t>
      </w:r>
      <w:r>
        <w:rPr>
          <w:vertAlign w:val="superscript"/>
        </w:rPr>
        <w:t>o</w:t>
      </w:r>
    </w:p>
    <w:p w14:paraId="15E50AA6" w14:textId="77777777" w:rsidR="008A319E" w:rsidRDefault="003C1FCC">
      <w:pPr>
        <w:pStyle w:val="Titrearticle"/>
        <w:spacing w:before="120"/>
        <w:rPr>
          <w:b/>
          <w:i w:val="0"/>
        </w:rPr>
      </w:pPr>
      <w:r>
        <w:rPr>
          <w:b/>
          <w:i w:val="0"/>
        </w:rPr>
        <w:t>Divulgação dos fundos próprios pelas empresas de investimento</w:t>
      </w:r>
    </w:p>
    <w:p w14:paraId="0ED6472B" w14:textId="77777777" w:rsidR="008A319E" w:rsidRDefault="003C1FCC">
      <w:r>
        <w:t>As empresas de investimento devem divulgar as informações relativas aos fundos próprios tal como exigido pelo artigo 49.</w:t>
      </w:r>
      <w:r>
        <w:rPr>
          <w:vertAlign w:val="superscript"/>
        </w:rPr>
        <w:t>o</w:t>
      </w:r>
      <w:r>
        <w:t>, n.</w:t>
      </w:r>
      <w:r>
        <w:rPr>
          <w:vertAlign w:val="superscript"/>
        </w:rPr>
        <w:t>o</w:t>
      </w:r>
      <w:r>
        <w:t> 1, do Regulamento (UE) 2019/2033 utilizando os modelos constantes do anexo VI do presente regulamento e em conformidade com as instruções aplicáveis constantes do anexo VII do presente regulamento.</w:t>
      </w:r>
    </w:p>
    <w:p w14:paraId="4D74ED53" w14:textId="77777777" w:rsidR="008A319E" w:rsidRDefault="003C1FCC">
      <w:pPr>
        <w:pStyle w:val="Titrearticle"/>
      </w:pPr>
      <w:r>
        <w:lastRenderedPageBreak/>
        <w:t>Artigo 11.</w:t>
      </w:r>
      <w:r>
        <w:rPr>
          <w:vertAlign w:val="superscript"/>
        </w:rPr>
        <w:t>o</w:t>
      </w:r>
    </w:p>
    <w:p w14:paraId="19C1658B" w14:textId="77777777" w:rsidR="008A319E" w:rsidRDefault="003C1FCC">
      <w:pPr>
        <w:pStyle w:val="Titrearticle"/>
        <w:spacing w:before="120"/>
        <w:rPr>
          <w:b/>
          <w:i w:val="0"/>
        </w:rPr>
      </w:pPr>
      <w:r>
        <w:rPr>
          <w:b/>
          <w:i w:val="0"/>
        </w:rPr>
        <w:t>Disposições gerais de divulgação</w:t>
      </w:r>
    </w:p>
    <w:p w14:paraId="2B61378D" w14:textId="77777777" w:rsidR="008A319E" w:rsidRDefault="003C1FCC">
      <w:pPr>
        <w:pStyle w:val="NumPar1"/>
        <w:numPr>
          <w:ilvl w:val="0"/>
          <w:numId w:val="0"/>
        </w:numPr>
        <w:tabs>
          <w:tab w:val="left" w:pos="567"/>
        </w:tabs>
      </w:pPr>
      <w:r>
        <w:t>1.</w:t>
      </w:r>
      <w:r>
        <w:tab/>
        <w:t>Ao divulgarem as informações a que se refere o artigo 10.</w:t>
      </w:r>
      <w:r>
        <w:rPr>
          <w:vertAlign w:val="superscript"/>
        </w:rPr>
        <w:t>o</w:t>
      </w:r>
      <w:r>
        <w:t xml:space="preserve"> do presente regulamento, as empresas de investimento devem assegurar que os valores numéricos são apresentados como factos em conformidade com o seguinte:</w:t>
      </w:r>
    </w:p>
    <w:p w14:paraId="4B9CDC96" w14:textId="77777777" w:rsidR="008A319E" w:rsidRDefault="003C1FCC">
      <w:pPr>
        <w:pStyle w:val="Point1letter"/>
        <w:numPr>
          <w:ilvl w:val="0"/>
          <w:numId w:val="0"/>
        </w:numPr>
        <w:ind w:left="567" w:hanging="567"/>
      </w:pPr>
      <w:r>
        <w:t>a)</w:t>
      </w:r>
      <w:r>
        <w:tab/>
        <w:t>Os dados quantitativos de tipo monetário devem ser divulgados com uma precisão mínima equivalente a milhares de unidades;</w:t>
      </w:r>
    </w:p>
    <w:p w14:paraId="5BC74174" w14:textId="77777777" w:rsidR="008A319E" w:rsidRDefault="003C1FCC">
      <w:pPr>
        <w:pStyle w:val="Point1letter"/>
        <w:numPr>
          <w:ilvl w:val="0"/>
          <w:numId w:val="0"/>
        </w:numPr>
        <w:ind w:left="567" w:hanging="567"/>
      </w:pPr>
      <w:r>
        <w:t>b)</w:t>
      </w:r>
      <w:r>
        <w:tab/>
        <w:t>Os dados quantitativos apresentados como «Percentagem» devem ser expressos por unidade, com uma precisão mínima equivalente a quatro casas decimais.</w:t>
      </w:r>
    </w:p>
    <w:p w14:paraId="0626EC9D" w14:textId="77777777" w:rsidR="008A319E" w:rsidRDefault="003C1FCC">
      <w:pPr>
        <w:pStyle w:val="NumPar1"/>
        <w:numPr>
          <w:ilvl w:val="0"/>
          <w:numId w:val="0"/>
        </w:numPr>
        <w:tabs>
          <w:tab w:val="left" w:pos="567"/>
        </w:tabs>
      </w:pPr>
      <w:r>
        <w:t>2.</w:t>
      </w:r>
      <w:r>
        <w:tab/>
        <w:t>Ao divulgarem as informações a que se refere o artigo 10.</w:t>
      </w:r>
      <w:r>
        <w:rPr>
          <w:vertAlign w:val="superscript"/>
        </w:rPr>
        <w:t>o</w:t>
      </w:r>
      <w:r>
        <w:t xml:space="preserve"> do presente regulamento, as empresas de investimento devem assegurar que os dados são acompanhados de todas as seguintes informações:</w:t>
      </w:r>
    </w:p>
    <w:p w14:paraId="1E5004F9" w14:textId="77777777" w:rsidR="008A319E" w:rsidRDefault="003C1FCC">
      <w:pPr>
        <w:pStyle w:val="Point1letter"/>
        <w:numPr>
          <w:ilvl w:val="0"/>
          <w:numId w:val="0"/>
        </w:numPr>
        <w:ind w:left="567" w:hanging="567"/>
      </w:pPr>
      <w:r>
        <w:t>a)</w:t>
      </w:r>
      <w:r>
        <w:tab/>
        <w:t>Data de referência e período de referência da divulgação;</w:t>
      </w:r>
    </w:p>
    <w:p w14:paraId="7EDB984C" w14:textId="77777777" w:rsidR="008A319E" w:rsidRDefault="003C1FCC">
      <w:pPr>
        <w:pStyle w:val="Point1letter"/>
        <w:numPr>
          <w:ilvl w:val="0"/>
          <w:numId w:val="0"/>
        </w:numPr>
        <w:ind w:left="567" w:hanging="567"/>
      </w:pPr>
      <w:r>
        <w:t>b)</w:t>
      </w:r>
      <w:r>
        <w:tab/>
        <w:t>Moeda da divulgação;</w:t>
      </w:r>
    </w:p>
    <w:p w14:paraId="496EA5A1" w14:textId="77777777" w:rsidR="008A319E" w:rsidRDefault="003C1FCC">
      <w:pPr>
        <w:pStyle w:val="Point1letter"/>
        <w:numPr>
          <w:ilvl w:val="0"/>
          <w:numId w:val="0"/>
        </w:numPr>
        <w:ind w:left="567" w:hanging="567"/>
      </w:pPr>
      <w:r>
        <w:t>c)</w:t>
      </w:r>
      <w:r>
        <w:tab/>
        <w:t>Nome e (se aplicável) identificador de entidade jurídica (LEI) da instituição que divulga as informações;</w:t>
      </w:r>
    </w:p>
    <w:p w14:paraId="34D4DB72" w14:textId="77777777" w:rsidR="008A319E" w:rsidRDefault="003C1FCC">
      <w:pPr>
        <w:pStyle w:val="Point1letter"/>
        <w:numPr>
          <w:ilvl w:val="0"/>
          <w:numId w:val="0"/>
        </w:numPr>
        <w:ind w:left="567" w:hanging="567"/>
      </w:pPr>
      <w:r>
        <w:t>d)</w:t>
      </w:r>
      <w:r>
        <w:tab/>
        <w:t>Norma contabilística utilizada, se aplicável;</w:t>
      </w:r>
    </w:p>
    <w:p w14:paraId="64F3629A" w14:textId="77777777" w:rsidR="008A319E" w:rsidRDefault="003C1FCC">
      <w:pPr>
        <w:pStyle w:val="Point1letter"/>
        <w:numPr>
          <w:ilvl w:val="0"/>
          <w:numId w:val="0"/>
        </w:numPr>
        <w:spacing w:after="360"/>
        <w:ind w:left="567" w:hanging="567"/>
      </w:pPr>
      <w:r>
        <w:t>e)</w:t>
      </w:r>
      <w:r>
        <w:tab/>
        <w:t>Perímetro de consolidação, se aplicável.</w:t>
      </w:r>
    </w:p>
    <w:p w14:paraId="681AA501" w14:textId="77777777" w:rsidR="008A319E" w:rsidRPr="003C1FCC" w:rsidRDefault="003C1FCC">
      <w:pPr>
        <w:pStyle w:val="ChapterTitle"/>
        <w:rPr>
          <w:b w:val="0"/>
        </w:rPr>
      </w:pPr>
      <w:r w:rsidRPr="003C1FCC">
        <w:rPr>
          <w:b w:val="0"/>
        </w:rPr>
        <w:t>CAPÍTULO III</w:t>
      </w:r>
    </w:p>
    <w:p w14:paraId="61390941" w14:textId="77777777" w:rsidR="008A319E" w:rsidRDefault="003C1FCC">
      <w:pPr>
        <w:pStyle w:val="ChapterTitle"/>
      </w:pPr>
      <w:r>
        <w:t>DISPOSIÇÕES FINAIS</w:t>
      </w:r>
    </w:p>
    <w:p w14:paraId="6424E00C" w14:textId="77777777" w:rsidR="008A319E" w:rsidRDefault="003C1FCC">
      <w:pPr>
        <w:pStyle w:val="Titrearticle"/>
        <w:spacing w:before="120"/>
      </w:pPr>
      <w:r>
        <w:t>Artigo 12.</w:t>
      </w:r>
      <w:r>
        <w:rPr>
          <w:vertAlign w:val="superscript"/>
        </w:rPr>
        <w:t>o</w:t>
      </w:r>
    </w:p>
    <w:p w14:paraId="75B4199A" w14:textId="3515B97C" w:rsidR="008A319E" w:rsidRDefault="003C1FCC">
      <w:pPr>
        <w:pStyle w:val="Titrearticle"/>
        <w:spacing w:before="120"/>
        <w:rPr>
          <w:b/>
          <w:i w:val="0"/>
        </w:rPr>
      </w:pPr>
      <w:r>
        <w:rPr>
          <w:b/>
          <w:i w:val="0"/>
        </w:rPr>
        <w:t>Entrada em vigor</w:t>
      </w:r>
    </w:p>
    <w:p w14:paraId="194722B5" w14:textId="77777777" w:rsidR="008A319E" w:rsidRDefault="003C1FCC">
      <w:r>
        <w:t xml:space="preserve">O presente regulamento entra em vigor no vigésimo dia seguinte ao da sua publicação no </w:t>
      </w:r>
      <w:r>
        <w:rPr>
          <w:i/>
        </w:rPr>
        <w:t>Jornal Oficial da União Europeia</w:t>
      </w:r>
      <w:r>
        <w:t>.</w:t>
      </w:r>
    </w:p>
    <w:p w14:paraId="590B33AC" w14:textId="77777777" w:rsidR="008A319E" w:rsidRDefault="003C1FCC">
      <w:pPr>
        <w:pStyle w:val="Applicationdirecte"/>
      </w:pPr>
      <w:r>
        <w:t>O presente regulamento é obrigatório em todos os seus elementos e diretamente aplicável em todos os Estados-Membros.</w:t>
      </w:r>
    </w:p>
    <w:p w14:paraId="1DCA36FC" w14:textId="77777777" w:rsidR="008A319E" w:rsidRDefault="003C1FCC">
      <w:pPr>
        <w:pStyle w:val="Fait"/>
      </w:pPr>
      <w:r>
        <w:t>Feito em Bruxelas, em 6 de dezembro de 2021.</w:t>
      </w:r>
    </w:p>
    <w:p w14:paraId="71AC31CB" w14:textId="77777777" w:rsidR="008A319E" w:rsidRDefault="003C1FCC">
      <w:pPr>
        <w:pStyle w:val="Institutionquisigne"/>
      </w:pPr>
      <w:r>
        <w:tab/>
        <w:t>Pela Comissão</w:t>
      </w:r>
    </w:p>
    <w:p w14:paraId="75FF2730" w14:textId="77777777" w:rsidR="008A319E" w:rsidRDefault="003C1FCC">
      <w:pPr>
        <w:pStyle w:val="Personnequisigne"/>
      </w:pPr>
      <w:r>
        <w:tab/>
        <w:t>A Presidente</w:t>
      </w:r>
    </w:p>
    <w:p w14:paraId="588F52C0" w14:textId="77777777" w:rsidR="008A319E" w:rsidRPr="003C1FCC" w:rsidRDefault="003C1FCC">
      <w:pPr>
        <w:pStyle w:val="Personnequisigne"/>
        <w:rPr>
          <w:i w:val="0"/>
        </w:rPr>
      </w:pPr>
      <w:r>
        <w:tab/>
      </w:r>
      <w:r w:rsidRPr="003C1FCC">
        <w:rPr>
          <w:i w:val="0"/>
        </w:rPr>
        <w:t>Ursula VON DER LEYEN</w:t>
      </w:r>
    </w:p>
    <w:sectPr w:rsidR="008A319E" w:rsidRPr="003C1FCC">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B808D" w14:textId="77777777" w:rsidR="008A319E" w:rsidRDefault="003C1FCC">
      <w:pPr>
        <w:spacing w:before="0" w:after="0"/>
      </w:pPr>
      <w:r>
        <w:separator/>
      </w:r>
    </w:p>
  </w:endnote>
  <w:endnote w:type="continuationSeparator" w:id="0">
    <w:p w14:paraId="384BD91C" w14:textId="77777777" w:rsidR="008A319E" w:rsidRDefault="003C1FC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878C8" w14:textId="77777777" w:rsidR="008A319E" w:rsidRDefault="008A3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68FA7" w14:textId="77777777" w:rsidR="008A319E" w:rsidRDefault="003C1FCC">
    <w:pPr>
      <w:pStyle w:val="Footer"/>
      <w:tabs>
        <w:tab w:val="clear" w:pos="4535"/>
        <w:tab w:val="clear" w:pos="9921"/>
      </w:tabs>
      <w:ind w:left="0" w:right="0"/>
    </w:pPr>
    <w:r>
      <w:t>PT - Cleaned document</w:t>
    </w:r>
    <w:r>
      <w:tab/>
    </w:r>
    <w:r>
      <w:fldChar w:fldCharType="begin"/>
    </w:r>
    <w:r>
      <w:instrText xml:space="preserve"> PAGE \* MERGEFORMAT </w:instrText>
    </w:r>
    <w:r>
      <w:fldChar w:fldCharType="separate"/>
    </w:r>
    <w:r>
      <w:rPr>
        <w:noProof/>
      </w:rPr>
      <w:t>7</w:t>
    </w:r>
    <w:r>
      <w:fldChar w:fldCharType="end"/>
    </w:r>
    <w:r>
      <w:t>/</w:t>
    </w:r>
    <w:fldSimple w:instr=" NUMPAGES \* MERGEFORMAT ">
      <w:r>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E2186" w14:textId="77777777" w:rsidR="008A319E" w:rsidRDefault="008A3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66266" w14:textId="77777777" w:rsidR="008A319E" w:rsidRDefault="003C1FCC">
      <w:pPr>
        <w:spacing w:before="0" w:after="0"/>
      </w:pPr>
      <w:r>
        <w:separator/>
      </w:r>
    </w:p>
  </w:footnote>
  <w:footnote w:type="continuationSeparator" w:id="0">
    <w:p w14:paraId="577339ED" w14:textId="77777777" w:rsidR="008A319E" w:rsidRDefault="003C1FCC">
      <w:pPr>
        <w:spacing w:before="0" w:after="0"/>
      </w:pPr>
      <w:r>
        <w:continuationSeparator/>
      </w:r>
    </w:p>
  </w:footnote>
  <w:footnote w:id="1">
    <w:p w14:paraId="0F6BF608" w14:textId="77777777" w:rsidR="008A319E" w:rsidRDefault="003C1FCC">
      <w:pPr>
        <w:pStyle w:val="FootnoteText"/>
      </w:pPr>
      <w:r>
        <w:rPr>
          <w:rStyle w:val="FootnoteReference"/>
        </w:rPr>
        <w:footnoteRef/>
      </w:r>
      <w:r>
        <w:tab/>
        <w:t>JO L 314 de 5.12.2019, p. 1.</w:t>
      </w:r>
    </w:p>
  </w:footnote>
  <w:footnote w:id="2">
    <w:p w14:paraId="3BCA5731" w14:textId="77777777" w:rsidR="008A319E" w:rsidRDefault="003C1FCC">
      <w:pPr>
        <w:pStyle w:val="FootnoteText"/>
      </w:pPr>
      <w:r>
        <w:rPr>
          <w:rStyle w:val="FootnoteReference"/>
        </w:rPr>
        <w:footnoteRef/>
      </w:r>
      <w:r>
        <w:tab/>
        <w:t>Regulamento (UE) n.</w:t>
      </w:r>
      <w:r>
        <w:rPr>
          <w:vertAlign w:val="superscript"/>
        </w:rPr>
        <w:t>o</w:t>
      </w:r>
      <w:r>
        <w:t> 1093/2010 do Parlamento Europeu e do Conselho, de 24 de novembro de 2010, que cria uma Autoridade Europeia de Supervisão (Autoridade Bancária Europeia), altera a Decisão n.</w:t>
      </w:r>
      <w:r>
        <w:rPr>
          <w:vertAlign w:val="superscript"/>
        </w:rPr>
        <w:t>o</w:t>
      </w:r>
      <w:r>
        <w:t> 716/2009/CE e revoga a Decisão 2009/78/CE da Comissão (JO L 331 de 15.12.2010, p. 12).</w:t>
      </w:r>
    </w:p>
  </w:footnote>
  <w:footnote w:id="3">
    <w:p w14:paraId="5C7FB4D0" w14:textId="77777777" w:rsidR="00F215EE" w:rsidRDefault="00F215EE">
      <w:pPr>
        <w:pStyle w:val="FootnoteText"/>
      </w:pPr>
      <w:r>
        <w:rPr>
          <w:rStyle w:val="FootnoteReference"/>
        </w:rPr>
        <w:footnoteRef/>
      </w:r>
      <w:r>
        <w:t xml:space="preserve"> </w:t>
      </w:r>
      <w:r>
        <w:tab/>
      </w:r>
      <w:r w:rsidRPr="00F215EE">
        <w:t>Regulamento de Execução (UE) 2021/451 da Comissão, de 17 de dezembro de 2020, que estabelece normas técnicas de execução para a aplicação do Regulamento (UE) n.</w:t>
      </w:r>
      <w:r w:rsidRPr="00F215EE">
        <w:rPr>
          <w:vertAlign w:val="superscript"/>
        </w:rPr>
        <w:t>o</w:t>
      </w:r>
      <w:r w:rsidRPr="00F215EE">
        <w:t xml:space="preserve"> 575/2013 do Parlamento Europeu e do Conselho no que respeita ao relato para fins de supervisão das instituições e revoga o Regulamento de Execução (UE) n.</w:t>
      </w:r>
      <w:r w:rsidRPr="00F215EE">
        <w:rPr>
          <w:vertAlign w:val="superscript"/>
        </w:rPr>
        <w:t>o</w:t>
      </w:r>
      <w:r w:rsidRPr="00F215EE">
        <w:t xml:space="preserve"> 680/2014</w:t>
      </w:r>
      <w:r>
        <w:t xml:space="preserve"> (JO L 97 de 19.3.2021,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901C4" w14:textId="77777777" w:rsidR="008A319E" w:rsidRDefault="008A3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8F8A8" w14:textId="5CAE22DD" w:rsidR="008A319E" w:rsidRDefault="00516C38">
    <w:pPr>
      <w:pStyle w:val="Header"/>
    </w:pPr>
    <w:r>
      <w:rPr>
        <w:noProof/>
      </w:rPr>
      <mc:AlternateContent>
        <mc:Choice Requires="wps">
          <w:drawing>
            <wp:anchor distT="0" distB="0" distL="114300" distR="114300" simplePos="0" relativeHeight="251659264" behindDoc="0" locked="0" layoutInCell="0" allowOverlap="1" wp14:anchorId="1F7C537A" wp14:editId="07526934">
              <wp:simplePos x="0" y="0"/>
              <wp:positionH relativeFrom="page">
                <wp:posOffset>0</wp:posOffset>
              </wp:positionH>
              <wp:positionV relativeFrom="page">
                <wp:posOffset>190500</wp:posOffset>
              </wp:positionV>
              <wp:extent cx="7560945" cy="273050"/>
              <wp:effectExtent l="0" t="0" r="0" b="12700"/>
              <wp:wrapNone/>
              <wp:docPr id="1" name="MSIPCMa9e84d83897c1733c38e24c9"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303F6A" w14:textId="41BE9CB6" w:rsidR="00516C38" w:rsidRPr="00516C38" w:rsidRDefault="00516C38" w:rsidP="00516C38">
                          <w:pPr>
                            <w:spacing w:before="0" w:after="0"/>
                            <w:jc w:val="left"/>
                            <w:rPr>
                              <w:rFonts w:ascii="Calibri" w:hAnsi="Calibri" w:cs="Calibri"/>
                              <w:color w:val="000000"/>
                            </w:rPr>
                          </w:pPr>
                          <w:r w:rsidRPr="00516C38">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F7C537A" id="_x0000_t202" coordsize="21600,21600" o:spt="202" path="m,l,21600r21600,l21600,xe">
              <v:stroke joinstyle="miter"/>
              <v:path gradientshapeok="t" o:connecttype="rect"/>
            </v:shapetype>
            <v:shape id="MSIPCMa9e84d83897c1733c38e24c9"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" o:allowincell="f" filled="f" stroked="f" strokeweight=".5pt">
              <v:fill o:detectmouseclick="t"/>
              <v:textbox inset="20pt,0,,0">
                <w:txbxContent>
                  <w:p w14:paraId="25303F6A" w14:textId="41BE9CB6" w:rsidR="00516C38" w:rsidRPr="00516C38" w:rsidRDefault="00516C38" w:rsidP="00516C38">
                    <w:pPr>
                      <w:spacing w:before="0" w:after="0"/>
                      <w:jc w:val="left"/>
                      <w:rPr>
                        <w:rFonts w:ascii="Calibri" w:hAnsi="Calibri" w:cs="Calibri"/>
                        <w:color w:val="000000"/>
                      </w:rPr>
                    </w:pPr>
                    <w:r w:rsidRPr="00516C38">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AFB25" w14:textId="77777777" w:rsidR="008A319E" w:rsidRDefault="008A31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pt-PT" w:vendorID="64" w:dllVersion="6" w:nlCheck="1" w:checkStyle="0"/>
  <w:defaultTabStop w:val="720"/>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6:31:3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96EC26F9-67DA-486E-AA35-E7CF919476FE"/>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estabelece normas técnicas de execução para a aplicação do Regulamento (UE) 2019/2033 do Parlamento Europeu e do Conselho no respeitante à comunicação de informações para fins de supervisão e à divulgação de informações das empresas de investimento"/>
    <w:docVar w:name="LW_TYPE.DOC.CP" w:val="REGULAMENTO DE EXECUÇÃO (UE) \u8230?/... DA COMISSÃO"/>
  </w:docVars>
  <w:rsids>
    <w:rsidRoot w:val="008A319E"/>
    <w:rsid w:val="003C1FCC"/>
    <w:rsid w:val="00415B3E"/>
    <w:rsid w:val="00516C38"/>
    <w:rsid w:val="008A319E"/>
    <w:rsid w:val="00F215EE"/>
    <w:rsid w:val="00F93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EECB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pt-PT"/>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pt-PT"/>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6C775-870B-47FF-8AB6-7F408A0F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2620</Words>
  <Characters>14939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2022-01-14T17:08:27Z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fbf5c10e-4e98-43b6-bb3a-4ee9911d19c4</vt:lpwstr>
  </property>
  <property fmtid="{D5CDD505-2E9C-101B-9397-08002B2CF9AE}" pid="15" name="MSIP_Label_5c7eb9de-735b-4a68-8fe4-c9c62709b012_ContentBits">
    <vt:lpwstr>1</vt:lpwstr>
  </property>
</Properties>
</file>