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bookmarkStart w:id="6" w:name="_GoBack"/>
      <w:bookmarkEnd w:id="6"/>
      <w:r>
        <w:rPr>
          <w:rFonts w:ascii="Times New Roman" w:hAnsi="Times New Roman"/>
          <w:b/>
          <w:sz w:val="24"/>
          <w:szCs w:val="24"/>
        </w:rPr>
        <w:t>ES</w:t>
      </w:r>
      <w:r>
        <w:rPr>
          <w:rFonts w:ascii="Times New Roman" w:hAnsi="Times New Roman"/>
          <w:b/>
          <w:sz w:val="24"/>
          <w:szCs w:val="24"/>
        </w:rPr>
        <w:br/>
      </w:r>
      <w:r>
        <w:rPr>
          <w:rFonts w:ascii="Times New Roman" w:hAnsi="Times New Roman"/>
          <w:b/>
          <w:sz w:val="24"/>
          <w:szCs w:val="20"/>
        </w:rPr>
        <w:t>ANEXO IX</w:t>
      </w:r>
    </w:p>
    <w:p>
      <w:pPr>
        <w:spacing w:after="240" w:line="240" w:lineRule="auto"/>
        <w:jc w:val="center"/>
        <w:rPr>
          <w:rFonts w:ascii="Times New Roman" w:eastAsia="Times New Roman" w:hAnsi="Times New Roman" w:cs="Times New Roman"/>
          <w:b/>
          <w:sz w:val="24"/>
          <w:szCs w:val="20"/>
          <w:u w:val="single"/>
        </w:rPr>
      </w:pPr>
      <w:r>
        <w:rPr>
          <w:rFonts w:ascii="Times New Roman" w:hAnsi="Times New Roman"/>
          <w:b/>
          <w:sz w:val="24"/>
          <w:szCs w:val="20"/>
          <w:u w:val="single"/>
        </w:rPr>
        <w:t xml:space="preserve">«ANEXO </w:t>
      </w:r>
      <w:bookmarkEnd w:id="0"/>
      <w:bookmarkEnd w:id="1"/>
      <w:r>
        <w:rPr>
          <w:rFonts w:ascii="Times New Roman" w:hAnsi="Times New Roman"/>
          <w:b/>
          <w:sz w:val="24"/>
          <w:szCs w:val="20"/>
          <w:u w:val="single"/>
        </w:rPr>
        <w:t>IX</w:t>
      </w:r>
    </w:p>
    <w:p>
      <w:pPr>
        <w:spacing w:after="240" w:line="240" w:lineRule="auto"/>
        <w:jc w:val="center"/>
        <w:rPr>
          <w:rFonts w:ascii="Times New Roman" w:eastAsia="Times New Roman" w:hAnsi="Times New Roman" w:cs="Times New Roman"/>
          <w:b/>
          <w:sz w:val="24"/>
          <w:szCs w:val="20"/>
        </w:rPr>
      </w:pPr>
      <w:r>
        <w:rPr>
          <w:rFonts w:ascii="Times New Roman" w:hAnsi="Times New Roman"/>
          <w:b/>
          <w:sz w:val="24"/>
          <w:szCs w:val="20"/>
        </w:rPr>
        <w:t>INFORMACIÓN SOBRE LA PRUEBA DE CAPITAL DEL GRUPO</w:t>
      </w:r>
    </w:p>
    <w:p>
      <w:pPr>
        <w:spacing w:after="0" w:line="240" w:lineRule="auto"/>
        <w:rPr>
          <w:rFonts w:ascii="Times New Roman" w:eastAsia="Times New Roman" w:hAnsi="Times New Roman" w:cs="Times New Roman"/>
          <w:sz w:val="24"/>
          <w:szCs w:val="24"/>
        </w:rPr>
      </w:pPr>
      <w:r>
        <w:rPr>
          <w:rFonts w:ascii="Times New Roman" w:hAnsi="Times New Roman"/>
          <w:sz w:val="24"/>
          <w:szCs w:val="24"/>
        </w:rPr>
        <w:t>Índice</w:t>
      </w:r>
    </w:p>
    <w:p>
      <w:pPr>
        <w:pStyle w:val="TOC2"/>
        <w:tabs>
          <w:tab w:val="right" w:leader="dot" w:pos="9016"/>
        </w:tabs>
        <w:rPr>
          <w:rFonts w:eastAsiaTheme="minorEastAsia"/>
          <w:noProof/>
          <w:lang w:eastAsia="es-ES"/>
        </w:rPr>
      </w:pPr>
      <w:r>
        <w:rPr>
          <w:rFonts w:ascii="Times New Roman" w:hAnsi="Times New Roman"/>
          <w:noProof/>
        </w:rPr>
        <w:t>PARTE I: INSTRUCCIONES GENERALES</w:t>
      </w:r>
      <w:r>
        <w:rPr>
          <w:noProof/>
        </w:rPr>
        <w:tab/>
        <w:t>2</w:t>
      </w:r>
    </w:p>
    <w:p>
      <w:pPr>
        <w:pStyle w:val="TOC2"/>
        <w:tabs>
          <w:tab w:val="right" w:leader="dot" w:pos="9016"/>
        </w:tabs>
        <w:rPr>
          <w:rFonts w:eastAsiaTheme="minorEastAsia"/>
          <w:noProof/>
          <w:lang w:eastAsia="es-ES"/>
        </w:rPr>
      </w:pPr>
      <w:r>
        <w:rPr>
          <w:rFonts w:ascii="Times New Roman" w:hAnsi="Times New Roman"/>
          <w:noProof/>
        </w:rPr>
        <w:t>1. Estructura y convenciones</w:t>
      </w:r>
      <w:r>
        <w:rPr>
          <w:noProof/>
        </w:rPr>
        <w:tab/>
        <w:t>2</w:t>
      </w:r>
    </w:p>
    <w:p>
      <w:pPr>
        <w:pStyle w:val="TOC2"/>
        <w:tabs>
          <w:tab w:val="right" w:leader="dot" w:pos="9016"/>
        </w:tabs>
        <w:rPr>
          <w:rFonts w:eastAsiaTheme="minorEastAsia"/>
          <w:noProof/>
          <w:lang w:eastAsia="es-ES"/>
        </w:rPr>
      </w:pPr>
      <w:r>
        <w:rPr>
          <w:rFonts w:ascii="Times New Roman" w:hAnsi="Times New Roman"/>
          <w:noProof/>
          <w:u w:val="single"/>
        </w:rPr>
        <w:t>1.1 Estructura</w:t>
      </w:r>
      <w:r>
        <w:rPr>
          <w:noProof/>
        </w:rPr>
        <w:tab/>
        <w:t>2</w:t>
      </w:r>
    </w:p>
    <w:p>
      <w:pPr>
        <w:pStyle w:val="TOC2"/>
        <w:tabs>
          <w:tab w:val="right" w:leader="dot" w:pos="9016"/>
        </w:tabs>
        <w:rPr>
          <w:rFonts w:eastAsiaTheme="minorEastAsia"/>
          <w:noProof/>
          <w:lang w:eastAsia="es-ES"/>
        </w:rPr>
      </w:pPr>
      <w:r>
        <w:rPr>
          <w:rFonts w:ascii="Times New Roman" w:hAnsi="Times New Roman"/>
          <w:noProof/>
          <w:u w:val="single"/>
        </w:rPr>
        <w:t>1.2 Convenio de numeración</w:t>
      </w:r>
      <w:r>
        <w:rPr>
          <w:noProof/>
        </w:rPr>
        <w:tab/>
        <w:t>2</w:t>
      </w:r>
    </w:p>
    <w:p>
      <w:pPr>
        <w:pStyle w:val="TOC2"/>
        <w:tabs>
          <w:tab w:val="right" w:leader="dot" w:pos="9016"/>
        </w:tabs>
        <w:rPr>
          <w:rFonts w:eastAsiaTheme="minorEastAsia"/>
          <w:noProof/>
          <w:lang w:eastAsia="es-ES"/>
        </w:rPr>
      </w:pPr>
      <w:r>
        <w:rPr>
          <w:rFonts w:ascii="Times New Roman" w:hAnsi="Times New Roman"/>
          <w:noProof/>
          <w:u w:val="single"/>
        </w:rPr>
        <w:t>1.3 Convención de signos</w:t>
      </w:r>
      <w:r>
        <w:rPr>
          <w:noProof/>
        </w:rPr>
        <w:tab/>
        <w:t>2</w:t>
      </w:r>
    </w:p>
    <w:p>
      <w:pPr>
        <w:pStyle w:val="TOC2"/>
        <w:tabs>
          <w:tab w:val="right" w:leader="dot" w:pos="9016"/>
        </w:tabs>
        <w:rPr>
          <w:rFonts w:eastAsiaTheme="minorEastAsia"/>
          <w:noProof/>
          <w:lang w:eastAsia="es-ES"/>
        </w:rPr>
      </w:pPr>
      <w:r>
        <w:rPr>
          <w:rFonts w:ascii="Times New Roman" w:hAnsi="Times New Roman"/>
          <w:noProof/>
        </w:rPr>
        <w:t>PARTE II: INSTRUCCIONES RELATIVAS A LAS PLANTILLAS</w:t>
      </w:r>
      <w:r>
        <w:rPr>
          <w:noProof/>
        </w:rPr>
        <w:tab/>
        <w:t>3</w:t>
      </w:r>
    </w:p>
    <w:p>
      <w:pPr>
        <w:pStyle w:val="TOC2"/>
        <w:tabs>
          <w:tab w:val="right" w:leader="dot" w:pos="9016"/>
        </w:tabs>
        <w:rPr>
          <w:rFonts w:eastAsiaTheme="minorEastAsia"/>
          <w:noProof/>
          <w:lang w:eastAsia="es-ES"/>
        </w:rPr>
      </w:pPr>
      <w:r>
        <w:rPr>
          <w:rFonts w:ascii="Times New Roman" w:hAnsi="Times New Roman"/>
          <w:b/>
          <w:noProof/>
        </w:rPr>
        <w:t>1. FONDOS PROPIOS: NIVEL, COMPOSICIÓN, REQUISITOS Y CÁLCULO</w:t>
      </w:r>
      <w:r>
        <w:rPr>
          <w:noProof/>
        </w:rPr>
        <w:tab/>
        <w:t>3</w:t>
      </w:r>
    </w:p>
    <w:p>
      <w:pPr>
        <w:pStyle w:val="TOC2"/>
        <w:tabs>
          <w:tab w:val="right" w:leader="dot" w:pos="9016"/>
        </w:tabs>
        <w:rPr>
          <w:rFonts w:eastAsiaTheme="minorEastAsia"/>
          <w:noProof/>
          <w:lang w:eastAsia="es-ES"/>
        </w:rPr>
      </w:pPr>
      <w:r>
        <w:rPr>
          <w:rFonts w:ascii="Times New Roman" w:hAnsi="Times New Roman"/>
          <w:noProof/>
        </w:rPr>
        <w:t>1.1 Observaciones generales</w:t>
      </w:r>
      <w:r>
        <w:rPr>
          <w:noProof/>
        </w:rPr>
        <w:tab/>
        <w:t>3</w:t>
      </w:r>
    </w:p>
    <w:p>
      <w:pPr>
        <w:pStyle w:val="TOC2"/>
        <w:tabs>
          <w:tab w:val="right" w:leader="dot" w:pos="9016"/>
        </w:tabs>
        <w:rPr>
          <w:rFonts w:eastAsiaTheme="minorEastAsia"/>
          <w:noProof/>
          <w:lang w:eastAsia="es-ES"/>
        </w:rPr>
      </w:pPr>
      <w:r>
        <w:rPr>
          <w:rFonts w:ascii="Times New Roman" w:hAnsi="Times New Roman"/>
          <w:noProof/>
        </w:rPr>
        <w:t>1.2. I 11.01 — COMPOSICIÓN DE LOS FONDOS PROPIOS — PRUEBA DE CAPITAL DEL GRUPO (I11.1)</w:t>
      </w:r>
      <w:r>
        <w:rPr>
          <w:noProof/>
        </w:rPr>
        <w:tab/>
        <w:t>3</w:t>
      </w:r>
    </w:p>
    <w:p>
      <w:pPr>
        <w:pStyle w:val="TOC2"/>
        <w:tabs>
          <w:tab w:val="left" w:pos="1100"/>
          <w:tab w:val="right" w:leader="dot" w:pos="9016"/>
        </w:tabs>
        <w:rPr>
          <w:rFonts w:eastAsiaTheme="minorEastAsia"/>
          <w:noProof/>
          <w:lang w:eastAsia="es-ES"/>
        </w:rPr>
      </w:pPr>
      <w:r>
        <w:rPr>
          <w:rFonts w:ascii="Times New Roman" w:hAnsi="Times New Roman"/>
          <w:noProof/>
        </w:rPr>
        <w:t>1.2.1.</w:t>
      </w:r>
      <w:r>
        <w:rPr>
          <w:rFonts w:eastAsiaTheme="minorEastAsia"/>
          <w:noProof/>
          <w:lang w:eastAsia="es-ES"/>
        </w:rPr>
        <w:tab/>
      </w:r>
      <w:r>
        <w:rPr>
          <w:rFonts w:ascii="Times New Roman" w:hAnsi="Times New Roman"/>
          <w:noProof/>
        </w:rPr>
        <w:t>Instrucciones relativas a posiciones concretas</w:t>
      </w:r>
      <w:r>
        <w:rPr>
          <w:noProof/>
        </w:rPr>
        <w:tab/>
        <w:t>3</w:t>
      </w:r>
    </w:p>
    <w:p>
      <w:pPr>
        <w:pStyle w:val="TOC2"/>
        <w:tabs>
          <w:tab w:val="right" w:leader="dot" w:pos="9016"/>
        </w:tabs>
        <w:rPr>
          <w:rFonts w:eastAsiaTheme="minorEastAsia"/>
          <w:noProof/>
          <w:lang w:eastAsia="es-ES"/>
        </w:rPr>
      </w:pPr>
      <w:r>
        <w:rPr>
          <w:rFonts w:ascii="Times New Roman" w:hAnsi="Times New Roman"/>
          <w:noProof/>
        </w:rPr>
        <w:t>1.3 I 11.02 REQUISITOS DE FONDOS PROPIOS — PRUEBA DE CAPITAL DEL GRUPO (I11.2)</w:t>
      </w:r>
      <w:r>
        <w:rPr>
          <w:noProof/>
        </w:rPr>
        <w:tab/>
        <w:t>9</w:t>
      </w:r>
    </w:p>
    <w:p>
      <w:pPr>
        <w:pStyle w:val="TOC2"/>
        <w:tabs>
          <w:tab w:val="left" w:pos="1100"/>
          <w:tab w:val="right" w:leader="dot" w:pos="9016"/>
        </w:tabs>
        <w:rPr>
          <w:rFonts w:eastAsiaTheme="minorEastAsia"/>
          <w:noProof/>
          <w:lang w:eastAsia="es-ES"/>
        </w:rPr>
      </w:pPr>
      <w:r>
        <w:rPr>
          <w:rFonts w:ascii="Times New Roman" w:hAnsi="Times New Roman"/>
          <w:noProof/>
        </w:rPr>
        <w:t>1.3.1.</w:t>
      </w:r>
      <w:r>
        <w:rPr>
          <w:rFonts w:eastAsiaTheme="minorEastAsia"/>
          <w:noProof/>
          <w:lang w:eastAsia="es-ES"/>
        </w:rPr>
        <w:tab/>
      </w:r>
      <w:r>
        <w:rPr>
          <w:rFonts w:ascii="Times New Roman" w:hAnsi="Times New Roman"/>
          <w:noProof/>
          <w:u w:val="single"/>
        </w:rPr>
        <w:t>Instrucciones relativas a posiciones concretas</w:t>
      </w:r>
      <w:r>
        <w:rPr>
          <w:noProof/>
        </w:rPr>
        <w:tab/>
        <w:t>9</w:t>
      </w:r>
    </w:p>
    <w:p>
      <w:pPr>
        <w:pStyle w:val="TOC2"/>
        <w:tabs>
          <w:tab w:val="right" w:leader="dot" w:pos="9016"/>
        </w:tabs>
        <w:rPr>
          <w:rFonts w:eastAsiaTheme="minorEastAsia"/>
          <w:noProof/>
          <w:lang w:eastAsia="es-ES"/>
        </w:rPr>
      </w:pPr>
      <w:r>
        <w:rPr>
          <w:rFonts w:ascii="Times New Roman" w:hAnsi="Times New Roman"/>
          <w:noProof/>
        </w:rPr>
        <w:t>1.4 IF 11.03 INFORMACIÓN SOBRE EMPRESAS FILIALES (IF11.3)</w:t>
      </w:r>
      <w:r>
        <w:rPr>
          <w:noProof/>
        </w:rPr>
        <w:tab/>
        <w:t>10</w:t>
      </w:r>
    </w:p>
    <w:p>
      <w:pPr>
        <w:pStyle w:val="TOC2"/>
        <w:tabs>
          <w:tab w:val="left" w:pos="1100"/>
          <w:tab w:val="right" w:leader="dot" w:pos="9016"/>
        </w:tabs>
        <w:rPr>
          <w:rFonts w:eastAsiaTheme="minorEastAsia"/>
          <w:noProof/>
          <w:lang w:eastAsia="es-ES"/>
        </w:rPr>
      </w:pPr>
      <w:r>
        <w:rPr>
          <w:rFonts w:ascii="Times New Roman" w:hAnsi="Times New Roman"/>
          <w:noProof/>
        </w:rPr>
        <w:t>1.4.1.</w:t>
      </w:r>
      <w:r>
        <w:rPr>
          <w:rFonts w:eastAsiaTheme="minorEastAsia"/>
          <w:noProof/>
          <w:lang w:eastAsia="es-ES"/>
        </w:rPr>
        <w:tab/>
      </w:r>
      <w:r>
        <w:rPr>
          <w:rFonts w:ascii="Times New Roman" w:hAnsi="Times New Roman"/>
          <w:noProof/>
          <w:u w:val="single"/>
        </w:rPr>
        <w:t>Instrucciones relativas a posiciones concretas</w:t>
      </w:r>
      <w:r>
        <w:rPr>
          <w:noProof/>
        </w:rPr>
        <w:tab/>
        <w:t>10</w:t>
      </w:r>
      <w:bookmarkStart w:id="7" w:name="_Toc360188322"/>
      <w:bookmarkStart w:id="8" w:name="_Toc473560870"/>
      <w:bookmarkStart w:id="9" w:name="_Toc7084155"/>
    </w:p>
    <w:p/>
    <w:p/>
    <w:p>
      <w:pPr>
        <w:pStyle w:val="Heading2"/>
        <w:rPr>
          <w:rFonts w:ascii="Times New Roman" w:hAnsi="Times New Roman"/>
        </w:rPr>
      </w:pPr>
      <w:bookmarkStart w:id="10" w:name="_Toc87961402"/>
      <w:r>
        <w:rPr>
          <w:rFonts w:ascii="Times New Roman" w:hAnsi="Times New Roman"/>
        </w:rPr>
        <w:t>PARTE I: INSTRUCCIONES GENERALES</w:t>
      </w:r>
      <w:bookmarkEnd w:id="10"/>
    </w:p>
    <w:p>
      <w:pPr>
        <w:keepNext/>
        <w:spacing w:before="240" w:after="240" w:line="240" w:lineRule="auto"/>
        <w:jc w:val="both"/>
        <w:outlineLvl w:val="1"/>
        <w:rPr>
          <w:rFonts w:ascii="Times New Roman" w:eastAsia="Arial" w:hAnsi="Times New Roman" w:cs="Times New Roman"/>
          <w:sz w:val="24"/>
          <w:szCs w:val="24"/>
        </w:rPr>
      </w:pPr>
      <w:bookmarkStart w:id="11" w:name="_Toc87961403"/>
      <w:r>
        <w:rPr>
          <w:rFonts w:ascii="Times New Roman" w:hAnsi="Times New Roman"/>
          <w:sz w:val="24"/>
          <w:szCs w:val="24"/>
        </w:rPr>
        <w:t>1. Estructura y convenciones</w:t>
      </w:r>
      <w:bookmarkEnd w:id="11"/>
    </w:p>
    <w:p>
      <w:pPr>
        <w:keepNext/>
        <w:spacing w:before="240" w:after="240" w:line="240" w:lineRule="auto"/>
        <w:jc w:val="both"/>
        <w:outlineLvl w:val="1"/>
        <w:rPr>
          <w:rFonts w:ascii="Times New Roman" w:eastAsia="Arial" w:hAnsi="Times New Roman" w:cs="Times New Roman"/>
          <w:sz w:val="24"/>
          <w:szCs w:val="24"/>
          <w:u w:val="single"/>
        </w:rPr>
      </w:pPr>
      <w:bookmarkStart w:id="12" w:name="_Toc87961404"/>
      <w:r>
        <w:rPr>
          <w:rFonts w:ascii="Times New Roman" w:hAnsi="Times New Roman"/>
          <w:sz w:val="24"/>
          <w:szCs w:val="24"/>
          <w:u w:val="single"/>
        </w:rPr>
        <w:t>1.1 Estructura</w:t>
      </w:r>
      <w:bookmarkEnd w:id="12"/>
    </w:p>
    <w:p>
      <w:pPr>
        <w:spacing w:line="256"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sz w:val="24"/>
          <w:szCs w:val="24"/>
        </w:rPr>
        <w:t>En general, la información sobre las pruebas de capital del grupo consta de dos plantillas:</w:t>
      </w:r>
    </w:p>
    <w:p>
      <w:pPr>
        <w:spacing w:line="256" w:lineRule="auto"/>
        <w:ind w:left="1728" w:hanging="648"/>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sz w:val="24"/>
          <w:szCs w:val="24"/>
        </w:rPr>
        <w:t>Composición de los fondos propios</w:t>
      </w:r>
    </w:p>
    <w:p>
      <w:pPr>
        <w:spacing w:line="256" w:lineRule="auto"/>
        <w:ind w:left="1728" w:hanging="648"/>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Pr>
          <w:rFonts w:ascii="Times New Roman" w:hAnsi="Times New Roman"/>
          <w:sz w:val="24"/>
          <w:szCs w:val="24"/>
        </w:rPr>
        <w:t>Instrumentos de fondos propios.</w:t>
      </w:r>
    </w:p>
    <w:p>
      <w:pPr>
        <w:pStyle w:val="InstructionsText2"/>
        <w:numPr>
          <w:ilvl w:val="0"/>
          <w:numId w:val="0"/>
        </w:numPr>
        <w:ind w:left="360" w:hanging="360"/>
      </w:pPr>
      <w:r>
        <w:t>2.</w:t>
      </w:r>
      <w:r>
        <w:tab/>
        <w:t>Se facilitan referencias legales para cada plantilla. En esta parte del Reglamento se ofrecen otros datos pormenorizados sobre aspectos más generales de la información de cada bloque de plantillas, instrucciones sobre determinadas posiciones, así como normas de validación.</w:t>
      </w:r>
    </w:p>
    <w:p>
      <w:pPr>
        <w:keepNext/>
        <w:spacing w:before="240" w:after="240" w:line="240" w:lineRule="auto"/>
        <w:jc w:val="both"/>
        <w:outlineLvl w:val="1"/>
        <w:rPr>
          <w:rFonts w:ascii="Times New Roman" w:eastAsia="Arial" w:hAnsi="Times New Roman" w:cs="Times New Roman"/>
          <w:sz w:val="24"/>
          <w:szCs w:val="24"/>
          <w:u w:val="single"/>
        </w:rPr>
      </w:pPr>
      <w:bookmarkStart w:id="13" w:name="_Toc87961405"/>
      <w:r>
        <w:rPr>
          <w:rFonts w:ascii="Times New Roman" w:hAnsi="Times New Roman"/>
          <w:sz w:val="24"/>
          <w:szCs w:val="24"/>
          <w:u w:val="single"/>
        </w:rPr>
        <w:lastRenderedPageBreak/>
        <w:t>1.2 Convenio de numeración</w:t>
      </w:r>
      <w:bookmarkEnd w:id="13"/>
    </w:p>
    <w:p>
      <w:pPr>
        <w:pStyle w:val="InstructionsText2"/>
        <w:numPr>
          <w:ilvl w:val="0"/>
          <w:numId w:val="0"/>
        </w:numPr>
        <w:ind w:left="360" w:hanging="360"/>
      </w:pPr>
      <w:r>
        <w:t>3.</w:t>
      </w:r>
      <w:r>
        <w:tab/>
        <w:t>El documento sigue la convención sobre designación que se detalla en los puntos 4 a 7 en lo que se refiere a las columnas, filas y celdas de las plantillas. Estos códigos numéricos se utilizan ampliamente en las normas de validación.</w:t>
      </w:r>
    </w:p>
    <w:p>
      <w:pPr>
        <w:pStyle w:val="InstructionsText2"/>
        <w:numPr>
          <w:ilvl w:val="0"/>
          <w:numId w:val="0"/>
        </w:numPr>
        <w:ind w:left="360" w:hanging="360"/>
      </w:pPr>
      <w:r>
        <w:t>4.</w:t>
      </w:r>
      <w:r>
        <w:tab/>
        <w:t>En las instrucciones se utiliza la notación general que sigue: {Plantilla; Fila; Columna}.</w:t>
      </w:r>
    </w:p>
    <w:p>
      <w:pPr>
        <w:pStyle w:val="InstructionsText2"/>
        <w:numPr>
          <w:ilvl w:val="0"/>
          <w:numId w:val="0"/>
        </w:numPr>
        <w:ind w:left="360" w:hanging="360"/>
      </w:pPr>
      <w:r>
        <w:t>5.</w:t>
      </w:r>
      <w:r>
        <w:tab/>
        <w:t>En el caso de validaciones dentro de una plantilla en la que solo se utilicen puntos de datos de esa plantilla, las notaciones no hacen referencia a la plantilla: {Fila; Columna}.</w:t>
      </w:r>
    </w:p>
    <w:p>
      <w:pPr>
        <w:pStyle w:val="InstructionsText2"/>
        <w:numPr>
          <w:ilvl w:val="0"/>
          <w:numId w:val="0"/>
        </w:numPr>
        <w:ind w:left="360" w:hanging="360"/>
      </w:pPr>
      <w:r>
        <w:t>6.</w:t>
      </w:r>
      <w:r>
        <w:tab/>
        <w:t>En el caso de plantillas con una única columna, solo se hace referencia a las filas. {Plantilla; Fila}.</w:t>
      </w:r>
    </w:p>
    <w:p>
      <w:pPr>
        <w:pStyle w:val="InstructionsText2"/>
        <w:numPr>
          <w:ilvl w:val="0"/>
          <w:numId w:val="0"/>
        </w:numPr>
        <w:ind w:left="360" w:hanging="360"/>
      </w:pPr>
      <w:r>
        <w:t>7.</w:t>
      </w:r>
      <w:r>
        <w:tab/>
        <w:t>Se utiliza un asterisco para expresar que la validación se efectúa para las filas o las columnas especificadas.</w:t>
      </w:r>
    </w:p>
    <w:p>
      <w:pPr>
        <w:keepNext/>
        <w:spacing w:before="240" w:after="240" w:line="240" w:lineRule="auto"/>
        <w:jc w:val="both"/>
        <w:outlineLvl w:val="1"/>
        <w:rPr>
          <w:rFonts w:ascii="Times New Roman" w:eastAsia="Arial" w:hAnsi="Times New Roman" w:cs="Times New Roman"/>
          <w:sz w:val="24"/>
          <w:szCs w:val="24"/>
          <w:u w:val="single"/>
        </w:rPr>
      </w:pPr>
      <w:bookmarkStart w:id="14" w:name="_Toc87961406"/>
      <w:r>
        <w:rPr>
          <w:rFonts w:ascii="Times New Roman" w:hAnsi="Times New Roman"/>
          <w:sz w:val="24"/>
          <w:szCs w:val="24"/>
          <w:u w:val="single"/>
        </w:rPr>
        <w:t>1.3 Convención de signos</w:t>
      </w:r>
      <w:bookmarkEnd w:id="14"/>
    </w:p>
    <w:p>
      <w:pPr>
        <w:pStyle w:val="InstructionsText2"/>
        <w:numPr>
          <w:ilvl w:val="0"/>
          <w:numId w:val="0"/>
        </w:numPr>
        <w:ind w:left="360" w:hanging="360"/>
      </w:pPr>
      <w:r>
        <w:t>8.</w:t>
      </w:r>
      <w:r>
        <w:tab/>
        <w:t>Todo importe que eleve los fondos propios o los requisitos de fondos propios o los requisitos de liquidez debe expresarse como cifra positiva. Por el contrario, todo importe que reduzca el total de fondos propios o los requisitos de fondos propios se expresará como cifra negativa. Cuando un signo negativo (-) preceda a la designación de un elemento, no se declarará ninguna cifra positiva para dicho elemento.</w:t>
      </w:r>
    </w:p>
    <w:p>
      <w:pPr>
        <w:pStyle w:val="Heading2"/>
        <w:rPr>
          <w:rFonts w:ascii="Times New Roman" w:hAnsi="Times New Roman"/>
        </w:rPr>
      </w:pPr>
      <w:bookmarkStart w:id="15" w:name="_Toc87961407"/>
      <w:r>
        <w:rPr>
          <w:rFonts w:ascii="Times New Roman" w:hAnsi="Times New Roman"/>
        </w:rPr>
        <w:t>PARTE II: INSTRUCCIONES RELATIVAS A LAS PLANTILLAS</w:t>
      </w:r>
      <w:bookmarkEnd w:id="7"/>
      <w:bookmarkEnd w:id="8"/>
      <w:bookmarkEnd w:id="9"/>
      <w:bookmarkEnd w:id="15"/>
    </w:p>
    <w:p>
      <w:pPr>
        <w:pStyle w:val="Instructionsberschrift2"/>
        <w:ind w:left="357" w:hanging="357"/>
        <w:rPr>
          <w:rFonts w:ascii="Times New Roman" w:hAnsi="Times New Roman" w:cs="Times New Roman"/>
          <w:b/>
          <w:sz w:val="24"/>
        </w:rPr>
      </w:pPr>
      <w:bookmarkStart w:id="16" w:name="_Toc87961408"/>
      <w:r>
        <w:rPr>
          <w:rFonts w:ascii="Times New Roman" w:hAnsi="Times New Roman"/>
          <w:b/>
          <w:sz w:val="24"/>
          <w:u w:val="none"/>
        </w:rPr>
        <w:t>1. FONDOS PROPIOS: NIVEL, COMPOSICIÓN, REQUISITOS Y CÁLCULO</w:t>
      </w:r>
      <w:bookmarkEnd w:id="16"/>
    </w:p>
    <w:p>
      <w:pPr>
        <w:pStyle w:val="Instructionsberschrift2"/>
        <w:ind w:left="357" w:hanging="357"/>
        <w:rPr>
          <w:rFonts w:ascii="Times New Roman" w:hAnsi="Times New Roman" w:cs="Times New Roman"/>
          <w:sz w:val="24"/>
        </w:rPr>
      </w:pPr>
      <w:bookmarkStart w:id="17" w:name="_Toc87961409"/>
      <w:r>
        <w:rPr>
          <w:rFonts w:ascii="Times New Roman" w:hAnsi="Times New Roman"/>
          <w:sz w:val="24"/>
          <w:u w:val="none"/>
        </w:rPr>
        <w:t xml:space="preserve">1.1 </w:t>
      </w:r>
      <w:r>
        <w:rPr>
          <w:rFonts w:ascii="Times New Roman" w:hAnsi="Times New Roman"/>
          <w:sz w:val="24"/>
        </w:rPr>
        <w:t>Observaciones generales</w:t>
      </w:r>
      <w:bookmarkEnd w:id="17"/>
    </w:p>
    <w:p>
      <w:pPr>
        <w:spacing w:line="256" w:lineRule="auto"/>
        <w:ind w:left="993" w:hanging="567"/>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La sección general de los fondos propios contiene información sobre los fondos propios que posee una empresa de servicios de inversión y sus requisitos de fondos propios. Consta de dos plantillas: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ab/>
      </w:r>
      <w:r>
        <w:rPr>
          <w:rFonts w:ascii="Times New Roman" w:hAnsi="Times New Roman"/>
          <w:sz w:val="24"/>
        </w:rPr>
        <w:t>La plantilla I 11.01 contiene la composición de los fondos propios que posee una empresa de servicios de inversión: capital de nivel 1 ordinario (CET1), capital de nivel 1 adicional (AT1) y capital de nivel 2 (T2).</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ab/>
      </w:r>
      <w:r>
        <w:rPr>
          <w:rFonts w:ascii="Times New Roman" w:hAnsi="Times New Roman"/>
          <w:sz w:val="24"/>
        </w:rPr>
        <w:t>La plantilla I 11.02 contiene información sobre los «requisitos de fondos propios» en el contexto de la prueba de capital del grupo, es decir, las participaciones intragrupo, los pasivos contingentes y los requisitos de fondos propios totales de las filiales.</w:t>
      </w:r>
    </w:p>
    <w:p>
      <w:pPr>
        <w:spacing w:line="256" w:lineRule="auto"/>
        <w:ind w:left="1728" w:hanging="648"/>
        <w:jc w:val="both"/>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ab/>
      </w:r>
      <w:r>
        <w:rPr>
          <w:rFonts w:ascii="Times New Roman" w:hAnsi="Times New Roman"/>
          <w:sz w:val="24"/>
        </w:rPr>
        <w:t>La plantilla I 11.03 contiene la información pertinente sobre los requisitos de capital, los pasivos contingentes, los créditos subordinados y las participaciones de entes del sector financiero a nivel de filial, desglosada ente por ente.</w:t>
      </w:r>
    </w:p>
    <w:p>
      <w:pPr>
        <w:spacing w:line="256" w:lineRule="auto"/>
        <w:ind w:left="993" w:hanging="567"/>
        <w:jc w:val="both"/>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ab/>
      </w:r>
      <w:r>
        <w:rPr>
          <w:rFonts w:ascii="Times New Roman" w:hAnsi="Times New Roman"/>
          <w:sz w:val="24"/>
        </w:rPr>
        <w:t>Las partidas en estas plantillas se consignan generalmente sin considerar los ajustes transitorios. Esto significa que las cifras (salvo cuando se indique específicamente el requisito transitorio de fondos propios) se calculan de conformidad a las disposiciones finales (es decir, como si no hubiera disposiciones transitorias).</w:t>
      </w:r>
    </w:p>
    <w:p>
      <w:pPr>
        <w:pStyle w:val="Instructionsberschrift2"/>
        <w:ind w:left="357" w:hanging="357"/>
        <w:rPr>
          <w:rFonts w:ascii="Times New Roman" w:hAnsi="Times New Roman" w:cs="Times New Roman"/>
          <w:sz w:val="24"/>
        </w:rPr>
      </w:pPr>
      <w:bookmarkStart w:id="18" w:name="_Toc87961410"/>
      <w:r>
        <w:rPr>
          <w:rFonts w:ascii="Times New Roman" w:hAnsi="Times New Roman"/>
          <w:sz w:val="24"/>
        </w:rPr>
        <w:t>1.2. I 11.01 — COMPOSICIÓN DE LOS FONDOS PROPIOS — PRUEBA DE CAPITAL DEL GRUPO (I11.1)</w:t>
      </w:r>
      <w:bookmarkEnd w:id="18"/>
    </w:p>
    <w:p>
      <w:pPr>
        <w:pStyle w:val="Instructionsberschrift2"/>
        <w:ind w:left="357" w:hanging="357"/>
        <w:rPr>
          <w:rFonts w:ascii="Times New Roman" w:hAnsi="Times New Roman" w:cs="Times New Roman"/>
          <w:sz w:val="24"/>
        </w:rPr>
      </w:pPr>
      <w:bookmarkStart w:id="19" w:name="_Toc87961411"/>
      <w:r>
        <w:rPr>
          <w:rFonts w:ascii="Times New Roman" w:hAnsi="Times New Roman"/>
          <w:sz w:val="24"/>
          <w:u w:val="none"/>
        </w:rPr>
        <w:t>1.2.1.</w:t>
      </w:r>
      <w:r>
        <w:rPr>
          <w:rFonts w:ascii="Times New Roman" w:hAnsi="Times New Roman"/>
          <w:sz w:val="24"/>
          <w:u w:val="none"/>
        </w:rPr>
        <w:tab/>
      </w:r>
      <w:r>
        <w:rPr>
          <w:rFonts w:ascii="Times New Roman" w:hAnsi="Times New Roman"/>
          <w:sz w:val="24"/>
        </w:rPr>
        <w:t>Instrucciones relativas a posiciones concretas</w:t>
      </w:r>
      <w:bookmarkEnd w:id="1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Los fondos propios de una empresa de servicios de inversión serán iguales a la suma de su capital de nivel 1 y su capital de nivel 2.</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capital de nivel 1 es igual a la suma del capital de nivel 1 ordinario y el capital de nivel 1 adicional.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Style w:val="InstructionsTabelleberschrift"/>
                <w:rFonts w:ascii="Times New Roman" w:hAnsi="Times New Roman"/>
                <w:sz w:val="22"/>
              </w:rPr>
              <w:t>CAPITAL DE NIVEL 1 ORDINARIO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Fonts w:ascii="Times New Roman" w:eastAsia="Times New Roman" w:hAnsi="Times New Roman" w:cs="Times New Roman"/>
                <w:bCs/>
              </w:rPr>
            </w:pPr>
            <w:r>
              <w:rPr>
                <w:rStyle w:val="FormatvorlageInstructionsTabelleText"/>
                <w:rFonts w:ascii="Times New Roman" w:hAnsi="Times New Roman"/>
                <w:sz w:val="22"/>
              </w:rPr>
              <w:t>Artículo 50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26, apartado 1, letra a), y artículos 27 a 31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Comprenderá los instrumentos de capital de sociedades mutuas, sociedades cooperativas o entidades similares [artículos 27 y 29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No incluirá la prima de emisión conexa a los instrumentos.</w:t>
            </w:r>
          </w:p>
          <w:p>
            <w:pPr>
              <w:pStyle w:val="InstructionsText"/>
              <w:rPr>
                <w:sz w:val="22"/>
                <w:szCs w:val="22"/>
              </w:rPr>
            </w:pPr>
            <w:r>
              <w:rPr>
                <w:rStyle w:val="FormatvorlageInstructionsTabelleText"/>
                <w:rFonts w:ascii="Times New Roman" w:hAnsi="Times New Roman"/>
                <w:sz w:val="22"/>
                <w:szCs w:val="22"/>
              </w:rPr>
              <w:t>Incluirá los instrumentos de capital suscritos por autoridades públicas en situaciones de urgencia, siempre que se cumplan todas las condiciones previstas en el artículo 31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26, apartado 1, letra b),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consignarse en esta partida será la parte relacionada con los «Instrumentos de capital desembolsados».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Ganancias acumuladas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26, apartado 1, letra c),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Comprenden las ganancias acumuladas del ejercicio anterior, y los beneficios provisionales o de cierre de ejercicio admisibles.</w:t>
            </w:r>
          </w:p>
          <w:p>
            <w:pPr>
              <w:spacing w:after="120" w:line="240" w:lineRule="auto"/>
              <w:jc w:val="both"/>
              <w:rPr>
                <w:rFonts w:ascii="Times New Roman" w:eastAsia="Times New Roman" w:hAnsi="Times New Roman" w:cs="Times New Roman"/>
                <w:b/>
                <w:bCs/>
                <w:u w:val="single"/>
              </w:rPr>
            </w:pPr>
            <w:r>
              <w:rPr>
                <w:rFonts w:ascii="Times New Roman" w:hAnsi="Times New Roman"/>
                <w:bCs/>
              </w:rPr>
              <w:t>Se comunicará la suma de las filas 0070 y 0080.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Ganancias acumuladas de ejercicios anteriores</w:t>
            </w:r>
          </w:p>
          <w:p>
            <w:pPr>
              <w:spacing w:after="120" w:line="240" w:lineRule="auto"/>
              <w:jc w:val="both"/>
              <w:rPr>
                <w:rFonts w:ascii="Times New Roman" w:eastAsia="Times New Roman" w:hAnsi="Times New Roman" w:cs="Times New Roman"/>
                <w:bCs/>
              </w:rPr>
            </w:pPr>
            <w:r>
              <w:rPr>
                <w:rFonts w:ascii="Times New Roman" w:hAnsi="Times New Roman"/>
                <w:bCs/>
              </w:rPr>
              <w:t>Artículo 4, apartado 1, punto 123, y artículo 26, apartado 1, letra c), del Reglamento (UE) n.</w:t>
            </w:r>
            <w:r>
              <w:rPr>
                <w:rFonts w:ascii="Times New Roman" w:hAnsi="Times New Roman"/>
                <w:bCs/>
                <w:vertAlign w:val="superscript"/>
              </w:rPr>
              <w:t>o</w:t>
            </w:r>
            <w:r>
              <w:rPr>
                <w:rFonts w:ascii="Times New Roman" w:hAnsi="Times New Roman"/>
                <w:bCs/>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En el artículo 4, apartado 1, punto 123, del Reglamento (UE) n.</w:t>
            </w:r>
            <w:r>
              <w:rPr>
                <w:rFonts w:ascii="Times New Roman" w:hAnsi="Times New Roman"/>
                <w:bCs/>
                <w:vertAlign w:val="superscript"/>
              </w:rPr>
              <w:t>o</w:t>
            </w:r>
            <w:r>
              <w:rPr>
                <w:rFonts w:ascii="Times New Roman" w:hAnsi="Times New Roman"/>
                <w:bCs/>
              </w:rPr>
              <w:t> 575/2013 se definen las ganancias acumuladas como los «resultados transferidos a ejercicios posteriores como consecuencia de la aplicación final de las pérdidas o ganancias con arreglo al marco contable aplicable».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Beneficios admisibles</w:t>
            </w:r>
          </w:p>
          <w:p>
            <w:pPr>
              <w:spacing w:after="120" w:line="240" w:lineRule="auto"/>
              <w:jc w:val="both"/>
              <w:rPr>
                <w:rFonts w:ascii="Times New Roman" w:eastAsia="Times New Roman" w:hAnsi="Times New Roman" w:cs="Times New Roman"/>
              </w:rPr>
            </w:pPr>
            <w:r>
              <w:rPr>
                <w:rFonts w:ascii="Times New Roman" w:hAnsi="Times New Roman"/>
              </w:rPr>
              <w:t>Artículo 4, apartado 1, punto 121, artículo 26, apartado 2, y artículo 36, apartado 1, letra a), del Reglamento (UE) n.</w:t>
            </w:r>
            <w:r>
              <w:rPr>
                <w:rFonts w:ascii="Times New Roman" w:hAnsi="Times New Roman"/>
                <w:vertAlign w:val="superscript"/>
              </w:rPr>
              <w:t>o</w:t>
            </w:r>
            <w:r>
              <w:rPr>
                <w:rFonts w:ascii="Times New Roman" w:hAnsi="Times New Roman"/>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rPr>
              <w:t>El artículo 26, apartado 2, del Reglamento (UE) n.</w:t>
            </w:r>
            <w:r>
              <w:rPr>
                <w:rFonts w:ascii="Times New Roman" w:hAnsi="Times New Roman"/>
                <w:vertAlign w:val="superscript"/>
              </w:rPr>
              <w:t>o</w:t>
            </w:r>
            <w:r>
              <w:rPr>
                <w:rFonts w:ascii="Times New Roman" w:hAnsi="Times New Roman"/>
              </w:rPr>
              <w:t xml:space="preserve"> 575/2013 permite la inclusión como ganancias acumuladas de los beneficios provisionales o de cierre de ejercicio, con el consentimiento previo de las autoridades competentes, si se cumplen ciertas condiciones. </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Otro resultado global acumulado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hAnsi="Times New Roman" w:cs="Times New Roman"/>
                <w:bCs/>
              </w:rPr>
            </w:pPr>
            <w:r>
              <w:rPr>
                <w:rStyle w:val="FormatvorlageInstructionsTabelleText"/>
                <w:rFonts w:ascii="Times New Roman" w:hAnsi="Times New Roman"/>
                <w:sz w:val="22"/>
              </w:rPr>
              <w:t>Artículo 26, apartado 1, letra d),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Otras reservas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4, apartado 1, punto 117, y artículo 26, apartado 1, letra e),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Del importe que se comunique se deducirá todo impuesto previsible en el momento en que se calcule.</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Ajustes del capital de nivel 1 ordinario debidos a filtros prudenciales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Artículos 32 a 35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Otros fondos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9, apartado 4,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0145</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EN EL CAPITAL ORDINARIO DE NIVEL 1</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2, letra a), del Reglamento (UE) 2019/2033 y artículo 36, apartado 1, del Reglamento (UE) n.</w:t>
            </w:r>
            <w:r>
              <w:rPr>
                <w:rFonts w:ascii="Times New Roman" w:hAnsi="Times New Roman"/>
                <w:bCs/>
                <w:vertAlign w:val="superscript"/>
              </w:rPr>
              <w:t>o</w:t>
            </w:r>
            <w:r>
              <w:rPr>
                <w:rFonts w:ascii="Times New Roman" w:hAnsi="Times New Roman"/>
                <w:bCs/>
              </w:rPr>
              <w:t> 575/2013, con excepción del inciso i) de dicho apartado.</w:t>
            </w:r>
          </w:p>
          <w:p>
            <w:pPr>
              <w:spacing w:after="120" w:line="240" w:lineRule="auto"/>
              <w:jc w:val="both"/>
              <w:rPr>
                <w:rFonts w:ascii="Times New Roman" w:eastAsia="Times New Roman" w:hAnsi="Times New Roman" w:cs="Times New Roman"/>
                <w:bCs/>
              </w:rPr>
            </w:pPr>
            <w:r>
              <w:rPr>
                <w:rFonts w:ascii="Times New Roman" w:hAnsi="Times New Roman"/>
                <w:bCs/>
              </w:rPr>
              <w:t>Se comunicará la suma de las filas 0150 y 0190-0280.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shd w:val="clear" w:color="auto" w:fill="auto"/>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propios de capital de nivel 1 ordinario</w:t>
            </w:r>
          </w:p>
          <w:p>
            <w:pPr>
              <w:rPr>
                <w:rFonts w:cs="Times New Roman"/>
              </w:rPr>
            </w:pPr>
            <w:r>
              <w:rPr>
                <w:rFonts w:ascii="Times New Roman" w:hAnsi="Times New Roman"/>
                <w:bCs/>
              </w:rPr>
              <w:t>Artículo 9, apartado 1, inciso i), del Reglamento (UE) 2019/2033.</w:t>
            </w:r>
          </w:p>
          <w:p>
            <w:pPr>
              <w:rPr>
                <w:rStyle w:val="FormatvorlageInstructionsTabelleText"/>
                <w:rFonts w:ascii="Times New Roman" w:hAnsi="Times New Roman"/>
                <w:bCs w:val="0"/>
                <w:sz w:val="22"/>
              </w:rPr>
            </w:pPr>
            <w:r>
              <w:rPr>
                <w:rStyle w:val="FormatvorlageInstructionsTabelleText"/>
                <w:rFonts w:ascii="Times New Roman" w:hAnsi="Times New Roman"/>
                <w:sz w:val="22"/>
              </w:rPr>
              <w:t>Artículo 36, apartado 1, letra f), y artículo 42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Capital de nivel 1 ordinario propio en manos de la entidad o el grupo declarantes en la fecha de información. Sin perjuicio de las excepciones previstas en el artículo 42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Las tenencias de acciones incluidas como «Instrumentos de capital no admisibles» no se consignarán en esta fila.</w:t>
            </w:r>
          </w:p>
          <w:p>
            <w:pPr>
              <w:pStyle w:val="InstructionsText"/>
              <w:rPr>
                <w:sz w:val="22"/>
                <w:szCs w:val="22"/>
              </w:rPr>
            </w:pPr>
            <w:r>
              <w:rPr>
                <w:rStyle w:val="FormatvorlageInstructionsTabelleText"/>
                <w:rFonts w:ascii="Times New Roman" w:hAnsi="Times New Roman"/>
                <w:sz w:val="22"/>
                <w:szCs w:val="22"/>
              </w:rPr>
              <w:t>El importe que debe comunicarse incluirá la prima de emisión relacionada con las acciones propias.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Pérdidas del ejercicio en curso</w:t>
            </w:r>
          </w:p>
          <w:p>
            <w:pPr>
              <w:spacing w:after="120" w:line="240" w:lineRule="auto"/>
              <w:jc w:val="both"/>
              <w:rPr>
                <w:rFonts w:ascii="Times New Roman" w:eastAsia="Times New Roman" w:hAnsi="Times New Roman" w:cs="Times New Roman"/>
                <w:b/>
                <w:bCs/>
                <w:u w:val="single"/>
              </w:rPr>
            </w:pPr>
            <w:r>
              <w:rPr>
                <w:rFonts w:ascii="Times New Roman" w:hAnsi="Times New Roman"/>
              </w:rPr>
              <w:t>Artículo 36, apartado 1, letra a), del Reglamento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Fondo de comercio</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Artículo 4, apartado 1, punto 113, artículo 36, apartado 1, letra b), y artículo 37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Otros activos intangibles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Artículo 4, apartado 1, punto 115, artículo 36, apartado 1, letra b), y artículo 37, letra a),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Otros activos intangibles comprenden los activos intangibles con arreglo al marco contable aplicable, menos el fondo de comercio, también conforme a dicho marco.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Activos por impuestos diferidos que dependan de rendimientos futuros y no se deriven de diferencias temporales, netos de los pasivos por impuestos conexos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36, apartado 1, letra c),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Participación cualificada fuera del sector financiero cuyo importe exceda del 15 % de los fondos propios</w:t>
            </w:r>
          </w:p>
          <w:p>
            <w:pPr>
              <w:spacing w:after="120" w:line="240" w:lineRule="auto"/>
              <w:jc w:val="both"/>
              <w:rPr>
                <w:rFonts w:ascii="Times New Roman" w:eastAsia="Times New Roman" w:hAnsi="Times New Roman" w:cs="Times New Roman"/>
                <w:bCs/>
              </w:rPr>
            </w:pPr>
            <w:r>
              <w:rPr>
                <w:rFonts w:ascii="Times New Roman" w:hAnsi="Times New Roman"/>
                <w:bCs/>
              </w:rPr>
              <w:t>Artículo 10, apartado 1, letra a),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Participación cualificada total en empresas distintas de entes del sector financiero que supere el 60 % de sus fondos propios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10, apartado 1, letra b), del Reglamento (UE) 2019/2033.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1 ordinario de entes del sector financiero en los que la matriz no tiene una inversión significativa</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36, apartado 1, letra h), del Reglamento (UE) n.</w:t>
            </w:r>
            <w:r>
              <w:rPr>
                <w:rFonts w:ascii="Times New Roman" w:hAnsi="Times New Roman"/>
                <w:bCs/>
                <w:vertAlign w:val="superscript"/>
              </w:rPr>
              <w:t>o</w:t>
            </w:r>
            <w:r>
              <w:rPr>
                <w:rFonts w:ascii="Times New Roman" w:hAnsi="Times New Roman"/>
                <w:bCs/>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«Matriz de la Unión» en esta fila significa empresas de servicios de inversión matrices de la Unión, sociedades de cartera de inversión matrices de la Unión, sociedades financieras mixtas de cartera matrices de la Unión o cualquier otra empresa matriz que sea una empresa de servicios de inversión, una entidad financiera, una empresa de servicios auxiliares o un agente vinculado.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Activos de fondos de pensiones de prestaciones definidas</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b),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36, apartado 1, letra e),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Otras deducciones</w:t>
            </w:r>
          </w:p>
          <w:p>
            <w:pPr>
              <w:spacing w:after="120" w:line="240" w:lineRule="auto"/>
              <w:jc w:val="both"/>
              <w:rPr>
                <w:rFonts w:ascii="Times New Roman" w:eastAsia="Times New Roman" w:hAnsi="Times New Roman" w:cs="Times New Roman"/>
                <w:b/>
                <w:bCs/>
                <w:u w:val="single"/>
              </w:rPr>
            </w:pPr>
            <w:r>
              <w:rPr>
                <w:rFonts w:ascii="Times New Roman" w:hAnsi="Times New Roman"/>
              </w:rPr>
              <w:t>La suma de todas las demás deducciones de conformidad con el artículo 36, apartado 1, del Reglamento (UE) n.</w:t>
            </w:r>
            <w:r>
              <w:rPr>
                <w:rFonts w:ascii="Times New Roman" w:hAnsi="Times New Roman"/>
                <w:vertAlign w:val="superscript"/>
              </w:rPr>
              <w:t>o</w:t>
            </w:r>
            <w:r>
              <w:rPr>
                <w:rFonts w:ascii="Times New Roman" w:hAnsi="Times New Roman"/>
              </w:rPr>
              <w:t> 575/2013, con excepción de las deducciones de conformidad con el artículo 36, apartado 1, inciso i), del Reglamento (UE) n.</w:t>
            </w:r>
            <w:r>
              <w:rPr>
                <w:rFonts w:ascii="Times New Roman" w:hAnsi="Times New Roman"/>
                <w:vertAlign w:val="superscript"/>
              </w:rPr>
              <w:t>o</w:t>
            </w:r>
            <w:r>
              <w:rPr>
                <w:rFonts w:ascii="Times New Roman" w:hAnsi="Times New Roman"/>
              </w:rPr>
              <w:t> 575/2013, que no estén incluidas en ninguna de las filas 0150 a 0270 anteriores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ORDINARIO: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instrumentos de capital de nivel 1 ordinario en régimen de anterioridad [artículo 483, apartados 1, 2 y 3, y artículos 484 a 487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ajustes transitorios del capital de nivel 1 ordinario [artículos 469 a 478 y 481 del Reglamento (UE) n.</w:t>
            </w:r>
            <w:r>
              <w:rPr>
                <w:rFonts w:ascii="Times New Roman" w:hAnsi="Times New Roman"/>
                <w:bCs/>
                <w:vertAlign w:val="superscript"/>
              </w:rPr>
              <w:t>o</w:t>
            </w:r>
            <w:r>
              <w:rPr>
                <w:rFonts w:ascii="Times New Roman" w:hAnsi="Times New Roman"/>
                <w:bCs/>
              </w:rPr>
              <w:t> 575/2013]: ajustes de las deducciones del CET1 debidos a disposiciones transitorias.</w:t>
            </w:r>
          </w:p>
          <w:p>
            <w:pPr>
              <w:spacing w:after="120" w:line="240" w:lineRule="auto"/>
              <w:ind w:left="360" w:hanging="360"/>
              <w:jc w:val="both"/>
              <w:rPr>
                <w:rFonts w:ascii="Times New Roman" w:eastAsia="Times New Roman" w:hAnsi="Times New Roman" w:cs="Times New Roman"/>
                <w:b/>
                <w:bCs/>
                <w:u w:val="single"/>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1 ordinario de un elemento de capital de nivel 1 ordinario que no puedan asignarse a una de las filas 0040 a 0280.</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rPr>
              <w:t>Artículo 61 del Reglamento (UE) n.</w:t>
            </w:r>
            <w:r>
              <w:rPr>
                <w:rFonts w:ascii="Times New Roman" w:hAnsi="Times New Roman"/>
                <w:vertAlign w:val="superscript"/>
              </w:rPr>
              <w:t>o</w:t>
            </w:r>
            <w:r>
              <w:rPr>
                <w:rFonts w:ascii="Times New Roman" w:hAnsi="Times New Roman"/>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 y emitidos directamente</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51, letra a), y artículos 52, 53 y 54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comunicarse no incluirá la prima de emisión relacionada con los instrumentos.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51, letra b),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consignarse en esta partida será la parte relacionada con los «Instrumentos de capital desembolsados».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DEL CAPITAL DE NIVEL 1 ADICIONAL</w:t>
            </w:r>
          </w:p>
          <w:p>
            <w:pPr>
              <w:spacing w:before="60" w:after="60"/>
              <w:rPr>
                <w:rFonts w:ascii="Times New Roman" w:hAnsi="Times New Roman" w:cs="Times New Roman"/>
              </w:rPr>
            </w:pPr>
            <w:r>
              <w:rPr>
                <w:rFonts w:ascii="Times New Roman" w:hAnsi="Times New Roman"/>
              </w:rPr>
              <w:t>Artículo 56 del Reglamento (UE) n.</w:t>
            </w:r>
            <w:r>
              <w:rPr>
                <w:rFonts w:ascii="Times New Roman" w:hAnsi="Times New Roman"/>
                <w:vertAlign w:val="superscript"/>
              </w:rPr>
              <w:t>o</w:t>
            </w:r>
            <w:r>
              <w:rPr>
                <w:rFonts w:ascii="Times New Roman" w:hAnsi="Times New Roman"/>
              </w:rPr>
              <w:t> 575/2013, con excepción de su letra d).</w:t>
            </w:r>
          </w:p>
          <w:p>
            <w:pPr>
              <w:spacing w:after="120" w:line="240" w:lineRule="auto"/>
              <w:jc w:val="both"/>
              <w:rPr>
                <w:rFonts w:ascii="Times New Roman" w:eastAsia="Times New Roman" w:hAnsi="Times New Roman" w:cs="Times New Roman"/>
                <w:bCs/>
              </w:rPr>
            </w:pPr>
            <w:r>
              <w:rPr>
                <w:rFonts w:ascii="Times New Roman" w:hAnsi="Times New Roman"/>
                <w:bCs/>
              </w:rPr>
              <w:t>Se divulgará la suma total de las filas 0340, 0380 y 0400.</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propios de 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52, apartado 1, letra b), artículo 56, letra a), y artículo 57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Instrumentos propios de capital de nivel 1 adicional en manos de la empresa de servicios de inversión en la fecha de información. Sin perjuicio de las excepciones previstas en el artículo 57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sz w:val="22"/>
                <w:szCs w:val="22"/>
              </w:rPr>
            </w:pPr>
            <w:r>
              <w:rPr>
                <w:rStyle w:val="FormatvorlageInstructionsTabelleText"/>
                <w:rFonts w:ascii="Times New Roman" w:hAnsi="Times New Roman"/>
                <w:sz w:val="22"/>
                <w:szCs w:val="22"/>
              </w:rPr>
              <w:t>El importe que debe comunicarse incluirá la prima de emisión relacionada con las acciones propias.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1 adicional de entes del sector financiero en los que la matriz no tiene una inversión significativa</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56, letra c), del Reglamento (UE) n.</w:t>
            </w:r>
            <w:r>
              <w:rPr>
                <w:rFonts w:ascii="Times New Roman" w:hAnsi="Times New Roman"/>
                <w:bCs/>
                <w:vertAlign w:val="superscript"/>
              </w:rPr>
              <w:t>o</w:t>
            </w:r>
            <w:r>
              <w:rPr>
                <w:rFonts w:ascii="Times New Roman" w:hAnsi="Times New Roman"/>
                <w:bCs/>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«Matriz de la Unión» en esta fila significa empresas de servicios de inversión matrices de la Unión, sociedades de cartera de inversión matrices de la Unión, sociedades financieras mixtas de cartera matrices de la Unión o cualquier otra empresa matriz que sea una empresa de servicios de inversión, una entidad financiera, una empresa de servicios auxiliares o un agente vinculado.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Otras deducciones</w:t>
            </w:r>
          </w:p>
          <w:p>
            <w:pPr>
              <w:spacing w:after="120" w:line="240" w:lineRule="auto"/>
              <w:jc w:val="both"/>
              <w:rPr>
                <w:rFonts w:ascii="Times New Roman" w:eastAsia="Times New Roman" w:hAnsi="Times New Roman" w:cs="Times New Roman"/>
                <w:b/>
                <w:bCs/>
                <w:u w:val="single"/>
              </w:rPr>
            </w:pPr>
            <w:r>
              <w:rPr>
                <w:rFonts w:ascii="Times New Roman" w:hAnsi="Times New Roman"/>
                <w:bCs/>
              </w:rPr>
              <w:t>La suma de todas las demás deducciones de conformidad con el artículo 56 del Reglamento (UE) n.</w:t>
            </w:r>
            <w:r>
              <w:rPr>
                <w:rFonts w:ascii="Times New Roman" w:hAnsi="Times New Roman"/>
                <w:bCs/>
                <w:vertAlign w:val="superscript"/>
              </w:rPr>
              <w:t>o</w:t>
            </w:r>
            <w:r>
              <w:rPr>
                <w:rFonts w:ascii="Times New Roman" w:hAnsi="Times New Roman"/>
                <w:bCs/>
              </w:rPr>
              <w:t> 575/2013, con excepción de las deducciones de conformidad con el artículo 56, letra d), del Reglamento (UE) n.</w:t>
            </w:r>
            <w:r>
              <w:rPr>
                <w:rFonts w:ascii="Times New Roman" w:hAnsi="Times New Roman"/>
                <w:bCs/>
                <w:vertAlign w:val="superscript"/>
              </w:rPr>
              <w:t>o</w:t>
            </w:r>
            <w:r>
              <w:rPr>
                <w:rFonts w:ascii="Times New Roman" w:hAnsi="Times New Roman"/>
                <w:bCs/>
              </w:rPr>
              <w:t> 575/2013, que no estén incluidas en ninguna de las filas 0340 a 0380 anteriores.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1 adicional: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instrumentos de capital de nivel 1 adicional en virtud de disposiciones de anterioridad [artículo 483, apartados 4 y 5, artículos 484 a 487, y artículos 489 y 491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Otros ajustes transitorios del capital de nivel 1 adicional [artículos 472, 473 </w:t>
            </w:r>
            <w:r>
              <w:rPr>
                <w:rFonts w:ascii="Times New Roman" w:hAnsi="Times New Roman"/>
                <w:bCs/>
                <w:i/>
                <w:iCs/>
              </w:rPr>
              <w:t>bis</w:t>
            </w:r>
            <w:r>
              <w:rPr>
                <w:rFonts w:ascii="Times New Roman" w:hAnsi="Times New Roman"/>
                <w:bCs/>
              </w:rPr>
              <w:t>, 474, 475, 478 y 481 del Reglamento (UE) n.</w:t>
            </w:r>
            <w:r>
              <w:rPr>
                <w:rFonts w:ascii="Times New Roman" w:hAnsi="Times New Roman"/>
                <w:bCs/>
                <w:vertAlign w:val="superscript"/>
              </w:rPr>
              <w:t>o</w:t>
            </w:r>
            <w:r>
              <w:rPr>
                <w:rFonts w:ascii="Times New Roman" w:hAnsi="Times New Roman"/>
                <w:bCs/>
              </w:rPr>
              <w:t> 575/2013]: ajustes de las deducciones debidos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Exceso de deducción en los elementos de nivel 1 adicional sobre el capital de nivel 1 adicional, deducción del capital de nivel 1 ordinario de conformidad con el artículo 36, apartado 1, letra j), del Reglamento (UE) n.</w:t>
            </w:r>
            <w:r>
              <w:rPr>
                <w:rFonts w:ascii="Times New Roman" w:hAnsi="Times New Roman"/>
                <w:bCs/>
                <w:vertAlign w:val="superscript"/>
              </w:rPr>
              <w:t>o</w:t>
            </w:r>
            <w:r>
              <w:rPr>
                <w:rFonts w:ascii="Times New Roman" w:hAnsi="Times New Roman"/>
                <w:bCs/>
              </w:rPr>
              <w:t> 575/2013: El capital de nivel 1 adicional no puede ser negativo, pero es posible que las deducciones en los elementos de nivel 1 adicional excedan del importe de los elementos de nivel 1 adicional. Cuando esto ocurre, esta partida representa el importe necesario para aumentar a cero el importe consignado en la fila 0300 y es igual a la inversa del exceso de deducciones de los elementos de nivel 1 adicional sobre el capital de nivel 1 adicional incluido, entre otras deducciones, en la fila 0280.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1 adicional de a elemento de nivel 1 adicional que no puedan asignarse a una de las filas 0310 a 0400.</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DE NIVEL 2</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del Reglamento (UE) 2019/2033.</w:t>
            </w:r>
          </w:p>
          <w:p>
            <w:pPr>
              <w:spacing w:after="120" w:line="240" w:lineRule="auto"/>
              <w:jc w:val="both"/>
              <w:rPr>
                <w:rStyle w:val="FormatvorlageInstructionsTabelleText"/>
                <w:rFonts w:ascii="Times New Roman" w:hAnsi="Times New Roman"/>
                <w:sz w:val="22"/>
              </w:rPr>
            </w:pPr>
            <w:r>
              <w:rPr>
                <w:rStyle w:val="FormatvorlageInstructionsTabelleText"/>
                <w:rFonts w:ascii="Times New Roman" w:hAnsi="Times New Roman"/>
                <w:sz w:val="22"/>
              </w:rPr>
              <w:t>Artículo 71 del Reglamento (UE) n.</w:t>
            </w:r>
            <w:r>
              <w:rPr>
                <w:rStyle w:val="FormatvorlageInstructionsTabelleText"/>
                <w:rFonts w:ascii="Times New Roman" w:hAnsi="Times New Roman"/>
                <w:sz w:val="22"/>
                <w:vertAlign w:val="superscript"/>
              </w:rPr>
              <w:t>o</w:t>
            </w:r>
            <w:r>
              <w:rPr>
                <w:rStyle w:val="FormatvorlageInstructionsTabelleText"/>
                <w:rFonts w:ascii="Times New Roman" w:hAnsi="Times New Roman"/>
                <w:sz w:val="22"/>
              </w:rPr>
              <w:t> 575/2013.</w:t>
            </w:r>
          </w:p>
          <w:p>
            <w:pPr>
              <w:pStyle w:val="CommentText"/>
              <w:rPr>
                <w:sz w:val="22"/>
                <w:szCs w:val="22"/>
              </w:rPr>
            </w:pPr>
            <w:r>
              <w:rPr>
                <w:rFonts w:ascii="Times New Roman" w:hAnsi="Times New Roman"/>
                <w:bCs/>
                <w:sz w:val="22"/>
                <w:szCs w:val="22"/>
              </w:rPr>
              <w:t>Se divulgará la suma total de las filas 0430 a 0455 y 0525.</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completamente desembolsados y emitidos directamente</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eastAsiaTheme="minorHAnsi" w:hAnsi="Times New Roman"/>
                <w:bCs/>
                <w:sz w:val="22"/>
                <w:szCs w:val="22"/>
              </w:rPr>
            </w:pPr>
            <w:r>
              <w:rPr>
                <w:rStyle w:val="FormatvorlageInstructionsTabelleText"/>
                <w:rFonts w:ascii="Times New Roman" w:hAnsi="Times New Roman"/>
                <w:sz w:val="22"/>
                <w:szCs w:val="22"/>
              </w:rPr>
              <w:t>Artículo 62, letra a), y artículos 63 y 65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spacing w:after="120" w:line="240" w:lineRule="auto"/>
              <w:jc w:val="both"/>
              <w:rPr>
                <w:rFonts w:ascii="Times New Roman" w:eastAsia="Times New Roman" w:hAnsi="Times New Roman" w:cs="Times New Roman"/>
                <w:b/>
                <w:bCs/>
                <w:u w:val="single"/>
              </w:rPr>
            </w:pPr>
            <w:r>
              <w:rPr>
                <w:rStyle w:val="FormatvorlageInstructionsTabelleText"/>
                <w:rFonts w:ascii="Times New Roman" w:hAnsi="Times New Roman"/>
                <w:sz w:val="22"/>
              </w:rPr>
              <w:t>El importe que debe comunicarse no incluirá la prima de emisión relacionada con los instrumentos.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Prima de emisión</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62, letra b), y artículo 65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«Prima de emisión» tendrá el significado atribuido en el marco contable aplicable.</w:t>
            </w:r>
          </w:p>
          <w:p>
            <w:pPr>
              <w:pStyle w:val="InstructionsText"/>
              <w:rPr>
                <w:sz w:val="22"/>
                <w:szCs w:val="22"/>
              </w:rPr>
            </w:pPr>
            <w:r>
              <w:rPr>
                <w:rStyle w:val="FormatvorlageInstructionsTabelleText"/>
                <w:rFonts w:ascii="Times New Roman" w:hAnsi="Times New Roman"/>
                <w:sz w:val="22"/>
                <w:szCs w:val="22"/>
              </w:rPr>
              <w:t>El importe que debe consignarse en esta partida será la parte relacionada con los «Instrumentos de capital desembolsados».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TOTAL DE DEDUCCIONES DEL CAPITAL DE NIVEL 2</w:t>
            </w:r>
          </w:p>
          <w:p>
            <w:pPr>
              <w:spacing w:after="120" w:line="240" w:lineRule="auto"/>
              <w:jc w:val="both"/>
              <w:rPr>
                <w:rFonts w:ascii="Times New Roman" w:eastAsia="Times New Roman" w:hAnsi="Times New Roman" w:cs="Times New Roman"/>
                <w:bCs/>
              </w:rPr>
            </w:pPr>
            <w:r>
              <w:rPr>
                <w:rFonts w:ascii="Times New Roman" w:hAnsi="Times New Roman"/>
              </w:rPr>
              <w:t>Artículo 66 del Reglamento (UE) n.</w:t>
            </w:r>
            <w:r>
              <w:rPr>
                <w:rFonts w:ascii="Times New Roman" w:hAnsi="Times New Roman"/>
                <w:vertAlign w:val="superscript"/>
              </w:rPr>
              <w:t>o</w:t>
            </w:r>
            <w:r>
              <w:rPr>
                <w:rFonts w:ascii="Times New Roman" w:hAnsi="Times New Roman"/>
              </w:rPr>
              <w:t> 575/2013, con excepción de su letra d).</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propios de capital de nivel 2</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1, inciso i), del Reglamento (UE) 2019/2033.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Artículo 63, letra b), inciso i), y artículo 66, letra a), y artículo 67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Instrumentos propios de capital de nivel 2 en manos de la entidad o el grupo declarantes en la fecha de información. Sin perjuicio de las excepciones previstas en el artículo 67 del Reglamento (UE) n.</w:t>
            </w:r>
            <w:r>
              <w:rPr>
                <w:rStyle w:val="FormatvorlageInstructionsTabelleText"/>
                <w:rFonts w:ascii="Times New Roman" w:hAnsi="Times New Roman"/>
                <w:sz w:val="22"/>
                <w:szCs w:val="22"/>
                <w:vertAlign w:val="superscript"/>
              </w:rPr>
              <w:t>o</w:t>
            </w:r>
            <w:r>
              <w:rPr>
                <w:rStyle w:val="FormatvorlageInstructionsTabelleText"/>
                <w:rFonts w:ascii="Times New Roman" w:hAnsi="Times New Roman"/>
                <w:sz w:val="22"/>
                <w:szCs w:val="22"/>
              </w:rPr>
              <w:t> 575/2013.</w:t>
            </w:r>
          </w:p>
          <w:p>
            <w:pPr>
              <w:pStyle w:val="InstructionsText"/>
              <w:rPr>
                <w:rStyle w:val="FormatvorlageInstructionsTabelleText"/>
                <w:rFonts w:ascii="Times New Roman" w:hAnsi="Times New Roman"/>
                <w:sz w:val="22"/>
                <w:szCs w:val="22"/>
              </w:rPr>
            </w:pPr>
            <w:r>
              <w:rPr>
                <w:rStyle w:val="FormatvorlageInstructionsTabelleText"/>
                <w:rFonts w:ascii="Times New Roman" w:hAnsi="Times New Roman"/>
                <w:sz w:val="22"/>
                <w:szCs w:val="22"/>
              </w:rPr>
              <w:t>Las tenencias de acciones incluidas como «Instrumentos de capital no admisibles» no se consignarán en esta fila.</w:t>
            </w:r>
          </w:p>
          <w:p>
            <w:pPr>
              <w:pStyle w:val="InstructionsText"/>
              <w:rPr>
                <w:sz w:val="22"/>
                <w:szCs w:val="22"/>
              </w:rPr>
            </w:pPr>
            <w:r>
              <w:rPr>
                <w:rStyle w:val="FormatvorlageInstructionsTabelleText"/>
                <w:rFonts w:ascii="Times New Roman" w:hAnsi="Times New Roman"/>
                <w:sz w:val="22"/>
                <w:szCs w:val="22"/>
              </w:rPr>
              <w:t>El importe que debe comunicarse incluirá la prima de emisión relacionada con las acciones propias.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 Instrumentos de capital de nivel 2 de entes del sector financiero en los que la matriz no tiene una inversión significativa</w:t>
            </w:r>
          </w:p>
          <w:p>
            <w:pPr>
              <w:spacing w:after="120" w:line="240" w:lineRule="auto"/>
              <w:jc w:val="both"/>
              <w:rPr>
                <w:rFonts w:ascii="Times New Roman" w:eastAsia="Times New Roman" w:hAnsi="Times New Roman" w:cs="Times New Roman"/>
                <w:bCs/>
              </w:rPr>
            </w:pPr>
            <w:r>
              <w:rPr>
                <w:rFonts w:ascii="Times New Roman" w:hAnsi="Times New Roman"/>
                <w:bCs/>
              </w:rPr>
              <w:t>Artículo 9, apartado 2, letra c),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Artículo 66, letra c), del Reglamento (UE) n.</w:t>
            </w:r>
            <w:r>
              <w:rPr>
                <w:rFonts w:ascii="Times New Roman" w:hAnsi="Times New Roman"/>
                <w:bCs/>
                <w:vertAlign w:val="superscript"/>
              </w:rPr>
              <w:t>o</w:t>
            </w:r>
            <w:r>
              <w:rPr>
                <w:rFonts w:ascii="Times New Roman" w:hAnsi="Times New Roman"/>
                <w:bCs/>
              </w:rPr>
              <w:t> 575/2013.</w:t>
            </w:r>
          </w:p>
          <w:p>
            <w:pPr>
              <w:spacing w:after="120" w:line="240" w:lineRule="auto"/>
              <w:jc w:val="both"/>
              <w:rPr>
                <w:rFonts w:ascii="Times New Roman" w:eastAsia="Times New Roman" w:hAnsi="Times New Roman" w:cs="Times New Roman"/>
                <w:b/>
                <w:bCs/>
                <w:u w:val="single"/>
              </w:rPr>
            </w:pPr>
            <w:r>
              <w:rPr>
                <w:rFonts w:ascii="Times New Roman" w:hAnsi="Times New Roman"/>
                <w:bCs/>
              </w:rPr>
              <w:t>«Matriz de la Unión» en esta fila significa empresas de servicios de inversión matrices de la Unión, sociedades de cartera de inversión matrices de la Unión, sociedades financieras mixtas de cartera matrices de la Unión o cualquier otra empresa matriz que sea una empresa de servicios de inversión, una entidad financiera, una empresa de servicios auxiliares o un agente vinculado.</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Nivel 2: Otros elementos de capital, deducciones y ajustes</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 suma de los siguientes elementos, cuando proceda:</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Ajustes transitorios debidos a instrumentos de capital de nivel 2 en virtud de disposiciones de anterioridad [artículo 483, apartados 6 y 7, y artículos 484, 486, 488, 490 y 491 del Reglamento (UE) n.</w:t>
            </w:r>
            <w:r>
              <w:rPr>
                <w:rFonts w:ascii="Times New Roman" w:hAnsi="Times New Roman"/>
                <w:bCs/>
                <w:vertAlign w:val="superscript"/>
              </w:rPr>
              <w:t>o</w:t>
            </w:r>
            <w:r>
              <w:rPr>
                <w:rFonts w:ascii="Times New Roman" w:hAnsi="Times New Roman"/>
                <w:bCs/>
              </w:rPr>
              <w:t> 575/2013].</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 xml:space="preserve">Otros ajustes transitorios del capital de nivel 2 [artículos 472, 473 </w:t>
            </w:r>
            <w:r>
              <w:rPr>
                <w:rFonts w:ascii="Times New Roman" w:hAnsi="Times New Roman"/>
                <w:bCs/>
                <w:i/>
                <w:iCs/>
              </w:rPr>
              <w:t>bis</w:t>
            </w:r>
            <w:r>
              <w:rPr>
                <w:rFonts w:ascii="Times New Roman" w:hAnsi="Times New Roman"/>
                <w:bCs/>
              </w:rPr>
              <w:t>, 476, 477, 478 y 481 del Reglamento (UE) n.</w:t>
            </w:r>
            <w:r>
              <w:rPr>
                <w:rFonts w:ascii="Times New Roman" w:hAnsi="Times New Roman"/>
                <w:bCs/>
                <w:vertAlign w:val="superscript"/>
              </w:rPr>
              <w:t>o</w:t>
            </w:r>
            <w:r>
              <w:rPr>
                <w:rFonts w:ascii="Times New Roman" w:hAnsi="Times New Roman"/>
                <w:bCs/>
              </w:rPr>
              <w:t> 575/2013]: Ajustes a las deducciones en el nivel 2 debido a disposiciones transitorias.</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Exceso de deducción en los elementos de nivel 2 sobre el capital de nivel 2, deducción del capital de nivel 1 adicional de conformidad con el artículo 56, letra e), del Reglamento (UE) n.</w:t>
            </w:r>
            <w:r>
              <w:rPr>
                <w:rFonts w:ascii="Times New Roman" w:hAnsi="Times New Roman"/>
                <w:bCs/>
                <w:vertAlign w:val="superscript"/>
              </w:rPr>
              <w:t>o</w:t>
            </w:r>
            <w:r>
              <w:rPr>
                <w:rFonts w:ascii="Times New Roman" w:hAnsi="Times New Roman"/>
                <w:bCs/>
              </w:rPr>
              <w:t> 575/2013: El capital de nivel 2 no puede ser negativo, pero es posible que las deducciones en los elementos de nivel 2 excedan del importe de los elementos de nivel 2 disponibles. Cuando esto ocurre, esta partida representa el importe necesario para aumentar a cero el importe consignado en la fila 0420.</w:t>
            </w:r>
          </w:p>
          <w:p>
            <w:pPr>
              <w:spacing w:after="120" w:line="240" w:lineRule="auto"/>
              <w:ind w:left="360" w:hanging="360"/>
              <w:jc w:val="both"/>
              <w:rPr>
                <w:rFonts w:ascii="Times New Roman" w:eastAsia="Times New Roman" w:hAnsi="Times New Roman" w:cs="Times New Roman"/>
                <w:bCs/>
              </w:rPr>
            </w:pPr>
            <w:r>
              <w:rPr>
                <w:rFonts w:ascii="Times New Roman" w:eastAsia="Times New Roman" w:hAnsi="Times New Roman" w:cs="Times New Roman"/>
                <w:bCs/>
              </w:rPr>
              <w:t>—</w:t>
            </w:r>
            <w:r>
              <w:rPr>
                <w:rFonts w:ascii="Times New Roman" w:eastAsia="Times New Roman" w:hAnsi="Times New Roman" w:cs="Times New Roman"/>
                <w:bCs/>
              </w:rPr>
              <w:tab/>
            </w:r>
            <w:r>
              <w:rPr>
                <w:rFonts w:ascii="Times New Roman" w:hAnsi="Times New Roman"/>
                <w:bCs/>
              </w:rPr>
              <w:t>Otros elementos o deducciones de capital de nivel 2 de un elemento de nivel 2 que no puedan asignarse a una de las filas 0430 a 0500.</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no se utilizará para incluir elementos o deducciones de capital que no estén cubiertos por el Reglamento (UE) 2019/2033 o el Reglamento (UE) n.</w:t>
            </w:r>
            <w:r>
              <w:rPr>
                <w:rFonts w:ascii="Times New Roman" w:hAnsi="Times New Roman"/>
                <w:bCs/>
                <w:vertAlign w:val="superscript"/>
              </w:rPr>
              <w:t>o</w:t>
            </w:r>
            <w:r>
              <w:rPr>
                <w:rFonts w:ascii="Times New Roman" w:hAnsi="Times New Roman"/>
                <w:bCs/>
              </w:rPr>
              <w:t> 575/2013 en el cálculo de los coeficientes de solvencia.</w:t>
            </w:r>
          </w:p>
        </w:tc>
      </w:tr>
    </w:tbl>
    <w:p>
      <w:pPr>
        <w:pStyle w:val="Instructionsberschrift2"/>
        <w:ind w:left="357" w:hanging="357"/>
        <w:rPr>
          <w:rFonts w:ascii="Times New Roman" w:hAnsi="Times New Roman" w:cs="Times New Roman"/>
          <w:sz w:val="24"/>
          <w:u w:val="none"/>
        </w:rPr>
      </w:pPr>
      <w:bookmarkStart w:id="20" w:name="_Toc87961412"/>
      <w:r>
        <w:rPr>
          <w:rFonts w:ascii="Times New Roman" w:hAnsi="Times New Roman"/>
          <w:sz w:val="24"/>
          <w:u w:val="none"/>
        </w:rPr>
        <w:t>1.3</w:t>
      </w:r>
      <w:r>
        <w:rPr>
          <w:rFonts w:ascii="Times New Roman" w:hAnsi="Times New Roman"/>
          <w:sz w:val="24"/>
        </w:rPr>
        <w:t xml:space="preserve"> I 11.02 REQUISITOS DE FONDOS PROPIOS — PRUEBA DE CAPITAL DEL GRUPO (I11.2)</w:t>
      </w:r>
      <w:bookmarkEnd w:id="20"/>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1" w:name="_Toc87961413"/>
      <w:r>
        <w:rPr>
          <w:rFonts w:ascii="Times New Roman" w:hAnsi="Times New Roman"/>
          <w:sz w:val="24"/>
          <w:szCs w:val="24"/>
        </w:rPr>
        <w:t>1.3.1.</w:t>
      </w:r>
      <w:r>
        <w:rPr>
          <w:rFonts w:ascii="Times New Roman" w:hAnsi="Times New Roman"/>
          <w:sz w:val="24"/>
          <w:szCs w:val="24"/>
        </w:rPr>
        <w:tab/>
      </w:r>
      <w:r>
        <w:rPr>
          <w:rFonts w:ascii="Times New Roman" w:hAnsi="Times New Roman"/>
          <w:sz w:val="24"/>
          <w:szCs w:val="24"/>
          <w:u w:val="single"/>
        </w:rPr>
        <w:t>Instrucciones relativas a posiciones concretas</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Fila</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de nivel 1 ordinario de entes del sector financiero en el grupo de empresas de servicios de inversión cuando la empresa matriz mantenga una inversión significativa en dichos entes</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8, apartado 3, letra a), del Reglamento (UE) 2019/2033, leído en relación con el artículo 36, apartado 1, letra i), del Reglamento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de nivel 1 adicional de entes del sector financiero del grupo de empresas de servicios de inversión cuando la empresa matriz mantenga una inversión significativa en esas entidades</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a), del Reglamento (UE) 2019/2033, leído en relación con el artículo 56, letra d), del Reglamento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Instrumentos de capital de nivel 2 de entes del sector financiero del grupo de empresas de servicios de inversión cuando la empresa matriz mantenga una inversión significativa en dichas entidades en la medida en la que invierta la matriz</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8, apartado 3, letra a), leído en relación con el artículo 66, letra d),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Cs/>
              </w:rPr>
            </w:pPr>
            <w:r>
              <w:rPr>
                <w:rFonts w:ascii="Times New Roman" w:hAnsi="Times New Roman"/>
                <w:b/>
                <w:bCs/>
                <w:u w:val="single"/>
              </w:rPr>
              <w:t>Participaciones de entes del sector financiero en el grupo de empresas de servicios de inversión, en la medida en que no constituyan fondos propios para la entidad del grupo en la que invierte la matriz</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a),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las participaciones de la matriz en la medida en que no constituyan fondos propios para la entidad del grupo en la que invierte la matriz.</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Créditos subordinados de entes del sector financiero del grupo de empresas de servicios de inversión</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fila incluirá los créditos subordinados de la matriz en la medida en que no constituyan fondos propios para la entidad del grupo en la que invierte la matriz.</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Pasivos contingentes en favor de entes del grupo de empresas de servicios de inversión</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b),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de requisitos de fondos propios para las empresas filiales</w:t>
            </w:r>
          </w:p>
          <w:p>
            <w:pPr>
              <w:spacing w:after="120" w:line="240" w:lineRule="auto"/>
              <w:jc w:val="both"/>
              <w:rPr>
                <w:rFonts w:ascii="Times New Roman" w:eastAsia="Times New Roman" w:hAnsi="Times New Roman" w:cs="Times New Roman"/>
                <w:bCs/>
              </w:rPr>
            </w:pPr>
            <w:r>
              <w:rPr>
                <w:rFonts w:ascii="Times New Roman" w:hAnsi="Times New Roman"/>
                <w:bCs/>
              </w:rPr>
              <w:t>En caso de aplicarse el artículo 8, apartado 4, del Reglamento (UE) 2019/2033.</w:t>
            </w:r>
          </w:p>
        </w:tc>
      </w:tr>
    </w:tbl>
    <w:p>
      <w:pPr>
        <w:pStyle w:val="Instructionsberschrift2"/>
        <w:ind w:left="357" w:hanging="357"/>
        <w:rPr>
          <w:rFonts w:ascii="Times New Roman" w:hAnsi="Times New Roman" w:cs="Times New Roman"/>
          <w:sz w:val="24"/>
        </w:rPr>
      </w:pPr>
      <w:bookmarkStart w:id="22" w:name="_Toc87961414"/>
      <w:bookmarkEnd w:id="2"/>
      <w:bookmarkEnd w:id="3"/>
      <w:bookmarkEnd w:id="4"/>
      <w:bookmarkEnd w:id="5"/>
      <w:r>
        <w:rPr>
          <w:rFonts w:ascii="Times New Roman" w:hAnsi="Times New Roman"/>
          <w:sz w:val="24"/>
          <w:u w:val="none"/>
        </w:rPr>
        <w:t>1.4</w:t>
      </w:r>
      <w:r>
        <w:rPr>
          <w:rFonts w:ascii="Times New Roman" w:hAnsi="Times New Roman"/>
          <w:sz w:val="24"/>
        </w:rPr>
        <w:t xml:space="preserve"> IF 11.03 INFORMACIÓN SOBRE EMPRESAS FILIALES (IF11.3)</w:t>
      </w:r>
      <w:bookmarkEnd w:id="22"/>
    </w:p>
    <w:p>
      <w:pPr>
        <w:spacing w:line="256" w:lineRule="auto"/>
        <w:ind w:left="1224" w:hanging="504"/>
        <w:jc w:val="both"/>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ab/>
      </w:r>
      <w:r>
        <w:rPr>
          <w:rFonts w:ascii="Times New Roman" w:hAnsi="Times New Roman"/>
          <w:sz w:val="24"/>
        </w:rPr>
        <w:t>Todos los entes incluidos en el ámbito de aplicación de la prueba de capital del grupo se consignarán en esta plantilla. Esto incluirá también a la empresa matriz del propio grupo.</w:t>
      </w:r>
    </w:p>
    <w:p>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7961415"/>
      <w:r>
        <w:rPr>
          <w:rFonts w:ascii="Times New Roman" w:hAnsi="Times New Roman"/>
          <w:sz w:val="24"/>
          <w:szCs w:val="24"/>
        </w:rPr>
        <w:t>1.4.1.</w:t>
      </w:r>
      <w:r>
        <w:rPr>
          <w:rFonts w:ascii="Times New Roman" w:hAnsi="Times New Roman"/>
          <w:sz w:val="24"/>
          <w:szCs w:val="24"/>
        </w:rPr>
        <w:tab/>
      </w:r>
      <w:r>
        <w:rPr>
          <w:rFonts w:ascii="Times New Roman" w:hAnsi="Times New Roman"/>
          <w:sz w:val="24"/>
          <w:szCs w:val="24"/>
          <w:u w:val="single"/>
        </w:rPr>
        <w:t>Instrucciones relativas a posiciones concretas</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tc>
          <w:tcPr>
            <w:tcW w:w="1129"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Columnas</w:t>
            </w:r>
          </w:p>
        </w:tc>
        <w:tc>
          <w:tcPr>
            <w:tcW w:w="7620" w:type="dxa"/>
            <w:shd w:val="clear" w:color="auto" w:fill="D9D9D9"/>
          </w:tcPr>
          <w:p>
            <w:pPr>
              <w:spacing w:after="120" w:line="240" w:lineRule="auto"/>
              <w:jc w:val="both"/>
              <w:rPr>
                <w:rFonts w:ascii="Times New Roman" w:eastAsia="Times New Roman" w:hAnsi="Times New Roman" w:cs="Times New Roman"/>
                <w:bCs/>
              </w:rPr>
            </w:pPr>
            <w:r>
              <w:rPr>
                <w:rFonts w:ascii="Times New Roman" w:hAnsi="Times New Roman"/>
              </w:rPr>
              <w:t>Referencias legales e instrucciones</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0010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Código</w:t>
            </w:r>
          </w:p>
          <w:p>
            <w:pPr>
              <w:spacing w:after="120" w:line="240" w:lineRule="auto"/>
              <w:jc w:val="both"/>
              <w:rPr>
                <w:rFonts w:ascii="Times New Roman" w:eastAsia="Times New Roman" w:hAnsi="Times New Roman" w:cs="Times New Roman"/>
                <w:b/>
                <w:bCs/>
                <w:u w:val="single"/>
              </w:rPr>
            </w:pPr>
            <w:r>
              <w:rPr>
                <w:rFonts w:ascii="Times New Roman" w:hAnsi="Times New Roman"/>
                <w:bCs/>
              </w:rPr>
              <w:t>El código como parte de un identificador de fila debe ser único para cada entidad consignada. En el caso de empresas de servicios de inversión y empresas de seguros, el código será el código LEI. Para otras entidades, el código será el código LEI o, si no se dispone de él, un código nacional. El código será único y se utilizará sistemáticamente en las plantillas y en el tiempo. El código siempre tendrá un valor.</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0020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Tipo de código</w:t>
            </w:r>
          </w:p>
          <w:p>
            <w:pPr>
              <w:spacing w:after="120" w:line="240" w:lineRule="auto"/>
              <w:jc w:val="both"/>
              <w:rPr>
                <w:rFonts w:ascii="Times New Roman" w:eastAsia="Times New Roman" w:hAnsi="Times New Roman" w:cs="Times New Roman"/>
                <w:bCs/>
              </w:rPr>
            </w:pPr>
            <w:r>
              <w:rPr>
                <w:rFonts w:ascii="Times New Roman" w:hAnsi="Times New Roman"/>
                <w:bCs/>
              </w:rPr>
              <w:t>El ente declarante identificará el tipo de código comunicado en la columna 0010 como «código LEI» o «código nacional».</w:t>
            </w:r>
          </w:p>
          <w:p>
            <w:pPr>
              <w:spacing w:after="120" w:line="240" w:lineRule="auto"/>
              <w:jc w:val="both"/>
              <w:rPr>
                <w:rFonts w:ascii="Times New Roman" w:eastAsia="Times New Roman" w:hAnsi="Times New Roman" w:cs="Times New Roman"/>
                <w:b/>
                <w:bCs/>
                <w:u w:val="single"/>
              </w:rPr>
            </w:pPr>
            <w:r>
              <w:rPr>
                <w:rFonts w:ascii="Times New Roman" w:hAnsi="Times New Roman"/>
                <w:bCs/>
              </w:rPr>
              <w:t>Siempre se consignará el tipo de código.</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0030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Nombre de la empresa</w:t>
            </w:r>
          </w:p>
          <w:p>
            <w:pPr>
              <w:spacing w:after="120" w:line="240" w:lineRule="auto"/>
              <w:jc w:val="both"/>
              <w:rPr>
                <w:rFonts w:ascii="Times New Roman" w:eastAsia="Times New Roman" w:hAnsi="Times New Roman" w:cs="Times New Roman"/>
                <w:b/>
                <w:bCs/>
                <w:u w:val="single"/>
              </w:rPr>
            </w:pPr>
            <w:r>
              <w:rPr>
                <w:rStyle w:val="InstructionsTabelleText"/>
                <w:rFonts w:ascii="Times New Roman" w:hAnsi="Times New Roman"/>
                <w:sz w:val="22"/>
              </w:rPr>
              <w:t>Denominación de la empresa incluida en el ámbito de consolidación.</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0040</w:t>
            </w:r>
          </w:p>
        </w:tc>
        <w:tc>
          <w:tcPr>
            <w:tcW w:w="7620" w:type="dxa"/>
          </w:tcPr>
          <w:p>
            <w:pPr>
              <w:spacing w:after="120" w:line="240" w:lineRule="auto"/>
              <w:jc w:val="both"/>
              <w:rPr>
                <w:rFonts w:ascii="Times New Roman" w:eastAsia="Times New Roman" w:hAnsi="Times New Roman" w:cs="Times New Roman"/>
                <w:b/>
                <w:bCs/>
              </w:rPr>
            </w:pPr>
            <w:r>
              <w:rPr>
                <w:rFonts w:ascii="Times New Roman" w:hAnsi="Times New Roman"/>
                <w:b/>
                <w:bCs/>
              </w:rPr>
              <w:t>Matriz o filial</w:t>
            </w:r>
          </w:p>
          <w:p>
            <w:pPr>
              <w:spacing w:after="120" w:line="240" w:lineRule="auto"/>
              <w:jc w:val="both"/>
              <w:rPr>
                <w:rFonts w:ascii="Times New Roman" w:eastAsia="Times New Roman" w:hAnsi="Times New Roman" w:cs="Times New Roman"/>
                <w:bCs/>
              </w:rPr>
            </w:pPr>
            <w:r>
              <w:rPr>
                <w:rFonts w:ascii="Times New Roman" w:hAnsi="Times New Roman"/>
                <w:bCs/>
              </w:rPr>
              <w:t>Indica si el ente consignado en la fila es la matriz del grupo o de una filial.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0050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País</w:t>
            </w:r>
          </w:p>
          <w:p>
            <w:pPr>
              <w:autoSpaceDE w:val="0"/>
              <w:autoSpaceDN w:val="0"/>
              <w:spacing w:before="40" w:after="40" w:line="240" w:lineRule="auto"/>
              <w:rPr>
                <w:rFonts w:ascii="Times New Roman" w:eastAsia="Times New Roman" w:hAnsi="Times New Roman" w:cs="Times New Roman"/>
                <w:b/>
                <w:bCs/>
                <w:u w:val="single"/>
              </w:rPr>
            </w:pPr>
            <w:r>
              <w:rPr>
                <w:rStyle w:val="InstructionsTabelleText"/>
                <w:rFonts w:ascii="Times New Roman" w:hAnsi="Times New Roman"/>
                <w:sz w:val="22"/>
              </w:rPr>
              <w:t>Se comunicará el país en el que esté situada la filial.</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0060-0100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Inversiones de la empresa matriz</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En esta sección se comunicarán las inversiones de la empresa matriz en los entes del grupo.</w:t>
            </w:r>
          </w:p>
        </w:tc>
      </w:tr>
      <w:tr>
        <w:tc>
          <w:tcPr>
            <w:tcW w:w="1129"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CAPITAL DE NIVEL 1 ORDINARIO</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8, apartado 3, letra a), del Reglamento (UE) 2019/2033, leído en relación con el artículo 36, apartado 1, letra i), del Reglamento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0070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CAPITAL DE NIVEL 1 ADICIONAL</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a), del Reglamento (UE) 2019/2033, leído en relación con el artículo 56, letra d), del Reglamento (UE) n.</w:t>
            </w:r>
            <w:r>
              <w:rPr>
                <w:rFonts w:ascii="Times New Roman" w:hAnsi="Times New Roman"/>
                <w:bCs/>
                <w:vertAlign w:val="superscript"/>
              </w:rPr>
              <w:t>o</w:t>
            </w:r>
            <w:r>
              <w:rPr>
                <w:rFonts w:ascii="Times New Roman" w:hAnsi="Times New Roman"/>
                <w:bCs/>
              </w:rPr>
              <w:t> 575/2013.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0080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NIVEL 2</w:t>
            </w:r>
          </w:p>
          <w:p>
            <w:pPr>
              <w:spacing w:after="120" w:line="240" w:lineRule="auto"/>
              <w:jc w:val="both"/>
              <w:rPr>
                <w:rFonts w:ascii="Times New Roman" w:eastAsia="Times New Roman" w:hAnsi="Times New Roman" w:cs="Times New Roman"/>
                <w:b/>
                <w:bCs/>
                <w:u w:val="single"/>
              </w:rPr>
            </w:pPr>
            <w:r>
              <w:rPr>
                <w:rFonts w:ascii="Times New Roman" w:hAnsi="Times New Roman"/>
                <w:bCs/>
              </w:rPr>
              <w:t>Artículo 8, apartado 3, letra a), del Reglamento (UE) 2019/2033, leído en relación con el artículo 66, letra d), del Reglamento (UE) n.</w:t>
            </w:r>
            <w:r>
              <w:rPr>
                <w:rFonts w:ascii="Times New Roman" w:hAnsi="Times New Roman"/>
                <w:bCs/>
                <w:vertAlign w:val="superscript"/>
              </w:rPr>
              <w:t>o</w:t>
            </w:r>
            <w:r>
              <w:rPr>
                <w:rFonts w:ascii="Times New Roman" w:hAnsi="Times New Roman"/>
                <w:bCs/>
              </w:rPr>
              <w:t> 575/2013.</w:t>
            </w:r>
          </w:p>
        </w:tc>
      </w:tr>
      <w:tr>
        <w:tc>
          <w:tcPr>
            <w:tcW w:w="1129" w:type="dxa"/>
          </w:tcPr>
          <w:p>
            <w:pPr>
              <w:spacing w:after="120" w:line="240" w:lineRule="auto"/>
              <w:jc w:val="both"/>
              <w:rPr>
                <w:rFonts w:ascii="Times New Roman" w:eastAsia="Times New Roman" w:hAnsi="Times New Roman" w:cs="Times New Roman"/>
                <w:bCs/>
              </w:rPr>
            </w:pPr>
            <w:r>
              <w:rPr>
                <w:rFonts w:ascii="Times New Roman" w:hAnsi="Times New Roman"/>
                <w:bCs/>
              </w:rPr>
              <w:t>0090</w:t>
            </w:r>
          </w:p>
        </w:tc>
        <w:tc>
          <w:tcPr>
            <w:tcW w:w="7620" w:type="dxa"/>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Participaciones</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a), del Reglamento (UE) 2019/2033.</w:t>
            </w:r>
          </w:p>
          <w:p>
            <w:pPr>
              <w:spacing w:after="120" w:line="240" w:lineRule="auto"/>
              <w:jc w:val="both"/>
              <w:rPr>
                <w:rFonts w:ascii="Times New Roman" w:eastAsia="Times New Roman" w:hAnsi="Times New Roman" w:cs="Times New Roman"/>
                <w:bCs/>
              </w:rPr>
            </w:pPr>
            <w:r>
              <w:rPr>
                <w:rFonts w:ascii="Times New Roman" w:hAnsi="Times New Roman"/>
                <w:bCs/>
              </w:rPr>
              <w:t>Esta fila incluirá las participaciones de la matriz en la medida en que no constituyan fondos propios para la entidad del grupo en la que invierte la matriz.</w:t>
            </w:r>
          </w:p>
        </w:tc>
      </w:tr>
      <w:tr>
        <w:tc>
          <w:tcPr>
            <w:tcW w:w="1129"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0100</w:t>
            </w:r>
          </w:p>
        </w:tc>
        <w:tc>
          <w:tcPr>
            <w:tcW w:w="7620" w:type="dxa"/>
            <w:tcBorders>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
                <w:bCs/>
                <w:u w:val="single"/>
              </w:rPr>
              <w:t>Créditos subordinados</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a), del Reglamento (UE) 2019/2033.</w:t>
            </w:r>
          </w:p>
          <w:p>
            <w:pPr>
              <w:spacing w:after="120" w:line="240" w:lineRule="auto"/>
              <w:jc w:val="both"/>
              <w:rPr>
                <w:rFonts w:ascii="Times New Roman" w:eastAsia="Times New Roman" w:hAnsi="Times New Roman" w:cs="Times New Roman"/>
                <w:b/>
                <w:bCs/>
                <w:u w:val="single"/>
              </w:rPr>
            </w:pPr>
            <w:r>
              <w:rPr>
                <w:rFonts w:ascii="Times New Roman" w:hAnsi="Times New Roman"/>
                <w:bCs/>
              </w:rPr>
              <w:t>Esta columna incluirá los créditos subordinados de la matriz en la medida en que no constituyan fondos propios para la entidad del grupo en la que invierte la matriz.</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0110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Pasivos contingentes de la matriz a favor de la entidad</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3, letra b), del Reglamento (UE)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0120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Total de requisitos de fondos propios para las empresas filiales</w:t>
            </w:r>
          </w:p>
          <w:p>
            <w:pPr>
              <w:spacing w:after="120" w:line="240" w:lineRule="auto"/>
              <w:jc w:val="both"/>
              <w:rPr>
                <w:rFonts w:ascii="Times New Roman" w:eastAsia="Times New Roman" w:hAnsi="Times New Roman" w:cs="Times New Roman"/>
                <w:bCs/>
              </w:rPr>
            </w:pPr>
            <w:r>
              <w:rPr>
                <w:rFonts w:ascii="Times New Roman" w:hAnsi="Times New Roman"/>
                <w:bCs/>
              </w:rPr>
              <w:t>Artículo 8, apartado 4, del Reglamento (UE)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0130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Capital mínimo permanente</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14 del Reglamento (UE) 2019/2033.</w:t>
            </w:r>
          </w:p>
        </w:tc>
      </w:tr>
      <w:tr>
        <w:tc>
          <w:tcPr>
            <w:tcW w:w="1129"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0140</w:t>
            </w:r>
          </w:p>
        </w:tc>
        <w:tc>
          <w:tcPr>
            <w:tcW w:w="7620" w:type="dxa"/>
            <w:tcBorders>
              <w:top w:val="single" w:sz="4" w:space="0" w:color="auto"/>
              <w:bottom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basado en los factores K</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gestionados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y artículo 17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Saldos transitorios de clientes-Segregados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y artículo 18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Saldos transitorios de clientes — No segregados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y artículo 18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0180</w:t>
            </w:r>
          </w:p>
        </w:tc>
        <w:tc>
          <w:tcPr>
            <w:tcW w:w="7620" w:type="dxa"/>
            <w:tcBorders>
              <w:top w:val="single" w:sz="4" w:space="0" w:color="auto"/>
            </w:tcBorders>
          </w:tcPr>
          <w:p>
            <w:pPr>
              <w:tabs>
                <w:tab w:val="left" w:pos="3948"/>
              </w:tabs>
              <w:spacing w:after="120" w:line="240" w:lineRule="auto"/>
              <w:jc w:val="both"/>
              <w:rPr>
                <w:rFonts w:ascii="Times New Roman" w:eastAsia="Times New Roman" w:hAnsi="Times New Roman" w:cs="Times New Roman"/>
                <w:b/>
                <w:bCs/>
                <w:u w:val="single"/>
              </w:rPr>
            </w:pPr>
            <w:r>
              <w:rPr>
                <w:rFonts w:ascii="Times New Roman" w:hAnsi="Times New Roman"/>
                <w:b/>
                <w:bCs/>
                <w:u w:val="single"/>
              </w:rPr>
              <w:t>Activos custodiados y administrados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 xml:space="preserve">Artículo 15, apartado 2, y artículo 19 del Reglamento (UE) 2019/2033. </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0190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Órdenes de clientes intermediadas — Operaciones al contado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artículo 20, apartado 1, y artículo 20, apartado 2, letra a),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0200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Órdenes de clientes intermediadas — Operaciones con derivados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15, apartado 2, artículo 20, apartado 1, y artículo 20, apartado 2, letra b),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0210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de riesgo de posición neta K</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22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0220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Garantía de compensación concedida</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23, apartado 2,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0230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Riesgo de impago de la contraparte en la negociación</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Artículos 24 y 26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0240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Flujo de negociación diario — Operaciones al contado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 efectos del cálculo del requisito basado en los factores K, las empresas de servicios de inversión comunicarán la información aplicando el coeficiente del artículo 15, apartado 2, del Reglamento (UE)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En caso de que existan condiciones de tensión en el mercado, de conformidad con el artículo 15, apartado 5, letra c), del Reglamento (UE) 2019/2033, las empresas de servicios de inversión aplicarán un coeficiente ajustado según se especifica en dicho punto.</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factor de flujo de negociación diario se calculará de conformidad con el artículo 33, apartado 2, letra a),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0250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Flujo de negociación diario — Operaciones con derivados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 efectos del cálculo del requisito basado en los factores K, las empresas de servicios de inversión comunicarán la información aplicando el coeficiente del artículo 15, apartado 2, del Reglamento (UE) 2019/2033</w:t>
            </w:r>
          </w:p>
          <w:p>
            <w:pPr>
              <w:spacing w:after="120" w:line="240" w:lineRule="auto"/>
              <w:jc w:val="both"/>
              <w:rPr>
                <w:rFonts w:ascii="Times New Roman" w:eastAsia="Times New Roman" w:hAnsi="Times New Roman" w:cs="Times New Roman"/>
                <w:bCs/>
                <w:i/>
                <w:color w:val="000000" w:themeColor="text1"/>
              </w:rPr>
            </w:pPr>
            <w:r>
              <w:rPr>
                <w:rFonts w:ascii="Times New Roman" w:hAnsi="Times New Roman"/>
                <w:bCs/>
                <w:color w:val="000000" w:themeColor="text1"/>
              </w:rPr>
              <w:t>En caso de que existan condiciones de tensión en el mercado, de conformidad con el artículo 15, apartado 5, letra c), del Reglamento (UE) 2019/2033, las empresas de servicios de inversión aplicarán un coeficiente ajustado según se especifica en dicho punto</w:t>
            </w:r>
            <w:r>
              <w:rPr>
                <w:rFonts w:ascii="Times New Roman" w:hAnsi="Times New Roman"/>
                <w:bCs/>
                <w:i/>
                <w:color w:val="000000" w:themeColor="text1"/>
              </w:rPr>
              <w:t>.</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El factor de flujo de negociación diario se calculará de conformidad con el artículo 33, apartado 2, letra b),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0260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 relativo al riesgo de concentración K</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37, apartado 2, artículo 39 y artículo 24 del Reglamento (UE) 2019/2033.</w:t>
            </w:r>
          </w:p>
        </w:tc>
      </w:tr>
      <w:tr>
        <w:tc>
          <w:tcPr>
            <w:tcW w:w="1129" w:type="dxa"/>
            <w:tcBorders>
              <w:top w:val="single" w:sz="4" w:space="0" w:color="auto"/>
            </w:tcBorders>
          </w:tcPr>
          <w:p>
            <w:pPr>
              <w:spacing w:after="120" w:line="240" w:lineRule="auto"/>
              <w:jc w:val="both"/>
              <w:rPr>
                <w:rFonts w:ascii="Times New Roman" w:eastAsia="Times New Roman" w:hAnsi="Times New Roman" w:cs="Times New Roman"/>
                <w:bCs/>
              </w:rPr>
            </w:pPr>
            <w:r>
              <w:rPr>
                <w:rFonts w:ascii="Times New Roman" w:hAnsi="Times New Roman"/>
                <w:bCs/>
              </w:rPr>
              <w:t>0270</w:t>
            </w:r>
          </w:p>
        </w:tc>
        <w:tc>
          <w:tcPr>
            <w:tcW w:w="7620" w:type="dxa"/>
            <w:tcBorders>
              <w:top w:val="single" w:sz="4" w:space="0" w:color="auto"/>
            </w:tcBorders>
          </w:tcPr>
          <w:p>
            <w:pPr>
              <w:spacing w:after="120" w:line="240" w:lineRule="auto"/>
              <w:jc w:val="both"/>
              <w:rPr>
                <w:rFonts w:ascii="Times New Roman" w:eastAsia="Times New Roman" w:hAnsi="Times New Roman" w:cs="Times New Roman"/>
                <w:b/>
                <w:bCs/>
                <w:u w:val="single"/>
              </w:rPr>
            </w:pPr>
            <w:r>
              <w:rPr>
                <w:rFonts w:ascii="Times New Roman" w:hAnsi="Times New Roman"/>
                <w:b/>
                <w:bCs/>
                <w:u w:val="single"/>
              </w:rPr>
              <w:t>Requisitos basados en los gastos fijos generales</w:t>
            </w:r>
          </w:p>
          <w:p>
            <w:pPr>
              <w:spacing w:after="120" w:line="240" w:lineRule="auto"/>
              <w:jc w:val="both"/>
              <w:rPr>
                <w:rFonts w:ascii="Times New Roman" w:eastAsia="Times New Roman" w:hAnsi="Times New Roman" w:cs="Times New Roman"/>
                <w:bCs/>
                <w:color w:val="000000" w:themeColor="text1"/>
              </w:rPr>
            </w:pPr>
            <w:r>
              <w:rPr>
                <w:rFonts w:ascii="Times New Roman" w:hAnsi="Times New Roman"/>
                <w:bCs/>
                <w:color w:val="000000" w:themeColor="text1"/>
              </w:rPr>
              <w:t>Artículo 13 del Reglamento (UE) 2019/2033.</w:t>
            </w:r>
          </w:p>
        </w:tc>
      </w:tr>
    </w:tbl>
    <w:p>
      <w:pPr>
        <w:pStyle w:val="Instructionsberschrift2"/>
        <w:ind w:left="357" w:hanging="357"/>
      </w:pPr>
    </w:p>
    <w:sectPr>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pStyle w:val="Footer"/>
      </w:pPr>
    </w:p>
  </w:endnote>
  <w:endnote w:type="continuationSeparator" w:id="0">
    <w:p>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513"/>
        <w:tab w:val="clear" w:pos="9026"/>
        <w:tab w:val="right" w:pos="9071"/>
      </w:tabs>
    </w:pPr>
    <w:r>
      <w:t>ES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12</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pStyle w:val="Footer"/>
      </w:pPr>
    </w:p>
  </w:footnote>
  <w:footnote w:type="continuationSeparator" w:id="0">
    <w:p>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9225D"/>
    <w:multiLevelType w:val="multilevel"/>
    <w:tmpl w:val="0E3430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280084"/>
    <w:multiLevelType w:val="multilevel"/>
    <w:tmpl w:val="DB4EC834"/>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6"/>
  </w:num>
  <w:num w:numId="3">
    <w:abstractNumId w:val="12"/>
  </w:num>
  <w:num w:numId="4">
    <w:abstractNumId w:val="1"/>
  </w:num>
  <w:num w:numId="5">
    <w:abstractNumId w:val="4"/>
  </w:num>
  <w:num w:numId="6">
    <w:abstractNumId w:val="1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8"/>
  </w:num>
  <w:num w:numId="20">
    <w:abstractNumId w:val="2"/>
  </w:num>
  <w:num w:numId="21">
    <w:abstractNumId w:val="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20"/>
  <w:hyphenationZone w:val="283"/>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s-ES"/>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2899BA5-DFEA-4356-B426-62A696DC4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4143</Words>
  <Characters>23621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2021-11-25T15:01:00Z</dcterms:modified>
  <cp:category/>
</cp:coreProperties>
</file>