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ES</w:t>
      </w:r>
      <w:r>
        <w:br/>
      </w:r>
      <w:r>
        <w:rPr>
          <w:rFonts w:ascii="Times New Roman" w:hAnsi="Times New Roman"/>
          <w:b/>
          <w:sz w:val="24"/>
          <w:szCs w:val="20"/>
        </w:rPr>
        <w:t>ANEXO IV</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«ANEXO </w:t>
      </w:r>
      <w:bookmarkEnd w:id="0"/>
      <w:bookmarkEnd w:id="1"/>
      <w:r>
        <w:rPr>
          <w:rFonts w:ascii="Times New Roman" w:hAnsi="Times New Roman"/>
          <w:b/>
          <w:sz w:val="24"/>
          <w:szCs w:val="20"/>
          <w:u w:val="single"/>
        </w:rPr>
        <w:t>IV</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INFORMACIÓN PARA PEQUEÑAS EMPRESAS DE INVERSIÓN Y NO INTERCONECTADAS</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Índice</w:t>
      </w:r>
    </w:p>
    <w:p>
      <w:pPr>
        <w:pStyle w:val="TOC2"/>
        <w:rPr>
          <w:rFonts w:eastAsiaTheme="minorEastAsia"/>
          <w:noProof/>
          <w:lang w:eastAsia="es-ES"/>
        </w:rPr>
      </w:pPr>
      <w:r>
        <w:rPr>
          <w:rFonts w:ascii="Times New Roman" w:hAnsi="Times New Roman"/>
          <w:noProof/>
        </w:rPr>
        <w:t>PARTE I: INSTRUCCIONES GENERALES</w:t>
      </w:r>
      <w:r>
        <w:rPr>
          <w:noProof/>
        </w:rPr>
        <w:tab/>
        <w:t>2</w:t>
      </w:r>
    </w:p>
    <w:p>
      <w:pPr>
        <w:pStyle w:val="TOC2"/>
        <w:rPr>
          <w:rFonts w:eastAsiaTheme="minorEastAsia"/>
          <w:noProof/>
          <w:lang w:eastAsia="es-ES"/>
        </w:rPr>
      </w:pPr>
      <w:r>
        <w:rPr>
          <w:rFonts w:ascii="Times New Roman" w:hAnsi="Times New Roman"/>
          <w:noProof/>
        </w:rPr>
        <w:t>1. Estructura y convenciones</w:t>
      </w:r>
      <w:r>
        <w:rPr>
          <w:noProof/>
        </w:rPr>
        <w:tab/>
        <w:t>2</w:t>
      </w:r>
    </w:p>
    <w:p>
      <w:pPr>
        <w:pStyle w:val="TOC2"/>
        <w:rPr>
          <w:rFonts w:eastAsiaTheme="minorEastAsia"/>
          <w:noProof/>
          <w:lang w:eastAsia="es-ES"/>
        </w:rPr>
      </w:pPr>
      <w:r>
        <w:rPr>
          <w:rFonts w:ascii="Times New Roman" w:hAnsi="Times New Roman"/>
          <w:noProof/>
          <w:u w:val="single"/>
        </w:rPr>
        <w:t>1.1 Estructura</w:t>
      </w:r>
      <w:r>
        <w:rPr>
          <w:noProof/>
        </w:rPr>
        <w:tab/>
        <w:t>2</w:t>
      </w:r>
    </w:p>
    <w:p>
      <w:pPr>
        <w:pStyle w:val="TOC2"/>
        <w:rPr>
          <w:rFonts w:eastAsiaTheme="minorEastAsia"/>
          <w:noProof/>
          <w:lang w:eastAsia="es-ES"/>
        </w:rPr>
      </w:pPr>
      <w:r>
        <w:rPr>
          <w:rFonts w:ascii="Times New Roman" w:hAnsi="Times New Roman"/>
          <w:noProof/>
          <w:u w:val="single"/>
        </w:rPr>
        <w:t>1.2 Convenio de numeración</w:t>
      </w:r>
      <w:r>
        <w:rPr>
          <w:noProof/>
        </w:rPr>
        <w:tab/>
        <w:t>2</w:t>
      </w:r>
    </w:p>
    <w:p>
      <w:pPr>
        <w:pStyle w:val="TOC2"/>
        <w:rPr>
          <w:rFonts w:eastAsiaTheme="minorEastAsia"/>
          <w:noProof/>
          <w:lang w:eastAsia="es-ES"/>
        </w:rPr>
      </w:pPr>
      <w:r>
        <w:rPr>
          <w:rFonts w:ascii="Times New Roman" w:hAnsi="Times New Roman"/>
          <w:noProof/>
          <w:u w:val="single"/>
        </w:rPr>
        <w:t>1.3 Convención de signos</w:t>
      </w:r>
      <w:r>
        <w:rPr>
          <w:noProof/>
        </w:rPr>
        <w:tab/>
        <w:t>2</w:t>
      </w:r>
    </w:p>
    <w:p>
      <w:pPr>
        <w:pStyle w:val="TOC2"/>
        <w:rPr>
          <w:rFonts w:eastAsiaTheme="minorEastAsia"/>
          <w:noProof/>
          <w:lang w:eastAsia="es-ES"/>
        </w:rPr>
      </w:pPr>
      <w:r>
        <w:rPr>
          <w:rFonts w:ascii="Times New Roman" w:hAnsi="Times New Roman"/>
          <w:noProof/>
          <w:u w:val="single"/>
        </w:rPr>
        <w:t>1.4 Consolidación prudencial</w:t>
      </w:r>
      <w:r>
        <w:rPr>
          <w:noProof/>
        </w:rPr>
        <w:tab/>
        <w:t>2</w:t>
      </w:r>
    </w:p>
    <w:p>
      <w:pPr>
        <w:pStyle w:val="TOC2"/>
        <w:rPr>
          <w:rFonts w:eastAsiaTheme="minorEastAsia"/>
          <w:noProof/>
          <w:lang w:eastAsia="es-ES"/>
        </w:rPr>
      </w:pPr>
      <w:r>
        <w:rPr>
          <w:rFonts w:ascii="Times New Roman" w:hAnsi="Times New Roman"/>
          <w:noProof/>
        </w:rPr>
        <w:t>PARTE II: INSTRUCCIONES RELATIVAS A LAS PLANTILLAS</w:t>
      </w:r>
      <w:r>
        <w:rPr>
          <w:noProof/>
        </w:rPr>
        <w:tab/>
        <w:t>3</w:t>
      </w:r>
    </w:p>
    <w:p>
      <w:pPr>
        <w:pStyle w:val="TOC2"/>
        <w:rPr>
          <w:rFonts w:eastAsiaTheme="minorEastAsia"/>
          <w:noProof/>
          <w:lang w:eastAsia="es-ES"/>
        </w:rPr>
      </w:pPr>
      <w:r>
        <w:rPr>
          <w:rFonts w:ascii="Times New Roman" w:hAnsi="Times New Roman"/>
          <w:b/>
          <w:noProof/>
        </w:rPr>
        <w:t>1. FONDOS PROPIOS: NIVEL, COMPOSICIÓN, REQUISITOS Y CÁLCULO</w:t>
      </w:r>
      <w:r>
        <w:rPr>
          <w:noProof/>
        </w:rPr>
        <w:tab/>
        <w:t>3</w:t>
      </w:r>
    </w:p>
    <w:p>
      <w:pPr>
        <w:pStyle w:val="TOC2"/>
        <w:rPr>
          <w:rFonts w:eastAsiaTheme="minorEastAsia"/>
          <w:noProof/>
          <w:lang w:eastAsia="es-ES"/>
        </w:rPr>
      </w:pPr>
      <w:r>
        <w:rPr>
          <w:rFonts w:ascii="Times New Roman" w:hAnsi="Times New Roman"/>
          <w:noProof/>
        </w:rPr>
        <w:t>1.1 Observaciones generales</w:t>
      </w:r>
      <w:r>
        <w:rPr>
          <w:noProof/>
        </w:rPr>
        <w:tab/>
        <w:t>3</w:t>
      </w:r>
    </w:p>
    <w:p>
      <w:pPr>
        <w:pStyle w:val="TOC2"/>
        <w:rPr>
          <w:rFonts w:eastAsiaTheme="minorEastAsia"/>
          <w:noProof/>
          <w:lang w:eastAsia="es-ES"/>
        </w:rPr>
      </w:pPr>
      <w:r>
        <w:rPr>
          <w:rFonts w:ascii="Times New Roman" w:hAnsi="Times New Roman"/>
          <w:noProof/>
        </w:rPr>
        <w:t>1.2. I 01.01 — COMPOSICIÓN DE LOS FONDOS PROPIOS (I 1.1)</w:t>
      </w:r>
      <w:r>
        <w:rPr>
          <w:noProof/>
        </w:rPr>
        <w:tab/>
        <w:t>3</w:t>
      </w:r>
    </w:p>
    <w:p>
      <w:pPr>
        <w:pStyle w:val="TOC2"/>
        <w:rPr>
          <w:rFonts w:eastAsiaTheme="minorEastAsia"/>
          <w:noProof/>
          <w:lang w:eastAsia="es-ES"/>
        </w:rPr>
      </w:pPr>
      <w:r>
        <w:rPr>
          <w:rFonts w:ascii="Times New Roman" w:hAnsi="Times New Roman"/>
          <w:noProof/>
        </w:rPr>
        <w:t>1.2.1.</w:t>
      </w:r>
      <w:r>
        <w:rPr>
          <w:rFonts w:eastAsiaTheme="minorEastAsia"/>
          <w:noProof/>
          <w:lang w:eastAsia="es-ES"/>
        </w:rPr>
        <w:tab/>
      </w:r>
      <w:r>
        <w:rPr>
          <w:rFonts w:ascii="Times New Roman" w:hAnsi="Times New Roman"/>
          <w:noProof/>
        </w:rPr>
        <w:t>Instrucciones relativas a posiciones concretas</w:t>
      </w:r>
      <w:r>
        <w:rPr>
          <w:noProof/>
        </w:rPr>
        <w:tab/>
        <w:t>3</w:t>
      </w:r>
    </w:p>
    <w:p>
      <w:pPr>
        <w:pStyle w:val="TOC2"/>
        <w:rPr>
          <w:rFonts w:eastAsiaTheme="minorEastAsia"/>
          <w:noProof/>
          <w:lang w:eastAsia="es-ES"/>
        </w:rPr>
      </w:pPr>
      <w:r>
        <w:rPr>
          <w:rFonts w:ascii="Times New Roman" w:hAnsi="Times New Roman"/>
          <w:noProof/>
        </w:rPr>
        <w:t>1.3 I 02.03 — REQUISITOS DE FONDOS PROPIOS (I 2.3)</w:t>
      </w:r>
      <w:r>
        <w:rPr>
          <w:noProof/>
        </w:rPr>
        <w:tab/>
        <w:t>8</w:t>
      </w:r>
    </w:p>
    <w:p>
      <w:pPr>
        <w:pStyle w:val="TOC2"/>
        <w:rPr>
          <w:rFonts w:eastAsiaTheme="minorEastAsia"/>
          <w:noProof/>
          <w:lang w:eastAsia="es-ES"/>
        </w:rPr>
      </w:pPr>
      <w:r>
        <w:rPr>
          <w:rFonts w:ascii="Times New Roman" w:hAnsi="Times New Roman"/>
          <w:noProof/>
        </w:rPr>
        <w:t>1.3.1.</w:t>
      </w:r>
      <w:r>
        <w:rPr>
          <w:rFonts w:eastAsiaTheme="minorEastAsia"/>
          <w:noProof/>
          <w:lang w:eastAsia="es-ES"/>
        </w:rPr>
        <w:tab/>
      </w:r>
      <w:r>
        <w:rPr>
          <w:rFonts w:ascii="Times New Roman" w:hAnsi="Times New Roman"/>
          <w:noProof/>
          <w:u w:val="single"/>
        </w:rPr>
        <w:t>Instrucciones relativas a posiciones concretas</w:t>
      </w:r>
      <w:r>
        <w:rPr>
          <w:noProof/>
        </w:rPr>
        <w:tab/>
        <w:t>8</w:t>
      </w:r>
    </w:p>
    <w:p>
      <w:pPr>
        <w:pStyle w:val="TOC2"/>
        <w:rPr>
          <w:rFonts w:eastAsiaTheme="minorEastAsia"/>
          <w:noProof/>
          <w:lang w:eastAsia="es-ES"/>
        </w:rPr>
      </w:pPr>
      <w:r>
        <w:rPr>
          <w:rFonts w:ascii="Times New Roman" w:hAnsi="Times New Roman"/>
          <w:noProof/>
        </w:rPr>
        <w:t>1.4. I 02.04 — RATIOS DE CAPITAL (I 2.4)</w:t>
      </w:r>
      <w:r>
        <w:rPr>
          <w:noProof/>
        </w:rPr>
        <w:tab/>
        <w:t>9</w:t>
      </w:r>
    </w:p>
    <w:p>
      <w:pPr>
        <w:pStyle w:val="TOC2"/>
        <w:rPr>
          <w:rFonts w:eastAsiaTheme="minorEastAsia"/>
          <w:noProof/>
          <w:lang w:eastAsia="es-ES"/>
        </w:rPr>
      </w:pPr>
      <w:r>
        <w:rPr>
          <w:rFonts w:ascii="Times New Roman" w:hAnsi="Times New Roman"/>
          <w:noProof/>
        </w:rPr>
        <w:t>1.4.1.</w:t>
      </w:r>
      <w:r>
        <w:rPr>
          <w:rFonts w:eastAsiaTheme="minorEastAsia"/>
          <w:noProof/>
          <w:lang w:eastAsia="es-ES"/>
        </w:rPr>
        <w:tab/>
      </w:r>
      <w:r>
        <w:rPr>
          <w:rFonts w:ascii="Times New Roman" w:hAnsi="Times New Roman"/>
          <w:noProof/>
          <w:u w:val="single"/>
        </w:rPr>
        <w:t>Instrucciones relativas a posiciones concretas</w:t>
      </w:r>
      <w:r>
        <w:rPr>
          <w:noProof/>
        </w:rPr>
        <w:tab/>
        <w:t>9</w:t>
      </w:r>
    </w:p>
    <w:p>
      <w:pPr>
        <w:pStyle w:val="TOC2"/>
        <w:rPr>
          <w:rFonts w:eastAsiaTheme="minorEastAsia"/>
          <w:noProof/>
          <w:lang w:eastAsia="es-ES"/>
        </w:rPr>
      </w:pPr>
      <w:r>
        <w:rPr>
          <w:rFonts w:ascii="Times New Roman" w:hAnsi="Times New Roman"/>
          <w:noProof/>
        </w:rPr>
        <w:t>1.5. I 03.01 — CÁLCULO DEL REQUISITO BASADO EN LOS GASTOS FIJOS GENERALES (I 3.1)</w:t>
      </w:r>
      <w:r>
        <w:rPr>
          <w:noProof/>
        </w:rPr>
        <w:tab/>
        <w:t>…………………………………………………………………………………………………………………………………….10</w:t>
      </w:r>
    </w:p>
    <w:p>
      <w:pPr>
        <w:pStyle w:val="TOC2"/>
        <w:rPr>
          <w:rFonts w:eastAsiaTheme="minorEastAsia"/>
          <w:noProof/>
          <w:lang w:eastAsia="es-ES"/>
        </w:rPr>
      </w:pPr>
      <w:r>
        <w:rPr>
          <w:rFonts w:ascii="Times New Roman" w:hAnsi="Times New Roman"/>
          <w:noProof/>
        </w:rPr>
        <w:t>1.5.1.</w:t>
      </w:r>
      <w:r>
        <w:rPr>
          <w:rFonts w:ascii="Times New Roman" w:hAnsi="Times New Roman"/>
          <w:noProof/>
        </w:rPr>
        <w:tab/>
      </w:r>
      <w:r>
        <w:rPr>
          <w:rFonts w:ascii="Times New Roman" w:hAnsi="Times New Roman"/>
          <w:noProof/>
          <w:u w:val="single"/>
        </w:rPr>
        <w:t>Instrucciones relativas a posiciones concretas</w:t>
      </w:r>
      <w:r>
        <w:rPr>
          <w:noProof/>
        </w:rPr>
        <w:tab/>
        <w:t>10</w:t>
      </w:r>
    </w:p>
    <w:p>
      <w:pPr>
        <w:pStyle w:val="TOC2"/>
        <w:rPr>
          <w:rFonts w:eastAsiaTheme="minorEastAsia"/>
          <w:noProof/>
          <w:lang w:eastAsia="es-ES"/>
        </w:rPr>
      </w:pPr>
      <w:r>
        <w:rPr>
          <w:rFonts w:ascii="Times New Roman" w:hAnsi="Times New Roman"/>
          <w:noProof/>
        </w:rPr>
        <w:t>2. EMPRESAS DE SERVICIOS DE INVERSIÓN PEQUEÑAS Y NO INTERCONECTADAS</w:t>
      </w:r>
      <w:r>
        <w:rPr>
          <w:noProof/>
        </w:rPr>
        <w:tab/>
        <w:t>13</w:t>
      </w:r>
    </w:p>
    <w:p>
      <w:pPr>
        <w:pStyle w:val="TOC2"/>
        <w:rPr>
          <w:rFonts w:eastAsiaTheme="minorEastAsia"/>
          <w:noProof/>
          <w:lang w:eastAsia="es-ES"/>
        </w:rPr>
      </w:pPr>
      <w:r>
        <w:rPr>
          <w:rFonts w:ascii="Times New Roman" w:hAnsi="Times New Roman"/>
          <w:noProof/>
        </w:rPr>
        <w:t>2.1.</w:t>
      </w:r>
      <w:r>
        <w:rPr>
          <w:rFonts w:ascii="Times New Roman" w:hAnsi="Times New Roman"/>
          <w:noProof/>
        </w:rPr>
        <w:tab/>
      </w:r>
      <w:r>
        <w:rPr>
          <w:rFonts w:ascii="Times New Roman" w:hAnsi="Times New Roman"/>
          <w:noProof/>
          <w:u w:val="single"/>
        </w:rPr>
        <w:t>I 05.00 — NIVEL DE ACTIVIDAD — REVISIÓN DEL UMBRAL (I 5)</w:t>
      </w:r>
      <w:r>
        <w:rPr>
          <w:noProof/>
        </w:rPr>
        <w:tab/>
        <w:t>13</w:t>
      </w:r>
    </w:p>
    <w:p>
      <w:pPr>
        <w:pStyle w:val="TOC2"/>
        <w:rPr>
          <w:rFonts w:eastAsiaTheme="minorEastAsia"/>
          <w:noProof/>
          <w:lang w:eastAsia="es-ES"/>
        </w:rPr>
      </w:pPr>
      <w:r>
        <w:rPr>
          <w:rFonts w:ascii="Times New Roman" w:hAnsi="Times New Roman"/>
          <w:noProof/>
        </w:rPr>
        <w:t>2.1.1.</w:t>
      </w:r>
      <w:r>
        <w:rPr>
          <w:rFonts w:eastAsiaTheme="minorEastAsia"/>
          <w:noProof/>
          <w:lang w:eastAsia="es-ES"/>
        </w:rPr>
        <w:tab/>
      </w:r>
      <w:r>
        <w:rPr>
          <w:rFonts w:ascii="Times New Roman" w:hAnsi="Times New Roman"/>
          <w:noProof/>
          <w:u w:val="single"/>
        </w:rPr>
        <w:t>Instrucciones relativas a posiciones concretas</w:t>
      </w:r>
      <w:r>
        <w:rPr>
          <w:noProof/>
        </w:rPr>
        <w:tab/>
        <w:t>13</w:t>
      </w:r>
    </w:p>
    <w:p>
      <w:pPr>
        <w:pStyle w:val="TOC2"/>
        <w:rPr>
          <w:rFonts w:eastAsiaTheme="minorEastAsia"/>
          <w:noProof/>
          <w:lang w:eastAsia="es-ES"/>
        </w:rPr>
      </w:pPr>
      <w:r>
        <w:rPr>
          <w:rFonts w:ascii="Times New Roman" w:hAnsi="Times New Roman"/>
          <w:b/>
          <w:noProof/>
        </w:rPr>
        <w:t>3. REQUISITOS DE LIQUIDEZ</w:t>
      </w:r>
      <w:r>
        <w:rPr>
          <w:noProof/>
        </w:rPr>
        <w:tab/>
        <w:t>16</w:t>
      </w:r>
    </w:p>
    <w:p>
      <w:pPr>
        <w:pStyle w:val="TOC2"/>
        <w:rPr>
          <w:rFonts w:eastAsiaTheme="minorEastAsia"/>
          <w:noProof/>
          <w:lang w:eastAsia="es-ES"/>
        </w:rPr>
      </w:pPr>
      <w:r>
        <w:rPr>
          <w:rFonts w:ascii="Times New Roman" w:hAnsi="Times New Roman"/>
          <w:noProof/>
          <w:u w:val="single"/>
        </w:rPr>
        <w:t>3.1 I 09.01 — REQUISITOS DE LIQUIDEZ (I 9.1)</w:t>
      </w:r>
      <w:r>
        <w:rPr>
          <w:noProof/>
        </w:rPr>
        <w:tab/>
        <w:t>16</w:t>
      </w:r>
    </w:p>
    <w:p>
      <w:pPr>
        <w:pStyle w:val="TOC2"/>
        <w:rPr>
          <w:rFonts w:eastAsiaTheme="minorEastAsia"/>
          <w:noProof/>
          <w:lang w:eastAsia="es-ES"/>
        </w:rPr>
      </w:pPr>
      <w:r>
        <w:rPr>
          <w:rFonts w:ascii="Times New Roman" w:hAnsi="Times New Roman"/>
          <w:noProof/>
        </w:rPr>
        <w:t>3.1.1.</w:t>
      </w:r>
      <w:r>
        <w:rPr>
          <w:rFonts w:eastAsiaTheme="minorEastAsia"/>
          <w:noProof/>
          <w:lang w:eastAsia="es-ES"/>
        </w:rPr>
        <w:tab/>
      </w:r>
      <w:r>
        <w:rPr>
          <w:rFonts w:ascii="Times New Roman" w:hAnsi="Times New Roman"/>
          <w:noProof/>
          <w:u w:val="single"/>
        </w:rPr>
        <w:t>Instrucciones relativas a posiciones concretas</w:t>
      </w:r>
      <w:r>
        <w:rPr>
          <w:noProof/>
        </w:rPr>
        <w:tab/>
        <w:t>16</w:t>
      </w:r>
      <w:bookmarkStart w:id="7" w:name="_Toc360188322"/>
      <w:bookmarkStart w:id="8" w:name="_Toc473560870"/>
      <w:bookmarkStart w:id="9" w:name="_Toc7084155"/>
    </w:p>
    <w:p>
      <w:pPr>
        <w:pStyle w:val="Heading2"/>
        <w:rPr>
          <w:rFonts w:ascii="Times New Roman" w:hAnsi="Times New Roman"/>
        </w:rPr>
      </w:pPr>
      <w:bookmarkStart w:id="10" w:name="_Toc87956696"/>
      <w:r>
        <w:rPr>
          <w:rFonts w:ascii="Times New Roman" w:hAnsi="Times New Roman"/>
        </w:rPr>
        <w:t>PARTE I: INSTRUCCIONES GENERALES</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956697"/>
      <w:r>
        <w:rPr>
          <w:rFonts w:ascii="Times New Roman" w:hAnsi="Times New Roman"/>
          <w:sz w:val="24"/>
          <w:szCs w:val="24"/>
        </w:rPr>
        <w:t>1. Estructura y convenciones</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956698"/>
      <w:r>
        <w:rPr>
          <w:rFonts w:ascii="Times New Roman" w:hAnsi="Times New Roman"/>
          <w:sz w:val="24"/>
          <w:szCs w:val="24"/>
          <w:u w:val="single"/>
        </w:rPr>
        <w:t>1.1 Estructura</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En general, el marco consiste en los siguientes bloques de información:</w:t>
      </w:r>
    </w:p>
    <w:p>
      <w:pPr>
        <w:spacing w:line="256" w:lineRule="auto"/>
        <w:ind w:left="1728" w:hanging="648"/>
        <w:jc w:val="both"/>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ab/>
      </w:r>
      <w:r>
        <w:rPr>
          <w:rFonts w:ascii="Times New Roman" w:hAnsi="Times New Roman"/>
        </w:rPr>
        <w:t>Fondos propios;</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Cálculos de los requisitos de fondos propios;</w:t>
      </w:r>
    </w:p>
    <w:p>
      <w:pPr>
        <w:spacing w:line="256" w:lineRule="auto"/>
        <w:ind w:left="1728" w:hanging="648"/>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rPr>
        <w:t>Cálculo de los requisitos basado en los gastos fijos generales;</w:t>
      </w:r>
    </w:p>
    <w:p>
      <w:pPr>
        <w:spacing w:line="256" w:lineRule="auto"/>
        <w:ind w:left="1728" w:hanging="648"/>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rPr>
        <w:t>Nivel de actividad con respecto las condiciones establecidas en el artículo 12, apartado 1, del Reglamento (UE) 2019/2033;</w:t>
      </w:r>
    </w:p>
    <w:p>
      <w:pPr>
        <w:spacing w:line="256" w:lineRule="auto"/>
        <w:ind w:left="1728" w:hanging="648"/>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r>
      <w:r>
        <w:rPr>
          <w:rFonts w:ascii="Times New Roman" w:hAnsi="Times New Roman"/>
        </w:rPr>
        <w:t>Requisitos de liquidez.</w:t>
      </w:r>
    </w:p>
    <w:p>
      <w:pPr>
        <w:pStyle w:val="InstructionsText2"/>
        <w:numPr>
          <w:ilvl w:val="0"/>
          <w:numId w:val="0"/>
        </w:numPr>
        <w:ind w:left="360" w:hanging="360"/>
      </w:pPr>
      <w:r>
        <w:t>2.</w:t>
      </w:r>
      <w:r>
        <w:tab/>
        <w:t>Se facilitan referencias legales para cada plantilla. En esta parte del Reglamento se ofrecen otros datos pormenorizados sobre aspectos más generales de la información de cada bloque de plantillas, instrucciones sobre determinadas posiciones, así como normas de validación.</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956699"/>
      <w:r>
        <w:rPr>
          <w:rFonts w:ascii="Times New Roman" w:hAnsi="Times New Roman"/>
          <w:sz w:val="24"/>
          <w:szCs w:val="24"/>
          <w:u w:val="single"/>
        </w:rPr>
        <w:t>1.2 Convenio de numeración</w:t>
      </w:r>
      <w:bookmarkEnd w:id="13"/>
    </w:p>
    <w:p>
      <w:pPr>
        <w:pStyle w:val="InstructionsText2"/>
        <w:numPr>
          <w:ilvl w:val="0"/>
          <w:numId w:val="0"/>
        </w:numPr>
        <w:ind w:left="360" w:hanging="360"/>
      </w:pPr>
      <w:r>
        <w:t>3.</w:t>
      </w:r>
      <w:r>
        <w:tab/>
        <w:t>El documento sigue la convención sobre designación que se detalla en los puntos 4 a 7 en lo que se refiere a las columnas, filas y celdas de las plantillas. Estos códigos numéricos se utilizan ampliamente en las normas de validación.</w:t>
      </w:r>
    </w:p>
    <w:p>
      <w:pPr>
        <w:pStyle w:val="InstructionsText2"/>
        <w:numPr>
          <w:ilvl w:val="0"/>
          <w:numId w:val="0"/>
        </w:numPr>
        <w:ind w:left="360" w:hanging="360"/>
      </w:pPr>
      <w:r>
        <w:t>4.</w:t>
      </w:r>
      <w:r>
        <w:tab/>
        <w:t>En las instrucciones se utiliza la notación general que sigue: {Plantilla; Fila; Columna}.</w:t>
      </w:r>
    </w:p>
    <w:p>
      <w:pPr>
        <w:pStyle w:val="InstructionsText2"/>
        <w:numPr>
          <w:ilvl w:val="0"/>
          <w:numId w:val="0"/>
        </w:numPr>
        <w:ind w:left="360" w:hanging="360"/>
      </w:pPr>
      <w:r>
        <w:t>5.</w:t>
      </w:r>
      <w:r>
        <w:tab/>
        <w:t>En el caso de validaciones dentro de una plantilla en la que solo se utilicen puntos de datos de esa plantilla, las notaciones no hacen referencia a la plantilla: {Fila; Columna}.</w:t>
      </w:r>
    </w:p>
    <w:p>
      <w:pPr>
        <w:pStyle w:val="InstructionsText2"/>
        <w:numPr>
          <w:ilvl w:val="0"/>
          <w:numId w:val="0"/>
        </w:numPr>
        <w:ind w:left="360" w:hanging="360"/>
      </w:pPr>
      <w:r>
        <w:t>6.</w:t>
      </w:r>
      <w:r>
        <w:tab/>
        <w:t>En el caso de plantillas con una única columna, solo se hace referencia a las filas. {Plantilla; Fila}.</w:t>
      </w:r>
    </w:p>
    <w:p>
      <w:pPr>
        <w:pStyle w:val="InstructionsText2"/>
        <w:numPr>
          <w:ilvl w:val="0"/>
          <w:numId w:val="0"/>
        </w:numPr>
        <w:ind w:left="360" w:hanging="360"/>
      </w:pPr>
      <w:r>
        <w:t>7.</w:t>
      </w:r>
      <w:r>
        <w:tab/>
        <w:t>Se utiliza un asterisco para expresar que la validación se efectúa para las filas o las columnas especificadas.</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956700"/>
      <w:r>
        <w:rPr>
          <w:rFonts w:ascii="Times New Roman" w:hAnsi="Times New Roman"/>
          <w:sz w:val="24"/>
          <w:szCs w:val="24"/>
          <w:u w:val="single"/>
        </w:rPr>
        <w:t>1.3 Convención de signos</w:t>
      </w:r>
      <w:bookmarkEnd w:id="14"/>
    </w:p>
    <w:p>
      <w:pPr>
        <w:pStyle w:val="InstructionsText2"/>
        <w:numPr>
          <w:ilvl w:val="0"/>
          <w:numId w:val="0"/>
        </w:numPr>
        <w:ind w:left="360" w:hanging="360"/>
      </w:pPr>
      <w:r>
        <w:t>8.</w:t>
      </w:r>
      <w:r>
        <w:tab/>
        <w:t>Todo importe que eleve los fondos propios o los requisitos de fondos propios o los requisitos de liquidez debe expresarse como cifra positiva. Por el contrario, todo importe que reduzca el total de fondos propios o los requisitos de fondos propios se expresará como cifra negativa. Cuando un signo negativo (-) preceda a la designación de un elemento, no se declarará ninguna cifra positiva para dicho elemento.</w:t>
      </w:r>
    </w:p>
    <w:p>
      <w:pPr>
        <w:keepNext/>
        <w:spacing w:before="240" w:after="240" w:line="240" w:lineRule="auto"/>
        <w:jc w:val="both"/>
        <w:outlineLvl w:val="1"/>
        <w:rPr>
          <w:rFonts w:ascii="Times New Roman" w:eastAsia="Arial" w:hAnsi="Times New Roman" w:cs="Times New Roman"/>
          <w:sz w:val="24"/>
          <w:szCs w:val="24"/>
          <w:u w:val="single"/>
        </w:rPr>
      </w:pPr>
      <w:bookmarkStart w:id="15" w:name="_Toc76557276"/>
      <w:bookmarkStart w:id="16" w:name="_Toc87956701"/>
      <w:r>
        <w:rPr>
          <w:rFonts w:ascii="Times New Roman" w:hAnsi="Times New Roman"/>
          <w:sz w:val="24"/>
          <w:szCs w:val="24"/>
          <w:u w:val="single"/>
        </w:rPr>
        <w:t>1.4</w:t>
      </w:r>
      <w:bookmarkEnd w:id="15"/>
      <w:r>
        <w:rPr>
          <w:rFonts w:ascii="Times New Roman" w:hAnsi="Times New Roman"/>
          <w:sz w:val="24"/>
          <w:szCs w:val="24"/>
          <w:u w:val="single"/>
        </w:rPr>
        <w:t xml:space="preserve"> Consolidación prudencial</w:t>
      </w:r>
      <w:bookmarkEnd w:id="16"/>
    </w:p>
    <w:p>
      <w:pPr>
        <w:spacing w:line="256" w:lineRule="auto"/>
        <w:ind w:left="360" w:hanging="36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r>
      <w:r>
        <w:rPr>
          <w:rFonts w:ascii="Times New Roman" w:hAnsi="Times New Roman"/>
          <w:sz w:val="24"/>
        </w:rPr>
        <w:t>Salvo que se haya concedido una exención, el Reglamento (UE) 2019/2033 y la Directiva (UE) 2019/2034 se aplican a las empresas de servicios de inversión de manera individual y en base consolidada, lo que incluye los requisitos de información de la parte séptima del Reglamento (UE) 2019/2033. El artículo 4, apartado 1, punto 11, del Reglamento (UE) 2019/2033 define una situación consolidada como una situación resultante de aplicar los requisitos del Reglamento (UE) 2019/2033 a un grupo de empresas de servicios de inversión como si las entidades del grupo formaran conjuntamente una única empresa de servicios de inversión. Tras la aplicación del artículo 7 del Reglamento (UE) 2019/2033, los grupos de empresas de servicios de inversión cumplirán los requisitos de información en todas las plantillas sobre la base de su ámbito de consolidación prudencial (que puede ser diferente de su ámbito de consolidación contable).</w:t>
      </w:r>
    </w:p>
    <w:p>
      <w:pPr>
        <w:pStyle w:val="Heading2"/>
        <w:rPr>
          <w:rFonts w:ascii="Times New Roman" w:hAnsi="Times New Roman"/>
        </w:rPr>
      </w:pPr>
      <w:bookmarkStart w:id="17" w:name="_Toc87956702"/>
      <w:r>
        <w:rPr>
          <w:rFonts w:ascii="Times New Roman" w:hAnsi="Times New Roman"/>
        </w:rPr>
        <w:lastRenderedPageBreak/>
        <w:t>PARTE II: INSTRUCCIONES RELATIVAS A LAS PLANTILLAS</w:t>
      </w:r>
      <w:bookmarkEnd w:id="7"/>
      <w:bookmarkEnd w:id="8"/>
      <w:bookmarkEnd w:id="9"/>
      <w:bookmarkEnd w:id="17"/>
    </w:p>
    <w:p>
      <w:pPr>
        <w:pStyle w:val="Instructionsberschrift2"/>
        <w:ind w:left="357" w:hanging="357"/>
        <w:rPr>
          <w:rFonts w:ascii="Times New Roman" w:hAnsi="Times New Roman" w:cs="Times New Roman"/>
          <w:b/>
          <w:sz w:val="24"/>
        </w:rPr>
      </w:pPr>
      <w:bookmarkStart w:id="18" w:name="_Toc87956703"/>
      <w:r>
        <w:rPr>
          <w:rFonts w:ascii="Times New Roman" w:hAnsi="Times New Roman"/>
          <w:b/>
          <w:sz w:val="24"/>
          <w:u w:val="none"/>
        </w:rPr>
        <w:t>1. FONDOS PROPIOS: NIVEL, COMPOSICIÓN, REQUISITOS Y CÁLCULO</w:t>
      </w:r>
      <w:bookmarkEnd w:id="18"/>
    </w:p>
    <w:p>
      <w:pPr>
        <w:pStyle w:val="Instructionsberschrift2"/>
        <w:ind w:left="357" w:hanging="357"/>
        <w:rPr>
          <w:rFonts w:ascii="Times New Roman" w:hAnsi="Times New Roman" w:cs="Times New Roman"/>
          <w:sz w:val="24"/>
        </w:rPr>
      </w:pPr>
      <w:bookmarkStart w:id="19" w:name="_Toc87956704"/>
      <w:r>
        <w:rPr>
          <w:rFonts w:ascii="Times New Roman" w:hAnsi="Times New Roman"/>
          <w:sz w:val="24"/>
          <w:u w:val="none"/>
        </w:rPr>
        <w:t xml:space="preserve">1.1 </w:t>
      </w:r>
      <w:r>
        <w:rPr>
          <w:rFonts w:ascii="Times New Roman" w:hAnsi="Times New Roman"/>
          <w:sz w:val="24"/>
        </w:rPr>
        <w:t>Observaciones generales</w:t>
      </w:r>
      <w:bookmarkEnd w:id="19"/>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La sección general de los fondos propios contiene información sobre los fondos propios que posee una empresa de servicios de inversión y sus requisitos de fondos propios. Consta de dos plantillas: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La plantilla I 01.01 contiene la composición de los fondos propios que posee una empresa de servicios de inversión: capital de nivel 1 ordinario (CET1), capital de nivel 1 adicional (AT1) y capital de nivel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Las plantillas I 02.03 e I 02.04 contienen el requisito total de fondos propios, el requisito de capital mínimo permanente, el requisito basado en sus gastos fijos generales, cualquier requisito de fondos propios adicionales y directrices, y los requisitos de fondos propios transitorios y ratios de capital.</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La plantilla I 03.01 incluye información relativa al cálculo del requisito basado en los gastos fijos generales.</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Las partidas en estas plantillas se consignan generalmente sin considerar los ajustes transitorios. Esto significa que las cifras (salvo cuando se indique específicamente el requisito transitorio de fondos propios) se calculan de conformidad a las disposiciones finales (es decir, como si no hubiera disposiciones transitorias).</w:t>
      </w:r>
    </w:p>
    <w:p>
      <w:pPr>
        <w:pStyle w:val="Instructionsberschrift2"/>
        <w:ind w:left="357" w:hanging="357"/>
        <w:rPr>
          <w:rFonts w:ascii="Times New Roman" w:hAnsi="Times New Roman" w:cs="Times New Roman"/>
          <w:sz w:val="24"/>
          <w:u w:val="none"/>
        </w:rPr>
      </w:pPr>
      <w:bookmarkStart w:id="20" w:name="_Toc87956705"/>
      <w:r>
        <w:rPr>
          <w:rFonts w:ascii="Times New Roman" w:hAnsi="Times New Roman"/>
          <w:sz w:val="24"/>
          <w:u w:val="none"/>
        </w:rPr>
        <w:t xml:space="preserve">1.2. </w:t>
      </w:r>
      <w:r>
        <w:rPr>
          <w:rFonts w:ascii="Times New Roman" w:hAnsi="Times New Roman"/>
          <w:sz w:val="24"/>
        </w:rPr>
        <w:t>I 01.01 — COMPOSICIÓN DE LOS FONDOS PROPIOS (I 1.1)</w:t>
      </w:r>
      <w:bookmarkEnd w:id="20"/>
    </w:p>
    <w:p>
      <w:pPr>
        <w:pStyle w:val="Instructionsberschrift2"/>
        <w:ind w:left="357" w:hanging="357"/>
        <w:rPr>
          <w:rFonts w:ascii="Times New Roman" w:hAnsi="Times New Roman" w:cs="Times New Roman"/>
          <w:sz w:val="24"/>
        </w:rPr>
      </w:pPr>
      <w:bookmarkStart w:id="21" w:name="_Toc87956706"/>
      <w:r>
        <w:rPr>
          <w:rFonts w:ascii="Times New Roman" w:hAnsi="Times New Roman"/>
          <w:sz w:val="24"/>
          <w:u w:val="none"/>
        </w:rPr>
        <w:t>1.2.1.</w:t>
      </w:r>
      <w:r>
        <w:tab/>
      </w:r>
      <w:r>
        <w:rPr>
          <w:rFonts w:ascii="Times New Roman" w:hAnsi="Times New Roman"/>
          <w:sz w:val="24"/>
        </w:rPr>
        <w:t>Instrucciones relativas a posiciones concretas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Los fondos propios de una empresa de servicios de inversión serán iguales a la suma de su capital de nivel 1 y su capital de nivel 2.</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 la suma total de las filas (0020 y 0380).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capital de nivel 1 es igual a la suma del capital de nivel 1 ordinario y el capital de nivel 1 adicional.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50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Cs/>
              </w:rPr>
            </w:pPr>
            <w:r>
              <w:rPr>
                <w:rFonts w:ascii="Times New Roman" w:hAnsi="Times New Roman"/>
                <w:bCs/>
              </w:rPr>
              <w:t>Se divulgará la suma total de las filas (0040 a 0060, 0090 a 0140 y 0290).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a), y artículos 27 a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No incluirá la prima de emisión conexa a los instrumentos.</w:t>
            </w:r>
          </w:p>
          <w:p>
            <w:pPr>
              <w:pStyle w:val="InstructionsText"/>
              <w:rPr>
                <w:sz w:val="22"/>
                <w:szCs w:val="22"/>
              </w:rPr>
            </w:pPr>
            <w:r>
              <w:rPr>
                <w:rStyle w:val="FormatvorlageInstructionsTabelleText"/>
                <w:rFonts w:ascii="Times New Roman" w:hAnsi="Times New Roman"/>
                <w:sz w:val="22"/>
                <w:szCs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Artículo 26, apartado 1, letra c),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Comprenden las ganancias acumuladas del ejercicio anterior, y los beneficios provisionales o de cierre de ejercicio admisibles.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 la suma total de las filas 0070 y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 de ejercicios anteriores</w:t>
            </w:r>
          </w:p>
          <w:p>
            <w:pPr>
              <w:spacing w:after="120" w:line="240" w:lineRule="auto"/>
              <w:jc w:val="both"/>
              <w:rPr>
                <w:rFonts w:ascii="Times New Roman" w:eastAsia="Times New Roman" w:hAnsi="Times New Roman" w:cs="Times New Roman"/>
              </w:rPr>
            </w:pPr>
            <w:r>
              <w:rPr>
                <w:rFonts w:ascii="Times New Roman" w:hAnsi="Times New Roman"/>
              </w:rPr>
              <w:t>Artículo 4, apartado 1, punto 123, y artículo 26, apartado 1, letra c),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En el artículo 4, apartado 1, punto 123, del Reglamento (UE) n.</w:t>
            </w:r>
            <w:r>
              <w:rPr>
                <w:rFonts w:ascii="Times New Roman" w:hAnsi="Times New Roman"/>
                <w:vertAlign w:val="superscript"/>
              </w:rPr>
              <w:t>o</w:t>
            </w:r>
            <w:r>
              <w:rPr>
                <w:rFonts w:ascii="Times New Roman" w:hAnsi="Times New Roman"/>
              </w:rPr>
              <w:t> 575/2013 se definen las ganancias acumuladas como los «resultados transferidos a ejercicios posteriores como consecuencia de la aplicación final de las pérdidas o ganancias con arreglo al marco contable aplicable».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Beneficios admisibles</w:t>
            </w:r>
          </w:p>
          <w:p>
            <w:pPr>
              <w:spacing w:after="120" w:line="240" w:lineRule="auto"/>
              <w:jc w:val="both"/>
              <w:rPr>
                <w:rFonts w:ascii="Times New Roman" w:eastAsia="Times New Roman" w:hAnsi="Times New Roman" w:cs="Times New Roman"/>
              </w:rPr>
            </w:pPr>
            <w:r>
              <w:rPr>
                <w:rFonts w:ascii="Times New Roman" w:hAnsi="Times New Roman"/>
              </w:rPr>
              <w:t>Artículo 4, apartado 1, punto 121, artículo 26, apartado 2, y artículo 36, apartado 1, letra a),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El artículo 26, apartado 2, </w:t>
            </w:r>
            <w:r>
              <w:rPr>
                <w:rStyle w:val="FormatvorlageInstructionsTabelleText"/>
                <w:rFonts w:ascii="Times New Roman" w:hAnsi="Times New Roman"/>
                <w:sz w:val="22"/>
              </w:rPr>
              <w:t>del</w:t>
            </w:r>
            <w:r>
              <w:rPr>
                <w:rFonts w:ascii="Times New Roman" w:hAnsi="Times New Roman"/>
              </w:rPr>
              <w:t xml:space="preserve"> Reglamento (UE) n.</w:t>
            </w:r>
            <w:r>
              <w:rPr>
                <w:rFonts w:ascii="Times New Roman" w:hAnsi="Times New Roman"/>
                <w:vertAlign w:val="superscript"/>
              </w:rPr>
              <w:t>o</w:t>
            </w:r>
            <w:r>
              <w:rPr>
                <w:rFonts w:ascii="Times New Roman" w:hAnsi="Times New Roman"/>
              </w:rPr>
              <w:t xml:space="preserve"> 575/2013 permite la inclusión como ganancias acumuladas de los beneficios provisionales o de cierre de ejercicio, con el consentimiento previo de las autoridades competentes, si se cumplen ciertas condiciones.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 resultado global acumulado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Artículo 26, apartado 1, letra d),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Otras reservas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4, apartado 1, punto 117, y artículo 26, apartado 1, letra e),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Del importe que se comunique se deducirá todo impuesto previsible en el momento en que se calcule.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Intereses minoritarios reconocidos en el capital de nivel 1 ordinario</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84, apartado 1, artículo 85, apartado 1, y artículo 87, apartado 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Suma de todos los importes de los intereses minoritarios de filiales que se incluye en el capital de nivel 1 ordinario consolidado.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Ajustes del capital de nivel 1 ordinario debidos a filtros prudenciales</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Artículos 32 a 35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Otros fondos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4,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EN EL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Se comunicará la suma total de las filas 0190 a 0285.</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Pérdidas del ejercicio en curso</w:t>
            </w:r>
          </w:p>
          <w:p>
            <w:pPr>
              <w:spacing w:after="120" w:line="240" w:lineRule="auto"/>
              <w:jc w:val="both"/>
              <w:rPr>
                <w:rFonts w:ascii="Times New Roman" w:eastAsia="Times New Roman" w:hAnsi="Times New Roman" w:cs="Times New Roman"/>
                <w:b/>
                <w:bCs/>
                <w:u w:val="single"/>
              </w:rPr>
            </w:pPr>
            <w:r>
              <w:rPr>
                <w:rFonts w:ascii="Times New Roman" w:hAnsi="Times New Roman"/>
              </w:rPr>
              <w:t>Artículo 36, apartado 1, letra a),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Fondo de comercio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113, artículo 36, apartado 1, letra b), y artículo 37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Otros activos intangibles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4, apartado 1, punto 115, artículo 36, apartado 1, letra b), y artículo 37, letra a),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Otros activos intangibles comprenden los activos intangibles con arreglo al marco contable aplicable, menos el fondo de comercio, también conforme a dicho marco.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Activos por impuestos diferidos que dependan de rendimientos futuros y no se deriven de diferencias temporales, deducidos los pasivos por impuestos conexos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c),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fuera del sector financiero cuyo importe exceda del 15 % de los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total en empresas distintas de entes del sector financiero que supere el 60 % de sus fondos propios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10, apartado 1,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Otras deducciones</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Suma de todas las demás deducciones de conformidad con el artículo 36, apartado 1, </w:t>
            </w:r>
            <w:r>
              <w:rPr>
                <w:rStyle w:val="FormatvorlageInstructionsTabelleText"/>
                <w:rFonts w:ascii="Times New Roman" w:hAnsi="Times New Roman"/>
                <w:sz w:val="22"/>
              </w:rPr>
              <w:t>del</w:t>
            </w:r>
            <w:r>
              <w:rPr>
                <w:rFonts w:ascii="Times New Roman" w:hAnsi="Times New Roman"/>
              </w:rPr>
              <w:t xml:space="preserve"> Reglamento (UE) n.</w:t>
            </w:r>
            <w:r>
              <w:rPr>
                <w:rFonts w:ascii="Times New Roman" w:hAnsi="Times New Roman"/>
                <w:vertAlign w:val="superscript"/>
              </w:rPr>
              <w:t>o</w:t>
            </w:r>
            <w:r>
              <w:rPr>
                <w:rFonts w:ascii="Times New Roman" w:hAnsi="Times New Roman"/>
              </w:rPr>
              <w:t> 575/2013 que no estén incluidas en ninguna de las filas 0160 a 0240 anteriores.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ORDINARIO: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Ajustes transitorios debidos a instrumentos de capital de nivel 1 ordinario en régimen de anterioridad [artículo 483, apartados 1, 2 y 3, y artículos 484 a 487 </w:t>
            </w:r>
            <w:r>
              <w:rPr>
                <w:rStyle w:val="FormatvorlageInstructionsTabelleText"/>
                <w:rFonts w:ascii="Times New Roman" w:hAnsi="Times New Roman"/>
                <w:sz w:val="22"/>
              </w:rPr>
              <w:t>del</w:t>
            </w:r>
            <w:r>
              <w:rPr>
                <w:rFonts w:ascii="Times New Roman" w:hAnsi="Times New Roman"/>
                <w:bCs/>
              </w:rPr>
              <w:t xml:space="preserve">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Ajustes transitorios debidos a intereses minoritarios adicionales [artículos 479 y 480 </w:t>
            </w:r>
            <w:r>
              <w:rPr>
                <w:rStyle w:val="FormatvorlageInstructionsTabelleText"/>
                <w:rFonts w:ascii="Times New Roman" w:hAnsi="Times New Roman"/>
                <w:sz w:val="22"/>
              </w:rPr>
              <w:t>del</w:t>
            </w:r>
            <w:r>
              <w:rPr>
                <w:rFonts w:ascii="Times New Roman" w:hAnsi="Times New Roman"/>
                <w:bCs/>
              </w:rPr>
              <w:t xml:space="preserve">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1 ordinario [artículos 469 a 478 y 481 </w:t>
            </w:r>
            <w:r>
              <w:rPr>
                <w:rStyle w:val="FormatvorlageInstructionsTabelleText"/>
                <w:rFonts w:ascii="Times New Roman" w:hAnsi="Times New Roman"/>
                <w:sz w:val="22"/>
              </w:rPr>
              <w:t>del</w:t>
            </w:r>
            <w:r>
              <w:rPr>
                <w:rFonts w:ascii="Times New Roman" w:hAnsi="Times New Roman"/>
                <w:bCs/>
              </w:rPr>
              <w:t xml:space="preserve"> Reglamento (UE) n.</w:t>
            </w:r>
            <w:r>
              <w:rPr>
                <w:rFonts w:ascii="Times New Roman" w:hAnsi="Times New Roman"/>
                <w:bCs/>
                <w:vertAlign w:val="superscript"/>
              </w:rPr>
              <w:t>o</w:t>
            </w:r>
            <w:r>
              <w:rPr>
                <w:rFonts w:ascii="Times New Roman" w:hAnsi="Times New Roman"/>
                <w:bCs/>
              </w:rPr>
              <w:t> 575/2013]: ajustes de las deducciones del capital de nivel 1 ordinario debidos a disposiciones transitorias.</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ordinario de un elemento de capital de nivel 1 ordinario que no puedan asignarse a una de las filas 0040 a 0285.</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hAnsi="Times New Roman" w:cs="Times New Roman"/>
              </w:rPr>
            </w:pPr>
            <w:r>
              <w:rPr>
                <w:rFonts w:ascii="Times New Roman" w:hAnsi="Times New Roman"/>
              </w:rPr>
              <w:t>Artículo 61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 la suma total de las filas 0310 a 0410.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a), y artículos 52, 53 y 54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completamente desembolsados, emitidos directamente».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1 ADICIONAL</w:t>
            </w:r>
          </w:p>
          <w:p>
            <w:pPr>
              <w:spacing w:before="60" w:after="60"/>
              <w:rPr>
                <w:rFonts w:ascii="Times New Roman" w:hAnsi="Times New Roman" w:cs="Times New Roman"/>
              </w:rPr>
            </w:pPr>
            <w:r>
              <w:rPr>
                <w:rFonts w:ascii="Times New Roman" w:hAnsi="Times New Roman"/>
              </w:rPr>
              <w:t>Artículo 56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1 adicional en virtud de disposiciones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Instrumentos emitidos por filiales que se reconocen en el capital de nivel 1 adicional [artículos 83, 85 y 86 del Reglamento (UE) n.</w:t>
            </w:r>
            <w:r>
              <w:rPr>
                <w:rFonts w:ascii="Times New Roman" w:hAnsi="Times New Roman"/>
                <w:bCs/>
                <w:vertAlign w:val="superscript"/>
              </w:rPr>
              <w:t>o</w:t>
            </w:r>
            <w:r>
              <w:rPr>
                <w:rFonts w:ascii="Times New Roman" w:hAnsi="Times New Roman"/>
                <w:bCs/>
              </w:rPr>
              <w:t> 575/2013]: Suma de todos los importes del capital de nivel 1 admisible de las filiales incluido en el capital de nivel 1 adicional consolidado, incluido también el capital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al reconocimiento adicional en el capital de nivel 1 adicional de instrumentos emitidos por filiales [artículo 480 del Reglamento (UE) n.</w:t>
            </w:r>
            <w:r>
              <w:rPr>
                <w:rFonts w:ascii="Times New Roman" w:hAnsi="Times New Roman"/>
                <w:bCs/>
                <w:vertAlign w:val="superscript"/>
              </w:rPr>
              <w:t>o</w:t>
            </w:r>
            <w:r>
              <w:rPr>
                <w:rFonts w:ascii="Times New Roman" w:hAnsi="Times New Roman"/>
                <w:bCs/>
              </w:rPr>
              <w:t> 575/2013]: ajustes del capital de nivel 1 admisible incluido en el capital de nivel 1 adicional consolidado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1 adicional [artículos 472, 473 </w:t>
            </w:r>
            <w:r>
              <w:rPr>
                <w:rFonts w:ascii="Times New Roman" w:hAnsi="Times New Roman"/>
                <w:bCs/>
                <w:i/>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0300 y es igual a la inversa del exceso de deducciones de los elementos de nivel 1 adicional sobre el capital de nivel 1 adicional incluido, entre otras deducciones, en la fila 0285.</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adicional de a elemento de nivel 1 adicional que no puedan asignarse a una de las filas 0310 a 0330.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2</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71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CommentText"/>
              <w:rPr>
                <w:sz w:val="22"/>
                <w:szCs w:val="22"/>
              </w:rPr>
            </w:pPr>
            <w:r>
              <w:rPr>
                <w:rFonts w:ascii="Times New Roman" w:hAnsi="Times New Roman"/>
                <w:bCs/>
                <w:sz w:val="22"/>
                <w:szCs w:val="22"/>
              </w:rPr>
              <w:t>Se comunicará la suma total de las filas 0430 a 0520.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62, letra a), y artículos 63 y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62, letra b), y artículo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pStyle w:val="InstructionsText"/>
              <w:rPr>
                <w:sz w:val="22"/>
                <w:szCs w:val="22"/>
              </w:rPr>
            </w:pPr>
            <w:r>
              <w:rPr>
                <w:rStyle w:val="FormatvorlageInstructionsTabelleText"/>
                <w:rFonts w:ascii="Times New Roman" w:hAnsi="Times New Roman"/>
                <w:sz w:val="22"/>
                <w:szCs w:val="22"/>
              </w:rPr>
              <w:t>El importe que debe consignarse en esta partida será la parte relacionada con los «Instrumentos de capital completamente desembolsados, emitidos directamente».</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2</w:t>
            </w:r>
          </w:p>
          <w:p>
            <w:pPr>
              <w:spacing w:after="120" w:line="240" w:lineRule="auto"/>
              <w:jc w:val="both"/>
              <w:rPr>
                <w:rFonts w:ascii="Times New Roman" w:hAnsi="Times New Roman" w:cs="Times New Roman"/>
              </w:rPr>
            </w:pPr>
            <w:r>
              <w:rPr>
                <w:rFonts w:ascii="Times New Roman" w:hAnsi="Times New Roman"/>
              </w:rPr>
              <w:t>Artículo 66 del Reglamento (UE) n.</w:t>
            </w:r>
            <w:r>
              <w:rPr>
                <w:rFonts w:ascii="Times New Roman" w:hAnsi="Times New Roman"/>
                <w:vertAlign w:val="superscript"/>
              </w:rPr>
              <w:t>o</w:t>
            </w:r>
            <w:r>
              <w:rPr>
                <w:rFonts w:ascii="Times New Roman" w:hAnsi="Times New Roman"/>
              </w:rPr>
              <w:t> 575/2013.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Nivel 2: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Instrumentos emitidos por filiales que se reconocen en el capital de nivel 2 [artículos 83, 87 y 88 del Reglamento (UE) n.</w:t>
            </w:r>
            <w:r>
              <w:rPr>
                <w:rFonts w:ascii="Times New Roman" w:hAnsi="Times New Roman"/>
                <w:bCs/>
                <w:vertAlign w:val="superscript"/>
              </w:rPr>
              <w:t>o</w:t>
            </w:r>
            <w:r>
              <w:rPr>
                <w:rFonts w:ascii="Times New Roman" w:hAnsi="Times New Roman"/>
                <w:bCs/>
              </w:rPr>
              <w:t> 575/2013]: Suma de todos los importes de los fondos propios admisibles de las filiales incluidos en el capital de nivel 2 consolidado, incluido también el capital de nivel 2 admisible emitido por una entidad de cometido especial [artículo 83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al reconocimiento adicional en el capital de nivel 2 de instrumentos emitidos por filiales [artículo 480 del Reglamento (UE) n.</w:t>
            </w:r>
            <w:r>
              <w:rPr>
                <w:rFonts w:ascii="Times New Roman" w:hAnsi="Times New Roman"/>
                <w:bCs/>
                <w:vertAlign w:val="superscript"/>
              </w:rPr>
              <w:t>o</w:t>
            </w:r>
            <w:r>
              <w:rPr>
                <w:rFonts w:ascii="Times New Roman" w:hAnsi="Times New Roman"/>
                <w:bCs/>
              </w:rPr>
              <w:t> 575/2013]: Ajustes de los fondos propios admisibles incluidos en el capital de nivel 2 consolidado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2 [artículos 472, 473 </w:t>
            </w:r>
            <w:r>
              <w:rPr>
                <w:rFonts w:ascii="Times New Roman" w:hAnsi="Times New Roman"/>
                <w:bCs/>
                <w:i/>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2 sobre el capital de nivel 2, deducción del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0420.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2 de un elemento de nivel 2 que no puedan asignarse a una de las filas 0430 a 0450.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bl>
    <w:p>
      <w:pPr>
        <w:pStyle w:val="Instructionsberschrift2"/>
        <w:ind w:left="357" w:hanging="357"/>
        <w:rPr>
          <w:rFonts w:ascii="Times New Roman" w:hAnsi="Times New Roman" w:cs="Times New Roman"/>
          <w:sz w:val="24"/>
          <w:u w:val="none"/>
        </w:rPr>
      </w:pPr>
      <w:bookmarkStart w:id="22" w:name="_Toc87956707"/>
      <w:r>
        <w:rPr>
          <w:rFonts w:ascii="Times New Roman" w:hAnsi="Times New Roman"/>
          <w:sz w:val="24"/>
        </w:rPr>
        <w:t>1.3 I 02.03 — REQUISITOS DE FONDOS PROPIOS (I 2.3)</w:t>
      </w:r>
      <w:bookmarkEnd w:id="22"/>
    </w:p>
    <w:p>
      <w:pPr>
        <w:keepNext/>
        <w:spacing w:before="240" w:after="240" w:line="240" w:lineRule="auto"/>
        <w:ind w:left="357" w:hanging="357"/>
        <w:jc w:val="both"/>
        <w:outlineLvl w:val="1"/>
        <w:rPr>
          <w:rFonts w:ascii="Times New Roman" w:eastAsia="Arial" w:hAnsi="Times New Roman" w:cs="Times New Roman"/>
          <w:u w:val="single"/>
        </w:rPr>
      </w:pPr>
      <w:bookmarkStart w:id="23" w:name="_Toc87956708"/>
      <w:r>
        <w:rPr>
          <w:rFonts w:ascii="Times New Roman" w:hAnsi="Times New Roman"/>
          <w:sz w:val="24"/>
          <w:szCs w:val="24"/>
        </w:rPr>
        <w:t>1.3.1.</w:t>
      </w:r>
      <w:r>
        <w:tab/>
      </w:r>
      <w:r>
        <w:rPr>
          <w:rFonts w:ascii="Times New Roman" w:hAnsi="Times New Roman"/>
          <w:sz w:val="24"/>
          <w:szCs w:val="24"/>
          <w:u w:val="single"/>
        </w:rPr>
        <w:t>Instrucciones relativas a posiciones</w:t>
      </w:r>
      <w:r>
        <w:rPr>
          <w:rFonts w:ascii="Times New Roman" w:hAnsi="Times New Roman"/>
          <w:u w:val="single"/>
        </w:rPr>
        <w:t xml:space="preserve"> concretas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Requisitos de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11, apartados 1 y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Esta partida será como máximo de las filas 0020 y 0030.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capital mínimo permanente</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14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basado en los gastos fijos generales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13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0050 – 0090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Requisitos de fondos propios transitorios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transitorio basado en los requisitos de fondos propios del Reglamento (UE) n.</w:t>
            </w:r>
            <w:r>
              <w:rPr>
                <w:rFonts w:ascii="Times New Roman" w:hAnsi="Times New Roman"/>
                <w:b/>
                <w:bCs/>
                <w:u w:val="single"/>
                <w:vertAlign w:val="superscript"/>
              </w:rPr>
              <w:t>o</w:t>
            </w:r>
            <w:r>
              <w:rPr>
                <w:rFonts w:ascii="Times New Roman" w:hAnsi="Times New Roman"/>
                <w:b/>
                <w:bCs/>
                <w:u w:val="single"/>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57, apartado 3,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transitorio basado en el requisito basado en los gastos fijos generales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57, apartado 3,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transitorio para las empresas de servicios de inversión que anteriormente solo estaban sujetas a un requisito de capital inicial</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57, apartado 4,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transitorio basado en el capital inicial obligatorio en el momento de la autorización</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57, apartado 4,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transitorio para las empresas de inversión que no están autorizadas a prestar determinados servicios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57, apartado 4, letra c),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 – 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Partidas pro memoria</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Requisitos de fondos propios adicionales</w:t>
            </w:r>
          </w:p>
          <w:p>
            <w:pPr>
              <w:spacing w:after="120" w:line="240" w:lineRule="auto"/>
              <w:jc w:val="both"/>
              <w:rPr>
                <w:rFonts w:ascii="Times New Roman" w:eastAsia="Times New Roman" w:hAnsi="Times New Roman" w:cs="Times New Roman"/>
                <w:bCs/>
              </w:rPr>
            </w:pPr>
            <w:r>
              <w:rPr>
                <w:rFonts w:ascii="Times New Roman" w:hAnsi="Times New Roman"/>
                <w:bCs/>
              </w:rPr>
              <w:t>Artículo 40 de la Directiva (UE) 2019/2034.</w:t>
            </w:r>
          </w:p>
          <w:p>
            <w:pPr>
              <w:spacing w:after="120" w:line="240" w:lineRule="auto"/>
              <w:jc w:val="both"/>
              <w:rPr>
                <w:rFonts w:ascii="Times New Roman" w:eastAsia="Times New Roman" w:hAnsi="Times New Roman" w:cs="Times New Roman"/>
                <w:b/>
                <w:bCs/>
                <w:u w:val="single"/>
              </w:rPr>
            </w:pPr>
            <w:r>
              <w:rPr>
                <w:rFonts w:ascii="Times New Roman" w:hAnsi="Times New Roman"/>
                <w:bCs/>
              </w:rPr>
              <w:t>Fondos propios adicionales requeridos tras el PRES.</w:t>
            </w:r>
            <w:r>
              <w:rPr>
                <w:rFonts w:ascii="Times New Roman" w:hAnsi="Times New Roman"/>
                <w:b/>
                <w:bCs/>
                <w:u w:val="singl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Requisitos de fondos propios totales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Los requisitos totales de fondos propios de una empresa de inversión consistirán en la suma de sus requisitos de fondos propios aplicables en la fecha de referencia, los requisitos adicionales de fondos propios indicados en la fila 0110 y las directrices de fondos propios adicionales de la fila 0120.</w:t>
            </w:r>
          </w:p>
        </w:tc>
      </w:tr>
    </w:tbl>
    <w:p>
      <w:pPr>
        <w:pStyle w:val="Instructionsberschrift2"/>
        <w:ind w:left="357" w:hanging="357"/>
        <w:rPr>
          <w:rFonts w:ascii="Times New Roman" w:hAnsi="Times New Roman" w:cs="Times New Roman"/>
          <w:sz w:val="24"/>
        </w:rPr>
      </w:pPr>
      <w:bookmarkStart w:id="24" w:name="_Toc87956709"/>
      <w:r>
        <w:rPr>
          <w:rFonts w:ascii="Times New Roman" w:hAnsi="Times New Roman"/>
          <w:sz w:val="24"/>
        </w:rPr>
        <w:t>1.4. I 02.04 — RATIOS DE CAPITAL (I 2.4)</w:t>
      </w:r>
      <w:bookmarkEnd w:id="2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87956710"/>
      <w:r>
        <w:rPr>
          <w:rFonts w:ascii="Times New Roman" w:hAnsi="Times New Roman"/>
          <w:sz w:val="24"/>
          <w:szCs w:val="24"/>
        </w:rPr>
        <w:t>1.4.1.</w:t>
      </w:r>
      <w:r>
        <w:tab/>
      </w:r>
      <w:r>
        <w:rPr>
          <w:rFonts w:ascii="Times New Roman" w:hAnsi="Times New Roman"/>
          <w:sz w:val="24"/>
          <w:szCs w:val="24"/>
          <w:u w:val="single"/>
        </w:rPr>
        <w:t>Instrucciones relativas a posiciones concretas</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a), y artículo 11, apartados 1 y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de nivel 1 ordinario</w:t>
            </w:r>
          </w:p>
          <w:p>
            <w:pPr>
              <w:spacing w:after="120" w:line="240" w:lineRule="auto"/>
              <w:jc w:val="both"/>
              <w:rPr>
                <w:rFonts w:ascii="Times New Roman" w:hAnsi="Times New Roman" w:cs="Times New Roman"/>
              </w:rPr>
            </w:pPr>
            <w:r>
              <w:rPr>
                <w:rFonts w:ascii="Times New Roman" w:hAnsi="Times New Roman"/>
              </w:rPr>
              <w:t>Esta partida muestra el superávit o déficit del capital de nivel 1 ordinario relacionado con el requisito establecido en el artículo 9,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Las disposiciones transitorias del artículo 57, apartados 3 y 4, del Reglamento (UE) 2019/2033 no se tendrán en cuenta para esta partida.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capital de nivel 1</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b), y artículo 11, apartados 1 y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de nivel 1</w:t>
            </w:r>
          </w:p>
          <w:p>
            <w:pPr>
              <w:spacing w:after="120" w:line="240" w:lineRule="auto"/>
              <w:jc w:val="both"/>
              <w:rPr>
                <w:rFonts w:ascii="Times New Roman" w:hAnsi="Times New Roman" w:cs="Times New Roman"/>
              </w:rPr>
            </w:pPr>
            <w:r>
              <w:rPr>
                <w:rFonts w:ascii="Times New Roman" w:hAnsi="Times New Roman"/>
              </w:rPr>
              <w:t xml:space="preserve">Esta partida muestra el superávit o déficit del capital de nivel 1 relacionado con el requisito establecido en el artículo 9, apartado 1, </w:t>
            </w:r>
            <w:r>
              <w:rPr>
                <w:rFonts w:ascii="Times New Roman" w:hAnsi="Times New Roman"/>
                <w:bCs/>
              </w:rPr>
              <w:t>del</w:t>
            </w:r>
            <w:r>
              <w:rPr>
                <w:rFonts w:ascii="Times New Roman" w:hAnsi="Times New Roman"/>
              </w:rPr>
              <w:t xml:space="preserve">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Las disposiciones transitorias del artículo 57, apartados 3 y 4, </w:t>
            </w:r>
            <w:r>
              <w:rPr>
                <w:rFonts w:ascii="Times New Roman" w:hAnsi="Times New Roman"/>
                <w:bCs/>
              </w:rPr>
              <w:t>del</w:t>
            </w:r>
            <w:r>
              <w:rPr>
                <w:rFonts w:ascii="Times New Roman" w:hAnsi="Times New Roman"/>
              </w:rPr>
              <w:t xml:space="preserve"> Reglamento (UE) 2019/2033 no se tendrán en cuenta para esta partida.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letra c), y artículo 11, apartados 1 y 2,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partida se expresa en porcentaje.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Superávit (+)/déficit (-) de capital total</w:t>
            </w:r>
          </w:p>
          <w:p>
            <w:pPr>
              <w:spacing w:after="120" w:line="240" w:lineRule="auto"/>
              <w:jc w:val="both"/>
              <w:rPr>
                <w:rFonts w:ascii="Times New Roman" w:hAnsi="Times New Roman" w:cs="Times New Roman"/>
              </w:rPr>
            </w:pPr>
            <w:r>
              <w:rPr>
                <w:rFonts w:ascii="Times New Roman" w:hAnsi="Times New Roman"/>
              </w:rPr>
              <w:t xml:space="preserve">Esta partida muestra el superávit o déficit de fondos propios en relación con el requisito establecido en el artículo 9, apartado 1, </w:t>
            </w:r>
            <w:r>
              <w:rPr>
                <w:rFonts w:ascii="Times New Roman" w:hAnsi="Times New Roman"/>
                <w:bCs/>
              </w:rPr>
              <w:t>del</w:t>
            </w:r>
            <w:r>
              <w:rPr>
                <w:rFonts w:ascii="Times New Roman" w:hAnsi="Times New Roman"/>
              </w:rPr>
              <w:t xml:space="preserve">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Las disposiciones transitorias del artículo 57, apartados 3 y 4, </w:t>
            </w:r>
            <w:r>
              <w:rPr>
                <w:rFonts w:ascii="Times New Roman" w:hAnsi="Times New Roman"/>
                <w:bCs/>
              </w:rPr>
              <w:t>del</w:t>
            </w:r>
            <w:r>
              <w:rPr>
                <w:rFonts w:ascii="Times New Roman" w:hAnsi="Times New Roman"/>
              </w:rPr>
              <w:t xml:space="preserve"> Reglamento (UE) 2019/2033 no se tendrán en cuenta para esta partida.</w:t>
            </w:r>
          </w:p>
        </w:tc>
      </w:tr>
    </w:tbl>
    <w:p>
      <w:pPr>
        <w:rPr>
          <w:rFonts w:ascii="Times New Roman" w:eastAsia="Arial" w:hAnsi="Times New Roman" w:cs="Times New Roman"/>
          <w:sz w:val="24"/>
          <w:szCs w:val="24"/>
          <w:u w:val="single"/>
        </w:rPr>
      </w:pPr>
    </w:p>
    <w:p>
      <w:pPr>
        <w:pStyle w:val="Instructionsberschrift2"/>
        <w:ind w:left="357" w:hanging="357"/>
        <w:rPr>
          <w:rFonts w:ascii="Times New Roman" w:hAnsi="Times New Roman" w:cs="Times New Roman"/>
          <w:sz w:val="24"/>
        </w:rPr>
      </w:pPr>
      <w:bookmarkStart w:id="26" w:name="_Toc87956711"/>
      <w:r>
        <w:rPr>
          <w:rFonts w:ascii="Times New Roman" w:hAnsi="Times New Roman"/>
          <w:sz w:val="24"/>
        </w:rPr>
        <w:t>1.5. I 03.01 — CÁLCULO DEL REQUISITO BASADO EN LOS GASTOS FIJOS GENERALES (I 3.1)</w:t>
      </w:r>
      <w:bookmarkEnd w:id="2"/>
      <w:bookmarkEnd w:id="3"/>
      <w:bookmarkEnd w:id="26"/>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7" w:name="_Toc310414968"/>
      <w:bookmarkStart w:id="28" w:name="_Toc360188326"/>
      <w:bookmarkStart w:id="29" w:name="_Toc473560874"/>
      <w:bookmarkStart w:id="30" w:name="_Toc7084159"/>
      <w:bookmarkStart w:id="31" w:name="_Toc87956712"/>
      <w:bookmarkStart w:id="32" w:name="_Toc308175821"/>
      <w:r>
        <w:rPr>
          <w:rFonts w:ascii="Times New Roman" w:hAnsi="Times New Roman"/>
          <w:sz w:val="24"/>
          <w:szCs w:val="24"/>
        </w:rPr>
        <w:t>1.5.1.</w:t>
      </w:r>
      <w:r>
        <w:rPr>
          <w:rFonts w:ascii="Times New Roman" w:hAnsi="Times New Roman"/>
          <w:sz w:val="24"/>
          <w:szCs w:val="24"/>
        </w:rPr>
        <w:tab/>
      </w:r>
      <w:r>
        <w:rPr>
          <w:rFonts w:ascii="Times New Roman" w:hAnsi="Times New Roman"/>
          <w:sz w:val="24"/>
          <w:szCs w:val="24"/>
          <w:u w:val="single"/>
        </w:rPr>
        <w:t xml:space="preserve">Instrucciones relativas a posiciones </w:t>
      </w:r>
      <w:bookmarkEnd w:id="27"/>
      <w:bookmarkEnd w:id="32"/>
      <w:r>
        <w:rPr>
          <w:rFonts w:ascii="Times New Roman" w:hAnsi="Times New Roman"/>
          <w:sz w:val="24"/>
          <w:szCs w:val="24"/>
          <w:u w:val="single"/>
        </w:rPr>
        <w:t>concretas</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Fila</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Referencias legales e instrucciones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Requisito basado en los gastos fijos generales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1, del Reglamento (UE) 2019/2033.</w:t>
            </w:r>
          </w:p>
          <w:p>
            <w:pPr>
              <w:spacing w:after="120" w:line="240" w:lineRule="auto"/>
              <w:jc w:val="both"/>
              <w:rPr>
                <w:rFonts w:ascii="Times New Roman" w:hAnsi="Times New Roman" w:cs="Times New Roman"/>
              </w:rPr>
            </w:pPr>
            <w:r>
              <w:rPr>
                <w:rFonts w:ascii="Times New Roman" w:hAnsi="Times New Roman"/>
              </w:rPr>
              <w:t>El importe comunicado será al menos el 25 % de los gastos fijos generales anuales del ejercicio anterior (fila 0020).</w:t>
            </w:r>
          </w:p>
          <w:p>
            <w:pPr>
              <w:spacing w:after="120" w:line="240" w:lineRule="auto"/>
              <w:jc w:val="both"/>
              <w:rPr>
                <w:rFonts w:ascii="Times New Roman" w:hAnsi="Times New Roman" w:cs="Times New Roman"/>
              </w:rPr>
            </w:pPr>
            <w:r>
              <w:rPr>
                <w:rFonts w:ascii="Times New Roman" w:hAnsi="Times New Roman"/>
              </w:rPr>
              <w:t xml:space="preserve">En los casos en que se produzca un cambio significativo como se menciona en el artículo 13, apartado 2, </w:t>
            </w:r>
            <w:r>
              <w:rPr>
                <w:rFonts w:ascii="Times New Roman" w:hAnsi="Times New Roman"/>
                <w:bCs/>
              </w:rPr>
              <w:t>del</w:t>
            </w:r>
            <w:r>
              <w:rPr>
                <w:rFonts w:ascii="Times New Roman" w:hAnsi="Times New Roman"/>
              </w:rPr>
              <w:t xml:space="preserve"> Reglamento (UE) 2019/2033, el importe comunicado será el correspondiente al requisito basado en los gastos fijos generales impuesto por la autoridad competente de conformidad con dicho artículo.</w:t>
            </w:r>
          </w:p>
          <w:p>
            <w:pPr>
              <w:spacing w:after="120" w:line="240" w:lineRule="auto"/>
              <w:jc w:val="both"/>
              <w:rPr>
                <w:rFonts w:ascii="Times New Roman" w:hAnsi="Times New Roman" w:cs="Times New Roman"/>
              </w:rPr>
            </w:pPr>
            <w:r>
              <w:rPr>
                <w:rFonts w:ascii="Times New Roman" w:hAnsi="Times New Roman"/>
              </w:rPr>
              <w:t xml:space="preserve">En los casos especificados en el artículo 13, apartado 3, </w:t>
            </w:r>
            <w:r>
              <w:rPr>
                <w:rFonts w:ascii="Times New Roman" w:hAnsi="Times New Roman"/>
                <w:bCs/>
              </w:rPr>
              <w:t>del</w:t>
            </w:r>
            <w:r>
              <w:rPr>
                <w:rFonts w:ascii="Times New Roman" w:hAnsi="Times New Roman"/>
              </w:rPr>
              <w:t xml:space="preserve"> Reglamento (UE) 2019/2033, el importe que deberá comunicarse será el de los gastos fijos generales previstos del ejercicio en curso (fila 0200).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Gastos fijos generales anuales del ejercicio anterior después de la distribución de beneficios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1, del Reglamento (UE) 2019/2033.</w:t>
            </w:r>
          </w:p>
          <w:p>
            <w:pPr>
              <w:pStyle w:val="CommentText"/>
              <w:rPr>
                <w:rFonts w:ascii="Times New Roman" w:hAnsi="Times New Roman" w:cs="Times New Roman"/>
                <w:sz w:val="22"/>
                <w:szCs w:val="22"/>
              </w:rPr>
            </w:pPr>
            <w:r>
              <w:rPr>
                <w:rFonts w:ascii="Times New Roman" w:hAnsi="Times New Roman"/>
                <w:bCs/>
                <w:color w:val="000000" w:themeColor="text1"/>
                <w:sz w:val="22"/>
                <w:szCs w:val="22"/>
              </w:rPr>
              <w:t xml:space="preserve">Las empresas de servicios de inversión comunicarán los gastos fijos generales del ejercicio anterior después de la distribución de beneficios.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Gastos totales del ejercicio anterior después de la distribución de beneficios</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Artículo 13, apartado 1,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importe que debe consignarse será el que conste después de la distribución de beneficios.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De los cuales: Gastos fijos en que incurran terceros por cuenta de las empresas de servicios de inversión</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Artículo 13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Total deducciones</w:t>
            </w:r>
          </w:p>
          <w:p>
            <w:pPr>
              <w:pStyle w:val="NumPar1"/>
              <w:numPr>
                <w:ilvl w:val="0"/>
                <w:numId w:val="0"/>
              </w:numPr>
              <w:rPr>
                <w:sz w:val="22"/>
              </w:rPr>
            </w:pPr>
            <w:r>
              <w:rPr>
                <w:bCs/>
                <w:color w:val="000000" w:themeColor="text1"/>
                <w:sz w:val="22"/>
              </w:rPr>
              <w:t>Además de los elementos deducibles a que se refiere el artículo 13, apartado 4, del Reglamento (UE) 2019/2033</w:t>
            </w:r>
            <w:r>
              <w:rPr>
                <w:sz w:val="22"/>
              </w:rPr>
              <w:t>, también se deducirán de los gastos totales los siguientes elementos, cuando se incluyan en el total de gastos de conformidad con el marco contable pertinente:</w:t>
            </w:r>
          </w:p>
          <w:p>
            <w:pPr>
              <w:pStyle w:val="Point1letter"/>
              <w:numPr>
                <w:ilvl w:val="0"/>
                <w:numId w:val="0"/>
              </w:numPr>
              <w:tabs>
                <w:tab w:val="left" w:pos="1417"/>
              </w:tabs>
              <w:ind w:left="1417" w:hanging="567"/>
              <w:rPr>
                <w:sz w:val="22"/>
              </w:rPr>
            </w:pPr>
            <w:r>
              <w:rPr>
                <w:sz w:val="22"/>
              </w:rPr>
              <w:t>a)</w:t>
            </w:r>
            <w:r>
              <w:rPr>
                <w:sz w:val="22"/>
              </w:rPr>
              <w:tab/>
              <w:t>comisiones, corretaje y otros gastos abonados a entidades de contrapartida central, mercados organizados y otros centros de negociación y corredores intermedios a efectos de la ejecución, registro o compensación de operaciones, únicamente cuando se repercutan directamente y se cobren a los clientes. Estas no incluirán las comisiones y otros gastos necesarios para mantener la condición de miembro o cumplir de algún otro modo las obligaciones financieras para compartir pérdidas con entidades de contrapartida central, mercados organizados y otros centros de negociación;</w:t>
            </w:r>
          </w:p>
          <w:p>
            <w:pPr>
              <w:pStyle w:val="Point1letter"/>
              <w:numPr>
                <w:ilvl w:val="0"/>
                <w:numId w:val="0"/>
              </w:numPr>
              <w:tabs>
                <w:tab w:val="left" w:pos="1417"/>
              </w:tabs>
              <w:ind w:left="1417" w:hanging="567"/>
              <w:rPr>
                <w:sz w:val="22"/>
              </w:rPr>
            </w:pPr>
            <w:r>
              <w:rPr>
                <w:sz w:val="22"/>
              </w:rPr>
              <w:t>b)</w:t>
            </w:r>
            <w:r>
              <w:rPr>
                <w:sz w:val="22"/>
              </w:rPr>
              <w:tab/>
              <w:t>los intereses pagados a los clientes sobre el dinero de los clientes, cuando no exista obligación alguna de pagar dichos intereses;</w:t>
            </w:r>
          </w:p>
          <w:p>
            <w:pPr>
              <w:pStyle w:val="Point1letter"/>
              <w:numPr>
                <w:ilvl w:val="0"/>
                <w:numId w:val="0"/>
              </w:numPr>
              <w:tabs>
                <w:tab w:val="left" w:pos="1417"/>
              </w:tabs>
              <w:ind w:left="1417" w:hanging="567"/>
              <w:rPr>
                <w:sz w:val="22"/>
              </w:rPr>
            </w:pPr>
            <w:r>
              <w:rPr>
                <w:sz w:val="22"/>
              </w:rPr>
              <w:t>c)</w:t>
            </w:r>
            <w:r>
              <w:rPr>
                <w:sz w:val="22"/>
              </w:rPr>
              <w:tab/>
              <w:t>los gastos procedentes de impuestos cuando sean exigibles en relación con los beneficios anuales de la empresa de servicios de inversión;</w:t>
            </w:r>
          </w:p>
          <w:p>
            <w:pPr>
              <w:pStyle w:val="Point1letter"/>
              <w:numPr>
                <w:ilvl w:val="0"/>
                <w:numId w:val="0"/>
              </w:numPr>
              <w:tabs>
                <w:tab w:val="left" w:pos="1417"/>
              </w:tabs>
              <w:ind w:left="1417" w:hanging="567"/>
              <w:rPr>
                <w:sz w:val="22"/>
              </w:rPr>
            </w:pPr>
            <w:r>
              <w:rPr>
                <w:sz w:val="22"/>
              </w:rPr>
              <w:t>d)</w:t>
            </w:r>
            <w:r>
              <w:rPr>
                <w:sz w:val="22"/>
              </w:rPr>
              <w:tab/>
              <w:t>las pérdidas derivadas de la negociación por cuenta propia de instrumentos financieros;</w:t>
            </w:r>
          </w:p>
          <w:p>
            <w:pPr>
              <w:pStyle w:val="Point1letter"/>
              <w:numPr>
                <w:ilvl w:val="0"/>
                <w:numId w:val="0"/>
              </w:numPr>
              <w:tabs>
                <w:tab w:val="left" w:pos="1417"/>
              </w:tabs>
              <w:ind w:left="1417" w:hanging="567"/>
              <w:rPr>
                <w:sz w:val="22"/>
              </w:rPr>
            </w:pPr>
            <w:r>
              <w:rPr>
                <w:sz w:val="22"/>
              </w:rPr>
              <w:t>e)</w:t>
            </w:r>
            <w:r>
              <w:rPr>
                <w:sz w:val="22"/>
              </w:rPr>
              <w:tab/>
              <w:t>los pagos relacionados con acuerdos de transferencia de pérdidas y ganancias basados en contratos, con arreglo a los cuales la empresa de servicios de inversión está obligada a transferir, tras la elaboración de sus estados financieros anuales, su resultado anual a la sociedad matriz;</w:t>
            </w:r>
          </w:p>
          <w:p>
            <w:pPr>
              <w:pStyle w:val="Point1letter"/>
              <w:numPr>
                <w:ilvl w:val="0"/>
                <w:numId w:val="0"/>
              </w:numPr>
              <w:tabs>
                <w:tab w:val="left" w:pos="1417"/>
              </w:tabs>
              <w:ind w:left="1417" w:hanging="567"/>
              <w:rPr>
                <w:color w:val="000000" w:themeColor="text1"/>
                <w:sz w:val="22"/>
              </w:rPr>
            </w:pPr>
            <w:r>
              <w:rPr>
                <w:color w:val="000000" w:themeColor="text1"/>
                <w:sz w:val="22"/>
              </w:rPr>
              <w:t>f)</w:t>
            </w:r>
            <w:r>
              <w:rPr>
                <w:color w:val="000000" w:themeColor="text1"/>
                <w:sz w:val="22"/>
              </w:rPr>
              <w:tab/>
              <w:t>los pagos a los fondos para riesgos bancarios generales de conformidad con el artículo 26, apartado 1, letra f), del Reglamento (UE) n.</w:t>
            </w:r>
            <w:r>
              <w:rPr>
                <w:color w:val="000000" w:themeColor="text1"/>
                <w:sz w:val="22"/>
                <w:vertAlign w:val="superscript"/>
              </w:rPr>
              <w:t>o</w:t>
            </w:r>
            <w:r>
              <w:rPr>
                <w:color w:val="000000" w:themeColor="text1"/>
                <w:sz w:val="22"/>
              </w:rPr>
              <w:t> 575/2013.</w:t>
            </w:r>
          </w:p>
          <w:p>
            <w:pPr>
              <w:pStyle w:val="Point1letter"/>
              <w:numPr>
                <w:ilvl w:val="0"/>
                <w:numId w:val="0"/>
              </w:numPr>
              <w:tabs>
                <w:tab w:val="left" w:pos="1417"/>
              </w:tabs>
              <w:ind w:left="1417" w:hanging="567"/>
              <w:rPr>
                <w:rFonts w:eastAsia="Times New Roman"/>
                <w:bCs/>
                <w:color w:val="000000" w:themeColor="text1"/>
                <w:sz w:val="22"/>
              </w:rPr>
            </w:pPr>
            <w:r>
              <w:rPr>
                <w:rFonts w:eastAsia="Times New Roman"/>
                <w:bCs/>
                <w:color w:val="000000" w:themeColor="text1"/>
                <w:sz w:val="22"/>
              </w:rPr>
              <w:t>g)</w:t>
            </w:r>
            <w:r>
              <w:rPr>
                <w:rFonts w:eastAsia="Times New Roman"/>
                <w:bCs/>
                <w:color w:val="000000" w:themeColor="text1"/>
                <w:sz w:val="22"/>
              </w:rPr>
              <w:tab/>
            </w:r>
            <w:r>
              <w:rPr>
                <w:sz w:val="22"/>
              </w:rPr>
              <w:t>los gastos relacionados con elementos que ya se hayan deducido de los fondos propios de conformidad con el artículo 36, apartado 1, del Reglamento(UE) n.</w:t>
            </w:r>
            <w:r>
              <w:rPr>
                <w:sz w:val="22"/>
                <w:vertAlign w:val="superscript"/>
              </w:rPr>
              <w:t>o</w:t>
            </w:r>
            <w:r>
              <w:rPr>
                <w:sz w:val="22"/>
              </w:rPr>
              <w:t> 575/2013.</w:t>
            </w:r>
            <w:r>
              <w:rPr>
                <w:bCs/>
                <w:color w:val="000000" w:themeColor="text1"/>
                <w:sz w:val="22"/>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Primas para el personal y otras remuneraciones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a), del Reglamento (UE) 2019/2033.</w:t>
            </w:r>
          </w:p>
          <w:p>
            <w:pPr>
              <w:pStyle w:val="NumPar1"/>
              <w:numPr>
                <w:ilvl w:val="0"/>
                <w:numId w:val="0"/>
              </w:numPr>
              <w:rPr>
                <w:sz w:val="22"/>
              </w:rPr>
            </w:pPr>
            <w:r>
              <w:rPr>
                <w:sz w:val="22"/>
              </w:rPr>
              <w:t>Se considerará que las primas para el personal y otras remuneraciones en la medida en que dependan del beneficio neto de la empresa de servicios de inversión en el año de que se trate cuando se cumplan las dos condiciones siguientes:</w:t>
            </w:r>
          </w:p>
          <w:p>
            <w:pPr>
              <w:pStyle w:val="Point1letter"/>
              <w:numPr>
                <w:ilvl w:val="0"/>
                <w:numId w:val="0"/>
              </w:numPr>
              <w:tabs>
                <w:tab w:val="left" w:pos="1417"/>
              </w:tabs>
              <w:ind w:left="1417" w:hanging="567"/>
              <w:rPr>
                <w:sz w:val="22"/>
              </w:rPr>
            </w:pPr>
            <w:r>
              <w:rPr>
                <w:sz w:val="22"/>
              </w:rPr>
              <w:t>a)</w:t>
            </w:r>
            <w:r>
              <w:rPr>
                <w:sz w:val="22"/>
              </w:rPr>
              <w:tab/>
              <w:t>las primas para el personal u otras remuneraciones que deban deducirse ya se hayan abonado a los empleados en el año anterior al de pago, o el pago de las primas del personal u otras remuneraciones a los empleados no incida en la situación de capital de la empresa en el año de pago;</w:t>
            </w:r>
          </w:p>
          <w:p>
            <w:pPr>
              <w:pStyle w:val="Point1letter"/>
              <w:numPr>
                <w:ilvl w:val="0"/>
                <w:numId w:val="0"/>
              </w:numPr>
              <w:tabs>
                <w:tab w:val="left" w:pos="1417"/>
              </w:tabs>
              <w:ind w:left="1417" w:hanging="567"/>
              <w:rPr>
                <w:rFonts w:eastAsia="Times New Roman"/>
                <w:bCs/>
                <w:color w:val="000000" w:themeColor="text1"/>
                <w:sz w:val="22"/>
              </w:rPr>
            </w:pPr>
            <w:r>
              <w:rPr>
                <w:rFonts w:eastAsia="Times New Roman"/>
                <w:bCs/>
                <w:color w:val="000000" w:themeColor="text1"/>
                <w:sz w:val="22"/>
              </w:rPr>
              <w:t>b)</w:t>
            </w:r>
            <w:r>
              <w:rPr>
                <w:rFonts w:eastAsia="Times New Roman"/>
                <w:bCs/>
                <w:color w:val="000000" w:themeColor="text1"/>
                <w:sz w:val="22"/>
              </w:rPr>
              <w:tab/>
            </w:r>
            <w:r>
              <w:rPr>
                <w:sz w:val="22"/>
              </w:rPr>
              <w:t>con respecto al ejercicio en curso y a los ejercicios futuros, la empresa no está obligada a conceder o asignar primas u otros pagos en forma de remuneración, a menos que obtenga un beneficio neto en ese ejercicio.</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Participaciones en los beneficios netos de los empleados, los administradores y los socios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b), del Reglamento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La participación de los empleados, los administradores y los socios en los beneficios se calculará sobre la base de los beneficios netos.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Otros pagos discrecionales de beneficios y remuneración variable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c),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y retribuciones compartidas a pagar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d),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corretaje y otros gastos abonados a las entidades de contrapartida central que se cobran a los clientes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Comisiones, corretaje y otros gastos abonados a entidades de contrapartida central, mercados organizados y otros centros de negociación y corredores intermedios a efectos de la ejecución, el registro o la compensación de operaciones, únicamente cuando se repercutan directamente y se cobren a los clientes. Estas no incluirán las comisiones y otros gastos necesarios para mantener la condición de miembro o cumplir de algún otro modo las obligaciones financieras para compartir pérdidas con entidades de contrapartida central, mercados organizados y otros centros de negociación.</w:t>
            </w:r>
            <w:r>
              <w:rPr>
                <w:rFonts w:ascii="Times New Roman" w:hAnsi="Times New Roman"/>
                <w:bCs/>
                <w:color w:val="000000" w:themeColor="text1"/>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Comisiones pagadas a agentes vinculados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e),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no recurrentes de actividades no ordinarias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apartado 4, letra f), del Reglamento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p>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rPr>
            </w:pPr>
            <w:r>
              <w:rPr>
                <w:rFonts w:ascii="Times New Roman" w:hAnsi="Times New Roman"/>
                <w:b/>
                <w:bCs/>
                <w:color w:val="000000" w:themeColor="text1"/>
                <w:u w:val="single"/>
              </w:rPr>
              <w:t>(−) Gastos fiscales</w:t>
            </w:r>
          </w:p>
          <w:p>
            <w:pPr>
              <w:pStyle w:val="Point1letter"/>
              <w:numPr>
                <w:ilvl w:val="0"/>
                <w:numId w:val="0"/>
              </w:numPr>
              <w:rPr>
                <w:rFonts w:eastAsia="Times New Roman"/>
                <w:color w:val="000000" w:themeColor="text1"/>
                <w:sz w:val="22"/>
              </w:rPr>
            </w:pPr>
            <w:r>
              <w:rPr>
                <w:sz w:val="22"/>
              </w:rPr>
              <w:t>Gastos procedentes de impuestos cuando sean exigibles en relación con los beneficios anuales de la empresa de servicios de inversión.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Pérdidas derivadas de la negociación por cuenta propia de instrumentos financieros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No precisa aclaración.</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Acuerdos de transferencia de pérdidas y ganancias basados en contratos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Los pagos relacionados con acuerdos de transferencia de pérdidas y ganancias basados en contratos, con arreglo a los cuales la empresa de servicios de inversión está obligada a transferir, tras la elaboración de sus estados financieros anuales, su resultado anual a la sociedad matriz.</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en materias primas</w:t>
            </w:r>
          </w:p>
          <w:p>
            <w:pPr>
              <w:spacing w:after="120" w:line="240" w:lineRule="auto"/>
              <w:jc w:val="both"/>
              <w:rPr>
                <w:rFonts w:ascii="Times New Roman" w:eastAsia="Times New Roman" w:hAnsi="Times New Roman" w:cs="Times New Roman"/>
                <w:bCs/>
                <w:color w:val="000000" w:themeColor="text1"/>
              </w:rPr>
            </w:pPr>
            <w:bookmarkStart w:id="33" w:name="_Toc38271703"/>
            <w:r>
              <w:rPr>
                <w:rFonts w:ascii="Times New Roman" w:hAnsi="Times New Roman"/>
                <w:bCs/>
                <w:color w:val="000000" w:themeColor="text1"/>
              </w:rPr>
              <w:t>Los operadores en materias primas y derechos de emisión podrán deducir el gasto en materias primas en relación con una empresa de servicios de inversión que comercialice derivados de la materia prima subyacente.</w:t>
            </w:r>
            <w:bookmarkEnd w:id="33"/>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Pagos a un fondo para riesgos bancarios generales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Pagos a un fondo para riesgos bancarios generales de conformidad con el artículo 26, apartado 1, letra f), del Reglamento (UE) n.</w:t>
            </w:r>
            <w:r>
              <w:rPr>
                <w:rFonts w:ascii="Times New Roman" w:hAnsi="Times New Roman"/>
                <w:bCs/>
                <w:color w:val="000000" w:themeColor="text1"/>
                <w:vertAlign w:val="superscript"/>
              </w:rPr>
              <w:t>o</w:t>
            </w:r>
            <w:r>
              <w:rPr>
                <w:rFonts w:ascii="Times New Roman" w:hAnsi="Times New Roman"/>
                <w:bCs/>
                <w:color w:val="000000" w:themeColor="text1"/>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Gastos relacionados con elementos que ya se han deducido de los fondos propios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Gastos relacionados con elementos que ya se hayan deducido de los fondos propios de conformidad con el artículo 36, apartado 1, del Reglamento(UE) n.</w:t>
            </w:r>
            <w:r>
              <w:rPr>
                <w:rFonts w:ascii="Times New Roman" w:hAnsi="Times New Roman"/>
                <w:bCs/>
                <w:color w:val="000000" w:themeColor="text1"/>
                <w:vertAlign w:val="superscript"/>
              </w:rPr>
              <w:t>o</w:t>
            </w:r>
            <w:r>
              <w:rPr>
                <w:rFonts w:ascii="Times New Roman" w:hAnsi="Times New Roman"/>
                <w:bCs/>
                <w:color w:val="000000" w:themeColor="text1"/>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Previsión de gastos fijos generales del ejercicio en curso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La previsión de los gastos fijos generales para el ejercicio en curso después de la distribución de beneficios.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Variación de los gastos fijos generales (%)</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importe se comunicará como el valor absoluto de: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[(Gastos fijos generales anuales del ejercicio en curso) — (Proyección de gastos fijos generales anuales del ejercicio anterior)/(Gastos fijos generales anuales del ejercicio anterior)]</w:t>
            </w:r>
          </w:p>
        </w:tc>
      </w:tr>
    </w:tbl>
    <w:p>
      <w:pPr>
        <w:spacing w:after="120" w:line="240" w:lineRule="auto"/>
        <w:jc w:val="both"/>
        <w:rPr>
          <w:rFonts w:ascii="Times New Roman" w:eastAsia="Times New Roman" w:hAnsi="Times New Roman" w:cs="Times New Roman"/>
          <w:sz w:val="24"/>
          <w:szCs w:val="24"/>
          <w:lang w:eastAsia="de-DE"/>
        </w:rPr>
      </w:pPr>
    </w:p>
    <w:p>
      <w:pPr>
        <w:pStyle w:val="Instructionsberschrift2"/>
        <w:ind w:left="357" w:hanging="357"/>
        <w:rPr>
          <w:rFonts w:ascii="Times New Roman" w:hAnsi="Times New Roman" w:cs="Times New Roman"/>
          <w:sz w:val="24"/>
          <w:u w:val="none"/>
        </w:rPr>
      </w:pPr>
      <w:bookmarkStart w:id="34" w:name="_Toc87956713"/>
      <w:r>
        <w:rPr>
          <w:rFonts w:ascii="Times New Roman" w:hAnsi="Times New Roman"/>
          <w:sz w:val="24"/>
          <w:u w:val="none"/>
        </w:rPr>
        <w:t>2. EMPRESAS DE SERVICIOS DE INVERSIÓN PEQUEÑAS Y NO INTERCONECTADAS</w:t>
      </w:r>
      <w:bookmarkEnd w:id="3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87956714"/>
      <w:bookmarkStart w:id="38" w:name="_Toc308175823"/>
      <w:bookmarkStart w:id="39" w:name="_Toc360188327"/>
      <w:r>
        <w:rPr>
          <w:rFonts w:ascii="Times New Roman" w:hAnsi="Times New Roman"/>
          <w:sz w:val="24"/>
          <w:szCs w:val="24"/>
        </w:rPr>
        <w:t>2.1.</w:t>
      </w:r>
      <w:r>
        <w:rPr>
          <w:rFonts w:ascii="Times New Roman" w:hAnsi="Times New Roman"/>
          <w:sz w:val="24"/>
          <w:szCs w:val="24"/>
        </w:rPr>
        <w:tab/>
      </w:r>
      <w:r>
        <w:rPr>
          <w:rFonts w:ascii="Times New Roman" w:hAnsi="Times New Roman"/>
          <w:sz w:val="24"/>
          <w:szCs w:val="24"/>
          <w:u w:val="single"/>
        </w:rPr>
        <w:t>I 05.00 — NIVEL DE ACTIVIDAD — REVISIÓN DEL UMBRAL (I 5)</w:t>
      </w:r>
      <w:bookmarkEnd w:id="35"/>
      <w:bookmarkEnd w:id="36"/>
      <w:bookmarkEnd w:id="37"/>
      <w:bookmarkEnd w:id="38"/>
      <w:bookmarkEnd w:id="39"/>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10414970"/>
      <w:bookmarkStart w:id="41" w:name="_Toc360188328"/>
      <w:bookmarkStart w:id="42" w:name="_Toc473560876"/>
      <w:bookmarkStart w:id="43" w:name="_Toc7084161"/>
      <w:bookmarkStart w:id="44" w:name="_Toc87956715"/>
      <w:r>
        <w:rPr>
          <w:rFonts w:ascii="Times New Roman" w:hAnsi="Times New Roman"/>
          <w:sz w:val="24"/>
          <w:szCs w:val="24"/>
        </w:rPr>
        <w:t>2.1.1.</w:t>
      </w:r>
      <w:r>
        <w:tab/>
      </w:r>
      <w:bookmarkStart w:id="45" w:name="_Toc308175824"/>
      <w:r>
        <w:rPr>
          <w:rFonts w:ascii="Times New Roman" w:hAnsi="Times New Roman"/>
          <w:sz w:val="24"/>
          <w:szCs w:val="24"/>
          <w:u w:val="single"/>
        </w:rPr>
        <w:t xml:space="preserve">Instrucciones relativas a posiciones </w:t>
      </w:r>
      <w:bookmarkEnd w:id="40"/>
      <w:bookmarkEnd w:id="45"/>
      <w:r>
        <w:rPr>
          <w:rFonts w:ascii="Times New Roman" w:hAnsi="Times New Roman"/>
          <w:sz w:val="24"/>
          <w:szCs w:val="24"/>
          <w:u w:val="single"/>
        </w:rPr>
        <w:t>concretas</w:t>
      </w:r>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Activos gestionados (combinados)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Las empresas de servicios de inversión incluirán los activos discrecionales y no discrecionales gestionados.</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Órdenes de clientes intermediadas (combinadas) — Operaciones al contado</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b), inciso 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Órdenes de clientes intermediadas (combinadas) —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b), inciso 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custodiados y administrados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c),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Saldos transitorios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Flujo de negociación diario — Operaciones al contado y operaciones con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e),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posición neta</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f),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 de compensación concedida</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f), del Reglamento (UE) 2019/2033.</w:t>
            </w:r>
          </w:p>
          <w:p>
            <w:pPr>
              <w:spacing w:after="120" w:line="240" w:lineRule="auto"/>
              <w:jc w:val="both"/>
              <w:rPr>
                <w:rFonts w:ascii="Times New Roman" w:eastAsia="Times New Roman" w:hAnsi="Times New Roman" w:cs="Times New Roman"/>
                <w:b/>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impago de la contraparte en la negociación</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g),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importe comunicado será el que se utilizaría para calcular los factores K antes de aplicar los coeficientes pertinentes.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Total del balance y de las cuentas de fuera de balance (combinado)</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letra h),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Cuando la empresa de servicios de inversión declarante forme parte de un grupo, el valor comunicado se determinará de forma combinada para todas las empresas de servicios de inversión que formen parte de un grupo, de conformidad con el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Ingresos totales brutos anuales combinados</w:t>
            </w:r>
          </w:p>
          <w:p>
            <w:pPr>
              <w:spacing w:after="120" w:line="240" w:lineRule="auto"/>
              <w:jc w:val="both"/>
              <w:rPr>
                <w:rFonts w:ascii="Times New Roman" w:eastAsia="Times New Roman" w:hAnsi="Times New Roman" w:cs="Times New Roman"/>
                <w:bCs/>
              </w:rPr>
            </w:pPr>
            <w:r>
              <w:rPr>
                <w:rFonts w:ascii="Times New Roman" w:hAnsi="Times New Roman"/>
                <w:bCs/>
              </w:rPr>
              <w:t>Artículo 12, apartado 1, inciso i),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 xml:space="preserve">Cuando la empresa de servicios de inversión declarante forme parte de un grupo, el valor comunicado se determinará de </w:t>
            </w:r>
            <w:r>
              <w:rPr>
                <w:rFonts w:ascii="Times New Roman" w:hAnsi="Times New Roman"/>
                <w:bCs/>
                <w:u w:val="single"/>
              </w:rPr>
              <w:t>forma combinada</w:t>
            </w:r>
            <w:r>
              <w:rPr>
                <w:rFonts w:ascii="Times New Roman" w:hAnsi="Times New Roman"/>
                <w:bCs/>
              </w:rPr>
              <w:t xml:space="preserve"> para todas las empresas de servicios de inversión que formen parte de un grupo, de conformidad con el artículo 12, apartado 2,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consignado será (fila 0120 + fila 0130).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Ingresos totales brutos anuales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 xml:space="preserve">El valor de los ingresos totales brutos anuales, </w:t>
            </w:r>
            <w:r>
              <w:rPr>
                <w:rFonts w:ascii="Times New Roman" w:hAnsi="Times New Roman"/>
                <w:bCs/>
                <w:u w:val="single"/>
              </w:rPr>
              <w:t>excluidos</w:t>
            </w:r>
            <w:r>
              <w:rPr>
                <w:rFonts w:ascii="Times New Roman" w:hAnsi="Times New Roman"/>
                <w:bCs/>
              </w:rPr>
              <w:t xml:space="preserve"> los ingresos brutos generados dentro del grupo con arreglo al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Parte intragrupo de los ingresos brutos anuales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valor de los ingresos brutos generados dentro del grupo de empresas de servicios de inversión con arreglo al artículo 12, apartado 2,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recepción y transmisión de órdenes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ejecución de órdenes por cuenta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negociaciones por cuenta propia</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por gestión de carteras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asesoramiento en materia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aseguramiento de instrumentos financieros o la colocación de instrumentos financieros sobre la base de un compromiso firme</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colocación de instrumentos financieros sin base en un compromiso firme</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gestión de SMN</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gestión de SOC</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2,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custodia y administración de instrumentos financieros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la concesión de créditos o préstamos a inversores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del asesoramiento a empresas en materia de estructura del capital, estrategia industrial y cuestiones afines, y asesoramiento y servicios en relación con las fusiones y la adquisición de empresas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procedentes de servicios de cambio de divisas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Informes de informes de inversiones y análisis financieros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 los cuales: Ingresos ordinarios procedentes de servicios relacionados con el aseguramiento</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rPr>
            </w:pPr>
            <w:r>
              <w:rPr>
                <w:rFonts w:ascii="Times New Roman" w:hAnsi="Times New Roman"/>
                <w:b/>
                <w:bCs/>
                <w:u w:val="single"/>
              </w:rPr>
              <w:t>De los cuales: servicios y actividades de inversión, así como los servicios auxiliares relativos al subyacente de los derivados</w:t>
            </w:r>
          </w:p>
          <w:p>
            <w:pPr>
              <w:spacing w:after="120" w:line="240" w:lineRule="auto"/>
              <w:jc w:val="both"/>
              <w:rPr>
                <w:rFonts w:ascii="Times New Roman" w:eastAsia="Times New Roman" w:hAnsi="Times New Roman" w:cs="Times New Roman"/>
                <w:bCs/>
              </w:rPr>
            </w:pPr>
            <w:r>
              <w:rPr>
                <w:rFonts w:ascii="Times New Roman" w:hAnsi="Times New Roman"/>
                <w:bCs/>
              </w:rPr>
              <w:t>Artículo 54, apartado 1, letra d),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 apartado 1, punto 3, de la Directiva 2014/65/UE.</w:t>
            </w:r>
          </w:p>
        </w:tc>
      </w:tr>
    </w:tbl>
    <w:p>
      <w:pPr>
        <w:pStyle w:val="Instructionsberschrift2"/>
        <w:ind w:left="357" w:hanging="357"/>
        <w:rPr>
          <w:rFonts w:ascii="Times New Roman" w:hAnsi="Times New Roman" w:cs="Times New Roman"/>
          <w:b/>
          <w:sz w:val="24"/>
          <w:u w:val="none"/>
        </w:rPr>
      </w:pPr>
    </w:p>
    <w:p>
      <w:pPr>
        <w:pStyle w:val="Instructionsberschrift2"/>
        <w:ind w:left="357" w:hanging="357"/>
        <w:rPr>
          <w:rFonts w:ascii="Times New Roman" w:hAnsi="Times New Roman" w:cs="Times New Roman"/>
          <w:b/>
          <w:sz w:val="24"/>
          <w:u w:val="none"/>
        </w:rPr>
      </w:pPr>
      <w:bookmarkStart w:id="46" w:name="_Toc87956716"/>
      <w:r>
        <w:rPr>
          <w:rFonts w:ascii="Times New Roman" w:hAnsi="Times New Roman"/>
          <w:b/>
          <w:sz w:val="24"/>
          <w:u w:val="none"/>
        </w:rPr>
        <w:t>3. REQUISITOS DE LIQUIDEZ</w:t>
      </w:r>
      <w:bookmarkEnd w:id="46"/>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7956717"/>
      <w:r>
        <w:rPr>
          <w:rFonts w:ascii="Times New Roman" w:hAnsi="Times New Roman"/>
          <w:sz w:val="24"/>
          <w:szCs w:val="24"/>
          <w:u w:val="single"/>
        </w:rPr>
        <w:t>3.1 I 09.01 — REQUISITOS DE LIQUIDEZ (I 9.1)</w:t>
      </w:r>
      <w:bookmarkEnd w:id="47"/>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87956718"/>
      <w:r>
        <w:rPr>
          <w:rFonts w:ascii="Times New Roman" w:hAnsi="Times New Roman"/>
          <w:sz w:val="24"/>
          <w:szCs w:val="24"/>
        </w:rPr>
        <w:t>3.1.1.</w:t>
      </w:r>
      <w:r>
        <w:tab/>
      </w:r>
      <w:r>
        <w:rPr>
          <w:rFonts w:ascii="Times New Roman" w:hAnsi="Times New Roman"/>
          <w:sz w:val="24"/>
          <w:szCs w:val="24"/>
          <w:u w:val="single"/>
        </w:rPr>
        <w:t>Instrucciones relativas a posiciones concretas</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liquidez</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43, apartado 1,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Garantías de clientes</w:t>
            </w:r>
          </w:p>
          <w:p>
            <w:pPr>
              <w:spacing w:after="120" w:line="240" w:lineRule="auto"/>
              <w:jc w:val="both"/>
              <w:rPr>
                <w:rFonts w:ascii="Times New Roman" w:eastAsia="Times New Roman" w:hAnsi="Times New Roman" w:cs="Times New Roman"/>
                <w:bCs/>
              </w:rPr>
            </w:pPr>
            <w:r>
              <w:rPr>
                <w:rFonts w:ascii="Times New Roman" w:hAnsi="Times New Roman"/>
                <w:bCs/>
              </w:rPr>
              <w:t>Artículo 45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El valor comunicado será el 1,6 % del importe total de las garantías recibidas de clientes con arreglo al artículo 45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activos líquidos</w:t>
            </w:r>
          </w:p>
          <w:p>
            <w:pPr>
              <w:spacing w:after="120" w:line="240" w:lineRule="auto"/>
              <w:jc w:val="both"/>
              <w:rPr>
                <w:rFonts w:ascii="Times New Roman" w:eastAsia="Times New Roman" w:hAnsi="Times New Roman" w:cs="Times New Roman"/>
                <w:bCs/>
              </w:rPr>
            </w:pPr>
            <w:r>
              <w:rPr>
                <w:rFonts w:ascii="Times New Roman" w:hAnsi="Times New Roman"/>
                <w:bCs/>
              </w:rPr>
              <w:t>Artículo 43, apartado 1, letra a), y artículo 43, apartado 2, del Reglamento (UE) 2019/2033.</w:t>
            </w:r>
          </w:p>
          <w:p>
            <w:pPr>
              <w:pStyle w:val="CommentText"/>
              <w:rPr>
                <w:rFonts w:ascii="Times New Roman" w:eastAsia="Times New Roman" w:hAnsi="Times New Roman" w:cs="Times New Roman"/>
                <w:b/>
                <w:bCs/>
                <w:sz w:val="22"/>
                <w:szCs w:val="22"/>
                <w:u w:val="single"/>
              </w:rPr>
            </w:pPr>
            <w:r>
              <w:rPr>
                <w:rFonts w:ascii="Times New Roman" w:hAnsi="Times New Roman"/>
                <w:bCs/>
                <w:sz w:val="22"/>
                <w:szCs w:val="22"/>
              </w:rPr>
              <w:t>Los activos líquidos totales se comunicarán tras la aplicación de los descuentos pertinentes.</w:t>
            </w:r>
          </w:p>
        </w:tc>
      </w:tr>
    </w:tbl>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65A3D" w16cid:durableId="24899E7E"/>
  <w16cid:commentId w16cid:paraId="79E4C2DA" w16cid:durableId="24899E7F"/>
  <w16cid:commentId w16cid:paraId="4F93143D" w16cid:durableId="24899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ES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17</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E5C0CEA"/>
    <w:multiLevelType w:val="multilevel"/>
    <w:tmpl w:val="1B3C548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CC0CAB"/>
    <w:multiLevelType w:val="multilevel"/>
    <w:tmpl w:val="61E637E2"/>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0B90D88"/>
    <w:multiLevelType w:val="multilevel"/>
    <w:tmpl w:val="A850871E"/>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E860BF"/>
    <w:multiLevelType w:val="multilevel"/>
    <w:tmpl w:val="8F60DB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9"/>
  </w:num>
  <w:num w:numId="3">
    <w:abstractNumId w:val="17"/>
  </w:num>
  <w:num w:numId="4">
    <w:abstractNumId w:val="0"/>
  </w:num>
  <w:num w:numId="5">
    <w:abstractNumId w:val="7"/>
  </w:num>
  <w:num w:numId="6">
    <w:abstractNumId w:val="1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6"/>
  </w:num>
  <w:num w:numId="26">
    <w:abstractNumId w:val="13"/>
  </w:num>
  <w:num w:numId="27">
    <w:abstractNumId w:val="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revisionView w:markup="0"/>
  <w:defaultTabStop w:val="720"/>
  <w:hyphenationZone w:val="283"/>
  <w:characterSpacingControl w:val="doNotCompress"/>
  <w:hdrShapeDefaults>
    <o:shapedefaults v:ext="edit" spidmax="154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54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s-E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A9B32A1-02E3-4306-895E-E5A6FC091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5860</Words>
  <Characters>33407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2021-11-25T15:41:00Z</dcterms:modified>
  <cp:category/>
</cp:coreProperties>
</file>