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8FCFB" w14:textId="77777777" w:rsidR="000454E8" w:rsidRPr="00D75DB2" w:rsidRDefault="00D75DB2">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D75DB2">
        <w:t>VII PRIEDAS. Nuosavų lėšų informacijos formų nurodymai</w:t>
      </w:r>
    </w:p>
    <w:p w14:paraId="0EEDEA99" w14:textId="77777777" w:rsidR="000454E8" w:rsidRPr="00D75DB2" w:rsidRDefault="00D75DB2">
      <w:pPr>
        <w:rPr>
          <w:rFonts w:ascii="Times New Roman" w:hAnsi="Times New Roman" w:cs="Times New Roman"/>
          <w:b/>
          <w:bCs/>
          <w:sz w:val="24"/>
        </w:rPr>
      </w:pPr>
      <w:r w:rsidRPr="00D75DB2">
        <w:rPr>
          <w:rFonts w:ascii="Times New Roman" w:hAnsi="Times New Roman"/>
          <w:b/>
          <w:bCs/>
          <w:sz w:val="24"/>
        </w:rPr>
        <w:t>ES I CC1.01, ES I CC1.02 ir ES I CC1.03 formos. Reguliuojamų nuosavų lėšų sudėtis</w:t>
      </w:r>
    </w:p>
    <w:p w14:paraId="584DB903" w14:textId="77777777" w:rsidR="000454E8" w:rsidRPr="00D75DB2" w:rsidRDefault="00D75DB2">
      <w:pPr>
        <w:tabs>
          <w:tab w:val="left" w:pos="360"/>
        </w:tabs>
        <w:spacing w:before="120" w:after="120"/>
        <w:ind w:left="360" w:hanging="360"/>
        <w:jc w:val="both"/>
        <w:rPr>
          <w:rFonts w:ascii="Times New Roman" w:hAnsi="Times New Roman" w:cs="Times New Roman"/>
          <w:bCs/>
          <w:sz w:val="24"/>
        </w:rPr>
      </w:pPr>
      <w:r w:rsidRPr="00D75DB2">
        <w:rPr>
          <w:rFonts w:ascii="Times New Roman" w:hAnsi="Times New Roman" w:cs="Times New Roman"/>
          <w:bCs/>
          <w:sz w:val="24"/>
        </w:rPr>
        <w:t>1.</w:t>
      </w:r>
      <w:r w:rsidRPr="00D75DB2">
        <w:rPr>
          <w:rFonts w:ascii="Times New Roman" w:hAnsi="Times New Roman" w:cs="Times New Roman"/>
          <w:bCs/>
          <w:sz w:val="24"/>
        </w:rPr>
        <w:tab/>
      </w:r>
      <w:r w:rsidRPr="00D75DB2">
        <w:rPr>
          <w:rFonts w:ascii="Times New Roman" w:hAnsi="Times New Roman"/>
          <w:bCs/>
          <w:sz w:val="24"/>
        </w:rPr>
        <w:t xml:space="preserve">Pagal Reglamento (ES) 2019/2033 49 straipsnio 1 dalies a ir c punktus pildydamos VI priede </w:t>
      </w:r>
      <w:r w:rsidRPr="00D75DB2">
        <w:rPr>
          <w:rFonts w:ascii="Times New Roman" w:hAnsi="Times New Roman"/>
          <w:bCs/>
          <w:sz w:val="24"/>
        </w:rPr>
        <w:t>pateiktą ES I CC1 formą investicinės įmonės vadovaujasi šiame priede pateiktais nurodymais.</w:t>
      </w:r>
    </w:p>
    <w:p w14:paraId="38BF823B"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2.</w:t>
      </w:r>
      <w:r w:rsidRPr="00D75DB2">
        <w:rPr>
          <w:rFonts w:ascii="Times New Roman" w:hAnsi="Times New Roman" w:cs="Times New Roman"/>
          <w:bCs/>
          <w:sz w:val="24"/>
        </w:rPr>
        <w:tab/>
      </w:r>
      <w:r w:rsidRPr="00D75DB2">
        <w:rPr>
          <w:rFonts w:ascii="Times New Roman" w:hAnsi="Times New Roman"/>
          <w:bCs/>
          <w:sz w:val="24"/>
        </w:rPr>
        <w:t>Investicinės įmonės užpildo b skiltį, kad paaiškintų kiekvieno svarbaus įrašo, kuris kryžmine nuoroda susietinas su atitinkamomis ES I CC2 formos eilutėmis, šalt</w:t>
      </w:r>
      <w:r w:rsidRPr="00D75DB2">
        <w:rPr>
          <w:rFonts w:ascii="Times New Roman" w:hAnsi="Times New Roman"/>
          <w:bCs/>
          <w:sz w:val="24"/>
        </w:rPr>
        <w:t>inį.</w:t>
      </w:r>
    </w:p>
    <w:p w14:paraId="25F3D89E" w14:textId="77777777" w:rsidR="000454E8" w:rsidRPr="00D75DB2" w:rsidRDefault="00D75DB2">
      <w:pPr>
        <w:tabs>
          <w:tab w:val="left" w:pos="360"/>
        </w:tabs>
        <w:spacing w:before="120" w:after="120"/>
        <w:ind w:left="360" w:hanging="360"/>
        <w:jc w:val="both"/>
        <w:rPr>
          <w:rFonts w:ascii="Times New Roman" w:hAnsi="Times New Roman" w:cs="Times New Roman"/>
          <w:bCs/>
          <w:sz w:val="24"/>
        </w:rPr>
      </w:pPr>
      <w:r w:rsidRPr="00D75DB2">
        <w:rPr>
          <w:rFonts w:ascii="Times New Roman" w:hAnsi="Times New Roman" w:cs="Times New Roman"/>
          <w:bCs/>
          <w:sz w:val="24"/>
        </w:rPr>
        <w:t>3.</w:t>
      </w:r>
      <w:r w:rsidRPr="00D75DB2">
        <w:rPr>
          <w:rFonts w:ascii="Times New Roman" w:hAnsi="Times New Roman" w:cs="Times New Roman"/>
          <w:bCs/>
          <w:sz w:val="24"/>
        </w:rPr>
        <w:tab/>
      </w:r>
      <w:r w:rsidRPr="00D75DB2">
        <w:rPr>
          <w:rFonts w:ascii="Times New Roman" w:hAnsi="Times New Roman"/>
          <w:bCs/>
          <w:sz w:val="24"/>
        </w:rPr>
        <w:t>Į prie formos pridedamas aiškinamąsias pastabas investicinės įmonės įtraukia visų apribojimų, taikomų apskaičiuojant nuosavas lėšas pagal Reglamento (ES) 2019/2033 49 straipsnio 1 dalies c punktą, ir priemonių bei atskaitymų, kuriems taikomi šie ap</w:t>
      </w:r>
      <w:r w:rsidRPr="00D75DB2">
        <w:rPr>
          <w:rFonts w:ascii="Times New Roman" w:hAnsi="Times New Roman"/>
          <w:bCs/>
          <w:sz w:val="24"/>
        </w:rPr>
        <w:t>ribojimai, aprašymą. Jos taip pat paaiškina pagrindinius atskleistų sumų pokyčius, palyginti su ankstesniais informacijos atskleidimo laikotarpiais.</w:t>
      </w:r>
    </w:p>
    <w:p w14:paraId="16C9EE4E" w14:textId="77777777" w:rsidR="000454E8" w:rsidRPr="00D75DB2" w:rsidRDefault="00D75DB2">
      <w:pPr>
        <w:tabs>
          <w:tab w:val="left" w:pos="360"/>
        </w:tabs>
        <w:spacing w:before="120" w:after="120"/>
        <w:ind w:left="360" w:hanging="360"/>
        <w:jc w:val="both"/>
        <w:rPr>
          <w:rFonts w:ascii="Times New Roman" w:hAnsi="Times New Roman" w:cs="Times New Roman"/>
          <w:bCs/>
          <w:sz w:val="24"/>
        </w:rPr>
      </w:pPr>
      <w:r w:rsidRPr="00D75DB2">
        <w:rPr>
          <w:rFonts w:ascii="Times New Roman" w:hAnsi="Times New Roman" w:cs="Times New Roman"/>
          <w:bCs/>
          <w:sz w:val="24"/>
        </w:rPr>
        <w:t>4.</w:t>
      </w:r>
      <w:r w:rsidRPr="00D75DB2">
        <w:rPr>
          <w:rFonts w:ascii="Times New Roman" w:hAnsi="Times New Roman" w:cs="Times New Roman"/>
          <w:bCs/>
          <w:sz w:val="24"/>
        </w:rPr>
        <w:tab/>
      </w:r>
      <w:r w:rsidRPr="00D75DB2">
        <w:rPr>
          <w:rFonts w:ascii="Times New Roman" w:hAnsi="Times New Roman"/>
          <w:bCs/>
          <w:sz w:val="24"/>
        </w:rPr>
        <w:t>Ši forma yra nustatyta ir investicinės įmonės ją pildo tiksliai tokiu pačiu formatu, koks pateiktas VI p</w:t>
      </w:r>
      <w:r w:rsidRPr="00D75DB2">
        <w:rPr>
          <w:rFonts w:ascii="Times New Roman" w:hAnsi="Times New Roman"/>
          <w:bCs/>
          <w:sz w:val="24"/>
        </w:rPr>
        <w:t>riede.</w:t>
      </w:r>
    </w:p>
    <w:p w14:paraId="5BC7F60F" w14:textId="77777777" w:rsidR="000454E8" w:rsidRPr="00D75DB2" w:rsidRDefault="00D75DB2">
      <w:pPr>
        <w:tabs>
          <w:tab w:val="left" w:pos="360"/>
        </w:tabs>
        <w:spacing w:before="120" w:after="120"/>
        <w:ind w:left="360" w:hanging="360"/>
        <w:jc w:val="both"/>
        <w:rPr>
          <w:rFonts w:ascii="Times New Roman" w:hAnsi="Times New Roman" w:cs="Times New Roman"/>
          <w:bCs/>
          <w:sz w:val="24"/>
        </w:rPr>
      </w:pPr>
      <w:r w:rsidRPr="00D75DB2">
        <w:rPr>
          <w:rFonts w:ascii="Times New Roman" w:hAnsi="Times New Roman" w:cs="Times New Roman"/>
          <w:bCs/>
          <w:sz w:val="24"/>
        </w:rPr>
        <w:t>5.</w:t>
      </w:r>
      <w:r w:rsidRPr="00D75DB2">
        <w:rPr>
          <w:rFonts w:ascii="Times New Roman" w:hAnsi="Times New Roman" w:cs="Times New Roman"/>
          <w:bCs/>
          <w:sz w:val="24"/>
        </w:rPr>
        <w:tab/>
      </w:r>
      <w:r w:rsidRPr="00D75DB2">
        <w:rPr>
          <w:rFonts w:ascii="Times New Roman" w:hAnsi="Times New Roman"/>
          <w:bCs/>
          <w:sz w:val="24"/>
        </w:rPr>
        <w:t>Investicinės įmonės, išskyrus mažas ir tarpusavio sąsajų neturinčias įmones, informaciją apie nuosavų lėšų sudėtį atskleidžia pagal VI priede pateiktą ES I CC1.01 formą. Mažos ir tarpusavio sąsajų neturinčios investicinės įmonės, išleidusios papi</w:t>
      </w:r>
      <w:r w:rsidRPr="00D75DB2">
        <w:rPr>
          <w:rFonts w:ascii="Times New Roman" w:hAnsi="Times New Roman"/>
          <w:bCs/>
          <w:sz w:val="24"/>
        </w:rPr>
        <w:t>ldomų 1 lygio priemonių emisiją, informaciją apie nuosavų lėšų sudėtį atskleidžia pagal ES I CC1.02 formą, taip pat pateiktą VI priede.</w:t>
      </w:r>
    </w:p>
    <w:p w14:paraId="2137817B" w14:textId="77777777" w:rsidR="000454E8" w:rsidRPr="00D75DB2" w:rsidRDefault="00D75DB2">
      <w:pPr>
        <w:rPr>
          <w:rFonts w:ascii="Times New Roman" w:hAnsi="Times New Roman" w:cs="Times New Roman"/>
          <w:b/>
          <w:bCs/>
          <w:sz w:val="24"/>
        </w:rPr>
      </w:pPr>
      <w:r w:rsidRPr="00D75DB2">
        <w:rPr>
          <w:rFonts w:ascii="Times New Roman" w:hAnsi="Times New Roman"/>
          <w:b/>
          <w:bCs/>
          <w:sz w:val="24"/>
        </w:rPr>
        <w:t>ES I CC1.01 forma. Reguliuojamų nuosavų lėšų sudėtis (investicinės įmonės, išskyrus mažas ir tarpusavio sąsajų neturinči</w:t>
      </w:r>
      <w:r w:rsidRPr="00D75DB2">
        <w:rPr>
          <w:rFonts w:ascii="Times New Roman" w:hAnsi="Times New Roman"/>
          <w:b/>
          <w:bCs/>
          <w:sz w:val="24"/>
        </w:rPr>
        <w:t>as investicines įmones)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454E8" w:rsidRPr="00D75DB2" w14:paraId="6511191B" w14:textId="77777777">
        <w:trPr>
          <w:trHeight w:val="395"/>
        </w:trPr>
        <w:tc>
          <w:tcPr>
            <w:tcW w:w="8812" w:type="dxa"/>
            <w:gridSpan w:val="2"/>
            <w:shd w:val="clear" w:color="auto" w:fill="D9D9D9" w:themeFill="background1" w:themeFillShade="D9"/>
          </w:tcPr>
          <w:p w14:paraId="696F11F7" w14:textId="77777777" w:rsidR="000454E8" w:rsidRPr="00D75DB2" w:rsidRDefault="00D75DB2">
            <w:pPr>
              <w:pStyle w:val="TableTitle"/>
              <w:spacing w:before="0" w:after="0"/>
              <w:jc w:val="left"/>
              <w:rPr>
                <w:rFonts w:ascii="Times New Roman" w:hAnsi="Times New Roman"/>
                <w:szCs w:val="22"/>
              </w:rPr>
            </w:pPr>
            <w:r w:rsidRPr="00D75DB2">
              <w:rPr>
                <w:rFonts w:ascii="Times New Roman" w:hAnsi="Times New Roman"/>
                <w:szCs w:val="22"/>
              </w:rPr>
              <w:t>Nuorodos į teisės aktus ir nurodymai</w:t>
            </w:r>
          </w:p>
        </w:tc>
      </w:tr>
      <w:tr w:rsidR="000454E8" w:rsidRPr="00D75DB2" w14:paraId="2DEF47CA" w14:textId="77777777">
        <w:tblPrEx>
          <w:tblLook w:val="00A0" w:firstRow="1" w:lastRow="0" w:firstColumn="1" w:lastColumn="0" w:noHBand="0" w:noVBand="0"/>
        </w:tblPrEx>
        <w:tc>
          <w:tcPr>
            <w:tcW w:w="1129" w:type="dxa"/>
            <w:tcBorders>
              <w:bottom w:val="single" w:sz="4" w:space="0" w:color="auto"/>
            </w:tcBorders>
            <w:shd w:val="clear" w:color="auto" w:fill="D9D9D9"/>
          </w:tcPr>
          <w:p w14:paraId="5BFCFB9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Eilutė</w:t>
            </w:r>
          </w:p>
        </w:tc>
        <w:tc>
          <w:tcPr>
            <w:tcW w:w="7683" w:type="dxa"/>
            <w:tcBorders>
              <w:bottom w:val="single" w:sz="4" w:space="0" w:color="auto"/>
            </w:tcBorders>
            <w:shd w:val="clear" w:color="auto" w:fill="D9D9D9"/>
          </w:tcPr>
          <w:p w14:paraId="134DE24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Nuorodos į teisės aktus ir nurodymai</w:t>
            </w:r>
          </w:p>
        </w:tc>
      </w:tr>
      <w:tr w:rsidR="000454E8" w:rsidRPr="00D75DB2" w14:paraId="3613E203" w14:textId="77777777">
        <w:tblPrEx>
          <w:tblLook w:val="00A0" w:firstRow="1" w:lastRow="0" w:firstColumn="1" w:lastColumn="0" w:noHBand="0" w:noVBand="0"/>
        </w:tblPrEx>
        <w:tc>
          <w:tcPr>
            <w:tcW w:w="1129" w:type="dxa"/>
            <w:shd w:val="clear" w:color="auto" w:fill="auto"/>
            <w:vAlign w:val="center"/>
          </w:tcPr>
          <w:p w14:paraId="4FA1E37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color w:val="000000"/>
                <w:szCs w:val="22"/>
              </w:rPr>
              <w:t>1</w:t>
            </w:r>
          </w:p>
        </w:tc>
        <w:tc>
          <w:tcPr>
            <w:tcW w:w="7683" w:type="dxa"/>
            <w:shd w:val="clear" w:color="auto" w:fill="auto"/>
          </w:tcPr>
          <w:p w14:paraId="10A0AA0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Nuosavos lėšos</w:t>
            </w:r>
          </w:p>
          <w:p w14:paraId="7EA74E7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737A2476"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 xml:space="preserve">Investicinės įmonės nuosavas lėšas sudaro jos bendro 1 lygio nuosavo </w:t>
            </w:r>
            <w:r w:rsidRPr="00D75DB2">
              <w:rPr>
                <w:rStyle w:val="FormatvorlageInstructionsTabelleText"/>
                <w:rFonts w:ascii="Times New Roman" w:hAnsi="Times New Roman"/>
                <w:sz w:val="22"/>
                <w:szCs w:val="22"/>
              </w:rPr>
              <w:t>kapitalo, papildomo 1 lygio kapitalo ir 2 lygio kapitalo suma.</w:t>
            </w:r>
          </w:p>
          <w:p w14:paraId="2FD5BF2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įrašoma 2 ir 40 eilučių verčių suma.</w:t>
            </w:r>
          </w:p>
        </w:tc>
      </w:tr>
      <w:tr w:rsidR="000454E8" w:rsidRPr="00D75DB2" w14:paraId="7EBAEFF3" w14:textId="77777777">
        <w:tblPrEx>
          <w:tblLook w:val="00A0" w:firstRow="1" w:lastRow="0" w:firstColumn="1" w:lastColumn="0" w:noHBand="0" w:noVBand="0"/>
        </w:tblPrEx>
        <w:tc>
          <w:tcPr>
            <w:tcW w:w="1129" w:type="dxa"/>
            <w:shd w:val="clear" w:color="auto" w:fill="auto"/>
            <w:vAlign w:val="center"/>
          </w:tcPr>
          <w:p w14:paraId="33D25D9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color w:val="000000"/>
                <w:szCs w:val="22"/>
              </w:rPr>
              <w:t>2</w:t>
            </w:r>
          </w:p>
        </w:tc>
        <w:tc>
          <w:tcPr>
            <w:tcW w:w="7683" w:type="dxa"/>
            <w:shd w:val="clear" w:color="auto" w:fill="auto"/>
          </w:tcPr>
          <w:p w14:paraId="285C3A4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1 lygio kapitalas</w:t>
            </w:r>
          </w:p>
          <w:p w14:paraId="75355F68"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1 lygio kapitalą sudaro bendro 1 lygio nuosavo kapitalo ir papildomo 1 lygio kapitalo suma.</w:t>
            </w:r>
          </w:p>
          <w:p w14:paraId="1B9A04E8" w14:textId="77777777" w:rsidR="000454E8" w:rsidRPr="00D75DB2" w:rsidRDefault="00D75DB2">
            <w:pPr>
              <w:spacing w:after="120"/>
              <w:jc w:val="both"/>
              <w:rPr>
                <w:rFonts w:ascii="Times New Roman" w:eastAsia="Times New Roman" w:hAnsi="Times New Roman" w:cs="Times New Roman"/>
                <w:b/>
                <w:bCs/>
                <w:szCs w:val="22"/>
              </w:rPr>
            </w:pPr>
            <w:r w:rsidRPr="00D75DB2">
              <w:rPr>
                <w:rFonts w:ascii="Times New Roman" w:hAnsi="Times New Roman"/>
                <w:bCs/>
                <w:szCs w:val="22"/>
              </w:rPr>
              <w:t xml:space="preserve">Šioje eilutėje </w:t>
            </w:r>
            <w:r w:rsidRPr="00D75DB2">
              <w:rPr>
                <w:rFonts w:ascii="Times New Roman" w:hAnsi="Times New Roman"/>
                <w:bCs/>
                <w:szCs w:val="22"/>
              </w:rPr>
              <w:t>įrašoma 3 ir 28 eilučių verčių suma.</w:t>
            </w:r>
          </w:p>
        </w:tc>
      </w:tr>
      <w:tr w:rsidR="000454E8" w:rsidRPr="00D75DB2" w14:paraId="793A4572" w14:textId="77777777">
        <w:tblPrEx>
          <w:tblLook w:val="00A0" w:firstRow="1" w:lastRow="0" w:firstColumn="1" w:lastColumn="0" w:noHBand="0" w:noVBand="0"/>
        </w:tblPrEx>
        <w:tc>
          <w:tcPr>
            <w:tcW w:w="1129" w:type="dxa"/>
            <w:shd w:val="clear" w:color="auto" w:fill="auto"/>
            <w:vAlign w:val="center"/>
          </w:tcPr>
          <w:p w14:paraId="64943BE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color w:val="000000"/>
                <w:szCs w:val="22"/>
              </w:rPr>
              <w:t>3</w:t>
            </w:r>
          </w:p>
        </w:tc>
        <w:tc>
          <w:tcPr>
            <w:tcW w:w="7683" w:type="dxa"/>
            <w:shd w:val="clear" w:color="auto" w:fill="auto"/>
          </w:tcPr>
          <w:p w14:paraId="25CB0C3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InstructionsTabelleberschrift"/>
                <w:rFonts w:ascii="Times New Roman" w:hAnsi="Times New Roman"/>
                <w:sz w:val="22"/>
                <w:szCs w:val="22"/>
              </w:rPr>
              <w:t>Bendras 1 lygio nuosavas kapitalas</w:t>
            </w:r>
          </w:p>
          <w:p w14:paraId="79A0B17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24C5C687"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50 straipsnis.</w:t>
            </w:r>
          </w:p>
          <w:p w14:paraId="525DF2D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Nurodoma bendra 4–12 ir 27 eilučių verčių suma.</w:t>
            </w:r>
          </w:p>
        </w:tc>
      </w:tr>
      <w:tr w:rsidR="000454E8" w:rsidRPr="00D75DB2" w14:paraId="2C424524" w14:textId="77777777">
        <w:tblPrEx>
          <w:tblLook w:val="00A0" w:firstRow="1" w:lastRow="0" w:firstColumn="1" w:lastColumn="0" w:noHBand="0" w:noVBand="0"/>
        </w:tblPrEx>
        <w:tc>
          <w:tcPr>
            <w:tcW w:w="1129" w:type="dxa"/>
            <w:shd w:val="clear" w:color="auto" w:fill="auto"/>
            <w:vAlign w:val="center"/>
          </w:tcPr>
          <w:p w14:paraId="4B8725B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w:t>
            </w:r>
          </w:p>
        </w:tc>
        <w:tc>
          <w:tcPr>
            <w:tcW w:w="7683" w:type="dxa"/>
            <w:shd w:val="clear" w:color="auto" w:fill="auto"/>
          </w:tcPr>
          <w:p w14:paraId="1ABECEB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Visiškai apmokėtos kapitalo priemonės</w:t>
            </w:r>
          </w:p>
          <w:p w14:paraId="250C6E1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8E91424"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26 straipsnio 1 dalies a punktas ir 27–31 straipsniai.</w:t>
            </w:r>
          </w:p>
          <w:p w14:paraId="50B69F77" w14:textId="77777777" w:rsidR="000454E8" w:rsidRPr="00D75DB2" w:rsidRDefault="000454E8">
            <w:pPr>
              <w:pStyle w:val="InstructionsText"/>
              <w:rPr>
                <w:rStyle w:val="FormatvorlageInstructionsTabelleText"/>
                <w:rFonts w:ascii="Times New Roman" w:hAnsi="Times New Roman"/>
                <w:sz w:val="22"/>
              </w:rPr>
            </w:pPr>
          </w:p>
          <w:p w14:paraId="091071C6"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Prie jų priskiriamos savidraudos įmonių, kooperatinių bendrovių arba panašių įstaigų kapitalo </w:t>
            </w:r>
            <w:r w:rsidRPr="00D75DB2">
              <w:rPr>
                <w:rStyle w:val="FormatvorlageInstructionsTabelleText"/>
                <w:rFonts w:ascii="Times New Roman" w:hAnsi="Times New Roman"/>
                <w:sz w:val="22"/>
              </w:rPr>
              <w:t>priemonės, nurodytos Reglamento (ES) Nr. 575/2013 27 ir 29 straipsniuose.</w:t>
            </w:r>
          </w:p>
          <w:p w14:paraId="56E96EBA"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Su tomis priemonėmis susiję akcijų priedai neįskaičiuojami.</w:t>
            </w:r>
          </w:p>
          <w:p w14:paraId="5449BF71" w14:textId="77777777" w:rsidR="000454E8" w:rsidRPr="00D75DB2" w:rsidRDefault="00D75DB2">
            <w:pPr>
              <w:pStyle w:val="InstructionsText"/>
            </w:pPr>
            <w:r w:rsidRPr="00D75DB2">
              <w:rPr>
                <w:rStyle w:val="FormatvorlageInstructionsTabelleText"/>
                <w:rFonts w:ascii="Times New Roman" w:hAnsi="Times New Roman"/>
                <w:sz w:val="22"/>
              </w:rPr>
              <w:t xml:space="preserve">Viešosios valdžios institucijų ekstremaliųjų situacijų atveju pasirašytos kapitalo priemonės </w:t>
            </w:r>
            <w:r w:rsidRPr="00D75DB2">
              <w:rPr>
                <w:rStyle w:val="FormatvorlageInstructionsTabelleText"/>
                <w:rFonts w:ascii="Times New Roman" w:hAnsi="Times New Roman"/>
                <w:sz w:val="22"/>
              </w:rPr>
              <w:t>įskaičiuojamos, jeigu</w:t>
            </w:r>
            <w:r w:rsidRPr="00D75DB2">
              <w:t xml:space="preserve"> </w:t>
            </w:r>
            <w:r w:rsidRPr="00D75DB2">
              <w:rPr>
                <w:rStyle w:val="FormatvorlageInstructionsTabelleText"/>
                <w:rFonts w:ascii="Times New Roman" w:hAnsi="Times New Roman"/>
                <w:sz w:val="22"/>
              </w:rPr>
              <w:t>įvykdomos visos Reglamento (ES) Nr. 575/2013 31 straipsnio sąlygos.</w:t>
            </w:r>
          </w:p>
        </w:tc>
      </w:tr>
      <w:tr w:rsidR="000454E8" w:rsidRPr="00D75DB2" w14:paraId="2C8BC659" w14:textId="77777777">
        <w:tblPrEx>
          <w:tblLook w:val="00A0" w:firstRow="1" w:lastRow="0" w:firstColumn="1" w:lastColumn="0" w:noHBand="0" w:noVBand="0"/>
        </w:tblPrEx>
        <w:tc>
          <w:tcPr>
            <w:tcW w:w="1129" w:type="dxa"/>
            <w:shd w:val="clear" w:color="auto" w:fill="auto"/>
            <w:vAlign w:val="center"/>
          </w:tcPr>
          <w:p w14:paraId="05634FE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5</w:t>
            </w:r>
          </w:p>
        </w:tc>
        <w:tc>
          <w:tcPr>
            <w:tcW w:w="7683" w:type="dxa"/>
            <w:shd w:val="clear" w:color="auto" w:fill="auto"/>
          </w:tcPr>
          <w:p w14:paraId="4DFDBC0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1A23CB6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A3E6330"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26 straipsnio 1 dalies b punktas.</w:t>
            </w:r>
          </w:p>
          <w:p w14:paraId="76701A8D"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w:t>
            </w:r>
            <w:r w:rsidRPr="00D75DB2">
              <w:rPr>
                <w:rStyle w:val="FormatvorlageInstructionsTabelleText"/>
                <w:rFonts w:ascii="Times New Roman" w:hAnsi="Times New Roman"/>
                <w:sz w:val="22"/>
              </w:rPr>
              <w:t>eikšmė yra tokia pati, kaip apibrėžta taikytiname apskaitos standarte.</w:t>
            </w:r>
          </w:p>
          <w:p w14:paraId="45B7859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sumos dalis, susijusi su „Apmokėtomis kapitalo priemonėmis“.</w:t>
            </w:r>
          </w:p>
        </w:tc>
      </w:tr>
      <w:tr w:rsidR="000454E8" w:rsidRPr="00D75DB2" w14:paraId="1BD37FBF" w14:textId="77777777">
        <w:tblPrEx>
          <w:tblLook w:val="00A0" w:firstRow="1" w:lastRow="0" w:firstColumn="1" w:lastColumn="0" w:noHBand="0" w:noVBand="0"/>
        </w:tblPrEx>
        <w:tc>
          <w:tcPr>
            <w:tcW w:w="1129" w:type="dxa"/>
            <w:shd w:val="clear" w:color="auto" w:fill="auto"/>
            <w:vAlign w:val="center"/>
          </w:tcPr>
          <w:p w14:paraId="0945006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6</w:t>
            </w:r>
          </w:p>
        </w:tc>
        <w:tc>
          <w:tcPr>
            <w:tcW w:w="7683" w:type="dxa"/>
            <w:shd w:val="clear" w:color="auto" w:fill="auto"/>
          </w:tcPr>
          <w:p w14:paraId="372E230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Nepaskirstytasis pelnas</w:t>
            </w:r>
          </w:p>
          <w:p w14:paraId="000182D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5504D1F6"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w:t>
            </w:r>
            <w:r w:rsidRPr="00D75DB2">
              <w:rPr>
                <w:rStyle w:val="FormatvorlageInstructionsTabelleText"/>
                <w:rFonts w:ascii="Times New Roman" w:hAnsi="Times New Roman"/>
                <w:sz w:val="22"/>
                <w:szCs w:val="22"/>
              </w:rPr>
              <w:t>nto (ES) Nr. 575/2013 26 straipsnio 1 dalies c punktas.</w:t>
            </w:r>
          </w:p>
          <w:p w14:paraId="34F7A72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Nepaskirstytąjį pelną sudaro ankstesnių metų nepaskirstytojo pelno ir reikalavimus atitinkančio tarpinio arba metų pabaigos pelno suma.</w:t>
            </w:r>
          </w:p>
        </w:tc>
      </w:tr>
      <w:tr w:rsidR="000454E8" w:rsidRPr="00D75DB2" w14:paraId="2B05C14A" w14:textId="77777777">
        <w:tblPrEx>
          <w:tblLook w:val="00A0" w:firstRow="1" w:lastRow="0" w:firstColumn="1" w:lastColumn="0" w:noHBand="0" w:noVBand="0"/>
        </w:tblPrEx>
        <w:tc>
          <w:tcPr>
            <w:tcW w:w="1129" w:type="dxa"/>
            <w:shd w:val="clear" w:color="auto" w:fill="auto"/>
            <w:vAlign w:val="center"/>
          </w:tcPr>
          <w:p w14:paraId="1BD8854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7</w:t>
            </w:r>
          </w:p>
        </w:tc>
        <w:tc>
          <w:tcPr>
            <w:tcW w:w="7683" w:type="dxa"/>
            <w:shd w:val="clear" w:color="auto" w:fill="auto"/>
          </w:tcPr>
          <w:p w14:paraId="5C7E965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Sukauptos kitos bendrosios pajamos</w:t>
            </w:r>
          </w:p>
          <w:p w14:paraId="7F5975D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w:t>
            </w:r>
            <w:r w:rsidRPr="00D75DB2">
              <w:rPr>
                <w:rFonts w:ascii="Times New Roman" w:hAnsi="Times New Roman"/>
                <w:bCs/>
                <w:szCs w:val="22"/>
              </w:rPr>
              <w:t>2019/2033 9 straipsnio 1 dalies i punktas.</w:t>
            </w:r>
          </w:p>
          <w:p w14:paraId="260BBAB0" w14:textId="77777777" w:rsidR="000454E8" w:rsidRPr="00D75DB2" w:rsidRDefault="00D75DB2">
            <w:pPr>
              <w:spacing w:after="120"/>
              <w:jc w:val="both"/>
              <w:rPr>
                <w:rFonts w:ascii="Times New Roman" w:hAnsi="Times New Roman" w:cs="Times New Roman"/>
                <w:bCs/>
                <w:szCs w:val="22"/>
              </w:rPr>
            </w:pPr>
            <w:r w:rsidRPr="00D75DB2">
              <w:rPr>
                <w:rStyle w:val="FormatvorlageInstructionsTabelleText"/>
                <w:rFonts w:ascii="Times New Roman" w:hAnsi="Times New Roman"/>
                <w:sz w:val="22"/>
                <w:szCs w:val="22"/>
              </w:rPr>
              <w:t>Reglamento (ES) Nr. 575/2013 26 straipsnio 1 dalies d punktas.</w:t>
            </w:r>
          </w:p>
        </w:tc>
      </w:tr>
      <w:tr w:rsidR="000454E8" w:rsidRPr="00D75DB2" w14:paraId="3B72016D" w14:textId="77777777">
        <w:tblPrEx>
          <w:tblLook w:val="00A0" w:firstRow="1" w:lastRow="0" w:firstColumn="1" w:lastColumn="0" w:noHBand="0" w:noVBand="0"/>
        </w:tblPrEx>
        <w:tc>
          <w:tcPr>
            <w:tcW w:w="1129" w:type="dxa"/>
            <w:shd w:val="clear" w:color="auto" w:fill="auto"/>
            <w:vAlign w:val="center"/>
          </w:tcPr>
          <w:p w14:paraId="16D4F51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8</w:t>
            </w:r>
          </w:p>
        </w:tc>
        <w:tc>
          <w:tcPr>
            <w:tcW w:w="7683" w:type="dxa"/>
            <w:tcBorders>
              <w:bottom w:val="single" w:sz="4" w:space="0" w:color="auto"/>
            </w:tcBorders>
            <w:shd w:val="clear" w:color="auto" w:fill="auto"/>
          </w:tcPr>
          <w:p w14:paraId="02CA8E6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Kiti rezervai</w:t>
            </w:r>
          </w:p>
          <w:p w14:paraId="2FC6D21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7976F581"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4 straipsnio 1 dalies 117 punktas ir 26 strai</w:t>
            </w:r>
            <w:r w:rsidRPr="00D75DB2">
              <w:rPr>
                <w:rStyle w:val="FormatvorlageInstructionsTabelleText"/>
                <w:rFonts w:ascii="Times New Roman" w:hAnsi="Times New Roman"/>
                <w:sz w:val="22"/>
                <w:szCs w:val="22"/>
              </w:rPr>
              <w:t>psnio 1 dalies e punktas.</w:t>
            </w:r>
          </w:p>
          <w:p w14:paraId="63B5405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Suma atskleidžiama atėmus visus skaičiavimo metu numatomus mokesčius.</w:t>
            </w:r>
          </w:p>
        </w:tc>
      </w:tr>
      <w:tr w:rsidR="000454E8" w:rsidRPr="00D75DB2" w14:paraId="2AC82B3F" w14:textId="77777777">
        <w:tblPrEx>
          <w:tblLook w:val="00A0" w:firstRow="1" w:lastRow="0" w:firstColumn="1" w:lastColumn="0" w:noHBand="0" w:noVBand="0"/>
        </w:tblPrEx>
        <w:tc>
          <w:tcPr>
            <w:tcW w:w="1129" w:type="dxa"/>
            <w:shd w:val="clear" w:color="auto" w:fill="auto"/>
            <w:vAlign w:val="center"/>
          </w:tcPr>
          <w:p w14:paraId="1FAD98C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9</w:t>
            </w:r>
          </w:p>
        </w:tc>
        <w:tc>
          <w:tcPr>
            <w:tcW w:w="7683" w:type="dxa"/>
            <w:shd w:val="clear" w:color="auto" w:fill="auto"/>
          </w:tcPr>
          <w:p w14:paraId="61CBC10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Mažumos dalys, pripažintos kaip bendras 1 lygio nuosavas kapitalas (CET1)</w:t>
            </w:r>
          </w:p>
          <w:p w14:paraId="60B8C0C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Visa patronuojamųjų įmonių mažumos dalių suma, įtraukta į konsoliduotą CET1.</w:t>
            </w:r>
          </w:p>
        </w:tc>
      </w:tr>
      <w:tr w:rsidR="000454E8" w:rsidRPr="00D75DB2" w14:paraId="5F7EB380" w14:textId="77777777">
        <w:tblPrEx>
          <w:tblLook w:val="00A0" w:firstRow="1" w:lastRow="0" w:firstColumn="1" w:lastColumn="0" w:noHBand="0" w:noVBand="0"/>
        </w:tblPrEx>
        <w:tc>
          <w:tcPr>
            <w:tcW w:w="1129" w:type="dxa"/>
            <w:shd w:val="clear" w:color="auto" w:fill="auto"/>
            <w:vAlign w:val="center"/>
          </w:tcPr>
          <w:p w14:paraId="5C2FD605"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10</w:t>
            </w:r>
          </w:p>
        </w:tc>
        <w:tc>
          <w:tcPr>
            <w:tcW w:w="7683" w:type="dxa"/>
            <w:shd w:val="clear" w:color="auto" w:fill="auto"/>
          </w:tcPr>
          <w:p w14:paraId="3232584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CET1 koregavimai pritaikius prudencinius filtrus</w:t>
            </w:r>
          </w:p>
          <w:p w14:paraId="507098AB"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2019/2033 9 straipsnio 1 dalies i punktas.</w:t>
            </w:r>
          </w:p>
          <w:p w14:paraId="0A9DB6E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32–35 straipsniai.</w:t>
            </w:r>
          </w:p>
        </w:tc>
      </w:tr>
      <w:tr w:rsidR="000454E8" w:rsidRPr="00D75DB2" w14:paraId="159B9D93" w14:textId="77777777">
        <w:tblPrEx>
          <w:tblLook w:val="00A0" w:firstRow="1" w:lastRow="0" w:firstColumn="1" w:lastColumn="0" w:noHBand="0" w:noVBand="0"/>
        </w:tblPrEx>
        <w:tc>
          <w:tcPr>
            <w:tcW w:w="1129" w:type="dxa"/>
            <w:shd w:val="clear" w:color="auto" w:fill="auto"/>
            <w:vAlign w:val="center"/>
          </w:tcPr>
          <w:p w14:paraId="1AB931CF"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11</w:t>
            </w:r>
          </w:p>
        </w:tc>
        <w:tc>
          <w:tcPr>
            <w:tcW w:w="7683" w:type="dxa"/>
            <w:shd w:val="clear" w:color="auto" w:fill="auto"/>
          </w:tcPr>
          <w:p w14:paraId="4DB892C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Kitos lėšos</w:t>
            </w:r>
          </w:p>
          <w:p w14:paraId="3CE418E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9 straipsnio 4 dalis.</w:t>
            </w:r>
          </w:p>
        </w:tc>
      </w:tr>
      <w:tr w:rsidR="000454E8" w:rsidRPr="00D75DB2" w14:paraId="2185012C" w14:textId="77777777">
        <w:tblPrEx>
          <w:tblLook w:val="00A0" w:firstRow="1" w:lastRow="0" w:firstColumn="1" w:lastColumn="0" w:noHBand="0" w:noVBand="0"/>
        </w:tblPrEx>
        <w:tc>
          <w:tcPr>
            <w:tcW w:w="1129" w:type="dxa"/>
            <w:shd w:val="clear" w:color="auto" w:fill="auto"/>
            <w:vAlign w:val="center"/>
          </w:tcPr>
          <w:p w14:paraId="0DF8D37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12</w:t>
            </w:r>
          </w:p>
        </w:tc>
        <w:tc>
          <w:tcPr>
            <w:tcW w:w="7683" w:type="dxa"/>
            <w:shd w:val="clear" w:color="auto" w:fill="auto"/>
          </w:tcPr>
          <w:p w14:paraId="1DD5458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BENDRA ATSKAITYMŲ IŠ </w:t>
            </w:r>
            <w:r w:rsidRPr="00D75DB2">
              <w:rPr>
                <w:rFonts w:ascii="Times New Roman" w:hAnsi="Times New Roman"/>
                <w:b/>
                <w:bCs/>
                <w:szCs w:val="22"/>
                <w:u w:val="single"/>
              </w:rPr>
              <w:t>BENDRO 1 LYGIO NUOSAVO KAPITALO SUMA</w:t>
            </w:r>
          </w:p>
          <w:p w14:paraId="19D87EC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Atskleidžiama bendra 13 ir 17–26 eilučių verčių suma.</w:t>
            </w:r>
          </w:p>
        </w:tc>
      </w:tr>
      <w:tr w:rsidR="000454E8" w:rsidRPr="00D75DB2" w14:paraId="3B32D7DD" w14:textId="77777777">
        <w:tblPrEx>
          <w:tblLook w:val="00A0" w:firstRow="1" w:lastRow="0" w:firstColumn="1" w:lastColumn="0" w:noHBand="0" w:noVBand="0"/>
        </w:tblPrEx>
        <w:tc>
          <w:tcPr>
            <w:tcW w:w="1129" w:type="dxa"/>
            <w:shd w:val="clear" w:color="auto" w:fill="auto"/>
            <w:vAlign w:val="center"/>
          </w:tcPr>
          <w:p w14:paraId="068ABD2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13</w:t>
            </w:r>
          </w:p>
        </w:tc>
        <w:tc>
          <w:tcPr>
            <w:tcW w:w="7683" w:type="dxa"/>
            <w:shd w:val="clear" w:color="auto" w:fill="auto"/>
          </w:tcPr>
          <w:p w14:paraId="1386E4D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CET1 priemonės</w:t>
            </w:r>
          </w:p>
          <w:p w14:paraId="3906195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3A072DDE"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36 straipsnio 1 dalies f punktas ir 42 straip</w:t>
            </w:r>
            <w:r w:rsidRPr="00D75DB2">
              <w:rPr>
                <w:rStyle w:val="FormatvorlageInstructionsTabelleText"/>
                <w:rFonts w:ascii="Times New Roman" w:hAnsi="Times New Roman"/>
                <w:sz w:val="22"/>
              </w:rPr>
              <w:t>snis.</w:t>
            </w:r>
          </w:p>
          <w:p w14:paraId="407782E0"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lastRenderedPageBreak/>
              <w:t>Informaciją teikiančios įstaigos arba grupės ataskaitinę datą turimos nuosavos CET1 priemonės. Taikant Reglamento (ES) Nr. 575/2013 42 straipsnyje nustatytas išimtis.</w:t>
            </w:r>
          </w:p>
          <w:p w14:paraId="43E4B46D"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Turimos akcijos, priskirtos prie „Reikalavimų neatitinkančių kapitalo priemonių“, š</w:t>
            </w:r>
            <w:r w:rsidRPr="00D75DB2">
              <w:rPr>
                <w:rStyle w:val="FormatvorlageInstructionsTabelleText"/>
                <w:rFonts w:ascii="Times New Roman" w:hAnsi="Times New Roman"/>
                <w:sz w:val="22"/>
              </w:rPr>
              <w:t>ioje eilutėje neatskleidžiamos.</w:t>
            </w:r>
          </w:p>
          <w:p w14:paraId="37EA8666" w14:textId="77777777" w:rsidR="000454E8" w:rsidRPr="00D75DB2" w:rsidRDefault="00D75DB2">
            <w:pPr>
              <w:pStyle w:val="InstructionsText"/>
            </w:pPr>
            <w:r w:rsidRPr="00D75DB2">
              <w:rPr>
                <w:rStyle w:val="FormatvorlageInstructionsTabelleText"/>
                <w:rFonts w:ascii="Times New Roman" w:hAnsi="Times New Roman"/>
                <w:sz w:val="22"/>
              </w:rPr>
              <w:t>Į atskleidžiamą sumą įskaičiuojami su savomis akcijomis susiję akcijų priedai.</w:t>
            </w:r>
          </w:p>
        </w:tc>
      </w:tr>
      <w:tr w:rsidR="000454E8" w:rsidRPr="00D75DB2" w14:paraId="77064CF8" w14:textId="77777777">
        <w:tblPrEx>
          <w:tblLook w:val="00A0" w:firstRow="1" w:lastRow="0" w:firstColumn="1" w:lastColumn="0" w:noHBand="0" w:noVBand="0"/>
        </w:tblPrEx>
        <w:tc>
          <w:tcPr>
            <w:tcW w:w="1129" w:type="dxa"/>
            <w:shd w:val="clear" w:color="auto" w:fill="auto"/>
            <w:vAlign w:val="center"/>
          </w:tcPr>
          <w:p w14:paraId="289006D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14</w:t>
            </w:r>
          </w:p>
        </w:tc>
        <w:tc>
          <w:tcPr>
            <w:tcW w:w="7683" w:type="dxa"/>
            <w:shd w:val="clear" w:color="auto" w:fill="auto"/>
          </w:tcPr>
          <w:p w14:paraId="3863198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Tiesiogiai turimos CET1 priemonės</w:t>
            </w:r>
          </w:p>
          <w:p w14:paraId="4CD65AE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566B39F8"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Nr. 575/2013 </w:t>
            </w:r>
            <w:r w:rsidRPr="00D75DB2">
              <w:rPr>
                <w:rStyle w:val="FormatvorlageInstructionsTabelleText"/>
                <w:rFonts w:ascii="Times New Roman" w:hAnsi="Times New Roman"/>
                <w:sz w:val="22"/>
              </w:rPr>
              <w:t>36 straipsnio 1 dalies f punktas ir 42 straipsnis.</w:t>
            </w:r>
          </w:p>
          <w:p w14:paraId="6A9BD34E" w14:textId="77777777" w:rsidR="000454E8" w:rsidRPr="00D75DB2" w:rsidRDefault="00D75DB2">
            <w:pPr>
              <w:pStyle w:val="InstructionsText"/>
            </w:pPr>
            <w:r w:rsidRPr="00D75DB2">
              <w:rPr>
                <w:rStyle w:val="FormatvorlageInstructionsTabelleText"/>
                <w:rFonts w:ascii="Times New Roman" w:hAnsi="Times New Roman"/>
                <w:sz w:val="22"/>
              </w:rPr>
              <w:t xml:space="preserve">Investicinės įmonės turimos bendro 1 lygio nuosavo kapitalo priemonės. </w:t>
            </w:r>
          </w:p>
        </w:tc>
      </w:tr>
      <w:tr w:rsidR="000454E8" w:rsidRPr="00D75DB2" w14:paraId="2179962F" w14:textId="77777777">
        <w:tblPrEx>
          <w:tblLook w:val="00A0" w:firstRow="1" w:lastRow="0" w:firstColumn="1" w:lastColumn="0" w:noHBand="0" w:noVBand="0"/>
        </w:tblPrEx>
        <w:tc>
          <w:tcPr>
            <w:tcW w:w="1129" w:type="dxa"/>
            <w:shd w:val="clear" w:color="auto" w:fill="auto"/>
            <w:vAlign w:val="center"/>
          </w:tcPr>
          <w:p w14:paraId="47C3CD0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15</w:t>
            </w:r>
          </w:p>
        </w:tc>
        <w:tc>
          <w:tcPr>
            <w:tcW w:w="7683" w:type="dxa"/>
            <w:shd w:val="clear" w:color="auto" w:fill="auto"/>
          </w:tcPr>
          <w:p w14:paraId="3D9DD7B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Netiesiogiai turimos CET1 priemonės</w:t>
            </w:r>
          </w:p>
          <w:p w14:paraId="6B69749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7AA1739"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3</w:t>
            </w:r>
            <w:r w:rsidRPr="00D75DB2">
              <w:rPr>
                <w:rStyle w:val="FormatvorlageInstructionsTabelleText"/>
                <w:rFonts w:ascii="Times New Roman" w:hAnsi="Times New Roman"/>
                <w:sz w:val="22"/>
              </w:rPr>
              <w:t>6 straipsnio 1 dalies f punktas ir 42 straipsnis.</w:t>
            </w:r>
          </w:p>
          <w:p w14:paraId="6349CE3B" w14:textId="77777777" w:rsidR="000454E8" w:rsidRPr="00D75DB2" w:rsidRDefault="00D75DB2">
            <w:pPr>
              <w:pStyle w:val="InstructionsText"/>
            </w:pPr>
            <w:r w:rsidRPr="00D75DB2">
              <w:rPr>
                <w:rStyle w:val="FormatvorlageInstructionsTabelleText"/>
                <w:rFonts w:ascii="Times New Roman" w:hAnsi="Times New Roman"/>
                <w:sz w:val="22"/>
              </w:rPr>
              <w:t>Investicinės įmonės turimos bendro 1 lygio nuosavo kapitalo priemonės.</w:t>
            </w:r>
          </w:p>
        </w:tc>
      </w:tr>
      <w:tr w:rsidR="000454E8" w:rsidRPr="00D75DB2" w14:paraId="19479B32" w14:textId="77777777">
        <w:tblPrEx>
          <w:tblLook w:val="00A0" w:firstRow="1" w:lastRow="0" w:firstColumn="1" w:lastColumn="0" w:noHBand="0" w:noVBand="0"/>
        </w:tblPrEx>
        <w:tc>
          <w:tcPr>
            <w:tcW w:w="1129" w:type="dxa"/>
            <w:shd w:val="clear" w:color="auto" w:fill="auto"/>
            <w:vAlign w:val="center"/>
          </w:tcPr>
          <w:p w14:paraId="5083605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B14C11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Dirbtinai turimos CET1 priemonės</w:t>
            </w:r>
          </w:p>
          <w:p w14:paraId="463FE85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1CC0534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w:t>
            </w:r>
            <w:r w:rsidRPr="00D75DB2">
              <w:rPr>
                <w:rStyle w:val="FormatvorlageInstructionsTabelleText"/>
                <w:rFonts w:ascii="Times New Roman" w:hAnsi="Times New Roman"/>
                <w:sz w:val="22"/>
                <w:szCs w:val="22"/>
              </w:rPr>
              <w:t>ipsnio 1 dalies 114 punktas, 36 straipsnio 1 dalies f punktas ir 42 straipsnis.</w:t>
            </w:r>
          </w:p>
        </w:tc>
      </w:tr>
      <w:tr w:rsidR="000454E8" w:rsidRPr="00D75DB2" w14:paraId="6927C45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B197CD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BD64BD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Einamųjų finansinių metų nuostoliai</w:t>
            </w:r>
          </w:p>
          <w:p w14:paraId="7728894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a punktas.</w:t>
            </w:r>
          </w:p>
        </w:tc>
      </w:tr>
      <w:tr w:rsidR="000454E8" w:rsidRPr="00D75DB2" w14:paraId="1077B2C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5A3D2D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8DB388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Prestižas</w:t>
            </w:r>
          </w:p>
          <w:p w14:paraId="3D153B8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9 straipsnio </w:t>
            </w:r>
            <w:r w:rsidRPr="00D75DB2">
              <w:rPr>
                <w:rFonts w:ascii="Times New Roman" w:hAnsi="Times New Roman"/>
                <w:bCs/>
                <w:szCs w:val="22"/>
              </w:rPr>
              <w:t>1 dalies i punktas.</w:t>
            </w:r>
          </w:p>
          <w:p w14:paraId="7299C71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straipsnio 1 dalies 113 punktas, 36 straipsnio 1 dalies b punktas ir 37 straipsnis.</w:t>
            </w:r>
          </w:p>
        </w:tc>
      </w:tr>
      <w:tr w:rsidR="000454E8" w:rsidRPr="00D75DB2" w14:paraId="0D8DE7E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B11FB5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BE344C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Kitas nematerialusis turtas</w:t>
            </w:r>
          </w:p>
          <w:p w14:paraId="38D1F41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98DC482"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w:t>
            </w:r>
            <w:r w:rsidRPr="00D75DB2">
              <w:rPr>
                <w:rStyle w:val="FormatvorlageInstructionsTabelleText"/>
                <w:rFonts w:ascii="Times New Roman" w:hAnsi="Times New Roman"/>
                <w:sz w:val="22"/>
              </w:rPr>
              <w:t>13 4 straipsnio 1 dalies 115 punktas, 36 straipsnio 1 dalies b punktas ir 37 straipsnio a punktas.</w:t>
            </w:r>
          </w:p>
          <w:p w14:paraId="7EB8AB3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Kitas nematerialusis turtas – nematerialusis turtas pagal taikytiną apskaitos standartą, atėmus prestižą (taip pat pagal taikytiną apskaitos standartą).</w:t>
            </w:r>
          </w:p>
        </w:tc>
      </w:tr>
      <w:tr w:rsidR="000454E8" w:rsidRPr="00D75DB2" w14:paraId="0743301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05568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FD4CD2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Atidėtųjų mokesčių turtas, kuris priklauso nuo būsimo pelningumo ir susidaro ne dėl laikinųjų skirtumų, atėmus susijusius atidėtųjų mokesčių įsipareigojimus</w:t>
            </w:r>
          </w:p>
          <w:p w14:paraId="41CE809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a punktas.</w:t>
            </w:r>
          </w:p>
          <w:p w14:paraId="2A29237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w:t>
            </w:r>
            <w:r w:rsidRPr="00D75DB2">
              <w:rPr>
                <w:rFonts w:ascii="Times New Roman" w:hAnsi="Times New Roman"/>
                <w:bCs/>
                <w:szCs w:val="22"/>
              </w:rPr>
              <w:t>ipsnio 1 dalies c punktas.</w:t>
            </w:r>
          </w:p>
        </w:tc>
      </w:tr>
      <w:tr w:rsidR="000454E8" w:rsidRPr="00D75DB2" w14:paraId="0DB6FC3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798358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54B243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 finansų sektoriaus įmonės kvalifikuotoji akcijų paketo dalis, viršijanti 15 % nuosavų lėšų</w:t>
            </w:r>
          </w:p>
          <w:p w14:paraId="0EB9EC9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10 straipsnio 1 dalies a punktas.</w:t>
            </w:r>
          </w:p>
        </w:tc>
      </w:tr>
      <w:tr w:rsidR="000454E8" w:rsidRPr="00D75DB2" w14:paraId="418234B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FF6476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61F406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Įmonių, kurios nėra finansų sektoriaus subjektai, </w:t>
            </w:r>
            <w:r w:rsidRPr="00D75DB2">
              <w:rPr>
                <w:rFonts w:ascii="Times New Roman" w:hAnsi="Times New Roman"/>
                <w:b/>
                <w:bCs/>
                <w:szCs w:val="22"/>
                <w:u w:val="single"/>
              </w:rPr>
              <w:t>kvalifikuotųjų akcijų paketo dalių bendra suma, viršijanti 60 % įmonės nuosavų lėšų</w:t>
            </w:r>
          </w:p>
          <w:p w14:paraId="57F7339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10 straipsnio 1 dalies b punktas.</w:t>
            </w:r>
          </w:p>
        </w:tc>
      </w:tr>
      <w:tr w:rsidR="000454E8" w:rsidRPr="00D75DB2" w14:paraId="4CF42ED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B2C3D2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B3396C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neturi reikšmingų investicijų, CET1 priemonės</w:t>
            </w:r>
          </w:p>
          <w:p w14:paraId="752C294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w:t>
            </w:r>
            <w:r w:rsidRPr="00D75DB2">
              <w:rPr>
                <w:rFonts w:ascii="Times New Roman" w:hAnsi="Times New Roman"/>
                <w:bCs/>
                <w:szCs w:val="22"/>
              </w:rPr>
              <w:t>ES) 2019/2033 9 straipsnio 2 dalies c punktas.</w:t>
            </w:r>
          </w:p>
          <w:p w14:paraId="3A398D7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h punktas.</w:t>
            </w:r>
          </w:p>
        </w:tc>
      </w:tr>
      <w:tr w:rsidR="000454E8" w:rsidRPr="00D75DB2" w14:paraId="2949F50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EB60BE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8F38B4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turi reikšmingų investicijų, CET1 priemonės</w:t>
            </w:r>
          </w:p>
          <w:p w14:paraId="72335EB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w:t>
            </w:r>
            <w:r w:rsidRPr="00D75DB2">
              <w:rPr>
                <w:rFonts w:ascii="Times New Roman" w:hAnsi="Times New Roman"/>
                <w:bCs/>
                <w:szCs w:val="22"/>
              </w:rPr>
              <w:t>9 straipsnio 2 dalies d punktas.</w:t>
            </w:r>
          </w:p>
          <w:p w14:paraId="37C55B3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i punktas.</w:t>
            </w:r>
          </w:p>
        </w:tc>
      </w:tr>
      <w:tr w:rsidR="000454E8" w:rsidRPr="00D75DB2" w14:paraId="4EA25BF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549B40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78D64D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Nustatytų išmokų pensijų fondo turtas</w:t>
            </w:r>
          </w:p>
          <w:p w14:paraId="16633BB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b punktas.</w:t>
            </w:r>
          </w:p>
          <w:p w14:paraId="77F6B59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e p</w:t>
            </w:r>
            <w:r w:rsidRPr="00D75DB2">
              <w:rPr>
                <w:rFonts w:ascii="Times New Roman" w:hAnsi="Times New Roman"/>
                <w:bCs/>
                <w:szCs w:val="22"/>
              </w:rPr>
              <w:t>unktas.</w:t>
            </w:r>
          </w:p>
        </w:tc>
      </w:tr>
      <w:tr w:rsidR="000454E8" w:rsidRPr="00D75DB2" w14:paraId="51D7B5F3" w14:textId="77777777">
        <w:tblPrEx>
          <w:tblLook w:val="00A0" w:firstRow="1" w:lastRow="0" w:firstColumn="1" w:lastColumn="0" w:noHBand="0" w:noVBand="0"/>
        </w:tblPrEx>
        <w:tc>
          <w:tcPr>
            <w:tcW w:w="1129" w:type="dxa"/>
            <w:vAlign w:val="center"/>
          </w:tcPr>
          <w:p w14:paraId="45AE1BF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373D6C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Kiti atskaitymai</w:t>
            </w:r>
          </w:p>
          <w:p w14:paraId="4E0285E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Visų kitų atskaitymų, išvardytų Reglamento (ES) Nr. 575/2013 36 straipsnio 1 dalyje, suma.</w:t>
            </w:r>
          </w:p>
        </w:tc>
      </w:tr>
      <w:tr w:rsidR="000454E8" w:rsidRPr="00D75DB2" w14:paraId="024F6049" w14:textId="77777777">
        <w:tblPrEx>
          <w:tblLook w:val="00A0" w:firstRow="1" w:lastRow="0" w:firstColumn="1" w:lastColumn="0" w:noHBand="0" w:noVBand="0"/>
        </w:tblPrEx>
        <w:tc>
          <w:tcPr>
            <w:tcW w:w="1129" w:type="dxa"/>
            <w:vAlign w:val="center"/>
          </w:tcPr>
          <w:p w14:paraId="5B6C0C9C"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B2C94A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CET1. Kiti kapitalo elementai, atskaitymai ir koregavimai</w:t>
            </w:r>
          </w:p>
          <w:p w14:paraId="584F147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Šioje eilutėje susumuojami, kai taikytina, šie </w:t>
            </w:r>
            <w:r w:rsidRPr="00D75DB2">
              <w:rPr>
                <w:rFonts w:ascii="Times New Roman" w:hAnsi="Times New Roman"/>
                <w:bCs/>
                <w:szCs w:val="22"/>
              </w:rPr>
              <w:t>straipsniai:</w:t>
            </w:r>
          </w:p>
          <w:p w14:paraId="6CD21976"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CET1 kapitalo priemonių, kurioms taikomas tęstinumo principas (Reglamento (ES) Nr. 575/2013 483 straipsnio 1, 2 ir 3 dalys ir 484–487 straipsniai);</w:t>
            </w:r>
          </w:p>
          <w:p w14:paraId="5327AF1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w:t>
            </w:r>
            <w:r w:rsidRPr="00D75DB2">
              <w:rPr>
                <w:rFonts w:ascii="Times New Roman" w:hAnsi="Times New Roman"/>
                <w:bCs/>
              </w:rPr>
              <w:t>papildomų mažumos dalių (Reglamento (ES) Nr. 575/2013 479 ir 480 straipsniai);</w:t>
            </w:r>
          </w:p>
          <w:p w14:paraId="3474DC80"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CET1 kapitalo pereinamojo laikotarpio koregavimai (Reglamento (ES) Nr. 575/2013 469–478 ir 481 straipsniai): atskaitymų iš CET1 koregavimai dėl pereinamojo laikotarpio nu</w:t>
            </w:r>
            <w:r w:rsidRPr="00D75DB2">
              <w:rPr>
                <w:rFonts w:ascii="Times New Roman" w:hAnsi="Times New Roman"/>
                <w:bCs/>
              </w:rPr>
              <w:t>ostatų;</w:t>
            </w:r>
          </w:p>
          <w:p w14:paraId="023BD77F" w14:textId="77777777" w:rsidR="000454E8" w:rsidRPr="00D75DB2" w:rsidRDefault="00D75DB2">
            <w:pPr>
              <w:spacing w:after="120"/>
              <w:ind w:left="360" w:hanging="360"/>
              <w:contextualSpacing/>
              <w:jc w:val="both"/>
              <w:rPr>
                <w:rFonts w:ascii="Times New Roman" w:eastAsia="Times New Roman" w:hAnsi="Times New Roman"/>
                <w:b/>
                <w:bCs/>
                <w:u w:val="single"/>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CET1 kapitalo elementai arba atskaitymai iš CET1 elemento, kurie negali būti priskirti prie vienos iš 4–26 eilučių.</w:t>
            </w:r>
          </w:p>
          <w:p w14:paraId="4CC6D11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w:t>
            </w:r>
            <w:r w:rsidRPr="00D75DB2">
              <w:rPr>
                <w:rFonts w:ascii="Times New Roman" w:hAnsi="Times New Roman"/>
                <w:bCs/>
                <w:szCs w:val="22"/>
              </w:rPr>
              <w:t>mentas (ES) Nr. 575/2013, įtraukti į mokumo koeficientų skaičiavimus.</w:t>
            </w:r>
          </w:p>
        </w:tc>
      </w:tr>
      <w:tr w:rsidR="000454E8" w:rsidRPr="00D75DB2" w14:paraId="78E1F343" w14:textId="77777777">
        <w:tblPrEx>
          <w:tblLook w:val="00A0" w:firstRow="1" w:lastRow="0" w:firstColumn="1" w:lastColumn="0" w:noHBand="0" w:noVBand="0"/>
        </w:tblPrEx>
        <w:tc>
          <w:tcPr>
            <w:tcW w:w="1129" w:type="dxa"/>
            <w:vAlign w:val="center"/>
          </w:tcPr>
          <w:p w14:paraId="3A2D723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C845DF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w:t>
            </w:r>
          </w:p>
          <w:p w14:paraId="7D15820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3D293FE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Nr. 575/2013 61 straipsnis.</w:t>
            </w:r>
          </w:p>
          <w:p w14:paraId="728524C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29–31 ir 39 eilučių verčių suma.</w:t>
            </w:r>
          </w:p>
        </w:tc>
      </w:tr>
      <w:tr w:rsidR="000454E8" w:rsidRPr="00D75DB2" w14:paraId="543981DE" w14:textId="77777777">
        <w:tblPrEx>
          <w:tblLook w:val="00A0" w:firstRow="1" w:lastRow="0" w:firstColumn="1" w:lastColumn="0" w:noHBand="0" w:noVBand="0"/>
        </w:tblPrEx>
        <w:tc>
          <w:tcPr>
            <w:tcW w:w="1129" w:type="dxa"/>
            <w:vAlign w:val="center"/>
          </w:tcPr>
          <w:p w14:paraId="0F3E381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0F9BF3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szCs w:val="22"/>
                <w:u w:val="single"/>
              </w:rPr>
              <w:t>Visiškai apmokėtos tiesiogiai išleistos kapitalo priemonės</w:t>
            </w:r>
          </w:p>
          <w:p w14:paraId="68296F0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18965045"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51 straipsnio a punktas, 52, 53 ir 54 straipsniai.</w:t>
            </w:r>
          </w:p>
          <w:p w14:paraId="599214E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w:t>
            </w:r>
            <w:r w:rsidRPr="00D75DB2">
              <w:rPr>
                <w:rStyle w:val="FormatvorlageInstructionsTabelleText"/>
                <w:rFonts w:ascii="Times New Roman" w:hAnsi="Times New Roman"/>
                <w:sz w:val="22"/>
                <w:szCs w:val="22"/>
              </w:rPr>
              <w:t>iedai neįskaičiuojami.</w:t>
            </w:r>
          </w:p>
        </w:tc>
      </w:tr>
      <w:tr w:rsidR="000454E8" w:rsidRPr="00D75DB2" w14:paraId="756E6B01" w14:textId="77777777">
        <w:tblPrEx>
          <w:tblLook w:val="00A0" w:firstRow="1" w:lastRow="0" w:firstColumn="1" w:lastColumn="0" w:noHBand="0" w:noVBand="0"/>
        </w:tblPrEx>
        <w:tc>
          <w:tcPr>
            <w:tcW w:w="1129" w:type="dxa"/>
            <w:vAlign w:val="center"/>
          </w:tcPr>
          <w:p w14:paraId="3D37FD36"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27F9D91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370ACE8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34A101B5"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51 straipsnio b punktas.</w:t>
            </w:r>
          </w:p>
          <w:p w14:paraId="1FCB443D"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lastRenderedPageBreak/>
              <w:t xml:space="preserve">Sąvokos „akcijų priedai“ reikšmė yra tokia pati, kaip apibrėžta taikytiname apskaitos </w:t>
            </w:r>
            <w:r w:rsidRPr="00D75DB2">
              <w:rPr>
                <w:rStyle w:val="FormatvorlageInstructionsTabelleText"/>
                <w:rFonts w:ascii="Times New Roman" w:hAnsi="Times New Roman"/>
                <w:sz w:val="22"/>
              </w:rPr>
              <w:t>standarte.</w:t>
            </w:r>
          </w:p>
          <w:p w14:paraId="5405969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sumos dalis, susijusi su „Apmokėtomis kapitalo priemonėmis“.</w:t>
            </w:r>
          </w:p>
        </w:tc>
      </w:tr>
      <w:tr w:rsidR="000454E8" w:rsidRPr="00D75DB2" w14:paraId="06A8C1AA" w14:textId="77777777">
        <w:tblPrEx>
          <w:tblLook w:val="00A0" w:firstRow="1" w:lastRow="0" w:firstColumn="1" w:lastColumn="0" w:noHBand="0" w:noVBand="0"/>
        </w:tblPrEx>
        <w:tc>
          <w:tcPr>
            <w:tcW w:w="1129" w:type="dxa"/>
            <w:tcBorders>
              <w:bottom w:val="single" w:sz="4" w:space="0" w:color="auto"/>
            </w:tcBorders>
            <w:vAlign w:val="center"/>
          </w:tcPr>
          <w:p w14:paraId="280BEAE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C3F0B7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BENDRA ATSKAITYMŲ IŠ PAPILDOMO 1 LYGIO KAPITALO SUMA</w:t>
            </w:r>
          </w:p>
          <w:p w14:paraId="49A79784" w14:textId="77777777" w:rsidR="000454E8" w:rsidRPr="00D75DB2" w:rsidRDefault="00D75DB2">
            <w:pPr>
              <w:spacing w:before="60" w:after="60"/>
              <w:rPr>
                <w:rFonts w:ascii="Times New Roman" w:hAnsi="Times New Roman" w:cs="Times New Roman"/>
                <w:szCs w:val="22"/>
              </w:rPr>
            </w:pPr>
            <w:r w:rsidRPr="00D75DB2">
              <w:rPr>
                <w:rFonts w:ascii="Times New Roman" w:hAnsi="Times New Roman"/>
                <w:szCs w:val="22"/>
              </w:rPr>
              <w:t>Reglamento (ES) Nr. 575/2013 56 straipsnis.</w:t>
            </w:r>
          </w:p>
          <w:p w14:paraId="3D6C814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Atskleidžiama bendra 32 ir 36–38 eilučių verčių </w:t>
            </w:r>
            <w:r w:rsidRPr="00D75DB2">
              <w:rPr>
                <w:rFonts w:ascii="Times New Roman" w:hAnsi="Times New Roman"/>
                <w:bCs/>
                <w:szCs w:val="22"/>
              </w:rPr>
              <w:t>suma.</w:t>
            </w:r>
          </w:p>
        </w:tc>
      </w:tr>
      <w:tr w:rsidR="000454E8" w:rsidRPr="00D75DB2" w14:paraId="4AED806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31A38B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FFE0FB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AT1 priemonės</w:t>
            </w:r>
          </w:p>
          <w:p w14:paraId="00AE579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3B623F66"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575/2013 52 straipsnio 1 dalies b punktas, 56 straipsnio a punktas ir 57 straipsnis.</w:t>
            </w:r>
          </w:p>
          <w:p w14:paraId="43271136"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Investicinės įmonės ataskaitinę datą turimos </w:t>
            </w:r>
            <w:r w:rsidRPr="00D75DB2">
              <w:rPr>
                <w:rStyle w:val="FormatvorlageInstructionsTabelleText"/>
                <w:rFonts w:ascii="Times New Roman" w:hAnsi="Times New Roman"/>
                <w:sz w:val="22"/>
              </w:rPr>
              <w:t>nuosavos AT1 priemonės. Taikant Reglamento (ES) Nr. 575/2013 57 straipsnyje nustatytas išimtis.</w:t>
            </w:r>
          </w:p>
          <w:p w14:paraId="4CCC0BCC" w14:textId="77777777" w:rsidR="000454E8" w:rsidRPr="00D75DB2" w:rsidRDefault="00D75DB2">
            <w:pPr>
              <w:pStyle w:val="InstructionsText"/>
            </w:pPr>
            <w:r w:rsidRPr="00D75DB2">
              <w:rPr>
                <w:rStyle w:val="FormatvorlageInstructionsTabelleText"/>
                <w:rFonts w:ascii="Times New Roman" w:hAnsi="Times New Roman"/>
                <w:sz w:val="22"/>
              </w:rPr>
              <w:t>Į atskleidžiamą sumą įskaičiuojami su savomis akcijomis susiję akcijų priedai.</w:t>
            </w:r>
          </w:p>
        </w:tc>
      </w:tr>
      <w:tr w:rsidR="000454E8" w:rsidRPr="00D75DB2" w14:paraId="5C1B2B36" w14:textId="77777777">
        <w:tblPrEx>
          <w:tblLook w:val="00A0" w:firstRow="1" w:lastRow="0" w:firstColumn="1" w:lastColumn="0" w:noHBand="0" w:noVBand="0"/>
        </w:tblPrEx>
        <w:tc>
          <w:tcPr>
            <w:tcW w:w="1129" w:type="dxa"/>
            <w:shd w:val="clear" w:color="auto" w:fill="auto"/>
            <w:vAlign w:val="center"/>
          </w:tcPr>
          <w:p w14:paraId="1462D8F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F2A396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Tiesiogiai turimos AT1 priemonės</w:t>
            </w:r>
          </w:p>
          <w:p w14:paraId="01E8C45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w:t>
            </w:r>
            <w:r w:rsidRPr="00D75DB2">
              <w:rPr>
                <w:rFonts w:ascii="Times New Roman" w:hAnsi="Times New Roman"/>
                <w:bCs/>
                <w:szCs w:val="22"/>
              </w:rPr>
              <w:t>9 straipsnio 2 dalies c punktas.</w:t>
            </w:r>
          </w:p>
          <w:p w14:paraId="59C0FF9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a punktas.</w:t>
            </w:r>
          </w:p>
        </w:tc>
      </w:tr>
      <w:tr w:rsidR="000454E8" w:rsidRPr="00D75DB2" w14:paraId="6810879E" w14:textId="77777777">
        <w:tblPrEx>
          <w:tblLook w:val="00A0" w:firstRow="1" w:lastRow="0" w:firstColumn="1" w:lastColumn="0" w:noHBand="0" w:noVBand="0"/>
        </w:tblPrEx>
        <w:tc>
          <w:tcPr>
            <w:tcW w:w="1129" w:type="dxa"/>
            <w:shd w:val="clear" w:color="auto" w:fill="auto"/>
            <w:vAlign w:val="center"/>
          </w:tcPr>
          <w:p w14:paraId="1955AD2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E098A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Netiesiogiai turimos AT1 priemonės</w:t>
            </w:r>
          </w:p>
          <w:p w14:paraId="714CC5D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c punktas.</w:t>
            </w:r>
          </w:p>
          <w:p w14:paraId="294F738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a punktas.</w:t>
            </w:r>
          </w:p>
        </w:tc>
      </w:tr>
      <w:tr w:rsidR="000454E8" w:rsidRPr="00D75DB2" w14:paraId="62AF82CB" w14:textId="77777777">
        <w:tblPrEx>
          <w:tblLook w:val="00A0" w:firstRow="1" w:lastRow="0" w:firstColumn="1" w:lastColumn="0" w:noHBand="0" w:noVBand="0"/>
        </w:tblPrEx>
        <w:tc>
          <w:tcPr>
            <w:tcW w:w="1129" w:type="dxa"/>
            <w:shd w:val="clear" w:color="auto" w:fill="auto"/>
            <w:vAlign w:val="center"/>
          </w:tcPr>
          <w:p w14:paraId="5D2F965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A818B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w:t>
            </w:r>
            <w:r w:rsidRPr="00D75DB2">
              <w:rPr>
                <w:rFonts w:ascii="Times New Roman" w:hAnsi="Times New Roman"/>
                <w:b/>
                <w:bCs/>
                <w:szCs w:val="22"/>
                <w:u w:val="single"/>
              </w:rPr>
              <w:t>Dirbtinai turimos AT1 priemonės</w:t>
            </w:r>
          </w:p>
          <w:p w14:paraId="1CC927C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c punktas.</w:t>
            </w:r>
          </w:p>
          <w:p w14:paraId="6C06F9F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a punktas.</w:t>
            </w:r>
          </w:p>
        </w:tc>
      </w:tr>
      <w:tr w:rsidR="000454E8" w:rsidRPr="00D75DB2" w14:paraId="3D7909A5" w14:textId="77777777">
        <w:tblPrEx>
          <w:tblLook w:val="00A0" w:firstRow="1" w:lastRow="0" w:firstColumn="1" w:lastColumn="0" w:noHBand="0" w:noVBand="0"/>
        </w:tblPrEx>
        <w:tc>
          <w:tcPr>
            <w:tcW w:w="1129" w:type="dxa"/>
            <w:shd w:val="clear" w:color="auto" w:fill="auto"/>
            <w:vAlign w:val="center"/>
          </w:tcPr>
          <w:p w14:paraId="0239837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375E87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neturi reikšmingų investicijų, AT1 priemonės</w:t>
            </w:r>
          </w:p>
          <w:p w14:paraId="0D62F9F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w:t>
            </w:r>
            <w:r w:rsidRPr="00D75DB2">
              <w:rPr>
                <w:rFonts w:ascii="Times New Roman" w:hAnsi="Times New Roman"/>
                <w:bCs/>
                <w:szCs w:val="22"/>
              </w:rPr>
              <w:t>ES) 2019/2033 9 straipsnio 2 dalies c punktas.</w:t>
            </w:r>
          </w:p>
          <w:p w14:paraId="291C4B1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c punktas.</w:t>
            </w:r>
          </w:p>
        </w:tc>
      </w:tr>
      <w:tr w:rsidR="000454E8" w:rsidRPr="00D75DB2" w14:paraId="5C6CA90E" w14:textId="77777777">
        <w:tblPrEx>
          <w:tblLook w:val="00A0" w:firstRow="1" w:lastRow="0" w:firstColumn="1" w:lastColumn="0" w:noHBand="0" w:noVBand="0"/>
        </w:tblPrEx>
        <w:tc>
          <w:tcPr>
            <w:tcW w:w="1129" w:type="dxa"/>
            <w:shd w:val="clear" w:color="auto" w:fill="auto"/>
            <w:vAlign w:val="center"/>
          </w:tcPr>
          <w:p w14:paraId="6773CE7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0C3942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turi reikšmingų investicijų, AT1 priemonės</w:t>
            </w:r>
          </w:p>
          <w:p w14:paraId="4A1854F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9 straipsnio 2 dalies c </w:t>
            </w:r>
            <w:r w:rsidRPr="00D75DB2">
              <w:rPr>
                <w:rFonts w:ascii="Times New Roman" w:hAnsi="Times New Roman"/>
                <w:bCs/>
                <w:szCs w:val="22"/>
              </w:rPr>
              <w:t>punktas.</w:t>
            </w:r>
          </w:p>
          <w:p w14:paraId="22817B8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d punktas.</w:t>
            </w:r>
          </w:p>
        </w:tc>
      </w:tr>
      <w:tr w:rsidR="000454E8" w:rsidRPr="00D75DB2" w14:paraId="3042FA1B" w14:textId="77777777">
        <w:tblPrEx>
          <w:tblLook w:val="00A0" w:firstRow="1" w:lastRow="0" w:firstColumn="1" w:lastColumn="0" w:noHBand="0" w:noVBand="0"/>
        </w:tblPrEx>
        <w:tc>
          <w:tcPr>
            <w:tcW w:w="1129" w:type="dxa"/>
            <w:shd w:val="clear" w:color="auto" w:fill="auto"/>
            <w:vAlign w:val="center"/>
          </w:tcPr>
          <w:p w14:paraId="4F9E7512"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0CFE1E7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Kiti atskaitymai</w:t>
            </w:r>
          </w:p>
          <w:p w14:paraId="0BE3766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Visų kitų atskaitymų pagal Reglamento (ES) Nr. 575/2013 56 straipsnį, neįtrauktų į nė vieną iš pirmiau nurodytų eilučių, suma.</w:t>
            </w:r>
          </w:p>
        </w:tc>
      </w:tr>
      <w:tr w:rsidR="000454E8" w:rsidRPr="00D75DB2" w14:paraId="2659BD00" w14:textId="77777777">
        <w:tblPrEx>
          <w:tblLook w:val="00A0" w:firstRow="1" w:lastRow="0" w:firstColumn="1" w:lastColumn="0" w:noHBand="0" w:noVBand="0"/>
        </w:tblPrEx>
        <w:tc>
          <w:tcPr>
            <w:tcW w:w="1129" w:type="dxa"/>
            <w:shd w:val="clear" w:color="auto" w:fill="auto"/>
            <w:vAlign w:val="center"/>
          </w:tcPr>
          <w:p w14:paraId="1481B4BA"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FF120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 Kiti ka</w:t>
            </w:r>
            <w:r w:rsidRPr="00D75DB2">
              <w:rPr>
                <w:rFonts w:ascii="Times New Roman" w:hAnsi="Times New Roman"/>
                <w:b/>
                <w:bCs/>
                <w:szCs w:val="22"/>
                <w:u w:val="single"/>
              </w:rPr>
              <w:t>pitalo elementai, atskaitymai ir koregavimai</w:t>
            </w:r>
          </w:p>
          <w:p w14:paraId="2A632A7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396149EF"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AT1 kapitalo priemonių, kurioms taikomas tęstinumo principas (Reglamento (ES) Nr. 575/2013 483 straipsnio 4 i</w:t>
            </w:r>
            <w:r w:rsidRPr="00D75DB2">
              <w:rPr>
                <w:rFonts w:ascii="Times New Roman" w:hAnsi="Times New Roman"/>
                <w:bCs/>
              </w:rPr>
              <w:t>r 5 dalys, 484–487 straipsniai, 489 ir 491 straipsniai);</w:t>
            </w:r>
          </w:p>
          <w:p w14:paraId="645E37D4"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lastRenderedPageBreak/>
              <w:t>—</w:t>
            </w:r>
            <w:r w:rsidRPr="00D75DB2">
              <w:rPr>
                <w:rFonts w:ascii="Times New Roman" w:eastAsia="Times New Roman" w:hAnsi="Times New Roman" w:cs="Times New Roman"/>
                <w:bCs/>
                <w:szCs w:val="22"/>
              </w:rPr>
              <w:tab/>
            </w:r>
            <w:r w:rsidRPr="00D75DB2">
              <w:rPr>
                <w:rFonts w:ascii="Times New Roman" w:hAnsi="Times New Roman"/>
                <w:bCs/>
              </w:rPr>
              <w:t xml:space="preserve">patronuojamųjų įmonių išleistos priemonės, pripažintos AT1 kapitalu (Reglamento (ES) Nr. 575/2013 83, 85 ir 86 straipsniai): visa patronuojamųjų įmonių kvalifikuotojo T1 kapitalo suma, </w:t>
            </w:r>
            <w:r w:rsidRPr="00D75DB2">
              <w:rPr>
                <w:rFonts w:ascii="Times New Roman" w:hAnsi="Times New Roman"/>
                <w:bCs/>
              </w:rPr>
              <w:t>įtraukiama į konsoliduotą AT1 kapitalą, įskaitant specialiosios paskirties subjekto išleistą kapitalą (Reglamento (ES) Nr. 575/2013 83 straipsnis);</w:t>
            </w:r>
          </w:p>
          <w:p w14:paraId="0D90B056"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papildomai AT1 kapitalu pripažįstamų patronuojamųjų įmonių išleist</w:t>
            </w:r>
            <w:r w:rsidRPr="00D75DB2">
              <w:rPr>
                <w:rFonts w:ascii="Times New Roman" w:hAnsi="Times New Roman"/>
                <w:bCs/>
              </w:rPr>
              <w:t>ų priemonių (Reglamento (ES) Nr. 575/2013 480 straipsnis), kvalifikuotojo T1 kapitalo, įtraukto į konsoliduotą AT1 kapitalą, koregavimai dėl pereinamojo laikotarpio nuostatų;</w:t>
            </w:r>
          </w:p>
          <w:p w14:paraId="02C99170"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pereinamojo laikotarpio koregavimai (Reglamento (ES) Nr. 575/</w:t>
            </w:r>
            <w:r w:rsidRPr="00D75DB2">
              <w:rPr>
                <w:rFonts w:ascii="Times New Roman" w:hAnsi="Times New Roman"/>
                <w:bCs/>
              </w:rPr>
              <w:t>2013 472, 473a, 474, 475, 478 ir 481 straipsniai): atskaitymų koregavimai dėl pereinamojo laikotarpio nuostatų;</w:t>
            </w:r>
          </w:p>
          <w:p w14:paraId="09DD200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atskaitymų iš AT1 straipsnių, viršijančių AT1 kapitalą, suma, atskaitoma iš CET1 pagal Reglamento (ES) Nr. 575/2013 36 straipsnio </w:t>
            </w:r>
            <w:r w:rsidRPr="00D75DB2">
              <w:rPr>
                <w:rFonts w:ascii="Times New Roman" w:hAnsi="Times New Roman"/>
                <w:bCs/>
              </w:rPr>
              <w:t>1 dalies j punktą: papildomo 1 lygio kapitalo vertė negali būti neigiama, bet gali būti, kad atskaitymai iš AT1 straipsnių viršija turimų AT1 straipsnių sumą. Tokiu atveju šiame straipsnyje nurodoma suma, kurios reikia 28 eilutėje nurodytai sumai padidinti</w:t>
            </w:r>
            <w:r w:rsidRPr="00D75DB2">
              <w:rPr>
                <w:rFonts w:ascii="Times New Roman" w:hAnsi="Times New Roman"/>
                <w:bCs/>
              </w:rPr>
              <w:t xml:space="preserve"> iki nulio ir kuri lygi atskaitymų iš AT1 straipsnių, viršijančių AT1 kapitalą, įtrauktų, be kitų atskaitymų, į 38 eilutę, atvirkštinei vertei;</w:t>
            </w:r>
          </w:p>
          <w:p w14:paraId="032251B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elementai arba atskaitymai iš AT1 elemento, kurie negali būti priskirti prie vienos iš 29–38</w:t>
            </w:r>
            <w:r w:rsidRPr="00D75DB2">
              <w:rPr>
                <w:rFonts w:ascii="Times New Roman" w:hAnsi="Times New Roman"/>
                <w:bCs/>
              </w:rPr>
              <w:t xml:space="preserve"> eilučių.</w:t>
            </w:r>
          </w:p>
          <w:p w14:paraId="56A5812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Reglamentas (ES) Nr. 575/2013, įtraukti į mokumo koeficientų skaičiavimus.</w:t>
            </w:r>
          </w:p>
        </w:tc>
      </w:tr>
      <w:tr w:rsidR="000454E8" w:rsidRPr="00D75DB2" w14:paraId="3D345A9A" w14:textId="77777777">
        <w:tblPrEx>
          <w:tblLook w:val="00A0" w:firstRow="1" w:lastRow="0" w:firstColumn="1" w:lastColumn="0" w:noHBand="0" w:noVBand="0"/>
        </w:tblPrEx>
        <w:tc>
          <w:tcPr>
            <w:tcW w:w="1129" w:type="dxa"/>
            <w:shd w:val="clear" w:color="auto" w:fill="auto"/>
            <w:vAlign w:val="center"/>
          </w:tcPr>
          <w:p w14:paraId="5BB4732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4B37EC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w:t>
            </w:r>
          </w:p>
          <w:p w14:paraId="65148F8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w:t>
            </w:r>
            <w:r w:rsidRPr="00D75DB2">
              <w:rPr>
                <w:rFonts w:ascii="Times New Roman" w:hAnsi="Times New Roman"/>
                <w:bCs/>
                <w:szCs w:val="22"/>
              </w:rPr>
              <w:t>traipsnio 2 dalis.</w:t>
            </w:r>
          </w:p>
          <w:p w14:paraId="60D3476B"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71 straipsnis.</w:t>
            </w:r>
          </w:p>
          <w:p w14:paraId="2467CD1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41–43 ir 50 eilučių verčių suma.</w:t>
            </w:r>
          </w:p>
        </w:tc>
      </w:tr>
      <w:tr w:rsidR="000454E8" w:rsidRPr="00D75DB2" w14:paraId="30B49E1E" w14:textId="77777777">
        <w:tblPrEx>
          <w:tblLook w:val="00A0" w:firstRow="1" w:lastRow="0" w:firstColumn="1" w:lastColumn="0" w:noHBand="0" w:noVBand="0"/>
        </w:tblPrEx>
        <w:tc>
          <w:tcPr>
            <w:tcW w:w="1129" w:type="dxa"/>
            <w:shd w:val="clear" w:color="auto" w:fill="auto"/>
            <w:vAlign w:val="center"/>
          </w:tcPr>
          <w:p w14:paraId="1C849EF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D3151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szCs w:val="22"/>
                <w:u w:val="single"/>
              </w:rPr>
              <w:t>Visiškai apmokėtos tiesiogiai išleistos kapitalo priemonės</w:t>
            </w:r>
          </w:p>
          <w:p w14:paraId="0ADDD9E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7BFCF04B"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575/2013 62 straipsnio a punktas, 63 ir 65 straipsniai.</w:t>
            </w:r>
          </w:p>
          <w:p w14:paraId="319B5FB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priedai neįskaičiuojami.</w:t>
            </w:r>
          </w:p>
        </w:tc>
      </w:tr>
      <w:tr w:rsidR="000454E8" w:rsidRPr="00D75DB2" w14:paraId="54B65CBF" w14:textId="77777777">
        <w:tblPrEx>
          <w:tblLook w:val="00A0" w:firstRow="1" w:lastRow="0" w:firstColumn="1" w:lastColumn="0" w:noHBand="0" w:noVBand="0"/>
        </w:tblPrEx>
        <w:tc>
          <w:tcPr>
            <w:tcW w:w="1129" w:type="dxa"/>
            <w:shd w:val="clear" w:color="auto" w:fill="auto"/>
            <w:vAlign w:val="center"/>
          </w:tcPr>
          <w:p w14:paraId="1C22B12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9F3E1B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1C27FA1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4B0E897"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62 straipsnio b punktas ir 65 straipsnis.</w:t>
            </w:r>
          </w:p>
          <w:p w14:paraId="51D7CC36"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5EC207E9" w14:textId="77777777" w:rsidR="000454E8" w:rsidRPr="00D75DB2" w:rsidRDefault="00D75DB2">
            <w:pPr>
              <w:pStyle w:val="InstructionsText"/>
            </w:pPr>
            <w:r w:rsidRPr="00D75DB2">
              <w:rPr>
                <w:rStyle w:val="FormatvorlageInstructionsTabelleText"/>
                <w:rFonts w:ascii="Times New Roman" w:hAnsi="Times New Roman"/>
                <w:sz w:val="22"/>
              </w:rPr>
              <w:t>Šiame straipsnyje atskleistina sumos dalis, susijusi su „Apmokėtomis kapitalo priemonėmis“.</w:t>
            </w:r>
          </w:p>
        </w:tc>
      </w:tr>
      <w:tr w:rsidR="000454E8" w:rsidRPr="00D75DB2" w14:paraId="05E0BEFD" w14:textId="77777777">
        <w:tblPrEx>
          <w:tblLook w:val="00A0" w:firstRow="1" w:lastRow="0" w:firstColumn="1" w:lastColumn="0" w:noHBand="0" w:noVBand="0"/>
        </w:tblPrEx>
        <w:tc>
          <w:tcPr>
            <w:tcW w:w="1129" w:type="dxa"/>
            <w:shd w:val="clear" w:color="auto" w:fill="auto"/>
            <w:vAlign w:val="center"/>
          </w:tcPr>
          <w:p w14:paraId="7310E2D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9DAB7E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w:t>
            </w:r>
            <w:r w:rsidRPr="00D75DB2">
              <w:rPr>
                <w:rFonts w:ascii="Times New Roman" w:hAnsi="Times New Roman"/>
                <w:b/>
                <w:bCs/>
                <w:szCs w:val="22"/>
                <w:u w:val="single"/>
              </w:rPr>
              <w:t>BENDRA ATSKAITYMŲ IŠ 2 LYGIO KAPITALO SUMA</w:t>
            </w:r>
          </w:p>
          <w:p w14:paraId="06CD1D1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Reglamento (ES) Nr. 575/2013 66 straipsnis.</w:t>
            </w:r>
          </w:p>
        </w:tc>
      </w:tr>
      <w:tr w:rsidR="000454E8" w:rsidRPr="00D75DB2" w14:paraId="7DF51187" w14:textId="77777777">
        <w:tblPrEx>
          <w:tblLook w:val="00A0" w:firstRow="1" w:lastRow="0" w:firstColumn="1" w:lastColumn="0" w:noHBand="0" w:noVBand="0"/>
        </w:tblPrEx>
        <w:tc>
          <w:tcPr>
            <w:tcW w:w="1129" w:type="dxa"/>
            <w:shd w:val="clear" w:color="auto" w:fill="auto"/>
            <w:vAlign w:val="center"/>
          </w:tcPr>
          <w:p w14:paraId="1A0BB10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4D93071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T2 priemonės</w:t>
            </w:r>
          </w:p>
          <w:p w14:paraId="1C8434B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16E6C97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Nr. 575/2013 63 straipsnio b punkto i papunktis, </w:t>
            </w:r>
            <w:r w:rsidRPr="00D75DB2">
              <w:rPr>
                <w:rStyle w:val="FormatvorlageInstructionsTabelleText"/>
                <w:rFonts w:ascii="Times New Roman" w:hAnsi="Times New Roman"/>
                <w:sz w:val="22"/>
              </w:rPr>
              <w:t>66 straipsnio a punktas ir 67 straipsnis.</w:t>
            </w:r>
          </w:p>
          <w:p w14:paraId="2ECAA4AE"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lastRenderedPageBreak/>
              <w:t>Informaciją teikiančios įstaigos arba grupės ataskaitinę datą turimos nuosavos T2 priemonės. Taikant Reglamento (ES) Nr. 575/2013 67 straipsnyje nustatytas išimtis.</w:t>
            </w:r>
          </w:p>
          <w:p w14:paraId="2F1C7CA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Turimos akcijos, priskirtos prie „Reikalavimų nea</w:t>
            </w:r>
            <w:r w:rsidRPr="00D75DB2">
              <w:rPr>
                <w:rStyle w:val="FormatvorlageInstructionsTabelleText"/>
                <w:rFonts w:ascii="Times New Roman" w:hAnsi="Times New Roman"/>
                <w:sz w:val="22"/>
              </w:rPr>
              <w:t>titinkančių kapitalo priemonių“, šioje eilutėje neatskleidžiamos.</w:t>
            </w:r>
          </w:p>
          <w:p w14:paraId="72E60906" w14:textId="77777777" w:rsidR="000454E8" w:rsidRPr="00D75DB2" w:rsidRDefault="00D75DB2">
            <w:pPr>
              <w:pStyle w:val="InstructionsText"/>
            </w:pPr>
            <w:r w:rsidRPr="00D75DB2">
              <w:rPr>
                <w:rStyle w:val="FormatvorlageInstructionsTabelleText"/>
                <w:rFonts w:ascii="Times New Roman" w:hAnsi="Times New Roman"/>
                <w:sz w:val="22"/>
              </w:rPr>
              <w:t>Į atskleidžiamą sumą įskaičiuojami su savomis akcijomis susiję akcijų priedai.</w:t>
            </w:r>
          </w:p>
        </w:tc>
      </w:tr>
      <w:tr w:rsidR="000454E8" w:rsidRPr="00D75DB2" w14:paraId="6D4DF3B2" w14:textId="77777777">
        <w:tblPrEx>
          <w:tblLook w:val="00A0" w:firstRow="1" w:lastRow="0" w:firstColumn="1" w:lastColumn="0" w:noHBand="0" w:noVBand="0"/>
        </w:tblPrEx>
        <w:tc>
          <w:tcPr>
            <w:tcW w:w="1129" w:type="dxa"/>
            <w:shd w:val="clear" w:color="auto" w:fill="auto"/>
            <w:vAlign w:val="center"/>
          </w:tcPr>
          <w:p w14:paraId="3DAE6D0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79A025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Tiesiogiai turimos T2 priemonės</w:t>
            </w:r>
          </w:p>
          <w:p w14:paraId="1A594237" w14:textId="77777777" w:rsidR="000454E8" w:rsidRPr="00D75DB2" w:rsidRDefault="00D75DB2">
            <w:pPr>
              <w:pStyle w:val="InstructionsText"/>
            </w:pPr>
            <w:r w:rsidRPr="00D75DB2">
              <w:rPr>
                <w:rStyle w:val="FormatvorlageInstructionsTabelleText"/>
                <w:rFonts w:ascii="Times New Roman" w:hAnsi="Times New Roman"/>
                <w:sz w:val="22"/>
              </w:rPr>
              <w:t>Reglamento (ES) Nr. 575/2013 63 straipsnio b punktas, 66 straipsnio a p</w:t>
            </w:r>
            <w:r w:rsidRPr="00D75DB2">
              <w:rPr>
                <w:rStyle w:val="FormatvorlageInstructionsTabelleText"/>
                <w:rFonts w:ascii="Times New Roman" w:hAnsi="Times New Roman"/>
                <w:sz w:val="22"/>
              </w:rPr>
              <w:t>unktas ir 67 straipsnis.</w:t>
            </w:r>
          </w:p>
        </w:tc>
      </w:tr>
      <w:tr w:rsidR="000454E8" w:rsidRPr="00D75DB2" w14:paraId="30EA26CF" w14:textId="77777777">
        <w:tblPrEx>
          <w:tblLook w:val="00A0" w:firstRow="1" w:lastRow="0" w:firstColumn="1" w:lastColumn="0" w:noHBand="0" w:noVBand="0"/>
        </w:tblPrEx>
        <w:tc>
          <w:tcPr>
            <w:tcW w:w="1129" w:type="dxa"/>
            <w:shd w:val="clear" w:color="auto" w:fill="auto"/>
            <w:vAlign w:val="center"/>
          </w:tcPr>
          <w:p w14:paraId="628AEAF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644CB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Netiesiogiai turimos T2 priemonės</w:t>
            </w:r>
          </w:p>
          <w:p w14:paraId="50DFB33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straipsnio 1 dalies 114 punktas, 63 straipsnio b punktas, 66 straipsnio a punktas ir 67 straipsnis.</w:t>
            </w:r>
          </w:p>
        </w:tc>
      </w:tr>
      <w:tr w:rsidR="000454E8" w:rsidRPr="00D75DB2" w14:paraId="694E4EC4" w14:textId="77777777">
        <w:tblPrEx>
          <w:tblLook w:val="00A0" w:firstRow="1" w:lastRow="0" w:firstColumn="1" w:lastColumn="0" w:noHBand="0" w:noVBand="0"/>
        </w:tblPrEx>
        <w:tc>
          <w:tcPr>
            <w:tcW w:w="1129" w:type="dxa"/>
            <w:shd w:val="clear" w:color="auto" w:fill="auto"/>
            <w:vAlign w:val="center"/>
          </w:tcPr>
          <w:p w14:paraId="21DF9C0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A71A7A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Dirbtinai turimos T2 priemonės</w:t>
            </w:r>
          </w:p>
          <w:p w14:paraId="1539E68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straipsnio 1 dalies 126 punktas, 63 straipsnio b punktas, 66 straipsnio a punktas ir 67 straipsnis.</w:t>
            </w:r>
          </w:p>
        </w:tc>
      </w:tr>
      <w:tr w:rsidR="000454E8" w:rsidRPr="00D75DB2" w14:paraId="281A8D72" w14:textId="77777777">
        <w:tblPrEx>
          <w:tblLook w:val="00A0" w:firstRow="1" w:lastRow="0" w:firstColumn="1" w:lastColumn="0" w:noHBand="0" w:noVBand="0"/>
        </w:tblPrEx>
        <w:tc>
          <w:tcPr>
            <w:tcW w:w="1129" w:type="dxa"/>
            <w:shd w:val="clear" w:color="auto" w:fill="auto"/>
            <w:vAlign w:val="center"/>
          </w:tcPr>
          <w:p w14:paraId="7C30A11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0A12B7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neturi reikšmingų investicijų, T2 priemonės</w:t>
            </w:r>
          </w:p>
          <w:p w14:paraId="720EAB3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w:t>
            </w:r>
            <w:r w:rsidRPr="00D75DB2">
              <w:rPr>
                <w:rFonts w:ascii="Times New Roman" w:hAnsi="Times New Roman"/>
                <w:bCs/>
                <w:szCs w:val="22"/>
              </w:rPr>
              <w:t> straipsnio 2 dalies c punktas.</w:t>
            </w:r>
          </w:p>
          <w:p w14:paraId="37CBFFA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66 straipsnio c punktas.</w:t>
            </w:r>
          </w:p>
        </w:tc>
      </w:tr>
      <w:tr w:rsidR="000454E8" w:rsidRPr="00D75DB2" w14:paraId="57F1E39B"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1DB10C9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C3D670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turi reikšmingų investicijų, T2 priemonės</w:t>
            </w:r>
          </w:p>
          <w:p w14:paraId="4AA5834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Nr. 575/2013 4 straipsnio 1 dalies 27 punktas, </w:t>
            </w:r>
            <w:r w:rsidRPr="00D75DB2">
              <w:rPr>
                <w:rStyle w:val="FormatvorlageInstructionsTabelleText"/>
                <w:rFonts w:ascii="Times New Roman" w:hAnsi="Times New Roman"/>
                <w:sz w:val="22"/>
              </w:rPr>
              <w:t>66 straipsnio d punktas, 68, 69 ir 79 straipsniai.</w:t>
            </w:r>
          </w:p>
          <w:p w14:paraId="4AA9320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Įstaigos turimos finansų sektoriaus subjektų (apibrėžtų Reglamento (ES) Nr. 575/2013 4 straipsnio 1 dalies 27 punkte), kuriuose investicinė įmonė turi reikšmingų investicijų, T2 priemonės yra atskaitomos v</w:t>
            </w:r>
            <w:r w:rsidRPr="00D75DB2">
              <w:rPr>
                <w:rStyle w:val="FormatvorlageInstructionsTabelleText"/>
                <w:rFonts w:ascii="Times New Roman" w:hAnsi="Times New Roman"/>
                <w:sz w:val="22"/>
                <w:szCs w:val="22"/>
              </w:rPr>
              <w:t>isos.</w:t>
            </w:r>
          </w:p>
        </w:tc>
      </w:tr>
      <w:tr w:rsidR="000454E8" w:rsidRPr="00D75DB2" w14:paraId="148168D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5B584B3"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FB0CD9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 Kiti kapitalo elementai, atskaitymai ir koregavimai</w:t>
            </w:r>
          </w:p>
          <w:p w14:paraId="4CCC491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541DB1E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T2 kapitalo priemonių, kurioms taikomas tęstinumo principas </w:t>
            </w:r>
            <w:r w:rsidRPr="00D75DB2">
              <w:rPr>
                <w:rFonts w:ascii="Times New Roman" w:hAnsi="Times New Roman"/>
                <w:bCs/>
              </w:rPr>
              <w:t>(Reglamento (ES) Nr. 575/2013 483 straipsnio 6 ir 7 dalys, 484, 486, 488, 490 ir 491 straipsniai);</w:t>
            </w:r>
          </w:p>
          <w:p w14:paraId="123ED8FE"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patronuojamųjų įmonių išleistos priemonės, pripažintos T2 kapitalu (Reglamento (ES) Nr. 575/2013 83, 87 ir 88 straipsniai): visa patronuojamųjų įmonių kval</w:t>
            </w:r>
            <w:r w:rsidRPr="00D75DB2">
              <w:rPr>
                <w:rFonts w:ascii="Times New Roman" w:hAnsi="Times New Roman"/>
                <w:bCs/>
              </w:rPr>
              <w:t>ifikuotųjų nuosavų lėšų suma, įtraukiama į konsoliduotą T2 kapitalą, įskaitant specialiosios paskirties subjekto išleistą kvalifikuotąjį 2 lygio kapitalą (Reglamento (ES) Nr. 575/2013 83 straipsnis);</w:t>
            </w:r>
          </w:p>
          <w:p w14:paraId="1017353C"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papildomai T2 </w:t>
            </w:r>
            <w:r w:rsidRPr="00D75DB2">
              <w:rPr>
                <w:rFonts w:ascii="Times New Roman" w:hAnsi="Times New Roman"/>
                <w:bCs/>
              </w:rPr>
              <w:t>kapitalu pripažįstamų patronuojamųjų įmonių išleistų priemonių (Reglamento (ES) Nr. 575/2013 480 straipsnis): kvalifikuotųjų nuosavų lėšų, įtrauktų į konsoliduotą T2 kapitalą, koregavimai dėl pereinamojo laikotarpio nuostatų;</w:t>
            </w:r>
          </w:p>
          <w:p w14:paraId="6561F1AC"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T2 kapitalo pereinamojo</w:t>
            </w:r>
            <w:r w:rsidRPr="00D75DB2">
              <w:rPr>
                <w:rFonts w:ascii="Times New Roman" w:hAnsi="Times New Roman"/>
                <w:bCs/>
              </w:rPr>
              <w:t xml:space="preserve"> laikotarpio koregavimai (Reglamento (ES) Nr. 575/2013 472, 473a, 476, 477, 478 ir 481 straipsniai): atskaitymų iš 2 lygio kapitalo koregavimai dėl pereinamojo laikotarpio nuostatų;</w:t>
            </w:r>
          </w:p>
          <w:p w14:paraId="79813A22"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atskaitymai iš T2 straipsnių, viršijantys T2 kapitalą, atskaitomi iš AT1</w:t>
            </w:r>
            <w:r w:rsidRPr="00D75DB2">
              <w:rPr>
                <w:rFonts w:ascii="Times New Roman" w:hAnsi="Times New Roman"/>
                <w:bCs/>
              </w:rPr>
              <w:t>, pagal Reglamento (ES) Nr. 575/2013 56 straipsnio e punktą: 2 lygio kapitalo vertė negali būti neigiama, bet gali būti, kad atskaitymai iš T2 straipsnių viršija turimų T2 straipsnių sumą. Tokiu atveju šiame straipsnyje nurodoma suma, kurios reikia 40 eilu</w:t>
            </w:r>
            <w:r w:rsidRPr="00D75DB2">
              <w:rPr>
                <w:rFonts w:ascii="Times New Roman" w:hAnsi="Times New Roman"/>
                <w:bCs/>
              </w:rPr>
              <w:t>tėje nurodytai sumai padidinti iki nulio;</w:t>
            </w:r>
          </w:p>
          <w:p w14:paraId="6DA024B5"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lastRenderedPageBreak/>
              <w:t>—</w:t>
            </w:r>
            <w:r w:rsidRPr="00D75DB2">
              <w:rPr>
                <w:rFonts w:ascii="Times New Roman" w:eastAsia="Times New Roman" w:hAnsi="Times New Roman" w:cs="Times New Roman"/>
                <w:bCs/>
                <w:szCs w:val="22"/>
              </w:rPr>
              <w:tab/>
            </w:r>
            <w:r w:rsidRPr="00D75DB2">
              <w:rPr>
                <w:rFonts w:ascii="Times New Roman" w:hAnsi="Times New Roman"/>
                <w:bCs/>
              </w:rPr>
              <w:t>kiti T2 kapitalo elementai arba atskaitymai iš T2 elemento, kurie negali būti priskirti prie vienos iš 41–49 eilučių.</w:t>
            </w:r>
          </w:p>
          <w:p w14:paraId="33AD256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w:t>
            </w:r>
            <w:r w:rsidRPr="00D75DB2">
              <w:rPr>
                <w:rFonts w:ascii="Times New Roman" w:hAnsi="Times New Roman"/>
                <w:bCs/>
                <w:szCs w:val="22"/>
              </w:rPr>
              <w:t>entas (ES) 2019/2033 arba Reglamentas (ES) Nr. 575/2013, įtraukti į mokumo koeficientų skaičiavimus.</w:t>
            </w:r>
          </w:p>
        </w:tc>
      </w:tr>
    </w:tbl>
    <w:p w14:paraId="439FDA52" w14:textId="77777777" w:rsidR="000454E8" w:rsidRPr="00D75DB2" w:rsidRDefault="000454E8">
      <w:pPr>
        <w:spacing w:before="120" w:after="120"/>
        <w:jc w:val="both"/>
        <w:rPr>
          <w:rFonts w:ascii="Times New Roman" w:hAnsi="Times New Roman" w:cs="Times New Roman"/>
          <w:bCs/>
          <w:sz w:val="24"/>
        </w:rPr>
      </w:pPr>
    </w:p>
    <w:p w14:paraId="668749F0" w14:textId="77777777" w:rsidR="000454E8" w:rsidRPr="00D75DB2" w:rsidRDefault="00D75DB2">
      <w:pPr>
        <w:ind w:left="720"/>
        <w:rPr>
          <w:rFonts w:ascii="Times New Roman" w:hAnsi="Times New Roman" w:cs="Times New Roman"/>
          <w:b/>
          <w:bCs/>
          <w:sz w:val="24"/>
        </w:rPr>
      </w:pPr>
      <w:r w:rsidRPr="00D75DB2">
        <w:rPr>
          <w:rFonts w:ascii="Times New Roman" w:hAnsi="Times New Roman"/>
          <w:b/>
          <w:bCs/>
          <w:sz w:val="24"/>
        </w:rPr>
        <w:t>ES I CC1.02 forma. Reguliuojamų nuosavų lėšų sudėtis (mažos ir tarpusavio sąsajų neturinčios investicinės įmonės)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454E8" w:rsidRPr="00D75DB2" w14:paraId="15851E58" w14:textId="77777777">
        <w:trPr>
          <w:trHeight w:val="395"/>
        </w:trPr>
        <w:tc>
          <w:tcPr>
            <w:tcW w:w="8812" w:type="dxa"/>
            <w:gridSpan w:val="2"/>
            <w:shd w:val="clear" w:color="auto" w:fill="D9D9D9" w:themeFill="background1" w:themeFillShade="D9"/>
          </w:tcPr>
          <w:p w14:paraId="6F2C6755" w14:textId="77777777" w:rsidR="000454E8" w:rsidRPr="00D75DB2" w:rsidRDefault="00D75DB2">
            <w:pPr>
              <w:pStyle w:val="TableTitle"/>
              <w:spacing w:before="0" w:after="0"/>
              <w:jc w:val="left"/>
              <w:rPr>
                <w:rFonts w:ascii="Times New Roman" w:hAnsi="Times New Roman"/>
                <w:szCs w:val="22"/>
              </w:rPr>
            </w:pPr>
            <w:r w:rsidRPr="00D75DB2">
              <w:rPr>
                <w:rFonts w:ascii="Times New Roman" w:hAnsi="Times New Roman"/>
                <w:szCs w:val="22"/>
              </w:rPr>
              <w:t xml:space="preserve">Nuorodos į teisės aktus ir </w:t>
            </w:r>
            <w:r w:rsidRPr="00D75DB2">
              <w:rPr>
                <w:rFonts w:ascii="Times New Roman" w:hAnsi="Times New Roman"/>
                <w:szCs w:val="22"/>
              </w:rPr>
              <w:t>nurodymai</w:t>
            </w:r>
          </w:p>
        </w:tc>
      </w:tr>
      <w:tr w:rsidR="000454E8" w:rsidRPr="00D75DB2" w14:paraId="0FEC1B8B" w14:textId="77777777">
        <w:tblPrEx>
          <w:tblLook w:val="00A0" w:firstRow="1" w:lastRow="0" w:firstColumn="1" w:lastColumn="0" w:noHBand="0" w:noVBand="0"/>
        </w:tblPrEx>
        <w:tc>
          <w:tcPr>
            <w:tcW w:w="1129" w:type="dxa"/>
            <w:tcBorders>
              <w:bottom w:val="single" w:sz="4" w:space="0" w:color="auto"/>
            </w:tcBorders>
            <w:shd w:val="clear" w:color="auto" w:fill="D9D9D9"/>
          </w:tcPr>
          <w:p w14:paraId="2EE9D03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Eilutė</w:t>
            </w:r>
          </w:p>
        </w:tc>
        <w:tc>
          <w:tcPr>
            <w:tcW w:w="7683" w:type="dxa"/>
            <w:tcBorders>
              <w:bottom w:val="single" w:sz="4" w:space="0" w:color="auto"/>
            </w:tcBorders>
            <w:shd w:val="clear" w:color="auto" w:fill="D9D9D9"/>
          </w:tcPr>
          <w:p w14:paraId="5AE4A07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Nuorodos į teisės aktus ir nurodymai</w:t>
            </w:r>
          </w:p>
        </w:tc>
      </w:tr>
      <w:tr w:rsidR="000454E8" w:rsidRPr="00D75DB2" w14:paraId="1BA1BF34" w14:textId="77777777">
        <w:tblPrEx>
          <w:tblLook w:val="00A0" w:firstRow="1" w:lastRow="0" w:firstColumn="1" w:lastColumn="0" w:noHBand="0" w:noVBand="0"/>
        </w:tblPrEx>
        <w:tc>
          <w:tcPr>
            <w:tcW w:w="1129" w:type="dxa"/>
            <w:shd w:val="clear" w:color="auto" w:fill="auto"/>
            <w:vAlign w:val="center"/>
          </w:tcPr>
          <w:p w14:paraId="6FE96D1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w:t>
            </w:r>
          </w:p>
        </w:tc>
        <w:tc>
          <w:tcPr>
            <w:tcW w:w="7683" w:type="dxa"/>
            <w:shd w:val="clear" w:color="auto" w:fill="auto"/>
          </w:tcPr>
          <w:p w14:paraId="690A59F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Nuosavos lėšos</w:t>
            </w:r>
          </w:p>
          <w:p w14:paraId="4D2AB13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79DCC226"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 xml:space="preserve">Investicinės įmonės nuosavas lėšas sudaro jos bendro 1 lygio nuosavo kapitalo, papildomo 1 lygio kapitalo ir 2 lygio kapitalo </w:t>
            </w:r>
            <w:r w:rsidRPr="00D75DB2">
              <w:rPr>
                <w:rStyle w:val="FormatvorlageInstructionsTabelleText"/>
                <w:rFonts w:ascii="Times New Roman" w:hAnsi="Times New Roman"/>
                <w:sz w:val="22"/>
                <w:szCs w:val="22"/>
              </w:rPr>
              <w:t>suma.</w:t>
            </w:r>
          </w:p>
          <w:p w14:paraId="251116B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2 ir 25 eilučių verčių suma.</w:t>
            </w:r>
          </w:p>
        </w:tc>
      </w:tr>
      <w:tr w:rsidR="000454E8" w:rsidRPr="00D75DB2" w14:paraId="70AD0B7B" w14:textId="77777777">
        <w:tblPrEx>
          <w:tblLook w:val="00A0" w:firstRow="1" w:lastRow="0" w:firstColumn="1" w:lastColumn="0" w:noHBand="0" w:noVBand="0"/>
        </w:tblPrEx>
        <w:tc>
          <w:tcPr>
            <w:tcW w:w="1129" w:type="dxa"/>
            <w:shd w:val="clear" w:color="auto" w:fill="auto"/>
            <w:vAlign w:val="center"/>
          </w:tcPr>
          <w:p w14:paraId="2730FB5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w:t>
            </w:r>
          </w:p>
        </w:tc>
        <w:tc>
          <w:tcPr>
            <w:tcW w:w="7683" w:type="dxa"/>
            <w:shd w:val="clear" w:color="auto" w:fill="auto"/>
          </w:tcPr>
          <w:p w14:paraId="1D2817F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1 lygio kapitalas</w:t>
            </w:r>
          </w:p>
          <w:p w14:paraId="262B6DBE"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1 lygio kapitalą sudaro bendro 1 lygio nuosavo kapitalo ir papildomo 1 lygio kapitalo suma.</w:t>
            </w:r>
          </w:p>
          <w:p w14:paraId="6B1DC8C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3 ir 20 eilučių verčių suma.</w:t>
            </w:r>
          </w:p>
        </w:tc>
      </w:tr>
      <w:tr w:rsidR="000454E8" w:rsidRPr="00D75DB2" w14:paraId="1175D694" w14:textId="77777777">
        <w:tblPrEx>
          <w:tblLook w:val="00A0" w:firstRow="1" w:lastRow="0" w:firstColumn="1" w:lastColumn="0" w:noHBand="0" w:noVBand="0"/>
        </w:tblPrEx>
        <w:tc>
          <w:tcPr>
            <w:tcW w:w="1129" w:type="dxa"/>
            <w:shd w:val="clear" w:color="auto" w:fill="auto"/>
            <w:vAlign w:val="center"/>
          </w:tcPr>
          <w:p w14:paraId="399E51B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3</w:t>
            </w:r>
          </w:p>
        </w:tc>
        <w:tc>
          <w:tcPr>
            <w:tcW w:w="7683" w:type="dxa"/>
            <w:shd w:val="clear" w:color="auto" w:fill="auto"/>
          </w:tcPr>
          <w:p w14:paraId="09B19FD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InstructionsTabelleberschrift"/>
                <w:rFonts w:ascii="Times New Roman" w:hAnsi="Times New Roman"/>
                <w:sz w:val="22"/>
                <w:szCs w:val="22"/>
              </w:rPr>
              <w:t xml:space="preserve">Bendras 1 lygio nuosavas </w:t>
            </w:r>
            <w:r w:rsidRPr="00D75DB2">
              <w:rPr>
                <w:rStyle w:val="InstructionsTabelleberschrift"/>
                <w:rFonts w:ascii="Times New Roman" w:hAnsi="Times New Roman"/>
                <w:sz w:val="22"/>
                <w:szCs w:val="22"/>
              </w:rPr>
              <w:t>kapitalas</w:t>
            </w:r>
          </w:p>
          <w:p w14:paraId="7E4DC41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086856B0"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50 straipsnis.</w:t>
            </w:r>
          </w:p>
          <w:p w14:paraId="25D2578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Atskleidžiama bendra 4–11 ir 19 eilučių verčių suma.</w:t>
            </w:r>
          </w:p>
        </w:tc>
      </w:tr>
      <w:tr w:rsidR="000454E8" w:rsidRPr="00D75DB2" w14:paraId="3C690A3B" w14:textId="77777777">
        <w:tblPrEx>
          <w:tblLook w:val="00A0" w:firstRow="1" w:lastRow="0" w:firstColumn="1" w:lastColumn="0" w:noHBand="0" w:noVBand="0"/>
        </w:tblPrEx>
        <w:tc>
          <w:tcPr>
            <w:tcW w:w="1129" w:type="dxa"/>
            <w:shd w:val="clear" w:color="auto" w:fill="auto"/>
            <w:vAlign w:val="center"/>
          </w:tcPr>
          <w:p w14:paraId="70B5A62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4</w:t>
            </w:r>
          </w:p>
        </w:tc>
        <w:tc>
          <w:tcPr>
            <w:tcW w:w="7683" w:type="dxa"/>
            <w:shd w:val="clear" w:color="auto" w:fill="auto"/>
          </w:tcPr>
          <w:p w14:paraId="03B3534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szCs w:val="22"/>
                <w:u w:val="single"/>
              </w:rPr>
              <w:t>Visiškai apmokėtos kapitalo priemonės</w:t>
            </w:r>
          </w:p>
          <w:p w14:paraId="118F68A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9 straipsnio 1 dalies i </w:t>
            </w:r>
            <w:r w:rsidRPr="00D75DB2">
              <w:rPr>
                <w:rFonts w:ascii="Times New Roman" w:hAnsi="Times New Roman"/>
                <w:bCs/>
                <w:szCs w:val="22"/>
              </w:rPr>
              <w:t>punktas.</w:t>
            </w:r>
          </w:p>
          <w:p w14:paraId="45AE5A35"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26 straipsnio 1 dalies a punktas ir 27–31 straipsniai.</w:t>
            </w:r>
          </w:p>
          <w:p w14:paraId="4CC77C0B"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Prie jų priskiriamos savidraudos įmonių, kooperatinių bendrovių arba panašių įstaigų kapitalo priemonės (Reglamento (ES) Nr. 575/2013 27 ir 29 straipsniai).</w:t>
            </w:r>
          </w:p>
          <w:p w14:paraId="1BEE9534"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Su </w:t>
            </w:r>
            <w:r w:rsidRPr="00D75DB2">
              <w:rPr>
                <w:rStyle w:val="FormatvorlageInstructionsTabelleText"/>
                <w:rFonts w:ascii="Times New Roman" w:hAnsi="Times New Roman"/>
                <w:sz w:val="22"/>
              </w:rPr>
              <w:t>tomis priemonėmis susiję akcijų priedai neįskaičiuojami.</w:t>
            </w:r>
          </w:p>
          <w:p w14:paraId="2ADEB240" w14:textId="77777777" w:rsidR="000454E8" w:rsidRPr="00D75DB2" w:rsidRDefault="00D75DB2">
            <w:pPr>
              <w:pStyle w:val="InstructionsText"/>
            </w:pPr>
            <w:r w:rsidRPr="00D75DB2">
              <w:rPr>
                <w:rStyle w:val="FormatvorlageInstructionsTabelleText"/>
                <w:rFonts w:ascii="Times New Roman" w:hAnsi="Times New Roman"/>
                <w:sz w:val="22"/>
              </w:rPr>
              <w:t>Viešosios valdžios institucijų ekstremaliųjų situacijų atveju pasirašytos kapitalo priemonės įskaičiuojamos, jeigu įvykdomos visos Reglamento (ES) Nr. 575/2013 31 straipsnio sąlygos.</w:t>
            </w:r>
          </w:p>
        </w:tc>
      </w:tr>
      <w:tr w:rsidR="000454E8" w:rsidRPr="00D75DB2" w14:paraId="7FA76376" w14:textId="77777777">
        <w:tblPrEx>
          <w:tblLook w:val="00A0" w:firstRow="1" w:lastRow="0" w:firstColumn="1" w:lastColumn="0" w:noHBand="0" w:noVBand="0"/>
        </w:tblPrEx>
        <w:tc>
          <w:tcPr>
            <w:tcW w:w="1129" w:type="dxa"/>
            <w:shd w:val="clear" w:color="auto" w:fill="auto"/>
            <w:vAlign w:val="center"/>
          </w:tcPr>
          <w:p w14:paraId="24BA502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5</w:t>
            </w:r>
          </w:p>
        </w:tc>
        <w:tc>
          <w:tcPr>
            <w:tcW w:w="7683" w:type="dxa"/>
            <w:shd w:val="clear" w:color="auto" w:fill="auto"/>
          </w:tcPr>
          <w:p w14:paraId="1AA0BB8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w:t>
            </w:r>
            <w:r w:rsidRPr="00D75DB2">
              <w:rPr>
                <w:rFonts w:ascii="Times New Roman" w:hAnsi="Times New Roman"/>
                <w:b/>
                <w:bCs/>
                <w:szCs w:val="22"/>
                <w:u w:val="single"/>
              </w:rPr>
              <w:t>i</w:t>
            </w:r>
          </w:p>
          <w:p w14:paraId="23473D6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7F0C6373"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26 straipsnio 1 dalies b punktas.</w:t>
            </w:r>
          </w:p>
          <w:p w14:paraId="19501F5A"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31CF7AD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w:t>
            </w:r>
            <w:r w:rsidRPr="00D75DB2">
              <w:rPr>
                <w:rStyle w:val="FormatvorlageInstructionsTabelleText"/>
                <w:rFonts w:ascii="Times New Roman" w:hAnsi="Times New Roman"/>
                <w:sz w:val="22"/>
                <w:szCs w:val="22"/>
              </w:rPr>
              <w:t>s dalis, susijusi su „Apmokėtomis kapitalo priemonėmis“.</w:t>
            </w:r>
          </w:p>
        </w:tc>
      </w:tr>
      <w:tr w:rsidR="000454E8" w:rsidRPr="00D75DB2" w14:paraId="055EFD0C" w14:textId="77777777">
        <w:tblPrEx>
          <w:tblLook w:val="00A0" w:firstRow="1" w:lastRow="0" w:firstColumn="1" w:lastColumn="0" w:noHBand="0" w:noVBand="0"/>
        </w:tblPrEx>
        <w:tc>
          <w:tcPr>
            <w:tcW w:w="1129" w:type="dxa"/>
            <w:shd w:val="clear" w:color="auto" w:fill="auto"/>
            <w:vAlign w:val="center"/>
          </w:tcPr>
          <w:p w14:paraId="539FA74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6</w:t>
            </w:r>
          </w:p>
        </w:tc>
        <w:tc>
          <w:tcPr>
            <w:tcW w:w="7683" w:type="dxa"/>
            <w:shd w:val="clear" w:color="auto" w:fill="auto"/>
          </w:tcPr>
          <w:p w14:paraId="2EE0D03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Nepaskirstytasis pelnas</w:t>
            </w:r>
          </w:p>
          <w:p w14:paraId="01A0B92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lastRenderedPageBreak/>
              <w:t>Reglamento (ES) 2019/2033 9 straipsnio 1 dalies i punktas.</w:t>
            </w:r>
          </w:p>
          <w:p w14:paraId="0DEAF717" w14:textId="77777777" w:rsidR="000454E8" w:rsidRPr="00D75DB2" w:rsidRDefault="00D75DB2">
            <w:pPr>
              <w:spacing w:after="120"/>
              <w:jc w:val="both"/>
              <w:rPr>
                <w:rFonts w:ascii="Times New Roman" w:eastAsia="Times New Roman" w:hAnsi="Times New Roman" w:cs="Times New Roman"/>
                <w:bCs/>
                <w:szCs w:val="22"/>
              </w:rPr>
            </w:pPr>
            <w:r w:rsidRPr="00D75DB2">
              <w:rPr>
                <w:rStyle w:val="FormatvorlageInstructionsTabelleText"/>
                <w:rFonts w:ascii="Times New Roman" w:hAnsi="Times New Roman"/>
                <w:sz w:val="22"/>
                <w:szCs w:val="22"/>
              </w:rPr>
              <w:t>Reglamento (ES) Nr. 575/2013 26 straipsnio 1 dalies c punktas.</w:t>
            </w:r>
          </w:p>
          <w:p w14:paraId="0A15E78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Nepaskirstytąjį pelną sudaro ankstesnių metų nepas</w:t>
            </w:r>
            <w:r w:rsidRPr="00D75DB2">
              <w:rPr>
                <w:rStyle w:val="FormatvorlageInstructionsTabelleText"/>
                <w:rFonts w:ascii="Times New Roman" w:hAnsi="Times New Roman"/>
                <w:sz w:val="22"/>
                <w:szCs w:val="22"/>
              </w:rPr>
              <w:t>kirstytojo pelno ir reikalavimus atitinkančio tarpinio arba metų pabaigos pelno suma.</w:t>
            </w:r>
          </w:p>
        </w:tc>
      </w:tr>
      <w:tr w:rsidR="000454E8" w:rsidRPr="00D75DB2" w14:paraId="2CD3F8EF" w14:textId="77777777">
        <w:tblPrEx>
          <w:tblLook w:val="00A0" w:firstRow="1" w:lastRow="0" w:firstColumn="1" w:lastColumn="0" w:noHBand="0" w:noVBand="0"/>
        </w:tblPrEx>
        <w:tc>
          <w:tcPr>
            <w:tcW w:w="1129" w:type="dxa"/>
            <w:shd w:val="clear" w:color="auto" w:fill="auto"/>
            <w:vAlign w:val="center"/>
          </w:tcPr>
          <w:p w14:paraId="281E618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7</w:t>
            </w:r>
          </w:p>
        </w:tc>
        <w:tc>
          <w:tcPr>
            <w:tcW w:w="7683" w:type="dxa"/>
            <w:shd w:val="clear" w:color="auto" w:fill="auto"/>
          </w:tcPr>
          <w:p w14:paraId="3090680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Sukauptos kitos bendrosios pajamos</w:t>
            </w:r>
          </w:p>
          <w:p w14:paraId="2EF3868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F7DEC02" w14:textId="77777777" w:rsidR="000454E8" w:rsidRPr="00D75DB2" w:rsidRDefault="00D75DB2">
            <w:pPr>
              <w:spacing w:after="120"/>
              <w:jc w:val="both"/>
              <w:rPr>
                <w:rFonts w:ascii="Times New Roman" w:hAnsi="Times New Roman" w:cs="Times New Roman"/>
                <w:bCs/>
                <w:szCs w:val="22"/>
              </w:rPr>
            </w:pPr>
            <w:r w:rsidRPr="00D75DB2">
              <w:rPr>
                <w:rStyle w:val="FormatvorlageInstructionsTabelleText"/>
                <w:rFonts w:ascii="Times New Roman" w:hAnsi="Times New Roman"/>
                <w:sz w:val="22"/>
                <w:szCs w:val="22"/>
              </w:rPr>
              <w:t>Reglamento (ES) Nr. 575/2013 26 straipsnio 1 dalies d punktas.</w:t>
            </w:r>
          </w:p>
        </w:tc>
      </w:tr>
      <w:tr w:rsidR="000454E8" w:rsidRPr="00D75DB2" w14:paraId="556DE50F" w14:textId="77777777">
        <w:tblPrEx>
          <w:tblLook w:val="00A0" w:firstRow="1" w:lastRow="0" w:firstColumn="1" w:lastColumn="0" w:noHBand="0" w:noVBand="0"/>
        </w:tblPrEx>
        <w:tc>
          <w:tcPr>
            <w:tcW w:w="1129" w:type="dxa"/>
            <w:shd w:val="clear" w:color="auto" w:fill="auto"/>
            <w:vAlign w:val="center"/>
          </w:tcPr>
          <w:p w14:paraId="5B01AFB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8</w:t>
            </w:r>
          </w:p>
        </w:tc>
        <w:tc>
          <w:tcPr>
            <w:tcW w:w="7683" w:type="dxa"/>
            <w:tcBorders>
              <w:bottom w:val="single" w:sz="4" w:space="0" w:color="auto"/>
            </w:tcBorders>
            <w:shd w:val="clear" w:color="auto" w:fill="auto"/>
          </w:tcPr>
          <w:p w14:paraId="6ABE862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Kiti rezervai</w:t>
            </w:r>
          </w:p>
          <w:p w14:paraId="2A2D400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24FD959F"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4 straipsnio 1 dalies 117 punktas ir 26 straipsnio 1 dalies e punktas.</w:t>
            </w:r>
          </w:p>
          <w:p w14:paraId="2F61C92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Suma atskleidžiama atėmus visus skaičiavimo metu numatomus mokesčius.</w:t>
            </w:r>
          </w:p>
        </w:tc>
      </w:tr>
      <w:tr w:rsidR="000454E8" w:rsidRPr="00D75DB2" w14:paraId="279AF3E7" w14:textId="77777777">
        <w:tblPrEx>
          <w:tblLook w:val="00A0" w:firstRow="1" w:lastRow="0" w:firstColumn="1" w:lastColumn="0" w:noHBand="0" w:noVBand="0"/>
        </w:tblPrEx>
        <w:tc>
          <w:tcPr>
            <w:tcW w:w="1129" w:type="dxa"/>
            <w:shd w:val="clear" w:color="auto" w:fill="auto"/>
            <w:vAlign w:val="center"/>
          </w:tcPr>
          <w:p w14:paraId="73F943C4"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9</w:t>
            </w:r>
          </w:p>
        </w:tc>
        <w:tc>
          <w:tcPr>
            <w:tcW w:w="7683" w:type="dxa"/>
            <w:shd w:val="clear" w:color="auto" w:fill="auto"/>
          </w:tcPr>
          <w:p w14:paraId="3CA9B5C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CET1 </w:t>
            </w:r>
            <w:r w:rsidRPr="00D75DB2">
              <w:rPr>
                <w:rFonts w:ascii="Times New Roman" w:hAnsi="Times New Roman"/>
                <w:b/>
                <w:bCs/>
                <w:szCs w:val="22"/>
                <w:u w:val="single"/>
              </w:rPr>
              <w:t>koregavimai pritaikius prudencinius filtrus</w:t>
            </w:r>
          </w:p>
          <w:p w14:paraId="55B08690"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2019/2033 9 straipsnio 1 dalies i punktas.</w:t>
            </w:r>
          </w:p>
          <w:p w14:paraId="70271D4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32–35 straipsniai.</w:t>
            </w:r>
          </w:p>
        </w:tc>
      </w:tr>
      <w:tr w:rsidR="000454E8" w:rsidRPr="00D75DB2" w14:paraId="3509E4E9" w14:textId="77777777">
        <w:tblPrEx>
          <w:tblLook w:val="00A0" w:firstRow="1" w:lastRow="0" w:firstColumn="1" w:lastColumn="0" w:noHBand="0" w:noVBand="0"/>
        </w:tblPrEx>
        <w:tc>
          <w:tcPr>
            <w:tcW w:w="1129" w:type="dxa"/>
            <w:shd w:val="clear" w:color="auto" w:fill="auto"/>
            <w:vAlign w:val="center"/>
          </w:tcPr>
          <w:p w14:paraId="7E8BA6ED"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10</w:t>
            </w:r>
          </w:p>
        </w:tc>
        <w:tc>
          <w:tcPr>
            <w:tcW w:w="7683" w:type="dxa"/>
            <w:shd w:val="clear" w:color="auto" w:fill="auto"/>
          </w:tcPr>
          <w:p w14:paraId="4E8FD34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Kitos lėšos</w:t>
            </w:r>
          </w:p>
          <w:p w14:paraId="7EA903F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9 straipsnio 4 dalis.</w:t>
            </w:r>
          </w:p>
        </w:tc>
      </w:tr>
      <w:tr w:rsidR="000454E8" w:rsidRPr="00D75DB2" w14:paraId="1764842E" w14:textId="77777777">
        <w:tblPrEx>
          <w:tblLook w:val="00A0" w:firstRow="1" w:lastRow="0" w:firstColumn="1" w:lastColumn="0" w:noHBand="0" w:noVBand="0"/>
        </w:tblPrEx>
        <w:tc>
          <w:tcPr>
            <w:tcW w:w="1129" w:type="dxa"/>
            <w:shd w:val="clear" w:color="auto" w:fill="auto"/>
            <w:vAlign w:val="center"/>
          </w:tcPr>
          <w:p w14:paraId="579F91E4"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11</w:t>
            </w:r>
          </w:p>
        </w:tc>
        <w:tc>
          <w:tcPr>
            <w:tcW w:w="7683" w:type="dxa"/>
            <w:shd w:val="clear" w:color="auto" w:fill="auto"/>
          </w:tcPr>
          <w:p w14:paraId="1FACAA1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BENDRA ATSKAITYMŲ IŠ BENDRO 1 </w:t>
            </w:r>
            <w:r w:rsidRPr="00D75DB2">
              <w:rPr>
                <w:rFonts w:ascii="Times New Roman" w:hAnsi="Times New Roman"/>
                <w:b/>
                <w:bCs/>
                <w:szCs w:val="22"/>
                <w:u w:val="single"/>
              </w:rPr>
              <w:t>LYGIO NUOSAVO KAPITALO SUMA</w:t>
            </w:r>
          </w:p>
          <w:p w14:paraId="3E066BD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Atskleidžiama bendra 12–18 eilučių verčių suma.</w:t>
            </w:r>
          </w:p>
        </w:tc>
      </w:tr>
      <w:tr w:rsidR="000454E8" w:rsidRPr="00D75DB2" w14:paraId="16B2826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62FA77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D38300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Einamųjų finansinių metų nuostoliai</w:t>
            </w:r>
          </w:p>
          <w:p w14:paraId="1F979EC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Reglamento (ES) Nr. 575/2013 36 straipsnio 1 dalies a punktas.</w:t>
            </w:r>
          </w:p>
        </w:tc>
      </w:tr>
      <w:tr w:rsidR="000454E8" w:rsidRPr="00D75DB2" w14:paraId="69676FE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9422C1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AA1894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Prestižas</w:t>
            </w:r>
          </w:p>
          <w:p w14:paraId="021C415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9 straipsnio 1 dalies i </w:t>
            </w:r>
            <w:r w:rsidRPr="00D75DB2">
              <w:rPr>
                <w:rFonts w:ascii="Times New Roman" w:hAnsi="Times New Roman"/>
                <w:bCs/>
                <w:szCs w:val="22"/>
              </w:rPr>
              <w:t>punktas.</w:t>
            </w:r>
          </w:p>
          <w:p w14:paraId="110434B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straipsnio 1 dalies 113 punktas, 36 straipsnio 1 dalies b punktas ir 37 straipsnis.</w:t>
            </w:r>
          </w:p>
        </w:tc>
      </w:tr>
      <w:tr w:rsidR="000454E8" w:rsidRPr="00D75DB2" w14:paraId="16D535E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3DDC5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03A0DF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Kitas nematerialusis turtas</w:t>
            </w:r>
          </w:p>
          <w:p w14:paraId="6E37280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550695B0"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4 straipsnio 1 dalies 115 punktas, 36 straipsnio 1 dalies b punktas ir 37 straipsnio a punktas.</w:t>
            </w:r>
          </w:p>
          <w:p w14:paraId="78A96D5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Kitas nematerialusis turtas – nematerialusis turtas pagal taikytiną apskaitos standartą, atėmus prestižą (taip pat pagal taikytiną apskaitos standa</w:t>
            </w:r>
            <w:r w:rsidRPr="00D75DB2">
              <w:rPr>
                <w:rStyle w:val="FormatvorlageInstructionsTabelleText"/>
                <w:rFonts w:ascii="Times New Roman" w:hAnsi="Times New Roman"/>
                <w:sz w:val="22"/>
                <w:szCs w:val="22"/>
              </w:rPr>
              <w:t>rtą).</w:t>
            </w:r>
          </w:p>
        </w:tc>
      </w:tr>
      <w:tr w:rsidR="000454E8" w:rsidRPr="00D75DB2" w14:paraId="14DD6AB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C81532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85FEB8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Atidėtųjų mokesčių turtas, kuris priklauso nuo būsimo pelningumo ir susidaro ne dėl laikinųjų skirtumų, atėmus susijusius atidėtųjų mokesčių įsipareigojimus</w:t>
            </w:r>
          </w:p>
          <w:p w14:paraId="72DAF37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a punktas.</w:t>
            </w:r>
          </w:p>
          <w:p w14:paraId="54BA947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w:t>
            </w:r>
            <w:r w:rsidRPr="00D75DB2">
              <w:rPr>
                <w:rFonts w:ascii="Times New Roman" w:hAnsi="Times New Roman"/>
                <w:bCs/>
                <w:szCs w:val="22"/>
              </w:rPr>
              <w:t>13 36 straipsnio 1 dalies c punktas.</w:t>
            </w:r>
          </w:p>
        </w:tc>
      </w:tr>
      <w:tr w:rsidR="000454E8" w:rsidRPr="00D75DB2" w14:paraId="6CE4709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D54137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D7BE1B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 finansų sektoriaus įmonės kvalifikuotoji akcijų paketo dalis, viršijanti 15 % nuosavų lėšų</w:t>
            </w:r>
          </w:p>
          <w:p w14:paraId="44903F9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10 straipsnio 1 dalies a punktas.</w:t>
            </w:r>
          </w:p>
        </w:tc>
      </w:tr>
      <w:tr w:rsidR="000454E8" w:rsidRPr="00D75DB2" w14:paraId="0A983FC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2BFA6C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D6CC43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Įmonių, kurios nėra finansų sektoriaus </w:t>
            </w:r>
            <w:r w:rsidRPr="00D75DB2">
              <w:rPr>
                <w:rFonts w:ascii="Times New Roman" w:hAnsi="Times New Roman"/>
                <w:b/>
                <w:bCs/>
                <w:szCs w:val="22"/>
                <w:u w:val="single"/>
              </w:rPr>
              <w:t>subjektai, kvalifikuotųjų akcijų paketo dalių bendra suma, viršijanti 60 % įmonės nuosavų lėšų</w:t>
            </w:r>
          </w:p>
          <w:p w14:paraId="30B0D2E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10 straipsnio 1 dalies a punktas.</w:t>
            </w:r>
          </w:p>
        </w:tc>
      </w:tr>
      <w:tr w:rsidR="000454E8" w:rsidRPr="00D75DB2" w14:paraId="2B3596BC" w14:textId="77777777">
        <w:tblPrEx>
          <w:tblLook w:val="00A0" w:firstRow="1" w:lastRow="0" w:firstColumn="1" w:lastColumn="0" w:noHBand="0" w:noVBand="0"/>
        </w:tblPrEx>
        <w:tc>
          <w:tcPr>
            <w:tcW w:w="1129" w:type="dxa"/>
            <w:vAlign w:val="center"/>
          </w:tcPr>
          <w:p w14:paraId="0DD3E7A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569A44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Kiti atskaitymai</w:t>
            </w:r>
          </w:p>
          <w:p w14:paraId="10D0897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Visų kitų atskaitymų, išvardytų Reglamento (ES) Nr. 575/2013 36 straipsnio 1</w:t>
            </w:r>
            <w:r w:rsidRPr="00D75DB2">
              <w:rPr>
                <w:rFonts w:ascii="Times New Roman" w:hAnsi="Times New Roman"/>
                <w:szCs w:val="22"/>
              </w:rPr>
              <w:t> dalyje, suma.</w:t>
            </w:r>
          </w:p>
        </w:tc>
      </w:tr>
      <w:tr w:rsidR="000454E8" w:rsidRPr="00D75DB2" w14:paraId="736CC2EA" w14:textId="77777777">
        <w:tblPrEx>
          <w:tblLook w:val="00A0" w:firstRow="1" w:lastRow="0" w:firstColumn="1" w:lastColumn="0" w:noHBand="0" w:noVBand="0"/>
        </w:tblPrEx>
        <w:tc>
          <w:tcPr>
            <w:tcW w:w="1129" w:type="dxa"/>
            <w:vAlign w:val="center"/>
          </w:tcPr>
          <w:p w14:paraId="41E4663D"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3317F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CET1. Kiti kapitalo elementai, atskaitymai ir koregavimai</w:t>
            </w:r>
          </w:p>
          <w:p w14:paraId="2D2C18F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0FC72788"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CET1 kapitalo priemonių, kurioms taikomas tęstinumo principas </w:t>
            </w:r>
            <w:r w:rsidRPr="00D75DB2">
              <w:rPr>
                <w:rFonts w:ascii="Times New Roman" w:hAnsi="Times New Roman"/>
                <w:bCs/>
              </w:rPr>
              <w:t>(Reglamento (ES) Nr. 575/2013 483 straipsnio 1, 2 ir 3 dalys ir 484–487 straipsniai);</w:t>
            </w:r>
          </w:p>
          <w:p w14:paraId="664457C8"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papildomų mažumos dalių (Reglamento (ES) Nr. 575/2013 479 ir 480 straipsniai);</w:t>
            </w:r>
          </w:p>
          <w:p w14:paraId="66E88984"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CET1 kapitalo pereinamojo laikotarpio kore</w:t>
            </w:r>
            <w:r w:rsidRPr="00D75DB2">
              <w:rPr>
                <w:rFonts w:ascii="Times New Roman" w:hAnsi="Times New Roman"/>
                <w:bCs/>
              </w:rPr>
              <w:t>gavimai (Reglamento (ES) Nr. 575/2013 469–478 ir 481 straipsniai): atskaitymų iš CET1 koregavimai dėl pereinamojo laikotarpio nuostatų;</w:t>
            </w:r>
          </w:p>
          <w:p w14:paraId="01F08272" w14:textId="77777777" w:rsidR="000454E8" w:rsidRPr="00D75DB2" w:rsidRDefault="00D75DB2">
            <w:pPr>
              <w:spacing w:after="120"/>
              <w:ind w:left="360" w:hanging="360"/>
              <w:contextualSpacing/>
              <w:jc w:val="both"/>
              <w:rPr>
                <w:rFonts w:ascii="Times New Roman" w:eastAsia="Times New Roman" w:hAnsi="Times New Roman"/>
                <w:b/>
                <w:bCs/>
                <w:u w:val="single"/>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CET1 kapitalo elementai arba atskaitymai iš CET1 elemento, kurie negali būti priskirti prie vienos iš 4–18 eiluči</w:t>
            </w:r>
            <w:r w:rsidRPr="00D75DB2">
              <w:rPr>
                <w:rFonts w:ascii="Times New Roman" w:hAnsi="Times New Roman"/>
                <w:bCs/>
              </w:rPr>
              <w:t>ų.</w:t>
            </w:r>
          </w:p>
          <w:p w14:paraId="02C8FBB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Reglamentas (ES) Nr. 575/2013, įtraukti į mokumo koeficientų skaičiavimus.</w:t>
            </w:r>
          </w:p>
        </w:tc>
      </w:tr>
      <w:tr w:rsidR="000454E8" w:rsidRPr="00D75DB2" w14:paraId="66904BF1" w14:textId="77777777">
        <w:tblPrEx>
          <w:tblLook w:val="00A0" w:firstRow="1" w:lastRow="0" w:firstColumn="1" w:lastColumn="0" w:noHBand="0" w:noVBand="0"/>
        </w:tblPrEx>
        <w:tc>
          <w:tcPr>
            <w:tcW w:w="1129" w:type="dxa"/>
            <w:vAlign w:val="center"/>
          </w:tcPr>
          <w:p w14:paraId="2E7E8763"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71CA10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w:t>
            </w:r>
          </w:p>
          <w:p w14:paraId="305A6EF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w:t>
            </w:r>
            <w:r w:rsidRPr="00D75DB2">
              <w:rPr>
                <w:rFonts w:ascii="Times New Roman" w:hAnsi="Times New Roman"/>
                <w:bCs/>
                <w:szCs w:val="22"/>
              </w:rPr>
              <w:t xml:space="preserve"> 9 straipsnio 1 dalis.</w:t>
            </w:r>
          </w:p>
          <w:p w14:paraId="1861043B" w14:textId="77777777" w:rsidR="000454E8" w:rsidRPr="00D75DB2" w:rsidRDefault="00D75DB2">
            <w:pPr>
              <w:spacing w:after="120"/>
              <w:jc w:val="both"/>
              <w:rPr>
                <w:rFonts w:ascii="Times New Roman" w:hAnsi="Times New Roman" w:cs="Times New Roman"/>
                <w:szCs w:val="22"/>
              </w:rPr>
            </w:pPr>
            <w:r w:rsidRPr="00D75DB2">
              <w:rPr>
                <w:rFonts w:ascii="Times New Roman" w:hAnsi="Times New Roman"/>
                <w:szCs w:val="22"/>
              </w:rPr>
              <w:t>Reglamento (ES) Nr. 575/2013 61 straipsnis.</w:t>
            </w:r>
          </w:p>
          <w:p w14:paraId="5CEC0BD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21–24 eilučių verčių suma.</w:t>
            </w:r>
          </w:p>
        </w:tc>
      </w:tr>
      <w:tr w:rsidR="000454E8" w:rsidRPr="00D75DB2" w14:paraId="4C0DD937" w14:textId="77777777">
        <w:tblPrEx>
          <w:tblLook w:val="00A0" w:firstRow="1" w:lastRow="0" w:firstColumn="1" w:lastColumn="0" w:noHBand="0" w:noVBand="0"/>
        </w:tblPrEx>
        <w:tc>
          <w:tcPr>
            <w:tcW w:w="1129" w:type="dxa"/>
            <w:vAlign w:val="center"/>
          </w:tcPr>
          <w:p w14:paraId="48BE45E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68C713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szCs w:val="22"/>
                <w:u w:val="single"/>
              </w:rPr>
              <w:t>Visiškai apmokėtas tiesiogiai išleistas kapitalas</w:t>
            </w:r>
          </w:p>
          <w:p w14:paraId="14E0B4C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0B834588"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51 straipsnio a punktas, 52, 53 ir 54 straipsniai.</w:t>
            </w:r>
          </w:p>
          <w:p w14:paraId="460F17B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priedai neįskaičiuojami.</w:t>
            </w:r>
          </w:p>
        </w:tc>
      </w:tr>
      <w:tr w:rsidR="000454E8" w:rsidRPr="00D75DB2" w14:paraId="591D402C" w14:textId="77777777">
        <w:tblPrEx>
          <w:tblLook w:val="00A0" w:firstRow="1" w:lastRow="0" w:firstColumn="1" w:lastColumn="0" w:noHBand="0" w:noVBand="0"/>
        </w:tblPrEx>
        <w:tc>
          <w:tcPr>
            <w:tcW w:w="1129" w:type="dxa"/>
            <w:vAlign w:val="center"/>
          </w:tcPr>
          <w:p w14:paraId="4A52F7F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6C0052B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6371297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07509A1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51 straipsnio b punktas.</w:t>
            </w:r>
          </w:p>
          <w:p w14:paraId="3A333DDE"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5AD9304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sumos dalis, susijusi su „Apmokėtomis kapitalo priemonėmis“.</w:t>
            </w:r>
          </w:p>
        </w:tc>
      </w:tr>
      <w:tr w:rsidR="000454E8" w:rsidRPr="00D75DB2" w14:paraId="3123EABB" w14:textId="77777777">
        <w:tblPrEx>
          <w:tblLook w:val="00A0" w:firstRow="1" w:lastRow="0" w:firstColumn="1" w:lastColumn="0" w:noHBand="0" w:noVBand="0"/>
        </w:tblPrEx>
        <w:tc>
          <w:tcPr>
            <w:tcW w:w="1129" w:type="dxa"/>
            <w:tcBorders>
              <w:bottom w:val="single" w:sz="4" w:space="0" w:color="auto"/>
            </w:tcBorders>
            <w:vAlign w:val="center"/>
          </w:tcPr>
          <w:p w14:paraId="5233BCE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5E32A3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BENDRA ATSKAITYMŲ IŠ </w:t>
            </w:r>
            <w:r w:rsidRPr="00D75DB2">
              <w:rPr>
                <w:rFonts w:ascii="Times New Roman" w:hAnsi="Times New Roman"/>
                <w:b/>
                <w:bCs/>
                <w:szCs w:val="22"/>
                <w:u w:val="single"/>
              </w:rPr>
              <w:t>PAPILDOMO 1 LYGIO KAPITALO SUMA</w:t>
            </w:r>
          </w:p>
          <w:p w14:paraId="16D62A5D" w14:textId="77777777" w:rsidR="000454E8" w:rsidRPr="00D75DB2" w:rsidRDefault="00D75DB2">
            <w:pPr>
              <w:spacing w:before="60" w:after="60"/>
              <w:rPr>
                <w:rFonts w:ascii="Times New Roman" w:eastAsia="Times New Roman" w:hAnsi="Times New Roman" w:cs="Times New Roman"/>
                <w:b/>
                <w:bCs/>
                <w:szCs w:val="22"/>
                <w:u w:val="single"/>
              </w:rPr>
            </w:pPr>
            <w:r w:rsidRPr="00D75DB2">
              <w:rPr>
                <w:rFonts w:ascii="Times New Roman" w:hAnsi="Times New Roman"/>
                <w:szCs w:val="22"/>
              </w:rPr>
              <w:t>Reglamento (ES) Nr. 575/2013 56 straipsnis.</w:t>
            </w:r>
          </w:p>
        </w:tc>
      </w:tr>
      <w:tr w:rsidR="000454E8" w:rsidRPr="00D75DB2" w14:paraId="1B1F2F59" w14:textId="77777777">
        <w:tblPrEx>
          <w:tblLook w:val="00A0" w:firstRow="1" w:lastRow="0" w:firstColumn="1" w:lastColumn="0" w:noHBand="0" w:noVBand="0"/>
        </w:tblPrEx>
        <w:tc>
          <w:tcPr>
            <w:tcW w:w="1129" w:type="dxa"/>
            <w:tcBorders>
              <w:bottom w:val="single" w:sz="4" w:space="0" w:color="auto"/>
            </w:tcBorders>
            <w:vAlign w:val="center"/>
          </w:tcPr>
          <w:p w14:paraId="49F0E392"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lastRenderedPageBreak/>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57378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 Kiti kapitalo elementai, atskaitymai ir koregavimai</w:t>
            </w:r>
          </w:p>
          <w:p w14:paraId="61F8ECB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259DD956"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w:t>
            </w:r>
            <w:r w:rsidRPr="00D75DB2">
              <w:rPr>
                <w:rFonts w:ascii="Times New Roman" w:hAnsi="Times New Roman"/>
                <w:bCs/>
              </w:rPr>
              <w:t>laikotarpio koregavimai dėl AT1 kapitalo priemonių, kurioms taikomas tęstinumo principas (Reglamento (ES) Nr. 575/2013 483 straipsnio 4 ir 5 dalys, 484–487 straipsniai, 489 ir 491 straipsniai);</w:t>
            </w:r>
          </w:p>
          <w:p w14:paraId="33A77C34"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patronuojamųjų įmonių išleistos priemonės, pripažintos AT1 k</w:t>
            </w:r>
            <w:r w:rsidRPr="00D75DB2">
              <w:rPr>
                <w:rFonts w:ascii="Times New Roman" w:hAnsi="Times New Roman"/>
                <w:bCs/>
              </w:rPr>
              <w:t>apitalu (Reglamento (ES) Nr. 575/2013 83, 85 ir 86 straipsniai): visa patronuojamųjų įmonių kvalifikuotojo T1 kapitalo suma, įtraukiama į konsoliduotą AT1 kapitalą, įskaitant specialiosios paskirties subjekto išleistą kapitalą (Reglamento (ES) Nr. 575/2013</w:t>
            </w:r>
            <w:r w:rsidRPr="00D75DB2">
              <w:rPr>
                <w:rFonts w:ascii="Times New Roman" w:hAnsi="Times New Roman"/>
                <w:bCs/>
              </w:rPr>
              <w:t xml:space="preserve"> 83 straipsnis);</w:t>
            </w:r>
          </w:p>
          <w:p w14:paraId="3B54A711"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papildomai AT1 kapitalu pripažįstamų patronuojamųjų įmonių išleistų priemonių (Reglamento (ES) Nr. 575/2013 480 straipsnis), kvalifikuotojo T1 kapitalo, įtraukto į konsoliduotą AT1 kapitalą, korega</w:t>
            </w:r>
            <w:r w:rsidRPr="00D75DB2">
              <w:rPr>
                <w:rFonts w:ascii="Times New Roman" w:hAnsi="Times New Roman"/>
                <w:bCs/>
              </w:rPr>
              <w:t>vimai dėl pereinamojo laikotarpio nuostatų;</w:t>
            </w:r>
          </w:p>
          <w:p w14:paraId="3999F84A"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pereinamojo laikotarpio koregavimai (Reglamento (ES) Nr. 575/2013 472, 473a, 474, 475, 478 ir 481 straipsniai): atskaitymų koregavimai dėl pereinamojo laikotarpio nuostatų;</w:t>
            </w:r>
          </w:p>
          <w:p w14:paraId="62D702CD"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atskaitymų iš AT1</w:t>
            </w:r>
            <w:r w:rsidRPr="00D75DB2">
              <w:rPr>
                <w:rFonts w:ascii="Times New Roman" w:hAnsi="Times New Roman"/>
                <w:bCs/>
              </w:rPr>
              <w:t> straipsnių, viršijančių AT1 kapitalą, suma, atskaitoma iš CET1 pagal Reglamento (ES) Nr. 575/2013 36 straipsnio 1 dalies j punktą: papildomo 1 lygio kapitalo vertė negali būti neigiama, bet gali būti, kad atskaitymai iš AT1 straipsnių viršija turimų AT1 s</w:t>
            </w:r>
            <w:r w:rsidRPr="00D75DB2">
              <w:rPr>
                <w:rFonts w:ascii="Times New Roman" w:hAnsi="Times New Roman"/>
                <w:bCs/>
              </w:rPr>
              <w:t>traipsnių sumą. Tokiu atveju šiame straipsnyje nurodoma suma, kurios reikia 20 eilutėje nurodytai sumai padidinti iki nulio ir kuri lygi atskaitymų iš AT1 straipsnių, viršijančių AT1 kapitalą, įtrauktų, be kitų atskaitymų, į 18 eilutę, atvirkštinei vertei;</w:t>
            </w:r>
          </w:p>
          <w:p w14:paraId="6D935D18"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elementai arba atskaitymai iš AT1 elemento, kurie negali būti priskirti prie vienos iš 21–23 eilučių.</w:t>
            </w:r>
          </w:p>
          <w:p w14:paraId="49674DC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Reglamentas (</w:t>
            </w:r>
            <w:r w:rsidRPr="00D75DB2">
              <w:rPr>
                <w:rFonts w:ascii="Times New Roman" w:hAnsi="Times New Roman"/>
                <w:bCs/>
                <w:szCs w:val="22"/>
              </w:rPr>
              <w:t>ES) Nr. 575/2013, įtraukti į mokumo koeficientų skaičiavimus.</w:t>
            </w:r>
          </w:p>
        </w:tc>
      </w:tr>
      <w:tr w:rsidR="000454E8" w:rsidRPr="00D75DB2" w14:paraId="1F53D5C3" w14:textId="77777777">
        <w:tblPrEx>
          <w:tblLook w:val="00A0" w:firstRow="1" w:lastRow="0" w:firstColumn="1" w:lastColumn="0" w:noHBand="0" w:noVBand="0"/>
        </w:tblPrEx>
        <w:tc>
          <w:tcPr>
            <w:tcW w:w="1129" w:type="dxa"/>
            <w:shd w:val="clear" w:color="auto" w:fill="auto"/>
            <w:vAlign w:val="center"/>
          </w:tcPr>
          <w:p w14:paraId="1668265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493127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w:t>
            </w:r>
          </w:p>
          <w:p w14:paraId="0937868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32304D65"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71 straipsnis.</w:t>
            </w:r>
          </w:p>
          <w:p w14:paraId="0215F48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26–29 eilučių verčių suma.</w:t>
            </w:r>
          </w:p>
        </w:tc>
      </w:tr>
      <w:tr w:rsidR="000454E8" w:rsidRPr="00D75DB2" w14:paraId="02316841" w14:textId="77777777">
        <w:tblPrEx>
          <w:tblLook w:val="00A0" w:firstRow="1" w:lastRow="0" w:firstColumn="1" w:lastColumn="0" w:noHBand="0" w:noVBand="0"/>
        </w:tblPrEx>
        <w:tc>
          <w:tcPr>
            <w:tcW w:w="1129" w:type="dxa"/>
            <w:shd w:val="clear" w:color="auto" w:fill="auto"/>
            <w:vAlign w:val="center"/>
          </w:tcPr>
          <w:p w14:paraId="6E3C5C1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A54BA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
                <w:bCs/>
                <w:szCs w:val="22"/>
                <w:u w:val="single"/>
              </w:rPr>
              <w:t xml:space="preserve">Visiškai apmokėtos </w:t>
            </w:r>
            <w:r w:rsidRPr="00D75DB2">
              <w:rPr>
                <w:rFonts w:ascii="Times New Roman" w:hAnsi="Times New Roman"/>
                <w:b/>
                <w:bCs/>
                <w:szCs w:val="22"/>
                <w:u w:val="single"/>
              </w:rPr>
              <w:t>tiesiogiai išleistos kapitalo priemonės</w:t>
            </w:r>
          </w:p>
          <w:p w14:paraId="0C53036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7B57A4D"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575/2013 62 straipsnio a punktas, 63 ir 65 straipsniai.</w:t>
            </w:r>
          </w:p>
          <w:p w14:paraId="3821C28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priedai neįskaičiuojami.</w:t>
            </w:r>
          </w:p>
        </w:tc>
      </w:tr>
      <w:tr w:rsidR="000454E8" w:rsidRPr="00D75DB2" w14:paraId="32887C27" w14:textId="77777777">
        <w:tblPrEx>
          <w:tblLook w:val="00A0" w:firstRow="1" w:lastRow="0" w:firstColumn="1" w:lastColumn="0" w:noHBand="0" w:noVBand="0"/>
        </w:tblPrEx>
        <w:tc>
          <w:tcPr>
            <w:tcW w:w="1129" w:type="dxa"/>
            <w:shd w:val="clear" w:color="auto" w:fill="auto"/>
            <w:vAlign w:val="center"/>
          </w:tcPr>
          <w:p w14:paraId="3C792E9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FFD8B2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0CCF893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10D0ECF6"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62 straipsnio b punktas ir 65 straipsnis.</w:t>
            </w:r>
          </w:p>
          <w:p w14:paraId="3A1F6040"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60BC4AA5" w14:textId="77777777" w:rsidR="000454E8" w:rsidRPr="00D75DB2" w:rsidRDefault="00D75DB2">
            <w:pPr>
              <w:pStyle w:val="InstructionsText"/>
            </w:pPr>
            <w:r w:rsidRPr="00D75DB2">
              <w:rPr>
                <w:rStyle w:val="FormatvorlageInstructionsTabelleText"/>
                <w:rFonts w:ascii="Times New Roman" w:hAnsi="Times New Roman"/>
                <w:sz w:val="22"/>
              </w:rPr>
              <w:t xml:space="preserve">Šiame </w:t>
            </w:r>
            <w:r w:rsidRPr="00D75DB2">
              <w:rPr>
                <w:rStyle w:val="FormatvorlageInstructionsTabelleText"/>
                <w:rFonts w:ascii="Times New Roman" w:hAnsi="Times New Roman"/>
                <w:sz w:val="22"/>
              </w:rPr>
              <w:t>straipsnyje atskleistina sumos dalis, susijusi su „Apmokėtomis kapitalo priemonėmis“.</w:t>
            </w:r>
          </w:p>
        </w:tc>
      </w:tr>
      <w:tr w:rsidR="000454E8" w:rsidRPr="00D75DB2" w14:paraId="59877158" w14:textId="77777777">
        <w:tblPrEx>
          <w:tblLook w:val="00A0" w:firstRow="1" w:lastRow="0" w:firstColumn="1" w:lastColumn="0" w:noHBand="0" w:noVBand="0"/>
        </w:tblPrEx>
        <w:tc>
          <w:tcPr>
            <w:tcW w:w="1129" w:type="dxa"/>
            <w:shd w:val="clear" w:color="auto" w:fill="auto"/>
            <w:vAlign w:val="center"/>
          </w:tcPr>
          <w:p w14:paraId="390FA05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786D79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BENDRA ATSKAITYMŲ IŠ 2 LYGIO KAPITALO SUMA</w:t>
            </w:r>
          </w:p>
          <w:p w14:paraId="7B0A69B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lastRenderedPageBreak/>
              <w:t>Reglamento (ES) Nr. 575/2013 66 straipsnis.</w:t>
            </w:r>
          </w:p>
        </w:tc>
      </w:tr>
      <w:tr w:rsidR="000454E8" w:rsidRPr="00D75DB2" w14:paraId="5CD45AB0" w14:textId="77777777">
        <w:tblPrEx>
          <w:tblLook w:val="00A0" w:firstRow="1" w:lastRow="0" w:firstColumn="1" w:lastColumn="0" w:noHBand="0" w:noVBand="0"/>
        </w:tblPrEx>
        <w:tc>
          <w:tcPr>
            <w:tcW w:w="1129" w:type="dxa"/>
            <w:shd w:val="clear" w:color="auto" w:fill="auto"/>
            <w:vAlign w:val="center"/>
          </w:tcPr>
          <w:p w14:paraId="3C141635"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lastRenderedPageBreak/>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9A4D5E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 Kiti kapitalo elementai, atskaitymai ir koregavimai</w:t>
            </w:r>
          </w:p>
          <w:p w14:paraId="73AEF94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1A9DE406"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T2 kapitalo priemonių, kurioms taikomas tęstinumo principas (Reglamento (ES) Nr. 575/2013 483 straipsnio 6 ir 7 dalys, 484, 486, 488, 490 ir </w:t>
            </w:r>
            <w:r w:rsidRPr="00D75DB2">
              <w:rPr>
                <w:rFonts w:ascii="Times New Roman" w:hAnsi="Times New Roman"/>
                <w:bCs/>
              </w:rPr>
              <w:t>491 straipsniai);</w:t>
            </w:r>
          </w:p>
          <w:p w14:paraId="36417BBE"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patronuojamųjų įmonių išleistos priemonės, pripažintos T2 kapitalu (Reglamento (ES) Nr. 575/2013 83, 87 ir 88 straipsniai): visa patronuojamųjų įmonių kvalifikuotųjų nuosavų lėšų suma, įtraukiama į konsoliduotą T2 kapitalą, įskaitant sp</w:t>
            </w:r>
            <w:r w:rsidRPr="00D75DB2">
              <w:rPr>
                <w:rFonts w:ascii="Times New Roman" w:hAnsi="Times New Roman"/>
                <w:bCs/>
              </w:rPr>
              <w:t>ecialiosios paskirties subjekto išleistą kvalifikuotąjį 2 lygio kapitalą (Reglamento (ES) Nr. 575/2013 83 straipsnis);</w:t>
            </w:r>
          </w:p>
          <w:p w14:paraId="0934FF65"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papildomai T2 kapitalu pripažįstamų patronuojamųjų įmonių išleistų priemonių (Reglamento (ES) N</w:t>
            </w:r>
            <w:r w:rsidRPr="00D75DB2">
              <w:rPr>
                <w:rFonts w:ascii="Times New Roman" w:hAnsi="Times New Roman"/>
                <w:bCs/>
              </w:rPr>
              <w:t>r. 575/2013 480 straipsnis): kvalifikuotųjų nuosavų lėšų, įtrauktų į konsoliduotą T2 kapitalą, koregavimai dėl pereinamojo laikotarpio nuostatų;</w:t>
            </w:r>
          </w:p>
          <w:p w14:paraId="51367139"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T2 kapitalo pereinamojo laikotarpio koregavimai (Reglamento (ES) Nr. 575/2013 472, 473a, 476, 477, 478 i</w:t>
            </w:r>
            <w:r w:rsidRPr="00D75DB2">
              <w:rPr>
                <w:rFonts w:ascii="Times New Roman" w:hAnsi="Times New Roman"/>
                <w:bCs/>
              </w:rPr>
              <w:t>r 481 straipsniai): atskaitymų iš 2 lygio kapitalo koregavimai dėl pereinamojo laikotarpio nuostatų;</w:t>
            </w:r>
          </w:p>
          <w:p w14:paraId="30A28601"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atskaitymų iš T2 straipsnių, viršijančių T2 kapitalą, suma, atskaitoma iš AT1, pagal Reglamento (ES) Nr. 575/2013 56 straipsnio e punktą: 2 lygio kapital</w:t>
            </w:r>
            <w:r w:rsidRPr="00D75DB2">
              <w:rPr>
                <w:rFonts w:ascii="Times New Roman" w:hAnsi="Times New Roman"/>
                <w:bCs/>
              </w:rPr>
              <w:t>o vertė negali būti neigiama, bet gali būti, kad atskaitymai iš T2 straipsnių viršija turimų T2 straipsnių sumą. Tokiu atveju šiame straipsnyje nurodoma suma, kurios reikia 25 eilutėje nurodytai sumai padidinti iki nulio;</w:t>
            </w:r>
          </w:p>
          <w:p w14:paraId="65FB9639"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kiti T2 kapitalo elementai arba </w:t>
            </w:r>
            <w:r w:rsidRPr="00D75DB2">
              <w:rPr>
                <w:rFonts w:ascii="Times New Roman" w:hAnsi="Times New Roman"/>
                <w:bCs/>
              </w:rPr>
              <w:t>atskaitymai iš T2 elemento, kurie negali būti priskirti prie vienos iš 26–28 eilučių.</w:t>
            </w:r>
          </w:p>
          <w:p w14:paraId="7FBEFBF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Reglamentas (ES) Nr. 575/2013, įtraukti į mokumo k</w:t>
            </w:r>
            <w:r w:rsidRPr="00D75DB2">
              <w:rPr>
                <w:rFonts w:ascii="Times New Roman" w:hAnsi="Times New Roman"/>
                <w:bCs/>
                <w:szCs w:val="22"/>
              </w:rPr>
              <w:t>oeficientų skaičiavimus.</w:t>
            </w:r>
          </w:p>
        </w:tc>
      </w:tr>
    </w:tbl>
    <w:p w14:paraId="59A801CE" w14:textId="77777777" w:rsidR="000454E8" w:rsidRPr="00D75DB2" w:rsidRDefault="000454E8">
      <w:pPr>
        <w:ind w:left="720"/>
        <w:rPr>
          <w:rFonts w:ascii="Times New Roman" w:hAnsi="Times New Roman" w:cs="Times New Roman"/>
          <w:b/>
          <w:bCs/>
          <w:sz w:val="24"/>
        </w:rPr>
      </w:pPr>
    </w:p>
    <w:p w14:paraId="1D5A1CF2" w14:textId="77777777" w:rsidR="000454E8" w:rsidRPr="00D75DB2" w:rsidRDefault="00D75DB2">
      <w:pPr>
        <w:ind w:left="720"/>
        <w:rPr>
          <w:rFonts w:ascii="Times New Roman" w:hAnsi="Times New Roman" w:cs="Times New Roman"/>
          <w:b/>
          <w:bCs/>
          <w:sz w:val="24"/>
        </w:rPr>
      </w:pPr>
      <w:r w:rsidRPr="00D75DB2">
        <w:rPr>
          <w:rFonts w:ascii="Times New Roman" w:hAnsi="Times New Roman"/>
          <w:b/>
          <w:bCs/>
          <w:sz w:val="24"/>
        </w:rPr>
        <w:t>ES I CC1.03 forma. Reguliuojamų nuosavų lėšų sudėtis (grupės kapitalo testas)</w:t>
      </w:r>
    </w:p>
    <w:p w14:paraId="251532FA" w14:textId="77777777" w:rsidR="000454E8" w:rsidRPr="00D75DB2" w:rsidRDefault="00D75DB2">
      <w:pPr>
        <w:tabs>
          <w:tab w:val="left" w:pos="360"/>
        </w:tabs>
        <w:spacing w:before="120" w:after="120"/>
        <w:ind w:left="360" w:hanging="360"/>
        <w:jc w:val="both"/>
        <w:rPr>
          <w:rFonts w:ascii="Times New Roman" w:hAnsi="Times New Roman" w:cs="Times New Roman"/>
          <w:bCs/>
          <w:sz w:val="24"/>
        </w:rPr>
      </w:pPr>
      <w:r w:rsidRPr="00D75DB2">
        <w:rPr>
          <w:rFonts w:ascii="Times New Roman" w:hAnsi="Times New Roman" w:cs="Times New Roman"/>
          <w:bCs/>
          <w:sz w:val="24"/>
        </w:rPr>
        <w:t>6.</w:t>
      </w:r>
      <w:r w:rsidRPr="00D75DB2">
        <w:rPr>
          <w:rFonts w:ascii="Times New Roman" w:hAnsi="Times New Roman" w:cs="Times New Roman"/>
          <w:bCs/>
          <w:sz w:val="24"/>
        </w:rPr>
        <w:tab/>
      </w:r>
      <w:r w:rsidRPr="00D75DB2">
        <w:rPr>
          <w:rFonts w:ascii="Times New Roman" w:hAnsi="Times New Roman"/>
          <w:bCs/>
          <w:sz w:val="24"/>
        </w:rPr>
        <w:t xml:space="preserve">Reglamento (ES) 2019/2033 8 straipsnio 3 dalyje nurodyti subjektai, kuriems taikomas tas straipsnis, informaciją apie nuosavų lėšų sudėtį </w:t>
      </w:r>
      <w:r w:rsidRPr="00D75DB2">
        <w:rPr>
          <w:rFonts w:ascii="Times New Roman" w:hAnsi="Times New Roman"/>
          <w:bCs/>
          <w:sz w:val="24"/>
        </w:rPr>
        <w:t>atskleidžia pagal ES I CC1.03 formą ir vadovaudamiesi toliau pateiktais nurodymais.</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454E8" w:rsidRPr="00D75DB2" w14:paraId="1CAA36BB" w14:textId="77777777">
        <w:tc>
          <w:tcPr>
            <w:tcW w:w="1129" w:type="dxa"/>
            <w:shd w:val="clear" w:color="auto" w:fill="D9D9D9"/>
          </w:tcPr>
          <w:p w14:paraId="39516A1A"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Eilutė</w:t>
            </w:r>
          </w:p>
        </w:tc>
        <w:tc>
          <w:tcPr>
            <w:tcW w:w="7620" w:type="dxa"/>
            <w:shd w:val="clear" w:color="auto" w:fill="D9D9D9"/>
          </w:tcPr>
          <w:p w14:paraId="036033A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Nuorodos į teisės aktus ir nurodymai</w:t>
            </w:r>
          </w:p>
        </w:tc>
      </w:tr>
      <w:tr w:rsidR="000454E8" w:rsidRPr="00D75DB2" w14:paraId="4B73FC22" w14:textId="77777777">
        <w:tc>
          <w:tcPr>
            <w:tcW w:w="1129" w:type="dxa"/>
            <w:vAlign w:val="center"/>
          </w:tcPr>
          <w:p w14:paraId="49026C1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color w:val="000000"/>
                <w:szCs w:val="22"/>
              </w:rPr>
              <w:t>1</w:t>
            </w:r>
          </w:p>
        </w:tc>
        <w:tc>
          <w:tcPr>
            <w:tcW w:w="7620" w:type="dxa"/>
          </w:tcPr>
          <w:p w14:paraId="7CF9851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NUOSAVOS LĖŠOS</w:t>
            </w:r>
          </w:p>
          <w:p w14:paraId="0B74DD2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1D5470B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 xml:space="preserve">Investicinės įmonės nuosavas lėšas sudaro jos 1 lygio </w:t>
            </w:r>
            <w:r w:rsidRPr="00D75DB2">
              <w:rPr>
                <w:rStyle w:val="FormatvorlageInstructionsTabelleText"/>
                <w:rFonts w:ascii="Times New Roman" w:hAnsi="Times New Roman"/>
                <w:sz w:val="22"/>
                <w:szCs w:val="22"/>
              </w:rPr>
              <w:t>kapitalo ir 2 lygio kapitalo suma.</w:t>
            </w:r>
          </w:p>
        </w:tc>
      </w:tr>
      <w:tr w:rsidR="000454E8" w:rsidRPr="00D75DB2" w14:paraId="795358A3" w14:textId="77777777">
        <w:tc>
          <w:tcPr>
            <w:tcW w:w="1129" w:type="dxa"/>
            <w:vAlign w:val="center"/>
          </w:tcPr>
          <w:p w14:paraId="3B9C894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color w:val="000000"/>
                <w:szCs w:val="22"/>
              </w:rPr>
              <w:t>2</w:t>
            </w:r>
          </w:p>
        </w:tc>
        <w:tc>
          <w:tcPr>
            <w:tcW w:w="7620" w:type="dxa"/>
          </w:tcPr>
          <w:p w14:paraId="7F4B5C5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1 LYGIO KAPITALAS</w:t>
            </w:r>
          </w:p>
          <w:p w14:paraId="0922062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1 lygio kapitalą sudaro bendro 1 lygio nuosavo kapitalo ir papildomo 1 lygio kapitalo suma.</w:t>
            </w:r>
          </w:p>
        </w:tc>
      </w:tr>
      <w:tr w:rsidR="000454E8" w:rsidRPr="00D75DB2" w14:paraId="2219560B" w14:textId="77777777">
        <w:tc>
          <w:tcPr>
            <w:tcW w:w="1129" w:type="dxa"/>
            <w:vAlign w:val="center"/>
          </w:tcPr>
          <w:p w14:paraId="0D7C6E3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color w:val="000000"/>
                <w:szCs w:val="22"/>
              </w:rPr>
              <w:t>3</w:t>
            </w:r>
          </w:p>
        </w:tc>
        <w:tc>
          <w:tcPr>
            <w:tcW w:w="7620" w:type="dxa"/>
          </w:tcPr>
          <w:p w14:paraId="799BDC6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InstructionsTabelleberschrift"/>
                <w:rFonts w:ascii="Times New Roman" w:hAnsi="Times New Roman"/>
                <w:sz w:val="22"/>
                <w:szCs w:val="22"/>
              </w:rPr>
              <w:t>BENDRAS 1 LYGIO NUOSAVAS KAPITALAS</w:t>
            </w:r>
          </w:p>
          <w:p w14:paraId="6B63921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65E87690" w14:textId="77777777" w:rsidR="000454E8" w:rsidRPr="00D75DB2" w:rsidRDefault="00D75DB2">
            <w:pPr>
              <w:spacing w:after="120"/>
              <w:jc w:val="both"/>
              <w:rPr>
                <w:rFonts w:ascii="Times New Roman" w:eastAsia="Times New Roman" w:hAnsi="Times New Roman" w:cs="Times New Roman"/>
                <w:bCs/>
                <w:szCs w:val="22"/>
              </w:rPr>
            </w:pPr>
            <w:r w:rsidRPr="00D75DB2">
              <w:rPr>
                <w:rStyle w:val="FormatvorlageInstructionsTabelleText"/>
                <w:rFonts w:ascii="Times New Roman" w:hAnsi="Times New Roman"/>
                <w:sz w:val="22"/>
                <w:szCs w:val="22"/>
              </w:rPr>
              <w:t xml:space="preserve">Reglamento (ES) </w:t>
            </w:r>
            <w:r w:rsidRPr="00D75DB2">
              <w:rPr>
                <w:rStyle w:val="FormatvorlageInstructionsTabelleText"/>
                <w:rFonts w:ascii="Times New Roman" w:hAnsi="Times New Roman"/>
                <w:sz w:val="22"/>
                <w:szCs w:val="22"/>
              </w:rPr>
              <w:t>Nr. 575/2013 50 straipsnis.</w:t>
            </w:r>
          </w:p>
        </w:tc>
      </w:tr>
      <w:tr w:rsidR="000454E8" w:rsidRPr="00D75DB2" w14:paraId="7AAA19C3" w14:textId="77777777">
        <w:tc>
          <w:tcPr>
            <w:tcW w:w="1129" w:type="dxa"/>
            <w:vAlign w:val="center"/>
          </w:tcPr>
          <w:p w14:paraId="4106B4C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4</w:t>
            </w:r>
          </w:p>
        </w:tc>
        <w:tc>
          <w:tcPr>
            <w:tcW w:w="7620" w:type="dxa"/>
          </w:tcPr>
          <w:p w14:paraId="3951BC1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Apmokėtos kapitalo priemonės</w:t>
            </w:r>
          </w:p>
          <w:p w14:paraId="0FA88B2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FEE383F"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26 straipsnio 1 dalies a punktas ir 27–31 straipsniai.</w:t>
            </w:r>
          </w:p>
          <w:p w14:paraId="00F098C4"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Prie jų priskiriamos savidraudos įmonių, </w:t>
            </w:r>
            <w:r w:rsidRPr="00D75DB2">
              <w:rPr>
                <w:rStyle w:val="FormatvorlageInstructionsTabelleText"/>
                <w:rFonts w:ascii="Times New Roman" w:hAnsi="Times New Roman"/>
                <w:sz w:val="22"/>
              </w:rPr>
              <w:t>kooperatinių bendrovių arba panašių įstaigų kapitalo priemonės (Reglamento (ES) Nr. 575/2013 27 ir 29 straipsniai).</w:t>
            </w:r>
          </w:p>
          <w:p w14:paraId="29213C72"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Su tomis priemonėmis susiję akcijų priedai neįskaičiuojami.</w:t>
            </w:r>
          </w:p>
          <w:p w14:paraId="7B189F74" w14:textId="77777777" w:rsidR="000454E8" w:rsidRPr="00D75DB2" w:rsidRDefault="00D75DB2">
            <w:pPr>
              <w:pStyle w:val="InstructionsText"/>
            </w:pPr>
            <w:r w:rsidRPr="00D75DB2">
              <w:rPr>
                <w:rStyle w:val="FormatvorlageInstructionsTabelleText"/>
                <w:rFonts w:ascii="Times New Roman" w:hAnsi="Times New Roman"/>
                <w:sz w:val="22"/>
              </w:rPr>
              <w:t>Viešosios valdžios institucijų ekstremaliųjų situacijų atveju pasirašytos kapita</w:t>
            </w:r>
            <w:r w:rsidRPr="00D75DB2">
              <w:rPr>
                <w:rStyle w:val="FormatvorlageInstructionsTabelleText"/>
                <w:rFonts w:ascii="Times New Roman" w:hAnsi="Times New Roman"/>
                <w:sz w:val="22"/>
              </w:rPr>
              <w:t>lo priemonės įskaičiuojamos, jeigu įvykdomos visos Reglamento (ES) Nr. 575/2013 31 straipsnio sąlygos.</w:t>
            </w:r>
          </w:p>
        </w:tc>
      </w:tr>
      <w:tr w:rsidR="000454E8" w:rsidRPr="00D75DB2" w14:paraId="11C15609" w14:textId="77777777">
        <w:tc>
          <w:tcPr>
            <w:tcW w:w="1129" w:type="dxa"/>
            <w:vAlign w:val="center"/>
          </w:tcPr>
          <w:p w14:paraId="6AAB56B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5</w:t>
            </w:r>
          </w:p>
        </w:tc>
        <w:tc>
          <w:tcPr>
            <w:tcW w:w="7620" w:type="dxa"/>
          </w:tcPr>
          <w:p w14:paraId="4A2B3EB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7812CDB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046A1B3B"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26 straipsnio 1 dalies b punktas.</w:t>
            </w:r>
          </w:p>
          <w:p w14:paraId="75A359C2"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16B7519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sumos dalis, susijusi su „Apmokėtomis kapitalo priemonėmis“.</w:t>
            </w:r>
          </w:p>
        </w:tc>
      </w:tr>
      <w:tr w:rsidR="000454E8" w:rsidRPr="00D75DB2" w14:paraId="05ECFC3D" w14:textId="77777777">
        <w:tc>
          <w:tcPr>
            <w:tcW w:w="1129" w:type="dxa"/>
            <w:vAlign w:val="center"/>
          </w:tcPr>
          <w:p w14:paraId="410E64B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6</w:t>
            </w:r>
          </w:p>
        </w:tc>
        <w:tc>
          <w:tcPr>
            <w:tcW w:w="7620" w:type="dxa"/>
          </w:tcPr>
          <w:p w14:paraId="603BC62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Nepaskirstytasis pelnas</w:t>
            </w:r>
          </w:p>
          <w:p w14:paraId="702EC7E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w:t>
            </w:r>
            <w:r w:rsidRPr="00D75DB2">
              <w:rPr>
                <w:rFonts w:ascii="Times New Roman" w:hAnsi="Times New Roman"/>
                <w:bCs/>
                <w:szCs w:val="22"/>
              </w:rPr>
              <w:t> dalies i punktas.</w:t>
            </w:r>
          </w:p>
          <w:p w14:paraId="4DB79FB1" w14:textId="77777777" w:rsidR="000454E8" w:rsidRPr="00D75DB2" w:rsidRDefault="00D75DB2">
            <w:pPr>
              <w:spacing w:after="120"/>
              <w:jc w:val="both"/>
              <w:rPr>
                <w:rFonts w:ascii="Times New Roman" w:eastAsia="Times New Roman" w:hAnsi="Times New Roman" w:cs="Times New Roman"/>
                <w:bCs/>
                <w:szCs w:val="22"/>
              </w:rPr>
            </w:pPr>
            <w:r w:rsidRPr="00D75DB2">
              <w:rPr>
                <w:rStyle w:val="FormatvorlageInstructionsTabelleText"/>
                <w:rFonts w:ascii="Times New Roman" w:hAnsi="Times New Roman"/>
                <w:sz w:val="22"/>
                <w:szCs w:val="22"/>
              </w:rPr>
              <w:t>Reglamento (ES) Nr. 575/2013 26 straipsnio 1 dalies c punktas.</w:t>
            </w:r>
          </w:p>
          <w:p w14:paraId="18761AC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Nepaskirstytąjį pelną sudaro ankstesnių metų nepaskirstytojo pelno ir reikalavimus atitinkančio tarpinio arba metų pabaigos pelno suma.</w:t>
            </w:r>
          </w:p>
        </w:tc>
      </w:tr>
      <w:tr w:rsidR="000454E8" w:rsidRPr="00D75DB2" w14:paraId="2489A577" w14:textId="77777777">
        <w:tc>
          <w:tcPr>
            <w:tcW w:w="1129" w:type="dxa"/>
            <w:vAlign w:val="center"/>
          </w:tcPr>
          <w:p w14:paraId="6F95646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7</w:t>
            </w:r>
          </w:p>
        </w:tc>
        <w:tc>
          <w:tcPr>
            <w:tcW w:w="7620" w:type="dxa"/>
          </w:tcPr>
          <w:p w14:paraId="5138F49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Ankstesnių metų nepaskirstytasis pe</w:t>
            </w:r>
            <w:r w:rsidRPr="00D75DB2">
              <w:rPr>
                <w:rFonts w:ascii="Times New Roman" w:hAnsi="Times New Roman"/>
                <w:b/>
                <w:bCs/>
                <w:szCs w:val="22"/>
                <w:u w:val="single"/>
              </w:rPr>
              <w:t>lnas</w:t>
            </w:r>
          </w:p>
          <w:p w14:paraId="110C41C4" w14:textId="77777777" w:rsidR="000454E8" w:rsidRPr="00D75DB2" w:rsidRDefault="00D75DB2">
            <w:pPr>
              <w:spacing w:after="120"/>
              <w:jc w:val="both"/>
              <w:rPr>
                <w:rFonts w:ascii="Times New Roman" w:hAnsi="Times New Roman" w:cs="Times New Roman"/>
                <w:szCs w:val="22"/>
              </w:rPr>
            </w:pPr>
            <w:r w:rsidRPr="00D75DB2">
              <w:rPr>
                <w:rFonts w:ascii="Times New Roman" w:hAnsi="Times New Roman"/>
                <w:szCs w:val="22"/>
              </w:rPr>
              <w:t>Reglamento (ES) Nr. 575/2013 4 straipsnio 1 dalies 123 punktas ir 26 straipsnio 1 dalies c punktas.</w:t>
            </w:r>
          </w:p>
          <w:p w14:paraId="1E43A7D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Reglamento (ES) Nr. 575/2013 4 straipsnio 1 dalies 123 punkte nurodoma, kad nepaskirstytasis pelnas yra „į kitą laikotarpį perkeliamas pelnas ir nuosto</w:t>
            </w:r>
            <w:r w:rsidRPr="00D75DB2">
              <w:rPr>
                <w:rFonts w:ascii="Times New Roman" w:hAnsi="Times New Roman"/>
                <w:szCs w:val="22"/>
              </w:rPr>
              <w:t>liai, likę po galutinio pelno arba nuostolių paskirstymo pagal taikytiną apskaitos sistemą“.</w:t>
            </w:r>
          </w:p>
        </w:tc>
      </w:tr>
      <w:tr w:rsidR="000454E8" w:rsidRPr="00D75DB2" w14:paraId="24493BB3" w14:textId="77777777">
        <w:tc>
          <w:tcPr>
            <w:tcW w:w="1129" w:type="dxa"/>
            <w:vAlign w:val="center"/>
          </w:tcPr>
          <w:p w14:paraId="4F9D83F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8</w:t>
            </w:r>
          </w:p>
        </w:tc>
        <w:tc>
          <w:tcPr>
            <w:tcW w:w="7620" w:type="dxa"/>
          </w:tcPr>
          <w:p w14:paraId="68DCB4B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Reikalavimus atitinkantis pelnas arba nuostoliai</w:t>
            </w:r>
          </w:p>
          <w:p w14:paraId="760D6801" w14:textId="77777777" w:rsidR="000454E8" w:rsidRPr="00D75DB2" w:rsidRDefault="00D75DB2">
            <w:pPr>
              <w:spacing w:after="120"/>
              <w:jc w:val="both"/>
              <w:rPr>
                <w:rFonts w:ascii="Times New Roman" w:eastAsia="Times New Roman" w:hAnsi="Times New Roman" w:cs="Times New Roman"/>
                <w:szCs w:val="22"/>
              </w:rPr>
            </w:pPr>
            <w:r w:rsidRPr="00D75DB2">
              <w:rPr>
                <w:rFonts w:ascii="Times New Roman" w:hAnsi="Times New Roman"/>
                <w:szCs w:val="22"/>
              </w:rPr>
              <w:t xml:space="preserve">Reglamento (ES) Nr. 575/2013 4 straipsnio 1 dalies 121 punktas, 26 straipsnio 2 dalis ir </w:t>
            </w:r>
            <w:r w:rsidRPr="00D75DB2">
              <w:rPr>
                <w:rFonts w:ascii="Times New Roman" w:hAnsi="Times New Roman"/>
                <w:szCs w:val="22"/>
              </w:rPr>
              <w:t>36 straipsnio 1 dalies a punktas.</w:t>
            </w:r>
          </w:p>
          <w:p w14:paraId="7B5BEFE9" w14:textId="77777777" w:rsidR="000454E8" w:rsidRPr="00D75DB2" w:rsidRDefault="00D75DB2">
            <w:pPr>
              <w:spacing w:after="120"/>
              <w:jc w:val="both"/>
              <w:rPr>
                <w:rFonts w:ascii="Times New Roman" w:eastAsia="Times New Roman" w:hAnsi="Times New Roman" w:cs="Times New Roman"/>
                <w:szCs w:val="22"/>
              </w:rPr>
            </w:pPr>
            <w:r w:rsidRPr="00D75DB2">
              <w:rPr>
                <w:rFonts w:ascii="Times New Roman" w:hAnsi="Times New Roman"/>
                <w:szCs w:val="22"/>
              </w:rPr>
              <w:t>Pagal Reglamento (ES) Nr. 575/2013 26 straipsnio 2 dalį leidžiama, gavus kompetentingos institucijos išankstinį leidimą, į nepaskirstytąjį pelną įtraukti tarpinį arba metų pabaigos pelną, jeigu įvykdomos tam tikros sąlygos</w:t>
            </w:r>
            <w:r w:rsidRPr="00D75DB2">
              <w:rPr>
                <w:rFonts w:ascii="Times New Roman" w:hAnsi="Times New Roman"/>
                <w:szCs w:val="22"/>
              </w:rPr>
              <w:t>.</w:t>
            </w:r>
          </w:p>
          <w:p w14:paraId="110FC01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Kita vertus, iš CET1 atskaitomi nuostoliai, kaip nurodyta Reglamento (ES) Nr. 575/2013 36 straipsnio 1 dalies a punkte.</w:t>
            </w:r>
          </w:p>
        </w:tc>
      </w:tr>
      <w:tr w:rsidR="000454E8" w:rsidRPr="00D75DB2" w14:paraId="633469B7" w14:textId="77777777">
        <w:tc>
          <w:tcPr>
            <w:tcW w:w="1129" w:type="dxa"/>
            <w:vAlign w:val="center"/>
          </w:tcPr>
          <w:p w14:paraId="288419D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9</w:t>
            </w:r>
          </w:p>
        </w:tc>
        <w:tc>
          <w:tcPr>
            <w:tcW w:w="7620" w:type="dxa"/>
          </w:tcPr>
          <w:p w14:paraId="6EE048C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Sukauptos kitos bendrosios pajamos</w:t>
            </w:r>
          </w:p>
          <w:p w14:paraId="2D56292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5D74C19C" w14:textId="77777777" w:rsidR="000454E8" w:rsidRPr="00D75DB2" w:rsidRDefault="00D75DB2">
            <w:pPr>
              <w:spacing w:after="120"/>
              <w:jc w:val="both"/>
              <w:rPr>
                <w:rFonts w:ascii="Times New Roman" w:hAnsi="Times New Roman" w:cs="Times New Roman"/>
                <w:bCs/>
                <w:szCs w:val="22"/>
              </w:rPr>
            </w:pPr>
            <w:r w:rsidRPr="00D75DB2">
              <w:rPr>
                <w:rStyle w:val="FormatvorlageInstructionsTabelleText"/>
                <w:rFonts w:ascii="Times New Roman" w:hAnsi="Times New Roman"/>
                <w:sz w:val="22"/>
                <w:szCs w:val="22"/>
              </w:rPr>
              <w:t xml:space="preserve">Reglamento (ES) </w:t>
            </w:r>
            <w:r w:rsidRPr="00D75DB2">
              <w:rPr>
                <w:rStyle w:val="FormatvorlageInstructionsTabelleText"/>
                <w:rFonts w:ascii="Times New Roman" w:hAnsi="Times New Roman"/>
                <w:sz w:val="22"/>
                <w:szCs w:val="22"/>
              </w:rPr>
              <w:t>Nr. 575/2013 26 straipsnio 1 dalies d punktas.</w:t>
            </w:r>
          </w:p>
        </w:tc>
      </w:tr>
      <w:tr w:rsidR="000454E8" w:rsidRPr="00D75DB2" w14:paraId="12CB69A6" w14:textId="77777777">
        <w:tc>
          <w:tcPr>
            <w:tcW w:w="1129" w:type="dxa"/>
            <w:vAlign w:val="center"/>
          </w:tcPr>
          <w:p w14:paraId="6CC88ED5"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10</w:t>
            </w:r>
          </w:p>
        </w:tc>
        <w:tc>
          <w:tcPr>
            <w:tcW w:w="7620" w:type="dxa"/>
          </w:tcPr>
          <w:p w14:paraId="651C7D2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Kiti rezervai</w:t>
            </w:r>
          </w:p>
          <w:p w14:paraId="10FA6A6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71D1E44F"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lastRenderedPageBreak/>
              <w:t>Reglamento (ES) Nr. 575/2013 4 straipsnio 1 dalies 117 punktas ir 26 straipsnio 1 dalies e punktas.</w:t>
            </w:r>
          </w:p>
          <w:p w14:paraId="1C30AF8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 xml:space="preserve">Suma atskleidžiama atėmus visus </w:t>
            </w:r>
            <w:r w:rsidRPr="00D75DB2">
              <w:rPr>
                <w:rStyle w:val="FormatvorlageInstructionsTabelleText"/>
                <w:rFonts w:ascii="Times New Roman" w:hAnsi="Times New Roman"/>
                <w:sz w:val="22"/>
                <w:szCs w:val="22"/>
              </w:rPr>
              <w:t>skaičiavimo metu numatomus mokesčius.</w:t>
            </w:r>
          </w:p>
        </w:tc>
      </w:tr>
      <w:tr w:rsidR="000454E8" w:rsidRPr="00D75DB2" w14:paraId="6CDF3549" w14:textId="77777777">
        <w:tc>
          <w:tcPr>
            <w:tcW w:w="1129" w:type="dxa"/>
            <w:vAlign w:val="center"/>
          </w:tcPr>
          <w:p w14:paraId="20A0CC57"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lastRenderedPageBreak/>
              <w:t>11</w:t>
            </w:r>
          </w:p>
        </w:tc>
        <w:tc>
          <w:tcPr>
            <w:tcW w:w="7620" w:type="dxa"/>
          </w:tcPr>
          <w:p w14:paraId="53CBE09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CET1 koregavimai pritaikius prudencinius filtrus</w:t>
            </w:r>
          </w:p>
          <w:p w14:paraId="4F733F5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1352DC6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32–35 straipsniai.</w:t>
            </w:r>
          </w:p>
        </w:tc>
      </w:tr>
      <w:tr w:rsidR="000454E8" w:rsidRPr="00D75DB2" w14:paraId="498C6D54" w14:textId="77777777">
        <w:tc>
          <w:tcPr>
            <w:tcW w:w="1129" w:type="dxa"/>
            <w:vAlign w:val="center"/>
          </w:tcPr>
          <w:p w14:paraId="4A0C1CBE" w14:textId="77777777" w:rsidR="000454E8" w:rsidRPr="00D75DB2" w:rsidRDefault="00D75DB2">
            <w:pPr>
              <w:spacing w:after="120"/>
              <w:jc w:val="both"/>
              <w:rPr>
                <w:rFonts w:ascii="Times New Roman" w:hAnsi="Times New Roman" w:cs="Times New Roman"/>
                <w:color w:val="000000"/>
                <w:szCs w:val="22"/>
              </w:rPr>
            </w:pPr>
            <w:r w:rsidRPr="00D75DB2">
              <w:rPr>
                <w:rFonts w:ascii="Times New Roman" w:hAnsi="Times New Roman"/>
                <w:color w:val="000000"/>
                <w:szCs w:val="22"/>
              </w:rPr>
              <w:t>12</w:t>
            </w:r>
          </w:p>
        </w:tc>
        <w:tc>
          <w:tcPr>
            <w:tcW w:w="7620" w:type="dxa"/>
          </w:tcPr>
          <w:p w14:paraId="4DB77C2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Kitos lėšos</w:t>
            </w:r>
          </w:p>
          <w:p w14:paraId="13233A9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 xml:space="preserve">Reglamento (ES) 2019/2033 </w:t>
            </w:r>
            <w:r w:rsidRPr="00D75DB2">
              <w:rPr>
                <w:rFonts w:ascii="Times New Roman" w:hAnsi="Times New Roman"/>
                <w:bCs/>
                <w:szCs w:val="22"/>
              </w:rPr>
              <w:t>9 straipsnio 4 dalis.</w:t>
            </w:r>
          </w:p>
        </w:tc>
      </w:tr>
      <w:tr w:rsidR="000454E8" w:rsidRPr="00D75DB2" w14:paraId="0FB7F66C" w14:textId="77777777">
        <w:tc>
          <w:tcPr>
            <w:tcW w:w="1129" w:type="dxa"/>
            <w:vAlign w:val="center"/>
          </w:tcPr>
          <w:p w14:paraId="2B4B169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13</w:t>
            </w:r>
          </w:p>
        </w:tc>
        <w:tc>
          <w:tcPr>
            <w:tcW w:w="7620" w:type="dxa"/>
          </w:tcPr>
          <w:p w14:paraId="7AAF82D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BENDRA ATSKAITYMŲ IŠ BENDRO 1 LYGIO NUOSAVO KAPITALO SUMA</w:t>
            </w:r>
          </w:p>
          <w:p w14:paraId="3A3B4AF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Atskleidžiama bendra 14–23 eilučių verčių suma.</w:t>
            </w:r>
          </w:p>
        </w:tc>
      </w:tr>
      <w:tr w:rsidR="000454E8" w:rsidRPr="00D75DB2" w14:paraId="67D83AF7" w14:textId="77777777">
        <w:tc>
          <w:tcPr>
            <w:tcW w:w="1129" w:type="dxa"/>
            <w:vAlign w:val="center"/>
          </w:tcPr>
          <w:p w14:paraId="1F75370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14</w:t>
            </w:r>
          </w:p>
        </w:tc>
        <w:tc>
          <w:tcPr>
            <w:tcW w:w="7620" w:type="dxa"/>
            <w:shd w:val="clear" w:color="auto" w:fill="auto"/>
          </w:tcPr>
          <w:p w14:paraId="6ECD887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CET1 priemonės</w:t>
            </w:r>
          </w:p>
          <w:p w14:paraId="5DF95DE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2934500"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36 straipsnio 1 dalies f punktas ir 42 straipsnis.</w:t>
            </w:r>
          </w:p>
          <w:p w14:paraId="26CAD6AF"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Informaciją teikiančios įstaigos arba grupės ataskaitinę datą turimos nuosavos CET1 priemonės. Taikant Reglamento (ES) Nr. 575/2013 42 straipsnyje nustatytas išimtis.</w:t>
            </w:r>
          </w:p>
          <w:p w14:paraId="4E9ACE9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Turimos akcijos, priskirt</w:t>
            </w:r>
            <w:r w:rsidRPr="00D75DB2">
              <w:rPr>
                <w:rStyle w:val="FormatvorlageInstructionsTabelleText"/>
                <w:rFonts w:ascii="Times New Roman" w:hAnsi="Times New Roman"/>
                <w:sz w:val="22"/>
              </w:rPr>
              <w:t>os prie „Reikalavimų neatitinkančių kapitalo priemonių“, šioje eilutėje nenurodomos.</w:t>
            </w:r>
          </w:p>
          <w:p w14:paraId="23F36619"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Į atskleidžiamą sumą įskaičiuojami su savomis akcijomis susiję akcijų priedai.</w:t>
            </w:r>
          </w:p>
          <w:p w14:paraId="4BA08341" w14:textId="77777777" w:rsidR="000454E8" w:rsidRPr="00D75DB2" w:rsidRDefault="000454E8">
            <w:pPr>
              <w:pStyle w:val="InstructionsText"/>
            </w:pPr>
          </w:p>
        </w:tc>
      </w:tr>
      <w:tr w:rsidR="000454E8" w:rsidRPr="00D75DB2" w14:paraId="1DEF6607" w14:textId="77777777">
        <w:tc>
          <w:tcPr>
            <w:tcW w:w="1129" w:type="dxa"/>
            <w:vAlign w:val="center"/>
          </w:tcPr>
          <w:p w14:paraId="6D5AF43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57BDB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Einamųjų finansinių metų nuostoliai</w:t>
            </w:r>
          </w:p>
          <w:p w14:paraId="221515B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 xml:space="preserve">Reglamento (ES) Nr. 575/2013 </w:t>
            </w:r>
            <w:r w:rsidRPr="00D75DB2">
              <w:rPr>
                <w:rFonts w:ascii="Times New Roman" w:hAnsi="Times New Roman"/>
                <w:szCs w:val="22"/>
              </w:rPr>
              <w:t>36 straipsnio 1 dalies a punktas.</w:t>
            </w:r>
          </w:p>
        </w:tc>
      </w:tr>
      <w:tr w:rsidR="000454E8" w:rsidRPr="00D75DB2" w14:paraId="4CA046B6" w14:textId="77777777">
        <w:tc>
          <w:tcPr>
            <w:tcW w:w="1129" w:type="dxa"/>
            <w:vAlign w:val="center"/>
          </w:tcPr>
          <w:p w14:paraId="0429CBC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7B2B5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Prestižas</w:t>
            </w:r>
          </w:p>
          <w:p w14:paraId="5A3B971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3B1FC39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Reglamento (ES) Nr. 575/2013 4 straipsnio 1 dalies 113 punktas, 36 straipsnio 1 dalies b punktas ir 37 straipsnis.</w:t>
            </w:r>
          </w:p>
        </w:tc>
      </w:tr>
      <w:tr w:rsidR="000454E8" w:rsidRPr="00D75DB2" w14:paraId="0E4B1BB5" w14:textId="77777777">
        <w:tc>
          <w:tcPr>
            <w:tcW w:w="1129" w:type="dxa"/>
            <w:vAlign w:val="center"/>
          </w:tcPr>
          <w:p w14:paraId="3BC5847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76B21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Kitas </w:t>
            </w:r>
            <w:r w:rsidRPr="00D75DB2">
              <w:rPr>
                <w:rFonts w:ascii="Times New Roman" w:hAnsi="Times New Roman"/>
                <w:b/>
                <w:bCs/>
                <w:szCs w:val="22"/>
                <w:u w:val="single"/>
              </w:rPr>
              <w:t>nematerialusis turtas</w:t>
            </w:r>
          </w:p>
          <w:p w14:paraId="1B9B5B2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32039FA3"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575/2013 4 straipsnio 1 dalies 115 punktas, 36 straipsnio 1 dalies b punktas ir 37 straipsnio a punktas.</w:t>
            </w:r>
          </w:p>
          <w:p w14:paraId="500FEED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Kitas nematerialusis turtas – nematerialusis turta</w:t>
            </w:r>
            <w:r w:rsidRPr="00D75DB2">
              <w:rPr>
                <w:rStyle w:val="FormatvorlageInstructionsTabelleText"/>
                <w:rFonts w:ascii="Times New Roman" w:hAnsi="Times New Roman"/>
                <w:sz w:val="22"/>
                <w:szCs w:val="22"/>
              </w:rPr>
              <w:t>s pagal taikytiną apskaitos standartą, atėmus prestižą (taip pat pagal taikomą apskaitos standartą).</w:t>
            </w:r>
          </w:p>
        </w:tc>
      </w:tr>
      <w:tr w:rsidR="000454E8" w:rsidRPr="00D75DB2" w14:paraId="4EAF556F" w14:textId="77777777">
        <w:tc>
          <w:tcPr>
            <w:tcW w:w="1129" w:type="dxa"/>
            <w:vAlign w:val="center"/>
          </w:tcPr>
          <w:p w14:paraId="7272A18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ACA44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Atidėtųjų mokesčių turtas, kuris priklauso nuo būsimo pelningumo ir susidaro ne dėl laikinųjų skirtumų, atėmus susijusius atidėtųjų mokesčių įsipar</w:t>
            </w:r>
            <w:r w:rsidRPr="00D75DB2">
              <w:rPr>
                <w:rFonts w:ascii="Times New Roman" w:hAnsi="Times New Roman"/>
                <w:b/>
                <w:bCs/>
                <w:szCs w:val="22"/>
                <w:u w:val="single"/>
              </w:rPr>
              <w:t>eigojimus</w:t>
            </w:r>
          </w:p>
          <w:p w14:paraId="2426C34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a punktas.</w:t>
            </w:r>
          </w:p>
          <w:p w14:paraId="7E1D8CCB"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c punktas.</w:t>
            </w:r>
          </w:p>
        </w:tc>
      </w:tr>
      <w:tr w:rsidR="000454E8" w:rsidRPr="00D75DB2" w14:paraId="4FA48FC8" w14:textId="77777777">
        <w:tc>
          <w:tcPr>
            <w:tcW w:w="1129" w:type="dxa"/>
            <w:vAlign w:val="center"/>
          </w:tcPr>
          <w:p w14:paraId="376D6FB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7C64C5DA"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Ne finansų sektoriaus įmonės kvalifikuotoji akcijų paketo dalis, viršijanti 15 % nuosavų lėšų</w:t>
            </w:r>
          </w:p>
          <w:p w14:paraId="410749B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w:t>
            </w:r>
            <w:r w:rsidRPr="00D75DB2">
              <w:rPr>
                <w:rFonts w:ascii="Times New Roman" w:hAnsi="Times New Roman"/>
                <w:bCs/>
                <w:szCs w:val="22"/>
              </w:rPr>
              <w:t>2019/2033 10 straipsnio 1 dalies a punktas.</w:t>
            </w:r>
          </w:p>
        </w:tc>
      </w:tr>
      <w:tr w:rsidR="000454E8" w:rsidRPr="00D75DB2" w14:paraId="327C0406" w14:textId="77777777">
        <w:tc>
          <w:tcPr>
            <w:tcW w:w="1129" w:type="dxa"/>
            <w:vAlign w:val="center"/>
          </w:tcPr>
          <w:p w14:paraId="772CC75E"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lastRenderedPageBreak/>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BE94794"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Įmonių, kurios nėra finansų sektoriaus subjektai, kvalifikuotųjų akcijų paketo dalių bendra suma, viršijanti 60 % įmonės nuosavų lėšų</w:t>
            </w:r>
          </w:p>
          <w:p w14:paraId="0F6BB7E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2019/2033 10 straipsnio 1 dalies b punktas.</w:t>
            </w:r>
          </w:p>
        </w:tc>
      </w:tr>
      <w:tr w:rsidR="000454E8" w:rsidRPr="00D75DB2" w14:paraId="0E245266" w14:textId="77777777">
        <w:tc>
          <w:tcPr>
            <w:tcW w:w="1129" w:type="dxa"/>
            <w:vAlign w:val="center"/>
          </w:tcPr>
          <w:p w14:paraId="5AB3167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72E87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w:t>
            </w:r>
            <w:r w:rsidRPr="00D75DB2">
              <w:rPr>
                <w:rFonts w:ascii="Times New Roman" w:hAnsi="Times New Roman"/>
                <w:b/>
                <w:bCs/>
                <w:szCs w:val="22"/>
                <w:u w:val="single"/>
              </w:rPr>
              <w:t>nansų sektoriaus subjektų, kuriuose įstaiga neturi reikšmingų investicijų, CET1 priemonės</w:t>
            </w:r>
          </w:p>
          <w:p w14:paraId="0A4C1CE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c punktas.</w:t>
            </w:r>
          </w:p>
          <w:p w14:paraId="24FCB7C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h punktas.</w:t>
            </w:r>
          </w:p>
        </w:tc>
      </w:tr>
      <w:tr w:rsidR="000454E8" w:rsidRPr="00D75DB2" w14:paraId="0B2FFFCF" w14:textId="77777777">
        <w:tc>
          <w:tcPr>
            <w:tcW w:w="1129" w:type="dxa"/>
            <w:vAlign w:val="center"/>
          </w:tcPr>
          <w:p w14:paraId="2279D07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406FE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xml:space="preserve">(−) Nustatytų išmokų pensijų fondo </w:t>
            </w:r>
            <w:r w:rsidRPr="00D75DB2">
              <w:rPr>
                <w:rFonts w:ascii="Times New Roman" w:hAnsi="Times New Roman"/>
                <w:b/>
                <w:bCs/>
                <w:szCs w:val="22"/>
                <w:u w:val="single"/>
              </w:rPr>
              <w:t>turtas</w:t>
            </w:r>
          </w:p>
          <w:p w14:paraId="6110D91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2 dalies b punktas.</w:t>
            </w:r>
          </w:p>
          <w:p w14:paraId="5E66073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36 straipsnio 1 dalies e punktas.</w:t>
            </w:r>
          </w:p>
        </w:tc>
      </w:tr>
      <w:tr w:rsidR="000454E8" w:rsidRPr="00D75DB2" w14:paraId="01AEC325" w14:textId="77777777">
        <w:tc>
          <w:tcPr>
            <w:tcW w:w="1129" w:type="dxa"/>
            <w:vAlign w:val="center"/>
          </w:tcPr>
          <w:p w14:paraId="4B75637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75C01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Kiti atskaitymai</w:t>
            </w:r>
          </w:p>
          <w:p w14:paraId="4D56455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szCs w:val="22"/>
              </w:rPr>
              <w:t>Visų kitų atskaitymų, išvardytų Reglamento (ES) Nr. 575/2013 36 straipsnio 1 dalyje, suma.</w:t>
            </w:r>
          </w:p>
        </w:tc>
      </w:tr>
      <w:tr w:rsidR="000454E8" w:rsidRPr="00D75DB2" w14:paraId="1F711CCC" w14:textId="77777777">
        <w:tc>
          <w:tcPr>
            <w:tcW w:w="1129" w:type="dxa"/>
          </w:tcPr>
          <w:p w14:paraId="2881202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CBC785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CET1. K</w:t>
            </w:r>
            <w:r w:rsidRPr="00D75DB2">
              <w:rPr>
                <w:rFonts w:ascii="Times New Roman" w:hAnsi="Times New Roman"/>
                <w:b/>
                <w:bCs/>
                <w:szCs w:val="22"/>
                <w:u w:val="single"/>
              </w:rPr>
              <w:t>iti kapitalo elementai, atskaitymai ir koregavimai</w:t>
            </w:r>
          </w:p>
          <w:p w14:paraId="6561036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55CCA55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CET1 kapitalo priemonių, kurioms taikomas tęstinumo principas (Reglamento (ES) Nr. 575/2013 </w:t>
            </w:r>
            <w:r w:rsidRPr="00D75DB2">
              <w:rPr>
                <w:rFonts w:ascii="Times New Roman" w:hAnsi="Times New Roman"/>
                <w:bCs/>
              </w:rPr>
              <w:t>483 straipsnio 1, 2 ir 3 dalys ir 484–487 straipsniai);</w:t>
            </w:r>
          </w:p>
          <w:p w14:paraId="26EFDE69"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CET1 kapitalo pereinamojo laikotarpio koregavimai (Reglamento (ES) Nr. 575/2013 469–478 ir 481 straipsniai): atskaitymų iš CET1 koregavimai dėl pereinamojo laikotarpio nuostatų;</w:t>
            </w:r>
          </w:p>
          <w:p w14:paraId="5B3439E2" w14:textId="77777777" w:rsidR="000454E8" w:rsidRPr="00D75DB2" w:rsidRDefault="00D75DB2">
            <w:pPr>
              <w:spacing w:after="120"/>
              <w:ind w:left="360" w:hanging="360"/>
              <w:contextualSpacing/>
              <w:jc w:val="both"/>
              <w:rPr>
                <w:rFonts w:ascii="Times New Roman" w:eastAsia="Times New Roman" w:hAnsi="Times New Roman"/>
                <w:b/>
                <w:bCs/>
                <w:u w:val="single"/>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kiti CET1 </w:t>
            </w:r>
            <w:r w:rsidRPr="00D75DB2">
              <w:rPr>
                <w:rFonts w:ascii="Times New Roman" w:hAnsi="Times New Roman"/>
                <w:bCs/>
              </w:rPr>
              <w:t>kapitalo elementai arba atskaitymai iš CET1 elemento, kurie negali būti priskirti prie vienos iš 4–23 eilučių.</w:t>
            </w:r>
          </w:p>
          <w:p w14:paraId="7D9D87D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eilutės negalima naudoti kapitalo straipsniams ar atskaitymams, kuriems netaikomas Reglamentas (ES) 2019/2033 arba Reglamentas (ES) Nr. 575/</w:t>
            </w:r>
            <w:r w:rsidRPr="00D75DB2">
              <w:rPr>
                <w:rFonts w:ascii="Times New Roman" w:hAnsi="Times New Roman"/>
                <w:bCs/>
                <w:szCs w:val="22"/>
              </w:rPr>
              <w:t>2013, įtraukti į mokumo koeficientų skaičiavimus.</w:t>
            </w:r>
          </w:p>
        </w:tc>
      </w:tr>
      <w:tr w:rsidR="000454E8" w:rsidRPr="00D75DB2" w14:paraId="47A3883D" w14:textId="77777777">
        <w:tc>
          <w:tcPr>
            <w:tcW w:w="1129" w:type="dxa"/>
          </w:tcPr>
          <w:p w14:paraId="516A81E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E06FCF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w:t>
            </w:r>
          </w:p>
          <w:p w14:paraId="6D23A5C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p>
          <w:p w14:paraId="0B9CEFD0" w14:textId="77777777" w:rsidR="000454E8" w:rsidRPr="00D75DB2" w:rsidRDefault="00D75DB2">
            <w:pPr>
              <w:spacing w:after="120"/>
              <w:jc w:val="both"/>
              <w:rPr>
                <w:rFonts w:ascii="Times New Roman" w:hAnsi="Times New Roman" w:cs="Times New Roman"/>
                <w:szCs w:val="22"/>
              </w:rPr>
            </w:pPr>
            <w:r w:rsidRPr="00D75DB2">
              <w:rPr>
                <w:rFonts w:ascii="Times New Roman" w:hAnsi="Times New Roman"/>
                <w:szCs w:val="22"/>
              </w:rPr>
              <w:t>Reglamento (ES) Nr. 575/2013 61 straipsnis.</w:t>
            </w:r>
          </w:p>
          <w:p w14:paraId="1EA8AA8C"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Atskleidžiama bendra 26–28 ir 32 eilučių verčių suma.</w:t>
            </w:r>
          </w:p>
        </w:tc>
      </w:tr>
      <w:tr w:rsidR="000454E8" w:rsidRPr="00D75DB2" w14:paraId="399851EB" w14:textId="77777777">
        <w:tc>
          <w:tcPr>
            <w:tcW w:w="1129" w:type="dxa"/>
          </w:tcPr>
          <w:p w14:paraId="67AE5BA8"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FF318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Apmokėtos kapitalo prie</w:t>
            </w:r>
            <w:r w:rsidRPr="00D75DB2">
              <w:rPr>
                <w:rFonts w:ascii="Times New Roman" w:hAnsi="Times New Roman"/>
                <w:b/>
                <w:bCs/>
                <w:szCs w:val="22"/>
                <w:u w:val="single"/>
              </w:rPr>
              <w:t>monės</w:t>
            </w:r>
          </w:p>
          <w:p w14:paraId="271B8DF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721FD9E"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51 straipsnio a punktas, 52, 53 ir 54 straipsniai.</w:t>
            </w:r>
          </w:p>
          <w:p w14:paraId="1E0B7BC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priedai neįskaičiuojami.</w:t>
            </w:r>
          </w:p>
        </w:tc>
      </w:tr>
      <w:tr w:rsidR="000454E8" w:rsidRPr="00D75DB2" w14:paraId="0A070FA8" w14:textId="77777777">
        <w:tc>
          <w:tcPr>
            <w:tcW w:w="1129" w:type="dxa"/>
          </w:tcPr>
          <w:p w14:paraId="238B68E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45540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1CB50A5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859E911"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Reglamento (ES) Nr. 575/2013 51 straipsnio b punktas.</w:t>
            </w:r>
          </w:p>
          <w:p w14:paraId="5C4F25FD"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63713B9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Šiame straipsnyje atskleistina sumos dalis, su</w:t>
            </w:r>
            <w:r w:rsidRPr="00D75DB2">
              <w:rPr>
                <w:rStyle w:val="FormatvorlageInstructionsTabelleText"/>
                <w:rFonts w:ascii="Times New Roman" w:hAnsi="Times New Roman"/>
                <w:sz w:val="22"/>
                <w:szCs w:val="22"/>
              </w:rPr>
              <w:t>sijusi su „Apmokėtomis kapitalo priemonėmis“.</w:t>
            </w:r>
          </w:p>
        </w:tc>
      </w:tr>
      <w:tr w:rsidR="000454E8" w:rsidRPr="00D75DB2" w14:paraId="04DD7D0E" w14:textId="77777777">
        <w:tc>
          <w:tcPr>
            <w:tcW w:w="1129" w:type="dxa"/>
          </w:tcPr>
          <w:p w14:paraId="4BF05BA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lastRenderedPageBreak/>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F9C5C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BENDRA ATSKAITYMŲ IŠ PAPILDOMO 1 LYGIO KAPITALO SUMA</w:t>
            </w:r>
          </w:p>
          <w:p w14:paraId="2F262E07" w14:textId="77777777" w:rsidR="000454E8" w:rsidRPr="00D75DB2" w:rsidRDefault="00D75DB2">
            <w:pPr>
              <w:spacing w:before="60" w:after="60"/>
              <w:rPr>
                <w:rFonts w:ascii="Times New Roman" w:hAnsi="Times New Roman" w:cs="Times New Roman"/>
                <w:szCs w:val="22"/>
              </w:rPr>
            </w:pPr>
            <w:r w:rsidRPr="00D75DB2">
              <w:rPr>
                <w:rFonts w:ascii="Times New Roman" w:hAnsi="Times New Roman"/>
                <w:szCs w:val="22"/>
              </w:rPr>
              <w:t>Reglamento (ES) Nr. 575/2013 56 straipsnis.</w:t>
            </w:r>
          </w:p>
          <w:p w14:paraId="66C0933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Atskleidžiama bendra 29–31 eilučių verčių suma.</w:t>
            </w:r>
          </w:p>
        </w:tc>
      </w:tr>
      <w:tr w:rsidR="000454E8" w:rsidRPr="00D75DB2" w14:paraId="73FB6E86" w14:textId="77777777">
        <w:tc>
          <w:tcPr>
            <w:tcW w:w="1129" w:type="dxa"/>
          </w:tcPr>
          <w:p w14:paraId="4013392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84A0C7"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AT1 priemonės</w:t>
            </w:r>
          </w:p>
          <w:p w14:paraId="4718C5B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w:t>
            </w:r>
            <w:r w:rsidRPr="00D75DB2">
              <w:rPr>
                <w:rFonts w:ascii="Times New Roman" w:hAnsi="Times New Roman"/>
                <w:bCs/>
                <w:szCs w:val="22"/>
              </w:rPr>
              <w:t>2019/2033 9 straipsnio 1 dalies i punktas.</w:t>
            </w:r>
          </w:p>
          <w:p w14:paraId="1C64D126"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Reglamento (ES) Nr. 575/2013 52 straipsnio 1 dalies b punktas, 56 straipsnio a punktas ir 57 straipsnis.</w:t>
            </w:r>
          </w:p>
          <w:p w14:paraId="62B85AF8"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Investicinės įmonės ataskaitinę datą turimos nuosavos AT1 priemonės. Taikant Reglamento (ES) Nr. 575/2013 57</w:t>
            </w:r>
            <w:r w:rsidRPr="00D75DB2">
              <w:rPr>
                <w:rStyle w:val="FormatvorlageInstructionsTabelleText"/>
                <w:rFonts w:ascii="Times New Roman" w:hAnsi="Times New Roman"/>
                <w:sz w:val="22"/>
              </w:rPr>
              <w:t> straipsnyje nustatytas išimtis.</w:t>
            </w:r>
          </w:p>
          <w:p w14:paraId="5586D6D3"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Į atskleidžiamą sumą įskaičiuojami su savomis akcijomis susiję akcijų priedai.</w:t>
            </w:r>
          </w:p>
          <w:p w14:paraId="30EC4AB9" w14:textId="77777777" w:rsidR="000454E8" w:rsidRPr="00D75DB2" w:rsidRDefault="000454E8">
            <w:pPr>
              <w:pStyle w:val="InstructionsText"/>
            </w:pPr>
          </w:p>
        </w:tc>
      </w:tr>
      <w:tr w:rsidR="000454E8" w:rsidRPr="00D75DB2" w14:paraId="69CFB487" w14:textId="77777777">
        <w:tc>
          <w:tcPr>
            <w:tcW w:w="1129" w:type="dxa"/>
          </w:tcPr>
          <w:p w14:paraId="0FCC0A49"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B352E3"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neturi reikšmingų investicijų, AT1 priemonės</w:t>
            </w:r>
          </w:p>
          <w:p w14:paraId="777F8310"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 xml:space="preserve">Reglamento (ES) 2019/2033 </w:t>
            </w:r>
            <w:r w:rsidRPr="00D75DB2">
              <w:rPr>
                <w:rFonts w:ascii="Times New Roman" w:hAnsi="Times New Roman"/>
                <w:bCs/>
                <w:szCs w:val="22"/>
              </w:rPr>
              <w:t>9 straipsnio 2 dalies c punktas.</w:t>
            </w:r>
          </w:p>
          <w:p w14:paraId="71D3EA48"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56 straipsnio c punktas.</w:t>
            </w:r>
          </w:p>
        </w:tc>
      </w:tr>
      <w:tr w:rsidR="000454E8" w:rsidRPr="00D75DB2" w14:paraId="3F33F2AB" w14:textId="77777777">
        <w:tc>
          <w:tcPr>
            <w:tcW w:w="1129" w:type="dxa"/>
          </w:tcPr>
          <w:p w14:paraId="604DA04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D0B43C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Kiti atskaitymai</w:t>
            </w:r>
          </w:p>
          <w:p w14:paraId="5432E2CF"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Visų kitų atskaitymų pagal Reglamento (ES) Nr. 575/2013 56 straipsnį (išskyrus atskaitymus pagal Reglamento (ES) Nr. 575/2013 56 straipsnio d pu</w:t>
            </w:r>
            <w:r w:rsidRPr="00D75DB2">
              <w:rPr>
                <w:rFonts w:ascii="Times New Roman" w:hAnsi="Times New Roman"/>
                <w:bCs/>
                <w:szCs w:val="22"/>
              </w:rPr>
              <w:t>nktą), neįtrauktų nei į 0340, nei į 0380 eilutę, suma.</w:t>
            </w:r>
          </w:p>
        </w:tc>
      </w:tr>
      <w:tr w:rsidR="000454E8" w:rsidRPr="00D75DB2" w14:paraId="334FFA26" w14:textId="77777777">
        <w:tc>
          <w:tcPr>
            <w:tcW w:w="1129" w:type="dxa"/>
          </w:tcPr>
          <w:p w14:paraId="46F1714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7944F0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Papildomas 1 lygio kapitalas. Kiti kapitalo elementai, atskaitymai ir koregavimai</w:t>
            </w:r>
          </w:p>
          <w:p w14:paraId="4FA8478F"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05CE2380"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pereinamojo laikotarpio koregavimai dėl AT1 </w:t>
            </w:r>
            <w:r w:rsidRPr="00D75DB2">
              <w:rPr>
                <w:rFonts w:ascii="Times New Roman" w:hAnsi="Times New Roman"/>
                <w:bCs/>
              </w:rPr>
              <w:t>kapitalo priemonių, kurioms taikomas tęstinumo principas (Reglamento (ES) Nr. 575/2013 483 straipsnio 4 ir 5 dalys, 484–487 straipsniai, 489 ir 491 straipsniai);</w:t>
            </w:r>
          </w:p>
          <w:p w14:paraId="5034A437"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pereinamojo laikotarpio koregavimai (Reglamento (ES) Nr. 575/2013 472, 473</w:t>
            </w:r>
            <w:r w:rsidRPr="00D75DB2">
              <w:rPr>
                <w:rFonts w:ascii="Times New Roman" w:hAnsi="Times New Roman"/>
                <w:bCs/>
              </w:rPr>
              <w:t>a, 474, 475, 478 ir 481 straipsniai): atskaitymų koregavimai dėl pereinamojo laikotarpio nuostatų;</w:t>
            </w:r>
          </w:p>
          <w:p w14:paraId="0E8CAD19"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 xml:space="preserve">atskaitymų iš AT1 straipsnių, viršijančių AT1 kapitalą, suma, atskaitoma iš CET1 pagal Reglamento (ES) Nr. 575/2013 36 straipsnio 1 dalies j punktą: </w:t>
            </w:r>
            <w:r w:rsidRPr="00D75DB2">
              <w:rPr>
                <w:rFonts w:ascii="Times New Roman" w:hAnsi="Times New Roman"/>
                <w:bCs/>
              </w:rPr>
              <w:t>papildomo 1 lygio kapitalo vertė negali būti neigiama, bet gali būti, kad atskaitymai iš AT1 straipsnių viršija turimų AT1 straipsnių sumą. Tokiu atveju šiame straipsnyje nurodoma suma, kurios reikia 0300 eilutėje nurodytai sumai padidinti iki nulio ir kur</w:t>
            </w:r>
            <w:r w:rsidRPr="00D75DB2">
              <w:rPr>
                <w:rFonts w:ascii="Times New Roman" w:hAnsi="Times New Roman"/>
                <w:bCs/>
              </w:rPr>
              <w:t>i lygi atskaitymų iš AT1 straipsnių, viršijančių AT1 kapitalą, įtrauktų, be kitų atskaitymų, į 23 eilutę, atvirkštinei vertei;</w:t>
            </w:r>
          </w:p>
          <w:p w14:paraId="45D946C3"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AT1 kapitalo elementai arba atskaitymai iš AT1 elemento, kurie negali būti priskirti prie vienos iš 26–31 eilučių.</w:t>
            </w:r>
          </w:p>
          <w:p w14:paraId="3B7C86E6"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Šios ei</w:t>
            </w:r>
            <w:r w:rsidRPr="00D75DB2">
              <w:rPr>
                <w:rFonts w:ascii="Times New Roman" w:hAnsi="Times New Roman"/>
                <w:bCs/>
                <w:szCs w:val="22"/>
              </w:rPr>
              <w:t>lutės negalima naudoti kapitalo straipsniams ar atskaitymams, kuriems netaikomas Reglamentas (ES) 2019/2033 arba Reglamentas (ES) Nr. 575/2013, įtraukti į mokumo koeficientų skaičiavimus.</w:t>
            </w:r>
          </w:p>
        </w:tc>
      </w:tr>
      <w:tr w:rsidR="000454E8" w:rsidRPr="00D75DB2" w14:paraId="31F17E4C" w14:textId="77777777">
        <w:tc>
          <w:tcPr>
            <w:tcW w:w="1129" w:type="dxa"/>
          </w:tcPr>
          <w:p w14:paraId="1E3C606B"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D4BAFD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w:t>
            </w:r>
          </w:p>
          <w:p w14:paraId="2BA5326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dalis</w:t>
            </w:r>
            <w:r w:rsidRPr="00D75DB2">
              <w:rPr>
                <w:rFonts w:ascii="Times New Roman" w:hAnsi="Times New Roman"/>
                <w:bCs/>
                <w:szCs w:val="22"/>
              </w:rPr>
              <w:t>.</w:t>
            </w:r>
          </w:p>
          <w:p w14:paraId="7B8A8F52" w14:textId="77777777" w:rsidR="000454E8" w:rsidRPr="00D75DB2" w:rsidRDefault="00D75DB2">
            <w:pPr>
              <w:spacing w:after="120"/>
              <w:jc w:val="both"/>
              <w:rPr>
                <w:rStyle w:val="FormatvorlageInstructionsTabelleText"/>
                <w:rFonts w:ascii="Times New Roman" w:hAnsi="Times New Roman"/>
                <w:sz w:val="22"/>
                <w:szCs w:val="22"/>
              </w:rPr>
            </w:pPr>
            <w:r w:rsidRPr="00D75DB2">
              <w:rPr>
                <w:rStyle w:val="FormatvorlageInstructionsTabelleText"/>
                <w:rFonts w:ascii="Times New Roman" w:hAnsi="Times New Roman"/>
                <w:sz w:val="22"/>
                <w:szCs w:val="22"/>
              </w:rPr>
              <w:t>Reglamento (ES) Nr. 575/2013 71 straipsnis.</w:t>
            </w:r>
          </w:p>
          <w:p w14:paraId="0DA94610" w14:textId="77777777" w:rsidR="000454E8" w:rsidRPr="00D75DB2" w:rsidRDefault="00D75DB2">
            <w:pPr>
              <w:pStyle w:val="CommentText"/>
              <w:rPr>
                <w:sz w:val="22"/>
                <w:szCs w:val="22"/>
              </w:rPr>
            </w:pPr>
            <w:r w:rsidRPr="00D75DB2">
              <w:rPr>
                <w:rStyle w:val="FormatvorlageInstructionsTabelleText"/>
                <w:rFonts w:ascii="Times New Roman" w:hAnsi="Times New Roman"/>
                <w:sz w:val="22"/>
                <w:szCs w:val="22"/>
              </w:rPr>
              <w:t>Atskleidžiama</w:t>
            </w:r>
            <w:r w:rsidRPr="00D75DB2">
              <w:rPr>
                <w:rFonts w:ascii="Times New Roman" w:hAnsi="Times New Roman"/>
                <w:bCs/>
                <w:sz w:val="22"/>
                <w:szCs w:val="22"/>
              </w:rPr>
              <w:t xml:space="preserve"> bendra 34–36 ir 39 eilučių verčių suma.</w:t>
            </w:r>
          </w:p>
        </w:tc>
      </w:tr>
      <w:tr w:rsidR="000454E8" w:rsidRPr="00D75DB2" w14:paraId="5A102BE2" w14:textId="77777777">
        <w:tc>
          <w:tcPr>
            <w:tcW w:w="1129" w:type="dxa"/>
          </w:tcPr>
          <w:p w14:paraId="1887031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lastRenderedPageBreak/>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8DC51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Visiškai apmokėtos tiesiogiai išleistos kapitalo priemonės</w:t>
            </w:r>
          </w:p>
          <w:p w14:paraId="6FCF17B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76CD93D4" w14:textId="77777777" w:rsidR="000454E8" w:rsidRPr="00D75DB2" w:rsidRDefault="00D75DB2">
            <w:pPr>
              <w:pStyle w:val="InstructionsText"/>
              <w:rPr>
                <w:rStyle w:val="FormatvorlageInstructionsTabelleText"/>
                <w:rFonts w:ascii="Times New Roman" w:eastAsiaTheme="minorHAnsi" w:hAnsi="Times New Roman"/>
                <w:bCs/>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62 straipsnio a punktas, 63 ir 65 straipsniai.</w:t>
            </w:r>
          </w:p>
          <w:p w14:paraId="47AD2FD0"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Style w:val="FormatvorlageInstructionsTabelleText"/>
                <w:rFonts w:ascii="Times New Roman" w:hAnsi="Times New Roman"/>
                <w:sz w:val="22"/>
                <w:szCs w:val="22"/>
              </w:rPr>
              <w:t>Į atskleidžiamą sumą su tomis priemonėmis susiję akcijų priedai neįskaičiuojami.</w:t>
            </w:r>
          </w:p>
        </w:tc>
      </w:tr>
      <w:tr w:rsidR="000454E8" w:rsidRPr="00D75DB2" w14:paraId="117C00C1" w14:textId="77777777">
        <w:tc>
          <w:tcPr>
            <w:tcW w:w="1129" w:type="dxa"/>
          </w:tcPr>
          <w:p w14:paraId="3970577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D84C5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Akcijų priedai</w:t>
            </w:r>
          </w:p>
          <w:p w14:paraId="75F4A25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450467BA"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w:t>
            </w:r>
            <w:r w:rsidRPr="00D75DB2">
              <w:rPr>
                <w:rStyle w:val="FormatvorlageInstructionsTabelleText"/>
                <w:rFonts w:ascii="Times New Roman" w:hAnsi="Times New Roman"/>
                <w:sz w:val="22"/>
              </w:rPr>
              <w:t>Nr. 575/2013 62 straipsnio b punktas ir 65 straipsnis.</w:t>
            </w:r>
          </w:p>
          <w:p w14:paraId="550C241C"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Sąvokos „akcijų priedai“ reikšmė yra tokia pati, kaip apibrėžta taikytiname apskaitos standarte.</w:t>
            </w:r>
          </w:p>
          <w:p w14:paraId="4DD22255" w14:textId="77777777" w:rsidR="000454E8" w:rsidRPr="00D75DB2" w:rsidRDefault="00D75DB2">
            <w:pPr>
              <w:pStyle w:val="InstructionsText"/>
            </w:pPr>
            <w:r w:rsidRPr="00D75DB2">
              <w:rPr>
                <w:rStyle w:val="FormatvorlageInstructionsTabelleText"/>
                <w:rFonts w:ascii="Times New Roman" w:hAnsi="Times New Roman"/>
                <w:sz w:val="22"/>
              </w:rPr>
              <w:t>Šiame straipsnyje atskleistina sumos dalis, susijusi su „Apmokėtomis kapitalo priemonėmis“.</w:t>
            </w:r>
          </w:p>
        </w:tc>
      </w:tr>
      <w:tr w:rsidR="000454E8" w:rsidRPr="00D75DB2" w14:paraId="01D1E609" w14:textId="77777777">
        <w:tc>
          <w:tcPr>
            <w:tcW w:w="1129" w:type="dxa"/>
          </w:tcPr>
          <w:p w14:paraId="5D35B8D7"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100E9F1"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BEND</w:t>
            </w:r>
            <w:r w:rsidRPr="00D75DB2">
              <w:rPr>
                <w:rFonts w:ascii="Times New Roman" w:hAnsi="Times New Roman"/>
                <w:b/>
                <w:bCs/>
                <w:szCs w:val="22"/>
                <w:u w:val="single"/>
              </w:rPr>
              <w:t>RA ATSKAITYMŲ IŠ 2 LYGIO KAPITALO SUMA</w:t>
            </w:r>
          </w:p>
          <w:p w14:paraId="4B1BBA96"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szCs w:val="22"/>
              </w:rPr>
              <w:t>Reglamento (ES) Nr. 575/2013 66 straipsnis.</w:t>
            </w:r>
          </w:p>
        </w:tc>
      </w:tr>
      <w:tr w:rsidR="000454E8" w:rsidRPr="00D75DB2" w14:paraId="7D1FFCF7" w14:textId="77777777">
        <w:tc>
          <w:tcPr>
            <w:tcW w:w="1129" w:type="dxa"/>
          </w:tcPr>
          <w:p w14:paraId="6C729D1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007F0E"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Nuosavos T2 priemonės</w:t>
            </w:r>
          </w:p>
          <w:p w14:paraId="2216F974"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(ES) 2019/2033 9 straipsnio 1 dalies i punktas.</w:t>
            </w:r>
          </w:p>
          <w:p w14:paraId="666CA7E9"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 xml:space="preserve">Reglamento (ES) Nr. 575/2013 63 straipsnio b punkto i papunktis, </w:t>
            </w:r>
            <w:r w:rsidRPr="00D75DB2">
              <w:rPr>
                <w:rStyle w:val="FormatvorlageInstructionsTabelleText"/>
                <w:rFonts w:ascii="Times New Roman" w:hAnsi="Times New Roman"/>
                <w:sz w:val="22"/>
              </w:rPr>
              <w:t>66 straipsnio a punktas ir 67 straipsnis.</w:t>
            </w:r>
          </w:p>
          <w:p w14:paraId="71728E80"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Informaciją teikiančios įstaigos arba grupės ataskaitinę datą turimos nuosavos T2 priemonės. Taikant Reglamento (ES) Nr. 575/2013 67 straipsnyje nustatytas išimtis.</w:t>
            </w:r>
          </w:p>
          <w:p w14:paraId="52D1C42D" w14:textId="77777777" w:rsidR="000454E8" w:rsidRPr="00D75DB2" w:rsidRDefault="00D75DB2">
            <w:pPr>
              <w:pStyle w:val="InstructionsText"/>
              <w:rPr>
                <w:rStyle w:val="FormatvorlageInstructionsTabelleText"/>
                <w:rFonts w:ascii="Times New Roman" w:hAnsi="Times New Roman"/>
                <w:sz w:val="22"/>
              </w:rPr>
            </w:pPr>
            <w:r w:rsidRPr="00D75DB2">
              <w:rPr>
                <w:rStyle w:val="FormatvorlageInstructionsTabelleText"/>
                <w:rFonts w:ascii="Times New Roman" w:hAnsi="Times New Roman"/>
                <w:sz w:val="22"/>
              </w:rPr>
              <w:t>Turimos akcijos, priskirtos prie „Reikalavimų nea</w:t>
            </w:r>
            <w:r w:rsidRPr="00D75DB2">
              <w:rPr>
                <w:rStyle w:val="FormatvorlageInstructionsTabelleText"/>
                <w:rFonts w:ascii="Times New Roman" w:hAnsi="Times New Roman"/>
                <w:sz w:val="22"/>
              </w:rPr>
              <w:t>titinkančių kapitalo priemonių“, šioje eilutėje neatskleidžiamos.</w:t>
            </w:r>
          </w:p>
          <w:p w14:paraId="545FDFF8" w14:textId="77777777" w:rsidR="000454E8" w:rsidRPr="00D75DB2" w:rsidRDefault="00D75DB2">
            <w:pPr>
              <w:pStyle w:val="InstructionsText"/>
            </w:pPr>
            <w:r w:rsidRPr="00D75DB2">
              <w:rPr>
                <w:rStyle w:val="FormatvorlageInstructionsTabelleText"/>
                <w:rFonts w:ascii="Times New Roman" w:hAnsi="Times New Roman"/>
                <w:sz w:val="22"/>
              </w:rPr>
              <w:t>Į atskleidžiamą sumą įskaičiuojami su savomis akcijomis susiję akcijų priedai.</w:t>
            </w:r>
          </w:p>
        </w:tc>
      </w:tr>
      <w:tr w:rsidR="000454E8" w:rsidRPr="00D75DB2" w14:paraId="04B771EB" w14:textId="77777777">
        <w:tc>
          <w:tcPr>
            <w:tcW w:w="1129" w:type="dxa"/>
          </w:tcPr>
          <w:p w14:paraId="4F3881B2"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D46E25"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 Finansų sektoriaus subjektų, kuriuose įstaiga neturi reikšmingų investicijų, T2 priemonės</w:t>
            </w:r>
          </w:p>
          <w:p w14:paraId="01924B2D"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Reglamento (E</w:t>
            </w:r>
            <w:r w:rsidRPr="00D75DB2">
              <w:rPr>
                <w:rFonts w:ascii="Times New Roman" w:hAnsi="Times New Roman"/>
                <w:bCs/>
                <w:szCs w:val="22"/>
              </w:rPr>
              <w:t>S) 2019/2033 9 straipsnio 2 dalies c punktas.</w:t>
            </w:r>
          </w:p>
          <w:p w14:paraId="645AA6A2"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Reglamento (ES) Nr. 575/2013 66 straipsnio c punktas.</w:t>
            </w:r>
          </w:p>
        </w:tc>
      </w:tr>
      <w:tr w:rsidR="000454E8" w:rsidRPr="00D75DB2" w14:paraId="2A34289D" w14:textId="77777777">
        <w:tc>
          <w:tcPr>
            <w:tcW w:w="1129" w:type="dxa"/>
            <w:tcBorders>
              <w:bottom w:val="single" w:sz="4" w:space="0" w:color="auto"/>
            </w:tcBorders>
          </w:tcPr>
          <w:p w14:paraId="0C99F3E1"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2DB85D"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
                <w:bCs/>
                <w:szCs w:val="22"/>
                <w:u w:val="single"/>
              </w:rPr>
              <w:t>2 lygio kapitalas. Kiti kapitalo elementai, atskaitymai ir koregavimai</w:t>
            </w:r>
          </w:p>
          <w:p w14:paraId="3A066F0C" w14:textId="77777777" w:rsidR="000454E8" w:rsidRPr="00D75DB2" w:rsidRDefault="00D75DB2">
            <w:pPr>
              <w:spacing w:after="120"/>
              <w:jc w:val="both"/>
              <w:rPr>
                <w:rFonts w:ascii="Times New Roman" w:eastAsia="Times New Roman" w:hAnsi="Times New Roman" w:cs="Times New Roman"/>
                <w:bCs/>
                <w:szCs w:val="22"/>
              </w:rPr>
            </w:pPr>
            <w:r w:rsidRPr="00D75DB2">
              <w:rPr>
                <w:rFonts w:ascii="Times New Roman" w:hAnsi="Times New Roman"/>
                <w:bCs/>
                <w:szCs w:val="22"/>
              </w:rPr>
              <w:t>Šioje eilutėje susumuojami, kai taikytina, šie straipsniai:</w:t>
            </w:r>
          </w:p>
          <w:p w14:paraId="23DF0018"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pereinamojo laikotarpio koregavimai dėl T2 kapitalo priemonių, kurioms taikomas tęstinumo principas (Reglamento (ES) Nr. 575/2013 483 straipsnio 6 ir 7 dalys, 484, 486, 488, 490 ir 491 straipsniai);</w:t>
            </w:r>
          </w:p>
          <w:p w14:paraId="3D135F4D"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T2 kapitalo pereinamojo laikotarpio koregavimai (R</w:t>
            </w:r>
            <w:r w:rsidRPr="00D75DB2">
              <w:rPr>
                <w:rFonts w:ascii="Times New Roman" w:hAnsi="Times New Roman"/>
                <w:bCs/>
              </w:rPr>
              <w:t>eglamento (ES) Nr. 575/2013 472, 473a, 476, 477, 478 ir 481 straipsniai): atskaitymų iš 2 lygio kapitalo koregavimai dėl pereinamojo laikotarpio nuostatų;</w:t>
            </w:r>
          </w:p>
          <w:p w14:paraId="2B3BEADC"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atskaitymų iš T2 straipsnių, viršijančių T2 kapitalą, suma, atskaitoma iš AT1, pagal Reglamento (ES</w:t>
            </w:r>
            <w:r w:rsidRPr="00D75DB2">
              <w:rPr>
                <w:rFonts w:ascii="Times New Roman" w:hAnsi="Times New Roman"/>
                <w:bCs/>
              </w:rPr>
              <w:t>) Nr. 575/2013 56 straipsnio e punktą: 2 lygio kapitalo vertė negali būti neigiama, bet gali būti, kad atskaitymai iš T2 straipsnių viršija turimų T2 straipsnių sumą. Tokiu atveju šiame straipsnyje nurodoma suma, kurios reikia 33 eilutėje nurodytai sumai p</w:t>
            </w:r>
            <w:r w:rsidRPr="00D75DB2">
              <w:rPr>
                <w:rFonts w:ascii="Times New Roman" w:hAnsi="Times New Roman"/>
                <w:bCs/>
              </w:rPr>
              <w:t>adidinti iki nulio;</w:t>
            </w:r>
          </w:p>
          <w:p w14:paraId="34ADC440" w14:textId="77777777" w:rsidR="000454E8" w:rsidRPr="00D75DB2" w:rsidRDefault="00D75DB2">
            <w:pPr>
              <w:spacing w:after="120"/>
              <w:ind w:left="360" w:hanging="360"/>
              <w:contextualSpacing/>
              <w:jc w:val="both"/>
              <w:rPr>
                <w:rFonts w:ascii="Times New Roman" w:eastAsia="Times New Roman" w:hAnsi="Times New Roman"/>
                <w:bCs/>
              </w:rPr>
            </w:pPr>
            <w:r w:rsidRPr="00D75DB2">
              <w:rPr>
                <w:rFonts w:ascii="Times New Roman" w:eastAsia="Times New Roman" w:hAnsi="Times New Roman" w:cs="Times New Roman"/>
                <w:bCs/>
                <w:szCs w:val="22"/>
              </w:rPr>
              <w:t>—</w:t>
            </w:r>
            <w:r w:rsidRPr="00D75DB2">
              <w:rPr>
                <w:rFonts w:ascii="Times New Roman" w:eastAsia="Times New Roman" w:hAnsi="Times New Roman" w:cs="Times New Roman"/>
                <w:bCs/>
                <w:szCs w:val="22"/>
              </w:rPr>
              <w:tab/>
            </w:r>
            <w:r w:rsidRPr="00D75DB2">
              <w:rPr>
                <w:rFonts w:ascii="Times New Roman" w:hAnsi="Times New Roman"/>
                <w:bCs/>
              </w:rPr>
              <w:t>kiti T2 kapitalo elementai arba atskaitymai iš T2 elemento, kurie negali būti priskirti prie vienos iš 34–38 eilučių.</w:t>
            </w:r>
          </w:p>
          <w:p w14:paraId="094EAC49" w14:textId="77777777" w:rsidR="000454E8" w:rsidRPr="00D75DB2" w:rsidRDefault="00D75DB2">
            <w:pPr>
              <w:spacing w:after="120"/>
              <w:jc w:val="both"/>
              <w:rPr>
                <w:rFonts w:ascii="Times New Roman" w:eastAsia="Times New Roman" w:hAnsi="Times New Roman" w:cs="Times New Roman"/>
                <w:b/>
                <w:bCs/>
                <w:szCs w:val="22"/>
                <w:u w:val="single"/>
              </w:rPr>
            </w:pPr>
            <w:r w:rsidRPr="00D75DB2">
              <w:rPr>
                <w:rFonts w:ascii="Times New Roman" w:hAnsi="Times New Roman"/>
                <w:bCs/>
                <w:szCs w:val="22"/>
              </w:rPr>
              <w:t xml:space="preserve">Šios eilutės negalima naudoti kapitalo straipsniams ar atskaitymams, kuriems netaikomas Reglamentas (ES) </w:t>
            </w:r>
            <w:r w:rsidRPr="00D75DB2">
              <w:rPr>
                <w:rFonts w:ascii="Times New Roman" w:hAnsi="Times New Roman"/>
                <w:bCs/>
                <w:szCs w:val="22"/>
              </w:rPr>
              <w:t>2019/2033 arba Reglamentas (ES) Nr. 575/2013, įtraukti į mokumo koeficientų skaičiavimus.</w:t>
            </w:r>
          </w:p>
        </w:tc>
      </w:tr>
    </w:tbl>
    <w:p w14:paraId="2E06DC70" w14:textId="77777777" w:rsidR="000454E8" w:rsidRPr="00D75DB2" w:rsidRDefault="000454E8">
      <w:pPr>
        <w:rPr>
          <w:rFonts w:ascii="Times New Roman" w:hAnsi="Times New Roman" w:cs="Times New Roman"/>
          <w:b/>
          <w:bCs/>
          <w:sz w:val="24"/>
        </w:rPr>
      </w:pPr>
    </w:p>
    <w:p w14:paraId="58438084" w14:textId="77777777" w:rsidR="000454E8" w:rsidRPr="00D75DB2" w:rsidRDefault="00D75DB2">
      <w:pPr>
        <w:rPr>
          <w:rFonts w:ascii="Times New Roman" w:hAnsi="Times New Roman" w:cs="Times New Roman"/>
          <w:b/>
          <w:bCs/>
          <w:sz w:val="24"/>
        </w:rPr>
      </w:pPr>
      <w:r w:rsidRPr="00D75DB2">
        <w:rPr>
          <w:rFonts w:ascii="Times New Roman" w:hAnsi="Times New Roman"/>
          <w:b/>
          <w:bCs/>
          <w:sz w:val="24"/>
        </w:rPr>
        <w:lastRenderedPageBreak/>
        <w:t>ES I CC2 forma. Reguliuojamų nuosavų lėšų suderinimas su audituotose finansinėse ataskaitose teikiamu balansu</w:t>
      </w:r>
    </w:p>
    <w:p w14:paraId="30A61AE6"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7.</w:t>
      </w:r>
      <w:r w:rsidRPr="00D75DB2">
        <w:rPr>
          <w:rFonts w:ascii="Times New Roman" w:hAnsi="Times New Roman" w:cs="Times New Roman"/>
          <w:bCs/>
          <w:sz w:val="24"/>
        </w:rPr>
        <w:tab/>
      </w:r>
      <w:r w:rsidRPr="00D75DB2">
        <w:rPr>
          <w:rFonts w:ascii="Times New Roman" w:hAnsi="Times New Roman"/>
          <w:bCs/>
          <w:sz w:val="24"/>
        </w:rPr>
        <w:t>Pagal Reglamento (ES) 2019/2033 49 straipsnio 1 dal</w:t>
      </w:r>
      <w:r w:rsidRPr="00D75DB2">
        <w:rPr>
          <w:rFonts w:ascii="Times New Roman" w:hAnsi="Times New Roman"/>
          <w:bCs/>
          <w:sz w:val="24"/>
        </w:rPr>
        <w:t>ies a punktą pildydamos VI priede pateiktą ES I CC2 formą investicinės įmonės vadovaujasi šiame priede pateiktais nurodymais.</w:t>
      </w:r>
    </w:p>
    <w:p w14:paraId="6F62C650"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8.</w:t>
      </w:r>
      <w:r w:rsidRPr="00D75DB2">
        <w:rPr>
          <w:rFonts w:ascii="Times New Roman" w:hAnsi="Times New Roman" w:cs="Times New Roman"/>
          <w:bCs/>
          <w:sz w:val="24"/>
        </w:rPr>
        <w:tab/>
      </w:r>
      <w:r w:rsidRPr="00D75DB2">
        <w:rPr>
          <w:rFonts w:ascii="Times New Roman" w:hAnsi="Times New Roman"/>
          <w:bCs/>
          <w:sz w:val="24"/>
        </w:rPr>
        <w:t>Investicinės įmonės atskleidžia į jų paskelbtas finansines ataskaitas įtrauktą balansą. Finansinės ataskaitos – audituotos metų</w:t>
      </w:r>
      <w:r w:rsidRPr="00D75DB2">
        <w:rPr>
          <w:rFonts w:ascii="Times New Roman" w:hAnsi="Times New Roman"/>
          <w:bCs/>
          <w:sz w:val="24"/>
        </w:rPr>
        <w:t xml:space="preserve"> pabaigos duomenų finansinės ataskaitos.</w:t>
      </w:r>
    </w:p>
    <w:p w14:paraId="3B5EE652"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9.</w:t>
      </w:r>
      <w:r w:rsidRPr="00D75DB2">
        <w:rPr>
          <w:rFonts w:ascii="Times New Roman" w:hAnsi="Times New Roman" w:cs="Times New Roman"/>
          <w:bCs/>
          <w:sz w:val="24"/>
        </w:rPr>
        <w:tab/>
      </w:r>
      <w:r w:rsidRPr="00D75DB2">
        <w:rPr>
          <w:rFonts w:ascii="Times New Roman" w:hAnsi="Times New Roman"/>
          <w:bCs/>
          <w:sz w:val="24"/>
        </w:rPr>
        <w:t>Formos eilutės yra lanksčios ir investicinės įmonės jas pildo pagal savo finansines ataskaitas. Audituotose finansinėse ataskaitose pateikiami nuosavų lėšų straipsniai turi apimti visus straipsnius, kurie įtrauki</w:t>
      </w:r>
      <w:r w:rsidRPr="00D75DB2">
        <w:rPr>
          <w:rFonts w:ascii="Times New Roman" w:hAnsi="Times New Roman"/>
          <w:bCs/>
          <w:sz w:val="24"/>
        </w:rPr>
        <w:t>ami arba atskaitomi iš reguliuojamų nuosavų lėšų, įskaitant nuosavą kapitalą, įsipareigojimus, kaip antai skolą, ar kitų balanso eilučių, darančių poveikį reguliuojamoms nuosavoms lėšoms, kaip antai nematerialiojo turto, prestižo, atidėtųjų mokesčių turto.</w:t>
      </w:r>
      <w:r w:rsidRPr="00D75DB2">
        <w:rPr>
          <w:rFonts w:ascii="Times New Roman" w:hAnsi="Times New Roman"/>
          <w:bCs/>
          <w:sz w:val="24"/>
        </w:rPr>
        <w:t xml:space="preserve"> Investicinės įmonės detalizuoja balanso nuosavų lėšų straipsnius, jei to reikia siekiant atskirai pateikti visus komponentus, įtrauktus į informacijos apie nuosavų lėšų sudėtį (ES I CC1) formą. Investicinės įmonės detalizuoja balanso elementus tik tiek, k</w:t>
      </w:r>
      <w:r w:rsidRPr="00D75DB2">
        <w:rPr>
          <w:rFonts w:ascii="Times New Roman" w:hAnsi="Times New Roman"/>
          <w:bCs/>
          <w:sz w:val="24"/>
        </w:rPr>
        <w:t>ad būtų pasiektas detalumas, reikalingas komponentams, kuriuos reikia nurodyti ES I CC1 formoje, apskaičiuoti. Atskleidžiami duomenys yra proporcingi investicinės įmonės balanso sudėtingumui.</w:t>
      </w:r>
    </w:p>
    <w:p w14:paraId="42B6A9FC"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10.</w:t>
      </w:r>
      <w:r w:rsidRPr="00D75DB2">
        <w:rPr>
          <w:rFonts w:ascii="Times New Roman" w:hAnsi="Times New Roman" w:cs="Times New Roman"/>
          <w:bCs/>
          <w:sz w:val="24"/>
        </w:rPr>
        <w:tab/>
      </w:r>
      <w:r w:rsidRPr="00D75DB2">
        <w:rPr>
          <w:rFonts w:ascii="Times New Roman" w:hAnsi="Times New Roman"/>
          <w:bCs/>
          <w:sz w:val="24"/>
        </w:rPr>
        <w:t>Skiltys yra nustatytos ir pildomos taip:</w:t>
      </w:r>
    </w:p>
    <w:p w14:paraId="74A40C59" w14:textId="77777777" w:rsidR="000454E8" w:rsidRPr="00D75DB2" w:rsidRDefault="00D75DB2">
      <w:pPr>
        <w:pStyle w:val="numberedparagraph"/>
        <w:numPr>
          <w:ilvl w:val="0"/>
          <w:numId w:val="0"/>
        </w:numPr>
        <w:ind w:left="709" w:hanging="360"/>
        <w:rPr>
          <w:rFonts w:ascii="Times New Roman" w:hAnsi="Times New Roman" w:cs="Times New Roman"/>
          <w:sz w:val="24"/>
        </w:rPr>
      </w:pPr>
      <w:r w:rsidRPr="00D75DB2">
        <w:rPr>
          <w:rFonts w:ascii="Times New Roman" w:hAnsi="Times New Roman" w:cs="Times New Roman"/>
          <w:sz w:val="24"/>
        </w:rPr>
        <w:t>a.</w:t>
      </w:r>
      <w:r w:rsidRPr="00D75DB2">
        <w:rPr>
          <w:rFonts w:ascii="Times New Roman" w:hAnsi="Times New Roman" w:cs="Times New Roman"/>
          <w:sz w:val="24"/>
        </w:rPr>
        <w:tab/>
      </w:r>
      <w:r w:rsidRPr="00D75DB2">
        <w:rPr>
          <w:rFonts w:ascii="Times New Roman" w:hAnsi="Times New Roman"/>
          <w:sz w:val="24"/>
        </w:rPr>
        <w:t xml:space="preserve">a </w:t>
      </w:r>
      <w:r w:rsidRPr="00D75DB2">
        <w:rPr>
          <w:rFonts w:ascii="Times New Roman" w:hAnsi="Times New Roman"/>
          <w:sz w:val="24"/>
        </w:rPr>
        <w:t>skiltis. Investicinės įmonės pateikia skaičius, nurodytus balanse, įtrauktame į jų audituotas finansines ataskaitas, pagal apskaitos konsolidavimo apimtį.</w:t>
      </w:r>
    </w:p>
    <w:p w14:paraId="547AB06F" w14:textId="77777777" w:rsidR="000454E8" w:rsidRPr="00D75DB2" w:rsidRDefault="00D75DB2">
      <w:pPr>
        <w:pStyle w:val="numberedparagraph"/>
        <w:numPr>
          <w:ilvl w:val="0"/>
          <w:numId w:val="0"/>
        </w:numPr>
        <w:ind w:left="709" w:hanging="360"/>
        <w:rPr>
          <w:rFonts w:ascii="Times New Roman" w:hAnsi="Times New Roman" w:cs="Times New Roman"/>
          <w:sz w:val="24"/>
        </w:rPr>
      </w:pPr>
      <w:r w:rsidRPr="00D75DB2">
        <w:rPr>
          <w:rFonts w:ascii="Times New Roman" w:hAnsi="Times New Roman" w:cs="Times New Roman"/>
          <w:sz w:val="24"/>
        </w:rPr>
        <w:t>b.</w:t>
      </w:r>
      <w:r w:rsidRPr="00D75DB2">
        <w:rPr>
          <w:rFonts w:ascii="Times New Roman" w:hAnsi="Times New Roman" w:cs="Times New Roman"/>
          <w:sz w:val="24"/>
        </w:rPr>
        <w:tab/>
      </w:r>
      <w:r w:rsidRPr="00D75DB2">
        <w:rPr>
          <w:rFonts w:ascii="Times New Roman" w:hAnsi="Times New Roman"/>
          <w:sz w:val="24"/>
        </w:rPr>
        <w:t>b skiltis. Investicinės įmonės skaičius nurodo pagal reguliuojamąją konsolidavimo apimtį.</w:t>
      </w:r>
    </w:p>
    <w:p w14:paraId="01CF8724" w14:textId="77777777" w:rsidR="000454E8" w:rsidRPr="00D75DB2" w:rsidRDefault="00D75DB2">
      <w:pPr>
        <w:pStyle w:val="numberedparagraph"/>
        <w:numPr>
          <w:ilvl w:val="0"/>
          <w:numId w:val="0"/>
        </w:numPr>
        <w:ind w:left="709" w:hanging="360"/>
        <w:rPr>
          <w:rFonts w:ascii="Times New Roman" w:hAnsi="Times New Roman" w:cs="Times New Roman"/>
          <w:sz w:val="24"/>
        </w:rPr>
      </w:pPr>
      <w:r w:rsidRPr="00D75DB2">
        <w:rPr>
          <w:rFonts w:ascii="Times New Roman" w:hAnsi="Times New Roman" w:cs="Times New Roman"/>
          <w:sz w:val="24"/>
        </w:rPr>
        <w:t>c.</w:t>
      </w:r>
      <w:r w:rsidRPr="00D75DB2">
        <w:rPr>
          <w:rFonts w:ascii="Times New Roman" w:hAnsi="Times New Roman" w:cs="Times New Roman"/>
          <w:sz w:val="24"/>
        </w:rPr>
        <w:tab/>
      </w:r>
      <w:r w:rsidRPr="00D75DB2">
        <w:rPr>
          <w:rFonts w:ascii="Times New Roman" w:hAnsi="Times New Roman"/>
          <w:sz w:val="24"/>
        </w:rPr>
        <w:t>c ski</w:t>
      </w:r>
      <w:r w:rsidRPr="00D75DB2">
        <w:rPr>
          <w:rFonts w:ascii="Times New Roman" w:hAnsi="Times New Roman"/>
          <w:sz w:val="24"/>
        </w:rPr>
        <w:t xml:space="preserve">ltis. Investicinės įmonės pateikia kryžmines nuorodas tarp nuosavų lėšų straipsnių ES I CC2 formoje ir atitinkamų straipsnių informacijos apie nuosavas lėšas teikimo (ES I CC1) formoje. ES I CC2 formos c skiltyje pateikiama nuoroda bus susieta su nuoroda, </w:t>
      </w:r>
      <w:r w:rsidRPr="00D75DB2">
        <w:rPr>
          <w:rFonts w:ascii="Times New Roman" w:hAnsi="Times New Roman"/>
          <w:sz w:val="24"/>
        </w:rPr>
        <w:t>pateikta ES I CC1 formos b skiltyje.</w:t>
      </w:r>
    </w:p>
    <w:p w14:paraId="11802A60"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11.</w:t>
      </w:r>
      <w:r w:rsidRPr="00D75DB2">
        <w:rPr>
          <w:rFonts w:ascii="Times New Roman" w:hAnsi="Times New Roman" w:cs="Times New Roman"/>
          <w:bCs/>
          <w:sz w:val="24"/>
        </w:rPr>
        <w:tab/>
      </w:r>
      <w:r w:rsidRPr="00D75DB2">
        <w:rPr>
          <w:rFonts w:ascii="Times New Roman" w:hAnsi="Times New Roman"/>
          <w:bCs/>
          <w:sz w:val="24"/>
        </w:rPr>
        <w:t>Toliau nurodytais atvejais, kai investicinių įmonių apskaitos konsolidavimo apimtis ir reguliuojamojo konsolidavimo apimtis visiškai vienodos, užpildoma tik a skiltis ir šis faktas aiškiai nurodomas:</w:t>
      </w:r>
    </w:p>
    <w:p w14:paraId="7CE6647D" w14:textId="77777777" w:rsidR="000454E8" w:rsidRPr="00D75DB2" w:rsidRDefault="00D75DB2">
      <w:pPr>
        <w:pStyle w:val="numberedparagraph"/>
        <w:numPr>
          <w:ilvl w:val="0"/>
          <w:numId w:val="0"/>
        </w:numPr>
        <w:tabs>
          <w:tab w:val="left" w:pos="-180"/>
        </w:tabs>
        <w:ind w:left="709" w:hanging="360"/>
        <w:rPr>
          <w:rFonts w:ascii="Times New Roman" w:hAnsi="Times New Roman" w:cs="Times New Roman"/>
          <w:bCs/>
          <w:sz w:val="24"/>
        </w:rPr>
      </w:pPr>
      <w:r w:rsidRPr="00D75DB2">
        <w:rPr>
          <w:rFonts w:ascii="Times New Roman" w:hAnsi="Times New Roman" w:cs="Times New Roman"/>
          <w:bCs/>
          <w:sz w:val="24"/>
        </w:rPr>
        <w:t>d.</w:t>
      </w:r>
      <w:r w:rsidRPr="00D75DB2">
        <w:rPr>
          <w:rFonts w:ascii="Times New Roman" w:hAnsi="Times New Roman" w:cs="Times New Roman"/>
          <w:bCs/>
          <w:sz w:val="24"/>
        </w:rPr>
        <w:tab/>
      </w:r>
      <w:r w:rsidRPr="00D75DB2">
        <w:rPr>
          <w:rFonts w:ascii="Times New Roman" w:hAnsi="Times New Roman"/>
          <w:sz w:val="24"/>
        </w:rPr>
        <w:t>kai investic</w:t>
      </w:r>
      <w:r w:rsidRPr="00D75DB2">
        <w:rPr>
          <w:rFonts w:ascii="Times New Roman" w:hAnsi="Times New Roman"/>
          <w:sz w:val="24"/>
        </w:rPr>
        <w:t>inės įmonės konsoliduotai vykdo Reglamento (ES) 2019/2033 šeštoje dalyje nustatytas prievoles dėl riziką ribojančių reikalavimų investicinėms įmonėms, tačiau finansinių ataskaitų balansui taikoma konsolidavimo apimtis ir metodas sutampa su konsolidavimo ap</w:t>
      </w:r>
      <w:r w:rsidRPr="00D75DB2">
        <w:rPr>
          <w:rFonts w:ascii="Times New Roman" w:hAnsi="Times New Roman"/>
          <w:sz w:val="24"/>
        </w:rPr>
        <w:t>imtimi ir metodu, apibrėžtais pagal Reglamento (ES) 2019/2033 pirmos dalies II antraštinės dalies 2 skyrių, ir investicinės įmonės formos aiškinamosiose pastabose aiškiai nurodo, kad jokių skirtumų tarp atitinkamų konsolidavimo apimčių ir metodų nėra;</w:t>
      </w:r>
    </w:p>
    <w:p w14:paraId="2DAA086C" w14:textId="77777777" w:rsidR="000454E8" w:rsidRPr="00D75DB2" w:rsidRDefault="00D75DB2">
      <w:pPr>
        <w:pStyle w:val="numberedparagraph"/>
        <w:numPr>
          <w:ilvl w:val="0"/>
          <w:numId w:val="0"/>
        </w:numPr>
        <w:tabs>
          <w:tab w:val="left" w:pos="-180"/>
        </w:tabs>
        <w:ind w:left="709" w:hanging="360"/>
        <w:rPr>
          <w:rFonts w:ascii="Times New Roman" w:hAnsi="Times New Roman" w:cs="Times New Roman"/>
          <w:bCs/>
          <w:sz w:val="24"/>
        </w:rPr>
      </w:pPr>
      <w:r w:rsidRPr="00D75DB2">
        <w:rPr>
          <w:rFonts w:ascii="Times New Roman" w:hAnsi="Times New Roman" w:cs="Times New Roman"/>
          <w:bCs/>
          <w:sz w:val="24"/>
        </w:rPr>
        <w:t>e.</w:t>
      </w:r>
      <w:r w:rsidRPr="00D75DB2">
        <w:rPr>
          <w:rFonts w:ascii="Times New Roman" w:hAnsi="Times New Roman" w:cs="Times New Roman"/>
          <w:bCs/>
          <w:sz w:val="24"/>
        </w:rPr>
        <w:tab/>
      </w:r>
      <w:r w:rsidRPr="00D75DB2">
        <w:rPr>
          <w:rFonts w:ascii="Times New Roman" w:hAnsi="Times New Roman"/>
          <w:sz w:val="24"/>
        </w:rPr>
        <w:t>k</w:t>
      </w:r>
      <w:r w:rsidRPr="00D75DB2">
        <w:rPr>
          <w:rFonts w:ascii="Times New Roman" w:hAnsi="Times New Roman"/>
          <w:sz w:val="24"/>
        </w:rPr>
        <w:t>ai investicinės įmonės individualiai vykdo Reglamento (ES) 2019/2033 šeštoje dalyje nustatytas prievoles.</w:t>
      </w:r>
    </w:p>
    <w:p w14:paraId="6F11D832" w14:textId="77777777" w:rsidR="000454E8" w:rsidRPr="00D75DB2" w:rsidRDefault="00D75DB2">
      <w:pPr>
        <w:rPr>
          <w:rFonts w:ascii="Times New Roman" w:hAnsi="Times New Roman" w:cs="Times New Roman"/>
          <w:b/>
          <w:bCs/>
          <w:sz w:val="24"/>
        </w:rPr>
      </w:pPr>
      <w:r w:rsidRPr="00D75DB2">
        <w:rPr>
          <w:rFonts w:ascii="Times New Roman" w:hAnsi="Times New Roman"/>
          <w:b/>
          <w:bCs/>
          <w:sz w:val="24"/>
        </w:rPr>
        <w:lastRenderedPageBreak/>
        <w:t>ES I CCA lentelė. Pagrindinės įmonės išleistų nuosavų priemonių savybės</w:t>
      </w:r>
    </w:p>
    <w:p w14:paraId="1A9FE283"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12.</w:t>
      </w:r>
      <w:r w:rsidRPr="00D75DB2">
        <w:rPr>
          <w:rFonts w:ascii="Times New Roman" w:hAnsi="Times New Roman" w:cs="Times New Roman"/>
          <w:bCs/>
          <w:sz w:val="24"/>
        </w:rPr>
        <w:tab/>
      </w:r>
      <w:r w:rsidRPr="00D75DB2">
        <w:rPr>
          <w:rFonts w:ascii="Times New Roman" w:hAnsi="Times New Roman"/>
          <w:bCs/>
          <w:sz w:val="24"/>
        </w:rPr>
        <w:t>Pagal Reglamento (ES) 2019/2033 49 straipsnio 1 dalies b punktą pildydamos</w:t>
      </w:r>
      <w:r w:rsidRPr="00D75DB2">
        <w:rPr>
          <w:rFonts w:ascii="Times New Roman" w:hAnsi="Times New Roman"/>
          <w:bCs/>
          <w:sz w:val="24"/>
        </w:rPr>
        <w:t xml:space="preserve"> VI priede pateiktą ES I CCA lentelę investicinės įmonės vadovaujasi šiame priede pateiktais nurodymais.</w:t>
      </w:r>
    </w:p>
    <w:p w14:paraId="02C1883F"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13.</w:t>
      </w:r>
      <w:r w:rsidRPr="00D75DB2">
        <w:rPr>
          <w:rFonts w:ascii="Times New Roman" w:hAnsi="Times New Roman" w:cs="Times New Roman"/>
          <w:bCs/>
          <w:sz w:val="24"/>
        </w:rPr>
        <w:tab/>
      </w:r>
      <w:r w:rsidRPr="00D75DB2">
        <w:rPr>
          <w:rFonts w:ascii="Times New Roman" w:hAnsi="Times New Roman"/>
          <w:bCs/>
          <w:sz w:val="24"/>
        </w:rPr>
        <w:t>Investicinės įmonės ES I CCA lentelę pildo tokioms priemonių kategorijoms: bendro 1 lygio nuosavo kapitalo priemonėms, papildomo 1 lygio kapitalo p</w:t>
      </w:r>
      <w:r w:rsidRPr="00D75DB2">
        <w:rPr>
          <w:rFonts w:ascii="Times New Roman" w:hAnsi="Times New Roman"/>
          <w:bCs/>
          <w:sz w:val="24"/>
        </w:rPr>
        <w:t>riemonėms ir 2 lygio kapitalo priemonėms.</w:t>
      </w:r>
    </w:p>
    <w:p w14:paraId="55948565" w14:textId="77777777" w:rsidR="000454E8" w:rsidRPr="00D75DB2" w:rsidRDefault="00D75DB2">
      <w:pPr>
        <w:tabs>
          <w:tab w:val="left" w:pos="360"/>
        </w:tabs>
        <w:spacing w:before="120" w:after="120"/>
        <w:ind w:left="357" w:hanging="357"/>
        <w:jc w:val="both"/>
        <w:rPr>
          <w:rFonts w:ascii="Times New Roman" w:hAnsi="Times New Roman" w:cs="Times New Roman"/>
          <w:bCs/>
          <w:sz w:val="24"/>
        </w:rPr>
      </w:pPr>
      <w:r w:rsidRPr="00D75DB2">
        <w:rPr>
          <w:rFonts w:ascii="Times New Roman" w:hAnsi="Times New Roman" w:cs="Times New Roman"/>
          <w:bCs/>
          <w:sz w:val="24"/>
        </w:rPr>
        <w:t>14.</w:t>
      </w:r>
      <w:r w:rsidRPr="00D75DB2">
        <w:rPr>
          <w:rFonts w:ascii="Times New Roman" w:hAnsi="Times New Roman" w:cs="Times New Roman"/>
          <w:bCs/>
          <w:sz w:val="24"/>
        </w:rPr>
        <w:tab/>
      </w:r>
      <w:r w:rsidRPr="00D75DB2">
        <w:rPr>
          <w:rFonts w:ascii="Times New Roman" w:hAnsi="Times New Roman"/>
          <w:bCs/>
          <w:sz w:val="24"/>
        </w:rPr>
        <w:t>Atskirose lentelių skiltyse nurodomos kiekvienos reguliuojamų nuosavų lėšų priemonės savybės. Jeigu skirtingų tos pačios kategorijos priemonių savybės vienodos, investicinės įmonės gali užpildyti tik vieną skil</w:t>
      </w:r>
      <w:r w:rsidRPr="00D75DB2">
        <w:rPr>
          <w:rFonts w:ascii="Times New Roman" w:hAnsi="Times New Roman"/>
          <w:bCs/>
          <w:sz w:val="24"/>
        </w:rPr>
        <w:t>tį, kurioje atskleidžia informaciją apie tas vienodas savybes ir nurodo emisijas, su kuriomis susijusios tos vienodos savybės.</w:t>
      </w:r>
    </w:p>
    <w:tbl>
      <w:tblPr>
        <w:tblW w:w="87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0454E8" w:rsidRPr="00D75DB2" w14:paraId="2DE60A11" w14:textId="77777777">
        <w:trPr>
          <w:trHeight w:val="259"/>
        </w:trPr>
        <w:tc>
          <w:tcPr>
            <w:tcW w:w="8717" w:type="dxa"/>
            <w:gridSpan w:val="2"/>
            <w:shd w:val="clear" w:color="auto" w:fill="D9D9D9" w:themeFill="background1" w:themeFillShade="D9"/>
          </w:tcPr>
          <w:p w14:paraId="3DCE497D" w14:textId="77777777" w:rsidR="000454E8" w:rsidRPr="00D75DB2" w:rsidRDefault="00D75DB2">
            <w:pPr>
              <w:rPr>
                <w:rFonts w:ascii="Times New Roman" w:eastAsia="Times New Roman" w:hAnsi="Times New Roman" w:cs="Times New Roman"/>
                <w:b/>
                <w:bCs/>
                <w:color w:val="000000"/>
                <w:sz w:val="24"/>
              </w:rPr>
            </w:pPr>
            <w:r w:rsidRPr="00D75DB2">
              <w:rPr>
                <w:rFonts w:ascii="Times New Roman" w:hAnsi="Times New Roman"/>
                <w:b/>
                <w:bCs/>
                <w:color w:val="000000"/>
                <w:sz w:val="24"/>
              </w:rPr>
              <w:t>Įmonės išleistų nuosavų lėšų priemonių pagrindinių savybių lentelės pildymo nurodymai</w:t>
            </w:r>
          </w:p>
        </w:tc>
      </w:tr>
      <w:tr w:rsidR="000454E8" w:rsidRPr="00D75DB2" w14:paraId="5A8A1320" w14:textId="77777777">
        <w:trPr>
          <w:trHeight w:val="259"/>
        </w:trPr>
        <w:tc>
          <w:tcPr>
            <w:tcW w:w="1056" w:type="dxa"/>
            <w:shd w:val="clear" w:color="auto" w:fill="D9D9D9" w:themeFill="background1" w:themeFillShade="D9"/>
            <w:vAlign w:val="center"/>
          </w:tcPr>
          <w:p w14:paraId="6D1CF6DB" w14:textId="77777777" w:rsidR="000454E8" w:rsidRPr="00D75DB2" w:rsidRDefault="00D75DB2">
            <w:pPr>
              <w:rPr>
                <w:rFonts w:ascii="Times New Roman" w:eastAsia="Times New Roman" w:hAnsi="Times New Roman" w:cs="Times New Roman"/>
                <w:b/>
                <w:bCs/>
                <w:color w:val="000000"/>
                <w:sz w:val="24"/>
              </w:rPr>
            </w:pPr>
            <w:r w:rsidRPr="00D75DB2">
              <w:rPr>
                <w:rFonts w:ascii="Times New Roman" w:hAnsi="Times New Roman"/>
                <w:b/>
                <w:bCs/>
                <w:color w:val="000000"/>
                <w:sz w:val="24"/>
              </w:rPr>
              <w:t>Eilutės numeris</w:t>
            </w:r>
          </w:p>
        </w:tc>
        <w:tc>
          <w:tcPr>
            <w:tcW w:w="7661" w:type="dxa"/>
            <w:shd w:val="clear" w:color="auto" w:fill="D9D9D9" w:themeFill="background1" w:themeFillShade="D9"/>
            <w:noWrap/>
            <w:vAlign w:val="bottom"/>
          </w:tcPr>
          <w:p w14:paraId="0B3710BF" w14:textId="77777777" w:rsidR="000454E8" w:rsidRPr="00D75DB2" w:rsidRDefault="00D75DB2">
            <w:pPr>
              <w:rPr>
                <w:rFonts w:ascii="Times New Roman" w:eastAsia="Times New Roman" w:hAnsi="Times New Roman" w:cs="Times New Roman"/>
                <w:b/>
                <w:bCs/>
                <w:color w:val="000000"/>
                <w:sz w:val="24"/>
              </w:rPr>
            </w:pPr>
            <w:r w:rsidRPr="00D75DB2">
              <w:rPr>
                <w:rFonts w:ascii="Times New Roman" w:hAnsi="Times New Roman"/>
                <w:b/>
                <w:bCs/>
                <w:color w:val="000000"/>
                <w:sz w:val="24"/>
              </w:rPr>
              <w:t>Paaiškinimas</w:t>
            </w:r>
          </w:p>
        </w:tc>
      </w:tr>
      <w:tr w:rsidR="000454E8" w:rsidRPr="00D75DB2" w14:paraId="7A720F23" w14:textId="77777777">
        <w:trPr>
          <w:trHeight w:val="259"/>
        </w:trPr>
        <w:tc>
          <w:tcPr>
            <w:tcW w:w="1056" w:type="dxa"/>
            <w:vAlign w:val="center"/>
          </w:tcPr>
          <w:p w14:paraId="7E0CA51D"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w:t>
            </w:r>
          </w:p>
        </w:tc>
        <w:tc>
          <w:tcPr>
            <w:tcW w:w="7661" w:type="dxa"/>
            <w:shd w:val="clear" w:color="auto" w:fill="auto"/>
            <w:noWrap/>
            <w:vAlign w:val="bottom"/>
          </w:tcPr>
          <w:p w14:paraId="4627385B"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Emitentas</w:t>
            </w:r>
          </w:p>
          <w:p w14:paraId="69A9C769"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emitento juridinio asmens tapatybė.</w:t>
            </w:r>
          </w:p>
          <w:p w14:paraId="3153E482"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6F8C081D" w14:textId="77777777">
        <w:trPr>
          <w:trHeight w:val="259"/>
        </w:trPr>
        <w:tc>
          <w:tcPr>
            <w:tcW w:w="1056" w:type="dxa"/>
            <w:vAlign w:val="center"/>
          </w:tcPr>
          <w:p w14:paraId="04BBAF99"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w:t>
            </w:r>
          </w:p>
        </w:tc>
        <w:tc>
          <w:tcPr>
            <w:tcW w:w="7661" w:type="dxa"/>
            <w:shd w:val="clear" w:color="auto" w:fill="auto"/>
            <w:noWrap/>
            <w:vAlign w:val="bottom"/>
          </w:tcPr>
          <w:p w14:paraId="2F4C3A0E"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Unikalus identifikatorius (pvz., CUSIP, ISIN arba „Bloomberg“ neviešam platinimui nustatytas identifikatorius)</w:t>
            </w:r>
          </w:p>
          <w:p w14:paraId="1A5BEAC7"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Unikalus identifikatorius (pvz., CUSIP, ISIN arba </w:t>
            </w:r>
            <w:r w:rsidRPr="00D75DB2">
              <w:rPr>
                <w:rFonts w:ascii="Times New Roman" w:hAnsi="Times New Roman"/>
                <w:sz w:val="24"/>
              </w:rPr>
              <w:t>„Bloomberg“ neviešam platinimui nustatytas identifikatorius).</w:t>
            </w:r>
          </w:p>
          <w:p w14:paraId="534A96E7"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t>Laisvos formos tekstas</w:t>
            </w:r>
          </w:p>
        </w:tc>
      </w:tr>
      <w:tr w:rsidR="000454E8" w:rsidRPr="00D75DB2" w14:paraId="037509A2" w14:textId="77777777">
        <w:trPr>
          <w:trHeight w:val="259"/>
        </w:trPr>
        <w:tc>
          <w:tcPr>
            <w:tcW w:w="1056" w:type="dxa"/>
            <w:vAlign w:val="center"/>
          </w:tcPr>
          <w:p w14:paraId="6A202576"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w:t>
            </w:r>
          </w:p>
        </w:tc>
        <w:tc>
          <w:tcPr>
            <w:tcW w:w="7661" w:type="dxa"/>
            <w:shd w:val="clear" w:color="auto" w:fill="auto"/>
            <w:noWrap/>
            <w:vAlign w:val="bottom"/>
          </w:tcPr>
          <w:p w14:paraId="6E4A137B"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Viešas arba neviešas platinimas</w:t>
            </w:r>
          </w:p>
          <w:p w14:paraId="2ADA39F0"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priemonė platinama viešai, ar neviešai.</w:t>
            </w:r>
          </w:p>
          <w:p w14:paraId="10ED8787"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t>Pasirinkti iš sąrašo: [viešas] [neviešas]</w:t>
            </w:r>
          </w:p>
        </w:tc>
      </w:tr>
      <w:tr w:rsidR="000454E8" w:rsidRPr="00D75DB2" w14:paraId="232CD22C" w14:textId="77777777">
        <w:trPr>
          <w:trHeight w:val="259"/>
        </w:trPr>
        <w:tc>
          <w:tcPr>
            <w:tcW w:w="1056" w:type="dxa"/>
            <w:vAlign w:val="center"/>
          </w:tcPr>
          <w:p w14:paraId="3BFF392F"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4</w:t>
            </w:r>
          </w:p>
        </w:tc>
        <w:tc>
          <w:tcPr>
            <w:tcW w:w="7661" w:type="dxa"/>
            <w:shd w:val="clear" w:color="auto" w:fill="auto"/>
            <w:noWrap/>
            <w:vAlign w:val="bottom"/>
          </w:tcPr>
          <w:p w14:paraId="494195CB"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Priemonei taikoma teisė (kelių </w:t>
            </w:r>
            <w:r w:rsidRPr="00D75DB2">
              <w:rPr>
                <w:rFonts w:ascii="Times New Roman" w:hAnsi="Times New Roman"/>
                <w:sz w:val="24"/>
              </w:rPr>
              <w:t>jurisdikcijų teisė)</w:t>
            </w:r>
          </w:p>
          <w:p w14:paraId="741C5ECA"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priemonei taikoma teisė (kelių jurisdikcijų teisė).</w:t>
            </w:r>
          </w:p>
          <w:p w14:paraId="7F6D679C"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 xml:space="preserve">Laisvos formos tekstas </w:t>
            </w:r>
          </w:p>
        </w:tc>
      </w:tr>
      <w:tr w:rsidR="000454E8" w:rsidRPr="00D75DB2" w14:paraId="176E4114" w14:textId="77777777">
        <w:trPr>
          <w:trHeight w:val="259"/>
        </w:trPr>
        <w:tc>
          <w:tcPr>
            <w:tcW w:w="1056" w:type="dxa"/>
            <w:vAlign w:val="center"/>
          </w:tcPr>
          <w:p w14:paraId="09879743"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5</w:t>
            </w:r>
          </w:p>
        </w:tc>
        <w:tc>
          <w:tcPr>
            <w:tcW w:w="7661" w:type="dxa"/>
            <w:shd w:val="clear" w:color="auto" w:fill="auto"/>
            <w:noWrap/>
            <w:vAlign w:val="bottom"/>
          </w:tcPr>
          <w:p w14:paraId="31C29E7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Priemonės rūšis (turi būti nurodytos pagal kiekvieną jurisdikciją taikomos rūšys)</w:t>
            </w:r>
          </w:p>
          <w:p w14:paraId="1244F1E7"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priemonės rūšis priklausomai nuo jurisdikcijos.</w:t>
            </w:r>
          </w:p>
          <w:p w14:paraId="7A00DBC5"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lastRenderedPageBreak/>
              <w:t>CET1 prie</w:t>
            </w:r>
            <w:r w:rsidRPr="00D75DB2">
              <w:rPr>
                <w:rFonts w:ascii="Times New Roman" w:hAnsi="Times New Roman"/>
                <w:i/>
                <w:sz w:val="24"/>
              </w:rPr>
              <w:t>monių atveju pasirinkti priemonės pavadinimą iš EBI skelbiamo CET1 sąrašo.</w:t>
            </w:r>
          </w:p>
          <w:p w14:paraId="0DFBFEE5"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Kitų priemonių atveju pasirinkti iš: meniu parinkčių, kurios investicinėms įmonėms pateiktinos kiekvienai jurisdikcijai atskirai. Turi būti įrašytos nuorodos į Reglamento (ES) 2019/</w:t>
            </w:r>
            <w:r w:rsidRPr="00D75DB2">
              <w:rPr>
                <w:rFonts w:ascii="Times New Roman" w:hAnsi="Times New Roman"/>
                <w:i/>
                <w:sz w:val="24"/>
              </w:rPr>
              <w:t>2033 straipsnius, taikomus kiekvienos rūšies priemonei.</w:t>
            </w:r>
          </w:p>
        </w:tc>
      </w:tr>
      <w:tr w:rsidR="000454E8" w:rsidRPr="00D75DB2" w14:paraId="73AB9F2D" w14:textId="77777777">
        <w:trPr>
          <w:trHeight w:val="259"/>
        </w:trPr>
        <w:tc>
          <w:tcPr>
            <w:tcW w:w="1056" w:type="dxa"/>
            <w:vAlign w:val="center"/>
          </w:tcPr>
          <w:p w14:paraId="7BC36458"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6</w:t>
            </w:r>
          </w:p>
        </w:tc>
        <w:tc>
          <w:tcPr>
            <w:tcW w:w="7661" w:type="dxa"/>
            <w:shd w:val="clear" w:color="auto" w:fill="auto"/>
            <w:noWrap/>
            <w:vAlign w:val="bottom"/>
          </w:tcPr>
          <w:p w14:paraId="11ED7A22"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Reguliuojamajame kapitale pripažinta suma (valiuta mln. paskutinę ataskaitinę datą)</w:t>
            </w:r>
          </w:p>
          <w:p w14:paraId="5E732F0F"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Nurodoma reguliuojamose nuosavose lėšose pripažinta suma (bendra priemonės suma, pripažinta prieš taikant </w:t>
            </w:r>
            <w:r w:rsidRPr="00D75DB2">
              <w:rPr>
                <w:rFonts w:ascii="Times New Roman" w:hAnsi="Times New Roman"/>
                <w:sz w:val="24"/>
              </w:rPr>
              <w:t>atitinkamo lygio informacijos atskleidimui nustatytas pereinamojo laikotarpio nuostatas; informacijos teikimo prievolėms vykdyti naudojama valiuta).</w:t>
            </w:r>
          </w:p>
          <w:p w14:paraId="03E141F2"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 Visų pirma nurodoma, ar kurios nors priemonių dalys įtrauktos į skirtingus reguliuo</w:t>
            </w:r>
            <w:r w:rsidRPr="00D75DB2">
              <w:rPr>
                <w:rFonts w:ascii="Times New Roman" w:hAnsi="Times New Roman"/>
                <w:i/>
                <w:sz w:val="24"/>
              </w:rPr>
              <w:t>jamų nuosavų lėšų lygius ir ar reguliuojamose nuosavose lėšose pripažinta suma skiriasi nuo emisijos sumos.</w:t>
            </w:r>
          </w:p>
        </w:tc>
      </w:tr>
      <w:tr w:rsidR="000454E8" w:rsidRPr="00D75DB2" w14:paraId="74440896" w14:textId="77777777">
        <w:trPr>
          <w:trHeight w:val="259"/>
        </w:trPr>
        <w:tc>
          <w:tcPr>
            <w:tcW w:w="1056" w:type="dxa"/>
            <w:vAlign w:val="center"/>
          </w:tcPr>
          <w:p w14:paraId="1A067F61"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7</w:t>
            </w:r>
          </w:p>
        </w:tc>
        <w:tc>
          <w:tcPr>
            <w:tcW w:w="7661" w:type="dxa"/>
            <w:shd w:val="clear" w:color="auto" w:fill="auto"/>
            <w:noWrap/>
            <w:vAlign w:val="bottom"/>
          </w:tcPr>
          <w:p w14:paraId="065173CC"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Nominalioji priemonės suma</w:t>
            </w:r>
          </w:p>
          <w:p w14:paraId="7DD41E7D"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Nominalioji priemonės suma (emisijos valiuta ir informacijos teikimo prievolėms vykdyti naudojama valiuta).</w:t>
            </w:r>
          </w:p>
          <w:p w14:paraId="4DA2A941"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37869D21" w14:textId="77777777">
        <w:trPr>
          <w:trHeight w:val="259"/>
        </w:trPr>
        <w:tc>
          <w:tcPr>
            <w:tcW w:w="1056" w:type="dxa"/>
            <w:vAlign w:val="center"/>
          </w:tcPr>
          <w:p w14:paraId="710A6ADC"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8</w:t>
            </w:r>
          </w:p>
        </w:tc>
        <w:tc>
          <w:tcPr>
            <w:tcW w:w="7661" w:type="dxa"/>
            <w:shd w:val="clear" w:color="auto" w:fill="auto"/>
            <w:noWrap/>
            <w:vAlign w:val="bottom"/>
          </w:tcPr>
          <w:p w14:paraId="37B26A3D"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Emisijos kaina</w:t>
            </w:r>
          </w:p>
          <w:p w14:paraId="52A28AC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Priemonės emisijos kaina.</w:t>
            </w:r>
          </w:p>
          <w:p w14:paraId="40B33F0D"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7F95F267" w14:textId="77777777">
        <w:trPr>
          <w:trHeight w:val="259"/>
        </w:trPr>
        <w:tc>
          <w:tcPr>
            <w:tcW w:w="1056" w:type="dxa"/>
            <w:vAlign w:val="center"/>
          </w:tcPr>
          <w:p w14:paraId="4246D8CC"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9</w:t>
            </w:r>
          </w:p>
        </w:tc>
        <w:tc>
          <w:tcPr>
            <w:tcW w:w="7661" w:type="dxa"/>
            <w:shd w:val="clear" w:color="auto" w:fill="auto"/>
            <w:noWrap/>
            <w:vAlign w:val="bottom"/>
          </w:tcPr>
          <w:p w14:paraId="32F7F3D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Išpirkimo kaina</w:t>
            </w:r>
          </w:p>
          <w:p w14:paraId="6D52178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Priemonės išpirkimo kaina.</w:t>
            </w:r>
          </w:p>
          <w:p w14:paraId="015D9E7E"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41FDF785" w14:textId="77777777">
        <w:trPr>
          <w:trHeight w:val="259"/>
        </w:trPr>
        <w:tc>
          <w:tcPr>
            <w:tcW w:w="1056" w:type="dxa"/>
            <w:vAlign w:val="center"/>
          </w:tcPr>
          <w:p w14:paraId="3681672F"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10</w:t>
            </w:r>
          </w:p>
        </w:tc>
        <w:tc>
          <w:tcPr>
            <w:tcW w:w="7661" w:type="dxa"/>
            <w:shd w:val="clear" w:color="auto" w:fill="auto"/>
            <w:noWrap/>
            <w:vAlign w:val="bottom"/>
          </w:tcPr>
          <w:p w14:paraId="1D604E91"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Apskaitos klasifikacija</w:t>
            </w:r>
          </w:p>
          <w:p w14:paraId="12B2D803"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apskaitos klasifikacija.</w:t>
            </w:r>
          </w:p>
          <w:p w14:paraId="72159B91"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 xml:space="preserve">Pasirinkti iš sąrašo: </w:t>
            </w:r>
            <w:r w:rsidRPr="00D75DB2">
              <w:rPr>
                <w:rFonts w:ascii="Times New Roman" w:hAnsi="Times New Roman"/>
                <w:i/>
                <w:sz w:val="24"/>
              </w:rPr>
              <w:t>[Nuosavas kapitalas] [Įsipareigojimas – amortizuota savikaina] [Įsipareigojimas – tikrosios vertės pasirinkimo galimybė] [Mažumos dalis konsoliduotoje patronuojamojoje įmonėje]</w:t>
            </w:r>
          </w:p>
        </w:tc>
      </w:tr>
      <w:tr w:rsidR="000454E8" w:rsidRPr="00D75DB2" w14:paraId="2020DCEA" w14:textId="77777777">
        <w:trPr>
          <w:trHeight w:val="259"/>
        </w:trPr>
        <w:tc>
          <w:tcPr>
            <w:tcW w:w="1056" w:type="dxa"/>
            <w:vAlign w:val="center"/>
          </w:tcPr>
          <w:p w14:paraId="470D8E3F"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11</w:t>
            </w:r>
          </w:p>
        </w:tc>
        <w:tc>
          <w:tcPr>
            <w:tcW w:w="7661" w:type="dxa"/>
            <w:shd w:val="clear" w:color="auto" w:fill="auto"/>
            <w:noWrap/>
            <w:vAlign w:val="bottom"/>
          </w:tcPr>
          <w:p w14:paraId="6E16D40F"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Pradinė emisijos data</w:t>
            </w:r>
          </w:p>
          <w:p w14:paraId="7CD2471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emisijos data.</w:t>
            </w:r>
          </w:p>
          <w:p w14:paraId="29FE697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t>Laisvos formos tekstas</w:t>
            </w:r>
          </w:p>
        </w:tc>
      </w:tr>
      <w:tr w:rsidR="000454E8" w:rsidRPr="00D75DB2" w14:paraId="4CDC58A1" w14:textId="77777777">
        <w:trPr>
          <w:trHeight w:val="259"/>
        </w:trPr>
        <w:tc>
          <w:tcPr>
            <w:tcW w:w="1056" w:type="dxa"/>
            <w:vAlign w:val="center"/>
          </w:tcPr>
          <w:p w14:paraId="27C7B8F4"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12</w:t>
            </w:r>
          </w:p>
        </w:tc>
        <w:tc>
          <w:tcPr>
            <w:tcW w:w="7661" w:type="dxa"/>
            <w:shd w:val="clear" w:color="auto" w:fill="auto"/>
            <w:noWrap/>
            <w:vAlign w:val="bottom"/>
          </w:tcPr>
          <w:p w14:paraId="340F281B"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Ne</w:t>
            </w:r>
            <w:r w:rsidRPr="00D75DB2">
              <w:rPr>
                <w:rFonts w:ascii="Times New Roman" w:hAnsi="Times New Roman"/>
                <w:sz w:val="24"/>
              </w:rPr>
              <w:t>terminuota ar fiksuoto termino</w:t>
            </w:r>
          </w:p>
          <w:p w14:paraId="448267E1"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priemonė fiksuoto termino, ar neterminuota.</w:t>
            </w:r>
          </w:p>
          <w:p w14:paraId="59D7F4EF"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[Neterminuota] [Fiksuoto termino]</w:t>
            </w:r>
          </w:p>
        </w:tc>
      </w:tr>
      <w:tr w:rsidR="000454E8" w:rsidRPr="00D75DB2" w14:paraId="0DC262F3" w14:textId="77777777">
        <w:trPr>
          <w:trHeight w:val="259"/>
        </w:trPr>
        <w:tc>
          <w:tcPr>
            <w:tcW w:w="1056" w:type="dxa"/>
            <w:vAlign w:val="center"/>
          </w:tcPr>
          <w:p w14:paraId="3C40F03B"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13</w:t>
            </w:r>
          </w:p>
        </w:tc>
        <w:tc>
          <w:tcPr>
            <w:tcW w:w="7661" w:type="dxa"/>
            <w:shd w:val="clear" w:color="auto" w:fill="auto"/>
            <w:noWrap/>
            <w:vAlign w:val="bottom"/>
          </w:tcPr>
          <w:p w14:paraId="224CD5D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Pradinis terminas</w:t>
            </w:r>
          </w:p>
          <w:p w14:paraId="78B33FE3"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Jeigu priemonė fiksuoto termino, nurodomas pradinis terminas (metai, mėnuo ir </w:t>
            </w:r>
            <w:r w:rsidRPr="00D75DB2">
              <w:rPr>
                <w:rFonts w:ascii="Times New Roman" w:hAnsi="Times New Roman"/>
                <w:sz w:val="24"/>
              </w:rPr>
              <w:t>diena). Jeigu priemonė neterminuota, nurodyti „termino nėra“.</w:t>
            </w:r>
          </w:p>
          <w:p w14:paraId="0FA6D191"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t>Laisvos formos tekstas</w:t>
            </w:r>
          </w:p>
        </w:tc>
      </w:tr>
      <w:tr w:rsidR="000454E8" w:rsidRPr="00D75DB2" w14:paraId="088E9446" w14:textId="77777777">
        <w:trPr>
          <w:trHeight w:val="259"/>
        </w:trPr>
        <w:tc>
          <w:tcPr>
            <w:tcW w:w="1056" w:type="dxa"/>
            <w:vAlign w:val="center"/>
          </w:tcPr>
          <w:p w14:paraId="755AAB63"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14</w:t>
            </w:r>
          </w:p>
        </w:tc>
        <w:tc>
          <w:tcPr>
            <w:tcW w:w="7661" w:type="dxa"/>
            <w:shd w:val="clear" w:color="auto" w:fill="auto"/>
            <w:noWrap/>
            <w:vAlign w:val="bottom"/>
          </w:tcPr>
          <w:p w14:paraId="326DEE2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Emitento galimybė įvykdyti pasirinkimo pirkti sandorį iš anksto gavus priežiūros institucijos sutikimą</w:t>
            </w:r>
          </w:p>
          <w:p w14:paraId="3E55108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numatyta galimybė emitentui įvykdyti (bet kokios rū</w:t>
            </w:r>
            <w:r w:rsidRPr="00D75DB2">
              <w:rPr>
                <w:rFonts w:ascii="Times New Roman" w:hAnsi="Times New Roman"/>
                <w:sz w:val="24"/>
              </w:rPr>
              <w:t>šies) pasirinkimo pirkti sandorį.</w:t>
            </w:r>
          </w:p>
          <w:p w14:paraId="6067C8C8"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[Taip] [Ne]</w:t>
            </w:r>
          </w:p>
        </w:tc>
      </w:tr>
      <w:tr w:rsidR="000454E8" w:rsidRPr="00D75DB2" w14:paraId="35F48865" w14:textId="77777777">
        <w:trPr>
          <w:trHeight w:val="259"/>
        </w:trPr>
        <w:tc>
          <w:tcPr>
            <w:tcW w:w="1056" w:type="dxa"/>
            <w:vAlign w:val="center"/>
          </w:tcPr>
          <w:p w14:paraId="60DAFF52"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15</w:t>
            </w:r>
          </w:p>
        </w:tc>
        <w:tc>
          <w:tcPr>
            <w:tcW w:w="7661" w:type="dxa"/>
            <w:shd w:val="clear" w:color="auto" w:fill="auto"/>
            <w:noWrap/>
            <w:vAlign w:val="bottom"/>
          </w:tcPr>
          <w:p w14:paraId="4C81C7F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Neprivalomo pasirinkimo pirkti sandorio data, sąlyginių pasirinkimo pirkti sandorių datos ir išpirkimo suma</w:t>
            </w:r>
          </w:p>
          <w:p w14:paraId="29E19DD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Jeigu priemonės nuostatose numatyta galimybė emitentui įvykdyti </w:t>
            </w:r>
            <w:r w:rsidRPr="00D75DB2">
              <w:rPr>
                <w:rFonts w:ascii="Times New Roman" w:hAnsi="Times New Roman"/>
                <w:sz w:val="24"/>
              </w:rPr>
              <w:t xml:space="preserve">pasirinkimo pirkti sandorį, nurodoma pirma pasirinkimo pirkti sandorio data, jeigu priemonės pasirinkimo pirkti sandoris nustatytas konkrečią datą (metai, mėnuo ir diena), ir papildomai nurodoma, ar priemonei nustatyta galimybė įvykdyti pasirinkimo pirkti </w:t>
            </w:r>
            <w:r w:rsidRPr="00D75DB2">
              <w:rPr>
                <w:rFonts w:ascii="Times New Roman" w:hAnsi="Times New Roman"/>
                <w:sz w:val="24"/>
              </w:rPr>
              <w:t>sandorį, jei įvyksta su mokesčiais ir (arba) reguliavimu susijęs įvykis. Taip pat nurodoma išpirkimo kaina. Šie duomenys padeda įvertinti pastovumą.</w:t>
            </w:r>
          </w:p>
          <w:p w14:paraId="4F70D051"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507F3BFE" w14:textId="77777777">
        <w:trPr>
          <w:trHeight w:val="259"/>
        </w:trPr>
        <w:tc>
          <w:tcPr>
            <w:tcW w:w="1056" w:type="dxa"/>
            <w:vAlign w:val="center"/>
          </w:tcPr>
          <w:p w14:paraId="012163C9"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16</w:t>
            </w:r>
          </w:p>
        </w:tc>
        <w:tc>
          <w:tcPr>
            <w:tcW w:w="7661" w:type="dxa"/>
            <w:shd w:val="clear" w:color="auto" w:fill="auto"/>
            <w:noWrap/>
            <w:vAlign w:val="bottom"/>
          </w:tcPr>
          <w:p w14:paraId="78FDC85E"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Paskesnės pasirinkimo pirkti sandorių datos, jeigu taikoma</w:t>
            </w:r>
          </w:p>
          <w:p w14:paraId="3AFCC0C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Nurodoma, ar </w:t>
            </w:r>
            <w:r w:rsidRPr="00D75DB2">
              <w:rPr>
                <w:rFonts w:ascii="Times New Roman" w:hAnsi="Times New Roman"/>
                <w:sz w:val="24"/>
              </w:rPr>
              <w:t>nustatyta paskesnių pasirinkimo pirkti sandorių datų ir, jei taip, kokiu dažnumu. Šie duomenys padeda įvertinti pastovumą.</w:t>
            </w:r>
          </w:p>
          <w:p w14:paraId="0D7B5BD9"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t>Laisvos formos tekstas</w:t>
            </w:r>
          </w:p>
        </w:tc>
      </w:tr>
      <w:tr w:rsidR="000454E8" w:rsidRPr="00D75DB2" w14:paraId="2DEF8645" w14:textId="77777777">
        <w:trPr>
          <w:trHeight w:val="259"/>
        </w:trPr>
        <w:tc>
          <w:tcPr>
            <w:tcW w:w="1056" w:type="dxa"/>
            <w:vAlign w:val="center"/>
          </w:tcPr>
          <w:p w14:paraId="3C2D66E6"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17</w:t>
            </w:r>
          </w:p>
        </w:tc>
        <w:tc>
          <w:tcPr>
            <w:tcW w:w="7661" w:type="dxa"/>
            <w:shd w:val="clear" w:color="auto" w:fill="auto"/>
            <w:noWrap/>
            <w:vAlign w:val="bottom"/>
          </w:tcPr>
          <w:p w14:paraId="34D16769"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Nustatyto arba kintamojo dydžio dividendai ir (arba) atkarpa</w:t>
            </w:r>
          </w:p>
          <w:p w14:paraId="60790986"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lastRenderedPageBreak/>
              <w:t>Nurodoma, ar atkarpa ir (arba) dividendai yra</w:t>
            </w:r>
            <w:r w:rsidRPr="00D75DB2">
              <w:rPr>
                <w:rFonts w:ascii="Times New Roman" w:hAnsi="Times New Roman"/>
                <w:sz w:val="24"/>
              </w:rPr>
              <w:t>: nustatyto dydžio visą priemonės galiojimo laikotarpį, kintamojo dydžio visą priemonės galiojimo laikotarpį, šiuo metu nustatyto dydžio, kuris ateityje bus pakeistas kintamuoju dydžiu, arba šiuo metu kintamojo dydžio, kuris ateityje bus pakeistas nustatyt</w:t>
            </w:r>
            <w:r w:rsidRPr="00D75DB2">
              <w:rPr>
                <w:rFonts w:ascii="Times New Roman" w:hAnsi="Times New Roman"/>
                <w:sz w:val="24"/>
              </w:rPr>
              <w:t>u dydžiu.</w:t>
            </w:r>
          </w:p>
          <w:p w14:paraId="1E6F467A"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 xml:space="preserve">Pasirinkti iš sąrašo: [Nustatyto dydžio], [Kintamojo dydžio] [Nustatyto dydžio, kuris bus pakeistas kintamuoju dydžiu], [Kintamojo dydžio, kuris bus pakeistas nustatytu dydžiu] </w:t>
            </w:r>
          </w:p>
        </w:tc>
      </w:tr>
      <w:tr w:rsidR="000454E8" w:rsidRPr="00D75DB2" w14:paraId="62260762" w14:textId="77777777">
        <w:trPr>
          <w:trHeight w:val="259"/>
        </w:trPr>
        <w:tc>
          <w:tcPr>
            <w:tcW w:w="1056" w:type="dxa"/>
            <w:vAlign w:val="center"/>
          </w:tcPr>
          <w:p w14:paraId="58FED7A3"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18</w:t>
            </w:r>
          </w:p>
        </w:tc>
        <w:tc>
          <w:tcPr>
            <w:tcW w:w="7661" w:type="dxa"/>
            <w:shd w:val="clear" w:color="auto" w:fill="auto"/>
            <w:noWrap/>
            <w:vAlign w:val="bottom"/>
          </w:tcPr>
          <w:p w14:paraId="43A3687F"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Atkarpos dydis ir bet koks susijęs indeksas</w:t>
            </w:r>
          </w:p>
          <w:p w14:paraId="6EECB9A2"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Nurodomas </w:t>
            </w:r>
            <w:r w:rsidRPr="00D75DB2">
              <w:rPr>
                <w:rFonts w:ascii="Times New Roman" w:hAnsi="Times New Roman"/>
                <w:sz w:val="24"/>
              </w:rPr>
              <w:t>priemonės atkarpos dydis ir visi susiję indeksai, su kuriais susietas atkarpos ir (arba) dividendų dydis.</w:t>
            </w:r>
          </w:p>
          <w:p w14:paraId="0A9A7277"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 xml:space="preserve">Laisvos formos tekstas </w:t>
            </w:r>
          </w:p>
        </w:tc>
      </w:tr>
      <w:tr w:rsidR="000454E8" w:rsidRPr="00D75DB2" w14:paraId="1300B4D4" w14:textId="77777777">
        <w:trPr>
          <w:trHeight w:val="2983"/>
        </w:trPr>
        <w:tc>
          <w:tcPr>
            <w:tcW w:w="1056" w:type="dxa"/>
            <w:vAlign w:val="center"/>
          </w:tcPr>
          <w:p w14:paraId="67F637BB"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19</w:t>
            </w:r>
          </w:p>
        </w:tc>
        <w:tc>
          <w:tcPr>
            <w:tcW w:w="7661" w:type="dxa"/>
            <w:shd w:val="clear" w:color="auto" w:fill="auto"/>
            <w:noWrap/>
            <w:vAlign w:val="bottom"/>
          </w:tcPr>
          <w:p w14:paraId="6BC4E7CF"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Dividendų nemokėjimo nuostatos galiojimas</w:t>
            </w:r>
          </w:p>
          <w:p w14:paraId="7BFDD918"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nesumokėjus priemonės atkarpos išmokos ar dividendų draudžiama mokė</w:t>
            </w:r>
            <w:r w:rsidRPr="00D75DB2">
              <w:rPr>
                <w:rFonts w:ascii="Times New Roman" w:hAnsi="Times New Roman"/>
                <w:sz w:val="24"/>
              </w:rPr>
              <w:t>ti paprastųjų akcijų dividendus (t. y. ar numatyta dividendų nemokėjimo nuostata).</w:t>
            </w:r>
          </w:p>
          <w:p w14:paraId="547E794F"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 xml:space="preserve">Pasirinkti iš sąrašo: [Taip] [Ne] </w:t>
            </w:r>
          </w:p>
        </w:tc>
      </w:tr>
      <w:tr w:rsidR="000454E8" w:rsidRPr="00D75DB2" w14:paraId="1A9E723C" w14:textId="77777777">
        <w:trPr>
          <w:trHeight w:val="259"/>
        </w:trPr>
        <w:tc>
          <w:tcPr>
            <w:tcW w:w="1056" w:type="dxa"/>
            <w:vAlign w:val="center"/>
          </w:tcPr>
          <w:p w14:paraId="1D25D66D"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20</w:t>
            </w:r>
          </w:p>
        </w:tc>
        <w:tc>
          <w:tcPr>
            <w:tcW w:w="7661" w:type="dxa"/>
            <w:shd w:val="clear" w:color="auto" w:fill="auto"/>
            <w:noWrap/>
            <w:vAlign w:val="bottom"/>
          </w:tcPr>
          <w:p w14:paraId="4F9FC9EC"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 Taikoma visiškai savo nuožiūra, iš dalies savo nuožiūra arba privaloma (laiko atžvilgiu)</w:t>
            </w:r>
          </w:p>
          <w:p w14:paraId="401230A9"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emitentas dėl atkarpos ir (arba) dividendų mokėjimo sprendžia visiškai savo nuožiūra, iš dalies savo nuožiūra ar negali spręsti savo nuožiūra. Jeigu įsta</w:t>
            </w:r>
            <w:r w:rsidRPr="00D75DB2">
              <w:rPr>
                <w:rFonts w:ascii="Times New Roman" w:hAnsi="Times New Roman"/>
                <w:sz w:val="24"/>
              </w:rPr>
              <w:t>iga gali visiškai savo nuožiūra visomis aplinkybėmis atšaukti atkarpos arba dividendų mokėjimus, ji turi pasirinkti parinktį „visiškai savo nuožiūra“ (įskaitant atvejus, kai yra numatyta dividendų nemokėjimo nuostata, kuri netrukdo įstaigai atšaukti su pri</w:t>
            </w:r>
            <w:r w:rsidRPr="00D75DB2">
              <w:rPr>
                <w:rFonts w:ascii="Times New Roman" w:hAnsi="Times New Roman"/>
                <w:sz w:val="24"/>
              </w:rPr>
              <w:t>emone susijusių mokėjimų). Jeigu mokėjimui atšaukti turi būti įvykdytos tam tikros sąlygos (pvz., nuosavos lėšos nesiekia tam tikros ribos), įstaiga turi pasirinkti parinktį „iš dalies savo nuožiūra“. Jeigu įstaiga negali atšaukti mokėjimo kitokiomis nei n</w:t>
            </w:r>
            <w:r w:rsidRPr="00D75DB2">
              <w:rPr>
                <w:rFonts w:ascii="Times New Roman" w:hAnsi="Times New Roman"/>
                <w:sz w:val="24"/>
              </w:rPr>
              <w:t>emokumas aplinkybėmis, įstaiga turi pasirinkti parinktį „privaloma“.</w:t>
            </w:r>
          </w:p>
          <w:p w14:paraId="14E199A4"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[Visiškai savo nuožiūra] [Iš dalies savo nuožiūra] [Privaloma]</w:t>
            </w:r>
          </w:p>
          <w:p w14:paraId="2DCFDEAE"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i/>
                <w:sz w:val="24"/>
              </w:rPr>
              <w:lastRenderedPageBreak/>
              <w:t xml:space="preserve">Laisvos formos tekstas (nurodyti, dėl kurių priežasčių gali būti veikiama savo nuožiūra, ar nustatyta </w:t>
            </w:r>
            <w:r w:rsidRPr="00D75DB2">
              <w:rPr>
                <w:rFonts w:ascii="Times New Roman" w:hAnsi="Times New Roman"/>
                <w:i/>
                <w:sz w:val="24"/>
              </w:rPr>
              <w:t>dividendų mokėjimo nuostatų, dividendų nemokėjimo nuostatų, alternatyvus atkarpų mokėjimo mechanizmas)</w:t>
            </w:r>
          </w:p>
        </w:tc>
      </w:tr>
      <w:tr w:rsidR="000454E8" w:rsidRPr="00D75DB2" w14:paraId="57072B05" w14:textId="77777777">
        <w:trPr>
          <w:trHeight w:val="259"/>
        </w:trPr>
        <w:tc>
          <w:tcPr>
            <w:tcW w:w="1056" w:type="dxa"/>
            <w:vAlign w:val="center"/>
          </w:tcPr>
          <w:p w14:paraId="4B91240A"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21</w:t>
            </w:r>
          </w:p>
        </w:tc>
        <w:tc>
          <w:tcPr>
            <w:tcW w:w="7661" w:type="dxa"/>
            <w:shd w:val="clear" w:color="auto" w:fill="auto"/>
            <w:noWrap/>
            <w:vAlign w:val="bottom"/>
          </w:tcPr>
          <w:p w14:paraId="1A206EF9"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Taikoma visiškai savo nuožiūra, iš dalies savo nuožiūra arba privaloma (sumos atžvilgiu)</w:t>
            </w:r>
          </w:p>
          <w:p w14:paraId="694E0A0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Nurodoma, ar emitentas dėl atkarpos ir (arba) </w:t>
            </w:r>
            <w:r w:rsidRPr="00D75DB2">
              <w:rPr>
                <w:rFonts w:ascii="Times New Roman" w:hAnsi="Times New Roman"/>
                <w:sz w:val="24"/>
              </w:rPr>
              <w:t>dividendų sumos sprendžia visiškai savo nuožiūra, iš dalies savo nuožiūra ar negali spręsti savo nuožiūra.</w:t>
            </w:r>
          </w:p>
          <w:p w14:paraId="71E41BB0"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[Visiškai savo nuožiūra] [Iš dalies savo nuožiūra] [Privaloma]</w:t>
            </w:r>
          </w:p>
        </w:tc>
      </w:tr>
      <w:tr w:rsidR="000454E8" w:rsidRPr="00D75DB2" w14:paraId="5620A97A" w14:textId="77777777">
        <w:trPr>
          <w:trHeight w:val="259"/>
        </w:trPr>
        <w:tc>
          <w:tcPr>
            <w:tcW w:w="1056" w:type="dxa"/>
            <w:vAlign w:val="center"/>
          </w:tcPr>
          <w:p w14:paraId="490A30DD"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22</w:t>
            </w:r>
          </w:p>
        </w:tc>
        <w:tc>
          <w:tcPr>
            <w:tcW w:w="7661" w:type="dxa"/>
            <w:shd w:val="clear" w:color="auto" w:fill="auto"/>
            <w:noWrap/>
            <w:vAlign w:val="bottom"/>
          </w:tcPr>
          <w:p w14:paraId="2701642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 Vertės padidėjimo arba kitos paskatos išpirkti buvimas</w:t>
            </w:r>
          </w:p>
          <w:p w14:paraId="7B6C0C2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w:t>
            </w:r>
            <w:r w:rsidRPr="00D75DB2">
              <w:rPr>
                <w:rFonts w:ascii="Times New Roman" w:hAnsi="Times New Roman"/>
                <w:sz w:val="24"/>
              </w:rPr>
              <w:t>doma, ar esama vertės padidėjimo arba kitos paskatos išpirkti.</w:t>
            </w:r>
          </w:p>
          <w:p w14:paraId="7B1B01CA"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[Taip] [Ne]</w:t>
            </w:r>
          </w:p>
        </w:tc>
      </w:tr>
      <w:tr w:rsidR="000454E8" w:rsidRPr="00D75DB2" w14:paraId="344D84A2" w14:textId="77777777">
        <w:trPr>
          <w:trHeight w:val="259"/>
        </w:trPr>
        <w:tc>
          <w:tcPr>
            <w:tcW w:w="1056" w:type="dxa"/>
            <w:vAlign w:val="center"/>
          </w:tcPr>
          <w:p w14:paraId="3E129A57"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23</w:t>
            </w:r>
          </w:p>
        </w:tc>
        <w:tc>
          <w:tcPr>
            <w:tcW w:w="7661" w:type="dxa"/>
            <w:shd w:val="clear" w:color="auto" w:fill="auto"/>
            <w:noWrap/>
            <w:vAlign w:val="bottom"/>
          </w:tcPr>
          <w:p w14:paraId="6AB7E07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Nekaupiamieji ar kaupiamieji</w:t>
            </w:r>
          </w:p>
          <w:p w14:paraId="2B2AD514"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dividendai ir (arba) atkarpos yra kaupiamieji, ar nekaupiamieji.</w:t>
            </w:r>
          </w:p>
          <w:p w14:paraId="253D1B50"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[Nekaupiamieji] [Kaupiamie</w:t>
            </w:r>
            <w:r w:rsidRPr="00D75DB2">
              <w:rPr>
                <w:rFonts w:ascii="Times New Roman" w:hAnsi="Times New Roman"/>
                <w:i/>
                <w:sz w:val="24"/>
              </w:rPr>
              <w:t>ji] [Alternatyvus atkarpų mokėjimo mechanizmas]</w:t>
            </w:r>
          </w:p>
        </w:tc>
      </w:tr>
      <w:tr w:rsidR="000454E8" w:rsidRPr="00D75DB2" w14:paraId="27BA2567" w14:textId="77777777">
        <w:trPr>
          <w:trHeight w:val="259"/>
        </w:trPr>
        <w:tc>
          <w:tcPr>
            <w:tcW w:w="1056" w:type="dxa"/>
            <w:vAlign w:val="center"/>
          </w:tcPr>
          <w:p w14:paraId="1CE61A03"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24</w:t>
            </w:r>
          </w:p>
        </w:tc>
        <w:tc>
          <w:tcPr>
            <w:tcW w:w="7661" w:type="dxa"/>
            <w:shd w:val="clear" w:color="auto" w:fill="auto"/>
            <w:noWrap/>
            <w:vAlign w:val="bottom"/>
          </w:tcPr>
          <w:p w14:paraId="4280B2C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Konvertuojamoji arba nekonvertuojamoji</w:t>
            </w:r>
          </w:p>
          <w:p w14:paraId="5E57D71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priemonė yra konvertuojamoji, ar ne.</w:t>
            </w:r>
          </w:p>
          <w:p w14:paraId="6AE32974"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[Konvertuojamoji] [Nekonvertuojamoji]</w:t>
            </w:r>
          </w:p>
        </w:tc>
      </w:tr>
      <w:tr w:rsidR="000454E8" w:rsidRPr="00D75DB2" w14:paraId="3751EB98" w14:textId="77777777">
        <w:trPr>
          <w:trHeight w:val="259"/>
        </w:trPr>
        <w:tc>
          <w:tcPr>
            <w:tcW w:w="1056" w:type="dxa"/>
            <w:vAlign w:val="center"/>
          </w:tcPr>
          <w:p w14:paraId="2B39A760"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25</w:t>
            </w:r>
          </w:p>
        </w:tc>
        <w:tc>
          <w:tcPr>
            <w:tcW w:w="7661" w:type="dxa"/>
            <w:shd w:val="clear" w:color="auto" w:fill="auto"/>
            <w:noWrap/>
            <w:vAlign w:val="bottom"/>
          </w:tcPr>
          <w:p w14:paraId="5DD6E83D"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 Jeigu priemonė konvertuojamoji, įvykis (-iai), kuriam (-iems) įvykus priemonė turi būti konvertuota</w:t>
            </w:r>
          </w:p>
          <w:p w14:paraId="1898484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Nurodomos sąlygos, kuriomis priemonė bus konvertuota, įskaitant gyvybingumo praradimo momentą. Jeigu inicijuoti konvertavimą gali viena ar daugiau instituc</w:t>
            </w:r>
            <w:r w:rsidRPr="00D75DB2">
              <w:rPr>
                <w:rFonts w:ascii="Times New Roman" w:hAnsi="Times New Roman"/>
                <w:sz w:val="24"/>
              </w:rPr>
              <w:t>ijų, reikia išvardyti tas institucijas. Teikiant informaciją apie kiekvieną iš šių institucijų, reikia nurodyti, ar teisinis pagrindas, kuriuo ta institucija gali inicijuoti konvertavimą, grindžiamas priemonės sutarties sąlygomis (sutartimi pagrįstas metod</w:t>
            </w:r>
            <w:r w:rsidRPr="00D75DB2">
              <w:rPr>
                <w:rFonts w:ascii="Times New Roman" w:hAnsi="Times New Roman"/>
                <w:sz w:val="24"/>
              </w:rPr>
              <w:t>as), ar tas teisinis pagrindas grindžiamas teisės aktų nustatytomis priemonėmis (teisės aktais pagrįstas metodas).</w:t>
            </w:r>
          </w:p>
          <w:p w14:paraId="25187BCB"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27DE2F1A" w14:textId="77777777">
        <w:trPr>
          <w:trHeight w:val="259"/>
        </w:trPr>
        <w:tc>
          <w:tcPr>
            <w:tcW w:w="1056" w:type="dxa"/>
            <w:vAlign w:val="center"/>
          </w:tcPr>
          <w:p w14:paraId="5CC7FFAF"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26</w:t>
            </w:r>
          </w:p>
        </w:tc>
        <w:tc>
          <w:tcPr>
            <w:tcW w:w="7661" w:type="dxa"/>
            <w:shd w:val="clear" w:color="auto" w:fill="auto"/>
            <w:noWrap/>
            <w:vAlign w:val="bottom"/>
          </w:tcPr>
          <w:p w14:paraId="7FA8B1C4"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konvertuojamoji, ar ji konvertuojama visiškai, ar iš dalies</w:t>
            </w:r>
          </w:p>
          <w:p w14:paraId="05B89A34"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lastRenderedPageBreak/>
              <w:t>Nurodoma, ar priemonė visada konvertuoj</w:t>
            </w:r>
            <w:r w:rsidRPr="00D75DB2">
              <w:rPr>
                <w:rFonts w:ascii="Times New Roman" w:hAnsi="Times New Roman"/>
                <w:sz w:val="24"/>
              </w:rPr>
              <w:t>ama visiškai, gali būti konvertuojama visiškai arba iš dalies, ar visada konvertuojama iš dalies.</w:t>
            </w:r>
          </w:p>
          <w:p w14:paraId="160062E2"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[Visada visiškai] [Visiškai arba iš dalies] [Visada iš dalies]</w:t>
            </w:r>
          </w:p>
        </w:tc>
      </w:tr>
      <w:tr w:rsidR="000454E8" w:rsidRPr="00D75DB2" w14:paraId="6B69459F" w14:textId="77777777">
        <w:trPr>
          <w:trHeight w:val="259"/>
        </w:trPr>
        <w:tc>
          <w:tcPr>
            <w:tcW w:w="1056" w:type="dxa"/>
            <w:vAlign w:val="center"/>
          </w:tcPr>
          <w:p w14:paraId="11C1B85D"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27</w:t>
            </w:r>
          </w:p>
        </w:tc>
        <w:tc>
          <w:tcPr>
            <w:tcW w:w="7661" w:type="dxa"/>
            <w:shd w:val="clear" w:color="auto" w:fill="auto"/>
            <w:noWrap/>
            <w:vAlign w:val="bottom"/>
          </w:tcPr>
          <w:p w14:paraId="4FCA78F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konvertuojamoji, konvertavimo koeficientas</w:t>
            </w:r>
          </w:p>
          <w:p w14:paraId="258E6F0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Nurodomas konvertavimo į priemonę, kuria nuostoliai padengiami lengviau, koeficientas.</w:t>
            </w:r>
          </w:p>
          <w:p w14:paraId="6445F8DE"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7873BD91" w14:textId="77777777">
        <w:trPr>
          <w:trHeight w:val="259"/>
        </w:trPr>
        <w:tc>
          <w:tcPr>
            <w:tcW w:w="1056" w:type="dxa"/>
            <w:vAlign w:val="center"/>
          </w:tcPr>
          <w:p w14:paraId="40A0D0F5"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28</w:t>
            </w:r>
          </w:p>
        </w:tc>
        <w:tc>
          <w:tcPr>
            <w:tcW w:w="7661" w:type="dxa"/>
            <w:shd w:val="clear" w:color="auto" w:fill="auto"/>
            <w:noWrap/>
            <w:vAlign w:val="bottom"/>
          </w:tcPr>
          <w:p w14:paraId="747D2BEE"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 Jeigu priemonė konvertuojamoji, ar konvertuoti privaloma, ar neprivaloma</w:t>
            </w:r>
          </w:p>
          <w:p w14:paraId="010B3D01"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Konvertuojamųjų priemonių atveju nurodoma, ar konvertuoti privaloma,</w:t>
            </w:r>
            <w:r w:rsidRPr="00D75DB2">
              <w:rPr>
                <w:rFonts w:ascii="Times New Roman" w:hAnsi="Times New Roman"/>
                <w:sz w:val="24"/>
              </w:rPr>
              <w:t xml:space="preserve"> ar neprivaloma.</w:t>
            </w:r>
          </w:p>
          <w:p w14:paraId="27300670"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[Privalomas] [Neprivalomas] [Netaikoma] ir [Turėtojų nuožiūra] [Emitento nuožiūra] [Ir turėtojų, ir emitento nuožiūra]</w:t>
            </w:r>
          </w:p>
        </w:tc>
      </w:tr>
      <w:tr w:rsidR="000454E8" w:rsidRPr="00D75DB2" w14:paraId="21CCA21A" w14:textId="77777777">
        <w:trPr>
          <w:trHeight w:val="259"/>
        </w:trPr>
        <w:tc>
          <w:tcPr>
            <w:tcW w:w="1056" w:type="dxa"/>
            <w:vAlign w:val="center"/>
          </w:tcPr>
          <w:p w14:paraId="0B3C68F0"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29</w:t>
            </w:r>
          </w:p>
        </w:tc>
        <w:tc>
          <w:tcPr>
            <w:tcW w:w="7661" w:type="dxa"/>
            <w:shd w:val="clear" w:color="auto" w:fill="auto"/>
            <w:noWrap/>
            <w:vAlign w:val="bottom"/>
          </w:tcPr>
          <w:p w14:paraId="279287CB"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konvertuojamoji, nurodyti priemonės, į kurią ji konvertuojama, rūšį</w:t>
            </w:r>
          </w:p>
          <w:p w14:paraId="3B7050F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Konvertuoja</w:t>
            </w:r>
            <w:r w:rsidRPr="00D75DB2">
              <w:rPr>
                <w:rFonts w:ascii="Times New Roman" w:hAnsi="Times New Roman"/>
                <w:sz w:val="24"/>
              </w:rPr>
              <w:t>mųjų priemonių atveju nurodoma priemonės, į kurią ji konvertuojama, rūšis.</w:t>
            </w:r>
          </w:p>
          <w:p w14:paraId="5EDEBB84"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[Bendro 1 lygio nuosavo kapitalo] [Papildomo 1 lygio kapitalo] [2 lygio kapitalo] [Kita]</w:t>
            </w:r>
          </w:p>
        </w:tc>
      </w:tr>
      <w:tr w:rsidR="000454E8" w:rsidRPr="00D75DB2" w14:paraId="2B537454" w14:textId="77777777">
        <w:trPr>
          <w:trHeight w:val="259"/>
        </w:trPr>
        <w:tc>
          <w:tcPr>
            <w:tcW w:w="1056" w:type="dxa"/>
            <w:vAlign w:val="center"/>
          </w:tcPr>
          <w:p w14:paraId="42738F8B"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30</w:t>
            </w:r>
          </w:p>
        </w:tc>
        <w:tc>
          <w:tcPr>
            <w:tcW w:w="7661" w:type="dxa"/>
            <w:shd w:val="clear" w:color="auto" w:fill="auto"/>
            <w:noWrap/>
            <w:vAlign w:val="bottom"/>
          </w:tcPr>
          <w:p w14:paraId="6656A800"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Jeigu priemonė konvertuojamoji, nurodyti priemonės, į kurią ji </w:t>
            </w:r>
            <w:r w:rsidRPr="00D75DB2">
              <w:rPr>
                <w:rFonts w:ascii="Times New Roman" w:hAnsi="Times New Roman"/>
                <w:sz w:val="24"/>
              </w:rPr>
              <w:t>konvertuojama, emitentą</w:t>
            </w:r>
          </w:p>
          <w:p w14:paraId="2578066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Konvertuojamųjų priemonių atveju nurodomas priemonės, į kurią ji konvertuojama, emitentas.</w:t>
            </w:r>
          </w:p>
          <w:p w14:paraId="089A87AC"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5BD8AF84" w14:textId="77777777">
        <w:trPr>
          <w:trHeight w:val="259"/>
        </w:trPr>
        <w:tc>
          <w:tcPr>
            <w:tcW w:w="1056" w:type="dxa"/>
            <w:vAlign w:val="center"/>
          </w:tcPr>
          <w:p w14:paraId="3BA27FC0"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31</w:t>
            </w:r>
          </w:p>
        </w:tc>
        <w:tc>
          <w:tcPr>
            <w:tcW w:w="7661" w:type="dxa"/>
            <w:shd w:val="clear" w:color="auto" w:fill="auto"/>
            <w:noWrap/>
            <w:vAlign w:val="bottom"/>
          </w:tcPr>
          <w:p w14:paraId="640BBC4B"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Su nurašymu susijusios savybės</w:t>
            </w:r>
          </w:p>
          <w:p w14:paraId="31437764"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yra su nurašymu susijusi savybė.</w:t>
            </w:r>
          </w:p>
          <w:p w14:paraId="0448119F"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[Taip] [Ne]</w:t>
            </w:r>
          </w:p>
        </w:tc>
      </w:tr>
      <w:tr w:rsidR="000454E8" w:rsidRPr="00D75DB2" w14:paraId="36A6063E" w14:textId="77777777">
        <w:trPr>
          <w:trHeight w:val="259"/>
        </w:trPr>
        <w:tc>
          <w:tcPr>
            <w:tcW w:w="1056" w:type="dxa"/>
            <w:vAlign w:val="center"/>
          </w:tcPr>
          <w:p w14:paraId="22D241FB"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32</w:t>
            </w:r>
          </w:p>
        </w:tc>
        <w:tc>
          <w:tcPr>
            <w:tcW w:w="7661" w:type="dxa"/>
            <w:shd w:val="clear" w:color="auto" w:fill="auto"/>
            <w:noWrap/>
            <w:vAlign w:val="bottom"/>
          </w:tcPr>
          <w:p w14:paraId="773A0AA7"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gali būti nurašyta, įvykis (-iai), kuriam (-iems) įvykus priemonė turi būti nurašyta</w:t>
            </w:r>
          </w:p>
          <w:p w14:paraId="08B7AC05" w14:textId="77777777" w:rsidR="000454E8" w:rsidRPr="00D75DB2" w:rsidRDefault="00D75DB2">
            <w:pPr>
              <w:autoSpaceDE w:val="0"/>
              <w:autoSpaceDN w:val="0"/>
              <w:adjustRightInd w:val="0"/>
              <w:spacing w:after="200" w:line="276" w:lineRule="auto"/>
              <w:jc w:val="both"/>
              <w:rPr>
                <w:rFonts w:ascii="Times New Roman" w:eastAsia="Times New Roman" w:hAnsi="Times New Roman" w:cs="Times New Roman"/>
                <w:sz w:val="24"/>
              </w:rPr>
            </w:pPr>
            <w:r w:rsidRPr="00D75DB2">
              <w:rPr>
                <w:rFonts w:ascii="Times New Roman" w:hAnsi="Times New Roman"/>
                <w:sz w:val="24"/>
              </w:rPr>
              <w:lastRenderedPageBreak/>
              <w:t xml:space="preserve">Nurodomi įvykiai, kuriems įvykus priemonė turi būti nurašyta, įskaitant gyvybingumo praradimo momentą. Jeigu inicijuoti nurašymą gali viena ar </w:t>
            </w:r>
            <w:r w:rsidRPr="00D75DB2">
              <w:rPr>
                <w:rFonts w:ascii="Times New Roman" w:hAnsi="Times New Roman"/>
                <w:sz w:val="24"/>
              </w:rPr>
              <w:t>daugiau institucijų, reikia išvardyti tas institucijas. Teikiant informaciją apie kiekvieną iš šių institucijų reikia nurodyti, ar teisinis pagrindas, kuriuo ta institucija gali inicijuoti nurašymą, grindžiamas priemonės sutarties sąlygomis (sutartimi pagr</w:t>
            </w:r>
            <w:r w:rsidRPr="00D75DB2">
              <w:rPr>
                <w:rFonts w:ascii="Times New Roman" w:hAnsi="Times New Roman"/>
                <w:sz w:val="24"/>
              </w:rPr>
              <w:t>įstas metodas), ar tas teisinis pagrindas grindžiamas teisės aktų nustatytomis priemonėmis (teisės aktais pagrįstas metodas).</w:t>
            </w:r>
          </w:p>
          <w:p w14:paraId="094EFF55"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3044F7A0" w14:textId="77777777">
        <w:trPr>
          <w:trHeight w:val="259"/>
        </w:trPr>
        <w:tc>
          <w:tcPr>
            <w:tcW w:w="1056" w:type="dxa"/>
            <w:vAlign w:val="center"/>
          </w:tcPr>
          <w:p w14:paraId="1A4A525D"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lastRenderedPageBreak/>
              <w:t>33</w:t>
            </w:r>
          </w:p>
        </w:tc>
        <w:tc>
          <w:tcPr>
            <w:tcW w:w="7661" w:type="dxa"/>
            <w:shd w:val="clear" w:color="auto" w:fill="auto"/>
            <w:noWrap/>
            <w:vAlign w:val="bottom"/>
          </w:tcPr>
          <w:p w14:paraId="30468B7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gali būti nurašyta, ar ji nurašoma visa, ar iš dalies</w:t>
            </w:r>
          </w:p>
          <w:p w14:paraId="1D60E0E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Nurodoma, ar priemonė visais </w:t>
            </w:r>
            <w:r w:rsidRPr="00D75DB2">
              <w:rPr>
                <w:rFonts w:ascii="Times New Roman" w:hAnsi="Times New Roman"/>
                <w:sz w:val="24"/>
              </w:rPr>
              <w:t>atvejais bus visiškai nurašoma, gali būti nurašyta iš dalies, ar visais atvejais bus nurašoma iš dalies. Šie duomenys padeda įvertinti nuostolių padengimo lygį nurašymo atveju.</w:t>
            </w:r>
          </w:p>
          <w:p w14:paraId="28A07F6B"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[Visada visiškai] [Visiškai arba iš dalies] [Visada iš da</w:t>
            </w:r>
            <w:r w:rsidRPr="00D75DB2">
              <w:rPr>
                <w:rFonts w:ascii="Times New Roman" w:hAnsi="Times New Roman"/>
                <w:i/>
                <w:sz w:val="24"/>
              </w:rPr>
              <w:t xml:space="preserve">lies] </w:t>
            </w:r>
          </w:p>
        </w:tc>
      </w:tr>
      <w:tr w:rsidR="000454E8" w:rsidRPr="00D75DB2" w14:paraId="2A0EC416" w14:textId="77777777">
        <w:trPr>
          <w:trHeight w:val="259"/>
        </w:trPr>
        <w:tc>
          <w:tcPr>
            <w:tcW w:w="1056" w:type="dxa"/>
            <w:vAlign w:val="center"/>
          </w:tcPr>
          <w:p w14:paraId="60DC811A"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34</w:t>
            </w:r>
          </w:p>
        </w:tc>
        <w:tc>
          <w:tcPr>
            <w:tcW w:w="7661" w:type="dxa"/>
            <w:shd w:val="clear" w:color="auto" w:fill="auto"/>
            <w:noWrap/>
            <w:vAlign w:val="bottom"/>
          </w:tcPr>
          <w:p w14:paraId="0651A35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priemonė gali būti nurašyta, ar nurašymas galutinis, ar laikinas</w:t>
            </w:r>
          </w:p>
          <w:p w14:paraId="04F3A20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Galimų nurašyti priemonių atveju nurodoma, ar nurašymas galutinis, ar laikinas.</w:t>
            </w:r>
          </w:p>
          <w:p w14:paraId="119C08EA"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Pasirinkti iš sąrašo: [Nuolatinis] [Laikinas] [Netaikoma]</w:t>
            </w:r>
          </w:p>
        </w:tc>
      </w:tr>
      <w:tr w:rsidR="000454E8" w:rsidRPr="00D75DB2" w14:paraId="61BBE733" w14:textId="77777777">
        <w:trPr>
          <w:trHeight w:val="259"/>
        </w:trPr>
        <w:tc>
          <w:tcPr>
            <w:tcW w:w="1056" w:type="dxa"/>
            <w:vAlign w:val="center"/>
          </w:tcPr>
          <w:p w14:paraId="138559FC"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35</w:t>
            </w:r>
          </w:p>
        </w:tc>
        <w:tc>
          <w:tcPr>
            <w:tcW w:w="7661" w:type="dxa"/>
            <w:shd w:val="clear" w:color="auto" w:fill="auto"/>
            <w:noWrap/>
            <w:vAlign w:val="bottom"/>
          </w:tcPr>
          <w:p w14:paraId="7DD9D1CA"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Jeigu nurašymas </w:t>
            </w:r>
            <w:r w:rsidRPr="00D75DB2">
              <w:rPr>
                <w:rFonts w:ascii="Times New Roman" w:hAnsi="Times New Roman"/>
                <w:sz w:val="24"/>
              </w:rPr>
              <w:t>laikinas, įrašymo mechanizmo apibūdinimas</w:t>
            </w:r>
          </w:p>
          <w:p w14:paraId="285229E5"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Apibūdinamas įrašymo mechanizmas.</w:t>
            </w:r>
          </w:p>
          <w:p w14:paraId="731E053D"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rsidRPr="00D75DB2" w14:paraId="5E3E7DBC" w14:textId="77777777">
        <w:trPr>
          <w:trHeight w:val="1448"/>
        </w:trPr>
        <w:tc>
          <w:tcPr>
            <w:tcW w:w="1056" w:type="dxa"/>
            <w:vAlign w:val="center"/>
          </w:tcPr>
          <w:p w14:paraId="00A17B0E"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36</w:t>
            </w:r>
          </w:p>
        </w:tc>
        <w:tc>
          <w:tcPr>
            <w:tcW w:w="7661" w:type="dxa"/>
            <w:shd w:val="clear" w:color="auto" w:fill="auto"/>
            <w:noWrap/>
            <w:vAlign w:val="bottom"/>
          </w:tcPr>
          <w:p w14:paraId="4DFA6E4D"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Reikalavimų neatitinkančios pakitusios savybės</w:t>
            </w:r>
          </w:p>
          <w:p w14:paraId="1B664BE1"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Nurodoma, ar yra reikalavimų neatitinkančių savybių.</w:t>
            </w:r>
          </w:p>
          <w:p w14:paraId="3E79B5C1"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sz w:val="24"/>
              </w:rPr>
              <w:t>Pasirinkite [taip] arba [ne].</w:t>
            </w:r>
          </w:p>
        </w:tc>
      </w:tr>
      <w:tr w:rsidR="000454E8" w:rsidRPr="00D75DB2" w14:paraId="6D12CF45" w14:textId="77777777">
        <w:trPr>
          <w:trHeight w:val="259"/>
        </w:trPr>
        <w:tc>
          <w:tcPr>
            <w:tcW w:w="1056" w:type="dxa"/>
            <w:vAlign w:val="center"/>
          </w:tcPr>
          <w:p w14:paraId="1E6A8039"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37</w:t>
            </w:r>
          </w:p>
        </w:tc>
        <w:tc>
          <w:tcPr>
            <w:tcW w:w="7661" w:type="dxa"/>
            <w:shd w:val="clear" w:color="auto" w:fill="auto"/>
            <w:noWrap/>
            <w:vAlign w:val="bottom"/>
          </w:tcPr>
          <w:p w14:paraId="76C5C5E6"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Jeigu taip, </w:t>
            </w:r>
            <w:r w:rsidRPr="00D75DB2">
              <w:rPr>
                <w:rFonts w:ascii="Times New Roman" w:hAnsi="Times New Roman"/>
                <w:sz w:val="24"/>
              </w:rPr>
              <w:t>nurodyti reikalavimų neatitinkančias savybes</w:t>
            </w:r>
          </w:p>
          <w:p w14:paraId="1C45F56E"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Jeigu yra reikalavimų neatitinkančių savybių, įstaiga jas nurodo.</w:t>
            </w:r>
          </w:p>
          <w:p w14:paraId="42E52D97" w14:textId="77777777" w:rsidR="000454E8" w:rsidRPr="00D75DB2" w:rsidRDefault="00D75DB2">
            <w:pPr>
              <w:spacing w:after="200" w:line="276" w:lineRule="auto"/>
              <w:jc w:val="both"/>
              <w:rPr>
                <w:rFonts w:ascii="Times New Roman" w:eastAsia="Times New Roman" w:hAnsi="Times New Roman" w:cs="Times New Roman"/>
                <w:i/>
                <w:sz w:val="24"/>
              </w:rPr>
            </w:pPr>
            <w:r w:rsidRPr="00D75DB2">
              <w:rPr>
                <w:rFonts w:ascii="Times New Roman" w:hAnsi="Times New Roman"/>
                <w:i/>
                <w:sz w:val="24"/>
              </w:rPr>
              <w:t>Laisvos formos tekstas</w:t>
            </w:r>
          </w:p>
        </w:tc>
      </w:tr>
      <w:tr w:rsidR="000454E8" w14:paraId="26548824" w14:textId="77777777">
        <w:trPr>
          <w:trHeight w:val="259"/>
        </w:trPr>
        <w:tc>
          <w:tcPr>
            <w:tcW w:w="1056" w:type="dxa"/>
            <w:vAlign w:val="center"/>
          </w:tcPr>
          <w:p w14:paraId="05A68CF8" w14:textId="77777777" w:rsidR="000454E8" w:rsidRPr="00D75DB2" w:rsidRDefault="00D75DB2">
            <w:pPr>
              <w:spacing w:after="200" w:line="276" w:lineRule="auto"/>
              <w:rPr>
                <w:rFonts w:ascii="Times New Roman" w:eastAsia="Times New Roman" w:hAnsi="Times New Roman" w:cs="Times New Roman"/>
                <w:sz w:val="24"/>
              </w:rPr>
            </w:pPr>
            <w:r w:rsidRPr="00D75DB2">
              <w:rPr>
                <w:rFonts w:ascii="Times New Roman" w:hAnsi="Times New Roman"/>
                <w:color w:val="000000"/>
                <w:sz w:val="24"/>
              </w:rPr>
              <w:t>38</w:t>
            </w:r>
          </w:p>
        </w:tc>
        <w:tc>
          <w:tcPr>
            <w:tcW w:w="7661" w:type="dxa"/>
            <w:shd w:val="clear" w:color="auto" w:fill="auto"/>
            <w:noWrap/>
            <w:vAlign w:val="bottom"/>
          </w:tcPr>
          <w:p w14:paraId="617AC628" w14:textId="77777777" w:rsidR="000454E8" w:rsidRPr="00D75DB2"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Nuoroda į išsamias priemonės sąlygas (nuoroda)</w:t>
            </w:r>
          </w:p>
          <w:p w14:paraId="3E10D1FC" w14:textId="77777777" w:rsidR="000454E8" w:rsidRDefault="00D75DB2">
            <w:pPr>
              <w:spacing w:after="200" w:line="276" w:lineRule="auto"/>
              <w:jc w:val="both"/>
              <w:rPr>
                <w:rFonts w:ascii="Times New Roman" w:eastAsia="Times New Roman" w:hAnsi="Times New Roman" w:cs="Times New Roman"/>
                <w:sz w:val="24"/>
              </w:rPr>
            </w:pPr>
            <w:r w:rsidRPr="00D75DB2">
              <w:rPr>
                <w:rFonts w:ascii="Times New Roman" w:hAnsi="Times New Roman"/>
                <w:sz w:val="24"/>
              </w:rPr>
              <w:t xml:space="preserve">Investicinės įmonės nurodo hipersaitą, kur galima </w:t>
            </w:r>
            <w:r w:rsidRPr="00D75DB2">
              <w:rPr>
                <w:rFonts w:ascii="Times New Roman" w:hAnsi="Times New Roman"/>
                <w:sz w:val="24"/>
              </w:rPr>
              <w:t>susipažinti su emisijos prospektu, įskaitant visas priemonės sąlygas.</w:t>
            </w:r>
          </w:p>
        </w:tc>
      </w:tr>
      <w:bookmarkEnd w:id="0"/>
      <w:bookmarkEnd w:id="1"/>
      <w:bookmarkEnd w:id="2"/>
      <w:bookmarkEnd w:id="3"/>
      <w:bookmarkEnd w:id="4"/>
      <w:bookmarkEnd w:id="5"/>
      <w:bookmarkEnd w:id="6"/>
      <w:bookmarkEnd w:id="7"/>
      <w:bookmarkEnd w:id="8"/>
      <w:bookmarkEnd w:id="9"/>
    </w:tbl>
    <w:p w14:paraId="13F78D85" w14:textId="77777777" w:rsidR="000454E8" w:rsidRDefault="000454E8">
      <w:pPr>
        <w:rPr>
          <w:rFonts w:ascii="Times New Roman" w:hAnsi="Times New Roman" w:cs="Times New Roman"/>
          <w:bCs/>
          <w:sz w:val="24"/>
        </w:rPr>
      </w:pPr>
    </w:p>
    <w:sectPr w:rsidR="000454E8">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420D9" w14:textId="77777777" w:rsidR="000454E8" w:rsidRDefault="00D75DB2">
      <w:r>
        <w:separator/>
      </w:r>
    </w:p>
  </w:endnote>
  <w:endnote w:type="continuationSeparator" w:id="0">
    <w:p w14:paraId="7B76B288" w14:textId="77777777" w:rsidR="000454E8" w:rsidRDefault="00D75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E7388" w14:textId="77777777" w:rsidR="000454E8" w:rsidRDefault="000454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2A252" w14:textId="77777777" w:rsidR="000454E8" w:rsidRDefault="00D75DB2">
    <w:pPr>
      <w:pStyle w:val="Footer"/>
      <w:tabs>
        <w:tab w:val="clear" w:pos="4320"/>
        <w:tab w:val="clear" w:pos="8640"/>
        <w:tab w:val="right" w:pos="9071"/>
      </w:tabs>
    </w:pPr>
    <w:r>
      <w:t>LT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668A" w14:textId="77777777" w:rsidR="000454E8" w:rsidRDefault="000454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FCE2E3" w14:textId="77777777" w:rsidR="000454E8" w:rsidRDefault="00D75DB2">
      <w:pPr>
        <w:rPr>
          <w:sz w:val="12"/>
          <w:szCs w:val="12"/>
        </w:rPr>
      </w:pPr>
      <w:r>
        <w:rPr>
          <w:sz w:val="12"/>
          <w:szCs w:val="12"/>
        </w:rPr>
        <w:separator/>
      </w:r>
    </w:p>
  </w:footnote>
  <w:footnote w:type="continuationSeparator" w:id="0">
    <w:p w14:paraId="6E0DE173" w14:textId="77777777" w:rsidR="000454E8" w:rsidRDefault="00D75DB2">
      <w:r>
        <w:continuationSeparator/>
      </w:r>
    </w:p>
  </w:footnote>
  <w:footnote w:type="continuationNotice" w:id="1">
    <w:p w14:paraId="77885739" w14:textId="77777777" w:rsidR="000454E8" w:rsidRDefault="000454E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DB2D7" w14:textId="77777777" w:rsidR="000454E8" w:rsidRDefault="000454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A3122" w14:textId="0BA58779" w:rsidR="000454E8" w:rsidRDefault="00D75DB2">
    <w:pPr>
      <w:pStyle w:val="Header"/>
    </w:pPr>
    <w:r>
      <w:rPr>
        <w:noProof/>
      </w:rPr>
      <mc:AlternateContent>
        <mc:Choice Requires="wps">
          <w:drawing>
            <wp:anchor distT="0" distB="0" distL="114300" distR="114300" simplePos="0" relativeHeight="251659264" behindDoc="0" locked="0" layoutInCell="0" allowOverlap="1" wp14:anchorId="684AD976" wp14:editId="08D507A6">
              <wp:simplePos x="0" y="0"/>
              <wp:positionH relativeFrom="page">
                <wp:posOffset>0</wp:posOffset>
              </wp:positionH>
              <wp:positionV relativeFrom="page">
                <wp:posOffset>190500</wp:posOffset>
              </wp:positionV>
              <wp:extent cx="7556500" cy="273050"/>
              <wp:effectExtent l="0" t="0" r="0" b="12700"/>
              <wp:wrapNone/>
              <wp:docPr id="1" name="MSIPCM13ef42718f39ea01c5e761e5"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B3F501" w14:textId="7D9EC5E2" w:rsidR="00D75DB2" w:rsidRPr="00D75DB2" w:rsidRDefault="00D75DB2" w:rsidP="00D75DB2">
                          <w:pPr>
                            <w:rPr>
                              <w:rFonts w:ascii="Calibri" w:hAnsi="Calibri" w:cs="Calibri"/>
                              <w:color w:val="000000"/>
                              <w:sz w:val="24"/>
                            </w:rPr>
                          </w:pPr>
                          <w:r w:rsidRPr="00D75DB2">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84AD976" id="_x0000_t202" coordsize="21600,21600" o:spt="202" path="m,l,21600r21600,l21600,xe">
              <v:stroke joinstyle="miter"/>
              <v:path gradientshapeok="t" o:connecttype="rect"/>
            </v:shapetype>
            <v:shape id="MSIPCM13ef42718f39ea01c5e761e5"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D05TzG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2AB3F501" w14:textId="7D9EC5E2" w:rsidR="00D75DB2" w:rsidRPr="00D75DB2" w:rsidRDefault="00D75DB2" w:rsidP="00D75DB2">
                    <w:pPr>
                      <w:rPr>
                        <w:rFonts w:ascii="Calibri" w:hAnsi="Calibri" w:cs="Calibri"/>
                        <w:color w:val="000000"/>
                        <w:sz w:val="24"/>
                      </w:rPr>
                    </w:pPr>
                    <w:r w:rsidRPr="00D75DB2">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F03B2" w14:textId="77777777" w:rsidR="000454E8" w:rsidRDefault="000454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0454E8"/>
    <w:rsid w:val="000454E8"/>
    <w:rsid w:val="00D75D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B6CA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lt-LT"/>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lt-LT"/>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lt-LT" w:eastAsia="de-DE"/>
    </w:rPr>
  </w:style>
  <w:style w:type="character" w:customStyle="1" w:styleId="ListParagraphChar">
    <w:name w:val="List Paragraph Char"/>
    <w:link w:val="ListParagraph"/>
    <w:uiPriority w:val="34"/>
    <w:rPr>
      <w:rFonts w:ascii="Calibri" w:eastAsia="Calibri" w:hAnsi="Calibri" w:cs="Times New Roman"/>
      <w:sz w:val="22"/>
      <w:szCs w:val="22"/>
      <w:lang w:val="lt-LT"/>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872D8-2974-4D0C-8D7D-6F35548C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8227</Words>
  <Characters>46894</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2022-01-14T16:48:15Z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ecb534d8-9cec-4033-aeba-50a224ac8e96</vt:lpwstr>
  </property>
  <property fmtid="{D5CDD505-2E9C-101B-9397-08002B2CF9AE}" pid="8" name="MSIP_Label_5c7eb9de-735b-4a68-8fe4-c9c62709b012_ContentBits">
    <vt:lpwstr>1</vt:lpwstr>
  </property>
</Properties>
</file>