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7E3955" w14:textId="77777777" w:rsidR="00532AE6" w:rsidRPr="00B7315D" w:rsidRDefault="00B7315D">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B7315D">
        <w:rPr>
          <w:rFonts w:ascii="Times New Roman" w:hAnsi="Times New Roman"/>
          <w:b/>
          <w:sz w:val="24"/>
          <w:szCs w:val="24"/>
        </w:rPr>
        <w:t>NL</w:t>
      </w:r>
      <w:r w:rsidRPr="00B7315D">
        <w:br/>
      </w:r>
      <w:r w:rsidRPr="00B7315D">
        <w:rPr>
          <w:rFonts w:ascii="Times New Roman" w:hAnsi="Times New Roman"/>
          <w:b/>
          <w:sz w:val="24"/>
          <w:szCs w:val="20"/>
        </w:rPr>
        <w:t>BIJLAGE IV</w:t>
      </w:r>
    </w:p>
    <w:p w14:paraId="256A4739" w14:textId="77777777" w:rsidR="00532AE6" w:rsidRPr="00B7315D" w:rsidRDefault="00B7315D">
      <w:pPr>
        <w:spacing w:after="240" w:line="240" w:lineRule="auto"/>
        <w:jc w:val="center"/>
        <w:rPr>
          <w:rFonts w:ascii="Times New Roman" w:eastAsia="Times New Roman" w:hAnsi="Times New Roman" w:cs="Times New Roman"/>
          <w:b/>
          <w:sz w:val="24"/>
          <w:szCs w:val="20"/>
          <w:u w:val="single"/>
        </w:rPr>
      </w:pPr>
      <w:r w:rsidRPr="00B7315D">
        <w:rPr>
          <w:rFonts w:ascii="Times New Roman" w:hAnsi="Times New Roman"/>
          <w:b/>
          <w:sz w:val="24"/>
          <w:szCs w:val="20"/>
          <w:u w:val="single"/>
        </w:rPr>
        <w:t xml:space="preserve">“BIJLAGE </w:t>
      </w:r>
      <w:bookmarkEnd w:id="0"/>
      <w:bookmarkEnd w:id="1"/>
      <w:r w:rsidRPr="00B7315D">
        <w:rPr>
          <w:rFonts w:ascii="Times New Roman" w:hAnsi="Times New Roman"/>
          <w:b/>
          <w:sz w:val="24"/>
          <w:szCs w:val="20"/>
          <w:u w:val="single"/>
        </w:rPr>
        <w:t>IV</w:t>
      </w:r>
    </w:p>
    <w:p w14:paraId="793B2B46" w14:textId="77777777" w:rsidR="00532AE6" w:rsidRPr="00B7315D" w:rsidRDefault="00B7315D">
      <w:pPr>
        <w:spacing w:after="240" w:line="240" w:lineRule="auto"/>
        <w:jc w:val="center"/>
        <w:rPr>
          <w:rFonts w:ascii="Times New Roman" w:eastAsia="Times New Roman" w:hAnsi="Times New Roman" w:cs="Times New Roman"/>
          <w:b/>
          <w:sz w:val="24"/>
          <w:szCs w:val="20"/>
        </w:rPr>
      </w:pPr>
      <w:r w:rsidRPr="00B7315D">
        <w:rPr>
          <w:rFonts w:ascii="Times New Roman" w:hAnsi="Times New Roman"/>
          <w:b/>
          <w:sz w:val="24"/>
          <w:szCs w:val="20"/>
        </w:rPr>
        <w:t>RAPPORTAGE VOOR KLEINE EN NIET-VERWEVEN BELEGGINGSONDERNEMINGEN</w:t>
      </w:r>
    </w:p>
    <w:p w14:paraId="6DF806E6" w14:textId="77777777" w:rsidR="00532AE6" w:rsidRPr="00B7315D" w:rsidRDefault="00B7315D">
      <w:pPr>
        <w:spacing w:after="0" w:line="240" w:lineRule="auto"/>
        <w:rPr>
          <w:rFonts w:ascii="Times New Roman" w:eastAsia="Times New Roman" w:hAnsi="Times New Roman" w:cs="Times New Roman"/>
          <w:sz w:val="24"/>
          <w:szCs w:val="24"/>
          <w:lang w:val="en-US"/>
        </w:rPr>
      </w:pPr>
      <w:r w:rsidRPr="00B7315D">
        <w:rPr>
          <w:rFonts w:ascii="Times New Roman" w:hAnsi="Times New Roman"/>
          <w:sz w:val="24"/>
          <w:szCs w:val="24"/>
          <w:lang w:val="en-US"/>
        </w:rPr>
        <w:t>Inhoudsopgave</w:t>
      </w:r>
    </w:p>
    <w:p w14:paraId="5F2DAA1A" w14:textId="77777777" w:rsidR="00532AE6" w:rsidRPr="00B7315D" w:rsidRDefault="00B7315D">
      <w:pPr>
        <w:pStyle w:val="TOC2"/>
        <w:rPr>
          <w:rFonts w:eastAsiaTheme="minorEastAsia"/>
        </w:rPr>
      </w:pPr>
      <w:r w:rsidRPr="00B7315D">
        <w:t>DEEL I: ALGEMENE INSTRUCTIES</w:t>
      </w:r>
      <w:r w:rsidRPr="00B7315D">
        <w:tab/>
        <w:t>2</w:t>
      </w:r>
    </w:p>
    <w:p w14:paraId="75E38DB8" w14:textId="77777777" w:rsidR="00532AE6" w:rsidRPr="00B7315D" w:rsidRDefault="00B7315D">
      <w:pPr>
        <w:pStyle w:val="TOC2"/>
        <w:rPr>
          <w:rFonts w:eastAsiaTheme="minorEastAsia"/>
        </w:rPr>
      </w:pPr>
      <w:r w:rsidRPr="00B7315D">
        <w:t>1. Opzet en conventies</w:t>
      </w:r>
      <w:r w:rsidRPr="00B7315D">
        <w:tab/>
        <w:t>2</w:t>
      </w:r>
    </w:p>
    <w:p w14:paraId="35C0C9B9" w14:textId="77777777" w:rsidR="00532AE6" w:rsidRPr="00B7315D" w:rsidRDefault="00B7315D">
      <w:pPr>
        <w:pStyle w:val="TOC2"/>
        <w:rPr>
          <w:rFonts w:eastAsiaTheme="minorEastAsia"/>
        </w:rPr>
      </w:pPr>
      <w:r w:rsidRPr="00B7315D">
        <w:rPr>
          <w:u w:val="single"/>
        </w:rPr>
        <w:t>1.1</w:t>
      </w:r>
      <w:r w:rsidRPr="00B7315D">
        <w:rPr>
          <w:u w:val="single"/>
        </w:rPr>
        <w:t xml:space="preserve"> Opzet</w:t>
      </w:r>
      <w:r w:rsidRPr="00B7315D">
        <w:tab/>
        <w:t>2</w:t>
      </w:r>
    </w:p>
    <w:p w14:paraId="40079E0A" w14:textId="77777777" w:rsidR="00532AE6" w:rsidRPr="00B7315D" w:rsidRDefault="00B7315D">
      <w:pPr>
        <w:pStyle w:val="TOC2"/>
        <w:rPr>
          <w:rFonts w:eastAsiaTheme="minorEastAsia"/>
        </w:rPr>
      </w:pPr>
      <w:r w:rsidRPr="00B7315D">
        <w:rPr>
          <w:u w:val="single"/>
        </w:rPr>
        <w:t>1.2</w:t>
      </w:r>
      <w:r w:rsidRPr="00B7315D">
        <w:rPr>
          <w:u w:val="single"/>
        </w:rPr>
        <w:t xml:space="preserve"> Gebruik van nummering</w:t>
      </w:r>
      <w:r w:rsidRPr="00B7315D">
        <w:tab/>
        <w:t>2</w:t>
      </w:r>
    </w:p>
    <w:p w14:paraId="7F46CBAE" w14:textId="77777777" w:rsidR="00532AE6" w:rsidRPr="00B7315D" w:rsidRDefault="00B7315D">
      <w:pPr>
        <w:pStyle w:val="TOC2"/>
        <w:rPr>
          <w:rFonts w:eastAsiaTheme="minorEastAsia"/>
        </w:rPr>
      </w:pPr>
      <w:r w:rsidRPr="00B7315D">
        <w:rPr>
          <w:u w:val="single"/>
        </w:rPr>
        <w:t>1.3</w:t>
      </w:r>
      <w:r w:rsidRPr="00B7315D">
        <w:rPr>
          <w:u w:val="single"/>
        </w:rPr>
        <w:t xml:space="preserve"> Gebruik van tekens</w:t>
      </w:r>
      <w:r w:rsidRPr="00B7315D">
        <w:tab/>
        <w:t>2</w:t>
      </w:r>
    </w:p>
    <w:p w14:paraId="5A00E18C" w14:textId="77777777" w:rsidR="00532AE6" w:rsidRPr="00B7315D" w:rsidRDefault="00B7315D">
      <w:pPr>
        <w:pStyle w:val="TOC2"/>
        <w:rPr>
          <w:rFonts w:eastAsiaTheme="minorEastAsia"/>
        </w:rPr>
      </w:pPr>
      <w:r w:rsidRPr="00B7315D">
        <w:rPr>
          <w:u w:val="single"/>
        </w:rPr>
        <w:t>1.4</w:t>
      </w:r>
      <w:r w:rsidRPr="00B7315D">
        <w:rPr>
          <w:u w:val="single"/>
        </w:rPr>
        <w:t xml:space="preserve"> Prudentiële consolidatie</w:t>
      </w:r>
      <w:r w:rsidRPr="00B7315D">
        <w:tab/>
        <w:t>2</w:t>
      </w:r>
    </w:p>
    <w:p w14:paraId="6ED9A421" w14:textId="77777777" w:rsidR="00532AE6" w:rsidRPr="00B7315D" w:rsidRDefault="00B7315D">
      <w:pPr>
        <w:pStyle w:val="TOC2"/>
        <w:rPr>
          <w:rFonts w:eastAsiaTheme="minorEastAsia"/>
        </w:rPr>
      </w:pPr>
      <w:r w:rsidRPr="00B7315D">
        <w:t>DEEL II: INSTRUCTIES MET BETREKKING TOT DE TEMPLATES</w:t>
      </w:r>
      <w:r w:rsidRPr="00B7315D">
        <w:tab/>
        <w:t>3</w:t>
      </w:r>
    </w:p>
    <w:p w14:paraId="2E7A71E3" w14:textId="77777777" w:rsidR="00532AE6" w:rsidRPr="00B7315D" w:rsidRDefault="00B7315D">
      <w:pPr>
        <w:pStyle w:val="TOC2"/>
        <w:rPr>
          <w:rFonts w:eastAsiaTheme="minorEastAsia"/>
        </w:rPr>
      </w:pPr>
      <w:r w:rsidRPr="00B7315D">
        <w:t>1. EIGEN VERMOGEN: OMVANG, SAMENSTELLING, VEREISTEN EN BEREKENING</w:t>
      </w:r>
      <w:r w:rsidRPr="00B7315D">
        <w:tab/>
        <w:t>3</w:t>
      </w:r>
    </w:p>
    <w:p w14:paraId="2A6FDA86" w14:textId="77777777" w:rsidR="00532AE6" w:rsidRPr="00B7315D" w:rsidRDefault="00B7315D">
      <w:pPr>
        <w:pStyle w:val="TOC2"/>
        <w:rPr>
          <w:rFonts w:eastAsiaTheme="minorEastAsia"/>
        </w:rPr>
      </w:pPr>
      <w:r w:rsidRPr="00B7315D">
        <w:t>1.1</w:t>
      </w:r>
      <w:r w:rsidRPr="00B7315D">
        <w:t xml:space="preserve"> Algemene opmerkingen</w:t>
      </w:r>
      <w:r w:rsidRPr="00B7315D">
        <w:tab/>
        <w:t>3</w:t>
      </w:r>
    </w:p>
    <w:p w14:paraId="201EFDFB" w14:textId="77777777" w:rsidR="00532AE6" w:rsidRPr="00B7315D" w:rsidRDefault="00B7315D">
      <w:pPr>
        <w:pStyle w:val="TOC2"/>
        <w:rPr>
          <w:rFonts w:eastAsiaTheme="minorEastAsia"/>
        </w:rPr>
      </w:pPr>
      <w:r w:rsidRPr="00B7315D">
        <w:t>1.2.</w:t>
      </w:r>
      <w:r w:rsidRPr="00B7315D">
        <w:t xml:space="preserve"> I </w:t>
      </w:r>
      <w:r w:rsidRPr="00B7315D">
        <w:t>01.01</w:t>
      </w:r>
      <w:r w:rsidRPr="00B7315D">
        <w:t xml:space="preserve"> — SAMENSTELLING EIGEN VERMOGEN (I </w:t>
      </w:r>
      <w:r w:rsidRPr="00B7315D">
        <w:t>1.1</w:t>
      </w:r>
      <w:r w:rsidRPr="00B7315D">
        <w:t>)</w:t>
      </w:r>
      <w:r w:rsidRPr="00B7315D">
        <w:tab/>
        <w:t>3</w:t>
      </w:r>
    </w:p>
    <w:p w14:paraId="60023B9B" w14:textId="77777777" w:rsidR="00532AE6" w:rsidRPr="00B7315D" w:rsidRDefault="00B7315D">
      <w:pPr>
        <w:pStyle w:val="TOC2"/>
        <w:rPr>
          <w:rFonts w:eastAsiaTheme="minorEastAsia"/>
        </w:rPr>
      </w:pPr>
      <w:r w:rsidRPr="00B7315D">
        <w:t>1.2.1.</w:t>
      </w:r>
      <w:r w:rsidRPr="00B7315D">
        <w:rPr>
          <w:rFonts w:eastAsiaTheme="minorEastAsia"/>
        </w:rPr>
        <w:tab/>
      </w:r>
      <w:r w:rsidRPr="00B7315D">
        <w:t>Instructies voor specifieke posities</w:t>
      </w:r>
      <w:r w:rsidRPr="00B7315D">
        <w:tab/>
        <w:t>3</w:t>
      </w:r>
    </w:p>
    <w:p w14:paraId="50B596B4" w14:textId="77777777" w:rsidR="00532AE6" w:rsidRPr="00B7315D" w:rsidRDefault="00B7315D">
      <w:pPr>
        <w:pStyle w:val="TOC2"/>
        <w:rPr>
          <w:rFonts w:eastAsiaTheme="minorEastAsia"/>
        </w:rPr>
      </w:pPr>
      <w:r w:rsidRPr="00B7315D">
        <w:t>1.3</w:t>
      </w:r>
      <w:r w:rsidRPr="00B7315D">
        <w:t xml:space="preserve"> I </w:t>
      </w:r>
      <w:r w:rsidRPr="00B7315D">
        <w:t>02.03</w:t>
      </w:r>
      <w:r w:rsidRPr="00B7315D">
        <w:t xml:space="preserve"> — EIGENVERMOGENSVEREISTEN (I </w:t>
      </w:r>
      <w:r w:rsidRPr="00B7315D">
        <w:t>2.3</w:t>
      </w:r>
      <w:r w:rsidRPr="00B7315D">
        <w:t>)</w:t>
      </w:r>
      <w:r w:rsidRPr="00B7315D">
        <w:tab/>
        <w:t>8</w:t>
      </w:r>
    </w:p>
    <w:p w14:paraId="616358B9" w14:textId="77777777" w:rsidR="00532AE6" w:rsidRPr="00B7315D" w:rsidRDefault="00B7315D">
      <w:pPr>
        <w:pStyle w:val="TOC2"/>
        <w:rPr>
          <w:rFonts w:eastAsiaTheme="minorEastAsia"/>
        </w:rPr>
      </w:pPr>
      <w:r w:rsidRPr="00B7315D">
        <w:t>1.3.1.</w:t>
      </w:r>
      <w:r w:rsidRPr="00B7315D">
        <w:rPr>
          <w:rFonts w:eastAsiaTheme="minorEastAsia"/>
        </w:rPr>
        <w:tab/>
      </w:r>
      <w:r w:rsidRPr="00B7315D">
        <w:t>Instructies voor specifieke posities</w:t>
      </w:r>
      <w:r w:rsidRPr="00B7315D">
        <w:tab/>
        <w:t>8</w:t>
      </w:r>
    </w:p>
    <w:p w14:paraId="3B4F892C" w14:textId="77777777" w:rsidR="00532AE6" w:rsidRPr="00B7315D" w:rsidRDefault="00B7315D">
      <w:pPr>
        <w:pStyle w:val="TOC2"/>
        <w:rPr>
          <w:rFonts w:eastAsiaTheme="minorEastAsia"/>
        </w:rPr>
      </w:pPr>
      <w:r w:rsidRPr="00B7315D">
        <w:t>1.4.</w:t>
      </w:r>
      <w:r w:rsidRPr="00B7315D">
        <w:t xml:space="preserve"> I </w:t>
      </w:r>
      <w:r w:rsidRPr="00B7315D">
        <w:t>02.04</w:t>
      </w:r>
      <w:r w:rsidRPr="00B7315D">
        <w:t xml:space="preserve"> — KAPITAALRATIO’S (I </w:t>
      </w:r>
      <w:r w:rsidRPr="00B7315D">
        <w:t>2.4</w:t>
      </w:r>
      <w:r w:rsidRPr="00B7315D">
        <w:t>)</w:t>
      </w:r>
      <w:r w:rsidRPr="00B7315D">
        <w:tab/>
        <w:t>9</w:t>
      </w:r>
    </w:p>
    <w:p w14:paraId="754E4043" w14:textId="77777777" w:rsidR="00532AE6" w:rsidRPr="00B7315D" w:rsidRDefault="00B7315D">
      <w:pPr>
        <w:pStyle w:val="TOC2"/>
        <w:rPr>
          <w:rFonts w:eastAsiaTheme="minorEastAsia"/>
        </w:rPr>
      </w:pPr>
      <w:r w:rsidRPr="00B7315D">
        <w:t>1.4.1.</w:t>
      </w:r>
      <w:r w:rsidRPr="00B7315D">
        <w:rPr>
          <w:rFonts w:eastAsiaTheme="minorEastAsia"/>
        </w:rPr>
        <w:tab/>
      </w:r>
      <w:r w:rsidRPr="00B7315D">
        <w:t>Instructies voor specifieke posities</w:t>
      </w:r>
      <w:r w:rsidRPr="00B7315D">
        <w:tab/>
        <w:t>9</w:t>
      </w:r>
    </w:p>
    <w:p w14:paraId="56043E07" w14:textId="77777777" w:rsidR="00532AE6" w:rsidRPr="00B7315D" w:rsidRDefault="00B7315D">
      <w:pPr>
        <w:pStyle w:val="TOC2"/>
        <w:rPr>
          <w:rFonts w:eastAsiaTheme="minorEastAsia"/>
        </w:rPr>
      </w:pPr>
      <w:r w:rsidRPr="00B7315D">
        <w:t>1.5.</w:t>
      </w:r>
      <w:r w:rsidRPr="00B7315D">
        <w:t xml:space="preserve"> I </w:t>
      </w:r>
      <w:r w:rsidRPr="00B7315D">
        <w:t>03.01</w:t>
      </w:r>
      <w:r w:rsidRPr="00B7315D">
        <w:t xml:space="preserve"> — BEREKENING VASTEKOSTENVEREISTE (I </w:t>
      </w:r>
      <w:r w:rsidRPr="00B7315D">
        <w:t>3.1</w:t>
      </w:r>
      <w:r w:rsidRPr="00B7315D">
        <w:t>)</w:t>
      </w:r>
      <w:r w:rsidRPr="00B7315D">
        <w:tab/>
        <w:t>11</w:t>
      </w:r>
    </w:p>
    <w:p w14:paraId="7BCC7DC3" w14:textId="77777777" w:rsidR="00532AE6" w:rsidRPr="00B7315D" w:rsidRDefault="00B7315D">
      <w:pPr>
        <w:pStyle w:val="TOC2"/>
        <w:rPr>
          <w:rFonts w:eastAsiaTheme="minorEastAsia"/>
        </w:rPr>
      </w:pPr>
      <w:r w:rsidRPr="00B7315D">
        <w:t>1.5.1.</w:t>
      </w:r>
      <w:r w:rsidRPr="00B7315D">
        <w:rPr>
          <w:rFonts w:eastAsiaTheme="minorEastAsia"/>
        </w:rPr>
        <w:tab/>
      </w:r>
      <w:r w:rsidRPr="00B7315D">
        <w:t>Instructies voor specifieke posities</w:t>
      </w:r>
      <w:r w:rsidRPr="00B7315D">
        <w:tab/>
        <w:t>11</w:t>
      </w:r>
    </w:p>
    <w:p w14:paraId="6F019F44" w14:textId="77777777" w:rsidR="00532AE6" w:rsidRPr="00B7315D" w:rsidRDefault="00B7315D">
      <w:pPr>
        <w:pStyle w:val="TOC2"/>
        <w:rPr>
          <w:rFonts w:eastAsiaTheme="minorEastAsia"/>
        </w:rPr>
      </w:pPr>
      <w:r w:rsidRPr="00B7315D">
        <w:t>2. KLEINE EN NIET-VERWEVEN BELEGGINGSONDERNEMINGEN</w:t>
      </w:r>
      <w:r w:rsidRPr="00B7315D">
        <w:tab/>
        <w:t>13</w:t>
      </w:r>
    </w:p>
    <w:p w14:paraId="2C47F69B" w14:textId="77777777" w:rsidR="00532AE6" w:rsidRPr="00B7315D" w:rsidRDefault="00B7315D">
      <w:pPr>
        <w:pStyle w:val="TOC2"/>
        <w:rPr>
          <w:rFonts w:eastAsiaTheme="minorEastAsia"/>
        </w:rPr>
      </w:pPr>
      <w:r w:rsidRPr="00B7315D">
        <w:t>2.1.</w:t>
      </w:r>
      <w:r w:rsidRPr="00B7315D">
        <w:tab/>
        <w:t xml:space="preserve">I </w:t>
      </w:r>
      <w:r w:rsidRPr="00B7315D">
        <w:t>05.00</w:t>
      </w:r>
      <w:r w:rsidRPr="00B7315D">
        <w:t xml:space="preserve"> — OMVANG ACTIVITEITEN — DREMPELTOETS (I 5)</w:t>
      </w:r>
      <w:r w:rsidRPr="00B7315D">
        <w:tab/>
        <w:t>13</w:t>
      </w:r>
    </w:p>
    <w:p w14:paraId="5FCC585F" w14:textId="77777777" w:rsidR="00532AE6" w:rsidRPr="00B7315D" w:rsidRDefault="00B7315D">
      <w:pPr>
        <w:pStyle w:val="TOC2"/>
        <w:rPr>
          <w:rFonts w:eastAsiaTheme="minorEastAsia"/>
        </w:rPr>
      </w:pPr>
      <w:r w:rsidRPr="00B7315D">
        <w:t>2.1.1.</w:t>
      </w:r>
      <w:r w:rsidRPr="00B7315D">
        <w:rPr>
          <w:rFonts w:eastAsiaTheme="minorEastAsia"/>
        </w:rPr>
        <w:tab/>
      </w:r>
      <w:r w:rsidRPr="00B7315D">
        <w:t>Instructies voor specifieke posities</w:t>
      </w:r>
      <w:r w:rsidRPr="00B7315D">
        <w:tab/>
        <w:t>13</w:t>
      </w:r>
    </w:p>
    <w:p w14:paraId="3D6719F7" w14:textId="77777777" w:rsidR="00532AE6" w:rsidRPr="00B7315D" w:rsidRDefault="00B7315D">
      <w:pPr>
        <w:pStyle w:val="TOC2"/>
        <w:rPr>
          <w:rFonts w:eastAsiaTheme="minorEastAsia"/>
        </w:rPr>
      </w:pPr>
      <w:r w:rsidRPr="00B7315D">
        <w:t>3. L</w:t>
      </w:r>
      <w:r w:rsidRPr="00B7315D">
        <w:t>IQUIDITEITSVEREISTEN</w:t>
      </w:r>
      <w:r w:rsidRPr="00B7315D">
        <w:tab/>
        <w:t>17</w:t>
      </w:r>
    </w:p>
    <w:p w14:paraId="375BF053" w14:textId="77777777" w:rsidR="00532AE6" w:rsidRPr="00B7315D" w:rsidRDefault="00B7315D">
      <w:pPr>
        <w:pStyle w:val="TOC2"/>
        <w:rPr>
          <w:rFonts w:eastAsiaTheme="minorEastAsia"/>
        </w:rPr>
      </w:pPr>
      <w:r w:rsidRPr="00B7315D">
        <w:t>3.1</w:t>
      </w:r>
      <w:r w:rsidRPr="00B7315D">
        <w:t xml:space="preserve"> I </w:t>
      </w:r>
      <w:r w:rsidRPr="00B7315D">
        <w:t>09.01</w:t>
      </w:r>
      <w:r w:rsidRPr="00B7315D">
        <w:t xml:space="preserve"> — LIQUIDITEITSVEREISTEN (I </w:t>
      </w:r>
      <w:r w:rsidRPr="00B7315D">
        <w:t>9.1</w:t>
      </w:r>
      <w:r w:rsidRPr="00B7315D">
        <w:t>)</w:t>
      </w:r>
      <w:r w:rsidRPr="00B7315D">
        <w:tab/>
        <w:t>17</w:t>
      </w:r>
    </w:p>
    <w:p w14:paraId="5D1F6097" w14:textId="77777777" w:rsidR="00532AE6" w:rsidRPr="00B7315D" w:rsidRDefault="00B7315D">
      <w:pPr>
        <w:pStyle w:val="TOC2"/>
        <w:rPr>
          <w:rFonts w:eastAsiaTheme="minorEastAsia"/>
        </w:rPr>
      </w:pPr>
      <w:r w:rsidRPr="00B7315D">
        <w:t>3.1.1.</w:t>
      </w:r>
      <w:r w:rsidRPr="00B7315D">
        <w:rPr>
          <w:rFonts w:eastAsiaTheme="minorEastAsia"/>
        </w:rPr>
        <w:tab/>
      </w:r>
      <w:r w:rsidRPr="00B7315D">
        <w:t>Instructies voor specifieke posities</w:t>
      </w:r>
      <w:r w:rsidRPr="00B7315D">
        <w:tab/>
        <w:t>17</w:t>
      </w:r>
      <w:bookmarkStart w:id="6" w:name="_Toc360188322"/>
      <w:bookmarkStart w:id="7" w:name="_Toc473560870"/>
      <w:bookmarkStart w:id="8" w:name="_Toc7084155"/>
    </w:p>
    <w:p w14:paraId="17C962CA" w14:textId="77777777" w:rsidR="00532AE6" w:rsidRPr="00B7315D" w:rsidRDefault="00B7315D">
      <w:pPr>
        <w:pStyle w:val="Heading2"/>
        <w:rPr>
          <w:rFonts w:ascii="Times New Roman" w:hAnsi="Times New Roman"/>
        </w:rPr>
      </w:pPr>
      <w:bookmarkStart w:id="9" w:name="_Toc88041240"/>
      <w:r w:rsidRPr="00B7315D">
        <w:rPr>
          <w:rFonts w:ascii="Times New Roman" w:hAnsi="Times New Roman"/>
        </w:rPr>
        <w:t>DEEL I: ALGEMENE INSTRUCTIES</w:t>
      </w:r>
      <w:bookmarkEnd w:id="9"/>
    </w:p>
    <w:p w14:paraId="23DFA25F" w14:textId="77777777" w:rsidR="00532AE6" w:rsidRPr="00B7315D" w:rsidRDefault="00B7315D">
      <w:pPr>
        <w:keepNext/>
        <w:spacing w:before="240" w:after="240" w:line="240" w:lineRule="auto"/>
        <w:jc w:val="both"/>
        <w:outlineLvl w:val="1"/>
        <w:rPr>
          <w:rFonts w:ascii="Times New Roman" w:eastAsia="Arial" w:hAnsi="Times New Roman" w:cs="Times New Roman"/>
          <w:sz w:val="24"/>
          <w:szCs w:val="24"/>
        </w:rPr>
      </w:pPr>
      <w:bookmarkStart w:id="10" w:name="_Toc88041241"/>
      <w:r w:rsidRPr="00B7315D">
        <w:rPr>
          <w:rFonts w:ascii="Times New Roman" w:hAnsi="Times New Roman"/>
          <w:sz w:val="24"/>
          <w:szCs w:val="24"/>
        </w:rPr>
        <w:t>1. Opzet en conventies</w:t>
      </w:r>
      <w:bookmarkEnd w:id="10"/>
    </w:p>
    <w:p w14:paraId="5564D8D3" w14:textId="77777777" w:rsidR="00532AE6" w:rsidRPr="00B7315D" w:rsidRDefault="00B7315D">
      <w:pPr>
        <w:keepNext/>
        <w:spacing w:before="240" w:after="240" w:line="240" w:lineRule="auto"/>
        <w:jc w:val="both"/>
        <w:outlineLvl w:val="1"/>
        <w:rPr>
          <w:rFonts w:ascii="Times New Roman" w:eastAsia="Arial" w:hAnsi="Times New Roman" w:cs="Times New Roman"/>
          <w:sz w:val="24"/>
          <w:szCs w:val="24"/>
          <w:u w:val="single"/>
        </w:rPr>
      </w:pPr>
      <w:bookmarkStart w:id="11" w:name="_Toc88041242"/>
      <w:r w:rsidRPr="00B7315D">
        <w:rPr>
          <w:rFonts w:ascii="Times New Roman" w:hAnsi="Times New Roman"/>
          <w:sz w:val="24"/>
          <w:szCs w:val="24"/>
          <w:u w:val="single"/>
        </w:rPr>
        <w:t>1.1</w:t>
      </w:r>
      <w:r w:rsidRPr="00B7315D">
        <w:rPr>
          <w:rFonts w:ascii="Times New Roman" w:hAnsi="Times New Roman"/>
          <w:sz w:val="24"/>
          <w:szCs w:val="24"/>
          <w:u w:val="single"/>
        </w:rPr>
        <w:t xml:space="preserve"> Opzet</w:t>
      </w:r>
      <w:bookmarkEnd w:id="11"/>
    </w:p>
    <w:p w14:paraId="18DEE6FA" w14:textId="77777777" w:rsidR="00532AE6" w:rsidRPr="00B7315D" w:rsidRDefault="00B7315D">
      <w:pPr>
        <w:spacing w:line="256" w:lineRule="auto"/>
        <w:ind w:left="993" w:hanging="504"/>
        <w:jc w:val="both"/>
        <w:rPr>
          <w:rFonts w:ascii="Times New Roman" w:hAnsi="Times New Roman" w:cs="Times New Roman"/>
        </w:rPr>
      </w:pPr>
      <w:r w:rsidRPr="00B7315D">
        <w:rPr>
          <w:rFonts w:ascii="Times New Roman" w:hAnsi="Times New Roman" w:cs="Times New Roman"/>
        </w:rPr>
        <w:t>1.</w:t>
      </w:r>
      <w:r w:rsidRPr="00B7315D">
        <w:rPr>
          <w:rFonts w:ascii="Times New Roman" w:hAnsi="Times New Roman" w:cs="Times New Roman"/>
        </w:rPr>
        <w:tab/>
      </w:r>
      <w:r w:rsidRPr="00B7315D">
        <w:rPr>
          <w:rFonts w:ascii="Times New Roman" w:hAnsi="Times New Roman"/>
        </w:rPr>
        <w:t xml:space="preserve">Het raamwerk als geheel bestaat uit de volgende </w:t>
      </w:r>
      <w:r w:rsidRPr="00B7315D">
        <w:rPr>
          <w:rFonts w:ascii="Times New Roman" w:hAnsi="Times New Roman"/>
        </w:rPr>
        <w:t>informatieblokken:</w:t>
      </w:r>
    </w:p>
    <w:p w14:paraId="3A4FD3DF" w14:textId="77777777" w:rsidR="00532AE6" w:rsidRPr="00B7315D" w:rsidRDefault="00B7315D">
      <w:pPr>
        <w:spacing w:line="256" w:lineRule="auto"/>
        <w:ind w:left="1728" w:hanging="648"/>
        <w:jc w:val="both"/>
        <w:rPr>
          <w:rFonts w:ascii="Times New Roman" w:hAnsi="Times New Roman" w:cs="Times New Roman"/>
        </w:rPr>
      </w:pPr>
      <w:r w:rsidRPr="00B7315D">
        <w:rPr>
          <w:rFonts w:ascii="Times New Roman" w:hAnsi="Times New Roman" w:cs="Times New Roman"/>
        </w:rPr>
        <w:t>(a)</w:t>
      </w:r>
      <w:r w:rsidRPr="00B7315D">
        <w:rPr>
          <w:rFonts w:ascii="Times New Roman" w:hAnsi="Times New Roman" w:cs="Times New Roman"/>
        </w:rPr>
        <w:tab/>
      </w:r>
      <w:r w:rsidRPr="00B7315D">
        <w:rPr>
          <w:rFonts w:ascii="Times New Roman" w:hAnsi="Times New Roman"/>
        </w:rPr>
        <w:t>Eigen vermogen;</w:t>
      </w:r>
    </w:p>
    <w:p w14:paraId="237FDDB1" w14:textId="77777777" w:rsidR="00532AE6" w:rsidRPr="00B7315D" w:rsidRDefault="00B7315D">
      <w:pPr>
        <w:spacing w:line="256" w:lineRule="auto"/>
        <w:ind w:left="1728" w:hanging="648"/>
        <w:jc w:val="both"/>
        <w:rPr>
          <w:rFonts w:ascii="Times New Roman" w:hAnsi="Times New Roman" w:cs="Times New Roman"/>
        </w:rPr>
      </w:pPr>
      <w:r w:rsidRPr="00B7315D">
        <w:rPr>
          <w:rFonts w:ascii="Times New Roman" w:hAnsi="Times New Roman" w:cs="Times New Roman"/>
        </w:rPr>
        <w:t>(b)</w:t>
      </w:r>
      <w:r w:rsidRPr="00B7315D">
        <w:rPr>
          <w:rFonts w:ascii="Times New Roman" w:hAnsi="Times New Roman" w:cs="Times New Roman"/>
        </w:rPr>
        <w:tab/>
      </w:r>
      <w:r w:rsidRPr="00B7315D">
        <w:rPr>
          <w:rFonts w:ascii="Times New Roman" w:hAnsi="Times New Roman"/>
        </w:rPr>
        <w:t>Berekeningen eigenvermogensvereisten;</w:t>
      </w:r>
    </w:p>
    <w:p w14:paraId="7B68944E" w14:textId="77777777" w:rsidR="00532AE6" w:rsidRPr="00B7315D" w:rsidRDefault="00B7315D">
      <w:pPr>
        <w:spacing w:line="256" w:lineRule="auto"/>
        <w:ind w:left="1728" w:hanging="648"/>
        <w:jc w:val="both"/>
        <w:rPr>
          <w:rFonts w:ascii="Times New Roman" w:hAnsi="Times New Roman" w:cs="Times New Roman"/>
        </w:rPr>
      </w:pPr>
      <w:r w:rsidRPr="00B7315D">
        <w:rPr>
          <w:rFonts w:ascii="Times New Roman" w:hAnsi="Times New Roman" w:cs="Times New Roman"/>
        </w:rPr>
        <w:lastRenderedPageBreak/>
        <w:t>(c)</w:t>
      </w:r>
      <w:r w:rsidRPr="00B7315D">
        <w:rPr>
          <w:rFonts w:ascii="Times New Roman" w:hAnsi="Times New Roman" w:cs="Times New Roman"/>
        </w:rPr>
        <w:tab/>
      </w:r>
      <w:r w:rsidRPr="00B7315D">
        <w:rPr>
          <w:rFonts w:ascii="Times New Roman" w:hAnsi="Times New Roman"/>
        </w:rPr>
        <w:t>Berekening vastekostenvereisten;</w:t>
      </w:r>
    </w:p>
    <w:p w14:paraId="760E7FB3" w14:textId="77777777" w:rsidR="00532AE6" w:rsidRPr="00B7315D" w:rsidRDefault="00B7315D">
      <w:pPr>
        <w:spacing w:line="256" w:lineRule="auto"/>
        <w:ind w:left="1728" w:hanging="648"/>
        <w:jc w:val="both"/>
        <w:rPr>
          <w:rFonts w:ascii="Times New Roman" w:hAnsi="Times New Roman" w:cs="Times New Roman"/>
        </w:rPr>
      </w:pPr>
      <w:r w:rsidRPr="00B7315D">
        <w:rPr>
          <w:rFonts w:ascii="Times New Roman" w:hAnsi="Times New Roman" w:cs="Times New Roman"/>
        </w:rPr>
        <w:t>(d)</w:t>
      </w:r>
      <w:r w:rsidRPr="00B7315D">
        <w:rPr>
          <w:rFonts w:ascii="Times New Roman" w:hAnsi="Times New Roman" w:cs="Times New Roman"/>
        </w:rPr>
        <w:tab/>
      </w:r>
      <w:r w:rsidRPr="00B7315D">
        <w:rPr>
          <w:rFonts w:ascii="Times New Roman" w:hAnsi="Times New Roman"/>
        </w:rPr>
        <w:t>Omvang activiteiten ten aanzien van de voorwaarden in artikel 12, lid 1, van Verordening (EU) 2019/2033;</w:t>
      </w:r>
    </w:p>
    <w:p w14:paraId="2545F089" w14:textId="77777777" w:rsidR="00532AE6" w:rsidRPr="00B7315D" w:rsidRDefault="00B7315D">
      <w:pPr>
        <w:spacing w:line="256" w:lineRule="auto"/>
        <w:ind w:left="1728" w:hanging="648"/>
        <w:jc w:val="both"/>
        <w:rPr>
          <w:rFonts w:ascii="Times New Roman" w:hAnsi="Times New Roman" w:cs="Times New Roman"/>
        </w:rPr>
      </w:pPr>
      <w:r w:rsidRPr="00B7315D">
        <w:rPr>
          <w:rFonts w:ascii="Times New Roman" w:hAnsi="Times New Roman" w:cs="Times New Roman"/>
        </w:rPr>
        <w:t>(e)</w:t>
      </w:r>
      <w:r w:rsidRPr="00B7315D">
        <w:rPr>
          <w:rFonts w:ascii="Times New Roman" w:hAnsi="Times New Roman" w:cs="Times New Roman"/>
        </w:rPr>
        <w:tab/>
      </w:r>
      <w:r w:rsidRPr="00B7315D">
        <w:rPr>
          <w:rFonts w:ascii="Times New Roman" w:hAnsi="Times New Roman"/>
        </w:rPr>
        <w:t>Liquiditeitsvereisten.</w:t>
      </w:r>
    </w:p>
    <w:p w14:paraId="07299103" w14:textId="77777777" w:rsidR="00532AE6" w:rsidRPr="00B7315D" w:rsidRDefault="00B7315D">
      <w:pPr>
        <w:pStyle w:val="InstructionsText2"/>
        <w:numPr>
          <w:ilvl w:val="0"/>
          <w:numId w:val="0"/>
        </w:numPr>
        <w:ind w:left="360" w:hanging="360"/>
      </w:pPr>
      <w:r w:rsidRPr="00B7315D">
        <w:t>2.</w:t>
      </w:r>
      <w:r w:rsidRPr="00B7315D">
        <w:tab/>
        <w:t>Voor elke template zijn verwijzingen naar wetgeving opgenomen. Nadere informatie over meer algemene aspecten van de rapportage voor elk blok templates, instructies voor specifieke posities, alsmede validatievoorschriften zijn te vinden in dit deel van dez</w:t>
      </w:r>
      <w:r w:rsidRPr="00B7315D">
        <w:t>e verordening.</w:t>
      </w:r>
    </w:p>
    <w:p w14:paraId="60ACE060" w14:textId="77777777" w:rsidR="00532AE6" w:rsidRPr="00B7315D" w:rsidRDefault="00B7315D">
      <w:pPr>
        <w:keepNext/>
        <w:spacing w:before="240" w:after="240" w:line="240" w:lineRule="auto"/>
        <w:jc w:val="both"/>
        <w:outlineLvl w:val="1"/>
        <w:rPr>
          <w:rFonts w:ascii="Times New Roman" w:eastAsia="Arial" w:hAnsi="Times New Roman" w:cs="Times New Roman"/>
          <w:sz w:val="24"/>
          <w:szCs w:val="24"/>
          <w:u w:val="single"/>
        </w:rPr>
      </w:pPr>
      <w:bookmarkStart w:id="12" w:name="_Toc88041243"/>
      <w:r w:rsidRPr="00B7315D">
        <w:rPr>
          <w:rFonts w:ascii="Times New Roman" w:hAnsi="Times New Roman"/>
          <w:sz w:val="24"/>
          <w:szCs w:val="24"/>
          <w:u w:val="single"/>
        </w:rPr>
        <w:t>1.2</w:t>
      </w:r>
      <w:r w:rsidRPr="00B7315D">
        <w:rPr>
          <w:rFonts w:ascii="Times New Roman" w:hAnsi="Times New Roman"/>
          <w:sz w:val="24"/>
          <w:szCs w:val="24"/>
          <w:u w:val="single"/>
        </w:rPr>
        <w:t xml:space="preserve"> Gebruik van nummering</w:t>
      </w:r>
      <w:bookmarkEnd w:id="12"/>
    </w:p>
    <w:p w14:paraId="6328BD3B" w14:textId="77777777" w:rsidR="00532AE6" w:rsidRPr="00B7315D" w:rsidRDefault="00B7315D">
      <w:pPr>
        <w:pStyle w:val="InstructionsText2"/>
        <w:numPr>
          <w:ilvl w:val="0"/>
          <w:numId w:val="0"/>
        </w:numPr>
        <w:ind w:left="360" w:hanging="360"/>
      </w:pPr>
      <w:r w:rsidRPr="00B7315D">
        <w:t>3.</w:t>
      </w:r>
      <w:r w:rsidRPr="00B7315D">
        <w:tab/>
        <w:t xml:space="preserve">Het document volgt de in de punten 4 tot en met 7 beschreven conventies voor verwijzingen naar de kolommen, rijen en cellen van de templates. Van die numerieke codes wordt uitgebreid gebruikgemaakt in de </w:t>
      </w:r>
      <w:r w:rsidRPr="00B7315D">
        <w:t>validatievoorschriften.</w:t>
      </w:r>
    </w:p>
    <w:p w14:paraId="2CF07207" w14:textId="77777777" w:rsidR="00532AE6" w:rsidRPr="00B7315D" w:rsidRDefault="00B7315D">
      <w:pPr>
        <w:pStyle w:val="InstructionsText2"/>
        <w:numPr>
          <w:ilvl w:val="0"/>
          <w:numId w:val="0"/>
        </w:numPr>
        <w:ind w:left="360" w:hanging="360"/>
      </w:pPr>
      <w:r w:rsidRPr="00B7315D">
        <w:t>4.</w:t>
      </w:r>
      <w:r w:rsidRPr="00B7315D">
        <w:tab/>
        <w:t>In de instructies wordt de volgende algemene notatie gehanteerd: {Template; Rij; Kolom}.</w:t>
      </w:r>
    </w:p>
    <w:p w14:paraId="1F53381C" w14:textId="77777777" w:rsidR="00532AE6" w:rsidRPr="00B7315D" w:rsidRDefault="00B7315D">
      <w:pPr>
        <w:pStyle w:val="InstructionsText2"/>
        <w:numPr>
          <w:ilvl w:val="0"/>
          <w:numId w:val="0"/>
        </w:numPr>
        <w:ind w:left="360" w:hanging="360"/>
      </w:pPr>
      <w:r w:rsidRPr="00B7315D">
        <w:t>5.</w:t>
      </w:r>
      <w:r w:rsidRPr="00B7315D">
        <w:tab/>
        <w:t>In het geval van validaties binnen een template, waarbij alleen datapunten uit die template worden gebruikt, verwijzen de notaties niet n</w:t>
      </w:r>
      <w:r w:rsidRPr="00B7315D">
        <w:t>aar een template: {Rij; Kolom}.</w:t>
      </w:r>
    </w:p>
    <w:p w14:paraId="569C3B2D" w14:textId="77777777" w:rsidR="00532AE6" w:rsidRPr="00B7315D" w:rsidRDefault="00B7315D">
      <w:pPr>
        <w:pStyle w:val="InstructionsText2"/>
        <w:numPr>
          <w:ilvl w:val="0"/>
          <w:numId w:val="0"/>
        </w:numPr>
        <w:ind w:left="360" w:hanging="360"/>
      </w:pPr>
      <w:r w:rsidRPr="00B7315D">
        <w:t>6.</w:t>
      </w:r>
      <w:r w:rsidRPr="00B7315D">
        <w:tab/>
        <w:t>In het geval van templates die uit slechts één kolom bestaan, wordt uitsluitend naar rijen verwezen. {Template; Rij}.</w:t>
      </w:r>
    </w:p>
    <w:p w14:paraId="4296FF3F" w14:textId="77777777" w:rsidR="00532AE6" w:rsidRPr="00B7315D" w:rsidRDefault="00B7315D">
      <w:pPr>
        <w:pStyle w:val="InstructionsText2"/>
        <w:numPr>
          <w:ilvl w:val="0"/>
          <w:numId w:val="0"/>
        </w:numPr>
        <w:ind w:left="360" w:hanging="360"/>
      </w:pPr>
      <w:r w:rsidRPr="00B7315D">
        <w:t>7.</w:t>
      </w:r>
      <w:r w:rsidRPr="00B7315D">
        <w:tab/>
        <w:t>Een asterisk geeft aan dat de validatie geldt voor de gehele rij of kolom.</w:t>
      </w:r>
    </w:p>
    <w:p w14:paraId="35CADBD2" w14:textId="77777777" w:rsidR="00532AE6" w:rsidRPr="00B7315D" w:rsidRDefault="00B7315D">
      <w:pPr>
        <w:keepNext/>
        <w:spacing w:before="240" w:after="240" w:line="240" w:lineRule="auto"/>
        <w:jc w:val="both"/>
        <w:outlineLvl w:val="1"/>
        <w:rPr>
          <w:rFonts w:ascii="Times New Roman" w:eastAsia="Arial" w:hAnsi="Times New Roman" w:cs="Times New Roman"/>
          <w:sz w:val="24"/>
          <w:szCs w:val="24"/>
          <w:u w:val="single"/>
        </w:rPr>
      </w:pPr>
      <w:bookmarkStart w:id="13" w:name="_Toc88041244"/>
      <w:r w:rsidRPr="00B7315D">
        <w:rPr>
          <w:rFonts w:ascii="Times New Roman" w:hAnsi="Times New Roman"/>
          <w:sz w:val="24"/>
          <w:szCs w:val="24"/>
          <w:u w:val="single"/>
        </w:rPr>
        <w:t>1.3</w:t>
      </w:r>
      <w:r w:rsidRPr="00B7315D">
        <w:rPr>
          <w:rFonts w:ascii="Times New Roman" w:hAnsi="Times New Roman"/>
          <w:sz w:val="24"/>
          <w:szCs w:val="24"/>
          <w:u w:val="single"/>
        </w:rPr>
        <w:t xml:space="preserve"> Gebruik van tekens</w:t>
      </w:r>
      <w:bookmarkEnd w:id="13"/>
    </w:p>
    <w:p w14:paraId="425FC927" w14:textId="77777777" w:rsidR="00532AE6" w:rsidRPr="00B7315D" w:rsidRDefault="00B7315D">
      <w:pPr>
        <w:pStyle w:val="InstructionsText2"/>
        <w:numPr>
          <w:ilvl w:val="0"/>
          <w:numId w:val="0"/>
        </w:numPr>
        <w:ind w:left="360" w:hanging="360"/>
      </w:pPr>
      <w:r w:rsidRPr="00B7315D">
        <w:t>8.</w:t>
      </w:r>
      <w:r w:rsidRPr="00B7315D">
        <w:tab/>
        <w:t>Bedragen die tot een hoger eigen vermogen of tot hogere eigenvermogensvereisten leiden, of tot hogere liquiditeitsvereisten, worden als positieve waarde gerapporteerd. Daarentegen worden bedragen die tot een lager totaal aan eigen vermogen of tot lagere e</w:t>
      </w:r>
      <w:r w:rsidRPr="00B7315D">
        <w:t>igenvermogensvereisten leiden, als negatieve waarde gerapporteerd. Als er een minteken (-) voor het label van een post staat, wordt er voor de rapportage van die post geen positieve waarde verwacht.</w:t>
      </w:r>
    </w:p>
    <w:p w14:paraId="6FB4AA0B" w14:textId="77777777" w:rsidR="00532AE6" w:rsidRPr="00B7315D" w:rsidRDefault="00B7315D">
      <w:pPr>
        <w:keepNext/>
        <w:spacing w:before="240" w:after="240" w:line="240" w:lineRule="auto"/>
        <w:jc w:val="both"/>
        <w:outlineLvl w:val="1"/>
        <w:rPr>
          <w:rFonts w:ascii="Times New Roman" w:eastAsia="Arial" w:hAnsi="Times New Roman" w:cs="Times New Roman"/>
          <w:sz w:val="24"/>
          <w:szCs w:val="24"/>
          <w:u w:val="single"/>
        </w:rPr>
      </w:pPr>
      <w:bookmarkStart w:id="14" w:name="_Toc88041245"/>
      <w:r w:rsidRPr="00B7315D">
        <w:rPr>
          <w:rFonts w:ascii="Times New Roman" w:hAnsi="Times New Roman"/>
          <w:sz w:val="24"/>
          <w:szCs w:val="24"/>
          <w:u w:val="single"/>
        </w:rPr>
        <w:t>1.4</w:t>
      </w:r>
      <w:r w:rsidRPr="00B7315D">
        <w:rPr>
          <w:rFonts w:ascii="Times New Roman" w:hAnsi="Times New Roman"/>
          <w:sz w:val="24"/>
          <w:szCs w:val="24"/>
          <w:u w:val="single"/>
        </w:rPr>
        <w:t xml:space="preserve"> Prudentiële consolidatie</w:t>
      </w:r>
      <w:bookmarkEnd w:id="14"/>
    </w:p>
    <w:p w14:paraId="00EC4FC7" w14:textId="77777777" w:rsidR="00532AE6" w:rsidRPr="00B7315D" w:rsidRDefault="00B7315D">
      <w:pPr>
        <w:spacing w:line="256" w:lineRule="auto"/>
        <w:ind w:left="360" w:hanging="360"/>
        <w:jc w:val="both"/>
        <w:rPr>
          <w:rFonts w:ascii="Times New Roman" w:hAnsi="Times New Roman" w:cs="Times New Roman"/>
          <w:sz w:val="24"/>
        </w:rPr>
      </w:pPr>
      <w:r w:rsidRPr="00B7315D">
        <w:rPr>
          <w:rFonts w:ascii="Times New Roman" w:hAnsi="Times New Roman" w:cs="Times New Roman"/>
          <w:sz w:val="24"/>
        </w:rPr>
        <w:t>9.</w:t>
      </w:r>
      <w:r w:rsidRPr="00B7315D">
        <w:rPr>
          <w:rFonts w:ascii="Times New Roman" w:hAnsi="Times New Roman" w:cs="Times New Roman"/>
          <w:sz w:val="24"/>
        </w:rPr>
        <w:tab/>
      </w:r>
      <w:r w:rsidRPr="00B7315D">
        <w:rPr>
          <w:rFonts w:ascii="Times New Roman" w:hAnsi="Times New Roman"/>
          <w:sz w:val="24"/>
        </w:rPr>
        <w:t>Tenzij een uitzondering i</w:t>
      </w:r>
      <w:r w:rsidRPr="00B7315D">
        <w:rPr>
          <w:rFonts w:ascii="Times New Roman" w:hAnsi="Times New Roman"/>
          <w:sz w:val="24"/>
        </w:rPr>
        <w:t>s toegekend, zijn Verordening (EU) 2019/2033 en Richtlijn (EU) 2019/2034 op individuele en op geconsolideerde basis van toepassing op beleggingsondernemingen, hetgeen ook geldt voor de rapportagevereisten in deel zeven van Verordening (EU) 2019/2033. Artik</w:t>
      </w:r>
      <w:r w:rsidRPr="00B7315D">
        <w:rPr>
          <w:rFonts w:ascii="Times New Roman" w:hAnsi="Times New Roman"/>
          <w:sz w:val="24"/>
        </w:rPr>
        <w:t>el 4, lid 1, punt 11, van Verordening (EU) 2019/2033 omschrijft een geconsolideerde situatie als een situatie die resulteert uit de toepassing van de vereisten van Verordening (EU) 2019/2033 op een beleggingsondernemingsgroep alsof de entiteiten van de gro</w:t>
      </w:r>
      <w:r w:rsidRPr="00B7315D">
        <w:rPr>
          <w:rFonts w:ascii="Times New Roman" w:hAnsi="Times New Roman"/>
          <w:sz w:val="24"/>
        </w:rPr>
        <w:t>ep samen één enkele beleggingsonderneming vormden. Op grond van artikel 7 van Verordening (EU) 2019/2033 komen beleggingsondernemingsgroepen de rapportageverplichtingen in alle templates na op basis van hun prudentiële consolidatiekring (die kan verschille</w:t>
      </w:r>
      <w:r w:rsidRPr="00B7315D">
        <w:rPr>
          <w:rFonts w:ascii="Times New Roman" w:hAnsi="Times New Roman"/>
          <w:sz w:val="24"/>
        </w:rPr>
        <w:t>n van hun boekhoudkundige consolidatiekring).</w:t>
      </w:r>
    </w:p>
    <w:p w14:paraId="04BD2870" w14:textId="77777777" w:rsidR="00532AE6" w:rsidRPr="00B7315D" w:rsidRDefault="00B7315D">
      <w:pPr>
        <w:pStyle w:val="Heading2"/>
        <w:rPr>
          <w:rFonts w:ascii="Times New Roman" w:hAnsi="Times New Roman"/>
        </w:rPr>
      </w:pPr>
      <w:bookmarkStart w:id="15" w:name="_Toc88041246"/>
      <w:r w:rsidRPr="00B7315D">
        <w:rPr>
          <w:rFonts w:ascii="Times New Roman" w:hAnsi="Times New Roman"/>
        </w:rPr>
        <w:lastRenderedPageBreak/>
        <w:t>DEEL II: INSTRUCTIES MET BETREKKING TOT DE TEMPLATES</w:t>
      </w:r>
      <w:bookmarkEnd w:id="6"/>
      <w:bookmarkEnd w:id="7"/>
      <w:bookmarkEnd w:id="8"/>
      <w:bookmarkEnd w:id="15"/>
    </w:p>
    <w:p w14:paraId="67C50B6E" w14:textId="77777777" w:rsidR="00532AE6" w:rsidRPr="00B7315D" w:rsidRDefault="00B7315D">
      <w:pPr>
        <w:pStyle w:val="Instructionsberschrift2"/>
        <w:ind w:left="357" w:hanging="357"/>
        <w:rPr>
          <w:rFonts w:ascii="Times New Roman" w:hAnsi="Times New Roman" w:cs="Times New Roman"/>
          <w:b/>
          <w:sz w:val="24"/>
        </w:rPr>
      </w:pPr>
      <w:bookmarkStart w:id="16" w:name="_Toc88041247"/>
      <w:r w:rsidRPr="00B7315D">
        <w:rPr>
          <w:rFonts w:ascii="Times New Roman" w:hAnsi="Times New Roman"/>
          <w:b/>
          <w:sz w:val="24"/>
          <w:u w:val="none"/>
        </w:rPr>
        <w:t>1. EIGEN VERMOGEN: OMVANG, SAMENSTELLING, VEREISTEN EN BEREKENING</w:t>
      </w:r>
      <w:bookmarkEnd w:id="16"/>
    </w:p>
    <w:p w14:paraId="0D546FE3" w14:textId="77777777" w:rsidR="00532AE6" w:rsidRPr="00B7315D" w:rsidRDefault="00B7315D">
      <w:pPr>
        <w:pStyle w:val="Instructionsberschrift2"/>
        <w:ind w:left="357" w:hanging="357"/>
        <w:rPr>
          <w:rFonts w:ascii="Times New Roman" w:hAnsi="Times New Roman" w:cs="Times New Roman"/>
          <w:sz w:val="24"/>
        </w:rPr>
      </w:pPr>
      <w:bookmarkStart w:id="17" w:name="_Toc88041248"/>
      <w:r w:rsidRPr="00B7315D">
        <w:rPr>
          <w:rFonts w:ascii="Times New Roman" w:hAnsi="Times New Roman"/>
          <w:sz w:val="24"/>
          <w:u w:val="none"/>
        </w:rPr>
        <w:t>1.1</w:t>
      </w:r>
      <w:r w:rsidRPr="00B7315D">
        <w:rPr>
          <w:rFonts w:ascii="Times New Roman" w:hAnsi="Times New Roman"/>
          <w:sz w:val="24"/>
          <w:u w:val="none"/>
        </w:rPr>
        <w:t xml:space="preserve"> </w:t>
      </w:r>
      <w:r w:rsidRPr="00B7315D">
        <w:rPr>
          <w:rFonts w:ascii="Times New Roman" w:hAnsi="Times New Roman"/>
          <w:sz w:val="24"/>
        </w:rPr>
        <w:t>Algemene opmerkingen</w:t>
      </w:r>
      <w:bookmarkEnd w:id="17"/>
    </w:p>
    <w:p w14:paraId="7B55016C" w14:textId="77777777" w:rsidR="00532AE6" w:rsidRPr="00B7315D" w:rsidRDefault="00B7315D">
      <w:pPr>
        <w:spacing w:line="256" w:lineRule="auto"/>
        <w:ind w:left="993" w:hanging="567"/>
        <w:jc w:val="both"/>
        <w:rPr>
          <w:rFonts w:ascii="Times New Roman" w:hAnsi="Times New Roman" w:cs="Times New Roman"/>
          <w:sz w:val="24"/>
        </w:rPr>
      </w:pPr>
      <w:r w:rsidRPr="00B7315D">
        <w:rPr>
          <w:rFonts w:ascii="Times New Roman" w:hAnsi="Times New Roman" w:cs="Times New Roman"/>
          <w:sz w:val="24"/>
        </w:rPr>
        <w:t>10.</w:t>
      </w:r>
      <w:r w:rsidRPr="00B7315D">
        <w:rPr>
          <w:rFonts w:ascii="Times New Roman" w:hAnsi="Times New Roman" w:cs="Times New Roman"/>
          <w:sz w:val="24"/>
        </w:rPr>
        <w:tab/>
      </w:r>
      <w:r w:rsidRPr="00B7315D">
        <w:rPr>
          <w:rFonts w:ascii="Times New Roman" w:hAnsi="Times New Roman"/>
          <w:sz w:val="24"/>
        </w:rPr>
        <w:t xml:space="preserve">De afdeling met het overzicht van het eigen vermogen </w:t>
      </w:r>
      <w:r w:rsidRPr="00B7315D">
        <w:rPr>
          <w:rFonts w:ascii="Times New Roman" w:hAnsi="Times New Roman"/>
          <w:sz w:val="24"/>
        </w:rPr>
        <w:t>bevat informatie over het eigen vermogen dat een beleggingsonderneming houdt, en over haar eigenvermogensvereisten. Zij bestaat uit twee templates:</w:t>
      </w:r>
    </w:p>
    <w:p w14:paraId="072481A7" w14:textId="77777777" w:rsidR="00532AE6" w:rsidRPr="00B7315D" w:rsidRDefault="00B7315D">
      <w:pPr>
        <w:spacing w:line="256" w:lineRule="auto"/>
        <w:ind w:left="1728" w:hanging="648"/>
        <w:jc w:val="both"/>
        <w:rPr>
          <w:rFonts w:ascii="Times New Roman" w:hAnsi="Times New Roman" w:cs="Times New Roman"/>
          <w:sz w:val="24"/>
        </w:rPr>
      </w:pPr>
      <w:r w:rsidRPr="00B7315D">
        <w:rPr>
          <w:rFonts w:ascii="Times New Roman" w:hAnsi="Times New Roman" w:cs="Times New Roman"/>
          <w:sz w:val="24"/>
        </w:rPr>
        <w:t>(a)</w:t>
      </w:r>
      <w:r w:rsidRPr="00B7315D">
        <w:rPr>
          <w:rFonts w:ascii="Times New Roman" w:hAnsi="Times New Roman" w:cs="Times New Roman"/>
          <w:sz w:val="24"/>
        </w:rPr>
        <w:tab/>
      </w:r>
      <w:r w:rsidRPr="00B7315D">
        <w:rPr>
          <w:rFonts w:ascii="Times New Roman" w:hAnsi="Times New Roman"/>
          <w:sz w:val="24"/>
        </w:rPr>
        <w:t xml:space="preserve">Template I </w:t>
      </w:r>
      <w:r w:rsidRPr="00B7315D">
        <w:rPr>
          <w:rFonts w:ascii="Times New Roman" w:hAnsi="Times New Roman"/>
          <w:sz w:val="24"/>
        </w:rPr>
        <w:t>01.01</w:t>
      </w:r>
      <w:r w:rsidRPr="00B7315D">
        <w:rPr>
          <w:rFonts w:ascii="Times New Roman" w:hAnsi="Times New Roman"/>
          <w:sz w:val="24"/>
        </w:rPr>
        <w:t xml:space="preserve"> geeft de samenstelling van het eigen vermogen dat een beleggingsonderneming houdt: tier</w:t>
      </w:r>
      <w:r w:rsidRPr="00B7315D">
        <w:rPr>
          <w:rFonts w:ascii="Times New Roman" w:hAnsi="Times New Roman"/>
          <w:sz w:val="24"/>
        </w:rPr>
        <w:t xml:space="preserve"> 1-kernkapitaal (CET1), aanvullend-tier 1-kapitaal (AT1) en tier 2-kapitaal (T2).</w:t>
      </w:r>
    </w:p>
    <w:p w14:paraId="1E8E890F" w14:textId="77777777" w:rsidR="00532AE6" w:rsidRPr="00B7315D" w:rsidRDefault="00B7315D">
      <w:pPr>
        <w:spacing w:line="256" w:lineRule="auto"/>
        <w:ind w:left="1728" w:hanging="648"/>
        <w:jc w:val="both"/>
        <w:rPr>
          <w:rFonts w:ascii="Times New Roman" w:hAnsi="Times New Roman" w:cs="Times New Roman"/>
          <w:sz w:val="24"/>
        </w:rPr>
      </w:pPr>
      <w:r w:rsidRPr="00B7315D">
        <w:rPr>
          <w:rFonts w:ascii="Times New Roman" w:hAnsi="Times New Roman" w:cs="Times New Roman"/>
          <w:sz w:val="24"/>
        </w:rPr>
        <w:t>(b)</w:t>
      </w:r>
      <w:r w:rsidRPr="00B7315D">
        <w:rPr>
          <w:rFonts w:ascii="Times New Roman" w:hAnsi="Times New Roman" w:cs="Times New Roman"/>
          <w:sz w:val="24"/>
        </w:rPr>
        <w:tab/>
      </w:r>
      <w:r w:rsidRPr="00B7315D">
        <w:rPr>
          <w:rFonts w:ascii="Times New Roman" w:hAnsi="Times New Roman"/>
          <w:sz w:val="24"/>
        </w:rPr>
        <w:t xml:space="preserve">De templates I </w:t>
      </w:r>
      <w:r w:rsidRPr="00B7315D">
        <w:rPr>
          <w:rFonts w:ascii="Times New Roman" w:hAnsi="Times New Roman"/>
          <w:sz w:val="24"/>
        </w:rPr>
        <w:t>02.03</w:t>
      </w:r>
      <w:r w:rsidRPr="00B7315D">
        <w:rPr>
          <w:rFonts w:ascii="Times New Roman" w:hAnsi="Times New Roman"/>
          <w:sz w:val="24"/>
        </w:rPr>
        <w:t xml:space="preserve"> en I </w:t>
      </w:r>
      <w:r w:rsidRPr="00B7315D">
        <w:rPr>
          <w:rFonts w:ascii="Times New Roman" w:hAnsi="Times New Roman"/>
          <w:sz w:val="24"/>
        </w:rPr>
        <w:t>02.04</w:t>
      </w:r>
      <w:r w:rsidRPr="00B7315D">
        <w:rPr>
          <w:rFonts w:ascii="Times New Roman" w:hAnsi="Times New Roman"/>
          <w:sz w:val="24"/>
        </w:rPr>
        <w:t xml:space="preserve"> geven het totale eigenvermogensvereiste, het permanent minimumkapitaalvereiste, het vastekostenvereiste, aanvullend-eigenvermogensvereiste</w:t>
      </w:r>
      <w:r w:rsidRPr="00B7315D">
        <w:rPr>
          <w:rFonts w:ascii="Times New Roman" w:hAnsi="Times New Roman"/>
          <w:sz w:val="24"/>
        </w:rPr>
        <w:t>n en desbetreffende guidance en overgangseigenvermogensvereiste en -kapitaalratio’s.</w:t>
      </w:r>
    </w:p>
    <w:p w14:paraId="5D2CD06D" w14:textId="77777777" w:rsidR="00532AE6" w:rsidRPr="00B7315D" w:rsidRDefault="00B7315D">
      <w:pPr>
        <w:spacing w:line="256" w:lineRule="auto"/>
        <w:ind w:left="1728" w:hanging="648"/>
        <w:jc w:val="both"/>
        <w:rPr>
          <w:rFonts w:ascii="Times New Roman" w:hAnsi="Times New Roman" w:cs="Times New Roman"/>
          <w:sz w:val="24"/>
        </w:rPr>
      </w:pPr>
      <w:r w:rsidRPr="00B7315D">
        <w:rPr>
          <w:rFonts w:ascii="Times New Roman" w:hAnsi="Times New Roman" w:cs="Times New Roman"/>
          <w:sz w:val="24"/>
        </w:rPr>
        <w:t>(c)</w:t>
      </w:r>
      <w:r w:rsidRPr="00B7315D">
        <w:rPr>
          <w:rFonts w:ascii="Times New Roman" w:hAnsi="Times New Roman" w:cs="Times New Roman"/>
          <w:sz w:val="24"/>
        </w:rPr>
        <w:tab/>
      </w:r>
      <w:r w:rsidRPr="00B7315D">
        <w:rPr>
          <w:rFonts w:ascii="Times New Roman" w:hAnsi="Times New Roman"/>
          <w:sz w:val="24"/>
        </w:rPr>
        <w:t xml:space="preserve">I </w:t>
      </w:r>
      <w:r w:rsidRPr="00B7315D">
        <w:rPr>
          <w:rFonts w:ascii="Times New Roman" w:hAnsi="Times New Roman"/>
          <w:sz w:val="24"/>
        </w:rPr>
        <w:t>03.01</w:t>
      </w:r>
      <w:r w:rsidRPr="00B7315D">
        <w:rPr>
          <w:rFonts w:ascii="Times New Roman" w:hAnsi="Times New Roman"/>
          <w:sz w:val="24"/>
        </w:rPr>
        <w:t xml:space="preserve"> geeft informatie over de berekening van het vastekostenvereiste.</w:t>
      </w:r>
    </w:p>
    <w:p w14:paraId="1B44C67C" w14:textId="77777777" w:rsidR="00532AE6" w:rsidRPr="00B7315D" w:rsidRDefault="00B7315D">
      <w:pPr>
        <w:spacing w:line="256" w:lineRule="auto"/>
        <w:ind w:left="993" w:hanging="567"/>
        <w:jc w:val="both"/>
        <w:rPr>
          <w:rFonts w:ascii="Times New Roman" w:hAnsi="Times New Roman" w:cs="Times New Roman"/>
          <w:sz w:val="24"/>
        </w:rPr>
      </w:pPr>
      <w:r w:rsidRPr="00B7315D">
        <w:rPr>
          <w:rFonts w:ascii="Times New Roman" w:hAnsi="Times New Roman" w:cs="Times New Roman"/>
          <w:sz w:val="24"/>
        </w:rPr>
        <w:t>11.</w:t>
      </w:r>
      <w:r w:rsidRPr="00B7315D">
        <w:rPr>
          <w:rFonts w:ascii="Times New Roman" w:hAnsi="Times New Roman" w:cs="Times New Roman"/>
          <w:sz w:val="24"/>
        </w:rPr>
        <w:tab/>
      </w:r>
      <w:r w:rsidRPr="00B7315D">
        <w:rPr>
          <w:rFonts w:ascii="Times New Roman" w:hAnsi="Times New Roman"/>
          <w:sz w:val="24"/>
        </w:rPr>
        <w:t>De posten in deze templates zijn exclusief overgangsaanpassingen. Dit betekent dat de cijf</w:t>
      </w:r>
      <w:r w:rsidRPr="00B7315D">
        <w:rPr>
          <w:rFonts w:ascii="Times New Roman" w:hAnsi="Times New Roman"/>
          <w:sz w:val="24"/>
        </w:rPr>
        <w:t>ers (behalve wanneer het overgangseigenvermogensvereiste specifiek is vermeld) worden berekend volgens de definitieve bepalingen (d.w.z. als waren er geen overgangsbepalingen).</w:t>
      </w:r>
    </w:p>
    <w:p w14:paraId="387F3134" w14:textId="77777777" w:rsidR="00532AE6" w:rsidRPr="00B7315D" w:rsidRDefault="00B7315D">
      <w:pPr>
        <w:pStyle w:val="Instructionsberschrift2"/>
        <w:ind w:left="357" w:hanging="357"/>
        <w:rPr>
          <w:rFonts w:ascii="Times New Roman" w:hAnsi="Times New Roman" w:cs="Times New Roman"/>
          <w:sz w:val="24"/>
          <w:u w:val="none"/>
        </w:rPr>
      </w:pPr>
      <w:bookmarkStart w:id="18" w:name="_Toc88041249"/>
      <w:r w:rsidRPr="00B7315D">
        <w:rPr>
          <w:rFonts w:ascii="Times New Roman" w:hAnsi="Times New Roman"/>
          <w:sz w:val="24"/>
          <w:u w:val="none"/>
        </w:rPr>
        <w:t>1.2.</w:t>
      </w:r>
      <w:r w:rsidRPr="00B7315D">
        <w:rPr>
          <w:rFonts w:ascii="Times New Roman" w:hAnsi="Times New Roman"/>
          <w:sz w:val="24"/>
          <w:u w:val="none"/>
        </w:rPr>
        <w:t xml:space="preserve"> </w:t>
      </w:r>
      <w:r w:rsidRPr="00B7315D">
        <w:rPr>
          <w:rFonts w:ascii="Times New Roman" w:hAnsi="Times New Roman"/>
          <w:sz w:val="24"/>
        </w:rPr>
        <w:t xml:space="preserve">I </w:t>
      </w:r>
      <w:r w:rsidRPr="00B7315D">
        <w:rPr>
          <w:rFonts w:ascii="Times New Roman" w:hAnsi="Times New Roman"/>
          <w:sz w:val="24"/>
        </w:rPr>
        <w:t>01.01</w:t>
      </w:r>
      <w:r w:rsidRPr="00B7315D">
        <w:rPr>
          <w:rFonts w:ascii="Times New Roman" w:hAnsi="Times New Roman"/>
          <w:sz w:val="24"/>
        </w:rPr>
        <w:t xml:space="preserve"> — SAMENSTELLING EIGEN VERMOGEN (I </w:t>
      </w:r>
      <w:r w:rsidRPr="00B7315D">
        <w:rPr>
          <w:rFonts w:ascii="Times New Roman" w:hAnsi="Times New Roman"/>
          <w:sz w:val="24"/>
        </w:rPr>
        <w:t>1.1</w:t>
      </w:r>
      <w:r w:rsidRPr="00B7315D">
        <w:rPr>
          <w:rFonts w:ascii="Times New Roman" w:hAnsi="Times New Roman"/>
          <w:sz w:val="24"/>
        </w:rPr>
        <w:t>)</w:t>
      </w:r>
      <w:bookmarkEnd w:id="18"/>
    </w:p>
    <w:p w14:paraId="028F6D8A" w14:textId="77777777" w:rsidR="00532AE6" w:rsidRPr="00B7315D" w:rsidRDefault="00B7315D">
      <w:pPr>
        <w:pStyle w:val="Instructionsberschrift2"/>
        <w:ind w:left="357" w:hanging="357"/>
        <w:rPr>
          <w:rFonts w:ascii="Times New Roman" w:hAnsi="Times New Roman" w:cs="Times New Roman"/>
          <w:sz w:val="24"/>
        </w:rPr>
      </w:pPr>
      <w:bookmarkStart w:id="19" w:name="_Toc88041250"/>
      <w:r w:rsidRPr="00B7315D">
        <w:rPr>
          <w:rFonts w:ascii="Times New Roman" w:hAnsi="Times New Roman"/>
          <w:sz w:val="24"/>
          <w:u w:val="none"/>
        </w:rPr>
        <w:t>1.2.1.</w:t>
      </w:r>
      <w:r w:rsidRPr="00B7315D">
        <w:tab/>
      </w:r>
      <w:r w:rsidRPr="00B7315D">
        <w:rPr>
          <w:rFonts w:ascii="Times New Roman" w:hAnsi="Times New Roman"/>
          <w:sz w:val="24"/>
        </w:rPr>
        <w:t>Instructies voor specifieke posities</w:t>
      </w:r>
      <w:bookmarkEnd w:id="1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32AE6" w:rsidRPr="00B7315D" w14:paraId="3C4417E7" w14:textId="77777777">
        <w:tc>
          <w:tcPr>
            <w:tcW w:w="1129" w:type="dxa"/>
            <w:shd w:val="clear" w:color="auto" w:fill="D9D9D9"/>
          </w:tcPr>
          <w:p w14:paraId="5369EBD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Rij</w:t>
            </w:r>
          </w:p>
        </w:tc>
        <w:tc>
          <w:tcPr>
            <w:tcW w:w="7620" w:type="dxa"/>
            <w:shd w:val="clear" w:color="auto" w:fill="D9D9D9"/>
          </w:tcPr>
          <w:p w14:paraId="2189BDD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Verwijzingen naar wetgeving en instructies</w:t>
            </w:r>
          </w:p>
        </w:tc>
      </w:tr>
      <w:tr w:rsidR="00532AE6" w:rsidRPr="00B7315D" w14:paraId="2DC699C8" w14:textId="77777777">
        <w:tc>
          <w:tcPr>
            <w:tcW w:w="1129" w:type="dxa"/>
          </w:tcPr>
          <w:p w14:paraId="1B55C10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0010</w:t>
            </w:r>
          </w:p>
        </w:tc>
        <w:tc>
          <w:tcPr>
            <w:tcW w:w="7620" w:type="dxa"/>
          </w:tcPr>
          <w:p w14:paraId="43D9ECCC"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EIGEN VERMOGEN</w:t>
            </w:r>
          </w:p>
          <w:p w14:paraId="1A5E391C"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van Verordening (EU) 2019/2033</w:t>
            </w:r>
          </w:p>
          <w:p w14:paraId="2BC1A956" w14:textId="77777777" w:rsidR="00532AE6" w:rsidRPr="00B7315D" w:rsidRDefault="00B7315D">
            <w:pPr>
              <w:spacing w:after="120" w:line="240" w:lineRule="auto"/>
              <w:jc w:val="both"/>
              <w:rPr>
                <w:rStyle w:val="FormatvorlageInstructionsTabelleText"/>
                <w:rFonts w:ascii="Times New Roman" w:hAnsi="Times New Roman"/>
                <w:sz w:val="22"/>
              </w:rPr>
            </w:pPr>
            <w:r w:rsidRPr="00B7315D">
              <w:rPr>
                <w:rStyle w:val="FormatvorlageInstructionsTabelleText"/>
                <w:rFonts w:ascii="Times New Roman" w:hAnsi="Times New Roman"/>
                <w:sz w:val="22"/>
              </w:rPr>
              <w:t xml:space="preserve">Het eigen vermogen van een beleggingsonderneming bestaat uit de som van haar tier 1- en tier </w:t>
            </w:r>
            <w:r w:rsidRPr="00B7315D">
              <w:rPr>
                <w:rStyle w:val="FormatvorlageInstructionsTabelleText"/>
                <w:rFonts w:ascii="Times New Roman" w:hAnsi="Times New Roman"/>
                <w:sz w:val="22"/>
              </w:rPr>
              <w:t>2-kapitaal.</w:t>
            </w:r>
          </w:p>
          <w:p w14:paraId="3F8A0AA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De totale som van de rijen 0020 en 0380 wordt gerapporteerd.</w:t>
            </w:r>
          </w:p>
        </w:tc>
      </w:tr>
      <w:tr w:rsidR="00532AE6" w:rsidRPr="00B7315D" w14:paraId="1B8320BC" w14:textId="77777777">
        <w:tc>
          <w:tcPr>
            <w:tcW w:w="1129" w:type="dxa"/>
          </w:tcPr>
          <w:p w14:paraId="3706589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0020</w:t>
            </w:r>
          </w:p>
        </w:tc>
        <w:tc>
          <w:tcPr>
            <w:tcW w:w="7620" w:type="dxa"/>
          </w:tcPr>
          <w:p w14:paraId="09813E8C"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TIER 1-KAPITAAL</w:t>
            </w:r>
          </w:p>
          <w:p w14:paraId="3E49425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Het tier 1-kapitaal is de som van het tier 1-kernkapitaal en het aanvullend-tier 1-kapitaal.</w:t>
            </w:r>
          </w:p>
        </w:tc>
      </w:tr>
      <w:tr w:rsidR="00532AE6" w:rsidRPr="00B7315D" w14:paraId="528B5314" w14:textId="77777777">
        <w:tc>
          <w:tcPr>
            <w:tcW w:w="1129" w:type="dxa"/>
          </w:tcPr>
          <w:p w14:paraId="108B7BF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0030</w:t>
            </w:r>
          </w:p>
        </w:tc>
        <w:tc>
          <w:tcPr>
            <w:tcW w:w="7620" w:type="dxa"/>
          </w:tcPr>
          <w:p w14:paraId="521F073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InstructionsTabelleberschrift"/>
                <w:rFonts w:ascii="Times New Roman" w:hAnsi="Times New Roman"/>
                <w:sz w:val="22"/>
              </w:rPr>
              <w:t>TIER 1-KERNKAPITAAL</w:t>
            </w:r>
          </w:p>
          <w:p w14:paraId="0B63F4E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9, lid 1, van </w:t>
            </w:r>
            <w:r w:rsidRPr="00B7315D">
              <w:rPr>
                <w:rFonts w:ascii="Times New Roman" w:hAnsi="Times New Roman"/>
                <w:bCs/>
              </w:rPr>
              <w:t>Verordening (EU) 2019/2033</w:t>
            </w:r>
          </w:p>
          <w:p w14:paraId="14B77021" w14:textId="77777777" w:rsidR="00532AE6" w:rsidRPr="00B7315D" w:rsidRDefault="00B7315D">
            <w:pPr>
              <w:spacing w:after="120" w:line="240" w:lineRule="auto"/>
              <w:jc w:val="both"/>
              <w:rPr>
                <w:rStyle w:val="FormatvorlageInstructionsTabelleText"/>
                <w:rFonts w:ascii="Times New Roman" w:hAnsi="Times New Roman"/>
                <w:sz w:val="22"/>
              </w:rPr>
            </w:pPr>
            <w:r w:rsidRPr="00B7315D">
              <w:rPr>
                <w:rStyle w:val="FormatvorlageInstructionsTabelleText"/>
                <w:rFonts w:ascii="Times New Roman" w:hAnsi="Times New Roman"/>
                <w:sz w:val="22"/>
              </w:rPr>
              <w:t>Artikel 50 van Verordening (EU) nr. 575/2013.</w:t>
            </w:r>
          </w:p>
          <w:p w14:paraId="5C55618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De totale som van de rijen 0040-0060, 0090-0140 en 0290 wordt gerapporteerd.</w:t>
            </w:r>
          </w:p>
        </w:tc>
      </w:tr>
      <w:tr w:rsidR="00532AE6" w:rsidRPr="00B7315D" w14:paraId="40205053" w14:textId="77777777">
        <w:tc>
          <w:tcPr>
            <w:tcW w:w="1129" w:type="dxa"/>
          </w:tcPr>
          <w:p w14:paraId="45FF1AB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0040</w:t>
            </w:r>
          </w:p>
        </w:tc>
        <w:tc>
          <w:tcPr>
            <w:tcW w:w="7620" w:type="dxa"/>
          </w:tcPr>
          <w:p w14:paraId="66B04F9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Volgestorte kapitaalinstrumenten</w:t>
            </w:r>
          </w:p>
          <w:p w14:paraId="14E9684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59518C1C"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lastRenderedPageBreak/>
              <w:t>Artikel 2</w:t>
            </w:r>
            <w:r w:rsidRPr="00B7315D">
              <w:rPr>
                <w:rStyle w:val="FormatvorlageInstructionsTabelleText"/>
                <w:rFonts w:ascii="Times New Roman" w:hAnsi="Times New Roman"/>
                <w:sz w:val="22"/>
                <w:szCs w:val="22"/>
              </w:rPr>
              <w:t>6, lid 1, punt a), en artikelen 27 tot en met 31 van Verordening (EU) nr. 575/2013</w:t>
            </w:r>
          </w:p>
          <w:p w14:paraId="2878E9BC"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t>Kapitaalinstrumenten van onderlinge maatschappijen, coöperaties of soortgelijke instellingen (artikelen 27 en 29 van Verordening (EU) nr. 575/2013) worden opgenomen.</w:t>
            </w:r>
          </w:p>
          <w:p w14:paraId="41ABA9CA"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t>Het met</w:t>
            </w:r>
            <w:r w:rsidRPr="00B7315D">
              <w:rPr>
                <w:rStyle w:val="FormatvorlageInstructionsTabelleText"/>
                <w:rFonts w:ascii="Times New Roman" w:hAnsi="Times New Roman"/>
                <w:sz w:val="22"/>
                <w:szCs w:val="22"/>
              </w:rPr>
              <w:t xml:space="preserve"> de instrumenten verband houdende agio wordt niet opgenomen.</w:t>
            </w:r>
          </w:p>
          <w:p w14:paraId="719D71B6" w14:textId="77777777" w:rsidR="00532AE6" w:rsidRPr="00B7315D" w:rsidRDefault="00B7315D">
            <w:pPr>
              <w:pStyle w:val="InstructionsText"/>
              <w:rPr>
                <w:sz w:val="22"/>
                <w:szCs w:val="22"/>
              </w:rPr>
            </w:pPr>
            <w:r w:rsidRPr="00B7315D">
              <w:rPr>
                <w:rStyle w:val="FormatvorlageInstructionsTabelleText"/>
                <w:rFonts w:ascii="Times New Roman" w:hAnsi="Times New Roman"/>
                <w:sz w:val="22"/>
                <w:szCs w:val="22"/>
              </w:rPr>
              <w:t>In noodsituaties bij autoriteiten geplaatste kapitaalinstrumenten worden opgenomen indien alle voorwaarden van artikel 31 van Verordening (EU) nr. 575/2013 zijn vervuld.</w:t>
            </w:r>
          </w:p>
        </w:tc>
      </w:tr>
      <w:tr w:rsidR="00532AE6" w:rsidRPr="00B7315D" w14:paraId="21EF0C5D" w14:textId="77777777">
        <w:tc>
          <w:tcPr>
            <w:tcW w:w="1129" w:type="dxa"/>
          </w:tcPr>
          <w:p w14:paraId="32B647B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0050</w:t>
            </w:r>
          </w:p>
        </w:tc>
        <w:tc>
          <w:tcPr>
            <w:tcW w:w="7620" w:type="dxa"/>
          </w:tcPr>
          <w:p w14:paraId="15E9D68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Agio</w:t>
            </w:r>
          </w:p>
          <w:p w14:paraId="46D6CDF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39A8FC16" w14:textId="77777777" w:rsidR="00532AE6" w:rsidRPr="00B7315D" w:rsidRDefault="00B7315D">
            <w:pPr>
              <w:spacing w:after="120" w:line="240" w:lineRule="auto"/>
              <w:jc w:val="both"/>
              <w:rPr>
                <w:rStyle w:val="FormatvorlageInstructionsTabelleText"/>
                <w:rFonts w:ascii="Times New Roman" w:hAnsi="Times New Roman"/>
                <w:sz w:val="22"/>
              </w:rPr>
            </w:pPr>
            <w:r w:rsidRPr="00B7315D">
              <w:rPr>
                <w:rStyle w:val="FormatvorlageInstructionsTabelleText"/>
                <w:rFonts w:ascii="Times New Roman" w:hAnsi="Times New Roman"/>
                <w:sz w:val="22"/>
              </w:rPr>
              <w:t>Artikel 26, lid 1, punt b), van Verordening (EU) nr. 575/2013</w:t>
            </w:r>
          </w:p>
          <w:p w14:paraId="22DBB308"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t>“Agio” betekent hetzelfde als in de toepasselijke standaard voor jaarrekeningen.</w:t>
            </w:r>
          </w:p>
          <w:p w14:paraId="617007F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Het onder deze post te rapporteren bedrag is het gedeel</w:t>
            </w:r>
            <w:r w:rsidRPr="00B7315D">
              <w:rPr>
                <w:rStyle w:val="FormatvorlageInstructionsTabelleText"/>
                <w:rFonts w:ascii="Times New Roman" w:hAnsi="Times New Roman"/>
                <w:sz w:val="22"/>
              </w:rPr>
              <w:t>te dat verband houdt met de “Volgestorte kapitaalinstrumenten”.</w:t>
            </w:r>
          </w:p>
        </w:tc>
      </w:tr>
      <w:tr w:rsidR="00532AE6" w:rsidRPr="00B7315D" w14:paraId="18408658" w14:textId="77777777">
        <w:tc>
          <w:tcPr>
            <w:tcW w:w="1129" w:type="dxa"/>
          </w:tcPr>
          <w:p w14:paraId="6ABA2001"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0060</w:t>
            </w:r>
          </w:p>
        </w:tc>
        <w:tc>
          <w:tcPr>
            <w:tcW w:w="7620" w:type="dxa"/>
          </w:tcPr>
          <w:p w14:paraId="016AA680"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Ingehouden winsten</w:t>
            </w:r>
          </w:p>
          <w:p w14:paraId="738231B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64B97884" w14:textId="77777777" w:rsidR="00532AE6" w:rsidRPr="00B7315D" w:rsidRDefault="00B7315D">
            <w:pPr>
              <w:spacing w:after="120" w:line="240" w:lineRule="auto"/>
              <w:jc w:val="both"/>
              <w:rPr>
                <w:rFonts w:ascii="Times New Roman" w:eastAsia="Times New Roman" w:hAnsi="Times New Roman" w:cs="Times New Roman"/>
                <w:bCs/>
              </w:rPr>
            </w:pPr>
            <w:r w:rsidRPr="00B7315D">
              <w:rPr>
                <w:rStyle w:val="FormatvorlageInstructionsTabelleText"/>
                <w:rFonts w:ascii="Times New Roman" w:hAnsi="Times New Roman"/>
                <w:sz w:val="22"/>
              </w:rPr>
              <w:t>Artikel 26, lid 1, punt c), van Verordening (EU) nr. 575/2013</w:t>
            </w:r>
          </w:p>
          <w:p w14:paraId="3A515943" w14:textId="77777777" w:rsidR="00532AE6" w:rsidRPr="00B7315D" w:rsidRDefault="00B7315D">
            <w:pPr>
              <w:spacing w:after="120" w:line="240" w:lineRule="auto"/>
              <w:jc w:val="both"/>
              <w:rPr>
                <w:rStyle w:val="FormatvorlageInstructionsTabelleText"/>
                <w:rFonts w:ascii="Times New Roman" w:hAnsi="Times New Roman"/>
                <w:sz w:val="22"/>
              </w:rPr>
            </w:pPr>
            <w:r w:rsidRPr="00B7315D">
              <w:rPr>
                <w:rStyle w:val="FormatvorlageInstructionsTabelleText"/>
                <w:rFonts w:ascii="Times New Roman" w:hAnsi="Times New Roman"/>
                <w:sz w:val="22"/>
              </w:rPr>
              <w:t xml:space="preserve">Onder “ingehouden winsten” wordt </w:t>
            </w:r>
            <w:r w:rsidRPr="00B7315D">
              <w:rPr>
                <w:rStyle w:val="FormatvorlageInstructionsTabelleText"/>
                <w:rFonts w:ascii="Times New Roman" w:hAnsi="Times New Roman"/>
                <w:sz w:val="22"/>
              </w:rPr>
              <w:t>verstaan de ingehouden winsten van het voorgaande jaar plus de in aanmerking komende tussentijdse of jaareindewinsten.</w:t>
            </w:r>
          </w:p>
          <w:p w14:paraId="5DDA3C1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De totale som van de rijen 0070 en 0080 wordt gerapporteerd.</w:t>
            </w:r>
          </w:p>
        </w:tc>
      </w:tr>
      <w:tr w:rsidR="00532AE6" w:rsidRPr="00B7315D" w14:paraId="2FF08D86" w14:textId="77777777">
        <w:tc>
          <w:tcPr>
            <w:tcW w:w="1129" w:type="dxa"/>
          </w:tcPr>
          <w:p w14:paraId="7E6E89B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0070</w:t>
            </w:r>
          </w:p>
        </w:tc>
        <w:tc>
          <w:tcPr>
            <w:tcW w:w="7620" w:type="dxa"/>
          </w:tcPr>
          <w:p w14:paraId="71A6816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Ingehouden winsten voorgaande jaren</w:t>
            </w:r>
          </w:p>
          <w:p w14:paraId="1BBF4EB9" w14:textId="77777777" w:rsidR="00532AE6" w:rsidRPr="00B7315D" w:rsidRDefault="00B7315D">
            <w:pPr>
              <w:spacing w:after="120" w:line="240" w:lineRule="auto"/>
              <w:jc w:val="both"/>
              <w:rPr>
                <w:rFonts w:ascii="Times New Roman" w:eastAsia="Times New Roman" w:hAnsi="Times New Roman" w:cs="Times New Roman"/>
              </w:rPr>
            </w:pPr>
            <w:r w:rsidRPr="00B7315D">
              <w:rPr>
                <w:rFonts w:ascii="Times New Roman" w:hAnsi="Times New Roman"/>
              </w:rPr>
              <w:t>Artikel 4, lid 1, punt 123, en art</w:t>
            </w:r>
            <w:r w:rsidRPr="00B7315D">
              <w:rPr>
                <w:rFonts w:ascii="Times New Roman" w:hAnsi="Times New Roman"/>
              </w:rPr>
              <w:t>ikel 26, lid 1, punt c), van Verordening (EU) nr. 575/2013</w:t>
            </w:r>
          </w:p>
          <w:p w14:paraId="153BBDE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rPr>
              <w:t xml:space="preserve">In artikel 4, lid 1, punt 123, van Verordening (EU) nr. 575/2013 worden “ingehouden winsten” omschreven als “de resultaten van het voorgaande jaar die zijn overgedragen door definitieve </w:t>
            </w:r>
            <w:r w:rsidRPr="00B7315D">
              <w:rPr>
                <w:rFonts w:ascii="Times New Roman" w:hAnsi="Times New Roman"/>
              </w:rPr>
              <w:t>bestemming van het resultaat overeenkomstig het toepasselijke kader voor financiële verslaggeving”.</w:t>
            </w:r>
          </w:p>
        </w:tc>
      </w:tr>
      <w:tr w:rsidR="00532AE6" w:rsidRPr="00B7315D" w14:paraId="2092319A" w14:textId="77777777">
        <w:tc>
          <w:tcPr>
            <w:tcW w:w="1129" w:type="dxa"/>
          </w:tcPr>
          <w:p w14:paraId="3A72224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0080</w:t>
            </w:r>
          </w:p>
        </w:tc>
        <w:tc>
          <w:tcPr>
            <w:tcW w:w="7620" w:type="dxa"/>
          </w:tcPr>
          <w:p w14:paraId="4799B40A"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In aanmerking komende winst</w:t>
            </w:r>
          </w:p>
          <w:p w14:paraId="6E9CD0F3" w14:textId="77777777" w:rsidR="00532AE6" w:rsidRPr="00B7315D" w:rsidRDefault="00B7315D">
            <w:pPr>
              <w:spacing w:after="120" w:line="240" w:lineRule="auto"/>
              <w:jc w:val="both"/>
              <w:rPr>
                <w:rFonts w:ascii="Times New Roman" w:eastAsia="Times New Roman" w:hAnsi="Times New Roman" w:cs="Times New Roman"/>
              </w:rPr>
            </w:pPr>
            <w:r w:rsidRPr="00B7315D">
              <w:rPr>
                <w:rFonts w:ascii="Times New Roman" w:hAnsi="Times New Roman"/>
              </w:rPr>
              <w:t>Artikel 4, lid 1, punt 121, artikel 26, lid 2, en artikel 36, lid 1, punt a), van Verordening (EU) nr. 575/2013</w:t>
            </w:r>
          </w:p>
          <w:p w14:paraId="1108FB0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rPr>
              <w:t xml:space="preserve">Krachtens </w:t>
            </w:r>
            <w:r w:rsidRPr="00B7315D">
              <w:rPr>
                <w:rFonts w:ascii="Times New Roman" w:hAnsi="Times New Roman"/>
              </w:rPr>
              <w:t xml:space="preserve">artikel 26, lid 2, van Verordening (EU) nr. 575/2013 mogen tussentijdse of jaareinderesultaten, met de voorafgaande toestemming van de bevoegde autoriteiten, als ingehouden winsten worden opgenomen indien bepaalde voorwaarden zijn vervuld. </w:t>
            </w:r>
          </w:p>
        </w:tc>
      </w:tr>
      <w:tr w:rsidR="00532AE6" w:rsidRPr="00B7315D" w14:paraId="357C353A" w14:textId="77777777">
        <w:tc>
          <w:tcPr>
            <w:tcW w:w="1129" w:type="dxa"/>
          </w:tcPr>
          <w:p w14:paraId="2385AB6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0090</w:t>
            </w:r>
          </w:p>
        </w:tc>
        <w:tc>
          <w:tcPr>
            <w:tcW w:w="7620" w:type="dxa"/>
          </w:tcPr>
          <w:p w14:paraId="5A0E3D3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Geaccumul</w:t>
            </w:r>
            <w:r w:rsidRPr="00B7315D">
              <w:rPr>
                <w:rFonts w:ascii="Times New Roman" w:hAnsi="Times New Roman"/>
                <w:b/>
                <w:bCs/>
                <w:u w:val="single"/>
              </w:rPr>
              <w:t>eerde overige onderdelen van het totaalresultaat</w:t>
            </w:r>
          </w:p>
          <w:p w14:paraId="6F4ECE1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3D45AFF6" w14:textId="77777777" w:rsidR="00532AE6" w:rsidRPr="00B7315D" w:rsidRDefault="00B7315D">
            <w:pPr>
              <w:spacing w:after="120" w:line="240" w:lineRule="auto"/>
              <w:jc w:val="both"/>
              <w:rPr>
                <w:rFonts w:ascii="Times New Roman" w:hAnsi="Times New Roman" w:cs="Times New Roman"/>
                <w:bCs/>
              </w:rPr>
            </w:pPr>
            <w:r w:rsidRPr="00B7315D">
              <w:rPr>
                <w:rStyle w:val="FormatvorlageInstructionsTabelleText"/>
                <w:rFonts w:ascii="Times New Roman" w:hAnsi="Times New Roman"/>
                <w:sz w:val="22"/>
              </w:rPr>
              <w:t>Artikel 26, lid 1, punt d), van Verordening (EU) nr. 575/2013</w:t>
            </w:r>
          </w:p>
        </w:tc>
      </w:tr>
      <w:tr w:rsidR="00532AE6" w:rsidRPr="00B7315D" w14:paraId="0F647C61" w14:textId="77777777">
        <w:tc>
          <w:tcPr>
            <w:tcW w:w="1129" w:type="dxa"/>
          </w:tcPr>
          <w:p w14:paraId="7912C922" w14:textId="77777777" w:rsidR="00532AE6" w:rsidRPr="00B7315D" w:rsidRDefault="00B7315D">
            <w:pPr>
              <w:keepNext/>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0100</w:t>
            </w:r>
          </w:p>
        </w:tc>
        <w:tc>
          <w:tcPr>
            <w:tcW w:w="7620" w:type="dxa"/>
          </w:tcPr>
          <w:p w14:paraId="60BB201A" w14:textId="77777777" w:rsidR="00532AE6" w:rsidRPr="00B7315D" w:rsidRDefault="00B7315D">
            <w:pPr>
              <w:keepNext/>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Overige reserves</w:t>
            </w:r>
          </w:p>
          <w:p w14:paraId="05CB5DF1" w14:textId="77777777" w:rsidR="00532AE6" w:rsidRPr="00B7315D" w:rsidRDefault="00B7315D">
            <w:pPr>
              <w:keepNext/>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65DF8784" w14:textId="77777777" w:rsidR="00532AE6" w:rsidRPr="00B7315D" w:rsidRDefault="00B7315D">
            <w:pPr>
              <w:keepNext/>
              <w:spacing w:after="120" w:line="240" w:lineRule="auto"/>
              <w:jc w:val="both"/>
              <w:rPr>
                <w:rStyle w:val="FormatvorlageInstructionsTabelleText"/>
                <w:rFonts w:ascii="Times New Roman" w:hAnsi="Times New Roman"/>
                <w:sz w:val="22"/>
              </w:rPr>
            </w:pPr>
            <w:r w:rsidRPr="00B7315D">
              <w:rPr>
                <w:rStyle w:val="FormatvorlageInstructionsTabelleText"/>
                <w:rFonts w:ascii="Times New Roman" w:hAnsi="Times New Roman"/>
                <w:sz w:val="22"/>
              </w:rPr>
              <w:t>Artike</w:t>
            </w:r>
            <w:r w:rsidRPr="00B7315D">
              <w:rPr>
                <w:rStyle w:val="FormatvorlageInstructionsTabelleText"/>
                <w:rFonts w:ascii="Times New Roman" w:hAnsi="Times New Roman"/>
                <w:sz w:val="22"/>
              </w:rPr>
              <w:t>l 4, lid 1, punt 117, en artikel 26, lid 1, punt e), van Verordening (EU) nr. 575/2013</w:t>
            </w:r>
          </w:p>
          <w:p w14:paraId="4B5ED028" w14:textId="77777777" w:rsidR="00532AE6" w:rsidRPr="00B7315D" w:rsidRDefault="00B7315D">
            <w:pPr>
              <w:keepNext/>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Het te rapporteren bedrag is het bedrag na aftrek van eventuele op het tijdstip van de berekening te verwachten belastingheffingen.</w:t>
            </w:r>
          </w:p>
        </w:tc>
      </w:tr>
      <w:tr w:rsidR="00532AE6" w:rsidRPr="00B7315D" w14:paraId="6C30211F" w14:textId="77777777">
        <w:tc>
          <w:tcPr>
            <w:tcW w:w="1129" w:type="dxa"/>
          </w:tcPr>
          <w:p w14:paraId="1D0453A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0110</w:t>
            </w:r>
          </w:p>
        </w:tc>
        <w:tc>
          <w:tcPr>
            <w:tcW w:w="7620" w:type="dxa"/>
            <w:shd w:val="clear" w:color="auto" w:fill="auto"/>
          </w:tcPr>
          <w:p w14:paraId="4A0A1345"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xml:space="preserve">Als tier </w:t>
            </w:r>
            <w:r w:rsidRPr="00B7315D">
              <w:rPr>
                <w:rFonts w:ascii="Times New Roman" w:hAnsi="Times New Roman"/>
                <w:b/>
                <w:bCs/>
                <w:u w:val="single"/>
              </w:rPr>
              <w:t>1-kernkapitaal opgenomen minderheidsbelangen</w:t>
            </w:r>
          </w:p>
          <w:p w14:paraId="7F922397" w14:textId="77777777" w:rsidR="00532AE6" w:rsidRPr="00B7315D" w:rsidRDefault="00B7315D">
            <w:pPr>
              <w:spacing w:after="120" w:line="240" w:lineRule="auto"/>
              <w:jc w:val="both"/>
              <w:rPr>
                <w:rStyle w:val="FormatvorlageInstructionsTabelleText"/>
                <w:rFonts w:ascii="Times New Roman" w:hAnsi="Times New Roman"/>
                <w:sz w:val="22"/>
              </w:rPr>
            </w:pPr>
            <w:r w:rsidRPr="00B7315D">
              <w:rPr>
                <w:rStyle w:val="FormatvorlageInstructionsTabelleText"/>
                <w:rFonts w:ascii="Times New Roman" w:hAnsi="Times New Roman"/>
                <w:sz w:val="22"/>
              </w:rPr>
              <w:t>Artikel 84, lid 1, artikel 85, lid 1, en artikel 87, lid 1, van Verordening (EU) nr. 575/2013</w:t>
            </w:r>
          </w:p>
          <w:p w14:paraId="246C5CC8"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De som van alle bedragen aan minderheidsbelangen van dochterondernemingen die in het geconsolideerde tier 1-kernkapit</w:t>
            </w:r>
            <w:r w:rsidRPr="00B7315D">
              <w:rPr>
                <w:rStyle w:val="FormatvorlageInstructionsTabelleText"/>
                <w:rFonts w:ascii="Times New Roman" w:hAnsi="Times New Roman"/>
                <w:sz w:val="22"/>
              </w:rPr>
              <w:t>aal wordt opgenomen.</w:t>
            </w:r>
          </w:p>
        </w:tc>
      </w:tr>
      <w:tr w:rsidR="00532AE6" w:rsidRPr="00B7315D" w14:paraId="573F41A9" w14:textId="77777777">
        <w:tc>
          <w:tcPr>
            <w:tcW w:w="1129" w:type="dxa"/>
          </w:tcPr>
          <w:p w14:paraId="0D73928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0120</w:t>
            </w:r>
          </w:p>
        </w:tc>
        <w:tc>
          <w:tcPr>
            <w:tcW w:w="7620" w:type="dxa"/>
            <w:shd w:val="clear" w:color="auto" w:fill="auto"/>
          </w:tcPr>
          <w:p w14:paraId="25C83C9A"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Aanpassingen van tier 1-kernkapitaal als gevolg van prudentiële filters</w:t>
            </w:r>
          </w:p>
          <w:p w14:paraId="0DC99C57" w14:textId="77777777" w:rsidR="00532AE6" w:rsidRPr="00B7315D" w:rsidRDefault="00B7315D">
            <w:pPr>
              <w:spacing w:after="120" w:line="240" w:lineRule="auto"/>
              <w:jc w:val="both"/>
              <w:rPr>
                <w:rStyle w:val="FormatvorlageInstructionsTabelleText"/>
                <w:rFonts w:ascii="Times New Roman" w:hAnsi="Times New Roman"/>
                <w:sz w:val="22"/>
              </w:rPr>
            </w:pPr>
            <w:r w:rsidRPr="00B7315D">
              <w:rPr>
                <w:rStyle w:val="FormatvorlageInstructionsTabelleText"/>
                <w:rFonts w:ascii="Times New Roman" w:hAnsi="Times New Roman"/>
                <w:sz w:val="22"/>
              </w:rPr>
              <w:t>Artikel 9, lid 1, punt i), van Verordening (EU) 2019/2033</w:t>
            </w:r>
          </w:p>
          <w:p w14:paraId="0A7F7885"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Artikelen 32 tot en met 35 van Verordening (EU) nr. 575/2013</w:t>
            </w:r>
          </w:p>
        </w:tc>
      </w:tr>
      <w:tr w:rsidR="00532AE6" w:rsidRPr="00B7315D" w14:paraId="2A0B802D" w14:textId="77777777">
        <w:tc>
          <w:tcPr>
            <w:tcW w:w="1129" w:type="dxa"/>
          </w:tcPr>
          <w:p w14:paraId="30C6C4D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0130</w:t>
            </w:r>
          </w:p>
        </w:tc>
        <w:tc>
          <w:tcPr>
            <w:tcW w:w="7620" w:type="dxa"/>
          </w:tcPr>
          <w:p w14:paraId="547A3AC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Overige middelen</w:t>
            </w:r>
          </w:p>
          <w:p w14:paraId="702DD9D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Artikel 9, lid 4, van Verordening (EU) 2019/2033</w:t>
            </w:r>
          </w:p>
        </w:tc>
      </w:tr>
      <w:tr w:rsidR="00532AE6" w:rsidRPr="00B7315D" w14:paraId="503EA5DD" w14:textId="77777777">
        <w:tc>
          <w:tcPr>
            <w:tcW w:w="1129" w:type="dxa"/>
          </w:tcPr>
          <w:p w14:paraId="1640FB1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0140</w:t>
            </w:r>
          </w:p>
        </w:tc>
        <w:tc>
          <w:tcPr>
            <w:tcW w:w="7620" w:type="dxa"/>
          </w:tcPr>
          <w:p w14:paraId="55EE6D4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TOTAAL AFTREKKINGEN VAN TIER 1-KERNKAPITAAL</w:t>
            </w:r>
          </w:p>
          <w:p w14:paraId="36E37CFC"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De totale som van de rijen 0190-0285 wordt gerapporteerd.</w:t>
            </w:r>
          </w:p>
        </w:tc>
      </w:tr>
      <w:tr w:rsidR="00532AE6" w:rsidRPr="00B7315D" w14:paraId="47FBE32E" w14:textId="77777777">
        <w:tc>
          <w:tcPr>
            <w:tcW w:w="1129" w:type="dxa"/>
          </w:tcPr>
          <w:p w14:paraId="0E6DF2B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0531BF"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Verlies van het lopende boekjaar</w:t>
            </w:r>
          </w:p>
          <w:p w14:paraId="0152290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rPr>
              <w:t>Artikel 36, lid 1, punt a), van Verordening (EU) nr.</w:t>
            </w:r>
            <w:r w:rsidRPr="00B7315D">
              <w:rPr>
                <w:rFonts w:ascii="Times New Roman" w:hAnsi="Times New Roman"/>
              </w:rPr>
              <w:t xml:space="preserve"> 575/2013</w:t>
            </w:r>
          </w:p>
        </w:tc>
      </w:tr>
      <w:tr w:rsidR="00532AE6" w:rsidRPr="00B7315D" w14:paraId="510C36B2" w14:textId="77777777">
        <w:tc>
          <w:tcPr>
            <w:tcW w:w="1129" w:type="dxa"/>
          </w:tcPr>
          <w:p w14:paraId="2547310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31C71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Goodwill</w:t>
            </w:r>
          </w:p>
          <w:p w14:paraId="0BB0AC5C"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13D0EC76"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Artikel 4, lid 1, punt 113, artikel 36, lid 1, punt b), en artikel 37 van Verordening (EU) nr. 575/2013</w:t>
            </w:r>
          </w:p>
        </w:tc>
      </w:tr>
      <w:tr w:rsidR="00532AE6" w:rsidRPr="00B7315D" w14:paraId="13B9710A" w14:textId="77777777">
        <w:tc>
          <w:tcPr>
            <w:tcW w:w="1129" w:type="dxa"/>
          </w:tcPr>
          <w:p w14:paraId="5C9B1D9C"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CBC66F"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Andere immateriële activa</w:t>
            </w:r>
          </w:p>
          <w:p w14:paraId="3588653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9, lid 1, punt i), </w:t>
            </w:r>
            <w:r w:rsidRPr="00B7315D">
              <w:rPr>
                <w:rFonts w:ascii="Times New Roman" w:hAnsi="Times New Roman"/>
                <w:bCs/>
              </w:rPr>
              <w:t>van Verordening (EU) 2019/2033</w:t>
            </w:r>
          </w:p>
          <w:p w14:paraId="4C9FE777" w14:textId="77777777" w:rsidR="00532AE6" w:rsidRPr="00B7315D" w:rsidRDefault="00B7315D">
            <w:pPr>
              <w:pStyle w:val="InstructionsText"/>
              <w:rPr>
                <w:rStyle w:val="FormatvorlageInstructionsTabelleText"/>
                <w:rFonts w:ascii="Times New Roman" w:eastAsiaTheme="minorHAnsi" w:hAnsi="Times New Roman"/>
                <w:bCs/>
                <w:sz w:val="22"/>
                <w:szCs w:val="22"/>
              </w:rPr>
            </w:pPr>
            <w:r w:rsidRPr="00B7315D">
              <w:rPr>
                <w:rStyle w:val="FormatvorlageInstructionsTabelleText"/>
                <w:rFonts w:ascii="Times New Roman" w:hAnsi="Times New Roman"/>
                <w:sz w:val="22"/>
                <w:szCs w:val="22"/>
              </w:rPr>
              <w:t>Artikel 4, lid 1, punt 115, artikel 36, lid 1, punt b), en artikel 37, punt a), van Verordening (EU) nr. 575/2013</w:t>
            </w:r>
          </w:p>
          <w:p w14:paraId="2D7F9D1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“Andere immateriële activa” zijn de immateriële activa overeenkomstig de toepasselijke standaard voor jaarreken</w:t>
            </w:r>
            <w:r w:rsidRPr="00B7315D">
              <w:rPr>
                <w:rStyle w:val="FormatvorlageInstructionsTabelleText"/>
                <w:rFonts w:ascii="Times New Roman" w:hAnsi="Times New Roman"/>
                <w:sz w:val="22"/>
              </w:rPr>
              <w:t>ingen minus de goodwill, eveneens volgens de toepasselijke standaard voor jaarrekeningen.</w:t>
            </w:r>
          </w:p>
        </w:tc>
      </w:tr>
      <w:tr w:rsidR="00532AE6" w:rsidRPr="00B7315D" w14:paraId="690FBA2E" w14:textId="77777777">
        <w:tc>
          <w:tcPr>
            <w:tcW w:w="1129" w:type="dxa"/>
          </w:tcPr>
          <w:p w14:paraId="4C325AA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CBD610"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Uitgestelde belastingvorderingen die op toekomstige winstgevendheid berusten en die niet voortvloeien uit tijdelijke verschillen, na aftrek van daaraan gere</w:t>
            </w:r>
            <w:r w:rsidRPr="00B7315D">
              <w:rPr>
                <w:rFonts w:ascii="Times New Roman" w:hAnsi="Times New Roman"/>
                <w:b/>
                <w:bCs/>
                <w:u w:val="single"/>
              </w:rPr>
              <w:t>lateerde belastingverplichtingen</w:t>
            </w:r>
          </w:p>
          <w:p w14:paraId="20DFFC2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2, punt a), van Verordening (EU) 2019/2033</w:t>
            </w:r>
          </w:p>
          <w:p w14:paraId="4BD943ED"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36, lid 1, punt c), van Verordening (EU) nr. 575/2013</w:t>
            </w:r>
          </w:p>
        </w:tc>
      </w:tr>
      <w:tr w:rsidR="00532AE6" w:rsidRPr="00B7315D" w14:paraId="1DEE7A78" w14:textId="77777777">
        <w:tc>
          <w:tcPr>
            <w:tcW w:w="1129" w:type="dxa"/>
          </w:tcPr>
          <w:p w14:paraId="1B6663C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20FC1A8"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Gekwalificeerde deelnemingen buiten de financiële sector waarvan het bedrag hoger ligt dan 15</w:t>
            </w:r>
            <w:r w:rsidRPr="00B7315D">
              <w:rPr>
                <w:rFonts w:ascii="Times New Roman" w:hAnsi="Times New Roman"/>
                <w:b/>
                <w:bCs/>
                <w:u w:val="single"/>
              </w:rPr>
              <w:t> % van het eigen vermogen</w:t>
            </w:r>
          </w:p>
          <w:p w14:paraId="7185327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10, lid 1, punt a), van Verordening (EU) 2019/2033</w:t>
            </w:r>
          </w:p>
        </w:tc>
      </w:tr>
      <w:tr w:rsidR="00532AE6" w:rsidRPr="00B7315D" w14:paraId="65B93569" w14:textId="77777777">
        <w:tc>
          <w:tcPr>
            <w:tcW w:w="1129" w:type="dxa"/>
          </w:tcPr>
          <w:p w14:paraId="60DD02B7" w14:textId="77777777" w:rsidR="00532AE6" w:rsidRPr="00B7315D" w:rsidRDefault="00B7315D">
            <w:pPr>
              <w:keepNext/>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BE1E5E" w14:textId="77777777" w:rsidR="00532AE6" w:rsidRPr="00B7315D" w:rsidRDefault="00B7315D">
            <w:pPr>
              <w:keepNext/>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Totaal gekwalificeerde deelnemingen in ondernemingen niet zijnde entiteiten uit de financiële sector, dat hoger ligt dan 60 % van haar eigen vermogen</w:t>
            </w:r>
          </w:p>
          <w:p w14:paraId="2D9FC79A" w14:textId="77777777" w:rsidR="00532AE6" w:rsidRPr="00B7315D" w:rsidRDefault="00B7315D">
            <w:pPr>
              <w:keepNext/>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10, lid 1, punt b), van Verordening (EU) 2019/2033</w:t>
            </w:r>
          </w:p>
        </w:tc>
      </w:tr>
      <w:tr w:rsidR="00532AE6" w:rsidRPr="00B7315D" w14:paraId="5DBEAE30" w14:textId="77777777">
        <w:tc>
          <w:tcPr>
            <w:tcW w:w="1129" w:type="dxa"/>
          </w:tcPr>
          <w:p w14:paraId="0D42EE8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C4EA9C"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Andere aftrekkingen</w:t>
            </w:r>
          </w:p>
          <w:p w14:paraId="2C69466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rPr>
              <w:t>De som van alle andere aftrekkingen overeenkomstig artikel 36, lid 1, van Verordening (EU) nr. 575/2013 die niet zijn opgenomen in de rijen 0160 tot en met 0240.</w:t>
            </w:r>
          </w:p>
        </w:tc>
      </w:tr>
      <w:tr w:rsidR="00532AE6" w:rsidRPr="00B7315D" w14:paraId="44CBAA95" w14:textId="77777777">
        <w:tc>
          <w:tcPr>
            <w:tcW w:w="1129" w:type="dxa"/>
          </w:tcPr>
          <w:p w14:paraId="772D604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D41CED"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Tier 1-kernkapitaal: Andere kapitaalbestanddelen, aftrekkingen en aanpassingen</w:t>
            </w:r>
          </w:p>
          <w:p w14:paraId="3E66775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Deze rij omvat de som van de volgende posten (voor zover van toepassing):</w:t>
            </w:r>
          </w:p>
          <w:p w14:paraId="7BFDADEE"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rPr>
              <w:t>Overgangsaanpassingen als gevolg van tier 1-kernkapitaalinstrumenten waarop grandfatheringbepali</w:t>
            </w:r>
            <w:r w:rsidRPr="00B7315D">
              <w:rPr>
                <w:rFonts w:ascii="Times New Roman" w:hAnsi="Times New Roman"/>
              </w:rPr>
              <w:t>ngen van toepassing zijn (artikel 483, leden 1, 2 en 3, en artikelen 484 tot en met 487 van Verordening (EU) nr. 575/2013).</w:t>
            </w:r>
          </w:p>
          <w:p w14:paraId="4E06756D"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rPr>
              <w:t>Overgangsaanpassingen in verband met aanvullende minderheidsbelangen (artikelen 479 en 480 van Verordening (EU) nr. 575/2013).</w:t>
            </w:r>
          </w:p>
          <w:p w14:paraId="68D3BB13"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rPr>
              <w:t>O</w:t>
            </w:r>
            <w:r w:rsidRPr="00B7315D">
              <w:rPr>
                <w:rFonts w:ascii="Times New Roman" w:hAnsi="Times New Roman"/>
              </w:rPr>
              <w:t>verige overgangsaanpassingen van het tier 1-kernkapitaal (artikelen 469 tot en met 478 en artikel 481 van Verordening (EU) nr. 575/2013):</w:t>
            </w:r>
            <w:r w:rsidRPr="00B7315D">
              <w:rPr>
                <w:rFonts w:ascii="Times New Roman" w:hAnsi="Times New Roman"/>
                <w:bCs/>
              </w:rPr>
              <w:t xml:space="preserve"> aanpassingen van de aftrekkingen van tier 1-kernkapitaal als gevolg van overgangsbepalingen.</w:t>
            </w:r>
          </w:p>
          <w:p w14:paraId="1DBCB7FF" w14:textId="77777777" w:rsidR="00532AE6" w:rsidRPr="00B7315D" w:rsidRDefault="00B7315D">
            <w:pPr>
              <w:spacing w:after="120" w:line="240" w:lineRule="auto"/>
              <w:ind w:left="360" w:hanging="360"/>
              <w:jc w:val="both"/>
              <w:rPr>
                <w:rFonts w:ascii="Times New Roman" w:eastAsia="Times New Roman" w:hAnsi="Times New Roman" w:cs="Times New Roman"/>
                <w:b/>
                <w:bCs/>
                <w:u w:val="single"/>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bCs/>
              </w:rPr>
              <w:t>Andere tier 1-kernkapit</w:t>
            </w:r>
            <w:r w:rsidRPr="00B7315D">
              <w:rPr>
                <w:rFonts w:ascii="Times New Roman" w:hAnsi="Times New Roman"/>
                <w:bCs/>
              </w:rPr>
              <w:t>aalbestanddelen of aftrekkingen van een tier 1-kernkapitaalbestanddeel die niet aan een van de rijen 0040 tot en met 0285 kunnen worden toegewezen.</w:t>
            </w:r>
          </w:p>
          <w:p w14:paraId="6BEB8148"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Deze rij niet gebruiken om kapitaalbestanddelen of aftrekkingen die niet onder Verordening (EU) 2019/2033 of</w:t>
            </w:r>
            <w:r w:rsidRPr="00B7315D">
              <w:rPr>
                <w:rFonts w:ascii="Times New Roman" w:hAnsi="Times New Roman"/>
                <w:bCs/>
              </w:rPr>
              <w:t xml:space="preserve"> Verordening (EU) nr. 575/2013 vallen, op te nemen in de berekening van de solvabiliteitsratio’s.</w:t>
            </w:r>
          </w:p>
        </w:tc>
      </w:tr>
      <w:tr w:rsidR="00532AE6" w:rsidRPr="00B7315D" w14:paraId="5BC5ECAF" w14:textId="77777777">
        <w:tc>
          <w:tcPr>
            <w:tcW w:w="1129" w:type="dxa"/>
          </w:tcPr>
          <w:p w14:paraId="545BE0A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3C76925"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AANVULLEND-TIER 1-KAPITAAL</w:t>
            </w:r>
          </w:p>
          <w:p w14:paraId="7419ACE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van Verordening (EU) 2019/2033</w:t>
            </w:r>
          </w:p>
          <w:p w14:paraId="180AC215" w14:textId="77777777" w:rsidR="00532AE6" w:rsidRPr="00B7315D" w:rsidRDefault="00B7315D">
            <w:pPr>
              <w:spacing w:after="120" w:line="240" w:lineRule="auto"/>
              <w:jc w:val="both"/>
              <w:rPr>
                <w:rFonts w:ascii="Times New Roman" w:hAnsi="Times New Roman" w:cs="Times New Roman"/>
              </w:rPr>
            </w:pPr>
            <w:r w:rsidRPr="00B7315D">
              <w:rPr>
                <w:rFonts w:ascii="Times New Roman" w:hAnsi="Times New Roman"/>
              </w:rPr>
              <w:t>Artikel 61 van Verordening (EU) nr. 575/2013</w:t>
            </w:r>
          </w:p>
          <w:p w14:paraId="6FC460E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 xml:space="preserve">De totale som van de rijen </w:t>
            </w:r>
            <w:r w:rsidRPr="00B7315D">
              <w:rPr>
                <w:rFonts w:ascii="Times New Roman" w:hAnsi="Times New Roman"/>
                <w:bCs/>
              </w:rPr>
              <w:t>0310-0410 wordt gerapporteerd.</w:t>
            </w:r>
          </w:p>
        </w:tc>
      </w:tr>
      <w:tr w:rsidR="00532AE6" w:rsidRPr="00B7315D" w14:paraId="7F412348" w14:textId="77777777">
        <w:tc>
          <w:tcPr>
            <w:tcW w:w="1129" w:type="dxa"/>
          </w:tcPr>
          <w:p w14:paraId="5315D81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10582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Volgestorte, direct uitgegeven kapitaalinstrumenten</w:t>
            </w:r>
          </w:p>
          <w:p w14:paraId="7613A46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6A977030"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t>Artikel 51, punt a), en artikelen 52, 53 en 54 van Verordening (EU) nr. 575/2013</w:t>
            </w:r>
          </w:p>
          <w:p w14:paraId="4EB7E10A"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Het met de instrumenten verb</w:t>
            </w:r>
            <w:r w:rsidRPr="00B7315D">
              <w:rPr>
                <w:rStyle w:val="FormatvorlageInstructionsTabelleText"/>
                <w:rFonts w:ascii="Times New Roman" w:hAnsi="Times New Roman"/>
                <w:sz w:val="22"/>
              </w:rPr>
              <w:t>and houdende agio wordt niet in het te rapporteren bedrag opgenomen.</w:t>
            </w:r>
          </w:p>
        </w:tc>
      </w:tr>
      <w:tr w:rsidR="00532AE6" w:rsidRPr="00B7315D" w14:paraId="23D8A827" w14:textId="77777777">
        <w:tc>
          <w:tcPr>
            <w:tcW w:w="1129" w:type="dxa"/>
          </w:tcPr>
          <w:p w14:paraId="00F37B8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D6424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Agio</w:t>
            </w:r>
          </w:p>
          <w:p w14:paraId="11B8A68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73D8A7F8"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t>Artikel 26, lid 51, punt b), van Verordening (EU) nr. 575/2013</w:t>
            </w:r>
          </w:p>
          <w:p w14:paraId="59B0DC60"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t xml:space="preserve">“Agio” betekent hetzelfde als in de </w:t>
            </w:r>
            <w:r w:rsidRPr="00B7315D">
              <w:rPr>
                <w:rStyle w:val="FormatvorlageInstructionsTabelleText"/>
                <w:rFonts w:ascii="Times New Roman" w:hAnsi="Times New Roman"/>
                <w:sz w:val="22"/>
                <w:szCs w:val="22"/>
              </w:rPr>
              <w:t>toepasselijke standaard voor jaarrekeningen.</w:t>
            </w:r>
          </w:p>
          <w:p w14:paraId="71033A18"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Het onder deze post te rapporteren bedrag is het gedeelte dat verband houdt met de “Volgestorte en direct uitgegeven kapitaalinstrumenten”.</w:t>
            </w:r>
          </w:p>
        </w:tc>
      </w:tr>
      <w:tr w:rsidR="00532AE6" w:rsidRPr="00B7315D" w14:paraId="15D64D20" w14:textId="77777777">
        <w:tc>
          <w:tcPr>
            <w:tcW w:w="1129" w:type="dxa"/>
          </w:tcPr>
          <w:p w14:paraId="49B7965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0F6DF6"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TOTAAL AFTREKKINGEN VAN AANVULLEND-TIER 1-KAPITAAL</w:t>
            </w:r>
          </w:p>
          <w:p w14:paraId="21FA2E7E" w14:textId="77777777" w:rsidR="00532AE6" w:rsidRPr="00B7315D" w:rsidRDefault="00B7315D">
            <w:pPr>
              <w:spacing w:before="60" w:after="60"/>
              <w:rPr>
                <w:rFonts w:ascii="Times New Roman" w:hAnsi="Times New Roman" w:cs="Times New Roman"/>
              </w:rPr>
            </w:pPr>
            <w:r w:rsidRPr="00B7315D">
              <w:rPr>
                <w:rFonts w:ascii="Times New Roman" w:hAnsi="Times New Roman"/>
              </w:rPr>
              <w:t>Artikel 56</w:t>
            </w:r>
            <w:r w:rsidRPr="00B7315D">
              <w:rPr>
                <w:rFonts w:ascii="Times New Roman" w:hAnsi="Times New Roman"/>
              </w:rPr>
              <w:t xml:space="preserve"> van Verordening (EU) nr. 575/2013.</w:t>
            </w:r>
          </w:p>
        </w:tc>
      </w:tr>
      <w:tr w:rsidR="00532AE6" w:rsidRPr="00B7315D" w14:paraId="7847270C" w14:textId="77777777">
        <w:tc>
          <w:tcPr>
            <w:tcW w:w="1129" w:type="dxa"/>
          </w:tcPr>
          <w:p w14:paraId="595984B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44396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Aanvullend tier 1-kapitaal: Andere kapitaalbestanddelen, aftrekkingen en aanpassingen</w:t>
            </w:r>
          </w:p>
          <w:p w14:paraId="065A88EC"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Deze rij omvat de som van de volgende posten (voor zover van toepassing):</w:t>
            </w:r>
          </w:p>
          <w:p w14:paraId="5A43862C"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rPr>
              <w:t xml:space="preserve">Overgangsaanpassingen als gevolg van </w:t>
            </w:r>
            <w:r w:rsidRPr="00B7315D">
              <w:rPr>
                <w:rFonts w:ascii="Times New Roman" w:hAnsi="Times New Roman"/>
              </w:rPr>
              <w:t>aanvullend tier 1-kapitaalinstrumenten waarop grandfatheringbepalingen van toepassing zijn (artikel 483, leden 4 en 5, artikelen 484 tot en met 487, en artikelen 489 en 491 van Verordening (EU) nr. 575/2013).</w:t>
            </w:r>
          </w:p>
          <w:p w14:paraId="6B7F27EA"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rPr>
              <w:t>Door dochterondernemingen uitgegeven instrume</w:t>
            </w:r>
            <w:r w:rsidRPr="00B7315D">
              <w:rPr>
                <w:rFonts w:ascii="Times New Roman" w:hAnsi="Times New Roman"/>
              </w:rPr>
              <w:t>nten die in het aanvullend-tier 1-kapitaal worden opgenomen (artikelen 83, 85 en 86 van Verordening (EU) nr. 575/2013):</w:t>
            </w:r>
            <w:r w:rsidRPr="00B7315D">
              <w:rPr>
                <w:rFonts w:ascii="Times New Roman" w:hAnsi="Times New Roman"/>
                <w:bCs/>
              </w:rPr>
              <w:t xml:space="preserve"> </w:t>
            </w:r>
            <w:r w:rsidRPr="00B7315D">
              <w:rPr>
                <w:rFonts w:ascii="Times New Roman" w:hAnsi="Times New Roman"/>
              </w:rPr>
              <w:t>De som van alle bedragen aan in aanmerking komend tier 1-kapitaal van dochterondernemingen die in het geconsolideerde aanvullend-tier 1-</w:t>
            </w:r>
            <w:r w:rsidRPr="00B7315D">
              <w:rPr>
                <w:rFonts w:ascii="Times New Roman" w:hAnsi="Times New Roman"/>
              </w:rPr>
              <w:t>kapitaal zijn opgenomen, met inbegrip van door een special purpose entity uitgegeven kapitaal (artikel 83 van Verordening (EU) nr. 575/2013)</w:t>
            </w:r>
          </w:p>
          <w:p w14:paraId="082B255C"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rPr>
              <w:t>Overgangsaanpassingen als gevolg van additionele opneming van door dochterondernemingen uitgegeven instrumenten i</w:t>
            </w:r>
            <w:r w:rsidRPr="00B7315D">
              <w:rPr>
                <w:rFonts w:ascii="Times New Roman" w:hAnsi="Times New Roman"/>
              </w:rPr>
              <w:t>n het aanvullend-tier 1-kapitaal (artikel 480 van Verordening (EU) nr. 575/2013): aanpassingen als gevolg van overgangsbepalingen aan het in aanmerking komend tier 1-kapitaal dat in geconsolideerd aanvullend-tier 1-kapitaal wordt opgenomen.</w:t>
            </w:r>
          </w:p>
          <w:p w14:paraId="7A44FCE1"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rPr>
              <w:t>Overige overg</w:t>
            </w:r>
            <w:r w:rsidRPr="00B7315D">
              <w:rPr>
                <w:rFonts w:ascii="Times New Roman" w:hAnsi="Times New Roman"/>
              </w:rPr>
              <w:t>angsaanpassingen van het aanvullend-tier 1-kapitaal (artikelen 472, 473 bis, 474, 475, 478 en 481 van Verordening (EU) nr. 575/2013):</w:t>
            </w:r>
            <w:r w:rsidRPr="00B7315D">
              <w:rPr>
                <w:rFonts w:ascii="Times New Roman" w:hAnsi="Times New Roman"/>
                <w:bCs/>
              </w:rPr>
              <w:t xml:space="preserve"> aanpassingen van aftrekkingen als gevolg van overgangsbepalingen.</w:t>
            </w:r>
          </w:p>
          <w:p w14:paraId="43A6485D"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rPr>
              <w:t>Van aanvullend-tier 1-kapitaalbestanddelen af te trekk</w:t>
            </w:r>
            <w:r w:rsidRPr="00B7315D">
              <w:rPr>
                <w:rFonts w:ascii="Times New Roman" w:hAnsi="Times New Roman"/>
              </w:rPr>
              <w:t>en bedrag dat het aanvullend-tier 1-kapitaal overschrijdt, afgetrokken van het tier-1-kernkapitaal overeenkomstig artikel 36, lid 1, punt j), van Verordening (EU) nr. 575/2013:</w:t>
            </w:r>
            <w:r w:rsidRPr="00B7315D">
              <w:rPr>
                <w:rFonts w:ascii="Times New Roman" w:hAnsi="Times New Roman"/>
                <w:bCs/>
              </w:rPr>
              <w:t xml:space="preserve"> Aanvullend-tier 1-kapitaal kan niet negatief zijn, maar het is wel mogelijk dat</w:t>
            </w:r>
            <w:r w:rsidRPr="00B7315D">
              <w:rPr>
                <w:rFonts w:ascii="Times New Roman" w:hAnsi="Times New Roman"/>
                <w:bCs/>
              </w:rPr>
              <w:t xml:space="preserve"> de aftrekkingen van de aanvullend-tier 1-kapitaalbestanddelen groter zijn dan het bedrag aan beschikbare aanvullend-tier 1-kapitaalbestanddelen. Wanneer dit het geval is, vertegenwoordigt deze post het bedrag dat nodig is om het in rij 0030 gerapporteerde</w:t>
            </w:r>
            <w:r w:rsidRPr="00B7315D">
              <w:rPr>
                <w:rFonts w:ascii="Times New Roman" w:hAnsi="Times New Roman"/>
                <w:bCs/>
              </w:rPr>
              <w:t xml:space="preserve"> bedrag tot nul op te trekken en is het gelijk aan het tegengestelde getal van het van aanvullend-tier 1-kapitaalbestanddelen af te trekken bedrag dat het aanvullend-tier 1-kapitaal overschrijdt dat, samen met andere aftrekkingen, in rij 0285 is opgenomen.</w:t>
            </w:r>
          </w:p>
          <w:p w14:paraId="5D32DEBE"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bCs/>
              </w:rPr>
              <w:t>Andere aanvullend-tier 1-kapitaalbestanddelen of aftrekkingen van een aanvullend-tier 1-kapitaalbestanddeel die niet aan een van de rijen 0310 tot en met 0330 kunnen worden toegewezen.</w:t>
            </w:r>
          </w:p>
          <w:p w14:paraId="0397F96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 xml:space="preserve">Deze rij niet gebruiken om kapitaalbestanddelen of aftrekkingen die </w:t>
            </w:r>
            <w:r w:rsidRPr="00B7315D">
              <w:rPr>
                <w:rFonts w:ascii="Times New Roman" w:hAnsi="Times New Roman"/>
                <w:bCs/>
              </w:rPr>
              <w:t>niet onder Verordening (EU) 2019/2033 of Verordening (EU) nr. 575/2013 vallen, op te nemen in de berekening van de solvabiliteitsratio’s.</w:t>
            </w:r>
          </w:p>
        </w:tc>
      </w:tr>
      <w:tr w:rsidR="00532AE6" w:rsidRPr="00B7315D" w14:paraId="6C2184FE" w14:textId="77777777">
        <w:tc>
          <w:tcPr>
            <w:tcW w:w="1129" w:type="dxa"/>
          </w:tcPr>
          <w:p w14:paraId="5CB200A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3CEF156"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TIER 2-KAPITAAL</w:t>
            </w:r>
          </w:p>
          <w:p w14:paraId="250D49B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Artikel 9, lid 1, van Verordening (EU) 2019/2033</w:t>
            </w:r>
          </w:p>
          <w:p w14:paraId="09D179F3" w14:textId="77777777" w:rsidR="00532AE6" w:rsidRPr="00B7315D" w:rsidRDefault="00B7315D">
            <w:pPr>
              <w:spacing w:after="120" w:line="240" w:lineRule="auto"/>
              <w:jc w:val="both"/>
              <w:rPr>
                <w:rStyle w:val="FormatvorlageInstructionsTabelleText"/>
                <w:rFonts w:ascii="Times New Roman" w:hAnsi="Times New Roman"/>
                <w:sz w:val="22"/>
              </w:rPr>
            </w:pPr>
            <w:r w:rsidRPr="00B7315D">
              <w:rPr>
                <w:rStyle w:val="FormatvorlageInstructionsTabelleText"/>
                <w:rFonts w:ascii="Times New Roman" w:hAnsi="Times New Roman"/>
                <w:sz w:val="22"/>
              </w:rPr>
              <w:t xml:space="preserve">Artikel 71 van Verordening (EU) nr. </w:t>
            </w:r>
            <w:r w:rsidRPr="00B7315D">
              <w:rPr>
                <w:rStyle w:val="FormatvorlageInstructionsTabelleText"/>
                <w:rFonts w:ascii="Times New Roman" w:hAnsi="Times New Roman"/>
                <w:sz w:val="22"/>
              </w:rPr>
              <w:t>575/2013.</w:t>
            </w:r>
          </w:p>
          <w:p w14:paraId="444026E9" w14:textId="77777777" w:rsidR="00532AE6" w:rsidRPr="00B7315D" w:rsidRDefault="00B7315D">
            <w:pPr>
              <w:pStyle w:val="CommentText"/>
              <w:rPr>
                <w:sz w:val="22"/>
                <w:szCs w:val="22"/>
              </w:rPr>
            </w:pPr>
            <w:r w:rsidRPr="00B7315D">
              <w:rPr>
                <w:rFonts w:ascii="Times New Roman" w:hAnsi="Times New Roman"/>
                <w:bCs/>
                <w:sz w:val="22"/>
                <w:szCs w:val="22"/>
              </w:rPr>
              <w:t>De totale som van de rijen 0430-0520 wordt gerapporteerd.</w:t>
            </w:r>
          </w:p>
        </w:tc>
      </w:tr>
      <w:tr w:rsidR="00532AE6" w:rsidRPr="00B7315D" w14:paraId="6F35A94A" w14:textId="77777777">
        <w:tc>
          <w:tcPr>
            <w:tcW w:w="1129" w:type="dxa"/>
          </w:tcPr>
          <w:p w14:paraId="5CF807F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57A81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Volgestorte, direct uitgegeven kapitaalinstrumenten</w:t>
            </w:r>
          </w:p>
          <w:p w14:paraId="67D7534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9, lid 1, punt i), van Verordening (EU) 2019/2033</w:t>
            </w:r>
          </w:p>
          <w:p w14:paraId="4AA22F4B" w14:textId="77777777" w:rsidR="00532AE6" w:rsidRPr="00B7315D" w:rsidRDefault="00B7315D">
            <w:pPr>
              <w:pStyle w:val="InstructionsText"/>
              <w:rPr>
                <w:rStyle w:val="FormatvorlageInstructionsTabelleText"/>
                <w:rFonts w:ascii="Times New Roman" w:eastAsiaTheme="minorHAnsi" w:hAnsi="Times New Roman"/>
                <w:bCs/>
                <w:sz w:val="22"/>
                <w:szCs w:val="22"/>
              </w:rPr>
            </w:pPr>
            <w:r w:rsidRPr="00B7315D">
              <w:rPr>
                <w:rStyle w:val="FormatvorlageInstructionsTabelleText"/>
                <w:rFonts w:ascii="Times New Roman" w:hAnsi="Times New Roman"/>
                <w:sz w:val="22"/>
                <w:szCs w:val="22"/>
              </w:rPr>
              <w:t xml:space="preserve">Artikel 62, punt a), en artikelen 63 en 65 van Verordening (EU) nr. </w:t>
            </w:r>
            <w:r w:rsidRPr="00B7315D">
              <w:rPr>
                <w:rStyle w:val="FormatvorlageInstructionsTabelleText"/>
                <w:rFonts w:ascii="Times New Roman" w:hAnsi="Times New Roman"/>
                <w:sz w:val="22"/>
                <w:szCs w:val="22"/>
              </w:rPr>
              <w:t>575/2013</w:t>
            </w:r>
          </w:p>
          <w:p w14:paraId="4AFD370C"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Style w:val="FormatvorlageInstructionsTabelleText"/>
                <w:rFonts w:ascii="Times New Roman" w:hAnsi="Times New Roman"/>
                <w:sz w:val="22"/>
              </w:rPr>
              <w:t>Het met de instrumenten verband houdende agio wordt niet in het te rapporteren bedrag opgenomen.</w:t>
            </w:r>
          </w:p>
        </w:tc>
      </w:tr>
      <w:tr w:rsidR="00532AE6" w:rsidRPr="00B7315D" w14:paraId="0C9F7478" w14:textId="77777777">
        <w:tc>
          <w:tcPr>
            <w:tcW w:w="1129" w:type="dxa"/>
          </w:tcPr>
          <w:p w14:paraId="78AC653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B47143"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Agio</w:t>
            </w:r>
          </w:p>
          <w:p w14:paraId="0D69CF51"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Artikel 9, lid 1, punt i), van Verordening (EU) 2019/2033</w:t>
            </w:r>
          </w:p>
          <w:p w14:paraId="2F42FDD7"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t>Artikel 62, punt b), en artikel 65 van Verordening (EU) nr. 575/2013</w:t>
            </w:r>
          </w:p>
          <w:p w14:paraId="3810E969" w14:textId="77777777" w:rsidR="00532AE6" w:rsidRPr="00B7315D" w:rsidRDefault="00B7315D">
            <w:pPr>
              <w:pStyle w:val="InstructionsText"/>
              <w:rPr>
                <w:rStyle w:val="FormatvorlageInstructionsTabelleText"/>
                <w:rFonts w:ascii="Times New Roman" w:hAnsi="Times New Roman"/>
                <w:sz w:val="22"/>
                <w:szCs w:val="22"/>
              </w:rPr>
            </w:pPr>
            <w:r w:rsidRPr="00B7315D">
              <w:rPr>
                <w:rStyle w:val="FormatvorlageInstructionsTabelleText"/>
                <w:rFonts w:ascii="Times New Roman" w:hAnsi="Times New Roman"/>
                <w:sz w:val="22"/>
                <w:szCs w:val="22"/>
              </w:rPr>
              <w:t xml:space="preserve">“Agio” </w:t>
            </w:r>
            <w:r w:rsidRPr="00B7315D">
              <w:rPr>
                <w:rStyle w:val="FormatvorlageInstructionsTabelleText"/>
                <w:rFonts w:ascii="Times New Roman" w:hAnsi="Times New Roman"/>
                <w:sz w:val="22"/>
                <w:szCs w:val="22"/>
              </w:rPr>
              <w:t>betekent hetzelfde als in de toepasselijke standaard voor jaarrekeningen.</w:t>
            </w:r>
          </w:p>
          <w:p w14:paraId="7BD745D8" w14:textId="77777777" w:rsidR="00532AE6" w:rsidRPr="00B7315D" w:rsidRDefault="00B7315D">
            <w:pPr>
              <w:pStyle w:val="InstructionsText"/>
              <w:rPr>
                <w:sz w:val="22"/>
                <w:szCs w:val="22"/>
              </w:rPr>
            </w:pPr>
            <w:r w:rsidRPr="00B7315D">
              <w:rPr>
                <w:rStyle w:val="FormatvorlageInstructionsTabelleText"/>
                <w:rFonts w:ascii="Times New Roman" w:hAnsi="Times New Roman"/>
                <w:sz w:val="22"/>
                <w:szCs w:val="22"/>
              </w:rPr>
              <w:t>Het onder deze post te rapporteren bedrag is het gedeelte dat verband houdt met de “Volgestorte en direct uitgegeven kapitaalinstrumenten”.</w:t>
            </w:r>
          </w:p>
        </w:tc>
      </w:tr>
      <w:tr w:rsidR="00532AE6" w:rsidRPr="00B7315D" w14:paraId="2B6ED5F1" w14:textId="77777777">
        <w:tc>
          <w:tcPr>
            <w:tcW w:w="1129" w:type="dxa"/>
            <w:tcBorders>
              <w:top w:val="single" w:sz="4" w:space="0" w:color="auto"/>
              <w:bottom w:val="single" w:sz="4" w:space="0" w:color="auto"/>
            </w:tcBorders>
          </w:tcPr>
          <w:p w14:paraId="5C43E2F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3668FC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TOTAAL AFTREKKINGEN VAN TIER 2-K</w:t>
            </w:r>
            <w:r w:rsidRPr="00B7315D">
              <w:rPr>
                <w:rFonts w:ascii="Times New Roman" w:hAnsi="Times New Roman"/>
                <w:b/>
                <w:bCs/>
                <w:u w:val="single"/>
              </w:rPr>
              <w:t>APITAAL</w:t>
            </w:r>
          </w:p>
          <w:p w14:paraId="00A740D5" w14:textId="77777777" w:rsidR="00532AE6" w:rsidRPr="00B7315D" w:rsidRDefault="00B7315D">
            <w:pPr>
              <w:spacing w:after="120" w:line="240" w:lineRule="auto"/>
              <w:jc w:val="both"/>
              <w:rPr>
                <w:rFonts w:ascii="Times New Roman" w:hAnsi="Times New Roman" w:cs="Times New Roman"/>
              </w:rPr>
            </w:pPr>
            <w:r w:rsidRPr="00B7315D">
              <w:rPr>
                <w:rFonts w:ascii="Times New Roman" w:hAnsi="Times New Roman"/>
              </w:rPr>
              <w:t>Artikel 66 van Verordening (EU) nr. 575/2013.</w:t>
            </w:r>
          </w:p>
        </w:tc>
      </w:tr>
      <w:tr w:rsidR="00532AE6" w:rsidRPr="00B7315D" w14:paraId="59228CD8" w14:textId="77777777">
        <w:tc>
          <w:tcPr>
            <w:tcW w:w="1129" w:type="dxa"/>
            <w:tcBorders>
              <w:top w:val="single" w:sz="4" w:space="0" w:color="auto"/>
            </w:tcBorders>
          </w:tcPr>
          <w:p w14:paraId="5612389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413085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Tier 2: Andere kapitaalbestanddelen, aftrekkingen en aanpassingen</w:t>
            </w:r>
          </w:p>
          <w:p w14:paraId="3933A1DC"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Deze rij omvat de som van de volgende posten (voor zover van toepassing):</w:t>
            </w:r>
          </w:p>
          <w:p w14:paraId="0CD54DDD"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bCs/>
              </w:rPr>
              <w:t xml:space="preserve">Overgangsaanpassingen als gevolg van tier </w:t>
            </w:r>
            <w:r w:rsidRPr="00B7315D">
              <w:rPr>
                <w:rFonts w:ascii="Times New Roman" w:hAnsi="Times New Roman"/>
                <w:bCs/>
              </w:rPr>
              <w:t>2-kapitaalinstrumenten waarop grandfatheringbepalingen van toepassing zijn (artikel 483, leden 6 en 7, en artikelen 484, 486, 490 en 491 van Verordening (EU) nr. 575/2013).</w:t>
            </w:r>
          </w:p>
          <w:p w14:paraId="6E18E210"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bCs/>
              </w:rPr>
              <w:t xml:space="preserve">Door dochterondernemingen uitgegeven instrumenten die in het tier </w:t>
            </w:r>
            <w:r w:rsidRPr="00B7315D">
              <w:rPr>
                <w:rFonts w:ascii="Times New Roman" w:hAnsi="Times New Roman"/>
                <w:bCs/>
              </w:rPr>
              <w:t>2-kapitaal worden opgenomen (artikelen 83, 87 en 88 van Verordening (EU) nr. 575/2013): De som van alle bedragen aan in aanmerking komend eigen vermogen van dochterondernemingen die in het geconsolideerde tier 2-kapitaal zijn opgenomen, met inbegrip van do</w:t>
            </w:r>
            <w:r w:rsidRPr="00B7315D">
              <w:rPr>
                <w:rFonts w:ascii="Times New Roman" w:hAnsi="Times New Roman"/>
                <w:bCs/>
              </w:rPr>
              <w:t>or een special purpose entity uitgegeven kwalificerend tier 2-kapitaal (artikel 83 van Verordening (EU) nr. 575/2013)</w:t>
            </w:r>
          </w:p>
          <w:p w14:paraId="4BA5644A"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bCs/>
              </w:rPr>
              <w:t>Overgangsaanpassingen als gevolg van additionele opneming van door dochterondernemingen uitgegeven instrumenten in het tier 2-kapitaal (</w:t>
            </w:r>
            <w:r w:rsidRPr="00B7315D">
              <w:rPr>
                <w:rFonts w:ascii="Times New Roman" w:hAnsi="Times New Roman"/>
                <w:bCs/>
              </w:rPr>
              <w:t>artikel 480 van Verordening (EU) nr. 575/2013): aanpassingen als gevolg van overgangsbepalingen van het in aanmerking komend eigen vermogen dat in het geconsolideerde tier 2-kapitaal wordt opgenomen.</w:t>
            </w:r>
          </w:p>
          <w:p w14:paraId="23055B0D"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bCs/>
              </w:rPr>
              <w:t xml:space="preserve">Overige overgangsaanpassingen van het tier 2-kapitaal </w:t>
            </w:r>
            <w:r w:rsidRPr="00B7315D">
              <w:rPr>
                <w:rFonts w:ascii="Times New Roman" w:hAnsi="Times New Roman"/>
                <w:bCs/>
              </w:rPr>
              <w:t>(artikelen 472, 473 bis, 476, 477, 478 en 481 van Verordening (EU) nr. 575/2013): aanpassingen van de aftrekkingen van tier 2-kapitaal als gevolg van overgangsbepalingen.</w:t>
            </w:r>
          </w:p>
          <w:p w14:paraId="1F82D858"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bCs/>
              </w:rPr>
              <w:t>Van tier 2-kapitaalbestanddelen af te trekken bedrag dat het tier 2-kapitaal oversc</w:t>
            </w:r>
            <w:r w:rsidRPr="00B7315D">
              <w:rPr>
                <w:rFonts w:ascii="Times New Roman" w:hAnsi="Times New Roman"/>
                <w:bCs/>
              </w:rPr>
              <w:t>hrijdt, afgetrokken van het aanvullend-tier 1-kapitaal overeenkomstig artikel 56, punt e), van Verordening (EU) nr. 575/2013: tier 2-kapitaal kan niet negatief zijn, maar het is wel mogelijk dat de aftrekkingen van de tier 2-kapitaalbestanddelen groter zij</w:t>
            </w:r>
            <w:r w:rsidRPr="00B7315D">
              <w:rPr>
                <w:rFonts w:ascii="Times New Roman" w:hAnsi="Times New Roman"/>
                <w:bCs/>
              </w:rPr>
              <w:t>n dan het bedrag aan beschikbare tier 2-kapitaalbestanddelen. Wanneer dit het geval is, vertegenwoordigt deze post het bedrag dat nodig is om het in rij 0420 gerapporteerde bedrag tot nul op te trekken.</w:t>
            </w:r>
          </w:p>
          <w:p w14:paraId="79B25A8B" w14:textId="77777777" w:rsidR="00532AE6" w:rsidRPr="00B7315D" w:rsidRDefault="00B7315D">
            <w:pPr>
              <w:spacing w:after="120" w:line="240" w:lineRule="auto"/>
              <w:ind w:left="360" w:hanging="360"/>
              <w:jc w:val="both"/>
              <w:rPr>
                <w:rFonts w:ascii="Times New Roman" w:eastAsia="Times New Roman" w:hAnsi="Times New Roman" w:cs="Times New Roman"/>
                <w:bCs/>
              </w:rPr>
            </w:pPr>
            <w:r w:rsidRPr="00B7315D">
              <w:rPr>
                <w:rFonts w:ascii="Times New Roman" w:eastAsia="Times New Roman" w:hAnsi="Times New Roman" w:cs="Times New Roman"/>
                <w:bCs/>
              </w:rPr>
              <w:t>—</w:t>
            </w:r>
            <w:r w:rsidRPr="00B7315D">
              <w:rPr>
                <w:rFonts w:ascii="Times New Roman" w:eastAsia="Times New Roman" w:hAnsi="Times New Roman" w:cs="Times New Roman"/>
                <w:bCs/>
              </w:rPr>
              <w:tab/>
            </w:r>
            <w:r w:rsidRPr="00B7315D">
              <w:rPr>
                <w:rFonts w:ascii="Times New Roman" w:hAnsi="Times New Roman"/>
                <w:bCs/>
              </w:rPr>
              <w:t xml:space="preserve">Andere tier 2-kapitaalbestanddelen of aftrekkingen </w:t>
            </w:r>
            <w:r w:rsidRPr="00B7315D">
              <w:rPr>
                <w:rFonts w:ascii="Times New Roman" w:hAnsi="Times New Roman"/>
                <w:bCs/>
              </w:rPr>
              <w:t>van een tier 2-kapitaalbestanddeel die niet aan een van de rijen 0430 tot en met 0450 kunnen worden toegewezen.</w:t>
            </w:r>
          </w:p>
          <w:p w14:paraId="4A4877A3"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Deze rij niet gebruiken om kapitaalbestanddelen of aftrekkingen die niet onder Verordening (EU) 2019/2033 of Verordening (EU) nr. 575/2013 valle</w:t>
            </w:r>
            <w:r w:rsidRPr="00B7315D">
              <w:rPr>
                <w:rFonts w:ascii="Times New Roman" w:hAnsi="Times New Roman"/>
                <w:bCs/>
              </w:rPr>
              <w:t>n, op te nemen in de berekening van de solvabiliteitsratio’s.</w:t>
            </w:r>
          </w:p>
        </w:tc>
      </w:tr>
    </w:tbl>
    <w:p w14:paraId="1D821223" w14:textId="77777777" w:rsidR="00532AE6" w:rsidRPr="00B7315D" w:rsidRDefault="00B7315D">
      <w:pPr>
        <w:pStyle w:val="Instructionsberschrift2"/>
        <w:ind w:left="357" w:hanging="357"/>
        <w:rPr>
          <w:rFonts w:ascii="Times New Roman" w:hAnsi="Times New Roman" w:cs="Times New Roman"/>
          <w:sz w:val="24"/>
          <w:u w:val="none"/>
        </w:rPr>
      </w:pPr>
      <w:bookmarkStart w:id="20" w:name="_Toc88041251"/>
      <w:r w:rsidRPr="00B7315D">
        <w:rPr>
          <w:rFonts w:ascii="Times New Roman" w:hAnsi="Times New Roman"/>
          <w:sz w:val="24"/>
          <w:u w:val="none"/>
        </w:rPr>
        <w:t>1.3</w:t>
      </w:r>
      <w:r w:rsidRPr="00B7315D">
        <w:rPr>
          <w:rFonts w:ascii="Times New Roman" w:hAnsi="Times New Roman"/>
          <w:sz w:val="24"/>
        </w:rPr>
        <w:t xml:space="preserve"> I </w:t>
      </w:r>
      <w:r w:rsidRPr="00B7315D">
        <w:rPr>
          <w:rFonts w:ascii="Times New Roman" w:hAnsi="Times New Roman"/>
          <w:sz w:val="24"/>
        </w:rPr>
        <w:t>02.03</w:t>
      </w:r>
      <w:r w:rsidRPr="00B7315D">
        <w:rPr>
          <w:rFonts w:ascii="Times New Roman" w:hAnsi="Times New Roman"/>
          <w:sz w:val="24"/>
        </w:rPr>
        <w:t xml:space="preserve"> — EIGENVERMOGENSVEREISTEN (I </w:t>
      </w:r>
      <w:r w:rsidRPr="00B7315D">
        <w:rPr>
          <w:rFonts w:ascii="Times New Roman" w:hAnsi="Times New Roman"/>
          <w:sz w:val="24"/>
        </w:rPr>
        <w:t>2.3</w:t>
      </w:r>
      <w:r w:rsidRPr="00B7315D">
        <w:rPr>
          <w:rFonts w:ascii="Times New Roman" w:hAnsi="Times New Roman"/>
          <w:sz w:val="24"/>
        </w:rPr>
        <w:t>)</w:t>
      </w:r>
      <w:bookmarkEnd w:id="20"/>
    </w:p>
    <w:p w14:paraId="21FE9020" w14:textId="77777777" w:rsidR="00532AE6" w:rsidRPr="00B7315D" w:rsidRDefault="00B7315D">
      <w:pPr>
        <w:keepNext/>
        <w:spacing w:before="240" w:after="240" w:line="240" w:lineRule="auto"/>
        <w:ind w:left="357" w:hanging="357"/>
        <w:jc w:val="both"/>
        <w:outlineLvl w:val="1"/>
        <w:rPr>
          <w:rFonts w:ascii="Times New Roman" w:eastAsia="Arial" w:hAnsi="Times New Roman" w:cs="Times New Roman"/>
          <w:u w:val="single"/>
        </w:rPr>
      </w:pPr>
      <w:bookmarkStart w:id="21" w:name="_Toc88041252"/>
      <w:r w:rsidRPr="00B7315D">
        <w:rPr>
          <w:rFonts w:ascii="Times New Roman" w:hAnsi="Times New Roman"/>
          <w:sz w:val="24"/>
          <w:szCs w:val="24"/>
        </w:rPr>
        <w:t>1.3.1.</w:t>
      </w:r>
      <w:r w:rsidRPr="00B7315D">
        <w:tab/>
      </w:r>
      <w:r w:rsidRPr="00B7315D">
        <w:rPr>
          <w:rFonts w:ascii="Times New Roman" w:hAnsi="Times New Roman"/>
          <w:sz w:val="24"/>
          <w:szCs w:val="24"/>
          <w:u w:val="single"/>
        </w:rPr>
        <w:t>Instructies voor specifieke posities</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32AE6" w:rsidRPr="00B7315D" w14:paraId="66DA467E" w14:textId="77777777">
        <w:tc>
          <w:tcPr>
            <w:tcW w:w="1129" w:type="dxa"/>
            <w:shd w:val="clear" w:color="auto" w:fill="D9D9D9"/>
          </w:tcPr>
          <w:p w14:paraId="3DEBD31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Rij</w:t>
            </w:r>
          </w:p>
        </w:tc>
        <w:tc>
          <w:tcPr>
            <w:tcW w:w="7620" w:type="dxa"/>
            <w:shd w:val="clear" w:color="auto" w:fill="D9D9D9"/>
          </w:tcPr>
          <w:p w14:paraId="1B0D434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Verwijzingen naar wetgeving en instructies</w:t>
            </w:r>
          </w:p>
        </w:tc>
      </w:tr>
      <w:tr w:rsidR="00532AE6" w:rsidRPr="00B7315D" w14:paraId="746FFD76" w14:textId="77777777">
        <w:tc>
          <w:tcPr>
            <w:tcW w:w="1129" w:type="dxa"/>
          </w:tcPr>
          <w:p w14:paraId="5ECF31D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0010</w:t>
            </w:r>
          </w:p>
        </w:tc>
        <w:tc>
          <w:tcPr>
            <w:tcW w:w="7620" w:type="dxa"/>
          </w:tcPr>
          <w:p w14:paraId="4DB86F7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Eigenvermogensvereiste</w:t>
            </w:r>
          </w:p>
          <w:p w14:paraId="3799A21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11, leden 1 </w:t>
            </w:r>
            <w:r w:rsidRPr="00B7315D">
              <w:rPr>
                <w:rFonts w:ascii="Times New Roman" w:hAnsi="Times New Roman"/>
                <w:bCs/>
              </w:rPr>
              <w:t>en 2, van Verordening (EU) 2019/2033</w:t>
            </w:r>
          </w:p>
          <w:p w14:paraId="1BED29F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Dit is de som van maximaal de rijen 0020 en 0030.</w:t>
            </w:r>
          </w:p>
        </w:tc>
      </w:tr>
      <w:tr w:rsidR="00532AE6" w:rsidRPr="00B7315D" w14:paraId="4BF025EC" w14:textId="77777777">
        <w:tc>
          <w:tcPr>
            <w:tcW w:w="1129" w:type="dxa"/>
          </w:tcPr>
          <w:p w14:paraId="075B8711"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0020</w:t>
            </w:r>
          </w:p>
        </w:tc>
        <w:tc>
          <w:tcPr>
            <w:tcW w:w="7620" w:type="dxa"/>
          </w:tcPr>
          <w:p w14:paraId="5D59399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Permanent minimumkapitaalvereiste</w:t>
            </w:r>
          </w:p>
          <w:p w14:paraId="430257D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14 van Verordening (EU) 2019/2033</w:t>
            </w:r>
          </w:p>
        </w:tc>
      </w:tr>
      <w:tr w:rsidR="00532AE6" w:rsidRPr="00B7315D" w14:paraId="147ADF57" w14:textId="77777777">
        <w:tc>
          <w:tcPr>
            <w:tcW w:w="1129" w:type="dxa"/>
          </w:tcPr>
          <w:p w14:paraId="56EBBAA1" w14:textId="77777777" w:rsidR="00532AE6" w:rsidRPr="00B7315D" w:rsidRDefault="00B7315D">
            <w:pPr>
              <w:keepNext/>
              <w:spacing w:after="120" w:line="240" w:lineRule="auto"/>
              <w:jc w:val="both"/>
              <w:rPr>
                <w:rFonts w:ascii="Times New Roman" w:eastAsia="Times New Roman" w:hAnsi="Times New Roman" w:cs="Times New Roman"/>
                <w:bCs/>
              </w:rPr>
            </w:pPr>
            <w:r w:rsidRPr="00B7315D">
              <w:rPr>
                <w:rFonts w:ascii="Times New Roman" w:hAnsi="Times New Roman"/>
                <w:bCs/>
              </w:rPr>
              <w:t>0030</w:t>
            </w:r>
          </w:p>
        </w:tc>
        <w:tc>
          <w:tcPr>
            <w:tcW w:w="7620" w:type="dxa"/>
          </w:tcPr>
          <w:p w14:paraId="2C63A1E8" w14:textId="77777777" w:rsidR="00532AE6" w:rsidRPr="00B7315D" w:rsidRDefault="00B7315D">
            <w:pPr>
              <w:keepNext/>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Vastekostenvereiste</w:t>
            </w:r>
          </w:p>
          <w:p w14:paraId="05471EF2" w14:textId="77777777" w:rsidR="00532AE6" w:rsidRPr="00B7315D" w:rsidRDefault="00B7315D">
            <w:pPr>
              <w:keepNext/>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13 van Verordening (EU) 2019/2033</w:t>
            </w:r>
          </w:p>
        </w:tc>
      </w:tr>
      <w:tr w:rsidR="00532AE6" w:rsidRPr="00B7315D" w14:paraId="38B5D3D3" w14:textId="77777777">
        <w:tc>
          <w:tcPr>
            <w:tcW w:w="1129" w:type="dxa"/>
          </w:tcPr>
          <w:p w14:paraId="48D6D3A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0050-0090 </w:t>
            </w:r>
          </w:p>
        </w:tc>
        <w:tc>
          <w:tcPr>
            <w:tcW w:w="7620" w:type="dxa"/>
          </w:tcPr>
          <w:p w14:paraId="7481F58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Overgangseigenvermogensvereisten</w:t>
            </w:r>
          </w:p>
        </w:tc>
      </w:tr>
      <w:tr w:rsidR="00532AE6" w:rsidRPr="00B7315D" w14:paraId="4E866304" w14:textId="77777777">
        <w:tc>
          <w:tcPr>
            <w:tcW w:w="1129" w:type="dxa"/>
          </w:tcPr>
          <w:p w14:paraId="328C291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0050</w:t>
            </w:r>
          </w:p>
        </w:tc>
        <w:tc>
          <w:tcPr>
            <w:tcW w:w="7620" w:type="dxa"/>
          </w:tcPr>
          <w:p w14:paraId="4610E5E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Overgangsvereiste op basis van eigenvermogensvereisten van Verordening (EU) nr. 575/2013</w:t>
            </w:r>
          </w:p>
          <w:p w14:paraId="11503ED0"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57, lid 3, punt a), van Verordening (EU) 2019/2033</w:t>
            </w:r>
          </w:p>
        </w:tc>
      </w:tr>
      <w:tr w:rsidR="00532AE6" w:rsidRPr="00B7315D" w14:paraId="31FD1AE6" w14:textId="77777777">
        <w:tc>
          <w:tcPr>
            <w:tcW w:w="1129" w:type="dxa"/>
          </w:tcPr>
          <w:p w14:paraId="149165C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0060</w:t>
            </w:r>
          </w:p>
        </w:tc>
        <w:tc>
          <w:tcPr>
            <w:tcW w:w="7620" w:type="dxa"/>
          </w:tcPr>
          <w:p w14:paraId="28FB18A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Overgangsvereiste op basis van vastekostenvereisten</w:t>
            </w:r>
          </w:p>
          <w:p w14:paraId="43EE8F5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57, lid 3, punt b), van Verordening (EU) 2019/2033</w:t>
            </w:r>
          </w:p>
        </w:tc>
      </w:tr>
      <w:tr w:rsidR="00532AE6" w:rsidRPr="00B7315D" w14:paraId="7A7E832B" w14:textId="77777777">
        <w:tc>
          <w:tcPr>
            <w:tcW w:w="1129" w:type="dxa"/>
          </w:tcPr>
          <w:p w14:paraId="55FDC8C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0070</w:t>
            </w:r>
          </w:p>
        </w:tc>
        <w:tc>
          <w:tcPr>
            <w:tcW w:w="7620" w:type="dxa"/>
          </w:tcPr>
          <w:p w14:paraId="040CC20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Overgangsvereiste voor beleggingsondernemingen waarvoor voordien alleen een aanvangskapitaalvereiste gold</w:t>
            </w:r>
          </w:p>
          <w:p w14:paraId="787D504D"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57, lid 4, punt a), van Verordening (EU) 2019/2033</w:t>
            </w:r>
          </w:p>
        </w:tc>
      </w:tr>
      <w:tr w:rsidR="00532AE6" w:rsidRPr="00B7315D" w14:paraId="213C6C0C" w14:textId="77777777">
        <w:tc>
          <w:tcPr>
            <w:tcW w:w="1129" w:type="dxa"/>
          </w:tcPr>
          <w:p w14:paraId="627B09B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0080</w:t>
            </w:r>
          </w:p>
        </w:tc>
        <w:tc>
          <w:tcPr>
            <w:tcW w:w="7620" w:type="dxa"/>
          </w:tcPr>
          <w:p w14:paraId="2530D6D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Overgangsvereiste op basis van aanvangskapitaalvereiste bij vergunningverlening</w:t>
            </w:r>
          </w:p>
          <w:p w14:paraId="5DAF181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57, lid 4, punt b), van Verordening (EU) 2019/2033</w:t>
            </w:r>
          </w:p>
        </w:tc>
      </w:tr>
      <w:tr w:rsidR="00532AE6" w:rsidRPr="00B7315D" w14:paraId="1A11DEF3" w14:textId="77777777">
        <w:tc>
          <w:tcPr>
            <w:tcW w:w="1129" w:type="dxa"/>
          </w:tcPr>
          <w:p w14:paraId="2609D09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0090</w:t>
            </w:r>
          </w:p>
        </w:tc>
        <w:tc>
          <w:tcPr>
            <w:tcW w:w="7620" w:type="dxa"/>
          </w:tcPr>
          <w:p w14:paraId="61940E9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Overgangsvereiste voor beleggingsondernemingen zonder vergunning om bepaalde diensten te verrichten</w:t>
            </w:r>
          </w:p>
          <w:p w14:paraId="0800999D"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57,</w:t>
            </w:r>
            <w:r w:rsidRPr="00B7315D">
              <w:rPr>
                <w:rFonts w:ascii="Times New Roman" w:hAnsi="Times New Roman"/>
                <w:bCs/>
              </w:rPr>
              <w:t xml:space="preserve"> lid 4, punt c), van Verordening (EU) 2019/2033</w:t>
            </w:r>
          </w:p>
        </w:tc>
      </w:tr>
      <w:tr w:rsidR="00532AE6" w:rsidRPr="00B7315D" w14:paraId="17062AEE" w14:textId="77777777">
        <w:tc>
          <w:tcPr>
            <w:tcW w:w="1129" w:type="dxa"/>
          </w:tcPr>
          <w:p w14:paraId="3AA2CB9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0110-0130</w:t>
            </w:r>
          </w:p>
        </w:tc>
        <w:tc>
          <w:tcPr>
            <w:tcW w:w="7620" w:type="dxa"/>
          </w:tcPr>
          <w:p w14:paraId="126A6736"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Pro-memorieposten</w:t>
            </w:r>
          </w:p>
        </w:tc>
      </w:tr>
      <w:tr w:rsidR="00532AE6" w:rsidRPr="00B7315D" w14:paraId="76A0B850" w14:textId="77777777">
        <w:tc>
          <w:tcPr>
            <w:tcW w:w="1129" w:type="dxa"/>
            <w:tcBorders>
              <w:top w:val="single" w:sz="4" w:space="0" w:color="auto"/>
              <w:left w:val="single" w:sz="4" w:space="0" w:color="auto"/>
              <w:bottom w:val="single" w:sz="4" w:space="0" w:color="auto"/>
              <w:right w:val="single" w:sz="4" w:space="0" w:color="auto"/>
            </w:tcBorders>
          </w:tcPr>
          <w:p w14:paraId="62A9BBA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24911C03"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Aanvullend-eigenvermogensvereiste</w:t>
            </w:r>
          </w:p>
          <w:p w14:paraId="6DEC5BD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40 van Verordening (EU) 2019/2034</w:t>
            </w:r>
          </w:p>
          <w:p w14:paraId="1F8CC650"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Aanvullend-eigenvermogensvereiste volgens SREP</w:t>
            </w:r>
            <w:r w:rsidRPr="00B7315D">
              <w:rPr>
                <w:rFonts w:ascii="Times New Roman" w:hAnsi="Times New Roman"/>
                <w:b/>
                <w:bCs/>
                <w:u w:val="single"/>
              </w:rPr>
              <w:t xml:space="preserve"> </w:t>
            </w:r>
          </w:p>
        </w:tc>
      </w:tr>
      <w:tr w:rsidR="00532AE6" w:rsidRPr="00B7315D" w14:paraId="642D7E13" w14:textId="77777777">
        <w:tc>
          <w:tcPr>
            <w:tcW w:w="1129" w:type="dxa"/>
            <w:tcBorders>
              <w:top w:val="single" w:sz="4" w:space="0" w:color="auto"/>
              <w:left w:val="single" w:sz="4" w:space="0" w:color="auto"/>
              <w:bottom w:val="single" w:sz="4" w:space="0" w:color="auto"/>
              <w:right w:val="single" w:sz="4" w:space="0" w:color="auto"/>
            </w:tcBorders>
          </w:tcPr>
          <w:p w14:paraId="0ECBB95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14:paraId="389133C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xml:space="preserve">Totaal </w:t>
            </w:r>
            <w:r w:rsidRPr="00B7315D">
              <w:rPr>
                <w:rFonts w:ascii="Times New Roman" w:hAnsi="Times New Roman"/>
                <w:b/>
                <w:bCs/>
                <w:u w:val="single"/>
              </w:rPr>
              <w:t>eigenvermogensvereiste</w:t>
            </w:r>
          </w:p>
          <w:p w14:paraId="357BA9CA"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rPr>
              <w:t>Het totale eigenvermogensvereiste van een beleggingsonderneming is de som van haar eigenvermogensvereisten die op de referentiedatum van toepassing zijn, het in rij 0110 gerapporteerde aanvullend-eigenvermogensvereiste en de in rij 0</w:t>
            </w:r>
            <w:r w:rsidRPr="00B7315D">
              <w:rPr>
                <w:rFonts w:ascii="Times New Roman" w:hAnsi="Times New Roman"/>
              </w:rPr>
              <w:t>120 gerapporteerde aanvullend-eigenvermogensvereiste guidance.</w:t>
            </w:r>
          </w:p>
        </w:tc>
      </w:tr>
    </w:tbl>
    <w:p w14:paraId="404A9AFC" w14:textId="77777777" w:rsidR="00532AE6" w:rsidRPr="00B7315D" w:rsidRDefault="00B7315D">
      <w:pPr>
        <w:pStyle w:val="Instructionsberschrift2"/>
        <w:ind w:left="357" w:hanging="357"/>
        <w:rPr>
          <w:rFonts w:ascii="Times New Roman" w:hAnsi="Times New Roman" w:cs="Times New Roman"/>
          <w:sz w:val="24"/>
        </w:rPr>
      </w:pPr>
      <w:bookmarkStart w:id="22" w:name="_Toc88041253"/>
      <w:r w:rsidRPr="00B7315D">
        <w:rPr>
          <w:rFonts w:ascii="Times New Roman" w:hAnsi="Times New Roman"/>
          <w:sz w:val="24"/>
        </w:rPr>
        <w:t>1.4.</w:t>
      </w:r>
      <w:r w:rsidRPr="00B7315D">
        <w:rPr>
          <w:rFonts w:ascii="Times New Roman" w:hAnsi="Times New Roman"/>
          <w:sz w:val="24"/>
        </w:rPr>
        <w:t xml:space="preserve"> I </w:t>
      </w:r>
      <w:r w:rsidRPr="00B7315D">
        <w:rPr>
          <w:rFonts w:ascii="Times New Roman" w:hAnsi="Times New Roman"/>
          <w:sz w:val="24"/>
        </w:rPr>
        <w:t>02.04</w:t>
      </w:r>
      <w:r w:rsidRPr="00B7315D">
        <w:rPr>
          <w:rFonts w:ascii="Times New Roman" w:hAnsi="Times New Roman"/>
          <w:sz w:val="24"/>
        </w:rPr>
        <w:t xml:space="preserve"> — KAPITAALRATIO’S (I </w:t>
      </w:r>
      <w:r w:rsidRPr="00B7315D">
        <w:rPr>
          <w:rFonts w:ascii="Times New Roman" w:hAnsi="Times New Roman"/>
          <w:sz w:val="24"/>
        </w:rPr>
        <w:t>2.4</w:t>
      </w:r>
      <w:r w:rsidRPr="00B7315D">
        <w:rPr>
          <w:rFonts w:ascii="Times New Roman" w:hAnsi="Times New Roman"/>
          <w:sz w:val="24"/>
        </w:rPr>
        <w:t>)</w:t>
      </w:r>
      <w:bookmarkEnd w:id="22"/>
    </w:p>
    <w:p w14:paraId="09288799" w14:textId="77777777" w:rsidR="00532AE6" w:rsidRPr="00B7315D" w:rsidRDefault="00B7315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8041254"/>
      <w:r w:rsidRPr="00B7315D">
        <w:rPr>
          <w:rFonts w:ascii="Times New Roman" w:hAnsi="Times New Roman"/>
          <w:sz w:val="24"/>
          <w:szCs w:val="24"/>
        </w:rPr>
        <w:t>1.4.1.</w:t>
      </w:r>
      <w:r w:rsidRPr="00B7315D">
        <w:tab/>
      </w:r>
      <w:r w:rsidRPr="00B7315D">
        <w:rPr>
          <w:rFonts w:ascii="Times New Roman" w:hAnsi="Times New Roman"/>
          <w:sz w:val="24"/>
          <w:szCs w:val="24"/>
          <w:u w:val="single"/>
        </w:rPr>
        <w:t>Instructies voor specifieke posities</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32AE6" w:rsidRPr="00B7315D" w14:paraId="2F95CB86" w14:textId="77777777">
        <w:tc>
          <w:tcPr>
            <w:tcW w:w="1129" w:type="dxa"/>
            <w:shd w:val="clear" w:color="auto" w:fill="D9D9D9"/>
          </w:tcPr>
          <w:p w14:paraId="72E6A81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Rij</w:t>
            </w:r>
          </w:p>
        </w:tc>
        <w:tc>
          <w:tcPr>
            <w:tcW w:w="7620" w:type="dxa"/>
            <w:shd w:val="clear" w:color="auto" w:fill="D9D9D9"/>
          </w:tcPr>
          <w:p w14:paraId="15CB33F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Verwijzingen naar wetgeving en instructies</w:t>
            </w:r>
          </w:p>
        </w:tc>
      </w:tr>
      <w:tr w:rsidR="00532AE6" w:rsidRPr="00B7315D" w14:paraId="229C619F" w14:textId="77777777">
        <w:tc>
          <w:tcPr>
            <w:tcW w:w="1129" w:type="dxa"/>
          </w:tcPr>
          <w:p w14:paraId="20AD950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0010</w:t>
            </w:r>
          </w:p>
        </w:tc>
        <w:tc>
          <w:tcPr>
            <w:tcW w:w="7620" w:type="dxa"/>
          </w:tcPr>
          <w:p w14:paraId="3E3AA34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Tier 1-kernkapitaalratio</w:t>
            </w:r>
          </w:p>
          <w:p w14:paraId="6A96B90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9, lid 1, punt a), en </w:t>
            </w:r>
            <w:r w:rsidRPr="00B7315D">
              <w:rPr>
                <w:rFonts w:ascii="Times New Roman" w:hAnsi="Times New Roman"/>
                <w:bCs/>
              </w:rPr>
              <w:t>artikel 11, leden 1 en 2, van Verordening (EU) 2019/2033</w:t>
            </w:r>
          </w:p>
          <w:p w14:paraId="334614E5"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Deze post wordt uitgedrukt als een percentage.</w:t>
            </w:r>
          </w:p>
        </w:tc>
      </w:tr>
      <w:tr w:rsidR="00532AE6" w:rsidRPr="00B7315D" w14:paraId="29A7D729" w14:textId="77777777">
        <w:tc>
          <w:tcPr>
            <w:tcW w:w="1129" w:type="dxa"/>
          </w:tcPr>
          <w:p w14:paraId="6459CEB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0020</w:t>
            </w:r>
          </w:p>
        </w:tc>
        <w:tc>
          <w:tcPr>
            <w:tcW w:w="7620" w:type="dxa"/>
          </w:tcPr>
          <w:p w14:paraId="645C97B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Overschot(+)/Tekort(-) aan tier 1-kernkapitaal</w:t>
            </w:r>
          </w:p>
          <w:p w14:paraId="4F359276" w14:textId="77777777" w:rsidR="00532AE6" w:rsidRPr="00B7315D" w:rsidRDefault="00B7315D">
            <w:pPr>
              <w:spacing w:after="120" w:line="240" w:lineRule="auto"/>
              <w:jc w:val="both"/>
              <w:rPr>
                <w:rFonts w:ascii="Times New Roman" w:hAnsi="Times New Roman" w:cs="Times New Roman"/>
              </w:rPr>
            </w:pPr>
            <w:r w:rsidRPr="00B7315D">
              <w:rPr>
                <w:rFonts w:ascii="Times New Roman" w:hAnsi="Times New Roman"/>
              </w:rPr>
              <w:lastRenderedPageBreak/>
              <w:t>Deze post geeft het overschot of tekort aan tier 1-kernkapitaal met betrekking tot het vereiste van</w:t>
            </w:r>
            <w:r w:rsidRPr="00B7315D">
              <w:rPr>
                <w:rFonts w:ascii="Times New Roman" w:hAnsi="Times New Roman"/>
              </w:rPr>
              <w:t xml:space="preserve"> artikel 9, lid 1, van Verordening (EU) 2019/2033.</w:t>
            </w:r>
          </w:p>
          <w:p w14:paraId="5540952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rPr>
              <w:t>De overgangsbepalingen van artikel 57, leden 3 en 4, van Verordening (EU) 2019/2033 worden niet in aanmerking genomen voor deze post.</w:t>
            </w:r>
          </w:p>
        </w:tc>
      </w:tr>
      <w:tr w:rsidR="00532AE6" w:rsidRPr="00B7315D" w14:paraId="480A3105" w14:textId="77777777">
        <w:tc>
          <w:tcPr>
            <w:tcW w:w="1129" w:type="dxa"/>
          </w:tcPr>
          <w:p w14:paraId="26F60461"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0030</w:t>
            </w:r>
          </w:p>
        </w:tc>
        <w:tc>
          <w:tcPr>
            <w:tcW w:w="7620" w:type="dxa"/>
          </w:tcPr>
          <w:p w14:paraId="4712D7D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Tier 1-ratio</w:t>
            </w:r>
          </w:p>
          <w:p w14:paraId="38EEAAA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9, lid 1, punt b), en artikel 11, </w:t>
            </w:r>
            <w:r w:rsidRPr="00B7315D">
              <w:rPr>
                <w:rFonts w:ascii="Times New Roman" w:hAnsi="Times New Roman"/>
                <w:bCs/>
              </w:rPr>
              <w:t>leden 1 en 2, van Verordening (EU) 2019/2033</w:t>
            </w:r>
          </w:p>
          <w:p w14:paraId="3715527C"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Deze post wordt uitgedrukt als een percentage.</w:t>
            </w:r>
          </w:p>
        </w:tc>
      </w:tr>
      <w:tr w:rsidR="00532AE6" w:rsidRPr="00B7315D" w14:paraId="2BF1E1FB" w14:textId="77777777">
        <w:tc>
          <w:tcPr>
            <w:tcW w:w="1129" w:type="dxa"/>
          </w:tcPr>
          <w:p w14:paraId="4A075BB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0040</w:t>
            </w:r>
          </w:p>
        </w:tc>
        <w:tc>
          <w:tcPr>
            <w:tcW w:w="7620" w:type="dxa"/>
          </w:tcPr>
          <w:p w14:paraId="17565F96"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Overschot(+)/Tekort(-) aan tier 1-kapitaal</w:t>
            </w:r>
          </w:p>
          <w:p w14:paraId="679DCABE" w14:textId="77777777" w:rsidR="00532AE6" w:rsidRPr="00B7315D" w:rsidRDefault="00B7315D">
            <w:pPr>
              <w:spacing w:after="120" w:line="240" w:lineRule="auto"/>
              <w:jc w:val="both"/>
              <w:rPr>
                <w:rFonts w:ascii="Times New Roman" w:hAnsi="Times New Roman" w:cs="Times New Roman"/>
              </w:rPr>
            </w:pPr>
            <w:r w:rsidRPr="00B7315D">
              <w:rPr>
                <w:rFonts w:ascii="Times New Roman" w:hAnsi="Times New Roman"/>
              </w:rPr>
              <w:t>Deze post geeft het overschot of tekort aan tier 1-kapitaal met betrekking tot het vereiste van artikel 9, lid 1, v</w:t>
            </w:r>
            <w:r w:rsidRPr="00B7315D">
              <w:rPr>
                <w:rFonts w:ascii="Times New Roman" w:hAnsi="Times New Roman"/>
              </w:rPr>
              <w:t>an Verordening (EU) 2019/2033.</w:t>
            </w:r>
          </w:p>
          <w:p w14:paraId="2B77BF4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rPr>
              <w:t>De overgangsbepalingen van artikel 57, leden 3 en 4, van Verordening (EU) 2019/2033 worden niet in aanmerking genomen voor deze post.</w:t>
            </w:r>
          </w:p>
        </w:tc>
      </w:tr>
      <w:tr w:rsidR="00532AE6" w:rsidRPr="00B7315D" w14:paraId="02D5E110" w14:textId="77777777">
        <w:tc>
          <w:tcPr>
            <w:tcW w:w="1129" w:type="dxa"/>
          </w:tcPr>
          <w:p w14:paraId="79773631"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0050</w:t>
            </w:r>
          </w:p>
        </w:tc>
        <w:tc>
          <w:tcPr>
            <w:tcW w:w="7620" w:type="dxa"/>
          </w:tcPr>
          <w:p w14:paraId="6D66F81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Eigen-vermogensratio</w:t>
            </w:r>
          </w:p>
          <w:p w14:paraId="2248D27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9, lid 1, punt c), en artikel 11, leden 1 en 2, van </w:t>
            </w:r>
            <w:r w:rsidRPr="00B7315D">
              <w:rPr>
                <w:rFonts w:ascii="Times New Roman" w:hAnsi="Times New Roman"/>
                <w:bCs/>
              </w:rPr>
              <w:t>Verordening (EU) 2019/2033</w:t>
            </w:r>
          </w:p>
          <w:p w14:paraId="5EBFE58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Deze post wordt uitgedrukt als een percentage.</w:t>
            </w:r>
          </w:p>
        </w:tc>
      </w:tr>
      <w:tr w:rsidR="00532AE6" w:rsidRPr="00B7315D" w14:paraId="6F73DEE7" w14:textId="77777777">
        <w:tc>
          <w:tcPr>
            <w:tcW w:w="1129" w:type="dxa"/>
          </w:tcPr>
          <w:p w14:paraId="6227D4F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0060</w:t>
            </w:r>
          </w:p>
        </w:tc>
        <w:tc>
          <w:tcPr>
            <w:tcW w:w="7620" w:type="dxa"/>
          </w:tcPr>
          <w:p w14:paraId="2D20E8E3"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Overschot(+)/Tekort(-) aan totaal kapitaal</w:t>
            </w:r>
          </w:p>
          <w:p w14:paraId="629313F2" w14:textId="77777777" w:rsidR="00532AE6" w:rsidRPr="00B7315D" w:rsidRDefault="00B7315D">
            <w:pPr>
              <w:spacing w:after="120" w:line="240" w:lineRule="auto"/>
              <w:jc w:val="both"/>
              <w:rPr>
                <w:rFonts w:ascii="Times New Roman" w:hAnsi="Times New Roman" w:cs="Times New Roman"/>
              </w:rPr>
            </w:pPr>
            <w:r w:rsidRPr="00B7315D">
              <w:rPr>
                <w:rFonts w:ascii="Times New Roman" w:hAnsi="Times New Roman"/>
              </w:rPr>
              <w:t>Deze post geeft het overschot of tekort aan eigen vermogen met betrekking tot het vereiste van artikel 9, lid 1, van Verordening (EU)</w:t>
            </w:r>
            <w:r w:rsidRPr="00B7315D">
              <w:rPr>
                <w:rFonts w:ascii="Times New Roman" w:hAnsi="Times New Roman"/>
              </w:rPr>
              <w:t xml:space="preserve"> 2019/2033.</w:t>
            </w:r>
          </w:p>
          <w:p w14:paraId="3F710FB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rPr>
              <w:t>De overgangsbepalingen van artikel 57, leden 3 en 4, van Verordening (EU) 2019/2033 worden niet in aanmerking genomen voor deze post.</w:t>
            </w:r>
          </w:p>
        </w:tc>
      </w:tr>
    </w:tbl>
    <w:p w14:paraId="4B3B2972" w14:textId="77777777" w:rsidR="00532AE6" w:rsidRPr="00B7315D" w:rsidRDefault="00532AE6">
      <w:pPr>
        <w:pStyle w:val="Instructionsberschrift2"/>
        <w:ind w:left="357" w:hanging="357"/>
        <w:rPr>
          <w:rFonts w:ascii="Times New Roman" w:hAnsi="Times New Roman" w:cs="Times New Roman"/>
          <w:sz w:val="24"/>
        </w:rPr>
      </w:pPr>
    </w:p>
    <w:p w14:paraId="37B1D90D" w14:textId="77777777" w:rsidR="00532AE6" w:rsidRPr="00B7315D" w:rsidRDefault="00B7315D">
      <w:pPr>
        <w:pStyle w:val="Instructionsberschrift2"/>
        <w:ind w:left="357" w:hanging="357"/>
        <w:rPr>
          <w:rFonts w:ascii="Times New Roman" w:hAnsi="Times New Roman" w:cs="Times New Roman"/>
          <w:sz w:val="24"/>
        </w:rPr>
      </w:pPr>
      <w:bookmarkStart w:id="24" w:name="_Toc88041255"/>
      <w:r w:rsidRPr="00B7315D">
        <w:rPr>
          <w:rFonts w:ascii="Times New Roman" w:hAnsi="Times New Roman"/>
          <w:sz w:val="24"/>
        </w:rPr>
        <w:t>1.5.</w:t>
      </w:r>
      <w:r w:rsidRPr="00B7315D">
        <w:rPr>
          <w:rFonts w:ascii="Times New Roman" w:hAnsi="Times New Roman"/>
          <w:sz w:val="24"/>
        </w:rPr>
        <w:t xml:space="preserve"> I </w:t>
      </w:r>
      <w:r w:rsidRPr="00B7315D">
        <w:rPr>
          <w:rFonts w:ascii="Times New Roman" w:hAnsi="Times New Roman"/>
          <w:sz w:val="24"/>
        </w:rPr>
        <w:t>03.01</w:t>
      </w:r>
      <w:r w:rsidRPr="00B7315D">
        <w:rPr>
          <w:rFonts w:ascii="Times New Roman" w:hAnsi="Times New Roman"/>
          <w:sz w:val="24"/>
        </w:rPr>
        <w:t xml:space="preserve"> — BEREKENING VASTEKOSTENVEREISTE (I </w:t>
      </w:r>
      <w:r w:rsidRPr="00B7315D">
        <w:rPr>
          <w:rFonts w:ascii="Times New Roman" w:hAnsi="Times New Roman"/>
          <w:sz w:val="24"/>
        </w:rPr>
        <w:t>3.1</w:t>
      </w:r>
      <w:r w:rsidRPr="00B7315D">
        <w:rPr>
          <w:rFonts w:ascii="Times New Roman" w:hAnsi="Times New Roman"/>
          <w:sz w:val="24"/>
        </w:rPr>
        <w:t>)</w:t>
      </w:r>
      <w:bookmarkEnd w:id="2"/>
      <w:bookmarkEnd w:id="3"/>
      <w:bookmarkEnd w:id="24"/>
      <w:bookmarkEnd w:id="4"/>
      <w:bookmarkEnd w:id="5"/>
    </w:p>
    <w:p w14:paraId="3CE08B02" w14:textId="77777777" w:rsidR="00532AE6" w:rsidRPr="00B7315D" w:rsidRDefault="00B7315D">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5" w:name="_Toc360188326"/>
      <w:bookmarkStart w:id="26" w:name="_Toc473560874"/>
      <w:bookmarkStart w:id="27" w:name="_Toc7084159"/>
      <w:bookmarkStart w:id="28" w:name="_Toc88041256"/>
      <w:r w:rsidRPr="00B7315D">
        <w:rPr>
          <w:rFonts w:ascii="Times New Roman" w:hAnsi="Times New Roman"/>
          <w:sz w:val="24"/>
          <w:szCs w:val="24"/>
        </w:rPr>
        <w:t>1.5.1.</w:t>
      </w:r>
      <w:bookmarkStart w:id="29" w:name="_Toc308175821"/>
      <w:r w:rsidRPr="00B7315D">
        <w:tab/>
      </w:r>
      <w:bookmarkEnd w:id="29"/>
      <w:r w:rsidRPr="00B7315D">
        <w:rPr>
          <w:rFonts w:ascii="Times New Roman" w:hAnsi="Times New Roman"/>
          <w:sz w:val="24"/>
          <w:szCs w:val="24"/>
          <w:u w:val="single"/>
        </w:rPr>
        <w:t>Instructies voor specifieke posities</w:t>
      </w:r>
      <w:bookmarkEnd w:id="25"/>
      <w:bookmarkEnd w:id="26"/>
      <w:bookmarkEnd w:id="27"/>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32AE6" w:rsidRPr="00B7315D" w14:paraId="0DBE9662" w14:textId="77777777">
        <w:tc>
          <w:tcPr>
            <w:tcW w:w="1129" w:type="dxa"/>
            <w:shd w:val="clear" w:color="auto" w:fill="D9D9D9"/>
          </w:tcPr>
          <w:p w14:paraId="0D41A9EA"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color w:val="000000" w:themeColor="text1"/>
              </w:rPr>
              <w:t>Rij</w:t>
            </w:r>
          </w:p>
        </w:tc>
        <w:tc>
          <w:tcPr>
            <w:tcW w:w="7620" w:type="dxa"/>
            <w:shd w:val="clear" w:color="auto" w:fill="D9D9D9"/>
          </w:tcPr>
          <w:p w14:paraId="2B2035D9"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color w:val="000000" w:themeColor="text1"/>
              </w:rPr>
              <w:t>Verwijzingen naar wetgeving en instructies</w:t>
            </w:r>
          </w:p>
        </w:tc>
      </w:tr>
      <w:tr w:rsidR="00532AE6" w:rsidRPr="00B7315D" w14:paraId="5441980D" w14:textId="77777777">
        <w:tc>
          <w:tcPr>
            <w:tcW w:w="1129" w:type="dxa"/>
          </w:tcPr>
          <w:p w14:paraId="639BEB31"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0010</w:t>
            </w:r>
          </w:p>
        </w:tc>
        <w:tc>
          <w:tcPr>
            <w:tcW w:w="7620" w:type="dxa"/>
          </w:tcPr>
          <w:p w14:paraId="6F9A9C7A"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Vastekostenvereiste</w:t>
            </w:r>
          </w:p>
          <w:p w14:paraId="1971E0D2"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rPr>
              <w:t>Artikel 13, lid 1, van Verordening (EU) 2019/2033</w:t>
            </w:r>
          </w:p>
          <w:p w14:paraId="40CA8C5D" w14:textId="77777777" w:rsidR="00532AE6" w:rsidRPr="00B7315D" w:rsidRDefault="00B7315D">
            <w:pPr>
              <w:spacing w:after="120" w:line="240" w:lineRule="auto"/>
              <w:jc w:val="both"/>
              <w:rPr>
                <w:rFonts w:ascii="Times New Roman" w:hAnsi="Times New Roman" w:cs="Times New Roman"/>
              </w:rPr>
            </w:pPr>
            <w:r w:rsidRPr="00B7315D">
              <w:rPr>
                <w:rFonts w:ascii="Times New Roman" w:hAnsi="Times New Roman"/>
              </w:rPr>
              <w:t>Het te rapporteren bedrag is ten minste 25 % van de jaarlijkse vaste kosten van het voorgaande jaar (rij 0020).</w:t>
            </w:r>
          </w:p>
          <w:p w14:paraId="3577AED7" w14:textId="77777777" w:rsidR="00532AE6" w:rsidRPr="00B7315D" w:rsidRDefault="00B7315D">
            <w:pPr>
              <w:spacing w:after="120" w:line="240" w:lineRule="auto"/>
              <w:jc w:val="both"/>
              <w:rPr>
                <w:rFonts w:ascii="Times New Roman" w:hAnsi="Times New Roman" w:cs="Times New Roman"/>
              </w:rPr>
            </w:pPr>
            <w:r w:rsidRPr="00B7315D">
              <w:rPr>
                <w:rFonts w:ascii="Times New Roman" w:hAnsi="Times New Roman"/>
              </w:rPr>
              <w:t xml:space="preserve">In gevallen waarin er </w:t>
            </w:r>
            <w:r w:rsidRPr="00B7315D">
              <w:rPr>
                <w:rFonts w:ascii="Times New Roman" w:hAnsi="Times New Roman"/>
              </w:rPr>
              <w:t>sprake is van een wezenlijke verandering in de zin van artikel 13, lid 2, van Verordening (EU) 2019/2033, is het gerapporteerde bedrag het door de bevoegde autoriteit overeenkomstig dat artikel opgelegde vastekostenvereiste.</w:t>
            </w:r>
          </w:p>
          <w:p w14:paraId="4B7B4CE4" w14:textId="77777777" w:rsidR="00532AE6" w:rsidRPr="00B7315D" w:rsidRDefault="00B7315D">
            <w:pPr>
              <w:spacing w:after="120" w:line="240" w:lineRule="auto"/>
              <w:jc w:val="both"/>
              <w:rPr>
                <w:rFonts w:ascii="Times New Roman" w:hAnsi="Times New Roman" w:cs="Times New Roman"/>
              </w:rPr>
            </w:pPr>
            <w:r w:rsidRPr="00B7315D">
              <w:rPr>
                <w:rFonts w:ascii="Times New Roman" w:hAnsi="Times New Roman"/>
              </w:rPr>
              <w:t>In de in artikel 13, lid 3, van</w:t>
            </w:r>
            <w:r w:rsidRPr="00B7315D">
              <w:rPr>
                <w:rFonts w:ascii="Times New Roman" w:hAnsi="Times New Roman"/>
              </w:rPr>
              <w:t xml:space="preserve"> Verordening (EU) 2019/2033 vermelde gevallen is het gerapporteerde bedrag de projectie van de vaste kosten voor het lopende jaar (rij 0200).</w:t>
            </w:r>
          </w:p>
        </w:tc>
      </w:tr>
      <w:tr w:rsidR="00532AE6" w:rsidRPr="00B7315D" w14:paraId="05F20CDC" w14:textId="77777777">
        <w:tc>
          <w:tcPr>
            <w:tcW w:w="1129" w:type="dxa"/>
          </w:tcPr>
          <w:p w14:paraId="737300AA"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0020</w:t>
            </w:r>
          </w:p>
        </w:tc>
        <w:tc>
          <w:tcPr>
            <w:tcW w:w="7620" w:type="dxa"/>
          </w:tcPr>
          <w:p w14:paraId="1DED60B6"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Jaarlijkse vaste kosten van het voorgaande jaar na winstuitkering</w:t>
            </w:r>
          </w:p>
          <w:p w14:paraId="36A3EFC6"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 xml:space="preserve">Artikel 13, lid 1, van </w:t>
            </w:r>
            <w:r w:rsidRPr="00B7315D">
              <w:rPr>
                <w:rFonts w:ascii="Times New Roman" w:hAnsi="Times New Roman"/>
                <w:bCs/>
                <w:color w:val="000000" w:themeColor="text1"/>
              </w:rPr>
              <w:t>Verordening (EU) 2019/2033</w:t>
            </w:r>
          </w:p>
          <w:p w14:paraId="4A32479C" w14:textId="77777777" w:rsidR="00532AE6" w:rsidRPr="00B7315D" w:rsidRDefault="00B7315D">
            <w:pPr>
              <w:pStyle w:val="CommentText"/>
              <w:rPr>
                <w:rFonts w:ascii="Times New Roman" w:hAnsi="Times New Roman" w:cs="Times New Roman"/>
                <w:sz w:val="22"/>
                <w:szCs w:val="22"/>
              </w:rPr>
            </w:pPr>
            <w:r w:rsidRPr="00B7315D">
              <w:rPr>
                <w:rFonts w:ascii="Times New Roman" w:hAnsi="Times New Roman"/>
                <w:bCs/>
                <w:color w:val="000000" w:themeColor="text1"/>
                <w:sz w:val="22"/>
                <w:szCs w:val="22"/>
              </w:rPr>
              <w:t xml:space="preserve">Beleggingsondernemingen rapporteren de vaste kosten van het voorgaande jaar na winstuitkering. </w:t>
            </w:r>
          </w:p>
        </w:tc>
      </w:tr>
      <w:tr w:rsidR="00532AE6" w:rsidRPr="00B7315D" w14:paraId="53A6E030" w14:textId="77777777">
        <w:tc>
          <w:tcPr>
            <w:tcW w:w="1129" w:type="dxa"/>
          </w:tcPr>
          <w:p w14:paraId="31E3F797"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lastRenderedPageBreak/>
              <w:t>0030</w:t>
            </w:r>
          </w:p>
        </w:tc>
        <w:tc>
          <w:tcPr>
            <w:tcW w:w="7620" w:type="dxa"/>
          </w:tcPr>
          <w:p w14:paraId="119E2104"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Totale vaste kosten van het voorgaande jaar na winstuitkering</w:t>
            </w:r>
          </w:p>
          <w:p w14:paraId="7A656307" w14:textId="77777777" w:rsidR="00532AE6" w:rsidRPr="00B7315D" w:rsidRDefault="00B7315D">
            <w:pPr>
              <w:spacing w:after="120" w:line="240" w:lineRule="auto"/>
              <w:jc w:val="both"/>
              <w:rPr>
                <w:rFonts w:ascii="Times New Roman" w:eastAsia="Times New Roman" w:hAnsi="Times New Roman" w:cs="Times New Roman"/>
                <w:bCs/>
                <w:i/>
                <w:color w:val="000000" w:themeColor="text1"/>
              </w:rPr>
            </w:pPr>
            <w:r w:rsidRPr="00B7315D">
              <w:rPr>
                <w:rFonts w:ascii="Times New Roman" w:hAnsi="Times New Roman"/>
                <w:bCs/>
              </w:rPr>
              <w:t>Artikel 13, lid 1, van Verordening (EU) 2019/2033</w:t>
            </w:r>
          </w:p>
          <w:p w14:paraId="1E94F5D0"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Het gerapportee</w:t>
            </w:r>
            <w:r w:rsidRPr="00B7315D">
              <w:rPr>
                <w:rFonts w:ascii="Times New Roman" w:hAnsi="Times New Roman"/>
                <w:bCs/>
                <w:color w:val="000000" w:themeColor="text1"/>
              </w:rPr>
              <w:t>rde bedrag is het bedrag na winstuitkering.</w:t>
            </w:r>
          </w:p>
        </w:tc>
      </w:tr>
      <w:tr w:rsidR="00532AE6" w:rsidRPr="00B7315D" w14:paraId="1336EBC1" w14:textId="77777777">
        <w:tc>
          <w:tcPr>
            <w:tcW w:w="1129" w:type="dxa"/>
          </w:tcPr>
          <w:p w14:paraId="43F3710C"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0040</w:t>
            </w:r>
          </w:p>
        </w:tc>
        <w:tc>
          <w:tcPr>
            <w:tcW w:w="7620" w:type="dxa"/>
          </w:tcPr>
          <w:p w14:paraId="6D44AA81"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Waarvan: Door derden namens de beleggingsondernemingen gemaakte vaste kosten</w:t>
            </w:r>
          </w:p>
          <w:p w14:paraId="7E4E0C33"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Cs/>
              </w:rPr>
              <w:t>Artikel 13 van Verordening (EU) 2019/2033</w:t>
            </w:r>
          </w:p>
        </w:tc>
      </w:tr>
      <w:tr w:rsidR="00532AE6" w:rsidRPr="00B7315D" w14:paraId="0455676C" w14:textId="77777777">
        <w:tc>
          <w:tcPr>
            <w:tcW w:w="1129" w:type="dxa"/>
          </w:tcPr>
          <w:p w14:paraId="3CFEFBE4"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0050</w:t>
            </w:r>
          </w:p>
        </w:tc>
        <w:tc>
          <w:tcPr>
            <w:tcW w:w="7620" w:type="dxa"/>
          </w:tcPr>
          <w:p w14:paraId="1D123D2F"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Totale aftrekkingen</w:t>
            </w:r>
          </w:p>
          <w:p w14:paraId="5FC2085E" w14:textId="77777777" w:rsidR="00532AE6" w:rsidRPr="00B7315D" w:rsidRDefault="00B7315D">
            <w:pPr>
              <w:pStyle w:val="NumPar1"/>
              <w:numPr>
                <w:ilvl w:val="0"/>
                <w:numId w:val="0"/>
              </w:numPr>
              <w:rPr>
                <w:sz w:val="22"/>
              </w:rPr>
            </w:pPr>
            <w:r w:rsidRPr="00B7315D">
              <w:rPr>
                <w:sz w:val="22"/>
              </w:rPr>
              <w:t xml:space="preserve">Naast de in artikel 13, lid 4, van Verordening (EU) </w:t>
            </w:r>
            <w:r w:rsidRPr="00B7315D">
              <w:rPr>
                <w:sz w:val="22"/>
              </w:rPr>
              <w:t>2019/2033 bedoelde af te trekken posten, worden ook de volgende posten van de totale uitgaven afgetrokken, indien deze volgens het toepasselijke raamwerk voor financiële verslaggeving zijn opgenomen onder totale uitgaven:</w:t>
            </w:r>
          </w:p>
          <w:p w14:paraId="31C7E540" w14:textId="77777777" w:rsidR="00532AE6" w:rsidRPr="00B7315D" w:rsidRDefault="00B7315D">
            <w:pPr>
              <w:pStyle w:val="Point1letter"/>
              <w:numPr>
                <w:ilvl w:val="0"/>
                <w:numId w:val="0"/>
              </w:numPr>
              <w:tabs>
                <w:tab w:val="left" w:pos="850"/>
              </w:tabs>
              <w:ind w:left="492" w:hanging="567"/>
              <w:rPr>
                <w:sz w:val="22"/>
              </w:rPr>
            </w:pPr>
            <w:r w:rsidRPr="00B7315D">
              <w:rPr>
                <w:sz w:val="22"/>
              </w:rPr>
              <w:t>(a)</w:t>
            </w:r>
            <w:r w:rsidRPr="00B7315D">
              <w:rPr>
                <w:sz w:val="22"/>
              </w:rPr>
              <w:tab/>
              <w:t>voor de uitvoering, registrati</w:t>
            </w:r>
            <w:r w:rsidRPr="00B7315D">
              <w:rPr>
                <w:sz w:val="22"/>
              </w:rPr>
              <w:t>e of clearing van transacties aan centrale tegenpartijen, beurzen en andere handelsplatformen en intermediaire makelaars betaalde vergoedingen, courtage en andere lasten, alleen wanneer deze direct worden doorgegeven en doorberekend aan cliënten. Hierin zi</w:t>
            </w:r>
            <w:r w:rsidRPr="00B7315D">
              <w:rPr>
                <w:sz w:val="22"/>
              </w:rPr>
              <w:t>jn niet begrepen vergoedingen en andere lasten om het lidmaatschap te behouden of om anderszins te voldoen aan verliesdelende financiële verplichtingen tegenover centrale tegenpartijen, beurzen en andere handelsplatformen;</w:t>
            </w:r>
          </w:p>
          <w:p w14:paraId="5CB29FB1" w14:textId="77777777" w:rsidR="00532AE6" w:rsidRPr="00B7315D" w:rsidRDefault="00B7315D">
            <w:pPr>
              <w:pStyle w:val="Point1letter"/>
              <w:numPr>
                <w:ilvl w:val="0"/>
                <w:numId w:val="0"/>
              </w:numPr>
              <w:tabs>
                <w:tab w:val="left" w:pos="850"/>
              </w:tabs>
              <w:ind w:left="492" w:hanging="567"/>
              <w:rPr>
                <w:sz w:val="22"/>
              </w:rPr>
            </w:pPr>
            <w:r w:rsidRPr="00B7315D">
              <w:rPr>
                <w:sz w:val="22"/>
              </w:rPr>
              <w:t>(b)</w:t>
            </w:r>
            <w:r w:rsidRPr="00B7315D">
              <w:rPr>
                <w:sz w:val="22"/>
              </w:rPr>
              <w:tab/>
              <w:t xml:space="preserve">aan cliënten betaalde </w:t>
            </w:r>
            <w:r w:rsidRPr="00B7315D">
              <w:rPr>
                <w:sz w:val="22"/>
              </w:rPr>
              <w:t>rente over gelden van cliënten wanneer er geen enkele verplichting is om die rente te betalen;</w:t>
            </w:r>
          </w:p>
          <w:p w14:paraId="4BA5222A" w14:textId="77777777" w:rsidR="00532AE6" w:rsidRPr="00B7315D" w:rsidRDefault="00B7315D">
            <w:pPr>
              <w:pStyle w:val="Point1letter"/>
              <w:numPr>
                <w:ilvl w:val="0"/>
                <w:numId w:val="0"/>
              </w:numPr>
              <w:tabs>
                <w:tab w:val="left" w:pos="850"/>
              </w:tabs>
              <w:ind w:left="492" w:hanging="567"/>
              <w:rPr>
                <w:sz w:val="22"/>
              </w:rPr>
            </w:pPr>
            <w:r w:rsidRPr="00B7315D">
              <w:rPr>
                <w:sz w:val="22"/>
              </w:rPr>
              <w:t>(c)</w:t>
            </w:r>
            <w:r w:rsidRPr="00B7315D">
              <w:rPr>
                <w:sz w:val="22"/>
              </w:rPr>
              <w:tab/>
              <w:t>uitgaven voor belastingen wanneer die verschuldigd worden voor de jaarwinst van de beleggingsonderneming;</w:t>
            </w:r>
          </w:p>
          <w:p w14:paraId="191C8F6F" w14:textId="77777777" w:rsidR="00532AE6" w:rsidRPr="00B7315D" w:rsidRDefault="00B7315D">
            <w:pPr>
              <w:pStyle w:val="Point1letter"/>
              <w:numPr>
                <w:ilvl w:val="0"/>
                <w:numId w:val="0"/>
              </w:numPr>
              <w:tabs>
                <w:tab w:val="left" w:pos="850"/>
              </w:tabs>
              <w:ind w:left="492" w:hanging="567"/>
              <w:rPr>
                <w:sz w:val="22"/>
              </w:rPr>
            </w:pPr>
            <w:r w:rsidRPr="00B7315D">
              <w:rPr>
                <w:sz w:val="22"/>
              </w:rPr>
              <w:t>(d)</w:t>
            </w:r>
            <w:r w:rsidRPr="00B7315D">
              <w:rPr>
                <w:sz w:val="22"/>
              </w:rPr>
              <w:tab/>
              <w:t>verliezen door handel voor eigen rekening in fi</w:t>
            </w:r>
            <w:r w:rsidRPr="00B7315D">
              <w:rPr>
                <w:sz w:val="22"/>
              </w:rPr>
              <w:t>nanciële instrumenten;</w:t>
            </w:r>
          </w:p>
          <w:p w14:paraId="77B7578F" w14:textId="77777777" w:rsidR="00532AE6" w:rsidRPr="00B7315D" w:rsidRDefault="00B7315D">
            <w:pPr>
              <w:pStyle w:val="Point1letter"/>
              <w:numPr>
                <w:ilvl w:val="0"/>
                <w:numId w:val="0"/>
              </w:numPr>
              <w:tabs>
                <w:tab w:val="left" w:pos="850"/>
              </w:tabs>
              <w:ind w:left="492" w:hanging="567"/>
              <w:rPr>
                <w:sz w:val="22"/>
              </w:rPr>
            </w:pPr>
            <w:r w:rsidRPr="00B7315D">
              <w:rPr>
                <w:sz w:val="22"/>
              </w:rPr>
              <w:t>(e)</w:t>
            </w:r>
            <w:r w:rsidRPr="00B7315D">
              <w:rPr>
                <w:sz w:val="22"/>
              </w:rPr>
              <w:tab/>
              <w:t>betalingen met betrekking tot contractuele overeenkomsten voor winst- en verliesafdracht waarbij de beleggingsonderneming verplicht is, na de opstelling van haar jaarrekening, haar jaarresultaat over te dragen aan de moederondern</w:t>
            </w:r>
            <w:r w:rsidRPr="00B7315D">
              <w:rPr>
                <w:sz w:val="22"/>
              </w:rPr>
              <w:t>eming;</w:t>
            </w:r>
          </w:p>
          <w:p w14:paraId="4FA6F8AB" w14:textId="77777777" w:rsidR="00532AE6" w:rsidRPr="00B7315D" w:rsidRDefault="00B7315D">
            <w:pPr>
              <w:pStyle w:val="Point1letter"/>
              <w:numPr>
                <w:ilvl w:val="0"/>
                <w:numId w:val="0"/>
              </w:numPr>
              <w:tabs>
                <w:tab w:val="left" w:pos="850"/>
              </w:tabs>
              <w:ind w:left="492" w:hanging="567"/>
              <w:rPr>
                <w:color w:val="000000" w:themeColor="text1"/>
                <w:sz w:val="22"/>
              </w:rPr>
            </w:pPr>
            <w:r w:rsidRPr="00B7315D">
              <w:rPr>
                <w:color w:val="000000" w:themeColor="text1"/>
                <w:sz w:val="22"/>
              </w:rPr>
              <w:t>(f)</w:t>
            </w:r>
            <w:r w:rsidRPr="00B7315D">
              <w:rPr>
                <w:color w:val="000000" w:themeColor="text1"/>
                <w:sz w:val="22"/>
              </w:rPr>
              <w:tab/>
            </w:r>
            <w:r w:rsidRPr="00B7315D">
              <w:rPr>
                <w:sz w:val="22"/>
              </w:rPr>
              <w:t>betalingen aan een fonds voor algemene bankrisico’s overeenkomstig artikel 26, lid 1, punt f), van Verordening (EU) nr. 575/2013;</w:t>
            </w:r>
          </w:p>
          <w:p w14:paraId="539E8B5E" w14:textId="77777777" w:rsidR="00532AE6" w:rsidRPr="00B7315D" w:rsidRDefault="00B7315D">
            <w:pPr>
              <w:pStyle w:val="Point1letter"/>
              <w:numPr>
                <w:ilvl w:val="0"/>
                <w:numId w:val="0"/>
              </w:numPr>
              <w:tabs>
                <w:tab w:val="left" w:pos="850"/>
              </w:tabs>
              <w:ind w:left="492" w:hanging="567"/>
              <w:rPr>
                <w:rFonts w:eastAsia="Times New Roman"/>
                <w:bCs/>
                <w:color w:val="000000" w:themeColor="text1"/>
                <w:sz w:val="22"/>
              </w:rPr>
            </w:pPr>
            <w:r w:rsidRPr="00B7315D">
              <w:rPr>
                <w:rFonts w:eastAsia="Times New Roman"/>
                <w:bCs/>
                <w:color w:val="000000" w:themeColor="text1"/>
                <w:sz w:val="22"/>
              </w:rPr>
              <w:t>(g)</w:t>
            </w:r>
            <w:r w:rsidRPr="00B7315D">
              <w:rPr>
                <w:rFonts w:eastAsia="Times New Roman"/>
                <w:bCs/>
                <w:color w:val="000000" w:themeColor="text1"/>
                <w:sz w:val="22"/>
              </w:rPr>
              <w:tab/>
            </w:r>
            <w:r w:rsidRPr="00B7315D">
              <w:rPr>
                <w:sz w:val="22"/>
              </w:rPr>
              <w:t>uitgaven met betrekking tot posten die overeenkomstig artikel 36, lid 1, van Verordening (EU) nr. 575/2013 reed</w:t>
            </w:r>
            <w:r w:rsidRPr="00B7315D">
              <w:rPr>
                <w:sz w:val="22"/>
              </w:rPr>
              <w:t>s van het eigen vermogen zijn afgetrokken.</w:t>
            </w:r>
            <w:r w:rsidRPr="00B7315D">
              <w:rPr>
                <w:bCs/>
                <w:color w:val="000000" w:themeColor="text1"/>
                <w:sz w:val="22"/>
              </w:rPr>
              <w:t xml:space="preserve"> </w:t>
            </w:r>
          </w:p>
        </w:tc>
      </w:tr>
      <w:tr w:rsidR="00532AE6" w:rsidRPr="00B7315D" w14:paraId="788338ED" w14:textId="77777777">
        <w:tc>
          <w:tcPr>
            <w:tcW w:w="1129" w:type="dxa"/>
          </w:tcPr>
          <w:p w14:paraId="5B6D5EA4"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0060</w:t>
            </w:r>
          </w:p>
        </w:tc>
        <w:tc>
          <w:tcPr>
            <w:tcW w:w="7620" w:type="dxa"/>
          </w:tcPr>
          <w:p w14:paraId="0DD4B391"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Personeelsbonussen en andere beloningen</w:t>
            </w:r>
          </w:p>
          <w:p w14:paraId="33F96A10"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Artikel 13, lid 4, punt a), van Verordening (EU) 2019/2033</w:t>
            </w:r>
          </w:p>
          <w:p w14:paraId="0266BDFC" w14:textId="77777777" w:rsidR="00532AE6" w:rsidRPr="00B7315D" w:rsidRDefault="00B7315D">
            <w:pPr>
              <w:pStyle w:val="NumPar1"/>
              <w:numPr>
                <w:ilvl w:val="0"/>
                <w:numId w:val="0"/>
              </w:numPr>
              <w:rPr>
                <w:sz w:val="22"/>
              </w:rPr>
            </w:pPr>
            <w:r w:rsidRPr="00B7315D">
              <w:rPr>
                <w:sz w:val="22"/>
              </w:rPr>
              <w:t>Personeelsbonussen en andere beloningen worden geacht af te hangen van de nettowinst van de beleggingso</w:t>
            </w:r>
            <w:r w:rsidRPr="00B7315D">
              <w:rPr>
                <w:sz w:val="22"/>
              </w:rPr>
              <w:t>nderneming in het respectieve jaar indien de beide volgende voorwaarden zijn vervuld:</w:t>
            </w:r>
          </w:p>
          <w:p w14:paraId="3A931BAD" w14:textId="77777777" w:rsidR="00532AE6" w:rsidRPr="00B7315D" w:rsidRDefault="00B7315D">
            <w:pPr>
              <w:pStyle w:val="Point1letter"/>
              <w:numPr>
                <w:ilvl w:val="0"/>
                <w:numId w:val="0"/>
              </w:numPr>
              <w:ind w:left="634" w:hanging="567"/>
              <w:rPr>
                <w:sz w:val="22"/>
              </w:rPr>
            </w:pPr>
            <w:r w:rsidRPr="00B7315D">
              <w:rPr>
                <w:sz w:val="22"/>
              </w:rPr>
              <w:t>(h)</w:t>
            </w:r>
            <w:r w:rsidRPr="00B7315D">
              <w:rPr>
                <w:sz w:val="22"/>
              </w:rPr>
              <w:tab/>
              <w:t xml:space="preserve">de af te trekken personeelsbonussen of andere beloningen zijn al in het jaar voorafgaand aan de betaling aan werknemers betaald, of de betaling van </w:t>
            </w:r>
            <w:r w:rsidRPr="00B7315D">
              <w:rPr>
                <w:sz w:val="22"/>
              </w:rPr>
              <w:t>personeelsbonussen of andere beloningen aan werknemers zal geen invloed hebben op de kapitaalpositie van de onderneming in het jaar van betaling;</w:t>
            </w:r>
          </w:p>
          <w:p w14:paraId="38999F5B" w14:textId="77777777" w:rsidR="00532AE6" w:rsidRPr="00B7315D" w:rsidRDefault="00B7315D">
            <w:pPr>
              <w:pStyle w:val="Point1letter"/>
              <w:numPr>
                <w:ilvl w:val="0"/>
                <w:numId w:val="0"/>
              </w:numPr>
              <w:ind w:left="634" w:hanging="567"/>
              <w:rPr>
                <w:rFonts w:eastAsia="Times New Roman"/>
                <w:bCs/>
                <w:color w:val="000000" w:themeColor="text1"/>
                <w:sz w:val="22"/>
              </w:rPr>
            </w:pPr>
            <w:r w:rsidRPr="00B7315D">
              <w:rPr>
                <w:rFonts w:eastAsia="Times New Roman"/>
                <w:bCs/>
                <w:color w:val="000000" w:themeColor="text1"/>
                <w:sz w:val="22"/>
              </w:rPr>
              <w:t>(i)</w:t>
            </w:r>
            <w:r w:rsidRPr="00B7315D">
              <w:rPr>
                <w:rFonts w:eastAsia="Times New Roman"/>
                <w:bCs/>
                <w:color w:val="000000" w:themeColor="text1"/>
                <w:sz w:val="22"/>
              </w:rPr>
              <w:tab/>
            </w:r>
            <w:r w:rsidRPr="00B7315D">
              <w:rPr>
                <w:sz w:val="22"/>
              </w:rPr>
              <w:t>met betrekking tot het lopende jaar en toekomstige jaren is de onderneming alleen verplicht verdere bonuss</w:t>
            </w:r>
            <w:r w:rsidRPr="00B7315D">
              <w:rPr>
                <w:sz w:val="22"/>
              </w:rPr>
              <w:t>en of andere betalingen in de vorm van een beloning toe te kennen of toe wijzen indien zij in dat jaar een nettowinst behaalt.</w:t>
            </w:r>
          </w:p>
        </w:tc>
      </w:tr>
      <w:tr w:rsidR="00532AE6" w:rsidRPr="00B7315D" w14:paraId="5C4506E9" w14:textId="77777777">
        <w:tc>
          <w:tcPr>
            <w:tcW w:w="1129" w:type="dxa"/>
          </w:tcPr>
          <w:p w14:paraId="5D2BD841"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0070</w:t>
            </w:r>
          </w:p>
        </w:tc>
        <w:tc>
          <w:tcPr>
            <w:tcW w:w="7620" w:type="dxa"/>
          </w:tcPr>
          <w:p w14:paraId="76140EB3"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Deelnemingen van werknemers, directeuren en vennoten in nettowinst</w:t>
            </w:r>
          </w:p>
          <w:p w14:paraId="7A84E81A"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lastRenderedPageBreak/>
              <w:t>Artikel 13, lid 4, punt b), van Verordening (EU) 201</w:t>
            </w:r>
            <w:r w:rsidRPr="00B7315D">
              <w:rPr>
                <w:rFonts w:ascii="Times New Roman" w:hAnsi="Times New Roman"/>
                <w:bCs/>
                <w:color w:val="000000" w:themeColor="text1"/>
              </w:rPr>
              <w:t>9/2033</w:t>
            </w:r>
          </w:p>
          <w:p w14:paraId="57C9300B"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rPr>
              <w:t>De winstdeelnemingen van werknemers, directeuren en vennoten worden berekend op basis van de nettowinst.</w:t>
            </w:r>
          </w:p>
        </w:tc>
      </w:tr>
      <w:tr w:rsidR="00532AE6" w:rsidRPr="00B7315D" w14:paraId="205E5410" w14:textId="77777777">
        <w:tc>
          <w:tcPr>
            <w:tcW w:w="1129" w:type="dxa"/>
          </w:tcPr>
          <w:p w14:paraId="5F270E95"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lastRenderedPageBreak/>
              <w:t>0080</w:t>
            </w:r>
          </w:p>
        </w:tc>
        <w:tc>
          <w:tcPr>
            <w:tcW w:w="7620" w:type="dxa"/>
          </w:tcPr>
          <w:p w14:paraId="78674038"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Andere discretionaire betalingen van winst en variabele beloningen</w:t>
            </w:r>
          </w:p>
          <w:p w14:paraId="2C17993C"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Artikel 13, lid 4, punt c), van Verordening (EU) 2019/2033</w:t>
            </w:r>
          </w:p>
        </w:tc>
      </w:tr>
      <w:tr w:rsidR="00532AE6" w:rsidRPr="00B7315D" w14:paraId="3AECA3BE" w14:textId="77777777">
        <w:tc>
          <w:tcPr>
            <w:tcW w:w="1129" w:type="dxa"/>
          </w:tcPr>
          <w:p w14:paraId="5DCBA54E"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0090</w:t>
            </w:r>
          </w:p>
        </w:tc>
        <w:tc>
          <w:tcPr>
            <w:tcW w:w="7620" w:type="dxa"/>
          </w:tcPr>
          <w:p w14:paraId="689183B7"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Gedeelde te betalen provisies en vergoedingen</w:t>
            </w:r>
          </w:p>
          <w:p w14:paraId="3176F047"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Artikel 13, lid 4, punt d), van Verordening (EU) 2019/2033</w:t>
            </w:r>
          </w:p>
        </w:tc>
      </w:tr>
      <w:tr w:rsidR="00532AE6" w:rsidRPr="00B7315D" w14:paraId="3FBB3140" w14:textId="77777777">
        <w:tc>
          <w:tcPr>
            <w:tcW w:w="1129" w:type="dxa"/>
          </w:tcPr>
          <w:p w14:paraId="23528299"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0100</w:t>
            </w:r>
          </w:p>
        </w:tc>
        <w:tc>
          <w:tcPr>
            <w:tcW w:w="7620" w:type="dxa"/>
          </w:tcPr>
          <w:p w14:paraId="2F68E181"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Aan CTP’s betaalde vergoedingen, courtage en andere lasten die aan cliënten worden doorberekend</w:t>
            </w:r>
          </w:p>
          <w:p w14:paraId="659FD4FF"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rPr>
              <w:t xml:space="preserve">Voor de uitvoering, </w:t>
            </w:r>
            <w:r w:rsidRPr="00B7315D">
              <w:rPr>
                <w:rFonts w:ascii="Times New Roman" w:hAnsi="Times New Roman"/>
              </w:rPr>
              <w:t>registratie of clearing van transacties aan centrale tegenpartijen, beurzen en andere handelsplatformen en intermediaire makelaars betaalde vergoedingen, courtage en andere lasten, alleen wanneer deze direct worden doorgegeven en doorberekend aan cliënten.</w:t>
            </w:r>
            <w:r w:rsidRPr="00B7315D">
              <w:rPr>
                <w:rFonts w:ascii="Times New Roman" w:hAnsi="Times New Roman"/>
              </w:rPr>
              <w:t xml:space="preserve"> Hierin zijn niet begrepen vergoedingen en andere lasten om het lidmaatschap te behouden of om anderszins te voldoen aan verliesdelende financiële verplichtingen tegenover centrale tegenpartijen, beurzen en andere handelsplatformen.</w:t>
            </w:r>
            <w:r w:rsidRPr="00B7315D">
              <w:rPr>
                <w:rFonts w:ascii="Times New Roman" w:hAnsi="Times New Roman"/>
                <w:bCs/>
                <w:color w:val="000000" w:themeColor="text1"/>
              </w:rPr>
              <w:t xml:space="preserve"> </w:t>
            </w:r>
          </w:p>
        </w:tc>
      </w:tr>
      <w:tr w:rsidR="00532AE6" w:rsidRPr="00B7315D" w14:paraId="1AD029FF" w14:textId="77777777">
        <w:tc>
          <w:tcPr>
            <w:tcW w:w="1129" w:type="dxa"/>
          </w:tcPr>
          <w:p w14:paraId="0B5D2C56"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0110</w:t>
            </w:r>
          </w:p>
        </w:tc>
        <w:tc>
          <w:tcPr>
            <w:tcW w:w="7620" w:type="dxa"/>
          </w:tcPr>
          <w:p w14:paraId="107A88AE"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Vergoedingen</w:t>
            </w:r>
            <w:r w:rsidRPr="00B7315D">
              <w:rPr>
                <w:rFonts w:ascii="Times New Roman" w:hAnsi="Times New Roman"/>
                <w:b/>
                <w:bCs/>
                <w:color w:val="000000" w:themeColor="text1"/>
                <w:u w:val="single"/>
              </w:rPr>
              <w:t xml:space="preserve"> aan verbonden agenten</w:t>
            </w:r>
          </w:p>
          <w:p w14:paraId="47DA3FD8"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rPr>
              <w:t>Artikel 13, lid 4, punt e), van Verordening (EU) 2019/2033</w:t>
            </w:r>
          </w:p>
        </w:tc>
      </w:tr>
      <w:tr w:rsidR="00532AE6" w:rsidRPr="00B7315D" w14:paraId="4BBC4784" w14:textId="77777777">
        <w:tc>
          <w:tcPr>
            <w:tcW w:w="1129" w:type="dxa"/>
          </w:tcPr>
          <w:p w14:paraId="3EE7DE06"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0130</w:t>
            </w:r>
          </w:p>
        </w:tc>
        <w:tc>
          <w:tcPr>
            <w:tcW w:w="7620" w:type="dxa"/>
          </w:tcPr>
          <w:p w14:paraId="603D6378"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Eenmalige kosten uit niet-reguliere activiteiten</w:t>
            </w:r>
          </w:p>
          <w:p w14:paraId="2E1DE3E3"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Artikel 13, lid 4, punt f), van Verordening (EU) 2019/2033</w:t>
            </w:r>
          </w:p>
        </w:tc>
      </w:tr>
      <w:tr w:rsidR="00532AE6" w:rsidRPr="00B7315D" w14:paraId="08E01F6F" w14:textId="77777777">
        <w:tc>
          <w:tcPr>
            <w:tcW w:w="1129" w:type="dxa"/>
          </w:tcPr>
          <w:p w14:paraId="11107ACF"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0140</w:t>
            </w:r>
          </w:p>
          <w:p w14:paraId="4044013C" w14:textId="77777777" w:rsidR="00532AE6" w:rsidRPr="00B7315D" w:rsidRDefault="00532AE6">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0BF030D1" w14:textId="77777777" w:rsidR="00532AE6" w:rsidRPr="00B7315D" w:rsidRDefault="00B7315D">
            <w:pPr>
              <w:spacing w:after="120" w:line="240" w:lineRule="auto"/>
              <w:jc w:val="both"/>
              <w:rPr>
                <w:rFonts w:ascii="Times New Roman" w:eastAsia="Times New Roman" w:hAnsi="Times New Roman" w:cs="Times New Roman"/>
                <w:bCs/>
                <w:color w:val="000000" w:themeColor="text1"/>
                <w:u w:val="single"/>
              </w:rPr>
            </w:pPr>
            <w:r w:rsidRPr="00B7315D">
              <w:rPr>
                <w:rFonts w:ascii="Times New Roman" w:hAnsi="Times New Roman"/>
                <w:b/>
                <w:bCs/>
                <w:color w:val="000000" w:themeColor="text1"/>
                <w:u w:val="single"/>
              </w:rPr>
              <w:t>(-) Uitgaven voor belastingen</w:t>
            </w:r>
          </w:p>
          <w:p w14:paraId="188D897C" w14:textId="77777777" w:rsidR="00532AE6" w:rsidRPr="00B7315D" w:rsidRDefault="00B7315D">
            <w:pPr>
              <w:pStyle w:val="Point1letter"/>
              <w:numPr>
                <w:ilvl w:val="0"/>
                <w:numId w:val="0"/>
              </w:numPr>
              <w:rPr>
                <w:rFonts w:eastAsia="Times New Roman"/>
                <w:color w:val="000000" w:themeColor="text1"/>
                <w:sz w:val="22"/>
              </w:rPr>
            </w:pPr>
            <w:r w:rsidRPr="00B7315D">
              <w:rPr>
                <w:sz w:val="22"/>
              </w:rPr>
              <w:t>Uitgaven voor belas</w:t>
            </w:r>
            <w:r w:rsidRPr="00B7315D">
              <w:rPr>
                <w:sz w:val="22"/>
              </w:rPr>
              <w:t>tingen wanneer die verschuldigd worden voor de jaarwinst van de beleggingsonderneming.</w:t>
            </w:r>
          </w:p>
        </w:tc>
      </w:tr>
      <w:tr w:rsidR="00532AE6" w:rsidRPr="00B7315D" w14:paraId="38995449" w14:textId="77777777">
        <w:tc>
          <w:tcPr>
            <w:tcW w:w="1129" w:type="dxa"/>
          </w:tcPr>
          <w:p w14:paraId="1922A072"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0150</w:t>
            </w:r>
          </w:p>
        </w:tc>
        <w:tc>
          <w:tcPr>
            <w:tcW w:w="7620" w:type="dxa"/>
          </w:tcPr>
          <w:p w14:paraId="6071F4F4"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Verliezen door handel voor eigen rekening in financiële instrumenten</w:t>
            </w:r>
          </w:p>
          <w:p w14:paraId="0ECF0FAF"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(Spreekt voor zich.)</w:t>
            </w:r>
          </w:p>
        </w:tc>
      </w:tr>
      <w:tr w:rsidR="00532AE6" w:rsidRPr="00B7315D" w14:paraId="3AACDF61" w14:textId="77777777">
        <w:tc>
          <w:tcPr>
            <w:tcW w:w="1129" w:type="dxa"/>
          </w:tcPr>
          <w:p w14:paraId="6D4358B2"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0160</w:t>
            </w:r>
          </w:p>
        </w:tc>
        <w:tc>
          <w:tcPr>
            <w:tcW w:w="7620" w:type="dxa"/>
          </w:tcPr>
          <w:p w14:paraId="4BAE9F3F"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xml:space="preserve">(-) Contractuele overeenkomsten voor winst- en </w:t>
            </w:r>
            <w:r w:rsidRPr="00B7315D">
              <w:rPr>
                <w:rFonts w:ascii="Times New Roman" w:hAnsi="Times New Roman"/>
                <w:b/>
                <w:bCs/>
                <w:color w:val="000000" w:themeColor="text1"/>
                <w:u w:val="single"/>
              </w:rPr>
              <w:t>verliesafdracht</w:t>
            </w:r>
          </w:p>
          <w:p w14:paraId="05201406"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rPr>
              <w:t xml:space="preserve">Betalingen met betrekking tot contractuele overeenkomsten voor winst- en verliesafdracht waarbij de beleggingsonderneming verplicht is, na de opstelling van haar jaarrekening, haar jaarresultaat over te dragen aan de </w:t>
            </w:r>
            <w:r w:rsidRPr="00B7315D">
              <w:rPr>
                <w:rFonts w:ascii="Times New Roman" w:hAnsi="Times New Roman"/>
              </w:rPr>
              <w:t>moederonderneming.</w:t>
            </w:r>
          </w:p>
        </w:tc>
      </w:tr>
      <w:tr w:rsidR="00532AE6" w:rsidRPr="00B7315D" w14:paraId="76173657" w14:textId="77777777">
        <w:tc>
          <w:tcPr>
            <w:tcW w:w="1129" w:type="dxa"/>
          </w:tcPr>
          <w:p w14:paraId="150264BB"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0170</w:t>
            </w:r>
          </w:p>
        </w:tc>
        <w:tc>
          <w:tcPr>
            <w:tcW w:w="7620" w:type="dxa"/>
          </w:tcPr>
          <w:p w14:paraId="17DF2145"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Uitgaven voor grondstoffen</w:t>
            </w:r>
          </w:p>
          <w:p w14:paraId="660C048B"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bookmarkStart w:id="30" w:name="_Toc38271703"/>
            <w:r w:rsidRPr="00B7315D">
              <w:rPr>
                <w:rFonts w:ascii="Times New Roman" w:hAnsi="Times New Roman"/>
                <w:bCs/>
                <w:color w:val="000000" w:themeColor="text1"/>
              </w:rPr>
              <w:t>Handelaren in grondstoffen en emissierechten kunnen uitgaven voor grondstoffen in verband met een beleggingsonderneming die handelt in derivaten van de onderliggende grondstof, in mindering brengen.</w:t>
            </w:r>
            <w:bookmarkEnd w:id="30"/>
          </w:p>
        </w:tc>
      </w:tr>
      <w:tr w:rsidR="00532AE6" w:rsidRPr="00B7315D" w14:paraId="35D1DA45" w14:textId="77777777">
        <w:tc>
          <w:tcPr>
            <w:tcW w:w="1129" w:type="dxa"/>
          </w:tcPr>
          <w:p w14:paraId="738C8C62"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0180</w:t>
            </w:r>
          </w:p>
        </w:tc>
        <w:tc>
          <w:tcPr>
            <w:tcW w:w="7620" w:type="dxa"/>
          </w:tcPr>
          <w:p w14:paraId="71F27147"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Betalingen aan een fonds voor algemene bankrisico’s</w:t>
            </w:r>
          </w:p>
          <w:p w14:paraId="7CF09D5C"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Cs/>
              </w:rPr>
              <w:t>Betalingen aan een fonds voor algemene bankrisico’s overeenkomstig artikel 26, lid 1, punt f), van Verordening (EU) nr. 575/2013;</w:t>
            </w:r>
          </w:p>
        </w:tc>
      </w:tr>
      <w:tr w:rsidR="00532AE6" w:rsidRPr="00B7315D" w14:paraId="47C1C32A" w14:textId="77777777">
        <w:tc>
          <w:tcPr>
            <w:tcW w:w="1129" w:type="dxa"/>
          </w:tcPr>
          <w:p w14:paraId="4EAF48AE"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0190</w:t>
            </w:r>
          </w:p>
        </w:tc>
        <w:tc>
          <w:tcPr>
            <w:tcW w:w="7620" w:type="dxa"/>
          </w:tcPr>
          <w:p w14:paraId="35841D38"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 xml:space="preserve">(-) Uitgaven voor reeds van het eigen vermogen afgetrokken </w:t>
            </w:r>
            <w:r w:rsidRPr="00B7315D">
              <w:rPr>
                <w:rFonts w:ascii="Times New Roman" w:hAnsi="Times New Roman"/>
                <w:b/>
                <w:bCs/>
                <w:color w:val="000000" w:themeColor="text1"/>
                <w:u w:val="single"/>
              </w:rPr>
              <w:t>posten</w:t>
            </w:r>
          </w:p>
          <w:p w14:paraId="2861B74D"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Cs/>
              </w:rPr>
              <w:t>Uitgaven met betrekking tot posten die overeenkomstig artikel 36, lid 1, van Verordening (EU) nr. 575/2013 reeds van het eigen vermogen zijn afgetrokken.</w:t>
            </w:r>
          </w:p>
        </w:tc>
      </w:tr>
      <w:tr w:rsidR="00532AE6" w:rsidRPr="00B7315D" w14:paraId="6A6A7759" w14:textId="77777777">
        <w:tc>
          <w:tcPr>
            <w:tcW w:w="1129" w:type="dxa"/>
          </w:tcPr>
          <w:p w14:paraId="6F68F2F4"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0200</w:t>
            </w:r>
          </w:p>
        </w:tc>
        <w:tc>
          <w:tcPr>
            <w:tcW w:w="7620" w:type="dxa"/>
          </w:tcPr>
          <w:p w14:paraId="283D6C89"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Projectie vaste kosten van het lopende jaar</w:t>
            </w:r>
          </w:p>
          <w:p w14:paraId="57797AD7"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 xml:space="preserve">De projectie van de vaste kosten voor het </w:t>
            </w:r>
            <w:r w:rsidRPr="00B7315D">
              <w:rPr>
                <w:rFonts w:ascii="Times New Roman" w:hAnsi="Times New Roman"/>
                <w:bCs/>
                <w:color w:val="000000" w:themeColor="text1"/>
              </w:rPr>
              <w:t>lopende jaar na winstuitkering.</w:t>
            </w:r>
          </w:p>
        </w:tc>
      </w:tr>
      <w:tr w:rsidR="00532AE6" w:rsidRPr="00B7315D" w14:paraId="2331E4D0" w14:textId="77777777">
        <w:tc>
          <w:tcPr>
            <w:tcW w:w="1129" w:type="dxa"/>
          </w:tcPr>
          <w:p w14:paraId="11718B18"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lastRenderedPageBreak/>
              <w:t>0210</w:t>
            </w:r>
          </w:p>
        </w:tc>
        <w:tc>
          <w:tcPr>
            <w:tcW w:w="7620" w:type="dxa"/>
          </w:tcPr>
          <w:p w14:paraId="4BF1D190" w14:textId="77777777" w:rsidR="00532AE6" w:rsidRPr="00B7315D" w:rsidRDefault="00B7315D">
            <w:pPr>
              <w:spacing w:after="120" w:line="240" w:lineRule="auto"/>
              <w:jc w:val="both"/>
              <w:rPr>
                <w:rFonts w:ascii="Times New Roman" w:eastAsia="Times New Roman" w:hAnsi="Times New Roman" w:cs="Times New Roman"/>
                <w:b/>
                <w:bCs/>
                <w:color w:val="000000" w:themeColor="text1"/>
                <w:u w:val="single"/>
              </w:rPr>
            </w:pPr>
            <w:r w:rsidRPr="00B7315D">
              <w:rPr>
                <w:rFonts w:ascii="Times New Roman" w:hAnsi="Times New Roman"/>
                <w:b/>
                <w:bCs/>
                <w:color w:val="000000" w:themeColor="text1"/>
                <w:u w:val="single"/>
              </w:rPr>
              <w:t>Mutatie vaste kosten (%)</w:t>
            </w:r>
          </w:p>
          <w:p w14:paraId="170163D9"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Het bedrag wordt gerapporteerd als de absolute waarde van:</w:t>
            </w:r>
          </w:p>
          <w:p w14:paraId="2B6029D7" w14:textId="77777777" w:rsidR="00532AE6" w:rsidRPr="00B7315D" w:rsidRDefault="00B7315D">
            <w:pPr>
              <w:spacing w:after="120" w:line="240" w:lineRule="auto"/>
              <w:jc w:val="both"/>
              <w:rPr>
                <w:rFonts w:ascii="Times New Roman" w:eastAsia="Times New Roman" w:hAnsi="Times New Roman" w:cs="Times New Roman"/>
                <w:bCs/>
                <w:color w:val="000000" w:themeColor="text1"/>
              </w:rPr>
            </w:pPr>
            <w:r w:rsidRPr="00B7315D">
              <w:rPr>
                <w:rFonts w:ascii="Times New Roman" w:hAnsi="Times New Roman"/>
                <w:bCs/>
                <w:color w:val="000000" w:themeColor="text1"/>
              </w:rPr>
              <w:t>[(Vaste kosten lopende jaar) — (Projectie jaarlijkse vaste kosten voorgaande jaar)]/(Jaarlijkse vaste kosten voorgaande jaar)]</w:t>
            </w:r>
          </w:p>
        </w:tc>
      </w:tr>
    </w:tbl>
    <w:p w14:paraId="4C23D2E2" w14:textId="77777777" w:rsidR="00532AE6" w:rsidRPr="00B7315D" w:rsidRDefault="00532AE6">
      <w:pPr>
        <w:spacing w:after="120" w:line="240" w:lineRule="auto"/>
        <w:jc w:val="both"/>
        <w:rPr>
          <w:rFonts w:ascii="Times New Roman" w:eastAsia="Times New Roman" w:hAnsi="Times New Roman" w:cs="Times New Roman"/>
          <w:sz w:val="24"/>
          <w:szCs w:val="24"/>
          <w:lang w:eastAsia="de-DE"/>
        </w:rPr>
      </w:pPr>
    </w:p>
    <w:p w14:paraId="155E0158" w14:textId="77777777" w:rsidR="00532AE6" w:rsidRPr="00B7315D" w:rsidRDefault="00B7315D">
      <w:pPr>
        <w:pStyle w:val="Instructionsberschrift2"/>
        <w:ind w:left="357" w:hanging="357"/>
        <w:rPr>
          <w:rFonts w:ascii="Times New Roman" w:hAnsi="Times New Roman" w:cs="Times New Roman"/>
          <w:sz w:val="24"/>
          <w:u w:val="none"/>
        </w:rPr>
      </w:pPr>
      <w:bookmarkStart w:id="31" w:name="_Toc88041257"/>
      <w:r w:rsidRPr="00B7315D">
        <w:rPr>
          <w:rFonts w:ascii="Times New Roman" w:hAnsi="Times New Roman"/>
          <w:sz w:val="24"/>
          <w:u w:val="none"/>
        </w:rPr>
        <w:t>2. KL</w:t>
      </w:r>
      <w:r w:rsidRPr="00B7315D">
        <w:rPr>
          <w:rFonts w:ascii="Times New Roman" w:hAnsi="Times New Roman"/>
          <w:sz w:val="24"/>
          <w:u w:val="none"/>
        </w:rPr>
        <w:t>EINE EN NIET-VERWEVEN BELEGGINGSONDERNEMINGEN</w:t>
      </w:r>
      <w:bookmarkEnd w:id="31"/>
    </w:p>
    <w:p w14:paraId="52664D42" w14:textId="77777777" w:rsidR="00532AE6" w:rsidRPr="00B7315D" w:rsidRDefault="00B7315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473560875"/>
      <w:bookmarkStart w:id="33" w:name="_Toc7084160"/>
      <w:bookmarkStart w:id="34" w:name="_Toc88041258"/>
      <w:bookmarkStart w:id="35" w:name="_Toc308175823"/>
      <w:bookmarkStart w:id="36" w:name="_Toc360188327"/>
      <w:r w:rsidRPr="00B7315D">
        <w:rPr>
          <w:rFonts w:ascii="Times New Roman" w:hAnsi="Times New Roman"/>
          <w:sz w:val="24"/>
          <w:szCs w:val="24"/>
        </w:rPr>
        <w:t>2.1.</w:t>
      </w:r>
      <w:r w:rsidRPr="00B7315D">
        <w:rPr>
          <w:rFonts w:ascii="Times New Roman" w:hAnsi="Times New Roman"/>
          <w:sz w:val="24"/>
          <w:szCs w:val="24"/>
        </w:rPr>
        <w:tab/>
      </w:r>
      <w:r w:rsidRPr="00B7315D">
        <w:rPr>
          <w:rFonts w:ascii="Times New Roman" w:hAnsi="Times New Roman"/>
          <w:sz w:val="24"/>
          <w:szCs w:val="24"/>
          <w:u w:val="single"/>
        </w:rPr>
        <w:t xml:space="preserve">I </w:t>
      </w:r>
      <w:r w:rsidRPr="00B7315D">
        <w:rPr>
          <w:rFonts w:ascii="Times New Roman" w:hAnsi="Times New Roman"/>
          <w:sz w:val="24"/>
          <w:szCs w:val="24"/>
          <w:u w:val="single"/>
        </w:rPr>
        <w:t>05.00</w:t>
      </w:r>
      <w:r w:rsidRPr="00B7315D">
        <w:rPr>
          <w:rFonts w:ascii="Times New Roman" w:hAnsi="Times New Roman"/>
          <w:sz w:val="24"/>
          <w:szCs w:val="24"/>
          <w:u w:val="single"/>
        </w:rPr>
        <w:t xml:space="preserve"> — OMVANG ACTIVITEITEN — DREMPELTOETS (I 5)</w:t>
      </w:r>
      <w:bookmarkEnd w:id="32"/>
      <w:bookmarkEnd w:id="33"/>
      <w:bookmarkEnd w:id="34"/>
      <w:bookmarkEnd w:id="35"/>
      <w:bookmarkEnd w:id="36"/>
    </w:p>
    <w:p w14:paraId="39AEB0F9" w14:textId="77777777" w:rsidR="00532AE6" w:rsidRPr="00B7315D" w:rsidRDefault="00B7315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7" w:name="_Toc360188328"/>
      <w:bookmarkStart w:id="38" w:name="_Toc473560876"/>
      <w:bookmarkStart w:id="39" w:name="_Toc7084161"/>
      <w:bookmarkStart w:id="40" w:name="_Toc88041259"/>
      <w:r w:rsidRPr="00B7315D">
        <w:rPr>
          <w:rFonts w:ascii="Times New Roman" w:hAnsi="Times New Roman"/>
          <w:sz w:val="24"/>
          <w:szCs w:val="24"/>
        </w:rPr>
        <w:t>2.1.1.</w:t>
      </w:r>
      <w:bookmarkStart w:id="41" w:name="_Toc308175824"/>
      <w:r w:rsidRPr="00B7315D">
        <w:tab/>
      </w:r>
      <w:bookmarkEnd w:id="41"/>
      <w:r w:rsidRPr="00B7315D">
        <w:rPr>
          <w:rFonts w:ascii="Times New Roman" w:hAnsi="Times New Roman"/>
          <w:sz w:val="24"/>
          <w:szCs w:val="24"/>
          <w:u w:val="single"/>
        </w:rPr>
        <w:t>Instructies voor specifieke posities</w:t>
      </w:r>
      <w:bookmarkEnd w:id="37"/>
      <w:bookmarkEnd w:id="38"/>
      <w:bookmarkEnd w:id="39"/>
      <w:bookmarkEnd w:id="4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32AE6" w:rsidRPr="00B7315D" w14:paraId="6E6CA5F0" w14:textId="77777777">
        <w:tc>
          <w:tcPr>
            <w:tcW w:w="1129" w:type="dxa"/>
            <w:shd w:val="clear" w:color="auto" w:fill="D9D9D9"/>
          </w:tcPr>
          <w:p w14:paraId="7DC80BA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Rij</w:t>
            </w:r>
          </w:p>
        </w:tc>
        <w:tc>
          <w:tcPr>
            <w:tcW w:w="7620" w:type="dxa"/>
            <w:shd w:val="clear" w:color="auto" w:fill="D9D9D9"/>
          </w:tcPr>
          <w:p w14:paraId="7E75207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Verwijzingen naar wetgeving en instructies</w:t>
            </w:r>
          </w:p>
        </w:tc>
      </w:tr>
      <w:tr w:rsidR="00532AE6" w:rsidRPr="00B7315D" w14:paraId="6CD23B10" w14:textId="77777777">
        <w:tc>
          <w:tcPr>
            <w:tcW w:w="1129" w:type="dxa"/>
          </w:tcPr>
          <w:p w14:paraId="5926E77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0010</w:t>
            </w:r>
          </w:p>
        </w:tc>
        <w:tc>
          <w:tcPr>
            <w:tcW w:w="7620" w:type="dxa"/>
          </w:tcPr>
          <w:p w14:paraId="448B97A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
                <w:bCs/>
                <w:u w:val="single"/>
              </w:rPr>
              <w:t>(Gecombineerde) activa onder beheer (AUM)</w:t>
            </w:r>
          </w:p>
          <w:p w14:paraId="3A44C09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a), van Verordening (EU) 2019/2033</w:t>
            </w:r>
          </w:p>
          <w:p w14:paraId="7A9C8D0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Wanneer de rapporterende beleggingsonderneming deel uitmaakt van een groep, wordt de te rapporteren waarde, overeenkomstig artikel 12, lid 2, van Verordening (EU) 2019/2033, op gecombineerde basis </w:t>
            </w:r>
            <w:r w:rsidRPr="00B7315D">
              <w:rPr>
                <w:rFonts w:ascii="Times New Roman" w:hAnsi="Times New Roman"/>
                <w:bCs/>
              </w:rPr>
              <w:t>bepaald voor alle beleggingsondernemingen die deel uitmaken van een groep.</w:t>
            </w:r>
          </w:p>
          <w:p w14:paraId="62DA7C1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Beleggingsondernemingen nemen discretionaire en niet-discretionaire activa onder beheer op.</w:t>
            </w:r>
          </w:p>
          <w:p w14:paraId="72D83E1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Het gerapporteerde bedrag is het bedrag dat vóór toepassing van de betrokken coëfficiënte</w:t>
            </w:r>
            <w:r w:rsidRPr="00B7315D">
              <w:rPr>
                <w:rFonts w:ascii="Times New Roman" w:hAnsi="Times New Roman"/>
                <w:bCs/>
              </w:rPr>
              <w:t>n bij de berekening van K-factoren zou worden gebruikt.</w:t>
            </w:r>
          </w:p>
        </w:tc>
      </w:tr>
      <w:tr w:rsidR="00532AE6" w:rsidRPr="00B7315D" w14:paraId="7C1B94C4" w14:textId="77777777">
        <w:tc>
          <w:tcPr>
            <w:tcW w:w="1129" w:type="dxa"/>
          </w:tcPr>
          <w:p w14:paraId="5830BED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0020</w:t>
            </w:r>
          </w:p>
        </w:tc>
        <w:tc>
          <w:tcPr>
            <w:tcW w:w="7620" w:type="dxa"/>
          </w:tcPr>
          <w:p w14:paraId="6115F27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
                <w:bCs/>
                <w:u w:val="single"/>
              </w:rPr>
              <w:t>(Gecombineerde) verwerkte orders van cliënten — Contante transacties</w:t>
            </w:r>
          </w:p>
          <w:p w14:paraId="2204314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b), i), van Verordening (EU) 2019/2033</w:t>
            </w:r>
          </w:p>
          <w:p w14:paraId="15E2328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Wanneer de rapporterende </w:t>
            </w:r>
            <w:r w:rsidRPr="00B7315D">
              <w:rPr>
                <w:rFonts w:ascii="Times New Roman" w:hAnsi="Times New Roman"/>
                <w:bCs/>
              </w:rPr>
              <w:t>beleggingsonderneming deel uitmaakt van een groep, wordt de te rapporteren waarde, overeenkomstig artikel 12, lid 2, van Verordening (EU) 2019/2033, op gecombineerde basis bepaald voor alle beleggingsondernemingen die deel uitmaken van een groep.</w:t>
            </w:r>
          </w:p>
          <w:p w14:paraId="21BA1DF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Het gerap</w:t>
            </w:r>
            <w:r w:rsidRPr="00B7315D">
              <w:rPr>
                <w:rFonts w:ascii="Times New Roman" w:hAnsi="Times New Roman"/>
                <w:bCs/>
              </w:rPr>
              <w:t>porteerde bedrag is het bedrag dat vóór toepassing van de betrokken coëfficiënten bij de berekening van K-factoren zou worden gebruikt.</w:t>
            </w:r>
          </w:p>
        </w:tc>
      </w:tr>
      <w:tr w:rsidR="00532AE6" w:rsidRPr="00B7315D" w14:paraId="36A27E8B" w14:textId="77777777">
        <w:tc>
          <w:tcPr>
            <w:tcW w:w="1129" w:type="dxa"/>
          </w:tcPr>
          <w:p w14:paraId="49272AD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0030</w:t>
            </w:r>
          </w:p>
        </w:tc>
        <w:tc>
          <w:tcPr>
            <w:tcW w:w="7620" w:type="dxa"/>
          </w:tcPr>
          <w:p w14:paraId="7EA2B1CC"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
                <w:bCs/>
                <w:u w:val="single"/>
              </w:rPr>
              <w:t>(Gecombineerde) verwerkte orders van cliënten — Derivaten</w:t>
            </w:r>
          </w:p>
          <w:p w14:paraId="428BD47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b), i), van Verordening (EU) 201</w:t>
            </w:r>
            <w:r w:rsidRPr="00B7315D">
              <w:rPr>
                <w:rFonts w:ascii="Times New Roman" w:hAnsi="Times New Roman"/>
                <w:bCs/>
              </w:rPr>
              <w:t>9/2033</w:t>
            </w:r>
          </w:p>
          <w:p w14:paraId="096204A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Wanneer de rapporterende beleggingsonderneming deel uitmaakt van een groep, wordt de te rapporteren waarde, overeenkomstig artikel 12, lid 2, van Verordening (EU) 2019/2033, op gecombineerde basis bepaald voor alle beleggingsondernemingen die deel u</w:t>
            </w:r>
            <w:r w:rsidRPr="00B7315D">
              <w:rPr>
                <w:rFonts w:ascii="Times New Roman" w:hAnsi="Times New Roman"/>
                <w:bCs/>
              </w:rPr>
              <w:t>itmaken van een groep.</w:t>
            </w:r>
          </w:p>
          <w:p w14:paraId="1058B84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Het gerapporteerde bedrag is het bedrag dat vóór toepassing van de betrokken coëfficiënten bij de berekening van K-factoren zou worden gebruikt.</w:t>
            </w:r>
          </w:p>
        </w:tc>
      </w:tr>
      <w:tr w:rsidR="00532AE6" w:rsidRPr="00B7315D" w14:paraId="68BEE6F8" w14:textId="77777777">
        <w:tc>
          <w:tcPr>
            <w:tcW w:w="1129" w:type="dxa"/>
          </w:tcPr>
          <w:p w14:paraId="12DD72E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0040</w:t>
            </w:r>
          </w:p>
        </w:tc>
        <w:tc>
          <w:tcPr>
            <w:tcW w:w="7620" w:type="dxa"/>
          </w:tcPr>
          <w:p w14:paraId="548E3B5F"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Activa onder bewaring en beheer</w:t>
            </w:r>
          </w:p>
          <w:p w14:paraId="6F88867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c), van Verordening (EU) 2</w:t>
            </w:r>
            <w:r w:rsidRPr="00B7315D">
              <w:rPr>
                <w:rFonts w:ascii="Times New Roman" w:hAnsi="Times New Roman"/>
                <w:bCs/>
              </w:rPr>
              <w:t>019/2033</w:t>
            </w:r>
          </w:p>
          <w:p w14:paraId="639BBD6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Het gerapporteerde bedrag is het bedrag dat vóór toepassing van de betrokken coëfficiënten bij de berekening van K-factoren zou worden gebruikt.</w:t>
            </w:r>
          </w:p>
        </w:tc>
      </w:tr>
      <w:tr w:rsidR="00532AE6" w:rsidRPr="00B7315D" w14:paraId="54E1B26E" w14:textId="77777777">
        <w:tc>
          <w:tcPr>
            <w:tcW w:w="1129" w:type="dxa"/>
          </w:tcPr>
          <w:p w14:paraId="7EAFB94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0050</w:t>
            </w:r>
          </w:p>
        </w:tc>
        <w:tc>
          <w:tcPr>
            <w:tcW w:w="7620" w:type="dxa"/>
          </w:tcPr>
          <w:p w14:paraId="36636B9A"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Aangehouden gelden cliënten</w:t>
            </w:r>
          </w:p>
          <w:p w14:paraId="1F23BD3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Artikel 12, lid 1, punt d), van Verordening (EU) 2019/2033</w:t>
            </w:r>
          </w:p>
          <w:p w14:paraId="391E279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Het </w:t>
            </w:r>
            <w:r w:rsidRPr="00B7315D">
              <w:rPr>
                <w:rFonts w:ascii="Times New Roman" w:hAnsi="Times New Roman"/>
                <w:bCs/>
              </w:rPr>
              <w:t>gerapporteerde bedrag is het bedrag dat vóór toepassing van de betrokken coëfficiënten bij de berekening van K-factoren zou worden gebruikt.</w:t>
            </w:r>
          </w:p>
        </w:tc>
      </w:tr>
      <w:tr w:rsidR="00532AE6" w:rsidRPr="00B7315D" w14:paraId="7B1BEAC7" w14:textId="77777777">
        <w:tc>
          <w:tcPr>
            <w:tcW w:w="1129" w:type="dxa"/>
          </w:tcPr>
          <w:p w14:paraId="7187195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0060</w:t>
            </w:r>
          </w:p>
        </w:tc>
        <w:tc>
          <w:tcPr>
            <w:tcW w:w="7620" w:type="dxa"/>
          </w:tcPr>
          <w:p w14:paraId="66E4610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Dagelijkse transactiestroom — Contante transacties en derivatentransacties</w:t>
            </w:r>
          </w:p>
          <w:p w14:paraId="626BCA9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12, lid 1, punt e), van </w:t>
            </w:r>
            <w:r w:rsidRPr="00B7315D">
              <w:rPr>
                <w:rFonts w:ascii="Times New Roman" w:hAnsi="Times New Roman"/>
                <w:bCs/>
              </w:rPr>
              <w:t>Verordening (EU) 2019/2033</w:t>
            </w:r>
          </w:p>
          <w:p w14:paraId="5C49179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Het gerapporteerde bedrag is het bedrag dat vóór toepassing van de betrokken coëfficiënten bij de berekening van K-factoren zou worden gebruikt.</w:t>
            </w:r>
          </w:p>
        </w:tc>
      </w:tr>
      <w:tr w:rsidR="00532AE6" w:rsidRPr="00B7315D" w14:paraId="3E9768B4" w14:textId="77777777">
        <w:tc>
          <w:tcPr>
            <w:tcW w:w="1129" w:type="dxa"/>
          </w:tcPr>
          <w:p w14:paraId="790AC11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0070</w:t>
            </w:r>
          </w:p>
        </w:tc>
        <w:tc>
          <w:tcPr>
            <w:tcW w:w="7620" w:type="dxa"/>
          </w:tcPr>
          <w:p w14:paraId="2C9E5F4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Nettopositierisico</w:t>
            </w:r>
          </w:p>
          <w:p w14:paraId="52BB05F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f), van Verordening (EU) 2019/2033</w:t>
            </w:r>
          </w:p>
          <w:p w14:paraId="6BE1556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Het gerapporteerde bedrag is het bedrag dat vóór toepassing van de betrokken coëfficiënten bij de berekening van K-factoren zou worden gebruikt.</w:t>
            </w:r>
          </w:p>
        </w:tc>
      </w:tr>
      <w:tr w:rsidR="00532AE6" w:rsidRPr="00B7315D" w14:paraId="08992400" w14:textId="77777777">
        <w:tc>
          <w:tcPr>
            <w:tcW w:w="1129" w:type="dxa"/>
          </w:tcPr>
          <w:p w14:paraId="5198921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0080</w:t>
            </w:r>
          </w:p>
        </w:tc>
        <w:tc>
          <w:tcPr>
            <w:tcW w:w="7620" w:type="dxa"/>
          </w:tcPr>
          <w:p w14:paraId="652947E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Verleende clearingmarge</w:t>
            </w:r>
          </w:p>
          <w:p w14:paraId="7BB7868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f), van Verordening (EU) 2019/2033</w:t>
            </w:r>
          </w:p>
          <w:p w14:paraId="4AB12304" w14:textId="77777777" w:rsidR="00532AE6" w:rsidRPr="00B7315D" w:rsidRDefault="00B7315D">
            <w:pPr>
              <w:spacing w:after="120" w:line="240" w:lineRule="auto"/>
              <w:jc w:val="both"/>
              <w:rPr>
                <w:rFonts w:ascii="Times New Roman" w:eastAsia="Times New Roman" w:hAnsi="Times New Roman" w:cs="Times New Roman"/>
                <w:b/>
                <w:bCs/>
              </w:rPr>
            </w:pPr>
            <w:r w:rsidRPr="00B7315D">
              <w:rPr>
                <w:rFonts w:ascii="Times New Roman" w:hAnsi="Times New Roman"/>
                <w:bCs/>
              </w:rPr>
              <w:t>Het gerapporteerde bed</w:t>
            </w:r>
            <w:r w:rsidRPr="00B7315D">
              <w:rPr>
                <w:rFonts w:ascii="Times New Roman" w:hAnsi="Times New Roman"/>
                <w:bCs/>
              </w:rPr>
              <w:t>rag is het bedrag dat vóór toepassing van de betrokken coëfficiënten bij de berekening van K-factoren zou worden gebruikt.</w:t>
            </w:r>
          </w:p>
        </w:tc>
      </w:tr>
      <w:tr w:rsidR="00532AE6" w:rsidRPr="00B7315D" w14:paraId="44E9B493" w14:textId="77777777">
        <w:tc>
          <w:tcPr>
            <w:tcW w:w="1129" w:type="dxa"/>
          </w:tcPr>
          <w:p w14:paraId="7606DBC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0090</w:t>
            </w:r>
          </w:p>
        </w:tc>
        <w:tc>
          <w:tcPr>
            <w:tcW w:w="7620" w:type="dxa"/>
          </w:tcPr>
          <w:p w14:paraId="002A61F3"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Wanbetaling tegenpartij bij een transactie</w:t>
            </w:r>
          </w:p>
          <w:p w14:paraId="74FC561B"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g), van Verordening (EU) 2019/2033</w:t>
            </w:r>
          </w:p>
          <w:p w14:paraId="0F8037C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Het gerapporteerde bedrag</w:t>
            </w:r>
            <w:r w:rsidRPr="00B7315D">
              <w:rPr>
                <w:rFonts w:ascii="Times New Roman" w:hAnsi="Times New Roman"/>
                <w:bCs/>
              </w:rPr>
              <w:t xml:space="preserve"> is het bedrag dat vóór toepassing van de betrokken coëfficiënten bij de berekening van K-factoren zou worden gebruikt.</w:t>
            </w:r>
          </w:p>
        </w:tc>
      </w:tr>
      <w:tr w:rsidR="00532AE6" w:rsidRPr="00B7315D" w14:paraId="3B0B7B0B" w14:textId="77777777">
        <w:tc>
          <w:tcPr>
            <w:tcW w:w="1129" w:type="dxa"/>
          </w:tcPr>
          <w:p w14:paraId="54C143F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0100</w:t>
            </w:r>
          </w:p>
        </w:tc>
        <w:tc>
          <w:tcPr>
            <w:tcW w:w="7620" w:type="dxa"/>
          </w:tcPr>
          <w:p w14:paraId="15594F6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
                <w:bCs/>
                <w:u w:val="single"/>
              </w:rPr>
              <w:t>(Gecombineerde) posten binnen en buiten de balanstelling</w:t>
            </w:r>
          </w:p>
          <w:p w14:paraId="1E47A86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h), van Verordening (EU) 2019/2033</w:t>
            </w:r>
          </w:p>
          <w:p w14:paraId="3E14B25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Wanneer de </w:t>
            </w:r>
            <w:r w:rsidRPr="00B7315D">
              <w:rPr>
                <w:rFonts w:ascii="Times New Roman" w:hAnsi="Times New Roman"/>
                <w:bCs/>
              </w:rPr>
              <w:t>rapporterende beleggingsonderneming deel uitmaakt van een groep, wordt de te rapporteren waarde, overeenkomstig artikel 12, lid 2, van Verordening (EU) 2019/2033, op gecombineerde basis bepaald voor alle beleggingsondernemingen die deel uitmaken van een gr</w:t>
            </w:r>
            <w:r w:rsidRPr="00B7315D">
              <w:rPr>
                <w:rFonts w:ascii="Times New Roman" w:hAnsi="Times New Roman"/>
                <w:bCs/>
              </w:rPr>
              <w:t>oep.</w:t>
            </w:r>
          </w:p>
        </w:tc>
      </w:tr>
      <w:tr w:rsidR="00532AE6" w:rsidRPr="00B7315D" w14:paraId="6909B92A" w14:textId="77777777">
        <w:tc>
          <w:tcPr>
            <w:tcW w:w="1129" w:type="dxa"/>
          </w:tcPr>
          <w:p w14:paraId="427C25F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0110</w:t>
            </w:r>
          </w:p>
        </w:tc>
        <w:tc>
          <w:tcPr>
            <w:tcW w:w="7620" w:type="dxa"/>
          </w:tcPr>
          <w:p w14:paraId="2FCA68A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
                <w:bCs/>
                <w:u w:val="single"/>
              </w:rPr>
              <w:t>Gecombineerde totale jaarlijkse bruto-inkomsten</w:t>
            </w:r>
          </w:p>
          <w:p w14:paraId="031E81C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12, lid 1, punt i), van Verordening (EU) 2019/2033</w:t>
            </w:r>
          </w:p>
          <w:p w14:paraId="44665DD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Wanneer de rapporterende beleggingsonderneming deel uitmaakt van een groep, wordt de te rapporteren waarde, overeenkomstig artikel 12, lid</w:t>
            </w:r>
            <w:r w:rsidRPr="00B7315D">
              <w:rPr>
                <w:rFonts w:ascii="Times New Roman" w:hAnsi="Times New Roman"/>
                <w:bCs/>
              </w:rPr>
              <w:t xml:space="preserve"> 2, van Verordening (EU) 2019/2033, </w:t>
            </w:r>
            <w:r w:rsidRPr="00B7315D">
              <w:rPr>
                <w:rFonts w:ascii="Times New Roman" w:hAnsi="Times New Roman"/>
                <w:bCs/>
                <w:u w:val="single"/>
              </w:rPr>
              <w:t>op gecombineerde basis</w:t>
            </w:r>
            <w:r w:rsidRPr="00B7315D">
              <w:rPr>
                <w:rFonts w:ascii="Times New Roman" w:hAnsi="Times New Roman"/>
                <w:bCs/>
              </w:rPr>
              <w:t xml:space="preserve"> bepaald voor alle beleggingsondernemingen die deel uitmaken van een groep.</w:t>
            </w:r>
          </w:p>
          <w:p w14:paraId="262B5FD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De te rapporteren waarde is de som van rij 0120 en rij 0130.</w:t>
            </w:r>
          </w:p>
        </w:tc>
      </w:tr>
      <w:tr w:rsidR="00532AE6" w:rsidRPr="00B7315D" w14:paraId="15D4495B" w14:textId="77777777">
        <w:tc>
          <w:tcPr>
            <w:tcW w:w="1129" w:type="dxa"/>
          </w:tcPr>
          <w:p w14:paraId="3511613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0120</w:t>
            </w:r>
          </w:p>
        </w:tc>
        <w:tc>
          <w:tcPr>
            <w:tcW w:w="7620" w:type="dxa"/>
          </w:tcPr>
          <w:p w14:paraId="76CB567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Totale jaarlijkse bruto-inkomsten</w:t>
            </w:r>
          </w:p>
          <w:p w14:paraId="71C10B1D"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 xml:space="preserve">De waarde van de totale jaarlijkse bruto-inkomsten </w:t>
            </w:r>
            <w:r w:rsidRPr="00B7315D">
              <w:rPr>
                <w:rFonts w:ascii="Times New Roman" w:hAnsi="Times New Roman"/>
                <w:bCs/>
                <w:u w:val="single"/>
              </w:rPr>
              <w:t>met uitsluiting</w:t>
            </w:r>
            <w:r w:rsidRPr="00B7315D">
              <w:rPr>
                <w:rFonts w:ascii="Times New Roman" w:hAnsi="Times New Roman"/>
                <w:bCs/>
              </w:rPr>
              <w:t xml:space="preserve"> van de binnen de groep gegenereerde bruto-inkomsten overeenkomstig artikel 12, lid 2, van Verordening (EU) 2019/2033.</w:t>
            </w:r>
          </w:p>
        </w:tc>
      </w:tr>
      <w:tr w:rsidR="00532AE6" w:rsidRPr="00B7315D" w14:paraId="7AC7C45A" w14:textId="77777777">
        <w:tc>
          <w:tcPr>
            <w:tcW w:w="1129" w:type="dxa"/>
          </w:tcPr>
          <w:p w14:paraId="0C0ED83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0130</w:t>
            </w:r>
          </w:p>
        </w:tc>
        <w:tc>
          <w:tcPr>
            <w:tcW w:w="7620" w:type="dxa"/>
          </w:tcPr>
          <w:p w14:paraId="308A6E2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Intragroepsdeel van de jaarlijkse bruto-inkomsten</w:t>
            </w:r>
          </w:p>
          <w:p w14:paraId="49AFDD40"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De waarde v</w:t>
            </w:r>
            <w:r w:rsidRPr="00B7315D">
              <w:rPr>
                <w:rFonts w:ascii="Times New Roman" w:hAnsi="Times New Roman"/>
                <w:bCs/>
              </w:rPr>
              <w:t>an de binnen de beleggingsondernemingsgroep gegenereerde bruto-inkomsten overeenkomstig artikel 12, lid 2, van Verordening (EU) 2019/2033.</w:t>
            </w:r>
          </w:p>
        </w:tc>
      </w:tr>
      <w:tr w:rsidR="00532AE6" w:rsidRPr="00B7315D" w14:paraId="4999FE80" w14:textId="77777777">
        <w:tc>
          <w:tcPr>
            <w:tcW w:w="1129" w:type="dxa"/>
          </w:tcPr>
          <w:p w14:paraId="5CC4A44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0140</w:t>
            </w:r>
          </w:p>
        </w:tc>
        <w:tc>
          <w:tcPr>
            <w:tcW w:w="7620" w:type="dxa"/>
          </w:tcPr>
          <w:p w14:paraId="7EE04F06"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ontvangst en doorgifte van orders</w:t>
            </w:r>
          </w:p>
          <w:p w14:paraId="7E44A1B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54, lid 1, punt d), van Verordening (EU) </w:t>
            </w:r>
            <w:r w:rsidRPr="00B7315D">
              <w:rPr>
                <w:rFonts w:ascii="Times New Roman" w:hAnsi="Times New Roman"/>
                <w:bCs/>
              </w:rPr>
              <w:t>2019/2033</w:t>
            </w:r>
          </w:p>
          <w:p w14:paraId="29FC281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Artikel 4, lid 1, punt 2, van Richtlijn 2014/65/EU</w:t>
            </w:r>
          </w:p>
        </w:tc>
      </w:tr>
      <w:tr w:rsidR="00532AE6" w:rsidRPr="00B7315D" w14:paraId="0E41BE21" w14:textId="77777777">
        <w:tc>
          <w:tcPr>
            <w:tcW w:w="1129" w:type="dxa"/>
          </w:tcPr>
          <w:p w14:paraId="33C544A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0150</w:t>
            </w:r>
          </w:p>
        </w:tc>
        <w:tc>
          <w:tcPr>
            <w:tcW w:w="7620" w:type="dxa"/>
          </w:tcPr>
          <w:p w14:paraId="31E861F6"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de uitvoering van orders voor rekening van cliënten</w:t>
            </w:r>
          </w:p>
          <w:p w14:paraId="3B02EE4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7A7C512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4, lid 1, punt 2, van Richtlijn 2014/65/EU</w:t>
            </w:r>
          </w:p>
        </w:tc>
      </w:tr>
      <w:tr w:rsidR="00532AE6" w:rsidRPr="00B7315D" w14:paraId="1575E292" w14:textId="77777777">
        <w:tc>
          <w:tcPr>
            <w:tcW w:w="1129" w:type="dxa"/>
          </w:tcPr>
          <w:p w14:paraId="0B27A8C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016</w:t>
            </w:r>
            <w:r w:rsidRPr="00B7315D">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B824A90"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handel voor eigen rekening</w:t>
            </w:r>
          </w:p>
          <w:p w14:paraId="2073243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7C42459F"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2, van Richtlijn 2014/65/EU</w:t>
            </w:r>
          </w:p>
        </w:tc>
      </w:tr>
      <w:tr w:rsidR="00532AE6" w:rsidRPr="00B7315D" w14:paraId="2060CC0A" w14:textId="77777777">
        <w:tc>
          <w:tcPr>
            <w:tcW w:w="1129" w:type="dxa"/>
          </w:tcPr>
          <w:p w14:paraId="6681AD9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7EE512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vermogensbeheer</w:t>
            </w:r>
          </w:p>
          <w:p w14:paraId="2CAD0FD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54, lid 1, punt d), van </w:t>
            </w:r>
            <w:r w:rsidRPr="00B7315D">
              <w:rPr>
                <w:rFonts w:ascii="Times New Roman" w:hAnsi="Times New Roman"/>
                <w:bCs/>
              </w:rPr>
              <w:t>Verordening (EU) 2019/2033</w:t>
            </w:r>
          </w:p>
          <w:p w14:paraId="064501C0"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2, van Richtlijn 2014/65/EU</w:t>
            </w:r>
          </w:p>
        </w:tc>
      </w:tr>
      <w:tr w:rsidR="00532AE6" w:rsidRPr="00B7315D" w14:paraId="536D556C" w14:textId="77777777">
        <w:tc>
          <w:tcPr>
            <w:tcW w:w="1129" w:type="dxa"/>
          </w:tcPr>
          <w:p w14:paraId="3C80525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E3514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beleggingsadvies</w:t>
            </w:r>
          </w:p>
          <w:p w14:paraId="28B21F2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54621FDD"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2, van Richtlijn 2014/65/EU</w:t>
            </w:r>
          </w:p>
        </w:tc>
      </w:tr>
      <w:tr w:rsidR="00532AE6" w:rsidRPr="00B7315D" w14:paraId="64DCEDCA" w14:textId="77777777">
        <w:tc>
          <w:tcPr>
            <w:tcW w:w="1129" w:type="dxa"/>
          </w:tcPr>
          <w:p w14:paraId="2472FEE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A9C89F"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xml:space="preserve">Waarvan: </w:t>
            </w:r>
            <w:r w:rsidRPr="00B7315D">
              <w:rPr>
                <w:rFonts w:ascii="Times New Roman" w:hAnsi="Times New Roman"/>
                <w:b/>
                <w:bCs/>
                <w:u w:val="single"/>
              </w:rPr>
              <w:t>inkomsten uit het overnemen van financiële instrumenten of plaatsen van financiële instrumenten met plaatsingsgarantie</w:t>
            </w:r>
          </w:p>
          <w:p w14:paraId="0E825A6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39D2BE5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2, van Richtlijn 2014/65/EU</w:t>
            </w:r>
          </w:p>
        </w:tc>
      </w:tr>
      <w:tr w:rsidR="00532AE6" w:rsidRPr="00B7315D" w14:paraId="7DF6FF94" w14:textId="77777777">
        <w:tc>
          <w:tcPr>
            <w:tcW w:w="1129" w:type="dxa"/>
          </w:tcPr>
          <w:p w14:paraId="0A9B449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A2FF0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w:t>
            </w:r>
            <w:r w:rsidRPr="00B7315D">
              <w:rPr>
                <w:rFonts w:ascii="Times New Roman" w:hAnsi="Times New Roman"/>
                <w:b/>
                <w:bCs/>
                <w:u w:val="single"/>
              </w:rPr>
              <w:t>t het plaatsen zonder plaatsingsgarantie</w:t>
            </w:r>
          </w:p>
          <w:p w14:paraId="651F0696"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724C8E2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2, van Richtlijn 2014/65/EU</w:t>
            </w:r>
          </w:p>
        </w:tc>
      </w:tr>
      <w:tr w:rsidR="00532AE6" w:rsidRPr="00B7315D" w14:paraId="37338F35" w14:textId="77777777">
        <w:tc>
          <w:tcPr>
            <w:tcW w:w="1129" w:type="dxa"/>
          </w:tcPr>
          <w:p w14:paraId="07B7C9A1" w14:textId="77777777" w:rsidR="00532AE6" w:rsidRPr="00B7315D" w:rsidRDefault="00B7315D">
            <w:pPr>
              <w:keepNext/>
              <w:spacing w:after="120" w:line="240" w:lineRule="auto"/>
              <w:jc w:val="both"/>
              <w:rPr>
                <w:rFonts w:ascii="Times New Roman" w:eastAsia="Times New Roman" w:hAnsi="Times New Roman" w:cs="Times New Roman"/>
                <w:bCs/>
              </w:rPr>
            </w:pPr>
            <w:r w:rsidRPr="00B7315D">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BED884" w14:textId="77777777" w:rsidR="00532AE6" w:rsidRPr="00B7315D" w:rsidRDefault="00B7315D">
            <w:pPr>
              <w:keepNext/>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de exploitatie van een MTF</w:t>
            </w:r>
          </w:p>
          <w:p w14:paraId="24850E2E" w14:textId="77777777" w:rsidR="00532AE6" w:rsidRPr="00B7315D" w:rsidRDefault="00B7315D">
            <w:pPr>
              <w:keepNext/>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54, lid 1, punt d), van </w:t>
            </w:r>
            <w:r w:rsidRPr="00B7315D">
              <w:rPr>
                <w:rFonts w:ascii="Times New Roman" w:hAnsi="Times New Roman"/>
                <w:bCs/>
              </w:rPr>
              <w:t>Verordening (EU) 2019/2033</w:t>
            </w:r>
          </w:p>
          <w:p w14:paraId="1F7DC677" w14:textId="77777777" w:rsidR="00532AE6" w:rsidRPr="00B7315D" w:rsidRDefault="00B7315D">
            <w:pPr>
              <w:keepNext/>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2, van Richtlijn 2014/65/EU</w:t>
            </w:r>
          </w:p>
        </w:tc>
      </w:tr>
      <w:tr w:rsidR="00532AE6" w:rsidRPr="00B7315D" w14:paraId="61D33CFA" w14:textId="77777777">
        <w:tc>
          <w:tcPr>
            <w:tcW w:w="1129" w:type="dxa"/>
          </w:tcPr>
          <w:p w14:paraId="5009C523"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DCA43C"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de exploitatie van een OTF</w:t>
            </w:r>
          </w:p>
          <w:p w14:paraId="28956771"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06AE252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2, van Richtlijn 2014/65/EU</w:t>
            </w:r>
          </w:p>
        </w:tc>
      </w:tr>
      <w:tr w:rsidR="00532AE6" w:rsidRPr="00B7315D" w14:paraId="39C4C4D8" w14:textId="77777777">
        <w:tc>
          <w:tcPr>
            <w:tcW w:w="1129" w:type="dxa"/>
          </w:tcPr>
          <w:p w14:paraId="7FD7226D"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50A71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w:t>
            </w:r>
            <w:r w:rsidRPr="00B7315D">
              <w:rPr>
                <w:rFonts w:ascii="Times New Roman" w:hAnsi="Times New Roman"/>
                <w:b/>
                <w:bCs/>
                <w:u w:val="single"/>
              </w:rPr>
              <w:t>n: inkomsten uit bewaring en beheer van financiële instrumenten</w:t>
            </w:r>
          </w:p>
          <w:p w14:paraId="6027AC3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6D06D275"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3, van Richtlijn 2014/65/EU</w:t>
            </w:r>
          </w:p>
        </w:tc>
      </w:tr>
      <w:tr w:rsidR="00532AE6" w:rsidRPr="00B7315D" w14:paraId="4AB1479E" w14:textId="77777777">
        <w:tc>
          <w:tcPr>
            <w:tcW w:w="1129" w:type="dxa"/>
          </w:tcPr>
          <w:p w14:paraId="4CC0738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1BD7F6"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 xml:space="preserve">Waarvan: inkomsten uit toekenning van kredieten of leningen aan </w:t>
            </w:r>
            <w:r w:rsidRPr="00B7315D">
              <w:rPr>
                <w:rFonts w:ascii="Times New Roman" w:hAnsi="Times New Roman"/>
                <w:b/>
                <w:bCs/>
                <w:u w:val="single"/>
              </w:rPr>
              <w:t>beleggers</w:t>
            </w:r>
          </w:p>
          <w:p w14:paraId="5D389F6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6048249B"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3, van Richtlijn 2014/65/EU</w:t>
            </w:r>
          </w:p>
        </w:tc>
      </w:tr>
      <w:tr w:rsidR="00532AE6" w:rsidRPr="00B7315D" w14:paraId="5473CCF7" w14:textId="77777777">
        <w:tc>
          <w:tcPr>
            <w:tcW w:w="1129" w:type="dxa"/>
          </w:tcPr>
          <w:p w14:paraId="0E15552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70DAC9"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advisering aan ondernemingen inzake kapitaalstructuur, bedrijfsstrategie en daarmee samenhangende aangelege</w:t>
            </w:r>
            <w:r w:rsidRPr="00B7315D">
              <w:rPr>
                <w:rFonts w:ascii="Times New Roman" w:hAnsi="Times New Roman"/>
                <w:b/>
                <w:bCs/>
                <w:u w:val="single"/>
              </w:rPr>
              <w:t>nheden, alsmede advisering en dienstverrichting op het gebied van fusies en overnames van ondernemingen</w:t>
            </w:r>
          </w:p>
          <w:p w14:paraId="7B86498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69BEB6B2"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3, van Richtlijn 2014/65/EU</w:t>
            </w:r>
          </w:p>
        </w:tc>
      </w:tr>
      <w:tr w:rsidR="00532AE6" w:rsidRPr="00B7315D" w14:paraId="2FE387CD" w14:textId="77777777">
        <w:tc>
          <w:tcPr>
            <w:tcW w:w="1129" w:type="dxa"/>
          </w:tcPr>
          <w:p w14:paraId="798AF4B2"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lastRenderedPageBreak/>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DA501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valutadienste</w:t>
            </w:r>
            <w:r w:rsidRPr="00B7315D">
              <w:rPr>
                <w:rFonts w:ascii="Times New Roman" w:hAnsi="Times New Roman"/>
                <w:b/>
                <w:bCs/>
                <w:u w:val="single"/>
              </w:rPr>
              <w:t>n</w:t>
            </w:r>
          </w:p>
          <w:p w14:paraId="6C4067B0"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7DD6AE2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3, van Richtlijn 2014/65/EU</w:t>
            </w:r>
          </w:p>
        </w:tc>
      </w:tr>
      <w:tr w:rsidR="00532AE6" w:rsidRPr="00B7315D" w14:paraId="2AD07A5B" w14:textId="77777777">
        <w:tc>
          <w:tcPr>
            <w:tcW w:w="1129" w:type="dxa"/>
          </w:tcPr>
          <w:p w14:paraId="46DD8C8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64F4B4"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beleggingsonderzoek en financiële analyse</w:t>
            </w:r>
          </w:p>
          <w:p w14:paraId="080C792E"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6191A0BE"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 xml:space="preserve">Artikel 4, lid 1, </w:t>
            </w:r>
            <w:r w:rsidRPr="00B7315D">
              <w:rPr>
                <w:rFonts w:ascii="Times New Roman" w:hAnsi="Times New Roman"/>
                <w:bCs/>
              </w:rPr>
              <w:t>punt 3, van Richtlijn 2014/65/EU</w:t>
            </w:r>
          </w:p>
        </w:tc>
      </w:tr>
      <w:tr w:rsidR="00532AE6" w:rsidRPr="00B7315D" w14:paraId="0BD8BA40" w14:textId="77777777">
        <w:tc>
          <w:tcPr>
            <w:tcW w:w="1129" w:type="dxa"/>
          </w:tcPr>
          <w:p w14:paraId="1AF2CD0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B04275"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Waarvan: inkomsten uit diensten met betrekking tot het overnemen van financiële instrumenten</w:t>
            </w:r>
          </w:p>
          <w:p w14:paraId="57F27631"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0BAD2107"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3, van Richtlijn 2014/65/EU</w:t>
            </w:r>
          </w:p>
        </w:tc>
      </w:tr>
      <w:tr w:rsidR="00532AE6" w:rsidRPr="00B7315D" w14:paraId="4770F33F" w14:textId="77777777">
        <w:tc>
          <w:tcPr>
            <w:tcW w:w="1129" w:type="dxa"/>
          </w:tcPr>
          <w:p w14:paraId="146DDF47"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1B58D8"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
                <w:bCs/>
                <w:u w:val="single"/>
              </w:rPr>
              <w:t>Waarvan:</w:t>
            </w:r>
            <w:r w:rsidRPr="00B7315D">
              <w:rPr>
                <w:rFonts w:ascii="Times New Roman" w:hAnsi="Times New Roman"/>
                <w:b/>
                <w:bCs/>
                <w:u w:val="single"/>
              </w:rPr>
              <w:t xml:space="preserve"> beleggingsdiensten en nevendiensten met betrekking tot de onderliggende waarde van derivaten</w:t>
            </w:r>
          </w:p>
          <w:p w14:paraId="722C3D31"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54, lid 1, punt d), van Verordening (EU) 2019/2033</w:t>
            </w:r>
          </w:p>
          <w:p w14:paraId="2634822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 lid 1, punt 3, van Richtlijn 2014/65/EU</w:t>
            </w:r>
          </w:p>
        </w:tc>
      </w:tr>
    </w:tbl>
    <w:p w14:paraId="533087C2" w14:textId="77777777" w:rsidR="00532AE6" w:rsidRPr="00B7315D" w:rsidRDefault="00532AE6">
      <w:pPr>
        <w:pStyle w:val="Instructionsberschrift2"/>
        <w:ind w:left="357" w:hanging="357"/>
        <w:rPr>
          <w:rFonts w:ascii="Times New Roman" w:hAnsi="Times New Roman" w:cs="Times New Roman"/>
          <w:b/>
          <w:sz w:val="24"/>
          <w:u w:val="none"/>
        </w:rPr>
      </w:pPr>
    </w:p>
    <w:p w14:paraId="07D50F72" w14:textId="77777777" w:rsidR="00532AE6" w:rsidRPr="00B7315D" w:rsidRDefault="00B7315D">
      <w:pPr>
        <w:pStyle w:val="Instructionsberschrift2"/>
        <w:ind w:left="357" w:hanging="357"/>
        <w:rPr>
          <w:rFonts w:ascii="Times New Roman" w:hAnsi="Times New Roman" w:cs="Times New Roman"/>
          <w:b/>
          <w:sz w:val="24"/>
          <w:u w:val="none"/>
        </w:rPr>
      </w:pPr>
      <w:bookmarkStart w:id="42" w:name="_Toc88041260"/>
      <w:r w:rsidRPr="00B7315D">
        <w:rPr>
          <w:rFonts w:ascii="Times New Roman" w:hAnsi="Times New Roman"/>
          <w:b/>
          <w:sz w:val="24"/>
          <w:u w:val="none"/>
        </w:rPr>
        <w:t>3. LIQUIDITEITSVEREISTEN</w:t>
      </w:r>
      <w:bookmarkEnd w:id="42"/>
    </w:p>
    <w:p w14:paraId="13BE4675" w14:textId="77777777" w:rsidR="00532AE6" w:rsidRPr="00B7315D" w:rsidRDefault="00B7315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3" w:name="_Toc88041261"/>
      <w:r w:rsidRPr="00B7315D">
        <w:rPr>
          <w:rFonts w:ascii="Times New Roman" w:hAnsi="Times New Roman"/>
          <w:sz w:val="24"/>
          <w:szCs w:val="24"/>
          <w:u w:val="single"/>
        </w:rPr>
        <w:t>3.1</w:t>
      </w:r>
      <w:r w:rsidRPr="00B7315D">
        <w:rPr>
          <w:rFonts w:ascii="Times New Roman" w:hAnsi="Times New Roman"/>
          <w:sz w:val="24"/>
          <w:szCs w:val="24"/>
          <w:u w:val="single"/>
        </w:rPr>
        <w:t xml:space="preserve"> I </w:t>
      </w:r>
      <w:r w:rsidRPr="00B7315D">
        <w:rPr>
          <w:rFonts w:ascii="Times New Roman" w:hAnsi="Times New Roman"/>
          <w:sz w:val="24"/>
          <w:szCs w:val="24"/>
          <w:u w:val="single"/>
        </w:rPr>
        <w:t>09.01</w:t>
      </w:r>
      <w:r w:rsidRPr="00B7315D">
        <w:rPr>
          <w:rFonts w:ascii="Times New Roman" w:hAnsi="Times New Roman"/>
          <w:sz w:val="24"/>
          <w:szCs w:val="24"/>
          <w:u w:val="single"/>
        </w:rPr>
        <w:t xml:space="preserve"> — LIQUIDITEITSVEREISTEN (I </w:t>
      </w:r>
      <w:r w:rsidRPr="00B7315D">
        <w:rPr>
          <w:rFonts w:ascii="Times New Roman" w:hAnsi="Times New Roman"/>
          <w:sz w:val="24"/>
          <w:szCs w:val="24"/>
          <w:u w:val="single"/>
        </w:rPr>
        <w:t>9.1</w:t>
      </w:r>
      <w:r w:rsidRPr="00B7315D">
        <w:rPr>
          <w:rFonts w:ascii="Times New Roman" w:hAnsi="Times New Roman"/>
          <w:sz w:val="24"/>
          <w:szCs w:val="24"/>
          <w:u w:val="single"/>
        </w:rPr>
        <w:t>)</w:t>
      </w:r>
      <w:bookmarkEnd w:id="43"/>
    </w:p>
    <w:p w14:paraId="05A1B945" w14:textId="77777777" w:rsidR="00532AE6" w:rsidRPr="00B7315D" w:rsidRDefault="00B7315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88041262"/>
      <w:r w:rsidRPr="00B7315D">
        <w:rPr>
          <w:rFonts w:ascii="Times New Roman" w:hAnsi="Times New Roman"/>
          <w:sz w:val="24"/>
          <w:szCs w:val="24"/>
        </w:rPr>
        <w:t>3.1.1.</w:t>
      </w:r>
      <w:r w:rsidRPr="00B7315D">
        <w:tab/>
      </w:r>
      <w:r w:rsidRPr="00B7315D">
        <w:rPr>
          <w:rFonts w:ascii="Times New Roman" w:hAnsi="Times New Roman"/>
          <w:sz w:val="24"/>
          <w:szCs w:val="24"/>
          <w:u w:val="single"/>
        </w:rPr>
        <w:t>Instructies voor specifieke posities</w:t>
      </w:r>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32AE6" w:rsidRPr="00B7315D" w14:paraId="3DD28EDE" w14:textId="77777777">
        <w:tc>
          <w:tcPr>
            <w:tcW w:w="1129" w:type="dxa"/>
            <w:shd w:val="clear" w:color="auto" w:fill="D9D9D9"/>
          </w:tcPr>
          <w:p w14:paraId="284D397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Rij</w:t>
            </w:r>
          </w:p>
        </w:tc>
        <w:tc>
          <w:tcPr>
            <w:tcW w:w="7620" w:type="dxa"/>
            <w:shd w:val="clear" w:color="auto" w:fill="D9D9D9"/>
          </w:tcPr>
          <w:p w14:paraId="35A2B3A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rPr>
              <w:t>Verwijzingen naar wetgeving en instructies</w:t>
            </w:r>
          </w:p>
        </w:tc>
      </w:tr>
      <w:tr w:rsidR="00532AE6" w:rsidRPr="00B7315D" w14:paraId="34A5604F" w14:textId="77777777">
        <w:tc>
          <w:tcPr>
            <w:tcW w:w="1129" w:type="dxa"/>
          </w:tcPr>
          <w:p w14:paraId="51BFB0E4"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0010</w:t>
            </w:r>
          </w:p>
        </w:tc>
        <w:tc>
          <w:tcPr>
            <w:tcW w:w="7620" w:type="dxa"/>
          </w:tcPr>
          <w:p w14:paraId="41F1F74A"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Liquiditeitsvereiste</w:t>
            </w:r>
          </w:p>
          <w:p w14:paraId="7AA8B143"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Cs/>
              </w:rPr>
              <w:t>Artikel 43, lid 1, van Verordening (EU) 2019/2033</w:t>
            </w:r>
          </w:p>
        </w:tc>
      </w:tr>
      <w:tr w:rsidR="00532AE6" w:rsidRPr="00B7315D" w14:paraId="68EEA8BD" w14:textId="77777777">
        <w:tc>
          <w:tcPr>
            <w:tcW w:w="1129" w:type="dxa"/>
          </w:tcPr>
          <w:p w14:paraId="476C920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0020</w:t>
            </w:r>
          </w:p>
        </w:tc>
        <w:tc>
          <w:tcPr>
            <w:tcW w:w="7620" w:type="dxa"/>
          </w:tcPr>
          <w:p w14:paraId="2B2B4D38"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Garanties aan cliënten</w:t>
            </w:r>
          </w:p>
          <w:p w14:paraId="373E310A"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 xml:space="preserve">Artikel 45 van </w:t>
            </w:r>
            <w:r w:rsidRPr="00B7315D">
              <w:rPr>
                <w:rFonts w:ascii="Times New Roman" w:hAnsi="Times New Roman"/>
                <w:bCs/>
              </w:rPr>
              <w:t>Verordening (EU) 2019/2033</w:t>
            </w:r>
          </w:p>
          <w:p w14:paraId="67EC2259"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De te rapporteren waarde is 1,6 % van het totale aan cliënten afgegeven garanties overeenkomstig artikel 45 van Verordening (EU) 2019/2033.</w:t>
            </w:r>
          </w:p>
        </w:tc>
      </w:tr>
      <w:tr w:rsidR="00532AE6" w14:paraId="288CD1A5" w14:textId="77777777">
        <w:tc>
          <w:tcPr>
            <w:tcW w:w="1129" w:type="dxa"/>
          </w:tcPr>
          <w:p w14:paraId="26CC56E5"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0030</w:t>
            </w:r>
          </w:p>
        </w:tc>
        <w:tc>
          <w:tcPr>
            <w:tcW w:w="7620" w:type="dxa"/>
          </w:tcPr>
          <w:p w14:paraId="082E48D1" w14:textId="77777777" w:rsidR="00532AE6" w:rsidRPr="00B7315D" w:rsidRDefault="00B7315D">
            <w:pPr>
              <w:spacing w:after="120" w:line="240" w:lineRule="auto"/>
              <w:jc w:val="both"/>
              <w:rPr>
                <w:rFonts w:ascii="Times New Roman" w:eastAsia="Times New Roman" w:hAnsi="Times New Roman" w:cs="Times New Roman"/>
                <w:b/>
                <w:bCs/>
                <w:u w:val="single"/>
              </w:rPr>
            </w:pPr>
            <w:r w:rsidRPr="00B7315D">
              <w:rPr>
                <w:rFonts w:ascii="Times New Roman" w:hAnsi="Times New Roman"/>
                <w:b/>
                <w:bCs/>
                <w:u w:val="single"/>
              </w:rPr>
              <w:t>Totaal liquide activa</w:t>
            </w:r>
          </w:p>
          <w:p w14:paraId="72AC212F" w14:textId="77777777" w:rsidR="00532AE6" w:rsidRPr="00B7315D" w:rsidRDefault="00B7315D">
            <w:pPr>
              <w:spacing w:after="120" w:line="240" w:lineRule="auto"/>
              <w:jc w:val="both"/>
              <w:rPr>
                <w:rFonts w:ascii="Times New Roman" w:eastAsia="Times New Roman" w:hAnsi="Times New Roman" w:cs="Times New Roman"/>
                <w:bCs/>
              </w:rPr>
            </w:pPr>
            <w:r w:rsidRPr="00B7315D">
              <w:rPr>
                <w:rFonts w:ascii="Times New Roman" w:hAnsi="Times New Roman"/>
                <w:bCs/>
              </w:rPr>
              <w:t>Artikel 43, lid 1, punt a), en artikel 43, lid 2, van Gedeleg</w:t>
            </w:r>
            <w:r w:rsidRPr="00B7315D">
              <w:rPr>
                <w:rFonts w:ascii="Times New Roman" w:hAnsi="Times New Roman"/>
                <w:bCs/>
              </w:rPr>
              <w:t>eerde Verordening (EU) 2019/2033</w:t>
            </w:r>
          </w:p>
          <w:p w14:paraId="50820F2B" w14:textId="77777777" w:rsidR="00532AE6" w:rsidRDefault="00B7315D">
            <w:pPr>
              <w:pStyle w:val="CommentText"/>
              <w:rPr>
                <w:rFonts w:ascii="Times New Roman" w:eastAsia="Times New Roman" w:hAnsi="Times New Roman" w:cs="Times New Roman"/>
                <w:b/>
                <w:bCs/>
                <w:sz w:val="22"/>
                <w:szCs w:val="22"/>
                <w:u w:val="single"/>
              </w:rPr>
            </w:pPr>
            <w:r w:rsidRPr="00B7315D">
              <w:rPr>
                <w:rFonts w:ascii="Times New Roman" w:hAnsi="Times New Roman"/>
                <w:bCs/>
                <w:sz w:val="22"/>
                <w:szCs w:val="22"/>
              </w:rPr>
              <w:t>Het totaal van de liquide activa wordt gerapporteerd na toepassing van de desbetreffende reductiefactoren.</w:t>
            </w:r>
          </w:p>
        </w:tc>
      </w:tr>
    </w:tbl>
    <w:p w14:paraId="3D53656F" w14:textId="77777777" w:rsidR="00532AE6" w:rsidRDefault="00532AE6"/>
    <w:sectPr w:rsidR="00532AE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5FA950" w14:textId="77777777" w:rsidR="00532AE6" w:rsidRDefault="00532AE6">
      <w:pPr>
        <w:pStyle w:val="Footer"/>
      </w:pPr>
    </w:p>
  </w:endnote>
  <w:endnote w:type="continuationSeparator" w:id="0">
    <w:p w14:paraId="0D2DE8E2" w14:textId="77777777" w:rsidR="00532AE6" w:rsidRDefault="00532AE6">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67E81" w14:textId="77777777" w:rsidR="00532AE6" w:rsidRDefault="00532A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A8D02" w14:textId="77777777" w:rsidR="00532AE6" w:rsidRDefault="00B7315D">
    <w:pPr>
      <w:pStyle w:val="Footer"/>
      <w:tabs>
        <w:tab w:val="clear" w:pos="4513"/>
        <w:tab w:val="clear" w:pos="9026"/>
        <w:tab w:val="right" w:pos="9071"/>
      </w:tabs>
    </w:pPr>
    <w:r>
      <w:t>NL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35365" w14:textId="77777777" w:rsidR="00532AE6" w:rsidRDefault="00532A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71988" w14:textId="77777777" w:rsidR="00532AE6" w:rsidRDefault="00532AE6">
      <w:pPr>
        <w:pStyle w:val="Footer"/>
      </w:pPr>
    </w:p>
  </w:footnote>
  <w:footnote w:type="continuationSeparator" w:id="0">
    <w:p w14:paraId="1674A580" w14:textId="77777777" w:rsidR="00532AE6" w:rsidRDefault="00532AE6">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06CCF" w14:textId="77777777" w:rsidR="00532AE6" w:rsidRDefault="00B7315D">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69775" w14:textId="278B91ED" w:rsidR="00532AE6" w:rsidRDefault="00B7315D">
    <w:pPr>
      <w:pStyle w:val="Header"/>
    </w:pPr>
    <w:r>
      <w:rPr>
        <w:noProof/>
      </w:rPr>
      <mc:AlternateContent>
        <mc:Choice Requires="wps">
          <w:drawing>
            <wp:anchor distT="0" distB="0" distL="114300" distR="114300" simplePos="0" relativeHeight="251659264" behindDoc="0" locked="0" layoutInCell="0" allowOverlap="1" wp14:anchorId="306A0518" wp14:editId="3A956F4A">
              <wp:simplePos x="0" y="0"/>
              <wp:positionH relativeFrom="page">
                <wp:posOffset>0</wp:posOffset>
              </wp:positionH>
              <wp:positionV relativeFrom="page">
                <wp:posOffset>190500</wp:posOffset>
              </wp:positionV>
              <wp:extent cx="7560310" cy="273050"/>
              <wp:effectExtent l="0" t="0" r="0" b="12700"/>
              <wp:wrapNone/>
              <wp:docPr id="1" name="MSIPCM593b49479cc76854acb89525"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4F0DBA" w14:textId="63E25557" w:rsidR="00B7315D" w:rsidRPr="00B7315D" w:rsidRDefault="00B7315D" w:rsidP="00B7315D">
                          <w:pPr>
                            <w:spacing w:after="0"/>
                            <w:rPr>
                              <w:rFonts w:ascii="Calibri" w:hAnsi="Calibri" w:cs="Calibri"/>
                              <w:color w:val="000000"/>
                              <w:sz w:val="24"/>
                            </w:rPr>
                          </w:pPr>
                          <w:r w:rsidRPr="00B7315D">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06A0518" id="_x0000_t202" coordsize="21600,21600" o:spt="202" path="m,l,21600r21600,l21600,xe">
              <v:stroke joinstyle="miter"/>
              <v:path gradientshapeok="t" o:connecttype="rect"/>
            </v:shapetype>
            <v:shape id="MSIPCM593b49479cc76854acb89525"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DLd+qU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224F0DBA" w14:textId="63E25557" w:rsidR="00B7315D" w:rsidRPr="00B7315D" w:rsidRDefault="00B7315D" w:rsidP="00B7315D">
                    <w:pPr>
                      <w:spacing w:after="0"/>
                      <w:rPr>
                        <w:rFonts w:ascii="Calibri" w:hAnsi="Calibri" w:cs="Calibri"/>
                        <w:color w:val="000000"/>
                        <w:sz w:val="24"/>
                      </w:rPr>
                    </w:pPr>
                    <w:r w:rsidRPr="00B7315D">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B9223" w14:textId="77777777" w:rsidR="00532AE6" w:rsidRDefault="00B7315D">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activeWritingStyle w:appName="MSWord" w:lang="nl-NL" w:vendorID="64" w:dllVersion="6" w:nlCheck="1" w:checkStyle="0"/>
  <w:defaultTabStop w:val="720"/>
  <w:hyphenationZone w:val="283"/>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32AE6"/>
    <w:rsid w:val="00532AE6"/>
    <w:rsid w:val="00B73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7F374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rPr>
      <w:rFonts w:ascii="Times New Roman" w:hAnsi="Times New Roman"/>
      <w:noProof/>
    </w:r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nl-NL"/>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F614615C-C072-412A-A291-6284C004CF4A}">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5490</Words>
  <Characters>31295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2022-01-14T17:01:00Z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2022-01-14T17:01:11Z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d01cdaa9-4147-41fc-bbad-1ac5be08467a</vt:lpwstr>
  </property>
  <property fmtid="{D5CDD505-2E9C-101B-9397-08002B2CF9AE}" pid="8" name="MSIP_Label_5c7eb9de-735b-4a68-8fe4-c9c62709b012_ContentBits">
    <vt:lpwstr>1</vt:lpwstr>
  </property>
</Properties>
</file>