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29A126" w14:textId="77777777" w:rsidR="00A11402" w:rsidRPr="00E02BB9" w:rsidRDefault="00E02BB9">
      <w:pPr>
        <w:spacing w:after="240" w:line="240" w:lineRule="auto"/>
        <w:jc w:val="center"/>
        <w:rPr>
          <w:rFonts w:ascii="Times New Roman" w:eastAsia="Times New Roman" w:hAnsi="Times New Roman" w:cs="Times New Roman"/>
          <w:b/>
          <w:sz w:val="24"/>
          <w:szCs w:val="20"/>
        </w:rPr>
      </w:pPr>
      <w:bookmarkStart w:id="0" w:name="_Toc359315628"/>
      <w:bookmarkStart w:id="1" w:name="_Toc361844197"/>
      <w:bookmarkStart w:id="2" w:name="_Toc473560873"/>
      <w:bookmarkStart w:id="3" w:name="_Toc7084158"/>
      <w:bookmarkStart w:id="4" w:name="_Toc308175820"/>
      <w:bookmarkStart w:id="5" w:name="_Toc360188325"/>
      <w:r w:rsidRPr="00E02BB9">
        <w:rPr>
          <w:rFonts w:ascii="Times New Roman" w:hAnsi="Times New Roman"/>
          <w:b/>
          <w:sz w:val="24"/>
          <w:szCs w:val="24"/>
        </w:rPr>
        <w:t>HR</w:t>
      </w:r>
      <w:r w:rsidRPr="00E02BB9">
        <w:br/>
      </w:r>
      <w:r w:rsidRPr="00E02BB9">
        <w:rPr>
          <w:rFonts w:ascii="Times New Roman" w:hAnsi="Times New Roman"/>
          <w:b/>
          <w:sz w:val="24"/>
          <w:szCs w:val="20"/>
        </w:rPr>
        <w:t>PRILOG IX.</w:t>
      </w:r>
    </w:p>
    <w:p w14:paraId="511807F8" w14:textId="77777777" w:rsidR="00A11402" w:rsidRPr="00E02BB9" w:rsidRDefault="00E02BB9">
      <w:pPr>
        <w:spacing w:after="240" w:line="240" w:lineRule="auto"/>
        <w:jc w:val="center"/>
        <w:rPr>
          <w:rFonts w:ascii="Times New Roman" w:eastAsia="Times New Roman" w:hAnsi="Times New Roman" w:cs="Times New Roman"/>
          <w:b/>
          <w:sz w:val="24"/>
          <w:szCs w:val="20"/>
          <w:u w:val="single"/>
        </w:rPr>
      </w:pPr>
      <w:r w:rsidRPr="00E02BB9">
        <w:rPr>
          <w:rFonts w:ascii="Times New Roman" w:hAnsi="Times New Roman"/>
          <w:b/>
          <w:sz w:val="24"/>
          <w:szCs w:val="20"/>
          <w:u w:val="single"/>
        </w:rPr>
        <w:t xml:space="preserve">„PRILOG </w:t>
      </w:r>
      <w:bookmarkEnd w:id="0"/>
      <w:bookmarkEnd w:id="1"/>
      <w:r w:rsidRPr="00E02BB9">
        <w:rPr>
          <w:rFonts w:ascii="Times New Roman" w:hAnsi="Times New Roman"/>
          <w:b/>
          <w:sz w:val="24"/>
          <w:szCs w:val="20"/>
          <w:u w:val="single"/>
        </w:rPr>
        <w:t>IX.</w:t>
      </w:r>
    </w:p>
    <w:p w14:paraId="21F694C8" w14:textId="77777777" w:rsidR="00A11402" w:rsidRPr="00E02BB9" w:rsidRDefault="00E02BB9">
      <w:pPr>
        <w:spacing w:after="240" w:line="240" w:lineRule="auto"/>
        <w:jc w:val="center"/>
        <w:rPr>
          <w:rFonts w:ascii="Times New Roman" w:eastAsia="Times New Roman" w:hAnsi="Times New Roman" w:cs="Times New Roman"/>
          <w:b/>
          <w:sz w:val="24"/>
          <w:szCs w:val="20"/>
        </w:rPr>
      </w:pPr>
      <w:r w:rsidRPr="00E02BB9">
        <w:rPr>
          <w:rFonts w:ascii="Times New Roman" w:hAnsi="Times New Roman"/>
          <w:b/>
          <w:sz w:val="24"/>
          <w:szCs w:val="20"/>
        </w:rPr>
        <w:t>IZVJEŠĆIVANJE O KRITERIJU KAPITALA GRUPE</w:t>
      </w:r>
    </w:p>
    <w:p w14:paraId="0BB66E6A" w14:textId="77777777" w:rsidR="00A11402" w:rsidRPr="00E02BB9" w:rsidRDefault="00E02BB9">
      <w:pPr>
        <w:spacing w:after="0" w:line="240" w:lineRule="auto"/>
        <w:rPr>
          <w:rFonts w:ascii="Times New Roman" w:eastAsia="Times New Roman" w:hAnsi="Times New Roman" w:cs="Times New Roman"/>
          <w:sz w:val="24"/>
          <w:szCs w:val="24"/>
        </w:rPr>
      </w:pPr>
      <w:r w:rsidRPr="00E02BB9">
        <w:rPr>
          <w:rFonts w:ascii="Times New Roman" w:hAnsi="Times New Roman"/>
          <w:sz w:val="24"/>
          <w:szCs w:val="24"/>
        </w:rPr>
        <w:t>Sadržaj</w:t>
      </w:r>
    </w:p>
    <w:p w14:paraId="70B67CFF" w14:textId="77777777" w:rsidR="00A11402" w:rsidRPr="00E02BB9" w:rsidRDefault="00E02BB9">
      <w:pPr>
        <w:pStyle w:val="TOC2"/>
        <w:tabs>
          <w:tab w:val="right" w:leader="dot" w:pos="9016"/>
        </w:tabs>
        <w:rPr>
          <w:rFonts w:eastAsiaTheme="minorEastAsia"/>
          <w:noProof/>
          <w:lang w:val="en-IE" w:eastAsia="en-IE"/>
        </w:rPr>
      </w:pPr>
      <w:r w:rsidRPr="00E02BB9">
        <w:rPr>
          <w:rFonts w:ascii="Times New Roman" w:hAnsi="Times New Roman"/>
          <w:noProof/>
        </w:rPr>
        <w:t>DIO I. OPĆE UPUTE</w:t>
      </w:r>
      <w:r w:rsidRPr="00E02BB9">
        <w:rPr>
          <w:noProof/>
        </w:rPr>
        <w:tab/>
        <w:t>2</w:t>
      </w:r>
    </w:p>
    <w:p w14:paraId="23E62E16" w14:textId="77777777" w:rsidR="00A11402" w:rsidRPr="00E02BB9" w:rsidRDefault="00E02BB9">
      <w:pPr>
        <w:pStyle w:val="TOC2"/>
        <w:tabs>
          <w:tab w:val="right" w:leader="dot" w:pos="9016"/>
        </w:tabs>
        <w:rPr>
          <w:rFonts w:eastAsiaTheme="minorEastAsia"/>
          <w:noProof/>
          <w:lang w:val="en-IE" w:eastAsia="en-IE"/>
        </w:rPr>
      </w:pPr>
      <w:r w:rsidRPr="00E02BB9">
        <w:rPr>
          <w:rFonts w:ascii="Times New Roman" w:hAnsi="Times New Roman"/>
          <w:noProof/>
        </w:rPr>
        <w:t>1. Struktura i pravila</w:t>
      </w:r>
      <w:r w:rsidRPr="00E02BB9">
        <w:rPr>
          <w:noProof/>
        </w:rPr>
        <w:tab/>
        <w:t>2</w:t>
      </w:r>
    </w:p>
    <w:p w14:paraId="5082C7C0" w14:textId="77777777" w:rsidR="00A11402" w:rsidRPr="00E02BB9" w:rsidRDefault="00E02BB9">
      <w:pPr>
        <w:pStyle w:val="TOC2"/>
        <w:tabs>
          <w:tab w:val="right" w:leader="dot" w:pos="9016"/>
        </w:tabs>
        <w:rPr>
          <w:rFonts w:eastAsiaTheme="minorEastAsia"/>
          <w:noProof/>
          <w:lang w:val="en-IE" w:eastAsia="en-IE"/>
        </w:rPr>
      </w:pPr>
      <w:r w:rsidRPr="00E02BB9">
        <w:rPr>
          <w:rFonts w:ascii="Times New Roman" w:hAnsi="Times New Roman"/>
          <w:noProof/>
          <w:u w:val="single"/>
        </w:rPr>
        <w:t>1.1. Struktura</w:t>
      </w:r>
      <w:r w:rsidRPr="00E02BB9">
        <w:rPr>
          <w:noProof/>
        </w:rPr>
        <w:tab/>
        <w:t>2</w:t>
      </w:r>
    </w:p>
    <w:p w14:paraId="4435EEB6" w14:textId="77777777" w:rsidR="00A11402" w:rsidRPr="00E02BB9" w:rsidRDefault="00E02BB9">
      <w:pPr>
        <w:pStyle w:val="TOC2"/>
        <w:tabs>
          <w:tab w:val="right" w:leader="dot" w:pos="9016"/>
        </w:tabs>
        <w:rPr>
          <w:rFonts w:eastAsiaTheme="minorEastAsia"/>
          <w:noProof/>
          <w:lang w:val="en-IE" w:eastAsia="en-IE"/>
        </w:rPr>
      </w:pPr>
      <w:r w:rsidRPr="00E02BB9">
        <w:rPr>
          <w:rFonts w:ascii="Times New Roman" w:hAnsi="Times New Roman"/>
          <w:noProof/>
          <w:u w:val="single"/>
        </w:rPr>
        <w:t>1.2. Pravila označivanja brojevima</w:t>
      </w:r>
      <w:r w:rsidRPr="00E02BB9">
        <w:rPr>
          <w:noProof/>
        </w:rPr>
        <w:tab/>
        <w:t>2</w:t>
      </w:r>
    </w:p>
    <w:p w14:paraId="64138D6A" w14:textId="77777777" w:rsidR="00A11402" w:rsidRPr="00E02BB9" w:rsidRDefault="00E02BB9">
      <w:pPr>
        <w:pStyle w:val="TOC2"/>
        <w:tabs>
          <w:tab w:val="right" w:leader="dot" w:pos="9016"/>
        </w:tabs>
        <w:rPr>
          <w:rFonts w:eastAsiaTheme="minorEastAsia"/>
          <w:noProof/>
          <w:lang w:val="en-IE" w:eastAsia="en-IE"/>
        </w:rPr>
      </w:pPr>
      <w:r w:rsidRPr="00E02BB9">
        <w:rPr>
          <w:rFonts w:ascii="Times New Roman" w:hAnsi="Times New Roman"/>
          <w:noProof/>
          <w:u w:val="single"/>
        </w:rPr>
        <w:t>1.3. Pravila o predznaku</w:t>
      </w:r>
      <w:r w:rsidRPr="00E02BB9">
        <w:rPr>
          <w:noProof/>
        </w:rPr>
        <w:tab/>
        <w:t>2</w:t>
      </w:r>
    </w:p>
    <w:p w14:paraId="5D24F86B" w14:textId="77777777" w:rsidR="00A11402" w:rsidRPr="00E02BB9" w:rsidRDefault="00E02BB9">
      <w:pPr>
        <w:pStyle w:val="TOC2"/>
        <w:tabs>
          <w:tab w:val="right" w:leader="dot" w:pos="9016"/>
        </w:tabs>
        <w:rPr>
          <w:rFonts w:eastAsiaTheme="minorEastAsia"/>
          <w:noProof/>
          <w:lang w:val="fr-BE" w:eastAsia="en-IE"/>
        </w:rPr>
      </w:pPr>
      <w:r w:rsidRPr="00E02BB9">
        <w:rPr>
          <w:rFonts w:ascii="Times New Roman" w:hAnsi="Times New Roman"/>
          <w:noProof/>
        </w:rPr>
        <w:t>DIO II. UPUTE ZA OBRASCE</w:t>
      </w:r>
      <w:r w:rsidRPr="00E02BB9">
        <w:rPr>
          <w:noProof/>
        </w:rPr>
        <w:tab/>
        <w:t>2</w:t>
      </w:r>
    </w:p>
    <w:p w14:paraId="6E5B03B3" w14:textId="77777777" w:rsidR="00A11402" w:rsidRPr="00E02BB9" w:rsidRDefault="00E02BB9">
      <w:pPr>
        <w:pStyle w:val="TOC2"/>
        <w:tabs>
          <w:tab w:val="right" w:leader="dot" w:pos="9016"/>
        </w:tabs>
        <w:rPr>
          <w:rFonts w:eastAsiaTheme="minorEastAsia"/>
          <w:noProof/>
          <w:lang w:val="en-IE" w:eastAsia="en-IE"/>
        </w:rPr>
      </w:pPr>
      <w:r w:rsidRPr="00E02BB9">
        <w:rPr>
          <w:rFonts w:ascii="Times New Roman" w:hAnsi="Times New Roman"/>
          <w:b/>
          <w:noProof/>
        </w:rPr>
        <w:t xml:space="preserve">1. </w:t>
      </w:r>
      <w:r w:rsidRPr="00E02BB9">
        <w:rPr>
          <w:rFonts w:ascii="Times New Roman" w:hAnsi="Times New Roman"/>
          <w:b/>
          <w:noProof/>
        </w:rPr>
        <w:t>REGULATORNI KAPITAL: RAZINA, SASTAV, ZAHTJEVI I IZRAČUN</w:t>
      </w:r>
      <w:r w:rsidRPr="00E02BB9">
        <w:rPr>
          <w:noProof/>
        </w:rPr>
        <w:tab/>
        <w:t>2</w:t>
      </w:r>
    </w:p>
    <w:p w14:paraId="34A9DA45" w14:textId="77777777" w:rsidR="00A11402" w:rsidRPr="00E02BB9" w:rsidRDefault="00E02BB9">
      <w:pPr>
        <w:pStyle w:val="TOC2"/>
        <w:tabs>
          <w:tab w:val="right" w:leader="dot" w:pos="9016"/>
        </w:tabs>
        <w:rPr>
          <w:rFonts w:eastAsiaTheme="minorEastAsia"/>
          <w:noProof/>
          <w:lang w:val="en-IE" w:eastAsia="en-IE"/>
        </w:rPr>
      </w:pPr>
      <w:r w:rsidRPr="00E02BB9">
        <w:rPr>
          <w:rFonts w:ascii="Times New Roman" w:hAnsi="Times New Roman"/>
          <w:noProof/>
        </w:rPr>
        <w:t>1.1. Opće napomene</w:t>
      </w:r>
      <w:r w:rsidRPr="00E02BB9">
        <w:rPr>
          <w:noProof/>
        </w:rPr>
        <w:tab/>
        <w:t>2</w:t>
      </w:r>
    </w:p>
    <w:p w14:paraId="732766CD" w14:textId="77777777" w:rsidR="00A11402" w:rsidRPr="00E02BB9" w:rsidRDefault="00E02BB9">
      <w:pPr>
        <w:pStyle w:val="TOC2"/>
        <w:tabs>
          <w:tab w:val="right" w:leader="dot" w:pos="9016"/>
        </w:tabs>
        <w:rPr>
          <w:rFonts w:eastAsiaTheme="minorEastAsia"/>
          <w:noProof/>
          <w:lang w:val="en-IE" w:eastAsia="en-IE"/>
        </w:rPr>
      </w:pPr>
      <w:r w:rsidRPr="00E02BB9">
        <w:rPr>
          <w:rFonts w:ascii="Times New Roman" w:hAnsi="Times New Roman"/>
          <w:noProof/>
        </w:rPr>
        <w:t>1.2. I 11.01 – SASTAV REGULATORNOG KAPITALA – KRITERIJ KAPITALA GRUPE (I11.1)</w:t>
      </w:r>
      <w:r w:rsidRPr="00E02BB9">
        <w:rPr>
          <w:noProof/>
        </w:rPr>
        <w:tab/>
        <w:t>3</w:t>
      </w:r>
    </w:p>
    <w:p w14:paraId="499FA93A" w14:textId="77777777" w:rsidR="00A11402" w:rsidRPr="00E02BB9" w:rsidRDefault="00E02BB9">
      <w:pPr>
        <w:pStyle w:val="TOC2"/>
        <w:tabs>
          <w:tab w:val="left" w:pos="1100"/>
          <w:tab w:val="right" w:leader="dot" w:pos="9016"/>
        </w:tabs>
        <w:rPr>
          <w:rFonts w:eastAsiaTheme="minorEastAsia"/>
          <w:noProof/>
          <w:lang w:val="en-IE" w:eastAsia="en-IE"/>
        </w:rPr>
      </w:pPr>
      <w:r w:rsidRPr="00E02BB9">
        <w:rPr>
          <w:rFonts w:ascii="Times New Roman" w:hAnsi="Times New Roman"/>
          <w:noProof/>
        </w:rPr>
        <w:t>1.2.1</w:t>
      </w:r>
      <w:r w:rsidRPr="00E02BB9">
        <w:rPr>
          <w:rFonts w:ascii="Times New Roman" w:hAnsi="Times New Roman"/>
          <w:noProof/>
        </w:rPr>
        <w:tab/>
        <w:t>Upute za specifične pozicije</w:t>
      </w:r>
      <w:r w:rsidRPr="00E02BB9">
        <w:rPr>
          <w:noProof/>
        </w:rPr>
        <w:tab/>
        <w:t>3</w:t>
      </w:r>
    </w:p>
    <w:p w14:paraId="0D2BFF7F" w14:textId="77777777" w:rsidR="00A11402" w:rsidRPr="00E02BB9" w:rsidRDefault="00E02BB9">
      <w:pPr>
        <w:pStyle w:val="TOC2"/>
        <w:tabs>
          <w:tab w:val="right" w:leader="dot" w:pos="9016"/>
        </w:tabs>
        <w:rPr>
          <w:rFonts w:eastAsiaTheme="minorEastAsia"/>
          <w:noProof/>
          <w:lang w:val="en-IE" w:eastAsia="en-IE"/>
        </w:rPr>
      </w:pPr>
      <w:r w:rsidRPr="00E02BB9">
        <w:rPr>
          <w:rFonts w:ascii="Times New Roman" w:hAnsi="Times New Roman"/>
          <w:noProof/>
        </w:rPr>
        <w:t xml:space="preserve">1.3. I 11.02 KAPITALNI ZAHTJEVI – KRITERIJ KAPITALA </w:t>
      </w:r>
      <w:r w:rsidRPr="00E02BB9">
        <w:rPr>
          <w:rFonts w:ascii="Times New Roman" w:hAnsi="Times New Roman"/>
          <w:noProof/>
        </w:rPr>
        <w:t>GRUPE (I11.2)</w:t>
      </w:r>
      <w:r w:rsidRPr="00E02BB9">
        <w:rPr>
          <w:noProof/>
        </w:rPr>
        <w:tab/>
        <w:t>8</w:t>
      </w:r>
    </w:p>
    <w:p w14:paraId="6BF5746A" w14:textId="77777777" w:rsidR="00A11402" w:rsidRPr="00E02BB9" w:rsidRDefault="00E02BB9">
      <w:pPr>
        <w:pStyle w:val="TOC2"/>
        <w:tabs>
          <w:tab w:val="left" w:pos="1100"/>
          <w:tab w:val="right" w:leader="dot" w:pos="9016"/>
        </w:tabs>
        <w:rPr>
          <w:rFonts w:eastAsiaTheme="minorEastAsia"/>
          <w:noProof/>
          <w:lang w:val="en-IE" w:eastAsia="en-IE"/>
        </w:rPr>
      </w:pPr>
      <w:r w:rsidRPr="00E02BB9">
        <w:rPr>
          <w:rFonts w:ascii="Times New Roman" w:hAnsi="Times New Roman"/>
          <w:noProof/>
        </w:rPr>
        <w:t>1.3.1</w:t>
      </w:r>
      <w:r w:rsidRPr="00E02BB9">
        <w:rPr>
          <w:rFonts w:ascii="Times New Roman" w:hAnsi="Times New Roman"/>
          <w:noProof/>
        </w:rPr>
        <w:tab/>
      </w:r>
      <w:r w:rsidRPr="00E02BB9">
        <w:rPr>
          <w:rFonts w:ascii="Times New Roman" w:hAnsi="Times New Roman"/>
          <w:noProof/>
          <w:u w:val="single"/>
        </w:rPr>
        <w:t>Upute za specifične pozicije</w:t>
      </w:r>
      <w:r w:rsidRPr="00E02BB9">
        <w:rPr>
          <w:noProof/>
        </w:rPr>
        <w:tab/>
        <w:t>8</w:t>
      </w:r>
    </w:p>
    <w:p w14:paraId="427FF913" w14:textId="77777777" w:rsidR="00A11402" w:rsidRPr="00E02BB9" w:rsidRDefault="00E02BB9">
      <w:pPr>
        <w:pStyle w:val="TOC2"/>
        <w:tabs>
          <w:tab w:val="right" w:leader="dot" w:pos="9016"/>
        </w:tabs>
        <w:rPr>
          <w:rFonts w:eastAsiaTheme="minorEastAsia"/>
          <w:noProof/>
          <w:lang w:val="en-IE" w:eastAsia="en-IE"/>
        </w:rPr>
      </w:pPr>
      <w:r w:rsidRPr="00E02BB9">
        <w:rPr>
          <w:rFonts w:ascii="Times New Roman" w:hAnsi="Times New Roman"/>
          <w:noProof/>
        </w:rPr>
        <w:t>1.4. IF 11.03 INFORMACIJE O DRUŠTVIMA KĆERIMA (IF11.3)</w:t>
      </w:r>
      <w:r w:rsidRPr="00E02BB9">
        <w:rPr>
          <w:noProof/>
        </w:rPr>
        <w:tab/>
        <w:t>9</w:t>
      </w:r>
    </w:p>
    <w:p w14:paraId="42831D67" w14:textId="77777777" w:rsidR="00A11402" w:rsidRPr="00E02BB9" w:rsidRDefault="00E02BB9">
      <w:pPr>
        <w:pStyle w:val="TOC2"/>
        <w:tabs>
          <w:tab w:val="left" w:pos="1100"/>
          <w:tab w:val="right" w:leader="dot" w:pos="9016"/>
        </w:tabs>
        <w:rPr>
          <w:rFonts w:eastAsiaTheme="minorEastAsia"/>
          <w:noProof/>
          <w:lang w:val="en-IE" w:eastAsia="en-IE"/>
        </w:rPr>
      </w:pPr>
      <w:r w:rsidRPr="00E02BB9">
        <w:rPr>
          <w:rFonts w:ascii="Times New Roman" w:hAnsi="Times New Roman"/>
          <w:noProof/>
        </w:rPr>
        <w:t>1.4.1</w:t>
      </w:r>
      <w:r w:rsidRPr="00E02BB9">
        <w:rPr>
          <w:rFonts w:ascii="Times New Roman" w:hAnsi="Times New Roman"/>
          <w:noProof/>
        </w:rPr>
        <w:tab/>
      </w:r>
      <w:r w:rsidRPr="00E02BB9">
        <w:rPr>
          <w:rFonts w:ascii="Times New Roman" w:hAnsi="Times New Roman"/>
          <w:noProof/>
          <w:u w:val="single"/>
        </w:rPr>
        <w:t>Upute za specifične pozicije</w:t>
      </w:r>
      <w:r w:rsidRPr="00E02BB9">
        <w:rPr>
          <w:noProof/>
        </w:rPr>
        <w:tab/>
        <w:t>9</w:t>
      </w:r>
      <w:bookmarkStart w:id="6" w:name="_Toc360188322"/>
      <w:bookmarkStart w:id="7" w:name="_Toc473560870"/>
      <w:bookmarkStart w:id="8" w:name="_Toc7084155"/>
    </w:p>
    <w:p w14:paraId="3B0BC78B" w14:textId="77777777" w:rsidR="00A11402" w:rsidRPr="00E02BB9" w:rsidRDefault="00A11402">
      <w:pPr>
        <w:rPr>
          <w:lang w:val="en-IE"/>
        </w:rPr>
      </w:pPr>
    </w:p>
    <w:p w14:paraId="4DF2F224" w14:textId="77777777" w:rsidR="00A11402" w:rsidRPr="00E02BB9" w:rsidRDefault="00A11402">
      <w:pPr>
        <w:rPr>
          <w:lang w:val="en-IE"/>
        </w:rPr>
      </w:pPr>
    </w:p>
    <w:p w14:paraId="7C403653" w14:textId="77777777" w:rsidR="00A11402" w:rsidRPr="00E02BB9" w:rsidRDefault="00E02BB9">
      <w:pPr>
        <w:pStyle w:val="Heading2"/>
        <w:rPr>
          <w:rFonts w:ascii="Times New Roman" w:hAnsi="Times New Roman"/>
        </w:rPr>
      </w:pPr>
      <w:bookmarkStart w:id="9" w:name="_Toc88141047"/>
      <w:r w:rsidRPr="00E02BB9">
        <w:rPr>
          <w:rFonts w:ascii="Times New Roman" w:hAnsi="Times New Roman"/>
        </w:rPr>
        <w:t>DIO I. OPĆE UPUTE</w:t>
      </w:r>
      <w:bookmarkEnd w:id="9"/>
    </w:p>
    <w:p w14:paraId="467119E5" w14:textId="77777777" w:rsidR="00A11402" w:rsidRPr="00E02BB9" w:rsidRDefault="00E02BB9">
      <w:pPr>
        <w:keepNext/>
        <w:spacing w:before="240" w:after="240" w:line="240" w:lineRule="auto"/>
        <w:jc w:val="both"/>
        <w:outlineLvl w:val="1"/>
        <w:rPr>
          <w:rFonts w:ascii="Times New Roman" w:eastAsia="Arial" w:hAnsi="Times New Roman" w:cs="Times New Roman"/>
          <w:sz w:val="24"/>
          <w:szCs w:val="24"/>
        </w:rPr>
      </w:pPr>
      <w:bookmarkStart w:id="10" w:name="_Toc88141048"/>
      <w:r w:rsidRPr="00E02BB9">
        <w:rPr>
          <w:rFonts w:ascii="Times New Roman" w:hAnsi="Times New Roman"/>
          <w:sz w:val="24"/>
          <w:szCs w:val="24"/>
        </w:rPr>
        <w:t>1. Struktura i pravila</w:t>
      </w:r>
      <w:bookmarkEnd w:id="10"/>
    </w:p>
    <w:p w14:paraId="7BFB36E3" w14:textId="77777777" w:rsidR="00A11402" w:rsidRPr="00E02BB9" w:rsidRDefault="00E02BB9">
      <w:pPr>
        <w:keepNext/>
        <w:spacing w:before="240" w:after="240" w:line="240" w:lineRule="auto"/>
        <w:jc w:val="both"/>
        <w:outlineLvl w:val="1"/>
        <w:rPr>
          <w:rFonts w:ascii="Times New Roman" w:eastAsia="Arial" w:hAnsi="Times New Roman" w:cs="Times New Roman"/>
          <w:sz w:val="24"/>
          <w:szCs w:val="24"/>
          <w:u w:val="single"/>
        </w:rPr>
      </w:pPr>
      <w:bookmarkStart w:id="11" w:name="_Toc88141049"/>
      <w:r w:rsidRPr="00E02BB9">
        <w:rPr>
          <w:rFonts w:ascii="Times New Roman" w:hAnsi="Times New Roman"/>
          <w:sz w:val="24"/>
          <w:szCs w:val="24"/>
          <w:u w:val="single"/>
        </w:rPr>
        <w:t>1.1. Struktura</w:t>
      </w:r>
      <w:bookmarkEnd w:id="11"/>
    </w:p>
    <w:p w14:paraId="6F75945A" w14:textId="77777777" w:rsidR="00A11402" w:rsidRPr="00E02BB9" w:rsidRDefault="00E02BB9">
      <w:pPr>
        <w:spacing w:line="256" w:lineRule="auto"/>
        <w:ind w:left="993" w:hanging="504"/>
        <w:jc w:val="both"/>
        <w:rPr>
          <w:rFonts w:ascii="Times New Roman" w:hAnsi="Times New Roman" w:cs="Times New Roman"/>
        </w:rPr>
      </w:pPr>
      <w:r w:rsidRPr="00E02BB9">
        <w:rPr>
          <w:rFonts w:ascii="Times New Roman" w:hAnsi="Times New Roman" w:cs="Times New Roman"/>
        </w:rPr>
        <w:t>1.</w:t>
      </w:r>
      <w:r w:rsidRPr="00E02BB9">
        <w:rPr>
          <w:rFonts w:ascii="Times New Roman" w:hAnsi="Times New Roman" w:cs="Times New Roman"/>
        </w:rPr>
        <w:tab/>
      </w:r>
      <w:r w:rsidRPr="00E02BB9">
        <w:rPr>
          <w:rFonts w:ascii="Times New Roman" w:hAnsi="Times New Roman"/>
        </w:rPr>
        <w:t>Općenito, izvješćivanje o kriteriju kapitala gru</w:t>
      </w:r>
      <w:r w:rsidRPr="00E02BB9">
        <w:rPr>
          <w:rFonts w:ascii="Times New Roman" w:hAnsi="Times New Roman"/>
        </w:rPr>
        <w:t>pe obuhvaća dva obrasca:</w:t>
      </w:r>
    </w:p>
    <w:p w14:paraId="0CC9447F" w14:textId="77777777" w:rsidR="00A11402" w:rsidRPr="00E02BB9" w:rsidRDefault="00E02BB9">
      <w:pPr>
        <w:spacing w:line="256" w:lineRule="auto"/>
        <w:ind w:left="1728" w:hanging="648"/>
        <w:jc w:val="both"/>
        <w:rPr>
          <w:rFonts w:ascii="Times New Roman" w:hAnsi="Times New Roman" w:cs="Times New Roman"/>
        </w:rPr>
      </w:pPr>
      <w:r w:rsidRPr="00E02BB9">
        <w:rPr>
          <w:rFonts w:ascii="Times New Roman" w:hAnsi="Times New Roman" w:cs="Times New Roman"/>
        </w:rPr>
        <w:t>(a)</w:t>
      </w:r>
      <w:r w:rsidRPr="00E02BB9">
        <w:rPr>
          <w:rFonts w:ascii="Times New Roman" w:hAnsi="Times New Roman" w:cs="Times New Roman"/>
        </w:rPr>
        <w:tab/>
      </w:r>
      <w:r w:rsidRPr="00E02BB9">
        <w:rPr>
          <w:rFonts w:ascii="Times New Roman" w:hAnsi="Times New Roman"/>
        </w:rPr>
        <w:t>sastav regulatornog kapitala;</w:t>
      </w:r>
    </w:p>
    <w:p w14:paraId="20558319" w14:textId="77777777" w:rsidR="00A11402" w:rsidRPr="00E02BB9" w:rsidRDefault="00E02BB9">
      <w:pPr>
        <w:spacing w:line="256" w:lineRule="auto"/>
        <w:ind w:left="1728" w:hanging="648"/>
        <w:jc w:val="both"/>
        <w:rPr>
          <w:rFonts w:ascii="Times New Roman" w:hAnsi="Times New Roman" w:cs="Times New Roman"/>
        </w:rPr>
      </w:pPr>
      <w:r w:rsidRPr="00E02BB9">
        <w:rPr>
          <w:rFonts w:ascii="Times New Roman" w:hAnsi="Times New Roman" w:cs="Times New Roman"/>
        </w:rPr>
        <w:t>(b)</w:t>
      </w:r>
      <w:r w:rsidRPr="00E02BB9">
        <w:rPr>
          <w:rFonts w:ascii="Times New Roman" w:hAnsi="Times New Roman" w:cs="Times New Roman"/>
        </w:rPr>
        <w:tab/>
      </w:r>
      <w:r w:rsidRPr="00E02BB9">
        <w:rPr>
          <w:rFonts w:ascii="Times New Roman" w:hAnsi="Times New Roman"/>
        </w:rPr>
        <w:t>instrumenti regulatornog kapitala.</w:t>
      </w:r>
    </w:p>
    <w:p w14:paraId="0B930A16" w14:textId="77777777" w:rsidR="00A11402" w:rsidRPr="00E02BB9" w:rsidRDefault="00E02BB9">
      <w:pPr>
        <w:pStyle w:val="InstructionsText2"/>
        <w:numPr>
          <w:ilvl w:val="0"/>
          <w:numId w:val="0"/>
        </w:numPr>
        <w:ind w:left="360" w:hanging="360"/>
      </w:pPr>
      <w:r w:rsidRPr="00E02BB9">
        <w:t>2.</w:t>
      </w:r>
      <w:r w:rsidRPr="00E02BB9">
        <w:tab/>
        <w:t>Za svaki je obrazac navedena pravna osnova. Ovaj dio Uredbe sadržava dodatne detaljne informacije o općenitijim aspektima izvješćivanja u svakoj skupini ob</w:t>
      </w:r>
      <w:r w:rsidRPr="00E02BB9">
        <w:t>razaca, upute za specifične pozicije te pravila validacije.</w:t>
      </w:r>
    </w:p>
    <w:p w14:paraId="22F6A3B8" w14:textId="77777777" w:rsidR="00A11402" w:rsidRPr="00E02BB9" w:rsidRDefault="00E02BB9">
      <w:pPr>
        <w:keepNext/>
        <w:spacing w:before="240" w:after="240" w:line="240" w:lineRule="auto"/>
        <w:jc w:val="both"/>
        <w:outlineLvl w:val="1"/>
        <w:rPr>
          <w:rFonts w:ascii="Times New Roman" w:eastAsia="Arial" w:hAnsi="Times New Roman" w:cs="Times New Roman"/>
          <w:sz w:val="24"/>
          <w:szCs w:val="24"/>
          <w:u w:val="single"/>
        </w:rPr>
      </w:pPr>
      <w:bookmarkStart w:id="12" w:name="_Toc88141050"/>
      <w:r w:rsidRPr="00E02BB9">
        <w:rPr>
          <w:rFonts w:ascii="Times New Roman" w:hAnsi="Times New Roman"/>
          <w:sz w:val="24"/>
          <w:szCs w:val="24"/>
          <w:u w:val="single"/>
        </w:rPr>
        <w:lastRenderedPageBreak/>
        <w:t>1.2. Pravila označivanja brojevima</w:t>
      </w:r>
      <w:bookmarkEnd w:id="12"/>
    </w:p>
    <w:p w14:paraId="6AF38662" w14:textId="77777777" w:rsidR="00A11402" w:rsidRPr="00E02BB9" w:rsidRDefault="00E02BB9">
      <w:pPr>
        <w:pStyle w:val="InstructionsText2"/>
        <w:numPr>
          <w:ilvl w:val="0"/>
          <w:numId w:val="0"/>
        </w:numPr>
        <w:ind w:left="360" w:hanging="360"/>
      </w:pPr>
      <w:r w:rsidRPr="00E02BB9">
        <w:t>3.</w:t>
      </w:r>
      <w:r w:rsidRPr="00E02BB9">
        <w:tab/>
        <w:t>Pri upućivanju na stupce, retke i rubrike obrazaca u dokumentu se poštuju pravila označivanja iz točaka od 4. do 7. Te se brojčane oznake u velikoj mjeri kori</w:t>
      </w:r>
      <w:r w:rsidRPr="00E02BB9">
        <w:t>ste u pravilima validacije.</w:t>
      </w:r>
    </w:p>
    <w:p w14:paraId="1B7754D1" w14:textId="77777777" w:rsidR="00A11402" w:rsidRPr="00E02BB9" w:rsidRDefault="00E02BB9">
      <w:pPr>
        <w:pStyle w:val="InstructionsText2"/>
        <w:numPr>
          <w:ilvl w:val="0"/>
          <w:numId w:val="0"/>
        </w:numPr>
        <w:ind w:left="360" w:hanging="360"/>
      </w:pPr>
      <w:r w:rsidRPr="00E02BB9">
        <w:t>4.</w:t>
      </w:r>
      <w:r w:rsidRPr="00E02BB9">
        <w:tab/>
        <w:t>U uputama se primjenjuje sljedeća opća bilješka: {Obrazac; Redak; stupac}.</w:t>
      </w:r>
    </w:p>
    <w:p w14:paraId="4BFD891A" w14:textId="77777777" w:rsidR="00A11402" w:rsidRPr="00E02BB9" w:rsidRDefault="00E02BB9">
      <w:pPr>
        <w:pStyle w:val="InstructionsText2"/>
        <w:numPr>
          <w:ilvl w:val="0"/>
          <w:numId w:val="0"/>
        </w:numPr>
        <w:ind w:left="360" w:hanging="360"/>
      </w:pPr>
      <w:r w:rsidRPr="00E02BB9">
        <w:t>5.</w:t>
      </w:r>
      <w:r w:rsidRPr="00E02BB9">
        <w:tab/>
        <w:t>U slučaju validacija u okviru obrasca pri kojima se koriste samo podaci iz tog obrasca, bilješkama se ne upućuje na obrazac: {Redak; stupac}.</w:t>
      </w:r>
    </w:p>
    <w:p w14:paraId="5881869B" w14:textId="77777777" w:rsidR="00A11402" w:rsidRPr="00E02BB9" w:rsidRDefault="00E02BB9">
      <w:pPr>
        <w:pStyle w:val="InstructionsText2"/>
        <w:numPr>
          <w:ilvl w:val="0"/>
          <w:numId w:val="0"/>
        </w:numPr>
        <w:ind w:left="360" w:hanging="360"/>
      </w:pPr>
      <w:r w:rsidRPr="00E02BB9">
        <w:t>6.</w:t>
      </w:r>
      <w:r w:rsidRPr="00E02BB9">
        <w:tab/>
        <w:t xml:space="preserve">U </w:t>
      </w:r>
      <w:r w:rsidRPr="00E02BB9">
        <w:t>slučaju obrazaca samo s jednim stupcem upućuje se samo na retke: {Obrazac; Redak}.</w:t>
      </w:r>
    </w:p>
    <w:p w14:paraId="7C15D22E" w14:textId="77777777" w:rsidR="00A11402" w:rsidRPr="00E02BB9" w:rsidRDefault="00E02BB9">
      <w:pPr>
        <w:pStyle w:val="InstructionsText2"/>
        <w:numPr>
          <w:ilvl w:val="0"/>
          <w:numId w:val="0"/>
        </w:numPr>
        <w:ind w:left="360" w:hanging="360"/>
      </w:pPr>
      <w:r w:rsidRPr="00E02BB9">
        <w:t>7.</w:t>
      </w:r>
      <w:r w:rsidRPr="00E02BB9">
        <w:tab/>
        <w:t>Znak zvjezdice koristi se kako bi se naznačilo da je validacija izvršena za prethodno navedene retke ili stupce.</w:t>
      </w:r>
    </w:p>
    <w:p w14:paraId="6C2D21CC" w14:textId="77777777" w:rsidR="00A11402" w:rsidRPr="00E02BB9" w:rsidRDefault="00E02BB9">
      <w:pPr>
        <w:keepNext/>
        <w:spacing w:before="240" w:after="240" w:line="240" w:lineRule="auto"/>
        <w:jc w:val="both"/>
        <w:outlineLvl w:val="1"/>
        <w:rPr>
          <w:rFonts w:ascii="Times New Roman" w:eastAsia="Arial" w:hAnsi="Times New Roman" w:cs="Times New Roman"/>
          <w:sz w:val="24"/>
          <w:szCs w:val="24"/>
          <w:u w:val="single"/>
        </w:rPr>
      </w:pPr>
      <w:bookmarkStart w:id="13" w:name="_Toc88141051"/>
      <w:r w:rsidRPr="00E02BB9">
        <w:rPr>
          <w:rFonts w:ascii="Times New Roman" w:hAnsi="Times New Roman"/>
          <w:sz w:val="24"/>
          <w:szCs w:val="24"/>
          <w:u w:val="single"/>
        </w:rPr>
        <w:t>1.3. Pravila o predznaku</w:t>
      </w:r>
      <w:bookmarkEnd w:id="13"/>
    </w:p>
    <w:p w14:paraId="1A768F50" w14:textId="77777777" w:rsidR="00A11402" w:rsidRPr="00E02BB9" w:rsidRDefault="00E02BB9">
      <w:pPr>
        <w:pStyle w:val="InstructionsText2"/>
        <w:numPr>
          <w:ilvl w:val="0"/>
          <w:numId w:val="0"/>
        </w:numPr>
        <w:ind w:left="360" w:hanging="360"/>
      </w:pPr>
      <w:r w:rsidRPr="00E02BB9">
        <w:t>8.</w:t>
      </w:r>
      <w:r w:rsidRPr="00E02BB9">
        <w:tab/>
        <w:t xml:space="preserve">Svaki iznos kojim se </w:t>
      </w:r>
      <w:r w:rsidRPr="00E02BB9">
        <w:t>povećava regulatorni kapital, kapitalni zahtjevi ili likvidnosni zahtjevi iskazuje se kao pozitivna vrijednost. Nasuprot tome, svaki iznos kojim se ukupni regulatorni kapital ili kapitalni zahtjevi umanjuju iskazuje se kao negativna vrijednost. Uz stavku k</w:t>
      </w:r>
      <w:r w:rsidRPr="00E02BB9">
        <w:t>ojoj prethodi negativan predznak (–) ne očekuje se navođenje pozitivnog broja.</w:t>
      </w:r>
    </w:p>
    <w:p w14:paraId="5164C1CF" w14:textId="77777777" w:rsidR="00A11402" w:rsidRPr="00E02BB9" w:rsidRDefault="00E02BB9">
      <w:pPr>
        <w:pStyle w:val="Heading2"/>
        <w:rPr>
          <w:rFonts w:ascii="Times New Roman" w:hAnsi="Times New Roman"/>
        </w:rPr>
      </w:pPr>
      <w:bookmarkStart w:id="14" w:name="_Toc88141052"/>
      <w:r w:rsidRPr="00E02BB9">
        <w:rPr>
          <w:rFonts w:ascii="Times New Roman" w:hAnsi="Times New Roman"/>
        </w:rPr>
        <w:t>DIO II. UPUTE ZA OBRASCE</w:t>
      </w:r>
      <w:bookmarkEnd w:id="6"/>
      <w:bookmarkEnd w:id="7"/>
      <w:bookmarkEnd w:id="8"/>
      <w:bookmarkEnd w:id="14"/>
    </w:p>
    <w:p w14:paraId="216C028F" w14:textId="77777777" w:rsidR="00A11402" w:rsidRPr="00E02BB9" w:rsidRDefault="00E02BB9">
      <w:pPr>
        <w:pStyle w:val="Instructionsberschrift2"/>
        <w:ind w:left="357" w:hanging="357"/>
        <w:rPr>
          <w:rFonts w:ascii="Times New Roman" w:hAnsi="Times New Roman" w:cs="Times New Roman"/>
          <w:b/>
          <w:sz w:val="24"/>
        </w:rPr>
      </w:pPr>
      <w:bookmarkStart w:id="15" w:name="_Toc88141053"/>
      <w:r w:rsidRPr="00E02BB9">
        <w:rPr>
          <w:rFonts w:ascii="Times New Roman" w:hAnsi="Times New Roman"/>
          <w:b/>
          <w:sz w:val="24"/>
          <w:u w:val="none"/>
        </w:rPr>
        <w:t>1. REGULATORNI KAPITAL: RAZINA, SASTAV, ZAHTJEVI I IZRAČUN</w:t>
      </w:r>
      <w:bookmarkEnd w:id="15"/>
    </w:p>
    <w:p w14:paraId="47AAF20E" w14:textId="77777777" w:rsidR="00A11402" w:rsidRPr="00E02BB9" w:rsidRDefault="00E02BB9">
      <w:pPr>
        <w:pStyle w:val="Instructionsberschrift2"/>
        <w:ind w:left="357" w:hanging="357"/>
        <w:rPr>
          <w:rFonts w:ascii="Times New Roman" w:hAnsi="Times New Roman" w:cs="Times New Roman"/>
          <w:sz w:val="24"/>
        </w:rPr>
      </w:pPr>
      <w:bookmarkStart w:id="16" w:name="_Toc88141054"/>
      <w:r w:rsidRPr="00E02BB9">
        <w:rPr>
          <w:rFonts w:ascii="Times New Roman" w:hAnsi="Times New Roman"/>
          <w:sz w:val="24"/>
          <w:u w:val="none"/>
        </w:rPr>
        <w:t xml:space="preserve">1.1. </w:t>
      </w:r>
      <w:r w:rsidRPr="00E02BB9">
        <w:rPr>
          <w:rFonts w:ascii="Times New Roman" w:hAnsi="Times New Roman"/>
          <w:sz w:val="24"/>
        </w:rPr>
        <w:t>Opće napomene</w:t>
      </w:r>
      <w:bookmarkEnd w:id="16"/>
    </w:p>
    <w:p w14:paraId="0414CF38" w14:textId="77777777" w:rsidR="00A11402" w:rsidRPr="00E02BB9" w:rsidRDefault="00E02BB9">
      <w:pPr>
        <w:spacing w:line="256" w:lineRule="auto"/>
        <w:ind w:left="993" w:hanging="567"/>
        <w:jc w:val="both"/>
        <w:rPr>
          <w:rFonts w:ascii="Times New Roman" w:hAnsi="Times New Roman" w:cs="Times New Roman"/>
          <w:sz w:val="24"/>
        </w:rPr>
      </w:pPr>
      <w:r w:rsidRPr="00E02BB9">
        <w:rPr>
          <w:rFonts w:ascii="Times New Roman" w:hAnsi="Times New Roman" w:cs="Times New Roman"/>
          <w:sz w:val="24"/>
        </w:rPr>
        <w:t>10.</w:t>
      </w:r>
      <w:r w:rsidRPr="00E02BB9">
        <w:rPr>
          <w:rFonts w:ascii="Times New Roman" w:hAnsi="Times New Roman" w:cs="Times New Roman"/>
          <w:sz w:val="24"/>
        </w:rPr>
        <w:tab/>
      </w:r>
      <w:r w:rsidRPr="00E02BB9">
        <w:rPr>
          <w:rFonts w:ascii="Times New Roman" w:hAnsi="Times New Roman"/>
          <w:sz w:val="24"/>
        </w:rPr>
        <w:t>Odjeljak s pregledom regulatornog kapitala sadržava informacije o regu</w:t>
      </w:r>
      <w:r w:rsidRPr="00E02BB9">
        <w:rPr>
          <w:rFonts w:ascii="Times New Roman" w:hAnsi="Times New Roman"/>
          <w:sz w:val="24"/>
        </w:rPr>
        <w:t>latornom kapitalu i kapitalnim zahtjevima investicijskog društva. Sadržava dva obrasca:</w:t>
      </w:r>
    </w:p>
    <w:p w14:paraId="2D5E3970" w14:textId="77777777" w:rsidR="00A11402" w:rsidRPr="00E02BB9" w:rsidRDefault="00E02BB9">
      <w:pPr>
        <w:spacing w:line="256" w:lineRule="auto"/>
        <w:ind w:left="1728" w:hanging="648"/>
        <w:jc w:val="both"/>
        <w:rPr>
          <w:rFonts w:ascii="Times New Roman" w:hAnsi="Times New Roman" w:cs="Times New Roman"/>
          <w:sz w:val="24"/>
        </w:rPr>
      </w:pPr>
      <w:r w:rsidRPr="00E02BB9">
        <w:rPr>
          <w:rFonts w:ascii="Times New Roman" w:hAnsi="Times New Roman" w:cs="Times New Roman"/>
          <w:sz w:val="24"/>
        </w:rPr>
        <w:t>(a)</w:t>
      </w:r>
      <w:r w:rsidRPr="00E02BB9">
        <w:rPr>
          <w:rFonts w:ascii="Times New Roman" w:hAnsi="Times New Roman" w:cs="Times New Roman"/>
          <w:sz w:val="24"/>
        </w:rPr>
        <w:tab/>
      </w:r>
      <w:r w:rsidRPr="00E02BB9">
        <w:rPr>
          <w:rFonts w:ascii="Times New Roman" w:hAnsi="Times New Roman"/>
          <w:sz w:val="24"/>
        </w:rPr>
        <w:t>obrazac I 11.01 odnosi se na sastav regulatornog kapitala investicijskog društva: redovni osnovni kapital (CET1), dodatni osnovni kapital (AT1) i dopunski kapital (</w:t>
      </w:r>
      <w:r w:rsidRPr="00E02BB9">
        <w:rPr>
          <w:rFonts w:ascii="Times New Roman" w:hAnsi="Times New Roman"/>
          <w:sz w:val="24"/>
        </w:rPr>
        <w:t>T2);</w:t>
      </w:r>
    </w:p>
    <w:p w14:paraId="12CE49F8" w14:textId="77777777" w:rsidR="00A11402" w:rsidRPr="00E02BB9" w:rsidRDefault="00E02BB9">
      <w:pPr>
        <w:spacing w:line="256" w:lineRule="auto"/>
        <w:ind w:left="1728" w:hanging="648"/>
        <w:jc w:val="both"/>
        <w:rPr>
          <w:rFonts w:ascii="Times New Roman" w:hAnsi="Times New Roman" w:cs="Times New Roman"/>
          <w:sz w:val="24"/>
        </w:rPr>
      </w:pPr>
      <w:r w:rsidRPr="00E02BB9">
        <w:rPr>
          <w:rFonts w:ascii="Times New Roman" w:hAnsi="Times New Roman" w:cs="Times New Roman"/>
          <w:sz w:val="24"/>
        </w:rPr>
        <w:t>(b)</w:t>
      </w:r>
      <w:r w:rsidRPr="00E02BB9">
        <w:rPr>
          <w:rFonts w:ascii="Times New Roman" w:hAnsi="Times New Roman" w:cs="Times New Roman"/>
          <w:sz w:val="24"/>
        </w:rPr>
        <w:tab/>
      </w:r>
      <w:r w:rsidRPr="00E02BB9">
        <w:rPr>
          <w:rFonts w:ascii="Times New Roman" w:hAnsi="Times New Roman"/>
          <w:sz w:val="24"/>
        </w:rPr>
        <w:t>obrazac I 11.02 obuhvaća informacije o „kapitalnim zahtjevima” u kontekstu kriterija kapitala grupe, tj. unutargrupnim ulaganjima, potencijalnim obvezama i ukupnim kapitalnim zahtjevima društava kćeri;</w:t>
      </w:r>
    </w:p>
    <w:p w14:paraId="0EF85F20" w14:textId="77777777" w:rsidR="00A11402" w:rsidRPr="00E02BB9" w:rsidRDefault="00E02BB9">
      <w:pPr>
        <w:spacing w:line="256" w:lineRule="auto"/>
        <w:ind w:left="1728" w:hanging="648"/>
        <w:jc w:val="both"/>
        <w:rPr>
          <w:rFonts w:ascii="Times New Roman" w:hAnsi="Times New Roman" w:cs="Times New Roman"/>
          <w:sz w:val="24"/>
        </w:rPr>
      </w:pPr>
      <w:r w:rsidRPr="00E02BB9">
        <w:rPr>
          <w:rFonts w:ascii="Times New Roman" w:hAnsi="Times New Roman" w:cs="Times New Roman"/>
          <w:sz w:val="24"/>
        </w:rPr>
        <w:t>(c)</w:t>
      </w:r>
      <w:r w:rsidRPr="00E02BB9">
        <w:rPr>
          <w:rFonts w:ascii="Times New Roman" w:hAnsi="Times New Roman" w:cs="Times New Roman"/>
          <w:sz w:val="24"/>
        </w:rPr>
        <w:tab/>
      </w:r>
      <w:r w:rsidRPr="00E02BB9">
        <w:rPr>
          <w:rFonts w:ascii="Times New Roman" w:hAnsi="Times New Roman"/>
          <w:sz w:val="24"/>
        </w:rPr>
        <w:t>obrazac I 11.03 obuhvaća relevantne infor</w:t>
      </w:r>
      <w:r w:rsidRPr="00E02BB9">
        <w:rPr>
          <w:rFonts w:ascii="Times New Roman" w:hAnsi="Times New Roman"/>
          <w:sz w:val="24"/>
        </w:rPr>
        <w:t>macije o kapitalnim zahtjevima, potencijalnim obvezama, podređenim potraživanjima i ulaganjima subjekata financijskog sektora na razini društva kćeri, koje su raščlanjene po subjektima.</w:t>
      </w:r>
    </w:p>
    <w:p w14:paraId="696612A8" w14:textId="77777777" w:rsidR="00A11402" w:rsidRPr="00E02BB9" w:rsidRDefault="00E02BB9">
      <w:pPr>
        <w:spacing w:line="256" w:lineRule="auto"/>
        <w:ind w:left="993" w:hanging="567"/>
        <w:jc w:val="both"/>
        <w:rPr>
          <w:rFonts w:ascii="Times New Roman" w:hAnsi="Times New Roman" w:cs="Times New Roman"/>
          <w:sz w:val="24"/>
        </w:rPr>
      </w:pPr>
      <w:r w:rsidRPr="00E02BB9">
        <w:rPr>
          <w:rFonts w:ascii="Times New Roman" w:hAnsi="Times New Roman" w:cs="Times New Roman"/>
          <w:sz w:val="24"/>
        </w:rPr>
        <w:t>11.</w:t>
      </w:r>
      <w:r w:rsidRPr="00E02BB9">
        <w:rPr>
          <w:rFonts w:ascii="Times New Roman" w:hAnsi="Times New Roman" w:cs="Times New Roman"/>
          <w:sz w:val="24"/>
        </w:rPr>
        <w:tab/>
      </w:r>
      <w:r w:rsidRPr="00E02BB9">
        <w:rPr>
          <w:rFonts w:ascii="Times New Roman" w:hAnsi="Times New Roman"/>
          <w:sz w:val="24"/>
        </w:rPr>
        <w:t>Za stavke u ovim obrascima nisu u obzir uzeta prijelazna usklađenj</w:t>
      </w:r>
      <w:r w:rsidRPr="00E02BB9">
        <w:rPr>
          <w:rFonts w:ascii="Times New Roman" w:hAnsi="Times New Roman"/>
          <w:sz w:val="24"/>
        </w:rPr>
        <w:t>a. To znači da se iznosi (osim ako je posebno naveden prijelazni kapitalni zahtjev) izračunavaju u skladu sa završnim odredbama (tj. kao da nema prijelaznih odredbi).</w:t>
      </w:r>
    </w:p>
    <w:p w14:paraId="0BE6B48A" w14:textId="77777777" w:rsidR="00A11402" w:rsidRPr="00E02BB9" w:rsidRDefault="00E02BB9">
      <w:pPr>
        <w:pStyle w:val="Instructionsberschrift2"/>
        <w:ind w:left="357" w:hanging="357"/>
        <w:rPr>
          <w:rFonts w:ascii="Times New Roman" w:hAnsi="Times New Roman" w:cs="Times New Roman"/>
          <w:sz w:val="24"/>
        </w:rPr>
      </w:pPr>
      <w:bookmarkStart w:id="17" w:name="_Toc88141055"/>
      <w:r w:rsidRPr="00E02BB9">
        <w:rPr>
          <w:rFonts w:ascii="Times New Roman" w:hAnsi="Times New Roman"/>
          <w:sz w:val="24"/>
        </w:rPr>
        <w:lastRenderedPageBreak/>
        <w:t>1.2. I 11.01 – SASTAV REGULATORNOG KAPITALA – KRITERIJ KAPITALA GRUPE (I11.1)</w:t>
      </w:r>
      <w:bookmarkEnd w:id="17"/>
    </w:p>
    <w:p w14:paraId="2CA8CF20" w14:textId="77777777" w:rsidR="00A11402" w:rsidRPr="00E02BB9" w:rsidRDefault="00E02BB9">
      <w:pPr>
        <w:pStyle w:val="Instructionsberschrift2"/>
        <w:ind w:left="357" w:hanging="357"/>
        <w:rPr>
          <w:rFonts w:ascii="Times New Roman" w:hAnsi="Times New Roman" w:cs="Times New Roman"/>
          <w:sz w:val="24"/>
        </w:rPr>
      </w:pPr>
      <w:bookmarkStart w:id="18" w:name="_Toc88141056"/>
      <w:r w:rsidRPr="00E02BB9">
        <w:rPr>
          <w:rFonts w:ascii="Times New Roman" w:hAnsi="Times New Roman"/>
          <w:sz w:val="24"/>
          <w:u w:val="none"/>
        </w:rPr>
        <w:t>1.2.1</w:t>
      </w:r>
      <w:r w:rsidRPr="00E02BB9">
        <w:rPr>
          <w:rFonts w:ascii="Times New Roman" w:hAnsi="Times New Roman"/>
          <w:sz w:val="24"/>
          <w:u w:val="none"/>
        </w:rPr>
        <w:tab/>
      </w:r>
      <w:r w:rsidRPr="00E02BB9">
        <w:rPr>
          <w:rFonts w:ascii="Times New Roman" w:hAnsi="Times New Roman"/>
          <w:sz w:val="24"/>
        </w:rPr>
        <w:t>Upute</w:t>
      </w:r>
      <w:r w:rsidRPr="00E02BB9">
        <w:rPr>
          <w:rFonts w:ascii="Times New Roman" w:hAnsi="Times New Roman"/>
          <w:sz w:val="24"/>
        </w:rPr>
        <w:t xml:space="preserve"> za specifične pozicije</w:t>
      </w:r>
      <w:bookmarkEnd w:id="18"/>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A11402" w:rsidRPr="00E02BB9" w14:paraId="624AC166" w14:textId="77777777">
        <w:tc>
          <w:tcPr>
            <w:tcW w:w="1129" w:type="dxa"/>
            <w:shd w:val="clear" w:color="auto" w:fill="D9D9D9"/>
          </w:tcPr>
          <w:p w14:paraId="631ED2EB" w14:textId="77777777" w:rsidR="00A11402" w:rsidRPr="00E02BB9" w:rsidRDefault="00E02BB9">
            <w:pPr>
              <w:spacing w:after="120" w:line="240" w:lineRule="auto"/>
              <w:jc w:val="both"/>
              <w:rPr>
                <w:rFonts w:ascii="Times New Roman" w:eastAsia="Times New Roman" w:hAnsi="Times New Roman" w:cs="Times New Roman"/>
                <w:bCs/>
              </w:rPr>
            </w:pPr>
            <w:r w:rsidRPr="00E02BB9">
              <w:rPr>
                <w:rFonts w:ascii="Times New Roman" w:hAnsi="Times New Roman"/>
              </w:rPr>
              <w:t>Redak</w:t>
            </w:r>
          </w:p>
        </w:tc>
        <w:tc>
          <w:tcPr>
            <w:tcW w:w="7620" w:type="dxa"/>
            <w:shd w:val="clear" w:color="auto" w:fill="D9D9D9"/>
          </w:tcPr>
          <w:p w14:paraId="308E6879" w14:textId="77777777" w:rsidR="00A11402" w:rsidRPr="00E02BB9" w:rsidRDefault="00E02BB9">
            <w:pPr>
              <w:spacing w:after="120" w:line="240" w:lineRule="auto"/>
              <w:jc w:val="both"/>
              <w:rPr>
                <w:rFonts w:ascii="Times New Roman" w:eastAsia="Times New Roman" w:hAnsi="Times New Roman" w:cs="Times New Roman"/>
                <w:bCs/>
              </w:rPr>
            </w:pPr>
            <w:r w:rsidRPr="00E02BB9">
              <w:rPr>
                <w:rFonts w:ascii="Times New Roman" w:hAnsi="Times New Roman"/>
              </w:rPr>
              <w:t>Pravna osnova i upute</w:t>
            </w:r>
          </w:p>
        </w:tc>
      </w:tr>
      <w:tr w:rsidR="00A11402" w:rsidRPr="00E02BB9" w14:paraId="183CABDC" w14:textId="77777777">
        <w:tc>
          <w:tcPr>
            <w:tcW w:w="1129" w:type="dxa"/>
          </w:tcPr>
          <w:p w14:paraId="68EA3EEB" w14:textId="77777777" w:rsidR="00A11402" w:rsidRPr="00E02BB9" w:rsidRDefault="00E02BB9">
            <w:pPr>
              <w:spacing w:after="120" w:line="240" w:lineRule="auto"/>
              <w:jc w:val="both"/>
              <w:rPr>
                <w:rFonts w:ascii="Times New Roman" w:eastAsia="Times New Roman" w:hAnsi="Times New Roman" w:cs="Times New Roman"/>
                <w:bCs/>
              </w:rPr>
            </w:pPr>
            <w:r w:rsidRPr="00E02BB9">
              <w:rPr>
                <w:rFonts w:ascii="Times New Roman" w:hAnsi="Times New Roman"/>
                <w:bCs/>
              </w:rPr>
              <w:t>0010</w:t>
            </w:r>
          </w:p>
        </w:tc>
        <w:tc>
          <w:tcPr>
            <w:tcW w:w="7620" w:type="dxa"/>
          </w:tcPr>
          <w:p w14:paraId="7D7CA78B" w14:textId="77777777" w:rsidR="00A11402" w:rsidRPr="00E02BB9" w:rsidRDefault="00E02BB9">
            <w:pPr>
              <w:spacing w:after="120" w:line="240" w:lineRule="auto"/>
              <w:jc w:val="both"/>
              <w:rPr>
                <w:rFonts w:ascii="Times New Roman" w:eastAsia="Times New Roman" w:hAnsi="Times New Roman" w:cs="Times New Roman"/>
                <w:b/>
                <w:bCs/>
                <w:u w:val="single"/>
              </w:rPr>
            </w:pPr>
            <w:r w:rsidRPr="00E02BB9">
              <w:rPr>
                <w:rFonts w:ascii="Times New Roman" w:hAnsi="Times New Roman"/>
                <w:b/>
                <w:bCs/>
                <w:u w:val="single"/>
              </w:rPr>
              <w:t>REGULATORNI KAPITAL</w:t>
            </w:r>
          </w:p>
          <w:p w14:paraId="32346819" w14:textId="77777777" w:rsidR="00A11402" w:rsidRPr="00E02BB9" w:rsidRDefault="00E02BB9">
            <w:pPr>
              <w:spacing w:after="120" w:line="240" w:lineRule="auto"/>
              <w:jc w:val="both"/>
              <w:rPr>
                <w:rFonts w:ascii="Times New Roman" w:eastAsia="Times New Roman" w:hAnsi="Times New Roman" w:cs="Times New Roman"/>
                <w:bCs/>
              </w:rPr>
            </w:pPr>
            <w:r w:rsidRPr="00E02BB9">
              <w:rPr>
                <w:rFonts w:ascii="Times New Roman" w:hAnsi="Times New Roman"/>
                <w:bCs/>
              </w:rPr>
              <w:t>Članak 9. stavak 1. Uredbe (EU) 2019/2033</w:t>
            </w:r>
          </w:p>
          <w:p w14:paraId="1F8A5070" w14:textId="77777777" w:rsidR="00A11402" w:rsidRPr="00E02BB9" w:rsidRDefault="00E02BB9">
            <w:pPr>
              <w:spacing w:after="120" w:line="240" w:lineRule="auto"/>
              <w:jc w:val="both"/>
              <w:rPr>
                <w:rFonts w:ascii="Times New Roman" w:eastAsia="Times New Roman" w:hAnsi="Times New Roman" w:cs="Times New Roman"/>
                <w:b/>
                <w:bCs/>
                <w:u w:val="single"/>
              </w:rPr>
            </w:pPr>
            <w:r w:rsidRPr="00E02BB9">
              <w:rPr>
                <w:rStyle w:val="FormatvorlageInstructionsTabelleText"/>
                <w:rFonts w:ascii="Times New Roman" w:hAnsi="Times New Roman"/>
                <w:sz w:val="22"/>
              </w:rPr>
              <w:t>Regulatorni kapital investicijskog društva sastoji se od zbroja njegova osnovnog kapitala i dopunskog kapitala.</w:t>
            </w:r>
          </w:p>
        </w:tc>
      </w:tr>
      <w:tr w:rsidR="00A11402" w:rsidRPr="00E02BB9" w14:paraId="442B8012" w14:textId="77777777">
        <w:tc>
          <w:tcPr>
            <w:tcW w:w="1129" w:type="dxa"/>
          </w:tcPr>
          <w:p w14:paraId="6A99E239" w14:textId="77777777" w:rsidR="00A11402" w:rsidRPr="00E02BB9" w:rsidRDefault="00E02BB9">
            <w:pPr>
              <w:spacing w:after="120" w:line="240" w:lineRule="auto"/>
              <w:jc w:val="both"/>
              <w:rPr>
                <w:rFonts w:ascii="Times New Roman" w:eastAsia="Times New Roman" w:hAnsi="Times New Roman" w:cs="Times New Roman"/>
                <w:bCs/>
              </w:rPr>
            </w:pPr>
            <w:r w:rsidRPr="00E02BB9">
              <w:rPr>
                <w:rFonts w:ascii="Times New Roman" w:hAnsi="Times New Roman"/>
                <w:bCs/>
              </w:rPr>
              <w:t>0020</w:t>
            </w:r>
          </w:p>
        </w:tc>
        <w:tc>
          <w:tcPr>
            <w:tcW w:w="7620" w:type="dxa"/>
          </w:tcPr>
          <w:p w14:paraId="2C88939A" w14:textId="77777777" w:rsidR="00A11402" w:rsidRPr="00E02BB9" w:rsidRDefault="00E02BB9">
            <w:pPr>
              <w:spacing w:after="120" w:line="240" w:lineRule="auto"/>
              <w:jc w:val="both"/>
              <w:rPr>
                <w:rFonts w:ascii="Times New Roman" w:eastAsia="Times New Roman" w:hAnsi="Times New Roman" w:cs="Times New Roman"/>
                <w:b/>
                <w:bCs/>
                <w:u w:val="single"/>
              </w:rPr>
            </w:pPr>
            <w:r w:rsidRPr="00E02BB9">
              <w:rPr>
                <w:rFonts w:ascii="Times New Roman" w:hAnsi="Times New Roman"/>
                <w:b/>
                <w:bCs/>
                <w:u w:val="single"/>
              </w:rPr>
              <w:t xml:space="preserve">OSNOVNI </w:t>
            </w:r>
            <w:r w:rsidRPr="00E02BB9">
              <w:rPr>
                <w:rFonts w:ascii="Times New Roman" w:hAnsi="Times New Roman"/>
                <w:b/>
                <w:bCs/>
                <w:u w:val="single"/>
              </w:rPr>
              <w:t>KAPITAL</w:t>
            </w:r>
          </w:p>
          <w:p w14:paraId="0E934E32" w14:textId="77777777" w:rsidR="00A11402" w:rsidRPr="00E02BB9" w:rsidRDefault="00E02BB9">
            <w:pPr>
              <w:spacing w:after="120" w:line="240" w:lineRule="auto"/>
              <w:jc w:val="both"/>
              <w:rPr>
                <w:rFonts w:ascii="Times New Roman" w:eastAsia="Times New Roman" w:hAnsi="Times New Roman" w:cs="Times New Roman"/>
                <w:b/>
                <w:bCs/>
                <w:u w:val="single"/>
              </w:rPr>
            </w:pPr>
            <w:r w:rsidRPr="00E02BB9">
              <w:rPr>
                <w:rStyle w:val="FormatvorlageInstructionsTabelleText"/>
                <w:rFonts w:ascii="Times New Roman" w:hAnsi="Times New Roman"/>
                <w:sz w:val="22"/>
              </w:rPr>
              <w:t>Osnovni kapital zbroj je redovnog osnovnog kapitala i dodatnog osnovnog kapitala.</w:t>
            </w:r>
          </w:p>
        </w:tc>
      </w:tr>
      <w:tr w:rsidR="00A11402" w:rsidRPr="00E02BB9" w14:paraId="36649248" w14:textId="77777777">
        <w:tc>
          <w:tcPr>
            <w:tcW w:w="1129" w:type="dxa"/>
          </w:tcPr>
          <w:p w14:paraId="53DD1D50" w14:textId="77777777" w:rsidR="00A11402" w:rsidRPr="00E02BB9" w:rsidRDefault="00E02BB9">
            <w:pPr>
              <w:spacing w:after="120" w:line="240" w:lineRule="auto"/>
              <w:jc w:val="both"/>
              <w:rPr>
                <w:rFonts w:ascii="Times New Roman" w:eastAsia="Times New Roman" w:hAnsi="Times New Roman" w:cs="Times New Roman"/>
                <w:bCs/>
              </w:rPr>
            </w:pPr>
            <w:r w:rsidRPr="00E02BB9">
              <w:rPr>
                <w:rFonts w:ascii="Times New Roman" w:hAnsi="Times New Roman"/>
                <w:bCs/>
              </w:rPr>
              <w:t>0030</w:t>
            </w:r>
          </w:p>
        </w:tc>
        <w:tc>
          <w:tcPr>
            <w:tcW w:w="7620" w:type="dxa"/>
          </w:tcPr>
          <w:p w14:paraId="64BA59AE" w14:textId="77777777" w:rsidR="00A11402" w:rsidRPr="00E02BB9" w:rsidRDefault="00E02BB9">
            <w:pPr>
              <w:spacing w:after="120" w:line="240" w:lineRule="auto"/>
              <w:jc w:val="both"/>
              <w:rPr>
                <w:rFonts w:ascii="Times New Roman" w:eastAsia="Times New Roman" w:hAnsi="Times New Roman" w:cs="Times New Roman"/>
                <w:b/>
                <w:bCs/>
                <w:u w:val="single"/>
              </w:rPr>
            </w:pPr>
            <w:r w:rsidRPr="00E02BB9">
              <w:rPr>
                <w:rStyle w:val="InstructionsTabelleberschrift"/>
                <w:rFonts w:ascii="Times New Roman" w:hAnsi="Times New Roman"/>
                <w:sz w:val="22"/>
              </w:rPr>
              <w:t>REDOVNI OSNOVNI KAPITAL</w:t>
            </w:r>
          </w:p>
          <w:p w14:paraId="5C0F5D53" w14:textId="77777777" w:rsidR="00A11402" w:rsidRPr="00E02BB9" w:rsidRDefault="00E02BB9">
            <w:pPr>
              <w:spacing w:after="120" w:line="240" w:lineRule="auto"/>
              <w:jc w:val="both"/>
              <w:rPr>
                <w:rFonts w:ascii="Times New Roman" w:eastAsia="Times New Roman" w:hAnsi="Times New Roman" w:cs="Times New Roman"/>
                <w:bCs/>
              </w:rPr>
            </w:pPr>
            <w:r w:rsidRPr="00E02BB9">
              <w:rPr>
                <w:rFonts w:ascii="Times New Roman" w:hAnsi="Times New Roman"/>
                <w:bCs/>
              </w:rPr>
              <w:t>Članak 9. stavak 1. Uredbe (EU) 2019/2033</w:t>
            </w:r>
          </w:p>
          <w:p w14:paraId="547C0F52" w14:textId="77777777" w:rsidR="00A11402" w:rsidRPr="00E02BB9" w:rsidRDefault="00E02BB9">
            <w:pPr>
              <w:spacing w:after="120" w:line="240" w:lineRule="auto"/>
              <w:jc w:val="both"/>
              <w:rPr>
                <w:rFonts w:ascii="Times New Roman" w:eastAsia="Times New Roman" w:hAnsi="Times New Roman" w:cs="Times New Roman"/>
                <w:bCs/>
              </w:rPr>
            </w:pPr>
            <w:r w:rsidRPr="00E02BB9">
              <w:rPr>
                <w:rStyle w:val="FormatvorlageInstructionsTabelleText"/>
                <w:rFonts w:ascii="Times New Roman" w:hAnsi="Times New Roman"/>
                <w:sz w:val="22"/>
              </w:rPr>
              <w:t>Članak 50. Uredbe (EU) br. 575/2013</w:t>
            </w:r>
          </w:p>
        </w:tc>
      </w:tr>
      <w:tr w:rsidR="00A11402" w:rsidRPr="00E02BB9" w14:paraId="5D9E979B" w14:textId="77777777">
        <w:tc>
          <w:tcPr>
            <w:tcW w:w="1129" w:type="dxa"/>
          </w:tcPr>
          <w:p w14:paraId="4B4CB7A9" w14:textId="77777777" w:rsidR="00A11402" w:rsidRPr="00E02BB9" w:rsidRDefault="00E02BB9">
            <w:pPr>
              <w:spacing w:after="120" w:line="240" w:lineRule="auto"/>
              <w:jc w:val="both"/>
              <w:rPr>
                <w:rFonts w:ascii="Times New Roman" w:eastAsia="Times New Roman" w:hAnsi="Times New Roman" w:cs="Times New Roman"/>
                <w:bCs/>
              </w:rPr>
            </w:pPr>
            <w:r w:rsidRPr="00E02BB9">
              <w:rPr>
                <w:rFonts w:ascii="Times New Roman" w:hAnsi="Times New Roman"/>
                <w:bCs/>
              </w:rPr>
              <w:t>0040</w:t>
            </w:r>
          </w:p>
        </w:tc>
        <w:tc>
          <w:tcPr>
            <w:tcW w:w="7620" w:type="dxa"/>
          </w:tcPr>
          <w:p w14:paraId="592EB0A0" w14:textId="77777777" w:rsidR="00A11402" w:rsidRPr="00E02BB9" w:rsidRDefault="00E02BB9">
            <w:pPr>
              <w:spacing w:after="120" w:line="240" w:lineRule="auto"/>
              <w:jc w:val="both"/>
              <w:rPr>
                <w:rFonts w:ascii="Times New Roman" w:eastAsia="Times New Roman" w:hAnsi="Times New Roman" w:cs="Times New Roman"/>
                <w:b/>
                <w:bCs/>
                <w:u w:val="single"/>
              </w:rPr>
            </w:pPr>
            <w:r w:rsidRPr="00E02BB9">
              <w:rPr>
                <w:rFonts w:ascii="Times New Roman" w:hAnsi="Times New Roman"/>
                <w:b/>
                <w:bCs/>
                <w:u w:val="single"/>
              </w:rPr>
              <w:t>U potpunosti plaćeni instrumenti kapitala</w:t>
            </w:r>
          </w:p>
          <w:p w14:paraId="6F3AC8FB" w14:textId="77777777" w:rsidR="00A11402" w:rsidRPr="00E02BB9" w:rsidRDefault="00E02BB9">
            <w:pPr>
              <w:spacing w:after="120" w:line="240" w:lineRule="auto"/>
              <w:jc w:val="both"/>
              <w:rPr>
                <w:rFonts w:ascii="Times New Roman" w:eastAsia="Times New Roman" w:hAnsi="Times New Roman" w:cs="Times New Roman"/>
                <w:bCs/>
              </w:rPr>
            </w:pPr>
            <w:r w:rsidRPr="00E02BB9">
              <w:rPr>
                <w:rFonts w:ascii="Times New Roman" w:hAnsi="Times New Roman"/>
                <w:bCs/>
              </w:rPr>
              <w:t>Članak 9. stavak 1. točka</w:t>
            </w:r>
            <w:r w:rsidRPr="00E02BB9">
              <w:rPr>
                <w:rFonts w:ascii="Times New Roman" w:hAnsi="Times New Roman"/>
                <w:bCs/>
              </w:rPr>
              <w:t xml:space="preserve"> i.</w:t>
            </w:r>
            <w:r w:rsidRPr="00E02BB9">
              <w:rPr>
                <w:rFonts w:ascii="Times New Roman" w:hAnsi="Times New Roman"/>
                <w:bCs/>
              </w:rPr>
              <w:t xml:space="preserve"> Uredbe (EU) 2019/2033</w:t>
            </w:r>
          </w:p>
          <w:p w14:paraId="3D3D43BD" w14:textId="77777777" w:rsidR="00A11402" w:rsidRPr="00E02BB9" w:rsidRDefault="00E02BB9">
            <w:pPr>
              <w:pStyle w:val="InstructionsText"/>
              <w:rPr>
                <w:rStyle w:val="FormatvorlageInstructionsTabelleText"/>
                <w:rFonts w:ascii="Times New Roman" w:hAnsi="Times New Roman"/>
                <w:sz w:val="22"/>
                <w:szCs w:val="22"/>
              </w:rPr>
            </w:pPr>
            <w:r w:rsidRPr="00E02BB9">
              <w:rPr>
                <w:rStyle w:val="FormatvorlageInstructionsTabelleText"/>
                <w:rFonts w:ascii="Times New Roman" w:hAnsi="Times New Roman"/>
                <w:sz w:val="22"/>
                <w:szCs w:val="22"/>
              </w:rPr>
              <w:t>Članak 26. stavak 1. točka (a) i članci od 27. do 31. Uredbe (EU) br. 575/2013</w:t>
            </w:r>
          </w:p>
          <w:p w14:paraId="725C7B8E" w14:textId="77777777" w:rsidR="00A11402" w:rsidRPr="00E02BB9" w:rsidRDefault="00E02BB9">
            <w:pPr>
              <w:pStyle w:val="InstructionsText"/>
              <w:rPr>
                <w:rStyle w:val="FormatvorlageInstructionsTabelleText"/>
                <w:rFonts w:ascii="Times New Roman" w:hAnsi="Times New Roman"/>
                <w:sz w:val="22"/>
                <w:szCs w:val="22"/>
              </w:rPr>
            </w:pPr>
            <w:r w:rsidRPr="00E02BB9">
              <w:rPr>
                <w:rStyle w:val="FormatvorlageInstructionsTabelleText"/>
                <w:rFonts w:ascii="Times New Roman" w:hAnsi="Times New Roman"/>
                <w:sz w:val="22"/>
                <w:szCs w:val="22"/>
              </w:rPr>
              <w:t>Uključuju se instrumenti kapitala uzajamnih institucija, zadruga ili sličnih institucija (članci 27. i 29. Uredbe (EU) br. 575</w:t>
            </w:r>
            <w:r w:rsidRPr="00E02BB9">
              <w:rPr>
                <w:rStyle w:val="FormatvorlageInstructionsTabelleText"/>
                <w:rFonts w:ascii="Times New Roman" w:hAnsi="Times New Roman"/>
                <w:sz w:val="22"/>
                <w:szCs w:val="22"/>
              </w:rPr>
              <w:t>/2013).</w:t>
            </w:r>
          </w:p>
          <w:p w14:paraId="60FCE4E1" w14:textId="77777777" w:rsidR="00A11402" w:rsidRPr="00E02BB9" w:rsidRDefault="00E02BB9">
            <w:pPr>
              <w:pStyle w:val="InstructionsText"/>
              <w:rPr>
                <w:rStyle w:val="FormatvorlageInstructionsTabelleText"/>
                <w:rFonts w:ascii="Times New Roman" w:hAnsi="Times New Roman"/>
                <w:sz w:val="22"/>
                <w:szCs w:val="22"/>
              </w:rPr>
            </w:pPr>
            <w:r w:rsidRPr="00E02BB9">
              <w:rPr>
                <w:rStyle w:val="FormatvorlageInstructionsTabelleText"/>
                <w:rFonts w:ascii="Times New Roman" w:hAnsi="Times New Roman"/>
                <w:sz w:val="22"/>
                <w:szCs w:val="22"/>
              </w:rPr>
              <w:t>Ne uključuje se premija na dionice povezana s instrumentima.</w:t>
            </w:r>
          </w:p>
          <w:p w14:paraId="60E573F6" w14:textId="77777777" w:rsidR="00A11402" w:rsidRPr="00E02BB9" w:rsidRDefault="00E02BB9">
            <w:pPr>
              <w:pStyle w:val="InstructionsText"/>
              <w:rPr>
                <w:sz w:val="22"/>
                <w:szCs w:val="22"/>
              </w:rPr>
            </w:pPr>
            <w:r w:rsidRPr="00E02BB9">
              <w:rPr>
                <w:rStyle w:val="FormatvorlageInstructionsTabelleText"/>
                <w:rFonts w:ascii="Times New Roman" w:hAnsi="Times New Roman"/>
                <w:sz w:val="22"/>
                <w:szCs w:val="22"/>
              </w:rPr>
              <w:t>Instrumenti kapitala koje upisuju tijela javne vlasti u izvanrednim situacijama uključuju se ako su ispunjeni svi uvjeti iz članka 31. Uredbe (EU) br. 575/2013.</w:t>
            </w:r>
          </w:p>
        </w:tc>
      </w:tr>
      <w:tr w:rsidR="00A11402" w:rsidRPr="00E02BB9" w14:paraId="6E27BF8E" w14:textId="77777777">
        <w:tc>
          <w:tcPr>
            <w:tcW w:w="1129" w:type="dxa"/>
          </w:tcPr>
          <w:p w14:paraId="282AFD16" w14:textId="77777777" w:rsidR="00A11402" w:rsidRPr="00E02BB9" w:rsidRDefault="00E02BB9">
            <w:pPr>
              <w:spacing w:after="120" w:line="240" w:lineRule="auto"/>
              <w:jc w:val="both"/>
              <w:rPr>
                <w:rFonts w:ascii="Times New Roman" w:eastAsia="Times New Roman" w:hAnsi="Times New Roman" w:cs="Times New Roman"/>
                <w:bCs/>
              </w:rPr>
            </w:pPr>
            <w:r w:rsidRPr="00E02BB9">
              <w:rPr>
                <w:rFonts w:ascii="Times New Roman" w:hAnsi="Times New Roman"/>
                <w:bCs/>
              </w:rPr>
              <w:t>0050</w:t>
            </w:r>
          </w:p>
        </w:tc>
        <w:tc>
          <w:tcPr>
            <w:tcW w:w="7620" w:type="dxa"/>
          </w:tcPr>
          <w:p w14:paraId="143BFE6D" w14:textId="77777777" w:rsidR="00A11402" w:rsidRPr="00E02BB9" w:rsidRDefault="00E02BB9">
            <w:pPr>
              <w:spacing w:after="120" w:line="240" w:lineRule="auto"/>
              <w:jc w:val="both"/>
              <w:rPr>
                <w:rFonts w:ascii="Times New Roman" w:eastAsia="Times New Roman" w:hAnsi="Times New Roman" w:cs="Times New Roman"/>
                <w:b/>
                <w:bCs/>
                <w:u w:val="single"/>
              </w:rPr>
            </w:pPr>
            <w:r w:rsidRPr="00E02BB9">
              <w:rPr>
                <w:rFonts w:ascii="Times New Roman" w:hAnsi="Times New Roman"/>
                <w:b/>
                <w:bCs/>
                <w:u w:val="single"/>
              </w:rPr>
              <w:t>Premija na dionice</w:t>
            </w:r>
          </w:p>
          <w:p w14:paraId="5C9C4F5F" w14:textId="77777777" w:rsidR="00A11402" w:rsidRPr="00E02BB9" w:rsidRDefault="00E02BB9">
            <w:pPr>
              <w:spacing w:after="120" w:line="240" w:lineRule="auto"/>
              <w:jc w:val="both"/>
              <w:rPr>
                <w:rFonts w:ascii="Times New Roman" w:eastAsia="Times New Roman" w:hAnsi="Times New Roman" w:cs="Times New Roman"/>
                <w:bCs/>
              </w:rPr>
            </w:pPr>
            <w:r w:rsidRPr="00E02BB9">
              <w:rPr>
                <w:rFonts w:ascii="Times New Roman" w:hAnsi="Times New Roman"/>
                <w:bCs/>
              </w:rPr>
              <w:t>Č</w:t>
            </w:r>
            <w:r w:rsidRPr="00E02BB9">
              <w:rPr>
                <w:rFonts w:ascii="Times New Roman" w:hAnsi="Times New Roman"/>
                <w:bCs/>
              </w:rPr>
              <w:t>lanak 9. stavak 1. točka</w:t>
            </w:r>
            <w:r w:rsidRPr="00E02BB9">
              <w:rPr>
                <w:rFonts w:ascii="Times New Roman" w:hAnsi="Times New Roman"/>
                <w:bCs/>
              </w:rPr>
              <w:t xml:space="preserve"> i.</w:t>
            </w:r>
            <w:r w:rsidRPr="00E02BB9">
              <w:rPr>
                <w:rFonts w:ascii="Times New Roman" w:hAnsi="Times New Roman"/>
                <w:bCs/>
              </w:rPr>
              <w:t xml:space="preserve"> Uredbe (EU) 2019/2033</w:t>
            </w:r>
          </w:p>
          <w:p w14:paraId="739DDD0E" w14:textId="77777777" w:rsidR="00A11402" w:rsidRPr="00E02BB9" w:rsidRDefault="00E02BB9">
            <w:pPr>
              <w:spacing w:after="120" w:line="240" w:lineRule="auto"/>
              <w:jc w:val="both"/>
              <w:rPr>
                <w:rStyle w:val="FormatvorlageInstructionsTabelleText"/>
                <w:rFonts w:ascii="Times New Roman" w:hAnsi="Times New Roman"/>
                <w:sz w:val="22"/>
              </w:rPr>
            </w:pPr>
            <w:r w:rsidRPr="00E02BB9">
              <w:rPr>
                <w:rStyle w:val="FormatvorlageInstructionsTabelleText"/>
                <w:rFonts w:ascii="Times New Roman" w:hAnsi="Times New Roman"/>
                <w:sz w:val="22"/>
              </w:rPr>
              <w:t>Članak 26. stavak 1. točka (b) Uredbe (EU) br. 575/2013</w:t>
            </w:r>
          </w:p>
          <w:p w14:paraId="0A36515C" w14:textId="77777777" w:rsidR="00A11402" w:rsidRPr="00E02BB9" w:rsidRDefault="00E02BB9">
            <w:pPr>
              <w:pStyle w:val="InstructionsText"/>
              <w:rPr>
                <w:rStyle w:val="FormatvorlageInstructionsTabelleText"/>
                <w:rFonts w:ascii="Times New Roman" w:hAnsi="Times New Roman"/>
                <w:sz w:val="22"/>
                <w:szCs w:val="22"/>
              </w:rPr>
            </w:pPr>
            <w:r w:rsidRPr="00E02BB9">
              <w:rPr>
                <w:rStyle w:val="FormatvorlageInstructionsTabelleText"/>
                <w:rFonts w:ascii="Times New Roman" w:hAnsi="Times New Roman"/>
                <w:sz w:val="22"/>
                <w:szCs w:val="22"/>
              </w:rPr>
              <w:t>Premija na dionice ima isto značenje kao i u primjenjivom računovodstvenom standardu.</w:t>
            </w:r>
          </w:p>
          <w:p w14:paraId="60DBDFDB" w14:textId="77777777" w:rsidR="00A11402" w:rsidRPr="00E02BB9" w:rsidRDefault="00E02BB9">
            <w:pPr>
              <w:spacing w:after="120" w:line="240" w:lineRule="auto"/>
              <w:jc w:val="both"/>
              <w:rPr>
                <w:rFonts w:ascii="Times New Roman" w:eastAsia="Times New Roman" w:hAnsi="Times New Roman" w:cs="Times New Roman"/>
                <w:b/>
                <w:bCs/>
                <w:u w:val="single"/>
              </w:rPr>
            </w:pPr>
            <w:r w:rsidRPr="00E02BB9">
              <w:rPr>
                <w:rStyle w:val="FormatvorlageInstructionsTabelleText"/>
                <w:rFonts w:ascii="Times New Roman" w:hAnsi="Times New Roman"/>
                <w:sz w:val="22"/>
              </w:rPr>
              <w:t>Iznos koji se iskazuje u ovoj stavci dio je koji se odnosi na „p</w:t>
            </w:r>
            <w:r w:rsidRPr="00E02BB9">
              <w:rPr>
                <w:rStyle w:val="FormatvorlageInstructionsTabelleText"/>
                <w:rFonts w:ascii="Times New Roman" w:hAnsi="Times New Roman"/>
                <w:sz w:val="22"/>
              </w:rPr>
              <w:t>laćene instrumente kapitala”.</w:t>
            </w:r>
          </w:p>
        </w:tc>
      </w:tr>
      <w:tr w:rsidR="00A11402" w:rsidRPr="00E02BB9" w14:paraId="06B831D6" w14:textId="77777777">
        <w:tc>
          <w:tcPr>
            <w:tcW w:w="1129" w:type="dxa"/>
          </w:tcPr>
          <w:p w14:paraId="05EC931D" w14:textId="77777777" w:rsidR="00A11402" w:rsidRPr="00E02BB9" w:rsidRDefault="00E02BB9">
            <w:pPr>
              <w:spacing w:after="120" w:line="240" w:lineRule="auto"/>
              <w:jc w:val="both"/>
              <w:rPr>
                <w:rFonts w:ascii="Times New Roman" w:eastAsia="Times New Roman" w:hAnsi="Times New Roman" w:cs="Times New Roman"/>
                <w:bCs/>
              </w:rPr>
            </w:pPr>
            <w:r w:rsidRPr="00E02BB9">
              <w:rPr>
                <w:rFonts w:ascii="Times New Roman" w:hAnsi="Times New Roman"/>
                <w:bCs/>
              </w:rPr>
              <w:t>0060</w:t>
            </w:r>
          </w:p>
        </w:tc>
        <w:tc>
          <w:tcPr>
            <w:tcW w:w="7620" w:type="dxa"/>
          </w:tcPr>
          <w:p w14:paraId="5FD481FF" w14:textId="77777777" w:rsidR="00A11402" w:rsidRPr="00E02BB9" w:rsidRDefault="00E02BB9">
            <w:pPr>
              <w:spacing w:after="120" w:line="240" w:lineRule="auto"/>
              <w:jc w:val="both"/>
              <w:rPr>
                <w:rFonts w:ascii="Times New Roman" w:eastAsia="Times New Roman" w:hAnsi="Times New Roman" w:cs="Times New Roman"/>
                <w:b/>
                <w:bCs/>
                <w:u w:val="single"/>
              </w:rPr>
            </w:pPr>
            <w:r w:rsidRPr="00E02BB9">
              <w:rPr>
                <w:rFonts w:ascii="Times New Roman" w:hAnsi="Times New Roman"/>
                <w:b/>
                <w:bCs/>
                <w:u w:val="single"/>
              </w:rPr>
              <w:t>Zadržana dobit</w:t>
            </w:r>
          </w:p>
          <w:p w14:paraId="768BF1E5" w14:textId="77777777" w:rsidR="00A11402" w:rsidRPr="00E02BB9" w:rsidRDefault="00E02BB9">
            <w:pPr>
              <w:spacing w:after="120" w:line="240" w:lineRule="auto"/>
              <w:jc w:val="both"/>
              <w:rPr>
                <w:rFonts w:ascii="Times New Roman" w:eastAsia="Times New Roman" w:hAnsi="Times New Roman" w:cs="Times New Roman"/>
                <w:bCs/>
              </w:rPr>
            </w:pPr>
            <w:r w:rsidRPr="00E02BB9">
              <w:rPr>
                <w:rFonts w:ascii="Times New Roman" w:hAnsi="Times New Roman"/>
              </w:rPr>
              <w:t>Članak 9. stavak 1. točka</w:t>
            </w:r>
            <w:r w:rsidRPr="00E02BB9">
              <w:rPr>
                <w:rFonts w:ascii="Times New Roman" w:hAnsi="Times New Roman"/>
              </w:rPr>
              <w:t xml:space="preserve"> i.</w:t>
            </w:r>
            <w:r w:rsidRPr="00E02BB9">
              <w:rPr>
                <w:rFonts w:ascii="Times New Roman" w:hAnsi="Times New Roman"/>
              </w:rPr>
              <w:t xml:space="preserve"> Uredbe (EU) 2019/2033</w:t>
            </w:r>
          </w:p>
          <w:p w14:paraId="71CBCB5C" w14:textId="77777777" w:rsidR="00A11402" w:rsidRPr="00E02BB9" w:rsidRDefault="00E02BB9">
            <w:pPr>
              <w:spacing w:after="120" w:line="240" w:lineRule="auto"/>
              <w:jc w:val="both"/>
              <w:rPr>
                <w:rStyle w:val="FormatvorlageInstructionsTabelleText"/>
                <w:rFonts w:ascii="Times New Roman" w:hAnsi="Times New Roman"/>
                <w:sz w:val="22"/>
              </w:rPr>
            </w:pPr>
            <w:r w:rsidRPr="00E02BB9">
              <w:rPr>
                <w:rStyle w:val="FormatvorlageInstructionsTabelleText"/>
                <w:rFonts w:ascii="Times New Roman" w:hAnsi="Times New Roman"/>
                <w:sz w:val="22"/>
              </w:rPr>
              <w:t>Članak 26. stavak 1. točka (c) Uredbe (EU) br. 575/2013</w:t>
            </w:r>
          </w:p>
          <w:p w14:paraId="32457B4A" w14:textId="77777777" w:rsidR="00A11402" w:rsidRPr="00E02BB9" w:rsidRDefault="00E02BB9">
            <w:pPr>
              <w:spacing w:after="120" w:line="240" w:lineRule="auto"/>
              <w:jc w:val="both"/>
              <w:rPr>
                <w:rStyle w:val="FormatvorlageInstructionsTabelleText"/>
                <w:rFonts w:ascii="Times New Roman" w:hAnsi="Times New Roman"/>
                <w:sz w:val="22"/>
              </w:rPr>
            </w:pPr>
            <w:r w:rsidRPr="00E02BB9">
              <w:rPr>
                <w:rStyle w:val="FormatvorlageInstructionsTabelleText"/>
                <w:rFonts w:ascii="Times New Roman" w:hAnsi="Times New Roman"/>
                <w:sz w:val="22"/>
              </w:rPr>
              <w:t xml:space="preserve">Zadržana dobit uključuje zadržanu dobit prethodne godine uvećanu za priznatu dobit tekuće </w:t>
            </w:r>
            <w:r w:rsidRPr="00E02BB9">
              <w:rPr>
                <w:rStyle w:val="FormatvorlageInstructionsTabelleText"/>
                <w:rFonts w:ascii="Times New Roman" w:hAnsi="Times New Roman"/>
                <w:sz w:val="22"/>
              </w:rPr>
              <w:t>godine ostvarenu tijekom poslovne godine ili dobit tekuće godine ostvarenu na kraju poslovne godine.</w:t>
            </w:r>
          </w:p>
          <w:p w14:paraId="2E978AE5" w14:textId="77777777" w:rsidR="00A11402" w:rsidRPr="00E02BB9" w:rsidRDefault="00E02BB9">
            <w:pPr>
              <w:spacing w:after="120" w:line="240" w:lineRule="auto"/>
              <w:jc w:val="both"/>
              <w:rPr>
                <w:rFonts w:ascii="Times New Roman" w:eastAsia="Times New Roman" w:hAnsi="Times New Roman" w:cs="Times New Roman"/>
                <w:b/>
                <w:bCs/>
                <w:u w:val="single"/>
              </w:rPr>
            </w:pPr>
            <w:r w:rsidRPr="00E02BB9">
              <w:rPr>
                <w:rFonts w:ascii="Times New Roman" w:hAnsi="Times New Roman"/>
                <w:bCs/>
              </w:rPr>
              <w:t>Iskazuje se zbroj redaka 0070 i 0080.</w:t>
            </w:r>
          </w:p>
        </w:tc>
      </w:tr>
      <w:tr w:rsidR="00A11402" w:rsidRPr="00E02BB9" w14:paraId="28FF263F" w14:textId="77777777">
        <w:tc>
          <w:tcPr>
            <w:tcW w:w="1129" w:type="dxa"/>
          </w:tcPr>
          <w:p w14:paraId="635C8C86" w14:textId="77777777" w:rsidR="00A11402" w:rsidRPr="00E02BB9" w:rsidRDefault="00E02BB9">
            <w:pPr>
              <w:spacing w:after="120" w:line="240" w:lineRule="auto"/>
              <w:jc w:val="both"/>
              <w:rPr>
                <w:rFonts w:ascii="Times New Roman" w:eastAsia="Times New Roman" w:hAnsi="Times New Roman" w:cs="Times New Roman"/>
                <w:bCs/>
              </w:rPr>
            </w:pPr>
            <w:r w:rsidRPr="00E02BB9">
              <w:rPr>
                <w:rFonts w:ascii="Times New Roman" w:hAnsi="Times New Roman"/>
                <w:bCs/>
              </w:rPr>
              <w:t>0070</w:t>
            </w:r>
          </w:p>
        </w:tc>
        <w:tc>
          <w:tcPr>
            <w:tcW w:w="7620" w:type="dxa"/>
          </w:tcPr>
          <w:p w14:paraId="7087C9D7" w14:textId="77777777" w:rsidR="00A11402" w:rsidRPr="00E02BB9" w:rsidRDefault="00E02BB9">
            <w:pPr>
              <w:spacing w:after="120" w:line="240" w:lineRule="auto"/>
              <w:jc w:val="both"/>
              <w:rPr>
                <w:rFonts w:ascii="Times New Roman" w:eastAsia="Times New Roman" w:hAnsi="Times New Roman" w:cs="Times New Roman"/>
                <w:b/>
                <w:bCs/>
                <w:u w:val="single"/>
              </w:rPr>
            </w:pPr>
            <w:r w:rsidRPr="00E02BB9">
              <w:rPr>
                <w:rFonts w:ascii="Times New Roman" w:hAnsi="Times New Roman"/>
                <w:b/>
                <w:bCs/>
                <w:u w:val="single"/>
              </w:rPr>
              <w:t>Zadržana dobit iz proteklih godina</w:t>
            </w:r>
          </w:p>
          <w:p w14:paraId="24574327" w14:textId="77777777" w:rsidR="00A11402" w:rsidRPr="00E02BB9" w:rsidRDefault="00E02BB9">
            <w:pPr>
              <w:spacing w:after="120" w:line="240" w:lineRule="auto"/>
              <w:jc w:val="both"/>
              <w:rPr>
                <w:rFonts w:ascii="Times New Roman" w:eastAsia="Times New Roman" w:hAnsi="Times New Roman" w:cs="Times New Roman"/>
                <w:bCs/>
              </w:rPr>
            </w:pPr>
            <w:r w:rsidRPr="00E02BB9">
              <w:rPr>
                <w:rFonts w:ascii="Times New Roman" w:hAnsi="Times New Roman"/>
                <w:bCs/>
              </w:rPr>
              <w:t xml:space="preserve">Članak 4. stavak 1. točka 123. i članak 26. stavak 1. točka (c) Uredbe (EU) </w:t>
            </w:r>
            <w:r w:rsidRPr="00E02BB9">
              <w:rPr>
                <w:rFonts w:ascii="Times New Roman" w:hAnsi="Times New Roman"/>
                <w:bCs/>
              </w:rPr>
              <w:t>br. 575/2013</w:t>
            </w:r>
          </w:p>
          <w:p w14:paraId="42B8075C" w14:textId="77777777" w:rsidR="00A11402" w:rsidRPr="00E02BB9" w:rsidRDefault="00E02BB9">
            <w:pPr>
              <w:spacing w:after="120" w:line="240" w:lineRule="auto"/>
              <w:jc w:val="both"/>
              <w:rPr>
                <w:rFonts w:ascii="Times New Roman" w:eastAsia="Times New Roman" w:hAnsi="Times New Roman" w:cs="Times New Roman"/>
                <w:b/>
                <w:bCs/>
                <w:u w:val="single"/>
              </w:rPr>
            </w:pPr>
            <w:r w:rsidRPr="00E02BB9">
              <w:rPr>
                <w:rFonts w:ascii="Times New Roman" w:hAnsi="Times New Roman"/>
                <w:bCs/>
              </w:rPr>
              <w:t>Člankom 4. stavkom 1. točkom 123. Uredbe (EU) br. 575/2013 zadržana dobit definirana je kao „prenesena dobit i gubitak koji proizlaze iz dobiti ili gubitka proteklih godina, u skladu s primjenjivim računovodstvenim okvirom”.</w:t>
            </w:r>
          </w:p>
        </w:tc>
      </w:tr>
      <w:tr w:rsidR="00A11402" w:rsidRPr="00E02BB9" w14:paraId="695F060A" w14:textId="77777777">
        <w:tc>
          <w:tcPr>
            <w:tcW w:w="1129" w:type="dxa"/>
          </w:tcPr>
          <w:p w14:paraId="5F6AFFD9" w14:textId="77777777" w:rsidR="00A11402" w:rsidRPr="00E02BB9" w:rsidRDefault="00E02BB9">
            <w:pPr>
              <w:spacing w:after="120" w:line="240" w:lineRule="auto"/>
              <w:jc w:val="both"/>
              <w:rPr>
                <w:rFonts w:ascii="Times New Roman" w:eastAsia="Times New Roman" w:hAnsi="Times New Roman" w:cs="Times New Roman"/>
                <w:bCs/>
              </w:rPr>
            </w:pPr>
            <w:r w:rsidRPr="00E02BB9">
              <w:rPr>
                <w:rFonts w:ascii="Times New Roman" w:hAnsi="Times New Roman"/>
                <w:bCs/>
              </w:rPr>
              <w:lastRenderedPageBreak/>
              <w:t>0080</w:t>
            </w:r>
          </w:p>
        </w:tc>
        <w:tc>
          <w:tcPr>
            <w:tcW w:w="7620" w:type="dxa"/>
          </w:tcPr>
          <w:p w14:paraId="26E6142E" w14:textId="77777777" w:rsidR="00A11402" w:rsidRPr="00E02BB9" w:rsidRDefault="00E02BB9">
            <w:pPr>
              <w:spacing w:after="120" w:line="240" w:lineRule="auto"/>
              <w:jc w:val="both"/>
              <w:rPr>
                <w:rFonts w:ascii="Times New Roman" w:eastAsia="Times New Roman" w:hAnsi="Times New Roman" w:cs="Times New Roman"/>
                <w:b/>
                <w:bCs/>
                <w:u w:val="single"/>
              </w:rPr>
            </w:pPr>
            <w:r w:rsidRPr="00E02BB9">
              <w:rPr>
                <w:rFonts w:ascii="Times New Roman" w:hAnsi="Times New Roman"/>
                <w:b/>
                <w:bCs/>
                <w:u w:val="single"/>
              </w:rPr>
              <w:t>Prihvatljiva</w:t>
            </w:r>
            <w:r w:rsidRPr="00E02BB9">
              <w:rPr>
                <w:rFonts w:ascii="Times New Roman" w:hAnsi="Times New Roman"/>
                <w:b/>
                <w:bCs/>
                <w:u w:val="single"/>
              </w:rPr>
              <w:t xml:space="preserve"> dobit</w:t>
            </w:r>
          </w:p>
          <w:p w14:paraId="63A0F536" w14:textId="77777777" w:rsidR="00A11402" w:rsidRPr="00E02BB9" w:rsidRDefault="00E02BB9">
            <w:pPr>
              <w:spacing w:after="120" w:line="240" w:lineRule="auto"/>
              <w:jc w:val="both"/>
              <w:rPr>
                <w:rFonts w:ascii="Times New Roman" w:eastAsia="Times New Roman" w:hAnsi="Times New Roman" w:cs="Times New Roman"/>
              </w:rPr>
            </w:pPr>
            <w:r w:rsidRPr="00E02BB9">
              <w:rPr>
                <w:rFonts w:ascii="Times New Roman" w:hAnsi="Times New Roman"/>
              </w:rPr>
              <w:t>Članak 4. stavak 1. točka 121., članak 26. stavak 2. i članak 36. stavak 1. točka (a) Uredbe (EU) br. 575/2013</w:t>
            </w:r>
          </w:p>
          <w:p w14:paraId="30EC03EA" w14:textId="77777777" w:rsidR="00A11402" w:rsidRPr="00E02BB9" w:rsidRDefault="00E02BB9">
            <w:pPr>
              <w:spacing w:after="120" w:line="240" w:lineRule="auto"/>
              <w:jc w:val="both"/>
              <w:rPr>
                <w:rFonts w:ascii="Times New Roman" w:eastAsia="Times New Roman" w:hAnsi="Times New Roman" w:cs="Times New Roman"/>
                <w:b/>
                <w:bCs/>
                <w:u w:val="single"/>
              </w:rPr>
            </w:pPr>
            <w:r w:rsidRPr="00E02BB9">
              <w:rPr>
                <w:rFonts w:ascii="Times New Roman" w:hAnsi="Times New Roman"/>
              </w:rPr>
              <w:t>Člankom 26. stavkom 2. Uredbe (EU) br. 575/2013 dopušteno je uz prethodno odobrenje nadležnih tijela uključiti dobit tekuće godine ostvare</w:t>
            </w:r>
            <w:r w:rsidRPr="00E02BB9">
              <w:rPr>
                <w:rFonts w:ascii="Times New Roman" w:hAnsi="Times New Roman"/>
              </w:rPr>
              <w:t xml:space="preserve">nu tijekom poslovne godine ili dobit tekuće godine ostvarenu na kraju poslovne godine kao zadržanu dobit, ako su ispunjeni neki uvjeti. </w:t>
            </w:r>
          </w:p>
        </w:tc>
      </w:tr>
      <w:tr w:rsidR="00A11402" w:rsidRPr="00E02BB9" w14:paraId="4ED1F36C" w14:textId="77777777">
        <w:tc>
          <w:tcPr>
            <w:tcW w:w="1129" w:type="dxa"/>
          </w:tcPr>
          <w:p w14:paraId="7D77AC42" w14:textId="77777777" w:rsidR="00A11402" w:rsidRPr="00E02BB9" w:rsidRDefault="00E02BB9">
            <w:pPr>
              <w:spacing w:after="120" w:line="240" w:lineRule="auto"/>
              <w:jc w:val="both"/>
              <w:rPr>
                <w:rFonts w:ascii="Times New Roman" w:eastAsia="Times New Roman" w:hAnsi="Times New Roman" w:cs="Times New Roman"/>
                <w:bCs/>
              </w:rPr>
            </w:pPr>
            <w:r w:rsidRPr="00E02BB9">
              <w:rPr>
                <w:rFonts w:ascii="Times New Roman" w:hAnsi="Times New Roman"/>
                <w:bCs/>
              </w:rPr>
              <w:t>0090</w:t>
            </w:r>
          </w:p>
        </w:tc>
        <w:tc>
          <w:tcPr>
            <w:tcW w:w="7620" w:type="dxa"/>
          </w:tcPr>
          <w:p w14:paraId="73185F21" w14:textId="77777777" w:rsidR="00A11402" w:rsidRPr="00E02BB9" w:rsidRDefault="00E02BB9">
            <w:pPr>
              <w:spacing w:after="120" w:line="240" w:lineRule="auto"/>
              <w:jc w:val="both"/>
              <w:rPr>
                <w:rFonts w:ascii="Times New Roman" w:eastAsia="Times New Roman" w:hAnsi="Times New Roman" w:cs="Times New Roman"/>
                <w:b/>
                <w:bCs/>
                <w:u w:val="single"/>
              </w:rPr>
            </w:pPr>
            <w:r w:rsidRPr="00E02BB9">
              <w:rPr>
                <w:rFonts w:ascii="Times New Roman" w:hAnsi="Times New Roman"/>
                <w:b/>
                <w:bCs/>
                <w:u w:val="single"/>
              </w:rPr>
              <w:t>Akumulirana ostala sveobuhvatna dobit</w:t>
            </w:r>
          </w:p>
          <w:p w14:paraId="09065846" w14:textId="77777777" w:rsidR="00A11402" w:rsidRPr="00E02BB9" w:rsidRDefault="00E02BB9">
            <w:pPr>
              <w:spacing w:after="120" w:line="240" w:lineRule="auto"/>
              <w:jc w:val="both"/>
              <w:rPr>
                <w:rFonts w:ascii="Times New Roman" w:eastAsia="Times New Roman" w:hAnsi="Times New Roman" w:cs="Times New Roman"/>
                <w:bCs/>
              </w:rPr>
            </w:pPr>
            <w:r w:rsidRPr="00E02BB9">
              <w:rPr>
                <w:rFonts w:ascii="Times New Roman" w:hAnsi="Times New Roman"/>
                <w:bCs/>
              </w:rPr>
              <w:t>Članak 9. stavak 1. točka</w:t>
            </w:r>
            <w:r w:rsidRPr="00E02BB9">
              <w:rPr>
                <w:rFonts w:ascii="Times New Roman" w:hAnsi="Times New Roman"/>
                <w:bCs/>
              </w:rPr>
              <w:t xml:space="preserve"> i.</w:t>
            </w:r>
            <w:r w:rsidRPr="00E02BB9">
              <w:rPr>
                <w:rFonts w:ascii="Times New Roman" w:hAnsi="Times New Roman"/>
                <w:bCs/>
              </w:rPr>
              <w:t xml:space="preserve"> Uredbe (EU) 2019/2033</w:t>
            </w:r>
          </w:p>
          <w:p w14:paraId="53751C77" w14:textId="77777777" w:rsidR="00A11402" w:rsidRPr="00E02BB9" w:rsidRDefault="00E02BB9">
            <w:pPr>
              <w:spacing w:after="120" w:line="240" w:lineRule="auto"/>
              <w:jc w:val="both"/>
              <w:rPr>
                <w:rFonts w:ascii="Times New Roman" w:hAnsi="Times New Roman" w:cs="Times New Roman"/>
                <w:bCs/>
              </w:rPr>
            </w:pPr>
            <w:r w:rsidRPr="00E02BB9">
              <w:rPr>
                <w:rStyle w:val="FormatvorlageInstructionsTabelleText"/>
                <w:rFonts w:ascii="Times New Roman" w:hAnsi="Times New Roman"/>
                <w:sz w:val="22"/>
              </w:rPr>
              <w:t xml:space="preserve">Članak 26. </w:t>
            </w:r>
            <w:r w:rsidRPr="00E02BB9">
              <w:rPr>
                <w:rStyle w:val="FormatvorlageInstructionsTabelleText"/>
                <w:rFonts w:ascii="Times New Roman" w:hAnsi="Times New Roman"/>
                <w:sz w:val="22"/>
              </w:rPr>
              <w:t>stavak 1. točka (d) Uredbe (EU) br. 575/2013</w:t>
            </w:r>
          </w:p>
        </w:tc>
      </w:tr>
      <w:tr w:rsidR="00A11402" w:rsidRPr="00E02BB9" w14:paraId="384B490A" w14:textId="77777777">
        <w:tc>
          <w:tcPr>
            <w:tcW w:w="1129" w:type="dxa"/>
          </w:tcPr>
          <w:p w14:paraId="6774492E" w14:textId="77777777" w:rsidR="00A11402" w:rsidRPr="00E02BB9" w:rsidRDefault="00E02BB9">
            <w:pPr>
              <w:spacing w:after="120" w:line="240" w:lineRule="auto"/>
              <w:jc w:val="both"/>
              <w:rPr>
                <w:rFonts w:ascii="Times New Roman" w:eastAsia="Times New Roman" w:hAnsi="Times New Roman" w:cs="Times New Roman"/>
                <w:bCs/>
              </w:rPr>
            </w:pPr>
            <w:r w:rsidRPr="00E02BB9">
              <w:rPr>
                <w:rFonts w:ascii="Times New Roman" w:hAnsi="Times New Roman"/>
                <w:bCs/>
              </w:rPr>
              <w:t>0100</w:t>
            </w:r>
          </w:p>
        </w:tc>
        <w:tc>
          <w:tcPr>
            <w:tcW w:w="7620" w:type="dxa"/>
          </w:tcPr>
          <w:p w14:paraId="73284678" w14:textId="77777777" w:rsidR="00A11402" w:rsidRPr="00E02BB9" w:rsidRDefault="00E02BB9">
            <w:pPr>
              <w:spacing w:after="120" w:line="240" w:lineRule="auto"/>
              <w:jc w:val="both"/>
              <w:rPr>
                <w:rFonts w:ascii="Times New Roman" w:eastAsia="Times New Roman" w:hAnsi="Times New Roman" w:cs="Times New Roman"/>
                <w:b/>
                <w:bCs/>
                <w:u w:val="single"/>
              </w:rPr>
            </w:pPr>
            <w:r w:rsidRPr="00E02BB9">
              <w:rPr>
                <w:rFonts w:ascii="Times New Roman" w:hAnsi="Times New Roman"/>
                <w:b/>
                <w:bCs/>
                <w:u w:val="single"/>
              </w:rPr>
              <w:t>Ostale rezerve</w:t>
            </w:r>
          </w:p>
          <w:p w14:paraId="6B2464D9" w14:textId="77777777" w:rsidR="00A11402" w:rsidRPr="00E02BB9" w:rsidRDefault="00E02BB9">
            <w:pPr>
              <w:spacing w:after="120" w:line="240" w:lineRule="auto"/>
              <w:jc w:val="both"/>
              <w:rPr>
                <w:rFonts w:ascii="Times New Roman" w:eastAsia="Times New Roman" w:hAnsi="Times New Roman" w:cs="Times New Roman"/>
                <w:bCs/>
              </w:rPr>
            </w:pPr>
            <w:r w:rsidRPr="00E02BB9">
              <w:rPr>
                <w:rFonts w:ascii="Times New Roman" w:hAnsi="Times New Roman"/>
                <w:bCs/>
              </w:rPr>
              <w:t>Članak 9. stavak 1. točka</w:t>
            </w:r>
            <w:r w:rsidRPr="00E02BB9">
              <w:rPr>
                <w:rFonts w:ascii="Times New Roman" w:hAnsi="Times New Roman"/>
                <w:bCs/>
              </w:rPr>
              <w:t xml:space="preserve"> i.</w:t>
            </w:r>
            <w:r w:rsidRPr="00E02BB9">
              <w:rPr>
                <w:rFonts w:ascii="Times New Roman" w:hAnsi="Times New Roman"/>
                <w:bCs/>
              </w:rPr>
              <w:t xml:space="preserve"> Uredbe (EU) 2019/2033</w:t>
            </w:r>
          </w:p>
          <w:p w14:paraId="6E3DD164" w14:textId="77777777" w:rsidR="00A11402" w:rsidRPr="00E02BB9" w:rsidRDefault="00E02BB9">
            <w:pPr>
              <w:spacing w:after="120" w:line="240" w:lineRule="auto"/>
              <w:jc w:val="both"/>
              <w:rPr>
                <w:rStyle w:val="FormatvorlageInstructionsTabelleText"/>
                <w:rFonts w:ascii="Times New Roman" w:hAnsi="Times New Roman"/>
                <w:sz w:val="22"/>
              </w:rPr>
            </w:pPr>
            <w:r w:rsidRPr="00E02BB9">
              <w:rPr>
                <w:rStyle w:val="FormatvorlageInstructionsTabelleText"/>
                <w:rFonts w:ascii="Times New Roman" w:hAnsi="Times New Roman"/>
                <w:sz w:val="22"/>
              </w:rPr>
              <w:t>Članak 4. stavak 1. točka 117. i članak 26. stavak 1. točka (e) Uredbe (EU) br. 575/2013</w:t>
            </w:r>
          </w:p>
          <w:p w14:paraId="5496CD35" w14:textId="77777777" w:rsidR="00A11402" w:rsidRPr="00E02BB9" w:rsidRDefault="00E02BB9">
            <w:pPr>
              <w:spacing w:after="120" w:line="240" w:lineRule="auto"/>
              <w:jc w:val="both"/>
              <w:rPr>
                <w:rFonts w:ascii="Times New Roman" w:eastAsia="Times New Roman" w:hAnsi="Times New Roman" w:cs="Times New Roman"/>
                <w:b/>
                <w:bCs/>
                <w:u w:val="single"/>
              </w:rPr>
            </w:pPr>
            <w:r w:rsidRPr="00E02BB9">
              <w:rPr>
                <w:rStyle w:val="FormatvorlageInstructionsTabelleText"/>
                <w:rFonts w:ascii="Times New Roman" w:hAnsi="Times New Roman"/>
                <w:sz w:val="22"/>
              </w:rPr>
              <w:t>Iznos koji se iskazuje ne uključuje porezne troško</w:t>
            </w:r>
            <w:r w:rsidRPr="00E02BB9">
              <w:rPr>
                <w:rStyle w:val="FormatvorlageInstructionsTabelleText"/>
                <w:rFonts w:ascii="Times New Roman" w:hAnsi="Times New Roman"/>
                <w:sz w:val="22"/>
              </w:rPr>
              <w:t>ve predvidive u trenutku izračuna.</w:t>
            </w:r>
          </w:p>
        </w:tc>
      </w:tr>
      <w:tr w:rsidR="00A11402" w:rsidRPr="00E02BB9" w14:paraId="4BB8DF0C" w14:textId="77777777">
        <w:tc>
          <w:tcPr>
            <w:tcW w:w="1129" w:type="dxa"/>
          </w:tcPr>
          <w:p w14:paraId="3B3DD5DB" w14:textId="77777777" w:rsidR="00A11402" w:rsidRPr="00E02BB9" w:rsidRDefault="00E02BB9">
            <w:pPr>
              <w:spacing w:after="120" w:line="240" w:lineRule="auto"/>
              <w:jc w:val="both"/>
              <w:rPr>
                <w:rFonts w:ascii="Times New Roman" w:eastAsia="Times New Roman" w:hAnsi="Times New Roman" w:cs="Times New Roman"/>
                <w:bCs/>
              </w:rPr>
            </w:pPr>
            <w:r w:rsidRPr="00E02BB9">
              <w:rPr>
                <w:rFonts w:ascii="Times New Roman" w:hAnsi="Times New Roman"/>
                <w:bCs/>
              </w:rPr>
              <w:t>0120</w:t>
            </w:r>
          </w:p>
        </w:tc>
        <w:tc>
          <w:tcPr>
            <w:tcW w:w="7620" w:type="dxa"/>
          </w:tcPr>
          <w:p w14:paraId="4E420880" w14:textId="77777777" w:rsidR="00A11402" w:rsidRPr="00E02BB9" w:rsidRDefault="00E02BB9">
            <w:pPr>
              <w:spacing w:after="120" w:line="240" w:lineRule="auto"/>
              <w:jc w:val="both"/>
              <w:rPr>
                <w:rFonts w:ascii="Times New Roman" w:eastAsia="Times New Roman" w:hAnsi="Times New Roman" w:cs="Times New Roman"/>
                <w:b/>
                <w:bCs/>
                <w:u w:val="single"/>
              </w:rPr>
            </w:pPr>
            <w:r w:rsidRPr="00E02BB9">
              <w:rPr>
                <w:rFonts w:ascii="Times New Roman" w:hAnsi="Times New Roman"/>
                <w:b/>
                <w:bCs/>
                <w:u w:val="single"/>
              </w:rPr>
              <w:t>Usklađenja redovnog osnovnog kapitala zbog bonitetnih filtara</w:t>
            </w:r>
          </w:p>
          <w:p w14:paraId="564CFD73" w14:textId="77777777" w:rsidR="00A11402" w:rsidRPr="00E02BB9" w:rsidRDefault="00E02BB9">
            <w:pPr>
              <w:spacing w:after="120" w:line="240" w:lineRule="auto"/>
              <w:jc w:val="both"/>
              <w:rPr>
                <w:rFonts w:ascii="Times New Roman" w:eastAsia="Times New Roman" w:hAnsi="Times New Roman" w:cs="Times New Roman"/>
                <w:bCs/>
              </w:rPr>
            </w:pPr>
            <w:r w:rsidRPr="00E02BB9">
              <w:rPr>
                <w:rFonts w:ascii="Times New Roman" w:hAnsi="Times New Roman"/>
                <w:bCs/>
              </w:rPr>
              <w:t>Članak 9. stavak 1. točka</w:t>
            </w:r>
            <w:r w:rsidRPr="00E02BB9">
              <w:rPr>
                <w:rFonts w:ascii="Times New Roman" w:hAnsi="Times New Roman"/>
                <w:bCs/>
              </w:rPr>
              <w:t xml:space="preserve"> i.</w:t>
            </w:r>
            <w:r w:rsidRPr="00E02BB9">
              <w:rPr>
                <w:rFonts w:ascii="Times New Roman" w:hAnsi="Times New Roman"/>
                <w:bCs/>
              </w:rPr>
              <w:t xml:space="preserve"> Uredbe (EU) 2019/2033</w:t>
            </w:r>
          </w:p>
          <w:p w14:paraId="62A414A5" w14:textId="77777777" w:rsidR="00A11402" w:rsidRPr="00E02BB9" w:rsidRDefault="00E02BB9">
            <w:pPr>
              <w:spacing w:after="120" w:line="240" w:lineRule="auto"/>
              <w:jc w:val="both"/>
              <w:rPr>
                <w:rFonts w:ascii="Times New Roman" w:eastAsia="Times New Roman" w:hAnsi="Times New Roman" w:cs="Times New Roman"/>
                <w:b/>
                <w:bCs/>
                <w:u w:val="single"/>
              </w:rPr>
            </w:pPr>
            <w:r w:rsidRPr="00E02BB9">
              <w:rPr>
                <w:rStyle w:val="FormatvorlageInstructionsTabelleText"/>
                <w:rFonts w:ascii="Times New Roman" w:hAnsi="Times New Roman"/>
                <w:sz w:val="22"/>
              </w:rPr>
              <w:t>Članci od 32. do 35. Uredbe (EU) br. 575/2013</w:t>
            </w:r>
          </w:p>
        </w:tc>
      </w:tr>
      <w:tr w:rsidR="00A11402" w:rsidRPr="00E02BB9" w14:paraId="70FF8BD8" w14:textId="77777777">
        <w:tc>
          <w:tcPr>
            <w:tcW w:w="1129" w:type="dxa"/>
          </w:tcPr>
          <w:p w14:paraId="0E51B8C9" w14:textId="77777777" w:rsidR="00A11402" w:rsidRPr="00E02BB9" w:rsidRDefault="00E02BB9">
            <w:pPr>
              <w:spacing w:after="120" w:line="240" w:lineRule="auto"/>
              <w:jc w:val="both"/>
              <w:rPr>
                <w:rFonts w:ascii="Times New Roman" w:eastAsia="Times New Roman" w:hAnsi="Times New Roman" w:cs="Times New Roman"/>
                <w:bCs/>
              </w:rPr>
            </w:pPr>
            <w:r w:rsidRPr="00E02BB9">
              <w:rPr>
                <w:rFonts w:ascii="Times New Roman" w:hAnsi="Times New Roman"/>
                <w:bCs/>
              </w:rPr>
              <w:t>0130</w:t>
            </w:r>
          </w:p>
        </w:tc>
        <w:tc>
          <w:tcPr>
            <w:tcW w:w="7620" w:type="dxa"/>
          </w:tcPr>
          <w:p w14:paraId="702AC04C" w14:textId="77777777" w:rsidR="00A11402" w:rsidRPr="00E02BB9" w:rsidRDefault="00E02BB9">
            <w:pPr>
              <w:spacing w:after="120" w:line="240" w:lineRule="auto"/>
              <w:jc w:val="both"/>
              <w:rPr>
                <w:rFonts w:ascii="Times New Roman" w:eastAsia="Times New Roman" w:hAnsi="Times New Roman" w:cs="Times New Roman"/>
                <w:b/>
                <w:bCs/>
                <w:u w:val="single"/>
              </w:rPr>
            </w:pPr>
            <w:r w:rsidRPr="00E02BB9">
              <w:rPr>
                <w:rFonts w:ascii="Times New Roman" w:hAnsi="Times New Roman"/>
                <w:b/>
                <w:bCs/>
                <w:u w:val="single"/>
              </w:rPr>
              <w:t>Druga sredstva</w:t>
            </w:r>
          </w:p>
          <w:p w14:paraId="3320162D" w14:textId="77777777" w:rsidR="00A11402" w:rsidRPr="00E02BB9" w:rsidRDefault="00E02BB9">
            <w:pPr>
              <w:spacing w:after="120" w:line="240" w:lineRule="auto"/>
              <w:jc w:val="both"/>
              <w:rPr>
                <w:rFonts w:ascii="Times New Roman" w:eastAsia="Times New Roman" w:hAnsi="Times New Roman" w:cs="Times New Roman"/>
                <w:b/>
                <w:bCs/>
                <w:u w:val="single"/>
              </w:rPr>
            </w:pPr>
            <w:r w:rsidRPr="00E02BB9">
              <w:rPr>
                <w:rFonts w:ascii="Times New Roman" w:hAnsi="Times New Roman"/>
                <w:bCs/>
              </w:rPr>
              <w:t xml:space="preserve">Članak 9. stavak 4. Uredbe </w:t>
            </w:r>
            <w:r w:rsidRPr="00E02BB9">
              <w:rPr>
                <w:rFonts w:ascii="Times New Roman" w:hAnsi="Times New Roman"/>
                <w:bCs/>
              </w:rPr>
              <w:t>(EU) 2019/2033</w:t>
            </w:r>
          </w:p>
        </w:tc>
      </w:tr>
      <w:tr w:rsidR="00A11402" w:rsidRPr="00E02BB9" w14:paraId="69C52E6D" w14:textId="77777777">
        <w:tc>
          <w:tcPr>
            <w:tcW w:w="1129" w:type="dxa"/>
          </w:tcPr>
          <w:p w14:paraId="16A4D2F6" w14:textId="77777777" w:rsidR="00A11402" w:rsidRPr="00E02BB9" w:rsidRDefault="00E02BB9">
            <w:pPr>
              <w:spacing w:after="120" w:line="240" w:lineRule="auto"/>
              <w:jc w:val="both"/>
              <w:rPr>
                <w:rFonts w:ascii="Times New Roman" w:eastAsia="Times New Roman" w:hAnsi="Times New Roman" w:cs="Times New Roman"/>
                <w:bCs/>
              </w:rPr>
            </w:pPr>
            <w:r w:rsidRPr="00E02BB9">
              <w:rPr>
                <w:rFonts w:ascii="Times New Roman" w:hAnsi="Times New Roman"/>
                <w:bCs/>
              </w:rPr>
              <w:t>0145</w:t>
            </w:r>
          </w:p>
        </w:tc>
        <w:tc>
          <w:tcPr>
            <w:tcW w:w="7620" w:type="dxa"/>
          </w:tcPr>
          <w:p w14:paraId="4C3DD3A6" w14:textId="77777777" w:rsidR="00A11402" w:rsidRPr="00E02BB9" w:rsidRDefault="00E02BB9">
            <w:pPr>
              <w:spacing w:after="120" w:line="240" w:lineRule="auto"/>
              <w:jc w:val="both"/>
              <w:rPr>
                <w:rFonts w:ascii="Times New Roman" w:eastAsia="Times New Roman" w:hAnsi="Times New Roman" w:cs="Times New Roman"/>
                <w:b/>
                <w:bCs/>
                <w:u w:val="single"/>
              </w:rPr>
            </w:pPr>
            <w:r w:rsidRPr="00E02BB9">
              <w:rPr>
                <w:rFonts w:ascii="Times New Roman" w:hAnsi="Times New Roman"/>
                <w:b/>
                <w:bCs/>
                <w:u w:val="single"/>
              </w:rPr>
              <w:t>(–) UKUPNI ODBICI OD REDOVNOG OSNOVNOG KAPITALA</w:t>
            </w:r>
          </w:p>
          <w:p w14:paraId="7AED6E8D" w14:textId="77777777" w:rsidR="00A11402" w:rsidRPr="00E02BB9" w:rsidRDefault="00E02BB9">
            <w:pPr>
              <w:spacing w:after="120" w:line="240" w:lineRule="auto"/>
              <w:jc w:val="both"/>
              <w:rPr>
                <w:rFonts w:ascii="Times New Roman" w:eastAsia="Times New Roman" w:hAnsi="Times New Roman" w:cs="Times New Roman"/>
                <w:bCs/>
              </w:rPr>
            </w:pPr>
            <w:r w:rsidRPr="00E02BB9">
              <w:rPr>
                <w:rFonts w:ascii="Times New Roman" w:hAnsi="Times New Roman"/>
                <w:bCs/>
              </w:rPr>
              <w:t>Članak 8. stavak 2. točka (a) Uredbe (EU) 2019/2033, članak 36. stavak 1. Uredbe (EU) br. 575/2013, osim točke</w:t>
            </w:r>
            <w:r w:rsidRPr="00E02BB9">
              <w:rPr>
                <w:rFonts w:ascii="Times New Roman" w:hAnsi="Times New Roman"/>
                <w:bCs/>
              </w:rPr>
              <w:t xml:space="preserve"> i.</w:t>
            </w:r>
            <w:r w:rsidRPr="00E02BB9">
              <w:rPr>
                <w:rFonts w:ascii="Times New Roman" w:hAnsi="Times New Roman"/>
                <w:bCs/>
              </w:rPr>
              <w:t xml:space="preserve"> tog stavka</w:t>
            </w:r>
          </w:p>
          <w:p w14:paraId="01B722F8" w14:textId="77777777" w:rsidR="00A11402" w:rsidRPr="00E02BB9" w:rsidRDefault="00E02BB9">
            <w:pPr>
              <w:spacing w:after="120" w:line="240" w:lineRule="auto"/>
              <w:jc w:val="both"/>
              <w:rPr>
                <w:rFonts w:ascii="Times New Roman" w:eastAsia="Times New Roman" w:hAnsi="Times New Roman" w:cs="Times New Roman"/>
                <w:bCs/>
              </w:rPr>
            </w:pPr>
            <w:r w:rsidRPr="00E02BB9">
              <w:rPr>
                <w:rFonts w:ascii="Times New Roman" w:hAnsi="Times New Roman"/>
                <w:bCs/>
              </w:rPr>
              <w:t>Iskazuje se zbroj retka 0150 i redaka od 0190 do 0280.</w:t>
            </w:r>
          </w:p>
        </w:tc>
      </w:tr>
      <w:tr w:rsidR="00A11402" w:rsidRPr="00E02BB9" w14:paraId="5754D354" w14:textId="77777777">
        <w:tc>
          <w:tcPr>
            <w:tcW w:w="1129" w:type="dxa"/>
          </w:tcPr>
          <w:p w14:paraId="4C92FD7E" w14:textId="77777777" w:rsidR="00A11402" w:rsidRPr="00E02BB9" w:rsidRDefault="00E02BB9">
            <w:pPr>
              <w:spacing w:after="120" w:line="240" w:lineRule="auto"/>
              <w:jc w:val="both"/>
              <w:rPr>
                <w:rFonts w:ascii="Times New Roman" w:eastAsia="Times New Roman" w:hAnsi="Times New Roman" w:cs="Times New Roman"/>
                <w:bCs/>
              </w:rPr>
            </w:pPr>
            <w:r w:rsidRPr="00E02BB9">
              <w:rPr>
                <w:rFonts w:ascii="Times New Roman" w:hAnsi="Times New Roman"/>
                <w:bCs/>
              </w:rPr>
              <w:t>0150</w:t>
            </w:r>
          </w:p>
        </w:tc>
        <w:tc>
          <w:tcPr>
            <w:tcW w:w="7620" w:type="dxa"/>
            <w:shd w:val="clear" w:color="auto" w:fill="auto"/>
          </w:tcPr>
          <w:p w14:paraId="3E1398D9" w14:textId="77777777" w:rsidR="00A11402" w:rsidRPr="00E02BB9" w:rsidRDefault="00E02BB9">
            <w:pPr>
              <w:spacing w:after="120" w:line="240" w:lineRule="auto"/>
              <w:jc w:val="both"/>
              <w:rPr>
                <w:rFonts w:ascii="Times New Roman" w:eastAsia="Times New Roman" w:hAnsi="Times New Roman" w:cs="Times New Roman"/>
                <w:b/>
                <w:bCs/>
                <w:u w:val="single"/>
              </w:rPr>
            </w:pPr>
            <w:r w:rsidRPr="00E02BB9">
              <w:rPr>
                <w:rFonts w:ascii="Times New Roman" w:hAnsi="Times New Roman"/>
                <w:b/>
                <w:bCs/>
                <w:u w:val="single"/>
              </w:rPr>
              <w:t>(–) Vlastiti instrumenti redovnog osnovnog kapitala</w:t>
            </w:r>
          </w:p>
          <w:p w14:paraId="10DBA104" w14:textId="77777777" w:rsidR="00A11402" w:rsidRPr="00E02BB9" w:rsidRDefault="00E02BB9">
            <w:pPr>
              <w:rPr>
                <w:rFonts w:cs="Times New Roman"/>
              </w:rPr>
            </w:pPr>
            <w:r w:rsidRPr="00E02BB9">
              <w:rPr>
                <w:rFonts w:ascii="Times New Roman" w:hAnsi="Times New Roman"/>
                <w:bCs/>
              </w:rPr>
              <w:t>Članak 9. stavak 1. točka</w:t>
            </w:r>
            <w:r w:rsidRPr="00E02BB9">
              <w:rPr>
                <w:rFonts w:ascii="Times New Roman" w:hAnsi="Times New Roman"/>
                <w:bCs/>
              </w:rPr>
              <w:t xml:space="preserve"> i.</w:t>
            </w:r>
            <w:r w:rsidRPr="00E02BB9">
              <w:rPr>
                <w:rFonts w:ascii="Times New Roman" w:hAnsi="Times New Roman"/>
                <w:bCs/>
              </w:rPr>
              <w:t xml:space="preserve"> Uredbe (EU) 2019/2033</w:t>
            </w:r>
          </w:p>
          <w:p w14:paraId="54BCC44F" w14:textId="77777777" w:rsidR="00A11402" w:rsidRPr="00E02BB9" w:rsidRDefault="00E02BB9">
            <w:pPr>
              <w:rPr>
                <w:rStyle w:val="FormatvorlageInstructionsTabelleText"/>
                <w:rFonts w:ascii="Times New Roman" w:hAnsi="Times New Roman"/>
                <w:bCs w:val="0"/>
                <w:sz w:val="22"/>
              </w:rPr>
            </w:pPr>
            <w:r w:rsidRPr="00E02BB9">
              <w:rPr>
                <w:rStyle w:val="FormatvorlageInstructionsTabelleText"/>
                <w:rFonts w:ascii="Times New Roman" w:hAnsi="Times New Roman"/>
                <w:sz w:val="22"/>
              </w:rPr>
              <w:t>Članak 36. stavak 1. točka (f) i članak 42. Uredbe (EU) br. 575/2013</w:t>
            </w:r>
          </w:p>
          <w:p w14:paraId="68C3EAD4" w14:textId="77777777" w:rsidR="00A11402" w:rsidRPr="00E02BB9" w:rsidRDefault="00E02BB9">
            <w:pPr>
              <w:pStyle w:val="InstructionsText"/>
              <w:rPr>
                <w:rStyle w:val="FormatvorlageInstructionsTabelleText"/>
                <w:rFonts w:ascii="Times New Roman" w:hAnsi="Times New Roman"/>
                <w:sz w:val="22"/>
                <w:szCs w:val="22"/>
              </w:rPr>
            </w:pPr>
            <w:r w:rsidRPr="00E02BB9">
              <w:rPr>
                <w:rStyle w:val="FormatvorlageInstructionsTabelleText"/>
                <w:rFonts w:ascii="Times New Roman" w:hAnsi="Times New Roman"/>
                <w:sz w:val="22"/>
                <w:szCs w:val="22"/>
              </w:rPr>
              <w:t>Vlastiti instrumenti redovnog osnovnog kapitala koje drži institucija ili grupa</w:t>
            </w:r>
            <w:r w:rsidRPr="00E02BB9">
              <w:rPr>
                <w:rStyle w:val="FormatvorlageInstructionsTabelleText"/>
                <w:rFonts w:ascii="Times New Roman" w:hAnsi="Times New Roman"/>
                <w:sz w:val="22"/>
                <w:szCs w:val="22"/>
              </w:rPr>
              <w:t xml:space="preserve"> koja izvješćuje na datum izvješćivanja. Podložno iznimkama iz članka 42. Uredbe (EU) br. 575/2013.</w:t>
            </w:r>
          </w:p>
          <w:p w14:paraId="3F14C8F1" w14:textId="77777777" w:rsidR="00A11402" w:rsidRPr="00E02BB9" w:rsidRDefault="00E02BB9">
            <w:pPr>
              <w:pStyle w:val="InstructionsText"/>
              <w:rPr>
                <w:rStyle w:val="FormatvorlageInstructionsTabelleText"/>
                <w:rFonts w:ascii="Times New Roman" w:hAnsi="Times New Roman"/>
                <w:sz w:val="22"/>
                <w:szCs w:val="22"/>
              </w:rPr>
            </w:pPr>
            <w:r w:rsidRPr="00E02BB9">
              <w:rPr>
                <w:rStyle w:val="FormatvorlageInstructionsTabelleText"/>
                <w:rFonts w:ascii="Times New Roman" w:hAnsi="Times New Roman"/>
                <w:sz w:val="22"/>
                <w:szCs w:val="22"/>
              </w:rPr>
              <w:t>U ovom se retku ne iskazuju ulaganja u dionice uključena kao „instrumenti kapitala koji se ne priznaju”.</w:t>
            </w:r>
          </w:p>
          <w:p w14:paraId="1B6D9E0B" w14:textId="77777777" w:rsidR="00A11402" w:rsidRPr="00E02BB9" w:rsidRDefault="00E02BB9">
            <w:pPr>
              <w:pStyle w:val="InstructionsText"/>
              <w:rPr>
                <w:sz w:val="22"/>
                <w:szCs w:val="22"/>
              </w:rPr>
            </w:pPr>
            <w:r w:rsidRPr="00E02BB9">
              <w:rPr>
                <w:rStyle w:val="FormatvorlageInstructionsTabelleText"/>
                <w:rFonts w:ascii="Times New Roman" w:hAnsi="Times New Roman"/>
                <w:sz w:val="22"/>
                <w:szCs w:val="22"/>
              </w:rPr>
              <w:t>Iznos koji se iskazuje uključuje premiju na dionice</w:t>
            </w:r>
            <w:r w:rsidRPr="00E02BB9">
              <w:rPr>
                <w:rStyle w:val="FormatvorlageInstructionsTabelleText"/>
                <w:rFonts w:ascii="Times New Roman" w:hAnsi="Times New Roman"/>
                <w:sz w:val="22"/>
                <w:szCs w:val="22"/>
              </w:rPr>
              <w:t xml:space="preserve"> povezanu s vlastitim dionicama.</w:t>
            </w:r>
          </w:p>
        </w:tc>
      </w:tr>
      <w:tr w:rsidR="00A11402" w:rsidRPr="00E02BB9" w14:paraId="65B30002" w14:textId="77777777">
        <w:tc>
          <w:tcPr>
            <w:tcW w:w="1129" w:type="dxa"/>
          </w:tcPr>
          <w:p w14:paraId="6C3C145B" w14:textId="77777777" w:rsidR="00A11402" w:rsidRPr="00E02BB9" w:rsidRDefault="00E02BB9">
            <w:pPr>
              <w:spacing w:after="120" w:line="240" w:lineRule="auto"/>
              <w:jc w:val="both"/>
              <w:rPr>
                <w:rFonts w:ascii="Times New Roman" w:eastAsia="Times New Roman" w:hAnsi="Times New Roman" w:cs="Times New Roman"/>
                <w:bCs/>
              </w:rPr>
            </w:pPr>
            <w:r w:rsidRPr="00E02BB9">
              <w:rPr>
                <w:rFonts w:ascii="Times New Roman" w:hAnsi="Times New Roman"/>
                <w:bCs/>
              </w:rPr>
              <w:t>0190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57E5D4E7" w14:textId="77777777" w:rsidR="00A11402" w:rsidRPr="00E02BB9" w:rsidRDefault="00E02BB9">
            <w:pPr>
              <w:spacing w:after="120" w:line="240" w:lineRule="auto"/>
              <w:jc w:val="both"/>
              <w:rPr>
                <w:rFonts w:ascii="Times New Roman" w:eastAsia="Times New Roman" w:hAnsi="Times New Roman" w:cs="Times New Roman"/>
                <w:b/>
                <w:bCs/>
                <w:u w:val="single"/>
              </w:rPr>
            </w:pPr>
            <w:r w:rsidRPr="00E02BB9">
              <w:rPr>
                <w:rFonts w:ascii="Times New Roman" w:hAnsi="Times New Roman"/>
                <w:b/>
                <w:bCs/>
                <w:u w:val="single"/>
              </w:rPr>
              <w:t>(–) Gubici tekuće financijske godine</w:t>
            </w:r>
          </w:p>
          <w:p w14:paraId="272586D9" w14:textId="77777777" w:rsidR="00A11402" w:rsidRPr="00E02BB9" w:rsidRDefault="00E02BB9">
            <w:pPr>
              <w:spacing w:after="120" w:line="240" w:lineRule="auto"/>
              <w:jc w:val="both"/>
              <w:rPr>
                <w:rFonts w:ascii="Times New Roman" w:eastAsia="Times New Roman" w:hAnsi="Times New Roman" w:cs="Times New Roman"/>
                <w:b/>
                <w:bCs/>
                <w:u w:val="single"/>
              </w:rPr>
            </w:pPr>
            <w:r w:rsidRPr="00E02BB9">
              <w:rPr>
                <w:rFonts w:ascii="Times New Roman" w:hAnsi="Times New Roman"/>
              </w:rPr>
              <w:t>Članak 36. stavak 1. točka (a) Uredbe (EU) br. 575/2013</w:t>
            </w:r>
          </w:p>
        </w:tc>
      </w:tr>
      <w:tr w:rsidR="00A11402" w:rsidRPr="00E02BB9" w14:paraId="7ED2D50C" w14:textId="77777777">
        <w:tc>
          <w:tcPr>
            <w:tcW w:w="1129" w:type="dxa"/>
          </w:tcPr>
          <w:p w14:paraId="1F142A04" w14:textId="77777777" w:rsidR="00A11402" w:rsidRPr="00E02BB9" w:rsidRDefault="00E02BB9">
            <w:pPr>
              <w:spacing w:after="120" w:line="240" w:lineRule="auto"/>
              <w:jc w:val="both"/>
              <w:rPr>
                <w:rFonts w:ascii="Times New Roman" w:eastAsia="Times New Roman" w:hAnsi="Times New Roman" w:cs="Times New Roman"/>
                <w:bCs/>
              </w:rPr>
            </w:pPr>
            <w:r w:rsidRPr="00E02BB9">
              <w:rPr>
                <w:rFonts w:ascii="Times New Roman" w:hAnsi="Times New Roman"/>
                <w:bCs/>
              </w:rPr>
              <w:t>0200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39C9466" w14:textId="77777777" w:rsidR="00A11402" w:rsidRPr="00E02BB9" w:rsidRDefault="00E02BB9">
            <w:pPr>
              <w:spacing w:after="120" w:line="240" w:lineRule="auto"/>
              <w:jc w:val="both"/>
              <w:rPr>
                <w:rFonts w:ascii="Times New Roman" w:eastAsia="Times New Roman" w:hAnsi="Times New Roman" w:cs="Times New Roman"/>
                <w:b/>
                <w:bCs/>
                <w:u w:val="single"/>
              </w:rPr>
            </w:pPr>
            <w:r w:rsidRPr="00E02BB9">
              <w:rPr>
                <w:rFonts w:ascii="Times New Roman" w:hAnsi="Times New Roman"/>
                <w:b/>
                <w:bCs/>
                <w:u w:val="single"/>
              </w:rPr>
              <w:t xml:space="preserve">(–) </w:t>
            </w:r>
            <w:r w:rsidRPr="00E02BB9">
              <w:rPr>
                <w:rFonts w:ascii="Times New Roman" w:hAnsi="Times New Roman"/>
                <w:b/>
                <w:bCs/>
                <w:i/>
                <w:iCs/>
                <w:u w:val="single"/>
              </w:rPr>
              <w:t>Goodwill</w:t>
            </w:r>
          </w:p>
          <w:p w14:paraId="08F5E8B2" w14:textId="77777777" w:rsidR="00A11402" w:rsidRPr="00E02BB9" w:rsidRDefault="00E02BB9">
            <w:pPr>
              <w:spacing w:after="120" w:line="240" w:lineRule="auto"/>
              <w:jc w:val="both"/>
              <w:rPr>
                <w:rFonts w:ascii="Times New Roman" w:eastAsia="Times New Roman" w:hAnsi="Times New Roman" w:cs="Times New Roman"/>
                <w:bCs/>
              </w:rPr>
            </w:pPr>
            <w:r w:rsidRPr="00E02BB9">
              <w:rPr>
                <w:rFonts w:ascii="Times New Roman" w:hAnsi="Times New Roman"/>
                <w:bCs/>
              </w:rPr>
              <w:t>Članak 9. stavak 1. točka</w:t>
            </w:r>
            <w:r w:rsidRPr="00E02BB9">
              <w:rPr>
                <w:rFonts w:ascii="Times New Roman" w:hAnsi="Times New Roman"/>
                <w:bCs/>
              </w:rPr>
              <w:t xml:space="preserve"> i.</w:t>
            </w:r>
            <w:r w:rsidRPr="00E02BB9">
              <w:rPr>
                <w:rFonts w:ascii="Times New Roman" w:hAnsi="Times New Roman"/>
                <w:bCs/>
              </w:rPr>
              <w:t xml:space="preserve"> Uredbe (EU) 2019/2033</w:t>
            </w:r>
          </w:p>
          <w:p w14:paraId="5CECADC2" w14:textId="77777777" w:rsidR="00A11402" w:rsidRPr="00E02BB9" w:rsidRDefault="00E02BB9">
            <w:pPr>
              <w:spacing w:after="120" w:line="240" w:lineRule="auto"/>
              <w:jc w:val="both"/>
              <w:rPr>
                <w:rFonts w:ascii="Times New Roman" w:eastAsia="Times New Roman" w:hAnsi="Times New Roman" w:cs="Times New Roman"/>
                <w:b/>
                <w:bCs/>
                <w:u w:val="single"/>
              </w:rPr>
            </w:pPr>
            <w:r w:rsidRPr="00E02BB9">
              <w:rPr>
                <w:rStyle w:val="FormatvorlageInstructionsTabelleText"/>
                <w:rFonts w:ascii="Times New Roman" w:hAnsi="Times New Roman"/>
                <w:sz w:val="22"/>
              </w:rPr>
              <w:t xml:space="preserve">Članak 4. stavak 1. točka 113., članak 36. </w:t>
            </w:r>
            <w:r w:rsidRPr="00E02BB9">
              <w:rPr>
                <w:rStyle w:val="FormatvorlageInstructionsTabelleText"/>
                <w:rFonts w:ascii="Times New Roman" w:hAnsi="Times New Roman"/>
                <w:sz w:val="22"/>
              </w:rPr>
              <w:t>stavak 1. točka (b) i članak 37. Uredbe (EU) br. 575/2013</w:t>
            </w:r>
          </w:p>
        </w:tc>
      </w:tr>
      <w:tr w:rsidR="00A11402" w:rsidRPr="00E02BB9" w14:paraId="58210DCB" w14:textId="77777777">
        <w:tc>
          <w:tcPr>
            <w:tcW w:w="1129" w:type="dxa"/>
          </w:tcPr>
          <w:p w14:paraId="79442AF0" w14:textId="77777777" w:rsidR="00A11402" w:rsidRPr="00E02BB9" w:rsidRDefault="00E02BB9">
            <w:pPr>
              <w:spacing w:after="120" w:line="240" w:lineRule="auto"/>
              <w:jc w:val="both"/>
              <w:rPr>
                <w:rFonts w:ascii="Times New Roman" w:eastAsia="Times New Roman" w:hAnsi="Times New Roman" w:cs="Times New Roman"/>
                <w:bCs/>
              </w:rPr>
            </w:pPr>
            <w:r w:rsidRPr="00E02BB9">
              <w:rPr>
                <w:rFonts w:ascii="Times New Roman" w:hAnsi="Times New Roman"/>
                <w:bCs/>
              </w:rPr>
              <w:t>0210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7302383" w14:textId="77777777" w:rsidR="00A11402" w:rsidRPr="00E02BB9" w:rsidRDefault="00E02BB9">
            <w:pPr>
              <w:spacing w:after="120" w:line="240" w:lineRule="auto"/>
              <w:jc w:val="both"/>
              <w:rPr>
                <w:rFonts w:ascii="Times New Roman" w:eastAsia="Times New Roman" w:hAnsi="Times New Roman" w:cs="Times New Roman"/>
                <w:b/>
                <w:bCs/>
                <w:u w:val="single"/>
              </w:rPr>
            </w:pPr>
            <w:r w:rsidRPr="00E02BB9">
              <w:rPr>
                <w:rFonts w:ascii="Times New Roman" w:hAnsi="Times New Roman"/>
                <w:b/>
                <w:bCs/>
                <w:u w:val="single"/>
              </w:rPr>
              <w:t>(–) Ostala nematerijalna imovina</w:t>
            </w:r>
          </w:p>
          <w:p w14:paraId="1CCF28D7" w14:textId="77777777" w:rsidR="00A11402" w:rsidRPr="00E02BB9" w:rsidRDefault="00E02BB9">
            <w:pPr>
              <w:spacing w:after="120" w:line="240" w:lineRule="auto"/>
              <w:jc w:val="both"/>
              <w:rPr>
                <w:rFonts w:ascii="Times New Roman" w:eastAsia="Times New Roman" w:hAnsi="Times New Roman" w:cs="Times New Roman"/>
                <w:bCs/>
              </w:rPr>
            </w:pPr>
            <w:r w:rsidRPr="00E02BB9">
              <w:rPr>
                <w:rFonts w:ascii="Times New Roman" w:hAnsi="Times New Roman"/>
                <w:bCs/>
              </w:rPr>
              <w:lastRenderedPageBreak/>
              <w:t>Članak 9. stavak 1. točka</w:t>
            </w:r>
            <w:r w:rsidRPr="00E02BB9">
              <w:rPr>
                <w:rFonts w:ascii="Times New Roman" w:hAnsi="Times New Roman"/>
                <w:bCs/>
              </w:rPr>
              <w:t xml:space="preserve"> i.</w:t>
            </w:r>
            <w:r w:rsidRPr="00E02BB9">
              <w:rPr>
                <w:rFonts w:ascii="Times New Roman" w:hAnsi="Times New Roman"/>
                <w:bCs/>
              </w:rPr>
              <w:t xml:space="preserve"> Uredbe (EU) 2019/2033</w:t>
            </w:r>
          </w:p>
          <w:p w14:paraId="525E8830" w14:textId="77777777" w:rsidR="00A11402" w:rsidRPr="00E02BB9" w:rsidRDefault="00E02BB9">
            <w:pPr>
              <w:pStyle w:val="InstructionsText"/>
              <w:rPr>
                <w:rStyle w:val="FormatvorlageInstructionsTabelleText"/>
                <w:rFonts w:ascii="Times New Roman" w:eastAsiaTheme="minorHAnsi" w:hAnsi="Times New Roman"/>
                <w:bCs/>
                <w:sz w:val="22"/>
                <w:szCs w:val="22"/>
              </w:rPr>
            </w:pPr>
            <w:r w:rsidRPr="00E02BB9">
              <w:rPr>
                <w:rStyle w:val="FormatvorlageInstructionsTabelleText"/>
                <w:rFonts w:ascii="Times New Roman" w:hAnsi="Times New Roman"/>
                <w:sz w:val="22"/>
                <w:szCs w:val="22"/>
              </w:rPr>
              <w:t>Članak 4. stavak 1. točka 115., članak 36. stavak 1. točka (b) i članak 37. točka (a) Uredbe (EU) br. 575/20</w:t>
            </w:r>
            <w:r w:rsidRPr="00E02BB9">
              <w:rPr>
                <w:rStyle w:val="FormatvorlageInstructionsTabelleText"/>
                <w:rFonts w:ascii="Times New Roman" w:hAnsi="Times New Roman"/>
                <w:sz w:val="22"/>
                <w:szCs w:val="22"/>
              </w:rPr>
              <w:t>13</w:t>
            </w:r>
          </w:p>
          <w:p w14:paraId="0F9B693D" w14:textId="77777777" w:rsidR="00A11402" w:rsidRPr="00E02BB9" w:rsidRDefault="00E02BB9">
            <w:pPr>
              <w:spacing w:after="120" w:line="240" w:lineRule="auto"/>
              <w:jc w:val="both"/>
              <w:rPr>
                <w:rFonts w:ascii="Times New Roman" w:eastAsia="Times New Roman" w:hAnsi="Times New Roman" w:cs="Times New Roman"/>
                <w:b/>
                <w:bCs/>
                <w:u w:val="single"/>
              </w:rPr>
            </w:pPr>
            <w:r w:rsidRPr="00E02BB9">
              <w:rPr>
                <w:rStyle w:val="FormatvorlageInstructionsTabelleText"/>
                <w:rFonts w:ascii="Times New Roman" w:hAnsi="Times New Roman"/>
                <w:sz w:val="22"/>
              </w:rPr>
              <w:t xml:space="preserve">Ostala nematerijalna imovina je nematerijalna imovina u skladu s primjenjivim računovodstvenim standardom, umanjena za </w:t>
            </w:r>
            <w:r w:rsidRPr="00E02BB9">
              <w:rPr>
                <w:rStyle w:val="FormatvorlageInstructionsTabelleText"/>
                <w:rFonts w:ascii="Times New Roman" w:hAnsi="Times New Roman"/>
                <w:i/>
                <w:iCs/>
                <w:sz w:val="22"/>
              </w:rPr>
              <w:t>goodwill</w:t>
            </w:r>
            <w:r w:rsidRPr="00E02BB9">
              <w:rPr>
                <w:rStyle w:val="FormatvorlageInstructionsTabelleText"/>
                <w:rFonts w:ascii="Times New Roman" w:hAnsi="Times New Roman"/>
                <w:sz w:val="22"/>
              </w:rPr>
              <w:t>, također u skladu s primjenjivim računovodstvenim standardom.</w:t>
            </w:r>
          </w:p>
        </w:tc>
      </w:tr>
      <w:tr w:rsidR="00A11402" w:rsidRPr="00E02BB9" w14:paraId="0AB1657C" w14:textId="77777777">
        <w:tc>
          <w:tcPr>
            <w:tcW w:w="1129" w:type="dxa"/>
          </w:tcPr>
          <w:p w14:paraId="071B0D46" w14:textId="77777777" w:rsidR="00A11402" w:rsidRPr="00E02BB9" w:rsidRDefault="00E02BB9">
            <w:pPr>
              <w:spacing w:after="120" w:line="240" w:lineRule="auto"/>
              <w:jc w:val="both"/>
              <w:rPr>
                <w:rFonts w:ascii="Times New Roman" w:eastAsia="Times New Roman" w:hAnsi="Times New Roman" w:cs="Times New Roman"/>
                <w:bCs/>
              </w:rPr>
            </w:pPr>
            <w:r w:rsidRPr="00E02BB9">
              <w:rPr>
                <w:rFonts w:ascii="Times New Roman" w:hAnsi="Times New Roman"/>
                <w:bCs/>
              </w:rPr>
              <w:lastRenderedPageBreak/>
              <w:t>0220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3D8F8D1" w14:textId="77777777" w:rsidR="00A11402" w:rsidRPr="00E02BB9" w:rsidRDefault="00E02BB9">
            <w:pPr>
              <w:spacing w:after="120" w:line="240" w:lineRule="auto"/>
              <w:jc w:val="both"/>
              <w:rPr>
                <w:rFonts w:ascii="Times New Roman" w:eastAsia="Times New Roman" w:hAnsi="Times New Roman" w:cs="Times New Roman"/>
                <w:b/>
                <w:bCs/>
                <w:u w:val="single"/>
              </w:rPr>
            </w:pPr>
            <w:r w:rsidRPr="00E02BB9">
              <w:rPr>
                <w:rFonts w:ascii="Times New Roman" w:hAnsi="Times New Roman"/>
                <w:b/>
                <w:bCs/>
                <w:u w:val="single"/>
              </w:rPr>
              <w:t>(–) Odgođena porezna imovina koja ovisi o budućoj profita</w:t>
            </w:r>
            <w:r w:rsidRPr="00E02BB9">
              <w:rPr>
                <w:rFonts w:ascii="Times New Roman" w:hAnsi="Times New Roman"/>
                <w:b/>
                <w:bCs/>
                <w:u w:val="single"/>
              </w:rPr>
              <w:t>bilnosti i ne proizlazi iz privremenih razlika i ne uključuje povezane porezne obveze</w:t>
            </w:r>
          </w:p>
          <w:p w14:paraId="25CE4138" w14:textId="77777777" w:rsidR="00A11402" w:rsidRPr="00E02BB9" w:rsidRDefault="00E02BB9">
            <w:pPr>
              <w:spacing w:after="120" w:line="240" w:lineRule="auto"/>
              <w:jc w:val="both"/>
              <w:rPr>
                <w:rFonts w:ascii="Times New Roman" w:eastAsia="Times New Roman" w:hAnsi="Times New Roman" w:cs="Times New Roman"/>
                <w:bCs/>
              </w:rPr>
            </w:pPr>
            <w:r w:rsidRPr="00E02BB9">
              <w:rPr>
                <w:rFonts w:ascii="Times New Roman" w:hAnsi="Times New Roman"/>
                <w:bCs/>
              </w:rPr>
              <w:t>Članak 9. stavak 2. točka (a) Uredbe (EU) br. 2019/2033</w:t>
            </w:r>
          </w:p>
          <w:p w14:paraId="74A8CC45" w14:textId="77777777" w:rsidR="00A11402" w:rsidRPr="00E02BB9" w:rsidRDefault="00E02BB9">
            <w:pPr>
              <w:spacing w:after="120" w:line="240" w:lineRule="auto"/>
              <w:jc w:val="both"/>
              <w:rPr>
                <w:rFonts w:ascii="Times New Roman" w:eastAsia="Times New Roman" w:hAnsi="Times New Roman" w:cs="Times New Roman"/>
                <w:b/>
                <w:bCs/>
                <w:u w:val="single"/>
              </w:rPr>
            </w:pPr>
            <w:r w:rsidRPr="00E02BB9">
              <w:rPr>
                <w:rFonts w:ascii="Times New Roman" w:hAnsi="Times New Roman"/>
                <w:bCs/>
              </w:rPr>
              <w:t>Članak 36. stavak 1. točka (c) Uredbe (EU) br. 575/2013</w:t>
            </w:r>
          </w:p>
        </w:tc>
      </w:tr>
      <w:tr w:rsidR="00A11402" w:rsidRPr="00E02BB9" w14:paraId="0365B157" w14:textId="77777777">
        <w:tc>
          <w:tcPr>
            <w:tcW w:w="1129" w:type="dxa"/>
          </w:tcPr>
          <w:p w14:paraId="528F079C" w14:textId="77777777" w:rsidR="00A11402" w:rsidRPr="00E02BB9" w:rsidRDefault="00E02BB9">
            <w:pPr>
              <w:spacing w:after="120" w:line="240" w:lineRule="auto"/>
              <w:jc w:val="both"/>
              <w:rPr>
                <w:rFonts w:ascii="Times New Roman" w:eastAsia="Times New Roman" w:hAnsi="Times New Roman" w:cs="Times New Roman"/>
                <w:bCs/>
              </w:rPr>
            </w:pPr>
            <w:r w:rsidRPr="00E02BB9">
              <w:rPr>
                <w:rFonts w:ascii="Times New Roman" w:hAnsi="Times New Roman"/>
                <w:bCs/>
              </w:rPr>
              <w:t>0230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5423C30A" w14:textId="77777777" w:rsidR="00A11402" w:rsidRPr="00E02BB9" w:rsidRDefault="00E02BB9">
            <w:pPr>
              <w:spacing w:after="120" w:line="240" w:lineRule="auto"/>
              <w:jc w:val="both"/>
              <w:rPr>
                <w:rFonts w:ascii="Times New Roman" w:eastAsia="Times New Roman" w:hAnsi="Times New Roman" w:cs="Times New Roman"/>
                <w:b/>
                <w:bCs/>
                <w:u w:val="single"/>
              </w:rPr>
            </w:pPr>
            <w:r w:rsidRPr="00E02BB9">
              <w:rPr>
                <w:rFonts w:ascii="Times New Roman" w:hAnsi="Times New Roman"/>
                <w:b/>
                <w:bCs/>
                <w:u w:val="single"/>
              </w:rPr>
              <w:t xml:space="preserve">(–) Kvalificirani udjel izvan </w:t>
            </w:r>
            <w:r w:rsidRPr="00E02BB9">
              <w:rPr>
                <w:rFonts w:ascii="Times New Roman" w:hAnsi="Times New Roman"/>
                <w:b/>
                <w:bCs/>
                <w:u w:val="single"/>
              </w:rPr>
              <w:t>financijskog sektora koji premašuje 15 % regulatornog kapitala</w:t>
            </w:r>
          </w:p>
          <w:p w14:paraId="7AFE2887" w14:textId="77777777" w:rsidR="00A11402" w:rsidRPr="00E02BB9" w:rsidRDefault="00E02BB9">
            <w:pPr>
              <w:spacing w:after="120" w:line="240" w:lineRule="auto"/>
              <w:jc w:val="both"/>
              <w:rPr>
                <w:rFonts w:ascii="Times New Roman" w:eastAsia="Times New Roman" w:hAnsi="Times New Roman" w:cs="Times New Roman"/>
                <w:bCs/>
              </w:rPr>
            </w:pPr>
            <w:r w:rsidRPr="00E02BB9">
              <w:rPr>
                <w:rFonts w:ascii="Times New Roman" w:hAnsi="Times New Roman"/>
                <w:bCs/>
              </w:rPr>
              <w:t>Članak 10. stavak 1. točka (a) Uredbe (EU) br. 2019/2033</w:t>
            </w:r>
          </w:p>
        </w:tc>
      </w:tr>
      <w:tr w:rsidR="00A11402" w:rsidRPr="00E02BB9" w14:paraId="1733BCB0" w14:textId="77777777">
        <w:tc>
          <w:tcPr>
            <w:tcW w:w="1129" w:type="dxa"/>
          </w:tcPr>
          <w:p w14:paraId="6F511877" w14:textId="77777777" w:rsidR="00A11402" w:rsidRPr="00E02BB9" w:rsidRDefault="00E02BB9">
            <w:pPr>
              <w:spacing w:after="120" w:line="240" w:lineRule="auto"/>
              <w:jc w:val="both"/>
              <w:rPr>
                <w:rFonts w:ascii="Times New Roman" w:eastAsia="Times New Roman" w:hAnsi="Times New Roman" w:cs="Times New Roman"/>
                <w:bCs/>
              </w:rPr>
            </w:pPr>
            <w:r w:rsidRPr="00E02BB9">
              <w:rPr>
                <w:rFonts w:ascii="Times New Roman" w:hAnsi="Times New Roman"/>
                <w:bCs/>
              </w:rPr>
              <w:t>0240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5248079" w14:textId="77777777" w:rsidR="00A11402" w:rsidRPr="00E02BB9" w:rsidRDefault="00E02BB9">
            <w:pPr>
              <w:spacing w:after="120" w:line="240" w:lineRule="auto"/>
              <w:jc w:val="both"/>
              <w:rPr>
                <w:rFonts w:ascii="Times New Roman" w:eastAsia="Times New Roman" w:hAnsi="Times New Roman" w:cs="Times New Roman"/>
                <w:b/>
                <w:bCs/>
                <w:u w:val="single"/>
              </w:rPr>
            </w:pPr>
            <w:r w:rsidRPr="00E02BB9">
              <w:rPr>
                <w:rFonts w:ascii="Times New Roman" w:hAnsi="Times New Roman"/>
                <w:b/>
                <w:bCs/>
                <w:u w:val="single"/>
              </w:rPr>
              <w:t>(–) Ukupni kvalificirani udjeli u društvu koje nije subjekt financijskog sektora koji prelaze 60 % regulatornog kapitala</w:t>
            </w:r>
          </w:p>
          <w:p w14:paraId="34616385" w14:textId="77777777" w:rsidR="00A11402" w:rsidRPr="00E02BB9" w:rsidRDefault="00E02BB9">
            <w:pPr>
              <w:spacing w:after="120" w:line="240" w:lineRule="auto"/>
              <w:jc w:val="both"/>
              <w:rPr>
                <w:rFonts w:ascii="Times New Roman" w:eastAsia="Times New Roman" w:hAnsi="Times New Roman" w:cs="Times New Roman"/>
                <w:b/>
                <w:bCs/>
                <w:u w:val="single"/>
              </w:rPr>
            </w:pPr>
            <w:r w:rsidRPr="00E02BB9">
              <w:rPr>
                <w:rFonts w:ascii="Times New Roman" w:hAnsi="Times New Roman"/>
                <w:bCs/>
              </w:rPr>
              <w:t>Članak 10</w:t>
            </w:r>
            <w:r w:rsidRPr="00E02BB9">
              <w:rPr>
                <w:rFonts w:ascii="Times New Roman" w:hAnsi="Times New Roman"/>
                <w:bCs/>
              </w:rPr>
              <w:t>. stavak 1. točka (b) Uredbe (EU) 2019/2033</w:t>
            </w:r>
          </w:p>
        </w:tc>
      </w:tr>
      <w:tr w:rsidR="00A11402" w:rsidRPr="00E02BB9" w14:paraId="3B92D7F2" w14:textId="77777777">
        <w:tc>
          <w:tcPr>
            <w:tcW w:w="1129" w:type="dxa"/>
          </w:tcPr>
          <w:p w14:paraId="36DA5779" w14:textId="77777777" w:rsidR="00A11402" w:rsidRPr="00E02BB9" w:rsidRDefault="00E02BB9">
            <w:pPr>
              <w:spacing w:after="120" w:line="240" w:lineRule="auto"/>
              <w:jc w:val="both"/>
              <w:rPr>
                <w:rFonts w:ascii="Times New Roman" w:eastAsia="Times New Roman" w:hAnsi="Times New Roman" w:cs="Times New Roman"/>
                <w:bCs/>
              </w:rPr>
            </w:pPr>
            <w:r w:rsidRPr="00E02BB9">
              <w:rPr>
                <w:rFonts w:ascii="Times New Roman" w:hAnsi="Times New Roman"/>
                <w:bCs/>
              </w:rPr>
              <w:t>0250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15A84E3" w14:textId="77777777" w:rsidR="00A11402" w:rsidRPr="00E02BB9" w:rsidRDefault="00E02BB9">
            <w:pPr>
              <w:spacing w:after="120" w:line="240" w:lineRule="auto"/>
              <w:jc w:val="both"/>
              <w:rPr>
                <w:rFonts w:ascii="Times New Roman" w:eastAsia="Times New Roman" w:hAnsi="Times New Roman" w:cs="Times New Roman"/>
                <w:b/>
                <w:bCs/>
                <w:u w:val="single"/>
              </w:rPr>
            </w:pPr>
            <w:r w:rsidRPr="00E02BB9">
              <w:rPr>
                <w:rFonts w:ascii="Times New Roman" w:hAnsi="Times New Roman"/>
                <w:b/>
                <w:bCs/>
                <w:u w:val="single"/>
              </w:rPr>
              <w:t>(–) Instrumenti redovnog osnovnog kapitala subjekata financijskog sektora ako matično društvo nema značajno ulaganje</w:t>
            </w:r>
          </w:p>
          <w:p w14:paraId="38A8E0B1" w14:textId="77777777" w:rsidR="00A11402" w:rsidRPr="00E02BB9" w:rsidRDefault="00E02BB9">
            <w:pPr>
              <w:spacing w:after="120" w:line="240" w:lineRule="auto"/>
              <w:jc w:val="both"/>
              <w:rPr>
                <w:rFonts w:ascii="Times New Roman" w:eastAsia="Times New Roman" w:hAnsi="Times New Roman" w:cs="Times New Roman"/>
                <w:bCs/>
              </w:rPr>
            </w:pPr>
            <w:r w:rsidRPr="00E02BB9">
              <w:rPr>
                <w:rFonts w:ascii="Times New Roman" w:hAnsi="Times New Roman"/>
                <w:bCs/>
              </w:rPr>
              <w:t>Članak 9. stavak 2. točka (c) Uredbe (EU) 2019/2033</w:t>
            </w:r>
          </w:p>
          <w:p w14:paraId="41C0B341" w14:textId="77777777" w:rsidR="00A11402" w:rsidRPr="00E02BB9" w:rsidRDefault="00E02BB9">
            <w:pPr>
              <w:spacing w:after="120" w:line="240" w:lineRule="auto"/>
              <w:jc w:val="both"/>
              <w:rPr>
                <w:rFonts w:ascii="Times New Roman" w:eastAsia="Times New Roman" w:hAnsi="Times New Roman" w:cs="Times New Roman"/>
                <w:bCs/>
              </w:rPr>
            </w:pPr>
            <w:r w:rsidRPr="00E02BB9">
              <w:rPr>
                <w:rFonts w:ascii="Times New Roman" w:hAnsi="Times New Roman"/>
                <w:bCs/>
              </w:rPr>
              <w:t xml:space="preserve">Članak 36. stavak 1. točka (h) </w:t>
            </w:r>
            <w:r w:rsidRPr="00E02BB9">
              <w:rPr>
                <w:rFonts w:ascii="Times New Roman" w:hAnsi="Times New Roman"/>
                <w:bCs/>
              </w:rPr>
              <w:t>Uredbe (EU) br. 575/2013</w:t>
            </w:r>
          </w:p>
          <w:p w14:paraId="18A98CFF" w14:textId="77777777" w:rsidR="00A11402" w:rsidRPr="00E02BB9" w:rsidRDefault="00E02BB9">
            <w:pPr>
              <w:spacing w:after="120" w:line="240" w:lineRule="auto"/>
              <w:jc w:val="both"/>
              <w:rPr>
                <w:rFonts w:ascii="Times New Roman" w:eastAsia="Times New Roman" w:hAnsi="Times New Roman" w:cs="Times New Roman"/>
                <w:b/>
                <w:bCs/>
                <w:u w:val="single"/>
              </w:rPr>
            </w:pPr>
            <w:r w:rsidRPr="00E02BB9">
              <w:rPr>
                <w:rFonts w:ascii="Times New Roman" w:hAnsi="Times New Roman"/>
                <w:bCs/>
              </w:rPr>
              <w:t>Matično društvo u ovom retku znači matična investicijska društva iz Unije, matični investicijski holdinzi iz Unije, matični mješoviti financijski holdinzi iz Unije ili sva druga matična društva koje su investicijska društva, financ</w:t>
            </w:r>
            <w:r w:rsidRPr="00E02BB9">
              <w:rPr>
                <w:rFonts w:ascii="Times New Roman" w:hAnsi="Times New Roman"/>
                <w:bCs/>
              </w:rPr>
              <w:t>ijska institucija, društva za pomoćne usluge ili vezani zastupnici.</w:t>
            </w:r>
          </w:p>
        </w:tc>
      </w:tr>
      <w:tr w:rsidR="00A11402" w:rsidRPr="00E02BB9" w14:paraId="2182DD96" w14:textId="77777777">
        <w:tc>
          <w:tcPr>
            <w:tcW w:w="1129" w:type="dxa"/>
          </w:tcPr>
          <w:p w14:paraId="0B73396E" w14:textId="77777777" w:rsidR="00A11402" w:rsidRPr="00E02BB9" w:rsidRDefault="00E02BB9">
            <w:pPr>
              <w:spacing w:after="120" w:line="240" w:lineRule="auto"/>
              <w:jc w:val="both"/>
              <w:rPr>
                <w:rFonts w:ascii="Times New Roman" w:eastAsia="Times New Roman" w:hAnsi="Times New Roman" w:cs="Times New Roman"/>
                <w:bCs/>
              </w:rPr>
            </w:pPr>
            <w:r w:rsidRPr="00E02BB9">
              <w:rPr>
                <w:rFonts w:ascii="Times New Roman" w:hAnsi="Times New Roman"/>
                <w:bCs/>
              </w:rPr>
              <w:t>0270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E6EF49F" w14:textId="77777777" w:rsidR="00A11402" w:rsidRPr="00E02BB9" w:rsidRDefault="00E02BB9">
            <w:pPr>
              <w:spacing w:after="120" w:line="240" w:lineRule="auto"/>
              <w:jc w:val="both"/>
              <w:rPr>
                <w:rFonts w:ascii="Times New Roman" w:eastAsia="Times New Roman" w:hAnsi="Times New Roman" w:cs="Times New Roman"/>
                <w:b/>
                <w:bCs/>
                <w:u w:val="single"/>
              </w:rPr>
            </w:pPr>
            <w:r w:rsidRPr="00E02BB9">
              <w:rPr>
                <w:rFonts w:ascii="Times New Roman" w:hAnsi="Times New Roman"/>
                <w:b/>
                <w:bCs/>
                <w:u w:val="single"/>
              </w:rPr>
              <w:t>(–) Imovina mirovinskog fonda pod pokroviteljstvom poslodavca</w:t>
            </w:r>
          </w:p>
          <w:p w14:paraId="61AB526C" w14:textId="77777777" w:rsidR="00A11402" w:rsidRPr="00E02BB9" w:rsidRDefault="00E02BB9">
            <w:pPr>
              <w:spacing w:after="120" w:line="240" w:lineRule="auto"/>
              <w:jc w:val="both"/>
              <w:rPr>
                <w:rFonts w:ascii="Times New Roman" w:eastAsia="Times New Roman" w:hAnsi="Times New Roman" w:cs="Times New Roman"/>
                <w:bCs/>
              </w:rPr>
            </w:pPr>
            <w:r w:rsidRPr="00E02BB9">
              <w:rPr>
                <w:rFonts w:ascii="Times New Roman" w:hAnsi="Times New Roman"/>
                <w:bCs/>
              </w:rPr>
              <w:t>Članak 9. stavak 2. točka (b) Uredbe (EU) 2019/2033</w:t>
            </w:r>
          </w:p>
          <w:p w14:paraId="0485F133" w14:textId="77777777" w:rsidR="00A11402" w:rsidRPr="00E02BB9" w:rsidRDefault="00E02BB9">
            <w:pPr>
              <w:spacing w:after="120" w:line="240" w:lineRule="auto"/>
              <w:jc w:val="both"/>
              <w:rPr>
                <w:rFonts w:ascii="Times New Roman" w:eastAsia="Times New Roman" w:hAnsi="Times New Roman" w:cs="Times New Roman"/>
                <w:b/>
                <w:bCs/>
                <w:u w:val="single"/>
              </w:rPr>
            </w:pPr>
            <w:r w:rsidRPr="00E02BB9">
              <w:rPr>
                <w:rFonts w:ascii="Times New Roman" w:hAnsi="Times New Roman"/>
                <w:bCs/>
              </w:rPr>
              <w:t>Članak 36. stavak 1. točka (e) Uredbe (EU) br. 575/2013</w:t>
            </w:r>
          </w:p>
        </w:tc>
      </w:tr>
      <w:tr w:rsidR="00A11402" w:rsidRPr="00E02BB9" w14:paraId="4EC161FC" w14:textId="77777777">
        <w:tc>
          <w:tcPr>
            <w:tcW w:w="1129" w:type="dxa"/>
          </w:tcPr>
          <w:p w14:paraId="347B95D7" w14:textId="77777777" w:rsidR="00A11402" w:rsidRPr="00E02BB9" w:rsidRDefault="00E02BB9">
            <w:pPr>
              <w:spacing w:after="120" w:line="240" w:lineRule="auto"/>
              <w:jc w:val="both"/>
              <w:rPr>
                <w:rFonts w:ascii="Times New Roman" w:eastAsia="Times New Roman" w:hAnsi="Times New Roman" w:cs="Times New Roman"/>
                <w:bCs/>
              </w:rPr>
            </w:pPr>
            <w:r w:rsidRPr="00E02BB9">
              <w:rPr>
                <w:rFonts w:ascii="Times New Roman" w:hAnsi="Times New Roman"/>
                <w:bCs/>
              </w:rPr>
              <w:t>0280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430247D" w14:textId="77777777" w:rsidR="00A11402" w:rsidRPr="00E02BB9" w:rsidRDefault="00E02BB9">
            <w:pPr>
              <w:spacing w:after="120" w:line="240" w:lineRule="auto"/>
              <w:jc w:val="both"/>
              <w:rPr>
                <w:rFonts w:ascii="Times New Roman" w:eastAsia="Times New Roman" w:hAnsi="Times New Roman" w:cs="Times New Roman"/>
                <w:b/>
                <w:bCs/>
                <w:u w:val="single"/>
              </w:rPr>
            </w:pPr>
            <w:r w:rsidRPr="00E02BB9">
              <w:rPr>
                <w:rFonts w:ascii="Times New Roman" w:hAnsi="Times New Roman"/>
                <w:b/>
                <w:bCs/>
                <w:u w:val="single"/>
              </w:rPr>
              <w:t xml:space="preserve">(–) </w:t>
            </w:r>
            <w:r w:rsidRPr="00E02BB9">
              <w:rPr>
                <w:rFonts w:ascii="Times New Roman" w:hAnsi="Times New Roman"/>
                <w:b/>
                <w:bCs/>
                <w:u w:val="single"/>
              </w:rPr>
              <w:t>Drugi odbici</w:t>
            </w:r>
          </w:p>
          <w:p w14:paraId="45F4788C" w14:textId="77777777" w:rsidR="00A11402" w:rsidRPr="00E02BB9" w:rsidRDefault="00E02BB9">
            <w:pPr>
              <w:spacing w:after="120" w:line="240" w:lineRule="auto"/>
              <w:jc w:val="both"/>
              <w:rPr>
                <w:rFonts w:ascii="Times New Roman" w:eastAsia="Times New Roman" w:hAnsi="Times New Roman" w:cs="Times New Roman"/>
                <w:b/>
                <w:bCs/>
                <w:u w:val="single"/>
              </w:rPr>
            </w:pPr>
            <w:r w:rsidRPr="00E02BB9">
              <w:rPr>
                <w:rFonts w:ascii="Times New Roman" w:hAnsi="Times New Roman"/>
              </w:rPr>
              <w:t>Zbroj svih ostalih odbitaka u skladu s člankom 36. stavkom 1. Uredbe (EU) br. 575/2013, osim odbitaka iz članka 36. stavka 1. točke</w:t>
            </w:r>
            <w:r w:rsidRPr="00E02BB9">
              <w:rPr>
                <w:rFonts w:ascii="Times New Roman" w:hAnsi="Times New Roman"/>
              </w:rPr>
              <w:t xml:space="preserve"> i.</w:t>
            </w:r>
            <w:r w:rsidRPr="00E02BB9">
              <w:rPr>
                <w:rFonts w:ascii="Times New Roman" w:hAnsi="Times New Roman"/>
              </w:rPr>
              <w:t xml:space="preserve"> Uredbe (EU) br. 575/2013, koji nisu uključeni u prethodno navedene retke od 0150 do 0270.</w:t>
            </w:r>
          </w:p>
        </w:tc>
      </w:tr>
      <w:tr w:rsidR="00A11402" w:rsidRPr="00E02BB9" w14:paraId="1C2B2918" w14:textId="77777777">
        <w:tc>
          <w:tcPr>
            <w:tcW w:w="1129" w:type="dxa"/>
          </w:tcPr>
          <w:p w14:paraId="6BD8D331" w14:textId="77777777" w:rsidR="00A11402" w:rsidRPr="00E02BB9" w:rsidRDefault="00E02BB9">
            <w:pPr>
              <w:spacing w:after="120" w:line="240" w:lineRule="auto"/>
              <w:jc w:val="both"/>
              <w:rPr>
                <w:rFonts w:ascii="Times New Roman" w:eastAsia="Times New Roman" w:hAnsi="Times New Roman" w:cs="Times New Roman"/>
                <w:bCs/>
              </w:rPr>
            </w:pPr>
            <w:r w:rsidRPr="00E02BB9">
              <w:rPr>
                <w:rFonts w:ascii="Times New Roman" w:hAnsi="Times New Roman"/>
                <w:bCs/>
              </w:rPr>
              <w:t>0295</w:t>
            </w:r>
          </w:p>
        </w:tc>
        <w:tc>
          <w:tcPr>
            <w:tcW w:w="7620" w:type="dxa"/>
            <w:tcBorders>
              <w:top w:val="nil"/>
              <w:left w:val="single" w:sz="4" w:space="0" w:color="auto"/>
              <w:bottom w:val="single" w:sz="4" w:space="0" w:color="auto"/>
              <w:right w:val="single" w:sz="4" w:space="0" w:color="auto"/>
            </w:tcBorders>
            <w:shd w:val="clear" w:color="auto" w:fill="auto"/>
            <w:vAlign w:val="bottom"/>
          </w:tcPr>
          <w:p w14:paraId="782AE60D" w14:textId="77777777" w:rsidR="00A11402" w:rsidRPr="00E02BB9" w:rsidRDefault="00E02BB9">
            <w:pPr>
              <w:spacing w:after="120" w:line="240" w:lineRule="auto"/>
              <w:jc w:val="both"/>
              <w:rPr>
                <w:rFonts w:ascii="Times New Roman" w:eastAsia="Times New Roman" w:hAnsi="Times New Roman" w:cs="Times New Roman"/>
                <w:b/>
                <w:bCs/>
                <w:u w:val="single"/>
              </w:rPr>
            </w:pPr>
            <w:r w:rsidRPr="00E02BB9">
              <w:rPr>
                <w:rFonts w:ascii="Times New Roman" w:hAnsi="Times New Roman"/>
                <w:b/>
                <w:bCs/>
                <w:u w:val="single"/>
              </w:rPr>
              <w:t>Redovni osno</w:t>
            </w:r>
            <w:r w:rsidRPr="00E02BB9">
              <w:rPr>
                <w:rFonts w:ascii="Times New Roman" w:hAnsi="Times New Roman"/>
                <w:b/>
                <w:bCs/>
                <w:u w:val="single"/>
              </w:rPr>
              <w:t>vni kapital: drugi elementi kapitala, odbici i prilagodbe</w:t>
            </w:r>
          </w:p>
          <w:p w14:paraId="20C86641" w14:textId="77777777" w:rsidR="00A11402" w:rsidRPr="00E02BB9" w:rsidRDefault="00E02BB9">
            <w:pPr>
              <w:spacing w:after="120" w:line="240" w:lineRule="auto"/>
              <w:jc w:val="both"/>
              <w:rPr>
                <w:rFonts w:ascii="Times New Roman" w:eastAsia="Times New Roman" w:hAnsi="Times New Roman" w:cs="Times New Roman"/>
                <w:bCs/>
              </w:rPr>
            </w:pPr>
            <w:r w:rsidRPr="00E02BB9">
              <w:rPr>
                <w:rFonts w:ascii="Times New Roman" w:hAnsi="Times New Roman"/>
                <w:bCs/>
              </w:rPr>
              <w:t>Ovaj redak uključuje zbroj sljedećih stavki, ako je primjenjivo:</w:t>
            </w:r>
          </w:p>
          <w:p w14:paraId="430783E2" w14:textId="77777777" w:rsidR="00A11402" w:rsidRPr="00E02BB9" w:rsidRDefault="00E02BB9">
            <w:pPr>
              <w:spacing w:after="120" w:line="240" w:lineRule="auto"/>
              <w:ind w:left="360" w:hanging="360"/>
              <w:jc w:val="both"/>
              <w:rPr>
                <w:rFonts w:ascii="Times New Roman" w:eastAsia="Times New Roman" w:hAnsi="Times New Roman" w:cs="Times New Roman"/>
                <w:bCs/>
              </w:rPr>
            </w:pPr>
            <w:r w:rsidRPr="00E02BB9">
              <w:rPr>
                <w:rFonts w:ascii="Times New Roman" w:eastAsia="Times New Roman" w:hAnsi="Times New Roman" w:cs="Times New Roman"/>
                <w:bCs/>
              </w:rPr>
              <w:t>—</w:t>
            </w:r>
            <w:r w:rsidRPr="00E02BB9">
              <w:rPr>
                <w:rFonts w:ascii="Times New Roman" w:eastAsia="Times New Roman" w:hAnsi="Times New Roman" w:cs="Times New Roman"/>
                <w:bCs/>
              </w:rPr>
              <w:tab/>
            </w:r>
            <w:r w:rsidRPr="00E02BB9">
              <w:rPr>
                <w:rFonts w:ascii="Times New Roman" w:hAnsi="Times New Roman"/>
                <w:bCs/>
              </w:rPr>
              <w:t xml:space="preserve">prijelazna usklađenja na temelju instrumenata redovnog osnovnog kapitala koji se nastavljaju priznavati (članak 483. </w:t>
            </w:r>
            <w:r w:rsidRPr="00E02BB9">
              <w:rPr>
                <w:rFonts w:ascii="Times New Roman" w:hAnsi="Times New Roman"/>
                <w:bCs/>
              </w:rPr>
              <w:t>stavci 1., 2. i 3. i članci od 484. do 487. Uredbe (EU) br. 575/2013),</w:t>
            </w:r>
          </w:p>
          <w:p w14:paraId="125B5EC1" w14:textId="77777777" w:rsidR="00A11402" w:rsidRPr="00E02BB9" w:rsidRDefault="00E02BB9">
            <w:pPr>
              <w:spacing w:after="120" w:line="240" w:lineRule="auto"/>
              <w:ind w:left="360" w:hanging="360"/>
              <w:jc w:val="both"/>
              <w:rPr>
                <w:rFonts w:ascii="Times New Roman" w:eastAsia="Times New Roman" w:hAnsi="Times New Roman" w:cs="Times New Roman"/>
                <w:bCs/>
              </w:rPr>
            </w:pPr>
            <w:r w:rsidRPr="00E02BB9">
              <w:rPr>
                <w:rFonts w:ascii="Times New Roman" w:eastAsia="Times New Roman" w:hAnsi="Times New Roman" w:cs="Times New Roman"/>
                <w:bCs/>
              </w:rPr>
              <w:t>—</w:t>
            </w:r>
            <w:r w:rsidRPr="00E02BB9">
              <w:rPr>
                <w:rFonts w:ascii="Times New Roman" w:eastAsia="Times New Roman" w:hAnsi="Times New Roman" w:cs="Times New Roman"/>
                <w:bCs/>
              </w:rPr>
              <w:tab/>
            </w:r>
            <w:r w:rsidRPr="00E02BB9">
              <w:rPr>
                <w:rFonts w:ascii="Times New Roman" w:hAnsi="Times New Roman"/>
                <w:bCs/>
              </w:rPr>
              <w:t>druga prijelazna usklađenja redovnog osnovnog kapitala (članci od 469. do 478. i članak 481. Uredbe (EU) br. 575/2013): usklađenja odbitaka od redovnog osnovnog kapitala na temelju pr</w:t>
            </w:r>
            <w:r w:rsidRPr="00E02BB9">
              <w:rPr>
                <w:rFonts w:ascii="Times New Roman" w:hAnsi="Times New Roman"/>
                <w:bCs/>
              </w:rPr>
              <w:t>ijelaznih odredbi,</w:t>
            </w:r>
          </w:p>
          <w:p w14:paraId="564EC9EF" w14:textId="77777777" w:rsidR="00A11402" w:rsidRPr="00E02BB9" w:rsidRDefault="00E02BB9">
            <w:pPr>
              <w:spacing w:after="120" w:line="240" w:lineRule="auto"/>
              <w:ind w:left="360" w:hanging="360"/>
              <w:jc w:val="both"/>
              <w:rPr>
                <w:rFonts w:ascii="Times New Roman" w:eastAsia="Times New Roman" w:hAnsi="Times New Roman" w:cs="Times New Roman"/>
                <w:b/>
                <w:bCs/>
                <w:u w:val="single"/>
              </w:rPr>
            </w:pPr>
            <w:r w:rsidRPr="00E02BB9">
              <w:rPr>
                <w:rFonts w:ascii="Times New Roman" w:eastAsia="Times New Roman" w:hAnsi="Times New Roman" w:cs="Times New Roman"/>
                <w:bCs/>
              </w:rPr>
              <w:t>—</w:t>
            </w:r>
            <w:r w:rsidRPr="00E02BB9">
              <w:rPr>
                <w:rFonts w:ascii="Times New Roman" w:eastAsia="Times New Roman" w:hAnsi="Times New Roman" w:cs="Times New Roman"/>
                <w:bCs/>
              </w:rPr>
              <w:tab/>
            </w:r>
            <w:r w:rsidRPr="00E02BB9">
              <w:rPr>
                <w:rFonts w:ascii="Times New Roman" w:hAnsi="Times New Roman"/>
                <w:bCs/>
              </w:rPr>
              <w:t>drugi elementi redovnog osnovnog kapitala ili odbici od elementa redovnog osnovnog kapitala koji se ne mogu rasporediti u jedan od redaka od 0040 do 0280.</w:t>
            </w:r>
          </w:p>
          <w:p w14:paraId="27A5BC07" w14:textId="77777777" w:rsidR="00A11402" w:rsidRPr="00E02BB9" w:rsidRDefault="00E02BB9">
            <w:pPr>
              <w:spacing w:after="120" w:line="240" w:lineRule="auto"/>
              <w:jc w:val="both"/>
              <w:rPr>
                <w:rFonts w:ascii="Times New Roman" w:eastAsia="Times New Roman" w:hAnsi="Times New Roman" w:cs="Times New Roman"/>
                <w:b/>
                <w:bCs/>
                <w:u w:val="single"/>
              </w:rPr>
            </w:pPr>
            <w:r w:rsidRPr="00E02BB9">
              <w:rPr>
                <w:rFonts w:ascii="Times New Roman" w:hAnsi="Times New Roman"/>
                <w:bCs/>
              </w:rPr>
              <w:lastRenderedPageBreak/>
              <w:t xml:space="preserve">Ovaj se redak ne koristi za uključivanje stavki kapitala ili odbitaka koji nisu </w:t>
            </w:r>
            <w:r w:rsidRPr="00E02BB9">
              <w:rPr>
                <w:rFonts w:ascii="Times New Roman" w:hAnsi="Times New Roman"/>
                <w:bCs/>
              </w:rPr>
              <w:t>obuhvaćeni Uredbom (EU) 2019/2033 ili Uredbom (EU) br. 575/2013 u izračun stopa solventnosti.</w:t>
            </w:r>
          </w:p>
        </w:tc>
      </w:tr>
      <w:tr w:rsidR="00A11402" w:rsidRPr="00E02BB9" w14:paraId="396D2955" w14:textId="77777777">
        <w:tc>
          <w:tcPr>
            <w:tcW w:w="1129" w:type="dxa"/>
          </w:tcPr>
          <w:p w14:paraId="3ED43B4F" w14:textId="77777777" w:rsidR="00A11402" w:rsidRPr="00E02BB9" w:rsidRDefault="00E02BB9">
            <w:pPr>
              <w:spacing w:after="120" w:line="240" w:lineRule="auto"/>
              <w:jc w:val="both"/>
              <w:rPr>
                <w:rFonts w:ascii="Times New Roman" w:eastAsia="Times New Roman" w:hAnsi="Times New Roman" w:cs="Times New Roman"/>
                <w:bCs/>
              </w:rPr>
            </w:pPr>
            <w:r w:rsidRPr="00E02BB9">
              <w:rPr>
                <w:rFonts w:ascii="Times New Roman" w:hAnsi="Times New Roman"/>
                <w:bCs/>
              </w:rPr>
              <w:lastRenderedPageBreak/>
              <w:t>0300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6EF42B60" w14:textId="77777777" w:rsidR="00A11402" w:rsidRPr="00E02BB9" w:rsidRDefault="00E02BB9">
            <w:pPr>
              <w:spacing w:after="120" w:line="240" w:lineRule="auto"/>
              <w:jc w:val="both"/>
              <w:rPr>
                <w:rFonts w:ascii="Times New Roman" w:eastAsia="Times New Roman" w:hAnsi="Times New Roman" w:cs="Times New Roman"/>
                <w:b/>
                <w:bCs/>
                <w:u w:val="single"/>
              </w:rPr>
            </w:pPr>
            <w:r w:rsidRPr="00E02BB9">
              <w:rPr>
                <w:rFonts w:ascii="Times New Roman" w:hAnsi="Times New Roman"/>
                <w:b/>
                <w:bCs/>
                <w:u w:val="single"/>
              </w:rPr>
              <w:t>DODATNI OSNOVNI KAPITAL</w:t>
            </w:r>
          </w:p>
          <w:p w14:paraId="2830EE5F" w14:textId="77777777" w:rsidR="00A11402" w:rsidRPr="00E02BB9" w:rsidRDefault="00E02BB9">
            <w:pPr>
              <w:spacing w:after="120" w:line="240" w:lineRule="auto"/>
              <w:jc w:val="both"/>
              <w:rPr>
                <w:rFonts w:ascii="Times New Roman" w:eastAsia="Times New Roman" w:hAnsi="Times New Roman" w:cs="Times New Roman"/>
                <w:bCs/>
              </w:rPr>
            </w:pPr>
            <w:r w:rsidRPr="00E02BB9">
              <w:rPr>
                <w:rFonts w:ascii="Times New Roman" w:hAnsi="Times New Roman"/>
                <w:bCs/>
              </w:rPr>
              <w:t>Članak 9. stavak 1. Uredbe (EU) 2019/2033</w:t>
            </w:r>
          </w:p>
          <w:p w14:paraId="78358CF2" w14:textId="77777777" w:rsidR="00A11402" w:rsidRPr="00E02BB9" w:rsidRDefault="00E02BB9">
            <w:pPr>
              <w:spacing w:after="120" w:line="240" w:lineRule="auto"/>
              <w:jc w:val="both"/>
              <w:rPr>
                <w:rFonts w:ascii="Times New Roman" w:eastAsia="Times New Roman" w:hAnsi="Times New Roman" w:cs="Times New Roman"/>
                <w:b/>
                <w:bCs/>
                <w:u w:val="single"/>
              </w:rPr>
            </w:pPr>
            <w:r w:rsidRPr="00E02BB9">
              <w:rPr>
                <w:rFonts w:ascii="Times New Roman" w:hAnsi="Times New Roman"/>
              </w:rPr>
              <w:t>Članak 61. Uredbe (EU) br. 575/2013</w:t>
            </w:r>
          </w:p>
        </w:tc>
      </w:tr>
      <w:tr w:rsidR="00A11402" w:rsidRPr="00E02BB9" w14:paraId="3CEE63FD" w14:textId="77777777">
        <w:tc>
          <w:tcPr>
            <w:tcW w:w="1129" w:type="dxa"/>
          </w:tcPr>
          <w:p w14:paraId="2BD780D1" w14:textId="77777777" w:rsidR="00A11402" w:rsidRPr="00E02BB9" w:rsidRDefault="00E02BB9">
            <w:pPr>
              <w:spacing w:after="120" w:line="240" w:lineRule="auto"/>
              <w:jc w:val="both"/>
              <w:rPr>
                <w:rFonts w:ascii="Times New Roman" w:eastAsia="Times New Roman" w:hAnsi="Times New Roman" w:cs="Times New Roman"/>
                <w:bCs/>
              </w:rPr>
            </w:pPr>
            <w:r w:rsidRPr="00E02BB9">
              <w:rPr>
                <w:rFonts w:ascii="Times New Roman" w:hAnsi="Times New Roman"/>
                <w:bCs/>
              </w:rPr>
              <w:t>0310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5758ABA" w14:textId="77777777" w:rsidR="00A11402" w:rsidRPr="00E02BB9" w:rsidRDefault="00E02BB9">
            <w:pPr>
              <w:spacing w:after="120" w:line="240" w:lineRule="auto"/>
              <w:jc w:val="both"/>
              <w:rPr>
                <w:rFonts w:ascii="Times New Roman" w:eastAsia="Times New Roman" w:hAnsi="Times New Roman" w:cs="Times New Roman"/>
                <w:b/>
                <w:bCs/>
                <w:u w:val="single"/>
              </w:rPr>
            </w:pPr>
            <w:r w:rsidRPr="00E02BB9">
              <w:rPr>
                <w:rFonts w:ascii="Times New Roman" w:hAnsi="Times New Roman"/>
                <w:b/>
                <w:bCs/>
                <w:u w:val="single"/>
              </w:rPr>
              <w:t xml:space="preserve">U potpunosti plaćeni, izravno izdani </w:t>
            </w:r>
            <w:r w:rsidRPr="00E02BB9">
              <w:rPr>
                <w:rFonts w:ascii="Times New Roman" w:hAnsi="Times New Roman"/>
                <w:b/>
                <w:bCs/>
                <w:u w:val="single"/>
              </w:rPr>
              <w:t>instrumenti kapitala</w:t>
            </w:r>
          </w:p>
          <w:p w14:paraId="0957A8E9" w14:textId="77777777" w:rsidR="00A11402" w:rsidRPr="00E02BB9" w:rsidRDefault="00E02BB9">
            <w:pPr>
              <w:spacing w:after="120" w:line="240" w:lineRule="auto"/>
              <w:jc w:val="both"/>
              <w:rPr>
                <w:rFonts w:ascii="Times New Roman" w:eastAsia="Times New Roman" w:hAnsi="Times New Roman" w:cs="Times New Roman"/>
                <w:bCs/>
              </w:rPr>
            </w:pPr>
            <w:r w:rsidRPr="00E02BB9">
              <w:rPr>
                <w:rFonts w:ascii="Times New Roman" w:hAnsi="Times New Roman"/>
                <w:bCs/>
              </w:rPr>
              <w:t>Članak 9. stavak 1. točka</w:t>
            </w:r>
            <w:r w:rsidRPr="00E02BB9">
              <w:rPr>
                <w:rFonts w:ascii="Times New Roman" w:hAnsi="Times New Roman"/>
                <w:bCs/>
              </w:rPr>
              <w:t xml:space="preserve"> i.</w:t>
            </w:r>
            <w:r w:rsidRPr="00E02BB9">
              <w:rPr>
                <w:rFonts w:ascii="Times New Roman" w:hAnsi="Times New Roman"/>
                <w:bCs/>
              </w:rPr>
              <w:t xml:space="preserve"> Uredbe (EU) 2019/2033</w:t>
            </w:r>
          </w:p>
          <w:p w14:paraId="02F7B3FC" w14:textId="77777777" w:rsidR="00A11402" w:rsidRPr="00E02BB9" w:rsidRDefault="00E02BB9">
            <w:pPr>
              <w:pStyle w:val="InstructionsText"/>
              <w:rPr>
                <w:rStyle w:val="FormatvorlageInstructionsTabelleText"/>
                <w:rFonts w:ascii="Times New Roman" w:hAnsi="Times New Roman"/>
                <w:sz w:val="22"/>
                <w:szCs w:val="22"/>
              </w:rPr>
            </w:pPr>
            <w:r w:rsidRPr="00E02BB9">
              <w:rPr>
                <w:rStyle w:val="FormatvorlageInstructionsTabelleText"/>
                <w:rFonts w:ascii="Times New Roman" w:hAnsi="Times New Roman"/>
                <w:sz w:val="22"/>
                <w:szCs w:val="22"/>
              </w:rPr>
              <w:t>Članak 51. točka (a) i članci 52., 53. i 54. Uredbe (EU) br. 575/2013</w:t>
            </w:r>
          </w:p>
          <w:p w14:paraId="73C08D01" w14:textId="77777777" w:rsidR="00A11402" w:rsidRPr="00E02BB9" w:rsidRDefault="00E02BB9">
            <w:pPr>
              <w:spacing w:after="120" w:line="240" w:lineRule="auto"/>
              <w:jc w:val="both"/>
              <w:rPr>
                <w:rFonts w:ascii="Times New Roman" w:eastAsia="Times New Roman" w:hAnsi="Times New Roman" w:cs="Times New Roman"/>
                <w:b/>
                <w:bCs/>
                <w:u w:val="single"/>
              </w:rPr>
            </w:pPr>
            <w:r w:rsidRPr="00E02BB9">
              <w:rPr>
                <w:rStyle w:val="FormatvorlageInstructionsTabelleText"/>
                <w:rFonts w:ascii="Times New Roman" w:hAnsi="Times New Roman"/>
                <w:sz w:val="22"/>
              </w:rPr>
              <w:t>Iznos koji se iskazuje ne uključuje premiju na dionice povezanu s instrumentima.</w:t>
            </w:r>
          </w:p>
        </w:tc>
      </w:tr>
      <w:tr w:rsidR="00A11402" w:rsidRPr="00E02BB9" w14:paraId="4C0FCD56" w14:textId="77777777">
        <w:tc>
          <w:tcPr>
            <w:tcW w:w="1129" w:type="dxa"/>
          </w:tcPr>
          <w:p w14:paraId="207EBECC" w14:textId="77777777" w:rsidR="00A11402" w:rsidRPr="00E02BB9" w:rsidRDefault="00E02BB9">
            <w:pPr>
              <w:spacing w:after="120" w:line="240" w:lineRule="auto"/>
              <w:jc w:val="both"/>
              <w:rPr>
                <w:rFonts w:ascii="Times New Roman" w:eastAsia="Times New Roman" w:hAnsi="Times New Roman" w:cs="Times New Roman"/>
                <w:bCs/>
              </w:rPr>
            </w:pPr>
            <w:r w:rsidRPr="00E02BB9">
              <w:rPr>
                <w:rFonts w:ascii="Times New Roman" w:hAnsi="Times New Roman"/>
                <w:bCs/>
              </w:rPr>
              <w:t>0320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96A6270" w14:textId="77777777" w:rsidR="00A11402" w:rsidRPr="00E02BB9" w:rsidRDefault="00E02BB9">
            <w:pPr>
              <w:spacing w:after="120" w:line="240" w:lineRule="auto"/>
              <w:jc w:val="both"/>
              <w:rPr>
                <w:rFonts w:ascii="Times New Roman" w:eastAsia="Times New Roman" w:hAnsi="Times New Roman" w:cs="Times New Roman"/>
                <w:b/>
                <w:bCs/>
                <w:u w:val="single"/>
              </w:rPr>
            </w:pPr>
            <w:r w:rsidRPr="00E02BB9">
              <w:rPr>
                <w:rFonts w:ascii="Times New Roman" w:hAnsi="Times New Roman"/>
                <w:b/>
                <w:bCs/>
                <w:u w:val="single"/>
              </w:rPr>
              <w:t>Premija na dionice</w:t>
            </w:r>
          </w:p>
          <w:p w14:paraId="414F43B8" w14:textId="77777777" w:rsidR="00A11402" w:rsidRPr="00E02BB9" w:rsidRDefault="00E02BB9">
            <w:pPr>
              <w:spacing w:after="120" w:line="240" w:lineRule="auto"/>
              <w:jc w:val="both"/>
              <w:rPr>
                <w:rFonts w:ascii="Times New Roman" w:eastAsia="Times New Roman" w:hAnsi="Times New Roman" w:cs="Times New Roman"/>
                <w:bCs/>
              </w:rPr>
            </w:pPr>
            <w:r w:rsidRPr="00E02BB9">
              <w:rPr>
                <w:rFonts w:ascii="Times New Roman" w:hAnsi="Times New Roman"/>
                <w:bCs/>
              </w:rPr>
              <w:t>Članak 9. stavak 1. točka</w:t>
            </w:r>
            <w:r w:rsidRPr="00E02BB9">
              <w:rPr>
                <w:rFonts w:ascii="Times New Roman" w:hAnsi="Times New Roman"/>
                <w:bCs/>
              </w:rPr>
              <w:t xml:space="preserve"> i.</w:t>
            </w:r>
            <w:r w:rsidRPr="00E02BB9">
              <w:rPr>
                <w:rFonts w:ascii="Times New Roman" w:hAnsi="Times New Roman"/>
                <w:bCs/>
              </w:rPr>
              <w:t xml:space="preserve"> Uredbe (EU) 2019/2033</w:t>
            </w:r>
          </w:p>
          <w:p w14:paraId="18E5CC4D" w14:textId="77777777" w:rsidR="00A11402" w:rsidRPr="00E02BB9" w:rsidRDefault="00E02BB9">
            <w:pPr>
              <w:pStyle w:val="InstructionsText"/>
              <w:rPr>
                <w:rStyle w:val="FormatvorlageInstructionsTabelleText"/>
                <w:rFonts w:ascii="Times New Roman" w:hAnsi="Times New Roman"/>
                <w:sz w:val="22"/>
                <w:szCs w:val="22"/>
              </w:rPr>
            </w:pPr>
            <w:r w:rsidRPr="00E02BB9">
              <w:rPr>
                <w:rStyle w:val="FormatvorlageInstructionsTabelleText"/>
                <w:rFonts w:ascii="Times New Roman" w:hAnsi="Times New Roman"/>
                <w:sz w:val="22"/>
                <w:szCs w:val="22"/>
              </w:rPr>
              <w:t>Članak 51., točka (b) Uredbe (EU) br. 575/2013</w:t>
            </w:r>
          </w:p>
          <w:p w14:paraId="42DB7360" w14:textId="77777777" w:rsidR="00A11402" w:rsidRPr="00E02BB9" w:rsidRDefault="00E02BB9">
            <w:pPr>
              <w:pStyle w:val="InstructionsText"/>
              <w:rPr>
                <w:rStyle w:val="FormatvorlageInstructionsTabelleText"/>
                <w:rFonts w:ascii="Times New Roman" w:hAnsi="Times New Roman"/>
                <w:sz w:val="22"/>
                <w:szCs w:val="22"/>
              </w:rPr>
            </w:pPr>
            <w:r w:rsidRPr="00E02BB9">
              <w:rPr>
                <w:rStyle w:val="FormatvorlageInstructionsTabelleText"/>
                <w:rFonts w:ascii="Times New Roman" w:hAnsi="Times New Roman"/>
                <w:sz w:val="22"/>
                <w:szCs w:val="22"/>
              </w:rPr>
              <w:t>Premija na dionice ima isto značenje kao i u primjenjivom računovodstvenom standardu.</w:t>
            </w:r>
          </w:p>
          <w:p w14:paraId="77E5F5B3" w14:textId="77777777" w:rsidR="00A11402" w:rsidRPr="00E02BB9" w:rsidRDefault="00E02BB9">
            <w:pPr>
              <w:spacing w:after="120" w:line="240" w:lineRule="auto"/>
              <w:jc w:val="both"/>
              <w:rPr>
                <w:rFonts w:ascii="Times New Roman" w:eastAsia="Times New Roman" w:hAnsi="Times New Roman" w:cs="Times New Roman"/>
                <w:b/>
                <w:bCs/>
                <w:u w:val="single"/>
              </w:rPr>
            </w:pPr>
            <w:r w:rsidRPr="00E02BB9">
              <w:rPr>
                <w:rStyle w:val="FormatvorlageInstructionsTabelleText"/>
                <w:rFonts w:ascii="Times New Roman" w:hAnsi="Times New Roman"/>
                <w:sz w:val="22"/>
              </w:rPr>
              <w:t>Iznos koji se iskazuje u ovoj stavci dio je koji se odnosi na „plaćene i</w:t>
            </w:r>
            <w:r w:rsidRPr="00E02BB9">
              <w:rPr>
                <w:rStyle w:val="FormatvorlageInstructionsTabelleText"/>
                <w:rFonts w:ascii="Times New Roman" w:hAnsi="Times New Roman"/>
                <w:sz w:val="22"/>
              </w:rPr>
              <w:t>nstrumente kapitala”.</w:t>
            </w:r>
          </w:p>
        </w:tc>
      </w:tr>
      <w:tr w:rsidR="00A11402" w:rsidRPr="00E02BB9" w14:paraId="24D98F9B" w14:textId="77777777">
        <w:tc>
          <w:tcPr>
            <w:tcW w:w="1129" w:type="dxa"/>
          </w:tcPr>
          <w:p w14:paraId="15453915" w14:textId="77777777" w:rsidR="00A11402" w:rsidRPr="00E02BB9" w:rsidRDefault="00E02BB9">
            <w:pPr>
              <w:spacing w:after="120" w:line="240" w:lineRule="auto"/>
              <w:jc w:val="both"/>
              <w:rPr>
                <w:rFonts w:ascii="Times New Roman" w:eastAsia="Times New Roman" w:hAnsi="Times New Roman" w:cs="Times New Roman"/>
                <w:bCs/>
              </w:rPr>
            </w:pPr>
            <w:r w:rsidRPr="00E02BB9">
              <w:rPr>
                <w:rFonts w:ascii="Times New Roman" w:hAnsi="Times New Roman"/>
                <w:bCs/>
              </w:rPr>
              <w:t>0335</w:t>
            </w:r>
          </w:p>
        </w:tc>
        <w:tc>
          <w:tcPr>
            <w:tcW w:w="7620" w:type="dxa"/>
            <w:tcBorders>
              <w:top w:val="nil"/>
              <w:left w:val="single" w:sz="4" w:space="0" w:color="auto"/>
              <w:bottom w:val="single" w:sz="4" w:space="0" w:color="auto"/>
              <w:right w:val="single" w:sz="4" w:space="0" w:color="auto"/>
            </w:tcBorders>
            <w:shd w:val="clear" w:color="auto" w:fill="auto"/>
            <w:vAlign w:val="bottom"/>
          </w:tcPr>
          <w:p w14:paraId="1BAB9021" w14:textId="77777777" w:rsidR="00A11402" w:rsidRPr="00E02BB9" w:rsidRDefault="00E02BB9">
            <w:pPr>
              <w:spacing w:after="120" w:line="240" w:lineRule="auto"/>
              <w:jc w:val="both"/>
              <w:rPr>
                <w:rFonts w:ascii="Times New Roman" w:eastAsia="Times New Roman" w:hAnsi="Times New Roman" w:cs="Times New Roman"/>
                <w:b/>
                <w:bCs/>
                <w:u w:val="single"/>
              </w:rPr>
            </w:pPr>
            <w:r w:rsidRPr="00E02BB9">
              <w:rPr>
                <w:rFonts w:ascii="Times New Roman" w:hAnsi="Times New Roman"/>
                <w:b/>
                <w:bCs/>
                <w:u w:val="single"/>
              </w:rPr>
              <w:t>(–) UKUPNI ODBICI OD DODATNOG OSNOVNOG KAPITALA</w:t>
            </w:r>
          </w:p>
          <w:p w14:paraId="1FC50FFE" w14:textId="77777777" w:rsidR="00A11402" w:rsidRPr="00E02BB9" w:rsidRDefault="00E02BB9">
            <w:pPr>
              <w:spacing w:before="60" w:after="60"/>
              <w:rPr>
                <w:rFonts w:ascii="Times New Roman" w:hAnsi="Times New Roman" w:cs="Times New Roman"/>
              </w:rPr>
            </w:pPr>
            <w:r w:rsidRPr="00E02BB9">
              <w:rPr>
                <w:rFonts w:ascii="Times New Roman" w:hAnsi="Times New Roman"/>
              </w:rPr>
              <w:t>Članak 56. Uredbe (EU) br. 575/2013, osim točke (d) tog članka</w:t>
            </w:r>
          </w:p>
          <w:p w14:paraId="66033A1E" w14:textId="77777777" w:rsidR="00A11402" w:rsidRPr="00E02BB9" w:rsidRDefault="00E02BB9">
            <w:pPr>
              <w:spacing w:after="120" w:line="240" w:lineRule="auto"/>
              <w:jc w:val="both"/>
              <w:rPr>
                <w:rFonts w:ascii="Times New Roman" w:eastAsia="Times New Roman" w:hAnsi="Times New Roman" w:cs="Times New Roman"/>
                <w:bCs/>
              </w:rPr>
            </w:pPr>
            <w:r w:rsidRPr="00E02BB9">
              <w:rPr>
                <w:rFonts w:ascii="Times New Roman" w:hAnsi="Times New Roman"/>
                <w:bCs/>
              </w:rPr>
              <w:t>Iskazuje se ukupni zbroj redaka 0340, 0380 i 0400.</w:t>
            </w:r>
          </w:p>
        </w:tc>
      </w:tr>
      <w:tr w:rsidR="00A11402" w:rsidRPr="00E02BB9" w14:paraId="5D569813" w14:textId="77777777">
        <w:tc>
          <w:tcPr>
            <w:tcW w:w="1129" w:type="dxa"/>
          </w:tcPr>
          <w:p w14:paraId="4966E6B4" w14:textId="77777777" w:rsidR="00A11402" w:rsidRPr="00E02BB9" w:rsidRDefault="00E02BB9">
            <w:pPr>
              <w:spacing w:after="120" w:line="240" w:lineRule="auto"/>
              <w:jc w:val="both"/>
              <w:rPr>
                <w:rFonts w:ascii="Times New Roman" w:eastAsia="Times New Roman" w:hAnsi="Times New Roman" w:cs="Times New Roman"/>
                <w:bCs/>
              </w:rPr>
            </w:pPr>
            <w:r w:rsidRPr="00E02BB9">
              <w:rPr>
                <w:rFonts w:ascii="Times New Roman" w:hAnsi="Times New Roman"/>
                <w:bCs/>
              </w:rPr>
              <w:t>0340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BAD667A" w14:textId="77777777" w:rsidR="00A11402" w:rsidRPr="00E02BB9" w:rsidRDefault="00E02BB9">
            <w:pPr>
              <w:spacing w:after="120" w:line="240" w:lineRule="auto"/>
              <w:jc w:val="both"/>
              <w:rPr>
                <w:rFonts w:ascii="Times New Roman" w:eastAsia="Times New Roman" w:hAnsi="Times New Roman" w:cs="Times New Roman"/>
                <w:b/>
                <w:bCs/>
                <w:u w:val="single"/>
              </w:rPr>
            </w:pPr>
            <w:r w:rsidRPr="00E02BB9">
              <w:rPr>
                <w:rFonts w:ascii="Times New Roman" w:hAnsi="Times New Roman"/>
                <w:b/>
                <w:bCs/>
                <w:u w:val="single"/>
              </w:rPr>
              <w:t>(–) Vlastiti instrumenti dodatnog osnovnog kapitala</w:t>
            </w:r>
          </w:p>
          <w:p w14:paraId="16411D0E" w14:textId="77777777" w:rsidR="00A11402" w:rsidRPr="00E02BB9" w:rsidRDefault="00E02BB9">
            <w:pPr>
              <w:spacing w:after="120" w:line="240" w:lineRule="auto"/>
              <w:jc w:val="both"/>
              <w:rPr>
                <w:rFonts w:ascii="Times New Roman" w:eastAsia="Times New Roman" w:hAnsi="Times New Roman" w:cs="Times New Roman"/>
                <w:bCs/>
              </w:rPr>
            </w:pPr>
            <w:r w:rsidRPr="00E02BB9">
              <w:rPr>
                <w:rFonts w:ascii="Times New Roman" w:hAnsi="Times New Roman"/>
                <w:bCs/>
              </w:rPr>
              <w:t>Članak 9. stavak 1. točka</w:t>
            </w:r>
            <w:r w:rsidRPr="00E02BB9">
              <w:rPr>
                <w:rFonts w:ascii="Times New Roman" w:hAnsi="Times New Roman"/>
                <w:bCs/>
              </w:rPr>
              <w:t xml:space="preserve"> i.</w:t>
            </w:r>
            <w:r w:rsidRPr="00E02BB9">
              <w:rPr>
                <w:rFonts w:ascii="Times New Roman" w:hAnsi="Times New Roman"/>
                <w:bCs/>
              </w:rPr>
              <w:t xml:space="preserve"> Uredbe (EU) 2019/2033</w:t>
            </w:r>
          </w:p>
          <w:p w14:paraId="5B04678B" w14:textId="77777777" w:rsidR="00A11402" w:rsidRPr="00E02BB9" w:rsidRDefault="00E02BB9">
            <w:pPr>
              <w:spacing w:after="120" w:line="240" w:lineRule="auto"/>
              <w:jc w:val="both"/>
              <w:rPr>
                <w:rStyle w:val="FormatvorlageInstructionsTabelleText"/>
                <w:rFonts w:ascii="Times New Roman" w:hAnsi="Times New Roman"/>
                <w:sz w:val="22"/>
              </w:rPr>
            </w:pPr>
            <w:r w:rsidRPr="00E02BB9">
              <w:rPr>
                <w:rStyle w:val="FormatvorlageInstructionsTabelleText"/>
                <w:rFonts w:ascii="Times New Roman" w:hAnsi="Times New Roman"/>
                <w:sz w:val="22"/>
              </w:rPr>
              <w:t>Članak 52. stavak 1. točka (b), članak 56. točka (a) i članak 57. Uredbe (EU) br. 575/2013</w:t>
            </w:r>
          </w:p>
          <w:p w14:paraId="530527F2" w14:textId="77777777" w:rsidR="00A11402" w:rsidRPr="00E02BB9" w:rsidRDefault="00E02BB9">
            <w:pPr>
              <w:pStyle w:val="InstructionsText"/>
              <w:rPr>
                <w:rStyle w:val="FormatvorlageInstructionsTabelleText"/>
                <w:rFonts w:ascii="Times New Roman" w:hAnsi="Times New Roman"/>
                <w:sz w:val="22"/>
                <w:szCs w:val="22"/>
              </w:rPr>
            </w:pPr>
            <w:r w:rsidRPr="00E02BB9">
              <w:rPr>
                <w:rStyle w:val="FormatvorlageInstructionsTabelleText"/>
                <w:rFonts w:ascii="Times New Roman" w:hAnsi="Times New Roman"/>
                <w:sz w:val="22"/>
                <w:szCs w:val="22"/>
              </w:rPr>
              <w:t>Vlastiti instrumenti dodatnog osnovnog kapitala koje drži investicijsko društvo na datum izvješćivanja. Podložno i</w:t>
            </w:r>
            <w:r w:rsidRPr="00E02BB9">
              <w:rPr>
                <w:rStyle w:val="FormatvorlageInstructionsTabelleText"/>
                <w:rFonts w:ascii="Times New Roman" w:hAnsi="Times New Roman"/>
                <w:sz w:val="22"/>
                <w:szCs w:val="22"/>
              </w:rPr>
              <w:t>znimkama iz članka 57. Uredbe (EU) br. 575/2013.</w:t>
            </w:r>
          </w:p>
          <w:p w14:paraId="07DA50B3" w14:textId="77777777" w:rsidR="00A11402" w:rsidRPr="00E02BB9" w:rsidRDefault="00E02BB9">
            <w:pPr>
              <w:pStyle w:val="InstructionsText"/>
              <w:rPr>
                <w:sz w:val="22"/>
                <w:szCs w:val="22"/>
              </w:rPr>
            </w:pPr>
            <w:r w:rsidRPr="00E02BB9">
              <w:rPr>
                <w:rStyle w:val="FormatvorlageInstructionsTabelleText"/>
                <w:rFonts w:ascii="Times New Roman" w:hAnsi="Times New Roman"/>
                <w:sz w:val="22"/>
                <w:szCs w:val="22"/>
              </w:rPr>
              <w:t>Iznos koji se iskazuje uključuje premiju na dionice povezanu s vlastitim dionicama.</w:t>
            </w:r>
          </w:p>
        </w:tc>
      </w:tr>
      <w:tr w:rsidR="00A11402" w:rsidRPr="00E02BB9" w14:paraId="39494E16" w14:textId="77777777">
        <w:tc>
          <w:tcPr>
            <w:tcW w:w="1129" w:type="dxa"/>
          </w:tcPr>
          <w:p w14:paraId="5E1501D1" w14:textId="77777777" w:rsidR="00A11402" w:rsidRPr="00E02BB9" w:rsidRDefault="00E02BB9">
            <w:pPr>
              <w:spacing w:after="120" w:line="240" w:lineRule="auto"/>
              <w:jc w:val="both"/>
              <w:rPr>
                <w:rFonts w:ascii="Times New Roman" w:eastAsia="Times New Roman" w:hAnsi="Times New Roman" w:cs="Times New Roman"/>
                <w:bCs/>
              </w:rPr>
            </w:pPr>
            <w:r w:rsidRPr="00E02BB9">
              <w:rPr>
                <w:rFonts w:ascii="Times New Roman" w:hAnsi="Times New Roman"/>
                <w:bCs/>
              </w:rPr>
              <w:t>0380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6F3A4DC" w14:textId="77777777" w:rsidR="00A11402" w:rsidRPr="00E02BB9" w:rsidRDefault="00E02BB9">
            <w:pPr>
              <w:spacing w:after="120" w:line="240" w:lineRule="auto"/>
              <w:jc w:val="both"/>
              <w:rPr>
                <w:rFonts w:ascii="Times New Roman" w:eastAsia="Times New Roman" w:hAnsi="Times New Roman" w:cs="Times New Roman"/>
                <w:b/>
                <w:bCs/>
                <w:u w:val="single"/>
              </w:rPr>
            </w:pPr>
            <w:r w:rsidRPr="00E02BB9">
              <w:rPr>
                <w:rFonts w:ascii="Times New Roman" w:hAnsi="Times New Roman"/>
                <w:b/>
                <w:bCs/>
                <w:u w:val="single"/>
              </w:rPr>
              <w:t>(–) Instrumenti dodatnog osnovnog kapitala subjekata financijskog sektora ako matično društvo nema značajno ulaganje</w:t>
            </w:r>
          </w:p>
          <w:p w14:paraId="2C088861" w14:textId="77777777" w:rsidR="00A11402" w:rsidRPr="00E02BB9" w:rsidRDefault="00E02BB9">
            <w:pPr>
              <w:spacing w:after="120" w:line="240" w:lineRule="auto"/>
              <w:jc w:val="both"/>
              <w:rPr>
                <w:rFonts w:ascii="Times New Roman" w:eastAsia="Times New Roman" w:hAnsi="Times New Roman" w:cs="Times New Roman"/>
                <w:bCs/>
              </w:rPr>
            </w:pPr>
            <w:r w:rsidRPr="00E02BB9">
              <w:rPr>
                <w:rFonts w:ascii="Times New Roman" w:hAnsi="Times New Roman"/>
                <w:bCs/>
              </w:rPr>
              <w:t>Članak 9. stavak 2. točka (c) Uredbe (EU) 2019/2033</w:t>
            </w:r>
          </w:p>
          <w:p w14:paraId="5E64BFC3" w14:textId="77777777" w:rsidR="00A11402" w:rsidRPr="00E02BB9" w:rsidRDefault="00E02BB9">
            <w:pPr>
              <w:spacing w:after="120" w:line="240" w:lineRule="auto"/>
              <w:jc w:val="both"/>
              <w:rPr>
                <w:rFonts w:ascii="Times New Roman" w:eastAsia="Times New Roman" w:hAnsi="Times New Roman" w:cs="Times New Roman"/>
                <w:bCs/>
              </w:rPr>
            </w:pPr>
            <w:r w:rsidRPr="00E02BB9">
              <w:rPr>
                <w:rFonts w:ascii="Times New Roman" w:hAnsi="Times New Roman"/>
                <w:bCs/>
              </w:rPr>
              <w:t>Članak 56. točka (c) Uredbe (EU) br. 575/2013</w:t>
            </w:r>
          </w:p>
          <w:p w14:paraId="5A1D8377" w14:textId="77777777" w:rsidR="00A11402" w:rsidRPr="00E02BB9" w:rsidRDefault="00E02BB9">
            <w:pPr>
              <w:spacing w:after="120" w:line="240" w:lineRule="auto"/>
              <w:jc w:val="both"/>
              <w:rPr>
                <w:rFonts w:ascii="Times New Roman" w:eastAsia="Times New Roman" w:hAnsi="Times New Roman" w:cs="Times New Roman"/>
                <w:b/>
                <w:bCs/>
                <w:u w:val="single"/>
              </w:rPr>
            </w:pPr>
            <w:r w:rsidRPr="00E02BB9">
              <w:rPr>
                <w:rFonts w:ascii="Times New Roman" w:hAnsi="Times New Roman"/>
                <w:bCs/>
              </w:rPr>
              <w:t xml:space="preserve">Matično društvo u ovom retku znači matična investicijska društva iz Unije, matični investicijski holdinzi iz Unije, matični mješoviti financijski </w:t>
            </w:r>
            <w:r w:rsidRPr="00E02BB9">
              <w:rPr>
                <w:rFonts w:ascii="Times New Roman" w:hAnsi="Times New Roman"/>
                <w:bCs/>
              </w:rPr>
              <w:t>holdinzi iz Unije ili sva druga matična društva koje su investicijska društva, financijska institucija, društva za pomoćne usluge ili vezani zastupnici.</w:t>
            </w:r>
          </w:p>
        </w:tc>
      </w:tr>
      <w:tr w:rsidR="00A11402" w:rsidRPr="00E02BB9" w14:paraId="20D1C5E1" w14:textId="77777777">
        <w:tc>
          <w:tcPr>
            <w:tcW w:w="1129" w:type="dxa"/>
          </w:tcPr>
          <w:p w14:paraId="4C45845F" w14:textId="77777777" w:rsidR="00A11402" w:rsidRPr="00E02BB9" w:rsidRDefault="00E02BB9">
            <w:pPr>
              <w:spacing w:after="120" w:line="240" w:lineRule="auto"/>
              <w:jc w:val="both"/>
              <w:rPr>
                <w:rFonts w:ascii="Times New Roman" w:eastAsia="Times New Roman" w:hAnsi="Times New Roman" w:cs="Times New Roman"/>
                <w:bCs/>
              </w:rPr>
            </w:pPr>
            <w:r w:rsidRPr="00E02BB9">
              <w:rPr>
                <w:rFonts w:ascii="Times New Roman" w:hAnsi="Times New Roman"/>
                <w:bCs/>
              </w:rPr>
              <w:t>0400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1F41D4F" w14:textId="77777777" w:rsidR="00A11402" w:rsidRPr="00E02BB9" w:rsidRDefault="00E02BB9">
            <w:pPr>
              <w:spacing w:after="120" w:line="240" w:lineRule="auto"/>
              <w:jc w:val="both"/>
              <w:rPr>
                <w:rFonts w:ascii="Times New Roman" w:eastAsia="Times New Roman" w:hAnsi="Times New Roman" w:cs="Times New Roman"/>
                <w:b/>
                <w:bCs/>
                <w:u w:val="single"/>
              </w:rPr>
            </w:pPr>
            <w:r w:rsidRPr="00E02BB9">
              <w:rPr>
                <w:rFonts w:ascii="Times New Roman" w:hAnsi="Times New Roman"/>
                <w:b/>
                <w:bCs/>
                <w:u w:val="single"/>
              </w:rPr>
              <w:t>(–) Drugi odbici</w:t>
            </w:r>
          </w:p>
          <w:p w14:paraId="2D152FA6" w14:textId="77777777" w:rsidR="00A11402" w:rsidRPr="00E02BB9" w:rsidRDefault="00E02BB9">
            <w:pPr>
              <w:spacing w:after="120" w:line="240" w:lineRule="auto"/>
              <w:jc w:val="both"/>
              <w:rPr>
                <w:rFonts w:ascii="Times New Roman" w:eastAsia="Times New Roman" w:hAnsi="Times New Roman" w:cs="Times New Roman"/>
                <w:b/>
                <w:bCs/>
                <w:u w:val="single"/>
              </w:rPr>
            </w:pPr>
            <w:r w:rsidRPr="00E02BB9">
              <w:rPr>
                <w:rFonts w:ascii="Times New Roman" w:hAnsi="Times New Roman"/>
                <w:bCs/>
              </w:rPr>
              <w:t xml:space="preserve">Zbroj svih ostalih odbitaka u skladu s člankom 56. Uredbe (EU) </w:t>
            </w:r>
            <w:r w:rsidRPr="00E02BB9">
              <w:rPr>
                <w:rFonts w:ascii="Times New Roman" w:hAnsi="Times New Roman"/>
                <w:bCs/>
              </w:rPr>
              <w:t>br. 575/2013, osim odbitaka iz članka 56. točke (d) Uredbe (EU) br. 575/2013, koji nisu uključeni u prethodno navedeni redak 0340 ili 0380.</w:t>
            </w:r>
          </w:p>
        </w:tc>
      </w:tr>
      <w:tr w:rsidR="00A11402" w:rsidRPr="00E02BB9" w14:paraId="5088612C" w14:textId="77777777">
        <w:tc>
          <w:tcPr>
            <w:tcW w:w="1129" w:type="dxa"/>
          </w:tcPr>
          <w:p w14:paraId="2AA102A9" w14:textId="77777777" w:rsidR="00A11402" w:rsidRPr="00E02BB9" w:rsidRDefault="00E02BB9">
            <w:pPr>
              <w:spacing w:after="120" w:line="240" w:lineRule="auto"/>
              <w:jc w:val="both"/>
              <w:rPr>
                <w:rFonts w:ascii="Times New Roman" w:eastAsia="Times New Roman" w:hAnsi="Times New Roman" w:cs="Times New Roman"/>
                <w:bCs/>
              </w:rPr>
            </w:pPr>
            <w:r w:rsidRPr="00E02BB9">
              <w:rPr>
                <w:rFonts w:ascii="Times New Roman" w:hAnsi="Times New Roman"/>
                <w:bCs/>
              </w:rPr>
              <w:t>0415</w:t>
            </w:r>
          </w:p>
        </w:tc>
        <w:tc>
          <w:tcPr>
            <w:tcW w:w="7620" w:type="dxa"/>
            <w:tcBorders>
              <w:top w:val="nil"/>
              <w:left w:val="single" w:sz="4" w:space="0" w:color="auto"/>
              <w:bottom w:val="single" w:sz="4" w:space="0" w:color="auto"/>
              <w:right w:val="single" w:sz="4" w:space="0" w:color="auto"/>
            </w:tcBorders>
            <w:shd w:val="clear" w:color="auto" w:fill="auto"/>
            <w:vAlign w:val="bottom"/>
          </w:tcPr>
          <w:p w14:paraId="7DEFD087" w14:textId="77777777" w:rsidR="00A11402" w:rsidRPr="00E02BB9" w:rsidRDefault="00E02BB9">
            <w:pPr>
              <w:spacing w:after="120" w:line="240" w:lineRule="auto"/>
              <w:jc w:val="both"/>
              <w:rPr>
                <w:rFonts w:ascii="Times New Roman" w:eastAsia="Times New Roman" w:hAnsi="Times New Roman" w:cs="Times New Roman"/>
                <w:b/>
                <w:bCs/>
                <w:u w:val="single"/>
              </w:rPr>
            </w:pPr>
            <w:r w:rsidRPr="00E02BB9">
              <w:rPr>
                <w:rFonts w:ascii="Times New Roman" w:hAnsi="Times New Roman"/>
                <w:b/>
                <w:bCs/>
                <w:u w:val="single"/>
              </w:rPr>
              <w:t>Dodatni osnovni kapital: drugi elementi kapitala, odbici i prilagodbe</w:t>
            </w:r>
          </w:p>
          <w:p w14:paraId="741FC1A7" w14:textId="77777777" w:rsidR="00A11402" w:rsidRPr="00E02BB9" w:rsidRDefault="00E02BB9">
            <w:pPr>
              <w:spacing w:after="120" w:line="240" w:lineRule="auto"/>
              <w:jc w:val="both"/>
              <w:rPr>
                <w:rFonts w:ascii="Times New Roman" w:eastAsia="Times New Roman" w:hAnsi="Times New Roman" w:cs="Times New Roman"/>
                <w:bCs/>
              </w:rPr>
            </w:pPr>
            <w:r w:rsidRPr="00E02BB9">
              <w:rPr>
                <w:rFonts w:ascii="Times New Roman" w:hAnsi="Times New Roman"/>
                <w:bCs/>
              </w:rPr>
              <w:t>Ovaj redak uključuje zbroj sljedećih sta</w:t>
            </w:r>
            <w:r w:rsidRPr="00E02BB9">
              <w:rPr>
                <w:rFonts w:ascii="Times New Roman" w:hAnsi="Times New Roman"/>
                <w:bCs/>
              </w:rPr>
              <w:t>vki, ako je primjenjivo:</w:t>
            </w:r>
          </w:p>
          <w:p w14:paraId="01551231" w14:textId="77777777" w:rsidR="00A11402" w:rsidRPr="00E02BB9" w:rsidRDefault="00E02BB9">
            <w:pPr>
              <w:spacing w:after="120" w:line="240" w:lineRule="auto"/>
              <w:ind w:left="360" w:hanging="360"/>
              <w:jc w:val="both"/>
              <w:rPr>
                <w:rFonts w:ascii="Times New Roman" w:eastAsia="Times New Roman" w:hAnsi="Times New Roman" w:cs="Times New Roman"/>
                <w:bCs/>
              </w:rPr>
            </w:pPr>
            <w:r w:rsidRPr="00E02BB9">
              <w:rPr>
                <w:rFonts w:ascii="Times New Roman" w:eastAsia="Times New Roman" w:hAnsi="Times New Roman" w:cs="Times New Roman"/>
                <w:bCs/>
              </w:rPr>
              <w:lastRenderedPageBreak/>
              <w:t>—</w:t>
            </w:r>
            <w:r w:rsidRPr="00E02BB9">
              <w:rPr>
                <w:rFonts w:ascii="Times New Roman" w:eastAsia="Times New Roman" w:hAnsi="Times New Roman" w:cs="Times New Roman"/>
                <w:bCs/>
              </w:rPr>
              <w:tab/>
            </w:r>
            <w:r w:rsidRPr="00E02BB9">
              <w:rPr>
                <w:rFonts w:ascii="Times New Roman" w:hAnsi="Times New Roman"/>
                <w:bCs/>
              </w:rPr>
              <w:t>prijelazna usklađenja na temelju instrumenata dodatnog osnovnog kapitala koji se nastavljaju priznavati (članak 483. stavci 4. i 5., članci od 484. do 487. i članci 489. i 491. Uredbe (EU) br. 575/2013),</w:t>
            </w:r>
          </w:p>
          <w:p w14:paraId="37A79248" w14:textId="77777777" w:rsidR="00A11402" w:rsidRPr="00E02BB9" w:rsidRDefault="00E02BB9">
            <w:pPr>
              <w:spacing w:after="120" w:line="240" w:lineRule="auto"/>
              <w:ind w:left="360" w:hanging="360"/>
              <w:jc w:val="both"/>
              <w:rPr>
                <w:rFonts w:ascii="Times New Roman" w:eastAsia="Times New Roman" w:hAnsi="Times New Roman" w:cs="Times New Roman"/>
                <w:bCs/>
              </w:rPr>
            </w:pPr>
            <w:r w:rsidRPr="00E02BB9">
              <w:rPr>
                <w:rFonts w:ascii="Times New Roman" w:eastAsia="Times New Roman" w:hAnsi="Times New Roman" w:cs="Times New Roman"/>
                <w:bCs/>
              </w:rPr>
              <w:t>—</w:t>
            </w:r>
            <w:r w:rsidRPr="00E02BB9">
              <w:rPr>
                <w:rFonts w:ascii="Times New Roman" w:eastAsia="Times New Roman" w:hAnsi="Times New Roman" w:cs="Times New Roman"/>
                <w:bCs/>
              </w:rPr>
              <w:tab/>
            </w:r>
            <w:r w:rsidRPr="00E02BB9">
              <w:rPr>
                <w:rFonts w:ascii="Times New Roman" w:hAnsi="Times New Roman"/>
                <w:bCs/>
              </w:rPr>
              <w:t>druga prijelazna usklađ</w:t>
            </w:r>
            <w:r w:rsidRPr="00E02BB9">
              <w:rPr>
                <w:rFonts w:ascii="Times New Roman" w:hAnsi="Times New Roman"/>
                <w:bCs/>
              </w:rPr>
              <w:t>enja dodatnog osnovnog kapitala (članci 472., 473.a, 474., 475., 478. i 481. Uredbe (EU) br. 575/2013): usklađenja odbitaka zbog prijelaznih odredbi,</w:t>
            </w:r>
          </w:p>
          <w:p w14:paraId="32A39BA4" w14:textId="77777777" w:rsidR="00A11402" w:rsidRPr="00E02BB9" w:rsidRDefault="00E02BB9">
            <w:pPr>
              <w:spacing w:after="120" w:line="240" w:lineRule="auto"/>
              <w:ind w:left="360" w:hanging="360"/>
              <w:jc w:val="both"/>
              <w:rPr>
                <w:rFonts w:ascii="Times New Roman" w:eastAsia="Times New Roman" w:hAnsi="Times New Roman" w:cs="Times New Roman"/>
                <w:bCs/>
              </w:rPr>
            </w:pPr>
            <w:r w:rsidRPr="00E02BB9">
              <w:rPr>
                <w:rFonts w:ascii="Times New Roman" w:eastAsia="Times New Roman" w:hAnsi="Times New Roman" w:cs="Times New Roman"/>
                <w:bCs/>
              </w:rPr>
              <w:t>—</w:t>
            </w:r>
            <w:r w:rsidRPr="00E02BB9">
              <w:rPr>
                <w:rFonts w:ascii="Times New Roman" w:eastAsia="Times New Roman" w:hAnsi="Times New Roman" w:cs="Times New Roman"/>
                <w:bCs/>
              </w:rPr>
              <w:tab/>
            </w:r>
            <w:r w:rsidRPr="00E02BB9">
              <w:rPr>
                <w:rFonts w:ascii="Times New Roman" w:hAnsi="Times New Roman"/>
                <w:bCs/>
              </w:rPr>
              <w:t>odbitak od stavki dodatnog osnovnog kapitala koji premašuje dodatni osnovni kapital, odbijen od redovnog</w:t>
            </w:r>
            <w:r w:rsidRPr="00E02BB9">
              <w:rPr>
                <w:rFonts w:ascii="Times New Roman" w:hAnsi="Times New Roman"/>
                <w:bCs/>
              </w:rPr>
              <w:t xml:space="preserve"> osnovnog kapitala u skladu s člankom 36. stavkom 1. točkom (j) Uredbe (EU) br. 575/2013: dodatni osnovni kapital ne može biti negativan, ali moguće je da odbici od stavki dodatnog osnovnog kapitala premašuju iznos dostupnih stavki dodatnog osnovnog kapita</w:t>
            </w:r>
            <w:r w:rsidRPr="00E02BB9">
              <w:rPr>
                <w:rFonts w:ascii="Times New Roman" w:hAnsi="Times New Roman"/>
                <w:bCs/>
              </w:rPr>
              <w:t>la. U tom slučaju, u ovoj stavci izražava se iznos potreban da bi se iznos iskazan u retku 0300 povećao na nulu, a odgovara obrnutom iznosu odbitaka od stavki dodatnog osnovnog kapitala koji premašuje dodatni osnovni kapital te je, među ostalim odbicima, u</w:t>
            </w:r>
            <w:r w:rsidRPr="00E02BB9">
              <w:rPr>
                <w:rFonts w:ascii="Times New Roman" w:hAnsi="Times New Roman"/>
                <w:bCs/>
              </w:rPr>
              <w:t>ključen u redak 0280,</w:t>
            </w:r>
          </w:p>
          <w:p w14:paraId="4996AC75" w14:textId="77777777" w:rsidR="00A11402" w:rsidRPr="00E02BB9" w:rsidRDefault="00E02BB9">
            <w:pPr>
              <w:spacing w:after="120" w:line="240" w:lineRule="auto"/>
              <w:ind w:left="360" w:hanging="360"/>
              <w:jc w:val="both"/>
              <w:rPr>
                <w:rFonts w:ascii="Times New Roman" w:eastAsia="Times New Roman" w:hAnsi="Times New Roman" w:cs="Times New Roman"/>
                <w:bCs/>
              </w:rPr>
            </w:pPr>
            <w:r w:rsidRPr="00E02BB9">
              <w:rPr>
                <w:rFonts w:ascii="Times New Roman" w:eastAsia="Times New Roman" w:hAnsi="Times New Roman" w:cs="Times New Roman"/>
                <w:bCs/>
              </w:rPr>
              <w:t>—</w:t>
            </w:r>
            <w:r w:rsidRPr="00E02BB9">
              <w:rPr>
                <w:rFonts w:ascii="Times New Roman" w:eastAsia="Times New Roman" w:hAnsi="Times New Roman" w:cs="Times New Roman"/>
                <w:bCs/>
              </w:rPr>
              <w:tab/>
            </w:r>
            <w:r w:rsidRPr="00E02BB9">
              <w:rPr>
                <w:rFonts w:ascii="Times New Roman" w:hAnsi="Times New Roman"/>
                <w:bCs/>
              </w:rPr>
              <w:t>drugi elementi dodatnog osnovnog kapitala ili odbici od elementa dodatnog osnovnog kapitala koji se ne mogu rasporediti u jedan od redaka od 0310 do 0400.</w:t>
            </w:r>
          </w:p>
          <w:p w14:paraId="3462E217" w14:textId="77777777" w:rsidR="00A11402" w:rsidRPr="00E02BB9" w:rsidRDefault="00E02BB9">
            <w:pPr>
              <w:spacing w:after="120" w:line="240" w:lineRule="auto"/>
              <w:jc w:val="both"/>
              <w:rPr>
                <w:rFonts w:ascii="Times New Roman" w:eastAsia="Times New Roman" w:hAnsi="Times New Roman" w:cs="Times New Roman"/>
                <w:b/>
                <w:bCs/>
                <w:u w:val="single"/>
              </w:rPr>
            </w:pPr>
            <w:r w:rsidRPr="00E02BB9">
              <w:rPr>
                <w:rFonts w:ascii="Times New Roman" w:hAnsi="Times New Roman"/>
                <w:bCs/>
              </w:rPr>
              <w:t>Ovaj se redak ne koristi za uključivanje stavki kapitala ili odbitaka koji ni</w:t>
            </w:r>
            <w:r w:rsidRPr="00E02BB9">
              <w:rPr>
                <w:rFonts w:ascii="Times New Roman" w:hAnsi="Times New Roman"/>
                <w:bCs/>
              </w:rPr>
              <w:t>su obuhvaćeni Uredbom (EU) 2019/2033 ili Uredbom (EU) br. 575/2013 u izračun stopa solventnosti.</w:t>
            </w:r>
          </w:p>
        </w:tc>
      </w:tr>
      <w:tr w:rsidR="00A11402" w:rsidRPr="00E02BB9" w14:paraId="15B958C8" w14:textId="77777777">
        <w:tc>
          <w:tcPr>
            <w:tcW w:w="1129" w:type="dxa"/>
          </w:tcPr>
          <w:p w14:paraId="1B04C681" w14:textId="77777777" w:rsidR="00A11402" w:rsidRPr="00E02BB9" w:rsidRDefault="00E02BB9">
            <w:pPr>
              <w:spacing w:after="120" w:line="240" w:lineRule="auto"/>
              <w:jc w:val="both"/>
              <w:rPr>
                <w:rFonts w:ascii="Times New Roman" w:eastAsia="Times New Roman" w:hAnsi="Times New Roman" w:cs="Times New Roman"/>
                <w:bCs/>
              </w:rPr>
            </w:pPr>
            <w:r w:rsidRPr="00E02BB9">
              <w:rPr>
                <w:rFonts w:ascii="Times New Roman" w:hAnsi="Times New Roman"/>
                <w:bCs/>
              </w:rPr>
              <w:lastRenderedPageBreak/>
              <w:t>0420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213FFD76" w14:textId="77777777" w:rsidR="00A11402" w:rsidRPr="00E02BB9" w:rsidRDefault="00E02BB9">
            <w:pPr>
              <w:spacing w:after="120" w:line="240" w:lineRule="auto"/>
              <w:jc w:val="both"/>
              <w:rPr>
                <w:rFonts w:ascii="Times New Roman" w:eastAsia="Times New Roman" w:hAnsi="Times New Roman" w:cs="Times New Roman"/>
                <w:b/>
                <w:bCs/>
                <w:u w:val="single"/>
              </w:rPr>
            </w:pPr>
            <w:r w:rsidRPr="00E02BB9">
              <w:rPr>
                <w:rFonts w:ascii="Times New Roman" w:hAnsi="Times New Roman"/>
                <w:b/>
                <w:bCs/>
                <w:u w:val="single"/>
              </w:rPr>
              <w:t>DOPUNSKI KAPITAL</w:t>
            </w:r>
          </w:p>
          <w:p w14:paraId="2EEB4CFE" w14:textId="77777777" w:rsidR="00A11402" w:rsidRPr="00E02BB9" w:rsidRDefault="00E02BB9">
            <w:pPr>
              <w:spacing w:after="120" w:line="240" w:lineRule="auto"/>
              <w:jc w:val="both"/>
              <w:rPr>
                <w:rFonts w:ascii="Times New Roman" w:eastAsia="Times New Roman" w:hAnsi="Times New Roman" w:cs="Times New Roman"/>
                <w:bCs/>
              </w:rPr>
            </w:pPr>
            <w:r w:rsidRPr="00E02BB9">
              <w:rPr>
                <w:rFonts w:ascii="Times New Roman" w:hAnsi="Times New Roman"/>
                <w:bCs/>
              </w:rPr>
              <w:t>Članak 9. stavak 1. Uredbe (EU) 2019/2033</w:t>
            </w:r>
          </w:p>
          <w:p w14:paraId="13F57DCC" w14:textId="77777777" w:rsidR="00A11402" w:rsidRPr="00E02BB9" w:rsidRDefault="00E02BB9">
            <w:pPr>
              <w:spacing w:after="120" w:line="240" w:lineRule="auto"/>
              <w:jc w:val="both"/>
              <w:rPr>
                <w:rStyle w:val="FormatvorlageInstructionsTabelleText"/>
                <w:rFonts w:ascii="Times New Roman" w:hAnsi="Times New Roman"/>
                <w:sz w:val="22"/>
              </w:rPr>
            </w:pPr>
            <w:r w:rsidRPr="00E02BB9">
              <w:rPr>
                <w:rStyle w:val="FormatvorlageInstructionsTabelleText"/>
                <w:rFonts w:ascii="Times New Roman" w:hAnsi="Times New Roman"/>
                <w:sz w:val="22"/>
              </w:rPr>
              <w:t>Članak 71. Uredbe (EU) br. 575/2013</w:t>
            </w:r>
          </w:p>
          <w:p w14:paraId="4BE7C690" w14:textId="77777777" w:rsidR="00A11402" w:rsidRPr="00E02BB9" w:rsidRDefault="00E02BB9">
            <w:pPr>
              <w:pStyle w:val="CommentText"/>
              <w:rPr>
                <w:sz w:val="22"/>
                <w:szCs w:val="22"/>
              </w:rPr>
            </w:pPr>
            <w:r w:rsidRPr="00E02BB9">
              <w:rPr>
                <w:rFonts w:ascii="Times New Roman" w:hAnsi="Times New Roman"/>
                <w:bCs/>
                <w:sz w:val="22"/>
                <w:szCs w:val="22"/>
              </w:rPr>
              <w:t xml:space="preserve">Iskazuje se ukupni zbroj redaka od 0430 do 0455 i </w:t>
            </w:r>
            <w:r w:rsidRPr="00E02BB9">
              <w:rPr>
                <w:rFonts w:ascii="Times New Roman" w:hAnsi="Times New Roman"/>
                <w:bCs/>
                <w:sz w:val="22"/>
                <w:szCs w:val="22"/>
              </w:rPr>
              <w:t>retka 0525.</w:t>
            </w:r>
          </w:p>
        </w:tc>
      </w:tr>
      <w:tr w:rsidR="00A11402" w:rsidRPr="00E02BB9" w14:paraId="75DAED89" w14:textId="77777777">
        <w:tc>
          <w:tcPr>
            <w:tcW w:w="1129" w:type="dxa"/>
          </w:tcPr>
          <w:p w14:paraId="028FBBAA" w14:textId="77777777" w:rsidR="00A11402" w:rsidRPr="00E02BB9" w:rsidRDefault="00E02BB9">
            <w:pPr>
              <w:spacing w:after="120" w:line="240" w:lineRule="auto"/>
              <w:jc w:val="both"/>
              <w:rPr>
                <w:rFonts w:ascii="Times New Roman" w:eastAsia="Times New Roman" w:hAnsi="Times New Roman" w:cs="Times New Roman"/>
                <w:bCs/>
              </w:rPr>
            </w:pPr>
            <w:r w:rsidRPr="00E02BB9">
              <w:rPr>
                <w:rFonts w:ascii="Times New Roman" w:hAnsi="Times New Roman"/>
                <w:bCs/>
              </w:rPr>
              <w:t>0430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F1F156A" w14:textId="77777777" w:rsidR="00A11402" w:rsidRPr="00E02BB9" w:rsidRDefault="00E02BB9">
            <w:pPr>
              <w:spacing w:after="120" w:line="240" w:lineRule="auto"/>
              <w:jc w:val="both"/>
              <w:rPr>
                <w:rFonts w:ascii="Times New Roman" w:eastAsia="Times New Roman" w:hAnsi="Times New Roman" w:cs="Times New Roman"/>
                <w:b/>
                <w:bCs/>
                <w:u w:val="single"/>
              </w:rPr>
            </w:pPr>
            <w:r w:rsidRPr="00E02BB9">
              <w:rPr>
                <w:rFonts w:ascii="Times New Roman" w:hAnsi="Times New Roman"/>
                <w:b/>
                <w:bCs/>
                <w:u w:val="single"/>
              </w:rPr>
              <w:t>U potpunosti plaćeni, izravno izdani instrumenti kapitala</w:t>
            </w:r>
          </w:p>
          <w:p w14:paraId="4685673D" w14:textId="77777777" w:rsidR="00A11402" w:rsidRPr="00E02BB9" w:rsidRDefault="00E02BB9">
            <w:pPr>
              <w:spacing w:after="120" w:line="240" w:lineRule="auto"/>
              <w:jc w:val="both"/>
              <w:rPr>
                <w:rFonts w:ascii="Times New Roman" w:eastAsia="Times New Roman" w:hAnsi="Times New Roman" w:cs="Times New Roman"/>
                <w:bCs/>
              </w:rPr>
            </w:pPr>
            <w:r w:rsidRPr="00E02BB9">
              <w:rPr>
                <w:rFonts w:ascii="Times New Roman" w:hAnsi="Times New Roman"/>
                <w:bCs/>
              </w:rPr>
              <w:t>Članak 9. stavak 1. točka</w:t>
            </w:r>
            <w:r w:rsidRPr="00E02BB9">
              <w:rPr>
                <w:rFonts w:ascii="Times New Roman" w:hAnsi="Times New Roman"/>
                <w:bCs/>
              </w:rPr>
              <w:t xml:space="preserve"> i.</w:t>
            </w:r>
            <w:r w:rsidRPr="00E02BB9">
              <w:rPr>
                <w:rFonts w:ascii="Times New Roman" w:hAnsi="Times New Roman"/>
                <w:bCs/>
              </w:rPr>
              <w:t xml:space="preserve"> Uredbe (EU) 2019/2033</w:t>
            </w:r>
          </w:p>
          <w:p w14:paraId="06D676F1" w14:textId="77777777" w:rsidR="00A11402" w:rsidRPr="00E02BB9" w:rsidRDefault="00E02BB9">
            <w:pPr>
              <w:pStyle w:val="InstructionsText"/>
              <w:rPr>
                <w:rStyle w:val="FormatvorlageInstructionsTabelleText"/>
                <w:rFonts w:ascii="Times New Roman" w:eastAsiaTheme="minorHAnsi" w:hAnsi="Times New Roman"/>
                <w:bCs/>
                <w:sz w:val="22"/>
                <w:szCs w:val="22"/>
              </w:rPr>
            </w:pPr>
            <w:r w:rsidRPr="00E02BB9">
              <w:rPr>
                <w:rStyle w:val="FormatvorlageInstructionsTabelleText"/>
                <w:rFonts w:ascii="Times New Roman" w:hAnsi="Times New Roman"/>
                <w:sz w:val="22"/>
                <w:szCs w:val="22"/>
              </w:rPr>
              <w:t>Članak 62. točka (a) te članci 63. i 65. Uredbe (EU) br. 575/2013</w:t>
            </w:r>
          </w:p>
          <w:p w14:paraId="6C9D9E9D" w14:textId="77777777" w:rsidR="00A11402" w:rsidRPr="00E02BB9" w:rsidRDefault="00E02BB9">
            <w:pPr>
              <w:spacing w:after="120" w:line="240" w:lineRule="auto"/>
              <w:jc w:val="both"/>
              <w:rPr>
                <w:rFonts w:ascii="Times New Roman" w:eastAsia="Times New Roman" w:hAnsi="Times New Roman" w:cs="Times New Roman"/>
                <w:b/>
                <w:bCs/>
                <w:u w:val="single"/>
              </w:rPr>
            </w:pPr>
            <w:r w:rsidRPr="00E02BB9">
              <w:rPr>
                <w:rStyle w:val="FormatvorlageInstructionsTabelleText"/>
                <w:rFonts w:ascii="Times New Roman" w:hAnsi="Times New Roman"/>
                <w:sz w:val="22"/>
              </w:rPr>
              <w:t xml:space="preserve">Iznos koji se iskazuje ne uključuje premiju na dionice </w:t>
            </w:r>
            <w:r w:rsidRPr="00E02BB9">
              <w:rPr>
                <w:rStyle w:val="FormatvorlageInstructionsTabelleText"/>
                <w:rFonts w:ascii="Times New Roman" w:hAnsi="Times New Roman"/>
                <w:sz w:val="22"/>
              </w:rPr>
              <w:t>povezanu s instrumentima.</w:t>
            </w:r>
          </w:p>
        </w:tc>
      </w:tr>
      <w:tr w:rsidR="00A11402" w:rsidRPr="00E02BB9" w14:paraId="6DF8E466" w14:textId="77777777">
        <w:tc>
          <w:tcPr>
            <w:tcW w:w="1129" w:type="dxa"/>
          </w:tcPr>
          <w:p w14:paraId="6AD78E63" w14:textId="77777777" w:rsidR="00A11402" w:rsidRPr="00E02BB9" w:rsidRDefault="00E02BB9">
            <w:pPr>
              <w:spacing w:after="120" w:line="240" w:lineRule="auto"/>
              <w:jc w:val="both"/>
              <w:rPr>
                <w:rFonts w:ascii="Times New Roman" w:eastAsia="Times New Roman" w:hAnsi="Times New Roman" w:cs="Times New Roman"/>
                <w:bCs/>
              </w:rPr>
            </w:pPr>
            <w:r w:rsidRPr="00E02BB9">
              <w:rPr>
                <w:rFonts w:ascii="Times New Roman" w:hAnsi="Times New Roman"/>
                <w:bCs/>
              </w:rPr>
              <w:t>0440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A7E6246" w14:textId="77777777" w:rsidR="00A11402" w:rsidRPr="00E02BB9" w:rsidRDefault="00E02BB9">
            <w:pPr>
              <w:spacing w:after="120" w:line="240" w:lineRule="auto"/>
              <w:jc w:val="both"/>
              <w:rPr>
                <w:rFonts w:ascii="Times New Roman" w:eastAsia="Times New Roman" w:hAnsi="Times New Roman" w:cs="Times New Roman"/>
                <w:b/>
                <w:bCs/>
                <w:u w:val="single"/>
              </w:rPr>
            </w:pPr>
            <w:r w:rsidRPr="00E02BB9">
              <w:rPr>
                <w:rFonts w:ascii="Times New Roman" w:hAnsi="Times New Roman"/>
                <w:b/>
                <w:bCs/>
                <w:u w:val="single"/>
              </w:rPr>
              <w:t>Premija na dionice</w:t>
            </w:r>
          </w:p>
          <w:p w14:paraId="0D8D1071" w14:textId="77777777" w:rsidR="00A11402" w:rsidRPr="00E02BB9" w:rsidRDefault="00E02BB9">
            <w:pPr>
              <w:spacing w:after="120" w:line="240" w:lineRule="auto"/>
              <w:jc w:val="both"/>
              <w:rPr>
                <w:rFonts w:ascii="Times New Roman" w:eastAsia="Times New Roman" w:hAnsi="Times New Roman" w:cs="Times New Roman"/>
                <w:bCs/>
              </w:rPr>
            </w:pPr>
            <w:r w:rsidRPr="00E02BB9">
              <w:rPr>
                <w:rFonts w:ascii="Times New Roman" w:hAnsi="Times New Roman"/>
                <w:bCs/>
              </w:rPr>
              <w:t>Članak 9. stavak 1. točka</w:t>
            </w:r>
            <w:r w:rsidRPr="00E02BB9">
              <w:rPr>
                <w:rFonts w:ascii="Times New Roman" w:hAnsi="Times New Roman"/>
                <w:bCs/>
              </w:rPr>
              <w:t xml:space="preserve"> i.</w:t>
            </w:r>
            <w:r w:rsidRPr="00E02BB9">
              <w:rPr>
                <w:rFonts w:ascii="Times New Roman" w:hAnsi="Times New Roman"/>
                <w:bCs/>
              </w:rPr>
              <w:t xml:space="preserve"> Uredbe (EU) 2019/2033</w:t>
            </w:r>
          </w:p>
          <w:p w14:paraId="77BC7FF0" w14:textId="77777777" w:rsidR="00A11402" w:rsidRPr="00E02BB9" w:rsidRDefault="00E02BB9">
            <w:pPr>
              <w:pStyle w:val="InstructionsText"/>
              <w:rPr>
                <w:rStyle w:val="FormatvorlageInstructionsTabelleText"/>
                <w:rFonts w:ascii="Times New Roman" w:hAnsi="Times New Roman"/>
                <w:sz w:val="22"/>
                <w:szCs w:val="22"/>
              </w:rPr>
            </w:pPr>
            <w:r w:rsidRPr="00E02BB9">
              <w:rPr>
                <w:rStyle w:val="FormatvorlageInstructionsTabelleText"/>
                <w:rFonts w:ascii="Times New Roman" w:hAnsi="Times New Roman"/>
                <w:sz w:val="22"/>
                <w:szCs w:val="22"/>
              </w:rPr>
              <w:t>Članak 62. točka (b) i članak 65. Uredbe (EU) br. 575/2013</w:t>
            </w:r>
          </w:p>
          <w:p w14:paraId="1584FF92" w14:textId="77777777" w:rsidR="00A11402" w:rsidRPr="00E02BB9" w:rsidRDefault="00E02BB9">
            <w:pPr>
              <w:pStyle w:val="InstructionsText"/>
              <w:rPr>
                <w:rStyle w:val="FormatvorlageInstructionsTabelleText"/>
                <w:rFonts w:ascii="Times New Roman" w:hAnsi="Times New Roman"/>
                <w:sz w:val="22"/>
                <w:szCs w:val="22"/>
              </w:rPr>
            </w:pPr>
            <w:r w:rsidRPr="00E02BB9">
              <w:rPr>
                <w:rStyle w:val="FormatvorlageInstructionsTabelleText"/>
                <w:rFonts w:ascii="Times New Roman" w:hAnsi="Times New Roman"/>
                <w:sz w:val="22"/>
                <w:szCs w:val="22"/>
              </w:rPr>
              <w:t>Premija na dionice ima isto značenje kao i u primjenjivom računovodstvenom standardu.</w:t>
            </w:r>
          </w:p>
          <w:p w14:paraId="2A4D2E60" w14:textId="77777777" w:rsidR="00A11402" w:rsidRPr="00E02BB9" w:rsidRDefault="00E02BB9">
            <w:pPr>
              <w:pStyle w:val="InstructionsText"/>
              <w:rPr>
                <w:sz w:val="22"/>
                <w:szCs w:val="22"/>
              </w:rPr>
            </w:pPr>
            <w:r w:rsidRPr="00E02BB9">
              <w:rPr>
                <w:rStyle w:val="FormatvorlageInstructionsTabelleText"/>
                <w:rFonts w:ascii="Times New Roman" w:hAnsi="Times New Roman"/>
                <w:sz w:val="22"/>
                <w:szCs w:val="22"/>
              </w:rPr>
              <w:t>Iznos koji se iskazuje u ovoj stavci dio je koji se odnosi na „plaćene instrumente kapitala”.</w:t>
            </w:r>
          </w:p>
        </w:tc>
      </w:tr>
      <w:tr w:rsidR="00A11402" w:rsidRPr="00E02BB9" w14:paraId="68DFDFE6" w14:textId="77777777">
        <w:tc>
          <w:tcPr>
            <w:tcW w:w="1129" w:type="dxa"/>
          </w:tcPr>
          <w:p w14:paraId="005F20DC" w14:textId="77777777" w:rsidR="00A11402" w:rsidRPr="00E02BB9" w:rsidRDefault="00E02BB9">
            <w:pPr>
              <w:spacing w:after="120" w:line="240" w:lineRule="auto"/>
              <w:jc w:val="both"/>
              <w:rPr>
                <w:rFonts w:ascii="Times New Roman" w:eastAsia="Times New Roman" w:hAnsi="Times New Roman" w:cs="Times New Roman"/>
                <w:bCs/>
              </w:rPr>
            </w:pPr>
            <w:r w:rsidRPr="00E02BB9">
              <w:rPr>
                <w:rFonts w:ascii="Times New Roman" w:hAnsi="Times New Roman"/>
                <w:bCs/>
              </w:rPr>
              <w:t>0455</w:t>
            </w:r>
          </w:p>
        </w:tc>
        <w:tc>
          <w:tcPr>
            <w:tcW w:w="7620" w:type="dxa"/>
            <w:tcBorders>
              <w:top w:val="nil"/>
              <w:left w:val="single" w:sz="4" w:space="0" w:color="auto"/>
              <w:bottom w:val="single" w:sz="4" w:space="0" w:color="auto"/>
              <w:right w:val="single" w:sz="4" w:space="0" w:color="auto"/>
            </w:tcBorders>
            <w:shd w:val="clear" w:color="auto" w:fill="auto"/>
            <w:vAlign w:val="bottom"/>
          </w:tcPr>
          <w:p w14:paraId="5C7C3884" w14:textId="77777777" w:rsidR="00A11402" w:rsidRPr="00E02BB9" w:rsidRDefault="00E02BB9">
            <w:pPr>
              <w:spacing w:after="120" w:line="240" w:lineRule="auto"/>
              <w:jc w:val="both"/>
              <w:rPr>
                <w:rFonts w:ascii="Times New Roman" w:eastAsia="Times New Roman" w:hAnsi="Times New Roman" w:cs="Times New Roman"/>
                <w:b/>
                <w:bCs/>
                <w:u w:val="single"/>
              </w:rPr>
            </w:pPr>
            <w:r w:rsidRPr="00E02BB9">
              <w:rPr>
                <w:rFonts w:ascii="Times New Roman" w:hAnsi="Times New Roman"/>
                <w:b/>
                <w:bCs/>
                <w:u w:val="single"/>
              </w:rPr>
              <w:t>(–) UKUPNI ODBICI OD DOPUNSKOG KAPITALA</w:t>
            </w:r>
          </w:p>
          <w:p w14:paraId="2490FA52" w14:textId="77777777" w:rsidR="00A11402" w:rsidRPr="00E02BB9" w:rsidRDefault="00E02BB9">
            <w:pPr>
              <w:spacing w:after="120" w:line="240" w:lineRule="auto"/>
              <w:jc w:val="both"/>
              <w:rPr>
                <w:rFonts w:ascii="Times New Roman" w:eastAsia="Times New Roman" w:hAnsi="Times New Roman" w:cs="Times New Roman"/>
                <w:bCs/>
              </w:rPr>
            </w:pPr>
            <w:r w:rsidRPr="00E02BB9">
              <w:rPr>
                <w:rFonts w:ascii="Times New Roman" w:hAnsi="Times New Roman"/>
              </w:rPr>
              <w:t>Članak 66. Uredbe (EU) br. 575/2013, osim točke (d) tog članka</w:t>
            </w:r>
          </w:p>
        </w:tc>
      </w:tr>
      <w:tr w:rsidR="00A11402" w:rsidRPr="00E02BB9" w14:paraId="61CB3676" w14:textId="77777777">
        <w:tc>
          <w:tcPr>
            <w:tcW w:w="1129" w:type="dxa"/>
          </w:tcPr>
          <w:p w14:paraId="6F9D58A9" w14:textId="77777777" w:rsidR="00A11402" w:rsidRPr="00E02BB9" w:rsidRDefault="00E02BB9">
            <w:pPr>
              <w:spacing w:after="120" w:line="240" w:lineRule="auto"/>
              <w:jc w:val="both"/>
              <w:rPr>
                <w:rFonts w:ascii="Times New Roman" w:eastAsia="Times New Roman" w:hAnsi="Times New Roman" w:cs="Times New Roman"/>
                <w:bCs/>
              </w:rPr>
            </w:pPr>
            <w:r w:rsidRPr="00E02BB9">
              <w:rPr>
                <w:rFonts w:ascii="Times New Roman" w:hAnsi="Times New Roman"/>
                <w:bCs/>
              </w:rPr>
              <w:t>0460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25F50FF" w14:textId="77777777" w:rsidR="00A11402" w:rsidRPr="00E02BB9" w:rsidRDefault="00E02BB9">
            <w:pPr>
              <w:spacing w:after="120" w:line="240" w:lineRule="auto"/>
              <w:jc w:val="both"/>
              <w:rPr>
                <w:rFonts w:ascii="Times New Roman" w:eastAsia="Times New Roman" w:hAnsi="Times New Roman" w:cs="Times New Roman"/>
                <w:b/>
                <w:bCs/>
                <w:u w:val="single"/>
              </w:rPr>
            </w:pPr>
            <w:r w:rsidRPr="00E02BB9">
              <w:rPr>
                <w:rFonts w:ascii="Times New Roman" w:hAnsi="Times New Roman"/>
                <w:b/>
                <w:bCs/>
                <w:u w:val="single"/>
              </w:rPr>
              <w:t>(–) Vlastiti instrumenti dopunskog kapitala</w:t>
            </w:r>
          </w:p>
          <w:p w14:paraId="1DB2F505" w14:textId="77777777" w:rsidR="00A11402" w:rsidRPr="00E02BB9" w:rsidRDefault="00E02BB9">
            <w:pPr>
              <w:spacing w:after="120" w:line="240" w:lineRule="auto"/>
              <w:jc w:val="both"/>
              <w:rPr>
                <w:rFonts w:ascii="Times New Roman" w:eastAsia="Times New Roman" w:hAnsi="Times New Roman" w:cs="Times New Roman"/>
                <w:bCs/>
              </w:rPr>
            </w:pPr>
            <w:r w:rsidRPr="00E02BB9">
              <w:rPr>
                <w:rFonts w:ascii="Times New Roman" w:hAnsi="Times New Roman"/>
                <w:bCs/>
              </w:rPr>
              <w:t>Čla</w:t>
            </w:r>
            <w:r w:rsidRPr="00E02BB9">
              <w:rPr>
                <w:rFonts w:ascii="Times New Roman" w:hAnsi="Times New Roman"/>
                <w:bCs/>
              </w:rPr>
              <w:t>nak 9. stavak 1. točka</w:t>
            </w:r>
            <w:r w:rsidRPr="00E02BB9">
              <w:rPr>
                <w:rFonts w:ascii="Times New Roman" w:hAnsi="Times New Roman"/>
                <w:bCs/>
              </w:rPr>
              <w:t xml:space="preserve"> i.</w:t>
            </w:r>
            <w:r w:rsidRPr="00E02BB9">
              <w:rPr>
                <w:rFonts w:ascii="Times New Roman" w:hAnsi="Times New Roman"/>
                <w:bCs/>
              </w:rPr>
              <w:t xml:space="preserve"> Uredbe (EU) 2019/2033</w:t>
            </w:r>
          </w:p>
          <w:p w14:paraId="756E8500" w14:textId="77777777" w:rsidR="00A11402" w:rsidRPr="00E02BB9" w:rsidRDefault="00E02BB9">
            <w:pPr>
              <w:pStyle w:val="InstructionsText"/>
              <w:rPr>
                <w:rStyle w:val="FormatvorlageInstructionsTabelleText"/>
                <w:rFonts w:ascii="Times New Roman" w:hAnsi="Times New Roman"/>
                <w:sz w:val="22"/>
                <w:szCs w:val="22"/>
              </w:rPr>
            </w:pPr>
            <w:r w:rsidRPr="00E02BB9">
              <w:rPr>
                <w:rStyle w:val="FormatvorlageInstructionsTabelleText"/>
                <w:rFonts w:ascii="Times New Roman" w:hAnsi="Times New Roman"/>
                <w:sz w:val="22"/>
                <w:szCs w:val="22"/>
              </w:rPr>
              <w:t>Članak 63. točka (b) podtočka</w:t>
            </w:r>
            <w:r w:rsidRPr="00E02BB9">
              <w:rPr>
                <w:rStyle w:val="FormatvorlageInstructionsTabelleText"/>
                <w:rFonts w:ascii="Times New Roman" w:hAnsi="Times New Roman"/>
                <w:sz w:val="22"/>
                <w:szCs w:val="22"/>
              </w:rPr>
              <w:t xml:space="preserve"> i.</w:t>
            </w:r>
            <w:r w:rsidRPr="00E02BB9">
              <w:rPr>
                <w:rStyle w:val="FormatvorlageInstructionsTabelleText"/>
                <w:rFonts w:ascii="Times New Roman" w:hAnsi="Times New Roman"/>
                <w:sz w:val="22"/>
                <w:szCs w:val="22"/>
              </w:rPr>
              <w:t>, članak 66. točka (a) i članak 67. Uredbe (EU) br. 575/2013</w:t>
            </w:r>
          </w:p>
          <w:p w14:paraId="2BF14D15" w14:textId="77777777" w:rsidR="00A11402" w:rsidRPr="00E02BB9" w:rsidRDefault="00E02BB9">
            <w:pPr>
              <w:pStyle w:val="InstructionsText"/>
              <w:rPr>
                <w:rStyle w:val="FormatvorlageInstructionsTabelleText"/>
                <w:rFonts w:ascii="Times New Roman" w:hAnsi="Times New Roman"/>
                <w:sz w:val="22"/>
                <w:szCs w:val="22"/>
              </w:rPr>
            </w:pPr>
            <w:r w:rsidRPr="00E02BB9">
              <w:rPr>
                <w:rStyle w:val="FormatvorlageInstructionsTabelleText"/>
                <w:rFonts w:ascii="Times New Roman" w:hAnsi="Times New Roman"/>
                <w:sz w:val="22"/>
                <w:szCs w:val="22"/>
              </w:rPr>
              <w:t xml:space="preserve">Vlastiti instrumenti dopunskog kapitala koje drži institucija ili grupa koja izvješćuje na datum </w:t>
            </w:r>
            <w:r w:rsidRPr="00E02BB9">
              <w:rPr>
                <w:rStyle w:val="FormatvorlageInstructionsTabelleText"/>
                <w:rFonts w:ascii="Times New Roman" w:hAnsi="Times New Roman"/>
                <w:sz w:val="22"/>
                <w:szCs w:val="22"/>
              </w:rPr>
              <w:t>izvješćivanja. Podložno iznimkama iz članka 67. Uredbe (EU) br. 575/2013.</w:t>
            </w:r>
          </w:p>
          <w:p w14:paraId="6326F0AC" w14:textId="77777777" w:rsidR="00A11402" w:rsidRPr="00E02BB9" w:rsidRDefault="00E02BB9">
            <w:pPr>
              <w:pStyle w:val="InstructionsText"/>
              <w:rPr>
                <w:rStyle w:val="FormatvorlageInstructionsTabelleText"/>
                <w:rFonts w:ascii="Times New Roman" w:hAnsi="Times New Roman"/>
                <w:sz w:val="22"/>
                <w:szCs w:val="22"/>
              </w:rPr>
            </w:pPr>
            <w:r w:rsidRPr="00E02BB9">
              <w:rPr>
                <w:rStyle w:val="FormatvorlageInstructionsTabelleText"/>
                <w:rFonts w:ascii="Times New Roman" w:hAnsi="Times New Roman"/>
                <w:sz w:val="22"/>
                <w:szCs w:val="22"/>
              </w:rPr>
              <w:lastRenderedPageBreak/>
              <w:t>U ovom se retku ne iskazuju ulaganja u dionice uključena kao „instrumenti kapitala koji se ne priznaju”.</w:t>
            </w:r>
          </w:p>
          <w:p w14:paraId="67EBF2B7" w14:textId="77777777" w:rsidR="00A11402" w:rsidRPr="00E02BB9" w:rsidRDefault="00E02BB9">
            <w:pPr>
              <w:pStyle w:val="InstructionsText"/>
              <w:rPr>
                <w:sz w:val="22"/>
                <w:szCs w:val="22"/>
              </w:rPr>
            </w:pPr>
            <w:r w:rsidRPr="00E02BB9">
              <w:rPr>
                <w:rStyle w:val="FormatvorlageInstructionsTabelleText"/>
                <w:rFonts w:ascii="Times New Roman" w:hAnsi="Times New Roman"/>
                <w:sz w:val="22"/>
                <w:szCs w:val="22"/>
              </w:rPr>
              <w:t>Iznos koji se iskazuje uključuje premiju na dionice povezanu s vlastitim dion</w:t>
            </w:r>
            <w:r w:rsidRPr="00E02BB9">
              <w:rPr>
                <w:rStyle w:val="FormatvorlageInstructionsTabelleText"/>
                <w:rFonts w:ascii="Times New Roman" w:hAnsi="Times New Roman"/>
                <w:sz w:val="22"/>
                <w:szCs w:val="22"/>
              </w:rPr>
              <w:t>icama.</w:t>
            </w:r>
          </w:p>
        </w:tc>
      </w:tr>
      <w:tr w:rsidR="00A11402" w:rsidRPr="00E02BB9" w14:paraId="2F2CECEC" w14:textId="77777777">
        <w:tc>
          <w:tcPr>
            <w:tcW w:w="1129" w:type="dxa"/>
          </w:tcPr>
          <w:p w14:paraId="4BF540DB" w14:textId="77777777" w:rsidR="00A11402" w:rsidRPr="00E02BB9" w:rsidRDefault="00E02BB9">
            <w:pPr>
              <w:spacing w:after="120" w:line="240" w:lineRule="auto"/>
              <w:jc w:val="both"/>
              <w:rPr>
                <w:rFonts w:ascii="Times New Roman" w:eastAsia="Times New Roman" w:hAnsi="Times New Roman" w:cs="Times New Roman"/>
                <w:bCs/>
              </w:rPr>
            </w:pPr>
            <w:r w:rsidRPr="00E02BB9">
              <w:rPr>
                <w:rFonts w:ascii="Times New Roman" w:hAnsi="Times New Roman"/>
                <w:bCs/>
              </w:rPr>
              <w:lastRenderedPageBreak/>
              <w:t>0500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1AC5F24B" w14:textId="77777777" w:rsidR="00A11402" w:rsidRPr="00E02BB9" w:rsidRDefault="00E02BB9">
            <w:pPr>
              <w:spacing w:after="120" w:line="240" w:lineRule="auto"/>
              <w:jc w:val="both"/>
              <w:rPr>
                <w:rFonts w:ascii="Times New Roman" w:eastAsia="Times New Roman" w:hAnsi="Times New Roman" w:cs="Times New Roman"/>
                <w:b/>
                <w:bCs/>
                <w:u w:val="single"/>
              </w:rPr>
            </w:pPr>
            <w:r w:rsidRPr="00E02BB9">
              <w:rPr>
                <w:rFonts w:ascii="Times New Roman" w:hAnsi="Times New Roman"/>
                <w:b/>
                <w:bCs/>
                <w:u w:val="single"/>
              </w:rPr>
              <w:t>(–) Instrumenti dopunskog kapitala subjekata financijskog sektora ako matično društvo nema značajno ulaganje</w:t>
            </w:r>
          </w:p>
          <w:p w14:paraId="36ECEDD4" w14:textId="77777777" w:rsidR="00A11402" w:rsidRPr="00E02BB9" w:rsidRDefault="00E02BB9">
            <w:pPr>
              <w:spacing w:after="120" w:line="240" w:lineRule="auto"/>
              <w:jc w:val="both"/>
              <w:rPr>
                <w:rFonts w:ascii="Times New Roman" w:eastAsia="Times New Roman" w:hAnsi="Times New Roman" w:cs="Times New Roman"/>
                <w:bCs/>
              </w:rPr>
            </w:pPr>
            <w:r w:rsidRPr="00E02BB9">
              <w:rPr>
                <w:rFonts w:ascii="Times New Roman" w:hAnsi="Times New Roman"/>
                <w:bCs/>
              </w:rPr>
              <w:t>Članak 9. stavak 2. točka (c) Uredbe (EU) 2019/2033</w:t>
            </w:r>
          </w:p>
          <w:p w14:paraId="3A6CBBE7" w14:textId="77777777" w:rsidR="00A11402" w:rsidRPr="00E02BB9" w:rsidRDefault="00E02BB9">
            <w:pPr>
              <w:spacing w:after="120" w:line="240" w:lineRule="auto"/>
              <w:jc w:val="both"/>
              <w:rPr>
                <w:rFonts w:ascii="Times New Roman" w:eastAsia="Times New Roman" w:hAnsi="Times New Roman" w:cs="Times New Roman"/>
                <w:bCs/>
              </w:rPr>
            </w:pPr>
            <w:r w:rsidRPr="00E02BB9">
              <w:rPr>
                <w:rFonts w:ascii="Times New Roman" w:hAnsi="Times New Roman"/>
                <w:bCs/>
              </w:rPr>
              <w:t>Članak 66. točka (c) Uredbe (EU) br. 575/2013</w:t>
            </w:r>
          </w:p>
          <w:p w14:paraId="7871573E" w14:textId="77777777" w:rsidR="00A11402" w:rsidRPr="00E02BB9" w:rsidRDefault="00E02BB9">
            <w:pPr>
              <w:spacing w:after="120" w:line="240" w:lineRule="auto"/>
              <w:jc w:val="both"/>
              <w:rPr>
                <w:rFonts w:ascii="Times New Roman" w:eastAsia="Times New Roman" w:hAnsi="Times New Roman" w:cs="Times New Roman"/>
                <w:b/>
                <w:bCs/>
                <w:u w:val="single"/>
              </w:rPr>
            </w:pPr>
            <w:r w:rsidRPr="00E02BB9">
              <w:rPr>
                <w:rFonts w:ascii="Times New Roman" w:hAnsi="Times New Roman"/>
                <w:bCs/>
              </w:rPr>
              <w:t>Matično društvo u ovom retku znači m</w:t>
            </w:r>
            <w:r w:rsidRPr="00E02BB9">
              <w:rPr>
                <w:rFonts w:ascii="Times New Roman" w:hAnsi="Times New Roman"/>
                <w:bCs/>
              </w:rPr>
              <w:t>atična investicijska društva iz Unije, matični investicijski holdinzi iz Unije, matični mješoviti financijski holdinzi iz Unije ili sva druga matična društva koje su investicijska društva, financijska institucija, društva za pomoćne usluge ili vezani zastu</w:t>
            </w:r>
            <w:r w:rsidRPr="00E02BB9">
              <w:rPr>
                <w:rFonts w:ascii="Times New Roman" w:hAnsi="Times New Roman"/>
                <w:bCs/>
              </w:rPr>
              <w:t>pnici.</w:t>
            </w:r>
          </w:p>
        </w:tc>
      </w:tr>
      <w:tr w:rsidR="00A11402" w:rsidRPr="00E02BB9" w14:paraId="7EB883EE" w14:textId="77777777">
        <w:tc>
          <w:tcPr>
            <w:tcW w:w="1129" w:type="dxa"/>
            <w:tcBorders>
              <w:bottom w:val="single" w:sz="4" w:space="0" w:color="auto"/>
            </w:tcBorders>
          </w:tcPr>
          <w:p w14:paraId="6989D5E6" w14:textId="77777777" w:rsidR="00A11402" w:rsidRPr="00E02BB9" w:rsidRDefault="00E02BB9">
            <w:pPr>
              <w:spacing w:after="120" w:line="240" w:lineRule="auto"/>
              <w:jc w:val="both"/>
              <w:rPr>
                <w:rFonts w:ascii="Times New Roman" w:eastAsia="Times New Roman" w:hAnsi="Times New Roman" w:cs="Times New Roman"/>
                <w:bCs/>
              </w:rPr>
            </w:pPr>
            <w:r w:rsidRPr="00E02BB9">
              <w:rPr>
                <w:rFonts w:ascii="Times New Roman" w:hAnsi="Times New Roman"/>
                <w:bCs/>
              </w:rPr>
              <w:t>0525</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67DFD349" w14:textId="77777777" w:rsidR="00A11402" w:rsidRPr="00E02BB9" w:rsidRDefault="00E02BB9">
            <w:pPr>
              <w:spacing w:after="120" w:line="240" w:lineRule="auto"/>
              <w:jc w:val="both"/>
              <w:rPr>
                <w:rFonts w:ascii="Times New Roman" w:eastAsia="Times New Roman" w:hAnsi="Times New Roman" w:cs="Times New Roman"/>
                <w:b/>
                <w:bCs/>
                <w:u w:val="single"/>
              </w:rPr>
            </w:pPr>
            <w:r w:rsidRPr="00E02BB9">
              <w:rPr>
                <w:rFonts w:ascii="Times New Roman" w:hAnsi="Times New Roman"/>
                <w:b/>
                <w:bCs/>
                <w:u w:val="single"/>
              </w:rPr>
              <w:t>Dopunski kapital: drugi elementi kapitala, odbici i prilagodbe</w:t>
            </w:r>
          </w:p>
          <w:p w14:paraId="10B98598" w14:textId="77777777" w:rsidR="00A11402" w:rsidRPr="00E02BB9" w:rsidRDefault="00E02BB9">
            <w:pPr>
              <w:spacing w:after="120" w:line="240" w:lineRule="auto"/>
              <w:jc w:val="both"/>
              <w:rPr>
                <w:rFonts w:ascii="Times New Roman" w:eastAsia="Times New Roman" w:hAnsi="Times New Roman" w:cs="Times New Roman"/>
                <w:bCs/>
              </w:rPr>
            </w:pPr>
            <w:r w:rsidRPr="00E02BB9">
              <w:rPr>
                <w:rFonts w:ascii="Times New Roman" w:hAnsi="Times New Roman"/>
                <w:bCs/>
              </w:rPr>
              <w:t>Ovaj redak uključuje zbroj sljedećih stavki, ako je primjenjivo:</w:t>
            </w:r>
          </w:p>
          <w:p w14:paraId="3846C52D" w14:textId="77777777" w:rsidR="00A11402" w:rsidRPr="00E02BB9" w:rsidRDefault="00E02BB9">
            <w:pPr>
              <w:spacing w:after="120" w:line="240" w:lineRule="auto"/>
              <w:ind w:left="360" w:hanging="360"/>
              <w:jc w:val="both"/>
              <w:rPr>
                <w:rFonts w:ascii="Times New Roman" w:eastAsia="Times New Roman" w:hAnsi="Times New Roman" w:cs="Times New Roman"/>
                <w:bCs/>
              </w:rPr>
            </w:pPr>
            <w:r w:rsidRPr="00E02BB9">
              <w:rPr>
                <w:rFonts w:ascii="Times New Roman" w:eastAsia="Times New Roman" w:hAnsi="Times New Roman" w:cs="Times New Roman"/>
                <w:bCs/>
              </w:rPr>
              <w:t>—</w:t>
            </w:r>
            <w:r w:rsidRPr="00E02BB9">
              <w:rPr>
                <w:rFonts w:ascii="Times New Roman" w:eastAsia="Times New Roman" w:hAnsi="Times New Roman" w:cs="Times New Roman"/>
                <w:bCs/>
              </w:rPr>
              <w:tab/>
            </w:r>
            <w:r w:rsidRPr="00E02BB9">
              <w:rPr>
                <w:rFonts w:ascii="Times New Roman" w:hAnsi="Times New Roman"/>
                <w:bCs/>
              </w:rPr>
              <w:t xml:space="preserve">prijelazna usklađenja na temelju instrumenata dopunskog kapitala koji se nastavljaju priznavati </w:t>
            </w:r>
            <w:r w:rsidRPr="00E02BB9">
              <w:rPr>
                <w:rFonts w:ascii="Times New Roman" w:hAnsi="Times New Roman"/>
                <w:bCs/>
              </w:rPr>
              <w:t>(članak 483. stavci 6. i 7., članci 484., 486., 488., 490. i 491. Uredbe (EU) br. 575/2013),</w:t>
            </w:r>
          </w:p>
          <w:p w14:paraId="0E072897" w14:textId="77777777" w:rsidR="00A11402" w:rsidRPr="00E02BB9" w:rsidRDefault="00E02BB9">
            <w:pPr>
              <w:spacing w:after="120" w:line="240" w:lineRule="auto"/>
              <w:ind w:left="360" w:hanging="360"/>
              <w:jc w:val="both"/>
              <w:rPr>
                <w:rFonts w:ascii="Times New Roman" w:eastAsia="Times New Roman" w:hAnsi="Times New Roman" w:cs="Times New Roman"/>
                <w:bCs/>
              </w:rPr>
            </w:pPr>
            <w:r w:rsidRPr="00E02BB9">
              <w:rPr>
                <w:rFonts w:ascii="Times New Roman" w:eastAsia="Times New Roman" w:hAnsi="Times New Roman" w:cs="Times New Roman"/>
                <w:bCs/>
              </w:rPr>
              <w:t>—</w:t>
            </w:r>
            <w:r w:rsidRPr="00E02BB9">
              <w:rPr>
                <w:rFonts w:ascii="Times New Roman" w:eastAsia="Times New Roman" w:hAnsi="Times New Roman" w:cs="Times New Roman"/>
                <w:bCs/>
              </w:rPr>
              <w:tab/>
            </w:r>
            <w:r w:rsidRPr="00E02BB9">
              <w:rPr>
                <w:rFonts w:ascii="Times New Roman" w:hAnsi="Times New Roman"/>
                <w:bCs/>
              </w:rPr>
              <w:t xml:space="preserve">druga prijelazna usklađenja dopunskog kapitala (članci 472., 473.a, 476., 477., 478. i 481. Uredbe (EU) br. 575/2013): usklađenja odbitaka od dopunskog kapitala </w:t>
            </w:r>
            <w:r w:rsidRPr="00E02BB9">
              <w:rPr>
                <w:rFonts w:ascii="Times New Roman" w:hAnsi="Times New Roman"/>
                <w:bCs/>
              </w:rPr>
              <w:t>na temelju prijelaznih odredbi,</w:t>
            </w:r>
          </w:p>
          <w:p w14:paraId="43ACE925" w14:textId="77777777" w:rsidR="00A11402" w:rsidRPr="00E02BB9" w:rsidRDefault="00E02BB9">
            <w:pPr>
              <w:spacing w:after="120" w:line="240" w:lineRule="auto"/>
              <w:ind w:left="360" w:hanging="360"/>
              <w:jc w:val="both"/>
              <w:rPr>
                <w:rFonts w:ascii="Times New Roman" w:eastAsia="Times New Roman" w:hAnsi="Times New Roman" w:cs="Times New Roman"/>
                <w:bCs/>
              </w:rPr>
            </w:pPr>
            <w:r w:rsidRPr="00E02BB9">
              <w:rPr>
                <w:rFonts w:ascii="Times New Roman" w:eastAsia="Times New Roman" w:hAnsi="Times New Roman" w:cs="Times New Roman"/>
                <w:bCs/>
              </w:rPr>
              <w:t>—</w:t>
            </w:r>
            <w:r w:rsidRPr="00E02BB9">
              <w:rPr>
                <w:rFonts w:ascii="Times New Roman" w:eastAsia="Times New Roman" w:hAnsi="Times New Roman" w:cs="Times New Roman"/>
                <w:bCs/>
              </w:rPr>
              <w:tab/>
            </w:r>
            <w:r w:rsidRPr="00E02BB9">
              <w:rPr>
                <w:rFonts w:ascii="Times New Roman" w:hAnsi="Times New Roman"/>
                <w:bCs/>
              </w:rPr>
              <w:t>odbitak od stavki dopunskog kapitala koji premašuje dopunski kapital, odbijen od redovnog osnovnog kapitala u skladu s člankom 56. točkom (e) Uredbe (EU) br. 575/2013: dopunski kapital ne može biti negativan, ali moguće je</w:t>
            </w:r>
            <w:r w:rsidRPr="00E02BB9">
              <w:rPr>
                <w:rFonts w:ascii="Times New Roman" w:hAnsi="Times New Roman"/>
                <w:bCs/>
              </w:rPr>
              <w:t xml:space="preserve"> da odbici od stavki dopunskog kapitala premašuju iznos dostupnih stavki dopunskog kapitala. U tom slučaju, u ovoj se stavci izražava iznos potreban da bi se iznos iskazan u retku 0420 povećao na nulu,</w:t>
            </w:r>
          </w:p>
          <w:p w14:paraId="5B79046F" w14:textId="77777777" w:rsidR="00A11402" w:rsidRPr="00E02BB9" w:rsidRDefault="00E02BB9">
            <w:pPr>
              <w:spacing w:after="120" w:line="240" w:lineRule="auto"/>
              <w:ind w:left="360" w:hanging="360"/>
              <w:jc w:val="both"/>
              <w:rPr>
                <w:rFonts w:ascii="Times New Roman" w:eastAsia="Times New Roman" w:hAnsi="Times New Roman" w:cs="Times New Roman"/>
                <w:bCs/>
              </w:rPr>
            </w:pPr>
            <w:r w:rsidRPr="00E02BB9">
              <w:rPr>
                <w:rFonts w:ascii="Times New Roman" w:eastAsia="Times New Roman" w:hAnsi="Times New Roman" w:cs="Times New Roman"/>
                <w:bCs/>
              </w:rPr>
              <w:t>—</w:t>
            </w:r>
            <w:r w:rsidRPr="00E02BB9">
              <w:rPr>
                <w:rFonts w:ascii="Times New Roman" w:eastAsia="Times New Roman" w:hAnsi="Times New Roman" w:cs="Times New Roman"/>
                <w:bCs/>
              </w:rPr>
              <w:tab/>
            </w:r>
            <w:r w:rsidRPr="00E02BB9">
              <w:rPr>
                <w:rFonts w:ascii="Times New Roman" w:hAnsi="Times New Roman"/>
                <w:bCs/>
              </w:rPr>
              <w:t>drugi elementi dopunskog kapitala ili odbici od elem</w:t>
            </w:r>
            <w:r w:rsidRPr="00E02BB9">
              <w:rPr>
                <w:rFonts w:ascii="Times New Roman" w:hAnsi="Times New Roman"/>
                <w:bCs/>
              </w:rPr>
              <w:t>enta dopunskog kapitala koji se ne mogu rasporediti u jedan od redaka od 0430 do 0500.</w:t>
            </w:r>
          </w:p>
          <w:p w14:paraId="4CAC07EA" w14:textId="77777777" w:rsidR="00A11402" w:rsidRPr="00E02BB9" w:rsidRDefault="00E02BB9">
            <w:pPr>
              <w:spacing w:after="120" w:line="240" w:lineRule="auto"/>
              <w:jc w:val="both"/>
              <w:rPr>
                <w:rFonts w:ascii="Times New Roman" w:eastAsia="Times New Roman" w:hAnsi="Times New Roman" w:cs="Times New Roman"/>
                <w:b/>
                <w:bCs/>
                <w:u w:val="single"/>
              </w:rPr>
            </w:pPr>
            <w:r w:rsidRPr="00E02BB9">
              <w:rPr>
                <w:rFonts w:ascii="Times New Roman" w:hAnsi="Times New Roman"/>
                <w:bCs/>
              </w:rPr>
              <w:t>Ovaj se redak ne koristi za uključivanje stavki kapitala ili odbitaka koji nisu obuhvaćeni Uredbom (EU) 2019/2033 ili Uredbom (EU) br. 575/2013 u izračun stopa solventno</w:t>
            </w:r>
            <w:r w:rsidRPr="00E02BB9">
              <w:rPr>
                <w:rFonts w:ascii="Times New Roman" w:hAnsi="Times New Roman"/>
                <w:bCs/>
              </w:rPr>
              <w:t>sti.</w:t>
            </w:r>
          </w:p>
        </w:tc>
      </w:tr>
    </w:tbl>
    <w:p w14:paraId="07AA3F32" w14:textId="77777777" w:rsidR="00A11402" w:rsidRPr="00E02BB9" w:rsidRDefault="00E02BB9">
      <w:pPr>
        <w:pStyle w:val="Instructionsberschrift2"/>
        <w:ind w:left="357" w:hanging="357"/>
        <w:rPr>
          <w:rFonts w:ascii="Times New Roman" w:hAnsi="Times New Roman" w:cs="Times New Roman"/>
          <w:sz w:val="24"/>
          <w:u w:val="none"/>
        </w:rPr>
      </w:pPr>
      <w:bookmarkStart w:id="19" w:name="_Toc88141057"/>
      <w:r w:rsidRPr="00E02BB9">
        <w:rPr>
          <w:rFonts w:ascii="Times New Roman" w:hAnsi="Times New Roman"/>
          <w:sz w:val="24"/>
          <w:u w:val="none"/>
        </w:rPr>
        <w:t>1.3.</w:t>
      </w:r>
      <w:r w:rsidRPr="00E02BB9">
        <w:rPr>
          <w:rFonts w:ascii="Times New Roman" w:hAnsi="Times New Roman"/>
          <w:sz w:val="24"/>
        </w:rPr>
        <w:t xml:space="preserve"> I 11.02 KAPITALNI ZAHTJEVI – KRITERIJ KAPITALA GRUPE (I11.2)</w:t>
      </w:r>
      <w:bookmarkEnd w:id="19"/>
    </w:p>
    <w:p w14:paraId="29470CD9" w14:textId="77777777" w:rsidR="00A11402" w:rsidRPr="00E02BB9" w:rsidRDefault="00E02BB9">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20" w:name="_Toc88141058"/>
      <w:r w:rsidRPr="00E02BB9">
        <w:rPr>
          <w:rFonts w:ascii="Times New Roman" w:hAnsi="Times New Roman"/>
          <w:sz w:val="24"/>
          <w:szCs w:val="24"/>
        </w:rPr>
        <w:t>1.3.1</w:t>
      </w:r>
      <w:r w:rsidRPr="00E02BB9">
        <w:rPr>
          <w:rFonts w:ascii="Times New Roman" w:hAnsi="Times New Roman"/>
          <w:sz w:val="24"/>
          <w:szCs w:val="24"/>
        </w:rPr>
        <w:tab/>
      </w:r>
      <w:r w:rsidRPr="00E02BB9">
        <w:rPr>
          <w:rFonts w:ascii="Times New Roman" w:hAnsi="Times New Roman"/>
          <w:sz w:val="24"/>
          <w:szCs w:val="24"/>
          <w:u w:val="single"/>
        </w:rPr>
        <w:t>Upute za specifične pozicije</w:t>
      </w:r>
      <w:bookmarkEnd w:id="20"/>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A11402" w:rsidRPr="00E02BB9" w14:paraId="08DC2DB8" w14:textId="77777777">
        <w:tc>
          <w:tcPr>
            <w:tcW w:w="1129" w:type="dxa"/>
            <w:shd w:val="clear" w:color="auto" w:fill="D9D9D9"/>
          </w:tcPr>
          <w:p w14:paraId="25C4B6B4" w14:textId="77777777" w:rsidR="00A11402" w:rsidRPr="00E02BB9" w:rsidRDefault="00E02BB9">
            <w:pPr>
              <w:spacing w:after="120" w:line="240" w:lineRule="auto"/>
              <w:jc w:val="both"/>
              <w:rPr>
                <w:rFonts w:ascii="Times New Roman" w:eastAsia="Times New Roman" w:hAnsi="Times New Roman" w:cs="Times New Roman"/>
                <w:bCs/>
              </w:rPr>
            </w:pPr>
            <w:r w:rsidRPr="00E02BB9">
              <w:rPr>
                <w:rFonts w:ascii="Times New Roman" w:hAnsi="Times New Roman"/>
              </w:rPr>
              <w:t>Redak</w:t>
            </w:r>
          </w:p>
        </w:tc>
        <w:tc>
          <w:tcPr>
            <w:tcW w:w="7620" w:type="dxa"/>
            <w:shd w:val="clear" w:color="auto" w:fill="D9D9D9"/>
          </w:tcPr>
          <w:p w14:paraId="06A1D104" w14:textId="77777777" w:rsidR="00A11402" w:rsidRPr="00E02BB9" w:rsidRDefault="00E02BB9">
            <w:pPr>
              <w:spacing w:after="120" w:line="240" w:lineRule="auto"/>
              <w:jc w:val="both"/>
              <w:rPr>
                <w:rFonts w:ascii="Times New Roman" w:eastAsia="Times New Roman" w:hAnsi="Times New Roman" w:cs="Times New Roman"/>
                <w:bCs/>
              </w:rPr>
            </w:pPr>
            <w:r w:rsidRPr="00E02BB9">
              <w:rPr>
                <w:rFonts w:ascii="Times New Roman" w:hAnsi="Times New Roman"/>
              </w:rPr>
              <w:t>Pravna osnova i upute</w:t>
            </w:r>
          </w:p>
        </w:tc>
      </w:tr>
      <w:tr w:rsidR="00A11402" w:rsidRPr="00E02BB9" w14:paraId="43C551DA" w14:textId="77777777">
        <w:tc>
          <w:tcPr>
            <w:tcW w:w="1129" w:type="dxa"/>
            <w:tcBorders>
              <w:top w:val="single" w:sz="4" w:space="0" w:color="auto"/>
              <w:left w:val="single" w:sz="4" w:space="0" w:color="auto"/>
              <w:bottom w:val="single" w:sz="4" w:space="0" w:color="auto"/>
              <w:right w:val="single" w:sz="4" w:space="0" w:color="auto"/>
            </w:tcBorders>
          </w:tcPr>
          <w:p w14:paraId="01D2A638" w14:textId="77777777" w:rsidR="00A11402" w:rsidRPr="00E02BB9" w:rsidRDefault="00E02BB9">
            <w:pPr>
              <w:spacing w:after="120" w:line="240" w:lineRule="auto"/>
              <w:jc w:val="both"/>
              <w:rPr>
                <w:rFonts w:ascii="Times New Roman" w:eastAsia="Times New Roman" w:hAnsi="Times New Roman" w:cs="Times New Roman"/>
                <w:bCs/>
              </w:rPr>
            </w:pPr>
            <w:r w:rsidRPr="00E02BB9">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tcPr>
          <w:p w14:paraId="093F5291" w14:textId="77777777" w:rsidR="00A11402" w:rsidRPr="00E02BB9" w:rsidRDefault="00E02BB9">
            <w:pPr>
              <w:spacing w:after="120" w:line="240" w:lineRule="auto"/>
              <w:jc w:val="both"/>
              <w:rPr>
                <w:rFonts w:ascii="Times New Roman" w:eastAsia="Times New Roman" w:hAnsi="Times New Roman" w:cs="Times New Roman"/>
                <w:b/>
                <w:bCs/>
                <w:u w:val="single"/>
              </w:rPr>
            </w:pPr>
            <w:r w:rsidRPr="00E02BB9">
              <w:rPr>
                <w:rFonts w:ascii="Times New Roman" w:hAnsi="Times New Roman"/>
                <w:b/>
                <w:bCs/>
                <w:u w:val="single"/>
              </w:rPr>
              <w:t xml:space="preserve">Instrumenti redovnog osnovnog kapitala subjekata financijskog sektora u grupi investicijskog društva ako </w:t>
            </w:r>
            <w:r w:rsidRPr="00E02BB9">
              <w:rPr>
                <w:rFonts w:ascii="Times New Roman" w:hAnsi="Times New Roman"/>
                <w:b/>
                <w:bCs/>
                <w:u w:val="single"/>
              </w:rPr>
              <w:t>matično društvo ima značajno ulaganje u te subjekte</w:t>
            </w:r>
          </w:p>
          <w:p w14:paraId="5D4F3C33" w14:textId="77777777" w:rsidR="00A11402" w:rsidRPr="00E02BB9" w:rsidRDefault="00E02BB9">
            <w:pPr>
              <w:spacing w:after="120" w:line="240" w:lineRule="auto"/>
              <w:jc w:val="both"/>
              <w:rPr>
                <w:rFonts w:ascii="Times New Roman" w:eastAsia="Times New Roman" w:hAnsi="Times New Roman" w:cs="Times New Roman"/>
                <w:b/>
                <w:bCs/>
                <w:u w:val="single"/>
              </w:rPr>
            </w:pPr>
            <w:r w:rsidRPr="00E02BB9">
              <w:rPr>
                <w:rFonts w:ascii="Times New Roman" w:hAnsi="Times New Roman"/>
                <w:bCs/>
              </w:rPr>
              <w:t>Članak 8. stavak 3. točka (a) Uredbe (EU) 2019/2033 u vezi s člankom 36. stavkom 1. točkom</w:t>
            </w:r>
            <w:r w:rsidRPr="00E02BB9">
              <w:rPr>
                <w:rFonts w:ascii="Times New Roman" w:hAnsi="Times New Roman"/>
                <w:bCs/>
              </w:rPr>
              <w:t xml:space="preserve"> i.</w:t>
            </w:r>
            <w:r w:rsidRPr="00E02BB9">
              <w:rPr>
                <w:rFonts w:ascii="Times New Roman" w:hAnsi="Times New Roman"/>
                <w:bCs/>
              </w:rPr>
              <w:t xml:space="preserve"> Uredbe (EU) br. 575/2013</w:t>
            </w:r>
          </w:p>
        </w:tc>
      </w:tr>
      <w:tr w:rsidR="00A11402" w:rsidRPr="00E02BB9" w14:paraId="64D53F57" w14:textId="77777777">
        <w:tc>
          <w:tcPr>
            <w:tcW w:w="1129" w:type="dxa"/>
            <w:tcBorders>
              <w:top w:val="single" w:sz="4" w:space="0" w:color="auto"/>
              <w:bottom w:val="single" w:sz="4" w:space="0" w:color="auto"/>
            </w:tcBorders>
          </w:tcPr>
          <w:p w14:paraId="03E1E0E1" w14:textId="77777777" w:rsidR="00A11402" w:rsidRPr="00E02BB9" w:rsidRDefault="00E02BB9">
            <w:pPr>
              <w:spacing w:after="120" w:line="240" w:lineRule="auto"/>
              <w:jc w:val="both"/>
              <w:rPr>
                <w:rFonts w:ascii="Times New Roman" w:eastAsia="Times New Roman" w:hAnsi="Times New Roman" w:cs="Times New Roman"/>
                <w:bCs/>
              </w:rPr>
            </w:pPr>
            <w:r w:rsidRPr="00E02BB9">
              <w:rPr>
                <w:rFonts w:ascii="Times New Roman" w:hAnsi="Times New Roman"/>
                <w:bCs/>
              </w:rPr>
              <w:t>0020</w:t>
            </w:r>
          </w:p>
        </w:tc>
        <w:tc>
          <w:tcPr>
            <w:tcW w:w="7620" w:type="dxa"/>
            <w:tcBorders>
              <w:top w:val="single" w:sz="4" w:space="0" w:color="auto"/>
              <w:bottom w:val="single" w:sz="4" w:space="0" w:color="auto"/>
            </w:tcBorders>
          </w:tcPr>
          <w:p w14:paraId="0B7CD28F" w14:textId="77777777" w:rsidR="00A11402" w:rsidRPr="00E02BB9" w:rsidRDefault="00E02BB9">
            <w:pPr>
              <w:spacing w:after="120" w:line="240" w:lineRule="auto"/>
              <w:jc w:val="both"/>
              <w:rPr>
                <w:rFonts w:ascii="Times New Roman" w:eastAsia="Times New Roman" w:hAnsi="Times New Roman" w:cs="Times New Roman"/>
                <w:b/>
                <w:bCs/>
                <w:u w:val="single"/>
              </w:rPr>
            </w:pPr>
            <w:r w:rsidRPr="00E02BB9">
              <w:rPr>
                <w:rFonts w:ascii="Times New Roman" w:hAnsi="Times New Roman"/>
                <w:b/>
                <w:bCs/>
                <w:u w:val="single"/>
              </w:rPr>
              <w:t>Instrumenti dodatnog osnovnog kapitala subjekata financijskog sektora u grupi i</w:t>
            </w:r>
            <w:r w:rsidRPr="00E02BB9">
              <w:rPr>
                <w:rFonts w:ascii="Times New Roman" w:hAnsi="Times New Roman"/>
                <w:b/>
                <w:bCs/>
                <w:u w:val="single"/>
              </w:rPr>
              <w:t>nvesticijskog društva ako matično društvo ima značajno ulaganje u te subjekte</w:t>
            </w:r>
          </w:p>
          <w:p w14:paraId="4EA681FA" w14:textId="77777777" w:rsidR="00A11402" w:rsidRPr="00E02BB9" w:rsidRDefault="00E02BB9">
            <w:pPr>
              <w:spacing w:after="120" w:line="240" w:lineRule="auto"/>
              <w:jc w:val="both"/>
              <w:rPr>
                <w:rFonts w:ascii="Times New Roman" w:eastAsia="Times New Roman" w:hAnsi="Times New Roman" w:cs="Times New Roman"/>
                <w:bCs/>
              </w:rPr>
            </w:pPr>
            <w:r w:rsidRPr="00E02BB9">
              <w:rPr>
                <w:rFonts w:ascii="Times New Roman" w:hAnsi="Times New Roman"/>
                <w:bCs/>
              </w:rPr>
              <w:t>Članak 8. stavak 3. točka (a) Uredbe (EU) 2019/2033 u vezi s člankom 56. točkom (d) Uredbe (EU) br. 575/2013</w:t>
            </w:r>
          </w:p>
        </w:tc>
      </w:tr>
      <w:tr w:rsidR="00A11402" w:rsidRPr="00E02BB9" w14:paraId="35A41FC1" w14:textId="77777777">
        <w:tc>
          <w:tcPr>
            <w:tcW w:w="1129" w:type="dxa"/>
            <w:tcBorders>
              <w:top w:val="single" w:sz="4" w:space="0" w:color="auto"/>
              <w:bottom w:val="single" w:sz="4" w:space="0" w:color="auto"/>
            </w:tcBorders>
          </w:tcPr>
          <w:p w14:paraId="63EBDF8B" w14:textId="77777777" w:rsidR="00A11402" w:rsidRPr="00E02BB9" w:rsidRDefault="00E02BB9">
            <w:pPr>
              <w:spacing w:after="120" w:line="240" w:lineRule="auto"/>
              <w:jc w:val="both"/>
              <w:rPr>
                <w:rFonts w:ascii="Times New Roman" w:eastAsia="Times New Roman" w:hAnsi="Times New Roman" w:cs="Times New Roman"/>
                <w:bCs/>
              </w:rPr>
            </w:pPr>
            <w:r w:rsidRPr="00E02BB9">
              <w:rPr>
                <w:rFonts w:ascii="Times New Roman" w:hAnsi="Times New Roman"/>
                <w:bCs/>
              </w:rPr>
              <w:t>0030</w:t>
            </w:r>
          </w:p>
        </w:tc>
        <w:tc>
          <w:tcPr>
            <w:tcW w:w="7620" w:type="dxa"/>
            <w:tcBorders>
              <w:top w:val="single" w:sz="4" w:space="0" w:color="auto"/>
              <w:bottom w:val="single" w:sz="4" w:space="0" w:color="auto"/>
            </w:tcBorders>
          </w:tcPr>
          <w:p w14:paraId="6AEBC9C2" w14:textId="77777777" w:rsidR="00A11402" w:rsidRPr="00E02BB9" w:rsidRDefault="00E02BB9">
            <w:pPr>
              <w:spacing w:after="120" w:line="240" w:lineRule="auto"/>
              <w:jc w:val="both"/>
              <w:rPr>
                <w:rFonts w:ascii="Times New Roman" w:eastAsia="Times New Roman" w:hAnsi="Times New Roman" w:cs="Times New Roman"/>
                <w:b/>
                <w:bCs/>
                <w:u w:val="single"/>
              </w:rPr>
            </w:pPr>
            <w:r w:rsidRPr="00E02BB9">
              <w:rPr>
                <w:rFonts w:ascii="Times New Roman" w:hAnsi="Times New Roman"/>
                <w:b/>
                <w:bCs/>
                <w:u w:val="single"/>
              </w:rPr>
              <w:t xml:space="preserve">Instrumenti dopunskog kapitala subjekata </w:t>
            </w:r>
            <w:r w:rsidRPr="00E02BB9">
              <w:rPr>
                <w:rFonts w:ascii="Times New Roman" w:hAnsi="Times New Roman"/>
                <w:b/>
                <w:bCs/>
                <w:u w:val="single"/>
              </w:rPr>
              <w:t>financijskog sektora u grupi investicijskog društva ako matično društvo ima značajno ulaganje u te subjekte</w:t>
            </w:r>
          </w:p>
          <w:p w14:paraId="72A817C0" w14:textId="77777777" w:rsidR="00A11402" w:rsidRPr="00E02BB9" w:rsidRDefault="00E02BB9">
            <w:pPr>
              <w:spacing w:after="120" w:line="240" w:lineRule="auto"/>
              <w:jc w:val="both"/>
              <w:rPr>
                <w:rFonts w:ascii="Times New Roman" w:eastAsia="Times New Roman" w:hAnsi="Times New Roman" w:cs="Times New Roman"/>
                <w:b/>
                <w:bCs/>
                <w:u w:val="single"/>
              </w:rPr>
            </w:pPr>
            <w:r w:rsidRPr="00E02BB9">
              <w:rPr>
                <w:rFonts w:ascii="Times New Roman" w:hAnsi="Times New Roman"/>
                <w:bCs/>
              </w:rPr>
              <w:lastRenderedPageBreak/>
              <w:t>Članak 8. stavak 3. točka (a) u vezi s člankom 66. točkom (d) Uredbe (EU) br. 575/2013</w:t>
            </w:r>
          </w:p>
        </w:tc>
      </w:tr>
      <w:tr w:rsidR="00A11402" w:rsidRPr="00E02BB9" w14:paraId="452323B1" w14:textId="77777777">
        <w:tc>
          <w:tcPr>
            <w:tcW w:w="1129" w:type="dxa"/>
          </w:tcPr>
          <w:p w14:paraId="74630474" w14:textId="77777777" w:rsidR="00A11402" w:rsidRPr="00E02BB9" w:rsidRDefault="00E02BB9">
            <w:pPr>
              <w:spacing w:after="120" w:line="240" w:lineRule="auto"/>
              <w:jc w:val="both"/>
              <w:rPr>
                <w:rFonts w:ascii="Times New Roman" w:eastAsia="Times New Roman" w:hAnsi="Times New Roman" w:cs="Times New Roman"/>
                <w:bCs/>
              </w:rPr>
            </w:pPr>
            <w:r w:rsidRPr="00E02BB9">
              <w:rPr>
                <w:rFonts w:ascii="Times New Roman" w:hAnsi="Times New Roman"/>
                <w:bCs/>
              </w:rPr>
              <w:lastRenderedPageBreak/>
              <w:t>0040</w:t>
            </w:r>
          </w:p>
        </w:tc>
        <w:tc>
          <w:tcPr>
            <w:tcW w:w="7620" w:type="dxa"/>
          </w:tcPr>
          <w:p w14:paraId="15AED213" w14:textId="77777777" w:rsidR="00A11402" w:rsidRPr="00E02BB9" w:rsidRDefault="00E02BB9">
            <w:pPr>
              <w:spacing w:after="120" w:line="240" w:lineRule="auto"/>
              <w:jc w:val="both"/>
              <w:rPr>
                <w:rFonts w:ascii="Times New Roman" w:eastAsia="Times New Roman" w:hAnsi="Times New Roman" w:cs="Times New Roman"/>
                <w:bCs/>
              </w:rPr>
            </w:pPr>
            <w:r w:rsidRPr="00E02BB9">
              <w:rPr>
                <w:rFonts w:ascii="Times New Roman" w:hAnsi="Times New Roman"/>
                <w:b/>
                <w:bCs/>
                <w:u w:val="single"/>
              </w:rPr>
              <w:t>Ulaganja subjekata financijskog sektora u grupi investi</w:t>
            </w:r>
            <w:r w:rsidRPr="00E02BB9">
              <w:rPr>
                <w:rFonts w:ascii="Times New Roman" w:hAnsi="Times New Roman"/>
                <w:b/>
                <w:bCs/>
                <w:u w:val="single"/>
              </w:rPr>
              <w:t>cijskog društva u mjeri u kojoj ne čine regulatorni kapital subjekta grupe u koji matično društvo ulaže</w:t>
            </w:r>
          </w:p>
          <w:p w14:paraId="6EBDE729" w14:textId="77777777" w:rsidR="00A11402" w:rsidRPr="00E02BB9" w:rsidRDefault="00E02BB9">
            <w:pPr>
              <w:spacing w:after="120" w:line="240" w:lineRule="auto"/>
              <w:jc w:val="both"/>
              <w:rPr>
                <w:rFonts w:ascii="Times New Roman" w:eastAsia="Times New Roman" w:hAnsi="Times New Roman" w:cs="Times New Roman"/>
                <w:bCs/>
              </w:rPr>
            </w:pPr>
            <w:r w:rsidRPr="00E02BB9">
              <w:rPr>
                <w:rFonts w:ascii="Times New Roman" w:hAnsi="Times New Roman"/>
                <w:bCs/>
              </w:rPr>
              <w:t>Članak 8. stavak 3. točka (a) Uredbe (EU) br. 2019/2033</w:t>
            </w:r>
          </w:p>
          <w:p w14:paraId="0659FBF2" w14:textId="77777777" w:rsidR="00A11402" w:rsidRPr="00E02BB9" w:rsidRDefault="00E02BB9">
            <w:pPr>
              <w:spacing w:after="120" w:line="240" w:lineRule="auto"/>
              <w:jc w:val="both"/>
              <w:rPr>
                <w:rFonts w:ascii="Times New Roman" w:eastAsia="Times New Roman" w:hAnsi="Times New Roman" w:cs="Times New Roman"/>
                <w:bCs/>
              </w:rPr>
            </w:pPr>
            <w:r w:rsidRPr="00E02BB9">
              <w:rPr>
                <w:rFonts w:ascii="Times New Roman" w:hAnsi="Times New Roman"/>
                <w:bCs/>
              </w:rPr>
              <w:t>Ovaj redak uključuje ulaganja matičnog društva u mjeri u kojoj ne čine regulatorni kapital subje</w:t>
            </w:r>
            <w:r w:rsidRPr="00E02BB9">
              <w:rPr>
                <w:rFonts w:ascii="Times New Roman" w:hAnsi="Times New Roman"/>
                <w:bCs/>
              </w:rPr>
              <w:t>kta grupe u koji matično društvo ulaže.</w:t>
            </w:r>
          </w:p>
        </w:tc>
      </w:tr>
      <w:tr w:rsidR="00A11402" w:rsidRPr="00E02BB9" w14:paraId="6AF4F0D7" w14:textId="77777777">
        <w:tc>
          <w:tcPr>
            <w:tcW w:w="1129" w:type="dxa"/>
            <w:tcBorders>
              <w:bottom w:val="single" w:sz="4" w:space="0" w:color="auto"/>
            </w:tcBorders>
          </w:tcPr>
          <w:p w14:paraId="701D20A7" w14:textId="77777777" w:rsidR="00A11402" w:rsidRPr="00E02BB9" w:rsidRDefault="00E02BB9">
            <w:pPr>
              <w:spacing w:after="120" w:line="240" w:lineRule="auto"/>
              <w:jc w:val="both"/>
              <w:rPr>
                <w:rFonts w:ascii="Times New Roman" w:eastAsia="Times New Roman" w:hAnsi="Times New Roman" w:cs="Times New Roman"/>
                <w:bCs/>
              </w:rPr>
            </w:pPr>
            <w:r w:rsidRPr="00E02BB9">
              <w:rPr>
                <w:rFonts w:ascii="Times New Roman" w:hAnsi="Times New Roman"/>
                <w:bCs/>
              </w:rPr>
              <w:t>0050</w:t>
            </w:r>
          </w:p>
        </w:tc>
        <w:tc>
          <w:tcPr>
            <w:tcW w:w="7620" w:type="dxa"/>
            <w:tcBorders>
              <w:bottom w:val="single" w:sz="4" w:space="0" w:color="auto"/>
            </w:tcBorders>
          </w:tcPr>
          <w:p w14:paraId="287AA154" w14:textId="77777777" w:rsidR="00A11402" w:rsidRPr="00E02BB9" w:rsidRDefault="00E02BB9">
            <w:pPr>
              <w:spacing w:after="120" w:line="240" w:lineRule="auto"/>
              <w:jc w:val="both"/>
              <w:rPr>
                <w:rFonts w:ascii="Times New Roman" w:eastAsia="Times New Roman" w:hAnsi="Times New Roman" w:cs="Times New Roman"/>
                <w:bCs/>
              </w:rPr>
            </w:pPr>
            <w:r w:rsidRPr="00E02BB9">
              <w:rPr>
                <w:rFonts w:ascii="Times New Roman" w:hAnsi="Times New Roman"/>
                <w:b/>
                <w:bCs/>
                <w:u w:val="single"/>
              </w:rPr>
              <w:t>Podređena potraživanja subjekata financijskog sektora u grupi investicijskog društva</w:t>
            </w:r>
          </w:p>
          <w:p w14:paraId="038BD455" w14:textId="77777777" w:rsidR="00A11402" w:rsidRPr="00E02BB9" w:rsidRDefault="00E02BB9">
            <w:pPr>
              <w:spacing w:after="120" w:line="240" w:lineRule="auto"/>
              <w:jc w:val="both"/>
              <w:rPr>
                <w:rFonts w:ascii="Times New Roman" w:eastAsia="Times New Roman" w:hAnsi="Times New Roman" w:cs="Times New Roman"/>
                <w:bCs/>
              </w:rPr>
            </w:pPr>
            <w:r w:rsidRPr="00E02BB9">
              <w:rPr>
                <w:rFonts w:ascii="Times New Roman" w:hAnsi="Times New Roman"/>
                <w:bCs/>
              </w:rPr>
              <w:t>Članak 8. stavak 3. točka (a) Uredbe (EU) br. 2019/2033</w:t>
            </w:r>
          </w:p>
          <w:p w14:paraId="265D78ED" w14:textId="77777777" w:rsidR="00A11402" w:rsidRPr="00E02BB9" w:rsidRDefault="00E02BB9">
            <w:pPr>
              <w:spacing w:after="120" w:line="240" w:lineRule="auto"/>
              <w:jc w:val="both"/>
              <w:rPr>
                <w:rFonts w:ascii="Times New Roman" w:eastAsia="Times New Roman" w:hAnsi="Times New Roman" w:cs="Times New Roman"/>
                <w:b/>
                <w:bCs/>
                <w:u w:val="single"/>
              </w:rPr>
            </w:pPr>
            <w:r w:rsidRPr="00E02BB9">
              <w:rPr>
                <w:rFonts w:ascii="Times New Roman" w:hAnsi="Times New Roman"/>
                <w:bCs/>
              </w:rPr>
              <w:t xml:space="preserve">Ovaj redak uključuje podređena potraživanja matičnog društva u </w:t>
            </w:r>
            <w:r w:rsidRPr="00E02BB9">
              <w:rPr>
                <w:rFonts w:ascii="Times New Roman" w:hAnsi="Times New Roman"/>
                <w:bCs/>
              </w:rPr>
              <w:t>mjeri u kojoj ne čine regulatorni kapital subjekta grupe u koji matično društvo ulaže</w:t>
            </w:r>
          </w:p>
        </w:tc>
      </w:tr>
      <w:tr w:rsidR="00A11402" w:rsidRPr="00E02BB9" w14:paraId="51184653" w14:textId="77777777">
        <w:tc>
          <w:tcPr>
            <w:tcW w:w="1129" w:type="dxa"/>
            <w:tcBorders>
              <w:top w:val="single" w:sz="4" w:space="0" w:color="auto"/>
              <w:bottom w:val="single" w:sz="4" w:space="0" w:color="auto"/>
            </w:tcBorders>
          </w:tcPr>
          <w:p w14:paraId="51C852A7" w14:textId="77777777" w:rsidR="00A11402" w:rsidRPr="00E02BB9" w:rsidRDefault="00E02BB9">
            <w:pPr>
              <w:spacing w:after="120" w:line="240" w:lineRule="auto"/>
              <w:jc w:val="both"/>
              <w:rPr>
                <w:rFonts w:ascii="Times New Roman" w:eastAsia="Times New Roman" w:hAnsi="Times New Roman" w:cs="Times New Roman"/>
                <w:bCs/>
              </w:rPr>
            </w:pPr>
            <w:r w:rsidRPr="00E02BB9">
              <w:rPr>
                <w:rFonts w:ascii="Times New Roman" w:hAnsi="Times New Roman"/>
                <w:bCs/>
              </w:rPr>
              <w:t>0060</w:t>
            </w:r>
          </w:p>
        </w:tc>
        <w:tc>
          <w:tcPr>
            <w:tcW w:w="7620" w:type="dxa"/>
            <w:tcBorders>
              <w:top w:val="single" w:sz="4" w:space="0" w:color="auto"/>
              <w:bottom w:val="single" w:sz="4" w:space="0" w:color="auto"/>
            </w:tcBorders>
          </w:tcPr>
          <w:p w14:paraId="0D17B5E6" w14:textId="77777777" w:rsidR="00A11402" w:rsidRPr="00E02BB9" w:rsidRDefault="00E02BB9">
            <w:pPr>
              <w:spacing w:after="120" w:line="240" w:lineRule="auto"/>
              <w:jc w:val="both"/>
              <w:rPr>
                <w:rFonts w:ascii="Times New Roman" w:eastAsia="Times New Roman" w:hAnsi="Times New Roman" w:cs="Times New Roman"/>
                <w:b/>
                <w:bCs/>
                <w:u w:val="single"/>
              </w:rPr>
            </w:pPr>
            <w:r w:rsidRPr="00E02BB9">
              <w:rPr>
                <w:rFonts w:ascii="Times New Roman" w:hAnsi="Times New Roman"/>
                <w:b/>
                <w:bCs/>
                <w:u w:val="single"/>
              </w:rPr>
              <w:t>Potencijalne obveze prema subjektima u grupi investicijskog društva</w:t>
            </w:r>
          </w:p>
          <w:p w14:paraId="61A9FB3D" w14:textId="77777777" w:rsidR="00A11402" w:rsidRPr="00E02BB9" w:rsidRDefault="00E02BB9">
            <w:pPr>
              <w:spacing w:after="120" w:line="240" w:lineRule="auto"/>
              <w:jc w:val="both"/>
              <w:rPr>
                <w:rFonts w:ascii="Times New Roman" w:eastAsia="Times New Roman" w:hAnsi="Times New Roman" w:cs="Times New Roman"/>
                <w:bCs/>
              </w:rPr>
            </w:pPr>
            <w:r w:rsidRPr="00E02BB9">
              <w:rPr>
                <w:rFonts w:ascii="Times New Roman" w:hAnsi="Times New Roman"/>
                <w:bCs/>
              </w:rPr>
              <w:t>Članak 8. stavak 3. točka (b) Uredbe (EU) 2019/2033</w:t>
            </w:r>
          </w:p>
        </w:tc>
      </w:tr>
      <w:tr w:rsidR="00A11402" w:rsidRPr="00E02BB9" w14:paraId="6F88666A" w14:textId="77777777">
        <w:tc>
          <w:tcPr>
            <w:tcW w:w="1129" w:type="dxa"/>
            <w:tcBorders>
              <w:top w:val="single" w:sz="4" w:space="0" w:color="auto"/>
            </w:tcBorders>
          </w:tcPr>
          <w:p w14:paraId="2B4EBEF6" w14:textId="77777777" w:rsidR="00A11402" w:rsidRPr="00E02BB9" w:rsidRDefault="00E02BB9">
            <w:pPr>
              <w:spacing w:after="120" w:line="240" w:lineRule="auto"/>
              <w:jc w:val="both"/>
              <w:rPr>
                <w:rFonts w:ascii="Times New Roman" w:eastAsia="Times New Roman" w:hAnsi="Times New Roman" w:cs="Times New Roman"/>
                <w:bCs/>
              </w:rPr>
            </w:pPr>
            <w:r w:rsidRPr="00E02BB9">
              <w:rPr>
                <w:rFonts w:ascii="Times New Roman" w:hAnsi="Times New Roman"/>
                <w:bCs/>
              </w:rPr>
              <w:t>0070</w:t>
            </w:r>
          </w:p>
        </w:tc>
        <w:tc>
          <w:tcPr>
            <w:tcW w:w="7620" w:type="dxa"/>
            <w:tcBorders>
              <w:top w:val="single" w:sz="4" w:space="0" w:color="auto"/>
            </w:tcBorders>
          </w:tcPr>
          <w:p w14:paraId="0700B0EC" w14:textId="77777777" w:rsidR="00A11402" w:rsidRPr="00E02BB9" w:rsidRDefault="00E02BB9">
            <w:pPr>
              <w:spacing w:after="120" w:line="240" w:lineRule="auto"/>
              <w:jc w:val="both"/>
              <w:rPr>
                <w:rFonts w:ascii="Times New Roman" w:eastAsia="Times New Roman" w:hAnsi="Times New Roman" w:cs="Times New Roman"/>
                <w:b/>
                <w:bCs/>
                <w:u w:val="single"/>
              </w:rPr>
            </w:pPr>
            <w:r w:rsidRPr="00E02BB9">
              <w:rPr>
                <w:rFonts w:ascii="Times New Roman" w:hAnsi="Times New Roman"/>
                <w:b/>
                <w:bCs/>
                <w:u w:val="single"/>
              </w:rPr>
              <w:t>Ukupni kapitalni zahtjevi društava kće</w:t>
            </w:r>
            <w:r w:rsidRPr="00E02BB9">
              <w:rPr>
                <w:rFonts w:ascii="Times New Roman" w:hAnsi="Times New Roman"/>
                <w:b/>
                <w:bCs/>
                <w:u w:val="single"/>
              </w:rPr>
              <w:t>ri</w:t>
            </w:r>
          </w:p>
          <w:p w14:paraId="40900123" w14:textId="77777777" w:rsidR="00A11402" w:rsidRPr="00E02BB9" w:rsidRDefault="00E02BB9">
            <w:pPr>
              <w:spacing w:after="120" w:line="240" w:lineRule="auto"/>
              <w:jc w:val="both"/>
              <w:rPr>
                <w:rFonts w:ascii="Times New Roman" w:eastAsia="Times New Roman" w:hAnsi="Times New Roman" w:cs="Times New Roman"/>
                <w:bCs/>
              </w:rPr>
            </w:pPr>
            <w:r w:rsidRPr="00E02BB9">
              <w:rPr>
                <w:rFonts w:ascii="Times New Roman" w:hAnsi="Times New Roman"/>
                <w:bCs/>
              </w:rPr>
              <w:t>U slučaju primjene članka 8. stavka 4. Uredbe (EU) 2019/2033</w:t>
            </w:r>
          </w:p>
        </w:tc>
      </w:tr>
    </w:tbl>
    <w:p w14:paraId="5ECDF461" w14:textId="77777777" w:rsidR="00A11402" w:rsidRPr="00E02BB9" w:rsidRDefault="00E02BB9">
      <w:pPr>
        <w:pStyle w:val="Instructionsberschrift2"/>
        <w:ind w:left="357" w:hanging="357"/>
        <w:rPr>
          <w:rFonts w:ascii="Times New Roman" w:hAnsi="Times New Roman" w:cs="Times New Roman"/>
          <w:sz w:val="24"/>
        </w:rPr>
      </w:pPr>
      <w:bookmarkStart w:id="21" w:name="_Toc88141059"/>
      <w:bookmarkEnd w:id="2"/>
      <w:bookmarkEnd w:id="3"/>
      <w:bookmarkEnd w:id="4"/>
      <w:bookmarkEnd w:id="5"/>
      <w:r w:rsidRPr="00E02BB9">
        <w:rPr>
          <w:rFonts w:ascii="Times New Roman" w:hAnsi="Times New Roman"/>
          <w:sz w:val="24"/>
          <w:u w:val="none"/>
        </w:rPr>
        <w:t>1.4.</w:t>
      </w:r>
      <w:r w:rsidRPr="00E02BB9">
        <w:rPr>
          <w:rFonts w:ascii="Times New Roman" w:hAnsi="Times New Roman"/>
          <w:sz w:val="24"/>
        </w:rPr>
        <w:t xml:space="preserve"> IF 11.03 INFORMACIJE O DRUŠTVIMA KĆERIMA (IF11.3)</w:t>
      </w:r>
      <w:bookmarkEnd w:id="21"/>
    </w:p>
    <w:p w14:paraId="1E252174" w14:textId="77777777" w:rsidR="00A11402" w:rsidRPr="00E02BB9" w:rsidRDefault="00E02BB9">
      <w:pPr>
        <w:spacing w:line="256" w:lineRule="auto"/>
        <w:ind w:left="1224" w:hanging="504"/>
        <w:jc w:val="both"/>
        <w:rPr>
          <w:rFonts w:ascii="Times New Roman" w:hAnsi="Times New Roman" w:cs="Times New Roman"/>
          <w:sz w:val="24"/>
        </w:rPr>
      </w:pPr>
      <w:r w:rsidRPr="00E02BB9">
        <w:rPr>
          <w:rFonts w:ascii="Times New Roman" w:hAnsi="Times New Roman" w:cs="Times New Roman"/>
          <w:sz w:val="24"/>
        </w:rPr>
        <w:t>10.</w:t>
      </w:r>
      <w:r w:rsidRPr="00E02BB9">
        <w:rPr>
          <w:rFonts w:ascii="Times New Roman" w:hAnsi="Times New Roman" w:cs="Times New Roman"/>
          <w:sz w:val="24"/>
        </w:rPr>
        <w:tab/>
      </w:r>
      <w:r w:rsidRPr="00E02BB9">
        <w:rPr>
          <w:rFonts w:ascii="Times New Roman" w:hAnsi="Times New Roman"/>
          <w:sz w:val="24"/>
        </w:rPr>
        <w:t xml:space="preserve">U ovom obrascu navode se svi subjekti na koje se primjenjuje kriterij kapitala grupe. To uključuje i matično društvo same </w:t>
      </w:r>
      <w:r w:rsidRPr="00E02BB9">
        <w:rPr>
          <w:rFonts w:ascii="Times New Roman" w:hAnsi="Times New Roman"/>
          <w:sz w:val="24"/>
        </w:rPr>
        <w:t>grupe.</w:t>
      </w:r>
    </w:p>
    <w:p w14:paraId="11812E6B" w14:textId="77777777" w:rsidR="00A11402" w:rsidRPr="00E02BB9" w:rsidRDefault="00E02BB9">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22" w:name="_Toc88141060"/>
      <w:r w:rsidRPr="00E02BB9">
        <w:rPr>
          <w:rFonts w:ascii="Times New Roman" w:hAnsi="Times New Roman"/>
          <w:sz w:val="24"/>
          <w:szCs w:val="24"/>
        </w:rPr>
        <w:t>1.4.1</w:t>
      </w:r>
      <w:r w:rsidRPr="00E02BB9">
        <w:rPr>
          <w:rFonts w:ascii="Times New Roman" w:hAnsi="Times New Roman"/>
          <w:sz w:val="24"/>
          <w:szCs w:val="24"/>
        </w:rPr>
        <w:tab/>
      </w:r>
      <w:r w:rsidRPr="00E02BB9">
        <w:rPr>
          <w:rFonts w:ascii="Times New Roman" w:hAnsi="Times New Roman"/>
          <w:sz w:val="24"/>
          <w:szCs w:val="24"/>
          <w:u w:val="single"/>
        </w:rPr>
        <w:t>Upute za specifične pozicije</w:t>
      </w:r>
      <w:bookmarkEnd w:id="22"/>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A11402" w:rsidRPr="00E02BB9" w14:paraId="0C1043EA" w14:textId="77777777">
        <w:tc>
          <w:tcPr>
            <w:tcW w:w="1129" w:type="dxa"/>
            <w:shd w:val="clear" w:color="auto" w:fill="D9D9D9"/>
          </w:tcPr>
          <w:p w14:paraId="23DE7918" w14:textId="77777777" w:rsidR="00A11402" w:rsidRPr="00E02BB9" w:rsidRDefault="00E02BB9">
            <w:pPr>
              <w:spacing w:after="120" w:line="240" w:lineRule="auto"/>
              <w:jc w:val="both"/>
              <w:rPr>
                <w:rFonts w:ascii="Times New Roman" w:eastAsia="Times New Roman" w:hAnsi="Times New Roman" w:cs="Times New Roman"/>
                <w:bCs/>
              </w:rPr>
            </w:pPr>
            <w:r w:rsidRPr="00E02BB9">
              <w:rPr>
                <w:rFonts w:ascii="Times New Roman" w:hAnsi="Times New Roman"/>
              </w:rPr>
              <w:t>Stupci</w:t>
            </w:r>
          </w:p>
        </w:tc>
        <w:tc>
          <w:tcPr>
            <w:tcW w:w="7620" w:type="dxa"/>
            <w:shd w:val="clear" w:color="auto" w:fill="D9D9D9"/>
          </w:tcPr>
          <w:p w14:paraId="28D8465E" w14:textId="77777777" w:rsidR="00A11402" w:rsidRPr="00E02BB9" w:rsidRDefault="00E02BB9">
            <w:pPr>
              <w:spacing w:after="120" w:line="240" w:lineRule="auto"/>
              <w:jc w:val="both"/>
              <w:rPr>
                <w:rFonts w:ascii="Times New Roman" w:eastAsia="Times New Roman" w:hAnsi="Times New Roman" w:cs="Times New Roman"/>
                <w:bCs/>
              </w:rPr>
            </w:pPr>
            <w:r w:rsidRPr="00E02BB9">
              <w:rPr>
                <w:rFonts w:ascii="Times New Roman" w:hAnsi="Times New Roman"/>
              </w:rPr>
              <w:t>Pravna osnova i upute</w:t>
            </w:r>
          </w:p>
        </w:tc>
      </w:tr>
      <w:tr w:rsidR="00A11402" w:rsidRPr="00E02BB9" w14:paraId="02FD10D8" w14:textId="77777777">
        <w:tc>
          <w:tcPr>
            <w:tcW w:w="1129" w:type="dxa"/>
          </w:tcPr>
          <w:p w14:paraId="670A3196" w14:textId="77777777" w:rsidR="00A11402" w:rsidRPr="00E02BB9" w:rsidRDefault="00E02BB9">
            <w:pPr>
              <w:spacing w:after="120" w:line="240" w:lineRule="auto"/>
              <w:jc w:val="both"/>
              <w:rPr>
                <w:rFonts w:ascii="Times New Roman" w:eastAsia="Times New Roman" w:hAnsi="Times New Roman" w:cs="Times New Roman"/>
                <w:bCs/>
              </w:rPr>
            </w:pPr>
            <w:r w:rsidRPr="00E02BB9">
              <w:rPr>
                <w:rFonts w:ascii="Times New Roman" w:hAnsi="Times New Roman"/>
                <w:bCs/>
              </w:rPr>
              <w:t>0010</w:t>
            </w:r>
          </w:p>
        </w:tc>
        <w:tc>
          <w:tcPr>
            <w:tcW w:w="7620" w:type="dxa"/>
          </w:tcPr>
          <w:p w14:paraId="0D1D2F92" w14:textId="77777777" w:rsidR="00A11402" w:rsidRPr="00E02BB9" w:rsidRDefault="00E02BB9">
            <w:pPr>
              <w:spacing w:after="120" w:line="240" w:lineRule="auto"/>
              <w:jc w:val="both"/>
              <w:rPr>
                <w:rFonts w:ascii="Times New Roman" w:eastAsia="Times New Roman" w:hAnsi="Times New Roman" w:cs="Times New Roman"/>
                <w:b/>
                <w:bCs/>
                <w:u w:val="single"/>
              </w:rPr>
            </w:pPr>
            <w:r w:rsidRPr="00E02BB9">
              <w:rPr>
                <w:rFonts w:ascii="Times New Roman" w:hAnsi="Times New Roman"/>
                <w:b/>
                <w:bCs/>
                <w:u w:val="single"/>
              </w:rPr>
              <w:t>Oznaka</w:t>
            </w:r>
          </w:p>
          <w:p w14:paraId="33B6B2FB" w14:textId="77777777" w:rsidR="00A11402" w:rsidRPr="00E02BB9" w:rsidRDefault="00E02BB9">
            <w:pPr>
              <w:spacing w:after="120" w:line="240" w:lineRule="auto"/>
              <w:jc w:val="both"/>
              <w:rPr>
                <w:rFonts w:ascii="Times New Roman" w:eastAsia="Times New Roman" w:hAnsi="Times New Roman" w:cs="Times New Roman"/>
                <w:b/>
                <w:bCs/>
                <w:u w:val="single"/>
              </w:rPr>
            </w:pPr>
            <w:r w:rsidRPr="00E02BB9">
              <w:rPr>
                <w:rFonts w:ascii="Times New Roman" w:hAnsi="Times New Roman"/>
                <w:bCs/>
              </w:rPr>
              <w:t xml:space="preserve">Ta je oznaka dio jedinstvenog identifikatora retka za svaki subjekt o kojem se izvješćuje. Za investicijska društva i društva za osiguranje, to je oznaka LEI. Za druge </w:t>
            </w:r>
            <w:r w:rsidRPr="00E02BB9">
              <w:rPr>
                <w:rFonts w:ascii="Times New Roman" w:hAnsi="Times New Roman"/>
                <w:bCs/>
              </w:rPr>
              <w:t>subjekte to je oznaka LEI ili, ako nije dostupna, nacionalna oznaka. Oznaka je jedinstvena i cijelo se vrijeme dosljedno koristi u svim obrascima. Oznaka uvijek mora imati vrijednost.</w:t>
            </w:r>
          </w:p>
        </w:tc>
      </w:tr>
      <w:tr w:rsidR="00A11402" w:rsidRPr="00E02BB9" w14:paraId="26307834" w14:textId="77777777">
        <w:tc>
          <w:tcPr>
            <w:tcW w:w="1129" w:type="dxa"/>
          </w:tcPr>
          <w:p w14:paraId="417BD0C9" w14:textId="77777777" w:rsidR="00A11402" w:rsidRPr="00E02BB9" w:rsidRDefault="00E02BB9">
            <w:pPr>
              <w:spacing w:after="120" w:line="240" w:lineRule="auto"/>
              <w:jc w:val="both"/>
              <w:rPr>
                <w:rFonts w:ascii="Times New Roman" w:eastAsia="Times New Roman" w:hAnsi="Times New Roman" w:cs="Times New Roman"/>
                <w:bCs/>
              </w:rPr>
            </w:pPr>
            <w:r w:rsidRPr="00E02BB9">
              <w:rPr>
                <w:rFonts w:ascii="Times New Roman" w:hAnsi="Times New Roman"/>
                <w:bCs/>
              </w:rPr>
              <w:t>0020</w:t>
            </w:r>
          </w:p>
        </w:tc>
        <w:tc>
          <w:tcPr>
            <w:tcW w:w="7620" w:type="dxa"/>
          </w:tcPr>
          <w:p w14:paraId="46059034" w14:textId="77777777" w:rsidR="00A11402" w:rsidRPr="00E02BB9" w:rsidRDefault="00E02BB9">
            <w:pPr>
              <w:spacing w:after="120" w:line="240" w:lineRule="auto"/>
              <w:jc w:val="both"/>
              <w:rPr>
                <w:rFonts w:ascii="Times New Roman" w:eastAsia="Times New Roman" w:hAnsi="Times New Roman" w:cs="Times New Roman"/>
                <w:b/>
                <w:bCs/>
                <w:u w:val="single"/>
              </w:rPr>
            </w:pPr>
            <w:r w:rsidRPr="00E02BB9">
              <w:rPr>
                <w:rFonts w:ascii="Times New Roman" w:hAnsi="Times New Roman"/>
                <w:b/>
                <w:bCs/>
                <w:u w:val="single"/>
              </w:rPr>
              <w:t>Vrsta oznake</w:t>
            </w:r>
          </w:p>
          <w:p w14:paraId="5E79FBEC" w14:textId="77777777" w:rsidR="00A11402" w:rsidRPr="00E02BB9" w:rsidRDefault="00E02BB9">
            <w:pPr>
              <w:spacing w:after="120" w:line="240" w:lineRule="auto"/>
              <w:jc w:val="both"/>
              <w:rPr>
                <w:rFonts w:ascii="Times New Roman" w:eastAsia="Times New Roman" w:hAnsi="Times New Roman" w:cs="Times New Roman"/>
                <w:bCs/>
              </w:rPr>
            </w:pPr>
            <w:r w:rsidRPr="00E02BB9">
              <w:rPr>
                <w:rFonts w:ascii="Times New Roman" w:hAnsi="Times New Roman"/>
                <w:bCs/>
              </w:rPr>
              <w:t>Subjekt koji izvješćuje za vrstu oznake iskazanu u st</w:t>
            </w:r>
            <w:r w:rsidRPr="00E02BB9">
              <w:rPr>
                <w:rFonts w:ascii="Times New Roman" w:hAnsi="Times New Roman"/>
                <w:bCs/>
              </w:rPr>
              <w:t>upcu 0010 navodi „oznaka LEI” ili „nacionalna oznaka”.</w:t>
            </w:r>
          </w:p>
          <w:p w14:paraId="08C26F32" w14:textId="77777777" w:rsidR="00A11402" w:rsidRPr="00E02BB9" w:rsidRDefault="00E02BB9">
            <w:pPr>
              <w:spacing w:after="120" w:line="240" w:lineRule="auto"/>
              <w:jc w:val="both"/>
              <w:rPr>
                <w:rFonts w:ascii="Times New Roman" w:eastAsia="Times New Roman" w:hAnsi="Times New Roman" w:cs="Times New Roman"/>
                <w:b/>
                <w:bCs/>
                <w:u w:val="single"/>
              </w:rPr>
            </w:pPr>
            <w:r w:rsidRPr="00E02BB9">
              <w:rPr>
                <w:rFonts w:ascii="Times New Roman" w:hAnsi="Times New Roman"/>
                <w:bCs/>
              </w:rPr>
              <w:t>Uvijek se navodi vrsta oznake.</w:t>
            </w:r>
          </w:p>
        </w:tc>
      </w:tr>
      <w:tr w:rsidR="00A11402" w:rsidRPr="00E02BB9" w14:paraId="4D82ED56" w14:textId="77777777">
        <w:tc>
          <w:tcPr>
            <w:tcW w:w="1129" w:type="dxa"/>
          </w:tcPr>
          <w:p w14:paraId="2C802EB8" w14:textId="77777777" w:rsidR="00A11402" w:rsidRPr="00E02BB9" w:rsidRDefault="00E02BB9">
            <w:pPr>
              <w:spacing w:after="120" w:line="240" w:lineRule="auto"/>
              <w:jc w:val="both"/>
              <w:rPr>
                <w:rFonts w:ascii="Times New Roman" w:eastAsia="Times New Roman" w:hAnsi="Times New Roman" w:cs="Times New Roman"/>
                <w:bCs/>
              </w:rPr>
            </w:pPr>
            <w:r w:rsidRPr="00E02BB9">
              <w:rPr>
                <w:rFonts w:ascii="Times New Roman" w:hAnsi="Times New Roman"/>
                <w:bCs/>
              </w:rPr>
              <w:t>0030</w:t>
            </w:r>
          </w:p>
        </w:tc>
        <w:tc>
          <w:tcPr>
            <w:tcW w:w="7620" w:type="dxa"/>
          </w:tcPr>
          <w:p w14:paraId="4C8D1BCA" w14:textId="77777777" w:rsidR="00A11402" w:rsidRPr="00E02BB9" w:rsidRDefault="00E02BB9">
            <w:pPr>
              <w:spacing w:after="120" w:line="240" w:lineRule="auto"/>
              <w:jc w:val="both"/>
              <w:rPr>
                <w:rFonts w:ascii="Times New Roman" w:eastAsia="Times New Roman" w:hAnsi="Times New Roman" w:cs="Times New Roman"/>
                <w:b/>
                <w:bCs/>
                <w:u w:val="single"/>
              </w:rPr>
            </w:pPr>
            <w:r w:rsidRPr="00E02BB9">
              <w:rPr>
                <w:rFonts w:ascii="Times New Roman" w:hAnsi="Times New Roman"/>
                <w:b/>
                <w:bCs/>
                <w:u w:val="single"/>
              </w:rPr>
              <w:t>Naziv poduzeća</w:t>
            </w:r>
          </w:p>
          <w:p w14:paraId="5C6FF125" w14:textId="77777777" w:rsidR="00A11402" w:rsidRPr="00E02BB9" w:rsidRDefault="00E02BB9">
            <w:pPr>
              <w:spacing w:after="120" w:line="240" w:lineRule="auto"/>
              <w:jc w:val="both"/>
              <w:rPr>
                <w:rFonts w:ascii="Times New Roman" w:eastAsia="Times New Roman" w:hAnsi="Times New Roman" w:cs="Times New Roman"/>
                <w:b/>
                <w:bCs/>
                <w:u w:val="single"/>
              </w:rPr>
            </w:pPr>
            <w:r w:rsidRPr="00E02BB9">
              <w:rPr>
                <w:rStyle w:val="InstructionsTabelleText"/>
                <w:rFonts w:ascii="Times New Roman" w:hAnsi="Times New Roman"/>
                <w:sz w:val="22"/>
              </w:rPr>
              <w:t>Naziv poduzeća u opsegu konsolidacije</w:t>
            </w:r>
          </w:p>
        </w:tc>
      </w:tr>
      <w:tr w:rsidR="00A11402" w:rsidRPr="00E02BB9" w14:paraId="0F3F8D21" w14:textId="77777777">
        <w:tc>
          <w:tcPr>
            <w:tcW w:w="1129" w:type="dxa"/>
          </w:tcPr>
          <w:p w14:paraId="32D7CE5D" w14:textId="77777777" w:rsidR="00A11402" w:rsidRPr="00E02BB9" w:rsidRDefault="00E02BB9">
            <w:pPr>
              <w:spacing w:after="120" w:line="240" w:lineRule="auto"/>
              <w:jc w:val="both"/>
              <w:rPr>
                <w:rFonts w:ascii="Times New Roman" w:eastAsia="Times New Roman" w:hAnsi="Times New Roman" w:cs="Times New Roman"/>
                <w:bCs/>
              </w:rPr>
            </w:pPr>
            <w:r w:rsidRPr="00E02BB9">
              <w:rPr>
                <w:rFonts w:ascii="Times New Roman" w:hAnsi="Times New Roman"/>
                <w:bCs/>
              </w:rPr>
              <w:t>0040</w:t>
            </w:r>
          </w:p>
        </w:tc>
        <w:tc>
          <w:tcPr>
            <w:tcW w:w="7620" w:type="dxa"/>
          </w:tcPr>
          <w:p w14:paraId="1C14A2A0" w14:textId="77777777" w:rsidR="00A11402" w:rsidRPr="00E02BB9" w:rsidRDefault="00E02BB9">
            <w:pPr>
              <w:spacing w:after="120" w:line="240" w:lineRule="auto"/>
              <w:jc w:val="both"/>
              <w:rPr>
                <w:rFonts w:ascii="Times New Roman" w:eastAsia="Times New Roman" w:hAnsi="Times New Roman" w:cs="Times New Roman"/>
                <w:b/>
                <w:bCs/>
              </w:rPr>
            </w:pPr>
            <w:r w:rsidRPr="00E02BB9">
              <w:rPr>
                <w:rFonts w:ascii="Times New Roman" w:hAnsi="Times New Roman"/>
                <w:b/>
                <w:bCs/>
              </w:rPr>
              <w:t>Matično društvo/društvo kći</w:t>
            </w:r>
          </w:p>
          <w:p w14:paraId="5EAF899F" w14:textId="77777777" w:rsidR="00A11402" w:rsidRPr="00E02BB9" w:rsidRDefault="00E02BB9">
            <w:pPr>
              <w:spacing w:after="120" w:line="240" w:lineRule="auto"/>
              <w:jc w:val="both"/>
              <w:rPr>
                <w:rFonts w:ascii="Times New Roman" w:eastAsia="Times New Roman" w:hAnsi="Times New Roman" w:cs="Times New Roman"/>
                <w:bCs/>
              </w:rPr>
            </w:pPr>
            <w:r w:rsidRPr="00E02BB9">
              <w:rPr>
                <w:rFonts w:ascii="Times New Roman" w:hAnsi="Times New Roman"/>
                <w:bCs/>
              </w:rPr>
              <w:t xml:space="preserve">Navodi se je li subjekt iskazan u retku matično društvo grupe ili </w:t>
            </w:r>
            <w:r w:rsidRPr="00E02BB9">
              <w:rPr>
                <w:rFonts w:ascii="Times New Roman" w:hAnsi="Times New Roman"/>
                <w:bCs/>
              </w:rPr>
              <w:t>društvo kći.</w:t>
            </w:r>
          </w:p>
        </w:tc>
      </w:tr>
      <w:tr w:rsidR="00A11402" w:rsidRPr="00E02BB9" w14:paraId="54E6A50C" w14:textId="77777777">
        <w:tc>
          <w:tcPr>
            <w:tcW w:w="1129" w:type="dxa"/>
          </w:tcPr>
          <w:p w14:paraId="1415E1D7" w14:textId="77777777" w:rsidR="00A11402" w:rsidRPr="00E02BB9" w:rsidRDefault="00E02BB9">
            <w:pPr>
              <w:spacing w:after="120" w:line="240" w:lineRule="auto"/>
              <w:jc w:val="both"/>
              <w:rPr>
                <w:rFonts w:ascii="Times New Roman" w:eastAsia="Times New Roman" w:hAnsi="Times New Roman" w:cs="Times New Roman"/>
                <w:bCs/>
              </w:rPr>
            </w:pPr>
            <w:r w:rsidRPr="00E02BB9">
              <w:rPr>
                <w:rFonts w:ascii="Times New Roman" w:hAnsi="Times New Roman"/>
                <w:bCs/>
              </w:rPr>
              <w:t>0050</w:t>
            </w:r>
          </w:p>
        </w:tc>
        <w:tc>
          <w:tcPr>
            <w:tcW w:w="7620" w:type="dxa"/>
          </w:tcPr>
          <w:p w14:paraId="2685A716" w14:textId="77777777" w:rsidR="00A11402" w:rsidRPr="00E02BB9" w:rsidRDefault="00E02BB9">
            <w:pPr>
              <w:spacing w:after="120" w:line="240" w:lineRule="auto"/>
              <w:jc w:val="both"/>
              <w:rPr>
                <w:rFonts w:ascii="Times New Roman" w:eastAsia="Times New Roman" w:hAnsi="Times New Roman" w:cs="Times New Roman"/>
                <w:b/>
                <w:bCs/>
                <w:u w:val="single"/>
              </w:rPr>
            </w:pPr>
            <w:r w:rsidRPr="00E02BB9">
              <w:rPr>
                <w:rFonts w:ascii="Times New Roman" w:hAnsi="Times New Roman"/>
                <w:b/>
                <w:bCs/>
                <w:u w:val="single"/>
              </w:rPr>
              <w:t>Zemlja</w:t>
            </w:r>
          </w:p>
          <w:p w14:paraId="7067B062" w14:textId="77777777" w:rsidR="00A11402" w:rsidRPr="00E02BB9" w:rsidRDefault="00E02BB9">
            <w:pPr>
              <w:autoSpaceDE w:val="0"/>
              <w:autoSpaceDN w:val="0"/>
              <w:spacing w:before="40" w:after="40" w:line="240" w:lineRule="auto"/>
              <w:rPr>
                <w:rFonts w:ascii="Times New Roman" w:eastAsia="Times New Roman" w:hAnsi="Times New Roman" w:cs="Times New Roman"/>
                <w:b/>
                <w:bCs/>
                <w:u w:val="single"/>
              </w:rPr>
            </w:pPr>
            <w:r w:rsidRPr="00E02BB9">
              <w:rPr>
                <w:rStyle w:val="InstructionsTabelleText"/>
                <w:rFonts w:ascii="Times New Roman" w:hAnsi="Times New Roman"/>
                <w:sz w:val="22"/>
              </w:rPr>
              <w:t>Navodi se država u kojoj se nalazi društvo kći.</w:t>
            </w:r>
          </w:p>
        </w:tc>
      </w:tr>
      <w:tr w:rsidR="00A11402" w:rsidRPr="00E02BB9" w14:paraId="12D4518A" w14:textId="77777777">
        <w:tc>
          <w:tcPr>
            <w:tcW w:w="1129" w:type="dxa"/>
          </w:tcPr>
          <w:p w14:paraId="2F56AA88" w14:textId="77777777" w:rsidR="00A11402" w:rsidRPr="00E02BB9" w:rsidRDefault="00E02BB9">
            <w:pPr>
              <w:spacing w:after="120" w:line="240" w:lineRule="auto"/>
              <w:jc w:val="both"/>
              <w:rPr>
                <w:rFonts w:ascii="Times New Roman" w:eastAsia="Times New Roman" w:hAnsi="Times New Roman" w:cs="Times New Roman"/>
                <w:bCs/>
              </w:rPr>
            </w:pPr>
            <w:r w:rsidRPr="00E02BB9">
              <w:rPr>
                <w:rFonts w:ascii="Times New Roman" w:hAnsi="Times New Roman"/>
                <w:bCs/>
              </w:rPr>
              <w:t>0060 – 0100</w:t>
            </w:r>
          </w:p>
        </w:tc>
        <w:tc>
          <w:tcPr>
            <w:tcW w:w="7620" w:type="dxa"/>
          </w:tcPr>
          <w:p w14:paraId="2AD8EFD6" w14:textId="77777777" w:rsidR="00A11402" w:rsidRPr="00E02BB9" w:rsidRDefault="00E02BB9">
            <w:pPr>
              <w:spacing w:after="120" w:line="240" w:lineRule="auto"/>
              <w:jc w:val="both"/>
              <w:rPr>
                <w:rFonts w:ascii="Times New Roman" w:eastAsia="Times New Roman" w:hAnsi="Times New Roman" w:cs="Times New Roman"/>
                <w:b/>
                <w:bCs/>
                <w:u w:val="single"/>
              </w:rPr>
            </w:pPr>
            <w:r w:rsidRPr="00E02BB9">
              <w:rPr>
                <w:rFonts w:ascii="Times New Roman" w:hAnsi="Times New Roman"/>
                <w:b/>
                <w:bCs/>
                <w:u w:val="single"/>
              </w:rPr>
              <w:t>Ulaganja matičnog društva</w:t>
            </w:r>
          </w:p>
          <w:p w14:paraId="5F75A2B5" w14:textId="77777777" w:rsidR="00A11402" w:rsidRPr="00E02BB9" w:rsidRDefault="00E02BB9">
            <w:pPr>
              <w:spacing w:after="120" w:line="240" w:lineRule="auto"/>
              <w:jc w:val="both"/>
              <w:rPr>
                <w:rFonts w:ascii="Times New Roman" w:eastAsia="Times New Roman" w:hAnsi="Times New Roman" w:cs="Times New Roman"/>
                <w:bCs/>
              </w:rPr>
            </w:pPr>
            <w:r w:rsidRPr="00E02BB9">
              <w:rPr>
                <w:rFonts w:ascii="Times New Roman" w:hAnsi="Times New Roman"/>
                <w:bCs/>
              </w:rPr>
              <w:lastRenderedPageBreak/>
              <w:t>Članak 8. stavak 3. točka (a) Uredbe (EU) br. 2019/2033</w:t>
            </w:r>
          </w:p>
          <w:p w14:paraId="3EEFDBE9" w14:textId="77777777" w:rsidR="00A11402" w:rsidRPr="00E02BB9" w:rsidRDefault="00E02BB9">
            <w:pPr>
              <w:spacing w:after="120" w:line="240" w:lineRule="auto"/>
              <w:jc w:val="both"/>
              <w:rPr>
                <w:rFonts w:ascii="Times New Roman" w:eastAsia="Times New Roman" w:hAnsi="Times New Roman" w:cs="Times New Roman"/>
                <w:b/>
                <w:bCs/>
                <w:u w:val="single"/>
              </w:rPr>
            </w:pPr>
            <w:r w:rsidRPr="00E02BB9">
              <w:rPr>
                <w:rFonts w:ascii="Times New Roman" w:hAnsi="Times New Roman"/>
                <w:bCs/>
              </w:rPr>
              <w:t>U ovom se odjeljku iskazuju ulaganja matičnog društva u subjekte grupe.</w:t>
            </w:r>
          </w:p>
        </w:tc>
      </w:tr>
      <w:tr w:rsidR="00A11402" w:rsidRPr="00E02BB9" w14:paraId="0E705B36" w14:textId="77777777">
        <w:tc>
          <w:tcPr>
            <w:tcW w:w="1129" w:type="dxa"/>
            <w:tcBorders>
              <w:top w:val="single" w:sz="4" w:space="0" w:color="auto"/>
              <w:left w:val="single" w:sz="4" w:space="0" w:color="auto"/>
              <w:bottom w:val="single" w:sz="4" w:space="0" w:color="auto"/>
              <w:right w:val="single" w:sz="4" w:space="0" w:color="auto"/>
            </w:tcBorders>
          </w:tcPr>
          <w:p w14:paraId="7648D114" w14:textId="77777777" w:rsidR="00A11402" w:rsidRPr="00E02BB9" w:rsidRDefault="00E02BB9">
            <w:pPr>
              <w:spacing w:after="120" w:line="240" w:lineRule="auto"/>
              <w:jc w:val="both"/>
              <w:rPr>
                <w:rFonts w:ascii="Times New Roman" w:eastAsia="Times New Roman" w:hAnsi="Times New Roman" w:cs="Times New Roman"/>
                <w:bCs/>
              </w:rPr>
            </w:pPr>
            <w:r w:rsidRPr="00E02BB9">
              <w:rPr>
                <w:rFonts w:ascii="Times New Roman" w:hAnsi="Times New Roman"/>
                <w:bCs/>
              </w:rPr>
              <w:lastRenderedPageBreak/>
              <w:t>0060</w:t>
            </w:r>
          </w:p>
        </w:tc>
        <w:tc>
          <w:tcPr>
            <w:tcW w:w="7620" w:type="dxa"/>
            <w:tcBorders>
              <w:top w:val="single" w:sz="4" w:space="0" w:color="auto"/>
              <w:left w:val="single" w:sz="4" w:space="0" w:color="auto"/>
              <w:bottom w:val="single" w:sz="4" w:space="0" w:color="auto"/>
              <w:right w:val="single" w:sz="4" w:space="0" w:color="auto"/>
            </w:tcBorders>
          </w:tcPr>
          <w:p w14:paraId="6289E413" w14:textId="77777777" w:rsidR="00A11402" w:rsidRPr="00E02BB9" w:rsidRDefault="00E02BB9">
            <w:pPr>
              <w:spacing w:after="120" w:line="240" w:lineRule="auto"/>
              <w:jc w:val="both"/>
              <w:rPr>
                <w:rFonts w:ascii="Times New Roman" w:eastAsia="Times New Roman" w:hAnsi="Times New Roman" w:cs="Times New Roman"/>
                <w:bCs/>
              </w:rPr>
            </w:pPr>
            <w:r w:rsidRPr="00E02BB9">
              <w:rPr>
                <w:rFonts w:ascii="Times New Roman" w:hAnsi="Times New Roman"/>
                <w:b/>
                <w:bCs/>
                <w:u w:val="single"/>
              </w:rPr>
              <w:t>Redovni osnovni kapital</w:t>
            </w:r>
          </w:p>
          <w:p w14:paraId="5EFF97D3" w14:textId="77777777" w:rsidR="00A11402" w:rsidRPr="00E02BB9" w:rsidRDefault="00E02BB9">
            <w:pPr>
              <w:spacing w:after="120" w:line="240" w:lineRule="auto"/>
              <w:jc w:val="both"/>
              <w:rPr>
                <w:rFonts w:ascii="Times New Roman" w:eastAsia="Times New Roman" w:hAnsi="Times New Roman" w:cs="Times New Roman"/>
                <w:b/>
                <w:bCs/>
                <w:u w:val="single"/>
              </w:rPr>
            </w:pPr>
            <w:r w:rsidRPr="00E02BB9">
              <w:rPr>
                <w:rFonts w:ascii="Times New Roman" w:hAnsi="Times New Roman"/>
                <w:bCs/>
              </w:rPr>
              <w:t>Članak 8. stavak 3. točka (a) Uredbe (EU) 2019/2033 u vezi s člankom 36. stavkom 1. točkom</w:t>
            </w:r>
            <w:r w:rsidRPr="00E02BB9">
              <w:rPr>
                <w:rFonts w:ascii="Times New Roman" w:hAnsi="Times New Roman"/>
                <w:bCs/>
              </w:rPr>
              <w:t xml:space="preserve"> i.</w:t>
            </w:r>
            <w:r w:rsidRPr="00E02BB9">
              <w:rPr>
                <w:rFonts w:ascii="Times New Roman" w:hAnsi="Times New Roman"/>
                <w:bCs/>
              </w:rPr>
              <w:t xml:space="preserve"> Uredbe (EU) br. 575/2013</w:t>
            </w:r>
          </w:p>
        </w:tc>
      </w:tr>
      <w:tr w:rsidR="00A11402" w:rsidRPr="00E02BB9" w14:paraId="4516D192" w14:textId="77777777">
        <w:tc>
          <w:tcPr>
            <w:tcW w:w="1129" w:type="dxa"/>
            <w:tcBorders>
              <w:top w:val="single" w:sz="4" w:space="0" w:color="auto"/>
              <w:bottom w:val="single" w:sz="4" w:space="0" w:color="auto"/>
            </w:tcBorders>
          </w:tcPr>
          <w:p w14:paraId="0767ED21" w14:textId="77777777" w:rsidR="00A11402" w:rsidRPr="00E02BB9" w:rsidRDefault="00E02BB9">
            <w:pPr>
              <w:spacing w:after="120" w:line="240" w:lineRule="auto"/>
              <w:jc w:val="both"/>
              <w:rPr>
                <w:rFonts w:ascii="Times New Roman" w:eastAsia="Times New Roman" w:hAnsi="Times New Roman" w:cs="Times New Roman"/>
                <w:bCs/>
              </w:rPr>
            </w:pPr>
            <w:r w:rsidRPr="00E02BB9">
              <w:rPr>
                <w:rFonts w:ascii="Times New Roman" w:hAnsi="Times New Roman"/>
                <w:bCs/>
              </w:rPr>
              <w:t>0070</w:t>
            </w:r>
          </w:p>
        </w:tc>
        <w:tc>
          <w:tcPr>
            <w:tcW w:w="7620" w:type="dxa"/>
            <w:tcBorders>
              <w:top w:val="single" w:sz="4" w:space="0" w:color="auto"/>
              <w:bottom w:val="single" w:sz="4" w:space="0" w:color="auto"/>
            </w:tcBorders>
          </w:tcPr>
          <w:p w14:paraId="3900BB8B" w14:textId="77777777" w:rsidR="00A11402" w:rsidRPr="00E02BB9" w:rsidRDefault="00E02BB9">
            <w:pPr>
              <w:spacing w:after="120" w:line="240" w:lineRule="auto"/>
              <w:jc w:val="both"/>
              <w:rPr>
                <w:rFonts w:ascii="Times New Roman" w:eastAsia="Times New Roman" w:hAnsi="Times New Roman" w:cs="Times New Roman"/>
                <w:bCs/>
              </w:rPr>
            </w:pPr>
            <w:r w:rsidRPr="00E02BB9">
              <w:rPr>
                <w:rFonts w:ascii="Times New Roman" w:hAnsi="Times New Roman"/>
                <w:b/>
                <w:bCs/>
                <w:u w:val="single"/>
              </w:rPr>
              <w:t>Dodatni osnovni kapital</w:t>
            </w:r>
          </w:p>
          <w:p w14:paraId="6C2791F2" w14:textId="77777777" w:rsidR="00A11402" w:rsidRPr="00E02BB9" w:rsidRDefault="00E02BB9">
            <w:pPr>
              <w:spacing w:after="120" w:line="240" w:lineRule="auto"/>
              <w:jc w:val="both"/>
              <w:rPr>
                <w:rFonts w:ascii="Times New Roman" w:eastAsia="Times New Roman" w:hAnsi="Times New Roman" w:cs="Times New Roman"/>
                <w:bCs/>
              </w:rPr>
            </w:pPr>
            <w:r w:rsidRPr="00E02BB9">
              <w:rPr>
                <w:rFonts w:ascii="Times New Roman" w:hAnsi="Times New Roman"/>
                <w:bCs/>
              </w:rPr>
              <w:t>Članak 8. stavak 3. točka (a) Uredbe (EU) 2019/2033 u vezi s člankom 56. točkom (d)</w:t>
            </w:r>
            <w:r w:rsidRPr="00E02BB9">
              <w:rPr>
                <w:rFonts w:ascii="Times New Roman" w:hAnsi="Times New Roman"/>
                <w:bCs/>
              </w:rPr>
              <w:t xml:space="preserve"> Uredbe (EU) br. 575/2013</w:t>
            </w:r>
          </w:p>
        </w:tc>
      </w:tr>
      <w:tr w:rsidR="00A11402" w:rsidRPr="00E02BB9" w14:paraId="65E8AC3F" w14:textId="77777777">
        <w:tc>
          <w:tcPr>
            <w:tcW w:w="1129" w:type="dxa"/>
            <w:tcBorders>
              <w:top w:val="single" w:sz="4" w:space="0" w:color="auto"/>
              <w:bottom w:val="single" w:sz="4" w:space="0" w:color="auto"/>
            </w:tcBorders>
          </w:tcPr>
          <w:p w14:paraId="1772B42B" w14:textId="77777777" w:rsidR="00A11402" w:rsidRPr="00E02BB9" w:rsidRDefault="00E02BB9">
            <w:pPr>
              <w:spacing w:after="120" w:line="240" w:lineRule="auto"/>
              <w:jc w:val="both"/>
              <w:rPr>
                <w:rFonts w:ascii="Times New Roman" w:eastAsia="Times New Roman" w:hAnsi="Times New Roman" w:cs="Times New Roman"/>
                <w:bCs/>
              </w:rPr>
            </w:pPr>
            <w:r w:rsidRPr="00E02BB9">
              <w:rPr>
                <w:rFonts w:ascii="Times New Roman" w:hAnsi="Times New Roman"/>
                <w:bCs/>
              </w:rPr>
              <w:t>0080</w:t>
            </w:r>
          </w:p>
        </w:tc>
        <w:tc>
          <w:tcPr>
            <w:tcW w:w="7620" w:type="dxa"/>
            <w:tcBorders>
              <w:top w:val="single" w:sz="4" w:space="0" w:color="auto"/>
              <w:bottom w:val="single" w:sz="4" w:space="0" w:color="auto"/>
            </w:tcBorders>
          </w:tcPr>
          <w:p w14:paraId="26769F34" w14:textId="77777777" w:rsidR="00A11402" w:rsidRPr="00E02BB9" w:rsidRDefault="00E02BB9">
            <w:pPr>
              <w:spacing w:after="120" w:line="240" w:lineRule="auto"/>
              <w:jc w:val="both"/>
              <w:rPr>
                <w:rFonts w:ascii="Times New Roman" w:eastAsia="Times New Roman" w:hAnsi="Times New Roman" w:cs="Times New Roman"/>
                <w:b/>
                <w:bCs/>
                <w:u w:val="single"/>
              </w:rPr>
            </w:pPr>
            <w:r w:rsidRPr="00E02BB9">
              <w:rPr>
                <w:rFonts w:ascii="Times New Roman" w:hAnsi="Times New Roman"/>
                <w:b/>
                <w:bCs/>
                <w:u w:val="single"/>
              </w:rPr>
              <w:t>Dopunski kapital</w:t>
            </w:r>
          </w:p>
          <w:p w14:paraId="2FC64F9B" w14:textId="77777777" w:rsidR="00A11402" w:rsidRPr="00E02BB9" w:rsidRDefault="00E02BB9">
            <w:pPr>
              <w:spacing w:after="120" w:line="240" w:lineRule="auto"/>
              <w:jc w:val="both"/>
              <w:rPr>
                <w:rFonts w:ascii="Times New Roman" w:eastAsia="Times New Roman" w:hAnsi="Times New Roman" w:cs="Times New Roman"/>
                <w:b/>
                <w:bCs/>
                <w:u w:val="single"/>
              </w:rPr>
            </w:pPr>
            <w:r w:rsidRPr="00E02BB9">
              <w:rPr>
                <w:rFonts w:ascii="Times New Roman" w:hAnsi="Times New Roman"/>
                <w:bCs/>
              </w:rPr>
              <w:t>Članak 8. stavak 3. točka (a) Uredbe (EU) 2019/2033 u vezi s člankom 66. točkom (d) Uredbe (EU) br. 575/2013</w:t>
            </w:r>
          </w:p>
        </w:tc>
      </w:tr>
      <w:tr w:rsidR="00A11402" w:rsidRPr="00E02BB9" w14:paraId="228867C6" w14:textId="77777777">
        <w:tc>
          <w:tcPr>
            <w:tcW w:w="1129" w:type="dxa"/>
          </w:tcPr>
          <w:p w14:paraId="2A24DCE8" w14:textId="77777777" w:rsidR="00A11402" w:rsidRPr="00E02BB9" w:rsidRDefault="00E02BB9">
            <w:pPr>
              <w:spacing w:after="120" w:line="240" w:lineRule="auto"/>
              <w:jc w:val="both"/>
              <w:rPr>
                <w:rFonts w:ascii="Times New Roman" w:eastAsia="Times New Roman" w:hAnsi="Times New Roman" w:cs="Times New Roman"/>
                <w:bCs/>
              </w:rPr>
            </w:pPr>
            <w:r w:rsidRPr="00E02BB9">
              <w:rPr>
                <w:rFonts w:ascii="Times New Roman" w:hAnsi="Times New Roman"/>
                <w:bCs/>
              </w:rPr>
              <w:t>0090</w:t>
            </w:r>
          </w:p>
        </w:tc>
        <w:tc>
          <w:tcPr>
            <w:tcW w:w="7620" w:type="dxa"/>
          </w:tcPr>
          <w:p w14:paraId="633B78F6" w14:textId="77777777" w:rsidR="00A11402" w:rsidRPr="00E02BB9" w:rsidRDefault="00E02BB9">
            <w:pPr>
              <w:spacing w:after="120" w:line="240" w:lineRule="auto"/>
              <w:jc w:val="both"/>
              <w:rPr>
                <w:rFonts w:ascii="Times New Roman" w:eastAsia="Times New Roman" w:hAnsi="Times New Roman" w:cs="Times New Roman"/>
                <w:b/>
                <w:bCs/>
                <w:u w:val="single"/>
              </w:rPr>
            </w:pPr>
            <w:r w:rsidRPr="00E02BB9">
              <w:rPr>
                <w:rFonts w:ascii="Times New Roman" w:hAnsi="Times New Roman"/>
                <w:b/>
                <w:bCs/>
                <w:u w:val="single"/>
              </w:rPr>
              <w:t>Ulaganja</w:t>
            </w:r>
          </w:p>
          <w:p w14:paraId="7B9C568C" w14:textId="77777777" w:rsidR="00A11402" w:rsidRPr="00E02BB9" w:rsidRDefault="00E02BB9">
            <w:pPr>
              <w:spacing w:after="120" w:line="240" w:lineRule="auto"/>
              <w:jc w:val="both"/>
              <w:rPr>
                <w:rFonts w:ascii="Times New Roman" w:eastAsia="Times New Roman" w:hAnsi="Times New Roman" w:cs="Times New Roman"/>
                <w:bCs/>
              </w:rPr>
            </w:pPr>
            <w:r w:rsidRPr="00E02BB9">
              <w:rPr>
                <w:rFonts w:ascii="Times New Roman" w:hAnsi="Times New Roman"/>
                <w:bCs/>
              </w:rPr>
              <w:t>Članak 8. stavak 3. točka (a) Uredbe (EU) br. 2019/2033</w:t>
            </w:r>
          </w:p>
          <w:p w14:paraId="37B12941" w14:textId="77777777" w:rsidR="00A11402" w:rsidRPr="00E02BB9" w:rsidRDefault="00E02BB9">
            <w:pPr>
              <w:spacing w:after="120" w:line="240" w:lineRule="auto"/>
              <w:jc w:val="both"/>
              <w:rPr>
                <w:rFonts w:ascii="Times New Roman" w:eastAsia="Times New Roman" w:hAnsi="Times New Roman" w:cs="Times New Roman"/>
                <w:bCs/>
              </w:rPr>
            </w:pPr>
            <w:r w:rsidRPr="00E02BB9">
              <w:rPr>
                <w:rFonts w:ascii="Times New Roman" w:hAnsi="Times New Roman"/>
                <w:bCs/>
              </w:rPr>
              <w:t xml:space="preserve">Ovaj stupac </w:t>
            </w:r>
            <w:r w:rsidRPr="00E02BB9">
              <w:rPr>
                <w:rFonts w:ascii="Times New Roman" w:hAnsi="Times New Roman"/>
                <w:bCs/>
              </w:rPr>
              <w:t>uključuje ulaganja matičnog društva u mjeri u kojoj ne čine regulatorni kapital subjekta grupe u koji matično društvo ulaže.</w:t>
            </w:r>
          </w:p>
        </w:tc>
      </w:tr>
      <w:tr w:rsidR="00A11402" w:rsidRPr="00E02BB9" w14:paraId="0DB43A39" w14:textId="77777777">
        <w:tc>
          <w:tcPr>
            <w:tcW w:w="1129" w:type="dxa"/>
            <w:tcBorders>
              <w:bottom w:val="single" w:sz="4" w:space="0" w:color="auto"/>
            </w:tcBorders>
          </w:tcPr>
          <w:p w14:paraId="6601E381" w14:textId="77777777" w:rsidR="00A11402" w:rsidRPr="00E02BB9" w:rsidRDefault="00E02BB9">
            <w:pPr>
              <w:spacing w:after="120" w:line="240" w:lineRule="auto"/>
              <w:jc w:val="both"/>
              <w:rPr>
                <w:rFonts w:ascii="Times New Roman" w:eastAsia="Times New Roman" w:hAnsi="Times New Roman" w:cs="Times New Roman"/>
                <w:bCs/>
              </w:rPr>
            </w:pPr>
            <w:r w:rsidRPr="00E02BB9">
              <w:rPr>
                <w:rFonts w:ascii="Times New Roman" w:hAnsi="Times New Roman"/>
                <w:bCs/>
              </w:rPr>
              <w:t>0100</w:t>
            </w:r>
          </w:p>
        </w:tc>
        <w:tc>
          <w:tcPr>
            <w:tcW w:w="7620" w:type="dxa"/>
            <w:tcBorders>
              <w:bottom w:val="single" w:sz="4" w:space="0" w:color="auto"/>
            </w:tcBorders>
          </w:tcPr>
          <w:p w14:paraId="7181BE20" w14:textId="77777777" w:rsidR="00A11402" w:rsidRPr="00E02BB9" w:rsidRDefault="00E02BB9">
            <w:pPr>
              <w:spacing w:after="120" w:line="240" w:lineRule="auto"/>
              <w:jc w:val="both"/>
              <w:rPr>
                <w:rFonts w:ascii="Times New Roman" w:eastAsia="Times New Roman" w:hAnsi="Times New Roman" w:cs="Times New Roman"/>
                <w:bCs/>
              </w:rPr>
            </w:pPr>
            <w:r w:rsidRPr="00E02BB9">
              <w:rPr>
                <w:rFonts w:ascii="Times New Roman" w:hAnsi="Times New Roman"/>
                <w:b/>
                <w:bCs/>
                <w:u w:val="single"/>
              </w:rPr>
              <w:t>Podređena potraživanja</w:t>
            </w:r>
          </w:p>
          <w:p w14:paraId="1967D1E8" w14:textId="77777777" w:rsidR="00A11402" w:rsidRPr="00E02BB9" w:rsidRDefault="00E02BB9">
            <w:pPr>
              <w:spacing w:after="120" w:line="240" w:lineRule="auto"/>
              <w:jc w:val="both"/>
              <w:rPr>
                <w:rFonts w:ascii="Times New Roman" w:eastAsia="Times New Roman" w:hAnsi="Times New Roman" w:cs="Times New Roman"/>
                <w:bCs/>
              </w:rPr>
            </w:pPr>
            <w:r w:rsidRPr="00E02BB9">
              <w:rPr>
                <w:rFonts w:ascii="Times New Roman" w:hAnsi="Times New Roman"/>
                <w:bCs/>
              </w:rPr>
              <w:t>Članak 8. stavak 3. točka (a) Uredbe (EU) br. 2019/2033</w:t>
            </w:r>
          </w:p>
          <w:p w14:paraId="3EEC638F" w14:textId="77777777" w:rsidR="00A11402" w:rsidRPr="00E02BB9" w:rsidRDefault="00E02BB9">
            <w:pPr>
              <w:spacing w:after="120" w:line="240" w:lineRule="auto"/>
              <w:jc w:val="both"/>
              <w:rPr>
                <w:rFonts w:ascii="Times New Roman" w:eastAsia="Times New Roman" w:hAnsi="Times New Roman" w:cs="Times New Roman"/>
                <w:b/>
                <w:bCs/>
                <w:u w:val="single"/>
              </w:rPr>
            </w:pPr>
            <w:r w:rsidRPr="00E02BB9">
              <w:rPr>
                <w:rFonts w:ascii="Times New Roman" w:hAnsi="Times New Roman"/>
                <w:bCs/>
              </w:rPr>
              <w:t>Ovaj stupac uključuje podređena potraživanja m</w:t>
            </w:r>
            <w:r w:rsidRPr="00E02BB9">
              <w:rPr>
                <w:rFonts w:ascii="Times New Roman" w:hAnsi="Times New Roman"/>
                <w:bCs/>
              </w:rPr>
              <w:t>atičnog društva u mjeri u kojoj ne čine regulatorni kapital subjekta grupe u koji matično društvo ulaže</w:t>
            </w:r>
          </w:p>
        </w:tc>
      </w:tr>
      <w:tr w:rsidR="00A11402" w:rsidRPr="00E02BB9" w14:paraId="6FAB861A" w14:textId="77777777">
        <w:tc>
          <w:tcPr>
            <w:tcW w:w="1129" w:type="dxa"/>
            <w:tcBorders>
              <w:top w:val="single" w:sz="4" w:space="0" w:color="auto"/>
              <w:bottom w:val="single" w:sz="4" w:space="0" w:color="auto"/>
            </w:tcBorders>
          </w:tcPr>
          <w:p w14:paraId="562A44F1" w14:textId="77777777" w:rsidR="00A11402" w:rsidRPr="00E02BB9" w:rsidRDefault="00E02BB9">
            <w:pPr>
              <w:spacing w:after="120" w:line="240" w:lineRule="auto"/>
              <w:jc w:val="both"/>
              <w:rPr>
                <w:rFonts w:ascii="Times New Roman" w:eastAsia="Times New Roman" w:hAnsi="Times New Roman" w:cs="Times New Roman"/>
                <w:bCs/>
              </w:rPr>
            </w:pPr>
            <w:r w:rsidRPr="00E02BB9">
              <w:rPr>
                <w:rFonts w:ascii="Times New Roman" w:hAnsi="Times New Roman"/>
                <w:bCs/>
              </w:rPr>
              <w:t>0110</w:t>
            </w:r>
          </w:p>
        </w:tc>
        <w:tc>
          <w:tcPr>
            <w:tcW w:w="7620" w:type="dxa"/>
            <w:tcBorders>
              <w:top w:val="single" w:sz="4" w:space="0" w:color="auto"/>
              <w:bottom w:val="single" w:sz="4" w:space="0" w:color="auto"/>
            </w:tcBorders>
          </w:tcPr>
          <w:p w14:paraId="2EA3C025" w14:textId="77777777" w:rsidR="00A11402" w:rsidRPr="00E02BB9" w:rsidRDefault="00E02BB9">
            <w:pPr>
              <w:spacing w:after="120" w:line="240" w:lineRule="auto"/>
              <w:jc w:val="both"/>
              <w:rPr>
                <w:rFonts w:ascii="Times New Roman" w:eastAsia="Times New Roman" w:hAnsi="Times New Roman" w:cs="Times New Roman"/>
                <w:b/>
                <w:bCs/>
                <w:u w:val="single"/>
              </w:rPr>
            </w:pPr>
            <w:r w:rsidRPr="00E02BB9">
              <w:rPr>
                <w:rFonts w:ascii="Times New Roman" w:hAnsi="Times New Roman"/>
                <w:b/>
                <w:bCs/>
                <w:u w:val="single"/>
              </w:rPr>
              <w:t>Potencijalne obveze matičnog društva prema subjektima</w:t>
            </w:r>
          </w:p>
          <w:p w14:paraId="5B0F292D" w14:textId="77777777" w:rsidR="00A11402" w:rsidRPr="00E02BB9" w:rsidRDefault="00E02BB9">
            <w:pPr>
              <w:spacing w:after="120" w:line="240" w:lineRule="auto"/>
              <w:jc w:val="both"/>
              <w:rPr>
                <w:rFonts w:ascii="Times New Roman" w:eastAsia="Times New Roman" w:hAnsi="Times New Roman" w:cs="Times New Roman"/>
                <w:bCs/>
              </w:rPr>
            </w:pPr>
            <w:r w:rsidRPr="00E02BB9">
              <w:rPr>
                <w:rFonts w:ascii="Times New Roman" w:hAnsi="Times New Roman"/>
                <w:bCs/>
              </w:rPr>
              <w:t>Članak 8. stavak 3. točka (b) Uredbe (EU) 2019/2033</w:t>
            </w:r>
          </w:p>
        </w:tc>
      </w:tr>
      <w:tr w:rsidR="00A11402" w:rsidRPr="00E02BB9" w14:paraId="0BBE59B1" w14:textId="77777777">
        <w:tc>
          <w:tcPr>
            <w:tcW w:w="1129" w:type="dxa"/>
            <w:tcBorders>
              <w:top w:val="single" w:sz="4" w:space="0" w:color="auto"/>
              <w:bottom w:val="single" w:sz="4" w:space="0" w:color="auto"/>
            </w:tcBorders>
          </w:tcPr>
          <w:p w14:paraId="22447CB9" w14:textId="77777777" w:rsidR="00A11402" w:rsidRPr="00E02BB9" w:rsidRDefault="00E02BB9">
            <w:pPr>
              <w:spacing w:after="120" w:line="240" w:lineRule="auto"/>
              <w:jc w:val="both"/>
              <w:rPr>
                <w:rFonts w:ascii="Times New Roman" w:eastAsia="Times New Roman" w:hAnsi="Times New Roman" w:cs="Times New Roman"/>
                <w:bCs/>
              </w:rPr>
            </w:pPr>
            <w:r w:rsidRPr="00E02BB9">
              <w:rPr>
                <w:rFonts w:ascii="Times New Roman" w:hAnsi="Times New Roman"/>
                <w:bCs/>
              </w:rPr>
              <w:t>0120</w:t>
            </w:r>
          </w:p>
        </w:tc>
        <w:tc>
          <w:tcPr>
            <w:tcW w:w="7620" w:type="dxa"/>
            <w:tcBorders>
              <w:top w:val="single" w:sz="4" w:space="0" w:color="auto"/>
              <w:bottom w:val="single" w:sz="4" w:space="0" w:color="auto"/>
            </w:tcBorders>
          </w:tcPr>
          <w:p w14:paraId="387180A0" w14:textId="77777777" w:rsidR="00A11402" w:rsidRPr="00E02BB9" w:rsidRDefault="00E02BB9">
            <w:pPr>
              <w:spacing w:after="120" w:line="240" w:lineRule="auto"/>
              <w:jc w:val="both"/>
              <w:rPr>
                <w:rFonts w:ascii="Times New Roman" w:eastAsia="Times New Roman" w:hAnsi="Times New Roman" w:cs="Times New Roman"/>
                <w:b/>
                <w:bCs/>
                <w:u w:val="single"/>
              </w:rPr>
            </w:pPr>
            <w:r w:rsidRPr="00E02BB9">
              <w:rPr>
                <w:rFonts w:ascii="Times New Roman" w:hAnsi="Times New Roman"/>
                <w:b/>
                <w:bCs/>
                <w:u w:val="single"/>
              </w:rPr>
              <w:t xml:space="preserve">Ukupni kapitalni zahtjevi </w:t>
            </w:r>
            <w:r w:rsidRPr="00E02BB9">
              <w:rPr>
                <w:rFonts w:ascii="Times New Roman" w:hAnsi="Times New Roman"/>
                <w:b/>
                <w:bCs/>
                <w:u w:val="single"/>
              </w:rPr>
              <w:t>društava kćeri</w:t>
            </w:r>
          </w:p>
          <w:p w14:paraId="75605589" w14:textId="77777777" w:rsidR="00A11402" w:rsidRPr="00E02BB9" w:rsidRDefault="00E02BB9">
            <w:pPr>
              <w:spacing w:after="120" w:line="240" w:lineRule="auto"/>
              <w:jc w:val="both"/>
              <w:rPr>
                <w:rFonts w:ascii="Times New Roman" w:eastAsia="Times New Roman" w:hAnsi="Times New Roman" w:cs="Times New Roman"/>
                <w:bCs/>
              </w:rPr>
            </w:pPr>
            <w:r w:rsidRPr="00E02BB9">
              <w:rPr>
                <w:rFonts w:ascii="Times New Roman" w:hAnsi="Times New Roman"/>
                <w:bCs/>
              </w:rPr>
              <w:t>Članak 8. stavak 4. Uredbe (EU) 2019/2033</w:t>
            </w:r>
          </w:p>
        </w:tc>
      </w:tr>
      <w:tr w:rsidR="00A11402" w:rsidRPr="00E02BB9" w14:paraId="01C4E1FD" w14:textId="77777777">
        <w:tc>
          <w:tcPr>
            <w:tcW w:w="1129" w:type="dxa"/>
            <w:tcBorders>
              <w:top w:val="single" w:sz="4" w:space="0" w:color="auto"/>
              <w:bottom w:val="single" w:sz="4" w:space="0" w:color="auto"/>
            </w:tcBorders>
          </w:tcPr>
          <w:p w14:paraId="20838497" w14:textId="77777777" w:rsidR="00A11402" w:rsidRPr="00E02BB9" w:rsidRDefault="00E02BB9">
            <w:pPr>
              <w:spacing w:after="120" w:line="240" w:lineRule="auto"/>
              <w:jc w:val="both"/>
              <w:rPr>
                <w:rFonts w:ascii="Times New Roman" w:eastAsia="Times New Roman" w:hAnsi="Times New Roman" w:cs="Times New Roman"/>
                <w:bCs/>
              </w:rPr>
            </w:pPr>
            <w:r w:rsidRPr="00E02BB9">
              <w:rPr>
                <w:rFonts w:ascii="Times New Roman" w:hAnsi="Times New Roman"/>
                <w:bCs/>
              </w:rPr>
              <w:t>0130</w:t>
            </w:r>
          </w:p>
        </w:tc>
        <w:tc>
          <w:tcPr>
            <w:tcW w:w="7620" w:type="dxa"/>
            <w:tcBorders>
              <w:top w:val="single" w:sz="4" w:space="0" w:color="auto"/>
              <w:bottom w:val="single" w:sz="4" w:space="0" w:color="auto"/>
            </w:tcBorders>
          </w:tcPr>
          <w:p w14:paraId="70824B8D" w14:textId="77777777" w:rsidR="00A11402" w:rsidRPr="00E02BB9" w:rsidRDefault="00E02BB9">
            <w:pPr>
              <w:spacing w:after="120" w:line="240" w:lineRule="auto"/>
              <w:jc w:val="both"/>
              <w:rPr>
                <w:rFonts w:ascii="Times New Roman" w:eastAsia="Times New Roman" w:hAnsi="Times New Roman" w:cs="Times New Roman"/>
                <w:b/>
                <w:bCs/>
                <w:u w:val="single"/>
              </w:rPr>
            </w:pPr>
            <w:r w:rsidRPr="00E02BB9">
              <w:rPr>
                <w:rFonts w:ascii="Times New Roman" w:hAnsi="Times New Roman"/>
                <w:b/>
                <w:bCs/>
                <w:u w:val="single"/>
              </w:rPr>
              <w:t>Trajni minimalni kapital</w:t>
            </w:r>
          </w:p>
          <w:p w14:paraId="519950FD" w14:textId="77777777" w:rsidR="00A11402" w:rsidRPr="00E02BB9" w:rsidRDefault="00E02BB9">
            <w:pPr>
              <w:spacing w:after="120" w:line="240" w:lineRule="auto"/>
              <w:jc w:val="both"/>
              <w:rPr>
                <w:rFonts w:ascii="Times New Roman" w:eastAsia="Times New Roman" w:hAnsi="Times New Roman" w:cs="Times New Roman"/>
                <w:bCs/>
                <w:color w:val="000000" w:themeColor="text1"/>
              </w:rPr>
            </w:pPr>
            <w:r w:rsidRPr="00E02BB9">
              <w:rPr>
                <w:rFonts w:ascii="Times New Roman" w:hAnsi="Times New Roman"/>
                <w:bCs/>
                <w:color w:val="000000" w:themeColor="text1"/>
              </w:rPr>
              <w:t>Članak 14. Uredbe (EU) 2019/2033</w:t>
            </w:r>
          </w:p>
        </w:tc>
      </w:tr>
      <w:tr w:rsidR="00A11402" w:rsidRPr="00E02BB9" w14:paraId="0A09BEDC" w14:textId="77777777">
        <w:tc>
          <w:tcPr>
            <w:tcW w:w="1129" w:type="dxa"/>
            <w:tcBorders>
              <w:top w:val="single" w:sz="4" w:space="0" w:color="auto"/>
              <w:bottom w:val="single" w:sz="4" w:space="0" w:color="auto"/>
            </w:tcBorders>
          </w:tcPr>
          <w:p w14:paraId="791E65D9" w14:textId="77777777" w:rsidR="00A11402" w:rsidRPr="00E02BB9" w:rsidRDefault="00E02BB9">
            <w:pPr>
              <w:spacing w:after="120" w:line="240" w:lineRule="auto"/>
              <w:jc w:val="both"/>
              <w:rPr>
                <w:rFonts w:ascii="Times New Roman" w:eastAsia="Times New Roman" w:hAnsi="Times New Roman" w:cs="Times New Roman"/>
                <w:bCs/>
              </w:rPr>
            </w:pPr>
            <w:r w:rsidRPr="00E02BB9">
              <w:rPr>
                <w:rFonts w:ascii="Times New Roman" w:hAnsi="Times New Roman"/>
                <w:bCs/>
              </w:rPr>
              <w:t>0140</w:t>
            </w:r>
          </w:p>
        </w:tc>
        <w:tc>
          <w:tcPr>
            <w:tcW w:w="7620" w:type="dxa"/>
            <w:tcBorders>
              <w:top w:val="single" w:sz="4" w:space="0" w:color="auto"/>
              <w:bottom w:val="single" w:sz="4" w:space="0" w:color="auto"/>
            </w:tcBorders>
          </w:tcPr>
          <w:p w14:paraId="1E3625DB" w14:textId="77777777" w:rsidR="00A11402" w:rsidRPr="00E02BB9" w:rsidRDefault="00E02BB9">
            <w:pPr>
              <w:spacing w:after="120" w:line="240" w:lineRule="auto"/>
              <w:jc w:val="both"/>
              <w:rPr>
                <w:rFonts w:ascii="Times New Roman" w:eastAsia="Times New Roman" w:hAnsi="Times New Roman" w:cs="Times New Roman"/>
                <w:b/>
                <w:bCs/>
                <w:u w:val="single"/>
              </w:rPr>
            </w:pPr>
            <w:r w:rsidRPr="00E02BB9">
              <w:rPr>
                <w:rFonts w:ascii="Times New Roman" w:hAnsi="Times New Roman"/>
                <w:b/>
                <w:bCs/>
                <w:u w:val="single"/>
              </w:rPr>
              <w:t>Zahtjev za faktor K</w:t>
            </w:r>
          </w:p>
          <w:p w14:paraId="1E56FBE2" w14:textId="77777777" w:rsidR="00A11402" w:rsidRPr="00E02BB9" w:rsidRDefault="00E02BB9">
            <w:pPr>
              <w:spacing w:after="120" w:line="240" w:lineRule="auto"/>
              <w:jc w:val="both"/>
              <w:rPr>
                <w:rFonts w:ascii="Times New Roman" w:eastAsia="Times New Roman" w:hAnsi="Times New Roman" w:cs="Times New Roman"/>
                <w:bCs/>
                <w:color w:val="000000" w:themeColor="text1"/>
              </w:rPr>
            </w:pPr>
            <w:r w:rsidRPr="00E02BB9">
              <w:rPr>
                <w:rFonts w:ascii="Times New Roman" w:hAnsi="Times New Roman"/>
                <w:bCs/>
                <w:color w:val="000000" w:themeColor="text1"/>
              </w:rPr>
              <w:t>Članak 15. Uredbe (EU) 2019/2033</w:t>
            </w:r>
          </w:p>
        </w:tc>
      </w:tr>
      <w:tr w:rsidR="00A11402" w:rsidRPr="00E02BB9" w14:paraId="62D2BA0A" w14:textId="77777777">
        <w:tc>
          <w:tcPr>
            <w:tcW w:w="1129" w:type="dxa"/>
            <w:tcBorders>
              <w:top w:val="single" w:sz="4" w:space="0" w:color="auto"/>
            </w:tcBorders>
          </w:tcPr>
          <w:p w14:paraId="32EBA26A" w14:textId="77777777" w:rsidR="00A11402" w:rsidRPr="00E02BB9" w:rsidRDefault="00E02BB9">
            <w:pPr>
              <w:spacing w:after="120" w:line="240" w:lineRule="auto"/>
              <w:jc w:val="both"/>
              <w:rPr>
                <w:rFonts w:ascii="Times New Roman" w:eastAsia="Times New Roman" w:hAnsi="Times New Roman" w:cs="Times New Roman"/>
                <w:bCs/>
              </w:rPr>
            </w:pPr>
            <w:r w:rsidRPr="00E02BB9">
              <w:rPr>
                <w:rFonts w:ascii="Times New Roman" w:hAnsi="Times New Roman"/>
                <w:bCs/>
              </w:rPr>
              <w:t>0150</w:t>
            </w:r>
          </w:p>
        </w:tc>
        <w:tc>
          <w:tcPr>
            <w:tcW w:w="7620" w:type="dxa"/>
            <w:tcBorders>
              <w:top w:val="single" w:sz="4" w:space="0" w:color="auto"/>
            </w:tcBorders>
          </w:tcPr>
          <w:p w14:paraId="14C28198" w14:textId="77777777" w:rsidR="00A11402" w:rsidRPr="00E02BB9" w:rsidRDefault="00E02BB9">
            <w:pPr>
              <w:spacing w:after="120" w:line="240" w:lineRule="auto"/>
              <w:jc w:val="both"/>
              <w:rPr>
                <w:rFonts w:ascii="Times New Roman" w:eastAsia="Times New Roman" w:hAnsi="Times New Roman" w:cs="Times New Roman"/>
                <w:b/>
                <w:bCs/>
                <w:u w:val="single"/>
              </w:rPr>
            </w:pPr>
            <w:r w:rsidRPr="00E02BB9">
              <w:rPr>
                <w:rFonts w:ascii="Times New Roman" w:hAnsi="Times New Roman"/>
                <w:b/>
                <w:bCs/>
                <w:u w:val="single"/>
              </w:rPr>
              <w:t>Imovina pod upravljanjem</w:t>
            </w:r>
          </w:p>
          <w:p w14:paraId="04F269D5" w14:textId="77777777" w:rsidR="00A11402" w:rsidRPr="00E02BB9" w:rsidRDefault="00E02BB9">
            <w:pPr>
              <w:spacing w:after="120" w:line="240" w:lineRule="auto"/>
              <w:jc w:val="both"/>
              <w:rPr>
                <w:rFonts w:ascii="Times New Roman" w:eastAsia="Times New Roman" w:hAnsi="Times New Roman" w:cs="Times New Roman"/>
                <w:bCs/>
                <w:color w:val="000000" w:themeColor="text1"/>
              </w:rPr>
            </w:pPr>
            <w:r w:rsidRPr="00E02BB9">
              <w:rPr>
                <w:rFonts w:ascii="Times New Roman" w:hAnsi="Times New Roman"/>
                <w:bCs/>
                <w:color w:val="000000" w:themeColor="text1"/>
              </w:rPr>
              <w:t xml:space="preserve">Članak 15. stavak 2. i članak 17. </w:t>
            </w:r>
            <w:r w:rsidRPr="00E02BB9">
              <w:rPr>
                <w:rFonts w:ascii="Times New Roman" w:hAnsi="Times New Roman"/>
                <w:bCs/>
                <w:color w:val="000000" w:themeColor="text1"/>
              </w:rPr>
              <w:t>Uredbe (EU) 2019/2033</w:t>
            </w:r>
          </w:p>
        </w:tc>
      </w:tr>
      <w:tr w:rsidR="00A11402" w:rsidRPr="00E02BB9" w14:paraId="27C51C28" w14:textId="77777777">
        <w:tc>
          <w:tcPr>
            <w:tcW w:w="1129" w:type="dxa"/>
            <w:tcBorders>
              <w:top w:val="single" w:sz="4" w:space="0" w:color="auto"/>
            </w:tcBorders>
          </w:tcPr>
          <w:p w14:paraId="4937EB2C" w14:textId="77777777" w:rsidR="00A11402" w:rsidRPr="00E02BB9" w:rsidRDefault="00E02BB9">
            <w:pPr>
              <w:spacing w:after="120" w:line="240" w:lineRule="auto"/>
              <w:jc w:val="both"/>
              <w:rPr>
                <w:rFonts w:ascii="Times New Roman" w:eastAsia="Times New Roman" w:hAnsi="Times New Roman" w:cs="Times New Roman"/>
                <w:bCs/>
              </w:rPr>
            </w:pPr>
            <w:r w:rsidRPr="00E02BB9">
              <w:rPr>
                <w:rFonts w:ascii="Times New Roman" w:hAnsi="Times New Roman"/>
                <w:bCs/>
              </w:rPr>
              <w:t>0160</w:t>
            </w:r>
          </w:p>
        </w:tc>
        <w:tc>
          <w:tcPr>
            <w:tcW w:w="7620" w:type="dxa"/>
            <w:tcBorders>
              <w:top w:val="single" w:sz="4" w:space="0" w:color="auto"/>
            </w:tcBorders>
          </w:tcPr>
          <w:p w14:paraId="0145D326" w14:textId="77777777" w:rsidR="00A11402" w:rsidRPr="00E02BB9" w:rsidRDefault="00E02BB9">
            <w:pPr>
              <w:spacing w:after="120" w:line="240" w:lineRule="auto"/>
              <w:jc w:val="both"/>
              <w:rPr>
                <w:rFonts w:ascii="Times New Roman" w:eastAsia="Times New Roman" w:hAnsi="Times New Roman" w:cs="Times New Roman"/>
                <w:b/>
                <w:bCs/>
                <w:u w:val="single"/>
              </w:rPr>
            </w:pPr>
            <w:r w:rsidRPr="00E02BB9">
              <w:rPr>
                <w:rFonts w:ascii="Times New Roman" w:hAnsi="Times New Roman"/>
                <w:b/>
                <w:bCs/>
                <w:u w:val="single"/>
              </w:rPr>
              <w:t>Novčana sredstva klijenta koja se drže – na odvojenim računima</w:t>
            </w:r>
          </w:p>
          <w:p w14:paraId="6EC21C50" w14:textId="77777777" w:rsidR="00A11402" w:rsidRPr="00E02BB9" w:rsidRDefault="00E02BB9">
            <w:pPr>
              <w:spacing w:after="120" w:line="240" w:lineRule="auto"/>
              <w:jc w:val="both"/>
              <w:rPr>
                <w:rFonts w:ascii="Times New Roman" w:eastAsia="Times New Roman" w:hAnsi="Times New Roman" w:cs="Times New Roman"/>
                <w:bCs/>
                <w:color w:val="000000" w:themeColor="text1"/>
              </w:rPr>
            </w:pPr>
            <w:r w:rsidRPr="00E02BB9">
              <w:rPr>
                <w:rFonts w:ascii="Times New Roman" w:hAnsi="Times New Roman"/>
                <w:bCs/>
                <w:color w:val="000000" w:themeColor="text1"/>
              </w:rPr>
              <w:t>Članak 15. stavak 2. i članak 18. Uredbe (EU) 2019/2033</w:t>
            </w:r>
          </w:p>
        </w:tc>
      </w:tr>
      <w:tr w:rsidR="00A11402" w:rsidRPr="00E02BB9" w14:paraId="0A5A60DE" w14:textId="77777777">
        <w:tc>
          <w:tcPr>
            <w:tcW w:w="1129" w:type="dxa"/>
            <w:tcBorders>
              <w:top w:val="single" w:sz="4" w:space="0" w:color="auto"/>
            </w:tcBorders>
          </w:tcPr>
          <w:p w14:paraId="4FD5E98C" w14:textId="77777777" w:rsidR="00A11402" w:rsidRPr="00E02BB9" w:rsidRDefault="00E02BB9">
            <w:pPr>
              <w:spacing w:after="120" w:line="240" w:lineRule="auto"/>
              <w:jc w:val="both"/>
              <w:rPr>
                <w:rFonts w:ascii="Times New Roman" w:eastAsia="Times New Roman" w:hAnsi="Times New Roman" w:cs="Times New Roman"/>
                <w:bCs/>
              </w:rPr>
            </w:pPr>
            <w:r w:rsidRPr="00E02BB9">
              <w:rPr>
                <w:rFonts w:ascii="Times New Roman" w:hAnsi="Times New Roman"/>
                <w:bCs/>
              </w:rPr>
              <w:t>0170</w:t>
            </w:r>
          </w:p>
        </w:tc>
        <w:tc>
          <w:tcPr>
            <w:tcW w:w="7620" w:type="dxa"/>
            <w:tcBorders>
              <w:top w:val="single" w:sz="4" w:space="0" w:color="auto"/>
            </w:tcBorders>
          </w:tcPr>
          <w:p w14:paraId="5C6D707B" w14:textId="77777777" w:rsidR="00A11402" w:rsidRPr="00E02BB9" w:rsidRDefault="00E02BB9">
            <w:pPr>
              <w:spacing w:after="120" w:line="240" w:lineRule="auto"/>
              <w:jc w:val="both"/>
              <w:rPr>
                <w:rFonts w:ascii="Times New Roman" w:eastAsia="Times New Roman" w:hAnsi="Times New Roman" w:cs="Times New Roman"/>
                <w:b/>
                <w:bCs/>
                <w:u w:val="single"/>
              </w:rPr>
            </w:pPr>
            <w:r w:rsidRPr="00E02BB9">
              <w:rPr>
                <w:rFonts w:ascii="Times New Roman" w:hAnsi="Times New Roman"/>
                <w:b/>
                <w:bCs/>
                <w:u w:val="single"/>
              </w:rPr>
              <w:t>Neodvojena novčana sredstva klijenta koja se drže</w:t>
            </w:r>
          </w:p>
          <w:p w14:paraId="6D81099B" w14:textId="77777777" w:rsidR="00A11402" w:rsidRPr="00E02BB9" w:rsidRDefault="00E02BB9">
            <w:pPr>
              <w:spacing w:after="120" w:line="240" w:lineRule="auto"/>
              <w:jc w:val="both"/>
              <w:rPr>
                <w:rFonts w:ascii="Times New Roman" w:eastAsia="Times New Roman" w:hAnsi="Times New Roman" w:cs="Times New Roman"/>
                <w:bCs/>
                <w:color w:val="000000" w:themeColor="text1"/>
              </w:rPr>
            </w:pPr>
            <w:r w:rsidRPr="00E02BB9">
              <w:rPr>
                <w:rFonts w:ascii="Times New Roman" w:hAnsi="Times New Roman"/>
                <w:bCs/>
                <w:color w:val="000000" w:themeColor="text1"/>
              </w:rPr>
              <w:t xml:space="preserve">Članak 15. stavak 2. i članak 18. Uredbe </w:t>
            </w:r>
            <w:r w:rsidRPr="00E02BB9">
              <w:rPr>
                <w:rFonts w:ascii="Times New Roman" w:hAnsi="Times New Roman"/>
                <w:bCs/>
                <w:color w:val="000000" w:themeColor="text1"/>
              </w:rPr>
              <w:t>(EU) 2019/2033</w:t>
            </w:r>
          </w:p>
        </w:tc>
      </w:tr>
      <w:tr w:rsidR="00A11402" w:rsidRPr="00E02BB9" w14:paraId="6704A822" w14:textId="77777777">
        <w:tc>
          <w:tcPr>
            <w:tcW w:w="1129" w:type="dxa"/>
            <w:tcBorders>
              <w:top w:val="single" w:sz="4" w:space="0" w:color="auto"/>
            </w:tcBorders>
          </w:tcPr>
          <w:p w14:paraId="4842EB4E" w14:textId="77777777" w:rsidR="00A11402" w:rsidRPr="00E02BB9" w:rsidRDefault="00E02BB9">
            <w:pPr>
              <w:spacing w:after="120" w:line="240" w:lineRule="auto"/>
              <w:jc w:val="both"/>
              <w:rPr>
                <w:rFonts w:ascii="Times New Roman" w:eastAsia="Times New Roman" w:hAnsi="Times New Roman" w:cs="Times New Roman"/>
                <w:bCs/>
              </w:rPr>
            </w:pPr>
            <w:r w:rsidRPr="00E02BB9">
              <w:rPr>
                <w:rFonts w:ascii="Times New Roman" w:hAnsi="Times New Roman"/>
                <w:bCs/>
              </w:rPr>
              <w:t>0180</w:t>
            </w:r>
          </w:p>
        </w:tc>
        <w:tc>
          <w:tcPr>
            <w:tcW w:w="7620" w:type="dxa"/>
            <w:tcBorders>
              <w:top w:val="single" w:sz="4" w:space="0" w:color="auto"/>
            </w:tcBorders>
          </w:tcPr>
          <w:p w14:paraId="4A49F430" w14:textId="77777777" w:rsidR="00A11402" w:rsidRPr="00E02BB9" w:rsidRDefault="00E02BB9">
            <w:pPr>
              <w:tabs>
                <w:tab w:val="left" w:pos="3948"/>
              </w:tabs>
              <w:spacing w:after="120" w:line="240" w:lineRule="auto"/>
              <w:jc w:val="both"/>
              <w:rPr>
                <w:rFonts w:ascii="Times New Roman" w:eastAsia="Times New Roman" w:hAnsi="Times New Roman" w:cs="Times New Roman"/>
                <w:b/>
                <w:bCs/>
                <w:u w:val="single"/>
              </w:rPr>
            </w:pPr>
            <w:r w:rsidRPr="00E02BB9">
              <w:rPr>
                <w:rFonts w:ascii="Times New Roman" w:hAnsi="Times New Roman"/>
                <w:b/>
                <w:bCs/>
                <w:u w:val="single"/>
              </w:rPr>
              <w:t>Imovina koja se pohranjuje i administrira</w:t>
            </w:r>
          </w:p>
          <w:p w14:paraId="1229C203" w14:textId="77777777" w:rsidR="00A11402" w:rsidRPr="00E02BB9" w:rsidRDefault="00E02BB9">
            <w:pPr>
              <w:spacing w:after="120" w:line="240" w:lineRule="auto"/>
              <w:jc w:val="both"/>
              <w:rPr>
                <w:rFonts w:ascii="Times New Roman" w:eastAsia="Times New Roman" w:hAnsi="Times New Roman" w:cs="Times New Roman"/>
                <w:bCs/>
                <w:color w:val="000000" w:themeColor="text1"/>
              </w:rPr>
            </w:pPr>
            <w:r w:rsidRPr="00E02BB9">
              <w:rPr>
                <w:rFonts w:ascii="Times New Roman" w:hAnsi="Times New Roman"/>
                <w:bCs/>
                <w:color w:val="000000" w:themeColor="text1"/>
              </w:rPr>
              <w:t xml:space="preserve">Članak 15. stavak 2. i članak 19. Uredbe (EU) 2019/2033 </w:t>
            </w:r>
          </w:p>
        </w:tc>
      </w:tr>
      <w:tr w:rsidR="00A11402" w:rsidRPr="00E02BB9" w14:paraId="27CAB459" w14:textId="77777777">
        <w:tc>
          <w:tcPr>
            <w:tcW w:w="1129" w:type="dxa"/>
            <w:tcBorders>
              <w:top w:val="single" w:sz="4" w:space="0" w:color="auto"/>
            </w:tcBorders>
          </w:tcPr>
          <w:p w14:paraId="38B2FF49" w14:textId="77777777" w:rsidR="00A11402" w:rsidRPr="00E02BB9" w:rsidRDefault="00E02BB9">
            <w:pPr>
              <w:spacing w:after="120" w:line="240" w:lineRule="auto"/>
              <w:jc w:val="both"/>
              <w:rPr>
                <w:rFonts w:ascii="Times New Roman" w:eastAsia="Times New Roman" w:hAnsi="Times New Roman" w:cs="Times New Roman"/>
                <w:bCs/>
              </w:rPr>
            </w:pPr>
            <w:r w:rsidRPr="00E02BB9">
              <w:rPr>
                <w:rFonts w:ascii="Times New Roman" w:hAnsi="Times New Roman"/>
                <w:bCs/>
              </w:rPr>
              <w:t>0190</w:t>
            </w:r>
          </w:p>
        </w:tc>
        <w:tc>
          <w:tcPr>
            <w:tcW w:w="7620" w:type="dxa"/>
            <w:tcBorders>
              <w:top w:val="single" w:sz="4" w:space="0" w:color="auto"/>
            </w:tcBorders>
          </w:tcPr>
          <w:p w14:paraId="45F872AE" w14:textId="77777777" w:rsidR="00A11402" w:rsidRPr="00E02BB9" w:rsidRDefault="00E02BB9">
            <w:pPr>
              <w:spacing w:after="120" w:line="240" w:lineRule="auto"/>
              <w:jc w:val="both"/>
              <w:rPr>
                <w:rFonts w:ascii="Times New Roman" w:eastAsia="Times New Roman" w:hAnsi="Times New Roman" w:cs="Times New Roman"/>
                <w:b/>
                <w:bCs/>
                <w:u w:val="single"/>
              </w:rPr>
            </w:pPr>
            <w:r w:rsidRPr="00E02BB9">
              <w:rPr>
                <w:rFonts w:ascii="Times New Roman" w:hAnsi="Times New Roman"/>
                <w:b/>
                <w:bCs/>
                <w:u w:val="single"/>
              </w:rPr>
              <w:t>Obrađeni nalozi klijenta – novčane transakcije</w:t>
            </w:r>
          </w:p>
          <w:p w14:paraId="67544AE9" w14:textId="77777777" w:rsidR="00A11402" w:rsidRPr="00E02BB9" w:rsidRDefault="00E02BB9">
            <w:pPr>
              <w:spacing w:after="120" w:line="240" w:lineRule="auto"/>
              <w:jc w:val="both"/>
              <w:rPr>
                <w:rFonts w:ascii="Times New Roman" w:eastAsia="Times New Roman" w:hAnsi="Times New Roman" w:cs="Times New Roman"/>
                <w:bCs/>
                <w:color w:val="000000" w:themeColor="text1"/>
              </w:rPr>
            </w:pPr>
            <w:r w:rsidRPr="00E02BB9">
              <w:rPr>
                <w:rFonts w:ascii="Times New Roman" w:hAnsi="Times New Roman"/>
                <w:bCs/>
                <w:color w:val="000000" w:themeColor="text1"/>
              </w:rPr>
              <w:t xml:space="preserve">Članak 15. stavak 2., članak 20. stavak 1. i članak 20. stavak 2. točka (a) Uredbe </w:t>
            </w:r>
            <w:r w:rsidRPr="00E02BB9">
              <w:rPr>
                <w:rFonts w:ascii="Times New Roman" w:hAnsi="Times New Roman"/>
                <w:bCs/>
                <w:color w:val="000000" w:themeColor="text1"/>
              </w:rPr>
              <w:t>(EU) 2019/2033</w:t>
            </w:r>
          </w:p>
        </w:tc>
      </w:tr>
      <w:tr w:rsidR="00A11402" w:rsidRPr="00E02BB9" w14:paraId="1D7DC133" w14:textId="77777777">
        <w:tc>
          <w:tcPr>
            <w:tcW w:w="1129" w:type="dxa"/>
            <w:tcBorders>
              <w:top w:val="single" w:sz="4" w:space="0" w:color="auto"/>
            </w:tcBorders>
          </w:tcPr>
          <w:p w14:paraId="26757CCC" w14:textId="77777777" w:rsidR="00A11402" w:rsidRPr="00E02BB9" w:rsidRDefault="00E02BB9">
            <w:pPr>
              <w:spacing w:after="120" w:line="240" w:lineRule="auto"/>
              <w:jc w:val="both"/>
              <w:rPr>
                <w:rFonts w:ascii="Times New Roman" w:eastAsia="Times New Roman" w:hAnsi="Times New Roman" w:cs="Times New Roman"/>
                <w:bCs/>
              </w:rPr>
            </w:pPr>
            <w:r w:rsidRPr="00E02BB9">
              <w:rPr>
                <w:rFonts w:ascii="Times New Roman" w:hAnsi="Times New Roman"/>
                <w:bCs/>
              </w:rPr>
              <w:lastRenderedPageBreak/>
              <w:t>0200</w:t>
            </w:r>
          </w:p>
        </w:tc>
        <w:tc>
          <w:tcPr>
            <w:tcW w:w="7620" w:type="dxa"/>
            <w:tcBorders>
              <w:top w:val="single" w:sz="4" w:space="0" w:color="auto"/>
            </w:tcBorders>
          </w:tcPr>
          <w:p w14:paraId="04415603" w14:textId="77777777" w:rsidR="00A11402" w:rsidRPr="00E02BB9" w:rsidRDefault="00E02BB9">
            <w:pPr>
              <w:spacing w:after="120" w:line="240" w:lineRule="auto"/>
              <w:jc w:val="both"/>
              <w:rPr>
                <w:rFonts w:ascii="Times New Roman" w:eastAsia="Times New Roman" w:hAnsi="Times New Roman" w:cs="Times New Roman"/>
                <w:b/>
                <w:bCs/>
                <w:u w:val="single"/>
              </w:rPr>
            </w:pPr>
            <w:r w:rsidRPr="00E02BB9">
              <w:rPr>
                <w:rFonts w:ascii="Times New Roman" w:hAnsi="Times New Roman"/>
                <w:b/>
                <w:bCs/>
                <w:u w:val="single"/>
              </w:rPr>
              <w:t>Obrađeni nalozi klijenta – trgovanje izvedenicama</w:t>
            </w:r>
          </w:p>
          <w:p w14:paraId="598D5188" w14:textId="77777777" w:rsidR="00A11402" w:rsidRPr="00E02BB9" w:rsidRDefault="00E02BB9">
            <w:pPr>
              <w:spacing w:after="120" w:line="240" w:lineRule="auto"/>
              <w:jc w:val="both"/>
              <w:rPr>
                <w:rFonts w:ascii="Times New Roman" w:eastAsia="Times New Roman" w:hAnsi="Times New Roman" w:cs="Times New Roman"/>
                <w:bCs/>
                <w:color w:val="000000" w:themeColor="text1"/>
              </w:rPr>
            </w:pPr>
            <w:r w:rsidRPr="00E02BB9">
              <w:rPr>
                <w:rFonts w:ascii="Times New Roman" w:hAnsi="Times New Roman"/>
                <w:bCs/>
                <w:color w:val="000000" w:themeColor="text1"/>
              </w:rPr>
              <w:t>Članak 15. stavak 2. i članak 20. stavak 1. i članak 20. stavak 2. točka (b) Uredbe (EU) 2019/2033</w:t>
            </w:r>
          </w:p>
        </w:tc>
      </w:tr>
      <w:tr w:rsidR="00A11402" w:rsidRPr="00E02BB9" w14:paraId="7139E8D2" w14:textId="77777777">
        <w:tc>
          <w:tcPr>
            <w:tcW w:w="1129" w:type="dxa"/>
            <w:tcBorders>
              <w:top w:val="single" w:sz="4" w:space="0" w:color="auto"/>
            </w:tcBorders>
          </w:tcPr>
          <w:p w14:paraId="7C697F7D" w14:textId="77777777" w:rsidR="00A11402" w:rsidRPr="00E02BB9" w:rsidRDefault="00E02BB9">
            <w:pPr>
              <w:spacing w:after="120" w:line="240" w:lineRule="auto"/>
              <w:jc w:val="both"/>
              <w:rPr>
                <w:rFonts w:ascii="Times New Roman" w:eastAsia="Times New Roman" w:hAnsi="Times New Roman" w:cs="Times New Roman"/>
                <w:bCs/>
              </w:rPr>
            </w:pPr>
            <w:r w:rsidRPr="00E02BB9">
              <w:rPr>
                <w:rFonts w:ascii="Times New Roman" w:hAnsi="Times New Roman"/>
                <w:bCs/>
              </w:rPr>
              <w:t>0210</w:t>
            </w:r>
          </w:p>
        </w:tc>
        <w:tc>
          <w:tcPr>
            <w:tcW w:w="7620" w:type="dxa"/>
            <w:tcBorders>
              <w:top w:val="single" w:sz="4" w:space="0" w:color="auto"/>
            </w:tcBorders>
          </w:tcPr>
          <w:p w14:paraId="764CE6ED" w14:textId="77777777" w:rsidR="00A11402" w:rsidRPr="00E02BB9" w:rsidRDefault="00E02BB9">
            <w:pPr>
              <w:spacing w:after="120" w:line="240" w:lineRule="auto"/>
              <w:jc w:val="both"/>
              <w:rPr>
                <w:rFonts w:ascii="Times New Roman" w:eastAsia="Times New Roman" w:hAnsi="Times New Roman" w:cs="Times New Roman"/>
                <w:b/>
                <w:bCs/>
                <w:u w:val="single"/>
              </w:rPr>
            </w:pPr>
            <w:r w:rsidRPr="00E02BB9">
              <w:rPr>
                <w:rFonts w:ascii="Times New Roman" w:hAnsi="Times New Roman"/>
                <w:b/>
                <w:bCs/>
                <w:u w:val="single"/>
              </w:rPr>
              <w:t>Zahtjev za faktor K-NPR</w:t>
            </w:r>
          </w:p>
          <w:p w14:paraId="7F441080" w14:textId="77777777" w:rsidR="00A11402" w:rsidRPr="00E02BB9" w:rsidRDefault="00E02BB9">
            <w:pPr>
              <w:spacing w:after="120" w:line="240" w:lineRule="auto"/>
              <w:jc w:val="both"/>
              <w:rPr>
                <w:rFonts w:ascii="Times New Roman" w:eastAsia="Times New Roman" w:hAnsi="Times New Roman" w:cs="Times New Roman"/>
                <w:bCs/>
                <w:color w:val="000000" w:themeColor="text1"/>
              </w:rPr>
            </w:pPr>
            <w:r w:rsidRPr="00E02BB9">
              <w:rPr>
                <w:rFonts w:ascii="Times New Roman" w:hAnsi="Times New Roman"/>
                <w:bCs/>
                <w:color w:val="000000" w:themeColor="text1"/>
              </w:rPr>
              <w:t>Članak 22. Uredbe (EU) 2019/2033</w:t>
            </w:r>
          </w:p>
        </w:tc>
      </w:tr>
      <w:tr w:rsidR="00A11402" w:rsidRPr="00E02BB9" w14:paraId="58C4BDFF" w14:textId="77777777">
        <w:tc>
          <w:tcPr>
            <w:tcW w:w="1129" w:type="dxa"/>
            <w:tcBorders>
              <w:top w:val="single" w:sz="4" w:space="0" w:color="auto"/>
            </w:tcBorders>
          </w:tcPr>
          <w:p w14:paraId="55A5B6E6" w14:textId="77777777" w:rsidR="00A11402" w:rsidRPr="00E02BB9" w:rsidRDefault="00E02BB9">
            <w:pPr>
              <w:spacing w:after="120" w:line="240" w:lineRule="auto"/>
              <w:jc w:val="both"/>
              <w:rPr>
                <w:rFonts w:ascii="Times New Roman" w:eastAsia="Times New Roman" w:hAnsi="Times New Roman" w:cs="Times New Roman"/>
                <w:bCs/>
              </w:rPr>
            </w:pPr>
            <w:r w:rsidRPr="00E02BB9">
              <w:rPr>
                <w:rFonts w:ascii="Times New Roman" w:hAnsi="Times New Roman"/>
                <w:bCs/>
              </w:rPr>
              <w:t>0220</w:t>
            </w:r>
          </w:p>
        </w:tc>
        <w:tc>
          <w:tcPr>
            <w:tcW w:w="7620" w:type="dxa"/>
            <w:tcBorders>
              <w:top w:val="single" w:sz="4" w:space="0" w:color="auto"/>
            </w:tcBorders>
          </w:tcPr>
          <w:p w14:paraId="51668413" w14:textId="77777777" w:rsidR="00A11402" w:rsidRPr="00E02BB9" w:rsidRDefault="00E02BB9">
            <w:pPr>
              <w:spacing w:after="120" w:line="240" w:lineRule="auto"/>
              <w:jc w:val="both"/>
              <w:rPr>
                <w:rFonts w:ascii="Times New Roman" w:eastAsia="Times New Roman" w:hAnsi="Times New Roman" w:cs="Times New Roman"/>
                <w:b/>
                <w:bCs/>
                <w:u w:val="single"/>
              </w:rPr>
            </w:pPr>
            <w:r w:rsidRPr="00E02BB9">
              <w:rPr>
                <w:rFonts w:ascii="Times New Roman" w:hAnsi="Times New Roman"/>
                <w:b/>
                <w:bCs/>
                <w:u w:val="single"/>
              </w:rPr>
              <w:t xml:space="preserve">Pružena </w:t>
            </w:r>
            <w:r w:rsidRPr="00E02BB9">
              <w:rPr>
                <w:rFonts w:ascii="Times New Roman" w:hAnsi="Times New Roman"/>
                <w:b/>
                <w:bCs/>
                <w:u w:val="single"/>
              </w:rPr>
              <w:t>marža poravnanja</w:t>
            </w:r>
          </w:p>
          <w:p w14:paraId="64E5A3AB" w14:textId="77777777" w:rsidR="00A11402" w:rsidRPr="00E02BB9" w:rsidRDefault="00E02BB9">
            <w:pPr>
              <w:spacing w:after="120" w:line="240" w:lineRule="auto"/>
              <w:jc w:val="both"/>
              <w:rPr>
                <w:rFonts w:ascii="Times New Roman" w:eastAsia="Times New Roman" w:hAnsi="Times New Roman" w:cs="Times New Roman"/>
                <w:bCs/>
                <w:color w:val="000000" w:themeColor="text1"/>
              </w:rPr>
            </w:pPr>
            <w:r w:rsidRPr="00E02BB9">
              <w:rPr>
                <w:rFonts w:ascii="Times New Roman" w:hAnsi="Times New Roman"/>
                <w:bCs/>
                <w:color w:val="000000" w:themeColor="text1"/>
              </w:rPr>
              <w:t>Članak 23. stavak 2. Uredbe (EU) 2019/2033</w:t>
            </w:r>
          </w:p>
        </w:tc>
      </w:tr>
      <w:tr w:rsidR="00A11402" w:rsidRPr="00E02BB9" w14:paraId="672E23BD" w14:textId="77777777">
        <w:tc>
          <w:tcPr>
            <w:tcW w:w="1129" w:type="dxa"/>
            <w:tcBorders>
              <w:top w:val="single" w:sz="4" w:space="0" w:color="auto"/>
            </w:tcBorders>
          </w:tcPr>
          <w:p w14:paraId="0EB9C88A" w14:textId="77777777" w:rsidR="00A11402" w:rsidRPr="00E02BB9" w:rsidRDefault="00E02BB9">
            <w:pPr>
              <w:spacing w:after="120" w:line="240" w:lineRule="auto"/>
              <w:jc w:val="both"/>
              <w:rPr>
                <w:rFonts w:ascii="Times New Roman" w:eastAsia="Times New Roman" w:hAnsi="Times New Roman" w:cs="Times New Roman"/>
                <w:bCs/>
              </w:rPr>
            </w:pPr>
            <w:r w:rsidRPr="00E02BB9">
              <w:rPr>
                <w:rFonts w:ascii="Times New Roman" w:hAnsi="Times New Roman"/>
                <w:bCs/>
              </w:rPr>
              <w:t>0230</w:t>
            </w:r>
          </w:p>
        </w:tc>
        <w:tc>
          <w:tcPr>
            <w:tcW w:w="7620" w:type="dxa"/>
            <w:tcBorders>
              <w:top w:val="single" w:sz="4" w:space="0" w:color="auto"/>
            </w:tcBorders>
          </w:tcPr>
          <w:p w14:paraId="084F1500" w14:textId="77777777" w:rsidR="00A11402" w:rsidRPr="00E02BB9" w:rsidRDefault="00E02BB9">
            <w:pPr>
              <w:spacing w:after="120" w:line="240" w:lineRule="auto"/>
              <w:jc w:val="both"/>
              <w:rPr>
                <w:rFonts w:ascii="Times New Roman" w:eastAsia="Times New Roman" w:hAnsi="Times New Roman" w:cs="Times New Roman"/>
                <w:b/>
                <w:bCs/>
                <w:u w:val="single"/>
              </w:rPr>
            </w:pPr>
            <w:r w:rsidRPr="00E02BB9">
              <w:rPr>
                <w:rFonts w:ascii="Times New Roman" w:hAnsi="Times New Roman"/>
                <w:b/>
                <w:bCs/>
                <w:u w:val="single"/>
              </w:rPr>
              <w:t>Nastanak statusa neispunjavanja obveza druge ugovorne strane u trgovanju</w:t>
            </w:r>
          </w:p>
          <w:p w14:paraId="5CE563AF" w14:textId="77777777" w:rsidR="00A11402" w:rsidRPr="00E02BB9" w:rsidRDefault="00E02BB9">
            <w:pPr>
              <w:spacing w:after="120" w:line="240" w:lineRule="auto"/>
              <w:jc w:val="both"/>
              <w:rPr>
                <w:rFonts w:ascii="Times New Roman" w:eastAsia="Times New Roman" w:hAnsi="Times New Roman" w:cs="Times New Roman"/>
                <w:bCs/>
                <w:color w:val="000000" w:themeColor="text1"/>
              </w:rPr>
            </w:pPr>
            <w:r w:rsidRPr="00E02BB9">
              <w:rPr>
                <w:rFonts w:ascii="Times New Roman" w:hAnsi="Times New Roman"/>
                <w:bCs/>
                <w:color w:val="000000" w:themeColor="text1"/>
              </w:rPr>
              <w:t>Članak 26. i članak 24. Uredbe (EU) 2019/2033</w:t>
            </w:r>
          </w:p>
        </w:tc>
      </w:tr>
      <w:tr w:rsidR="00A11402" w:rsidRPr="00E02BB9" w14:paraId="0D8C3103" w14:textId="77777777">
        <w:tc>
          <w:tcPr>
            <w:tcW w:w="1129" w:type="dxa"/>
            <w:tcBorders>
              <w:top w:val="single" w:sz="4" w:space="0" w:color="auto"/>
            </w:tcBorders>
          </w:tcPr>
          <w:p w14:paraId="701DEA77" w14:textId="77777777" w:rsidR="00A11402" w:rsidRPr="00E02BB9" w:rsidRDefault="00E02BB9">
            <w:pPr>
              <w:spacing w:after="120" w:line="240" w:lineRule="auto"/>
              <w:jc w:val="both"/>
              <w:rPr>
                <w:rFonts w:ascii="Times New Roman" w:eastAsia="Times New Roman" w:hAnsi="Times New Roman" w:cs="Times New Roman"/>
                <w:bCs/>
              </w:rPr>
            </w:pPr>
            <w:r w:rsidRPr="00E02BB9">
              <w:rPr>
                <w:rFonts w:ascii="Times New Roman" w:hAnsi="Times New Roman"/>
                <w:bCs/>
              </w:rPr>
              <w:t>0240</w:t>
            </w:r>
          </w:p>
        </w:tc>
        <w:tc>
          <w:tcPr>
            <w:tcW w:w="7620" w:type="dxa"/>
            <w:tcBorders>
              <w:top w:val="single" w:sz="4" w:space="0" w:color="auto"/>
            </w:tcBorders>
          </w:tcPr>
          <w:p w14:paraId="46B8CB25" w14:textId="77777777" w:rsidR="00A11402" w:rsidRPr="00E02BB9" w:rsidRDefault="00E02BB9">
            <w:pPr>
              <w:spacing w:after="120" w:line="240" w:lineRule="auto"/>
              <w:jc w:val="both"/>
              <w:rPr>
                <w:rFonts w:ascii="Times New Roman" w:eastAsia="Times New Roman" w:hAnsi="Times New Roman" w:cs="Times New Roman"/>
                <w:b/>
                <w:bCs/>
                <w:u w:val="single"/>
              </w:rPr>
            </w:pPr>
            <w:r w:rsidRPr="00E02BB9">
              <w:rPr>
                <w:rFonts w:ascii="Times New Roman" w:hAnsi="Times New Roman"/>
                <w:b/>
                <w:bCs/>
                <w:u w:val="single"/>
              </w:rPr>
              <w:t>Dnevni promet trgovanja – novčane transakcije</w:t>
            </w:r>
          </w:p>
          <w:p w14:paraId="3A562448" w14:textId="77777777" w:rsidR="00A11402" w:rsidRPr="00E02BB9" w:rsidRDefault="00E02BB9">
            <w:pPr>
              <w:spacing w:after="120" w:line="240" w:lineRule="auto"/>
              <w:jc w:val="both"/>
              <w:rPr>
                <w:rFonts w:ascii="Times New Roman" w:eastAsia="Times New Roman" w:hAnsi="Times New Roman" w:cs="Times New Roman"/>
                <w:bCs/>
                <w:color w:val="000000" w:themeColor="text1"/>
              </w:rPr>
            </w:pPr>
            <w:r w:rsidRPr="00E02BB9">
              <w:rPr>
                <w:rFonts w:ascii="Times New Roman" w:hAnsi="Times New Roman"/>
                <w:bCs/>
                <w:color w:val="000000" w:themeColor="text1"/>
              </w:rPr>
              <w:t>Investicijska društva iskazuju izračun zahtjeva za faktor K primjenom koeficijenta iz članka 15. stavka 2. Uredbe (EU) 2019/2033.</w:t>
            </w:r>
          </w:p>
          <w:p w14:paraId="15BAAFD5" w14:textId="77777777" w:rsidR="00A11402" w:rsidRPr="00E02BB9" w:rsidRDefault="00E02BB9">
            <w:pPr>
              <w:spacing w:after="120" w:line="240" w:lineRule="auto"/>
              <w:jc w:val="both"/>
              <w:rPr>
                <w:rFonts w:ascii="Times New Roman" w:eastAsia="Times New Roman" w:hAnsi="Times New Roman" w:cs="Times New Roman"/>
                <w:bCs/>
                <w:i/>
                <w:color w:val="000000" w:themeColor="text1"/>
              </w:rPr>
            </w:pPr>
            <w:r w:rsidRPr="00E02BB9">
              <w:rPr>
                <w:rFonts w:ascii="Times New Roman" w:hAnsi="Times New Roman"/>
                <w:bCs/>
                <w:color w:val="000000" w:themeColor="text1"/>
              </w:rPr>
              <w:t>U skladu s člankom 15. stavkom 5. točkom (c) Uredbe (EU) 2019/2033, u stresnim tržišnim uvjetima investicijska društva primjen</w:t>
            </w:r>
            <w:r w:rsidRPr="00E02BB9">
              <w:rPr>
                <w:rFonts w:ascii="Times New Roman" w:hAnsi="Times New Roman"/>
                <w:bCs/>
                <w:color w:val="000000" w:themeColor="text1"/>
              </w:rPr>
              <w:t>juju prilagođeni koeficijent kako je navedeno u toj točki.</w:t>
            </w:r>
          </w:p>
          <w:p w14:paraId="35F83168" w14:textId="77777777" w:rsidR="00A11402" w:rsidRPr="00E02BB9" w:rsidRDefault="00E02BB9">
            <w:pPr>
              <w:spacing w:after="120" w:line="240" w:lineRule="auto"/>
              <w:jc w:val="both"/>
              <w:rPr>
                <w:rFonts w:ascii="Times New Roman" w:eastAsia="Times New Roman" w:hAnsi="Times New Roman" w:cs="Times New Roman"/>
                <w:bCs/>
                <w:color w:val="000000" w:themeColor="text1"/>
              </w:rPr>
            </w:pPr>
            <w:r w:rsidRPr="00E02BB9">
              <w:rPr>
                <w:rFonts w:ascii="Times New Roman" w:hAnsi="Times New Roman"/>
                <w:bCs/>
                <w:color w:val="000000" w:themeColor="text1"/>
              </w:rPr>
              <w:t>Faktor dnevnog prometa trgovanja izračunava se u skladu s člankom 33. stavkom 2. točkom (a) Uredbe Komisije (EU) 2019/2033.</w:t>
            </w:r>
          </w:p>
        </w:tc>
      </w:tr>
      <w:tr w:rsidR="00A11402" w:rsidRPr="00E02BB9" w14:paraId="1CD0CBD6" w14:textId="77777777">
        <w:tc>
          <w:tcPr>
            <w:tcW w:w="1129" w:type="dxa"/>
            <w:tcBorders>
              <w:top w:val="single" w:sz="4" w:space="0" w:color="auto"/>
            </w:tcBorders>
          </w:tcPr>
          <w:p w14:paraId="5640E57A" w14:textId="77777777" w:rsidR="00A11402" w:rsidRPr="00E02BB9" w:rsidRDefault="00E02BB9">
            <w:pPr>
              <w:spacing w:after="120" w:line="240" w:lineRule="auto"/>
              <w:jc w:val="both"/>
              <w:rPr>
                <w:rFonts w:ascii="Times New Roman" w:eastAsia="Times New Roman" w:hAnsi="Times New Roman" w:cs="Times New Roman"/>
                <w:bCs/>
              </w:rPr>
            </w:pPr>
            <w:r w:rsidRPr="00E02BB9">
              <w:rPr>
                <w:rFonts w:ascii="Times New Roman" w:hAnsi="Times New Roman"/>
                <w:bCs/>
              </w:rPr>
              <w:t>0250</w:t>
            </w:r>
          </w:p>
        </w:tc>
        <w:tc>
          <w:tcPr>
            <w:tcW w:w="7620" w:type="dxa"/>
            <w:tcBorders>
              <w:top w:val="single" w:sz="4" w:space="0" w:color="auto"/>
            </w:tcBorders>
          </w:tcPr>
          <w:p w14:paraId="12B06BAA" w14:textId="77777777" w:rsidR="00A11402" w:rsidRPr="00E02BB9" w:rsidRDefault="00E02BB9">
            <w:pPr>
              <w:spacing w:after="120" w:line="240" w:lineRule="auto"/>
              <w:jc w:val="both"/>
              <w:rPr>
                <w:rFonts w:ascii="Times New Roman" w:eastAsia="Times New Roman" w:hAnsi="Times New Roman" w:cs="Times New Roman"/>
                <w:b/>
                <w:bCs/>
                <w:u w:val="single"/>
              </w:rPr>
            </w:pPr>
            <w:r w:rsidRPr="00E02BB9">
              <w:rPr>
                <w:rFonts w:ascii="Times New Roman" w:hAnsi="Times New Roman"/>
                <w:b/>
                <w:bCs/>
                <w:u w:val="single"/>
              </w:rPr>
              <w:t>Dnevni promet trgovanja – trgovanje izvedenicama</w:t>
            </w:r>
          </w:p>
          <w:p w14:paraId="151F1348" w14:textId="77777777" w:rsidR="00A11402" w:rsidRPr="00E02BB9" w:rsidRDefault="00E02BB9">
            <w:pPr>
              <w:spacing w:after="120" w:line="240" w:lineRule="auto"/>
              <w:jc w:val="both"/>
              <w:rPr>
                <w:rFonts w:ascii="Times New Roman" w:eastAsia="Times New Roman" w:hAnsi="Times New Roman" w:cs="Times New Roman"/>
                <w:bCs/>
                <w:color w:val="000000" w:themeColor="text1"/>
              </w:rPr>
            </w:pPr>
            <w:r w:rsidRPr="00E02BB9">
              <w:rPr>
                <w:rFonts w:ascii="Times New Roman" w:hAnsi="Times New Roman"/>
                <w:bCs/>
                <w:color w:val="000000" w:themeColor="text1"/>
              </w:rPr>
              <w:t>Investicijska društva iskazuju izračun zahtjeva za faktor K primjenom koeficijenta iz članka 15. stavka 2. Uredbe (EU) 2019/2033.</w:t>
            </w:r>
          </w:p>
          <w:p w14:paraId="64335F4F" w14:textId="77777777" w:rsidR="00A11402" w:rsidRPr="00E02BB9" w:rsidRDefault="00E02BB9">
            <w:pPr>
              <w:spacing w:after="120" w:line="240" w:lineRule="auto"/>
              <w:jc w:val="both"/>
              <w:rPr>
                <w:rFonts w:ascii="Times New Roman" w:eastAsia="Times New Roman" w:hAnsi="Times New Roman" w:cs="Times New Roman"/>
                <w:bCs/>
                <w:i/>
                <w:color w:val="000000" w:themeColor="text1"/>
              </w:rPr>
            </w:pPr>
            <w:r w:rsidRPr="00E02BB9">
              <w:rPr>
                <w:rFonts w:ascii="Times New Roman" w:hAnsi="Times New Roman"/>
                <w:bCs/>
                <w:color w:val="000000" w:themeColor="text1"/>
              </w:rPr>
              <w:t>U skladu s člankom 15. stavkom 5. točkom (c) Uredbe (EU) 2019/2033, u stresnim tržišnim uvjetima investicijska društva primjen</w:t>
            </w:r>
            <w:r w:rsidRPr="00E02BB9">
              <w:rPr>
                <w:rFonts w:ascii="Times New Roman" w:hAnsi="Times New Roman"/>
                <w:bCs/>
                <w:color w:val="000000" w:themeColor="text1"/>
              </w:rPr>
              <w:t>juju prilagođeni koeficijent kako je navedeno u toj točki.</w:t>
            </w:r>
          </w:p>
          <w:p w14:paraId="21DC55B5" w14:textId="77777777" w:rsidR="00A11402" w:rsidRPr="00E02BB9" w:rsidRDefault="00E02BB9">
            <w:pPr>
              <w:spacing w:after="120" w:line="240" w:lineRule="auto"/>
              <w:jc w:val="both"/>
              <w:rPr>
                <w:rFonts w:ascii="Times New Roman" w:eastAsia="Times New Roman" w:hAnsi="Times New Roman" w:cs="Times New Roman"/>
                <w:bCs/>
                <w:color w:val="000000" w:themeColor="text1"/>
              </w:rPr>
            </w:pPr>
            <w:r w:rsidRPr="00E02BB9">
              <w:rPr>
                <w:rFonts w:ascii="Times New Roman" w:hAnsi="Times New Roman"/>
                <w:bCs/>
                <w:color w:val="000000" w:themeColor="text1"/>
              </w:rPr>
              <w:t>Faktor dnevnog prometa trgovanja izračunava se u skladu s člankom 33. stavkom 2. točkom (b) Uredbe Komisije (EU) 2019/2033.</w:t>
            </w:r>
          </w:p>
        </w:tc>
      </w:tr>
      <w:tr w:rsidR="00A11402" w:rsidRPr="00E02BB9" w14:paraId="74043119" w14:textId="77777777">
        <w:tc>
          <w:tcPr>
            <w:tcW w:w="1129" w:type="dxa"/>
            <w:tcBorders>
              <w:top w:val="single" w:sz="4" w:space="0" w:color="auto"/>
            </w:tcBorders>
          </w:tcPr>
          <w:p w14:paraId="1128845F" w14:textId="77777777" w:rsidR="00A11402" w:rsidRPr="00E02BB9" w:rsidRDefault="00E02BB9">
            <w:pPr>
              <w:spacing w:after="120" w:line="240" w:lineRule="auto"/>
              <w:jc w:val="both"/>
              <w:rPr>
                <w:rFonts w:ascii="Times New Roman" w:eastAsia="Times New Roman" w:hAnsi="Times New Roman" w:cs="Times New Roman"/>
                <w:bCs/>
              </w:rPr>
            </w:pPr>
            <w:r w:rsidRPr="00E02BB9">
              <w:rPr>
                <w:rFonts w:ascii="Times New Roman" w:hAnsi="Times New Roman"/>
                <w:bCs/>
              </w:rPr>
              <w:t>0260</w:t>
            </w:r>
          </w:p>
        </w:tc>
        <w:tc>
          <w:tcPr>
            <w:tcW w:w="7620" w:type="dxa"/>
            <w:tcBorders>
              <w:top w:val="single" w:sz="4" w:space="0" w:color="auto"/>
            </w:tcBorders>
          </w:tcPr>
          <w:p w14:paraId="5A6AE9C1" w14:textId="77777777" w:rsidR="00A11402" w:rsidRPr="00E02BB9" w:rsidRDefault="00E02BB9">
            <w:pPr>
              <w:spacing w:after="120" w:line="240" w:lineRule="auto"/>
              <w:jc w:val="both"/>
              <w:rPr>
                <w:rFonts w:ascii="Times New Roman" w:eastAsia="Times New Roman" w:hAnsi="Times New Roman" w:cs="Times New Roman"/>
                <w:b/>
                <w:bCs/>
                <w:u w:val="single"/>
              </w:rPr>
            </w:pPr>
            <w:r w:rsidRPr="00E02BB9">
              <w:rPr>
                <w:rFonts w:ascii="Times New Roman" w:hAnsi="Times New Roman"/>
                <w:b/>
                <w:bCs/>
                <w:u w:val="single"/>
              </w:rPr>
              <w:t>Zahtjev za faktor K-CON</w:t>
            </w:r>
          </w:p>
          <w:p w14:paraId="529688A0" w14:textId="77777777" w:rsidR="00A11402" w:rsidRPr="00E02BB9" w:rsidRDefault="00E02BB9">
            <w:pPr>
              <w:spacing w:after="120" w:line="240" w:lineRule="auto"/>
              <w:jc w:val="both"/>
              <w:rPr>
                <w:rFonts w:ascii="Times New Roman" w:eastAsia="Times New Roman" w:hAnsi="Times New Roman" w:cs="Times New Roman"/>
                <w:bCs/>
                <w:color w:val="000000" w:themeColor="text1"/>
              </w:rPr>
            </w:pPr>
            <w:r w:rsidRPr="00E02BB9">
              <w:rPr>
                <w:rFonts w:ascii="Times New Roman" w:hAnsi="Times New Roman"/>
                <w:bCs/>
                <w:color w:val="000000" w:themeColor="text1"/>
              </w:rPr>
              <w:t>Članak 37. stavak 2., članak 39. i članak 2</w:t>
            </w:r>
            <w:r w:rsidRPr="00E02BB9">
              <w:rPr>
                <w:rFonts w:ascii="Times New Roman" w:hAnsi="Times New Roman"/>
                <w:bCs/>
                <w:color w:val="000000" w:themeColor="text1"/>
              </w:rPr>
              <w:t>4. Uredbe (EU) 2019/2033</w:t>
            </w:r>
          </w:p>
        </w:tc>
      </w:tr>
      <w:tr w:rsidR="00A11402" w14:paraId="5B7611BC" w14:textId="77777777">
        <w:tc>
          <w:tcPr>
            <w:tcW w:w="1129" w:type="dxa"/>
            <w:tcBorders>
              <w:top w:val="single" w:sz="4" w:space="0" w:color="auto"/>
            </w:tcBorders>
          </w:tcPr>
          <w:p w14:paraId="5FDC7727" w14:textId="77777777" w:rsidR="00A11402" w:rsidRPr="00E02BB9" w:rsidRDefault="00E02BB9">
            <w:pPr>
              <w:spacing w:after="120" w:line="240" w:lineRule="auto"/>
              <w:jc w:val="both"/>
              <w:rPr>
                <w:rFonts w:ascii="Times New Roman" w:eastAsia="Times New Roman" w:hAnsi="Times New Roman" w:cs="Times New Roman"/>
                <w:bCs/>
              </w:rPr>
            </w:pPr>
            <w:r w:rsidRPr="00E02BB9">
              <w:rPr>
                <w:rFonts w:ascii="Times New Roman" w:hAnsi="Times New Roman"/>
                <w:bCs/>
              </w:rPr>
              <w:t>0270</w:t>
            </w:r>
          </w:p>
        </w:tc>
        <w:tc>
          <w:tcPr>
            <w:tcW w:w="7620" w:type="dxa"/>
            <w:tcBorders>
              <w:top w:val="single" w:sz="4" w:space="0" w:color="auto"/>
            </w:tcBorders>
          </w:tcPr>
          <w:p w14:paraId="27D402BD" w14:textId="77777777" w:rsidR="00A11402" w:rsidRPr="00E02BB9" w:rsidRDefault="00E02BB9">
            <w:pPr>
              <w:spacing w:after="120" w:line="240" w:lineRule="auto"/>
              <w:jc w:val="both"/>
              <w:rPr>
                <w:rFonts w:ascii="Times New Roman" w:eastAsia="Times New Roman" w:hAnsi="Times New Roman" w:cs="Times New Roman"/>
                <w:b/>
                <w:bCs/>
                <w:u w:val="single"/>
              </w:rPr>
            </w:pPr>
            <w:r w:rsidRPr="00E02BB9">
              <w:rPr>
                <w:rFonts w:ascii="Times New Roman" w:hAnsi="Times New Roman"/>
                <w:b/>
                <w:bCs/>
                <w:u w:val="single"/>
              </w:rPr>
              <w:t>Zahtjevi za fiksne opće troškove</w:t>
            </w:r>
          </w:p>
          <w:p w14:paraId="0B79D1E6" w14:textId="77777777" w:rsidR="00A11402" w:rsidRDefault="00E02BB9">
            <w:pPr>
              <w:spacing w:after="120" w:line="240" w:lineRule="auto"/>
              <w:jc w:val="both"/>
              <w:rPr>
                <w:rFonts w:ascii="Times New Roman" w:eastAsia="Times New Roman" w:hAnsi="Times New Roman" w:cs="Times New Roman"/>
                <w:bCs/>
                <w:color w:val="000000" w:themeColor="text1"/>
              </w:rPr>
            </w:pPr>
            <w:r w:rsidRPr="00E02BB9">
              <w:rPr>
                <w:rFonts w:ascii="Times New Roman" w:hAnsi="Times New Roman"/>
                <w:bCs/>
                <w:color w:val="000000" w:themeColor="text1"/>
              </w:rPr>
              <w:t>Članak 13. Uredbe (EU) 2019/2033</w:t>
            </w:r>
          </w:p>
        </w:tc>
      </w:tr>
    </w:tbl>
    <w:p w14:paraId="5B934771" w14:textId="77777777" w:rsidR="00A11402" w:rsidRDefault="00A11402">
      <w:pPr>
        <w:pStyle w:val="Instructionsberschrift2"/>
        <w:ind w:left="357" w:hanging="357"/>
        <w:rPr>
          <w:lang w:val="en-IE"/>
        </w:rPr>
      </w:pPr>
    </w:p>
    <w:sectPr w:rsidR="00A11402">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3DB3ED" w14:textId="77777777" w:rsidR="00A11402" w:rsidRDefault="00A11402">
      <w:pPr>
        <w:pStyle w:val="Footer"/>
      </w:pPr>
    </w:p>
  </w:endnote>
  <w:endnote w:type="continuationSeparator" w:id="0">
    <w:p w14:paraId="6F2F8AA3" w14:textId="77777777" w:rsidR="00A11402" w:rsidRDefault="00A11402">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AE54C2" w14:textId="77777777" w:rsidR="00A11402" w:rsidRDefault="00A1140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E58431" w14:textId="77777777" w:rsidR="00A11402" w:rsidRDefault="00E02BB9">
    <w:pPr>
      <w:pStyle w:val="Footer"/>
      <w:tabs>
        <w:tab w:val="clear" w:pos="4513"/>
        <w:tab w:val="clear" w:pos="9026"/>
        <w:tab w:val="right" w:pos="9071"/>
      </w:tabs>
    </w:pPr>
    <w:r>
      <w:t>HR - Cleaned document</w:t>
    </w:r>
    <w:r>
      <w:tab/>
    </w:r>
    <w:r>
      <w:fldChar w:fldCharType="begin"/>
    </w:r>
    <w:r>
      <w:instrText xml:space="preserve"> PAGE \* MERGEFORMAT </w:instrText>
    </w:r>
    <w:r>
      <w:fldChar w:fldCharType="separate"/>
    </w:r>
    <w:r>
      <w:rPr>
        <w:noProof/>
      </w:rPr>
      <w:t>1</w:t>
    </w:r>
    <w:r>
      <w:fldChar w:fldCharType="end"/>
    </w:r>
    <w:r>
      <w:t>/</w:t>
    </w:r>
    <w:r>
      <w:fldChar w:fldCharType="begin"/>
    </w:r>
    <w:r>
      <w:instrText xml:space="preserve"> NUMPAGES \* MERGEFORMAT </w:instrText>
    </w:r>
    <w:r>
      <w:fldChar w:fldCharType="separate"/>
    </w:r>
    <w:r>
      <w:rPr>
        <w:noProof/>
      </w:rPr>
      <w:t>11</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C7649B" w14:textId="77777777" w:rsidR="00A11402" w:rsidRDefault="00A114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289457" w14:textId="77777777" w:rsidR="00A11402" w:rsidRDefault="00A11402">
      <w:pPr>
        <w:pStyle w:val="Footer"/>
      </w:pPr>
    </w:p>
  </w:footnote>
  <w:footnote w:type="continuationSeparator" w:id="0">
    <w:p w14:paraId="67A27A3B" w14:textId="77777777" w:rsidR="00A11402" w:rsidRDefault="00A11402">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2FCC95" w14:textId="77777777" w:rsidR="00A11402" w:rsidRDefault="00E02BB9">
    <w:pPr>
      <w:pStyle w:val="Header"/>
    </w:pPr>
    <w:r>
      <w:rPr>
        <w:rFonts w:ascii="Times New Roman" w:hAnsi="Times New Roman" w:cs="Times New Roman"/>
        <w:color w:val="000000"/>
        <w:sz w:val="24"/>
      </w:rPr>
      <w:t>Central Bank of Ireland - RESTRICTED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938C33" w14:textId="06E81E3F" w:rsidR="00A11402" w:rsidRDefault="00E02BB9">
    <w:pPr>
      <w:pStyle w:val="Header"/>
    </w:pPr>
    <w:r>
      <w:rPr>
        <w:noProof/>
      </w:rPr>
      <mc:AlternateContent>
        <mc:Choice Requires="wps">
          <w:drawing>
            <wp:anchor distT="0" distB="0" distL="114300" distR="114300" simplePos="0" relativeHeight="251659264" behindDoc="0" locked="0" layoutInCell="0" allowOverlap="1" wp14:anchorId="11DD13BB" wp14:editId="596F08D8">
              <wp:simplePos x="0" y="0"/>
              <wp:positionH relativeFrom="page">
                <wp:posOffset>0</wp:posOffset>
              </wp:positionH>
              <wp:positionV relativeFrom="page">
                <wp:posOffset>190500</wp:posOffset>
              </wp:positionV>
              <wp:extent cx="7560310" cy="273050"/>
              <wp:effectExtent l="0" t="0" r="0" b="12700"/>
              <wp:wrapNone/>
              <wp:docPr id="1" name="MSIPCMcf8140c0a9a4f6ff60dc80d6" descr="{&quot;HashCode&quot;:-466411507,&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39E58D3" w14:textId="11760B60" w:rsidR="00E02BB9" w:rsidRPr="00E02BB9" w:rsidRDefault="00E02BB9" w:rsidP="00E02BB9">
                          <w:pPr>
                            <w:spacing w:after="0"/>
                            <w:rPr>
                              <w:rFonts w:ascii="Calibri" w:hAnsi="Calibri" w:cs="Calibri"/>
                              <w:color w:val="000000"/>
                              <w:sz w:val="24"/>
                            </w:rPr>
                          </w:pPr>
                          <w:r w:rsidRPr="00E02BB9">
                            <w:rPr>
                              <w:rFonts w:ascii="Calibri" w:hAnsi="Calibri" w:cs="Calibri"/>
                              <w:color w:val="000000"/>
                              <w:sz w:val="24"/>
                            </w:rPr>
                            <w:t>EBA Regular Use</w:t>
                          </w: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11DD13BB" id="_x0000_t202" coordsize="21600,21600" o:spt="202" path="m,l,21600r21600,l21600,xe">
              <v:stroke joinstyle="miter"/>
              <v:path gradientshapeok="t" o:connecttype="rect"/>
            </v:shapetype>
            <v:shape id="MSIPCMcf8140c0a9a4f6ff60dc80d6" o:spid="_x0000_s1026" type="#_x0000_t202" alt="{&quot;HashCode&quot;:-466411507,&quot;Height&quot;:841.0,&quot;Width&quot;:595.0,&quot;Placement&quot;:&quot;Header&quot;,&quot;Index&quot;:&quot;Primary&quot;,&quot;Section&quot;:1,&quot;Top&quot;:0.0,&quot;Left&quot;:0.0}" style="position:absolute;margin-left:0;margin-top:1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" o:allowincell="f" filled="f" stroked="f" strokeweight=".5pt">
              <v:fill o:detectmouseclick="t"/>
              <v:textbox inset="20pt,0,,0">
                <w:txbxContent>
                  <w:p w14:paraId="139E58D3" w14:textId="11760B60" w:rsidR="00E02BB9" w:rsidRPr="00E02BB9" w:rsidRDefault="00E02BB9" w:rsidP="00E02BB9">
                    <w:pPr>
                      <w:spacing w:after="0"/>
                      <w:rPr>
                        <w:rFonts w:ascii="Calibri" w:hAnsi="Calibri" w:cs="Calibri"/>
                        <w:color w:val="000000"/>
                        <w:sz w:val="24"/>
                      </w:rPr>
                    </w:pPr>
                    <w:r w:rsidRPr="00E02BB9">
                      <w:rPr>
                        <w:rFonts w:ascii="Calibri" w:hAnsi="Calibri" w:cs="Calibri"/>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FE1F1A" w14:textId="77777777" w:rsidR="00A11402" w:rsidRDefault="00E02BB9">
    <w:pPr>
      <w:pStyle w:val="Header"/>
    </w:pPr>
    <w:r>
      <w:rPr>
        <w:rFonts w:ascii="Times New Roman" w:hAnsi="Times New Roman" w:cs="Times New Roman"/>
        <w:color w:val="000000"/>
        <w:sz w:val="24"/>
      </w:rPr>
      <w:t xml:space="preserve">Central Bank of Ireland - </w:t>
    </w:r>
    <w:r>
      <w:rPr>
        <w:rFonts w:ascii="Times New Roman" w:hAnsi="Times New Roman" w:cs="Times New Roman"/>
        <w:color w:val="000000"/>
        <w:sz w:val="24"/>
      </w:rPr>
      <w:t>RESTRICTED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504293"/>
    <w:multiLevelType w:val="hybridMultilevel"/>
    <w:tmpl w:val="C2D274AC"/>
    <w:lvl w:ilvl="0" w:tplc="9B189216">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107C272B"/>
    <w:multiLevelType w:val="hybridMultilevel"/>
    <w:tmpl w:val="5FF2362C"/>
    <w:lvl w:ilvl="0" w:tplc="CF5C816A">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3802EC7"/>
    <w:multiLevelType w:val="multilevel"/>
    <w:tmpl w:val="3BFC9DFC"/>
    <w:lvl w:ilvl="0">
      <w:start w:val="1"/>
      <w:numFmt w:val="decimal"/>
      <w:lvlText w:val="%1."/>
      <w:lvlJc w:val="left"/>
      <w:pPr>
        <w:ind w:left="360" w:hanging="360"/>
      </w:pPr>
    </w:lvl>
    <w:lvl w:ilvl="1">
      <w:start w:val="1"/>
      <w:numFmt w:val="decimal"/>
      <w:lvlText w:val="%1.%2."/>
      <w:lvlJc w:val="left"/>
      <w:pPr>
        <w:ind w:left="792" w:hanging="432"/>
      </w:pPr>
    </w:lvl>
    <w:lvl w:ilvl="2">
      <w:start w:val="11"/>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4E4026E"/>
    <w:multiLevelType w:val="hybridMultilevel"/>
    <w:tmpl w:val="ED7C6D34"/>
    <w:lvl w:ilvl="0" w:tplc="1809000F">
      <w:start w:val="1"/>
      <w:numFmt w:val="decimal"/>
      <w:lvlText w:val="%1."/>
      <w:lvlJc w:val="left"/>
      <w:pPr>
        <w:ind w:left="720" w:hanging="360"/>
      </w:pPr>
    </w:lvl>
    <w:lvl w:ilvl="1" w:tplc="1809001B">
      <w:start w:val="1"/>
      <w:numFmt w:val="lowerRoman"/>
      <w:lvlText w:val="%2."/>
      <w:lvlJc w:val="righ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5" w15:restartNumberingAfterBreak="0">
    <w:nsid w:val="33F45FC0"/>
    <w:multiLevelType w:val="hybridMultilevel"/>
    <w:tmpl w:val="861075D0"/>
    <w:lvl w:ilvl="0" w:tplc="BAEC611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87F300C"/>
    <w:multiLevelType w:val="multilevel"/>
    <w:tmpl w:val="F990A070"/>
    <w:lvl w:ilvl="0">
      <w:start w:val="1"/>
      <w:numFmt w:val="decimal"/>
      <w:lvlText w:val="%1."/>
      <w:lvlJc w:val="left"/>
      <w:pPr>
        <w:ind w:left="360" w:hanging="360"/>
      </w:pPr>
    </w:lvl>
    <w:lvl w:ilvl="1">
      <w:start w:val="3"/>
      <w:numFmt w:val="decimal"/>
      <w:lvlText w:val="%1.%2."/>
      <w:lvlJc w:val="left"/>
      <w:pPr>
        <w:ind w:left="792" w:hanging="432"/>
      </w:pPr>
    </w:lvl>
    <w:lvl w:ilvl="2">
      <w:start w:val="9"/>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9DE1B7E"/>
    <w:multiLevelType w:val="multilevel"/>
    <w:tmpl w:val="A2FAFAAE"/>
    <w:lvl w:ilvl="0">
      <w:start w:val="1"/>
      <w:numFmt w:val="decimal"/>
      <w:lvlText w:val="%1."/>
      <w:lvlJc w:val="left"/>
      <w:pPr>
        <w:ind w:left="360" w:hanging="360"/>
      </w:pPr>
    </w:lvl>
    <w:lvl w:ilvl="1">
      <w:start w:val="4"/>
      <w:numFmt w:val="decimal"/>
      <w:lvlText w:val="%1.%2."/>
      <w:lvlJc w:val="left"/>
      <w:pPr>
        <w:ind w:left="792" w:hanging="432"/>
      </w:pPr>
    </w:lvl>
    <w:lvl w:ilvl="2">
      <w:start w:val="10"/>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E600D98"/>
    <w:multiLevelType w:val="multilevel"/>
    <w:tmpl w:val="A2FAFAAE"/>
    <w:lvl w:ilvl="0">
      <w:start w:val="1"/>
      <w:numFmt w:val="decimal"/>
      <w:lvlText w:val="%1."/>
      <w:lvlJc w:val="left"/>
      <w:pPr>
        <w:ind w:left="360" w:hanging="360"/>
      </w:pPr>
    </w:lvl>
    <w:lvl w:ilvl="1">
      <w:start w:val="4"/>
      <w:numFmt w:val="decimal"/>
      <w:lvlText w:val="%1.%2."/>
      <w:lvlJc w:val="left"/>
      <w:pPr>
        <w:ind w:left="792" w:hanging="432"/>
      </w:pPr>
    </w:lvl>
    <w:lvl w:ilvl="2">
      <w:start w:val="10"/>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857503B"/>
    <w:multiLevelType w:val="multilevel"/>
    <w:tmpl w:val="9EF8413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AAB17E1"/>
    <w:multiLevelType w:val="multilevel"/>
    <w:tmpl w:val="15C8FFFA"/>
    <w:lvl w:ilvl="0">
      <w:start w:val="1"/>
      <w:numFmt w:val="decimal"/>
      <w:lvlText w:val="%1."/>
      <w:lvlJc w:val="left"/>
      <w:pPr>
        <w:ind w:left="360" w:hanging="360"/>
      </w:pPr>
    </w:lvl>
    <w:lvl w:ilvl="1">
      <w:start w:val="2"/>
      <w:numFmt w:val="decimal"/>
      <w:lvlText w:val="%1.%2."/>
      <w:lvlJc w:val="left"/>
      <w:pPr>
        <w:ind w:left="792" w:hanging="432"/>
      </w:pPr>
    </w:lvl>
    <w:lvl w:ilvl="2">
      <w:start w:val="4"/>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685544C6"/>
    <w:multiLevelType w:val="hybridMultilevel"/>
    <w:tmpl w:val="B5AE6A30"/>
    <w:lvl w:ilvl="0" w:tplc="FE30201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D371863"/>
    <w:multiLevelType w:val="hybridMultilevel"/>
    <w:tmpl w:val="E5404712"/>
    <w:lvl w:ilvl="0" w:tplc="40D6BDA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5"/>
  </w:num>
  <w:num w:numId="3">
    <w:abstractNumId w:val="11"/>
  </w:num>
  <w:num w:numId="4">
    <w:abstractNumId w:val="0"/>
  </w:num>
  <w:num w:numId="5">
    <w:abstractNumId w:val="3"/>
  </w:num>
  <w:num w:numId="6">
    <w:abstractNumId w:val="13"/>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2"/>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3"/>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4"/>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4"/>
  </w:num>
  <w:num w:numId="13">
    <w:abstractNumId w:val="4"/>
  </w:num>
  <w:num w:numId="14">
    <w:abstractNumId w:val="4"/>
  </w:num>
  <w:num w:numId="15">
    <w:abstractNumId w:val="4"/>
  </w:num>
  <w:num w:numId="16">
    <w:abstractNumId w:val="4"/>
  </w:num>
  <w:num w:numId="17">
    <w:abstractNumId w:val="4"/>
  </w:num>
  <w:num w:numId="18">
    <w:abstractNumId w:val="4"/>
  </w:num>
  <w:num w:numId="19">
    <w:abstractNumId w:val="7"/>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defaultTabStop w:val="720"/>
  <w:hyphenationZone w:val="283"/>
  <w:characterSpacingControl w:val="doNotCompress"/>
  <w:hdrShapeDefaults>
    <o:shapedefaults v:ext="edit" spidmax="142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A11402"/>
    <w:rsid w:val="00A11402"/>
    <w:rsid w:val="00E02BB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2337"/>
    <o:shapelayout v:ext="edit">
      <o:idmap v:ext="edit" data="1"/>
    </o:shapelayout>
  </w:shapeDefaults>
  <w:decimalSymbol w:val="."/>
  <w:listSeparator w:val=","/>
  <w14:docId w14:val="696202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autoRedefine/>
    <w:uiPriority w:val="99"/>
    <w:qFormat/>
    <w:pPr>
      <w:keepNext/>
      <w:spacing w:before="240" w:after="120" w:line="240" w:lineRule="auto"/>
      <w:jc w:val="both"/>
      <w:outlineLvl w:val="1"/>
    </w:pPr>
    <w:rPr>
      <w:rFonts w:ascii="Verdana" w:eastAsia="Arial" w:hAnsi="Verdana" w:cs="Times New Roman"/>
      <w:b/>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pPr>
      <w:spacing w:after="100"/>
      <w:ind w:left="220"/>
    </w:pPr>
  </w:style>
  <w:style w:type="character" w:customStyle="1" w:styleId="Heading2Char">
    <w:name w:val="Heading 2 Char"/>
    <w:basedOn w:val="DefaultParagraphFont"/>
    <w:link w:val="Heading2"/>
    <w:uiPriority w:val="99"/>
    <w:rPr>
      <w:rFonts w:ascii="Verdana" w:eastAsia="Arial" w:hAnsi="Verdana" w:cs="Times New Roman"/>
      <w:b/>
      <w:sz w:val="24"/>
      <w:szCs w:val="24"/>
      <w:u w:val="single"/>
      <w:lang w:val="hr-HR"/>
    </w:rPr>
  </w:style>
  <w:style w:type="character" w:styleId="CommentReference">
    <w:name w:val="annotation reference"/>
    <w:basedOn w:val="DefaultParagraphFont"/>
    <w:uiPriority w:val="99"/>
    <w:unhideWhenUsed/>
    <w:rPr>
      <w:sz w:val="16"/>
      <w:szCs w:val="1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paragraph" w:styleId="ListParagraph">
    <w:name w:val="List Paragraph"/>
    <w:basedOn w:val="Normal"/>
    <w:link w:val="ListParagraphChar"/>
    <w:uiPriority w:val="34"/>
    <w:qFormat/>
    <w:pPr>
      <w:ind w:left="720"/>
      <w:contextualSpacing/>
    </w:pPr>
  </w:style>
  <w:style w:type="character" w:customStyle="1" w:styleId="FormatvorlageInstructionsTabelleText">
    <w:name w:val="Formatvorlage Instructions Tabelle Text"/>
    <w:uiPriority w:val="99"/>
    <w:qFormat/>
    <w:rPr>
      <w:rFonts w:ascii="Verdana" w:hAnsi="Verdana" w:cs="Times New Roman"/>
      <w:bCs/>
      <w:sz w:val="20"/>
      <w:u w:val="none"/>
    </w:rPr>
  </w:style>
  <w:style w:type="character" w:customStyle="1" w:styleId="InstructionsTabelleberschrift">
    <w:name w:val="Instructions Tabelle Überschrift"/>
    <w:qFormat/>
    <w:rPr>
      <w:rFonts w:ascii="Verdana" w:hAnsi="Verdana" w:cs="Times New Roman"/>
      <w:b/>
      <w:bCs/>
      <w:sz w:val="20"/>
      <w:u w:val="single"/>
    </w:rPr>
  </w:style>
  <w:style w:type="paragraph" w:customStyle="1" w:styleId="InstructionsText">
    <w:name w:val="Instructions Text"/>
    <w:basedOn w:val="Normal"/>
    <w:link w:val="InstructionsTextChar"/>
    <w:autoRedefine/>
    <w:pPr>
      <w:spacing w:after="0" w:line="240" w:lineRule="auto"/>
      <w:jc w:val="both"/>
    </w:pPr>
    <w:rPr>
      <w:rFonts w:ascii="Times New Roman" w:eastAsia="Times New Roman" w:hAnsi="Times New Roman" w:cs="Arial"/>
      <w:bCs/>
      <w:sz w:val="24"/>
      <w:szCs w:val="24"/>
      <w:lang w:eastAsia="de-DE"/>
    </w:rPr>
  </w:style>
  <w:style w:type="character" w:customStyle="1" w:styleId="InstructionsTextChar">
    <w:name w:val="Instructions Text Char"/>
    <w:link w:val="InstructionsText"/>
    <w:locked/>
    <w:rPr>
      <w:rFonts w:ascii="Times New Roman" w:eastAsia="Times New Roman" w:hAnsi="Times New Roman" w:cs="Arial"/>
      <w:bCs/>
      <w:sz w:val="24"/>
      <w:szCs w:val="24"/>
      <w:lang w:eastAsia="de-DE"/>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paragraph" w:customStyle="1" w:styleId="Default">
    <w:name w:val="Default"/>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ufzhlungszeichen3">
    <w:name w:val="Aufzählungszeichen3"/>
    <w:basedOn w:val="Normal"/>
    <w:uiPriority w:val="1"/>
    <w:qFormat/>
    <w:pPr>
      <w:numPr>
        <w:numId w:val="6"/>
      </w:numPr>
      <w:spacing w:before="120" w:after="120" w:line="240" w:lineRule="exact"/>
      <w:jc w:val="both"/>
    </w:pPr>
    <w:rPr>
      <w:rFonts w:ascii="Verdana" w:eastAsia="Times New Roman" w:hAnsi="Verdana" w:cs="Times New Roman"/>
      <w:sz w:val="20"/>
      <w:szCs w:val="24"/>
    </w:rPr>
  </w:style>
  <w:style w:type="paragraph" w:customStyle="1" w:styleId="InstructionsText2">
    <w:name w:val="Instructions Text 2"/>
    <w:basedOn w:val="InstructionsText"/>
    <w:qFormat/>
    <w:pPr>
      <w:numPr>
        <w:numId w:val="12"/>
      </w:numPr>
      <w:spacing w:after="240"/>
    </w:pPr>
    <w:rPr>
      <w:rFonts w:cs="Times New Roman"/>
      <w:bCs w:val="0"/>
    </w:rPr>
  </w:style>
  <w:style w:type="paragraph" w:customStyle="1" w:styleId="Instructionsberschrift2">
    <w:name w:val="Instructions Überschrift 2"/>
    <w:basedOn w:val="Heading2"/>
    <w:pPr>
      <w:spacing w:after="240"/>
      <w:ind w:left="720"/>
    </w:pPr>
    <w:rPr>
      <w:rFonts w:cs="Arial"/>
      <w:b w:val="0"/>
      <w:sz w:val="20"/>
    </w:rPr>
  </w:style>
  <w:style w:type="character" w:customStyle="1" w:styleId="ListParagraphChar">
    <w:name w:val="List Paragraph Char"/>
    <w:link w:val="ListParagraph"/>
    <w:uiPriority w:val="34"/>
  </w:style>
  <w:style w:type="character" w:customStyle="1" w:styleId="InstructionsTabelleText">
    <w:name w:val="Instructions Tabelle Text"/>
    <w:rPr>
      <w:rFonts w:ascii="Verdana" w:hAnsi="Verdana" w:cs="Times New Roman"/>
      <w:sz w:val="20"/>
    </w:rPr>
  </w:style>
  <w:style w:type="paragraph" w:styleId="Revision">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4197953">
      <w:bodyDiv w:val="1"/>
      <w:marLeft w:val="0"/>
      <w:marRight w:val="0"/>
      <w:marTop w:val="0"/>
      <w:marBottom w:val="0"/>
      <w:divBdr>
        <w:top w:val="none" w:sz="0" w:space="0" w:color="auto"/>
        <w:left w:val="none" w:sz="0" w:space="0" w:color="auto"/>
        <w:bottom w:val="none" w:sz="0" w:space="0" w:color="auto"/>
        <w:right w:val="none" w:sz="0" w:space="0" w:color="auto"/>
      </w:divBdr>
    </w:div>
    <w:div w:id="211356039">
      <w:bodyDiv w:val="1"/>
      <w:marLeft w:val="0"/>
      <w:marRight w:val="0"/>
      <w:marTop w:val="0"/>
      <w:marBottom w:val="0"/>
      <w:divBdr>
        <w:top w:val="none" w:sz="0" w:space="0" w:color="auto"/>
        <w:left w:val="none" w:sz="0" w:space="0" w:color="auto"/>
        <w:bottom w:val="none" w:sz="0" w:space="0" w:color="auto"/>
        <w:right w:val="none" w:sz="0" w:space="0" w:color="auto"/>
      </w:divBdr>
    </w:div>
    <w:div w:id="455148165">
      <w:bodyDiv w:val="1"/>
      <w:marLeft w:val="0"/>
      <w:marRight w:val="0"/>
      <w:marTop w:val="0"/>
      <w:marBottom w:val="0"/>
      <w:divBdr>
        <w:top w:val="none" w:sz="0" w:space="0" w:color="auto"/>
        <w:left w:val="none" w:sz="0" w:space="0" w:color="auto"/>
        <w:bottom w:val="none" w:sz="0" w:space="0" w:color="auto"/>
        <w:right w:val="none" w:sz="0" w:space="0" w:color="auto"/>
      </w:divBdr>
    </w:div>
    <w:div w:id="1303537486">
      <w:bodyDiv w:val="1"/>
      <w:marLeft w:val="0"/>
      <w:marRight w:val="0"/>
      <w:marTop w:val="0"/>
      <w:marBottom w:val="0"/>
      <w:divBdr>
        <w:top w:val="none" w:sz="0" w:space="0" w:color="auto"/>
        <w:left w:val="none" w:sz="0" w:space="0" w:color="auto"/>
        <w:bottom w:val="none" w:sz="0" w:space="0" w:color="auto"/>
        <w:right w:val="none" w:sz="0" w:space="0" w:color="auto"/>
      </w:divBdr>
    </w:div>
    <w:div w:id="1431663564">
      <w:bodyDiv w:val="1"/>
      <w:marLeft w:val="0"/>
      <w:marRight w:val="0"/>
      <w:marTop w:val="0"/>
      <w:marBottom w:val="0"/>
      <w:divBdr>
        <w:top w:val="none" w:sz="0" w:space="0" w:color="auto"/>
        <w:left w:val="none" w:sz="0" w:space="0" w:color="auto"/>
        <w:bottom w:val="none" w:sz="0" w:space="0" w:color="auto"/>
        <w:right w:val="none" w:sz="0" w:space="0" w:color="auto"/>
      </w:divBdr>
    </w:div>
    <w:div w:id="2033148956">
      <w:bodyDiv w:val="1"/>
      <w:marLeft w:val="0"/>
      <w:marRight w:val="0"/>
      <w:marTop w:val="0"/>
      <w:marBottom w:val="0"/>
      <w:divBdr>
        <w:top w:val="none" w:sz="0" w:space="0" w:color="auto"/>
        <w:left w:val="none" w:sz="0" w:space="0" w:color="auto"/>
        <w:bottom w:val="none" w:sz="0" w:space="0" w:color="auto"/>
        <w:right w:val="none" w:sz="0" w:space="0" w:color="auto"/>
      </w:divBdr>
    </w:div>
    <w:div w:id="2076051648">
      <w:bodyDiv w:val="1"/>
      <w:marLeft w:val="0"/>
      <w:marRight w:val="0"/>
      <w:marTop w:val="0"/>
      <w:marBottom w:val="0"/>
      <w:divBdr>
        <w:top w:val="none" w:sz="0" w:space="0" w:color="auto"/>
        <w:left w:val="none" w:sz="0" w:space="0" w:color="auto"/>
        <w:bottom w:val="none" w:sz="0" w:space="0" w:color="auto"/>
        <w:right w:val="none" w:sz="0" w:space="0" w:color="auto"/>
      </w:divBdr>
    </w:div>
    <w:div w:id="2127312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isl xmlns:xsi="http://www.w3.org/2001/XMLSchema-instance" xmlns:xsd="http://www.w3.org/2001/XMLSchema" xmlns="http://www.boldonjames.com/2008/01/sie/internal/label" sislVersion="0" policy="a586b747-2a7c-4f57-bcd1-e81df5c8c005" origin="userSelected">
  <element uid="id_classification_generalbusiness" value=""/>
</sisl>
</file>

<file path=customXml/itemProps1.xml><?xml version="1.0" encoding="utf-8"?>
<ds:datastoreItem xmlns:ds="http://schemas.openxmlformats.org/officeDocument/2006/customXml" ds:itemID="{AD056E87-3F7C-49FC-8C72-88C0D8018753}">
  <ds:schemaRefs>
    <ds:schemaRef ds:uri="http://schemas.openxmlformats.org/officeDocument/2006/bibliography"/>
  </ds:schemaRefs>
</ds:datastoreItem>
</file>

<file path=customXml/itemProps2.xml><?xml version="1.0" encoding="utf-8"?>
<ds:datastoreItem xmlns:ds="http://schemas.openxmlformats.org/officeDocument/2006/customXml" ds:itemID="{67500584-2808-442D-BA8D-CDE8FD90BA89}">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3465</Words>
  <Characters>19755</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23174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2021-11-25T14:56:00Z</dcterms:created>
  <dcterms:modified xsi:type="dcterms:W3CDTF">2022-01-14T16:19:00Z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c7eb9de-735b-4a68-8fe4-c9c62709b012_Enabled">
    <vt:lpwstr>true</vt:lpwstr>
  </property>
  <property fmtid="{D5CDD505-2E9C-101B-9397-08002B2CF9AE}" pid="3" name="MSIP_Label_5c7eb9de-735b-4a68-8fe4-c9c62709b012_SetDate">
    <vt:lpwstr>2022-01-14T16:19:33Z</vt:lpwstr>
  </property>
  <property fmtid="{D5CDD505-2E9C-101B-9397-08002B2CF9AE}" pid="4" name="MSIP_Label_5c7eb9de-735b-4a68-8fe4-c9c62709b012_Method">
    <vt:lpwstr>Standard</vt:lpwstr>
  </property>
  <property fmtid="{D5CDD505-2E9C-101B-9397-08002B2CF9AE}" pid="5" name="MSIP_Label_5c7eb9de-735b-4a68-8fe4-c9c62709b012_Name">
    <vt:lpwstr>EBA Regular Use</vt:lpwstr>
  </property>
  <property fmtid="{D5CDD505-2E9C-101B-9397-08002B2CF9AE}" pid="6" name="MSIP_Label_5c7eb9de-735b-4a68-8fe4-c9c62709b012_SiteId">
    <vt:lpwstr>3bacb4ff-f1a2-4c92-b96c-e99fec826b68</vt:lpwstr>
  </property>
  <property fmtid="{D5CDD505-2E9C-101B-9397-08002B2CF9AE}" pid="7" name="MSIP_Label_5c7eb9de-735b-4a68-8fe4-c9c62709b012_ActionId">
    <vt:lpwstr>10bc2630-c0ff-4747-b6f2-a5a8ea6fdfd4</vt:lpwstr>
  </property>
  <property fmtid="{D5CDD505-2E9C-101B-9397-08002B2CF9AE}" pid="8" name="MSIP_Label_5c7eb9de-735b-4a68-8fe4-c9c62709b012_ContentBits">
    <vt:lpwstr>1</vt:lpwstr>
  </property>
</Properties>
</file>