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t>Liite VII – Omien varojen julkistamislomakkeita koskevat ohjeet</w:t>
      </w:r>
    </w:p>
    <w:p>
      <w:pPr>
        <w:rPr>
          <w:rFonts w:ascii="Times New Roman" w:hAnsi="Times New Roman" w:cs="Times New Roman"/>
          <w:b/>
          <w:bCs/>
          <w:sz w:val="24"/>
        </w:rPr>
      </w:pPr>
      <w:r>
        <w:rPr>
          <w:rFonts w:ascii="Times New Roman" w:hAnsi="Times New Roman"/>
          <w:b/>
          <w:bCs/>
          <w:sz w:val="24"/>
        </w:rPr>
        <w:t>Lomakkeet EU I CC1.01, EU I CC1.02 ja EU I CC1.03 – Lakisääteisten omien varojen koostumus</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1.</w:t>
      </w:r>
      <w:r>
        <w:rPr>
          <w:rFonts w:ascii="Times New Roman" w:hAnsi="Times New Roman" w:cs="Times New Roman"/>
          <w:bCs/>
          <w:sz w:val="24"/>
        </w:rPr>
        <w:tab/>
      </w:r>
      <w:r>
        <w:rPr>
          <w:rFonts w:ascii="Times New Roman" w:hAnsi="Times New Roman"/>
          <w:bCs/>
          <w:sz w:val="24"/>
        </w:rPr>
        <w:t>Sijoituspalveluyritysten on sovellettava tässä liitteessä annettuja ohjeita täyttäessään liitteessä VI olevaa lomaketta EU I CC1 asetuksen (EU) 2019/2033 49 artiklan 1 kohdan a ja c alakohdan mukaisesti.</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2.</w:t>
      </w:r>
      <w:r>
        <w:rPr>
          <w:rFonts w:ascii="Times New Roman" w:hAnsi="Times New Roman" w:cs="Times New Roman"/>
          <w:bCs/>
          <w:sz w:val="24"/>
        </w:rPr>
        <w:tab/>
      </w:r>
      <w:r>
        <w:rPr>
          <w:rFonts w:ascii="Times New Roman" w:hAnsi="Times New Roman"/>
          <w:bCs/>
          <w:sz w:val="24"/>
        </w:rPr>
        <w:t>Sijoituspalveluyritysten on täytettävä sarake b, jossa selitetään jokaisen merkittävän syöttötiedon lähde, ja lisättävä ristiviittaukset lomakkeen EU I CC2 vastaaviin riveihin.</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3.</w:t>
      </w:r>
      <w:r>
        <w:rPr>
          <w:rFonts w:ascii="Times New Roman" w:hAnsi="Times New Roman" w:cs="Times New Roman"/>
          <w:bCs/>
          <w:sz w:val="24"/>
        </w:rPr>
        <w:tab/>
      </w:r>
      <w:r>
        <w:rPr>
          <w:rFonts w:ascii="Times New Roman" w:hAnsi="Times New Roman"/>
          <w:bCs/>
          <w:sz w:val="24"/>
        </w:rPr>
        <w:t>Sijoituspalveluyritysten on sisällytettävä lomakkeeseen liitettävään selostukseen kuvaus kaikista rajoituksista, joita sovelletaan asetuksen (EU) 2019/2033 49 artiklan 1 kohdan c alakohdan mukaisessa omien varojen laskennassa, ja niistä instrumenteista ja vähennyksistä, joihin kyseisiä rajoituksia sovelletaan. Niissä on myös selitettävä tärkeimmät julkistettujen määrien muutokset verrattuna aiempiin julkistamiskausiin.</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4.</w:t>
      </w:r>
      <w:r>
        <w:rPr>
          <w:rFonts w:ascii="Times New Roman" w:hAnsi="Times New Roman" w:cs="Times New Roman"/>
          <w:bCs/>
          <w:sz w:val="24"/>
        </w:rPr>
        <w:tab/>
      </w:r>
      <w:r>
        <w:rPr>
          <w:rFonts w:ascii="Times New Roman" w:hAnsi="Times New Roman"/>
          <w:bCs/>
          <w:sz w:val="24"/>
        </w:rPr>
        <w:t>Tämä lomake on kiinteä, ja sijoituspalveluyritysten on julkistettava se täsmälleen liitteessä VI esitetyssä muodossa.</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5.</w:t>
      </w:r>
      <w:r>
        <w:rPr>
          <w:rFonts w:ascii="Times New Roman" w:hAnsi="Times New Roman" w:cs="Times New Roman"/>
          <w:bCs/>
          <w:sz w:val="24"/>
        </w:rPr>
        <w:tab/>
      </w:r>
      <w:r>
        <w:rPr>
          <w:rFonts w:ascii="Times New Roman" w:hAnsi="Times New Roman"/>
          <w:bCs/>
          <w:sz w:val="24"/>
        </w:rPr>
        <w:t>Muiden sijoituspalveluyritysten kuin pienten ja ilman sidossuhteita olevien sijoituspalveluyritysten on julkistettava omien varojen koostumusta koskevat tiedot liitteessä VI olevan lomakkeen EU I CC1.01 mukaisesti. Sellaisten pienten ja ilman sidossuhteita olevien sijoituspalveluyritysten, jotka laskevat liikkeeseen ensisijaisen lisäpääoman (AT1) instrumentteja, on julkistettava tiedot omien varojen koostumuksesta liitteessä VI olevan lomakkeen EU I CC1.02 mukaisesti.</w:t>
      </w:r>
    </w:p>
    <w:p>
      <w:pPr>
        <w:rPr>
          <w:rFonts w:ascii="Times New Roman" w:hAnsi="Times New Roman" w:cs="Times New Roman"/>
          <w:b/>
          <w:bCs/>
          <w:sz w:val="24"/>
        </w:rPr>
      </w:pPr>
      <w:r>
        <w:rPr>
          <w:rFonts w:ascii="Times New Roman" w:hAnsi="Times New Roman"/>
          <w:b/>
          <w:bCs/>
          <w:sz w:val="24"/>
        </w:rPr>
        <w:t>Lomake EU I CC1.01 – Lakisääteisten omien varojen koostumus (muut kuin pienet ja ilman sidossuhteita olevat sijoituspalveluyritykset)</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Lainsäädäntöviittaukset ja ohjeet</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Rivi</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Lainsäädäntöviittaukset ja ohjeet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Omat 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Sijoituspalveluyrityksen omat varat koostuvat sen ydinpääoman (CET1), ensisijaisen lisäpääoman (AT1) ja toissijaisen pääoman (T2) summasta.</w:t>
            </w:r>
          </w:p>
          <w:p>
            <w:pPr>
              <w:spacing w:after="120"/>
              <w:jc w:val="both"/>
              <w:rPr>
                <w:rFonts w:ascii="Times New Roman" w:eastAsia="Times New Roman" w:hAnsi="Times New Roman" w:cs="Times New Roman"/>
                <w:bCs/>
                <w:szCs w:val="22"/>
              </w:rPr>
            </w:pPr>
            <w:r>
              <w:rPr>
                <w:rFonts w:ascii="Times New Roman" w:hAnsi="Times New Roman"/>
                <w:bCs/>
                <w:szCs w:val="22"/>
              </w:rPr>
              <w:t>Tämä rivi on rivien 2 ja 40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pääoma (T1)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Ensisijainen pääoma (T1) on ydinpääoman (CET1) ja ensisijaisen lisäpääoman (AT1) summa.</w:t>
            </w:r>
          </w:p>
          <w:p>
            <w:pPr>
              <w:spacing w:after="120"/>
              <w:jc w:val="both"/>
              <w:rPr>
                <w:rFonts w:ascii="Times New Roman" w:eastAsia="Times New Roman" w:hAnsi="Times New Roman" w:cs="Times New Roman"/>
                <w:b/>
                <w:bCs/>
                <w:szCs w:val="22"/>
              </w:rPr>
            </w:pPr>
            <w:r>
              <w:rPr>
                <w:rFonts w:ascii="Times New Roman" w:hAnsi="Times New Roman"/>
                <w:bCs/>
                <w:szCs w:val="22"/>
              </w:rPr>
              <w:t>Tämä rivi on rivien 3 ja 28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b/>
                <w:bCs/>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Ydinpääoma (CET1)</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Style w:val="FormatvorlageInstructionsTabelleText"/>
                <w:rFonts w:ascii="Times New Roman" w:hAnsi="Times New Roman"/>
                <w:sz w:val="22"/>
                <w:szCs w:val="22"/>
              </w:rPr>
            </w:pPr>
            <w:r>
              <w:rPr>
                <w:rFonts w:ascii="Times New Roman" w:hAnsi="Times New Roman"/>
                <w:szCs w:val="22"/>
              </w:rPr>
              <w:t>Asetuksen (EU) N:o 575/2013 50 artikla.</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4–12 ja 27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Kokonaan maksetut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lastRenderedPageBreak/>
              <w:t>Asetuksen (EU) 2019/2033 9 artiklan 1 kohdan i alakohta.</w:t>
            </w:r>
          </w:p>
          <w:p>
            <w:pPr>
              <w:pStyle w:val="InstructionsText"/>
              <w:rPr>
                <w:rStyle w:val="FormatvorlageInstructionsTabelleText"/>
                <w:rFonts w:ascii="Times New Roman" w:hAnsi="Times New Roman"/>
                <w:sz w:val="22"/>
              </w:rPr>
            </w:pPr>
            <w:r>
              <w:t>Asetuksen (EU) N:o 575/2013 26 artiklan 1 kohdan a alakohta ja 27–31 artikla.</w:t>
            </w:r>
          </w:p>
          <w:p>
            <w:pPr>
              <w:pStyle w:val="InstructionsText"/>
              <w:rPr>
                <w:rStyle w:val="FormatvorlageInstructionsTabelleText"/>
                <w:rFonts w:ascii="Times New Roman" w:hAnsi="Times New Roman"/>
                <w:sz w:val="22"/>
                <w:lang w:val="en-IE"/>
              </w:rPr>
            </w:pP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Tähän kohtaan sisällytetään keskinäisten yhtiöiden, osuuskuntien tai vastaavien laitosten pääomainstrumentit (asetuksen (EU) N:o 575/2013 27 ja 29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Siihen ei sisällytetä instrumentteihin liittyvää ylikurssirahastoa.</w:t>
            </w:r>
          </w:p>
          <w:p>
            <w:pPr>
              <w:pStyle w:val="InstructionsText"/>
            </w:pPr>
            <w:r>
              <w:t>Viranomaisten kriisitilanteissa merkitsemät pääomainstrumentit sisällytetään tähän, jos kaikki asetuksen (EU) N:o 575/2013 31 artiklan edellytykset täyttyvät.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lastRenderedPageBreak/>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Fonts w:ascii="Times New Roman" w:hAnsi="Times New Roman"/>
                <w:szCs w:val="22"/>
              </w:rPr>
              <w:t>Asetuksen (EU) N:o 575/2013 26 artiklan 1 kohdan b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kohdassa ilmoitettava määrä on ”Maksettuihin pääomainstrumentteihin” liittyvä osa.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Kertyneet voittovarat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Fonts w:ascii="Times New Roman" w:hAnsi="Times New Roman"/>
                <w:szCs w:val="22"/>
              </w:rPr>
              <w:t>Asetuksen (EU) N:o 575/2013 26 artiklan 1 kohdan c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Kertyneisiin voittovaroihin on sisällytettävä edellisen vuoden aikana kertyneet voitot sekä hyväksyttävät kesken tilikauden tai tilikauden päätteeksi kertyneet voitot.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Kertyneet muun laajan tuloksen erät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hAnsi="Times New Roman" w:cs="Times New Roman"/>
                <w:bCs/>
                <w:szCs w:val="22"/>
              </w:rPr>
            </w:pPr>
            <w:r>
              <w:rPr>
                <w:rFonts w:ascii="Times New Roman" w:hAnsi="Times New Roman"/>
                <w:szCs w:val="22"/>
              </w:rPr>
              <w:t>Asetuksen (EU) N:o 575/2013 26 artiklan 1 kohdan d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Muut rahastot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Fonts w:ascii="Times New Roman" w:hAnsi="Times New Roman"/>
                <w:szCs w:val="22"/>
              </w:rPr>
              <w:t>Asetuksen (EU) N:o 575/2013 4 artiklan 1 kohdan 117 alakohta ja 26 artiklan 1 kohdan e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Määrä ilmoitetaan siten, että siitä on vähennetty laskentahetkellä odotettavissa olevat verot.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Ydinpääomaan (CET1) sisällytetyt vähemmistöosuudet</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tarkoitetaan tytäryritysten vähemmistöosuuksien kaikkien sellaisten määrien summaa, jotka sisältyvät konsolidoituun ydinpääomaan (CET1).</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Omiin varoihin sovellettavista suodattimista aiheutuvat ydinpääoman (CET1) oikaisut</w:t>
            </w:r>
          </w:p>
          <w:p>
            <w:pPr>
              <w:spacing w:after="120"/>
              <w:jc w:val="both"/>
              <w:rPr>
                <w:rStyle w:val="FormatvorlageInstructionsTabelleText"/>
                <w:rFonts w:ascii="Times New Roman" w:hAnsi="Times New Roman"/>
                <w:sz w:val="22"/>
                <w:szCs w:val="22"/>
              </w:rPr>
            </w:pPr>
            <w:r>
              <w:rPr>
                <w:rFonts w:ascii="Times New Roman" w:hAnsi="Times New Roman"/>
                <w:szCs w:val="22"/>
              </w:rPr>
              <w:t>Asetuksen (EU) 2019/2033 9 artiklan 1 kohdan i alakohta.</w:t>
            </w:r>
          </w:p>
          <w:p>
            <w:pPr>
              <w:spacing w:after="120"/>
              <w:jc w:val="both"/>
              <w:rPr>
                <w:rFonts w:ascii="Times New Roman" w:eastAsia="Times New Roman" w:hAnsi="Times New Roman" w:cs="Times New Roman"/>
                <w:b/>
                <w:bCs/>
                <w:szCs w:val="22"/>
                <w:u w:val="single"/>
              </w:rPr>
            </w:pPr>
            <w:r>
              <w:rPr>
                <w:rFonts w:ascii="Times New Roman" w:hAnsi="Times New Roman"/>
                <w:szCs w:val="22"/>
              </w:rPr>
              <w:t>Asetuksen (EU) N:o 575/2013 32–35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Muut rahastot</w:t>
            </w:r>
          </w:p>
          <w:p>
            <w:pPr>
              <w:spacing w:after="120"/>
              <w:jc w:val="both"/>
              <w:rPr>
                <w:rFonts w:ascii="Times New Roman" w:eastAsia="Times New Roman" w:hAnsi="Times New Roman" w:cs="Times New Roman"/>
                <w:b/>
                <w:bCs/>
                <w:szCs w:val="22"/>
                <w:u w:val="single"/>
              </w:rPr>
            </w:pPr>
            <w:r>
              <w:rPr>
                <w:rFonts w:ascii="Times New Roman" w:hAnsi="Times New Roman"/>
                <w:bCs/>
              </w:rPr>
              <w:t>Asetuksen (EU) 2019/2033 9 artiklan 4 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YDINPÄÄOMASTA (CET1) TEHTÄVÄT VÄHENNYKSET YHTEENSÄ</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13 ja 17–26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Omat ydinpääoman (CET1) instrumentit</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rPr>
            </w:pPr>
            <w:r>
              <w:t>Asetuksen (EU) N:o 575/2013 36 artiklan 1 kohdan f alakohta ja 42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 xml:space="preserve">Näillä tarkoitetaan omaa ydinpääomaa (CET1), joka on raportoivan laitoksen tai ryhmän hallussa raportointipäivänä. </w:t>
            </w:r>
            <w:r>
              <w:t>Jollei asetuksen (EU) N:o 575/2013 42 artiklassa säädetyistä poikkeuksista muuta johdu.</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Kohtaan ”Ei-hyväksyttävät pääomainstrumentit” sisällytettäviä osakkeiden omistusosuuksia ei ilmoiteta tällä rivillä.</w:t>
            </w:r>
          </w:p>
          <w:p>
            <w:pPr>
              <w:pStyle w:val="InstructionsText"/>
            </w:pPr>
            <w:r>
              <w:rPr>
                <w:rStyle w:val="FormatvorlageInstructionsTabelleText"/>
                <w:rFonts w:ascii="Times New Roman" w:hAnsi="Times New Roman"/>
                <w:sz w:val="22"/>
              </w:rPr>
              <w:t>Ilmoitettavaan määrään on sisällytettävä omiin osakkeisiin liittyvä ylikurssirahasto.</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Suorat ydinpääoman (CET1) instrumenttien omistusosuudet</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rPr>
            </w:pPr>
            <w:r>
              <w:t>Asetuksen (EU) N:o 575/2013 36 artiklan 1 kohdan f alakohta ja 42 artikla.</w:t>
            </w:r>
          </w:p>
          <w:p>
            <w:pPr>
              <w:pStyle w:val="InstructionsText"/>
            </w:pPr>
            <w:r>
              <w:rPr>
                <w:rStyle w:val="FormatvorlageInstructionsTabelleText"/>
                <w:rFonts w:ascii="Times New Roman" w:hAnsi="Times New Roman"/>
                <w:sz w:val="22"/>
              </w:rPr>
              <w:t xml:space="preserve">Sijoituspalveluyrityksen hallussa olevat ydinpääoman (CET1) instrumentit. </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Välilliset ydinpääoman (CET1) instrumenttien omistusosuudet</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1 kohdan i alakohta.</w:t>
            </w:r>
          </w:p>
          <w:p>
            <w:pPr>
              <w:pStyle w:val="InstructionsText"/>
              <w:rPr>
                <w:rStyle w:val="FormatvorlageInstructionsTabelleText"/>
                <w:rFonts w:ascii="Times New Roman" w:hAnsi="Times New Roman"/>
                <w:sz w:val="22"/>
              </w:rPr>
            </w:pPr>
            <w:r>
              <w:t>Asetuksen (EU) N:o 575/2013 36 artiklan 1 kohdan f alakohta ja 42 artikla.</w:t>
            </w:r>
          </w:p>
          <w:p>
            <w:pPr>
              <w:pStyle w:val="InstructionsText"/>
            </w:pPr>
            <w:r>
              <w:t>Sijoituspalveluyrityksen hallussa olevat ydinpääoman (CET1) instrumentit.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Synteettiset ydinpääoman (CET1) instrumenttien omistusosuudet</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1 kohdan i alakohta.</w:t>
            </w:r>
          </w:p>
          <w:p>
            <w:pPr>
              <w:spacing w:after="120"/>
              <w:jc w:val="both"/>
              <w:rPr>
                <w:rFonts w:ascii="Times New Roman" w:eastAsia="Times New Roman" w:hAnsi="Times New Roman" w:cs="Times New Roman"/>
                <w:b/>
                <w:bCs/>
                <w:szCs w:val="22"/>
                <w:u w:val="single"/>
              </w:rPr>
            </w:pPr>
            <w:r>
              <w:rPr>
                <w:rFonts w:ascii="Times New Roman" w:hAnsi="Times New Roman"/>
              </w:rPr>
              <w:t>Asetuksen (EU) N:o 575/2013 4 artiklan 1 kohdan 114 alakohta, 36 artiklan 1 kohdan f alakohta ja 42 artikla.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Kuluvan tilikauden tappiot</w:t>
            </w:r>
          </w:p>
          <w:p>
            <w:pPr>
              <w:spacing w:after="120"/>
              <w:jc w:val="both"/>
              <w:rPr>
                <w:rFonts w:ascii="Times New Roman" w:eastAsia="Times New Roman" w:hAnsi="Times New Roman" w:cs="Times New Roman"/>
                <w:b/>
                <w:bCs/>
                <w:szCs w:val="22"/>
                <w:u w:val="single"/>
              </w:rPr>
            </w:pPr>
            <w:r>
              <w:rPr>
                <w:rFonts w:ascii="Times New Roman" w:hAnsi="Times New Roman"/>
                <w:bCs/>
              </w:rPr>
              <w:t>Asetuksen (EU) N:o 575/2013 36 artiklan 1 kohdan a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Liikearvo</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1 kohdan i alakohta.</w:t>
            </w:r>
          </w:p>
          <w:p>
            <w:pPr>
              <w:spacing w:after="120"/>
              <w:jc w:val="both"/>
              <w:rPr>
                <w:rFonts w:ascii="Times New Roman" w:eastAsia="Times New Roman" w:hAnsi="Times New Roman" w:cs="Times New Roman"/>
                <w:b/>
                <w:bCs/>
                <w:szCs w:val="22"/>
                <w:u w:val="single"/>
              </w:rPr>
            </w:pPr>
            <w:r>
              <w:rPr>
                <w:rFonts w:ascii="Times New Roman" w:hAnsi="Times New Roman"/>
              </w:rPr>
              <w:t>Asetuksen (EU) N:o 575/2013 4 artiklan 1 kohdan 113 alakohta, 36 artiklan 1 kohdan b alakohta ja 37 artikla.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aineettomat hyödykkeet</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1 kohdan i alakohta.</w:t>
            </w:r>
          </w:p>
          <w:p>
            <w:pPr>
              <w:pStyle w:val="InstructionsText"/>
              <w:rPr>
                <w:rStyle w:val="FormatvorlageInstructionsTabelleText"/>
                <w:rFonts w:ascii="Times New Roman" w:eastAsiaTheme="minorHAnsi" w:hAnsi="Times New Roman"/>
                <w:bCs/>
                <w:sz w:val="22"/>
              </w:rPr>
            </w:pPr>
            <w:r>
              <w:t>Asetuksen (EU) N:o 575/2013 4 artiklan 1 kohdan 115 alakohta, 36 artiklan 1 kohdan b alakohta ja 37 artiklan a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Muihin aineettomiin hyödykkeisiin on sisällyttävä sovellettavan tilinpäätössäännöstön mukaiset aineettomat hyödykkeet, joihin ei kuulu sovellettavan tilinpäätössäännöstön mukaista liikearvoa.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Tulevista veronalaisista voitoista riippuvat laskennalliset verosaamiset, jotka eivät synny väliaikaisten erojen seurauksena ja joista on vähennetty niihin liittyvät verovelat</w:t>
            </w:r>
          </w:p>
          <w:p>
            <w:pPr>
              <w:spacing w:after="120"/>
              <w:jc w:val="both"/>
              <w:rPr>
                <w:rFonts w:ascii="Times New Roman" w:eastAsia="Times New Roman" w:hAnsi="Times New Roman" w:cs="Times New Roman"/>
                <w:bCs/>
                <w:szCs w:val="22"/>
              </w:rPr>
            </w:pPr>
            <w:r>
              <w:rPr>
                <w:rFonts w:ascii="Times New Roman" w:hAnsi="Times New Roman"/>
                <w:bCs/>
              </w:rPr>
              <w:t>Asetuksen (EU) 2019/2033 9 artiklan 2 kohdan a alakohta.</w:t>
            </w:r>
          </w:p>
          <w:p>
            <w:pPr>
              <w:spacing w:after="120"/>
              <w:jc w:val="both"/>
              <w:rPr>
                <w:rFonts w:ascii="Times New Roman" w:eastAsia="Times New Roman" w:hAnsi="Times New Roman" w:cs="Times New Roman"/>
                <w:b/>
                <w:bCs/>
                <w:szCs w:val="22"/>
                <w:u w:val="single"/>
              </w:rPr>
            </w:pPr>
            <w:r>
              <w:rPr>
                <w:rFonts w:ascii="Times New Roman" w:hAnsi="Times New Roman"/>
                <w:bCs/>
              </w:rPr>
              <w:t>Asetuksen (EU) N:o 575/2013 36 artiklan 1 kohdan c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ulkopuolinen huomattava omistusosuus, joka on yli 15 prosenttia omista varoista</w:t>
            </w:r>
          </w:p>
          <w:p>
            <w:pPr>
              <w:spacing w:after="120"/>
              <w:jc w:val="both"/>
              <w:rPr>
                <w:rFonts w:ascii="Times New Roman" w:eastAsia="Times New Roman" w:hAnsi="Times New Roman" w:cs="Times New Roman"/>
                <w:b/>
                <w:bCs/>
                <w:szCs w:val="22"/>
                <w:u w:val="single"/>
              </w:rPr>
            </w:pPr>
            <w:r>
              <w:rPr>
                <w:rFonts w:ascii="Times New Roman" w:hAnsi="Times New Roman"/>
                <w:bCs/>
              </w:rPr>
              <w:t>Asetuksen (EU) 2019/2033 10 artiklan 1 kohdan a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Muissa yrityksissä kuin finanssialan yhteisöissä olevien huomattavien omistusosuuksien kokonaismäärä, joka on yli 60 prosenttia yrityksen omista varoista</w:t>
            </w:r>
          </w:p>
          <w:p>
            <w:pPr>
              <w:spacing w:after="120"/>
              <w:jc w:val="both"/>
              <w:rPr>
                <w:rFonts w:ascii="Times New Roman" w:eastAsia="Times New Roman" w:hAnsi="Times New Roman" w:cs="Times New Roman"/>
                <w:b/>
                <w:bCs/>
                <w:szCs w:val="22"/>
                <w:u w:val="single"/>
              </w:rPr>
            </w:pPr>
            <w:r>
              <w:rPr>
                <w:rFonts w:ascii="Times New Roman" w:hAnsi="Times New Roman"/>
                <w:bCs/>
              </w:rPr>
              <w:t>Asetuksen (EU) 2019/2033 10 artiklan 1 kohdan b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ydinpääoman (CET1) instrumentit, kun laitoksella ei ole merkittävää sijoitusta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h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ydinpääoman (CET1) instrumentit, kun laitoksella on merkittävä sijoitus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d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i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Etuuspohjaisen eläkerahaston 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b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e alakohta.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vähennykset</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Muiden asetuksen (EU) N:o 575/2013 36 artiklan 1 kohdassa lueteltujen vähennysten summa.</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CET1: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ydinpääoman (CET1) instrumenteista aiheutuvat siirtymäkauden oikaisut (asetuksen (EU) N:o 575/2013 483 artiklan 1, 2 ja 3 kohta sekä 484–487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Muista vähemmistöosuuksista aiheutuvat siirtymäkauden oikaisut (asetuksen (EU) N:o 575/2013 479 ja 480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ydinpääomaa (CET1) koskevat siirtymäkauden oikaisut (asetuksen (EU) N:o 575/2013 469–478 ja 481 artikla): siirtymäsäännöksistä johtuviin ydinpääomasta (CET1) tehtäviä vähennyksiä koskevat oikaisut.</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ydinpääoman (CET1) osatekijät tai ydinpääoman (CET1) osatekijän vähennykset, joita ei voida kirjata jollekin riveistä 4–26.</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LISÄPÄÄOMA (AT1)</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Fonts w:ascii="Times New Roman" w:eastAsia="Times New Roman" w:hAnsi="Times New Roman" w:cs="Times New Roman"/>
                <w:bCs/>
                <w:szCs w:val="22"/>
              </w:rPr>
            </w:pPr>
            <w:r>
              <w:rPr>
                <w:rFonts w:ascii="Times New Roman" w:hAnsi="Times New Roman"/>
                <w:bCs/>
                <w:szCs w:val="22"/>
              </w:rPr>
              <w:t>Asetuksen (EU) N:o 575/2013 61 artikla.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29–31 ja 39 summa.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Kokonaan maksetut, suoraan liikkeeseenlasketut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t>Asetuksen (EU) N:o 575/2013 51 artiklan a alakohta sekä 52, 53 ja 54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Ilmoitettavaan määrään ei sisällytetä instrumentteihin liittyvää ylikurssirahastoa.</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51 artiklan b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kohdassa ilmoitettava määrä on ”Maksettuihin pääomainstrumentteihin” liittyvä osa.</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ENSISIJAISESTA LISÄPÄÄOMASTA (AT1) TEHTÄVÄT VÄHENNYKSET YHTEENSÄ</w:t>
            </w:r>
          </w:p>
          <w:p>
            <w:pPr>
              <w:spacing w:before="60" w:after="60"/>
              <w:rPr>
                <w:rFonts w:ascii="Times New Roman" w:hAnsi="Times New Roman" w:cs="Times New Roman"/>
                <w:szCs w:val="22"/>
              </w:rPr>
            </w:pPr>
            <w:r>
              <w:rPr>
                <w:rFonts w:ascii="Times New Roman" w:hAnsi="Times New Roman"/>
                <w:szCs w:val="22"/>
              </w:rPr>
              <w:t>Asetuksen (EU) N:o 575/2013 56 artikla.</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32 ja 36–38 summa.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Omat ensisijaisen lisäpääoman (AT1) 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t>Asetuksen (EU) N:o 575/2013 52 artiklan 1 kohdan b alakohta, 56 artiklan a alakohta ja 57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Näillä tarkoitetaan omia ensisijaisen lisäpääoman (AT1) instrumentteja, jotka ovat sijoituspalveluyrityksen hallussa raportointipäivänä. Jollei asetuksen (EU) N:o 575/2013 57 artiklassa säädetyistä poikkeuksista muuta johdu.</w:t>
            </w:r>
          </w:p>
          <w:p>
            <w:pPr>
              <w:pStyle w:val="InstructionsText"/>
            </w:pPr>
            <w:r>
              <w:rPr>
                <w:rStyle w:val="FormatvorlageInstructionsTabelleText"/>
                <w:rFonts w:ascii="Times New Roman" w:hAnsi="Times New Roman"/>
                <w:sz w:val="22"/>
              </w:rPr>
              <w:t>Ilmoitettavaan määrään on sisällytettävä omiin osakkeisiin liittyvä ylikurssirahasto.</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Suorat ensisijaisen lisäpääoman (AT1) instrumenttien omistusosuudet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56 artiklan a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Välilliset ensisijaisen lisäpääoman (AT1) instrumenttien omistusosuudet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56 artiklan a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Synteettiset ensisijaisen lisäpääoman (AT1) instrumenttien omistusosuudet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56 artiklan a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ensisijaisen lisäpääoman (AT1) instrumentit, kun laitoksella ei ole merkittävää sijoitusta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56 artiklan c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ensisijaisen lisäpääoman (AT1) instrumentit, kun laitoksella on merkittävä sijoitus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56 artiklan d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vähennykset</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Kaikkien muiden asetuksen (EU) N:o 575/2013 56 artiklan mukaisten vähennysten summa, jotka eivät sisälly mihinkään edellä olevista riveistä.</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lisäpääoma (AT 1):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ensisijaisen lisäpääoman (AT1) instrumenteista aiheutuvat siirtymäkauden oikaisut (asetuksen (EU) N:o 575/2013 483 artiklan 4 ja 5 kohta, 484–487 artikla sekä 489 ja 491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Ensisijaiseen lisäpääomaan (AT1) sisällytetyt tytäryritysten liikkeeseenlaskemat instrumentit (asetuksen (EU) N:o 575/2013 83, 85 ja 86 artikla): tytäryritysten, ehdot täyttävän ensisijaisen pääoman (T1) kaikkien määrien summa, joka sisältyy konsolidoituun ensisijaiseen lisäpääomaan (AT1), mukaan lukien erillisyhtiön liikkeeseenlaskema pääoma (asetuksen (EU) N:o 575/2013 83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Ensisijaiseen lisäpääomaan (AT1) sisällytetyistä tytäryritysten liikkeeseenlaskemista instrumenteista aiheutuvat siirtymäkauden oikaisut (asetuksen (EU) N:o 575/2013 480 artikla) siten, että tarkoitetaan niitä siirtymäsäännöksistä aiheutuvia oikaisuja, jotka kohdistuvat konsolidoituun ensisijaiseen lisäpääomaan (AT1) sisältyvään ehdot täyttävään ensisijaiseen pääomaan (T1)</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ensisijaista lisäpääomaa (AT1) koskevat siirtymäkauden oikaisut (asetuksen (EU) N:o 575/2013 472, 473 a, 474, 475, 478 ja 481 artikla): Tässä tarkoitetaan vähennyksiin tehtäviä oikaisuja, jotka aiheutuvat siirtymäsäännöksistä.</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Ensisijaisen lisäpääoman (AT1) eristä tehtävät vähennykset, jotka ylittävät ensisijaisen lisäpääoman (AT1) siten, että ne vähennetään ydinpääomasta (CET1) asetuksen (EU) N:o 575/2013 36 artiklan 1 kohdan j alakohdan mukaisesti: Ensisijainen lisäpääoma (AT1) ei voi olla negatiivinen, mutta ensisijaisesta lisäpääomasta (AT1) tehtävät vähennykset voivat ylittää käytettävissä olevien ensisijaisen lisäpääoman (AT1) erien määrän. Jos näin tapahtuu, tämä erä edustaa määrää, joka tarvitaan rivillä 28 ilmoitetun määrän korottamiseksi nollaan, ja se on käänteisluku siitä, kuinka paljon ne ensisijaisen lisäpääoman (AT1) eristä tehtävät vähennykset ylittävät ensisijaisen lisäpääoman (AT1), jotka sisältyvät muiden vähennysten ohella riville 38.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ensisijaisen lisäpääoman (AT1) osatekijät tai vähennykset, joita ei voida kirjata jollekin riveistä 29–38.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TOISSIJAINEN PÄÄOMA (T2)</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kohta.</w:t>
            </w:r>
          </w:p>
          <w:p>
            <w:pPr>
              <w:spacing w:after="120"/>
              <w:jc w:val="both"/>
              <w:rPr>
                <w:rStyle w:val="FormatvorlageInstructionsTabelleText"/>
                <w:rFonts w:ascii="Times New Roman" w:hAnsi="Times New Roman"/>
                <w:sz w:val="22"/>
                <w:szCs w:val="22"/>
              </w:rPr>
            </w:pPr>
            <w:r>
              <w:rPr>
                <w:rFonts w:ascii="Times New Roman" w:hAnsi="Times New Roman"/>
                <w:szCs w:val="22"/>
              </w:rPr>
              <w:t>Asetuksen (EU) N:o 575/2013 71 artikla.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41–43 ja 50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Kokonaan maksetut, suoraan liikkeeseenlasketut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Asetuksen (EU) N:o 575/2013 62 artiklan a alakohta ja 63 ja 65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Ilmoitettavaan määrään ei sisällytetä instrumentteihin liittyvää ylikurssirahastoa.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62 artiklan b alakohta ja 65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pStyle w:val="InstructionsText"/>
            </w:pPr>
            <w:r>
              <w:rPr>
                <w:rStyle w:val="FormatvorlageInstructionsTabelleText"/>
                <w:rFonts w:ascii="Times New Roman" w:hAnsi="Times New Roman"/>
                <w:sz w:val="22"/>
              </w:rPr>
              <w:t>Tässä kohdassa ilmoitettava määrä on ”Maksettuihin pääomainstrumentteihin” liittyvä osa.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TOISSIJAISESTA PÄÄOMASTA (T2) TEHTÄVÄT VÄHENNYKSET YHTEENSÄ</w:t>
            </w:r>
          </w:p>
          <w:p>
            <w:pPr>
              <w:spacing w:after="120"/>
              <w:jc w:val="both"/>
              <w:rPr>
                <w:rFonts w:ascii="Times New Roman" w:eastAsia="Times New Roman" w:hAnsi="Times New Roman" w:cs="Times New Roman"/>
                <w:bCs/>
                <w:szCs w:val="22"/>
              </w:rPr>
            </w:pPr>
            <w:r>
              <w:rPr>
                <w:rFonts w:ascii="Times New Roman" w:hAnsi="Times New Roman"/>
                <w:szCs w:val="22"/>
              </w:rPr>
              <w:t>Asetuksen (EU) N:o 575/2013 66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Omat toissijaisen pääoman (T2) 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63 artiklan b alakohdan i alakohta, 66 artiklan a alakohta ja 67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Näillä tarkoitetaan omia toissijaisen pääoman (T2) instrumentteja, jotka ovat raportoivan laitoksen tai ryhmän hallussa raportointipäivänä. Jollei asetuksen (EU) N:o 575/2013 67 artiklassa säädetyistä poikkeuksista muuta johdu.</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Kohtaan ”Ei-hyväksyttävät pääomainstrumentit” sisällytettäviä osakkeiden omistusosuuksia ei ilmoiteta tällä rivillä.</w:t>
            </w:r>
          </w:p>
          <w:p>
            <w:pPr>
              <w:pStyle w:val="InstructionsText"/>
            </w:pPr>
            <w:r>
              <w:rPr>
                <w:rStyle w:val="FormatvorlageInstructionsTabelleText"/>
                <w:rFonts w:ascii="Times New Roman" w:hAnsi="Times New Roman"/>
                <w:sz w:val="22"/>
              </w:rPr>
              <w:t>Ilmoitettavaan määrään on sisällytettävä omiin osakkeisiin liittyvä ylikurssirahasto.</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Suorat toissijaisen pääoman (T2) instrumenttien omistusosuudet</w:t>
            </w:r>
          </w:p>
          <w:p>
            <w:pPr>
              <w:pStyle w:val="InstructionsText"/>
            </w:pPr>
            <w:r>
              <w:rPr>
                <w:rStyle w:val="FormatvorlageInstructionsTabelleText"/>
                <w:rFonts w:ascii="Times New Roman" w:hAnsi="Times New Roman"/>
                <w:sz w:val="22"/>
              </w:rPr>
              <w:t>Asetuksen (EU) N:o 575/2013 63 artiklan b alakohta, 66 artiklan a alakohta ja 67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Välilliset toissijaisen pääoman (T2) instrumenttien omistusosuudet</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Asetuksen (EU) N:o 575/2013 4 artiklan 1 kohdan 114 alakohta, 63 artiklan b alakohta, 66 artiklan a alakohta ja 67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Synteettiset toissijaisen pääoman (T2) instrumenttien omistusosuudet</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Asetuksen (EU) N:o 575/2013 4 artiklan 1 kohdan 126 alakohta, 63 artiklan b alakohta, 66 artiklan a alakohta ja 67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toissijaisen pääoman (T2) instrumentit, kun laitoksella ei ole merkittävää sijoitusta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66 artiklan c alakohta.</w:t>
            </w:r>
          </w:p>
        </w:tc>
      </w:tr>
      <w:tr>
        <w:tblPrEx>
          <w:tblLook w:val="00A0" w:firstRow="1" w:lastRow="0" w:firstColumn="1" w:lastColumn="0" w:noHBand="0" w:noVBand="0"/>
        </w:tblPrEx>
        <w:tc>
          <w:tcPr>
            <w:tcW w:w="1129" w:type="dxa"/>
            <w:tcBorders>
              <w:bottom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toissijaisen pääoman (T2) instrumentit, kun laitoksella on merkittävä sijoitus näissä yhteisöissä</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4 artiklan 1 kohdan 27 alakohta, 66 artiklan d alakohta sekä 68, 69 ja 79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Omistusosuudet, jotka laitoksella on sellaisten (asetuksen (EU) N:o 575/2013 4 artiklan 1 kohdan 27 kohdassa määriteltyjen) finanssialan yhteisöjen toissijaisen pääoman (T2) instrumenteista, joissa sijoituspalveluyrityksellä on merkittävä sijoitus, on vähennettävä kokonaan.</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Toissijainen pääoma (T2):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toissijaisen pääoman (T2) instrumenteista aiheutuvat siirtymäkauden oikaisut (asetuksen (EU) N:o 575/2013 483 artiklan 6 ja 7 kohta sekä 484, 486, 488, 490 ja 491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Ensisijaiseen lisäpääomaan (T2) sisällytetyt tytäryritysten liikkeeseenlaskemat instrumentit (asetuksen (EU) N:o 575/2013 83, 87 ja 88 artikla): tytäryritysten ehdot täyttävien omien varojen kaikkien määrien summa, joka sisältyy konsolidoituun toissijaiseen pääomaan (T2), mukaan lukien erillisyhtiön liikkeeseenlaskema ehdot täyttävä toissijainen pääoma (T2) (asetuksen (EU) N:o 575/2013 83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Toissijaiseen pääomaan (T2) sisällytetyistä tytäryritysten liikkeeseenlaskemista instrumenteista aiheutuvat siirtymäkauden oikaisut (asetuksen (EU) N:o 575/2013 480 artikla): tässä tarkoitetaan niitä siirtymäsäännöksistä aiheutuvia oikaisuja, jotka kohdistuvat konsolidoituun toissijaiseen pääomaan (T2) sisältyviin ehdot täyttäviin omiin varoihin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ensisijaista lisäpääomaa (T2) koskevat siirtymäkauden oikaisut (asetuksen (EU) N:o 575/2013 472, 473 a, 476, 477, 478 ja 481 artikla): siirtymäsäännöksistä johtuviin toissijaisesta pääomasta (T2) tehtäviin vähennyksiin tehtävät oikaisut.</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Toissijaisen pääoman (T2) eristä tehtävät vähennykset, jotka ylittävät toissijaisen pääoman (T2) siten, että ne vähennetään ensisijaisesta lisäpääomasta (AT1) asetuksen (EU) N:o 575/2013 56 artiklan e alakohdan mukaisesti: Toissijainen pääoma (T2) ei voi olla negatiivinen, mutta toissijaisesta pääomasta (T2) tehtävät vähennykset voivat ylittää käytettävissä olevien toissijaisen pääoman (T2) erien määrän. Jos näin tapahtuu, tämä erä edustaa määrää, joka tarvitaan rivillä 40 ilmoitetun määrän korottamiseksi nollaan.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toissijaisen pääoman (T2) osatekijät tai toissijaisen pääoman (T2) osatekijän vähennykset, joita ei voida kirjata jollekin riveistä 41–49.</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bl>
    <w:p>
      <w:pPr>
        <w:spacing w:before="120" w:after="120"/>
        <w:jc w:val="both"/>
        <w:rPr>
          <w:rFonts w:ascii="Times New Roman" w:hAnsi="Times New Roman" w:cs="Times New Roman"/>
          <w:bCs/>
          <w:sz w:val="24"/>
          <w:lang w:val="en-IE"/>
        </w:rPr>
      </w:pPr>
    </w:p>
    <w:p>
      <w:pPr>
        <w:ind w:left="720"/>
        <w:rPr>
          <w:rFonts w:ascii="Times New Roman" w:hAnsi="Times New Roman" w:cs="Times New Roman"/>
          <w:b/>
          <w:bCs/>
          <w:sz w:val="24"/>
        </w:rPr>
      </w:pPr>
      <w:r>
        <w:rPr>
          <w:rFonts w:ascii="Times New Roman" w:hAnsi="Times New Roman"/>
          <w:b/>
          <w:bCs/>
          <w:sz w:val="24"/>
        </w:rPr>
        <w:t>Lomake EU I CC1.02 – Lakisääteisten omien varojen koostumus (pienet ja ilman sidossuhteita olevat sijoituspalveluyritykset)</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trPr>
          <w:trHeight w:val="395"/>
        </w:trPr>
        <w:tc>
          <w:tcPr>
            <w:tcW w:w="8812" w:type="dxa"/>
            <w:gridSpan w:val="2"/>
            <w:shd w:val="clear" w:color="auto" w:fill="D9D9D9" w:themeFill="background1" w:themeFillShade="D9"/>
          </w:tcPr>
          <w:p>
            <w:pPr>
              <w:pStyle w:val="TableTitle"/>
              <w:spacing w:before="0" w:after="0"/>
              <w:jc w:val="left"/>
              <w:rPr>
                <w:rFonts w:ascii="Times New Roman" w:hAnsi="Times New Roman"/>
                <w:szCs w:val="22"/>
              </w:rPr>
            </w:pPr>
            <w:r>
              <w:rPr>
                <w:rFonts w:ascii="Times New Roman" w:hAnsi="Times New Roman"/>
                <w:szCs w:val="22"/>
              </w:rPr>
              <w:t>Lainsäädäntöviittaukset ja ohjeet</w:t>
            </w:r>
          </w:p>
        </w:tc>
      </w:tr>
      <w:tr>
        <w:tblPrEx>
          <w:tblLook w:val="00A0" w:firstRow="1" w:lastRow="0" w:firstColumn="1" w:lastColumn="0" w:noHBand="0" w:noVBand="0"/>
        </w:tblPrEx>
        <w:tc>
          <w:tcPr>
            <w:tcW w:w="1129"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Rivi</w:t>
            </w:r>
          </w:p>
        </w:tc>
        <w:tc>
          <w:tcPr>
            <w:tcW w:w="7683" w:type="dxa"/>
            <w:tcBorders>
              <w:bottom w:val="single" w:sz="4" w:space="0" w:color="auto"/>
            </w:tcBorders>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Lainsäädäntöviittaukset ja ohjeet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Omat 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Sijoituspalveluyrityksen omat varat koostuvat sen ydinpääoman (CET1), ensisijaisen lisäpääoman (AT1) ja toissijaisen pääoman (T2) summasta.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2 ja 25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pääoma (T1)</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Ensisijainen pääoma (T1) on ydinpääoman (CET1) ja ensisijaisen lisäpääoman (AT1) summa.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3 ja 20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3</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Ydinpääoma (CET1)</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50 artikla.</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4–11 ja 19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83" w:type="dxa"/>
            <w:shd w:val="clear" w:color="auto" w:fill="auto"/>
          </w:tcPr>
          <w:p>
            <w:pPr>
              <w:spacing w:after="120"/>
              <w:jc w:val="both"/>
              <w:rPr>
                <w:rFonts w:ascii="Times New Roman" w:eastAsia="Times New Roman" w:hAnsi="Times New Roman" w:cs="Times New Roman"/>
                <w:bCs/>
                <w:szCs w:val="22"/>
              </w:rPr>
            </w:pPr>
            <w:r>
              <w:rPr>
                <w:rFonts w:ascii="Times New Roman" w:hAnsi="Times New Roman"/>
                <w:b/>
                <w:bCs/>
                <w:szCs w:val="22"/>
                <w:u w:val="single"/>
              </w:rPr>
              <w:t>Kokonaan maksetut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26 artiklan 1 kohdan a alakohta ja 27–31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Tähän kohtaan sisällytetään keskinäisten yhtiöiden, osuuskuntien tai vastaavien laitosten pääomainstrumentit (asetuksen (EU) N:o 575/2013 27 ja 29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Siihen ei sisällytetä instrumentteihin liittyvää ylikurssirahastoa.</w:t>
            </w:r>
          </w:p>
          <w:p>
            <w:pPr>
              <w:pStyle w:val="InstructionsText"/>
            </w:pPr>
            <w:r>
              <w:rPr>
                <w:rStyle w:val="FormatvorlageInstructionsTabelleText"/>
                <w:rFonts w:ascii="Times New Roman" w:hAnsi="Times New Roman"/>
                <w:sz w:val="22"/>
              </w:rPr>
              <w:t>Viranomaisten kriisitilanteissa merkitsemät pääomainstrumentit sisällytetään tähän, jos kaikki asetuksen (EU) N:o 575/2013 31 artiklan edellytykset täyttyvät.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26 artiklan 1 kohdan b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kohdassa ilmoitettava määrä on ”Maksettuihin pääomainstrumentteihin” liittyvä osa.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Kertyneet voittovarat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Asetuksen (EU) N:o 575/2013 26 artiklan 1 kohdan c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Kertyneisiin voittovaroihin sisällytetään edellisen vuoden aikana kertyneet voitot sekä hyväksyttävät kesken tilikauden tai tilikauden päätteeksi kertyneet voitot.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Kertyneet muun laajan tuloksen erät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Asetuksen (EU) N:o 575/2013 26 artiklan 1 kohdan d alakohta.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83" w:type="dxa"/>
            <w:tcBorders>
              <w:bottom w:val="single" w:sz="4" w:space="0" w:color="auto"/>
            </w:tcBorders>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Muut rahastot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4 artiklan 1 kohdan 117 alakohta ja 26 artiklan 1 kohdan e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Määrä ilmoitetaan siten, että siitä on vähennetty laskentahetkellä odotettavissa olevat verot.</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9</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Omiin varoihin sovellettavista suodattimista aiheutuvat ydinpääoman (CET1) oikaisut</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2019/2033 9 artiklan 1 kohdan i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Asetuksen (EU) N:o 575/2013 32–35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10</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Muut rahastot</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2019/2033 9 artiklan 4 kohta.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83"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YDINPÄÄOMASTA (CET1) TEHTÄVÄT VÄHENNYKSET YHTEENSÄ</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12–18 summa.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Kuluvan tilikauden tappiot</w:t>
            </w:r>
          </w:p>
          <w:p>
            <w:pPr>
              <w:spacing w:after="120"/>
              <w:jc w:val="both"/>
              <w:rPr>
                <w:rFonts w:ascii="Times New Roman" w:eastAsia="Times New Roman" w:hAnsi="Times New Roman" w:cs="Times New Roman"/>
                <w:b/>
                <w:bCs/>
                <w:szCs w:val="22"/>
                <w:u w:val="single"/>
              </w:rPr>
            </w:pPr>
            <w:r>
              <w:rPr>
                <w:rFonts w:ascii="Times New Roman" w:hAnsi="Times New Roman"/>
                <w:szCs w:val="22"/>
              </w:rPr>
              <w:t>Asetuksen (EU) N:o 575/2013 36 artiklan 1 kohdan a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Liikearvo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Asetuksen (EU) N:o 575/2013 4 artiklan 1 kohdan 113 alakohta, 36 artiklan 1 kohdan b alakohta ja 37 artikla.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aineettomat hyödykkeet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Asetuksen (EU) N:o 575/2013 4 artiklan 1 kohdan 115 alakohta, 36 artiklan 1 kohdan b alakohta ja 37 artiklan a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Muut aineettomat hyödykkeet ovat sovellettavan tilinpäätössäännöstön mukaisia aineettomia hyödykkeitä, joihin ei kuulu sovellettavan tilinpäätössäännöstön mukaista liikearvoa.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Tulevista veronalaisista voitoista riippuvat laskennalliset verosaamiset, jotka eivät synny väliaikaisten erojen seurauksena ja joista on vähennetty niihin liittyvät verovelat</w:t>
            </w:r>
          </w:p>
          <w:p>
            <w:pPr>
              <w:spacing w:after="120"/>
              <w:jc w:val="both"/>
              <w:rPr>
                <w:rFonts w:ascii="Times New Roman" w:eastAsia="Times New Roman" w:hAnsi="Times New Roman" w:cs="Times New Roman"/>
                <w:bCs/>
                <w:szCs w:val="22"/>
              </w:rPr>
            </w:pPr>
            <w:r>
              <w:t>Asetuksen (EU) 2019/2033 9 artiklan 2 kohdan a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c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ulkopuolinen huomattava omistusosuus, joka on yli 15 prosenttia omista varoista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2019/2033 10 artiklan 1 kohdan a alakohta.</w:t>
            </w:r>
          </w:p>
        </w:tc>
      </w:tr>
      <w:tr>
        <w:tblPrEx>
          <w:tblLook w:val="00A0" w:firstRow="1" w:lastRow="0" w:firstColumn="1" w:lastColumn="0" w:noHBand="0" w:noVBand="0"/>
        </w:tblPrEx>
        <w:tc>
          <w:tcPr>
            <w:tcW w:w="1129" w:type="dxa"/>
            <w:tcBorders>
              <w:top w:val="single" w:sz="4" w:space="0" w:color="auto"/>
            </w:tcBorders>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Muissa yrityksissä kuin finanssialan yhteisöissä olevien huomattavien omistusosuuksien kokonaismäärä, joka on yli 60 prosenttia yrityksen omista varoista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2019/2033 10 artiklan 1 kohdan a alakohta.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vähennykset</w:t>
            </w:r>
          </w:p>
          <w:p>
            <w:pPr>
              <w:spacing w:after="120"/>
              <w:jc w:val="both"/>
              <w:rPr>
                <w:rFonts w:ascii="Times New Roman" w:eastAsia="Times New Roman" w:hAnsi="Times New Roman" w:cs="Times New Roman"/>
                <w:b/>
                <w:bCs/>
                <w:szCs w:val="22"/>
                <w:u w:val="single"/>
              </w:rPr>
            </w:pPr>
            <w:r>
              <w:rPr>
                <w:rFonts w:ascii="Times New Roman" w:hAnsi="Times New Roman"/>
                <w:szCs w:val="22"/>
              </w:rPr>
              <w:t>Muiden asetuksen (EU) N:o 575/2013 36 artiklan 1 kohdassa lueteltujen vähennysten summa.</w:t>
            </w:r>
          </w:p>
        </w:tc>
      </w:tr>
      <w:tr>
        <w:tblPrEx>
          <w:tblLook w:val="00A0" w:firstRow="1" w:lastRow="0" w:firstColumn="1" w:lastColumn="0" w:noHBand="0" w:noVBand="0"/>
        </w:tblPrEx>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CET1: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ydinpääoman (CET1) instrumenteista aiheutuvat siirtymäkauden oikaisut (asetuksen (EU) N:o 575/2013 483 artiklan 1, 2 ja 3 kohta sekä 484–487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Muista vähemmistöosuuksista aiheutuvat siirtymäkauden oikaisut (asetuksen (EU) N:o 575/2013 479 ja 480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ydinpääomaa (CET1) koskevat siirtymäkauden oikaisut (asetuksen (EU) N:o 575/2013 469–478 ja 481 artikla): siirtymäsäännöksistä johtuviin ydinpääomasta (CET1) tehtäviä vähennyksiä koskevat oikaisut.</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ydinpääoman (CET1) osatekijät tai ydinpääoman (CET1) osatekijän vähennykset, joita ei voida kirjata jollekin riveistä 4–18.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LISÄPÄÄOMA (AT1)</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Fonts w:ascii="Times New Roman" w:hAnsi="Times New Roman" w:cs="Times New Roman"/>
                <w:szCs w:val="22"/>
              </w:rPr>
            </w:pPr>
            <w:r>
              <w:rPr>
                <w:rFonts w:ascii="Times New Roman" w:hAnsi="Times New Roman"/>
                <w:szCs w:val="22"/>
              </w:rPr>
              <w:t>Asetuksen (EU) N:o 575/2013 61 artikla.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21–24 summa.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Kokonaan maksetut, suoraan liikkeeseenlasketut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51 artiklan a alakohta sekä 52, 53 ja 54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Ilmoitettavaan määrään ei sisällytetä instrumentteihin liittyvää ylikurssirahastoa.</w:t>
            </w:r>
          </w:p>
        </w:tc>
      </w:tr>
      <w:tr>
        <w:tblPrEx>
          <w:tblLook w:val="00A0" w:firstRow="1" w:lastRow="0" w:firstColumn="1" w:lastColumn="0" w:noHBand="0" w:noVBand="0"/>
        </w:tblPrEx>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51 artiklan b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kohdassa ilmoitettava määrä on ”Maksettuihin pääomainstrumentteihin” liittyvä osa.</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ENSISIJAISESTA LISÄPÄÄOMASTA (AT1) TEHTÄVÄT VÄHENNYKSET YHTEENSÄ</w:t>
            </w:r>
          </w:p>
          <w:p>
            <w:pPr>
              <w:spacing w:before="60" w:after="60"/>
              <w:rPr>
                <w:rFonts w:ascii="Times New Roman" w:eastAsia="Times New Roman" w:hAnsi="Times New Roman" w:cs="Times New Roman"/>
                <w:b/>
                <w:bCs/>
                <w:szCs w:val="22"/>
                <w:u w:val="single"/>
              </w:rPr>
            </w:pPr>
            <w:r>
              <w:rPr>
                <w:rFonts w:ascii="Times New Roman" w:hAnsi="Times New Roman"/>
                <w:szCs w:val="22"/>
              </w:rPr>
              <w:t>Asetuksen (EU) N:o 575/2013 56 artikla.</w:t>
            </w:r>
          </w:p>
        </w:tc>
      </w:tr>
      <w:tr>
        <w:tblPrEx>
          <w:tblLook w:val="00A0" w:firstRow="1" w:lastRow="0" w:firstColumn="1" w:lastColumn="0" w:noHBand="0" w:noVBand="0"/>
        </w:tblPrEx>
        <w:tc>
          <w:tcPr>
            <w:tcW w:w="1129" w:type="dxa"/>
            <w:tcBorders>
              <w:bottom w:val="single" w:sz="4" w:space="0" w:color="auto"/>
            </w:tcBorders>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lisäpääoma (AT 1):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ensisijaisen lisäpääoman (AT1) instrumenteista aiheutuvat siirtymäkauden oikaisut (asetuksen (EU) N:o 575/2013 483 artiklan 4 ja 5 kohta, 484–487 artikla sekä 489 ja 491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Ensisijaiseen lisäpääomaan (AT1) sisällytetyt tytäryritysten liikkeeseenlaskemat instrumentit (asetuksen (EU) N:o 575/2013 83, 85 ja 86 artikla): tytäryritysten, ehdot täyttävän ensisijaisen pääoman (T1) kaikkien määrien summa, joka sisältyy konsolidoituun ensisijaiseen lisäpääomaan (AT1), mukaan lukien erillisyhtiön liikkeeseenlaskema pääoma (asetuksen (EU) N:o 575/2013 83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Ensisijaiseen lisäpääomaan (AT1) sisällytetyistä tytäryritysten liikkeeseenlaskemista instrumenteista aiheutuvat siirtymäkauden oikaisut (asetuksen (EU) N:o 575/2013 480 artikla) siten, että tarkoitetaan niitä siirtymäsäännöksistä aiheutuvia oikaisuja, jotka kohdistuvat konsolidoituun ensisijaiseen lisäpääomaan (AT1) sisältyvään ehdot täyttävään ensisijaiseen pääomaan (T1).</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ensisijaista lisäpääomaa (AT1) koskevat siirtymäkauden oikaisut (asetuksen (EU) N:o 575/2013 472, 473 a, 474, 475, 478 ja 481 artikla): Tässä tarkoitetaan vähennyksiin tehtäviä oikaisuja, jotka aiheutuvat siirtymäsäännöksistä.</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Ensisijaisen lisäpääoman (AT1) eristä tehtävät vähennykset, jotka ylittävät ensisijaisen lisäpääoman (AT1) siten, että ne vähennetään ydinpääomasta (CET1) asetuksen (EU) N:o 575/2013 36 artiklan 1 kohdan j alakohdan mukaisesti: Ensisijainen lisäpääoma (AT1) ei voi olla negatiivinen, mutta ensisijaisesta lisäpääomasta (AT1) tehtävät vähennykset voivat ylittää käytettävissä olevien ensisijaisen lisäpääoman (AT1) erien määrän. Jos näin tapahtuu, tämä erä edustaa määrää, joka tarvitaan rivillä 20 ilmoitetun määrän korottamiseksi nollaan, ja se on käänteisluku siitä, kuinka paljon ne ensisijaisen lisäpääoman (AT1) eristä tehtävät vähennykset ylittävät ensisijaisen lisäpääoman (AT1), jotka sisältyvät muiden vähennysten ohella riville 18.</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ensisijaisen lisäpääoman (AT1) osatekijät tai ensisijaisen lisäpääoman (AT1) osatekijän vähennykset, joita ei voida kirjata jollekin riveistä 21–23.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TOISSIJAINEN PÄÄOMA (T2)</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71 artikla.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26–29 summa.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Cs/>
                <w:szCs w:val="22"/>
              </w:rPr>
            </w:pPr>
            <w:r>
              <w:rPr>
                <w:rFonts w:ascii="Times New Roman" w:hAnsi="Times New Roman"/>
                <w:b/>
                <w:bCs/>
                <w:szCs w:val="22"/>
                <w:u w:val="single"/>
              </w:rPr>
              <w:t>Kokonaan maksetut, suoraan liikkeeseenlasketut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Asetuksen (EU) N:o 575/2013 62 artiklan a alakohta ja 63 ja 65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Ilmoitettavaan määrään ei sisällytetä instrumentteihin liittyvää ylikurssirahastoa.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62 artiklan b alakohta ja 65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pStyle w:val="InstructionsText"/>
            </w:pPr>
            <w:r>
              <w:rPr>
                <w:rStyle w:val="FormatvorlageInstructionsTabelleText"/>
                <w:rFonts w:ascii="Times New Roman" w:hAnsi="Times New Roman"/>
                <w:sz w:val="22"/>
              </w:rPr>
              <w:t>Tässä kohdassa ilmoitettava määrä on ”Maksettuihin pääomainstrumentteihin” liittyvä osa.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TOISSIJAISESTA PÄÄOMASTA (T2) TEHTÄVÄT VÄHENNYKSET YHTEENSÄ</w:t>
            </w:r>
          </w:p>
          <w:p>
            <w:pPr>
              <w:spacing w:after="120"/>
              <w:jc w:val="both"/>
              <w:rPr>
                <w:rFonts w:ascii="Times New Roman" w:eastAsia="Times New Roman" w:hAnsi="Times New Roman" w:cs="Times New Roman"/>
                <w:b/>
                <w:bCs/>
                <w:szCs w:val="22"/>
                <w:u w:val="single"/>
              </w:rPr>
            </w:pPr>
            <w:r>
              <w:rPr>
                <w:rFonts w:ascii="Times New Roman" w:hAnsi="Times New Roman"/>
                <w:szCs w:val="22"/>
              </w:rPr>
              <w:t>Asetuksen (EU) N:o 575/2013 66 artikla.</w:t>
            </w:r>
          </w:p>
        </w:tc>
      </w:tr>
      <w:tr>
        <w:tblPrEx>
          <w:tblLook w:val="00A0" w:firstRow="1" w:lastRow="0" w:firstColumn="1" w:lastColumn="0" w:noHBand="0" w:noVBand="0"/>
        </w:tblPrEx>
        <w:tc>
          <w:tcPr>
            <w:tcW w:w="1129" w:type="dxa"/>
            <w:shd w:val="clear" w:color="auto" w:fill="auto"/>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Toissijainen pääoma (T2):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toissijaisen pääoman (T2) instrumenteista aiheutuvat siirtymäkauden oikaisut (asetuksen (EU) N:o 575/2013 483 artiklan 6 ja 7 kohta sekä 484, 486, 488, 490 ja 491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Ensisijaiseen lisäpääomaan (T2) sisällytetyt tytäryritysten liikkeeseenlaskemat instrumentit (asetuksen (EU) N:o 575/2013 83, 87 ja 88 artikla): tytäryritysten ehdot täyttävien omien varojen kaikkien määrien summa, joka sisältyy konsolidoituun toissijaiseen pääomaan (T2), mukaan lukien erillisyhtiön liikkeeseenlaskema ehdot täyttävä toissijainen pääoma (T2) (asetuksen (EU) N:o 575/2013 83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Toissijaiseen pääomaan (T2) sisällytetyistä tytäryritysten liikkeeseenlaskemista instrumenteista aiheutuvat siirtymäkauden oikaisut (asetuksen (EU) N:o 575/2013 480 artikla): tässä tarkoitetaan niitä siirtymäsäännöksistä aiheutuvia oikaisuja, jotka kohdistuvat konsolidoituun toissijaiseen pääomaan (T2) sisältyviin ehdot täyttäviin omiin varoihin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ensisijaista lisäpääomaa (T2) koskevat siirtymäkauden oikaisut (asetuksen (EU) N:o 575/2013 472, 473 a, 476, 477, 478 ja 481 artikla): siirtymäsäännöksistä johtuviin toissijaisesta pääomasta (T2) tehtäviin vähennyksiin tehtävät oikaisut.</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Toissijaisen pääoman (T2) eristä tehtävät vähennykset, jotka ylittävät toissijaisen pääoman (T2) siten, että ne vähennetään ensisijaisesta lisäpääomasta (AT1) asetuksen (EU) N:o 575/2013 56 artiklan e alakohdan mukaisesti: Toissijainen pääoma (T2) ei voi olla negatiivinen, mutta toissijaisesta pääomasta (T2) tehtävät vähennykset voivat ylittää käytettävissä olevien toissijaisen pääoman (T2) erien määrän. Jos näin tapahtuu, tämä erä edustaa määrää, joka tarvitaan rivillä 25 ilmoitetun määrän korottamiseksi nollaan.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toissijaisen pääoman (T2) osatekijät tai toissijaisen pääoman (T2) osatekijän vähennykset, joita ei voida kirjata jollekin riveistä 26–28.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bl>
    <w:p>
      <w:pPr>
        <w:ind w:left="720"/>
        <w:rPr>
          <w:rFonts w:ascii="Times New Roman" w:hAnsi="Times New Roman" w:cs="Times New Roman"/>
          <w:b/>
          <w:bCs/>
          <w:sz w:val="24"/>
          <w:lang w:val="en-IE"/>
        </w:rPr>
      </w:pPr>
    </w:p>
    <w:p>
      <w:pPr>
        <w:ind w:left="720"/>
        <w:rPr>
          <w:rFonts w:ascii="Times New Roman" w:hAnsi="Times New Roman" w:cs="Times New Roman"/>
          <w:b/>
          <w:bCs/>
          <w:sz w:val="24"/>
        </w:rPr>
      </w:pPr>
      <w:r>
        <w:rPr>
          <w:rFonts w:ascii="Times New Roman" w:hAnsi="Times New Roman"/>
          <w:b/>
          <w:bCs/>
          <w:sz w:val="24"/>
        </w:rPr>
        <w:t>Lomake EU I CC1.03 – Lakisääteisten omien varojen koostumus (ryhmän pääomavaatimus)</w:t>
      </w:r>
    </w:p>
    <w:p>
      <w:pPr>
        <w:tabs>
          <w:tab w:val="left" w:pos="360"/>
        </w:tabs>
        <w:spacing w:before="120" w:after="120"/>
        <w:ind w:left="360" w:hanging="360"/>
        <w:jc w:val="both"/>
        <w:rPr>
          <w:rFonts w:ascii="Times New Roman" w:hAnsi="Times New Roman" w:cs="Times New Roman"/>
          <w:bCs/>
          <w:sz w:val="24"/>
        </w:rPr>
      </w:pPr>
      <w:r>
        <w:rPr>
          <w:rFonts w:ascii="Times New Roman" w:hAnsi="Times New Roman" w:cs="Times New Roman"/>
          <w:bCs/>
          <w:sz w:val="24"/>
        </w:rPr>
        <w:t>6.</w:t>
      </w:r>
      <w:r>
        <w:rPr>
          <w:rFonts w:ascii="Times New Roman" w:hAnsi="Times New Roman" w:cs="Times New Roman"/>
          <w:bCs/>
          <w:sz w:val="24"/>
        </w:rPr>
        <w:tab/>
      </w:r>
      <w:r>
        <w:rPr>
          <w:rFonts w:ascii="Times New Roman" w:hAnsi="Times New Roman"/>
          <w:bCs/>
          <w:sz w:val="24"/>
        </w:rPr>
        <w:t>Niiden asetuksen (EU) 2019/2033 8 artiklan 3 kohdassa tarkoitettujen yhteisöjen, joihin sovelletaan samaa artiklaa, on julkistettava omien varojen koostumusta koskevat tiedot lomakkeen EU I CC1.03 ja seuraavien ohjeiden mukaisesti.</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Rivi</w:t>
            </w:r>
          </w:p>
        </w:tc>
        <w:tc>
          <w:tcPr>
            <w:tcW w:w="7620" w:type="dxa"/>
            <w:shd w:val="clear" w:color="auto" w:fill="D9D9D9"/>
          </w:tcPr>
          <w:p>
            <w:pPr>
              <w:spacing w:after="120"/>
              <w:jc w:val="both"/>
              <w:rPr>
                <w:rFonts w:ascii="Times New Roman" w:eastAsia="Times New Roman" w:hAnsi="Times New Roman" w:cs="Times New Roman"/>
                <w:bCs/>
                <w:szCs w:val="22"/>
              </w:rPr>
            </w:pPr>
            <w:r>
              <w:rPr>
                <w:rFonts w:ascii="Times New Roman" w:hAnsi="Times New Roman"/>
                <w:szCs w:val="22"/>
              </w:rPr>
              <w:t>Lainsäädäntöviittaukset ja ohjeet</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OMAT 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Sijoituspalveluyrityksen omat varat koostuvat sen ensisijaisen pääoman (T1) ja toissijaisen pääoman (T2) summasta.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PÄÄOMA (T1)</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Ensisijainen pääoma (T1) on ydinpääoman (CET1) ja ensisijaisen lisäpääoman (AT1) summa.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bCs/>
                <w:color w:val="000000"/>
                <w:szCs w:val="22"/>
              </w:rPr>
              <w:t>3</w:t>
            </w:r>
          </w:p>
        </w:tc>
        <w:tc>
          <w:tcPr>
            <w:tcW w:w="7620" w:type="dxa"/>
          </w:tcPr>
          <w:p>
            <w:pPr>
              <w:spacing w:after="120"/>
              <w:jc w:val="both"/>
              <w:rPr>
                <w:rFonts w:ascii="Times New Roman" w:eastAsia="Times New Roman" w:hAnsi="Times New Roman" w:cs="Times New Roman"/>
                <w:b/>
                <w:bCs/>
                <w:szCs w:val="22"/>
                <w:u w:val="single"/>
              </w:rPr>
            </w:pPr>
            <w:r>
              <w:rPr>
                <w:rStyle w:val="InstructionsTabelleberschrift"/>
                <w:rFonts w:ascii="Times New Roman" w:hAnsi="Times New Roman"/>
                <w:sz w:val="22"/>
                <w:szCs w:val="22"/>
              </w:rPr>
              <w:t>YDINPÄÄOMA (CET1)</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Asetuksen (EU) N:o 575/2013 50 artikla.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4</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Maksetut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26 artiklan 1 kohdan a alakohta ja 27–31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Tähän kohtaan sisällytetään keskinäisten yhtiöiden, osuuskuntien tai vastaavien laitosten pääomainstrumentit (asetuksen (EU) N:o 575/2013 27 ja 29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Siihen ei sisällytetä instrumentteihin liittyvää ylikurssirahastoa.</w:t>
            </w:r>
          </w:p>
          <w:p>
            <w:pPr>
              <w:pStyle w:val="InstructionsText"/>
            </w:pPr>
            <w:r>
              <w:rPr>
                <w:rStyle w:val="FormatvorlageInstructionsTabelleText"/>
                <w:rFonts w:ascii="Times New Roman" w:hAnsi="Times New Roman"/>
                <w:sz w:val="22"/>
              </w:rPr>
              <w:t>Viranomaisten kriisitilanteissa merkitsemät pääomainstrumentit sisällytetään tähän, jos kaikki asetuksen (EU) N:o 575/2013 31 artiklan edellytykset täyttyvät.</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5</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26 artiklan 1 kohdan b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kohdassa ilmoitettava määrä on ”Maksettuihin pääomainstrumentteihin” liittyvä osa.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6</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Kertyneet voittovarat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eastAsia="Times New Roman" w:hAnsi="Times New Roman" w:cs="Times New Roman"/>
                <w:bCs/>
                <w:szCs w:val="22"/>
              </w:rPr>
            </w:pPr>
            <w:r>
              <w:rPr>
                <w:rStyle w:val="FormatvorlageInstructionsTabelleText"/>
                <w:rFonts w:ascii="Times New Roman" w:hAnsi="Times New Roman"/>
                <w:sz w:val="22"/>
                <w:szCs w:val="22"/>
              </w:rPr>
              <w:t>Asetuksen (EU) N:o 575/2013 26 artiklan 1 kohdan c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Kertyneisiin voittovaroihin sisällytetään edellisen vuoden aikana kertyneet voitot sekä hyväksyttävät kesken tilikauden tai tilikauden päätteeksi kertyneet voitot.</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7</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Edellisvuosien kertyneet voittovarat</w:t>
            </w:r>
          </w:p>
          <w:p>
            <w:pPr>
              <w:spacing w:after="120"/>
              <w:jc w:val="both"/>
              <w:rPr>
                <w:rFonts w:ascii="Times New Roman" w:hAnsi="Times New Roman" w:cs="Times New Roman"/>
                <w:szCs w:val="22"/>
              </w:rPr>
            </w:pPr>
            <w:r>
              <w:rPr>
                <w:rFonts w:ascii="Times New Roman" w:hAnsi="Times New Roman"/>
                <w:szCs w:val="22"/>
              </w:rPr>
              <w:t>Asetuksen (EU) N:o 575/2013 4 artiklan 1 kohdan 123 alakohta ja 26 artiklan 1 kohdan c alakohta.</w:t>
            </w:r>
          </w:p>
          <w:p>
            <w:pPr>
              <w:spacing w:after="120"/>
              <w:jc w:val="both"/>
              <w:rPr>
                <w:rFonts w:ascii="Times New Roman" w:eastAsia="Times New Roman" w:hAnsi="Times New Roman" w:cs="Times New Roman"/>
                <w:b/>
                <w:bCs/>
                <w:szCs w:val="22"/>
                <w:u w:val="single"/>
              </w:rPr>
            </w:pPr>
            <w:r>
              <w:rPr>
                <w:rFonts w:ascii="Times New Roman" w:hAnsi="Times New Roman"/>
                <w:szCs w:val="22"/>
              </w:rPr>
              <w:t>Asetuksen (EU) N:o 575/2013 4 artiklan 1 kohdan 123 alakohdassa tarkoitetaan kertyneillä voittovaroilla ”edellisten tilikausien lopullisen tuloksen käsittelyn yhteydessä syntyneitä voittoja ja tappioita sovellettavan tilinpäätössäännöstön mukaisesti”.</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8</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Hyväksyttävät voitot tai tappiot</w:t>
            </w:r>
          </w:p>
          <w:p>
            <w:pPr>
              <w:spacing w:after="120"/>
              <w:jc w:val="both"/>
              <w:rPr>
                <w:rFonts w:ascii="Times New Roman" w:eastAsia="Times New Roman" w:hAnsi="Times New Roman" w:cs="Times New Roman"/>
                <w:szCs w:val="22"/>
              </w:rPr>
            </w:pPr>
            <w:r>
              <w:rPr>
                <w:rFonts w:ascii="Times New Roman" w:hAnsi="Times New Roman"/>
                <w:szCs w:val="22"/>
              </w:rPr>
              <w:t>Asetuksen (EU) N:o 575/2013 4 artiklan 1 kohdan 121 alakohta, 26 artiklan 2 kohta ja 36 artiklan 1 kohdan a alakohta.</w:t>
            </w:r>
          </w:p>
          <w:p>
            <w:pPr>
              <w:spacing w:after="120"/>
              <w:jc w:val="both"/>
              <w:rPr>
                <w:rFonts w:ascii="Times New Roman" w:eastAsia="Times New Roman" w:hAnsi="Times New Roman" w:cs="Times New Roman"/>
                <w:szCs w:val="22"/>
              </w:rPr>
            </w:pPr>
            <w:r>
              <w:rPr>
                <w:rFonts w:ascii="Times New Roman" w:hAnsi="Times New Roman"/>
                <w:szCs w:val="22"/>
              </w:rPr>
              <w:t>Asetuksen (EU) N:o 575/2013 26 artiklan 2 kohdassa sallitaan kesken tilikauden tai tilikauden päätteeksi kertyneiden voittojen sisällyttäminen kertyneisiin voittovaroihin toimivaltaisten viranomaisten etukäteisellä luvalla, mikäli tietyt ehdot täyttyvät.</w:t>
            </w:r>
          </w:p>
          <w:p>
            <w:pPr>
              <w:spacing w:after="120"/>
              <w:jc w:val="both"/>
              <w:rPr>
                <w:rFonts w:ascii="Times New Roman" w:eastAsia="Times New Roman" w:hAnsi="Times New Roman" w:cs="Times New Roman"/>
                <w:b/>
                <w:bCs/>
                <w:szCs w:val="22"/>
                <w:u w:val="single"/>
              </w:rPr>
            </w:pPr>
            <w:r>
              <w:rPr>
                <w:rFonts w:ascii="Times New Roman" w:hAnsi="Times New Roman"/>
                <w:szCs w:val="22"/>
              </w:rPr>
              <w:t>Toisaalta tappiot on vähennettävä ydinpääomasta (CET1), kuten asetuksen (EU) N:o 575/2013 36 artiklan 1 kohdan a alakohdassa todetaan.</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9</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Kertyneet muun laajan tuloksen erät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hAnsi="Times New Roman" w:cs="Times New Roman"/>
                <w:bCs/>
                <w:szCs w:val="22"/>
              </w:rPr>
            </w:pPr>
            <w:r>
              <w:rPr>
                <w:rStyle w:val="FormatvorlageInstructionsTabelleText"/>
                <w:rFonts w:ascii="Times New Roman" w:hAnsi="Times New Roman"/>
                <w:sz w:val="22"/>
                <w:szCs w:val="22"/>
              </w:rPr>
              <w:t>Asetuksen (EU) N:o 575/2013 26 artiklan 1 kohdan d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10</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Muut rahastot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4 artiklan 1 kohdan 117 alakohta ja 26 artiklan 1 kohdan e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Määrä ilmoitetaan siten, että siitä on vähennetty laskentahetkellä odotettavissa olevat verot.</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11</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Omiin varoihin sovellettavista suodattimista aiheutuvat ydinpääoman (CET1) oikaisut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Asetuksen (EU) N:o 575/2013 32–35 artikla.</w:t>
            </w:r>
          </w:p>
        </w:tc>
      </w:tr>
      <w:tr>
        <w:tc>
          <w:tcPr>
            <w:tcW w:w="1129" w:type="dxa"/>
            <w:vAlign w:val="center"/>
          </w:tcPr>
          <w:p>
            <w:pPr>
              <w:spacing w:after="120"/>
              <w:jc w:val="both"/>
              <w:rPr>
                <w:rFonts w:ascii="Times New Roman" w:hAnsi="Times New Roman" w:cs="Times New Roman"/>
                <w:color w:val="000000"/>
                <w:szCs w:val="22"/>
              </w:rPr>
            </w:pPr>
            <w:r>
              <w:rPr>
                <w:rFonts w:ascii="Times New Roman" w:hAnsi="Times New Roman"/>
                <w:color w:val="000000"/>
                <w:szCs w:val="22"/>
              </w:rPr>
              <w:t>12</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Muut rahastot</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2019/2033 9 artiklan 4 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13</w:t>
            </w:r>
          </w:p>
        </w:tc>
        <w:tc>
          <w:tcPr>
            <w:tcW w:w="7620" w:type="dxa"/>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YDINPÄÄOMASTA (CET1) TEHTÄVÄT VÄHENNYKSET YHTEENSÄ</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14–23 summa.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14</w:t>
            </w:r>
          </w:p>
        </w:tc>
        <w:tc>
          <w:tcPr>
            <w:tcW w:w="7620" w:type="dxa"/>
            <w:shd w:val="clear" w:color="auto" w:fill="auto"/>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Omat ydinpääoman (CET1) 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36 artiklan 1 kohdan f alakohta ja 42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Näillä tarkoitetaan omaa ydinpääomaa (CET1), joka on raportoivan laitoksen tai ryhmän hallussa raportointipäivänä. Jollei asetuksen (EU) N:o 575/2013 42 artiklassa säädetyistä poikkeuksista muuta johdu.</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Kohtaan ”Ei-hyväksyttävät pääomainstrumentit” sisällytettäviä osakkeiden omistusosuuksia ei ilmoiteta tällä rivillä.</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Ilmoitettavaan määrään on sisällytettävä omiin osakkeisiin liittyvä ylikurssirahasto.</w:t>
            </w:r>
          </w:p>
          <w:p>
            <w:pPr>
              <w:pStyle w:val="InstructionsText"/>
              <w:rPr>
                <w:lang w:val="en-IE"/>
              </w:rPr>
            </w:pP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Kuluvan tilikauden tappiot</w:t>
            </w:r>
          </w:p>
          <w:p>
            <w:pPr>
              <w:spacing w:after="120"/>
              <w:jc w:val="both"/>
              <w:rPr>
                <w:rFonts w:ascii="Times New Roman" w:eastAsia="Times New Roman" w:hAnsi="Times New Roman" w:cs="Times New Roman"/>
                <w:b/>
                <w:bCs/>
                <w:szCs w:val="22"/>
                <w:u w:val="single"/>
              </w:rPr>
            </w:pPr>
            <w:r>
              <w:rPr>
                <w:rFonts w:ascii="Times New Roman" w:hAnsi="Times New Roman"/>
                <w:szCs w:val="22"/>
              </w:rPr>
              <w:t>Asetuksen (EU) N:o 575/2013 36 artiklan 1 kohdan a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Liikearvo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Asetuksen (EU) N:o 575/2013 4 artiklan 1 kohdan 113 alakohta, 36 artiklan 1 kohdan b alakohta ja 37 artikla.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aineettomat hyödykkeet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Asetuksen (EU) N:o 575/2013 4 artiklan 1 kohdan 115 alakohta, 36 artiklan 1 kohdan b alakohta ja 37 artiklan a alakohta.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Muut aineettomat hyödykkeet ovat sovellettavan tilinpäätössäännöstön mukaisia aineettomia hyödykkeitä, joihin ei kuulu sovellettavan tilinpäätössäännöstön mukaista liikearvoa.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Tulevista veronalaisista voitoista riippuvat laskennalliset verosaamiset, jotka eivät synny väliaikaisten erojen seurauksena ja joista on vähennetty niihin liittyvät verovelat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a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c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ulkopuolinen huomattava omistusosuus, joka on yli 15 prosenttia omista varoista</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10 artiklan 1 kohdan a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Muissa yrityksissä kuin finanssialan yhteisöissä olevien huomattavien omistusosuuksien kokonaismäärä, joka on yli 60 prosenttia yrityksen omista varoista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2019/2033 10 artiklan 1 kohdan b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ydinpääoman (CET1) instrumentit, kun laitoksella ei ole merkittävää sijoitusta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h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Etuuspohjaisen eläkerahaston varat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b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36 artiklan 1 kohdan e alakohta.</w:t>
            </w:r>
          </w:p>
        </w:tc>
      </w:tr>
      <w:tr>
        <w:tc>
          <w:tcPr>
            <w:tcW w:w="1129" w:type="dxa"/>
            <w:vAlign w:val="center"/>
          </w:tcPr>
          <w:p>
            <w:pPr>
              <w:spacing w:after="120"/>
              <w:jc w:val="both"/>
              <w:rPr>
                <w:rFonts w:ascii="Times New Roman" w:eastAsia="Times New Roman" w:hAnsi="Times New Roman" w:cs="Times New Roman"/>
                <w:bCs/>
                <w:szCs w:val="22"/>
              </w:rPr>
            </w:pPr>
            <w:r>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vähennykset</w:t>
            </w:r>
          </w:p>
          <w:p>
            <w:pPr>
              <w:spacing w:after="120"/>
              <w:jc w:val="both"/>
              <w:rPr>
                <w:rFonts w:ascii="Times New Roman" w:eastAsia="Times New Roman" w:hAnsi="Times New Roman" w:cs="Times New Roman"/>
                <w:b/>
                <w:bCs/>
                <w:szCs w:val="22"/>
                <w:u w:val="single"/>
              </w:rPr>
            </w:pPr>
            <w:r>
              <w:rPr>
                <w:rFonts w:ascii="Times New Roman" w:hAnsi="Times New Roman"/>
                <w:szCs w:val="22"/>
              </w:rPr>
              <w:t>Muiden asetuksen (EU) N:o 575/2013 36 artiklan 1 kohdassa lueteltujen vähennysten summa.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CET1: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ydinpääoman (CET1) instrumenteista aiheutuvat siirtymäkauden oikaisut (asetuksen (EU) N:o 575/2013 483 artiklan 1, 2 ja 3 kohta sekä 484–487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ydinpääomaa (CET1) koskevat siirtymäkauden oikaisut (asetuksen (EU) N:o 575/2013 469–478 ja 481 artikla): siirtymäsäännöksistä johtuviin ydinpääomasta (CET1) tehtäviä vähennyksiä koskevat oikaisut.</w:t>
            </w:r>
          </w:p>
          <w:p>
            <w:pPr>
              <w:spacing w:after="120"/>
              <w:ind w:left="360" w:hanging="360"/>
              <w:contextualSpacing/>
              <w:jc w:val="both"/>
              <w:rPr>
                <w:rFonts w:ascii="Times New Roman" w:eastAsia="Times New Roman" w:hAnsi="Times New Roman"/>
                <w:b/>
                <w:bCs/>
                <w:u w:val="single"/>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ydinpääoman (CET1) osatekijät tai ydinpääoman (CET1) osatekijän vähennykset, joita ei voida kirjata jollekin riveistä 4–23.</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LISÄPÄÄOMA (AT1)</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Fonts w:ascii="Times New Roman" w:hAnsi="Times New Roman" w:cs="Times New Roman"/>
                <w:szCs w:val="22"/>
              </w:rPr>
            </w:pPr>
            <w:r>
              <w:rPr>
                <w:rFonts w:ascii="Times New Roman" w:hAnsi="Times New Roman"/>
                <w:szCs w:val="22"/>
              </w:rPr>
              <w:t>Asetuksen (EU) N:o 575/2013 61 artikla.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Ilmoitetaan rivien 26–28 ja 32 summa.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Maksetut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51 artiklan a alakohta sekä 52, 53 ja 54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Ilmoitettavaan määrään ei sisällytetä instrumentteihin liittyvää ylikurssirahastoa.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51 artiklan b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Tässä kohdassa ilmoitettava määrä on ”Maksettuihin pääomainstrumentteihin” liittyvä osa.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ENSISIJAISESTA LISÄPÄÄOMASTA (AT1) TEHTÄVÄT VÄHENNYKSET YHTEENSÄ</w:t>
            </w:r>
          </w:p>
          <w:p>
            <w:pPr>
              <w:spacing w:before="60" w:after="60"/>
              <w:rPr>
                <w:rFonts w:ascii="Times New Roman" w:hAnsi="Times New Roman" w:cs="Times New Roman"/>
                <w:szCs w:val="22"/>
              </w:rPr>
            </w:pPr>
            <w:r>
              <w:rPr>
                <w:rFonts w:ascii="Times New Roman" w:hAnsi="Times New Roman"/>
                <w:szCs w:val="22"/>
              </w:rPr>
              <w:t>Asetuksen (EU) N:o 575/2013 56 artikla.</w:t>
            </w:r>
          </w:p>
          <w:p>
            <w:pPr>
              <w:spacing w:after="120"/>
              <w:jc w:val="both"/>
              <w:rPr>
                <w:rFonts w:ascii="Times New Roman" w:eastAsia="Times New Roman" w:hAnsi="Times New Roman" w:cs="Times New Roman"/>
                <w:bCs/>
                <w:szCs w:val="22"/>
              </w:rPr>
            </w:pPr>
            <w:r>
              <w:rPr>
                <w:rFonts w:ascii="Times New Roman" w:hAnsi="Times New Roman"/>
                <w:bCs/>
                <w:szCs w:val="22"/>
              </w:rPr>
              <w:t>Ilmoitetaan rivien 29–31 summa.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Omat ensisijaisen lisäpääoman (AT1) 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Asetuksen (EU) N:o 575/2013 52 artiklan 1 kohdan b alakohta, 56 artiklan a alakohta ja 57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Näillä tarkoitetaan omia ensisijaisen lisäpääoman (AT1) instrumentteja, jotka ovat sijoituspalveluyrityksen hallussa raportointipäivänä. Jollei asetuksen (EU) N:o 575/2013 57 artiklassa säädetyistä poikkeuksista muuta johdu.</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Ilmoitettavaan määrään on sisällytettävä omiin osakkeisiin liittyvä ylikurssirahasto.</w:t>
            </w:r>
          </w:p>
          <w:p>
            <w:pPr>
              <w:pStyle w:val="InstructionsText"/>
              <w:rPr>
                <w:lang w:val="en-IE"/>
              </w:rPr>
            </w:pP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ensisijaisen lisäpääoman (AT1) instrumentit, kun laitoksella ei ole merkittävää sijoitusta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56 artiklan c alakohta.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Muut vähennykset</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Kaikkien muiden asetuksen (EU) N:o 575/2013 56 artiklan mukaisten vähennysten summa lukuun ottamatta asetuksen (EU) N:o 575/2013 56 artiklan d alakohdan mukaisia vähennyksiä, jotka eivät sisälly edellä oleviin riveihin 0340 tai 0380.</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Ensisijainen lisäpääoma (AT 1):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ensisijaisen lisäpääoman (AT1) instrumenteista aiheutuvat siirtymäkauden oikaisut (asetuksen (EU) N:o 575/2013 483 artiklan 4 ja 5 kohta, 484–487 artikla sekä 489 ja 491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ensisijaista lisäpääomaa (AT1) koskevat siirtymäkauden oikaisut (asetuksen (EU) N:o 575/2013 472, 473 a, 474, 475, 478 ja 481 artikla): Tässä tarkoitetaan vähennyksiin tehtäviä oikaisuja, jotka aiheutuvat siirtymäsäännöksistä.</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Ensisijaisen lisäpääoman (AT1) eristä tehtävät vähennykset, jotka ylittävät ensisijaisen lisäpääoman (AT1) siten, että ne vähennetään ydinpääomasta (CET1) asetuksen (EU) N:o 575/2013 36 artiklan 1 kohdan j alakohdan mukaisesti: Ensisijainen lisäpääoma (AT1) ei voi olla negatiivinen, mutta ensisijaisesta lisäpääomasta (AT1) tehtävät vähennykset voivat ylittää käytettävissä olevien ensisijaisen lisäpääoman (AT1) erien määrän. Jos näin tapahtuu, tämä erä edustaa määrää, joka tarvitaan rivillä 0300 ilmoitetun määrän korottamiseksi nollaan, ja se on käänteisluku siitä, kuinka paljon ne ensisijaisen lisäpääoman (AT1) eristä tehtävät vähennykset ylittävät ensisijaisen lisäpääoman (AT1), jotka sisältyvät muiden vähennysten ohella riville 23.</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ensisijaisen lisäpääoman (AT1) osatekijät tai ensisijaisen lisäpääoman (AT1) osatekijän vähennykset, joita ei voida kirjata jollekin riveistä 26–31.</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TOISSIJAINEN PÄÄOMA (T2)</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kohta.</w:t>
            </w:r>
          </w:p>
          <w:p>
            <w:pPr>
              <w:spacing w:after="120"/>
              <w:jc w:val="both"/>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Asetuksen (EU) N:o 575/2013 71 artikla.</w:t>
            </w:r>
          </w:p>
          <w:p>
            <w:pPr>
              <w:pStyle w:val="CommentText"/>
              <w:rPr>
                <w:sz w:val="22"/>
                <w:szCs w:val="22"/>
              </w:rPr>
            </w:pPr>
            <w:r>
              <w:rPr>
                <w:rFonts w:ascii="Times New Roman" w:hAnsi="Times New Roman"/>
                <w:sz w:val="22"/>
                <w:szCs w:val="22"/>
              </w:rPr>
              <w:t>Ilmoitetaan rivien 34–36 ja 39 summa.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Kokonaan maksetut, suoraan liikkeeseenlasketut pääomainstrumentit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eastAsiaTheme="minorHAnsi" w:hAnsi="Times New Roman"/>
                <w:bCs/>
                <w:sz w:val="22"/>
              </w:rPr>
            </w:pPr>
            <w:r>
              <w:rPr>
                <w:rStyle w:val="FormatvorlageInstructionsTabelleText"/>
                <w:rFonts w:ascii="Times New Roman" w:hAnsi="Times New Roman"/>
                <w:sz w:val="22"/>
              </w:rPr>
              <w:t>Asetuksen (EU) N:o 575/2013 62 artiklan a alakohta ja 63 ja 65 artikla.</w:t>
            </w:r>
          </w:p>
          <w:p>
            <w:pPr>
              <w:spacing w:after="120"/>
              <w:jc w:val="both"/>
              <w:rPr>
                <w:rFonts w:ascii="Times New Roman" w:eastAsia="Times New Roman" w:hAnsi="Times New Roman" w:cs="Times New Roman"/>
                <w:b/>
                <w:bCs/>
                <w:szCs w:val="22"/>
                <w:u w:val="single"/>
              </w:rPr>
            </w:pPr>
            <w:r>
              <w:rPr>
                <w:rStyle w:val="FormatvorlageInstructionsTabelleText"/>
                <w:rFonts w:ascii="Times New Roman" w:hAnsi="Times New Roman"/>
                <w:sz w:val="22"/>
                <w:szCs w:val="22"/>
              </w:rPr>
              <w:t>Ilmoitettavaan määrään ei sisällytetä instrumentteihin liittyvää ylikurssirahastoa.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Ylikurssirahasto</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62 artiklan b alakohta ja 65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Ylikurssirahastolla tarkoitetaan samaa kuin sovellettavassa tilinpäätössäännöstössä.</w:t>
            </w:r>
          </w:p>
          <w:p>
            <w:pPr>
              <w:pStyle w:val="InstructionsText"/>
            </w:pPr>
            <w:r>
              <w:rPr>
                <w:rStyle w:val="FormatvorlageInstructionsTabelleText"/>
                <w:rFonts w:ascii="Times New Roman" w:hAnsi="Times New Roman"/>
                <w:sz w:val="22"/>
              </w:rPr>
              <w:t>Tässä kohdassa ilmoitettava määrä on ”Maksettuihin pääomainstrumentteihin” liittyvä osa.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TOISSIJAISESTA PÄÄOMASTA (T2) TEHTÄVÄT VÄHENNYKSET YHTEENSÄ</w:t>
            </w:r>
          </w:p>
          <w:p>
            <w:pPr>
              <w:spacing w:after="120"/>
              <w:jc w:val="both"/>
              <w:rPr>
                <w:rFonts w:ascii="Times New Roman" w:eastAsia="Times New Roman" w:hAnsi="Times New Roman" w:cs="Times New Roman"/>
                <w:bCs/>
                <w:szCs w:val="22"/>
              </w:rPr>
            </w:pPr>
            <w:r>
              <w:rPr>
                <w:rFonts w:ascii="Times New Roman" w:hAnsi="Times New Roman"/>
                <w:szCs w:val="22"/>
              </w:rPr>
              <w:t>Asetuksen (EU) N:o 575/2013 66 artikla.</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Omat toissijaisen pääoman (T2) instrumentit</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1 kohdan i alakohta.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Asetuksen (EU) N:o 575/2013 63 artiklan b alakohdan i alakohta, 66 artiklan a alakohta ja 67 artikla.</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Näillä tarkoitetaan omia toissijaisen pääoman (T2) instrumentteja, jotka ovat raportoivan laitoksen tai ryhmän hallussa raportointipäivänä. Jollei asetuksen (EU) N:o 575/2013 67 artiklassa säädetyistä poikkeuksista muuta johdu.</w:t>
            </w:r>
          </w:p>
          <w:p>
            <w:pPr>
              <w:pStyle w:val="InstructionsText"/>
              <w:rPr>
                <w:rStyle w:val="FormatvorlageInstructionsTabelleText"/>
                <w:rFonts w:ascii="Times New Roman" w:hAnsi="Times New Roman"/>
                <w:sz w:val="22"/>
              </w:rPr>
            </w:pPr>
            <w:r>
              <w:rPr>
                <w:rStyle w:val="FormatvorlageInstructionsTabelleText"/>
                <w:rFonts w:ascii="Times New Roman" w:hAnsi="Times New Roman"/>
                <w:sz w:val="22"/>
              </w:rPr>
              <w:t>Kohtaan ”Ei-hyväksyttävät pääomainstrumentit” sisällytettäviä osakkeiden omistusosuuksia ei ilmoiteta tällä rivillä.</w:t>
            </w:r>
          </w:p>
          <w:p>
            <w:pPr>
              <w:pStyle w:val="InstructionsText"/>
            </w:pPr>
            <w:r>
              <w:rPr>
                <w:rStyle w:val="FormatvorlageInstructionsTabelleText"/>
                <w:rFonts w:ascii="Times New Roman" w:hAnsi="Times New Roman"/>
                <w:sz w:val="22"/>
              </w:rPr>
              <w:t>Ilmoitettavaan määrään on sisällytettävä omiin osakkeisiin liittyvä ylikurssirahasto.</w:t>
            </w:r>
          </w:p>
        </w:tc>
      </w:tr>
      <w:tr>
        <w:tc>
          <w:tcPr>
            <w:tcW w:w="1129" w:type="dxa"/>
          </w:tcPr>
          <w:p>
            <w:pPr>
              <w:spacing w:after="120"/>
              <w:jc w:val="both"/>
              <w:rPr>
                <w:rFonts w:ascii="Times New Roman" w:eastAsia="Times New Roman" w:hAnsi="Times New Roman" w:cs="Times New Roman"/>
                <w:bCs/>
                <w:szCs w:val="22"/>
              </w:rPr>
            </w:pPr>
            <w:r>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 Finanssialan yhteisöjen toissijaisen pääoman (T2) instrumentit, kun laitoksella ei ole merkittävää sijoitusta näissä yhteisöissä</w:t>
            </w:r>
          </w:p>
          <w:p>
            <w:pPr>
              <w:spacing w:after="120"/>
              <w:jc w:val="both"/>
              <w:rPr>
                <w:rFonts w:ascii="Times New Roman" w:eastAsia="Times New Roman" w:hAnsi="Times New Roman" w:cs="Times New Roman"/>
                <w:bCs/>
                <w:szCs w:val="22"/>
              </w:rPr>
            </w:pPr>
            <w:r>
              <w:rPr>
                <w:rFonts w:ascii="Times New Roman" w:hAnsi="Times New Roman"/>
                <w:bCs/>
                <w:szCs w:val="22"/>
              </w:rPr>
              <w:t>Asetuksen (EU) 2019/2033 9 artiklan 2 kohdan c alakohta.</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Asetuksen (EU) N:o 575/2013 66 artiklan c alakohta.</w:t>
            </w:r>
          </w:p>
        </w:tc>
      </w:tr>
      <w:tr>
        <w:tc>
          <w:tcPr>
            <w:tcW w:w="1129" w:type="dxa"/>
            <w:tcBorders>
              <w:bottom w:val="single" w:sz="4" w:space="0" w:color="auto"/>
            </w:tcBorders>
          </w:tcPr>
          <w:p>
            <w:pPr>
              <w:spacing w:after="120"/>
              <w:jc w:val="both"/>
              <w:rPr>
                <w:rFonts w:ascii="Times New Roman" w:eastAsia="Times New Roman" w:hAnsi="Times New Roman" w:cs="Times New Roman"/>
                <w:bCs/>
                <w:szCs w:val="22"/>
              </w:rPr>
            </w:pPr>
            <w:r>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jc w:val="both"/>
              <w:rPr>
                <w:rFonts w:ascii="Times New Roman" w:eastAsia="Times New Roman" w:hAnsi="Times New Roman" w:cs="Times New Roman"/>
                <w:b/>
                <w:bCs/>
                <w:szCs w:val="22"/>
                <w:u w:val="single"/>
              </w:rPr>
            </w:pPr>
            <w:r>
              <w:rPr>
                <w:rFonts w:ascii="Times New Roman" w:hAnsi="Times New Roman"/>
                <w:b/>
                <w:bCs/>
                <w:szCs w:val="22"/>
                <w:u w:val="single"/>
              </w:rPr>
              <w:t>Toissijainen pääoma (T2): muut pääoman osatekijät, vähennykset ja oikaisut</w:t>
            </w:r>
          </w:p>
          <w:p>
            <w:pPr>
              <w:spacing w:after="120"/>
              <w:jc w:val="both"/>
              <w:rPr>
                <w:rFonts w:ascii="Times New Roman" w:eastAsia="Times New Roman" w:hAnsi="Times New Roman" w:cs="Times New Roman"/>
                <w:bCs/>
                <w:szCs w:val="22"/>
              </w:rPr>
            </w:pPr>
            <w:r>
              <w:rPr>
                <w:rFonts w:ascii="Times New Roman" w:hAnsi="Times New Roman"/>
                <w:bCs/>
                <w:szCs w:val="22"/>
              </w:rPr>
              <w:t>Tämä rivi sisältää tapauksen mukaan seuraavien erien summan: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Määräajaksi vapautetuista toissijaisen pääoman (T2) instrumenteista aiheutuvat siirtymäkauden oikaisut (asetuksen (EU) N:o 575/2013 483 artiklan 6 ja 7 kohta sekä 484, 486, 488, 490 ja 491 artikla)</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ensisijaista lisäpääomaa (T2) koskevat siirtymäkauden oikaisut (asetuksen (EU) N:o 575/2013 472, 473 a, 476, 477, 478 ja 481 artikla): siirtymäsäännöksistä johtuviin toissijaisesta pääomasta (T2) tehtäviin vähennyksiin tehtävät oikaisut.</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Toissijaisen pääoman (T2) eristä tehtävät vähennykset, jotka ylittävät toissijaisen pääoman (T2) siten, että ne vähennetään ensisijaisesta lisäpääomasta (AT1) asetuksen (EU) N:o 575/2013 56 artiklan e alakohdan mukaisesti: Toissijainen pääoma (T2) ei voi olla negatiivinen, mutta toissijaisesta pääomasta (T2) tehtävät vähennykset voivat ylittää käytettävissä olevien toissijaisen pääoman (T2) erien määrän. Jos näin tapahtuu, tämä erä edustaa määrää, joka tarvitaan rivillä 33 ilmoitetun määrän korottamiseksi nollaan.</w:t>
            </w:r>
          </w:p>
          <w:p>
            <w:pPr>
              <w:spacing w:after="120"/>
              <w:ind w:left="360" w:hanging="360"/>
              <w:contextualSpacing/>
              <w:jc w:val="both"/>
              <w:rPr>
                <w:rFonts w:ascii="Times New Roman" w:eastAsia="Times New Roman" w:hAnsi="Times New Roman"/>
                <w:bCs/>
              </w:rPr>
            </w:pPr>
            <w:r>
              <w:rPr>
                <w:rFonts w:ascii="Times New Roman" w:eastAsia="Times New Roman" w:hAnsi="Times New Roman" w:cs="Times New Roman"/>
                <w:bCs/>
                <w:szCs w:val="22"/>
              </w:rPr>
              <w:t>–</w:t>
            </w:r>
            <w:r>
              <w:rPr>
                <w:rFonts w:ascii="Times New Roman" w:eastAsia="Times New Roman" w:hAnsi="Times New Roman" w:cs="Times New Roman"/>
                <w:bCs/>
                <w:szCs w:val="22"/>
              </w:rPr>
              <w:tab/>
            </w:r>
            <w:r>
              <w:rPr>
                <w:rFonts w:ascii="Times New Roman" w:hAnsi="Times New Roman"/>
                <w:bCs/>
              </w:rPr>
              <w:t>Muut toissijaisen pääoman (T2) osatekijät tai toissijaisen pääoman (T2) osatekijän vähennykset, joita ei voida kirjata jollekin riveistä 34–38.</w:t>
            </w:r>
          </w:p>
          <w:p>
            <w:pPr>
              <w:spacing w:after="120"/>
              <w:jc w:val="both"/>
              <w:rPr>
                <w:rFonts w:ascii="Times New Roman" w:eastAsia="Times New Roman" w:hAnsi="Times New Roman" w:cs="Times New Roman"/>
                <w:b/>
                <w:bCs/>
                <w:szCs w:val="22"/>
                <w:u w:val="single"/>
              </w:rPr>
            </w:pPr>
            <w:r>
              <w:rPr>
                <w:rFonts w:ascii="Times New Roman" w:hAnsi="Times New Roman"/>
                <w:bCs/>
                <w:szCs w:val="22"/>
              </w:rPr>
              <w:t>Tätä riviä ei saa käyttää asetusten (EU) 2019/2033 ja (EU) N:o 575/2013 ulkopuolelle jäävien pääomaerien tai -vähennysten sisällyttämiseen vakavaraisuussuhdelukujen laskentaan.</w:t>
            </w:r>
          </w:p>
        </w:tc>
      </w:tr>
    </w:tbl>
    <w:p>
      <w:pPr>
        <w:rPr>
          <w:rFonts w:ascii="Times New Roman" w:hAnsi="Times New Roman" w:cs="Times New Roman"/>
          <w:b/>
          <w:bCs/>
          <w:sz w:val="24"/>
          <w:lang w:val="en-IE"/>
        </w:rPr>
      </w:pPr>
    </w:p>
    <w:p>
      <w:pPr>
        <w:rPr>
          <w:rFonts w:ascii="Times New Roman" w:hAnsi="Times New Roman" w:cs="Times New Roman"/>
          <w:b/>
          <w:bCs/>
          <w:sz w:val="24"/>
        </w:rPr>
      </w:pPr>
      <w:r>
        <w:rPr>
          <w:rFonts w:ascii="Times New Roman" w:hAnsi="Times New Roman"/>
          <w:b/>
          <w:bCs/>
          <w:sz w:val="24"/>
        </w:rPr>
        <w:t>Lomake EU I CC2 – Lakisääteisten omien varojen täsmäytys tarkastettuun tilinpäätökseen sisältyvään taseeseen</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7.</w:t>
      </w:r>
      <w:r>
        <w:rPr>
          <w:rFonts w:ascii="Times New Roman" w:hAnsi="Times New Roman" w:cs="Times New Roman"/>
          <w:bCs/>
          <w:sz w:val="24"/>
        </w:rPr>
        <w:tab/>
      </w:r>
      <w:r>
        <w:rPr>
          <w:rFonts w:ascii="Times New Roman" w:hAnsi="Times New Roman"/>
          <w:bCs/>
          <w:sz w:val="24"/>
        </w:rPr>
        <w:t>Sijoituspalveluyritysten on sovellettava tässä liitteessä annettuja ohjeita täyttääkseen liitteessä VI olevan lomakkeen EU I CC2 asetuksen (EU) 2019/2033 49 artiklan 1 kohdan a alakohdan mukaisesti.</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8.</w:t>
      </w:r>
      <w:r>
        <w:rPr>
          <w:rFonts w:ascii="Times New Roman" w:hAnsi="Times New Roman" w:cs="Times New Roman"/>
          <w:bCs/>
          <w:sz w:val="24"/>
        </w:rPr>
        <w:tab/>
      </w:r>
      <w:r>
        <w:rPr>
          <w:rFonts w:ascii="Times New Roman" w:hAnsi="Times New Roman"/>
          <w:bCs/>
          <w:sz w:val="24"/>
        </w:rPr>
        <w:t>Sijoituspalveluyritysten on julkistettava julkaistuun tilinpäätökseensä sisältyvä tase. Tilinpäätöksen on oltava vuoden lopussa esitettävien tietojen tarkastettu tilinpäätös.</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9.</w:t>
      </w:r>
      <w:r>
        <w:rPr>
          <w:rFonts w:ascii="Times New Roman" w:hAnsi="Times New Roman" w:cs="Times New Roman"/>
          <w:bCs/>
          <w:sz w:val="24"/>
        </w:rPr>
        <w:tab/>
      </w:r>
      <w:r>
        <w:rPr>
          <w:rFonts w:ascii="Times New Roman" w:hAnsi="Times New Roman"/>
          <w:bCs/>
          <w:sz w:val="24"/>
        </w:rPr>
        <w:t>Lomakkeen rivit ovat joustavia, ja sijoituspalveluyritysten on täytettävä ne tilinpäätöksensä mukaisesti. Tarkastetussa tilinpäätöksessä omien varojen erien on katettava kaikki erät, jotka kuuluvat lakisääteisiin omiin varoihin tai jotka on vähennetty lakisääteisistä omista varoista, mukaan lukien oma pääoma, vastuut, kuten velat, ja muut taseen kohdat, jotka vaikuttavat lakisääteisiin omiin varoihin, kuten aineettomat hyödykkeet, liikearvo tai laskennalliset verosaamiset. Sijoituspalveluyritysten on tarvittaessa laajennettava taseen omien varojen eriä sen varmistamiseksi, että kaikki omien varojen koostumusta koskevaan julkistamislomakkeeseen (lomake EU I CC1) sisältyvät osatekijät esitetään erikseen. Sijoituspalveluyritykset saavat laajentaa taseen osia vain sille tarkkuustasolle, joka on tarpeen lomakkeessa EU I CC1 vaadittujen osien esittämiseksi. Esitettävien tietojen on oltava oikeassa suhteessa sijoituspalveluyrityksen taseen monimutkaisuuteen.</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10.</w:t>
      </w:r>
      <w:r>
        <w:rPr>
          <w:rFonts w:ascii="Times New Roman" w:hAnsi="Times New Roman" w:cs="Times New Roman"/>
          <w:bCs/>
          <w:sz w:val="24"/>
        </w:rPr>
        <w:tab/>
      </w:r>
      <w:r>
        <w:rPr>
          <w:rFonts w:ascii="Times New Roman" w:hAnsi="Times New Roman"/>
          <w:bCs/>
          <w:sz w:val="24"/>
        </w:rPr>
        <w:t>Sarakkeet ovat kiinteitä, ja ne on täytettävä seuraavasti:</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Sarake a: Sijoituspalveluyritysten on esitettävä tilinpäätössäännöstön mukaiseen konsolidointiin perustuvaan tarkastettuun tilinpäätökseensä sisältyvässä taseessa ilmoitetut luvut.</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Sarake b: Sijoituspalveluyritysten on ilmoitettava vakavaraisuussääntelyn mukaisen konsolidoinnin laajuutta vastaavat luvut.</w:t>
      </w:r>
    </w:p>
    <w:p>
      <w:pPr>
        <w:pStyle w:val="numberedparagraph"/>
        <w:numPr>
          <w:ilvl w:val="0"/>
          <w:numId w:val="0"/>
        </w:numPr>
        <w:ind w:left="709" w:hanging="36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Sarake c: Sijoituspalveluyritysten on esitettävä lomakkeessa EU I CC2 olevan omien varojen erän ja omien varojen julkistamislomakkeessa EU I CC1 olevien asianomaisten erien välinen ristiviittaus. Lomakkeen EU I CC2 sarakkeessa c oleva viite on liitettävä lomakkeen EU I CC1 sarakkeessa b olevaan viitteeseen.</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11.</w:t>
      </w:r>
      <w:r>
        <w:rPr>
          <w:rFonts w:ascii="Times New Roman" w:hAnsi="Times New Roman" w:cs="Times New Roman"/>
          <w:bCs/>
          <w:sz w:val="24"/>
        </w:rPr>
        <w:tab/>
      </w:r>
      <w:r>
        <w:rPr>
          <w:rFonts w:ascii="Times New Roman" w:hAnsi="Times New Roman"/>
          <w:bCs/>
          <w:sz w:val="24"/>
        </w:rPr>
        <w:t>Jos sijoituspalveluyrityksen tilinpäätössäännöstön mukaisen konsolidoinnin ja vakavaraisuussääntelyn mukaisen konsolidoinnin laajuus on täysin sama, täytetään ainoastaan sarake a, ja tästä on ilmoitettava selkeästi:</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d.</w:t>
      </w:r>
      <w:r>
        <w:rPr>
          <w:rFonts w:ascii="Times New Roman" w:hAnsi="Times New Roman" w:cs="Times New Roman"/>
          <w:bCs/>
          <w:sz w:val="24"/>
        </w:rPr>
        <w:tab/>
      </w:r>
      <w:r>
        <w:rPr>
          <w:rFonts w:ascii="Times New Roman" w:hAnsi="Times New Roman"/>
          <w:sz w:val="24"/>
        </w:rPr>
        <w:t>Kun sijoituspalveluyritykset noudattavat sijoituspalveluyritysten vakavaraisuusvaatimuksista annetun asetuksen (EU) 2019/2033 kuudennessa osassa säädettyjä velvoitteita konsolidoinnin perusteella, mutta tilinpäätökseen sisältyvässä taseessa käytetty konsolidoinnin laajuus ja konsolidointimenetelmä ovat samat kuin asetuksen (EU) 2019/2033 ensimmäisen osan II osaston 2 luvussa määritelty konsolidoinnin laajuus ja konsolidointimenetelmä, ja sijoituspalveluyritykset ilmoittavat selkeästi lomakkeen liitteenä olevissa selvityksissä, että konsolidoinnin laajuudet ja konsolidointimenetelmät eivät eroa toisistaan.</w:t>
      </w:r>
    </w:p>
    <w:p>
      <w:pPr>
        <w:pStyle w:val="numberedparagraph"/>
        <w:numPr>
          <w:ilvl w:val="0"/>
          <w:numId w:val="0"/>
        </w:numPr>
        <w:tabs>
          <w:tab w:val="left" w:pos="-180"/>
        </w:tabs>
        <w:ind w:left="709" w:hanging="360"/>
        <w:rPr>
          <w:rFonts w:ascii="Times New Roman" w:hAnsi="Times New Roman" w:cs="Times New Roman"/>
          <w:bCs/>
          <w:sz w:val="24"/>
        </w:rPr>
      </w:pPr>
      <w:r>
        <w:rPr>
          <w:rFonts w:ascii="Times New Roman" w:hAnsi="Times New Roman" w:cs="Times New Roman"/>
          <w:bCs/>
          <w:sz w:val="24"/>
        </w:rPr>
        <w:t>e.</w:t>
      </w:r>
      <w:r>
        <w:rPr>
          <w:rFonts w:ascii="Times New Roman" w:hAnsi="Times New Roman" w:cs="Times New Roman"/>
          <w:bCs/>
          <w:sz w:val="24"/>
        </w:rPr>
        <w:tab/>
      </w:r>
      <w:r>
        <w:rPr>
          <w:rFonts w:ascii="Times New Roman" w:hAnsi="Times New Roman"/>
          <w:sz w:val="24"/>
        </w:rPr>
        <w:t>Kun sijoituspalveluyritykset täyttävät asetuksen (EU) 2019/2033 kuudennessa osassa säädetyt velvoitteet yksittäisinä yrityksinä.</w:t>
      </w:r>
    </w:p>
    <w:p>
      <w:pPr>
        <w:rPr>
          <w:rFonts w:ascii="Times New Roman" w:hAnsi="Times New Roman" w:cs="Times New Roman"/>
          <w:b/>
          <w:bCs/>
          <w:sz w:val="24"/>
        </w:rPr>
      </w:pPr>
      <w:r>
        <w:rPr>
          <w:rFonts w:ascii="Times New Roman" w:hAnsi="Times New Roman"/>
          <w:b/>
          <w:bCs/>
          <w:sz w:val="24"/>
        </w:rPr>
        <w:t>Lomake EU I CCA – Yrityksen liikkeeseenlaskemien omien varojen instrumenttien keskeiset ominaisuudet</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12.</w:t>
      </w:r>
      <w:r>
        <w:rPr>
          <w:rFonts w:ascii="Times New Roman" w:hAnsi="Times New Roman" w:cs="Times New Roman"/>
          <w:bCs/>
          <w:sz w:val="24"/>
        </w:rPr>
        <w:tab/>
      </w:r>
      <w:r>
        <w:rPr>
          <w:rFonts w:ascii="Times New Roman" w:hAnsi="Times New Roman"/>
          <w:bCs/>
          <w:sz w:val="24"/>
        </w:rPr>
        <w:t>Sijoituspalveluyritysten on sovellettava tässä liitteessä annettuja ohjeita täyttääkseen liitteessä VI olevan lomakkeen EU I CCA asetuksen (EU) 2019/2033 49 artiklan 1 kohdan b alakohdan mukaisesti.</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13.</w:t>
      </w:r>
      <w:r>
        <w:rPr>
          <w:rFonts w:ascii="Times New Roman" w:hAnsi="Times New Roman" w:cs="Times New Roman"/>
          <w:bCs/>
          <w:sz w:val="24"/>
        </w:rPr>
        <w:tab/>
      </w:r>
      <w:r>
        <w:rPr>
          <w:rFonts w:ascii="Times New Roman" w:hAnsi="Times New Roman"/>
          <w:bCs/>
          <w:sz w:val="24"/>
        </w:rPr>
        <w:t>Sijoituspalveluyritysten on täytettävä lomake EU I CCA seuraavien luokkien osalta: ydinpääoman (CET1), ensisijaisen lisäpääoman (AT1) ja toissijaisen pääoman (T2) instrumentit.</w:t>
      </w:r>
    </w:p>
    <w:p>
      <w:pPr>
        <w:tabs>
          <w:tab w:val="left" w:pos="360"/>
        </w:tabs>
        <w:spacing w:before="120" w:after="120"/>
        <w:ind w:left="357" w:hanging="357"/>
        <w:jc w:val="both"/>
        <w:rPr>
          <w:rFonts w:ascii="Times New Roman" w:hAnsi="Times New Roman" w:cs="Times New Roman"/>
          <w:bCs/>
          <w:sz w:val="24"/>
        </w:rPr>
      </w:pPr>
      <w:r>
        <w:rPr>
          <w:rFonts w:ascii="Times New Roman" w:hAnsi="Times New Roman" w:cs="Times New Roman"/>
          <w:bCs/>
          <w:sz w:val="24"/>
        </w:rPr>
        <w:t>14.</w:t>
      </w:r>
      <w:r>
        <w:rPr>
          <w:rFonts w:ascii="Times New Roman" w:hAnsi="Times New Roman" w:cs="Times New Roman"/>
          <w:bCs/>
          <w:sz w:val="24"/>
        </w:rPr>
        <w:tab/>
      </w:r>
      <w:r>
        <w:rPr>
          <w:rFonts w:ascii="Times New Roman" w:hAnsi="Times New Roman"/>
          <w:bCs/>
          <w:sz w:val="24"/>
        </w:rPr>
        <w:t>Lomakkeissa on oltava erilliset sarakkeet kunkin lakisääteisen omien varojen instrumentin ominaisuuksille. Jos samaan luokkaan kuuluvilla eri instrumenteilla on samat ominaisuudet, sijoituspalveluyritykset voivat täyttää vain yhden sarakkeen, jossa ilmoitetaan nämä samanlaiset ominaisuudet ja eritellään liikkeeseenlaskut, joihin samanlaiset ominaisuudet liittyvät.</w:t>
      </w:r>
    </w:p>
    <w:tbl>
      <w:tblPr>
        <w:tblW w:w="91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3"/>
        <w:gridCol w:w="7661"/>
      </w:tblGrid>
      <w:tr>
        <w:trPr>
          <w:trHeight w:val="259"/>
        </w:trPr>
        <w:tc>
          <w:tcPr>
            <w:tcW w:w="9104" w:type="dxa"/>
            <w:gridSpan w:val="2"/>
            <w:shd w:val="clear" w:color="auto" w:fill="D9D9D9" w:themeFill="background1" w:themeFillShade="D9"/>
          </w:tcPr>
          <w:p>
            <w:pPr>
              <w:rPr>
                <w:rFonts w:ascii="Times New Roman" w:eastAsia="Times New Roman" w:hAnsi="Times New Roman" w:cs="Times New Roman"/>
                <w:b/>
                <w:bCs/>
                <w:color w:val="000000"/>
                <w:sz w:val="24"/>
              </w:rPr>
            </w:pPr>
            <w:r>
              <w:rPr>
                <w:rFonts w:ascii="Times New Roman" w:hAnsi="Times New Roman"/>
                <w:b/>
                <w:bCs/>
                <w:color w:val="000000"/>
                <w:sz w:val="24"/>
              </w:rPr>
              <w:t>Ohjeet yrityksen liikkeeseenlaskemien omien varojen instrumenttien keskeisiä ominaisuuksia koskevan lomakkeen täyttämiseen</w:t>
            </w:r>
          </w:p>
        </w:tc>
      </w:tr>
      <w:tr>
        <w:trPr>
          <w:trHeight w:val="259"/>
        </w:trPr>
        <w:tc>
          <w:tcPr>
            <w:tcW w:w="1443" w:type="dxa"/>
            <w:shd w:val="clear" w:color="auto" w:fill="D9D9D9" w:themeFill="background1" w:themeFillShade="D9"/>
            <w:vAlign w:val="center"/>
          </w:tcPr>
          <w:p>
            <w:pPr>
              <w:rPr>
                <w:rFonts w:ascii="Times New Roman" w:eastAsia="Times New Roman" w:hAnsi="Times New Roman" w:cs="Times New Roman"/>
                <w:b/>
                <w:bCs/>
                <w:color w:val="000000"/>
                <w:sz w:val="24"/>
              </w:rPr>
            </w:pPr>
            <w:r>
              <w:rPr>
                <w:rFonts w:ascii="Times New Roman" w:hAnsi="Times New Roman"/>
                <w:b/>
                <w:bCs/>
                <w:color w:val="000000"/>
                <w:sz w:val="24"/>
              </w:rPr>
              <w:t>Rivinumero</w:t>
            </w:r>
          </w:p>
        </w:tc>
        <w:tc>
          <w:tcPr>
            <w:tcW w:w="7661" w:type="dxa"/>
            <w:shd w:val="clear" w:color="auto" w:fill="D9D9D9" w:themeFill="background1" w:themeFillShade="D9"/>
            <w:noWrap/>
            <w:vAlign w:val="bottom"/>
          </w:tcPr>
          <w:p>
            <w:pPr>
              <w:rPr>
                <w:rFonts w:ascii="Times New Roman" w:eastAsia="Times New Roman" w:hAnsi="Times New Roman" w:cs="Times New Roman"/>
                <w:b/>
                <w:bCs/>
                <w:color w:val="000000"/>
                <w:sz w:val="24"/>
              </w:rPr>
            </w:pPr>
            <w:r>
              <w:rPr>
                <w:rFonts w:ascii="Times New Roman" w:hAnsi="Times New Roman"/>
                <w:b/>
                <w:bCs/>
                <w:color w:val="000000"/>
                <w:sz w:val="24"/>
              </w:rPr>
              <w:t>Selitys</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Liikkeeseenlaskija</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liikkeeseenlaskevasta oikeushenkilöstä.</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Yksilöllinen tunniste (esim. CUSIP, ISIN tai suunnatuissa anneissa Bloomberg-tunniste)</w:t>
            </w:r>
          </w:p>
          <w:p>
            <w:pPr>
              <w:spacing w:after="200" w:line="276" w:lineRule="auto"/>
              <w:jc w:val="both"/>
              <w:rPr>
                <w:rFonts w:ascii="Times New Roman" w:eastAsia="Times New Roman" w:hAnsi="Times New Roman" w:cs="Times New Roman"/>
                <w:sz w:val="24"/>
              </w:rPr>
            </w:pPr>
            <w:r>
              <w:rPr>
                <w:rFonts w:ascii="Times New Roman" w:hAnsi="Times New Roman"/>
                <w:sz w:val="24"/>
              </w:rPr>
              <w:t>Yksilöllinen tunniste (esim. CUSIP, ISIN tai suunnatuissa anneissa Bloomberg-tunniste).</w:t>
            </w:r>
          </w:p>
          <w:p>
            <w:pPr>
              <w:spacing w:after="200" w:line="276" w:lineRule="auto"/>
              <w:jc w:val="both"/>
              <w:rPr>
                <w:rFonts w:ascii="Times New Roman" w:eastAsia="Times New Roman" w:hAnsi="Times New Roman" w:cs="Times New Roman"/>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Julkinen vai suunnattu anti</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Ilmoitetaan, onko instrumentti suunnattu julkisille markkinoille vai rajoitetulle sijoittajajoukolle.</w:t>
            </w:r>
          </w:p>
          <w:p>
            <w:pPr>
              <w:spacing w:after="200" w:line="276" w:lineRule="auto"/>
              <w:jc w:val="both"/>
              <w:rPr>
                <w:rFonts w:ascii="Times New Roman" w:eastAsia="Times New Roman" w:hAnsi="Times New Roman" w:cs="Times New Roman"/>
                <w:sz w:val="24"/>
              </w:rPr>
            </w:pPr>
            <w:r>
              <w:rPr>
                <w:rFonts w:ascii="Times New Roman" w:hAnsi="Times New Roman"/>
                <w:i/>
                <w:sz w:val="24"/>
              </w:rPr>
              <w:t>Valitse valikosta: [Julkinen] [Suunnattu]</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4</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Instrumenttiin sovellettava lainsäädäntö</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Tarkemmat tiedot instrumenttiin sovellettavasta lainsäädännöstä.</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Vapaamuotoinen teksti </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Instrumentin laji (kukin lainkäyttöalue määrittelee lajit)</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instrumenttilajeista, jotka vaihtelevat eri oikeudenkäyttöalueilla.</w:t>
            </w:r>
          </w:p>
          <w:p>
            <w:pPr>
              <w:spacing w:after="200" w:line="276" w:lineRule="auto"/>
              <w:jc w:val="both"/>
              <w:rPr>
                <w:rFonts w:ascii="Times New Roman" w:eastAsia="Times New Roman" w:hAnsi="Times New Roman" w:cs="Times New Roman"/>
                <w:i/>
                <w:sz w:val="24"/>
              </w:rPr>
            </w:pPr>
            <w:r>
              <w:rPr>
                <w:rFonts w:ascii="Times New Roman" w:hAnsi="Times New Roman"/>
                <w:i/>
                <w:sz w:val="24"/>
              </w:rPr>
              <w:t>Ydinpääoman (CET1) instrumenttien osalta valitaan instrumentin nimi EPV:n julkaisemasta CET1-luettelosta.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Muiden instrumenttien osalta valitaan jokin seuraavista: kukin oikeudenkäyttöalue tarjoaa sijoituspalveluyrityksille omat valikkovaihtoehtonsa, ja jokaisen instrumenttityypin osalta ilmoitetaan asetuksen (EU) 2019/2033 artiklat, joissa siihen viitataan.</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Lakisääteiseen pääomaan kirjattu määrä (valuutta miljoonina viimeisimpänä raportointipäivänä)</w:t>
            </w:r>
          </w:p>
          <w:p>
            <w:pPr>
              <w:spacing w:after="200" w:line="276" w:lineRule="auto"/>
              <w:jc w:val="both"/>
              <w:rPr>
                <w:rFonts w:ascii="Times New Roman" w:eastAsia="Times New Roman" w:hAnsi="Times New Roman" w:cs="Times New Roman"/>
                <w:sz w:val="24"/>
              </w:rPr>
            </w:pPr>
            <w:r>
              <w:rPr>
                <w:rFonts w:ascii="Times New Roman" w:hAnsi="Times New Roman"/>
                <w:sz w:val="24"/>
              </w:rPr>
              <w:t>Ilmoitetaan tarkemmat tiedot lakisääteisiin omiin varoihin kirjatusta määrästä (instrumentin kokonaismäärä, joka on kirjattu ennen kyseistä julkistamistasoa koskevia siirtymäsäännöksiä – raportointivelvollisuuksien täyttämisessä käytettävä valuutta).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 – tarkenna erityisesti, onko jotkin instrumenttien osat kirjattu toiselle lakisääteisten omien varojen tasolle ja eroaako lakisääteisiin omiin varoihin kirjattu määrä liikkeeseenlasketusta määrästä.</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Instrumentin nimellinen määrä</w:t>
            </w:r>
          </w:p>
          <w:p>
            <w:pPr>
              <w:spacing w:after="200" w:line="276" w:lineRule="auto"/>
              <w:jc w:val="both"/>
              <w:rPr>
                <w:rFonts w:ascii="Times New Roman" w:eastAsia="Times New Roman" w:hAnsi="Times New Roman" w:cs="Times New Roman"/>
                <w:sz w:val="24"/>
              </w:rPr>
            </w:pPr>
            <w:r>
              <w:rPr>
                <w:rFonts w:ascii="Times New Roman" w:hAnsi="Times New Roman"/>
                <w:sz w:val="24"/>
              </w:rPr>
              <w:t>Instrumentin nimellinen määrä (liikkeeseenlaskun valuutassa ja raportointivelvollisuuksia varten käytetyssä valuutassa).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Liikkeeseenlaskuhinta</w:t>
            </w:r>
          </w:p>
          <w:p>
            <w:pPr>
              <w:spacing w:after="200" w:line="276" w:lineRule="auto"/>
              <w:jc w:val="both"/>
              <w:rPr>
                <w:rFonts w:ascii="Times New Roman" w:eastAsia="Times New Roman" w:hAnsi="Times New Roman" w:cs="Times New Roman"/>
                <w:sz w:val="24"/>
              </w:rPr>
            </w:pPr>
            <w:r>
              <w:rPr>
                <w:rFonts w:ascii="Times New Roman" w:hAnsi="Times New Roman"/>
                <w:sz w:val="24"/>
              </w:rPr>
              <w:t>Instrumentin liikkeeseenlaskuhinta.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Lunastushinta</w:t>
            </w:r>
          </w:p>
          <w:p>
            <w:pPr>
              <w:spacing w:after="200" w:line="276" w:lineRule="auto"/>
              <w:jc w:val="both"/>
              <w:rPr>
                <w:rFonts w:ascii="Times New Roman" w:eastAsia="Times New Roman" w:hAnsi="Times New Roman" w:cs="Times New Roman"/>
                <w:sz w:val="24"/>
              </w:rPr>
            </w:pPr>
            <w:r>
              <w:rPr>
                <w:rFonts w:ascii="Times New Roman" w:hAnsi="Times New Roman"/>
                <w:sz w:val="24"/>
              </w:rPr>
              <w:t>Instrumentin lunastushinta.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Tilinpäätösluokittelu</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kirjanpidollisesta luokittelusta.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[Oma pääoma] [Velka – jaksotettu hankintameno] [Velka – käypään arvoon arvostamismahdollisuus] [Määräysvallaton omistusosuus konsolidoidussa tytäryrityksessä]</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Alkuperäinen liikkeeseenlaskupäivä</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liikkeeseenlaskupäivästä.</w:t>
            </w:r>
          </w:p>
          <w:p>
            <w:pPr>
              <w:spacing w:after="200" w:line="276" w:lineRule="auto"/>
              <w:jc w:val="both"/>
              <w:rPr>
                <w:rFonts w:ascii="Times New Roman" w:eastAsia="Times New Roman" w:hAnsi="Times New Roman" w:cs="Times New Roman"/>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Eräpäivätön vai päivätty</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sitä, onko instrumentti päivätty vai eräpäivätön.</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[Eräpäivätön] [Päivätty]</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Alkuperäinen maturiteettipäivä</w:t>
            </w:r>
          </w:p>
          <w:p>
            <w:pPr>
              <w:spacing w:after="200" w:line="276" w:lineRule="auto"/>
              <w:jc w:val="both"/>
              <w:rPr>
                <w:rFonts w:ascii="Times New Roman" w:eastAsia="Times New Roman" w:hAnsi="Times New Roman" w:cs="Times New Roman"/>
                <w:sz w:val="24"/>
              </w:rPr>
            </w:pPr>
            <w:r>
              <w:rPr>
                <w:rFonts w:ascii="Times New Roman" w:hAnsi="Times New Roman"/>
                <w:sz w:val="24"/>
              </w:rPr>
              <w:t>Päivättyjen instrumenttien osalta tarkemmat tiedot alkuperäisestä maturiteetista (päivä, kuukausi ja vuosi). Eräpäivättömien instrumenttien osalta merkitään ”ei maturiteettia”.</w:t>
            </w:r>
          </w:p>
          <w:p>
            <w:pPr>
              <w:spacing w:after="200" w:line="276" w:lineRule="auto"/>
              <w:jc w:val="both"/>
              <w:rPr>
                <w:rFonts w:ascii="Times New Roman" w:eastAsia="Times New Roman" w:hAnsi="Times New Roman" w:cs="Times New Roman"/>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Liikkeeseenlaskijan takaisinlunastusoptio, joka edellyttää valvontaviranomaisen ennakkohyväksyntää</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onko liikkeeseenlaskijalla takaisinlunastusmahdollisuus (kaikenlaiset takaisinlunastusmahdollisuudet).</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[Kyllä] [Ei]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Mahdollinen takaisinlunastuspäivä, ehdolliset takaisinlunastuspäivät ja lunastusmäärä</w:t>
            </w:r>
          </w:p>
          <w:p>
            <w:pPr>
              <w:spacing w:after="200" w:line="276" w:lineRule="auto"/>
              <w:jc w:val="both"/>
              <w:rPr>
                <w:rFonts w:ascii="Times New Roman" w:eastAsia="Times New Roman" w:hAnsi="Times New Roman" w:cs="Times New Roman"/>
                <w:sz w:val="24"/>
              </w:rPr>
            </w:pPr>
            <w:r>
              <w:rPr>
                <w:rFonts w:ascii="Times New Roman" w:hAnsi="Times New Roman"/>
                <w:sz w:val="24"/>
              </w:rPr>
              <w:t>Niiden instrumenttien osalta, joihin liikkeeseenlaskijalla on takaisinlunastusmahdollisuus, ensimmäinen lunastuspäivä, jos instrumenttiin liittyy takaisinlunastusmahdollisuus tiettynä päivänä (päivä, kuukausi ja vuosi), sekä lisäksi mahdollinen verotuksesta tai lainsäädännöstä johtuva takaisinlunastusmahdollisuus. Lisäksi tarkemmat tiedot lunastushinnasta. Helpottaa pysyvyyden arviointia.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Mahdolliset myöhemmät takaisinlunastuspäivät</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mahdollisten myöhempien takaisinlunastuspäivien olemassaolosta ja tiheydestä. Helpottaa pysyvyyden arviointia.</w:t>
            </w:r>
          </w:p>
          <w:p>
            <w:pPr>
              <w:spacing w:after="200" w:line="276" w:lineRule="auto"/>
              <w:jc w:val="both"/>
              <w:rPr>
                <w:rFonts w:ascii="Times New Roman" w:eastAsia="Times New Roman" w:hAnsi="Times New Roman" w:cs="Times New Roman"/>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17</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Kiinteä- vai vaihtuvakorkoinen osinko/kuponki</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onko kuponki/osinko kiinteä vai vaihtuva instrumentin elinkaaren aikana, tällä hetkellä kiinteä mutta tulevaisuudessa vaihtuvakorkoinen tai tällä hetkellä vaihtuva mutta tulevaisuudessa kiinteäkorkoinen.</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Valitse valikosta: [Kiinteäkorkoinen] [Vaihtuvakorkoinen] [Kiinteäkorkoisesta vaihtuvakorkoiseksi muuttuva] [Vaihtuvakorkoisesta kiinteäkorkoiseksi muuttuva] </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18</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Kuponkikorko ja siihen liittyvät indeksit</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Tarkemmat tiedot instrumentin kupongin korosta ja indekseistä, joihin kupongin/osingon korko on sidottu.</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Vapaamuotoinen teksti </w:t>
            </w:r>
          </w:p>
        </w:tc>
      </w:tr>
      <w:tr>
        <w:trPr>
          <w:trHeight w:val="2983"/>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19</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Dividend stopper -lausekkeen olemassaolo</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estääkö instrumenttiin liittyvän kupongin tai osingon maksamatta jättäminen osinkojen maksamisen kantaosakkeista (ts. onko sovittu dividend stopper -lausekkeesta).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Valitse valikosta: [Kyllä] [Ei] </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Täysin harkinnanvarainen, osittain harkinnanvarainen vai pakollinen (ajoituksen osalta)</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onko kupongin/osingon maksaminen liikkeeseenlaskijalle täysin harkinnanvaraista, osittain harkinnanvaraista vai pakollista. Jos laitoksella on täysi harkintavalta peruuttaa kupongin/osingon maksaminen kaikissa olosuhteissa, sen on valittava ”täysin harkinnanvarainen” (myös silloin, kun dividend stopper -lauseke ei estä laitosta peruuttamasta instrumenttiin liittyviä maksuja). Jos tiettyjen ehtojen on täytyttävä ennen kuin maksu voidaan peruuttaa (esim. omat varat alle tietyn kynnysarvon), laitoksen on valittava ”osittain harkinnanvarainen”. Jos laitos ei voi peruuttaa maksua muuten kuin selvitystilassa, sen on valittava ”pakollinen”.</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[Täysin harkinnanvarainen] [Osittain harkinnanvarainen] [Pakollinen]</w:t>
            </w:r>
          </w:p>
          <w:p>
            <w:pPr>
              <w:spacing w:after="200" w:line="276" w:lineRule="auto"/>
              <w:jc w:val="both"/>
              <w:rPr>
                <w:rFonts w:ascii="Times New Roman" w:eastAsia="Times New Roman" w:hAnsi="Times New Roman" w:cs="Times New Roman"/>
                <w:sz w:val="24"/>
              </w:rPr>
            </w:pPr>
            <w:r>
              <w:rPr>
                <w:rFonts w:ascii="Times New Roman" w:hAnsi="Times New Roman"/>
                <w:i/>
                <w:sz w:val="24"/>
              </w:rPr>
              <w:t>Vapaamuotoinen teksti (tarkenna harkinnanvaraisuuden perusteet, dividend pusher- ja dividend stopper -lausekkeiden olemassaolo, ACSM-järjestely [Alternative Coupon Satisfaction Mechanism])</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Täysin harkinnanvarainen, osittain harkinnanvarainen vai pakollinen (suuruuden osalta)</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onko kupongin/osingon määrä liikkeeseenlaskijalle täysin harkinnanvarainen, osittain harkinnanvarainen vai pakollinen.</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[Täysin harkinnanvarainen] [Osittain harkinnanvarainen] [Pakollinen]</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22</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Step-up-ehdon tai muun lunastuskannustimen olemassaolo</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step-up-ehdon tai muun lunastamiskannustimen olemassaolosta.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[Kyllä] [Ei]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Muu kuin kumulatiivinen tai kumulatiivinen</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ovatko osingot/kupongit kumulatiivisia vai ei-kumulatiivisia.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[Ei-kumulatiivinen] [Kumulatiivinen] [ACSM]</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Muunnettava vai ei-muunnettava</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onko instrumentti muunnettava vai ei.</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[Muunnettava] [Ei-muunnettava]</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Jos instrumentti on muunnettava, mitkä tekijät laukaisevat muuntamisen?</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ehdoista, joilla instrumentti voidaan muuntaa, mukaan lukien laitoksen elinkelvottomuushetki. Jos yhdellä tai usealla viranomaisella on mahdollisuus käynnistää muuntaminen, tällaiset viranomaiset on lueteltava. Kunkin viranomaisen osalta on ilmoitettava, onko viranomaisen mahdollisuus käynnistää muuntaminen kirjattu kyseistä instrumenttia koskevaan sopimukseen (sopimusperusteinen lähestymistapa) vai perustuuko mahdollisuus lainsäädäntöön (lainsäädäntöön perustuva lähestymistapa).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onko se kokonaisuudessaan vai osittain muunnettava?</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muunnetaanko instrumentti aina kokonaisuudessaan, voidaanko sitä muuntaa kokonaan tai osittain vai muunnetaanko sitä aina osittain.</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[Aina kokonaan] [Kokonaan tai osittain] [Aina osittain]</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mikä on muuntokurssi?</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muuntokurssista, kun instrumentti muunnetaan instrumentiksi, jolla voidaan kattaa tappioita.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 xml:space="preserve"> Jos instrumentti on muunnettava, onko muuntaminen pakollinen vai valinnainen?</w:t>
            </w:r>
          </w:p>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tarkemmat tiedot siitä, onko muuntaminen pakollinen vai valinnainen.</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[Pakollinen] [Valinnainen] [N/A] ja [haltijoiden valinnan mukaan] [liikkeeseenlaskijan valinnan mukaan] [sekä haltijoiden että liikkeeseenlaskijan valinnan mukaan]</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29</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tarkenna, minkälaiseksi instrumentiksi se voidaan muuntaa</w:t>
            </w:r>
          </w:p>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tarkemmat tiedot siitä, minkälaisiksi instrumenteiksi se voidaan muuntaa.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[Ydinpääoma (CET1)] [Ensisijainen lisäpääoma (AT1)] [Toissijainen pääoma (T2)] [Muu]</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30</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tarkenna, minkä liikkeeseenlaskijan instrumentiksi se voidaan muuntaa</w:t>
            </w:r>
          </w:p>
          <w:p>
            <w:pPr>
              <w:spacing w:after="200" w:line="276" w:lineRule="auto"/>
              <w:jc w:val="both"/>
              <w:rPr>
                <w:rFonts w:ascii="Times New Roman" w:eastAsia="Times New Roman" w:hAnsi="Times New Roman" w:cs="Times New Roman"/>
                <w:sz w:val="24"/>
              </w:rPr>
            </w:pPr>
            <w:r>
              <w:rPr>
                <w:rFonts w:ascii="Times New Roman" w:hAnsi="Times New Roman"/>
                <w:sz w:val="24"/>
              </w:rPr>
              <w:t>Jos instrumentti on muunnettava, tarkemmat tiedot siitä, minkä liikkeeseenlaskijan instrumentiksi se voidaan muuntaa.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31</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Alaskirjausmahdollisuudet</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onko kirjanpitoarvon alentaminen mahdollista.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[Kyllä] [Ei]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32</w:t>
            </w:r>
          </w:p>
        </w:tc>
        <w:tc>
          <w:tcPr>
            <w:tcW w:w="7661" w:type="dxa"/>
            <w:shd w:val="clear" w:color="auto" w:fill="auto"/>
            <w:noWrap/>
            <w:vAlign w:val="bottom"/>
          </w:tcPr>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Alaskirjauksen laukaisevat tekijät</w:t>
            </w:r>
          </w:p>
          <w:p>
            <w:pPr>
              <w:autoSpaceDE w:val="0"/>
              <w:autoSpaceDN w:val="0"/>
              <w:adjustRightInd w:val="0"/>
              <w:spacing w:after="200" w:line="276" w:lineRule="auto"/>
              <w:jc w:val="both"/>
              <w:rPr>
                <w:rFonts w:ascii="Times New Roman" w:eastAsia="Times New Roman" w:hAnsi="Times New Roman" w:cs="Times New Roman"/>
                <w:sz w:val="24"/>
              </w:rPr>
            </w:pPr>
            <w:r>
              <w:rPr>
                <w:rFonts w:ascii="Times New Roman" w:hAnsi="Times New Roman"/>
                <w:sz w:val="24"/>
              </w:rPr>
              <w:t>Tarkemmat tiedot tekijöistä, jotka laukaisevat kirjanpitoarvon alentamisen, mukaan lukien laitoksen elinkelvottomuushetki. Jos yhdellä tai useammalla viranomaisella on mahdollisuus laukaista alaskirjaus, tällaiset viranomaiset on lueteltava. Kunkin viranomaisen kohdalla on ilmoitettava, onko viranomaisen mahdollisuus laukaista kirjanpitoarvon alentaminen kirjattu kyseistä instrumenttia koskevaan sopimukseen (sopimusperusteinen lähestymistapa) vai perustuuko mahdollisuus lainsäädäntöön (lainsäädäntöön perustuva lähestymistapa).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33</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Täydellinen vai osittainen alaskirjaus</w:t>
            </w:r>
          </w:p>
          <w:p>
            <w:pPr>
              <w:spacing w:after="200" w:line="276" w:lineRule="auto"/>
              <w:jc w:val="both"/>
              <w:rPr>
                <w:rFonts w:ascii="Times New Roman" w:eastAsia="Times New Roman" w:hAnsi="Times New Roman" w:cs="Times New Roman"/>
                <w:sz w:val="24"/>
              </w:rPr>
            </w:pPr>
            <w:r>
              <w:rPr>
                <w:rFonts w:ascii="Times New Roman" w:hAnsi="Times New Roman"/>
                <w:sz w:val="24"/>
              </w:rPr>
              <w:t>Tarkemmat tiedot siitä, alennetaanko instrumentin kirjanpitoarvo aina kokonaisuudessaan, voidaanko se alentaa osittain vai alennetaanko se aina osittain. Helpottaa tappionsietokyvyn arviointia alaskirjauksen yhteydessä.</w:t>
            </w:r>
          </w:p>
          <w:p>
            <w:pPr>
              <w:spacing w:after="200" w:line="276" w:lineRule="auto"/>
              <w:jc w:val="both"/>
              <w:rPr>
                <w:rFonts w:ascii="Times New Roman" w:eastAsia="Times New Roman" w:hAnsi="Times New Roman" w:cs="Times New Roman"/>
                <w:i/>
                <w:sz w:val="24"/>
              </w:rPr>
            </w:pPr>
            <w:r>
              <w:rPr>
                <w:rFonts w:ascii="Times New Roman" w:hAnsi="Times New Roman"/>
                <w:i/>
                <w:sz w:val="24"/>
              </w:rPr>
              <w:t xml:space="preserve">Valitse valikosta: [Aina kokonaan] [Kokonaan tai osittain] [Aina osittain] </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34</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Pysyvä vai väliaikainen alaskirjaus</w:t>
            </w:r>
          </w:p>
          <w:p>
            <w:pPr>
              <w:spacing w:after="200" w:line="276" w:lineRule="auto"/>
              <w:jc w:val="both"/>
              <w:rPr>
                <w:rFonts w:ascii="Times New Roman" w:eastAsia="Times New Roman" w:hAnsi="Times New Roman" w:cs="Times New Roman"/>
                <w:sz w:val="24"/>
              </w:rPr>
            </w:pPr>
            <w:r>
              <w:rPr>
                <w:rFonts w:ascii="Times New Roman" w:hAnsi="Times New Roman"/>
                <w:sz w:val="24"/>
              </w:rPr>
              <w:t>Jos instrumentin kirjanpitoarvoa on alennettu, tarkemmat tiedot siitä, onko alentaminen pysyvää vai väliaikaista.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Valitse valikosta: [Pysyvä] [Väliaikainen] [N/A]</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35</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Jos alaskirjaus on väliaikainen, kuvaus arvonkorotusmekanismista</w:t>
            </w:r>
          </w:p>
          <w:p>
            <w:pPr>
              <w:spacing w:after="200" w:line="276" w:lineRule="auto"/>
              <w:jc w:val="both"/>
              <w:rPr>
                <w:rFonts w:ascii="Times New Roman" w:eastAsia="Times New Roman" w:hAnsi="Times New Roman" w:cs="Times New Roman"/>
                <w:sz w:val="24"/>
              </w:rPr>
            </w:pPr>
            <w:r>
              <w:rPr>
                <w:rFonts w:ascii="Times New Roman" w:hAnsi="Times New Roman"/>
                <w:sz w:val="24"/>
              </w:rPr>
              <w:t>Kuvaus kirjanpitoarvon korotuksen mekanismista.</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1448"/>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36</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Vaatimustenvastaiset ominaisuudet</w:t>
            </w:r>
          </w:p>
          <w:p>
            <w:pPr>
              <w:spacing w:after="200" w:line="276" w:lineRule="auto"/>
              <w:jc w:val="both"/>
              <w:rPr>
                <w:rFonts w:ascii="Times New Roman" w:eastAsia="Times New Roman" w:hAnsi="Times New Roman" w:cs="Times New Roman"/>
                <w:sz w:val="24"/>
              </w:rPr>
            </w:pPr>
            <w:r>
              <w:rPr>
                <w:rFonts w:ascii="Times New Roman" w:hAnsi="Times New Roman"/>
                <w:sz w:val="24"/>
              </w:rPr>
              <w:t>Ilmoitetaan, onko vaatimustenvastaisia ominaisuuksia.</w:t>
            </w:r>
          </w:p>
          <w:p>
            <w:pPr>
              <w:spacing w:after="200" w:line="276" w:lineRule="auto"/>
              <w:jc w:val="both"/>
              <w:rPr>
                <w:rFonts w:ascii="Times New Roman" w:eastAsia="Times New Roman" w:hAnsi="Times New Roman" w:cs="Times New Roman"/>
                <w:i/>
                <w:sz w:val="24"/>
              </w:rPr>
            </w:pPr>
            <w:r>
              <w:rPr>
                <w:rFonts w:ascii="Times New Roman" w:hAnsi="Times New Roman"/>
                <w:sz w:val="24"/>
              </w:rPr>
              <w:t>Valitse [Kyllä] tai [Ei].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37</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Tarkenna mahdolliset vaatimustenvastaiset ominaisuudet</w:t>
            </w:r>
          </w:p>
          <w:p>
            <w:pPr>
              <w:spacing w:after="200" w:line="276" w:lineRule="auto"/>
              <w:jc w:val="both"/>
              <w:rPr>
                <w:rFonts w:ascii="Times New Roman" w:eastAsia="Times New Roman" w:hAnsi="Times New Roman" w:cs="Times New Roman"/>
                <w:sz w:val="24"/>
              </w:rPr>
            </w:pPr>
            <w:r>
              <w:rPr>
                <w:rFonts w:ascii="Times New Roman" w:hAnsi="Times New Roman"/>
                <w:sz w:val="24"/>
              </w:rPr>
              <w:t>Jos vaatimustenvastaisia ominaisuuksia on, laitosten on tarkennettava, mitä ne ovat.</w:t>
            </w:r>
          </w:p>
          <w:p>
            <w:pPr>
              <w:spacing w:after="200" w:line="276" w:lineRule="auto"/>
              <w:jc w:val="both"/>
              <w:rPr>
                <w:rFonts w:ascii="Times New Roman" w:eastAsia="Times New Roman" w:hAnsi="Times New Roman" w:cs="Times New Roman"/>
                <w:i/>
                <w:sz w:val="24"/>
              </w:rPr>
            </w:pPr>
            <w:r>
              <w:rPr>
                <w:rFonts w:ascii="Times New Roman" w:hAnsi="Times New Roman"/>
                <w:i/>
                <w:sz w:val="24"/>
              </w:rPr>
              <w:t>Vapaamuotoinen teksti</w:t>
            </w:r>
          </w:p>
        </w:tc>
      </w:tr>
      <w:tr>
        <w:trPr>
          <w:trHeight w:val="259"/>
        </w:trPr>
        <w:tc>
          <w:tcPr>
            <w:tcW w:w="1443" w:type="dxa"/>
            <w:vAlign w:val="center"/>
          </w:tcPr>
          <w:p>
            <w:pPr>
              <w:spacing w:after="200" w:line="276" w:lineRule="auto"/>
              <w:rPr>
                <w:rFonts w:ascii="Times New Roman" w:eastAsia="Times New Roman" w:hAnsi="Times New Roman" w:cs="Times New Roman"/>
                <w:sz w:val="24"/>
              </w:rPr>
            </w:pPr>
            <w:r>
              <w:rPr>
                <w:rFonts w:ascii="Times New Roman" w:hAnsi="Times New Roman"/>
                <w:color w:val="000000"/>
                <w:sz w:val="24"/>
              </w:rPr>
              <w:t>38</w:t>
            </w:r>
          </w:p>
        </w:tc>
        <w:tc>
          <w:tcPr>
            <w:tcW w:w="7661" w:type="dxa"/>
            <w:shd w:val="clear" w:color="auto" w:fill="auto"/>
            <w:noWrap/>
            <w:vAlign w:val="bottom"/>
          </w:tcPr>
          <w:p>
            <w:pPr>
              <w:spacing w:after="200" w:line="276" w:lineRule="auto"/>
              <w:jc w:val="both"/>
              <w:rPr>
                <w:rFonts w:ascii="Times New Roman" w:eastAsia="Times New Roman" w:hAnsi="Times New Roman" w:cs="Times New Roman"/>
                <w:sz w:val="24"/>
              </w:rPr>
            </w:pPr>
            <w:r>
              <w:rPr>
                <w:rFonts w:ascii="Times New Roman" w:hAnsi="Times New Roman"/>
                <w:sz w:val="24"/>
              </w:rPr>
              <w:t>Linkki instrumentin koko voimassaoloaikaan ja ehtoihin</w:t>
            </w:r>
          </w:p>
          <w:p>
            <w:pPr>
              <w:spacing w:after="200" w:line="276" w:lineRule="auto"/>
              <w:jc w:val="both"/>
              <w:rPr>
                <w:rFonts w:ascii="Times New Roman" w:eastAsia="Times New Roman" w:hAnsi="Times New Roman" w:cs="Times New Roman"/>
                <w:sz w:val="24"/>
              </w:rPr>
            </w:pPr>
            <w:r>
              <w:rPr>
                <w:rFonts w:ascii="Times New Roman" w:hAnsi="Times New Roman"/>
                <w:sz w:val="24"/>
              </w:rPr>
              <w:t>Sijoituspalveluyritysten on annettava hyperlinkki, josta pääsee liikkeeseenlaskuesitteeseen, mukaan lukien kaikki instrumentin ehdot.</w:t>
            </w:r>
          </w:p>
        </w:tc>
      </w:tr>
      <w:bookmarkEnd w:id="0"/>
      <w:bookmarkEnd w:id="1"/>
      <w:bookmarkEnd w:id="2"/>
      <w:bookmarkEnd w:id="3"/>
      <w:bookmarkEnd w:id="4"/>
      <w:bookmarkEnd w:id="5"/>
      <w:bookmarkEnd w:id="6"/>
      <w:bookmarkEnd w:id="7"/>
      <w:bookmarkEnd w:id="8"/>
      <w:bookmarkEnd w:id="9"/>
    </w:tbl>
    <w:p>
      <w:pPr>
        <w:rPr>
          <w:rFonts w:ascii="Times New Roman" w:hAnsi="Times New Roman" w:cs="Times New Roman"/>
          <w:bCs/>
          <w:sz w:val="24"/>
          <w:lang w:val="en-IE"/>
        </w:rPr>
      </w:pPr>
    </w:p>
    <w:sectPr>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E7F485" w16cid:durableId="2489A155"/>
  <w16cid:commentId w16cid:paraId="5A84DE01" w16cid:durableId="2489A156"/>
  <w16cid:commentId w16cid:paraId="0576AF74" w16cid:durableId="2489A157"/>
  <w16cid:commentId w16cid:paraId="3E2FC3C7" w16cid:durableId="2489A158"/>
  <w16cid:commentId w16cid:paraId="6CF80F95" w16cid:durableId="2489A159"/>
  <w16cid:commentId w16cid:paraId="044B03BE" w16cid:durableId="2489A1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320"/>
        <w:tab w:val="clear" w:pos="8640"/>
        <w:tab w:val="right" w:pos="9071"/>
      </w:tabs>
    </w:pPr>
    <w:r>
      <w:t>FI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26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rPr>
          <w:sz w:val="12"/>
          <w:szCs w:val="12"/>
        </w:rPr>
      </w:pPr>
      <w:r>
        <w:rPr>
          <w:sz w:val="12"/>
          <w:szCs w:val="12"/>
        </w:rPr>
        <w:separator/>
      </w:r>
    </w:p>
  </w:footnote>
  <w:footnote w:type="continuationSeparator" w:id="0">
    <w:p>
      <w:r>
        <w:continuationSeparator/>
      </w:r>
    </w:p>
  </w:footnote>
  <w:footnote w:type="continuationNotice" w:id="1">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IE" w:vendorID="64" w:dllVersion="131078" w:nlCheck="1" w:checkStyle="1"/>
  <w:revisionView w:markup="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53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BA GL-REC 20XX XX (FINAL GLS-REC ON"/>
  </w:docVar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5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i-FI"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fi-FI"/>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fi-FI"/>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fi-FI" w:eastAsia="de-DE"/>
    </w:rPr>
  </w:style>
  <w:style w:type="character" w:customStyle="1" w:styleId="ListParagraphChar">
    <w:name w:val="List Paragraph Char"/>
    <w:link w:val="ListParagraph"/>
    <w:uiPriority w:val="34"/>
    <w:rPr>
      <w:rFonts w:ascii="Calibri" w:eastAsia="Calibri" w:hAnsi="Calibri" w:cs="Times New Roman"/>
      <w:sz w:val="22"/>
      <w:szCs w:val="22"/>
      <w:lang w:val="fi-FI"/>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5B640-17E8-4677-969F-B2681AA3B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8721</Words>
  <Characters>49711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2021-11-25T15:13:00Z</dcterms:modified>
</cp:coreProperties>
</file>