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after="240" w:line="240" w:lineRule="auto"/>
        <w:jc w:val="center"/>
        <w:rPr>
          <w:rFonts w:ascii="Times New Roman" w:eastAsia="Times New Roman" w:hAnsi="Times New Roman" w:cs="Times New Roman"/>
          <w:b/>
          <w:sz w:val="24"/>
          <w:szCs w:val="20"/>
        </w:rPr>
      </w:pPr>
      <w:bookmarkStart w:id="0" w:name="_Toc359315628"/>
      <w:bookmarkStart w:id="1" w:name="_Toc361844197"/>
      <w:bookmarkStart w:id="2" w:name="_Toc473560873"/>
      <w:bookmarkStart w:id="3" w:name="_Toc7084158"/>
      <w:bookmarkStart w:id="4" w:name="_Toc308175820"/>
      <w:bookmarkStart w:id="5" w:name="_Toc360188325"/>
      <w:bookmarkStart w:id="6" w:name="_GoBack"/>
      <w:bookmarkEnd w:id="6"/>
      <w:r>
        <w:rPr>
          <w:rFonts w:ascii="Times New Roman" w:hAnsi="Times New Roman"/>
          <w:b/>
          <w:sz w:val="24"/>
          <w:szCs w:val="24"/>
        </w:rPr>
        <w:t>FI</w:t>
      </w:r>
      <w:r>
        <w:br/>
      </w:r>
      <w:r>
        <w:rPr>
          <w:rFonts w:ascii="Times New Roman" w:hAnsi="Times New Roman"/>
          <w:b/>
          <w:sz w:val="24"/>
          <w:szCs w:val="20"/>
        </w:rPr>
        <w:t>LIITE IX</w:t>
      </w:r>
    </w:p>
    <w:p>
      <w:pPr>
        <w:spacing w:after="240" w:line="240" w:lineRule="auto"/>
        <w:jc w:val="center"/>
        <w:rPr>
          <w:rFonts w:ascii="Times New Roman" w:eastAsia="Times New Roman" w:hAnsi="Times New Roman" w:cs="Times New Roman"/>
          <w:b/>
          <w:sz w:val="24"/>
          <w:szCs w:val="20"/>
          <w:u w:val="single"/>
        </w:rPr>
      </w:pPr>
      <w:r>
        <w:rPr>
          <w:rFonts w:ascii="Times New Roman" w:hAnsi="Times New Roman"/>
          <w:b/>
          <w:sz w:val="24"/>
          <w:szCs w:val="20"/>
          <w:u w:val="single"/>
        </w:rPr>
        <w:t xml:space="preserve">”LIITE </w:t>
      </w:r>
      <w:bookmarkEnd w:id="0"/>
      <w:bookmarkEnd w:id="1"/>
      <w:r>
        <w:rPr>
          <w:rFonts w:ascii="Times New Roman" w:hAnsi="Times New Roman"/>
          <w:b/>
          <w:sz w:val="24"/>
          <w:szCs w:val="20"/>
          <w:u w:val="single"/>
        </w:rPr>
        <w:t>IX</w:t>
      </w:r>
    </w:p>
    <w:p>
      <w:pPr>
        <w:spacing w:after="240" w:line="240" w:lineRule="auto"/>
        <w:jc w:val="center"/>
        <w:rPr>
          <w:rFonts w:ascii="Times New Roman" w:eastAsia="Times New Roman" w:hAnsi="Times New Roman" w:cs="Times New Roman"/>
          <w:b/>
          <w:sz w:val="24"/>
          <w:szCs w:val="20"/>
        </w:rPr>
      </w:pPr>
      <w:r>
        <w:rPr>
          <w:rFonts w:ascii="Times New Roman" w:hAnsi="Times New Roman"/>
          <w:b/>
          <w:sz w:val="24"/>
          <w:szCs w:val="20"/>
        </w:rPr>
        <w:t>RYHMÄN PÄÄOMAVAATIMUSTA KOSKEVA RAPORTOINTI</w:t>
      </w:r>
    </w:p>
    <w:p>
      <w:pPr>
        <w:spacing w:after="0" w:line="240" w:lineRule="auto"/>
        <w:rPr>
          <w:rFonts w:ascii="Times New Roman" w:hAnsi="Times New Roman"/>
          <w:sz w:val="24"/>
          <w:szCs w:val="24"/>
        </w:rPr>
      </w:pPr>
      <w:r>
        <w:rPr>
          <w:rFonts w:ascii="Times New Roman" w:hAnsi="Times New Roman"/>
          <w:sz w:val="24"/>
          <w:szCs w:val="24"/>
        </w:rPr>
        <w:t>Sisällysluettelo</w:t>
      </w:r>
    </w:p>
    <w:p>
      <w:pPr>
        <w:pStyle w:val="TOC2"/>
        <w:tabs>
          <w:tab w:val="right" w:leader="dot" w:pos="9016"/>
        </w:tabs>
        <w:rPr>
          <w:rFonts w:eastAsiaTheme="minorEastAsia"/>
          <w:noProof/>
          <w:lang w:eastAsia="fi-FI"/>
        </w:rPr>
      </w:pPr>
      <w:r>
        <w:rPr>
          <w:rFonts w:ascii="Times New Roman" w:hAnsi="Times New Roman"/>
          <w:noProof/>
        </w:rPr>
        <w:t>I OSA: YLEISET OHJEET</w:t>
      </w:r>
      <w:r>
        <w:rPr>
          <w:noProof/>
        </w:rPr>
        <w:tab/>
        <w:t>2</w:t>
      </w:r>
    </w:p>
    <w:p>
      <w:pPr>
        <w:pStyle w:val="TOC2"/>
        <w:tabs>
          <w:tab w:val="right" w:leader="dot" w:pos="9016"/>
        </w:tabs>
        <w:rPr>
          <w:rFonts w:eastAsiaTheme="minorEastAsia"/>
          <w:noProof/>
          <w:lang w:eastAsia="fi-FI"/>
        </w:rPr>
      </w:pPr>
      <w:r>
        <w:rPr>
          <w:rFonts w:ascii="Times New Roman" w:hAnsi="Times New Roman"/>
          <w:noProof/>
        </w:rPr>
        <w:t>1. Rakenne ja käytännöt</w:t>
      </w:r>
      <w:r>
        <w:rPr>
          <w:noProof/>
        </w:rPr>
        <w:tab/>
        <w:t>2</w:t>
      </w:r>
    </w:p>
    <w:p>
      <w:pPr>
        <w:pStyle w:val="TOC2"/>
        <w:tabs>
          <w:tab w:val="right" w:leader="dot" w:pos="9016"/>
        </w:tabs>
        <w:rPr>
          <w:rFonts w:eastAsiaTheme="minorEastAsia"/>
          <w:noProof/>
          <w:lang w:eastAsia="fi-FI"/>
        </w:rPr>
      </w:pPr>
      <w:r>
        <w:rPr>
          <w:rFonts w:ascii="Times New Roman" w:hAnsi="Times New Roman"/>
          <w:noProof/>
          <w:u w:val="single"/>
        </w:rPr>
        <w:t>1.1. Rakenne</w:t>
      </w:r>
      <w:r>
        <w:rPr>
          <w:noProof/>
        </w:rPr>
        <w:tab/>
        <w:t>2</w:t>
      </w:r>
    </w:p>
    <w:p>
      <w:pPr>
        <w:pStyle w:val="TOC2"/>
        <w:tabs>
          <w:tab w:val="right" w:leader="dot" w:pos="9016"/>
        </w:tabs>
        <w:rPr>
          <w:rFonts w:eastAsiaTheme="minorEastAsia"/>
          <w:noProof/>
          <w:lang w:eastAsia="fi-FI"/>
        </w:rPr>
      </w:pPr>
      <w:r>
        <w:rPr>
          <w:rFonts w:ascii="Times New Roman" w:hAnsi="Times New Roman"/>
          <w:noProof/>
          <w:u w:val="single"/>
        </w:rPr>
        <w:t>1.2. Numerointikäytäntö</w:t>
      </w:r>
      <w:r>
        <w:rPr>
          <w:noProof/>
        </w:rPr>
        <w:tab/>
        <w:t>2</w:t>
      </w:r>
    </w:p>
    <w:p>
      <w:pPr>
        <w:pStyle w:val="TOC2"/>
        <w:tabs>
          <w:tab w:val="right" w:leader="dot" w:pos="9016"/>
        </w:tabs>
        <w:rPr>
          <w:rFonts w:eastAsiaTheme="minorEastAsia"/>
          <w:noProof/>
          <w:lang w:eastAsia="fi-FI"/>
        </w:rPr>
      </w:pPr>
      <w:r>
        <w:rPr>
          <w:rFonts w:ascii="Times New Roman" w:hAnsi="Times New Roman"/>
          <w:noProof/>
          <w:u w:val="single"/>
        </w:rPr>
        <w:t>1.3. Merkkikäytäntö</w:t>
      </w:r>
      <w:r>
        <w:rPr>
          <w:noProof/>
        </w:rPr>
        <w:tab/>
        <w:t>2</w:t>
      </w:r>
    </w:p>
    <w:p>
      <w:pPr>
        <w:pStyle w:val="TOC2"/>
        <w:tabs>
          <w:tab w:val="right" w:leader="dot" w:pos="9016"/>
        </w:tabs>
        <w:rPr>
          <w:rFonts w:eastAsiaTheme="minorEastAsia"/>
          <w:noProof/>
          <w:lang w:eastAsia="fi-FI"/>
        </w:rPr>
      </w:pPr>
      <w:r>
        <w:rPr>
          <w:rFonts w:ascii="Times New Roman" w:hAnsi="Times New Roman"/>
          <w:noProof/>
        </w:rPr>
        <w:t>II OSA: LOMAKKEISIIN LIITTYVÄT OHJEET</w:t>
      </w:r>
      <w:r>
        <w:rPr>
          <w:noProof/>
        </w:rPr>
        <w:tab/>
        <w:t>2</w:t>
      </w:r>
    </w:p>
    <w:p>
      <w:pPr>
        <w:pStyle w:val="TOC2"/>
        <w:tabs>
          <w:tab w:val="right" w:leader="dot" w:pos="9016"/>
        </w:tabs>
        <w:rPr>
          <w:rFonts w:eastAsiaTheme="minorEastAsia"/>
          <w:noProof/>
          <w:lang w:eastAsia="fi-FI"/>
        </w:rPr>
      </w:pPr>
      <w:r>
        <w:rPr>
          <w:rFonts w:ascii="Times New Roman" w:hAnsi="Times New Roman"/>
          <w:b/>
          <w:noProof/>
        </w:rPr>
        <w:t>1. OMAT VARAT: TASO, KOOSTUMUS, VAATIMUKSET JA LASKELMAT</w:t>
      </w:r>
      <w:r>
        <w:rPr>
          <w:noProof/>
        </w:rPr>
        <w:tab/>
        <w:t>2</w:t>
      </w:r>
    </w:p>
    <w:p>
      <w:pPr>
        <w:pStyle w:val="TOC2"/>
        <w:tabs>
          <w:tab w:val="right" w:leader="dot" w:pos="9016"/>
        </w:tabs>
        <w:rPr>
          <w:rFonts w:eastAsiaTheme="minorEastAsia"/>
          <w:noProof/>
          <w:lang w:eastAsia="fi-FI"/>
        </w:rPr>
      </w:pPr>
      <w:r>
        <w:rPr>
          <w:rFonts w:ascii="Times New Roman" w:hAnsi="Times New Roman"/>
          <w:noProof/>
        </w:rPr>
        <w:t>1.1. Yleiset huomiot</w:t>
      </w:r>
      <w:r>
        <w:rPr>
          <w:noProof/>
        </w:rPr>
        <w:tab/>
        <w:t>2</w:t>
      </w:r>
    </w:p>
    <w:p>
      <w:pPr>
        <w:pStyle w:val="TOC2"/>
        <w:tabs>
          <w:tab w:val="right" w:leader="dot" w:pos="9016"/>
        </w:tabs>
        <w:rPr>
          <w:rFonts w:eastAsiaTheme="minorEastAsia"/>
          <w:noProof/>
          <w:lang w:eastAsia="fi-FI"/>
        </w:rPr>
      </w:pPr>
      <w:r>
        <w:rPr>
          <w:rFonts w:ascii="Times New Roman" w:hAnsi="Times New Roman"/>
          <w:noProof/>
        </w:rPr>
        <w:t>1.2. I 11.01 – OMIEN VAROJEN KOOSTUMUS – RYHMÄN PÄÄOMAVAATIMUS (I11.1)</w:t>
      </w:r>
      <w:r>
        <w:rPr>
          <w:noProof/>
        </w:rPr>
        <w:tab/>
        <w:t>3</w:t>
      </w:r>
    </w:p>
    <w:p>
      <w:pPr>
        <w:pStyle w:val="TOC2"/>
        <w:tabs>
          <w:tab w:val="left" w:pos="1100"/>
          <w:tab w:val="right" w:leader="dot" w:pos="9016"/>
        </w:tabs>
        <w:rPr>
          <w:rFonts w:eastAsiaTheme="minorEastAsia"/>
          <w:noProof/>
          <w:lang w:eastAsia="fi-FI"/>
        </w:rPr>
      </w:pPr>
      <w:r>
        <w:rPr>
          <w:rFonts w:ascii="Times New Roman" w:hAnsi="Times New Roman"/>
          <w:noProof/>
        </w:rPr>
        <w:t>1.2.1</w:t>
      </w:r>
      <w:r>
        <w:rPr>
          <w:rFonts w:ascii="Times New Roman" w:hAnsi="Times New Roman"/>
          <w:noProof/>
        </w:rPr>
        <w:tab/>
        <w:t>Positiokohtaiset ohjeet</w:t>
      </w:r>
      <w:r>
        <w:rPr>
          <w:noProof/>
        </w:rPr>
        <w:tab/>
        <w:t>3</w:t>
      </w:r>
    </w:p>
    <w:p>
      <w:pPr>
        <w:pStyle w:val="TOC2"/>
        <w:tabs>
          <w:tab w:val="right" w:leader="dot" w:pos="9016"/>
        </w:tabs>
        <w:rPr>
          <w:rFonts w:eastAsiaTheme="minorEastAsia"/>
          <w:noProof/>
          <w:lang w:eastAsia="fi-FI"/>
        </w:rPr>
      </w:pPr>
      <w:r>
        <w:rPr>
          <w:rFonts w:ascii="Times New Roman" w:hAnsi="Times New Roman"/>
          <w:noProof/>
        </w:rPr>
        <w:t>1.3. I 11.02 OMIEN VAROJEN VAATIMUKSET – RYHMÄN PÄÄOMAVAATIMUS (I11.2)</w:t>
      </w:r>
      <w:r>
        <w:rPr>
          <w:noProof/>
        </w:rPr>
        <w:tab/>
        <w:t>9</w:t>
      </w:r>
    </w:p>
    <w:p>
      <w:pPr>
        <w:pStyle w:val="TOC2"/>
        <w:tabs>
          <w:tab w:val="left" w:pos="1100"/>
          <w:tab w:val="right" w:leader="dot" w:pos="9016"/>
        </w:tabs>
        <w:rPr>
          <w:rFonts w:eastAsiaTheme="minorEastAsia"/>
          <w:noProof/>
          <w:lang w:eastAsia="fi-FI"/>
        </w:rPr>
      </w:pPr>
      <w:r>
        <w:rPr>
          <w:rFonts w:ascii="Times New Roman" w:hAnsi="Times New Roman"/>
          <w:noProof/>
        </w:rPr>
        <w:t>1.3.1</w:t>
      </w:r>
      <w:r>
        <w:rPr>
          <w:rFonts w:ascii="Times New Roman" w:hAnsi="Times New Roman"/>
          <w:noProof/>
        </w:rPr>
        <w:tab/>
      </w:r>
      <w:r>
        <w:rPr>
          <w:rFonts w:ascii="Times New Roman" w:hAnsi="Times New Roman"/>
          <w:noProof/>
          <w:u w:val="single"/>
        </w:rPr>
        <w:t>Positiokohtaiset ohjeet</w:t>
      </w:r>
      <w:r>
        <w:rPr>
          <w:noProof/>
        </w:rPr>
        <w:tab/>
        <w:t>9</w:t>
      </w:r>
    </w:p>
    <w:p>
      <w:pPr>
        <w:pStyle w:val="TOC2"/>
        <w:tabs>
          <w:tab w:val="right" w:leader="dot" w:pos="9016"/>
        </w:tabs>
        <w:rPr>
          <w:rFonts w:eastAsiaTheme="minorEastAsia"/>
          <w:noProof/>
          <w:lang w:eastAsia="fi-FI"/>
        </w:rPr>
      </w:pPr>
      <w:r>
        <w:rPr>
          <w:rFonts w:ascii="Times New Roman" w:hAnsi="Times New Roman"/>
          <w:noProof/>
        </w:rPr>
        <w:t>1.4. IF 11.03 TYTÄRYRITYKSIÄ KOSKEVAT TIEDOT (IF11.3)</w:t>
      </w:r>
      <w:r>
        <w:rPr>
          <w:noProof/>
        </w:rPr>
        <w:tab/>
        <w:t>10</w:t>
      </w:r>
    </w:p>
    <w:p>
      <w:pPr>
        <w:pStyle w:val="TOC2"/>
        <w:tabs>
          <w:tab w:val="left" w:pos="1100"/>
          <w:tab w:val="right" w:leader="dot" w:pos="9016"/>
        </w:tabs>
        <w:rPr>
          <w:rFonts w:eastAsiaTheme="minorEastAsia"/>
          <w:noProof/>
          <w:lang w:eastAsia="fi-FI"/>
        </w:rPr>
      </w:pPr>
      <w:r>
        <w:rPr>
          <w:rFonts w:ascii="Times New Roman" w:hAnsi="Times New Roman"/>
          <w:noProof/>
        </w:rPr>
        <w:t>1.4.1</w:t>
      </w:r>
      <w:r>
        <w:rPr>
          <w:rFonts w:ascii="Times New Roman" w:hAnsi="Times New Roman"/>
          <w:noProof/>
        </w:rPr>
        <w:tab/>
      </w:r>
      <w:r>
        <w:rPr>
          <w:rFonts w:ascii="Times New Roman" w:hAnsi="Times New Roman"/>
          <w:noProof/>
          <w:u w:val="single"/>
        </w:rPr>
        <w:t>Positiokohtaiset ohjeet</w:t>
      </w:r>
      <w:r>
        <w:rPr>
          <w:noProof/>
        </w:rPr>
        <w:tab/>
        <w:t>10</w:t>
      </w:r>
      <w:bookmarkStart w:id="7" w:name="_Toc360188322"/>
      <w:bookmarkStart w:id="8" w:name="_Toc473560870"/>
      <w:bookmarkStart w:id="9" w:name="_Toc7084155"/>
    </w:p>
    <w:p>
      <w:pPr>
        <w:rPr>
          <w:lang w:val="en-IE"/>
        </w:rPr>
      </w:pPr>
    </w:p>
    <w:p>
      <w:pPr>
        <w:rPr>
          <w:lang w:val="en-IE"/>
        </w:rPr>
      </w:pPr>
    </w:p>
    <w:p>
      <w:pPr>
        <w:pStyle w:val="Heading2"/>
        <w:rPr>
          <w:rFonts w:ascii="Times New Roman" w:hAnsi="Times New Roman"/>
        </w:rPr>
      </w:pPr>
      <w:bookmarkStart w:id="10" w:name="_Toc88041744"/>
      <w:r>
        <w:rPr>
          <w:rFonts w:ascii="Times New Roman" w:hAnsi="Times New Roman"/>
        </w:rPr>
        <w:t>I OSA: YLEISET OHJEET</w:t>
      </w:r>
      <w:bookmarkEnd w:id="10"/>
    </w:p>
    <w:p>
      <w:pPr>
        <w:keepNext/>
        <w:spacing w:before="240" w:after="240" w:line="240" w:lineRule="auto"/>
        <w:jc w:val="both"/>
        <w:outlineLvl w:val="1"/>
        <w:rPr>
          <w:rFonts w:ascii="Times New Roman" w:eastAsia="Arial" w:hAnsi="Times New Roman" w:cs="Times New Roman"/>
          <w:sz w:val="24"/>
          <w:szCs w:val="24"/>
        </w:rPr>
      </w:pPr>
      <w:bookmarkStart w:id="11" w:name="_Toc88041745"/>
      <w:r>
        <w:rPr>
          <w:rFonts w:ascii="Times New Roman" w:hAnsi="Times New Roman"/>
          <w:sz w:val="24"/>
          <w:szCs w:val="24"/>
        </w:rPr>
        <w:t>1. Rakenne ja käytännöt</w:t>
      </w:r>
      <w:bookmarkEnd w:id="11"/>
    </w:p>
    <w:p>
      <w:pPr>
        <w:keepNext/>
        <w:spacing w:before="240" w:after="240" w:line="240" w:lineRule="auto"/>
        <w:jc w:val="both"/>
        <w:outlineLvl w:val="1"/>
        <w:rPr>
          <w:rFonts w:ascii="Times New Roman" w:eastAsia="Arial" w:hAnsi="Times New Roman" w:cs="Times New Roman"/>
          <w:sz w:val="24"/>
          <w:szCs w:val="24"/>
          <w:u w:val="single"/>
        </w:rPr>
      </w:pPr>
      <w:bookmarkStart w:id="12" w:name="_Toc88041746"/>
      <w:r>
        <w:rPr>
          <w:rFonts w:ascii="Times New Roman" w:hAnsi="Times New Roman"/>
          <w:sz w:val="24"/>
          <w:szCs w:val="24"/>
          <w:u w:val="single"/>
        </w:rPr>
        <w:t>1.1. Rakenne</w:t>
      </w:r>
      <w:bookmarkEnd w:id="12"/>
    </w:p>
    <w:p>
      <w:pPr>
        <w:spacing w:line="256" w:lineRule="auto"/>
        <w:ind w:left="993" w:hanging="504"/>
        <w:jc w:val="both"/>
        <w:rPr>
          <w:rFonts w:ascii="Times New Roman" w:hAnsi="Times New Roman" w:cs="Times New Roman"/>
        </w:rPr>
      </w:pPr>
      <w:r>
        <w:rPr>
          <w:rFonts w:ascii="Times New Roman" w:hAnsi="Times New Roman" w:cs="Times New Roman"/>
        </w:rPr>
        <w:t>1.</w:t>
      </w:r>
      <w:r>
        <w:rPr>
          <w:rFonts w:ascii="Times New Roman" w:hAnsi="Times New Roman" w:cs="Times New Roman"/>
        </w:rPr>
        <w:tab/>
      </w:r>
      <w:r>
        <w:rPr>
          <w:rFonts w:ascii="Times New Roman" w:hAnsi="Times New Roman"/>
        </w:rPr>
        <w:t>Ryhmän pääomavaatimusta koskeva raportointi koostuu kaikkiaan kahdesta lomakkeesta:</w:t>
      </w:r>
    </w:p>
    <w:p>
      <w:pPr>
        <w:spacing w:line="256" w:lineRule="auto"/>
        <w:ind w:left="1728" w:hanging="648"/>
        <w:jc w:val="both"/>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rPr>
        <w:t>Omien varojen koostumus</w:t>
      </w:r>
    </w:p>
    <w:p>
      <w:pPr>
        <w:spacing w:line="256" w:lineRule="auto"/>
        <w:ind w:left="1728" w:hanging="648"/>
        <w:jc w:val="both"/>
        <w:rPr>
          <w:rFonts w:ascii="Times New Roman" w:hAnsi="Times New Roman" w:cs="Times New Roman"/>
        </w:rPr>
      </w:pPr>
      <w:r>
        <w:rPr>
          <w:rFonts w:ascii="Times New Roman" w:hAnsi="Times New Roman" w:cs="Times New Roman"/>
        </w:rPr>
        <w:t>b)</w:t>
      </w:r>
      <w:r>
        <w:rPr>
          <w:rFonts w:ascii="Times New Roman" w:hAnsi="Times New Roman" w:cs="Times New Roman"/>
        </w:rPr>
        <w:tab/>
      </w:r>
      <w:r>
        <w:rPr>
          <w:rFonts w:ascii="Times New Roman" w:hAnsi="Times New Roman"/>
        </w:rPr>
        <w:t>Omien varojen instrumentit.</w:t>
      </w:r>
    </w:p>
    <w:p>
      <w:pPr>
        <w:pStyle w:val="InstructionsText2"/>
        <w:numPr>
          <w:ilvl w:val="0"/>
          <w:numId w:val="0"/>
        </w:numPr>
        <w:ind w:left="360" w:hanging="360"/>
      </w:pPr>
      <w:r>
        <w:t>2.</w:t>
      </w:r>
      <w:r>
        <w:tab/>
        <w:t>Kunkin lomakkeen osalta annetaan lainsäädäntöviittaukset. Tämä asetuksen osa sisältää tarkemmat lisätiedot kunkin lomakesarjan raportointiin liittyvistä yleisistä näkökohdista sekä positiokohtaiset ohjeet ja validointisäännöt.</w:t>
      </w:r>
    </w:p>
    <w:p>
      <w:pPr>
        <w:keepNext/>
        <w:spacing w:before="240" w:after="240" w:line="240" w:lineRule="auto"/>
        <w:jc w:val="both"/>
        <w:outlineLvl w:val="1"/>
        <w:rPr>
          <w:rFonts w:ascii="Times New Roman" w:eastAsia="Arial" w:hAnsi="Times New Roman" w:cs="Times New Roman"/>
          <w:sz w:val="24"/>
          <w:szCs w:val="24"/>
          <w:u w:val="single"/>
        </w:rPr>
      </w:pPr>
      <w:bookmarkStart w:id="13" w:name="_Toc88041747"/>
      <w:r>
        <w:rPr>
          <w:rFonts w:ascii="Times New Roman" w:hAnsi="Times New Roman"/>
          <w:sz w:val="24"/>
          <w:szCs w:val="24"/>
          <w:u w:val="single"/>
        </w:rPr>
        <w:t>1.2. Numerointikäytäntö</w:t>
      </w:r>
      <w:bookmarkEnd w:id="13"/>
    </w:p>
    <w:p>
      <w:pPr>
        <w:pStyle w:val="InstructionsText2"/>
        <w:numPr>
          <w:ilvl w:val="0"/>
          <w:numId w:val="0"/>
        </w:numPr>
        <w:ind w:left="360" w:hanging="360"/>
      </w:pPr>
      <w:r>
        <w:t>3.</w:t>
      </w:r>
      <w:r>
        <w:tab/>
        <w:t>Tässä asiakirjassa noudatetaan 4–7 kohdassa esitettyä merkintäkäytäntöä, kun viitataan lomakkeiden sarakkeisiin, riveihin ja soluihin. Kyseisiä numerokoodeja käytetään laajasti validointisäännöissä.</w:t>
      </w:r>
    </w:p>
    <w:p>
      <w:pPr>
        <w:pStyle w:val="InstructionsText2"/>
        <w:numPr>
          <w:ilvl w:val="0"/>
          <w:numId w:val="0"/>
        </w:numPr>
        <w:ind w:left="360" w:hanging="360"/>
      </w:pPr>
      <w:r>
        <w:lastRenderedPageBreak/>
        <w:t>4.</w:t>
      </w:r>
      <w:r>
        <w:tab/>
        <w:t>Ohjeissa noudatetaan seuraavaa yleistä merkintätapaa: {lomake; rivi; sarake}.</w:t>
      </w:r>
    </w:p>
    <w:p>
      <w:pPr>
        <w:pStyle w:val="InstructionsText2"/>
        <w:numPr>
          <w:ilvl w:val="0"/>
          <w:numId w:val="0"/>
        </w:numPr>
        <w:ind w:left="360" w:hanging="360"/>
      </w:pPr>
      <w:r>
        <w:t>5.</w:t>
      </w:r>
      <w:r>
        <w:tab/>
        <w:t>Kun on kyse lomakkeen sisällä tehtävistä validoinneista, joissa käytetään ainoastaan kyseiseen lomakkeeseen sisältyviä tietoelementtejä, merkinnöissä ei viitata itse lomakkeeseen: {rivi; sarake}.</w:t>
      </w:r>
    </w:p>
    <w:p>
      <w:pPr>
        <w:pStyle w:val="InstructionsText2"/>
        <w:numPr>
          <w:ilvl w:val="0"/>
          <w:numId w:val="0"/>
        </w:numPr>
        <w:ind w:left="360" w:hanging="360"/>
      </w:pPr>
      <w:r>
        <w:t>6.</w:t>
      </w:r>
      <w:r>
        <w:tab/>
        <w:t>Lomakkeissa, joissa on ainoastaan yksi sarake, viitataan vain riveihin: {lomake; rivi}.</w:t>
      </w:r>
    </w:p>
    <w:p>
      <w:pPr>
        <w:pStyle w:val="InstructionsText2"/>
        <w:numPr>
          <w:ilvl w:val="0"/>
          <w:numId w:val="0"/>
        </w:numPr>
        <w:ind w:left="360" w:hanging="360"/>
      </w:pPr>
      <w:r>
        <w:t>7.</w:t>
      </w:r>
      <w:r>
        <w:tab/>
        <w:t>Asteriskia (*) käytetään ilmaisemaan, että validointi kohdistuu edellä määriteltyihin riveihin tai sarakkeisiin.</w:t>
      </w:r>
    </w:p>
    <w:p>
      <w:pPr>
        <w:keepNext/>
        <w:spacing w:before="240" w:after="240" w:line="240" w:lineRule="auto"/>
        <w:jc w:val="both"/>
        <w:outlineLvl w:val="1"/>
        <w:rPr>
          <w:rFonts w:ascii="Times New Roman" w:eastAsia="Arial" w:hAnsi="Times New Roman" w:cs="Times New Roman"/>
          <w:sz w:val="24"/>
          <w:szCs w:val="24"/>
          <w:u w:val="single"/>
        </w:rPr>
      </w:pPr>
      <w:bookmarkStart w:id="14" w:name="_Toc88041748"/>
      <w:r>
        <w:rPr>
          <w:rFonts w:ascii="Times New Roman" w:hAnsi="Times New Roman"/>
          <w:sz w:val="24"/>
          <w:szCs w:val="24"/>
          <w:u w:val="single"/>
        </w:rPr>
        <w:t>1.3. Merkkikäytäntö</w:t>
      </w:r>
      <w:bookmarkEnd w:id="14"/>
    </w:p>
    <w:p>
      <w:pPr>
        <w:pStyle w:val="InstructionsText2"/>
        <w:numPr>
          <w:ilvl w:val="0"/>
          <w:numId w:val="0"/>
        </w:numPr>
        <w:ind w:left="360" w:hanging="360"/>
      </w:pPr>
      <w:r>
        <w:t>8.</w:t>
      </w:r>
      <w:r>
        <w:tab/>
        <w:t>Määrät, jotka lisäävät omia varoja tai omien varojen vaatimuksia tai maksuvalmiusvaatimuksia, ilmoitetaan positiivisina lukuina. Vastaavasti määrät, jotka vähentävät omien varojen kokonaismäärää tai omien varojen vaatimuksia, ilmoitetaan negatiivisina lukuina. Jos jonkin erän otsaketta edeltää miinusmerkki (–), on tämä osoitus siitä, että erässä ei ole tarkoitus ilmoittaa positiivista lukua.</w:t>
      </w:r>
    </w:p>
    <w:p>
      <w:pPr>
        <w:pStyle w:val="Heading2"/>
        <w:rPr>
          <w:rFonts w:ascii="Times New Roman" w:hAnsi="Times New Roman"/>
        </w:rPr>
      </w:pPr>
      <w:bookmarkStart w:id="15" w:name="_Toc88041749"/>
      <w:r>
        <w:rPr>
          <w:rFonts w:ascii="Times New Roman" w:hAnsi="Times New Roman"/>
        </w:rPr>
        <w:t>II OSA: LOMAKKEISIIN LIITTYVÄT OHJEET</w:t>
      </w:r>
      <w:bookmarkEnd w:id="7"/>
      <w:bookmarkEnd w:id="8"/>
      <w:bookmarkEnd w:id="9"/>
      <w:bookmarkEnd w:id="15"/>
    </w:p>
    <w:p>
      <w:pPr>
        <w:pStyle w:val="Instructionsberschrift2"/>
        <w:ind w:left="357" w:hanging="357"/>
        <w:rPr>
          <w:rFonts w:ascii="Times New Roman" w:hAnsi="Times New Roman" w:cs="Times New Roman"/>
          <w:b/>
          <w:sz w:val="24"/>
        </w:rPr>
      </w:pPr>
      <w:bookmarkStart w:id="16" w:name="_Toc88041750"/>
      <w:r>
        <w:rPr>
          <w:rFonts w:ascii="Times New Roman" w:hAnsi="Times New Roman"/>
          <w:b/>
          <w:sz w:val="24"/>
          <w:u w:val="none"/>
        </w:rPr>
        <w:t>1. OMAT VARAT: TASO, KOOSTUMUS, VAATIMUKSET JA LASKELMAT</w:t>
      </w:r>
      <w:bookmarkEnd w:id="16"/>
    </w:p>
    <w:p>
      <w:pPr>
        <w:pStyle w:val="Instructionsberschrift2"/>
        <w:ind w:left="357" w:hanging="357"/>
        <w:rPr>
          <w:rFonts w:ascii="Times New Roman" w:hAnsi="Times New Roman" w:cs="Times New Roman"/>
          <w:sz w:val="24"/>
        </w:rPr>
      </w:pPr>
      <w:bookmarkStart w:id="17" w:name="_Toc88041751"/>
      <w:r>
        <w:rPr>
          <w:rFonts w:ascii="Times New Roman" w:hAnsi="Times New Roman"/>
          <w:sz w:val="24"/>
          <w:u w:val="none"/>
        </w:rPr>
        <w:t xml:space="preserve">1.1. </w:t>
      </w:r>
      <w:r>
        <w:rPr>
          <w:rFonts w:ascii="Times New Roman" w:hAnsi="Times New Roman"/>
          <w:sz w:val="24"/>
        </w:rPr>
        <w:t>Yleiset huomiot</w:t>
      </w:r>
      <w:bookmarkEnd w:id="17"/>
    </w:p>
    <w:p>
      <w:pPr>
        <w:spacing w:line="256" w:lineRule="auto"/>
        <w:ind w:left="993" w:hanging="567"/>
        <w:jc w:val="both"/>
        <w:rPr>
          <w:rFonts w:ascii="Times New Roman" w:hAnsi="Times New Roman" w:cs="Times New Roman"/>
          <w:sz w:val="24"/>
        </w:rPr>
      </w:pPr>
      <w:r>
        <w:rPr>
          <w:rFonts w:ascii="Times New Roman" w:hAnsi="Times New Roman" w:cs="Times New Roman"/>
          <w:sz w:val="24"/>
        </w:rPr>
        <w:t>10.</w:t>
      </w:r>
      <w:r>
        <w:rPr>
          <w:rFonts w:ascii="Times New Roman" w:hAnsi="Times New Roman" w:cs="Times New Roman"/>
          <w:sz w:val="24"/>
        </w:rPr>
        <w:tab/>
      </w:r>
      <w:r>
        <w:rPr>
          <w:rFonts w:ascii="Times New Roman" w:hAnsi="Times New Roman"/>
          <w:sz w:val="24"/>
        </w:rPr>
        <w:t>Omia varoja koskeva yleiskatsaus sisältää tiedot sijoituspalveluyrityksen omista varoista ja omien varojen vaatimuksista. Se koostuu kahdesta lomakkeesta:</w:t>
      </w:r>
    </w:p>
    <w:p>
      <w:pPr>
        <w:spacing w:line="256" w:lineRule="auto"/>
        <w:ind w:left="1728" w:hanging="648"/>
        <w:jc w:val="both"/>
        <w:rPr>
          <w:rFonts w:ascii="Times New Roman" w:hAnsi="Times New Roman" w:cs="Times New Roman"/>
          <w:sz w:val="24"/>
        </w:rPr>
      </w:pPr>
      <w:r>
        <w:rPr>
          <w:rFonts w:ascii="Times New Roman" w:hAnsi="Times New Roman" w:cs="Times New Roman"/>
          <w:sz w:val="24"/>
        </w:rPr>
        <w:t>a)</w:t>
      </w:r>
      <w:r>
        <w:rPr>
          <w:rFonts w:ascii="Times New Roman" w:hAnsi="Times New Roman" w:cs="Times New Roman"/>
          <w:sz w:val="24"/>
        </w:rPr>
        <w:tab/>
      </w:r>
      <w:r>
        <w:rPr>
          <w:rFonts w:ascii="Times New Roman" w:hAnsi="Times New Roman"/>
          <w:sz w:val="24"/>
        </w:rPr>
        <w:t>Lomake I 11.01 sisältää sijoituspalveluyrityksen hallussa olevien omien varojen koostumukset: ydinpääoma (CET1), ensisijainen lisäpääoma (AT1) ja toissijainen pääoma (T2).</w:t>
      </w:r>
    </w:p>
    <w:p>
      <w:pPr>
        <w:spacing w:line="256" w:lineRule="auto"/>
        <w:ind w:left="1728" w:hanging="648"/>
        <w:jc w:val="both"/>
        <w:rPr>
          <w:rFonts w:ascii="Times New Roman" w:hAnsi="Times New Roman" w:cs="Times New Roman"/>
          <w:sz w:val="24"/>
        </w:rPr>
      </w:pPr>
      <w:r>
        <w:rPr>
          <w:rFonts w:ascii="Times New Roman" w:hAnsi="Times New Roman" w:cs="Times New Roman"/>
          <w:sz w:val="24"/>
        </w:rPr>
        <w:t>b)</w:t>
      </w:r>
      <w:r>
        <w:rPr>
          <w:rFonts w:ascii="Times New Roman" w:hAnsi="Times New Roman" w:cs="Times New Roman"/>
          <w:sz w:val="24"/>
        </w:rPr>
        <w:tab/>
      </w:r>
      <w:r>
        <w:rPr>
          <w:rFonts w:ascii="Times New Roman" w:hAnsi="Times New Roman"/>
          <w:sz w:val="24"/>
        </w:rPr>
        <w:t>Lomake I 11.02 sisältää tiedot omien varojen vaatimuksista ryhmän pääomavaatimuksen yhteydessä eli ryhmän sisäisistä omistusosuuksista, ehdollisista veloista ja tytäryritysten omien varojen kokonaisvaatimuksista.</w:t>
      </w:r>
    </w:p>
    <w:p>
      <w:pPr>
        <w:spacing w:line="256" w:lineRule="auto"/>
        <w:ind w:left="1728" w:hanging="648"/>
        <w:jc w:val="both"/>
        <w:rPr>
          <w:rFonts w:ascii="Times New Roman" w:hAnsi="Times New Roman" w:cs="Times New Roman"/>
          <w:sz w:val="24"/>
        </w:rPr>
      </w:pPr>
      <w:r>
        <w:rPr>
          <w:rFonts w:ascii="Times New Roman" w:hAnsi="Times New Roman" w:cs="Times New Roman"/>
          <w:sz w:val="24"/>
        </w:rPr>
        <w:t>c)</w:t>
      </w:r>
      <w:r>
        <w:rPr>
          <w:rFonts w:ascii="Times New Roman" w:hAnsi="Times New Roman" w:cs="Times New Roman"/>
          <w:sz w:val="24"/>
        </w:rPr>
        <w:tab/>
      </w:r>
      <w:r>
        <w:rPr>
          <w:rFonts w:ascii="Times New Roman" w:hAnsi="Times New Roman"/>
          <w:sz w:val="24"/>
        </w:rPr>
        <w:t>Lomake I 11.03 sisältää asiaankuuluvat tiedot pääomavaatimuksista, ehdollisista veloista, etuoikeudeltaan huonommista saamisista ja finanssisalan yhteisöjen tytäryritystason omistusosuuksista eriteltyinä yhteisöittäin.</w:t>
      </w:r>
    </w:p>
    <w:p>
      <w:pPr>
        <w:spacing w:line="256" w:lineRule="auto"/>
        <w:ind w:left="993" w:hanging="567"/>
        <w:jc w:val="both"/>
        <w:rPr>
          <w:rFonts w:ascii="Times New Roman" w:hAnsi="Times New Roman" w:cs="Times New Roman"/>
          <w:sz w:val="24"/>
        </w:rPr>
      </w:pPr>
      <w:r>
        <w:rPr>
          <w:rFonts w:ascii="Times New Roman" w:hAnsi="Times New Roman" w:cs="Times New Roman"/>
          <w:sz w:val="24"/>
        </w:rPr>
        <w:t>11.</w:t>
      </w:r>
      <w:r>
        <w:rPr>
          <w:rFonts w:ascii="Times New Roman" w:hAnsi="Times New Roman" w:cs="Times New Roman"/>
          <w:sz w:val="24"/>
        </w:rPr>
        <w:tab/>
      </w:r>
      <w:r>
        <w:rPr>
          <w:rFonts w:ascii="Times New Roman" w:hAnsi="Times New Roman"/>
          <w:sz w:val="24"/>
        </w:rPr>
        <w:t>Näiden lomakkeiden erät ilmoitetaan bruttomääräisinä ilman siirtymäkauden oikaisuja. Tämä tarkoittaa sitä, että luvut (lukuun ottamatta tapauksia, joissa siirtymäkauden omien varojen vaatimus on nimenomaisesti mainittu) lasketaan loppusäännösten mukaisesti (eli ikään kuin siirtymäsäännöksiä ei olisi).</w:t>
      </w:r>
    </w:p>
    <w:p>
      <w:pPr>
        <w:pStyle w:val="Instructionsberschrift2"/>
        <w:ind w:left="357" w:hanging="357"/>
        <w:rPr>
          <w:rFonts w:ascii="Times New Roman" w:hAnsi="Times New Roman" w:cs="Times New Roman"/>
          <w:sz w:val="24"/>
        </w:rPr>
      </w:pPr>
      <w:bookmarkStart w:id="18" w:name="_Toc88041752"/>
      <w:r>
        <w:rPr>
          <w:rFonts w:ascii="Times New Roman" w:hAnsi="Times New Roman"/>
          <w:sz w:val="24"/>
        </w:rPr>
        <w:t>1.2. I 11.01 – OMIEN VAROJEN KOOSTUMUS – RYHMÄN PÄÄOMAVAATIMUS (I11.1)</w:t>
      </w:r>
      <w:bookmarkEnd w:id="18"/>
    </w:p>
    <w:p>
      <w:pPr>
        <w:pStyle w:val="Instructionsberschrift2"/>
        <w:ind w:left="357" w:hanging="357"/>
        <w:rPr>
          <w:rFonts w:ascii="Times New Roman" w:hAnsi="Times New Roman" w:cs="Times New Roman"/>
          <w:sz w:val="24"/>
        </w:rPr>
      </w:pPr>
      <w:bookmarkStart w:id="19" w:name="_Toc88041753"/>
      <w:r>
        <w:rPr>
          <w:rFonts w:ascii="Times New Roman" w:hAnsi="Times New Roman"/>
          <w:sz w:val="24"/>
          <w:u w:val="none"/>
        </w:rPr>
        <w:t>1.2.1</w:t>
      </w:r>
      <w:r>
        <w:rPr>
          <w:rFonts w:ascii="Times New Roman" w:hAnsi="Times New Roman"/>
          <w:sz w:val="24"/>
          <w:u w:val="none"/>
        </w:rPr>
        <w:tab/>
      </w:r>
      <w:r>
        <w:rPr>
          <w:rFonts w:ascii="Times New Roman" w:hAnsi="Times New Roman"/>
          <w:sz w:val="24"/>
        </w:rPr>
        <w:t>Positiokohtaiset ohjeet</w:t>
      </w:r>
      <w:bookmarkEnd w:id="1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Rivi</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Lainsäädäntöviittaukset ja ohjeet</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OMAT VARAT</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9 artiklan 1 kohta.</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Sijoituspalveluyrityksen omat varat koostuvat sen ensisijaisen pääoman (T1) ja toissijaisen pääoman (T2) summasta.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ENSISIJAINEN PÄÄOMA (T1)</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Ensisijainen pääoma (T1) on ydinpääoman (CET1) ja ensisijaisen lisäpääoman (AT1) summa.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Pr>
          <w:p>
            <w:pPr>
              <w:spacing w:after="120" w:line="240" w:lineRule="auto"/>
              <w:jc w:val="both"/>
              <w:rPr>
                <w:rFonts w:ascii="Times New Roman" w:eastAsia="Times New Roman" w:hAnsi="Times New Roman" w:cs="Times New Roman"/>
                <w:b/>
                <w:bCs/>
                <w:u w:val="single"/>
              </w:rPr>
            </w:pPr>
            <w:r>
              <w:rPr>
                <w:rStyle w:val="InstructionsTabelleberschrift"/>
                <w:rFonts w:ascii="Times New Roman" w:hAnsi="Times New Roman"/>
                <w:sz w:val="22"/>
              </w:rPr>
              <w:t>YDINPÄÄOMA (CET1)</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9 artiklan 1 kohta.</w:t>
            </w:r>
          </w:p>
          <w:p>
            <w:pPr>
              <w:spacing w:after="120" w:line="240" w:lineRule="auto"/>
              <w:jc w:val="both"/>
              <w:rPr>
                <w:rFonts w:ascii="Times New Roman" w:eastAsia="Times New Roman" w:hAnsi="Times New Roman" w:cs="Times New Roman"/>
                <w:bCs/>
              </w:rPr>
            </w:pPr>
            <w:r>
              <w:rPr>
                <w:rStyle w:val="FormatvorlageInstructionsTabelleText"/>
                <w:rFonts w:ascii="Times New Roman" w:hAnsi="Times New Roman"/>
                <w:sz w:val="22"/>
              </w:rPr>
              <w:t>Asetuksen (EU) N:o 575/2013 50 artikla.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0040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Kokonaan maksetut pääomainstrumentit</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9 artiklan 1 kohdan i alakohta.</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Asetuksen (EU) N:o 575/2013 26 artiklan 1 kohdan a alakohta ja 27–31 artikla.</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Tähän kohtaan sisällytetään keskinäisten yhtiöiden, osuuskuntien tai vastaavien laitosten pääomainstrumentit (asetuksen (EU) N:o 575/2013 27 ja 29 artikla).</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Siihen ei sisällytetä instrumentteihin liittyvää ylikurssirahastoa.</w:t>
            </w:r>
          </w:p>
          <w:p>
            <w:pPr>
              <w:pStyle w:val="InstructionsText"/>
              <w:rPr>
                <w:sz w:val="22"/>
                <w:szCs w:val="22"/>
              </w:rPr>
            </w:pPr>
            <w:r>
              <w:rPr>
                <w:rStyle w:val="FormatvorlageInstructionsTabelleText"/>
                <w:rFonts w:ascii="Times New Roman" w:hAnsi="Times New Roman"/>
                <w:sz w:val="22"/>
                <w:szCs w:val="22"/>
              </w:rPr>
              <w:t>Viranomaisten kriisitilanteissa merkitsemät pääomainstrumentit sisällytetään tähän, jos kaikki asetuksen (EU) N:o 575/2013 31 artiklan edellytykset täyttyvät.</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0050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Ylikurssirahasto</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9 artiklan 1 kohdan i alakohta.</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Asetuksen (EU) N:o 575/2013 26 artiklan 1 kohdan b alakohta.</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Ylikurssirahastolla tarkoitetaan samaa kuin sovellettavassa tilinpäätössäännöstössä.</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Tässä kohdassa ilmoitettava määrä on ”Maksettuihin pääomainstrumentteihin” liittyvä osa.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0060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Kertyneet voittovarat</w:t>
            </w:r>
          </w:p>
          <w:p>
            <w:pPr>
              <w:spacing w:after="120" w:line="240" w:lineRule="auto"/>
              <w:jc w:val="both"/>
              <w:rPr>
                <w:rFonts w:ascii="Times New Roman" w:eastAsia="Times New Roman" w:hAnsi="Times New Roman" w:cs="Times New Roman"/>
                <w:bCs/>
              </w:rPr>
            </w:pPr>
            <w:r>
              <w:rPr>
                <w:rFonts w:ascii="Times New Roman" w:hAnsi="Times New Roman"/>
              </w:rPr>
              <w:t>Asetuksen (EU) 2019/2033 9 artiklan 1 kohdan i alakohta.</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Asetuksen (EU) N:o 575/2013 26 artiklan 1 kohdan c alakohta.</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Kertyneisiin voittovaroihin sisällytetään edellisen vuoden aikana kertyneet voitot sekä hyväksyttävät kesken tilikauden tai tilikauden päätteeksi kertyneet voitot.</w:t>
            </w:r>
          </w:p>
          <w:p>
            <w:pPr>
              <w:spacing w:after="120" w:line="240" w:lineRule="auto"/>
              <w:jc w:val="both"/>
              <w:rPr>
                <w:rFonts w:ascii="Times New Roman" w:eastAsia="Times New Roman" w:hAnsi="Times New Roman" w:cs="Times New Roman"/>
                <w:b/>
                <w:bCs/>
                <w:u w:val="single"/>
              </w:rPr>
            </w:pPr>
            <w:r>
              <w:rPr>
                <w:rFonts w:ascii="Times New Roman" w:hAnsi="Times New Roman"/>
                <w:bCs/>
              </w:rPr>
              <w:t>Ilmoitetaan rivien 0070 ja 0080 summa.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0070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Edellisvuosien kertyneet voittovarat</w:t>
            </w:r>
          </w:p>
          <w:p>
            <w:pPr>
              <w:spacing w:after="120" w:line="240" w:lineRule="auto"/>
              <w:jc w:val="both"/>
              <w:rPr>
                <w:rFonts w:ascii="Times New Roman" w:eastAsia="Times New Roman" w:hAnsi="Times New Roman" w:cs="Times New Roman"/>
                <w:bCs/>
              </w:rPr>
            </w:pPr>
            <w:r>
              <w:rPr>
                <w:rFonts w:ascii="Times New Roman" w:hAnsi="Times New Roman"/>
                <w:bCs/>
              </w:rPr>
              <w:t>Asetuksen (EU) N:o 575/2013 4 artiklan 1 kohdan 123 alakohta ja 26 artiklan 1 kohdan c alakohta.</w:t>
            </w:r>
          </w:p>
          <w:p>
            <w:pPr>
              <w:spacing w:after="120" w:line="240" w:lineRule="auto"/>
              <w:jc w:val="both"/>
              <w:rPr>
                <w:rFonts w:ascii="Times New Roman" w:eastAsia="Times New Roman" w:hAnsi="Times New Roman" w:cs="Times New Roman"/>
                <w:b/>
                <w:bCs/>
                <w:u w:val="single"/>
              </w:rPr>
            </w:pPr>
            <w:r>
              <w:rPr>
                <w:rFonts w:ascii="Times New Roman" w:hAnsi="Times New Roman"/>
                <w:bCs/>
              </w:rPr>
              <w:t>Asetuksen (EU) N:o 575/2013 4 artiklan 1 kohdan 123 alakohdassa tarkoitetaan kertyneillä voittovaroilla ”edellisten tilikausien lopullisen tuloksen käsittelyn yhteydessä syntyneitä voittoja ja tappioita sovellettavan tilinpäätössäännöstön mukaisesti”.</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0080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Hyväksyttävät voitot</w:t>
            </w:r>
          </w:p>
          <w:p>
            <w:pPr>
              <w:spacing w:after="120" w:line="240" w:lineRule="auto"/>
              <w:jc w:val="both"/>
              <w:rPr>
                <w:rFonts w:ascii="Times New Roman" w:eastAsia="Times New Roman" w:hAnsi="Times New Roman" w:cs="Times New Roman"/>
              </w:rPr>
            </w:pPr>
            <w:r>
              <w:rPr>
                <w:rFonts w:ascii="Times New Roman" w:hAnsi="Times New Roman"/>
              </w:rPr>
              <w:t>Asetuksen (EU) N:o 575/2013 4 artiklan 1 kohdan 121 alakohta, 26 artiklan 2 kohta ja 36 artiklan 1 kohdan a alakohta.</w:t>
            </w:r>
          </w:p>
          <w:p>
            <w:pPr>
              <w:spacing w:after="120" w:line="240" w:lineRule="auto"/>
              <w:jc w:val="both"/>
              <w:rPr>
                <w:rFonts w:ascii="Times New Roman" w:eastAsia="Times New Roman" w:hAnsi="Times New Roman" w:cs="Times New Roman"/>
                <w:b/>
                <w:bCs/>
                <w:u w:val="single"/>
              </w:rPr>
            </w:pPr>
            <w:r>
              <w:rPr>
                <w:rFonts w:ascii="Times New Roman" w:hAnsi="Times New Roman"/>
              </w:rPr>
              <w:t xml:space="preserve">Asetuksen (EU) N:o 575/2013 26 artiklan 2 kohdassa sallitaan kesken tilikauden tai tilikauden päätteeksi kertyneiden voittojen sisällyttäminen kertyneisiin voittovaroihin toimivaltaisten viranomaisten etukäteisellä luvalla, mikäli tietyt ehdot täyttyvät. </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0090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Kertyneet muun laajan tuloksen erät</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9 artiklan 1 kohdan i alakohta.</w:t>
            </w:r>
          </w:p>
          <w:p>
            <w:pPr>
              <w:spacing w:after="120" w:line="240" w:lineRule="auto"/>
              <w:jc w:val="both"/>
              <w:rPr>
                <w:rFonts w:ascii="Times New Roman" w:hAnsi="Times New Roman" w:cs="Times New Roman"/>
                <w:bCs/>
              </w:rPr>
            </w:pPr>
            <w:r>
              <w:rPr>
                <w:rStyle w:val="FormatvorlageInstructionsTabelleText"/>
                <w:rFonts w:ascii="Times New Roman" w:hAnsi="Times New Roman"/>
                <w:sz w:val="22"/>
              </w:rPr>
              <w:t>Asetuksen (EU) N:o 575/2013 26 artiklan 1 kohdan d alakohta.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0100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Muut rahastot</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9 artiklan 1 kohdan i alakohta.</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Asetuksen (EU) N:o 575/2013 4 artiklan 1 kohdan 117 alakohta ja 26 artiklan 1 kohdan e alakohta.</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Määrä ilmoitetaan siten, että siitä on vähennetty laskentahetkellä odotettavissa olevat verot.</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0120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Omiin varoihin sovellettavista suodattimista aiheutuvat ydinpääoman (CET1) oikaisut</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9 artiklan 1 kohdan i alakohta.</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Asetuksen (EU) N:o 575/2013 32–35 artikla.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0130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Muut rahastot</w:t>
            </w:r>
          </w:p>
          <w:p>
            <w:pPr>
              <w:spacing w:after="120" w:line="240" w:lineRule="auto"/>
              <w:jc w:val="both"/>
              <w:rPr>
                <w:rFonts w:ascii="Times New Roman" w:eastAsia="Times New Roman" w:hAnsi="Times New Roman" w:cs="Times New Roman"/>
                <w:b/>
                <w:bCs/>
                <w:u w:val="single"/>
              </w:rPr>
            </w:pPr>
            <w:r>
              <w:rPr>
                <w:rFonts w:ascii="Times New Roman" w:hAnsi="Times New Roman"/>
                <w:bCs/>
              </w:rPr>
              <w:t>Asetuksen (EU) 2019/2033 9 artiklan 4 kohta.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0145</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YDINPÄÄOMASTA (CET1) TEHTÄVÄT VÄHENNYKSET YHTEENSÄ</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8 artiklan 2 kohdan a alakohta ja asetuksen (EU) N:o 575/2013 36 artiklan 1 kohta, lukuun ottamatta kyseisen kohdan i alakohtaa.</w:t>
            </w:r>
          </w:p>
          <w:p>
            <w:pPr>
              <w:spacing w:after="120" w:line="240" w:lineRule="auto"/>
              <w:jc w:val="both"/>
              <w:rPr>
                <w:rFonts w:ascii="Times New Roman" w:eastAsia="Times New Roman" w:hAnsi="Times New Roman" w:cs="Times New Roman"/>
                <w:bCs/>
              </w:rPr>
            </w:pPr>
            <w:r>
              <w:rPr>
                <w:rFonts w:ascii="Times New Roman" w:hAnsi="Times New Roman"/>
                <w:bCs/>
              </w:rPr>
              <w:t>Ilmoitetaan rivien 0150 ja 0190–0280 summa.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0150</w:t>
            </w:r>
          </w:p>
        </w:tc>
        <w:tc>
          <w:tcPr>
            <w:tcW w:w="7620" w:type="dxa"/>
            <w:shd w:val="clear" w:color="auto" w:fill="auto"/>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Omat ydinpääoman (CET1) instrumentit</w:t>
            </w:r>
          </w:p>
          <w:p>
            <w:pPr>
              <w:rPr>
                <w:rFonts w:cs="Times New Roman"/>
              </w:rPr>
            </w:pPr>
            <w:r>
              <w:rPr>
                <w:rFonts w:ascii="Times New Roman" w:hAnsi="Times New Roman"/>
                <w:bCs/>
              </w:rPr>
              <w:t>Asetuksen (EU) 2019/2033 9 artiklan 1 kohdan i alakohta.</w:t>
            </w:r>
          </w:p>
          <w:p>
            <w:pPr>
              <w:rPr>
                <w:rStyle w:val="FormatvorlageInstructionsTabelleText"/>
                <w:rFonts w:ascii="Times New Roman" w:hAnsi="Times New Roman"/>
                <w:bCs w:val="0"/>
                <w:sz w:val="22"/>
              </w:rPr>
            </w:pPr>
            <w:r>
              <w:rPr>
                <w:rStyle w:val="FormatvorlageInstructionsTabelleText"/>
                <w:rFonts w:ascii="Times New Roman" w:hAnsi="Times New Roman"/>
                <w:sz w:val="22"/>
              </w:rPr>
              <w:t>Asetuksen (EU) N:o 575/2013 36 artiklan 1 kohdan f alakohta ja 42 artikla.</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Näillä tarkoitetaan omaa ydinpääomaa (CET1), joka on raportoivan laitoksen tai ryhmän hallussa raportointipäivänä. Jollei asetuksen (EU) N:o 575/2013 42 artiklassa säädetyistä poikkeuksista muuta johdu.</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Kohtaan ”Ei-hyväksyttävät pääomainstrumentit” sisällytettäviä osakkeiden omistusosuuksia ei ilmoiteta tällä rivillä.</w:t>
            </w:r>
          </w:p>
          <w:p>
            <w:pPr>
              <w:pStyle w:val="InstructionsText"/>
              <w:rPr>
                <w:sz w:val="22"/>
                <w:szCs w:val="22"/>
              </w:rPr>
            </w:pPr>
            <w:r>
              <w:rPr>
                <w:rStyle w:val="FormatvorlageInstructionsTabelleText"/>
                <w:rFonts w:ascii="Times New Roman" w:hAnsi="Times New Roman"/>
                <w:sz w:val="22"/>
                <w:szCs w:val="22"/>
              </w:rPr>
              <w:t>Ilmoitettavaan määrään on sisällytettävä omiin osakkeisiin liittyvä ylikurssirahasto.</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Kuluvan tilikauden tappiot</w:t>
            </w:r>
          </w:p>
          <w:p>
            <w:pPr>
              <w:spacing w:after="120" w:line="240" w:lineRule="auto"/>
              <w:jc w:val="both"/>
              <w:rPr>
                <w:rFonts w:ascii="Times New Roman" w:eastAsia="Times New Roman" w:hAnsi="Times New Roman" w:cs="Times New Roman"/>
                <w:b/>
                <w:bCs/>
                <w:u w:val="single"/>
              </w:rPr>
            </w:pPr>
            <w:r>
              <w:rPr>
                <w:rFonts w:ascii="Times New Roman" w:hAnsi="Times New Roman"/>
              </w:rPr>
              <w:t>Asetuksen (EU) N:o 575/2013 36 artiklan 1 kohdan a alakohta.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Liikearvo</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9 artiklan 1 kohdan i alakohta.</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Asetuksen (EU) N:o 575/2013 4 artiklan 1 kohdan 113 alakohta, 36 artiklan 1 kohdan b alakohta ja 37 artikla.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Muut aineettomat hyödykkeet</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9 artiklan 1 kohdan i alakohta.</w:t>
            </w:r>
          </w:p>
          <w:p>
            <w:pPr>
              <w:pStyle w:val="InstructionsText"/>
              <w:rPr>
                <w:rStyle w:val="FormatvorlageInstructionsTabelleText"/>
                <w:rFonts w:ascii="Times New Roman" w:eastAsiaTheme="minorHAnsi" w:hAnsi="Times New Roman"/>
                <w:bCs/>
                <w:sz w:val="22"/>
                <w:szCs w:val="22"/>
              </w:rPr>
            </w:pPr>
            <w:r>
              <w:rPr>
                <w:rStyle w:val="FormatvorlageInstructionsTabelleText"/>
                <w:rFonts w:ascii="Times New Roman" w:hAnsi="Times New Roman"/>
                <w:sz w:val="22"/>
                <w:szCs w:val="22"/>
              </w:rPr>
              <w:t>Asetuksen (EU) N:o 575/2013 4 artiklan 1 kohdan 115 alakohta, 36 artiklan 1 kohdan b alakohta ja 37 artiklan a alakohta.</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Muut aineettomat hyödykkeet ovat sovellettavan tilinpäätössäännöstön mukaisia aineettomia hyödykkeitä, joihin ei kuulu sovellettavan tilinpäätössäännöstön mukaista liikearvoa.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Tulevista veronalaisista voitoista riippuvat laskennalliset verosaamiset, jotka eivät synny väliaikaisten erojen seurauksena ja joista on vähennetty niihin liittyvät verovelat</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9 artiklan 2 kohdan a alakohta.</w:t>
            </w:r>
          </w:p>
          <w:p>
            <w:pPr>
              <w:spacing w:after="120" w:line="240" w:lineRule="auto"/>
              <w:jc w:val="both"/>
              <w:rPr>
                <w:rFonts w:ascii="Times New Roman" w:eastAsia="Times New Roman" w:hAnsi="Times New Roman" w:cs="Times New Roman"/>
                <w:b/>
                <w:bCs/>
                <w:u w:val="single"/>
              </w:rPr>
            </w:pPr>
            <w:r>
              <w:rPr>
                <w:rFonts w:ascii="Times New Roman" w:hAnsi="Times New Roman"/>
                <w:bCs/>
              </w:rPr>
              <w:t>Asetuksen (EU) N:o 575/2013 36 artiklan 1 kohdan c alakohta.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Finanssialan ulkopuolinen huomattava omistusosuus, joka on yli 15 prosenttia omista varoista</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10 artiklan 1 kohdan a alakohta.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Muissa yrityksissä kuin finanssialan yhteisöissä olevien huomattavien omistusosuuksien kokonaismäärä, joka on yli 60 prosenttia yrityksen omista varoista</w:t>
            </w:r>
          </w:p>
          <w:p>
            <w:pPr>
              <w:spacing w:after="120" w:line="240" w:lineRule="auto"/>
              <w:jc w:val="both"/>
              <w:rPr>
                <w:rFonts w:ascii="Times New Roman" w:eastAsia="Times New Roman" w:hAnsi="Times New Roman" w:cs="Times New Roman"/>
                <w:b/>
                <w:bCs/>
                <w:u w:val="single"/>
              </w:rPr>
            </w:pPr>
            <w:r>
              <w:rPr>
                <w:rFonts w:ascii="Times New Roman" w:hAnsi="Times New Roman"/>
                <w:bCs/>
              </w:rPr>
              <w:t>Asetuksen (EU) 2019/2033 10 artiklan 1 kohdan b alakohta.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Finanssialan yhteisöjen ydinpääoman (CET1) instrumentit, kun emoyrityksellä ei ole merkittävää sijoitusta näissä yhteisöissä</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9 artiklan 2 kohdan c alakohta.</w:t>
            </w:r>
          </w:p>
          <w:p>
            <w:pPr>
              <w:spacing w:after="120" w:line="240" w:lineRule="auto"/>
              <w:jc w:val="both"/>
              <w:rPr>
                <w:rFonts w:ascii="Times New Roman" w:eastAsia="Times New Roman" w:hAnsi="Times New Roman" w:cs="Times New Roman"/>
                <w:bCs/>
              </w:rPr>
            </w:pPr>
            <w:r>
              <w:rPr>
                <w:rFonts w:ascii="Times New Roman" w:hAnsi="Times New Roman"/>
                <w:bCs/>
              </w:rPr>
              <w:t>Asetuksen (EU) N:o 575/2013 36 artiklan 1 kohdan h alakohta.</w:t>
            </w:r>
          </w:p>
          <w:p>
            <w:pPr>
              <w:spacing w:after="120" w:line="240" w:lineRule="auto"/>
              <w:jc w:val="both"/>
              <w:rPr>
                <w:rFonts w:ascii="Times New Roman" w:eastAsia="Times New Roman" w:hAnsi="Times New Roman" w:cs="Times New Roman"/>
                <w:b/>
                <w:bCs/>
                <w:u w:val="single"/>
              </w:rPr>
            </w:pPr>
            <w:r>
              <w:rPr>
                <w:rFonts w:ascii="Times New Roman" w:hAnsi="Times New Roman"/>
                <w:bCs/>
              </w:rPr>
              <w:t>Unionissa emoyrityksenä toimivalla yrityksellä tarkoitetaan tällä rivillä unionissa emoyrityksenä toimivia sijoituspalveluyrityksiä, unionissa emoyrityksenä toimivia sijoitusalan holdingyhtiöitä, unionissa emoyrityksenä toimivia rahoitusalan sekaholdingyhtiöitä tai mitä tahansa muuta emoyritystä, joka on sijoituspalveluyritys, rahoituslaitos, oheispalveluyritys tai sidonnaisasiamies.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Etuuspohjaisen eläkerahaston varat</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9 artiklan 2 kohdan b alakohta.</w:t>
            </w:r>
          </w:p>
          <w:p>
            <w:pPr>
              <w:spacing w:after="120" w:line="240" w:lineRule="auto"/>
              <w:jc w:val="both"/>
              <w:rPr>
                <w:rFonts w:ascii="Times New Roman" w:eastAsia="Times New Roman" w:hAnsi="Times New Roman" w:cs="Times New Roman"/>
                <w:b/>
                <w:bCs/>
                <w:u w:val="single"/>
              </w:rPr>
            </w:pPr>
            <w:r>
              <w:rPr>
                <w:rFonts w:ascii="Times New Roman" w:hAnsi="Times New Roman"/>
                <w:bCs/>
              </w:rPr>
              <w:t>Asetuksen (EU) N:o 575/2013 36 artiklan 1 kohdan e alakohta.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Muut vähennykset</w:t>
            </w:r>
          </w:p>
          <w:p>
            <w:pPr>
              <w:spacing w:after="120" w:line="240" w:lineRule="auto"/>
              <w:jc w:val="both"/>
              <w:rPr>
                <w:rFonts w:ascii="Times New Roman" w:eastAsia="Times New Roman" w:hAnsi="Times New Roman" w:cs="Times New Roman"/>
                <w:b/>
                <w:bCs/>
                <w:u w:val="single"/>
              </w:rPr>
            </w:pPr>
            <w:r>
              <w:rPr>
                <w:rFonts w:ascii="Times New Roman" w:hAnsi="Times New Roman"/>
              </w:rPr>
              <w:t>Kaikkien muiden asetuksen (EU) N:o 575/2013 36 artiklan 1 kohdan mukaisten vähennysten summa lukuun ottamatta asetuksen (EU) N:o 575/2013 36 artiklan 1 kohdan i alakohdan mukaisia vähennyksiä, jotka eivät sisälly mihinkään edellä oleviin riveihin 0150–0270.</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0295</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Ydinpääoma (CET1): muut pääoman osatekijät, vähennykset ja oikaisut</w:t>
            </w:r>
          </w:p>
          <w:p>
            <w:pPr>
              <w:spacing w:after="120" w:line="240" w:lineRule="auto"/>
              <w:jc w:val="both"/>
              <w:rPr>
                <w:rFonts w:ascii="Times New Roman" w:eastAsia="Times New Roman" w:hAnsi="Times New Roman" w:cs="Times New Roman"/>
                <w:bCs/>
              </w:rPr>
            </w:pPr>
            <w:r>
              <w:rPr>
                <w:rFonts w:ascii="Times New Roman" w:hAnsi="Times New Roman"/>
                <w:bCs/>
              </w:rPr>
              <w:t>Tämä rivi sisältää tapauksen mukaan seuraavien erien summan:</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Määräajaksi vapautetuista ydinpääoman (CET1) instrumenteista aiheutuvat siirtymäkauden oikaisut (asetuksen (EU) N:o 575/2013 483 artiklan 1, 2 ja 3 kohta sekä 484–487 artikla).</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Muut ydinpääomaa (CET1) koskevat siirtymäkauden oikaisut (asetuksen (EU) N:o 575/2013 469–478 ja 481 artikla): siirtymäsäännöksistä johtuviin ydinpääomasta (CET1) tehtäviä vähennyksiä koskevat oikaisut.</w:t>
            </w:r>
          </w:p>
          <w:p>
            <w:pPr>
              <w:spacing w:after="120" w:line="240" w:lineRule="auto"/>
              <w:ind w:left="360" w:hanging="360"/>
              <w:jc w:val="both"/>
              <w:rPr>
                <w:rFonts w:ascii="Times New Roman" w:eastAsia="Times New Roman" w:hAnsi="Times New Roman" w:cs="Times New Roman"/>
                <w:b/>
                <w:bCs/>
                <w:u w:val="single"/>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Muut ydinpääoman (CET1) osatekijät tai ydinpääoman (CET1) osatekijän vähennykset, joita ei voida kirjata jollekin riveistä 0040–0280.</w:t>
            </w:r>
          </w:p>
          <w:p>
            <w:pPr>
              <w:spacing w:after="120" w:line="240" w:lineRule="auto"/>
              <w:jc w:val="both"/>
              <w:rPr>
                <w:rFonts w:ascii="Times New Roman" w:eastAsia="Times New Roman" w:hAnsi="Times New Roman" w:cs="Times New Roman"/>
                <w:b/>
                <w:bCs/>
                <w:u w:val="single"/>
              </w:rPr>
            </w:pPr>
            <w:r>
              <w:rPr>
                <w:rFonts w:ascii="Times New Roman" w:hAnsi="Times New Roman"/>
                <w:bCs/>
              </w:rPr>
              <w:t>Tätä riviä ei saa käyttää asetusten (EU) 2019/2033 ja (EU) N:o 575/2013 ulkopuolelle jäävien pääomaerien tai -vähennysten sisällyttämiseen vakavaraisuussuhdelukujen laskentaan.</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ENSISIJAINEN LISÄPÄÄOMA (AT1)</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9 artiklan 1 kohta.</w:t>
            </w:r>
          </w:p>
          <w:p>
            <w:pPr>
              <w:spacing w:after="120" w:line="240" w:lineRule="auto"/>
              <w:jc w:val="both"/>
              <w:rPr>
                <w:rFonts w:ascii="Times New Roman" w:eastAsia="Times New Roman" w:hAnsi="Times New Roman" w:cs="Times New Roman"/>
                <w:b/>
                <w:bCs/>
                <w:u w:val="single"/>
              </w:rPr>
            </w:pPr>
            <w:r>
              <w:rPr>
                <w:rFonts w:ascii="Times New Roman" w:hAnsi="Times New Roman"/>
              </w:rPr>
              <w:t>Asetuksen (EU) N:o 575/2013 61 artikla.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0310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Kokonaan maksetut, suoraan liikkeeseenlasketut pääomainstrumentit</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9 artiklan 1 kohdan i alakohta.</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Asetuksen (EU) N:o 575/2013 51 artiklan a alakohta sekä 52, 53 ja 54 artikla.</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Ilmoitettavaan määrään ei sisällytetä instrumentteihin liittyvää ylikurssirahastoa.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0320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Ylikurssirahasto</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9 artiklan 1 kohdan i alakohta.</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Asetuksen (EU) N:o 575/2013 51 artiklan b alakohta.</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Ylikurssirahastolla tarkoitetaan samaa kuin sovellettavassa tilinpäätössäännöstössä.</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Tässä kohdassa ilmoitettava määrä on ”Maksettuihin pääomainstrumentteihin” liittyvä osa.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0335</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ENSISIJAISESTA LISÄPÄÄOMASTA (AT1) TEHTÄVÄT VÄHENNYKSET YHTEENSÄ</w:t>
            </w:r>
          </w:p>
          <w:p>
            <w:pPr>
              <w:spacing w:before="60" w:after="60"/>
              <w:rPr>
                <w:rFonts w:ascii="Times New Roman" w:hAnsi="Times New Roman" w:cs="Times New Roman"/>
              </w:rPr>
            </w:pPr>
            <w:r>
              <w:rPr>
                <w:rFonts w:ascii="Times New Roman" w:hAnsi="Times New Roman"/>
              </w:rPr>
              <w:t>Asetuksen (EU) N:o 575/2013 56 artikla, lukuun ottamatta kyseisen artiklan d alakohtaa.</w:t>
            </w:r>
          </w:p>
          <w:p>
            <w:pPr>
              <w:spacing w:after="120" w:line="240" w:lineRule="auto"/>
              <w:jc w:val="both"/>
              <w:rPr>
                <w:rFonts w:ascii="Times New Roman" w:eastAsia="Times New Roman" w:hAnsi="Times New Roman" w:cs="Times New Roman"/>
                <w:bCs/>
              </w:rPr>
            </w:pPr>
            <w:r>
              <w:rPr>
                <w:rFonts w:ascii="Times New Roman" w:hAnsi="Times New Roman"/>
                <w:bCs/>
              </w:rPr>
              <w:t>Ilmoitetaan rivien 0340, 0380 ja 0400 summa.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0340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Omat ensisijaisen lisäpääoman (AT1) instrumentit</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9 artiklan 1 kohdan i alakohta.</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Asetuksen (EU) N:o 575/2013 52 artiklan 1 kohdan b alakohta, 56 artiklan a alakohta ja 57 artikla.</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Näillä tarkoitetaan omia ensisijaisen lisäpääoman (AT1) instrumentteja, jotka ovat sijoituspalveluyrityksen hallussa raportointipäivänä. Jollei asetuksen (EU) N:o 575/2013 57 artiklassa säädetyistä poikkeuksista muuta johdu.</w:t>
            </w:r>
          </w:p>
          <w:p>
            <w:pPr>
              <w:pStyle w:val="InstructionsText"/>
              <w:rPr>
                <w:sz w:val="22"/>
                <w:szCs w:val="22"/>
              </w:rPr>
            </w:pPr>
            <w:r>
              <w:rPr>
                <w:rStyle w:val="FormatvorlageInstructionsTabelleText"/>
                <w:rFonts w:ascii="Times New Roman" w:hAnsi="Times New Roman"/>
                <w:sz w:val="22"/>
                <w:szCs w:val="22"/>
              </w:rPr>
              <w:t>Ilmoitettavaan määrään on sisällytettävä omiin osakkeisiin liittyvä ylikurssirahasto.</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0380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Finanssialan yhteisöjen ydinpääoman (AT1) instrumentit, kun emoyrityksellä ei ole merkittävää sijoitusta näissä yhteisöissä</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9 artiklan 2 kohdan c alakohta.</w:t>
            </w:r>
          </w:p>
          <w:p>
            <w:pPr>
              <w:spacing w:after="120" w:line="240" w:lineRule="auto"/>
              <w:jc w:val="both"/>
              <w:rPr>
                <w:rFonts w:ascii="Times New Roman" w:eastAsia="Times New Roman" w:hAnsi="Times New Roman" w:cs="Times New Roman"/>
                <w:bCs/>
              </w:rPr>
            </w:pPr>
            <w:r>
              <w:rPr>
                <w:rFonts w:ascii="Times New Roman" w:hAnsi="Times New Roman"/>
                <w:bCs/>
              </w:rPr>
              <w:t>Asetuksen (EU) N:o 575/2013 56 artiklan c alakohta.</w:t>
            </w:r>
          </w:p>
          <w:p>
            <w:pPr>
              <w:spacing w:after="120" w:line="240" w:lineRule="auto"/>
              <w:jc w:val="both"/>
              <w:rPr>
                <w:rFonts w:ascii="Times New Roman" w:eastAsia="Times New Roman" w:hAnsi="Times New Roman" w:cs="Times New Roman"/>
                <w:b/>
                <w:bCs/>
                <w:u w:val="single"/>
              </w:rPr>
            </w:pPr>
            <w:r>
              <w:rPr>
                <w:rFonts w:ascii="Times New Roman" w:hAnsi="Times New Roman"/>
                <w:bCs/>
              </w:rPr>
              <w:t>Unionissa emoyrityksenä toimivalla yrityksellä tarkoitetaan tällä rivillä unionissa emoyrityksenä toimivia sijoituspalveluyrityksiä, unionissa emoyrityksenä toimivia sijoitusalan holdingyhtiöitä, unionissa emoyrityksenä toimivia rahoitusalan sekaholdingyhtiöitä tai mitä tahansa muuta emoyritystä, joka on sijoituspalveluyritys, rahoituslaitos, oheispalveluyritys tai sidonnaisasiamies.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0400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Muut vähennykset</w:t>
            </w:r>
          </w:p>
          <w:p>
            <w:pPr>
              <w:spacing w:after="120" w:line="240" w:lineRule="auto"/>
              <w:jc w:val="both"/>
              <w:rPr>
                <w:rFonts w:ascii="Times New Roman" w:eastAsia="Times New Roman" w:hAnsi="Times New Roman" w:cs="Times New Roman"/>
                <w:b/>
                <w:bCs/>
                <w:u w:val="single"/>
              </w:rPr>
            </w:pPr>
            <w:r>
              <w:rPr>
                <w:rFonts w:ascii="Times New Roman" w:hAnsi="Times New Roman"/>
                <w:bCs/>
              </w:rPr>
              <w:t>Kaikkien muiden asetuksen (EU) N:o 575/2013 56 artiklan mukaisten vähennysten summa lukuun ottamatta asetuksen (EU) N:o 575/2013 56 artiklan d alakohdan mukaisia vähennyksiä, jotka eivät sisälly edellä oleviin riveihin 0340 tai 0380.</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0415</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Ensisijainen pääoma (T1): muut pääoman osatekijät, vähennykset ja oikaisut</w:t>
            </w:r>
          </w:p>
          <w:p>
            <w:pPr>
              <w:spacing w:after="120" w:line="240" w:lineRule="auto"/>
              <w:jc w:val="both"/>
              <w:rPr>
                <w:rFonts w:ascii="Times New Roman" w:eastAsia="Times New Roman" w:hAnsi="Times New Roman" w:cs="Times New Roman"/>
                <w:bCs/>
              </w:rPr>
            </w:pPr>
            <w:r>
              <w:rPr>
                <w:rFonts w:ascii="Times New Roman" w:hAnsi="Times New Roman"/>
                <w:bCs/>
              </w:rPr>
              <w:t>Tämä rivi sisältää tapauksen mukaan seuraavien erien summan:</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Määräajaksi vapautetuista ensisijaisen lisäpääoman (AT1) instrumenteista aiheutuvat siirtymäkauden oikaisut (asetuksen (EU) N:o 575/2013 483 artiklan 4 ja 5 kohta, 484–487 artikla sekä 489 ja 491 artikla).</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Muut ensisijaista lisäpääomaa (AT1) koskevat siirtymäkauden oikaisut (asetuksen (EU) N:o 575/2013 472, 473 a, 474, 475, 478 ja 481 artikla): tässä tarkoitetaan vähennyksiin tehtäviä oikaisuja, jotka aiheutuvat siirtymäsäännöksistä.</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Ensisijaisen lisäpääoman (AT1) eristä tehtävät vähennykset, jotka ylittävät ensisijaisen lisäpääoman (AT1) siten, että ne vähennetään ydinpääomasta (CET1) asetuksen (EU) N:o 575/2013 36 artiklan 1 kohdan j alakohdan mukaisesti: Ensisijainen lisäpääoma (AT1) ei voi olla negatiivinen, mutta ensisijaisen lisäpääoman (AT1) eristä tehtävät vähennykset voivat ylittää käytettävissä olevien ensisijaisen lisäpääoman (AT1) erien määrän. Jos näin tapahtuu, tämä erä tarkoittaa määrää, joka tarvitaan rivillä 0300 ilmoitetun määrän korottamiseksi nollaan, ja se on käänteisluku siitä, kuinka paljon ne ensisijaisen lisäpääoman (AT1) eristä tehtävät vähennykset ylittävät ensisijaisen lisäpääoman (AT1), jotka sisältyvät muiden vähennysten ohella riville 0280.</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Muut ensisijaisen lisäpääoman (AT1) osatekijät tai ensisijaisen lisäpääoman (AT1) osatekijän vähennykset, joita ei voida kirjata jollekin riveistä 0310–0400.</w:t>
            </w:r>
          </w:p>
          <w:p>
            <w:pPr>
              <w:spacing w:after="120" w:line="240" w:lineRule="auto"/>
              <w:jc w:val="both"/>
              <w:rPr>
                <w:rFonts w:ascii="Times New Roman" w:eastAsia="Times New Roman" w:hAnsi="Times New Roman" w:cs="Times New Roman"/>
                <w:b/>
                <w:bCs/>
                <w:u w:val="single"/>
              </w:rPr>
            </w:pPr>
            <w:r>
              <w:rPr>
                <w:rFonts w:ascii="Times New Roman" w:hAnsi="Times New Roman"/>
                <w:bCs/>
              </w:rPr>
              <w:t>Tätä riviä ei saa käyttää asetusten (EU) 2019/2033 ja (EU) N:o 575/2013 ulkopuolelle jäävien pääomaerien tai -vähennysten sisällyttämiseen vakavaraisuussuhdelukujen laskentaan.</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TOISSIJAINEN PÄÄOMA (T2)</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9 artiklan 1 kohta.</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Asetuksen (EU) N:o 575/2013 71 artikla.</w:t>
            </w:r>
          </w:p>
          <w:p>
            <w:pPr>
              <w:pStyle w:val="CommentText"/>
              <w:rPr>
                <w:sz w:val="22"/>
                <w:szCs w:val="22"/>
              </w:rPr>
            </w:pPr>
            <w:r>
              <w:rPr>
                <w:rFonts w:ascii="Times New Roman" w:hAnsi="Times New Roman"/>
                <w:bCs/>
                <w:sz w:val="22"/>
                <w:szCs w:val="22"/>
              </w:rPr>
              <w:t>Ilmoitetaan rivien 0430–0455 ja 0525 summa.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0430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Kokonaan maksetut, suoraan liikkeeseenlasketut pääomainstrumentit</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9 artiklan 1 kohdan i alakohta.</w:t>
            </w:r>
          </w:p>
          <w:p>
            <w:pPr>
              <w:pStyle w:val="InstructionsText"/>
              <w:rPr>
                <w:rStyle w:val="FormatvorlageInstructionsTabelleText"/>
                <w:rFonts w:ascii="Times New Roman" w:eastAsiaTheme="minorHAnsi" w:hAnsi="Times New Roman"/>
                <w:bCs/>
                <w:sz w:val="22"/>
                <w:szCs w:val="22"/>
              </w:rPr>
            </w:pPr>
            <w:r>
              <w:rPr>
                <w:rStyle w:val="FormatvorlageInstructionsTabelleText"/>
                <w:rFonts w:ascii="Times New Roman" w:hAnsi="Times New Roman"/>
                <w:sz w:val="22"/>
                <w:szCs w:val="22"/>
              </w:rPr>
              <w:t>Asetuksen (EU) N:o 575/2013 62 artiklan a alakohta sekä 63 ja 65 artikla.</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Ilmoitettavaan määrään ei sisällytetä instrumentteihin liittyvää ylikurssirahastoa.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0440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Ylikurssirahasto</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9 artiklan 1 kohdan i alakohta.</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Asetuksen (EU) N:o 575/2013 62 artiklan b alakohta ja 65 artikla.</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Ylikurssirahastolla tarkoitetaan samaa kuin sovellettavassa tilinpäätössäännöstössä.</w:t>
            </w:r>
          </w:p>
          <w:p>
            <w:pPr>
              <w:pStyle w:val="InstructionsText"/>
              <w:rPr>
                <w:sz w:val="22"/>
                <w:szCs w:val="22"/>
              </w:rPr>
            </w:pPr>
            <w:r>
              <w:rPr>
                <w:rStyle w:val="FormatvorlageInstructionsTabelleText"/>
                <w:rFonts w:ascii="Times New Roman" w:hAnsi="Times New Roman"/>
                <w:sz w:val="22"/>
                <w:szCs w:val="22"/>
              </w:rPr>
              <w:t>Tässä kohdassa ilmoitettava määrä on ”Maksettuihin pääomainstrumentteihin” liittyvä osa.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0455</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TOISSIJAISESTA PÄÄOMASTA (T2) TEHTÄVÄT VÄHENNYKSET YHTEENSÄ</w:t>
            </w:r>
          </w:p>
          <w:p>
            <w:pPr>
              <w:spacing w:after="120" w:line="240" w:lineRule="auto"/>
              <w:jc w:val="both"/>
              <w:rPr>
                <w:rFonts w:ascii="Times New Roman" w:eastAsia="Times New Roman" w:hAnsi="Times New Roman" w:cs="Times New Roman"/>
                <w:bCs/>
              </w:rPr>
            </w:pPr>
            <w:r>
              <w:rPr>
                <w:rFonts w:ascii="Times New Roman" w:hAnsi="Times New Roman"/>
              </w:rPr>
              <w:t>Asetuksen (EU) N:o 575/2013 66 artikla, lukuun ottamatta kyseisen artiklan d alakohtaa.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0460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Omat toissijaisen pääoman (T2) instrumentit</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9 artiklan 1 kohdan i alakohta.</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Asetuksen (EU) N:o 575/2013 63 artiklan b alakohdan i alakohta, 66 artiklan a alakohta ja 67 artikla.</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Näillä tarkoitetaan omia toissijaisen pääoman (T2) instrumentteja, jotka ovat raportoivan laitoksen tai ryhmän hallussa raportointipäivänä. Jollei asetuksen (EU) N:o 575/2013 67 artiklassa säädetyistä poikkeuksista muuta johdu.</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Kohtaan ”Ei-hyväksyttävät pääomainstrumentit” sisällytettäviä osakkeiden omistusosuuksia ei ilmoiteta tällä rivillä.</w:t>
            </w:r>
          </w:p>
          <w:p>
            <w:pPr>
              <w:pStyle w:val="InstructionsText"/>
              <w:rPr>
                <w:sz w:val="22"/>
                <w:szCs w:val="22"/>
              </w:rPr>
            </w:pPr>
            <w:r>
              <w:rPr>
                <w:rStyle w:val="FormatvorlageInstructionsTabelleText"/>
                <w:rFonts w:ascii="Times New Roman" w:hAnsi="Times New Roman"/>
                <w:sz w:val="22"/>
                <w:szCs w:val="22"/>
              </w:rPr>
              <w:t>Ilmoitettavaan määrään on sisällytettävä omiin osakkeisiin liittyvä ylikurssirahasto.</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0500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Finanssialan yhteisöjen ydinpääoman (T2) instrumentit, kun emoyrityksellä ei ole merkittävää sijoitusta näissä yhteisöissä</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9 artiklan 2 kohdan c alakohta.</w:t>
            </w:r>
          </w:p>
          <w:p>
            <w:pPr>
              <w:spacing w:after="120" w:line="240" w:lineRule="auto"/>
              <w:jc w:val="both"/>
              <w:rPr>
                <w:rFonts w:ascii="Times New Roman" w:eastAsia="Times New Roman" w:hAnsi="Times New Roman" w:cs="Times New Roman"/>
                <w:bCs/>
              </w:rPr>
            </w:pPr>
            <w:r>
              <w:rPr>
                <w:rFonts w:ascii="Times New Roman" w:hAnsi="Times New Roman"/>
                <w:bCs/>
              </w:rPr>
              <w:t>Asetuksen (EU) N:o 575/2013 66 artiklan c alakohta.</w:t>
            </w:r>
          </w:p>
          <w:p>
            <w:pPr>
              <w:spacing w:after="120" w:line="240" w:lineRule="auto"/>
              <w:jc w:val="both"/>
              <w:rPr>
                <w:rFonts w:ascii="Times New Roman" w:eastAsia="Times New Roman" w:hAnsi="Times New Roman" w:cs="Times New Roman"/>
                <w:b/>
                <w:bCs/>
                <w:u w:val="single"/>
              </w:rPr>
            </w:pPr>
            <w:r>
              <w:rPr>
                <w:rFonts w:ascii="Times New Roman" w:hAnsi="Times New Roman"/>
                <w:bCs/>
              </w:rPr>
              <w:t>Unionissa emoyrityksenä toimivalla yrityksellä tarkoitetaan tällä rivillä unionissa emoyrityksenä toimivia sijoituspalveluyrityksiä, unionissa emoyrityksenä toimivia sijoitusalan holdingyhtiöitä, unionissa emoyrityksenä toimivia rahoitusalan sekaholdingyhtiöitä tai mitä tahansa muuta emoyritystä, joka on sijoituspalveluyritys, rahoituslaitos, oheispalveluyritys tai sidonnaisasiamies.</w:t>
            </w:r>
          </w:p>
        </w:tc>
      </w:tr>
      <w:tr>
        <w:tc>
          <w:tcPr>
            <w:tcW w:w="1129" w:type="dxa"/>
            <w:tcBorders>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0525</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Toissijainen pääoma (T2): muut pääoman osatekijät, vähennykset ja oikaisut</w:t>
            </w:r>
          </w:p>
          <w:p>
            <w:pPr>
              <w:spacing w:after="120" w:line="240" w:lineRule="auto"/>
              <w:jc w:val="both"/>
              <w:rPr>
                <w:rFonts w:ascii="Times New Roman" w:eastAsia="Times New Roman" w:hAnsi="Times New Roman" w:cs="Times New Roman"/>
                <w:bCs/>
              </w:rPr>
            </w:pPr>
            <w:r>
              <w:rPr>
                <w:rFonts w:ascii="Times New Roman" w:hAnsi="Times New Roman"/>
                <w:bCs/>
              </w:rPr>
              <w:t>Tämä rivi sisältää tapauksen mukaan seuraavien erien summan:</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Määräajaksi vapautetuista toissijaisen pääoman (T2) instrumenteista aiheutuvat siirtymäkauden oikaisut (asetuksen (EU) N:o 575/2013 483 artiklan 6 ja 7 kohta sekä 484, 486, 488, 490 ja 491 artikla).</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Muut ensisijaista lisäpääomaa (T2) koskevat siirtymäkauden oikaisut (asetuksen (EU) N:o 575/2013 472, 473 a, 476, 477, 478 ja 481 artikla): siirtymäsäännöksistä johtuviin toissijaisesta pääomasta (T2) tehtäviin vähennyksiin tehtävät oikaisut.</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Toissijaisen pääoman (T2) eristä tehtävät vähennykset, jotka ylittävät toissijaisen pääoman (T2) siten, että ne vähennetään ensisijaisesta lisäpääomasta (AT1) asetuksen (EU) N:o 575/2013 56 artiklan e alakohdan mukaisesti: Toissijainen pääoma (T2) ei voi olla negatiivinen, mutta toissijaisesta pääomasta (T2) tehtävät vähennykset voivat ylittää käytettävissä olevien toissijaisen pääoman (T2) erien määrän. Jos näin tapahtuu, tämä erä edustaa määrää, joka tarvitaan rivillä 0420 ilmoitetun määrän korottamiseksi nollaan.</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Muut toissijaisen pääoman (T2) osatekijät tai toissijaisen pääoman (T2) osatekijän vähennykset, joita ei voida kirjata jollekin riveistä 0430–0500.</w:t>
            </w:r>
          </w:p>
          <w:p>
            <w:pPr>
              <w:spacing w:after="120" w:line="240" w:lineRule="auto"/>
              <w:jc w:val="both"/>
              <w:rPr>
                <w:rFonts w:ascii="Times New Roman" w:eastAsia="Times New Roman" w:hAnsi="Times New Roman" w:cs="Times New Roman"/>
                <w:b/>
                <w:bCs/>
                <w:u w:val="single"/>
              </w:rPr>
            </w:pPr>
            <w:r>
              <w:rPr>
                <w:rFonts w:ascii="Times New Roman" w:hAnsi="Times New Roman"/>
                <w:bCs/>
              </w:rPr>
              <w:t>Tätä riviä ei saa käyttää asetusten (EU) 2019/2033 ja (EU) N:o 575/2013 ulkopuolelle jäävien pääomaerien tai -vähennysten sisällyttämiseen vakavaraisuussuhdelukujen laskentaan.</w:t>
            </w:r>
          </w:p>
        </w:tc>
      </w:tr>
    </w:tbl>
    <w:p>
      <w:pPr>
        <w:pStyle w:val="Instructionsberschrift2"/>
        <w:ind w:left="357" w:hanging="357"/>
        <w:rPr>
          <w:rFonts w:ascii="Times New Roman" w:hAnsi="Times New Roman" w:cs="Times New Roman"/>
          <w:sz w:val="24"/>
          <w:u w:val="none"/>
        </w:rPr>
      </w:pPr>
      <w:bookmarkStart w:id="20" w:name="_Toc88041754"/>
      <w:r>
        <w:rPr>
          <w:rFonts w:ascii="Times New Roman" w:hAnsi="Times New Roman"/>
          <w:sz w:val="24"/>
          <w:u w:val="none"/>
        </w:rPr>
        <w:t>1.3.</w:t>
      </w:r>
      <w:r>
        <w:rPr>
          <w:rFonts w:ascii="Times New Roman" w:hAnsi="Times New Roman"/>
          <w:sz w:val="24"/>
        </w:rPr>
        <w:t xml:space="preserve"> I 11.02 OMIEN VAROJEN VAATIMUKSET – RYHMÄN PÄÄOMAVAATIMUS (I11.2)</w:t>
      </w:r>
      <w:bookmarkEnd w:id="20"/>
    </w:p>
    <w:p>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1" w:name="_Toc88041755"/>
      <w:r>
        <w:rPr>
          <w:rFonts w:ascii="Times New Roman" w:hAnsi="Times New Roman"/>
          <w:sz w:val="24"/>
          <w:szCs w:val="24"/>
        </w:rPr>
        <w:t>1.3.1</w:t>
      </w:r>
      <w:r>
        <w:rPr>
          <w:rFonts w:ascii="Times New Roman" w:hAnsi="Times New Roman"/>
          <w:sz w:val="24"/>
          <w:szCs w:val="24"/>
        </w:rPr>
        <w:tab/>
      </w:r>
      <w:r>
        <w:rPr>
          <w:rFonts w:ascii="Times New Roman" w:hAnsi="Times New Roman"/>
          <w:sz w:val="24"/>
          <w:szCs w:val="24"/>
          <w:u w:val="single"/>
        </w:rPr>
        <w:t>Positiokohtaiset ohjeet</w:t>
      </w:r>
      <w:bookmarkEnd w:id="2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Rivi</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Lainsäädäntöviittaukset ja ohjeet</w:t>
            </w:r>
          </w:p>
        </w:tc>
      </w:tr>
      <w:tr>
        <w:tc>
          <w:tcPr>
            <w:tcW w:w="1129" w:type="dxa"/>
            <w:tcBorders>
              <w:top w:val="single" w:sz="4" w:space="0" w:color="auto"/>
              <w:left w:val="single" w:sz="4" w:space="0" w:color="auto"/>
              <w:bottom w:val="single" w:sz="4" w:space="0" w:color="auto"/>
              <w:right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Sijoituspalveluyritysryhmään kuuluvien finanssialan yhteisöjen ydinpääoman (CET1) instrumentit, kun emoyrityksellä on merkittävä sijoitus näissä yhteisöissä</w:t>
            </w:r>
          </w:p>
          <w:p>
            <w:pPr>
              <w:spacing w:after="120" w:line="240" w:lineRule="auto"/>
              <w:jc w:val="both"/>
              <w:rPr>
                <w:rFonts w:ascii="Times New Roman" w:eastAsia="Times New Roman" w:hAnsi="Times New Roman" w:cs="Times New Roman"/>
                <w:b/>
                <w:bCs/>
                <w:u w:val="single"/>
              </w:rPr>
            </w:pPr>
            <w:r>
              <w:rPr>
                <w:rFonts w:ascii="Times New Roman" w:hAnsi="Times New Roman"/>
                <w:bCs/>
              </w:rPr>
              <w:t>Asetuksen (EU) 2019/2033 8 artiklan 3 kohdan a alakohta yhdessä asetuksen (EU) N:o 575/2013 36 artiklan 1 kohdan i alakohdan kanssa.</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Sijoituspalveluyritysryhmään kuuluvien finanssialan yhteisöjen ydinpääoman (AT1) instrumentit, kun emoyrityksellä on merkittävä sijoitus näissä yhteisöissä</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8 artiklan 3 kohdan a alakohta yhdessä asetuksen (EU) N:o 575/2013 56 artiklan d alakohdan kanssa.</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Sijoituspalveluyritysryhmään kuuluvien finanssialan yhteisöjen ydinpääoman (T2) instrumentit, kun emoyrityksellä on merkittävä sijoitus näissä yhteisöissä</w:t>
            </w:r>
          </w:p>
          <w:p>
            <w:pPr>
              <w:spacing w:after="120" w:line="240" w:lineRule="auto"/>
              <w:jc w:val="both"/>
              <w:rPr>
                <w:rFonts w:ascii="Times New Roman" w:eastAsia="Times New Roman" w:hAnsi="Times New Roman" w:cs="Times New Roman"/>
                <w:b/>
                <w:bCs/>
                <w:u w:val="single"/>
              </w:rPr>
            </w:pPr>
            <w:r>
              <w:rPr>
                <w:rFonts w:ascii="Times New Roman" w:hAnsi="Times New Roman"/>
                <w:bCs/>
              </w:rPr>
              <w:t>Asetuksen (EU) 2019/2033 8 artiklan 3 kohdan a alakohta yhdessä asetuksen (EU) N:o 575/2013 66 artiklan d alakohdan kanssa.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0040</w:t>
            </w:r>
          </w:p>
        </w:tc>
        <w:tc>
          <w:tcPr>
            <w:tcW w:w="7620" w:type="dxa"/>
          </w:tcPr>
          <w:p>
            <w:pPr>
              <w:spacing w:after="120" w:line="240" w:lineRule="auto"/>
              <w:jc w:val="both"/>
              <w:rPr>
                <w:rFonts w:ascii="Times New Roman" w:eastAsia="Times New Roman" w:hAnsi="Times New Roman" w:cs="Times New Roman"/>
                <w:bCs/>
              </w:rPr>
            </w:pPr>
            <w:r>
              <w:rPr>
                <w:rFonts w:ascii="Times New Roman" w:hAnsi="Times New Roman"/>
                <w:b/>
                <w:bCs/>
                <w:u w:val="single"/>
              </w:rPr>
              <w:t>Omistusosuudet sijoituspalveluyritysryhmään kuuluvissa finanssialan yhteisöissä siltä osin kuin ne eivät muodosta omia varoja ryhmään kuuluvalle yhteisölle, jossa emoyrityksellä on sijoituksia</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8 artiklan 3 kohdan a alakohta.</w:t>
            </w:r>
          </w:p>
          <w:p>
            <w:pPr>
              <w:spacing w:after="120" w:line="240" w:lineRule="auto"/>
              <w:jc w:val="both"/>
              <w:rPr>
                <w:rFonts w:ascii="Times New Roman" w:eastAsia="Times New Roman" w:hAnsi="Times New Roman" w:cs="Times New Roman"/>
                <w:bCs/>
              </w:rPr>
            </w:pPr>
            <w:r>
              <w:rPr>
                <w:rFonts w:ascii="Times New Roman" w:hAnsi="Times New Roman"/>
                <w:bCs/>
              </w:rPr>
              <w:t>Tämä rivi sisältää emoyrityksen omistusosuudet siltä osin kuin ne eivät muodosta omia varoja ryhmään kuuluvalle yhteisölle, johon emoyritys on sijoittanut.</w:t>
            </w:r>
          </w:p>
        </w:tc>
      </w:tr>
      <w:tr>
        <w:tc>
          <w:tcPr>
            <w:tcW w:w="1129" w:type="dxa"/>
            <w:tcBorders>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0050</w:t>
            </w:r>
          </w:p>
        </w:tc>
        <w:tc>
          <w:tcPr>
            <w:tcW w:w="7620" w:type="dxa"/>
            <w:tcBorders>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
                <w:bCs/>
                <w:u w:val="single"/>
              </w:rPr>
              <w:t>Sijoituspalveluyritysryhmään kuuluvien finanssialan yhteisöjen etuoikeudeltaan huonommat saamiset</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8 artiklan 3 kohdan a alakohta.</w:t>
            </w:r>
          </w:p>
          <w:p>
            <w:pPr>
              <w:spacing w:after="120" w:line="240" w:lineRule="auto"/>
              <w:jc w:val="both"/>
              <w:rPr>
                <w:rFonts w:ascii="Times New Roman" w:eastAsia="Times New Roman" w:hAnsi="Times New Roman" w:cs="Times New Roman"/>
                <w:b/>
                <w:bCs/>
                <w:u w:val="single"/>
              </w:rPr>
            </w:pPr>
            <w:r>
              <w:rPr>
                <w:rFonts w:ascii="Times New Roman" w:hAnsi="Times New Roman"/>
                <w:bCs/>
              </w:rPr>
              <w:t>Tämä rivi sisältää emoyrityksen etuoikeudeltaan huonommat saamiset siltä osin kuin ne eivät muodosta omia varoja ryhmään kuuluvalle yhteisölle, johon emoyritys on sijoittanut.</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0060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Sijoituspalveluyritysryhmään kuuluvien yhteisöjen hyväksi luettavat ehdolliset velat</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8 artiklan 3 kohdan b alakohta.</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0070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Tytäryritysten omien varojen vaatimukset yhteensä</w:t>
            </w:r>
          </w:p>
          <w:p>
            <w:pPr>
              <w:spacing w:after="120" w:line="240" w:lineRule="auto"/>
              <w:jc w:val="both"/>
              <w:rPr>
                <w:rFonts w:ascii="Times New Roman" w:eastAsia="Times New Roman" w:hAnsi="Times New Roman" w:cs="Times New Roman"/>
                <w:bCs/>
              </w:rPr>
            </w:pPr>
            <w:r>
              <w:rPr>
                <w:rFonts w:ascii="Times New Roman" w:hAnsi="Times New Roman"/>
                <w:bCs/>
              </w:rPr>
              <w:t>Sovellettaessa asetuksen (EU) 2019/2033 8 artiklan 4 kohtaa.</w:t>
            </w:r>
          </w:p>
        </w:tc>
      </w:tr>
    </w:tbl>
    <w:p>
      <w:pPr>
        <w:pStyle w:val="Instructionsberschrift2"/>
        <w:ind w:left="357" w:hanging="357"/>
        <w:rPr>
          <w:rFonts w:ascii="Times New Roman" w:hAnsi="Times New Roman" w:cs="Times New Roman"/>
          <w:sz w:val="24"/>
        </w:rPr>
      </w:pPr>
      <w:bookmarkStart w:id="22" w:name="_Toc88041756"/>
      <w:bookmarkEnd w:id="2"/>
      <w:bookmarkEnd w:id="3"/>
      <w:bookmarkEnd w:id="4"/>
      <w:bookmarkEnd w:id="5"/>
      <w:r>
        <w:rPr>
          <w:rFonts w:ascii="Times New Roman" w:hAnsi="Times New Roman"/>
          <w:sz w:val="24"/>
          <w:u w:val="none"/>
        </w:rPr>
        <w:t>1.4.</w:t>
      </w:r>
      <w:r>
        <w:rPr>
          <w:rFonts w:ascii="Times New Roman" w:hAnsi="Times New Roman"/>
          <w:sz w:val="24"/>
        </w:rPr>
        <w:t xml:space="preserve"> IF 11.03 TYTÄRYRITYKSIÄ KOSKEVAT TIEDOT (IF11.3)</w:t>
      </w:r>
      <w:bookmarkEnd w:id="22"/>
    </w:p>
    <w:p>
      <w:pPr>
        <w:spacing w:line="256" w:lineRule="auto"/>
        <w:ind w:left="1224" w:hanging="504"/>
        <w:jc w:val="both"/>
        <w:rPr>
          <w:rFonts w:ascii="Times New Roman" w:hAnsi="Times New Roman" w:cs="Times New Roman"/>
          <w:sz w:val="24"/>
        </w:rPr>
      </w:pPr>
      <w:r>
        <w:rPr>
          <w:rFonts w:ascii="Times New Roman" w:hAnsi="Times New Roman" w:cs="Times New Roman"/>
          <w:sz w:val="24"/>
        </w:rPr>
        <w:t>10.</w:t>
      </w:r>
      <w:r>
        <w:rPr>
          <w:rFonts w:ascii="Times New Roman" w:hAnsi="Times New Roman" w:cs="Times New Roman"/>
          <w:sz w:val="24"/>
        </w:rPr>
        <w:tab/>
      </w:r>
      <w:r>
        <w:rPr>
          <w:rFonts w:ascii="Times New Roman" w:hAnsi="Times New Roman"/>
          <w:sz w:val="24"/>
        </w:rPr>
        <w:t>Kaikki yhteisöt, jotka kuuluvat ryhmän pääomavaatimuksen soveltamisalaan, on ilmoitettava tässä lomakkeessa. Tämä koskee myös ryhmän emoyritystä itseään.</w:t>
      </w:r>
    </w:p>
    <w:p>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3" w:name="_Toc88041757"/>
      <w:r>
        <w:rPr>
          <w:rFonts w:ascii="Times New Roman" w:hAnsi="Times New Roman"/>
          <w:sz w:val="24"/>
          <w:szCs w:val="24"/>
        </w:rPr>
        <w:t>1.4.1</w:t>
      </w:r>
      <w:r>
        <w:rPr>
          <w:rFonts w:ascii="Times New Roman" w:hAnsi="Times New Roman"/>
          <w:sz w:val="24"/>
          <w:szCs w:val="24"/>
        </w:rPr>
        <w:tab/>
      </w:r>
      <w:r>
        <w:rPr>
          <w:rFonts w:ascii="Times New Roman" w:hAnsi="Times New Roman"/>
          <w:sz w:val="24"/>
          <w:szCs w:val="24"/>
          <w:u w:val="single"/>
        </w:rPr>
        <w:t>Positiokohtaiset ohjeet</w:t>
      </w:r>
      <w:bookmarkEnd w:id="2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Sarakkeet</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Lainsäädäntöviittaukset ja ohjeet</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Tunnus</w:t>
            </w:r>
          </w:p>
          <w:p>
            <w:pPr>
              <w:spacing w:after="120" w:line="240" w:lineRule="auto"/>
              <w:jc w:val="both"/>
              <w:rPr>
                <w:rFonts w:ascii="Times New Roman" w:eastAsia="Times New Roman" w:hAnsi="Times New Roman" w:cs="Times New Roman"/>
                <w:b/>
                <w:bCs/>
                <w:u w:val="single"/>
              </w:rPr>
            </w:pPr>
            <w:r>
              <w:rPr>
                <w:rFonts w:ascii="Times New Roman" w:hAnsi="Times New Roman"/>
                <w:bCs/>
              </w:rPr>
              <w:t>Tunnus on osa rivin tunnistetta, ja sen on oltava yksilöllinen kullekin ilmoitetulle yhteisölle. Sijoituspalveluyritysten ja vakuutusyritysten osalta tunnus on oikeushenkilötunnus (LEI-tunnus). Muiden yhteisöjen osalta tunnus on LEI-tunnus, tai jos sellaista ei ole, kansallinen tunnus. Tunnuksen on oltava yksilöllinen, ja sitä on käytettävä johdonmukaisesti kaikissa lomakkeissa koko ajan. Tunnuksella on aina oltava arvo.</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Tunnuksen tyyppi</w:t>
            </w:r>
          </w:p>
          <w:p>
            <w:pPr>
              <w:spacing w:after="120" w:line="240" w:lineRule="auto"/>
              <w:jc w:val="both"/>
              <w:rPr>
                <w:rFonts w:ascii="Times New Roman" w:eastAsia="Times New Roman" w:hAnsi="Times New Roman" w:cs="Times New Roman"/>
                <w:bCs/>
              </w:rPr>
            </w:pPr>
            <w:r>
              <w:rPr>
                <w:rFonts w:ascii="Times New Roman" w:hAnsi="Times New Roman"/>
                <w:bCs/>
              </w:rPr>
              <w:t>Raportoivan yhteisön on ilmoitettava, onko sarakkeessa 0010 ilmoitettu tunnus tyypiltään ”LEI-tunnus” vai ”kansallinen tunnus”.</w:t>
            </w:r>
          </w:p>
          <w:p>
            <w:pPr>
              <w:spacing w:after="120" w:line="240" w:lineRule="auto"/>
              <w:jc w:val="both"/>
              <w:rPr>
                <w:rFonts w:ascii="Times New Roman" w:eastAsia="Times New Roman" w:hAnsi="Times New Roman" w:cs="Times New Roman"/>
                <w:b/>
                <w:bCs/>
                <w:u w:val="single"/>
              </w:rPr>
            </w:pPr>
            <w:r>
              <w:rPr>
                <w:rFonts w:ascii="Times New Roman" w:hAnsi="Times New Roman"/>
                <w:bCs/>
              </w:rPr>
              <w:t>Tunnuksen tyyppi on ilmoitettava aina.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Yrityksen nimi</w:t>
            </w:r>
          </w:p>
          <w:p>
            <w:pPr>
              <w:spacing w:after="120" w:line="240" w:lineRule="auto"/>
              <w:jc w:val="both"/>
              <w:rPr>
                <w:rFonts w:ascii="Times New Roman" w:eastAsia="Times New Roman" w:hAnsi="Times New Roman" w:cs="Times New Roman"/>
                <w:b/>
                <w:bCs/>
                <w:u w:val="single"/>
              </w:rPr>
            </w:pPr>
            <w:r>
              <w:rPr>
                <w:rStyle w:val="InstructionsTabelleText"/>
                <w:rFonts w:ascii="Times New Roman" w:hAnsi="Times New Roman"/>
                <w:sz w:val="22"/>
              </w:rPr>
              <w:t>Konsolidoinnin piiriin kuuluvan yrityksen nimi.</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0040</w:t>
            </w:r>
          </w:p>
        </w:tc>
        <w:tc>
          <w:tcPr>
            <w:tcW w:w="7620" w:type="dxa"/>
          </w:tcPr>
          <w:p>
            <w:pPr>
              <w:spacing w:after="120" w:line="240" w:lineRule="auto"/>
              <w:jc w:val="both"/>
              <w:rPr>
                <w:rFonts w:ascii="Times New Roman" w:eastAsia="Times New Roman" w:hAnsi="Times New Roman" w:cs="Times New Roman"/>
                <w:b/>
                <w:bCs/>
              </w:rPr>
            </w:pPr>
            <w:r>
              <w:rPr>
                <w:rFonts w:ascii="Times New Roman" w:hAnsi="Times New Roman"/>
                <w:b/>
                <w:bCs/>
              </w:rPr>
              <w:t>Emoyritys/tytäryritys</w:t>
            </w:r>
          </w:p>
          <w:p>
            <w:pPr>
              <w:spacing w:after="120" w:line="240" w:lineRule="auto"/>
              <w:jc w:val="both"/>
              <w:rPr>
                <w:rFonts w:ascii="Times New Roman" w:eastAsia="Times New Roman" w:hAnsi="Times New Roman" w:cs="Times New Roman"/>
                <w:bCs/>
              </w:rPr>
            </w:pPr>
            <w:r>
              <w:rPr>
                <w:rFonts w:ascii="Times New Roman" w:hAnsi="Times New Roman"/>
                <w:bCs/>
              </w:rPr>
              <w:t>Ilmoitetaan, onko rivillä ilmoitettu yhteisö ryhmän emoyritys vai tytäryritys.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0050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Maa</w:t>
            </w:r>
          </w:p>
          <w:p>
            <w:pPr>
              <w:autoSpaceDE w:val="0"/>
              <w:autoSpaceDN w:val="0"/>
              <w:spacing w:before="40" w:after="40" w:line="240" w:lineRule="auto"/>
              <w:rPr>
                <w:rFonts w:ascii="Times New Roman" w:eastAsia="Times New Roman" w:hAnsi="Times New Roman" w:cs="Times New Roman"/>
                <w:b/>
                <w:bCs/>
                <w:u w:val="single"/>
              </w:rPr>
            </w:pPr>
            <w:r>
              <w:rPr>
                <w:rStyle w:val="InstructionsTabelleText"/>
                <w:rFonts w:ascii="Times New Roman" w:hAnsi="Times New Roman"/>
                <w:sz w:val="22"/>
              </w:rPr>
              <w:t>Tytäryrityksen sijaintimaa on ilmoitettava.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0060–0100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Emoyrityksen sijoitukset</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8 artiklan 3 kohdan a alakohta.</w:t>
            </w:r>
          </w:p>
          <w:p>
            <w:pPr>
              <w:spacing w:after="120" w:line="240" w:lineRule="auto"/>
              <w:jc w:val="both"/>
              <w:rPr>
                <w:rFonts w:ascii="Times New Roman" w:eastAsia="Times New Roman" w:hAnsi="Times New Roman" w:cs="Times New Roman"/>
                <w:b/>
                <w:bCs/>
                <w:u w:val="single"/>
              </w:rPr>
            </w:pPr>
            <w:r>
              <w:rPr>
                <w:rFonts w:ascii="Times New Roman" w:hAnsi="Times New Roman"/>
                <w:bCs/>
              </w:rPr>
              <w:t>Tässä jaksossa ilmoitetaan emoyrityksen sijoitukset ryhmään kuuluviin yhteisöihin.</w:t>
            </w:r>
          </w:p>
        </w:tc>
      </w:tr>
      <w:tr>
        <w:tc>
          <w:tcPr>
            <w:tcW w:w="1129" w:type="dxa"/>
            <w:tcBorders>
              <w:top w:val="single" w:sz="4" w:space="0" w:color="auto"/>
              <w:left w:val="single" w:sz="4" w:space="0" w:color="auto"/>
              <w:bottom w:val="single" w:sz="4" w:space="0" w:color="auto"/>
              <w:right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0060</w:t>
            </w:r>
          </w:p>
        </w:tc>
        <w:tc>
          <w:tcPr>
            <w:tcW w:w="7620" w:type="dxa"/>
            <w:tcBorders>
              <w:top w:val="single" w:sz="4" w:space="0" w:color="auto"/>
              <w:left w:val="single" w:sz="4" w:space="0" w:color="auto"/>
              <w:bottom w:val="single" w:sz="4" w:space="0" w:color="auto"/>
              <w:right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
                <w:bCs/>
                <w:u w:val="single"/>
              </w:rPr>
              <w:t>CET1</w:t>
            </w:r>
          </w:p>
          <w:p>
            <w:pPr>
              <w:spacing w:after="120" w:line="240" w:lineRule="auto"/>
              <w:jc w:val="both"/>
              <w:rPr>
                <w:rFonts w:ascii="Times New Roman" w:eastAsia="Times New Roman" w:hAnsi="Times New Roman" w:cs="Times New Roman"/>
                <w:b/>
                <w:bCs/>
                <w:u w:val="single"/>
              </w:rPr>
            </w:pPr>
            <w:r>
              <w:rPr>
                <w:rFonts w:ascii="Times New Roman" w:hAnsi="Times New Roman"/>
                <w:bCs/>
              </w:rPr>
              <w:t>Asetuksen (EU) 2019/2033 8 artiklan 3 kohdan a alakohta yhdessä asetuksen (EU) N:o 575/2013 36 artiklan 1 kohdan i alakohdan kanssa.</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0070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
                <w:bCs/>
                <w:u w:val="single"/>
              </w:rPr>
              <w:t>AT1</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8 artiklan 3 kohdan a alakohta yhdessä asetuksen (EU) N:o 575/2013 56 artiklan d alakohdan kanssa.</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0080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T2</w:t>
            </w:r>
          </w:p>
          <w:p>
            <w:pPr>
              <w:spacing w:after="120" w:line="240" w:lineRule="auto"/>
              <w:jc w:val="both"/>
              <w:rPr>
                <w:rFonts w:ascii="Times New Roman" w:eastAsia="Times New Roman" w:hAnsi="Times New Roman" w:cs="Times New Roman"/>
                <w:b/>
                <w:bCs/>
                <w:u w:val="single"/>
              </w:rPr>
            </w:pPr>
            <w:r>
              <w:rPr>
                <w:rFonts w:ascii="Times New Roman" w:hAnsi="Times New Roman"/>
                <w:bCs/>
              </w:rPr>
              <w:t>Asetuksen (EU) 2019/2033 8 artiklan 3 kohdan a alakohta yhdessä asetuksen (EU) N:o 575/2013 66 artiklan d alakohdan kanssa.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0090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Omistusosuudet</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8 artiklan 3 kohdan a alakohta.</w:t>
            </w:r>
          </w:p>
          <w:p>
            <w:pPr>
              <w:spacing w:after="120" w:line="240" w:lineRule="auto"/>
              <w:jc w:val="both"/>
              <w:rPr>
                <w:rFonts w:ascii="Times New Roman" w:eastAsia="Times New Roman" w:hAnsi="Times New Roman" w:cs="Times New Roman"/>
                <w:bCs/>
              </w:rPr>
            </w:pPr>
            <w:r>
              <w:rPr>
                <w:rFonts w:ascii="Times New Roman" w:hAnsi="Times New Roman"/>
                <w:bCs/>
              </w:rPr>
              <w:t>Tämä sarake sisältää emoyrityksen omistusosuudet siltä osin kuin ne eivät muodosta omia varoja ryhmään kuuluvalle yhteisölle, johon emoyritys on sijoittanut.</w:t>
            </w:r>
          </w:p>
        </w:tc>
      </w:tr>
      <w:tr>
        <w:tc>
          <w:tcPr>
            <w:tcW w:w="1129" w:type="dxa"/>
            <w:tcBorders>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0100</w:t>
            </w:r>
          </w:p>
        </w:tc>
        <w:tc>
          <w:tcPr>
            <w:tcW w:w="7620" w:type="dxa"/>
            <w:tcBorders>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
                <w:bCs/>
                <w:u w:val="single"/>
              </w:rPr>
              <w:t>Etuoikeudeltaan huonommat saamiset</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8 artiklan 3 kohdan a alakohta.</w:t>
            </w:r>
          </w:p>
          <w:p>
            <w:pPr>
              <w:spacing w:after="120" w:line="240" w:lineRule="auto"/>
              <w:jc w:val="both"/>
              <w:rPr>
                <w:rFonts w:ascii="Times New Roman" w:eastAsia="Times New Roman" w:hAnsi="Times New Roman" w:cs="Times New Roman"/>
                <w:b/>
                <w:bCs/>
                <w:u w:val="single"/>
              </w:rPr>
            </w:pPr>
            <w:r>
              <w:rPr>
                <w:rFonts w:ascii="Times New Roman" w:hAnsi="Times New Roman"/>
                <w:bCs/>
              </w:rPr>
              <w:t>Tämä sarake sisältää emoyrityksen etuoikeudeltaan huonommat saamiset siltä osin kuin ne eivät muodosta omia varoja ryhmään kuuluvalle yhteisölle, johon emoyritys on sijoittanut.</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0110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Yhteisön hyväksi luettavat emoyrityksen ehdolliset velat</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8 artiklan 3 kohdan b alakohta.</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0120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Tytäryritysten omien varojen vaatimukset yhteensä</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8 artiklan 4 kohta.</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0130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Pysyvä vähimmäispääoma</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Asetuksen (EU) 2019/2033 14 artikla.</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0140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K-tekijöiden mukainen vaatimus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Asetuksen (EU) 2019/2033 15 artikla.</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0150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Hoidettavina olevat varat</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Asetuksen (EU) 2019/2033 15 artiklan 2 kohta ja 17 artikla</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0160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Hallussa olevat asiakasrahat – erotellut</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Asetuksen (EU) 2019/2033 15 artiklan 2 kohta ja 18 artikla</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0170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Hallussa olevat asiakasrahat – erottelemattomat</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Asetuksen (EU) 2019/2033 15 artiklan 2 kohta ja 18 artikla</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0180</w:t>
            </w:r>
          </w:p>
        </w:tc>
        <w:tc>
          <w:tcPr>
            <w:tcW w:w="7620" w:type="dxa"/>
            <w:tcBorders>
              <w:top w:val="single" w:sz="4" w:space="0" w:color="auto"/>
            </w:tcBorders>
          </w:tcPr>
          <w:p>
            <w:pPr>
              <w:tabs>
                <w:tab w:val="left" w:pos="3948"/>
              </w:tabs>
              <w:spacing w:after="120" w:line="240" w:lineRule="auto"/>
              <w:jc w:val="both"/>
              <w:rPr>
                <w:rFonts w:ascii="Times New Roman" w:eastAsia="Times New Roman" w:hAnsi="Times New Roman" w:cs="Times New Roman"/>
                <w:b/>
                <w:bCs/>
                <w:u w:val="single"/>
              </w:rPr>
            </w:pPr>
            <w:r>
              <w:rPr>
                <w:rFonts w:ascii="Times New Roman" w:hAnsi="Times New Roman"/>
                <w:b/>
                <w:bCs/>
                <w:u w:val="single"/>
              </w:rPr>
              <w:t>Säilytettävinä ja hallinnoitavina olevat varat</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 xml:space="preserve">Asetuksen (EU) 2019/2033 15 artiklan 2 kohta ja 19 artikla </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0190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Käsiteltävinä olevat asiakastoimeksiannot – käteiskaupat</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Asetuksen (EU) 2019/2033 15 artiklan 2 kohta, 20 artiklan 1 kohta ja 20 artiklan 2 kohdan a alakohta.</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0200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Käsiteltävinä olevat asiakastoimeksiannot – johdannaiskaupat</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Asetuksen (EU) 2019/2033 15 artiklan 2 kohta, 20 artiklan 1 kohta ja 20 artiklan 2 kohdan b alakohta.</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0210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K-nettopositioriskiä koskeva vaatimus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Asetuksen (EU) 2019/2033 22 artikla.</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0220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Annettu määritysmarginaali</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Asetuksen (EU) 2019/2033 23 artiklan 2 kohta.</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0230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Kaupan vastapuolen maksukyvyttömyys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Asetuksen (EU) 2019/2033 24 ja 26 artikla.</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0240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Päivittäinen kaupankäyntivirta – käteiskaupat</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Sijoituspalveluyritysten on ilmoitettava K-tekijöiden mukaisten vaatimusten laskentaa koskevat tiedot soveltaen asetuksen (EU) 2019/2033 15 artiklan 2 kohdassa säädettyä kerrointa.</w:t>
            </w:r>
          </w:p>
          <w:p>
            <w:pPr>
              <w:spacing w:after="120" w:line="240" w:lineRule="auto"/>
              <w:jc w:val="both"/>
              <w:rPr>
                <w:rFonts w:ascii="Times New Roman" w:eastAsia="Times New Roman" w:hAnsi="Times New Roman" w:cs="Times New Roman"/>
                <w:bCs/>
                <w:i/>
                <w:color w:val="000000" w:themeColor="text1"/>
              </w:rPr>
            </w:pPr>
            <w:r>
              <w:rPr>
                <w:rFonts w:ascii="Times New Roman" w:hAnsi="Times New Roman"/>
                <w:bCs/>
                <w:color w:val="000000" w:themeColor="text1"/>
              </w:rPr>
              <w:t>Asetuksen (EU) 2019/2033 15 artiklan 5 kohdan c alakohdan mukaisissa stressikausien markkinaolosuhteissa sijoituspalveluyritysten on sovellettava kyseisessä alakohdassa tarkoitettua mukautettua kerrointa.</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Päivittäisen kaupankäyntivirran tekijä lasketaan asetuksen (EU) 2019/2033 33 artiklan 2 kohdan a alakohdan mukaisesti.</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0250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Päivittäinen kaupankäyntivirta – johdannaiskaupat</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Sijoituspalveluyritysten on ilmoitettava K-tekijöiden mukaisten vaatimusten laskentaa koskevat tiedot soveltaen asetuksen (EU) 2019/2033 15 artiklan 2 kohdassa säädettyä kerrointa.</w:t>
            </w:r>
          </w:p>
          <w:p>
            <w:pPr>
              <w:spacing w:after="120" w:line="240" w:lineRule="auto"/>
              <w:jc w:val="both"/>
              <w:rPr>
                <w:rFonts w:ascii="Times New Roman" w:eastAsia="Times New Roman" w:hAnsi="Times New Roman" w:cs="Times New Roman"/>
                <w:bCs/>
                <w:i/>
                <w:color w:val="000000" w:themeColor="text1"/>
              </w:rPr>
            </w:pPr>
            <w:r>
              <w:rPr>
                <w:rFonts w:ascii="Times New Roman" w:hAnsi="Times New Roman"/>
                <w:bCs/>
                <w:color w:val="000000" w:themeColor="text1"/>
              </w:rPr>
              <w:t>Asetuksen (EU) 2019/2033 15 artiklan 5 kohdan c alakohdan mukaisissa stressikausien markkinaolosuhteissa sijoituspalveluyritysten on sovellettava kyseisessä alakohdassa tarkoitettua mukautettua kerrointa.</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Päivittäisen kaupankäyntivirran tekijä lasketaan asetuksen (EU) 2019/2033 33 artiklan 2 kohdan b alakohdan mukaisesti.</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0260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K-keskittymäriskiä koskeva vaatimus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Asetuksen (EU) 2019/2033 37 artiklan 2 kohta sekä 24 ja 39 artikla.</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0270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Kiinteitä yleiskustannuksia koskevat vaatimukset</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Asetuksen (EU) 2019/2033 13 artikla.</w:t>
            </w:r>
          </w:p>
        </w:tc>
      </w:tr>
    </w:tbl>
    <w:p>
      <w:pPr>
        <w:pStyle w:val="Instructionsberschrift2"/>
        <w:ind w:left="357" w:hanging="357"/>
      </w:pPr>
    </w:p>
    <w:sectPr>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pStyle w:val="Footer"/>
      </w:pPr>
    </w:p>
  </w:endnote>
  <w:endnote w:type="continuationSeparator" w:id="0">
    <w:p>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tabs>
        <w:tab w:val="clear" w:pos="4513"/>
        <w:tab w:val="clear" w:pos="9026"/>
        <w:tab w:val="right" w:pos="9071"/>
      </w:tabs>
    </w:pPr>
    <w:r>
      <w:t>FI - Cleaned document</w:t>
    </w:r>
    <w:r>
      <w:tab/>
    </w:r>
    <w:r>
      <w:fldChar w:fldCharType="begin"/>
    </w:r>
    <w:r>
      <w:instrText xml:space="preserve"> PAGE \* MERGEFORMAT </w:instrText>
    </w:r>
    <w:r>
      <w:fldChar w:fldCharType="separate"/>
    </w:r>
    <w:r>
      <w:rPr>
        <w:noProof/>
      </w:rPr>
      <w:t>1</w:t>
    </w:r>
    <w:r>
      <w:fldChar w:fldCharType="end"/>
    </w:r>
    <w:r>
      <w:t>/</w:t>
    </w:r>
    <w:fldSimple w:instr=" NUMPAGES \* MERGEFORMAT ">
      <w:r>
        <w:rPr>
          <w:noProof/>
        </w:rPr>
        <w:t>11</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pStyle w:val="Footer"/>
      </w:pPr>
    </w:p>
  </w:footnote>
  <w:footnote w:type="continuationSeparator" w:id="0">
    <w:p>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r>
      <w:rPr>
        <w:rFonts w:ascii="Times New Roman" w:hAnsi="Times New Roman" w:cs="Times New Roman"/>
        <w:color w:val="000000"/>
        <w:sz w:val="24"/>
      </w:rPr>
      <w:t>Central Bank of Ireland - RESTRICTED</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r>
      <w:rPr>
        <w:rFonts w:ascii="Times New Roman" w:hAnsi="Times New Roman" w:cs="Times New Roman"/>
        <w:color w:val="000000"/>
        <w:sz w:val="24"/>
      </w:rPr>
      <w:t>Central Bank of Ireland - RESTRICTED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3802EC7"/>
    <w:multiLevelType w:val="multilevel"/>
    <w:tmpl w:val="3BFC9DFC"/>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5"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9DE1B7E"/>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5"/>
  </w:num>
  <w:num w:numId="3">
    <w:abstractNumId w:val="11"/>
  </w:num>
  <w:num w:numId="4">
    <w:abstractNumId w:val="0"/>
  </w:num>
  <w:num w:numId="5">
    <w:abstractNumId w:val="3"/>
  </w:num>
  <w:num w:numId="6">
    <w:abstractNumId w:val="13"/>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7"/>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revisionView w:markup="0"/>
  <w:defaultTabStop w:val="720"/>
  <w:hyphenationZone w:val="283"/>
  <w:characterSpacingControl w:val="doNotCompress"/>
  <w:hdrShapeDefaults>
    <o:shapedefaults v:ext="edit" spidmax="138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8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spacing w:after="100"/>
      <w:ind w:left="220"/>
    </w:p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fi-FI"/>
    </w:r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character" w:customStyle="1" w:styleId="InstructionsTabelleText">
    <w:name w:val="Instructions Tabelle Text"/>
    <w:rPr>
      <w:rFonts w:ascii="Verdana" w:hAnsi="Verdana" w:cs="Times New Roman"/>
      <w:sz w:val="20"/>
    </w:rPr>
  </w:style>
  <w:style w:type="paragraph" w:styleId="Revision">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2033148956">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C257B838-AA16-4D06-AE36-0E3F5D062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3785</Words>
  <Characters>21576</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2021-11-25T14:57:00Z</dcterms:created>
  <dcterms:modified xsi:type="dcterms:W3CDTF">2021-11-25T16:15:00Z</dcterms:modified>
  <cp:category/>
</cp:coreProperties>
</file>