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A5105" w14:textId="77777777" w:rsidR="0017401A" w:rsidRDefault="007B30EC">
      <w:pPr>
        <w:pStyle w:val="Typedudocument"/>
      </w:pPr>
      <w:r>
        <w:t>K</w:t>
      </w:r>
      <w:r w:rsidR="009C5AEA">
        <w:t xml:space="preserve">omission täytäntöönpanoasetus </w:t>
      </w:r>
      <w:r>
        <w:t xml:space="preserve">(EU) </w:t>
      </w:r>
      <w:r w:rsidR="009C5AEA">
        <w:t>2021</w:t>
      </w:r>
      <w:r>
        <w:t>/…,</w:t>
      </w:r>
    </w:p>
    <w:p w14:paraId="4E4314BE" w14:textId="77777777" w:rsidR="0017401A" w:rsidRPr="003B4BFC" w:rsidRDefault="007B30EC">
      <w:pPr>
        <w:pStyle w:val="Datedadoption"/>
      </w:pPr>
      <w:r w:rsidRPr="003B4BFC">
        <w:t xml:space="preserve">annettu </w:t>
      </w:r>
      <w:r w:rsidR="009C5AEA" w:rsidRPr="003B4BFC">
        <w:rPr>
          <w:rStyle w:val="Marker2"/>
          <w:color w:val="auto"/>
        </w:rPr>
        <w:t>6 päivänä joulukuuta 2021</w:t>
      </w:r>
      <w:r w:rsidRPr="003B4BFC">
        <w:t>,</w:t>
      </w:r>
    </w:p>
    <w:p w14:paraId="7E7F9476" w14:textId="77777777" w:rsidR="0017401A" w:rsidRDefault="007B30EC">
      <w:pPr>
        <w:pStyle w:val="Titreobjet"/>
      </w:pPr>
      <w:r>
        <w:t>teknisistä täytäntöönpanostandardeista Euroopan parlamentin ja neuvoston asetuksen (EU) 2019/2033 soveltamiseksi sijoituspalveluyritysten vakavaraisuusvalvontaan liittyvän raportoinnin ja tietojen julkistamisen osalta</w:t>
      </w:r>
    </w:p>
    <w:p w14:paraId="7F6F7218" w14:textId="77777777" w:rsidR="0017401A" w:rsidRPr="009C5AEA" w:rsidRDefault="007B30EC">
      <w:pPr>
        <w:pStyle w:val="IntrtEEE"/>
        <w:rPr>
          <w:b/>
        </w:rPr>
      </w:pPr>
      <w:r w:rsidRPr="009C5AEA">
        <w:rPr>
          <w:b/>
        </w:rPr>
        <w:t>(ETA:n kannalta merkityksellinen teksti)</w:t>
      </w:r>
    </w:p>
    <w:p w14:paraId="7178ED0A" w14:textId="77777777" w:rsidR="0017401A" w:rsidRDefault="007B30EC">
      <w:pPr>
        <w:pStyle w:val="Institutionquiagit"/>
      </w:pPr>
      <w:r>
        <w:t>EUROOPAN KOMISSIO, joka</w:t>
      </w:r>
    </w:p>
    <w:p w14:paraId="472A8F3F" w14:textId="77777777" w:rsidR="0017401A" w:rsidRDefault="007B30EC">
      <w:r>
        <w:rPr>
          <w:color w:val="000000"/>
        </w:rPr>
        <w:t>ottaa huomioon Euroopan unionin toiminnasta tehdyn sopimuksen</w:t>
      </w:r>
      <w:r>
        <w:t>,</w:t>
      </w:r>
    </w:p>
    <w:p w14:paraId="46C62C0B" w14:textId="77777777" w:rsidR="0017401A" w:rsidRDefault="007B30EC">
      <w:r>
        <w:t>ottaa huomioon sijoituspalveluyritysten vakavaraisuusvaatimuksista sekä asetusten (EU) N:o 1093/2010, (EU) N:o 575/2013, (EU) N:o 600/2014 ja (EU) N:o 806/2014 muuttamisesta 27 päivänä marraskuuta 2019 annetun Euroopan parlamentin ja neuvoston asetuksen (EU) 2019/2033 </w:t>
      </w:r>
      <w:r>
        <w:rPr>
          <w:rStyle w:val="FootnoteReference"/>
        </w:rPr>
        <w:footnoteReference w:id="1"/>
      </w:r>
      <w:r>
        <w:t xml:space="preserve"> ja erityisesti sen 49 artiklan 2 kohdan ja 54 artiklan 3 kohdan,</w:t>
      </w:r>
    </w:p>
    <w:p w14:paraId="3B9478C3" w14:textId="77777777" w:rsidR="0017401A" w:rsidRDefault="007B30EC">
      <w:r>
        <w:t>sekä katsoo seuraavaa:</w:t>
      </w:r>
    </w:p>
    <w:p w14:paraId="49E9B7B7" w14:textId="77777777" w:rsidR="0017401A" w:rsidRDefault="007B30EC">
      <w:pPr>
        <w:pStyle w:val="Considrant"/>
        <w:numPr>
          <w:ilvl w:val="0"/>
          <w:numId w:val="0"/>
        </w:numPr>
        <w:tabs>
          <w:tab w:val="left" w:pos="709"/>
        </w:tabs>
        <w:ind w:left="709" w:hanging="709"/>
      </w:pPr>
      <w:r>
        <w:t>(1)</w:t>
      </w:r>
      <w:r>
        <w:tab/>
        <w:t>Asetuksen (EU) 2019/2033 54 artiklassa säädetyt sijoituspalveluyrityksiä koskevat raportointivaatimukset olisi mukautettava sijoituspalveluyritysten liiketoimintaan, ja niiden olisi oltava oikeassa suhteessa eri sijoituspalveluyritysten laajuuteen ja monimuotoisuuteen. Näissä vaatimuksissa olisi erityisesti otettava huomioon, että tiettyjä sijoituspalveluyrityksiä on pidettävä pieninä ja ilman sidossuhteita olevina yrityksinä asetuksen (EU) 2019/2033 12 artiklassa säädettyjen edellytysten mukaisesti.</w:t>
      </w:r>
    </w:p>
    <w:p w14:paraId="2639D062" w14:textId="77777777" w:rsidR="0017401A" w:rsidRDefault="007B30EC">
      <w:pPr>
        <w:pStyle w:val="Considrant"/>
        <w:numPr>
          <w:ilvl w:val="0"/>
          <w:numId w:val="0"/>
        </w:numPr>
        <w:tabs>
          <w:tab w:val="left" w:pos="709"/>
        </w:tabs>
        <w:ind w:left="709" w:hanging="709"/>
      </w:pPr>
      <w:r>
        <w:t>(2)</w:t>
      </w:r>
      <w:r>
        <w:tab/>
        <w:t xml:space="preserve">Asetuksen (EU) 2019/2033 54 artiklan 1 kohdan mukaisesti pienten ja ilman sidossuhteita olevien sijoituspalveluyritysten on ilmoitettava tiedot omien varojensa tasosta ja koostumuksesta, omien varojen vaatimuksistaan, omien varojen vaatimustensa laskentaperusteista sekä toiminnan laajuudesta asetuksen (EU) 2019/2033 12 artiklan 1 kohdassa säädettyjen edellytysten perusteella. Pienten ja ilman sidossuhteita olevien yritysten ei näin ollen tarvitse ilmoittaa yhtä yksityiskohtaisia tietoja kuin muiden asetuksen (EU) 2019/2033 soveltamisalaan kuuluvien sijoituspalveluyritysten. K-tekijöiden laskentaa koskevia raportointilomakkeita ei sen vuoksi pitäisi soveltaa pieniin ja ilman sidossuhteita oleviin yrityksiin. Lisäksi asetuksen (EU) 2019/2033 54 artiklan 2 kohdan kolmannen alakohdan mukaisesti </w:t>
      </w:r>
      <w:bookmarkStart w:id="0" w:name="_DV_C108"/>
      <w:r>
        <w:t>pienet ja ilman sidossuhteita olevat yritykset on vapautettu keskittymäriskiä koskevasta raportoinnista ja toimivaltaiset viranomaiset voivat vapauttaa pienet ja ilman sidossuhteita olevat yritykset maksuvalmiusvaatimuksista</w:t>
      </w:r>
      <w:bookmarkStart w:id="1" w:name="_DV_M108"/>
      <w:bookmarkEnd w:id="0"/>
      <w:bookmarkEnd w:id="1"/>
      <w:r>
        <w:t>.</w:t>
      </w:r>
    </w:p>
    <w:p w14:paraId="12FBFE78" w14:textId="77777777" w:rsidR="0017401A" w:rsidRDefault="007B30EC">
      <w:pPr>
        <w:pStyle w:val="Considrant"/>
        <w:numPr>
          <w:ilvl w:val="0"/>
          <w:numId w:val="0"/>
        </w:numPr>
        <w:tabs>
          <w:tab w:val="left" w:pos="709"/>
        </w:tabs>
        <w:ind w:left="709" w:hanging="709"/>
      </w:pPr>
      <w:r>
        <w:t>(3)</w:t>
      </w:r>
      <w:r>
        <w:tab/>
        <w:t>Kaikkien asetuksen (EU) 2019/2033 soveltamisalaan kuuluvien sijoituspalveluyritysten olisi ilmoitettava toimintaprofiilinsa ja kokonsa, jotta toimivaltaiset viranomaiset voivat arvioida, täyttävätkö kyseiset sijoituspalveluyritykset asetuksen (EU) 2019/2033 12 artiklassa säädetyt edellytykset siten, että ne voidaan luokitella pieniksi ja ilman sidossuhteita oleviksi sijoituspalveluyrityksiksi.</w:t>
      </w:r>
    </w:p>
    <w:p w14:paraId="685E0447" w14:textId="77777777" w:rsidR="0017401A" w:rsidRDefault="007B30EC">
      <w:pPr>
        <w:pStyle w:val="Considrant"/>
        <w:numPr>
          <w:ilvl w:val="0"/>
          <w:numId w:val="0"/>
        </w:numPr>
        <w:tabs>
          <w:tab w:val="left" w:pos="709"/>
        </w:tabs>
        <w:ind w:left="709" w:hanging="709"/>
      </w:pPr>
      <w:r>
        <w:lastRenderedPageBreak/>
        <w:t>(4)</w:t>
      </w:r>
      <w:r>
        <w:tab/>
        <w:t>Asetuksen (EU) 2019/2033 46 artiklassa edellytetään, että muut sijoituspalveluyritykset kuin pienet ja ilman sidossuhteita olevat sijoituspalveluyritykset julkistavat kyseisen asetuksen kuudennessa osassa täsmennetyt tiedot läpinäkyvyyden takaamiseksi sijoittajilleen ja laajemmille markkinoille. Pienet ja ilman sidossuhteita olevat sijoituspalveluyritykset eivät kuulu näiden julkistamisvaatimusten piiriin, paitsi jos ne laskevat liikkeeseen ensisijaisen lisäpääoman (AT1) instrumentteja, jolloin sijoittajille olisi tarjottava läpinäkyviä tietoja kyseisistä instrumenteista.</w:t>
      </w:r>
    </w:p>
    <w:p w14:paraId="79D70AF4" w14:textId="77777777" w:rsidR="0017401A" w:rsidRDefault="007B30EC">
      <w:pPr>
        <w:pStyle w:val="Considrant"/>
        <w:numPr>
          <w:ilvl w:val="0"/>
          <w:numId w:val="0"/>
        </w:numPr>
        <w:tabs>
          <w:tab w:val="left" w:pos="709"/>
        </w:tabs>
        <w:ind w:left="709" w:hanging="709"/>
      </w:pPr>
      <w:r>
        <w:t>(5)</w:t>
      </w:r>
      <w:r>
        <w:tab/>
        <w:t>Tällä asetuksella olisi annettava sijoituspalveluyrityksille lomakkeet ja taulukot riittävän kattavien ja vertailukelpoisten tietojen antamiseksi yritysten omien varojen koostumuksesta ja laadusta. Tarkemmin sanottuna on tarpeen ottaa käyttöön omien varojen koostumusta koskeva määrällinen julkistamislomake ja lakisääteisten omien varojen ja tarkastettujen tilinpäätösten täsmäyttämistä koskeva joustava lomake. Samasta syystä on myös tarpeen vahvistaa lomake, joka sisältää tiedot sijoituspalveluyrityksen liikkeeseenlaskemien omien varojen välineiden tärkeimmistä ominaisuuksista.</w:t>
      </w:r>
    </w:p>
    <w:p w14:paraId="49CC39D0" w14:textId="77777777" w:rsidR="0017401A" w:rsidRDefault="007B30EC">
      <w:pPr>
        <w:pStyle w:val="Considrant"/>
        <w:numPr>
          <w:ilvl w:val="0"/>
          <w:numId w:val="0"/>
        </w:numPr>
        <w:tabs>
          <w:tab w:val="left" w:pos="709"/>
        </w:tabs>
        <w:ind w:left="709" w:hanging="709"/>
      </w:pPr>
      <w:r>
        <w:t>(6)</w:t>
      </w:r>
      <w:r>
        <w:tab/>
      </w:r>
      <w:r>
        <w:rPr>
          <w:color w:val="000000"/>
        </w:rPr>
        <w:t>Raportointi- ja julkistamisvaatimusten täytäntöönpanon helpottamiseksi on tarpeen parantaa raportointi- ja julkistamismallien välistä johdonmukaisuutta. Omien varojen koostumusta koskevien tietojen julkistamista koskeva lomake olisi sen vuoksi sovitettava tiiviisti yhteen siihen liittyvän omien varojen tasoa ja koostumusta koskevan raportointilomakkeen kanssa. Samasta syystä omien varojen täydellistä täsmäytystä tarkastettuun tilinpäätökseen koskevan julkistamislomakkeen olisi oltava joustava siten, että lomakkeen jaottelu perustuisi sijoituspalveluyrityksen tarkastetussa tilinpäätöksessä olevan taseen jaotteluun. Lisäksi lakisääteisten omien varojen keskeisiä ominaisuuksia koskevien tietojen julkistamislomakkeen olisi oltava vakiomuotoinen lomake, ja sen monimutkaisuuden olisi määräydyttävä omien varojen instrumenttien monimutkaisuuden perusteella.</w:t>
      </w:r>
    </w:p>
    <w:p w14:paraId="3F6E684D" w14:textId="5D6EF6BB" w:rsidR="0017401A" w:rsidRDefault="007B30EC" w:rsidP="00525D14">
      <w:pPr>
        <w:pStyle w:val="Considrant"/>
        <w:numPr>
          <w:ilvl w:val="0"/>
          <w:numId w:val="0"/>
        </w:numPr>
        <w:tabs>
          <w:tab w:val="left" w:pos="709"/>
        </w:tabs>
        <w:ind w:left="709" w:hanging="709"/>
      </w:pPr>
      <w:r>
        <w:t>(7)</w:t>
      </w:r>
      <w:r>
        <w:tab/>
        <w:t>Sen varmistamiseksi, että sijoituspalveluyrityksille säännösten noudattamisesta aiheutuvat kustannukset eivät lisäänny kohtuuttomasti ja että tietojen laatu säilyy, raportointi- ja julkistamisvelvoitteet olisi sovitettava sisällöltään mahdollisimman pitkälti yhteen. Sen vuoksi on aiheellista vahvistaa yhdessä asetuksessa vaatimukset, joita sovelletaan sekä raportointi- että julkistamisvaatimuksiin.</w:t>
      </w:r>
    </w:p>
    <w:p w14:paraId="09A41CAE" w14:textId="5F054221" w:rsidR="0017401A" w:rsidRDefault="007B30EC">
      <w:pPr>
        <w:pStyle w:val="Considrant"/>
        <w:numPr>
          <w:ilvl w:val="0"/>
          <w:numId w:val="0"/>
        </w:numPr>
        <w:tabs>
          <w:tab w:val="left" w:pos="709"/>
        </w:tabs>
        <w:ind w:left="709" w:hanging="709"/>
      </w:pPr>
      <w:r>
        <w:t>(</w:t>
      </w:r>
      <w:r w:rsidR="00525D14">
        <w:t>8</w:t>
      </w:r>
      <w:r>
        <w:t>)</w:t>
      </w:r>
      <w:r>
        <w:tab/>
        <w:t>Tämä asetus perustuu Euroopan pankkiviranomaisen, jäljempänä ’EPV’, komissiolle toimittamiin teknisten täytäntöönpanostandardien luonnoksiin, joita laadittaessa se on kuullut Euroopan arvopaperimarkkinaviranomaista.</w:t>
      </w:r>
    </w:p>
    <w:p w14:paraId="77ECF65B" w14:textId="280AA568" w:rsidR="0017401A" w:rsidRDefault="007B30EC">
      <w:pPr>
        <w:pStyle w:val="Considrant"/>
        <w:numPr>
          <w:ilvl w:val="0"/>
          <w:numId w:val="0"/>
        </w:numPr>
        <w:tabs>
          <w:tab w:val="left" w:pos="709"/>
        </w:tabs>
        <w:ind w:left="709" w:hanging="709"/>
      </w:pPr>
      <w:r>
        <w:t>(</w:t>
      </w:r>
      <w:r w:rsidR="00525D14">
        <w:t>9</w:t>
      </w:r>
      <w:r>
        <w:t>)</w:t>
      </w:r>
      <w:r>
        <w:tab/>
        <w:t>EPV on järjestänyt avoimia julkisia kuulemisia niistä teknisten täytäntöönpanostandardien luonnoksista, joihin tämä asetus perustuu, analysoinut niihin mahdollisesti liittyviä kustannuksia ja hyötyjä sekä pyytänyt lausunnon Euroopan parlamentin ja neuvoston asetuksen (EU) N:o 1093/2010 </w:t>
      </w:r>
      <w:r>
        <w:rPr>
          <w:rStyle w:val="FootnoteReference"/>
        </w:rPr>
        <w:footnoteReference w:id="2"/>
      </w:r>
      <w:r>
        <w:t xml:space="preserve"> 37 artiklan mukaisesti perustetulta pankkialan osallisryhmältä,</w:t>
      </w:r>
    </w:p>
    <w:p w14:paraId="58B3F545" w14:textId="77777777" w:rsidR="0017401A" w:rsidRDefault="007B30EC">
      <w:pPr>
        <w:pStyle w:val="Formuledadoption"/>
      </w:pPr>
      <w:r>
        <w:lastRenderedPageBreak/>
        <w:t>ON HYVÄKSYNYT TÄMÄN ASETUKSEN:</w:t>
      </w:r>
    </w:p>
    <w:p w14:paraId="0AD54DC8" w14:textId="77777777" w:rsidR="0017401A" w:rsidRDefault="007B30EC">
      <w:pPr>
        <w:pStyle w:val="ChapterTitle"/>
      </w:pPr>
      <w:r>
        <w:t>I LUKU</w:t>
      </w:r>
    </w:p>
    <w:p w14:paraId="3415B2D8" w14:textId="77777777" w:rsidR="0017401A" w:rsidRDefault="007B30EC">
      <w:pPr>
        <w:pStyle w:val="ChapterTitle"/>
      </w:pPr>
      <w:r>
        <w:t>VALVONTAAN LIITTYVÄ RAPORTOINTI</w:t>
      </w:r>
    </w:p>
    <w:p w14:paraId="3F7AE35B" w14:textId="77777777" w:rsidR="0017401A" w:rsidRDefault="007B30EC">
      <w:pPr>
        <w:pStyle w:val="Titrearticle"/>
      </w:pPr>
      <w:r>
        <w:t>1 artikla</w:t>
      </w:r>
    </w:p>
    <w:p w14:paraId="6871008F" w14:textId="77777777" w:rsidR="0017401A" w:rsidRDefault="007B30EC">
      <w:pPr>
        <w:pStyle w:val="Titrearticle"/>
        <w:spacing w:before="120"/>
        <w:rPr>
          <w:b/>
          <w:i w:val="0"/>
        </w:rPr>
      </w:pPr>
      <w:r>
        <w:rPr>
          <w:b/>
          <w:i w:val="0"/>
        </w:rPr>
        <w:t>Raportoinnin viitepäivämäärät</w:t>
      </w:r>
    </w:p>
    <w:p w14:paraId="522F5A5F" w14:textId="77777777" w:rsidR="0017401A" w:rsidRDefault="007B30EC">
      <w:pPr>
        <w:pStyle w:val="NumPar1"/>
        <w:numPr>
          <w:ilvl w:val="0"/>
          <w:numId w:val="0"/>
        </w:numPr>
        <w:tabs>
          <w:tab w:val="left" w:pos="567"/>
        </w:tabs>
      </w:pPr>
      <w:r>
        <w:t>1.</w:t>
      </w:r>
      <w:r>
        <w:tab/>
        <w:t>Asetuksen 54 artiklan 1 kohdassa tarkoitetut tiedot on ilmoitettava sellaisina kuin ne ovat seuraavina raportoinnin viitepäivämäärinä:</w:t>
      </w:r>
    </w:p>
    <w:p w14:paraId="7DAAC1FA" w14:textId="77777777" w:rsidR="0017401A" w:rsidRDefault="007B30EC">
      <w:pPr>
        <w:pStyle w:val="Point1letter"/>
        <w:numPr>
          <w:ilvl w:val="0"/>
          <w:numId w:val="0"/>
        </w:numPr>
        <w:ind w:left="567" w:hanging="567"/>
      </w:pPr>
      <w:r>
        <w:t>a)</w:t>
      </w:r>
      <w:r>
        <w:tab/>
        <w:t>neljännesvuosittainen raportointi: 31 päivänä maaliskuuta, 30 päivänä kesäkuuta, 30 päivänä syyskuuta ja 31 päivänä joulukuuta;</w:t>
      </w:r>
    </w:p>
    <w:p w14:paraId="1AE0A15D" w14:textId="77777777" w:rsidR="0017401A" w:rsidRDefault="007B30EC">
      <w:pPr>
        <w:pStyle w:val="Point1letter"/>
        <w:numPr>
          <w:ilvl w:val="0"/>
          <w:numId w:val="0"/>
        </w:numPr>
        <w:ind w:left="567" w:hanging="567"/>
      </w:pPr>
      <w:r>
        <w:t>b)</w:t>
      </w:r>
      <w:r>
        <w:tab/>
        <w:t>vuosittainen raportointi: 31 päivänä joulukuuta.</w:t>
      </w:r>
    </w:p>
    <w:p w14:paraId="369B24E8" w14:textId="77777777" w:rsidR="0017401A" w:rsidRDefault="007B30EC">
      <w:pPr>
        <w:pStyle w:val="NumPar1"/>
        <w:numPr>
          <w:ilvl w:val="0"/>
          <w:numId w:val="0"/>
        </w:numPr>
        <w:tabs>
          <w:tab w:val="left" w:pos="567"/>
        </w:tabs>
      </w:pPr>
      <w:r>
        <w:t>2.</w:t>
      </w:r>
      <w:r>
        <w:tab/>
        <w:t>Edellä 1 kohdassa tarkoitettuja raportoinnin viitepäivämääriä voidaan mukauttaa, jos sijoituspalveluyritykset voivat kansallisen lainsäädännön nojalla raportoida taloudelliset tietonsa kalenterivuodesta poikkeavan tilikauden lopun perusteella siten, että neljännesvuosittainen raportointi tapahtuu asianomaisella tilikaudella kolmen kuukauden välein ja vuosittainen raportointi tilikauden lopussa.</w:t>
      </w:r>
    </w:p>
    <w:p w14:paraId="78E3B3FE" w14:textId="77777777" w:rsidR="0017401A" w:rsidRDefault="007B30EC">
      <w:pPr>
        <w:pStyle w:val="Titrearticle"/>
      </w:pPr>
      <w:r>
        <w:t>2 artikla</w:t>
      </w:r>
    </w:p>
    <w:p w14:paraId="527CFDB3" w14:textId="77777777" w:rsidR="0017401A" w:rsidRDefault="007B30EC">
      <w:pPr>
        <w:pStyle w:val="Titrearticle"/>
        <w:spacing w:before="120"/>
        <w:rPr>
          <w:b/>
          <w:i w:val="0"/>
        </w:rPr>
      </w:pPr>
      <w:r>
        <w:rPr>
          <w:b/>
          <w:i w:val="0"/>
        </w:rPr>
        <w:t>Raportoinnin ilmoituspäivämäärät</w:t>
      </w:r>
    </w:p>
    <w:p w14:paraId="201DA18F" w14:textId="77777777" w:rsidR="0017401A" w:rsidRDefault="007B30EC">
      <w:pPr>
        <w:pStyle w:val="NumPar1"/>
        <w:numPr>
          <w:ilvl w:val="0"/>
          <w:numId w:val="0"/>
        </w:numPr>
        <w:tabs>
          <w:tab w:val="left" w:pos="567"/>
        </w:tabs>
      </w:pPr>
      <w:r>
        <w:t>1.</w:t>
      </w:r>
      <w:r>
        <w:tab/>
        <w:t>Asetuksen (EU) 2019/2033 54 artiklan 1 kohdassa tarkoitetut tiedot on toimitettava pankkipäivän loppuun mennessä seuraavina ilmoituspäivämäärinä:</w:t>
      </w:r>
    </w:p>
    <w:p w14:paraId="2BCBA326" w14:textId="77777777" w:rsidR="0017401A" w:rsidRDefault="007B30EC">
      <w:pPr>
        <w:pStyle w:val="Point1letter"/>
        <w:numPr>
          <w:ilvl w:val="0"/>
          <w:numId w:val="0"/>
        </w:numPr>
        <w:ind w:left="567" w:hanging="567"/>
      </w:pPr>
      <w:r>
        <w:t>a)</w:t>
      </w:r>
      <w:r>
        <w:tab/>
        <w:t>neljännesvuosittainen raportointi: 12 päivänä toukokuuta, 11 päivänä elokuuta, 11 päivänä marraskuuta ja 11 päivänä helmikuuta;</w:t>
      </w:r>
    </w:p>
    <w:p w14:paraId="3E3EA51F" w14:textId="77777777" w:rsidR="0017401A" w:rsidRDefault="007B30EC">
      <w:pPr>
        <w:pStyle w:val="Point1letter"/>
        <w:numPr>
          <w:ilvl w:val="0"/>
          <w:numId w:val="0"/>
        </w:numPr>
        <w:ind w:left="567" w:hanging="567"/>
      </w:pPr>
      <w:r>
        <w:t>b)</w:t>
      </w:r>
      <w:r>
        <w:tab/>
        <w:t>vuosittainen raportointi: 11 päivänä helmikuuta.</w:t>
      </w:r>
    </w:p>
    <w:p w14:paraId="04517892" w14:textId="77777777" w:rsidR="0017401A" w:rsidRDefault="007B30EC">
      <w:pPr>
        <w:pStyle w:val="NumPar1"/>
        <w:numPr>
          <w:ilvl w:val="0"/>
          <w:numId w:val="0"/>
        </w:numPr>
        <w:tabs>
          <w:tab w:val="left" w:pos="567"/>
        </w:tabs>
      </w:pPr>
      <w:r>
        <w:t>2.</w:t>
      </w:r>
      <w:r>
        <w:tab/>
        <w:t>Jos ilmoituspäivä on yleinen vapaapäivä jäsenvaltiossa, jonka toimivaltaiselle viranomaiselle raportti on jätettävä, tai lauantai tai sunnuntai, ilmoituspäivä on seuraava työpäivä.</w:t>
      </w:r>
    </w:p>
    <w:p w14:paraId="448B3881" w14:textId="77777777" w:rsidR="0017401A" w:rsidRDefault="007B30EC">
      <w:pPr>
        <w:pStyle w:val="NumPar1"/>
        <w:numPr>
          <w:ilvl w:val="0"/>
          <w:numId w:val="0"/>
        </w:numPr>
        <w:tabs>
          <w:tab w:val="left" w:pos="567"/>
        </w:tabs>
      </w:pPr>
      <w:r>
        <w:t>3.</w:t>
      </w:r>
      <w:r>
        <w:tab/>
        <w:t>Jos sijoituspalveluyritykset ilmoittavat tietonsa tämän asetuksen 1 artiklan 2 kohdan nojalla laitosten tilinpäätöspäivän perusteella mukautettujen raportoinnin viitepäivämäärien mukaisesti, ilmoituspäivämääriä voidaan mukauttaa vastaavasti siten, että mukautetusta raportoinnin viitepäivämäärästä laskettava ilmoituskausi säilyy samana.</w:t>
      </w:r>
    </w:p>
    <w:p w14:paraId="2C0380EF" w14:textId="77777777" w:rsidR="0017401A" w:rsidRDefault="007B30EC">
      <w:pPr>
        <w:pStyle w:val="NumPar1"/>
        <w:numPr>
          <w:ilvl w:val="0"/>
          <w:numId w:val="0"/>
        </w:numPr>
        <w:tabs>
          <w:tab w:val="left" w:pos="567"/>
        </w:tabs>
      </w:pPr>
      <w:r>
        <w:t>4.</w:t>
      </w:r>
      <w:r>
        <w:tab/>
        <w:t>Sijoituspalveluyritykset voivat toimittaa tarkastamattomia lukuja. Jos tarkastetut luvut poikkeavat toimitetuista tarkastamattomista luvuista, korjatut tarkastetut luvut on toimitettava ilman aiheetonta viivytystä. Tässä artiklassa tarkoitetaan tarkastamattomilla luvuilla niitä lukuja, joista ulkoinen tarkastaja ei ole antanut tarkastuslausumaa, kun taas tarkastetut luvut ovat lukuja, jotka ulkoinen tarkastaja on tarkastanut ja joista hän on antanut tarkastuslausuman.</w:t>
      </w:r>
    </w:p>
    <w:p w14:paraId="1D762306" w14:textId="77777777" w:rsidR="0017401A" w:rsidRDefault="007B30EC">
      <w:pPr>
        <w:pStyle w:val="NumPar1"/>
        <w:numPr>
          <w:ilvl w:val="0"/>
          <w:numId w:val="0"/>
        </w:numPr>
        <w:tabs>
          <w:tab w:val="left" w:pos="567"/>
        </w:tabs>
      </w:pPr>
      <w:r>
        <w:t>5.</w:t>
      </w:r>
      <w:r>
        <w:tab/>
        <w:t>Toimitettuihin raportteihin tehtävät korjaukset on toimitettava toimivaltaisille viranomaisille ilman aiheetonta viivytystä.</w:t>
      </w:r>
    </w:p>
    <w:p w14:paraId="582A5A9F" w14:textId="77777777" w:rsidR="0017401A" w:rsidRDefault="007B30EC">
      <w:pPr>
        <w:pStyle w:val="Titrearticle"/>
      </w:pPr>
      <w:r>
        <w:lastRenderedPageBreak/>
        <w:t>3 artikla</w:t>
      </w:r>
    </w:p>
    <w:p w14:paraId="6BE35D80" w14:textId="77777777" w:rsidR="0017401A" w:rsidRDefault="007B30EC">
      <w:pPr>
        <w:pStyle w:val="Titrearticle"/>
        <w:spacing w:before="120"/>
        <w:rPr>
          <w:b/>
          <w:i w:val="0"/>
        </w:rPr>
      </w:pPr>
      <w:r>
        <w:rPr>
          <w:b/>
          <w:i w:val="0"/>
        </w:rPr>
        <w:t>Raportointivaatimusten yksilöllinen soveltaminen</w:t>
      </w:r>
    </w:p>
    <w:p w14:paraId="0C86EC3E" w14:textId="77777777" w:rsidR="0017401A" w:rsidRDefault="007B30EC">
      <w:r>
        <w:t>Täyttääkseen asetuksen (EU) 2019/2033 54 artiklassa säädetyt raportointivaatimukset yksittäisinä yrityksinä sijoituspalveluyritysten on ilmoitettava tämän asetuksen 5, 6 ja 7 artiklassa täsmennetyt tiedot kyseissä artikloissa säädetyllä tiheydellä.</w:t>
      </w:r>
    </w:p>
    <w:p w14:paraId="2F21BA00" w14:textId="77777777" w:rsidR="0017401A" w:rsidRDefault="007B30EC">
      <w:pPr>
        <w:pStyle w:val="Titrearticle"/>
      </w:pPr>
      <w:r>
        <w:t>4 artikla</w:t>
      </w:r>
    </w:p>
    <w:p w14:paraId="3BE963AC" w14:textId="77777777" w:rsidR="0017401A" w:rsidRDefault="007B30EC">
      <w:pPr>
        <w:pStyle w:val="Titrearticle"/>
        <w:spacing w:before="120"/>
        <w:rPr>
          <w:b/>
          <w:i w:val="0"/>
        </w:rPr>
      </w:pPr>
      <w:r>
        <w:rPr>
          <w:b/>
          <w:i w:val="0"/>
        </w:rPr>
        <w:t>Raportointivaatimusten soveltaminen konsolidoinnin perusteella</w:t>
      </w:r>
    </w:p>
    <w:p w14:paraId="03A196E1" w14:textId="77777777" w:rsidR="0017401A" w:rsidRDefault="007B30EC">
      <w:pPr>
        <w:rPr>
          <w:i/>
        </w:rPr>
      </w:pPr>
      <w:r>
        <w:t>Täyttääkseen asetuksen (EU) 2019/2033 54 artiklassa tarkoitetut raportointivaatimukset konsolidoinnin perusteella sijoituspalveluyritysten on ilmoitettava tämän täytäntöönpanoasetuksen 5 ja 6 artiklassa täsmennetyt tiedot kyseisissä artikloissa säädetyllä tiheydellä.</w:t>
      </w:r>
    </w:p>
    <w:p w14:paraId="6925DD99" w14:textId="77777777" w:rsidR="0017401A" w:rsidRDefault="007B30EC">
      <w:pPr>
        <w:pStyle w:val="Titrearticle"/>
      </w:pPr>
      <w:r>
        <w:t>5 artikla</w:t>
      </w:r>
    </w:p>
    <w:p w14:paraId="6CB328B2" w14:textId="77777777" w:rsidR="0017401A" w:rsidRDefault="007B30EC">
      <w:pPr>
        <w:pStyle w:val="Titrearticle"/>
        <w:spacing w:before="120"/>
        <w:rPr>
          <w:b/>
          <w:i w:val="0"/>
        </w:rPr>
      </w:pPr>
      <w:r>
        <w:rPr>
          <w:b/>
          <w:i w:val="0"/>
        </w:rPr>
        <w:t>Muiden sijoituspalveluyritysten kuin pienten ja ilman sidossuhteita olevien sijoituspalveluyritysten raportoinnin muoto ja tiheys</w:t>
      </w:r>
    </w:p>
    <w:p w14:paraId="302D2702" w14:textId="77777777" w:rsidR="0017401A" w:rsidRDefault="007B30EC">
      <w:pPr>
        <w:pStyle w:val="NumPar1"/>
        <w:numPr>
          <w:ilvl w:val="0"/>
          <w:numId w:val="0"/>
        </w:numPr>
        <w:tabs>
          <w:tab w:val="left" w:pos="567"/>
        </w:tabs>
      </w:pPr>
      <w:r>
        <w:t>1.</w:t>
      </w:r>
      <w:r>
        <w:tab/>
        <w:t>Muiden sijoituspalveluyritysten kuin pienten ja ilman sidossuhteita olevien sijoituspalveluyritysten on ilmoitettava asetuksen (EU) 2019/2033 54 artiklan 1 ja 2 kohdassa vaaditut tiedot käyttämällä tämän asetuksen liitteessä I vahvistettuja lomakkeita tämän asetuksen liitteessä II annettujen ohjeiden mukaisesti neljännesvuosittain.</w:t>
      </w:r>
    </w:p>
    <w:p w14:paraId="4F3E3265" w14:textId="77777777" w:rsidR="0017401A" w:rsidRDefault="007B30EC">
      <w:pPr>
        <w:pStyle w:val="NumPar1"/>
        <w:numPr>
          <w:ilvl w:val="0"/>
          <w:numId w:val="0"/>
        </w:numPr>
        <w:tabs>
          <w:tab w:val="left" w:pos="567"/>
        </w:tabs>
        <w:rPr>
          <w:szCs w:val="24"/>
        </w:rPr>
      </w:pPr>
      <w:r>
        <w:rPr>
          <w:szCs w:val="24"/>
        </w:rPr>
        <w:t>2.</w:t>
      </w:r>
      <w:r>
        <w:rPr>
          <w:szCs w:val="24"/>
        </w:rPr>
        <w:tab/>
      </w:r>
      <w:r>
        <w:t>Muiden sijoituspalveluyritysten kuin pienten ja ilman sidossuhteita olevien sijoituspalveluyritysten, jotka määrittävät RtM K -tekijöiden mukaisen vaatimuksen asetuksen (EU) 2019/2033 21 artiklan 1 kohdan mukaisesti K-NPR:n perusteella, on ilmoitettava komission täytäntöönpanoasetuksen (EU) 2021/451</w:t>
      </w:r>
      <w:r w:rsidR="009C5AEA">
        <w:rPr>
          <w:rStyle w:val="FootnoteReference"/>
        </w:rPr>
        <w:footnoteReference w:id="3"/>
      </w:r>
      <w:r>
        <w:t xml:space="preserve"> liitteessä I olevissa lomakkeissa C 18.00–C 24.00 täsmennetyt tiedot kyseisen täytäntöönpanoasetuksen liitteessä II olevassa 2 osassa annettujen ohjeiden mukaisesti neljännesvuosittain.</w:t>
      </w:r>
    </w:p>
    <w:p w14:paraId="20202F26" w14:textId="77777777" w:rsidR="0017401A" w:rsidRDefault="007B30EC">
      <w:pPr>
        <w:pStyle w:val="NumPar1"/>
        <w:numPr>
          <w:ilvl w:val="0"/>
          <w:numId w:val="0"/>
        </w:numPr>
        <w:tabs>
          <w:tab w:val="left" w:pos="567"/>
        </w:tabs>
        <w:rPr>
          <w:szCs w:val="24"/>
        </w:rPr>
      </w:pPr>
      <w:r>
        <w:rPr>
          <w:szCs w:val="24"/>
        </w:rPr>
        <w:t>3.</w:t>
      </w:r>
      <w:r>
        <w:rPr>
          <w:szCs w:val="24"/>
        </w:rPr>
        <w:tab/>
      </w:r>
      <w:r>
        <w:t>Muiden sijoituspalveluyritysten kuin pienten ja ilman sidossuhteita olevien sijoituspalveluyritysten, jotka soveltavat asetuksen (EU) 2019/2033 25 artiklan 4 kohdassa säädettyä poikkeusta, on ilmoitettava täytäntöönpanoasetuksen (EU) 2021/451 liitteessä I olevassa lomakkeessa C 34.02 täsmennetyt tiedot kyseisen täytäntöönpanoasetuksen liitteessä II olevassa 2 osassa annettujen ohjeiden mukaisesti neljännesvuosittain.</w:t>
      </w:r>
    </w:p>
    <w:p w14:paraId="0DBD9236" w14:textId="77777777" w:rsidR="0017401A" w:rsidRDefault="007B30EC">
      <w:pPr>
        <w:pStyle w:val="NumPar1"/>
        <w:numPr>
          <w:ilvl w:val="0"/>
          <w:numId w:val="0"/>
        </w:numPr>
        <w:tabs>
          <w:tab w:val="left" w:pos="567"/>
        </w:tabs>
        <w:rPr>
          <w:szCs w:val="24"/>
        </w:rPr>
      </w:pPr>
      <w:r>
        <w:rPr>
          <w:szCs w:val="24"/>
        </w:rPr>
        <w:t>4.</w:t>
      </w:r>
      <w:r>
        <w:rPr>
          <w:szCs w:val="24"/>
        </w:rPr>
        <w:tab/>
      </w:r>
      <w:r>
        <w:t>Muiden sijoituspalveluyritysten kuin pienten ja ilman sidossuhteita olevien sijoituspalveluyritysten, jotka soveltavat asetuksen (EU) 2019/2033 25 artiklan 5 kohdan toisessa alakohdassa säädettyä poikkeusta, on ilmoitettava täytäntöönpanoasetuksen (EU) 2021/451 liitteessä I olevassa lomakkeessa C 25.00 täsmennetyt tiedot kyseisen täytäntöönpanoasetuksen liitteessä II olevassa 2 osassa annettujen ohjeiden mukaisesti neljännesvuosittain.</w:t>
      </w:r>
    </w:p>
    <w:p w14:paraId="3C9EC715" w14:textId="77777777" w:rsidR="0017401A" w:rsidRDefault="007B30EC">
      <w:pPr>
        <w:pStyle w:val="Titrearticle"/>
      </w:pPr>
      <w:r>
        <w:lastRenderedPageBreak/>
        <w:t>6 artikla</w:t>
      </w:r>
    </w:p>
    <w:p w14:paraId="32484393" w14:textId="77777777" w:rsidR="0017401A" w:rsidRDefault="007B30EC">
      <w:pPr>
        <w:pStyle w:val="Titrearticle"/>
        <w:spacing w:before="120"/>
        <w:rPr>
          <w:b/>
          <w:i w:val="0"/>
        </w:rPr>
      </w:pPr>
      <w:r>
        <w:rPr>
          <w:b/>
          <w:i w:val="0"/>
        </w:rPr>
        <w:t>Pienten ja ilman sidossuhteita olevien sijoituspalveluyritysten raportoinnin muoto ja tiheys</w:t>
      </w:r>
    </w:p>
    <w:p w14:paraId="19553B2B" w14:textId="77777777" w:rsidR="0017401A" w:rsidRDefault="007B30EC">
      <w:pPr>
        <w:pStyle w:val="NumPar1"/>
        <w:numPr>
          <w:ilvl w:val="0"/>
          <w:numId w:val="0"/>
        </w:numPr>
        <w:tabs>
          <w:tab w:val="left" w:pos="567"/>
        </w:tabs>
      </w:pPr>
      <w:r>
        <w:t>1.</w:t>
      </w:r>
      <w:r>
        <w:tab/>
        <w:t>Pienten ja ilman sidossuhteita olevien sijoituspalveluyritysten on ilmoitettava vuosittain tämän asetuksen liitteessä III olevissa lomakkeissa täsmennetyt tiedot tämän asetuksen liitteessä IV annettujen ohjeiden mukaisesti. Sijoituspalveluyritykset, joihin sovelletaan asetuksen (EU) 2019/2033 43 artiklan 1 kohdan toisessa alakohdassa tarkoitettua vapautusta, vapautetaan velvollisuudesta toimittaa tämän asetuksen liitteessä III olevassa lomakkeessa IF 09.01 täsmennetyt tiedot.</w:t>
      </w:r>
    </w:p>
    <w:p w14:paraId="75CB8F26" w14:textId="77777777" w:rsidR="0017401A" w:rsidRDefault="007B30EC">
      <w:pPr>
        <w:pStyle w:val="Titrearticle"/>
      </w:pPr>
      <w:r>
        <w:t>7 artikla</w:t>
      </w:r>
    </w:p>
    <w:p w14:paraId="1D3F9D4B" w14:textId="77777777" w:rsidR="0017401A" w:rsidRDefault="007B30EC">
      <w:pPr>
        <w:pStyle w:val="Titrearticle"/>
        <w:spacing w:before="120"/>
        <w:rPr>
          <w:b/>
          <w:i w:val="0"/>
        </w:rPr>
      </w:pPr>
      <w:r>
        <w:rPr>
          <w:b/>
          <w:i w:val="0"/>
        </w:rPr>
        <w:t>Asetuksen (EU) 2019/2033 8 artiklan soveltamisesta hyötyvien yhteisöjen raportoinnin muoto ja tiheys</w:t>
      </w:r>
    </w:p>
    <w:p w14:paraId="2C81FCB8" w14:textId="77777777" w:rsidR="0017401A" w:rsidRDefault="007B30EC">
      <w:pPr>
        <w:rPr>
          <w:rFonts w:eastAsia="Times New Roman"/>
          <w:szCs w:val="24"/>
        </w:rPr>
      </w:pPr>
      <w:r>
        <w:t>Poiketen siitä, mitä tämän asetuksen 4 artiklassa säädetään, niiden asetuksen (EU) 2019/2033 8 artiklan 3 kohdassa tarkoitettujen yhteisöjen, jotka hyötyvät kyseisen artiklan soveltamisesta, on ilmoitettava tämän asetuksen liitteessä VIII olevissa lomakkeissa säädetyt tiedot tämän asetuksen liitteessä IX annettujen ohjeiden mukaisesti neljännesvuosittain.</w:t>
      </w:r>
    </w:p>
    <w:p w14:paraId="11C8FAB5" w14:textId="77777777" w:rsidR="0017401A" w:rsidRDefault="007B30EC">
      <w:pPr>
        <w:pStyle w:val="Titrearticle"/>
      </w:pPr>
      <w:r>
        <w:t>8 artikla</w:t>
      </w:r>
    </w:p>
    <w:p w14:paraId="6646BFC1" w14:textId="77777777" w:rsidR="0017401A" w:rsidRDefault="007B30EC">
      <w:pPr>
        <w:pStyle w:val="Titrearticle"/>
        <w:spacing w:before="120"/>
        <w:rPr>
          <w:b/>
          <w:i w:val="0"/>
        </w:rPr>
      </w:pPr>
      <w:r>
        <w:rPr>
          <w:b/>
          <w:i w:val="0"/>
        </w:rPr>
        <w:t>Tietojen täsmällisyys ja toimitettavat tiedot</w:t>
      </w:r>
    </w:p>
    <w:p w14:paraId="43372C53" w14:textId="77777777" w:rsidR="0017401A" w:rsidRDefault="007B30EC">
      <w:pPr>
        <w:pStyle w:val="NumPar1"/>
        <w:numPr>
          <w:ilvl w:val="0"/>
          <w:numId w:val="0"/>
        </w:numPr>
        <w:tabs>
          <w:tab w:val="left" w:pos="567"/>
        </w:tabs>
      </w:pPr>
      <w:r>
        <w:t>1.</w:t>
      </w:r>
      <w:r>
        <w:tab/>
        <w:t>Sijoituspalveluyritysten on toimitettava tässä asetuksessa tarkoitetut tiedot käyttäen toimivaltaisten viranomaisten tietojen vaihdolle määrittelemiä muotoja ja esitystapoja ja noudattaen tietopistemallin tietopisteille annettuja määritelmiä ja liitteessä V määriteltyjä validointikaavoja sekä seuraavia vaatimuksia:</w:t>
      </w:r>
    </w:p>
    <w:p w14:paraId="36AC447E" w14:textId="77777777" w:rsidR="0017401A" w:rsidRDefault="007B30EC">
      <w:pPr>
        <w:pStyle w:val="Point1letter"/>
        <w:numPr>
          <w:ilvl w:val="0"/>
          <w:numId w:val="0"/>
        </w:numPr>
        <w:ind w:left="567" w:hanging="567"/>
      </w:pPr>
      <w:r>
        <w:t>a)</w:t>
      </w:r>
      <w:r>
        <w:tab/>
        <w:t>tietotoimituksiin ei saa sisällyttää tietoja, joita ei ole pyydetty tai jotka ovat käyttötarkoitukseen soveltumattomia;</w:t>
      </w:r>
    </w:p>
    <w:p w14:paraId="09CC7589" w14:textId="77777777" w:rsidR="0017401A" w:rsidRDefault="007B30EC">
      <w:pPr>
        <w:pStyle w:val="Point1letter"/>
        <w:numPr>
          <w:ilvl w:val="0"/>
          <w:numId w:val="0"/>
        </w:numPr>
        <w:ind w:left="567" w:hanging="567"/>
      </w:pPr>
      <w:r>
        <w:t>b)</w:t>
      </w:r>
      <w:r>
        <w:tab/>
        <w:t>numeeriset arvot ilmoitetaan tosiasiallisina tietoina seuraavien käytäntöjen mukaisesti:</w:t>
      </w:r>
    </w:p>
    <w:p w14:paraId="03C5C17F" w14:textId="77777777" w:rsidR="0017401A" w:rsidRDefault="007B30EC">
      <w:pPr>
        <w:pStyle w:val="Point2"/>
        <w:ind w:left="1134"/>
      </w:pPr>
      <w:r>
        <w:t>i)</w:t>
      </w:r>
      <w:r>
        <w:tab/>
        <w:t>luokkaan ”rahamäärä” (monetary) kuuluvat tietopisteet on ilmoitettava tuhansien vähimmäistarkkuudella;</w:t>
      </w:r>
    </w:p>
    <w:p w14:paraId="549CC581" w14:textId="77777777" w:rsidR="0017401A" w:rsidRDefault="007B30EC">
      <w:pPr>
        <w:pStyle w:val="Point2"/>
        <w:ind w:left="1134"/>
      </w:pPr>
      <w:r>
        <w:t>ii)</w:t>
      </w:r>
      <w:r>
        <w:tab/>
        <w:t>luokkaan ”prosenttiosuus” (percentage) kuuluvat tietopisteet on ilmoitettava prosenttiyksiköinä, joiden vähimmäistarkkuus on neljä desimaalia;</w:t>
      </w:r>
    </w:p>
    <w:p w14:paraId="1D51D1B0" w14:textId="77777777" w:rsidR="0017401A" w:rsidRDefault="007B30EC">
      <w:pPr>
        <w:pStyle w:val="Point2"/>
        <w:ind w:left="1134"/>
      </w:pPr>
      <w:r>
        <w:t>iii)</w:t>
      </w:r>
      <w:r>
        <w:tab/>
        <w:t>luokkaan ”kokonaisluku” (integer) kuuluvat tietopisteet on ilmoitettava ilman desimaaleja yksikkötarkkuudella.</w:t>
      </w:r>
    </w:p>
    <w:p w14:paraId="66E60F06" w14:textId="77777777" w:rsidR="0017401A" w:rsidRDefault="007B30EC">
      <w:pPr>
        <w:pStyle w:val="NumPar1"/>
        <w:numPr>
          <w:ilvl w:val="0"/>
          <w:numId w:val="0"/>
        </w:numPr>
        <w:tabs>
          <w:tab w:val="left" w:pos="567"/>
        </w:tabs>
      </w:pPr>
      <w:r>
        <w:t>2.</w:t>
      </w:r>
      <w:r>
        <w:tab/>
        <w:t>Sijoituspalveluyritykset on yksilöitävä niiden oikeushenkilötunnuksella (LEI). Muut oikeushenkilöt ja vastapuolet kuin sijoituspalveluyritykset on yksilöitävä niiden oikeushenkilötunnuksella, jos sellainen on käytettävissä.</w:t>
      </w:r>
    </w:p>
    <w:p w14:paraId="22DB3AF7" w14:textId="77777777" w:rsidR="0017401A" w:rsidRDefault="007B30EC">
      <w:pPr>
        <w:pStyle w:val="NumPar1"/>
        <w:numPr>
          <w:ilvl w:val="0"/>
          <w:numId w:val="0"/>
        </w:numPr>
        <w:tabs>
          <w:tab w:val="left" w:pos="567"/>
        </w:tabs>
      </w:pPr>
      <w:r>
        <w:t>3.</w:t>
      </w:r>
      <w:r>
        <w:tab/>
        <w:t>Sijoituspalveluyritysten tämän asetuksen perusteella toimittamiin tietoihin on liitettävä seuraavat tiedot:</w:t>
      </w:r>
    </w:p>
    <w:p w14:paraId="4F71CAC7" w14:textId="77777777" w:rsidR="0017401A" w:rsidRDefault="007B30EC">
      <w:pPr>
        <w:pStyle w:val="Point1letter"/>
        <w:numPr>
          <w:ilvl w:val="0"/>
          <w:numId w:val="0"/>
        </w:numPr>
        <w:ind w:left="567" w:hanging="567"/>
      </w:pPr>
      <w:r>
        <w:t>a)</w:t>
      </w:r>
      <w:r>
        <w:tab/>
        <w:t>raportoinnin viitepäivämäärä ja viitekausi;</w:t>
      </w:r>
    </w:p>
    <w:p w14:paraId="5B7D2535" w14:textId="77777777" w:rsidR="0017401A" w:rsidRDefault="007B30EC">
      <w:pPr>
        <w:pStyle w:val="Point1letter"/>
        <w:numPr>
          <w:ilvl w:val="0"/>
          <w:numId w:val="0"/>
        </w:numPr>
        <w:ind w:left="567" w:hanging="567"/>
      </w:pPr>
      <w:r>
        <w:t>b)</w:t>
      </w:r>
      <w:r>
        <w:tab/>
        <w:t>raportointivaluutta;</w:t>
      </w:r>
    </w:p>
    <w:p w14:paraId="6B095830" w14:textId="77777777" w:rsidR="0017401A" w:rsidRDefault="007B30EC">
      <w:pPr>
        <w:pStyle w:val="Point1letter"/>
        <w:numPr>
          <w:ilvl w:val="0"/>
          <w:numId w:val="0"/>
        </w:numPr>
        <w:ind w:left="567" w:hanging="567"/>
      </w:pPr>
      <w:r>
        <w:t>c)</w:t>
      </w:r>
      <w:r>
        <w:tab/>
        <w:t>tilinpäätösstandardi;</w:t>
      </w:r>
    </w:p>
    <w:p w14:paraId="608925E4" w14:textId="77777777" w:rsidR="0017401A" w:rsidRDefault="007B30EC">
      <w:pPr>
        <w:pStyle w:val="Point1letter"/>
        <w:numPr>
          <w:ilvl w:val="0"/>
          <w:numId w:val="0"/>
        </w:numPr>
        <w:ind w:left="567" w:hanging="567"/>
      </w:pPr>
      <w:r>
        <w:t>d)</w:t>
      </w:r>
      <w:r>
        <w:tab/>
        <w:t>raportoivan laitoksen oikeushenkilötunnus (LEI);</w:t>
      </w:r>
    </w:p>
    <w:p w14:paraId="087F90CB" w14:textId="77777777" w:rsidR="0017401A" w:rsidRDefault="007B30EC">
      <w:pPr>
        <w:pStyle w:val="Point1letter"/>
        <w:numPr>
          <w:ilvl w:val="0"/>
          <w:numId w:val="0"/>
        </w:numPr>
        <w:ind w:left="567" w:hanging="567"/>
      </w:pPr>
      <w:r>
        <w:t>e)</w:t>
      </w:r>
      <w:r>
        <w:tab/>
        <w:t>konsolidoinnin laajuus.</w:t>
      </w:r>
    </w:p>
    <w:p w14:paraId="20E283FB" w14:textId="77777777" w:rsidR="0017401A" w:rsidRDefault="007B30EC">
      <w:pPr>
        <w:pStyle w:val="ChapterTitle"/>
      </w:pPr>
      <w:r>
        <w:lastRenderedPageBreak/>
        <w:t>II LUKU</w:t>
      </w:r>
    </w:p>
    <w:p w14:paraId="2CEDEB8F" w14:textId="77777777" w:rsidR="0017401A" w:rsidRDefault="007B30EC">
      <w:pPr>
        <w:pStyle w:val="ChapterTitle"/>
      </w:pPr>
      <w:r>
        <w:t>JULKISTAMINEN SIJOITUSPALVELUYRITYSTEN TOIMESTA</w:t>
      </w:r>
    </w:p>
    <w:p w14:paraId="3E728958" w14:textId="77777777" w:rsidR="0017401A" w:rsidRDefault="007B30EC">
      <w:pPr>
        <w:pStyle w:val="Titrearticle"/>
      </w:pPr>
      <w:r>
        <w:t>9 artikla</w:t>
      </w:r>
    </w:p>
    <w:p w14:paraId="4B0BB7E1" w14:textId="77777777" w:rsidR="0017401A" w:rsidRDefault="007B30EC">
      <w:pPr>
        <w:pStyle w:val="Titrearticle"/>
        <w:spacing w:before="120"/>
        <w:rPr>
          <w:b/>
          <w:i w:val="0"/>
        </w:rPr>
      </w:pPr>
      <w:r>
        <w:rPr>
          <w:b/>
          <w:i w:val="0"/>
        </w:rPr>
        <w:t>Julkistamisen periaatteet</w:t>
      </w:r>
    </w:p>
    <w:p w14:paraId="1B9A1473" w14:textId="77777777" w:rsidR="0017401A" w:rsidRDefault="007B30EC">
      <w:pPr>
        <w:pStyle w:val="NumPar1"/>
        <w:numPr>
          <w:ilvl w:val="0"/>
          <w:numId w:val="0"/>
        </w:numPr>
      </w:pPr>
      <w:r>
        <w:t>1.</w:t>
      </w:r>
      <w:r>
        <w:tab/>
        <w:t>Tämän asetuksen mukaisesti julkistettaviin tietoihin sovelletaan seuraavia periaatteita:</w:t>
      </w:r>
    </w:p>
    <w:p w14:paraId="010F2DDD" w14:textId="77777777" w:rsidR="0017401A" w:rsidRDefault="007B30EC">
      <w:pPr>
        <w:pStyle w:val="Point1letter"/>
        <w:numPr>
          <w:ilvl w:val="0"/>
          <w:numId w:val="0"/>
        </w:numPr>
        <w:ind w:left="567" w:hanging="567"/>
      </w:pPr>
      <w:r>
        <w:t>a)</w:t>
      </w:r>
      <w:r>
        <w:tab/>
        <w:t>julkistettaviin tietoihin sovelletaan samantasoista sisäistä todennusta kuin sijoituspalveluyrityksen tilinpäätökseen sisältyvään johdon raportointiin;</w:t>
      </w:r>
    </w:p>
    <w:p w14:paraId="3E5F1F99" w14:textId="77777777" w:rsidR="0017401A" w:rsidRDefault="007B30EC">
      <w:pPr>
        <w:pStyle w:val="Point1letter"/>
        <w:numPr>
          <w:ilvl w:val="0"/>
          <w:numId w:val="0"/>
        </w:numPr>
        <w:ind w:left="567" w:hanging="567"/>
      </w:pPr>
      <w:r>
        <w:t>b)</w:t>
      </w:r>
      <w:r>
        <w:tab/>
        <w:t>julkistettavien tietojen on oltava selkeitä ja ne on esitettävä tietojen käyttäjille ymmärrettävässä muodossa, minkä lisäksi ne on välitettävä helposti saatavilla olevalla välineellä; tärkeät viestit on korostettava ja niiden on oltava helposti löydettävissä; monimutkaiset seikat on selitettävä yksinkertaisella kielellä; asiaan liittyvät tiedot on esitettävä yhdessä;</w:t>
      </w:r>
    </w:p>
    <w:p w14:paraId="624BFFC8" w14:textId="77777777" w:rsidR="0017401A" w:rsidRDefault="007B30EC">
      <w:pPr>
        <w:pStyle w:val="Point1letter"/>
        <w:numPr>
          <w:ilvl w:val="0"/>
          <w:numId w:val="0"/>
        </w:numPr>
        <w:ind w:left="567" w:hanging="567"/>
      </w:pPr>
      <w:r>
        <w:t>c)</w:t>
      </w:r>
      <w:r>
        <w:tab/>
        <w:t>julkistettavien tietojen on oltava ajan mittaan tarkoituksenmukaisia ja johdonmukaisia, jotta tietojen käyttäjät voivat vertailla eri julkistamiskausien tietoja;</w:t>
      </w:r>
    </w:p>
    <w:p w14:paraId="18A080BD" w14:textId="77777777" w:rsidR="0017401A" w:rsidRDefault="007B30EC">
      <w:pPr>
        <w:pStyle w:val="Point1letter"/>
        <w:numPr>
          <w:ilvl w:val="0"/>
          <w:numId w:val="0"/>
        </w:numPr>
        <w:ind w:left="567" w:hanging="567"/>
      </w:pPr>
      <w:r>
        <w:t>d)</w:t>
      </w:r>
      <w:r>
        <w:tab/>
        <w:t>määrällisten tietojen mukana on oltava laadulliset selitykset ja muut täydentävät tiedot, jotka voivat olla tarpeen, jotta kyseisten tietojen käyttäjät voivat ymmärtää tiedot, ja niissä on erityisesti otettava huomioon mahdolliset merkittävät muutokset julkistettavissa tiedoissa verrattuna edellisillä kerroilla julkistettuihin tietoihin.</w:t>
      </w:r>
    </w:p>
    <w:p w14:paraId="60778768" w14:textId="77777777" w:rsidR="0017401A" w:rsidRDefault="007B30EC">
      <w:pPr>
        <w:pStyle w:val="Titrearticle"/>
      </w:pPr>
      <w:r>
        <w:t>10 artikla</w:t>
      </w:r>
    </w:p>
    <w:p w14:paraId="64929C30" w14:textId="77777777" w:rsidR="0017401A" w:rsidRDefault="007B30EC">
      <w:pPr>
        <w:pStyle w:val="Titrearticle"/>
        <w:spacing w:before="120"/>
        <w:rPr>
          <w:b/>
          <w:i w:val="0"/>
        </w:rPr>
      </w:pPr>
      <w:r>
        <w:rPr>
          <w:b/>
          <w:i w:val="0"/>
        </w:rPr>
        <w:t>Sijoituspalveluyritysten omien varojen julkistaminen</w:t>
      </w:r>
    </w:p>
    <w:p w14:paraId="677EBD7E" w14:textId="77777777" w:rsidR="0017401A" w:rsidRDefault="007B30EC">
      <w:r>
        <w:t>Sijoituspalveluyritysten on julkistettava asetuksen (EU) 2019/2033 49 artiklan 1 kohdassa edellytetyt omia varoja koskevat tiedot käyttäen tämän asetuksen liitteessä VI olevia malleja ja noudattaen tämän asetuksen liitteessä VII annettuja asiaankuuluvia ohjeita.</w:t>
      </w:r>
    </w:p>
    <w:p w14:paraId="043885BC" w14:textId="77777777" w:rsidR="0017401A" w:rsidRDefault="007B30EC">
      <w:pPr>
        <w:pStyle w:val="Titrearticle"/>
      </w:pPr>
      <w:r>
        <w:t>11 artikla</w:t>
      </w:r>
    </w:p>
    <w:p w14:paraId="076F338C" w14:textId="77777777" w:rsidR="0017401A" w:rsidRDefault="007B30EC">
      <w:pPr>
        <w:pStyle w:val="Titrearticle"/>
        <w:spacing w:before="120"/>
        <w:rPr>
          <w:b/>
          <w:i w:val="0"/>
        </w:rPr>
      </w:pPr>
      <w:r>
        <w:rPr>
          <w:b/>
          <w:i w:val="0"/>
        </w:rPr>
        <w:t>Yleiset julkistamissäännökset</w:t>
      </w:r>
    </w:p>
    <w:p w14:paraId="501948D1" w14:textId="77777777" w:rsidR="0017401A" w:rsidRDefault="007B30EC">
      <w:pPr>
        <w:pStyle w:val="NumPar1"/>
        <w:numPr>
          <w:ilvl w:val="0"/>
          <w:numId w:val="0"/>
        </w:numPr>
        <w:tabs>
          <w:tab w:val="left" w:pos="567"/>
        </w:tabs>
      </w:pPr>
      <w:r>
        <w:t>1.</w:t>
      </w:r>
      <w:r>
        <w:tab/>
        <w:t>Sijoituspalveluyritysten on tämän asetuksen 10 artiklassa tarkoitettuja tietoja julkistaessaan varmistettava, että numeeriset arvot ilmoitetaan tosiasiallisina tietoina seuraavasti:</w:t>
      </w:r>
    </w:p>
    <w:p w14:paraId="750B5449" w14:textId="77777777" w:rsidR="0017401A" w:rsidRDefault="007B30EC">
      <w:pPr>
        <w:pStyle w:val="Point1letter"/>
        <w:numPr>
          <w:ilvl w:val="0"/>
          <w:numId w:val="0"/>
        </w:numPr>
        <w:ind w:left="567" w:hanging="567"/>
      </w:pPr>
      <w:r>
        <w:t>a)</w:t>
      </w:r>
      <w:r>
        <w:tab/>
        <w:t>määrälliset rahamääräiset tiedot on ilmoitettava tuhansien yksiköiden vähimmäistarkkuudella;</w:t>
      </w:r>
    </w:p>
    <w:p w14:paraId="4EAD76F8" w14:textId="77777777" w:rsidR="0017401A" w:rsidRDefault="007B30EC">
      <w:pPr>
        <w:pStyle w:val="Point1letter"/>
        <w:numPr>
          <w:ilvl w:val="0"/>
          <w:numId w:val="0"/>
        </w:numPr>
        <w:ind w:left="567" w:hanging="567"/>
      </w:pPr>
      <w:r>
        <w:t>b)</w:t>
      </w:r>
      <w:r>
        <w:tab/>
        <w:t>luokkaan ”prosenttiosuus” (percentage) kuuluvat määrälliset tiedot on ilmoitettava yksiköinä, joiden vähimmäistarkkuus on neljä desimaalia.</w:t>
      </w:r>
    </w:p>
    <w:p w14:paraId="6FB9EB12" w14:textId="77777777" w:rsidR="0017401A" w:rsidRDefault="007B30EC">
      <w:pPr>
        <w:pStyle w:val="NumPar1"/>
        <w:numPr>
          <w:ilvl w:val="0"/>
          <w:numId w:val="0"/>
        </w:numPr>
        <w:tabs>
          <w:tab w:val="left" w:pos="567"/>
        </w:tabs>
      </w:pPr>
      <w:r>
        <w:t>2.</w:t>
      </w:r>
      <w:r>
        <w:tab/>
        <w:t>Sijoituspalveluyritysten on tämän asetuksen 10 artiklassa tarkoitettuja tietoja julkistaessaan varmistettava, että tiedot liittyvät kaikkiin seuraaviin tietoihin:</w:t>
      </w:r>
    </w:p>
    <w:p w14:paraId="4A7C0FB8" w14:textId="77777777" w:rsidR="0017401A" w:rsidRDefault="007B30EC">
      <w:pPr>
        <w:pStyle w:val="Point1letter"/>
        <w:numPr>
          <w:ilvl w:val="0"/>
          <w:numId w:val="0"/>
        </w:numPr>
        <w:ind w:left="567" w:hanging="567"/>
      </w:pPr>
      <w:r>
        <w:t>a)</w:t>
      </w:r>
      <w:r>
        <w:tab/>
        <w:t>julkistamisen viitepäivämäärä ja viitejakso;</w:t>
      </w:r>
    </w:p>
    <w:p w14:paraId="1473DB31" w14:textId="77777777" w:rsidR="0017401A" w:rsidRDefault="007B30EC">
      <w:pPr>
        <w:pStyle w:val="Point1letter"/>
        <w:numPr>
          <w:ilvl w:val="0"/>
          <w:numId w:val="0"/>
        </w:numPr>
        <w:ind w:left="567" w:hanging="567"/>
      </w:pPr>
      <w:r>
        <w:t>b)</w:t>
      </w:r>
      <w:r>
        <w:tab/>
        <w:t>julkistamisvaluutta;</w:t>
      </w:r>
    </w:p>
    <w:p w14:paraId="3BAC9602" w14:textId="77777777" w:rsidR="0017401A" w:rsidRDefault="007B30EC">
      <w:pPr>
        <w:pStyle w:val="Point1letter"/>
        <w:numPr>
          <w:ilvl w:val="0"/>
          <w:numId w:val="0"/>
        </w:numPr>
        <w:ind w:left="567" w:hanging="567"/>
      </w:pPr>
      <w:r>
        <w:t>c)</w:t>
      </w:r>
      <w:r>
        <w:tab/>
        <w:t>tiedot julkistavan laitoksen nimi ja tarvittaessa sen oikeushenkilötunnus (LEI);</w:t>
      </w:r>
    </w:p>
    <w:p w14:paraId="67038ED6" w14:textId="77777777" w:rsidR="0017401A" w:rsidRDefault="007B30EC">
      <w:pPr>
        <w:pStyle w:val="Point1letter"/>
        <w:numPr>
          <w:ilvl w:val="0"/>
          <w:numId w:val="0"/>
        </w:numPr>
        <w:ind w:left="567" w:hanging="567"/>
      </w:pPr>
      <w:r>
        <w:lastRenderedPageBreak/>
        <w:t>d)</w:t>
      </w:r>
      <w:r>
        <w:tab/>
        <w:t>tarvittaessa tilinpäätösstandardi;</w:t>
      </w:r>
    </w:p>
    <w:p w14:paraId="0E8B85DB" w14:textId="77777777" w:rsidR="0017401A" w:rsidRDefault="007B30EC">
      <w:pPr>
        <w:pStyle w:val="Point1letter"/>
        <w:numPr>
          <w:ilvl w:val="0"/>
          <w:numId w:val="0"/>
        </w:numPr>
        <w:ind w:left="567" w:hanging="567"/>
      </w:pPr>
      <w:r>
        <w:t>e)</w:t>
      </w:r>
      <w:r>
        <w:tab/>
        <w:t>tarvittaessa konsolidoinnin laajuus.</w:t>
      </w:r>
    </w:p>
    <w:p w14:paraId="199ADB6F" w14:textId="77777777" w:rsidR="0017401A" w:rsidRDefault="007B30EC">
      <w:pPr>
        <w:pStyle w:val="ChapterTitle"/>
      </w:pPr>
      <w:r>
        <w:t>III LUKU</w:t>
      </w:r>
    </w:p>
    <w:p w14:paraId="64E0DFA1" w14:textId="77777777" w:rsidR="0017401A" w:rsidRDefault="007B30EC">
      <w:pPr>
        <w:pStyle w:val="ChapterTitle"/>
      </w:pPr>
      <w:r>
        <w:t>LOPPUSÄÄNNÖKSET</w:t>
      </w:r>
    </w:p>
    <w:p w14:paraId="21F00712" w14:textId="77777777" w:rsidR="0017401A" w:rsidRDefault="007B30EC">
      <w:pPr>
        <w:pStyle w:val="Titrearticle"/>
        <w:spacing w:before="120"/>
      </w:pPr>
      <w:r>
        <w:t>12 artikla</w:t>
      </w:r>
    </w:p>
    <w:p w14:paraId="104C0061" w14:textId="0F5F9C24" w:rsidR="0017401A" w:rsidRDefault="007B30EC">
      <w:pPr>
        <w:pStyle w:val="Titrearticle"/>
        <w:spacing w:before="120"/>
        <w:rPr>
          <w:b/>
          <w:i w:val="0"/>
        </w:rPr>
      </w:pPr>
      <w:r>
        <w:rPr>
          <w:b/>
          <w:i w:val="0"/>
        </w:rPr>
        <w:t>Voimaantulo</w:t>
      </w:r>
    </w:p>
    <w:p w14:paraId="4EB73D9D" w14:textId="77777777" w:rsidR="0017401A" w:rsidRDefault="007B30EC">
      <w:r>
        <w:t xml:space="preserve">Tämä asetus tulee voimaan kahdentenakymmenentenä päivänä sen jälkeen, kun se on julkaistu </w:t>
      </w:r>
      <w:r>
        <w:rPr>
          <w:i/>
        </w:rPr>
        <w:t>Euroopan unionin virallisessa lehdessä</w:t>
      </w:r>
      <w:r>
        <w:t>.</w:t>
      </w:r>
    </w:p>
    <w:p w14:paraId="66C38899" w14:textId="77777777" w:rsidR="0017401A" w:rsidRDefault="007B30EC">
      <w:pPr>
        <w:pStyle w:val="Applicationdirecte"/>
      </w:pPr>
      <w:r>
        <w:t>Tämä asetus on kaikilta osiltaan velvoittava, ja sitä sovelletaan sellaisenaan kaikissa jäsenvaltioissa.</w:t>
      </w:r>
    </w:p>
    <w:p w14:paraId="765C4A3E" w14:textId="77777777" w:rsidR="0017401A" w:rsidRDefault="007B30EC">
      <w:pPr>
        <w:pStyle w:val="Fait"/>
      </w:pPr>
      <w:r>
        <w:t>Tehty Brysselissä</w:t>
      </w:r>
      <w:r w:rsidR="009C5AEA">
        <w:t xml:space="preserve"> 6 päivänä joulukuuta 2021.</w:t>
      </w:r>
    </w:p>
    <w:p w14:paraId="4D99259B" w14:textId="77777777" w:rsidR="0017401A" w:rsidRDefault="007B30EC">
      <w:pPr>
        <w:pStyle w:val="Institutionquisigne"/>
      </w:pPr>
      <w:r>
        <w:tab/>
        <w:t>Komission puolesta</w:t>
      </w:r>
    </w:p>
    <w:p w14:paraId="07449988" w14:textId="77777777" w:rsidR="0017401A" w:rsidRDefault="007B30EC">
      <w:pPr>
        <w:pStyle w:val="Personnequisigne"/>
      </w:pPr>
      <w:r>
        <w:tab/>
        <w:t>Puheenjohtaja</w:t>
      </w:r>
    </w:p>
    <w:p w14:paraId="6DC2B14C" w14:textId="77777777" w:rsidR="0017401A" w:rsidRPr="009C5AEA" w:rsidRDefault="007B30EC">
      <w:pPr>
        <w:pStyle w:val="Personnequisigne"/>
        <w:rPr>
          <w:i w:val="0"/>
        </w:rPr>
      </w:pPr>
      <w:r>
        <w:tab/>
      </w:r>
      <w:r w:rsidRPr="009C5AEA">
        <w:rPr>
          <w:i w:val="0"/>
        </w:rPr>
        <w:t xml:space="preserve">Ursula </w:t>
      </w:r>
      <w:r w:rsidR="009C5AEA" w:rsidRPr="009C5AEA">
        <w:rPr>
          <w:i w:val="0"/>
        </w:rPr>
        <w:t>VON DER LEYEN</w:t>
      </w:r>
    </w:p>
    <w:sectPr w:rsidR="0017401A" w:rsidRPr="009C5AEA">
      <w:headerReference w:type="default" r:id="rId8"/>
      <w:footerReference w:type="default" r:id="rId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9633F" w14:textId="77777777" w:rsidR="000617C7" w:rsidRDefault="000617C7">
      <w:pPr>
        <w:spacing w:before="0" w:after="0"/>
      </w:pPr>
      <w:r>
        <w:separator/>
      </w:r>
    </w:p>
  </w:endnote>
  <w:endnote w:type="continuationSeparator" w:id="0">
    <w:p w14:paraId="4E116721" w14:textId="77777777" w:rsidR="000617C7" w:rsidRDefault="000617C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8CAA6" w14:textId="77777777" w:rsidR="0017401A" w:rsidRDefault="007B30EC">
    <w:pPr>
      <w:pStyle w:val="Footer"/>
      <w:tabs>
        <w:tab w:val="clear" w:pos="4535"/>
        <w:tab w:val="clear" w:pos="9921"/>
      </w:tabs>
      <w:ind w:left="0" w:right="0"/>
    </w:pPr>
    <w:r>
      <w:t>FI - Cleaned document</w:t>
    </w:r>
    <w:r>
      <w:tab/>
    </w:r>
    <w:r>
      <w:fldChar w:fldCharType="begin"/>
    </w:r>
    <w:r>
      <w:instrText xml:space="preserve"> PAGE \* MERGEFORMAT </w:instrText>
    </w:r>
    <w:r>
      <w:fldChar w:fldCharType="separate"/>
    </w:r>
    <w:r w:rsidR="00B701B3">
      <w:rPr>
        <w:noProof/>
      </w:rPr>
      <w:t>1</w:t>
    </w:r>
    <w:r>
      <w:fldChar w:fldCharType="end"/>
    </w:r>
    <w:r>
      <w:t>/</w:t>
    </w:r>
    <w:fldSimple w:instr=" NUMPAGES \* MERGEFORMAT ">
      <w:r w:rsidR="00B701B3">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8A7F8" w14:textId="77777777" w:rsidR="000617C7" w:rsidRDefault="000617C7">
      <w:pPr>
        <w:spacing w:before="0" w:after="0"/>
      </w:pPr>
      <w:r>
        <w:separator/>
      </w:r>
    </w:p>
  </w:footnote>
  <w:footnote w:type="continuationSeparator" w:id="0">
    <w:p w14:paraId="737F00F5" w14:textId="77777777" w:rsidR="000617C7" w:rsidRDefault="000617C7">
      <w:pPr>
        <w:spacing w:before="0" w:after="0"/>
      </w:pPr>
      <w:r>
        <w:continuationSeparator/>
      </w:r>
    </w:p>
  </w:footnote>
  <w:footnote w:id="1">
    <w:p w14:paraId="19A837A2" w14:textId="77777777" w:rsidR="0017401A" w:rsidRDefault="007B30EC">
      <w:pPr>
        <w:pStyle w:val="FootnoteText"/>
      </w:pPr>
      <w:r>
        <w:rPr>
          <w:rStyle w:val="FootnoteReference"/>
        </w:rPr>
        <w:footnoteRef/>
      </w:r>
      <w:r>
        <w:tab/>
        <w:t>EUVL L 314, 5.12.2019, s. 1.</w:t>
      </w:r>
    </w:p>
  </w:footnote>
  <w:footnote w:id="2">
    <w:p w14:paraId="656B1458" w14:textId="77777777" w:rsidR="0017401A" w:rsidRDefault="007B30EC">
      <w:pPr>
        <w:pStyle w:val="FootnoteText"/>
      </w:pPr>
      <w:r>
        <w:rPr>
          <w:rStyle w:val="FootnoteReference"/>
        </w:rPr>
        <w:footnoteRef/>
      </w:r>
      <w:r>
        <w:tab/>
        <w:t>Euroopan parlamentin ja neuvoston asetus (EU) N:o 1093/2010, annettu 24 päivänä marraskuuta 2010, Euroopan valvontaviranomaisen (Euroopan pankkiviranomainen) perustamisesta sekä päätöksen N:o 716/2009/EY muuttamisesta ja komission päätöksen 2009/78/EY kumoamisesta (EUVL L 331, 15.12.2010, s. 12).</w:t>
      </w:r>
    </w:p>
  </w:footnote>
  <w:footnote w:id="3">
    <w:p w14:paraId="57F873A5" w14:textId="77777777" w:rsidR="009C5AEA" w:rsidRDefault="009C5AEA">
      <w:pPr>
        <w:pStyle w:val="FootnoteText"/>
      </w:pPr>
      <w:r>
        <w:rPr>
          <w:rStyle w:val="FootnoteReference"/>
        </w:rPr>
        <w:footnoteRef/>
      </w:r>
      <w:r>
        <w:t xml:space="preserve"> </w:t>
      </w:r>
      <w:r>
        <w:tab/>
      </w:r>
      <w:r w:rsidRPr="009C5AEA">
        <w:t>Komission täytäntöönpanoasetus (EU) 2021/451, annettu 17 päivänä joulukuuta 2020, teknisistä täytäntöönpanostandardeista Euroopan parlamentin ja neuvoston asetuksen (EU) N:o 575/2013 soveltamiseksi laitosten vakavaraisuusvalvontaan liittyvän raportoinnin osalta ja täytäntöönpanoasetuksen (EU) N:o 680/2014 kumoamisesta</w:t>
      </w:r>
      <w:r>
        <w:t xml:space="preserve"> (</w:t>
      </w:r>
      <w:r w:rsidRPr="009C5AEA">
        <w:t>EUVL L 97, 19.3.2021, s. 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C60E" w14:textId="2EF7D0F0" w:rsidR="0017401A" w:rsidRDefault="00525D14">
    <w:pPr>
      <w:pStyle w:val="Header"/>
    </w:pPr>
    <w:r>
      <w:rPr>
        <w:noProof/>
      </w:rPr>
      <mc:AlternateContent>
        <mc:Choice Requires="wps">
          <w:drawing>
            <wp:anchor distT="0" distB="0" distL="114300" distR="114300" simplePos="0" relativeHeight="251659264" behindDoc="0" locked="0" layoutInCell="0" allowOverlap="1" wp14:anchorId="74174C6B" wp14:editId="054D79FC">
              <wp:simplePos x="0" y="0"/>
              <wp:positionH relativeFrom="page">
                <wp:posOffset>0</wp:posOffset>
              </wp:positionH>
              <wp:positionV relativeFrom="page">
                <wp:posOffset>190500</wp:posOffset>
              </wp:positionV>
              <wp:extent cx="7560945" cy="273050"/>
              <wp:effectExtent l="0" t="0" r="0" b="12700"/>
              <wp:wrapNone/>
              <wp:docPr id="1" name="MSIPCMfe7243dd8116967c8939b8d4"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B5365D4" w14:textId="365677F5" w:rsidR="00525D14" w:rsidRPr="00525D14" w:rsidRDefault="00525D14" w:rsidP="00525D14">
                          <w:pPr>
                            <w:spacing w:before="0" w:after="0"/>
                            <w:jc w:val="left"/>
                            <w:rPr>
                              <w:rFonts w:ascii="Calibri" w:hAnsi="Calibri" w:cs="Calibri"/>
                              <w:color w:val="000000"/>
                            </w:rPr>
                          </w:pPr>
                          <w:r w:rsidRPr="00525D14">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74174C6B" id="_x0000_t202" coordsize="21600,21600" o:spt="202" path="m,l,21600r21600,l21600,xe">
              <v:stroke joinstyle="miter"/>
              <v:path gradientshapeok="t" o:connecttype="rect"/>
            </v:shapetype>
            <v:shape id="MSIPCMfe7243dd8116967c8939b8d4"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" o:allowincell="f" filled="f" stroked="f" strokeweight=".5pt">
              <v:textbox inset="20pt,0,,0">
                <w:txbxContent>
                  <w:p w14:paraId="6B5365D4" w14:textId="365677F5" w:rsidR="00525D14" w:rsidRPr="00525D14" w:rsidRDefault="00525D14" w:rsidP="00525D14">
                    <w:pPr>
                      <w:spacing w:before="0" w:after="0"/>
                      <w:jc w:val="left"/>
                      <w:rPr>
                        <w:rFonts w:ascii="Calibri" w:hAnsi="Calibri" w:cs="Calibri"/>
                        <w:color w:val="000000"/>
                      </w:rPr>
                    </w:pPr>
                    <w:r w:rsidRPr="00525D14">
                      <w:rPr>
                        <w:rFonts w:ascii="Calibri" w:hAnsi="Calibri" w:cs="Calibri"/>
                        <w:color w:val="000000"/>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
  </w:num>
  <w:num w:numId="21">
    <w:abstractNumId w:val="1"/>
  </w:num>
  <w:num w:numId="22">
    <w:abstractNumId w:val="0"/>
  </w:num>
  <w:num w:numId="23">
    <w:abstractNumId w:val="21"/>
    <w:lvlOverride w:ilvl="0">
      <w:startOverride w:val="1"/>
    </w:lvlOverride>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activeWritingStyle w:appName="MSWord" w:lang="fi-FI" w:vendorID="64" w:dllVersion="6" w:nlCheck="1" w:checkStyle="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8 11:06:37"/>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4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Yellow"/>
    <w:docVar w:name="DQCVersion" w:val="3"/>
    <w:docVar w:name="DQCWithWarnings" w:val="0"/>
    <w:docVar w:name="LW_COVERPAGE_EXISTS" w:val="True"/>
    <w:docVar w:name="LW_COVERPAGE_GUID" w:val="002DC591-77CE-4374-9B24-4013F97C2B20"/>
    <w:docVar w:name="LW_COVERPAGE_TYPE" w:val="1"/>
    <w:docVar w:name="LW_CROSSREFERENCE" w:val="&lt;UNUSED&gt;"/>
    <w:docVar w:name="LW_DATE.ADOPT.CP" w:val="annettu XXX,"/>
    <w:docVar w:name="LW_DATE.ADOPT.CP_DATEFORMAT" w:val="annettu %DATE%,"/>
    <w:docVar w:name="LW_DATE.ADOPT.CP_ISODATE" w:val="&lt;EMPTY&gt;"/>
    <w:docVar w:name="LW_DocType" w:val="COM"/>
    <w:docVar w:name="LW_EMISSION" w:val="&lt;EMPTY&gt;"/>
    <w:docVar w:name="LW_EMISSION_ISODATE" w:val="&lt;EMPTY&gt;"/>
    <w:docVar w:name="LW_EMISSION_LOCATION" w:val="BRX"/>
    <w:docVar w:name="LW_EMISSION_PREFIX" w:val="Bryssel "/>
    <w:docVar w:name="LW_EMISSION_SUFFIX" w:val=" "/>
    <w:docVar w:name="LW_ID_DOCMODEL" w:val="SJ-004"/>
    <w:docVar w:name="LW_ID_DOCSIGNATURE" w:val="SJ-004"/>
    <w:docVar w:name="LW_ID_DOCSTRUCTURE" w:val="COM/AA"/>
    <w:docVar w:name="LW_ID_DOCTYPE" w:val="SJ-004"/>
    <w:docVar w:name="LW_INTERETEEE.CP" w:val="(ETA:n kannalta merkityksellinen teksti)"/>
    <w:docVar w:name="LW_LANGUE" w:val="FI"/>
    <w:docVar w:name="LW_LANGUESFAISANTFOI.CP" w:val="&lt;UNUSED&gt;"/>
    <w:docVar w:name="LW_LEVEL_OF_SENSITIVITY" w:val="Standard treatment"/>
    <w:docVar w:name="LW_NOM.INST" w:val="EUROOPAN KOMISSIO"/>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teknisistä täytäntöönpanostandardeista Euroopan parlamentin ja neuvoston asetuksen (EU) N:o 2019/2033 soveltamiseksi sijoituspalveluyritysten vakavaraisuusvalvontaan liittyvän raportoinnin ja tietojen julkistamisen osalta"/>
    <w:docVar w:name="LW_TYPE.DOC.CP" w:val="KOMISSION TÄYTÄNTÖÖNPANOASETUS (EU) \u8230?/\u8230?,"/>
  </w:docVars>
  <w:rsids>
    <w:rsidRoot w:val="0017401A"/>
    <w:rsid w:val="000617C7"/>
    <w:rsid w:val="0017401A"/>
    <w:rsid w:val="003B4BFC"/>
    <w:rsid w:val="00525D14"/>
    <w:rsid w:val="007B30EC"/>
    <w:rsid w:val="009C5AEA"/>
    <w:rsid w:val="00B70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F7A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9"/>
      </w:numPr>
      <w:contextualSpacing/>
    </w:pPr>
  </w:style>
  <w:style w:type="paragraph" w:styleId="ListNumber2">
    <w:name w:val="List Number 2"/>
    <w:basedOn w:val="Normal"/>
    <w:uiPriority w:val="99"/>
    <w:semiHidden/>
    <w:unhideWhenUsed/>
    <w:pPr>
      <w:numPr>
        <w:numId w:val="20"/>
      </w:numPr>
      <w:contextualSpacing/>
    </w:pPr>
  </w:style>
  <w:style w:type="paragraph" w:styleId="ListNumber3">
    <w:name w:val="List Number 3"/>
    <w:basedOn w:val="Normal"/>
    <w:uiPriority w:val="99"/>
    <w:semiHidden/>
    <w:unhideWhenUsed/>
    <w:pPr>
      <w:numPr>
        <w:numId w:val="21"/>
      </w:numPr>
      <w:contextualSpacing/>
    </w:pPr>
  </w:style>
  <w:style w:type="paragraph" w:styleId="ListNumber4">
    <w:name w:val="List Number 4"/>
    <w:basedOn w:val="Normal"/>
    <w:uiPriority w:val="99"/>
    <w:semiHidden/>
    <w:unhideWhenUsed/>
    <w:pPr>
      <w:numPr>
        <w:numId w:val="22"/>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fi-FI"/>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fi-FI"/>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fi-FI"/>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C6060-E832-44A6-A274-A159B35C6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2372</Words>
  <Characters>13521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2021-11-25T14:54:00Z</dcterms:created>
  <dcterms:modified xsi:type="dcterms:W3CDTF">2022-01-17T14:37:00Z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Yellow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2022-01-17T14:37:42Z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5b0f2d51-03b4-4f1f-95dd-44920a7d3308</vt:lpwstr>
  </property>
  <property fmtid="{D5CDD505-2E9C-101B-9397-08002B2CF9AE}" pid="15" name="MSIP_Label_5c7eb9de-735b-4a68-8fe4-c9c62709b012_ContentBits">
    <vt:lpwstr>1</vt:lpwstr>
  </property>
</Properties>
</file>