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864B0" w14:textId="77777777" w:rsidR="003365B5" w:rsidRPr="00FE338D" w:rsidRDefault="00D3098A">
      <w:pPr>
        <w:pStyle w:val="Typedudocument"/>
      </w:pPr>
      <w:r w:rsidRPr="00FE338D">
        <w:t>Kommissionens gennemførelsesforordning (EU) 2021/…</w:t>
      </w:r>
    </w:p>
    <w:p w14:paraId="307B7979" w14:textId="77777777" w:rsidR="003365B5" w:rsidRPr="00FE338D" w:rsidRDefault="00D3098A">
      <w:pPr>
        <w:pStyle w:val="Datedadoption"/>
      </w:pPr>
      <w:r w:rsidRPr="00FE338D">
        <w:t xml:space="preserve">af </w:t>
      </w:r>
      <w:r w:rsidRPr="00FE338D">
        <w:rPr>
          <w:rStyle w:val="Marker2"/>
          <w:color w:val="auto"/>
        </w:rPr>
        <w:t>6. december 2021</w:t>
      </w:r>
    </w:p>
    <w:p w14:paraId="0BEFE004" w14:textId="77777777" w:rsidR="003365B5" w:rsidRPr="00FE338D" w:rsidRDefault="00D3098A">
      <w:pPr>
        <w:pStyle w:val="Titreobjet"/>
      </w:pPr>
      <w:r w:rsidRPr="00FE338D">
        <w:t>om gennemførelsesmæssige tekniske standarder for anvendelsen af Europa-Parlamentets og Rådets forordning (EU) 2019/2033 for så vidt angår investeringsselskabers indberetning med henblik på tilsyn og offentliggørelse af oplysninger</w:t>
      </w:r>
    </w:p>
    <w:p w14:paraId="0C71B0C1" w14:textId="77777777" w:rsidR="003365B5" w:rsidRPr="00FE338D" w:rsidRDefault="00D3098A">
      <w:pPr>
        <w:pStyle w:val="IntrtEEE"/>
        <w:rPr>
          <w:b/>
        </w:rPr>
      </w:pPr>
      <w:r w:rsidRPr="00FE338D">
        <w:rPr>
          <w:b/>
        </w:rPr>
        <w:t>(EØS-relevant tekst)</w:t>
      </w:r>
    </w:p>
    <w:p w14:paraId="0096918B" w14:textId="77777777" w:rsidR="003365B5" w:rsidRPr="00FE338D" w:rsidRDefault="00D3098A">
      <w:pPr>
        <w:pStyle w:val="Institutionquiagit"/>
      </w:pPr>
      <w:r w:rsidRPr="00FE338D">
        <w:t>EUROPA-KOMMISSIONEN HAR —</w:t>
      </w:r>
    </w:p>
    <w:p w14:paraId="2B5A222B" w14:textId="77777777" w:rsidR="003365B5" w:rsidRPr="00FE338D" w:rsidRDefault="00D3098A">
      <w:r w:rsidRPr="00FE338D">
        <w:t>under henvisning til traktaten om Den Europæiske Unions funktionsmåde,</w:t>
      </w:r>
    </w:p>
    <w:p w14:paraId="3BDD8697" w14:textId="77777777" w:rsidR="003365B5" w:rsidRPr="00FE338D" w:rsidRDefault="00D3098A">
      <w:r w:rsidRPr="00FE338D">
        <w:t>under henvisning til Europa-Parlamentets og Rådets forordning (EU) 2019/2033 af 27. november 2019 om tilsynsmæssige krav til investeringsselskaber og om ændring af forordning (EU) nr. 1093/2010, (EU) nr. 575/2013, (EU) nr. 600/2014 og (EU) nr. 806/2014 </w:t>
      </w:r>
      <w:r w:rsidRPr="00FE338D">
        <w:rPr>
          <w:rStyle w:val="FootnoteReference"/>
        </w:rPr>
        <w:footnoteReference w:id="1"/>
      </w:r>
      <w:r w:rsidRPr="00FE338D">
        <w:t>, særlig artikel 49, stk. 2, og artikel 54, stk. 3, og</w:t>
      </w:r>
    </w:p>
    <w:p w14:paraId="3C813253" w14:textId="77777777" w:rsidR="003365B5" w:rsidRPr="00FE338D" w:rsidRDefault="00D3098A">
      <w:r w:rsidRPr="00FE338D">
        <w:t>ud fra følgende betragtninger:</w:t>
      </w:r>
    </w:p>
    <w:p w14:paraId="437465AE" w14:textId="77777777" w:rsidR="003365B5" w:rsidRPr="00FE338D" w:rsidRDefault="00D3098A">
      <w:pPr>
        <w:pStyle w:val="Considrant"/>
        <w:numPr>
          <w:ilvl w:val="0"/>
          <w:numId w:val="0"/>
        </w:numPr>
        <w:tabs>
          <w:tab w:val="left" w:pos="709"/>
        </w:tabs>
        <w:ind w:left="709" w:hanging="709"/>
      </w:pPr>
      <w:r w:rsidRPr="00FE338D">
        <w:t>(1)</w:t>
      </w:r>
      <w:r w:rsidRPr="00FE338D">
        <w:tab/>
        <w:t>De indberetningskrav for investeringsselskaber, der er fastsat i artikel 54 i forordning (EU) 2019/2033 bør skræddersyes til investeringsselskabernes virksomhed og stå i forhold til omfanget og kompleksiteten af forskellige investeringsselskaber. Disse krav bør navnlig tage hensyn til, at visse investeringsselskaber skal anses for at være små og ikke indbyrdes forbundne i henhold til betingelserne i artikel 12 i forordning (EU) 2019/2033.</w:t>
      </w:r>
    </w:p>
    <w:p w14:paraId="636DA1A5" w14:textId="77777777" w:rsidR="003365B5" w:rsidRPr="00FE338D" w:rsidRDefault="00D3098A">
      <w:pPr>
        <w:pStyle w:val="Considrant"/>
        <w:numPr>
          <w:ilvl w:val="0"/>
          <w:numId w:val="0"/>
        </w:numPr>
        <w:tabs>
          <w:tab w:val="left" w:pos="709"/>
        </w:tabs>
        <w:ind w:left="709" w:hanging="709"/>
      </w:pPr>
      <w:r w:rsidRPr="00FE338D">
        <w:t>(2)</w:t>
      </w:r>
      <w:r w:rsidRPr="00FE338D">
        <w:tab/>
        <w:t>I henhold til artikel 54, stk. 1, i forordning (EU) 2019/2033 skal små og ikke indbyrdes forbundne investeringsselskaber indberette oplysninger om størrelsen og sammensætningen af deres kapitalgrundlag, deres kapitalgrundlagskrav, deres kapitalgrundlagskravsberegninger og aktivitetsniveauet for så vidt angår betingelserne i artikel 12, stk. 1, i forordning (EU) 2019/2033. Små og ikke indbyrdes forbundne selskaber er således ikke forpligtet til at indberette med samme detaljeringsgrad som andre investeringsselskaber, der er omfattet af forordning (EU) 2019/2033. Indberetningsskemaerne for K-faktorberegning bør derfor ikke finde anvendelse på små og ikke indbyrdes forbundne selskaber. I henhold til artikel 54, stk. 2, tredje afsnit, i forordning (EU) 2019/2033 er små og ikke indbyrdes forbundne selskaber desuden undtaget fra indberetning af koncentrationsrisiko, og de kompetente myndigheder kan undtage små og ikke indbyrdes forbundne selskaber fra forpligtelsen til at indberette likviditetskrav.</w:t>
      </w:r>
    </w:p>
    <w:p w14:paraId="7FDF242F" w14:textId="77777777" w:rsidR="003365B5" w:rsidRPr="00FE338D" w:rsidRDefault="00D3098A">
      <w:pPr>
        <w:pStyle w:val="Considrant"/>
        <w:numPr>
          <w:ilvl w:val="0"/>
          <w:numId w:val="0"/>
        </w:numPr>
        <w:tabs>
          <w:tab w:val="left" w:pos="709"/>
        </w:tabs>
        <w:ind w:left="709" w:hanging="709"/>
      </w:pPr>
      <w:r w:rsidRPr="00FE338D">
        <w:t>(3)</w:t>
      </w:r>
      <w:r w:rsidRPr="00FE338D">
        <w:tab/>
        <w:t>Alle investeringsselskaber, der er omfattet af forordning (EU) 2019/2033, bør indberette deres aktivitetsprofil og størrelse, således at de kompetente myndigheder kan vurdere, om disse investeringsselskaber opfylder betingelserne i artikel 12 i forordning (EU) 2019/2033 for at blive klassificeret som små og ikke indbyrdes forbundne investeringsselskaber.</w:t>
      </w:r>
    </w:p>
    <w:p w14:paraId="2E7C18D6" w14:textId="77777777" w:rsidR="003365B5" w:rsidRPr="00FE338D" w:rsidRDefault="00D3098A">
      <w:pPr>
        <w:pStyle w:val="Considrant"/>
        <w:numPr>
          <w:ilvl w:val="0"/>
          <w:numId w:val="0"/>
        </w:numPr>
        <w:tabs>
          <w:tab w:val="left" w:pos="709"/>
        </w:tabs>
        <w:ind w:left="709" w:hanging="709"/>
      </w:pPr>
      <w:r w:rsidRPr="00FE338D">
        <w:lastRenderedPageBreak/>
        <w:t>(4)</w:t>
      </w:r>
      <w:r w:rsidRPr="00FE338D">
        <w:tab/>
        <w:t>For at sikre gennemsigtighed for deres investorer og markederne i bredere forstand kræves det i artikel 46 i forordning (EU) 2019/2033, at andre investeringsselskaber end små og ikke indbyrdes forbundne investeringsselskaber offentliggør de oplysninger, der er angivet i nævnte forordnings sjette del. Små og ikke indbyrdes forbundne investeringsselskaber er ikke underlagt offentliggørelseskravene, undtagen når de udsteder hybride kernekapitalinstrumenter, for at sikre gennemsigtighed for investorerne i disse instrumenter.</w:t>
      </w:r>
    </w:p>
    <w:p w14:paraId="69D183A9" w14:textId="77777777" w:rsidR="003365B5" w:rsidRPr="00FE338D" w:rsidRDefault="00D3098A">
      <w:pPr>
        <w:pStyle w:val="Considrant"/>
        <w:numPr>
          <w:ilvl w:val="0"/>
          <w:numId w:val="0"/>
        </w:numPr>
        <w:tabs>
          <w:tab w:val="left" w:pos="709"/>
        </w:tabs>
        <w:ind w:left="709" w:hanging="709"/>
      </w:pPr>
      <w:r w:rsidRPr="00FE338D">
        <w:t>(5)</w:t>
      </w:r>
      <w:r w:rsidRPr="00FE338D">
        <w:tab/>
        <w:t>Nærværende forordning bør give investeringsselskaber skemaer og tabeller til at give tilstrækkeligt omfattende og sammenlignelige oplysninger om sammensætningen og kvaliteten af deres kapitalgrundlag. Mere specifikt er det nødvendigt at indføre et skema for en kvantitativ offentliggørelse om sammensætningen af kapitalgrundlaget og et fleksibelt skema for afstemning mellem lovpligtigt kapitalgrundlag og de reviderede regnskaber. Af samme grund er det også nødvendigt at fastlægge et skema med oplysninger om de mest relevante hovedtræk ved kapitalgrundlagsinstrumenter udstedt af investeringsselskabet.</w:t>
      </w:r>
    </w:p>
    <w:p w14:paraId="25B4D3E5" w14:textId="77777777" w:rsidR="003365B5" w:rsidRPr="00FE338D" w:rsidRDefault="00D3098A">
      <w:pPr>
        <w:pStyle w:val="Considrant"/>
        <w:numPr>
          <w:ilvl w:val="0"/>
          <w:numId w:val="0"/>
        </w:numPr>
        <w:tabs>
          <w:tab w:val="left" w:pos="709"/>
        </w:tabs>
        <w:ind w:left="709" w:hanging="709"/>
      </w:pPr>
      <w:r w:rsidRPr="00FE338D">
        <w:t>(6)</w:t>
      </w:r>
      <w:r w:rsidRPr="00FE338D">
        <w:tab/>
        <w:t>For at lette gennemførelsen af indberetnings- og offentliggørelseskravene er det nødvendigt at styrke overensstemmelsen mellem indberetnings- og offentliggørelsesskemaerne. Skemaet for offentliggørelse af sammensætningen af kapitalgrundlaget bør derfor bringes i nøje overensstemmelse med det tilhørende indberetningsskema vedrørende størrelsen og sammensætningen af kapitalgrundlaget. Af samme grund bør skemaet for offentliggørelse om fuldstændig afstemning mellem kapitalgrundlag og de reviderede regnskaber være fleksibelt, idet opdelingen af skemaet bør baseres på opdelingen af balancen i investeringsselskabets reviderede regnskaber. Desuden bør skemaet for offentliggørelse om hovedtrækkene ved det lovpligtige kapitalgrundlag være et fast skemaformat, og dets kompleksitet bør afhænge af kompleksiteten af kapitalgrundlagsinstrumenterne.</w:t>
      </w:r>
    </w:p>
    <w:p w14:paraId="01E35F23" w14:textId="205E52CC" w:rsidR="003365B5" w:rsidRPr="00FE338D" w:rsidRDefault="00D3098A" w:rsidP="007A3ABA">
      <w:pPr>
        <w:pStyle w:val="Considrant"/>
        <w:numPr>
          <w:ilvl w:val="0"/>
          <w:numId w:val="0"/>
        </w:numPr>
        <w:tabs>
          <w:tab w:val="left" w:pos="709"/>
        </w:tabs>
        <w:ind w:left="709" w:hanging="709"/>
      </w:pPr>
      <w:r w:rsidRPr="00FE338D">
        <w:t>(7)</w:t>
      </w:r>
      <w:r w:rsidRPr="00FE338D">
        <w:tab/>
        <w:t>For at sikre, at overholdelsesomkostningerne for investeringsselskaber ikke øges på urimelig vis, og at datakvaliteten bevares, bør der i videst muligt omfang foretages en indbyrdes tilpasning af indholdet af indberetnings- og offentliggørelsesforpligtelserne. Derfor bør der i én enkelt forordning fastsættes standarder, som finder anvendelse på både indberetnings- og offentliggørelseskravene.</w:t>
      </w:r>
    </w:p>
    <w:p w14:paraId="0AC56B27" w14:textId="23F359A9" w:rsidR="003365B5" w:rsidRPr="00FE338D" w:rsidRDefault="00D3098A">
      <w:pPr>
        <w:pStyle w:val="Considrant"/>
        <w:numPr>
          <w:ilvl w:val="0"/>
          <w:numId w:val="0"/>
        </w:numPr>
        <w:tabs>
          <w:tab w:val="left" w:pos="709"/>
        </w:tabs>
        <w:ind w:left="709" w:hanging="709"/>
      </w:pPr>
      <w:r w:rsidRPr="00FE338D">
        <w:t>(</w:t>
      </w:r>
      <w:r w:rsidR="007A3ABA">
        <w:t>8</w:t>
      </w:r>
      <w:r w:rsidRPr="00FE338D">
        <w:t>)</w:t>
      </w:r>
      <w:r w:rsidRPr="00FE338D">
        <w:tab/>
        <w:t>Denne forordning er baseret på de udkast til gennemførelsesmæssige tekniske standarder, som Den Europæiske Banktilsynsmyndighed har forelagt Kommissionen efter høring af Den Europæiske Værdipapir- og Markedstilsynsmyndighed.</w:t>
      </w:r>
    </w:p>
    <w:p w14:paraId="52AC7BCE" w14:textId="3F255B2B" w:rsidR="003365B5" w:rsidRPr="00FE338D" w:rsidRDefault="00D3098A">
      <w:pPr>
        <w:pStyle w:val="Considrant"/>
        <w:numPr>
          <w:ilvl w:val="0"/>
          <w:numId w:val="0"/>
        </w:numPr>
        <w:tabs>
          <w:tab w:val="left" w:pos="709"/>
        </w:tabs>
        <w:ind w:left="709" w:hanging="709"/>
      </w:pPr>
      <w:r w:rsidRPr="00FE338D">
        <w:t>(</w:t>
      </w:r>
      <w:r w:rsidR="007A3ABA">
        <w:t>9</w:t>
      </w:r>
      <w:r w:rsidRPr="00FE338D">
        <w:t>)</w:t>
      </w:r>
      <w:r w:rsidRPr="00FE338D">
        <w:tab/>
        <w:t>EBA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 om rådgivning </w:t>
      </w:r>
      <w:r w:rsidRPr="00FE338D">
        <w:rPr>
          <w:rStyle w:val="FootnoteReference"/>
        </w:rPr>
        <w:footnoteReference w:id="2"/>
      </w:r>
      <w:r w:rsidRPr="00FE338D">
        <w:t xml:space="preserve"> —</w:t>
      </w:r>
    </w:p>
    <w:p w14:paraId="3E1666FE" w14:textId="77777777" w:rsidR="003365B5" w:rsidRPr="00FE338D" w:rsidRDefault="00D3098A">
      <w:pPr>
        <w:pStyle w:val="Formuledadoption"/>
      </w:pPr>
      <w:r w:rsidRPr="00FE338D">
        <w:lastRenderedPageBreak/>
        <w:t>VEDTAGET DENNE FORORDNING:</w:t>
      </w:r>
    </w:p>
    <w:p w14:paraId="7C79EEAB" w14:textId="77777777" w:rsidR="003365B5" w:rsidRPr="00FE338D" w:rsidRDefault="00D3098A">
      <w:pPr>
        <w:pStyle w:val="ChapterTitle"/>
        <w:rPr>
          <w:b w:val="0"/>
        </w:rPr>
      </w:pPr>
      <w:r w:rsidRPr="00FE338D">
        <w:rPr>
          <w:b w:val="0"/>
        </w:rPr>
        <w:t>KAPITEL I</w:t>
      </w:r>
    </w:p>
    <w:p w14:paraId="6CC61280" w14:textId="77777777" w:rsidR="003365B5" w:rsidRPr="00FE338D" w:rsidRDefault="00D3098A">
      <w:pPr>
        <w:pStyle w:val="ChapterTitle"/>
      </w:pPr>
      <w:r w:rsidRPr="00FE338D">
        <w:t>INDBERETNING MED HENBLIK PÅ TILSYN</w:t>
      </w:r>
    </w:p>
    <w:p w14:paraId="05C0A66C" w14:textId="77777777" w:rsidR="003365B5" w:rsidRPr="00FE338D" w:rsidRDefault="00D3098A">
      <w:pPr>
        <w:pStyle w:val="Titrearticle"/>
      </w:pPr>
      <w:r w:rsidRPr="00FE338D">
        <w:t>Artikel 1</w:t>
      </w:r>
    </w:p>
    <w:p w14:paraId="4ABD42B1" w14:textId="77777777" w:rsidR="003365B5" w:rsidRPr="00FE338D" w:rsidRDefault="00D3098A">
      <w:pPr>
        <w:pStyle w:val="Titrearticle"/>
        <w:spacing w:before="120"/>
        <w:rPr>
          <w:b/>
          <w:i w:val="0"/>
        </w:rPr>
      </w:pPr>
      <w:r w:rsidRPr="00FE338D">
        <w:rPr>
          <w:b/>
          <w:i w:val="0"/>
        </w:rPr>
        <w:t>Skæringsdatoer for indberetning</w:t>
      </w:r>
    </w:p>
    <w:p w14:paraId="59B468C0" w14:textId="77777777" w:rsidR="003365B5" w:rsidRPr="00FE338D" w:rsidRDefault="00D3098A">
      <w:pPr>
        <w:pStyle w:val="NumPar1"/>
        <w:numPr>
          <w:ilvl w:val="0"/>
          <w:numId w:val="0"/>
        </w:numPr>
        <w:tabs>
          <w:tab w:val="left" w:pos="567"/>
        </w:tabs>
      </w:pPr>
      <w:r w:rsidRPr="00FE338D">
        <w:t>1.</w:t>
      </w:r>
      <w:r w:rsidRPr="00FE338D">
        <w:tab/>
        <w:t>De oplysninger, der er omhandlet i artikel 54, stk. 1, i forordning (EU) 2019/2033, indberettes, således som disse oplysninger foreligger på følgende referencedatoer for indberetning:</w:t>
      </w:r>
    </w:p>
    <w:p w14:paraId="79236F87" w14:textId="77777777" w:rsidR="003365B5" w:rsidRPr="00FE338D" w:rsidRDefault="00D3098A" w:rsidP="00D3098A">
      <w:pPr>
        <w:pStyle w:val="Point1"/>
        <w:ind w:left="567"/>
      </w:pPr>
      <w:r w:rsidRPr="00FE338D">
        <w:t>a)</w:t>
      </w:r>
      <w:r w:rsidRPr="00FE338D">
        <w:tab/>
        <w:t>kvartalsvis indberetning: 31. marts, 30. juni, 30. september og 31. december</w:t>
      </w:r>
    </w:p>
    <w:p w14:paraId="5F7A8FD1" w14:textId="77777777" w:rsidR="003365B5" w:rsidRPr="00FE338D" w:rsidRDefault="00D3098A" w:rsidP="00D3098A">
      <w:pPr>
        <w:pStyle w:val="Point1"/>
        <w:ind w:left="567"/>
      </w:pPr>
      <w:r w:rsidRPr="00FE338D">
        <w:t>b)</w:t>
      </w:r>
      <w:r w:rsidRPr="00FE338D">
        <w:tab/>
        <w:t>årlig indberetning: 31. december.</w:t>
      </w:r>
    </w:p>
    <w:p w14:paraId="7BEC35D7" w14:textId="77777777" w:rsidR="003365B5" w:rsidRPr="00FE338D" w:rsidRDefault="00D3098A">
      <w:pPr>
        <w:pStyle w:val="NumPar1"/>
        <w:numPr>
          <w:ilvl w:val="0"/>
          <w:numId w:val="0"/>
        </w:numPr>
        <w:tabs>
          <w:tab w:val="left" w:pos="567"/>
        </w:tabs>
      </w:pPr>
      <w:r w:rsidRPr="00FE338D">
        <w:t>2.</w:t>
      </w:r>
      <w:r w:rsidRPr="00FE338D">
        <w:tab/>
        <w:t>Referencedatoerne for indberetning, jf. stk. 1, kan justeres, hvis investeringsselskaber i henhold til national lovgivning har tilladelse til at indberette deres finansielle oplysninger på grundlag af deres regnskabsårs afslutning, som afviger fra kalenderåret, således at den kvartalsvise indberetning af oplysninger foretages hver tredje måned i det pågældende regnskabsår og den årlige indberetning ved afslutningen af regnskabsåret.</w:t>
      </w:r>
    </w:p>
    <w:p w14:paraId="2FDA6F0B" w14:textId="77777777" w:rsidR="003365B5" w:rsidRPr="00FE338D" w:rsidRDefault="00D3098A">
      <w:pPr>
        <w:pStyle w:val="Titrearticle"/>
      </w:pPr>
      <w:r w:rsidRPr="00FE338D">
        <w:t>Artikel 2</w:t>
      </w:r>
    </w:p>
    <w:p w14:paraId="69E2CF3C" w14:textId="77777777" w:rsidR="003365B5" w:rsidRPr="00FE338D" w:rsidRDefault="00D3098A">
      <w:pPr>
        <w:pStyle w:val="Titrearticle"/>
        <w:spacing w:before="120"/>
        <w:rPr>
          <w:b/>
          <w:i w:val="0"/>
        </w:rPr>
      </w:pPr>
      <w:r w:rsidRPr="00FE338D">
        <w:rPr>
          <w:b/>
          <w:i w:val="0"/>
        </w:rPr>
        <w:t>Indberetningsfrister</w:t>
      </w:r>
    </w:p>
    <w:p w14:paraId="3D35339F" w14:textId="77777777" w:rsidR="003365B5" w:rsidRPr="00FE338D" w:rsidRDefault="00D3098A">
      <w:pPr>
        <w:pStyle w:val="NumPar1"/>
        <w:numPr>
          <w:ilvl w:val="0"/>
          <w:numId w:val="0"/>
        </w:numPr>
        <w:tabs>
          <w:tab w:val="left" w:pos="567"/>
        </w:tabs>
      </w:pPr>
      <w:r w:rsidRPr="00FE338D">
        <w:t>1.</w:t>
      </w:r>
      <w:r w:rsidRPr="00FE338D">
        <w:tab/>
        <w:t>De oplysninger, der er omhandlet i artikel 54, stk. 1, i forordning (EU) 2019/2033, indsendes inden arbejdstids ophør inden for følgende indberetningsfrister:</w:t>
      </w:r>
    </w:p>
    <w:p w14:paraId="3D0A3A25" w14:textId="77777777" w:rsidR="003365B5" w:rsidRPr="00FE338D" w:rsidRDefault="00D3098A" w:rsidP="00D3098A">
      <w:pPr>
        <w:pStyle w:val="Point1"/>
        <w:ind w:left="567"/>
      </w:pPr>
      <w:r w:rsidRPr="00FE338D">
        <w:t>a)</w:t>
      </w:r>
      <w:r w:rsidRPr="00FE338D">
        <w:tab/>
        <w:t>kvartalsvis indberetning: 12. maj, 11. august, 11. november og 11. februar</w:t>
      </w:r>
    </w:p>
    <w:p w14:paraId="4C65800C" w14:textId="77777777" w:rsidR="003365B5" w:rsidRPr="00FE338D" w:rsidRDefault="00D3098A" w:rsidP="00D3098A">
      <w:pPr>
        <w:pStyle w:val="Point1"/>
        <w:ind w:left="567"/>
      </w:pPr>
      <w:r w:rsidRPr="00FE338D">
        <w:t>b)</w:t>
      </w:r>
      <w:r w:rsidRPr="00FE338D">
        <w:tab/>
        <w:t>årlig indberetning: 11. februar.</w:t>
      </w:r>
    </w:p>
    <w:p w14:paraId="6CEE27B2" w14:textId="77777777" w:rsidR="003365B5" w:rsidRPr="00FE338D" w:rsidRDefault="00D3098A">
      <w:pPr>
        <w:pStyle w:val="NumPar1"/>
        <w:numPr>
          <w:ilvl w:val="0"/>
          <w:numId w:val="0"/>
        </w:numPr>
        <w:tabs>
          <w:tab w:val="left" w:pos="567"/>
        </w:tabs>
      </w:pPr>
      <w:r w:rsidRPr="00FE338D">
        <w:t>2.</w:t>
      </w:r>
      <w:r w:rsidRPr="00FE338D">
        <w:tab/>
        <w:t>Hvis indberetningsfristen falder på en lør-, søn- eller helligdag i medlemsstaten for den kompetente myndighed, som indberetningen skal indgives til, er indberetningsfristen den efterfølgende arbejdsdag.</w:t>
      </w:r>
    </w:p>
    <w:p w14:paraId="0775C19E" w14:textId="77777777" w:rsidR="003365B5" w:rsidRPr="00FE338D" w:rsidRDefault="00D3098A">
      <w:pPr>
        <w:pStyle w:val="NumPar1"/>
        <w:numPr>
          <w:ilvl w:val="0"/>
          <w:numId w:val="0"/>
        </w:numPr>
        <w:tabs>
          <w:tab w:val="left" w:pos="567"/>
        </w:tabs>
      </w:pPr>
      <w:r w:rsidRPr="00FE338D">
        <w:t>3.</w:t>
      </w:r>
      <w:r w:rsidRPr="00FE338D">
        <w:tab/>
        <w:t>Hvis investeringsselskaber indberetter deres oplysninger med justerede referencedatoer baseret på deres regnskabsår, jf. nærværende forordnings artikel 1, stk. 2, kan indberetningsfristerne justeres tilsvarende, således at indsendelsesperioden forbliver uændret i forhold til referencedatoen.</w:t>
      </w:r>
    </w:p>
    <w:p w14:paraId="4B9177E1" w14:textId="77777777" w:rsidR="003365B5" w:rsidRPr="00FE338D" w:rsidRDefault="00D3098A">
      <w:pPr>
        <w:pStyle w:val="NumPar1"/>
        <w:numPr>
          <w:ilvl w:val="0"/>
          <w:numId w:val="0"/>
        </w:numPr>
        <w:tabs>
          <w:tab w:val="left" w:pos="567"/>
        </w:tabs>
      </w:pPr>
      <w:r w:rsidRPr="00FE338D">
        <w:t>4.</w:t>
      </w:r>
      <w:r w:rsidRPr="00FE338D">
        <w:tab/>
        <w:t>Investeringsselskaber kan indsende ikke-reviderede tal. Hvis reviderede tal afviger fra indsendte ikke-reviderede tal, indsendes de ajourførte, reviderede tal hurtigst muligt. I denne artikel forstås ved »ikke-reviderede tal« tal, som ikke er forsynet med en uafhængig revisors påtegning, mens reviderede tal er tal, der er revideret af en uafhængig revisor og forsynet med en revisionspåtegning.</w:t>
      </w:r>
    </w:p>
    <w:p w14:paraId="26B0D665" w14:textId="77777777" w:rsidR="003365B5" w:rsidRPr="00FE338D" w:rsidRDefault="00D3098A">
      <w:pPr>
        <w:pStyle w:val="NumPar1"/>
        <w:numPr>
          <w:ilvl w:val="0"/>
          <w:numId w:val="0"/>
        </w:numPr>
        <w:tabs>
          <w:tab w:val="left" w:pos="567"/>
        </w:tabs>
      </w:pPr>
      <w:r w:rsidRPr="00FE338D">
        <w:t>5.</w:t>
      </w:r>
      <w:r w:rsidRPr="00FE338D">
        <w:tab/>
        <w:t>Rettelser af de indsendte indberetninger indsendes også til de kompetente myndigheder uden unødigt ophold.</w:t>
      </w:r>
    </w:p>
    <w:p w14:paraId="691DAA7E" w14:textId="77777777" w:rsidR="003365B5" w:rsidRPr="00FE338D" w:rsidRDefault="00D3098A">
      <w:pPr>
        <w:pStyle w:val="Titrearticle"/>
      </w:pPr>
      <w:r w:rsidRPr="00FE338D">
        <w:lastRenderedPageBreak/>
        <w:t>Artikel 3</w:t>
      </w:r>
    </w:p>
    <w:p w14:paraId="3222A0C1" w14:textId="77777777" w:rsidR="003365B5" w:rsidRPr="00FE338D" w:rsidRDefault="00D3098A">
      <w:pPr>
        <w:pStyle w:val="Titrearticle"/>
        <w:spacing w:before="120"/>
        <w:rPr>
          <w:b/>
          <w:i w:val="0"/>
        </w:rPr>
      </w:pPr>
      <w:r w:rsidRPr="00FE338D">
        <w:rPr>
          <w:b/>
          <w:i w:val="0"/>
        </w:rPr>
        <w:t>Anvendelse af indberetningskravene på individuelt niveau</w:t>
      </w:r>
    </w:p>
    <w:p w14:paraId="757DE50D" w14:textId="77777777" w:rsidR="003365B5" w:rsidRPr="00FE338D" w:rsidRDefault="00D3098A">
      <w:r w:rsidRPr="00FE338D">
        <w:t>For at opfylde indberetningskravene omhandlet i artikel 54 i forordning (EU) 2019/2033 på individuelt niveau skal investeringsselskaberne indberette de oplysninger, der er anført i nærværende forordnings artikel 5, 6 og 7, med den deri angivne hyppighed.</w:t>
      </w:r>
    </w:p>
    <w:p w14:paraId="79C914DC" w14:textId="77777777" w:rsidR="003365B5" w:rsidRPr="00FE338D" w:rsidRDefault="00D3098A">
      <w:pPr>
        <w:pStyle w:val="Titrearticle"/>
      </w:pPr>
      <w:r w:rsidRPr="00FE338D">
        <w:t>Artikel 4</w:t>
      </w:r>
    </w:p>
    <w:p w14:paraId="323246EA" w14:textId="77777777" w:rsidR="003365B5" w:rsidRPr="00FE338D" w:rsidRDefault="00D3098A">
      <w:pPr>
        <w:pStyle w:val="Titrearticle"/>
        <w:spacing w:before="120"/>
        <w:rPr>
          <w:b/>
          <w:i w:val="0"/>
        </w:rPr>
      </w:pPr>
      <w:r w:rsidRPr="00FE338D">
        <w:rPr>
          <w:b/>
          <w:i w:val="0"/>
        </w:rPr>
        <w:t>Anvendelse af indberetningskravene på konsolideret niveau</w:t>
      </w:r>
    </w:p>
    <w:p w14:paraId="4DD756C0" w14:textId="77777777" w:rsidR="003365B5" w:rsidRPr="00FE338D" w:rsidRDefault="00D3098A">
      <w:pPr>
        <w:rPr>
          <w:i/>
        </w:rPr>
      </w:pPr>
      <w:r w:rsidRPr="00FE338D">
        <w:t>For at opfylde indberetningskravene omhandlet i artikel 54 i forordning (EU) 2019/2033 på konsolideret niveau skal investeringsselskaberne indberette de oplysninger, der er anført i nærværende forordnings artikel 5 og 6, med den deri angivne hyppighed.</w:t>
      </w:r>
    </w:p>
    <w:p w14:paraId="5927D220" w14:textId="77777777" w:rsidR="003365B5" w:rsidRPr="00FE338D" w:rsidRDefault="00D3098A">
      <w:pPr>
        <w:pStyle w:val="Titrearticle"/>
      </w:pPr>
      <w:r w:rsidRPr="00FE338D">
        <w:t>Artikel 5</w:t>
      </w:r>
    </w:p>
    <w:p w14:paraId="67B4EF50" w14:textId="77777777" w:rsidR="003365B5" w:rsidRPr="00FE338D" w:rsidRDefault="00D3098A">
      <w:pPr>
        <w:pStyle w:val="Titrearticle"/>
        <w:spacing w:before="120"/>
        <w:rPr>
          <w:b/>
          <w:i w:val="0"/>
        </w:rPr>
      </w:pPr>
      <w:r w:rsidRPr="00FE338D">
        <w:rPr>
          <w:b/>
          <w:i w:val="0"/>
        </w:rPr>
        <w:t>Format for og hyppighed af indberetning fra andre investeringsselskaber end små og ikke indbyrdes forbundne investeringsselskaber</w:t>
      </w:r>
    </w:p>
    <w:p w14:paraId="234DBA2A" w14:textId="77777777" w:rsidR="003365B5" w:rsidRPr="00FE338D" w:rsidRDefault="00D3098A">
      <w:pPr>
        <w:pStyle w:val="NumPar1"/>
        <w:numPr>
          <w:ilvl w:val="0"/>
          <w:numId w:val="0"/>
        </w:numPr>
        <w:tabs>
          <w:tab w:val="left" w:pos="567"/>
        </w:tabs>
      </w:pPr>
      <w:r w:rsidRPr="00FE338D">
        <w:t>1.</w:t>
      </w:r>
      <w:r w:rsidRPr="00FE338D">
        <w:tab/>
        <w:t>Andre investeringsselskaber end små og ikke indbyrdes forbundne investeringsselskaber skal hvert kvartal indberette de oplysninger, der kræves i henhold til artikel 54, stk. 1 og 2, i forordning (EU) 2019/2033, ved hjælp af skemaerne i bilag I til nærværende forordning i overensstemmelse med instrukserne i bilag II til nærværende forordning.</w:t>
      </w:r>
    </w:p>
    <w:p w14:paraId="77EB9886" w14:textId="77777777" w:rsidR="003365B5" w:rsidRPr="00FE338D" w:rsidRDefault="00D3098A">
      <w:pPr>
        <w:pStyle w:val="NumPar1"/>
        <w:numPr>
          <w:ilvl w:val="0"/>
          <w:numId w:val="0"/>
        </w:numPr>
        <w:tabs>
          <w:tab w:val="left" w:pos="567"/>
        </w:tabs>
        <w:rPr>
          <w:szCs w:val="24"/>
        </w:rPr>
      </w:pPr>
      <w:r w:rsidRPr="00FE338D">
        <w:rPr>
          <w:szCs w:val="24"/>
        </w:rPr>
        <w:t>2.</w:t>
      </w:r>
      <w:r w:rsidRPr="00FE338D">
        <w:rPr>
          <w:szCs w:val="24"/>
        </w:rPr>
        <w:tab/>
      </w:r>
      <w:r w:rsidRPr="00FE338D">
        <w:t xml:space="preserve">Andre investeringsselskaber end små og ikke indbyrdes forbundne investeringsselskaber, der bestemmer K-faktorkravet for RtM på grundlag af K-NPR i overensstemmelse med artikel 21, stk. 1, i forordning (EU) 2019/2033, skal hvert kvartal indberette de oplysninger, der er anført i skema C 18.00-C 24.00 i bilag I til Kommissionens gennemførelsesforordning (EU) 2021/451 </w:t>
      </w:r>
      <w:r w:rsidRPr="00FE338D">
        <w:rPr>
          <w:rStyle w:val="FootnoteReference"/>
        </w:rPr>
        <w:footnoteReference w:id="3"/>
      </w:r>
      <w:r w:rsidRPr="00FE338D">
        <w:t>, i overensstemmelse med instrukserne i del 2 i bilag II til nævnte gennemførelsesforordning.</w:t>
      </w:r>
    </w:p>
    <w:p w14:paraId="24474085" w14:textId="77777777" w:rsidR="003365B5" w:rsidRPr="00FE338D" w:rsidRDefault="00D3098A">
      <w:pPr>
        <w:pStyle w:val="NumPar1"/>
        <w:numPr>
          <w:ilvl w:val="0"/>
          <w:numId w:val="0"/>
        </w:numPr>
        <w:tabs>
          <w:tab w:val="left" w:pos="567"/>
        </w:tabs>
        <w:rPr>
          <w:szCs w:val="24"/>
        </w:rPr>
      </w:pPr>
      <w:r w:rsidRPr="00FE338D">
        <w:rPr>
          <w:szCs w:val="24"/>
        </w:rPr>
        <w:t>3.</w:t>
      </w:r>
      <w:r w:rsidRPr="00FE338D">
        <w:rPr>
          <w:szCs w:val="24"/>
        </w:rPr>
        <w:tab/>
      </w:r>
      <w:r w:rsidRPr="00FE338D">
        <w:t>Andre investeringsselskaber end små og ikke indbyrdes forbundne investeringsselskaber, der anvender undtagelsen i artikel 25, stk. 4, i forordning (EU) 2019/2033, skal hvert kvartal indberette de oplysninger, der er anført i skema C 34.02 i bilag I til gennemførelsesforordning (EU) 2021/451, i overensstemmelse med instrukserne i del 2 i bilag II til nævnte gennemførelsesforordning.</w:t>
      </w:r>
    </w:p>
    <w:p w14:paraId="5C830143" w14:textId="77777777" w:rsidR="003365B5" w:rsidRPr="00FE338D" w:rsidRDefault="00D3098A">
      <w:pPr>
        <w:pStyle w:val="NumPar1"/>
        <w:numPr>
          <w:ilvl w:val="0"/>
          <w:numId w:val="0"/>
        </w:numPr>
        <w:tabs>
          <w:tab w:val="left" w:pos="567"/>
        </w:tabs>
        <w:rPr>
          <w:szCs w:val="24"/>
        </w:rPr>
      </w:pPr>
      <w:r w:rsidRPr="00FE338D">
        <w:rPr>
          <w:szCs w:val="24"/>
        </w:rPr>
        <w:t>4.</w:t>
      </w:r>
      <w:r w:rsidRPr="00FE338D">
        <w:rPr>
          <w:szCs w:val="24"/>
        </w:rPr>
        <w:tab/>
      </w:r>
      <w:r w:rsidRPr="00FE338D">
        <w:t>Andre investeringsselskaber end små og ikke indbyrdes forbundne investeringsselskaber, der anvender undtagelsen i artikel 25, stk. 5, andet afsnit, i forordning (EU) 2019/2033, skal hvert kvartal indberette de oplysninger, der er anført i skema C 25.00 i bilag I til gennemførelsesforordning (EU) 2021/451, i overensstemmelse med instrukserne i del 2 i bilag II til nævnte gennemførelsesforordning.</w:t>
      </w:r>
    </w:p>
    <w:p w14:paraId="28D4441A" w14:textId="77777777" w:rsidR="003365B5" w:rsidRPr="00FE338D" w:rsidRDefault="00D3098A">
      <w:pPr>
        <w:pStyle w:val="Titrearticle"/>
      </w:pPr>
      <w:r w:rsidRPr="00FE338D">
        <w:t>Artikel 6</w:t>
      </w:r>
    </w:p>
    <w:p w14:paraId="72456E56" w14:textId="77777777" w:rsidR="003365B5" w:rsidRPr="00FE338D" w:rsidRDefault="00D3098A">
      <w:pPr>
        <w:pStyle w:val="Titrearticle"/>
        <w:spacing w:before="120"/>
        <w:rPr>
          <w:b/>
          <w:i w:val="0"/>
        </w:rPr>
      </w:pPr>
      <w:r w:rsidRPr="00FE338D">
        <w:rPr>
          <w:b/>
          <w:i w:val="0"/>
        </w:rPr>
        <w:t>Format for og hyppighed af indberetning fra små og ikke indbyrdes forbundne investeringsselskaber</w:t>
      </w:r>
    </w:p>
    <w:p w14:paraId="6CA6D1B9" w14:textId="77777777" w:rsidR="003365B5" w:rsidRPr="00FE338D" w:rsidRDefault="00D3098A">
      <w:pPr>
        <w:pStyle w:val="NumPar1"/>
        <w:numPr>
          <w:ilvl w:val="0"/>
          <w:numId w:val="0"/>
        </w:numPr>
        <w:tabs>
          <w:tab w:val="left" w:pos="567"/>
        </w:tabs>
      </w:pPr>
      <w:r w:rsidRPr="00FE338D">
        <w:t>1.</w:t>
      </w:r>
      <w:r w:rsidRPr="00FE338D">
        <w:tab/>
        <w:t xml:space="preserve">Små og ikke indbyrdes forbundne investeringsselskaber skal hvert år indberette de oplysninger, der er anført i skemaerne i bilag III til denne forordning, i overensstemmelse </w:t>
      </w:r>
      <w:r w:rsidRPr="00FE338D">
        <w:lastRenderedPageBreak/>
        <w:t>med instrukserne i bilag IV til denne forordning. Investeringsselskaber, der er omfattet af den undtagelse, der er omhandlet i artikel 43, stk. 1, andet afsnit, i forordning (EU) 2019/2033, fritages for forpligtelsen til at indberette de oplysninger, der er anført i skema IF 09.01 i bilag III til nærværende forordning.</w:t>
      </w:r>
    </w:p>
    <w:p w14:paraId="56C8A968" w14:textId="77777777" w:rsidR="003365B5" w:rsidRPr="00FE338D" w:rsidRDefault="00D3098A">
      <w:pPr>
        <w:pStyle w:val="Titrearticle"/>
      </w:pPr>
      <w:r w:rsidRPr="00FE338D">
        <w:t>Artikel 7</w:t>
      </w:r>
    </w:p>
    <w:p w14:paraId="6B17D6B7" w14:textId="77777777" w:rsidR="003365B5" w:rsidRPr="00FE338D" w:rsidRDefault="00D3098A">
      <w:pPr>
        <w:pStyle w:val="Titrearticle"/>
        <w:spacing w:before="120"/>
        <w:rPr>
          <w:b/>
          <w:i w:val="0"/>
        </w:rPr>
      </w:pPr>
      <w:r w:rsidRPr="00FE338D">
        <w:rPr>
          <w:b/>
          <w:i w:val="0"/>
        </w:rPr>
        <w:t>Format for og hyppighed af indberetning fra enheder, der er omfattet af artikel 8 i forordning (EU) 2019/2033</w:t>
      </w:r>
    </w:p>
    <w:p w14:paraId="0C9525D1" w14:textId="77777777" w:rsidR="003365B5" w:rsidRPr="00FE338D" w:rsidRDefault="00D3098A">
      <w:pPr>
        <w:rPr>
          <w:rFonts w:eastAsia="Times New Roman"/>
          <w:szCs w:val="24"/>
        </w:rPr>
      </w:pPr>
      <w:r w:rsidRPr="00FE338D">
        <w:t>Uanset artikel 4 i nærværende forordning skal enheder omhandlet i artikel 8, stk. 3, i forordning (EU) 2019/2033, som er omfattet af anvendelsen af nævnte artikel, hvert kvartal indberette oplysningerne i skemaerne i bilag VIII til nærværende forordning i overensstemmelse med instrukserne i bilag IX til nærværende forordning.</w:t>
      </w:r>
    </w:p>
    <w:p w14:paraId="50D875CD" w14:textId="77777777" w:rsidR="003365B5" w:rsidRPr="00FE338D" w:rsidRDefault="00D3098A">
      <w:pPr>
        <w:pStyle w:val="Titrearticle"/>
      </w:pPr>
      <w:r w:rsidRPr="00FE338D">
        <w:t>Artikel 8</w:t>
      </w:r>
    </w:p>
    <w:p w14:paraId="1B2C2021" w14:textId="77777777" w:rsidR="003365B5" w:rsidRPr="00FE338D" w:rsidRDefault="00D3098A">
      <w:pPr>
        <w:pStyle w:val="Titrearticle"/>
        <w:spacing w:before="120"/>
        <w:rPr>
          <w:b/>
          <w:i w:val="0"/>
        </w:rPr>
      </w:pPr>
      <w:r w:rsidRPr="00FE338D">
        <w:rPr>
          <w:b/>
          <w:i w:val="0"/>
        </w:rPr>
        <w:t>Datanøjagtighed og oplysninger forbundet med indgivelser</w:t>
      </w:r>
    </w:p>
    <w:p w14:paraId="06D93FA0" w14:textId="77777777" w:rsidR="003365B5" w:rsidRPr="00FE338D" w:rsidRDefault="00D3098A">
      <w:pPr>
        <w:pStyle w:val="NumPar1"/>
        <w:numPr>
          <w:ilvl w:val="0"/>
          <w:numId w:val="0"/>
        </w:numPr>
        <w:tabs>
          <w:tab w:val="left" w:pos="567"/>
        </w:tabs>
      </w:pPr>
      <w:r w:rsidRPr="00FE338D">
        <w:t>1.</w:t>
      </w:r>
      <w:r w:rsidRPr="00FE338D">
        <w:tab/>
        <w:t>Investeringsselskaber indsender de oplysninger, der er anført i denne forordning, i de dataudvekslingsformater og -former, som de kompetente myndigheder kræver, og som overholder definitionen af datapunkt i datapunktmodellen og de valideringsformler, der er anført i bilag V, og følgende specifikationer:</w:t>
      </w:r>
    </w:p>
    <w:p w14:paraId="576A81FD" w14:textId="77777777" w:rsidR="003365B5" w:rsidRPr="00FE338D" w:rsidRDefault="00D3098A" w:rsidP="00D3098A">
      <w:pPr>
        <w:pStyle w:val="Point1"/>
        <w:ind w:left="567"/>
      </w:pPr>
      <w:r w:rsidRPr="00FE338D">
        <w:t>a)</w:t>
      </w:r>
      <w:r w:rsidRPr="00FE338D">
        <w:tab/>
        <w:t>oplysninger, der ikke kræves eller ikke er relevante, indsendes ikke ved indgivelse af data</w:t>
      </w:r>
    </w:p>
    <w:p w14:paraId="2C09AED6" w14:textId="77777777" w:rsidR="003365B5" w:rsidRPr="00FE338D" w:rsidRDefault="00D3098A" w:rsidP="00D3098A">
      <w:pPr>
        <w:pStyle w:val="Point1"/>
        <w:ind w:left="567"/>
      </w:pPr>
      <w:r w:rsidRPr="00FE338D">
        <w:t>b)</w:t>
      </w:r>
      <w:r w:rsidRPr="00FE338D">
        <w:tab/>
        <w:t>numeriske værdier indberettes som fakta i overensstemmelse med følgende konventioner:</w:t>
      </w:r>
    </w:p>
    <w:p w14:paraId="0A851F1D" w14:textId="77777777" w:rsidR="003365B5" w:rsidRPr="00FE338D" w:rsidRDefault="00D3098A">
      <w:pPr>
        <w:pStyle w:val="Point2"/>
        <w:ind w:left="1134"/>
      </w:pPr>
      <w:r w:rsidRPr="00FE338D">
        <w:t>i)</w:t>
      </w:r>
      <w:r w:rsidRPr="00FE338D">
        <w:tab/>
        <w:t>datapunkter af typen »Beløb« indberettes med en minimumspræcision svarende til tusinde enheder</w:t>
      </w:r>
    </w:p>
    <w:p w14:paraId="30074712" w14:textId="77777777" w:rsidR="003365B5" w:rsidRPr="00FE338D" w:rsidRDefault="00D3098A">
      <w:pPr>
        <w:pStyle w:val="Point2"/>
        <w:ind w:left="1134"/>
      </w:pPr>
      <w:r w:rsidRPr="00FE338D">
        <w:t>ii)</w:t>
      </w:r>
      <w:r w:rsidRPr="00FE338D">
        <w:tab/>
        <w:t>datapunkter af typen »Procent« udtrykkes pr. enhed med en minimumspræcision svarende til fire decimaler</w:t>
      </w:r>
    </w:p>
    <w:p w14:paraId="223E4579" w14:textId="77777777" w:rsidR="003365B5" w:rsidRPr="00FE338D" w:rsidRDefault="00D3098A">
      <w:pPr>
        <w:pStyle w:val="Point2"/>
        <w:ind w:left="1134"/>
      </w:pPr>
      <w:r w:rsidRPr="00FE338D">
        <w:t>iii)</w:t>
      </w:r>
      <w:r w:rsidRPr="00FE338D">
        <w:tab/>
        <w:t>datapunkter af typen »Heltal« indberettes uden decimaler og med en præcision svarende til enheder.</w:t>
      </w:r>
    </w:p>
    <w:p w14:paraId="49FBF4D2" w14:textId="77777777" w:rsidR="003365B5" w:rsidRPr="00FE338D" w:rsidRDefault="00D3098A">
      <w:pPr>
        <w:pStyle w:val="NumPar1"/>
        <w:numPr>
          <w:ilvl w:val="0"/>
          <w:numId w:val="0"/>
        </w:numPr>
        <w:tabs>
          <w:tab w:val="left" w:pos="567"/>
        </w:tabs>
      </w:pPr>
      <w:r w:rsidRPr="00FE338D">
        <w:t>2.</w:t>
      </w:r>
      <w:r w:rsidRPr="00FE338D">
        <w:tab/>
        <w:t>Investeringsselskaber og forsikringsselskaber identificeres ud fra deres ID-kode for juridiske enheder (LEI). Juridiske enheder og modparter, bortset fra investeringsselskaber, identificeres ved deres LEI-kode, hvis en sådan foreligger.</w:t>
      </w:r>
    </w:p>
    <w:p w14:paraId="61EBE92A" w14:textId="77777777" w:rsidR="003365B5" w:rsidRPr="00FE338D" w:rsidRDefault="00D3098A">
      <w:pPr>
        <w:pStyle w:val="NumPar1"/>
        <w:numPr>
          <w:ilvl w:val="0"/>
          <w:numId w:val="0"/>
        </w:numPr>
        <w:tabs>
          <w:tab w:val="left" w:pos="567"/>
        </w:tabs>
      </w:pPr>
      <w:r w:rsidRPr="00FE338D">
        <w:t>3.</w:t>
      </w:r>
      <w:r w:rsidRPr="00FE338D">
        <w:tab/>
        <w:t>Oplysninger, der indsendes af investeringsselskaber i henhold til denne forordning, skal ledsages af følgende oplysninger:</w:t>
      </w:r>
    </w:p>
    <w:p w14:paraId="325CD809" w14:textId="77777777" w:rsidR="003365B5" w:rsidRPr="00FE338D" w:rsidRDefault="00D3098A" w:rsidP="00D3098A">
      <w:pPr>
        <w:pStyle w:val="Point1"/>
        <w:ind w:left="567"/>
      </w:pPr>
      <w:r w:rsidRPr="00FE338D">
        <w:t>a)</w:t>
      </w:r>
      <w:r w:rsidRPr="00FE338D">
        <w:tab/>
        <w:t>skæringsdato for indberetning og referenceperiode</w:t>
      </w:r>
    </w:p>
    <w:p w14:paraId="2ED89AB3" w14:textId="77777777" w:rsidR="003365B5" w:rsidRPr="00FE338D" w:rsidRDefault="00D3098A" w:rsidP="00D3098A">
      <w:pPr>
        <w:pStyle w:val="Point1"/>
        <w:ind w:left="567"/>
      </w:pPr>
      <w:r w:rsidRPr="00FE338D">
        <w:t>b)</w:t>
      </w:r>
      <w:r w:rsidRPr="00FE338D">
        <w:tab/>
        <w:t>indberetningsvaluta</w:t>
      </w:r>
    </w:p>
    <w:p w14:paraId="46B39F2A" w14:textId="77777777" w:rsidR="003365B5" w:rsidRPr="00FE338D" w:rsidRDefault="00D3098A" w:rsidP="00D3098A">
      <w:pPr>
        <w:pStyle w:val="Point1"/>
        <w:ind w:left="567"/>
      </w:pPr>
      <w:r w:rsidRPr="00FE338D">
        <w:t>c)</w:t>
      </w:r>
      <w:r w:rsidRPr="00FE338D">
        <w:tab/>
        <w:t>regnskabsstandard</w:t>
      </w:r>
    </w:p>
    <w:p w14:paraId="73EDFBCD" w14:textId="77777777" w:rsidR="003365B5" w:rsidRPr="00FE338D" w:rsidRDefault="00D3098A" w:rsidP="00D3098A">
      <w:pPr>
        <w:pStyle w:val="Point1"/>
        <w:ind w:left="567"/>
      </w:pPr>
      <w:r w:rsidRPr="00FE338D">
        <w:t>d)</w:t>
      </w:r>
      <w:r w:rsidRPr="00FE338D">
        <w:tab/>
        <w:t>det indberettende instituts ID-kode for juridiske enheder (LEI)</w:t>
      </w:r>
    </w:p>
    <w:p w14:paraId="0BE1D6BF" w14:textId="77777777" w:rsidR="003365B5" w:rsidRPr="00FE338D" w:rsidRDefault="00D3098A" w:rsidP="00D3098A">
      <w:pPr>
        <w:pStyle w:val="Point1"/>
        <w:ind w:left="567"/>
      </w:pPr>
      <w:r w:rsidRPr="00FE338D">
        <w:t>e)</w:t>
      </w:r>
      <w:r w:rsidRPr="00FE338D">
        <w:tab/>
        <w:t>konsolideringens afgrænsning.</w:t>
      </w:r>
    </w:p>
    <w:p w14:paraId="71F806D2" w14:textId="77777777" w:rsidR="003365B5" w:rsidRPr="00FE338D" w:rsidRDefault="00D3098A">
      <w:pPr>
        <w:pStyle w:val="ChapterTitle"/>
        <w:rPr>
          <w:b w:val="0"/>
        </w:rPr>
      </w:pPr>
      <w:r w:rsidRPr="00FE338D">
        <w:rPr>
          <w:b w:val="0"/>
        </w:rPr>
        <w:lastRenderedPageBreak/>
        <w:t>KAPITEL II</w:t>
      </w:r>
    </w:p>
    <w:p w14:paraId="532A9149" w14:textId="77777777" w:rsidR="003365B5" w:rsidRPr="00FE338D" w:rsidRDefault="00D3098A">
      <w:pPr>
        <w:pStyle w:val="ChapterTitle"/>
      </w:pPr>
      <w:r w:rsidRPr="00FE338D">
        <w:t>INVESTERINGSSELSKABERS OFFENTLIGGØRELSE AF OPLYSNINGER</w:t>
      </w:r>
    </w:p>
    <w:p w14:paraId="2314860C" w14:textId="77777777" w:rsidR="003365B5" w:rsidRPr="00FE338D" w:rsidRDefault="00D3098A">
      <w:pPr>
        <w:pStyle w:val="Titrearticle"/>
      </w:pPr>
      <w:r w:rsidRPr="00FE338D">
        <w:t>Artikel 9</w:t>
      </w:r>
    </w:p>
    <w:p w14:paraId="65673CBE" w14:textId="77777777" w:rsidR="003365B5" w:rsidRPr="00FE338D" w:rsidRDefault="00D3098A">
      <w:pPr>
        <w:pStyle w:val="Titrearticle"/>
        <w:spacing w:before="120"/>
        <w:rPr>
          <w:b/>
          <w:i w:val="0"/>
        </w:rPr>
      </w:pPr>
      <w:r w:rsidRPr="00FE338D">
        <w:rPr>
          <w:b/>
          <w:i w:val="0"/>
        </w:rPr>
        <w:t>Principper for offentliggørelse</w:t>
      </w:r>
    </w:p>
    <w:p w14:paraId="449242AE" w14:textId="77777777" w:rsidR="003365B5" w:rsidRPr="00FE338D" w:rsidRDefault="00D3098A">
      <w:pPr>
        <w:pStyle w:val="NumPar1"/>
        <w:numPr>
          <w:ilvl w:val="0"/>
          <w:numId w:val="0"/>
        </w:numPr>
      </w:pPr>
      <w:r w:rsidRPr="00FE338D">
        <w:t>1.</w:t>
      </w:r>
      <w:r w:rsidRPr="00FE338D">
        <w:tab/>
        <w:t>Oplysninger, der offentligøres i overensstemmelse med denne forordning, skal overholde følgende principper:</w:t>
      </w:r>
    </w:p>
    <w:p w14:paraId="3A14D824" w14:textId="77777777" w:rsidR="003365B5" w:rsidRPr="00FE338D" w:rsidRDefault="00D3098A" w:rsidP="00D3098A">
      <w:pPr>
        <w:pStyle w:val="Point1"/>
        <w:ind w:left="567"/>
      </w:pPr>
      <w:r w:rsidRPr="00FE338D">
        <w:t>a)</w:t>
      </w:r>
      <w:r w:rsidRPr="00FE338D">
        <w:tab/>
        <w:t>De oplysninger, der offentliggøres, skal underkastes samme grad af intern verifikation, som gælder for ledelsesberetningen i investeringsselskabets årsregnskab.</w:t>
      </w:r>
    </w:p>
    <w:p w14:paraId="4CB4A921" w14:textId="77777777" w:rsidR="003365B5" w:rsidRPr="00FE338D" w:rsidRDefault="00D3098A" w:rsidP="00D3098A">
      <w:pPr>
        <w:pStyle w:val="Point1"/>
        <w:ind w:left="567"/>
      </w:pPr>
      <w:r w:rsidRPr="00FE338D">
        <w:t>b)</w:t>
      </w:r>
      <w:r w:rsidRPr="00FE338D">
        <w:tab/>
        <w:t>Offentliggørelser skal være klare og præsenteres i en form, der er forståelig for brugerne af oplysningerne og kommunikeret via et tilgængeligt medie. Vigtige budskaber skal fremhæves og være lette at finde. Komplekse spørgsmål skal forklares i et enkelt sprog. Relaterede oplysninger skal fremlægges sammen.</w:t>
      </w:r>
    </w:p>
    <w:p w14:paraId="49C93ED7" w14:textId="77777777" w:rsidR="003365B5" w:rsidRPr="00FE338D" w:rsidRDefault="00D3098A" w:rsidP="00D3098A">
      <w:pPr>
        <w:pStyle w:val="Point1"/>
        <w:ind w:left="567"/>
      </w:pPr>
      <w:r w:rsidRPr="00FE338D">
        <w:t>c)</w:t>
      </w:r>
      <w:r w:rsidRPr="00FE338D">
        <w:tab/>
        <w:t>Offentliggørelser skal være meningsfulde og konsekvente over tid, således at brugerne af oplysningerne kan sammenligne oplysninger på tværs af offentliggørelsesperioder.</w:t>
      </w:r>
    </w:p>
    <w:p w14:paraId="487C8E81" w14:textId="77777777" w:rsidR="003365B5" w:rsidRPr="00FE338D" w:rsidRDefault="00D3098A" w:rsidP="00D3098A">
      <w:pPr>
        <w:pStyle w:val="Point1"/>
        <w:ind w:left="567"/>
      </w:pPr>
      <w:r w:rsidRPr="00FE338D">
        <w:t>d)</w:t>
      </w:r>
      <w:r w:rsidRPr="00FE338D">
        <w:tab/>
        <w:t>Kvantitative oplysninger ledsages af kvalitative forklaringer og andre supplerende oplysninger, som måtte være nødvendige, for at brugerne af disse oplysninger kan forstå dem, med særlig fremhævelse af væsentlige ændringer i oplysningerne sammenlignet med tidligere offentliggjorte oplysninger.</w:t>
      </w:r>
    </w:p>
    <w:p w14:paraId="6D73C0E1" w14:textId="77777777" w:rsidR="003365B5" w:rsidRPr="00FE338D" w:rsidRDefault="00D3098A">
      <w:pPr>
        <w:pStyle w:val="Titrearticle"/>
      </w:pPr>
      <w:r w:rsidRPr="00FE338D">
        <w:t>Artikel 10</w:t>
      </w:r>
    </w:p>
    <w:p w14:paraId="0CBB65A9" w14:textId="77777777" w:rsidR="003365B5" w:rsidRPr="00FE338D" w:rsidRDefault="00D3098A">
      <w:pPr>
        <w:pStyle w:val="Titrearticle"/>
        <w:spacing w:before="120"/>
        <w:rPr>
          <w:b/>
          <w:i w:val="0"/>
        </w:rPr>
      </w:pPr>
      <w:r w:rsidRPr="00FE338D">
        <w:rPr>
          <w:b/>
          <w:i w:val="0"/>
        </w:rPr>
        <w:t>Investeringsselskabers offentliggørelse af kapitalgrundlag</w:t>
      </w:r>
    </w:p>
    <w:p w14:paraId="0C37C9DB" w14:textId="77777777" w:rsidR="003365B5" w:rsidRPr="00FE338D" w:rsidRDefault="00D3098A">
      <w:r w:rsidRPr="00FE338D">
        <w:t>Investeringsselskaberne offentliggør de oplysninger om kapitalgrundlag, der kræves i henhold til artikel 49, stk. 1, i forordning (EU) 2019/2033, ved hjælp af skemaerne i bilag VI til nærværende forordning og i overensstemmelse med instrukserne i bilag VII til nærværende forordning.</w:t>
      </w:r>
    </w:p>
    <w:p w14:paraId="534798A5" w14:textId="77777777" w:rsidR="003365B5" w:rsidRPr="00FE338D" w:rsidRDefault="00D3098A">
      <w:pPr>
        <w:pStyle w:val="Titrearticle"/>
      </w:pPr>
      <w:r w:rsidRPr="00FE338D">
        <w:t>Artikel 11</w:t>
      </w:r>
    </w:p>
    <w:p w14:paraId="7CB7D3B8" w14:textId="77777777" w:rsidR="003365B5" w:rsidRPr="00FE338D" w:rsidRDefault="00D3098A">
      <w:pPr>
        <w:pStyle w:val="Titrearticle"/>
        <w:spacing w:before="120"/>
        <w:rPr>
          <w:b/>
          <w:i w:val="0"/>
        </w:rPr>
      </w:pPr>
      <w:r w:rsidRPr="00FE338D">
        <w:rPr>
          <w:b/>
          <w:i w:val="0"/>
        </w:rPr>
        <w:t>Almindelige bestemmelser om offentliggørelse</w:t>
      </w:r>
    </w:p>
    <w:p w14:paraId="33423B9F" w14:textId="77777777" w:rsidR="003365B5" w:rsidRPr="00FE338D" w:rsidRDefault="00D3098A">
      <w:pPr>
        <w:pStyle w:val="NumPar1"/>
        <w:numPr>
          <w:ilvl w:val="0"/>
          <w:numId w:val="0"/>
        </w:numPr>
        <w:tabs>
          <w:tab w:val="left" w:pos="567"/>
        </w:tabs>
      </w:pPr>
      <w:r w:rsidRPr="00FE338D">
        <w:t>1.</w:t>
      </w:r>
      <w:r w:rsidRPr="00FE338D">
        <w:tab/>
        <w:t>Når investeringsselskaber offentliggør de oplysninger, der er omhandlet i denne forordnings artikel 10, sikrer de, at numeriske værdier indberettes som fakta i overensstemmelse med følgende:</w:t>
      </w:r>
    </w:p>
    <w:p w14:paraId="0EF60D52" w14:textId="77777777" w:rsidR="003365B5" w:rsidRPr="00FE338D" w:rsidRDefault="00D3098A" w:rsidP="00D3098A">
      <w:pPr>
        <w:pStyle w:val="Point1"/>
        <w:ind w:left="567"/>
      </w:pPr>
      <w:r w:rsidRPr="00FE338D">
        <w:t>a)</w:t>
      </w:r>
      <w:r w:rsidRPr="00FE338D">
        <w:tab/>
        <w:t>kvantitative monetære data offentliggøres med en minimumspræcision svarende til x antal tusind enheder</w:t>
      </w:r>
    </w:p>
    <w:p w14:paraId="1069AC01" w14:textId="77777777" w:rsidR="003365B5" w:rsidRPr="00FE338D" w:rsidRDefault="00D3098A" w:rsidP="00D3098A">
      <w:pPr>
        <w:pStyle w:val="Point1"/>
        <w:ind w:left="567"/>
      </w:pPr>
      <w:r w:rsidRPr="00FE338D">
        <w:t>b)</w:t>
      </w:r>
      <w:r w:rsidRPr="00FE338D">
        <w:tab/>
        <w:t>kvantitative data, der offentliggøres som »Procentdel«, angives pr. enhed med en minimumspræcision svarende til fire decimaler.</w:t>
      </w:r>
    </w:p>
    <w:p w14:paraId="40F85218" w14:textId="77777777" w:rsidR="003365B5" w:rsidRPr="00FE338D" w:rsidRDefault="00D3098A">
      <w:pPr>
        <w:pStyle w:val="NumPar1"/>
        <w:numPr>
          <w:ilvl w:val="0"/>
          <w:numId w:val="0"/>
        </w:numPr>
        <w:tabs>
          <w:tab w:val="left" w:pos="567"/>
        </w:tabs>
      </w:pPr>
      <w:r w:rsidRPr="00FE338D">
        <w:t>2.</w:t>
      </w:r>
      <w:r w:rsidRPr="00FE338D">
        <w:tab/>
        <w:t>Når investeringsselskaber offentliggør de oplysninger, der er omhandlet i denne forordnings artikel 10, sikrer de, at dataene vedrører samtlige følgende oplysninger:</w:t>
      </w:r>
    </w:p>
    <w:p w14:paraId="1172313F" w14:textId="77777777" w:rsidR="003365B5" w:rsidRPr="00FE338D" w:rsidRDefault="00D3098A" w:rsidP="00D3098A">
      <w:pPr>
        <w:pStyle w:val="Point1"/>
        <w:ind w:left="567"/>
      </w:pPr>
      <w:r w:rsidRPr="00FE338D">
        <w:t>a)</w:t>
      </w:r>
      <w:r w:rsidRPr="00FE338D">
        <w:tab/>
        <w:t>referencedato for offentliggørelse og referenceperiode</w:t>
      </w:r>
    </w:p>
    <w:p w14:paraId="64D7FF26" w14:textId="77777777" w:rsidR="003365B5" w:rsidRPr="00FE338D" w:rsidRDefault="00D3098A" w:rsidP="00D3098A">
      <w:pPr>
        <w:pStyle w:val="Point1"/>
        <w:ind w:left="567"/>
      </w:pPr>
      <w:r w:rsidRPr="00FE338D">
        <w:t>b)</w:t>
      </w:r>
      <w:r w:rsidRPr="00FE338D">
        <w:tab/>
        <w:t>offentliggørelsesvaluta</w:t>
      </w:r>
    </w:p>
    <w:p w14:paraId="4D6436A9" w14:textId="77777777" w:rsidR="003365B5" w:rsidRPr="00FE338D" w:rsidRDefault="00D3098A" w:rsidP="00D3098A">
      <w:pPr>
        <w:pStyle w:val="Point1"/>
        <w:ind w:left="567"/>
      </w:pPr>
      <w:r w:rsidRPr="00FE338D">
        <w:lastRenderedPageBreak/>
        <w:t>c)</w:t>
      </w:r>
      <w:r w:rsidRPr="00FE338D">
        <w:tab/>
        <w:t>det oplysende instituts navn og, hvor det er relevant, LEI-kode</w:t>
      </w:r>
    </w:p>
    <w:p w14:paraId="1891D3C7" w14:textId="77777777" w:rsidR="003365B5" w:rsidRPr="00FE338D" w:rsidRDefault="00D3098A" w:rsidP="00D3098A">
      <w:pPr>
        <w:pStyle w:val="Point1"/>
        <w:ind w:left="567"/>
      </w:pPr>
      <w:r w:rsidRPr="00FE338D">
        <w:t>d)</w:t>
      </w:r>
      <w:r w:rsidRPr="00FE338D">
        <w:tab/>
        <w:t>hvor det er relevant, den anvendte regnskabsstandard</w:t>
      </w:r>
    </w:p>
    <w:p w14:paraId="2D763FBA" w14:textId="77777777" w:rsidR="003365B5" w:rsidRPr="00FE338D" w:rsidRDefault="00D3098A" w:rsidP="00D3098A">
      <w:pPr>
        <w:pStyle w:val="Point1"/>
        <w:ind w:left="567"/>
      </w:pPr>
      <w:r w:rsidRPr="00FE338D">
        <w:t>e)</w:t>
      </w:r>
      <w:r w:rsidRPr="00FE338D">
        <w:tab/>
        <w:t>hvor det er relevant, konsolideringens omfang.</w:t>
      </w:r>
    </w:p>
    <w:p w14:paraId="2C779285" w14:textId="77777777" w:rsidR="003365B5" w:rsidRPr="00FE338D" w:rsidRDefault="00D3098A">
      <w:pPr>
        <w:pStyle w:val="ChapterTitle"/>
        <w:rPr>
          <w:b w:val="0"/>
        </w:rPr>
      </w:pPr>
      <w:r w:rsidRPr="00FE338D">
        <w:rPr>
          <w:b w:val="0"/>
        </w:rPr>
        <w:t>KAPITEL III</w:t>
      </w:r>
    </w:p>
    <w:p w14:paraId="023CCAE4" w14:textId="77777777" w:rsidR="003365B5" w:rsidRPr="00FE338D" w:rsidRDefault="00D3098A">
      <w:pPr>
        <w:pStyle w:val="ChapterTitle"/>
      </w:pPr>
      <w:r w:rsidRPr="00FE338D">
        <w:t>AFSLUTTENDE BESTEMMELSER</w:t>
      </w:r>
    </w:p>
    <w:p w14:paraId="714046BF" w14:textId="77777777" w:rsidR="003365B5" w:rsidRPr="00FE338D" w:rsidRDefault="00D3098A">
      <w:pPr>
        <w:pStyle w:val="Titrearticle"/>
        <w:spacing w:before="120"/>
      </w:pPr>
      <w:r w:rsidRPr="00FE338D">
        <w:t>Artikel 12</w:t>
      </w:r>
    </w:p>
    <w:p w14:paraId="49E6F6E3" w14:textId="5B13FA8E" w:rsidR="003365B5" w:rsidRPr="00FE338D" w:rsidRDefault="00D3098A">
      <w:pPr>
        <w:pStyle w:val="Titrearticle"/>
        <w:spacing w:before="120"/>
        <w:rPr>
          <w:b/>
          <w:i w:val="0"/>
        </w:rPr>
      </w:pPr>
      <w:r w:rsidRPr="00FE338D">
        <w:rPr>
          <w:b/>
          <w:i w:val="0"/>
        </w:rPr>
        <w:t>Ikrafttræden</w:t>
      </w:r>
    </w:p>
    <w:p w14:paraId="3C9A49CB" w14:textId="77777777" w:rsidR="003365B5" w:rsidRPr="00FE338D" w:rsidRDefault="00D3098A">
      <w:r w:rsidRPr="00FE338D">
        <w:t xml:space="preserve">Denne forordning træder i kraft på tyvendedagen efter offentliggørelsen i </w:t>
      </w:r>
      <w:r w:rsidRPr="00FE338D">
        <w:rPr>
          <w:i/>
        </w:rPr>
        <w:t>Den Europæiske Unions Tidende</w:t>
      </w:r>
      <w:r w:rsidRPr="00FE338D">
        <w:t>.</w:t>
      </w:r>
    </w:p>
    <w:p w14:paraId="060DB6BC" w14:textId="77777777" w:rsidR="003365B5" w:rsidRPr="00FE338D" w:rsidRDefault="00D3098A">
      <w:pPr>
        <w:pStyle w:val="Applicationdirecte"/>
      </w:pPr>
      <w:r w:rsidRPr="00FE338D">
        <w:t>Denne forordning er bindende i alle enkeltheder og gælder umiddelbart i hver medlemsstat.</w:t>
      </w:r>
    </w:p>
    <w:p w14:paraId="5727F06F" w14:textId="77777777" w:rsidR="003365B5" w:rsidRPr="00FE338D" w:rsidRDefault="00D3098A">
      <w:pPr>
        <w:pStyle w:val="Fait"/>
      </w:pPr>
      <w:r w:rsidRPr="00FE338D">
        <w:t>Udfærdiget i Bruxelles, den 6. december 2021.</w:t>
      </w:r>
    </w:p>
    <w:p w14:paraId="323FBD9F" w14:textId="77777777" w:rsidR="003365B5" w:rsidRPr="00FE338D" w:rsidRDefault="00D3098A">
      <w:pPr>
        <w:pStyle w:val="Institutionquisigne"/>
      </w:pPr>
      <w:r w:rsidRPr="00FE338D">
        <w:tab/>
        <w:t>På Kommissionens vegne</w:t>
      </w:r>
    </w:p>
    <w:p w14:paraId="525A5ACC" w14:textId="77777777" w:rsidR="003365B5" w:rsidRPr="00FE338D" w:rsidRDefault="00D3098A">
      <w:pPr>
        <w:pStyle w:val="Personnequisigne"/>
        <w:rPr>
          <w:i w:val="0"/>
        </w:rPr>
      </w:pPr>
      <w:r w:rsidRPr="00FE338D">
        <w:tab/>
      </w:r>
      <w:r w:rsidRPr="00FE338D">
        <w:rPr>
          <w:i w:val="0"/>
        </w:rPr>
        <w:t>Ursula VON DER LEYEN</w:t>
      </w:r>
    </w:p>
    <w:p w14:paraId="6F5A1C5F" w14:textId="77777777" w:rsidR="003365B5" w:rsidRPr="00FE338D" w:rsidRDefault="00D3098A">
      <w:pPr>
        <w:pStyle w:val="Personnequisigne"/>
      </w:pPr>
      <w:r w:rsidRPr="00FE338D">
        <w:tab/>
        <w:t>Formand</w:t>
      </w:r>
    </w:p>
    <w:sectPr w:rsidR="003365B5" w:rsidRPr="00FE338D">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16007" w14:textId="77777777" w:rsidR="003365B5" w:rsidRDefault="00D3098A">
      <w:pPr>
        <w:spacing w:before="0" w:after="0"/>
      </w:pPr>
      <w:r>
        <w:separator/>
      </w:r>
    </w:p>
  </w:endnote>
  <w:endnote w:type="continuationSeparator" w:id="0">
    <w:p w14:paraId="56D08A3B" w14:textId="77777777" w:rsidR="003365B5" w:rsidRDefault="00D3098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921DA" w14:textId="77777777" w:rsidR="007A3ABA" w:rsidRDefault="007A3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4E36C" w14:textId="77777777" w:rsidR="003365B5" w:rsidRDefault="00D3098A">
    <w:pPr>
      <w:pStyle w:val="Footer"/>
      <w:tabs>
        <w:tab w:val="clear" w:pos="4535"/>
        <w:tab w:val="clear" w:pos="9921"/>
      </w:tabs>
      <w:ind w:left="0" w:right="0"/>
    </w:pPr>
    <w:r>
      <w:t>DA - Cleaned document</w:t>
    </w:r>
    <w:r>
      <w:tab/>
    </w:r>
    <w:r>
      <w:fldChar w:fldCharType="begin"/>
    </w:r>
    <w:r>
      <w:instrText xml:space="preserve"> PAGE \* MERGEFORMAT </w:instrText>
    </w:r>
    <w:r>
      <w:fldChar w:fldCharType="separate"/>
    </w:r>
    <w:r w:rsidR="00FE338D">
      <w:rPr>
        <w:noProof/>
      </w:rPr>
      <w:t>1</w:t>
    </w:r>
    <w:r>
      <w:fldChar w:fldCharType="end"/>
    </w:r>
    <w:r>
      <w:t>/</w:t>
    </w:r>
    <w:r w:rsidR="007A3ABA">
      <w:fldChar w:fldCharType="begin"/>
    </w:r>
    <w:r w:rsidR="007A3ABA">
      <w:instrText xml:space="preserve"> NUMPAGES \* MERGEFORMAT </w:instrText>
    </w:r>
    <w:r w:rsidR="007A3ABA">
      <w:fldChar w:fldCharType="separate"/>
    </w:r>
    <w:r w:rsidR="00FE338D">
      <w:rPr>
        <w:noProof/>
      </w:rPr>
      <w:t>7</w:t>
    </w:r>
    <w:r w:rsidR="007A3AB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D16BC" w14:textId="77777777" w:rsidR="007A3ABA" w:rsidRDefault="007A3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F67AA" w14:textId="77777777" w:rsidR="003365B5" w:rsidRDefault="00D3098A">
      <w:pPr>
        <w:spacing w:before="0" w:after="0"/>
      </w:pPr>
      <w:r>
        <w:separator/>
      </w:r>
    </w:p>
  </w:footnote>
  <w:footnote w:type="continuationSeparator" w:id="0">
    <w:p w14:paraId="385EF509" w14:textId="77777777" w:rsidR="003365B5" w:rsidRDefault="00D3098A">
      <w:pPr>
        <w:spacing w:before="0" w:after="0"/>
      </w:pPr>
      <w:r>
        <w:continuationSeparator/>
      </w:r>
    </w:p>
  </w:footnote>
  <w:footnote w:id="1">
    <w:p w14:paraId="78CE4DD6" w14:textId="77777777" w:rsidR="003365B5" w:rsidRDefault="00D3098A">
      <w:pPr>
        <w:pStyle w:val="FootnoteText"/>
      </w:pPr>
      <w:r>
        <w:rPr>
          <w:rStyle w:val="FootnoteReference"/>
        </w:rPr>
        <w:footnoteRef/>
      </w:r>
      <w:r>
        <w:tab/>
        <w:t>EUT L 314 af 5.12.2019, s. 1.</w:t>
      </w:r>
    </w:p>
  </w:footnote>
  <w:footnote w:id="2">
    <w:p w14:paraId="1D8D0973" w14:textId="77777777" w:rsidR="003365B5" w:rsidRDefault="00D3098A">
      <w:pPr>
        <w:pStyle w:val="FootnoteText"/>
      </w:pPr>
      <w:r>
        <w:rPr>
          <w:rStyle w:val="FootnoteReference"/>
        </w:rPr>
        <w:footnoteRef/>
      </w:r>
      <w:r>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 w:id="3">
    <w:p w14:paraId="46B03A3F" w14:textId="77777777" w:rsidR="00D3098A" w:rsidRDefault="00D3098A" w:rsidP="00D3098A">
      <w:pPr>
        <w:pStyle w:val="FootnoteText"/>
      </w:pPr>
      <w:r>
        <w:rPr>
          <w:rStyle w:val="FootnoteReference"/>
        </w:rPr>
        <w:footnoteRef/>
      </w:r>
      <w:r>
        <w:tab/>
        <w:t>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4C355" w14:textId="77777777" w:rsidR="007A3ABA" w:rsidRDefault="007A3A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9280D" w14:textId="78F5BE6F" w:rsidR="007A3ABA" w:rsidRDefault="007A3ABA">
    <w:pPr>
      <w:pStyle w:val="Header"/>
    </w:pPr>
    <w:r>
      <w:rPr>
        <w:noProof/>
      </w:rPr>
      <mc:AlternateContent>
        <mc:Choice Requires="wps">
          <w:drawing>
            <wp:anchor distT="0" distB="0" distL="114300" distR="114300" simplePos="0" relativeHeight="251659264" behindDoc="0" locked="0" layoutInCell="0" allowOverlap="1" wp14:anchorId="0697AA54" wp14:editId="7CFE6E0A">
              <wp:simplePos x="0" y="0"/>
              <wp:positionH relativeFrom="page">
                <wp:posOffset>0</wp:posOffset>
              </wp:positionH>
              <wp:positionV relativeFrom="page">
                <wp:posOffset>190500</wp:posOffset>
              </wp:positionV>
              <wp:extent cx="7560945" cy="273050"/>
              <wp:effectExtent l="0" t="0" r="0" b="12700"/>
              <wp:wrapNone/>
              <wp:docPr id="1" name="MSIPCM95e54207b287ad265f7dbc58"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B3B6F9" w14:textId="1EC4BB80" w:rsidR="007A3ABA" w:rsidRPr="007A3ABA" w:rsidRDefault="007A3ABA" w:rsidP="007A3ABA">
                          <w:pPr>
                            <w:spacing w:before="0" w:after="0"/>
                            <w:jc w:val="left"/>
                            <w:rPr>
                              <w:rFonts w:ascii="Calibri" w:hAnsi="Calibri" w:cs="Calibri"/>
                              <w:color w:val="000000"/>
                            </w:rPr>
                          </w:pPr>
                          <w:r w:rsidRPr="007A3ABA">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697AA54" id="_x0000_t202" coordsize="21600,21600" o:spt="202" path="m,l,21600r21600,l21600,xe">
              <v:stroke joinstyle="miter"/>
              <v:path gradientshapeok="t" o:connecttype="rect"/>
            </v:shapetype>
            <v:shape id="MSIPCM95e54207b287ad265f7dbc58"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DoM3uj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25B3B6F9" w14:textId="1EC4BB80" w:rsidR="007A3ABA" w:rsidRPr="007A3ABA" w:rsidRDefault="007A3ABA" w:rsidP="007A3ABA">
                    <w:pPr>
                      <w:spacing w:before="0" w:after="0"/>
                      <w:jc w:val="left"/>
                      <w:rPr>
                        <w:rFonts w:ascii="Calibri" w:hAnsi="Calibri" w:cs="Calibri"/>
                        <w:color w:val="000000"/>
                      </w:rPr>
                    </w:pPr>
                    <w:r w:rsidRPr="007A3ABA">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620AD2" w14:textId="77777777" w:rsidR="007A3ABA" w:rsidRDefault="007A3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da-DK" w:vendorID="64" w:dllVersion="6" w:nlCheck="1" w:checkStyle="0"/>
  <w:defaultTabStop w:val="720"/>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5:45:57"/>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1"/>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A12AE22C-702D-46CB-BA34-ACC1F4F9C082"/>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for anvendelsen af Europa-Parlamentets og Rådets forordning (EU) 2019/2033 for så vidt angår investeringsselskabers indberetning med henblik på tilsyn og offentliggørelse af oplysninger"/>
    <w:docVar w:name="LW_TYPE.DOC.CP" w:val="KOMMISSIONENS GENNEMFØRELSESFORORDNING (EU) \u8230?/\u8230?"/>
  </w:docVars>
  <w:rsids>
    <w:rsidRoot w:val="003365B5"/>
    <w:rsid w:val="003365B5"/>
    <w:rsid w:val="007A3ABA"/>
    <w:rsid w:val="00D3098A"/>
    <w:rsid w:val="00FE3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5DD1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a-DK"/>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a-DK"/>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2"/>
      </w:numPr>
    </w:pPr>
  </w:style>
  <w:style w:type="paragraph" w:customStyle="1" w:styleId="NumPar2">
    <w:name w:val="NumPar 2"/>
    <w:basedOn w:val="Normal"/>
    <w:next w:val="Text1"/>
    <w:pPr>
      <w:numPr>
        <w:ilvl w:val="1"/>
        <w:numId w:val="22"/>
      </w:numPr>
    </w:pPr>
  </w:style>
  <w:style w:type="paragraph" w:customStyle="1" w:styleId="NumPar3">
    <w:name w:val="NumPar 3"/>
    <w:basedOn w:val="Normal"/>
    <w:next w:val="Text1"/>
    <w:pPr>
      <w:numPr>
        <w:ilvl w:val="2"/>
        <w:numId w:val="22"/>
      </w:numPr>
    </w:pPr>
  </w:style>
  <w:style w:type="paragraph" w:customStyle="1" w:styleId="NumPar4">
    <w:name w:val="NumPar 4"/>
    <w:basedOn w:val="Normal"/>
    <w:next w:val="Text1"/>
    <w:pPr>
      <w:numPr>
        <w:ilvl w:val="3"/>
        <w:numId w:val="2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4"/>
      </w:numPr>
    </w:pPr>
  </w:style>
  <w:style w:type="paragraph" w:customStyle="1" w:styleId="Point1number">
    <w:name w:val="Point 1 (number)"/>
    <w:basedOn w:val="Normal"/>
    <w:pPr>
      <w:numPr>
        <w:ilvl w:val="2"/>
        <w:numId w:val="24"/>
      </w:numPr>
    </w:pPr>
  </w:style>
  <w:style w:type="paragraph" w:customStyle="1" w:styleId="Point2number">
    <w:name w:val="Point 2 (number)"/>
    <w:basedOn w:val="Normal"/>
    <w:pPr>
      <w:numPr>
        <w:ilvl w:val="4"/>
        <w:numId w:val="24"/>
      </w:numPr>
    </w:pPr>
  </w:style>
  <w:style w:type="paragraph" w:customStyle="1" w:styleId="Point3number">
    <w:name w:val="Point 3 (number)"/>
    <w:basedOn w:val="Normal"/>
    <w:pPr>
      <w:numPr>
        <w:ilvl w:val="6"/>
        <w:numId w:val="24"/>
      </w:numPr>
    </w:pPr>
  </w:style>
  <w:style w:type="paragraph" w:customStyle="1" w:styleId="Point0letter">
    <w:name w:val="Point 0 (letter)"/>
    <w:basedOn w:val="Normal"/>
    <w:pPr>
      <w:numPr>
        <w:ilvl w:val="1"/>
        <w:numId w:val="24"/>
      </w:numPr>
    </w:pPr>
  </w:style>
  <w:style w:type="paragraph" w:customStyle="1" w:styleId="Point1letter">
    <w:name w:val="Point 1 (letter)"/>
    <w:basedOn w:val="Normal"/>
    <w:pPr>
      <w:numPr>
        <w:ilvl w:val="3"/>
        <w:numId w:val="24"/>
      </w:numPr>
    </w:pPr>
  </w:style>
  <w:style w:type="paragraph" w:customStyle="1" w:styleId="Point2letter">
    <w:name w:val="Point 2 (letter)"/>
    <w:basedOn w:val="Normal"/>
    <w:pPr>
      <w:numPr>
        <w:ilvl w:val="5"/>
        <w:numId w:val="24"/>
      </w:numPr>
    </w:pPr>
  </w:style>
  <w:style w:type="paragraph" w:customStyle="1" w:styleId="Point3letter">
    <w:name w:val="Point 3 (letter)"/>
    <w:basedOn w:val="Normal"/>
    <w:pPr>
      <w:numPr>
        <w:ilvl w:val="7"/>
        <w:numId w:val="24"/>
      </w:numPr>
    </w:pPr>
  </w:style>
  <w:style w:type="paragraph" w:customStyle="1" w:styleId="Point4letter">
    <w:name w:val="Point 4 (letter)"/>
    <w:basedOn w:val="Normal"/>
    <w:pPr>
      <w:numPr>
        <w:ilvl w:val="8"/>
        <w:numId w:val="24"/>
      </w:numPr>
    </w:pPr>
  </w:style>
  <w:style w:type="paragraph" w:customStyle="1" w:styleId="Bullet0">
    <w:name w:val="Bullet 0"/>
    <w:basedOn w:val="Normal"/>
    <w:pPr>
      <w:numPr>
        <w:numId w:val="25"/>
      </w:numPr>
    </w:pPr>
  </w:style>
  <w:style w:type="paragraph" w:customStyle="1" w:styleId="Bullet1">
    <w:name w:val="Bullet 1"/>
    <w:basedOn w:val="Normal"/>
    <w:pPr>
      <w:numPr>
        <w:numId w:val="26"/>
      </w:numPr>
    </w:pPr>
  </w:style>
  <w:style w:type="paragraph" w:customStyle="1" w:styleId="Bullet2">
    <w:name w:val="Bullet 2"/>
    <w:basedOn w:val="Normal"/>
    <w:pPr>
      <w:numPr>
        <w:numId w:val="27"/>
      </w:numPr>
    </w:pPr>
  </w:style>
  <w:style w:type="paragraph" w:customStyle="1" w:styleId="Bullet3">
    <w:name w:val="Bullet 3"/>
    <w:basedOn w:val="Normal"/>
    <w:pPr>
      <w:numPr>
        <w:numId w:val="28"/>
      </w:numPr>
    </w:pPr>
  </w:style>
  <w:style w:type="paragraph" w:customStyle="1" w:styleId="Bullet4">
    <w:name w:val="Bullet 4"/>
    <w:basedOn w:val="Normal"/>
    <w:pPr>
      <w:numPr>
        <w:numId w:val="2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1510D-6378-49C1-9529-D5E9225C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2299</Words>
  <Characters>13110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2022-01-14T15:24:54Z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2bec9c87-a4a6-4b25-8cd3-9da46f733637</vt:lpwstr>
  </property>
  <property fmtid="{D5CDD505-2E9C-101B-9397-08002B2CF9AE}" pid="15" name="MSIP_Label_5c7eb9de-735b-4a68-8fe4-c9c62709b012_ContentBits">
    <vt:lpwstr>1</vt:lpwstr>
  </property>
</Properties>
</file>