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EAD9" w14:textId="77777777" w:rsidR="00351613" w:rsidRDefault="002C6213">
      <w:pPr>
        <w:pStyle w:val="Typedudocument"/>
      </w:pPr>
      <w:r>
        <w:t xml:space="preserve">KOMMISSIONENS GENOMFÖRANDEFÖRORDNING </w:t>
      </w:r>
      <w:r w:rsidR="006B7A50">
        <w:t xml:space="preserve">(EU) </w:t>
      </w:r>
      <w:r>
        <w:t>2021</w:t>
      </w:r>
      <w:r w:rsidR="006B7A50">
        <w:t>/…</w:t>
      </w:r>
    </w:p>
    <w:p w14:paraId="041B5775" w14:textId="77777777" w:rsidR="00351613" w:rsidRDefault="006B7A50">
      <w:pPr>
        <w:pStyle w:val="Datedadoption"/>
      </w:pPr>
      <w:r>
        <w:t xml:space="preserve">av den </w:t>
      </w:r>
      <w:r w:rsidR="002C6213">
        <w:rPr>
          <w:rStyle w:val="Marker2"/>
          <w:color w:val="auto"/>
        </w:rPr>
        <w:t>6 december 2021</w:t>
      </w:r>
    </w:p>
    <w:p w14:paraId="27F6E811" w14:textId="77777777" w:rsidR="00351613" w:rsidRDefault="006B7A50">
      <w:pPr>
        <w:pStyle w:val="Titreobjet"/>
      </w:pPr>
      <w:r>
        <w:t>om tekniska genomförandestandarder för tillämpningen av Europaparlamentets och rådets förordning (EU) 2019/2033 vad gäller värdepappersföretags tillsynsrapportering och offentliggörande av information</w:t>
      </w:r>
    </w:p>
    <w:p w14:paraId="46318F5E" w14:textId="77777777" w:rsidR="00351613" w:rsidRPr="002C6213" w:rsidRDefault="006B7A50">
      <w:pPr>
        <w:pStyle w:val="IntrtEEE"/>
        <w:rPr>
          <w:b/>
        </w:rPr>
      </w:pPr>
      <w:r w:rsidRPr="002C6213">
        <w:rPr>
          <w:b/>
        </w:rPr>
        <w:t>(Text av betydelse för EES)</w:t>
      </w:r>
    </w:p>
    <w:p w14:paraId="7655F604" w14:textId="77777777" w:rsidR="00351613" w:rsidRDefault="006B7A50">
      <w:pPr>
        <w:pStyle w:val="Institutionquiagit"/>
      </w:pPr>
      <w:r>
        <w:t>EUROPEISKA KOMMISSIONEN HAR ANTAGIT DENNA FÖRORDNING</w:t>
      </w:r>
    </w:p>
    <w:p w14:paraId="5ACBF4BB" w14:textId="77777777" w:rsidR="00351613" w:rsidRDefault="006B7A50">
      <w:r>
        <w:rPr>
          <w:color w:val="000000"/>
        </w:rPr>
        <w:t>med beaktande av fördraget om Europeiska unionens funktionssätt</w:t>
      </w:r>
      <w:r>
        <w:t>,</w:t>
      </w:r>
    </w:p>
    <w:p w14:paraId="5D789EBF" w14:textId="77777777" w:rsidR="00351613" w:rsidRDefault="006B7A50">
      <w:r>
        <w:t>med beaktande av Europaparlamentets och rådets förordning (EU) 2019/2033 av den 27 november 2019 om tillsynskrav för värdepappersföretag och om ändring av förordningarna (EU) nr 1093/2010, (EU) nr 575/2013, (EU) nr 600/2014 och (EU) nr 806/2014 </w:t>
      </w:r>
      <w:r>
        <w:rPr>
          <w:rStyle w:val="FootnoteReference"/>
        </w:rPr>
        <w:footnoteReference w:id="1"/>
      </w:r>
      <w:r>
        <w:t>, särskilt artikel 49.2 och artikel 54.3, och</w:t>
      </w:r>
    </w:p>
    <w:p w14:paraId="776EE60B" w14:textId="77777777" w:rsidR="00351613" w:rsidRDefault="006B7A50">
      <w:r>
        <w:t>av följande skäl:</w:t>
      </w:r>
    </w:p>
    <w:p w14:paraId="747C19F8" w14:textId="77777777" w:rsidR="00351613" w:rsidRDefault="006B7A50">
      <w:pPr>
        <w:pStyle w:val="Considrant"/>
        <w:numPr>
          <w:ilvl w:val="0"/>
          <w:numId w:val="0"/>
        </w:numPr>
        <w:tabs>
          <w:tab w:val="left" w:pos="709"/>
        </w:tabs>
        <w:ind w:left="709" w:hanging="709"/>
      </w:pPr>
      <w:r>
        <w:t>(1)</w:t>
      </w:r>
      <w:r>
        <w:tab/>
        <w:t>De rapporteringskrav för värdepappersföretag som föreskrivs i artikel 54 i förordning (EU) 2019/2033 bör anpassas till värdepappersföretagens verksamhet och stå i proportion till de olika värdepappersföretagens storlek och komplexitet. Dessa krav bör särskilt beakta att vissa värdepappersföretag ska anses vara små och icke-sammanlänkade enligt villkoren i artikel 12 i förordning (EU) 2019/2033.</w:t>
      </w:r>
    </w:p>
    <w:p w14:paraId="57FD4789" w14:textId="77777777" w:rsidR="00351613" w:rsidRDefault="006B7A50">
      <w:pPr>
        <w:pStyle w:val="Considrant"/>
        <w:numPr>
          <w:ilvl w:val="0"/>
          <w:numId w:val="0"/>
        </w:numPr>
        <w:tabs>
          <w:tab w:val="left" w:pos="709"/>
        </w:tabs>
        <w:ind w:left="709" w:hanging="709"/>
      </w:pPr>
      <w:r>
        <w:t>(2)</w:t>
      </w:r>
      <w:r>
        <w:tab/>
        <w:t>Enligt artikel 54.1 i förordning (EU) 2019/2033 ska små och icke-sammanlänkade värdepappersföretag lämna information om deras kapitalbasers storlek och sammansättning, kapitalbaskrav, grunden för beräkningen av kapitalbaskraven och verksamhetsnivån med avseende på villkoren i artikel 12.1 i förordning (EU) 2019/2033. Små och icke-sammanlänkade företag är därför inte skyldiga att lämna information på samma detaljnivå som andra värdepappersföretag som omfattas av förordning (EU) 2019/2033. Rapporteringsmallarna för beräkning av K-faktorer bör därför inte vara tillämpliga på små och icke-sammanlänkade företag. Enligt artikel 54.2 tredje stycket i förordning (EU) 2019/2033</w:t>
      </w:r>
      <w:bookmarkStart w:id="0" w:name="_DV_C108"/>
      <w:r>
        <w:t xml:space="preserve"> är små och icke-sammanlänkade företag dessutom undantagna från att lämna information om koncentrationsrisk och behöriga myndigheter får undanta små och icke-sammanlänkade företag från skyldigheten att lämna information om likviditetskrav</w:t>
      </w:r>
      <w:bookmarkStart w:id="1" w:name="_DV_M108"/>
      <w:bookmarkEnd w:id="0"/>
      <w:bookmarkEnd w:id="1"/>
      <w:r>
        <w:t>.</w:t>
      </w:r>
    </w:p>
    <w:p w14:paraId="2AAE4A22" w14:textId="77777777" w:rsidR="00351613" w:rsidRDefault="006B7A50">
      <w:pPr>
        <w:pStyle w:val="Considrant"/>
        <w:numPr>
          <w:ilvl w:val="0"/>
          <w:numId w:val="0"/>
        </w:numPr>
        <w:tabs>
          <w:tab w:val="left" w:pos="709"/>
        </w:tabs>
        <w:ind w:left="709" w:hanging="709"/>
      </w:pPr>
      <w:r>
        <w:t>(3)</w:t>
      </w:r>
      <w:r>
        <w:tab/>
        <w:t>Alla värdepappersföretag som omfattas av förordning (EU) 2019/2033 bör lämna information om sin verksamhetsprofil och storlek så att de behöriga myndigheterna kan bedöma om dessa värdepappersföretag uppfyller villkoren i artikel 12 i förordning (EU) 2019/2033 för att klassificeras som små och icke-sammanlänkade värdepappersföretag.</w:t>
      </w:r>
    </w:p>
    <w:p w14:paraId="7B5EBB63" w14:textId="77777777" w:rsidR="00351613" w:rsidRDefault="006B7A50">
      <w:pPr>
        <w:pStyle w:val="Considrant"/>
        <w:numPr>
          <w:ilvl w:val="0"/>
          <w:numId w:val="0"/>
        </w:numPr>
        <w:tabs>
          <w:tab w:val="left" w:pos="709"/>
        </w:tabs>
        <w:ind w:left="709" w:hanging="709"/>
      </w:pPr>
      <w:r>
        <w:t>(4)</w:t>
      </w:r>
      <w:r>
        <w:tab/>
        <w:t xml:space="preserve">För att skapa transparens för sina investerare och de bredare marknaderna krävs enligt artikel 46 i förordning (EU) 2019/2033 att andra värdepappersföretag än små och icke-sammanlänkade värdepappersföretag ska offentliggöra den information som anges i del sex i den förordningen. Små och icke-sammanlänkade värdepappersföretag </w:t>
      </w:r>
      <w:r>
        <w:lastRenderedPageBreak/>
        <w:t>omfattas inte av offentliggörandekraven, med undantag för om de emitterar primärkapitaltillskottsinstrument för att garantera transparens för investerare i sådana instrument.</w:t>
      </w:r>
    </w:p>
    <w:p w14:paraId="7C47B847" w14:textId="77777777" w:rsidR="00351613" w:rsidRDefault="006B7A50">
      <w:pPr>
        <w:pStyle w:val="Considrant"/>
        <w:numPr>
          <w:ilvl w:val="0"/>
          <w:numId w:val="0"/>
        </w:numPr>
        <w:tabs>
          <w:tab w:val="left" w:pos="709"/>
        </w:tabs>
        <w:ind w:left="709" w:hanging="709"/>
      </w:pPr>
      <w:r>
        <w:t>(5)</w:t>
      </w:r>
      <w:r>
        <w:tab/>
        <w:t>Denna förordning bör förse värdepappersföretagen med mallar och tabeller som ger tillräckligt uttömmande och jämförbar information om sammansättningen av och kvaliteten på deras kapitalbaser. Mer specifikt är det nödvändigt att införa en mall för kvantitativt offentliggörande av information om kapitalbasens sammansättning och en flexibel mall för avstämningen av föreskriven kapitalbas med den reviderade årsredovisningen. Av samma skäl är det också nödvändigt att fastställa en mall med information om de mest relevanta egenskaperna hos de kapitalbasinstrument som värdepappersföretaget emitterar.</w:t>
      </w:r>
    </w:p>
    <w:p w14:paraId="66756A9C" w14:textId="77777777" w:rsidR="00351613" w:rsidRDefault="006B7A50">
      <w:pPr>
        <w:pStyle w:val="Considrant"/>
        <w:numPr>
          <w:ilvl w:val="0"/>
          <w:numId w:val="0"/>
        </w:numPr>
        <w:tabs>
          <w:tab w:val="left" w:pos="709"/>
        </w:tabs>
        <w:ind w:left="709" w:hanging="709"/>
      </w:pPr>
      <w:r>
        <w:t>(6)</w:t>
      </w:r>
      <w:r>
        <w:tab/>
      </w:r>
      <w:r>
        <w:rPr>
          <w:color w:val="000000"/>
        </w:rPr>
        <w:t>För att underlätta genomförandet av kraven på rapportering och offentliggörande av information är det nödvändigt att förbättra överensstämmelsen mellan mallarna för rapportering och offentliggörande av information. Mallen för offentliggörande av information om kapitalbasens sammansättning bör därför nära anpassas till den tillhörande rapporteringsmallen om kapitalbasens storlek och sammansättning. Av samma skäl bör mallen för offentliggörande av information om fullständig avstämning av kapitalbasen mot den reviderade årsredovisningen vara flexibel på så sätt att uppdelningen av mallen baseras på uppdelningen av balansräkningen i värdepappersföretagets reviderade årsredovisning. Mallen för offentliggörande av information om de viktigaste egenskaperna i den föreskrivna kapitalbasen bör dessutom vara en mall i fast format och dess komplexitet bör bero på kapitalbasinstrumentens komplexitet.</w:t>
      </w:r>
    </w:p>
    <w:p w14:paraId="13121454" w14:textId="3436E21E" w:rsidR="00351613" w:rsidRDefault="006B7A50">
      <w:pPr>
        <w:pStyle w:val="Considrant"/>
        <w:numPr>
          <w:ilvl w:val="0"/>
          <w:numId w:val="0"/>
        </w:numPr>
        <w:tabs>
          <w:tab w:val="left" w:pos="709"/>
        </w:tabs>
        <w:ind w:left="709" w:hanging="709"/>
      </w:pPr>
      <w:r>
        <w:t>(7)</w:t>
      </w:r>
      <w:r>
        <w:tab/>
        <w:t>För att säkerställa att värdepappersföretagens kostnader för regelefterlevnad inte ökar orimligt och att uppgifternas kvalitet upprätthålls bör kraven på rapportering och offentliggörande av information i största möjliga utsträckning anpassas till varandra. Det är därför lämpligt att i en enda förordning fastställa standarder tillämpliga på både kraven på rapportering och offentliggörande av information.</w:t>
      </w:r>
    </w:p>
    <w:p w14:paraId="37A29A6E" w14:textId="21D7181B" w:rsidR="00351613" w:rsidRDefault="006B7A50">
      <w:pPr>
        <w:pStyle w:val="Considrant"/>
        <w:numPr>
          <w:ilvl w:val="0"/>
          <w:numId w:val="0"/>
        </w:numPr>
        <w:tabs>
          <w:tab w:val="left" w:pos="709"/>
        </w:tabs>
        <w:ind w:left="709" w:hanging="709"/>
      </w:pPr>
      <w:r>
        <w:t>(</w:t>
      </w:r>
      <w:r w:rsidR="0042789A">
        <w:t>8</w:t>
      </w:r>
      <w:r>
        <w:t>)</w:t>
      </w:r>
      <w:r>
        <w:tab/>
        <w:t>Denna förordning grundar sig på det förslag till tekniska genomförandestandarder som Europeiska bankmyndigheten (EBA) har lagt fram för kommissionen efter samråd med Europeiska värdepappers- och marknadsmyndigheten.</w:t>
      </w:r>
    </w:p>
    <w:p w14:paraId="740B4579" w14:textId="3711EFCD" w:rsidR="00351613" w:rsidRDefault="006B7A50">
      <w:pPr>
        <w:pStyle w:val="Considrant"/>
        <w:numPr>
          <w:ilvl w:val="0"/>
          <w:numId w:val="0"/>
        </w:numPr>
        <w:tabs>
          <w:tab w:val="left" w:pos="709"/>
        </w:tabs>
        <w:ind w:left="709" w:hanging="709"/>
      </w:pPr>
      <w:r>
        <w:t>(</w:t>
      </w:r>
      <w:r w:rsidR="0042789A">
        <w:t>9</w:t>
      </w:r>
      <w:r>
        <w:t>)</w:t>
      </w:r>
      <w:r>
        <w:tab/>
        <w:t>EBA har genomfört öppna offentliga samråd om det förslag till tekniska genomförandestandarder som den här förordningen grundas på, analyserat potentiella kostnader och fördelar samt begärt rådgivning från den bankintressentgrupp som inrättats i enlighet med artikel 37 i Europaparlamentets och rådets förordning (EU) nr 1093/2010 </w:t>
      </w:r>
      <w:r>
        <w:rPr>
          <w:rStyle w:val="FootnoteReference"/>
        </w:rPr>
        <w:footnoteReference w:id="2"/>
      </w:r>
      <w:r>
        <w:t>.</w:t>
      </w:r>
    </w:p>
    <w:p w14:paraId="6F753927" w14:textId="77777777" w:rsidR="00351613" w:rsidRDefault="006B7A50">
      <w:pPr>
        <w:pStyle w:val="Formuledadoption"/>
      </w:pPr>
      <w:r>
        <w:lastRenderedPageBreak/>
        <w:t>HÄRIGENOM FÖRESKRIVS FÖLJANDE.</w:t>
      </w:r>
    </w:p>
    <w:p w14:paraId="7F1E734B" w14:textId="77777777" w:rsidR="00351613" w:rsidRPr="002C6213" w:rsidRDefault="006B7A50">
      <w:pPr>
        <w:pStyle w:val="ChapterTitle"/>
        <w:rPr>
          <w:b w:val="0"/>
        </w:rPr>
      </w:pPr>
      <w:r w:rsidRPr="002C6213">
        <w:rPr>
          <w:b w:val="0"/>
        </w:rPr>
        <w:t>KAPITEL I</w:t>
      </w:r>
    </w:p>
    <w:p w14:paraId="4E39F443" w14:textId="77777777" w:rsidR="00351613" w:rsidRDefault="006B7A50">
      <w:pPr>
        <w:pStyle w:val="ChapterTitle"/>
      </w:pPr>
      <w:r>
        <w:t>TILLSYNSRAPPORTERING</w:t>
      </w:r>
    </w:p>
    <w:p w14:paraId="205C9D76" w14:textId="77777777" w:rsidR="00351613" w:rsidRDefault="006B7A50">
      <w:pPr>
        <w:pStyle w:val="Titrearticle"/>
      </w:pPr>
      <w:r>
        <w:t>Artikel 1</w:t>
      </w:r>
    </w:p>
    <w:p w14:paraId="1C1179A8" w14:textId="77777777" w:rsidR="00351613" w:rsidRDefault="006B7A50">
      <w:pPr>
        <w:pStyle w:val="Titrearticle"/>
        <w:spacing w:before="120"/>
        <w:rPr>
          <w:b/>
          <w:i w:val="0"/>
        </w:rPr>
      </w:pPr>
      <w:r>
        <w:rPr>
          <w:b/>
          <w:i w:val="0"/>
        </w:rPr>
        <w:t>Referensdatum för rapportering</w:t>
      </w:r>
    </w:p>
    <w:p w14:paraId="6574E7F0" w14:textId="77777777" w:rsidR="00351613" w:rsidRDefault="006B7A50">
      <w:pPr>
        <w:pStyle w:val="NumPar1"/>
        <w:numPr>
          <w:ilvl w:val="0"/>
          <w:numId w:val="0"/>
        </w:numPr>
        <w:tabs>
          <w:tab w:val="left" w:pos="567"/>
        </w:tabs>
      </w:pPr>
      <w:r>
        <w:t>1.</w:t>
      </w:r>
      <w:r>
        <w:tab/>
        <w:t>Den information som avses i artikel 54.1 i förordningen ska rapporteras i enlighet med denna information på följande referensdatum för rapportering:</w:t>
      </w:r>
    </w:p>
    <w:p w14:paraId="50F2CE15" w14:textId="77777777" w:rsidR="00351613" w:rsidRDefault="006B7A50">
      <w:pPr>
        <w:pStyle w:val="Point1letter"/>
        <w:numPr>
          <w:ilvl w:val="0"/>
          <w:numId w:val="0"/>
        </w:numPr>
        <w:ind w:left="567" w:hanging="567"/>
      </w:pPr>
      <w:r>
        <w:t>a)</w:t>
      </w:r>
      <w:r>
        <w:tab/>
        <w:t>Kvartalsrapportering: Den 31 mars, 30 juni, 30 september och 31 december.</w:t>
      </w:r>
    </w:p>
    <w:p w14:paraId="0DD8EB0D" w14:textId="77777777" w:rsidR="00351613" w:rsidRDefault="006B7A50">
      <w:pPr>
        <w:pStyle w:val="Point1letter"/>
        <w:numPr>
          <w:ilvl w:val="0"/>
          <w:numId w:val="0"/>
        </w:numPr>
        <w:ind w:left="567" w:hanging="567"/>
      </w:pPr>
      <w:r>
        <w:t>b)</w:t>
      </w:r>
      <w:r>
        <w:tab/>
        <w:t>Årsrapportering: Den 31 december.</w:t>
      </w:r>
    </w:p>
    <w:p w14:paraId="55BE0905" w14:textId="77777777" w:rsidR="00351613" w:rsidRDefault="006B7A50">
      <w:pPr>
        <w:pStyle w:val="NumPar1"/>
        <w:numPr>
          <w:ilvl w:val="0"/>
          <w:numId w:val="0"/>
        </w:numPr>
        <w:tabs>
          <w:tab w:val="left" w:pos="567"/>
        </w:tabs>
      </w:pPr>
      <w:r>
        <w:t>2.</w:t>
      </w:r>
      <w:r>
        <w:tab/>
        <w:t>Värdepappersföretagen får justera de referensdatum för rapportering som avses i punkt 1 om det är tillåtet enligt nationell lagstiftning att rapportera finansiell information baserad på räkenskapsårets utgång som avviker från kalenderåret, så att kvartalsrapporteringen av information görs var tredje månad under respektive räkenskapsår och den årliga rapporteringen vid räkenskapsårets slut.</w:t>
      </w:r>
    </w:p>
    <w:p w14:paraId="766CE09A" w14:textId="77777777" w:rsidR="00351613" w:rsidRDefault="006B7A50">
      <w:pPr>
        <w:pStyle w:val="Titrearticle"/>
      </w:pPr>
      <w:r>
        <w:t>Artikel 2</w:t>
      </w:r>
    </w:p>
    <w:p w14:paraId="49F16157" w14:textId="77777777" w:rsidR="00351613" w:rsidRDefault="006B7A50">
      <w:pPr>
        <w:pStyle w:val="Titrearticle"/>
        <w:spacing w:before="120"/>
        <w:rPr>
          <w:b/>
          <w:i w:val="0"/>
        </w:rPr>
      </w:pPr>
      <w:r>
        <w:rPr>
          <w:b/>
          <w:i w:val="0"/>
        </w:rPr>
        <w:t>Överföringsdatum för rapportering</w:t>
      </w:r>
    </w:p>
    <w:p w14:paraId="4C3027F0" w14:textId="77777777" w:rsidR="00351613" w:rsidRDefault="006B7A50">
      <w:pPr>
        <w:pStyle w:val="NumPar1"/>
        <w:numPr>
          <w:ilvl w:val="0"/>
          <w:numId w:val="0"/>
        </w:numPr>
        <w:tabs>
          <w:tab w:val="left" w:pos="567"/>
        </w:tabs>
      </w:pPr>
      <w:r>
        <w:t>1.</w:t>
      </w:r>
      <w:r>
        <w:tab/>
        <w:t>Den information som avses i artikel 54.1 i förordning (EU) 2019/2033 ska överlämnas senast vid arbetsdagens utgång på följande överföringsdatum:</w:t>
      </w:r>
    </w:p>
    <w:p w14:paraId="6E78FA27" w14:textId="77777777" w:rsidR="00351613" w:rsidRDefault="006B7A50">
      <w:pPr>
        <w:pStyle w:val="Point1letter"/>
        <w:numPr>
          <w:ilvl w:val="0"/>
          <w:numId w:val="0"/>
        </w:numPr>
        <w:ind w:left="567" w:hanging="567"/>
      </w:pPr>
      <w:r>
        <w:t>a)</w:t>
      </w:r>
      <w:r>
        <w:tab/>
        <w:t>Kvartalsrapportering: Den 12 maj, 11 augusti, 11 november och 11 februari.</w:t>
      </w:r>
    </w:p>
    <w:p w14:paraId="32218D73" w14:textId="77777777" w:rsidR="00351613" w:rsidRDefault="006B7A50">
      <w:pPr>
        <w:pStyle w:val="Point1letter"/>
        <w:numPr>
          <w:ilvl w:val="0"/>
          <w:numId w:val="0"/>
        </w:numPr>
        <w:ind w:left="567" w:hanging="567"/>
      </w:pPr>
      <w:r>
        <w:t>b)</w:t>
      </w:r>
      <w:r>
        <w:tab/>
        <w:t>Årsrapportering: Den 11 februari.</w:t>
      </w:r>
    </w:p>
    <w:p w14:paraId="4C3C422E" w14:textId="77777777" w:rsidR="00351613" w:rsidRDefault="006B7A50">
      <w:pPr>
        <w:pStyle w:val="NumPar1"/>
        <w:numPr>
          <w:ilvl w:val="0"/>
          <w:numId w:val="0"/>
        </w:numPr>
        <w:tabs>
          <w:tab w:val="left" w:pos="567"/>
        </w:tabs>
      </w:pPr>
      <w:r>
        <w:t>2.</w:t>
      </w:r>
      <w:r>
        <w:tab/>
        <w:t>Om överföringsdatumet är en allmän helgdag i medlemsstaten för den behöriga myndighet som rapporten ska överlämnas till, eller en lördag eller söndag, ska överföringsdatum för rapporteringen vara närmast följande arbetsdag.</w:t>
      </w:r>
    </w:p>
    <w:p w14:paraId="3EC3AA8A" w14:textId="77777777" w:rsidR="00351613" w:rsidRDefault="006B7A50">
      <w:pPr>
        <w:pStyle w:val="NumPar1"/>
        <w:numPr>
          <w:ilvl w:val="0"/>
          <w:numId w:val="0"/>
        </w:numPr>
        <w:tabs>
          <w:tab w:val="left" w:pos="567"/>
        </w:tabs>
      </w:pPr>
      <w:r>
        <w:t>3.</w:t>
      </w:r>
      <w:r>
        <w:tab/>
        <w:t>Om värdepappersföretagen rapporterar sin information enligt justerade referensdatum för rapportering baserade på utgången av deras räkenskapsår i enlighet med artikel 1.2 i denna förordning, får överföringsdatumena justeras på motsvarande sätt, så att de får samma överföringsperiod som det justerade referensdatumet för rapportering.</w:t>
      </w:r>
    </w:p>
    <w:p w14:paraId="73724313" w14:textId="77777777" w:rsidR="00351613" w:rsidRDefault="006B7A50">
      <w:pPr>
        <w:pStyle w:val="NumPar1"/>
        <w:numPr>
          <w:ilvl w:val="0"/>
          <w:numId w:val="0"/>
        </w:numPr>
        <w:tabs>
          <w:tab w:val="left" w:pos="567"/>
        </w:tabs>
      </w:pPr>
      <w:r>
        <w:t>4.</w:t>
      </w:r>
      <w:r>
        <w:tab/>
        <w:t>Värdepappersföretag får lämna oreviderade uppgifter. Om de reviderade uppgifterna avviker från överlämnade oreviderade uppgifter, ska de ändrade, reviderade uppgifterna överlämnas utan onödigt dröjsmål. Vid tillämpning av denna artikel ska oreviderade uppgifter avse uppgifter som inte har blivit föremål för ett uttalande från en extern revisor, medan reviderade uppgifter är uppgifter som har granskats av en extern revisor som har lämnat ett revisionsuttalande.</w:t>
      </w:r>
    </w:p>
    <w:p w14:paraId="01843308" w14:textId="77777777" w:rsidR="00351613" w:rsidRDefault="006B7A50">
      <w:pPr>
        <w:pStyle w:val="NumPar1"/>
        <w:numPr>
          <w:ilvl w:val="0"/>
          <w:numId w:val="0"/>
        </w:numPr>
        <w:tabs>
          <w:tab w:val="left" w:pos="567"/>
        </w:tabs>
      </w:pPr>
      <w:r>
        <w:t>5.</w:t>
      </w:r>
      <w:r>
        <w:tab/>
        <w:t>Rättelser av de överlämnade rapporterna ska också överlämnas till de behöriga myndigheterna utan onödigt dröjsmål.</w:t>
      </w:r>
    </w:p>
    <w:p w14:paraId="47A66896" w14:textId="77777777" w:rsidR="00351613" w:rsidRDefault="006B7A50">
      <w:pPr>
        <w:pStyle w:val="Titrearticle"/>
      </w:pPr>
      <w:r>
        <w:lastRenderedPageBreak/>
        <w:t>Artikel 3</w:t>
      </w:r>
    </w:p>
    <w:p w14:paraId="5607228D" w14:textId="77777777" w:rsidR="00351613" w:rsidRDefault="006B7A50">
      <w:pPr>
        <w:pStyle w:val="Titrearticle"/>
        <w:spacing w:before="120"/>
        <w:rPr>
          <w:b/>
          <w:i w:val="0"/>
        </w:rPr>
      </w:pPr>
      <w:r>
        <w:rPr>
          <w:b/>
          <w:i w:val="0"/>
        </w:rPr>
        <w:t>Tillämpning av rapporteringskraven på individuell nivå</w:t>
      </w:r>
    </w:p>
    <w:p w14:paraId="6AC55B47" w14:textId="77777777" w:rsidR="00351613" w:rsidRDefault="006B7A50">
      <w:r>
        <w:t>För att uppfylla rapporteringskraven i artikel 54 i förordning (EU) 2019/2033 på individuell nivå ska värdepappersföretagen lämna den information som anges i artiklarna 5, 6 och 7 i den här förordningen med den frekvens som anges i den.</w:t>
      </w:r>
    </w:p>
    <w:p w14:paraId="304BADC0" w14:textId="77777777" w:rsidR="00351613" w:rsidRDefault="006B7A50">
      <w:pPr>
        <w:pStyle w:val="Titrearticle"/>
      </w:pPr>
      <w:r>
        <w:t>Artikel 4</w:t>
      </w:r>
    </w:p>
    <w:p w14:paraId="62557B6F" w14:textId="77777777" w:rsidR="00351613" w:rsidRDefault="006B7A50">
      <w:pPr>
        <w:pStyle w:val="Titrearticle"/>
        <w:spacing w:before="120"/>
        <w:rPr>
          <w:b/>
          <w:i w:val="0"/>
        </w:rPr>
      </w:pPr>
      <w:r>
        <w:rPr>
          <w:b/>
          <w:i w:val="0"/>
        </w:rPr>
        <w:t>Tillämpning av rapporteringskrav på konsoliderad nivå</w:t>
      </w:r>
    </w:p>
    <w:p w14:paraId="046D459E" w14:textId="77777777" w:rsidR="00351613" w:rsidRDefault="006B7A50">
      <w:pPr>
        <w:rPr>
          <w:i/>
        </w:rPr>
      </w:pPr>
      <w:r>
        <w:t>För att uppfylla rapporteringskraven i artikel 54 i förordning (EU) 2019/2033 på konsoliderad nivå ska värdepappersföretagen rapportera den information som anges i artiklarna 5 och 6 i den här genomförandeförordningen med den frekvens som anges i den.</w:t>
      </w:r>
    </w:p>
    <w:p w14:paraId="6F146E46" w14:textId="77777777" w:rsidR="00351613" w:rsidRDefault="006B7A50">
      <w:pPr>
        <w:pStyle w:val="Titrearticle"/>
      </w:pPr>
      <w:r>
        <w:t>Artikel 5</w:t>
      </w:r>
    </w:p>
    <w:p w14:paraId="7DD77640" w14:textId="77777777" w:rsidR="00351613" w:rsidRDefault="006B7A50">
      <w:pPr>
        <w:pStyle w:val="Titrearticle"/>
        <w:spacing w:before="120"/>
        <w:rPr>
          <w:b/>
          <w:i w:val="0"/>
        </w:rPr>
      </w:pPr>
      <w:r>
        <w:rPr>
          <w:b/>
          <w:i w:val="0"/>
        </w:rPr>
        <w:t>Format och frekvens för rapportering från andra värdepappersföretag än små och icke-sammanlänkade värdepappersföretag</w:t>
      </w:r>
    </w:p>
    <w:p w14:paraId="4DE07B25" w14:textId="77777777" w:rsidR="00351613" w:rsidRDefault="006B7A50">
      <w:pPr>
        <w:pStyle w:val="NumPar1"/>
        <w:numPr>
          <w:ilvl w:val="0"/>
          <w:numId w:val="0"/>
        </w:numPr>
        <w:tabs>
          <w:tab w:val="left" w:pos="567"/>
        </w:tabs>
      </w:pPr>
      <w:r>
        <w:t>1.</w:t>
      </w:r>
      <w:r>
        <w:tab/>
        <w:t>Andra värdepappersföretag än små och icke-sammanlänkade värdepappersföretag ska kvartalsvis rapportera de uppgifter som krävs enligt artikel 54.1 och 54.2 i förordning (EU) 2019/2033 med hjälp av de mallar som anges i bilaga I till den här förordningen i enlighet med instruktionerna i bilaga II till den här förordningen.</w:t>
      </w:r>
    </w:p>
    <w:p w14:paraId="37E12B0F" w14:textId="77777777" w:rsidR="00351613" w:rsidRDefault="006B7A50">
      <w:pPr>
        <w:pStyle w:val="NumPar1"/>
        <w:numPr>
          <w:ilvl w:val="0"/>
          <w:numId w:val="0"/>
        </w:numPr>
        <w:tabs>
          <w:tab w:val="left" w:pos="567"/>
        </w:tabs>
        <w:rPr>
          <w:szCs w:val="24"/>
        </w:rPr>
      </w:pPr>
      <w:r>
        <w:rPr>
          <w:szCs w:val="24"/>
        </w:rPr>
        <w:t>2.</w:t>
      </w:r>
      <w:r>
        <w:rPr>
          <w:szCs w:val="24"/>
        </w:rPr>
        <w:tab/>
      </w:r>
      <w:r>
        <w:t>Andra värdepappersföretag än små och icke-sammanlänkade värdepappersföretag som fastställer K-faktorkravet för RtM på basis av K-NPR i enlighet med artikel 21.1 i förordning (EU) 2019/2033 ska kvartalsvis rapportera den information som anges i mallarna C 18.00 till C 24.00 i bilaga I till kommissionens genomförandeförordning (EU) 2021/451</w:t>
      </w:r>
      <w:r w:rsidR="00942B13">
        <w:t> </w:t>
      </w:r>
      <w:r w:rsidR="00942B13">
        <w:rPr>
          <w:rStyle w:val="FootnoteReference"/>
        </w:rPr>
        <w:footnoteReference w:id="3"/>
      </w:r>
      <w:r>
        <w:t xml:space="preserve"> i enlighet med instruktionerna i del 2 i bilaga II till den genomförandeförordningen.</w:t>
      </w:r>
    </w:p>
    <w:p w14:paraId="543DB883" w14:textId="77777777" w:rsidR="00351613" w:rsidRDefault="006B7A50">
      <w:pPr>
        <w:pStyle w:val="NumPar1"/>
        <w:numPr>
          <w:ilvl w:val="0"/>
          <w:numId w:val="0"/>
        </w:numPr>
        <w:tabs>
          <w:tab w:val="left" w:pos="567"/>
        </w:tabs>
        <w:rPr>
          <w:szCs w:val="24"/>
        </w:rPr>
      </w:pPr>
      <w:r>
        <w:rPr>
          <w:szCs w:val="24"/>
        </w:rPr>
        <w:t>3.</w:t>
      </w:r>
      <w:r>
        <w:rPr>
          <w:szCs w:val="24"/>
        </w:rPr>
        <w:tab/>
      </w:r>
      <w:r>
        <w:t>Andra värdepappersföretag än små och icke-sammanlänkade värdepappersföretag som tillämpar undantaget i artikel 25.4 i förordning (EU) 2019/2033 ska kvartalsvis rapportera den information som anges i mall C 34.02 i bilaga I till genomförandeförordning (EU) 2021/451 i enlighet med instruktionerna i del 2 i bilaga II till den genomförandeförordningen.</w:t>
      </w:r>
    </w:p>
    <w:p w14:paraId="5EDC602A" w14:textId="77777777" w:rsidR="00351613" w:rsidRDefault="006B7A50">
      <w:pPr>
        <w:pStyle w:val="NumPar1"/>
        <w:numPr>
          <w:ilvl w:val="0"/>
          <w:numId w:val="0"/>
        </w:numPr>
        <w:tabs>
          <w:tab w:val="left" w:pos="567"/>
        </w:tabs>
        <w:rPr>
          <w:szCs w:val="24"/>
        </w:rPr>
      </w:pPr>
      <w:r>
        <w:rPr>
          <w:szCs w:val="24"/>
        </w:rPr>
        <w:t>4.</w:t>
      </w:r>
      <w:r>
        <w:rPr>
          <w:szCs w:val="24"/>
        </w:rPr>
        <w:tab/>
      </w:r>
      <w:r>
        <w:t>Andra värdepappersföretag än små och icke-sammanlänkade värdepappersföretag som tillämpar undantaget i artikel 25.5 andra stycket i förordning (EU) 2019/2033 ska kvartalsvis rapportera den information som anges i mall C 25.00 i bilaga I till genomförandeförordning (EU) 2021/451 i enlighet med instruktionerna i del 2 i bilaga II till den genomförandeförordningen.</w:t>
      </w:r>
    </w:p>
    <w:p w14:paraId="47621EA6" w14:textId="77777777" w:rsidR="00351613" w:rsidRDefault="006B7A50">
      <w:pPr>
        <w:pStyle w:val="Titrearticle"/>
      </w:pPr>
      <w:r>
        <w:t>Artikel 6</w:t>
      </w:r>
    </w:p>
    <w:p w14:paraId="1A3E95A8" w14:textId="77777777" w:rsidR="00351613" w:rsidRDefault="006B7A50">
      <w:pPr>
        <w:pStyle w:val="Titrearticle"/>
        <w:spacing w:before="120"/>
        <w:rPr>
          <w:b/>
          <w:i w:val="0"/>
        </w:rPr>
      </w:pPr>
      <w:r>
        <w:rPr>
          <w:b/>
          <w:i w:val="0"/>
        </w:rPr>
        <w:t>Format och frekvens för rapportering från små och icke-sammanlänkade värdepappersföretag</w:t>
      </w:r>
    </w:p>
    <w:p w14:paraId="6E000F37" w14:textId="77777777" w:rsidR="00351613" w:rsidRDefault="006B7A50">
      <w:pPr>
        <w:pStyle w:val="NumPar1"/>
        <w:numPr>
          <w:ilvl w:val="0"/>
          <w:numId w:val="0"/>
        </w:numPr>
        <w:tabs>
          <w:tab w:val="left" w:pos="567"/>
        </w:tabs>
      </w:pPr>
      <w:r>
        <w:t>1.</w:t>
      </w:r>
      <w:r>
        <w:tab/>
        <w:t xml:space="preserve">Små och icke-sammanlänkade värdepappersföretag ska varje år rapportera den information som anges i mallarna i bilaga III till den här förordningen i enlighet med instruktionerna i bilaga IV till den här förordningen. Värdepappersföretag som omfattas av det undantag som avses i artikel 43.1 andra stycket i förordning (EU) 2019/2033 ska undantas </w:t>
      </w:r>
      <w:r>
        <w:lastRenderedPageBreak/>
        <w:t>från skyldigheten att lämna den information som anges i mall IF 09.01 i bilaga III till den här förordningen.</w:t>
      </w:r>
    </w:p>
    <w:p w14:paraId="1354B23C" w14:textId="77777777" w:rsidR="00351613" w:rsidRDefault="006B7A50">
      <w:pPr>
        <w:pStyle w:val="Titrearticle"/>
      </w:pPr>
      <w:r>
        <w:t>Artikel 7</w:t>
      </w:r>
    </w:p>
    <w:p w14:paraId="33466803" w14:textId="77777777" w:rsidR="00351613" w:rsidRDefault="006B7A50">
      <w:pPr>
        <w:pStyle w:val="Titrearticle"/>
        <w:spacing w:before="120"/>
        <w:rPr>
          <w:b/>
          <w:i w:val="0"/>
        </w:rPr>
      </w:pPr>
      <w:r>
        <w:rPr>
          <w:b/>
          <w:i w:val="0"/>
        </w:rPr>
        <w:t>Format och frekvens för rapportering från enheter som omfattas av tillämpningen av artikel 8 i förordning (EU) 2019/2033</w:t>
      </w:r>
    </w:p>
    <w:p w14:paraId="2F11081E" w14:textId="77777777" w:rsidR="00351613" w:rsidRDefault="006B7A50">
      <w:pPr>
        <w:rPr>
          <w:rFonts w:eastAsia="Times New Roman"/>
          <w:szCs w:val="24"/>
          <w:lang w:eastAsia="en-GB"/>
        </w:rPr>
      </w:pPr>
      <w:r>
        <w:t>Genom undantag från artikel 4 i den här förordningen ska enheter som avses i artikel 8.3 i förordning (EU) 2019/2033, som omfattas av tillämpningen av den artikeln, kvartalsvis rapportera den information som anges i mallarna i bilaga VIII till den här förordningen, i enlighet med instruktionerna i bilaga IX till den här förordningen.</w:t>
      </w:r>
    </w:p>
    <w:p w14:paraId="3B713640" w14:textId="77777777" w:rsidR="00351613" w:rsidRDefault="006B7A50">
      <w:pPr>
        <w:pStyle w:val="Titrearticle"/>
      </w:pPr>
      <w:r>
        <w:t>Artikel 8</w:t>
      </w:r>
    </w:p>
    <w:p w14:paraId="013AF671" w14:textId="77777777" w:rsidR="00351613" w:rsidRDefault="006B7A50">
      <w:pPr>
        <w:pStyle w:val="Titrearticle"/>
        <w:spacing w:before="120"/>
        <w:rPr>
          <w:b/>
          <w:i w:val="0"/>
        </w:rPr>
      </w:pPr>
      <w:r>
        <w:rPr>
          <w:b/>
          <w:i w:val="0"/>
        </w:rPr>
        <w:t>Uppgifternas noggrannhet och information som åtföljer inlämningar</w:t>
      </w:r>
    </w:p>
    <w:p w14:paraId="4E0D0193" w14:textId="77777777" w:rsidR="00351613" w:rsidRDefault="006B7A50">
      <w:pPr>
        <w:pStyle w:val="NumPar1"/>
        <w:numPr>
          <w:ilvl w:val="0"/>
          <w:numId w:val="0"/>
        </w:numPr>
        <w:tabs>
          <w:tab w:val="left" w:pos="567"/>
        </w:tabs>
      </w:pPr>
      <w:r>
        <w:t>1.</w:t>
      </w:r>
      <w:r>
        <w:tab/>
        <w:t>Värdepappersföretag ska lämna in den information som avses i den här förordningen i de format för datautbyte och presentation som de behöriga myndigheterna anger och samtidigt respektera datapunktsdefinitionen i datapunktsmodellen och de valideringsformler som anges i bilaga V, samt följande specifikationer:</w:t>
      </w:r>
    </w:p>
    <w:p w14:paraId="64024AE7" w14:textId="77777777" w:rsidR="00351613" w:rsidRDefault="006B7A50">
      <w:pPr>
        <w:pStyle w:val="Point1letter"/>
        <w:numPr>
          <w:ilvl w:val="0"/>
          <w:numId w:val="0"/>
        </w:numPr>
        <w:ind w:left="567" w:hanging="567"/>
      </w:pPr>
      <w:r>
        <w:t>a)</w:t>
      </w:r>
      <w:r>
        <w:tab/>
        <w:t>Information som inte krävs eller inte är tillämplig får inte ingå i datainlämningen.</w:t>
      </w:r>
    </w:p>
    <w:p w14:paraId="470077CE" w14:textId="77777777" w:rsidR="00351613" w:rsidRPr="00942B13" w:rsidRDefault="006B7A50">
      <w:pPr>
        <w:pStyle w:val="Point1letter"/>
        <w:numPr>
          <w:ilvl w:val="0"/>
          <w:numId w:val="0"/>
        </w:numPr>
        <w:ind w:left="567" w:hanging="567"/>
      </w:pPr>
      <w:r>
        <w:t>b)</w:t>
      </w:r>
      <w:r>
        <w:tab/>
        <w:t xml:space="preserve">Numeriska värden ska </w:t>
      </w:r>
      <w:r w:rsidRPr="00942B13">
        <w:t>anges exakt enligt följande konventioner:</w:t>
      </w:r>
    </w:p>
    <w:p w14:paraId="7800E549" w14:textId="77777777" w:rsidR="00351613" w:rsidRPr="00942B13" w:rsidRDefault="006B7A50">
      <w:pPr>
        <w:pStyle w:val="Point2"/>
        <w:ind w:left="1134"/>
      </w:pPr>
      <w:r w:rsidRPr="00942B13">
        <w:t>i)</w:t>
      </w:r>
      <w:r w:rsidRPr="00942B13">
        <w:tab/>
        <w:t>Datapunkter av datatypen ”monetär” ska anges med en minsta noggrannhet motsvarande tusen enheter.</w:t>
      </w:r>
    </w:p>
    <w:p w14:paraId="55691E59" w14:textId="77777777" w:rsidR="00351613" w:rsidRPr="00942B13" w:rsidRDefault="006B7A50">
      <w:pPr>
        <w:pStyle w:val="Point2"/>
        <w:ind w:left="1134"/>
      </w:pPr>
      <w:r w:rsidRPr="00942B13">
        <w:t>ii)</w:t>
      </w:r>
      <w:r w:rsidRPr="00942B13">
        <w:tab/>
        <w:t>Datapunkter av datatypen ”procentandel” ska anges per enhet med en minsta noggrannhet motsvarande fyra decimaler.</w:t>
      </w:r>
    </w:p>
    <w:p w14:paraId="3CBE2DD9" w14:textId="77777777" w:rsidR="00351613" w:rsidRDefault="006B7A50">
      <w:pPr>
        <w:pStyle w:val="Point2"/>
        <w:ind w:left="1134"/>
      </w:pPr>
      <w:r w:rsidRPr="00942B13">
        <w:t>iii)</w:t>
      </w:r>
      <w:r w:rsidRPr="00942B13">
        <w:tab/>
        <w:t>Datapunkter av datatypen ”heltal” ska anges utan decimaler och med en minsta noggrannhet motsvarande en enhet.</w:t>
      </w:r>
    </w:p>
    <w:p w14:paraId="66F1BECA" w14:textId="77777777" w:rsidR="00351613" w:rsidRDefault="006B7A50">
      <w:pPr>
        <w:pStyle w:val="NumPar1"/>
        <w:numPr>
          <w:ilvl w:val="0"/>
          <w:numId w:val="0"/>
        </w:numPr>
        <w:tabs>
          <w:tab w:val="left" w:pos="567"/>
        </w:tabs>
      </w:pPr>
      <w:r>
        <w:t>2.</w:t>
      </w:r>
      <w:r>
        <w:tab/>
        <w:t>Värdepappersföretag ska identifieras med hjälp av sin identifieringskod för juridiska personer (LEI). Juridiska personer och motparter som inte är värdepappersföretag ska identifieras genom sin LEI-kod om sådan finns.</w:t>
      </w:r>
    </w:p>
    <w:p w14:paraId="633126DE" w14:textId="77777777" w:rsidR="00351613" w:rsidRDefault="006B7A50">
      <w:pPr>
        <w:pStyle w:val="NumPar1"/>
        <w:numPr>
          <w:ilvl w:val="0"/>
          <w:numId w:val="0"/>
        </w:numPr>
        <w:tabs>
          <w:tab w:val="left" w:pos="567"/>
        </w:tabs>
      </w:pPr>
      <w:r>
        <w:t>3.</w:t>
      </w:r>
      <w:r>
        <w:tab/>
        <w:t>Information som lämnas av värdepappersföretag på grundval av denna förordning ska åtföljas av följande information:</w:t>
      </w:r>
    </w:p>
    <w:p w14:paraId="6FAD0A88" w14:textId="77777777" w:rsidR="00351613" w:rsidRDefault="006B7A50">
      <w:pPr>
        <w:pStyle w:val="Point1letter"/>
        <w:numPr>
          <w:ilvl w:val="0"/>
          <w:numId w:val="0"/>
        </w:numPr>
        <w:ind w:left="567" w:hanging="567"/>
      </w:pPr>
      <w:r>
        <w:t>a)</w:t>
      </w:r>
      <w:r>
        <w:tab/>
        <w:t>Referensdatum för rapportering och referensperiod.</w:t>
      </w:r>
    </w:p>
    <w:p w14:paraId="5C79F539" w14:textId="77777777" w:rsidR="00351613" w:rsidRDefault="006B7A50">
      <w:pPr>
        <w:pStyle w:val="Point1letter"/>
        <w:numPr>
          <w:ilvl w:val="0"/>
          <w:numId w:val="0"/>
        </w:numPr>
        <w:ind w:left="567" w:hanging="567"/>
      </w:pPr>
      <w:r>
        <w:t>b)</w:t>
      </w:r>
      <w:r>
        <w:tab/>
        <w:t>Rapporteringsvaluta.</w:t>
      </w:r>
    </w:p>
    <w:p w14:paraId="4DC16240" w14:textId="77777777" w:rsidR="00351613" w:rsidRDefault="006B7A50">
      <w:pPr>
        <w:pStyle w:val="Point1letter"/>
        <w:numPr>
          <w:ilvl w:val="0"/>
          <w:numId w:val="0"/>
        </w:numPr>
        <w:ind w:left="567" w:hanging="567"/>
      </w:pPr>
      <w:r>
        <w:t>c)</w:t>
      </w:r>
      <w:r>
        <w:tab/>
        <w:t>Redovisningsstandard.</w:t>
      </w:r>
    </w:p>
    <w:p w14:paraId="0EE3033A" w14:textId="77777777" w:rsidR="00351613" w:rsidRDefault="006B7A50">
      <w:pPr>
        <w:pStyle w:val="Point1letter"/>
        <w:numPr>
          <w:ilvl w:val="0"/>
          <w:numId w:val="0"/>
        </w:numPr>
        <w:ind w:left="567" w:hanging="567"/>
      </w:pPr>
      <w:r>
        <w:t>d)</w:t>
      </w:r>
      <w:r>
        <w:tab/>
        <w:t>Det rapporterande institutets identifieringskod för juridiska personer (LEI).</w:t>
      </w:r>
    </w:p>
    <w:p w14:paraId="35FF709C" w14:textId="77777777" w:rsidR="00351613" w:rsidRDefault="006B7A50">
      <w:pPr>
        <w:pStyle w:val="Point1letter"/>
        <w:numPr>
          <w:ilvl w:val="0"/>
          <w:numId w:val="0"/>
        </w:numPr>
        <w:ind w:left="567" w:hanging="567"/>
      </w:pPr>
      <w:r>
        <w:t>e)</w:t>
      </w:r>
      <w:r>
        <w:tab/>
        <w:t>Konsolideringens omfattning.</w:t>
      </w:r>
    </w:p>
    <w:p w14:paraId="238FCE6A" w14:textId="77777777" w:rsidR="00351613" w:rsidRPr="00942B13" w:rsidRDefault="006B7A50">
      <w:pPr>
        <w:pStyle w:val="ChapterTitle"/>
        <w:rPr>
          <w:b w:val="0"/>
        </w:rPr>
      </w:pPr>
      <w:r w:rsidRPr="00942B13">
        <w:rPr>
          <w:b w:val="0"/>
        </w:rPr>
        <w:lastRenderedPageBreak/>
        <w:t>KAPITEL II</w:t>
      </w:r>
    </w:p>
    <w:p w14:paraId="5EEE85C2" w14:textId="77777777" w:rsidR="00351613" w:rsidRDefault="006B7A50">
      <w:pPr>
        <w:pStyle w:val="ChapterTitle"/>
      </w:pPr>
      <w:r>
        <w:t>VÄRDEPAPPERSFÖRETAGENS OFFENTLIGGÖRANDE AV INFORMATION</w:t>
      </w:r>
    </w:p>
    <w:p w14:paraId="7F8E47BA" w14:textId="77777777" w:rsidR="00351613" w:rsidRDefault="006B7A50">
      <w:pPr>
        <w:pStyle w:val="Titrearticle"/>
      </w:pPr>
      <w:r>
        <w:t>Artikel 9</w:t>
      </w:r>
    </w:p>
    <w:p w14:paraId="1062AC20" w14:textId="77777777" w:rsidR="00351613" w:rsidRDefault="006B7A50">
      <w:pPr>
        <w:pStyle w:val="Titrearticle"/>
        <w:spacing w:before="120"/>
        <w:rPr>
          <w:b/>
          <w:i w:val="0"/>
        </w:rPr>
      </w:pPr>
      <w:r>
        <w:rPr>
          <w:b/>
          <w:i w:val="0"/>
        </w:rPr>
        <w:t>Principer för offentliggörande</w:t>
      </w:r>
    </w:p>
    <w:p w14:paraId="3471FD5A" w14:textId="77777777" w:rsidR="00351613" w:rsidRDefault="006B7A50">
      <w:pPr>
        <w:pStyle w:val="NumPar1"/>
        <w:numPr>
          <w:ilvl w:val="0"/>
          <w:numId w:val="0"/>
        </w:numPr>
      </w:pPr>
      <w:r>
        <w:t>1.</w:t>
      </w:r>
      <w:r>
        <w:tab/>
        <w:t>Följande principer ska gälla för den information som ska offentliggöras i enlighet med den här förordningen:</w:t>
      </w:r>
    </w:p>
    <w:p w14:paraId="1411223E" w14:textId="77777777" w:rsidR="00351613" w:rsidRDefault="006B7A50">
      <w:pPr>
        <w:pStyle w:val="Point1letter"/>
        <w:numPr>
          <w:ilvl w:val="0"/>
          <w:numId w:val="0"/>
        </w:numPr>
        <w:ind w:left="567" w:hanging="567"/>
      </w:pPr>
      <w:r>
        <w:t>a)</w:t>
      </w:r>
      <w:r>
        <w:tab/>
        <w:t>Offentliggörandet av informationen ska omfattas av samma nivå av intern kontroll som den som gäller för den förvaltningsberättelse som ingår i värdepappersföretagets årsredovisning.</w:t>
      </w:r>
    </w:p>
    <w:p w14:paraId="705B4F01" w14:textId="77777777" w:rsidR="00351613" w:rsidRDefault="006B7A50">
      <w:pPr>
        <w:pStyle w:val="Point1letter"/>
        <w:numPr>
          <w:ilvl w:val="0"/>
          <w:numId w:val="0"/>
        </w:numPr>
        <w:ind w:left="567" w:hanging="567"/>
      </w:pPr>
      <w:r>
        <w:t>b)</w:t>
      </w:r>
      <w:r>
        <w:tab/>
        <w:t>Offentliggörandet av informationen ska vara tydlig och presenteras i en form som är begriplig för användarna av informationen och förmedlas via ett tillgängligt medium. Viktiga budskap ska lyftas fram och vara lätta att hitta. Komplexa frågor ska förklaras på ett enkelt språk. Samhörande information ska presenteras tillsammans.</w:t>
      </w:r>
    </w:p>
    <w:p w14:paraId="79F2D930" w14:textId="77777777" w:rsidR="00351613" w:rsidRDefault="006B7A50">
      <w:pPr>
        <w:pStyle w:val="Point1letter"/>
        <w:numPr>
          <w:ilvl w:val="0"/>
          <w:numId w:val="0"/>
        </w:numPr>
        <w:ind w:left="567" w:hanging="567"/>
      </w:pPr>
      <w:r>
        <w:t>c)</w:t>
      </w:r>
      <w:r>
        <w:tab/>
        <w:t>Offentliggöranden av information ska vara meningsfulla och konsekventa över tiden för att göra det möjligt för användare av informationen att jämföra den över redovisningsperioder.</w:t>
      </w:r>
    </w:p>
    <w:p w14:paraId="74830224" w14:textId="77777777" w:rsidR="00351613" w:rsidRDefault="006B7A50">
      <w:pPr>
        <w:pStyle w:val="Point1letter"/>
        <w:numPr>
          <w:ilvl w:val="0"/>
          <w:numId w:val="0"/>
        </w:numPr>
        <w:ind w:left="567" w:hanging="567"/>
      </w:pPr>
      <w:r>
        <w:t>d)</w:t>
      </w:r>
      <w:r>
        <w:tab/>
        <w:t>Kvantitativ information som offentliggörs ska alltid åtföljas av kvalitativa förklaringar och annan kompletterande information som kan behövas för att användarna ska förstå den, och det ska särskilt anges om det finns väsentliga skillnader jämfört med när motsvarande information senast offentliggjordes.</w:t>
      </w:r>
    </w:p>
    <w:p w14:paraId="60F61B15" w14:textId="77777777" w:rsidR="00351613" w:rsidRDefault="006B7A50">
      <w:pPr>
        <w:pStyle w:val="Titrearticle"/>
      </w:pPr>
      <w:r>
        <w:t>Artikel 10</w:t>
      </w:r>
    </w:p>
    <w:p w14:paraId="5C79E625" w14:textId="77777777" w:rsidR="00351613" w:rsidRDefault="006B7A50">
      <w:pPr>
        <w:pStyle w:val="Titrearticle"/>
        <w:spacing w:before="120"/>
        <w:rPr>
          <w:b/>
          <w:i w:val="0"/>
        </w:rPr>
      </w:pPr>
      <w:r>
        <w:rPr>
          <w:b/>
          <w:i w:val="0"/>
        </w:rPr>
        <w:t>Värdepappersföretags offentliggörande av information om kapitalbasen</w:t>
      </w:r>
    </w:p>
    <w:p w14:paraId="4B7EFA66" w14:textId="77777777" w:rsidR="00351613" w:rsidRDefault="006B7A50">
      <w:r>
        <w:t>Värdepappersföretag ska lämna de upplysningar om kapitalbas som krävs enligt artikel 49.1 i förordning (EU) 2019/2033 med hjälp av mallarna i bilaga VI till den här förordningen och i enlighet med de relevanta instruktioner som anges i bilaga VII till den här förordningen.</w:t>
      </w:r>
    </w:p>
    <w:p w14:paraId="6158F68A" w14:textId="77777777" w:rsidR="00351613" w:rsidRDefault="006B7A50">
      <w:pPr>
        <w:pStyle w:val="Titrearticle"/>
      </w:pPr>
      <w:r>
        <w:t>Artikel 11</w:t>
      </w:r>
    </w:p>
    <w:p w14:paraId="2CF70405" w14:textId="77777777" w:rsidR="00351613" w:rsidRDefault="006B7A50">
      <w:pPr>
        <w:pStyle w:val="Titrearticle"/>
        <w:spacing w:before="120"/>
        <w:rPr>
          <w:b/>
          <w:i w:val="0"/>
        </w:rPr>
      </w:pPr>
      <w:r>
        <w:rPr>
          <w:b/>
          <w:i w:val="0"/>
        </w:rPr>
        <w:t>Allmänna bestämmelser om offentliggörande av information</w:t>
      </w:r>
    </w:p>
    <w:p w14:paraId="1B61FF46" w14:textId="77777777" w:rsidR="00351613" w:rsidRDefault="006B7A50">
      <w:pPr>
        <w:pStyle w:val="NumPar1"/>
        <w:numPr>
          <w:ilvl w:val="0"/>
          <w:numId w:val="0"/>
        </w:numPr>
        <w:tabs>
          <w:tab w:val="left" w:pos="567"/>
        </w:tabs>
      </w:pPr>
      <w:r>
        <w:t>1.</w:t>
      </w:r>
      <w:r>
        <w:tab/>
        <w:t>När värdepappersföretagen lämnar de uppgifter som avses i artikel 10 i den här förordningen ska de säkerställa att numeriska värden anges exakt i enlighet med följande:</w:t>
      </w:r>
    </w:p>
    <w:p w14:paraId="198AD089" w14:textId="77777777" w:rsidR="00351613" w:rsidRDefault="006B7A50">
      <w:pPr>
        <w:pStyle w:val="Point1letter"/>
        <w:numPr>
          <w:ilvl w:val="0"/>
          <w:numId w:val="0"/>
        </w:numPr>
        <w:ind w:left="567" w:hanging="567"/>
      </w:pPr>
      <w:r>
        <w:t>a)</w:t>
      </w:r>
      <w:r>
        <w:tab/>
        <w:t>Kvantitativa monetära data ska offentliggöras med en minsta noggrannhet motsvarande tusentals enheter.</w:t>
      </w:r>
    </w:p>
    <w:p w14:paraId="7D6EE2C5" w14:textId="77777777" w:rsidR="00351613" w:rsidRDefault="006B7A50">
      <w:pPr>
        <w:pStyle w:val="Point1letter"/>
        <w:numPr>
          <w:ilvl w:val="0"/>
          <w:numId w:val="0"/>
        </w:numPr>
        <w:ind w:left="567" w:hanging="567"/>
      </w:pPr>
      <w:r>
        <w:t>b)</w:t>
      </w:r>
      <w:r>
        <w:tab/>
        <w:t>Kvantitativa data som offentliggörs som procentandel ska anges per enhet med en minsta noggrannhet motsvarande fyra decimaler.</w:t>
      </w:r>
    </w:p>
    <w:p w14:paraId="21FE98F4" w14:textId="77777777" w:rsidR="00351613" w:rsidRDefault="006B7A50">
      <w:pPr>
        <w:pStyle w:val="NumPar1"/>
        <w:numPr>
          <w:ilvl w:val="0"/>
          <w:numId w:val="0"/>
        </w:numPr>
        <w:tabs>
          <w:tab w:val="left" w:pos="567"/>
        </w:tabs>
      </w:pPr>
      <w:r>
        <w:t>2.</w:t>
      </w:r>
      <w:r>
        <w:tab/>
        <w:t>När värdepappersföretagen lämnar den information som avses i artikel 10 i den här förordningen ska de säkerställa att datan är kopplad till samtliga följande uppgifter:</w:t>
      </w:r>
    </w:p>
    <w:p w14:paraId="3F3E8602" w14:textId="77777777" w:rsidR="00351613" w:rsidRDefault="006B7A50">
      <w:pPr>
        <w:pStyle w:val="Point1letter"/>
        <w:numPr>
          <w:ilvl w:val="0"/>
          <w:numId w:val="0"/>
        </w:numPr>
        <w:ind w:left="567" w:hanging="567"/>
      </w:pPr>
      <w:r>
        <w:t>a)</w:t>
      </w:r>
      <w:r>
        <w:tab/>
        <w:t>Referensdatum och referensperiod för offentliggörande av information.</w:t>
      </w:r>
    </w:p>
    <w:p w14:paraId="5CA7CB7F" w14:textId="77777777" w:rsidR="00351613" w:rsidRDefault="006B7A50">
      <w:pPr>
        <w:pStyle w:val="Point1letter"/>
        <w:numPr>
          <w:ilvl w:val="0"/>
          <w:numId w:val="0"/>
        </w:numPr>
        <w:ind w:left="567" w:hanging="567"/>
      </w:pPr>
      <w:r>
        <w:t>b)</w:t>
      </w:r>
      <w:r>
        <w:tab/>
        <w:t>Valutan som offentliggörandet avser.</w:t>
      </w:r>
    </w:p>
    <w:p w14:paraId="2C36BFFF" w14:textId="77777777" w:rsidR="00351613" w:rsidRDefault="006B7A50">
      <w:pPr>
        <w:pStyle w:val="Point1letter"/>
        <w:numPr>
          <w:ilvl w:val="0"/>
          <w:numId w:val="0"/>
        </w:numPr>
        <w:ind w:left="567" w:hanging="567"/>
      </w:pPr>
      <w:r>
        <w:lastRenderedPageBreak/>
        <w:t>c)</w:t>
      </w:r>
      <w:r>
        <w:tab/>
        <w:t>Det offentliggörande institutets namn och, i relevanta fall, identifieringskod för juridiska personer.</w:t>
      </w:r>
    </w:p>
    <w:p w14:paraId="4B7072F3" w14:textId="77777777" w:rsidR="00351613" w:rsidRDefault="006B7A50">
      <w:pPr>
        <w:pStyle w:val="Point1letter"/>
        <w:numPr>
          <w:ilvl w:val="0"/>
          <w:numId w:val="0"/>
        </w:numPr>
        <w:ind w:left="567" w:hanging="567"/>
      </w:pPr>
      <w:r>
        <w:t>d)</w:t>
      </w:r>
      <w:r>
        <w:tab/>
        <w:t>Den redovisningsstandard som använts, i förekommande fall.</w:t>
      </w:r>
    </w:p>
    <w:p w14:paraId="33F6C1E6" w14:textId="77777777" w:rsidR="00351613" w:rsidRDefault="006B7A50">
      <w:pPr>
        <w:pStyle w:val="Point1letter"/>
        <w:numPr>
          <w:ilvl w:val="0"/>
          <w:numId w:val="0"/>
        </w:numPr>
        <w:ind w:left="567" w:hanging="567"/>
        <w:rPr>
          <w:lang w:val="en-US"/>
        </w:rPr>
      </w:pPr>
      <w:r>
        <w:rPr>
          <w:lang w:val="en-US"/>
        </w:rPr>
        <w:t>e)</w:t>
      </w:r>
      <w:r>
        <w:rPr>
          <w:lang w:val="en-US"/>
        </w:rPr>
        <w:tab/>
      </w:r>
      <w:r>
        <w:t>Konsolideringsgrunden, i förekommande fall.</w:t>
      </w:r>
    </w:p>
    <w:p w14:paraId="1C79646E" w14:textId="77777777" w:rsidR="00351613" w:rsidRPr="00942B13" w:rsidRDefault="006B7A50">
      <w:pPr>
        <w:pStyle w:val="ChapterTitle"/>
        <w:rPr>
          <w:b w:val="0"/>
          <w:lang w:val="en-US"/>
        </w:rPr>
      </w:pPr>
      <w:r w:rsidRPr="00942B13">
        <w:rPr>
          <w:b w:val="0"/>
        </w:rPr>
        <w:t xml:space="preserve">KAPITEL </w:t>
      </w:r>
      <w:r w:rsidRPr="00942B13">
        <w:rPr>
          <w:b w:val="0"/>
          <w:lang w:val="en-US"/>
        </w:rPr>
        <w:t>III</w:t>
      </w:r>
    </w:p>
    <w:p w14:paraId="780E9B8F" w14:textId="77777777" w:rsidR="00351613" w:rsidRDefault="006B7A50">
      <w:pPr>
        <w:pStyle w:val="ChapterTitle"/>
        <w:rPr>
          <w:lang w:val="en-US"/>
        </w:rPr>
      </w:pPr>
      <w:r>
        <w:t>SLUTBESTÄMMELSER</w:t>
      </w:r>
    </w:p>
    <w:p w14:paraId="6372C7B7" w14:textId="77777777" w:rsidR="00351613" w:rsidRDefault="006B7A50">
      <w:pPr>
        <w:pStyle w:val="Titrearticle"/>
        <w:spacing w:before="120"/>
        <w:rPr>
          <w:lang w:val="en-US"/>
        </w:rPr>
      </w:pPr>
      <w:r>
        <w:t xml:space="preserve">Artikel </w:t>
      </w:r>
      <w:r>
        <w:rPr>
          <w:lang w:val="en-US"/>
        </w:rPr>
        <w:t>12</w:t>
      </w:r>
    </w:p>
    <w:p w14:paraId="4564A09B" w14:textId="462949D0" w:rsidR="00351613" w:rsidRDefault="006B7A50">
      <w:pPr>
        <w:pStyle w:val="Titrearticle"/>
        <w:spacing w:before="120"/>
        <w:rPr>
          <w:b/>
          <w:i w:val="0"/>
          <w:lang w:val="en-US" w:eastAsia="en-GB" w:bidi="en-GB"/>
        </w:rPr>
      </w:pPr>
      <w:r>
        <w:rPr>
          <w:b/>
          <w:i w:val="0"/>
        </w:rPr>
        <w:t xml:space="preserve">Ikraftträdande </w:t>
      </w:r>
    </w:p>
    <w:p w14:paraId="40722E14" w14:textId="77777777" w:rsidR="00351613" w:rsidRDefault="006B7A50">
      <w:r>
        <w:t xml:space="preserve">Denna förordning träder i kraft den tjugonde dagen efter det att den har offentliggjorts i </w:t>
      </w:r>
      <w:r>
        <w:rPr>
          <w:i/>
        </w:rPr>
        <w:t>Europeiska unionens officiella tidning</w:t>
      </w:r>
      <w:r>
        <w:t>.</w:t>
      </w:r>
    </w:p>
    <w:p w14:paraId="775E91F3" w14:textId="77777777" w:rsidR="00351613" w:rsidRDefault="006B7A50">
      <w:pPr>
        <w:pStyle w:val="Applicationdirecte"/>
      </w:pPr>
      <w:r>
        <w:t>Denna förordning är till alla delar bindande och direkt tillämplig i alla medlemsstater.</w:t>
      </w:r>
    </w:p>
    <w:p w14:paraId="02120B92" w14:textId="77777777" w:rsidR="00351613" w:rsidRDefault="006B7A50">
      <w:pPr>
        <w:pStyle w:val="Fait"/>
      </w:pPr>
      <w:r>
        <w:t>Utfärdad i Bryssel den</w:t>
      </w:r>
      <w:r w:rsidR="00942B13">
        <w:t xml:space="preserve"> 6 december 2021.</w:t>
      </w:r>
    </w:p>
    <w:p w14:paraId="09528FEC" w14:textId="77777777" w:rsidR="00351613" w:rsidRDefault="006B7A50">
      <w:pPr>
        <w:pStyle w:val="Institutionquisigne"/>
      </w:pPr>
      <w:r>
        <w:tab/>
        <w:t>På kommissionens vägnar</w:t>
      </w:r>
    </w:p>
    <w:p w14:paraId="3F6806D6" w14:textId="77777777" w:rsidR="00942B13" w:rsidRPr="00942B13" w:rsidRDefault="00942B13" w:rsidP="00942B13">
      <w:pPr>
        <w:pStyle w:val="Personnequisigne"/>
        <w:rPr>
          <w:i w:val="0"/>
        </w:rPr>
      </w:pPr>
      <w:r w:rsidRPr="00942B13">
        <w:rPr>
          <w:i w:val="0"/>
        </w:rPr>
        <w:tab/>
        <w:t>Ursula VON DER LEYEN</w:t>
      </w:r>
    </w:p>
    <w:p w14:paraId="14DB0FC2" w14:textId="77777777" w:rsidR="00351613" w:rsidRDefault="006B7A50">
      <w:pPr>
        <w:pStyle w:val="Personnequisigne"/>
      </w:pPr>
      <w:r>
        <w:tab/>
        <w:t>Ordförande</w:t>
      </w:r>
    </w:p>
    <w:sectPr w:rsidR="00351613">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9BC57" w14:textId="77777777" w:rsidR="006B7A50" w:rsidRDefault="006B7A50">
      <w:pPr>
        <w:spacing w:before="0" w:after="0"/>
      </w:pPr>
      <w:r>
        <w:separator/>
      </w:r>
    </w:p>
  </w:endnote>
  <w:endnote w:type="continuationSeparator" w:id="0">
    <w:p w14:paraId="59213549" w14:textId="77777777" w:rsidR="006B7A50" w:rsidRDefault="006B7A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7460" w14:textId="77777777" w:rsidR="0042789A" w:rsidRDefault="004278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E4B4" w14:textId="77777777" w:rsidR="00351613" w:rsidRDefault="006B7A50">
    <w:pPr>
      <w:pStyle w:val="Footer"/>
      <w:tabs>
        <w:tab w:val="clear" w:pos="4535"/>
        <w:tab w:val="clear" w:pos="9921"/>
      </w:tabs>
      <w:ind w:left="0" w:right="0"/>
    </w:pPr>
    <w:r>
      <w:t>SV - Cleaned document</w:t>
    </w:r>
    <w:r>
      <w:tab/>
    </w:r>
    <w:r>
      <w:fldChar w:fldCharType="begin"/>
    </w:r>
    <w:r>
      <w:instrText xml:space="preserve"> PAGE \* MERGEFORMAT </w:instrText>
    </w:r>
    <w:r>
      <w:fldChar w:fldCharType="separate"/>
    </w:r>
    <w:r w:rsidR="00942B13">
      <w:rPr>
        <w:noProof/>
      </w:rPr>
      <w:t>6</w:t>
    </w:r>
    <w:r>
      <w:fldChar w:fldCharType="end"/>
    </w:r>
    <w:r>
      <w:t>/</w:t>
    </w:r>
    <w:fldSimple w:instr=" NUMPAGES \* MERGEFORMAT ">
      <w:r w:rsidR="00942B13">
        <w:rPr>
          <w:noProof/>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2F79" w14:textId="77777777" w:rsidR="0042789A" w:rsidRDefault="004278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792FE" w14:textId="77777777" w:rsidR="006B7A50" w:rsidRDefault="006B7A50">
      <w:pPr>
        <w:spacing w:before="0" w:after="0"/>
      </w:pPr>
      <w:r>
        <w:separator/>
      </w:r>
    </w:p>
  </w:footnote>
  <w:footnote w:type="continuationSeparator" w:id="0">
    <w:p w14:paraId="0D403616" w14:textId="77777777" w:rsidR="006B7A50" w:rsidRDefault="006B7A50">
      <w:pPr>
        <w:spacing w:before="0" w:after="0"/>
      </w:pPr>
      <w:r>
        <w:continuationSeparator/>
      </w:r>
    </w:p>
  </w:footnote>
  <w:footnote w:id="1">
    <w:p w14:paraId="37D09CB3" w14:textId="77777777" w:rsidR="00351613" w:rsidRDefault="006B7A50">
      <w:pPr>
        <w:pStyle w:val="FootnoteText"/>
      </w:pPr>
      <w:r>
        <w:rPr>
          <w:rStyle w:val="FootnoteReference"/>
        </w:rPr>
        <w:footnoteRef/>
      </w:r>
      <w:r>
        <w:tab/>
        <w:t>EUT L 314, 5.12.2019, s. 1.</w:t>
      </w:r>
    </w:p>
  </w:footnote>
  <w:footnote w:id="2">
    <w:p w14:paraId="59185A97" w14:textId="77777777" w:rsidR="00351613" w:rsidRDefault="006B7A50">
      <w:pPr>
        <w:pStyle w:val="FootnoteText"/>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 w:id="3">
    <w:p w14:paraId="16582B59" w14:textId="77777777" w:rsidR="00942B13" w:rsidRDefault="00942B13" w:rsidP="00942B13">
      <w:pPr>
        <w:pStyle w:val="FootnoteText"/>
      </w:pPr>
      <w:r>
        <w:rPr>
          <w:rStyle w:val="FootnoteReference"/>
        </w:rPr>
        <w:footnoteRef/>
      </w:r>
      <w:r>
        <w:tab/>
        <w:t>Kommissionens genomförandeförordning (EU) 2021/451 av den 17 december 2020 om tekniska genomförandestandarder för tillämpningen av Europaparlamentets och rådets förordning (EU) nr 575/2013 vad gäller instituts tillsynsrapportering och om upphävande av genomförandeförordning (EU) nr 680/2014 (EUT L 97, 19.3.2021,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F5AD1" w14:textId="77777777" w:rsidR="0042789A" w:rsidRDefault="00427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7496" w14:textId="2C9BC76F" w:rsidR="0042789A" w:rsidRDefault="0042789A">
    <w:pPr>
      <w:pStyle w:val="Header"/>
    </w:pPr>
    <w:r>
      <w:rPr>
        <w:noProof/>
      </w:rPr>
      <mc:AlternateContent>
        <mc:Choice Requires="wps">
          <w:drawing>
            <wp:anchor distT="0" distB="0" distL="114300" distR="114300" simplePos="0" relativeHeight="251659264" behindDoc="0" locked="0" layoutInCell="0" allowOverlap="1" wp14:anchorId="6F3EC3A4" wp14:editId="28FBE773">
              <wp:simplePos x="0" y="0"/>
              <wp:positionH relativeFrom="page">
                <wp:posOffset>0</wp:posOffset>
              </wp:positionH>
              <wp:positionV relativeFrom="page">
                <wp:posOffset>190500</wp:posOffset>
              </wp:positionV>
              <wp:extent cx="7560945" cy="273050"/>
              <wp:effectExtent l="0" t="0" r="0" b="12700"/>
              <wp:wrapNone/>
              <wp:docPr id="1" name="MSIPCM0d6943a293d98ea8d638307b" descr="{&quot;HashCode&quot;:-466411507,&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5B5AD89" w14:textId="1E4538FD" w:rsidR="0042789A" w:rsidRPr="0042789A" w:rsidRDefault="0042789A" w:rsidP="0042789A">
                          <w:pPr>
                            <w:spacing w:before="0" w:after="0"/>
                            <w:jc w:val="left"/>
                            <w:rPr>
                              <w:rFonts w:ascii="Calibri" w:hAnsi="Calibri" w:cs="Calibri"/>
                              <w:color w:val="000000"/>
                            </w:rPr>
                          </w:pPr>
                          <w:r w:rsidRPr="0042789A">
                            <w:rPr>
                              <w:rFonts w:ascii="Calibri" w:hAnsi="Calibri" w:cs="Calibri"/>
                              <w:color w:val="000000"/>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6F3EC3A4" id="_x0000_t202" coordsize="21600,21600" o:spt="202" path="m,l,21600r21600,l21600,xe">
              <v:stroke joinstyle="miter"/>
              <v:path gradientshapeok="t" o:connecttype="rect"/>
            </v:shapetype>
            <v:shape id="MSIPCM0d6943a293d98ea8d638307b" o:spid="_x0000_s1026" type="#_x0000_t202" alt="{&quot;HashCode&quot;:-466411507,&quot;Height&quot;:841.0,&quot;Width&quot;:595.0,&quot;Placement&quot;:&quot;Header&quot;,&quot;Index&quot;:&quot;Primary&quot;,&quot;Section&quot;:1,&quot;Top&quot;:0.0,&quot;Left&quot;:0.0}" style="position:absolute;left:0;text-align:left;margin-left:0;margin-top:1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" o:allowincell="f" filled="f" stroked="f" strokeweight=".5pt">
              <v:fill o:detectmouseclick="t"/>
              <v:textbox inset="20pt,0,,0">
                <w:txbxContent>
                  <w:p w14:paraId="55B5AD89" w14:textId="1E4538FD" w:rsidR="0042789A" w:rsidRPr="0042789A" w:rsidRDefault="0042789A" w:rsidP="0042789A">
                    <w:pPr>
                      <w:spacing w:before="0" w:after="0"/>
                      <w:jc w:val="left"/>
                      <w:rPr>
                        <w:rFonts w:ascii="Calibri" w:hAnsi="Calibri" w:cs="Calibri"/>
                        <w:color w:val="000000"/>
                      </w:rPr>
                    </w:pPr>
                    <w:r w:rsidRPr="0042789A">
                      <w:rPr>
                        <w:rFonts w:ascii="Calibri" w:hAnsi="Calibri" w:cs="Calibri"/>
                        <w:color w:val="000000"/>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18BEE" w14:textId="77777777" w:rsidR="0042789A" w:rsidRDefault="00427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0B4E1FA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59C8CF9A"/>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794E350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EA4BB7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BFC4352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418305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AD6B0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9230E7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2"/>
  </w:num>
  <w:num w:numId="21">
    <w:abstractNumId w:val="1"/>
  </w:num>
  <w:num w:numId="22">
    <w:abstractNumId w:val="0"/>
  </w:num>
  <w:num w:numId="23">
    <w:abstractNumId w:val="21"/>
    <w:lvlOverride w:ilvl="0">
      <w:startOverride w:val="1"/>
    </w:lvlOverride>
  </w:num>
  <w:num w:numId="24">
    <w:abstractNumId w:val="18"/>
  </w:num>
  <w:num w:numId="25">
    <w:abstractNumId w:val="12"/>
  </w:num>
  <w:num w:numId="26">
    <w:abstractNumId w:val="20"/>
  </w:num>
  <w:num w:numId="27">
    <w:abstractNumId w:val="11"/>
  </w:num>
  <w:num w:numId="28">
    <w:abstractNumId w:val="13"/>
  </w:num>
  <w:num w:numId="29">
    <w:abstractNumId w:val="9"/>
  </w:num>
  <w:num w:numId="30">
    <w:abstractNumId w:val="19"/>
  </w:num>
  <w:num w:numId="31">
    <w:abstractNumId w:val="8"/>
  </w:num>
  <w:num w:numId="32">
    <w:abstractNumId w:val="14"/>
  </w:num>
  <w:num w:numId="33">
    <w:abstractNumId w:val="16"/>
  </w:num>
  <w:num w:numId="34">
    <w:abstractNumId w:val="17"/>
  </w:num>
  <w:num w:numId="35">
    <w:abstractNumId w:val="10"/>
  </w:num>
  <w:num w:numId="36">
    <w:abstractNumId w:val="15"/>
  </w:num>
  <w:num w:numId="37">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AT" w:vendorID="64" w:dllVersion="6" w:nlCheck="1" w:checkStyle="0"/>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US" w:vendorID="64" w:dllVersion="0" w:nlCheck="1" w:checkStyle="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R_RefLast" w:val="0"/>
    <w:docVar w:name="DQCDateTime" w:val="2021-11-18 16:24:5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3"/>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Yellow"/>
    <w:docVar w:name="DQCVersion" w:val="3"/>
    <w:docVar w:name="DQCWithWarnings" w:val="0"/>
    <w:docVar w:name="LW_COVERPAGE_EXISTS" w:val="True"/>
    <w:docVar w:name="LW_COVERPAGE_GUID" w:val="2B6F8737-78CB-4876-8D10-7DA620DF667F"/>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tekniska genomförandestandarder för tillämpningen av Europaparlamentets och rådets förordning (EU) nr 2019/2033 vad gäller värdepappersföretags tillsynsrapportering och offentliggörande av information"/>
    <w:docVar w:name="LW_TYPE.DOC.CP" w:val="KOMMISSIONENS GENOMFÖRANDEFÖRORDNING (EU) \u8230?/\u8230?"/>
  </w:docVars>
  <w:rsids>
    <w:rsidRoot w:val="00351613"/>
    <w:rsid w:val="002C6213"/>
    <w:rsid w:val="00351613"/>
    <w:rsid w:val="0042789A"/>
    <w:rsid w:val="006B7A50"/>
    <w:rsid w:val="00942B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29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30"/>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0"/>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0"/>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0"/>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pPr>
      <w:spacing w:before="120" w:after="120" w:line="240" w:lineRule="auto"/>
      <w:jc w:val="both"/>
    </w:pPr>
    <w:rPr>
      <w:rFonts w:eastAsiaTheme="minorEastAsia"/>
      <w:noProof/>
      <w:szCs w:val="24"/>
    </w:rPr>
  </w:style>
  <w:style w:type="character" w:customStyle="1" w:styleId="bodyChar">
    <w:name w:val="body Char"/>
    <w:basedOn w:val="DefaultParagraphFont"/>
    <w:link w:val="body"/>
    <w:rPr>
      <w:rFonts w:eastAsiaTheme="minorEastAsia"/>
      <w:noProof/>
      <w:szCs w:val="24"/>
    </w:rPr>
  </w:style>
  <w:style w:type="paragraph" w:styleId="ListBullet">
    <w:name w:val="List Bullet"/>
    <w:basedOn w:val="Normal"/>
    <w:uiPriority w:val="99"/>
    <w:semiHidden/>
    <w:unhideWhenUsed/>
    <w:pPr>
      <w:numPr>
        <w:numId w:val="1"/>
      </w:numPr>
      <w:contextualSpacing/>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Paragraph">
    <w:name w:val="List Paragraph"/>
    <w:basedOn w:val="Normal"/>
    <w:link w:val="ListParagraphChar"/>
    <w:uiPriority w:val="34"/>
    <w:qFormat/>
    <w:pPr>
      <w:spacing w:before="0" w:after="160" w:line="259" w:lineRule="auto"/>
      <w:ind w:left="720"/>
      <w:contextualSpacing/>
      <w:jc w:val="left"/>
    </w:pPr>
    <w:rPr>
      <w:rFonts w:asciiTheme="minorHAnsi" w:hAnsiTheme="minorHAnsi" w:cstheme="minorBidi"/>
      <w:sz w:val="22"/>
      <w:lang w:val="en-US"/>
    </w:rPr>
  </w:style>
  <w:style w:type="paragraph" w:styleId="BodyText">
    <w:name w:val="Body Text"/>
    <w:basedOn w:val="Normal"/>
    <w:link w:val="BodyTextChar"/>
    <w:uiPriority w:val="99"/>
    <w:unhideWhenUsed/>
    <w:pPr>
      <w:spacing w:before="0"/>
      <w:jc w:val="left"/>
    </w:pPr>
    <w:rPr>
      <w:rFonts w:asciiTheme="minorHAnsi" w:eastAsiaTheme="minorEastAsia" w:hAnsiTheme="minorHAnsi" w:cstheme="minorBidi"/>
      <w:sz w:val="22"/>
      <w:szCs w:val="24"/>
      <w:lang w:val="en-US"/>
    </w:rPr>
  </w:style>
  <w:style w:type="character" w:customStyle="1" w:styleId="BodyTextChar">
    <w:name w:val="Body Text Char"/>
    <w:basedOn w:val="DefaultParagraphFont"/>
    <w:link w:val="BodyText"/>
    <w:uiPriority w:val="99"/>
    <w:rPr>
      <w:rFonts w:eastAsiaTheme="minorEastAsia"/>
      <w:szCs w:val="24"/>
    </w:rPr>
  </w:style>
  <w:style w:type="character" w:customStyle="1" w:styleId="ListParagraphChar">
    <w:name w:val="List Paragraph Char"/>
    <w:link w:val="ListParagraph"/>
    <w:uiPriority w:val="34"/>
  </w:style>
  <w:style w:type="paragraph" w:styleId="Caption">
    <w:name w:val="caption"/>
    <w:basedOn w:val="Normal"/>
    <w:next w:val="Normal"/>
    <w:uiPriority w:val="35"/>
    <w:semiHidden/>
    <w:unhideWhenUsed/>
    <w:qFormat/>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pPr>
      <w:spacing w:after="0"/>
    </w:pPr>
  </w:style>
  <w:style w:type="paragraph" w:styleId="ListNumber">
    <w:name w:val="List Number"/>
    <w:basedOn w:val="Normal"/>
    <w:uiPriority w:val="99"/>
    <w:semiHidden/>
    <w:unhideWhenUsed/>
    <w:pPr>
      <w:numPr>
        <w:numId w:val="19"/>
      </w:numPr>
      <w:contextualSpacing/>
    </w:pPr>
  </w:style>
  <w:style w:type="paragraph" w:styleId="ListNumber2">
    <w:name w:val="List Number 2"/>
    <w:basedOn w:val="Normal"/>
    <w:uiPriority w:val="99"/>
    <w:semiHidden/>
    <w:unhideWhenUsed/>
    <w:pPr>
      <w:numPr>
        <w:numId w:val="20"/>
      </w:numPr>
      <w:contextualSpacing/>
    </w:pPr>
  </w:style>
  <w:style w:type="paragraph" w:styleId="ListNumber3">
    <w:name w:val="List Number 3"/>
    <w:basedOn w:val="Normal"/>
    <w:uiPriority w:val="99"/>
    <w:semiHidden/>
    <w:unhideWhenUsed/>
    <w:pPr>
      <w:numPr>
        <w:numId w:val="21"/>
      </w:numPr>
      <w:contextualSpacing/>
    </w:pPr>
  </w:style>
  <w:style w:type="paragraph" w:styleId="ListNumber4">
    <w:name w:val="List Number 4"/>
    <w:basedOn w:val="Normal"/>
    <w:uiPriority w:val="99"/>
    <w:semiHidden/>
    <w:unhideWhenUsed/>
    <w:pPr>
      <w:numPr>
        <w:numId w:val="22"/>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0"/>
      <w:szCs w:val="20"/>
      <w:lang w:val="en-GB"/>
    </w:rPr>
  </w:style>
  <w:style w:type="character" w:styleId="Hyperlink">
    <w:name w:val="Hyperlink"/>
    <w:basedOn w:val="DefaultParagraphFont"/>
    <w:uiPriority w:val="99"/>
    <w:unhideWhenUsed/>
    <w:rPr>
      <w:color w:val="0000FF" w:themeColor="hyperlink"/>
      <w:u w:val="single"/>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paragraph" w:styleId="Revision">
    <w:name w:val="Revision"/>
    <w:hidden/>
    <w:uiPriority w:val="99"/>
    <w:semiHidden/>
    <w:pPr>
      <w:spacing w:after="0" w:line="240" w:lineRule="auto"/>
    </w:pPr>
    <w:rPr>
      <w:rFonts w:ascii="Times New Roman" w:hAnsi="Times New Roman" w:cs="Times New Roman"/>
      <w:sz w:val="24"/>
      <w:lang w:val="en-GB"/>
    </w:rPr>
  </w:style>
  <w:style w:type="paragraph" w:styleId="Header">
    <w:name w:val="header"/>
    <w:basedOn w:val="Normal"/>
    <w:link w:val="HeaderChar"/>
    <w:uiPriority w:val="99"/>
    <w:unhideWhenUsed/>
    <w:pPr>
      <w:tabs>
        <w:tab w:val="center" w:pos="4535"/>
        <w:tab w:val="right" w:pos="9071"/>
      </w:tabs>
      <w:spacing w:before="0"/>
    </w:pPr>
  </w:style>
  <w:style w:type="character" w:customStyle="1" w:styleId="HeaderChar">
    <w:name w:val="Header Char"/>
    <w:basedOn w:val="DefaultParagraphFont"/>
    <w:link w:val="Header"/>
    <w:uiPriority w:val="99"/>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9"/>
      </w:numPr>
    </w:pPr>
  </w:style>
  <w:style w:type="paragraph" w:customStyle="1" w:styleId="NumPar2">
    <w:name w:val="NumPar 2"/>
    <w:basedOn w:val="Normal"/>
    <w:next w:val="Text1"/>
    <w:pPr>
      <w:numPr>
        <w:ilvl w:val="1"/>
        <w:numId w:val="29"/>
      </w:numPr>
    </w:pPr>
  </w:style>
  <w:style w:type="paragraph" w:customStyle="1" w:styleId="NumPar3">
    <w:name w:val="NumPar 3"/>
    <w:basedOn w:val="Normal"/>
    <w:next w:val="Text1"/>
    <w:pPr>
      <w:numPr>
        <w:ilvl w:val="2"/>
        <w:numId w:val="29"/>
      </w:numPr>
    </w:pPr>
  </w:style>
  <w:style w:type="paragraph" w:customStyle="1" w:styleId="NumPar4">
    <w:name w:val="NumPar 4"/>
    <w:basedOn w:val="Normal"/>
    <w:next w:val="Text1"/>
    <w:pPr>
      <w:numPr>
        <w:ilvl w:val="3"/>
        <w:numId w:val="29"/>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1"/>
      </w:numPr>
    </w:pPr>
  </w:style>
  <w:style w:type="paragraph" w:customStyle="1" w:styleId="Point1number">
    <w:name w:val="Point 1 (number)"/>
    <w:basedOn w:val="Normal"/>
    <w:pPr>
      <w:numPr>
        <w:ilvl w:val="2"/>
        <w:numId w:val="31"/>
      </w:numPr>
    </w:pPr>
  </w:style>
  <w:style w:type="paragraph" w:customStyle="1" w:styleId="Point2number">
    <w:name w:val="Point 2 (number)"/>
    <w:basedOn w:val="Normal"/>
    <w:pPr>
      <w:numPr>
        <w:ilvl w:val="4"/>
        <w:numId w:val="31"/>
      </w:numPr>
    </w:pPr>
  </w:style>
  <w:style w:type="paragraph" w:customStyle="1" w:styleId="Point3number">
    <w:name w:val="Point 3 (number)"/>
    <w:basedOn w:val="Normal"/>
    <w:pPr>
      <w:numPr>
        <w:ilvl w:val="6"/>
        <w:numId w:val="31"/>
      </w:numPr>
    </w:pPr>
  </w:style>
  <w:style w:type="paragraph" w:customStyle="1" w:styleId="Point0letter">
    <w:name w:val="Point 0 (letter)"/>
    <w:basedOn w:val="Normal"/>
    <w:pPr>
      <w:numPr>
        <w:ilvl w:val="1"/>
        <w:numId w:val="31"/>
      </w:numPr>
    </w:pPr>
  </w:style>
  <w:style w:type="paragraph" w:customStyle="1" w:styleId="Point1letter">
    <w:name w:val="Point 1 (letter)"/>
    <w:basedOn w:val="Normal"/>
    <w:pPr>
      <w:numPr>
        <w:ilvl w:val="3"/>
        <w:numId w:val="31"/>
      </w:numPr>
    </w:pPr>
  </w:style>
  <w:style w:type="paragraph" w:customStyle="1" w:styleId="Point2letter">
    <w:name w:val="Point 2 (letter)"/>
    <w:basedOn w:val="Normal"/>
    <w:pPr>
      <w:numPr>
        <w:ilvl w:val="5"/>
        <w:numId w:val="31"/>
      </w:numPr>
    </w:pPr>
  </w:style>
  <w:style w:type="paragraph" w:customStyle="1" w:styleId="Point3letter">
    <w:name w:val="Point 3 (letter)"/>
    <w:basedOn w:val="Normal"/>
    <w:pPr>
      <w:numPr>
        <w:ilvl w:val="7"/>
        <w:numId w:val="31"/>
      </w:numPr>
    </w:pPr>
  </w:style>
  <w:style w:type="paragraph" w:customStyle="1" w:styleId="Point4letter">
    <w:name w:val="Point 4 (letter)"/>
    <w:basedOn w:val="Normal"/>
    <w:pPr>
      <w:numPr>
        <w:ilvl w:val="8"/>
        <w:numId w:val="31"/>
      </w:numPr>
    </w:pPr>
  </w:style>
  <w:style w:type="paragraph" w:customStyle="1" w:styleId="Bullet0">
    <w:name w:val="Bullet 0"/>
    <w:basedOn w:val="Normal"/>
    <w:pPr>
      <w:numPr>
        <w:numId w:val="32"/>
      </w:numPr>
    </w:pPr>
  </w:style>
  <w:style w:type="paragraph" w:customStyle="1" w:styleId="Bullet1">
    <w:name w:val="Bullet 1"/>
    <w:basedOn w:val="Normal"/>
    <w:pPr>
      <w:numPr>
        <w:numId w:val="33"/>
      </w:numPr>
    </w:pPr>
  </w:style>
  <w:style w:type="paragraph" w:customStyle="1" w:styleId="Bullet2">
    <w:name w:val="Bullet 2"/>
    <w:basedOn w:val="Normal"/>
    <w:pPr>
      <w:numPr>
        <w:numId w:val="34"/>
      </w:numPr>
    </w:pPr>
  </w:style>
  <w:style w:type="paragraph" w:customStyle="1" w:styleId="Bullet3">
    <w:name w:val="Bullet 3"/>
    <w:basedOn w:val="Normal"/>
    <w:pPr>
      <w:numPr>
        <w:numId w:val="35"/>
      </w:numPr>
    </w:pPr>
  </w:style>
  <w:style w:type="paragraph" w:customStyle="1" w:styleId="Bullet4">
    <w:name w:val="Bullet 4"/>
    <w:basedOn w:val="Normal"/>
    <w:pPr>
      <w:numPr>
        <w:numId w:val="36"/>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7"/>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389410">
      <w:bodyDiv w:val="1"/>
      <w:marLeft w:val="0"/>
      <w:marRight w:val="0"/>
      <w:marTop w:val="0"/>
      <w:marBottom w:val="0"/>
      <w:divBdr>
        <w:top w:val="none" w:sz="0" w:space="0" w:color="auto"/>
        <w:left w:val="none" w:sz="0" w:space="0" w:color="auto"/>
        <w:bottom w:val="none" w:sz="0" w:space="0" w:color="auto"/>
        <w:right w:val="none" w:sz="0" w:space="0" w:color="auto"/>
      </w:divBdr>
      <w:divsChild>
        <w:div w:id="1581058862">
          <w:marLeft w:val="0"/>
          <w:marRight w:val="0"/>
          <w:marTop w:val="120"/>
          <w:marBottom w:val="0"/>
          <w:divBdr>
            <w:top w:val="none" w:sz="0" w:space="0" w:color="auto"/>
            <w:left w:val="none" w:sz="0" w:space="0" w:color="auto"/>
            <w:bottom w:val="none" w:sz="0" w:space="0" w:color="auto"/>
            <w:right w:val="none" w:sz="0" w:space="0" w:color="auto"/>
          </w:divBdr>
        </w:div>
        <w:div w:id="2110659510">
          <w:marLeft w:val="0"/>
          <w:marRight w:val="0"/>
          <w:marTop w:val="0"/>
          <w:marBottom w:val="0"/>
          <w:divBdr>
            <w:top w:val="none" w:sz="0" w:space="0" w:color="auto"/>
            <w:left w:val="none" w:sz="0" w:space="0" w:color="auto"/>
            <w:bottom w:val="none" w:sz="0" w:space="0" w:color="auto"/>
            <w:right w:val="none" w:sz="0" w:space="0" w:color="auto"/>
          </w:divBdr>
        </w:div>
      </w:divsChild>
    </w:div>
    <w:div w:id="1147362770">
      <w:bodyDiv w:val="1"/>
      <w:marLeft w:val="0"/>
      <w:marRight w:val="0"/>
      <w:marTop w:val="0"/>
      <w:marBottom w:val="0"/>
      <w:divBdr>
        <w:top w:val="none" w:sz="0" w:space="0" w:color="auto"/>
        <w:left w:val="none" w:sz="0" w:space="0" w:color="auto"/>
        <w:bottom w:val="none" w:sz="0" w:space="0" w:color="auto"/>
        <w:right w:val="none" w:sz="0" w:space="0" w:color="auto"/>
      </w:divBdr>
    </w:div>
    <w:div w:id="1368986109">
      <w:bodyDiv w:val="1"/>
      <w:marLeft w:val="0"/>
      <w:marRight w:val="0"/>
      <w:marTop w:val="0"/>
      <w:marBottom w:val="0"/>
      <w:divBdr>
        <w:top w:val="none" w:sz="0" w:space="0" w:color="auto"/>
        <w:left w:val="none" w:sz="0" w:space="0" w:color="auto"/>
        <w:bottom w:val="none" w:sz="0" w:space="0" w:color="auto"/>
        <w:right w:val="none" w:sz="0" w:space="0" w:color="auto"/>
      </w:divBdr>
    </w:div>
    <w:div w:id="1846901890">
      <w:bodyDiv w:val="1"/>
      <w:marLeft w:val="0"/>
      <w:marRight w:val="0"/>
      <w:marTop w:val="0"/>
      <w:marBottom w:val="0"/>
      <w:divBdr>
        <w:top w:val="none" w:sz="0" w:space="0" w:color="auto"/>
        <w:left w:val="none" w:sz="0" w:space="0" w:color="auto"/>
        <w:bottom w:val="none" w:sz="0" w:space="0" w:color="auto"/>
        <w:right w:val="none" w:sz="0" w:space="0" w:color="auto"/>
      </w:divBdr>
      <w:divsChild>
        <w:div w:id="11031102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0170%20-%20internal%20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48D58-99EB-4E75-BC32-47B47A424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1</TotalTime>
  <Pages>7</Pages>
  <Words>1871</Words>
  <Characters>13346</Characters>
  <Application>Microsoft Office Word</Application>
  <DocSecurity>0</DocSecurity>
  <Lines>635</Lines>
  <Paragraphs>422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2021-11-25T14:54:00Z</dcterms:created>
  <dcterms:modified xsi:type="dcterms:W3CDTF">2022-01-14T15:08:00Z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Category">
    <vt:lpwstr>COM/AA</vt:lpwstr>
  </property>
  <property fmtid="{D5CDD505-2E9C-101B-9397-08002B2CF9AE}" pid="5" name="Part">
    <vt:lpwstr>1</vt:lpwstr>
  </property>
  <property fmtid="{D5CDD505-2E9C-101B-9397-08002B2CF9AE}" pid="6" name="Total parts">
    <vt:lpwstr>1</vt:lpwstr>
  </property>
  <property fmtid="{D5CDD505-2E9C-101B-9397-08002B2CF9AE}" pid="7" name="LWTemplateID">
    <vt:lpwstr>SJ-004</vt:lpwstr>
  </property>
  <property fmtid="{D5CDD505-2E9C-101B-9397-08002B2CF9AE}" pid="8" name="DQCStatus">
    <vt:lpwstr>Yellow (DQC version 03)</vt:lpwstr>
  </property>
  <property fmtid="{D5CDD505-2E9C-101B-9397-08002B2CF9AE}" pid="9" name="MSIP_Label_5c7eb9de-735b-4a68-8fe4-c9c62709b012_Enabled">
    <vt:lpwstr>true</vt:lpwstr>
  </property>
  <property fmtid="{D5CDD505-2E9C-101B-9397-08002B2CF9AE}" pid="10" name="MSIP_Label_5c7eb9de-735b-4a68-8fe4-c9c62709b012_SetDate">
    <vt:lpwstr>2022-01-14T15:08:41Z</vt:lpwstr>
  </property>
  <property fmtid="{D5CDD505-2E9C-101B-9397-08002B2CF9AE}" pid="11" name="MSIP_Label_5c7eb9de-735b-4a68-8fe4-c9c62709b012_Method">
    <vt:lpwstr>Standard</vt:lpwstr>
  </property>
  <property fmtid="{D5CDD505-2E9C-101B-9397-08002B2CF9AE}" pid="12" name="MSIP_Label_5c7eb9de-735b-4a68-8fe4-c9c62709b012_Name">
    <vt:lpwstr>EBA Regular Use</vt:lpwstr>
  </property>
  <property fmtid="{D5CDD505-2E9C-101B-9397-08002B2CF9AE}" pid="13" name="MSIP_Label_5c7eb9de-735b-4a68-8fe4-c9c62709b012_SiteId">
    <vt:lpwstr>3bacb4ff-f1a2-4c92-b96c-e99fec826b68</vt:lpwstr>
  </property>
  <property fmtid="{D5CDD505-2E9C-101B-9397-08002B2CF9AE}" pid="14" name="MSIP_Label_5c7eb9de-735b-4a68-8fe4-c9c62709b012_ActionId">
    <vt:lpwstr>7d8c7a79-29d5-4f25-815c-3e9fd5ae8fec</vt:lpwstr>
  </property>
  <property fmtid="{D5CDD505-2E9C-101B-9397-08002B2CF9AE}" pid="15" name="MSIP_Label_5c7eb9de-735b-4a68-8fe4-c9c62709b012_ContentBits">
    <vt:lpwstr>1</vt:lpwstr>
  </property>
</Properties>
</file>