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6D8DE" w14:textId="77777777" w:rsidR="00115464" w:rsidRPr="005238BC" w:rsidRDefault="005238B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5238BC">
        <w:rPr>
          <w:rFonts w:ascii="Times New Roman" w:hAnsi="Times New Roman"/>
          <w:b/>
          <w:sz w:val="24"/>
          <w:szCs w:val="24"/>
        </w:rPr>
        <w:t>IT</w:t>
      </w:r>
      <w:r w:rsidRPr="005238BC">
        <w:rPr>
          <w:rFonts w:ascii="Times New Roman" w:hAnsi="Times New Roman"/>
          <w:b/>
          <w:sz w:val="24"/>
          <w:szCs w:val="24"/>
        </w:rPr>
        <w:br/>
      </w:r>
      <w:r w:rsidRPr="005238BC">
        <w:rPr>
          <w:rFonts w:ascii="Times New Roman" w:hAnsi="Times New Roman"/>
          <w:b/>
          <w:sz w:val="24"/>
          <w:szCs w:val="20"/>
        </w:rPr>
        <w:t>ALLEGATO IX</w:t>
      </w:r>
    </w:p>
    <w:p w14:paraId="19DA75D2" w14:textId="77777777" w:rsidR="00115464" w:rsidRPr="005238BC" w:rsidRDefault="005238B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5238BC">
        <w:rPr>
          <w:rFonts w:ascii="Times New Roman" w:hAnsi="Times New Roman"/>
          <w:b/>
          <w:sz w:val="24"/>
          <w:szCs w:val="20"/>
          <w:u w:val="single"/>
        </w:rPr>
        <w:t xml:space="preserve">ALLEGATO </w:t>
      </w:r>
      <w:bookmarkEnd w:id="0"/>
      <w:bookmarkEnd w:id="1"/>
      <w:r w:rsidRPr="005238BC">
        <w:rPr>
          <w:rFonts w:ascii="Times New Roman" w:hAnsi="Times New Roman"/>
          <w:b/>
          <w:sz w:val="24"/>
          <w:szCs w:val="20"/>
          <w:u w:val="single"/>
        </w:rPr>
        <w:t>IX</w:t>
      </w:r>
    </w:p>
    <w:p w14:paraId="6CE6C377" w14:textId="77777777" w:rsidR="00115464" w:rsidRPr="005238BC" w:rsidRDefault="005238B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238BC">
        <w:rPr>
          <w:rFonts w:ascii="Times New Roman" w:hAnsi="Times New Roman"/>
          <w:b/>
          <w:sz w:val="24"/>
          <w:szCs w:val="20"/>
        </w:rPr>
        <w:t>SEGNALAZIONE DELLA VERIFICA DEL CAPITALE DEL GRUPPO</w:t>
      </w:r>
    </w:p>
    <w:p w14:paraId="6BE5A5B0" w14:textId="77777777" w:rsidR="00115464" w:rsidRPr="005238BC" w:rsidRDefault="005238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8BC">
        <w:rPr>
          <w:rFonts w:ascii="Times New Roman" w:hAnsi="Times New Roman"/>
          <w:sz w:val="24"/>
          <w:szCs w:val="24"/>
        </w:rPr>
        <w:t>Indice</w:t>
      </w:r>
    </w:p>
    <w:p w14:paraId="64123BB5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PARTE I: ISTRUZIONI DI CARATTERE GENERALE</w:t>
      </w:r>
      <w:r w:rsidRPr="005238BC">
        <w:rPr>
          <w:noProof/>
        </w:rPr>
        <w:tab/>
        <w:t>2</w:t>
      </w:r>
    </w:p>
    <w:p w14:paraId="2A8988D0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 Struttura e convenzioni</w:t>
      </w:r>
      <w:r w:rsidRPr="005238BC">
        <w:rPr>
          <w:noProof/>
        </w:rPr>
        <w:tab/>
        <w:t>2</w:t>
      </w:r>
    </w:p>
    <w:p w14:paraId="79526947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  <w:u w:val="single"/>
        </w:rPr>
        <w:t>1.1 Struttura</w:t>
      </w:r>
      <w:r w:rsidRPr="005238BC">
        <w:rPr>
          <w:noProof/>
        </w:rPr>
        <w:tab/>
        <w:t>2</w:t>
      </w:r>
    </w:p>
    <w:p w14:paraId="699DC133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  <w:u w:val="single"/>
        </w:rPr>
        <w:t>1.2 Convenzione di numerazione</w:t>
      </w:r>
      <w:r w:rsidRPr="005238BC">
        <w:rPr>
          <w:noProof/>
        </w:rPr>
        <w:tab/>
        <w:t>2</w:t>
      </w:r>
    </w:p>
    <w:p w14:paraId="6409BDD5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  <w:u w:val="single"/>
        </w:rPr>
        <w:t>1.3 Convenzione dei segni</w:t>
      </w:r>
      <w:r w:rsidRPr="005238BC">
        <w:rPr>
          <w:noProof/>
        </w:rPr>
        <w:tab/>
        <w:t>2</w:t>
      </w:r>
    </w:p>
    <w:p w14:paraId="64C47B54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PARTE II: ISTRUZIONI RELATIVE AI MODELLI</w:t>
      </w:r>
      <w:r w:rsidRPr="005238BC">
        <w:rPr>
          <w:noProof/>
        </w:rPr>
        <w:tab/>
        <w:t>3</w:t>
      </w:r>
    </w:p>
    <w:p w14:paraId="60BC3562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b/>
          <w:noProof/>
        </w:rPr>
        <w:t>1 FONDI PROPRI: LIVELLO, COMPOSIZIONE, REQUISITI E CALCOLO</w:t>
      </w:r>
      <w:r w:rsidRPr="005238BC">
        <w:rPr>
          <w:noProof/>
        </w:rPr>
        <w:tab/>
        <w:t>3</w:t>
      </w:r>
    </w:p>
    <w:p w14:paraId="2F58D1B6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1.1 Osservazioni generali</w:t>
      </w:r>
      <w:r w:rsidRPr="005238BC">
        <w:rPr>
          <w:noProof/>
        </w:rPr>
        <w:tab/>
        <w:t>3</w:t>
      </w:r>
    </w:p>
    <w:p w14:paraId="7D71F62D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1.2 I 11.01 — COMPOSIZIONE DEI FONDI PROPRI — VERIFICA DEL CAPITALE</w:t>
      </w:r>
      <w:r w:rsidRPr="005238BC">
        <w:rPr>
          <w:rFonts w:ascii="Times New Roman" w:hAnsi="Times New Roman"/>
          <w:noProof/>
        </w:rPr>
        <w:br/>
        <w:t>DEL GRUPPO (I11.1)</w:t>
      </w:r>
      <w:r w:rsidRPr="005238BC">
        <w:rPr>
          <w:noProof/>
        </w:rPr>
        <w:tab/>
        <w:t>3</w:t>
      </w:r>
    </w:p>
    <w:p w14:paraId="17FE0BFE" w14:textId="77777777" w:rsidR="00115464" w:rsidRPr="005238BC" w:rsidRDefault="005238BC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1.2.1.</w:t>
      </w:r>
      <w:r w:rsidRPr="005238BC">
        <w:rPr>
          <w:rFonts w:ascii="Times New Roman" w:hAnsi="Times New Roman"/>
          <w:noProof/>
        </w:rPr>
        <w:tab/>
        <w:t xml:space="preserve">Istruzioni relative a </w:t>
      </w:r>
      <w:r w:rsidRPr="005238BC">
        <w:rPr>
          <w:rFonts w:ascii="Times New Roman" w:hAnsi="Times New Roman"/>
          <w:noProof/>
        </w:rPr>
        <w:t>posizioni specifiche</w:t>
      </w:r>
      <w:r w:rsidRPr="005238BC">
        <w:rPr>
          <w:noProof/>
        </w:rPr>
        <w:tab/>
        <w:t>3</w:t>
      </w:r>
    </w:p>
    <w:p w14:paraId="081EDBA1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1.3 I 11.02 — REQUISITI DI FONDI PROPRI — VERIFICA DEL CAPITALE</w:t>
      </w:r>
      <w:r w:rsidRPr="005238BC">
        <w:rPr>
          <w:rFonts w:ascii="Times New Roman" w:hAnsi="Times New Roman"/>
          <w:noProof/>
        </w:rPr>
        <w:br/>
        <w:t>DEL GRUPPO (I11.2)</w:t>
      </w:r>
      <w:r w:rsidRPr="005238BC">
        <w:rPr>
          <w:noProof/>
        </w:rPr>
        <w:tab/>
        <w:t>9</w:t>
      </w:r>
    </w:p>
    <w:p w14:paraId="22DC667D" w14:textId="77777777" w:rsidR="00115464" w:rsidRPr="005238BC" w:rsidRDefault="005238BC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1.3.1.</w:t>
      </w:r>
      <w:r w:rsidRPr="005238BC">
        <w:rPr>
          <w:rFonts w:ascii="Times New Roman" w:hAnsi="Times New Roman"/>
          <w:noProof/>
        </w:rPr>
        <w:tab/>
      </w:r>
      <w:r w:rsidRPr="005238BC">
        <w:rPr>
          <w:rFonts w:ascii="Times New Roman" w:hAnsi="Times New Roman"/>
          <w:noProof/>
          <w:u w:val="single"/>
        </w:rPr>
        <w:t>Istruzioni relative a posizioni specifiche</w:t>
      </w:r>
      <w:r w:rsidRPr="005238BC">
        <w:rPr>
          <w:noProof/>
        </w:rPr>
        <w:tab/>
        <w:t>9</w:t>
      </w:r>
    </w:p>
    <w:p w14:paraId="7C548952" w14:textId="77777777" w:rsidR="00115464" w:rsidRPr="005238BC" w:rsidRDefault="005238BC">
      <w:pPr>
        <w:pStyle w:val="TOC2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1.4 IF 11.03 INFORMAZIONI SULLE FILIAZIONI (IF11.3)</w:t>
      </w:r>
      <w:r w:rsidRPr="005238BC">
        <w:rPr>
          <w:noProof/>
        </w:rPr>
        <w:tab/>
        <w:t>10</w:t>
      </w:r>
    </w:p>
    <w:p w14:paraId="52250CAB" w14:textId="77777777" w:rsidR="00115464" w:rsidRPr="005238BC" w:rsidRDefault="005238BC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en-IE"/>
        </w:rPr>
      </w:pPr>
      <w:r w:rsidRPr="005238BC">
        <w:rPr>
          <w:rFonts w:ascii="Times New Roman" w:hAnsi="Times New Roman"/>
          <w:noProof/>
        </w:rPr>
        <w:t>1.4.1.</w:t>
      </w:r>
      <w:r w:rsidRPr="005238BC">
        <w:rPr>
          <w:rFonts w:ascii="Times New Roman" w:hAnsi="Times New Roman"/>
          <w:noProof/>
        </w:rPr>
        <w:tab/>
      </w:r>
      <w:r w:rsidRPr="005238BC">
        <w:rPr>
          <w:rFonts w:ascii="Times New Roman" w:hAnsi="Times New Roman"/>
          <w:noProof/>
          <w:u w:val="single"/>
        </w:rPr>
        <w:t xml:space="preserve">Istruzioni relative a </w:t>
      </w:r>
      <w:r w:rsidRPr="005238BC">
        <w:rPr>
          <w:rFonts w:ascii="Times New Roman" w:hAnsi="Times New Roman"/>
          <w:noProof/>
          <w:u w:val="single"/>
        </w:rPr>
        <w:t>posizioni specifiche</w:t>
      </w:r>
      <w:r w:rsidRPr="005238BC">
        <w:rPr>
          <w:noProof/>
        </w:rPr>
        <w:tab/>
        <w:t>10</w:t>
      </w:r>
      <w:bookmarkStart w:id="6" w:name="_Toc360188322"/>
      <w:bookmarkStart w:id="7" w:name="_Toc473560870"/>
      <w:bookmarkStart w:id="8" w:name="_Toc7084155"/>
    </w:p>
    <w:p w14:paraId="7263DBF4" w14:textId="77777777" w:rsidR="00115464" w:rsidRPr="005238BC" w:rsidRDefault="00115464"/>
    <w:p w14:paraId="7BFA05B1" w14:textId="77777777" w:rsidR="00115464" w:rsidRPr="005238BC" w:rsidRDefault="00115464"/>
    <w:p w14:paraId="41B9406D" w14:textId="77777777" w:rsidR="00115464" w:rsidRPr="005238BC" w:rsidRDefault="005238BC">
      <w:pPr>
        <w:pStyle w:val="Heading2"/>
        <w:rPr>
          <w:rFonts w:ascii="Times New Roman" w:hAnsi="Times New Roman"/>
        </w:rPr>
      </w:pPr>
      <w:bookmarkStart w:id="9" w:name="_Toc88039297"/>
      <w:r w:rsidRPr="005238BC">
        <w:rPr>
          <w:rFonts w:ascii="Times New Roman" w:hAnsi="Times New Roman"/>
        </w:rPr>
        <w:t>PARTE I: ISTRUZIONI DI CARATTERE GENERALE</w:t>
      </w:r>
      <w:bookmarkEnd w:id="9"/>
    </w:p>
    <w:p w14:paraId="7AE96970" w14:textId="77777777" w:rsidR="00115464" w:rsidRPr="005238BC" w:rsidRDefault="005238B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039298"/>
      <w:r w:rsidRPr="005238BC">
        <w:rPr>
          <w:rFonts w:ascii="Times New Roman" w:hAnsi="Times New Roman"/>
          <w:sz w:val="24"/>
          <w:szCs w:val="24"/>
        </w:rPr>
        <w:t>1 Struttura e convenzioni</w:t>
      </w:r>
      <w:bookmarkEnd w:id="10"/>
    </w:p>
    <w:p w14:paraId="677EF7B4" w14:textId="77777777" w:rsidR="00115464" w:rsidRPr="005238BC" w:rsidRDefault="005238B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039299"/>
      <w:r w:rsidRPr="005238BC">
        <w:rPr>
          <w:rFonts w:ascii="Times New Roman" w:hAnsi="Times New Roman"/>
          <w:sz w:val="24"/>
          <w:szCs w:val="24"/>
          <w:u w:val="single"/>
        </w:rPr>
        <w:t>1.1 Struttura</w:t>
      </w:r>
      <w:bookmarkEnd w:id="11"/>
    </w:p>
    <w:p w14:paraId="0CF1A4B6" w14:textId="77777777" w:rsidR="00115464" w:rsidRPr="005238BC" w:rsidRDefault="005238BC">
      <w:pPr>
        <w:spacing w:line="256" w:lineRule="auto"/>
        <w:ind w:left="993" w:hanging="504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1.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La segnalazione della verifica del capitale del gruppo consta in tutto di due modelli:</w:t>
      </w:r>
    </w:p>
    <w:p w14:paraId="2D48984F" w14:textId="77777777" w:rsidR="00115464" w:rsidRPr="005238BC" w:rsidRDefault="005238B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a)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composizione dei fondi propri;</w:t>
      </w:r>
    </w:p>
    <w:p w14:paraId="5507DF65" w14:textId="77777777" w:rsidR="00115464" w:rsidRPr="005238BC" w:rsidRDefault="005238B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b)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strumenti di fondi pr</w:t>
      </w:r>
      <w:r w:rsidRPr="005238BC">
        <w:rPr>
          <w:rFonts w:ascii="Times New Roman" w:hAnsi="Times New Roman"/>
          <w:sz w:val="24"/>
        </w:rPr>
        <w:t>opri.</w:t>
      </w:r>
    </w:p>
    <w:p w14:paraId="2A121796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2.</w:t>
      </w:r>
      <w:r w:rsidRPr="005238BC">
        <w:tab/>
        <w:t>Per ciascun modello sono indicati i riferimenti giuridici. La presente parte del regolamento contiene ulteriori informazioni dettagliate sugli aspetti più generali della segnalazione di ciascun blocco di modelli, istruzioni relative a posizioni sp</w:t>
      </w:r>
      <w:r w:rsidRPr="005238BC">
        <w:t>ecifiche nonché norme di convalida.</w:t>
      </w:r>
    </w:p>
    <w:p w14:paraId="131F8C91" w14:textId="77777777" w:rsidR="00115464" w:rsidRPr="005238BC" w:rsidRDefault="005238B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039300"/>
      <w:r w:rsidRPr="005238BC">
        <w:rPr>
          <w:rFonts w:ascii="Times New Roman" w:hAnsi="Times New Roman"/>
          <w:sz w:val="24"/>
          <w:szCs w:val="24"/>
          <w:u w:val="single"/>
        </w:rPr>
        <w:lastRenderedPageBreak/>
        <w:t>1.2 Convenzione di numerazione</w:t>
      </w:r>
      <w:bookmarkEnd w:id="12"/>
    </w:p>
    <w:p w14:paraId="3C605D8F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3.</w:t>
      </w:r>
      <w:r w:rsidRPr="005238BC">
        <w:tab/>
        <w:t>Nel citare le colonne, le righe e le celle dei modelli, il documento si attiene alla convenzione di etichettatura di cui ai punti da 4 a 7. I codici numerici in questione sono ampiamente</w:t>
      </w:r>
      <w:r w:rsidRPr="005238BC">
        <w:t xml:space="preserve"> utilizzati nelle norme di convalida.</w:t>
      </w:r>
    </w:p>
    <w:p w14:paraId="57F20A58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4.</w:t>
      </w:r>
      <w:r w:rsidRPr="005238BC">
        <w:tab/>
        <w:t>Nelle istruzioni si applica lo schema generale di notazione seguente:</w:t>
      </w:r>
      <w:r w:rsidRPr="005238BC">
        <w:br/>
        <w:t>{Modello; Riga; Colonna}.</w:t>
      </w:r>
    </w:p>
    <w:p w14:paraId="7B83B22C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5.</w:t>
      </w:r>
      <w:r w:rsidRPr="005238BC">
        <w:tab/>
        <w:t>Per le convalide all’interno di un modello in cui sono utilizzati soltanto punti di dati del modello stesso, le anno</w:t>
      </w:r>
      <w:r w:rsidRPr="005238BC">
        <w:t>tazioni non contengono l’indicazione del modello: {Riga; Colonna}.</w:t>
      </w:r>
    </w:p>
    <w:p w14:paraId="06574AE2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6.</w:t>
      </w:r>
      <w:r w:rsidRPr="005238BC">
        <w:tab/>
        <w:t>Nei modelli con una sola colonna, sono indicate soltanto le righe: {Modello; Riga}.</w:t>
      </w:r>
    </w:p>
    <w:p w14:paraId="5DE06E2E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7.</w:t>
      </w:r>
      <w:r w:rsidRPr="005238BC">
        <w:tab/>
        <w:t>Un asterisco segnala che la convalida è effettuata per le righe o le colonne specificate in precede</w:t>
      </w:r>
      <w:r w:rsidRPr="005238BC">
        <w:t>nza.</w:t>
      </w:r>
    </w:p>
    <w:p w14:paraId="05EFCFC1" w14:textId="77777777" w:rsidR="00115464" w:rsidRPr="005238BC" w:rsidRDefault="005238B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039301"/>
      <w:r w:rsidRPr="005238BC">
        <w:rPr>
          <w:rFonts w:ascii="Times New Roman" w:hAnsi="Times New Roman"/>
          <w:sz w:val="24"/>
          <w:szCs w:val="24"/>
          <w:u w:val="single"/>
        </w:rPr>
        <w:t>1.3 Convenzione dei segni</w:t>
      </w:r>
      <w:bookmarkEnd w:id="13"/>
    </w:p>
    <w:p w14:paraId="5C01C7F3" w14:textId="77777777" w:rsidR="00115464" w:rsidRPr="005238BC" w:rsidRDefault="005238BC">
      <w:pPr>
        <w:pStyle w:val="InstructionsText2"/>
        <w:numPr>
          <w:ilvl w:val="0"/>
          <w:numId w:val="0"/>
        </w:numPr>
        <w:ind w:left="360" w:hanging="360"/>
      </w:pPr>
      <w:r w:rsidRPr="005238BC">
        <w:t>8.</w:t>
      </w:r>
      <w:r w:rsidRPr="005238BC">
        <w:tab/>
        <w:t xml:space="preserve">Qualsiasi importo che aumenta i fondi propri o i requisiti di fondi propri o i requisiti di liquidità è segnalato come cifra positiva. Per contro, qualsiasi importo che riduce i fondi propri totali o i requisiti di </w:t>
      </w:r>
      <w:r w:rsidRPr="005238BC">
        <w:t>fondi propri totali è segnalato come cifra negativa. Se l’intestazione della voce è preceduta da un segno negativo (-), significa che per quella voce non è prevista la segnalazione di cifre positive.</w:t>
      </w:r>
    </w:p>
    <w:p w14:paraId="4B608EE4" w14:textId="77777777" w:rsidR="00115464" w:rsidRPr="005238BC" w:rsidRDefault="005238BC">
      <w:pPr>
        <w:pStyle w:val="Heading2"/>
        <w:rPr>
          <w:rFonts w:ascii="Times New Roman" w:hAnsi="Times New Roman"/>
        </w:rPr>
      </w:pPr>
      <w:bookmarkStart w:id="14" w:name="_Toc88039302"/>
      <w:r w:rsidRPr="005238BC">
        <w:rPr>
          <w:rFonts w:ascii="Times New Roman" w:hAnsi="Times New Roman"/>
        </w:rPr>
        <w:t>PARTE II: ISTRUZIONI RELATIVE AI MODELLI</w:t>
      </w:r>
      <w:bookmarkEnd w:id="6"/>
      <w:bookmarkEnd w:id="7"/>
      <w:bookmarkEnd w:id="8"/>
      <w:bookmarkEnd w:id="14"/>
    </w:p>
    <w:p w14:paraId="5256A3F5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8039303"/>
      <w:r w:rsidRPr="005238BC">
        <w:rPr>
          <w:rFonts w:ascii="Times New Roman" w:hAnsi="Times New Roman"/>
          <w:b/>
          <w:sz w:val="24"/>
          <w:u w:val="none"/>
        </w:rPr>
        <w:t>1 FONDI PROPRI:</w:t>
      </w:r>
      <w:r w:rsidRPr="005238BC">
        <w:rPr>
          <w:rFonts w:ascii="Times New Roman" w:hAnsi="Times New Roman"/>
          <w:b/>
          <w:sz w:val="24"/>
          <w:u w:val="none"/>
        </w:rPr>
        <w:t xml:space="preserve"> LIVELLO, COMPOSIZIONE, REQUISITI E CALCOLO</w:t>
      </w:r>
      <w:bookmarkEnd w:id="15"/>
    </w:p>
    <w:p w14:paraId="60DCD3C1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8039304"/>
      <w:r w:rsidRPr="005238BC">
        <w:rPr>
          <w:rFonts w:ascii="Times New Roman" w:hAnsi="Times New Roman"/>
          <w:sz w:val="24"/>
          <w:u w:val="none"/>
        </w:rPr>
        <w:t xml:space="preserve">1.1 </w:t>
      </w:r>
      <w:r w:rsidRPr="005238BC">
        <w:rPr>
          <w:rFonts w:ascii="Times New Roman" w:hAnsi="Times New Roman"/>
          <w:sz w:val="24"/>
        </w:rPr>
        <w:t>Osservazioni generali</w:t>
      </w:r>
      <w:bookmarkEnd w:id="16"/>
    </w:p>
    <w:p w14:paraId="12B48695" w14:textId="77777777" w:rsidR="00115464" w:rsidRPr="005238BC" w:rsidRDefault="005238BC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10.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La sezione relativa alla rassegna dei fondi propri riporta informazioni sui fondi propri detenuti dall’impresa di investimento e sui relativi requisiti di fondi propri. Consta di due</w:t>
      </w:r>
      <w:r w:rsidRPr="005238BC">
        <w:rPr>
          <w:rFonts w:ascii="Times New Roman" w:hAnsi="Times New Roman"/>
          <w:sz w:val="24"/>
        </w:rPr>
        <w:t xml:space="preserve"> modelli:</w:t>
      </w:r>
    </w:p>
    <w:p w14:paraId="329BB216" w14:textId="77777777" w:rsidR="00115464" w:rsidRPr="005238BC" w:rsidRDefault="005238B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a)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il modello I 11.01 riporta la composizione dei fondi propri detenuti dall’impresa di investimento: capitale primario di classe 1 (CET1), capitale aggiuntivo di classe 1 (AT1) e capitale di classe 2 (T2);</w:t>
      </w:r>
    </w:p>
    <w:p w14:paraId="1A0BB310" w14:textId="77777777" w:rsidR="00115464" w:rsidRPr="005238BC" w:rsidRDefault="005238B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b)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il modello I 11.02 riporta informazi</w:t>
      </w:r>
      <w:r w:rsidRPr="005238BC">
        <w:rPr>
          <w:rFonts w:ascii="Times New Roman" w:hAnsi="Times New Roman"/>
          <w:sz w:val="24"/>
        </w:rPr>
        <w:t xml:space="preserve">oni sui </w:t>
      </w:r>
      <w:r w:rsidRPr="005238BC">
        <w:rPr>
          <w:rFonts w:ascii="Times New Roman" w:hAnsi="Times New Roman"/>
          <w:sz w:val="24"/>
        </w:rPr>
        <w:t>«r</w:t>
      </w:r>
      <w:r w:rsidRPr="005238BC">
        <w:rPr>
          <w:rFonts w:ascii="Times New Roman" w:hAnsi="Times New Roman"/>
          <w:sz w:val="24"/>
        </w:rPr>
        <w:t>equisiti di fondi propri» nel contesto della verifica del capitale del gruppo, ossia le partecipazioni infragruppo, le passività potenziali e i requisiti di fondi propri totali delle filiazioni;</w:t>
      </w:r>
    </w:p>
    <w:p w14:paraId="4DE121B6" w14:textId="77777777" w:rsidR="00115464" w:rsidRPr="005238BC" w:rsidRDefault="005238B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c)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il modello I 11.03 riporta le informazioni perti</w:t>
      </w:r>
      <w:r w:rsidRPr="005238BC">
        <w:rPr>
          <w:rFonts w:ascii="Times New Roman" w:hAnsi="Times New Roman"/>
          <w:sz w:val="24"/>
        </w:rPr>
        <w:t>nenti sui requisiti patrimoniali, sulle passività potenziali, sui crediti subordinati e sulle partecipazioni di soggetti del settore finanziario a livello di filiazione, scomposte per soggetto.</w:t>
      </w:r>
    </w:p>
    <w:p w14:paraId="50D72619" w14:textId="77777777" w:rsidR="00115464" w:rsidRPr="005238BC" w:rsidRDefault="005238BC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11.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 xml:space="preserve">Le voci di questi modelli prescindono dagli aggiustamenti </w:t>
      </w:r>
      <w:r w:rsidRPr="005238BC">
        <w:rPr>
          <w:rFonts w:ascii="Times New Roman" w:hAnsi="Times New Roman"/>
          <w:sz w:val="24"/>
        </w:rPr>
        <w:t>transitori. Ciò significa che le cifre (tranne nei casi in cui il requisito transitorio di fondi propri è specificamente indicato) sono calcolate in base alle disposizioni finali (ossia come se non esistessero disposizioni transitorie).</w:t>
      </w:r>
    </w:p>
    <w:p w14:paraId="68DD64E5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8039305"/>
      <w:r w:rsidRPr="005238BC">
        <w:rPr>
          <w:rFonts w:ascii="Times New Roman" w:hAnsi="Times New Roman"/>
          <w:sz w:val="24"/>
        </w:rPr>
        <w:lastRenderedPageBreak/>
        <w:t>1.2 I 11.01 — COMPO</w:t>
      </w:r>
      <w:r w:rsidRPr="005238BC">
        <w:rPr>
          <w:rFonts w:ascii="Times New Roman" w:hAnsi="Times New Roman"/>
          <w:sz w:val="24"/>
        </w:rPr>
        <w:t>SIZIONE DEI FONDI PROPRI — VERIFICA DEL CAPITALE DEL GRUPPO (I11.1)</w:t>
      </w:r>
      <w:bookmarkEnd w:id="17"/>
    </w:p>
    <w:p w14:paraId="1074A0E7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039306"/>
      <w:r w:rsidRPr="005238BC">
        <w:rPr>
          <w:rFonts w:ascii="Times New Roman" w:hAnsi="Times New Roman"/>
          <w:sz w:val="24"/>
          <w:u w:val="none"/>
        </w:rPr>
        <w:t>1.2.1.</w:t>
      </w:r>
      <w:r w:rsidRPr="005238BC">
        <w:rPr>
          <w:rFonts w:ascii="Times New Roman" w:hAnsi="Times New Roman"/>
          <w:sz w:val="24"/>
          <w:u w:val="none"/>
        </w:rPr>
        <w:tab/>
      </w:r>
      <w:r w:rsidRPr="005238BC">
        <w:rPr>
          <w:rFonts w:ascii="Times New Roman" w:hAnsi="Times New Roman"/>
          <w:sz w:val="24"/>
        </w:rPr>
        <w:t>Istruzioni relative a posizioni specifiche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115464" w:rsidRPr="005238BC" w14:paraId="12079269" w14:textId="77777777">
        <w:tc>
          <w:tcPr>
            <w:tcW w:w="1129" w:type="dxa"/>
            <w:shd w:val="clear" w:color="auto" w:fill="D9D9D9"/>
          </w:tcPr>
          <w:p w14:paraId="654D6D1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666028B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Riferimenti giuridici e istruzioni</w:t>
            </w:r>
          </w:p>
        </w:tc>
      </w:tr>
      <w:tr w:rsidR="00115464" w:rsidRPr="005238BC" w14:paraId="384B2513" w14:textId="77777777">
        <w:tc>
          <w:tcPr>
            <w:tcW w:w="1129" w:type="dxa"/>
          </w:tcPr>
          <w:p w14:paraId="47887F0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A7D911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FONDI PROPRI</w:t>
            </w:r>
          </w:p>
          <w:p w14:paraId="1E3535D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del regolamento (UE) 2019/2033.</w:t>
            </w:r>
          </w:p>
          <w:p w14:paraId="7A5F624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I fondi propri di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un’impresa di investimento consistono nella somma del suo capitale di classe 1 e di classe 2.</w:t>
            </w:r>
          </w:p>
        </w:tc>
      </w:tr>
      <w:tr w:rsidR="00115464" w:rsidRPr="005238BC" w14:paraId="78315B10" w14:textId="77777777">
        <w:tc>
          <w:tcPr>
            <w:tcW w:w="1129" w:type="dxa"/>
          </w:tcPr>
          <w:p w14:paraId="35DA228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C6C03C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DI CLASSE 1</w:t>
            </w:r>
          </w:p>
          <w:p w14:paraId="26D944C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Il capitale di classe 1 è la somma del capitale primario di classe 1 e del capitale aggiuntivo di classe 1.</w:t>
            </w:r>
          </w:p>
        </w:tc>
      </w:tr>
      <w:tr w:rsidR="00115464" w:rsidRPr="005238BC" w14:paraId="46F5422C" w14:textId="77777777">
        <w:tc>
          <w:tcPr>
            <w:tcW w:w="1129" w:type="dxa"/>
          </w:tcPr>
          <w:p w14:paraId="187F78E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D4E657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InstructionsTabelleberschrift"/>
                <w:rFonts w:ascii="Times New Roman" w:hAnsi="Times New Roman"/>
                <w:sz w:val="22"/>
              </w:rPr>
              <w:t xml:space="preserve">CAPITALE </w:t>
            </w:r>
            <w:r w:rsidRPr="005238BC">
              <w:rPr>
                <w:rStyle w:val="InstructionsTabelleberschrift"/>
                <w:rFonts w:ascii="Times New Roman" w:hAnsi="Times New Roman"/>
                <w:sz w:val="22"/>
              </w:rPr>
              <w:t>PRIMARIO DI CLASSE 1</w:t>
            </w:r>
          </w:p>
          <w:p w14:paraId="7397C33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del regolamento (UE) 2019/2033.</w:t>
            </w:r>
          </w:p>
          <w:p w14:paraId="2028594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50 del regolamento (UE) n. 575/2013.</w:t>
            </w:r>
          </w:p>
        </w:tc>
      </w:tr>
      <w:tr w:rsidR="00115464" w:rsidRPr="005238BC" w14:paraId="550C4218" w14:textId="77777777">
        <w:tc>
          <w:tcPr>
            <w:tcW w:w="1129" w:type="dxa"/>
          </w:tcPr>
          <w:p w14:paraId="49F85BD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57E90AD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Strumenti di capitale interamente versati</w:t>
            </w:r>
          </w:p>
          <w:p w14:paraId="2252E1D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60AE7388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26, para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grafo 1, lettera a), e articoli da 27 a 31 del regolamento (UE) n. 575/2013.</w:t>
            </w:r>
          </w:p>
          <w:p w14:paraId="1F93095E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Sono compresi gli strumenti di capitale delle società mutue e cooperative o di enti analoghi (articoli 27 e 29 del regolamento (UE) n. 575/2013).</w:t>
            </w:r>
          </w:p>
          <w:p w14:paraId="66DB1045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Non è compreso il sovrapprezzo az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ioni relativo agli strumenti.</w:t>
            </w:r>
          </w:p>
          <w:p w14:paraId="7D0C1EF3" w14:textId="77777777" w:rsidR="00115464" w:rsidRPr="005238BC" w:rsidRDefault="005238BC">
            <w:pPr>
              <w:pStyle w:val="InstructionsText"/>
              <w:rPr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Gli strumenti di capitale sottoscritti dalle autorità pubbliche in situazioni di emergenza sono compresi se sono soddisfatte tutte le condizioni di cui all’articolo 31 del regolamento (UE) n. 575/2013.</w:t>
            </w:r>
          </w:p>
        </w:tc>
      </w:tr>
      <w:tr w:rsidR="00115464" w:rsidRPr="005238BC" w14:paraId="43E81B9E" w14:textId="77777777">
        <w:tc>
          <w:tcPr>
            <w:tcW w:w="1129" w:type="dxa"/>
          </w:tcPr>
          <w:p w14:paraId="5250694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1E3014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Sovrapprezzo azion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i</w:t>
            </w:r>
          </w:p>
          <w:p w14:paraId="2CB628F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634E498B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b), del regolamento (UE) n. 575/2013.</w:t>
            </w:r>
          </w:p>
          <w:p w14:paraId="4D685414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sovrapprezzo azioni ha lo stesso significato di cui al principio contabile applicabile.</w:t>
            </w:r>
          </w:p>
          <w:p w14:paraId="366E636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Gli importi da segnalare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 in questa riga sono la parte relativa agli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trumenti di capitale versati».</w:t>
            </w:r>
          </w:p>
        </w:tc>
      </w:tr>
      <w:tr w:rsidR="00115464" w:rsidRPr="005238BC" w14:paraId="69E0816C" w14:textId="77777777">
        <w:tc>
          <w:tcPr>
            <w:tcW w:w="1129" w:type="dxa"/>
          </w:tcPr>
          <w:p w14:paraId="3A7854E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355D762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Utili non distribuiti</w:t>
            </w:r>
          </w:p>
          <w:p w14:paraId="5D8AD9B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 del</w:t>
            </w:r>
            <w:r w:rsidRPr="005238BC">
              <w:rPr>
                <w:rFonts w:ascii="Times New Roman" w:hAnsi="Times New Roman"/>
                <w:bCs/>
              </w:rPr>
              <w:t xml:space="preserve"> regolamento (UE) 2019/2033.</w:t>
            </w:r>
          </w:p>
          <w:p w14:paraId="32CFEF25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c), del regolamento (UE) n. 575/2013.</w:t>
            </w:r>
          </w:p>
          <w:p w14:paraId="6E161CDB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utili non distribuiti comprendono gli utili non distribuiti dell’anno precedente più gli utili di periodo o di fine esercizio ammissibili.</w:t>
            </w:r>
          </w:p>
          <w:p w14:paraId="615DE32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È segnalata la somma totale delle righe 0070 e 0080.</w:t>
            </w:r>
          </w:p>
        </w:tc>
      </w:tr>
      <w:tr w:rsidR="00115464" w:rsidRPr="005238BC" w14:paraId="18B7C976" w14:textId="77777777">
        <w:tc>
          <w:tcPr>
            <w:tcW w:w="1129" w:type="dxa"/>
          </w:tcPr>
          <w:p w14:paraId="64D1EAC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6429506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Utili non distribuiti di anni precedenti</w:t>
            </w:r>
          </w:p>
          <w:p w14:paraId="1FFF47E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4, parag</w:t>
            </w:r>
            <w:r w:rsidRPr="005238BC">
              <w:rPr>
                <w:rFonts w:ascii="Times New Roman" w:hAnsi="Times New Roman"/>
                <w:bCs/>
              </w:rPr>
              <w:t>rafo 1, punto 123, e articolo 26, paragrafo 1, lettera c), del regolamento (UE) n. 575/2013.</w:t>
            </w:r>
          </w:p>
          <w:p w14:paraId="1F764EB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 xml:space="preserve">L’articolo 4, paragrafo 1, punto 123, del regolamento (UE) n. 575/2013 definisce gli utili non distribuiti come </w:t>
            </w:r>
            <w:r w:rsidRPr="005238BC">
              <w:rPr>
                <w:rFonts w:ascii="Times New Roman" w:hAnsi="Times New Roman"/>
                <w:bCs/>
              </w:rPr>
              <w:t>«i</w:t>
            </w:r>
            <w:r w:rsidRPr="005238BC">
              <w:rPr>
                <w:rFonts w:ascii="Times New Roman" w:hAnsi="Times New Roman"/>
                <w:bCs/>
              </w:rPr>
              <w:t xml:space="preserve"> profitti e le perdite portati a nuovo per destin</w:t>
            </w:r>
            <w:r w:rsidRPr="005238BC">
              <w:rPr>
                <w:rFonts w:ascii="Times New Roman" w:hAnsi="Times New Roman"/>
                <w:bCs/>
              </w:rPr>
              <w:t>azione del risultato finale di esercizio in virtù della disciplina contabile applicabile».</w:t>
            </w:r>
          </w:p>
        </w:tc>
      </w:tr>
      <w:tr w:rsidR="00115464" w:rsidRPr="005238BC" w14:paraId="085F460F" w14:textId="77777777">
        <w:tc>
          <w:tcPr>
            <w:tcW w:w="1129" w:type="dxa"/>
          </w:tcPr>
          <w:p w14:paraId="5DB85FB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053C39D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Utile ammissibile</w:t>
            </w:r>
          </w:p>
          <w:p w14:paraId="7283781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238BC">
              <w:rPr>
                <w:rFonts w:ascii="Times New Roman" w:hAnsi="Times New Roman"/>
              </w:rPr>
              <w:t>Articolo 4, paragrafo 1, punto 121, articolo 26, paragrafo 2, e articolo 36, paragrafo 1, lettera a), del regolamento (UE) n. 575/2013.</w:t>
            </w:r>
          </w:p>
          <w:p w14:paraId="38A40BA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</w:rPr>
              <w:t>L’art</w:t>
            </w:r>
            <w:r w:rsidRPr="005238BC">
              <w:rPr>
                <w:rFonts w:ascii="Times New Roman" w:hAnsi="Times New Roman"/>
              </w:rPr>
              <w:t xml:space="preserve">icolo 26, paragrafo 2, del regolamento (UE) n. 575/2013 consente di includere come utili non distribuiti gli utili di periodo o di fine esercizio, previo consenso delle autorità competenti, se sono soddisfatte alcune condizioni. </w:t>
            </w:r>
          </w:p>
        </w:tc>
      </w:tr>
      <w:tr w:rsidR="00115464" w:rsidRPr="005238BC" w14:paraId="408617F7" w14:textId="77777777">
        <w:tc>
          <w:tcPr>
            <w:tcW w:w="1129" w:type="dxa"/>
          </w:tcPr>
          <w:p w14:paraId="4A0F58C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9CCE3D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Altre componenti di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conto economico complessivo accumulate</w:t>
            </w:r>
          </w:p>
          <w:p w14:paraId="544E89D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640C222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d), del regolamento (UE) n. 575/2013.</w:t>
            </w:r>
          </w:p>
        </w:tc>
      </w:tr>
      <w:tr w:rsidR="00115464" w:rsidRPr="005238BC" w14:paraId="1CCE1D61" w14:textId="77777777">
        <w:tc>
          <w:tcPr>
            <w:tcW w:w="1129" w:type="dxa"/>
          </w:tcPr>
          <w:p w14:paraId="73523F9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355F3E8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Altre riserve</w:t>
            </w:r>
          </w:p>
          <w:p w14:paraId="21EFA33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9, paragrafo 1, punto i), del </w:t>
            </w:r>
            <w:r w:rsidRPr="005238BC">
              <w:rPr>
                <w:rFonts w:ascii="Times New Roman" w:hAnsi="Times New Roman"/>
                <w:bCs/>
              </w:rPr>
              <w:t>regolamento (UE) 2019/2033.</w:t>
            </w:r>
          </w:p>
          <w:p w14:paraId="0155D984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117, e articolo 26, paragrafo 1, lettera e), del regolamento (UE) n. 575/2013.</w:t>
            </w:r>
          </w:p>
          <w:p w14:paraId="5586509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L’importo va segnalato al netto di qualsiasi onere fiscale prevedibile al momento del calcolo.</w:t>
            </w:r>
          </w:p>
        </w:tc>
      </w:tr>
      <w:tr w:rsidR="00115464" w:rsidRPr="005238BC" w14:paraId="04C03A80" w14:textId="77777777">
        <w:tc>
          <w:tcPr>
            <w:tcW w:w="1129" w:type="dxa"/>
          </w:tcPr>
          <w:p w14:paraId="2A49C87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6B9D2A5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Aggiustamenti del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 capitale primario di classe 1 dovuti a filtri prudenziali</w:t>
            </w:r>
          </w:p>
          <w:p w14:paraId="076F328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4FF1A7D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Articoli da 32 a 35 del regolamento (UE) n. 575/2013.</w:t>
            </w:r>
          </w:p>
        </w:tc>
      </w:tr>
      <w:tr w:rsidR="00115464" w:rsidRPr="005238BC" w14:paraId="411B40D9" w14:textId="77777777">
        <w:tc>
          <w:tcPr>
            <w:tcW w:w="1129" w:type="dxa"/>
          </w:tcPr>
          <w:p w14:paraId="5D90E2BE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1A576D3D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Altri fondi</w:t>
            </w:r>
          </w:p>
          <w:p w14:paraId="27068B50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9, paragrafo 4, del regolamento (UE) </w:t>
            </w:r>
            <w:r w:rsidRPr="005238BC">
              <w:rPr>
                <w:rFonts w:ascii="Times New Roman" w:hAnsi="Times New Roman"/>
                <w:bCs/>
              </w:rPr>
              <w:t>2019/2033.</w:t>
            </w:r>
          </w:p>
        </w:tc>
      </w:tr>
      <w:tr w:rsidR="00115464" w:rsidRPr="005238BC" w14:paraId="4882AF4D" w14:textId="77777777">
        <w:tc>
          <w:tcPr>
            <w:tcW w:w="1129" w:type="dxa"/>
          </w:tcPr>
          <w:p w14:paraId="4D9394E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31C54EF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DEDUZIONI TOTALI DAL CAPITALE PRIMARIO DI CLASSE 1</w:t>
            </w:r>
          </w:p>
          <w:p w14:paraId="7973582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8, paragrafo 2, lettera a), del regolamento (UE) 2019/2033, e articolo 36, paragrafo 1, del regolamento (UE) n. 575/2013, ad eccezione della lettera i) di tale </w:t>
            </w:r>
            <w:r w:rsidRPr="005238BC">
              <w:rPr>
                <w:rFonts w:ascii="Times New Roman" w:hAnsi="Times New Roman"/>
                <w:bCs/>
              </w:rPr>
              <w:t>paragrafo.</w:t>
            </w:r>
          </w:p>
          <w:p w14:paraId="5908FA9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È segnalata la somma totale delle righe 0150 e da 0190 a 0280.</w:t>
            </w:r>
          </w:p>
        </w:tc>
      </w:tr>
      <w:tr w:rsidR="00115464" w:rsidRPr="005238BC" w14:paraId="4AAF5218" w14:textId="77777777">
        <w:tc>
          <w:tcPr>
            <w:tcW w:w="1129" w:type="dxa"/>
          </w:tcPr>
          <w:p w14:paraId="588BF02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0B8886B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Strumenti propri di capitale primario di classe 1</w:t>
            </w:r>
          </w:p>
          <w:p w14:paraId="0FA615EC" w14:textId="77777777" w:rsidR="00115464" w:rsidRPr="005238BC" w:rsidRDefault="005238BC">
            <w:pPr>
              <w:rPr>
                <w:rFonts w:cs="Times New Roman"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71A3AB9D" w14:textId="77777777" w:rsidR="00115464" w:rsidRPr="005238BC" w:rsidRDefault="005238BC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36, paragrafo 1, lettera f), e articolo 42 del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 regolamento (UE) n. 575/2013.</w:t>
            </w:r>
          </w:p>
          <w:p w14:paraId="2EFB9EAC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propri di capitale primario di classe 1 detenuti dall’ente o gruppo segnalante alla data di riferimento. Fatte salve le eccezioni di cui all’articolo 42 del regolamento (UE) n. 575/2013.</w:t>
            </w:r>
          </w:p>
          <w:p w14:paraId="0602F10C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Le partecipazioni azionarie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incluse come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non ammissibili» non sono segnalate in questa riga.</w:t>
            </w:r>
          </w:p>
          <w:p w14:paraId="39E6148E" w14:textId="77777777" w:rsidR="00115464" w:rsidRPr="005238BC" w:rsidRDefault="005238BC">
            <w:pPr>
              <w:pStyle w:val="InstructionsText"/>
              <w:rPr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segnalare comprende il sovrapprezzo azioni relativo alle azioni proprie.</w:t>
            </w:r>
          </w:p>
        </w:tc>
      </w:tr>
      <w:tr w:rsidR="00115464" w:rsidRPr="005238BC" w14:paraId="195BEA7D" w14:textId="77777777">
        <w:tc>
          <w:tcPr>
            <w:tcW w:w="1129" w:type="dxa"/>
          </w:tcPr>
          <w:p w14:paraId="42ED39A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F0A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Perdite relative all’esercizio in corso</w:t>
            </w:r>
          </w:p>
          <w:p w14:paraId="34C58A6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</w:rPr>
              <w:t xml:space="preserve">Articolo 36, paragrafo 1, </w:t>
            </w:r>
            <w:r w:rsidRPr="005238BC">
              <w:rPr>
                <w:rFonts w:ascii="Times New Roman" w:hAnsi="Times New Roman"/>
              </w:rPr>
              <w:t>lettera a), del regolamento (UE) n. 575/2013.</w:t>
            </w:r>
          </w:p>
        </w:tc>
      </w:tr>
      <w:tr w:rsidR="00115464" w:rsidRPr="005238BC" w14:paraId="472FCA01" w14:textId="77777777">
        <w:tc>
          <w:tcPr>
            <w:tcW w:w="1129" w:type="dxa"/>
          </w:tcPr>
          <w:p w14:paraId="763F790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3D80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Avviamento</w:t>
            </w:r>
          </w:p>
          <w:p w14:paraId="2053DC4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4C35CE1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Articolo 4, paragrafo 1, punto 113, articolo 36, paragrafo 1, lettera b), e articolo 37 del regolamento (UE) n.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575/2013.</w:t>
            </w:r>
          </w:p>
        </w:tc>
      </w:tr>
      <w:tr w:rsidR="00115464" w:rsidRPr="005238BC" w14:paraId="74E18954" w14:textId="77777777">
        <w:tc>
          <w:tcPr>
            <w:tcW w:w="1129" w:type="dxa"/>
          </w:tcPr>
          <w:p w14:paraId="0F65620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76D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Altre attività immateriali</w:t>
            </w:r>
          </w:p>
          <w:p w14:paraId="322E37E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32242636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4, paragrafo 1, punto 115, articolo 36, paragrafo 1, lettera b), e articolo 37, lettera a), del regolamento (UE) n.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575/2013.</w:t>
            </w:r>
          </w:p>
          <w:p w14:paraId="2FDAB86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Costituiscono altre attività immateriali le attività immateriali conformemente al principio contabile applicabile, meno l’avviamento, sempre conformemente al principio contabile applicabile.</w:t>
            </w:r>
          </w:p>
        </w:tc>
      </w:tr>
      <w:tr w:rsidR="00115464" w:rsidRPr="005238BC" w14:paraId="19358C5C" w14:textId="77777777">
        <w:tc>
          <w:tcPr>
            <w:tcW w:w="1129" w:type="dxa"/>
          </w:tcPr>
          <w:p w14:paraId="0B5E5F0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FEDE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Attività fiscali differite che si basano sull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a redditività futura e non derivano da differenze temporanee al netto delle associate passività fiscali</w:t>
            </w:r>
          </w:p>
          <w:p w14:paraId="67067B6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2, lettera a), del regolamento (UE) 2019/2033.</w:t>
            </w:r>
          </w:p>
          <w:p w14:paraId="7EB8F90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36, paragrafo 1, lettera c), del regolamento (UE) n. 575/2013.</w:t>
            </w:r>
          </w:p>
        </w:tc>
      </w:tr>
      <w:tr w:rsidR="00115464" w:rsidRPr="005238BC" w14:paraId="57C4DF2B" w14:textId="77777777">
        <w:tc>
          <w:tcPr>
            <w:tcW w:w="1129" w:type="dxa"/>
          </w:tcPr>
          <w:p w14:paraId="3656559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C6E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Partecipazione qualificata al di fuori del settore finanziario che supera il 15 % dei fondi propri</w:t>
            </w:r>
          </w:p>
          <w:p w14:paraId="1CC1F44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10, paragrafo 1, lettera a), del regolamento (UE) 2019/2033.</w:t>
            </w:r>
          </w:p>
        </w:tc>
      </w:tr>
      <w:tr w:rsidR="00115464" w:rsidRPr="005238BC" w14:paraId="56C2B9BB" w14:textId="77777777">
        <w:tc>
          <w:tcPr>
            <w:tcW w:w="1129" w:type="dxa"/>
          </w:tcPr>
          <w:p w14:paraId="36B2683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AA0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Totale delle partecipazioni qualificate in imprese diverse da soggetti de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l settore finanziario che superano il 60 % dei fondi propri</w:t>
            </w:r>
          </w:p>
          <w:p w14:paraId="72698FE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10, paragrafo 1, lettera b), del regolamento (UE) 2019/2033.</w:t>
            </w:r>
          </w:p>
        </w:tc>
      </w:tr>
      <w:tr w:rsidR="00115464" w:rsidRPr="005238BC" w14:paraId="2072E4CA" w14:textId="77777777">
        <w:tc>
          <w:tcPr>
            <w:tcW w:w="1129" w:type="dxa"/>
          </w:tcPr>
          <w:p w14:paraId="075C1DEB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71D2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Strumenti di capitale primario di classe 1 di soggetti del settore finanziario in cui l’impresa madre non ha un inve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stimento significativo</w:t>
            </w:r>
          </w:p>
          <w:p w14:paraId="03BF8100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2, lettera c), del regolamento (UE) 2019/2033.</w:t>
            </w:r>
          </w:p>
          <w:p w14:paraId="64C48C47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36, paragrafo 1, lettera h), del regolamento (UE) n. 575/2013.</w:t>
            </w:r>
          </w:p>
          <w:p w14:paraId="6346713C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In questa riga, per impresa madre nell’Unione si intendono le imprese di investimento madri </w:t>
            </w:r>
            <w:r w:rsidRPr="005238BC">
              <w:rPr>
                <w:rFonts w:ascii="Times New Roman" w:hAnsi="Times New Roman"/>
                <w:bCs/>
              </w:rPr>
              <w:t>nell’Unione, le holding di investimento madri nell’Unione, le società di partecipazione finanziaria mista madri nell’Unione o qualsiasi altra impresa madre che sia un’impresa di investimento, un ente finanziario, un’impresa strumentale o un agente collegat</w:t>
            </w:r>
            <w:r w:rsidRPr="005238BC">
              <w:rPr>
                <w:rFonts w:ascii="Times New Roman" w:hAnsi="Times New Roman"/>
                <w:bCs/>
              </w:rPr>
              <w:t>o.</w:t>
            </w:r>
          </w:p>
        </w:tc>
      </w:tr>
      <w:tr w:rsidR="00115464" w:rsidRPr="005238BC" w14:paraId="107E439D" w14:textId="77777777">
        <w:tc>
          <w:tcPr>
            <w:tcW w:w="1129" w:type="dxa"/>
          </w:tcPr>
          <w:p w14:paraId="72BFD2A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3BA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Attività dei fondi pensione a prestazioni definite</w:t>
            </w:r>
          </w:p>
          <w:p w14:paraId="57FCAB4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2, lettera b), del regolamento (UE) 2019/2033.</w:t>
            </w:r>
          </w:p>
          <w:p w14:paraId="13431B6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36, paragrafo 1, lettera e), del regolamento (UE) n. 575/2013.</w:t>
            </w:r>
          </w:p>
        </w:tc>
      </w:tr>
      <w:tr w:rsidR="00115464" w:rsidRPr="005238BC" w14:paraId="19061960" w14:textId="77777777">
        <w:tc>
          <w:tcPr>
            <w:tcW w:w="1129" w:type="dxa"/>
          </w:tcPr>
          <w:p w14:paraId="56F49CA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B6CF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Altre deduzioni</w:t>
            </w:r>
          </w:p>
          <w:p w14:paraId="7A01256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</w:rPr>
              <w:t xml:space="preserve">Somma di tutte le </w:t>
            </w:r>
            <w:r w:rsidRPr="005238BC">
              <w:rPr>
                <w:rFonts w:ascii="Times New Roman" w:hAnsi="Times New Roman"/>
              </w:rPr>
              <w:t>altre deduzioni a norma dell’articolo 36, paragrafo 1, del regolamento (UE) n. 575/2013, ad eccezione delle deduzioni a norma dell’articolo 36, paragrafo 1, lettera i), del regolamento (UE) n. 575/2013 non incluse in nessuna delle righe da 0150 a 0270 di c</w:t>
            </w:r>
            <w:r w:rsidRPr="005238BC">
              <w:rPr>
                <w:rFonts w:ascii="Times New Roman" w:hAnsi="Times New Roman"/>
              </w:rPr>
              <w:t>ui sopra.</w:t>
            </w:r>
          </w:p>
        </w:tc>
      </w:tr>
      <w:tr w:rsidR="00115464" w:rsidRPr="005238BC" w14:paraId="4D11ABA3" w14:textId="77777777">
        <w:tc>
          <w:tcPr>
            <w:tcW w:w="1129" w:type="dxa"/>
          </w:tcPr>
          <w:p w14:paraId="1A08353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F5C4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primario di classe 1: altri elementi del capitale, deduzioni e aggiustamenti</w:t>
            </w:r>
          </w:p>
          <w:p w14:paraId="44B4A21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Questa riga riporta, se del caso, la somma degli elementi seguenti:</w:t>
            </w:r>
          </w:p>
          <w:p w14:paraId="60BBBF1F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 xml:space="preserve">aggiustamenti transitori dovuti agli strumenti di capitale primario di classe 1 </w:t>
            </w:r>
            <w:r w:rsidRPr="005238BC">
              <w:rPr>
                <w:rFonts w:ascii="Times New Roman" w:hAnsi="Times New Roman"/>
                <w:bCs/>
              </w:rPr>
              <w:t>soggetti alla clausola grandfathering (articolo 483, paragrafi 1, 2 e 3, e articoli da 484 a 487 del regolamento (UE) n. 575/2013);</w:t>
            </w:r>
          </w:p>
          <w:p w14:paraId="1D9FF5E2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aggiustamenti transitori del capitale primario di classe 1 (articoli da 469 a 478 e articolo 481 del regolamento (UE</w:t>
            </w:r>
            <w:r w:rsidRPr="005238BC">
              <w:rPr>
                <w:rFonts w:ascii="Times New Roman" w:hAnsi="Times New Roman"/>
                <w:bCs/>
              </w:rPr>
              <w:t>) n. 575/2013): aggiustamenti delle deduzioni dal capitale primario di classe 1 dovuti a disposizioni transitorie;</w:t>
            </w:r>
          </w:p>
          <w:p w14:paraId="1CA8AEFA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elementi del capitale primario di classe 1 o deduzioni da un elemento del capitale primario di classe 1 che non possono essere assegn</w:t>
            </w:r>
            <w:r w:rsidRPr="005238BC">
              <w:rPr>
                <w:rFonts w:ascii="Times New Roman" w:hAnsi="Times New Roman"/>
                <w:bCs/>
              </w:rPr>
              <w:t>ati a una delle righe da 0040 a 0280.</w:t>
            </w:r>
          </w:p>
          <w:p w14:paraId="0E4D786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Questa riga non è utilizzata per includere nel calcolo dei coefficienti di solvibilità elementi del capitale o deduzioni non contemplati dal regolamento (UE) 2019/2033 o dal regolamento (UE) n. 575/2013.</w:t>
            </w:r>
          </w:p>
        </w:tc>
      </w:tr>
      <w:tr w:rsidR="00115464" w:rsidRPr="005238BC" w14:paraId="5734E167" w14:textId="77777777">
        <w:tc>
          <w:tcPr>
            <w:tcW w:w="1129" w:type="dxa"/>
          </w:tcPr>
          <w:p w14:paraId="39F2755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5E6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AGGIUNTIVO DI CLASSE 1</w:t>
            </w:r>
          </w:p>
          <w:p w14:paraId="150D659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del regolamento (UE) 2019/2033.</w:t>
            </w:r>
          </w:p>
          <w:p w14:paraId="3DFE133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</w:rPr>
              <w:t>Articolo 61 del regolamento (UE) n. 575/2013.</w:t>
            </w:r>
          </w:p>
        </w:tc>
      </w:tr>
      <w:tr w:rsidR="00115464" w:rsidRPr="005238BC" w14:paraId="0F2C3DC8" w14:textId="77777777">
        <w:tc>
          <w:tcPr>
            <w:tcW w:w="1129" w:type="dxa"/>
          </w:tcPr>
          <w:p w14:paraId="22B808E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97F2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Strumenti di capitale interamente versati, emessi direttamente</w:t>
            </w:r>
          </w:p>
          <w:p w14:paraId="7DCEAAD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</w:t>
            </w:r>
            <w:r w:rsidRPr="005238BC">
              <w:rPr>
                <w:rFonts w:ascii="Times New Roman" w:hAnsi="Times New Roman"/>
                <w:bCs/>
              </w:rPr>
              <w:t>UE) 2019/2033.</w:t>
            </w:r>
          </w:p>
          <w:p w14:paraId="7C7DE1FC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51, lettera a), e articoli 52, 53 e 54 del regolamento (UE) n. 575/2013.</w:t>
            </w:r>
          </w:p>
          <w:p w14:paraId="04536A9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L’importo da segnalare non comprende il sovrapprezzo azioni relativo agli strumenti.</w:t>
            </w:r>
          </w:p>
        </w:tc>
      </w:tr>
      <w:tr w:rsidR="00115464" w:rsidRPr="005238BC" w14:paraId="3D96B5F1" w14:textId="77777777">
        <w:tc>
          <w:tcPr>
            <w:tcW w:w="1129" w:type="dxa"/>
          </w:tcPr>
          <w:p w14:paraId="2F4AD3DC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6D38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Sovrapprezzo azioni</w:t>
            </w:r>
          </w:p>
          <w:p w14:paraId="12A0F66E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9, paragrafo 1, punto i), del </w:t>
            </w:r>
            <w:r w:rsidRPr="005238BC">
              <w:rPr>
                <w:rFonts w:ascii="Times New Roman" w:hAnsi="Times New Roman"/>
                <w:bCs/>
              </w:rPr>
              <w:t>regolamento (UE) 2019/2033.</w:t>
            </w:r>
          </w:p>
          <w:p w14:paraId="441AA1D1" w14:textId="77777777" w:rsidR="00115464" w:rsidRPr="005238BC" w:rsidRDefault="005238BC">
            <w:pPr>
              <w:pStyle w:val="InstructionsText"/>
              <w:keepNext/>
              <w:keepLines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51, lettera b), del regolamento (UE) n. 575/2013.</w:t>
            </w:r>
          </w:p>
          <w:p w14:paraId="4CBEB02F" w14:textId="77777777" w:rsidR="00115464" w:rsidRPr="005238BC" w:rsidRDefault="005238BC">
            <w:pPr>
              <w:pStyle w:val="InstructionsText"/>
              <w:keepNext/>
              <w:keepLines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sovrapprezzo azioni ha lo stesso significato di cui al principio contabile applicabile.</w:t>
            </w:r>
          </w:p>
          <w:p w14:paraId="4A79CC12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importi da segnalare in questa riga sono la parte relativa agli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trumenti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 di capitale versati».</w:t>
            </w:r>
          </w:p>
        </w:tc>
      </w:tr>
      <w:tr w:rsidR="00115464" w:rsidRPr="005238BC" w14:paraId="48B860DF" w14:textId="77777777">
        <w:tc>
          <w:tcPr>
            <w:tcW w:w="1129" w:type="dxa"/>
          </w:tcPr>
          <w:p w14:paraId="59CEAB8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63C3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DEDUZIONI TOTALI DAL CAPITALE AGGIUNTIVO DI CLASSE 1</w:t>
            </w:r>
          </w:p>
          <w:p w14:paraId="66920232" w14:textId="77777777" w:rsidR="00115464" w:rsidRPr="005238BC" w:rsidRDefault="005238BC">
            <w:pPr>
              <w:spacing w:before="60" w:after="60"/>
              <w:rPr>
                <w:rFonts w:ascii="Times New Roman" w:hAnsi="Times New Roman" w:cs="Times New Roman"/>
              </w:rPr>
            </w:pPr>
            <w:r w:rsidRPr="005238BC">
              <w:rPr>
                <w:rFonts w:ascii="Times New Roman" w:hAnsi="Times New Roman"/>
              </w:rPr>
              <w:t>Articolo 56 del regolamento (UE) n. 575/2013, ad eccezione della lettera d) di tale articolo.</w:t>
            </w:r>
          </w:p>
          <w:p w14:paraId="0A6B12A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È segnalata la somma totale delle righe 0340, 0380 e 0400.</w:t>
            </w:r>
          </w:p>
        </w:tc>
      </w:tr>
      <w:tr w:rsidR="00115464" w:rsidRPr="005238BC" w14:paraId="0F2F033D" w14:textId="77777777">
        <w:tc>
          <w:tcPr>
            <w:tcW w:w="1129" w:type="dxa"/>
          </w:tcPr>
          <w:p w14:paraId="646925A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72F7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Strumenti propri di capitale aggiuntivo di classe 1</w:t>
            </w:r>
          </w:p>
          <w:p w14:paraId="4A43FAD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2CFAB617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Articolo 52, paragrafo 1, lettera b), articolo 56, lettera a), e articolo 57 del regolamento (UE) n. 575/2013.</w:t>
            </w:r>
          </w:p>
          <w:p w14:paraId="29285BBC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propri di capita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le aggiuntivo di classe 1 detenuti dall’impresa di investimento alla data di riferimento. Fatte salve le eccezioni di cui all’articolo 57 del regolamento (UE) n. 575/2013.</w:t>
            </w:r>
          </w:p>
          <w:p w14:paraId="0C540ACD" w14:textId="77777777" w:rsidR="00115464" w:rsidRPr="005238BC" w:rsidRDefault="005238BC">
            <w:pPr>
              <w:pStyle w:val="InstructionsText"/>
              <w:rPr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segnalare comprende il sovrapprezzo azioni relativo alle azioni proprie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15464" w:rsidRPr="005238BC" w14:paraId="05687EE4" w14:textId="77777777">
        <w:tc>
          <w:tcPr>
            <w:tcW w:w="1129" w:type="dxa"/>
          </w:tcPr>
          <w:p w14:paraId="199BE77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C14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Strumenti di capitale aggiuntivo di classe 1 di soggetti del settore finanziario in cui l’impresa madre non ha un investimento significativo</w:t>
            </w:r>
          </w:p>
          <w:p w14:paraId="70A68C5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2, lettera c), del regolamento (UE) 2019/2033.</w:t>
            </w:r>
          </w:p>
          <w:p w14:paraId="4063295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56, lettera c), del regol</w:t>
            </w:r>
            <w:r w:rsidRPr="005238BC">
              <w:rPr>
                <w:rFonts w:ascii="Times New Roman" w:hAnsi="Times New Roman"/>
                <w:bCs/>
              </w:rPr>
              <w:t>amento (UE) n. 575/2013.</w:t>
            </w:r>
          </w:p>
          <w:p w14:paraId="3734F35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In questa riga, per impresa madre nell’Unione si intendono le imprese di investimento madri nell’Unione, le holding di investimento madri nell’Unione, le società di partecipazione finanziaria mista madri nell’Unione o qualsiasi alt</w:t>
            </w:r>
            <w:r w:rsidRPr="005238BC">
              <w:rPr>
                <w:rFonts w:ascii="Times New Roman" w:hAnsi="Times New Roman"/>
                <w:bCs/>
              </w:rPr>
              <w:t>ra impresa madre che sia un’impresa di investimento, un ente finanziario, un’impresa strumentale o un agente collegato.</w:t>
            </w:r>
          </w:p>
        </w:tc>
      </w:tr>
      <w:tr w:rsidR="00115464" w:rsidRPr="005238BC" w14:paraId="58C6F4A0" w14:textId="77777777">
        <w:tc>
          <w:tcPr>
            <w:tcW w:w="1129" w:type="dxa"/>
          </w:tcPr>
          <w:p w14:paraId="14D8B75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352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Altre deduzioni</w:t>
            </w:r>
          </w:p>
          <w:p w14:paraId="2B4A345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Somma di tutte le altre deduzioni a norma dell’articolo 56 del regolamento (UE) n. 575/2013, ad </w:t>
            </w:r>
            <w:r w:rsidRPr="005238BC">
              <w:rPr>
                <w:rFonts w:ascii="Times New Roman" w:hAnsi="Times New Roman"/>
                <w:bCs/>
              </w:rPr>
              <w:t>eccezione delle deduzioni a norma dell’articolo 56, lettera d), del regolamento (UE) n. 575/2013 non incluse in nessuna delle righe 0340 o 0380 di cui sopra.</w:t>
            </w:r>
          </w:p>
        </w:tc>
      </w:tr>
      <w:tr w:rsidR="00115464" w:rsidRPr="005238BC" w14:paraId="0DBA0A04" w14:textId="77777777">
        <w:tc>
          <w:tcPr>
            <w:tcW w:w="1129" w:type="dxa"/>
          </w:tcPr>
          <w:p w14:paraId="63A3841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FBB7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aggiuntivo di classe 1: altri elementi del capitale, deduzioni e aggiustamenti</w:t>
            </w:r>
          </w:p>
          <w:p w14:paraId="5D971B1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Ques</w:t>
            </w:r>
            <w:r w:rsidRPr="005238BC">
              <w:rPr>
                <w:rFonts w:ascii="Times New Roman" w:hAnsi="Times New Roman"/>
                <w:bCs/>
              </w:rPr>
              <w:t>ta riga riporta, se del caso, la somma degli elementi seguenti:</w:t>
            </w:r>
          </w:p>
          <w:p w14:paraId="08F74C47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aggiustamenti transitori dovuti agli strumenti di capitale aggiuntivo di classe 1 soggetti alla clausola grandfathering (articolo 483, paragrafi 4 e 5, e articoli da 484 a 487, 489 e 491 del</w:t>
            </w:r>
            <w:r w:rsidRPr="005238BC">
              <w:rPr>
                <w:rFonts w:ascii="Times New Roman" w:hAnsi="Times New Roman"/>
                <w:bCs/>
              </w:rPr>
              <w:t xml:space="preserve"> regolamento (UE) n. 575/2013);</w:t>
            </w:r>
          </w:p>
          <w:p w14:paraId="1235EA21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aggiustamenti transitori del capitale aggiuntivo di classe 1 (articoli 472, 473 </w:t>
            </w:r>
            <w:r w:rsidRPr="005238BC">
              <w:rPr>
                <w:rFonts w:ascii="Times New Roman" w:hAnsi="Times New Roman"/>
                <w:bCs/>
                <w:i/>
              </w:rPr>
              <w:t>bis</w:t>
            </w:r>
            <w:r w:rsidRPr="005238BC">
              <w:rPr>
                <w:rFonts w:ascii="Times New Roman" w:hAnsi="Times New Roman"/>
                <w:bCs/>
              </w:rPr>
              <w:t>, 474, 475, 478 e 481 del regolamento (UE) n. 575/2013): aggiustamenti delle deduzioni dovuti a disposizioni transitorie;</w:t>
            </w:r>
          </w:p>
          <w:p w14:paraId="3963BF84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eccedenza</w:t>
            </w:r>
            <w:r w:rsidRPr="005238BC">
              <w:rPr>
                <w:rFonts w:ascii="Times New Roman" w:hAnsi="Times New Roman"/>
                <w:bCs/>
              </w:rPr>
              <w:t xml:space="preserve"> di deduzione dagli elementi del capitale aggiuntivo di classe 1 rispetto al capitale aggiuntivo di classe 1, dedotta dal capitale primario di classe 1 conformemente all’articolo 36, paragrafo 1, lettera j), del regolamento (UE) n. 575/2013: il capitale ag</w:t>
            </w:r>
            <w:r w:rsidRPr="005238BC">
              <w:rPr>
                <w:rFonts w:ascii="Times New Roman" w:hAnsi="Times New Roman"/>
                <w:bCs/>
              </w:rPr>
              <w:t>giuntivo di classe 1 non può essere negativo, ma è possibile che le deduzioni dagli elementi del capitale aggiuntivo di classe 1 superino l’importo degli elementi del capitale aggiuntivo di classe 1 disponibili. In tal caso, questa voce rappresenta l’impor</w:t>
            </w:r>
            <w:r w:rsidRPr="005238BC">
              <w:rPr>
                <w:rFonts w:ascii="Times New Roman" w:hAnsi="Times New Roman"/>
                <w:bCs/>
              </w:rPr>
              <w:t>to necessario per aumentare a zero l’importo segnalato nella riga 0300 e corrisponde all’opposto dell’eccedenza di deduzione dagli elementi del capitale aggiuntivo di classe 1 rispetto al capitale aggiuntivo di classe 1 incluso, tra le altre deduzioni, nel</w:t>
            </w:r>
            <w:r w:rsidRPr="005238BC">
              <w:rPr>
                <w:rFonts w:ascii="Times New Roman" w:hAnsi="Times New Roman"/>
                <w:bCs/>
              </w:rPr>
              <w:t>la riga 0280;</w:t>
            </w:r>
          </w:p>
          <w:p w14:paraId="42B70864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elementi del capitale aggiuntivo di classe 1 o deduzioni da un elemento del capitale aggiuntivo di classe 1 che non possono essere assegnati a una delle righe da 0310 a 0400.</w:t>
            </w:r>
          </w:p>
          <w:p w14:paraId="02C9AB3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Questa riga non è utilizzata per includere nel calcolo dei </w:t>
            </w:r>
            <w:r w:rsidRPr="005238BC">
              <w:rPr>
                <w:rFonts w:ascii="Times New Roman" w:hAnsi="Times New Roman"/>
                <w:bCs/>
              </w:rPr>
              <w:t>coefficienti di solvibilità elementi del capitale o deduzioni non contemplati dal regolamento (UE) 2019/2033 o dal regolamento (UE) n. 575/2013.</w:t>
            </w:r>
          </w:p>
        </w:tc>
      </w:tr>
      <w:tr w:rsidR="00115464" w:rsidRPr="005238BC" w14:paraId="0159B683" w14:textId="77777777">
        <w:tc>
          <w:tcPr>
            <w:tcW w:w="1129" w:type="dxa"/>
          </w:tcPr>
          <w:p w14:paraId="351EF54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55E2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DI CLASSE 2</w:t>
            </w:r>
          </w:p>
          <w:p w14:paraId="6BE97CB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del regolamento (UE) 2019/2033.</w:t>
            </w:r>
          </w:p>
          <w:p w14:paraId="776373FD" w14:textId="77777777" w:rsidR="00115464" w:rsidRPr="005238BC" w:rsidRDefault="005238B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 xml:space="preserve">Articolo 71 del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regolamento (UE) n. 575/2013.</w:t>
            </w:r>
          </w:p>
          <w:p w14:paraId="3D65B190" w14:textId="77777777" w:rsidR="00115464" w:rsidRPr="005238BC" w:rsidRDefault="005238BC">
            <w:pPr>
              <w:pStyle w:val="CommentText"/>
              <w:rPr>
                <w:sz w:val="22"/>
                <w:szCs w:val="22"/>
              </w:rPr>
            </w:pPr>
            <w:r w:rsidRPr="005238BC">
              <w:rPr>
                <w:rFonts w:ascii="Times New Roman" w:hAnsi="Times New Roman"/>
                <w:bCs/>
                <w:sz w:val="22"/>
                <w:szCs w:val="22"/>
              </w:rPr>
              <w:t>È segnalata la somma totale delle righe da 0430 a 0455 e 0525.</w:t>
            </w:r>
          </w:p>
        </w:tc>
      </w:tr>
      <w:tr w:rsidR="00115464" w:rsidRPr="005238BC" w14:paraId="2E7E6481" w14:textId="77777777">
        <w:tc>
          <w:tcPr>
            <w:tcW w:w="1129" w:type="dxa"/>
          </w:tcPr>
          <w:p w14:paraId="69BB60D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A44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Strumenti di capitale interamente versati, emessi direttamente</w:t>
            </w:r>
          </w:p>
          <w:p w14:paraId="3FCDFA4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5C066DDF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Articolo 62, lettera a), e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articoli 63 e 65 del regolamento (UE) n. 575/2013.</w:t>
            </w:r>
          </w:p>
          <w:p w14:paraId="7DB1F12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</w:rPr>
              <w:t>L’importo da segnalare non comprende il sovrapprezzo azioni relativo agli strumenti.</w:t>
            </w:r>
          </w:p>
        </w:tc>
      </w:tr>
      <w:tr w:rsidR="00115464" w:rsidRPr="005238BC" w14:paraId="2283B250" w14:textId="77777777">
        <w:tc>
          <w:tcPr>
            <w:tcW w:w="1129" w:type="dxa"/>
          </w:tcPr>
          <w:p w14:paraId="41E266D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B52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Sovrapprezzo azioni</w:t>
            </w:r>
          </w:p>
          <w:p w14:paraId="152630E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752DDDAF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62, lettera b), e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articolo 65 del regolamento (UE) n. 575/2013.</w:t>
            </w:r>
          </w:p>
          <w:p w14:paraId="7B9E7A62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sovrapprezzo azioni ha lo stesso significato di cui al principio contabile applicabile.</w:t>
            </w:r>
          </w:p>
          <w:p w14:paraId="09C9EC87" w14:textId="77777777" w:rsidR="00115464" w:rsidRPr="005238BC" w:rsidRDefault="005238BC">
            <w:pPr>
              <w:pStyle w:val="InstructionsText"/>
              <w:rPr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Gli importi da segnalare in questa riga sono la parte relativa agli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versati».</w:t>
            </w:r>
          </w:p>
        </w:tc>
      </w:tr>
      <w:tr w:rsidR="00115464" w:rsidRPr="005238BC" w14:paraId="03E586A9" w14:textId="77777777">
        <w:tc>
          <w:tcPr>
            <w:tcW w:w="1129" w:type="dxa"/>
          </w:tcPr>
          <w:p w14:paraId="315C748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FA4E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DEDUZIO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NI TOTALI DAL CAPITALE DI CLASSE 2</w:t>
            </w:r>
          </w:p>
          <w:p w14:paraId="7E970D4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lastRenderedPageBreak/>
              <w:t>Articolo 66 del regolamento (UE) n. 575/2013, ad eccezione della lettera d) di tale articolo.</w:t>
            </w:r>
          </w:p>
        </w:tc>
      </w:tr>
      <w:tr w:rsidR="00115464" w:rsidRPr="005238BC" w14:paraId="523B2D4F" w14:textId="77777777">
        <w:tc>
          <w:tcPr>
            <w:tcW w:w="1129" w:type="dxa"/>
          </w:tcPr>
          <w:p w14:paraId="176BAC7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AF2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Strumenti propri di capitale di classe 2</w:t>
            </w:r>
          </w:p>
          <w:p w14:paraId="4C80DF3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06FFE540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63, lettera b), punto i), articolo 66, lettera a), e articolo 67 del regolamento (UE) n. 575/2013.</w:t>
            </w:r>
          </w:p>
          <w:p w14:paraId="220A786E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propri di capitale di classe 2 detenuti dall’ente o gruppo segnalante alla data di riferimento. Fatte salve le eccezioni di cui all’artico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lo 67 del regolamento (UE) n. 575/2013.</w:t>
            </w:r>
          </w:p>
          <w:p w14:paraId="06BAE5F0" w14:textId="77777777" w:rsidR="00115464" w:rsidRPr="005238BC" w:rsidRDefault="005238B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Le partecipazioni azionarie incluse come 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«s</w:t>
            </w: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non ammissibili» non sono segnalate in questa riga.</w:t>
            </w:r>
          </w:p>
          <w:p w14:paraId="4B13D0B9" w14:textId="77777777" w:rsidR="00115464" w:rsidRPr="005238BC" w:rsidRDefault="005238BC">
            <w:pPr>
              <w:pStyle w:val="InstructionsText"/>
              <w:rPr>
                <w:sz w:val="22"/>
                <w:szCs w:val="22"/>
              </w:rPr>
            </w:pPr>
            <w:r w:rsidRPr="005238B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L’importo da segnalare comprende il sovrapprezzo azioni relativo alle azioni proprie.</w:t>
            </w:r>
          </w:p>
        </w:tc>
      </w:tr>
      <w:tr w:rsidR="00115464" w:rsidRPr="005238BC" w14:paraId="51B07378" w14:textId="77777777">
        <w:tc>
          <w:tcPr>
            <w:tcW w:w="1129" w:type="dxa"/>
          </w:tcPr>
          <w:p w14:paraId="4346235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985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(-) Stru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menti di capitale di classe 2 di soggetti del settore finanziario in cui l’impresa madre non ha un investimento significativo</w:t>
            </w:r>
          </w:p>
          <w:p w14:paraId="5B71369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9, paragrafo 2, lettera c), del regolamento (UE) 2019/2033.</w:t>
            </w:r>
          </w:p>
          <w:p w14:paraId="2149012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66, lettera c), del regolamento (UE) n. 575/2013.</w:t>
            </w:r>
          </w:p>
          <w:p w14:paraId="08BCE52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In</w:t>
            </w:r>
            <w:r w:rsidRPr="005238BC">
              <w:rPr>
                <w:rFonts w:ascii="Times New Roman" w:hAnsi="Times New Roman"/>
                <w:bCs/>
              </w:rPr>
              <w:t xml:space="preserve"> questa riga, per impresa madre nell’Unione si intendono le imprese di investimento madri nell’Unione, le holding di investimento madri nell’Unione, le società di partecipazione finanziaria mista madri nell’Unione o qualsiasi altra impresa madre che sia un</w:t>
            </w:r>
            <w:r w:rsidRPr="005238BC">
              <w:rPr>
                <w:rFonts w:ascii="Times New Roman" w:hAnsi="Times New Roman"/>
                <w:bCs/>
              </w:rPr>
              <w:t>’impresa di investimento, un ente finanziario, un’impresa strumentale o un agente collegato.</w:t>
            </w:r>
          </w:p>
        </w:tc>
      </w:tr>
      <w:tr w:rsidR="00115464" w:rsidRPr="005238BC" w14:paraId="7ED01165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794A9C0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C0A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di classe 2: altri elementi del capitale, deduzioni e aggiustamenti</w:t>
            </w:r>
          </w:p>
          <w:p w14:paraId="615841A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Questa riga riporta, se del caso, la somma degli elementi seguenti:</w:t>
            </w:r>
          </w:p>
          <w:p w14:paraId="11DB50A1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aggiustamenti transitori dovuti agli strumenti di capitale di classe 2 soggetti alla clausola grandfathering (articolo 483, paragrafi 6 e 7, e articoli 484, 486, 488, 490 e 491 del regolamento (UE) n. 575/2013);</w:t>
            </w:r>
          </w:p>
          <w:p w14:paraId="25B0E35E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aggiustamenti transitori del capital</w:t>
            </w:r>
            <w:r w:rsidRPr="005238BC">
              <w:rPr>
                <w:rFonts w:ascii="Times New Roman" w:hAnsi="Times New Roman"/>
                <w:bCs/>
              </w:rPr>
              <w:t>e di classe 2 (articoli 472, 473 </w:t>
            </w:r>
            <w:r w:rsidRPr="005238BC">
              <w:rPr>
                <w:rFonts w:ascii="Times New Roman" w:hAnsi="Times New Roman"/>
                <w:bCs/>
                <w:i/>
              </w:rPr>
              <w:t>bis</w:t>
            </w:r>
            <w:r w:rsidRPr="005238BC">
              <w:rPr>
                <w:rFonts w:ascii="Times New Roman" w:hAnsi="Times New Roman"/>
                <w:bCs/>
              </w:rPr>
              <w:t>, 476, 477, 478 e 481 del regolamento (UE) n. 575/2013): aggiustamenti delle deduzioni dal capitale di classe 2 dovuti a disposizioni transitorie;</w:t>
            </w:r>
          </w:p>
          <w:p w14:paraId="0E0F4D71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eccedenza di deduzione dagli elementi del capitale di classe 2 rispetto</w:t>
            </w:r>
            <w:r w:rsidRPr="005238BC">
              <w:rPr>
                <w:rFonts w:ascii="Times New Roman" w:hAnsi="Times New Roman"/>
                <w:bCs/>
              </w:rPr>
              <w:t xml:space="preserve"> al capitale di classe 2, dedotta dal capitale aggiuntivo di classe 1 conformemente all’articolo 56, lettera e), del regolamento (UE) n. 575/2013: il capitale di classe 2 non può essere negativo, ma è possibile che le deduzioni dagli elementi del capitale </w:t>
            </w:r>
            <w:r w:rsidRPr="005238BC">
              <w:rPr>
                <w:rFonts w:ascii="Times New Roman" w:hAnsi="Times New Roman"/>
                <w:bCs/>
              </w:rPr>
              <w:t>di classe 2 superino l’importo degli elementi del capitale di classe 2 disponibili. In tal caso, questa voce rappresenta l’importo necessario per aumentare a zero l’importo segnalato nella riga 0420;</w:t>
            </w:r>
          </w:p>
          <w:p w14:paraId="7C1A95AE" w14:textId="77777777" w:rsidR="00115464" w:rsidRPr="005238BC" w:rsidRDefault="005238B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5238BC">
              <w:rPr>
                <w:rFonts w:ascii="Times New Roman" w:eastAsia="Times New Roman" w:hAnsi="Times New Roman" w:cs="Times New Roman"/>
                <w:bCs/>
              </w:rPr>
              <w:tab/>
            </w:r>
            <w:r w:rsidRPr="005238BC">
              <w:rPr>
                <w:rFonts w:ascii="Times New Roman" w:hAnsi="Times New Roman"/>
                <w:bCs/>
              </w:rPr>
              <w:t>altri elementi del capitale di classe 2 o deduzioni da</w:t>
            </w:r>
            <w:r w:rsidRPr="005238BC">
              <w:rPr>
                <w:rFonts w:ascii="Times New Roman" w:hAnsi="Times New Roman"/>
                <w:bCs/>
              </w:rPr>
              <w:t xml:space="preserve"> un elemento del capitale di classe 2 che non possono essere assegnati a una delle righe da 0430 a 0500.</w:t>
            </w:r>
          </w:p>
          <w:p w14:paraId="22ED25C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Questa riga non è utilizzata per includere nel calcolo dei coefficienti di solvibilità elementi del capitale o deduzioni non contemplati dal regolament</w:t>
            </w:r>
            <w:r w:rsidRPr="005238BC">
              <w:rPr>
                <w:rFonts w:ascii="Times New Roman" w:hAnsi="Times New Roman"/>
                <w:bCs/>
              </w:rPr>
              <w:t>o (UE) 2019/2033 o dal regolamento (UE) n. 575/2013.</w:t>
            </w:r>
          </w:p>
        </w:tc>
      </w:tr>
    </w:tbl>
    <w:p w14:paraId="0F384D6D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039307"/>
      <w:r w:rsidRPr="005238BC">
        <w:rPr>
          <w:rFonts w:ascii="Times New Roman" w:hAnsi="Times New Roman"/>
          <w:sz w:val="24"/>
          <w:u w:val="none"/>
        </w:rPr>
        <w:lastRenderedPageBreak/>
        <w:t xml:space="preserve">1.3 </w:t>
      </w:r>
      <w:r w:rsidRPr="005238BC">
        <w:rPr>
          <w:rFonts w:ascii="Times New Roman" w:hAnsi="Times New Roman"/>
          <w:sz w:val="24"/>
        </w:rPr>
        <w:t>I 11.02 — REQUISITI DI FONDI PROPRI — VERIFICA DEL CAPITALE DEL GRUPPO (I11.2)</w:t>
      </w:r>
      <w:bookmarkEnd w:id="19"/>
    </w:p>
    <w:p w14:paraId="7DFEFA47" w14:textId="77777777" w:rsidR="00115464" w:rsidRPr="005238BC" w:rsidRDefault="005238B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8039308"/>
      <w:r w:rsidRPr="005238BC">
        <w:rPr>
          <w:rFonts w:ascii="Times New Roman" w:hAnsi="Times New Roman"/>
          <w:sz w:val="24"/>
          <w:szCs w:val="24"/>
        </w:rPr>
        <w:t>1.3.1.</w:t>
      </w:r>
      <w:r w:rsidRPr="005238BC">
        <w:rPr>
          <w:rFonts w:ascii="Times New Roman" w:hAnsi="Times New Roman"/>
          <w:sz w:val="24"/>
          <w:szCs w:val="24"/>
        </w:rPr>
        <w:tab/>
      </w:r>
      <w:r w:rsidRPr="005238BC">
        <w:rPr>
          <w:rFonts w:ascii="Times New Roman" w:hAnsi="Times New Roman"/>
          <w:sz w:val="24"/>
          <w:szCs w:val="24"/>
          <w:u w:val="single"/>
        </w:rPr>
        <w:t>Istruzioni relative a posizioni specifiche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115464" w:rsidRPr="005238BC" w14:paraId="487548A0" w14:textId="77777777">
        <w:tc>
          <w:tcPr>
            <w:tcW w:w="1129" w:type="dxa"/>
            <w:shd w:val="clear" w:color="auto" w:fill="D9D9D9"/>
          </w:tcPr>
          <w:p w14:paraId="39D4720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2627305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Riferimenti giuridici e istruzioni</w:t>
            </w:r>
          </w:p>
        </w:tc>
      </w:tr>
      <w:tr w:rsidR="00115464" w:rsidRPr="005238BC" w14:paraId="086D7BC7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FA9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46B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Strumenti di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primario di classe 1 di soggetti del settore finanziario del gruppo di imprese di investimento nei quali l’impresa madre ha un investimento significativo</w:t>
            </w:r>
          </w:p>
          <w:p w14:paraId="701C4AC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2019/2033, in combinato disposto co</w:t>
            </w:r>
            <w:r w:rsidRPr="005238BC">
              <w:rPr>
                <w:rFonts w:ascii="Times New Roman" w:hAnsi="Times New Roman"/>
                <w:bCs/>
              </w:rPr>
              <w:t>n l’articolo 36, paragrafo 1, lettera i), del regolamento (UE) n. 575/2013.</w:t>
            </w:r>
          </w:p>
        </w:tc>
      </w:tr>
      <w:tr w:rsidR="00115464" w:rsidRPr="005238BC" w14:paraId="49E5493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B323FD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01C8A81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Strumenti di capitale aggiuntivo di classe 1 di soggetti del settore finanziario del gruppo di imprese di investimento nei quali l’impresa madre ha un investimento significat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ivo</w:t>
            </w:r>
          </w:p>
          <w:p w14:paraId="09E5A48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2019/2033, in combinato disposto con l’articolo 56, lettera d), del regolamento (UE) n. 575/2013.</w:t>
            </w:r>
          </w:p>
        </w:tc>
      </w:tr>
      <w:tr w:rsidR="00115464" w:rsidRPr="005238BC" w14:paraId="0376E76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C3613E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1A6E63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Strumenti di capitale di classe 2 di soggetti del settore finanziario nel gruppo di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imprese di investimento nei quali l’impresa madre ha un investimento significativo</w:t>
            </w:r>
          </w:p>
          <w:p w14:paraId="3ADB206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in combinato disposto con l’articolo 66, lettera d), del regolamento (UE) n. 575/2013.</w:t>
            </w:r>
          </w:p>
        </w:tc>
      </w:tr>
      <w:tr w:rsidR="00115464" w:rsidRPr="005238BC" w14:paraId="209DD673" w14:textId="77777777">
        <w:tc>
          <w:tcPr>
            <w:tcW w:w="1129" w:type="dxa"/>
          </w:tcPr>
          <w:p w14:paraId="03977DE3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5C5146D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Partecipazioni di soggetti del settore fina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nziario nel gruppo di imprese di investimento nella misura in cui non costituiscono fondi propri del soggetto del gruppo in cui l’impresa madre detiene un investimento</w:t>
            </w:r>
          </w:p>
          <w:p w14:paraId="54AD84D2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2019/2033.</w:t>
            </w:r>
          </w:p>
          <w:p w14:paraId="1FCD435C" w14:textId="77777777" w:rsidR="00115464" w:rsidRPr="005238BC" w:rsidRDefault="005238BC">
            <w:pPr>
              <w:keepNext/>
              <w:keepLine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Questa riga include</w:t>
            </w:r>
            <w:r w:rsidRPr="005238BC">
              <w:rPr>
                <w:rFonts w:ascii="Times New Roman" w:hAnsi="Times New Roman"/>
                <w:bCs/>
              </w:rPr>
              <w:t xml:space="preserve"> le partecipazioni dell’impresa madre nella misura in cui non costituiscono fondi propri del soggetto del gruppo in cui l’impresa madre detiene un investimento.</w:t>
            </w:r>
          </w:p>
        </w:tc>
      </w:tr>
      <w:tr w:rsidR="00115464" w:rsidRPr="005238BC" w14:paraId="00FEEBC2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6238ABD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3324CAB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Crediti subordinati di soggetti del settore finanziario appartenenti al gruppo di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imprese di investimento</w:t>
            </w:r>
          </w:p>
          <w:p w14:paraId="2582B5F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2019/2033.</w:t>
            </w:r>
          </w:p>
          <w:p w14:paraId="228C720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Questa riga include i crediti subordinati dell’impresa madre nella misura in cui non costituiscono fondi propri del soggetto del gruppo in cui l’impresa madre deti</w:t>
            </w:r>
            <w:r w:rsidRPr="005238BC">
              <w:rPr>
                <w:rFonts w:ascii="Times New Roman" w:hAnsi="Times New Roman"/>
                <w:bCs/>
              </w:rPr>
              <w:t>ene un investimento.</w:t>
            </w:r>
          </w:p>
        </w:tc>
      </w:tr>
      <w:tr w:rsidR="00115464" w:rsidRPr="005238BC" w14:paraId="534A508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EA71EF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7C5B80A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Passività potenziali a favore di soggetti del gruppo di imprese di investimento</w:t>
            </w:r>
          </w:p>
          <w:p w14:paraId="5D63A8A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b), del regolamento (UE) 2019/2033.</w:t>
            </w:r>
          </w:p>
        </w:tc>
      </w:tr>
      <w:tr w:rsidR="00115464" w:rsidRPr="005238BC" w14:paraId="4D8722FF" w14:textId="77777777">
        <w:tc>
          <w:tcPr>
            <w:tcW w:w="1129" w:type="dxa"/>
            <w:tcBorders>
              <w:top w:val="single" w:sz="4" w:space="0" w:color="auto"/>
            </w:tcBorders>
          </w:tcPr>
          <w:p w14:paraId="64FF616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448353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Requisiti di fondi propri totali per le filiazioni</w:t>
            </w:r>
          </w:p>
          <w:p w14:paraId="512D2F9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In caso di </w:t>
            </w:r>
            <w:r w:rsidRPr="005238BC">
              <w:rPr>
                <w:rFonts w:ascii="Times New Roman" w:hAnsi="Times New Roman"/>
                <w:bCs/>
              </w:rPr>
              <w:t>applicazione dell’articolo 8, paragrafo 4, del regolamento (UE) 2019/2033.</w:t>
            </w:r>
          </w:p>
        </w:tc>
      </w:tr>
    </w:tbl>
    <w:p w14:paraId="54566F7F" w14:textId="77777777" w:rsidR="00115464" w:rsidRPr="005238BC" w:rsidRDefault="005238B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8039309"/>
      <w:bookmarkEnd w:id="2"/>
      <w:bookmarkEnd w:id="3"/>
      <w:bookmarkEnd w:id="4"/>
      <w:bookmarkEnd w:id="5"/>
      <w:r w:rsidRPr="005238BC">
        <w:rPr>
          <w:rFonts w:ascii="Times New Roman" w:hAnsi="Times New Roman"/>
          <w:sz w:val="24"/>
          <w:u w:val="none"/>
        </w:rPr>
        <w:t>1.4</w:t>
      </w:r>
      <w:r w:rsidRPr="005238BC">
        <w:rPr>
          <w:rFonts w:ascii="Times New Roman" w:hAnsi="Times New Roman"/>
          <w:sz w:val="24"/>
        </w:rPr>
        <w:t xml:space="preserve"> IF 11.03 INFORMAZIONI SULLE FILIAZIONI (IF11.3)</w:t>
      </w:r>
      <w:bookmarkEnd w:id="21"/>
    </w:p>
    <w:p w14:paraId="13003355" w14:textId="77777777" w:rsidR="00115464" w:rsidRPr="005238BC" w:rsidRDefault="005238BC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5238BC">
        <w:rPr>
          <w:rFonts w:ascii="Times New Roman" w:hAnsi="Times New Roman" w:cs="Times New Roman"/>
          <w:sz w:val="24"/>
        </w:rPr>
        <w:t>10.</w:t>
      </w:r>
      <w:r w:rsidRPr="005238BC">
        <w:rPr>
          <w:rFonts w:ascii="Times New Roman" w:hAnsi="Times New Roman" w:cs="Times New Roman"/>
          <w:sz w:val="24"/>
        </w:rPr>
        <w:tab/>
      </w:r>
      <w:r w:rsidRPr="005238BC">
        <w:rPr>
          <w:rFonts w:ascii="Times New Roman" w:hAnsi="Times New Roman"/>
          <w:sz w:val="24"/>
        </w:rPr>
        <w:t>In questo modello sono segnalati tutti i soggetti inclusi nell’ambito di applicazione della verifica del capitale del gruppo</w:t>
      </w:r>
      <w:r w:rsidRPr="005238BC">
        <w:rPr>
          <w:rFonts w:ascii="Times New Roman" w:hAnsi="Times New Roman"/>
          <w:sz w:val="24"/>
        </w:rPr>
        <w:t>. È compresa anche l’impresa madre del gruppo stesso.</w:t>
      </w:r>
    </w:p>
    <w:p w14:paraId="09BDEF57" w14:textId="77777777" w:rsidR="00115464" w:rsidRPr="005238BC" w:rsidRDefault="005238B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8039310"/>
      <w:r w:rsidRPr="005238BC">
        <w:rPr>
          <w:rFonts w:ascii="Times New Roman" w:hAnsi="Times New Roman"/>
          <w:sz w:val="24"/>
          <w:szCs w:val="24"/>
        </w:rPr>
        <w:lastRenderedPageBreak/>
        <w:t>1.4.1.</w:t>
      </w:r>
      <w:r w:rsidRPr="005238BC">
        <w:rPr>
          <w:rFonts w:ascii="Times New Roman" w:hAnsi="Times New Roman"/>
          <w:sz w:val="24"/>
          <w:szCs w:val="24"/>
        </w:rPr>
        <w:tab/>
      </w:r>
      <w:r w:rsidRPr="005238BC">
        <w:rPr>
          <w:rFonts w:ascii="Times New Roman" w:hAnsi="Times New Roman"/>
          <w:sz w:val="24"/>
          <w:szCs w:val="24"/>
          <w:u w:val="single"/>
        </w:rPr>
        <w:t>Istruzioni relative a posizioni specifiche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115464" w:rsidRPr="005238BC" w14:paraId="333DA2AF" w14:textId="77777777">
        <w:tc>
          <w:tcPr>
            <w:tcW w:w="1129" w:type="dxa"/>
            <w:shd w:val="clear" w:color="auto" w:fill="D9D9D9"/>
          </w:tcPr>
          <w:p w14:paraId="56939D9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Colonne</w:t>
            </w:r>
          </w:p>
        </w:tc>
        <w:tc>
          <w:tcPr>
            <w:tcW w:w="7620" w:type="dxa"/>
            <w:shd w:val="clear" w:color="auto" w:fill="D9D9D9"/>
          </w:tcPr>
          <w:p w14:paraId="7810B00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</w:rPr>
              <w:t>Riferimenti giuridici e istruzioni</w:t>
            </w:r>
          </w:p>
        </w:tc>
      </w:tr>
      <w:tr w:rsidR="00115464" w:rsidRPr="005238BC" w14:paraId="2A19964E" w14:textId="77777777">
        <w:tc>
          <w:tcPr>
            <w:tcW w:w="1129" w:type="dxa"/>
          </w:tcPr>
          <w:p w14:paraId="5E96D89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BFFB12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Codice</w:t>
            </w:r>
          </w:p>
          <w:p w14:paraId="7B3B397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Il codice come parte di un identificativo di riga deve essere unico per ciascun soggetto </w:t>
            </w:r>
            <w:r w:rsidRPr="005238BC">
              <w:rPr>
                <w:rFonts w:ascii="Times New Roman" w:hAnsi="Times New Roman"/>
                <w:bCs/>
              </w:rPr>
              <w:t>segnalato. Per le imprese di investimento e di assicurazione, il codice è il codice LEI. Per gli altri soggetti il codice è il codice LEI o, se non disponibile, un codice nazionale. Il codice è unico e utilizzato in modo coerente in tutti i modelli e nel c</w:t>
            </w:r>
            <w:r w:rsidRPr="005238BC">
              <w:rPr>
                <w:rFonts w:ascii="Times New Roman" w:hAnsi="Times New Roman"/>
                <w:bCs/>
              </w:rPr>
              <w:t>orso del tempo. Il codice deve sempre contenere un valore.</w:t>
            </w:r>
          </w:p>
        </w:tc>
      </w:tr>
      <w:tr w:rsidR="00115464" w:rsidRPr="005238BC" w14:paraId="3B8486E7" w14:textId="77777777">
        <w:tc>
          <w:tcPr>
            <w:tcW w:w="1129" w:type="dxa"/>
          </w:tcPr>
          <w:p w14:paraId="32A7E7C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E74AFE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Tipo di codice</w:t>
            </w:r>
          </w:p>
          <w:p w14:paraId="0D8C807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Il soggetto segnalante identifica il tipo di codice segnalato nella colonna 0010 come </w:t>
            </w:r>
            <w:r w:rsidRPr="005238BC">
              <w:rPr>
                <w:rFonts w:ascii="Times New Roman" w:hAnsi="Times New Roman"/>
                <w:bCs/>
              </w:rPr>
              <w:t>«t</w:t>
            </w:r>
            <w:r w:rsidRPr="005238BC">
              <w:rPr>
                <w:rFonts w:ascii="Times New Roman" w:hAnsi="Times New Roman"/>
                <w:bCs/>
              </w:rPr>
              <w:t xml:space="preserve">ipo di codice LEI» o </w:t>
            </w:r>
            <w:r w:rsidRPr="005238BC">
              <w:rPr>
                <w:rFonts w:ascii="Times New Roman" w:hAnsi="Times New Roman"/>
                <w:bCs/>
              </w:rPr>
              <w:t>«t</w:t>
            </w:r>
            <w:r w:rsidRPr="005238BC">
              <w:rPr>
                <w:rFonts w:ascii="Times New Roman" w:hAnsi="Times New Roman"/>
                <w:bCs/>
              </w:rPr>
              <w:t>ipo di codice nazionale».</w:t>
            </w:r>
          </w:p>
          <w:p w14:paraId="622834F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Indicare sempre il tipo di </w:t>
            </w:r>
            <w:r w:rsidRPr="005238BC">
              <w:rPr>
                <w:rFonts w:ascii="Times New Roman" w:hAnsi="Times New Roman"/>
                <w:bCs/>
              </w:rPr>
              <w:t>codice.</w:t>
            </w:r>
          </w:p>
        </w:tc>
      </w:tr>
      <w:tr w:rsidR="00115464" w:rsidRPr="005238BC" w14:paraId="06E55AF9" w14:textId="77777777">
        <w:tc>
          <w:tcPr>
            <w:tcW w:w="1129" w:type="dxa"/>
          </w:tcPr>
          <w:p w14:paraId="663814F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089721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Nome dell’impresa</w:t>
            </w:r>
          </w:p>
          <w:p w14:paraId="03EBC4B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InstructionsTabelleText"/>
                <w:rFonts w:ascii="Times New Roman" w:hAnsi="Times New Roman"/>
                <w:sz w:val="22"/>
              </w:rPr>
              <w:t>Nome dell’impresa inclusa nel consolidamento.</w:t>
            </w:r>
          </w:p>
        </w:tc>
      </w:tr>
      <w:tr w:rsidR="00115464" w:rsidRPr="005238BC" w14:paraId="557AD58B" w14:textId="77777777">
        <w:tc>
          <w:tcPr>
            <w:tcW w:w="1129" w:type="dxa"/>
          </w:tcPr>
          <w:p w14:paraId="27DFBD6D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D72D69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238BC">
              <w:rPr>
                <w:rFonts w:ascii="Times New Roman" w:hAnsi="Times New Roman"/>
                <w:b/>
                <w:bCs/>
              </w:rPr>
              <w:t>Impresa madre/filiazione</w:t>
            </w:r>
          </w:p>
          <w:p w14:paraId="499E359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Indica se il soggetto segnalato nella riga è l’impresa madre del gruppo o una filiazione.</w:t>
            </w:r>
          </w:p>
        </w:tc>
      </w:tr>
      <w:tr w:rsidR="00115464" w:rsidRPr="005238BC" w14:paraId="390E6753" w14:textId="77777777">
        <w:tc>
          <w:tcPr>
            <w:tcW w:w="1129" w:type="dxa"/>
          </w:tcPr>
          <w:p w14:paraId="645F20B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307709E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Paese</w:t>
            </w:r>
          </w:p>
          <w:p w14:paraId="61C40C08" w14:textId="77777777" w:rsidR="00115464" w:rsidRPr="005238BC" w:rsidRDefault="005238BC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Style w:val="InstructionsTabelleText"/>
                <w:rFonts w:ascii="Times New Roman" w:hAnsi="Times New Roman"/>
                <w:sz w:val="22"/>
              </w:rPr>
              <w:t xml:space="preserve">È segnalato il paese in cui è ubicata la </w:t>
            </w:r>
            <w:r w:rsidRPr="005238BC">
              <w:rPr>
                <w:rStyle w:val="InstructionsTabelleText"/>
                <w:rFonts w:ascii="Times New Roman" w:hAnsi="Times New Roman"/>
                <w:sz w:val="22"/>
              </w:rPr>
              <w:t>filiazione.</w:t>
            </w:r>
          </w:p>
        </w:tc>
      </w:tr>
      <w:tr w:rsidR="00115464" w:rsidRPr="005238BC" w14:paraId="7269EE41" w14:textId="77777777">
        <w:tc>
          <w:tcPr>
            <w:tcW w:w="1129" w:type="dxa"/>
          </w:tcPr>
          <w:p w14:paraId="789E9B8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0060 - 0100</w:t>
            </w:r>
          </w:p>
        </w:tc>
        <w:tc>
          <w:tcPr>
            <w:tcW w:w="7620" w:type="dxa"/>
          </w:tcPr>
          <w:p w14:paraId="77C0F1E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Investimenti dell’impresa madre</w:t>
            </w:r>
          </w:p>
          <w:p w14:paraId="400D8BA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2019/2033.</w:t>
            </w:r>
          </w:p>
          <w:p w14:paraId="62B26F6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In questa sezione sono segnalati gli investimenti dell’impresa madre nei soggetti del gruppo.</w:t>
            </w:r>
          </w:p>
        </w:tc>
      </w:tr>
      <w:tr w:rsidR="00115464" w:rsidRPr="005238BC" w14:paraId="3253E203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3A4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DF8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Capitale primario di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classe 1</w:t>
            </w:r>
          </w:p>
          <w:p w14:paraId="4C6DFB7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2019/2033, in combinato disposto con l’articolo 36, paragrafo 1, lettera i), del regolamento (UE) n. 575/2013.</w:t>
            </w:r>
          </w:p>
        </w:tc>
      </w:tr>
      <w:tr w:rsidR="00115464" w:rsidRPr="005238BC" w14:paraId="3EA8C41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7125D4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7690BAD0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aggiuntivo di classe 1</w:t>
            </w:r>
          </w:p>
          <w:p w14:paraId="295BB7D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8, paragrafo 3, lettera a), </w:t>
            </w:r>
            <w:r w:rsidRPr="005238BC">
              <w:rPr>
                <w:rFonts w:ascii="Times New Roman" w:hAnsi="Times New Roman"/>
                <w:bCs/>
              </w:rPr>
              <w:t>del regolamento (UE) 2019/2033, in combinato disposto con l’articolo 56, lettera d), del regolamento (UE) n. 575/2013.</w:t>
            </w:r>
          </w:p>
        </w:tc>
      </w:tr>
      <w:tr w:rsidR="00115464" w:rsidRPr="005238BC" w14:paraId="6E52CDB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B77926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538506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di classe 2</w:t>
            </w:r>
          </w:p>
          <w:p w14:paraId="3C71A1A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t xml:space="preserve">Articolo 8, paragrafo 3, lettera a), del regolamento (UE) 2019/2033, in combinato disposto con l’articolo 66, </w:t>
            </w:r>
            <w:r w:rsidRPr="005238BC">
              <w:rPr>
                <w:rFonts w:ascii="Times New Roman" w:hAnsi="Times New Roman"/>
                <w:bCs/>
              </w:rPr>
              <w:t>lettera d), del regolamento (UE) n. 575/2013.</w:t>
            </w:r>
          </w:p>
        </w:tc>
      </w:tr>
      <w:tr w:rsidR="00115464" w:rsidRPr="005238BC" w14:paraId="04942EFE" w14:textId="77777777">
        <w:tc>
          <w:tcPr>
            <w:tcW w:w="1129" w:type="dxa"/>
          </w:tcPr>
          <w:p w14:paraId="79AAEE1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2D7C2DD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Partecipazioni</w:t>
            </w:r>
          </w:p>
          <w:p w14:paraId="0FF749F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2019/2033.</w:t>
            </w:r>
          </w:p>
          <w:p w14:paraId="1CDDD07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Questa colonna include le partecipazioni dell’impresa madre nella misura in cui non costituiscono fondi propri del sogge</w:t>
            </w:r>
            <w:r w:rsidRPr="005238BC">
              <w:rPr>
                <w:rFonts w:ascii="Times New Roman" w:hAnsi="Times New Roman"/>
                <w:bCs/>
              </w:rPr>
              <w:t>tto del gruppo in cui l’impresa madre detiene un investimento.</w:t>
            </w:r>
          </w:p>
        </w:tc>
      </w:tr>
      <w:tr w:rsidR="00115464" w:rsidRPr="005238BC" w14:paraId="3B4B6B18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3DB891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5827D1E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Crediti subordinati</w:t>
            </w:r>
          </w:p>
          <w:p w14:paraId="0AACB03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a), del regolamento (UE) 2019/2033.</w:t>
            </w:r>
          </w:p>
          <w:p w14:paraId="1DF0D5E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 xml:space="preserve">Questa colonna include i crediti subordinati dell’impresa madre nella misura in cui non </w:t>
            </w:r>
            <w:r w:rsidRPr="005238BC">
              <w:rPr>
                <w:rFonts w:ascii="Times New Roman" w:hAnsi="Times New Roman"/>
                <w:bCs/>
              </w:rPr>
              <w:t>costituiscono fondi propri del soggetto del gruppo in cui l’impresa madre detiene un investimento.</w:t>
            </w:r>
          </w:p>
        </w:tc>
      </w:tr>
      <w:tr w:rsidR="00115464" w:rsidRPr="005238BC" w14:paraId="5FF05ACD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7583F9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F8BCBA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Passività potenziali dell’impresa madre a favore del soggetto</w:t>
            </w:r>
          </w:p>
          <w:p w14:paraId="6110E36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3, lettera b), del regolamento (UE) 2019/2033.</w:t>
            </w:r>
          </w:p>
        </w:tc>
      </w:tr>
      <w:tr w:rsidR="00115464" w:rsidRPr="005238BC" w14:paraId="1BC8B8F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2D864C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29E2AB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Requisiti di fondi propri totali per le filiazioni</w:t>
            </w:r>
          </w:p>
          <w:p w14:paraId="68DA5A5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Articolo 8, paragrafo 4, del regolamento (UE) 2019/2033.</w:t>
            </w:r>
          </w:p>
        </w:tc>
      </w:tr>
      <w:tr w:rsidR="00115464" w:rsidRPr="005238BC" w14:paraId="6048D38B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E6C8AC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25151D8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Capitale minimo permanente</w:t>
            </w:r>
          </w:p>
          <w:p w14:paraId="361BB70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14 del regolamento (UE) 2019/2033.</w:t>
            </w:r>
          </w:p>
        </w:tc>
      </w:tr>
      <w:tr w:rsidR="00115464" w:rsidRPr="005238BC" w14:paraId="4C52B03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4E8531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FC859C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Requisito relativo ai fattori K</w:t>
            </w:r>
          </w:p>
          <w:p w14:paraId="0429A2A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 xml:space="preserve">Articolo 15 del regolamento (UE) 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2019/2033.</w:t>
            </w:r>
          </w:p>
        </w:tc>
      </w:tr>
      <w:tr w:rsidR="00115464" w:rsidRPr="005238BC" w14:paraId="787E73C4" w14:textId="77777777">
        <w:tc>
          <w:tcPr>
            <w:tcW w:w="1129" w:type="dxa"/>
            <w:tcBorders>
              <w:top w:val="single" w:sz="4" w:space="0" w:color="auto"/>
            </w:tcBorders>
          </w:tcPr>
          <w:p w14:paraId="1B3E56D7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196466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Attività gestite</w:t>
            </w:r>
          </w:p>
          <w:p w14:paraId="3D18B90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15, paragrafo 2, e articolo 17 del regolamento (UE) 2019/2033.</w:t>
            </w:r>
          </w:p>
        </w:tc>
      </w:tr>
      <w:tr w:rsidR="00115464" w:rsidRPr="005238BC" w14:paraId="742A8D26" w14:textId="77777777">
        <w:tc>
          <w:tcPr>
            <w:tcW w:w="1129" w:type="dxa"/>
            <w:tcBorders>
              <w:top w:val="single" w:sz="4" w:space="0" w:color="auto"/>
            </w:tcBorders>
          </w:tcPr>
          <w:p w14:paraId="262C119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3AB197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Denaro dei clienti detenuto — separato</w:t>
            </w:r>
          </w:p>
          <w:p w14:paraId="55FD5EC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15, paragrafo 2, e articolo 18 del regolamento (UE) 2019/2033.</w:t>
            </w:r>
          </w:p>
        </w:tc>
      </w:tr>
      <w:tr w:rsidR="00115464" w:rsidRPr="005238BC" w14:paraId="4C053740" w14:textId="77777777">
        <w:tc>
          <w:tcPr>
            <w:tcW w:w="1129" w:type="dxa"/>
            <w:tcBorders>
              <w:top w:val="single" w:sz="4" w:space="0" w:color="auto"/>
            </w:tcBorders>
          </w:tcPr>
          <w:p w14:paraId="1F75F13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AB412D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Denaro dei clienti 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>detenuto — non separato</w:t>
            </w:r>
          </w:p>
          <w:p w14:paraId="3942A01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15, paragrafo 2, e articolo 18 del regolamento (UE) 2019/2033.</w:t>
            </w:r>
          </w:p>
        </w:tc>
      </w:tr>
      <w:tr w:rsidR="00115464" w:rsidRPr="005238BC" w14:paraId="7163835D" w14:textId="77777777">
        <w:tc>
          <w:tcPr>
            <w:tcW w:w="1129" w:type="dxa"/>
            <w:tcBorders>
              <w:top w:val="single" w:sz="4" w:space="0" w:color="auto"/>
            </w:tcBorders>
          </w:tcPr>
          <w:p w14:paraId="7F256D5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9E15DD4" w14:textId="77777777" w:rsidR="00115464" w:rsidRPr="005238BC" w:rsidRDefault="005238BC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Attività salvaguardate e gestite</w:t>
            </w:r>
          </w:p>
          <w:p w14:paraId="35D96E26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 xml:space="preserve">Articolo 15, paragrafo 2, e articolo 19 del regolamento (UE) 2019/2033. </w:t>
            </w:r>
          </w:p>
        </w:tc>
      </w:tr>
      <w:tr w:rsidR="00115464" w:rsidRPr="005238BC" w14:paraId="41944CC8" w14:textId="77777777">
        <w:tc>
          <w:tcPr>
            <w:tcW w:w="1129" w:type="dxa"/>
            <w:tcBorders>
              <w:top w:val="single" w:sz="4" w:space="0" w:color="auto"/>
            </w:tcBorders>
          </w:tcPr>
          <w:p w14:paraId="11B385A4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F1AABF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Ordini dei clienti trattati — operazioni a</w:t>
            </w:r>
            <w:r w:rsidRPr="005238BC">
              <w:rPr>
                <w:rFonts w:ascii="Times New Roman" w:hAnsi="Times New Roman"/>
                <w:b/>
                <w:bCs/>
                <w:u w:val="single"/>
              </w:rPr>
              <w:t xml:space="preserve"> pronti</w:t>
            </w:r>
          </w:p>
          <w:p w14:paraId="2D44C05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15, paragrafo 2, articolo 20, paragrafo 1, e articolo 20, paragrafo 2, lettera a), del regolamento (UE) 2019/2033.</w:t>
            </w:r>
          </w:p>
        </w:tc>
      </w:tr>
      <w:tr w:rsidR="00115464" w:rsidRPr="005238BC" w14:paraId="6BCFCA91" w14:textId="77777777">
        <w:tc>
          <w:tcPr>
            <w:tcW w:w="1129" w:type="dxa"/>
            <w:tcBorders>
              <w:top w:val="single" w:sz="4" w:space="0" w:color="auto"/>
            </w:tcBorders>
          </w:tcPr>
          <w:p w14:paraId="715279C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417DC49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Ordini dei clienti trattati — operazioni su derivati</w:t>
            </w:r>
          </w:p>
          <w:p w14:paraId="226A872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 xml:space="preserve">Articolo 15, paragrafo 2, articolo 20, paragrafo 1, e 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20, paragrafo 2, lettera b), del regolamento (UE) 2019/2033.</w:t>
            </w:r>
          </w:p>
        </w:tc>
      </w:tr>
      <w:tr w:rsidR="00115464" w:rsidRPr="005238BC" w14:paraId="29381B03" w14:textId="77777777">
        <w:tc>
          <w:tcPr>
            <w:tcW w:w="1129" w:type="dxa"/>
            <w:tcBorders>
              <w:top w:val="single" w:sz="4" w:space="0" w:color="auto"/>
            </w:tcBorders>
          </w:tcPr>
          <w:p w14:paraId="1D9B0FF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0C14BB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Requisito relativo al rischio di posizione netta K</w:t>
            </w:r>
          </w:p>
          <w:p w14:paraId="7283113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22 del regolamento (UE) 2019/2033.</w:t>
            </w:r>
          </w:p>
        </w:tc>
      </w:tr>
      <w:tr w:rsidR="00115464" w:rsidRPr="005238BC" w14:paraId="2EEBDC73" w14:textId="77777777">
        <w:tc>
          <w:tcPr>
            <w:tcW w:w="1129" w:type="dxa"/>
            <w:tcBorders>
              <w:top w:val="single" w:sz="4" w:space="0" w:color="auto"/>
            </w:tcBorders>
          </w:tcPr>
          <w:p w14:paraId="6871063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307B0A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Margine di compensazione fornito</w:t>
            </w:r>
          </w:p>
          <w:p w14:paraId="69103C7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 xml:space="preserve">Articolo 23, paragrafo 2, del 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regolamento (UE) 2019/2033.</w:t>
            </w:r>
          </w:p>
        </w:tc>
      </w:tr>
      <w:tr w:rsidR="00115464" w:rsidRPr="005238BC" w14:paraId="6014063A" w14:textId="77777777">
        <w:tc>
          <w:tcPr>
            <w:tcW w:w="1129" w:type="dxa"/>
            <w:tcBorders>
              <w:top w:val="single" w:sz="4" w:space="0" w:color="auto"/>
            </w:tcBorders>
          </w:tcPr>
          <w:p w14:paraId="2974E4F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481CD7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Default della controparte della negoziazione</w:t>
            </w:r>
          </w:p>
          <w:p w14:paraId="02B475B3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Articoli 24 e 26 del regolamento (UE) 2019/2033.</w:t>
            </w:r>
          </w:p>
        </w:tc>
      </w:tr>
      <w:tr w:rsidR="00115464" w:rsidRPr="005238BC" w14:paraId="4FB367B4" w14:textId="77777777">
        <w:tc>
          <w:tcPr>
            <w:tcW w:w="1129" w:type="dxa"/>
            <w:tcBorders>
              <w:top w:val="single" w:sz="4" w:space="0" w:color="auto"/>
            </w:tcBorders>
          </w:tcPr>
          <w:p w14:paraId="7B3FD3B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AAABD05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Flusso di negoziazione giornaliero — operazioni a pronti</w:t>
            </w:r>
          </w:p>
          <w:p w14:paraId="63224E0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 xml:space="preserve">Ai fini del calcolo del requisito relativo ai fattori K, le 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imprese di investimento effettuano le segnalazioni applicando il coefficiente di cui all’articolo 15, paragrafo 2, del regolamento (UE) 2019/2033.</w:t>
            </w:r>
          </w:p>
          <w:p w14:paraId="3618E50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In caso di situazioni di stress dei mercati, conformemente all’articolo 15, paragrafo 5, lettera c), del rego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lamento (UE) 2019/2033, le imprese di investimento applicano un coefficiente adattato come specificato in tale lettera.</w:t>
            </w:r>
          </w:p>
          <w:p w14:paraId="7417CA28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lastRenderedPageBreak/>
              <w:t>Il fattore del flusso di negoziazione giornaliero è calcolato conformemente all’articolo 33, paragrafo 2, lettera a), del regolamento (U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E) 2019/2033.</w:t>
            </w:r>
          </w:p>
        </w:tc>
      </w:tr>
      <w:tr w:rsidR="00115464" w:rsidRPr="005238BC" w14:paraId="7B2608F7" w14:textId="77777777">
        <w:tc>
          <w:tcPr>
            <w:tcW w:w="1129" w:type="dxa"/>
            <w:tcBorders>
              <w:top w:val="single" w:sz="4" w:space="0" w:color="auto"/>
            </w:tcBorders>
          </w:tcPr>
          <w:p w14:paraId="309E31F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lastRenderedPageBreak/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FEEC45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Flusso di negoziazione giornaliero — operazioni su derivati</w:t>
            </w:r>
          </w:p>
          <w:p w14:paraId="45EE2221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Ai fini del calcolo del requisito relativo ai fattori K, le imprese di investimento effettuano le segnalazioni applicando il coefficiente di cui all’articolo 15, paragrafo 2, d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el regolamento (UE) 2019/2033.</w:t>
            </w:r>
          </w:p>
          <w:p w14:paraId="5BA0297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In caso di situazioni di stress dei mercati, conformemente all’articolo 15, paragrafo 5, lettera c), del regolamento (UE) 2019/2033, le imprese di investimento applicano un coefficiente adattato come specificato in tale lette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ra.</w:t>
            </w:r>
          </w:p>
          <w:p w14:paraId="2A64E15A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Il fattore del flusso di negoziazione giornaliero è calcolato conformemente all’articolo 33, paragrafo 2, lettera b), del regolamento (UE) 2019/2033.</w:t>
            </w:r>
          </w:p>
        </w:tc>
      </w:tr>
      <w:tr w:rsidR="00115464" w:rsidRPr="005238BC" w14:paraId="51990B47" w14:textId="77777777">
        <w:tc>
          <w:tcPr>
            <w:tcW w:w="1129" w:type="dxa"/>
            <w:tcBorders>
              <w:top w:val="single" w:sz="4" w:space="0" w:color="auto"/>
            </w:tcBorders>
          </w:tcPr>
          <w:p w14:paraId="7D32F2AC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694B5EF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Requisito relativo al rischio di concentrazione K</w:t>
            </w:r>
          </w:p>
          <w:p w14:paraId="321458A2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24, articolo 37, paragrafo 2, e artic</w:t>
            </w:r>
            <w:r w:rsidRPr="005238BC">
              <w:rPr>
                <w:rFonts w:ascii="Times New Roman" w:hAnsi="Times New Roman"/>
                <w:bCs/>
                <w:color w:val="000000" w:themeColor="text1"/>
              </w:rPr>
              <w:t>olo 39 del regolamento (UE) 2019/2033.</w:t>
            </w:r>
          </w:p>
        </w:tc>
      </w:tr>
      <w:tr w:rsidR="00115464" w14:paraId="3B6FD6E5" w14:textId="77777777">
        <w:tc>
          <w:tcPr>
            <w:tcW w:w="1129" w:type="dxa"/>
            <w:tcBorders>
              <w:top w:val="single" w:sz="4" w:space="0" w:color="auto"/>
            </w:tcBorders>
          </w:tcPr>
          <w:p w14:paraId="7752871E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238BC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416926B" w14:textId="77777777" w:rsidR="00115464" w:rsidRPr="005238BC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5238BC">
              <w:rPr>
                <w:rFonts w:ascii="Times New Roman" w:hAnsi="Times New Roman"/>
                <w:b/>
                <w:bCs/>
                <w:u w:val="single"/>
              </w:rPr>
              <w:t>Requisiti relativi alle spese fisse generali</w:t>
            </w:r>
          </w:p>
          <w:p w14:paraId="60FBEAE9" w14:textId="77777777" w:rsidR="00115464" w:rsidRDefault="005238B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5238BC">
              <w:rPr>
                <w:rFonts w:ascii="Times New Roman" w:hAnsi="Times New Roman"/>
                <w:bCs/>
                <w:color w:val="000000" w:themeColor="text1"/>
              </w:rPr>
              <w:t>Articolo 13 del regolamento (UE) 2019/2033.</w:t>
            </w:r>
          </w:p>
        </w:tc>
      </w:tr>
    </w:tbl>
    <w:p w14:paraId="4C93D865" w14:textId="77777777" w:rsidR="00115464" w:rsidRDefault="00115464">
      <w:pPr>
        <w:pStyle w:val="Instructionsberschrift2"/>
        <w:ind w:left="357" w:hanging="357"/>
        <w:rPr>
          <w:lang w:val="en-IE"/>
        </w:rPr>
      </w:pPr>
    </w:p>
    <w:sectPr w:rsidR="001154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2E8C43" w14:textId="77777777" w:rsidR="00115464" w:rsidRDefault="00115464">
      <w:pPr>
        <w:pStyle w:val="Footer"/>
      </w:pPr>
    </w:p>
  </w:endnote>
  <w:endnote w:type="continuationSeparator" w:id="0">
    <w:p w14:paraId="69AA3806" w14:textId="77777777" w:rsidR="00115464" w:rsidRDefault="0011546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62663" w14:textId="77777777" w:rsidR="00115464" w:rsidRDefault="001154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8D43FC" w14:textId="77777777" w:rsidR="00115464" w:rsidRDefault="005238BC">
    <w:pPr>
      <w:pStyle w:val="Footer"/>
      <w:tabs>
        <w:tab w:val="clear" w:pos="4513"/>
        <w:tab w:val="clear" w:pos="9026"/>
        <w:tab w:val="right" w:pos="9071"/>
      </w:tabs>
    </w:pPr>
    <w:r>
      <w:t>IT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E692A" w14:textId="77777777" w:rsidR="00115464" w:rsidRDefault="00115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18649" w14:textId="77777777" w:rsidR="00115464" w:rsidRDefault="00115464">
      <w:pPr>
        <w:pStyle w:val="Footer"/>
      </w:pPr>
    </w:p>
  </w:footnote>
  <w:footnote w:type="continuationSeparator" w:id="0">
    <w:p w14:paraId="78897BBD" w14:textId="77777777" w:rsidR="00115464" w:rsidRDefault="00115464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16368" w14:textId="77777777" w:rsidR="00115464" w:rsidRDefault="005238BC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7553A" w14:textId="242FA5A9" w:rsidR="00115464" w:rsidRDefault="005238B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2F31A09" wp14:editId="50876AE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5f743f1a707ed8b427e52a9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4B0505" w14:textId="617F8625" w:rsidR="005238BC" w:rsidRPr="005238BC" w:rsidRDefault="005238BC" w:rsidP="005238B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5238BC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F31A09" id="_x0000_t202" coordsize="21600,21600" o:spt="202" path="m,l,21600r21600,l21600,xe">
              <v:stroke joinstyle="miter"/>
              <v:path gradientshapeok="t" o:connecttype="rect"/>
            </v:shapetype>
            <v:shape id="MSIPCM65f743f1a707ed8b427e52a9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" o:allowincell="f" filled="f" stroked="f" strokeweight=".5pt">
              <v:fill o:detectmouseclick="t"/>
              <v:textbox inset="20pt,0,,0">
                <w:txbxContent>
                  <w:p w14:paraId="3C4B0505" w14:textId="617F8625" w:rsidR="005238BC" w:rsidRPr="005238BC" w:rsidRDefault="005238BC" w:rsidP="005238B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5238BC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44033" w14:textId="77777777" w:rsidR="00115464" w:rsidRDefault="005238BC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8"/>
  </w:num>
  <w:num w:numId="20">
    <w:abstractNumId w:val="1"/>
  </w:num>
  <w:num w:numId="21">
    <w:abstractNumId w:val="4"/>
  </w:num>
  <w:num w:numId="22">
    <w:abstractNumId w:val="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15464"/>
    <w:rsid w:val="00115464"/>
    <w:rsid w:val="0052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."/>
  <w:listSeparator w:val=","/>
  <w14:docId w14:val="6D31A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it-IT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LegalNumPar">
    <w:name w:val="LegalNumPar"/>
    <w:basedOn w:val="Normal"/>
    <w:pPr>
      <w:numPr>
        <w:numId w:val="23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al"/>
    <w:pPr>
      <w:numPr>
        <w:ilvl w:val="1"/>
        <w:numId w:val="23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al"/>
    <w:pPr>
      <w:numPr>
        <w:ilvl w:val="2"/>
        <w:numId w:val="23"/>
      </w:numPr>
      <w:spacing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849BEFFC-32F2-4381-9485-16DFA57B1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2021-11-25T15:00:00Z</dcterms:created>
  <dcterms:modified xsi:type="dcterms:W3CDTF">2022-01-14T16:29:00Z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2022-01-14T16:29:33Z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499b09db-09f4-41dd-a184-f2dd74dbef83</vt:lpwstr>
  </property>
  <property fmtid="{D5CDD505-2E9C-101B-9397-08002B2CF9AE}" pid="8" name="MSIP_Label_5c7eb9de-735b-4a68-8fe4-c9c62709b012_ContentBits">
    <vt:lpwstr>1</vt:lpwstr>
  </property>
</Properties>
</file>