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bookmarkStart w:id="6" w:name="_GoBack"/>
      <w:bookmarkEnd w:id="6"/>
      <w:r>
        <w:rPr>
          <w:rFonts w:ascii="Times New Roman" w:hAnsi="Times New Roman"/>
          <w:b/>
          <w:sz w:val="24"/>
          <w:szCs w:val="24"/>
        </w:rPr>
        <w:t>CS</w:t>
      </w:r>
      <w:r>
        <w:rPr>
          <w:rFonts w:ascii="Times New Roman" w:hAnsi="Times New Roman"/>
          <w:b/>
          <w:sz w:val="24"/>
          <w:szCs w:val="24"/>
        </w:rPr>
        <w:br/>
      </w:r>
      <w:r>
        <w:rPr>
          <w:rFonts w:ascii="Times New Roman" w:hAnsi="Times New Roman"/>
          <w:b/>
          <w:sz w:val="24"/>
          <w:szCs w:val="20"/>
        </w:rPr>
        <w:t>PŘÍLOHA IX</w:t>
      </w:r>
    </w:p>
    <w:p>
      <w:pPr>
        <w:spacing w:after="240" w:line="240" w:lineRule="auto"/>
        <w:jc w:val="center"/>
        <w:rPr>
          <w:rFonts w:ascii="Times New Roman" w:eastAsia="Times New Roman" w:hAnsi="Times New Roman" w:cs="Times New Roman"/>
          <w:b/>
          <w:sz w:val="24"/>
          <w:szCs w:val="20"/>
          <w:u w:val="single"/>
        </w:rPr>
      </w:pPr>
      <w:r>
        <w:rPr>
          <w:rFonts w:ascii="Times New Roman" w:hAnsi="Times New Roman"/>
          <w:b/>
          <w:sz w:val="24"/>
          <w:szCs w:val="20"/>
          <w:u w:val="single"/>
        </w:rPr>
        <w:t xml:space="preserve">„PŘÍLOHA </w:t>
      </w:r>
      <w:bookmarkEnd w:id="0"/>
      <w:bookmarkEnd w:id="1"/>
      <w:r>
        <w:rPr>
          <w:rFonts w:ascii="Times New Roman" w:hAnsi="Times New Roman"/>
          <w:b/>
          <w:sz w:val="24"/>
          <w:szCs w:val="20"/>
          <w:u w:val="single"/>
        </w:rPr>
        <w:t>IX</w:t>
      </w:r>
    </w:p>
    <w:p>
      <w:pPr>
        <w:spacing w:after="240" w:line="240" w:lineRule="auto"/>
        <w:jc w:val="center"/>
        <w:rPr>
          <w:rFonts w:ascii="Times New Roman" w:eastAsia="Times New Roman" w:hAnsi="Times New Roman" w:cs="Times New Roman"/>
          <w:b/>
          <w:sz w:val="24"/>
          <w:szCs w:val="20"/>
        </w:rPr>
      </w:pPr>
      <w:r>
        <w:rPr>
          <w:rFonts w:ascii="Times New Roman" w:hAnsi="Times New Roman"/>
          <w:b/>
          <w:sz w:val="24"/>
          <w:szCs w:val="20"/>
        </w:rPr>
        <w:t>PODÁVÁNÍ ZPRÁV O SKUPINOVÉM KAPITÁLOVÉM TESTU</w:t>
      </w:r>
    </w:p>
    <w:p>
      <w:pPr>
        <w:spacing w:after="0" w:line="240" w:lineRule="auto"/>
        <w:rPr>
          <w:rFonts w:ascii="Times New Roman" w:eastAsia="Times New Roman" w:hAnsi="Times New Roman" w:cs="Times New Roman"/>
          <w:sz w:val="24"/>
          <w:szCs w:val="24"/>
        </w:rPr>
      </w:pPr>
      <w:r>
        <w:rPr>
          <w:rFonts w:ascii="Times New Roman" w:hAnsi="Times New Roman"/>
          <w:sz w:val="24"/>
          <w:szCs w:val="24"/>
        </w:rPr>
        <w:t>Obsah</w:t>
      </w:r>
    </w:p>
    <w:p>
      <w:pPr>
        <w:pStyle w:val="TOC2"/>
        <w:tabs>
          <w:tab w:val="right" w:leader="dot" w:pos="9016"/>
        </w:tabs>
        <w:rPr>
          <w:rFonts w:eastAsiaTheme="minorEastAsia"/>
          <w:noProof/>
          <w:lang w:eastAsia="cs-CZ"/>
        </w:rPr>
      </w:pPr>
      <w:r>
        <w:rPr>
          <w:rFonts w:ascii="Times New Roman" w:hAnsi="Times New Roman"/>
          <w:noProof/>
        </w:rPr>
        <w:t>ČÁST I: OBECNÉ POKYNY</w:t>
      </w:r>
      <w:r>
        <w:rPr>
          <w:noProof/>
        </w:rPr>
        <w:tab/>
        <w:t>2</w:t>
      </w:r>
    </w:p>
    <w:p>
      <w:pPr>
        <w:pStyle w:val="TOC2"/>
        <w:tabs>
          <w:tab w:val="right" w:leader="dot" w:pos="9016"/>
        </w:tabs>
        <w:rPr>
          <w:rFonts w:eastAsiaTheme="minorEastAsia"/>
          <w:noProof/>
          <w:lang w:eastAsia="cs-CZ"/>
        </w:rPr>
      </w:pPr>
      <w:r>
        <w:rPr>
          <w:rFonts w:ascii="Times New Roman" w:hAnsi="Times New Roman"/>
          <w:noProof/>
        </w:rPr>
        <w:t>1. Struktura a konvence</w:t>
      </w:r>
      <w:r>
        <w:rPr>
          <w:noProof/>
        </w:rPr>
        <w:tab/>
        <w:t>2</w:t>
      </w:r>
    </w:p>
    <w:p>
      <w:pPr>
        <w:pStyle w:val="TOC2"/>
        <w:tabs>
          <w:tab w:val="right" w:leader="dot" w:pos="9016"/>
        </w:tabs>
        <w:rPr>
          <w:rFonts w:eastAsiaTheme="minorEastAsia"/>
          <w:noProof/>
          <w:lang w:eastAsia="cs-CZ"/>
        </w:rPr>
      </w:pPr>
      <w:r>
        <w:rPr>
          <w:rFonts w:ascii="Times New Roman" w:hAnsi="Times New Roman"/>
          <w:noProof/>
          <w:u w:val="single"/>
        </w:rPr>
        <w:t>1.1 Struktura</w:t>
      </w:r>
      <w:r>
        <w:rPr>
          <w:noProof/>
        </w:rPr>
        <w:tab/>
        <w:t>2</w:t>
      </w:r>
    </w:p>
    <w:p>
      <w:pPr>
        <w:pStyle w:val="TOC2"/>
        <w:tabs>
          <w:tab w:val="right" w:leader="dot" w:pos="9016"/>
        </w:tabs>
        <w:rPr>
          <w:rFonts w:eastAsiaTheme="minorEastAsia"/>
          <w:noProof/>
          <w:lang w:eastAsia="cs-CZ"/>
        </w:rPr>
      </w:pPr>
      <w:r>
        <w:rPr>
          <w:rFonts w:ascii="Times New Roman" w:hAnsi="Times New Roman"/>
          <w:noProof/>
          <w:u w:val="single"/>
        </w:rPr>
        <w:t>1.2 Konvence v oblasti číslování</w:t>
      </w:r>
      <w:r>
        <w:rPr>
          <w:noProof/>
        </w:rPr>
        <w:tab/>
        <w:t>2</w:t>
      </w:r>
    </w:p>
    <w:p>
      <w:pPr>
        <w:pStyle w:val="TOC2"/>
        <w:tabs>
          <w:tab w:val="right" w:leader="dot" w:pos="9016"/>
        </w:tabs>
        <w:rPr>
          <w:rFonts w:eastAsiaTheme="minorEastAsia"/>
          <w:noProof/>
          <w:lang w:eastAsia="cs-CZ"/>
        </w:rPr>
      </w:pPr>
      <w:r>
        <w:rPr>
          <w:rFonts w:ascii="Times New Roman" w:hAnsi="Times New Roman"/>
          <w:noProof/>
          <w:u w:val="single"/>
        </w:rPr>
        <w:t>1.3 Konvence v oblasti znamének</w:t>
      </w:r>
      <w:r>
        <w:rPr>
          <w:noProof/>
        </w:rPr>
        <w:tab/>
        <w:t>2</w:t>
      </w:r>
    </w:p>
    <w:p>
      <w:pPr>
        <w:pStyle w:val="TOC2"/>
        <w:tabs>
          <w:tab w:val="right" w:leader="dot" w:pos="9016"/>
        </w:tabs>
        <w:rPr>
          <w:rFonts w:eastAsiaTheme="minorEastAsia"/>
          <w:noProof/>
          <w:lang w:eastAsia="cs-CZ"/>
        </w:rPr>
      </w:pPr>
      <w:r>
        <w:rPr>
          <w:rFonts w:ascii="Times New Roman" w:hAnsi="Times New Roman"/>
          <w:noProof/>
        </w:rPr>
        <w:t>ČÁST II: POKYNY K ŠABLONÁM</w:t>
      </w:r>
      <w:r>
        <w:rPr>
          <w:noProof/>
        </w:rPr>
        <w:tab/>
        <w:t>2</w:t>
      </w:r>
    </w:p>
    <w:p>
      <w:pPr>
        <w:pStyle w:val="TOC2"/>
        <w:tabs>
          <w:tab w:val="right" w:leader="dot" w:pos="9016"/>
        </w:tabs>
        <w:rPr>
          <w:rFonts w:eastAsiaTheme="minorEastAsia"/>
          <w:noProof/>
          <w:lang w:eastAsia="cs-CZ"/>
        </w:rPr>
      </w:pPr>
      <w:r>
        <w:rPr>
          <w:rFonts w:ascii="Times New Roman" w:hAnsi="Times New Roman"/>
          <w:b/>
          <w:noProof/>
        </w:rPr>
        <w:t>1. KAPITÁL: VÝŠE, SLOŽENÍ, POŽADAVKY A VÝPOČET</w:t>
      </w:r>
      <w:r>
        <w:rPr>
          <w:noProof/>
        </w:rPr>
        <w:tab/>
        <w:t>2</w:t>
      </w:r>
    </w:p>
    <w:p>
      <w:pPr>
        <w:pStyle w:val="TOC2"/>
        <w:tabs>
          <w:tab w:val="right" w:leader="dot" w:pos="9016"/>
        </w:tabs>
        <w:rPr>
          <w:rFonts w:eastAsiaTheme="minorEastAsia"/>
          <w:noProof/>
          <w:lang w:eastAsia="cs-CZ"/>
        </w:rPr>
      </w:pPr>
      <w:r>
        <w:rPr>
          <w:rFonts w:ascii="Times New Roman" w:hAnsi="Times New Roman"/>
          <w:noProof/>
        </w:rPr>
        <w:t>1.1 Obecné poznámky</w:t>
      </w:r>
      <w:r>
        <w:rPr>
          <w:noProof/>
        </w:rPr>
        <w:tab/>
        <w:t>2</w:t>
      </w:r>
    </w:p>
    <w:p>
      <w:pPr>
        <w:pStyle w:val="TOC2"/>
        <w:tabs>
          <w:tab w:val="right" w:leader="dot" w:pos="9016"/>
        </w:tabs>
        <w:rPr>
          <w:rFonts w:eastAsiaTheme="minorEastAsia"/>
          <w:noProof/>
          <w:lang w:eastAsia="cs-CZ"/>
        </w:rPr>
      </w:pPr>
      <w:r>
        <w:rPr>
          <w:rFonts w:ascii="Times New Roman" w:hAnsi="Times New Roman"/>
          <w:noProof/>
        </w:rPr>
        <w:t>1.2. I 11.01 – SLOŽENÍ KAPITÁLU – SKUPINOVÝ KAPITÁLOVÝ TEST (I11.1)</w:t>
      </w:r>
      <w:r>
        <w:rPr>
          <w:noProof/>
        </w:rPr>
        <w:tab/>
        <w:t>3</w:t>
      </w:r>
    </w:p>
    <w:p>
      <w:pPr>
        <w:pStyle w:val="TOC2"/>
        <w:tabs>
          <w:tab w:val="left" w:pos="1100"/>
          <w:tab w:val="right" w:leader="dot" w:pos="9016"/>
        </w:tabs>
        <w:rPr>
          <w:rFonts w:eastAsiaTheme="minorEastAsia"/>
          <w:noProof/>
          <w:lang w:eastAsia="cs-CZ"/>
        </w:rPr>
      </w:pPr>
      <w:r>
        <w:rPr>
          <w:rFonts w:ascii="Times New Roman" w:hAnsi="Times New Roman"/>
          <w:noProof/>
        </w:rPr>
        <w:t>1.2.1.</w:t>
      </w:r>
      <w:r>
        <w:rPr>
          <w:rFonts w:eastAsiaTheme="minorEastAsia"/>
          <w:noProof/>
          <w:lang w:eastAsia="cs-CZ"/>
        </w:rPr>
        <w:tab/>
      </w:r>
      <w:r>
        <w:rPr>
          <w:rFonts w:ascii="Times New Roman" w:hAnsi="Times New Roman"/>
          <w:noProof/>
        </w:rPr>
        <w:t>Pokyny pro konkrétní pozice</w:t>
      </w:r>
      <w:r>
        <w:rPr>
          <w:noProof/>
        </w:rPr>
        <w:tab/>
        <w:t>3</w:t>
      </w:r>
    </w:p>
    <w:p>
      <w:pPr>
        <w:pStyle w:val="TOC2"/>
        <w:tabs>
          <w:tab w:val="right" w:leader="dot" w:pos="9016"/>
        </w:tabs>
        <w:rPr>
          <w:rFonts w:eastAsiaTheme="minorEastAsia"/>
          <w:noProof/>
          <w:lang w:eastAsia="cs-CZ"/>
        </w:rPr>
      </w:pPr>
      <w:r>
        <w:rPr>
          <w:rFonts w:ascii="Times New Roman" w:hAnsi="Times New Roman"/>
          <w:noProof/>
        </w:rPr>
        <w:t>1.3 I 11.02 – KAPITÁLOVÉ POŽADAVKY – SKUPINOVÝ KAPITÁLOVÝ TEST (I11.2)</w:t>
      </w:r>
      <w:r>
        <w:rPr>
          <w:noProof/>
        </w:rPr>
        <w:tab/>
        <w:t>8</w:t>
      </w:r>
    </w:p>
    <w:p>
      <w:pPr>
        <w:pStyle w:val="TOC2"/>
        <w:tabs>
          <w:tab w:val="left" w:pos="1100"/>
          <w:tab w:val="right" w:leader="dot" w:pos="9016"/>
        </w:tabs>
        <w:rPr>
          <w:rFonts w:eastAsiaTheme="minorEastAsia"/>
          <w:noProof/>
          <w:lang w:eastAsia="cs-CZ"/>
        </w:rPr>
      </w:pPr>
      <w:r>
        <w:rPr>
          <w:rFonts w:ascii="Times New Roman" w:hAnsi="Times New Roman"/>
          <w:noProof/>
        </w:rPr>
        <w:t>1.3.1.</w:t>
      </w:r>
      <w:r>
        <w:rPr>
          <w:rFonts w:eastAsiaTheme="minorEastAsia"/>
          <w:noProof/>
          <w:lang w:eastAsia="cs-CZ"/>
        </w:rPr>
        <w:tab/>
      </w:r>
      <w:r>
        <w:rPr>
          <w:rFonts w:ascii="Times New Roman" w:hAnsi="Times New Roman"/>
          <w:noProof/>
          <w:u w:val="single"/>
        </w:rPr>
        <w:t>Pokyny pro konkrétní pozice</w:t>
      </w:r>
      <w:r>
        <w:rPr>
          <w:noProof/>
        </w:rPr>
        <w:tab/>
        <w:t>8</w:t>
      </w:r>
    </w:p>
    <w:p>
      <w:pPr>
        <w:pStyle w:val="TOC2"/>
        <w:tabs>
          <w:tab w:val="right" w:leader="dot" w:pos="9016"/>
        </w:tabs>
        <w:rPr>
          <w:rFonts w:eastAsiaTheme="minorEastAsia"/>
          <w:noProof/>
          <w:lang w:eastAsia="cs-CZ"/>
        </w:rPr>
      </w:pPr>
      <w:r>
        <w:rPr>
          <w:rFonts w:ascii="Times New Roman" w:hAnsi="Times New Roman"/>
          <w:noProof/>
        </w:rPr>
        <w:t>1.4 IF 11.03 INFORMACE O DCEŘINÝCH PODNICÍCH (IF11.3)</w:t>
      </w:r>
      <w:r>
        <w:rPr>
          <w:noProof/>
        </w:rPr>
        <w:tab/>
        <w:t>9</w:t>
      </w:r>
    </w:p>
    <w:p>
      <w:pPr>
        <w:pStyle w:val="TOC2"/>
        <w:tabs>
          <w:tab w:val="left" w:pos="1100"/>
          <w:tab w:val="right" w:leader="dot" w:pos="9016"/>
        </w:tabs>
        <w:rPr>
          <w:rFonts w:eastAsiaTheme="minorEastAsia"/>
          <w:noProof/>
          <w:lang w:eastAsia="cs-CZ"/>
        </w:rPr>
      </w:pPr>
      <w:r>
        <w:rPr>
          <w:rFonts w:ascii="Times New Roman" w:hAnsi="Times New Roman"/>
          <w:noProof/>
        </w:rPr>
        <w:t>1.4.1.</w:t>
      </w:r>
      <w:r>
        <w:rPr>
          <w:rFonts w:eastAsiaTheme="minorEastAsia"/>
          <w:noProof/>
          <w:lang w:eastAsia="cs-CZ"/>
        </w:rPr>
        <w:tab/>
      </w:r>
      <w:r>
        <w:rPr>
          <w:rFonts w:ascii="Times New Roman" w:hAnsi="Times New Roman"/>
          <w:noProof/>
          <w:u w:val="single"/>
        </w:rPr>
        <w:t>Pokyny pro konkrétní pozice</w:t>
      </w:r>
      <w:r>
        <w:rPr>
          <w:noProof/>
        </w:rPr>
        <w:tab/>
        <w:t>9</w:t>
      </w:r>
      <w:bookmarkStart w:id="7" w:name="_Toc360188322"/>
      <w:bookmarkStart w:id="8" w:name="_Toc473560870"/>
      <w:bookmarkStart w:id="9" w:name="_Toc7084155"/>
    </w:p>
    <w:p>
      <w:pPr>
        <w:rPr>
          <w:lang w:val="en-IE"/>
        </w:rPr>
      </w:pPr>
    </w:p>
    <w:p>
      <w:pPr>
        <w:rPr>
          <w:lang w:val="en-IE"/>
        </w:rPr>
      </w:pPr>
    </w:p>
    <w:p>
      <w:pPr>
        <w:pStyle w:val="Heading2"/>
        <w:rPr>
          <w:rFonts w:ascii="Times New Roman" w:hAnsi="Times New Roman"/>
        </w:rPr>
      </w:pPr>
      <w:bookmarkStart w:id="10" w:name="_Toc88130623"/>
      <w:r>
        <w:rPr>
          <w:rFonts w:ascii="Times New Roman" w:hAnsi="Times New Roman"/>
        </w:rPr>
        <w:t>ČÁST I: OBECNÉ POKYNY</w:t>
      </w:r>
      <w:bookmarkEnd w:id="10"/>
    </w:p>
    <w:p>
      <w:pPr>
        <w:keepNext/>
        <w:spacing w:before="240" w:after="240" w:line="240" w:lineRule="auto"/>
        <w:jc w:val="both"/>
        <w:outlineLvl w:val="1"/>
        <w:rPr>
          <w:rFonts w:ascii="Times New Roman" w:eastAsia="Arial" w:hAnsi="Times New Roman" w:cs="Times New Roman"/>
          <w:sz w:val="24"/>
          <w:szCs w:val="24"/>
        </w:rPr>
      </w:pPr>
      <w:bookmarkStart w:id="11" w:name="_Toc88130624"/>
      <w:r>
        <w:rPr>
          <w:rFonts w:ascii="Times New Roman" w:hAnsi="Times New Roman"/>
          <w:sz w:val="24"/>
          <w:szCs w:val="24"/>
        </w:rPr>
        <w:t>1. Struktura a konvence</w:t>
      </w:r>
      <w:bookmarkEnd w:id="11"/>
    </w:p>
    <w:p>
      <w:pPr>
        <w:keepNext/>
        <w:spacing w:before="240" w:after="240" w:line="240" w:lineRule="auto"/>
        <w:jc w:val="both"/>
        <w:outlineLvl w:val="1"/>
        <w:rPr>
          <w:rFonts w:ascii="Times New Roman" w:eastAsia="Arial" w:hAnsi="Times New Roman" w:cs="Times New Roman"/>
          <w:sz w:val="24"/>
          <w:szCs w:val="24"/>
          <w:u w:val="single"/>
        </w:rPr>
      </w:pPr>
      <w:bookmarkStart w:id="12" w:name="_Toc88130625"/>
      <w:r>
        <w:rPr>
          <w:rFonts w:ascii="Times New Roman" w:hAnsi="Times New Roman"/>
          <w:sz w:val="24"/>
          <w:szCs w:val="24"/>
          <w:u w:val="single"/>
        </w:rPr>
        <w:t>1.1 Struktura</w:t>
      </w:r>
      <w:bookmarkEnd w:id="12"/>
    </w:p>
    <w:p>
      <w:pPr>
        <w:spacing w:line="256" w:lineRule="auto"/>
        <w:ind w:left="993" w:hanging="504"/>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r>
      <w:r>
        <w:rPr>
          <w:rFonts w:ascii="Times New Roman" w:hAnsi="Times New Roman"/>
        </w:rPr>
        <w:t>Podávání zpráv o skupinovém kapitálovém testu obecně zahrnuje dvě šablony:</w:t>
      </w:r>
    </w:p>
    <w:p>
      <w:pPr>
        <w:spacing w:line="256" w:lineRule="auto"/>
        <w:ind w:left="1728" w:hanging="648"/>
        <w:jc w:val="both"/>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rPr>
        <w:t>Složení kapitálu</w:t>
      </w:r>
    </w:p>
    <w:p>
      <w:pPr>
        <w:spacing w:line="256" w:lineRule="auto"/>
        <w:ind w:left="1728" w:hanging="648"/>
        <w:jc w:val="both"/>
        <w:rPr>
          <w:rFonts w:ascii="Times New Roman" w:hAnsi="Times New Roman" w:cs="Times New Roman"/>
        </w:rPr>
      </w:pPr>
      <w:r>
        <w:rPr>
          <w:rFonts w:ascii="Times New Roman" w:hAnsi="Times New Roman" w:cs="Times New Roman"/>
        </w:rPr>
        <w:t>b)</w:t>
      </w:r>
      <w:r>
        <w:rPr>
          <w:rFonts w:ascii="Times New Roman" w:hAnsi="Times New Roman" w:cs="Times New Roman"/>
        </w:rPr>
        <w:tab/>
      </w:r>
      <w:r>
        <w:rPr>
          <w:rFonts w:ascii="Times New Roman" w:hAnsi="Times New Roman"/>
        </w:rPr>
        <w:t>Kapitálové nástroje</w:t>
      </w:r>
    </w:p>
    <w:p>
      <w:pPr>
        <w:pStyle w:val="InstructionsText2"/>
        <w:numPr>
          <w:ilvl w:val="0"/>
          <w:numId w:val="0"/>
        </w:numPr>
        <w:ind w:left="360" w:hanging="360"/>
      </w:pPr>
      <w:r>
        <w:t>2.</w:t>
      </w:r>
      <w:r>
        <w:tab/>
        <w:t>Ke každé šabloně jsou uvedeny odkazy na právní předpisy. V této části tohoto nařízení jsou obsaženy další podrobné informace týkající se obecnějších aspektů podávání zpráv ke každé skupině šablon, pokyny ohledně specifických pozic a také pravidla pro ověřování.</w:t>
      </w:r>
    </w:p>
    <w:p>
      <w:pPr>
        <w:keepNext/>
        <w:spacing w:before="240" w:after="240" w:line="240" w:lineRule="auto"/>
        <w:jc w:val="both"/>
        <w:outlineLvl w:val="1"/>
        <w:rPr>
          <w:rFonts w:ascii="Times New Roman" w:eastAsia="Arial" w:hAnsi="Times New Roman" w:cs="Times New Roman"/>
          <w:sz w:val="24"/>
          <w:szCs w:val="24"/>
          <w:u w:val="single"/>
        </w:rPr>
      </w:pPr>
      <w:bookmarkStart w:id="13" w:name="_Toc88130626"/>
      <w:r>
        <w:rPr>
          <w:rFonts w:ascii="Times New Roman" w:hAnsi="Times New Roman"/>
          <w:sz w:val="24"/>
          <w:szCs w:val="24"/>
          <w:u w:val="single"/>
        </w:rPr>
        <w:t>1.2 Konvence v oblasti číslování</w:t>
      </w:r>
      <w:bookmarkEnd w:id="13"/>
    </w:p>
    <w:p>
      <w:pPr>
        <w:pStyle w:val="InstructionsText2"/>
        <w:numPr>
          <w:ilvl w:val="0"/>
          <w:numId w:val="0"/>
        </w:numPr>
        <w:ind w:left="360" w:hanging="360"/>
      </w:pPr>
      <w:r>
        <w:t>3.</w:t>
      </w:r>
      <w:r>
        <w:tab/>
        <w:t>Jestliže dokument odkazuje na sloupce, řádky a buňky šablon, řídí se označováním, které je stanoveno v bodech 4 až 7. Uvedené číselné kódy se běžně používají v pravidlech pro ověřování.</w:t>
      </w:r>
    </w:p>
    <w:p>
      <w:pPr>
        <w:pStyle w:val="InstructionsText2"/>
        <w:numPr>
          <w:ilvl w:val="0"/>
          <w:numId w:val="0"/>
        </w:numPr>
        <w:ind w:left="360" w:hanging="360"/>
      </w:pPr>
      <w:r>
        <w:lastRenderedPageBreak/>
        <w:t>4.</w:t>
      </w:r>
      <w:r>
        <w:tab/>
        <w:t>V pokynech se používá tento obecný zápis: {šablona; řádek; sloupec}.</w:t>
      </w:r>
    </w:p>
    <w:p>
      <w:pPr>
        <w:pStyle w:val="InstructionsText2"/>
        <w:numPr>
          <w:ilvl w:val="0"/>
          <w:numId w:val="0"/>
        </w:numPr>
        <w:ind w:left="360" w:hanging="360"/>
      </w:pPr>
      <w:r>
        <w:t>5.</w:t>
      </w:r>
      <w:r>
        <w:tab/>
        <w:t>V případě validací v rámci šablony, ve které jsou užity pouze údaje z této šablony, zápisy neodkazují na šablonu: {řádek; sloupec}.</w:t>
      </w:r>
    </w:p>
    <w:p>
      <w:pPr>
        <w:pStyle w:val="InstructionsText2"/>
        <w:numPr>
          <w:ilvl w:val="0"/>
          <w:numId w:val="0"/>
        </w:numPr>
        <w:ind w:left="360" w:hanging="360"/>
      </w:pPr>
      <w:r>
        <w:t>6.</w:t>
      </w:r>
      <w:r>
        <w:tab/>
        <w:t>Má-li šablona pouze jeden sloupec, odkazuje se pouze na řádky: {šablona; řádek}.</w:t>
      </w:r>
    </w:p>
    <w:p>
      <w:pPr>
        <w:pStyle w:val="InstructionsText2"/>
        <w:numPr>
          <w:ilvl w:val="0"/>
          <w:numId w:val="0"/>
        </w:numPr>
        <w:ind w:left="360" w:hanging="360"/>
      </w:pPr>
      <w:r>
        <w:t>7.</w:t>
      </w:r>
      <w:r>
        <w:tab/>
        <w:t>Hvězdičkou se označuje skutečnost, že u předem specifikovaných řádků či sloupců byla provedena validace.</w:t>
      </w:r>
    </w:p>
    <w:p>
      <w:pPr>
        <w:keepNext/>
        <w:spacing w:before="240" w:after="240" w:line="240" w:lineRule="auto"/>
        <w:jc w:val="both"/>
        <w:outlineLvl w:val="1"/>
        <w:rPr>
          <w:rFonts w:ascii="Times New Roman" w:eastAsia="Arial" w:hAnsi="Times New Roman" w:cs="Times New Roman"/>
          <w:sz w:val="24"/>
          <w:szCs w:val="24"/>
          <w:u w:val="single"/>
        </w:rPr>
      </w:pPr>
      <w:bookmarkStart w:id="14" w:name="_Toc88130627"/>
      <w:r>
        <w:rPr>
          <w:rFonts w:ascii="Times New Roman" w:hAnsi="Times New Roman"/>
          <w:sz w:val="24"/>
          <w:szCs w:val="24"/>
          <w:u w:val="single"/>
        </w:rPr>
        <w:t>1.3 Konvence v oblasti znamének</w:t>
      </w:r>
      <w:bookmarkEnd w:id="14"/>
    </w:p>
    <w:p>
      <w:pPr>
        <w:pStyle w:val="InstructionsText2"/>
        <w:numPr>
          <w:ilvl w:val="0"/>
          <w:numId w:val="0"/>
        </w:numPr>
        <w:ind w:left="360" w:hanging="360"/>
      </w:pPr>
      <w:r>
        <w:t>8.</w:t>
      </w:r>
      <w:r>
        <w:tab/>
        <w:t>Jakákoli částka, která zvyšuje kapitál nebo kapitálové požadavky nebo požadavky na likviditu, se vykazuje jako kladné číslo. Naopak jakákoli částka, která celkový kapitál nebo kapitálové požadavky snižuje, se vykazuje jako záporné číslo. Je-li před označením položky uvedeno záporné znaménko (–), předpokládá se, že u této položky nebude uvedeno kladné číslo.</w:t>
      </w:r>
    </w:p>
    <w:p>
      <w:pPr>
        <w:pStyle w:val="Heading2"/>
        <w:rPr>
          <w:rFonts w:ascii="Times New Roman" w:hAnsi="Times New Roman"/>
        </w:rPr>
      </w:pPr>
      <w:bookmarkStart w:id="15" w:name="_Toc88130628"/>
      <w:r>
        <w:rPr>
          <w:rFonts w:ascii="Times New Roman" w:hAnsi="Times New Roman"/>
        </w:rPr>
        <w:t>ČÁST II: POKYNY K ŠABLONÁM</w:t>
      </w:r>
      <w:bookmarkEnd w:id="7"/>
      <w:bookmarkEnd w:id="8"/>
      <w:bookmarkEnd w:id="9"/>
      <w:bookmarkEnd w:id="15"/>
    </w:p>
    <w:p>
      <w:pPr>
        <w:pStyle w:val="Instructionsberschrift2"/>
        <w:ind w:left="357" w:hanging="357"/>
        <w:rPr>
          <w:rFonts w:ascii="Times New Roman" w:hAnsi="Times New Roman" w:cs="Times New Roman"/>
          <w:b/>
          <w:sz w:val="24"/>
        </w:rPr>
      </w:pPr>
      <w:bookmarkStart w:id="16" w:name="_Toc88130629"/>
      <w:r>
        <w:rPr>
          <w:rFonts w:ascii="Times New Roman" w:hAnsi="Times New Roman"/>
          <w:b/>
          <w:sz w:val="24"/>
          <w:u w:val="none"/>
        </w:rPr>
        <w:t>1. KAPITÁL: VÝŠE, SLOŽENÍ, POŽADAVKY A VÝPOČET</w:t>
      </w:r>
      <w:bookmarkEnd w:id="16"/>
    </w:p>
    <w:p>
      <w:pPr>
        <w:pStyle w:val="Instructionsberschrift2"/>
        <w:ind w:left="357" w:hanging="357"/>
        <w:rPr>
          <w:rFonts w:ascii="Times New Roman" w:hAnsi="Times New Roman" w:cs="Times New Roman"/>
          <w:sz w:val="24"/>
        </w:rPr>
      </w:pPr>
      <w:bookmarkStart w:id="17" w:name="_Toc88130630"/>
      <w:r>
        <w:rPr>
          <w:rFonts w:ascii="Times New Roman" w:hAnsi="Times New Roman"/>
          <w:sz w:val="24"/>
          <w:u w:val="none"/>
        </w:rPr>
        <w:t>1.1</w:t>
      </w:r>
      <w:r>
        <w:rPr>
          <w:rFonts w:ascii="Times New Roman" w:hAnsi="Times New Roman"/>
          <w:sz w:val="24"/>
        </w:rPr>
        <w:t xml:space="preserve"> Obecné poznámky</w:t>
      </w:r>
      <w:bookmarkEnd w:id="17"/>
    </w:p>
    <w:p>
      <w:pPr>
        <w:spacing w:line="256" w:lineRule="auto"/>
        <w:ind w:left="993" w:hanging="567"/>
        <w:jc w:val="both"/>
        <w:rPr>
          <w:rFonts w:ascii="Times New Roman" w:hAnsi="Times New Roman" w:cs="Times New Roman"/>
          <w:sz w:val="24"/>
        </w:rPr>
      </w:pPr>
      <w:r>
        <w:rPr>
          <w:rFonts w:ascii="Times New Roman" w:hAnsi="Times New Roman" w:cs="Times New Roman"/>
          <w:sz w:val="24"/>
        </w:rPr>
        <w:t>10.</w:t>
      </w:r>
      <w:r>
        <w:rPr>
          <w:rFonts w:ascii="Times New Roman" w:hAnsi="Times New Roman" w:cs="Times New Roman"/>
          <w:sz w:val="24"/>
        </w:rPr>
        <w:tab/>
      </w:r>
      <w:r>
        <w:rPr>
          <w:rFonts w:ascii="Times New Roman" w:hAnsi="Times New Roman"/>
          <w:sz w:val="24"/>
        </w:rPr>
        <w:t>Oddíl pojednávající o kapitálu obsahuje informace o kapitálu, který investiční podnik drží, a jeho kapitálových požadavcích. Obsahuje dvě šablony:</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ab/>
      </w:r>
      <w:r>
        <w:rPr>
          <w:rFonts w:ascii="Times New Roman" w:hAnsi="Times New Roman"/>
          <w:sz w:val="24"/>
        </w:rPr>
        <w:t>šablona I 11.01 zahrnuje složení kapitálu, který drží investiční podnik: kmenového kapitálu tier 1 (CET1), vedlejšího kapitálu tier 1 (AT1) a kapitálu tier 2 (T2);</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rPr>
        <w:tab/>
      </w:r>
      <w:r>
        <w:rPr>
          <w:rFonts w:ascii="Times New Roman" w:hAnsi="Times New Roman"/>
          <w:sz w:val="24"/>
        </w:rPr>
        <w:t>šablona I 11.02 obsahuje informace o „kapitálových požadavcích“ v kontextu skupinového kapitálového testu, tj. kapitálové investice uvnitř skupiny, podmíněné závazky a celkové kapitálové požadavky dceřiných podniků;</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c)</w:t>
      </w:r>
      <w:r>
        <w:rPr>
          <w:rFonts w:ascii="Times New Roman" w:hAnsi="Times New Roman" w:cs="Times New Roman"/>
          <w:sz w:val="24"/>
        </w:rPr>
        <w:tab/>
      </w:r>
      <w:r>
        <w:rPr>
          <w:rFonts w:ascii="Times New Roman" w:hAnsi="Times New Roman"/>
          <w:sz w:val="24"/>
        </w:rPr>
        <w:t>šablona I 11.03 obsahuje příslušné informace o kapitálových požadavcích, podmíněných závazcích, podřízených pohledávkách a kapitálových investicích subjektů finančního sektoru na úrovni dceřiných společností, rozčleněné podle subjektů.</w:t>
      </w:r>
    </w:p>
    <w:p>
      <w:pPr>
        <w:spacing w:line="256" w:lineRule="auto"/>
        <w:ind w:left="993" w:hanging="567"/>
        <w:jc w:val="both"/>
        <w:rPr>
          <w:rFonts w:ascii="Times New Roman" w:hAnsi="Times New Roman" w:cs="Times New Roman"/>
          <w:sz w:val="24"/>
        </w:rPr>
      </w:pPr>
      <w:r>
        <w:rPr>
          <w:rFonts w:ascii="Times New Roman" w:hAnsi="Times New Roman" w:cs="Times New Roman"/>
          <w:sz w:val="24"/>
        </w:rPr>
        <w:t>11.</w:t>
      </w:r>
      <w:r>
        <w:rPr>
          <w:rFonts w:ascii="Times New Roman" w:hAnsi="Times New Roman" w:cs="Times New Roman"/>
          <w:sz w:val="24"/>
        </w:rPr>
        <w:tab/>
      </w:r>
      <w:r>
        <w:rPr>
          <w:rFonts w:ascii="Times New Roman" w:hAnsi="Times New Roman"/>
          <w:sz w:val="24"/>
        </w:rPr>
        <w:t>Položky v těchto šablonách se obecně uvádějí bez přechodných úprav. Znamená to, že číselné hodnoty (kromě případů, kdy je výslovně uveden přechodný kapitálový požadavek) se vypočítávají podle závěrečných ustanovení (tj. jako kdyby neexistovala přechodná ustanovení).</w:t>
      </w:r>
    </w:p>
    <w:p>
      <w:pPr>
        <w:pStyle w:val="Instructionsberschrift2"/>
        <w:ind w:left="357" w:hanging="357"/>
        <w:rPr>
          <w:rFonts w:ascii="Times New Roman" w:hAnsi="Times New Roman" w:cs="Times New Roman"/>
          <w:sz w:val="24"/>
        </w:rPr>
      </w:pPr>
      <w:bookmarkStart w:id="18" w:name="_Toc88130631"/>
      <w:r>
        <w:rPr>
          <w:rFonts w:ascii="Times New Roman" w:hAnsi="Times New Roman"/>
          <w:sz w:val="24"/>
        </w:rPr>
        <w:t>1.2. I 11.01 – SLOŽENÍ KAPITÁLU – SKUPINOVÝ KAPITÁLOVÝ TEST (I11.1)</w:t>
      </w:r>
      <w:bookmarkEnd w:id="18"/>
    </w:p>
    <w:p>
      <w:pPr>
        <w:pStyle w:val="Instructionsberschrift2"/>
        <w:ind w:left="357" w:hanging="357"/>
        <w:rPr>
          <w:rFonts w:ascii="Times New Roman" w:hAnsi="Times New Roman" w:cs="Times New Roman"/>
          <w:sz w:val="24"/>
        </w:rPr>
      </w:pPr>
      <w:bookmarkStart w:id="19" w:name="_Toc88130632"/>
      <w:r>
        <w:rPr>
          <w:rFonts w:ascii="Times New Roman" w:hAnsi="Times New Roman"/>
          <w:sz w:val="24"/>
          <w:u w:val="none"/>
        </w:rPr>
        <w:t>1.2.1.</w:t>
      </w:r>
      <w:r>
        <w:rPr>
          <w:rFonts w:ascii="Times New Roman" w:hAnsi="Times New Roman"/>
          <w:sz w:val="24"/>
          <w:u w:val="none"/>
        </w:rPr>
        <w:tab/>
      </w:r>
      <w:r>
        <w:rPr>
          <w:rFonts w:ascii="Times New Roman" w:hAnsi="Times New Roman"/>
          <w:sz w:val="24"/>
        </w:rPr>
        <w:t>Pokyny pro konkrétní pozice</w:t>
      </w:r>
      <w:bookmarkEnd w:id="1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Řádek</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Odkazy na právní předpisy a pokyny</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lastRenderedPageBreak/>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KAPITÁL</w:t>
            </w:r>
          </w:p>
          <w:p>
            <w:pPr>
              <w:spacing w:after="120" w:line="240" w:lineRule="auto"/>
              <w:jc w:val="both"/>
              <w:rPr>
                <w:rFonts w:ascii="Times New Roman" w:eastAsia="Times New Roman" w:hAnsi="Times New Roman" w:cs="Times New Roman"/>
                <w:bCs/>
              </w:rPr>
            </w:pPr>
            <w:r>
              <w:rPr>
                <w:rFonts w:ascii="Times New Roman" w:hAnsi="Times New Roman"/>
                <w:bCs/>
              </w:rPr>
              <w:t>Ustanovení čl. 9 odst. 1 nařízení (EU)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Kapitál investičního podniku je součtem jeho kapitálu tier 1 a tier 2.</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KAPITÁL TIER 1</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Kapitál tier 1 je součtem kmenového kapitálu tier 1 a vedlejšího kapitálu tier 1.</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Style w:val="InstructionsTabelleberschrift"/>
                <w:rFonts w:ascii="Times New Roman" w:hAnsi="Times New Roman"/>
                <w:sz w:val="22"/>
              </w:rPr>
              <w:t>KMENOVÝ KAPITÁL TIER 1</w:t>
            </w:r>
          </w:p>
          <w:p>
            <w:pPr>
              <w:spacing w:after="120" w:line="240" w:lineRule="auto"/>
              <w:jc w:val="both"/>
              <w:rPr>
                <w:rFonts w:ascii="Times New Roman" w:eastAsia="Times New Roman" w:hAnsi="Times New Roman" w:cs="Times New Roman"/>
                <w:bCs/>
              </w:rPr>
            </w:pPr>
            <w:r>
              <w:rPr>
                <w:rFonts w:ascii="Times New Roman" w:hAnsi="Times New Roman"/>
                <w:bCs/>
              </w:rPr>
              <w:t>Ustanovení čl. 9 odst. 1 nařízení (EU) 2019/2033.</w:t>
            </w:r>
          </w:p>
          <w:p>
            <w:pPr>
              <w:spacing w:after="120" w:line="240" w:lineRule="auto"/>
              <w:jc w:val="both"/>
              <w:rPr>
                <w:rFonts w:ascii="Times New Roman" w:eastAsia="Times New Roman" w:hAnsi="Times New Roman" w:cs="Times New Roman"/>
                <w:bCs/>
              </w:rPr>
            </w:pPr>
            <w:r>
              <w:rPr>
                <w:rStyle w:val="FormatvorlageInstructionsTabelleText"/>
                <w:rFonts w:ascii="Times New Roman" w:hAnsi="Times New Roman"/>
                <w:i/>
                <w:sz w:val="22"/>
              </w:rPr>
              <w:t>Článek 50</w:t>
            </w:r>
            <w:r>
              <w:rPr>
                <w:rStyle w:val="FormatvorlageInstructionsTabelleText"/>
                <w:rFonts w:ascii="Times New Roman" w:hAnsi="Times New Roman"/>
                <w:sz w:val="22"/>
              </w:rPr>
              <w:t xml:space="preserve"> nařízení (EU) č.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Zcela splacené kapitálové nástroje</w:t>
            </w:r>
          </w:p>
          <w:p>
            <w:pPr>
              <w:spacing w:after="120" w:line="240" w:lineRule="auto"/>
              <w:jc w:val="both"/>
              <w:rPr>
                <w:rFonts w:ascii="Times New Roman" w:eastAsia="Times New Roman" w:hAnsi="Times New Roman" w:cs="Times New Roman"/>
                <w:bCs/>
              </w:rPr>
            </w:pPr>
            <w:r>
              <w:rPr>
                <w:rFonts w:ascii="Times New Roman" w:hAnsi="Times New Roman"/>
                <w:bCs/>
              </w:rPr>
              <w:t>Ustanovení čl. 9 odst. 1 bodu i) nařízení (EU)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Ustanovení čl. 26 odst. 1 písm. a) a článků 27 až 31 nařízení (EU) č.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Zahrnují se kapitálové nástroje vzájemných institucí, družstev nebo podobných institucí (články 27 a 29 nařízení (EU) č.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Emisní ážio související s těmito nástroji není zahrnuto.</w:t>
            </w:r>
          </w:p>
          <w:p>
            <w:pPr>
              <w:pStyle w:val="InstructionsText"/>
              <w:rPr>
                <w:sz w:val="22"/>
                <w:szCs w:val="22"/>
              </w:rPr>
            </w:pPr>
            <w:r>
              <w:rPr>
                <w:rStyle w:val="FormatvorlageInstructionsTabelleText"/>
                <w:rFonts w:ascii="Times New Roman" w:hAnsi="Times New Roman"/>
                <w:sz w:val="22"/>
                <w:szCs w:val="22"/>
              </w:rPr>
              <w:t>Zahrnují se kapitálové nástroje upsané veřejnými orgány v mimořádných situacích, jsou-li splněny všechny podmínky článku 31 nařízení (EU) č.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Emisní ážio</w:t>
            </w:r>
          </w:p>
          <w:p>
            <w:pPr>
              <w:spacing w:after="120" w:line="240" w:lineRule="auto"/>
              <w:jc w:val="both"/>
              <w:rPr>
                <w:rFonts w:ascii="Times New Roman" w:eastAsia="Times New Roman" w:hAnsi="Times New Roman" w:cs="Times New Roman"/>
                <w:bCs/>
              </w:rPr>
            </w:pPr>
            <w:r>
              <w:rPr>
                <w:rFonts w:ascii="Times New Roman" w:hAnsi="Times New Roman"/>
                <w:bCs/>
              </w:rPr>
              <w:t>Ustanovení čl. 9 odst. 1 bodu i) nařízení (EU)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Ustanovení čl. 26 odst. 1 písm. b) nařízení (EU) č.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Emisní ážio má stejný význam jako v použitelném účetním standardu.</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Částka, která má být vykázána v této položce, je částí vztahující se k položce „Splacené kapitálové nástroje“.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Nerozdělený zisk</w:t>
            </w:r>
          </w:p>
          <w:p>
            <w:pPr>
              <w:spacing w:after="120" w:line="240" w:lineRule="auto"/>
              <w:jc w:val="both"/>
              <w:rPr>
                <w:rFonts w:ascii="Times New Roman" w:eastAsia="Times New Roman" w:hAnsi="Times New Roman" w:cs="Times New Roman"/>
                <w:bCs/>
              </w:rPr>
            </w:pPr>
            <w:r>
              <w:rPr>
                <w:rFonts w:ascii="Times New Roman" w:hAnsi="Times New Roman"/>
              </w:rPr>
              <w:t>Ustanovení čl. 9 odst. 1 bodu i)</w:t>
            </w:r>
            <w:r>
              <w:rPr>
                <w:rStyle w:val="FormatvorlageInstructionsTabelleText"/>
                <w:rFonts w:ascii="Times New Roman" w:hAnsi="Times New Roman"/>
                <w:sz w:val="22"/>
              </w:rPr>
              <w:t xml:space="preserve"> </w:t>
            </w:r>
            <w:r>
              <w:rPr>
                <w:rFonts w:ascii="Times New Roman" w:hAnsi="Times New Roman"/>
              </w:rPr>
              <w:t>nařízení (EU)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Ustanovení čl. 26 odst. 1 písm. c) nařízení (EU) č. 575/2013.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Nerozdělený zisk zahrnuje nerozdělený zisk z předchozího roku, k němuž se přičte způsobilý mezitímní zisk nebo zisk ke konci roku.</w:t>
            </w:r>
          </w:p>
          <w:p>
            <w:pPr>
              <w:spacing w:after="120" w:line="240" w:lineRule="auto"/>
              <w:jc w:val="both"/>
              <w:rPr>
                <w:rFonts w:ascii="Times New Roman" w:eastAsia="Times New Roman" w:hAnsi="Times New Roman" w:cs="Times New Roman"/>
                <w:b/>
                <w:bCs/>
                <w:u w:val="single"/>
              </w:rPr>
            </w:pPr>
            <w:r>
              <w:rPr>
                <w:rFonts w:ascii="Times New Roman" w:hAnsi="Times New Roman"/>
                <w:bCs/>
              </w:rPr>
              <w:t>Vykáže se součet řádků 0070 a 0080.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Nerozdělený zisk z předchozích let</w:t>
            </w:r>
          </w:p>
          <w:p>
            <w:pPr>
              <w:spacing w:after="120" w:line="240" w:lineRule="auto"/>
              <w:jc w:val="both"/>
              <w:rPr>
                <w:rFonts w:ascii="Times New Roman" w:eastAsia="Times New Roman" w:hAnsi="Times New Roman" w:cs="Times New Roman"/>
                <w:bCs/>
              </w:rPr>
            </w:pPr>
            <w:r>
              <w:rPr>
                <w:rFonts w:ascii="Times New Roman" w:hAnsi="Times New Roman"/>
                <w:bCs/>
              </w:rPr>
              <w:t>Ustanovení čl. 4 odst. 1 bodu 123 a čl. 26 odst. 1 písm. c) nařízení (EU) č.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V</w:t>
            </w:r>
            <w:r>
              <w:rPr>
                <w:rFonts w:ascii="Times New Roman" w:eastAsia="Times New Roman" w:hAnsi="Times New Roman" w:cs="Times New Roman"/>
                <w:bCs/>
              </w:rPr>
              <w:t> </w:t>
            </w:r>
            <w:r>
              <w:rPr>
                <w:rFonts w:ascii="Times New Roman" w:hAnsi="Times New Roman"/>
                <w:bCs/>
              </w:rPr>
              <w:t>čl. 4 odst. 1 bodu 123 nařízení (EU) č. 575/2013 je nerozdělený zisk definován jako „zisky a ztráty z předchozích období po započtení hospodářského výsledku podle použitelného účetního rámce“.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Způsobilý zisk</w:t>
            </w:r>
          </w:p>
          <w:p>
            <w:pPr>
              <w:spacing w:after="120" w:line="240" w:lineRule="auto"/>
              <w:jc w:val="both"/>
              <w:rPr>
                <w:rFonts w:ascii="Times New Roman" w:eastAsia="Times New Roman" w:hAnsi="Times New Roman" w:cs="Times New Roman"/>
              </w:rPr>
            </w:pPr>
            <w:r>
              <w:rPr>
                <w:rFonts w:ascii="Times New Roman" w:hAnsi="Times New Roman"/>
              </w:rPr>
              <w:t>Ustanovení čl. 4 odst. 1 bodu 121, čl. 26 odst. 2 a čl. 36 odst. 1 písm. a) nařízení (EU) č. 575/2013.</w:t>
            </w:r>
          </w:p>
          <w:p>
            <w:pPr>
              <w:spacing w:after="120" w:line="240" w:lineRule="auto"/>
              <w:jc w:val="both"/>
              <w:rPr>
                <w:rFonts w:ascii="Times New Roman" w:eastAsia="Times New Roman" w:hAnsi="Times New Roman" w:cs="Times New Roman"/>
                <w:b/>
                <w:bCs/>
                <w:u w:val="single"/>
              </w:rPr>
            </w:pPr>
            <w:r>
              <w:rPr>
                <w:rFonts w:ascii="Times New Roman" w:hAnsi="Times New Roman"/>
              </w:rPr>
              <w:t xml:space="preserve">Podle čl. 26 odst. 2 nařízení (EU) č. 575/2013 je možno zahrnout do nerozděleného zisku mezitímní zisk nebo zisk ke konci roku, a to s předchozím svolením příslušného orgánu, pokud jsou splněny určité podmínky. </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Kumulovaný ostatní úplný výsledek hospodaření</w:t>
            </w:r>
          </w:p>
          <w:p>
            <w:pPr>
              <w:spacing w:after="120" w:line="240" w:lineRule="auto"/>
              <w:jc w:val="both"/>
              <w:rPr>
                <w:rFonts w:ascii="Times New Roman" w:eastAsia="Times New Roman" w:hAnsi="Times New Roman" w:cs="Times New Roman"/>
                <w:bCs/>
              </w:rPr>
            </w:pPr>
            <w:r>
              <w:rPr>
                <w:rFonts w:ascii="Times New Roman" w:hAnsi="Times New Roman"/>
                <w:bCs/>
              </w:rPr>
              <w:t>Ustanovení čl. 9 odst. 1 bodu i) nařízení (EU) 2019/2033.</w:t>
            </w:r>
          </w:p>
          <w:p>
            <w:pPr>
              <w:spacing w:after="120" w:line="240" w:lineRule="auto"/>
              <w:jc w:val="both"/>
              <w:rPr>
                <w:rFonts w:ascii="Times New Roman" w:hAnsi="Times New Roman" w:cs="Times New Roman"/>
                <w:bCs/>
              </w:rPr>
            </w:pPr>
            <w:r>
              <w:rPr>
                <w:rStyle w:val="FormatvorlageInstructionsTabelleText"/>
                <w:rFonts w:ascii="Times New Roman" w:hAnsi="Times New Roman"/>
                <w:sz w:val="22"/>
              </w:rPr>
              <w:t>Ustanovení čl. 26 odst. 1 písm. d) nařízení (EU) č.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0100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Ostatní fondy</w:t>
            </w:r>
          </w:p>
          <w:p>
            <w:pPr>
              <w:spacing w:after="120" w:line="240" w:lineRule="auto"/>
              <w:jc w:val="both"/>
              <w:rPr>
                <w:rFonts w:ascii="Times New Roman" w:eastAsia="Times New Roman" w:hAnsi="Times New Roman" w:cs="Times New Roman"/>
                <w:bCs/>
              </w:rPr>
            </w:pPr>
            <w:r>
              <w:rPr>
                <w:rFonts w:ascii="Times New Roman" w:hAnsi="Times New Roman"/>
                <w:bCs/>
              </w:rPr>
              <w:t>Ustanovení čl. 9 odst. 1 bodu i) nařízení (EU)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Ustanovení čl. 4 odst. 1 bodu 117 a čl. 26 odst. 1 písm. e) nařízení (EU) č.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Částka, která má být vykázána, musí být očištěna o veškeré daňové platby předvídatelné v době výpočtu.</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Úpravy kmenového kapitálu tier 1 v důsledku obezřetnostních filtrů</w:t>
            </w:r>
          </w:p>
          <w:p>
            <w:pPr>
              <w:spacing w:after="120" w:line="240" w:lineRule="auto"/>
              <w:jc w:val="both"/>
              <w:rPr>
                <w:rFonts w:ascii="Times New Roman" w:eastAsia="Times New Roman" w:hAnsi="Times New Roman" w:cs="Times New Roman"/>
                <w:bCs/>
              </w:rPr>
            </w:pPr>
            <w:r>
              <w:rPr>
                <w:rFonts w:ascii="Times New Roman" w:hAnsi="Times New Roman"/>
                <w:bCs/>
              </w:rPr>
              <w:t>Ustanovení čl. 9 odst. 1 bodu i) nařízení (EU)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Články 32 až 35 nařízení (EU) č.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Ostatní fondy</w:t>
            </w:r>
          </w:p>
          <w:p>
            <w:pPr>
              <w:spacing w:after="120" w:line="240" w:lineRule="auto"/>
              <w:jc w:val="both"/>
              <w:rPr>
                <w:rFonts w:ascii="Times New Roman" w:eastAsia="Times New Roman" w:hAnsi="Times New Roman" w:cs="Times New Roman"/>
                <w:b/>
                <w:bCs/>
                <w:u w:val="single"/>
              </w:rPr>
            </w:pPr>
            <w:r>
              <w:rPr>
                <w:rFonts w:ascii="Times New Roman" w:hAnsi="Times New Roman"/>
                <w:bCs/>
              </w:rPr>
              <w:t>Ustanovení čl. 9 odst. 4 nařízení (EU)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0145</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ODPOČTY OD KMENOVÉHO KAPITÁLU TIER 1 CELKEM</w:t>
            </w:r>
          </w:p>
          <w:p>
            <w:pPr>
              <w:spacing w:after="120" w:line="240" w:lineRule="auto"/>
              <w:jc w:val="both"/>
              <w:rPr>
                <w:rFonts w:ascii="Times New Roman" w:eastAsia="Times New Roman" w:hAnsi="Times New Roman" w:cs="Times New Roman"/>
                <w:bCs/>
              </w:rPr>
            </w:pPr>
            <w:r>
              <w:rPr>
                <w:rFonts w:ascii="Times New Roman" w:hAnsi="Times New Roman"/>
                <w:bCs/>
              </w:rPr>
              <w:t>Ustanovení čl. 8 odst. 2 písm. a) nařízení (EU) 2019/2033, čl. 36 odst. 1 nařízení (EU) č. 575/2013, s výjimkou písmene i) tohoto odstavce.</w:t>
            </w:r>
          </w:p>
          <w:p>
            <w:pPr>
              <w:spacing w:after="120" w:line="240" w:lineRule="auto"/>
              <w:jc w:val="both"/>
              <w:rPr>
                <w:rFonts w:ascii="Times New Roman" w:eastAsia="Times New Roman" w:hAnsi="Times New Roman" w:cs="Times New Roman"/>
                <w:bCs/>
              </w:rPr>
            </w:pPr>
            <w:r>
              <w:rPr>
                <w:rFonts w:ascii="Times New Roman" w:hAnsi="Times New Roman"/>
                <w:bCs/>
              </w:rPr>
              <w:t>Vykáže se součet řádku 0150 a řádků 0190 až 0280.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0150</w:t>
            </w:r>
          </w:p>
        </w:tc>
        <w:tc>
          <w:tcPr>
            <w:tcW w:w="7620" w:type="dxa"/>
            <w:shd w:val="clear" w:color="auto" w:fill="auto"/>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Vlastní nástroje zahrnované do kmenového kapitálu tier 1</w:t>
            </w:r>
          </w:p>
          <w:p>
            <w:pPr>
              <w:rPr>
                <w:rFonts w:cs="Times New Roman"/>
              </w:rPr>
            </w:pPr>
            <w:r>
              <w:rPr>
                <w:rFonts w:ascii="Times New Roman" w:hAnsi="Times New Roman"/>
                <w:bCs/>
              </w:rPr>
              <w:t>Ustanovení čl. 9 odst. 1 bodu i) nařízení (EU) 2019/2033.</w:t>
            </w:r>
          </w:p>
          <w:p>
            <w:pPr>
              <w:rPr>
                <w:rStyle w:val="FormatvorlageInstructionsTabelleText"/>
                <w:rFonts w:ascii="Times New Roman" w:hAnsi="Times New Roman"/>
                <w:bCs w:val="0"/>
                <w:sz w:val="22"/>
              </w:rPr>
            </w:pPr>
            <w:r>
              <w:rPr>
                <w:rStyle w:val="FormatvorlageInstructionsTabelleText"/>
                <w:rFonts w:ascii="Times New Roman" w:hAnsi="Times New Roman"/>
                <w:sz w:val="22"/>
              </w:rPr>
              <w:t>Ustanovení čl. 36 odst. 1 písm. f) a článku 42 nařízení (EU) č.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Vlastní nástroje zahrnované do kmenového kapitálu tier 1 držené vykazující institucí nebo skupinou ke dni vykazování. S výhradou výjimek uvedených v článku 42 nařízení (EU) č.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V tomto řádku se nevykazují držby akcií zahrnuté v položce „Nezpůsobilé kapitálové nástroje“.</w:t>
            </w:r>
          </w:p>
          <w:p>
            <w:pPr>
              <w:pStyle w:val="InstructionsText"/>
              <w:rPr>
                <w:sz w:val="22"/>
                <w:szCs w:val="22"/>
              </w:rPr>
            </w:pPr>
            <w:r>
              <w:rPr>
                <w:rStyle w:val="FormatvorlageInstructionsTabelleText"/>
                <w:rFonts w:ascii="Times New Roman" w:hAnsi="Times New Roman"/>
                <w:sz w:val="22"/>
                <w:szCs w:val="22"/>
              </w:rPr>
              <w:t>Částka, která má být vykázána, zahrnuje emisní ážio související s vlastními akciemi.</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Ztráty běžného účetního roku</w:t>
            </w:r>
          </w:p>
          <w:p>
            <w:pPr>
              <w:spacing w:after="120" w:line="240" w:lineRule="auto"/>
              <w:jc w:val="both"/>
              <w:rPr>
                <w:rFonts w:ascii="Times New Roman" w:eastAsia="Times New Roman" w:hAnsi="Times New Roman" w:cs="Times New Roman"/>
                <w:b/>
                <w:bCs/>
                <w:u w:val="single"/>
              </w:rPr>
            </w:pPr>
            <w:r>
              <w:rPr>
                <w:rFonts w:ascii="Times New Roman" w:hAnsi="Times New Roman"/>
              </w:rPr>
              <w:t>Ustanovení čl. 36 odst. 1 písm. a) nařízení (EU) č.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Goodwill</w:t>
            </w:r>
          </w:p>
          <w:p>
            <w:pPr>
              <w:spacing w:after="120" w:line="240" w:lineRule="auto"/>
              <w:jc w:val="both"/>
              <w:rPr>
                <w:rFonts w:ascii="Times New Roman" w:eastAsia="Times New Roman" w:hAnsi="Times New Roman" w:cs="Times New Roman"/>
                <w:bCs/>
              </w:rPr>
            </w:pPr>
            <w:r>
              <w:rPr>
                <w:rFonts w:ascii="Times New Roman" w:hAnsi="Times New Roman"/>
                <w:bCs/>
              </w:rPr>
              <w:t>Ustanovení čl. 9 odst. 1 bodu i) nařízení (EU)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Ustanovení čl. 4 odst. 1 bodu 113, čl. 36 odst. 1 písm. b) a článku 37 nařízení (EU) č.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Jiná nehmotná aktiva</w:t>
            </w:r>
          </w:p>
          <w:p>
            <w:pPr>
              <w:spacing w:after="120" w:line="240" w:lineRule="auto"/>
              <w:jc w:val="both"/>
              <w:rPr>
                <w:rFonts w:ascii="Times New Roman" w:eastAsia="Times New Roman" w:hAnsi="Times New Roman" w:cs="Times New Roman"/>
                <w:bCs/>
              </w:rPr>
            </w:pPr>
            <w:r>
              <w:rPr>
                <w:rFonts w:ascii="Times New Roman" w:hAnsi="Times New Roman"/>
                <w:bCs/>
              </w:rPr>
              <w:t>Ustanovení čl. 9 odst. 1 bodu i) nařízení (EU) 2019/2033.</w:t>
            </w:r>
          </w:p>
          <w:p>
            <w:pPr>
              <w:pStyle w:val="InstructionsText"/>
              <w:rPr>
                <w:rStyle w:val="FormatvorlageInstructionsTabelleText"/>
                <w:rFonts w:ascii="Times New Roman" w:eastAsiaTheme="minorHAnsi" w:hAnsi="Times New Roman"/>
                <w:bCs/>
                <w:sz w:val="22"/>
                <w:szCs w:val="22"/>
              </w:rPr>
            </w:pPr>
            <w:r>
              <w:rPr>
                <w:rStyle w:val="FormatvorlageInstructionsTabelleText"/>
                <w:rFonts w:ascii="Times New Roman" w:hAnsi="Times New Roman"/>
                <w:sz w:val="22"/>
                <w:szCs w:val="22"/>
              </w:rPr>
              <w:t>Ustanovení čl. 4 odst. 1 bodu 115, čl. 36 odst. 1 písm. b) a čl. 37 písm. a) nařízení (EU) č.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Za jiná nehmotná aktiva se považují nehmotná aktiva podle použitelného účetního standardu bez goodwillu rovněž dle použitelného účetního standardu.</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Odložené daňové pohledávky, které jsou závislé na budoucím zisku a nevyplývají z přechodných rozdílů, po zohlednění souvisejících daňových závazků</w:t>
            </w:r>
          </w:p>
          <w:p>
            <w:pPr>
              <w:spacing w:after="120" w:line="240" w:lineRule="auto"/>
              <w:jc w:val="both"/>
              <w:rPr>
                <w:rFonts w:ascii="Times New Roman" w:eastAsia="Times New Roman" w:hAnsi="Times New Roman" w:cs="Times New Roman"/>
                <w:bCs/>
              </w:rPr>
            </w:pPr>
            <w:r>
              <w:rPr>
                <w:rFonts w:ascii="Times New Roman" w:hAnsi="Times New Roman"/>
                <w:bCs/>
              </w:rPr>
              <w:t>Ustanovení čl. 9 odst. 2 písm. a) nařízení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Ustanovení čl. 36 odst. 1 písm. c) nařízení (EU) č.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Kvalifikovaná účast mimo finanční sektor přesahující 15 % kapitálu</w:t>
            </w:r>
          </w:p>
          <w:p>
            <w:pPr>
              <w:spacing w:after="120" w:line="240" w:lineRule="auto"/>
              <w:jc w:val="both"/>
              <w:rPr>
                <w:rFonts w:ascii="Times New Roman" w:eastAsia="Times New Roman" w:hAnsi="Times New Roman" w:cs="Times New Roman"/>
                <w:bCs/>
              </w:rPr>
            </w:pPr>
            <w:r>
              <w:rPr>
                <w:rFonts w:ascii="Times New Roman" w:hAnsi="Times New Roman"/>
                <w:bCs/>
              </w:rPr>
              <w:t>Ustanovení čl. 10 odst. 1 písm. a) nařízení (EU)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Celkové kvalifikované účastí v podnicích, které nejsou subjekty finančního sektoru, přesahující 60 % kapitálu</w:t>
            </w:r>
          </w:p>
          <w:p>
            <w:pPr>
              <w:spacing w:after="120" w:line="240" w:lineRule="auto"/>
              <w:jc w:val="both"/>
              <w:rPr>
                <w:rFonts w:ascii="Times New Roman" w:eastAsia="Times New Roman" w:hAnsi="Times New Roman" w:cs="Times New Roman"/>
                <w:b/>
                <w:bCs/>
                <w:u w:val="single"/>
              </w:rPr>
            </w:pPr>
            <w:r>
              <w:rPr>
                <w:rFonts w:ascii="Times New Roman" w:hAnsi="Times New Roman"/>
                <w:bCs/>
              </w:rPr>
              <w:t>Ustanovení čl. 10 odst. 1 písm. b) nařízení (EU)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Nástroje zahrnované do kmenového kapitálu tier 1 subjektů finančního sektoru, v nichž mateřský podnik nemá významnou investici</w:t>
            </w:r>
          </w:p>
          <w:p>
            <w:pPr>
              <w:spacing w:after="120" w:line="240" w:lineRule="auto"/>
              <w:jc w:val="both"/>
              <w:rPr>
                <w:rFonts w:ascii="Times New Roman" w:eastAsia="Times New Roman" w:hAnsi="Times New Roman" w:cs="Times New Roman"/>
                <w:bCs/>
              </w:rPr>
            </w:pPr>
            <w:r>
              <w:rPr>
                <w:rFonts w:ascii="Times New Roman" w:hAnsi="Times New Roman"/>
                <w:bCs/>
              </w:rPr>
              <w:t>Ustanovení čl. 9 odst. 2 písm. c) nařízení (EU) 2019/2033.</w:t>
            </w:r>
          </w:p>
          <w:p>
            <w:pPr>
              <w:spacing w:after="120" w:line="240" w:lineRule="auto"/>
              <w:jc w:val="both"/>
              <w:rPr>
                <w:rFonts w:ascii="Times New Roman" w:eastAsia="Times New Roman" w:hAnsi="Times New Roman" w:cs="Times New Roman"/>
                <w:bCs/>
              </w:rPr>
            </w:pPr>
            <w:r>
              <w:rPr>
                <w:rFonts w:ascii="Times New Roman" w:hAnsi="Times New Roman"/>
                <w:bCs/>
              </w:rPr>
              <w:t>Ustanovení čl. 36 odst. 1 písm. h) nařízení (EU) č.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Mateřským podnikem v Unii se v tomto řádku rozumí mateřské investiční podniky v Unii, mateřské investiční holdingové společnosti v Unii, mateřské smíšené finanční holdingové společnosti v Unii a jiné mateřské podniky, které jsou investičními podniky, finančními institucemi, podniky pomocných služeb nebo vázanými zástupci.</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Aktiva penzijního fondu definovaných požitků</w:t>
            </w:r>
          </w:p>
          <w:p>
            <w:pPr>
              <w:spacing w:after="120" w:line="240" w:lineRule="auto"/>
              <w:jc w:val="both"/>
              <w:rPr>
                <w:rFonts w:ascii="Times New Roman" w:eastAsia="Times New Roman" w:hAnsi="Times New Roman" w:cs="Times New Roman"/>
                <w:bCs/>
              </w:rPr>
            </w:pPr>
            <w:r>
              <w:rPr>
                <w:rFonts w:ascii="Times New Roman" w:hAnsi="Times New Roman"/>
                <w:bCs/>
              </w:rPr>
              <w:t>Ustanovení čl. 9 odst. 2 písm. b) nařízení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Ustanovení čl. 36 odst. 1 písm. e) nařízení (EU) č.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Ostatní odpočty</w:t>
            </w:r>
          </w:p>
          <w:p>
            <w:pPr>
              <w:spacing w:after="120" w:line="240" w:lineRule="auto"/>
              <w:jc w:val="both"/>
              <w:rPr>
                <w:rFonts w:ascii="Times New Roman" w:eastAsia="Times New Roman" w:hAnsi="Times New Roman" w:cs="Times New Roman"/>
                <w:b/>
                <w:bCs/>
                <w:u w:val="single"/>
              </w:rPr>
            </w:pPr>
            <w:r>
              <w:rPr>
                <w:rFonts w:ascii="Times New Roman" w:hAnsi="Times New Roman"/>
              </w:rPr>
              <w:t>Součet všech ostatních odpočtů v souladu s čl. 36 odst. 1 nařízení (EU) č. 575/2013, s výjimkou odpočtů v souladu s čl. 36 odst. 1 písm. i) nařízení (EU) č. 575/2013, které nejsou zahrnuty v žádném z výše uvedených řádků 0150 až 0270.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0295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KMENOVÝ KAPITÁL TIER 1: Ostatní kapitálové položky, odpočty od kapitálu a úpravy kapitálu</w:t>
            </w:r>
          </w:p>
          <w:p>
            <w:pPr>
              <w:spacing w:after="120" w:line="240" w:lineRule="auto"/>
              <w:jc w:val="both"/>
              <w:rPr>
                <w:rFonts w:ascii="Times New Roman" w:eastAsia="Times New Roman" w:hAnsi="Times New Roman" w:cs="Times New Roman"/>
                <w:bCs/>
              </w:rPr>
            </w:pPr>
            <w:r>
              <w:rPr>
                <w:rFonts w:ascii="Times New Roman" w:hAnsi="Times New Roman"/>
                <w:bCs/>
              </w:rPr>
              <w:t>Tento řádek zahrnuje v příslušných případech součet těchto položek:</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přechodné úpravy provedené v důsledku nástrojů zahrnovaných do kmenového kapitálu tier 1, pro něž platí zachování právních účinků (čl. 483 odst. 1, 2 a 3 a články 484 až 487 nařízení (EU) č.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ostatní přechodné úpravy kmenového kapitálu tier 1 (články 469 až 478 a článek 481 nařízení (EU) č. 575/2013): úpravy odpočtů od kmenového kapitálu tier 1 v důsledku přechodných ustanovení,</w:t>
            </w:r>
          </w:p>
          <w:p>
            <w:pPr>
              <w:spacing w:after="120" w:line="240" w:lineRule="auto"/>
              <w:ind w:left="360" w:hanging="360"/>
              <w:jc w:val="both"/>
              <w:rPr>
                <w:rFonts w:ascii="Times New Roman" w:eastAsia="Times New Roman" w:hAnsi="Times New Roman" w:cs="Times New Roman"/>
                <w:b/>
                <w:bCs/>
                <w:u w:val="single"/>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ostatní položky kmenového kapitálu tier 1 nebo odpočty od položky kmenového kapitálu tier 1, které nelze přiřadit do jednoho z řádků 0040 až 0280.</w:t>
            </w:r>
          </w:p>
          <w:p>
            <w:pPr>
              <w:spacing w:after="120" w:line="240" w:lineRule="auto"/>
              <w:jc w:val="both"/>
              <w:rPr>
                <w:rFonts w:ascii="Times New Roman" w:eastAsia="Times New Roman" w:hAnsi="Times New Roman" w:cs="Times New Roman"/>
                <w:b/>
                <w:bCs/>
                <w:u w:val="single"/>
              </w:rPr>
            </w:pPr>
            <w:r>
              <w:rPr>
                <w:rFonts w:ascii="Times New Roman" w:hAnsi="Times New Roman"/>
                <w:bCs/>
              </w:rPr>
              <w:t>Tento řádek neslouží k zahrnutí kapitálových položek či odpočtů od kapitálu, na něž se nevztahuje nařízení (EU) 2019/2033 nebo nařízení (EU) č. 575/2013, do výpočtu ukazatelů kapitálové přiměřenosti.</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VEDLEJŠÍ KAPITÁL TIER 1</w:t>
            </w:r>
          </w:p>
          <w:p>
            <w:pPr>
              <w:spacing w:after="120" w:line="240" w:lineRule="auto"/>
              <w:jc w:val="both"/>
              <w:rPr>
                <w:rFonts w:ascii="Times New Roman" w:eastAsia="Times New Roman" w:hAnsi="Times New Roman" w:cs="Times New Roman"/>
                <w:bCs/>
              </w:rPr>
            </w:pPr>
            <w:r>
              <w:rPr>
                <w:rFonts w:ascii="Times New Roman" w:hAnsi="Times New Roman"/>
                <w:bCs/>
              </w:rPr>
              <w:t>Ustanovení čl. 9 odst. 1 nařízení (EU) 2019/2033.</w:t>
            </w:r>
          </w:p>
          <w:p>
            <w:pPr>
              <w:spacing w:after="120" w:line="240" w:lineRule="auto"/>
              <w:jc w:val="both"/>
              <w:rPr>
                <w:rFonts w:ascii="Times New Roman" w:eastAsia="Times New Roman" w:hAnsi="Times New Roman" w:cs="Times New Roman"/>
                <w:b/>
                <w:bCs/>
                <w:u w:val="single"/>
              </w:rPr>
            </w:pPr>
            <w:r>
              <w:rPr>
                <w:rFonts w:ascii="Times New Roman" w:hAnsi="Times New Roman"/>
                <w:i/>
              </w:rPr>
              <w:t>Článek 61</w:t>
            </w:r>
            <w:r>
              <w:rPr>
                <w:rFonts w:ascii="Times New Roman" w:hAnsi="Times New Roman"/>
              </w:rPr>
              <w:t xml:space="preserve"> nařízení (EU) č.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Plně uhrazené přímo vydané kapitálové nástroje</w:t>
            </w:r>
          </w:p>
          <w:p>
            <w:pPr>
              <w:spacing w:after="120" w:line="240" w:lineRule="auto"/>
              <w:jc w:val="both"/>
              <w:rPr>
                <w:rFonts w:ascii="Times New Roman" w:eastAsia="Times New Roman" w:hAnsi="Times New Roman" w:cs="Times New Roman"/>
                <w:bCs/>
              </w:rPr>
            </w:pPr>
            <w:r>
              <w:rPr>
                <w:rFonts w:ascii="Times New Roman" w:hAnsi="Times New Roman"/>
                <w:bCs/>
              </w:rPr>
              <w:t>Ustanovení čl. 9 odst. 1 bodu i) nařízení (EU)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Ustanovení čl. 51 písm. a) a článků 52, 53 a 54 nařízení (EU) č.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Částka, která má být vykázána, nezahrnuje emisní ážio související s těmito nástroji.</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Emisní ážio</w:t>
            </w:r>
          </w:p>
          <w:p>
            <w:pPr>
              <w:spacing w:after="120" w:line="240" w:lineRule="auto"/>
              <w:jc w:val="both"/>
              <w:rPr>
                <w:rFonts w:ascii="Times New Roman" w:eastAsia="Times New Roman" w:hAnsi="Times New Roman" w:cs="Times New Roman"/>
                <w:bCs/>
              </w:rPr>
            </w:pPr>
            <w:r>
              <w:rPr>
                <w:rFonts w:ascii="Times New Roman" w:hAnsi="Times New Roman"/>
                <w:bCs/>
              </w:rPr>
              <w:t>Ustanovení čl. 9 odst. 1 bodu i) nařízení (EU)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Ustanovení čl. 51 písm. b) nařízení (EU) č.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Emisní ážio má stejný význam jako v použitelném účetním standardu.</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Částka, která má být vykázána v této položce, je částí vztahující se k položce „Splacené kapitálové nástroje“.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0335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ODPOČTY OD VEDLEJŠÍHO KAPITÁLU TIER 1 CELKEM</w:t>
            </w:r>
          </w:p>
          <w:p>
            <w:pPr>
              <w:spacing w:before="60" w:after="60"/>
              <w:rPr>
                <w:rFonts w:ascii="Times New Roman" w:hAnsi="Times New Roman" w:cs="Times New Roman"/>
              </w:rPr>
            </w:pPr>
            <w:r>
              <w:rPr>
                <w:rFonts w:ascii="Times New Roman" w:hAnsi="Times New Roman"/>
                <w:i/>
              </w:rPr>
              <w:t>Článek 56</w:t>
            </w:r>
            <w:r>
              <w:rPr>
                <w:rFonts w:ascii="Times New Roman" w:hAnsi="Times New Roman"/>
              </w:rPr>
              <w:t xml:space="preserve"> nařízení (EU) č. 575/2013, s výjimkou písmene d) tohoto článku.</w:t>
            </w:r>
          </w:p>
          <w:p>
            <w:pPr>
              <w:spacing w:after="120" w:line="240" w:lineRule="auto"/>
              <w:jc w:val="both"/>
              <w:rPr>
                <w:rFonts w:ascii="Times New Roman" w:eastAsia="Times New Roman" w:hAnsi="Times New Roman" w:cs="Times New Roman"/>
                <w:bCs/>
              </w:rPr>
            </w:pPr>
            <w:r>
              <w:rPr>
                <w:rFonts w:ascii="Times New Roman" w:hAnsi="Times New Roman"/>
                <w:bCs/>
              </w:rPr>
              <w:t>Vykáže se celkový součet řádků 0340, 0380 a 0400.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Vlastní nástroje zahrnované do vedlejšího kapitálu tier 1</w:t>
            </w:r>
          </w:p>
          <w:p>
            <w:pPr>
              <w:spacing w:after="120" w:line="240" w:lineRule="auto"/>
              <w:jc w:val="both"/>
              <w:rPr>
                <w:rFonts w:ascii="Times New Roman" w:eastAsia="Times New Roman" w:hAnsi="Times New Roman" w:cs="Times New Roman"/>
                <w:bCs/>
              </w:rPr>
            </w:pPr>
            <w:r>
              <w:rPr>
                <w:rFonts w:ascii="Times New Roman" w:hAnsi="Times New Roman"/>
                <w:bCs/>
              </w:rPr>
              <w:t>Ustanovení čl. 9 odst. 1 bodu i) nařízení (EU)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Ustanovení čl. 52 odst. 1 písm. b), čl. 56 písm. a) a článku 57 nařízení (EU) č.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Vlastní nástroje zahrnované do vedlejšího kapitálu tier 1 držené investičním podnikem ke dni vykazování. S výhradou výjimek uvedených v článku 57 nařízení (EU) č. 575/2013.</w:t>
            </w:r>
          </w:p>
          <w:p>
            <w:pPr>
              <w:pStyle w:val="InstructionsText"/>
              <w:rPr>
                <w:sz w:val="22"/>
                <w:szCs w:val="22"/>
              </w:rPr>
            </w:pPr>
            <w:r>
              <w:rPr>
                <w:rStyle w:val="FormatvorlageInstructionsTabelleText"/>
                <w:rFonts w:ascii="Times New Roman" w:hAnsi="Times New Roman"/>
                <w:sz w:val="22"/>
                <w:szCs w:val="22"/>
              </w:rPr>
              <w:t>Částka, která má být vykázána, zahrnuje emisní ážio související s vlastními akciemi.</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Nástroje zahrnované do vedlejšího kapitálu tier 1 subjektů finančního sektoru, v nichž mateřský podnik nemá významnou investici</w:t>
            </w:r>
          </w:p>
          <w:p>
            <w:pPr>
              <w:spacing w:after="120" w:line="240" w:lineRule="auto"/>
              <w:jc w:val="both"/>
              <w:rPr>
                <w:rFonts w:ascii="Times New Roman" w:eastAsia="Times New Roman" w:hAnsi="Times New Roman" w:cs="Times New Roman"/>
                <w:bCs/>
              </w:rPr>
            </w:pPr>
            <w:r>
              <w:rPr>
                <w:rFonts w:ascii="Times New Roman" w:hAnsi="Times New Roman"/>
                <w:bCs/>
              </w:rPr>
              <w:t>Ustanovení čl. 9 odst. 2 písm. c) nařízení (EU) 2019/2033.</w:t>
            </w:r>
          </w:p>
          <w:p>
            <w:pPr>
              <w:spacing w:after="120" w:line="240" w:lineRule="auto"/>
              <w:jc w:val="both"/>
              <w:rPr>
                <w:rFonts w:ascii="Times New Roman" w:eastAsia="Times New Roman" w:hAnsi="Times New Roman" w:cs="Times New Roman"/>
                <w:bCs/>
              </w:rPr>
            </w:pPr>
            <w:r>
              <w:rPr>
                <w:rFonts w:ascii="Times New Roman" w:hAnsi="Times New Roman"/>
                <w:bCs/>
              </w:rPr>
              <w:t>Ustanovení čl. 56 písm. c) nařízení (EU) č.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Mateřským podnikem v Unii se v tomto řádku rozumí mateřské investiční podniky v Unii, mateřské investiční holdingové společnosti v Unii, mateřské smíšené finanční holdingové společnosti v Unii a jiné mateřské podniky, které jsou investičními podniky, finančními institucemi, podniky pomocných služeb nebo vázanými zástupci.</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Ostatní odpočty</w:t>
            </w:r>
          </w:p>
          <w:p>
            <w:pPr>
              <w:spacing w:after="120" w:line="240" w:lineRule="auto"/>
              <w:jc w:val="both"/>
              <w:rPr>
                <w:rFonts w:ascii="Times New Roman" w:eastAsia="Times New Roman" w:hAnsi="Times New Roman" w:cs="Times New Roman"/>
                <w:b/>
                <w:bCs/>
                <w:u w:val="single"/>
              </w:rPr>
            </w:pPr>
            <w:r>
              <w:rPr>
                <w:rFonts w:ascii="Times New Roman" w:hAnsi="Times New Roman"/>
                <w:bCs/>
              </w:rPr>
              <w:t>Součet všech ostatních odpočtů v souladu s článkem 56 nařízení (EU) č. 575/2013, s výjimkou odpočtů v souladu s čl. 56 písm. d) nařízení (EU) č. 575/2013, které nejsou zahrnuty v žádném z výše uvedených řádků 0340 nebo 0380.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0415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Vedlejší kapitál tier 1: Ostatní kapitálové položky, odpočty od kapitálu a úpravy kapitálu</w:t>
            </w:r>
          </w:p>
          <w:p>
            <w:pPr>
              <w:spacing w:after="120" w:line="240" w:lineRule="auto"/>
              <w:jc w:val="both"/>
              <w:rPr>
                <w:rFonts w:ascii="Times New Roman" w:eastAsia="Times New Roman" w:hAnsi="Times New Roman" w:cs="Times New Roman"/>
                <w:bCs/>
              </w:rPr>
            </w:pPr>
            <w:r>
              <w:rPr>
                <w:rFonts w:ascii="Times New Roman" w:hAnsi="Times New Roman"/>
                <w:bCs/>
              </w:rPr>
              <w:t>Tento řádek zahrnuje v příslušných případech součet těchto položek:</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přechodné úpravy provedené v důsledku nástrojů zahrnovaných do vedlejšího kapitálu tier 1, pro něž platí zachování právních účinků (čl. 483 odst. 4 a 5 a články 484 až 487, články 489 a 491 nařízení (EU) č.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ostatní přechodné úpravy vedlejšího kapitálu tier 1 (články 472, 473a, 474, 475, 478 a 481 nařízení (EU) č. 575/2013): úpravy odpočtů v důsledku přechodných ustanovení,</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odpočet od položek vedlejšího kapitálu tier 1, který přesahuje výši vedlejšího kapitálu tier 1, který se odečítá od kmenového kapitálu tier 1 v souladu s čl. 36 odst. 1 písm. j) nařízení (EU) č. 575/2013: vedlejší kapitál tier 1 nemůže být záporný, ale odpočty od položek vedlejšího kapitálu tier 1 mohou překročit výši položek dostupného vedlejšího kapitálu tier 1. Pokud k tomu dojde, tato položka představuje částku potřebnou ke zvýšení částky vykázané v řádku 0300 na nulu a rovná se převrácené hodnotě odpočtů od položek vedlejšího kapitálu tier 1, které přesahují výši vedlejšího kapitálu tier 1, zahrnutých jako ostatní odpočty v řádku 0280,</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ostatní položky vedlejšího kapitálu tier 1 nebo odpočty od položky vedlejšího kapitálu tier 1 nelze přiřadit do jednoho z řádků 0310 až 0400.</w:t>
            </w:r>
          </w:p>
          <w:p>
            <w:pPr>
              <w:spacing w:after="120" w:line="240" w:lineRule="auto"/>
              <w:jc w:val="both"/>
              <w:rPr>
                <w:rFonts w:ascii="Times New Roman" w:eastAsia="Times New Roman" w:hAnsi="Times New Roman" w:cs="Times New Roman"/>
                <w:b/>
                <w:bCs/>
                <w:u w:val="single"/>
              </w:rPr>
            </w:pPr>
            <w:r>
              <w:rPr>
                <w:rFonts w:ascii="Times New Roman" w:hAnsi="Times New Roman"/>
                <w:bCs/>
              </w:rPr>
              <w:t>Tento řádek neslouží k zahrnutí kapitálových položek či odpočtů od kapitálu, na něž se nevztahuje nařízení (EU) 2019/2033 nebo nařízení (EU) č. 575/2013, do výpočtu ukazatelů kapitálové přiměřenosti.</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KAPITÁL TIER 2</w:t>
            </w:r>
          </w:p>
          <w:p>
            <w:pPr>
              <w:spacing w:after="120" w:line="240" w:lineRule="auto"/>
              <w:jc w:val="both"/>
              <w:rPr>
                <w:rFonts w:ascii="Times New Roman" w:eastAsia="Times New Roman" w:hAnsi="Times New Roman" w:cs="Times New Roman"/>
                <w:bCs/>
              </w:rPr>
            </w:pPr>
            <w:r>
              <w:rPr>
                <w:rFonts w:ascii="Times New Roman" w:hAnsi="Times New Roman"/>
                <w:bCs/>
              </w:rPr>
              <w:t>Ustanovení čl. 9 odst. 1 nařízení (EU)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i/>
                <w:sz w:val="22"/>
              </w:rPr>
              <w:t>Článek 71</w:t>
            </w:r>
            <w:r>
              <w:rPr>
                <w:rStyle w:val="FormatvorlageInstructionsTabelleText"/>
                <w:rFonts w:ascii="Times New Roman" w:hAnsi="Times New Roman"/>
                <w:sz w:val="22"/>
              </w:rPr>
              <w:t xml:space="preserve"> nařízení (EU) č. 575/2013.</w:t>
            </w:r>
          </w:p>
          <w:p>
            <w:pPr>
              <w:pStyle w:val="CommentText"/>
              <w:rPr>
                <w:sz w:val="22"/>
                <w:szCs w:val="22"/>
              </w:rPr>
            </w:pPr>
            <w:r>
              <w:rPr>
                <w:rFonts w:ascii="Times New Roman" w:hAnsi="Times New Roman"/>
                <w:bCs/>
                <w:sz w:val="22"/>
                <w:szCs w:val="22"/>
              </w:rPr>
              <w:t>Vykáže se celkový součet řádků 0430 až 0455 a řádku 0525.</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Plně uhrazené přímo vydané kapitálové nástroje</w:t>
            </w:r>
          </w:p>
          <w:p>
            <w:pPr>
              <w:spacing w:after="120" w:line="240" w:lineRule="auto"/>
              <w:jc w:val="both"/>
              <w:rPr>
                <w:rFonts w:ascii="Times New Roman" w:eastAsia="Times New Roman" w:hAnsi="Times New Roman" w:cs="Times New Roman"/>
                <w:bCs/>
              </w:rPr>
            </w:pPr>
            <w:r>
              <w:rPr>
                <w:rFonts w:ascii="Times New Roman" w:hAnsi="Times New Roman"/>
                <w:bCs/>
              </w:rPr>
              <w:t>Ustanovení čl. 9 odst. 1 bodu i) nařízení (EU) 2019/2033.</w:t>
            </w:r>
          </w:p>
          <w:p>
            <w:pPr>
              <w:pStyle w:val="InstructionsText"/>
              <w:rPr>
                <w:rStyle w:val="FormatvorlageInstructionsTabelleText"/>
                <w:rFonts w:ascii="Times New Roman" w:eastAsiaTheme="minorHAnsi" w:hAnsi="Times New Roman"/>
                <w:bCs/>
                <w:sz w:val="22"/>
                <w:szCs w:val="22"/>
              </w:rPr>
            </w:pPr>
            <w:r>
              <w:rPr>
                <w:rStyle w:val="FormatvorlageInstructionsTabelleText"/>
                <w:rFonts w:ascii="Times New Roman" w:hAnsi="Times New Roman"/>
                <w:sz w:val="22"/>
                <w:szCs w:val="22"/>
              </w:rPr>
              <w:t>Ustanovení čl. 62 písm. a) a článků 63 a 65 nařízení (EU) č.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Částka, která má být vykázána, nezahrnuje emisní ážio související s těmito nástroji.</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Emisní ážio</w:t>
            </w:r>
          </w:p>
          <w:p>
            <w:pPr>
              <w:spacing w:after="120" w:line="240" w:lineRule="auto"/>
              <w:jc w:val="both"/>
              <w:rPr>
                <w:rFonts w:ascii="Times New Roman" w:eastAsia="Times New Roman" w:hAnsi="Times New Roman" w:cs="Times New Roman"/>
                <w:bCs/>
              </w:rPr>
            </w:pPr>
            <w:r>
              <w:rPr>
                <w:rFonts w:ascii="Times New Roman" w:hAnsi="Times New Roman"/>
                <w:bCs/>
              </w:rPr>
              <w:t>Ustanovení čl. 9 odst. 1 bodu i) nařízení (EU)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Ustanovení čl. 62 písm. b) a článku 65 nařízení (EU) č.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Emisní ážio má stejný význam jako v použitelném účetním standardu.</w:t>
            </w:r>
          </w:p>
          <w:p>
            <w:pPr>
              <w:pStyle w:val="InstructionsText"/>
              <w:rPr>
                <w:sz w:val="22"/>
                <w:szCs w:val="22"/>
              </w:rPr>
            </w:pPr>
            <w:r>
              <w:rPr>
                <w:rStyle w:val="FormatvorlageInstructionsTabelleText"/>
                <w:rFonts w:ascii="Times New Roman" w:hAnsi="Times New Roman"/>
                <w:sz w:val="22"/>
                <w:szCs w:val="22"/>
              </w:rPr>
              <w:t>Částka, která má být vykázána v této položce, je částí vztahující se k položce „Splacené kapitálové nástroje“.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0455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ODPOČTY OD KAPITÁLU TIER 2 CELKEM</w:t>
            </w:r>
          </w:p>
          <w:p>
            <w:pPr>
              <w:spacing w:after="120" w:line="240" w:lineRule="auto"/>
              <w:jc w:val="both"/>
              <w:rPr>
                <w:rFonts w:ascii="Times New Roman" w:eastAsia="Times New Roman" w:hAnsi="Times New Roman" w:cs="Times New Roman"/>
                <w:bCs/>
              </w:rPr>
            </w:pPr>
            <w:r>
              <w:rPr>
                <w:rFonts w:ascii="Times New Roman" w:hAnsi="Times New Roman"/>
                <w:i/>
              </w:rPr>
              <w:t>Článek 66</w:t>
            </w:r>
            <w:r>
              <w:rPr>
                <w:rFonts w:ascii="Times New Roman" w:hAnsi="Times New Roman"/>
              </w:rPr>
              <w:t xml:space="preserve"> nařízení (EU) č. 575/2013, s výjimkou písmene d) tohoto článku.</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Vlastní nástroje zahrnované do kapitálu tier 2</w:t>
            </w:r>
          </w:p>
          <w:p>
            <w:pPr>
              <w:spacing w:after="120" w:line="240" w:lineRule="auto"/>
              <w:jc w:val="both"/>
              <w:rPr>
                <w:rFonts w:ascii="Times New Roman" w:eastAsia="Times New Roman" w:hAnsi="Times New Roman" w:cs="Times New Roman"/>
                <w:bCs/>
              </w:rPr>
            </w:pPr>
            <w:r>
              <w:rPr>
                <w:rFonts w:ascii="Times New Roman" w:hAnsi="Times New Roman"/>
                <w:bCs/>
              </w:rPr>
              <w:t>Ustanovení čl. 9 odst. 1 bodu i) nařízení (EU)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Ustanovení čl. 63 písm. b) bodu i), čl. 66 písm. a) a článku 67 nařízení (EU) č.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Vlastní nástroje zahrnované do kapitálu tier 2 držené vykazující institucí nebo skupinou ke dni vykazování. S výhradou výjimek uvedených v článku 67 nařízení (EU) č.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V tomto řádku se nevykazují držby akcií zahrnuté v položce „Nezpůsobilé kapitálové nástroje“.</w:t>
            </w:r>
          </w:p>
          <w:p>
            <w:pPr>
              <w:pStyle w:val="InstructionsText"/>
              <w:rPr>
                <w:sz w:val="22"/>
                <w:szCs w:val="22"/>
              </w:rPr>
            </w:pPr>
            <w:r>
              <w:rPr>
                <w:rStyle w:val="FormatvorlageInstructionsTabelleText"/>
                <w:rFonts w:ascii="Times New Roman" w:hAnsi="Times New Roman"/>
                <w:sz w:val="22"/>
                <w:szCs w:val="22"/>
              </w:rPr>
              <w:t>Částka, která má být vykázána, zahrnuje emisní ážio související s vlastními akciemi.</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0500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Nástroje zahrnované do kapitálu tier 2 subjektů finančního sektoru, v nichž mateřský podnik nemá významnou investici</w:t>
            </w:r>
          </w:p>
          <w:p>
            <w:pPr>
              <w:spacing w:after="120" w:line="240" w:lineRule="auto"/>
              <w:jc w:val="both"/>
              <w:rPr>
                <w:rFonts w:ascii="Times New Roman" w:eastAsia="Times New Roman" w:hAnsi="Times New Roman" w:cs="Times New Roman"/>
                <w:bCs/>
              </w:rPr>
            </w:pPr>
            <w:r>
              <w:rPr>
                <w:rFonts w:ascii="Times New Roman" w:hAnsi="Times New Roman"/>
                <w:bCs/>
              </w:rPr>
              <w:t>Ustanovení čl. 9 odst. 2 písm. c) nařízení (EU) 2019/2033.</w:t>
            </w:r>
          </w:p>
          <w:p>
            <w:pPr>
              <w:spacing w:after="120" w:line="240" w:lineRule="auto"/>
              <w:jc w:val="both"/>
              <w:rPr>
                <w:rFonts w:ascii="Times New Roman" w:eastAsia="Times New Roman" w:hAnsi="Times New Roman" w:cs="Times New Roman"/>
                <w:bCs/>
              </w:rPr>
            </w:pPr>
            <w:r>
              <w:rPr>
                <w:rFonts w:ascii="Times New Roman" w:hAnsi="Times New Roman"/>
                <w:bCs/>
              </w:rPr>
              <w:t>Ustanovení čl. 66 písm. c) nařízení (EU) č.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Mateřským podnikem v Unii se v tomto řádku rozumí mateřské investiční podniky v Unii, mateřské investiční holdingové společnosti v Unii, mateřské smíšené finanční holdingové společnosti v Unii a jiné mateřské podniky, které jsou investičními podniky, finančními institucemi, podniky pomocných služeb nebo vázanými zástupci.</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0525</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Kapitál tier 2: Ostatní kapitálové položky, odpočty od kapitálu a úpravy kapitálu</w:t>
            </w:r>
          </w:p>
          <w:p>
            <w:pPr>
              <w:spacing w:after="120" w:line="240" w:lineRule="auto"/>
              <w:jc w:val="both"/>
              <w:rPr>
                <w:rFonts w:ascii="Times New Roman" w:eastAsia="Times New Roman" w:hAnsi="Times New Roman" w:cs="Times New Roman"/>
                <w:bCs/>
              </w:rPr>
            </w:pPr>
            <w:r>
              <w:rPr>
                <w:rFonts w:ascii="Times New Roman" w:hAnsi="Times New Roman"/>
                <w:bCs/>
              </w:rPr>
              <w:t>Tento řádek zahrnuje v příslušných případech součet těchto položek:</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přechodné úpravy provedené v důsledku nástrojů zahrnovaných do kapitálu tier 2, pro něž platí zachování právních účinků (čl. 483 odst. 6 a 7 a články 484, 486, 488, 490 a 491 nařízení (EU) č.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ostatní přechodné úpravy kapitálu tier 2 (články 472, 473a, 476, 477, 478 a 481 nařízení (EU) č. 575/2013): úpravy odpočtů od kapitálu tier 2 v důsledku přechodných ustanovení,</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odpočet od položek kapitálu tier 2, který přesahuje výši kapitálu tier 2, který se odečítá od vedlejšího kapitálu tier 1 v souladu s čl. 56 písm. e) nařízení (EU) č. 575/2013: kapitál tier 2 nemůže být záporný, ale odpočty od položek kapitálu tier 2 mohou překročit výši položek dostupného kapitálu tier 2. Pokud k tomu dojde, tato položka představuje částku potřebnou ke zvýšení částky vykázané v řádku 0420 na nulu,</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ostatní položky kapitálu tier 2 nebo odpočty od položky kapitálu tier 2, které nelze přiřadit do jednoho z řádků 0430 až 0500.</w:t>
            </w:r>
          </w:p>
          <w:p>
            <w:pPr>
              <w:spacing w:after="120" w:line="240" w:lineRule="auto"/>
              <w:jc w:val="both"/>
              <w:rPr>
                <w:rFonts w:ascii="Times New Roman" w:eastAsia="Times New Roman" w:hAnsi="Times New Roman" w:cs="Times New Roman"/>
                <w:b/>
                <w:bCs/>
                <w:u w:val="single"/>
              </w:rPr>
            </w:pPr>
            <w:r>
              <w:rPr>
                <w:rFonts w:ascii="Times New Roman" w:hAnsi="Times New Roman"/>
                <w:bCs/>
              </w:rPr>
              <w:t>Tento řádek neslouží k zahrnutí kapitálových položek či odpočtů od kapitálu, na něž se nevztahuje nařízení (EU) 2019/2033 nebo nařízení (EU) č. 575/2013, do výpočtu ukazatelů kapitálové přiměřenosti.</w:t>
            </w:r>
          </w:p>
        </w:tc>
      </w:tr>
    </w:tbl>
    <w:p>
      <w:pPr>
        <w:pStyle w:val="Instructionsberschrift2"/>
        <w:ind w:left="357" w:hanging="357"/>
        <w:rPr>
          <w:rFonts w:ascii="Times New Roman" w:hAnsi="Times New Roman" w:cs="Times New Roman"/>
          <w:sz w:val="24"/>
          <w:u w:val="none"/>
        </w:rPr>
      </w:pPr>
      <w:bookmarkStart w:id="20" w:name="_Toc88130633"/>
      <w:r>
        <w:rPr>
          <w:rFonts w:ascii="Times New Roman" w:hAnsi="Times New Roman"/>
          <w:sz w:val="24"/>
          <w:u w:val="none"/>
        </w:rPr>
        <w:t>1.3</w:t>
      </w:r>
      <w:r>
        <w:rPr>
          <w:rFonts w:ascii="Times New Roman" w:hAnsi="Times New Roman"/>
          <w:sz w:val="24"/>
        </w:rPr>
        <w:t xml:space="preserve"> I 11.02 – KAPITÁLOVÉ POŽADAVKY – SKUPINOVÝ KAPITÁLOVÝ TEST (I11.2)</w:t>
      </w:r>
      <w:bookmarkEnd w:id="20"/>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1" w:name="_Toc88130634"/>
      <w:r>
        <w:rPr>
          <w:rFonts w:ascii="Times New Roman" w:hAnsi="Times New Roman"/>
          <w:sz w:val="24"/>
          <w:szCs w:val="24"/>
        </w:rPr>
        <w:t>1.3.1.</w:t>
      </w:r>
      <w:r>
        <w:rPr>
          <w:rFonts w:ascii="Times New Roman" w:hAnsi="Times New Roman"/>
          <w:sz w:val="24"/>
          <w:szCs w:val="24"/>
        </w:rPr>
        <w:tab/>
      </w:r>
      <w:r>
        <w:rPr>
          <w:rFonts w:ascii="Times New Roman" w:hAnsi="Times New Roman"/>
          <w:sz w:val="24"/>
          <w:szCs w:val="24"/>
          <w:u w:val="single"/>
        </w:rPr>
        <w:t>Pokyny pro konkrétní pozice</w:t>
      </w:r>
      <w:bookmarkEnd w:id="2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Řádek</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Odkazy na právní předpisy a pokyny</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Nástroje zahrnované do kmenového kapitálu tier 1 subjektů finančního sektoru ve skupině investičního podniku, v nichž mateřský podnik má významnou investici</w:t>
            </w:r>
          </w:p>
          <w:p>
            <w:pPr>
              <w:spacing w:after="120" w:line="240" w:lineRule="auto"/>
              <w:jc w:val="both"/>
              <w:rPr>
                <w:rFonts w:ascii="Times New Roman" w:eastAsia="Times New Roman" w:hAnsi="Times New Roman" w:cs="Times New Roman"/>
                <w:b/>
                <w:bCs/>
                <w:u w:val="single"/>
              </w:rPr>
            </w:pPr>
            <w:r>
              <w:rPr>
                <w:rFonts w:ascii="Times New Roman" w:hAnsi="Times New Roman"/>
                <w:bCs/>
              </w:rPr>
              <w:t>Ustanovení čl. 8 odst. 3 písm. a) nařízení (EU) 2019/2033 ve spojení s čl. 36 odst. 1 písm. i) nařízení (EU) č. 575/2013.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Nástroje zahrnované do vedlejšího kapitálu tier 1 subjektů finančního sektoru ve skupině investičního podniku, v nichž mateřský podnik má významnou investici</w:t>
            </w:r>
          </w:p>
          <w:p>
            <w:pPr>
              <w:spacing w:after="120" w:line="240" w:lineRule="auto"/>
              <w:jc w:val="both"/>
              <w:rPr>
                <w:rFonts w:ascii="Times New Roman" w:eastAsia="Times New Roman" w:hAnsi="Times New Roman" w:cs="Times New Roman"/>
                <w:bCs/>
              </w:rPr>
            </w:pPr>
            <w:r>
              <w:rPr>
                <w:rFonts w:ascii="Times New Roman" w:hAnsi="Times New Roman"/>
                <w:bCs/>
              </w:rPr>
              <w:t>Ustanovení čl. 8 odst. 3 písm. a) nařízení (EU) 2019/2033 ve spojení s čl. 56 písm. d) nařízení (EU) č. 575/2013.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Nástroje zahrnované do kapitálu tier 2 subjektů finančního sektoru ve skupině investičního podniku, v nichž mateřský podnik má významnou investici</w:t>
            </w:r>
          </w:p>
          <w:p>
            <w:pPr>
              <w:spacing w:after="120" w:line="240" w:lineRule="auto"/>
              <w:jc w:val="both"/>
              <w:rPr>
                <w:rFonts w:ascii="Times New Roman" w:eastAsia="Times New Roman" w:hAnsi="Times New Roman" w:cs="Times New Roman"/>
                <w:b/>
                <w:bCs/>
                <w:u w:val="single"/>
              </w:rPr>
            </w:pPr>
            <w:r>
              <w:rPr>
                <w:rFonts w:ascii="Times New Roman" w:hAnsi="Times New Roman"/>
                <w:bCs/>
              </w:rPr>
              <w:t>Ustanovení čl. 8 odst. 3 písm. a) nařízení (EU) 2019/2033 ve spojení s čl. 66 písm. d) nařízení (EU) č.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Kapitálové investice do subjektů finančního sektoru ve skupině investičního podniku v rozsahu, v jakém nepředstavují kapitál subjektu skupiny, do kterého mateřský podnik investuje</w:t>
            </w:r>
          </w:p>
          <w:p>
            <w:pPr>
              <w:spacing w:after="120" w:line="240" w:lineRule="auto"/>
              <w:jc w:val="both"/>
              <w:rPr>
                <w:rFonts w:ascii="Times New Roman" w:eastAsia="Times New Roman" w:hAnsi="Times New Roman" w:cs="Times New Roman"/>
                <w:bCs/>
              </w:rPr>
            </w:pPr>
            <w:r>
              <w:rPr>
                <w:rFonts w:ascii="Times New Roman" w:hAnsi="Times New Roman"/>
                <w:bCs/>
              </w:rPr>
              <w:t>Ustanovení čl. 8 odst. 3 písm. a) nařízení (EU) 2019/2033.</w:t>
            </w:r>
          </w:p>
          <w:p>
            <w:pPr>
              <w:spacing w:after="120" w:line="240" w:lineRule="auto"/>
              <w:jc w:val="both"/>
              <w:rPr>
                <w:rFonts w:ascii="Times New Roman" w:eastAsia="Times New Roman" w:hAnsi="Times New Roman" w:cs="Times New Roman"/>
                <w:bCs/>
              </w:rPr>
            </w:pPr>
            <w:r>
              <w:rPr>
                <w:rFonts w:ascii="Times New Roman" w:hAnsi="Times New Roman"/>
                <w:bCs/>
              </w:rPr>
              <w:t>Tento řádek zahrnuje kapitálové investice mateřského podniku v rozsahu, v jakém nepředstavují kapitál subjektu skupiny, do kterého mateřský podnik investuje</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
                <w:bCs/>
                <w:u w:val="single"/>
              </w:rPr>
              <w:t>Podřízené pohledávky subjektů finančního sektoru ve skupině investičního podniku</w:t>
            </w:r>
          </w:p>
          <w:p>
            <w:pPr>
              <w:spacing w:after="120" w:line="240" w:lineRule="auto"/>
              <w:jc w:val="both"/>
              <w:rPr>
                <w:rFonts w:ascii="Times New Roman" w:eastAsia="Times New Roman" w:hAnsi="Times New Roman" w:cs="Times New Roman"/>
                <w:bCs/>
              </w:rPr>
            </w:pPr>
            <w:r>
              <w:rPr>
                <w:rFonts w:ascii="Times New Roman" w:hAnsi="Times New Roman"/>
                <w:bCs/>
              </w:rPr>
              <w:t>Ustanovení čl. 8 odst. 3 písm. a) nařízení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Tento řádek zahrnuje podřízené pohledávky mateřského podniku v rozsahu, v jakém nepředstavují kapitál subjektu skupiny, do kterého mateřský podnik investuje</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Podmíněné závazky ve prospěch subjektů ve skupině investičního podniku</w:t>
            </w:r>
          </w:p>
          <w:p>
            <w:pPr>
              <w:spacing w:after="120" w:line="240" w:lineRule="auto"/>
              <w:jc w:val="both"/>
              <w:rPr>
                <w:rFonts w:ascii="Times New Roman" w:eastAsia="Times New Roman" w:hAnsi="Times New Roman" w:cs="Times New Roman"/>
                <w:bCs/>
              </w:rPr>
            </w:pPr>
            <w:r>
              <w:rPr>
                <w:rFonts w:ascii="Times New Roman" w:hAnsi="Times New Roman"/>
                <w:bCs/>
              </w:rPr>
              <w:t>Ustanovení čl. 8 odst. 3 písm. b) nařízení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Celkové kapitálové požadavky pro dceřiné podniky</w:t>
            </w:r>
          </w:p>
          <w:p>
            <w:pPr>
              <w:spacing w:after="120" w:line="240" w:lineRule="auto"/>
              <w:jc w:val="both"/>
              <w:rPr>
                <w:rFonts w:ascii="Times New Roman" w:eastAsia="Times New Roman" w:hAnsi="Times New Roman" w:cs="Times New Roman"/>
                <w:bCs/>
              </w:rPr>
            </w:pPr>
            <w:r>
              <w:rPr>
                <w:rFonts w:ascii="Times New Roman" w:hAnsi="Times New Roman"/>
                <w:bCs/>
              </w:rPr>
              <w:t>V</w:t>
            </w:r>
            <w:r>
              <w:rPr>
                <w:rFonts w:ascii="Times New Roman" w:eastAsia="Times New Roman" w:hAnsi="Times New Roman" w:cs="Times New Roman"/>
                <w:b/>
                <w:bCs/>
                <w:u w:val="single"/>
              </w:rPr>
              <w:t> </w:t>
            </w:r>
            <w:r>
              <w:rPr>
                <w:rFonts w:ascii="Times New Roman" w:hAnsi="Times New Roman"/>
                <w:bCs/>
              </w:rPr>
              <w:t>případě použití čl. 8 odst. 4 nařízení (EU) 2019/2033.</w:t>
            </w:r>
          </w:p>
        </w:tc>
      </w:tr>
    </w:tbl>
    <w:p>
      <w:pPr>
        <w:pStyle w:val="Instructionsberschrift2"/>
        <w:ind w:left="357" w:hanging="357"/>
        <w:rPr>
          <w:rFonts w:ascii="Times New Roman" w:hAnsi="Times New Roman" w:cs="Times New Roman"/>
          <w:sz w:val="24"/>
        </w:rPr>
      </w:pPr>
      <w:bookmarkStart w:id="22" w:name="_Toc88130635"/>
      <w:bookmarkEnd w:id="2"/>
      <w:bookmarkEnd w:id="3"/>
      <w:bookmarkEnd w:id="4"/>
      <w:bookmarkEnd w:id="5"/>
      <w:r>
        <w:rPr>
          <w:rFonts w:ascii="Times New Roman" w:hAnsi="Times New Roman"/>
          <w:sz w:val="24"/>
          <w:u w:val="none"/>
        </w:rPr>
        <w:t>1.4</w:t>
      </w:r>
      <w:r>
        <w:rPr>
          <w:rFonts w:ascii="Times New Roman" w:hAnsi="Times New Roman"/>
          <w:sz w:val="24"/>
        </w:rPr>
        <w:t xml:space="preserve"> IF 11.03 INFORMACE O DCEŘINÝCH PODNICÍCH (IF11.3)</w:t>
      </w:r>
      <w:bookmarkEnd w:id="22"/>
    </w:p>
    <w:p>
      <w:pPr>
        <w:spacing w:line="256" w:lineRule="auto"/>
        <w:ind w:left="1224" w:hanging="504"/>
        <w:jc w:val="both"/>
        <w:rPr>
          <w:rFonts w:ascii="Times New Roman" w:hAnsi="Times New Roman" w:cs="Times New Roman"/>
          <w:sz w:val="24"/>
        </w:rPr>
      </w:pPr>
      <w:r>
        <w:rPr>
          <w:rFonts w:ascii="Times New Roman" w:hAnsi="Times New Roman" w:cs="Times New Roman"/>
          <w:sz w:val="24"/>
        </w:rPr>
        <w:t>10.</w:t>
      </w:r>
      <w:r>
        <w:rPr>
          <w:rFonts w:ascii="Times New Roman" w:hAnsi="Times New Roman" w:cs="Times New Roman"/>
          <w:sz w:val="24"/>
        </w:rPr>
        <w:tab/>
      </w:r>
      <w:r>
        <w:rPr>
          <w:rFonts w:ascii="Times New Roman" w:hAnsi="Times New Roman"/>
          <w:sz w:val="24"/>
        </w:rPr>
        <w:t>V</w:t>
      </w:r>
      <w:r>
        <w:rPr>
          <w:rFonts w:ascii="Times New Roman" w:hAnsi="Times New Roman" w:cs="Times New Roman"/>
          <w:sz w:val="24"/>
        </w:rPr>
        <w:t> </w:t>
      </w:r>
      <w:r>
        <w:rPr>
          <w:rFonts w:ascii="Times New Roman" w:hAnsi="Times New Roman"/>
          <w:sz w:val="24"/>
        </w:rPr>
        <w:t>této šabloně se vykáží všechny subjekty zahrnuté do skupinového kapitálového testu. Zahrne se rovněž samotný mateřský podnik skupiny.</w:t>
      </w:r>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3" w:name="_Toc88130636"/>
      <w:r>
        <w:rPr>
          <w:rFonts w:ascii="Times New Roman" w:hAnsi="Times New Roman"/>
          <w:sz w:val="24"/>
          <w:szCs w:val="24"/>
        </w:rPr>
        <w:t>1.4.1.</w:t>
      </w:r>
      <w:r>
        <w:rPr>
          <w:rFonts w:ascii="Times New Roman" w:hAnsi="Times New Roman"/>
          <w:sz w:val="24"/>
          <w:szCs w:val="24"/>
        </w:rPr>
        <w:tab/>
      </w:r>
      <w:r>
        <w:rPr>
          <w:rFonts w:ascii="Times New Roman" w:hAnsi="Times New Roman"/>
          <w:sz w:val="24"/>
          <w:szCs w:val="24"/>
          <w:u w:val="single"/>
        </w:rPr>
        <w:t>Pokyny pro konkrétní pozice</w:t>
      </w:r>
      <w:bookmarkEnd w:id="2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Sloupce</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Odkazy na právní předpisy a pokyny</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Kód</w:t>
            </w:r>
          </w:p>
          <w:p>
            <w:pPr>
              <w:spacing w:after="120" w:line="240" w:lineRule="auto"/>
              <w:jc w:val="both"/>
              <w:rPr>
                <w:rFonts w:ascii="Times New Roman" w:eastAsia="Times New Roman" w:hAnsi="Times New Roman" w:cs="Times New Roman"/>
                <w:b/>
                <w:bCs/>
                <w:u w:val="single"/>
              </w:rPr>
            </w:pPr>
            <w:r>
              <w:rPr>
                <w:rFonts w:ascii="Times New Roman" w:hAnsi="Times New Roman"/>
                <w:bCs/>
              </w:rPr>
              <w:t>Kód jakožto součást identifikátoru řádku musí být jedinečný pro každý vykazovaný subjekt. V případě investičních podniků a pojišťoven se použije kód LEI. U jiných subjektů se použije kód LEI nebo případně vnitrostátní kód, není-li kód LEI k dispozici. Kód je jedinečný a používá se trvale a ve všech šablonách jednotně. V poli pro kód musí být vždy uvedena nějaká hodnota.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Typ kódu</w:t>
            </w:r>
          </w:p>
          <w:p>
            <w:pPr>
              <w:spacing w:after="120" w:line="240" w:lineRule="auto"/>
              <w:jc w:val="both"/>
              <w:rPr>
                <w:rFonts w:ascii="Times New Roman" w:eastAsia="Times New Roman" w:hAnsi="Times New Roman" w:cs="Times New Roman"/>
                <w:bCs/>
              </w:rPr>
            </w:pPr>
            <w:r>
              <w:rPr>
                <w:rFonts w:ascii="Times New Roman" w:hAnsi="Times New Roman"/>
                <w:bCs/>
              </w:rPr>
              <w:t>Vykazující subjekt označí typ kódu vykázaného ve sloupci 0010 jako „typ kódu LEI“ nebo „typ vnitrostátního kódu“.</w:t>
            </w:r>
          </w:p>
          <w:p>
            <w:pPr>
              <w:spacing w:after="120" w:line="240" w:lineRule="auto"/>
              <w:jc w:val="both"/>
              <w:rPr>
                <w:rFonts w:ascii="Times New Roman" w:eastAsia="Times New Roman" w:hAnsi="Times New Roman" w:cs="Times New Roman"/>
                <w:b/>
                <w:bCs/>
                <w:u w:val="single"/>
              </w:rPr>
            </w:pPr>
            <w:r>
              <w:rPr>
                <w:rFonts w:ascii="Times New Roman" w:hAnsi="Times New Roman"/>
                <w:bCs/>
              </w:rPr>
              <w:t>Typ kódu se vykazuje vždy.</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Název podniku</w:t>
            </w:r>
          </w:p>
          <w:p>
            <w:pPr>
              <w:spacing w:after="120" w:line="240" w:lineRule="auto"/>
              <w:jc w:val="both"/>
              <w:rPr>
                <w:rFonts w:ascii="Times New Roman" w:eastAsia="Times New Roman" w:hAnsi="Times New Roman" w:cs="Times New Roman"/>
                <w:b/>
                <w:bCs/>
                <w:u w:val="single"/>
              </w:rPr>
            </w:pPr>
            <w:r>
              <w:rPr>
                <w:rStyle w:val="InstructionsTabelleText"/>
                <w:rFonts w:ascii="Times New Roman" w:hAnsi="Times New Roman"/>
                <w:sz w:val="22"/>
              </w:rPr>
              <w:t>Název podniku zahrnutého do konsolidace.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rPr>
            </w:pPr>
            <w:r>
              <w:rPr>
                <w:rFonts w:ascii="Times New Roman" w:hAnsi="Times New Roman"/>
                <w:b/>
                <w:bCs/>
              </w:rPr>
              <w:t>Mateřský nebo dceřiný podnik</w:t>
            </w:r>
          </w:p>
          <w:p>
            <w:pPr>
              <w:spacing w:after="120" w:line="240" w:lineRule="auto"/>
              <w:jc w:val="both"/>
              <w:rPr>
                <w:rFonts w:ascii="Times New Roman" w:eastAsia="Times New Roman" w:hAnsi="Times New Roman" w:cs="Times New Roman"/>
                <w:bCs/>
              </w:rPr>
            </w:pPr>
            <w:r>
              <w:rPr>
                <w:rFonts w:ascii="Times New Roman" w:hAnsi="Times New Roman"/>
                <w:bCs/>
              </w:rPr>
              <w:t>Uvede se, zda je subjekt vykázaný na řádku mateřský podnik skupiny nebo dceřiný podnik.</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Země</w:t>
            </w:r>
          </w:p>
          <w:p>
            <w:pPr>
              <w:autoSpaceDE w:val="0"/>
              <w:autoSpaceDN w:val="0"/>
              <w:spacing w:before="40" w:after="40" w:line="240" w:lineRule="auto"/>
              <w:rPr>
                <w:rFonts w:ascii="Times New Roman" w:eastAsia="Times New Roman" w:hAnsi="Times New Roman" w:cs="Times New Roman"/>
                <w:b/>
                <w:bCs/>
                <w:u w:val="single"/>
              </w:rPr>
            </w:pPr>
            <w:r>
              <w:rPr>
                <w:rStyle w:val="InstructionsTabelleText"/>
                <w:rFonts w:ascii="Times New Roman" w:hAnsi="Times New Roman"/>
                <w:sz w:val="22"/>
              </w:rPr>
              <w:t>Uvede se země, ve které se nachází dceřiný podnik.</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0060–0100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Investice mateřského podniku</w:t>
            </w:r>
          </w:p>
          <w:p>
            <w:pPr>
              <w:spacing w:after="120" w:line="240" w:lineRule="auto"/>
              <w:jc w:val="both"/>
              <w:rPr>
                <w:rFonts w:ascii="Times New Roman" w:eastAsia="Times New Roman" w:hAnsi="Times New Roman" w:cs="Times New Roman"/>
                <w:bCs/>
              </w:rPr>
            </w:pPr>
            <w:r>
              <w:rPr>
                <w:rFonts w:ascii="Times New Roman" w:hAnsi="Times New Roman"/>
                <w:bCs/>
              </w:rPr>
              <w:t>Ustanovení čl. 8 odst. 3 písm. a) nařízení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V</w:t>
            </w:r>
            <w:r>
              <w:rPr>
                <w:rFonts w:ascii="Times New Roman" w:eastAsia="Times New Roman" w:hAnsi="Times New Roman" w:cs="Times New Roman"/>
                <w:bCs/>
              </w:rPr>
              <w:t> </w:t>
            </w:r>
            <w:r>
              <w:rPr>
                <w:rFonts w:ascii="Times New Roman" w:hAnsi="Times New Roman"/>
                <w:bCs/>
              </w:rPr>
              <w:t>tomto oddílu se uvedou investice mateřského podniku do subjektů ve skupině.</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
                <w:bCs/>
                <w:u w:val="single"/>
              </w:rPr>
              <w:t>KMENOVÝ KAPITÁL TIER 1</w:t>
            </w:r>
          </w:p>
          <w:p>
            <w:pPr>
              <w:spacing w:after="120" w:line="240" w:lineRule="auto"/>
              <w:jc w:val="both"/>
              <w:rPr>
                <w:rFonts w:ascii="Times New Roman" w:eastAsia="Times New Roman" w:hAnsi="Times New Roman" w:cs="Times New Roman"/>
                <w:b/>
                <w:bCs/>
                <w:u w:val="single"/>
              </w:rPr>
            </w:pPr>
            <w:r>
              <w:rPr>
                <w:rFonts w:ascii="Times New Roman" w:hAnsi="Times New Roman"/>
                <w:bCs/>
              </w:rPr>
              <w:t>Ustanovení čl. 8 odst. 3 písm. a) nařízení (EU) 2019/2033 ve spojení s čl. 36 odst. 1 písm. i) nařízení (EU) č. 575/2013.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
                <w:bCs/>
                <w:u w:val="single"/>
              </w:rPr>
              <w:t>VEDLEJŠÍ KAPITÁL TIER 1</w:t>
            </w:r>
          </w:p>
          <w:p>
            <w:pPr>
              <w:spacing w:after="120" w:line="240" w:lineRule="auto"/>
              <w:jc w:val="both"/>
              <w:rPr>
                <w:rFonts w:ascii="Times New Roman" w:eastAsia="Times New Roman" w:hAnsi="Times New Roman" w:cs="Times New Roman"/>
                <w:bCs/>
              </w:rPr>
            </w:pPr>
            <w:r>
              <w:rPr>
                <w:rFonts w:ascii="Times New Roman" w:hAnsi="Times New Roman"/>
                <w:bCs/>
              </w:rPr>
              <w:t>Ustanovení čl. 8 odst. 3 písm. a) nařízení (EU) 2019/2033 ve spojení s čl. 56 písm. d) nařízení (EU) č. 575/2013.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KAPITÁL TIER 2</w:t>
            </w:r>
          </w:p>
          <w:p>
            <w:pPr>
              <w:spacing w:after="120" w:line="240" w:lineRule="auto"/>
              <w:jc w:val="both"/>
              <w:rPr>
                <w:rFonts w:ascii="Times New Roman" w:eastAsia="Times New Roman" w:hAnsi="Times New Roman" w:cs="Times New Roman"/>
                <w:b/>
                <w:bCs/>
                <w:u w:val="single"/>
              </w:rPr>
            </w:pPr>
            <w:r>
              <w:rPr>
                <w:rFonts w:ascii="Times New Roman" w:hAnsi="Times New Roman"/>
                <w:bCs/>
              </w:rPr>
              <w:t>Ustanovení čl. 8 odst. 3 písm. a) nařízení (EU) 2019/2033 ve spojení s čl. 66 písm. d) nařízení (EU) č.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Investice</w:t>
            </w:r>
          </w:p>
          <w:p>
            <w:pPr>
              <w:spacing w:after="120" w:line="240" w:lineRule="auto"/>
              <w:jc w:val="both"/>
              <w:rPr>
                <w:rFonts w:ascii="Times New Roman" w:eastAsia="Times New Roman" w:hAnsi="Times New Roman" w:cs="Times New Roman"/>
                <w:bCs/>
              </w:rPr>
            </w:pPr>
            <w:r>
              <w:rPr>
                <w:rFonts w:ascii="Times New Roman" w:hAnsi="Times New Roman"/>
                <w:bCs/>
              </w:rPr>
              <w:t>Ustanovení čl. 8 odst. 3 písm. a) nařízení (EU) 2019/2033.</w:t>
            </w:r>
          </w:p>
          <w:p>
            <w:pPr>
              <w:spacing w:after="120" w:line="240" w:lineRule="auto"/>
              <w:jc w:val="both"/>
              <w:rPr>
                <w:rFonts w:ascii="Times New Roman" w:eastAsia="Times New Roman" w:hAnsi="Times New Roman" w:cs="Times New Roman"/>
                <w:bCs/>
              </w:rPr>
            </w:pPr>
            <w:r>
              <w:rPr>
                <w:rFonts w:ascii="Times New Roman" w:hAnsi="Times New Roman"/>
                <w:bCs/>
              </w:rPr>
              <w:t>Tento sloupec zahrnuje investice mateřského podniku v rozsahu, v jakém nepředstavují kapitál subjektu skupiny, do kterého mateřský podnik investuje.</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0100</w:t>
            </w:r>
          </w:p>
        </w:tc>
        <w:tc>
          <w:tcPr>
            <w:tcW w:w="7620"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
                <w:bCs/>
                <w:u w:val="single"/>
              </w:rPr>
              <w:t>Podřízené pohledávky</w:t>
            </w:r>
          </w:p>
          <w:p>
            <w:pPr>
              <w:spacing w:after="120" w:line="240" w:lineRule="auto"/>
              <w:jc w:val="both"/>
              <w:rPr>
                <w:rFonts w:ascii="Times New Roman" w:eastAsia="Times New Roman" w:hAnsi="Times New Roman" w:cs="Times New Roman"/>
                <w:bCs/>
              </w:rPr>
            </w:pPr>
            <w:r>
              <w:rPr>
                <w:rFonts w:ascii="Times New Roman" w:hAnsi="Times New Roman"/>
                <w:bCs/>
              </w:rPr>
              <w:t>Ustanovení čl. 8 odst. 3 písm. a) nařízení (EU)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Tento sloupec zahrnuje podřízené pohledávky mateřského podniku v rozsahu, v jakém nepředstavují kapitál subjektu skupiny, do kterého mateřský podnik investuje.</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0110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Podmíněné závazky mateřského podniku ve prospěch subjektu</w:t>
            </w:r>
          </w:p>
          <w:p>
            <w:pPr>
              <w:spacing w:after="120" w:line="240" w:lineRule="auto"/>
              <w:jc w:val="both"/>
              <w:rPr>
                <w:rFonts w:ascii="Times New Roman" w:eastAsia="Times New Roman" w:hAnsi="Times New Roman" w:cs="Times New Roman"/>
                <w:bCs/>
              </w:rPr>
            </w:pPr>
            <w:r>
              <w:rPr>
                <w:rFonts w:ascii="Times New Roman" w:hAnsi="Times New Roman"/>
                <w:bCs/>
              </w:rPr>
              <w:t>Ustanovení čl. 8 odst. 3 písm. b) nařízení (EU) 2019/2033.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Celkové kapitálové požadavky pro dceřiné podniky</w:t>
            </w:r>
          </w:p>
          <w:p>
            <w:pPr>
              <w:spacing w:after="120" w:line="240" w:lineRule="auto"/>
              <w:jc w:val="both"/>
              <w:rPr>
                <w:rFonts w:ascii="Times New Roman" w:eastAsia="Times New Roman" w:hAnsi="Times New Roman" w:cs="Times New Roman"/>
                <w:bCs/>
              </w:rPr>
            </w:pPr>
            <w:r>
              <w:rPr>
                <w:rFonts w:ascii="Times New Roman" w:hAnsi="Times New Roman"/>
                <w:bCs/>
              </w:rPr>
              <w:t>Ustanovení čl. 8 odst. 4 nařízení (EU) 2019/2033.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0130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Trvalý minimální kapitál</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i/>
                <w:color w:val="000000" w:themeColor="text1"/>
              </w:rPr>
              <w:t>Článek 14</w:t>
            </w:r>
            <w:r>
              <w:rPr>
                <w:rFonts w:ascii="Times New Roman" w:hAnsi="Times New Roman"/>
                <w:bCs/>
                <w:color w:val="000000" w:themeColor="text1"/>
              </w:rPr>
              <w:t xml:space="preserve"> nařízení (EU) 2019/2033.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0140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Požadavek dle K-faktorů</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i/>
                <w:color w:val="000000" w:themeColor="text1"/>
              </w:rPr>
              <w:t>Článek 15</w:t>
            </w:r>
            <w:r>
              <w:rPr>
                <w:rFonts w:ascii="Times New Roman" w:hAnsi="Times New Roman"/>
                <w:bCs/>
                <w:color w:val="000000" w:themeColor="text1"/>
              </w:rPr>
              <w:t xml:space="preserve"> nařízení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0150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Spravovaný majetek</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Ustanovení čl. 15 odst. 2 a článku 17 nařízení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0160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Držené peníze zákazníků – oddělené</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Ustanovení čl. 15 odst. 2 a článku 18 nařízení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0170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Držené peníze zákazníků – neoddělené</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Ustanovení čl. 15 odst. 2 a článku 18 nařízení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0180</w:t>
            </w:r>
          </w:p>
        </w:tc>
        <w:tc>
          <w:tcPr>
            <w:tcW w:w="7620" w:type="dxa"/>
            <w:tcBorders>
              <w:top w:val="single" w:sz="4" w:space="0" w:color="auto"/>
            </w:tcBorders>
          </w:tcPr>
          <w:p>
            <w:pPr>
              <w:tabs>
                <w:tab w:val="left" w:pos="3948"/>
              </w:tabs>
              <w:spacing w:after="120" w:line="240" w:lineRule="auto"/>
              <w:jc w:val="both"/>
              <w:rPr>
                <w:rFonts w:ascii="Times New Roman" w:eastAsia="Times New Roman" w:hAnsi="Times New Roman" w:cs="Times New Roman"/>
                <w:b/>
                <w:bCs/>
                <w:u w:val="single"/>
              </w:rPr>
            </w:pPr>
            <w:r>
              <w:rPr>
                <w:rFonts w:ascii="Times New Roman" w:hAnsi="Times New Roman"/>
                <w:b/>
                <w:bCs/>
                <w:u w:val="single"/>
              </w:rPr>
              <w:t>Majetek v úschově a správě</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 xml:space="preserve">Ustanovení čl. 15 odst. 2 a článku 19 nařízení (EU) 2019/2033. </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0190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Zpracované pokyny zákazníků – hotovostní obchody</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Ustanovení čl. 15 odst. 2 a čl. 20 odst. 1 a čl. 20 odst. 2 písm. a) nařízení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0200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Zpracované pokyny zákazníků – obchody s deriváty</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Ustanovení čl. 15 odst. 2 a čl. 20 odst. 1 a čl. 20 odst. 2 písm. b) nařízení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0210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Požadavek na čisté poziční riziko dle K-faktorů</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i/>
                <w:color w:val="000000" w:themeColor="text1"/>
              </w:rPr>
              <w:t>Článek 22</w:t>
            </w:r>
            <w:r>
              <w:rPr>
                <w:rFonts w:ascii="Times New Roman" w:hAnsi="Times New Roman"/>
                <w:bCs/>
                <w:color w:val="000000" w:themeColor="text1"/>
              </w:rPr>
              <w:t xml:space="preserve"> nařízení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0220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Marže požadovaná pro účely clearingu</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Ustanovení čl. 23 odst. 2 nařízení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0230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Selhání protistrany obchodu</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Články 26 a 24 nařízení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0240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Denní objem obchodování – hotovostní obchody</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Pro účely výpočtu požadavků dle K-faktorů investiční podniky vykáží údaje pomocí koeficientu podle čl. 15 odst. 2 nařízení (EU) 2019/2033.</w:t>
            </w:r>
          </w:p>
          <w:p>
            <w:pPr>
              <w:spacing w:after="120" w:line="240" w:lineRule="auto"/>
              <w:jc w:val="both"/>
              <w:rPr>
                <w:rFonts w:ascii="Times New Roman" w:eastAsia="Times New Roman" w:hAnsi="Times New Roman" w:cs="Times New Roman"/>
                <w:bCs/>
                <w:i/>
                <w:color w:val="000000" w:themeColor="text1"/>
              </w:rPr>
            </w:pPr>
            <w:r>
              <w:rPr>
                <w:rFonts w:ascii="Times New Roman" w:hAnsi="Times New Roman"/>
                <w:bCs/>
                <w:color w:val="000000" w:themeColor="text1"/>
              </w:rPr>
              <w:t>V</w:t>
            </w:r>
            <w:r>
              <w:rPr>
                <w:rFonts w:ascii="Times New Roman" w:eastAsia="Times New Roman" w:hAnsi="Times New Roman" w:cs="Times New Roman"/>
                <w:bCs/>
                <w:color w:val="000000" w:themeColor="text1"/>
              </w:rPr>
              <w:t> </w:t>
            </w:r>
            <w:r>
              <w:rPr>
                <w:rFonts w:ascii="Times New Roman" w:hAnsi="Times New Roman"/>
                <w:bCs/>
                <w:color w:val="000000" w:themeColor="text1"/>
              </w:rPr>
              <w:t>případě napjatých tržních podmínek v souladu s čl. 15 odst. 5 písm. c) nařízení (EU) 2019/2033 investiční podniky použijí upravený koeficient podle tohoto písmene.</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Faktor denního objemu obchodování se vypočítá v souladu s čl. 33 odst. 2 písm. a) nařízení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0250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Denní objem obchodování – obchody s deriváty</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Pro účely výpočtu požadavků dle K-faktorů investiční podniky vykáží údaje pomocí koeficientu podle čl. 15 odst. 2 nařízení (EU) 2019/2033.</w:t>
            </w:r>
          </w:p>
          <w:p>
            <w:pPr>
              <w:spacing w:after="120" w:line="240" w:lineRule="auto"/>
              <w:jc w:val="both"/>
              <w:rPr>
                <w:rFonts w:ascii="Times New Roman" w:eastAsia="Times New Roman" w:hAnsi="Times New Roman" w:cs="Times New Roman"/>
                <w:bCs/>
                <w:i/>
                <w:color w:val="000000" w:themeColor="text1"/>
              </w:rPr>
            </w:pPr>
            <w:r>
              <w:rPr>
                <w:rFonts w:ascii="Times New Roman" w:hAnsi="Times New Roman"/>
                <w:bCs/>
                <w:color w:val="000000" w:themeColor="text1"/>
              </w:rPr>
              <w:t>V</w:t>
            </w:r>
            <w:r>
              <w:rPr>
                <w:rFonts w:ascii="Times New Roman" w:eastAsia="Times New Roman" w:hAnsi="Times New Roman" w:cs="Times New Roman"/>
                <w:bCs/>
                <w:color w:val="000000" w:themeColor="text1"/>
              </w:rPr>
              <w:t> </w:t>
            </w:r>
            <w:r>
              <w:rPr>
                <w:rFonts w:ascii="Times New Roman" w:hAnsi="Times New Roman"/>
                <w:bCs/>
                <w:color w:val="000000" w:themeColor="text1"/>
              </w:rPr>
              <w:t>případě napjatých tržních podmínek v souladu s čl. 15 odst. 5 písm. c) nařízení (EU) 2019/2033 investiční podniky použijí upravený koeficient podle tohoto písmene.</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Faktor denního objemu obchodování se vypočítá v souladu s čl. 33 odst. 2 písm. b) nařízení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0260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Požadavek na riziko koncentrace dle K-faktorů</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Ustanovení čl. 37 odst. 2 a článků 39 a 24 nařízení (EU)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0270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Požadavky dle fixních režijních nákladů</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i/>
                <w:color w:val="000000" w:themeColor="text1"/>
              </w:rPr>
              <w:t>Článek 13</w:t>
            </w:r>
            <w:r>
              <w:rPr>
                <w:rFonts w:ascii="Times New Roman" w:hAnsi="Times New Roman"/>
                <w:bCs/>
                <w:color w:val="000000" w:themeColor="text1"/>
              </w:rPr>
              <w:t xml:space="preserve"> nařízení (EU) 2019/2033.</w:t>
            </w:r>
          </w:p>
        </w:tc>
      </w:tr>
    </w:tbl>
    <w:p>
      <w:pPr>
        <w:pStyle w:val="Instructionsberschrift2"/>
        <w:ind w:left="357" w:hanging="357"/>
      </w:pPr>
    </w:p>
    <w:sectPr>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pStyle w:val="Footer"/>
      </w:pPr>
    </w:p>
  </w:endnote>
  <w:endnote w:type="continuationSeparator" w:id="0">
    <w:p>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tabs>
        <w:tab w:val="clear" w:pos="4513"/>
        <w:tab w:val="clear" w:pos="9026"/>
        <w:tab w:val="right" w:pos="9071"/>
      </w:tabs>
    </w:pPr>
    <w:r>
      <w:t>CS - Cleaned document</w:t>
    </w:r>
    <w:r>
      <w:tab/>
    </w:r>
    <w:r>
      <w:fldChar w:fldCharType="begin"/>
    </w:r>
    <w:r>
      <w:instrText xml:space="preserve"> PAGE \* MERGEFORMAT </w:instrText>
    </w:r>
    <w:r>
      <w:fldChar w:fldCharType="separate"/>
    </w:r>
    <w:r>
      <w:rPr>
        <w:noProof/>
      </w:rPr>
      <w:t>1</w:t>
    </w:r>
    <w:r>
      <w:fldChar w:fldCharType="end"/>
    </w:r>
    <w:r>
      <w:t>/</w:t>
    </w:r>
    <w:fldSimple w:instr=" NUMPAGES \* MERGEFORMAT ">
      <w:r>
        <w:rPr>
          <w:noProof/>
        </w:rPr>
        <w:t>11</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pStyle w:val="Footer"/>
      </w:pPr>
    </w:p>
  </w:footnote>
  <w:footnote w:type="continuationSeparator" w:id="0">
    <w:p>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802EC7"/>
    <w:multiLevelType w:val="multilevel"/>
    <w:tmpl w:val="5176931E"/>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5"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9DE1B7E"/>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57503B"/>
    <w:multiLevelType w:val="multilevel"/>
    <w:tmpl w:val="A3045F6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
  </w:num>
  <w:num w:numId="3">
    <w:abstractNumId w:val="11"/>
  </w:num>
  <w:num w:numId="4">
    <w:abstractNumId w:val="0"/>
  </w:num>
  <w:num w:numId="5">
    <w:abstractNumId w:val="3"/>
  </w:num>
  <w:num w:numId="6">
    <w:abstractNumId w:val="13"/>
  </w:num>
  <w:num w:numId="7">
    <w:abstractNumId w:val="9"/>
  </w:num>
  <w:num w:numId="8">
    <w:abstractNumId w:val="10"/>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defaultTabStop w:val="720"/>
  <w:hyphenationZone w:val="283"/>
  <w:characterSpacingControl w:val="doNotCompress"/>
  <w:hdrShapeDefaults>
    <o:shapedefaults v:ext="edit" spidmax="140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0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cs-CZ"/>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character" w:customStyle="1" w:styleId="InstructionsTabelleText">
    <w:name w:val="Instructions Tabelle Text"/>
    <w:rPr>
      <w:rFonts w:ascii="Verdana" w:hAnsi="Verdana" w:cs="Times New Roman"/>
      <w:sz w:val="20"/>
    </w:rPr>
  </w:style>
  <w:style w:type="paragraph" w:styleId="Re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123BA1B-F2FB-46BB-B09A-C252EBE50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3534</Words>
  <Characters>20144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2021-11-25T15:00:00Z</dcterms:created>
  <dcterms:modified xsi:type="dcterms:W3CDTF">2021-11-25T16:37:00Z</dcterms:modified>
  <cp:category/>
</cp:coreProperties>
</file>