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02253" w14:textId="77777777" w:rsidR="00AE753A" w:rsidRPr="003F57AB" w:rsidRDefault="003F57AB">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3F57AB">
        <w:rPr>
          <w:rFonts w:ascii="Times New Roman" w:hAnsi="Times New Roman" w:cs="Times New Roman"/>
          <w:b/>
          <w:sz w:val="24"/>
          <w:szCs w:val="24"/>
        </w:rPr>
        <w:t>SL</w:t>
      </w:r>
      <w:r w:rsidRPr="003F57AB">
        <w:rPr>
          <w:rFonts w:ascii="Times New Roman" w:hAnsi="Times New Roman" w:cs="Times New Roman"/>
        </w:rPr>
        <w:br/>
      </w:r>
      <w:r w:rsidRPr="003F57AB">
        <w:rPr>
          <w:rFonts w:ascii="Times New Roman" w:hAnsi="Times New Roman" w:cs="Times New Roman"/>
          <w:b/>
          <w:sz w:val="24"/>
          <w:szCs w:val="24"/>
        </w:rPr>
        <w:t>PRILOGA II</w:t>
      </w:r>
    </w:p>
    <w:p w14:paraId="4D11A6C3" w14:textId="77777777" w:rsidR="00AE753A" w:rsidRPr="003F57AB" w:rsidRDefault="003F57AB">
      <w:pPr>
        <w:spacing w:after="240" w:line="240" w:lineRule="auto"/>
        <w:jc w:val="center"/>
        <w:rPr>
          <w:rFonts w:ascii="Times New Roman" w:eastAsia="Times New Roman" w:hAnsi="Times New Roman" w:cs="Times New Roman"/>
          <w:b/>
          <w:sz w:val="24"/>
          <w:szCs w:val="20"/>
          <w:u w:val="single"/>
        </w:rPr>
      </w:pPr>
      <w:r w:rsidRPr="003F57AB">
        <w:rPr>
          <w:rFonts w:ascii="Times New Roman" w:hAnsi="Times New Roman" w:cs="Times New Roman"/>
          <w:b/>
          <w:sz w:val="24"/>
          <w:szCs w:val="20"/>
          <w:u w:val="single"/>
        </w:rPr>
        <w:t>PRILOGA II</w:t>
      </w:r>
      <w:bookmarkEnd w:id="0"/>
      <w:bookmarkEnd w:id="1"/>
    </w:p>
    <w:p w14:paraId="39377429" w14:textId="77777777" w:rsidR="00AE753A" w:rsidRPr="003F57AB" w:rsidRDefault="003F57AB">
      <w:pPr>
        <w:spacing w:after="240" w:line="240" w:lineRule="auto"/>
        <w:jc w:val="center"/>
        <w:rPr>
          <w:rFonts w:ascii="Times New Roman" w:eastAsia="Times New Roman" w:hAnsi="Times New Roman" w:cs="Times New Roman"/>
          <w:b/>
          <w:sz w:val="24"/>
          <w:szCs w:val="20"/>
        </w:rPr>
      </w:pPr>
      <w:r w:rsidRPr="003F57AB">
        <w:rPr>
          <w:rFonts w:ascii="Times New Roman" w:hAnsi="Times New Roman" w:cs="Times New Roman"/>
          <w:b/>
          <w:sz w:val="24"/>
          <w:szCs w:val="20"/>
        </w:rPr>
        <w:t>POROČANJE INVESTICIJSKIH PODJETIJ, KI NISO MALA IN NEPOVEZANA INVESTICIJSKA PODJETJA</w:t>
      </w:r>
    </w:p>
    <w:p w14:paraId="1F702343" w14:textId="77777777" w:rsidR="00AE753A" w:rsidRPr="003F57AB" w:rsidRDefault="003F57AB">
      <w:pPr>
        <w:spacing w:after="0" w:line="240" w:lineRule="auto"/>
        <w:rPr>
          <w:rFonts w:ascii="Times New Roman" w:eastAsia="Times New Roman" w:hAnsi="Times New Roman" w:cs="Times New Roman"/>
          <w:sz w:val="24"/>
          <w:szCs w:val="24"/>
        </w:rPr>
      </w:pPr>
      <w:r w:rsidRPr="003F57AB">
        <w:rPr>
          <w:rFonts w:ascii="Times New Roman" w:hAnsi="Times New Roman" w:cs="Times New Roman"/>
          <w:sz w:val="24"/>
          <w:szCs w:val="24"/>
        </w:rPr>
        <w:t>Kazalo vsebine</w:t>
      </w:r>
    </w:p>
    <w:p w14:paraId="2C057711"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DEL I: SPLOŠNA NAVODILA</w:t>
      </w:r>
      <w:r w:rsidRPr="003F57AB">
        <w:rPr>
          <w:rFonts w:ascii="Times New Roman" w:hAnsi="Times New Roman" w:cs="Times New Roman"/>
          <w:noProof/>
        </w:rPr>
        <w:tab/>
        <w:t>4</w:t>
      </w:r>
    </w:p>
    <w:p w14:paraId="68B583B7"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1. Struktura in dogovori</w:t>
      </w:r>
      <w:r w:rsidRPr="003F57AB">
        <w:rPr>
          <w:rFonts w:ascii="Times New Roman" w:hAnsi="Times New Roman" w:cs="Times New Roman"/>
          <w:noProof/>
        </w:rPr>
        <w:tab/>
        <w:t>4</w:t>
      </w:r>
    </w:p>
    <w:p w14:paraId="168AFAB2"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1.1 Struktura</w:t>
      </w:r>
      <w:r w:rsidRPr="003F57AB">
        <w:rPr>
          <w:rFonts w:ascii="Times New Roman" w:hAnsi="Times New Roman" w:cs="Times New Roman"/>
          <w:noProof/>
        </w:rPr>
        <w:tab/>
        <w:t>4</w:t>
      </w:r>
    </w:p>
    <w:p w14:paraId="6CC031C3"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1.2 Dogovor glede oštevilčenja</w:t>
      </w:r>
      <w:r w:rsidRPr="003F57AB">
        <w:rPr>
          <w:rFonts w:ascii="Times New Roman" w:hAnsi="Times New Roman" w:cs="Times New Roman"/>
          <w:noProof/>
        </w:rPr>
        <w:tab/>
        <w:t>4</w:t>
      </w:r>
    </w:p>
    <w:p w14:paraId="24420166"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 xml:space="preserve">1.3 </w:t>
      </w:r>
      <w:r w:rsidRPr="003F57AB">
        <w:rPr>
          <w:rFonts w:ascii="Times New Roman" w:hAnsi="Times New Roman" w:cs="Times New Roman"/>
          <w:noProof/>
          <w:u w:val="single"/>
        </w:rPr>
        <w:t>Dogovor glede predznaka</w:t>
      </w:r>
      <w:r w:rsidRPr="003F57AB">
        <w:rPr>
          <w:rFonts w:ascii="Times New Roman" w:hAnsi="Times New Roman" w:cs="Times New Roman"/>
          <w:noProof/>
        </w:rPr>
        <w:tab/>
        <w:t>4</w:t>
      </w:r>
    </w:p>
    <w:p w14:paraId="133C6DC4"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1.4 Bonitetna konsolidacija</w:t>
      </w:r>
      <w:r w:rsidRPr="003F57AB">
        <w:rPr>
          <w:rFonts w:ascii="Times New Roman" w:hAnsi="Times New Roman" w:cs="Times New Roman"/>
          <w:noProof/>
        </w:rPr>
        <w:tab/>
        <w:t>4</w:t>
      </w:r>
    </w:p>
    <w:p w14:paraId="104BA52A"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DEL II: NAVODILA V ZVEZI S PREDLOGAMI</w:t>
      </w:r>
      <w:r w:rsidRPr="003F57AB">
        <w:rPr>
          <w:rFonts w:ascii="Times New Roman" w:hAnsi="Times New Roman" w:cs="Times New Roman"/>
          <w:noProof/>
        </w:rPr>
        <w:tab/>
        <w:t>5</w:t>
      </w:r>
    </w:p>
    <w:p w14:paraId="410BEF22"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b/>
          <w:noProof/>
        </w:rPr>
        <w:t>1. KAPITAL: RAVEN, SESTAVA, ZAHTEVE IN IZRAČUN</w:t>
      </w:r>
      <w:r w:rsidRPr="003F57AB">
        <w:rPr>
          <w:rFonts w:ascii="Times New Roman" w:hAnsi="Times New Roman" w:cs="Times New Roman"/>
          <w:noProof/>
        </w:rPr>
        <w:tab/>
        <w:t>5</w:t>
      </w:r>
    </w:p>
    <w:p w14:paraId="01E1D202"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1.1 Splošne opombe</w:t>
      </w:r>
      <w:r w:rsidRPr="003F57AB">
        <w:rPr>
          <w:rFonts w:ascii="Times New Roman" w:hAnsi="Times New Roman" w:cs="Times New Roman"/>
          <w:noProof/>
        </w:rPr>
        <w:tab/>
        <w:t>5</w:t>
      </w:r>
    </w:p>
    <w:p w14:paraId="4F42445B"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1.2 I 01.00 – SESTAVA KAPITALA (I 1)</w:t>
      </w:r>
      <w:r w:rsidRPr="003F57AB">
        <w:rPr>
          <w:rFonts w:ascii="Times New Roman" w:hAnsi="Times New Roman" w:cs="Times New Roman"/>
          <w:noProof/>
        </w:rPr>
        <w:tab/>
        <w:t>5</w:t>
      </w:r>
    </w:p>
    <w:p w14:paraId="3C4548A7"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1.2.1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5</w:t>
      </w:r>
    </w:p>
    <w:p w14:paraId="4901073C"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 xml:space="preserve">1.3 I </w:t>
      </w:r>
      <w:r w:rsidRPr="003F57AB">
        <w:rPr>
          <w:rFonts w:ascii="Times New Roman" w:hAnsi="Times New Roman" w:cs="Times New Roman"/>
          <w:noProof/>
          <w:u w:val="single"/>
        </w:rPr>
        <w:t>02.01 – KAPITALSKE ZAHTEVE (I 2.1)</w:t>
      </w:r>
      <w:r w:rsidRPr="003F57AB">
        <w:rPr>
          <w:rFonts w:ascii="Times New Roman" w:hAnsi="Times New Roman" w:cs="Times New Roman"/>
          <w:noProof/>
        </w:rPr>
        <w:tab/>
        <w:t>12</w:t>
      </w:r>
    </w:p>
    <w:p w14:paraId="477F5719"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1.3.1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12</w:t>
      </w:r>
    </w:p>
    <w:p w14:paraId="7B3D2CCD"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1.4 I 02.02 – KAPITALSKI KOLIČNIKI (I 2.2)</w:t>
      </w:r>
      <w:r w:rsidRPr="003F57AB">
        <w:rPr>
          <w:rFonts w:ascii="Times New Roman" w:hAnsi="Times New Roman" w:cs="Times New Roman"/>
          <w:noProof/>
        </w:rPr>
        <w:tab/>
        <w:t>13</w:t>
      </w:r>
    </w:p>
    <w:p w14:paraId="74ECA2B0"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1.4.1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13</w:t>
      </w:r>
    </w:p>
    <w:p w14:paraId="352A41A2"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1.5 I 03.00 – IZRAČUN ZAHTEV NA PODLAGI STALNIH SPLOŠNIH STROŠKOV (I 3)</w:t>
      </w:r>
      <w:r w:rsidRPr="003F57AB">
        <w:rPr>
          <w:rFonts w:ascii="Times New Roman" w:hAnsi="Times New Roman" w:cs="Times New Roman"/>
          <w:noProof/>
        </w:rPr>
        <w:tab/>
        <w:t>14</w:t>
      </w:r>
    </w:p>
    <w:p w14:paraId="3124BBE5"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1.5.1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w:t>
      </w:r>
      <w:r w:rsidRPr="003F57AB">
        <w:rPr>
          <w:rFonts w:ascii="Times New Roman" w:hAnsi="Times New Roman" w:cs="Times New Roman"/>
          <w:noProof/>
          <w:u w:val="single"/>
        </w:rPr>
        <w:t xml:space="preserve"> posamezne pozicije</w:t>
      </w:r>
      <w:r w:rsidRPr="003F57AB">
        <w:rPr>
          <w:rFonts w:ascii="Times New Roman" w:hAnsi="Times New Roman" w:cs="Times New Roman"/>
          <w:noProof/>
        </w:rPr>
        <w:tab/>
        <w:t>14</w:t>
      </w:r>
    </w:p>
    <w:p w14:paraId="69490413"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1.6 I 04.00 – IZRAČUNI SKUPNE ZAHTEVE ZA FAKTOR K (I 4)</w:t>
      </w:r>
      <w:r w:rsidRPr="003F57AB">
        <w:rPr>
          <w:rFonts w:ascii="Times New Roman" w:hAnsi="Times New Roman" w:cs="Times New Roman"/>
          <w:noProof/>
        </w:rPr>
        <w:tab/>
        <w:t>17</w:t>
      </w:r>
    </w:p>
    <w:p w14:paraId="312E3C79"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1.6.1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17</w:t>
      </w:r>
    </w:p>
    <w:p w14:paraId="55D2B331"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b/>
          <w:noProof/>
        </w:rPr>
        <w:t>2. MALA IN NEPOVEZANA INVESTICIJSKA PODJETJA</w:t>
      </w:r>
      <w:r w:rsidRPr="003F57AB">
        <w:rPr>
          <w:rFonts w:ascii="Times New Roman" w:hAnsi="Times New Roman" w:cs="Times New Roman"/>
          <w:noProof/>
        </w:rPr>
        <w:tab/>
        <w:t>19</w:t>
      </w:r>
    </w:p>
    <w:p w14:paraId="0F313259"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2.1 I 05.00 – STOPNJA DEJAVNOSTI – PREGLED PRAGOV (I 5)</w:t>
      </w:r>
      <w:r w:rsidRPr="003F57AB">
        <w:rPr>
          <w:rFonts w:ascii="Times New Roman" w:hAnsi="Times New Roman" w:cs="Times New Roman"/>
          <w:noProof/>
        </w:rPr>
        <w:tab/>
        <w:t>19</w:t>
      </w:r>
    </w:p>
    <w:p w14:paraId="6D65481C"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2.1.1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w:t>
      </w:r>
      <w:r w:rsidRPr="003F57AB">
        <w:rPr>
          <w:rFonts w:ascii="Times New Roman" w:hAnsi="Times New Roman" w:cs="Times New Roman"/>
          <w:noProof/>
          <w:u w:val="single"/>
        </w:rPr>
        <w:t xml:space="preserve"> pozicije</w:t>
      </w:r>
      <w:r w:rsidRPr="003F57AB">
        <w:rPr>
          <w:rFonts w:ascii="Times New Roman" w:hAnsi="Times New Roman" w:cs="Times New Roman"/>
          <w:noProof/>
        </w:rPr>
        <w:tab/>
        <w:t>19</w:t>
      </w:r>
    </w:p>
    <w:p w14:paraId="618C5AD2"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b/>
          <w:noProof/>
        </w:rPr>
        <w:t>3. ZAHTEVE ZA FAKTOR K – DODATNE PODROBNOSTI</w:t>
      </w:r>
      <w:r w:rsidRPr="003F57AB">
        <w:rPr>
          <w:rFonts w:ascii="Times New Roman" w:hAnsi="Times New Roman" w:cs="Times New Roman"/>
          <w:noProof/>
        </w:rPr>
        <w:tab/>
        <w:t>22</w:t>
      </w:r>
    </w:p>
    <w:p w14:paraId="608525D8"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3.2 I 06.00 – UPRAVLJANA SREDSTVA – DODATNE PODROBNOSTI (I 6.1)</w:t>
      </w:r>
      <w:r w:rsidRPr="003F57AB">
        <w:rPr>
          <w:rFonts w:ascii="Times New Roman" w:hAnsi="Times New Roman" w:cs="Times New Roman"/>
          <w:noProof/>
        </w:rPr>
        <w:tab/>
        <w:t>22</w:t>
      </w:r>
    </w:p>
    <w:p w14:paraId="6F09BD76"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3.2.1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22</w:t>
      </w:r>
    </w:p>
    <w:p w14:paraId="63B64A95"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3.3 I 06.02 – MESEČNA UPRAVLJANA SREDSTVA (I 6.2)</w:t>
      </w:r>
      <w:r w:rsidRPr="003F57AB">
        <w:rPr>
          <w:rFonts w:ascii="Times New Roman" w:hAnsi="Times New Roman" w:cs="Times New Roman"/>
          <w:noProof/>
        </w:rPr>
        <w:tab/>
        <w:t>23</w:t>
      </w:r>
    </w:p>
    <w:p w14:paraId="63581390"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3.3.1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w:t>
      </w:r>
      <w:r w:rsidRPr="003F57AB">
        <w:rPr>
          <w:rFonts w:ascii="Times New Roman" w:hAnsi="Times New Roman" w:cs="Times New Roman"/>
          <w:noProof/>
          <w:u w:val="single"/>
        </w:rPr>
        <w:t>e</w:t>
      </w:r>
      <w:r w:rsidRPr="003F57AB">
        <w:rPr>
          <w:rFonts w:ascii="Times New Roman" w:hAnsi="Times New Roman" w:cs="Times New Roman"/>
          <w:noProof/>
        </w:rPr>
        <w:tab/>
        <w:t>23</w:t>
      </w:r>
    </w:p>
    <w:p w14:paraId="44F3688F"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3.4 I 06.03 – DENAR STRANK, KI SE UPRAVLJA – DODATNE PODROBNOSTI (I 6.3)</w:t>
      </w:r>
      <w:r w:rsidRPr="003F57AB">
        <w:rPr>
          <w:rFonts w:ascii="Times New Roman" w:hAnsi="Times New Roman" w:cs="Times New Roman"/>
          <w:noProof/>
        </w:rPr>
        <w:tab/>
        <w:t>23</w:t>
      </w:r>
    </w:p>
    <w:p w14:paraId="48FF0958"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3.4.1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23</w:t>
      </w:r>
    </w:p>
    <w:p w14:paraId="7B16552C"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3.5 I 06.04 – POVPREČNA SKUPNA DNEVNA VREDNOST DENARJA STRANK, KI SE UPRAVLJA (I 6.4)</w:t>
      </w:r>
      <w:r w:rsidRPr="003F57AB">
        <w:rPr>
          <w:rFonts w:ascii="Times New Roman" w:hAnsi="Times New Roman" w:cs="Times New Roman"/>
          <w:noProof/>
        </w:rPr>
        <w:tab/>
        <w:t>24</w:t>
      </w:r>
    </w:p>
    <w:p w14:paraId="22CE81E1"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lastRenderedPageBreak/>
        <w:t>3.5.1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24</w:t>
      </w:r>
    </w:p>
    <w:p w14:paraId="6759692E"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3.6 I</w:t>
      </w:r>
      <w:r w:rsidRPr="003F57AB">
        <w:rPr>
          <w:rFonts w:ascii="Times New Roman" w:hAnsi="Times New Roman" w:cs="Times New Roman"/>
          <w:noProof/>
          <w:u w:val="single"/>
        </w:rPr>
        <w:t xml:space="preserve"> 06.05 – ZAŠČITENA IN UPRAVLJANA SREDSTVA – DODATNE PODROBNOSTI (I 6.5)</w:t>
      </w:r>
      <w:r w:rsidRPr="003F57AB">
        <w:rPr>
          <w:rFonts w:ascii="Times New Roman" w:hAnsi="Times New Roman" w:cs="Times New Roman"/>
          <w:noProof/>
        </w:rPr>
        <w:tab/>
        <w:t>25</w:t>
      </w:r>
    </w:p>
    <w:p w14:paraId="6C24FEBF"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3.6.1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rPr>
        <w:t>Navodila za posamezne pozicije</w:t>
      </w:r>
      <w:r w:rsidRPr="003F57AB">
        <w:rPr>
          <w:rFonts w:ascii="Times New Roman" w:hAnsi="Times New Roman" w:cs="Times New Roman"/>
          <w:noProof/>
        </w:rPr>
        <w:tab/>
        <w:t>25</w:t>
      </w:r>
    </w:p>
    <w:p w14:paraId="624DDAF3"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3.7 I 06.06 – POVPREČNA SKUPNA DNEVNA VREDNOST ZAŠČITENIH IN UPRAVLJANIH SREDSTEV (I 6.6)</w:t>
      </w:r>
      <w:r w:rsidRPr="003F57AB">
        <w:rPr>
          <w:rFonts w:ascii="Times New Roman" w:hAnsi="Times New Roman" w:cs="Times New Roman"/>
          <w:noProof/>
        </w:rPr>
        <w:tab/>
        <w:t>26</w:t>
      </w:r>
    </w:p>
    <w:p w14:paraId="5FD575F7"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3.7.1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26</w:t>
      </w:r>
    </w:p>
    <w:p w14:paraId="1B1B6ED5"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3.8 I 06</w:t>
      </w:r>
      <w:r w:rsidRPr="003F57AB">
        <w:rPr>
          <w:rFonts w:ascii="Times New Roman" w:hAnsi="Times New Roman" w:cs="Times New Roman"/>
          <w:noProof/>
          <w:u w:val="single"/>
        </w:rPr>
        <w:t>.07 – OBRAVNAVANA NAROČILA STRANK – DODATNE PODROBNOSTI (I 6.7)</w:t>
      </w:r>
      <w:r w:rsidRPr="003F57AB">
        <w:rPr>
          <w:rFonts w:ascii="Times New Roman" w:hAnsi="Times New Roman" w:cs="Times New Roman"/>
          <w:noProof/>
        </w:rPr>
        <w:tab/>
        <w:t>27</w:t>
      </w:r>
    </w:p>
    <w:p w14:paraId="06779CA7"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3.8.1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27</w:t>
      </w:r>
    </w:p>
    <w:p w14:paraId="35C159C8"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3.9 I 06.08 – POVPREČNA SKUPNA DNEVNA VREDNOST OBRAVNAVANIH NAROČIL STRANK (I 6.8)</w:t>
      </w:r>
      <w:r w:rsidRPr="003F57AB">
        <w:rPr>
          <w:rFonts w:ascii="Times New Roman" w:hAnsi="Times New Roman" w:cs="Times New Roman"/>
          <w:noProof/>
        </w:rPr>
        <w:tab/>
        <w:t>28</w:t>
      </w:r>
    </w:p>
    <w:p w14:paraId="559E2073"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3.9.1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28</w:t>
      </w:r>
    </w:p>
    <w:p w14:paraId="2E4FD0F7"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 xml:space="preserve">3.10 I 06.09 – </w:t>
      </w:r>
      <w:r w:rsidRPr="003F57AB">
        <w:rPr>
          <w:rFonts w:ascii="Times New Roman" w:hAnsi="Times New Roman" w:cs="Times New Roman"/>
          <w:noProof/>
          <w:u w:val="single"/>
        </w:rPr>
        <w:t>K-NPR – DODATNE PODROBNOSTI (I 6.9)</w:t>
      </w:r>
      <w:r w:rsidRPr="003F57AB">
        <w:rPr>
          <w:rFonts w:ascii="Times New Roman" w:hAnsi="Times New Roman" w:cs="Times New Roman"/>
          <w:noProof/>
        </w:rPr>
        <w:tab/>
        <w:t>29</w:t>
      </w:r>
    </w:p>
    <w:p w14:paraId="471070DE"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3.10.1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29</w:t>
      </w:r>
    </w:p>
    <w:p w14:paraId="5CC6C605"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3.11 I 06.10 – ZAGOTOVLJENO KLIRINŠKO KRITJE – DODATNE PODROBNOSTI (I 6.10)</w:t>
      </w:r>
      <w:r w:rsidRPr="003F57AB">
        <w:rPr>
          <w:rFonts w:ascii="Times New Roman" w:hAnsi="Times New Roman" w:cs="Times New Roman"/>
          <w:noProof/>
        </w:rPr>
        <w:tab/>
        <w:t>30</w:t>
      </w:r>
    </w:p>
    <w:p w14:paraId="50A791B2"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 xml:space="preserve">3.11.1 </w:t>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31</w:t>
      </w:r>
    </w:p>
    <w:p w14:paraId="478D3860"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3.12 I 06.11 – NEPLAČILO NASPROTNE STRANKE V POSLU – DOD</w:t>
      </w:r>
      <w:r w:rsidRPr="003F57AB">
        <w:rPr>
          <w:rFonts w:ascii="Times New Roman" w:hAnsi="Times New Roman" w:cs="Times New Roman"/>
          <w:noProof/>
          <w:u w:val="single"/>
        </w:rPr>
        <w:t>ATNE PODROBNOSTI O TCD (I 6.11)</w:t>
      </w:r>
      <w:r w:rsidRPr="003F57AB">
        <w:rPr>
          <w:rFonts w:ascii="Times New Roman" w:hAnsi="Times New Roman" w:cs="Times New Roman"/>
          <w:noProof/>
        </w:rPr>
        <w:tab/>
        <w:t>31</w:t>
      </w:r>
    </w:p>
    <w:p w14:paraId="0FB88522"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3.12.1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31</w:t>
      </w:r>
    </w:p>
    <w:p w14:paraId="34D81D0E"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3.13 I 06.12 – DNEVNI TOK TRGOVANJA – DODATNE PODROBNOSTI (I 6.12)</w:t>
      </w:r>
      <w:r w:rsidRPr="003F57AB">
        <w:rPr>
          <w:rFonts w:ascii="Times New Roman" w:hAnsi="Times New Roman" w:cs="Times New Roman"/>
          <w:noProof/>
        </w:rPr>
        <w:tab/>
        <w:t>33</w:t>
      </w:r>
    </w:p>
    <w:p w14:paraId="61DF624C"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 xml:space="preserve">3.13.1 </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rPr>
        <w:t>Navodila za posamezne pozicije</w:t>
      </w:r>
      <w:r w:rsidRPr="003F57AB">
        <w:rPr>
          <w:rFonts w:ascii="Times New Roman" w:hAnsi="Times New Roman" w:cs="Times New Roman"/>
          <w:noProof/>
        </w:rPr>
        <w:tab/>
        <w:t>33</w:t>
      </w:r>
    </w:p>
    <w:p w14:paraId="51CAF100"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3.14 I 06.13 – POVPREČNA VREDNOST SKUPNEGA DNEVNEGA TOKA TRGOVANJA (</w:t>
      </w:r>
      <w:r w:rsidRPr="003F57AB">
        <w:rPr>
          <w:rFonts w:ascii="Times New Roman" w:hAnsi="Times New Roman" w:cs="Times New Roman"/>
          <w:noProof/>
          <w:u w:val="single"/>
        </w:rPr>
        <w:t>I 6.13)</w:t>
      </w:r>
      <w:r w:rsidRPr="003F57AB">
        <w:rPr>
          <w:rFonts w:ascii="Times New Roman" w:hAnsi="Times New Roman" w:cs="Times New Roman"/>
          <w:noProof/>
        </w:rPr>
        <w:tab/>
        <w:t>34</w:t>
      </w:r>
    </w:p>
    <w:p w14:paraId="718C5C59"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3.14.1 Navodila za posamezne pozicije</w:t>
      </w:r>
      <w:r w:rsidRPr="003F57AB">
        <w:rPr>
          <w:rFonts w:ascii="Times New Roman" w:hAnsi="Times New Roman" w:cs="Times New Roman"/>
          <w:noProof/>
        </w:rPr>
        <w:tab/>
        <w:t>34</w:t>
      </w:r>
    </w:p>
    <w:p w14:paraId="30BFA9E2"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b/>
          <w:noProof/>
        </w:rPr>
        <w:t>4. POROČANJE O TVEGANJU KONCENTRACIJE</w:t>
      </w:r>
      <w:r w:rsidRPr="003F57AB">
        <w:rPr>
          <w:rFonts w:ascii="Times New Roman" w:hAnsi="Times New Roman" w:cs="Times New Roman"/>
          <w:noProof/>
        </w:rPr>
        <w:tab/>
        <w:t>34</w:t>
      </w:r>
    </w:p>
    <w:p w14:paraId="43E51E24"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4.1 Splošne opombe</w:t>
      </w:r>
      <w:r w:rsidRPr="003F57AB">
        <w:rPr>
          <w:rFonts w:ascii="Times New Roman" w:hAnsi="Times New Roman" w:cs="Times New Roman"/>
          <w:noProof/>
        </w:rPr>
        <w:tab/>
        <w:t>34</w:t>
      </w:r>
    </w:p>
    <w:p w14:paraId="47C21927"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4.2 I 07.00 – DODATNE PODROBNOSTI O K-CON (I7)</w:t>
      </w:r>
      <w:r w:rsidRPr="003F57AB">
        <w:rPr>
          <w:rFonts w:ascii="Times New Roman" w:hAnsi="Times New Roman" w:cs="Times New Roman"/>
          <w:noProof/>
        </w:rPr>
        <w:tab/>
        <w:t>35</w:t>
      </w:r>
    </w:p>
    <w:p w14:paraId="7C4BD158"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 xml:space="preserve">4.2.1 </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rPr>
        <w:t>Navodila za posamezne pozicije</w:t>
      </w:r>
      <w:r w:rsidRPr="003F57AB">
        <w:rPr>
          <w:rFonts w:ascii="Times New Roman" w:hAnsi="Times New Roman" w:cs="Times New Roman"/>
          <w:noProof/>
        </w:rPr>
        <w:tab/>
        <w:t>35</w:t>
      </w:r>
    </w:p>
    <w:p w14:paraId="03AB178E"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 xml:space="preserve">4.3 I 08.01 – STOPNJA TVEGANJA </w:t>
      </w:r>
      <w:r w:rsidRPr="003F57AB">
        <w:rPr>
          <w:rFonts w:ascii="Times New Roman" w:hAnsi="Times New Roman" w:cs="Times New Roman"/>
          <w:noProof/>
        </w:rPr>
        <w:t>KONCENTRACIJE – DENAR STRANK, KI SE UPRAVLJA (I 8.1)</w:t>
      </w:r>
      <w:r w:rsidRPr="003F57AB">
        <w:rPr>
          <w:rFonts w:ascii="Times New Roman" w:hAnsi="Times New Roman" w:cs="Times New Roman"/>
          <w:noProof/>
        </w:rPr>
        <w:tab/>
        <w:t>36</w:t>
      </w:r>
    </w:p>
    <w:p w14:paraId="55B35C5B"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 xml:space="preserve">4.3.1 </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rPr>
        <w:t>Navodila za posamezne stolpce</w:t>
      </w:r>
      <w:r w:rsidRPr="003F57AB">
        <w:rPr>
          <w:rFonts w:ascii="Times New Roman" w:hAnsi="Times New Roman" w:cs="Times New Roman"/>
          <w:noProof/>
        </w:rPr>
        <w:tab/>
        <w:t>36</w:t>
      </w:r>
    </w:p>
    <w:p w14:paraId="5CEAEA9F"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4.4 I 08.02 – STOPNJA TVEGANJA KONCENTRACIJE – ZAŠČITENA IN UPRAVLJANA SREDSTVA (I 8.2)</w:t>
      </w:r>
      <w:r w:rsidRPr="003F57AB">
        <w:rPr>
          <w:rFonts w:ascii="Times New Roman" w:hAnsi="Times New Roman" w:cs="Times New Roman"/>
          <w:noProof/>
        </w:rPr>
        <w:tab/>
        <w:t>37</w:t>
      </w:r>
    </w:p>
    <w:p w14:paraId="3B37AE41"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 xml:space="preserve">4.4.1 </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rPr>
        <w:t>Navodila za posamezne stolpce</w:t>
      </w:r>
      <w:r w:rsidRPr="003F57AB">
        <w:rPr>
          <w:rFonts w:ascii="Times New Roman" w:hAnsi="Times New Roman" w:cs="Times New Roman"/>
          <w:noProof/>
        </w:rPr>
        <w:tab/>
        <w:t>37</w:t>
      </w:r>
    </w:p>
    <w:p w14:paraId="6224BAF1"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4.5 I 08.03 – STOPNJA TVEGANJ</w:t>
      </w:r>
      <w:r w:rsidRPr="003F57AB">
        <w:rPr>
          <w:rFonts w:ascii="Times New Roman" w:hAnsi="Times New Roman" w:cs="Times New Roman"/>
          <w:noProof/>
        </w:rPr>
        <w:t>A KONCENTRACIJE – SKUPNA DEPONIRANA LASTNA DENARNA SREDSTVA (I 8.3)</w:t>
      </w:r>
      <w:r w:rsidRPr="003F57AB">
        <w:rPr>
          <w:rFonts w:ascii="Times New Roman" w:hAnsi="Times New Roman" w:cs="Times New Roman"/>
          <w:noProof/>
        </w:rPr>
        <w:tab/>
        <w:t>38</w:t>
      </w:r>
    </w:p>
    <w:p w14:paraId="3624ACC2"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 xml:space="preserve">4.5.1 </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rPr>
        <w:t>Navodila za posamezne stolpce</w:t>
      </w:r>
      <w:r w:rsidRPr="003F57AB">
        <w:rPr>
          <w:rFonts w:ascii="Times New Roman" w:hAnsi="Times New Roman" w:cs="Times New Roman"/>
          <w:noProof/>
        </w:rPr>
        <w:tab/>
        <w:t>38</w:t>
      </w:r>
    </w:p>
    <w:p w14:paraId="380455F5"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4.6 I 08.04 – STOPNJA TVEGANJA KONCENTRACIJE – SKUPNI DOBIČEK (I 8.4)</w:t>
      </w:r>
      <w:r w:rsidRPr="003F57AB">
        <w:rPr>
          <w:rFonts w:ascii="Times New Roman" w:hAnsi="Times New Roman" w:cs="Times New Roman"/>
          <w:noProof/>
        </w:rPr>
        <w:tab/>
        <w:t>39</w:t>
      </w:r>
    </w:p>
    <w:p w14:paraId="19627CC9"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 xml:space="preserve">4.6.1 </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rPr>
        <w:t>Navodila za posamezne stolpce</w:t>
      </w:r>
      <w:r w:rsidRPr="003F57AB">
        <w:rPr>
          <w:rFonts w:ascii="Times New Roman" w:hAnsi="Times New Roman" w:cs="Times New Roman"/>
          <w:noProof/>
        </w:rPr>
        <w:tab/>
        <w:t>39</w:t>
      </w:r>
    </w:p>
    <w:p w14:paraId="7259EA42"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lastRenderedPageBreak/>
        <w:t>4.7 I 08.05 – IZPOSTAVLJENOSTI I</w:t>
      </w:r>
      <w:r w:rsidRPr="003F57AB">
        <w:rPr>
          <w:rFonts w:ascii="Times New Roman" w:hAnsi="Times New Roman" w:cs="Times New Roman"/>
          <w:noProof/>
        </w:rPr>
        <w:t>Z TRGOVALNE KNJIGE (I 8.5)</w:t>
      </w:r>
      <w:r w:rsidRPr="003F57AB">
        <w:rPr>
          <w:rFonts w:ascii="Times New Roman" w:hAnsi="Times New Roman" w:cs="Times New Roman"/>
          <w:noProof/>
        </w:rPr>
        <w:tab/>
        <w:t>40</w:t>
      </w:r>
    </w:p>
    <w:p w14:paraId="7E7CCB80"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 xml:space="preserve">4.7.1 </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rPr>
        <w:t>Navodila za posamezne stolpce</w:t>
      </w:r>
      <w:r w:rsidRPr="003F57AB">
        <w:rPr>
          <w:rFonts w:ascii="Times New Roman" w:hAnsi="Times New Roman" w:cs="Times New Roman"/>
          <w:noProof/>
        </w:rPr>
        <w:tab/>
        <w:t>40</w:t>
      </w:r>
    </w:p>
    <w:p w14:paraId="1497F280"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4.8 I 08.06 – POSTAVKE IZ NETRGOVALNE KNJIGE IN ZUNAJBILANČNE POSTAVKE (I 8.6)</w:t>
      </w:r>
      <w:r w:rsidRPr="003F57AB">
        <w:rPr>
          <w:rFonts w:ascii="Times New Roman" w:hAnsi="Times New Roman" w:cs="Times New Roman"/>
          <w:noProof/>
        </w:rPr>
        <w:tab/>
        <w:t>40</w:t>
      </w:r>
    </w:p>
    <w:p w14:paraId="243EDBDD"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 xml:space="preserve">4.8.1 </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rPr>
        <w:t>Navodila za posamezne stolpce</w:t>
      </w:r>
      <w:r w:rsidRPr="003F57AB">
        <w:rPr>
          <w:rFonts w:ascii="Times New Roman" w:hAnsi="Times New Roman" w:cs="Times New Roman"/>
          <w:noProof/>
        </w:rPr>
        <w:tab/>
        <w:t>40</w:t>
      </w:r>
    </w:p>
    <w:p w14:paraId="1A856C14"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b/>
          <w:noProof/>
        </w:rPr>
        <w:t>5. LIKVIDNOSTNE ZAHTEVE</w:t>
      </w:r>
      <w:r w:rsidRPr="003F57AB">
        <w:rPr>
          <w:rFonts w:ascii="Times New Roman" w:hAnsi="Times New Roman" w:cs="Times New Roman"/>
          <w:noProof/>
        </w:rPr>
        <w:tab/>
        <w:t>41</w:t>
      </w:r>
    </w:p>
    <w:p w14:paraId="0B8FF6FD" w14:textId="77777777" w:rsidR="00AE753A" w:rsidRPr="003F57AB" w:rsidRDefault="003F57AB">
      <w:pPr>
        <w:pStyle w:val="TOC2"/>
        <w:tabs>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u w:val="single"/>
        </w:rPr>
        <w:t xml:space="preserve">5.1 I 09.00 – </w:t>
      </w:r>
      <w:r w:rsidRPr="003F57AB">
        <w:rPr>
          <w:rFonts w:ascii="Times New Roman" w:hAnsi="Times New Roman" w:cs="Times New Roman"/>
          <w:noProof/>
          <w:u w:val="single"/>
        </w:rPr>
        <w:t>LIKVIDNOSTNE ZAHTEVE (I 9)</w:t>
      </w:r>
      <w:r w:rsidRPr="003F57AB">
        <w:rPr>
          <w:rFonts w:ascii="Times New Roman" w:hAnsi="Times New Roman" w:cs="Times New Roman"/>
          <w:noProof/>
        </w:rPr>
        <w:tab/>
        <w:t>41</w:t>
      </w:r>
    </w:p>
    <w:p w14:paraId="2D02F279" w14:textId="77777777" w:rsidR="00AE753A" w:rsidRPr="003F57AB" w:rsidRDefault="003F57AB">
      <w:pPr>
        <w:pStyle w:val="TOC2"/>
        <w:tabs>
          <w:tab w:val="left" w:pos="1100"/>
          <w:tab w:val="right" w:leader="dot" w:pos="9016"/>
        </w:tabs>
        <w:rPr>
          <w:rFonts w:ascii="Times New Roman" w:eastAsiaTheme="minorEastAsia" w:hAnsi="Times New Roman" w:cs="Times New Roman"/>
          <w:noProof/>
          <w:lang w:val="en-GB" w:eastAsia="en-GB"/>
        </w:rPr>
      </w:pPr>
      <w:r w:rsidRPr="003F57AB">
        <w:rPr>
          <w:rFonts w:ascii="Times New Roman" w:hAnsi="Times New Roman" w:cs="Times New Roman"/>
          <w:noProof/>
        </w:rPr>
        <w:t>5.1.1</w:t>
      </w:r>
      <w:r w:rsidRPr="003F57AB">
        <w:rPr>
          <w:rFonts w:ascii="Times New Roman" w:eastAsiaTheme="minorEastAsia" w:hAnsi="Times New Roman" w:cs="Times New Roman"/>
          <w:noProof/>
          <w:lang w:val="en-GB" w:eastAsia="en-GB"/>
        </w:rPr>
        <w:tab/>
      </w:r>
      <w:r w:rsidRPr="003F57AB">
        <w:rPr>
          <w:rFonts w:ascii="Times New Roman" w:hAnsi="Times New Roman" w:cs="Times New Roman"/>
          <w:noProof/>
          <w:u w:val="single"/>
        </w:rPr>
        <w:t>Navodila za posamezne pozicije</w:t>
      </w:r>
      <w:r w:rsidRPr="003F57AB">
        <w:rPr>
          <w:rFonts w:ascii="Times New Roman" w:hAnsi="Times New Roman" w:cs="Times New Roman"/>
          <w:noProof/>
        </w:rPr>
        <w:tab/>
        <w:t>41</w:t>
      </w:r>
      <w:bookmarkStart w:id="6" w:name="_Toc360188322"/>
      <w:bookmarkStart w:id="7" w:name="_Toc473560870"/>
      <w:bookmarkStart w:id="8" w:name="_Toc7084155"/>
    </w:p>
    <w:p w14:paraId="651CC606" w14:textId="77777777" w:rsidR="00AE753A" w:rsidRPr="003F57AB" w:rsidRDefault="00AE753A">
      <w:pPr>
        <w:rPr>
          <w:rFonts w:ascii="Times New Roman" w:hAnsi="Times New Roman" w:cs="Times New Roman"/>
          <w:lang w:val="en-IE"/>
        </w:rPr>
      </w:pPr>
    </w:p>
    <w:p w14:paraId="1BE5CB9E" w14:textId="77777777" w:rsidR="00AE753A" w:rsidRPr="003F57AB" w:rsidRDefault="00AE753A">
      <w:pPr>
        <w:rPr>
          <w:rFonts w:ascii="Times New Roman" w:hAnsi="Times New Roman" w:cs="Times New Roman"/>
          <w:lang w:val="en-IE"/>
        </w:rPr>
      </w:pPr>
    </w:p>
    <w:p w14:paraId="59C13467" w14:textId="77777777" w:rsidR="00AE753A" w:rsidRPr="003F57AB" w:rsidRDefault="00AE753A">
      <w:pPr>
        <w:rPr>
          <w:rFonts w:ascii="Times New Roman" w:hAnsi="Times New Roman" w:cs="Times New Roman"/>
          <w:lang w:val="en-IE"/>
        </w:rPr>
      </w:pPr>
    </w:p>
    <w:p w14:paraId="6404429C" w14:textId="77777777" w:rsidR="00AE753A" w:rsidRPr="003F57AB" w:rsidRDefault="003F57AB">
      <w:pPr>
        <w:pStyle w:val="Heading2"/>
        <w:rPr>
          <w:rFonts w:ascii="Times New Roman" w:hAnsi="Times New Roman"/>
        </w:rPr>
      </w:pPr>
      <w:bookmarkStart w:id="9" w:name="_Toc35795004"/>
      <w:bookmarkStart w:id="10" w:name="_Toc87975462"/>
      <w:r w:rsidRPr="003F57AB">
        <w:rPr>
          <w:rFonts w:ascii="Times New Roman" w:hAnsi="Times New Roman"/>
        </w:rPr>
        <w:t>DEL I: SPLOŠNA NAVODILA</w:t>
      </w:r>
      <w:bookmarkEnd w:id="9"/>
      <w:bookmarkEnd w:id="10"/>
    </w:p>
    <w:p w14:paraId="127C49CB" w14:textId="77777777" w:rsidR="00AE753A" w:rsidRPr="003F57AB" w:rsidRDefault="003F57AB">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7975463"/>
      <w:r w:rsidRPr="003F57AB">
        <w:rPr>
          <w:rFonts w:ascii="Times New Roman" w:hAnsi="Times New Roman" w:cs="Times New Roman"/>
          <w:sz w:val="24"/>
          <w:szCs w:val="24"/>
        </w:rPr>
        <w:t>1. Struktura in dogovori</w:t>
      </w:r>
      <w:bookmarkEnd w:id="11"/>
      <w:bookmarkEnd w:id="12"/>
    </w:p>
    <w:p w14:paraId="4527B288" w14:textId="77777777" w:rsidR="00AE753A" w:rsidRPr="003F57AB" w:rsidRDefault="003F57AB">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7975464"/>
      <w:r w:rsidRPr="003F57AB">
        <w:rPr>
          <w:rFonts w:ascii="Times New Roman" w:hAnsi="Times New Roman" w:cs="Times New Roman"/>
          <w:sz w:val="24"/>
          <w:szCs w:val="24"/>
          <w:u w:val="single"/>
        </w:rPr>
        <w:t>1.1 Struktura</w:t>
      </w:r>
      <w:bookmarkEnd w:id="13"/>
      <w:bookmarkEnd w:id="14"/>
    </w:p>
    <w:p w14:paraId="1EF8F7AE" w14:textId="77777777" w:rsidR="00AE753A" w:rsidRPr="003F57AB" w:rsidRDefault="003F57AB">
      <w:pPr>
        <w:spacing w:line="256" w:lineRule="auto"/>
        <w:ind w:left="284" w:hanging="284"/>
        <w:jc w:val="both"/>
        <w:rPr>
          <w:rFonts w:ascii="Times New Roman" w:hAnsi="Times New Roman" w:cs="Times New Roman"/>
        </w:rPr>
      </w:pPr>
      <w:r w:rsidRPr="003F57AB">
        <w:rPr>
          <w:rFonts w:ascii="Times New Roman" w:hAnsi="Times New Roman" w:cs="Times New Roman"/>
        </w:rPr>
        <w:t>1.</w:t>
      </w:r>
      <w:r w:rsidRPr="003F57AB">
        <w:rPr>
          <w:rFonts w:ascii="Times New Roman" w:hAnsi="Times New Roman" w:cs="Times New Roman"/>
        </w:rPr>
        <w:tab/>
        <w:t>Okvir zajema skupaj naslednje sklope informacij:</w:t>
      </w:r>
    </w:p>
    <w:p w14:paraId="504293BE" w14:textId="77777777" w:rsidR="00AE753A" w:rsidRPr="003F57AB" w:rsidRDefault="003F57AB">
      <w:pPr>
        <w:spacing w:line="256" w:lineRule="auto"/>
        <w:ind w:left="1728" w:hanging="648"/>
        <w:jc w:val="both"/>
        <w:rPr>
          <w:rFonts w:ascii="Times New Roman" w:hAnsi="Times New Roman" w:cs="Times New Roman"/>
        </w:rPr>
      </w:pPr>
      <w:r w:rsidRPr="003F57AB">
        <w:rPr>
          <w:rFonts w:ascii="Times New Roman" w:hAnsi="Times New Roman" w:cs="Times New Roman"/>
        </w:rPr>
        <w:t>(a)</w:t>
      </w:r>
      <w:r w:rsidRPr="003F57AB">
        <w:rPr>
          <w:rFonts w:ascii="Times New Roman" w:hAnsi="Times New Roman" w:cs="Times New Roman"/>
        </w:rPr>
        <w:tab/>
        <w:t>kapital;</w:t>
      </w:r>
    </w:p>
    <w:p w14:paraId="252ACF72" w14:textId="77777777" w:rsidR="00AE753A" w:rsidRPr="003F57AB" w:rsidRDefault="003F57AB">
      <w:pPr>
        <w:spacing w:line="256" w:lineRule="auto"/>
        <w:ind w:left="1728" w:hanging="648"/>
        <w:jc w:val="both"/>
        <w:rPr>
          <w:rFonts w:ascii="Times New Roman" w:hAnsi="Times New Roman" w:cs="Times New Roman"/>
        </w:rPr>
      </w:pPr>
      <w:r w:rsidRPr="003F57AB">
        <w:rPr>
          <w:rFonts w:ascii="Times New Roman" w:hAnsi="Times New Roman" w:cs="Times New Roman"/>
        </w:rPr>
        <w:t>(b)</w:t>
      </w:r>
      <w:r w:rsidRPr="003F57AB">
        <w:rPr>
          <w:rFonts w:ascii="Times New Roman" w:hAnsi="Times New Roman" w:cs="Times New Roman"/>
        </w:rPr>
        <w:tab/>
        <w:t>izračun kapitalskih zahtev;</w:t>
      </w:r>
    </w:p>
    <w:p w14:paraId="7664FFB5" w14:textId="77777777" w:rsidR="00AE753A" w:rsidRPr="003F57AB" w:rsidRDefault="003F57AB">
      <w:pPr>
        <w:spacing w:line="256" w:lineRule="auto"/>
        <w:ind w:left="1728" w:hanging="648"/>
        <w:jc w:val="both"/>
        <w:rPr>
          <w:rFonts w:ascii="Times New Roman" w:hAnsi="Times New Roman" w:cs="Times New Roman"/>
        </w:rPr>
      </w:pPr>
      <w:r w:rsidRPr="003F57AB">
        <w:rPr>
          <w:rFonts w:ascii="Times New Roman" w:hAnsi="Times New Roman" w:cs="Times New Roman"/>
        </w:rPr>
        <w:t>(c)</w:t>
      </w:r>
      <w:r w:rsidRPr="003F57AB">
        <w:rPr>
          <w:rFonts w:ascii="Times New Roman" w:hAnsi="Times New Roman" w:cs="Times New Roman"/>
        </w:rPr>
        <w:tab/>
        <w:t xml:space="preserve">izračun </w:t>
      </w:r>
      <w:r w:rsidRPr="003F57AB">
        <w:rPr>
          <w:rFonts w:ascii="Times New Roman" w:hAnsi="Times New Roman" w:cs="Times New Roman"/>
        </w:rPr>
        <w:t>zahtev na podlagi stalnih splošnih stroškov;</w:t>
      </w:r>
    </w:p>
    <w:p w14:paraId="1BB2C4E8" w14:textId="77777777" w:rsidR="00AE753A" w:rsidRPr="003F57AB" w:rsidRDefault="003F57AB">
      <w:pPr>
        <w:spacing w:line="256" w:lineRule="auto"/>
        <w:ind w:left="1728" w:hanging="648"/>
        <w:jc w:val="both"/>
        <w:rPr>
          <w:rFonts w:ascii="Times New Roman" w:hAnsi="Times New Roman" w:cs="Times New Roman"/>
        </w:rPr>
      </w:pPr>
      <w:r w:rsidRPr="003F57AB">
        <w:rPr>
          <w:rFonts w:ascii="Times New Roman" w:hAnsi="Times New Roman" w:cs="Times New Roman"/>
        </w:rPr>
        <w:t>(d)</w:t>
      </w:r>
      <w:r w:rsidRPr="003F57AB">
        <w:rPr>
          <w:rFonts w:ascii="Times New Roman" w:hAnsi="Times New Roman" w:cs="Times New Roman"/>
        </w:rPr>
        <w:tab/>
        <w:t>stopnja dejavnosti v zvezi s pogoji iz člena 12(1) Uredbe (EU) 2019/2033;</w:t>
      </w:r>
    </w:p>
    <w:p w14:paraId="3438BF64" w14:textId="77777777" w:rsidR="00AE753A" w:rsidRPr="003F57AB" w:rsidRDefault="003F57AB">
      <w:pPr>
        <w:spacing w:line="256" w:lineRule="auto"/>
        <w:ind w:left="1728" w:hanging="648"/>
        <w:jc w:val="both"/>
        <w:rPr>
          <w:rFonts w:ascii="Times New Roman" w:hAnsi="Times New Roman" w:cs="Times New Roman"/>
        </w:rPr>
      </w:pPr>
      <w:r w:rsidRPr="003F57AB">
        <w:rPr>
          <w:rFonts w:ascii="Times New Roman" w:hAnsi="Times New Roman" w:cs="Times New Roman"/>
        </w:rPr>
        <w:t>(e)</w:t>
      </w:r>
      <w:r w:rsidRPr="003F57AB">
        <w:rPr>
          <w:rFonts w:ascii="Times New Roman" w:hAnsi="Times New Roman" w:cs="Times New Roman"/>
        </w:rPr>
        <w:tab/>
        <w:t>izračun zahtev za faktor K;</w:t>
      </w:r>
    </w:p>
    <w:p w14:paraId="00132145" w14:textId="77777777" w:rsidR="00AE753A" w:rsidRPr="003F57AB" w:rsidRDefault="003F57AB">
      <w:pPr>
        <w:spacing w:line="256" w:lineRule="auto"/>
        <w:ind w:left="1728" w:hanging="648"/>
        <w:jc w:val="both"/>
        <w:rPr>
          <w:rFonts w:ascii="Times New Roman" w:hAnsi="Times New Roman" w:cs="Times New Roman"/>
        </w:rPr>
      </w:pPr>
      <w:r w:rsidRPr="003F57AB">
        <w:rPr>
          <w:rFonts w:ascii="Times New Roman" w:hAnsi="Times New Roman" w:cs="Times New Roman"/>
        </w:rPr>
        <w:t>(f)</w:t>
      </w:r>
      <w:r w:rsidRPr="003F57AB">
        <w:rPr>
          <w:rFonts w:ascii="Times New Roman" w:hAnsi="Times New Roman" w:cs="Times New Roman"/>
        </w:rPr>
        <w:tab/>
        <w:t>zahteve za tveganje koncentracije;</w:t>
      </w:r>
    </w:p>
    <w:p w14:paraId="78F0018B" w14:textId="77777777" w:rsidR="00AE753A" w:rsidRPr="003F57AB" w:rsidRDefault="003F57AB">
      <w:pPr>
        <w:spacing w:line="256" w:lineRule="auto"/>
        <w:ind w:left="1728" w:hanging="648"/>
        <w:jc w:val="both"/>
        <w:rPr>
          <w:rFonts w:ascii="Times New Roman" w:hAnsi="Times New Roman" w:cs="Times New Roman"/>
        </w:rPr>
      </w:pPr>
      <w:r w:rsidRPr="003F57AB">
        <w:rPr>
          <w:rFonts w:ascii="Times New Roman" w:hAnsi="Times New Roman" w:cs="Times New Roman"/>
        </w:rPr>
        <w:t>(g)</w:t>
      </w:r>
      <w:r w:rsidRPr="003F57AB">
        <w:rPr>
          <w:rFonts w:ascii="Times New Roman" w:hAnsi="Times New Roman" w:cs="Times New Roman"/>
        </w:rPr>
        <w:tab/>
        <w:t>likvidnostne zahteve.</w:t>
      </w:r>
    </w:p>
    <w:p w14:paraId="2A783B84" w14:textId="77777777" w:rsidR="00AE753A" w:rsidRPr="003F57AB" w:rsidRDefault="003F57AB">
      <w:pPr>
        <w:pStyle w:val="InstructionsText2"/>
        <w:numPr>
          <w:ilvl w:val="0"/>
          <w:numId w:val="0"/>
        </w:numPr>
        <w:ind w:left="360" w:hanging="360"/>
      </w:pPr>
      <w:r w:rsidRPr="003F57AB">
        <w:t>2.</w:t>
      </w:r>
      <w:r w:rsidRPr="003F57AB">
        <w:tab/>
        <w:t>Za vsako predlogo so navedeni skl</w:t>
      </w:r>
      <w:r w:rsidRPr="003F57AB">
        <w:t>ici na pravno podlago. Ta del te uredbe vsebuje dodatne podrobne informacije glede splošnejših vidikov poročanja v zvezi s posameznim sklopom predlog, navodila glede posebnih pozicij in validacijska pravila.</w:t>
      </w:r>
    </w:p>
    <w:p w14:paraId="61900E8B" w14:textId="77777777" w:rsidR="00AE753A" w:rsidRPr="003F57AB" w:rsidRDefault="003F57AB">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7975465"/>
      <w:r w:rsidRPr="003F57AB">
        <w:rPr>
          <w:rFonts w:ascii="Times New Roman" w:hAnsi="Times New Roman" w:cs="Times New Roman"/>
          <w:sz w:val="24"/>
          <w:szCs w:val="24"/>
          <w:u w:val="single"/>
        </w:rPr>
        <w:t>1.2 Dogovor glede oštevilčenja</w:t>
      </w:r>
      <w:bookmarkEnd w:id="15"/>
      <w:bookmarkEnd w:id="16"/>
    </w:p>
    <w:p w14:paraId="6E8AD14C" w14:textId="77777777" w:rsidR="00AE753A" w:rsidRPr="003F57AB" w:rsidRDefault="003F57AB">
      <w:pPr>
        <w:pStyle w:val="InstructionsText2"/>
        <w:numPr>
          <w:ilvl w:val="0"/>
          <w:numId w:val="0"/>
        </w:numPr>
        <w:ind w:left="360" w:hanging="360"/>
      </w:pPr>
      <w:r w:rsidRPr="003F57AB">
        <w:t>3.</w:t>
      </w:r>
      <w:r w:rsidRPr="003F57AB">
        <w:tab/>
        <w:t>Pri sklicevanj</w:t>
      </w:r>
      <w:r w:rsidRPr="003F57AB">
        <w:t>u na stolpce, vrstice in celice predlog se v dokumentu upošteva dogovor glede označevanja iz točk 4 do 7. Te številčne kode se obsežno uporabljajo v validacijskih pravilih.</w:t>
      </w:r>
    </w:p>
    <w:p w14:paraId="5E8C328A" w14:textId="77777777" w:rsidR="00AE753A" w:rsidRPr="003F57AB" w:rsidRDefault="003F57AB">
      <w:pPr>
        <w:pStyle w:val="InstructionsText2"/>
        <w:numPr>
          <w:ilvl w:val="0"/>
          <w:numId w:val="0"/>
        </w:numPr>
        <w:ind w:left="360" w:hanging="360"/>
      </w:pPr>
      <w:r w:rsidRPr="003F57AB">
        <w:t>4.</w:t>
      </w:r>
      <w:r w:rsidRPr="003F57AB">
        <w:tab/>
        <w:t>V navodilih se uporablja naslednji splošen zapis: {predloga; vrstica; stolpec}.</w:t>
      </w:r>
    </w:p>
    <w:p w14:paraId="437BC18F" w14:textId="77777777" w:rsidR="00AE753A" w:rsidRPr="003F57AB" w:rsidRDefault="003F57AB">
      <w:pPr>
        <w:pStyle w:val="InstructionsText2"/>
        <w:numPr>
          <w:ilvl w:val="0"/>
          <w:numId w:val="0"/>
        </w:numPr>
        <w:ind w:left="360" w:hanging="360"/>
      </w:pPr>
      <w:r w:rsidRPr="003F57AB">
        <w:t>5.</w:t>
      </w:r>
      <w:r w:rsidRPr="003F57AB">
        <w:tab/>
        <w:t>V primeru validacije znotraj predloge, pri kateri se uporabijo samo podatkovne točke zadevne predloge, v zapisih predloga ni navedena: {vrstica; stolpec}.</w:t>
      </w:r>
    </w:p>
    <w:p w14:paraId="7DBD543A" w14:textId="77777777" w:rsidR="00AE753A" w:rsidRPr="003F57AB" w:rsidRDefault="003F57AB">
      <w:pPr>
        <w:pStyle w:val="InstructionsText2"/>
        <w:numPr>
          <w:ilvl w:val="0"/>
          <w:numId w:val="0"/>
        </w:numPr>
        <w:ind w:left="360" w:hanging="360"/>
      </w:pPr>
      <w:r w:rsidRPr="003F57AB">
        <w:t>6.</w:t>
      </w:r>
      <w:r w:rsidRPr="003F57AB">
        <w:tab/>
        <w:t>V primeru predlog, ki imajo samo en stolpec, so navedene samo vrstice: {predloga; vrstica}</w:t>
      </w:r>
    </w:p>
    <w:p w14:paraId="635527A2" w14:textId="77777777" w:rsidR="00AE753A" w:rsidRPr="003F57AB" w:rsidRDefault="003F57AB">
      <w:pPr>
        <w:pStyle w:val="InstructionsText2"/>
        <w:numPr>
          <w:ilvl w:val="0"/>
          <w:numId w:val="0"/>
        </w:numPr>
        <w:ind w:left="360" w:hanging="360"/>
      </w:pPr>
      <w:r w:rsidRPr="003F57AB">
        <w:lastRenderedPageBreak/>
        <w:t>7.</w:t>
      </w:r>
      <w:r w:rsidRPr="003F57AB">
        <w:tab/>
        <w:t>Č</w:t>
      </w:r>
      <w:r w:rsidRPr="003F57AB">
        <w:t>e je validacija opravljena za predhodno navedene vrstice ali stolpce, se to označi z zvezdico.</w:t>
      </w:r>
    </w:p>
    <w:p w14:paraId="54DE67B6" w14:textId="77777777" w:rsidR="00AE753A" w:rsidRPr="003F57AB" w:rsidRDefault="003F57AB">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7975466"/>
      <w:r w:rsidRPr="003F57AB">
        <w:rPr>
          <w:rFonts w:ascii="Times New Roman" w:hAnsi="Times New Roman" w:cs="Times New Roman"/>
          <w:sz w:val="24"/>
          <w:szCs w:val="24"/>
          <w:u w:val="single"/>
        </w:rPr>
        <w:t>1.3 Dogovor glede predznaka</w:t>
      </w:r>
      <w:bookmarkEnd w:id="17"/>
      <w:bookmarkEnd w:id="18"/>
    </w:p>
    <w:p w14:paraId="733DA69A" w14:textId="77777777" w:rsidR="00AE753A" w:rsidRPr="003F57AB" w:rsidRDefault="003F57AB">
      <w:pPr>
        <w:pStyle w:val="InstructionsText2"/>
        <w:numPr>
          <w:ilvl w:val="0"/>
          <w:numId w:val="0"/>
        </w:numPr>
        <w:ind w:left="360" w:hanging="360"/>
      </w:pPr>
      <w:r w:rsidRPr="003F57AB">
        <w:t>8.</w:t>
      </w:r>
      <w:r w:rsidRPr="003F57AB">
        <w:tab/>
        <w:t>Vsak znesek, ki povečuje kapital ali kapitalske zahteve ali likvidnostne zahteve, se poroča kot pozitivna vrednost. Na drugi stran</w:t>
      </w:r>
      <w:r w:rsidRPr="003F57AB">
        <w:t>i se vsak znesek, ki zmanjšuje skupni kapital ali skupne kapitalske zahteve, poroča kot negativna vrednost. Če je pred postavko negativen predznak (–), se za zadevno postavko ne poroča nobena pozitivna vrednost.</w:t>
      </w:r>
    </w:p>
    <w:p w14:paraId="1F2D5AF5" w14:textId="77777777" w:rsidR="00AE753A" w:rsidRPr="003F57AB" w:rsidRDefault="003F57AB">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7975467"/>
      <w:r w:rsidRPr="003F57AB">
        <w:rPr>
          <w:rFonts w:ascii="Times New Roman" w:hAnsi="Times New Roman" w:cs="Times New Roman"/>
          <w:sz w:val="24"/>
          <w:szCs w:val="24"/>
          <w:u w:val="single"/>
        </w:rPr>
        <w:t>1.4 Bonitetna konsolidacija</w:t>
      </w:r>
      <w:bookmarkEnd w:id="19"/>
      <w:bookmarkEnd w:id="20"/>
    </w:p>
    <w:p w14:paraId="2A0729F8" w14:textId="77777777" w:rsidR="00AE753A" w:rsidRPr="003F57AB" w:rsidRDefault="003F57AB">
      <w:pPr>
        <w:spacing w:line="256" w:lineRule="auto"/>
        <w:ind w:left="360" w:hanging="360"/>
        <w:jc w:val="both"/>
        <w:rPr>
          <w:rFonts w:ascii="Times New Roman" w:hAnsi="Times New Roman" w:cs="Times New Roman"/>
          <w:sz w:val="24"/>
        </w:rPr>
      </w:pPr>
      <w:r w:rsidRPr="003F57AB">
        <w:rPr>
          <w:rFonts w:ascii="Times New Roman" w:hAnsi="Times New Roman" w:cs="Times New Roman"/>
          <w:sz w:val="24"/>
        </w:rPr>
        <w:t>9.</w:t>
      </w:r>
      <w:r w:rsidRPr="003F57AB">
        <w:rPr>
          <w:rFonts w:ascii="Times New Roman" w:hAnsi="Times New Roman" w:cs="Times New Roman"/>
          <w:sz w:val="24"/>
        </w:rPr>
        <w:tab/>
        <w:t>Razen če je b</w:t>
      </w:r>
      <w:r w:rsidRPr="003F57AB">
        <w:rPr>
          <w:rFonts w:ascii="Times New Roman" w:hAnsi="Times New Roman" w:cs="Times New Roman"/>
          <w:sz w:val="24"/>
        </w:rPr>
        <w:t>ilo odobreno izvzetje, se Uredba (EU) 2019/2033 in Direktiva (EU) 2019/2034 uporabljata za investicijska podjetja na posamični in konsolidirani podlagi, kar vključuje zahteve glede poročanja iz dela 7 Uredbe (EU) 2019/2033. V členu 4(1), točka 11, Uredbe (</w:t>
      </w:r>
      <w:r w:rsidRPr="003F57AB">
        <w:rPr>
          <w:rFonts w:ascii="Times New Roman" w:hAnsi="Times New Roman" w:cs="Times New Roman"/>
          <w:sz w:val="24"/>
        </w:rPr>
        <w:t>EU) 2019/2033 je konsolidirani položaj opredeljen kot položaj, ki nastane, ker se zahteve iz Uredbe (EU) 2019/2033 uporabljajo za skupino investicijskih podjetij, kot če bi podjetja skupine skupaj tvorila eno samo investicijsko podjetje. Skupine investicij</w:t>
      </w:r>
      <w:r w:rsidRPr="003F57AB">
        <w:rPr>
          <w:rFonts w:ascii="Times New Roman" w:hAnsi="Times New Roman" w:cs="Times New Roman"/>
          <w:sz w:val="24"/>
        </w:rPr>
        <w:t>skih podjetij z uporabo člena 7 Uredbe (EU) 2019/2033 izpolnijo zahteve glede poročanja v vseh predlogah na podlagi njihovega obsega bonitetne konsolidacije (ki se lahko razlikuje od njihovega obsega konsolidacije za računovodske namene).</w:t>
      </w:r>
    </w:p>
    <w:p w14:paraId="6FE1D513" w14:textId="77777777" w:rsidR="00AE753A" w:rsidRPr="003F57AB" w:rsidRDefault="003F57AB">
      <w:pPr>
        <w:pStyle w:val="Heading2"/>
        <w:rPr>
          <w:rFonts w:ascii="Times New Roman" w:hAnsi="Times New Roman"/>
        </w:rPr>
      </w:pPr>
      <w:bookmarkStart w:id="21" w:name="_Toc87975468"/>
      <w:r w:rsidRPr="003F57AB">
        <w:rPr>
          <w:rFonts w:ascii="Times New Roman" w:hAnsi="Times New Roman"/>
        </w:rPr>
        <w:t xml:space="preserve">DEL II: NAVODILA </w:t>
      </w:r>
      <w:r w:rsidRPr="003F57AB">
        <w:rPr>
          <w:rFonts w:ascii="Times New Roman" w:hAnsi="Times New Roman"/>
        </w:rPr>
        <w:t>V ZVEZI S PREDLOGAMI</w:t>
      </w:r>
      <w:bookmarkEnd w:id="6"/>
      <w:bookmarkEnd w:id="7"/>
      <w:bookmarkEnd w:id="8"/>
      <w:bookmarkEnd w:id="21"/>
    </w:p>
    <w:p w14:paraId="45B82CC4" w14:textId="77777777" w:rsidR="00AE753A" w:rsidRPr="003F57AB" w:rsidRDefault="003F57AB">
      <w:pPr>
        <w:pStyle w:val="Instructionsberschrift2"/>
        <w:ind w:left="357" w:hanging="357"/>
        <w:rPr>
          <w:rFonts w:ascii="Times New Roman" w:hAnsi="Times New Roman" w:cs="Times New Roman"/>
          <w:b/>
          <w:sz w:val="24"/>
        </w:rPr>
      </w:pPr>
      <w:bookmarkStart w:id="22" w:name="_Toc35795012"/>
      <w:bookmarkStart w:id="23" w:name="_Toc87975469"/>
      <w:r w:rsidRPr="003F57AB">
        <w:rPr>
          <w:rFonts w:ascii="Times New Roman" w:hAnsi="Times New Roman" w:cs="Times New Roman"/>
          <w:b/>
          <w:sz w:val="24"/>
          <w:u w:val="none"/>
        </w:rPr>
        <w:t>1. KAPITAL: RAVEN, SESTAVA, ZAHTEVE IN IZRAČUN</w:t>
      </w:r>
      <w:bookmarkEnd w:id="22"/>
      <w:bookmarkEnd w:id="23"/>
    </w:p>
    <w:p w14:paraId="459A4693" w14:textId="77777777" w:rsidR="00AE753A" w:rsidRPr="003F57AB" w:rsidRDefault="003F57AB">
      <w:pPr>
        <w:pStyle w:val="Instructionsberschrift2"/>
        <w:ind w:left="357" w:hanging="357"/>
        <w:rPr>
          <w:rFonts w:ascii="Times New Roman" w:hAnsi="Times New Roman" w:cs="Times New Roman"/>
          <w:sz w:val="24"/>
        </w:rPr>
      </w:pPr>
      <w:bookmarkStart w:id="24" w:name="_Toc35795013"/>
      <w:bookmarkStart w:id="25" w:name="_Toc87975470"/>
      <w:r w:rsidRPr="003F57AB">
        <w:rPr>
          <w:rFonts w:ascii="Times New Roman" w:hAnsi="Times New Roman" w:cs="Times New Roman"/>
          <w:sz w:val="24"/>
          <w:u w:val="none"/>
        </w:rPr>
        <w:t>1.1 Splošne opombe</w:t>
      </w:r>
      <w:bookmarkEnd w:id="24"/>
      <w:bookmarkEnd w:id="25"/>
    </w:p>
    <w:p w14:paraId="4A925A68" w14:textId="77777777" w:rsidR="00AE753A" w:rsidRPr="003F57AB" w:rsidRDefault="003F57AB">
      <w:pPr>
        <w:spacing w:line="256" w:lineRule="auto"/>
        <w:ind w:left="993" w:hanging="567"/>
        <w:jc w:val="both"/>
        <w:rPr>
          <w:rFonts w:ascii="Times New Roman" w:hAnsi="Times New Roman" w:cs="Times New Roman"/>
          <w:sz w:val="24"/>
        </w:rPr>
      </w:pPr>
      <w:r w:rsidRPr="003F57AB">
        <w:rPr>
          <w:rFonts w:ascii="Times New Roman" w:hAnsi="Times New Roman" w:cs="Times New Roman"/>
          <w:sz w:val="24"/>
        </w:rPr>
        <w:t>10.</w:t>
      </w:r>
      <w:r w:rsidRPr="003F57AB">
        <w:rPr>
          <w:rFonts w:ascii="Times New Roman" w:hAnsi="Times New Roman" w:cs="Times New Roman"/>
          <w:sz w:val="24"/>
        </w:rPr>
        <w:tab/>
        <w:t xml:space="preserve">Oddelek s pregledom kapitala vsebuje informacije o kapitalu, ki ga ima investicijsko podjetje, in o njegovih kapitalskih zahtevah. Sestavljata ga dve </w:t>
      </w:r>
      <w:r w:rsidRPr="003F57AB">
        <w:rPr>
          <w:rFonts w:ascii="Times New Roman" w:hAnsi="Times New Roman" w:cs="Times New Roman"/>
          <w:sz w:val="24"/>
        </w:rPr>
        <w:t>predlogi:</w:t>
      </w:r>
    </w:p>
    <w:p w14:paraId="6BA31BEC" w14:textId="77777777" w:rsidR="00AE753A" w:rsidRPr="003F57AB" w:rsidRDefault="003F57AB">
      <w:pPr>
        <w:spacing w:line="256" w:lineRule="auto"/>
        <w:ind w:left="1728" w:hanging="648"/>
        <w:jc w:val="both"/>
        <w:rPr>
          <w:rFonts w:ascii="Times New Roman" w:hAnsi="Times New Roman" w:cs="Times New Roman"/>
          <w:sz w:val="24"/>
        </w:rPr>
      </w:pPr>
      <w:r w:rsidRPr="003F57AB">
        <w:rPr>
          <w:rFonts w:ascii="Times New Roman" w:hAnsi="Times New Roman" w:cs="Times New Roman"/>
          <w:sz w:val="24"/>
        </w:rPr>
        <w:t>(a)</w:t>
      </w:r>
      <w:r w:rsidRPr="003F57AB">
        <w:rPr>
          <w:rFonts w:ascii="Times New Roman" w:hAnsi="Times New Roman" w:cs="Times New Roman"/>
          <w:sz w:val="24"/>
        </w:rPr>
        <w:tab/>
        <w:t>Predloga I 01.00 vsebuje sestave vrst kapitala, ki ga ima investicijsko podjetje: navadnega lastniškega temeljnega kapitala (CET1), dodatnega temeljnega kapitala (AT1) in dodatnega kapitala (T2).</w:t>
      </w:r>
    </w:p>
    <w:p w14:paraId="6B732C43" w14:textId="77777777" w:rsidR="00AE753A" w:rsidRPr="003F57AB" w:rsidRDefault="003F57AB">
      <w:pPr>
        <w:spacing w:line="256" w:lineRule="auto"/>
        <w:ind w:left="1728" w:hanging="648"/>
        <w:jc w:val="both"/>
        <w:rPr>
          <w:rFonts w:ascii="Times New Roman" w:hAnsi="Times New Roman" w:cs="Times New Roman"/>
          <w:sz w:val="24"/>
        </w:rPr>
      </w:pPr>
      <w:r w:rsidRPr="003F57AB">
        <w:rPr>
          <w:rFonts w:ascii="Times New Roman" w:hAnsi="Times New Roman" w:cs="Times New Roman"/>
          <w:sz w:val="24"/>
        </w:rPr>
        <w:t>(b)</w:t>
      </w:r>
      <w:r w:rsidRPr="003F57AB">
        <w:rPr>
          <w:rFonts w:ascii="Times New Roman" w:hAnsi="Times New Roman" w:cs="Times New Roman"/>
          <w:sz w:val="24"/>
        </w:rPr>
        <w:tab/>
        <w:t>Predlogi I 02.01 in I 02.02 vsebujeta skup</w:t>
      </w:r>
      <w:r w:rsidRPr="003F57AB">
        <w:rPr>
          <w:rFonts w:ascii="Times New Roman" w:hAnsi="Times New Roman" w:cs="Times New Roman"/>
          <w:sz w:val="24"/>
        </w:rPr>
        <w:t>no kapitalsko zahtevo, zahtevo za stalni minimalni kapital, zahtevo na podlagi stalnih splošnih stroškov in skupno zahtevo za faktor K, kot tudi vse dodatne kapitalske zahteve ter smernice in prehodno kapitalsko zahtevo ter kapitalske količnike.</w:t>
      </w:r>
    </w:p>
    <w:p w14:paraId="3C75E62C" w14:textId="77777777" w:rsidR="00AE753A" w:rsidRPr="003F57AB" w:rsidRDefault="003F57AB">
      <w:pPr>
        <w:spacing w:line="256" w:lineRule="auto"/>
        <w:ind w:left="1728" w:hanging="648"/>
        <w:jc w:val="both"/>
        <w:rPr>
          <w:rFonts w:ascii="Times New Roman" w:hAnsi="Times New Roman" w:cs="Times New Roman"/>
          <w:sz w:val="24"/>
        </w:rPr>
      </w:pPr>
      <w:r w:rsidRPr="003F57AB">
        <w:rPr>
          <w:rFonts w:ascii="Times New Roman" w:hAnsi="Times New Roman" w:cs="Times New Roman"/>
          <w:sz w:val="24"/>
        </w:rPr>
        <w:t>(c)</w:t>
      </w:r>
      <w:r w:rsidRPr="003F57AB">
        <w:rPr>
          <w:rFonts w:ascii="Times New Roman" w:hAnsi="Times New Roman" w:cs="Times New Roman"/>
          <w:sz w:val="24"/>
        </w:rPr>
        <w:tab/>
        <w:t>Predlo</w:t>
      </w:r>
      <w:r w:rsidRPr="003F57AB">
        <w:rPr>
          <w:rFonts w:ascii="Times New Roman" w:hAnsi="Times New Roman" w:cs="Times New Roman"/>
          <w:sz w:val="24"/>
        </w:rPr>
        <w:t>ga I 03.00 vključuje informacije v zvezi z izračunom zahteve na podlagi stalnih splošnih stroškov.</w:t>
      </w:r>
    </w:p>
    <w:p w14:paraId="120C0C1D" w14:textId="77777777" w:rsidR="00AE753A" w:rsidRPr="003F57AB" w:rsidRDefault="003F57AB">
      <w:pPr>
        <w:spacing w:line="256" w:lineRule="auto"/>
        <w:ind w:left="1728" w:hanging="648"/>
        <w:jc w:val="both"/>
        <w:rPr>
          <w:rFonts w:ascii="Times New Roman" w:hAnsi="Times New Roman" w:cs="Times New Roman"/>
          <w:sz w:val="24"/>
        </w:rPr>
      </w:pPr>
      <w:r w:rsidRPr="003F57AB">
        <w:rPr>
          <w:rFonts w:ascii="Times New Roman" w:hAnsi="Times New Roman" w:cs="Times New Roman"/>
          <w:sz w:val="24"/>
        </w:rPr>
        <w:t>(d)</w:t>
      </w:r>
      <w:r w:rsidRPr="003F57AB">
        <w:rPr>
          <w:rFonts w:ascii="Times New Roman" w:hAnsi="Times New Roman" w:cs="Times New Roman"/>
          <w:sz w:val="24"/>
        </w:rPr>
        <w:tab/>
        <w:t>Predloga I 04.00 vsebuje zahteve za faktorje K in zneske faktorja.</w:t>
      </w:r>
    </w:p>
    <w:p w14:paraId="73397E1D" w14:textId="77777777" w:rsidR="00AE753A" w:rsidRPr="003F57AB" w:rsidRDefault="003F57AB">
      <w:pPr>
        <w:spacing w:line="256" w:lineRule="auto"/>
        <w:ind w:left="993" w:hanging="567"/>
        <w:jc w:val="both"/>
        <w:rPr>
          <w:rFonts w:ascii="Times New Roman" w:hAnsi="Times New Roman" w:cs="Times New Roman"/>
          <w:sz w:val="24"/>
        </w:rPr>
      </w:pPr>
      <w:r w:rsidRPr="003F57AB">
        <w:rPr>
          <w:rFonts w:ascii="Times New Roman" w:hAnsi="Times New Roman" w:cs="Times New Roman"/>
          <w:sz w:val="24"/>
        </w:rPr>
        <w:t>11.</w:t>
      </w:r>
      <w:r w:rsidRPr="003F57AB">
        <w:rPr>
          <w:rFonts w:ascii="Times New Roman" w:hAnsi="Times New Roman" w:cs="Times New Roman"/>
          <w:sz w:val="24"/>
        </w:rPr>
        <w:tab/>
        <w:t>V postavkah iz teh predlog niso upoštevane predhodne prilagoditve. To pomeni, da s</w:t>
      </w:r>
      <w:r w:rsidRPr="003F57AB">
        <w:rPr>
          <w:rFonts w:ascii="Times New Roman" w:hAnsi="Times New Roman" w:cs="Times New Roman"/>
          <w:sz w:val="24"/>
        </w:rPr>
        <w:t>o vrednosti (razen kadar je posebej navedena prehodna kapitalska zahteva) izračunane v skladu s končnimi določbami (tj. kot da ne bi bilo prehodnih določb).</w:t>
      </w:r>
    </w:p>
    <w:p w14:paraId="7FA8069B" w14:textId="77777777" w:rsidR="00AE753A" w:rsidRPr="003F57AB" w:rsidRDefault="003F57AB">
      <w:pPr>
        <w:pStyle w:val="Instructionsberschrift2"/>
        <w:ind w:left="357" w:hanging="357"/>
        <w:rPr>
          <w:rFonts w:ascii="Times New Roman" w:hAnsi="Times New Roman" w:cs="Times New Roman"/>
          <w:sz w:val="24"/>
        </w:rPr>
      </w:pPr>
      <w:bookmarkStart w:id="26" w:name="_Toc35795014"/>
      <w:bookmarkStart w:id="27" w:name="_Toc87975471"/>
      <w:r w:rsidRPr="003F57AB">
        <w:rPr>
          <w:rFonts w:ascii="Times New Roman" w:hAnsi="Times New Roman" w:cs="Times New Roman"/>
          <w:sz w:val="24"/>
        </w:rPr>
        <w:lastRenderedPageBreak/>
        <w:t>1.2 I 01.00 – SESTAVA KAPITALA (I 1)</w:t>
      </w:r>
      <w:bookmarkEnd w:id="26"/>
      <w:bookmarkEnd w:id="27"/>
    </w:p>
    <w:p w14:paraId="6C12740C"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7975472"/>
      <w:r w:rsidRPr="003F57AB">
        <w:rPr>
          <w:rFonts w:ascii="Times New Roman" w:hAnsi="Times New Roman" w:cs="Times New Roman"/>
          <w:sz w:val="24"/>
          <w:szCs w:val="24"/>
        </w:rPr>
        <w:t>1.2.1</w:t>
      </w:r>
      <w:r w:rsidRPr="003F57AB">
        <w:rPr>
          <w:rFonts w:ascii="Times New Roman" w:hAnsi="Times New Roman" w:cs="Times New Roman"/>
        </w:rPr>
        <w:tab/>
      </w:r>
      <w:r w:rsidRPr="003F57AB">
        <w:rPr>
          <w:rFonts w:ascii="Times New Roman" w:hAnsi="Times New Roman" w:cs="Times New Roman"/>
          <w:sz w:val="24"/>
          <w:szCs w:val="24"/>
          <w:u w:val="single"/>
        </w:rPr>
        <w:t>Navodila za posamezne pozicije</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065A2726" w14:textId="77777777">
        <w:tc>
          <w:tcPr>
            <w:tcW w:w="1129" w:type="dxa"/>
            <w:shd w:val="clear" w:color="auto" w:fill="D9D9D9"/>
          </w:tcPr>
          <w:p w14:paraId="1AFAE76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268CE5D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 xml:space="preserve">Pravna </w:t>
            </w:r>
            <w:r w:rsidRPr="003F57AB">
              <w:rPr>
                <w:rFonts w:ascii="Times New Roman" w:hAnsi="Times New Roman" w:cs="Times New Roman"/>
              </w:rPr>
              <w:t>podlaga in navodila</w:t>
            </w:r>
          </w:p>
        </w:tc>
      </w:tr>
      <w:tr w:rsidR="00AE753A" w:rsidRPr="003F57AB" w14:paraId="0E5EB0C2" w14:textId="77777777">
        <w:tc>
          <w:tcPr>
            <w:tcW w:w="1129" w:type="dxa"/>
          </w:tcPr>
          <w:p w14:paraId="4B9C9F9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Pr>
          <w:p w14:paraId="52A2517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KAPITAL</w:t>
            </w:r>
          </w:p>
          <w:p w14:paraId="381B5F1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Uredbe (EU) 2019/2033.</w:t>
            </w:r>
          </w:p>
          <w:p w14:paraId="0D1C366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Kapital investicijskega podjetja sestavlja vsota njegovega temeljnega in dodatnega kapitala.</w:t>
            </w:r>
          </w:p>
        </w:tc>
      </w:tr>
      <w:tr w:rsidR="00AE753A" w:rsidRPr="003F57AB" w14:paraId="604D6076" w14:textId="77777777">
        <w:tc>
          <w:tcPr>
            <w:tcW w:w="1129" w:type="dxa"/>
          </w:tcPr>
          <w:p w14:paraId="61AFB89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Pr>
          <w:p w14:paraId="2D48BEC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TEMELJNI KAPITAL</w:t>
            </w:r>
          </w:p>
          <w:p w14:paraId="5ACC07A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 xml:space="preserve">Temeljni kapital je vsota navadnega lastniškega temeljnega </w:t>
            </w:r>
            <w:r w:rsidRPr="003F57AB">
              <w:rPr>
                <w:rStyle w:val="FormatvorlageInstructionsTabelleText"/>
                <w:rFonts w:ascii="Times New Roman" w:hAnsi="Times New Roman"/>
                <w:sz w:val="22"/>
              </w:rPr>
              <w:t>kapitala in dodatnega temeljnega kapitala.</w:t>
            </w:r>
          </w:p>
        </w:tc>
      </w:tr>
      <w:tr w:rsidR="00AE753A" w:rsidRPr="003F57AB" w14:paraId="41997DCD" w14:textId="77777777">
        <w:tc>
          <w:tcPr>
            <w:tcW w:w="1129" w:type="dxa"/>
          </w:tcPr>
          <w:p w14:paraId="137A78D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Pr>
          <w:p w14:paraId="5C79BD9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InstructionsTabelleberschrift"/>
                <w:rFonts w:ascii="Times New Roman" w:hAnsi="Times New Roman"/>
                <w:sz w:val="22"/>
              </w:rPr>
              <w:t>NAVADNI LASTNIŠKI TEMELJNI KAPITAL</w:t>
            </w:r>
          </w:p>
          <w:p w14:paraId="456C527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Uredbe (EU) 2019/2033.</w:t>
            </w:r>
          </w:p>
          <w:p w14:paraId="67A50ABA" w14:textId="77777777" w:rsidR="00AE753A" w:rsidRPr="003F57AB" w:rsidRDefault="003F57AB">
            <w:pPr>
              <w:spacing w:after="120" w:line="240" w:lineRule="auto"/>
              <w:jc w:val="both"/>
              <w:rPr>
                <w:rFonts w:ascii="Times New Roman" w:hAnsi="Times New Roman" w:cs="Times New Roman"/>
              </w:rPr>
            </w:pPr>
            <w:r w:rsidRPr="003F57AB">
              <w:rPr>
                <w:rStyle w:val="FormatvorlageInstructionsTabelleText"/>
                <w:rFonts w:ascii="Times New Roman" w:hAnsi="Times New Roman"/>
                <w:sz w:val="22"/>
              </w:rPr>
              <w:t>Člen 50 Uredbe (EU) št. 575/2013.</w:t>
            </w:r>
          </w:p>
        </w:tc>
      </w:tr>
      <w:tr w:rsidR="00AE753A" w:rsidRPr="003F57AB" w14:paraId="41AEDEAA" w14:textId="77777777">
        <w:tc>
          <w:tcPr>
            <w:tcW w:w="1129" w:type="dxa"/>
          </w:tcPr>
          <w:p w14:paraId="387C017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Pr>
          <w:p w14:paraId="0850B32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 celoti vplačani kapitalski instrumenti</w:t>
            </w:r>
          </w:p>
          <w:p w14:paraId="1AF4D9B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(i), Uredbe (EU) 2019/2033.</w:t>
            </w:r>
          </w:p>
          <w:p w14:paraId="3E5154CA" w14:textId="77777777" w:rsidR="00AE753A" w:rsidRPr="003F57AB" w:rsidRDefault="003F57AB">
            <w:pPr>
              <w:pStyle w:val="InstructionsText"/>
              <w:rPr>
                <w:rStyle w:val="FormatvorlageInstructionsTabelleText"/>
                <w:rFonts w:ascii="Times New Roman" w:hAnsi="Times New Roman"/>
                <w:sz w:val="22"/>
                <w:szCs w:val="22"/>
              </w:rPr>
            </w:pPr>
            <w:r w:rsidRPr="003F57AB">
              <w:rPr>
                <w:rFonts w:cs="Times New Roman"/>
              </w:rPr>
              <w:t xml:space="preserve">Člen </w:t>
            </w:r>
            <w:r w:rsidRPr="003F57AB">
              <w:rPr>
                <w:rFonts w:cs="Times New Roman"/>
              </w:rPr>
              <w:t>26(1), točka (a), in členi 27 do 31 Uredbe (EU) št. 575/2013.</w:t>
            </w:r>
          </w:p>
          <w:p w14:paraId="512EA744"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Vključijo se kapitalski instrumenti vzajemnih, zadružnih ali podobnih institucij (člena 27 in 29 Uredbe (EU) št. 575/2013).</w:t>
            </w:r>
          </w:p>
          <w:p w14:paraId="05D3CC66"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Vplačani presežek kapitala, povezan z instrumenti, se ne vključi.</w:t>
            </w:r>
          </w:p>
          <w:p w14:paraId="29551FBA" w14:textId="77777777" w:rsidR="00AE753A" w:rsidRPr="003F57AB" w:rsidRDefault="003F57AB">
            <w:pPr>
              <w:pStyle w:val="InstructionsText"/>
              <w:rPr>
                <w:rFonts w:cs="Times New Roman"/>
              </w:rPr>
            </w:pPr>
            <w:r w:rsidRPr="003F57AB">
              <w:rPr>
                <w:rStyle w:val="FormatvorlageInstructionsTabelleText"/>
                <w:rFonts w:ascii="Times New Roman" w:hAnsi="Times New Roman"/>
                <w:sz w:val="22"/>
                <w:szCs w:val="22"/>
              </w:rPr>
              <w:t>Kapi</w:t>
            </w:r>
            <w:r w:rsidRPr="003F57AB">
              <w:rPr>
                <w:rStyle w:val="FormatvorlageInstructionsTabelleText"/>
                <w:rFonts w:ascii="Times New Roman" w:hAnsi="Times New Roman"/>
                <w:sz w:val="22"/>
                <w:szCs w:val="22"/>
              </w:rPr>
              <w:t>talski instrumenti, ki jih vpišejo javni organi v izrednih razmerah, se vključijo, če so izpolnjeni vsi pogoji iz člena 31 Uredbe (EU) št. 575/2013.</w:t>
            </w:r>
          </w:p>
        </w:tc>
      </w:tr>
      <w:tr w:rsidR="00AE753A" w:rsidRPr="003F57AB" w14:paraId="5EB22E7D" w14:textId="77777777">
        <w:tc>
          <w:tcPr>
            <w:tcW w:w="1129" w:type="dxa"/>
          </w:tcPr>
          <w:p w14:paraId="6CA0ED2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Pr>
          <w:p w14:paraId="74B709B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Vplačani presežek kapitala</w:t>
            </w:r>
          </w:p>
          <w:p w14:paraId="2CFCD12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(i), Uredbe (EU) 2019/2033.</w:t>
            </w:r>
          </w:p>
          <w:p w14:paraId="79F0A200" w14:textId="77777777" w:rsidR="00AE753A" w:rsidRPr="003F57AB" w:rsidRDefault="003F57AB">
            <w:pPr>
              <w:spacing w:after="120" w:line="240" w:lineRule="auto"/>
              <w:jc w:val="both"/>
              <w:rPr>
                <w:rStyle w:val="FormatvorlageInstructionsTabelleText"/>
                <w:rFonts w:ascii="Times New Roman" w:hAnsi="Times New Roman"/>
                <w:sz w:val="22"/>
              </w:rPr>
            </w:pPr>
            <w:r w:rsidRPr="003F57AB">
              <w:rPr>
                <w:rStyle w:val="FormatvorlageInstructionsTabelleText"/>
                <w:rFonts w:ascii="Times New Roman" w:hAnsi="Times New Roman"/>
                <w:sz w:val="22"/>
              </w:rPr>
              <w:t xml:space="preserve">Člen 26(1), točka (b), </w:t>
            </w:r>
            <w:r w:rsidRPr="003F57AB">
              <w:rPr>
                <w:rStyle w:val="FormatvorlageInstructionsTabelleText"/>
                <w:rFonts w:ascii="Times New Roman" w:hAnsi="Times New Roman"/>
                <w:sz w:val="22"/>
              </w:rPr>
              <w:t>Uredbe (EU) št. 575/2013.</w:t>
            </w:r>
          </w:p>
          <w:p w14:paraId="1F83DC3A"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Vplačani presežek kapitala ima enak pomen kot v skladu z veljavnim računovodskim standardom.</w:t>
            </w:r>
          </w:p>
          <w:p w14:paraId="20A46B3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Znesek, ki se poroča v okviru te postavke, je del, povezan z „vplačanimi kapitalskimi instrumenti“.</w:t>
            </w:r>
          </w:p>
        </w:tc>
      </w:tr>
      <w:tr w:rsidR="00AE753A" w:rsidRPr="003F57AB" w14:paraId="6F331C7F" w14:textId="77777777">
        <w:tc>
          <w:tcPr>
            <w:tcW w:w="1129" w:type="dxa"/>
          </w:tcPr>
          <w:p w14:paraId="74AE67D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w:t>
            </w:r>
          </w:p>
        </w:tc>
        <w:tc>
          <w:tcPr>
            <w:tcW w:w="7620" w:type="dxa"/>
          </w:tcPr>
          <w:p w14:paraId="61D3B68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Zadržani dobiček</w:t>
            </w:r>
          </w:p>
          <w:p w14:paraId="120DE45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w:t>
            </w:r>
            <w:r w:rsidRPr="003F57AB">
              <w:rPr>
                <w:rFonts w:ascii="Times New Roman" w:hAnsi="Times New Roman" w:cs="Times New Roman"/>
                <w:bCs/>
              </w:rPr>
              <w:t>ka (i), Uredbe (EU) 2019/2033.</w:t>
            </w:r>
          </w:p>
          <w:p w14:paraId="39FE614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Člen 26(1), točka (c), Uredbe (EU) št. 575/2013.</w:t>
            </w:r>
          </w:p>
          <w:p w14:paraId="6EE7DCE7" w14:textId="77777777" w:rsidR="00AE753A" w:rsidRPr="003F57AB" w:rsidRDefault="003F57AB">
            <w:pPr>
              <w:spacing w:after="120" w:line="240" w:lineRule="auto"/>
              <w:jc w:val="both"/>
              <w:rPr>
                <w:rStyle w:val="FormatvorlageInstructionsTabelleText"/>
                <w:rFonts w:ascii="Times New Roman" w:hAnsi="Times New Roman"/>
                <w:sz w:val="22"/>
              </w:rPr>
            </w:pPr>
            <w:r w:rsidRPr="003F57AB">
              <w:rPr>
                <w:rStyle w:val="FormatvorlageInstructionsTabelleText"/>
                <w:rFonts w:ascii="Times New Roman" w:hAnsi="Times New Roman"/>
                <w:sz w:val="22"/>
              </w:rPr>
              <w:t>Zadržani dobiček vključuje zadržani dobiček preteklega leta in priznani dobiček med letom ali čisti dobiček poslovnega leta.</w:t>
            </w:r>
          </w:p>
          <w:p w14:paraId="5012758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Poroča se vsota vrstic 0070 in 0080.</w:t>
            </w:r>
          </w:p>
        </w:tc>
      </w:tr>
      <w:tr w:rsidR="00AE753A" w:rsidRPr="003F57AB" w14:paraId="5344EB34" w14:textId="77777777">
        <w:tc>
          <w:tcPr>
            <w:tcW w:w="1129" w:type="dxa"/>
          </w:tcPr>
          <w:p w14:paraId="16D9224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0070</w:t>
            </w:r>
          </w:p>
        </w:tc>
        <w:tc>
          <w:tcPr>
            <w:tcW w:w="7620" w:type="dxa"/>
          </w:tcPr>
          <w:p w14:paraId="2304FE9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Zadržani dobiček preteklih let</w:t>
            </w:r>
          </w:p>
          <w:p w14:paraId="11A7F047" w14:textId="77777777" w:rsidR="00AE753A" w:rsidRPr="003F57AB" w:rsidRDefault="003F57AB">
            <w:pPr>
              <w:spacing w:after="120" w:line="240" w:lineRule="auto"/>
              <w:jc w:val="both"/>
              <w:rPr>
                <w:rFonts w:ascii="Times New Roman" w:eastAsia="Times New Roman" w:hAnsi="Times New Roman" w:cs="Times New Roman"/>
              </w:rPr>
            </w:pPr>
            <w:r w:rsidRPr="003F57AB">
              <w:rPr>
                <w:rFonts w:ascii="Times New Roman" w:hAnsi="Times New Roman" w:cs="Times New Roman"/>
              </w:rPr>
              <w:t>Člen 4(1), točka 123, in člen 26(1), točka (c), Uredbe (EU) št. 575/2013.</w:t>
            </w:r>
          </w:p>
          <w:p w14:paraId="72B98C3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V členu 4(1), točka 123, Uredbe (EU) št. 575/2013 je zadržani dobiček opredeljen kot „prenesen[i] dobičk[i] in izgube, ki izhajajo iz dobičkov ali izgu</w:t>
            </w:r>
            <w:r w:rsidRPr="003F57AB">
              <w:rPr>
                <w:rStyle w:val="FormatvorlageInstructionsTabelleText"/>
                <w:rFonts w:ascii="Times New Roman" w:hAnsi="Times New Roman"/>
                <w:sz w:val="22"/>
              </w:rPr>
              <w:t>b iz preteklih let, v skladu z veljavnim računovodskim okvirom“.</w:t>
            </w:r>
          </w:p>
        </w:tc>
      </w:tr>
      <w:tr w:rsidR="00AE753A" w:rsidRPr="003F57AB" w14:paraId="1C0BD82E" w14:textId="77777777">
        <w:tc>
          <w:tcPr>
            <w:tcW w:w="1129" w:type="dxa"/>
          </w:tcPr>
          <w:p w14:paraId="15FFFFD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0080</w:t>
            </w:r>
          </w:p>
        </w:tc>
        <w:tc>
          <w:tcPr>
            <w:tcW w:w="7620" w:type="dxa"/>
          </w:tcPr>
          <w:p w14:paraId="1906755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Priznan dobiček</w:t>
            </w:r>
          </w:p>
          <w:p w14:paraId="27D00763" w14:textId="77777777" w:rsidR="00AE753A" w:rsidRPr="003F57AB" w:rsidRDefault="003F57AB">
            <w:pPr>
              <w:spacing w:after="120" w:line="240" w:lineRule="auto"/>
              <w:jc w:val="both"/>
              <w:rPr>
                <w:rFonts w:ascii="Times New Roman" w:eastAsia="Times New Roman" w:hAnsi="Times New Roman" w:cs="Times New Roman"/>
              </w:rPr>
            </w:pPr>
            <w:r w:rsidRPr="003F57AB">
              <w:rPr>
                <w:rFonts w:ascii="Times New Roman" w:hAnsi="Times New Roman" w:cs="Times New Roman"/>
              </w:rPr>
              <w:lastRenderedPageBreak/>
              <w:t>Člen 4(1), točka 121, in člen 26(2) Uredbe (EU) št. 575/2013.</w:t>
            </w:r>
          </w:p>
          <w:p w14:paraId="72B81BB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 xml:space="preserve">V skladu s členom 26(2) Uredbe (EU) št. 575/2013 se lahko kot zadržani dobički vključijo dobički med letom ali čisti dobički poslovnega leta ob predhodnem dovoljenju pristojnega organa, če so izpolnjeni določeni pogoji. </w:t>
            </w:r>
          </w:p>
        </w:tc>
      </w:tr>
      <w:tr w:rsidR="00AE753A" w:rsidRPr="003F57AB" w14:paraId="449B7DA2" w14:textId="77777777">
        <w:tc>
          <w:tcPr>
            <w:tcW w:w="1129" w:type="dxa"/>
          </w:tcPr>
          <w:p w14:paraId="0D71261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0090</w:t>
            </w:r>
          </w:p>
        </w:tc>
        <w:tc>
          <w:tcPr>
            <w:tcW w:w="7620" w:type="dxa"/>
          </w:tcPr>
          <w:p w14:paraId="48CE2D5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Akumulirani drugi vseobsegajo</w:t>
            </w:r>
            <w:r w:rsidRPr="003F57AB">
              <w:rPr>
                <w:rFonts w:ascii="Times New Roman" w:hAnsi="Times New Roman" w:cs="Times New Roman"/>
                <w:b/>
                <w:bCs/>
                <w:u w:val="single"/>
              </w:rPr>
              <w:t>či donos</w:t>
            </w:r>
          </w:p>
          <w:p w14:paraId="28AE7AA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(i), Uredbe (EU) 2019/2033.</w:t>
            </w:r>
          </w:p>
          <w:p w14:paraId="48A387BF" w14:textId="77777777" w:rsidR="00AE753A" w:rsidRPr="003F57AB" w:rsidRDefault="003F57AB">
            <w:pPr>
              <w:spacing w:after="120" w:line="240" w:lineRule="auto"/>
              <w:jc w:val="both"/>
              <w:rPr>
                <w:rFonts w:ascii="Times New Roman" w:hAnsi="Times New Roman" w:cs="Times New Roman"/>
                <w:bCs/>
              </w:rPr>
            </w:pPr>
            <w:r w:rsidRPr="003F57AB">
              <w:rPr>
                <w:rStyle w:val="FormatvorlageInstructionsTabelleText"/>
                <w:rFonts w:ascii="Times New Roman" w:hAnsi="Times New Roman"/>
                <w:sz w:val="22"/>
              </w:rPr>
              <w:t>Člen 26(1), točka (d), Uredbe (EU) št. 575/2013.</w:t>
            </w:r>
          </w:p>
        </w:tc>
      </w:tr>
      <w:tr w:rsidR="00AE753A" w:rsidRPr="003F57AB" w14:paraId="55720452" w14:textId="77777777">
        <w:tc>
          <w:tcPr>
            <w:tcW w:w="1129" w:type="dxa"/>
          </w:tcPr>
          <w:p w14:paraId="1C2F822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0100</w:t>
            </w:r>
          </w:p>
        </w:tc>
        <w:tc>
          <w:tcPr>
            <w:tcW w:w="7620" w:type="dxa"/>
          </w:tcPr>
          <w:p w14:paraId="659FCA0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Druge rezerve</w:t>
            </w:r>
          </w:p>
          <w:p w14:paraId="3E168EE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(i), Uredbe (EU) 2019/2033.</w:t>
            </w:r>
          </w:p>
          <w:p w14:paraId="02748F95" w14:textId="77777777" w:rsidR="00AE753A" w:rsidRPr="003F57AB" w:rsidRDefault="003F57AB">
            <w:pPr>
              <w:spacing w:after="120" w:line="240" w:lineRule="auto"/>
              <w:jc w:val="both"/>
              <w:rPr>
                <w:rStyle w:val="FormatvorlageInstructionsTabelleText"/>
                <w:rFonts w:ascii="Times New Roman" w:hAnsi="Times New Roman"/>
                <w:sz w:val="22"/>
              </w:rPr>
            </w:pPr>
            <w:r w:rsidRPr="003F57AB">
              <w:rPr>
                <w:rStyle w:val="FormatvorlageInstructionsTabelleText"/>
                <w:rFonts w:ascii="Times New Roman" w:hAnsi="Times New Roman"/>
                <w:sz w:val="22"/>
              </w:rPr>
              <w:t>Člen 4(1), točka 117, in člen 26(1), točka (e), Uredbe (EU) št. 575/2013.</w:t>
            </w:r>
          </w:p>
          <w:p w14:paraId="4CB4F6E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 xml:space="preserve">Znesek, ki se </w:t>
            </w:r>
            <w:r w:rsidRPr="003F57AB">
              <w:rPr>
                <w:rStyle w:val="FormatvorlageInstructionsTabelleText"/>
                <w:rFonts w:ascii="Times New Roman" w:hAnsi="Times New Roman"/>
                <w:sz w:val="22"/>
              </w:rPr>
              <w:t>poroča, ne vključuje davčnih obremenitev, predvidljivih v času izračuna.</w:t>
            </w:r>
          </w:p>
        </w:tc>
      </w:tr>
      <w:tr w:rsidR="00AE753A" w:rsidRPr="003F57AB" w14:paraId="4F90CFF7" w14:textId="77777777">
        <w:tc>
          <w:tcPr>
            <w:tcW w:w="1129" w:type="dxa"/>
          </w:tcPr>
          <w:p w14:paraId="121C91F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0110</w:t>
            </w:r>
          </w:p>
        </w:tc>
        <w:tc>
          <w:tcPr>
            <w:tcW w:w="7620" w:type="dxa"/>
            <w:shd w:val="clear" w:color="auto" w:fill="auto"/>
          </w:tcPr>
          <w:p w14:paraId="6D1756F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Manjšinski delež, pripoznan v navadnem lastniškem temeljnem kapitalu</w:t>
            </w:r>
          </w:p>
          <w:p w14:paraId="33710798" w14:textId="77777777" w:rsidR="00AE753A" w:rsidRPr="003F57AB" w:rsidRDefault="003F57AB">
            <w:pPr>
              <w:spacing w:after="120" w:line="240" w:lineRule="auto"/>
              <w:jc w:val="both"/>
              <w:rPr>
                <w:rStyle w:val="FormatvorlageInstructionsTabelleText"/>
                <w:rFonts w:ascii="Times New Roman" w:hAnsi="Times New Roman"/>
                <w:sz w:val="22"/>
              </w:rPr>
            </w:pPr>
            <w:r w:rsidRPr="003F57AB">
              <w:rPr>
                <w:rStyle w:val="FormatvorlageInstructionsTabelleText"/>
                <w:rFonts w:ascii="Times New Roman" w:hAnsi="Times New Roman"/>
                <w:sz w:val="22"/>
              </w:rPr>
              <w:t>Členi 84(1), 85(1) in 87(1) Uredbe (EU) št. 575/2013.</w:t>
            </w:r>
          </w:p>
          <w:p w14:paraId="123D2A6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 xml:space="preserve">Vsota vseh zneskov manjšinskih deležev </w:t>
            </w:r>
            <w:r w:rsidRPr="003F57AB">
              <w:rPr>
                <w:rStyle w:val="FormatvorlageInstructionsTabelleText"/>
                <w:rFonts w:ascii="Times New Roman" w:hAnsi="Times New Roman"/>
                <w:sz w:val="22"/>
              </w:rPr>
              <w:t>odvisnih podjetij, vključenih v konsolidirani navadni lastniški temeljni kapital.</w:t>
            </w:r>
          </w:p>
        </w:tc>
      </w:tr>
      <w:tr w:rsidR="00AE753A" w:rsidRPr="003F57AB" w14:paraId="6D52CE86" w14:textId="77777777">
        <w:tc>
          <w:tcPr>
            <w:tcW w:w="1129" w:type="dxa"/>
          </w:tcPr>
          <w:p w14:paraId="01871E1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0120</w:t>
            </w:r>
          </w:p>
        </w:tc>
        <w:tc>
          <w:tcPr>
            <w:tcW w:w="7620" w:type="dxa"/>
            <w:shd w:val="clear" w:color="auto" w:fill="auto"/>
          </w:tcPr>
          <w:p w14:paraId="3798EB6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Prilagoditve navadnega lastniškega temeljnega kapitala zaradi bonitetnih filtrov</w:t>
            </w:r>
          </w:p>
          <w:p w14:paraId="008CCDD5" w14:textId="77777777" w:rsidR="00AE753A" w:rsidRPr="003F57AB" w:rsidRDefault="003F57AB">
            <w:pPr>
              <w:spacing w:after="120" w:line="240" w:lineRule="auto"/>
              <w:jc w:val="both"/>
              <w:rPr>
                <w:rStyle w:val="FormatvorlageInstructionsTabelleText"/>
                <w:rFonts w:ascii="Times New Roman" w:hAnsi="Times New Roman"/>
                <w:sz w:val="22"/>
              </w:rPr>
            </w:pPr>
            <w:r w:rsidRPr="003F57AB">
              <w:rPr>
                <w:rStyle w:val="FormatvorlageInstructionsTabelleText"/>
                <w:rFonts w:ascii="Times New Roman" w:hAnsi="Times New Roman"/>
                <w:sz w:val="22"/>
              </w:rPr>
              <w:t>Člen 9(1), točka (i), Uredbe (EU) 2019/2033.</w:t>
            </w:r>
          </w:p>
          <w:p w14:paraId="34C10E6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Členi 32 do 35 Uredbe (EU) št. 575/2013.</w:t>
            </w:r>
          </w:p>
        </w:tc>
      </w:tr>
      <w:tr w:rsidR="00AE753A" w:rsidRPr="003F57AB" w14:paraId="10D4A681" w14:textId="77777777">
        <w:tc>
          <w:tcPr>
            <w:tcW w:w="1129" w:type="dxa"/>
          </w:tcPr>
          <w:p w14:paraId="1CC9E41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0130</w:t>
            </w:r>
          </w:p>
        </w:tc>
        <w:tc>
          <w:tcPr>
            <w:tcW w:w="7620" w:type="dxa"/>
          </w:tcPr>
          <w:p w14:paraId="08408D9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Druga sredstva</w:t>
            </w:r>
          </w:p>
          <w:p w14:paraId="2F84B30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9(4) Uredbe (EU) 2019/2033.</w:t>
            </w:r>
          </w:p>
        </w:tc>
      </w:tr>
      <w:tr w:rsidR="00AE753A" w:rsidRPr="003F57AB" w14:paraId="1890AEA3" w14:textId="77777777">
        <w:tc>
          <w:tcPr>
            <w:tcW w:w="1129" w:type="dxa"/>
          </w:tcPr>
          <w:p w14:paraId="4904549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0140</w:t>
            </w:r>
          </w:p>
        </w:tc>
        <w:tc>
          <w:tcPr>
            <w:tcW w:w="7620" w:type="dxa"/>
          </w:tcPr>
          <w:p w14:paraId="462EFC4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SKUPAJ ODBITKI OD NAVADNEGA LASTNIŠKEGA TEMELJNEGA KAPITALA</w:t>
            </w:r>
          </w:p>
          <w:p w14:paraId="13900EB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Poroča se vsota vrstic 0150 in 0190–0280.</w:t>
            </w:r>
          </w:p>
        </w:tc>
      </w:tr>
      <w:tr w:rsidR="00AE753A" w:rsidRPr="003F57AB" w14:paraId="151C2E03" w14:textId="77777777">
        <w:tc>
          <w:tcPr>
            <w:tcW w:w="1129" w:type="dxa"/>
          </w:tcPr>
          <w:p w14:paraId="0188733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0150</w:t>
            </w:r>
          </w:p>
        </w:tc>
        <w:tc>
          <w:tcPr>
            <w:tcW w:w="7620" w:type="dxa"/>
            <w:shd w:val="clear" w:color="auto" w:fill="auto"/>
          </w:tcPr>
          <w:p w14:paraId="6AB9C4B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Lastni instrumenti navadnega lastniškega temeljnega kapitala</w:t>
            </w:r>
          </w:p>
          <w:p w14:paraId="73BBE33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9(1), </w:t>
            </w:r>
            <w:r w:rsidRPr="003F57AB">
              <w:rPr>
                <w:rFonts w:ascii="Times New Roman" w:hAnsi="Times New Roman" w:cs="Times New Roman"/>
                <w:bCs/>
              </w:rPr>
              <w:t>točka (i), Uredbe (EU) 2019/2033.</w:t>
            </w:r>
          </w:p>
          <w:p w14:paraId="0A079DC7"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Člen 36(1), točka (f), in člen 42 Uredbe (EU) št. 575/2013.</w:t>
            </w:r>
          </w:p>
          <w:p w14:paraId="613CA026"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Lasten navadni lastniški temeljni kapital, ki ga ima institucija ali skupina poročevalka na datum poročanja. Veljajo izjeme iz člena 42 Uredbe (EU) št. 575/2013.</w:t>
            </w:r>
          </w:p>
          <w:p w14:paraId="6DD8CF3B"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Delež v delnicah, vključen v „kapitalske instrumente, ki niso sprejemljivi“, se ne poroča v tej vrstici.</w:t>
            </w:r>
          </w:p>
          <w:p w14:paraId="31930D2F"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Znesek, ki se poroča, vključuje presežek kapitala, povezan z lastnimi delnicami.</w:t>
            </w:r>
          </w:p>
          <w:p w14:paraId="716D9C90" w14:textId="77777777" w:rsidR="00AE753A" w:rsidRPr="003F57AB" w:rsidRDefault="00AE753A">
            <w:pPr>
              <w:pStyle w:val="InstructionsText"/>
              <w:rPr>
                <w:rFonts w:cs="Times New Roman"/>
              </w:rPr>
            </w:pPr>
          </w:p>
        </w:tc>
      </w:tr>
      <w:tr w:rsidR="00AE753A" w:rsidRPr="003F57AB" w14:paraId="2A27DDC5" w14:textId="77777777">
        <w:tc>
          <w:tcPr>
            <w:tcW w:w="1129" w:type="dxa"/>
          </w:tcPr>
          <w:p w14:paraId="751DD99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0160</w:t>
            </w:r>
          </w:p>
        </w:tc>
        <w:tc>
          <w:tcPr>
            <w:tcW w:w="7620" w:type="dxa"/>
            <w:shd w:val="clear" w:color="auto" w:fill="auto"/>
          </w:tcPr>
          <w:p w14:paraId="15307D8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 Neposredni deleži v instrumentih navadnega </w:t>
            </w:r>
            <w:r w:rsidRPr="003F57AB">
              <w:rPr>
                <w:rFonts w:ascii="Times New Roman" w:hAnsi="Times New Roman" w:cs="Times New Roman"/>
                <w:b/>
                <w:bCs/>
                <w:u w:val="single"/>
              </w:rPr>
              <w:t>lastniškega temeljnega kapitala</w:t>
            </w:r>
          </w:p>
          <w:p w14:paraId="004C3C4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(i), Uredbe (EU) 2019/2033.</w:t>
            </w:r>
          </w:p>
          <w:p w14:paraId="07B00A11" w14:textId="77777777" w:rsidR="00AE753A" w:rsidRPr="003F57AB" w:rsidRDefault="003F57AB">
            <w:pPr>
              <w:pStyle w:val="InstructionsText"/>
              <w:rPr>
                <w:rStyle w:val="FormatvorlageInstructionsTabelleText"/>
                <w:rFonts w:ascii="Times New Roman" w:eastAsiaTheme="minorHAnsi" w:hAnsi="Times New Roman"/>
                <w:bCs/>
                <w:sz w:val="22"/>
                <w:szCs w:val="22"/>
              </w:rPr>
            </w:pPr>
            <w:r w:rsidRPr="003F57AB">
              <w:rPr>
                <w:rStyle w:val="FormatvorlageInstructionsTabelleText"/>
                <w:rFonts w:ascii="Times New Roman" w:hAnsi="Times New Roman"/>
                <w:sz w:val="22"/>
                <w:szCs w:val="22"/>
              </w:rPr>
              <w:t>Člen 36(1), točka (f), in člen 42 Uredbe (EU) št. 575/2013.</w:t>
            </w:r>
          </w:p>
          <w:p w14:paraId="077EE51A" w14:textId="77777777" w:rsidR="00AE753A" w:rsidRPr="003F57AB" w:rsidRDefault="003F57AB">
            <w:pPr>
              <w:pStyle w:val="InstructionsText"/>
              <w:rPr>
                <w:rFonts w:cs="Times New Roman"/>
                <w:b/>
                <w:bCs w:val="0"/>
                <w:u w:val="single"/>
              </w:rPr>
            </w:pPr>
            <w:r w:rsidRPr="003F57AB">
              <w:rPr>
                <w:rStyle w:val="FormatvorlageInstructionsTabelleText"/>
                <w:rFonts w:ascii="Times New Roman" w:hAnsi="Times New Roman"/>
                <w:bCs/>
                <w:sz w:val="22"/>
              </w:rPr>
              <w:t>Instrumenti navadnega lastniškega temeljnega kapitala, ki so v lasti investicijskega podjetja.</w:t>
            </w:r>
          </w:p>
        </w:tc>
      </w:tr>
      <w:tr w:rsidR="00AE753A" w:rsidRPr="003F57AB" w14:paraId="0F4DEC21" w14:textId="77777777">
        <w:tc>
          <w:tcPr>
            <w:tcW w:w="1129" w:type="dxa"/>
          </w:tcPr>
          <w:p w14:paraId="5673962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B5422F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Posredni delež</w:t>
            </w:r>
            <w:r w:rsidRPr="003F57AB">
              <w:rPr>
                <w:rFonts w:ascii="Times New Roman" w:hAnsi="Times New Roman" w:cs="Times New Roman"/>
                <w:b/>
                <w:bCs/>
                <w:u w:val="single"/>
              </w:rPr>
              <w:t>i v instrumentih navadnega lastniškega temeljnega kapitala</w:t>
            </w:r>
          </w:p>
          <w:p w14:paraId="55CE64E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Člen 9(1), točka (i), Uredbe (EU) 2019/2033.</w:t>
            </w:r>
          </w:p>
          <w:p w14:paraId="6A01BF77" w14:textId="77777777" w:rsidR="00AE753A" w:rsidRPr="003F57AB" w:rsidRDefault="003F57AB">
            <w:pPr>
              <w:spacing w:after="120" w:line="240" w:lineRule="auto"/>
              <w:jc w:val="both"/>
              <w:rPr>
                <w:rFonts w:ascii="Times New Roman" w:eastAsia="Times New Roman" w:hAnsi="Times New Roman" w:cs="Times New Roman"/>
              </w:rPr>
            </w:pPr>
            <w:r w:rsidRPr="003F57AB">
              <w:rPr>
                <w:rFonts w:ascii="Times New Roman" w:hAnsi="Times New Roman" w:cs="Times New Roman"/>
              </w:rPr>
              <w:lastRenderedPageBreak/>
              <w:t>Člen 36(1), točka (f), in člen 42 Uredbe (EU) št. 575/2013.</w:t>
            </w:r>
          </w:p>
          <w:p w14:paraId="601B385B" w14:textId="77777777" w:rsidR="00AE753A" w:rsidRPr="003F57AB" w:rsidRDefault="003F57AB">
            <w:pPr>
              <w:spacing w:after="120" w:line="240" w:lineRule="auto"/>
              <w:jc w:val="both"/>
              <w:rPr>
                <w:rFonts w:ascii="Times New Roman" w:eastAsia="Times New Roman" w:hAnsi="Times New Roman" w:cs="Times New Roman"/>
              </w:rPr>
            </w:pPr>
            <w:r w:rsidRPr="003F57AB">
              <w:rPr>
                <w:rFonts w:ascii="Times New Roman" w:hAnsi="Times New Roman" w:cs="Times New Roman"/>
              </w:rPr>
              <w:t xml:space="preserve">Instrumenti navadnega lastniškega temeljnega kapitala, ki so v lasti </w:t>
            </w:r>
            <w:r w:rsidRPr="003F57AB">
              <w:rPr>
                <w:rFonts w:ascii="Times New Roman" w:hAnsi="Times New Roman" w:cs="Times New Roman"/>
              </w:rPr>
              <w:t>investicijskega podjetja.</w:t>
            </w:r>
          </w:p>
        </w:tc>
      </w:tr>
      <w:tr w:rsidR="00AE753A" w:rsidRPr="003F57AB" w14:paraId="76EBFAEE" w14:textId="77777777">
        <w:tc>
          <w:tcPr>
            <w:tcW w:w="1129" w:type="dxa"/>
          </w:tcPr>
          <w:p w14:paraId="3B68652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EFCBD9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Sintetični deleži v instrumentih navadnega lastniškega temeljnega kapitala</w:t>
            </w:r>
          </w:p>
          <w:p w14:paraId="310132F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(i), Uredbe (EU) 2019/2033.</w:t>
            </w:r>
          </w:p>
          <w:p w14:paraId="160C74D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Člen 4(1), točka 114, člen 36(1), točka (f), in člen 42 Uredbe (EU) št. 575/2013.</w:t>
            </w:r>
          </w:p>
        </w:tc>
      </w:tr>
      <w:tr w:rsidR="00AE753A" w:rsidRPr="003F57AB" w14:paraId="4059DE40" w14:textId="77777777">
        <w:tc>
          <w:tcPr>
            <w:tcW w:w="1129" w:type="dxa"/>
          </w:tcPr>
          <w:p w14:paraId="5606629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E01048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 </w:t>
            </w:r>
            <w:r w:rsidRPr="003F57AB">
              <w:rPr>
                <w:rFonts w:ascii="Times New Roman" w:hAnsi="Times New Roman" w:cs="Times New Roman"/>
                <w:b/>
                <w:bCs/>
                <w:u w:val="single"/>
              </w:rPr>
              <w:t>Izgube tekočega poslovnega leta</w:t>
            </w:r>
          </w:p>
          <w:p w14:paraId="1816DE4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Člen 36(1), točka (a), Uredbe (EU) št. 575/2013.</w:t>
            </w:r>
          </w:p>
        </w:tc>
      </w:tr>
      <w:tr w:rsidR="00AE753A" w:rsidRPr="003F57AB" w14:paraId="1B2FE69F" w14:textId="77777777">
        <w:tc>
          <w:tcPr>
            <w:tcW w:w="1129" w:type="dxa"/>
          </w:tcPr>
          <w:p w14:paraId="52B0074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141A5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Dobro ime</w:t>
            </w:r>
          </w:p>
          <w:p w14:paraId="0C42620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(i), Uredbe (EU) 2019/2033.</w:t>
            </w:r>
          </w:p>
          <w:p w14:paraId="69B68C4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Člen 4(1), točka 113, člen 36(1), točka (b), in člen 37 Uredbe (EU) št. 575/2013.</w:t>
            </w:r>
          </w:p>
        </w:tc>
      </w:tr>
      <w:tr w:rsidR="00AE753A" w:rsidRPr="003F57AB" w14:paraId="441D3BF9" w14:textId="77777777">
        <w:tc>
          <w:tcPr>
            <w:tcW w:w="1129" w:type="dxa"/>
          </w:tcPr>
          <w:p w14:paraId="17AF140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A098E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 Druga </w:t>
            </w:r>
            <w:r w:rsidRPr="003F57AB">
              <w:rPr>
                <w:rFonts w:ascii="Times New Roman" w:hAnsi="Times New Roman" w:cs="Times New Roman"/>
                <w:b/>
                <w:bCs/>
                <w:u w:val="single"/>
              </w:rPr>
              <w:t>neopredmetena sredstva</w:t>
            </w:r>
          </w:p>
          <w:p w14:paraId="5616A48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Člen 9(1), točka (i), Uredbe (EU) 2019/2033.</w:t>
            </w:r>
          </w:p>
          <w:p w14:paraId="3DB24A8C" w14:textId="77777777" w:rsidR="00AE753A" w:rsidRPr="003F57AB" w:rsidRDefault="003F57AB">
            <w:pPr>
              <w:pStyle w:val="InstructionsText"/>
              <w:rPr>
                <w:rStyle w:val="FormatvorlageInstructionsTabelleText"/>
                <w:rFonts w:ascii="Times New Roman" w:eastAsiaTheme="minorHAnsi" w:hAnsi="Times New Roman"/>
                <w:bCs/>
                <w:sz w:val="22"/>
                <w:szCs w:val="22"/>
              </w:rPr>
            </w:pPr>
            <w:r w:rsidRPr="003F57AB">
              <w:rPr>
                <w:rStyle w:val="FormatvorlageInstructionsTabelleText"/>
                <w:rFonts w:ascii="Times New Roman" w:hAnsi="Times New Roman"/>
                <w:sz w:val="22"/>
                <w:szCs w:val="22"/>
              </w:rPr>
              <w:t>Člen 4(1), točka 115, člen 36(1), točka (b), in člen 37, točka (a), Uredbe (EU) št. 575/2013.</w:t>
            </w:r>
          </w:p>
          <w:p w14:paraId="7BE2BA9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Druga neopredmetena sredstva so neopredmetena sredstva v skladu z veljavnim računovodskim stan</w:t>
            </w:r>
            <w:r w:rsidRPr="003F57AB">
              <w:rPr>
                <w:rStyle w:val="FormatvorlageInstructionsTabelleText"/>
                <w:rFonts w:ascii="Times New Roman" w:hAnsi="Times New Roman"/>
                <w:sz w:val="22"/>
              </w:rPr>
              <w:t>dardom, pri čemer se ne upošteva dobro ime, prav tako v skladu z veljavnim računovodskim standardom.</w:t>
            </w:r>
          </w:p>
        </w:tc>
      </w:tr>
      <w:tr w:rsidR="00AE753A" w:rsidRPr="003F57AB" w14:paraId="15E00680" w14:textId="77777777">
        <w:tc>
          <w:tcPr>
            <w:tcW w:w="1129" w:type="dxa"/>
          </w:tcPr>
          <w:p w14:paraId="3092A8E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65AF6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Odložene terjatve za davek, ki se nanašajo na prihodnji dobiček in ne izhajajo iz začasnih razlik, zmanjšane za povezane obveznosti za davek</w:t>
            </w:r>
          </w:p>
          <w:p w14:paraId="29060EC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w:t>
            </w:r>
            <w:r w:rsidRPr="003F57AB">
              <w:rPr>
                <w:rFonts w:ascii="Times New Roman" w:hAnsi="Times New Roman" w:cs="Times New Roman"/>
                <w:bCs/>
              </w:rPr>
              <w:t xml:space="preserve"> 9(2), točka (a), Uredbe (EU) št. 2019/2033.</w:t>
            </w:r>
          </w:p>
          <w:p w14:paraId="6872C44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36(1), točka (c), Uredbe (EU) št. 575/2013.</w:t>
            </w:r>
          </w:p>
        </w:tc>
      </w:tr>
      <w:tr w:rsidR="00AE753A" w:rsidRPr="003F57AB" w14:paraId="767C032B" w14:textId="77777777">
        <w:tc>
          <w:tcPr>
            <w:tcW w:w="1129" w:type="dxa"/>
          </w:tcPr>
          <w:p w14:paraId="4E660CE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09E0C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Kvalificiran delež izven finančnega sektorja, ki presega 15 % kapitala investicijskega podjetja</w:t>
            </w:r>
          </w:p>
          <w:p w14:paraId="6201B4A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10(1), točka (a), Uredbe (EU) št. 2019/2033.</w:t>
            </w:r>
          </w:p>
        </w:tc>
      </w:tr>
      <w:tr w:rsidR="00AE753A" w:rsidRPr="003F57AB" w14:paraId="2547C4DA" w14:textId="77777777">
        <w:tc>
          <w:tcPr>
            <w:tcW w:w="1129" w:type="dxa"/>
          </w:tcPr>
          <w:p w14:paraId="0E9271A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1FA07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Skupaj kvalificirani deleži v podjetjih, ki niso subjekti finančnega sektorja, ki presega 60 % kapitala podjetja</w:t>
            </w:r>
          </w:p>
          <w:p w14:paraId="0F5AB11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10(1), točka (b), Uredbe (EU) št. 2019/2033.</w:t>
            </w:r>
          </w:p>
        </w:tc>
      </w:tr>
      <w:tr w:rsidR="00AE753A" w:rsidRPr="003F57AB" w14:paraId="07FDD372" w14:textId="77777777">
        <w:tc>
          <w:tcPr>
            <w:tcW w:w="1129" w:type="dxa"/>
          </w:tcPr>
          <w:p w14:paraId="4D57935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BC80F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 Instrumenti navadnega lastniškega temeljnega kapitala subjektov </w:t>
            </w:r>
            <w:r w:rsidRPr="003F57AB">
              <w:rPr>
                <w:rFonts w:ascii="Times New Roman" w:hAnsi="Times New Roman" w:cs="Times New Roman"/>
                <w:b/>
                <w:bCs/>
                <w:u w:val="single"/>
              </w:rPr>
              <w:t>finančnega sektorja, v katerih investicijsko podjetje nima pomembne naložbe</w:t>
            </w:r>
          </w:p>
          <w:p w14:paraId="61AD6AE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9(2), točka (c), Uredbe (EU) 2019/2033.</w:t>
            </w:r>
          </w:p>
          <w:p w14:paraId="54EC4AC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Člen 36(1), točka (h), Uredbe (EU) št. 575/2013.</w:t>
            </w:r>
          </w:p>
        </w:tc>
      </w:tr>
      <w:tr w:rsidR="00AE753A" w:rsidRPr="003F57AB" w14:paraId="4E1822CF" w14:textId="77777777">
        <w:tc>
          <w:tcPr>
            <w:tcW w:w="1129" w:type="dxa"/>
          </w:tcPr>
          <w:p w14:paraId="2FA5686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7A2DC6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 Instrumenti navadnega lastniškega temeljnega kapitala subjektov </w:t>
            </w:r>
            <w:r w:rsidRPr="003F57AB">
              <w:rPr>
                <w:rFonts w:ascii="Times New Roman" w:hAnsi="Times New Roman" w:cs="Times New Roman"/>
                <w:b/>
                <w:bCs/>
                <w:u w:val="single"/>
              </w:rPr>
              <w:t>finančnega sektorja, v katerih ima investicijsko podjetje pomembno naložbo</w:t>
            </w:r>
          </w:p>
          <w:p w14:paraId="3DEF5DD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Člen 9(2), točka (d), Uredbe (EU) št. 2019/2033.</w:t>
            </w:r>
          </w:p>
          <w:p w14:paraId="22EF36D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Člen 36(1), točka (i), Uredbe (EU) 575/2013.</w:t>
            </w:r>
          </w:p>
        </w:tc>
      </w:tr>
      <w:tr w:rsidR="00AE753A" w:rsidRPr="003F57AB" w14:paraId="235D1791" w14:textId="77777777">
        <w:tc>
          <w:tcPr>
            <w:tcW w:w="1129" w:type="dxa"/>
          </w:tcPr>
          <w:p w14:paraId="0EFC425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89764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Sredstva pokojninskega sklada z določenimi pravicami</w:t>
            </w:r>
          </w:p>
          <w:p w14:paraId="7A8B022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Člen 9(2), točka (b), Ur</w:t>
            </w:r>
            <w:r w:rsidRPr="003F57AB">
              <w:rPr>
                <w:rFonts w:ascii="Times New Roman" w:hAnsi="Times New Roman" w:cs="Times New Roman"/>
              </w:rPr>
              <w:t>edbe (EU) št. 2019/2033.</w:t>
            </w:r>
          </w:p>
          <w:p w14:paraId="41DF020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Člen 36(1), točka (e), Uredbe (EU) št. 575/2013.</w:t>
            </w:r>
          </w:p>
        </w:tc>
      </w:tr>
      <w:tr w:rsidR="00AE753A" w:rsidRPr="003F57AB" w14:paraId="514B7CEB" w14:textId="77777777">
        <w:tc>
          <w:tcPr>
            <w:tcW w:w="1129" w:type="dxa"/>
          </w:tcPr>
          <w:p w14:paraId="455DCD6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9E877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Drugi odbitki</w:t>
            </w:r>
          </w:p>
          <w:p w14:paraId="6EBFDB4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lastRenderedPageBreak/>
              <w:t>Vsota vseh drugih odbitkov v skladu s členom 36(1) Uredbe (EU) št. 575/2013, ki niso vključeni v nobeno od vrstic 0150 do 0270 zgoraj.</w:t>
            </w:r>
          </w:p>
        </w:tc>
      </w:tr>
      <w:tr w:rsidR="00AE753A" w:rsidRPr="003F57AB" w14:paraId="0DCD9DBE" w14:textId="77777777">
        <w:tc>
          <w:tcPr>
            <w:tcW w:w="1129" w:type="dxa"/>
          </w:tcPr>
          <w:p w14:paraId="58042CA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33197A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Navadni </w:t>
            </w:r>
            <w:r w:rsidRPr="003F57AB">
              <w:rPr>
                <w:rFonts w:ascii="Times New Roman" w:hAnsi="Times New Roman" w:cs="Times New Roman"/>
                <w:b/>
                <w:bCs/>
                <w:u w:val="single"/>
              </w:rPr>
              <w:t>lastniški temeljni kapital: drugi elementi, odbitki in prilagoditve kapitala</w:t>
            </w:r>
          </w:p>
          <w:p w14:paraId="10938FC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Ta vrstica vključuje vsoto naslednjih postavk, kjer je ustrezno:</w:t>
            </w:r>
          </w:p>
          <w:p w14:paraId="07FE876E"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prehodnih prilagoditev zaradi instrumentov navadnega lastniškega temeljnega kapitala, za katere se uporabljajo p</w:t>
            </w:r>
            <w:r w:rsidRPr="003F57AB">
              <w:rPr>
                <w:rFonts w:ascii="Times New Roman" w:hAnsi="Times New Roman" w:cs="Times New Roman"/>
                <w:bCs/>
              </w:rPr>
              <w:t>redhodna pravila (člen 483, odstavki 1, 2 in 3, ter členi 484 do 487 Uredbe (EU) št. 575/2013),</w:t>
            </w:r>
          </w:p>
          <w:p w14:paraId="4A9E2FCC"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prehodnih prilagoditev zaradi dodatnih manjšinskih deležev (člena 479 in 480 Uredbe (EU) št. 575/2013),</w:t>
            </w:r>
          </w:p>
          <w:p w14:paraId="319C7EBA"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 xml:space="preserve">drugih prehodnih prilagoditev navadnega lastniškega </w:t>
            </w:r>
            <w:r w:rsidRPr="003F57AB">
              <w:rPr>
                <w:rFonts w:ascii="Times New Roman" w:hAnsi="Times New Roman" w:cs="Times New Roman"/>
                <w:bCs/>
              </w:rPr>
              <w:t>temeljnega kapitala (členi 469 do 478 in 481 Uredbe (EU) št. 575/2013), prilagoditev odbitkov od navadnega lastniškega temeljnega kapitala zaradi prehodnih določb,</w:t>
            </w:r>
          </w:p>
          <w:p w14:paraId="5BB66256" w14:textId="77777777" w:rsidR="00AE753A" w:rsidRPr="003F57AB" w:rsidRDefault="003F57AB">
            <w:pPr>
              <w:spacing w:after="120" w:line="240" w:lineRule="auto"/>
              <w:ind w:left="360" w:hanging="360"/>
              <w:jc w:val="both"/>
              <w:rPr>
                <w:rFonts w:ascii="Times New Roman" w:eastAsia="Times New Roman" w:hAnsi="Times New Roman" w:cs="Times New Roman"/>
                <w:b/>
                <w:bCs/>
                <w:u w:val="single"/>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drugih elementov navadnega lastniškega temeljnega kapitala ali odbitkov od elementa navadn</w:t>
            </w:r>
            <w:r w:rsidRPr="003F57AB">
              <w:rPr>
                <w:rFonts w:ascii="Times New Roman" w:hAnsi="Times New Roman" w:cs="Times New Roman"/>
                <w:bCs/>
              </w:rPr>
              <w:t>ega lastniškega temeljnega kapitala, ki se ne morejo razvrstiti v eno od vrstic 0040 do 0280.</w:t>
            </w:r>
          </w:p>
          <w:p w14:paraId="7EE762F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Ta vrstica se ne uporabi za vključitev kapitalskih postavk ali odbitkov, ki v skladu z Uredbo (EU) 2019/2033 ali Uredbo (EU) št. 575/2013 niso zajeti v izračun ko</w:t>
            </w:r>
            <w:r w:rsidRPr="003F57AB">
              <w:rPr>
                <w:rFonts w:ascii="Times New Roman" w:hAnsi="Times New Roman" w:cs="Times New Roman"/>
                <w:bCs/>
              </w:rPr>
              <w:t>ličnikov kapitalske ustreznosti.</w:t>
            </w:r>
            <w:r w:rsidRPr="003F57AB">
              <w:rPr>
                <w:rFonts w:ascii="Times New Roman" w:hAnsi="Times New Roman" w:cs="Times New Roman"/>
                <w:b/>
                <w:bCs/>
                <w:u w:val="single"/>
              </w:rPr>
              <w:t xml:space="preserve"> </w:t>
            </w:r>
          </w:p>
        </w:tc>
      </w:tr>
      <w:tr w:rsidR="00AE753A" w:rsidRPr="003F57AB" w14:paraId="756C76CE" w14:textId="77777777">
        <w:tc>
          <w:tcPr>
            <w:tcW w:w="1129" w:type="dxa"/>
          </w:tcPr>
          <w:p w14:paraId="2429320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B72071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DODATNI TEMELJNI KAPITAL</w:t>
            </w:r>
          </w:p>
          <w:p w14:paraId="4088076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Uredbe (EU) 2019/2033.</w:t>
            </w:r>
          </w:p>
          <w:p w14:paraId="3D90DDC6"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rPr>
              <w:t>Člen 61 Uredbe (EU) št. 575/2013.</w:t>
            </w:r>
          </w:p>
          <w:p w14:paraId="7998C93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Poroča se vsota vrstic 0310–0330 in 0410.</w:t>
            </w:r>
          </w:p>
        </w:tc>
      </w:tr>
      <w:tr w:rsidR="00AE753A" w:rsidRPr="003F57AB" w14:paraId="3EE0C9A0" w14:textId="77777777">
        <w:tc>
          <w:tcPr>
            <w:tcW w:w="1129" w:type="dxa"/>
          </w:tcPr>
          <w:p w14:paraId="5D16BAA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02FE8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 celoti vplačani, neposredno izdani kapitalski instrumenti</w:t>
            </w:r>
          </w:p>
          <w:p w14:paraId="29EAFF1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9(1), </w:t>
            </w:r>
            <w:r w:rsidRPr="003F57AB">
              <w:rPr>
                <w:rFonts w:ascii="Times New Roman" w:hAnsi="Times New Roman" w:cs="Times New Roman"/>
                <w:bCs/>
              </w:rPr>
              <w:t>točka (i), Uredbe (EU) 2019/2033.</w:t>
            </w:r>
          </w:p>
          <w:p w14:paraId="37492033" w14:textId="77777777" w:rsidR="00AE753A" w:rsidRPr="003F57AB" w:rsidRDefault="003F57AB">
            <w:pPr>
              <w:pStyle w:val="InstructionsText"/>
              <w:rPr>
                <w:rStyle w:val="FormatvorlageInstructionsTabelleText"/>
                <w:rFonts w:ascii="Times New Roman" w:hAnsi="Times New Roman"/>
                <w:sz w:val="22"/>
                <w:szCs w:val="22"/>
              </w:rPr>
            </w:pPr>
            <w:r w:rsidRPr="003F57AB">
              <w:rPr>
                <w:rFonts w:cs="Times New Roman"/>
              </w:rPr>
              <w:t>Člen 51, točka (a), in členi 52, 53 ter 54 Uredbe (EU) št. 575/2013.</w:t>
            </w:r>
          </w:p>
          <w:p w14:paraId="0B650E4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Znesek, ki se poroča, ne vključuje vplačanega presežka kapitala, povezanega z instrumenti.</w:t>
            </w:r>
          </w:p>
        </w:tc>
      </w:tr>
      <w:tr w:rsidR="00AE753A" w:rsidRPr="003F57AB" w14:paraId="64EB2F02" w14:textId="77777777">
        <w:tc>
          <w:tcPr>
            <w:tcW w:w="1129" w:type="dxa"/>
          </w:tcPr>
          <w:p w14:paraId="50A3DC2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42E7D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Vplačani presežek kapitala</w:t>
            </w:r>
          </w:p>
          <w:p w14:paraId="56C50B1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9(1), točka (i), </w:t>
            </w:r>
            <w:r w:rsidRPr="003F57AB">
              <w:rPr>
                <w:rFonts w:ascii="Times New Roman" w:hAnsi="Times New Roman" w:cs="Times New Roman"/>
                <w:bCs/>
              </w:rPr>
              <w:t>Uredbe (EU) 2019/2033.</w:t>
            </w:r>
          </w:p>
          <w:p w14:paraId="6047E924" w14:textId="77777777" w:rsidR="00AE753A" w:rsidRPr="003F57AB" w:rsidRDefault="003F57AB">
            <w:pPr>
              <w:pStyle w:val="InstructionsText"/>
              <w:rPr>
                <w:rStyle w:val="FormatvorlageInstructionsTabelleText"/>
                <w:rFonts w:ascii="Times New Roman" w:hAnsi="Times New Roman"/>
                <w:sz w:val="22"/>
                <w:szCs w:val="22"/>
              </w:rPr>
            </w:pPr>
            <w:r w:rsidRPr="003F57AB">
              <w:rPr>
                <w:rFonts w:cs="Times New Roman"/>
              </w:rPr>
              <w:t>Člen 51, točka (b), Uredbe (EU) št. 575/2013.</w:t>
            </w:r>
          </w:p>
          <w:p w14:paraId="41C7FE38"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Vplačani presežek kapitala ima enak pomen kot v skladu z veljavnim računovodskim standardom.</w:t>
            </w:r>
          </w:p>
          <w:p w14:paraId="307072A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Znesek, ki se poroča v okviru te postavke, je del, povezan z „vplačanimi kapitalskimi instrume</w:t>
            </w:r>
            <w:r w:rsidRPr="003F57AB">
              <w:rPr>
                <w:rStyle w:val="FormatvorlageInstructionsTabelleText"/>
                <w:rFonts w:ascii="Times New Roman" w:hAnsi="Times New Roman"/>
                <w:sz w:val="22"/>
              </w:rPr>
              <w:t>nti“.</w:t>
            </w:r>
          </w:p>
        </w:tc>
      </w:tr>
      <w:tr w:rsidR="00AE753A" w:rsidRPr="003F57AB" w14:paraId="71A97CB1" w14:textId="77777777">
        <w:tc>
          <w:tcPr>
            <w:tcW w:w="1129" w:type="dxa"/>
          </w:tcPr>
          <w:p w14:paraId="2D773E5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A0391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SKUPAJ ODBITKI OD DODATNEGA TEMELJNEGA KAPITALA</w:t>
            </w:r>
          </w:p>
          <w:p w14:paraId="67BA45B9" w14:textId="77777777" w:rsidR="00AE753A" w:rsidRPr="003F57AB" w:rsidRDefault="003F57AB">
            <w:pPr>
              <w:spacing w:before="60" w:after="60"/>
              <w:rPr>
                <w:rFonts w:ascii="Times New Roman" w:hAnsi="Times New Roman" w:cs="Times New Roman"/>
              </w:rPr>
            </w:pPr>
            <w:r w:rsidRPr="003F57AB">
              <w:rPr>
                <w:rFonts w:ascii="Times New Roman" w:hAnsi="Times New Roman" w:cs="Times New Roman"/>
              </w:rPr>
              <w:t>Člen 56 Uredbe (EU) št. 575/2013.</w:t>
            </w:r>
          </w:p>
          <w:p w14:paraId="7011B06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Poroča se vsota vrstic 0340 in 0380–0400.</w:t>
            </w:r>
          </w:p>
        </w:tc>
      </w:tr>
      <w:tr w:rsidR="00AE753A" w:rsidRPr="003F57AB" w14:paraId="3F142FAD" w14:textId="77777777">
        <w:tc>
          <w:tcPr>
            <w:tcW w:w="1129" w:type="dxa"/>
          </w:tcPr>
          <w:p w14:paraId="0E21765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C5613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Lastni instrumenti dodatnega temeljnega kapitala</w:t>
            </w:r>
          </w:p>
          <w:p w14:paraId="13302A2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(i), Uredbe (EU) 2019/2033.</w:t>
            </w:r>
          </w:p>
          <w:p w14:paraId="39CD7DC5" w14:textId="77777777" w:rsidR="00AE753A" w:rsidRPr="003F57AB" w:rsidRDefault="003F57AB">
            <w:pPr>
              <w:pStyle w:val="InstructionsText"/>
              <w:rPr>
                <w:rStyle w:val="FormatvorlageInstructionsTabelleText"/>
                <w:rFonts w:ascii="Times New Roman" w:eastAsiaTheme="minorHAnsi" w:hAnsi="Times New Roman"/>
                <w:bCs/>
                <w:sz w:val="22"/>
                <w:szCs w:val="22"/>
              </w:rPr>
            </w:pPr>
            <w:r w:rsidRPr="003F57AB">
              <w:rPr>
                <w:rFonts w:cs="Times New Roman"/>
              </w:rPr>
              <w:t xml:space="preserve">Člen </w:t>
            </w:r>
            <w:r w:rsidRPr="003F57AB">
              <w:rPr>
                <w:rFonts w:cs="Times New Roman"/>
              </w:rPr>
              <w:t>52(1), točka (b), člen 56, točka (a), in člen 57 Uredbe (EU) št. 575/2013.</w:t>
            </w:r>
          </w:p>
          <w:p w14:paraId="1B5ECE7A"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 xml:space="preserve">Lastni instrumenti dodatnega temeljnega kapitala, ki jih ima investicijsko podjetje na datum poročanja. </w:t>
            </w:r>
            <w:r w:rsidRPr="003F57AB">
              <w:rPr>
                <w:rFonts w:cs="Times New Roman"/>
              </w:rPr>
              <w:t>Veljajo izjeme iz člena 57 Uredbe (EU) št. 575/2013.</w:t>
            </w:r>
          </w:p>
          <w:p w14:paraId="1F23E4FB" w14:textId="77777777" w:rsidR="00AE753A" w:rsidRPr="003F57AB" w:rsidRDefault="003F57AB">
            <w:pPr>
              <w:pStyle w:val="InstructionsText"/>
              <w:rPr>
                <w:rFonts w:cs="Times New Roman"/>
              </w:rPr>
            </w:pPr>
            <w:r w:rsidRPr="003F57AB">
              <w:rPr>
                <w:rStyle w:val="FormatvorlageInstructionsTabelleText"/>
                <w:rFonts w:ascii="Times New Roman" w:hAnsi="Times New Roman"/>
                <w:sz w:val="22"/>
                <w:szCs w:val="22"/>
              </w:rPr>
              <w:lastRenderedPageBreak/>
              <w:t>Znesek, ki se poroča, vk</w:t>
            </w:r>
            <w:r w:rsidRPr="003F57AB">
              <w:rPr>
                <w:rStyle w:val="FormatvorlageInstructionsTabelleText"/>
                <w:rFonts w:ascii="Times New Roman" w:hAnsi="Times New Roman"/>
                <w:sz w:val="22"/>
                <w:szCs w:val="22"/>
              </w:rPr>
              <w:t>ljučuje presežek kapitala, povezan z lastnimi delnicami.</w:t>
            </w:r>
          </w:p>
        </w:tc>
      </w:tr>
      <w:tr w:rsidR="00AE753A" w:rsidRPr="003F57AB" w14:paraId="74846CB5" w14:textId="77777777">
        <w:tc>
          <w:tcPr>
            <w:tcW w:w="1129" w:type="dxa"/>
          </w:tcPr>
          <w:p w14:paraId="0475C60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3BE87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Neposredni deleži v instrumentih dodatnega temeljnega kapitala</w:t>
            </w:r>
          </w:p>
          <w:p w14:paraId="565308B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9(2), točka (c), Uredbe (EU) 2019/2033.</w:t>
            </w:r>
          </w:p>
          <w:p w14:paraId="4A81E6E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56, točka (a), Uredbe (EU) št. 575/2013.</w:t>
            </w:r>
          </w:p>
        </w:tc>
      </w:tr>
      <w:tr w:rsidR="00AE753A" w:rsidRPr="003F57AB" w14:paraId="7086DB0E" w14:textId="77777777">
        <w:tc>
          <w:tcPr>
            <w:tcW w:w="1129" w:type="dxa"/>
          </w:tcPr>
          <w:p w14:paraId="174B437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67A1F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 Posredni deleži v </w:t>
            </w:r>
            <w:r w:rsidRPr="003F57AB">
              <w:rPr>
                <w:rFonts w:ascii="Times New Roman" w:hAnsi="Times New Roman" w:cs="Times New Roman"/>
                <w:b/>
                <w:bCs/>
                <w:u w:val="single"/>
              </w:rPr>
              <w:t>instrumentih dodatnega temeljnega kapitala</w:t>
            </w:r>
          </w:p>
          <w:p w14:paraId="4BBD5EF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9(2), točka (c), Uredbe (EU) 2019/2033.</w:t>
            </w:r>
          </w:p>
          <w:p w14:paraId="3AF1FD1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56, točka (a), Uredbe (EU) št. 575/2013.</w:t>
            </w:r>
          </w:p>
        </w:tc>
      </w:tr>
      <w:tr w:rsidR="00AE753A" w:rsidRPr="003F57AB" w14:paraId="7C0F8021" w14:textId="77777777">
        <w:tc>
          <w:tcPr>
            <w:tcW w:w="1129" w:type="dxa"/>
          </w:tcPr>
          <w:p w14:paraId="008E8C6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7ADA0B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Sintetični deleži v instrumentih dodatnega temeljnega kapitala</w:t>
            </w:r>
          </w:p>
          <w:p w14:paraId="5AFC518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9(2), točka (c), Uredbe (EU) </w:t>
            </w:r>
            <w:r w:rsidRPr="003F57AB">
              <w:rPr>
                <w:rFonts w:ascii="Times New Roman" w:hAnsi="Times New Roman" w:cs="Times New Roman"/>
                <w:bCs/>
              </w:rPr>
              <w:t>2019/2033.</w:t>
            </w:r>
          </w:p>
          <w:p w14:paraId="1CD03F0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56, točka (a), Uredbe (EU) št. 575/2013.</w:t>
            </w:r>
          </w:p>
        </w:tc>
      </w:tr>
      <w:tr w:rsidR="00AE753A" w:rsidRPr="003F57AB" w14:paraId="0D696782" w14:textId="77777777">
        <w:tc>
          <w:tcPr>
            <w:tcW w:w="1129" w:type="dxa"/>
          </w:tcPr>
          <w:p w14:paraId="79B36AD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16E03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Instrumenti dodatnega temeljnega kapitala subjektov finančnega sektorja, v katerih investicijsko podjetje nima pomembne naložbe</w:t>
            </w:r>
          </w:p>
          <w:p w14:paraId="4FA4B90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9(2), točka (c), Uredbe (EU) 2019/2033.</w:t>
            </w:r>
          </w:p>
          <w:p w14:paraId="7D5A548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56, točka (</w:t>
            </w:r>
            <w:r w:rsidRPr="003F57AB">
              <w:rPr>
                <w:rFonts w:ascii="Times New Roman" w:hAnsi="Times New Roman" w:cs="Times New Roman"/>
                <w:bCs/>
              </w:rPr>
              <w:t>c), Uredbe (EU) št. 575/2013.</w:t>
            </w:r>
          </w:p>
        </w:tc>
      </w:tr>
      <w:tr w:rsidR="00AE753A" w:rsidRPr="003F57AB" w14:paraId="40C51AC2" w14:textId="77777777">
        <w:tc>
          <w:tcPr>
            <w:tcW w:w="1129" w:type="dxa"/>
          </w:tcPr>
          <w:p w14:paraId="1FB49D0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EF7DA5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Instrumenti dodatnega temeljnega kapitala subjektov finančnega sektorja, v katerih ima investicijsko podjetje pomembno naložbo</w:t>
            </w:r>
          </w:p>
          <w:p w14:paraId="3581526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9(2), točka (c), Uredbe (EU) 2019/2033.</w:t>
            </w:r>
          </w:p>
          <w:p w14:paraId="3D42A51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56, točka (d), Uredbe (EU) št. 575/2013</w:t>
            </w:r>
            <w:r w:rsidRPr="003F57AB">
              <w:rPr>
                <w:rFonts w:ascii="Times New Roman" w:hAnsi="Times New Roman" w:cs="Times New Roman"/>
                <w:bCs/>
              </w:rPr>
              <w:t>.</w:t>
            </w:r>
          </w:p>
        </w:tc>
      </w:tr>
      <w:tr w:rsidR="00AE753A" w:rsidRPr="003F57AB" w14:paraId="744110B6" w14:textId="77777777">
        <w:tc>
          <w:tcPr>
            <w:tcW w:w="1129" w:type="dxa"/>
          </w:tcPr>
          <w:p w14:paraId="64A05A6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B9A1D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Drugi odbitki</w:t>
            </w:r>
          </w:p>
          <w:p w14:paraId="4A81E52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Vsota vseh drugih odbitkov v skladu s členom 56 Uredbe (EU) št. 575/2013, ki niso vključeni v nobeno od vrstic 0340 do 0390 zgoraj.</w:t>
            </w:r>
          </w:p>
        </w:tc>
      </w:tr>
      <w:tr w:rsidR="00AE753A" w:rsidRPr="003F57AB" w14:paraId="095A896E" w14:textId="77777777">
        <w:tc>
          <w:tcPr>
            <w:tcW w:w="1129" w:type="dxa"/>
          </w:tcPr>
          <w:p w14:paraId="7F2B068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A594C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Dodatni temeljni kapital: drugi elementi, odbitki in prilagoditve kapitala</w:t>
            </w:r>
          </w:p>
          <w:p w14:paraId="5B48566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Ta vrstica </w:t>
            </w:r>
            <w:r w:rsidRPr="003F57AB">
              <w:rPr>
                <w:rFonts w:ascii="Times New Roman" w:hAnsi="Times New Roman" w:cs="Times New Roman"/>
                <w:bCs/>
              </w:rPr>
              <w:t>vključuje vsoto naslednjih postavk, kjer je ustrezno:</w:t>
            </w:r>
          </w:p>
          <w:p w14:paraId="0127804B"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prehodnih prilagoditev zaradi instrumentov dodatnega temeljnega kapitala, za katere se uporabljajo predhodna pravila (člen 483, odstavka 4 in 5, členi 484 do 487 ter člena 489 in 491 Uredbe (EU) št. 5</w:t>
            </w:r>
            <w:r w:rsidRPr="003F57AB">
              <w:rPr>
                <w:rFonts w:ascii="Times New Roman" w:hAnsi="Times New Roman" w:cs="Times New Roman"/>
                <w:bCs/>
              </w:rPr>
              <w:t>75/2013),</w:t>
            </w:r>
          </w:p>
          <w:p w14:paraId="63716CAD"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instrumentov, ki jih izdajo odvisna podjetja, ki se pripoznajo v dodatnem temeljnem kapitalu (členi 83, 85 in 86 Uredbe (EU) št. 575/2013): vsota vseh zneskov kvalificiranega temeljnega kapitala odvisnih podjetij, vključena v konsolidirani doda</w:t>
            </w:r>
            <w:r w:rsidRPr="003F57AB">
              <w:rPr>
                <w:rFonts w:ascii="Times New Roman" w:hAnsi="Times New Roman" w:cs="Times New Roman"/>
                <w:bCs/>
              </w:rPr>
              <w:t>tni temeljni kapital, kar vključuje tudi kapital, ki ga izda subjekt s posebnim namenom (člen 83 Uredbe (EU) št. 575/2013),</w:t>
            </w:r>
          </w:p>
          <w:p w14:paraId="116301DE"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prehodnih prilagoditev zaradi dodatnega pripoznanja v instrumentih dodatnega temeljnega kapitala, ki jih izdajo odvisna podjetja (</w:t>
            </w:r>
            <w:r w:rsidRPr="003F57AB">
              <w:rPr>
                <w:rFonts w:ascii="Times New Roman" w:hAnsi="Times New Roman" w:cs="Times New Roman"/>
                <w:bCs/>
              </w:rPr>
              <w:t>člen 480 Uredbe (EU) št. 575/2013), prilagoditev kvalificiranega temeljnega kapitala, vključenega v konsolidirani dodatni temeljni kapital zaradi prehodnih določb,</w:t>
            </w:r>
          </w:p>
          <w:p w14:paraId="1E4B5880"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drugih prehodnih prilagoditev dodatnega temeljnega kapitala (členi 472, 473a, 474, 475, 47</w:t>
            </w:r>
            <w:r w:rsidRPr="003F57AB">
              <w:rPr>
                <w:rFonts w:ascii="Times New Roman" w:hAnsi="Times New Roman" w:cs="Times New Roman"/>
                <w:bCs/>
              </w:rPr>
              <w:t>8 in 481 Uredbe (EU) št. 575/2013): prilagoditve odbitkov zaradi prehodnih določb,</w:t>
            </w:r>
          </w:p>
          <w:p w14:paraId="4B8ED87A"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 xml:space="preserve">presežka odbitka od postavk dodatnega temeljnega kapitala nad dodatnim temeljnim kapitalom, odbitega od navadnega lastniškega temeljnega kapitala v skladu s členom 36(1), </w:t>
            </w:r>
            <w:r w:rsidRPr="003F57AB">
              <w:rPr>
                <w:rFonts w:ascii="Times New Roman" w:hAnsi="Times New Roman" w:cs="Times New Roman"/>
                <w:bCs/>
              </w:rPr>
              <w:t xml:space="preserve">točka (j), Uredbe (EU) št. 575/2013: dodatni temeljni kapital ne more biti negativen, vendar je mogoče, da odbitki od postavk dodatnega temeljnega kapitala presegajo znesek razpoložljivih postavk </w:t>
            </w:r>
            <w:r w:rsidRPr="003F57AB">
              <w:rPr>
                <w:rFonts w:ascii="Times New Roman" w:hAnsi="Times New Roman" w:cs="Times New Roman"/>
                <w:bCs/>
              </w:rPr>
              <w:lastRenderedPageBreak/>
              <w:t>dodatnega temeljnega kapitala. kadar pride do tega, ta posta</w:t>
            </w:r>
            <w:r w:rsidRPr="003F57AB">
              <w:rPr>
                <w:rFonts w:ascii="Times New Roman" w:hAnsi="Times New Roman" w:cs="Times New Roman"/>
                <w:bCs/>
              </w:rPr>
              <w:t>vka predstavlja znesek, potreben za povečanje zneska, sporočenega v vrstici 0300, na nič, in je enaka obratni vrednosti presežka odbitkov od postavk dodatnega temeljnega kapitala nad postavkami dodatnega temeljnega kapitala, ki je vključen med druge odbitk</w:t>
            </w:r>
            <w:r w:rsidRPr="003F57AB">
              <w:rPr>
                <w:rFonts w:ascii="Times New Roman" w:hAnsi="Times New Roman" w:cs="Times New Roman"/>
                <w:bCs/>
              </w:rPr>
              <w:t>e v vrstici 0280,</w:t>
            </w:r>
          </w:p>
          <w:p w14:paraId="4213A014"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drugih elementov dodatnega temeljnega kapitala ali odbitkov od elementa dodatnega temeljnega kapitala, ki se ne morejo razvrstiti v eno od vrstic 0310 do 0400.</w:t>
            </w:r>
          </w:p>
          <w:p w14:paraId="05F0FE5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Ta vrstica se ne uporabi za vključitev kapitalskih postavk ali </w:t>
            </w:r>
            <w:r w:rsidRPr="003F57AB">
              <w:rPr>
                <w:rFonts w:ascii="Times New Roman" w:hAnsi="Times New Roman" w:cs="Times New Roman"/>
                <w:bCs/>
              </w:rPr>
              <w:t>odbitkov, ki v skladu z Uredbo (EU) 2019/2033 ali Uredbo (EU) št. 575/2013 niso zajeti v izračun količnikov kapitalske ustreznosti.</w:t>
            </w:r>
          </w:p>
        </w:tc>
      </w:tr>
      <w:tr w:rsidR="00AE753A" w:rsidRPr="003F57AB" w14:paraId="20FB9A63" w14:textId="77777777">
        <w:tc>
          <w:tcPr>
            <w:tcW w:w="1129" w:type="dxa"/>
          </w:tcPr>
          <w:p w14:paraId="7157066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29E1F5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DODATNI KAPITAL</w:t>
            </w:r>
          </w:p>
          <w:p w14:paraId="77246EB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Uredbe (EU) 2019/2033.</w:t>
            </w:r>
          </w:p>
          <w:p w14:paraId="4BB87231" w14:textId="77777777" w:rsidR="00AE753A" w:rsidRPr="003F57AB" w:rsidRDefault="003F57AB">
            <w:pPr>
              <w:spacing w:after="120" w:line="240" w:lineRule="auto"/>
              <w:jc w:val="both"/>
              <w:rPr>
                <w:rStyle w:val="FormatvorlageInstructionsTabelleText"/>
                <w:rFonts w:ascii="Times New Roman" w:hAnsi="Times New Roman"/>
                <w:sz w:val="22"/>
              </w:rPr>
            </w:pPr>
            <w:r w:rsidRPr="003F57AB">
              <w:rPr>
                <w:rFonts w:ascii="Times New Roman" w:hAnsi="Times New Roman" w:cs="Times New Roman"/>
              </w:rPr>
              <w:t>Člen 71 Uredbe (EU) št. 575/2013.</w:t>
            </w:r>
          </w:p>
          <w:p w14:paraId="7E01AA9F" w14:textId="77777777" w:rsidR="00AE753A" w:rsidRPr="003F57AB" w:rsidRDefault="003F57AB">
            <w:pPr>
              <w:pStyle w:val="CommentText"/>
              <w:rPr>
                <w:rFonts w:ascii="Times New Roman" w:hAnsi="Times New Roman" w:cs="Times New Roman"/>
                <w:sz w:val="22"/>
                <w:szCs w:val="22"/>
              </w:rPr>
            </w:pPr>
            <w:r w:rsidRPr="003F57AB">
              <w:rPr>
                <w:rFonts w:ascii="Times New Roman" w:hAnsi="Times New Roman" w:cs="Times New Roman"/>
                <w:bCs/>
                <w:sz w:val="22"/>
                <w:szCs w:val="22"/>
              </w:rPr>
              <w:t xml:space="preserve">Poroča se vsota vrstic 0430 do </w:t>
            </w:r>
            <w:r w:rsidRPr="003F57AB">
              <w:rPr>
                <w:rFonts w:ascii="Times New Roman" w:hAnsi="Times New Roman" w:cs="Times New Roman"/>
                <w:bCs/>
                <w:sz w:val="22"/>
                <w:szCs w:val="22"/>
              </w:rPr>
              <w:t>0450 in 0520.</w:t>
            </w:r>
          </w:p>
        </w:tc>
      </w:tr>
      <w:tr w:rsidR="00AE753A" w:rsidRPr="003F57AB" w14:paraId="00BDCCB4" w14:textId="77777777">
        <w:tc>
          <w:tcPr>
            <w:tcW w:w="1129" w:type="dxa"/>
          </w:tcPr>
          <w:p w14:paraId="6F5E8EE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9DCE1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 celoti vplačani, neposredno izdani kapitalski instrumenti</w:t>
            </w:r>
          </w:p>
          <w:p w14:paraId="55F8715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(i), Uredbe (EU) 2019/2033.</w:t>
            </w:r>
          </w:p>
          <w:p w14:paraId="37202145" w14:textId="77777777" w:rsidR="00AE753A" w:rsidRPr="003F57AB" w:rsidRDefault="003F57AB">
            <w:pPr>
              <w:pStyle w:val="InstructionsText"/>
              <w:rPr>
                <w:rStyle w:val="FormatvorlageInstructionsTabelleText"/>
                <w:rFonts w:ascii="Times New Roman" w:eastAsiaTheme="minorHAnsi" w:hAnsi="Times New Roman"/>
                <w:bCs/>
                <w:sz w:val="22"/>
                <w:szCs w:val="22"/>
              </w:rPr>
            </w:pPr>
            <w:r w:rsidRPr="003F57AB">
              <w:rPr>
                <w:rFonts w:cs="Times New Roman"/>
                <w:sz w:val="22"/>
                <w:szCs w:val="22"/>
              </w:rPr>
              <w:t>Člen 62, točka (a), in člena 63 ter 65 Uredbe (EU) št. 575/2013.</w:t>
            </w:r>
          </w:p>
          <w:p w14:paraId="66A91CA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 xml:space="preserve">Znesek, ki se poroča, ne vključuje vplačanega presežka </w:t>
            </w:r>
            <w:r w:rsidRPr="003F57AB">
              <w:rPr>
                <w:rStyle w:val="FormatvorlageInstructionsTabelleText"/>
                <w:rFonts w:ascii="Times New Roman" w:hAnsi="Times New Roman"/>
                <w:sz w:val="22"/>
              </w:rPr>
              <w:t>kapitala, povezanega z instrumenti.</w:t>
            </w:r>
          </w:p>
        </w:tc>
      </w:tr>
      <w:tr w:rsidR="00AE753A" w:rsidRPr="003F57AB" w14:paraId="22753939" w14:textId="77777777">
        <w:tc>
          <w:tcPr>
            <w:tcW w:w="1129" w:type="dxa"/>
          </w:tcPr>
          <w:p w14:paraId="0C62BD2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00527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Vplačani presežek kapitala</w:t>
            </w:r>
          </w:p>
          <w:p w14:paraId="7E69ADB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(i), Uredbe (EU) 2019/2033.</w:t>
            </w:r>
          </w:p>
          <w:p w14:paraId="373AF47E" w14:textId="77777777" w:rsidR="00AE753A" w:rsidRPr="003F57AB" w:rsidRDefault="003F57AB">
            <w:pPr>
              <w:pStyle w:val="InstructionsText"/>
              <w:rPr>
                <w:rStyle w:val="FormatvorlageInstructionsTabelleText"/>
                <w:rFonts w:ascii="Times New Roman" w:hAnsi="Times New Roman"/>
                <w:sz w:val="22"/>
                <w:szCs w:val="22"/>
              </w:rPr>
            </w:pPr>
            <w:r w:rsidRPr="003F57AB">
              <w:rPr>
                <w:rFonts w:cs="Times New Roman"/>
                <w:sz w:val="22"/>
                <w:szCs w:val="22"/>
              </w:rPr>
              <w:t>Člen 62, točka (b), in člen 65 Uredbe (EU) št. 575/2013.</w:t>
            </w:r>
          </w:p>
          <w:p w14:paraId="6BC24E87"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 xml:space="preserve">Vplačani presežek kapitala ima enak pomen kot v skladu z veljavnim </w:t>
            </w:r>
            <w:r w:rsidRPr="003F57AB">
              <w:rPr>
                <w:rStyle w:val="FormatvorlageInstructionsTabelleText"/>
                <w:rFonts w:ascii="Times New Roman" w:hAnsi="Times New Roman"/>
                <w:sz w:val="22"/>
                <w:szCs w:val="22"/>
              </w:rPr>
              <w:t>računovodskim standardom.</w:t>
            </w:r>
          </w:p>
          <w:p w14:paraId="184B7932" w14:textId="77777777" w:rsidR="00AE753A" w:rsidRPr="003F57AB" w:rsidRDefault="003F57AB">
            <w:pPr>
              <w:pStyle w:val="InstructionsText"/>
              <w:rPr>
                <w:rFonts w:cs="Times New Roman"/>
                <w:sz w:val="22"/>
                <w:szCs w:val="22"/>
              </w:rPr>
            </w:pPr>
            <w:r w:rsidRPr="003F57AB">
              <w:rPr>
                <w:rStyle w:val="FormatvorlageInstructionsTabelleText"/>
                <w:rFonts w:ascii="Times New Roman" w:hAnsi="Times New Roman"/>
                <w:sz w:val="22"/>
                <w:szCs w:val="22"/>
              </w:rPr>
              <w:t>Znesek, ki se poroča v okviru te postavke, je del, povezan z „vplačanimi kapitalskimi instrumenti“.</w:t>
            </w:r>
          </w:p>
        </w:tc>
      </w:tr>
      <w:tr w:rsidR="00AE753A" w:rsidRPr="003F57AB" w14:paraId="56D57A19" w14:textId="77777777">
        <w:tc>
          <w:tcPr>
            <w:tcW w:w="1129" w:type="dxa"/>
          </w:tcPr>
          <w:p w14:paraId="0621132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E98C8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SKUPAJ ODBITKI OD DODATNEGA KAPITALA</w:t>
            </w:r>
          </w:p>
          <w:p w14:paraId="43C0CF1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Člen 66 Uredbe (EU) št. 575/2013.</w:t>
            </w:r>
          </w:p>
        </w:tc>
      </w:tr>
      <w:tr w:rsidR="00AE753A" w:rsidRPr="003F57AB" w14:paraId="7B59C87C" w14:textId="77777777">
        <w:tc>
          <w:tcPr>
            <w:tcW w:w="1129" w:type="dxa"/>
          </w:tcPr>
          <w:p w14:paraId="56B9FBA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F7349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 Lastni instrumenti dodatnega </w:t>
            </w:r>
            <w:r w:rsidRPr="003F57AB">
              <w:rPr>
                <w:rFonts w:ascii="Times New Roman" w:hAnsi="Times New Roman" w:cs="Times New Roman"/>
                <w:b/>
                <w:bCs/>
                <w:u w:val="single"/>
              </w:rPr>
              <w:t>kapitala</w:t>
            </w:r>
          </w:p>
          <w:p w14:paraId="21A879C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(i), Uredbe (EU) 2019/2033.</w:t>
            </w:r>
          </w:p>
          <w:p w14:paraId="57550F6D" w14:textId="77777777" w:rsidR="00AE753A" w:rsidRPr="003F57AB" w:rsidRDefault="003F57AB">
            <w:pPr>
              <w:pStyle w:val="InstructionsText"/>
              <w:rPr>
                <w:rStyle w:val="FormatvorlageInstructionsTabelleText"/>
                <w:rFonts w:ascii="Times New Roman" w:hAnsi="Times New Roman"/>
                <w:sz w:val="22"/>
                <w:szCs w:val="22"/>
              </w:rPr>
            </w:pPr>
            <w:r w:rsidRPr="003F57AB">
              <w:rPr>
                <w:rFonts w:cs="Times New Roman"/>
                <w:sz w:val="22"/>
                <w:szCs w:val="22"/>
              </w:rPr>
              <w:t>Člen 63, točka (b)(i), člen 66, točka (a), in člen 67 Uredbe (EU) št. 575/2013.</w:t>
            </w:r>
          </w:p>
          <w:p w14:paraId="753DA8A7"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 xml:space="preserve">Lastni instrumenti dodatnega kapitala, ki jih ima institucija ali skupina poročevalka na datum poročanja. </w:t>
            </w:r>
            <w:r w:rsidRPr="003F57AB">
              <w:rPr>
                <w:rFonts w:cs="Times New Roman"/>
                <w:sz w:val="22"/>
                <w:szCs w:val="22"/>
              </w:rPr>
              <w:t>Veljajo izjeme iz člena 67 Uredbe (EU) št. 575/2013.</w:t>
            </w:r>
          </w:p>
          <w:p w14:paraId="597C09A0" w14:textId="77777777" w:rsidR="00AE753A" w:rsidRPr="003F57AB" w:rsidRDefault="003F57AB">
            <w:pPr>
              <w:pStyle w:val="InstructionsText"/>
              <w:rPr>
                <w:rStyle w:val="FormatvorlageInstructionsTabelleText"/>
                <w:rFonts w:ascii="Times New Roman" w:hAnsi="Times New Roman"/>
                <w:sz w:val="22"/>
                <w:szCs w:val="22"/>
              </w:rPr>
            </w:pPr>
            <w:r w:rsidRPr="003F57AB">
              <w:rPr>
                <w:rStyle w:val="FormatvorlageInstructionsTabelleText"/>
                <w:rFonts w:ascii="Times New Roman" w:hAnsi="Times New Roman"/>
                <w:sz w:val="22"/>
                <w:szCs w:val="22"/>
              </w:rPr>
              <w:t>Delež v delnicah, vključen v „kapitalske instrumente, ki niso sprejemljivi“, se ne poroča v tej v</w:t>
            </w:r>
            <w:r w:rsidRPr="003F57AB">
              <w:rPr>
                <w:rStyle w:val="FormatvorlageInstructionsTabelleText"/>
                <w:rFonts w:ascii="Times New Roman" w:hAnsi="Times New Roman"/>
                <w:sz w:val="22"/>
                <w:szCs w:val="22"/>
              </w:rPr>
              <w:t>rstici.</w:t>
            </w:r>
          </w:p>
          <w:p w14:paraId="068A1BD1" w14:textId="77777777" w:rsidR="00AE753A" w:rsidRPr="003F57AB" w:rsidRDefault="003F57AB">
            <w:pPr>
              <w:pStyle w:val="InstructionsText"/>
              <w:rPr>
                <w:rFonts w:cs="Times New Roman"/>
                <w:sz w:val="22"/>
                <w:szCs w:val="22"/>
              </w:rPr>
            </w:pPr>
            <w:r w:rsidRPr="003F57AB">
              <w:rPr>
                <w:rStyle w:val="FormatvorlageInstructionsTabelleText"/>
                <w:rFonts w:ascii="Times New Roman" w:hAnsi="Times New Roman"/>
                <w:sz w:val="22"/>
                <w:szCs w:val="22"/>
              </w:rPr>
              <w:t>Znesek, ki se poroča, vključuje presežek kapitala, povezan z lastnimi delnicami.</w:t>
            </w:r>
          </w:p>
        </w:tc>
      </w:tr>
      <w:tr w:rsidR="00AE753A" w:rsidRPr="003F57AB" w14:paraId="31E0CE29" w14:textId="77777777">
        <w:tc>
          <w:tcPr>
            <w:tcW w:w="1129" w:type="dxa"/>
          </w:tcPr>
          <w:p w14:paraId="3E6D39A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F49983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Neposredni deleži v instrumentih dodatnega kapitala</w:t>
            </w:r>
          </w:p>
          <w:p w14:paraId="4560E93E" w14:textId="77777777" w:rsidR="00AE753A" w:rsidRPr="003F57AB" w:rsidRDefault="003F57AB">
            <w:pPr>
              <w:pStyle w:val="InstructionsText"/>
              <w:rPr>
                <w:rFonts w:cs="Times New Roman"/>
                <w:sz w:val="22"/>
                <w:szCs w:val="22"/>
              </w:rPr>
            </w:pPr>
            <w:r w:rsidRPr="003F57AB">
              <w:rPr>
                <w:rFonts w:cs="Times New Roman"/>
                <w:sz w:val="22"/>
                <w:szCs w:val="22"/>
              </w:rPr>
              <w:t>Člen 63, točka (b), člen 66, točka (a), in člen 67 Uredbe (EU) št. 575/2013.</w:t>
            </w:r>
          </w:p>
        </w:tc>
      </w:tr>
      <w:tr w:rsidR="00AE753A" w:rsidRPr="003F57AB" w14:paraId="0432F63E" w14:textId="77777777">
        <w:tc>
          <w:tcPr>
            <w:tcW w:w="1129" w:type="dxa"/>
          </w:tcPr>
          <w:p w14:paraId="1851BE2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F9C8E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 Posredni deleži v </w:t>
            </w:r>
            <w:r w:rsidRPr="003F57AB">
              <w:rPr>
                <w:rFonts w:ascii="Times New Roman" w:hAnsi="Times New Roman" w:cs="Times New Roman"/>
                <w:b/>
                <w:bCs/>
                <w:u w:val="single"/>
              </w:rPr>
              <w:t>instrumentih dodatnega kapitala</w:t>
            </w:r>
          </w:p>
          <w:p w14:paraId="139CDF6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Člen 4(1), točka 114, člen 63, točka (b), člen 66, točka (a), in člen 67 Uredbe (EU) št. 575/2013.</w:t>
            </w:r>
          </w:p>
        </w:tc>
      </w:tr>
      <w:tr w:rsidR="00AE753A" w:rsidRPr="003F57AB" w14:paraId="51DE52F9" w14:textId="77777777">
        <w:tc>
          <w:tcPr>
            <w:tcW w:w="1129" w:type="dxa"/>
          </w:tcPr>
          <w:p w14:paraId="321D661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CE34C3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Sintetični deleži v instrumentih dodatnega kapitala</w:t>
            </w:r>
          </w:p>
          <w:p w14:paraId="26EFA01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lastRenderedPageBreak/>
              <w:t xml:space="preserve">Člen 4(1), točka 126, člen 63, točka (b), člen 66, točka </w:t>
            </w:r>
            <w:r w:rsidRPr="003F57AB">
              <w:rPr>
                <w:rFonts w:ascii="Times New Roman" w:hAnsi="Times New Roman" w:cs="Times New Roman"/>
              </w:rPr>
              <w:t>(a), in člen 67 Uredbe (EU) št. 575/2013.</w:t>
            </w:r>
          </w:p>
        </w:tc>
      </w:tr>
      <w:tr w:rsidR="00AE753A" w:rsidRPr="003F57AB" w14:paraId="0D1ECF22" w14:textId="77777777">
        <w:tc>
          <w:tcPr>
            <w:tcW w:w="1129" w:type="dxa"/>
            <w:tcBorders>
              <w:bottom w:val="single" w:sz="4" w:space="0" w:color="auto"/>
            </w:tcBorders>
          </w:tcPr>
          <w:p w14:paraId="5921FD8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07696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Instrumenti dodatnega kapitala subjektov finančnega sektorja, v katerih investicijsko podjetje nima pomembne naložbe</w:t>
            </w:r>
          </w:p>
          <w:p w14:paraId="1F62591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9(2), točka (c), Uredbe (EU) 2019/2033.</w:t>
            </w:r>
          </w:p>
          <w:p w14:paraId="1B00EA0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66, točka (c), Uredbe (EU) št. 575/20</w:t>
            </w:r>
            <w:r w:rsidRPr="003F57AB">
              <w:rPr>
                <w:rFonts w:ascii="Times New Roman" w:hAnsi="Times New Roman" w:cs="Times New Roman"/>
                <w:bCs/>
              </w:rPr>
              <w:t>13.</w:t>
            </w:r>
          </w:p>
        </w:tc>
      </w:tr>
      <w:tr w:rsidR="00AE753A" w:rsidRPr="003F57AB" w14:paraId="3B9EFC43" w14:textId="77777777">
        <w:tc>
          <w:tcPr>
            <w:tcW w:w="1129" w:type="dxa"/>
            <w:tcBorders>
              <w:top w:val="single" w:sz="4" w:space="0" w:color="auto"/>
              <w:bottom w:val="single" w:sz="4" w:space="0" w:color="auto"/>
            </w:tcBorders>
          </w:tcPr>
          <w:p w14:paraId="71FD14D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515F6A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Instrumenti dodatnega kapitala subjektov finančnega sektorja, v katerih ima investicijsko podjetje pomembno naložbo</w:t>
            </w:r>
          </w:p>
          <w:p w14:paraId="06A4C130" w14:textId="77777777" w:rsidR="00AE753A" w:rsidRPr="003F57AB" w:rsidRDefault="003F57AB">
            <w:pPr>
              <w:pStyle w:val="InstructionsText"/>
              <w:rPr>
                <w:rStyle w:val="FormatvorlageInstructionsTabelleText"/>
                <w:rFonts w:ascii="Times New Roman" w:hAnsi="Times New Roman"/>
                <w:sz w:val="22"/>
                <w:szCs w:val="22"/>
              </w:rPr>
            </w:pPr>
            <w:r w:rsidRPr="003F57AB">
              <w:rPr>
                <w:rFonts w:cs="Times New Roman"/>
                <w:sz w:val="22"/>
                <w:szCs w:val="22"/>
              </w:rPr>
              <w:t>Člen 4(1), točka 27, člen 66, točka (d), ter členi 68, 69 in 79 Uredbe (EU) št. 575/2013.</w:t>
            </w:r>
          </w:p>
          <w:p w14:paraId="7993F15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 xml:space="preserve">Deleži institucije v </w:t>
            </w:r>
            <w:r w:rsidRPr="003F57AB">
              <w:rPr>
                <w:rFonts w:ascii="Times New Roman" w:hAnsi="Times New Roman" w:cs="Times New Roman"/>
              </w:rPr>
              <w:t>instrumentih dodatnega kapitala subjektov finančnega sektorja (kot so opredeljeni v členu 4(1), točka 27, Uredbe (EU) št. 575/2013), v katerih ima investicijsko podjetje pomembno naložbo, se v celoti odbijejo.</w:t>
            </w:r>
          </w:p>
        </w:tc>
      </w:tr>
      <w:tr w:rsidR="00AE753A" w:rsidRPr="003F57AB" w14:paraId="222EFCDC" w14:textId="77777777">
        <w:tc>
          <w:tcPr>
            <w:tcW w:w="1129" w:type="dxa"/>
            <w:tcBorders>
              <w:top w:val="single" w:sz="4" w:space="0" w:color="auto"/>
              <w:bottom w:val="single" w:sz="4" w:space="0" w:color="auto"/>
            </w:tcBorders>
          </w:tcPr>
          <w:p w14:paraId="5D4065D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A8FB83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Dodatni kapital: drugi </w:t>
            </w:r>
            <w:r w:rsidRPr="003F57AB">
              <w:rPr>
                <w:rFonts w:ascii="Times New Roman" w:hAnsi="Times New Roman" w:cs="Times New Roman"/>
                <w:b/>
                <w:bCs/>
                <w:u w:val="single"/>
              </w:rPr>
              <w:t>elementi, odbitki in prilagoditve kapitala</w:t>
            </w:r>
          </w:p>
          <w:p w14:paraId="469B821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Ta vrstica vključuje vsoto naslednjih postavk, kjer je ustrezno:</w:t>
            </w:r>
          </w:p>
          <w:p w14:paraId="56DA2084"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prehodnih prilagoditev zaradi instrumentov dodatnega kapitala, za katere se uporabljajo predhodna pravila (člen 483, odstavka 6 in 7, ter členi 48</w:t>
            </w:r>
            <w:r w:rsidRPr="003F57AB">
              <w:rPr>
                <w:rFonts w:ascii="Times New Roman" w:hAnsi="Times New Roman" w:cs="Times New Roman"/>
                <w:bCs/>
              </w:rPr>
              <w:t>4, 486, 488, 490 in 491 Uredbe (EU) št. 575/2013),</w:t>
            </w:r>
          </w:p>
          <w:p w14:paraId="091E4D56"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 xml:space="preserve">instrumentov, ki jih izdajo odvisna podjetja, ki se pripoznajo v dodatnem kapitalu (členi 83, 87 in 88 Uredbe (EU) št. 575/2013): vsota vseh zneskov kvalificiranega kapitala odvisnih podjetij, vključena </w:t>
            </w:r>
            <w:r w:rsidRPr="003F57AB">
              <w:rPr>
                <w:rFonts w:ascii="Times New Roman" w:hAnsi="Times New Roman" w:cs="Times New Roman"/>
                <w:bCs/>
              </w:rPr>
              <w:t>v konsolidirani dodatni kapital, kar vključuje tudi kvalificirani dodatni kapital, ki ga izda subjekt s posebnim namenom (člen 83 Uredbe (EU) št. 575/2013),</w:t>
            </w:r>
          </w:p>
          <w:p w14:paraId="6A898680"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prehodnih prilagoditev zaradi dodatnega pripoznanja v dodatnem kapitalu instrumentov, ki jih izda</w:t>
            </w:r>
            <w:r w:rsidRPr="003F57AB">
              <w:rPr>
                <w:rFonts w:ascii="Times New Roman" w:hAnsi="Times New Roman" w:cs="Times New Roman"/>
                <w:bCs/>
              </w:rPr>
              <w:t>jo odvisna podjetja (člen 480 Uredbe (EU) št. 575/2013), prilagoditve kvalificiranega kapitala v konsolidiranem dodatnem kapitalu zaradi prehodnih določb,</w:t>
            </w:r>
          </w:p>
          <w:p w14:paraId="38F9C76C"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drugih prehodnih prilagoditev dodatnega kapitala (členi 472, 473a, 476, 477, 478 in 481 Uredbe (EU)</w:t>
            </w:r>
            <w:r w:rsidRPr="003F57AB">
              <w:rPr>
                <w:rFonts w:ascii="Times New Roman" w:hAnsi="Times New Roman" w:cs="Times New Roman"/>
                <w:bCs/>
              </w:rPr>
              <w:t xml:space="preserve"> št. 575/2013): prilagoditve odbitkov od dodatnega kapitala zaradi prehodnih določb,</w:t>
            </w:r>
          </w:p>
          <w:p w14:paraId="61645BCA"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presežka odbitka od postavk dodatnega kapitala nad dodatnim kapitalom, odbitega od dodatnega temeljnega kapitala v skladu s členom 56, točka (e), Uredbe (EU) št. 575/201</w:t>
            </w:r>
            <w:r w:rsidRPr="003F57AB">
              <w:rPr>
                <w:rFonts w:ascii="Times New Roman" w:hAnsi="Times New Roman" w:cs="Times New Roman"/>
                <w:bCs/>
              </w:rPr>
              <w:t>3: dodatni kapital ne more biti negativen, vendar je mogoče, da odbitki od postavk dodatnega kapitala presegajo znesek razpoložljivih postavk dodatnega kapitala. Kadar pride do tega, ta postavka predstavlja znesek, potreben za povečanje zneska, sporočenega</w:t>
            </w:r>
            <w:r w:rsidRPr="003F57AB">
              <w:rPr>
                <w:rFonts w:ascii="Times New Roman" w:hAnsi="Times New Roman" w:cs="Times New Roman"/>
                <w:bCs/>
              </w:rPr>
              <w:t xml:space="preserve"> v vrstici 0420, na nič,</w:t>
            </w:r>
          </w:p>
          <w:p w14:paraId="62224140" w14:textId="77777777" w:rsidR="00AE753A" w:rsidRPr="003F57AB" w:rsidRDefault="003F57AB">
            <w:pPr>
              <w:spacing w:after="120" w:line="240" w:lineRule="auto"/>
              <w:ind w:left="360" w:hanging="360"/>
              <w:jc w:val="both"/>
              <w:rPr>
                <w:rFonts w:ascii="Times New Roman" w:eastAsia="Times New Roman" w:hAnsi="Times New Roman" w:cs="Times New Roman"/>
                <w:bCs/>
              </w:rPr>
            </w:pPr>
            <w:r w:rsidRPr="003F57AB">
              <w:rPr>
                <w:rFonts w:ascii="Calibri" w:hAnsi="Calibri" w:cs="Times New Roman"/>
                <w:bCs/>
              </w:rPr>
              <w:t>‒</w:t>
            </w:r>
            <w:r w:rsidRPr="003F57AB">
              <w:rPr>
                <w:rFonts w:ascii="Calibri" w:hAnsi="Calibri" w:cs="Times New Roman"/>
                <w:bCs/>
              </w:rPr>
              <w:tab/>
            </w:r>
            <w:r w:rsidRPr="003F57AB">
              <w:rPr>
                <w:rFonts w:ascii="Times New Roman" w:hAnsi="Times New Roman" w:cs="Times New Roman"/>
                <w:bCs/>
              </w:rPr>
              <w:t>drugih elementov dodatnega kapitala ali odbitkov od elementa dodatnega kapitala, ki se ne morejo razvrstiti v eno od vrstic 0430 do 0510.</w:t>
            </w:r>
          </w:p>
          <w:p w14:paraId="572E318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Ta vrstica se ne uporabi za vključitev kapitalskih postavk ali odbitkov, ki v skladu z Ured</w:t>
            </w:r>
            <w:r w:rsidRPr="003F57AB">
              <w:rPr>
                <w:rFonts w:ascii="Times New Roman" w:hAnsi="Times New Roman" w:cs="Times New Roman"/>
                <w:bCs/>
              </w:rPr>
              <w:t>bo (EU) 2019/2033 ali Uredbo (EU) št. 575/2013 niso zajeti v izračun količnikov kapitalske ustreznosti.</w:t>
            </w:r>
          </w:p>
        </w:tc>
      </w:tr>
    </w:tbl>
    <w:p w14:paraId="7FA73E36" w14:textId="77777777" w:rsidR="00AE753A" w:rsidRPr="003F57AB" w:rsidRDefault="00AE753A">
      <w:pPr>
        <w:keepNext/>
        <w:spacing w:before="240" w:after="240" w:line="240" w:lineRule="auto"/>
        <w:jc w:val="both"/>
        <w:outlineLvl w:val="1"/>
        <w:rPr>
          <w:rFonts w:ascii="Times New Roman" w:eastAsia="Arial" w:hAnsi="Times New Roman" w:cs="Times New Roman"/>
          <w:sz w:val="24"/>
          <w:szCs w:val="24"/>
        </w:rPr>
      </w:pPr>
    </w:p>
    <w:p w14:paraId="4E0AA9F5"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7975473"/>
      <w:r w:rsidRPr="003F57AB">
        <w:rPr>
          <w:rFonts w:ascii="Times New Roman" w:hAnsi="Times New Roman" w:cs="Times New Roman"/>
          <w:sz w:val="24"/>
          <w:szCs w:val="24"/>
          <w:u w:val="single"/>
        </w:rPr>
        <w:t>1.3 I 02.01 – KAPITALSKE ZAHTEVE (I 2.1)</w:t>
      </w:r>
      <w:bookmarkEnd w:id="29"/>
    </w:p>
    <w:p w14:paraId="0A26FE17"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7975474"/>
      <w:r w:rsidRPr="003F57AB">
        <w:rPr>
          <w:rFonts w:ascii="Times New Roman" w:hAnsi="Times New Roman" w:cs="Times New Roman"/>
          <w:sz w:val="24"/>
          <w:szCs w:val="24"/>
        </w:rPr>
        <w:t>1.3.1</w:t>
      </w:r>
      <w:r w:rsidRPr="003F57AB">
        <w:rPr>
          <w:rFonts w:ascii="Times New Roman" w:hAnsi="Times New Roman" w:cs="Times New Roman"/>
        </w:rPr>
        <w:tab/>
      </w:r>
      <w:r w:rsidRPr="003F57AB">
        <w:rPr>
          <w:rFonts w:ascii="Times New Roman" w:hAnsi="Times New Roman" w:cs="Times New Roman"/>
          <w:sz w:val="24"/>
          <w:szCs w:val="24"/>
          <w:u w:val="single"/>
        </w:rPr>
        <w:t>Navodila za posamezne pozicije</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24D33F20" w14:textId="77777777">
        <w:tc>
          <w:tcPr>
            <w:tcW w:w="1129" w:type="dxa"/>
            <w:shd w:val="clear" w:color="auto" w:fill="D9D9D9"/>
          </w:tcPr>
          <w:p w14:paraId="14EE62EB"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color w:val="000000" w:themeColor="text1"/>
              </w:rPr>
              <w:t>Vrstica</w:t>
            </w:r>
          </w:p>
        </w:tc>
        <w:tc>
          <w:tcPr>
            <w:tcW w:w="7620" w:type="dxa"/>
            <w:shd w:val="clear" w:color="auto" w:fill="D9D9D9"/>
          </w:tcPr>
          <w:p w14:paraId="18558B71"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color w:val="000000" w:themeColor="text1"/>
              </w:rPr>
              <w:t>Pravna podlaga in navodila</w:t>
            </w:r>
          </w:p>
        </w:tc>
      </w:tr>
      <w:tr w:rsidR="00AE753A" w:rsidRPr="003F57AB" w14:paraId="261CE57B" w14:textId="77777777">
        <w:tc>
          <w:tcPr>
            <w:tcW w:w="1129" w:type="dxa"/>
          </w:tcPr>
          <w:p w14:paraId="572976A1"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0010</w:t>
            </w:r>
          </w:p>
        </w:tc>
        <w:tc>
          <w:tcPr>
            <w:tcW w:w="7620" w:type="dxa"/>
          </w:tcPr>
          <w:p w14:paraId="6CB8EDAE"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Kapitalska zahteva</w:t>
            </w:r>
          </w:p>
          <w:p w14:paraId="0D831B55"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 xml:space="preserve">Člen </w:t>
            </w:r>
            <w:r w:rsidRPr="003F57AB">
              <w:rPr>
                <w:rFonts w:ascii="Times New Roman" w:hAnsi="Times New Roman" w:cs="Times New Roman"/>
                <w:bCs/>
                <w:color w:val="000000" w:themeColor="text1"/>
              </w:rPr>
              <w:t>11(1) Uredbe (EU) 2019/2033.</w:t>
            </w:r>
          </w:p>
          <w:p w14:paraId="79BC4DBD" w14:textId="77777777" w:rsidR="00AE753A" w:rsidRPr="003F57AB" w:rsidRDefault="003F57AB">
            <w:pPr>
              <w:spacing w:after="120" w:line="240" w:lineRule="auto"/>
              <w:jc w:val="both"/>
              <w:rPr>
                <w:rFonts w:ascii="Times New Roman" w:eastAsia="Times New Roman" w:hAnsi="Times New Roman" w:cs="Times New Roman"/>
                <w:bCs/>
                <w:i/>
                <w:color w:val="000000" w:themeColor="text1"/>
              </w:rPr>
            </w:pPr>
            <w:r w:rsidRPr="003F57AB">
              <w:rPr>
                <w:rFonts w:ascii="Times New Roman" w:hAnsi="Times New Roman" w:cs="Times New Roman"/>
                <w:bCs/>
              </w:rPr>
              <w:t>Znesek je znesek brez uporabe člena 57(3), (4) ali (6) Uredbe (EU) 2019/2033.</w:t>
            </w:r>
          </w:p>
          <w:p w14:paraId="47FF3EE6"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Znesek, ki se poroča v tej vrstici, je najvišji znesek, ki se poroča v vrsticah 0020, 0030 in 0040.</w:t>
            </w:r>
          </w:p>
        </w:tc>
      </w:tr>
      <w:tr w:rsidR="00AE753A" w:rsidRPr="003F57AB" w14:paraId="0AFCABEC" w14:textId="77777777">
        <w:tc>
          <w:tcPr>
            <w:tcW w:w="1129" w:type="dxa"/>
          </w:tcPr>
          <w:p w14:paraId="3D9C770D"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0020</w:t>
            </w:r>
          </w:p>
        </w:tc>
        <w:tc>
          <w:tcPr>
            <w:tcW w:w="7620" w:type="dxa"/>
          </w:tcPr>
          <w:p w14:paraId="368FFF9F"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Zahteva za stalni minimalni kapital</w:t>
            </w:r>
          </w:p>
          <w:p w14:paraId="4D4E3EB1"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Člen 14 Uredbe (EU) 2019/2033.</w:t>
            </w:r>
          </w:p>
          <w:p w14:paraId="4DC7F487"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Znesek je znesek brez uporabe člena 57(3), (4) ali (6) Uredbe (EU) 2019/2033.</w:t>
            </w:r>
          </w:p>
        </w:tc>
      </w:tr>
      <w:tr w:rsidR="00AE753A" w:rsidRPr="003F57AB" w14:paraId="3F99DF6B" w14:textId="77777777">
        <w:tc>
          <w:tcPr>
            <w:tcW w:w="1129" w:type="dxa"/>
          </w:tcPr>
          <w:p w14:paraId="1A5C3E26"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0030</w:t>
            </w:r>
          </w:p>
        </w:tc>
        <w:tc>
          <w:tcPr>
            <w:tcW w:w="7620" w:type="dxa"/>
          </w:tcPr>
          <w:p w14:paraId="5FC9013C"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Zahteva na podlagi stalnih splošnih stroškov</w:t>
            </w:r>
          </w:p>
          <w:p w14:paraId="3D4134F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Člen 13 Uredbe (EU) 2019/2033.</w:t>
            </w:r>
          </w:p>
          <w:p w14:paraId="0998A25F"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Znesek je znesek brez uporabe člena 57(3), (4) ali (6) Uredbe (EU</w:t>
            </w:r>
            <w:r w:rsidRPr="003F57AB">
              <w:rPr>
                <w:rFonts w:ascii="Times New Roman" w:hAnsi="Times New Roman" w:cs="Times New Roman"/>
                <w:bCs/>
              </w:rPr>
              <w:t>) 2019/2033.</w:t>
            </w:r>
          </w:p>
        </w:tc>
      </w:tr>
      <w:tr w:rsidR="00AE753A" w:rsidRPr="003F57AB" w14:paraId="18467F79" w14:textId="77777777">
        <w:tc>
          <w:tcPr>
            <w:tcW w:w="1129" w:type="dxa"/>
          </w:tcPr>
          <w:p w14:paraId="0D1CDB99"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0040</w:t>
            </w:r>
          </w:p>
        </w:tc>
        <w:tc>
          <w:tcPr>
            <w:tcW w:w="7620" w:type="dxa"/>
          </w:tcPr>
          <w:p w14:paraId="27213A40"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Skupna zahteva za faktor K</w:t>
            </w:r>
          </w:p>
          <w:p w14:paraId="40C46F88"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Člen 15 Uredbe (EU) 2019/2033.</w:t>
            </w:r>
          </w:p>
          <w:p w14:paraId="4AF79CC8"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Znesek je znesek brez uporabe člena 57(3), (4) ali (6) Uredbe (EU) 2019/2033.</w:t>
            </w:r>
          </w:p>
        </w:tc>
      </w:tr>
      <w:tr w:rsidR="00AE753A" w:rsidRPr="003F57AB" w14:paraId="43EDFEB7" w14:textId="77777777">
        <w:tc>
          <w:tcPr>
            <w:tcW w:w="1129" w:type="dxa"/>
          </w:tcPr>
          <w:p w14:paraId="6394FE2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0050–0100</w:t>
            </w:r>
          </w:p>
        </w:tc>
        <w:tc>
          <w:tcPr>
            <w:tcW w:w="7620" w:type="dxa"/>
          </w:tcPr>
          <w:p w14:paraId="65E6022A"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Prehodne kapitalske zahteve</w:t>
            </w:r>
          </w:p>
        </w:tc>
      </w:tr>
      <w:tr w:rsidR="00AE753A" w:rsidRPr="003F57AB" w14:paraId="7F0D86D3" w14:textId="77777777">
        <w:tc>
          <w:tcPr>
            <w:tcW w:w="1129" w:type="dxa"/>
          </w:tcPr>
          <w:p w14:paraId="1C519D2E"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0050</w:t>
            </w:r>
          </w:p>
        </w:tc>
        <w:tc>
          <w:tcPr>
            <w:tcW w:w="7620" w:type="dxa"/>
          </w:tcPr>
          <w:p w14:paraId="0207BA5E"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xml:space="preserve">Prehodna zahteva na podlagi kapitalskih zahtev v </w:t>
            </w:r>
            <w:r w:rsidRPr="003F57AB">
              <w:rPr>
                <w:rFonts w:ascii="Times New Roman" w:hAnsi="Times New Roman" w:cs="Times New Roman"/>
                <w:b/>
                <w:bCs/>
                <w:color w:val="000000" w:themeColor="text1"/>
                <w:u w:val="single"/>
              </w:rPr>
              <w:t>skladu z Uredbo (EU) št. 575/2013</w:t>
            </w:r>
          </w:p>
          <w:p w14:paraId="7D8554A7"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Člen 57(3), točka (a), Uredbe (EU) št. 2019/2033.</w:t>
            </w:r>
          </w:p>
        </w:tc>
      </w:tr>
      <w:tr w:rsidR="00AE753A" w:rsidRPr="003F57AB" w14:paraId="7D7F91F8" w14:textId="77777777">
        <w:tc>
          <w:tcPr>
            <w:tcW w:w="1129" w:type="dxa"/>
          </w:tcPr>
          <w:p w14:paraId="44FA3CAC"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0060</w:t>
            </w:r>
          </w:p>
        </w:tc>
        <w:tc>
          <w:tcPr>
            <w:tcW w:w="7620" w:type="dxa"/>
          </w:tcPr>
          <w:p w14:paraId="4EF65B3D"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Prehodna zahteva na podlagi kapitalske zahteve na podlagi stalnih splošnih stroškov</w:t>
            </w:r>
          </w:p>
          <w:p w14:paraId="5C171B4F"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Člen 57(3), točka (b), Uredbe (EU) št. 2019/2033.</w:t>
            </w:r>
          </w:p>
        </w:tc>
      </w:tr>
      <w:tr w:rsidR="00AE753A" w:rsidRPr="003F57AB" w14:paraId="668AE922" w14:textId="77777777">
        <w:tc>
          <w:tcPr>
            <w:tcW w:w="1129" w:type="dxa"/>
          </w:tcPr>
          <w:p w14:paraId="220FC2FE"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0070</w:t>
            </w:r>
          </w:p>
        </w:tc>
        <w:tc>
          <w:tcPr>
            <w:tcW w:w="7620" w:type="dxa"/>
          </w:tcPr>
          <w:p w14:paraId="51B85354"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xml:space="preserve">Prehodna zahteva za </w:t>
            </w:r>
            <w:r w:rsidRPr="003F57AB">
              <w:rPr>
                <w:rFonts w:ascii="Times New Roman" w:hAnsi="Times New Roman" w:cs="Times New Roman"/>
                <w:b/>
                <w:bCs/>
                <w:color w:val="000000" w:themeColor="text1"/>
                <w:u w:val="single"/>
              </w:rPr>
              <w:t>investicijska podjetja, za katera je prej veljala le zahteva glede ustanovnega kapitala</w:t>
            </w:r>
          </w:p>
          <w:p w14:paraId="27619B2E"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Člen 57(4), točka (a), Uredbe (EU) št. 2019/2033.</w:t>
            </w:r>
          </w:p>
        </w:tc>
      </w:tr>
      <w:tr w:rsidR="00AE753A" w:rsidRPr="003F57AB" w14:paraId="65181C59" w14:textId="77777777">
        <w:tc>
          <w:tcPr>
            <w:tcW w:w="1129" w:type="dxa"/>
          </w:tcPr>
          <w:p w14:paraId="7A1EAABE"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0080</w:t>
            </w:r>
          </w:p>
        </w:tc>
        <w:tc>
          <w:tcPr>
            <w:tcW w:w="7620" w:type="dxa"/>
          </w:tcPr>
          <w:p w14:paraId="058942B9"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Prehodna zahteva na podlagi zahteve glede ustanovnega kapitala ob izdaji dovoljenja</w:t>
            </w:r>
          </w:p>
          <w:p w14:paraId="7DD164E2"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Člen 57(4), točka (b), Uredb</w:t>
            </w:r>
            <w:r w:rsidRPr="003F57AB">
              <w:rPr>
                <w:rFonts w:ascii="Times New Roman" w:hAnsi="Times New Roman" w:cs="Times New Roman"/>
                <w:bCs/>
              </w:rPr>
              <w:t>e (EU) št. 2019/2033.</w:t>
            </w:r>
          </w:p>
        </w:tc>
      </w:tr>
      <w:tr w:rsidR="00AE753A" w:rsidRPr="003F57AB" w14:paraId="1694E3AC" w14:textId="77777777">
        <w:tc>
          <w:tcPr>
            <w:tcW w:w="1129" w:type="dxa"/>
          </w:tcPr>
          <w:p w14:paraId="6904720C"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0090</w:t>
            </w:r>
          </w:p>
        </w:tc>
        <w:tc>
          <w:tcPr>
            <w:tcW w:w="7620" w:type="dxa"/>
          </w:tcPr>
          <w:p w14:paraId="6A982FE4"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Prehodna zahteva za investicijska podjetja, ki nimajo dovoljenja za opravljanje določenih storitev</w:t>
            </w:r>
          </w:p>
          <w:p w14:paraId="6B722F7E"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57(4), točka (c), Uredbe (EU) 2019/2033.</w:t>
            </w:r>
          </w:p>
        </w:tc>
      </w:tr>
      <w:tr w:rsidR="00AE753A" w:rsidRPr="003F57AB" w14:paraId="0F9E8E91" w14:textId="77777777">
        <w:tc>
          <w:tcPr>
            <w:tcW w:w="1129" w:type="dxa"/>
          </w:tcPr>
          <w:p w14:paraId="68EEEA5D"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0100</w:t>
            </w:r>
          </w:p>
        </w:tc>
        <w:tc>
          <w:tcPr>
            <w:tcW w:w="7620" w:type="dxa"/>
          </w:tcPr>
          <w:p w14:paraId="30A1EA6C"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Prehodna zahteva v višini najmanj 250 000 EUR</w:t>
            </w:r>
          </w:p>
          <w:p w14:paraId="4EAAF5A5"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 xml:space="preserve">Člen 57(6) Uredbe (EU) </w:t>
            </w:r>
            <w:r w:rsidRPr="003F57AB">
              <w:rPr>
                <w:rFonts w:ascii="Times New Roman" w:hAnsi="Times New Roman" w:cs="Times New Roman"/>
                <w:bCs/>
              </w:rPr>
              <w:t>2019/2033.</w:t>
            </w:r>
          </w:p>
        </w:tc>
      </w:tr>
      <w:tr w:rsidR="00AE753A" w:rsidRPr="003F57AB" w14:paraId="779C62AC" w14:textId="77777777">
        <w:tc>
          <w:tcPr>
            <w:tcW w:w="1129" w:type="dxa"/>
          </w:tcPr>
          <w:p w14:paraId="50CFF91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lastRenderedPageBreak/>
              <w:t>0110–0130</w:t>
            </w:r>
          </w:p>
        </w:tc>
        <w:tc>
          <w:tcPr>
            <w:tcW w:w="7620" w:type="dxa"/>
          </w:tcPr>
          <w:p w14:paraId="5592B0FB"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Pojasnjevalne postavke</w:t>
            </w:r>
          </w:p>
        </w:tc>
      </w:tr>
      <w:tr w:rsidR="00AE753A" w:rsidRPr="003F57AB" w14:paraId="19B894FD" w14:textId="77777777">
        <w:tc>
          <w:tcPr>
            <w:tcW w:w="1129" w:type="dxa"/>
            <w:tcBorders>
              <w:top w:val="single" w:sz="4" w:space="0" w:color="auto"/>
              <w:left w:val="single" w:sz="4" w:space="0" w:color="auto"/>
              <w:bottom w:val="single" w:sz="4" w:space="0" w:color="auto"/>
              <w:right w:val="single" w:sz="4" w:space="0" w:color="auto"/>
            </w:tcBorders>
          </w:tcPr>
          <w:p w14:paraId="45826A5A"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3736E0ED"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Dodatna kapitalska zahteva</w:t>
            </w:r>
          </w:p>
          <w:p w14:paraId="4F5FC2F5"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Člen 40 Direktive (EU) 2019/2034.</w:t>
            </w:r>
          </w:p>
          <w:p w14:paraId="27C70932"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color w:val="000000" w:themeColor="text1"/>
              </w:rPr>
              <w:t>Dodatni kapital, ki se zahteva na podlagi SREP.</w:t>
            </w:r>
          </w:p>
        </w:tc>
      </w:tr>
      <w:tr w:rsidR="00AE753A" w:rsidRPr="003F57AB" w14:paraId="758213F0" w14:textId="77777777">
        <w:tc>
          <w:tcPr>
            <w:tcW w:w="1129" w:type="dxa"/>
            <w:tcBorders>
              <w:top w:val="single" w:sz="4" w:space="0" w:color="auto"/>
              <w:left w:val="single" w:sz="4" w:space="0" w:color="auto"/>
              <w:bottom w:val="single" w:sz="4" w:space="0" w:color="auto"/>
              <w:right w:val="single" w:sz="4" w:space="0" w:color="auto"/>
            </w:tcBorders>
          </w:tcPr>
          <w:p w14:paraId="59386EDF"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65024D5B"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Smernica glede dodatnega kapitala</w:t>
            </w:r>
          </w:p>
          <w:p w14:paraId="245E8EED"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41 Direktive (EU) 2019/2034.</w:t>
            </w:r>
          </w:p>
          <w:p w14:paraId="5A9DDF08"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color w:val="000000" w:themeColor="text1"/>
              </w:rPr>
              <w:t xml:space="preserve">Dodatni </w:t>
            </w:r>
            <w:r w:rsidRPr="003F57AB">
              <w:rPr>
                <w:rFonts w:ascii="Times New Roman" w:hAnsi="Times New Roman" w:cs="Times New Roman"/>
                <w:bCs/>
                <w:color w:val="000000" w:themeColor="text1"/>
              </w:rPr>
              <w:t>kapital, ki se zahteva kot smernica glede dodatnega kapitala.</w:t>
            </w:r>
          </w:p>
        </w:tc>
      </w:tr>
      <w:tr w:rsidR="00AE753A" w:rsidRPr="003F57AB" w14:paraId="72F4F313" w14:textId="77777777">
        <w:tc>
          <w:tcPr>
            <w:tcW w:w="1129" w:type="dxa"/>
            <w:tcBorders>
              <w:top w:val="single" w:sz="4" w:space="0" w:color="auto"/>
              <w:left w:val="single" w:sz="4" w:space="0" w:color="auto"/>
              <w:bottom w:val="single" w:sz="4" w:space="0" w:color="auto"/>
              <w:right w:val="single" w:sz="4" w:space="0" w:color="auto"/>
            </w:tcBorders>
          </w:tcPr>
          <w:p w14:paraId="1A43DCD2"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387B16DE"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Skupna kapitalska zahteva</w:t>
            </w:r>
          </w:p>
          <w:p w14:paraId="65290D6D"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color w:val="000000" w:themeColor="text1"/>
              </w:rPr>
              <w:t xml:space="preserve">Skupno kapitalsko zahtevo investicijskega podjetja sestavljajo vsota njegovih kapitalskih zahtev, ki veljajo na referenčni datum, dodatna kapitalska zahteva, kot </w:t>
            </w:r>
            <w:r w:rsidRPr="003F57AB">
              <w:rPr>
                <w:rFonts w:ascii="Times New Roman" w:hAnsi="Times New Roman" w:cs="Times New Roman"/>
                <w:bCs/>
                <w:color w:val="000000" w:themeColor="text1"/>
              </w:rPr>
              <w:t>se poroča v vrstici 0110, in smernica glede dodatnega kapitala, kot se poroča v vrstici 0120.</w:t>
            </w:r>
          </w:p>
        </w:tc>
      </w:tr>
    </w:tbl>
    <w:p w14:paraId="3A1E0FFF"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7975475"/>
      <w:r w:rsidRPr="003F57AB">
        <w:rPr>
          <w:rFonts w:ascii="Times New Roman" w:hAnsi="Times New Roman" w:cs="Times New Roman"/>
          <w:sz w:val="24"/>
          <w:szCs w:val="24"/>
          <w:u w:val="single"/>
        </w:rPr>
        <w:t>1.4 I 02.02 – KAPITALSKI KOLIČNIKI (I 2.2)</w:t>
      </w:r>
      <w:bookmarkEnd w:id="31"/>
    </w:p>
    <w:p w14:paraId="2E587949"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7975476"/>
      <w:r w:rsidRPr="003F57AB">
        <w:rPr>
          <w:rFonts w:ascii="Times New Roman" w:hAnsi="Times New Roman" w:cs="Times New Roman"/>
          <w:sz w:val="24"/>
          <w:szCs w:val="24"/>
        </w:rPr>
        <w:t>1.4.1</w:t>
      </w:r>
      <w:r w:rsidRPr="003F57AB">
        <w:rPr>
          <w:rFonts w:ascii="Times New Roman" w:hAnsi="Times New Roman" w:cs="Times New Roman"/>
        </w:rPr>
        <w:tab/>
      </w:r>
      <w:r w:rsidRPr="003F57AB">
        <w:rPr>
          <w:rFonts w:ascii="Times New Roman" w:hAnsi="Times New Roman" w:cs="Times New Roman"/>
          <w:sz w:val="24"/>
          <w:szCs w:val="24"/>
          <w:u w:val="single"/>
        </w:rPr>
        <w:t>Navodila za posamezne pozicije</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39A28168" w14:textId="77777777">
        <w:tc>
          <w:tcPr>
            <w:tcW w:w="1129" w:type="dxa"/>
            <w:shd w:val="clear" w:color="auto" w:fill="D9D9D9"/>
          </w:tcPr>
          <w:p w14:paraId="1331C29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7702988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3C605697" w14:textId="77777777">
        <w:tc>
          <w:tcPr>
            <w:tcW w:w="1129" w:type="dxa"/>
          </w:tcPr>
          <w:p w14:paraId="2A4B511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Pr>
          <w:p w14:paraId="2673B9A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Količnik navadnega </w:t>
            </w:r>
            <w:r w:rsidRPr="003F57AB">
              <w:rPr>
                <w:rFonts w:ascii="Times New Roman" w:hAnsi="Times New Roman" w:cs="Times New Roman"/>
                <w:b/>
                <w:bCs/>
                <w:u w:val="single"/>
              </w:rPr>
              <w:t>lastniškega temeljnega kapitala</w:t>
            </w:r>
          </w:p>
          <w:p w14:paraId="40A6EA2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(a), in člen 11(1) Uredbe (EU) 2019/2033.</w:t>
            </w:r>
          </w:p>
          <w:p w14:paraId="5E71BED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9(4) Uredbe (EU) 2019/2033.</w:t>
            </w:r>
          </w:p>
          <w:p w14:paraId="4CB44FA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Ta postavka je izražena v odstotkih.</w:t>
            </w:r>
          </w:p>
        </w:tc>
      </w:tr>
      <w:tr w:rsidR="00AE753A" w:rsidRPr="003F57AB" w14:paraId="06B4614B" w14:textId="77777777">
        <w:tc>
          <w:tcPr>
            <w:tcW w:w="1129" w:type="dxa"/>
          </w:tcPr>
          <w:p w14:paraId="56E6BD0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Pr>
          <w:p w14:paraId="6CEF0ED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Presežek (+)/primanjkljaj (‒) navadnega lastniškega temeljnega kapitala</w:t>
            </w:r>
          </w:p>
          <w:p w14:paraId="2A18F84B"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rPr>
              <w:t>Ta postavka prika</w:t>
            </w:r>
            <w:r w:rsidRPr="003F57AB">
              <w:rPr>
                <w:rFonts w:ascii="Times New Roman" w:hAnsi="Times New Roman" w:cs="Times New Roman"/>
              </w:rPr>
              <w:t>zuje presežek ali primanjkljaj navadnega lastniškega temeljnega kapitala glede na zahtevo iz člena 9(1) Uredbe (EU) 2019/2033.</w:t>
            </w:r>
          </w:p>
          <w:p w14:paraId="1AFA12E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Prehodne določbe iz člena 57(3) in (4) Uredbe (EU) 2019/2033 se pri tej postavki ne upoštevajo.</w:t>
            </w:r>
          </w:p>
        </w:tc>
      </w:tr>
      <w:tr w:rsidR="00AE753A" w:rsidRPr="003F57AB" w14:paraId="4C774751" w14:textId="77777777">
        <w:tc>
          <w:tcPr>
            <w:tcW w:w="1129" w:type="dxa"/>
          </w:tcPr>
          <w:p w14:paraId="51053C4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Pr>
          <w:p w14:paraId="50E58AC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Količnik </w:t>
            </w:r>
            <w:r w:rsidRPr="003F57AB">
              <w:rPr>
                <w:rFonts w:ascii="Times New Roman" w:hAnsi="Times New Roman" w:cs="Times New Roman"/>
                <w:b/>
                <w:bCs/>
                <w:u w:val="single"/>
              </w:rPr>
              <w:t>temeljnega kapitala</w:t>
            </w:r>
          </w:p>
          <w:p w14:paraId="110A46E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(b), in člen 11(1) Uredbe (EU) 2019/2033.</w:t>
            </w:r>
          </w:p>
          <w:p w14:paraId="524F6F8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Ta postavka je izražena v odstotkih.</w:t>
            </w:r>
          </w:p>
        </w:tc>
      </w:tr>
      <w:tr w:rsidR="00AE753A" w:rsidRPr="003F57AB" w14:paraId="700F744F" w14:textId="77777777">
        <w:tc>
          <w:tcPr>
            <w:tcW w:w="1129" w:type="dxa"/>
          </w:tcPr>
          <w:p w14:paraId="16F7D92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Pr>
          <w:p w14:paraId="3D516D4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Presežek (+)/primanjkljaj (‒) temeljnega kapitala</w:t>
            </w:r>
          </w:p>
          <w:p w14:paraId="77DA0FA9" w14:textId="77777777" w:rsidR="00AE753A" w:rsidRPr="003F57AB" w:rsidRDefault="003F57AB">
            <w:pPr>
              <w:pStyle w:val="CommentText"/>
              <w:rPr>
                <w:rFonts w:ascii="Times New Roman" w:hAnsi="Times New Roman" w:cs="Times New Roman"/>
                <w:sz w:val="22"/>
                <w:szCs w:val="22"/>
              </w:rPr>
            </w:pPr>
            <w:r w:rsidRPr="003F57AB">
              <w:rPr>
                <w:rFonts w:ascii="Times New Roman" w:hAnsi="Times New Roman" w:cs="Times New Roman"/>
              </w:rPr>
              <w:t>Ta postavka prikazuje presežek ali primanjkljaj temeljnega kapitala glede na zahtevo</w:t>
            </w:r>
            <w:r w:rsidRPr="003F57AB">
              <w:rPr>
                <w:rFonts w:ascii="Times New Roman" w:hAnsi="Times New Roman" w:cs="Times New Roman"/>
              </w:rPr>
              <w:t xml:space="preserve"> iz člena 9(1) Uredbe (EU) 2019/2033.</w:t>
            </w:r>
          </w:p>
          <w:p w14:paraId="0397C28E"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rPr>
              <w:t>Prehodne določbe iz člena 57(3) in (4) Uredbe (EU) 2019/2033 se pri tej postavki ne upoštevajo.</w:t>
            </w:r>
          </w:p>
        </w:tc>
      </w:tr>
      <w:tr w:rsidR="00AE753A" w:rsidRPr="003F57AB" w14:paraId="428477C1" w14:textId="77777777">
        <w:tc>
          <w:tcPr>
            <w:tcW w:w="1129" w:type="dxa"/>
          </w:tcPr>
          <w:p w14:paraId="1BEDF9C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Pr>
          <w:p w14:paraId="1394238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Količnik kapitala</w:t>
            </w:r>
          </w:p>
          <w:p w14:paraId="3523E2E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9(1), točka (c), in člen 11(1) Uredbe (EU) 2019/2033.</w:t>
            </w:r>
          </w:p>
          <w:p w14:paraId="3CC3E71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Ta postavka je izražena v </w:t>
            </w:r>
            <w:r w:rsidRPr="003F57AB">
              <w:rPr>
                <w:rFonts w:ascii="Times New Roman" w:hAnsi="Times New Roman" w:cs="Times New Roman"/>
                <w:bCs/>
              </w:rPr>
              <w:t>odstotkih.</w:t>
            </w:r>
          </w:p>
        </w:tc>
      </w:tr>
      <w:tr w:rsidR="00AE753A" w:rsidRPr="003F57AB" w14:paraId="4526B7FD" w14:textId="77777777">
        <w:tc>
          <w:tcPr>
            <w:tcW w:w="1129" w:type="dxa"/>
          </w:tcPr>
          <w:p w14:paraId="6EF2F54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w:t>
            </w:r>
          </w:p>
        </w:tc>
        <w:tc>
          <w:tcPr>
            <w:tcW w:w="7620" w:type="dxa"/>
          </w:tcPr>
          <w:p w14:paraId="79B7F67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Presežek (+)/primanjkljaj (‒) skupnega kapitala</w:t>
            </w:r>
          </w:p>
          <w:p w14:paraId="2177E9A9"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rPr>
              <w:lastRenderedPageBreak/>
              <w:t>Ta postavka prikazuje presežek ali primanjkljaj kapitala glede na zahtevo iz člena 9(1) Uredbe (EU) 2019/2033.</w:t>
            </w:r>
          </w:p>
          <w:p w14:paraId="104BC08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 xml:space="preserve">Prehodne določbe iz člena 57(3) in (4) Uredbe (EU) 2019/2033 se pri tej </w:t>
            </w:r>
            <w:r w:rsidRPr="003F57AB">
              <w:rPr>
                <w:rFonts w:ascii="Times New Roman" w:hAnsi="Times New Roman" w:cs="Times New Roman"/>
              </w:rPr>
              <w:t>postavki ne upoštevajo.</w:t>
            </w:r>
          </w:p>
        </w:tc>
      </w:tr>
    </w:tbl>
    <w:p w14:paraId="796D4BC9"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7975477"/>
      <w:r w:rsidRPr="003F57AB">
        <w:rPr>
          <w:rFonts w:ascii="Times New Roman" w:hAnsi="Times New Roman" w:cs="Times New Roman"/>
          <w:sz w:val="24"/>
          <w:szCs w:val="24"/>
          <w:u w:val="single"/>
        </w:rPr>
        <w:lastRenderedPageBreak/>
        <w:t>1.5 I 03.00 – IZRAČUN ZAHTEV NA PODLAGI STALNIH SPLOŠNIH STROŠKOV (I 3)</w:t>
      </w:r>
      <w:bookmarkEnd w:id="2"/>
      <w:bookmarkEnd w:id="3"/>
      <w:bookmarkEnd w:id="33"/>
      <w:bookmarkEnd w:id="4"/>
      <w:bookmarkEnd w:id="5"/>
    </w:p>
    <w:p w14:paraId="710146EB" w14:textId="77777777" w:rsidR="00AE753A" w:rsidRPr="003F57AB" w:rsidRDefault="003F57AB">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60188326"/>
      <w:bookmarkStart w:id="36" w:name="_Toc473560874"/>
      <w:bookmarkStart w:id="37" w:name="_Toc7084159"/>
      <w:bookmarkStart w:id="38" w:name="_Toc87975478"/>
      <w:r w:rsidRPr="003F57AB">
        <w:rPr>
          <w:rFonts w:ascii="Times New Roman" w:hAnsi="Times New Roman" w:cs="Times New Roman"/>
          <w:sz w:val="24"/>
          <w:szCs w:val="24"/>
        </w:rPr>
        <w:t>1.5.1</w:t>
      </w:r>
      <w:r w:rsidRPr="003F57AB">
        <w:rPr>
          <w:rFonts w:ascii="Times New Roman" w:hAnsi="Times New Roman" w:cs="Times New Roman"/>
        </w:rPr>
        <w:tab/>
      </w:r>
      <w:bookmarkStart w:id="39" w:name="_Toc308175821"/>
      <w:r w:rsidRPr="003F57AB">
        <w:rPr>
          <w:rFonts w:ascii="Times New Roman" w:hAnsi="Times New Roman" w:cs="Times New Roman"/>
          <w:sz w:val="24"/>
          <w:szCs w:val="24"/>
          <w:u w:val="single"/>
        </w:rPr>
        <w:t xml:space="preserve">Navodila za posamezne </w:t>
      </w:r>
      <w:bookmarkEnd w:id="39"/>
      <w:bookmarkEnd w:id="34"/>
      <w:r w:rsidRPr="003F57AB">
        <w:rPr>
          <w:rFonts w:ascii="Times New Roman" w:hAnsi="Times New Roman" w:cs="Times New Roman"/>
          <w:sz w:val="24"/>
          <w:szCs w:val="24"/>
          <w:u w:val="single"/>
        </w:rPr>
        <w:t>pozicije</w:t>
      </w:r>
      <w:bookmarkEnd w:id="35"/>
      <w:bookmarkEnd w:id="36"/>
      <w:bookmarkEnd w:id="37"/>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70190B85" w14:textId="77777777">
        <w:tc>
          <w:tcPr>
            <w:tcW w:w="1129" w:type="dxa"/>
            <w:shd w:val="clear" w:color="auto" w:fill="D9D9D9"/>
          </w:tcPr>
          <w:p w14:paraId="590A8A99"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color w:val="000000" w:themeColor="text1"/>
              </w:rPr>
              <w:t>Vrstica</w:t>
            </w:r>
          </w:p>
        </w:tc>
        <w:tc>
          <w:tcPr>
            <w:tcW w:w="7620" w:type="dxa"/>
            <w:shd w:val="clear" w:color="auto" w:fill="D9D9D9"/>
          </w:tcPr>
          <w:p w14:paraId="0473F8B6"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color w:val="000000" w:themeColor="text1"/>
              </w:rPr>
              <w:t>Pravna podlaga in navodila</w:t>
            </w:r>
          </w:p>
        </w:tc>
      </w:tr>
      <w:tr w:rsidR="00AE753A" w:rsidRPr="003F57AB" w14:paraId="74DD1302" w14:textId="77777777">
        <w:tc>
          <w:tcPr>
            <w:tcW w:w="1129" w:type="dxa"/>
          </w:tcPr>
          <w:p w14:paraId="0BDBF05F"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0010</w:t>
            </w:r>
          </w:p>
        </w:tc>
        <w:tc>
          <w:tcPr>
            <w:tcW w:w="7620" w:type="dxa"/>
          </w:tcPr>
          <w:p w14:paraId="0FA11427"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Zahteva na podlagi stalnih splošnih stroškov</w:t>
            </w:r>
          </w:p>
          <w:p w14:paraId="318ED304"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 xml:space="preserve">Člen 13(1) Uredbe (EU) </w:t>
            </w:r>
            <w:r w:rsidRPr="003F57AB">
              <w:rPr>
                <w:rFonts w:ascii="Times New Roman" w:hAnsi="Times New Roman" w:cs="Times New Roman"/>
                <w:bCs/>
                <w:color w:val="000000" w:themeColor="text1"/>
              </w:rPr>
              <w:t>2019/2033.</w:t>
            </w:r>
          </w:p>
          <w:p w14:paraId="4F4218CB"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rPr>
              <w:t>Sporočeni znesek znaša vsaj 25 % letnih stalnih splošnih stroškov predhodnega leta (vrstica 0020).</w:t>
            </w:r>
          </w:p>
          <w:p w14:paraId="35BE0381"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rPr>
              <w:t>V primeru pomembne spremembe je sporočeni znesek zahteva na podlagi stalnih splošnih stroškov, ki jo naloži pristojni organ v skladu s členom 13(2</w:t>
            </w:r>
            <w:r w:rsidRPr="003F57AB">
              <w:rPr>
                <w:rFonts w:ascii="Times New Roman" w:hAnsi="Times New Roman" w:cs="Times New Roman"/>
              </w:rPr>
              <w:t>) Uredbe (EU) 2019/2033.</w:t>
            </w:r>
          </w:p>
          <w:p w14:paraId="55994AF2"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rPr>
              <w:t>V primerih, določenih v členu 13(3) Uredbe (EU) 2019/2033, je znesek, ki se poroča, znesek napovedanih stalnih splošnih stroškov tekočega leta (vrstica 0210).</w:t>
            </w:r>
          </w:p>
        </w:tc>
      </w:tr>
      <w:tr w:rsidR="00AE753A" w:rsidRPr="003F57AB" w14:paraId="61E9F1E9" w14:textId="77777777">
        <w:tc>
          <w:tcPr>
            <w:tcW w:w="1129" w:type="dxa"/>
          </w:tcPr>
          <w:p w14:paraId="602F1F8C"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0020</w:t>
            </w:r>
          </w:p>
        </w:tc>
        <w:tc>
          <w:tcPr>
            <w:tcW w:w="7620" w:type="dxa"/>
          </w:tcPr>
          <w:p w14:paraId="0ADA2663"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Letni stalni splošni stroški predhodnega leta po razdelitvi dobičk</w:t>
            </w:r>
            <w:r w:rsidRPr="003F57AB">
              <w:rPr>
                <w:rFonts w:ascii="Times New Roman" w:hAnsi="Times New Roman" w:cs="Times New Roman"/>
                <w:b/>
                <w:bCs/>
                <w:color w:val="000000" w:themeColor="text1"/>
                <w:u w:val="single"/>
              </w:rPr>
              <w:t>a</w:t>
            </w:r>
          </w:p>
          <w:p w14:paraId="6DFF6659"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13(1) Uredbe (EU) 2019/2033.</w:t>
            </w:r>
          </w:p>
          <w:p w14:paraId="7A0661FC" w14:textId="77777777" w:rsidR="00AE753A" w:rsidRPr="003F57AB" w:rsidRDefault="003F57AB">
            <w:pPr>
              <w:pStyle w:val="CommentText"/>
              <w:rPr>
                <w:rFonts w:ascii="Times New Roman" w:hAnsi="Times New Roman" w:cs="Times New Roman"/>
              </w:rPr>
            </w:pPr>
            <w:r w:rsidRPr="003F57AB">
              <w:rPr>
                <w:rFonts w:ascii="Times New Roman" w:hAnsi="Times New Roman" w:cs="Times New Roman"/>
                <w:bCs/>
                <w:color w:val="000000" w:themeColor="text1"/>
                <w:sz w:val="22"/>
              </w:rPr>
              <w:t xml:space="preserve">Investicijska podjetja poročajo letne stalne splošne stroške predhodnega leta po razdelitvi dobička. </w:t>
            </w:r>
          </w:p>
        </w:tc>
      </w:tr>
      <w:tr w:rsidR="00AE753A" w:rsidRPr="003F57AB" w14:paraId="25979E85" w14:textId="77777777">
        <w:tc>
          <w:tcPr>
            <w:tcW w:w="1129" w:type="dxa"/>
          </w:tcPr>
          <w:p w14:paraId="66F2711A"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0030</w:t>
            </w:r>
          </w:p>
        </w:tc>
        <w:tc>
          <w:tcPr>
            <w:tcW w:w="7620" w:type="dxa"/>
          </w:tcPr>
          <w:p w14:paraId="7DE9DD24"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Skupni odhodki predhodnega leta po razdelitvi dobička</w:t>
            </w:r>
          </w:p>
          <w:p w14:paraId="0FD5A119"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13(1) Uredbe (EU) 2019/2033.</w:t>
            </w:r>
          </w:p>
          <w:p w14:paraId="1191E8AB"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Znesek, ki se poroča, je</w:t>
            </w:r>
            <w:r w:rsidRPr="003F57AB">
              <w:rPr>
                <w:rFonts w:ascii="Times New Roman" w:hAnsi="Times New Roman" w:cs="Times New Roman"/>
                <w:bCs/>
                <w:color w:val="000000" w:themeColor="text1"/>
              </w:rPr>
              <w:t xml:space="preserve"> znesek po razdelitvi dobička.</w:t>
            </w:r>
          </w:p>
        </w:tc>
      </w:tr>
      <w:tr w:rsidR="00AE753A" w:rsidRPr="003F57AB" w14:paraId="6AD5B4FF" w14:textId="77777777">
        <w:tc>
          <w:tcPr>
            <w:tcW w:w="1129" w:type="dxa"/>
          </w:tcPr>
          <w:p w14:paraId="44A92936"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0040</w:t>
            </w:r>
          </w:p>
        </w:tc>
        <w:tc>
          <w:tcPr>
            <w:tcW w:w="7620" w:type="dxa"/>
          </w:tcPr>
          <w:p w14:paraId="289ECEBE"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Od tega: fiksni odhodki, nastali v imenu investicijskega podjetja pri tretjih osebah</w:t>
            </w:r>
          </w:p>
          <w:p w14:paraId="6F6E057E" w14:textId="77777777" w:rsidR="00AE753A" w:rsidRPr="003F57AB" w:rsidRDefault="003F57AB">
            <w:pPr>
              <w:pStyle w:val="NumPar1"/>
              <w:numPr>
                <w:ilvl w:val="0"/>
                <w:numId w:val="0"/>
              </w:numPr>
              <w:rPr>
                <w:rFonts w:eastAsia="Times New Roman"/>
                <w:b/>
                <w:bCs/>
                <w:color w:val="000000" w:themeColor="text1"/>
                <w:u w:val="single"/>
              </w:rPr>
            </w:pPr>
            <w:r w:rsidRPr="003F57AB">
              <w:rPr>
                <w:bCs/>
                <w:color w:val="000000" w:themeColor="text1"/>
                <w:szCs w:val="20"/>
              </w:rPr>
              <w:t xml:space="preserve">Kadar v imenu investicijskega podjetja nastanejo fiksni odhodki, za katere so odgovorne tretje osebe, vključno z vezanimi </w:t>
            </w:r>
            <w:r w:rsidRPr="003F57AB">
              <w:rPr>
                <w:bCs/>
                <w:color w:val="000000" w:themeColor="text1"/>
                <w:szCs w:val="20"/>
              </w:rPr>
              <w:t>zastopniki, in ti fiksni odhodki niso že vključeni v skupne odhodke v letnem računovodskem izkazu iz odstavka 1, se dodajo med skupne odhodke investicijskega podjetja. Če je na voljo razčlenitev odhodkov tretje osebe, investicijsko podjetje k znesku, ki pr</w:t>
            </w:r>
            <w:r w:rsidRPr="003F57AB">
              <w:rPr>
                <w:bCs/>
                <w:color w:val="000000" w:themeColor="text1"/>
                <w:szCs w:val="20"/>
              </w:rPr>
              <w:t>edstavlja skupne odhodke, doda samo tisti del teh fiksnih odhodkov, ki se nanaša na investicijsko podjetje. Če taka razčlenitev ni na voljo, investicijsko podjetje k znesku, ki predstavlja skupne odhodke, doda samo svoj del odhodkov tretje osebe, ki izhaja</w:t>
            </w:r>
            <w:r w:rsidRPr="003F57AB">
              <w:rPr>
                <w:bCs/>
                <w:color w:val="000000" w:themeColor="text1"/>
                <w:szCs w:val="20"/>
              </w:rPr>
              <w:t xml:space="preserve"> iz poslovnega načrta investicijskega podjetja.</w:t>
            </w:r>
          </w:p>
        </w:tc>
      </w:tr>
      <w:tr w:rsidR="00AE753A" w:rsidRPr="003F57AB" w14:paraId="7B5C6DF8" w14:textId="77777777">
        <w:tc>
          <w:tcPr>
            <w:tcW w:w="1129" w:type="dxa"/>
          </w:tcPr>
          <w:p w14:paraId="238D8F27"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0050</w:t>
            </w:r>
          </w:p>
        </w:tc>
        <w:tc>
          <w:tcPr>
            <w:tcW w:w="7620" w:type="dxa"/>
          </w:tcPr>
          <w:p w14:paraId="08B99008" w14:textId="77777777" w:rsidR="00AE753A" w:rsidRPr="003F57AB" w:rsidRDefault="003F57AB">
            <w:pPr>
              <w:spacing w:after="120" w:line="240" w:lineRule="auto"/>
              <w:jc w:val="both"/>
              <w:rPr>
                <w:rFonts w:ascii="Times New Roman" w:eastAsia="Times New Roman" w:hAnsi="Times New Roman" w:cs="Times New Roman"/>
                <w:bCs/>
                <w:color w:val="000000" w:themeColor="text1"/>
                <w:szCs w:val="20"/>
              </w:rPr>
            </w:pPr>
            <w:r w:rsidRPr="003F57AB">
              <w:rPr>
                <w:rFonts w:ascii="Times New Roman" w:hAnsi="Times New Roman" w:cs="Times New Roman"/>
                <w:bCs/>
                <w:color w:val="000000" w:themeColor="text1"/>
                <w:szCs w:val="20"/>
              </w:rPr>
              <w:t>(–) Odbitki skupaj</w:t>
            </w:r>
          </w:p>
          <w:p w14:paraId="51D7339C" w14:textId="77777777" w:rsidR="00AE753A" w:rsidRPr="003F57AB" w:rsidRDefault="003F57AB">
            <w:pPr>
              <w:spacing w:after="120" w:line="240" w:lineRule="auto"/>
              <w:jc w:val="both"/>
              <w:rPr>
                <w:rFonts w:ascii="Times New Roman" w:eastAsia="Times New Roman" w:hAnsi="Times New Roman" w:cs="Times New Roman"/>
                <w:bCs/>
                <w:color w:val="000000" w:themeColor="text1"/>
                <w:szCs w:val="20"/>
              </w:rPr>
            </w:pPr>
            <w:r w:rsidRPr="003F57AB">
              <w:rPr>
                <w:rFonts w:ascii="Times New Roman" w:hAnsi="Times New Roman" w:cs="Times New Roman"/>
                <w:bCs/>
              </w:rPr>
              <w:t xml:space="preserve">Poleg postavk za odbitek iz člena 13(4) Uredbe (EU) 2019/2033 se od skupnih odhodkov odbijejo tudi naslednje postavke, kadar so vključene v skupne odhodke v skladu z </w:t>
            </w:r>
            <w:r w:rsidRPr="003F57AB">
              <w:rPr>
                <w:rFonts w:ascii="Times New Roman" w:hAnsi="Times New Roman" w:cs="Times New Roman"/>
                <w:bCs/>
              </w:rPr>
              <w:t>ustreznim računovodskim okvirom:</w:t>
            </w:r>
          </w:p>
          <w:p w14:paraId="47E3C40F" w14:textId="77777777" w:rsidR="00AE753A" w:rsidRPr="003F57AB" w:rsidRDefault="003F57AB">
            <w:pPr>
              <w:pStyle w:val="Point1letter"/>
              <w:numPr>
                <w:ilvl w:val="0"/>
                <w:numId w:val="0"/>
              </w:numPr>
              <w:ind w:left="350" w:hanging="426"/>
              <w:rPr>
                <w:rFonts w:eastAsia="Times New Roman"/>
                <w:bCs/>
                <w:color w:val="000000" w:themeColor="text1"/>
                <w:sz w:val="22"/>
                <w:szCs w:val="20"/>
              </w:rPr>
            </w:pPr>
            <w:r w:rsidRPr="003F57AB">
              <w:rPr>
                <w:rFonts w:eastAsia="Times New Roman"/>
                <w:bCs/>
                <w:color w:val="000000" w:themeColor="text1"/>
                <w:sz w:val="22"/>
                <w:szCs w:val="20"/>
              </w:rPr>
              <w:t>(a)</w:t>
            </w:r>
            <w:r w:rsidRPr="003F57AB">
              <w:rPr>
                <w:rFonts w:eastAsia="Times New Roman"/>
                <w:bCs/>
                <w:color w:val="000000" w:themeColor="text1"/>
                <w:sz w:val="22"/>
                <w:szCs w:val="20"/>
              </w:rPr>
              <w:tab/>
            </w:r>
            <w:r w:rsidRPr="003F57AB">
              <w:rPr>
                <w:bCs/>
                <w:color w:val="000000" w:themeColor="text1"/>
                <w:sz w:val="22"/>
                <w:szCs w:val="20"/>
              </w:rPr>
              <w:t xml:space="preserve">provizije, posredniške provizije in drugi stroški, plačani centralnim nasprotnim strankam, borzam in drugim mestom trgovanja ter posrednikom za izvrševanje, registriranje ali kliring poslov, samo kadar se ti neposredno </w:t>
            </w:r>
            <w:r w:rsidRPr="003F57AB">
              <w:rPr>
                <w:bCs/>
                <w:color w:val="000000" w:themeColor="text1"/>
                <w:sz w:val="22"/>
                <w:szCs w:val="20"/>
              </w:rPr>
              <w:t xml:space="preserve">prenesejo in zaračunajo strankam. Ne vključujejo provizij in drugih stroškov, potrebnih za </w:t>
            </w:r>
            <w:r w:rsidRPr="003F57AB">
              <w:rPr>
                <w:bCs/>
                <w:color w:val="000000" w:themeColor="text1"/>
                <w:sz w:val="22"/>
                <w:szCs w:val="20"/>
              </w:rPr>
              <w:lastRenderedPageBreak/>
              <w:t>ohranjanje članstva ali drug način izpolnjevanja finančnih obveznosti za delitev izgub do centralnih nasprotnih strank, borz in drugih mest trgovanja;</w:t>
            </w:r>
          </w:p>
          <w:p w14:paraId="07E54BDE" w14:textId="77777777" w:rsidR="00AE753A" w:rsidRPr="003F57AB" w:rsidRDefault="003F57AB">
            <w:pPr>
              <w:pStyle w:val="Point1letter"/>
              <w:numPr>
                <w:ilvl w:val="0"/>
                <w:numId w:val="0"/>
              </w:numPr>
              <w:ind w:left="350" w:hanging="426"/>
              <w:rPr>
                <w:rFonts w:eastAsia="Times New Roman"/>
                <w:bCs/>
                <w:color w:val="000000" w:themeColor="text1"/>
                <w:sz w:val="22"/>
                <w:szCs w:val="20"/>
              </w:rPr>
            </w:pPr>
            <w:r w:rsidRPr="003F57AB">
              <w:rPr>
                <w:rFonts w:eastAsia="Times New Roman"/>
                <w:bCs/>
                <w:color w:val="000000" w:themeColor="text1"/>
                <w:sz w:val="22"/>
                <w:szCs w:val="20"/>
              </w:rPr>
              <w:t>(b)</w:t>
            </w:r>
            <w:r w:rsidRPr="003F57AB">
              <w:rPr>
                <w:rFonts w:eastAsia="Times New Roman"/>
                <w:bCs/>
                <w:color w:val="000000" w:themeColor="text1"/>
                <w:sz w:val="22"/>
                <w:szCs w:val="20"/>
              </w:rPr>
              <w:tab/>
            </w:r>
            <w:r w:rsidRPr="003F57AB">
              <w:rPr>
                <w:bCs/>
                <w:color w:val="000000" w:themeColor="text1"/>
                <w:sz w:val="22"/>
                <w:szCs w:val="20"/>
              </w:rPr>
              <w:t>obresti, p</w:t>
            </w:r>
            <w:r w:rsidRPr="003F57AB">
              <w:rPr>
                <w:bCs/>
                <w:color w:val="000000" w:themeColor="text1"/>
                <w:sz w:val="22"/>
                <w:szCs w:val="20"/>
              </w:rPr>
              <w:t>lačane strankam, za denar strank, ki se upravlja, kadar ni nobene obveznosti plačila takih obresti;</w:t>
            </w:r>
          </w:p>
          <w:p w14:paraId="029C4404" w14:textId="77777777" w:rsidR="00AE753A" w:rsidRPr="003F57AB" w:rsidRDefault="003F57AB">
            <w:pPr>
              <w:pStyle w:val="Point1letter"/>
              <w:numPr>
                <w:ilvl w:val="0"/>
                <w:numId w:val="0"/>
              </w:numPr>
              <w:ind w:left="350" w:hanging="426"/>
              <w:rPr>
                <w:rFonts w:eastAsia="Times New Roman"/>
                <w:bCs/>
                <w:color w:val="000000" w:themeColor="text1"/>
                <w:sz w:val="22"/>
                <w:szCs w:val="20"/>
              </w:rPr>
            </w:pPr>
            <w:r w:rsidRPr="003F57AB">
              <w:rPr>
                <w:rFonts w:eastAsia="Times New Roman"/>
                <w:bCs/>
                <w:color w:val="000000" w:themeColor="text1"/>
                <w:sz w:val="22"/>
                <w:szCs w:val="20"/>
              </w:rPr>
              <w:t>(c)</w:t>
            </w:r>
            <w:r w:rsidRPr="003F57AB">
              <w:rPr>
                <w:rFonts w:eastAsia="Times New Roman"/>
                <w:bCs/>
                <w:color w:val="000000" w:themeColor="text1"/>
                <w:sz w:val="22"/>
                <w:szCs w:val="20"/>
              </w:rPr>
              <w:tab/>
            </w:r>
            <w:r w:rsidRPr="003F57AB">
              <w:rPr>
                <w:bCs/>
                <w:color w:val="000000" w:themeColor="text1"/>
                <w:sz w:val="22"/>
                <w:szCs w:val="20"/>
              </w:rPr>
              <w:t>izdatki za davke, kadar zapadejo v plačilo povezavi z letnim dobičkom investicijskega podjetja;</w:t>
            </w:r>
          </w:p>
          <w:p w14:paraId="3FEA020E" w14:textId="77777777" w:rsidR="00AE753A" w:rsidRPr="003F57AB" w:rsidRDefault="003F57AB">
            <w:pPr>
              <w:pStyle w:val="Point1letter"/>
              <w:numPr>
                <w:ilvl w:val="0"/>
                <w:numId w:val="0"/>
              </w:numPr>
              <w:ind w:left="350" w:hanging="426"/>
              <w:rPr>
                <w:rFonts w:eastAsia="Times New Roman"/>
                <w:bCs/>
                <w:color w:val="000000" w:themeColor="text1"/>
                <w:sz w:val="22"/>
                <w:szCs w:val="20"/>
              </w:rPr>
            </w:pPr>
            <w:r w:rsidRPr="003F57AB">
              <w:rPr>
                <w:rFonts w:eastAsia="Times New Roman"/>
                <w:bCs/>
                <w:color w:val="000000" w:themeColor="text1"/>
                <w:sz w:val="22"/>
                <w:szCs w:val="20"/>
              </w:rPr>
              <w:t>(d)</w:t>
            </w:r>
            <w:r w:rsidRPr="003F57AB">
              <w:rPr>
                <w:rFonts w:eastAsia="Times New Roman"/>
                <w:bCs/>
                <w:color w:val="000000" w:themeColor="text1"/>
                <w:sz w:val="22"/>
                <w:szCs w:val="20"/>
              </w:rPr>
              <w:tab/>
            </w:r>
            <w:r w:rsidRPr="003F57AB">
              <w:rPr>
                <w:bCs/>
                <w:color w:val="000000" w:themeColor="text1"/>
                <w:sz w:val="22"/>
                <w:szCs w:val="20"/>
              </w:rPr>
              <w:t>izgube iz trgovanja za svoj račun s finančnimi instr</w:t>
            </w:r>
            <w:r w:rsidRPr="003F57AB">
              <w:rPr>
                <w:bCs/>
                <w:color w:val="000000" w:themeColor="text1"/>
                <w:sz w:val="22"/>
                <w:szCs w:val="20"/>
              </w:rPr>
              <w:t>umenti;</w:t>
            </w:r>
          </w:p>
          <w:p w14:paraId="0F5D9A33" w14:textId="77777777" w:rsidR="00AE753A" w:rsidRPr="003F57AB" w:rsidRDefault="003F57AB">
            <w:pPr>
              <w:pStyle w:val="Point1letter"/>
              <w:numPr>
                <w:ilvl w:val="0"/>
                <w:numId w:val="0"/>
              </w:numPr>
              <w:ind w:left="350" w:hanging="426"/>
              <w:rPr>
                <w:rFonts w:eastAsia="Times New Roman"/>
                <w:bCs/>
                <w:color w:val="000000" w:themeColor="text1"/>
                <w:sz w:val="22"/>
                <w:szCs w:val="20"/>
              </w:rPr>
            </w:pPr>
            <w:r w:rsidRPr="003F57AB">
              <w:rPr>
                <w:rFonts w:eastAsia="Times New Roman"/>
                <w:bCs/>
                <w:color w:val="000000" w:themeColor="text1"/>
                <w:sz w:val="22"/>
                <w:szCs w:val="20"/>
              </w:rPr>
              <w:t>(e)</w:t>
            </w:r>
            <w:r w:rsidRPr="003F57AB">
              <w:rPr>
                <w:rFonts w:eastAsia="Times New Roman"/>
                <w:bCs/>
                <w:color w:val="000000" w:themeColor="text1"/>
                <w:sz w:val="22"/>
                <w:szCs w:val="20"/>
              </w:rPr>
              <w:tab/>
            </w:r>
            <w:r w:rsidRPr="003F57AB">
              <w:rPr>
                <w:bCs/>
                <w:color w:val="000000" w:themeColor="text1"/>
                <w:sz w:val="22"/>
                <w:szCs w:val="20"/>
              </w:rPr>
              <w:t>plačila, povezana s pogodbenimi dogovori o prenosu poslovnega izida, v skladu s katerim mora investicijsko podjetje po pripravi svojih letnih računovodskih izkazov svoj letni rezultat prenesti na obvladujoče podjetje;</w:t>
            </w:r>
          </w:p>
          <w:p w14:paraId="14F1491B" w14:textId="77777777" w:rsidR="00AE753A" w:rsidRPr="003F57AB" w:rsidRDefault="003F57AB">
            <w:pPr>
              <w:pStyle w:val="Point1letter"/>
              <w:numPr>
                <w:ilvl w:val="0"/>
                <w:numId w:val="0"/>
              </w:numPr>
              <w:ind w:left="350" w:hanging="426"/>
              <w:rPr>
                <w:rFonts w:eastAsia="Times New Roman"/>
                <w:bCs/>
                <w:color w:val="000000" w:themeColor="text1"/>
                <w:sz w:val="22"/>
                <w:szCs w:val="20"/>
              </w:rPr>
            </w:pPr>
            <w:r w:rsidRPr="003F57AB">
              <w:rPr>
                <w:rFonts w:eastAsia="Times New Roman"/>
                <w:bCs/>
                <w:color w:val="000000" w:themeColor="text1"/>
                <w:sz w:val="22"/>
                <w:szCs w:val="20"/>
              </w:rPr>
              <w:t>(f)</w:t>
            </w:r>
            <w:r w:rsidRPr="003F57AB">
              <w:rPr>
                <w:rFonts w:eastAsia="Times New Roman"/>
                <w:bCs/>
                <w:color w:val="000000" w:themeColor="text1"/>
                <w:sz w:val="22"/>
                <w:szCs w:val="20"/>
              </w:rPr>
              <w:tab/>
            </w:r>
            <w:r w:rsidRPr="003F57AB">
              <w:rPr>
                <w:bCs/>
              </w:rPr>
              <w:t>plačila v sklad za spl</w:t>
            </w:r>
            <w:r w:rsidRPr="003F57AB">
              <w:rPr>
                <w:bCs/>
              </w:rPr>
              <w:t>ošna bančna tveganja v skladu s členom 26(1)(f) Uredbe (EU) št. 575/2013;</w:t>
            </w:r>
          </w:p>
          <w:p w14:paraId="078E5B97" w14:textId="77777777" w:rsidR="00AE753A" w:rsidRPr="003F57AB" w:rsidRDefault="003F57AB">
            <w:pPr>
              <w:pStyle w:val="Point1letter"/>
              <w:numPr>
                <w:ilvl w:val="0"/>
                <w:numId w:val="0"/>
              </w:numPr>
              <w:ind w:left="350" w:hanging="426"/>
              <w:rPr>
                <w:rFonts w:eastAsia="Times New Roman"/>
                <w:bCs/>
                <w:color w:val="000000" w:themeColor="text1"/>
                <w:szCs w:val="20"/>
              </w:rPr>
            </w:pPr>
            <w:r w:rsidRPr="003F57AB">
              <w:rPr>
                <w:rFonts w:eastAsia="Times New Roman"/>
                <w:bCs/>
                <w:color w:val="000000" w:themeColor="text1"/>
                <w:szCs w:val="20"/>
              </w:rPr>
              <w:t>(g)</w:t>
            </w:r>
            <w:r w:rsidRPr="003F57AB">
              <w:rPr>
                <w:rFonts w:eastAsia="Times New Roman"/>
                <w:bCs/>
                <w:color w:val="000000" w:themeColor="text1"/>
                <w:szCs w:val="20"/>
              </w:rPr>
              <w:tab/>
            </w:r>
            <w:r w:rsidRPr="003F57AB">
              <w:rPr>
                <w:bCs/>
              </w:rPr>
              <w:t>odhodki, povezani s postavkami, ki so že bile odbite od kapitala v skladu s členom 36(1) Uredbe (EU) št. 575/2013.</w:t>
            </w:r>
          </w:p>
        </w:tc>
      </w:tr>
      <w:tr w:rsidR="00AE753A" w:rsidRPr="003F57AB" w14:paraId="655D7975" w14:textId="77777777">
        <w:tc>
          <w:tcPr>
            <w:tcW w:w="1129" w:type="dxa"/>
          </w:tcPr>
          <w:p w14:paraId="23F3B33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lastRenderedPageBreak/>
              <w:t>0060</w:t>
            </w:r>
          </w:p>
        </w:tc>
        <w:tc>
          <w:tcPr>
            <w:tcW w:w="7620" w:type="dxa"/>
          </w:tcPr>
          <w:p w14:paraId="572E0816"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Bonusi za osebje in drugi prejemki</w:t>
            </w:r>
          </w:p>
          <w:p w14:paraId="1BF9110E"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 xml:space="preserve">Člen 13(4), </w:t>
            </w:r>
            <w:r w:rsidRPr="003F57AB">
              <w:rPr>
                <w:rFonts w:ascii="Times New Roman" w:hAnsi="Times New Roman" w:cs="Times New Roman"/>
                <w:bCs/>
              </w:rPr>
              <w:t>točka (a), Uredbe (EU) št. 2019/2033.</w:t>
            </w:r>
          </w:p>
          <w:p w14:paraId="3D10107E" w14:textId="77777777" w:rsidR="00AE753A" w:rsidRPr="003F57AB" w:rsidRDefault="003F57AB">
            <w:pPr>
              <w:pStyle w:val="NumPar1"/>
              <w:numPr>
                <w:ilvl w:val="0"/>
                <w:numId w:val="0"/>
              </w:numPr>
              <w:rPr>
                <w:rFonts w:eastAsia="Times New Roman"/>
                <w:bCs/>
                <w:color w:val="000000" w:themeColor="text1"/>
                <w:sz w:val="22"/>
                <w:szCs w:val="20"/>
              </w:rPr>
            </w:pPr>
            <w:r w:rsidRPr="003F57AB">
              <w:rPr>
                <w:bCs/>
                <w:color w:val="000000" w:themeColor="text1"/>
                <w:sz w:val="22"/>
                <w:szCs w:val="20"/>
              </w:rPr>
              <w:t>Za bonuse za osebje in druge prejemke se šteje, da so odvisni od čistega dobička investicijskega podjetja v zadevnem letu, kadar sta izpolnjena oba naslednja pogoja:</w:t>
            </w:r>
          </w:p>
          <w:p w14:paraId="2C55736A" w14:textId="77777777" w:rsidR="00AE753A" w:rsidRPr="003F57AB" w:rsidRDefault="003F57AB">
            <w:pPr>
              <w:pStyle w:val="Point1letter"/>
              <w:numPr>
                <w:ilvl w:val="0"/>
                <w:numId w:val="0"/>
              </w:numPr>
              <w:ind w:left="350" w:hanging="350"/>
              <w:rPr>
                <w:rFonts w:eastAsia="Times New Roman"/>
                <w:bCs/>
                <w:color w:val="000000" w:themeColor="text1"/>
                <w:sz w:val="22"/>
                <w:szCs w:val="20"/>
              </w:rPr>
            </w:pPr>
            <w:r w:rsidRPr="003F57AB">
              <w:rPr>
                <w:rFonts w:eastAsia="Times New Roman"/>
                <w:bCs/>
                <w:color w:val="000000" w:themeColor="text1"/>
                <w:sz w:val="22"/>
                <w:szCs w:val="20"/>
              </w:rPr>
              <w:t>(h)</w:t>
            </w:r>
            <w:r w:rsidRPr="003F57AB">
              <w:rPr>
                <w:rFonts w:eastAsia="Times New Roman"/>
                <w:bCs/>
                <w:color w:val="000000" w:themeColor="text1"/>
                <w:sz w:val="22"/>
                <w:szCs w:val="20"/>
              </w:rPr>
              <w:tab/>
            </w:r>
            <w:r w:rsidRPr="003F57AB">
              <w:rPr>
                <w:bCs/>
                <w:color w:val="000000" w:themeColor="text1"/>
                <w:sz w:val="22"/>
                <w:szCs w:val="20"/>
              </w:rPr>
              <w:t xml:space="preserve">bonusi za osebje ali drugi prejemki, ki se bodo </w:t>
            </w:r>
            <w:r w:rsidRPr="003F57AB">
              <w:rPr>
                <w:bCs/>
                <w:color w:val="000000" w:themeColor="text1"/>
                <w:sz w:val="22"/>
                <w:szCs w:val="20"/>
              </w:rPr>
              <w:t>odbili, so že bili plačani zaposlenim v letu pred letom plačila ali pa plačilo bonusov za osebje ali drugih prejemkov zaposlenim ne bo vplivalo na kapitalski položaj podjetja v letu plačila;</w:t>
            </w:r>
          </w:p>
          <w:p w14:paraId="6539617A" w14:textId="77777777" w:rsidR="00AE753A" w:rsidRPr="003F57AB" w:rsidRDefault="003F57AB">
            <w:pPr>
              <w:pStyle w:val="Point1letter"/>
              <w:numPr>
                <w:ilvl w:val="0"/>
                <w:numId w:val="0"/>
              </w:numPr>
              <w:ind w:left="350" w:hanging="350"/>
              <w:rPr>
                <w:rFonts w:eastAsia="Times New Roman"/>
                <w:bCs/>
                <w:color w:val="000000" w:themeColor="text1"/>
              </w:rPr>
            </w:pPr>
            <w:r w:rsidRPr="003F57AB">
              <w:rPr>
                <w:rFonts w:eastAsia="Times New Roman"/>
                <w:bCs/>
                <w:color w:val="000000" w:themeColor="text1"/>
              </w:rPr>
              <w:t>(i)</w:t>
            </w:r>
            <w:r w:rsidRPr="003F57AB">
              <w:rPr>
                <w:rFonts w:eastAsia="Times New Roman"/>
                <w:bCs/>
                <w:color w:val="000000" w:themeColor="text1"/>
              </w:rPr>
              <w:tab/>
            </w:r>
            <w:r w:rsidRPr="003F57AB">
              <w:rPr>
                <w:bCs/>
                <w:color w:val="000000" w:themeColor="text1"/>
                <w:szCs w:val="20"/>
              </w:rPr>
              <w:t>za tekoče leto in prihodnja leta podjetju ni treba dodeliti a</w:t>
            </w:r>
            <w:r w:rsidRPr="003F57AB">
              <w:rPr>
                <w:bCs/>
                <w:color w:val="000000" w:themeColor="text1"/>
                <w:szCs w:val="20"/>
              </w:rPr>
              <w:t>li nameniti dodatnih bonusov ali drugih plačil v obliki prejemkov, razen če v zadevnem letu ustvari čisti dobiček.</w:t>
            </w:r>
          </w:p>
        </w:tc>
      </w:tr>
      <w:tr w:rsidR="00AE753A" w:rsidRPr="003F57AB" w14:paraId="21C2E620" w14:textId="77777777">
        <w:tc>
          <w:tcPr>
            <w:tcW w:w="1129" w:type="dxa"/>
          </w:tcPr>
          <w:p w14:paraId="4E096C2C"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0070</w:t>
            </w:r>
          </w:p>
        </w:tc>
        <w:tc>
          <w:tcPr>
            <w:tcW w:w="7620" w:type="dxa"/>
          </w:tcPr>
          <w:p w14:paraId="5A87B8B0"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Deleži zaposlenih, direktorjev in partnerjev v čistem dobičku</w:t>
            </w:r>
          </w:p>
          <w:p w14:paraId="23C51693"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13(4), točka (b), Uredbe (EU) št. 2019/2033.</w:t>
            </w:r>
          </w:p>
          <w:p w14:paraId="5AFFC8B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szCs w:val="20"/>
              </w:rPr>
              <w:t xml:space="preserve">Deleži zaposlenih, </w:t>
            </w:r>
            <w:r w:rsidRPr="003F57AB">
              <w:rPr>
                <w:rFonts w:ascii="Times New Roman" w:hAnsi="Times New Roman" w:cs="Times New Roman"/>
                <w:bCs/>
                <w:color w:val="000000" w:themeColor="text1"/>
                <w:szCs w:val="20"/>
              </w:rPr>
              <w:t>direktorjev in partnerjev v dobičku se izračunajo na podlagi čistega dobička.</w:t>
            </w:r>
          </w:p>
        </w:tc>
      </w:tr>
      <w:tr w:rsidR="00AE753A" w:rsidRPr="003F57AB" w14:paraId="5E167E90" w14:textId="77777777">
        <w:tc>
          <w:tcPr>
            <w:tcW w:w="1129" w:type="dxa"/>
          </w:tcPr>
          <w:p w14:paraId="4D031977"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0080</w:t>
            </w:r>
          </w:p>
        </w:tc>
        <w:tc>
          <w:tcPr>
            <w:tcW w:w="7620" w:type="dxa"/>
          </w:tcPr>
          <w:p w14:paraId="0AF4BAC8"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Druga diskrecijska plačila dobička in variabilnih prejemkov</w:t>
            </w:r>
          </w:p>
          <w:p w14:paraId="69AE483F"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13(4), točka (c), Uredbe (EU) 2019/2033.</w:t>
            </w:r>
          </w:p>
        </w:tc>
      </w:tr>
      <w:tr w:rsidR="00AE753A" w:rsidRPr="003F57AB" w14:paraId="3455BADA" w14:textId="77777777">
        <w:tc>
          <w:tcPr>
            <w:tcW w:w="1129" w:type="dxa"/>
          </w:tcPr>
          <w:p w14:paraId="200246D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0090</w:t>
            </w:r>
          </w:p>
        </w:tc>
        <w:tc>
          <w:tcPr>
            <w:tcW w:w="7620" w:type="dxa"/>
          </w:tcPr>
          <w:p w14:paraId="12634DA4"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Deljene plačljive opravnine in provizije</w:t>
            </w:r>
          </w:p>
          <w:p w14:paraId="06A64946"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 xml:space="preserve">Člen </w:t>
            </w:r>
            <w:r w:rsidRPr="003F57AB">
              <w:rPr>
                <w:rFonts w:ascii="Times New Roman" w:hAnsi="Times New Roman" w:cs="Times New Roman"/>
                <w:bCs/>
              </w:rPr>
              <w:t>13(4), točka (d), Uredbe (EU) št. 2019/2033.</w:t>
            </w:r>
          </w:p>
        </w:tc>
      </w:tr>
      <w:tr w:rsidR="00AE753A" w:rsidRPr="003F57AB" w14:paraId="7CF5AF74" w14:textId="77777777">
        <w:tc>
          <w:tcPr>
            <w:tcW w:w="1129" w:type="dxa"/>
          </w:tcPr>
          <w:p w14:paraId="57EE0E6B"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0100</w:t>
            </w:r>
          </w:p>
        </w:tc>
        <w:tc>
          <w:tcPr>
            <w:tcW w:w="7620" w:type="dxa"/>
          </w:tcPr>
          <w:p w14:paraId="62ABF4D0"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Provizije, posredniške provizije in drugi stroški, plačani CNS, ki se zaračunajo strankam</w:t>
            </w:r>
          </w:p>
          <w:p w14:paraId="79DBB683" w14:textId="77777777" w:rsidR="00AE753A" w:rsidRPr="003F57AB" w:rsidRDefault="003F57AB">
            <w:pPr>
              <w:pStyle w:val="Point1letter"/>
              <w:numPr>
                <w:ilvl w:val="0"/>
                <w:numId w:val="0"/>
              </w:numPr>
              <w:rPr>
                <w:rFonts w:eastAsia="Times New Roman"/>
                <w:bCs/>
                <w:color w:val="000000" w:themeColor="text1"/>
              </w:rPr>
            </w:pPr>
            <w:r w:rsidRPr="003F57AB">
              <w:rPr>
                <w:bCs/>
                <w:color w:val="000000" w:themeColor="text1"/>
              </w:rPr>
              <w:t xml:space="preserve">Provizije, posredniške provizije in drugi stroški, plačani centralnim nasprotnim strankam, borzam in drugim mestom trgovanja ter posrednikom za izvrševanje, registriranje ali kliring poslov, samo kadar se ti neposredno prenesejo in zaračunajo strankam. Ne </w:t>
            </w:r>
            <w:r w:rsidRPr="003F57AB">
              <w:rPr>
                <w:bCs/>
                <w:color w:val="000000" w:themeColor="text1"/>
              </w:rPr>
              <w:t xml:space="preserve">vključujejo provizij in drugih stroškov, potrebnih za ohranjanje članstva ali drug način izpolnjevanja finančnih obveznosti za delitev izgub do centralnih nasprotnih strank, borz in drugih mest trgovanja; </w:t>
            </w:r>
          </w:p>
        </w:tc>
      </w:tr>
      <w:tr w:rsidR="00AE753A" w:rsidRPr="003F57AB" w14:paraId="389EC3F4" w14:textId="77777777">
        <w:tc>
          <w:tcPr>
            <w:tcW w:w="1129" w:type="dxa"/>
          </w:tcPr>
          <w:p w14:paraId="7858FCAF"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0110</w:t>
            </w:r>
          </w:p>
        </w:tc>
        <w:tc>
          <w:tcPr>
            <w:tcW w:w="7620" w:type="dxa"/>
          </w:tcPr>
          <w:p w14:paraId="08E2B60C"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Provizije za vezane zastopnike</w:t>
            </w:r>
          </w:p>
          <w:p w14:paraId="7C6E9032"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lastRenderedPageBreak/>
              <w:t>Člen 13(4</w:t>
            </w:r>
            <w:r w:rsidRPr="003F57AB">
              <w:rPr>
                <w:rFonts w:ascii="Times New Roman" w:hAnsi="Times New Roman" w:cs="Times New Roman"/>
                <w:bCs/>
              </w:rPr>
              <w:t>), točka (e), Uredbe (EU) 2019/2033.</w:t>
            </w:r>
          </w:p>
        </w:tc>
      </w:tr>
      <w:tr w:rsidR="00AE753A" w:rsidRPr="003F57AB" w14:paraId="706DAB39" w14:textId="77777777">
        <w:tc>
          <w:tcPr>
            <w:tcW w:w="1129" w:type="dxa"/>
          </w:tcPr>
          <w:p w14:paraId="3DD02FCC"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lastRenderedPageBreak/>
              <w:t>0120</w:t>
            </w:r>
          </w:p>
        </w:tc>
        <w:tc>
          <w:tcPr>
            <w:tcW w:w="7620" w:type="dxa"/>
          </w:tcPr>
          <w:p w14:paraId="76C67BE0"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Obresti, plačane strankam, za denar strank, ki se upravlja, kadar je to v diskreciji podjetja</w:t>
            </w:r>
          </w:p>
          <w:p w14:paraId="378B2741"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Obresti, plačane strankam, za denar, ki se upravlja, kadar ni nobene obveznosti plačila takih obresti.</w:t>
            </w:r>
          </w:p>
        </w:tc>
      </w:tr>
      <w:tr w:rsidR="00AE753A" w:rsidRPr="003F57AB" w14:paraId="74E7EF29" w14:textId="77777777">
        <w:tc>
          <w:tcPr>
            <w:tcW w:w="1129" w:type="dxa"/>
          </w:tcPr>
          <w:p w14:paraId="3A4E95E7"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0130</w:t>
            </w:r>
          </w:p>
        </w:tc>
        <w:tc>
          <w:tcPr>
            <w:tcW w:w="7620" w:type="dxa"/>
          </w:tcPr>
          <w:p w14:paraId="73D9A3D8"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Iz</w:t>
            </w:r>
            <w:r w:rsidRPr="003F57AB">
              <w:rPr>
                <w:rFonts w:ascii="Times New Roman" w:hAnsi="Times New Roman" w:cs="Times New Roman"/>
                <w:b/>
                <w:bCs/>
                <w:color w:val="000000" w:themeColor="text1"/>
                <w:u w:val="single"/>
              </w:rPr>
              <w:t>redni stroški zaradi izrednih dejavnosti</w:t>
            </w:r>
          </w:p>
          <w:p w14:paraId="7F6F8901"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13(4), točka (f), Uredbe (EU) 2019/2033.</w:t>
            </w:r>
          </w:p>
        </w:tc>
      </w:tr>
      <w:tr w:rsidR="00AE753A" w:rsidRPr="003F57AB" w14:paraId="75707582" w14:textId="77777777">
        <w:tc>
          <w:tcPr>
            <w:tcW w:w="1129" w:type="dxa"/>
          </w:tcPr>
          <w:p w14:paraId="00CEE538"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0140</w:t>
            </w:r>
          </w:p>
          <w:p w14:paraId="1C3C496C" w14:textId="77777777" w:rsidR="00AE753A" w:rsidRPr="003F57AB" w:rsidRDefault="00AE753A">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4FD970ED" w14:textId="77777777" w:rsidR="00AE753A" w:rsidRPr="003F57AB" w:rsidRDefault="003F57AB">
            <w:pPr>
              <w:spacing w:after="120" w:line="240" w:lineRule="auto"/>
              <w:jc w:val="both"/>
              <w:rPr>
                <w:rFonts w:ascii="Times New Roman" w:eastAsia="Times New Roman" w:hAnsi="Times New Roman" w:cs="Times New Roman"/>
                <w:bCs/>
                <w:color w:val="000000" w:themeColor="text1"/>
                <w:u w:val="single"/>
              </w:rPr>
            </w:pPr>
            <w:r w:rsidRPr="003F57AB">
              <w:rPr>
                <w:rFonts w:ascii="Times New Roman" w:hAnsi="Times New Roman" w:cs="Times New Roman"/>
                <w:b/>
                <w:bCs/>
                <w:color w:val="000000" w:themeColor="text1"/>
                <w:u w:val="single"/>
              </w:rPr>
              <w:t>(–) Izdatki za davke</w:t>
            </w:r>
          </w:p>
          <w:p w14:paraId="63CE1E62" w14:textId="77777777" w:rsidR="00AE753A" w:rsidRPr="003F57AB" w:rsidRDefault="003F57AB">
            <w:pPr>
              <w:spacing w:after="120" w:line="240" w:lineRule="auto"/>
              <w:jc w:val="both"/>
              <w:rPr>
                <w:rFonts w:ascii="Times New Roman" w:eastAsia="Times New Roman" w:hAnsi="Times New Roman" w:cs="Times New Roman"/>
                <w:color w:val="000000" w:themeColor="text1"/>
              </w:rPr>
            </w:pPr>
            <w:r w:rsidRPr="003F57AB">
              <w:rPr>
                <w:rFonts w:ascii="Times New Roman" w:hAnsi="Times New Roman" w:cs="Times New Roman"/>
                <w:bCs/>
                <w:color w:val="000000" w:themeColor="text1"/>
              </w:rPr>
              <w:t>Izdatki za davke, kadar zapadejo v plačilo v povezavi z letnim dobičkom investicijskega podjetja.</w:t>
            </w:r>
          </w:p>
        </w:tc>
      </w:tr>
      <w:tr w:rsidR="00AE753A" w:rsidRPr="003F57AB" w14:paraId="03C32F9B" w14:textId="77777777">
        <w:tc>
          <w:tcPr>
            <w:tcW w:w="1129" w:type="dxa"/>
          </w:tcPr>
          <w:p w14:paraId="7658E93F"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0150</w:t>
            </w:r>
          </w:p>
        </w:tc>
        <w:tc>
          <w:tcPr>
            <w:tcW w:w="7620" w:type="dxa"/>
          </w:tcPr>
          <w:p w14:paraId="4BF8FAD1"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xml:space="preserve">(–) Izgube iz trgovanja za svoj </w:t>
            </w:r>
            <w:r w:rsidRPr="003F57AB">
              <w:rPr>
                <w:rFonts w:ascii="Times New Roman" w:hAnsi="Times New Roman" w:cs="Times New Roman"/>
                <w:b/>
                <w:bCs/>
                <w:color w:val="000000" w:themeColor="text1"/>
                <w:u w:val="single"/>
              </w:rPr>
              <w:t>račun s finančnimi instrumenti</w:t>
            </w:r>
          </w:p>
          <w:p w14:paraId="29BAF12E"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Izgube iz naslova trgovanja za svoj račun s finančnimi instrumenti.</w:t>
            </w:r>
          </w:p>
        </w:tc>
      </w:tr>
      <w:tr w:rsidR="00AE753A" w:rsidRPr="003F57AB" w14:paraId="0DF0EB41" w14:textId="77777777">
        <w:tc>
          <w:tcPr>
            <w:tcW w:w="1129" w:type="dxa"/>
          </w:tcPr>
          <w:p w14:paraId="72060221"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0160</w:t>
            </w:r>
          </w:p>
        </w:tc>
        <w:tc>
          <w:tcPr>
            <w:tcW w:w="7620" w:type="dxa"/>
          </w:tcPr>
          <w:p w14:paraId="6B8CAE5C"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Pogodbeni dogovori o prenosu poslovnega izida</w:t>
            </w:r>
          </w:p>
          <w:p w14:paraId="0F0A01BA"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Plačila, povezana s pogodbenimi dogovori o prenosu poslovnega izida, v skladu s katerim mora investic</w:t>
            </w:r>
            <w:r w:rsidRPr="003F57AB">
              <w:rPr>
                <w:rFonts w:ascii="Times New Roman" w:hAnsi="Times New Roman" w:cs="Times New Roman"/>
                <w:bCs/>
                <w:color w:val="000000" w:themeColor="text1"/>
              </w:rPr>
              <w:t xml:space="preserve">ijsko podjetje po pripravi svojih letnih računovodskih izkazov svoj letni rezultat prenesti na obvladujoče podjetje. </w:t>
            </w:r>
          </w:p>
        </w:tc>
      </w:tr>
      <w:tr w:rsidR="00AE753A" w:rsidRPr="003F57AB" w14:paraId="71EA24D2" w14:textId="77777777">
        <w:tc>
          <w:tcPr>
            <w:tcW w:w="1129" w:type="dxa"/>
          </w:tcPr>
          <w:p w14:paraId="6E7DD64E"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0170</w:t>
            </w:r>
          </w:p>
        </w:tc>
        <w:tc>
          <w:tcPr>
            <w:tcW w:w="7620" w:type="dxa"/>
          </w:tcPr>
          <w:p w14:paraId="6C93694A"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Izdatki za surovine</w:t>
            </w:r>
          </w:p>
          <w:p w14:paraId="6E3B3EEE"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Trgovci z blagom in pravicami do emisij lahko odbijejo izdatke za surovine v povezavi s trgovanjem investici</w:t>
            </w:r>
            <w:r w:rsidRPr="003F57AB">
              <w:rPr>
                <w:rFonts w:ascii="Times New Roman" w:hAnsi="Times New Roman" w:cs="Times New Roman"/>
                <w:bCs/>
              </w:rPr>
              <w:t xml:space="preserve">jskega podjetja z izvedenimi finančnimi instrumenti na osnovno blago. </w:t>
            </w:r>
          </w:p>
        </w:tc>
      </w:tr>
      <w:tr w:rsidR="00AE753A" w:rsidRPr="003F57AB" w14:paraId="0EA83D48" w14:textId="77777777">
        <w:tc>
          <w:tcPr>
            <w:tcW w:w="1129" w:type="dxa"/>
          </w:tcPr>
          <w:p w14:paraId="3E938FF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0180</w:t>
            </w:r>
          </w:p>
        </w:tc>
        <w:tc>
          <w:tcPr>
            <w:tcW w:w="7620" w:type="dxa"/>
          </w:tcPr>
          <w:p w14:paraId="3E05C992"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Plačila v sklad za splošna bančna tveganja</w:t>
            </w:r>
          </w:p>
          <w:p w14:paraId="7F12C8A4" w14:textId="77777777" w:rsidR="00AE753A" w:rsidRPr="003F57AB" w:rsidRDefault="003F57AB">
            <w:pPr>
              <w:pStyle w:val="Point1letter"/>
              <w:numPr>
                <w:ilvl w:val="0"/>
                <w:numId w:val="0"/>
              </w:numPr>
              <w:rPr>
                <w:rFonts w:eastAsia="Times New Roman"/>
                <w:b/>
                <w:bCs/>
                <w:color w:val="000000" w:themeColor="text1"/>
                <w:sz w:val="22"/>
                <w:u w:val="single"/>
              </w:rPr>
            </w:pPr>
            <w:r w:rsidRPr="003F57AB">
              <w:t>Plačila v sklad za splošna bančna tveganja v skladu s členom 26(1)(f) Uredbe (EU) št. 575/2013.</w:t>
            </w:r>
          </w:p>
        </w:tc>
      </w:tr>
      <w:tr w:rsidR="00AE753A" w:rsidRPr="003F57AB" w14:paraId="6C97B88F" w14:textId="77777777">
        <w:tc>
          <w:tcPr>
            <w:tcW w:w="1129" w:type="dxa"/>
          </w:tcPr>
          <w:p w14:paraId="6743B6D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0190</w:t>
            </w:r>
          </w:p>
        </w:tc>
        <w:tc>
          <w:tcPr>
            <w:tcW w:w="7620" w:type="dxa"/>
          </w:tcPr>
          <w:p w14:paraId="2BC94A97"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xml:space="preserve">(–) Odhodki, povezani s </w:t>
            </w:r>
            <w:r w:rsidRPr="003F57AB">
              <w:rPr>
                <w:rFonts w:ascii="Times New Roman" w:hAnsi="Times New Roman" w:cs="Times New Roman"/>
                <w:b/>
                <w:bCs/>
                <w:color w:val="000000" w:themeColor="text1"/>
                <w:u w:val="single"/>
              </w:rPr>
              <w:t>postavkami, ki so že bile odbite od kapitala</w:t>
            </w:r>
          </w:p>
          <w:p w14:paraId="643F5473"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Odhodki, povezani s postavkami, ki so že bile odbite od kapitala v skladu s členom 36(1) Uredbe (EU) št. 575/2013.</w:t>
            </w:r>
          </w:p>
        </w:tc>
      </w:tr>
      <w:tr w:rsidR="00AE753A" w:rsidRPr="003F57AB" w14:paraId="396927FA" w14:textId="77777777">
        <w:tc>
          <w:tcPr>
            <w:tcW w:w="1129" w:type="dxa"/>
          </w:tcPr>
          <w:p w14:paraId="13903EA9"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0200</w:t>
            </w:r>
          </w:p>
        </w:tc>
        <w:tc>
          <w:tcPr>
            <w:tcW w:w="7620" w:type="dxa"/>
          </w:tcPr>
          <w:p w14:paraId="1FC0A4DA"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Napovedani stalni splošni stroški tekočega leta</w:t>
            </w:r>
          </w:p>
          <w:p w14:paraId="3C80EF4D"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Napoved stalnih splošnih stroškov za tekoč</w:t>
            </w:r>
            <w:r w:rsidRPr="003F57AB">
              <w:rPr>
                <w:rFonts w:ascii="Times New Roman" w:hAnsi="Times New Roman" w:cs="Times New Roman"/>
                <w:bCs/>
                <w:color w:val="000000" w:themeColor="text1"/>
              </w:rPr>
              <w:t>e leto po razdelitvi dobička.</w:t>
            </w:r>
          </w:p>
        </w:tc>
      </w:tr>
      <w:tr w:rsidR="00AE753A" w:rsidRPr="003F57AB" w14:paraId="5A4CB417" w14:textId="77777777">
        <w:tc>
          <w:tcPr>
            <w:tcW w:w="1129" w:type="dxa"/>
          </w:tcPr>
          <w:p w14:paraId="122F74D8"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0210</w:t>
            </w:r>
          </w:p>
        </w:tc>
        <w:tc>
          <w:tcPr>
            <w:tcW w:w="7620" w:type="dxa"/>
          </w:tcPr>
          <w:p w14:paraId="41A23FD6"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Variacija stalnih splošnih stroškov</w:t>
            </w:r>
          </w:p>
          <w:p w14:paraId="0877C585"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Znesek se poroča kot absolutna vrednost:</w:t>
            </w:r>
          </w:p>
          <w:p w14:paraId="75E12B72"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[(napovedani stalni splošni stroški tekočega leta) – (letni stalni splošni stroški predhodnega leta)] / (letni stalni splošni stroški predhodne</w:t>
            </w:r>
            <w:r w:rsidRPr="003F57AB">
              <w:rPr>
                <w:rFonts w:ascii="Times New Roman" w:hAnsi="Times New Roman" w:cs="Times New Roman"/>
                <w:bCs/>
                <w:color w:val="000000" w:themeColor="text1"/>
              </w:rPr>
              <w:t>ga leta)</w:t>
            </w:r>
          </w:p>
        </w:tc>
      </w:tr>
    </w:tbl>
    <w:p w14:paraId="4BA5C3FA" w14:textId="77777777" w:rsidR="00AE753A" w:rsidRPr="003F57AB" w:rsidRDefault="00AE753A">
      <w:pPr>
        <w:spacing w:after="120" w:line="240" w:lineRule="auto"/>
        <w:jc w:val="both"/>
        <w:rPr>
          <w:rFonts w:ascii="Times New Roman" w:eastAsia="Times New Roman" w:hAnsi="Times New Roman" w:cs="Times New Roman"/>
          <w:sz w:val="24"/>
          <w:szCs w:val="24"/>
          <w:lang w:eastAsia="de-DE"/>
        </w:rPr>
      </w:pPr>
    </w:p>
    <w:p w14:paraId="315C1DB2"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7975479"/>
      <w:r w:rsidRPr="003F57AB">
        <w:rPr>
          <w:rFonts w:ascii="Times New Roman" w:hAnsi="Times New Roman" w:cs="Times New Roman"/>
          <w:sz w:val="24"/>
          <w:szCs w:val="24"/>
          <w:u w:val="single"/>
        </w:rPr>
        <w:t>1.6 I 04.00 – IZRAČUNI SKUPNE ZAHTEVE ZA FAKTOR K (I 4)</w:t>
      </w:r>
      <w:bookmarkEnd w:id="40"/>
    </w:p>
    <w:p w14:paraId="35EC0145"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7975480"/>
      <w:r w:rsidRPr="003F57AB">
        <w:rPr>
          <w:rFonts w:ascii="Times New Roman" w:hAnsi="Times New Roman" w:cs="Times New Roman"/>
          <w:sz w:val="24"/>
          <w:szCs w:val="24"/>
        </w:rPr>
        <w:t>1.6.1</w:t>
      </w:r>
      <w:r w:rsidRPr="003F57AB">
        <w:rPr>
          <w:rFonts w:ascii="Times New Roman" w:hAnsi="Times New Roman" w:cs="Times New Roman"/>
        </w:rPr>
        <w:tab/>
      </w:r>
      <w:r w:rsidRPr="003F57AB">
        <w:rPr>
          <w:rFonts w:ascii="Times New Roman" w:hAnsi="Times New Roman" w:cs="Times New Roman"/>
          <w:sz w:val="24"/>
          <w:szCs w:val="24"/>
          <w:u w:val="single"/>
        </w:rPr>
        <w:t>Navodila za posamezne pozicije</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3095CA98" w14:textId="77777777">
        <w:tc>
          <w:tcPr>
            <w:tcW w:w="1129" w:type="dxa"/>
            <w:shd w:val="clear" w:color="auto" w:fill="D9D9D9"/>
          </w:tcPr>
          <w:p w14:paraId="39F9721C"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color w:val="000000" w:themeColor="text1"/>
              </w:rPr>
              <w:t>Vrstica</w:t>
            </w:r>
          </w:p>
        </w:tc>
        <w:tc>
          <w:tcPr>
            <w:tcW w:w="7620" w:type="dxa"/>
            <w:shd w:val="clear" w:color="auto" w:fill="D9D9D9"/>
          </w:tcPr>
          <w:p w14:paraId="319B5EEF"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color w:val="000000" w:themeColor="text1"/>
              </w:rPr>
              <w:t>Pravna podlaga in navodila</w:t>
            </w:r>
          </w:p>
        </w:tc>
      </w:tr>
      <w:tr w:rsidR="00AE753A" w:rsidRPr="003F57AB" w14:paraId="52F3EA99" w14:textId="77777777">
        <w:tc>
          <w:tcPr>
            <w:tcW w:w="1129" w:type="dxa"/>
          </w:tcPr>
          <w:p w14:paraId="7D8A05E7"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0010</w:t>
            </w:r>
          </w:p>
        </w:tc>
        <w:tc>
          <w:tcPr>
            <w:tcW w:w="7620" w:type="dxa"/>
          </w:tcPr>
          <w:p w14:paraId="33116335"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SKUPNA ZAHTEVA ZA FAKTOR K</w:t>
            </w:r>
          </w:p>
          <w:p w14:paraId="3D17BE7F"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Člen 15(1) Uredbe (EU) 2019/2033.</w:t>
            </w:r>
          </w:p>
        </w:tc>
      </w:tr>
      <w:tr w:rsidR="00AE753A" w:rsidRPr="003F57AB" w14:paraId="536C752D" w14:textId="77777777">
        <w:tc>
          <w:tcPr>
            <w:tcW w:w="1129" w:type="dxa"/>
          </w:tcPr>
          <w:p w14:paraId="727BCEF7"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lastRenderedPageBreak/>
              <w:t>0020</w:t>
            </w:r>
          </w:p>
        </w:tc>
        <w:tc>
          <w:tcPr>
            <w:tcW w:w="7620" w:type="dxa"/>
          </w:tcPr>
          <w:p w14:paraId="12BFBC57"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Tveganje za stranko</w:t>
            </w:r>
          </w:p>
          <w:p w14:paraId="60A90A94"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 xml:space="preserve">Člen 16 Uredbe (EU) </w:t>
            </w:r>
            <w:r w:rsidRPr="003F57AB">
              <w:rPr>
                <w:rFonts w:ascii="Times New Roman" w:hAnsi="Times New Roman" w:cs="Times New Roman"/>
                <w:bCs/>
              </w:rPr>
              <w:t>2019/2033.</w:t>
            </w:r>
          </w:p>
          <w:p w14:paraId="5007B9B7"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color w:val="000000" w:themeColor="text1"/>
              </w:rPr>
              <w:t>Sporočeni znesek je vsota vrstic 0030–0080.</w:t>
            </w:r>
          </w:p>
        </w:tc>
      </w:tr>
      <w:tr w:rsidR="00AE753A" w:rsidRPr="003F57AB" w14:paraId="39C761E3" w14:textId="77777777">
        <w:tc>
          <w:tcPr>
            <w:tcW w:w="1129" w:type="dxa"/>
          </w:tcPr>
          <w:p w14:paraId="02D81512"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0030</w:t>
            </w:r>
          </w:p>
        </w:tc>
        <w:tc>
          <w:tcPr>
            <w:tcW w:w="7620" w:type="dxa"/>
          </w:tcPr>
          <w:p w14:paraId="36ACFF39"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
                <w:bCs/>
                <w:color w:val="000000" w:themeColor="text1"/>
                <w:u w:val="single"/>
              </w:rPr>
              <w:t>Upravljana sredstva</w:t>
            </w:r>
          </w:p>
          <w:p w14:paraId="25C80394"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15(2) in člen 17 Uredbe (EU) 2019/2033.</w:t>
            </w:r>
          </w:p>
          <w:p w14:paraId="053E1564"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Upravljana sredstva vključujejo diskrecijsko upravljanje portfeljev in nediskrecijske svetovalne ureditve.</w:t>
            </w:r>
          </w:p>
        </w:tc>
      </w:tr>
      <w:tr w:rsidR="00AE753A" w:rsidRPr="003F57AB" w14:paraId="358FF902" w14:textId="77777777">
        <w:trPr>
          <w:trHeight w:val="883"/>
        </w:trPr>
        <w:tc>
          <w:tcPr>
            <w:tcW w:w="1129" w:type="dxa"/>
          </w:tcPr>
          <w:p w14:paraId="31032306"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0040</w:t>
            </w:r>
          </w:p>
        </w:tc>
        <w:tc>
          <w:tcPr>
            <w:tcW w:w="7620" w:type="dxa"/>
          </w:tcPr>
          <w:p w14:paraId="606363B0"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xml:space="preserve">Denar strank, ki </w:t>
            </w:r>
            <w:r w:rsidRPr="003F57AB">
              <w:rPr>
                <w:rFonts w:ascii="Times New Roman" w:hAnsi="Times New Roman" w:cs="Times New Roman"/>
                <w:b/>
                <w:bCs/>
                <w:color w:val="000000" w:themeColor="text1"/>
                <w:u w:val="single"/>
              </w:rPr>
              <w:t>se upravlja – ločen</w:t>
            </w:r>
          </w:p>
          <w:p w14:paraId="5FF42DDA"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Člen 15(2) in člen 18 Uredbe (EU) 2019/2033.</w:t>
            </w:r>
          </w:p>
        </w:tc>
      </w:tr>
      <w:tr w:rsidR="00AE753A" w:rsidRPr="003F57AB" w14:paraId="2CEFEFC2" w14:textId="77777777">
        <w:trPr>
          <w:trHeight w:val="982"/>
        </w:trPr>
        <w:tc>
          <w:tcPr>
            <w:tcW w:w="1129" w:type="dxa"/>
          </w:tcPr>
          <w:p w14:paraId="6F50A262"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0050</w:t>
            </w:r>
          </w:p>
        </w:tc>
        <w:tc>
          <w:tcPr>
            <w:tcW w:w="7620" w:type="dxa"/>
          </w:tcPr>
          <w:p w14:paraId="03726F95"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Denar strank, ki se upravlja – neločen</w:t>
            </w:r>
          </w:p>
          <w:p w14:paraId="582F62D8"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rPr>
              <w:t>Člen 15(2) in člen 18 Uredbe (EU) 2019/2033.</w:t>
            </w:r>
          </w:p>
        </w:tc>
      </w:tr>
      <w:tr w:rsidR="00AE753A" w:rsidRPr="003F57AB" w14:paraId="54076A35" w14:textId="77777777">
        <w:tc>
          <w:tcPr>
            <w:tcW w:w="1129" w:type="dxa"/>
          </w:tcPr>
          <w:p w14:paraId="0BCD9F8D"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0060</w:t>
            </w:r>
          </w:p>
        </w:tc>
        <w:tc>
          <w:tcPr>
            <w:tcW w:w="7620" w:type="dxa"/>
          </w:tcPr>
          <w:p w14:paraId="6A6E8EEE"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Zaščitena in upravljana sredstva</w:t>
            </w:r>
          </w:p>
          <w:p w14:paraId="2E6E2ED5"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15(2) in člen 19 Uredbe (EU) 2019/2033.</w:t>
            </w:r>
          </w:p>
        </w:tc>
      </w:tr>
      <w:tr w:rsidR="00AE753A" w:rsidRPr="003F57AB" w14:paraId="1F6476A8" w14:textId="77777777">
        <w:tc>
          <w:tcPr>
            <w:tcW w:w="1129" w:type="dxa"/>
          </w:tcPr>
          <w:p w14:paraId="3B82626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0070</w:t>
            </w:r>
          </w:p>
        </w:tc>
        <w:tc>
          <w:tcPr>
            <w:tcW w:w="7620" w:type="dxa"/>
          </w:tcPr>
          <w:p w14:paraId="1404BEAA"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Obravnavana naročila strank – denarni posli</w:t>
            </w:r>
          </w:p>
          <w:p w14:paraId="151345AB"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15(2), člen 20(1) in člen 20(2), točka (a), Uredbe (EU) 2019/2033.</w:t>
            </w:r>
          </w:p>
        </w:tc>
      </w:tr>
      <w:tr w:rsidR="00AE753A" w:rsidRPr="003F57AB" w14:paraId="1AD47E5B" w14:textId="77777777">
        <w:tc>
          <w:tcPr>
            <w:tcW w:w="1129" w:type="dxa"/>
          </w:tcPr>
          <w:p w14:paraId="6C28D415"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0080</w:t>
            </w:r>
          </w:p>
        </w:tc>
        <w:tc>
          <w:tcPr>
            <w:tcW w:w="7620" w:type="dxa"/>
          </w:tcPr>
          <w:p w14:paraId="755D2DA6"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Obravnavana naročila strank – posli z izvedenimi finančnimi instrumenti</w:t>
            </w:r>
          </w:p>
          <w:p w14:paraId="12AD3B9C"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15(2), člen 20(1) in člen 20(2), točka (b), Uredbe (EU) 2</w:t>
            </w:r>
            <w:r w:rsidRPr="003F57AB">
              <w:rPr>
                <w:rFonts w:ascii="Times New Roman" w:hAnsi="Times New Roman" w:cs="Times New Roman"/>
                <w:bCs/>
              </w:rPr>
              <w:t>019/2033.</w:t>
            </w:r>
          </w:p>
        </w:tc>
      </w:tr>
      <w:tr w:rsidR="00AE753A" w:rsidRPr="003F57AB" w14:paraId="74AC8D3F" w14:textId="77777777">
        <w:tc>
          <w:tcPr>
            <w:tcW w:w="1129" w:type="dxa"/>
          </w:tcPr>
          <w:p w14:paraId="650022C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0090</w:t>
            </w:r>
          </w:p>
        </w:tc>
        <w:tc>
          <w:tcPr>
            <w:tcW w:w="7620" w:type="dxa"/>
          </w:tcPr>
          <w:p w14:paraId="51421AB5"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Tveganje za trg</w:t>
            </w:r>
          </w:p>
          <w:p w14:paraId="70076E5D"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21(1) Uredbe (EU) 2019/2033.</w:t>
            </w:r>
          </w:p>
          <w:p w14:paraId="6821D31A"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color w:val="000000" w:themeColor="text1"/>
              </w:rPr>
              <w:t>Sporočeni znesek je vsota vrstic 0100–0110.</w:t>
            </w:r>
          </w:p>
        </w:tc>
      </w:tr>
      <w:tr w:rsidR="00AE753A" w:rsidRPr="003F57AB" w14:paraId="571D7B1A" w14:textId="77777777">
        <w:tc>
          <w:tcPr>
            <w:tcW w:w="1129" w:type="dxa"/>
          </w:tcPr>
          <w:p w14:paraId="1AB38CF2"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0100</w:t>
            </w:r>
          </w:p>
        </w:tc>
        <w:tc>
          <w:tcPr>
            <w:tcW w:w="7620" w:type="dxa"/>
          </w:tcPr>
          <w:p w14:paraId="7532D87B"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Zahteva za K-NPR</w:t>
            </w:r>
          </w:p>
          <w:p w14:paraId="3AA7EC35"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22 Uredbe (EU) 2019/2033.</w:t>
            </w:r>
          </w:p>
        </w:tc>
      </w:tr>
      <w:tr w:rsidR="00AE753A" w:rsidRPr="003F57AB" w14:paraId="2B43A641" w14:textId="77777777">
        <w:tc>
          <w:tcPr>
            <w:tcW w:w="1129" w:type="dxa"/>
          </w:tcPr>
          <w:p w14:paraId="21088A16"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0110</w:t>
            </w:r>
          </w:p>
        </w:tc>
        <w:tc>
          <w:tcPr>
            <w:tcW w:w="7620" w:type="dxa"/>
          </w:tcPr>
          <w:p w14:paraId="5FA62836"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Zagotovljeno klirinško kritje</w:t>
            </w:r>
          </w:p>
          <w:p w14:paraId="04617EA1"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23(2) Uredbe (EU) 2019/2033.</w:t>
            </w:r>
          </w:p>
        </w:tc>
      </w:tr>
      <w:tr w:rsidR="00AE753A" w:rsidRPr="003F57AB" w14:paraId="4E67BF54" w14:textId="77777777">
        <w:tc>
          <w:tcPr>
            <w:tcW w:w="1129" w:type="dxa"/>
          </w:tcPr>
          <w:p w14:paraId="5D4DD531"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0120</w:t>
            </w:r>
          </w:p>
        </w:tc>
        <w:tc>
          <w:tcPr>
            <w:tcW w:w="7620" w:type="dxa"/>
          </w:tcPr>
          <w:p w14:paraId="0DF8A0E1"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 xml:space="preserve">Tveganje za </w:t>
            </w:r>
            <w:r w:rsidRPr="003F57AB">
              <w:rPr>
                <w:rFonts w:ascii="Times New Roman" w:hAnsi="Times New Roman" w:cs="Times New Roman"/>
                <w:b/>
                <w:bCs/>
                <w:color w:val="000000" w:themeColor="text1"/>
                <w:u w:val="single"/>
              </w:rPr>
              <w:t>podjetje</w:t>
            </w:r>
          </w:p>
          <w:p w14:paraId="164096AE"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24 Uredbe (EU) 2019/2033.</w:t>
            </w:r>
          </w:p>
          <w:p w14:paraId="46E15ADE"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Cs/>
                <w:color w:val="000000" w:themeColor="text1"/>
              </w:rPr>
              <w:t>Sporočeni znesek je vsota vrstic 0130–0160.</w:t>
            </w:r>
          </w:p>
        </w:tc>
      </w:tr>
      <w:tr w:rsidR="00AE753A" w:rsidRPr="003F57AB" w14:paraId="00372841" w14:textId="77777777">
        <w:tc>
          <w:tcPr>
            <w:tcW w:w="1129" w:type="dxa"/>
          </w:tcPr>
          <w:p w14:paraId="7D23DAB2"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0130</w:t>
            </w:r>
          </w:p>
        </w:tc>
        <w:tc>
          <w:tcPr>
            <w:tcW w:w="7620" w:type="dxa"/>
          </w:tcPr>
          <w:p w14:paraId="6389CF0E"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Neplačilo nasprotne stranke v poslu</w:t>
            </w:r>
          </w:p>
          <w:p w14:paraId="38D9379C"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26 in člen 24 Uredbe (EU) 2019/2033.</w:t>
            </w:r>
          </w:p>
        </w:tc>
      </w:tr>
      <w:tr w:rsidR="00AE753A" w:rsidRPr="003F57AB" w14:paraId="1F5EA9B8" w14:textId="77777777">
        <w:tc>
          <w:tcPr>
            <w:tcW w:w="1129" w:type="dxa"/>
          </w:tcPr>
          <w:p w14:paraId="5F0FEB27"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0140</w:t>
            </w:r>
          </w:p>
        </w:tc>
        <w:tc>
          <w:tcPr>
            <w:tcW w:w="7620" w:type="dxa"/>
          </w:tcPr>
          <w:p w14:paraId="00BD1116"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Dnevni tok trgovanja – denarni posli</w:t>
            </w:r>
          </w:p>
          <w:p w14:paraId="704539A7"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Za namene izračuna zahteve za faktor K invest</w:t>
            </w:r>
            <w:r w:rsidRPr="003F57AB">
              <w:rPr>
                <w:rFonts w:ascii="Times New Roman" w:hAnsi="Times New Roman" w:cs="Times New Roman"/>
                <w:bCs/>
              </w:rPr>
              <w:t>icijska podjetja poročajo z uporabo koeficienta iz člena 15(2) Uredbe (EU) 2019/2033.</w:t>
            </w:r>
          </w:p>
          <w:p w14:paraId="2AC1B282"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 xml:space="preserve">V primeru težkih tržnih pogojev v skladu s členom 15(5), točka (c), Uredbe (EU) 2019/2033 investicijska podjetja uporabijo prilagojeni koeficient, kot je določen v </w:t>
            </w:r>
            <w:r w:rsidRPr="003F57AB">
              <w:rPr>
                <w:rFonts w:ascii="Times New Roman" w:hAnsi="Times New Roman" w:cs="Times New Roman"/>
                <w:bCs/>
              </w:rPr>
              <w:t>členu 1(1), točka (a), regulativnega tehničnega standarda za določitev prilagoditev koeficientov K-DTF.</w:t>
            </w:r>
          </w:p>
          <w:p w14:paraId="63E9E763"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lastRenderedPageBreak/>
              <w:t>Faktor dnevnega toka trgovanja se izračuna v skladu s členom 33(2), točka (a), Uredbe (EU) 2019/2033.</w:t>
            </w:r>
          </w:p>
        </w:tc>
      </w:tr>
      <w:tr w:rsidR="00AE753A" w:rsidRPr="003F57AB" w14:paraId="5BFEE519" w14:textId="77777777">
        <w:tc>
          <w:tcPr>
            <w:tcW w:w="1129" w:type="dxa"/>
          </w:tcPr>
          <w:p w14:paraId="0DA1A8C6"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lastRenderedPageBreak/>
              <w:t>0150</w:t>
            </w:r>
          </w:p>
        </w:tc>
        <w:tc>
          <w:tcPr>
            <w:tcW w:w="7620" w:type="dxa"/>
          </w:tcPr>
          <w:p w14:paraId="0DD47EDD"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Dnevni tok trgovanja – posli z izvedenimi fi</w:t>
            </w:r>
            <w:r w:rsidRPr="003F57AB">
              <w:rPr>
                <w:rFonts w:ascii="Times New Roman" w:hAnsi="Times New Roman" w:cs="Times New Roman"/>
                <w:b/>
                <w:bCs/>
                <w:color w:val="000000" w:themeColor="text1"/>
                <w:u w:val="single"/>
              </w:rPr>
              <w:t>nančnimi instrumenti</w:t>
            </w:r>
          </w:p>
          <w:p w14:paraId="2C1389FA"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Za namene izračuna zahteve za faktor K investicijska podjetja poročajo z uporabo koeficienta iz člena 15(2) Uredbe (EU) 2019/2033.</w:t>
            </w:r>
          </w:p>
          <w:p w14:paraId="04A0FD5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 xml:space="preserve">V primeru težkih tržnih pogojev v skladu s členom 15(5), točka (c), Uredbe (EU) 2019/2033 </w:t>
            </w:r>
            <w:r w:rsidRPr="003F57AB">
              <w:rPr>
                <w:rFonts w:ascii="Times New Roman" w:hAnsi="Times New Roman" w:cs="Times New Roman"/>
                <w:bCs/>
              </w:rPr>
              <w:t>investicijska podjetja uporabijo prilagojeni koeficient, kot je določen v členu 1(1), točka (b), regulativnega tehničnega standarda za določitev prilagoditev koeficientov K-DTF.</w:t>
            </w:r>
          </w:p>
          <w:p w14:paraId="2F229019"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Faktor dnevnega toka trgovanja se izračuna v skladu s členom 33(2), točka (b),</w:t>
            </w:r>
            <w:r w:rsidRPr="003F57AB">
              <w:rPr>
                <w:rFonts w:ascii="Times New Roman" w:hAnsi="Times New Roman" w:cs="Times New Roman"/>
                <w:bCs/>
              </w:rPr>
              <w:t xml:space="preserve"> Uredbe (EU) 2019/2033.</w:t>
            </w:r>
          </w:p>
        </w:tc>
      </w:tr>
      <w:tr w:rsidR="00AE753A" w:rsidRPr="003F57AB" w14:paraId="2C9C838D" w14:textId="77777777">
        <w:tc>
          <w:tcPr>
            <w:tcW w:w="1129" w:type="dxa"/>
          </w:tcPr>
          <w:p w14:paraId="5CA7DE00"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color w:val="000000" w:themeColor="text1"/>
              </w:rPr>
              <w:t>0160</w:t>
            </w:r>
          </w:p>
        </w:tc>
        <w:tc>
          <w:tcPr>
            <w:tcW w:w="7620" w:type="dxa"/>
          </w:tcPr>
          <w:p w14:paraId="2EFC91C0" w14:textId="77777777" w:rsidR="00AE753A" w:rsidRPr="003F57AB" w:rsidRDefault="003F57AB">
            <w:pPr>
              <w:spacing w:after="120" w:line="240" w:lineRule="auto"/>
              <w:jc w:val="both"/>
              <w:rPr>
                <w:rFonts w:ascii="Times New Roman" w:eastAsia="Times New Roman" w:hAnsi="Times New Roman" w:cs="Times New Roman"/>
                <w:b/>
                <w:bCs/>
                <w:color w:val="000000" w:themeColor="text1"/>
                <w:u w:val="single"/>
              </w:rPr>
            </w:pPr>
            <w:r w:rsidRPr="003F57AB">
              <w:rPr>
                <w:rFonts w:ascii="Times New Roman" w:hAnsi="Times New Roman" w:cs="Times New Roman"/>
                <w:b/>
                <w:bCs/>
                <w:color w:val="000000" w:themeColor="text1"/>
                <w:u w:val="single"/>
              </w:rPr>
              <w:t>Zahteva za K-CON</w:t>
            </w:r>
          </w:p>
          <w:p w14:paraId="2A702DDF" w14:textId="77777777" w:rsidR="00AE753A" w:rsidRPr="003F57AB" w:rsidRDefault="003F57AB">
            <w:pPr>
              <w:spacing w:after="120" w:line="240" w:lineRule="auto"/>
              <w:jc w:val="both"/>
              <w:rPr>
                <w:rFonts w:ascii="Times New Roman" w:eastAsia="Times New Roman" w:hAnsi="Times New Roman" w:cs="Times New Roman"/>
                <w:bCs/>
                <w:color w:val="000000" w:themeColor="text1"/>
              </w:rPr>
            </w:pPr>
            <w:r w:rsidRPr="003F57AB">
              <w:rPr>
                <w:rFonts w:ascii="Times New Roman" w:hAnsi="Times New Roman" w:cs="Times New Roman"/>
                <w:bCs/>
              </w:rPr>
              <w:t>Člen 37(2), člen 39 in člen 24 Uredbe (EU) 2019/2033.</w:t>
            </w:r>
          </w:p>
        </w:tc>
      </w:tr>
    </w:tbl>
    <w:p w14:paraId="0B6F9344" w14:textId="77777777" w:rsidR="00AE753A" w:rsidRPr="003F57AB" w:rsidRDefault="00AE753A">
      <w:pPr>
        <w:rPr>
          <w:rFonts w:ascii="Times New Roman" w:hAnsi="Times New Roman" w:cs="Times New Roman"/>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116C9929" w14:textId="77777777">
        <w:tc>
          <w:tcPr>
            <w:tcW w:w="1129" w:type="dxa"/>
            <w:shd w:val="clear" w:color="auto" w:fill="D9D9D9"/>
          </w:tcPr>
          <w:p w14:paraId="52713F6A" w14:textId="77777777" w:rsidR="00AE753A" w:rsidRPr="003F57AB" w:rsidRDefault="003F57AB">
            <w:pPr>
              <w:spacing w:after="120" w:line="240" w:lineRule="auto"/>
              <w:jc w:val="both"/>
              <w:rPr>
                <w:rFonts w:ascii="Times New Roman" w:eastAsia="Times New Roman" w:hAnsi="Times New Roman" w:cs="Times New Roman"/>
                <w:bCs/>
                <w:sz w:val="24"/>
                <w:szCs w:val="24"/>
              </w:rPr>
            </w:pPr>
            <w:r w:rsidRPr="003F57AB">
              <w:rPr>
                <w:rFonts w:ascii="Times New Roman" w:hAnsi="Times New Roman" w:cs="Times New Roman"/>
                <w:sz w:val="24"/>
                <w:szCs w:val="24"/>
              </w:rPr>
              <w:t>Stolpci</w:t>
            </w:r>
          </w:p>
        </w:tc>
        <w:tc>
          <w:tcPr>
            <w:tcW w:w="7620" w:type="dxa"/>
            <w:shd w:val="clear" w:color="auto" w:fill="D9D9D9"/>
          </w:tcPr>
          <w:p w14:paraId="5D9AA9AF" w14:textId="77777777" w:rsidR="00AE753A" w:rsidRPr="003F57AB" w:rsidRDefault="003F57AB">
            <w:pPr>
              <w:spacing w:after="120" w:line="240" w:lineRule="auto"/>
              <w:jc w:val="both"/>
              <w:rPr>
                <w:rFonts w:ascii="Times New Roman" w:eastAsia="Times New Roman" w:hAnsi="Times New Roman" w:cs="Times New Roman"/>
                <w:bCs/>
                <w:sz w:val="24"/>
                <w:szCs w:val="24"/>
              </w:rPr>
            </w:pPr>
            <w:r w:rsidRPr="003F57AB">
              <w:rPr>
                <w:rFonts w:ascii="Times New Roman" w:hAnsi="Times New Roman" w:cs="Times New Roman"/>
                <w:sz w:val="24"/>
                <w:szCs w:val="24"/>
              </w:rPr>
              <w:t>Pravna podlaga in navodila</w:t>
            </w:r>
          </w:p>
        </w:tc>
      </w:tr>
      <w:tr w:rsidR="00AE753A" w:rsidRPr="003F57AB" w14:paraId="0124E77E" w14:textId="77777777">
        <w:tc>
          <w:tcPr>
            <w:tcW w:w="1129" w:type="dxa"/>
          </w:tcPr>
          <w:p w14:paraId="0E3C73AB" w14:textId="77777777" w:rsidR="00AE753A" w:rsidRPr="003F57AB" w:rsidRDefault="003F57AB">
            <w:pPr>
              <w:spacing w:after="120" w:line="240" w:lineRule="auto"/>
              <w:jc w:val="both"/>
              <w:rPr>
                <w:rFonts w:ascii="Times New Roman" w:eastAsia="Times New Roman" w:hAnsi="Times New Roman" w:cs="Times New Roman"/>
                <w:bCs/>
                <w:sz w:val="24"/>
                <w:szCs w:val="24"/>
              </w:rPr>
            </w:pPr>
            <w:r w:rsidRPr="003F57AB">
              <w:rPr>
                <w:rFonts w:ascii="Times New Roman" w:hAnsi="Times New Roman" w:cs="Times New Roman"/>
                <w:bCs/>
                <w:sz w:val="24"/>
                <w:szCs w:val="24"/>
              </w:rPr>
              <w:t>0010</w:t>
            </w:r>
          </w:p>
        </w:tc>
        <w:tc>
          <w:tcPr>
            <w:tcW w:w="7620" w:type="dxa"/>
          </w:tcPr>
          <w:p w14:paraId="402E1C52" w14:textId="77777777" w:rsidR="00AE753A" w:rsidRPr="003F57AB" w:rsidRDefault="003F57AB">
            <w:pPr>
              <w:spacing w:after="120" w:line="240" w:lineRule="auto"/>
              <w:jc w:val="both"/>
              <w:rPr>
                <w:rFonts w:ascii="Times New Roman" w:eastAsia="Times New Roman" w:hAnsi="Times New Roman" w:cs="Times New Roman"/>
                <w:b/>
                <w:bCs/>
                <w:color w:val="000000" w:themeColor="text1"/>
                <w:sz w:val="24"/>
                <w:szCs w:val="24"/>
                <w:u w:val="single"/>
              </w:rPr>
            </w:pPr>
            <w:r w:rsidRPr="003F57AB">
              <w:rPr>
                <w:rFonts w:ascii="Times New Roman" w:hAnsi="Times New Roman" w:cs="Times New Roman"/>
                <w:b/>
                <w:bCs/>
                <w:color w:val="000000" w:themeColor="text1"/>
                <w:sz w:val="24"/>
                <w:szCs w:val="24"/>
                <w:u w:val="single"/>
              </w:rPr>
              <w:t>Znesek faktorja</w:t>
            </w:r>
          </w:p>
          <w:p w14:paraId="44014E48" w14:textId="77777777" w:rsidR="00AE753A" w:rsidRPr="003F57AB" w:rsidRDefault="003F57AB">
            <w:pPr>
              <w:spacing w:after="120" w:line="240" w:lineRule="auto"/>
              <w:jc w:val="both"/>
              <w:rPr>
                <w:rFonts w:ascii="Times New Roman" w:eastAsia="Times New Roman" w:hAnsi="Times New Roman" w:cs="Times New Roman"/>
                <w:b/>
                <w:bCs/>
                <w:color w:val="000000" w:themeColor="text1"/>
                <w:sz w:val="24"/>
                <w:szCs w:val="24"/>
                <w:u w:val="single"/>
              </w:rPr>
            </w:pPr>
            <w:r w:rsidRPr="003F57AB">
              <w:rPr>
                <w:rFonts w:ascii="Times New Roman" w:hAnsi="Times New Roman" w:cs="Times New Roman"/>
                <w:bCs/>
                <w:color w:val="000000" w:themeColor="text1"/>
                <w:sz w:val="24"/>
                <w:szCs w:val="24"/>
              </w:rPr>
              <w:t xml:space="preserve">Investicijska podjetja poročajo znesek, ki ustreza vsakemu faktorju, preden vsak faktor pomnožijo z ustreznim koeficientom. </w:t>
            </w:r>
          </w:p>
        </w:tc>
      </w:tr>
      <w:tr w:rsidR="00AE753A" w:rsidRPr="003F57AB" w14:paraId="3404E0D3" w14:textId="77777777">
        <w:tc>
          <w:tcPr>
            <w:tcW w:w="1129" w:type="dxa"/>
          </w:tcPr>
          <w:p w14:paraId="7FD17D40" w14:textId="77777777" w:rsidR="00AE753A" w:rsidRPr="003F57AB" w:rsidRDefault="003F57AB">
            <w:pPr>
              <w:spacing w:after="120" w:line="240" w:lineRule="auto"/>
              <w:jc w:val="both"/>
              <w:rPr>
                <w:rFonts w:ascii="Times New Roman" w:eastAsia="Times New Roman" w:hAnsi="Times New Roman" w:cs="Times New Roman"/>
                <w:bCs/>
                <w:sz w:val="24"/>
                <w:szCs w:val="24"/>
              </w:rPr>
            </w:pPr>
            <w:r w:rsidRPr="003F57AB">
              <w:rPr>
                <w:rFonts w:ascii="Times New Roman" w:hAnsi="Times New Roman" w:cs="Times New Roman"/>
                <w:bCs/>
                <w:sz w:val="24"/>
                <w:szCs w:val="24"/>
              </w:rPr>
              <w:t>0020</w:t>
            </w:r>
          </w:p>
        </w:tc>
        <w:tc>
          <w:tcPr>
            <w:tcW w:w="7620" w:type="dxa"/>
          </w:tcPr>
          <w:p w14:paraId="22BEEE19" w14:textId="77777777" w:rsidR="00AE753A" w:rsidRPr="003F57AB" w:rsidRDefault="003F57AB">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3F57AB">
              <w:rPr>
                <w:rFonts w:ascii="Times New Roman" w:hAnsi="Times New Roman" w:cs="Times New Roman"/>
                <w:b/>
                <w:bCs/>
                <w:sz w:val="24"/>
                <w:szCs w:val="24"/>
                <w:u w:val="single"/>
              </w:rPr>
              <w:t>Zahteva za faktor K</w:t>
            </w:r>
          </w:p>
          <w:p w14:paraId="11C0FF0A" w14:textId="77777777" w:rsidR="00AE753A" w:rsidRPr="003F57AB" w:rsidRDefault="003F57AB">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3F57AB">
              <w:rPr>
                <w:rFonts w:ascii="Times New Roman" w:hAnsi="Times New Roman" w:cs="Times New Roman"/>
                <w:bCs/>
                <w:sz w:val="24"/>
                <w:szCs w:val="24"/>
              </w:rPr>
              <w:t xml:space="preserve">Izračuna se </w:t>
            </w:r>
            <w:r w:rsidRPr="003F57AB">
              <w:rPr>
                <w:rFonts w:ascii="Times New Roman" w:hAnsi="Times New Roman" w:cs="Times New Roman"/>
                <w:bCs/>
                <w:color w:val="000000" w:themeColor="text1"/>
                <w:sz w:val="24"/>
                <w:szCs w:val="24"/>
              </w:rPr>
              <w:t xml:space="preserve">v skladu s členi </w:t>
            </w:r>
            <w:r w:rsidRPr="003F57AB">
              <w:rPr>
                <w:rFonts w:ascii="Times New Roman" w:hAnsi="Times New Roman" w:cs="Times New Roman"/>
                <w:bCs/>
                <w:sz w:val="24"/>
                <w:szCs w:val="24"/>
              </w:rPr>
              <w:t>16, 21 in 24 Uredbe (EU) 2019/2033.</w:t>
            </w:r>
          </w:p>
        </w:tc>
      </w:tr>
    </w:tbl>
    <w:p w14:paraId="3A31CF5A" w14:textId="77777777" w:rsidR="00AE753A" w:rsidRPr="003F57AB" w:rsidRDefault="00AE753A">
      <w:pPr>
        <w:spacing w:after="120" w:line="240" w:lineRule="auto"/>
        <w:jc w:val="both"/>
        <w:rPr>
          <w:rFonts w:ascii="Times New Roman" w:eastAsia="Times New Roman" w:hAnsi="Times New Roman" w:cs="Times New Roman"/>
          <w:sz w:val="24"/>
          <w:szCs w:val="24"/>
          <w:lang w:val="en-IE" w:eastAsia="de-DE"/>
        </w:rPr>
      </w:pPr>
    </w:p>
    <w:p w14:paraId="23EC7B3A" w14:textId="77777777" w:rsidR="00AE753A" w:rsidRPr="003F57AB" w:rsidRDefault="003F57AB">
      <w:pPr>
        <w:pStyle w:val="Instructionsberschrift2"/>
        <w:ind w:left="357" w:hanging="357"/>
        <w:rPr>
          <w:rFonts w:ascii="Times New Roman" w:hAnsi="Times New Roman" w:cs="Times New Roman"/>
        </w:rPr>
      </w:pPr>
      <w:bookmarkStart w:id="42" w:name="_Toc35795022"/>
      <w:bookmarkStart w:id="43" w:name="_Toc87975481"/>
      <w:r w:rsidRPr="003F57AB">
        <w:rPr>
          <w:rFonts w:ascii="Times New Roman" w:hAnsi="Times New Roman" w:cs="Times New Roman"/>
          <w:b/>
          <w:sz w:val="24"/>
        </w:rPr>
        <w:t xml:space="preserve">2. MALA IN NEPOVEZANA </w:t>
      </w:r>
      <w:r w:rsidRPr="003F57AB">
        <w:rPr>
          <w:rFonts w:ascii="Times New Roman" w:hAnsi="Times New Roman" w:cs="Times New Roman"/>
          <w:b/>
          <w:sz w:val="24"/>
        </w:rPr>
        <w:t>INVESTICIJSKA PODJETJA</w:t>
      </w:r>
      <w:bookmarkEnd w:id="42"/>
      <w:bookmarkEnd w:id="43"/>
    </w:p>
    <w:p w14:paraId="42401725"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7975482"/>
      <w:bookmarkStart w:id="47" w:name="_Toc308175823"/>
      <w:bookmarkStart w:id="48" w:name="_Toc360188327"/>
      <w:r w:rsidRPr="003F57AB">
        <w:rPr>
          <w:rFonts w:ascii="Times New Roman" w:hAnsi="Times New Roman" w:cs="Times New Roman"/>
          <w:sz w:val="24"/>
          <w:szCs w:val="24"/>
          <w:u w:val="single"/>
        </w:rPr>
        <w:t>2.1 I 05.00 – STOPNJA DEJAVNOSTI – PREGLED PRAGOV (I 5)</w:t>
      </w:r>
      <w:bookmarkEnd w:id="44"/>
      <w:bookmarkEnd w:id="45"/>
      <w:bookmarkEnd w:id="46"/>
      <w:bookmarkEnd w:id="47"/>
      <w:bookmarkEnd w:id="48"/>
    </w:p>
    <w:p w14:paraId="2FC4AD53" w14:textId="77777777" w:rsidR="00AE753A" w:rsidRPr="003F57AB" w:rsidRDefault="003F57AB">
      <w:pPr>
        <w:keepNext/>
        <w:spacing w:before="240" w:after="240" w:line="240" w:lineRule="auto"/>
        <w:ind w:left="357" w:hanging="357"/>
        <w:jc w:val="both"/>
        <w:outlineLvl w:val="1"/>
        <w:rPr>
          <w:rFonts w:ascii="Times New Roman" w:eastAsia="Times New Roman" w:hAnsi="Times New Roman" w:cs="Times New Roman"/>
          <w:b/>
        </w:rPr>
      </w:pPr>
      <w:bookmarkStart w:id="49" w:name="_Toc360188328"/>
      <w:bookmarkStart w:id="50" w:name="_Toc473560876"/>
      <w:bookmarkStart w:id="51" w:name="_Toc7084161"/>
      <w:bookmarkStart w:id="52" w:name="_Toc87975483"/>
      <w:r w:rsidRPr="003F57AB">
        <w:rPr>
          <w:rFonts w:ascii="Times New Roman" w:hAnsi="Times New Roman" w:cs="Times New Roman"/>
          <w:sz w:val="24"/>
          <w:szCs w:val="24"/>
        </w:rPr>
        <w:t>2.1.1</w:t>
      </w:r>
      <w:r w:rsidRPr="003F57AB">
        <w:rPr>
          <w:rFonts w:ascii="Times New Roman" w:hAnsi="Times New Roman" w:cs="Times New Roman"/>
        </w:rPr>
        <w:tab/>
      </w:r>
      <w:bookmarkStart w:id="53" w:name="_Toc308175824"/>
      <w:r w:rsidRPr="003F57AB">
        <w:rPr>
          <w:rFonts w:ascii="Times New Roman" w:hAnsi="Times New Roman" w:cs="Times New Roman"/>
          <w:u w:val="single"/>
        </w:rPr>
        <w:t>Navodila za posamezne pozicije</w:t>
      </w:r>
      <w:bookmarkEnd w:id="53"/>
      <w:bookmarkEnd w:id="49"/>
      <w:bookmarkEnd w:id="50"/>
      <w:bookmarkEnd w:id="51"/>
      <w:bookmarkEnd w:id="5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1429F9B6" w14:textId="77777777">
        <w:tc>
          <w:tcPr>
            <w:tcW w:w="1129" w:type="dxa"/>
            <w:shd w:val="clear" w:color="auto" w:fill="D9D9D9"/>
          </w:tcPr>
          <w:p w14:paraId="273A1C8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7B66071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1A3C9A40" w14:textId="77777777">
        <w:tc>
          <w:tcPr>
            <w:tcW w:w="1129" w:type="dxa"/>
          </w:tcPr>
          <w:p w14:paraId="295D693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Pr>
          <w:p w14:paraId="7F99983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(Združena) upravljana sredstva</w:t>
            </w:r>
          </w:p>
          <w:p w14:paraId="4270D21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12(1), točka (a), Uredbe (EU) št. 2019/2033.</w:t>
            </w:r>
          </w:p>
          <w:p w14:paraId="7D38960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Kadar je </w:t>
            </w:r>
            <w:r w:rsidRPr="003F57AB">
              <w:rPr>
                <w:rFonts w:ascii="Times New Roman" w:hAnsi="Times New Roman" w:cs="Times New Roman"/>
                <w:bCs/>
              </w:rPr>
              <w:t>poročajoče investicijsko podjetje del skupine, je sporočena vrednost določena na skupni osnovi za vsa investicijska podjetja, ki so del skupine, v skladu s členom 12(2) Uredbe (EU) 2019/2033.</w:t>
            </w:r>
          </w:p>
          <w:p w14:paraId="7EE10E1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Investicijska podjetja vključijo diskrecijsko in nediskrecijsko </w:t>
            </w:r>
            <w:r w:rsidRPr="003F57AB">
              <w:rPr>
                <w:rFonts w:ascii="Times New Roman" w:hAnsi="Times New Roman" w:cs="Times New Roman"/>
                <w:bCs/>
              </w:rPr>
              <w:t>upravljana sredstva.</w:t>
            </w:r>
          </w:p>
          <w:p w14:paraId="1AE6905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Sporočeni znesek je znesek, ki bi se uporabil za izračun faktorjev K pred uporabo ustreznih koeficientov.</w:t>
            </w:r>
          </w:p>
        </w:tc>
      </w:tr>
      <w:tr w:rsidR="00AE753A" w:rsidRPr="003F57AB" w14:paraId="5AF0824B" w14:textId="77777777">
        <w:tc>
          <w:tcPr>
            <w:tcW w:w="1129" w:type="dxa"/>
          </w:tcPr>
          <w:p w14:paraId="21F63CA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Pr>
          <w:p w14:paraId="7E819D5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(Združena) obravnavana naročila strank – denarni posli</w:t>
            </w:r>
          </w:p>
          <w:p w14:paraId="4D7F230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12(1), točka (b)(i), Uredbe (EU) št. 2019/2033.</w:t>
            </w:r>
          </w:p>
          <w:p w14:paraId="216F6B0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Kadar je </w:t>
            </w:r>
            <w:r w:rsidRPr="003F57AB">
              <w:rPr>
                <w:rFonts w:ascii="Times New Roman" w:hAnsi="Times New Roman" w:cs="Times New Roman"/>
                <w:bCs/>
              </w:rPr>
              <w:t>poročajoče investicijsko podjetje del skupine, je sporočena vrednost določena na skupni osnovi za vsa investicijska podjetja, ki so del skupine, v skladu s členom 12(2) Uredbe (EU) 2019/2033.</w:t>
            </w:r>
          </w:p>
          <w:p w14:paraId="4A69E12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Sporočeni znesek je znesek, ki bi se uporabil za izračun faktorj</w:t>
            </w:r>
            <w:r w:rsidRPr="003F57AB">
              <w:rPr>
                <w:rFonts w:ascii="Times New Roman" w:hAnsi="Times New Roman" w:cs="Times New Roman"/>
                <w:bCs/>
              </w:rPr>
              <w:t>ev K pred uporabo ustreznih koeficientov.</w:t>
            </w:r>
          </w:p>
        </w:tc>
      </w:tr>
      <w:tr w:rsidR="00AE753A" w:rsidRPr="003F57AB" w14:paraId="1FCB0AB3" w14:textId="77777777">
        <w:tc>
          <w:tcPr>
            <w:tcW w:w="1129" w:type="dxa"/>
          </w:tcPr>
          <w:p w14:paraId="57C3564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0030</w:t>
            </w:r>
          </w:p>
        </w:tc>
        <w:tc>
          <w:tcPr>
            <w:tcW w:w="7620" w:type="dxa"/>
          </w:tcPr>
          <w:p w14:paraId="7BD0E1B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(Združena) obravnavana naročila strank – izvedeni finančni instrumenti</w:t>
            </w:r>
          </w:p>
          <w:p w14:paraId="1770FF9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12(1), točka (b)(ii), Uredbe (EU) št. 2019/2033.</w:t>
            </w:r>
          </w:p>
          <w:p w14:paraId="650A9F2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Kadar je poročajoče investicijsko podjetje del skupine, je sporočena vrednost določ</w:t>
            </w:r>
            <w:r w:rsidRPr="003F57AB">
              <w:rPr>
                <w:rFonts w:ascii="Times New Roman" w:hAnsi="Times New Roman" w:cs="Times New Roman"/>
                <w:bCs/>
              </w:rPr>
              <w:t>ena na skupni osnovi za vsa investicijska podjetja, ki so del skupine, v skladu s členom 12(2) Uredbe (EU) 2019/2033.</w:t>
            </w:r>
          </w:p>
          <w:p w14:paraId="638927D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Sporočeni znesek je znesek, ki bi se uporabil za izračun faktorjev K pred uporabo ustreznih koeficientov.</w:t>
            </w:r>
          </w:p>
        </w:tc>
      </w:tr>
      <w:tr w:rsidR="00AE753A" w:rsidRPr="003F57AB" w14:paraId="47BDC621" w14:textId="77777777">
        <w:tc>
          <w:tcPr>
            <w:tcW w:w="1129" w:type="dxa"/>
          </w:tcPr>
          <w:p w14:paraId="4B663E7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Pr>
          <w:p w14:paraId="2C76E8A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Zaščitena in upravljana sr</w:t>
            </w:r>
            <w:r w:rsidRPr="003F57AB">
              <w:rPr>
                <w:rFonts w:ascii="Times New Roman" w:hAnsi="Times New Roman" w:cs="Times New Roman"/>
                <w:b/>
                <w:bCs/>
                <w:u w:val="single"/>
              </w:rPr>
              <w:t>edstva</w:t>
            </w:r>
          </w:p>
          <w:p w14:paraId="68C7C91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12(1), točka (c), Uredbe (EU) 2019/2033.</w:t>
            </w:r>
          </w:p>
          <w:p w14:paraId="537B998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Sporočeni znesek je znesek, ki bi se uporabil za izračun faktorjev K pred uporabo ustreznih koeficientov.</w:t>
            </w:r>
          </w:p>
        </w:tc>
      </w:tr>
      <w:tr w:rsidR="00AE753A" w:rsidRPr="003F57AB" w14:paraId="08E8BAF7" w14:textId="77777777">
        <w:tc>
          <w:tcPr>
            <w:tcW w:w="1129" w:type="dxa"/>
          </w:tcPr>
          <w:p w14:paraId="5666C40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Pr>
          <w:p w14:paraId="3F7ABA1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Denar strank, ki se upravlja</w:t>
            </w:r>
          </w:p>
          <w:p w14:paraId="6242397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12(1), točka (d), Uredbe (EU) št. 2019/2033.</w:t>
            </w:r>
          </w:p>
          <w:p w14:paraId="21A3185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Sporočeni zn</w:t>
            </w:r>
            <w:r w:rsidRPr="003F57AB">
              <w:rPr>
                <w:rFonts w:ascii="Times New Roman" w:hAnsi="Times New Roman" w:cs="Times New Roman"/>
                <w:bCs/>
              </w:rPr>
              <w:t>esek je znesek, ki bi se uporabil za izračun faktorjev K pred uporabo ustreznih koeficientov.</w:t>
            </w:r>
          </w:p>
        </w:tc>
      </w:tr>
      <w:tr w:rsidR="00AE753A" w:rsidRPr="003F57AB" w14:paraId="787D91D8" w14:textId="77777777">
        <w:tc>
          <w:tcPr>
            <w:tcW w:w="1129" w:type="dxa"/>
          </w:tcPr>
          <w:p w14:paraId="6359398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w:t>
            </w:r>
          </w:p>
        </w:tc>
        <w:tc>
          <w:tcPr>
            <w:tcW w:w="7620" w:type="dxa"/>
          </w:tcPr>
          <w:p w14:paraId="710182F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Dnevni tok trgovanja – denarni posli in posli z izvedenimi finančnimi instrumenti</w:t>
            </w:r>
          </w:p>
          <w:p w14:paraId="6209B55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12(1), točka (e), Uredbe (EU) 2019/2033.</w:t>
            </w:r>
          </w:p>
          <w:p w14:paraId="297E974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Sporočeni znesek je </w:t>
            </w:r>
            <w:r w:rsidRPr="003F57AB">
              <w:rPr>
                <w:rFonts w:ascii="Times New Roman" w:hAnsi="Times New Roman" w:cs="Times New Roman"/>
                <w:bCs/>
              </w:rPr>
              <w:t>znesek, ki bi se uporabil za izračun faktorjev K pred uporabo ustreznih koeficientov.</w:t>
            </w:r>
          </w:p>
        </w:tc>
      </w:tr>
      <w:tr w:rsidR="00AE753A" w:rsidRPr="003F57AB" w14:paraId="4B0FEC65" w14:textId="77777777">
        <w:tc>
          <w:tcPr>
            <w:tcW w:w="1129" w:type="dxa"/>
          </w:tcPr>
          <w:p w14:paraId="045107A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0070</w:t>
            </w:r>
          </w:p>
        </w:tc>
        <w:tc>
          <w:tcPr>
            <w:tcW w:w="7620" w:type="dxa"/>
          </w:tcPr>
          <w:p w14:paraId="339E5E3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Tveganje neto pozicije</w:t>
            </w:r>
          </w:p>
          <w:p w14:paraId="5D913CB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12(1), točka (f), Uredbe (EU) 2019/2033.</w:t>
            </w:r>
          </w:p>
          <w:p w14:paraId="27D254E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Sporočeni znesek je znesek, ki bi se uporabil za izračun faktorjev K pred uporabo ustreznih koe</w:t>
            </w:r>
            <w:r w:rsidRPr="003F57AB">
              <w:rPr>
                <w:rFonts w:ascii="Times New Roman" w:hAnsi="Times New Roman" w:cs="Times New Roman"/>
                <w:bCs/>
              </w:rPr>
              <w:t>ficientov.</w:t>
            </w:r>
          </w:p>
        </w:tc>
      </w:tr>
      <w:tr w:rsidR="00AE753A" w:rsidRPr="003F57AB" w14:paraId="7E02EBC8" w14:textId="77777777">
        <w:tc>
          <w:tcPr>
            <w:tcW w:w="1129" w:type="dxa"/>
          </w:tcPr>
          <w:p w14:paraId="3CECCDA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0080</w:t>
            </w:r>
          </w:p>
        </w:tc>
        <w:tc>
          <w:tcPr>
            <w:tcW w:w="7620" w:type="dxa"/>
          </w:tcPr>
          <w:p w14:paraId="639AA69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Zagotovljeno klirinško kritje</w:t>
            </w:r>
          </w:p>
          <w:p w14:paraId="3EF67CD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12(1), točka (f), Uredbe (EU) 2019/2033.</w:t>
            </w:r>
          </w:p>
          <w:p w14:paraId="111F6F71"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bCs/>
              </w:rPr>
              <w:t>Sporočeni znesek je znesek, ki bi se uporabil za izračun faktorjev K pred uporabo ustreznih koeficientov.</w:t>
            </w:r>
          </w:p>
        </w:tc>
      </w:tr>
      <w:tr w:rsidR="00AE753A" w:rsidRPr="003F57AB" w14:paraId="173C6D27" w14:textId="77777777">
        <w:tc>
          <w:tcPr>
            <w:tcW w:w="1129" w:type="dxa"/>
          </w:tcPr>
          <w:p w14:paraId="511C5E8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0090</w:t>
            </w:r>
          </w:p>
        </w:tc>
        <w:tc>
          <w:tcPr>
            <w:tcW w:w="7620" w:type="dxa"/>
          </w:tcPr>
          <w:p w14:paraId="4863391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Neplačilo nasprotne stranke v poslu</w:t>
            </w:r>
          </w:p>
          <w:p w14:paraId="2191C4E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12(1), toč</w:t>
            </w:r>
            <w:r w:rsidRPr="003F57AB">
              <w:rPr>
                <w:rFonts w:ascii="Times New Roman" w:hAnsi="Times New Roman" w:cs="Times New Roman"/>
                <w:bCs/>
              </w:rPr>
              <w:t>ka (g), Uredbe (EU) 2019/2033.</w:t>
            </w:r>
          </w:p>
          <w:p w14:paraId="703AB4F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Sporočeni znesek je znesek, ki bi se uporabil za izračun faktorjev K pred uporabo ustreznih koeficientov.</w:t>
            </w:r>
          </w:p>
        </w:tc>
      </w:tr>
      <w:tr w:rsidR="00AE753A" w:rsidRPr="003F57AB" w14:paraId="3BFDF16A" w14:textId="77777777">
        <w:tc>
          <w:tcPr>
            <w:tcW w:w="1129" w:type="dxa"/>
          </w:tcPr>
          <w:p w14:paraId="04341E5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0100</w:t>
            </w:r>
          </w:p>
        </w:tc>
        <w:tc>
          <w:tcPr>
            <w:tcW w:w="7620" w:type="dxa"/>
          </w:tcPr>
          <w:p w14:paraId="5E7D2A7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(Združena) bilančna in zunajbilančna vsota</w:t>
            </w:r>
          </w:p>
          <w:p w14:paraId="02D3649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12(1), točka (h), Uredbe (EU) 2019/2033.</w:t>
            </w:r>
          </w:p>
          <w:p w14:paraId="02C789C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Kadar je </w:t>
            </w:r>
            <w:r w:rsidRPr="003F57AB">
              <w:rPr>
                <w:rFonts w:ascii="Times New Roman" w:hAnsi="Times New Roman" w:cs="Times New Roman"/>
                <w:bCs/>
              </w:rPr>
              <w:t>poročajoče investicijsko podjetje del skupine, je sporočena vrednost določena na skupni osnovi za vsa investicijska podjetja, ki so del skupine, v skladu s členom 12(2) Uredbe (EU) 2019/2033.</w:t>
            </w:r>
          </w:p>
        </w:tc>
      </w:tr>
      <w:tr w:rsidR="00AE753A" w:rsidRPr="003F57AB" w14:paraId="42E80317" w14:textId="77777777">
        <w:tc>
          <w:tcPr>
            <w:tcW w:w="1129" w:type="dxa"/>
          </w:tcPr>
          <w:p w14:paraId="1823309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0110</w:t>
            </w:r>
          </w:p>
        </w:tc>
        <w:tc>
          <w:tcPr>
            <w:tcW w:w="7620" w:type="dxa"/>
          </w:tcPr>
          <w:p w14:paraId="190CE9A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Združeni skupni letni bruto prihodki</w:t>
            </w:r>
          </w:p>
          <w:p w14:paraId="1F6D683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12(1), točka (i)</w:t>
            </w:r>
            <w:r w:rsidRPr="003F57AB">
              <w:rPr>
                <w:rFonts w:ascii="Times New Roman" w:hAnsi="Times New Roman" w:cs="Times New Roman"/>
                <w:bCs/>
              </w:rPr>
              <w:t>, Uredbe (EU) 2019/2033.</w:t>
            </w:r>
          </w:p>
          <w:p w14:paraId="4344D68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Kadar je poročajoče investicijsko podjetje del skupine, je sporočena vrednost določena na skupni osnovi za vsa investicijska podjetja, ki so del skupine, v skladu s členom 12(2) Uredbe (EU) 2019/2033.</w:t>
            </w:r>
          </w:p>
        </w:tc>
      </w:tr>
      <w:tr w:rsidR="00AE753A" w:rsidRPr="003F57AB" w14:paraId="39B70554" w14:textId="77777777">
        <w:tc>
          <w:tcPr>
            <w:tcW w:w="1129" w:type="dxa"/>
          </w:tcPr>
          <w:p w14:paraId="59CB6CB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0120</w:t>
            </w:r>
          </w:p>
        </w:tc>
        <w:tc>
          <w:tcPr>
            <w:tcW w:w="7620" w:type="dxa"/>
          </w:tcPr>
          <w:p w14:paraId="6C16566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Skupni letni bruto priho</w:t>
            </w:r>
            <w:r w:rsidRPr="003F57AB">
              <w:rPr>
                <w:rFonts w:ascii="Times New Roman" w:hAnsi="Times New Roman" w:cs="Times New Roman"/>
                <w:b/>
                <w:bCs/>
                <w:u w:val="single"/>
              </w:rPr>
              <w:t>dki</w:t>
            </w:r>
          </w:p>
          <w:p w14:paraId="2FFDE13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Vrednost skupnih letnih bruto prihodkov brez bruto prihodkov, ustvarjenih v skupini, v skladu s členom 12(2) Uredbe (EU) 2019/2033.</w:t>
            </w:r>
          </w:p>
        </w:tc>
      </w:tr>
      <w:tr w:rsidR="00AE753A" w:rsidRPr="003F57AB" w14:paraId="530287BE" w14:textId="77777777">
        <w:tc>
          <w:tcPr>
            <w:tcW w:w="1129" w:type="dxa"/>
          </w:tcPr>
          <w:p w14:paraId="3D54406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0130</w:t>
            </w:r>
          </w:p>
        </w:tc>
        <w:tc>
          <w:tcPr>
            <w:tcW w:w="7620" w:type="dxa"/>
          </w:tcPr>
          <w:p w14:paraId="6436B36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Del letnih bruto prihodkov, ustvarjen znotraj skupine</w:t>
            </w:r>
          </w:p>
          <w:p w14:paraId="218DABB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Vrednost bruto prihodkov, ustvarjenih znotraj skupine in</w:t>
            </w:r>
            <w:r w:rsidRPr="003F57AB">
              <w:rPr>
                <w:rFonts w:ascii="Times New Roman" w:hAnsi="Times New Roman" w:cs="Times New Roman"/>
                <w:bCs/>
              </w:rPr>
              <w:t>vesticijskih podjetij, v skladu s členom 12(2) Uredbe (EU) 2019/2033.</w:t>
            </w:r>
          </w:p>
        </w:tc>
      </w:tr>
      <w:tr w:rsidR="00AE753A" w:rsidRPr="003F57AB" w14:paraId="1817FB49" w14:textId="77777777">
        <w:tc>
          <w:tcPr>
            <w:tcW w:w="1129" w:type="dxa"/>
          </w:tcPr>
          <w:p w14:paraId="231E573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0140</w:t>
            </w:r>
          </w:p>
        </w:tc>
        <w:tc>
          <w:tcPr>
            <w:tcW w:w="7620" w:type="dxa"/>
          </w:tcPr>
          <w:p w14:paraId="5E03E47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sprejemanja in posredovanja naročil</w:t>
            </w:r>
          </w:p>
          <w:p w14:paraId="5660982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2019/2033.</w:t>
            </w:r>
          </w:p>
          <w:p w14:paraId="52B8D6D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4(1), točka 2, Direktive 2014/65/EU.</w:t>
            </w:r>
          </w:p>
        </w:tc>
      </w:tr>
      <w:tr w:rsidR="00AE753A" w:rsidRPr="003F57AB" w14:paraId="07824B47" w14:textId="77777777">
        <w:tc>
          <w:tcPr>
            <w:tcW w:w="1129" w:type="dxa"/>
          </w:tcPr>
          <w:p w14:paraId="6B0FE3E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0150</w:t>
            </w:r>
          </w:p>
        </w:tc>
        <w:tc>
          <w:tcPr>
            <w:tcW w:w="7620" w:type="dxa"/>
          </w:tcPr>
          <w:p w14:paraId="5BA7F51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Od tega: prihodki od </w:t>
            </w:r>
            <w:r w:rsidRPr="003F57AB">
              <w:rPr>
                <w:rFonts w:ascii="Times New Roman" w:hAnsi="Times New Roman" w:cs="Times New Roman"/>
                <w:b/>
                <w:bCs/>
                <w:u w:val="single"/>
              </w:rPr>
              <w:t>izvrševanja naročil za račun strank</w:t>
            </w:r>
          </w:p>
          <w:p w14:paraId="5571F56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2019/2033.</w:t>
            </w:r>
          </w:p>
          <w:p w14:paraId="0FDF606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4(1), točka 2, Direktive 2014/65/EU.</w:t>
            </w:r>
          </w:p>
        </w:tc>
      </w:tr>
      <w:tr w:rsidR="00AE753A" w:rsidRPr="003F57AB" w14:paraId="19650660" w14:textId="77777777">
        <w:tc>
          <w:tcPr>
            <w:tcW w:w="1129" w:type="dxa"/>
          </w:tcPr>
          <w:p w14:paraId="2C8E9FF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69A760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poslovanja za svoj račun</w:t>
            </w:r>
          </w:p>
          <w:p w14:paraId="1EAFD5F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2019/2033.</w:t>
            </w:r>
          </w:p>
          <w:p w14:paraId="5AAF7D4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2, Direkt</w:t>
            </w:r>
            <w:r w:rsidRPr="003F57AB">
              <w:rPr>
                <w:rFonts w:ascii="Times New Roman" w:hAnsi="Times New Roman" w:cs="Times New Roman"/>
                <w:bCs/>
              </w:rPr>
              <w:t>ive 2014/65/EU.</w:t>
            </w:r>
          </w:p>
        </w:tc>
      </w:tr>
      <w:tr w:rsidR="00AE753A" w:rsidRPr="003F57AB" w14:paraId="269C15E0" w14:textId="77777777">
        <w:tc>
          <w:tcPr>
            <w:tcW w:w="1129" w:type="dxa"/>
          </w:tcPr>
          <w:p w14:paraId="53B2499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9BE395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upravljanja portfeljev</w:t>
            </w:r>
          </w:p>
          <w:p w14:paraId="11A99DE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2019/2033.</w:t>
            </w:r>
          </w:p>
          <w:p w14:paraId="331ACFA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2, Direktive 2014/65/EU.</w:t>
            </w:r>
          </w:p>
        </w:tc>
      </w:tr>
      <w:tr w:rsidR="00AE753A" w:rsidRPr="003F57AB" w14:paraId="6B4BCE0D" w14:textId="77777777">
        <w:tc>
          <w:tcPr>
            <w:tcW w:w="1129" w:type="dxa"/>
          </w:tcPr>
          <w:p w14:paraId="4D0009A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57FB00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investicijskega svetovanja</w:t>
            </w:r>
          </w:p>
          <w:p w14:paraId="5E91AEC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54(1), točka (d), Uredbe (EU) </w:t>
            </w:r>
            <w:r w:rsidRPr="003F57AB">
              <w:rPr>
                <w:rFonts w:ascii="Times New Roman" w:hAnsi="Times New Roman" w:cs="Times New Roman"/>
                <w:bCs/>
              </w:rPr>
              <w:t>št. 2019/2033.</w:t>
            </w:r>
          </w:p>
          <w:p w14:paraId="15EAC9C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2, Direktive 2014/65/EU.</w:t>
            </w:r>
          </w:p>
        </w:tc>
      </w:tr>
      <w:tr w:rsidR="00AE753A" w:rsidRPr="003F57AB" w14:paraId="79D0CB5D" w14:textId="77777777">
        <w:tc>
          <w:tcPr>
            <w:tcW w:w="1129" w:type="dxa"/>
          </w:tcPr>
          <w:p w14:paraId="562CC51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92645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izvedbe prodaje primarne izdaje finančnih instrumentov in/ali plasiranja finančnih instrumentov z obveznostjo odkupa</w:t>
            </w:r>
          </w:p>
          <w:p w14:paraId="21212F8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2019/2033.</w:t>
            </w:r>
          </w:p>
          <w:p w14:paraId="112955E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Člen </w:t>
            </w:r>
            <w:r w:rsidRPr="003F57AB">
              <w:rPr>
                <w:rFonts w:ascii="Times New Roman" w:hAnsi="Times New Roman" w:cs="Times New Roman"/>
                <w:bCs/>
              </w:rPr>
              <w:t>4(1), točka 2, Direktive 2014/65/EU.</w:t>
            </w:r>
          </w:p>
        </w:tc>
      </w:tr>
      <w:tr w:rsidR="00AE753A" w:rsidRPr="003F57AB" w14:paraId="50BABC5B" w14:textId="77777777">
        <w:tc>
          <w:tcPr>
            <w:tcW w:w="1129" w:type="dxa"/>
          </w:tcPr>
          <w:p w14:paraId="5A16B02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371EF9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plasiranja finančnih instrumentov brez obveznosti odkupa</w:t>
            </w:r>
          </w:p>
          <w:p w14:paraId="350138A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2019/2033.</w:t>
            </w:r>
          </w:p>
          <w:p w14:paraId="0AE6BBA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2, Direktive 2014/65/EU.</w:t>
            </w:r>
          </w:p>
        </w:tc>
      </w:tr>
      <w:tr w:rsidR="00AE753A" w:rsidRPr="003F57AB" w14:paraId="10D0AB9E" w14:textId="77777777">
        <w:tc>
          <w:tcPr>
            <w:tcW w:w="1129" w:type="dxa"/>
          </w:tcPr>
          <w:p w14:paraId="26D8C71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55AF45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Od tega: prihodki od </w:t>
            </w:r>
            <w:r w:rsidRPr="003F57AB">
              <w:rPr>
                <w:rFonts w:ascii="Times New Roman" w:hAnsi="Times New Roman" w:cs="Times New Roman"/>
                <w:b/>
                <w:bCs/>
                <w:u w:val="single"/>
              </w:rPr>
              <w:t>upravljanja MTF</w:t>
            </w:r>
          </w:p>
          <w:p w14:paraId="6D5C2A1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2019/2033.</w:t>
            </w:r>
          </w:p>
          <w:p w14:paraId="03C7533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2, Direktive 2014/65/EU.</w:t>
            </w:r>
          </w:p>
        </w:tc>
      </w:tr>
      <w:tr w:rsidR="00AE753A" w:rsidRPr="003F57AB" w14:paraId="0507D193" w14:textId="77777777">
        <w:tc>
          <w:tcPr>
            <w:tcW w:w="1129" w:type="dxa"/>
          </w:tcPr>
          <w:p w14:paraId="3054942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7C5830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upravljanja OTF</w:t>
            </w:r>
          </w:p>
          <w:p w14:paraId="2F3F6C1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2019/2033.</w:t>
            </w:r>
          </w:p>
          <w:p w14:paraId="2F23A1E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2, Direktive 2014/65/EU.</w:t>
            </w:r>
          </w:p>
        </w:tc>
      </w:tr>
      <w:tr w:rsidR="00AE753A" w:rsidRPr="003F57AB" w14:paraId="2F9B39E3" w14:textId="77777777">
        <w:tc>
          <w:tcPr>
            <w:tcW w:w="1129" w:type="dxa"/>
          </w:tcPr>
          <w:p w14:paraId="17FFAB0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50EEF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w:t>
            </w:r>
            <w:r w:rsidRPr="003F57AB">
              <w:rPr>
                <w:rFonts w:ascii="Times New Roman" w:hAnsi="Times New Roman" w:cs="Times New Roman"/>
                <w:b/>
                <w:bCs/>
                <w:u w:val="single"/>
              </w:rPr>
              <w:t>: prihodki od hrambe in upravljanja finančnih instrumentov</w:t>
            </w:r>
          </w:p>
          <w:p w14:paraId="29ECD8F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Člen 54(1), točka (d), Uredbe (EU) št. 2019/2033.</w:t>
            </w:r>
          </w:p>
          <w:p w14:paraId="7E4B738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3, Direktive 2014/65/EU.</w:t>
            </w:r>
          </w:p>
        </w:tc>
      </w:tr>
      <w:tr w:rsidR="00AE753A" w:rsidRPr="003F57AB" w14:paraId="52BF28D2" w14:textId="77777777">
        <w:tc>
          <w:tcPr>
            <w:tcW w:w="1129" w:type="dxa"/>
          </w:tcPr>
          <w:p w14:paraId="7108967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180A39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odobravanja posojil vlagateljem</w:t>
            </w:r>
          </w:p>
          <w:p w14:paraId="6F102A8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54(1), točka (d), Uredbe (EU) </w:t>
            </w:r>
            <w:r w:rsidRPr="003F57AB">
              <w:rPr>
                <w:rFonts w:ascii="Times New Roman" w:hAnsi="Times New Roman" w:cs="Times New Roman"/>
                <w:bCs/>
              </w:rPr>
              <w:t>št. 2019/2033.</w:t>
            </w:r>
          </w:p>
          <w:p w14:paraId="5A3C34B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3, Direktive 2014/65/EU.</w:t>
            </w:r>
          </w:p>
        </w:tc>
      </w:tr>
      <w:tr w:rsidR="00AE753A" w:rsidRPr="003F57AB" w14:paraId="492920CA" w14:textId="77777777">
        <w:tc>
          <w:tcPr>
            <w:tcW w:w="1129" w:type="dxa"/>
          </w:tcPr>
          <w:p w14:paraId="0A8DE00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D90B7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svetovanja podjetjem glede kapitalske strukture, industrijske strategije in sorodnih zadev ter svetovanja in storitev v zvezi z združevanji in nakupi podjetij</w:t>
            </w:r>
          </w:p>
          <w:p w14:paraId="4498DB2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w:t>
            </w:r>
            <w:r w:rsidRPr="003F57AB">
              <w:rPr>
                <w:rFonts w:ascii="Times New Roman" w:hAnsi="Times New Roman" w:cs="Times New Roman"/>
                <w:bCs/>
              </w:rPr>
              <w:t>očka (d), Uredbe (EU) št. 2019/2033.</w:t>
            </w:r>
          </w:p>
          <w:p w14:paraId="371C064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3, Direktive 2014/65/EU.</w:t>
            </w:r>
          </w:p>
        </w:tc>
      </w:tr>
      <w:tr w:rsidR="00AE753A" w:rsidRPr="003F57AB" w14:paraId="70E48858" w14:textId="77777777">
        <w:tc>
          <w:tcPr>
            <w:tcW w:w="1129" w:type="dxa"/>
          </w:tcPr>
          <w:p w14:paraId="49DBC72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F7471A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menjalniških storitev</w:t>
            </w:r>
          </w:p>
          <w:p w14:paraId="01399E0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2019/2033.</w:t>
            </w:r>
          </w:p>
          <w:p w14:paraId="1A70B53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3, Direktive 2014/65/EU.</w:t>
            </w:r>
          </w:p>
        </w:tc>
      </w:tr>
      <w:tr w:rsidR="00AE753A" w:rsidRPr="003F57AB" w14:paraId="1F418125" w14:textId="77777777">
        <w:tc>
          <w:tcPr>
            <w:tcW w:w="1129" w:type="dxa"/>
          </w:tcPr>
          <w:p w14:paraId="0A4F985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A94D15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investici</w:t>
            </w:r>
            <w:r w:rsidRPr="003F57AB">
              <w:rPr>
                <w:rFonts w:ascii="Times New Roman" w:hAnsi="Times New Roman" w:cs="Times New Roman"/>
                <w:b/>
                <w:bCs/>
                <w:u w:val="single"/>
              </w:rPr>
              <w:t>jskih raziskav in finančnih analiz</w:t>
            </w:r>
          </w:p>
          <w:p w14:paraId="2A30FC1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2019/2033.</w:t>
            </w:r>
          </w:p>
          <w:p w14:paraId="344391E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3, Direktive 2014/65/EU.</w:t>
            </w:r>
          </w:p>
        </w:tc>
      </w:tr>
      <w:tr w:rsidR="00AE753A" w:rsidRPr="003F57AB" w14:paraId="160DB440" w14:textId="77777777">
        <w:tc>
          <w:tcPr>
            <w:tcW w:w="1129" w:type="dxa"/>
          </w:tcPr>
          <w:p w14:paraId="2F0438B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FFA66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prihodki od storitev v zvezi z izvedbo prodaje primarne izdaje finančnih instrumentov z obveznostjo odkupa</w:t>
            </w:r>
          </w:p>
          <w:p w14:paraId="1D9ECD6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2019/2033.</w:t>
            </w:r>
          </w:p>
          <w:p w14:paraId="703AAD0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3, Direktive 2014/65/EU.</w:t>
            </w:r>
          </w:p>
        </w:tc>
      </w:tr>
      <w:tr w:rsidR="00AE753A" w:rsidRPr="003F57AB" w14:paraId="5A62EC38" w14:textId="77777777">
        <w:tc>
          <w:tcPr>
            <w:tcW w:w="1129" w:type="dxa"/>
          </w:tcPr>
          <w:p w14:paraId="26C8BDB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22CD6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Od tega: investicijske storitve in posli ter pomožne storitve, ki zadevajo podlago izvedenih finančnih instrumentov</w:t>
            </w:r>
          </w:p>
          <w:p w14:paraId="182DC90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54(1), točka (d), Uredbe (EU) št. 201</w:t>
            </w:r>
            <w:r w:rsidRPr="003F57AB">
              <w:rPr>
                <w:rFonts w:ascii="Times New Roman" w:hAnsi="Times New Roman" w:cs="Times New Roman"/>
                <w:bCs/>
              </w:rPr>
              <w:t>9/2033.</w:t>
            </w:r>
          </w:p>
          <w:p w14:paraId="2F869DD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Člen 4(1), točka 3, Direktive 2014/65/EU. </w:t>
            </w:r>
          </w:p>
        </w:tc>
      </w:tr>
    </w:tbl>
    <w:p w14:paraId="200CFE62" w14:textId="77777777" w:rsidR="00AE753A" w:rsidRPr="003F57AB" w:rsidRDefault="003F57AB">
      <w:pPr>
        <w:pStyle w:val="Instructionsberschrift2"/>
        <w:ind w:left="357" w:hanging="357"/>
        <w:rPr>
          <w:rFonts w:ascii="Times New Roman" w:hAnsi="Times New Roman" w:cs="Times New Roman"/>
          <w:b/>
          <w:sz w:val="22"/>
          <w:szCs w:val="22"/>
          <w:u w:val="none"/>
        </w:rPr>
      </w:pPr>
      <w:bookmarkStart w:id="54" w:name="_Toc87975484"/>
      <w:r w:rsidRPr="003F57AB">
        <w:rPr>
          <w:rFonts w:ascii="Times New Roman" w:hAnsi="Times New Roman" w:cs="Times New Roman"/>
          <w:b/>
          <w:sz w:val="24"/>
          <w:u w:val="none"/>
        </w:rPr>
        <w:t xml:space="preserve">3. </w:t>
      </w:r>
      <w:r w:rsidRPr="003F57AB">
        <w:rPr>
          <w:rFonts w:ascii="Times New Roman" w:hAnsi="Times New Roman" w:cs="Times New Roman"/>
          <w:b/>
          <w:sz w:val="22"/>
          <w:szCs w:val="22"/>
          <w:u w:val="none"/>
        </w:rPr>
        <w:t>ZAHTEVE ZA FAKTOR K – DODATNE PODROBNOSTI</w:t>
      </w:r>
      <w:bookmarkEnd w:id="54"/>
    </w:p>
    <w:p w14:paraId="2D87A781" w14:textId="77777777" w:rsidR="00AE753A" w:rsidRPr="003F57AB" w:rsidRDefault="003F57AB">
      <w:pPr>
        <w:pStyle w:val="CommentText"/>
        <w:jc w:val="both"/>
        <w:rPr>
          <w:rFonts w:ascii="Times New Roman" w:eastAsia="Arial" w:hAnsi="Times New Roman" w:cs="Times New Roman"/>
          <w:sz w:val="22"/>
          <w:szCs w:val="22"/>
          <w:u w:val="single"/>
        </w:rPr>
      </w:pPr>
      <w:r w:rsidRPr="003F57AB">
        <w:rPr>
          <w:rFonts w:ascii="Times New Roman" w:hAnsi="Times New Roman" w:cs="Times New Roman"/>
          <w:sz w:val="22"/>
          <w:szCs w:val="22"/>
          <w:u w:val="single"/>
        </w:rPr>
        <w:t>3.1 Splošne opombe</w:t>
      </w:r>
    </w:p>
    <w:p w14:paraId="4831D8A7" w14:textId="77777777" w:rsidR="00AE753A" w:rsidRPr="003F57AB" w:rsidRDefault="003F57AB">
      <w:pPr>
        <w:spacing w:line="256" w:lineRule="auto"/>
        <w:ind w:left="993" w:hanging="567"/>
        <w:jc w:val="both"/>
        <w:rPr>
          <w:rFonts w:ascii="Times New Roman" w:hAnsi="Times New Roman" w:cs="Times New Roman"/>
        </w:rPr>
      </w:pPr>
      <w:r w:rsidRPr="003F57AB">
        <w:rPr>
          <w:rFonts w:ascii="Times New Roman" w:hAnsi="Times New Roman" w:cs="Times New Roman"/>
        </w:rPr>
        <w:t>12.</w:t>
      </w:r>
      <w:r w:rsidRPr="003F57AB">
        <w:rPr>
          <w:rFonts w:ascii="Times New Roman" w:hAnsi="Times New Roman" w:cs="Times New Roman"/>
        </w:rPr>
        <w:tab/>
        <w:t>Predloga I 06.00 za vsakega od faktorjev K (AUM, ASA, CMH, COH, DTF) vsebuje dve namenski razpredelnici.</w:t>
      </w:r>
    </w:p>
    <w:p w14:paraId="3B5161E0" w14:textId="77777777" w:rsidR="00AE753A" w:rsidRPr="003F57AB" w:rsidRDefault="003F57AB">
      <w:pPr>
        <w:spacing w:line="256" w:lineRule="auto"/>
        <w:ind w:left="993" w:hanging="567"/>
        <w:jc w:val="both"/>
        <w:rPr>
          <w:rFonts w:ascii="Times New Roman" w:hAnsi="Times New Roman" w:cs="Times New Roman"/>
        </w:rPr>
      </w:pPr>
      <w:r w:rsidRPr="003F57AB">
        <w:rPr>
          <w:rFonts w:ascii="Times New Roman" w:hAnsi="Times New Roman" w:cs="Times New Roman"/>
        </w:rPr>
        <w:t>13.</w:t>
      </w:r>
      <w:r w:rsidRPr="003F57AB">
        <w:rPr>
          <w:rFonts w:ascii="Times New Roman" w:hAnsi="Times New Roman" w:cs="Times New Roman"/>
        </w:rPr>
        <w:tab/>
        <w:t xml:space="preserve">Prva </w:t>
      </w:r>
      <w:r w:rsidRPr="003F57AB">
        <w:rPr>
          <w:rFonts w:ascii="Times New Roman" w:hAnsi="Times New Roman" w:cs="Times New Roman"/>
        </w:rPr>
        <w:t>razpredelnica v stolpcih vsebuje informacije v zvezi z „zneskom faktorja“ za vsak mesec četrtletja poročanja. Znesek faktorja je vrednost, ki se uporabi za izračun vsakega faktorja K pred uporabo koeficienta iz razpredelnice 1 iz člena 15(2) Uredbe (EU) 20</w:t>
      </w:r>
      <w:r w:rsidRPr="003F57AB">
        <w:rPr>
          <w:rFonts w:ascii="Times New Roman" w:hAnsi="Times New Roman" w:cs="Times New Roman"/>
        </w:rPr>
        <w:t>19/2033.</w:t>
      </w:r>
    </w:p>
    <w:p w14:paraId="3C2494BC" w14:textId="77777777" w:rsidR="00AE753A" w:rsidRPr="003F57AB" w:rsidRDefault="003F57AB">
      <w:pPr>
        <w:spacing w:line="256" w:lineRule="auto"/>
        <w:ind w:left="993" w:hanging="567"/>
        <w:jc w:val="both"/>
        <w:rPr>
          <w:rFonts w:ascii="Times New Roman" w:hAnsi="Times New Roman" w:cs="Times New Roman"/>
        </w:rPr>
      </w:pPr>
      <w:r w:rsidRPr="003F57AB">
        <w:rPr>
          <w:rFonts w:ascii="Times New Roman" w:hAnsi="Times New Roman" w:cs="Times New Roman"/>
        </w:rPr>
        <w:t>14.</w:t>
      </w:r>
      <w:r w:rsidRPr="003F57AB">
        <w:rPr>
          <w:rFonts w:ascii="Times New Roman" w:hAnsi="Times New Roman" w:cs="Times New Roman"/>
        </w:rPr>
        <w:tab/>
        <w:t>Druga razpredelnica vsebuje podrobne informacije, potrebne za izračun zneska faktorja.</w:t>
      </w:r>
    </w:p>
    <w:p w14:paraId="626AB946" w14:textId="77777777" w:rsidR="00AE753A" w:rsidRPr="003F57AB" w:rsidRDefault="003F57AB">
      <w:pPr>
        <w:spacing w:line="256" w:lineRule="auto"/>
        <w:ind w:left="993"/>
        <w:jc w:val="both"/>
        <w:rPr>
          <w:rFonts w:ascii="Times New Roman" w:hAnsi="Times New Roman" w:cs="Times New Roman"/>
        </w:rPr>
      </w:pPr>
      <w:r w:rsidRPr="003F57AB">
        <w:rPr>
          <w:rFonts w:ascii="Times New Roman" w:hAnsi="Times New Roman" w:cs="Times New Roman"/>
        </w:rPr>
        <w:t>V primeru AUM to ustreza vrednosti upravljanih sredstev na zadnji dan meseca, kot je določeno v členu 17 Uredbe (EU) 2019/2033.</w:t>
      </w:r>
    </w:p>
    <w:p w14:paraId="3352AF7C" w14:textId="77777777" w:rsidR="00AE753A" w:rsidRPr="003F57AB" w:rsidRDefault="003F57AB">
      <w:pPr>
        <w:spacing w:line="256" w:lineRule="auto"/>
        <w:ind w:left="993"/>
        <w:jc w:val="both"/>
        <w:rPr>
          <w:rFonts w:ascii="Times New Roman" w:hAnsi="Times New Roman" w:cs="Times New Roman"/>
        </w:rPr>
      </w:pPr>
      <w:r w:rsidRPr="003F57AB">
        <w:rPr>
          <w:rFonts w:ascii="Times New Roman" w:hAnsi="Times New Roman" w:cs="Times New Roman"/>
        </w:rPr>
        <w:t>V primeru CMH, ASA, COH in D</w:t>
      </w:r>
      <w:r w:rsidRPr="003F57AB">
        <w:rPr>
          <w:rFonts w:ascii="Times New Roman" w:hAnsi="Times New Roman" w:cs="Times New Roman"/>
        </w:rPr>
        <w:t>TF sporočena vrednost ustreza povprečju dnevne vrednosti ustreznega kazalnika v danem mesecu.</w:t>
      </w:r>
    </w:p>
    <w:p w14:paraId="062307F5"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u w:val="single"/>
        </w:rPr>
      </w:pPr>
      <w:bookmarkStart w:id="55" w:name="_Toc87975485"/>
      <w:r w:rsidRPr="003F57AB">
        <w:rPr>
          <w:rFonts w:ascii="Times New Roman" w:hAnsi="Times New Roman" w:cs="Times New Roman"/>
          <w:u w:val="single"/>
        </w:rPr>
        <w:lastRenderedPageBreak/>
        <w:t>3.2 I 06.00 – UPRAVLJANA SREDSTVA – DODATNE PODROBNOSTI (I 6.1)</w:t>
      </w:r>
      <w:bookmarkEnd w:id="55"/>
    </w:p>
    <w:p w14:paraId="08F508AA" w14:textId="77777777" w:rsidR="00AE753A" w:rsidRPr="003F57AB" w:rsidRDefault="003F57AB">
      <w:pPr>
        <w:keepNext/>
        <w:spacing w:before="240" w:after="240" w:line="240" w:lineRule="auto"/>
        <w:ind w:left="357" w:hanging="357"/>
        <w:jc w:val="both"/>
        <w:outlineLvl w:val="1"/>
        <w:rPr>
          <w:rFonts w:ascii="Times New Roman" w:hAnsi="Times New Roman" w:cs="Times New Roman"/>
        </w:rPr>
      </w:pPr>
      <w:bookmarkStart w:id="56" w:name="_Toc87975486"/>
      <w:r w:rsidRPr="003F57AB">
        <w:rPr>
          <w:rFonts w:ascii="Times New Roman" w:hAnsi="Times New Roman" w:cs="Times New Roman"/>
        </w:rPr>
        <w:t>3.2.1</w:t>
      </w:r>
      <w:r w:rsidRPr="003F57AB">
        <w:rPr>
          <w:rFonts w:ascii="Times New Roman" w:hAnsi="Times New Roman" w:cs="Times New Roman"/>
        </w:rPr>
        <w:tab/>
      </w:r>
      <w:r w:rsidRPr="003F57AB">
        <w:rPr>
          <w:rFonts w:ascii="Times New Roman" w:hAnsi="Times New Roman" w:cs="Times New Roman"/>
          <w:u w:val="single"/>
        </w:rPr>
        <w:t>Navodila za posamezne pozicije</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476F52E9" w14:textId="77777777">
        <w:tc>
          <w:tcPr>
            <w:tcW w:w="1129" w:type="dxa"/>
            <w:shd w:val="clear" w:color="auto" w:fill="D9D9D9"/>
          </w:tcPr>
          <w:p w14:paraId="3B5A204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0B93FD7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58E1BB06" w14:textId="77777777">
        <w:tc>
          <w:tcPr>
            <w:tcW w:w="1129" w:type="dxa"/>
          </w:tcPr>
          <w:p w14:paraId="14CC939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4673E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Skupna AUM (povprečn</w:t>
            </w:r>
            <w:r w:rsidRPr="003F57AB">
              <w:rPr>
                <w:rFonts w:ascii="Times New Roman" w:hAnsi="Times New Roman" w:cs="Times New Roman"/>
                <w:b/>
                <w:bCs/>
                <w:u w:val="single"/>
              </w:rPr>
              <w:t>i zneski)</w:t>
            </w:r>
          </w:p>
          <w:p w14:paraId="34DA18C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4(1), točka 27, Uredbe (EU) 2019/2033.</w:t>
            </w:r>
          </w:p>
          <w:p w14:paraId="2DF631D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Skupna vrednost AUM kot aritmetična sredina v skladu s členom 17(1), prvi pododstavek, Uredbe (EU) 2019/2033. Sporočena vrednost je vsota vrstic 0020 in 0040.</w:t>
            </w:r>
          </w:p>
        </w:tc>
      </w:tr>
      <w:tr w:rsidR="00AE753A" w:rsidRPr="003F57AB" w14:paraId="20B20AAA" w14:textId="77777777">
        <w:tc>
          <w:tcPr>
            <w:tcW w:w="1129" w:type="dxa"/>
          </w:tcPr>
          <w:p w14:paraId="66D0B37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80BCD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Od tega: AUM – </w:t>
            </w:r>
            <w:r w:rsidRPr="003F57AB">
              <w:rPr>
                <w:rFonts w:ascii="Times New Roman" w:hAnsi="Times New Roman" w:cs="Times New Roman"/>
                <w:b/>
                <w:bCs/>
                <w:u w:val="single"/>
              </w:rPr>
              <w:t>diskrecijsko upravljanje portfeljev</w:t>
            </w:r>
          </w:p>
          <w:p w14:paraId="38DA105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Skupni znesek sredstev, v zvezi s katerimi investicijsko podjetje opravlja storitev upravljanja portfeljev, kot je opredeljeno v členu 4(1), točka 8, Direktive 2014/65/EU, izračunan v skladu s členom 17(1) Uredbe (EU) 20</w:t>
            </w:r>
            <w:r w:rsidRPr="003F57AB">
              <w:rPr>
                <w:rFonts w:ascii="Times New Roman" w:hAnsi="Times New Roman" w:cs="Times New Roman"/>
                <w:bCs/>
              </w:rPr>
              <w:t>19/2033.</w:t>
            </w:r>
          </w:p>
        </w:tc>
      </w:tr>
      <w:tr w:rsidR="00AE753A" w:rsidRPr="003F57AB" w14:paraId="4B2DEE47" w14:textId="77777777">
        <w:tc>
          <w:tcPr>
            <w:tcW w:w="1129" w:type="dxa"/>
          </w:tcPr>
          <w:p w14:paraId="694FD78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0D141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AUM, uradno prenesena na drug subjekt</w:t>
            </w:r>
          </w:p>
          <w:p w14:paraId="0BC978D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17(2) Uredbe (EU) 2019/2033.</w:t>
            </w:r>
          </w:p>
        </w:tc>
      </w:tr>
      <w:tr w:rsidR="00AE753A" w:rsidRPr="003F57AB" w14:paraId="643BABCA" w14:textId="77777777">
        <w:tc>
          <w:tcPr>
            <w:tcW w:w="1129" w:type="dxa"/>
          </w:tcPr>
          <w:p w14:paraId="3C1B04A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8DE22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AUM – Tekoče nediskrecijsko svetovanje</w:t>
            </w:r>
          </w:p>
          <w:p w14:paraId="252A564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Skupni znesek sredstev, v zvezi s katerimi investicijsko podjetje opravlja storitev investicijskega </w:t>
            </w:r>
            <w:r w:rsidRPr="003F57AB">
              <w:rPr>
                <w:rFonts w:ascii="Times New Roman" w:hAnsi="Times New Roman" w:cs="Times New Roman"/>
                <w:bCs/>
              </w:rPr>
              <w:t>svetovanja, kot je opredeljeno v členu 4(1), točka 4, Direktive 2014/65/EU, na tekoči in nediskrecijski osnovi.</w:t>
            </w:r>
          </w:p>
        </w:tc>
      </w:tr>
    </w:tbl>
    <w:p w14:paraId="603A5CB7" w14:textId="77777777" w:rsidR="00AE753A" w:rsidRPr="003F57AB" w:rsidRDefault="00AE753A">
      <w:pPr>
        <w:rPr>
          <w:rFonts w:ascii="Times New Roman"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6B3B7D3D" w14:textId="77777777">
        <w:tc>
          <w:tcPr>
            <w:tcW w:w="1129" w:type="dxa"/>
            <w:shd w:val="clear" w:color="auto" w:fill="D9D9D9"/>
          </w:tcPr>
          <w:p w14:paraId="3A03CDB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3EF8D62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27E39E91" w14:textId="77777777">
        <w:tc>
          <w:tcPr>
            <w:tcW w:w="1129" w:type="dxa"/>
          </w:tcPr>
          <w:p w14:paraId="6440716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Pr>
          <w:p w14:paraId="174BCAD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Znesek faktorja – mesec t</w:t>
            </w:r>
          </w:p>
          <w:p w14:paraId="51B1AA6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AUM na koncu tretjega (tj. zadnjega) meseca četrtletja, na katerega se </w:t>
            </w:r>
            <w:r w:rsidRPr="003F57AB">
              <w:rPr>
                <w:rFonts w:ascii="Times New Roman" w:hAnsi="Times New Roman" w:cs="Times New Roman"/>
                <w:bCs/>
              </w:rPr>
              <w:t>nanaša poročilo.</w:t>
            </w:r>
          </w:p>
        </w:tc>
      </w:tr>
      <w:tr w:rsidR="00AE753A" w:rsidRPr="003F57AB" w14:paraId="2AAE0507" w14:textId="77777777">
        <w:tc>
          <w:tcPr>
            <w:tcW w:w="1129" w:type="dxa"/>
          </w:tcPr>
          <w:p w14:paraId="6246F66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Pr>
          <w:p w14:paraId="576752B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Znesek faktorja – mesec t–1</w:t>
            </w:r>
          </w:p>
          <w:p w14:paraId="31DDF28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AUM za drugi mesec četrtletja, na katerega se nanaša poročilo.</w:t>
            </w:r>
          </w:p>
        </w:tc>
      </w:tr>
      <w:tr w:rsidR="00AE753A" w:rsidRPr="003F57AB" w14:paraId="16B62F56" w14:textId="77777777">
        <w:tc>
          <w:tcPr>
            <w:tcW w:w="1129" w:type="dxa"/>
          </w:tcPr>
          <w:p w14:paraId="7103AB2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Pr>
          <w:p w14:paraId="34CA715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Znesek faktorja – mesec t-2</w:t>
            </w:r>
          </w:p>
          <w:p w14:paraId="556B76B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AUM za prvi mesec četrtletja, na katerega se nanaša poročilo.</w:t>
            </w:r>
          </w:p>
        </w:tc>
      </w:tr>
    </w:tbl>
    <w:p w14:paraId="6642BC73"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u w:val="single"/>
        </w:rPr>
      </w:pPr>
      <w:bookmarkStart w:id="57" w:name="_Toc87975487"/>
      <w:r w:rsidRPr="003F57AB">
        <w:rPr>
          <w:rFonts w:ascii="Times New Roman" w:hAnsi="Times New Roman" w:cs="Times New Roman"/>
          <w:u w:val="single"/>
        </w:rPr>
        <w:t xml:space="preserve">3.3 I 06.02 – MESEČNA UPRAVLJANA </w:t>
      </w:r>
      <w:r w:rsidRPr="003F57AB">
        <w:rPr>
          <w:rFonts w:ascii="Times New Roman" w:hAnsi="Times New Roman" w:cs="Times New Roman"/>
          <w:u w:val="single"/>
        </w:rPr>
        <w:t>SREDSTVA (I 6.2)</w:t>
      </w:r>
      <w:bookmarkEnd w:id="57"/>
    </w:p>
    <w:p w14:paraId="29446930"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rPr>
      </w:pPr>
      <w:bookmarkStart w:id="58" w:name="_Toc87975488"/>
      <w:r w:rsidRPr="003F57AB">
        <w:rPr>
          <w:rFonts w:ascii="Times New Roman" w:hAnsi="Times New Roman" w:cs="Times New Roman"/>
        </w:rPr>
        <w:t>3.3.1</w:t>
      </w:r>
      <w:r w:rsidRPr="003F57AB">
        <w:rPr>
          <w:rFonts w:ascii="Times New Roman" w:hAnsi="Times New Roman" w:cs="Times New Roman"/>
        </w:rPr>
        <w:tab/>
      </w:r>
      <w:r w:rsidRPr="003F57AB">
        <w:rPr>
          <w:rFonts w:ascii="Times New Roman" w:hAnsi="Times New Roman" w:cs="Times New Roman"/>
          <w:u w:val="single"/>
        </w:rPr>
        <w:t>Navodila za posamezne pozicije</w:t>
      </w:r>
      <w:bookmarkEnd w:id="5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3B1C382B" w14:textId="77777777">
        <w:tc>
          <w:tcPr>
            <w:tcW w:w="1129" w:type="dxa"/>
            <w:shd w:val="clear" w:color="auto" w:fill="D9D9D9"/>
          </w:tcPr>
          <w:p w14:paraId="40840F0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25409EE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2A7C5AB7" w14:textId="77777777">
        <w:tc>
          <w:tcPr>
            <w:tcW w:w="1129" w:type="dxa"/>
          </w:tcPr>
          <w:p w14:paraId="44A38AF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116C1D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Skupna mesečna upravljana sredstva</w:t>
            </w:r>
          </w:p>
          <w:p w14:paraId="7116C04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4(1), točka 27, Uredbe (EU) 2019/2033.</w:t>
            </w:r>
          </w:p>
          <w:p w14:paraId="10DB2A9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Skupna mesečna upravljana sredstva na zadnji delovni dan zadevnega meseca, kot </w:t>
            </w:r>
            <w:r w:rsidRPr="003F57AB">
              <w:rPr>
                <w:rFonts w:ascii="Times New Roman" w:hAnsi="Times New Roman" w:cs="Times New Roman"/>
                <w:bCs/>
              </w:rPr>
              <w:t>je navedeno v členu 17(1) Uredbe (EU) 2019/2033.</w:t>
            </w:r>
          </w:p>
          <w:p w14:paraId="42FE227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Vrednost, sporočena v tej vrstici, je vsota vrstic 0020 in 0040.</w:t>
            </w:r>
          </w:p>
        </w:tc>
      </w:tr>
      <w:tr w:rsidR="00AE753A" w:rsidRPr="003F57AB" w14:paraId="3A4F087B" w14:textId="77777777">
        <w:tc>
          <w:tcPr>
            <w:tcW w:w="1129" w:type="dxa"/>
          </w:tcPr>
          <w:p w14:paraId="7FB0D62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146E6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Mesečna upravljana sredstva – diskrecijsko upravljanje portfeljev</w:t>
            </w:r>
          </w:p>
          <w:p w14:paraId="30DD714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Sporočeni znesek so mesečna sredstva, v zvezi s katerimi investicijsko</w:t>
            </w:r>
            <w:r w:rsidRPr="003F57AB">
              <w:rPr>
                <w:rFonts w:ascii="Times New Roman" w:hAnsi="Times New Roman" w:cs="Times New Roman"/>
                <w:bCs/>
              </w:rPr>
              <w:t xml:space="preserve"> podjetje opravlja storitev upravljanja portfeljev, kot je opredeljeno v členu 4(1), točka 8, </w:t>
            </w:r>
            <w:r w:rsidRPr="003F57AB">
              <w:rPr>
                <w:rFonts w:ascii="Times New Roman" w:hAnsi="Times New Roman" w:cs="Times New Roman"/>
                <w:bCs/>
              </w:rPr>
              <w:lastRenderedPageBreak/>
              <w:t>Direktive 2014/65/EU, na zadnji delovni dan zadevnega meseca, kot je navedeno v členu 17(1) Uredbe (EU) 2019/2033.</w:t>
            </w:r>
          </w:p>
        </w:tc>
      </w:tr>
      <w:tr w:rsidR="00AE753A" w:rsidRPr="003F57AB" w14:paraId="610E4C7E" w14:textId="77777777">
        <w:tc>
          <w:tcPr>
            <w:tcW w:w="1129" w:type="dxa"/>
          </w:tcPr>
          <w:p w14:paraId="05053B2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BB83F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 xml:space="preserve">Od tega: sredstva, uradno </w:t>
            </w:r>
            <w:r w:rsidRPr="003F57AB">
              <w:rPr>
                <w:rFonts w:ascii="Times New Roman" w:hAnsi="Times New Roman" w:cs="Times New Roman"/>
                <w:b/>
                <w:bCs/>
                <w:u w:val="single"/>
              </w:rPr>
              <w:t>prenesena na drug subjekt</w:t>
            </w:r>
          </w:p>
          <w:p w14:paraId="18C3509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17(2) Uredbe (EU) 2019/2033.</w:t>
            </w:r>
          </w:p>
          <w:p w14:paraId="17F65B0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Mesečna sredstva, katerih upravljanje je bilo uradno preneseno na drug subjekt, sporočena po stanju na zadnji delovni dan zadevnega meseca. </w:t>
            </w:r>
          </w:p>
        </w:tc>
      </w:tr>
      <w:tr w:rsidR="00AE753A" w:rsidRPr="003F57AB" w14:paraId="135FAFDD" w14:textId="77777777">
        <w:tc>
          <w:tcPr>
            <w:tcW w:w="1129" w:type="dxa"/>
          </w:tcPr>
          <w:p w14:paraId="7C9965C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E23B4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Mesečna upravljana sredstva – tekoče nediskrecijsko svetovanje</w:t>
            </w:r>
          </w:p>
          <w:p w14:paraId="39086D8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Skupni znesek sredstev, v zvezi s katerimi inv</w:t>
            </w:r>
            <w:r w:rsidRPr="003F57AB">
              <w:rPr>
                <w:rFonts w:ascii="Times New Roman" w:hAnsi="Times New Roman" w:cs="Times New Roman"/>
                <w:bCs/>
              </w:rPr>
              <w:t>esticijsko podjetje opravlja storitev investicijskega svetovanja, kot je opredeljeno v členu 4(1), točka 4, Direktive 2014/65/EU, na tekoči in nediskrecijski osnovi, sporočen po stanju na zadnji delovni dan zadevnega meseca.</w:t>
            </w:r>
          </w:p>
        </w:tc>
      </w:tr>
    </w:tbl>
    <w:p w14:paraId="58EA6B81" w14:textId="77777777" w:rsidR="00AE753A" w:rsidRPr="003F57AB" w:rsidRDefault="00AE753A">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0B06BDA9" w14:textId="77777777">
        <w:tc>
          <w:tcPr>
            <w:tcW w:w="1129" w:type="dxa"/>
            <w:shd w:val="clear" w:color="auto" w:fill="D9D9D9"/>
          </w:tcPr>
          <w:p w14:paraId="342B12E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737FDB2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w:t>
            </w:r>
            <w:r w:rsidRPr="003F57AB">
              <w:rPr>
                <w:rFonts w:ascii="Times New Roman" w:hAnsi="Times New Roman" w:cs="Times New Roman"/>
              </w:rPr>
              <w:t>odila</w:t>
            </w:r>
          </w:p>
        </w:tc>
      </w:tr>
      <w:tr w:rsidR="00AE753A" w:rsidRPr="003F57AB" w14:paraId="00DE09E4" w14:textId="77777777">
        <w:tc>
          <w:tcPr>
            <w:tcW w:w="1129" w:type="dxa"/>
          </w:tcPr>
          <w:p w14:paraId="1CA6BE4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0010–0140</w:t>
            </w:r>
          </w:p>
        </w:tc>
        <w:tc>
          <w:tcPr>
            <w:tcW w:w="7620" w:type="dxa"/>
          </w:tcPr>
          <w:p w14:paraId="43DDB6D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Vrednosti na koncu mesecev</w:t>
            </w:r>
          </w:p>
          <w:p w14:paraId="2BBCB0F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Poročajo se vrednosti na zadnji delovni dan zadevnega meseca, kot je navedeno v členu 17(1) Uredbe (EU) 2019/2033.</w:t>
            </w:r>
          </w:p>
        </w:tc>
      </w:tr>
    </w:tbl>
    <w:p w14:paraId="612E239A"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u w:val="single"/>
        </w:rPr>
      </w:pPr>
      <w:bookmarkStart w:id="59" w:name="_Toc87975489"/>
      <w:r w:rsidRPr="003F57AB">
        <w:rPr>
          <w:rFonts w:ascii="Times New Roman" w:hAnsi="Times New Roman" w:cs="Times New Roman"/>
          <w:u w:val="single"/>
        </w:rPr>
        <w:t>3.4 I 06.03 – DENAR STRANK, KI SE UPRAVLJA – DODATNE PODROBNOSTI (I 6.3)</w:t>
      </w:r>
      <w:bookmarkEnd w:id="59"/>
    </w:p>
    <w:p w14:paraId="4218B87E" w14:textId="77777777" w:rsidR="00AE753A" w:rsidRPr="003F57AB" w:rsidRDefault="003F57AB">
      <w:pPr>
        <w:keepNext/>
        <w:spacing w:before="240" w:after="240" w:line="240" w:lineRule="auto"/>
        <w:ind w:left="357" w:hanging="357"/>
        <w:jc w:val="both"/>
        <w:outlineLvl w:val="1"/>
        <w:rPr>
          <w:rFonts w:ascii="Times New Roman" w:hAnsi="Times New Roman" w:cs="Times New Roman"/>
        </w:rPr>
      </w:pPr>
      <w:bookmarkStart w:id="60" w:name="_Toc87975490"/>
      <w:r w:rsidRPr="003F57AB">
        <w:rPr>
          <w:rFonts w:ascii="Times New Roman" w:hAnsi="Times New Roman" w:cs="Times New Roman"/>
        </w:rPr>
        <w:t>3.4.1</w:t>
      </w:r>
      <w:r w:rsidRPr="003F57AB">
        <w:rPr>
          <w:rFonts w:ascii="Times New Roman" w:hAnsi="Times New Roman" w:cs="Times New Roman"/>
        </w:rPr>
        <w:tab/>
      </w:r>
      <w:r w:rsidRPr="003F57AB">
        <w:rPr>
          <w:rFonts w:ascii="Times New Roman" w:hAnsi="Times New Roman" w:cs="Times New Roman"/>
          <w:u w:val="single"/>
        </w:rPr>
        <w:t xml:space="preserve">Navodila za </w:t>
      </w:r>
      <w:r w:rsidRPr="003F57AB">
        <w:rPr>
          <w:rFonts w:ascii="Times New Roman" w:hAnsi="Times New Roman" w:cs="Times New Roman"/>
          <w:u w:val="single"/>
        </w:rPr>
        <w:t>posamezne pozicije</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6A8C2A1F" w14:textId="77777777">
        <w:tc>
          <w:tcPr>
            <w:tcW w:w="1129" w:type="dxa"/>
            <w:shd w:val="clear" w:color="auto" w:fill="D9D9D9"/>
          </w:tcPr>
          <w:p w14:paraId="496A8E2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17DBE92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4F436CE6" w14:textId="77777777">
        <w:tc>
          <w:tcPr>
            <w:tcW w:w="1129" w:type="dxa"/>
            <w:tcBorders>
              <w:bottom w:val="single" w:sz="4" w:space="0" w:color="auto"/>
            </w:tcBorders>
          </w:tcPr>
          <w:p w14:paraId="1E38E6D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FD92F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CMH – Ločen (povprečni zneski)</w:t>
            </w:r>
          </w:p>
          <w:p w14:paraId="25FAD52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4(1), točki 28 in 49, Uredbe (EU) 2019/2033 ter člen 1 regulativnega tehničnega standarda o opredelitvi ločenega računa (člen 15(5), točka (b), Uredbe (EU) </w:t>
            </w:r>
            <w:r w:rsidRPr="003F57AB">
              <w:rPr>
                <w:rFonts w:ascii="Times New Roman" w:hAnsi="Times New Roman" w:cs="Times New Roman"/>
                <w:bCs/>
              </w:rPr>
              <w:t>2019/2033).</w:t>
            </w:r>
          </w:p>
          <w:p w14:paraId="22D1374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Sporočena vrednost je aritmetična sredina dnevnih vrednosti CMH, kadar se denar strank </w:t>
            </w:r>
            <w:r w:rsidRPr="003F57AB">
              <w:rPr>
                <w:rFonts w:ascii="Times New Roman" w:hAnsi="Times New Roman" w:cs="Times New Roman"/>
                <w:bCs/>
                <w:u w:val="single"/>
              </w:rPr>
              <w:t>upravlja</w:t>
            </w:r>
            <w:r w:rsidRPr="003F57AB">
              <w:rPr>
                <w:rFonts w:ascii="Times New Roman" w:hAnsi="Times New Roman" w:cs="Times New Roman"/>
                <w:bCs/>
              </w:rPr>
              <w:t xml:space="preserve"> na ločenih računih, v skladu s členom 18(1), prvi pododstavek, Uredbe (EU) 2019/2033.</w:t>
            </w:r>
          </w:p>
        </w:tc>
      </w:tr>
      <w:tr w:rsidR="00AE753A" w:rsidRPr="003F57AB" w14:paraId="24D49DFB" w14:textId="77777777">
        <w:tc>
          <w:tcPr>
            <w:tcW w:w="1129" w:type="dxa"/>
            <w:tcBorders>
              <w:top w:val="single" w:sz="4" w:space="0" w:color="auto"/>
              <w:bottom w:val="single" w:sz="4" w:space="0" w:color="auto"/>
            </w:tcBorders>
          </w:tcPr>
          <w:p w14:paraId="68B58AE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79F51A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CMH – Neločen (povprečni zneski)</w:t>
            </w:r>
          </w:p>
          <w:p w14:paraId="560B7BC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4(1), točki 28 </w:t>
            </w:r>
            <w:r w:rsidRPr="003F57AB">
              <w:rPr>
                <w:rFonts w:ascii="Times New Roman" w:hAnsi="Times New Roman" w:cs="Times New Roman"/>
                <w:bCs/>
              </w:rPr>
              <w:t>in 49, Uredbe (EU) 2019/2033.</w:t>
            </w:r>
          </w:p>
          <w:p w14:paraId="11988FE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Sporočena vrednost je aritmetična sredina dnevnih vrednosti CMH, kadar se denar strank </w:t>
            </w:r>
            <w:r w:rsidRPr="003F57AB">
              <w:rPr>
                <w:rFonts w:ascii="Times New Roman" w:hAnsi="Times New Roman" w:cs="Times New Roman"/>
                <w:bCs/>
                <w:u w:val="single"/>
              </w:rPr>
              <w:t>ne upravlja</w:t>
            </w:r>
            <w:r w:rsidRPr="003F57AB">
              <w:rPr>
                <w:rFonts w:ascii="Times New Roman" w:hAnsi="Times New Roman" w:cs="Times New Roman"/>
                <w:bCs/>
              </w:rPr>
              <w:t xml:space="preserve"> na ločenih računih, v skladu s členom 18(1), prvi pododstavek, Uredbe (EU) 2019/2033.</w:t>
            </w:r>
          </w:p>
        </w:tc>
      </w:tr>
    </w:tbl>
    <w:p w14:paraId="0BBD6799" w14:textId="77777777" w:rsidR="00AE753A" w:rsidRPr="003F57AB" w:rsidRDefault="00AE753A">
      <w:pPr>
        <w:rPr>
          <w:rFonts w:ascii="Times New Roman"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36A949B1" w14:textId="77777777">
        <w:tc>
          <w:tcPr>
            <w:tcW w:w="1129" w:type="dxa"/>
            <w:shd w:val="clear" w:color="auto" w:fill="D9D9D9"/>
          </w:tcPr>
          <w:p w14:paraId="7C3C220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29F1A73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 xml:space="preserve">Pravna podlaga in </w:t>
            </w:r>
            <w:r w:rsidRPr="003F57AB">
              <w:rPr>
                <w:rFonts w:ascii="Times New Roman" w:hAnsi="Times New Roman" w:cs="Times New Roman"/>
              </w:rPr>
              <w:t>navodila</w:t>
            </w:r>
          </w:p>
        </w:tc>
      </w:tr>
      <w:tr w:rsidR="00AE753A" w:rsidRPr="003F57AB" w14:paraId="326CF903" w14:textId="77777777">
        <w:tc>
          <w:tcPr>
            <w:tcW w:w="1129" w:type="dxa"/>
          </w:tcPr>
          <w:p w14:paraId="177CDB2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Pr>
          <w:p w14:paraId="2BF118F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Znesek faktorja – mesec t</w:t>
            </w:r>
          </w:p>
          <w:p w14:paraId="5B5706A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CMH na koncu tretjega (tj. zadnjega) meseca četrtletja, na katerega se nanaša poročilo.</w:t>
            </w:r>
          </w:p>
          <w:p w14:paraId="34A82A5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Znesek se izračuna kot aritmetična sredina dnevnih zneskov v obdobju, določenem v členu 18(1) Uredbe (EU) 2019/2033.</w:t>
            </w:r>
          </w:p>
        </w:tc>
      </w:tr>
      <w:tr w:rsidR="00AE753A" w:rsidRPr="003F57AB" w14:paraId="64825C06" w14:textId="77777777">
        <w:tc>
          <w:tcPr>
            <w:tcW w:w="1129" w:type="dxa"/>
          </w:tcPr>
          <w:p w14:paraId="1999C4C7" w14:textId="77777777" w:rsidR="00AE753A" w:rsidRPr="003F57AB" w:rsidRDefault="003F57AB">
            <w:pPr>
              <w:spacing w:after="120" w:line="240" w:lineRule="auto"/>
              <w:jc w:val="both"/>
              <w:rPr>
                <w:rFonts w:ascii="Times New Roman" w:eastAsia="Times New Roman" w:hAnsi="Times New Roman" w:cs="Times New Roman"/>
                <w:bCs/>
                <w:sz w:val="24"/>
                <w:szCs w:val="24"/>
              </w:rPr>
            </w:pPr>
            <w:r w:rsidRPr="003F57AB">
              <w:rPr>
                <w:rFonts w:ascii="Times New Roman" w:hAnsi="Times New Roman" w:cs="Times New Roman"/>
                <w:bCs/>
                <w:sz w:val="24"/>
                <w:szCs w:val="24"/>
              </w:rPr>
              <w:t>0020</w:t>
            </w:r>
          </w:p>
        </w:tc>
        <w:tc>
          <w:tcPr>
            <w:tcW w:w="7620" w:type="dxa"/>
          </w:tcPr>
          <w:p w14:paraId="3B1ED438" w14:textId="77777777" w:rsidR="00AE753A" w:rsidRPr="003F57AB" w:rsidRDefault="003F57AB">
            <w:pPr>
              <w:spacing w:after="120" w:line="240" w:lineRule="auto"/>
              <w:jc w:val="both"/>
              <w:rPr>
                <w:rFonts w:ascii="Times New Roman" w:eastAsia="Times New Roman" w:hAnsi="Times New Roman" w:cs="Times New Roman"/>
                <w:b/>
                <w:bCs/>
                <w:sz w:val="24"/>
                <w:szCs w:val="24"/>
                <w:u w:val="single"/>
              </w:rPr>
            </w:pPr>
            <w:r w:rsidRPr="003F57AB">
              <w:rPr>
                <w:rFonts w:ascii="Times New Roman" w:hAnsi="Times New Roman" w:cs="Times New Roman"/>
                <w:b/>
                <w:bCs/>
                <w:sz w:val="24"/>
                <w:szCs w:val="24"/>
                <w:u w:val="single"/>
              </w:rPr>
              <w:t>Znesek faktorja – mesec t–1</w:t>
            </w:r>
          </w:p>
          <w:p w14:paraId="28C03E97" w14:textId="77777777" w:rsidR="00AE753A" w:rsidRPr="003F57AB" w:rsidRDefault="003F57AB">
            <w:pPr>
              <w:spacing w:after="120" w:line="240" w:lineRule="auto"/>
              <w:jc w:val="both"/>
              <w:rPr>
                <w:rFonts w:ascii="Times New Roman" w:eastAsia="Times New Roman" w:hAnsi="Times New Roman" w:cs="Times New Roman"/>
                <w:bCs/>
                <w:sz w:val="24"/>
                <w:szCs w:val="24"/>
              </w:rPr>
            </w:pPr>
            <w:r w:rsidRPr="003F57AB">
              <w:rPr>
                <w:rFonts w:ascii="Times New Roman" w:hAnsi="Times New Roman" w:cs="Times New Roman"/>
                <w:bCs/>
                <w:sz w:val="24"/>
                <w:szCs w:val="24"/>
              </w:rPr>
              <w:lastRenderedPageBreak/>
              <w:t>CMH na koncu drugega meseca četrtletja, na katerega se nanaša poročilo.</w:t>
            </w:r>
          </w:p>
          <w:p w14:paraId="722DDCF3" w14:textId="77777777" w:rsidR="00AE753A" w:rsidRPr="003F57AB" w:rsidRDefault="003F57AB">
            <w:pPr>
              <w:spacing w:after="120" w:line="240" w:lineRule="auto"/>
              <w:jc w:val="both"/>
              <w:rPr>
                <w:rFonts w:ascii="Times New Roman" w:eastAsia="Times New Roman" w:hAnsi="Times New Roman" w:cs="Times New Roman"/>
                <w:b/>
                <w:bCs/>
                <w:sz w:val="24"/>
                <w:szCs w:val="24"/>
                <w:u w:val="single"/>
              </w:rPr>
            </w:pPr>
            <w:r w:rsidRPr="003F57AB">
              <w:rPr>
                <w:rFonts w:ascii="Times New Roman" w:hAnsi="Times New Roman" w:cs="Times New Roman"/>
                <w:bCs/>
              </w:rPr>
              <w:t>Znesek se izračuna kot aritmetična sredina dnevnih zneskov v obdobju, določenem v členu 18(1) Uredbe (EU) 2019/2033.</w:t>
            </w:r>
          </w:p>
        </w:tc>
      </w:tr>
      <w:tr w:rsidR="00AE753A" w:rsidRPr="003F57AB" w14:paraId="18528753" w14:textId="77777777">
        <w:tc>
          <w:tcPr>
            <w:tcW w:w="1129" w:type="dxa"/>
          </w:tcPr>
          <w:p w14:paraId="781134DB" w14:textId="77777777" w:rsidR="00AE753A" w:rsidRPr="003F57AB" w:rsidRDefault="003F57AB">
            <w:pPr>
              <w:spacing w:after="120" w:line="240" w:lineRule="auto"/>
              <w:jc w:val="both"/>
              <w:rPr>
                <w:rFonts w:ascii="Times New Roman" w:eastAsia="Times New Roman" w:hAnsi="Times New Roman" w:cs="Times New Roman"/>
                <w:bCs/>
                <w:sz w:val="24"/>
                <w:szCs w:val="24"/>
              </w:rPr>
            </w:pPr>
            <w:r w:rsidRPr="003F57AB">
              <w:rPr>
                <w:rFonts w:ascii="Times New Roman" w:hAnsi="Times New Roman" w:cs="Times New Roman"/>
                <w:bCs/>
                <w:sz w:val="24"/>
                <w:szCs w:val="24"/>
              </w:rPr>
              <w:lastRenderedPageBreak/>
              <w:t>0030</w:t>
            </w:r>
          </w:p>
        </w:tc>
        <w:tc>
          <w:tcPr>
            <w:tcW w:w="7620" w:type="dxa"/>
          </w:tcPr>
          <w:p w14:paraId="4725BE3A" w14:textId="77777777" w:rsidR="00AE753A" w:rsidRPr="003F57AB" w:rsidRDefault="003F57AB">
            <w:pPr>
              <w:spacing w:after="120" w:line="240" w:lineRule="auto"/>
              <w:jc w:val="both"/>
              <w:rPr>
                <w:rFonts w:ascii="Times New Roman" w:eastAsia="Times New Roman" w:hAnsi="Times New Roman" w:cs="Times New Roman"/>
                <w:b/>
                <w:bCs/>
                <w:sz w:val="24"/>
                <w:szCs w:val="24"/>
                <w:u w:val="single"/>
              </w:rPr>
            </w:pPr>
            <w:r w:rsidRPr="003F57AB">
              <w:rPr>
                <w:rFonts w:ascii="Times New Roman" w:hAnsi="Times New Roman" w:cs="Times New Roman"/>
                <w:b/>
                <w:bCs/>
                <w:sz w:val="24"/>
                <w:szCs w:val="24"/>
                <w:u w:val="single"/>
              </w:rPr>
              <w:t>Znesek faktorja – mesec t-2</w:t>
            </w:r>
          </w:p>
          <w:p w14:paraId="0DFF9CE7" w14:textId="77777777" w:rsidR="00AE753A" w:rsidRPr="003F57AB" w:rsidRDefault="003F57AB">
            <w:pPr>
              <w:spacing w:after="120" w:line="240" w:lineRule="auto"/>
              <w:jc w:val="both"/>
              <w:rPr>
                <w:rFonts w:ascii="Times New Roman" w:eastAsia="Times New Roman" w:hAnsi="Times New Roman" w:cs="Times New Roman"/>
                <w:bCs/>
                <w:sz w:val="24"/>
                <w:szCs w:val="24"/>
              </w:rPr>
            </w:pPr>
            <w:r w:rsidRPr="003F57AB">
              <w:rPr>
                <w:rFonts w:ascii="Times New Roman" w:hAnsi="Times New Roman" w:cs="Times New Roman"/>
                <w:bCs/>
                <w:sz w:val="24"/>
                <w:szCs w:val="24"/>
              </w:rPr>
              <w:t>CMH na koncu prvega meseca četrtletja, na katerega se nanaša poročilo.</w:t>
            </w:r>
          </w:p>
          <w:p w14:paraId="2232F7A0" w14:textId="77777777" w:rsidR="00AE753A" w:rsidRPr="003F57AB" w:rsidRDefault="003F57AB">
            <w:pPr>
              <w:spacing w:after="120" w:line="240" w:lineRule="auto"/>
              <w:jc w:val="both"/>
              <w:rPr>
                <w:rFonts w:ascii="Times New Roman" w:eastAsia="Times New Roman" w:hAnsi="Times New Roman" w:cs="Times New Roman"/>
                <w:b/>
                <w:bCs/>
                <w:sz w:val="24"/>
                <w:szCs w:val="24"/>
                <w:u w:val="single"/>
              </w:rPr>
            </w:pPr>
            <w:r w:rsidRPr="003F57AB">
              <w:rPr>
                <w:rFonts w:ascii="Times New Roman" w:hAnsi="Times New Roman" w:cs="Times New Roman"/>
                <w:bCs/>
              </w:rPr>
              <w:t>Znesek se izračuna kot aritmetična sredina dnevnih zneskov v obdobju, določenem v členu 18(1) Uredbe (EU) 2019/2033.</w:t>
            </w:r>
          </w:p>
        </w:tc>
      </w:tr>
    </w:tbl>
    <w:p w14:paraId="311E3898"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1" w:name="_Toc87975491"/>
      <w:r w:rsidRPr="003F57AB">
        <w:rPr>
          <w:rFonts w:ascii="Times New Roman" w:hAnsi="Times New Roman" w:cs="Times New Roman"/>
          <w:sz w:val="24"/>
          <w:szCs w:val="24"/>
          <w:u w:val="single"/>
        </w:rPr>
        <w:t xml:space="preserve">3.5 I 06.04 – POVPREČNA SKUPNA DNEVNA VREDNOST DENARJA </w:t>
      </w:r>
      <w:r w:rsidRPr="003F57AB">
        <w:rPr>
          <w:rFonts w:ascii="Times New Roman" w:hAnsi="Times New Roman" w:cs="Times New Roman"/>
          <w:sz w:val="24"/>
          <w:szCs w:val="24"/>
          <w:u w:val="single"/>
        </w:rPr>
        <w:t>STRANK, KI SE UPRAVLJA (I 6.4)</w:t>
      </w:r>
      <w:bookmarkEnd w:id="61"/>
    </w:p>
    <w:p w14:paraId="6F6DF6F5"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u w:val="single"/>
        </w:rPr>
      </w:pPr>
      <w:bookmarkStart w:id="62" w:name="_Toc87975492"/>
      <w:r w:rsidRPr="003F57AB">
        <w:rPr>
          <w:rFonts w:ascii="Times New Roman" w:hAnsi="Times New Roman" w:cs="Times New Roman"/>
          <w:sz w:val="24"/>
          <w:szCs w:val="24"/>
        </w:rPr>
        <w:t>3.5.1</w:t>
      </w:r>
      <w:r w:rsidRPr="003F57AB">
        <w:rPr>
          <w:rFonts w:ascii="Times New Roman" w:hAnsi="Times New Roman" w:cs="Times New Roman"/>
        </w:rPr>
        <w:tab/>
      </w:r>
      <w:r w:rsidRPr="003F57AB">
        <w:rPr>
          <w:rFonts w:ascii="Times New Roman" w:hAnsi="Times New Roman" w:cs="Times New Roman"/>
          <w:u w:val="single"/>
        </w:rPr>
        <w:t>Navodila za posamezne pozicije</w:t>
      </w:r>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0CF0CAF6" w14:textId="77777777">
        <w:tc>
          <w:tcPr>
            <w:tcW w:w="1129" w:type="dxa"/>
            <w:shd w:val="clear" w:color="auto" w:fill="D9D9D9"/>
          </w:tcPr>
          <w:p w14:paraId="68A809B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118A97D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7F934CB2" w14:textId="77777777">
        <w:tc>
          <w:tcPr>
            <w:tcW w:w="1129" w:type="dxa"/>
            <w:tcBorders>
              <w:bottom w:val="single" w:sz="4" w:space="0" w:color="auto"/>
            </w:tcBorders>
          </w:tcPr>
          <w:p w14:paraId="0CA6F26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BADDAE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Skupni dnevni denar strank, ki se upravlja – ločen</w:t>
            </w:r>
          </w:p>
          <w:p w14:paraId="57B4351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4(1), točki 28 in 49, Uredbe (EU) 2019/2033 ter regulativni tehnični standard o </w:t>
            </w:r>
            <w:r w:rsidRPr="003F57AB">
              <w:rPr>
                <w:rFonts w:ascii="Times New Roman" w:hAnsi="Times New Roman" w:cs="Times New Roman"/>
                <w:bCs/>
              </w:rPr>
              <w:t>opredelitvi ločenega računa (člen 15(5), točka (b), Uredbe (EU) 2019/2033).</w:t>
            </w:r>
          </w:p>
          <w:p w14:paraId="3766D8A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Sporočena vrednost je mesečno povprečje skupne dnevne vrednosti denarja strank, ki se upravlja, kadar se denar strank </w:t>
            </w:r>
            <w:r w:rsidRPr="003F57AB">
              <w:rPr>
                <w:rFonts w:ascii="Times New Roman" w:hAnsi="Times New Roman" w:cs="Times New Roman"/>
                <w:bCs/>
                <w:u w:val="single"/>
              </w:rPr>
              <w:t>upravlja</w:t>
            </w:r>
            <w:r w:rsidRPr="003F57AB">
              <w:rPr>
                <w:rFonts w:ascii="Times New Roman" w:hAnsi="Times New Roman" w:cs="Times New Roman"/>
                <w:bCs/>
              </w:rPr>
              <w:t xml:space="preserve"> na ločenih računih, v skladu s členom 18(1) Uredbe (E</w:t>
            </w:r>
            <w:r w:rsidRPr="003F57AB">
              <w:rPr>
                <w:rFonts w:ascii="Times New Roman" w:hAnsi="Times New Roman" w:cs="Times New Roman"/>
                <w:bCs/>
              </w:rPr>
              <w:t>U) 2019/2033.</w:t>
            </w:r>
          </w:p>
        </w:tc>
      </w:tr>
      <w:tr w:rsidR="00AE753A" w:rsidRPr="003F57AB" w14:paraId="4C556DA6" w14:textId="77777777">
        <w:tc>
          <w:tcPr>
            <w:tcW w:w="1129" w:type="dxa"/>
            <w:tcBorders>
              <w:top w:val="single" w:sz="4" w:space="0" w:color="auto"/>
              <w:bottom w:val="single" w:sz="4" w:space="0" w:color="auto"/>
            </w:tcBorders>
          </w:tcPr>
          <w:p w14:paraId="50F23F6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8780EB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Skupni dnevni denar strank, ki se upravlja – neločen</w:t>
            </w:r>
          </w:p>
          <w:p w14:paraId="30D86AD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4(1), točki 28 in 49, Uredbe (EU) 2019/2033.</w:t>
            </w:r>
          </w:p>
          <w:p w14:paraId="7987084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Sporočena vrednost je mesečno povprečje skupne dnevne vrednosti denarja strank, ki se upravlja, kadar se denar strank ne </w:t>
            </w:r>
            <w:r w:rsidRPr="003F57AB">
              <w:rPr>
                <w:rFonts w:ascii="Times New Roman" w:hAnsi="Times New Roman" w:cs="Times New Roman"/>
                <w:bCs/>
              </w:rPr>
              <w:t>upravlja na ločenih računih, v skladu s členom 18(1) Uredbe (EU) 2019/2033.</w:t>
            </w:r>
          </w:p>
        </w:tc>
      </w:tr>
    </w:tbl>
    <w:p w14:paraId="045C5BD7" w14:textId="77777777" w:rsidR="00AE753A" w:rsidRPr="003F57AB" w:rsidRDefault="00AE753A">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4F031AD8" w14:textId="77777777">
        <w:tc>
          <w:tcPr>
            <w:tcW w:w="1129" w:type="dxa"/>
            <w:shd w:val="clear" w:color="auto" w:fill="D9D9D9"/>
          </w:tcPr>
          <w:p w14:paraId="663BF51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2537213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35C5C586" w14:textId="77777777">
        <w:tc>
          <w:tcPr>
            <w:tcW w:w="1129" w:type="dxa"/>
          </w:tcPr>
          <w:p w14:paraId="4529A9B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0010–0080</w:t>
            </w:r>
          </w:p>
        </w:tc>
        <w:tc>
          <w:tcPr>
            <w:tcW w:w="7620" w:type="dxa"/>
          </w:tcPr>
          <w:p w14:paraId="6A606B6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Mesečna povprečja skupnih dnevnih vrednosti denarja strank, ki se upravlja</w:t>
            </w:r>
          </w:p>
          <w:p w14:paraId="100548C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Investicijska podjetja vsak mesec poročajo mesečno </w:t>
            </w:r>
            <w:r w:rsidRPr="003F57AB">
              <w:rPr>
                <w:rFonts w:ascii="Times New Roman" w:hAnsi="Times New Roman" w:cs="Times New Roman"/>
                <w:bCs/>
              </w:rPr>
              <w:t>povprečno skupno dnevno vrednost denarja strank, ki se upravlja, merjeno na koncu vsakega poslovnega dne, v skladu s členom 18(1) Uredbe (EU) 2019/2033.</w:t>
            </w:r>
          </w:p>
        </w:tc>
      </w:tr>
    </w:tbl>
    <w:p w14:paraId="7F37673D" w14:textId="77777777" w:rsidR="00AE753A" w:rsidRPr="003F57AB" w:rsidRDefault="00AE753A">
      <w:pPr>
        <w:keepNext/>
        <w:spacing w:before="240" w:after="240" w:line="240" w:lineRule="auto"/>
        <w:jc w:val="both"/>
        <w:outlineLvl w:val="1"/>
        <w:rPr>
          <w:rFonts w:ascii="Times New Roman" w:eastAsia="Arial" w:hAnsi="Times New Roman" w:cs="Times New Roman"/>
          <w:u w:val="single"/>
        </w:rPr>
      </w:pPr>
    </w:p>
    <w:p w14:paraId="0B808CE5"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3" w:name="_Toc87975493"/>
      <w:r w:rsidRPr="003F57AB">
        <w:rPr>
          <w:rFonts w:ascii="Times New Roman" w:hAnsi="Times New Roman" w:cs="Times New Roman"/>
          <w:sz w:val="24"/>
          <w:szCs w:val="24"/>
          <w:u w:val="single"/>
        </w:rPr>
        <w:t>3.6 I 06.05 – ZAŠČITENA IN UPRAVLJANA SREDSTVA – DODATNE PODROBNOSTI (I 6.5)</w:t>
      </w:r>
      <w:bookmarkEnd w:id="63"/>
    </w:p>
    <w:p w14:paraId="5DA9D8E0" w14:textId="77777777" w:rsidR="00AE753A" w:rsidRPr="003F57AB" w:rsidRDefault="003F57AB">
      <w:pPr>
        <w:keepNext/>
        <w:spacing w:before="240" w:after="240" w:line="240" w:lineRule="auto"/>
        <w:ind w:left="357" w:hanging="357"/>
        <w:jc w:val="both"/>
        <w:outlineLvl w:val="1"/>
        <w:rPr>
          <w:rFonts w:ascii="Times New Roman" w:hAnsi="Times New Roman" w:cs="Times New Roman"/>
        </w:rPr>
      </w:pPr>
      <w:bookmarkStart w:id="64" w:name="_Toc87975494"/>
      <w:r w:rsidRPr="003F57AB">
        <w:rPr>
          <w:rFonts w:ascii="Times New Roman" w:hAnsi="Times New Roman" w:cs="Times New Roman"/>
          <w:sz w:val="24"/>
          <w:szCs w:val="24"/>
        </w:rPr>
        <w:t>3.6.1</w:t>
      </w:r>
      <w:r w:rsidRPr="003F57AB">
        <w:rPr>
          <w:rFonts w:ascii="Times New Roman" w:hAnsi="Times New Roman" w:cs="Times New Roman"/>
        </w:rPr>
        <w:tab/>
        <w:t xml:space="preserve">Navodila za </w:t>
      </w:r>
      <w:r w:rsidRPr="003F57AB">
        <w:rPr>
          <w:rFonts w:ascii="Times New Roman" w:hAnsi="Times New Roman" w:cs="Times New Roman"/>
        </w:rPr>
        <w:t>posamezne pozicije</w:t>
      </w:r>
      <w:bookmarkEnd w:id="6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3BF4A1DA" w14:textId="77777777">
        <w:tc>
          <w:tcPr>
            <w:tcW w:w="1129" w:type="dxa"/>
            <w:shd w:val="clear" w:color="auto" w:fill="D9D9D9"/>
          </w:tcPr>
          <w:p w14:paraId="57F1DF3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750E2D8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70C47EBA" w14:textId="77777777">
        <w:tc>
          <w:tcPr>
            <w:tcW w:w="1129" w:type="dxa"/>
          </w:tcPr>
          <w:p w14:paraId="32F208E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A4D590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Skupna ASA (povprečni zneski)</w:t>
            </w:r>
          </w:p>
          <w:p w14:paraId="545DD8E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4(1), točka 29, Uredbe (EU) 2019/2033.</w:t>
            </w:r>
          </w:p>
          <w:p w14:paraId="2F56206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Člen 5(1) regulativnega tehničnega standarda za določitev metod za merjenje faktorjev K (člen 15(5), točka (a), Uredbe (EU</w:t>
            </w:r>
            <w:r w:rsidRPr="003F57AB">
              <w:rPr>
                <w:rFonts w:ascii="Times New Roman" w:hAnsi="Times New Roman" w:cs="Times New Roman"/>
                <w:bCs/>
              </w:rPr>
              <w:t>) 2019/2033).</w:t>
            </w:r>
          </w:p>
          <w:p w14:paraId="1626FCF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Skupna vrednost ASA kot drseče povprečje vrednosti skupnih dnevnih zaščitenih in upravljanih sredstev, merjene konec vsakega delovnega dne v preteklih devetih mesecih, razen v zadnjih treh mesecih, v skladu s členom 19(1), prvi pododstavek, U</w:t>
            </w:r>
            <w:r w:rsidRPr="003F57AB">
              <w:rPr>
                <w:rFonts w:ascii="Times New Roman" w:hAnsi="Times New Roman" w:cs="Times New Roman"/>
                <w:bCs/>
              </w:rPr>
              <w:t xml:space="preserve">redbe (EU) 2019/2033. </w:t>
            </w:r>
          </w:p>
        </w:tc>
      </w:tr>
      <w:tr w:rsidR="00AE753A" w:rsidRPr="003F57AB" w14:paraId="37ECF84C" w14:textId="77777777">
        <w:tc>
          <w:tcPr>
            <w:tcW w:w="1129" w:type="dxa"/>
            <w:tcBorders>
              <w:bottom w:val="single" w:sz="4" w:space="0" w:color="auto"/>
            </w:tcBorders>
          </w:tcPr>
          <w:p w14:paraId="3D3E995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58D442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Od tega: poštena vrednost finančnih instrumentov (raven 2)</w:t>
            </w:r>
          </w:p>
          <w:p w14:paraId="377C195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5(1), točka (a), regulativnega tehničnega standarda za določitev metod za merjenje faktorjev K (člen 15(5), točka (a), Uredbe (EU) 2019/2033).</w:t>
            </w:r>
          </w:p>
          <w:p w14:paraId="2EE590B3" w14:textId="77777777" w:rsidR="00AE753A" w:rsidRPr="003F57AB" w:rsidRDefault="003F57AB">
            <w:pPr>
              <w:autoSpaceDE w:val="0"/>
              <w:autoSpaceDN w:val="0"/>
              <w:spacing w:after="0" w:line="240" w:lineRule="auto"/>
              <w:rPr>
                <w:rFonts w:ascii="Times New Roman" w:eastAsia="Times New Roman" w:hAnsi="Times New Roman" w:cs="Times New Roman"/>
                <w:bCs/>
                <w:i/>
              </w:rPr>
            </w:pPr>
            <w:r w:rsidRPr="003F57AB">
              <w:rPr>
                <w:rFonts w:ascii="Times New Roman" w:hAnsi="Times New Roman" w:cs="Times New Roman"/>
                <w:bCs/>
              </w:rPr>
              <w:t xml:space="preserve">Finančni </w:t>
            </w:r>
            <w:r w:rsidRPr="003F57AB">
              <w:rPr>
                <w:rFonts w:ascii="Times New Roman" w:hAnsi="Times New Roman" w:cs="Times New Roman"/>
                <w:bCs/>
              </w:rPr>
              <w:t>instrumenti ravni 2, ovrednoteni v skladu z MSRP 13, 81. člen.</w:t>
            </w:r>
          </w:p>
        </w:tc>
      </w:tr>
      <w:tr w:rsidR="00AE753A" w:rsidRPr="003F57AB" w14:paraId="29FE051C" w14:textId="77777777">
        <w:tc>
          <w:tcPr>
            <w:tcW w:w="1129" w:type="dxa"/>
            <w:tcBorders>
              <w:bottom w:val="single" w:sz="4" w:space="0" w:color="auto"/>
            </w:tcBorders>
          </w:tcPr>
          <w:p w14:paraId="18FE4A3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E71C1D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poštena vrednost finančnih instrumentov (raven 3)</w:t>
            </w:r>
          </w:p>
          <w:p w14:paraId="1D267F9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5(1), točka (a), regulativnega tehničnega standarda za določitev metod za merjenje faktorjev K (člen 15(5), točka (a), </w:t>
            </w:r>
            <w:r w:rsidRPr="003F57AB">
              <w:rPr>
                <w:rFonts w:ascii="Times New Roman" w:hAnsi="Times New Roman" w:cs="Times New Roman"/>
                <w:bCs/>
              </w:rPr>
              <w:t>Uredbe (EU) 2019/2033).</w:t>
            </w:r>
          </w:p>
          <w:p w14:paraId="68F8C081" w14:textId="77777777" w:rsidR="00AE753A" w:rsidRPr="003F57AB" w:rsidRDefault="003F57AB">
            <w:pPr>
              <w:autoSpaceDE w:val="0"/>
              <w:autoSpaceDN w:val="0"/>
              <w:spacing w:after="0" w:line="240" w:lineRule="auto"/>
              <w:rPr>
                <w:rFonts w:ascii="Times New Roman" w:hAnsi="Times New Roman" w:cs="Times New Roman"/>
              </w:rPr>
            </w:pPr>
            <w:r w:rsidRPr="003F57AB">
              <w:rPr>
                <w:rFonts w:ascii="Times New Roman" w:hAnsi="Times New Roman" w:cs="Times New Roman"/>
                <w:bCs/>
              </w:rPr>
              <w:t xml:space="preserve">Ovrednotenje na podlagi neopazovanih vložkov z uporabo najboljših razpoložljivih informacij, </w:t>
            </w:r>
            <w:r w:rsidRPr="003F57AB">
              <w:rPr>
                <w:rFonts w:ascii="Times New Roman" w:hAnsi="Times New Roman" w:cs="Times New Roman"/>
              </w:rPr>
              <w:t>MSRP 13, 86. člen.</w:t>
            </w:r>
          </w:p>
        </w:tc>
      </w:tr>
      <w:tr w:rsidR="00AE753A" w:rsidRPr="003F57AB" w14:paraId="3A8646AC" w14:textId="77777777">
        <w:tc>
          <w:tcPr>
            <w:tcW w:w="1129" w:type="dxa"/>
            <w:tcBorders>
              <w:top w:val="single" w:sz="4" w:space="0" w:color="auto"/>
              <w:bottom w:val="single" w:sz="4" w:space="0" w:color="auto"/>
            </w:tcBorders>
          </w:tcPr>
          <w:p w14:paraId="1116BA6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FF9898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sredstva, uradno prenesena na drug finančni subjekt</w:t>
            </w:r>
          </w:p>
          <w:p w14:paraId="131D31B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19(2) Uredbe (EU) 2019/2033.</w:t>
            </w:r>
          </w:p>
          <w:p w14:paraId="620A26F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Vrednost </w:t>
            </w:r>
            <w:r w:rsidRPr="003F57AB">
              <w:rPr>
                <w:rFonts w:ascii="Times New Roman" w:hAnsi="Times New Roman" w:cs="Times New Roman"/>
                <w:bCs/>
              </w:rPr>
              <w:t>sredstev, katerih zaščita in upravljanje sta bila uradno prenesena na drug finančni subjekt, kot aritmetična sredina v skladu s členom 19(1), prvi pododstavek, Uredbe (EU) 2019/2033.</w:t>
            </w:r>
          </w:p>
        </w:tc>
      </w:tr>
      <w:tr w:rsidR="00AE753A" w:rsidRPr="003F57AB" w14:paraId="4F381A81" w14:textId="77777777">
        <w:tc>
          <w:tcPr>
            <w:tcW w:w="1129" w:type="dxa"/>
            <w:tcBorders>
              <w:top w:val="single" w:sz="4" w:space="0" w:color="auto"/>
            </w:tcBorders>
          </w:tcPr>
          <w:p w14:paraId="4C52060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1BD462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Od tega: sredstva drugega finančnega subjekta, ki je uradno </w:t>
            </w:r>
            <w:r w:rsidRPr="003F57AB">
              <w:rPr>
                <w:rFonts w:ascii="Times New Roman" w:hAnsi="Times New Roman" w:cs="Times New Roman"/>
                <w:b/>
                <w:bCs/>
                <w:u w:val="single"/>
              </w:rPr>
              <w:t>prenesel na investicijsko podjetje</w:t>
            </w:r>
          </w:p>
          <w:p w14:paraId="553A292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19(2) Uredbe (EU) 2019/2033.</w:t>
            </w:r>
          </w:p>
          <w:p w14:paraId="334A94B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Vrednost sredstev drugega finančnega subjekta, ki je zaščito in upravljanje uradno prenesel na investicijsko podjetje, kot aritmetična sredina v skladu s členom 19(1), prvi pododstavek, U</w:t>
            </w:r>
            <w:r w:rsidRPr="003F57AB">
              <w:rPr>
                <w:rFonts w:ascii="Times New Roman" w:hAnsi="Times New Roman" w:cs="Times New Roman"/>
                <w:bCs/>
              </w:rPr>
              <w:t>redbe (EU) 2019/2033.</w:t>
            </w:r>
          </w:p>
        </w:tc>
      </w:tr>
    </w:tbl>
    <w:p w14:paraId="365DA187" w14:textId="77777777" w:rsidR="00AE753A" w:rsidRPr="003F57AB" w:rsidRDefault="00AE753A">
      <w:pPr>
        <w:rPr>
          <w:rFonts w:ascii="Times New Roman"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14317159" w14:textId="77777777">
        <w:tc>
          <w:tcPr>
            <w:tcW w:w="1129" w:type="dxa"/>
            <w:shd w:val="clear" w:color="auto" w:fill="D9D9D9"/>
          </w:tcPr>
          <w:p w14:paraId="410A89A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4C4F2B0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1BE25654" w14:textId="77777777">
        <w:tc>
          <w:tcPr>
            <w:tcW w:w="1129" w:type="dxa"/>
          </w:tcPr>
          <w:p w14:paraId="47D62EB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Pr>
          <w:p w14:paraId="7ECACB9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Znesek faktorja – mesec t</w:t>
            </w:r>
          </w:p>
          <w:p w14:paraId="44F23B8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ASA na koncu tretjega (tj. zadnjega) meseca četrtletja, na katerega se nanaša poročilo.</w:t>
            </w:r>
          </w:p>
        </w:tc>
      </w:tr>
      <w:tr w:rsidR="00AE753A" w:rsidRPr="003F57AB" w14:paraId="669267DB" w14:textId="77777777">
        <w:tc>
          <w:tcPr>
            <w:tcW w:w="1129" w:type="dxa"/>
          </w:tcPr>
          <w:p w14:paraId="5516956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Pr>
          <w:p w14:paraId="5E6E75C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Znesek faktorja – mesec t–1</w:t>
            </w:r>
          </w:p>
          <w:p w14:paraId="4EA9E3B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ASA na koncu drugega meseca </w:t>
            </w:r>
            <w:r w:rsidRPr="003F57AB">
              <w:rPr>
                <w:rFonts w:ascii="Times New Roman" w:hAnsi="Times New Roman" w:cs="Times New Roman"/>
                <w:bCs/>
              </w:rPr>
              <w:t>četrtletja, na katerega se nanaša poročilo.</w:t>
            </w:r>
          </w:p>
        </w:tc>
      </w:tr>
      <w:tr w:rsidR="00AE753A" w:rsidRPr="003F57AB" w14:paraId="71B6A079" w14:textId="77777777">
        <w:tc>
          <w:tcPr>
            <w:tcW w:w="1129" w:type="dxa"/>
          </w:tcPr>
          <w:p w14:paraId="19A71E1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Pr>
          <w:p w14:paraId="3B3B2B6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Znesek faktorja – mesec t-2</w:t>
            </w:r>
          </w:p>
          <w:p w14:paraId="67FD0BB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ASA na koncu prvega meseca četrtletja, na katerega se nanaša poročilo.</w:t>
            </w:r>
          </w:p>
        </w:tc>
      </w:tr>
    </w:tbl>
    <w:p w14:paraId="063748FB"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5" w:name="_Toc87975495"/>
      <w:r w:rsidRPr="003F57AB">
        <w:rPr>
          <w:rFonts w:ascii="Times New Roman" w:hAnsi="Times New Roman" w:cs="Times New Roman"/>
          <w:sz w:val="24"/>
          <w:szCs w:val="24"/>
          <w:u w:val="single"/>
        </w:rPr>
        <w:t>3.7 I 06.06 – POVPREČNA SKUPNA DNEVNA VREDNOST ZAŠČITENIH IN UPRAVLJANIH SREDSTEV (I 6.6)</w:t>
      </w:r>
      <w:bookmarkEnd w:id="65"/>
    </w:p>
    <w:p w14:paraId="11F784F3"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7975496"/>
      <w:r w:rsidRPr="003F57AB">
        <w:rPr>
          <w:rFonts w:ascii="Times New Roman" w:hAnsi="Times New Roman" w:cs="Times New Roman"/>
          <w:sz w:val="24"/>
          <w:szCs w:val="24"/>
        </w:rPr>
        <w:t>3.7.1</w:t>
      </w:r>
      <w:r w:rsidRPr="003F57AB">
        <w:rPr>
          <w:rFonts w:ascii="Times New Roman" w:hAnsi="Times New Roman" w:cs="Times New Roman"/>
        </w:rPr>
        <w:tab/>
      </w:r>
      <w:r w:rsidRPr="003F57AB">
        <w:rPr>
          <w:rFonts w:ascii="Times New Roman" w:hAnsi="Times New Roman" w:cs="Times New Roman"/>
          <w:sz w:val="24"/>
          <w:szCs w:val="24"/>
          <w:u w:val="single"/>
        </w:rPr>
        <w:t>Navodila z</w:t>
      </w:r>
      <w:r w:rsidRPr="003F57AB">
        <w:rPr>
          <w:rFonts w:ascii="Times New Roman" w:hAnsi="Times New Roman" w:cs="Times New Roman"/>
          <w:sz w:val="24"/>
          <w:szCs w:val="24"/>
          <w:u w:val="single"/>
        </w:rPr>
        <w:t>a posamezne pozicije</w:t>
      </w:r>
      <w:bookmarkEnd w:id="6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02750029" w14:textId="77777777">
        <w:tc>
          <w:tcPr>
            <w:tcW w:w="1129" w:type="dxa"/>
            <w:shd w:val="clear" w:color="auto" w:fill="D9D9D9"/>
          </w:tcPr>
          <w:p w14:paraId="5FB427D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1D69E4A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1FEEC36A" w14:textId="77777777">
        <w:tc>
          <w:tcPr>
            <w:tcW w:w="1129" w:type="dxa"/>
          </w:tcPr>
          <w:p w14:paraId="5D93C82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973A22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Zaščitena in upravljana sredstva</w:t>
            </w:r>
          </w:p>
          <w:p w14:paraId="341F511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Člen 4(1), točka 29, Uredbe (EU) 2019/2033.</w:t>
            </w:r>
          </w:p>
          <w:p w14:paraId="307679F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5(1) regulativnega tehničnega standarda za določitev metod za merjenje faktorjev K (člen 15(5), točka (a), </w:t>
            </w:r>
            <w:r w:rsidRPr="003F57AB">
              <w:rPr>
                <w:rFonts w:ascii="Times New Roman" w:hAnsi="Times New Roman" w:cs="Times New Roman"/>
                <w:bCs/>
              </w:rPr>
              <w:t>Uredbe (EU) 2019/2033).</w:t>
            </w:r>
          </w:p>
          <w:p w14:paraId="4C3171F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Sporočena vrednost je mesečno povprečje skupne dnevne vrednosti zaščitenih in upravljanih sredstev v skladu s členom 19(1) Uredbe (EU) 2019/2033.</w:t>
            </w:r>
          </w:p>
        </w:tc>
      </w:tr>
      <w:tr w:rsidR="00AE753A" w:rsidRPr="003F57AB" w14:paraId="1A25B169" w14:textId="77777777">
        <w:tc>
          <w:tcPr>
            <w:tcW w:w="1129" w:type="dxa"/>
            <w:tcBorders>
              <w:bottom w:val="single" w:sz="4" w:space="0" w:color="auto"/>
            </w:tcBorders>
          </w:tcPr>
          <w:p w14:paraId="25CB7E7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BE931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poštena vrednost finančnih instrumentov (raven 2)</w:t>
            </w:r>
          </w:p>
          <w:p w14:paraId="4C1D8B4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5(2) </w:t>
            </w:r>
            <w:r w:rsidRPr="003F57AB">
              <w:rPr>
                <w:rFonts w:ascii="Times New Roman" w:hAnsi="Times New Roman" w:cs="Times New Roman"/>
                <w:bCs/>
              </w:rPr>
              <w:t>regulativnega tehničnega standarda za določitev metod za merjenje faktorjev K (člen 15(5), točka (a), Uredbe (EU) 2019/2033).</w:t>
            </w:r>
          </w:p>
          <w:p w14:paraId="24743BC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Finančni instrumenti ravni 2, ovrednoteni v skladu z MSRP 13, 81. člen.</w:t>
            </w:r>
          </w:p>
        </w:tc>
      </w:tr>
      <w:tr w:rsidR="00AE753A" w:rsidRPr="003F57AB" w14:paraId="1609467F" w14:textId="77777777">
        <w:tc>
          <w:tcPr>
            <w:tcW w:w="1129" w:type="dxa"/>
            <w:tcBorders>
              <w:bottom w:val="single" w:sz="4" w:space="0" w:color="auto"/>
            </w:tcBorders>
          </w:tcPr>
          <w:p w14:paraId="3313CF8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0C50D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poštena vrednost finančnih instrumentov (ra</w:t>
            </w:r>
            <w:r w:rsidRPr="003F57AB">
              <w:rPr>
                <w:rFonts w:ascii="Times New Roman" w:hAnsi="Times New Roman" w:cs="Times New Roman"/>
                <w:b/>
                <w:bCs/>
                <w:u w:val="single"/>
              </w:rPr>
              <w:t>ven 3)</w:t>
            </w:r>
          </w:p>
          <w:p w14:paraId="65864529" w14:textId="77777777" w:rsidR="00AE753A" w:rsidRPr="003F57AB" w:rsidRDefault="003F57AB">
            <w:pPr>
              <w:spacing w:after="120" w:line="240" w:lineRule="auto"/>
              <w:jc w:val="both"/>
              <w:rPr>
                <w:rFonts w:ascii="Times New Roman" w:eastAsia="Times New Roman" w:hAnsi="Times New Roman" w:cs="Times New Roman"/>
                <w:bCs/>
                <w:i/>
              </w:rPr>
            </w:pPr>
            <w:r w:rsidRPr="003F57AB">
              <w:rPr>
                <w:rFonts w:ascii="Times New Roman" w:hAnsi="Times New Roman" w:cs="Times New Roman"/>
                <w:bCs/>
              </w:rPr>
              <w:t>Člen 5(1), točka (a), regulativnega tehničnega standarda za določitev metod za merjenje faktorjev K (člen 15(5), točka (a), Uredbe (EU) 2019/2033).</w:t>
            </w:r>
          </w:p>
          <w:p w14:paraId="6B1815C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Ovrednotenje na podlagi neopazovanih vložkov z uporabo najboljših razpoložljivih informacij, </w:t>
            </w:r>
            <w:r w:rsidRPr="003F57AB">
              <w:rPr>
                <w:rFonts w:ascii="Times New Roman" w:hAnsi="Times New Roman" w:cs="Times New Roman"/>
              </w:rPr>
              <w:t>MSRP 13,</w:t>
            </w:r>
            <w:r w:rsidRPr="003F57AB">
              <w:rPr>
                <w:rFonts w:ascii="Times New Roman" w:hAnsi="Times New Roman" w:cs="Times New Roman"/>
              </w:rPr>
              <w:t xml:space="preserve"> 86. člen.</w:t>
            </w:r>
          </w:p>
        </w:tc>
      </w:tr>
      <w:tr w:rsidR="00AE753A" w:rsidRPr="003F57AB" w14:paraId="7F5FC943" w14:textId="77777777">
        <w:tc>
          <w:tcPr>
            <w:tcW w:w="1129" w:type="dxa"/>
            <w:tcBorders>
              <w:top w:val="single" w:sz="4" w:space="0" w:color="auto"/>
              <w:bottom w:val="single" w:sz="4" w:space="0" w:color="auto"/>
            </w:tcBorders>
          </w:tcPr>
          <w:p w14:paraId="7CE234B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D0CAA9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sredstva, uradno prenesena na drug finančni subjekt</w:t>
            </w:r>
          </w:p>
          <w:p w14:paraId="39F85A1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19(2) Uredbe (EU) 2019/2033.</w:t>
            </w:r>
          </w:p>
          <w:p w14:paraId="07A5D16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Sporočena vrednost je mesečno povprečje skupne dnevne vrednosti sredstev, zaščita in upravljanje katerih sta bila uradno prenesena na drug finan</w:t>
            </w:r>
            <w:r w:rsidRPr="003F57AB">
              <w:rPr>
                <w:rFonts w:ascii="Times New Roman" w:hAnsi="Times New Roman" w:cs="Times New Roman"/>
                <w:bCs/>
              </w:rPr>
              <w:t>čni subjekt, v skladu s členom 19(1) Uredbe (EU) 2019/2033.</w:t>
            </w:r>
          </w:p>
        </w:tc>
      </w:tr>
      <w:tr w:rsidR="00AE753A" w:rsidRPr="003F57AB" w14:paraId="36F26E8B" w14:textId="77777777">
        <w:tc>
          <w:tcPr>
            <w:tcW w:w="1129" w:type="dxa"/>
            <w:tcBorders>
              <w:top w:val="single" w:sz="4" w:space="0" w:color="auto"/>
            </w:tcBorders>
          </w:tcPr>
          <w:p w14:paraId="18B915E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F8A6E2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sredstva drugega finančnega subjekta, ki je uradno prenesel na investicijsko podjetje</w:t>
            </w:r>
          </w:p>
          <w:p w14:paraId="4CB188B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19(2) Uredbe (EU) 2019/2033.</w:t>
            </w:r>
          </w:p>
          <w:p w14:paraId="51D6C28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Sporočena vrednost je mesečno povprečje skupne dnevne </w:t>
            </w:r>
            <w:r w:rsidRPr="003F57AB">
              <w:rPr>
                <w:rFonts w:ascii="Times New Roman" w:hAnsi="Times New Roman" w:cs="Times New Roman"/>
                <w:bCs/>
              </w:rPr>
              <w:t>vrednosti sredstev drugega finančnega subjekta, ki je zaščito in upravljanje uradno prenesel na investicijsko podjetje, v skladu s členom 19(1) Uredbe (EU) 2019/2033.</w:t>
            </w:r>
          </w:p>
        </w:tc>
      </w:tr>
    </w:tbl>
    <w:p w14:paraId="0D87A3BD" w14:textId="77777777" w:rsidR="00AE753A" w:rsidRPr="003F57AB" w:rsidRDefault="00AE753A">
      <w:pPr>
        <w:rPr>
          <w:rFonts w:ascii="Times New Roman"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72B61FA8" w14:textId="77777777">
        <w:tc>
          <w:tcPr>
            <w:tcW w:w="1129" w:type="dxa"/>
            <w:shd w:val="clear" w:color="auto" w:fill="D9D9D9"/>
          </w:tcPr>
          <w:p w14:paraId="27A149F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719EC34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589034F7" w14:textId="77777777">
        <w:tc>
          <w:tcPr>
            <w:tcW w:w="1129" w:type="dxa"/>
          </w:tcPr>
          <w:p w14:paraId="4FE957F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0010–0080</w:t>
            </w:r>
          </w:p>
        </w:tc>
        <w:tc>
          <w:tcPr>
            <w:tcW w:w="7620" w:type="dxa"/>
          </w:tcPr>
          <w:p w14:paraId="45E0297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 xml:space="preserve">Mesečna povprečja skupnih dnevnih </w:t>
            </w:r>
            <w:r w:rsidRPr="003F57AB">
              <w:rPr>
                <w:rFonts w:ascii="Times New Roman" w:hAnsi="Times New Roman" w:cs="Times New Roman"/>
                <w:b/>
                <w:bCs/>
                <w:u w:val="single"/>
              </w:rPr>
              <w:t>vrednosti zaščitenih in upravljanih sredstev</w:t>
            </w:r>
          </w:p>
          <w:p w14:paraId="43A2D34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Investicijska podjetja vsak mesec poročajo dnevno povprečno skupno dnevno vrednost zaščitenih in upravljanih sredstev, merjeno na koncu vsakega poslovnega dne, v skladu s členom 19(1) Uredbe (EU) </w:t>
            </w:r>
            <w:r w:rsidRPr="003F57AB">
              <w:rPr>
                <w:rFonts w:ascii="Times New Roman" w:hAnsi="Times New Roman" w:cs="Times New Roman"/>
                <w:bCs/>
              </w:rPr>
              <w:t>2019/2033.</w:t>
            </w:r>
          </w:p>
        </w:tc>
      </w:tr>
    </w:tbl>
    <w:p w14:paraId="2F4CD055"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7975497"/>
      <w:r w:rsidRPr="003F57AB">
        <w:rPr>
          <w:rFonts w:ascii="Times New Roman" w:hAnsi="Times New Roman" w:cs="Times New Roman"/>
          <w:sz w:val="24"/>
          <w:szCs w:val="24"/>
          <w:u w:val="single"/>
        </w:rPr>
        <w:t>3.8 I 06.07 – OBRAVNAVANA NAROČILA STRANK – DODATNE PODROBNOSTI (I 6.7)</w:t>
      </w:r>
      <w:bookmarkEnd w:id="67"/>
    </w:p>
    <w:p w14:paraId="30E1163C" w14:textId="77777777" w:rsidR="00AE753A" w:rsidRPr="003F57AB" w:rsidRDefault="003F57AB">
      <w:pPr>
        <w:keepNext/>
        <w:spacing w:before="240" w:after="240" w:line="240" w:lineRule="auto"/>
        <w:ind w:left="357" w:hanging="215"/>
        <w:jc w:val="both"/>
        <w:outlineLvl w:val="1"/>
        <w:rPr>
          <w:rFonts w:ascii="Times New Roman" w:hAnsi="Times New Roman" w:cs="Times New Roman"/>
        </w:rPr>
      </w:pPr>
      <w:bookmarkStart w:id="68" w:name="_Toc87975498"/>
      <w:r w:rsidRPr="003F57AB">
        <w:rPr>
          <w:rFonts w:ascii="Times New Roman" w:hAnsi="Times New Roman" w:cs="Times New Roman"/>
          <w:sz w:val="24"/>
          <w:szCs w:val="24"/>
        </w:rPr>
        <w:t>3.8.1</w:t>
      </w:r>
      <w:r w:rsidRPr="003F57AB">
        <w:rPr>
          <w:rFonts w:ascii="Times New Roman" w:hAnsi="Times New Roman" w:cs="Times New Roman"/>
        </w:rPr>
        <w:tab/>
      </w:r>
      <w:r w:rsidRPr="003F57AB">
        <w:rPr>
          <w:rFonts w:ascii="Times New Roman" w:hAnsi="Times New Roman" w:cs="Times New Roman"/>
          <w:sz w:val="24"/>
          <w:szCs w:val="24"/>
          <w:u w:val="single"/>
        </w:rPr>
        <w:t>Navodila za posamezne pozicije</w:t>
      </w:r>
      <w:bookmarkEnd w:id="6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64E5D095" w14:textId="77777777">
        <w:tc>
          <w:tcPr>
            <w:tcW w:w="1129" w:type="dxa"/>
            <w:shd w:val="clear" w:color="auto" w:fill="D9D9D9"/>
          </w:tcPr>
          <w:p w14:paraId="461ECEF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26F6CB6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7271E29E" w14:textId="77777777">
        <w:tc>
          <w:tcPr>
            <w:tcW w:w="1129" w:type="dxa"/>
          </w:tcPr>
          <w:p w14:paraId="5F7FDDB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76A6DE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COH – denarni posli (povprečni zneski)</w:t>
            </w:r>
          </w:p>
          <w:p w14:paraId="59082E3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Vrednost „COH – denarni posli“, kot so </w:t>
            </w:r>
            <w:r w:rsidRPr="003F57AB">
              <w:rPr>
                <w:rFonts w:ascii="Times New Roman" w:hAnsi="Times New Roman" w:cs="Times New Roman"/>
                <w:bCs/>
              </w:rPr>
              <w:t>opredeljena v členu 4(1), točka 30, Uredbe (EU) 2019/2033 in merjena v skladu s členom 20(1) Uredbe (EU) 2019/2033.</w:t>
            </w:r>
          </w:p>
          <w:p w14:paraId="29E2876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Investicijska podjetja poročajo aritmetično sredino zneskov „COH – denarni posli“ za preteklih šest mesecev, razen zadnjih treh mesecev, v s</w:t>
            </w:r>
            <w:r w:rsidRPr="003F57AB">
              <w:rPr>
                <w:rFonts w:ascii="Times New Roman" w:hAnsi="Times New Roman" w:cs="Times New Roman"/>
                <w:bCs/>
              </w:rPr>
              <w:t>kladu s členom 20(1), prvi pododstavek, Uredbe (EU) 2019/2033, ki se izmerijo v skladu s členom 20(2), točka (a), Uredbe (EU) 2019/2033.</w:t>
            </w:r>
          </w:p>
        </w:tc>
      </w:tr>
      <w:tr w:rsidR="00AE753A" w:rsidRPr="003F57AB" w14:paraId="6E9A607D" w14:textId="77777777">
        <w:tc>
          <w:tcPr>
            <w:tcW w:w="1129" w:type="dxa"/>
          </w:tcPr>
          <w:p w14:paraId="160FC3E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5DC571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izvrševanje naročil strank</w:t>
            </w:r>
          </w:p>
          <w:p w14:paraId="210671E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COH za denarne posle, v zvezi s katerimi investicijsko podjetje izvaja storit</w:t>
            </w:r>
            <w:r w:rsidRPr="003F57AB">
              <w:rPr>
                <w:rFonts w:ascii="Times New Roman" w:hAnsi="Times New Roman" w:cs="Times New Roman"/>
                <w:bCs/>
              </w:rPr>
              <w:t>ve izvrševanja naročil strank v imenu stranke, kot so opredeljene v členu 4(1), točka 5, Direktive 2014/65/EU.</w:t>
            </w:r>
          </w:p>
          <w:p w14:paraId="0F4BEB9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Poroča se znesek aritmetične sredine vrednosti COH za preteklih šest mesecev, razen zadnjih treh mesecev, v skladu s členom 20(1), prvi pododstav</w:t>
            </w:r>
            <w:r w:rsidRPr="003F57AB">
              <w:rPr>
                <w:rFonts w:ascii="Times New Roman" w:hAnsi="Times New Roman" w:cs="Times New Roman"/>
                <w:bCs/>
              </w:rPr>
              <w:t>ek, Uredbe (EU) 2019/2033.</w:t>
            </w:r>
          </w:p>
        </w:tc>
      </w:tr>
      <w:tr w:rsidR="00AE753A" w:rsidRPr="003F57AB" w14:paraId="3091B3AF" w14:textId="77777777">
        <w:tc>
          <w:tcPr>
            <w:tcW w:w="1129" w:type="dxa"/>
          </w:tcPr>
          <w:p w14:paraId="33748AA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8F9050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sprejemanje in posredovanje naročil strank</w:t>
            </w:r>
          </w:p>
          <w:p w14:paraId="244208B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COH za denarne posle, v zvezi s katerimi investicijsko podjetje izvaja storitve sprejemanja in posredovanja naročil strank.</w:t>
            </w:r>
          </w:p>
          <w:p w14:paraId="145589BC"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bCs/>
              </w:rPr>
              <w:t xml:space="preserve">Poroča se znesek aritmetične sredine </w:t>
            </w:r>
            <w:r w:rsidRPr="003F57AB">
              <w:rPr>
                <w:rFonts w:ascii="Times New Roman" w:hAnsi="Times New Roman" w:cs="Times New Roman"/>
                <w:bCs/>
              </w:rPr>
              <w:t>vrednosti COH za preteklih šest mesecev, razen zadnjih treh mesecev, v skladu s členom 20(1), prvi pododstavek, Uredbe (EU) 2019/2033.</w:t>
            </w:r>
          </w:p>
        </w:tc>
      </w:tr>
      <w:tr w:rsidR="00AE753A" w:rsidRPr="003F57AB" w14:paraId="5544EAB1" w14:textId="77777777">
        <w:tc>
          <w:tcPr>
            <w:tcW w:w="1129" w:type="dxa"/>
          </w:tcPr>
          <w:p w14:paraId="60A717D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4B6A9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COH – izvedeni finančni instrumenti (povprečni zneski)</w:t>
            </w:r>
          </w:p>
          <w:p w14:paraId="39447BD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4(1), točka 30, Uredbe (EU) 2019/2033.</w:t>
            </w:r>
          </w:p>
          <w:p w14:paraId="134EE8C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Investicijska po</w:t>
            </w:r>
            <w:r w:rsidRPr="003F57AB">
              <w:rPr>
                <w:rFonts w:ascii="Times New Roman" w:hAnsi="Times New Roman" w:cs="Times New Roman"/>
                <w:bCs/>
              </w:rPr>
              <w:t>djetja poročajo aritmetično sredino zneskov „COH – izvedeni finančni instrumenti“ za preteklih šest mesecev, razen zadnjih treh mesecev, v skladu s členom 20(1), prvi pododstavek, Uredbe (EU) 2019/2033, ki se izmerijo v skladu s členom 20(2), točka (b), Ur</w:t>
            </w:r>
            <w:r w:rsidRPr="003F57AB">
              <w:rPr>
                <w:rFonts w:ascii="Times New Roman" w:hAnsi="Times New Roman" w:cs="Times New Roman"/>
                <w:bCs/>
              </w:rPr>
              <w:t>edbe (EU) 2019/2033.</w:t>
            </w:r>
          </w:p>
        </w:tc>
      </w:tr>
      <w:tr w:rsidR="00AE753A" w:rsidRPr="003F57AB" w14:paraId="60420245" w14:textId="77777777">
        <w:tc>
          <w:tcPr>
            <w:tcW w:w="1129" w:type="dxa"/>
          </w:tcPr>
          <w:p w14:paraId="4FEC5E5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EB375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izvrševanje naročil strank</w:t>
            </w:r>
          </w:p>
          <w:p w14:paraId="0FB716B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COH za posle z izvedenimi finančnimi instrumenti, v zvezi s katerimi investicijsko podjetje izvaja storitve izvrševanja naročil strank v imenu stranke, kot so opredeljene v členu 4(1), </w:t>
            </w:r>
            <w:r w:rsidRPr="003F57AB">
              <w:rPr>
                <w:rFonts w:ascii="Times New Roman" w:hAnsi="Times New Roman" w:cs="Times New Roman"/>
                <w:bCs/>
              </w:rPr>
              <w:t>točka 5, Direktive 2014/65/EU.</w:t>
            </w:r>
          </w:p>
          <w:p w14:paraId="7DEF4BF5"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bCs/>
              </w:rPr>
              <w:t>Poroča se znesek aritmetične sredine vrednosti COH za preteklih šest mesecev, razen zadnjih treh mesecev, v skladu s členom 20(1), prvi pododstavek, Uredbe (EU) 2019/2033.</w:t>
            </w:r>
          </w:p>
        </w:tc>
      </w:tr>
      <w:tr w:rsidR="00AE753A" w:rsidRPr="003F57AB" w14:paraId="4091E402" w14:textId="77777777">
        <w:tc>
          <w:tcPr>
            <w:tcW w:w="1129" w:type="dxa"/>
          </w:tcPr>
          <w:p w14:paraId="5F5DEC1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3795E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Od tega: sprejemanje in </w:t>
            </w:r>
            <w:r w:rsidRPr="003F57AB">
              <w:rPr>
                <w:rFonts w:ascii="Times New Roman" w:hAnsi="Times New Roman" w:cs="Times New Roman"/>
                <w:b/>
                <w:bCs/>
                <w:u w:val="single"/>
              </w:rPr>
              <w:t>posredovanje naročil strank</w:t>
            </w:r>
          </w:p>
          <w:p w14:paraId="3C7DE34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COH za posle z izvedenimi finančnimi instrumenti, v zvezi s katerimi investicijsko podjetje izvaja storitve sprejemanja in posredovanja naročil strank.</w:t>
            </w:r>
          </w:p>
          <w:p w14:paraId="44851560"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bCs/>
              </w:rPr>
              <w:t>Poroča se znesek aritmetične sredine vrednosti COH za preteklih šest mesecev</w:t>
            </w:r>
            <w:r w:rsidRPr="003F57AB">
              <w:rPr>
                <w:rFonts w:ascii="Times New Roman" w:hAnsi="Times New Roman" w:cs="Times New Roman"/>
                <w:bCs/>
              </w:rPr>
              <w:t>, razen zadnjih treh mesecev, v skladu s členom 20(1), prvi pododstavek, Uredbe (EU) 2019/2033.</w:t>
            </w:r>
          </w:p>
        </w:tc>
      </w:tr>
    </w:tbl>
    <w:p w14:paraId="37E4FC4A" w14:textId="77777777" w:rsidR="00AE753A" w:rsidRPr="003F57AB" w:rsidRDefault="00AE753A">
      <w:pPr>
        <w:rPr>
          <w:rFonts w:ascii="Times New Roman"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6EC59D18" w14:textId="77777777">
        <w:tc>
          <w:tcPr>
            <w:tcW w:w="1129" w:type="dxa"/>
            <w:shd w:val="clear" w:color="auto" w:fill="D9D9D9"/>
          </w:tcPr>
          <w:p w14:paraId="66AF7B5F"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szCs w:val="24"/>
              </w:rPr>
              <w:t>Stolpci</w:t>
            </w:r>
          </w:p>
        </w:tc>
        <w:tc>
          <w:tcPr>
            <w:tcW w:w="7620" w:type="dxa"/>
            <w:shd w:val="clear" w:color="auto" w:fill="D9D9D9"/>
          </w:tcPr>
          <w:p w14:paraId="751CD934"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szCs w:val="24"/>
              </w:rPr>
              <w:t>Pravna podlaga in navodila</w:t>
            </w:r>
          </w:p>
        </w:tc>
      </w:tr>
      <w:tr w:rsidR="00AE753A" w:rsidRPr="003F57AB" w14:paraId="4A86BDA0" w14:textId="77777777">
        <w:tc>
          <w:tcPr>
            <w:tcW w:w="1129" w:type="dxa"/>
          </w:tcPr>
          <w:p w14:paraId="2E288FA4"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0010</w:t>
            </w:r>
          </w:p>
        </w:tc>
        <w:tc>
          <w:tcPr>
            <w:tcW w:w="7620" w:type="dxa"/>
          </w:tcPr>
          <w:p w14:paraId="651B4C09"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Znesek faktorja – mesec t</w:t>
            </w:r>
          </w:p>
          <w:p w14:paraId="6340DDB8"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 xml:space="preserve">Vrednost COH na koncu tretjega (tj. zadnjega) meseca četrtletja, na katerega se nanaša poročilo. </w:t>
            </w:r>
          </w:p>
        </w:tc>
      </w:tr>
      <w:tr w:rsidR="00AE753A" w:rsidRPr="003F57AB" w14:paraId="5F6138D5" w14:textId="77777777">
        <w:trPr>
          <w:trHeight w:val="1051"/>
        </w:trPr>
        <w:tc>
          <w:tcPr>
            <w:tcW w:w="1129" w:type="dxa"/>
          </w:tcPr>
          <w:p w14:paraId="2E257E8A"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lastRenderedPageBreak/>
              <w:t>0020</w:t>
            </w:r>
          </w:p>
        </w:tc>
        <w:tc>
          <w:tcPr>
            <w:tcW w:w="7620" w:type="dxa"/>
          </w:tcPr>
          <w:p w14:paraId="6F743EAF"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Znesek faktorja – mesec t–1</w:t>
            </w:r>
          </w:p>
          <w:p w14:paraId="5995B583"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Cs/>
                <w:szCs w:val="24"/>
              </w:rPr>
              <w:t>Vrednost COH na koncu drugega meseca četrtletja, na katerega se nanaša poročilo.</w:t>
            </w:r>
          </w:p>
        </w:tc>
      </w:tr>
      <w:tr w:rsidR="00AE753A" w:rsidRPr="003F57AB" w14:paraId="749E84CA" w14:textId="77777777">
        <w:tc>
          <w:tcPr>
            <w:tcW w:w="1129" w:type="dxa"/>
          </w:tcPr>
          <w:p w14:paraId="2FCE1FD7"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0030</w:t>
            </w:r>
          </w:p>
        </w:tc>
        <w:tc>
          <w:tcPr>
            <w:tcW w:w="7620" w:type="dxa"/>
          </w:tcPr>
          <w:p w14:paraId="11A85A7E"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Znesek faktorja – mesec t-2</w:t>
            </w:r>
          </w:p>
          <w:p w14:paraId="02A45005"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Cs/>
                <w:szCs w:val="24"/>
              </w:rPr>
              <w:t>Vrednost COH na koncu prvega meseca četrtletja, na katerega se nanaša poročilo.</w:t>
            </w:r>
          </w:p>
        </w:tc>
      </w:tr>
    </w:tbl>
    <w:p w14:paraId="00592357"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9" w:name="_Toc87975499"/>
      <w:r w:rsidRPr="003F57AB">
        <w:rPr>
          <w:rFonts w:ascii="Times New Roman" w:hAnsi="Times New Roman" w:cs="Times New Roman"/>
          <w:sz w:val="24"/>
          <w:szCs w:val="24"/>
          <w:u w:val="single"/>
        </w:rPr>
        <w:t>3.9 I 06.08 – POVPREČNA SKUPNA DNEVNA VREDNOST OBRAVNAVANIH NAROČIL STRANK (I 6.8)</w:t>
      </w:r>
      <w:bookmarkEnd w:id="69"/>
    </w:p>
    <w:p w14:paraId="76AD5EA6"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7975500"/>
      <w:r w:rsidRPr="003F57AB">
        <w:rPr>
          <w:rFonts w:ascii="Times New Roman" w:hAnsi="Times New Roman" w:cs="Times New Roman"/>
          <w:sz w:val="24"/>
          <w:szCs w:val="24"/>
        </w:rPr>
        <w:t>3.9.1</w:t>
      </w:r>
      <w:r w:rsidRPr="003F57AB">
        <w:rPr>
          <w:rFonts w:ascii="Times New Roman" w:hAnsi="Times New Roman" w:cs="Times New Roman"/>
        </w:rPr>
        <w:tab/>
      </w:r>
      <w:r w:rsidRPr="003F57AB">
        <w:rPr>
          <w:rFonts w:ascii="Times New Roman" w:hAnsi="Times New Roman" w:cs="Times New Roman"/>
          <w:sz w:val="24"/>
          <w:szCs w:val="24"/>
          <w:u w:val="single"/>
        </w:rPr>
        <w:t>Navodila za posamezne pozicije</w:t>
      </w:r>
      <w:bookmarkEnd w:id="7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26763544" w14:textId="77777777">
        <w:tc>
          <w:tcPr>
            <w:tcW w:w="1129" w:type="dxa"/>
            <w:shd w:val="clear" w:color="auto" w:fill="D9D9D9"/>
          </w:tcPr>
          <w:p w14:paraId="7415004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64B8F40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318D2404" w14:textId="77777777">
        <w:tc>
          <w:tcPr>
            <w:tcW w:w="1129" w:type="dxa"/>
          </w:tcPr>
          <w:p w14:paraId="1FE6363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DB9AA0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Skupna </w:t>
            </w:r>
            <w:r w:rsidRPr="003F57AB">
              <w:rPr>
                <w:rFonts w:ascii="Times New Roman" w:hAnsi="Times New Roman" w:cs="Times New Roman"/>
                <w:b/>
                <w:bCs/>
                <w:u w:val="single"/>
              </w:rPr>
              <w:t>dnevna vrednost obravnavanih naročil strank – denarni posli</w:t>
            </w:r>
          </w:p>
          <w:p w14:paraId="36BC992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4(1), točka 30, Uredbe (EU) 2019/2033.</w:t>
            </w:r>
          </w:p>
          <w:p w14:paraId="7C4D038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Povprečna skupna dnevna vrednost obravnavnih naročil strank (denarni posli) za zadevni mesec, kot je navedeno v členu 20(1) Uredbe (EU) 2019/2033, ki se</w:t>
            </w:r>
            <w:r w:rsidRPr="003F57AB">
              <w:rPr>
                <w:rFonts w:ascii="Times New Roman" w:hAnsi="Times New Roman" w:cs="Times New Roman"/>
                <w:bCs/>
              </w:rPr>
              <w:t xml:space="preserve"> izmerijo v skladu s členom 20(2), točka (a), Uredbe (EU) 2019/2033.</w:t>
            </w:r>
          </w:p>
        </w:tc>
      </w:tr>
      <w:tr w:rsidR="00AE753A" w:rsidRPr="003F57AB" w14:paraId="4D1D5ADE" w14:textId="77777777">
        <w:tc>
          <w:tcPr>
            <w:tcW w:w="1129" w:type="dxa"/>
          </w:tcPr>
          <w:p w14:paraId="0EAB7C8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D42C8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izvrševanje naročil strank</w:t>
            </w:r>
          </w:p>
          <w:p w14:paraId="5DBD958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Povprečna skupna dnevna vrednost obravnavnih naročil strank za denarne posle, v zvezi s katerimi investicijsko podjetje izvaja storitve </w:t>
            </w:r>
            <w:r w:rsidRPr="003F57AB">
              <w:rPr>
                <w:rFonts w:ascii="Times New Roman" w:hAnsi="Times New Roman" w:cs="Times New Roman"/>
                <w:bCs/>
              </w:rPr>
              <w:t>izvrševanja naročil strank v imenu stranke, kot so opredeljene v členu 4(1), točka 5, Direktive 2014/65/EU.</w:t>
            </w:r>
          </w:p>
        </w:tc>
      </w:tr>
      <w:tr w:rsidR="00AE753A" w:rsidRPr="003F57AB" w14:paraId="6C76E65F" w14:textId="77777777">
        <w:tc>
          <w:tcPr>
            <w:tcW w:w="1129" w:type="dxa"/>
          </w:tcPr>
          <w:p w14:paraId="7A33CAC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F7A6E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sprejemanje in posredovanje naročil strank</w:t>
            </w:r>
          </w:p>
          <w:p w14:paraId="4ACB187A"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bCs/>
              </w:rPr>
              <w:t>Povprečna skupna dnevna vrednost obravnavnih naročil strank za denarne posle, v zvezi s ka</w:t>
            </w:r>
            <w:r w:rsidRPr="003F57AB">
              <w:rPr>
                <w:rFonts w:ascii="Times New Roman" w:hAnsi="Times New Roman" w:cs="Times New Roman"/>
                <w:bCs/>
              </w:rPr>
              <w:t>terimi investicijsko podjetje izvaja storitve sprejemanja in posredovanja naročil strank.</w:t>
            </w:r>
          </w:p>
        </w:tc>
      </w:tr>
      <w:tr w:rsidR="00AE753A" w:rsidRPr="003F57AB" w14:paraId="5CE0F2EA" w14:textId="77777777">
        <w:tc>
          <w:tcPr>
            <w:tcW w:w="1129" w:type="dxa"/>
          </w:tcPr>
          <w:p w14:paraId="2870B37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A2885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Skupna dnevna vrednost obravnavanih naročil strank – izvedeni finančni instrumenti</w:t>
            </w:r>
          </w:p>
          <w:p w14:paraId="2454775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4(1), točka 30, Uredbe (EU) 2019/2033.</w:t>
            </w:r>
          </w:p>
          <w:p w14:paraId="5772743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Povprečna skupna dnevna vrednost </w:t>
            </w:r>
            <w:r w:rsidRPr="003F57AB">
              <w:rPr>
                <w:rFonts w:ascii="Times New Roman" w:hAnsi="Times New Roman" w:cs="Times New Roman"/>
                <w:bCs/>
              </w:rPr>
              <w:t>obravnavnih naročil strank (izvedeni finančni instrumenti) za zadevni mesec, kot je navedeno v členu 20(1) Uredbe (EU) 2019/2033, ki se izmerijo v skladu s členom 20(2), točka (b), Uredbe (EU) 2019/2033.</w:t>
            </w:r>
          </w:p>
        </w:tc>
      </w:tr>
      <w:tr w:rsidR="00AE753A" w:rsidRPr="003F57AB" w14:paraId="7535111C" w14:textId="77777777">
        <w:tc>
          <w:tcPr>
            <w:tcW w:w="1129" w:type="dxa"/>
          </w:tcPr>
          <w:p w14:paraId="3CD3D6C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E4172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izvrševanje naročil strank</w:t>
            </w:r>
          </w:p>
          <w:p w14:paraId="3A58A169"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bCs/>
              </w:rPr>
              <w:t xml:space="preserve">Povprečna </w:t>
            </w:r>
            <w:r w:rsidRPr="003F57AB">
              <w:rPr>
                <w:rFonts w:ascii="Times New Roman" w:hAnsi="Times New Roman" w:cs="Times New Roman"/>
                <w:bCs/>
              </w:rPr>
              <w:t>skupna dnevna vrednost obravnavnih naročil strank za posle z izvedenimi finančnimi instrumenti, v zvezi s katerimi investicijsko podjetje izvaja storitve izvrševanja naročil strank v imenu stranke, kot so opredeljene v členu 4(1), točka 5, Direktive 2014/6</w:t>
            </w:r>
            <w:r w:rsidRPr="003F57AB">
              <w:rPr>
                <w:rFonts w:ascii="Times New Roman" w:hAnsi="Times New Roman" w:cs="Times New Roman"/>
                <w:bCs/>
              </w:rPr>
              <w:t>5/EU.</w:t>
            </w:r>
          </w:p>
        </w:tc>
      </w:tr>
      <w:tr w:rsidR="00AE753A" w:rsidRPr="003F57AB" w14:paraId="715D9418" w14:textId="77777777">
        <w:tc>
          <w:tcPr>
            <w:tcW w:w="1129" w:type="dxa"/>
          </w:tcPr>
          <w:p w14:paraId="0FDE427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A8298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sprejemanje in posredovanje naročil strank</w:t>
            </w:r>
          </w:p>
          <w:p w14:paraId="3A4E8553"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bCs/>
              </w:rPr>
              <w:t xml:space="preserve">Povprečna skupna dnevna vrednost obravnavnih naročil strank za posle z izvedenimi finančnimi instrumenti, v zvezi s katerimi investicijsko podjetje izvaja storitve sprejemanja in </w:t>
            </w:r>
            <w:r w:rsidRPr="003F57AB">
              <w:rPr>
                <w:rFonts w:ascii="Times New Roman" w:hAnsi="Times New Roman" w:cs="Times New Roman"/>
                <w:bCs/>
              </w:rPr>
              <w:t>posredovanja naročil strank.</w:t>
            </w:r>
          </w:p>
        </w:tc>
      </w:tr>
    </w:tbl>
    <w:p w14:paraId="2E075FD8" w14:textId="77777777" w:rsidR="00AE753A" w:rsidRPr="003F57AB" w:rsidRDefault="00AE753A">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009B780E" w14:textId="77777777">
        <w:tc>
          <w:tcPr>
            <w:tcW w:w="1129" w:type="dxa"/>
            <w:shd w:val="clear" w:color="auto" w:fill="D9D9D9"/>
          </w:tcPr>
          <w:p w14:paraId="6BF4B68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260A9FA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1CBDF407" w14:textId="77777777">
        <w:tc>
          <w:tcPr>
            <w:tcW w:w="1129" w:type="dxa"/>
          </w:tcPr>
          <w:p w14:paraId="67594EE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0010–0050</w:t>
            </w:r>
          </w:p>
        </w:tc>
        <w:tc>
          <w:tcPr>
            <w:tcW w:w="7620" w:type="dxa"/>
          </w:tcPr>
          <w:p w14:paraId="6834FF5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Mesečna povprečja skupnih dnevnih vrednosti obravnavanih naročil strank</w:t>
            </w:r>
          </w:p>
          <w:p w14:paraId="543552F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Investicijska podjetja vsak mesec poročajo povprečno mesečno vrednost skupnih dnevnih vrednosti </w:t>
            </w:r>
            <w:r w:rsidRPr="003F57AB">
              <w:rPr>
                <w:rFonts w:ascii="Times New Roman" w:hAnsi="Times New Roman" w:cs="Times New Roman"/>
                <w:bCs/>
              </w:rPr>
              <w:t>obravnavanih naročil strank v skladu s členom 20(1).</w:t>
            </w:r>
          </w:p>
        </w:tc>
      </w:tr>
    </w:tbl>
    <w:p w14:paraId="3E477FE4"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7975501"/>
      <w:r w:rsidRPr="003F57AB">
        <w:rPr>
          <w:rFonts w:ascii="Times New Roman" w:hAnsi="Times New Roman" w:cs="Times New Roman"/>
          <w:sz w:val="24"/>
          <w:szCs w:val="24"/>
          <w:u w:val="single"/>
        </w:rPr>
        <w:t>3.10 I 06.09 – K-NPR – DODATNE PODROBNOSTI (I 6.9)</w:t>
      </w:r>
      <w:bookmarkEnd w:id="71"/>
    </w:p>
    <w:p w14:paraId="58023561" w14:textId="77777777" w:rsidR="00AE753A" w:rsidRPr="003F57AB" w:rsidRDefault="003F57AB">
      <w:pPr>
        <w:keepNext/>
        <w:spacing w:before="240" w:after="240" w:line="240" w:lineRule="auto"/>
        <w:ind w:left="357" w:hanging="215"/>
        <w:jc w:val="both"/>
        <w:outlineLvl w:val="1"/>
        <w:rPr>
          <w:rFonts w:ascii="Times New Roman" w:hAnsi="Times New Roman" w:cs="Times New Roman"/>
        </w:rPr>
      </w:pPr>
      <w:bookmarkStart w:id="72" w:name="_Toc87975502"/>
      <w:r w:rsidRPr="003F57AB">
        <w:rPr>
          <w:rFonts w:ascii="Times New Roman" w:hAnsi="Times New Roman" w:cs="Times New Roman"/>
          <w:sz w:val="24"/>
          <w:szCs w:val="24"/>
        </w:rPr>
        <w:t>3.10.1</w:t>
      </w:r>
      <w:r w:rsidRPr="003F57AB">
        <w:rPr>
          <w:rFonts w:ascii="Times New Roman" w:hAnsi="Times New Roman" w:cs="Times New Roman"/>
        </w:rPr>
        <w:tab/>
      </w:r>
      <w:r w:rsidRPr="003F57AB">
        <w:rPr>
          <w:rFonts w:ascii="Times New Roman" w:hAnsi="Times New Roman" w:cs="Times New Roman"/>
          <w:sz w:val="24"/>
          <w:szCs w:val="24"/>
          <w:u w:val="single"/>
        </w:rPr>
        <w:t>Navodila za posamezne pozicije</w:t>
      </w:r>
      <w:bookmarkEnd w:id="7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4EB3EF0C" w14:textId="77777777">
        <w:tc>
          <w:tcPr>
            <w:tcW w:w="1129" w:type="dxa"/>
            <w:shd w:val="clear" w:color="auto" w:fill="D9D9D9"/>
          </w:tcPr>
          <w:p w14:paraId="67C6A52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4AB9A32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02B943F9" w14:textId="77777777">
        <w:tc>
          <w:tcPr>
            <w:tcW w:w="1129" w:type="dxa"/>
          </w:tcPr>
          <w:p w14:paraId="67E672D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ED0163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Skupaj standardizirani pristop</w:t>
            </w:r>
          </w:p>
          <w:p w14:paraId="5FF0343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22(a) Uredbe (EU) </w:t>
            </w:r>
            <w:r w:rsidRPr="003F57AB">
              <w:rPr>
                <w:rFonts w:ascii="Times New Roman" w:hAnsi="Times New Roman" w:cs="Times New Roman"/>
                <w:bCs/>
              </w:rPr>
              <w:t>2019/2033.</w:t>
            </w:r>
          </w:p>
          <w:p w14:paraId="1D0FD05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Pozicije, za katere je kapitalska zahteva določena v skladu s poglavji 2, 3 ali 4 naslova IV dela 3 Uredbe (EU) št. 575/2013.</w:t>
            </w:r>
          </w:p>
        </w:tc>
      </w:tr>
      <w:tr w:rsidR="00AE753A" w:rsidRPr="003F57AB" w14:paraId="0E84E29B" w14:textId="77777777">
        <w:tc>
          <w:tcPr>
            <w:tcW w:w="1129" w:type="dxa"/>
          </w:tcPr>
          <w:p w14:paraId="1871662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169811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Pozicijsko tveganje</w:t>
            </w:r>
          </w:p>
          <w:p w14:paraId="578A882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22(a) in člen 21(3) Uredbe (EU) 2019/2033.</w:t>
            </w:r>
          </w:p>
          <w:p w14:paraId="789530F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Pozicije iz trgovalne knjige, za katere je </w:t>
            </w:r>
            <w:r w:rsidRPr="003F57AB">
              <w:rPr>
                <w:rFonts w:ascii="Times New Roman" w:hAnsi="Times New Roman" w:cs="Times New Roman"/>
                <w:bCs/>
              </w:rPr>
              <w:t>kapitalska zahteva za pozicijsko tveganje določena v skladu s poglavjem 2 naslova IV dela 3 Uredbe (EU) št. 575/2013.</w:t>
            </w:r>
          </w:p>
        </w:tc>
      </w:tr>
      <w:tr w:rsidR="00AE753A" w:rsidRPr="003F57AB" w14:paraId="4493B1F3" w14:textId="77777777">
        <w:tc>
          <w:tcPr>
            <w:tcW w:w="1129" w:type="dxa"/>
          </w:tcPr>
          <w:p w14:paraId="1AF60A7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FCF70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Lastniški instrumenti</w:t>
            </w:r>
          </w:p>
          <w:p w14:paraId="629DF2C1"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bCs/>
              </w:rPr>
              <w:t>Člen 22(a) in člen 21(3) Uredbe (EU) 2019/2033.</w:t>
            </w:r>
          </w:p>
          <w:p w14:paraId="6076B1E6" w14:textId="77777777" w:rsidR="00AE753A" w:rsidRPr="003F57AB" w:rsidRDefault="003F57AB">
            <w:pPr>
              <w:pStyle w:val="Default"/>
              <w:jc w:val="both"/>
              <w:rPr>
                <w:sz w:val="22"/>
                <w:szCs w:val="22"/>
              </w:rPr>
            </w:pPr>
            <w:r w:rsidRPr="003F57AB">
              <w:rPr>
                <w:sz w:val="22"/>
                <w:szCs w:val="22"/>
              </w:rPr>
              <w:t xml:space="preserve">Pozicije iz trgovalne knjige v lastniških instrumentih, za katere je kapitalska zahteva določena v skladu z oddelkom 3 poglavja 2 naslova IV dela 3 Uredbe (EU) št. 575/2013. </w:t>
            </w:r>
          </w:p>
        </w:tc>
      </w:tr>
      <w:tr w:rsidR="00AE753A" w:rsidRPr="003F57AB" w14:paraId="3CCCCEDF" w14:textId="77777777">
        <w:tc>
          <w:tcPr>
            <w:tcW w:w="1129" w:type="dxa"/>
          </w:tcPr>
          <w:p w14:paraId="711E989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D170A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Dolžniški instrumenti</w:t>
            </w:r>
          </w:p>
          <w:p w14:paraId="26DB00A6"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bCs/>
              </w:rPr>
              <w:t xml:space="preserve">Člen 22(a) in člen 21(3) Uredbe (EU) </w:t>
            </w:r>
            <w:r w:rsidRPr="003F57AB">
              <w:rPr>
                <w:rFonts w:ascii="Times New Roman" w:hAnsi="Times New Roman" w:cs="Times New Roman"/>
                <w:bCs/>
              </w:rPr>
              <w:t>2019/2033.</w:t>
            </w:r>
          </w:p>
          <w:p w14:paraId="3AB4953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 xml:space="preserve">Pozicije iz trgovalne knjige v </w:t>
            </w:r>
            <w:r w:rsidRPr="003F57AB">
              <w:rPr>
                <w:rFonts w:ascii="Times New Roman" w:hAnsi="Times New Roman" w:cs="Times New Roman"/>
                <w:color w:val="000000"/>
              </w:rPr>
              <w:t>dolžniških instrumentih, za katere je</w:t>
            </w:r>
            <w:r w:rsidRPr="003F57AB">
              <w:rPr>
                <w:rFonts w:ascii="Times New Roman" w:hAnsi="Times New Roman" w:cs="Times New Roman"/>
                <w:bCs/>
              </w:rPr>
              <w:t xml:space="preserve"> kapitalska zahteva določena v skladu z oddelkom 2 poglavja 2 naslova IV dela 3 Uredbe (EU) št. 575/2013.</w:t>
            </w:r>
          </w:p>
        </w:tc>
      </w:tr>
      <w:tr w:rsidR="00AE753A" w:rsidRPr="003F57AB" w14:paraId="68FFF973" w14:textId="77777777">
        <w:tc>
          <w:tcPr>
            <w:tcW w:w="1129" w:type="dxa"/>
          </w:tcPr>
          <w:p w14:paraId="182918D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BAA525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 tega: listinjenja</w:t>
            </w:r>
          </w:p>
          <w:p w14:paraId="502668FD"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bCs/>
              </w:rPr>
              <w:t>Člen 22(a) in člen 21(3) Uredbe (EU) 2019/20</w:t>
            </w:r>
            <w:r w:rsidRPr="003F57AB">
              <w:rPr>
                <w:rFonts w:ascii="Times New Roman" w:hAnsi="Times New Roman" w:cs="Times New Roman"/>
                <w:bCs/>
              </w:rPr>
              <w:t>33.</w:t>
            </w:r>
          </w:p>
          <w:p w14:paraId="6C969C8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Pozicije v instrumentih listinjenja iz člena 337 Uredbe (EU) št. 575/2013 in pozicije v trgovalnem portfelju s korelacijo iz člena 338 Uredbe (EU) št. 575/2013.</w:t>
            </w:r>
          </w:p>
        </w:tc>
      </w:tr>
      <w:tr w:rsidR="00AE753A" w:rsidRPr="003F57AB" w14:paraId="5BD53B58" w14:textId="77777777">
        <w:tc>
          <w:tcPr>
            <w:tcW w:w="1129" w:type="dxa"/>
            <w:tcBorders>
              <w:bottom w:val="single" w:sz="4" w:space="0" w:color="auto"/>
            </w:tcBorders>
          </w:tcPr>
          <w:p w14:paraId="3F11AE4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457E38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Posamezni pristop za pozicijsko tveganje v KNP</w:t>
            </w:r>
          </w:p>
          <w:p w14:paraId="5ABFECE2"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bCs/>
              </w:rPr>
              <w:t>Člen 22(a) in člen 21(3) Uredbe (EU) 2</w:t>
            </w:r>
            <w:r w:rsidRPr="003F57AB">
              <w:rPr>
                <w:rFonts w:ascii="Times New Roman" w:hAnsi="Times New Roman" w:cs="Times New Roman"/>
                <w:bCs/>
              </w:rPr>
              <w:t>019/2033.</w:t>
            </w:r>
          </w:p>
          <w:p w14:paraId="0FEF8135"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rPr>
              <w:t xml:space="preserve">Skupni znesek izpostavljenosti tveganju za pozicije v KNP, če se kapitalske zahteve izračunajo </w:t>
            </w:r>
            <w:r w:rsidRPr="003F57AB">
              <w:rPr>
                <w:rFonts w:ascii="Times New Roman" w:hAnsi="Times New Roman" w:cs="Times New Roman"/>
                <w:bCs/>
                <w:color w:val="000000" w:themeColor="text1"/>
              </w:rPr>
              <w:t>v skladu</w:t>
            </w:r>
            <w:r w:rsidRPr="003F57AB">
              <w:rPr>
                <w:rFonts w:ascii="Times New Roman" w:hAnsi="Times New Roman" w:cs="Times New Roman"/>
              </w:rPr>
              <w:t xml:space="preserve"> s členom 348(1) Uredbe (EU) št. 575/2013, in sicer takoj ali kot posledica zgornje meje, določene v členu 350(3), točka (c), Uredbe (EU) št. 5</w:t>
            </w:r>
            <w:r w:rsidRPr="003F57AB">
              <w:rPr>
                <w:rFonts w:ascii="Times New Roman" w:hAnsi="Times New Roman" w:cs="Times New Roman"/>
              </w:rPr>
              <w:t>75/2013. Uredba (EU) št. 575/2013 teh pozicij ne razporeja eksplicitno na obrestno tveganje ali tveganje lastniških vrednostnih papirjev.</w:t>
            </w:r>
          </w:p>
          <w:p w14:paraId="723C7F54"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rPr>
              <w:t xml:space="preserve">Če se uporabi posamezni pristop </w:t>
            </w:r>
            <w:r w:rsidRPr="003F57AB">
              <w:rPr>
                <w:rFonts w:ascii="Times New Roman" w:hAnsi="Times New Roman" w:cs="Times New Roman"/>
                <w:bCs/>
                <w:color w:val="000000" w:themeColor="text1"/>
              </w:rPr>
              <w:t>v skladu s</w:t>
            </w:r>
            <w:r w:rsidRPr="003F57AB">
              <w:rPr>
                <w:rFonts w:ascii="Times New Roman" w:hAnsi="Times New Roman" w:cs="Times New Roman"/>
              </w:rPr>
              <w:t xml:space="preserve"> prvim stavkom člena 348(1) Uredbe (EU) št. 575/2013, znaša sporočeni znesek</w:t>
            </w:r>
            <w:r w:rsidRPr="003F57AB">
              <w:rPr>
                <w:rFonts w:ascii="Times New Roman" w:hAnsi="Times New Roman" w:cs="Times New Roman"/>
              </w:rPr>
              <w:t xml:space="preserve"> 32 % neto pozicije zadevne izpostavljenosti do KNP.</w:t>
            </w:r>
          </w:p>
          <w:p w14:paraId="15EDB8B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lastRenderedPageBreak/>
              <w:t xml:space="preserve">Če je uporabljen posamezni pristop </w:t>
            </w:r>
            <w:r w:rsidRPr="003F57AB">
              <w:rPr>
                <w:rFonts w:ascii="Times New Roman" w:hAnsi="Times New Roman" w:cs="Times New Roman"/>
                <w:bCs/>
                <w:color w:val="000000" w:themeColor="text1"/>
              </w:rPr>
              <w:t>v skladu z</w:t>
            </w:r>
            <w:r w:rsidRPr="003F57AB">
              <w:rPr>
                <w:rFonts w:ascii="Times New Roman" w:hAnsi="Times New Roman" w:cs="Times New Roman"/>
              </w:rPr>
              <w:t xml:space="preserve"> drugim stavkom člena 348(1) Uredbe (EU) št. 575/2013, je znesek, ki ga je treba sporočiti, nižji izmed naslednjih dveh zneskov: 32 % neto pozicije zadevne izpostavljenosti KNP ali razlika med 40 % te neto pozicije in kapitalskimi zahtevami, ki izhajajo iz</w:t>
            </w:r>
            <w:r w:rsidRPr="003F57AB">
              <w:rPr>
                <w:rFonts w:ascii="Times New Roman" w:hAnsi="Times New Roman" w:cs="Times New Roman"/>
              </w:rPr>
              <w:t xml:space="preserve"> valutnega tveganja, povezanega s to izpostavljenostjo KNP.</w:t>
            </w:r>
          </w:p>
        </w:tc>
      </w:tr>
      <w:tr w:rsidR="00AE753A" w:rsidRPr="003F57AB" w14:paraId="64466F04" w14:textId="77777777">
        <w:tc>
          <w:tcPr>
            <w:tcW w:w="1129" w:type="dxa"/>
            <w:tcBorders>
              <w:bottom w:val="single" w:sz="4" w:space="0" w:color="auto"/>
            </w:tcBorders>
          </w:tcPr>
          <w:p w14:paraId="1E52958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3E5D5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Valutno tveganje</w:t>
            </w:r>
          </w:p>
          <w:p w14:paraId="308FA687"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bCs/>
              </w:rPr>
              <w:t>Člen 22(a) in člen 21, točki 3 ter 4, Uredbe (EU) 2019/2033.</w:t>
            </w:r>
          </w:p>
          <w:p w14:paraId="11F44D4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Pozicije, izpostavljene valutnemu tveganju, za katere je kapitalska zahteva</w:t>
            </w:r>
            <w:r w:rsidRPr="003F57AB">
              <w:rPr>
                <w:rFonts w:ascii="Times New Roman" w:hAnsi="Times New Roman" w:cs="Times New Roman"/>
                <w:bCs/>
              </w:rPr>
              <w:t xml:space="preserve"> določena v skladu s poglavjem 3 nasl</w:t>
            </w:r>
            <w:r w:rsidRPr="003F57AB">
              <w:rPr>
                <w:rFonts w:ascii="Times New Roman" w:hAnsi="Times New Roman" w:cs="Times New Roman"/>
                <w:bCs/>
              </w:rPr>
              <w:t>ova IV dela 3 Uredbe (EU) št. 575/2013.</w:t>
            </w:r>
          </w:p>
        </w:tc>
      </w:tr>
      <w:tr w:rsidR="00AE753A" w:rsidRPr="003F57AB" w14:paraId="7D1D03B3" w14:textId="77777777">
        <w:tc>
          <w:tcPr>
            <w:tcW w:w="1129" w:type="dxa"/>
            <w:tcBorders>
              <w:top w:val="single" w:sz="4" w:space="0" w:color="auto"/>
            </w:tcBorders>
          </w:tcPr>
          <w:p w14:paraId="7D1DE9C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F9F7F9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Blagovno tveganje</w:t>
            </w:r>
          </w:p>
          <w:p w14:paraId="24EFACF0"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bCs/>
              </w:rPr>
              <w:t>Člen 22(a) in člen 21, točki 3 ter 4, Uredbe (EU) 2019/2033.</w:t>
            </w:r>
          </w:p>
          <w:p w14:paraId="19CA334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Pozicije, izpostavljene blagovnemu tveganju, za katere je kapitalska zahteva</w:t>
            </w:r>
            <w:r w:rsidRPr="003F57AB">
              <w:rPr>
                <w:rFonts w:ascii="Times New Roman" w:hAnsi="Times New Roman" w:cs="Times New Roman"/>
                <w:bCs/>
              </w:rPr>
              <w:t xml:space="preserve"> določena v skladu s poglavjem 4 naslova IV dela 3 Uredbe (EU) št. 575/2013</w:t>
            </w:r>
            <w:r w:rsidRPr="003F57AB">
              <w:rPr>
                <w:rFonts w:ascii="Times New Roman" w:hAnsi="Times New Roman" w:cs="Times New Roman"/>
              </w:rPr>
              <w:t>.</w:t>
            </w:r>
          </w:p>
        </w:tc>
      </w:tr>
      <w:tr w:rsidR="00AE753A" w:rsidRPr="003F57AB" w14:paraId="47375913" w14:textId="77777777">
        <w:tc>
          <w:tcPr>
            <w:tcW w:w="1129" w:type="dxa"/>
            <w:tcBorders>
              <w:top w:val="single" w:sz="4" w:space="0" w:color="auto"/>
              <w:left w:val="single" w:sz="4" w:space="0" w:color="auto"/>
              <w:bottom w:val="single" w:sz="4" w:space="0" w:color="auto"/>
              <w:right w:val="single" w:sz="4" w:space="0" w:color="auto"/>
            </w:tcBorders>
          </w:tcPr>
          <w:p w14:paraId="5D23E7F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5876F0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Pristop notranjih modelov</w:t>
            </w:r>
          </w:p>
          <w:p w14:paraId="77BC7B59" w14:textId="77777777" w:rsidR="00AE753A" w:rsidRPr="003F57AB" w:rsidRDefault="003F57AB">
            <w:pPr>
              <w:spacing w:after="120" w:line="240" w:lineRule="auto"/>
              <w:jc w:val="both"/>
              <w:rPr>
                <w:rFonts w:ascii="Times New Roman" w:hAnsi="Times New Roman" w:cs="Times New Roman"/>
              </w:rPr>
            </w:pPr>
            <w:r w:rsidRPr="003F57AB">
              <w:rPr>
                <w:rFonts w:ascii="Times New Roman" w:hAnsi="Times New Roman" w:cs="Times New Roman"/>
              </w:rPr>
              <w:t xml:space="preserve">Člen 57(2) in </w:t>
            </w:r>
            <w:r w:rsidRPr="003F57AB">
              <w:rPr>
                <w:rFonts w:ascii="Times New Roman" w:hAnsi="Times New Roman" w:cs="Times New Roman"/>
                <w:bCs/>
              </w:rPr>
              <w:t>člen 21, točki 3 ter 4, Uredbe (EU) 2019/2033.</w:t>
            </w:r>
          </w:p>
          <w:p w14:paraId="14D4EA90" w14:textId="77777777" w:rsidR="00AE753A" w:rsidRPr="003F57AB" w:rsidRDefault="003F57AB">
            <w:pPr>
              <w:spacing w:after="120" w:line="240" w:lineRule="auto"/>
              <w:jc w:val="both"/>
              <w:rPr>
                <w:rFonts w:ascii="Times New Roman" w:eastAsia="Times New Roman" w:hAnsi="Times New Roman" w:cs="Times New Roman"/>
                <w:b/>
                <w:bCs/>
              </w:rPr>
            </w:pPr>
            <w:r w:rsidRPr="003F57AB">
              <w:rPr>
                <w:rFonts w:ascii="Times New Roman" w:hAnsi="Times New Roman" w:cs="Times New Roman"/>
              </w:rPr>
              <w:t xml:space="preserve">Pozicije iz trgovalne knjige in pozicije iz netrgovalne knjige, </w:t>
            </w:r>
            <w:r w:rsidRPr="003F57AB">
              <w:rPr>
                <w:rFonts w:ascii="Times New Roman" w:hAnsi="Times New Roman" w:cs="Times New Roman"/>
              </w:rPr>
              <w:t>izpostavljene valutnemu in blagovnemu tveganju, za katere je kapitalska zahteva določena v skladu s poglavjem 5 naslova IV dela 3 Uredbe (EU) št. 575/2013.</w:t>
            </w:r>
          </w:p>
        </w:tc>
      </w:tr>
    </w:tbl>
    <w:p w14:paraId="316101AC"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3" w:name="_Toc87975503"/>
      <w:r w:rsidRPr="003F57AB">
        <w:rPr>
          <w:rFonts w:ascii="Times New Roman" w:hAnsi="Times New Roman" w:cs="Times New Roman"/>
          <w:sz w:val="24"/>
          <w:szCs w:val="24"/>
          <w:u w:val="single"/>
        </w:rPr>
        <w:t>3.11 I 06.10 – ZAGOTOVLJENO KLIRINŠKO KRITJE – DODATNE PODROBNOSTI (I 6.10)</w:t>
      </w:r>
      <w:bookmarkEnd w:id="73"/>
    </w:p>
    <w:p w14:paraId="718A002B" w14:textId="77777777" w:rsidR="00AE753A" w:rsidRPr="003F57AB" w:rsidRDefault="003F57AB">
      <w:pPr>
        <w:spacing w:line="256" w:lineRule="auto"/>
        <w:ind w:left="993" w:hanging="567"/>
        <w:jc w:val="both"/>
        <w:rPr>
          <w:rFonts w:ascii="Times New Roman" w:hAnsi="Times New Roman" w:cs="Times New Roman"/>
          <w:sz w:val="24"/>
        </w:rPr>
      </w:pPr>
      <w:r w:rsidRPr="003F57AB">
        <w:rPr>
          <w:rFonts w:ascii="Times New Roman" w:hAnsi="Times New Roman" w:cs="Times New Roman"/>
          <w:sz w:val="24"/>
        </w:rPr>
        <w:t>15.</w:t>
      </w:r>
      <w:r w:rsidRPr="003F57AB">
        <w:rPr>
          <w:rFonts w:ascii="Times New Roman" w:hAnsi="Times New Roman" w:cs="Times New Roman"/>
          <w:sz w:val="24"/>
        </w:rPr>
        <w:tab/>
        <w:t xml:space="preserve">Podjetja, ki </w:t>
      </w:r>
      <w:r w:rsidRPr="003F57AB">
        <w:rPr>
          <w:rFonts w:ascii="Times New Roman" w:hAnsi="Times New Roman" w:cs="Times New Roman"/>
          <w:sz w:val="24"/>
        </w:rPr>
        <w:t>poslujejo za svoj račun, v tej predlogi poročajo vse klirinške člane kvalificiranih centralnih nasprotnih strank, pod odgovornostjo katerih potekata izvrševanje in poravnava poslov podjetja.</w:t>
      </w:r>
    </w:p>
    <w:p w14:paraId="563565E9"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rPr>
      </w:pPr>
      <w:bookmarkStart w:id="74" w:name="_Toc87975504"/>
      <w:r w:rsidRPr="003F57AB">
        <w:rPr>
          <w:rFonts w:ascii="Times New Roman" w:hAnsi="Times New Roman" w:cs="Times New Roman"/>
          <w:sz w:val="24"/>
          <w:szCs w:val="24"/>
        </w:rPr>
        <w:t xml:space="preserve">3.11.1 </w:t>
      </w:r>
      <w:r w:rsidRPr="003F57AB">
        <w:rPr>
          <w:rFonts w:ascii="Times New Roman" w:hAnsi="Times New Roman" w:cs="Times New Roman"/>
          <w:sz w:val="24"/>
          <w:szCs w:val="24"/>
          <w:u w:val="single"/>
        </w:rPr>
        <w:t>Navodila za posamezne pozicije</w:t>
      </w:r>
      <w:bookmarkEnd w:id="7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6EA87C7B" w14:textId="77777777">
        <w:tc>
          <w:tcPr>
            <w:tcW w:w="1129" w:type="dxa"/>
            <w:shd w:val="clear" w:color="auto" w:fill="D9D9D9"/>
          </w:tcPr>
          <w:p w14:paraId="599371E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Stolpec</w:t>
            </w:r>
          </w:p>
        </w:tc>
        <w:tc>
          <w:tcPr>
            <w:tcW w:w="7620" w:type="dxa"/>
            <w:shd w:val="clear" w:color="auto" w:fill="D9D9D9"/>
          </w:tcPr>
          <w:p w14:paraId="0884EDE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w:t>
            </w:r>
            <w:r w:rsidRPr="003F57AB">
              <w:rPr>
                <w:rFonts w:ascii="Times New Roman" w:hAnsi="Times New Roman" w:cs="Times New Roman"/>
              </w:rPr>
              <w:t>avodila</w:t>
            </w:r>
          </w:p>
        </w:tc>
      </w:tr>
      <w:tr w:rsidR="00AE753A" w:rsidRPr="003F57AB" w14:paraId="58423D4B" w14:textId="77777777">
        <w:tc>
          <w:tcPr>
            <w:tcW w:w="1129" w:type="dxa"/>
          </w:tcPr>
          <w:p w14:paraId="50BC5D4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553BB3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Klirinški član</w:t>
            </w:r>
          </w:p>
        </w:tc>
      </w:tr>
      <w:tr w:rsidR="00AE753A" w:rsidRPr="003F57AB" w14:paraId="04FE09CB" w14:textId="77777777">
        <w:tc>
          <w:tcPr>
            <w:tcW w:w="1129" w:type="dxa"/>
          </w:tcPr>
          <w:p w14:paraId="003639F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B59A84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Ime</w:t>
            </w:r>
          </w:p>
          <w:p w14:paraId="7999311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Investicijska podjetja poročajo imena klirinških članov kvalificiranih centralnih nasprotnih strank, pod odgovornostjo katerih potekata izvrševanje in poravnava poslov podjetja, ki posluje za svoj račun.</w:t>
            </w:r>
          </w:p>
        </w:tc>
      </w:tr>
      <w:tr w:rsidR="00AE753A" w:rsidRPr="003F57AB" w14:paraId="215EFCC5" w14:textId="77777777">
        <w:tc>
          <w:tcPr>
            <w:tcW w:w="1129" w:type="dxa"/>
          </w:tcPr>
          <w:p w14:paraId="20CA65B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FAD2DC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Koda</w:t>
            </w:r>
          </w:p>
          <w:p w14:paraId="01C29872" w14:textId="77777777" w:rsidR="00AE753A" w:rsidRPr="003F57AB" w:rsidRDefault="003F57AB">
            <w:pPr>
              <w:spacing w:after="120" w:line="240" w:lineRule="auto"/>
              <w:jc w:val="both"/>
              <w:rPr>
                <w:rFonts w:ascii="Times New Roman" w:eastAsia="Times New Roman" w:hAnsi="Times New Roman" w:cs="Times New Roman"/>
              </w:rPr>
            </w:pPr>
            <w:r w:rsidRPr="003F57AB">
              <w:rPr>
                <w:rFonts w:ascii="Times New Roman" w:hAnsi="Times New Roman" w:cs="Times New Roman"/>
              </w:rPr>
              <w:t>Koda mora biti kot del identifikatorja vrstice enoznačna za vsak sporočeni subjekt. Koda za investicijska podjetja je koda LEI. Koda za druge subjekte je koda LEI ali nacionalna koda, če koda LEI ni na voljo. Koda je enoznačna in se uporablja dos</w:t>
            </w:r>
            <w:r w:rsidRPr="003F57AB">
              <w:rPr>
                <w:rFonts w:ascii="Times New Roman" w:hAnsi="Times New Roman" w:cs="Times New Roman"/>
              </w:rPr>
              <w:t>ledno v vseh predlogah in skozi čas. Koda ima vedno določeno vrednost.</w:t>
            </w:r>
          </w:p>
        </w:tc>
      </w:tr>
      <w:tr w:rsidR="00AE753A" w:rsidRPr="003F57AB" w14:paraId="58A27BFA" w14:textId="77777777">
        <w:tc>
          <w:tcPr>
            <w:tcW w:w="1129" w:type="dxa"/>
          </w:tcPr>
          <w:p w14:paraId="5413E39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A0FEAE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Vrsta kode</w:t>
            </w:r>
          </w:p>
          <w:p w14:paraId="6FB39D3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Za vrsto kode, sporočene v stolpcu 0020, se navede</w:t>
            </w:r>
            <w:r w:rsidRPr="003F57AB">
              <w:rPr>
                <w:rStyle w:val="FormatvorlageInstructionsTabelleText"/>
                <w:rFonts w:ascii="Times New Roman" w:hAnsi="Times New Roman"/>
                <w:sz w:val="22"/>
              </w:rPr>
              <w:t xml:space="preserve"> „koda LEI“ ali „nacionalna koda“.</w:t>
            </w:r>
          </w:p>
        </w:tc>
      </w:tr>
      <w:tr w:rsidR="00AE753A" w:rsidRPr="003F57AB" w14:paraId="58372C00" w14:textId="77777777">
        <w:tc>
          <w:tcPr>
            <w:tcW w:w="1129" w:type="dxa"/>
          </w:tcPr>
          <w:p w14:paraId="6C7B068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6B73C2B" w14:textId="77777777" w:rsidR="00AE753A" w:rsidRPr="003F57AB" w:rsidRDefault="003F57AB">
            <w:pPr>
              <w:spacing w:after="120" w:line="240" w:lineRule="auto"/>
              <w:rPr>
                <w:rFonts w:ascii="Times New Roman" w:eastAsia="Times New Roman" w:hAnsi="Times New Roman" w:cs="Times New Roman"/>
                <w:b/>
                <w:bCs/>
                <w:u w:val="single"/>
              </w:rPr>
            </w:pPr>
            <w:r w:rsidRPr="003F57AB">
              <w:rPr>
                <w:rFonts w:ascii="Times New Roman" w:hAnsi="Times New Roman" w:cs="Times New Roman"/>
                <w:b/>
                <w:bCs/>
                <w:u w:val="single"/>
              </w:rPr>
              <w:t>Prispevek k dnevno zahtevanemu skupnemu kritju</w:t>
            </w:r>
          </w:p>
          <w:p w14:paraId="7E8C1BA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Investicijska podjetja poročajo informacije za tri dneve v predhodnih treh mesecih, v katerih so bili izračunani najvišji, drugi najvišji in tretji najvišji znesek dnevno zahtevanega skupnega kritja, kot je navedeno v členu 23(2) Uredbe (EU) 2019/2033.</w:t>
            </w:r>
          </w:p>
          <w:p w14:paraId="600DD44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Inv</w:t>
            </w:r>
            <w:r w:rsidRPr="003F57AB">
              <w:rPr>
                <w:rFonts w:ascii="Times New Roman" w:hAnsi="Times New Roman" w:cs="Times New Roman"/>
                <w:bCs/>
              </w:rPr>
              <w:t>esticijsko podjetje v predlogo vključi vse klirinške člane, ki so se uporabili na vsaj enega od teh dni.</w:t>
            </w:r>
          </w:p>
          <w:p w14:paraId="0D96408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Prispevek k dnevno zahtevanemu skupnemu kritju se poroča kot znesek pred pomnožitvijo s faktorjem 1,3, kot je navedeno v členu 23(2) Uredbe (EU) 2019/2</w:t>
            </w:r>
            <w:r w:rsidRPr="003F57AB">
              <w:rPr>
                <w:rFonts w:ascii="Times New Roman" w:hAnsi="Times New Roman" w:cs="Times New Roman"/>
                <w:bCs/>
              </w:rPr>
              <w:t xml:space="preserve">033. </w:t>
            </w:r>
          </w:p>
        </w:tc>
      </w:tr>
      <w:tr w:rsidR="00AE753A" w:rsidRPr="003F57AB" w14:paraId="0CAAEA29" w14:textId="77777777">
        <w:tc>
          <w:tcPr>
            <w:tcW w:w="1129" w:type="dxa"/>
          </w:tcPr>
          <w:p w14:paraId="579FE07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B73986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Prispevek k dnevno zahtevanemu skupnemu kritju – na dan najvišjega zneska zahtevanega skupnega kritja</w:t>
            </w:r>
          </w:p>
        </w:tc>
      </w:tr>
      <w:tr w:rsidR="00AE753A" w:rsidRPr="003F57AB" w14:paraId="7539EDC2" w14:textId="77777777">
        <w:tc>
          <w:tcPr>
            <w:tcW w:w="1129" w:type="dxa"/>
          </w:tcPr>
          <w:p w14:paraId="13E5DD9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472DA9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Prispevek k dnevno zahtevanemu skupnemu kritju – na dan drugega najvišjega zneska zahtevanega skupnega kritja</w:t>
            </w:r>
          </w:p>
        </w:tc>
      </w:tr>
      <w:tr w:rsidR="00AE753A" w:rsidRPr="003F57AB" w14:paraId="4A46FFCD" w14:textId="77777777">
        <w:tc>
          <w:tcPr>
            <w:tcW w:w="1129" w:type="dxa"/>
          </w:tcPr>
          <w:p w14:paraId="4A63302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A3BFC3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Prispevek k </w:t>
            </w:r>
            <w:r w:rsidRPr="003F57AB">
              <w:rPr>
                <w:rFonts w:ascii="Times New Roman" w:hAnsi="Times New Roman" w:cs="Times New Roman"/>
                <w:b/>
                <w:bCs/>
                <w:u w:val="single"/>
              </w:rPr>
              <w:t>dnevno zahtevanemu skupnemu kritju – na dan tretjega najvišjega zneska zahtevanega skupnega kritja</w:t>
            </w:r>
          </w:p>
        </w:tc>
      </w:tr>
    </w:tbl>
    <w:p w14:paraId="20D03C0F"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5" w:name="_Toc87975505"/>
      <w:r w:rsidRPr="003F57AB">
        <w:rPr>
          <w:rFonts w:ascii="Times New Roman" w:hAnsi="Times New Roman" w:cs="Times New Roman"/>
          <w:sz w:val="24"/>
          <w:szCs w:val="24"/>
          <w:u w:val="single"/>
        </w:rPr>
        <w:t>3.12 I 06.11 – NEPLAČILO NASPROTNE STRANKE V POSLU – DODATNE PODROBNOSTI O TCD (I 6.11)</w:t>
      </w:r>
      <w:bookmarkEnd w:id="75"/>
    </w:p>
    <w:p w14:paraId="6F9CC418"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7975506"/>
      <w:r w:rsidRPr="003F57AB">
        <w:rPr>
          <w:rFonts w:ascii="Times New Roman" w:hAnsi="Times New Roman" w:cs="Times New Roman"/>
          <w:sz w:val="24"/>
          <w:szCs w:val="24"/>
        </w:rPr>
        <w:t>3.12.1</w:t>
      </w:r>
      <w:r w:rsidRPr="003F57AB">
        <w:rPr>
          <w:rFonts w:ascii="Times New Roman" w:hAnsi="Times New Roman" w:cs="Times New Roman"/>
        </w:rPr>
        <w:tab/>
      </w:r>
      <w:r w:rsidRPr="003F57AB">
        <w:rPr>
          <w:rFonts w:ascii="Times New Roman" w:hAnsi="Times New Roman" w:cs="Times New Roman"/>
          <w:sz w:val="24"/>
          <w:szCs w:val="24"/>
          <w:u w:val="single"/>
        </w:rPr>
        <w:t>Navodila za posamezne pozicije</w:t>
      </w:r>
      <w:bookmarkEnd w:id="7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56519C2A" w14:textId="77777777">
        <w:tc>
          <w:tcPr>
            <w:tcW w:w="1129" w:type="dxa"/>
            <w:shd w:val="clear" w:color="auto" w:fill="D9D9D9"/>
          </w:tcPr>
          <w:p w14:paraId="6C1BB2D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7DA8F87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 xml:space="preserve">Pravna podlaga in </w:t>
            </w:r>
            <w:r w:rsidRPr="003F57AB">
              <w:rPr>
                <w:rFonts w:ascii="Times New Roman" w:hAnsi="Times New Roman" w:cs="Times New Roman"/>
              </w:rPr>
              <w:t>navodila</w:t>
            </w:r>
          </w:p>
        </w:tc>
      </w:tr>
      <w:tr w:rsidR="00AE753A" w:rsidRPr="003F57AB" w14:paraId="1F2E9983" w14:textId="77777777">
        <w:tc>
          <w:tcPr>
            <w:tcW w:w="1129" w:type="dxa"/>
          </w:tcPr>
          <w:p w14:paraId="13E0DF7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4EA64E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Razčlenitev glede na metodo za določitev vrednosti izpostavljenosti</w:t>
            </w:r>
          </w:p>
        </w:tc>
      </w:tr>
      <w:tr w:rsidR="00AE753A" w:rsidRPr="003F57AB" w14:paraId="3529BCB2" w14:textId="77777777">
        <w:tc>
          <w:tcPr>
            <w:tcW w:w="1129" w:type="dxa"/>
          </w:tcPr>
          <w:p w14:paraId="59C4000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F4199F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Uporaba Uredbe (EU) 2019/2033: K-TCD</w:t>
            </w:r>
          </w:p>
          <w:p w14:paraId="22BC133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26 Uredbe (EU) 2019/2033.</w:t>
            </w:r>
          </w:p>
          <w:p w14:paraId="2438E15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Izpostavljenosti, za katere je kapitalska zahteva izračunana kot K-TCD v skladu s členom 26 </w:t>
            </w:r>
            <w:r w:rsidRPr="003F57AB">
              <w:rPr>
                <w:rFonts w:ascii="Times New Roman" w:hAnsi="Times New Roman" w:cs="Times New Roman"/>
                <w:bCs/>
              </w:rPr>
              <w:t>Uredbe (EU) 2019/2033.</w:t>
            </w:r>
          </w:p>
        </w:tc>
      </w:tr>
      <w:tr w:rsidR="00AE753A" w:rsidRPr="003F57AB" w14:paraId="44CDBE46" w14:textId="77777777">
        <w:tc>
          <w:tcPr>
            <w:tcW w:w="1129" w:type="dxa"/>
          </w:tcPr>
          <w:p w14:paraId="1D38B65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B7A12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Alternativni pristopi: vrednost izpostavljenosti, določena v skladu z Uredbo (EU) št. 575/2013</w:t>
            </w:r>
          </w:p>
          <w:p w14:paraId="56AE8A4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25(4), prvi pododstavek, Uredbe (EU) 2019/2033.</w:t>
            </w:r>
          </w:p>
          <w:p w14:paraId="00FB53E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Izpostavljenosti, za katere je vrednost izpostavljenosti določena v </w:t>
            </w:r>
            <w:r w:rsidRPr="003F57AB">
              <w:rPr>
                <w:rFonts w:ascii="Times New Roman" w:hAnsi="Times New Roman" w:cs="Times New Roman"/>
                <w:bCs/>
              </w:rPr>
              <w:t>skladu z Uredbo (EU) št. 575/2013 in katerih povezane kapitalske zahteve so izračunane s pomnožitvijo vrednosti izpostavljenosti z dejavnikom tveganja iz razpredelnice 2 iz člena 26 Uredbe (EU) 2019/2033.</w:t>
            </w:r>
          </w:p>
        </w:tc>
      </w:tr>
      <w:tr w:rsidR="00AE753A" w:rsidRPr="003F57AB" w14:paraId="2DE0C4D8" w14:textId="77777777">
        <w:tc>
          <w:tcPr>
            <w:tcW w:w="1129" w:type="dxa"/>
          </w:tcPr>
          <w:p w14:paraId="24094D9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3F3383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SA-CCR</w:t>
            </w:r>
          </w:p>
          <w:p w14:paraId="74C1121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274 Uredbe (EU) </w:t>
            </w:r>
            <w:r w:rsidRPr="003F57AB">
              <w:rPr>
                <w:rFonts w:ascii="Times New Roman" w:hAnsi="Times New Roman" w:cs="Times New Roman"/>
                <w:bCs/>
              </w:rPr>
              <w:t>št. 575/2013.</w:t>
            </w:r>
          </w:p>
        </w:tc>
      </w:tr>
      <w:tr w:rsidR="00AE753A" w:rsidRPr="003F57AB" w14:paraId="2997C9C5" w14:textId="77777777">
        <w:tc>
          <w:tcPr>
            <w:tcW w:w="1129" w:type="dxa"/>
          </w:tcPr>
          <w:p w14:paraId="22EC51E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F1011E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Poenostavljeni SA-CCR</w:t>
            </w:r>
          </w:p>
          <w:p w14:paraId="068B5064" w14:textId="77777777" w:rsidR="00AE753A" w:rsidRPr="003F57AB" w:rsidRDefault="003F57AB">
            <w:pPr>
              <w:spacing w:after="120" w:line="240" w:lineRule="auto"/>
              <w:jc w:val="both"/>
              <w:rPr>
                <w:rFonts w:ascii="Times New Roman" w:eastAsia="Times New Roman" w:hAnsi="Times New Roman" w:cs="Times New Roman"/>
              </w:rPr>
            </w:pPr>
            <w:r w:rsidRPr="003F57AB">
              <w:rPr>
                <w:rFonts w:ascii="Times New Roman" w:hAnsi="Times New Roman" w:cs="Times New Roman"/>
                <w:bCs/>
              </w:rPr>
              <w:t>Člen 281 Uredbe (EU) št. 575/2013.</w:t>
            </w:r>
          </w:p>
        </w:tc>
      </w:tr>
      <w:tr w:rsidR="00AE753A" w:rsidRPr="003F57AB" w14:paraId="45B3AC07" w14:textId="77777777">
        <w:tc>
          <w:tcPr>
            <w:tcW w:w="1129" w:type="dxa"/>
          </w:tcPr>
          <w:p w14:paraId="3F24624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1DC3F1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Metoda originalne izpostavljenosti</w:t>
            </w:r>
          </w:p>
          <w:p w14:paraId="296C959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 xml:space="preserve">Člen </w:t>
            </w:r>
            <w:r w:rsidRPr="003F57AB">
              <w:rPr>
                <w:rFonts w:ascii="Times New Roman" w:hAnsi="Times New Roman" w:cs="Times New Roman"/>
                <w:bCs/>
              </w:rPr>
              <w:t>282</w:t>
            </w:r>
            <w:r w:rsidRPr="003F57AB">
              <w:rPr>
                <w:rFonts w:ascii="Times New Roman" w:hAnsi="Times New Roman" w:cs="Times New Roman"/>
              </w:rPr>
              <w:t xml:space="preserve"> Uredbe (EU) št. 575/2013.</w:t>
            </w:r>
          </w:p>
        </w:tc>
      </w:tr>
      <w:tr w:rsidR="00AE753A" w:rsidRPr="003F57AB" w14:paraId="770ACA78" w14:textId="77777777">
        <w:tc>
          <w:tcPr>
            <w:tcW w:w="1129" w:type="dxa"/>
          </w:tcPr>
          <w:p w14:paraId="18DB712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59061C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Alternativni pristopi: polna uporaba okvira Uredbe (EU) št. 575/2013</w:t>
            </w:r>
          </w:p>
          <w:p w14:paraId="7F04A24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25(4), drugi pododstave</w:t>
            </w:r>
            <w:r w:rsidRPr="003F57AB">
              <w:rPr>
                <w:rFonts w:ascii="Times New Roman" w:hAnsi="Times New Roman" w:cs="Times New Roman"/>
                <w:bCs/>
              </w:rPr>
              <w:t>k, Uredbe (EU) 2019/2033.</w:t>
            </w:r>
          </w:p>
          <w:p w14:paraId="6FD26F7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Izpostavljenosti, za katere so vrednost izpostavljenosti in kapitalske zahteve določene v skladu z Uredbo (EU) št. 575/2013. </w:t>
            </w:r>
          </w:p>
        </w:tc>
      </w:tr>
      <w:tr w:rsidR="00AE753A" w:rsidRPr="003F57AB" w14:paraId="3D1D53F3" w14:textId="77777777">
        <w:tc>
          <w:tcPr>
            <w:tcW w:w="1129" w:type="dxa"/>
          </w:tcPr>
          <w:p w14:paraId="74065E3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35A6C1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Pojasnjevalna postavka: CVA sestavina</w:t>
            </w:r>
          </w:p>
          <w:p w14:paraId="2EF1295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25(5) in člen 26 Uredbe (EU) 2019/2033.</w:t>
            </w:r>
          </w:p>
          <w:p w14:paraId="74CB9B8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Kadar </w:t>
            </w:r>
            <w:r w:rsidRPr="003F57AB">
              <w:rPr>
                <w:rFonts w:ascii="Times New Roman" w:hAnsi="Times New Roman" w:cs="Times New Roman"/>
                <w:bCs/>
              </w:rPr>
              <w:t>institucije uporabljajo pristop iz člena 26 Uredbe (EU) 2019/2033 ali odstopanje iz člena 26(5), prvi pododstavek, Uredbe (EU) 2019/2033, se CVA sestavina določi kot razlika med ustreznim zneskom po uporabi multiplikatorja faktorja CVA in ustreznim zneskom</w:t>
            </w:r>
            <w:r w:rsidRPr="003F57AB">
              <w:rPr>
                <w:rFonts w:ascii="Times New Roman" w:hAnsi="Times New Roman" w:cs="Times New Roman"/>
                <w:bCs/>
              </w:rPr>
              <w:t xml:space="preserve"> pred uporabo multiplikatorja faktorja CVA.</w:t>
            </w:r>
          </w:p>
          <w:p w14:paraId="421BBC8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Kadar institucije uporabijo odstopanje iz člena 25(5), drugi pododstavek, Uredbe (EU) 2019/2033, se CVA sestavina določi v skladu z naslovom IV dela 3 Uredbe (EU) št. 575/2013.</w:t>
            </w:r>
          </w:p>
        </w:tc>
      </w:tr>
      <w:tr w:rsidR="00AE753A" w:rsidRPr="003F57AB" w14:paraId="2AE3763B" w14:textId="77777777">
        <w:tc>
          <w:tcPr>
            <w:tcW w:w="1129" w:type="dxa"/>
          </w:tcPr>
          <w:p w14:paraId="292A6C3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B874DA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od tega: izračunano v skladu </w:t>
            </w:r>
            <w:r w:rsidRPr="003F57AB">
              <w:rPr>
                <w:rFonts w:ascii="Times New Roman" w:hAnsi="Times New Roman" w:cs="Times New Roman"/>
                <w:b/>
                <w:bCs/>
                <w:u w:val="single"/>
              </w:rPr>
              <w:t>z okvirom Uredbe (EU) št. 575/2013</w:t>
            </w:r>
          </w:p>
          <w:p w14:paraId="70BA01C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25(5), drugi pododstavek, Uredbe (EU) 2019/2033.</w:t>
            </w:r>
          </w:p>
        </w:tc>
      </w:tr>
      <w:tr w:rsidR="00AE753A" w:rsidRPr="003F57AB" w14:paraId="17B66AA9" w14:textId="77777777">
        <w:tc>
          <w:tcPr>
            <w:tcW w:w="1129" w:type="dxa"/>
          </w:tcPr>
          <w:p w14:paraId="733B72C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0090–0110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AAFF33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Razčlenitev glede na vrsto nasprotne stranke</w:t>
            </w:r>
          </w:p>
          <w:p w14:paraId="5B138A8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Razčlenitev glede na vrsto nasprotne stranke temelji na vrstah nasprotnih strank iz razpredelnice 2 iz člena 26</w:t>
            </w:r>
            <w:r w:rsidRPr="003F57AB">
              <w:rPr>
                <w:rFonts w:ascii="Times New Roman" w:hAnsi="Times New Roman" w:cs="Times New Roman"/>
                <w:bCs/>
              </w:rPr>
              <w:t xml:space="preserve"> Uredbe (EU) 2019/2033.</w:t>
            </w:r>
          </w:p>
        </w:tc>
      </w:tr>
      <w:tr w:rsidR="00AE753A" w:rsidRPr="003F57AB" w14:paraId="62DF5A20" w14:textId="77777777">
        <w:tc>
          <w:tcPr>
            <w:tcW w:w="1129" w:type="dxa"/>
          </w:tcPr>
          <w:p w14:paraId="4C26946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F1850C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Centralne ravni držav, centralne banke in organi javnega sektorja</w:t>
            </w:r>
          </w:p>
        </w:tc>
      </w:tr>
      <w:tr w:rsidR="00AE753A" w:rsidRPr="003F57AB" w14:paraId="4BE918F0" w14:textId="77777777">
        <w:tc>
          <w:tcPr>
            <w:tcW w:w="1129" w:type="dxa"/>
          </w:tcPr>
          <w:p w14:paraId="2D915F4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00347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Kreditne institucije in investicijska podjetja</w:t>
            </w:r>
          </w:p>
        </w:tc>
      </w:tr>
      <w:tr w:rsidR="00AE753A" w:rsidRPr="003F57AB" w14:paraId="5C928071" w14:textId="77777777">
        <w:tc>
          <w:tcPr>
            <w:tcW w:w="1129" w:type="dxa"/>
          </w:tcPr>
          <w:p w14:paraId="486E7E0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1E5163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Druge nasprotne stranke</w:t>
            </w:r>
          </w:p>
        </w:tc>
      </w:tr>
    </w:tbl>
    <w:p w14:paraId="7B5652ED" w14:textId="77777777" w:rsidR="00AE753A" w:rsidRPr="003F57AB" w:rsidRDefault="00AE753A">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AE753A" w:rsidRPr="003F57AB" w14:paraId="25ACC33A" w14:textId="77777777">
        <w:trPr>
          <w:trHeight w:val="382"/>
        </w:trPr>
        <w:tc>
          <w:tcPr>
            <w:tcW w:w="1140" w:type="dxa"/>
            <w:shd w:val="clear" w:color="auto" w:fill="D9D9D9"/>
          </w:tcPr>
          <w:p w14:paraId="39B8532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Stolpec</w:t>
            </w:r>
          </w:p>
        </w:tc>
        <w:tc>
          <w:tcPr>
            <w:tcW w:w="7700" w:type="dxa"/>
            <w:shd w:val="clear" w:color="auto" w:fill="D9D9D9"/>
          </w:tcPr>
          <w:p w14:paraId="6F5B893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5F5567F3" w14:textId="77777777">
        <w:trPr>
          <w:trHeight w:val="1019"/>
        </w:trPr>
        <w:tc>
          <w:tcPr>
            <w:tcW w:w="1140" w:type="dxa"/>
          </w:tcPr>
          <w:p w14:paraId="6FCA486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3E49A54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Zahteva za faktor K</w:t>
            </w:r>
          </w:p>
          <w:p w14:paraId="2A56CF2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Kapitalska zahteva se poroča, kot je izračunana v skladu s členom 26 Uredbe (EU) 2019/2033 ali ustreznimi določbami Uredbe (EU) št. 575/2013.</w:t>
            </w:r>
          </w:p>
        </w:tc>
      </w:tr>
      <w:tr w:rsidR="00AE753A" w:rsidRPr="003F57AB" w14:paraId="1F3BF87B" w14:textId="77777777">
        <w:trPr>
          <w:trHeight w:val="764"/>
        </w:trPr>
        <w:tc>
          <w:tcPr>
            <w:tcW w:w="1140" w:type="dxa"/>
          </w:tcPr>
          <w:p w14:paraId="6A81C73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FC579E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Vrednost izpostavljenosti</w:t>
            </w:r>
          </w:p>
          <w:p w14:paraId="25E3623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Vrednost izpostavljenosti, kot je izračunana v skladu s členom 27 Uredbe (EU) 2019</w:t>
            </w:r>
            <w:r w:rsidRPr="003F57AB">
              <w:rPr>
                <w:rFonts w:ascii="Times New Roman" w:hAnsi="Times New Roman" w:cs="Times New Roman"/>
                <w:bCs/>
              </w:rPr>
              <w:t>/2033 ali ustreznimi določbami Uredbe (EU) št. 575/2013.</w:t>
            </w:r>
          </w:p>
        </w:tc>
      </w:tr>
      <w:tr w:rsidR="00AE753A" w:rsidRPr="003F57AB" w14:paraId="62554E1B" w14:textId="77777777">
        <w:trPr>
          <w:trHeight w:val="764"/>
        </w:trPr>
        <w:tc>
          <w:tcPr>
            <w:tcW w:w="1140" w:type="dxa"/>
          </w:tcPr>
          <w:p w14:paraId="5AB83D0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90943A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Nadomestitveni stroški (RC)</w:t>
            </w:r>
          </w:p>
          <w:p w14:paraId="237533E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28 Uredbe (EU) 2019/2033.</w:t>
            </w:r>
          </w:p>
        </w:tc>
      </w:tr>
      <w:tr w:rsidR="00AE753A" w:rsidRPr="003F57AB" w14:paraId="6ED344D8" w14:textId="77777777">
        <w:trPr>
          <w:trHeight w:val="764"/>
        </w:trPr>
        <w:tc>
          <w:tcPr>
            <w:tcW w:w="1140" w:type="dxa"/>
          </w:tcPr>
          <w:p w14:paraId="7DA2413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4ABD76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Potencialna prihodnja izpostavljenost (PFE)</w:t>
            </w:r>
          </w:p>
          <w:p w14:paraId="5F738C1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29 Uredbe (EU) 2019/2033.</w:t>
            </w:r>
          </w:p>
        </w:tc>
      </w:tr>
      <w:tr w:rsidR="00AE753A" w:rsidRPr="003F57AB" w14:paraId="38431511" w14:textId="77777777">
        <w:trPr>
          <w:trHeight w:val="810"/>
        </w:trPr>
        <w:tc>
          <w:tcPr>
            <w:tcW w:w="1140" w:type="dxa"/>
          </w:tcPr>
          <w:p w14:paraId="3A050C8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EBE6CD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Zavarovanje (C)</w:t>
            </w:r>
          </w:p>
          <w:p w14:paraId="1A6226C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30(2) in (3) Uredbe </w:t>
            </w:r>
            <w:r w:rsidRPr="003F57AB">
              <w:rPr>
                <w:rFonts w:ascii="Times New Roman" w:hAnsi="Times New Roman" w:cs="Times New Roman"/>
                <w:bCs/>
              </w:rPr>
              <w:t>(EU) 2019/2033.</w:t>
            </w:r>
          </w:p>
          <w:p w14:paraId="4275B23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Sporočena vrednost je vrednost zavarovanja s premoženjem, kot je uporabljena za izračun vrednosti izpostavljenosti in tako, kadar je ustrezno, vrednost po uporabi prilagoditve za nestanovitnost in prilagoditve za nestanovitnost za valutno n</w:t>
            </w:r>
            <w:r w:rsidRPr="003F57AB">
              <w:rPr>
                <w:rFonts w:ascii="Times New Roman" w:hAnsi="Times New Roman" w:cs="Times New Roman"/>
                <w:bCs/>
              </w:rPr>
              <w:t>eusklajenost iz člena 30(1) in (3) Uredbe (EU) 2019/2033.</w:t>
            </w:r>
          </w:p>
        </w:tc>
      </w:tr>
    </w:tbl>
    <w:p w14:paraId="008BF749" w14:textId="77777777" w:rsidR="00AE753A" w:rsidRPr="003F57AB" w:rsidRDefault="00AE753A">
      <w:pPr>
        <w:rPr>
          <w:rFonts w:ascii="Times New Roman" w:hAnsi="Times New Roman" w:cs="Times New Roman"/>
          <w:sz w:val="10"/>
          <w:szCs w:val="10"/>
        </w:rPr>
      </w:pPr>
    </w:p>
    <w:p w14:paraId="149A5149"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7975507"/>
      <w:r w:rsidRPr="003F57AB">
        <w:rPr>
          <w:rFonts w:ascii="Times New Roman" w:hAnsi="Times New Roman" w:cs="Times New Roman"/>
          <w:sz w:val="24"/>
          <w:szCs w:val="24"/>
          <w:u w:val="single"/>
        </w:rPr>
        <w:t>3.13 I 06.12 – DNEVNI TOK TRGOVANJA – DODATNE PODROBNOSTI (I 6.12)</w:t>
      </w:r>
      <w:bookmarkEnd w:id="77"/>
    </w:p>
    <w:p w14:paraId="7F2D25F9"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rPr>
      </w:pPr>
      <w:bookmarkStart w:id="78" w:name="_Toc87975508"/>
      <w:r w:rsidRPr="003F57AB">
        <w:rPr>
          <w:rFonts w:ascii="Times New Roman" w:hAnsi="Times New Roman" w:cs="Times New Roman"/>
          <w:sz w:val="24"/>
          <w:szCs w:val="24"/>
        </w:rPr>
        <w:t xml:space="preserve">3.13.1 </w:t>
      </w:r>
      <w:r w:rsidRPr="003F57AB">
        <w:rPr>
          <w:rFonts w:ascii="Times New Roman" w:hAnsi="Times New Roman" w:cs="Times New Roman"/>
        </w:rPr>
        <w:tab/>
      </w:r>
      <w:r w:rsidRPr="003F57AB">
        <w:rPr>
          <w:rFonts w:ascii="Times New Roman" w:hAnsi="Times New Roman" w:cs="Times New Roman"/>
          <w:sz w:val="24"/>
          <w:szCs w:val="24"/>
        </w:rPr>
        <w:t>Navodila za posamezne pozicije</w:t>
      </w:r>
      <w:bookmarkEnd w:id="7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38346F83" w14:textId="77777777">
        <w:tc>
          <w:tcPr>
            <w:tcW w:w="1129" w:type="dxa"/>
            <w:shd w:val="clear" w:color="auto" w:fill="D9D9D9"/>
          </w:tcPr>
          <w:p w14:paraId="0216BF9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3DC135A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514ECA3E" w14:textId="77777777">
        <w:tc>
          <w:tcPr>
            <w:tcW w:w="1129" w:type="dxa"/>
          </w:tcPr>
          <w:p w14:paraId="4EA6BA4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D44E66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Skupni DTF – denarni posli (povprečni </w:t>
            </w:r>
            <w:r w:rsidRPr="003F57AB">
              <w:rPr>
                <w:rFonts w:ascii="Times New Roman" w:hAnsi="Times New Roman" w:cs="Times New Roman"/>
                <w:b/>
                <w:bCs/>
                <w:u w:val="single"/>
              </w:rPr>
              <w:t>zneski)</w:t>
            </w:r>
          </w:p>
          <w:p w14:paraId="074892A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Investicijska podjetja poročajo aritmetično sredino zneskov „DTF – denarni posli“ za preostalih šest mesecev, v skladu s členom 33(1), prvi pododstavek, Uredbe (EU) 2019/2033, ki se izmerijo v skladu s členom 33(2), točka (a), Uredbe (EU) 2019/2033</w:t>
            </w:r>
            <w:r w:rsidRPr="003F57AB">
              <w:rPr>
                <w:rFonts w:ascii="Times New Roman" w:hAnsi="Times New Roman" w:cs="Times New Roman"/>
                <w:bCs/>
              </w:rPr>
              <w:t>.</w:t>
            </w:r>
          </w:p>
          <w:p w14:paraId="062EED3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Pri znesku, ki se poroča v tej celici, se upošteva člen 33(3) Uredbe (EU) 2019/2033.</w:t>
            </w:r>
          </w:p>
        </w:tc>
      </w:tr>
      <w:tr w:rsidR="00AE753A" w:rsidRPr="003F57AB" w14:paraId="65A24331" w14:textId="77777777">
        <w:tc>
          <w:tcPr>
            <w:tcW w:w="1129" w:type="dxa"/>
          </w:tcPr>
          <w:p w14:paraId="56B18B0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2EA77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Skupni DTF – posli z izvedenimi finančnimi instrumenti (povprečni zneski)</w:t>
            </w:r>
          </w:p>
          <w:p w14:paraId="3CDA5A1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33(2), točka (b), Uredbe (EU) št. 2019/2033.</w:t>
            </w:r>
          </w:p>
          <w:p w14:paraId="1FBFF01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Investicijska podjetja poročajo </w:t>
            </w:r>
            <w:r w:rsidRPr="003F57AB">
              <w:rPr>
                <w:rFonts w:ascii="Times New Roman" w:hAnsi="Times New Roman" w:cs="Times New Roman"/>
                <w:bCs/>
              </w:rPr>
              <w:t>aritmetično sredino zneskov „DTF – posli z izvedenimi finančnimi instrumenti“ za preostalih šest mesecev, v skladu s členom 33(1), prvi pododstavek, Uredbe (EU) 2019/2033, ki se izmerijo v skladu s členom 33(2), točka (b), Uredbe (EU) 2019/2033.</w:t>
            </w:r>
          </w:p>
          <w:p w14:paraId="21697460" w14:textId="77777777" w:rsidR="00AE753A" w:rsidRPr="003F57AB" w:rsidRDefault="003F57AB">
            <w:pPr>
              <w:spacing w:after="120" w:line="240" w:lineRule="auto"/>
              <w:jc w:val="both"/>
              <w:rPr>
                <w:rFonts w:ascii="Times New Roman" w:eastAsia="Times New Roman" w:hAnsi="Times New Roman" w:cs="Times New Roman"/>
                <w:bCs/>
                <w:u w:val="single"/>
              </w:rPr>
            </w:pPr>
            <w:r w:rsidRPr="003F57AB">
              <w:rPr>
                <w:rFonts w:ascii="Times New Roman" w:hAnsi="Times New Roman" w:cs="Times New Roman"/>
                <w:bCs/>
              </w:rPr>
              <w:t xml:space="preserve">Pri </w:t>
            </w:r>
            <w:r w:rsidRPr="003F57AB">
              <w:rPr>
                <w:rFonts w:ascii="Times New Roman" w:hAnsi="Times New Roman" w:cs="Times New Roman"/>
                <w:bCs/>
              </w:rPr>
              <w:t>znesku, ki se poroča v tej celici, se upošteva člen 33(3) Uredbe (EU) 2019/2033.</w:t>
            </w:r>
          </w:p>
        </w:tc>
      </w:tr>
    </w:tbl>
    <w:p w14:paraId="1CF8911C" w14:textId="77777777" w:rsidR="00AE753A" w:rsidRPr="003F57AB" w:rsidRDefault="00AE753A">
      <w:pPr>
        <w:rPr>
          <w:rFonts w:ascii="Times New Roman" w:eastAsia="Arial" w:hAnsi="Times New Roman" w:cs="Times New Roman"/>
          <w:sz w:val="24"/>
          <w:szCs w:val="24"/>
          <w:u w:val="single"/>
          <w:lang w:val="fr-FR"/>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55A36DB7" w14:textId="77777777">
        <w:tc>
          <w:tcPr>
            <w:tcW w:w="1129" w:type="dxa"/>
            <w:shd w:val="clear" w:color="auto" w:fill="D9D9D9"/>
          </w:tcPr>
          <w:p w14:paraId="06E39EA4"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szCs w:val="24"/>
              </w:rPr>
              <w:t>Stolpci</w:t>
            </w:r>
          </w:p>
        </w:tc>
        <w:tc>
          <w:tcPr>
            <w:tcW w:w="7620" w:type="dxa"/>
            <w:shd w:val="clear" w:color="auto" w:fill="D9D9D9"/>
          </w:tcPr>
          <w:p w14:paraId="6549A748"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szCs w:val="24"/>
              </w:rPr>
              <w:t>Pravna podlaga in navodila</w:t>
            </w:r>
          </w:p>
        </w:tc>
      </w:tr>
      <w:tr w:rsidR="00AE753A" w:rsidRPr="003F57AB" w14:paraId="246C330B" w14:textId="77777777">
        <w:tc>
          <w:tcPr>
            <w:tcW w:w="1129" w:type="dxa"/>
          </w:tcPr>
          <w:p w14:paraId="79B4E948"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0010</w:t>
            </w:r>
          </w:p>
        </w:tc>
        <w:tc>
          <w:tcPr>
            <w:tcW w:w="7620" w:type="dxa"/>
          </w:tcPr>
          <w:p w14:paraId="2C666D43"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Povprečni znesek faktorja – mesec t</w:t>
            </w:r>
          </w:p>
          <w:p w14:paraId="707A71CA"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 xml:space="preserve">Vrednost DTF na koncu tretjega (tj. zadnjega) meseca četrtletja, na katerega se nanaša </w:t>
            </w:r>
            <w:r w:rsidRPr="003F57AB">
              <w:rPr>
                <w:rFonts w:ascii="Times New Roman" w:hAnsi="Times New Roman" w:cs="Times New Roman"/>
                <w:bCs/>
                <w:szCs w:val="24"/>
              </w:rPr>
              <w:t>poročilo.</w:t>
            </w:r>
          </w:p>
        </w:tc>
      </w:tr>
      <w:tr w:rsidR="00AE753A" w:rsidRPr="003F57AB" w14:paraId="3FD48738" w14:textId="77777777">
        <w:tc>
          <w:tcPr>
            <w:tcW w:w="1129" w:type="dxa"/>
          </w:tcPr>
          <w:p w14:paraId="65EEECC2"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0020</w:t>
            </w:r>
          </w:p>
        </w:tc>
        <w:tc>
          <w:tcPr>
            <w:tcW w:w="7620" w:type="dxa"/>
          </w:tcPr>
          <w:p w14:paraId="19FDBE6C"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Povprečni znesek faktorja – mesec t–1</w:t>
            </w:r>
          </w:p>
          <w:p w14:paraId="367EF6F3"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Cs/>
                <w:szCs w:val="24"/>
              </w:rPr>
              <w:t>Vrednost DTF na koncu drugega meseca četrtletja, na katerega se nanaša poročilo.</w:t>
            </w:r>
          </w:p>
        </w:tc>
      </w:tr>
      <w:tr w:rsidR="00AE753A" w:rsidRPr="003F57AB" w14:paraId="2158B5B9" w14:textId="77777777">
        <w:tc>
          <w:tcPr>
            <w:tcW w:w="1129" w:type="dxa"/>
          </w:tcPr>
          <w:p w14:paraId="575438FF"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0030</w:t>
            </w:r>
          </w:p>
        </w:tc>
        <w:tc>
          <w:tcPr>
            <w:tcW w:w="7620" w:type="dxa"/>
          </w:tcPr>
          <w:p w14:paraId="551B7DAE"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Povprečni znesek faktorja – mesec t-2</w:t>
            </w:r>
          </w:p>
          <w:p w14:paraId="1AB15D65"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Cs/>
                <w:szCs w:val="24"/>
              </w:rPr>
              <w:t xml:space="preserve">Vrednost DTF na koncu prvega meseca četrtletja, na katerega se nanaša </w:t>
            </w:r>
            <w:r w:rsidRPr="003F57AB">
              <w:rPr>
                <w:rFonts w:ascii="Times New Roman" w:hAnsi="Times New Roman" w:cs="Times New Roman"/>
                <w:bCs/>
                <w:szCs w:val="24"/>
              </w:rPr>
              <w:t>poročilo.</w:t>
            </w:r>
          </w:p>
        </w:tc>
      </w:tr>
    </w:tbl>
    <w:p w14:paraId="63403F5D" w14:textId="77777777" w:rsidR="00AE753A" w:rsidRPr="003F57AB" w:rsidRDefault="00AE753A">
      <w:pPr>
        <w:rPr>
          <w:rFonts w:ascii="Times New Roman" w:eastAsia="Arial" w:hAnsi="Times New Roman" w:cs="Times New Roman"/>
          <w:sz w:val="24"/>
          <w:szCs w:val="24"/>
          <w:u w:val="single"/>
        </w:rPr>
      </w:pPr>
    </w:p>
    <w:p w14:paraId="32CBC5BA" w14:textId="77777777" w:rsidR="00AE753A" w:rsidRPr="003F57AB" w:rsidRDefault="003F57A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9" w:name="_Toc87975509"/>
      <w:r w:rsidRPr="003F57AB">
        <w:rPr>
          <w:rFonts w:ascii="Times New Roman" w:hAnsi="Times New Roman" w:cs="Times New Roman"/>
          <w:sz w:val="24"/>
          <w:szCs w:val="24"/>
          <w:u w:val="single"/>
        </w:rPr>
        <w:t>3.14 I 06.13 – POVPREČNA VREDNOST SKUPNEGA DNEVNEGA TOKA TRGOVANJA (I 6.13)</w:t>
      </w:r>
      <w:bookmarkEnd w:id="79"/>
    </w:p>
    <w:p w14:paraId="4E6D3C79" w14:textId="77777777" w:rsidR="00AE753A" w:rsidRPr="003F57AB" w:rsidRDefault="003F57AB">
      <w:pPr>
        <w:pStyle w:val="Instructionsberschrift2"/>
        <w:ind w:left="357" w:hanging="215"/>
        <w:rPr>
          <w:rFonts w:ascii="Times New Roman" w:hAnsi="Times New Roman" w:cs="Times New Roman"/>
          <w:sz w:val="24"/>
        </w:rPr>
      </w:pPr>
      <w:bookmarkStart w:id="80" w:name="_Toc87975510"/>
      <w:r w:rsidRPr="003F57AB">
        <w:rPr>
          <w:rFonts w:ascii="Times New Roman" w:hAnsi="Times New Roman" w:cs="Times New Roman"/>
          <w:sz w:val="24"/>
          <w:u w:val="none"/>
        </w:rPr>
        <w:t xml:space="preserve">3.14.1 </w:t>
      </w:r>
      <w:r w:rsidRPr="003F57AB">
        <w:rPr>
          <w:rFonts w:ascii="Times New Roman" w:hAnsi="Times New Roman" w:cs="Times New Roman"/>
          <w:sz w:val="24"/>
        </w:rPr>
        <w:t>Navodila za posamezne pozicije</w:t>
      </w:r>
      <w:bookmarkEnd w:id="8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1B8A71F0" w14:textId="77777777">
        <w:tc>
          <w:tcPr>
            <w:tcW w:w="1129" w:type="dxa"/>
            <w:shd w:val="clear" w:color="auto" w:fill="D9D9D9"/>
          </w:tcPr>
          <w:p w14:paraId="4FB5C7DF"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szCs w:val="24"/>
              </w:rPr>
              <w:t>Vrstica</w:t>
            </w:r>
          </w:p>
        </w:tc>
        <w:tc>
          <w:tcPr>
            <w:tcW w:w="7620" w:type="dxa"/>
            <w:shd w:val="clear" w:color="auto" w:fill="D9D9D9"/>
          </w:tcPr>
          <w:p w14:paraId="0BC18EA8"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szCs w:val="24"/>
              </w:rPr>
              <w:t>Pravna podlaga in navodila</w:t>
            </w:r>
          </w:p>
        </w:tc>
      </w:tr>
      <w:tr w:rsidR="00AE753A" w:rsidRPr="003F57AB" w14:paraId="7EFA0B52" w14:textId="77777777">
        <w:tc>
          <w:tcPr>
            <w:tcW w:w="1129" w:type="dxa"/>
          </w:tcPr>
          <w:p w14:paraId="2941D2CA"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D40579D"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Dnevni tok trgovanja – denarni posli</w:t>
            </w:r>
          </w:p>
          <w:p w14:paraId="086DFFC6"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rPr>
              <w:t xml:space="preserve">Povprečna vrednost skupnega dnevnega toka </w:t>
            </w:r>
            <w:r w:rsidRPr="003F57AB">
              <w:rPr>
                <w:rFonts w:ascii="Times New Roman" w:hAnsi="Times New Roman" w:cs="Times New Roman"/>
                <w:bCs/>
              </w:rPr>
              <w:t>trgovanja (denarna vrednost) za zadevni mesec, kot je navedeno v členu 33(1) Uredbe (EU) 2019/2033, ki se izmeri v skladu s členom 33(2), točka (a), Uredbe (EU) 2019/2033.</w:t>
            </w:r>
          </w:p>
        </w:tc>
      </w:tr>
      <w:tr w:rsidR="00AE753A" w:rsidRPr="003F57AB" w14:paraId="2572A468" w14:textId="77777777">
        <w:tc>
          <w:tcPr>
            <w:tcW w:w="1129" w:type="dxa"/>
          </w:tcPr>
          <w:p w14:paraId="59913210"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3A7198"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Dnevni tok trgovanja – posli z izvedenimi finančnimi instrumenti</w:t>
            </w:r>
          </w:p>
          <w:p w14:paraId="0724AFA3" w14:textId="77777777" w:rsidR="00AE753A" w:rsidRPr="003F57AB" w:rsidRDefault="003F57AB">
            <w:pPr>
              <w:spacing w:after="120" w:line="240" w:lineRule="auto"/>
              <w:jc w:val="both"/>
              <w:rPr>
                <w:rFonts w:ascii="Times New Roman" w:eastAsia="Times New Roman" w:hAnsi="Times New Roman" w:cs="Times New Roman"/>
                <w:bCs/>
                <w:szCs w:val="24"/>
                <w:u w:val="single"/>
              </w:rPr>
            </w:pPr>
            <w:r w:rsidRPr="003F57AB">
              <w:rPr>
                <w:rFonts w:ascii="Times New Roman" w:hAnsi="Times New Roman" w:cs="Times New Roman"/>
                <w:bCs/>
              </w:rPr>
              <w:t>Povprečna vre</w:t>
            </w:r>
            <w:r w:rsidRPr="003F57AB">
              <w:rPr>
                <w:rFonts w:ascii="Times New Roman" w:hAnsi="Times New Roman" w:cs="Times New Roman"/>
                <w:bCs/>
              </w:rPr>
              <w:t>dnost skupnega dnevnega toka trgovanja (posli z izvedenimi finančnimi instrumenti) za zadevni mesec, kot je navedeno v členu 33(1) Uredbe (EU) 2019/2033, ki se izmerijo v skladu s členom 33(2), točka (b), Uredbe (EU) 2019/2033.</w:t>
            </w:r>
          </w:p>
        </w:tc>
      </w:tr>
    </w:tbl>
    <w:p w14:paraId="3A19F95B" w14:textId="77777777" w:rsidR="00AE753A" w:rsidRPr="003F57AB" w:rsidRDefault="00AE753A">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77B999EC" w14:textId="77777777">
        <w:tc>
          <w:tcPr>
            <w:tcW w:w="1129" w:type="dxa"/>
            <w:shd w:val="clear" w:color="auto" w:fill="D9D9D9"/>
          </w:tcPr>
          <w:p w14:paraId="117FEE2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73E01CB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 xml:space="preserve">Pravna </w:t>
            </w:r>
            <w:r w:rsidRPr="003F57AB">
              <w:rPr>
                <w:rFonts w:ascii="Times New Roman" w:hAnsi="Times New Roman" w:cs="Times New Roman"/>
              </w:rPr>
              <w:t>podlaga in navodila</w:t>
            </w:r>
          </w:p>
        </w:tc>
      </w:tr>
      <w:tr w:rsidR="00AE753A" w:rsidRPr="003F57AB" w14:paraId="31DFBA14" w14:textId="77777777">
        <w:tc>
          <w:tcPr>
            <w:tcW w:w="1129" w:type="dxa"/>
          </w:tcPr>
          <w:p w14:paraId="2652FB0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0010–0080</w:t>
            </w:r>
          </w:p>
        </w:tc>
        <w:tc>
          <w:tcPr>
            <w:tcW w:w="7620" w:type="dxa"/>
          </w:tcPr>
          <w:p w14:paraId="587524F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Mesečna povprečja vrednosti skupnega dnevnega toka trgovanja</w:t>
            </w:r>
          </w:p>
          <w:p w14:paraId="2118076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Investicijska podjetja v vsakem ustreznem stolpcu meseca poročajo mesečno povprečno vrednost skupnega dnevnega toka trgovanja, merjenega vsak poslovni dan, v </w:t>
            </w:r>
            <w:r w:rsidRPr="003F57AB">
              <w:rPr>
                <w:rFonts w:ascii="Times New Roman" w:hAnsi="Times New Roman" w:cs="Times New Roman"/>
                <w:bCs/>
              </w:rPr>
              <w:t>skladu s členom 33(1) Uredbe (EU) 2019/2033.</w:t>
            </w:r>
          </w:p>
        </w:tc>
      </w:tr>
    </w:tbl>
    <w:p w14:paraId="6EF260B0" w14:textId="77777777" w:rsidR="00AE753A" w:rsidRPr="003F57AB" w:rsidRDefault="00AE753A">
      <w:pPr>
        <w:rPr>
          <w:rFonts w:ascii="Times New Roman" w:eastAsia="Arial" w:hAnsi="Times New Roman" w:cs="Times New Roman"/>
          <w:sz w:val="24"/>
          <w:szCs w:val="24"/>
          <w:u w:val="single"/>
        </w:rPr>
      </w:pPr>
    </w:p>
    <w:p w14:paraId="63742E74" w14:textId="77777777" w:rsidR="00AE753A" w:rsidRPr="003F57AB" w:rsidRDefault="003F57AB">
      <w:pPr>
        <w:pStyle w:val="Instructionsberschrift2"/>
        <w:ind w:left="357" w:hanging="357"/>
        <w:rPr>
          <w:rFonts w:ascii="Times New Roman" w:hAnsi="Times New Roman" w:cs="Times New Roman"/>
          <w:b/>
          <w:sz w:val="24"/>
        </w:rPr>
      </w:pPr>
      <w:bookmarkStart w:id="81" w:name="_Toc87975511"/>
      <w:r w:rsidRPr="003F57AB">
        <w:rPr>
          <w:rFonts w:ascii="Times New Roman" w:hAnsi="Times New Roman" w:cs="Times New Roman"/>
          <w:b/>
          <w:sz w:val="24"/>
        </w:rPr>
        <w:t>4. POROČANJE O TVEGANJU KONCENTRACIJE</w:t>
      </w:r>
      <w:bookmarkEnd w:id="81"/>
    </w:p>
    <w:p w14:paraId="7B271558" w14:textId="77777777" w:rsidR="00AE753A" w:rsidRPr="003F57AB" w:rsidRDefault="003F57AB">
      <w:pPr>
        <w:pStyle w:val="Instructionsberschrift2"/>
        <w:ind w:left="357" w:hanging="357"/>
        <w:rPr>
          <w:rFonts w:ascii="Times New Roman" w:hAnsi="Times New Roman" w:cs="Times New Roman"/>
          <w:sz w:val="24"/>
        </w:rPr>
      </w:pPr>
      <w:bookmarkStart w:id="82" w:name="_Toc87975512"/>
      <w:r w:rsidRPr="003F57AB">
        <w:rPr>
          <w:rFonts w:ascii="Times New Roman" w:hAnsi="Times New Roman" w:cs="Times New Roman"/>
          <w:sz w:val="24"/>
        </w:rPr>
        <w:t>4.1 Splošne opombe</w:t>
      </w:r>
      <w:bookmarkEnd w:id="82"/>
    </w:p>
    <w:p w14:paraId="256ABED1" w14:textId="77777777" w:rsidR="00AE753A" w:rsidRPr="003F57AB" w:rsidRDefault="003F57AB">
      <w:pPr>
        <w:spacing w:line="256" w:lineRule="auto"/>
        <w:ind w:left="993" w:hanging="567"/>
        <w:jc w:val="both"/>
        <w:rPr>
          <w:rFonts w:ascii="Times New Roman" w:hAnsi="Times New Roman" w:cs="Times New Roman"/>
          <w:sz w:val="24"/>
        </w:rPr>
      </w:pPr>
      <w:r w:rsidRPr="003F57AB">
        <w:rPr>
          <w:rFonts w:ascii="Times New Roman" w:hAnsi="Times New Roman" w:cs="Times New Roman"/>
          <w:sz w:val="24"/>
        </w:rPr>
        <w:t>16.</w:t>
      </w:r>
      <w:r w:rsidRPr="003F57AB">
        <w:rPr>
          <w:rFonts w:ascii="Times New Roman" w:hAnsi="Times New Roman" w:cs="Times New Roman"/>
          <w:sz w:val="24"/>
        </w:rPr>
        <w:tab/>
      </w:r>
      <w:r w:rsidRPr="003F57AB">
        <w:rPr>
          <w:rFonts w:ascii="Times New Roman" w:hAnsi="Times New Roman" w:cs="Times New Roman"/>
          <w:sz w:val="24"/>
        </w:rPr>
        <w:t>Poročanje o tveganju koncentracije vsebuje informacije o tveganjih koncentracije, ki jim je investicijsko podjetje izpostavljeno prek pozicij iz trgovalne knjige zaradi neplačila nasprotnih strank. To povzroči izračun K-CON, dodatne kapitalske zahteve zara</w:t>
      </w:r>
      <w:r w:rsidRPr="003F57AB">
        <w:rPr>
          <w:rFonts w:ascii="Times New Roman" w:hAnsi="Times New Roman" w:cs="Times New Roman"/>
          <w:sz w:val="24"/>
        </w:rPr>
        <w:t xml:space="preserve">di izpostavljenosti, ki jih ima investicijsko podjetje v bilanci stanja. </w:t>
      </w:r>
      <w:r w:rsidRPr="003F57AB">
        <w:rPr>
          <w:rFonts w:ascii="Times New Roman" w:hAnsi="Times New Roman" w:cs="Times New Roman"/>
        </w:rPr>
        <w:t>To je v skladu z opredelitvijo „tveganja koncentracije“ iz člena 4(1), točka 31, Uredbe (EU) 2019/2033, pri kateri:</w:t>
      </w:r>
      <w:r w:rsidRPr="003F57AB">
        <w:rPr>
          <w:rFonts w:ascii="Times New Roman" w:hAnsi="Times New Roman" w:cs="Times New Roman"/>
          <w:sz w:val="24"/>
        </w:rPr>
        <w:t xml:space="preserve"> „tveganje koncentracije“ ali „CON“ pomeni izpostavljenosti v trgova</w:t>
      </w:r>
      <w:r w:rsidRPr="003F57AB">
        <w:rPr>
          <w:rFonts w:ascii="Times New Roman" w:hAnsi="Times New Roman" w:cs="Times New Roman"/>
          <w:sz w:val="24"/>
        </w:rPr>
        <w:t>lni knjigi investicijskega podjetja do stranke ali skupine povezanih strank, katerih vrednost presega omejitve iz člena 37(1).</w:t>
      </w:r>
    </w:p>
    <w:p w14:paraId="0B27167F" w14:textId="77777777" w:rsidR="00AE753A" w:rsidRPr="003F57AB" w:rsidRDefault="003F57AB">
      <w:pPr>
        <w:spacing w:line="256" w:lineRule="auto"/>
        <w:ind w:left="993" w:hanging="567"/>
        <w:jc w:val="both"/>
        <w:rPr>
          <w:rFonts w:ascii="Times New Roman" w:hAnsi="Times New Roman" w:cs="Times New Roman"/>
          <w:sz w:val="24"/>
        </w:rPr>
      </w:pPr>
      <w:r w:rsidRPr="003F57AB">
        <w:rPr>
          <w:rFonts w:ascii="Times New Roman" w:hAnsi="Times New Roman" w:cs="Times New Roman"/>
          <w:sz w:val="24"/>
        </w:rPr>
        <w:t>17.</w:t>
      </w:r>
      <w:r w:rsidRPr="003F57AB">
        <w:rPr>
          <w:rFonts w:ascii="Times New Roman" w:hAnsi="Times New Roman" w:cs="Times New Roman"/>
          <w:sz w:val="24"/>
        </w:rPr>
        <w:tab/>
        <w:t>Poročanje o tveganju koncentracije vključuje tudi informacije o naslednjem:</w:t>
      </w:r>
    </w:p>
    <w:p w14:paraId="7596ACF2" w14:textId="77777777" w:rsidR="00AE753A" w:rsidRPr="003F57AB" w:rsidRDefault="003F57AB">
      <w:pPr>
        <w:spacing w:after="0" w:line="276" w:lineRule="auto"/>
        <w:ind w:left="2160" w:hanging="180"/>
        <w:jc w:val="both"/>
        <w:rPr>
          <w:rFonts w:ascii="Times New Roman" w:hAnsi="Times New Roman" w:cs="Times New Roman"/>
          <w:sz w:val="24"/>
        </w:rPr>
      </w:pPr>
      <w:r w:rsidRPr="003F57AB">
        <w:rPr>
          <w:rFonts w:ascii="Times New Roman" w:hAnsi="Times New Roman" w:cs="Times New Roman"/>
          <w:sz w:val="24"/>
        </w:rPr>
        <w:t>i.</w:t>
      </w:r>
      <w:r w:rsidRPr="003F57AB">
        <w:rPr>
          <w:rFonts w:ascii="Times New Roman" w:hAnsi="Times New Roman" w:cs="Times New Roman"/>
          <w:sz w:val="24"/>
        </w:rPr>
        <w:tab/>
        <w:t>denarju strank, ki se upravlja,</w:t>
      </w:r>
    </w:p>
    <w:p w14:paraId="3075C390" w14:textId="77777777" w:rsidR="00AE753A" w:rsidRPr="003F57AB" w:rsidRDefault="003F57AB">
      <w:pPr>
        <w:spacing w:after="0" w:line="276" w:lineRule="auto"/>
        <w:ind w:left="2160" w:hanging="180"/>
        <w:jc w:val="both"/>
        <w:rPr>
          <w:rFonts w:ascii="Times New Roman" w:hAnsi="Times New Roman" w:cs="Times New Roman"/>
          <w:sz w:val="24"/>
        </w:rPr>
      </w:pPr>
      <w:r w:rsidRPr="003F57AB">
        <w:rPr>
          <w:rFonts w:ascii="Times New Roman" w:hAnsi="Times New Roman" w:cs="Times New Roman"/>
          <w:sz w:val="24"/>
        </w:rPr>
        <w:t>ii.</w:t>
      </w:r>
      <w:r w:rsidRPr="003F57AB">
        <w:rPr>
          <w:rFonts w:ascii="Times New Roman" w:hAnsi="Times New Roman" w:cs="Times New Roman"/>
          <w:sz w:val="24"/>
        </w:rPr>
        <w:tab/>
        <w:t xml:space="preserve">sredstvih </w:t>
      </w:r>
      <w:r w:rsidRPr="003F57AB">
        <w:rPr>
          <w:rFonts w:ascii="Times New Roman" w:hAnsi="Times New Roman" w:cs="Times New Roman"/>
          <w:sz w:val="24"/>
        </w:rPr>
        <w:t>strank,</w:t>
      </w:r>
    </w:p>
    <w:p w14:paraId="30DC4AB3" w14:textId="77777777" w:rsidR="00AE753A" w:rsidRPr="003F57AB" w:rsidRDefault="003F57AB">
      <w:pPr>
        <w:spacing w:after="0" w:line="276" w:lineRule="auto"/>
        <w:ind w:left="2160" w:hanging="180"/>
        <w:jc w:val="both"/>
        <w:rPr>
          <w:rFonts w:ascii="Times New Roman" w:hAnsi="Times New Roman" w:cs="Times New Roman"/>
          <w:sz w:val="24"/>
        </w:rPr>
      </w:pPr>
      <w:r w:rsidRPr="003F57AB">
        <w:rPr>
          <w:rFonts w:ascii="Times New Roman" w:hAnsi="Times New Roman" w:cs="Times New Roman"/>
          <w:sz w:val="24"/>
        </w:rPr>
        <w:t>iii.</w:t>
      </w:r>
      <w:r w:rsidRPr="003F57AB">
        <w:rPr>
          <w:rFonts w:ascii="Times New Roman" w:hAnsi="Times New Roman" w:cs="Times New Roman"/>
          <w:sz w:val="24"/>
        </w:rPr>
        <w:tab/>
        <w:t>lastnih denarnih sredstvih podjetja,</w:t>
      </w:r>
    </w:p>
    <w:p w14:paraId="0E2A7146" w14:textId="77777777" w:rsidR="00AE753A" w:rsidRPr="003F57AB" w:rsidRDefault="003F57AB">
      <w:pPr>
        <w:spacing w:after="0" w:line="276" w:lineRule="auto"/>
        <w:ind w:left="2160" w:hanging="180"/>
        <w:jc w:val="both"/>
        <w:rPr>
          <w:rFonts w:ascii="Times New Roman" w:hAnsi="Times New Roman" w:cs="Times New Roman"/>
          <w:sz w:val="24"/>
        </w:rPr>
      </w:pPr>
      <w:r w:rsidRPr="003F57AB">
        <w:rPr>
          <w:rFonts w:ascii="Times New Roman" w:hAnsi="Times New Roman" w:cs="Times New Roman"/>
          <w:sz w:val="24"/>
        </w:rPr>
        <w:t>iv.</w:t>
      </w:r>
      <w:r w:rsidRPr="003F57AB">
        <w:rPr>
          <w:rFonts w:ascii="Times New Roman" w:hAnsi="Times New Roman" w:cs="Times New Roman"/>
          <w:sz w:val="24"/>
        </w:rPr>
        <w:tab/>
        <w:t>dobičkih od strank,</w:t>
      </w:r>
    </w:p>
    <w:p w14:paraId="0D483F68" w14:textId="77777777" w:rsidR="00AE753A" w:rsidRPr="003F57AB" w:rsidRDefault="003F57AB">
      <w:pPr>
        <w:spacing w:after="0" w:line="276" w:lineRule="auto"/>
        <w:ind w:left="2160" w:hanging="180"/>
        <w:jc w:val="both"/>
        <w:rPr>
          <w:rFonts w:ascii="Times New Roman" w:hAnsi="Times New Roman" w:cs="Times New Roman"/>
          <w:sz w:val="24"/>
        </w:rPr>
      </w:pPr>
      <w:r w:rsidRPr="003F57AB">
        <w:rPr>
          <w:rFonts w:ascii="Times New Roman" w:hAnsi="Times New Roman" w:cs="Times New Roman"/>
          <w:sz w:val="24"/>
        </w:rPr>
        <w:t>v.</w:t>
      </w:r>
      <w:r w:rsidRPr="003F57AB">
        <w:rPr>
          <w:rFonts w:ascii="Times New Roman" w:hAnsi="Times New Roman" w:cs="Times New Roman"/>
          <w:sz w:val="24"/>
        </w:rPr>
        <w:tab/>
        <w:t>pozicijah v trgovalni knjigi.</w:t>
      </w:r>
    </w:p>
    <w:p w14:paraId="27B53C5E" w14:textId="77777777" w:rsidR="00AE753A" w:rsidRPr="003F57AB" w:rsidRDefault="003F57AB">
      <w:pPr>
        <w:spacing w:after="0" w:line="276" w:lineRule="auto"/>
        <w:ind w:left="2160" w:hanging="180"/>
        <w:jc w:val="both"/>
        <w:rPr>
          <w:rFonts w:ascii="Times New Roman" w:hAnsi="Times New Roman" w:cs="Times New Roman"/>
          <w:sz w:val="24"/>
        </w:rPr>
      </w:pPr>
      <w:r w:rsidRPr="003F57AB">
        <w:rPr>
          <w:rFonts w:ascii="Times New Roman" w:hAnsi="Times New Roman" w:cs="Times New Roman"/>
          <w:sz w:val="24"/>
        </w:rPr>
        <w:t>vi.</w:t>
      </w:r>
      <w:r w:rsidRPr="003F57AB">
        <w:rPr>
          <w:rFonts w:ascii="Times New Roman" w:hAnsi="Times New Roman" w:cs="Times New Roman"/>
          <w:sz w:val="24"/>
        </w:rPr>
        <w:tab/>
        <w:t>izpostavljenostih, izračunanih ob upoštevanju sredstev in zunajbilančnih postavk, ki niso evidentirani v trgovalni knjigi.</w:t>
      </w:r>
    </w:p>
    <w:p w14:paraId="6ED9B5D7" w14:textId="77777777" w:rsidR="00AE753A" w:rsidRPr="003F57AB" w:rsidRDefault="003F57AB">
      <w:pPr>
        <w:spacing w:line="256" w:lineRule="auto"/>
        <w:ind w:left="993" w:hanging="567"/>
        <w:jc w:val="both"/>
        <w:rPr>
          <w:rFonts w:ascii="Times New Roman" w:hAnsi="Times New Roman" w:cs="Times New Roman"/>
          <w:sz w:val="24"/>
        </w:rPr>
      </w:pPr>
      <w:r w:rsidRPr="003F57AB">
        <w:rPr>
          <w:rFonts w:ascii="Times New Roman" w:hAnsi="Times New Roman" w:cs="Times New Roman"/>
          <w:sz w:val="24"/>
        </w:rPr>
        <w:t>18.</w:t>
      </w:r>
      <w:r w:rsidRPr="003F57AB">
        <w:rPr>
          <w:rFonts w:ascii="Times New Roman" w:hAnsi="Times New Roman" w:cs="Times New Roman"/>
          <w:sz w:val="24"/>
        </w:rPr>
        <w:tab/>
      </w:r>
      <w:r w:rsidRPr="003F57AB">
        <w:rPr>
          <w:rFonts w:ascii="Times New Roman" w:hAnsi="Times New Roman" w:cs="Times New Roman"/>
        </w:rPr>
        <w:t>Čeprav se besedilo</w:t>
      </w:r>
      <w:r w:rsidRPr="003F57AB">
        <w:rPr>
          <w:rFonts w:ascii="Times New Roman" w:hAnsi="Times New Roman" w:cs="Times New Roman"/>
        </w:rPr>
        <w:t xml:space="preserve"> v členu 54(2) Uredbe (EU) 2019/2033 sklicuje tudi na „tveganje koncentracije“, opredelitev tega pojma v členu 4(1), točka 31, Uredbe (EU) 2019/2033 in omejitve iz člena 37(1) Uredbe (EU) 2019/2033 niso združljivi s postavkami, opisanimi v členu 54(2), toč</w:t>
      </w:r>
      <w:r w:rsidRPr="003F57AB">
        <w:rPr>
          <w:rFonts w:ascii="Times New Roman" w:hAnsi="Times New Roman" w:cs="Times New Roman"/>
        </w:rPr>
        <w:t>ke (b) do (e), Uredbe (EU) 2019/2033.</w:t>
      </w:r>
      <w:r w:rsidRPr="003F57AB">
        <w:rPr>
          <w:rFonts w:ascii="Times New Roman" w:hAnsi="Times New Roman" w:cs="Times New Roman"/>
          <w:sz w:val="24"/>
        </w:rPr>
        <w:t xml:space="preserve"> Zaradi tega razloga je zahtevano poročanje osredotočeno na pet največjih pozicij, če so na voljo, v zvezi z vsako od postavk (i) do (vi) odstavka 19, ki jih ima ali se lahko pripišejo določeni instituciji, strani ali s</w:t>
      </w:r>
      <w:r w:rsidRPr="003F57AB">
        <w:rPr>
          <w:rFonts w:ascii="Times New Roman" w:hAnsi="Times New Roman" w:cs="Times New Roman"/>
          <w:sz w:val="24"/>
        </w:rPr>
        <w:t>ubjektu. To poročanje omogoča pristojnim organom, da bolje razumejo tveganja, s katerimi se soočajo investicijska podjetja v zvezi z njimi.</w:t>
      </w:r>
    </w:p>
    <w:p w14:paraId="3121F530" w14:textId="77777777" w:rsidR="00AE753A" w:rsidRPr="003F57AB" w:rsidRDefault="003F57AB">
      <w:pPr>
        <w:spacing w:line="256" w:lineRule="auto"/>
        <w:ind w:left="993" w:hanging="567"/>
        <w:jc w:val="both"/>
        <w:rPr>
          <w:rFonts w:ascii="Times New Roman" w:hAnsi="Times New Roman" w:cs="Times New Roman"/>
          <w:sz w:val="24"/>
        </w:rPr>
      </w:pPr>
      <w:r w:rsidRPr="003F57AB">
        <w:rPr>
          <w:rFonts w:ascii="Times New Roman" w:hAnsi="Times New Roman" w:cs="Times New Roman"/>
          <w:sz w:val="24"/>
        </w:rPr>
        <w:t>19.</w:t>
      </w:r>
      <w:r w:rsidRPr="003F57AB">
        <w:rPr>
          <w:rFonts w:ascii="Times New Roman" w:hAnsi="Times New Roman" w:cs="Times New Roman"/>
          <w:sz w:val="24"/>
        </w:rPr>
        <w:tab/>
        <w:t xml:space="preserve">Poročanje o tveganju koncentracije je zajeto v predlogah I 07.00 in I 08.00, v skladu s členom 54(2) </w:t>
      </w:r>
      <w:r w:rsidRPr="003F57AB">
        <w:rPr>
          <w:rFonts w:ascii="Times New Roman" w:hAnsi="Times New Roman" w:cs="Times New Roman"/>
          <w:sz w:val="24"/>
        </w:rPr>
        <w:t>Uredbe (EU) 2019/2033 pa podjetjem, ki izpolnjujejo pogoje za uvrstitev med mala in nepovezana investicijska podjetja iz člena 12(1) Uredbe (EU) 2019/2033, ni treba poročati informacij v zvezi s tem.</w:t>
      </w:r>
    </w:p>
    <w:p w14:paraId="7EC8047B" w14:textId="77777777" w:rsidR="00AE753A" w:rsidRPr="003F57AB" w:rsidRDefault="003F57AB">
      <w:pPr>
        <w:pStyle w:val="Instructionsberschrift2"/>
        <w:ind w:left="0"/>
        <w:rPr>
          <w:rFonts w:ascii="Times New Roman" w:hAnsi="Times New Roman" w:cs="Times New Roman"/>
          <w:sz w:val="24"/>
        </w:rPr>
      </w:pPr>
      <w:bookmarkStart w:id="83" w:name="_Toc87975513"/>
      <w:r w:rsidRPr="003F57AB">
        <w:rPr>
          <w:rFonts w:ascii="Times New Roman" w:hAnsi="Times New Roman" w:cs="Times New Roman"/>
          <w:sz w:val="24"/>
        </w:rPr>
        <w:t>4.2 I 07.00 – DODATNE PODROBNOSTI O K-CON (I7)</w:t>
      </w:r>
      <w:bookmarkEnd w:id="83"/>
    </w:p>
    <w:p w14:paraId="5A60DEEA" w14:textId="77777777" w:rsidR="00AE753A" w:rsidRPr="003F57AB" w:rsidRDefault="003F57AB">
      <w:pPr>
        <w:pStyle w:val="Instructionsberschrift2"/>
        <w:ind w:left="0"/>
        <w:rPr>
          <w:rFonts w:ascii="Times New Roman" w:hAnsi="Times New Roman" w:cs="Times New Roman"/>
        </w:rPr>
      </w:pPr>
      <w:bookmarkStart w:id="84" w:name="_Toc87975514"/>
      <w:r w:rsidRPr="003F57AB">
        <w:rPr>
          <w:rFonts w:ascii="Times New Roman" w:hAnsi="Times New Roman" w:cs="Times New Roman"/>
          <w:sz w:val="24"/>
          <w:u w:val="none"/>
        </w:rPr>
        <w:t xml:space="preserve">4.2.1 </w:t>
      </w:r>
      <w:r w:rsidRPr="003F57AB">
        <w:rPr>
          <w:rFonts w:ascii="Times New Roman" w:hAnsi="Times New Roman" w:cs="Times New Roman"/>
        </w:rPr>
        <w:tab/>
      </w:r>
      <w:r w:rsidRPr="003F57AB">
        <w:rPr>
          <w:rFonts w:ascii="Times New Roman" w:hAnsi="Times New Roman" w:cs="Times New Roman"/>
          <w:sz w:val="24"/>
        </w:rPr>
        <w:t>Na</w:t>
      </w:r>
      <w:r w:rsidRPr="003F57AB">
        <w:rPr>
          <w:rFonts w:ascii="Times New Roman" w:hAnsi="Times New Roman" w:cs="Times New Roman"/>
          <w:sz w:val="24"/>
        </w:rPr>
        <w:t>vodila za posamezne pozicije</w:t>
      </w:r>
      <w:bookmarkEnd w:id="84"/>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AE753A" w:rsidRPr="003F57AB" w14:paraId="1E2C3B12" w14:textId="77777777">
        <w:tc>
          <w:tcPr>
            <w:tcW w:w="1389" w:type="dxa"/>
            <w:shd w:val="clear" w:color="auto" w:fill="D9D9D9"/>
          </w:tcPr>
          <w:p w14:paraId="5154972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35371BA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62518A69" w14:textId="77777777">
        <w:tc>
          <w:tcPr>
            <w:tcW w:w="1389" w:type="dxa"/>
          </w:tcPr>
          <w:p w14:paraId="21E2E8D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0010–0060</w:t>
            </w:r>
          </w:p>
        </w:tc>
        <w:tc>
          <w:tcPr>
            <w:tcW w:w="7620" w:type="dxa"/>
          </w:tcPr>
          <w:p w14:paraId="190C89D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ID nasprotne stranke</w:t>
            </w:r>
          </w:p>
          <w:p w14:paraId="11115E0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 xml:space="preserve">Investicijsko podjetje poroča identiteto nasprotnih strank ali skupine povezanih strank, do katerih ima izpostavljenost, ki presega omejitve iz člena 37(1) </w:t>
            </w:r>
            <w:r w:rsidRPr="003F57AB">
              <w:rPr>
                <w:rFonts w:ascii="Times New Roman" w:hAnsi="Times New Roman" w:cs="Times New Roman"/>
                <w:bCs/>
              </w:rPr>
              <w:t>Uredbe (EU) 2019/2033.</w:t>
            </w:r>
          </w:p>
        </w:tc>
      </w:tr>
      <w:tr w:rsidR="00AE753A" w:rsidRPr="003F57AB" w14:paraId="7A84C339" w14:textId="77777777">
        <w:tc>
          <w:tcPr>
            <w:tcW w:w="1389" w:type="dxa"/>
          </w:tcPr>
          <w:p w14:paraId="6D37C3B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0010</w:t>
            </w:r>
          </w:p>
        </w:tc>
        <w:tc>
          <w:tcPr>
            <w:tcW w:w="7620" w:type="dxa"/>
          </w:tcPr>
          <w:p w14:paraId="0F5D5BEB" w14:textId="77777777" w:rsidR="00AE753A" w:rsidRPr="003F57AB" w:rsidRDefault="003F57AB">
            <w:pPr>
              <w:pStyle w:val="InstructionsText"/>
              <w:rPr>
                <w:rStyle w:val="InstructionsTabelleberschrift"/>
                <w:rFonts w:ascii="Times New Roman" w:hAnsi="Times New Roman"/>
                <w:sz w:val="22"/>
                <w:szCs w:val="22"/>
              </w:rPr>
            </w:pPr>
            <w:r w:rsidRPr="003F57AB">
              <w:rPr>
                <w:rStyle w:val="InstructionsTabelleberschrift"/>
                <w:rFonts w:ascii="Times New Roman" w:hAnsi="Times New Roman"/>
                <w:sz w:val="22"/>
                <w:szCs w:val="22"/>
              </w:rPr>
              <w:t>Koda</w:t>
            </w:r>
          </w:p>
          <w:p w14:paraId="0B9BFEA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 xml:space="preserve">Koda mora biti kot del identifikatorja vrstice enoznačna za vsak sporočeni subjekt. Koda za investicijska podjetja in zavarovalnice je koda LEI. Koda za druge subjekte je koda LEI ali nacionalna koda, če koda LEI ni na </w:t>
            </w:r>
            <w:r w:rsidRPr="003F57AB">
              <w:rPr>
                <w:rStyle w:val="FormatvorlageInstructionsTabelleText"/>
                <w:rFonts w:ascii="Times New Roman" w:hAnsi="Times New Roman"/>
                <w:sz w:val="22"/>
              </w:rPr>
              <w:t>voljo. Koda je enoznačna in se uporablja dosledno v vseh predlogah in skozi čas. Koda ima vedno določeno vrednost.</w:t>
            </w:r>
          </w:p>
        </w:tc>
      </w:tr>
      <w:tr w:rsidR="00AE753A" w:rsidRPr="003F57AB" w14:paraId="0B481887" w14:textId="77777777">
        <w:tc>
          <w:tcPr>
            <w:tcW w:w="1389" w:type="dxa"/>
          </w:tcPr>
          <w:p w14:paraId="5242664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Pr>
          <w:p w14:paraId="5859B1E4" w14:textId="77777777" w:rsidR="00AE753A" w:rsidRPr="003F57AB" w:rsidRDefault="003F57AB">
            <w:pPr>
              <w:pStyle w:val="InstructionsText"/>
              <w:rPr>
                <w:rStyle w:val="InstructionsTabelleberschrift"/>
                <w:rFonts w:ascii="Times New Roman" w:hAnsi="Times New Roman"/>
                <w:sz w:val="22"/>
                <w:szCs w:val="22"/>
              </w:rPr>
            </w:pPr>
            <w:r w:rsidRPr="003F57AB">
              <w:rPr>
                <w:rStyle w:val="InstructionsTabelleberschrift"/>
                <w:rFonts w:ascii="Times New Roman" w:hAnsi="Times New Roman"/>
                <w:sz w:val="22"/>
                <w:szCs w:val="22"/>
              </w:rPr>
              <w:t>Vrsta kode</w:t>
            </w:r>
          </w:p>
          <w:p w14:paraId="040A4F5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Investicijska podjetja za vrsto kode, sporočene v stolpcu 0010, navedejo „koda LEI“ ali „nacionalna koda“.</w:t>
            </w:r>
          </w:p>
          <w:p w14:paraId="1A92C2C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Vrsto kode je tre</w:t>
            </w:r>
            <w:r w:rsidRPr="003F57AB">
              <w:rPr>
                <w:rFonts w:ascii="Times New Roman" w:hAnsi="Times New Roman" w:cs="Times New Roman"/>
                <w:bCs/>
              </w:rPr>
              <w:t>ba vedno sporočiti.</w:t>
            </w:r>
          </w:p>
        </w:tc>
      </w:tr>
      <w:tr w:rsidR="00AE753A" w:rsidRPr="003F57AB" w14:paraId="3D83AD28" w14:textId="77777777">
        <w:tc>
          <w:tcPr>
            <w:tcW w:w="1389" w:type="dxa"/>
          </w:tcPr>
          <w:p w14:paraId="67E1B5A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Pr>
          <w:p w14:paraId="5902B3D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Ime</w:t>
            </w:r>
          </w:p>
          <w:p w14:paraId="57BB0A3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 primeru poročanja o skupini povezanih strank ime ustreza imenu obvladujočega podjetja. V vseh drugih primerih ime ustreza posamezni nasprotni stranki.</w:t>
            </w:r>
          </w:p>
        </w:tc>
      </w:tr>
      <w:tr w:rsidR="00AE753A" w:rsidRPr="003F57AB" w14:paraId="4BB453C8" w14:textId="77777777">
        <w:tc>
          <w:tcPr>
            <w:tcW w:w="1389" w:type="dxa"/>
          </w:tcPr>
          <w:p w14:paraId="7F96B4D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Pr>
          <w:p w14:paraId="53A3953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Skupine/posamezniki</w:t>
            </w:r>
          </w:p>
          <w:p w14:paraId="45A0FA6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 xml:space="preserve">Investicijsko podjetje navede „1“ za poročanje </w:t>
            </w:r>
            <w:r w:rsidRPr="003F57AB">
              <w:rPr>
                <w:rFonts w:ascii="Times New Roman" w:hAnsi="Times New Roman" w:cs="Times New Roman"/>
              </w:rPr>
              <w:t>o izpostavljenostih do posameznih strank ali „2“ za poročanje o izpostavljenostih do skupin povezanih strank.</w:t>
            </w:r>
          </w:p>
        </w:tc>
      </w:tr>
      <w:tr w:rsidR="00AE753A" w:rsidRPr="003F57AB" w14:paraId="00713617" w14:textId="77777777">
        <w:tc>
          <w:tcPr>
            <w:tcW w:w="1389" w:type="dxa"/>
          </w:tcPr>
          <w:p w14:paraId="5FFF093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Pr>
          <w:p w14:paraId="5611F3A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Vrsta nasprotne stranke</w:t>
            </w:r>
          </w:p>
          <w:p w14:paraId="09BD11A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Investicijsko podjetje za vsako izpostavljenost poroča, ali je povezana s:</w:t>
            </w:r>
          </w:p>
          <w:p w14:paraId="355A1DA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1. kreditno institucijo ali </w:t>
            </w:r>
            <w:r w:rsidRPr="003F57AB">
              <w:rPr>
                <w:rFonts w:ascii="Times New Roman" w:hAnsi="Times New Roman" w:cs="Times New Roman"/>
                <w:bCs/>
              </w:rPr>
              <w:t>skupino povezanih strank, ki vključuje kreditno institucijo;</w:t>
            </w:r>
          </w:p>
          <w:p w14:paraId="5D30C3D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2. investicijskim podjetjem ali skupino povezanih strank, ki vključuje investicijsko podjetje;</w:t>
            </w:r>
          </w:p>
          <w:p w14:paraId="32D715E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3. drugim subjektom, ki ni kreditna institucija ali investicijsko podjetje, ali skupino povezanih st</w:t>
            </w:r>
            <w:r w:rsidRPr="003F57AB">
              <w:rPr>
                <w:rFonts w:ascii="Times New Roman" w:hAnsi="Times New Roman" w:cs="Times New Roman"/>
                <w:bCs/>
              </w:rPr>
              <w:t>rank, ki vključuje investicijsko podjetje ali institucijo.</w:t>
            </w:r>
          </w:p>
        </w:tc>
      </w:tr>
      <w:tr w:rsidR="00AE753A" w:rsidRPr="003F57AB" w14:paraId="594B6C5D" w14:textId="77777777">
        <w:tc>
          <w:tcPr>
            <w:tcW w:w="1389" w:type="dxa"/>
          </w:tcPr>
          <w:p w14:paraId="1234AFA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0060–0110</w:t>
            </w:r>
          </w:p>
        </w:tc>
        <w:tc>
          <w:tcPr>
            <w:tcW w:w="7620" w:type="dxa"/>
          </w:tcPr>
          <w:p w14:paraId="0A4456D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Izpostavljenosti iz trgovalne knjige, ki presegajo omejitve iz člena 37(1) Uredbe (EU) 2019/2033</w:t>
            </w:r>
          </w:p>
          <w:p w14:paraId="7AC4570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Investicijsko podjetje poroča informacije o vsaki izpostavljenosti, ki presega omejitve, </w:t>
            </w:r>
            <w:r w:rsidRPr="003F57AB">
              <w:rPr>
                <w:rFonts w:ascii="Times New Roman" w:hAnsi="Times New Roman" w:cs="Times New Roman"/>
                <w:bCs/>
              </w:rPr>
              <w:t>določene v členu 37(1) Uredbe (EU) 2019/2033, v skladu s členoma 36 in 39 Uredbe (EU) 2019/2033.</w:t>
            </w:r>
          </w:p>
        </w:tc>
      </w:tr>
      <w:tr w:rsidR="00AE753A" w:rsidRPr="003F57AB" w14:paraId="76FDDB01" w14:textId="77777777">
        <w:tc>
          <w:tcPr>
            <w:tcW w:w="1389" w:type="dxa"/>
          </w:tcPr>
          <w:p w14:paraId="3D8912A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w:t>
            </w:r>
          </w:p>
        </w:tc>
        <w:tc>
          <w:tcPr>
            <w:tcW w:w="7620" w:type="dxa"/>
          </w:tcPr>
          <w:p w14:paraId="4E9DC64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Vrednost izpostavljenosti</w:t>
            </w:r>
          </w:p>
          <w:p w14:paraId="15CD107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36 Uredbe (EU) 2019/2033.</w:t>
            </w:r>
          </w:p>
        </w:tc>
      </w:tr>
      <w:tr w:rsidR="00AE753A" w:rsidRPr="003F57AB" w14:paraId="11D7F60B" w14:textId="77777777">
        <w:tc>
          <w:tcPr>
            <w:tcW w:w="1389" w:type="dxa"/>
          </w:tcPr>
          <w:p w14:paraId="03C7A88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0070</w:t>
            </w:r>
          </w:p>
        </w:tc>
        <w:tc>
          <w:tcPr>
            <w:tcW w:w="7620" w:type="dxa"/>
          </w:tcPr>
          <w:p w14:paraId="1D9923E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Vrednost izpostavljenosti (kot % kapitala)</w:t>
            </w:r>
          </w:p>
          <w:p w14:paraId="17040F9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Izpostavljenost, izračunana v skladu s </w:t>
            </w:r>
            <w:r w:rsidRPr="003F57AB">
              <w:rPr>
                <w:rFonts w:ascii="Times New Roman" w:hAnsi="Times New Roman" w:cs="Times New Roman"/>
                <w:bCs/>
              </w:rPr>
              <w:t>členom 36 Uredbe (EU) 2019/2033 in izražena kot odstotek kapitala podjetja.</w:t>
            </w:r>
          </w:p>
        </w:tc>
      </w:tr>
      <w:tr w:rsidR="00AE753A" w:rsidRPr="003F57AB" w14:paraId="424708D6" w14:textId="77777777">
        <w:tc>
          <w:tcPr>
            <w:tcW w:w="1389" w:type="dxa"/>
          </w:tcPr>
          <w:p w14:paraId="2506CF1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0080</w:t>
            </w:r>
          </w:p>
        </w:tc>
        <w:tc>
          <w:tcPr>
            <w:tcW w:w="7620" w:type="dxa"/>
          </w:tcPr>
          <w:p w14:paraId="1142E5E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Kapitalska zahteva skupne izpostavljenosti (OFR)</w:t>
            </w:r>
          </w:p>
          <w:p w14:paraId="4E7A3B70" w14:textId="77777777" w:rsidR="00AE753A" w:rsidRPr="003F57AB" w:rsidRDefault="003F57AB">
            <w:pPr>
              <w:autoSpaceDE w:val="0"/>
              <w:autoSpaceDN w:val="0"/>
              <w:adjustRightInd w:val="0"/>
              <w:spacing w:after="120" w:line="240" w:lineRule="auto"/>
              <w:rPr>
                <w:rFonts w:ascii="Times New Roman" w:eastAsia="Times New Roman" w:hAnsi="Times New Roman" w:cs="Times New Roman"/>
                <w:bCs/>
              </w:rPr>
            </w:pPr>
            <w:r w:rsidRPr="003F57AB">
              <w:rPr>
                <w:rFonts w:ascii="Times New Roman" w:hAnsi="Times New Roman" w:cs="Times New Roman"/>
              </w:rPr>
              <w:t xml:space="preserve">Kapitalska zahteva skupne izpostavljenosti do posamezne nasprotne stranke ali skupine povezanih strank, izračunana kot </w:t>
            </w:r>
            <w:r w:rsidRPr="003F57AB">
              <w:rPr>
                <w:rFonts w:ascii="Times New Roman" w:hAnsi="Times New Roman" w:cs="Times New Roman"/>
              </w:rPr>
              <w:t>skupni znesek K-TCD in posebne zahteve za tveganje za K-NPR za zadevno izpostavljenost.</w:t>
            </w:r>
          </w:p>
        </w:tc>
      </w:tr>
      <w:tr w:rsidR="00AE753A" w:rsidRPr="003F57AB" w14:paraId="6FE5581B" w14:textId="77777777">
        <w:tc>
          <w:tcPr>
            <w:tcW w:w="1389" w:type="dxa"/>
          </w:tcPr>
          <w:p w14:paraId="3A2AC8B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0090</w:t>
            </w:r>
          </w:p>
        </w:tc>
        <w:tc>
          <w:tcPr>
            <w:tcW w:w="7620" w:type="dxa"/>
          </w:tcPr>
          <w:p w14:paraId="1662FF8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Presežek vrednosti izpostavljenosti (EVL)</w:t>
            </w:r>
          </w:p>
          <w:p w14:paraId="6EF2B3B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Znesek, izračunan v skladu s členom 37(2), drugi pododstavek, Uredbe (EU) 2019/2033, za zadevno izpostavljenost.</w:t>
            </w:r>
          </w:p>
        </w:tc>
      </w:tr>
      <w:tr w:rsidR="00AE753A" w:rsidRPr="003F57AB" w14:paraId="6BF04BDF" w14:textId="77777777">
        <w:tc>
          <w:tcPr>
            <w:tcW w:w="1389" w:type="dxa"/>
          </w:tcPr>
          <w:p w14:paraId="4C7201E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0100</w:t>
            </w:r>
          </w:p>
        </w:tc>
        <w:tc>
          <w:tcPr>
            <w:tcW w:w="7620" w:type="dxa"/>
          </w:tcPr>
          <w:p w14:paraId="4CC03C7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T</w:t>
            </w:r>
            <w:r w:rsidRPr="003F57AB">
              <w:rPr>
                <w:rFonts w:ascii="Times New Roman" w:hAnsi="Times New Roman" w:cs="Times New Roman"/>
                <w:b/>
                <w:bCs/>
                <w:u w:val="single"/>
              </w:rPr>
              <w:t>rajanje presežka (v dnevih)</w:t>
            </w:r>
          </w:p>
          <w:p w14:paraId="05DC352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Število dni, ki je preteklo, odkar je prvič prišlo do presežka izpostavljenosti.</w:t>
            </w:r>
          </w:p>
        </w:tc>
      </w:tr>
      <w:tr w:rsidR="00AE753A" w:rsidRPr="003F57AB" w14:paraId="106824E9" w14:textId="77777777">
        <w:tc>
          <w:tcPr>
            <w:tcW w:w="1389" w:type="dxa"/>
          </w:tcPr>
          <w:p w14:paraId="7C9B8C0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0110</w:t>
            </w:r>
          </w:p>
        </w:tc>
        <w:tc>
          <w:tcPr>
            <w:tcW w:w="7620" w:type="dxa"/>
          </w:tcPr>
          <w:p w14:paraId="765765C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Kapitalska zahteva K-CON za presežek (OFRE)</w:t>
            </w:r>
          </w:p>
          <w:p w14:paraId="11E81B3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Znesek, izračunan v skladu s členom 39(2) Uredbe (EU) 2019/2033, za zadevno izpostavljenost.</w:t>
            </w:r>
          </w:p>
        </w:tc>
      </w:tr>
    </w:tbl>
    <w:p w14:paraId="065CA6A9" w14:textId="77777777" w:rsidR="00AE753A" w:rsidRPr="003F57AB" w:rsidRDefault="003F57AB">
      <w:pPr>
        <w:pStyle w:val="Instructionsberschrift2"/>
        <w:ind w:left="357" w:hanging="357"/>
        <w:rPr>
          <w:rFonts w:ascii="Times New Roman" w:hAnsi="Times New Roman" w:cs="Times New Roman"/>
          <w:sz w:val="24"/>
        </w:rPr>
      </w:pPr>
      <w:bookmarkStart w:id="85" w:name="_Toc87975515"/>
      <w:r w:rsidRPr="003F57AB">
        <w:rPr>
          <w:rFonts w:ascii="Times New Roman" w:hAnsi="Times New Roman" w:cs="Times New Roman"/>
          <w:sz w:val="24"/>
        </w:rPr>
        <w:t>4.3</w:t>
      </w:r>
      <w:r w:rsidRPr="003F57AB">
        <w:rPr>
          <w:rFonts w:ascii="Times New Roman" w:hAnsi="Times New Roman" w:cs="Times New Roman"/>
          <w:sz w:val="24"/>
        </w:rPr>
        <w:t xml:space="preserve"> I 08.01 – STOPNJA TVEGANJA KONCENTRACIJE – DENAR STRANK, KI SE UPRAVLJA (I 8.1)</w:t>
      </w:r>
      <w:bookmarkEnd w:id="85"/>
    </w:p>
    <w:p w14:paraId="2B7254B9" w14:textId="77777777" w:rsidR="00AE753A" w:rsidRPr="003F57AB" w:rsidRDefault="003F57AB">
      <w:pPr>
        <w:pStyle w:val="Instructionsberschrift2"/>
        <w:ind w:left="357" w:hanging="357"/>
        <w:rPr>
          <w:rFonts w:ascii="Times New Roman" w:hAnsi="Times New Roman" w:cs="Times New Roman"/>
          <w:sz w:val="24"/>
          <w:u w:val="none"/>
        </w:rPr>
      </w:pPr>
      <w:bookmarkStart w:id="86" w:name="_Toc87975516"/>
      <w:r w:rsidRPr="003F57AB">
        <w:rPr>
          <w:rFonts w:ascii="Times New Roman" w:hAnsi="Times New Roman" w:cs="Times New Roman"/>
          <w:sz w:val="24"/>
          <w:u w:val="none"/>
        </w:rPr>
        <w:t xml:space="preserve">4.3.1 </w:t>
      </w:r>
      <w:r w:rsidRPr="003F57AB">
        <w:rPr>
          <w:rFonts w:ascii="Times New Roman" w:hAnsi="Times New Roman" w:cs="Times New Roman"/>
        </w:rPr>
        <w:tab/>
      </w:r>
      <w:r w:rsidRPr="003F57AB">
        <w:rPr>
          <w:rFonts w:ascii="Times New Roman" w:hAnsi="Times New Roman" w:cs="Times New Roman"/>
          <w:sz w:val="24"/>
        </w:rPr>
        <w:t>Navodila za posamezne stolpce</w:t>
      </w:r>
      <w:bookmarkEnd w:id="86"/>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AE753A" w:rsidRPr="003F57AB" w14:paraId="62EB7B8C" w14:textId="77777777">
        <w:tc>
          <w:tcPr>
            <w:tcW w:w="1389" w:type="dxa"/>
            <w:shd w:val="clear" w:color="auto" w:fill="D9D9D9"/>
          </w:tcPr>
          <w:p w14:paraId="5C2900F1"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szCs w:val="24"/>
              </w:rPr>
              <w:t>Stolpci</w:t>
            </w:r>
          </w:p>
        </w:tc>
        <w:tc>
          <w:tcPr>
            <w:tcW w:w="7620" w:type="dxa"/>
            <w:shd w:val="clear" w:color="auto" w:fill="D9D9D9"/>
          </w:tcPr>
          <w:p w14:paraId="2C15FF2F"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szCs w:val="24"/>
              </w:rPr>
              <w:t>Pravna podlaga in navodila</w:t>
            </w:r>
          </w:p>
        </w:tc>
      </w:tr>
      <w:tr w:rsidR="00AE753A" w:rsidRPr="003F57AB" w14:paraId="0A5B8114" w14:textId="77777777">
        <w:tc>
          <w:tcPr>
            <w:tcW w:w="1389" w:type="dxa"/>
          </w:tcPr>
          <w:p w14:paraId="7EEFA304"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0010–0060</w:t>
            </w:r>
          </w:p>
        </w:tc>
        <w:tc>
          <w:tcPr>
            <w:tcW w:w="7620" w:type="dxa"/>
          </w:tcPr>
          <w:p w14:paraId="4A4DC5A4"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Skupaj CMH</w:t>
            </w:r>
          </w:p>
          <w:p w14:paraId="24A401B7"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rPr>
              <w:t>Člen 54(2), točka (b), Uredbe (EU) št. 2019/2033.</w:t>
            </w:r>
          </w:p>
          <w:p w14:paraId="42E29ADA"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 xml:space="preserve">Investicijsko podjetje sporoči identiteto petih, če obstajajo, nasprotnih strank ali skupin povezanih nasprotnih strank, pri katerih so največji zneski denarja strank. </w:t>
            </w:r>
          </w:p>
        </w:tc>
      </w:tr>
      <w:tr w:rsidR="00AE753A" w:rsidRPr="003F57AB" w14:paraId="17B8B75D" w14:textId="77777777">
        <w:tc>
          <w:tcPr>
            <w:tcW w:w="1389" w:type="dxa"/>
          </w:tcPr>
          <w:p w14:paraId="7373949C"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0010</w:t>
            </w:r>
          </w:p>
        </w:tc>
        <w:tc>
          <w:tcPr>
            <w:tcW w:w="7620" w:type="dxa"/>
          </w:tcPr>
          <w:p w14:paraId="3419154A" w14:textId="77777777" w:rsidR="00AE753A" w:rsidRPr="003F57AB" w:rsidRDefault="003F57AB">
            <w:pPr>
              <w:pStyle w:val="InstructionsText"/>
              <w:rPr>
                <w:rStyle w:val="InstructionsTabelleberschrift"/>
                <w:rFonts w:ascii="Times New Roman" w:hAnsi="Times New Roman"/>
                <w:sz w:val="22"/>
              </w:rPr>
            </w:pPr>
            <w:r w:rsidRPr="003F57AB">
              <w:rPr>
                <w:rStyle w:val="InstructionsTabelleberschrift"/>
                <w:rFonts w:ascii="Times New Roman" w:hAnsi="Times New Roman"/>
                <w:sz w:val="22"/>
              </w:rPr>
              <w:t>Koda</w:t>
            </w:r>
          </w:p>
          <w:p w14:paraId="41529206"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Style w:val="FormatvorlageInstructionsTabelleText"/>
                <w:rFonts w:ascii="Times New Roman" w:hAnsi="Times New Roman"/>
                <w:sz w:val="22"/>
                <w:szCs w:val="24"/>
              </w:rPr>
              <w:t xml:space="preserve">Koda mora biti kot del identifikatorja vrstice enoznačna za vsak </w:t>
            </w:r>
            <w:r w:rsidRPr="003F57AB">
              <w:rPr>
                <w:rStyle w:val="FormatvorlageInstructionsTabelleText"/>
                <w:rFonts w:ascii="Times New Roman" w:hAnsi="Times New Roman"/>
                <w:sz w:val="22"/>
                <w:szCs w:val="24"/>
              </w:rPr>
              <w:t>sporočeni subjekt. Koda za investicijska podjetja in zavarovalnice je koda LEI. Koda za druge subjekte je koda LEI ali nacionalna koda, če koda LEI ni na voljo. Koda je enoznačna in se uporablja dosledno v vseh predlogah in skozi čas. Koda ima vedno določe</w:t>
            </w:r>
            <w:r w:rsidRPr="003F57AB">
              <w:rPr>
                <w:rStyle w:val="FormatvorlageInstructionsTabelleText"/>
                <w:rFonts w:ascii="Times New Roman" w:hAnsi="Times New Roman"/>
                <w:sz w:val="22"/>
                <w:szCs w:val="24"/>
              </w:rPr>
              <w:t>no vrednost.</w:t>
            </w:r>
          </w:p>
        </w:tc>
      </w:tr>
      <w:tr w:rsidR="00AE753A" w:rsidRPr="003F57AB" w14:paraId="2027C4FA" w14:textId="77777777">
        <w:tc>
          <w:tcPr>
            <w:tcW w:w="1389" w:type="dxa"/>
          </w:tcPr>
          <w:p w14:paraId="245F33B1"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0020</w:t>
            </w:r>
          </w:p>
        </w:tc>
        <w:tc>
          <w:tcPr>
            <w:tcW w:w="7620" w:type="dxa"/>
          </w:tcPr>
          <w:p w14:paraId="734EDD06" w14:textId="77777777" w:rsidR="00AE753A" w:rsidRPr="003F57AB" w:rsidRDefault="003F57AB">
            <w:pPr>
              <w:pStyle w:val="InstructionsText"/>
              <w:rPr>
                <w:rStyle w:val="InstructionsTabelleberschrift"/>
                <w:rFonts w:ascii="Times New Roman" w:hAnsi="Times New Roman"/>
                <w:sz w:val="22"/>
              </w:rPr>
            </w:pPr>
            <w:r w:rsidRPr="003F57AB">
              <w:rPr>
                <w:rStyle w:val="InstructionsTabelleberschrift"/>
                <w:rFonts w:ascii="Times New Roman" w:hAnsi="Times New Roman"/>
                <w:sz w:val="22"/>
              </w:rPr>
              <w:t>Vrsta kode</w:t>
            </w:r>
          </w:p>
          <w:p w14:paraId="33821336"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Investicijska podjetja za vrsto kode, sporočene v stolpcu 0010, navedejo „koda LEI“ ali „nacionalna koda“.</w:t>
            </w:r>
          </w:p>
        </w:tc>
      </w:tr>
      <w:tr w:rsidR="00AE753A" w:rsidRPr="003F57AB" w14:paraId="6EB85D47" w14:textId="77777777">
        <w:tc>
          <w:tcPr>
            <w:tcW w:w="1389" w:type="dxa"/>
          </w:tcPr>
          <w:p w14:paraId="30BC73CD"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0030</w:t>
            </w:r>
          </w:p>
        </w:tc>
        <w:tc>
          <w:tcPr>
            <w:tcW w:w="7620" w:type="dxa"/>
          </w:tcPr>
          <w:p w14:paraId="48B3562A"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Ime</w:t>
            </w:r>
          </w:p>
          <w:p w14:paraId="22FD692B" w14:textId="77777777" w:rsidR="00AE753A" w:rsidRPr="003F57AB" w:rsidRDefault="003F57AB">
            <w:pPr>
              <w:pStyle w:val="Default"/>
              <w:spacing w:after="120"/>
              <w:jc w:val="both"/>
              <w:rPr>
                <w:sz w:val="22"/>
                <w:szCs w:val="23"/>
              </w:rPr>
            </w:pPr>
            <w:r w:rsidRPr="003F57AB">
              <w:rPr>
                <w:sz w:val="22"/>
                <w:szCs w:val="23"/>
              </w:rPr>
              <w:t>V primeru poročanja o skupini povezanih nasprotnih strank ime ustreza imenu obvladujočega podjetja. V vseh dr</w:t>
            </w:r>
            <w:r w:rsidRPr="003F57AB">
              <w:rPr>
                <w:sz w:val="22"/>
                <w:szCs w:val="23"/>
              </w:rPr>
              <w:t xml:space="preserve">ugih primerih ime ustreza posamezni nasprotni stranki. </w:t>
            </w:r>
          </w:p>
        </w:tc>
      </w:tr>
      <w:tr w:rsidR="00AE753A" w:rsidRPr="003F57AB" w14:paraId="4F9D0E5A" w14:textId="77777777">
        <w:tc>
          <w:tcPr>
            <w:tcW w:w="1389" w:type="dxa"/>
          </w:tcPr>
          <w:p w14:paraId="31DF51A6"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0040</w:t>
            </w:r>
          </w:p>
        </w:tc>
        <w:tc>
          <w:tcPr>
            <w:tcW w:w="7620" w:type="dxa"/>
          </w:tcPr>
          <w:p w14:paraId="5F4C13A9"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Skupine/posamezniki</w:t>
            </w:r>
          </w:p>
          <w:p w14:paraId="049B29BE" w14:textId="77777777" w:rsidR="00AE753A" w:rsidRPr="003F57AB" w:rsidRDefault="003F57AB">
            <w:pPr>
              <w:pStyle w:val="Default"/>
              <w:jc w:val="both"/>
              <w:rPr>
                <w:sz w:val="22"/>
              </w:rPr>
            </w:pPr>
            <w:r w:rsidRPr="003F57AB">
              <w:rPr>
                <w:sz w:val="22"/>
                <w:szCs w:val="23"/>
              </w:rPr>
              <w:t xml:space="preserve">Podjetje navede „1“ za poročanje o izpostavljenostih do posameznih strank ali „2“ za poročanje o izpostavljenostih do skupin povezanih strank. </w:t>
            </w:r>
          </w:p>
        </w:tc>
      </w:tr>
      <w:tr w:rsidR="00AE753A" w:rsidRPr="003F57AB" w14:paraId="2B36C2B4" w14:textId="77777777">
        <w:tc>
          <w:tcPr>
            <w:tcW w:w="1389" w:type="dxa"/>
          </w:tcPr>
          <w:p w14:paraId="573C729A"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0050</w:t>
            </w:r>
          </w:p>
        </w:tc>
        <w:tc>
          <w:tcPr>
            <w:tcW w:w="7620" w:type="dxa"/>
          </w:tcPr>
          <w:p w14:paraId="45056AF7"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 xml:space="preserve">Skupni CMH na datum </w:t>
            </w:r>
            <w:r w:rsidRPr="003F57AB">
              <w:rPr>
                <w:rFonts w:ascii="Times New Roman" w:hAnsi="Times New Roman" w:cs="Times New Roman"/>
                <w:b/>
                <w:bCs/>
                <w:szCs w:val="24"/>
                <w:u w:val="single"/>
              </w:rPr>
              <w:t>poročanja</w:t>
            </w:r>
          </w:p>
          <w:p w14:paraId="7BE56A95"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Podjetje poroča skupni znesek denarja strank na datum poročanja.</w:t>
            </w:r>
          </w:p>
        </w:tc>
      </w:tr>
      <w:tr w:rsidR="00AE753A" w:rsidRPr="003F57AB" w14:paraId="202562B2" w14:textId="77777777">
        <w:tc>
          <w:tcPr>
            <w:tcW w:w="1389" w:type="dxa"/>
          </w:tcPr>
          <w:p w14:paraId="6ED82E82"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0060</w:t>
            </w:r>
          </w:p>
        </w:tc>
        <w:tc>
          <w:tcPr>
            <w:tcW w:w="7620" w:type="dxa"/>
          </w:tcPr>
          <w:p w14:paraId="767D1720"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Odstotek denarja strank pri tej instituciji</w:t>
            </w:r>
          </w:p>
          <w:p w14:paraId="37ED2807"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Podjetje poroča znesek denarja strank, ki je na datum poročanja pri vsaki od nasprotnih strank ali skupin povezanih nasprotnih stra</w:t>
            </w:r>
            <w:r w:rsidRPr="003F57AB">
              <w:rPr>
                <w:rFonts w:ascii="Times New Roman" w:hAnsi="Times New Roman" w:cs="Times New Roman"/>
                <w:bCs/>
                <w:szCs w:val="24"/>
              </w:rPr>
              <w:t>nk, za katere se poroča, izražen kot odstotek skupnega zneska (sporočenega v stolpcu 0050).</w:t>
            </w:r>
          </w:p>
        </w:tc>
      </w:tr>
    </w:tbl>
    <w:p w14:paraId="55480B72" w14:textId="77777777" w:rsidR="00AE753A" w:rsidRPr="003F57AB" w:rsidRDefault="00AE753A">
      <w:pPr>
        <w:spacing w:after="0"/>
        <w:rPr>
          <w:rFonts w:ascii="Times New Roman" w:hAnsi="Times New Roman" w:cs="Times New Roman"/>
          <w:u w:val="single"/>
          <w:lang w:val="en-IE"/>
        </w:rPr>
      </w:pPr>
    </w:p>
    <w:p w14:paraId="47EC0AE0" w14:textId="77777777" w:rsidR="00AE753A" w:rsidRPr="003F57AB" w:rsidRDefault="003F57AB">
      <w:pPr>
        <w:pStyle w:val="Instructionsberschrift2"/>
        <w:ind w:left="357" w:hanging="357"/>
        <w:rPr>
          <w:rFonts w:ascii="Times New Roman" w:hAnsi="Times New Roman" w:cs="Times New Roman"/>
          <w:sz w:val="24"/>
        </w:rPr>
      </w:pPr>
      <w:bookmarkStart w:id="87" w:name="_Toc87975517"/>
      <w:r w:rsidRPr="003F57AB">
        <w:rPr>
          <w:rFonts w:ascii="Times New Roman" w:hAnsi="Times New Roman" w:cs="Times New Roman"/>
          <w:sz w:val="24"/>
        </w:rPr>
        <w:lastRenderedPageBreak/>
        <w:t>4.4 I 08.02 – STOPNJA TVEGANJA KONCENTRACIJE – ZAŠČITENA IN UPRAVLJANA SREDSTVA (I 8.2)</w:t>
      </w:r>
      <w:bookmarkEnd w:id="87"/>
    </w:p>
    <w:p w14:paraId="456A13E2" w14:textId="77777777" w:rsidR="00AE753A" w:rsidRPr="003F57AB" w:rsidRDefault="003F57AB">
      <w:pPr>
        <w:pStyle w:val="Instructionsberschrift2"/>
        <w:ind w:left="357" w:hanging="357"/>
        <w:rPr>
          <w:rFonts w:ascii="Times New Roman" w:hAnsi="Times New Roman" w:cs="Times New Roman"/>
          <w:sz w:val="24"/>
          <w:u w:val="none"/>
        </w:rPr>
      </w:pPr>
      <w:bookmarkStart w:id="88" w:name="_Toc87975518"/>
      <w:r w:rsidRPr="003F57AB">
        <w:rPr>
          <w:rFonts w:ascii="Times New Roman" w:hAnsi="Times New Roman" w:cs="Times New Roman"/>
          <w:sz w:val="24"/>
          <w:u w:val="none"/>
        </w:rPr>
        <w:t xml:space="preserve">4.4.1 </w:t>
      </w:r>
      <w:r w:rsidRPr="003F57AB">
        <w:rPr>
          <w:rFonts w:ascii="Times New Roman" w:hAnsi="Times New Roman" w:cs="Times New Roman"/>
        </w:rPr>
        <w:tab/>
      </w:r>
      <w:r w:rsidRPr="003F57AB">
        <w:rPr>
          <w:rFonts w:ascii="Times New Roman" w:hAnsi="Times New Roman" w:cs="Times New Roman"/>
          <w:sz w:val="24"/>
        </w:rPr>
        <w:t>Navodila za posamezne stolpce</w:t>
      </w:r>
      <w:bookmarkEnd w:id="88"/>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AE753A" w:rsidRPr="003F57AB" w14:paraId="296F57B9" w14:textId="77777777">
        <w:tc>
          <w:tcPr>
            <w:tcW w:w="1389" w:type="dxa"/>
            <w:shd w:val="clear" w:color="auto" w:fill="D9D9D9"/>
          </w:tcPr>
          <w:p w14:paraId="11899D2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675E585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 xml:space="preserve">Pravna podlaga in </w:t>
            </w:r>
            <w:r w:rsidRPr="003F57AB">
              <w:rPr>
                <w:rFonts w:ascii="Times New Roman" w:hAnsi="Times New Roman" w:cs="Times New Roman"/>
              </w:rPr>
              <w:t>navodila</w:t>
            </w:r>
          </w:p>
        </w:tc>
      </w:tr>
      <w:tr w:rsidR="00AE753A" w:rsidRPr="003F57AB" w14:paraId="4A4E6005" w14:textId="77777777">
        <w:tc>
          <w:tcPr>
            <w:tcW w:w="1389" w:type="dxa"/>
          </w:tcPr>
          <w:p w14:paraId="2F85197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0010–0060</w:t>
            </w:r>
          </w:p>
        </w:tc>
        <w:tc>
          <w:tcPr>
            <w:tcW w:w="7620" w:type="dxa"/>
          </w:tcPr>
          <w:p w14:paraId="202DD79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Skupaj ASA</w:t>
            </w:r>
          </w:p>
          <w:p w14:paraId="19B4D05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54(2), točka (c), Uredbe (EU) 2019/2033.</w:t>
            </w:r>
          </w:p>
          <w:p w14:paraId="48AA5A1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Podjetje poroča identiteto petih, če obstajajo, nasprotnih strank ali skupin povezanih nasprotnih strank, pri katerih so deponirani največji zneski vrednostnih papirjev strank. </w:t>
            </w:r>
          </w:p>
        </w:tc>
      </w:tr>
      <w:tr w:rsidR="00AE753A" w:rsidRPr="003F57AB" w14:paraId="7A07FF91" w14:textId="77777777">
        <w:tc>
          <w:tcPr>
            <w:tcW w:w="1389" w:type="dxa"/>
          </w:tcPr>
          <w:p w14:paraId="3BC686D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Pr>
          <w:p w14:paraId="4A2FDCF1" w14:textId="77777777" w:rsidR="00AE753A" w:rsidRPr="003F57AB" w:rsidRDefault="003F57AB">
            <w:pPr>
              <w:pStyle w:val="InstructionsText"/>
              <w:rPr>
                <w:rStyle w:val="InstructionsTabelleberschrift"/>
                <w:rFonts w:ascii="Times New Roman" w:hAnsi="Times New Roman"/>
                <w:sz w:val="22"/>
                <w:szCs w:val="22"/>
              </w:rPr>
            </w:pPr>
            <w:r w:rsidRPr="003F57AB">
              <w:rPr>
                <w:rStyle w:val="InstructionsTabelleberschrift"/>
                <w:rFonts w:ascii="Times New Roman" w:hAnsi="Times New Roman"/>
                <w:sz w:val="22"/>
                <w:szCs w:val="22"/>
              </w:rPr>
              <w:t>Koda</w:t>
            </w:r>
          </w:p>
          <w:p w14:paraId="293BE68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Koda mora biti kot del identifikatorja vrstice enoznačna za vsak sp</w:t>
            </w:r>
            <w:r w:rsidRPr="003F57AB">
              <w:rPr>
                <w:rStyle w:val="FormatvorlageInstructionsTabelleText"/>
                <w:rFonts w:ascii="Times New Roman" w:hAnsi="Times New Roman"/>
                <w:sz w:val="22"/>
              </w:rPr>
              <w:t>oročeni subjekt. Koda za investicijska podjetja in zavarovalnice je koda LEI. Koda za druge subjekte je koda LEI ali nacionalna koda, če koda LEI ni na voljo. Koda je enoznačna in se uporablja dosledno v vseh predlogah in skozi čas. Koda ima vedno določeno</w:t>
            </w:r>
            <w:r w:rsidRPr="003F57AB">
              <w:rPr>
                <w:rStyle w:val="FormatvorlageInstructionsTabelleText"/>
                <w:rFonts w:ascii="Times New Roman" w:hAnsi="Times New Roman"/>
                <w:sz w:val="22"/>
              </w:rPr>
              <w:t xml:space="preserve"> vrednost.</w:t>
            </w:r>
          </w:p>
        </w:tc>
      </w:tr>
      <w:tr w:rsidR="00AE753A" w:rsidRPr="003F57AB" w14:paraId="45D04C8B" w14:textId="77777777">
        <w:tc>
          <w:tcPr>
            <w:tcW w:w="1389" w:type="dxa"/>
          </w:tcPr>
          <w:p w14:paraId="1FE449C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Pr>
          <w:p w14:paraId="13EFF526" w14:textId="77777777" w:rsidR="00AE753A" w:rsidRPr="003F57AB" w:rsidRDefault="003F57AB">
            <w:pPr>
              <w:pStyle w:val="InstructionsText"/>
              <w:rPr>
                <w:rStyle w:val="InstructionsTabelleberschrift"/>
                <w:rFonts w:ascii="Times New Roman" w:hAnsi="Times New Roman"/>
                <w:sz w:val="22"/>
                <w:szCs w:val="22"/>
              </w:rPr>
            </w:pPr>
            <w:r w:rsidRPr="003F57AB">
              <w:rPr>
                <w:rStyle w:val="InstructionsTabelleberschrift"/>
                <w:rFonts w:ascii="Times New Roman" w:hAnsi="Times New Roman"/>
                <w:sz w:val="22"/>
                <w:szCs w:val="22"/>
              </w:rPr>
              <w:t>Vrsta kode</w:t>
            </w:r>
          </w:p>
          <w:p w14:paraId="779C64B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Investicijska podjetja za vrsto kode, sporočene v stolpcu 0010, navedejo „koda LEI“ ali „nacionalna koda“.</w:t>
            </w:r>
          </w:p>
        </w:tc>
      </w:tr>
      <w:tr w:rsidR="00AE753A" w:rsidRPr="003F57AB" w14:paraId="541C58D4" w14:textId="77777777">
        <w:tc>
          <w:tcPr>
            <w:tcW w:w="1389" w:type="dxa"/>
          </w:tcPr>
          <w:p w14:paraId="631553C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Pr>
          <w:p w14:paraId="443BC69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Ime</w:t>
            </w:r>
          </w:p>
          <w:p w14:paraId="443F869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 xml:space="preserve">V primeru poročanja o skupini povezanih nasprotnih strank ime ustreza imenu obvladujočega podjetja. V vseh </w:t>
            </w:r>
            <w:r w:rsidRPr="003F57AB">
              <w:rPr>
                <w:rFonts w:ascii="Times New Roman" w:hAnsi="Times New Roman" w:cs="Times New Roman"/>
              </w:rPr>
              <w:t>drugih primerih ime ustreza posamezni nasprotni stranki.</w:t>
            </w:r>
          </w:p>
        </w:tc>
      </w:tr>
      <w:tr w:rsidR="00AE753A" w:rsidRPr="003F57AB" w14:paraId="6F56ECC5" w14:textId="77777777">
        <w:tc>
          <w:tcPr>
            <w:tcW w:w="1389" w:type="dxa"/>
          </w:tcPr>
          <w:p w14:paraId="5E88996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Pr>
          <w:p w14:paraId="3971DCD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Skupine/posamezniki</w:t>
            </w:r>
          </w:p>
          <w:p w14:paraId="6031BE1B" w14:textId="77777777" w:rsidR="00AE753A" w:rsidRPr="003F57AB" w:rsidRDefault="003F57AB">
            <w:pPr>
              <w:pStyle w:val="Default"/>
              <w:jc w:val="both"/>
              <w:rPr>
                <w:sz w:val="22"/>
                <w:szCs w:val="22"/>
              </w:rPr>
            </w:pPr>
            <w:r w:rsidRPr="003F57AB">
              <w:rPr>
                <w:sz w:val="22"/>
                <w:szCs w:val="22"/>
              </w:rPr>
              <w:t xml:space="preserve">Podjetje navede „1“ za poročanje o izpostavljenostih do posameznih strank ali „2“ za poročanje o izpostavljenostih do skupin povezanih strank. </w:t>
            </w:r>
          </w:p>
        </w:tc>
      </w:tr>
      <w:tr w:rsidR="00AE753A" w:rsidRPr="003F57AB" w14:paraId="28906398" w14:textId="77777777">
        <w:tc>
          <w:tcPr>
            <w:tcW w:w="1389" w:type="dxa"/>
          </w:tcPr>
          <w:p w14:paraId="74C62F0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Pr>
          <w:p w14:paraId="720754A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Skupni ASA na datum poročanja</w:t>
            </w:r>
          </w:p>
          <w:p w14:paraId="1E4718D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Podjetje poroča skupni znesek vrednostnih papirjev strank, deponiranih pri v</w:t>
            </w:r>
            <w:r w:rsidRPr="003F57AB">
              <w:rPr>
                <w:rFonts w:ascii="Times New Roman" w:hAnsi="Times New Roman" w:cs="Times New Roman"/>
                <w:bCs/>
              </w:rPr>
              <w:t>saki instituciji na datum poročanja.</w:t>
            </w:r>
          </w:p>
        </w:tc>
      </w:tr>
      <w:tr w:rsidR="00AE753A" w:rsidRPr="003F57AB" w14:paraId="08CC5939" w14:textId="77777777">
        <w:tc>
          <w:tcPr>
            <w:tcW w:w="1389" w:type="dxa"/>
          </w:tcPr>
          <w:p w14:paraId="46498B3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w:t>
            </w:r>
          </w:p>
        </w:tc>
        <w:tc>
          <w:tcPr>
            <w:tcW w:w="7620" w:type="dxa"/>
          </w:tcPr>
          <w:p w14:paraId="0E6FBF3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Odstotek vrednostnih papirjev strank, deponiranih pri tej instituciji</w:t>
            </w:r>
          </w:p>
          <w:p w14:paraId="7008485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Podjetje poroča znesek vrednostnih papirjev strank, ki so na datum poročanja deponirani pri vsaki od nasprotnih strank ali skupin </w:t>
            </w:r>
            <w:r w:rsidRPr="003F57AB">
              <w:rPr>
                <w:rFonts w:ascii="Times New Roman" w:hAnsi="Times New Roman" w:cs="Times New Roman"/>
                <w:bCs/>
              </w:rPr>
              <w:t>povezanih nasprotnih strank, za katere se poroča, izražen kot odstotek skupnega zneska (sporočenega v stolpcu 0050).</w:t>
            </w:r>
          </w:p>
        </w:tc>
      </w:tr>
    </w:tbl>
    <w:p w14:paraId="22879FEC" w14:textId="77777777" w:rsidR="00AE753A" w:rsidRPr="003F57AB" w:rsidRDefault="00AE753A">
      <w:pPr>
        <w:spacing w:after="0"/>
        <w:rPr>
          <w:rFonts w:ascii="Times New Roman" w:hAnsi="Times New Roman" w:cs="Times New Roman"/>
          <w:u w:val="single"/>
          <w:lang w:val="en-IE"/>
        </w:rPr>
      </w:pPr>
    </w:p>
    <w:p w14:paraId="480EEDC3" w14:textId="77777777" w:rsidR="00AE753A" w:rsidRPr="003F57AB" w:rsidRDefault="003F57AB">
      <w:pPr>
        <w:pStyle w:val="Instructionsberschrift2"/>
        <w:ind w:left="357" w:hanging="357"/>
        <w:rPr>
          <w:rFonts w:ascii="Times New Roman" w:hAnsi="Times New Roman" w:cs="Times New Roman"/>
          <w:sz w:val="24"/>
        </w:rPr>
      </w:pPr>
      <w:bookmarkStart w:id="89" w:name="_Toc87975519"/>
      <w:r w:rsidRPr="003F57AB">
        <w:rPr>
          <w:rFonts w:ascii="Times New Roman" w:hAnsi="Times New Roman" w:cs="Times New Roman"/>
          <w:sz w:val="24"/>
        </w:rPr>
        <w:t>4.5 I 08.03 – STOPNJA TVEGANJA KONCENTRACIJE – SKUPNA DEPONIRANA LASTNA DENARNA SREDSTVA (I 8.3)</w:t>
      </w:r>
      <w:bookmarkEnd w:id="89"/>
    </w:p>
    <w:p w14:paraId="7FC4212F" w14:textId="77777777" w:rsidR="00AE753A" w:rsidRPr="003F57AB" w:rsidRDefault="003F57AB">
      <w:pPr>
        <w:pStyle w:val="Instructionsberschrift2"/>
        <w:ind w:left="357" w:hanging="357"/>
        <w:rPr>
          <w:rFonts w:ascii="Times New Roman" w:hAnsi="Times New Roman" w:cs="Times New Roman"/>
          <w:sz w:val="24"/>
          <w:u w:val="none"/>
        </w:rPr>
      </w:pPr>
      <w:bookmarkStart w:id="90" w:name="_Toc87975520"/>
      <w:r w:rsidRPr="003F57AB">
        <w:rPr>
          <w:rFonts w:ascii="Times New Roman" w:hAnsi="Times New Roman" w:cs="Times New Roman"/>
          <w:sz w:val="24"/>
          <w:u w:val="none"/>
        </w:rPr>
        <w:t xml:space="preserve">4.5.1 </w:t>
      </w:r>
      <w:r w:rsidRPr="003F57AB">
        <w:rPr>
          <w:rFonts w:ascii="Times New Roman" w:hAnsi="Times New Roman" w:cs="Times New Roman"/>
        </w:rPr>
        <w:tab/>
      </w:r>
      <w:r w:rsidRPr="003F57AB">
        <w:rPr>
          <w:rFonts w:ascii="Times New Roman" w:hAnsi="Times New Roman" w:cs="Times New Roman"/>
          <w:sz w:val="24"/>
        </w:rPr>
        <w:t>Navodila za posamezne stolpce</w:t>
      </w:r>
      <w:bookmarkEnd w:id="90"/>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AE753A" w:rsidRPr="003F57AB" w14:paraId="71D5E95A" w14:textId="77777777">
        <w:tc>
          <w:tcPr>
            <w:tcW w:w="1389" w:type="dxa"/>
            <w:shd w:val="clear" w:color="auto" w:fill="D9D9D9"/>
          </w:tcPr>
          <w:p w14:paraId="223A15F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w:t>
            </w:r>
            <w:r w:rsidRPr="003F57AB">
              <w:rPr>
                <w:rFonts w:ascii="Times New Roman" w:hAnsi="Times New Roman" w:cs="Times New Roman"/>
              </w:rPr>
              <w:t>lpci</w:t>
            </w:r>
          </w:p>
        </w:tc>
        <w:tc>
          <w:tcPr>
            <w:tcW w:w="7620" w:type="dxa"/>
            <w:shd w:val="clear" w:color="auto" w:fill="D9D9D9"/>
          </w:tcPr>
          <w:p w14:paraId="296A65F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356B48AC" w14:textId="77777777">
        <w:tc>
          <w:tcPr>
            <w:tcW w:w="1389" w:type="dxa"/>
          </w:tcPr>
          <w:p w14:paraId="366605E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0010–0060</w:t>
            </w:r>
          </w:p>
        </w:tc>
        <w:tc>
          <w:tcPr>
            <w:tcW w:w="7620" w:type="dxa"/>
          </w:tcPr>
          <w:p w14:paraId="02FC36A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Skupna deponirana lastna denarna sredstva</w:t>
            </w:r>
          </w:p>
          <w:p w14:paraId="20CA253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54(2), točki (d) in (f), Uredbe (EU) 2019/2033.</w:t>
            </w:r>
          </w:p>
          <w:p w14:paraId="0602D32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lastRenderedPageBreak/>
              <w:t xml:space="preserve">Podjetje poroča identiteto petih, če obstajajo, nasprotnih strank ali skupin povezanih nasprotnih strank, pri katerih so deponirani največji zneski lastnih denarnih sredstev podjetja. </w:t>
            </w:r>
          </w:p>
        </w:tc>
      </w:tr>
      <w:tr w:rsidR="00AE753A" w:rsidRPr="003F57AB" w14:paraId="1A1340C3" w14:textId="77777777">
        <w:tc>
          <w:tcPr>
            <w:tcW w:w="1389" w:type="dxa"/>
          </w:tcPr>
          <w:p w14:paraId="6FCFCF9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0010</w:t>
            </w:r>
          </w:p>
        </w:tc>
        <w:tc>
          <w:tcPr>
            <w:tcW w:w="7620" w:type="dxa"/>
          </w:tcPr>
          <w:p w14:paraId="125BBD48" w14:textId="77777777" w:rsidR="00AE753A" w:rsidRPr="003F57AB" w:rsidRDefault="003F57AB">
            <w:pPr>
              <w:pStyle w:val="InstructionsText"/>
              <w:rPr>
                <w:rStyle w:val="InstructionsTabelleberschrift"/>
                <w:rFonts w:ascii="Times New Roman" w:hAnsi="Times New Roman"/>
                <w:sz w:val="22"/>
                <w:szCs w:val="22"/>
              </w:rPr>
            </w:pPr>
            <w:r w:rsidRPr="003F57AB">
              <w:rPr>
                <w:rStyle w:val="InstructionsTabelleberschrift"/>
                <w:rFonts w:ascii="Times New Roman" w:hAnsi="Times New Roman"/>
                <w:sz w:val="22"/>
                <w:szCs w:val="22"/>
              </w:rPr>
              <w:t>Koda</w:t>
            </w:r>
          </w:p>
          <w:p w14:paraId="64793C8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 xml:space="preserve">Koda mora biti kot del identifikatorja vrstice </w:t>
            </w:r>
            <w:r w:rsidRPr="003F57AB">
              <w:rPr>
                <w:rStyle w:val="FormatvorlageInstructionsTabelleText"/>
                <w:rFonts w:ascii="Times New Roman" w:hAnsi="Times New Roman"/>
                <w:sz w:val="22"/>
              </w:rPr>
              <w:t>enoznačna za vsak sporočeni subjekt. Koda za investicijska podjetja in zavarovalnice je koda LEI. Koda za druge subjekte je koda LEI ali nacionalna koda, če koda LEI ni na voljo. Koda je enoznačna in se uporablja dosledno v vseh predlogah in skozi čas. Kod</w:t>
            </w:r>
            <w:r w:rsidRPr="003F57AB">
              <w:rPr>
                <w:rStyle w:val="FormatvorlageInstructionsTabelleText"/>
                <w:rFonts w:ascii="Times New Roman" w:hAnsi="Times New Roman"/>
                <w:sz w:val="22"/>
              </w:rPr>
              <w:t>a ima vedno določeno vrednost.</w:t>
            </w:r>
          </w:p>
        </w:tc>
      </w:tr>
      <w:tr w:rsidR="00AE753A" w:rsidRPr="003F57AB" w14:paraId="52A401A9" w14:textId="77777777">
        <w:tc>
          <w:tcPr>
            <w:tcW w:w="1389" w:type="dxa"/>
          </w:tcPr>
          <w:p w14:paraId="6FA8442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Pr>
          <w:p w14:paraId="254B07F9" w14:textId="77777777" w:rsidR="00AE753A" w:rsidRPr="003F57AB" w:rsidRDefault="003F57AB">
            <w:pPr>
              <w:pStyle w:val="InstructionsText"/>
              <w:rPr>
                <w:rStyle w:val="InstructionsTabelleberschrift"/>
                <w:rFonts w:ascii="Times New Roman" w:eastAsiaTheme="minorHAnsi" w:hAnsi="Times New Roman"/>
                <w:bCs/>
                <w:sz w:val="22"/>
                <w:szCs w:val="22"/>
              </w:rPr>
            </w:pPr>
            <w:r w:rsidRPr="003F57AB">
              <w:rPr>
                <w:rStyle w:val="InstructionsTabelleberschrift"/>
                <w:rFonts w:ascii="Times New Roman" w:hAnsi="Times New Roman"/>
                <w:sz w:val="22"/>
                <w:szCs w:val="22"/>
              </w:rPr>
              <w:t>Vrsta kode</w:t>
            </w:r>
          </w:p>
          <w:p w14:paraId="4A7DAEB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Investicijska podjetja za vrsto kode, sporočene v stolpcu 0010, navedejo „koda LEI“ ali „nacionalna koda“.</w:t>
            </w:r>
          </w:p>
        </w:tc>
      </w:tr>
      <w:tr w:rsidR="00AE753A" w:rsidRPr="003F57AB" w14:paraId="47619C99" w14:textId="77777777">
        <w:tc>
          <w:tcPr>
            <w:tcW w:w="1389" w:type="dxa"/>
          </w:tcPr>
          <w:p w14:paraId="78E09B2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Pr>
          <w:p w14:paraId="5BAD943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Ime</w:t>
            </w:r>
          </w:p>
          <w:p w14:paraId="2D1CDD4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 xml:space="preserve">V primeru poročanja o skupini povezanih nasprotnih strank ime ustreza imenu </w:t>
            </w:r>
            <w:r w:rsidRPr="003F57AB">
              <w:rPr>
                <w:rFonts w:ascii="Times New Roman" w:hAnsi="Times New Roman" w:cs="Times New Roman"/>
              </w:rPr>
              <w:t>obvladujočega podjetja. V vseh drugih primerih ime ustreza posamezni nasprotni stranki.</w:t>
            </w:r>
          </w:p>
        </w:tc>
      </w:tr>
      <w:tr w:rsidR="00AE753A" w:rsidRPr="003F57AB" w14:paraId="0CDAB0F4" w14:textId="77777777">
        <w:tc>
          <w:tcPr>
            <w:tcW w:w="1389" w:type="dxa"/>
          </w:tcPr>
          <w:p w14:paraId="06C16F1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Pr>
          <w:p w14:paraId="45CF0F6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Skupine/posamezniki</w:t>
            </w:r>
          </w:p>
          <w:p w14:paraId="338EEB03" w14:textId="77777777" w:rsidR="00AE753A" w:rsidRPr="003F57AB" w:rsidRDefault="003F57AB">
            <w:pPr>
              <w:pStyle w:val="Default"/>
              <w:spacing w:after="120"/>
              <w:jc w:val="both"/>
              <w:rPr>
                <w:sz w:val="22"/>
                <w:szCs w:val="22"/>
              </w:rPr>
            </w:pPr>
            <w:r w:rsidRPr="003F57AB">
              <w:rPr>
                <w:sz w:val="22"/>
                <w:szCs w:val="22"/>
              </w:rPr>
              <w:t>Podjetje navede „1“ za poročanje o izpostavljenostih do posameznih strank ali „2“ za poročanje o izpostavljenostih do skupin povezanih strank.</w:t>
            </w:r>
            <w:r w:rsidRPr="003F57AB">
              <w:rPr>
                <w:sz w:val="22"/>
                <w:szCs w:val="22"/>
              </w:rPr>
              <w:t xml:space="preserve"> </w:t>
            </w:r>
          </w:p>
        </w:tc>
      </w:tr>
      <w:tr w:rsidR="00AE753A" w:rsidRPr="003F57AB" w14:paraId="1ADFCBBA" w14:textId="77777777">
        <w:tc>
          <w:tcPr>
            <w:tcW w:w="1389" w:type="dxa"/>
          </w:tcPr>
          <w:p w14:paraId="3CC3327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Pr>
          <w:p w14:paraId="2773F76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Znesek denarnih vlog podjetja pri instituciji</w:t>
            </w:r>
          </w:p>
          <w:p w14:paraId="26E784D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Podjetje poroča skupni znesek lastnih denarnih sredstev pri vsaki instituciji na datum poročanja.</w:t>
            </w:r>
          </w:p>
        </w:tc>
      </w:tr>
      <w:tr w:rsidR="00AE753A" w:rsidRPr="003F57AB" w14:paraId="7CAFD98E" w14:textId="77777777">
        <w:tc>
          <w:tcPr>
            <w:tcW w:w="1389" w:type="dxa"/>
          </w:tcPr>
          <w:p w14:paraId="16976B1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w:t>
            </w:r>
          </w:p>
        </w:tc>
        <w:tc>
          <w:tcPr>
            <w:tcW w:w="7620" w:type="dxa"/>
          </w:tcPr>
          <w:p w14:paraId="49F37CD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Odstotek lastnih denarnih vlog podjetja pri instituciji</w:t>
            </w:r>
          </w:p>
          <w:p w14:paraId="1D08FBC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Podjetje poroča znesek lastnih </w:t>
            </w:r>
            <w:r w:rsidRPr="003F57AB">
              <w:rPr>
                <w:rFonts w:ascii="Times New Roman" w:hAnsi="Times New Roman" w:cs="Times New Roman"/>
                <w:bCs/>
              </w:rPr>
              <w:t>denarnih sredstev, ki so na datum poročanja deponirana pri vsaki od nasprotnih strank ali skupin povezanih nasprotnih strank, za katere se poroča, izražen kot odstotek skupnih lastnih denarnih sredstev investicijskega podjetja.</w:t>
            </w:r>
          </w:p>
        </w:tc>
      </w:tr>
    </w:tbl>
    <w:p w14:paraId="013A1BBE" w14:textId="77777777" w:rsidR="00AE753A" w:rsidRPr="003F57AB" w:rsidRDefault="00AE753A">
      <w:pPr>
        <w:spacing w:after="0"/>
        <w:rPr>
          <w:rFonts w:ascii="Times New Roman" w:hAnsi="Times New Roman" w:cs="Times New Roman"/>
          <w:u w:val="single"/>
          <w:lang w:val="en-IE"/>
        </w:rPr>
      </w:pPr>
    </w:p>
    <w:p w14:paraId="2D4704F1" w14:textId="77777777" w:rsidR="00AE753A" w:rsidRPr="003F57AB" w:rsidRDefault="003F57AB">
      <w:pPr>
        <w:pStyle w:val="Instructionsberschrift2"/>
        <w:ind w:left="357" w:hanging="357"/>
        <w:rPr>
          <w:rFonts w:ascii="Times New Roman" w:hAnsi="Times New Roman" w:cs="Times New Roman"/>
          <w:sz w:val="24"/>
        </w:rPr>
      </w:pPr>
      <w:bookmarkStart w:id="91" w:name="_Toc87975521"/>
      <w:r w:rsidRPr="003F57AB">
        <w:rPr>
          <w:rFonts w:ascii="Times New Roman" w:hAnsi="Times New Roman" w:cs="Times New Roman"/>
          <w:sz w:val="24"/>
        </w:rPr>
        <w:t>4.6</w:t>
      </w:r>
      <w:r w:rsidRPr="003F57AB">
        <w:rPr>
          <w:rFonts w:ascii="Times New Roman" w:hAnsi="Times New Roman" w:cs="Times New Roman"/>
          <w:sz w:val="24"/>
          <w:u w:val="none"/>
        </w:rPr>
        <w:t xml:space="preserve"> </w:t>
      </w:r>
      <w:r w:rsidRPr="003F57AB">
        <w:rPr>
          <w:rFonts w:ascii="Times New Roman" w:hAnsi="Times New Roman" w:cs="Times New Roman"/>
          <w:sz w:val="24"/>
        </w:rPr>
        <w:t xml:space="preserve">I 08.04 – </w:t>
      </w:r>
      <w:r w:rsidRPr="003F57AB">
        <w:rPr>
          <w:rFonts w:ascii="Times New Roman" w:hAnsi="Times New Roman" w:cs="Times New Roman"/>
          <w:sz w:val="24"/>
        </w:rPr>
        <w:t>STOPNJA TVEGANJA KONCENTRACIJE – SKUPNI DOBIČEK (I 8.4)</w:t>
      </w:r>
      <w:bookmarkEnd w:id="91"/>
    </w:p>
    <w:p w14:paraId="18955EE1" w14:textId="77777777" w:rsidR="00AE753A" w:rsidRPr="003F57AB" w:rsidRDefault="003F57AB">
      <w:pPr>
        <w:pStyle w:val="Instructionsberschrift2"/>
        <w:ind w:left="357" w:hanging="357"/>
        <w:rPr>
          <w:rFonts w:ascii="Times New Roman" w:hAnsi="Times New Roman" w:cs="Times New Roman"/>
        </w:rPr>
      </w:pPr>
      <w:bookmarkStart w:id="92" w:name="_Toc87975522"/>
      <w:r w:rsidRPr="003F57AB">
        <w:rPr>
          <w:rFonts w:ascii="Times New Roman" w:hAnsi="Times New Roman" w:cs="Times New Roman"/>
          <w:sz w:val="24"/>
          <w:u w:val="none"/>
        </w:rPr>
        <w:t xml:space="preserve">4.6.1 </w:t>
      </w:r>
      <w:r w:rsidRPr="003F57AB">
        <w:rPr>
          <w:rFonts w:ascii="Times New Roman" w:hAnsi="Times New Roman" w:cs="Times New Roman"/>
        </w:rPr>
        <w:tab/>
      </w:r>
      <w:r w:rsidRPr="003F57AB">
        <w:rPr>
          <w:rFonts w:ascii="Times New Roman" w:hAnsi="Times New Roman" w:cs="Times New Roman"/>
          <w:sz w:val="24"/>
        </w:rPr>
        <w:t>Navodila za posamezne stolpce</w:t>
      </w:r>
      <w:bookmarkEnd w:id="92"/>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AE753A" w:rsidRPr="003F57AB" w14:paraId="38DAA0DF" w14:textId="77777777">
        <w:tc>
          <w:tcPr>
            <w:tcW w:w="1389" w:type="dxa"/>
            <w:shd w:val="clear" w:color="auto" w:fill="D9D9D9"/>
          </w:tcPr>
          <w:p w14:paraId="3565AE1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18D4DAC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217CD453" w14:textId="77777777">
        <w:tc>
          <w:tcPr>
            <w:tcW w:w="1389" w:type="dxa"/>
          </w:tcPr>
          <w:p w14:paraId="365A5FE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0010–0080</w:t>
            </w:r>
          </w:p>
        </w:tc>
        <w:tc>
          <w:tcPr>
            <w:tcW w:w="7620" w:type="dxa"/>
          </w:tcPr>
          <w:p w14:paraId="441E196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Skupni dobiček</w:t>
            </w:r>
          </w:p>
          <w:p w14:paraId="51C1614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54(2), točki (e) in (f), Uredbe (EU) 2019/2033.</w:t>
            </w:r>
          </w:p>
          <w:p w14:paraId="02BCD67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Podjetje poroča identiteto petih, če </w:t>
            </w:r>
            <w:r w:rsidRPr="003F57AB">
              <w:rPr>
                <w:rFonts w:ascii="Times New Roman" w:hAnsi="Times New Roman" w:cs="Times New Roman"/>
                <w:bCs/>
              </w:rPr>
              <w:t>obstajajo, strank ali skupin povezanih strank, od katerih izhajajo največji zneski dobička podjetja.</w:t>
            </w:r>
          </w:p>
        </w:tc>
      </w:tr>
      <w:tr w:rsidR="00AE753A" w:rsidRPr="003F57AB" w14:paraId="4E43DF4D" w14:textId="77777777">
        <w:tc>
          <w:tcPr>
            <w:tcW w:w="1389" w:type="dxa"/>
          </w:tcPr>
          <w:p w14:paraId="4CEA2B0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Pr>
          <w:p w14:paraId="4E808E58" w14:textId="77777777" w:rsidR="00AE753A" w:rsidRPr="003F57AB" w:rsidRDefault="003F57AB">
            <w:pPr>
              <w:pStyle w:val="InstructionsText"/>
              <w:rPr>
                <w:rStyle w:val="InstructionsTabelleberschrift"/>
                <w:rFonts w:ascii="Times New Roman" w:hAnsi="Times New Roman"/>
                <w:sz w:val="22"/>
                <w:szCs w:val="22"/>
              </w:rPr>
            </w:pPr>
            <w:r w:rsidRPr="003F57AB">
              <w:rPr>
                <w:rStyle w:val="InstructionsTabelleberschrift"/>
                <w:rFonts w:ascii="Times New Roman" w:hAnsi="Times New Roman"/>
                <w:sz w:val="22"/>
                <w:szCs w:val="22"/>
              </w:rPr>
              <w:t>Koda</w:t>
            </w:r>
          </w:p>
          <w:p w14:paraId="34E19CA9" w14:textId="77777777" w:rsidR="00AE753A" w:rsidRPr="003F57AB" w:rsidRDefault="003F57AB">
            <w:pPr>
              <w:spacing w:after="120" w:line="240" w:lineRule="auto"/>
              <w:jc w:val="both"/>
              <w:rPr>
                <w:rFonts w:ascii="Times New Roman" w:eastAsia="Times New Roman" w:hAnsi="Times New Roman" w:cs="Times New Roman"/>
                <w:bCs/>
              </w:rPr>
            </w:pPr>
            <w:r w:rsidRPr="003F57AB">
              <w:rPr>
                <w:rStyle w:val="FormatvorlageInstructionsTabelleText"/>
                <w:rFonts w:ascii="Times New Roman" w:hAnsi="Times New Roman"/>
                <w:sz w:val="22"/>
              </w:rPr>
              <w:t>Koda mora biti kot del identifikatorja vrstice enoznačna za vsak sporočeni subjekt. Koda za investicijska podjetja in zavarovalnice je koda LEI.</w:t>
            </w:r>
            <w:r w:rsidRPr="003F57AB">
              <w:rPr>
                <w:rStyle w:val="FormatvorlageInstructionsTabelleText"/>
                <w:rFonts w:ascii="Times New Roman" w:hAnsi="Times New Roman"/>
                <w:sz w:val="22"/>
              </w:rPr>
              <w:t xml:space="preserve"> Koda za druge subjekte je koda LEI ali nacionalna koda, če koda LEI ni na voljo. Koda je enoznačna in se uporablja dosledno v vseh predlogah in skozi čas. Koda ima vedno določeno vrednost.</w:t>
            </w:r>
          </w:p>
        </w:tc>
      </w:tr>
      <w:tr w:rsidR="00AE753A" w:rsidRPr="003F57AB" w14:paraId="5083F192" w14:textId="77777777">
        <w:tc>
          <w:tcPr>
            <w:tcW w:w="1389" w:type="dxa"/>
          </w:tcPr>
          <w:p w14:paraId="1CDA79F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Pr>
          <w:p w14:paraId="0486EA22" w14:textId="77777777" w:rsidR="00AE753A" w:rsidRPr="003F57AB" w:rsidRDefault="003F57AB">
            <w:pPr>
              <w:pStyle w:val="InstructionsText"/>
              <w:rPr>
                <w:rStyle w:val="InstructionsTabelleberschrift"/>
                <w:rFonts w:ascii="Times New Roman" w:hAnsi="Times New Roman"/>
                <w:sz w:val="22"/>
                <w:szCs w:val="22"/>
              </w:rPr>
            </w:pPr>
            <w:r w:rsidRPr="003F57AB">
              <w:rPr>
                <w:rStyle w:val="InstructionsTabelleberschrift"/>
                <w:rFonts w:ascii="Times New Roman" w:hAnsi="Times New Roman"/>
                <w:sz w:val="22"/>
                <w:szCs w:val="22"/>
              </w:rPr>
              <w:t>Vrsta kode</w:t>
            </w:r>
          </w:p>
          <w:p w14:paraId="46D0BA3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lastRenderedPageBreak/>
              <w:t xml:space="preserve">Investicijska podjetja za vrsto kode, </w:t>
            </w:r>
            <w:r w:rsidRPr="003F57AB">
              <w:rPr>
                <w:rFonts w:ascii="Times New Roman" w:hAnsi="Times New Roman" w:cs="Times New Roman"/>
                <w:bCs/>
              </w:rPr>
              <w:t>sporočene v stolpcu 0010, navedejo „koda LEI“ ali „nacionalna koda“.</w:t>
            </w:r>
          </w:p>
        </w:tc>
      </w:tr>
      <w:tr w:rsidR="00AE753A" w:rsidRPr="003F57AB" w14:paraId="65477886" w14:textId="77777777">
        <w:tc>
          <w:tcPr>
            <w:tcW w:w="1389" w:type="dxa"/>
          </w:tcPr>
          <w:p w14:paraId="70D74CF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0030</w:t>
            </w:r>
          </w:p>
        </w:tc>
        <w:tc>
          <w:tcPr>
            <w:tcW w:w="7620" w:type="dxa"/>
          </w:tcPr>
          <w:p w14:paraId="0EB0CB9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Ime</w:t>
            </w:r>
          </w:p>
          <w:p w14:paraId="2F803A4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 primeru poročanja o skupini povezanih strank ime ustreza imenu obvladujočega podjetja. V vseh drugih primerih ime ustreza posamezni stranki.</w:t>
            </w:r>
          </w:p>
        </w:tc>
      </w:tr>
      <w:tr w:rsidR="00AE753A" w:rsidRPr="003F57AB" w14:paraId="053E0D74" w14:textId="77777777">
        <w:tc>
          <w:tcPr>
            <w:tcW w:w="1389" w:type="dxa"/>
          </w:tcPr>
          <w:p w14:paraId="01E78D4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Pr>
          <w:p w14:paraId="2B23225A"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Skupine/posamezniki</w:t>
            </w:r>
          </w:p>
          <w:p w14:paraId="7DE9967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Podjetje</w:t>
            </w:r>
            <w:r w:rsidRPr="003F57AB">
              <w:rPr>
                <w:rFonts w:ascii="Times New Roman" w:hAnsi="Times New Roman" w:cs="Times New Roman"/>
              </w:rPr>
              <w:t xml:space="preserve"> navede „1“ za poročanje o izpostavljenostih do posameznih strank ali „2“ za poročanje o izpostavljenostih do skupin povezanih strank.</w:t>
            </w:r>
          </w:p>
        </w:tc>
      </w:tr>
      <w:tr w:rsidR="00AE753A" w:rsidRPr="003F57AB" w14:paraId="5DA2A2E1" w14:textId="77777777">
        <w:tc>
          <w:tcPr>
            <w:tcW w:w="1389" w:type="dxa"/>
          </w:tcPr>
          <w:p w14:paraId="3896D3D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Pr>
          <w:p w14:paraId="0D4A8C0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Skupni dobiček od te stranke</w:t>
            </w:r>
          </w:p>
          <w:p w14:paraId="7FEA614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Podjetje poroča skupni dobiček na stranko ali skupino povezanih strank, </w:t>
            </w:r>
            <w:r w:rsidRPr="003F57AB">
              <w:rPr>
                <w:rFonts w:ascii="Times New Roman" w:hAnsi="Times New Roman" w:cs="Times New Roman"/>
                <w:bCs/>
              </w:rPr>
              <w:t>ustvarjen od začetka računovodskega leta. Dobiček se razčleni na prihodke od obresti in dividend na eni strani ter prihodke iz naslova provizij in opravnin ter druge prihodke na drugi strani.</w:t>
            </w:r>
          </w:p>
        </w:tc>
      </w:tr>
      <w:tr w:rsidR="00AE753A" w:rsidRPr="003F57AB" w14:paraId="7EBCF444" w14:textId="77777777">
        <w:tc>
          <w:tcPr>
            <w:tcW w:w="1389" w:type="dxa"/>
          </w:tcPr>
          <w:p w14:paraId="434F73A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0060–0090</w:t>
            </w:r>
          </w:p>
        </w:tc>
        <w:tc>
          <w:tcPr>
            <w:tcW w:w="7620" w:type="dxa"/>
          </w:tcPr>
          <w:p w14:paraId="5A15507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Prihodki od obresti in dividend</w:t>
            </w:r>
          </w:p>
        </w:tc>
      </w:tr>
      <w:tr w:rsidR="00AE753A" w:rsidRPr="003F57AB" w14:paraId="06A1DA89" w14:textId="77777777">
        <w:tc>
          <w:tcPr>
            <w:tcW w:w="1389" w:type="dxa"/>
          </w:tcPr>
          <w:p w14:paraId="31F3CB6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0060 </w:t>
            </w:r>
          </w:p>
        </w:tc>
        <w:tc>
          <w:tcPr>
            <w:tcW w:w="7620" w:type="dxa"/>
          </w:tcPr>
          <w:p w14:paraId="70CE8A6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Prihodki od obresti in dividend – znesek, ustvarjen s pozicijami v trgovalni knjigi</w:t>
            </w:r>
          </w:p>
          <w:p w14:paraId="3E9F76E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 xml:space="preserve">Trgovalna knjiga, kot je opredeljena v členu 4(1), točka 54, Uredbe (EU) 2019/2033. </w:t>
            </w:r>
          </w:p>
        </w:tc>
      </w:tr>
      <w:tr w:rsidR="00AE753A" w:rsidRPr="003F57AB" w14:paraId="1D749FB2" w14:textId="77777777">
        <w:tc>
          <w:tcPr>
            <w:tcW w:w="1389" w:type="dxa"/>
          </w:tcPr>
          <w:p w14:paraId="0A495FF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0070</w:t>
            </w:r>
          </w:p>
        </w:tc>
        <w:tc>
          <w:tcPr>
            <w:tcW w:w="7620" w:type="dxa"/>
          </w:tcPr>
          <w:p w14:paraId="3BF4127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Prihodki od obresti in dividend – znesek, ustvarjen s pozicijami v netrgovalni kn</w:t>
            </w:r>
            <w:r w:rsidRPr="003F57AB">
              <w:rPr>
                <w:rFonts w:ascii="Times New Roman" w:hAnsi="Times New Roman" w:cs="Times New Roman"/>
                <w:b/>
                <w:bCs/>
                <w:u w:val="single"/>
              </w:rPr>
              <w:t>jigi</w:t>
            </w:r>
          </w:p>
        </w:tc>
      </w:tr>
      <w:tr w:rsidR="00AE753A" w:rsidRPr="003F57AB" w14:paraId="00AE19E5" w14:textId="77777777">
        <w:tc>
          <w:tcPr>
            <w:tcW w:w="1389" w:type="dxa"/>
          </w:tcPr>
          <w:p w14:paraId="1E1F21F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0080</w:t>
            </w:r>
          </w:p>
        </w:tc>
        <w:tc>
          <w:tcPr>
            <w:tcW w:w="7620" w:type="dxa"/>
          </w:tcPr>
          <w:p w14:paraId="2B65EFD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Prihodki od obresti in dividend – od tega: znesek, ustvarjen z zunajbilančnimi postavkami</w:t>
            </w:r>
          </w:p>
        </w:tc>
      </w:tr>
      <w:tr w:rsidR="00AE753A" w:rsidRPr="003F57AB" w14:paraId="2B8BF071" w14:textId="77777777">
        <w:tc>
          <w:tcPr>
            <w:tcW w:w="1389" w:type="dxa"/>
          </w:tcPr>
          <w:p w14:paraId="3224080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0090</w:t>
            </w:r>
          </w:p>
        </w:tc>
        <w:tc>
          <w:tcPr>
            <w:tcW w:w="7620" w:type="dxa"/>
          </w:tcPr>
          <w:p w14:paraId="2B56053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Odstotek prihodkov od obresti in dividend od te stranke</w:t>
            </w:r>
          </w:p>
          <w:p w14:paraId="1E11CA5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Podjetje poroča prihodke od obresti in dividend, ustvarjene z vsako od strank ali skupin pove</w:t>
            </w:r>
            <w:r w:rsidRPr="003F57AB">
              <w:rPr>
                <w:rFonts w:ascii="Times New Roman" w:hAnsi="Times New Roman" w:cs="Times New Roman"/>
                <w:bCs/>
              </w:rPr>
              <w:t>zanih strank, izražene kot odstotek skupnih prihodkov od obresti in dividend investicijskega podjetja.</w:t>
            </w:r>
          </w:p>
        </w:tc>
      </w:tr>
      <w:tr w:rsidR="00AE753A" w:rsidRPr="003F57AB" w14:paraId="7D7038C9" w14:textId="77777777">
        <w:tc>
          <w:tcPr>
            <w:tcW w:w="1389" w:type="dxa"/>
          </w:tcPr>
          <w:p w14:paraId="3293DAC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0100–0110</w:t>
            </w:r>
          </w:p>
        </w:tc>
        <w:tc>
          <w:tcPr>
            <w:tcW w:w="7620" w:type="dxa"/>
          </w:tcPr>
          <w:p w14:paraId="6D3DF86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Prihodki iz naslova provizij in opravnin ter drugi prihodki</w:t>
            </w:r>
          </w:p>
        </w:tc>
      </w:tr>
      <w:tr w:rsidR="00AE753A" w:rsidRPr="003F57AB" w14:paraId="14DCF5F7" w14:textId="77777777">
        <w:tc>
          <w:tcPr>
            <w:tcW w:w="1389" w:type="dxa"/>
          </w:tcPr>
          <w:p w14:paraId="553F6EA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0100 </w:t>
            </w:r>
          </w:p>
        </w:tc>
        <w:tc>
          <w:tcPr>
            <w:tcW w:w="7620" w:type="dxa"/>
          </w:tcPr>
          <w:p w14:paraId="7D85E63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Prihodki iz naslova provizij in opravnin ter drugi prihodki – znesek </w:t>
            </w:r>
          </w:p>
        </w:tc>
      </w:tr>
      <w:tr w:rsidR="00AE753A" w:rsidRPr="003F57AB" w14:paraId="65AF6DDA" w14:textId="77777777">
        <w:tc>
          <w:tcPr>
            <w:tcW w:w="1389" w:type="dxa"/>
          </w:tcPr>
          <w:p w14:paraId="7BD4CA7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0110</w:t>
            </w:r>
          </w:p>
        </w:tc>
        <w:tc>
          <w:tcPr>
            <w:tcW w:w="7620" w:type="dxa"/>
          </w:tcPr>
          <w:p w14:paraId="2D68FB5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Odstotek prihodkov iz naslova provizij in opravnin ter drugih prihodkov od te stranke</w:t>
            </w:r>
          </w:p>
          <w:p w14:paraId="2F803CF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Podjetje poroča prihodke iz naslova provizij in opravnin ter druge prihodke, ustvarjene z vsak</w:t>
            </w:r>
            <w:r w:rsidRPr="003F57AB">
              <w:rPr>
                <w:rFonts w:ascii="Times New Roman" w:hAnsi="Times New Roman" w:cs="Times New Roman"/>
                <w:bCs/>
              </w:rPr>
              <w:t>o od strank ali skupin povezanih strank, izražene kot odstotek skupnih prihodkov iz naslova provizij in opravnin ter drugih prihodkov investicijskega podjetja.</w:t>
            </w:r>
          </w:p>
        </w:tc>
      </w:tr>
    </w:tbl>
    <w:p w14:paraId="16161EC9" w14:textId="77777777" w:rsidR="00AE753A" w:rsidRPr="003F57AB" w:rsidRDefault="00AE753A">
      <w:pPr>
        <w:spacing w:after="0"/>
        <w:rPr>
          <w:rFonts w:ascii="Times New Roman" w:hAnsi="Times New Roman" w:cs="Times New Roman"/>
          <w:u w:val="single"/>
          <w:lang w:val="en-IE"/>
        </w:rPr>
      </w:pPr>
    </w:p>
    <w:p w14:paraId="69A7CFA5" w14:textId="77777777" w:rsidR="00AE753A" w:rsidRPr="003F57AB" w:rsidRDefault="003F57AB">
      <w:pPr>
        <w:pStyle w:val="Instructionsberschrift2"/>
        <w:ind w:left="357" w:hanging="357"/>
        <w:rPr>
          <w:rFonts w:ascii="Times New Roman" w:hAnsi="Times New Roman" w:cs="Times New Roman"/>
          <w:sz w:val="24"/>
        </w:rPr>
      </w:pPr>
      <w:bookmarkStart w:id="93" w:name="_Toc87975523"/>
      <w:r w:rsidRPr="003F57AB">
        <w:rPr>
          <w:rFonts w:ascii="Times New Roman" w:hAnsi="Times New Roman" w:cs="Times New Roman"/>
          <w:sz w:val="24"/>
        </w:rPr>
        <w:t>4.7</w:t>
      </w:r>
      <w:r w:rsidRPr="003F57AB">
        <w:rPr>
          <w:rFonts w:ascii="Times New Roman" w:hAnsi="Times New Roman" w:cs="Times New Roman"/>
          <w:sz w:val="24"/>
          <w:u w:val="none"/>
        </w:rPr>
        <w:t xml:space="preserve"> </w:t>
      </w:r>
      <w:r w:rsidRPr="003F57AB">
        <w:rPr>
          <w:rFonts w:ascii="Times New Roman" w:hAnsi="Times New Roman" w:cs="Times New Roman"/>
          <w:sz w:val="24"/>
        </w:rPr>
        <w:t>I 08.05 – IZPOSTAVLJENOSTI IZ TRGOVALNE KNJIGE (I 8.5)</w:t>
      </w:r>
      <w:bookmarkEnd w:id="93"/>
    </w:p>
    <w:p w14:paraId="65D5E9D8" w14:textId="77777777" w:rsidR="00AE753A" w:rsidRPr="003F57AB" w:rsidRDefault="003F57AB">
      <w:pPr>
        <w:pStyle w:val="Instructionsberschrift2"/>
        <w:ind w:left="357" w:hanging="357"/>
        <w:rPr>
          <w:rFonts w:ascii="Times New Roman" w:hAnsi="Times New Roman" w:cs="Times New Roman"/>
        </w:rPr>
      </w:pPr>
      <w:bookmarkStart w:id="94" w:name="_Toc87975524"/>
      <w:r w:rsidRPr="003F57AB">
        <w:rPr>
          <w:rFonts w:ascii="Times New Roman" w:hAnsi="Times New Roman" w:cs="Times New Roman"/>
          <w:sz w:val="24"/>
          <w:u w:val="none"/>
        </w:rPr>
        <w:t xml:space="preserve">4.7.1 </w:t>
      </w:r>
      <w:r w:rsidRPr="003F57AB">
        <w:rPr>
          <w:rFonts w:ascii="Times New Roman" w:hAnsi="Times New Roman" w:cs="Times New Roman"/>
        </w:rPr>
        <w:tab/>
      </w:r>
      <w:r w:rsidRPr="003F57AB">
        <w:rPr>
          <w:rFonts w:ascii="Times New Roman" w:hAnsi="Times New Roman" w:cs="Times New Roman"/>
          <w:sz w:val="24"/>
        </w:rPr>
        <w:t xml:space="preserve">Navodila za </w:t>
      </w:r>
      <w:r w:rsidRPr="003F57AB">
        <w:rPr>
          <w:rFonts w:ascii="Times New Roman" w:hAnsi="Times New Roman" w:cs="Times New Roman"/>
          <w:sz w:val="24"/>
        </w:rPr>
        <w:t>posamezne stolpce</w:t>
      </w:r>
      <w:bookmarkEnd w:id="94"/>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AE753A" w:rsidRPr="003F57AB" w14:paraId="1500FC67" w14:textId="77777777">
        <w:tc>
          <w:tcPr>
            <w:tcW w:w="1389" w:type="dxa"/>
            <w:shd w:val="clear" w:color="auto" w:fill="D9D9D9"/>
          </w:tcPr>
          <w:p w14:paraId="5A78FBC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Stolpci</w:t>
            </w:r>
          </w:p>
        </w:tc>
        <w:tc>
          <w:tcPr>
            <w:tcW w:w="7620" w:type="dxa"/>
            <w:shd w:val="clear" w:color="auto" w:fill="D9D9D9"/>
          </w:tcPr>
          <w:p w14:paraId="6E60DCB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3691A197" w14:textId="77777777">
        <w:tc>
          <w:tcPr>
            <w:tcW w:w="1389" w:type="dxa"/>
          </w:tcPr>
          <w:p w14:paraId="61DFC8A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0010–0050</w:t>
            </w:r>
          </w:p>
        </w:tc>
        <w:tc>
          <w:tcPr>
            <w:tcW w:w="7620" w:type="dxa"/>
          </w:tcPr>
          <w:p w14:paraId="61222C6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Izpostavljenosti iz trgovalne knjige</w:t>
            </w:r>
          </w:p>
          <w:p w14:paraId="770D3A0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54(2), točka (a), Uredbe (EU) št. 2019/2033.</w:t>
            </w:r>
          </w:p>
          <w:p w14:paraId="517953D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lastRenderedPageBreak/>
              <w:t xml:space="preserve">Podjetje poroča informacije v zvezi s petimi, če obstajajo, največjimi izpostavljenostmi iz </w:t>
            </w:r>
            <w:r w:rsidRPr="003F57AB">
              <w:rPr>
                <w:rFonts w:ascii="Times New Roman" w:hAnsi="Times New Roman" w:cs="Times New Roman"/>
                <w:bCs/>
              </w:rPr>
              <w:t>trgovalne knjige.</w:t>
            </w:r>
          </w:p>
        </w:tc>
      </w:tr>
      <w:tr w:rsidR="00AE753A" w:rsidRPr="003F57AB" w14:paraId="7CBAC4E5" w14:textId="77777777">
        <w:tc>
          <w:tcPr>
            <w:tcW w:w="1389" w:type="dxa"/>
          </w:tcPr>
          <w:p w14:paraId="0BF0F2D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0010</w:t>
            </w:r>
          </w:p>
        </w:tc>
        <w:tc>
          <w:tcPr>
            <w:tcW w:w="7620" w:type="dxa"/>
          </w:tcPr>
          <w:p w14:paraId="35A061BE" w14:textId="77777777" w:rsidR="00AE753A" w:rsidRPr="003F57AB" w:rsidRDefault="003F57AB">
            <w:pPr>
              <w:pStyle w:val="InstructionsText"/>
              <w:rPr>
                <w:rStyle w:val="InstructionsTabelleberschrift"/>
                <w:rFonts w:ascii="Times New Roman" w:hAnsi="Times New Roman"/>
                <w:sz w:val="22"/>
                <w:szCs w:val="22"/>
              </w:rPr>
            </w:pPr>
            <w:r w:rsidRPr="003F57AB">
              <w:rPr>
                <w:rStyle w:val="InstructionsTabelleberschrift"/>
                <w:rFonts w:ascii="Times New Roman" w:hAnsi="Times New Roman"/>
                <w:sz w:val="22"/>
                <w:szCs w:val="22"/>
              </w:rPr>
              <w:t>Koda</w:t>
            </w:r>
          </w:p>
          <w:p w14:paraId="64D28EBD"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Style w:val="FormatvorlageInstructionsTabelleText"/>
                <w:rFonts w:ascii="Times New Roman" w:hAnsi="Times New Roman"/>
                <w:sz w:val="22"/>
              </w:rPr>
              <w:t>Koda mora biti kot del identifikatorja vrstice enoznačna za vsak sporočeni subjekt. Koda za investicijska podjetja in zavarovalnice je koda LEI. Koda za druge subjekte je koda LEI ali nacionalna koda, če koda LEI ni na voljo. K</w:t>
            </w:r>
            <w:r w:rsidRPr="003F57AB">
              <w:rPr>
                <w:rStyle w:val="FormatvorlageInstructionsTabelleText"/>
                <w:rFonts w:ascii="Times New Roman" w:hAnsi="Times New Roman"/>
                <w:sz w:val="22"/>
              </w:rPr>
              <w:t>oda je enoznačna in se uporablja dosledno v vseh predlogah in skozi čas. Koda ima vedno določeno vrednost.</w:t>
            </w:r>
          </w:p>
        </w:tc>
      </w:tr>
      <w:tr w:rsidR="00AE753A" w:rsidRPr="003F57AB" w14:paraId="59B658C9" w14:textId="77777777">
        <w:tc>
          <w:tcPr>
            <w:tcW w:w="1389" w:type="dxa"/>
          </w:tcPr>
          <w:p w14:paraId="2420760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Pr>
          <w:p w14:paraId="0C5D0007" w14:textId="77777777" w:rsidR="00AE753A" w:rsidRPr="003F57AB" w:rsidRDefault="003F57AB">
            <w:pPr>
              <w:pStyle w:val="InstructionsText"/>
              <w:rPr>
                <w:rStyle w:val="InstructionsTabelleberschrift"/>
                <w:rFonts w:ascii="Times New Roman" w:hAnsi="Times New Roman"/>
                <w:sz w:val="22"/>
                <w:szCs w:val="22"/>
              </w:rPr>
            </w:pPr>
            <w:r w:rsidRPr="003F57AB">
              <w:rPr>
                <w:rStyle w:val="InstructionsTabelleberschrift"/>
                <w:rFonts w:ascii="Times New Roman" w:hAnsi="Times New Roman"/>
                <w:sz w:val="22"/>
                <w:szCs w:val="22"/>
              </w:rPr>
              <w:t>Vrsta kode</w:t>
            </w:r>
          </w:p>
          <w:p w14:paraId="66D6CE5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Investicijska podjetja za vrsto kode, sporočene v stolpcu 0010, navedejo „koda LEI“ ali „nacionalna koda“.</w:t>
            </w:r>
          </w:p>
        </w:tc>
      </w:tr>
      <w:tr w:rsidR="00AE753A" w:rsidRPr="003F57AB" w14:paraId="13E150C4" w14:textId="77777777">
        <w:tc>
          <w:tcPr>
            <w:tcW w:w="1389" w:type="dxa"/>
          </w:tcPr>
          <w:p w14:paraId="437902E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Pr>
          <w:p w14:paraId="1471BA6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Ime</w:t>
            </w:r>
          </w:p>
          <w:p w14:paraId="6A09C54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 xml:space="preserve">V </w:t>
            </w:r>
            <w:r w:rsidRPr="003F57AB">
              <w:rPr>
                <w:rFonts w:ascii="Times New Roman" w:hAnsi="Times New Roman" w:cs="Times New Roman"/>
              </w:rPr>
              <w:t>primeru poročanja o skupini povezanih nasprotnih strank ime ustreza imenu obvladujočega podjetja. V vseh drugih primerih ime ustreza posamezni nasprotni stranki.</w:t>
            </w:r>
          </w:p>
        </w:tc>
      </w:tr>
      <w:tr w:rsidR="00AE753A" w:rsidRPr="003F57AB" w14:paraId="08F19DED" w14:textId="77777777">
        <w:tc>
          <w:tcPr>
            <w:tcW w:w="1389" w:type="dxa"/>
          </w:tcPr>
          <w:p w14:paraId="45E4363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Pr>
          <w:p w14:paraId="5F017D2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Skupine/posamezniki</w:t>
            </w:r>
          </w:p>
          <w:p w14:paraId="572A32F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rPr>
              <w:t>Podjetje navede „1“ za poročanje o izpostavljenostih do posameznih s</w:t>
            </w:r>
            <w:r w:rsidRPr="003F57AB">
              <w:rPr>
                <w:rFonts w:ascii="Times New Roman" w:hAnsi="Times New Roman" w:cs="Times New Roman"/>
              </w:rPr>
              <w:t>trank ali „2“ za poročanje o izpostavljenostih do skupin povezanih strank.</w:t>
            </w:r>
          </w:p>
        </w:tc>
      </w:tr>
      <w:tr w:rsidR="00AE753A" w:rsidRPr="003F57AB" w14:paraId="3856049C" w14:textId="77777777">
        <w:tc>
          <w:tcPr>
            <w:tcW w:w="1389" w:type="dxa"/>
          </w:tcPr>
          <w:p w14:paraId="3844341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Pr>
          <w:p w14:paraId="2B8E0EA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Odstotek izpostavljenosti do te nasprotne stranke glede na kapital podjetja (samo pozicije v trgovalni knjigi)</w:t>
            </w:r>
          </w:p>
          <w:p w14:paraId="03D5B38E"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Podjetje poroča znesek izpostavljenosti iz trgovalne knjige na d</w:t>
            </w:r>
            <w:r w:rsidRPr="003F57AB">
              <w:rPr>
                <w:rFonts w:ascii="Times New Roman" w:hAnsi="Times New Roman" w:cs="Times New Roman"/>
                <w:bCs/>
              </w:rPr>
              <w:t>atum poročanja do vsake od nasprotnih strank ali skupin povezanih nasprotnih strank, za katere se poroča, izražen kot odstotek kapitala.</w:t>
            </w:r>
          </w:p>
        </w:tc>
      </w:tr>
    </w:tbl>
    <w:p w14:paraId="56FBAD16" w14:textId="77777777" w:rsidR="00AE753A" w:rsidRPr="003F57AB" w:rsidRDefault="00AE753A">
      <w:pPr>
        <w:spacing w:after="0"/>
        <w:rPr>
          <w:rFonts w:ascii="Times New Roman" w:hAnsi="Times New Roman" w:cs="Times New Roman"/>
          <w:u w:val="single"/>
          <w:lang w:val="en-IE"/>
        </w:rPr>
      </w:pPr>
    </w:p>
    <w:p w14:paraId="102C0BB9" w14:textId="77777777" w:rsidR="00AE753A" w:rsidRPr="003F57AB" w:rsidRDefault="003F57AB">
      <w:pPr>
        <w:pStyle w:val="Instructionsberschrift2"/>
        <w:ind w:left="357" w:hanging="357"/>
        <w:rPr>
          <w:rFonts w:ascii="Times New Roman" w:hAnsi="Times New Roman" w:cs="Times New Roman"/>
          <w:sz w:val="24"/>
        </w:rPr>
      </w:pPr>
      <w:bookmarkStart w:id="95" w:name="_Toc87975525"/>
      <w:r w:rsidRPr="003F57AB">
        <w:rPr>
          <w:rFonts w:ascii="Times New Roman" w:hAnsi="Times New Roman" w:cs="Times New Roman"/>
          <w:sz w:val="24"/>
        </w:rPr>
        <w:t>4.8 I 08.06 – POSTAVKE IZ NETRGOVALNE KNJIGE IN ZUNAJBILANČNE POSTAVKE (I 8.6)</w:t>
      </w:r>
      <w:bookmarkEnd w:id="95"/>
    </w:p>
    <w:p w14:paraId="04CA6CD0" w14:textId="77777777" w:rsidR="00AE753A" w:rsidRPr="003F57AB" w:rsidRDefault="003F57AB">
      <w:pPr>
        <w:pStyle w:val="Instructionsberschrift2"/>
        <w:ind w:left="357" w:hanging="357"/>
        <w:rPr>
          <w:rFonts w:ascii="Times New Roman" w:hAnsi="Times New Roman" w:cs="Times New Roman"/>
        </w:rPr>
      </w:pPr>
      <w:bookmarkStart w:id="96" w:name="_Toc87975526"/>
      <w:r w:rsidRPr="003F57AB">
        <w:rPr>
          <w:rFonts w:ascii="Times New Roman" w:hAnsi="Times New Roman" w:cs="Times New Roman"/>
          <w:sz w:val="24"/>
          <w:u w:val="none"/>
        </w:rPr>
        <w:t xml:space="preserve">4.8.1 </w:t>
      </w:r>
      <w:r w:rsidRPr="003F57AB">
        <w:rPr>
          <w:rFonts w:ascii="Times New Roman" w:hAnsi="Times New Roman" w:cs="Times New Roman"/>
        </w:rPr>
        <w:tab/>
      </w:r>
      <w:r w:rsidRPr="003F57AB">
        <w:rPr>
          <w:rFonts w:ascii="Times New Roman" w:hAnsi="Times New Roman" w:cs="Times New Roman"/>
          <w:sz w:val="24"/>
        </w:rPr>
        <w:t xml:space="preserve">Navodila za posamezne </w:t>
      </w:r>
      <w:r w:rsidRPr="003F57AB">
        <w:rPr>
          <w:rFonts w:ascii="Times New Roman" w:hAnsi="Times New Roman" w:cs="Times New Roman"/>
          <w:sz w:val="24"/>
        </w:rPr>
        <w:t>stolpce</w:t>
      </w:r>
      <w:bookmarkEnd w:id="96"/>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AE753A" w:rsidRPr="003F57AB" w14:paraId="38F7C10F" w14:textId="77777777">
        <w:tc>
          <w:tcPr>
            <w:tcW w:w="1389" w:type="dxa"/>
            <w:shd w:val="clear" w:color="auto" w:fill="D9D9D9"/>
          </w:tcPr>
          <w:p w14:paraId="64BD084E"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szCs w:val="24"/>
              </w:rPr>
              <w:t>Stolpci</w:t>
            </w:r>
          </w:p>
        </w:tc>
        <w:tc>
          <w:tcPr>
            <w:tcW w:w="7620" w:type="dxa"/>
            <w:shd w:val="clear" w:color="auto" w:fill="D9D9D9"/>
          </w:tcPr>
          <w:p w14:paraId="42F480A3"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szCs w:val="24"/>
              </w:rPr>
              <w:t>Pravna podlaga in navodila</w:t>
            </w:r>
          </w:p>
        </w:tc>
      </w:tr>
      <w:tr w:rsidR="00AE753A" w:rsidRPr="003F57AB" w14:paraId="4A7C9C73" w14:textId="77777777">
        <w:tc>
          <w:tcPr>
            <w:tcW w:w="1389" w:type="dxa"/>
          </w:tcPr>
          <w:p w14:paraId="13B6401B"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0010–0050</w:t>
            </w:r>
          </w:p>
        </w:tc>
        <w:tc>
          <w:tcPr>
            <w:tcW w:w="7620" w:type="dxa"/>
          </w:tcPr>
          <w:p w14:paraId="51C6159D"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Postavke iz netrgovalne knjige in zunajbilančne postavke</w:t>
            </w:r>
          </w:p>
          <w:p w14:paraId="3737FEA7"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rPr>
              <w:t>Člen 54(2), točka (f), Uredbe (EU) 2019/2033.</w:t>
            </w:r>
          </w:p>
          <w:p w14:paraId="7A31259B"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Cs/>
                <w:szCs w:val="24"/>
              </w:rPr>
              <w:t>Podjetje poroča informacije v zvezi s petimi, če obstajajo, največjimi izpostavljenostmi, izračunan</w:t>
            </w:r>
            <w:r w:rsidRPr="003F57AB">
              <w:rPr>
                <w:rFonts w:ascii="Times New Roman" w:hAnsi="Times New Roman" w:cs="Times New Roman"/>
                <w:bCs/>
                <w:szCs w:val="24"/>
              </w:rPr>
              <w:t>imi ob upoštevanju sredstev, ki niso evidentirana v trgovalni knjigi.</w:t>
            </w:r>
          </w:p>
        </w:tc>
      </w:tr>
      <w:tr w:rsidR="00AE753A" w:rsidRPr="003F57AB" w14:paraId="654D90E2" w14:textId="77777777">
        <w:tc>
          <w:tcPr>
            <w:tcW w:w="1389" w:type="dxa"/>
          </w:tcPr>
          <w:p w14:paraId="298ACC68"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0010</w:t>
            </w:r>
          </w:p>
        </w:tc>
        <w:tc>
          <w:tcPr>
            <w:tcW w:w="7620" w:type="dxa"/>
          </w:tcPr>
          <w:p w14:paraId="4CD08972" w14:textId="77777777" w:rsidR="00AE753A" w:rsidRPr="003F57AB" w:rsidRDefault="003F57AB">
            <w:pPr>
              <w:pStyle w:val="InstructionsText"/>
              <w:rPr>
                <w:rStyle w:val="InstructionsTabelleberschrift"/>
                <w:rFonts w:ascii="Times New Roman" w:hAnsi="Times New Roman"/>
                <w:sz w:val="22"/>
              </w:rPr>
            </w:pPr>
            <w:r w:rsidRPr="003F57AB">
              <w:rPr>
                <w:rStyle w:val="InstructionsTabelleberschrift"/>
                <w:rFonts w:ascii="Times New Roman" w:hAnsi="Times New Roman"/>
                <w:sz w:val="22"/>
              </w:rPr>
              <w:t>Koda</w:t>
            </w:r>
          </w:p>
          <w:p w14:paraId="7735C82E"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Style w:val="FormatvorlageInstructionsTabelleText"/>
                <w:rFonts w:ascii="Times New Roman" w:hAnsi="Times New Roman"/>
                <w:sz w:val="22"/>
                <w:szCs w:val="24"/>
              </w:rPr>
              <w:t xml:space="preserve">Koda mora biti kot del identifikatorja vrstice enoznačna za vsak sporočeni subjekt. Koda za investicijska podjetja in zavarovalnice je koda LEI. Koda za druge subjekte je </w:t>
            </w:r>
            <w:r w:rsidRPr="003F57AB">
              <w:rPr>
                <w:rStyle w:val="FormatvorlageInstructionsTabelleText"/>
                <w:rFonts w:ascii="Times New Roman" w:hAnsi="Times New Roman"/>
                <w:sz w:val="22"/>
                <w:szCs w:val="24"/>
              </w:rPr>
              <w:t>koda LEI ali nacionalna koda, če koda LEI ni na voljo. Koda je enoznačna in se uporablja dosledno v vseh predlogah in skozi čas. Koda ima vedno določeno vrednost.</w:t>
            </w:r>
          </w:p>
        </w:tc>
      </w:tr>
      <w:tr w:rsidR="00AE753A" w:rsidRPr="003F57AB" w14:paraId="69E8D608" w14:textId="77777777">
        <w:tc>
          <w:tcPr>
            <w:tcW w:w="1389" w:type="dxa"/>
          </w:tcPr>
          <w:p w14:paraId="6BBC17D3"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0020</w:t>
            </w:r>
          </w:p>
        </w:tc>
        <w:tc>
          <w:tcPr>
            <w:tcW w:w="7620" w:type="dxa"/>
          </w:tcPr>
          <w:p w14:paraId="29EADECF" w14:textId="77777777" w:rsidR="00AE753A" w:rsidRPr="003F57AB" w:rsidRDefault="003F57AB">
            <w:pPr>
              <w:pStyle w:val="InstructionsText"/>
              <w:rPr>
                <w:rStyle w:val="InstructionsTabelleberschrift"/>
                <w:rFonts w:ascii="Times New Roman" w:hAnsi="Times New Roman"/>
                <w:sz w:val="22"/>
              </w:rPr>
            </w:pPr>
            <w:r w:rsidRPr="003F57AB">
              <w:rPr>
                <w:rStyle w:val="InstructionsTabelleberschrift"/>
                <w:rFonts w:ascii="Times New Roman" w:hAnsi="Times New Roman"/>
                <w:sz w:val="22"/>
              </w:rPr>
              <w:t>Vrsta kode</w:t>
            </w:r>
          </w:p>
          <w:p w14:paraId="32726711"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Cs/>
                <w:szCs w:val="24"/>
              </w:rPr>
              <w:t xml:space="preserve">Investicijska podjetja za vrsto kode, sporočene v stolpcu 0010, </w:t>
            </w:r>
            <w:r w:rsidRPr="003F57AB">
              <w:rPr>
                <w:rFonts w:ascii="Times New Roman" w:hAnsi="Times New Roman" w:cs="Times New Roman"/>
                <w:bCs/>
                <w:szCs w:val="24"/>
              </w:rPr>
              <w:t>navedejo „koda LEI“ ali „nacionalna koda“.</w:t>
            </w:r>
          </w:p>
        </w:tc>
      </w:tr>
      <w:tr w:rsidR="00AE753A" w:rsidRPr="003F57AB" w14:paraId="0217ECB1" w14:textId="77777777">
        <w:tc>
          <w:tcPr>
            <w:tcW w:w="1389" w:type="dxa"/>
          </w:tcPr>
          <w:p w14:paraId="2467EF76"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0030</w:t>
            </w:r>
          </w:p>
        </w:tc>
        <w:tc>
          <w:tcPr>
            <w:tcW w:w="7620" w:type="dxa"/>
          </w:tcPr>
          <w:p w14:paraId="425A53B0"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Ime</w:t>
            </w:r>
          </w:p>
          <w:p w14:paraId="1E496E44"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szCs w:val="23"/>
              </w:rPr>
              <w:lastRenderedPageBreak/>
              <w:t>V primeru poročanja o skupini povezanih nasprotnih strank ime ustreza imenu obvladujočega podjetja. V vseh drugih primerih ime ustreza posamezni nasprotni stranki.</w:t>
            </w:r>
          </w:p>
        </w:tc>
      </w:tr>
      <w:tr w:rsidR="00AE753A" w:rsidRPr="003F57AB" w14:paraId="03FB1491" w14:textId="77777777">
        <w:tc>
          <w:tcPr>
            <w:tcW w:w="1389" w:type="dxa"/>
          </w:tcPr>
          <w:p w14:paraId="6ADFE870"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lastRenderedPageBreak/>
              <w:t>0040</w:t>
            </w:r>
          </w:p>
        </w:tc>
        <w:tc>
          <w:tcPr>
            <w:tcW w:w="7620" w:type="dxa"/>
          </w:tcPr>
          <w:p w14:paraId="2AE4FBFD"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Skupine/posamezniki</w:t>
            </w:r>
          </w:p>
          <w:p w14:paraId="2DA3E7A9"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szCs w:val="24"/>
              </w:rPr>
              <w:t>Podjetje nave</w:t>
            </w:r>
            <w:r w:rsidRPr="003F57AB">
              <w:rPr>
                <w:rFonts w:ascii="Times New Roman" w:hAnsi="Times New Roman" w:cs="Times New Roman"/>
                <w:szCs w:val="24"/>
              </w:rPr>
              <w:t>de „1“ za poročanje o izpostavljenostih do posameznih strank ali „2“ za poročanje o izpostavljenostih do skupin povezanih strank.</w:t>
            </w:r>
          </w:p>
        </w:tc>
      </w:tr>
      <w:tr w:rsidR="00AE753A" w:rsidRPr="003F57AB" w14:paraId="67CA02AD" w14:textId="77777777">
        <w:tc>
          <w:tcPr>
            <w:tcW w:w="1389" w:type="dxa"/>
          </w:tcPr>
          <w:p w14:paraId="5250ADCE" w14:textId="77777777" w:rsidR="00AE753A" w:rsidRPr="003F57AB" w:rsidRDefault="003F57AB">
            <w:pPr>
              <w:spacing w:after="120" w:line="240" w:lineRule="auto"/>
              <w:jc w:val="both"/>
              <w:rPr>
                <w:rFonts w:ascii="Times New Roman" w:eastAsia="Times New Roman" w:hAnsi="Times New Roman" w:cs="Times New Roman"/>
                <w:bCs/>
                <w:szCs w:val="24"/>
              </w:rPr>
            </w:pPr>
            <w:r w:rsidRPr="003F57AB">
              <w:rPr>
                <w:rFonts w:ascii="Times New Roman" w:hAnsi="Times New Roman" w:cs="Times New Roman"/>
                <w:bCs/>
                <w:szCs w:val="24"/>
              </w:rPr>
              <w:t>0050</w:t>
            </w:r>
          </w:p>
        </w:tc>
        <w:tc>
          <w:tcPr>
            <w:tcW w:w="7620" w:type="dxa"/>
          </w:tcPr>
          <w:p w14:paraId="7C289B56"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
                <w:bCs/>
                <w:szCs w:val="24"/>
                <w:u w:val="single"/>
              </w:rPr>
              <w:t xml:space="preserve">Odstotek izpostavljenosti glede na kapital podjetja (vključno z zunajbilančnimi sredstvi in postavkami iz </w:t>
            </w:r>
            <w:r w:rsidRPr="003F57AB">
              <w:rPr>
                <w:rFonts w:ascii="Times New Roman" w:hAnsi="Times New Roman" w:cs="Times New Roman"/>
                <w:b/>
                <w:bCs/>
                <w:szCs w:val="24"/>
                <w:u w:val="single"/>
              </w:rPr>
              <w:t>netrgovalne knjige)</w:t>
            </w:r>
          </w:p>
          <w:p w14:paraId="3CDC3AD6" w14:textId="77777777" w:rsidR="00AE753A" w:rsidRPr="003F57AB" w:rsidRDefault="003F57AB">
            <w:pPr>
              <w:spacing w:after="120" w:line="240" w:lineRule="auto"/>
              <w:jc w:val="both"/>
              <w:rPr>
                <w:rFonts w:ascii="Times New Roman" w:eastAsia="Times New Roman" w:hAnsi="Times New Roman" w:cs="Times New Roman"/>
                <w:b/>
                <w:bCs/>
                <w:szCs w:val="24"/>
                <w:u w:val="single"/>
              </w:rPr>
            </w:pPr>
            <w:r w:rsidRPr="003F57AB">
              <w:rPr>
                <w:rFonts w:ascii="Times New Roman" w:hAnsi="Times New Roman" w:cs="Times New Roman"/>
                <w:bCs/>
                <w:szCs w:val="24"/>
              </w:rPr>
              <w:t xml:space="preserve">Podjetje poroča izpostavljenosti, pridobljene na podlagi izračuna, ki poleg pozicij v trgovalni knjigi upošteva tudi sredstva in zunajbilančne postavke, ki niso evidentirani v trgovalni knjigi, na datum poročanja do vsake od nasprotnih </w:t>
            </w:r>
            <w:r w:rsidRPr="003F57AB">
              <w:rPr>
                <w:rFonts w:ascii="Times New Roman" w:hAnsi="Times New Roman" w:cs="Times New Roman"/>
                <w:bCs/>
                <w:szCs w:val="24"/>
              </w:rPr>
              <w:t>strank ali skupin nasprotnih strank, o katerih se poroča, izražene kot odstotek sprejemljivega kapitala.</w:t>
            </w:r>
          </w:p>
        </w:tc>
      </w:tr>
    </w:tbl>
    <w:p w14:paraId="4BD58602" w14:textId="77777777" w:rsidR="00AE753A" w:rsidRPr="003F57AB" w:rsidRDefault="00AE753A">
      <w:pPr>
        <w:spacing w:after="0"/>
        <w:rPr>
          <w:rFonts w:ascii="Times New Roman" w:hAnsi="Times New Roman" w:cs="Times New Roman"/>
          <w:u w:val="single"/>
          <w:lang w:val="en-IE"/>
        </w:rPr>
      </w:pPr>
    </w:p>
    <w:p w14:paraId="5982C86D" w14:textId="77777777" w:rsidR="00AE753A" w:rsidRPr="003F57AB" w:rsidRDefault="003F57AB">
      <w:pPr>
        <w:pStyle w:val="Instructionsberschrift2"/>
        <w:ind w:left="357" w:hanging="357"/>
        <w:rPr>
          <w:rFonts w:ascii="Times New Roman" w:hAnsi="Times New Roman" w:cs="Times New Roman"/>
          <w:b/>
          <w:sz w:val="24"/>
        </w:rPr>
      </w:pPr>
      <w:bookmarkStart w:id="97" w:name="_Toc87975527"/>
      <w:r w:rsidRPr="003F57AB">
        <w:rPr>
          <w:rFonts w:ascii="Times New Roman" w:hAnsi="Times New Roman" w:cs="Times New Roman"/>
          <w:b/>
          <w:sz w:val="24"/>
        </w:rPr>
        <w:t>5. LIKVIDNOSTNE ZAHTEVE</w:t>
      </w:r>
      <w:bookmarkEnd w:id="97"/>
    </w:p>
    <w:p w14:paraId="094FE54D"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8" w:name="_Toc87975528"/>
      <w:r w:rsidRPr="003F57AB">
        <w:rPr>
          <w:rFonts w:ascii="Times New Roman" w:hAnsi="Times New Roman" w:cs="Times New Roman"/>
          <w:sz w:val="24"/>
          <w:szCs w:val="24"/>
          <w:u w:val="single"/>
        </w:rPr>
        <w:t>5.1 I 09.00 – LIKVIDNOSTNE ZAHTEVE (I 9)</w:t>
      </w:r>
      <w:bookmarkEnd w:id="98"/>
    </w:p>
    <w:p w14:paraId="591C7D6F" w14:textId="77777777" w:rsidR="00AE753A" w:rsidRPr="003F57AB" w:rsidRDefault="003F57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7975529"/>
      <w:r w:rsidRPr="003F57AB">
        <w:rPr>
          <w:rFonts w:ascii="Times New Roman" w:hAnsi="Times New Roman" w:cs="Times New Roman"/>
          <w:sz w:val="24"/>
          <w:szCs w:val="24"/>
        </w:rPr>
        <w:t>5.1.1</w:t>
      </w:r>
      <w:r w:rsidRPr="003F57AB">
        <w:rPr>
          <w:rFonts w:ascii="Times New Roman" w:hAnsi="Times New Roman" w:cs="Times New Roman"/>
        </w:rPr>
        <w:tab/>
      </w:r>
      <w:r w:rsidRPr="003F57AB">
        <w:rPr>
          <w:rFonts w:ascii="Times New Roman" w:hAnsi="Times New Roman" w:cs="Times New Roman"/>
          <w:sz w:val="24"/>
          <w:szCs w:val="24"/>
          <w:u w:val="single"/>
        </w:rPr>
        <w:t>Navodila za posamezne pozicije</w:t>
      </w:r>
      <w:bookmarkEnd w:id="9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753A" w:rsidRPr="003F57AB" w14:paraId="4A6CE466" w14:textId="77777777">
        <w:tc>
          <w:tcPr>
            <w:tcW w:w="1129" w:type="dxa"/>
            <w:shd w:val="clear" w:color="auto" w:fill="D9D9D9"/>
          </w:tcPr>
          <w:p w14:paraId="3504E99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Vrstica</w:t>
            </w:r>
          </w:p>
        </w:tc>
        <w:tc>
          <w:tcPr>
            <w:tcW w:w="7620" w:type="dxa"/>
            <w:shd w:val="clear" w:color="auto" w:fill="D9D9D9"/>
          </w:tcPr>
          <w:p w14:paraId="1881E64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rPr>
              <w:t>Pravna podlaga in navodila</w:t>
            </w:r>
          </w:p>
        </w:tc>
      </w:tr>
      <w:tr w:rsidR="00AE753A" w:rsidRPr="003F57AB" w14:paraId="3819D276" w14:textId="77777777">
        <w:tc>
          <w:tcPr>
            <w:tcW w:w="1129" w:type="dxa"/>
          </w:tcPr>
          <w:p w14:paraId="4E83016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0010</w:t>
            </w:r>
          </w:p>
        </w:tc>
        <w:tc>
          <w:tcPr>
            <w:tcW w:w="7620" w:type="dxa"/>
          </w:tcPr>
          <w:p w14:paraId="12D8EEC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Likvidnostna zahteva</w:t>
            </w:r>
          </w:p>
          <w:p w14:paraId="274C605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43(1) Uredbe (EU) 2019/2033.</w:t>
            </w:r>
          </w:p>
        </w:tc>
      </w:tr>
      <w:tr w:rsidR="00AE753A" w:rsidRPr="003F57AB" w14:paraId="3223EE24" w14:textId="77777777">
        <w:tc>
          <w:tcPr>
            <w:tcW w:w="1129" w:type="dxa"/>
          </w:tcPr>
          <w:p w14:paraId="51ABCA5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0020</w:t>
            </w:r>
          </w:p>
        </w:tc>
        <w:tc>
          <w:tcPr>
            <w:tcW w:w="7620" w:type="dxa"/>
          </w:tcPr>
          <w:p w14:paraId="467D49E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Jamstva strankam</w:t>
            </w:r>
          </w:p>
          <w:p w14:paraId="4F894A3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45 Uredbe (EU) 2019/2033.</w:t>
            </w:r>
          </w:p>
          <w:p w14:paraId="60F1AA6C" w14:textId="77777777" w:rsidR="00AE753A" w:rsidRPr="003F57AB" w:rsidRDefault="003F57AB">
            <w:pPr>
              <w:pStyle w:val="CommentText"/>
              <w:rPr>
                <w:rFonts w:ascii="Times New Roman" w:eastAsia="Times New Roman" w:hAnsi="Times New Roman" w:cs="Times New Roman"/>
                <w:bCs/>
                <w:sz w:val="22"/>
                <w:szCs w:val="22"/>
              </w:rPr>
            </w:pPr>
            <w:r w:rsidRPr="003F57AB">
              <w:rPr>
                <w:rFonts w:ascii="Times New Roman" w:hAnsi="Times New Roman" w:cs="Times New Roman"/>
                <w:bCs/>
                <w:sz w:val="22"/>
                <w:szCs w:val="22"/>
              </w:rPr>
              <w:t>Sporočena vrednost je 1,6 % skupnega zneska jamstev, danih strankam, v skladu s členom 45 Uredbe (EU) 2019/2033.</w:t>
            </w:r>
          </w:p>
        </w:tc>
      </w:tr>
      <w:tr w:rsidR="00AE753A" w:rsidRPr="003F57AB" w14:paraId="4D1F9563" w14:textId="77777777">
        <w:tc>
          <w:tcPr>
            <w:tcW w:w="1129" w:type="dxa"/>
          </w:tcPr>
          <w:p w14:paraId="2773AD0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0030</w:t>
            </w:r>
          </w:p>
        </w:tc>
        <w:tc>
          <w:tcPr>
            <w:tcW w:w="7620" w:type="dxa"/>
          </w:tcPr>
          <w:p w14:paraId="1BC29AA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Likvidna sredstva </w:t>
            </w:r>
            <w:r w:rsidRPr="003F57AB">
              <w:rPr>
                <w:rFonts w:ascii="Times New Roman" w:hAnsi="Times New Roman" w:cs="Times New Roman"/>
                <w:b/>
                <w:bCs/>
                <w:u w:val="single"/>
              </w:rPr>
              <w:t>skupaj</w:t>
            </w:r>
          </w:p>
          <w:p w14:paraId="13B2A9D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43(1), točka (a), in člen 43(2) Uredbe (EU) 2019/2033.</w:t>
            </w:r>
          </w:p>
          <w:p w14:paraId="482B76E6" w14:textId="77777777" w:rsidR="00AE753A" w:rsidRPr="003F57AB" w:rsidRDefault="003F57AB">
            <w:pPr>
              <w:pStyle w:val="CommentText"/>
              <w:rPr>
                <w:rFonts w:ascii="Times New Roman" w:eastAsia="Times New Roman" w:hAnsi="Times New Roman" w:cs="Times New Roman"/>
                <w:bCs/>
                <w:sz w:val="22"/>
                <w:szCs w:val="22"/>
              </w:rPr>
            </w:pPr>
            <w:r w:rsidRPr="003F57AB">
              <w:rPr>
                <w:rFonts w:ascii="Times New Roman" w:hAnsi="Times New Roman" w:cs="Times New Roman"/>
                <w:bCs/>
                <w:sz w:val="22"/>
                <w:szCs w:val="22"/>
              </w:rPr>
              <w:t>Skupni znesek likvidnih sredstev se poroča po uporabi ustreznih odbitkov.</w:t>
            </w:r>
          </w:p>
          <w:p w14:paraId="467D39CF"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Ta vrstica je vsota vrstic 0040, 0050, 0060, 0170, 0230, 0290 in 0300.</w:t>
            </w:r>
          </w:p>
        </w:tc>
      </w:tr>
      <w:tr w:rsidR="00AE753A" w:rsidRPr="003F57AB" w14:paraId="393B5581" w14:textId="77777777">
        <w:tc>
          <w:tcPr>
            <w:tcW w:w="1129" w:type="dxa"/>
          </w:tcPr>
          <w:p w14:paraId="4FB2D2F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0040</w:t>
            </w:r>
          </w:p>
        </w:tc>
        <w:tc>
          <w:tcPr>
            <w:tcW w:w="7620" w:type="dxa"/>
          </w:tcPr>
          <w:p w14:paraId="1A549CC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Neobremenjene kratkoročne vloge</w:t>
            </w:r>
          </w:p>
          <w:p w14:paraId="3B0E937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w:t>
            </w:r>
            <w:r w:rsidRPr="003F57AB">
              <w:rPr>
                <w:rFonts w:ascii="Times New Roman" w:hAnsi="Times New Roman" w:cs="Times New Roman"/>
                <w:bCs/>
              </w:rPr>
              <w:t>3(1), točka (d), in člen 43(2) Uredbe (EU) 2019/2033.</w:t>
            </w:r>
          </w:p>
        </w:tc>
      </w:tr>
      <w:tr w:rsidR="00AE753A" w:rsidRPr="003F57AB" w14:paraId="77D17712" w14:textId="77777777">
        <w:tc>
          <w:tcPr>
            <w:tcW w:w="1129" w:type="dxa"/>
          </w:tcPr>
          <w:p w14:paraId="344C0E9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0050</w:t>
            </w:r>
          </w:p>
        </w:tc>
        <w:tc>
          <w:tcPr>
            <w:tcW w:w="7620" w:type="dxa"/>
          </w:tcPr>
          <w:p w14:paraId="64D8200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Skupne sprejemljive terjatve, ki zapadejo v 30 dneh</w:t>
            </w:r>
          </w:p>
          <w:p w14:paraId="525090D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43(3) Uredbe (EU) 2019/2033 in člen 43(2) Uredbe (EU) 2019/2033.</w:t>
            </w:r>
          </w:p>
        </w:tc>
      </w:tr>
      <w:tr w:rsidR="00AE753A" w:rsidRPr="003F57AB" w14:paraId="4E72C44E" w14:textId="77777777">
        <w:tc>
          <w:tcPr>
            <w:tcW w:w="1129" w:type="dxa"/>
          </w:tcPr>
          <w:p w14:paraId="39D1EE1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0060</w:t>
            </w:r>
          </w:p>
        </w:tc>
        <w:tc>
          <w:tcPr>
            <w:tcW w:w="7620" w:type="dxa"/>
          </w:tcPr>
          <w:p w14:paraId="45A8C30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Sredstva stopnje 1</w:t>
            </w:r>
          </w:p>
          <w:p w14:paraId="764F8E8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10 Delegirane uredbe Komisije (EU) 2015/61 i</w:t>
            </w:r>
            <w:r w:rsidRPr="003F57AB">
              <w:rPr>
                <w:rFonts w:ascii="Times New Roman" w:hAnsi="Times New Roman" w:cs="Times New Roman"/>
                <w:bCs/>
              </w:rPr>
              <w:t>n člen 43(2) Uredbe (EU) 2019/2033.</w:t>
            </w:r>
          </w:p>
          <w:p w14:paraId="651AE153" w14:textId="77777777" w:rsidR="00AE753A" w:rsidRPr="003F57AB" w:rsidRDefault="003F57AB">
            <w:pPr>
              <w:pStyle w:val="CommentText"/>
              <w:rPr>
                <w:rFonts w:ascii="Times New Roman" w:eastAsia="Times New Roman" w:hAnsi="Times New Roman" w:cs="Times New Roman"/>
                <w:bCs/>
                <w:sz w:val="22"/>
                <w:szCs w:val="22"/>
              </w:rPr>
            </w:pPr>
            <w:r w:rsidRPr="003F57AB">
              <w:rPr>
                <w:rFonts w:ascii="Times New Roman" w:hAnsi="Times New Roman" w:cs="Times New Roman"/>
                <w:bCs/>
                <w:sz w:val="22"/>
                <w:szCs w:val="22"/>
              </w:rPr>
              <w:t>Skupni znesek likvidnih sredstev se poroča po uporabi ustreznih odbitkov.</w:t>
            </w:r>
          </w:p>
          <w:p w14:paraId="53430DB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Vsota vrstic 0070–0160.</w:t>
            </w:r>
          </w:p>
        </w:tc>
      </w:tr>
      <w:tr w:rsidR="00AE753A" w:rsidRPr="003F57AB" w14:paraId="124EA4F4" w14:textId="77777777">
        <w:tc>
          <w:tcPr>
            <w:tcW w:w="1129" w:type="dxa"/>
          </w:tcPr>
          <w:p w14:paraId="23E1CA7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0070</w:t>
            </w:r>
          </w:p>
        </w:tc>
        <w:tc>
          <w:tcPr>
            <w:tcW w:w="7620" w:type="dxa"/>
          </w:tcPr>
          <w:p w14:paraId="282100D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Kovanci in bankovci</w:t>
            </w:r>
          </w:p>
          <w:p w14:paraId="1528ED47" w14:textId="77777777" w:rsidR="00AE753A" w:rsidRPr="003F57AB" w:rsidRDefault="003F57AB">
            <w:pPr>
              <w:pStyle w:val="InstructionsText"/>
              <w:rPr>
                <w:rFonts w:cs="Times New Roman"/>
                <w:sz w:val="22"/>
                <w:szCs w:val="22"/>
              </w:rPr>
            </w:pPr>
            <w:r w:rsidRPr="003F57AB">
              <w:rPr>
                <w:rFonts w:cs="Times New Roman"/>
                <w:sz w:val="22"/>
                <w:szCs w:val="22"/>
              </w:rPr>
              <w:t>Člen 10(1), točka (a), Delegirane uredbe (EU) 2015/61.</w:t>
            </w:r>
          </w:p>
          <w:p w14:paraId="5E237BBB" w14:textId="77777777" w:rsidR="00AE753A" w:rsidRPr="003F57AB" w:rsidRDefault="003F57AB">
            <w:pPr>
              <w:pStyle w:val="InstructionsText"/>
              <w:rPr>
                <w:rFonts w:cs="Times New Roman"/>
                <w:sz w:val="22"/>
                <w:szCs w:val="22"/>
              </w:rPr>
            </w:pPr>
            <w:r w:rsidRPr="003F57AB">
              <w:rPr>
                <w:rFonts w:cs="Times New Roman"/>
                <w:sz w:val="22"/>
                <w:szCs w:val="22"/>
              </w:rPr>
              <w:lastRenderedPageBreak/>
              <w:t xml:space="preserve">Skupni znesek denarnih sredstev v </w:t>
            </w:r>
            <w:r w:rsidRPr="003F57AB">
              <w:rPr>
                <w:rFonts w:cs="Times New Roman"/>
                <w:sz w:val="22"/>
                <w:szCs w:val="22"/>
              </w:rPr>
              <w:t>obliki kovancev in bankovcev.</w:t>
            </w:r>
          </w:p>
        </w:tc>
      </w:tr>
      <w:tr w:rsidR="00AE753A" w:rsidRPr="003F57AB" w14:paraId="23A46D71" w14:textId="77777777">
        <w:tc>
          <w:tcPr>
            <w:tcW w:w="1129" w:type="dxa"/>
          </w:tcPr>
          <w:p w14:paraId="6E1AED5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0080</w:t>
            </w:r>
          </w:p>
        </w:tc>
        <w:tc>
          <w:tcPr>
            <w:tcW w:w="7620" w:type="dxa"/>
          </w:tcPr>
          <w:p w14:paraId="1A0F43F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Rezerve v centralni banki, ki se lahko dvignejo</w:t>
            </w:r>
          </w:p>
          <w:p w14:paraId="56AF718F" w14:textId="77777777" w:rsidR="00AE753A" w:rsidRPr="003F57AB" w:rsidRDefault="003F57AB">
            <w:pPr>
              <w:pStyle w:val="InstructionsText"/>
              <w:rPr>
                <w:rFonts w:cs="Times New Roman"/>
                <w:sz w:val="22"/>
                <w:szCs w:val="22"/>
              </w:rPr>
            </w:pPr>
            <w:r w:rsidRPr="003F57AB">
              <w:rPr>
                <w:rFonts w:cs="Times New Roman"/>
                <w:sz w:val="22"/>
                <w:szCs w:val="22"/>
              </w:rPr>
              <w:t>Člen 10(1), točka (b)(iii), Delegirane uredbe (EU) 2015/61.</w:t>
            </w:r>
          </w:p>
        </w:tc>
      </w:tr>
      <w:tr w:rsidR="00AE753A" w:rsidRPr="003F57AB" w14:paraId="4A9555C1" w14:textId="77777777">
        <w:tc>
          <w:tcPr>
            <w:tcW w:w="1129" w:type="dxa"/>
          </w:tcPr>
          <w:p w14:paraId="7607508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0090</w:t>
            </w:r>
          </w:p>
        </w:tc>
        <w:tc>
          <w:tcPr>
            <w:tcW w:w="7620" w:type="dxa"/>
          </w:tcPr>
          <w:p w14:paraId="11A8578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Sredstva, ki predstavljajo terjatve do centralnih bank</w:t>
            </w:r>
          </w:p>
          <w:p w14:paraId="0231C669" w14:textId="77777777" w:rsidR="00AE753A" w:rsidRPr="003F57AB" w:rsidRDefault="003F57AB">
            <w:pPr>
              <w:pStyle w:val="InstructionsText"/>
              <w:rPr>
                <w:rFonts w:cs="Times New Roman"/>
                <w:sz w:val="22"/>
                <w:szCs w:val="22"/>
              </w:rPr>
            </w:pPr>
            <w:r w:rsidRPr="003F57AB">
              <w:rPr>
                <w:rFonts w:cs="Times New Roman"/>
                <w:sz w:val="22"/>
                <w:szCs w:val="22"/>
              </w:rPr>
              <w:t>Člen 10(1), točka (b)(i) in (ii), Delegirane uredbe</w:t>
            </w:r>
            <w:r w:rsidRPr="003F57AB">
              <w:rPr>
                <w:rFonts w:cs="Times New Roman"/>
                <w:sz w:val="22"/>
                <w:szCs w:val="22"/>
              </w:rPr>
              <w:t xml:space="preserve"> (EU) 2015/61.</w:t>
            </w:r>
          </w:p>
        </w:tc>
      </w:tr>
      <w:tr w:rsidR="00AE753A" w:rsidRPr="003F57AB" w14:paraId="0EC95D33" w14:textId="77777777">
        <w:tc>
          <w:tcPr>
            <w:tcW w:w="1129" w:type="dxa"/>
          </w:tcPr>
          <w:p w14:paraId="5E079C0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0100</w:t>
            </w:r>
          </w:p>
        </w:tc>
        <w:tc>
          <w:tcPr>
            <w:tcW w:w="7620" w:type="dxa"/>
          </w:tcPr>
          <w:p w14:paraId="64F91A32"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Sredstva, ki predstavljajo terjatve do enot centralne ravni države</w:t>
            </w:r>
          </w:p>
          <w:p w14:paraId="436EDAB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10(1), točka (c)(i) in (ii), Delegirane uredbe (EU) 2015/61.</w:t>
            </w:r>
          </w:p>
        </w:tc>
      </w:tr>
      <w:tr w:rsidR="00AE753A" w:rsidRPr="003F57AB" w14:paraId="4607FC11" w14:textId="77777777">
        <w:tc>
          <w:tcPr>
            <w:tcW w:w="1129" w:type="dxa"/>
          </w:tcPr>
          <w:p w14:paraId="5E092246"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0110</w:t>
            </w:r>
          </w:p>
        </w:tc>
        <w:tc>
          <w:tcPr>
            <w:tcW w:w="7620" w:type="dxa"/>
          </w:tcPr>
          <w:p w14:paraId="1F74D2D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Sredstva, ki predstavljajo terjatve do enot regionalne/lokalne ravni države</w:t>
            </w:r>
          </w:p>
          <w:p w14:paraId="5FC93BCC"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 xml:space="preserve">Člen 10(1), </w:t>
            </w:r>
            <w:r w:rsidRPr="003F57AB">
              <w:rPr>
                <w:rFonts w:ascii="Times New Roman" w:hAnsi="Times New Roman" w:cs="Times New Roman"/>
                <w:bCs/>
              </w:rPr>
              <w:t>točka (c)(iii) in (iv), Delegirane uredbe (EU) 2015/61.</w:t>
            </w:r>
          </w:p>
        </w:tc>
      </w:tr>
      <w:tr w:rsidR="00AE753A" w:rsidRPr="003F57AB" w14:paraId="0769AD2F" w14:textId="77777777">
        <w:tc>
          <w:tcPr>
            <w:tcW w:w="1129" w:type="dxa"/>
          </w:tcPr>
          <w:p w14:paraId="3B5DF4C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0120</w:t>
            </w:r>
          </w:p>
        </w:tc>
        <w:tc>
          <w:tcPr>
            <w:tcW w:w="7620" w:type="dxa"/>
          </w:tcPr>
          <w:p w14:paraId="1E84B05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Sredstva, ki predstavljajo terjatve do subjektov javnega sektorja</w:t>
            </w:r>
          </w:p>
          <w:p w14:paraId="636DD3F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10(1), točka (c)(v), Delegirane uredbe (EU) 2015/61.</w:t>
            </w:r>
          </w:p>
        </w:tc>
      </w:tr>
      <w:tr w:rsidR="00AE753A" w:rsidRPr="003F57AB" w14:paraId="359B21C3" w14:textId="77777777">
        <w:tc>
          <w:tcPr>
            <w:tcW w:w="1129" w:type="dxa"/>
          </w:tcPr>
          <w:p w14:paraId="7C25A09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0130</w:t>
            </w:r>
          </w:p>
        </w:tc>
        <w:tc>
          <w:tcPr>
            <w:tcW w:w="7620" w:type="dxa"/>
          </w:tcPr>
          <w:p w14:paraId="4A8F9E3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Sredstva, ki predstavljajo terjatve v domači in tuji valuti do e</w:t>
            </w:r>
            <w:r w:rsidRPr="003F57AB">
              <w:rPr>
                <w:rFonts w:ascii="Times New Roman" w:hAnsi="Times New Roman" w:cs="Times New Roman"/>
                <w:b/>
                <w:bCs/>
                <w:u w:val="single"/>
              </w:rPr>
              <w:t>not centralne ravni države in centralnih bank, ki se lahko pripoznajo kot sredstva stopnje 1</w:t>
            </w:r>
          </w:p>
          <w:p w14:paraId="02B6B06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10(1), točka (d), Delegirane uredbe (EU) 2015/61.</w:t>
            </w:r>
          </w:p>
        </w:tc>
      </w:tr>
      <w:tr w:rsidR="00AE753A" w:rsidRPr="003F57AB" w14:paraId="7F8A1A27" w14:textId="77777777">
        <w:tc>
          <w:tcPr>
            <w:tcW w:w="1129" w:type="dxa"/>
          </w:tcPr>
          <w:p w14:paraId="1B6AF95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0140</w:t>
            </w:r>
          </w:p>
        </w:tc>
        <w:tc>
          <w:tcPr>
            <w:tcW w:w="7620" w:type="dxa"/>
          </w:tcPr>
          <w:p w14:paraId="71ECD56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Sredstva, ki jih izdajo kreditne institucije (z zavarovanjem vlade države članice, dajalec promocijski</w:t>
            </w:r>
            <w:r w:rsidRPr="003F57AB">
              <w:rPr>
                <w:rFonts w:ascii="Times New Roman" w:hAnsi="Times New Roman" w:cs="Times New Roman"/>
                <w:b/>
                <w:bCs/>
                <w:u w:val="single"/>
              </w:rPr>
              <w:t>h kreditov)</w:t>
            </w:r>
          </w:p>
          <w:p w14:paraId="25C4875F" w14:textId="77777777" w:rsidR="00AE753A" w:rsidRPr="003F57AB" w:rsidRDefault="003F57AB">
            <w:pPr>
              <w:pStyle w:val="InstructionsText"/>
              <w:rPr>
                <w:rFonts w:cs="Times New Roman"/>
                <w:b/>
                <w:sz w:val="22"/>
                <w:szCs w:val="22"/>
                <w:u w:val="single"/>
              </w:rPr>
            </w:pPr>
            <w:r w:rsidRPr="003F57AB">
              <w:rPr>
                <w:rFonts w:cs="Times New Roman"/>
                <w:sz w:val="22"/>
                <w:szCs w:val="22"/>
              </w:rPr>
              <w:t>Člen 10(1), točka (e)(i) in (ii), Delegirane uredbe (EU) 2015/61.</w:t>
            </w:r>
          </w:p>
        </w:tc>
      </w:tr>
      <w:tr w:rsidR="00AE753A" w:rsidRPr="003F57AB" w14:paraId="7C03AF66" w14:textId="77777777">
        <w:tc>
          <w:tcPr>
            <w:tcW w:w="1129" w:type="dxa"/>
          </w:tcPr>
          <w:p w14:paraId="701A57C8"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0150</w:t>
            </w:r>
          </w:p>
        </w:tc>
        <w:tc>
          <w:tcPr>
            <w:tcW w:w="7620" w:type="dxa"/>
          </w:tcPr>
          <w:p w14:paraId="3DA6792F"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Sredstva, ki predstavljajo terjatve do multilateralnih razvojnih bank in mednarodnih organizacij</w:t>
            </w:r>
          </w:p>
          <w:p w14:paraId="3683DEB6" w14:textId="77777777" w:rsidR="00AE753A" w:rsidRPr="003F57AB" w:rsidRDefault="003F57AB">
            <w:pPr>
              <w:pStyle w:val="InstructionsText"/>
              <w:rPr>
                <w:rFonts w:cs="Times New Roman"/>
                <w:sz w:val="22"/>
                <w:szCs w:val="22"/>
              </w:rPr>
            </w:pPr>
            <w:r w:rsidRPr="003F57AB">
              <w:rPr>
                <w:rFonts w:cs="Times New Roman"/>
                <w:sz w:val="22"/>
                <w:szCs w:val="22"/>
              </w:rPr>
              <w:t>Člen 10(1), točka (g), Delegirane uredbe (EU) 2015/61.</w:t>
            </w:r>
          </w:p>
        </w:tc>
      </w:tr>
      <w:tr w:rsidR="00AE753A" w:rsidRPr="003F57AB" w14:paraId="3857AE8B" w14:textId="77777777">
        <w:tc>
          <w:tcPr>
            <w:tcW w:w="1129" w:type="dxa"/>
          </w:tcPr>
          <w:p w14:paraId="346CE09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0160</w:t>
            </w:r>
          </w:p>
        </w:tc>
        <w:tc>
          <w:tcPr>
            <w:tcW w:w="7620" w:type="dxa"/>
            <w:vAlign w:val="center"/>
          </w:tcPr>
          <w:p w14:paraId="4FF15A3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Izjemno </w:t>
            </w:r>
            <w:r w:rsidRPr="003F57AB">
              <w:rPr>
                <w:rFonts w:ascii="Times New Roman" w:hAnsi="Times New Roman" w:cs="Times New Roman"/>
                <w:b/>
                <w:bCs/>
                <w:u w:val="single"/>
              </w:rPr>
              <w:t>visokokakovostne krite obveznice</w:t>
            </w:r>
          </w:p>
          <w:p w14:paraId="791F143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10(1), točka (f), Delegirane uredbe (EU) 2015/61.</w:t>
            </w:r>
          </w:p>
        </w:tc>
      </w:tr>
      <w:tr w:rsidR="00AE753A" w:rsidRPr="003F57AB" w14:paraId="71C4DAB7" w14:textId="77777777">
        <w:trPr>
          <w:trHeight w:val="885"/>
        </w:trPr>
        <w:tc>
          <w:tcPr>
            <w:tcW w:w="1129" w:type="dxa"/>
          </w:tcPr>
          <w:p w14:paraId="16CFCA4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0170</w:t>
            </w:r>
          </w:p>
        </w:tc>
        <w:tc>
          <w:tcPr>
            <w:tcW w:w="7620" w:type="dxa"/>
            <w:vAlign w:val="center"/>
          </w:tcPr>
          <w:p w14:paraId="3C8F35E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Sredstva stopnje 2A</w:t>
            </w:r>
          </w:p>
          <w:p w14:paraId="5D146072"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11 Delegirane uredbe Komisije (EU) 2015/61 in člen 43(2) Uredbe (EU) 2019/2033.</w:t>
            </w:r>
          </w:p>
        </w:tc>
      </w:tr>
      <w:tr w:rsidR="00AE753A" w:rsidRPr="003F57AB" w14:paraId="366BCB1D" w14:textId="77777777">
        <w:tc>
          <w:tcPr>
            <w:tcW w:w="1129" w:type="dxa"/>
          </w:tcPr>
          <w:p w14:paraId="28078E8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4F28D41"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Sredstva, ki predstavljajo terjatve do enot </w:t>
            </w:r>
            <w:r w:rsidRPr="003F57AB">
              <w:rPr>
                <w:rFonts w:ascii="Times New Roman" w:hAnsi="Times New Roman" w:cs="Times New Roman"/>
                <w:b/>
                <w:bCs/>
                <w:u w:val="single"/>
              </w:rPr>
              <w:t>regionalne ravni države / enot lokalne ravni države ali subjektov javnega sektorja (država članica, utež tveganja 20 %)</w:t>
            </w:r>
          </w:p>
          <w:p w14:paraId="2821DEC4" w14:textId="77777777" w:rsidR="00AE753A" w:rsidRPr="003F57AB" w:rsidRDefault="003F57AB">
            <w:pPr>
              <w:spacing w:after="0"/>
              <w:ind w:left="33"/>
              <w:rPr>
                <w:rFonts w:ascii="Times New Roman" w:eastAsia="Times New Roman" w:hAnsi="Times New Roman" w:cs="Times New Roman"/>
                <w:bCs/>
              </w:rPr>
            </w:pPr>
            <w:r w:rsidRPr="003F57AB">
              <w:rPr>
                <w:rFonts w:ascii="Times New Roman" w:hAnsi="Times New Roman" w:cs="Times New Roman"/>
                <w:bCs/>
              </w:rPr>
              <w:t>Člen 11(1), točka (a), Delegirane uredbe (EU) 2015/61.</w:t>
            </w:r>
          </w:p>
        </w:tc>
      </w:tr>
      <w:tr w:rsidR="00AE753A" w:rsidRPr="003F57AB" w14:paraId="00E30B88" w14:textId="77777777">
        <w:tc>
          <w:tcPr>
            <w:tcW w:w="1129" w:type="dxa"/>
          </w:tcPr>
          <w:p w14:paraId="605BDD1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F3CC49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 xml:space="preserve">Sredstva, ki predstavljajo terjatve do centralne banke ali enot </w:t>
            </w:r>
            <w:r w:rsidRPr="003F57AB">
              <w:rPr>
                <w:rFonts w:ascii="Times New Roman" w:hAnsi="Times New Roman" w:cs="Times New Roman"/>
                <w:b/>
                <w:bCs/>
                <w:u w:val="single"/>
              </w:rPr>
              <w:t>centralne / regionalne ravni države ali enot lokalne ravni države ali subjektov javnega sektorja (tretja država, utež tveganja 20 %)</w:t>
            </w:r>
          </w:p>
          <w:p w14:paraId="194ED8E2" w14:textId="77777777" w:rsidR="00AE753A" w:rsidRPr="003F57AB" w:rsidRDefault="003F57AB">
            <w:pPr>
              <w:spacing w:after="0"/>
              <w:ind w:left="33"/>
              <w:rPr>
                <w:rFonts w:ascii="Times New Roman" w:eastAsia="Times New Roman" w:hAnsi="Times New Roman" w:cs="Times New Roman"/>
                <w:bCs/>
              </w:rPr>
            </w:pPr>
            <w:r w:rsidRPr="003F57AB">
              <w:rPr>
                <w:rFonts w:ascii="Times New Roman" w:hAnsi="Times New Roman" w:cs="Times New Roman"/>
                <w:bCs/>
              </w:rPr>
              <w:t>Člen 11(1), točka (b), Delegirane uredbe (EU) 2015/61.</w:t>
            </w:r>
          </w:p>
        </w:tc>
      </w:tr>
      <w:tr w:rsidR="00AE753A" w:rsidRPr="003F57AB" w14:paraId="3D18C83B" w14:textId="77777777">
        <w:tc>
          <w:tcPr>
            <w:tcW w:w="1129" w:type="dxa"/>
          </w:tcPr>
          <w:p w14:paraId="213E0114"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2BC173C"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Visokokakovostne krite obveznice (stopnja kreditne kakovosti 2</w:t>
            </w:r>
            <w:r w:rsidRPr="003F57AB">
              <w:rPr>
                <w:rFonts w:ascii="Times New Roman" w:hAnsi="Times New Roman" w:cs="Times New Roman"/>
                <w:b/>
                <w:bCs/>
                <w:u w:val="single"/>
              </w:rPr>
              <w:t>)</w:t>
            </w:r>
          </w:p>
          <w:p w14:paraId="64D43C43" w14:textId="77777777" w:rsidR="00AE753A" w:rsidRPr="003F57AB" w:rsidRDefault="003F57AB">
            <w:pPr>
              <w:spacing w:after="0"/>
              <w:ind w:left="33"/>
              <w:rPr>
                <w:rFonts w:ascii="Times New Roman" w:eastAsia="Times New Roman" w:hAnsi="Times New Roman" w:cs="Times New Roman"/>
                <w:b/>
                <w:bCs/>
                <w:u w:val="single"/>
              </w:rPr>
            </w:pPr>
            <w:r w:rsidRPr="003F57AB">
              <w:rPr>
                <w:rFonts w:ascii="Times New Roman" w:hAnsi="Times New Roman" w:cs="Times New Roman"/>
                <w:bCs/>
              </w:rPr>
              <w:t>Člen 11(1), točka (c), Delegirane uredbe (EU) 2015/61.</w:t>
            </w:r>
          </w:p>
        </w:tc>
      </w:tr>
      <w:tr w:rsidR="00AE753A" w:rsidRPr="003F57AB" w14:paraId="2CD27371" w14:textId="77777777">
        <w:tc>
          <w:tcPr>
            <w:tcW w:w="1129" w:type="dxa"/>
          </w:tcPr>
          <w:p w14:paraId="7AC65CD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6E59DE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Visokokakovostne krite obveznice (tretja država, stopnja kreditne kakovosti 1)</w:t>
            </w:r>
          </w:p>
          <w:p w14:paraId="51E72DBC" w14:textId="77777777" w:rsidR="00AE753A" w:rsidRPr="003F57AB" w:rsidRDefault="003F57AB">
            <w:pPr>
              <w:spacing w:after="0"/>
              <w:ind w:left="33"/>
              <w:rPr>
                <w:rFonts w:ascii="Times New Roman" w:eastAsia="Times New Roman" w:hAnsi="Times New Roman" w:cs="Times New Roman"/>
                <w:b/>
                <w:bCs/>
                <w:u w:val="single"/>
              </w:rPr>
            </w:pPr>
            <w:r w:rsidRPr="003F57AB">
              <w:rPr>
                <w:rFonts w:ascii="Times New Roman" w:hAnsi="Times New Roman" w:cs="Times New Roman"/>
                <w:bCs/>
              </w:rPr>
              <w:t>Člen 11(1), točka (d), Delegirane uredbe (EU) 2015/61.</w:t>
            </w:r>
          </w:p>
        </w:tc>
      </w:tr>
      <w:tr w:rsidR="00AE753A" w:rsidRPr="003F57AB" w14:paraId="1E7F0C46" w14:textId="77777777">
        <w:tc>
          <w:tcPr>
            <w:tcW w:w="1129" w:type="dxa"/>
          </w:tcPr>
          <w:p w14:paraId="20A39057"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E52EB9"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Podjetniški dolžniški vrednostni papirji (stopnja kre</w:t>
            </w:r>
            <w:r w:rsidRPr="003F57AB">
              <w:rPr>
                <w:rFonts w:ascii="Times New Roman" w:hAnsi="Times New Roman" w:cs="Times New Roman"/>
                <w:b/>
                <w:bCs/>
                <w:u w:val="single"/>
              </w:rPr>
              <w:t>ditne kakovosti 1)</w:t>
            </w:r>
          </w:p>
          <w:p w14:paraId="1C3E563C" w14:textId="77777777" w:rsidR="00AE753A" w:rsidRPr="003F57AB" w:rsidRDefault="003F57AB">
            <w:pPr>
              <w:spacing w:after="0"/>
              <w:ind w:left="33"/>
              <w:rPr>
                <w:rFonts w:ascii="Times New Roman" w:eastAsia="Times New Roman" w:hAnsi="Times New Roman" w:cs="Times New Roman"/>
                <w:b/>
                <w:bCs/>
                <w:u w:val="single"/>
              </w:rPr>
            </w:pPr>
            <w:r w:rsidRPr="003F57AB">
              <w:rPr>
                <w:rFonts w:ascii="Times New Roman" w:hAnsi="Times New Roman" w:cs="Times New Roman"/>
                <w:bCs/>
              </w:rPr>
              <w:t>Člen 11(1), točka (e), Delegirane uredbe (EU) 2015/61.</w:t>
            </w:r>
          </w:p>
        </w:tc>
      </w:tr>
      <w:tr w:rsidR="00AE753A" w:rsidRPr="003F57AB" w14:paraId="392064A6" w14:textId="77777777">
        <w:trPr>
          <w:trHeight w:val="1001"/>
        </w:trPr>
        <w:tc>
          <w:tcPr>
            <w:tcW w:w="1129" w:type="dxa"/>
          </w:tcPr>
          <w:p w14:paraId="0B06900E"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5D12C86"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Sredstva stopnje 2B</w:t>
            </w:r>
          </w:p>
          <w:p w14:paraId="14A5D67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12 Delegirane uredbe Komisije (EU) 2015/61 in člen 43(2) Uredbe (EU) 2019/2033.</w:t>
            </w:r>
          </w:p>
        </w:tc>
      </w:tr>
      <w:tr w:rsidR="00AE753A" w:rsidRPr="003F57AB" w14:paraId="3387B349" w14:textId="77777777">
        <w:tc>
          <w:tcPr>
            <w:tcW w:w="1129" w:type="dxa"/>
          </w:tcPr>
          <w:p w14:paraId="2AC2059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05DC1D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Vrednostni papirji s premoženjskim kritjem</w:t>
            </w:r>
          </w:p>
          <w:p w14:paraId="57E2D163"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lastRenderedPageBreak/>
              <w:t xml:space="preserve">Člen 12(1), točka </w:t>
            </w:r>
            <w:r w:rsidRPr="003F57AB">
              <w:rPr>
                <w:rFonts w:ascii="Times New Roman" w:hAnsi="Times New Roman" w:cs="Times New Roman"/>
                <w:bCs/>
              </w:rPr>
              <w:t>(a), in člen 13(2), točka (g), Delegirane uredbe (EU) 2015/61.</w:t>
            </w:r>
          </w:p>
        </w:tc>
      </w:tr>
      <w:tr w:rsidR="00AE753A" w:rsidRPr="003F57AB" w14:paraId="57617772" w14:textId="77777777">
        <w:tc>
          <w:tcPr>
            <w:tcW w:w="1129" w:type="dxa"/>
          </w:tcPr>
          <w:p w14:paraId="77F5B5B5"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lastRenderedPageBreak/>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848D7D1"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
                <w:bCs/>
                <w:u w:val="single"/>
              </w:rPr>
              <w:t>Podjetniški dolžniški vrednostni papirji</w:t>
            </w:r>
          </w:p>
          <w:p w14:paraId="0D8C3888" w14:textId="77777777" w:rsidR="00AE753A" w:rsidRPr="003F57AB" w:rsidRDefault="003F57AB">
            <w:pPr>
              <w:spacing w:after="0"/>
              <w:ind w:left="33"/>
              <w:rPr>
                <w:rFonts w:ascii="Times New Roman" w:hAnsi="Times New Roman" w:cs="Times New Roman"/>
                <w:bCs/>
              </w:rPr>
            </w:pPr>
            <w:r w:rsidRPr="003F57AB">
              <w:rPr>
                <w:rFonts w:ascii="Times New Roman" w:hAnsi="Times New Roman" w:cs="Times New Roman"/>
                <w:bCs/>
              </w:rPr>
              <w:t>Člen 12(1), točka (b), Delegirane uredbe (EU) 2015/61.</w:t>
            </w:r>
          </w:p>
        </w:tc>
      </w:tr>
      <w:tr w:rsidR="00AE753A" w:rsidRPr="003F57AB" w14:paraId="0D83C03D" w14:textId="77777777">
        <w:tc>
          <w:tcPr>
            <w:tcW w:w="1129" w:type="dxa"/>
          </w:tcPr>
          <w:p w14:paraId="5130398A"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21C36E7"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Delnice (glavni borzni indeks)</w:t>
            </w:r>
          </w:p>
          <w:p w14:paraId="4F73189B" w14:textId="77777777" w:rsidR="00AE753A" w:rsidRPr="003F57AB" w:rsidRDefault="003F57AB">
            <w:pPr>
              <w:spacing w:after="0"/>
              <w:ind w:left="33"/>
              <w:rPr>
                <w:rFonts w:ascii="Times New Roman" w:eastAsia="Times New Roman" w:hAnsi="Times New Roman" w:cs="Times New Roman"/>
                <w:b/>
                <w:bCs/>
                <w:u w:val="single"/>
              </w:rPr>
            </w:pPr>
            <w:r w:rsidRPr="003F57AB">
              <w:rPr>
                <w:rFonts w:ascii="Times New Roman" w:hAnsi="Times New Roman" w:cs="Times New Roman"/>
                <w:bCs/>
              </w:rPr>
              <w:t xml:space="preserve">Člen 12(1), točka (c), Delegirane uredbe (EU) </w:t>
            </w:r>
            <w:r w:rsidRPr="003F57AB">
              <w:rPr>
                <w:rFonts w:ascii="Times New Roman" w:hAnsi="Times New Roman" w:cs="Times New Roman"/>
                <w:bCs/>
              </w:rPr>
              <w:t>2015/61.</w:t>
            </w:r>
          </w:p>
        </w:tc>
      </w:tr>
      <w:tr w:rsidR="00AE753A" w:rsidRPr="003F57AB" w14:paraId="39EB800D" w14:textId="77777777">
        <w:tc>
          <w:tcPr>
            <w:tcW w:w="1129" w:type="dxa"/>
          </w:tcPr>
          <w:p w14:paraId="1272940B"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0A62018"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Odobreni okvirni likvidnostni krediti centralne banke z omejenim dostopom</w:t>
            </w:r>
          </w:p>
          <w:p w14:paraId="102A181B"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12(1), točka (d), Delegirane uredbe (EU) 2015/61.</w:t>
            </w:r>
          </w:p>
        </w:tc>
      </w:tr>
      <w:tr w:rsidR="00AE753A" w:rsidRPr="003F57AB" w14:paraId="13B17E8C" w14:textId="77777777">
        <w:tc>
          <w:tcPr>
            <w:tcW w:w="1129" w:type="dxa"/>
          </w:tcPr>
          <w:p w14:paraId="1A9C4E10"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96B7F6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Visokokakovostne krite obveznice (utež tveganja 35 %)</w:t>
            </w:r>
          </w:p>
          <w:p w14:paraId="2C033FC0" w14:textId="77777777" w:rsidR="00AE753A" w:rsidRPr="003F57AB" w:rsidRDefault="003F57AB">
            <w:pPr>
              <w:spacing w:after="0"/>
              <w:ind w:left="33"/>
              <w:rPr>
                <w:rFonts w:ascii="Times New Roman" w:eastAsia="Times New Roman" w:hAnsi="Times New Roman" w:cs="Times New Roman"/>
                <w:b/>
                <w:bCs/>
                <w:u w:val="single"/>
              </w:rPr>
            </w:pPr>
            <w:r w:rsidRPr="003F57AB">
              <w:rPr>
                <w:rFonts w:ascii="Times New Roman" w:hAnsi="Times New Roman" w:cs="Times New Roman"/>
                <w:bCs/>
              </w:rPr>
              <w:t xml:space="preserve">Člen 15(2), točka (f), Delegirane uredbe (EU) </w:t>
            </w:r>
            <w:r w:rsidRPr="003F57AB">
              <w:rPr>
                <w:rFonts w:ascii="Times New Roman" w:hAnsi="Times New Roman" w:cs="Times New Roman"/>
                <w:bCs/>
              </w:rPr>
              <w:t>2015/61.</w:t>
            </w:r>
          </w:p>
        </w:tc>
      </w:tr>
      <w:tr w:rsidR="00AE753A" w:rsidRPr="003F57AB" w14:paraId="48AE61AA" w14:textId="77777777">
        <w:trPr>
          <w:trHeight w:val="1061"/>
        </w:trPr>
        <w:tc>
          <w:tcPr>
            <w:tcW w:w="1129" w:type="dxa"/>
          </w:tcPr>
          <w:p w14:paraId="1B507383"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86C3A55"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Kvalificirane delnice/enote KNP</w:t>
            </w:r>
          </w:p>
          <w:p w14:paraId="6B06D599"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Člen 15 Delegirane uredbe (EU) 2015/61.</w:t>
            </w:r>
          </w:p>
          <w:p w14:paraId="003D3F34"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43(1), točka (b), Uredbe (EU) št. 2019/2033.</w:t>
            </w:r>
          </w:p>
        </w:tc>
      </w:tr>
      <w:tr w:rsidR="00AE753A" w14:paraId="19F166ED" w14:textId="77777777">
        <w:trPr>
          <w:trHeight w:val="568"/>
        </w:trPr>
        <w:tc>
          <w:tcPr>
            <w:tcW w:w="1129" w:type="dxa"/>
          </w:tcPr>
          <w:p w14:paraId="64E5A44D" w14:textId="77777777" w:rsidR="00AE753A" w:rsidRPr="003F57AB" w:rsidRDefault="003F57AB">
            <w:pPr>
              <w:spacing w:after="120" w:line="240" w:lineRule="auto"/>
              <w:jc w:val="both"/>
              <w:rPr>
                <w:rFonts w:ascii="Times New Roman" w:eastAsia="Times New Roman" w:hAnsi="Times New Roman" w:cs="Times New Roman"/>
                <w:bCs/>
              </w:rPr>
            </w:pPr>
            <w:r w:rsidRPr="003F57AB">
              <w:rPr>
                <w:rFonts w:ascii="Times New Roman" w:hAnsi="Times New Roman" w:cs="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8DD1BA0" w14:textId="77777777" w:rsidR="00AE753A" w:rsidRPr="003F57AB"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
                <w:bCs/>
                <w:u w:val="single"/>
              </w:rPr>
              <w:t>Skupaj drugi sprejemljivi finančni instrumenti</w:t>
            </w:r>
          </w:p>
          <w:p w14:paraId="3579BA6B" w14:textId="77777777" w:rsidR="00AE753A" w:rsidRDefault="003F57AB">
            <w:pPr>
              <w:spacing w:after="120" w:line="240" w:lineRule="auto"/>
              <w:jc w:val="both"/>
              <w:rPr>
                <w:rFonts w:ascii="Times New Roman" w:eastAsia="Times New Roman" w:hAnsi="Times New Roman" w:cs="Times New Roman"/>
                <w:b/>
                <w:bCs/>
                <w:u w:val="single"/>
              </w:rPr>
            </w:pPr>
            <w:r w:rsidRPr="003F57AB">
              <w:rPr>
                <w:rFonts w:ascii="Times New Roman" w:hAnsi="Times New Roman" w:cs="Times New Roman"/>
                <w:bCs/>
              </w:rPr>
              <w:t>Člen 43(1), točka (c), Uredbe (EU) 2019/2033.</w:t>
            </w:r>
          </w:p>
        </w:tc>
      </w:tr>
    </w:tbl>
    <w:p w14:paraId="5D065395" w14:textId="77777777" w:rsidR="00AE753A" w:rsidRDefault="00AE753A">
      <w:pPr>
        <w:keepNext/>
        <w:spacing w:before="240" w:after="240" w:line="240" w:lineRule="auto"/>
        <w:jc w:val="both"/>
        <w:outlineLvl w:val="1"/>
        <w:rPr>
          <w:rFonts w:ascii="Times New Roman" w:hAnsi="Times New Roman" w:cs="Times New Roman"/>
          <w:lang w:val="en-IE"/>
        </w:rPr>
      </w:pPr>
    </w:p>
    <w:sectPr w:rsidR="00AE753A">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F319A" w14:textId="77777777" w:rsidR="00AE753A" w:rsidRDefault="00AE753A">
      <w:pPr>
        <w:pStyle w:val="Footer"/>
      </w:pPr>
    </w:p>
  </w:endnote>
  <w:endnote w:type="continuationSeparator" w:id="0">
    <w:p w14:paraId="13DF9016" w14:textId="77777777" w:rsidR="00AE753A" w:rsidRDefault="00AE753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BF3CE" w14:textId="77777777" w:rsidR="00AE753A" w:rsidRDefault="003F57AB">
    <w:pPr>
      <w:pStyle w:val="Footer"/>
      <w:tabs>
        <w:tab w:val="clear" w:pos="4513"/>
        <w:tab w:val="clear" w:pos="9026"/>
        <w:tab w:val="right" w:pos="9071"/>
      </w:tabs>
    </w:pPr>
    <w:r>
      <w:t>SL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C171E4" w14:textId="77777777" w:rsidR="00AE753A" w:rsidRDefault="00AE753A">
      <w:pPr>
        <w:pStyle w:val="Footer"/>
      </w:pPr>
    </w:p>
  </w:footnote>
  <w:footnote w:type="continuationSeparator" w:id="0">
    <w:p w14:paraId="328F0564" w14:textId="77777777" w:rsidR="00AE753A" w:rsidRDefault="00AE753A">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CF25A" w14:textId="77777777" w:rsidR="00AE753A" w:rsidRDefault="003F57AB">
    <w:pPr>
      <w:pStyle w:val="Header"/>
    </w:pPr>
    <w:r>
      <w:rPr>
        <w:rFonts w:ascii="Times New Roman" w:hAnsi="Times New Roman" w:cs="Times New Roman"/>
        <w:color w:val="000000"/>
        <w:sz w:val="24"/>
      </w:rPr>
      <w:t xml:space="preserve">Central Bank of </w:t>
    </w:r>
    <w:r>
      <w:rPr>
        <w:rFonts w:ascii="Times New Roman" w:hAnsi="Times New Roman" w:cs="Times New Roman"/>
        <w:color w:val="000000"/>
        <w:sz w:val="24"/>
      </w:rPr>
      <w:t>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2D801" w14:textId="68FCCE5A" w:rsidR="00AE753A" w:rsidRDefault="003F57AB">
    <w:pPr>
      <w:pStyle w:val="Header"/>
    </w:pPr>
    <w:r>
      <w:rPr>
        <w:noProof/>
      </w:rPr>
      <mc:AlternateContent>
        <mc:Choice Requires="wps">
          <w:drawing>
            <wp:anchor distT="0" distB="0" distL="114300" distR="114300" simplePos="0" relativeHeight="251659264" behindDoc="0" locked="0" layoutInCell="0" allowOverlap="1" wp14:anchorId="45854A35" wp14:editId="58F40A15">
              <wp:simplePos x="0" y="0"/>
              <wp:positionH relativeFrom="page">
                <wp:posOffset>0</wp:posOffset>
              </wp:positionH>
              <wp:positionV relativeFrom="page">
                <wp:posOffset>190500</wp:posOffset>
              </wp:positionV>
              <wp:extent cx="7560310" cy="273050"/>
              <wp:effectExtent l="0" t="0" r="0" b="12700"/>
              <wp:wrapNone/>
              <wp:docPr id="1" name="MSIPCMcbd64d7fb0e2382cc565be53"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5EFAA" w14:textId="4A5367F2" w:rsidR="003F57AB" w:rsidRPr="003F57AB" w:rsidRDefault="003F57AB" w:rsidP="003F57AB">
                          <w:pPr>
                            <w:spacing w:after="0"/>
                            <w:rPr>
                              <w:rFonts w:ascii="Calibri" w:hAnsi="Calibri" w:cs="Calibri"/>
                              <w:color w:val="000000"/>
                              <w:sz w:val="24"/>
                            </w:rPr>
                          </w:pPr>
                          <w:r w:rsidRPr="003F57AB">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5854A35" id="_x0000_t202" coordsize="21600,21600" o:spt="202" path="m,l,21600r21600,l21600,xe">
              <v:stroke joinstyle="miter"/>
              <v:path gradientshapeok="t" o:connecttype="rect"/>
            </v:shapetype>
            <v:shape id="MSIPCMcbd64d7fb0e2382cc565be53"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J6350S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6565EFAA" w14:textId="4A5367F2" w:rsidR="003F57AB" w:rsidRPr="003F57AB" w:rsidRDefault="003F57AB" w:rsidP="003F57AB">
                    <w:pPr>
                      <w:spacing w:after="0"/>
                      <w:rPr>
                        <w:rFonts w:ascii="Calibri" w:hAnsi="Calibri" w:cs="Calibri"/>
                        <w:color w:val="000000"/>
                        <w:sz w:val="24"/>
                      </w:rPr>
                    </w:pPr>
                    <w:r w:rsidRPr="003F57AB">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16186" w14:textId="77777777" w:rsidR="00AE753A" w:rsidRDefault="003F57AB">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94A4DEBE"/>
    <w:lvl w:ilvl="0" w:tplc="6414ED8A">
      <w:numFmt w:val="bullet"/>
      <w:lvlText w:val="‒"/>
      <w:lvlJc w:val="left"/>
      <w:pPr>
        <w:ind w:left="360" w:hanging="360"/>
      </w:pPr>
      <w:rPr>
        <w:rFonts w:ascii="Calibri" w:eastAsiaTheme="minorHAns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E753A"/>
    <w:rsid w:val="003F57AB"/>
    <w:rsid w:val="00AE75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1E3F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sl-SI"/>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1FC5CE5B-25DA-40FF-BAC9-887CF51C674A}">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13474</Words>
  <Characters>76804</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2021-11-25T14:56:00Z</dcterms:created>
  <dcterms:modified xsi:type="dcterms:W3CDTF">2022-01-14T17:19:00Z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2022-01-14T17:19:46Z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e608deaa-7dd1-4960-a165-bb45e8ab3d15</vt:lpwstr>
  </property>
  <property fmtid="{D5CDD505-2E9C-101B-9397-08002B2CF9AE}" pid="8" name="MSIP_Label_5c7eb9de-735b-4a68-8fe4-c9c62709b012_ContentBits">
    <vt:lpwstr>1</vt:lpwstr>
  </property>
</Properties>
</file>