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3BA873" w14:textId="77777777" w:rsidR="004C167B" w:rsidRDefault="005433E7">
      <w:pPr>
        <w:pStyle w:val="Typedudocument"/>
      </w:pPr>
      <w:r>
        <w:t>DURCHFÜHRUNGSVERORDNUNG (EU) 2021/… DER KOMMISSION</w:t>
      </w:r>
    </w:p>
    <w:p w14:paraId="02BA209E" w14:textId="77777777" w:rsidR="004C167B" w:rsidRDefault="00FC2C50">
      <w:pPr>
        <w:pStyle w:val="Datedadoption"/>
      </w:pPr>
      <w:r>
        <w:t xml:space="preserve">vom </w:t>
      </w:r>
      <w:r w:rsidR="005433E7">
        <w:t>6. Dezember 2021</w:t>
      </w:r>
    </w:p>
    <w:p w14:paraId="398202E6" w14:textId="77777777" w:rsidR="004C167B" w:rsidRDefault="00FC2C50">
      <w:pPr>
        <w:pStyle w:val="Titreobjet"/>
      </w:pPr>
      <w:r>
        <w:t>zur Festlegung technischer Durchführungsstandards für die Anwendung der Verordnung (EU) 2019/2033 des Europäischen Parlaments und des Rates im Hinblick auf die aufsichtlichen Meldungen und Offenlegungen von Wertpapierfirmen</w:t>
      </w:r>
    </w:p>
    <w:p w14:paraId="4BB5FF8F" w14:textId="77777777" w:rsidR="004C167B" w:rsidRPr="005433E7" w:rsidRDefault="00FC2C50">
      <w:pPr>
        <w:pStyle w:val="IntrtEEE"/>
        <w:rPr>
          <w:b/>
        </w:rPr>
      </w:pPr>
      <w:r w:rsidRPr="005433E7">
        <w:rPr>
          <w:b/>
        </w:rPr>
        <w:t>(Text von Bedeutung für den EWR)</w:t>
      </w:r>
    </w:p>
    <w:p w14:paraId="2019DECD" w14:textId="77777777" w:rsidR="004C167B" w:rsidRDefault="00FC2C50">
      <w:pPr>
        <w:pStyle w:val="Institutionquiagit"/>
      </w:pPr>
      <w:r>
        <w:t>DIE EUROPÄISCHE KOMMISSION —</w:t>
      </w:r>
    </w:p>
    <w:p w14:paraId="1B852DC0" w14:textId="77777777" w:rsidR="004C167B" w:rsidRDefault="00FC2C50">
      <w:r>
        <w:rPr>
          <w:color w:val="000000"/>
        </w:rPr>
        <w:t>gestützt auf den Vertrag über die Arbeitsweise der Europäischen Union</w:t>
      </w:r>
      <w:r>
        <w:t>,</w:t>
      </w:r>
    </w:p>
    <w:p w14:paraId="5F38D8F8" w14:textId="77777777" w:rsidR="004C167B" w:rsidRDefault="00FC2C50">
      <w:r>
        <w:t>gestützt auf die Verordnung (EU) 2019/2033 des Europäischen Parlaments und des Rates vom 27. November 2019 über Aufsichtsanforderungen an Wertpapierfirmen und zur Änderung der Verordnungen (EU) Nr. 1093/2010, (EU) Nr. 575/2013, (EU) Nr. 600/2014 und (EU) Nr. 806/2014 </w:t>
      </w:r>
      <w:r>
        <w:rPr>
          <w:rStyle w:val="FootnoteReference"/>
        </w:rPr>
        <w:footnoteReference w:id="1"/>
      </w:r>
      <w:r>
        <w:t>, insbesondere auf Artikel 49 Absatz 2 und Artikel 54 Absatz 3,</w:t>
      </w:r>
    </w:p>
    <w:p w14:paraId="22E8811B" w14:textId="77777777" w:rsidR="004C167B" w:rsidRDefault="00FC2C50">
      <w:r>
        <w:t>in Erwägung nachstehender Gründe:</w:t>
      </w:r>
    </w:p>
    <w:p w14:paraId="4CADA892" w14:textId="77777777" w:rsidR="004C167B" w:rsidRDefault="00FC2C50">
      <w:pPr>
        <w:pStyle w:val="Considrant"/>
        <w:numPr>
          <w:ilvl w:val="0"/>
          <w:numId w:val="0"/>
        </w:numPr>
        <w:tabs>
          <w:tab w:val="left" w:pos="709"/>
        </w:tabs>
        <w:ind w:left="709" w:hanging="709"/>
      </w:pPr>
      <w:r>
        <w:t>(1)</w:t>
      </w:r>
      <w:r>
        <w:tab/>
        <w:t>Die in Artikel 54 der Verordnung (EU) 2019/2033 vorgesehenen Meldepflichten für Wertpapierfirmen sollten auf das Geschäft der Wertpapierfirmen zugeschnitten sein und in einem angemessenen Verhältnis zur Größe und Komplexität unterschiedlicher Wertpapierfirmen stehen. Bei diesen Pflichten sollte insbesondere berücksichtigt werden, dass bestimmte Wertpapierfirmen gemäß den in Artikel 12 der Verordnung (EU) 2019/2033 erläuterten Bedingungen als klein und nicht verflochten angesehen werden.</w:t>
      </w:r>
    </w:p>
    <w:p w14:paraId="3D28D8FC" w14:textId="77777777" w:rsidR="004C167B" w:rsidRDefault="00FC2C50">
      <w:pPr>
        <w:pStyle w:val="Considrant"/>
        <w:numPr>
          <w:ilvl w:val="0"/>
          <w:numId w:val="0"/>
        </w:numPr>
        <w:tabs>
          <w:tab w:val="left" w:pos="709"/>
        </w:tabs>
        <w:ind w:left="709" w:hanging="709"/>
      </w:pPr>
      <w:r>
        <w:t>(2)</w:t>
      </w:r>
      <w:r>
        <w:tab/>
        <w:t xml:space="preserve">Gemäß Artikel 54 Absatz 1 der Verordnung (EU) 2019/2033 müssen kleine und nicht verflochtene Wertpapierfirmen Informationen über die Höhe und die Zusammensetzung ihrer Eigenmittel, ihre Eigenmittelanforderungen, die Grundlage für die Berechnung ihrer Eigenmittelanforderungen und den Umfang der Tätigkeit in Bezug auf die in Artikel 12 Absatz 1 der Verordnung (EU) 2019/2033 erläuterten Bedingungen melden. Kleine und nicht verflochtene Firmen sind somit nicht verpflichtet, Informationen mit derselben Detailliertheit zu melden wie andere Firmen, die unter die Verordnung (EU) 2019/2033 fallen. Die Meldebögen über die K-Faktor-Berechnung sollten daher nicht von kleinen und nicht verflochtenen Firmen auszufüllen sein. Laut Artikel 54 Absatz 2 Unterabsatz 3 der Verordnung (EU) 2019/2033 </w:t>
      </w:r>
      <w:bookmarkStart w:id="0" w:name="_DV_C108"/>
      <w:r>
        <w:t>sind kleine und nicht verflochtene Firmen zudem von Meldungen über das Konzentrationsrisiko ausgenommen und die zuständigen Behörden können kleine und nicht verflochtene Firmen von der Verpflichtung zur Meldung von Liquiditätsanforderungen befreien</w:t>
      </w:r>
      <w:bookmarkStart w:id="1" w:name="_DV_M108"/>
      <w:bookmarkEnd w:id="0"/>
      <w:bookmarkEnd w:id="1"/>
      <w:r>
        <w:t>.</w:t>
      </w:r>
    </w:p>
    <w:p w14:paraId="6318FD42" w14:textId="77777777" w:rsidR="004C167B" w:rsidRDefault="00FC2C50">
      <w:pPr>
        <w:pStyle w:val="Considrant"/>
        <w:numPr>
          <w:ilvl w:val="0"/>
          <w:numId w:val="0"/>
        </w:numPr>
        <w:tabs>
          <w:tab w:val="left" w:pos="709"/>
        </w:tabs>
        <w:ind w:left="709" w:hanging="709"/>
      </w:pPr>
      <w:r>
        <w:t>(3)</w:t>
      </w:r>
      <w:r>
        <w:tab/>
        <w:t>Alle Wertpapierfirmen, die unter die Verordnung (EU) 2019/2033 fallen, sollten ihr Tätigkeitsprofil und ihre Größe melden, damit die zuständigen Behörden beurteilen können, ob diese Wertpapierfirmen die in Artikel 12 der Verordnung (EU) 2019/2033 festgelegten Bedingungen für die Einstufung als kleine und nicht verflochtene Wertpapierfirmen erfüllen.</w:t>
      </w:r>
    </w:p>
    <w:p w14:paraId="50B8B247" w14:textId="77777777" w:rsidR="004C167B" w:rsidRDefault="00FC2C50">
      <w:pPr>
        <w:pStyle w:val="Considrant"/>
        <w:numPr>
          <w:ilvl w:val="0"/>
          <w:numId w:val="0"/>
        </w:numPr>
        <w:tabs>
          <w:tab w:val="left" w:pos="709"/>
        </w:tabs>
        <w:ind w:left="709" w:hanging="709"/>
      </w:pPr>
      <w:r>
        <w:lastRenderedPageBreak/>
        <w:t>(4)</w:t>
      </w:r>
      <w:r>
        <w:tab/>
        <w:t>Damit die Transparenz für ihre Investoren und die weiteren Märkte gewährleistet ist, sind Wertpapierfirmen, die weder klein noch nicht verflochten klein sind, nach Artikel 46 der Verordnung (EU) 2019/2033 verpflichtet, die in Teil 6 der Verordnung festgelegten Informationen offenzulegen. Kleine und nicht verflochtene Wertpapierfirmen sollten nur dann Offenlegungspflichten unterliegen, wenn sie Instrumente des zusätzlichen Kernkapitals begeben, damit für die Investoren dieser Instrumente die Transparenz gewährleistet wird.</w:t>
      </w:r>
    </w:p>
    <w:p w14:paraId="589C3DCF" w14:textId="77777777" w:rsidR="004C167B" w:rsidRDefault="00FC2C50">
      <w:pPr>
        <w:pStyle w:val="Considrant"/>
        <w:numPr>
          <w:ilvl w:val="0"/>
          <w:numId w:val="0"/>
        </w:numPr>
        <w:tabs>
          <w:tab w:val="left" w:pos="709"/>
        </w:tabs>
        <w:ind w:left="709" w:hanging="709"/>
      </w:pPr>
      <w:r>
        <w:t>(5)</w:t>
      </w:r>
      <w:r>
        <w:tab/>
        <w:t>Mit dieser Verordnung sollten Wertpapierfirmen Meldebögen und Tabellen zur Verfügung gestellt werden, um hinreichend umfassende und vergleichbare Informationen über die Zusammensetzung und Qualität ihrer Eigenmittel zu übermitteln. Konkret ist es erforderlich, einen quantitativen Meldebogen über die Zusammensetzung von Eigenmitteln und einen flexiblen Meldebogen über die Abstimmung der aufsichtsrechtlichen Eigenmittel mit den geprüften Abschlüssen einzuführen. Aus demselben Grund ist es auch erforderlich, einen Meldebogen mit Informationen über die wichtigsten Merkmale der von der Wertpapierfirma ausgegebenen Eigenmittelinstrumente vorzugeben.</w:t>
      </w:r>
    </w:p>
    <w:p w14:paraId="7CFC1D3D" w14:textId="77777777" w:rsidR="004C167B" w:rsidRDefault="00FC2C50">
      <w:pPr>
        <w:pStyle w:val="Considrant"/>
        <w:numPr>
          <w:ilvl w:val="0"/>
          <w:numId w:val="0"/>
        </w:numPr>
        <w:tabs>
          <w:tab w:val="left" w:pos="709"/>
        </w:tabs>
        <w:ind w:left="709" w:hanging="709"/>
      </w:pPr>
      <w:r>
        <w:t>(6)</w:t>
      </w:r>
      <w:r>
        <w:tab/>
      </w:r>
      <w:r>
        <w:rPr>
          <w:color w:val="000000"/>
        </w:rPr>
        <w:t>Für die leichtere Umsetzung der Melde- und Offenlegungspflichten ist es erforderlich, die Konsistenz zwischen den Meldebögen für Meldungen und Offenlegungen zu erhöhen. Der Meldebogen für die Offenlegung der Zusammensetzung der Eigenmittel sollte daher eng mit dem damit verbundenen Meldebogen über die Höhe und die Zusammensetzung der Eigenmittel abgestimmt werden. Aus demselben Grund sollte der Meldebogen für die Offenlegung der vollständigen Abstimmung der Eigenmittel mit den geprüften Abschlüssen flexibel sein; dabei sollte sich die Aufschlüsselung des Meldebogens auf die Aufschlüsselung der in den geprüften Abschlüssen der Wertpapierfirma enthaltenen Bilanz stützen. Darüber hinaus sollte der Meldebogen für die Offenlegung von Informationen über die Hauptmerkmale der aufsichtsrechtlichen Eigenmittel in einem unveränderlichen Format gehalten sein und seine Komplexität sollte der Komplexität der Eigenmittelinstrumente entsprechen.</w:t>
      </w:r>
    </w:p>
    <w:p w14:paraId="22F34DDC" w14:textId="4ACE59B4" w:rsidR="004C167B" w:rsidRDefault="00FC2C50" w:rsidP="002A5056">
      <w:pPr>
        <w:pStyle w:val="Considrant"/>
        <w:numPr>
          <w:ilvl w:val="0"/>
          <w:numId w:val="0"/>
        </w:numPr>
        <w:tabs>
          <w:tab w:val="left" w:pos="709"/>
        </w:tabs>
        <w:ind w:left="709" w:hanging="709"/>
      </w:pPr>
      <w:r>
        <w:t>(7)</w:t>
      </w:r>
      <w:r>
        <w:tab/>
        <w:t>Um sicherzustellen, dass die Befolgungskosten für Wertpapierfirmen nicht unangemessen erhöht werden und die Datenqualität beibehalten wird, sollten die Melde- und Offenlegungspflichten so weit wie möglich inhaltlich abgestimmt werden. Es ist daher angemessen, in einer Verordnung Standards sowohl für die Melde- als auch für die Offenlegungspflichten festzulegen.</w:t>
      </w:r>
    </w:p>
    <w:p w14:paraId="6AFEBD1F" w14:textId="5A9E47DE" w:rsidR="004C167B" w:rsidRDefault="00FC2C50">
      <w:pPr>
        <w:pStyle w:val="Considrant"/>
        <w:numPr>
          <w:ilvl w:val="0"/>
          <w:numId w:val="0"/>
        </w:numPr>
        <w:tabs>
          <w:tab w:val="left" w:pos="709"/>
        </w:tabs>
        <w:ind w:left="709" w:hanging="709"/>
      </w:pPr>
      <w:r>
        <w:t>(</w:t>
      </w:r>
      <w:r w:rsidR="002A5056">
        <w:t>8</w:t>
      </w:r>
      <w:r>
        <w:t>)</w:t>
      </w:r>
      <w:r>
        <w:tab/>
        <w:t>Die vorliegende Verordnung beruht auf dem Entwurf technischer Umsetzungsstandards, der der Kommission von der Europäischen Bankenaufsichtsbehörde (EBA) nach Konsultation der Europäischen Wertpapier- und Börsenaufsichtsbehörde übermittelt wurde.</w:t>
      </w:r>
    </w:p>
    <w:p w14:paraId="49AA440C" w14:textId="221DCAD3" w:rsidR="004C167B" w:rsidRDefault="00FC2C50">
      <w:pPr>
        <w:pStyle w:val="Considrant"/>
        <w:numPr>
          <w:ilvl w:val="0"/>
          <w:numId w:val="0"/>
        </w:numPr>
        <w:tabs>
          <w:tab w:val="left" w:pos="709"/>
        </w:tabs>
        <w:ind w:left="709" w:hanging="709"/>
      </w:pPr>
      <w:r>
        <w:t>(</w:t>
      </w:r>
      <w:r w:rsidR="002A5056">
        <w:t>9</w:t>
      </w:r>
      <w:r>
        <w:t>)</w:t>
      </w:r>
      <w:r>
        <w:tab/>
        <w:t>Die EBA hat zu diesem Entwurf öffentliche Konsultationen durchgeführt, die damit verbundenen potenziellen Kosten- und Nutzeneffekte analysiert und die Stellungnahme der nach Artikel 37 der Verordnung (EU) Nr. 1093/2010 des Europäischen Parlament und des Rates </w:t>
      </w:r>
      <w:r>
        <w:rPr>
          <w:rStyle w:val="FootnoteReference"/>
        </w:rPr>
        <w:footnoteReference w:id="2"/>
      </w:r>
      <w:r>
        <w:t xml:space="preserve"> eingesetzten Interessengruppe Bankensektor eingeholt —</w:t>
      </w:r>
    </w:p>
    <w:p w14:paraId="24016EE1" w14:textId="77777777" w:rsidR="004C167B" w:rsidRDefault="00FC2C50">
      <w:pPr>
        <w:pStyle w:val="Formuledadoption"/>
      </w:pPr>
      <w:r>
        <w:lastRenderedPageBreak/>
        <w:t>HAT FOLGENDE VERORDNUNG ERLASSEN:</w:t>
      </w:r>
    </w:p>
    <w:p w14:paraId="66078481" w14:textId="77777777" w:rsidR="004C167B" w:rsidRPr="005433E7" w:rsidRDefault="00FC2C50">
      <w:pPr>
        <w:pStyle w:val="ChapterTitle"/>
        <w:rPr>
          <w:b w:val="0"/>
        </w:rPr>
      </w:pPr>
      <w:r w:rsidRPr="005433E7">
        <w:rPr>
          <w:b w:val="0"/>
        </w:rPr>
        <w:t>KAPITEL I</w:t>
      </w:r>
    </w:p>
    <w:p w14:paraId="49732FBD" w14:textId="77777777" w:rsidR="004C167B" w:rsidRDefault="00FC2C50">
      <w:pPr>
        <w:pStyle w:val="ChapterTitle"/>
      </w:pPr>
      <w:r>
        <w:t>AUFSICHTLICHE MELDUNGEN</w:t>
      </w:r>
    </w:p>
    <w:p w14:paraId="62FB4E8F" w14:textId="77777777" w:rsidR="004C167B" w:rsidRDefault="00FC2C50">
      <w:pPr>
        <w:pStyle w:val="Titrearticle"/>
      </w:pPr>
      <w:r>
        <w:t>Artikel 1</w:t>
      </w:r>
    </w:p>
    <w:p w14:paraId="5E01A92D" w14:textId="77777777" w:rsidR="004C167B" w:rsidRDefault="00FC2C50">
      <w:pPr>
        <w:pStyle w:val="Titrearticle"/>
        <w:spacing w:before="120"/>
        <w:rPr>
          <w:b/>
          <w:i w:val="0"/>
        </w:rPr>
      </w:pPr>
      <w:r>
        <w:rPr>
          <w:b/>
          <w:i w:val="0"/>
        </w:rPr>
        <w:t>Meldestichtage</w:t>
      </w:r>
    </w:p>
    <w:p w14:paraId="00C40C67" w14:textId="77777777" w:rsidR="004C167B" w:rsidRDefault="00FC2C50">
      <w:pPr>
        <w:pStyle w:val="ManualNumPar1"/>
        <w:tabs>
          <w:tab w:val="left" w:pos="567"/>
        </w:tabs>
        <w:ind w:left="0" w:firstLine="1"/>
      </w:pPr>
      <w:r>
        <w:t>(1)</w:t>
      </w:r>
      <w:r>
        <w:tab/>
        <w:t>Die in Artikel 54 Absatz 1 der Verordnung genannten Informationen werden mit Stand an folgenden Meldestichtagen gemeldet:</w:t>
      </w:r>
    </w:p>
    <w:p w14:paraId="7C1C71DA" w14:textId="77777777" w:rsidR="004C167B" w:rsidRDefault="00FC2C50">
      <w:pPr>
        <w:pStyle w:val="Point1"/>
        <w:ind w:left="0" w:firstLine="1"/>
      </w:pPr>
      <w:r>
        <w:t>a)</w:t>
      </w:r>
      <w:r>
        <w:tab/>
        <w:t>vierteljährliche Meldungen: 31. März, 30. Juni, 30. September und 31. Dezember;</w:t>
      </w:r>
    </w:p>
    <w:p w14:paraId="6A48BF5D" w14:textId="77777777" w:rsidR="004C167B" w:rsidRDefault="00FC2C50">
      <w:pPr>
        <w:pStyle w:val="Point1"/>
        <w:ind w:left="0" w:firstLine="1"/>
      </w:pPr>
      <w:r>
        <w:t>b)</w:t>
      </w:r>
      <w:r>
        <w:tab/>
        <w:t>jährliche Meldungen: 31. Dezember.</w:t>
      </w:r>
    </w:p>
    <w:p w14:paraId="03E2523E" w14:textId="77777777" w:rsidR="004C167B" w:rsidRDefault="00FC2C50">
      <w:pPr>
        <w:pStyle w:val="ManualNumPar1"/>
        <w:tabs>
          <w:tab w:val="left" w:pos="567"/>
        </w:tabs>
        <w:ind w:left="0" w:firstLine="1"/>
      </w:pPr>
      <w:r>
        <w:t>(2)</w:t>
      </w:r>
      <w:r>
        <w:tab/>
        <w:t>Die in Absatz 1 genannten Meldestichtage können angepasst werden, wenn Wertpapierfirmen ihre Finanzinformationen nach nationalem Recht auf der Grundlage des Geschäftsjahresabschlusses melden dürfen, das vom Kalenderjahr abweicht, sodass die vierteljährlichen Meldungen dieser Informationen alle drei Monate entsprechend dem Geschäftsjahr und die jährliche Meldung entsprechend dem Geschäftsjahresabschluss erfolgt.</w:t>
      </w:r>
    </w:p>
    <w:p w14:paraId="1C79C6E1" w14:textId="77777777" w:rsidR="004C167B" w:rsidRDefault="00FC2C50">
      <w:pPr>
        <w:pStyle w:val="Titrearticle"/>
      </w:pPr>
      <w:r>
        <w:t>Artikel 2</w:t>
      </w:r>
    </w:p>
    <w:p w14:paraId="06CF5B9E" w14:textId="77777777" w:rsidR="004C167B" w:rsidRDefault="00FC2C50">
      <w:pPr>
        <w:pStyle w:val="Titrearticle"/>
        <w:spacing w:before="120"/>
        <w:rPr>
          <w:b/>
          <w:i w:val="0"/>
        </w:rPr>
      </w:pPr>
      <w:r>
        <w:rPr>
          <w:b/>
          <w:i w:val="0"/>
        </w:rPr>
        <w:t>Einreichungstermine</w:t>
      </w:r>
    </w:p>
    <w:p w14:paraId="5BFA6083" w14:textId="77777777" w:rsidR="004C167B" w:rsidRDefault="00FC2C50">
      <w:pPr>
        <w:pStyle w:val="ManualNumPar1"/>
        <w:tabs>
          <w:tab w:val="left" w:pos="567"/>
        </w:tabs>
        <w:ind w:left="0" w:firstLine="0"/>
      </w:pPr>
      <w:r>
        <w:t>(1)</w:t>
      </w:r>
      <w:r>
        <w:tab/>
        <w:t>Die in Artikel 54 Absatz 1 der Verordnung (EU) 2019/2033 genannten Informationen werden zu den folgenden Einreichungsterminen bis Geschäftsschluss übermittelt:</w:t>
      </w:r>
    </w:p>
    <w:p w14:paraId="2F55708F" w14:textId="77777777" w:rsidR="004C167B" w:rsidRDefault="00FC2C50">
      <w:pPr>
        <w:pStyle w:val="Point1"/>
        <w:ind w:left="567"/>
      </w:pPr>
      <w:r>
        <w:t>a)</w:t>
      </w:r>
      <w:r>
        <w:tab/>
        <w:t>vierteljährliche Meldungen: 12. Mai, 11. August, 11. November und 11. Februar;</w:t>
      </w:r>
    </w:p>
    <w:p w14:paraId="7BCBF829" w14:textId="77777777" w:rsidR="004C167B" w:rsidRDefault="00FC2C50">
      <w:pPr>
        <w:pStyle w:val="Point1"/>
        <w:ind w:left="567"/>
      </w:pPr>
      <w:r>
        <w:t>b)</w:t>
      </w:r>
      <w:r>
        <w:tab/>
        <w:t>jährliche Meldungen: 11. Februar.</w:t>
      </w:r>
    </w:p>
    <w:p w14:paraId="5AFC3168" w14:textId="77777777" w:rsidR="004C167B" w:rsidRDefault="00FC2C50">
      <w:pPr>
        <w:pStyle w:val="ManualNumPar1"/>
        <w:tabs>
          <w:tab w:val="left" w:pos="567"/>
        </w:tabs>
        <w:ind w:left="0" w:firstLine="0"/>
      </w:pPr>
      <w:r>
        <w:t>(2)</w:t>
      </w:r>
      <w:r>
        <w:tab/>
        <w:t>Ist der Meldetermin in dem Mitgliedstaat der zuständigen Behörde, der die Meldung zu übermitteln ist, ein gesetzlicher Feiertag oder ein Samstag oder Sonntag, so ist der Einreichungstermin für die Meldung der darauffolgende Arbeitstag.</w:t>
      </w:r>
    </w:p>
    <w:p w14:paraId="18004E02" w14:textId="77777777" w:rsidR="004C167B" w:rsidRDefault="00FC2C50">
      <w:pPr>
        <w:pStyle w:val="ManualNumPar1"/>
        <w:tabs>
          <w:tab w:val="left" w:pos="567"/>
        </w:tabs>
        <w:ind w:left="0" w:firstLine="0"/>
      </w:pPr>
      <w:r>
        <w:t>(3)</w:t>
      </w:r>
      <w:r>
        <w:tab/>
        <w:t>Melden Wertpapierfirma ihre Informationen zu Meldestichtagen, die gemäß Artikel 1 Absatz 2 dieser Verordnung an den Geschäftsjahresschluss angepasst wurden, können auch die Einreichungstermine entsprechend angepasst werden, sodass der Einreichungszeitraum ab dem angepassten Meldestichtag derselbe bleibt.</w:t>
      </w:r>
    </w:p>
    <w:p w14:paraId="5EBD536E" w14:textId="77777777" w:rsidR="004C167B" w:rsidRDefault="00FC2C50">
      <w:pPr>
        <w:pStyle w:val="ManualNumPar1"/>
        <w:tabs>
          <w:tab w:val="left" w:pos="567"/>
        </w:tabs>
        <w:ind w:left="0" w:firstLine="0"/>
      </w:pPr>
      <w:r>
        <w:t>(4)</w:t>
      </w:r>
      <w:r>
        <w:tab/>
        <w:t>Wertpapierfirmen können ungeprüfte Zahlen übermitteln. Weichen die geprüften Zahlen von den übermittelten ungeprüften Zahlen ab, sind die revidierten geprüften Zahlen unverzüglich nachzureichen. Für die Zwecke dieses Artikels sind „ungeprüfte Zahlen“ Zahlen, die nicht Gegenstand des Prüfungsurteils eines externen Abschlussprüfers sind, während geprüfte Zahlen von einem externen Abschlussprüfer, der ein Prüfungsurteil abgibt, geprüft wurden.</w:t>
      </w:r>
    </w:p>
    <w:p w14:paraId="20367F5A" w14:textId="77777777" w:rsidR="004C167B" w:rsidRDefault="00FC2C50">
      <w:pPr>
        <w:pStyle w:val="ManualNumPar1"/>
        <w:tabs>
          <w:tab w:val="left" w:pos="567"/>
        </w:tabs>
        <w:ind w:left="0" w:firstLine="0"/>
      </w:pPr>
      <w:r>
        <w:t>(5)</w:t>
      </w:r>
      <w:r>
        <w:tab/>
        <w:t>Korrekturen an den übermittelten Meldungen sind den zuständigen Behörden ebenfalls unverzüglich zu übermitteln.</w:t>
      </w:r>
    </w:p>
    <w:p w14:paraId="65C051BF" w14:textId="77777777" w:rsidR="004C167B" w:rsidRDefault="00FC2C50">
      <w:pPr>
        <w:pStyle w:val="Titrearticle"/>
      </w:pPr>
      <w:r>
        <w:lastRenderedPageBreak/>
        <w:t>Artikel 3</w:t>
      </w:r>
    </w:p>
    <w:p w14:paraId="1E0CF31E" w14:textId="77777777" w:rsidR="004C167B" w:rsidRDefault="00FC2C50">
      <w:pPr>
        <w:pStyle w:val="Titrearticle"/>
        <w:spacing w:before="120"/>
        <w:rPr>
          <w:b/>
          <w:i w:val="0"/>
        </w:rPr>
      </w:pPr>
      <w:r>
        <w:rPr>
          <w:b/>
          <w:i w:val="0"/>
        </w:rPr>
        <w:t>Erfüllung der Meldepflichten auf Einzelbasis</w:t>
      </w:r>
    </w:p>
    <w:p w14:paraId="71D77A7F" w14:textId="77777777" w:rsidR="004C167B" w:rsidRDefault="00FC2C50">
      <w:r>
        <w:t>Zur Einhaltung der Meldepflichten auf Einzelbasis gemäß Artikel 54 der Verordnung (EU) 2019/2033 melden die Wertpapierfirmen die in den Artikeln 5, 6 und 7 dieser Verordnung festgelegten Informationen in den dort angegebenen Intervallen.</w:t>
      </w:r>
    </w:p>
    <w:p w14:paraId="7283479B" w14:textId="77777777" w:rsidR="004C167B" w:rsidRDefault="00FC2C50">
      <w:pPr>
        <w:pStyle w:val="Titrearticle"/>
      </w:pPr>
      <w:r>
        <w:t>Artikel 4</w:t>
      </w:r>
    </w:p>
    <w:p w14:paraId="315EEDAF" w14:textId="77777777" w:rsidR="004C167B" w:rsidRDefault="00FC2C50">
      <w:pPr>
        <w:pStyle w:val="Titrearticle"/>
        <w:spacing w:before="120"/>
        <w:rPr>
          <w:b/>
          <w:i w:val="0"/>
        </w:rPr>
      </w:pPr>
      <w:r>
        <w:rPr>
          <w:b/>
          <w:i w:val="0"/>
        </w:rPr>
        <w:t>Anwendung der Meldepflichten auf konsolidierter Basis</w:t>
      </w:r>
    </w:p>
    <w:p w14:paraId="21D12D77" w14:textId="77777777" w:rsidR="004C167B" w:rsidRPr="005433E7" w:rsidRDefault="00FC2C50">
      <w:r w:rsidRPr="005433E7">
        <w:t>Zur Einhaltung der Meldepflichten in Artikel 54 der Verordnung (EU) 2019/2033 auf konsolidierter Basis melden die Wertpapierfirmen die in den Artikeln 5 und 6 dieser Durchführungsverordnung festgelegten Informationen in den dort angegebenen Intervallen.</w:t>
      </w:r>
    </w:p>
    <w:p w14:paraId="70C9EE5E" w14:textId="77777777" w:rsidR="004C167B" w:rsidRDefault="00FC2C50">
      <w:pPr>
        <w:pStyle w:val="Titrearticle"/>
      </w:pPr>
      <w:r>
        <w:t>Artikel 5</w:t>
      </w:r>
    </w:p>
    <w:p w14:paraId="0DCA7893" w14:textId="77777777" w:rsidR="004C167B" w:rsidRDefault="00FC2C50">
      <w:pPr>
        <w:pStyle w:val="Titrearticle"/>
        <w:spacing w:before="120"/>
        <w:rPr>
          <w:b/>
          <w:i w:val="0"/>
        </w:rPr>
      </w:pPr>
      <w:r>
        <w:rPr>
          <w:b/>
          <w:i w:val="0"/>
        </w:rPr>
        <w:t>Format und Intervalle der Meldungen von Wertpapierfirmen, die weder klein noch nicht verflochten sind</w:t>
      </w:r>
    </w:p>
    <w:p w14:paraId="2B804C96" w14:textId="77777777" w:rsidR="004C167B" w:rsidRDefault="00FC2C50">
      <w:pPr>
        <w:pStyle w:val="ManualNumPar1"/>
        <w:tabs>
          <w:tab w:val="left" w:pos="567"/>
        </w:tabs>
        <w:ind w:left="0" w:firstLine="0"/>
      </w:pPr>
      <w:r>
        <w:t>(1)</w:t>
      </w:r>
      <w:r>
        <w:tab/>
        <w:t>Wertpapierfirmen, die weder klein noch nicht verflochten sind, melden die in Artikel 54 Absätze 1 und 2 der Verordnung (EU) 2019/2033 geforderten Informationen mithilfe der in Anhang I dieser Verordnung enthaltenen Meldebögen unter Beachtung der in Anhang II dieser Verordnung enthaltenen Erläuterungen in vierteljährlichen Intervallen.</w:t>
      </w:r>
    </w:p>
    <w:p w14:paraId="7406DE45" w14:textId="77777777" w:rsidR="004C167B" w:rsidRDefault="00FC2C50">
      <w:pPr>
        <w:pStyle w:val="ManualNumPar1"/>
        <w:tabs>
          <w:tab w:val="left" w:pos="567"/>
        </w:tabs>
        <w:ind w:left="0" w:firstLine="0"/>
        <w:rPr>
          <w:szCs w:val="24"/>
        </w:rPr>
      </w:pPr>
      <w:r>
        <w:t>(2)</w:t>
      </w:r>
      <w:r>
        <w:tab/>
        <w:t>Wertpapierfirmen, die weder klein noch nicht verflochten sind, die die Anforderungen für den RtM-K‐Faktor auf der Grundlage von K‐NPR im Einklang mit Artikel 21 Absatz 1 der Verordnung (EU) 2019/2033 bestimmen, melden die in den Meldebögen C</w:t>
      </w:r>
      <w:r w:rsidR="005433E7">
        <w:t> </w:t>
      </w:r>
      <w:r>
        <w:t>18.00 bis C</w:t>
      </w:r>
      <w:r w:rsidR="005433E7">
        <w:t> </w:t>
      </w:r>
      <w:r>
        <w:t>24.00 des Anhangs I der Durchführungsverordnung (EU) 2021/451 der Kommission</w:t>
      </w:r>
      <w:r w:rsidR="005433E7">
        <w:rPr>
          <w:rStyle w:val="FootnoteReference"/>
        </w:rPr>
        <w:footnoteReference w:id="3"/>
      </w:r>
      <w:r w:rsidR="005433E7">
        <w:t> </w:t>
      </w:r>
      <w:r>
        <w:t xml:space="preserve"> festgelegten Informationen unter Beachtung der in Anhang II Teil 2 der genannten Durchführungsverordnung enthaltenen Erläuterungen in vierteljährlichen Intervallen.</w:t>
      </w:r>
    </w:p>
    <w:p w14:paraId="4689FDB8" w14:textId="77777777" w:rsidR="004C167B" w:rsidRDefault="00FC2C50">
      <w:pPr>
        <w:pStyle w:val="ManualNumPar1"/>
        <w:tabs>
          <w:tab w:val="left" w:pos="567"/>
        </w:tabs>
        <w:ind w:left="0" w:firstLine="0"/>
        <w:rPr>
          <w:szCs w:val="24"/>
        </w:rPr>
      </w:pPr>
      <w:r>
        <w:t>(3)</w:t>
      </w:r>
      <w:r>
        <w:tab/>
        <w:t>Wertpapierfirmen, die weder klein noch nicht verflochten sind, die die in Artikel 25 Absatz 4 der Verordnung (EU) 2019/2033 vorgesehene Ausnahme in Anspruch nehmen, melden die in dem Meldebogen C</w:t>
      </w:r>
      <w:r w:rsidR="005433E7">
        <w:t> </w:t>
      </w:r>
      <w:r>
        <w:t>34.02 des Anhangs I der Durchführungsverordnung (EU) 2021/451 festgelegten Informationen unter Beachtung der in Anhang II Teil 2 der genannten Durchführungsverordnung enthaltenen Erläuterungen in vierteljährlichen Intervallen.</w:t>
      </w:r>
    </w:p>
    <w:p w14:paraId="36D7510A" w14:textId="77777777" w:rsidR="004C167B" w:rsidRDefault="00FC2C50">
      <w:pPr>
        <w:pStyle w:val="ManualNumPar1"/>
        <w:tabs>
          <w:tab w:val="left" w:pos="567"/>
        </w:tabs>
        <w:ind w:left="0" w:firstLine="0"/>
        <w:rPr>
          <w:szCs w:val="24"/>
        </w:rPr>
      </w:pPr>
      <w:r>
        <w:t>(4)</w:t>
      </w:r>
      <w:r>
        <w:tab/>
        <w:t>Wertpapierfirmen, die weder klein noch nicht verflochten sind, die die in Artikel 25 Absatz 5 Unterabsatz 2 der Verordnung (EU) 2019/2033 vorgesehene Ausnahme in Anspruch nehmen, melden die in dem Meldebogen C</w:t>
      </w:r>
      <w:r w:rsidR="005433E7">
        <w:t> </w:t>
      </w:r>
      <w:r>
        <w:t>25.00 des Anhangs I der Durchführungsverordnung (EU) 2021/451 festgelegten Informationen unter Beachtung der in Anhang II Teil 2 der genannten Durchführungsverordnung enthaltenen Erläuterungen in vierteljährlichen Intervallen.</w:t>
      </w:r>
    </w:p>
    <w:p w14:paraId="7D4CB443" w14:textId="77777777" w:rsidR="004C167B" w:rsidRDefault="00FC2C50">
      <w:pPr>
        <w:pStyle w:val="Titrearticle"/>
      </w:pPr>
      <w:r>
        <w:lastRenderedPageBreak/>
        <w:t>Artikel 6</w:t>
      </w:r>
    </w:p>
    <w:p w14:paraId="02AC610F" w14:textId="77777777" w:rsidR="004C167B" w:rsidRDefault="00FC2C50">
      <w:pPr>
        <w:pStyle w:val="Titrearticle"/>
        <w:spacing w:before="120"/>
        <w:rPr>
          <w:b/>
          <w:i w:val="0"/>
        </w:rPr>
      </w:pPr>
      <w:r>
        <w:rPr>
          <w:b/>
          <w:i w:val="0"/>
        </w:rPr>
        <w:t>Format und Intervalle der Meldungen von kleinen und nicht verflochtenen Wertpapierfirmen</w:t>
      </w:r>
    </w:p>
    <w:p w14:paraId="2A143386" w14:textId="77777777" w:rsidR="004C167B" w:rsidRDefault="00FC2C50">
      <w:pPr>
        <w:pStyle w:val="ManualNumPar1"/>
        <w:tabs>
          <w:tab w:val="left" w:pos="567"/>
        </w:tabs>
        <w:ind w:left="0" w:firstLine="1"/>
      </w:pPr>
      <w:r>
        <w:t>(1)</w:t>
      </w:r>
      <w:r>
        <w:tab/>
        <w:t>Kleine und nicht verflochtene Wertpapierfirmen melden die in den Meldebögen des Anhangs III dieser Verordnung festgelegten Informationen unter Beachtung der in Anhang IV dieser Verordnung enthaltenen Erläuterungen in jährlichen Intervallen. Wertpapierfirmen, die die in Artikel 43 Absatz 1 Unterabsatz 2 der Verordnung (EU) 2019/2033 vorgesehene Ausnahme in Anspruch nehmen, sind von der Verpflichtung zur Übermittlung der im Meldebogen IF</w:t>
      </w:r>
      <w:r w:rsidR="005433E7">
        <w:t> </w:t>
      </w:r>
      <w:r>
        <w:t>09.01 des Anhangs III dieser Verordnung festgelegten Informationen befreit.</w:t>
      </w:r>
    </w:p>
    <w:p w14:paraId="64096290" w14:textId="77777777" w:rsidR="004C167B" w:rsidRDefault="00FC2C50">
      <w:pPr>
        <w:pStyle w:val="Titrearticle"/>
      </w:pPr>
      <w:r>
        <w:t>Artikel 7</w:t>
      </w:r>
    </w:p>
    <w:p w14:paraId="571718B6" w14:textId="77777777" w:rsidR="004C167B" w:rsidRDefault="00FC2C50">
      <w:pPr>
        <w:pStyle w:val="Titrearticle"/>
        <w:spacing w:before="120"/>
        <w:rPr>
          <w:b/>
          <w:i w:val="0"/>
        </w:rPr>
      </w:pPr>
      <w:r>
        <w:rPr>
          <w:b/>
          <w:i w:val="0"/>
        </w:rPr>
        <w:t>Format und Intervalle der Meldungen von Unternehmen, die unter die Anwendung des Artikels 8 der Verordnung (EU) 2019/2033 fallen</w:t>
      </w:r>
    </w:p>
    <w:p w14:paraId="2C1BD543" w14:textId="77777777" w:rsidR="004C167B" w:rsidRDefault="00FC2C50">
      <w:pPr>
        <w:rPr>
          <w:rFonts w:eastAsia="Times New Roman"/>
          <w:szCs w:val="24"/>
        </w:rPr>
      </w:pPr>
      <w:r>
        <w:t>Abweichend von Artikel 4 der vorliegenden Verordnung melden Unternehmen im Sinne von Artikel 8 Absatz 3 der Verordnung (EU) 2019/2033, die unter die Anwendung des genannten Artikels fallen, die in den Meldebögen des Anhangs VIII dieser Verordnung festgelegten Informationen unter Beachtung der im Anhang IX dieser Verordnung enthaltenen Erläuterungen in vierteljährlichen Intervallen.</w:t>
      </w:r>
    </w:p>
    <w:p w14:paraId="42D12855" w14:textId="77777777" w:rsidR="004C167B" w:rsidRDefault="00FC2C50">
      <w:pPr>
        <w:pStyle w:val="Titrearticle"/>
      </w:pPr>
      <w:r>
        <w:t>Artikel 8</w:t>
      </w:r>
    </w:p>
    <w:p w14:paraId="6D05192C" w14:textId="77777777" w:rsidR="004C167B" w:rsidRDefault="00FC2C50">
      <w:pPr>
        <w:pStyle w:val="Titrearticle"/>
        <w:spacing w:before="120"/>
        <w:rPr>
          <w:b/>
          <w:i w:val="0"/>
        </w:rPr>
      </w:pPr>
      <w:r>
        <w:rPr>
          <w:b/>
          <w:i w:val="0"/>
        </w:rPr>
        <w:t>Datengenauigkeit und Informationen im Zusammenhang mit der Übermittlung</w:t>
      </w:r>
    </w:p>
    <w:p w14:paraId="77A39415" w14:textId="77777777" w:rsidR="004C167B" w:rsidRDefault="00FC2C50">
      <w:pPr>
        <w:pStyle w:val="ManualNumPar1"/>
        <w:tabs>
          <w:tab w:val="left" w:pos="567"/>
        </w:tabs>
        <w:ind w:left="0" w:firstLine="0"/>
      </w:pPr>
      <w:r>
        <w:t>(1)</w:t>
      </w:r>
      <w:r>
        <w:tab/>
        <w:t>Die Wertpapierfirmen übermitteln die in dieser Verordnung genannten Informationen in den von den zuständigen Behörden festgelegten Datenaustausch- und Präsentationsformaten und beachten dabei die Datenpunktdefinition des Datenpunktmodells und die Validierungsformeln in Anhang V ebenso wie Folgendes:</w:t>
      </w:r>
    </w:p>
    <w:p w14:paraId="5974E76F" w14:textId="77777777" w:rsidR="004C167B" w:rsidRDefault="00FC2C50">
      <w:pPr>
        <w:pStyle w:val="Point1"/>
        <w:ind w:left="567"/>
      </w:pPr>
      <w:r>
        <w:t>a)</w:t>
      </w:r>
      <w:r>
        <w:tab/>
        <w:t>Nicht erforderliche oder nicht zutreffende Informationen werden nicht in die Datenmeldung aufgenommen.</w:t>
      </w:r>
    </w:p>
    <w:p w14:paraId="74DF6643" w14:textId="77777777" w:rsidR="004C167B" w:rsidRDefault="00FC2C50">
      <w:pPr>
        <w:pStyle w:val="Point1"/>
        <w:ind w:left="567"/>
      </w:pPr>
      <w:r>
        <w:t>b)</w:t>
      </w:r>
      <w:r>
        <w:tab/>
        <w:t>Numerische Werte werden als Fakten gemäß den folgenden Standards übermittelt:</w:t>
      </w:r>
    </w:p>
    <w:p w14:paraId="3963097B" w14:textId="77777777" w:rsidR="004C167B" w:rsidRDefault="00FC2C50">
      <w:pPr>
        <w:pStyle w:val="Point2"/>
        <w:ind w:left="1134"/>
      </w:pPr>
      <w:r>
        <w:t>i)</w:t>
      </w:r>
      <w:r>
        <w:tab/>
        <w:t>Datenpunkte vom Datentyp „monetär“ werden mit einer Mindestpräzision, die tausend Einheiten entspricht, ausgewiesen.</w:t>
      </w:r>
    </w:p>
    <w:p w14:paraId="276F9850" w14:textId="77777777" w:rsidR="004C167B" w:rsidRDefault="00FC2C50">
      <w:pPr>
        <w:pStyle w:val="Point2"/>
        <w:ind w:left="1134"/>
      </w:pPr>
      <w:r>
        <w:t>ii)</w:t>
      </w:r>
      <w:r>
        <w:tab/>
        <w:t>Datenpunkte vom Datentyp „prozentual“ werden pro Einheit mit einer Mindestpräzision, die vier Dezimalstellen entspricht, ausgewiesen.</w:t>
      </w:r>
    </w:p>
    <w:p w14:paraId="7F330CBA" w14:textId="77777777" w:rsidR="004C167B" w:rsidRDefault="00FC2C50">
      <w:pPr>
        <w:pStyle w:val="Point2"/>
        <w:ind w:left="1134"/>
      </w:pPr>
      <w:r>
        <w:t>iii)</w:t>
      </w:r>
      <w:r>
        <w:tab/>
        <w:t>Datenpunkte vom Datentyp „integer“ werden ohne Dezimalstellen mit einer Präzision, die Einheiten entspricht, gemeldet.</w:t>
      </w:r>
    </w:p>
    <w:p w14:paraId="647C2957" w14:textId="77777777" w:rsidR="004C167B" w:rsidRDefault="00FC2C50">
      <w:pPr>
        <w:pStyle w:val="ManualNumPar1"/>
        <w:tabs>
          <w:tab w:val="left" w:pos="567"/>
        </w:tabs>
        <w:ind w:left="0" w:firstLine="0"/>
      </w:pPr>
      <w:r>
        <w:t>(2)</w:t>
      </w:r>
      <w:r>
        <w:tab/>
        <w:t>Die Wertpapierfirmen werden ausschließlich durch ihre Rechtsträgerkennung (LEI) gekennzeichnet. Juristische Personen und Gegenparteien, die keine Wertpapierfirma sind, werden — soweit vorhanden — durch ihre LEI gekennzeichnet.</w:t>
      </w:r>
    </w:p>
    <w:p w14:paraId="0A4ACC7F" w14:textId="77777777" w:rsidR="004C167B" w:rsidRDefault="00FC2C50">
      <w:pPr>
        <w:pStyle w:val="ManualNumPar1"/>
        <w:tabs>
          <w:tab w:val="left" w:pos="567"/>
        </w:tabs>
        <w:ind w:left="0" w:firstLine="0"/>
      </w:pPr>
      <w:r>
        <w:t>(3)</w:t>
      </w:r>
      <w:r>
        <w:tab/>
        <w:t>Die von den Wertpapierfirmen auf der Grundlage dieser Verordnung übermittelten Informationen werden durch folgende Angaben ergänzt:</w:t>
      </w:r>
    </w:p>
    <w:p w14:paraId="7293C819" w14:textId="77777777" w:rsidR="004C167B" w:rsidRDefault="00FC2C50">
      <w:pPr>
        <w:pStyle w:val="Point1"/>
        <w:ind w:left="567"/>
      </w:pPr>
      <w:r>
        <w:t>a)</w:t>
      </w:r>
      <w:r>
        <w:tab/>
        <w:t>den Meldestichtag und die Bezugsperiode,</w:t>
      </w:r>
    </w:p>
    <w:p w14:paraId="2A706E7B" w14:textId="77777777" w:rsidR="004C167B" w:rsidRDefault="00FC2C50">
      <w:pPr>
        <w:pStyle w:val="Point1"/>
        <w:ind w:left="567"/>
      </w:pPr>
      <w:r>
        <w:t>b)</w:t>
      </w:r>
      <w:r>
        <w:tab/>
        <w:t>die Meldewährung,</w:t>
      </w:r>
    </w:p>
    <w:p w14:paraId="364B20DA" w14:textId="77777777" w:rsidR="004C167B" w:rsidRDefault="00FC2C50">
      <w:pPr>
        <w:pStyle w:val="Point1"/>
        <w:ind w:left="567"/>
      </w:pPr>
      <w:r>
        <w:t>c)</w:t>
      </w:r>
      <w:r>
        <w:tab/>
        <w:t>den Rechnungslegungsstandard,</w:t>
      </w:r>
    </w:p>
    <w:p w14:paraId="7B381F90" w14:textId="77777777" w:rsidR="004C167B" w:rsidRDefault="00FC2C50">
      <w:pPr>
        <w:pStyle w:val="Point1"/>
        <w:ind w:left="567"/>
      </w:pPr>
      <w:r>
        <w:t>d)</w:t>
      </w:r>
      <w:r>
        <w:tab/>
        <w:t>die Rechtsträgerkennung (LEI) des meldenden Instituts,</w:t>
      </w:r>
    </w:p>
    <w:p w14:paraId="331FC562" w14:textId="77777777" w:rsidR="004C167B" w:rsidRDefault="00FC2C50">
      <w:pPr>
        <w:pStyle w:val="Point1"/>
        <w:ind w:left="567"/>
      </w:pPr>
      <w:r>
        <w:lastRenderedPageBreak/>
        <w:t>e)</w:t>
      </w:r>
      <w:r>
        <w:tab/>
        <w:t>den Konsolidierungskreis.</w:t>
      </w:r>
    </w:p>
    <w:p w14:paraId="64E413FF" w14:textId="77777777" w:rsidR="004C167B" w:rsidRPr="005433E7" w:rsidRDefault="00FC2C50">
      <w:pPr>
        <w:pStyle w:val="ChapterTitle"/>
        <w:rPr>
          <w:b w:val="0"/>
        </w:rPr>
      </w:pPr>
      <w:r w:rsidRPr="005433E7">
        <w:rPr>
          <w:b w:val="0"/>
        </w:rPr>
        <w:t>KAPITEL II</w:t>
      </w:r>
    </w:p>
    <w:p w14:paraId="1CDFFDD9" w14:textId="77777777" w:rsidR="004C167B" w:rsidRDefault="00FC2C50">
      <w:pPr>
        <w:pStyle w:val="ChapterTitle"/>
      </w:pPr>
      <w:r>
        <w:t>ÖFFENTLICHE OFFENLEGUNGEN VON WERTPAPIERFIRMEN</w:t>
      </w:r>
    </w:p>
    <w:p w14:paraId="581A2A00" w14:textId="77777777" w:rsidR="004C167B" w:rsidRDefault="00FC2C50">
      <w:pPr>
        <w:pStyle w:val="Titrearticle"/>
      </w:pPr>
      <w:r>
        <w:t>Artikel 9</w:t>
      </w:r>
    </w:p>
    <w:p w14:paraId="7ECA165E" w14:textId="77777777" w:rsidR="004C167B" w:rsidRDefault="00FC2C50">
      <w:pPr>
        <w:pStyle w:val="Titrearticle"/>
        <w:spacing w:before="120"/>
        <w:rPr>
          <w:b/>
          <w:i w:val="0"/>
        </w:rPr>
      </w:pPr>
      <w:r>
        <w:rPr>
          <w:b/>
          <w:i w:val="0"/>
        </w:rPr>
        <w:t>Offenlegungsgrundsätze</w:t>
      </w:r>
    </w:p>
    <w:p w14:paraId="29C90238" w14:textId="77777777" w:rsidR="004C167B" w:rsidRDefault="00FC2C50">
      <w:pPr>
        <w:pStyle w:val="ManualNumPar1"/>
        <w:ind w:left="0" w:firstLine="0"/>
      </w:pPr>
      <w:r>
        <w:t>(1)</w:t>
      </w:r>
      <w:r>
        <w:tab/>
        <w:t>Die gemäß dieser Verordnung offenzulegenden Informationen unterliegen den folgenden Grundsätzen:</w:t>
      </w:r>
    </w:p>
    <w:p w14:paraId="1F66F1BE" w14:textId="77777777" w:rsidR="004C167B" w:rsidRDefault="00FC2C50">
      <w:pPr>
        <w:pStyle w:val="Point1"/>
        <w:ind w:left="567"/>
      </w:pPr>
      <w:r>
        <w:t>a)</w:t>
      </w:r>
      <w:r>
        <w:tab/>
        <w:t>Offenlegungen unterliegen dem gleichen Niveau der internen Prüfung, das für die in den Abschlüssen der Wertpapierfirmen enthaltenen Geschäftsberichte gilt.</w:t>
      </w:r>
    </w:p>
    <w:p w14:paraId="4B54BFDE" w14:textId="77777777" w:rsidR="004C167B" w:rsidRDefault="00FC2C50">
      <w:pPr>
        <w:pStyle w:val="Point1"/>
        <w:ind w:left="567"/>
      </w:pPr>
      <w:r>
        <w:t>b)</w:t>
      </w:r>
      <w:r>
        <w:tab/>
        <w:t>Offenlegungen sind klar und werden in einer für die Nutzer verständlichen Form vorgelegt und über ein zugängliches Medium mitgeteilt. Wichtige Meldungen werden hervorgehoben und sind leicht auffindbar. Komplexe Themen werden in einer einfachen Sprache erläutert. Zusammengehörige Informationen werden zusammen vorgelegt.</w:t>
      </w:r>
    </w:p>
    <w:p w14:paraId="0D518A2F" w14:textId="77777777" w:rsidR="004C167B" w:rsidRDefault="00FC2C50">
      <w:pPr>
        <w:pStyle w:val="Point1"/>
        <w:ind w:left="567"/>
      </w:pPr>
      <w:r>
        <w:t>c)</w:t>
      </w:r>
      <w:r>
        <w:tab/>
        <w:t>Offenlegungen sind aussagekräftig und über Zeiträume hinweg konsistent, damit Nutzer der Informationen diese über die Offenlegungszeiträume hinweg vergleichen können.</w:t>
      </w:r>
    </w:p>
    <w:p w14:paraId="0C2EDB15" w14:textId="77777777" w:rsidR="004C167B" w:rsidRDefault="00FC2C50">
      <w:pPr>
        <w:pStyle w:val="Point1"/>
        <w:ind w:left="567"/>
      </w:pPr>
      <w:r>
        <w:t>d)</w:t>
      </w:r>
      <w:r>
        <w:tab/>
        <w:t>Quantitativen Offenlegungen werden eine qualitative Erklärung und andere ergänzende Informationen beigefügt, die unter Umständen erforderlich sind, damit die Nutzer dieser Informationen diese verstehen können, wobei insbesondere darauf hingewiesen wird, wenn eine bestimmte Offenlegung gegenüber den in vorhergehenden Offenlegungen enthaltenen Informationen wesentliche Änderungen aufweist.</w:t>
      </w:r>
    </w:p>
    <w:p w14:paraId="7C977C55" w14:textId="77777777" w:rsidR="004C167B" w:rsidRDefault="00FC2C50">
      <w:pPr>
        <w:pStyle w:val="Titrearticle"/>
      </w:pPr>
      <w:r>
        <w:t>Artikel 10</w:t>
      </w:r>
    </w:p>
    <w:p w14:paraId="5A89C290" w14:textId="77777777" w:rsidR="004C167B" w:rsidRDefault="00FC2C50">
      <w:pPr>
        <w:pStyle w:val="Titrearticle"/>
        <w:spacing w:before="120"/>
        <w:rPr>
          <w:b/>
          <w:i w:val="0"/>
        </w:rPr>
      </w:pPr>
      <w:r>
        <w:rPr>
          <w:b/>
          <w:i w:val="0"/>
        </w:rPr>
        <w:t>Offenlegung der Eigenmittel durch Wertpapierfirmen</w:t>
      </w:r>
    </w:p>
    <w:p w14:paraId="71F9E78D" w14:textId="77777777" w:rsidR="004C167B" w:rsidRDefault="00FC2C50">
      <w:r>
        <w:t>Die Wertpapierfirmen legen Eigenmittel gemäß Artikel 49 Absatz 1 der Verordnung (EU) 2019/2033 unter Verwendung der Meldebögen in Anhang VI dieser Verordnung und unter Beachtung der in Anhang VII dieser Verordnung enthaltenen einschlägigen Erläuterungen offen.</w:t>
      </w:r>
    </w:p>
    <w:p w14:paraId="1B34F2E1" w14:textId="77777777" w:rsidR="004C167B" w:rsidRDefault="00FC2C50">
      <w:pPr>
        <w:pStyle w:val="Titrearticle"/>
      </w:pPr>
      <w:r>
        <w:t>Artikel 11</w:t>
      </w:r>
    </w:p>
    <w:p w14:paraId="59564F85" w14:textId="77777777" w:rsidR="004C167B" w:rsidRDefault="00FC2C50">
      <w:pPr>
        <w:pStyle w:val="Titrearticle"/>
        <w:spacing w:before="120"/>
        <w:rPr>
          <w:b/>
          <w:i w:val="0"/>
        </w:rPr>
      </w:pPr>
      <w:r>
        <w:rPr>
          <w:b/>
          <w:i w:val="0"/>
        </w:rPr>
        <w:t>Allgemeine Offenlegungsbestimmungen</w:t>
      </w:r>
    </w:p>
    <w:p w14:paraId="5F357A7B" w14:textId="77777777" w:rsidR="004C167B" w:rsidRDefault="00FC2C50">
      <w:pPr>
        <w:pStyle w:val="ManualNumPar1"/>
        <w:tabs>
          <w:tab w:val="left" w:pos="567"/>
        </w:tabs>
        <w:ind w:left="0" w:firstLine="0"/>
      </w:pPr>
      <w:r>
        <w:t>(1)</w:t>
      </w:r>
      <w:r>
        <w:tab/>
        <w:t>Legen Wertpapierfirmen in Artikel 10 dieser Verordnung genannte Informationen offen, stellen sie sicher, dass die numerischen Werte als Fakten und im Einklang mit den folgenden Vorgaben übermittelt werden:</w:t>
      </w:r>
    </w:p>
    <w:p w14:paraId="21A8A05F" w14:textId="77777777" w:rsidR="004C167B" w:rsidRDefault="00FC2C50">
      <w:pPr>
        <w:pStyle w:val="Point1"/>
        <w:ind w:left="567"/>
      </w:pPr>
      <w:r>
        <w:t>a)</w:t>
      </w:r>
      <w:r>
        <w:tab/>
        <w:t>Quantitative monetäre Daten werden mit einer Mindestpräzision offengelegt, die tausend Einheiten entspricht.</w:t>
      </w:r>
    </w:p>
    <w:p w14:paraId="5D1D0E43" w14:textId="77777777" w:rsidR="004C167B" w:rsidRDefault="00FC2C50">
      <w:pPr>
        <w:pStyle w:val="Point1"/>
        <w:ind w:left="567"/>
      </w:pPr>
      <w:r>
        <w:t>b)</w:t>
      </w:r>
      <w:r>
        <w:tab/>
        <w:t>Quantitative Daten, die als „prozentual“ offengelegt werden, sind pro Einheit mit einer Mindestpräzision von vier Dezimalstellen anzugeben.</w:t>
      </w:r>
    </w:p>
    <w:p w14:paraId="3EB9118F" w14:textId="77777777" w:rsidR="004C167B" w:rsidRDefault="00FC2C50">
      <w:pPr>
        <w:pStyle w:val="ManualNumPar1"/>
        <w:tabs>
          <w:tab w:val="left" w:pos="567"/>
        </w:tabs>
        <w:ind w:left="0" w:firstLine="0"/>
      </w:pPr>
      <w:r>
        <w:t>(2)</w:t>
      </w:r>
      <w:r>
        <w:tab/>
        <w:t>Legen Wertpapierfirmen in Artikel 10 dieser Verordnung genannte Informationen offen, stellen sie sicher, dass die Daten mit allen folgenden Informationen verknüpft sind:</w:t>
      </w:r>
    </w:p>
    <w:p w14:paraId="5CE36008" w14:textId="77777777" w:rsidR="004C167B" w:rsidRDefault="00FC2C50">
      <w:pPr>
        <w:pStyle w:val="Point1"/>
        <w:ind w:left="567"/>
      </w:pPr>
      <w:r>
        <w:t>a)</w:t>
      </w:r>
      <w:r>
        <w:tab/>
        <w:t>dem Offenlegungsstichtag und der Bezugsperiode,</w:t>
      </w:r>
    </w:p>
    <w:p w14:paraId="19E7FEE1" w14:textId="77777777" w:rsidR="004C167B" w:rsidRDefault="00FC2C50">
      <w:pPr>
        <w:pStyle w:val="Point1"/>
        <w:ind w:left="567"/>
      </w:pPr>
      <w:r>
        <w:lastRenderedPageBreak/>
        <w:t>b)</w:t>
      </w:r>
      <w:r>
        <w:tab/>
        <w:t>der Offenlegungswährung,</w:t>
      </w:r>
    </w:p>
    <w:p w14:paraId="7429CDC2" w14:textId="77777777" w:rsidR="004C167B" w:rsidRDefault="00FC2C50">
      <w:pPr>
        <w:pStyle w:val="Point1"/>
        <w:ind w:left="567"/>
      </w:pPr>
      <w:r>
        <w:t>c)</w:t>
      </w:r>
      <w:r>
        <w:tab/>
        <w:t>dem Namen und gegebenenfalls der Rechtsträgerkennung (LEI) des offenlegenden Instituts,</w:t>
      </w:r>
    </w:p>
    <w:p w14:paraId="02C78B62" w14:textId="77777777" w:rsidR="004C167B" w:rsidRDefault="00FC2C50">
      <w:pPr>
        <w:pStyle w:val="Point1"/>
        <w:ind w:left="567"/>
      </w:pPr>
      <w:r>
        <w:t>d)</w:t>
      </w:r>
      <w:r>
        <w:tab/>
        <w:t>gegebenenfalls dem Rechnungslegungsstandard,</w:t>
      </w:r>
    </w:p>
    <w:p w14:paraId="3C3AE47A" w14:textId="77777777" w:rsidR="004C167B" w:rsidRDefault="00FC2C50">
      <w:pPr>
        <w:pStyle w:val="Point1"/>
        <w:ind w:left="567"/>
      </w:pPr>
      <w:r>
        <w:t>e)</w:t>
      </w:r>
      <w:r>
        <w:tab/>
        <w:t>gegebenenfalls dem Konsolidierungskreis.</w:t>
      </w:r>
    </w:p>
    <w:p w14:paraId="3A5BE6CD" w14:textId="77777777" w:rsidR="004C167B" w:rsidRPr="00FC2C50" w:rsidRDefault="00FC2C50">
      <w:pPr>
        <w:pStyle w:val="ChapterTitle"/>
        <w:rPr>
          <w:b w:val="0"/>
        </w:rPr>
      </w:pPr>
      <w:r w:rsidRPr="00FC2C50">
        <w:rPr>
          <w:b w:val="0"/>
        </w:rPr>
        <w:t>KAPITEL III</w:t>
      </w:r>
    </w:p>
    <w:p w14:paraId="72B22614" w14:textId="77777777" w:rsidR="004C167B" w:rsidRDefault="00FC2C50">
      <w:pPr>
        <w:pStyle w:val="ChapterTitle"/>
      </w:pPr>
      <w:r>
        <w:t>SCHLUSSBESTIMMUNGEN</w:t>
      </w:r>
    </w:p>
    <w:p w14:paraId="376BC4C7" w14:textId="77777777" w:rsidR="004C167B" w:rsidRDefault="00FC2C50">
      <w:pPr>
        <w:pStyle w:val="Titrearticle"/>
        <w:spacing w:before="120"/>
      </w:pPr>
      <w:r>
        <w:t>Artikel 12</w:t>
      </w:r>
    </w:p>
    <w:p w14:paraId="3C68D558" w14:textId="0F8EDD1D" w:rsidR="004C167B" w:rsidRDefault="00FC2C50">
      <w:pPr>
        <w:pStyle w:val="Titrearticle"/>
        <w:spacing w:before="120"/>
        <w:rPr>
          <w:b/>
          <w:i w:val="0"/>
        </w:rPr>
      </w:pPr>
      <w:r>
        <w:rPr>
          <w:b/>
          <w:i w:val="0"/>
        </w:rPr>
        <w:t>Inkrafttreten</w:t>
      </w:r>
    </w:p>
    <w:p w14:paraId="1CCD5CA6" w14:textId="77777777" w:rsidR="004C167B" w:rsidRDefault="00FC2C50">
      <w:r>
        <w:t xml:space="preserve">Diese Verordnung tritt am zwanzigsten Tag nach ihrer Veröffentlichung im </w:t>
      </w:r>
      <w:r>
        <w:rPr>
          <w:i/>
        </w:rPr>
        <w:t>Amtsblatt der Europäischen Union</w:t>
      </w:r>
      <w:r>
        <w:t xml:space="preserve"> in Kraft.</w:t>
      </w:r>
    </w:p>
    <w:p w14:paraId="0D681151" w14:textId="77777777" w:rsidR="004C167B" w:rsidRDefault="00FC2C50">
      <w:pPr>
        <w:pStyle w:val="Applicationdirecte"/>
      </w:pPr>
      <w:r>
        <w:t>Diese Verordnung ist in allen ihren Teilen verbindlich und gilt unmittelbar in jedem Mitgliedstaat.</w:t>
      </w:r>
    </w:p>
    <w:p w14:paraId="6C6D0F10" w14:textId="77777777" w:rsidR="004C167B" w:rsidRDefault="00FC2C50">
      <w:pPr>
        <w:pStyle w:val="Fait"/>
      </w:pPr>
      <w:r>
        <w:t>Brüssel, den 6. Dezember 2021</w:t>
      </w:r>
    </w:p>
    <w:p w14:paraId="2EE7D352" w14:textId="77777777" w:rsidR="004C167B" w:rsidRDefault="00FC2C50">
      <w:pPr>
        <w:pStyle w:val="Institutionquisigne"/>
      </w:pPr>
      <w:r>
        <w:tab/>
        <w:t>Für die Kommission</w:t>
      </w:r>
    </w:p>
    <w:p w14:paraId="0EA2CA08" w14:textId="77777777" w:rsidR="004C167B" w:rsidRDefault="00FC2C50">
      <w:pPr>
        <w:pStyle w:val="Personnequisigne"/>
      </w:pPr>
      <w:r>
        <w:tab/>
        <w:t>Die Präsidentin</w:t>
      </w:r>
    </w:p>
    <w:p w14:paraId="162D5533" w14:textId="77777777" w:rsidR="004C167B" w:rsidRPr="00FC2C50" w:rsidRDefault="00FC2C50">
      <w:pPr>
        <w:pStyle w:val="Personnequisigne"/>
        <w:rPr>
          <w:i w:val="0"/>
        </w:rPr>
      </w:pPr>
      <w:r>
        <w:tab/>
      </w:r>
      <w:r w:rsidRPr="00FC2C50">
        <w:rPr>
          <w:i w:val="0"/>
        </w:rPr>
        <w:t>Ursula VON DER LEYEN</w:t>
      </w:r>
    </w:p>
    <w:sectPr w:rsidR="004C167B" w:rsidRPr="00FC2C50">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5AA0BC" w14:textId="77777777" w:rsidR="004C167B" w:rsidRDefault="00FC2C50">
      <w:pPr>
        <w:spacing w:before="0" w:after="0"/>
      </w:pPr>
      <w:r>
        <w:separator/>
      </w:r>
    </w:p>
  </w:endnote>
  <w:endnote w:type="continuationSeparator" w:id="0">
    <w:p w14:paraId="2B75DD4C" w14:textId="77777777" w:rsidR="004C167B" w:rsidRDefault="00FC2C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3D625" w14:textId="77777777" w:rsidR="004C167B" w:rsidRDefault="00FC2C50">
    <w:pPr>
      <w:pStyle w:val="Footer"/>
      <w:tabs>
        <w:tab w:val="clear" w:pos="4535"/>
        <w:tab w:val="clear" w:pos="9921"/>
      </w:tabs>
      <w:ind w:left="0" w:right="0"/>
    </w:pPr>
    <w:r>
      <w:t>DE - Cleaned document</w:t>
    </w:r>
    <w:r>
      <w:tab/>
    </w:r>
    <w:r>
      <w:fldChar w:fldCharType="begin"/>
    </w:r>
    <w:r>
      <w:instrText xml:space="preserve"> PAGE \* MERGEFORMAT </w:instrText>
    </w:r>
    <w:r>
      <w:fldChar w:fldCharType="separate"/>
    </w:r>
    <w:r>
      <w:rPr>
        <w:noProof/>
      </w:rPr>
      <w:t>7</w:t>
    </w:r>
    <w:r>
      <w:fldChar w:fldCharType="end"/>
    </w:r>
    <w:r>
      <w:t>/</w:t>
    </w:r>
    <w:fldSimple w:instr=" NUMPAGES \* MERGEFORMAT ">
      <w:r>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2A3328" w14:textId="77777777" w:rsidR="004C167B" w:rsidRDefault="00FC2C50">
      <w:pPr>
        <w:spacing w:before="0" w:after="0"/>
      </w:pPr>
      <w:r>
        <w:separator/>
      </w:r>
    </w:p>
  </w:footnote>
  <w:footnote w:type="continuationSeparator" w:id="0">
    <w:p w14:paraId="1A5BC831" w14:textId="77777777" w:rsidR="004C167B" w:rsidRDefault="00FC2C50">
      <w:pPr>
        <w:spacing w:before="0" w:after="0"/>
      </w:pPr>
      <w:r>
        <w:continuationSeparator/>
      </w:r>
    </w:p>
  </w:footnote>
  <w:footnote w:id="1">
    <w:p w14:paraId="58D68A42" w14:textId="77777777" w:rsidR="004C167B" w:rsidRDefault="00FC2C50">
      <w:pPr>
        <w:pStyle w:val="FootnoteText"/>
      </w:pPr>
      <w:r>
        <w:rPr>
          <w:rStyle w:val="FootnoteReference"/>
        </w:rPr>
        <w:footnoteRef/>
      </w:r>
      <w:r>
        <w:tab/>
        <w:t>ABl. L 314 vom 5.12.2019, S. 1.</w:t>
      </w:r>
    </w:p>
  </w:footnote>
  <w:footnote w:id="2">
    <w:p w14:paraId="3982F9D1" w14:textId="77777777" w:rsidR="004C167B" w:rsidRDefault="00FC2C50">
      <w:pPr>
        <w:pStyle w:val="FootnoteText"/>
      </w:pPr>
      <w:r>
        <w:rPr>
          <w:rStyle w:val="FootnoteReference"/>
        </w:rPr>
        <w:footnoteRef/>
      </w:r>
      <w:r>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w:t>
      </w:r>
      <w:r w:rsidR="005433E7">
        <w:t> </w:t>
      </w:r>
      <w:r>
        <w:t>331 vom 15.12.2010, S. 12).</w:t>
      </w:r>
    </w:p>
  </w:footnote>
  <w:footnote w:id="3">
    <w:p w14:paraId="70B699B8" w14:textId="77777777" w:rsidR="005433E7" w:rsidRDefault="005433E7">
      <w:pPr>
        <w:pStyle w:val="FootnoteText"/>
      </w:pPr>
      <w:r>
        <w:rPr>
          <w:rStyle w:val="FootnoteReference"/>
        </w:rPr>
        <w:footnoteRef/>
      </w:r>
      <w:r>
        <w:t xml:space="preserve"> </w:t>
      </w:r>
      <w:r>
        <w:tab/>
        <w:t>Durchführungsverordnung (EU) 2021/451 der Kommission vom 17. Dezember 2020 zur Festlegung technischer Durchführungsstandards für die Anwendung der Verordnung (EU) Nr. 575/2013 des Europäischen Parlaments und des Rates auf die aufsichtlichen Meldungen der Institute und zur Aufhebung der Durchführungsverordnung (EU) Nr. 680/2014 (ABl. L 97 vom 19.3.2021,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380C5" w14:textId="0F157AD4" w:rsidR="004C167B" w:rsidRDefault="002A5056">
    <w:pPr>
      <w:pStyle w:val="Header"/>
    </w:pPr>
    <w:r>
      <w:rPr>
        <w:noProof/>
      </w:rPr>
      <mc:AlternateContent>
        <mc:Choice Requires="wps">
          <w:drawing>
            <wp:anchor distT="0" distB="0" distL="114300" distR="114300" simplePos="0" relativeHeight="251659264" behindDoc="0" locked="0" layoutInCell="0" allowOverlap="1" wp14:anchorId="4615D714" wp14:editId="4D822AE7">
              <wp:simplePos x="0" y="0"/>
              <wp:positionH relativeFrom="page">
                <wp:posOffset>0</wp:posOffset>
              </wp:positionH>
              <wp:positionV relativeFrom="page">
                <wp:posOffset>190500</wp:posOffset>
              </wp:positionV>
              <wp:extent cx="7560945" cy="273050"/>
              <wp:effectExtent l="0" t="0" r="0" b="12700"/>
              <wp:wrapNone/>
              <wp:docPr id="1" name="MSIPCMff104a2a9b1d2fe155df9fde"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E4A78E" w14:textId="56760B4C" w:rsidR="002A5056" w:rsidRPr="002A5056" w:rsidRDefault="002A5056" w:rsidP="002A5056">
                          <w:pPr>
                            <w:spacing w:before="0" w:after="0"/>
                            <w:jc w:val="left"/>
                            <w:rPr>
                              <w:rFonts w:ascii="Calibri" w:hAnsi="Calibri" w:cs="Calibri"/>
                              <w:color w:val="000000"/>
                            </w:rPr>
                          </w:pPr>
                          <w:r w:rsidRPr="002A5056">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615D714" id="_x0000_t202" coordsize="21600,21600" o:spt="202" path="m,l,21600r21600,l21600,xe">
              <v:stroke joinstyle="miter"/>
              <v:path gradientshapeok="t" o:connecttype="rect"/>
            </v:shapetype>
            <v:shape id="MSIPCMff104a2a9b1d2fe155df9fde"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" o:allowincell="f" filled="f" stroked="f" strokeweight=".5pt">
              <v:fill o:detectmouseclick="t"/>
              <v:textbox inset="20pt,0,,0">
                <w:txbxContent>
                  <w:p w14:paraId="54E4A78E" w14:textId="56760B4C" w:rsidR="002A5056" w:rsidRPr="002A5056" w:rsidRDefault="002A5056" w:rsidP="002A5056">
                    <w:pPr>
                      <w:spacing w:before="0" w:after="0"/>
                      <w:jc w:val="left"/>
                      <w:rPr>
                        <w:rFonts w:ascii="Calibri" w:hAnsi="Calibri" w:cs="Calibri"/>
                        <w:color w:val="000000"/>
                      </w:rPr>
                    </w:pPr>
                    <w:r w:rsidRPr="002A5056">
                      <w:rPr>
                        <w:rFonts w:ascii="Calibri" w:hAnsi="Calibri" w:cs="Calibri"/>
                        <w:color w:val="000000"/>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1"/>
    <w:lvlOverride w:ilvl="0">
      <w:startOverride w:val="1"/>
    </w:lvlOverride>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de-DE" w:vendorID="64" w:dllVersion="6" w:nlCheck="1" w:checkStyle="0"/>
  <w:defaultTabStop w:val="720"/>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7 16:37:4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9946E88D-93BF-45C2-A4ED-85247A4FABDF"/>
    <w:docVar w:name="LW_COVERPAGE_TYPE" w:val="1"/>
    <w:docVar w:name="LW_CROSSREFERENCE" w:val="&lt;UNUSED&gt;"/>
    <w:docVar w:name="LW_DATE.ADOPT.CP" w:val="vom XXX"/>
    <w:docVar w:name="LW_DATE.ADOPT.CP_DATEFORMAT" w:val="vom %DATE%"/>
    <w:docVar w:name="LW_DATE.ADOPT.CP_ISODATE" w:val="&lt;EMPTY&gt;"/>
    <w:docVar w:name="LW_DocType" w:val="COM"/>
    <w:docVar w:name="LW_EMISSION" w:val="&lt;EMPTY&gt;"/>
    <w:docVar w:name="LW_EMISSION_ISODATE" w:val="&lt;EMPTY&gt;"/>
    <w:docVar w:name="LW_EMISSION_LOCATION" w:val="BRX"/>
    <w:docVar w:name="LW_EMISSION_PREFIX" w:val="Brüssel, den "/>
    <w:docVar w:name="LW_EMISSION_SUFFIX" w:val=" "/>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zur Festlegung technischer Durchführungsstandards für die Anwendung der Verordnung (EU) 2019/2033 des Europäischen Parlaments und des Rates im Hinblick auf die aufsichtlichen Meldungen und Offenlegungen von Wertpapierfirmen"/>
    <w:docVar w:name="LW_TYPE.DOC.CP" w:val="DURCHFÜHRUNGSVERORDNUNG (EU) .../... DER KOMMISSION"/>
  </w:docVars>
  <w:rsids>
    <w:rsidRoot w:val="004C167B"/>
    <w:rsid w:val="002A5056"/>
    <w:rsid w:val="004C167B"/>
    <w:rsid w:val="005433E7"/>
    <w:rsid w:val="00FC2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2DE0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5"/>
      </w:numPr>
      <w:contextualSpacing/>
    </w:pPr>
  </w:style>
  <w:style w:type="paragraph" w:styleId="ListNumber2">
    <w:name w:val="List Number 2"/>
    <w:basedOn w:val="Normal"/>
    <w:uiPriority w:val="99"/>
    <w:semiHidden/>
    <w:unhideWhenUsed/>
    <w:pPr>
      <w:numPr>
        <w:numId w:val="6"/>
      </w:numPr>
      <w:contextualSpacing/>
    </w:pPr>
  </w:style>
  <w:style w:type="paragraph" w:styleId="ListNumber3">
    <w:name w:val="List Number 3"/>
    <w:basedOn w:val="Normal"/>
    <w:uiPriority w:val="99"/>
    <w:semiHidden/>
    <w:unhideWhenUsed/>
    <w:pPr>
      <w:numPr>
        <w:numId w:val="7"/>
      </w:numPr>
      <w:contextualSpacing/>
    </w:pPr>
  </w:style>
  <w:style w:type="paragraph" w:styleId="ListNumber4">
    <w:name w:val="List Number 4"/>
    <w:basedOn w:val="Normal"/>
    <w:uiPriority w:val="99"/>
    <w:semiHidden/>
    <w:unhideWhenUsed/>
    <w:pPr>
      <w:numPr>
        <w:numId w:val="8"/>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de-DE"/>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de-DE"/>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0"/>
      </w:numPr>
    </w:pPr>
  </w:style>
  <w:style w:type="paragraph" w:customStyle="1" w:styleId="Tiret1">
    <w:name w:val="Tiret 1"/>
    <w:basedOn w:val="Point1"/>
    <w:pPr>
      <w:numPr>
        <w:numId w:val="11"/>
      </w:numPr>
    </w:pPr>
  </w:style>
  <w:style w:type="paragraph" w:customStyle="1" w:styleId="Tiret2">
    <w:name w:val="Tiret 2"/>
    <w:basedOn w:val="Point2"/>
    <w:pPr>
      <w:numPr>
        <w:numId w:val="12"/>
      </w:numPr>
    </w:pPr>
  </w:style>
  <w:style w:type="paragraph" w:customStyle="1" w:styleId="Tiret3">
    <w:name w:val="Tiret 3"/>
    <w:basedOn w:val="Point3"/>
    <w:pPr>
      <w:numPr>
        <w:numId w:val="13"/>
      </w:numPr>
    </w:pPr>
  </w:style>
  <w:style w:type="paragraph" w:customStyle="1" w:styleId="Tiret4">
    <w:name w:val="Tiret 4"/>
    <w:basedOn w:val="Point4"/>
    <w:pPr>
      <w:numPr>
        <w:numId w:val="1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5"/>
      </w:numPr>
    </w:pPr>
  </w:style>
  <w:style w:type="paragraph" w:customStyle="1" w:styleId="NumPar2">
    <w:name w:val="NumPar 2"/>
    <w:basedOn w:val="Normal"/>
    <w:next w:val="Text1"/>
    <w:pPr>
      <w:numPr>
        <w:ilvl w:val="1"/>
        <w:numId w:val="15"/>
      </w:numPr>
    </w:pPr>
  </w:style>
  <w:style w:type="paragraph" w:customStyle="1" w:styleId="NumPar3">
    <w:name w:val="NumPar 3"/>
    <w:basedOn w:val="Normal"/>
    <w:next w:val="Text1"/>
    <w:pPr>
      <w:numPr>
        <w:ilvl w:val="2"/>
        <w:numId w:val="15"/>
      </w:numPr>
    </w:pPr>
  </w:style>
  <w:style w:type="paragraph" w:customStyle="1" w:styleId="NumPar4">
    <w:name w:val="NumPar 4"/>
    <w:basedOn w:val="Normal"/>
    <w:next w:val="Text1"/>
    <w:pPr>
      <w:numPr>
        <w:ilvl w:val="3"/>
        <w:numId w:val="1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7"/>
      </w:numPr>
    </w:pPr>
  </w:style>
  <w:style w:type="paragraph" w:customStyle="1" w:styleId="Point1number">
    <w:name w:val="Point 1 (number)"/>
    <w:basedOn w:val="Normal"/>
    <w:pPr>
      <w:numPr>
        <w:ilvl w:val="2"/>
        <w:numId w:val="17"/>
      </w:numPr>
    </w:pPr>
  </w:style>
  <w:style w:type="paragraph" w:customStyle="1" w:styleId="Point2number">
    <w:name w:val="Point 2 (number)"/>
    <w:basedOn w:val="Normal"/>
    <w:pPr>
      <w:numPr>
        <w:ilvl w:val="4"/>
        <w:numId w:val="17"/>
      </w:numPr>
    </w:pPr>
  </w:style>
  <w:style w:type="paragraph" w:customStyle="1" w:styleId="Point3number">
    <w:name w:val="Point 3 (number)"/>
    <w:basedOn w:val="Normal"/>
    <w:pPr>
      <w:numPr>
        <w:ilvl w:val="6"/>
        <w:numId w:val="17"/>
      </w:numPr>
    </w:pPr>
  </w:style>
  <w:style w:type="paragraph" w:customStyle="1" w:styleId="Point0letter">
    <w:name w:val="Point 0 (letter)"/>
    <w:basedOn w:val="Normal"/>
    <w:pPr>
      <w:numPr>
        <w:ilvl w:val="1"/>
        <w:numId w:val="17"/>
      </w:numPr>
    </w:pPr>
  </w:style>
  <w:style w:type="paragraph" w:customStyle="1" w:styleId="Point1letter">
    <w:name w:val="Point 1 (letter)"/>
    <w:basedOn w:val="Normal"/>
    <w:pPr>
      <w:numPr>
        <w:ilvl w:val="3"/>
        <w:numId w:val="17"/>
      </w:numPr>
    </w:pPr>
  </w:style>
  <w:style w:type="paragraph" w:customStyle="1" w:styleId="Point2letter">
    <w:name w:val="Point 2 (letter)"/>
    <w:basedOn w:val="Normal"/>
    <w:pPr>
      <w:numPr>
        <w:ilvl w:val="5"/>
        <w:numId w:val="17"/>
      </w:numPr>
    </w:pPr>
  </w:style>
  <w:style w:type="paragraph" w:customStyle="1" w:styleId="Point3letter">
    <w:name w:val="Point 3 (letter)"/>
    <w:basedOn w:val="Normal"/>
    <w:pPr>
      <w:numPr>
        <w:ilvl w:val="7"/>
        <w:numId w:val="17"/>
      </w:numPr>
    </w:pPr>
  </w:style>
  <w:style w:type="paragraph" w:customStyle="1" w:styleId="Point4letter">
    <w:name w:val="Point 4 (letter)"/>
    <w:basedOn w:val="Normal"/>
    <w:pPr>
      <w:numPr>
        <w:ilvl w:val="8"/>
        <w:numId w:val="17"/>
      </w:numPr>
    </w:pPr>
  </w:style>
  <w:style w:type="paragraph" w:customStyle="1" w:styleId="Bullet0">
    <w:name w:val="Bullet 0"/>
    <w:basedOn w:val="Normal"/>
    <w:pPr>
      <w:numPr>
        <w:numId w:val="18"/>
      </w:numPr>
    </w:pPr>
  </w:style>
  <w:style w:type="paragraph" w:customStyle="1" w:styleId="Bullet1">
    <w:name w:val="Bullet 1"/>
    <w:basedOn w:val="Normal"/>
    <w:pPr>
      <w:numPr>
        <w:numId w:val="19"/>
      </w:numPr>
    </w:pPr>
  </w:style>
  <w:style w:type="paragraph" w:customStyle="1" w:styleId="Bullet2">
    <w:name w:val="Bullet 2"/>
    <w:basedOn w:val="Normal"/>
    <w:pPr>
      <w:numPr>
        <w:numId w:val="20"/>
      </w:numPr>
    </w:pPr>
  </w:style>
  <w:style w:type="paragraph" w:customStyle="1" w:styleId="Bullet3">
    <w:name w:val="Bullet 3"/>
    <w:basedOn w:val="Normal"/>
    <w:pPr>
      <w:numPr>
        <w:numId w:val="21"/>
      </w:numPr>
    </w:pPr>
  </w:style>
  <w:style w:type="paragraph" w:customStyle="1" w:styleId="Bullet4">
    <w:name w:val="Bullet 4"/>
    <w:basedOn w:val="Normal"/>
    <w:pPr>
      <w:numPr>
        <w:numId w:val="2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8E8FB-4CCE-45AA-A416-178F5BDF4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2374</Words>
  <Characters>13537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2022-01-14T15:29:00Z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2022-01-14T15:29:09Z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8f4f9683-2ac5-4299-b6e6-09b32fb28290</vt:lpwstr>
  </property>
  <property fmtid="{D5CDD505-2E9C-101B-9397-08002B2CF9AE}" pid="15" name="MSIP_Label_5c7eb9de-735b-4a68-8fe4-c9c62709b012_ContentBits">
    <vt:lpwstr>1</vt:lpwstr>
  </property>
</Properties>
</file>