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03C47E" w14:textId="77777777" w:rsidR="00BC606C" w:rsidRPr="00B94845" w:rsidRDefault="00B94845">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B94845">
        <w:t>VII LISA. Juhised omavahendite avalikustamise vormide kohta</w:t>
      </w:r>
    </w:p>
    <w:p w14:paraId="3D95F921" w14:textId="77777777" w:rsidR="00BC606C" w:rsidRPr="00B94845" w:rsidRDefault="00B94845">
      <w:pPr>
        <w:rPr>
          <w:rFonts w:ascii="Times New Roman" w:hAnsi="Times New Roman" w:cs="Times New Roman"/>
          <w:b/>
          <w:bCs/>
          <w:sz w:val="24"/>
        </w:rPr>
      </w:pPr>
      <w:r w:rsidRPr="00B94845">
        <w:rPr>
          <w:rFonts w:ascii="Times New Roman" w:hAnsi="Times New Roman"/>
          <w:b/>
          <w:bCs/>
          <w:sz w:val="24"/>
        </w:rPr>
        <w:t>Vormid EU I CC</w:t>
      </w:r>
      <w:r w:rsidRPr="00B94845">
        <w:rPr>
          <w:rFonts w:ascii="Times New Roman" w:hAnsi="Times New Roman"/>
          <w:b/>
          <w:bCs/>
          <w:sz w:val="24"/>
        </w:rPr>
        <w:t>1.01</w:t>
      </w:r>
      <w:r w:rsidRPr="00B94845">
        <w:rPr>
          <w:rFonts w:ascii="Times New Roman" w:hAnsi="Times New Roman"/>
          <w:b/>
          <w:bCs/>
          <w:sz w:val="24"/>
        </w:rPr>
        <w:t>, EU I CC</w:t>
      </w:r>
      <w:r w:rsidRPr="00B94845">
        <w:rPr>
          <w:rFonts w:ascii="Times New Roman" w:hAnsi="Times New Roman"/>
          <w:b/>
          <w:bCs/>
          <w:sz w:val="24"/>
        </w:rPr>
        <w:t>1.02</w:t>
      </w:r>
      <w:r w:rsidRPr="00B94845">
        <w:rPr>
          <w:rFonts w:ascii="Times New Roman" w:hAnsi="Times New Roman"/>
          <w:b/>
          <w:bCs/>
          <w:sz w:val="24"/>
        </w:rPr>
        <w:t xml:space="preserve"> ja EU I CC</w:t>
      </w:r>
      <w:r w:rsidRPr="00B94845">
        <w:rPr>
          <w:rFonts w:ascii="Times New Roman" w:hAnsi="Times New Roman"/>
          <w:b/>
          <w:bCs/>
          <w:sz w:val="24"/>
        </w:rPr>
        <w:t>1.03.</w:t>
      </w:r>
      <w:r w:rsidRPr="00B94845">
        <w:rPr>
          <w:rFonts w:ascii="Times New Roman" w:hAnsi="Times New Roman"/>
          <w:b/>
          <w:bCs/>
          <w:sz w:val="24"/>
        </w:rPr>
        <w:t xml:space="preserve"> Regulatiivsete omavahendite koosseis</w:t>
      </w:r>
    </w:p>
    <w:p w14:paraId="3D833B48" w14:textId="77777777" w:rsidR="00BC606C" w:rsidRPr="00B94845" w:rsidRDefault="00B94845">
      <w:pPr>
        <w:tabs>
          <w:tab w:val="left" w:pos="360"/>
        </w:tabs>
        <w:spacing w:before="120" w:after="120"/>
        <w:ind w:left="360" w:hanging="360"/>
        <w:jc w:val="both"/>
        <w:rPr>
          <w:rFonts w:ascii="Times New Roman" w:hAnsi="Times New Roman" w:cs="Times New Roman"/>
          <w:bCs/>
          <w:sz w:val="24"/>
        </w:rPr>
      </w:pPr>
      <w:r w:rsidRPr="00B94845">
        <w:rPr>
          <w:rFonts w:ascii="Times New Roman" w:hAnsi="Times New Roman" w:cs="Times New Roman"/>
          <w:bCs/>
          <w:sz w:val="24"/>
        </w:rPr>
        <w:t>1.</w:t>
      </w:r>
      <w:r w:rsidRPr="00B94845">
        <w:rPr>
          <w:rFonts w:ascii="Times New Roman" w:hAnsi="Times New Roman" w:cs="Times New Roman"/>
          <w:bCs/>
          <w:sz w:val="24"/>
        </w:rPr>
        <w:tab/>
      </w:r>
      <w:r w:rsidRPr="00B94845">
        <w:rPr>
          <w:rFonts w:ascii="Times New Roman" w:hAnsi="Times New Roman"/>
          <w:bCs/>
          <w:sz w:val="24"/>
        </w:rPr>
        <w:t xml:space="preserve">Investeerimisühingud järgivad käesolevas lisas esitatud juhiseid, et täita VI lisas esitatud vorm EU I CC1 vastavalt määruse (EL) </w:t>
      </w:r>
      <w:r w:rsidRPr="00B94845">
        <w:rPr>
          <w:rFonts w:ascii="Times New Roman" w:hAnsi="Times New Roman"/>
          <w:bCs/>
          <w:sz w:val="24"/>
        </w:rPr>
        <w:t>2019/2033</w:t>
      </w:r>
      <w:r w:rsidRPr="00B94845">
        <w:rPr>
          <w:rFonts w:ascii="Times New Roman" w:hAnsi="Times New Roman"/>
          <w:bCs/>
          <w:sz w:val="24"/>
        </w:rPr>
        <w:t xml:space="preserve"> artikli 49 lõike 1 punktidele a ja c.</w:t>
      </w:r>
    </w:p>
    <w:p w14:paraId="6E862041" w14:textId="77777777" w:rsidR="00BC606C" w:rsidRPr="00B94845" w:rsidRDefault="00B94845">
      <w:pPr>
        <w:tabs>
          <w:tab w:val="left" w:pos="360"/>
        </w:tabs>
        <w:spacing w:before="120" w:after="120"/>
        <w:ind w:left="357" w:hanging="357"/>
        <w:jc w:val="both"/>
        <w:rPr>
          <w:rFonts w:ascii="Times New Roman" w:hAnsi="Times New Roman" w:cs="Times New Roman"/>
          <w:bCs/>
          <w:sz w:val="24"/>
        </w:rPr>
      </w:pPr>
      <w:r w:rsidRPr="00B94845">
        <w:rPr>
          <w:rFonts w:ascii="Times New Roman" w:hAnsi="Times New Roman" w:cs="Times New Roman"/>
          <w:bCs/>
          <w:sz w:val="24"/>
        </w:rPr>
        <w:t>2.</w:t>
      </w:r>
      <w:r w:rsidRPr="00B94845">
        <w:rPr>
          <w:rFonts w:ascii="Times New Roman" w:hAnsi="Times New Roman" w:cs="Times New Roman"/>
          <w:bCs/>
          <w:sz w:val="24"/>
        </w:rPr>
        <w:tab/>
      </w:r>
      <w:r w:rsidRPr="00B94845">
        <w:rPr>
          <w:rFonts w:ascii="Times New Roman" w:hAnsi="Times New Roman"/>
          <w:bCs/>
          <w:sz w:val="24"/>
        </w:rPr>
        <w:t>Investeerimisühingud täidavad vormi veeru b, et selgitada iga olulise sisen</w:t>
      </w:r>
      <w:r w:rsidRPr="00B94845">
        <w:rPr>
          <w:rFonts w:ascii="Times New Roman" w:hAnsi="Times New Roman"/>
          <w:bCs/>
          <w:sz w:val="24"/>
        </w:rPr>
        <w:t>di allikat, lisades ristviited vormi EU I CC2 vastavatele ridadele.</w:t>
      </w:r>
    </w:p>
    <w:p w14:paraId="2A905B6B" w14:textId="77777777" w:rsidR="00BC606C" w:rsidRPr="00B94845" w:rsidRDefault="00B94845">
      <w:pPr>
        <w:tabs>
          <w:tab w:val="left" w:pos="360"/>
        </w:tabs>
        <w:spacing w:before="120" w:after="120"/>
        <w:ind w:left="360" w:hanging="360"/>
        <w:jc w:val="both"/>
        <w:rPr>
          <w:rFonts w:ascii="Times New Roman" w:hAnsi="Times New Roman" w:cs="Times New Roman"/>
          <w:bCs/>
          <w:sz w:val="24"/>
        </w:rPr>
      </w:pPr>
      <w:r w:rsidRPr="00B94845">
        <w:rPr>
          <w:rFonts w:ascii="Times New Roman" w:hAnsi="Times New Roman" w:cs="Times New Roman"/>
          <w:bCs/>
          <w:sz w:val="24"/>
        </w:rPr>
        <w:t>3.</w:t>
      </w:r>
      <w:r w:rsidRPr="00B94845">
        <w:rPr>
          <w:rFonts w:ascii="Times New Roman" w:hAnsi="Times New Roman" w:cs="Times New Roman"/>
          <w:bCs/>
          <w:sz w:val="24"/>
        </w:rPr>
        <w:tab/>
      </w:r>
      <w:r w:rsidRPr="00B94845">
        <w:rPr>
          <w:rFonts w:ascii="Times New Roman" w:hAnsi="Times New Roman"/>
          <w:bCs/>
          <w:sz w:val="24"/>
        </w:rPr>
        <w:t xml:space="preserve">Investeerimisühingud peavad esitama vormile lisatavas selgituses kirjelduse kõigi piirangute kohta, mida on järgitud omavahendite arvutamisel vastavalt määruse (EL) </w:t>
      </w:r>
      <w:r w:rsidRPr="00B94845">
        <w:rPr>
          <w:rFonts w:ascii="Times New Roman" w:hAnsi="Times New Roman"/>
          <w:bCs/>
          <w:sz w:val="24"/>
        </w:rPr>
        <w:t>2019/2033</w:t>
      </w:r>
      <w:r w:rsidRPr="00B94845">
        <w:rPr>
          <w:rFonts w:ascii="Times New Roman" w:hAnsi="Times New Roman"/>
          <w:bCs/>
          <w:sz w:val="24"/>
        </w:rPr>
        <w:t xml:space="preserve"> artikli 49</w:t>
      </w:r>
      <w:r w:rsidRPr="00B94845">
        <w:rPr>
          <w:rFonts w:ascii="Times New Roman" w:hAnsi="Times New Roman"/>
          <w:bCs/>
          <w:sz w:val="24"/>
        </w:rPr>
        <w:t xml:space="preserve"> lõike 1 punktile c, ning instrumentide ja mahaarvamiste kohta, mille puhul kõnealuseid piiranguid kasutati. Samuti peavad nad selgitama peamisi muutusi avalikustatud summades võrreldes eelmiste avalikustamisperioodidega.</w:t>
      </w:r>
    </w:p>
    <w:p w14:paraId="7F0FF0CF" w14:textId="77777777" w:rsidR="00BC606C" w:rsidRPr="00B94845" w:rsidRDefault="00B94845">
      <w:pPr>
        <w:tabs>
          <w:tab w:val="left" w:pos="360"/>
        </w:tabs>
        <w:spacing w:before="120" w:after="120"/>
        <w:ind w:left="360" w:hanging="360"/>
        <w:jc w:val="both"/>
        <w:rPr>
          <w:rFonts w:ascii="Times New Roman" w:hAnsi="Times New Roman" w:cs="Times New Roman"/>
          <w:bCs/>
          <w:sz w:val="24"/>
        </w:rPr>
      </w:pPr>
      <w:r w:rsidRPr="00B94845">
        <w:rPr>
          <w:rFonts w:ascii="Times New Roman" w:hAnsi="Times New Roman" w:cs="Times New Roman"/>
          <w:bCs/>
          <w:sz w:val="24"/>
        </w:rPr>
        <w:t>4.</w:t>
      </w:r>
      <w:r w:rsidRPr="00B94845">
        <w:rPr>
          <w:rFonts w:ascii="Times New Roman" w:hAnsi="Times New Roman" w:cs="Times New Roman"/>
          <w:bCs/>
          <w:sz w:val="24"/>
        </w:rPr>
        <w:tab/>
      </w:r>
      <w:r w:rsidRPr="00B94845">
        <w:rPr>
          <w:rFonts w:ascii="Times New Roman" w:hAnsi="Times New Roman"/>
          <w:bCs/>
          <w:sz w:val="24"/>
        </w:rPr>
        <w:t>See vorm on muutumatu ja invest</w:t>
      </w:r>
      <w:r w:rsidRPr="00B94845">
        <w:rPr>
          <w:rFonts w:ascii="Times New Roman" w:hAnsi="Times New Roman"/>
          <w:bCs/>
          <w:sz w:val="24"/>
        </w:rPr>
        <w:t>eerimisühingud peavad selle avalikustama täpselt samas vormingus nagu on esitatud VI lisas.</w:t>
      </w:r>
    </w:p>
    <w:p w14:paraId="21962658" w14:textId="77777777" w:rsidR="00BC606C" w:rsidRPr="00B94845" w:rsidRDefault="00B94845">
      <w:pPr>
        <w:tabs>
          <w:tab w:val="left" w:pos="360"/>
        </w:tabs>
        <w:spacing w:before="120" w:after="120"/>
        <w:ind w:left="360" w:hanging="360"/>
        <w:jc w:val="both"/>
        <w:rPr>
          <w:rFonts w:ascii="Times New Roman" w:hAnsi="Times New Roman" w:cs="Times New Roman"/>
          <w:bCs/>
          <w:sz w:val="24"/>
        </w:rPr>
      </w:pPr>
      <w:r w:rsidRPr="00B94845">
        <w:rPr>
          <w:rFonts w:ascii="Times New Roman" w:hAnsi="Times New Roman" w:cs="Times New Roman"/>
          <w:bCs/>
          <w:sz w:val="24"/>
        </w:rPr>
        <w:t>5.</w:t>
      </w:r>
      <w:r w:rsidRPr="00B94845">
        <w:rPr>
          <w:rFonts w:ascii="Times New Roman" w:hAnsi="Times New Roman" w:cs="Times New Roman"/>
          <w:bCs/>
          <w:sz w:val="24"/>
        </w:rPr>
        <w:tab/>
      </w:r>
      <w:r w:rsidRPr="00B94845">
        <w:rPr>
          <w:rFonts w:ascii="Times New Roman" w:hAnsi="Times New Roman"/>
          <w:bCs/>
          <w:sz w:val="24"/>
        </w:rPr>
        <w:t>Muud investeerimisühingud kui väikesed ja mitteseotud investeerimisühingud avalikustavad teabe omavahendite koosseisu kohta vastavalt VI lisas esitatud vormile E</w:t>
      </w:r>
      <w:r w:rsidRPr="00B94845">
        <w:rPr>
          <w:rFonts w:ascii="Times New Roman" w:hAnsi="Times New Roman"/>
          <w:bCs/>
          <w:sz w:val="24"/>
        </w:rPr>
        <w:t>U I CC</w:t>
      </w:r>
      <w:r w:rsidRPr="00B94845">
        <w:rPr>
          <w:rFonts w:ascii="Times New Roman" w:hAnsi="Times New Roman"/>
          <w:bCs/>
          <w:sz w:val="24"/>
        </w:rPr>
        <w:t>1.01.</w:t>
      </w:r>
      <w:r w:rsidRPr="00B94845">
        <w:rPr>
          <w:rFonts w:ascii="Times New Roman" w:hAnsi="Times New Roman"/>
          <w:bCs/>
          <w:sz w:val="24"/>
        </w:rPr>
        <w:t xml:space="preserve"> Väikesed ja mitteseotud investeerimisühingud, kes on emiteerinud täiendavatesse esimese taseme omavahenditesse kuuluvaid instrumente, avalikustavad teabe omavahendite koosseisu kohta vastavalt VI lisas esitatud vormile EU I CC</w:t>
      </w:r>
      <w:r w:rsidRPr="00B94845">
        <w:rPr>
          <w:rFonts w:ascii="Times New Roman" w:hAnsi="Times New Roman"/>
          <w:bCs/>
          <w:sz w:val="24"/>
        </w:rPr>
        <w:t>1.02.</w:t>
      </w:r>
    </w:p>
    <w:p w14:paraId="1849BC3D" w14:textId="77777777" w:rsidR="00BC606C" w:rsidRPr="00B94845" w:rsidRDefault="00B94845">
      <w:pPr>
        <w:rPr>
          <w:rFonts w:ascii="Times New Roman" w:hAnsi="Times New Roman" w:cs="Times New Roman"/>
          <w:b/>
          <w:bCs/>
          <w:sz w:val="24"/>
        </w:rPr>
      </w:pPr>
      <w:r w:rsidRPr="00B94845">
        <w:rPr>
          <w:rFonts w:ascii="Times New Roman" w:hAnsi="Times New Roman"/>
          <w:b/>
          <w:bCs/>
          <w:sz w:val="24"/>
        </w:rPr>
        <w:t>Vorm EU I CC</w:t>
      </w:r>
      <w:r w:rsidRPr="00B94845">
        <w:rPr>
          <w:rFonts w:ascii="Times New Roman" w:hAnsi="Times New Roman"/>
          <w:b/>
          <w:bCs/>
          <w:sz w:val="24"/>
        </w:rPr>
        <w:t>1.01.</w:t>
      </w:r>
      <w:r w:rsidRPr="00B94845">
        <w:rPr>
          <w:rFonts w:ascii="Times New Roman" w:hAnsi="Times New Roman"/>
          <w:b/>
          <w:bCs/>
          <w:sz w:val="24"/>
        </w:rPr>
        <w:t xml:space="preserve"> Regulatiivsete omavahendite koosseis (muud investeerimisühingud kui väikesed ja mitteseotud investeerimisühingud)</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BC606C" w:rsidRPr="00B94845" w14:paraId="755B99A2" w14:textId="77777777">
        <w:trPr>
          <w:trHeight w:val="395"/>
        </w:trPr>
        <w:tc>
          <w:tcPr>
            <w:tcW w:w="8812" w:type="dxa"/>
            <w:gridSpan w:val="2"/>
            <w:shd w:val="clear" w:color="auto" w:fill="D9D9D9" w:themeFill="background1" w:themeFillShade="D9"/>
          </w:tcPr>
          <w:p w14:paraId="5FC72176" w14:textId="77777777" w:rsidR="00BC606C" w:rsidRPr="00B94845" w:rsidRDefault="00B94845">
            <w:pPr>
              <w:pStyle w:val="TableTitle"/>
              <w:spacing w:before="0" w:after="0"/>
              <w:jc w:val="left"/>
              <w:rPr>
                <w:rFonts w:ascii="Times New Roman" w:hAnsi="Times New Roman"/>
                <w:szCs w:val="22"/>
              </w:rPr>
            </w:pPr>
            <w:r w:rsidRPr="00B94845">
              <w:rPr>
                <w:rFonts w:ascii="Times New Roman" w:hAnsi="Times New Roman"/>
                <w:szCs w:val="22"/>
              </w:rPr>
              <w:t>Viited õigussätetele ja juhised</w:t>
            </w:r>
          </w:p>
        </w:tc>
      </w:tr>
      <w:tr w:rsidR="00BC606C" w:rsidRPr="00B94845" w14:paraId="3EE69612" w14:textId="77777777">
        <w:tblPrEx>
          <w:tblLook w:val="00A0" w:firstRow="1" w:lastRow="0" w:firstColumn="1" w:lastColumn="0" w:noHBand="0" w:noVBand="0"/>
        </w:tblPrEx>
        <w:tc>
          <w:tcPr>
            <w:tcW w:w="1129" w:type="dxa"/>
            <w:tcBorders>
              <w:bottom w:val="single" w:sz="4" w:space="0" w:color="auto"/>
            </w:tcBorders>
            <w:shd w:val="clear" w:color="auto" w:fill="D9D9D9"/>
          </w:tcPr>
          <w:p w14:paraId="5621E00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szCs w:val="22"/>
              </w:rPr>
              <w:t>Rida</w:t>
            </w:r>
          </w:p>
        </w:tc>
        <w:tc>
          <w:tcPr>
            <w:tcW w:w="7683" w:type="dxa"/>
            <w:tcBorders>
              <w:bottom w:val="single" w:sz="4" w:space="0" w:color="auto"/>
            </w:tcBorders>
            <w:shd w:val="clear" w:color="auto" w:fill="D9D9D9"/>
          </w:tcPr>
          <w:p w14:paraId="6C9C2FE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szCs w:val="22"/>
              </w:rPr>
              <w:t>Viited õigussätetele ja juhised</w:t>
            </w:r>
          </w:p>
        </w:tc>
      </w:tr>
      <w:tr w:rsidR="00BC606C" w:rsidRPr="00B94845" w14:paraId="79E81253" w14:textId="77777777">
        <w:tblPrEx>
          <w:tblLook w:val="00A0" w:firstRow="1" w:lastRow="0" w:firstColumn="1" w:lastColumn="0" w:noHBand="0" w:noVBand="0"/>
        </w:tblPrEx>
        <w:tc>
          <w:tcPr>
            <w:tcW w:w="1129" w:type="dxa"/>
            <w:shd w:val="clear" w:color="auto" w:fill="auto"/>
            <w:vAlign w:val="center"/>
          </w:tcPr>
          <w:p w14:paraId="2F1812C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
                <w:bCs/>
                <w:color w:val="000000"/>
                <w:szCs w:val="22"/>
              </w:rPr>
              <w:t>1</w:t>
            </w:r>
          </w:p>
        </w:tc>
        <w:tc>
          <w:tcPr>
            <w:tcW w:w="7683" w:type="dxa"/>
            <w:shd w:val="clear" w:color="auto" w:fill="auto"/>
          </w:tcPr>
          <w:p w14:paraId="4994EE6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Omavahendid</w:t>
            </w:r>
          </w:p>
          <w:p w14:paraId="718BA3C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15174E35"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Investeerimisühingu omavahendid võrduvad tema esimese taseme põhiomavahendite, täiendavate esimese taseme omavahendite ja teise taseme omavahendite summaga.</w:t>
            </w:r>
          </w:p>
          <w:p w14:paraId="3A20083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See rida on ridade 2 ja 40 summa.</w:t>
            </w:r>
          </w:p>
        </w:tc>
      </w:tr>
      <w:tr w:rsidR="00BC606C" w:rsidRPr="00B94845" w14:paraId="29B4E084" w14:textId="77777777">
        <w:tblPrEx>
          <w:tblLook w:val="00A0" w:firstRow="1" w:lastRow="0" w:firstColumn="1" w:lastColumn="0" w:noHBand="0" w:noVBand="0"/>
        </w:tblPrEx>
        <w:tc>
          <w:tcPr>
            <w:tcW w:w="1129" w:type="dxa"/>
            <w:shd w:val="clear" w:color="auto" w:fill="auto"/>
            <w:vAlign w:val="center"/>
          </w:tcPr>
          <w:p w14:paraId="5713ED0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
                <w:bCs/>
                <w:color w:val="000000"/>
                <w:szCs w:val="22"/>
              </w:rPr>
              <w:t>2</w:t>
            </w:r>
          </w:p>
        </w:tc>
        <w:tc>
          <w:tcPr>
            <w:tcW w:w="7683" w:type="dxa"/>
            <w:shd w:val="clear" w:color="auto" w:fill="auto"/>
          </w:tcPr>
          <w:p w14:paraId="32789DD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Esimese taseme omavahendid</w:t>
            </w:r>
          </w:p>
          <w:p w14:paraId="584B8CA8"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 xml:space="preserve">Esimese </w:t>
            </w:r>
            <w:r w:rsidRPr="00B94845">
              <w:rPr>
                <w:rStyle w:val="FormatvorlageInstructionsTabelleText"/>
                <w:rFonts w:ascii="Times New Roman" w:hAnsi="Times New Roman"/>
                <w:sz w:val="22"/>
                <w:szCs w:val="22"/>
              </w:rPr>
              <w:t>taseme omavahendid võrduvad esimese taseme põhiomavahendite ja täiendavate esimese taseme omavahendite summaga.</w:t>
            </w:r>
          </w:p>
          <w:p w14:paraId="655FDD2C" w14:textId="77777777" w:rsidR="00BC606C" w:rsidRPr="00B94845" w:rsidRDefault="00B94845">
            <w:pPr>
              <w:spacing w:after="120"/>
              <w:jc w:val="both"/>
              <w:rPr>
                <w:rFonts w:ascii="Times New Roman" w:eastAsia="Times New Roman" w:hAnsi="Times New Roman" w:cs="Times New Roman"/>
                <w:b/>
                <w:bCs/>
                <w:szCs w:val="22"/>
              </w:rPr>
            </w:pPr>
            <w:r w:rsidRPr="00B94845">
              <w:rPr>
                <w:rFonts w:ascii="Times New Roman" w:hAnsi="Times New Roman"/>
                <w:bCs/>
                <w:szCs w:val="22"/>
              </w:rPr>
              <w:t>See rida on ridade 3 ja 28 summa.</w:t>
            </w:r>
          </w:p>
        </w:tc>
      </w:tr>
      <w:tr w:rsidR="00BC606C" w:rsidRPr="00B94845" w14:paraId="1FA9449F" w14:textId="77777777">
        <w:tblPrEx>
          <w:tblLook w:val="00A0" w:firstRow="1" w:lastRow="0" w:firstColumn="1" w:lastColumn="0" w:noHBand="0" w:noVBand="0"/>
        </w:tblPrEx>
        <w:tc>
          <w:tcPr>
            <w:tcW w:w="1129" w:type="dxa"/>
            <w:shd w:val="clear" w:color="auto" w:fill="auto"/>
            <w:vAlign w:val="center"/>
          </w:tcPr>
          <w:p w14:paraId="1B15E14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
                <w:bCs/>
                <w:color w:val="000000"/>
                <w:szCs w:val="22"/>
              </w:rPr>
              <w:t>3</w:t>
            </w:r>
          </w:p>
        </w:tc>
        <w:tc>
          <w:tcPr>
            <w:tcW w:w="7683" w:type="dxa"/>
            <w:shd w:val="clear" w:color="auto" w:fill="auto"/>
          </w:tcPr>
          <w:p w14:paraId="3170128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InstructionsTabelleberschrift"/>
                <w:rFonts w:ascii="Times New Roman" w:hAnsi="Times New Roman"/>
                <w:sz w:val="22"/>
                <w:szCs w:val="22"/>
              </w:rPr>
              <w:t>Esimese taseme põhiomavahendid</w:t>
            </w:r>
          </w:p>
          <w:p w14:paraId="33844FB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75F2E490" w14:textId="77777777" w:rsidR="00BC606C" w:rsidRPr="00B94845" w:rsidRDefault="00B94845">
            <w:pPr>
              <w:spacing w:after="120"/>
              <w:jc w:val="both"/>
              <w:rPr>
                <w:rStyle w:val="FormatvorlageInstructionsTabelleText"/>
                <w:rFonts w:ascii="Times New Roman" w:hAnsi="Times New Roman"/>
                <w:sz w:val="22"/>
                <w:szCs w:val="22"/>
              </w:rPr>
            </w:pPr>
            <w:r w:rsidRPr="00B94845">
              <w:rPr>
                <w:rFonts w:ascii="Times New Roman" w:hAnsi="Times New Roman"/>
                <w:szCs w:val="22"/>
              </w:rPr>
              <w:t>Määruse (EL) nr 575/2013 artikkel 5</w:t>
            </w:r>
            <w:r w:rsidRPr="00B94845">
              <w:rPr>
                <w:rFonts w:ascii="Times New Roman" w:hAnsi="Times New Roman"/>
                <w:szCs w:val="22"/>
              </w:rPr>
              <w:t>0</w:t>
            </w:r>
          </w:p>
          <w:p w14:paraId="0237544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Avalikustatakse ridade 4–12 ja 27 kogusumma.</w:t>
            </w:r>
          </w:p>
        </w:tc>
      </w:tr>
      <w:tr w:rsidR="00BC606C" w:rsidRPr="00B94845" w14:paraId="6679DB76" w14:textId="77777777">
        <w:tblPrEx>
          <w:tblLook w:val="00A0" w:firstRow="1" w:lastRow="0" w:firstColumn="1" w:lastColumn="0" w:noHBand="0" w:noVBand="0"/>
        </w:tblPrEx>
        <w:tc>
          <w:tcPr>
            <w:tcW w:w="1129" w:type="dxa"/>
            <w:shd w:val="clear" w:color="auto" w:fill="auto"/>
            <w:vAlign w:val="center"/>
          </w:tcPr>
          <w:p w14:paraId="3BBA41E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w:t>
            </w:r>
          </w:p>
        </w:tc>
        <w:tc>
          <w:tcPr>
            <w:tcW w:w="7683" w:type="dxa"/>
            <w:shd w:val="clear" w:color="auto" w:fill="auto"/>
          </w:tcPr>
          <w:p w14:paraId="737F505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Täielikult sissemakstud kapitaliinstrumendid</w:t>
            </w:r>
          </w:p>
          <w:p w14:paraId="7639615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1257EA59" w14:textId="77777777" w:rsidR="00BC606C" w:rsidRPr="00B94845" w:rsidRDefault="00B94845">
            <w:pPr>
              <w:pStyle w:val="InstructionsText"/>
              <w:rPr>
                <w:rStyle w:val="FormatvorlageInstructionsTabelleText"/>
                <w:rFonts w:ascii="Times New Roman" w:hAnsi="Times New Roman"/>
                <w:sz w:val="22"/>
              </w:rPr>
            </w:pPr>
            <w:r w:rsidRPr="00B94845">
              <w:lastRenderedPageBreak/>
              <w:t>Määruse (EL) nr 575/2013 artikli 26 lõike 1 punkt a ja artiklid 27–31</w:t>
            </w:r>
          </w:p>
          <w:p w14:paraId="51C62489" w14:textId="77777777" w:rsidR="00BC606C" w:rsidRPr="00B94845" w:rsidRDefault="00BC606C">
            <w:pPr>
              <w:pStyle w:val="InstructionsText"/>
              <w:rPr>
                <w:rStyle w:val="FormatvorlageInstructionsTabelleText"/>
                <w:rFonts w:ascii="Times New Roman" w:hAnsi="Times New Roman"/>
                <w:sz w:val="22"/>
              </w:rPr>
            </w:pPr>
          </w:p>
          <w:p w14:paraId="39746B32" w14:textId="77777777" w:rsidR="00BC606C" w:rsidRPr="00B94845" w:rsidRDefault="00B94845">
            <w:pPr>
              <w:pStyle w:val="InstructionsText"/>
              <w:rPr>
                <w:rStyle w:val="FormatvorlageInstructionsTabelleText"/>
                <w:rFonts w:ascii="Times New Roman" w:hAnsi="Times New Roman"/>
                <w:sz w:val="22"/>
              </w:rPr>
            </w:pPr>
            <w:r w:rsidRPr="00B94845">
              <w:t xml:space="preserve">See hõlmab määruse (EL) </w:t>
            </w:r>
            <w:r w:rsidRPr="00B94845">
              <w:t>nr 575/2013 artiklite 27 ja 29 kohaseid vastastikuste seltside, ühistute või samalaadsete investeerimisühingute kapitaliinstrumente.</w:t>
            </w:r>
          </w:p>
          <w:p w14:paraId="42412552"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Arvesse ei võeta instrumentidega seotud ülekurssi.</w:t>
            </w:r>
          </w:p>
          <w:p w14:paraId="5841918E" w14:textId="77777777" w:rsidR="00BC606C" w:rsidRPr="00B94845" w:rsidRDefault="00B94845">
            <w:pPr>
              <w:pStyle w:val="InstructionsText"/>
            </w:pPr>
            <w:r w:rsidRPr="00B94845">
              <w:t>Arvesse võetakse avaliku sektori asutuste poolt hädaolukorras märgitud k</w:t>
            </w:r>
            <w:r w:rsidRPr="00B94845">
              <w:t>apitaliinstrumente, kui täidetud on kõik määruse (EL) nr 575/2013 artiklis 31 sätestatud tingimused.</w:t>
            </w:r>
          </w:p>
        </w:tc>
      </w:tr>
      <w:tr w:rsidR="00BC606C" w:rsidRPr="00B94845" w14:paraId="6BF6F31D" w14:textId="77777777">
        <w:tblPrEx>
          <w:tblLook w:val="00A0" w:firstRow="1" w:lastRow="0" w:firstColumn="1" w:lastColumn="0" w:noHBand="0" w:noVBand="0"/>
        </w:tblPrEx>
        <w:tc>
          <w:tcPr>
            <w:tcW w:w="1129" w:type="dxa"/>
            <w:shd w:val="clear" w:color="auto" w:fill="auto"/>
            <w:vAlign w:val="center"/>
          </w:tcPr>
          <w:p w14:paraId="6BE526C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5</w:t>
            </w:r>
          </w:p>
        </w:tc>
        <w:tc>
          <w:tcPr>
            <w:tcW w:w="7683" w:type="dxa"/>
            <w:shd w:val="clear" w:color="auto" w:fill="auto"/>
          </w:tcPr>
          <w:p w14:paraId="510D126E"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Ülekurss</w:t>
            </w:r>
          </w:p>
          <w:p w14:paraId="7D88EF1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0948F2C4" w14:textId="77777777" w:rsidR="00BC606C" w:rsidRPr="00B94845" w:rsidRDefault="00B94845">
            <w:pPr>
              <w:spacing w:after="120"/>
              <w:jc w:val="both"/>
              <w:rPr>
                <w:rStyle w:val="FormatvorlageInstructionsTabelleText"/>
                <w:rFonts w:ascii="Times New Roman" w:hAnsi="Times New Roman"/>
                <w:sz w:val="22"/>
                <w:szCs w:val="22"/>
              </w:rPr>
            </w:pPr>
            <w:r w:rsidRPr="00B94845">
              <w:rPr>
                <w:rFonts w:ascii="Times New Roman" w:hAnsi="Times New Roman"/>
                <w:szCs w:val="22"/>
              </w:rPr>
              <w:t>Määruse (EL) nr 575/2013 artikli 26 lõike 1 punkt b</w:t>
            </w:r>
          </w:p>
          <w:p w14:paraId="4E95FFAD"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Ülekurss on määratletud kohaldatavas raama</w:t>
            </w:r>
            <w:r w:rsidRPr="00B94845">
              <w:rPr>
                <w:rStyle w:val="FormatvorlageInstructionsTabelleText"/>
                <w:rFonts w:ascii="Times New Roman" w:hAnsi="Times New Roman"/>
                <w:sz w:val="22"/>
              </w:rPr>
              <w:t>tupidamistavas.</w:t>
            </w:r>
          </w:p>
          <w:p w14:paraId="6B7E6BB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Selle kirje puhul avalikustatav summa on kirjega „Sissemakstud kapitaliinstrumendid“ seotud osa.</w:t>
            </w:r>
          </w:p>
        </w:tc>
      </w:tr>
      <w:tr w:rsidR="00BC606C" w:rsidRPr="00B94845" w14:paraId="72E6D03E" w14:textId="77777777">
        <w:tblPrEx>
          <w:tblLook w:val="00A0" w:firstRow="1" w:lastRow="0" w:firstColumn="1" w:lastColumn="0" w:noHBand="0" w:noVBand="0"/>
        </w:tblPrEx>
        <w:tc>
          <w:tcPr>
            <w:tcW w:w="1129" w:type="dxa"/>
            <w:shd w:val="clear" w:color="auto" w:fill="auto"/>
            <w:vAlign w:val="center"/>
          </w:tcPr>
          <w:p w14:paraId="7BD9A32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6</w:t>
            </w:r>
          </w:p>
        </w:tc>
        <w:tc>
          <w:tcPr>
            <w:tcW w:w="7683" w:type="dxa"/>
            <w:shd w:val="clear" w:color="auto" w:fill="auto"/>
          </w:tcPr>
          <w:p w14:paraId="6756217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Jaotamata kasum</w:t>
            </w:r>
          </w:p>
          <w:p w14:paraId="6E4E682F"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50FFB561" w14:textId="77777777" w:rsidR="00BC606C" w:rsidRPr="00B94845" w:rsidRDefault="00B94845">
            <w:pPr>
              <w:spacing w:after="120"/>
              <w:jc w:val="both"/>
              <w:rPr>
                <w:rStyle w:val="FormatvorlageInstructionsTabelleText"/>
                <w:rFonts w:ascii="Times New Roman" w:hAnsi="Times New Roman"/>
                <w:sz w:val="22"/>
                <w:szCs w:val="22"/>
              </w:rPr>
            </w:pPr>
            <w:r w:rsidRPr="00B94845">
              <w:rPr>
                <w:rFonts w:ascii="Times New Roman" w:hAnsi="Times New Roman"/>
                <w:szCs w:val="22"/>
              </w:rPr>
              <w:t>Määruse (EL) nr 575/2013 artikli 26 lõike 1 punkt c</w:t>
            </w:r>
          </w:p>
          <w:p w14:paraId="7CDE301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 xml:space="preserve">Jaotamata kasum hõlmab </w:t>
            </w:r>
            <w:r w:rsidRPr="00B94845">
              <w:rPr>
                <w:rStyle w:val="FormatvorlageInstructionsTabelleText"/>
                <w:rFonts w:ascii="Times New Roman" w:hAnsi="Times New Roman"/>
                <w:sz w:val="22"/>
                <w:szCs w:val="22"/>
              </w:rPr>
              <w:t>eelmiste aastate jaotamata kasumit koos aruandeperioodi aktsepteeritava vahekasumi või aastakasumiga.</w:t>
            </w:r>
          </w:p>
        </w:tc>
      </w:tr>
      <w:tr w:rsidR="00BC606C" w:rsidRPr="00B94845" w14:paraId="06BEE5DB" w14:textId="77777777">
        <w:tblPrEx>
          <w:tblLook w:val="00A0" w:firstRow="1" w:lastRow="0" w:firstColumn="1" w:lastColumn="0" w:noHBand="0" w:noVBand="0"/>
        </w:tblPrEx>
        <w:tc>
          <w:tcPr>
            <w:tcW w:w="1129" w:type="dxa"/>
            <w:shd w:val="clear" w:color="auto" w:fill="auto"/>
            <w:vAlign w:val="center"/>
          </w:tcPr>
          <w:p w14:paraId="1BCFD33C"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7</w:t>
            </w:r>
          </w:p>
        </w:tc>
        <w:tc>
          <w:tcPr>
            <w:tcW w:w="7683" w:type="dxa"/>
            <w:shd w:val="clear" w:color="auto" w:fill="auto"/>
          </w:tcPr>
          <w:p w14:paraId="0EE7704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Muu akumuleeritud koondkasum</w:t>
            </w:r>
          </w:p>
          <w:p w14:paraId="5FCA1DB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67E2E6D8" w14:textId="77777777" w:rsidR="00BC606C" w:rsidRPr="00B94845" w:rsidRDefault="00B94845">
            <w:pPr>
              <w:spacing w:after="120"/>
              <w:jc w:val="both"/>
              <w:rPr>
                <w:rFonts w:ascii="Times New Roman" w:hAnsi="Times New Roman" w:cs="Times New Roman"/>
                <w:bCs/>
                <w:szCs w:val="22"/>
              </w:rPr>
            </w:pPr>
            <w:r w:rsidRPr="00B94845">
              <w:rPr>
                <w:rFonts w:ascii="Times New Roman" w:hAnsi="Times New Roman"/>
                <w:szCs w:val="22"/>
              </w:rPr>
              <w:t>Määruse (EL) nr 575/2013 artikli 26 lõike 1 punkt d</w:t>
            </w:r>
          </w:p>
        </w:tc>
      </w:tr>
      <w:tr w:rsidR="00BC606C" w:rsidRPr="00B94845" w14:paraId="39BF96FD" w14:textId="77777777">
        <w:tblPrEx>
          <w:tblLook w:val="00A0" w:firstRow="1" w:lastRow="0" w:firstColumn="1" w:lastColumn="0" w:noHBand="0" w:noVBand="0"/>
        </w:tblPrEx>
        <w:tc>
          <w:tcPr>
            <w:tcW w:w="1129" w:type="dxa"/>
            <w:shd w:val="clear" w:color="auto" w:fill="auto"/>
            <w:vAlign w:val="center"/>
          </w:tcPr>
          <w:p w14:paraId="6484BFEC"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8</w:t>
            </w:r>
          </w:p>
        </w:tc>
        <w:tc>
          <w:tcPr>
            <w:tcW w:w="7683" w:type="dxa"/>
            <w:tcBorders>
              <w:bottom w:val="single" w:sz="4" w:space="0" w:color="auto"/>
            </w:tcBorders>
            <w:shd w:val="clear" w:color="auto" w:fill="auto"/>
          </w:tcPr>
          <w:p w14:paraId="53C3B7DF"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Muud </w:t>
            </w:r>
            <w:r w:rsidRPr="00B94845">
              <w:rPr>
                <w:rFonts w:ascii="Times New Roman" w:hAnsi="Times New Roman"/>
                <w:b/>
                <w:bCs/>
                <w:szCs w:val="22"/>
                <w:u w:val="single"/>
              </w:rPr>
              <w:t>reservid</w:t>
            </w:r>
          </w:p>
          <w:p w14:paraId="1671B883"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23C02C8B" w14:textId="77777777" w:rsidR="00BC606C" w:rsidRPr="00B94845" w:rsidRDefault="00B94845">
            <w:pPr>
              <w:spacing w:after="120"/>
              <w:jc w:val="both"/>
              <w:rPr>
                <w:rStyle w:val="FormatvorlageInstructionsTabelleText"/>
                <w:rFonts w:ascii="Times New Roman" w:hAnsi="Times New Roman"/>
                <w:sz w:val="22"/>
                <w:szCs w:val="22"/>
              </w:rPr>
            </w:pPr>
            <w:r w:rsidRPr="00B94845">
              <w:rPr>
                <w:rFonts w:ascii="Times New Roman" w:hAnsi="Times New Roman"/>
                <w:szCs w:val="22"/>
              </w:rPr>
              <w:t>Määruse (EL) nr 575/2013 artikli 4 lõike 1 punkt 117 ja artikli 26 lõike 1 punkt e</w:t>
            </w:r>
          </w:p>
          <w:p w14:paraId="1E7997C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Asjaomane summa avalikustatakse pärast arvutamise ajal prognoositavate maksude mahaarvamist.</w:t>
            </w:r>
          </w:p>
        </w:tc>
      </w:tr>
      <w:tr w:rsidR="00BC606C" w:rsidRPr="00B94845" w14:paraId="6678FDD3" w14:textId="77777777">
        <w:tblPrEx>
          <w:tblLook w:val="00A0" w:firstRow="1" w:lastRow="0" w:firstColumn="1" w:lastColumn="0" w:noHBand="0" w:noVBand="0"/>
        </w:tblPrEx>
        <w:tc>
          <w:tcPr>
            <w:tcW w:w="1129" w:type="dxa"/>
            <w:shd w:val="clear" w:color="auto" w:fill="auto"/>
            <w:vAlign w:val="center"/>
          </w:tcPr>
          <w:p w14:paraId="0610338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9</w:t>
            </w:r>
          </w:p>
        </w:tc>
        <w:tc>
          <w:tcPr>
            <w:tcW w:w="7683" w:type="dxa"/>
            <w:shd w:val="clear" w:color="auto" w:fill="auto"/>
          </w:tcPr>
          <w:p w14:paraId="36950CFF"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Vähemusosalused, mis arvatakse esimese taseme põhiomavahendite hulka</w:t>
            </w:r>
          </w:p>
          <w:p w14:paraId="0F20556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Tütarettevõtjate kõigi selliste vähemusosaluste summa, mis arvatakse konsolideeritud esimese taseme põhiomavahendite hulka.</w:t>
            </w:r>
          </w:p>
        </w:tc>
      </w:tr>
      <w:tr w:rsidR="00BC606C" w:rsidRPr="00B94845" w14:paraId="7C8B9095" w14:textId="77777777">
        <w:tblPrEx>
          <w:tblLook w:val="00A0" w:firstRow="1" w:lastRow="0" w:firstColumn="1" w:lastColumn="0" w:noHBand="0" w:noVBand="0"/>
        </w:tblPrEx>
        <w:tc>
          <w:tcPr>
            <w:tcW w:w="1129" w:type="dxa"/>
            <w:shd w:val="clear" w:color="auto" w:fill="auto"/>
            <w:vAlign w:val="center"/>
          </w:tcPr>
          <w:p w14:paraId="4AAE6457"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10</w:t>
            </w:r>
          </w:p>
        </w:tc>
        <w:tc>
          <w:tcPr>
            <w:tcW w:w="7683" w:type="dxa"/>
            <w:shd w:val="clear" w:color="auto" w:fill="auto"/>
          </w:tcPr>
          <w:p w14:paraId="1F4C2B89"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Esimese taseme põhiomavahendite korrigeerimine seoses usald</w:t>
            </w:r>
            <w:r w:rsidRPr="00B94845">
              <w:rPr>
                <w:rFonts w:ascii="Times New Roman" w:hAnsi="Times New Roman"/>
                <w:b/>
                <w:bCs/>
                <w:szCs w:val="22"/>
                <w:u w:val="single"/>
              </w:rPr>
              <w:t>atavusfiltritega</w:t>
            </w:r>
          </w:p>
          <w:p w14:paraId="482ED6A6" w14:textId="77777777" w:rsidR="00BC606C" w:rsidRPr="00B94845" w:rsidRDefault="00B94845">
            <w:pPr>
              <w:spacing w:after="120"/>
              <w:jc w:val="both"/>
              <w:rPr>
                <w:rStyle w:val="FormatvorlageInstructionsTabelleText"/>
                <w:rFonts w:ascii="Times New Roman" w:hAnsi="Times New Roman"/>
                <w:sz w:val="22"/>
                <w:szCs w:val="22"/>
              </w:rPr>
            </w:pPr>
            <w:r w:rsidRPr="00B94845">
              <w:rPr>
                <w:rFonts w:ascii="Times New Roman" w:hAnsi="Times New Roman"/>
                <w:szCs w:val="22"/>
              </w:rPr>
              <w:t xml:space="preserve">Määruse (EL) </w:t>
            </w:r>
            <w:r w:rsidRPr="00B94845">
              <w:rPr>
                <w:rFonts w:ascii="Times New Roman" w:hAnsi="Times New Roman"/>
                <w:szCs w:val="22"/>
              </w:rPr>
              <w:t>2019/2033</w:t>
            </w:r>
            <w:r w:rsidRPr="00B94845">
              <w:rPr>
                <w:rFonts w:ascii="Times New Roman" w:hAnsi="Times New Roman"/>
                <w:szCs w:val="22"/>
              </w:rPr>
              <w:t xml:space="preserve"> artikli 9 lõike 1 punkt i</w:t>
            </w:r>
          </w:p>
          <w:p w14:paraId="47ED7AC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szCs w:val="22"/>
              </w:rPr>
              <w:t>Määruse (EL) nr 575/2013 artiklid 32–35</w:t>
            </w:r>
          </w:p>
        </w:tc>
      </w:tr>
      <w:tr w:rsidR="00BC606C" w:rsidRPr="00B94845" w14:paraId="4C908122" w14:textId="77777777">
        <w:tblPrEx>
          <w:tblLook w:val="00A0" w:firstRow="1" w:lastRow="0" w:firstColumn="1" w:lastColumn="0" w:noHBand="0" w:noVBand="0"/>
        </w:tblPrEx>
        <w:tc>
          <w:tcPr>
            <w:tcW w:w="1129" w:type="dxa"/>
            <w:shd w:val="clear" w:color="auto" w:fill="auto"/>
            <w:vAlign w:val="center"/>
          </w:tcPr>
          <w:p w14:paraId="1136AD1A"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11</w:t>
            </w:r>
          </w:p>
        </w:tc>
        <w:tc>
          <w:tcPr>
            <w:tcW w:w="7683" w:type="dxa"/>
            <w:shd w:val="clear" w:color="auto" w:fill="auto"/>
          </w:tcPr>
          <w:p w14:paraId="799B736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Muud vahendid</w:t>
            </w:r>
          </w:p>
          <w:p w14:paraId="5BA7B9D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artikli 9 lõige 4</w:t>
            </w:r>
          </w:p>
        </w:tc>
      </w:tr>
      <w:tr w:rsidR="00BC606C" w:rsidRPr="00B94845" w14:paraId="430D9A1F" w14:textId="77777777">
        <w:tblPrEx>
          <w:tblLook w:val="00A0" w:firstRow="1" w:lastRow="0" w:firstColumn="1" w:lastColumn="0" w:noHBand="0" w:noVBand="0"/>
        </w:tblPrEx>
        <w:tc>
          <w:tcPr>
            <w:tcW w:w="1129" w:type="dxa"/>
            <w:shd w:val="clear" w:color="auto" w:fill="auto"/>
            <w:vAlign w:val="center"/>
          </w:tcPr>
          <w:p w14:paraId="5EB6D90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12</w:t>
            </w:r>
          </w:p>
        </w:tc>
        <w:tc>
          <w:tcPr>
            <w:tcW w:w="7683" w:type="dxa"/>
            <w:shd w:val="clear" w:color="auto" w:fill="auto"/>
          </w:tcPr>
          <w:p w14:paraId="27AFEB8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ESIMESE TASEME PÕHIOMAVAHENDITEST TEHTUD MAHAARVAMISED KOKKU</w:t>
            </w:r>
          </w:p>
          <w:p w14:paraId="22EB970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Avalikustatakse ridade 13 ja 17–26 kogusumma.</w:t>
            </w:r>
          </w:p>
        </w:tc>
      </w:tr>
      <w:tr w:rsidR="00BC606C" w:rsidRPr="00B94845" w14:paraId="382DF7E7" w14:textId="77777777">
        <w:tblPrEx>
          <w:tblLook w:val="00A0" w:firstRow="1" w:lastRow="0" w:firstColumn="1" w:lastColumn="0" w:noHBand="0" w:noVBand="0"/>
        </w:tblPrEx>
        <w:tc>
          <w:tcPr>
            <w:tcW w:w="1129" w:type="dxa"/>
            <w:shd w:val="clear" w:color="auto" w:fill="auto"/>
            <w:vAlign w:val="center"/>
          </w:tcPr>
          <w:p w14:paraId="7BDE620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13</w:t>
            </w:r>
          </w:p>
        </w:tc>
        <w:tc>
          <w:tcPr>
            <w:tcW w:w="7683" w:type="dxa"/>
            <w:shd w:val="clear" w:color="auto" w:fill="auto"/>
          </w:tcPr>
          <w:p w14:paraId="1D63FE1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Enda esimese taseme põhiomavahenditesse kuuluvad instrumendid</w:t>
            </w:r>
          </w:p>
          <w:p w14:paraId="2018685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artikli 9 lõike 1 punkt i</w:t>
            </w:r>
          </w:p>
          <w:p w14:paraId="6367A839" w14:textId="77777777" w:rsidR="00BC606C" w:rsidRPr="00B94845" w:rsidRDefault="00B94845">
            <w:pPr>
              <w:pStyle w:val="InstructionsText"/>
              <w:rPr>
                <w:rStyle w:val="FormatvorlageInstructionsTabelleText"/>
                <w:rFonts w:ascii="Times New Roman" w:hAnsi="Times New Roman"/>
                <w:sz w:val="22"/>
              </w:rPr>
            </w:pPr>
            <w:r w:rsidRPr="00B94845">
              <w:lastRenderedPageBreak/>
              <w:t>Määruse (EL) nr 575/2013 artikli 36 lõike 1 punkt f ja artikkel 42</w:t>
            </w:r>
          </w:p>
          <w:p w14:paraId="1AAD6BA6"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Aruandva investeerimisüh</w:t>
            </w:r>
            <w:r w:rsidRPr="00B94845">
              <w:rPr>
                <w:rStyle w:val="FormatvorlageInstructionsTabelleText"/>
                <w:rFonts w:ascii="Times New Roman" w:hAnsi="Times New Roman"/>
                <w:sz w:val="22"/>
              </w:rPr>
              <w:t xml:space="preserve">ingu või konsolideerimisgrupi osalused enda esimese taseme põhiomavahendites aruandekuupäeva seisuga. </w:t>
            </w:r>
            <w:r w:rsidRPr="00B94845">
              <w:t>Kohaldatakse määruse (EL) nr 575/2013 artiklis 42 sätestatud erandeid.</w:t>
            </w:r>
          </w:p>
          <w:p w14:paraId="0A078A16"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 xml:space="preserve">Osalusi aktsiates, mis kuuluvad kirje „mitteaktsepteeritavad kapitaliinstrumendid“ </w:t>
            </w:r>
            <w:r w:rsidRPr="00B94845">
              <w:rPr>
                <w:rStyle w:val="FormatvorlageInstructionsTabelleText"/>
                <w:rFonts w:ascii="Times New Roman" w:hAnsi="Times New Roman"/>
                <w:sz w:val="22"/>
              </w:rPr>
              <w:t>alla, ei avalikustata sellel real.</w:t>
            </w:r>
          </w:p>
          <w:p w14:paraId="5E492C1B" w14:textId="77777777" w:rsidR="00BC606C" w:rsidRPr="00B94845" w:rsidRDefault="00B94845">
            <w:pPr>
              <w:pStyle w:val="InstructionsText"/>
            </w:pPr>
            <w:r w:rsidRPr="00B94845">
              <w:rPr>
                <w:rStyle w:val="FormatvorlageInstructionsTabelleText"/>
                <w:rFonts w:ascii="Times New Roman" w:hAnsi="Times New Roman"/>
                <w:sz w:val="22"/>
              </w:rPr>
              <w:t>Avalikustatav summa hõlmab omaaktsiatega seotud ülekurssi.</w:t>
            </w:r>
          </w:p>
        </w:tc>
      </w:tr>
      <w:tr w:rsidR="00BC606C" w:rsidRPr="00B94845" w14:paraId="3DF5DF55" w14:textId="77777777">
        <w:tblPrEx>
          <w:tblLook w:val="00A0" w:firstRow="1" w:lastRow="0" w:firstColumn="1" w:lastColumn="0" w:noHBand="0" w:noVBand="0"/>
        </w:tblPrEx>
        <w:tc>
          <w:tcPr>
            <w:tcW w:w="1129" w:type="dxa"/>
            <w:shd w:val="clear" w:color="auto" w:fill="auto"/>
            <w:vAlign w:val="center"/>
          </w:tcPr>
          <w:p w14:paraId="568C289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14</w:t>
            </w:r>
          </w:p>
        </w:tc>
        <w:tc>
          <w:tcPr>
            <w:tcW w:w="7683" w:type="dxa"/>
            <w:shd w:val="clear" w:color="auto" w:fill="auto"/>
          </w:tcPr>
          <w:p w14:paraId="59FD1FB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Otsesed osalused esimese taseme põhiomavahenditesse kuuluvates instrumentides</w:t>
            </w:r>
          </w:p>
          <w:p w14:paraId="5EB7601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artikli 9 lõike 1 punkt i</w:t>
            </w:r>
          </w:p>
          <w:p w14:paraId="3BED2DD0" w14:textId="77777777" w:rsidR="00BC606C" w:rsidRPr="00B94845" w:rsidRDefault="00B94845">
            <w:pPr>
              <w:pStyle w:val="InstructionsText"/>
              <w:rPr>
                <w:rStyle w:val="FormatvorlageInstructionsTabelleText"/>
                <w:rFonts w:ascii="Times New Roman" w:hAnsi="Times New Roman"/>
                <w:sz w:val="22"/>
              </w:rPr>
            </w:pPr>
            <w:r w:rsidRPr="00B94845">
              <w:t xml:space="preserve">Määruse (EL) </w:t>
            </w:r>
            <w:r w:rsidRPr="00B94845">
              <w:t>nr 575/2013 artikli 36 lõike 1 punkt f ja artikkel 42</w:t>
            </w:r>
          </w:p>
          <w:p w14:paraId="150362E6" w14:textId="77777777" w:rsidR="00BC606C" w:rsidRPr="00B94845" w:rsidRDefault="00B94845">
            <w:pPr>
              <w:pStyle w:val="InstructionsText"/>
            </w:pPr>
            <w:r w:rsidRPr="00B94845">
              <w:rPr>
                <w:rStyle w:val="FormatvorlageInstructionsTabelleText"/>
                <w:rFonts w:ascii="Times New Roman" w:hAnsi="Times New Roman"/>
                <w:sz w:val="22"/>
              </w:rPr>
              <w:t xml:space="preserve">Investeerimisühingu hoitavad esimese taseme põhiomavahenditesse kuuluvad instrumendid. </w:t>
            </w:r>
          </w:p>
        </w:tc>
      </w:tr>
      <w:tr w:rsidR="00BC606C" w:rsidRPr="00B94845" w14:paraId="67853C3D" w14:textId="77777777">
        <w:tblPrEx>
          <w:tblLook w:val="00A0" w:firstRow="1" w:lastRow="0" w:firstColumn="1" w:lastColumn="0" w:noHBand="0" w:noVBand="0"/>
        </w:tblPrEx>
        <w:tc>
          <w:tcPr>
            <w:tcW w:w="1129" w:type="dxa"/>
            <w:shd w:val="clear" w:color="auto" w:fill="auto"/>
            <w:vAlign w:val="center"/>
          </w:tcPr>
          <w:p w14:paraId="1C85883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15</w:t>
            </w:r>
          </w:p>
        </w:tc>
        <w:tc>
          <w:tcPr>
            <w:tcW w:w="7683" w:type="dxa"/>
            <w:shd w:val="clear" w:color="auto" w:fill="auto"/>
          </w:tcPr>
          <w:p w14:paraId="49C657C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Kaudsed osalused esimese taseme põhiomavahenditesse kuuluvates instrumentides</w:t>
            </w:r>
          </w:p>
          <w:p w14:paraId="59224BE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w:t>
            </w:r>
            <w:r w:rsidRPr="00B94845">
              <w:rPr>
                <w:rFonts w:ascii="Times New Roman" w:hAnsi="Times New Roman"/>
                <w:bCs/>
              </w:rPr>
              <w:t>li 9 lõike 1 punkt i</w:t>
            </w:r>
          </w:p>
          <w:p w14:paraId="13C7ACC0" w14:textId="77777777" w:rsidR="00BC606C" w:rsidRPr="00B94845" w:rsidRDefault="00B94845">
            <w:pPr>
              <w:pStyle w:val="InstructionsText"/>
              <w:rPr>
                <w:rStyle w:val="FormatvorlageInstructionsTabelleText"/>
                <w:rFonts w:ascii="Times New Roman" w:hAnsi="Times New Roman"/>
                <w:sz w:val="22"/>
              </w:rPr>
            </w:pPr>
            <w:r w:rsidRPr="00B94845">
              <w:t>Määruse (EL) nr 575/2013 artikli 36 lõike 1 punkt f ja artikkel 42</w:t>
            </w:r>
          </w:p>
          <w:p w14:paraId="6E3AF992" w14:textId="77777777" w:rsidR="00BC606C" w:rsidRPr="00B94845" w:rsidRDefault="00B94845">
            <w:pPr>
              <w:pStyle w:val="InstructionsText"/>
            </w:pPr>
            <w:r w:rsidRPr="00B94845">
              <w:t>Investeerimisühingu hoitavad esimese taseme põhiomavahenditesse kuuluvad instrumendid.</w:t>
            </w:r>
          </w:p>
        </w:tc>
      </w:tr>
      <w:tr w:rsidR="00BC606C" w:rsidRPr="00B94845" w14:paraId="353677A7" w14:textId="77777777">
        <w:tblPrEx>
          <w:tblLook w:val="00A0" w:firstRow="1" w:lastRow="0" w:firstColumn="1" w:lastColumn="0" w:noHBand="0" w:noVBand="0"/>
        </w:tblPrEx>
        <w:tc>
          <w:tcPr>
            <w:tcW w:w="1129" w:type="dxa"/>
            <w:shd w:val="clear" w:color="auto" w:fill="auto"/>
            <w:vAlign w:val="center"/>
          </w:tcPr>
          <w:p w14:paraId="7D64E71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301817F"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Sünteetilised osalused esimese taseme põhiomavahenditesse kuuluvates inst</w:t>
            </w:r>
            <w:r w:rsidRPr="00B94845">
              <w:rPr>
                <w:rFonts w:ascii="Times New Roman" w:hAnsi="Times New Roman"/>
                <w:b/>
                <w:bCs/>
                <w:szCs w:val="22"/>
                <w:u w:val="single"/>
              </w:rPr>
              <w:t>rumentides</w:t>
            </w:r>
          </w:p>
          <w:p w14:paraId="0BD1A49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artikli 9 lõike 1 punkt i</w:t>
            </w:r>
          </w:p>
          <w:p w14:paraId="04A47C0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rPr>
              <w:t>Määruse (EL) nr 575/2013 artikli 4 lõike 1 punkt 114, artikli 36 lõike 1 punkt f ja artikkel 42</w:t>
            </w:r>
          </w:p>
        </w:tc>
      </w:tr>
      <w:tr w:rsidR="00BC606C" w:rsidRPr="00B94845" w14:paraId="71D3984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598FF1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97FACE9"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Jooksva majandusaasta kahjum</w:t>
            </w:r>
          </w:p>
          <w:p w14:paraId="12195B6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rPr>
              <w:t>Määruse (EL) nr 575/2013 artikli 36 lõike 1 punkt a</w:t>
            </w:r>
          </w:p>
        </w:tc>
      </w:tr>
      <w:tr w:rsidR="00BC606C" w:rsidRPr="00B94845" w14:paraId="5F34974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D8638F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144D6D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 </w:t>
            </w:r>
            <w:r w:rsidRPr="00B94845">
              <w:rPr>
                <w:rFonts w:ascii="Times New Roman" w:hAnsi="Times New Roman"/>
                <w:b/>
                <w:bCs/>
                <w:szCs w:val="22"/>
                <w:u w:val="single"/>
              </w:rPr>
              <w:t>Firmaväärtus</w:t>
            </w:r>
          </w:p>
          <w:p w14:paraId="48F1DD6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artikli 9 lõike 1 punkt i</w:t>
            </w:r>
          </w:p>
          <w:p w14:paraId="01C78B3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rPr>
              <w:t>Määruse (EL) nr 575/2013 artikli 4 lõike 1 punkt 113, artikli 36 lõike 1 punkt b ja artikkel 37</w:t>
            </w:r>
          </w:p>
        </w:tc>
      </w:tr>
      <w:tr w:rsidR="00BC606C" w:rsidRPr="00B94845" w14:paraId="4191CA5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F9C072F"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FCC941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Muu immateriaalne vara</w:t>
            </w:r>
          </w:p>
          <w:p w14:paraId="065A975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artikli 9 lõike 1 punkt i</w:t>
            </w:r>
          </w:p>
          <w:p w14:paraId="5C6DB688" w14:textId="77777777" w:rsidR="00BC606C" w:rsidRPr="00B94845" w:rsidRDefault="00B94845">
            <w:pPr>
              <w:pStyle w:val="InstructionsText"/>
              <w:rPr>
                <w:rStyle w:val="FormatvorlageInstructionsTabelleText"/>
                <w:rFonts w:ascii="Times New Roman" w:eastAsiaTheme="minorHAnsi" w:hAnsi="Times New Roman"/>
                <w:bCs/>
                <w:sz w:val="22"/>
              </w:rPr>
            </w:pPr>
            <w:r w:rsidRPr="00B94845">
              <w:t>Määruse (EL) nr 57</w:t>
            </w:r>
            <w:r w:rsidRPr="00B94845">
              <w:t>5/2013 artikli 4 lõike 1 punkt 115, artikli 36 lõike 1 punkt b ja artikli 37 punkt a</w:t>
            </w:r>
          </w:p>
          <w:p w14:paraId="780060E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Muu immateriaalne vara hõlmab kohaldatava raamatupidamistava alusel kajastatavat immateriaalset vara, millest on maha arvatud firmaväärtus vastavalt kohaldatavale raamatup</w:t>
            </w:r>
            <w:r w:rsidRPr="00B94845">
              <w:rPr>
                <w:rStyle w:val="FormatvorlageInstructionsTabelleText"/>
                <w:rFonts w:ascii="Times New Roman" w:hAnsi="Times New Roman"/>
                <w:sz w:val="22"/>
                <w:szCs w:val="22"/>
              </w:rPr>
              <w:t>idamistavale.</w:t>
            </w:r>
          </w:p>
        </w:tc>
      </w:tr>
      <w:tr w:rsidR="00BC606C" w:rsidRPr="00B94845" w14:paraId="485E7F2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10D533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73D268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Tulevasel kasumlikkusel põhinev edasilükkunud tulumaksu vara, mis ei tulene ajutistest erinevustest, pärast seotud tulumaksu kohustuste mahaarvamist</w:t>
            </w:r>
          </w:p>
          <w:p w14:paraId="0FFB53C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artikli 9 lõike 2 punkt a</w:t>
            </w:r>
          </w:p>
          <w:p w14:paraId="37C980C9"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rPr>
              <w:t xml:space="preserve">Määruse (EL) nr 575/2013 artikli 36 </w:t>
            </w:r>
            <w:r w:rsidRPr="00B94845">
              <w:rPr>
                <w:rFonts w:ascii="Times New Roman" w:hAnsi="Times New Roman"/>
                <w:bCs/>
              </w:rPr>
              <w:t>lõike 1 punkt c</w:t>
            </w:r>
          </w:p>
        </w:tc>
      </w:tr>
      <w:tr w:rsidR="00BC606C" w:rsidRPr="00B94845" w14:paraId="0E5F092D"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C40D6B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E7A9C6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Väljaspool finantssektorit olev oluline osalus, mis ületab 15 % omavahenditest</w:t>
            </w:r>
          </w:p>
          <w:p w14:paraId="10CFC90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artikli 10 lõike 1 punkt a</w:t>
            </w:r>
          </w:p>
        </w:tc>
      </w:tr>
      <w:tr w:rsidR="00BC606C" w:rsidRPr="00B94845" w14:paraId="16D1D08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EEFC6B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7FA6F2E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 Finantssektorivälistes ettevõtjates olevate oluliste osaluste kogusumma, mis ületab 60 % </w:t>
            </w:r>
            <w:r w:rsidRPr="00B94845">
              <w:rPr>
                <w:rFonts w:ascii="Times New Roman" w:hAnsi="Times New Roman"/>
                <w:b/>
                <w:bCs/>
                <w:szCs w:val="22"/>
                <w:u w:val="single"/>
              </w:rPr>
              <w:t>omavahenditest</w:t>
            </w:r>
          </w:p>
          <w:p w14:paraId="42C1908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rPr>
              <w:t xml:space="preserve">Määruse (EL) </w:t>
            </w:r>
            <w:r w:rsidRPr="00B94845">
              <w:rPr>
                <w:rFonts w:ascii="Times New Roman" w:hAnsi="Times New Roman"/>
                <w:bCs/>
              </w:rPr>
              <w:t>2019/2033</w:t>
            </w:r>
            <w:r w:rsidRPr="00B94845">
              <w:rPr>
                <w:rFonts w:ascii="Times New Roman" w:hAnsi="Times New Roman"/>
                <w:bCs/>
              </w:rPr>
              <w:t xml:space="preserve"> artikli 10 lõike 1 punkt b</w:t>
            </w:r>
          </w:p>
        </w:tc>
      </w:tr>
      <w:tr w:rsidR="00BC606C" w:rsidRPr="00B94845" w14:paraId="7CE7D77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A3983D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B839CCE"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Selliste finantssektori ettevõtjate esimese taseme põhiomavahenditesse kuuluvad instrumendid, kus investeerimisühingul ei ole olulist investeeringut</w:t>
            </w:r>
          </w:p>
          <w:p w14:paraId="6323728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w:t>
            </w:r>
            <w:r w:rsidRPr="00B94845">
              <w:rPr>
                <w:rFonts w:ascii="Times New Roman" w:hAnsi="Times New Roman"/>
                <w:bCs/>
                <w:szCs w:val="22"/>
              </w:rPr>
              <w:t>õike 2 punkt c</w:t>
            </w:r>
          </w:p>
          <w:p w14:paraId="61EDDA9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36 lõike 1 punkt h</w:t>
            </w:r>
          </w:p>
        </w:tc>
      </w:tr>
      <w:tr w:rsidR="00BC606C" w:rsidRPr="00B94845" w14:paraId="3509199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542507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C16BE4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Selliste finantssektori ettevõtjate esimese taseme põhiomavahenditesse kuuluvad instrumendid, kus investeerimisühingul on oluline investeering</w:t>
            </w:r>
          </w:p>
          <w:p w14:paraId="4F8E6EB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d</w:t>
            </w:r>
          </w:p>
          <w:p w14:paraId="263AB39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36 lõike 1 punkt i</w:t>
            </w:r>
          </w:p>
        </w:tc>
      </w:tr>
      <w:tr w:rsidR="00BC606C" w:rsidRPr="00B94845" w14:paraId="502A822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926F53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6993C0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Kindlaksmääratud hüvitisega pensionifondi varad</w:t>
            </w:r>
          </w:p>
          <w:p w14:paraId="5F9FDF1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b</w:t>
            </w:r>
          </w:p>
          <w:p w14:paraId="133E17F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36 lõike 1 punkt e</w:t>
            </w:r>
          </w:p>
        </w:tc>
      </w:tr>
      <w:tr w:rsidR="00BC606C" w:rsidRPr="00B94845" w14:paraId="07C96040" w14:textId="77777777">
        <w:tblPrEx>
          <w:tblLook w:val="00A0" w:firstRow="1" w:lastRow="0" w:firstColumn="1" w:lastColumn="0" w:noHBand="0" w:noVBand="0"/>
        </w:tblPrEx>
        <w:tc>
          <w:tcPr>
            <w:tcW w:w="1129" w:type="dxa"/>
            <w:vAlign w:val="center"/>
          </w:tcPr>
          <w:p w14:paraId="09CFCBB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03C6F22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Muud mahaarv</w:t>
            </w:r>
            <w:r w:rsidRPr="00B94845">
              <w:rPr>
                <w:rFonts w:ascii="Times New Roman" w:hAnsi="Times New Roman"/>
                <w:b/>
                <w:bCs/>
                <w:szCs w:val="22"/>
                <w:u w:val="single"/>
              </w:rPr>
              <w:t>amised</w:t>
            </w:r>
          </w:p>
          <w:p w14:paraId="02440D9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36 lõikes 1 loetletud muude mahaarvamiste summa.</w:t>
            </w:r>
          </w:p>
        </w:tc>
      </w:tr>
      <w:tr w:rsidR="00BC606C" w:rsidRPr="00B94845" w14:paraId="01502EE8" w14:textId="77777777">
        <w:tblPrEx>
          <w:tblLook w:val="00A0" w:firstRow="1" w:lastRow="0" w:firstColumn="1" w:lastColumn="0" w:noHBand="0" w:noVBand="0"/>
        </w:tblPrEx>
        <w:tc>
          <w:tcPr>
            <w:tcW w:w="1129" w:type="dxa"/>
            <w:vAlign w:val="center"/>
          </w:tcPr>
          <w:p w14:paraId="537E324C"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B5C5D2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Esimese taseme põhiomavahendid: muud kapitalielemendid, mahaarvamised ja korrigeerimised</w:t>
            </w:r>
          </w:p>
          <w:p w14:paraId="116F4E2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See rida sisaldab asjakohasel juhul järgmiste kirjete summat:</w:t>
            </w:r>
          </w:p>
          <w:p w14:paraId="761620F5"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üleminekusätetest tulenev korrigeerimine seoses varasemalt kehtinud nõuete ajutise kohaldamisega esimese taseme põhiomavahenditesse kuuluvate instrumentide suhtes (määruse (EL) nr 575/2013 artikli 483 lõiked 1, 2 ja 3 ning artiklid 484–487);</w:t>
            </w:r>
          </w:p>
          <w:p w14:paraId="49FB3B55"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üleminekusät</w:t>
            </w:r>
            <w:r w:rsidRPr="00B94845">
              <w:rPr>
                <w:rFonts w:ascii="Times New Roman" w:hAnsi="Times New Roman"/>
                <w:bCs/>
              </w:rPr>
              <w:t>etest tulenev korrigeerimine seoses täiendavate vähemusosalustega (määruse (EL) nr 575/2013 artiklid 479 ja 480);</w:t>
            </w:r>
          </w:p>
          <w:p w14:paraId="46200E1C"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üleminekusätetest tulenevad esimese taseme põhiomavahendite korrigeerimised (määruse (EL) nr 575/2013 artiklid 469–478 ja 481): ülemine</w:t>
            </w:r>
            <w:r w:rsidRPr="00B94845">
              <w:rPr>
                <w:rFonts w:ascii="Times New Roman" w:hAnsi="Times New Roman"/>
                <w:bCs/>
              </w:rPr>
              <w:t>kusätetest tulenevate esimese taseme põhiomavahenditest tehtavate mahaarvamiste korrigeerimine;</w:t>
            </w:r>
          </w:p>
          <w:p w14:paraId="56CA2708" w14:textId="77777777" w:rsidR="00BC606C" w:rsidRPr="00B94845" w:rsidRDefault="00B94845">
            <w:pPr>
              <w:spacing w:after="120"/>
              <w:ind w:left="360" w:hanging="360"/>
              <w:contextualSpacing/>
              <w:jc w:val="both"/>
              <w:rPr>
                <w:rFonts w:ascii="Times New Roman" w:eastAsia="Times New Roman" w:hAnsi="Times New Roman"/>
                <w:b/>
                <w:bCs/>
                <w:u w:val="single"/>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esimese taseme põhiomavahendite elemendid või mahaarvamised esimese taseme põhiomavahendite elemendist, mida ei saa määrata ühele ridadest 4–26.</w:t>
            </w:r>
          </w:p>
          <w:p w14:paraId="24483619"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Seda rid</w:t>
            </w:r>
            <w:r w:rsidRPr="00B94845">
              <w:rPr>
                <w:rFonts w:ascii="Times New Roman" w:hAnsi="Times New Roman"/>
                <w:bCs/>
                <w:szCs w:val="22"/>
              </w:rPr>
              <w:t xml:space="preserve">a ei tohi kasutada selleks, et kaasata maksevõime suhtarvude arvutusse kapitalikirjeid või mahaarvamisi, mis ei ole hõlmatud määrusega (EL) </w:t>
            </w:r>
            <w:r w:rsidRPr="00B94845">
              <w:rPr>
                <w:rFonts w:ascii="Times New Roman" w:hAnsi="Times New Roman"/>
                <w:bCs/>
                <w:szCs w:val="22"/>
              </w:rPr>
              <w:t>2019/2033</w:t>
            </w:r>
            <w:r w:rsidRPr="00B94845">
              <w:rPr>
                <w:rFonts w:ascii="Times New Roman" w:hAnsi="Times New Roman"/>
                <w:bCs/>
                <w:szCs w:val="22"/>
              </w:rPr>
              <w:t xml:space="preserve"> või määrusega (EL) nr 575/2013.</w:t>
            </w:r>
          </w:p>
        </w:tc>
      </w:tr>
      <w:tr w:rsidR="00BC606C" w:rsidRPr="00B94845" w14:paraId="1C25D3BC" w14:textId="77777777">
        <w:tblPrEx>
          <w:tblLook w:val="00A0" w:firstRow="1" w:lastRow="0" w:firstColumn="1" w:lastColumn="0" w:noHBand="0" w:noVBand="0"/>
        </w:tblPrEx>
        <w:tc>
          <w:tcPr>
            <w:tcW w:w="1129" w:type="dxa"/>
            <w:vAlign w:val="center"/>
          </w:tcPr>
          <w:p w14:paraId="7C243B3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501A5E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TÄIENDAVAD ESIMESE TASEME OMAVAHENDID</w:t>
            </w:r>
          </w:p>
          <w:p w14:paraId="7B45340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w:t>
            </w:r>
          </w:p>
          <w:p w14:paraId="28EAC0F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Määruse (EL) nr 575/2013 artikkel 61</w:t>
            </w:r>
          </w:p>
          <w:p w14:paraId="50F9D9D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Avalikustatakse ridade 29–31 ja 39 kogusumma.</w:t>
            </w:r>
          </w:p>
        </w:tc>
      </w:tr>
      <w:tr w:rsidR="00BC606C" w:rsidRPr="00B94845" w14:paraId="6FFE7AB4" w14:textId="77777777">
        <w:tblPrEx>
          <w:tblLook w:val="00A0" w:firstRow="1" w:lastRow="0" w:firstColumn="1" w:lastColumn="0" w:noHBand="0" w:noVBand="0"/>
        </w:tblPrEx>
        <w:tc>
          <w:tcPr>
            <w:tcW w:w="1129" w:type="dxa"/>
            <w:vAlign w:val="center"/>
          </w:tcPr>
          <w:p w14:paraId="72389E9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129427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
                <w:bCs/>
                <w:szCs w:val="22"/>
                <w:u w:val="single"/>
              </w:rPr>
              <w:t>Täielikult sissemakstud otseemiteeritud kapitaliinstrumendid</w:t>
            </w:r>
          </w:p>
          <w:p w14:paraId="26E8159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30902DF3" w14:textId="77777777" w:rsidR="00BC606C" w:rsidRPr="00B94845" w:rsidRDefault="00B94845">
            <w:pPr>
              <w:pStyle w:val="InstructionsText"/>
              <w:rPr>
                <w:rStyle w:val="FormatvorlageInstructionsTabelleText"/>
                <w:rFonts w:ascii="Times New Roman" w:hAnsi="Times New Roman"/>
                <w:sz w:val="22"/>
              </w:rPr>
            </w:pPr>
            <w:r w:rsidRPr="00B94845">
              <w:t>Määruse (EL) nr 575/2013 artikli 51 punk</w:t>
            </w:r>
            <w:r w:rsidRPr="00B94845">
              <w:t>t a ning artiklid 52, 53 ja 54</w:t>
            </w:r>
          </w:p>
          <w:p w14:paraId="263F933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Avalikustatav summa ei hõlma instrumentidega seotud ülekurssi.</w:t>
            </w:r>
          </w:p>
        </w:tc>
      </w:tr>
      <w:tr w:rsidR="00BC606C" w:rsidRPr="00B94845" w14:paraId="3A905871" w14:textId="77777777">
        <w:tblPrEx>
          <w:tblLook w:val="00A0" w:firstRow="1" w:lastRow="0" w:firstColumn="1" w:lastColumn="0" w:noHBand="0" w:noVBand="0"/>
        </w:tblPrEx>
        <w:tc>
          <w:tcPr>
            <w:tcW w:w="1129" w:type="dxa"/>
            <w:vAlign w:val="center"/>
          </w:tcPr>
          <w:p w14:paraId="10B640EB"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3AE53A6F"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Ülekurss</w:t>
            </w:r>
          </w:p>
          <w:p w14:paraId="06FF7D9C"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12826F84" w14:textId="77777777" w:rsidR="00BC606C" w:rsidRPr="00B94845" w:rsidRDefault="00B94845">
            <w:pPr>
              <w:pStyle w:val="InstructionsText"/>
              <w:rPr>
                <w:rStyle w:val="FormatvorlageInstructionsTabelleText"/>
                <w:rFonts w:ascii="Times New Roman" w:hAnsi="Times New Roman"/>
                <w:sz w:val="22"/>
              </w:rPr>
            </w:pPr>
            <w:r w:rsidRPr="00B94845">
              <w:t>Määruse (EL) nr 575/2013 artikli 51 punkt b</w:t>
            </w:r>
          </w:p>
          <w:p w14:paraId="30FCC404"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 xml:space="preserve">Ülekurss on määratletud kohaldatavas </w:t>
            </w:r>
            <w:r w:rsidRPr="00B94845">
              <w:rPr>
                <w:rStyle w:val="FormatvorlageInstructionsTabelleText"/>
                <w:rFonts w:ascii="Times New Roman" w:hAnsi="Times New Roman"/>
                <w:sz w:val="22"/>
              </w:rPr>
              <w:t>raamatupidamistavas.</w:t>
            </w:r>
          </w:p>
          <w:p w14:paraId="6BF8959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Selle kirje puhul avalikustatav summa on kirjega „Sissemakstud kapitaliinstrumendid“ seotud osa.</w:t>
            </w:r>
          </w:p>
        </w:tc>
      </w:tr>
      <w:tr w:rsidR="00BC606C" w:rsidRPr="00B94845" w14:paraId="031FD8DC" w14:textId="77777777">
        <w:tblPrEx>
          <w:tblLook w:val="00A0" w:firstRow="1" w:lastRow="0" w:firstColumn="1" w:lastColumn="0" w:noHBand="0" w:noVBand="0"/>
        </w:tblPrEx>
        <w:tc>
          <w:tcPr>
            <w:tcW w:w="1129" w:type="dxa"/>
            <w:tcBorders>
              <w:bottom w:val="single" w:sz="4" w:space="0" w:color="auto"/>
            </w:tcBorders>
            <w:vAlign w:val="center"/>
          </w:tcPr>
          <w:p w14:paraId="4E9DA7B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1137E7F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TÄIENDAVATEST ESIMESE TASEME OMAVAHENDITEST TEHTUD MAHAARVAMISED KOKKU</w:t>
            </w:r>
          </w:p>
          <w:p w14:paraId="28CA58A1" w14:textId="77777777" w:rsidR="00BC606C" w:rsidRPr="00B94845" w:rsidRDefault="00B94845">
            <w:pPr>
              <w:spacing w:before="60" w:after="60"/>
              <w:rPr>
                <w:rFonts w:ascii="Times New Roman" w:hAnsi="Times New Roman" w:cs="Times New Roman"/>
                <w:szCs w:val="22"/>
              </w:rPr>
            </w:pPr>
            <w:r w:rsidRPr="00B94845">
              <w:rPr>
                <w:rFonts w:ascii="Times New Roman" w:hAnsi="Times New Roman"/>
                <w:szCs w:val="22"/>
              </w:rPr>
              <w:t>Määruse (EL) nr 575/2013 artikkel 56</w:t>
            </w:r>
          </w:p>
          <w:p w14:paraId="75B6DBEC"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Avalikustatakse ridade</w:t>
            </w:r>
            <w:r w:rsidRPr="00B94845">
              <w:rPr>
                <w:rFonts w:ascii="Times New Roman" w:hAnsi="Times New Roman"/>
                <w:bCs/>
                <w:szCs w:val="22"/>
              </w:rPr>
              <w:t xml:space="preserve"> 32 ja 36–38 kogusumma.</w:t>
            </w:r>
          </w:p>
        </w:tc>
      </w:tr>
      <w:tr w:rsidR="00BC606C" w:rsidRPr="00B94845" w14:paraId="3DDB838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7CF279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12ECA7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Enda täiendavatesse esimese taseme omavahenditesse kuuluvad instrumendid</w:t>
            </w:r>
          </w:p>
          <w:p w14:paraId="5B1AE6E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3219801E" w14:textId="77777777" w:rsidR="00BC606C" w:rsidRPr="00B94845" w:rsidRDefault="00B94845">
            <w:pPr>
              <w:pStyle w:val="InstructionsText"/>
              <w:rPr>
                <w:rStyle w:val="FormatvorlageInstructionsTabelleText"/>
                <w:rFonts w:ascii="Times New Roman" w:eastAsiaTheme="minorHAnsi" w:hAnsi="Times New Roman"/>
                <w:bCs/>
                <w:sz w:val="22"/>
              </w:rPr>
            </w:pPr>
            <w:r w:rsidRPr="00B94845">
              <w:t>Määruse (EL) nr 575/2013 artikli 52 lõike 1 punkt b, artikli 56 punkt a ja artikkel 57</w:t>
            </w:r>
          </w:p>
          <w:p w14:paraId="1754C1F6"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Investeerimisühingu osalused enda täiendavatesse esimese taseme omavahenditesse kuuluvates instrumentides aruandekuupäeva seisuga. Kohaldatakse määruse (EL) nr 575/2013 artiklis 57 sätestatud erandeid.</w:t>
            </w:r>
          </w:p>
          <w:p w14:paraId="29A1C3A6" w14:textId="77777777" w:rsidR="00BC606C" w:rsidRPr="00B94845" w:rsidRDefault="00B94845">
            <w:pPr>
              <w:pStyle w:val="InstructionsText"/>
            </w:pPr>
            <w:r w:rsidRPr="00B94845">
              <w:rPr>
                <w:rStyle w:val="FormatvorlageInstructionsTabelleText"/>
                <w:rFonts w:ascii="Times New Roman" w:hAnsi="Times New Roman"/>
                <w:sz w:val="22"/>
              </w:rPr>
              <w:t>Avalikustatav summa hõlmab omaaktsiatega seotud ülekur</w:t>
            </w:r>
            <w:r w:rsidRPr="00B94845">
              <w:rPr>
                <w:rStyle w:val="FormatvorlageInstructionsTabelleText"/>
                <w:rFonts w:ascii="Times New Roman" w:hAnsi="Times New Roman"/>
                <w:sz w:val="22"/>
              </w:rPr>
              <w:t>ssi.</w:t>
            </w:r>
          </w:p>
        </w:tc>
      </w:tr>
      <w:tr w:rsidR="00BC606C" w:rsidRPr="00B94845" w14:paraId="73AAEF49" w14:textId="77777777">
        <w:tblPrEx>
          <w:tblLook w:val="00A0" w:firstRow="1" w:lastRow="0" w:firstColumn="1" w:lastColumn="0" w:noHBand="0" w:noVBand="0"/>
        </w:tblPrEx>
        <w:tc>
          <w:tcPr>
            <w:tcW w:w="1129" w:type="dxa"/>
            <w:shd w:val="clear" w:color="auto" w:fill="auto"/>
            <w:vAlign w:val="center"/>
          </w:tcPr>
          <w:p w14:paraId="2950E1A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1EED8BD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Otsesed osalused täiendavatesse esimese taseme omavahenditesse kuuluvates instrumentides</w:t>
            </w:r>
          </w:p>
          <w:p w14:paraId="1A19F46C"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c</w:t>
            </w:r>
          </w:p>
          <w:p w14:paraId="70C293BF"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56 punkt a</w:t>
            </w:r>
          </w:p>
        </w:tc>
      </w:tr>
      <w:tr w:rsidR="00BC606C" w:rsidRPr="00B94845" w14:paraId="5A8164FD" w14:textId="77777777">
        <w:tblPrEx>
          <w:tblLook w:val="00A0" w:firstRow="1" w:lastRow="0" w:firstColumn="1" w:lastColumn="0" w:noHBand="0" w:noVBand="0"/>
        </w:tblPrEx>
        <w:tc>
          <w:tcPr>
            <w:tcW w:w="1129" w:type="dxa"/>
            <w:shd w:val="clear" w:color="auto" w:fill="auto"/>
            <w:vAlign w:val="center"/>
          </w:tcPr>
          <w:p w14:paraId="7FAAA8B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5118908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 Kaudsed osalused täiendavatesse esimese taseme </w:t>
            </w:r>
            <w:r w:rsidRPr="00B94845">
              <w:rPr>
                <w:rFonts w:ascii="Times New Roman" w:hAnsi="Times New Roman"/>
                <w:b/>
                <w:bCs/>
                <w:szCs w:val="22"/>
                <w:u w:val="single"/>
              </w:rPr>
              <w:t>omavahenditesse kuuluvates instrumentides</w:t>
            </w:r>
          </w:p>
          <w:p w14:paraId="366CC56F"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c</w:t>
            </w:r>
          </w:p>
          <w:p w14:paraId="05DF16F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56 punkt a</w:t>
            </w:r>
          </w:p>
        </w:tc>
      </w:tr>
      <w:tr w:rsidR="00BC606C" w:rsidRPr="00B94845" w14:paraId="43BDC595" w14:textId="77777777">
        <w:tblPrEx>
          <w:tblLook w:val="00A0" w:firstRow="1" w:lastRow="0" w:firstColumn="1" w:lastColumn="0" w:noHBand="0" w:noVBand="0"/>
        </w:tblPrEx>
        <w:tc>
          <w:tcPr>
            <w:tcW w:w="1129" w:type="dxa"/>
            <w:shd w:val="clear" w:color="auto" w:fill="auto"/>
            <w:vAlign w:val="center"/>
          </w:tcPr>
          <w:p w14:paraId="310C148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377C57F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Sünteetilised osalused täiendavatesse esimese taseme omavahenditesse kuuluvates instrumentides</w:t>
            </w:r>
          </w:p>
          <w:p w14:paraId="38482953"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w:t>
            </w:r>
            <w:r w:rsidRPr="00B94845">
              <w:rPr>
                <w:rFonts w:ascii="Times New Roman" w:hAnsi="Times New Roman"/>
                <w:bCs/>
                <w:szCs w:val="22"/>
              </w:rPr>
              <w:t>2033</w:t>
            </w:r>
            <w:r w:rsidRPr="00B94845">
              <w:rPr>
                <w:rFonts w:ascii="Times New Roman" w:hAnsi="Times New Roman"/>
                <w:bCs/>
                <w:szCs w:val="22"/>
              </w:rPr>
              <w:t xml:space="preserve"> artikli 9 lõike 2 punkt c</w:t>
            </w:r>
          </w:p>
          <w:p w14:paraId="436639A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56 punkt a</w:t>
            </w:r>
          </w:p>
        </w:tc>
      </w:tr>
      <w:tr w:rsidR="00BC606C" w:rsidRPr="00B94845" w14:paraId="5E7774DA" w14:textId="77777777">
        <w:tblPrEx>
          <w:tblLook w:val="00A0" w:firstRow="1" w:lastRow="0" w:firstColumn="1" w:lastColumn="0" w:noHBand="0" w:noVBand="0"/>
        </w:tblPrEx>
        <w:tc>
          <w:tcPr>
            <w:tcW w:w="1129" w:type="dxa"/>
            <w:shd w:val="clear" w:color="auto" w:fill="auto"/>
            <w:vAlign w:val="center"/>
          </w:tcPr>
          <w:p w14:paraId="6251B4C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7391135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Selliste finantssektori ettevõtjate täiendavatesse esimese taseme omavahenditesse kuuluvad instrumendid, kus investeerimisühingul ei ole olulist investeeringut</w:t>
            </w:r>
          </w:p>
          <w:p w14:paraId="1FA0547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c</w:t>
            </w:r>
          </w:p>
          <w:p w14:paraId="64D51AF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56 punkt c</w:t>
            </w:r>
          </w:p>
        </w:tc>
      </w:tr>
      <w:tr w:rsidR="00BC606C" w:rsidRPr="00B94845" w14:paraId="4E63F345" w14:textId="77777777">
        <w:tblPrEx>
          <w:tblLook w:val="00A0" w:firstRow="1" w:lastRow="0" w:firstColumn="1" w:lastColumn="0" w:noHBand="0" w:noVBand="0"/>
        </w:tblPrEx>
        <w:tc>
          <w:tcPr>
            <w:tcW w:w="1129" w:type="dxa"/>
            <w:shd w:val="clear" w:color="auto" w:fill="auto"/>
            <w:vAlign w:val="center"/>
          </w:tcPr>
          <w:p w14:paraId="27CABF3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281669A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Selliste finantssektori ettevõtjate täiendavatesse esimese taseme omavahenditesse kuuluvad instrumendid, kus investeerimisühingul on oluline investeering</w:t>
            </w:r>
          </w:p>
          <w:p w14:paraId="7EE05993"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c</w:t>
            </w:r>
          </w:p>
          <w:p w14:paraId="7FD94CC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56 punkt d</w:t>
            </w:r>
          </w:p>
        </w:tc>
      </w:tr>
      <w:tr w:rsidR="00BC606C" w:rsidRPr="00B94845" w14:paraId="7CFB6F2F" w14:textId="77777777">
        <w:tblPrEx>
          <w:tblLook w:val="00A0" w:firstRow="1" w:lastRow="0" w:firstColumn="1" w:lastColumn="0" w:noHBand="0" w:noVBand="0"/>
        </w:tblPrEx>
        <w:tc>
          <w:tcPr>
            <w:tcW w:w="1129" w:type="dxa"/>
            <w:shd w:val="clear" w:color="auto" w:fill="auto"/>
            <w:vAlign w:val="center"/>
          </w:tcPr>
          <w:p w14:paraId="6B786AB7"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05A2E7B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Muud mahaarvamised</w:t>
            </w:r>
          </w:p>
          <w:p w14:paraId="55A02D6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Kõigi muude selliste mahaarvamiste summa vastavalt määruse (EL) nr 575/2013 artiklile 56, mida ei ole ühelgi eespool esitatud real </w:t>
            </w:r>
            <w:r w:rsidRPr="00B94845">
              <w:rPr>
                <w:rFonts w:ascii="Times New Roman" w:hAnsi="Times New Roman"/>
                <w:bCs/>
                <w:szCs w:val="22"/>
              </w:rPr>
              <w:t>arvesse võetud.</w:t>
            </w:r>
          </w:p>
        </w:tc>
      </w:tr>
      <w:tr w:rsidR="00BC606C" w:rsidRPr="00B94845" w14:paraId="647E5C18" w14:textId="77777777">
        <w:tblPrEx>
          <w:tblLook w:val="00A0" w:firstRow="1" w:lastRow="0" w:firstColumn="1" w:lastColumn="0" w:noHBand="0" w:noVBand="0"/>
        </w:tblPrEx>
        <w:tc>
          <w:tcPr>
            <w:tcW w:w="1129" w:type="dxa"/>
            <w:shd w:val="clear" w:color="auto" w:fill="auto"/>
            <w:vAlign w:val="center"/>
          </w:tcPr>
          <w:p w14:paraId="54E54DF1"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BEBF7B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Täiendavad esimese taseme omavahendid: muud kapitalielemendid, mahaarvamised ja korrigeerimised</w:t>
            </w:r>
          </w:p>
          <w:p w14:paraId="268BB15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See rida sisaldab asjakohasel juhul järgmiste kirjete summat:</w:t>
            </w:r>
          </w:p>
          <w:p w14:paraId="581EA8AC"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üleminekusätetest tulenev korrigeerimine seoses varasemalt kehtinud nõuete a</w:t>
            </w:r>
            <w:r w:rsidRPr="00B94845">
              <w:rPr>
                <w:rFonts w:ascii="Times New Roman" w:hAnsi="Times New Roman"/>
                <w:bCs/>
              </w:rPr>
              <w:t>jutise kohaldamisega täiendavatesse esimese taseme omavahenditesse kuuluvate instrumentide suhtes (määruse (EL) nr 575/2013 artikli 483 lõiked 4 ja 5, artiklid 484–487 ning artiklid 489 ja 491);</w:t>
            </w:r>
          </w:p>
          <w:p w14:paraId="2B39C16D"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tütarettevõtjate emiteeritud instrumendid, mis </w:t>
            </w:r>
            <w:r w:rsidRPr="00B94845">
              <w:rPr>
                <w:rFonts w:ascii="Times New Roman" w:hAnsi="Times New Roman"/>
                <w:bCs/>
              </w:rPr>
              <w:t>arvatakse täiendavate esimese taseme omavahendite hulka (määruse (EL) nr 575/2013 artiklid 83, 85 ja 86): tütarettevõtjate kõigi kvalifitseeruvate esimese taseme omavahendite summa, mis arvatakse konsolideeritud täiendavate esimese taseme omavahendite hulk</w:t>
            </w:r>
            <w:r w:rsidRPr="00B94845">
              <w:rPr>
                <w:rFonts w:ascii="Times New Roman" w:hAnsi="Times New Roman"/>
                <w:bCs/>
              </w:rPr>
              <w:t>a, sealhulgas eriotstarbelise ettevõtja emiteeritud omavahendid (määruse (EL) nr 575/2013 artikkel 83);</w:t>
            </w:r>
          </w:p>
          <w:p w14:paraId="61BE3E80"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üleminekusätetest tulenev korrigeerimine seoses tütarettevõtjate emiteeritud instrumentide täiendava kajastamisega täiendavates esimese taseme omavahe</w:t>
            </w:r>
            <w:r w:rsidRPr="00B94845">
              <w:rPr>
                <w:rFonts w:ascii="Times New Roman" w:hAnsi="Times New Roman"/>
                <w:bCs/>
              </w:rPr>
              <w:t>ndites (määruse (EL) nr 575/2013 artikkel 480): üleminekusätetest tulenev korrigeerimine seoses kvalifitseeruvate esimese taseme omavahenditega, mis arvatakse konsolideeritud täiendavate esimese taseme omavahendite hulka;</w:t>
            </w:r>
          </w:p>
          <w:p w14:paraId="5A708E6A"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üleminekusätetest tulenevad</w:t>
            </w:r>
            <w:r w:rsidRPr="00B94845">
              <w:rPr>
                <w:rFonts w:ascii="Times New Roman" w:hAnsi="Times New Roman"/>
                <w:bCs/>
              </w:rPr>
              <w:t xml:space="preserve"> täiendavate esimese taseme omavahendite korrigeerimised (määruse (EL) nr 575/2013 artiklid 472, 473a, 474, 475, 478 ja 481): üleminekusätetest tulenev mahaarvamiste korrigeerimine;</w:t>
            </w:r>
          </w:p>
          <w:p w14:paraId="2B145126"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täiendavate esimese taseme omavahendite kirjetest tehtavate mahaarvamist</w:t>
            </w:r>
            <w:r w:rsidRPr="00B94845">
              <w:rPr>
                <w:rFonts w:ascii="Times New Roman" w:hAnsi="Times New Roman"/>
                <w:bCs/>
              </w:rPr>
              <w:t>e summa, mis ületab täiendavaid esimese taseme omavahendeid ja mis arvatakse maha esimese taseme põhiomavahenditest vastavalt määruse (EL) nr 575/2013 artikli 36 lõike 1 punktile j. Täiendavad esimese taseme omavahendid ei saa olla negatiivsed, kuid on või</w:t>
            </w:r>
            <w:r w:rsidRPr="00B94845">
              <w:rPr>
                <w:rFonts w:ascii="Times New Roman" w:hAnsi="Times New Roman"/>
                <w:bCs/>
              </w:rPr>
              <w:t xml:space="preserve">malik, et mahaarvamised täiendavate esimese taseme omavahendite kirjetest ületavad olemasolevate täiendavate esimese taseme omavahendite kirjete summat. Sellisel juhul kajastab see kirje summat, mida on vaja real 28 kajastatud summa suurendamiseks nullini </w:t>
            </w:r>
            <w:r w:rsidRPr="00B94845">
              <w:rPr>
                <w:rFonts w:ascii="Times New Roman" w:hAnsi="Times New Roman"/>
                <w:bCs/>
              </w:rPr>
              <w:t>ning mis võrdub muude mahaarvamiste kõrval real 38 kajastatud täiendavatest esimese taseme omavahenditest tehtavate mahaarvamiste sellise summa pöördväärtusega, mis ületab täiendavaid esimese taseme omavahendeid.</w:t>
            </w:r>
          </w:p>
          <w:p w14:paraId="4579F413"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täiendavate esimese taseme omavahend</w:t>
            </w:r>
            <w:r w:rsidRPr="00B94845">
              <w:rPr>
                <w:rFonts w:ascii="Times New Roman" w:hAnsi="Times New Roman"/>
                <w:bCs/>
              </w:rPr>
              <w:t>ite elemendid või mahaarvamised täiendavate esimese taseme omavahendite elemendist, mida ei saa määrata ühele ridadest 29–38.</w:t>
            </w:r>
          </w:p>
          <w:p w14:paraId="72954B8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Seda rida ei tohi kasutada selleks, et kaasata maksevõime suhtarvude arvutusse kapitalikirjeid või mahaarvamisi, mis ei ole hõlmat</w:t>
            </w:r>
            <w:r w:rsidRPr="00B94845">
              <w:rPr>
                <w:rFonts w:ascii="Times New Roman" w:hAnsi="Times New Roman"/>
                <w:bCs/>
                <w:szCs w:val="22"/>
              </w:rPr>
              <w:t xml:space="preserve">ud määrusega (EL) </w:t>
            </w:r>
            <w:r w:rsidRPr="00B94845">
              <w:rPr>
                <w:rFonts w:ascii="Times New Roman" w:hAnsi="Times New Roman"/>
                <w:bCs/>
                <w:szCs w:val="22"/>
              </w:rPr>
              <w:t>2019/2033</w:t>
            </w:r>
            <w:r w:rsidRPr="00B94845">
              <w:rPr>
                <w:rFonts w:ascii="Times New Roman" w:hAnsi="Times New Roman"/>
                <w:bCs/>
                <w:szCs w:val="22"/>
              </w:rPr>
              <w:t xml:space="preserve"> või määrusega (EL) nr 575/2013.</w:t>
            </w:r>
          </w:p>
        </w:tc>
      </w:tr>
      <w:tr w:rsidR="00BC606C" w:rsidRPr="00B94845" w14:paraId="27C59A87" w14:textId="77777777">
        <w:tblPrEx>
          <w:tblLook w:val="00A0" w:firstRow="1" w:lastRow="0" w:firstColumn="1" w:lastColumn="0" w:noHBand="0" w:noVBand="0"/>
        </w:tblPrEx>
        <w:tc>
          <w:tcPr>
            <w:tcW w:w="1129" w:type="dxa"/>
            <w:shd w:val="clear" w:color="auto" w:fill="auto"/>
            <w:vAlign w:val="center"/>
          </w:tcPr>
          <w:p w14:paraId="5E9FE27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6BF5EE6"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TEISE TASEME OMAVAHENDID</w:t>
            </w:r>
          </w:p>
          <w:p w14:paraId="66A8607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2</w:t>
            </w:r>
          </w:p>
          <w:p w14:paraId="648996EF" w14:textId="77777777" w:rsidR="00BC606C" w:rsidRPr="00B94845" w:rsidRDefault="00B94845">
            <w:pPr>
              <w:spacing w:after="120"/>
              <w:jc w:val="both"/>
              <w:rPr>
                <w:rStyle w:val="FormatvorlageInstructionsTabelleText"/>
                <w:rFonts w:ascii="Times New Roman" w:hAnsi="Times New Roman"/>
                <w:sz w:val="22"/>
                <w:szCs w:val="22"/>
              </w:rPr>
            </w:pPr>
            <w:r w:rsidRPr="00B94845">
              <w:rPr>
                <w:rFonts w:ascii="Times New Roman" w:hAnsi="Times New Roman"/>
                <w:szCs w:val="22"/>
              </w:rPr>
              <w:lastRenderedPageBreak/>
              <w:t>Määruse (EL) nr 575/2013 artikkel 71</w:t>
            </w:r>
          </w:p>
          <w:p w14:paraId="0D7049A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Avalikustatakse ridade 41–43 ja 50 kogusumma.</w:t>
            </w:r>
          </w:p>
        </w:tc>
      </w:tr>
      <w:tr w:rsidR="00BC606C" w:rsidRPr="00B94845" w14:paraId="22A6EF43" w14:textId="77777777">
        <w:tblPrEx>
          <w:tblLook w:val="00A0" w:firstRow="1" w:lastRow="0" w:firstColumn="1" w:lastColumn="0" w:noHBand="0" w:noVBand="0"/>
        </w:tblPrEx>
        <w:tc>
          <w:tcPr>
            <w:tcW w:w="1129" w:type="dxa"/>
            <w:shd w:val="clear" w:color="auto" w:fill="auto"/>
            <w:vAlign w:val="center"/>
          </w:tcPr>
          <w:p w14:paraId="62C5FC3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606AB023"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
                <w:bCs/>
                <w:szCs w:val="22"/>
                <w:u w:val="single"/>
              </w:rPr>
              <w:t xml:space="preserve">Täielikult sissemakstud </w:t>
            </w:r>
            <w:r w:rsidRPr="00B94845">
              <w:rPr>
                <w:rFonts w:ascii="Times New Roman" w:hAnsi="Times New Roman"/>
                <w:b/>
                <w:bCs/>
                <w:szCs w:val="22"/>
                <w:u w:val="single"/>
              </w:rPr>
              <w:t>otseemiteeritud kapitaliinstrumendid</w:t>
            </w:r>
          </w:p>
          <w:p w14:paraId="77F411D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695D7138" w14:textId="77777777" w:rsidR="00BC606C" w:rsidRPr="00B94845" w:rsidRDefault="00B94845">
            <w:pPr>
              <w:pStyle w:val="InstructionsText"/>
              <w:rPr>
                <w:rStyle w:val="FormatvorlageInstructionsTabelleText"/>
                <w:rFonts w:ascii="Times New Roman" w:eastAsiaTheme="minorHAnsi" w:hAnsi="Times New Roman"/>
                <w:bCs/>
                <w:sz w:val="22"/>
              </w:rPr>
            </w:pPr>
            <w:r w:rsidRPr="00B94845">
              <w:rPr>
                <w:rStyle w:val="FormatvorlageInstructionsTabelleText"/>
                <w:rFonts w:ascii="Times New Roman" w:hAnsi="Times New Roman"/>
                <w:sz w:val="22"/>
              </w:rPr>
              <w:t>Määruse (EL) nr 575/2013 artikli 62 punkt a ning artiklid 63–65</w:t>
            </w:r>
          </w:p>
          <w:p w14:paraId="40CD64F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Avalikustatav summa ei hõlma instrumentidega seotud ülekurssi.</w:t>
            </w:r>
          </w:p>
        </w:tc>
      </w:tr>
      <w:tr w:rsidR="00BC606C" w:rsidRPr="00B94845" w14:paraId="54523316" w14:textId="77777777">
        <w:tblPrEx>
          <w:tblLook w:val="00A0" w:firstRow="1" w:lastRow="0" w:firstColumn="1" w:lastColumn="0" w:noHBand="0" w:noVBand="0"/>
        </w:tblPrEx>
        <w:tc>
          <w:tcPr>
            <w:tcW w:w="1129" w:type="dxa"/>
            <w:shd w:val="clear" w:color="auto" w:fill="auto"/>
            <w:vAlign w:val="center"/>
          </w:tcPr>
          <w:p w14:paraId="7935922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17353146"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Ülekurss</w:t>
            </w:r>
          </w:p>
          <w:p w14:paraId="6EB0000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70FCFB54"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Määruse (EL) nr 575/2013 artikli 62 punkt b ja artikkel 65</w:t>
            </w:r>
          </w:p>
          <w:p w14:paraId="3442C51F"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Ülekurss on määratletud kohaldatavas raamatupidamistavas.</w:t>
            </w:r>
          </w:p>
          <w:p w14:paraId="0090F6A1" w14:textId="77777777" w:rsidR="00BC606C" w:rsidRPr="00B94845" w:rsidRDefault="00B94845">
            <w:pPr>
              <w:pStyle w:val="InstructionsText"/>
            </w:pPr>
            <w:r w:rsidRPr="00B94845">
              <w:rPr>
                <w:rStyle w:val="FormatvorlageInstructionsTabelleText"/>
                <w:rFonts w:ascii="Times New Roman" w:hAnsi="Times New Roman"/>
                <w:sz w:val="22"/>
              </w:rPr>
              <w:t>Selle kirje puhul avalikustatav summa on kirjega „Sissemakstud kapitaliinstrumendid“ seotud osa.</w:t>
            </w:r>
          </w:p>
        </w:tc>
      </w:tr>
      <w:tr w:rsidR="00BC606C" w:rsidRPr="00B94845" w14:paraId="376E4207" w14:textId="77777777">
        <w:tblPrEx>
          <w:tblLook w:val="00A0" w:firstRow="1" w:lastRow="0" w:firstColumn="1" w:lastColumn="0" w:noHBand="0" w:noVBand="0"/>
        </w:tblPrEx>
        <w:tc>
          <w:tcPr>
            <w:tcW w:w="1129" w:type="dxa"/>
            <w:shd w:val="clear" w:color="auto" w:fill="auto"/>
            <w:vAlign w:val="center"/>
          </w:tcPr>
          <w:p w14:paraId="707EC07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9AA62A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w:t>
            </w:r>
            <w:r w:rsidRPr="00B94845">
              <w:rPr>
                <w:rFonts w:ascii="Times New Roman" w:hAnsi="Times New Roman"/>
                <w:b/>
                <w:bCs/>
                <w:szCs w:val="22"/>
                <w:u w:val="single"/>
              </w:rPr>
              <w:t>) TEISE TASEME OMAVAHENDITEST TEHTUD MAHAARVAMISED KOKKU</w:t>
            </w:r>
          </w:p>
          <w:p w14:paraId="2896ACC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szCs w:val="22"/>
              </w:rPr>
              <w:t>Määruse (EL) nr 575/2013 artikkel 66</w:t>
            </w:r>
          </w:p>
        </w:tc>
      </w:tr>
      <w:tr w:rsidR="00BC606C" w:rsidRPr="00B94845" w14:paraId="643904AC" w14:textId="77777777">
        <w:tblPrEx>
          <w:tblLook w:val="00A0" w:firstRow="1" w:lastRow="0" w:firstColumn="1" w:lastColumn="0" w:noHBand="0" w:noVBand="0"/>
        </w:tblPrEx>
        <w:tc>
          <w:tcPr>
            <w:tcW w:w="1129" w:type="dxa"/>
            <w:shd w:val="clear" w:color="auto" w:fill="auto"/>
            <w:vAlign w:val="center"/>
          </w:tcPr>
          <w:p w14:paraId="1BE7DF3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2969E35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Enda teise taseme omavahenditesse kuuluvad instrumendid</w:t>
            </w:r>
          </w:p>
          <w:p w14:paraId="5E43759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5D022A45"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 xml:space="preserve">Määruse (EL) nr 575/2013 artikli 63 punkti b </w:t>
            </w:r>
            <w:r w:rsidRPr="00B94845">
              <w:rPr>
                <w:rStyle w:val="FormatvorlageInstructionsTabelleText"/>
                <w:rFonts w:ascii="Times New Roman" w:hAnsi="Times New Roman"/>
                <w:sz w:val="22"/>
              </w:rPr>
              <w:t>alapunkt i, artikli 66 punkt a ja artikkel 67</w:t>
            </w:r>
          </w:p>
          <w:p w14:paraId="371C76CD"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Aruandva investeerimisühingu või konsolideerimisgrupi osalused enda teise taseme omavahenditesse kuuluvates instrumentides aruandekuupäeva seisuga. Kohaldatakse määruse (EL) nr 575/2013 artiklis 67 sätestatud e</w:t>
            </w:r>
            <w:r w:rsidRPr="00B94845">
              <w:rPr>
                <w:rStyle w:val="FormatvorlageInstructionsTabelleText"/>
                <w:rFonts w:ascii="Times New Roman" w:hAnsi="Times New Roman"/>
                <w:sz w:val="22"/>
              </w:rPr>
              <w:t>randeid.</w:t>
            </w:r>
          </w:p>
          <w:p w14:paraId="5A06793A"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Osalusi aktsiates, mis kuuluvad kirje „mitteaktsepteeritavad kapitaliinstrumendid“ alla, ei avalikustata sellel real.</w:t>
            </w:r>
          </w:p>
          <w:p w14:paraId="45658F58" w14:textId="77777777" w:rsidR="00BC606C" w:rsidRPr="00B94845" w:rsidRDefault="00B94845">
            <w:pPr>
              <w:pStyle w:val="InstructionsText"/>
            </w:pPr>
            <w:r w:rsidRPr="00B94845">
              <w:rPr>
                <w:rStyle w:val="FormatvorlageInstructionsTabelleText"/>
                <w:rFonts w:ascii="Times New Roman" w:hAnsi="Times New Roman"/>
                <w:sz w:val="22"/>
              </w:rPr>
              <w:t>Avalikustatav summa hõlmab omaaktsiatega seotud ülekurssi.</w:t>
            </w:r>
          </w:p>
        </w:tc>
      </w:tr>
      <w:tr w:rsidR="00BC606C" w:rsidRPr="00B94845" w14:paraId="01F01242" w14:textId="77777777">
        <w:tblPrEx>
          <w:tblLook w:val="00A0" w:firstRow="1" w:lastRow="0" w:firstColumn="1" w:lastColumn="0" w:noHBand="0" w:noVBand="0"/>
        </w:tblPrEx>
        <w:tc>
          <w:tcPr>
            <w:tcW w:w="1129" w:type="dxa"/>
            <w:shd w:val="clear" w:color="auto" w:fill="auto"/>
            <w:vAlign w:val="center"/>
          </w:tcPr>
          <w:p w14:paraId="7A75354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7D8A4CE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 Otsesed osalused teise taseme omavahenditesse </w:t>
            </w:r>
            <w:r w:rsidRPr="00B94845">
              <w:rPr>
                <w:rFonts w:ascii="Times New Roman" w:hAnsi="Times New Roman"/>
                <w:b/>
                <w:bCs/>
                <w:szCs w:val="22"/>
                <w:u w:val="single"/>
              </w:rPr>
              <w:t>kuuluvates instrumentides</w:t>
            </w:r>
          </w:p>
          <w:p w14:paraId="3DB5C915" w14:textId="77777777" w:rsidR="00BC606C" w:rsidRPr="00B94845" w:rsidRDefault="00B94845">
            <w:pPr>
              <w:pStyle w:val="InstructionsText"/>
            </w:pPr>
            <w:r w:rsidRPr="00B94845">
              <w:rPr>
                <w:rStyle w:val="FormatvorlageInstructionsTabelleText"/>
                <w:rFonts w:ascii="Times New Roman" w:hAnsi="Times New Roman"/>
                <w:sz w:val="22"/>
              </w:rPr>
              <w:t>Määruse (EL) nr 575/2013 artikli 63 punkt b, artikli 66 punkt a ja artikkel 67</w:t>
            </w:r>
          </w:p>
        </w:tc>
      </w:tr>
      <w:tr w:rsidR="00BC606C" w:rsidRPr="00B94845" w14:paraId="192180F0" w14:textId="77777777">
        <w:tblPrEx>
          <w:tblLook w:val="00A0" w:firstRow="1" w:lastRow="0" w:firstColumn="1" w:lastColumn="0" w:noHBand="0" w:noVBand="0"/>
        </w:tblPrEx>
        <w:tc>
          <w:tcPr>
            <w:tcW w:w="1129" w:type="dxa"/>
            <w:shd w:val="clear" w:color="auto" w:fill="auto"/>
            <w:vAlign w:val="center"/>
          </w:tcPr>
          <w:p w14:paraId="71F9297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7EB8C2F9"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Kaudsed osalused teise taseme omavahenditesse kuuluvates instrumentides</w:t>
            </w:r>
          </w:p>
          <w:p w14:paraId="111CCE4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 xml:space="preserve">Määruse (EL) nr 575/2013 artikli 4 lõike 1 punkt 114, artikli 63 punkt </w:t>
            </w:r>
            <w:r w:rsidRPr="00B94845">
              <w:rPr>
                <w:rStyle w:val="FormatvorlageInstructionsTabelleText"/>
                <w:rFonts w:ascii="Times New Roman" w:hAnsi="Times New Roman"/>
                <w:sz w:val="22"/>
                <w:szCs w:val="22"/>
              </w:rPr>
              <w:t>b, artikli 66 punkt a ja artikkel 67</w:t>
            </w:r>
          </w:p>
        </w:tc>
      </w:tr>
      <w:tr w:rsidR="00BC606C" w:rsidRPr="00B94845" w14:paraId="1B831258" w14:textId="77777777">
        <w:tblPrEx>
          <w:tblLook w:val="00A0" w:firstRow="1" w:lastRow="0" w:firstColumn="1" w:lastColumn="0" w:noHBand="0" w:noVBand="0"/>
        </w:tblPrEx>
        <w:tc>
          <w:tcPr>
            <w:tcW w:w="1129" w:type="dxa"/>
            <w:shd w:val="clear" w:color="auto" w:fill="auto"/>
            <w:vAlign w:val="center"/>
          </w:tcPr>
          <w:p w14:paraId="355C2B3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2BF1AC8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Sünteetilised osalused teise taseme omavahenditesse kuuluvates instrumentides</w:t>
            </w:r>
          </w:p>
          <w:p w14:paraId="7174739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Määruse (EL) nr 575/2013 artikli 4 lõike 1 punkt 126, artikli 63 punkt b, artikli 66 punkt a ja artikkel 67</w:t>
            </w:r>
          </w:p>
        </w:tc>
      </w:tr>
      <w:tr w:rsidR="00BC606C" w:rsidRPr="00B94845" w14:paraId="5D46294A" w14:textId="77777777">
        <w:tblPrEx>
          <w:tblLook w:val="00A0" w:firstRow="1" w:lastRow="0" w:firstColumn="1" w:lastColumn="0" w:noHBand="0" w:noVBand="0"/>
        </w:tblPrEx>
        <w:tc>
          <w:tcPr>
            <w:tcW w:w="1129" w:type="dxa"/>
            <w:shd w:val="clear" w:color="auto" w:fill="auto"/>
            <w:vAlign w:val="center"/>
          </w:tcPr>
          <w:p w14:paraId="0E636D2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175F009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 Selliste </w:t>
            </w:r>
            <w:r w:rsidRPr="00B94845">
              <w:rPr>
                <w:rFonts w:ascii="Times New Roman" w:hAnsi="Times New Roman"/>
                <w:b/>
                <w:bCs/>
                <w:szCs w:val="22"/>
                <w:u w:val="single"/>
              </w:rPr>
              <w:t>finantssektori ettevõtjate teise taseme omavahenditesse kuuluvad instrumendid, kus investeerimisühingul ei ole olulist investeeringut</w:t>
            </w:r>
          </w:p>
          <w:p w14:paraId="32A6FDD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c</w:t>
            </w:r>
          </w:p>
          <w:p w14:paraId="4B642E0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66 punkt c</w:t>
            </w:r>
          </w:p>
        </w:tc>
      </w:tr>
      <w:tr w:rsidR="00BC606C" w:rsidRPr="00B94845" w14:paraId="599D4370"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67AAF3E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45C57C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Selliste finantssekto</w:t>
            </w:r>
            <w:r w:rsidRPr="00B94845">
              <w:rPr>
                <w:rFonts w:ascii="Times New Roman" w:hAnsi="Times New Roman"/>
                <w:b/>
                <w:bCs/>
                <w:szCs w:val="22"/>
                <w:u w:val="single"/>
              </w:rPr>
              <w:t>ri ettevõtjate teise taseme omavahenditesse kuuluvad instrumendid, kus investeerimisühingul on oluline investeering</w:t>
            </w:r>
          </w:p>
          <w:p w14:paraId="059FA212"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Määruse (EL) nr 575/2013 artikli 4 lõike 1 punkt 27, artikli 66 punkt d ning artiklid 68, 69 ja 79</w:t>
            </w:r>
          </w:p>
          <w:p w14:paraId="581931E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lastRenderedPageBreak/>
              <w:t>Investeerimisühingu osalus selliste finan</w:t>
            </w:r>
            <w:r w:rsidRPr="00B94845">
              <w:rPr>
                <w:rStyle w:val="FormatvorlageInstructionsTabelleText"/>
                <w:rFonts w:ascii="Times New Roman" w:hAnsi="Times New Roman"/>
                <w:sz w:val="22"/>
                <w:szCs w:val="22"/>
              </w:rPr>
              <w:t>tssektori ettevõtjate (nagu on määratletud määruse (EL) nr 575/2013 artikli 4 lõike 1 punktis 27) teise taseme omavahenditesse kuuluvates instrumentides, kus investeerimisühingul on oluline investeering, arvatakse täielikult maha.</w:t>
            </w:r>
          </w:p>
        </w:tc>
      </w:tr>
      <w:tr w:rsidR="00BC606C" w:rsidRPr="00B94845" w14:paraId="2F3F19C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1310093"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lastRenderedPageBreak/>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FEFB58F"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Teise taseme </w:t>
            </w:r>
            <w:r w:rsidRPr="00B94845">
              <w:rPr>
                <w:rFonts w:ascii="Times New Roman" w:hAnsi="Times New Roman"/>
                <w:b/>
                <w:bCs/>
                <w:szCs w:val="22"/>
                <w:u w:val="single"/>
              </w:rPr>
              <w:t>omavahendid: muud kapitalielemendid, mahaarvamised ja korrigeerimised</w:t>
            </w:r>
          </w:p>
          <w:p w14:paraId="3A15049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See rida sisaldab asjakohasel juhul järgmiste kirjete summat:</w:t>
            </w:r>
          </w:p>
          <w:p w14:paraId="535E11C3"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üleminekusätetest tulenev korrigeerimine seoses varasemalt kehtinud nõuete ajutise kohaldamisega teise taseme </w:t>
            </w:r>
            <w:r w:rsidRPr="00B94845">
              <w:rPr>
                <w:rFonts w:ascii="Times New Roman" w:hAnsi="Times New Roman"/>
                <w:bCs/>
              </w:rPr>
              <w:t>omavahenditesse kuuluvate instrumentide suhtes (määruse (EL) nr 575/2013 artikli 483 lõiked 6 ja 7 ning artiklid 484, 486, 488, 490 ja 491);</w:t>
            </w:r>
          </w:p>
          <w:p w14:paraId="5ADC37CF"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tütarettevõtja emiteeritud instrumendid, mis arvatakse teise taseme omavahendite hulka (määruse (EL) nr 575/2013 </w:t>
            </w:r>
            <w:r w:rsidRPr="00B94845">
              <w:rPr>
                <w:rFonts w:ascii="Times New Roman" w:hAnsi="Times New Roman"/>
                <w:bCs/>
              </w:rPr>
              <w:t>artiklid 83, 87 ja 88): tütarettevõtjate kõigi kvalifitseeruvate omavahendite summa, mis arvatakse konsolideeritud teise taseme omavahendite hulka, sealhulgas eriotstarbelise ettevõtja emiteeritud kvalifitseeruvad teise taseme omavahendid (määruse (EL) nr </w:t>
            </w:r>
            <w:r w:rsidRPr="00B94845">
              <w:rPr>
                <w:rFonts w:ascii="Times New Roman" w:hAnsi="Times New Roman"/>
                <w:bCs/>
              </w:rPr>
              <w:t>575/2013 artikkel 83);</w:t>
            </w:r>
          </w:p>
          <w:p w14:paraId="4D55F576"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üleminekusätetest tulenev korrigeerimine seoses tütarettevõtjate emiteeritud instrumentide täiendava kajastamisega teise taseme omavahendites (määruse (EL) nr 575/2013 artikkel 480): üleminekusätetest tulenev korrigeerimine seoses </w:t>
            </w:r>
            <w:r w:rsidRPr="00B94845">
              <w:rPr>
                <w:rFonts w:ascii="Times New Roman" w:hAnsi="Times New Roman"/>
                <w:bCs/>
              </w:rPr>
              <w:t>kvalifitseeruvate omavahenditega, mis arvatakse konsolideeritud teise taseme omavahendite hulka;</w:t>
            </w:r>
          </w:p>
          <w:p w14:paraId="75B693F8"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üleminekusätetest tulenevad teise taseme omavahendite korrigeerimised (määruse (EL) nr 575/2013 artiklid 472, 473a, 476, 477, 478 ja 481): üleminekusäte</w:t>
            </w:r>
            <w:r w:rsidRPr="00B94845">
              <w:rPr>
                <w:rFonts w:ascii="Times New Roman" w:hAnsi="Times New Roman"/>
                <w:bCs/>
              </w:rPr>
              <w:t>test tulenevate teise taseme omavahenditest tehtavate mahaarvamiste korrigeerimine;</w:t>
            </w:r>
          </w:p>
          <w:p w14:paraId="785784B4"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teise taseme omavahendite kirjetest tehtavate mahaarvamiste summa, mis ületab teise taseme omavahendeid ja mis arvatakse maha täiendavatest esimese taseme omavahenditest </w:t>
            </w:r>
            <w:r w:rsidRPr="00B94845">
              <w:rPr>
                <w:rFonts w:ascii="Times New Roman" w:hAnsi="Times New Roman"/>
                <w:bCs/>
              </w:rPr>
              <w:t>vastavalt määruse (EL) nr 575/2013 artikli 56 punktile c. Teise taseme omavahendid ei saa olla negatiivsed, kuid on võimalik, et mahaarvamised teise taseme omavahendite kirjetest ületavad olemasolevate teise taseme omavahendite kirjete summat. Sel juhul ka</w:t>
            </w:r>
            <w:r w:rsidRPr="00B94845">
              <w:rPr>
                <w:rFonts w:ascii="Times New Roman" w:hAnsi="Times New Roman"/>
                <w:bCs/>
              </w:rPr>
              <w:t>jastab see kirje summat, mida on vaja real 40 kajastatud summa suurendamiseks nullini;</w:t>
            </w:r>
          </w:p>
          <w:p w14:paraId="508AF815"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teise taseme omavahendite elemendid või mahaarvamised teise taseme omavahendite elemendist, mida ei saa määrata ühele ridadest 41–49.</w:t>
            </w:r>
          </w:p>
          <w:p w14:paraId="7E5C1FD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Seda rida ei tohi kasutada s</w:t>
            </w:r>
            <w:r w:rsidRPr="00B94845">
              <w:rPr>
                <w:rFonts w:ascii="Times New Roman" w:hAnsi="Times New Roman"/>
                <w:bCs/>
                <w:szCs w:val="22"/>
              </w:rPr>
              <w:t xml:space="preserve">elleks, et kaasata maksevõime suhtarvude arvutusse kapitalikirjeid või mahaarvamisi, mis ei ole hõlmatud määrusega (EL) </w:t>
            </w:r>
            <w:r w:rsidRPr="00B94845">
              <w:rPr>
                <w:rFonts w:ascii="Times New Roman" w:hAnsi="Times New Roman"/>
                <w:bCs/>
                <w:szCs w:val="22"/>
              </w:rPr>
              <w:t>2019/2033</w:t>
            </w:r>
            <w:r w:rsidRPr="00B94845">
              <w:rPr>
                <w:rFonts w:ascii="Times New Roman" w:hAnsi="Times New Roman"/>
                <w:bCs/>
                <w:szCs w:val="22"/>
              </w:rPr>
              <w:t xml:space="preserve"> või määrusega (EL) nr 575/2013.</w:t>
            </w:r>
          </w:p>
        </w:tc>
      </w:tr>
    </w:tbl>
    <w:p w14:paraId="22CCE600" w14:textId="77777777" w:rsidR="00BC606C" w:rsidRPr="00B94845" w:rsidRDefault="00BC606C">
      <w:pPr>
        <w:spacing w:before="120" w:after="120"/>
        <w:jc w:val="both"/>
        <w:rPr>
          <w:rFonts w:ascii="Times New Roman" w:hAnsi="Times New Roman" w:cs="Times New Roman"/>
          <w:bCs/>
          <w:sz w:val="24"/>
        </w:rPr>
      </w:pPr>
    </w:p>
    <w:p w14:paraId="29A04766" w14:textId="77777777" w:rsidR="00BC606C" w:rsidRPr="00B94845" w:rsidRDefault="00B94845">
      <w:pPr>
        <w:ind w:left="720"/>
        <w:rPr>
          <w:rFonts w:ascii="Times New Roman" w:hAnsi="Times New Roman" w:cs="Times New Roman"/>
          <w:b/>
          <w:bCs/>
          <w:sz w:val="24"/>
        </w:rPr>
      </w:pPr>
      <w:r w:rsidRPr="00B94845">
        <w:rPr>
          <w:rFonts w:ascii="Times New Roman" w:hAnsi="Times New Roman"/>
          <w:b/>
          <w:bCs/>
          <w:sz w:val="24"/>
        </w:rPr>
        <w:t>Vorm EU I CC</w:t>
      </w:r>
      <w:r w:rsidRPr="00B94845">
        <w:rPr>
          <w:rFonts w:ascii="Times New Roman" w:hAnsi="Times New Roman"/>
          <w:b/>
          <w:bCs/>
          <w:sz w:val="24"/>
        </w:rPr>
        <w:t>1.02.</w:t>
      </w:r>
      <w:r w:rsidRPr="00B94845">
        <w:rPr>
          <w:rFonts w:ascii="Times New Roman" w:hAnsi="Times New Roman"/>
          <w:b/>
          <w:bCs/>
          <w:sz w:val="24"/>
        </w:rPr>
        <w:t xml:space="preserve"> Regulatiivsete omavahendite koosseis (väikesed ja mitteseotud investeerimisühingud)</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BC606C" w:rsidRPr="00B94845" w14:paraId="18BFB507" w14:textId="77777777">
        <w:trPr>
          <w:trHeight w:val="395"/>
        </w:trPr>
        <w:tc>
          <w:tcPr>
            <w:tcW w:w="8812" w:type="dxa"/>
            <w:gridSpan w:val="2"/>
            <w:shd w:val="clear" w:color="auto" w:fill="D9D9D9" w:themeFill="background1" w:themeFillShade="D9"/>
          </w:tcPr>
          <w:p w14:paraId="04DFCCC8" w14:textId="77777777" w:rsidR="00BC606C" w:rsidRPr="00B94845" w:rsidRDefault="00B94845">
            <w:pPr>
              <w:pStyle w:val="TableTitle"/>
              <w:spacing w:before="0" w:after="0"/>
              <w:jc w:val="left"/>
              <w:rPr>
                <w:rFonts w:ascii="Times New Roman" w:hAnsi="Times New Roman"/>
                <w:szCs w:val="22"/>
              </w:rPr>
            </w:pPr>
            <w:r w:rsidRPr="00B94845">
              <w:rPr>
                <w:rFonts w:ascii="Times New Roman" w:hAnsi="Times New Roman"/>
                <w:szCs w:val="22"/>
              </w:rPr>
              <w:t>Viited õigussätetele ja juhised</w:t>
            </w:r>
          </w:p>
        </w:tc>
      </w:tr>
      <w:tr w:rsidR="00BC606C" w:rsidRPr="00B94845" w14:paraId="6948D08E" w14:textId="77777777">
        <w:tblPrEx>
          <w:tblLook w:val="00A0" w:firstRow="1" w:lastRow="0" w:firstColumn="1" w:lastColumn="0" w:noHBand="0" w:noVBand="0"/>
        </w:tblPrEx>
        <w:tc>
          <w:tcPr>
            <w:tcW w:w="1129" w:type="dxa"/>
            <w:tcBorders>
              <w:bottom w:val="single" w:sz="4" w:space="0" w:color="auto"/>
            </w:tcBorders>
            <w:shd w:val="clear" w:color="auto" w:fill="D9D9D9"/>
          </w:tcPr>
          <w:p w14:paraId="0D90930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szCs w:val="22"/>
              </w:rPr>
              <w:t>Rida</w:t>
            </w:r>
          </w:p>
        </w:tc>
        <w:tc>
          <w:tcPr>
            <w:tcW w:w="7683" w:type="dxa"/>
            <w:tcBorders>
              <w:bottom w:val="single" w:sz="4" w:space="0" w:color="auto"/>
            </w:tcBorders>
            <w:shd w:val="clear" w:color="auto" w:fill="D9D9D9"/>
          </w:tcPr>
          <w:p w14:paraId="7E644F7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szCs w:val="22"/>
              </w:rPr>
              <w:t>Viited õigussätetele ja juhised</w:t>
            </w:r>
          </w:p>
        </w:tc>
      </w:tr>
      <w:tr w:rsidR="00BC606C" w:rsidRPr="00B94845" w14:paraId="7802D2F3" w14:textId="77777777">
        <w:tblPrEx>
          <w:tblLook w:val="00A0" w:firstRow="1" w:lastRow="0" w:firstColumn="1" w:lastColumn="0" w:noHBand="0" w:noVBand="0"/>
        </w:tblPrEx>
        <w:tc>
          <w:tcPr>
            <w:tcW w:w="1129" w:type="dxa"/>
            <w:shd w:val="clear" w:color="auto" w:fill="auto"/>
            <w:vAlign w:val="center"/>
          </w:tcPr>
          <w:p w14:paraId="2975D97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w:t>
            </w:r>
          </w:p>
        </w:tc>
        <w:tc>
          <w:tcPr>
            <w:tcW w:w="7683" w:type="dxa"/>
            <w:shd w:val="clear" w:color="auto" w:fill="auto"/>
          </w:tcPr>
          <w:p w14:paraId="29236F36"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Omavahendid</w:t>
            </w:r>
          </w:p>
          <w:p w14:paraId="4F6E361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521D2701"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lastRenderedPageBreak/>
              <w:t xml:space="preserve">Investeerimisühingu omavahendid </w:t>
            </w:r>
            <w:r w:rsidRPr="00B94845">
              <w:rPr>
                <w:rStyle w:val="FormatvorlageInstructionsTabelleText"/>
                <w:rFonts w:ascii="Times New Roman" w:hAnsi="Times New Roman"/>
                <w:sz w:val="22"/>
                <w:szCs w:val="22"/>
              </w:rPr>
              <w:t>võrduvad tema esimese taseme põhiomavahendite, täiendavate esimese taseme omavahendite ja teise taseme omavahendite summaga.</w:t>
            </w:r>
          </w:p>
          <w:p w14:paraId="436E42B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Avalikustatakse ridade 2 ja 25 kogusumma.</w:t>
            </w:r>
          </w:p>
        </w:tc>
      </w:tr>
      <w:tr w:rsidR="00BC606C" w:rsidRPr="00B94845" w14:paraId="21738108" w14:textId="77777777">
        <w:tblPrEx>
          <w:tblLook w:val="00A0" w:firstRow="1" w:lastRow="0" w:firstColumn="1" w:lastColumn="0" w:noHBand="0" w:noVBand="0"/>
        </w:tblPrEx>
        <w:tc>
          <w:tcPr>
            <w:tcW w:w="1129" w:type="dxa"/>
            <w:shd w:val="clear" w:color="auto" w:fill="auto"/>
            <w:vAlign w:val="center"/>
          </w:tcPr>
          <w:p w14:paraId="1F63BE5F"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2</w:t>
            </w:r>
          </w:p>
        </w:tc>
        <w:tc>
          <w:tcPr>
            <w:tcW w:w="7683" w:type="dxa"/>
            <w:shd w:val="clear" w:color="auto" w:fill="auto"/>
          </w:tcPr>
          <w:p w14:paraId="508B135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Esimese taseme omavahendid</w:t>
            </w:r>
          </w:p>
          <w:p w14:paraId="027289E4"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 xml:space="preserve">Esimese taseme omavahendid võrduvad esimese taseme </w:t>
            </w:r>
            <w:r w:rsidRPr="00B94845">
              <w:rPr>
                <w:rStyle w:val="FormatvorlageInstructionsTabelleText"/>
                <w:rFonts w:ascii="Times New Roman" w:hAnsi="Times New Roman"/>
                <w:sz w:val="22"/>
                <w:szCs w:val="22"/>
              </w:rPr>
              <w:t>põhiomavahendite ja täiendavate esimese taseme omavahendite summaga.</w:t>
            </w:r>
          </w:p>
          <w:p w14:paraId="7F209EA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Avalikustatakse ridade 3 ja 20 kogusumma.</w:t>
            </w:r>
          </w:p>
        </w:tc>
      </w:tr>
      <w:tr w:rsidR="00BC606C" w:rsidRPr="00B94845" w14:paraId="6C3F42C1" w14:textId="77777777">
        <w:tblPrEx>
          <w:tblLook w:val="00A0" w:firstRow="1" w:lastRow="0" w:firstColumn="1" w:lastColumn="0" w:noHBand="0" w:noVBand="0"/>
        </w:tblPrEx>
        <w:tc>
          <w:tcPr>
            <w:tcW w:w="1129" w:type="dxa"/>
            <w:shd w:val="clear" w:color="auto" w:fill="auto"/>
            <w:vAlign w:val="center"/>
          </w:tcPr>
          <w:p w14:paraId="6729CCF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3</w:t>
            </w:r>
          </w:p>
        </w:tc>
        <w:tc>
          <w:tcPr>
            <w:tcW w:w="7683" w:type="dxa"/>
            <w:shd w:val="clear" w:color="auto" w:fill="auto"/>
          </w:tcPr>
          <w:p w14:paraId="49A947B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InstructionsTabelleberschrift"/>
                <w:rFonts w:ascii="Times New Roman" w:hAnsi="Times New Roman"/>
                <w:sz w:val="22"/>
                <w:szCs w:val="22"/>
              </w:rPr>
              <w:t>Esimese taseme põhiomavahendid</w:t>
            </w:r>
          </w:p>
          <w:p w14:paraId="7E3140D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4290B678"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Määruse (EL) nr 575/2013 artikkel 50</w:t>
            </w:r>
          </w:p>
          <w:p w14:paraId="44B4EEF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Avalikustatakse ridade 4–11 ja 19</w:t>
            </w:r>
            <w:r w:rsidRPr="00B94845">
              <w:rPr>
                <w:rFonts w:ascii="Times New Roman" w:hAnsi="Times New Roman"/>
                <w:bCs/>
                <w:szCs w:val="22"/>
              </w:rPr>
              <w:t xml:space="preserve"> kogusumma.</w:t>
            </w:r>
          </w:p>
        </w:tc>
      </w:tr>
      <w:tr w:rsidR="00BC606C" w:rsidRPr="00B94845" w14:paraId="5B28A128" w14:textId="77777777">
        <w:tblPrEx>
          <w:tblLook w:val="00A0" w:firstRow="1" w:lastRow="0" w:firstColumn="1" w:lastColumn="0" w:noHBand="0" w:noVBand="0"/>
        </w:tblPrEx>
        <w:tc>
          <w:tcPr>
            <w:tcW w:w="1129" w:type="dxa"/>
            <w:shd w:val="clear" w:color="auto" w:fill="auto"/>
            <w:vAlign w:val="center"/>
          </w:tcPr>
          <w:p w14:paraId="51F0D09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w:t>
            </w:r>
          </w:p>
        </w:tc>
        <w:tc>
          <w:tcPr>
            <w:tcW w:w="7683" w:type="dxa"/>
            <w:shd w:val="clear" w:color="auto" w:fill="auto"/>
          </w:tcPr>
          <w:p w14:paraId="1E7EE8A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
                <w:bCs/>
                <w:szCs w:val="22"/>
                <w:u w:val="single"/>
              </w:rPr>
              <w:t>Täielikult sissemakstud kapitaliinstrumendid</w:t>
            </w:r>
          </w:p>
          <w:p w14:paraId="05B11B0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76679244"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Määruse (EL) nr 575/2013 artikli 26 lõike 1 punkt a ja artiklid 27–31</w:t>
            </w:r>
          </w:p>
          <w:p w14:paraId="7E634504"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See hõlmab vastastikuste seltside, ühistute või samalaadsete investeerimisühi</w:t>
            </w:r>
            <w:r w:rsidRPr="00B94845">
              <w:rPr>
                <w:rStyle w:val="FormatvorlageInstructionsTabelleText"/>
                <w:rFonts w:ascii="Times New Roman" w:hAnsi="Times New Roman"/>
                <w:sz w:val="22"/>
              </w:rPr>
              <w:t>ngute kapitaliinstrumente (määruse (EL) nr 575/2013 artiklid 27–29).</w:t>
            </w:r>
          </w:p>
          <w:p w14:paraId="415BB6A5"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Arvesse ei võeta instrumentidega seotud ülekurssi.</w:t>
            </w:r>
          </w:p>
          <w:p w14:paraId="767AAC15" w14:textId="77777777" w:rsidR="00BC606C" w:rsidRPr="00B94845" w:rsidRDefault="00B94845">
            <w:pPr>
              <w:pStyle w:val="InstructionsText"/>
            </w:pPr>
            <w:r w:rsidRPr="00B94845">
              <w:rPr>
                <w:rStyle w:val="FormatvorlageInstructionsTabelleText"/>
                <w:rFonts w:ascii="Times New Roman" w:hAnsi="Times New Roman"/>
                <w:sz w:val="22"/>
              </w:rPr>
              <w:t xml:space="preserve">Arvesse võetakse avaliku sektori asutuste poolt hädaolukorras märgitud kapitaliinstrumente, kui täidetud on kõik määruse (EL) </w:t>
            </w:r>
            <w:r w:rsidRPr="00B94845">
              <w:rPr>
                <w:rStyle w:val="FormatvorlageInstructionsTabelleText"/>
                <w:rFonts w:ascii="Times New Roman" w:hAnsi="Times New Roman"/>
                <w:sz w:val="22"/>
              </w:rPr>
              <w:t>nr 575/2013 artiklis 31 sätestatud tingimused.</w:t>
            </w:r>
          </w:p>
        </w:tc>
      </w:tr>
      <w:tr w:rsidR="00BC606C" w:rsidRPr="00B94845" w14:paraId="29E554F9" w14:textId="77777777">
        <w:tblPrEx>
          <w:tblLook w:val="00A0" w:firstRow="1" w:lastRow="0" w:firstColumn="1" w:lastColumn="0" w:noHBand="0" w:noVBand="0"/>
        </w:tblPrEx>
        <w:tc>
          <w:tcPr>
            <w:tcW w:w="1129" w:type="dxa"/>
            <w:shd w:val="clear" w:color="auto" w:fill="auto"/>
            <w:vAlign w:val="center"/>
          </w:tcPr>
          <w:p w14:paraId="40BB5B5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5</w:t>
            </w:r>
          </w:p>
        </w:tc>
        <w:tc>
          <w:tcPr>
            <w:tcW w:w="7683" w:type="dxa"/>
            <w:shd w:val="clear" w:color="auto" w:fill="auto"/>
          </w:tcPr>
          <w:p w14:paraId="6EACE4D6"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Ülekurss</w:t>
            </w:r>
          </w:p>
          <w:p w14:paraId="79D3CEB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4DAE2EC0"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Määruse (EL) nr 575/2013 artikli 26 lõike 1 punkt b</w:t>
            </w:r>
          </w:p>
          <w:p w14:paraId="2E4467B9"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Ülekurss on määratletud kohaldatavas raamatupidamistavas.</w:t>
            </w:r>
          </w:p>
          <w:p w14:paraId="114BF43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 xml:space="preserve">Selle kirje puhul avalikustatav summa </w:t>
            </w:r>
            <w:r w:rsidRPr="00B94845">
              <w:rPr>
                <w:rStyle w:val="FormatvorlageInstructionsTabelleText"/>
                <w:rFonts w:ascii="Times New Roman" w:hAnsi="Times New Roman"/>
                <w:sz w:val="22"/>
                <w:szCs w:val="22"/>
              </w:rPr>
              <w:t>on kirjega „Sissemakstud kapitaliinstrumendid“ seotud osa.</w:t>
            </w:r>
          </w:p>
        </w:tc>
      </w:tr>
      <w:tr w:rsidR="00BC606C" w:rsidRPr="00B94845" w14:paraId="418C3B77" w14:textId="77777777">
        <w:tblPrEx>
          <w:tblLook w:val="00A0" w:firstRow="1" w:lastRow="0" w:firstColumn="1" w:lastColumn="0" w:noHBand="0" w:noVBand="0"/>
        </w:tblPrEx>
        <w:tc>
          <w:tcPr>
            <w:tcW w:w="1129" w:type="dxa"/>
            <w:shd w:val="clear" w:color="auto" w:fill="auto"/>
            <w:vAlign w:val="center"/>
          </w:tcPr>
          <w:p w14:paraId="5DF9B09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6</w:t>
            </w:r>
          </w:p>
        </w:tc>
        <w:tc>
          <w:tcPr>
            <w:tcW w:w="7683" w:type="dxa"/>
            <w:shd w:val="clear" w:color="auto" w:fill="auto"/>
          </w:tcPr>
          <w:p w14:paraId="4EF98746"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Jaotamata kasum</w:t>
            </w:r>
          </w:p>
          <w:p w14:paraId="55C7552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5B1AB95E" w14:textId="77777777" w:rsidR="00BC606C" w:rsidRPr="00B94845" w:rsidRDefault="00B94845">
            <w:pPr>
              <w:spacing w:after="120"/>
              <w:jc w:val="both"/>
              <w:rPr>
                <w:rFonts w:ascii="Times New Roman" w:eastAsia="Times New Roman" w:hAnsi="Times New Roman" w:cs="Times New Roman"/>
                <w:bCs/>
                <w:szCs w:val="22"/>
              </w:rPr>
            </w:pPr>
            <w:r w:rsidRPr="00B94845">
              <w:rPr>
                <w:rStyle w:val="FormatvorlageInstructionsTabelleText"/>
                <w:rFonts w:ascii="Times New Roman" w:hAnsi="Times New Roman"/>
                <w:sz w:val="22"/>
                <w:szCs w:val="22"/>
              </w:rPr>
              <w:t>Määruse (EL) nr 575/2013 artikli 26 lõike 1 punkt c</w:t>
            </w:r>
          </w:p>
          <w:p w14:paraId="2B46432F"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Jaotamata kasum hõlmab eelmiste aastate jaotamata kasumit koos aruandeperiood</w:t>
            </w:r>
            <w:r w:rsidRPr="00B94845">
              <w:rPr>
                <w:rStyle w:val="FormatvorlageInstructionsTabelleText"/>
                <w:rFonts w:ascii="Times New Roman" w:hAnsi="Times New Roman"/>
                <w:sz w:val="22"/>
                <w:szCs w:val="22"/>
              </w:rPr>
              <w:t>i aktsepteeritava vahekasumi või aastakasumiga.</w:t>
            </w:r>
          </w:p>
        </w:tc>
      </w:tr>
      <w:tr w:rsidR="00BC606C" w:rsidRPr="00B94845" w14:paraId="78D5B345" w14:textId="77777777">
        <w:tblPrEx>
          <w:tblLook w:val="00A0" w:firstRow="1" w:lastRow="0" w:firstColumn="1" w:lastColumn="0" w:noHBand="0" w:noVBand="0"/>
        </w:tblPrEx>
        <w:tc>
          <w:tcPr>
            <w:tcW w:w="1129" w:type="dxa"/>
            <w:shd w:val="clear" w:color="auto" w:fill="auto"/>
            <w:vAlign w:val="center"/>
          </w:tcPr>
          <w:p w14:paraId="3BD2127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7</w:t>
            </w:r>
          </w:p>
        </w:tc>
        <w:tc>
          <w:tcPr>
            <w:tcW w:w="7683" w:type="dxa"/>
            <w:shd w:val="clear" w:color="auto" w:fill="auto"/>
          </w:tcPr>
          <w:p w14:paraId="051ADE4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Muu akumuleeritud koondkasum</w:t>
            </w:r>
          </w:p>
          <w:p w14:paraId="72CD55F3"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4A675286" w14:textId="77777777" w:rsidR="00BC606C" w:rsidRPr="00B94845" w:rsidRDefault="00B94845">
            <w:pPr>
              <w:spacing w:after="120"/>
              <w:jc w:val="both"/>
              <w:rPr>
                <w:rFonts w:ascii="Times New Roman" w:hAnsi="Times New Roman" w:cs="Times New Roman"/>
                <w:bCs/>
                <w:szCs w:val="22"/>
              </w:rPr>
            </w:pPr>
            <w:r w:rsidRPr="00B94845">
              <w:rPr>
                <w:rStyle w:val="FormatvorlageInstructionsTabelleText"/>
                <w:rFonts w:ascii="Times New Roman" w:hAnsi="Times New Roman"/>
                <w:sz w:val="22"/>
                <w:szCs w:val="22"/>
              </w:rPr>
              <w:t>Määruse (EL) nr 575/2013 artikli 26 lõike 1 punkt d</w:t>
            </w:r>
          </w:p>
        </w:tc>
      </w:tr>
      <w:tr w:rsidR="00BC606C" w:rsidRPr="00B94845" w14:paraId="500A926C" w14:textId="77777777">
        <w:tblPrEx>
          <w:tblLook w:val="00A0" w:firstRow="1" w:lastRow="0" w:firstColumn="1" w:lastColumn="0" w:noHBand="0" w:noVBand="0"/>
        </w:tblPrEx>
        <w:tc>
          <w:tcPr>
            <w:tcW w:w="1129" w:type="dxa"/>
            <w:shd w:val="clear" w:color="auto" w:fill="auto"/>
            <w:vAlign w:val="center"/>
          </w:tcPr>
          <w:p w14:paraId="394B610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8</w:t>
            </w:r>
          </w:p>
        </w:tc>
        <w:tc>
          <w:tcPr>
            <w:tcW w:w="7683" w:type="dxa"/>
            <w:tcBorders>
              <w:bottom w:val="single" w:sz="4" w:space="0" w:color="auto"/>
            </w:tcBorders>
            <w:shd w:val="clear" w:color="auto" w:fill="auto"/>
          </w:tcPr>
          <w:p w14:paraId="1BD6A9F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Muud reservid</w:t>
            </w:r>
          </w:p>
          <w:p w14:paraId="1542D00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3F329273"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Määruse (EL) nr 575/2013 artikli 4 lõike 1 punkt 117 ja artikli 26 lõike 1 punkt e</w:t>
            </w:r>
          </w:p>
          <w:p w14:paraId="122928B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Asjaomane summa avalikustatakse pärast arvutamise ajal prognoositavate maksude mahaarvamist.</w:t>
            </w:r>
          </w:p>
        </w:tc>
      </w:tr>
      <w:tr w:rsidR="00BC606C" w:rsidRPr="00B94845" w14:paraId="5D6C515D" w14:textId="77777777">
        <w:tblPrEx>
          <w:tblLook w:val="00A0" w:firstRow="1" w:lastRow="0" w:firstColumn="1" w:lastColumn="0" w:noHBand="0" w:noVBand="0"/>
        </w:tblPrEx>
        <w:tc>
          <w:tcPr>
            <w:tcW w:w="1129" w:type="dxa"/>
            <w:shd w:val="clear" w:color="auto" w:fill="auto"/>
            <w:vAlign w:val="center"/>
          </w:tcPr>
          <w:p w14:paraId="40A012B3"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lastRenderedPageBreak/>
              <w:t>9</w:t>
            </w:r>
          </w:p>
        </w:tc>
        <w:tc>
          <w:tcPr>
            <w:tcW w:w="7683" w:type="dxa"/>
            <w:shd w:val="clear" w:color="auto" w:fill="auto"/>
          </w:tcPr>
          <w:p w14:paraId="57FA323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Esimese taseme põhiomavahendite </w:t>
            </w:r>
            <w:r w:rsidRPr="00B94845">
              <w:rPr>
                <w:rFonts w:ascii="Times New Roman" w:hAnsi="Times New Roman"/>
                <w:b/>
                <w:bCs/>
                <w:szCs w:val="22"/>
                <w:u w:val="single"/>
              </w:rPr>
              <w:t>korrigeerimine seoses usaldatavusfiltritega</w:t>
            </w:r>
          </w:p>
          <w:p w14:paraId="34657C57"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 xml:space="preserve">Määruse (EL) </w:t>
            </w:r>
            <w:r w:rsidRPr="00B94845">
              <w:rPr>
                <w:rStyle w:val="FormatvorlageInstructionsTabelleText"/>
                <w:rFonts w:ascii="Times New Roman" w:hAnsi="Times New Roman"/>
                <w:sz w:val="22"/>
                <w:szCs w:val="22"/>
              </w:rPr>
              <w:t>2019/2033</w:t>
            </w:r>
            <w:r w:rsidRPr="00B94845">
              <w:rPr>
                <w:rStyle w:val="FormatvorlageInstructionsTabelleText"/>
                <w:rFonts w:ascii="Times New Roman" w:hAnsi="Times New Roman"/>
                <w:sz w:val="22"/>
                <w:szCs w:val="22"/>
              </w:rPr>
              <w:t xml:space="preserve"> artikli 9 lõike 1 punkt i</w:t>
            </w:r>
          </w:p>
          <w:p w14:paraId="345FE1F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Määruse (EL) nr 575/2013 artiklid 32–35</w:t>
            </w:r>
          </w:p>
        </w:tc>
      </w:tr>
      <w:tr w:rsidR="00BC606C" w:rsidRPr="00B94845" w14:paraId="17994E63" w14:textId="77777777">
        <w:tblPrEx>
          <w:tblLook w:val="00A0" w:firstRow="1" w:lastRow="0" w:firstColumn="1" w:lastColumn="0" w:noHBand="0" w:noVBand="0"/>
        </w:tblPrEx>
        <w:tc>
          <w:tcPr>
            <w:tcW w:w="1129" w:type="dxa"/>
            <w:shd w:val="clear" w:color="auto" w:fill="auto"/>
            <w:vAlign w:val="center"/>
          </w:tcPr>
          <w:p w14:paraId="1F7A4311"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10</w:t>
            </w:r>
          </w:p>
        </w:tc>
        <w:tc>
          <w:tcPr>
            <w:tcW w:w="7683" w:type="dxa"/>
            <w:shd w:val="clear" w:color="auto" w:fill="auto"/>
          </w:tcPr>
          <w:p w14:paraId="306B945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Muud vahendid</w:t>
            </w:r>
          </w:p>
          <w:p w14:paraId="2A263A5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4</w:t>
            </w:r>
          </w:p>
        </w:tc>
      </w:tr>
      <w:tr w:rsidR="00BC606C" w:rsidRPr="00B94845" w14:paraId="41FC29D7" w14:textId="77777777">
        <w:tblPrEx>
          <w:tblLook w:val="00A0" w:firstRow="1" w:lastRow="0" w:firstColumn="1" w:lastColumn="0" w:noHBand="0" w:noVBand="0"/>
        </w:tblPrEx>
        <w:tc>
          <w:tcPr>
            <w:tcW w:w="1129" w:type="dxa"/>
            <w:shd w:val="clear" w:color="auto" w:fill="auto"/>
            <w:vAlign w:val="center"/>
          </w:tcPr>
          <w:p w14:paraId="6F60EE93"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11</w:t>
            </w:r>
          </w:p>
        </w:tc>
        <w:tc>
          <w:tcPr>
            <w:tcW w:w="7683" w:type="dxa"/>
            <w:shd w:val="clear" w:color="auto" w:fill="auto"/>
          </w:tcPr>
          <w:p w14:paraId="74AD6999"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 ESIMESE TASEME PÕHIOMAVAHENDITEST TEHTUD </w:t>
            </w:r>
            <w:r w:rsidRPr="00B94845">
              <w:rPr>
                <w:rFonts w:ascii="Times New Roman" w:hAnsi="Times New Roman"/>
                <w:b/>
                <w:bCs/>
                <w:szCs w:val="22"/>
                <w:u w:val="single"/>
              </w:rPr>
              <w:t>MAHAARVAMISED KOKKU</w:t>
            </w:r>
          </w:p>
          <w:p w14:paraId="3BB8F783"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Avalikustatakse ridade 12 ja 18 kogusumma.</w:t>
            </w:r>
          </w:p>
        </w:tc>
      </w:tr>
      <w:tr w:rsidR="00BC606C" w:rsidRPr="00B94845" w14:paraId="7455C18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1DE015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CE7019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Jooksva majandusaasta kahjum</w:t>
            </w:r>
          </w:p>
          <w:p w14:paraId="053599B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szCs w:val="22"/>
              </w:rPr>
              <w:t>Määruse (EL) nr 575/2013 artikli 36 lõike 1 punkt a</w:t>
            </w:r>
          </w:p>
        </w:tc>
      </w:tr>
      <w:tr w:rsidR="00BC606C" w:rsidRPr="00B94845" w14:paraId="1B80950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8EDB0DC"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1A69B8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Firmaväärtus</w:t>
            </w:r>
          </w:p>
          <w:p w14:paraId="1FAA297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5E05B1B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 xml:space="preserve">Määruse (EL) </w:t>
            </w:r>
            <w:r w:rsidRPr="00B94845">
              <w:rPr>
                <w:rStyle w:val="FormatvorlageInstructionsTabelleText"/>
                <w:rFonts w:ascii="Times New Roman" w:hAnsi="Times New Roman"/>
                <w:sz w:val="22"/>
                <w:szCs w:val="22"/>
              </w:rPr>
              <w:t>nr 575/2013 artikli 4 lõike 1 punkt 113, artikli 36 lõike 1 punkt b ja artikkel 37</w:t>
            </w:r>
          </w:p>
        </w:tc>
      </w:tr>
      <w:tr w:rsidR="00BC606C" w:rsidRPr="00B94845" w14:paraId="50565E6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EE0E5B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4D9404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Muu immateriaalne vara</w:t>
            </w:r>
          </w:p>
          <w:p w14:paraId="1D82958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35AEC09F" w14:textId="77777777" w:rsidR="00BC606C" w:rsidRPr="00B94845" w:rsidRDefault="00B94845">
            <w:pPr>
              <w:pStyle w:val="InstructionsText"/>
              <w:rPr>
                <w:rStyle w:val="FormatvorlageInstructionsTabelleText"/>
                <w:rFonts w:ascii="Times New Roman" w:eastAsiaTheme="minorHAnsi" w:hAnsi="Times New Roman"/>
                <w:bCs/>
                <w:sz w:val="22"/>
              </w:rPr>
            </w:pPr>
            <w:r w:rsidRPr="00B94845">
              <w:rPr>
                <w:rStyle w:val="FormatvorlageInstructionsTabelleText"/>
                <w:rFonts w:ascii="Times New Roman" w:hAnsi="Times New Roman"/>
                <w:sz w:val="22"/>
              </w:rPr>
              <w:t xml:space="preserve">Määruse (EL) nr 575/2013 artikli 4 lõike 1 punkt 115, artikli 36 lõike 1 punkt b ja </w:t>
            </w:r>
            <w:r w:rsidRPr="00B94845">
              <w:rPr>
                <w:rStyle w:val="FormatvorlageInstructionsTabelleText"/>
                <w:rFonts w:ascii="Times New Roman" w:hAnsi="Times New Roman"/>
                <w:sz w:val="22"/>
              </w:rPr>
              <w:t>artikli 37 punkt a</w:t>
            </w:r>
          </w:p>
          <w:p w14:paraId="0C205B2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Muu immateriaalne vara on kohaldatava raamatupidamistava alusel kajastatav immateriaalne vara, millest on maha arvatud firmaväärtus vastavalt kohaldatavale raamatupidamistavale.</w:t>
            </w:r>
          </w:p>
        </w:tc>
      </w:tr>
      <w:tr w:rsidR="00BC606C" w:rsidRPr="00B94845" w14:paraId="171C364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C718BB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B089DB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Tulevasel kasumlikkusel põhinev edasilükkunud tulum</w:t>
            </w:r>
            <w:r w:rsidRPr="00B94845">
              <w:rPr>
                <w:rFonts w:ascii="Times New Roman" w:hAnsi="Times New Roman"/>
                <w:b/>
                <w:bCs/>
                <w:szCs w:val="22"/>
                <w:u w:val="single"/>
              </w:rPr>
              <w:t>aksu vara, mis ei tulene ajutistest erinevustest, pärast seotud tulumaksu kohustuste mahaarvamist</w:t>
            </w:r>
          </w:p>
          <w:p w14:paraId="2497CAA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a</w:t>
            </w:r>
          </w:p>
          <w:p w14:paraId="6E46399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36 lõike 1 punkt c</w:t>
            </w:r>
          </w:p>
        </w:tc>
      </w:tr>
      <w:tr w:rsidR="00BC606C" w:rsidRPr="00B94845" w14:paraId="1F5E35B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05B860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231AFE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Väljaspool finantssektorit olev oluline osalus, m</w:t>
            </w:r>
            <w:r w:rsidRPr="00B94845">
              <w:rPr>
                <w:rFonts w:ascii="Times New Roman" w:hAnsi="Times New Roman"/>
                <w:b/>
                <w:bCs/>
                <w:szCs w:val="22"/>
                <w:u w:val="single"/>
              </w:rPr>
              <w:t>is ületab 15 % omavahenditest</w:t>
            </w:r>
          </w:p>
          <w:p w14:paraId="073535D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10 lõike 1 punkt a</w:t>
            </w:r>
          </w:p>
        </w:tc>
      </w:tr>
      <w:tr w:rsidR="00BC606C" w:rsidRPr="00B94845" w14:paraId="0CE95E3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C3EABE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B56A12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Finantssektorivälistes ettevõtjates olevate oluliste osaluste kogusumma, mis ületab 60 % omavahenditest</w:t>
            </w:r>
          </w:p>
          <w:p w14:paraId="1570368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10 lõike 1 punkt a</w:t>
            </w:r>
          </w:p>
        </w:tc>
      </w:tr>
      <w:tr w:rsidR="00BC606C" w:rsidRPr="00B94845" w14:paraId="7E6B4C18" w14:textId="77777777">
        <w:tblPrEx>
          <w:tblLook w:val="00A0" w:firstRow="1" w:lastRow="0" w:firstColumn="1" w:lastColumn="0" w:noHBand="0" w:noVBand="0"/>
        </w:tblPrEx>
        <w:tc>
          <w:tcPr>
            <w:tcW w:w="1129" w:type="dxa"/>
            <w:vAlign w:val="center"/>
          </w:tcPr>
          <w:p w14:paraId="6FD1520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4C43D64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Muud mahaarvamised</w:t>
            </w:r>
          </w:p>
          <w:p w14:paraId="617FC9B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szCs w:val="22"/>
              </w:rPr>
              <w:t>Määruse (EL) nr 575/2013 artikli 36 lõikes 1 loetletud muude mahaarvamiste summa.</w:t>
            </w:r>
          </w:p>
        </w:tc>
      </w:tr>
      <w:tr w:rsidR="00BC606C" w:rsidRPr="00B94845" w14:paraId="4E4A7A06" w14:textId="77777777">
        <w:tblPrEx>
          <w:tblLook w:val="00A0" w:firstRow="1" w:lastRow="0" w:firstColumn="1" w:lastColumn="0" w:noHBand="0" w:noVBand="0"/>
        </w:tblPrEx>
        <w:tc>
          <w:tcPr>
            <w:tcW w:w="1129" w:type="dxa"/>
            <w:vAlign w:val="center"/>
          </w:tcPr>
          <w:p w14:paraId="75533F42"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15AEC1A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Esimese taseme põhiomavahendid: muud kapitalielemendid, mahaarvamised ja korrigeerimised</w:t>
            </w:r>
          </w:p>
          <w:p w14:paraId="6C474B0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See rida sisaldab </w:t>
            </w:r>
            <w:r w:rsidRPr="00B94845">
              <w:rPr>
                <w:rFonts w:ascii="Times New Roman" w:hAnsi="Times New Roman"/>
                <w:bCs/>
                <w:szCs w:val="22"/>
              </w:rPr>
              <w:t>asjakohasel juhul järgmiste kirjete summat:</w:t>
            </w:r>
          </w:p>
          <w:p w14:paraId="061629F5"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üleminekusätetest tulenev korrigeerimine seoses varasemalt kehtinud nõuete ajutise kohaldamisega esimese taseme põhiomavahenditesse kuuluvate </w:t>
            </w:r>
            <w:r w:rsidRPr="00B94845">
              <w:rPr>
                <w:rFonts w:ascii="Times New Roman" w:hAnsi="Times New Roman"/>
                <w:bCs/>
              </w:rPr>
              <w:lastRenderedPageBreak/>
              <w:t>instrumentide suhtes (määruse (EL) nr 575/2013 artikli 483 lõiked 1,</w:t>
            </w:r>
            <w:r w:rsidRPr="00B94845">
              <w:rPr>
                <w:rFonts w:ascii="Times New Roman" w:hAnsi="Times New Roman"/>
                <w:bCs/>
              </w:rPr>
              <w:t xml:space="preserve"> 2 ja 3 ning artiklid 484–487);</w:t>
            </w:r>
          </w:p>
          <w:p w14:paraId="1B544A63"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üleminekusätetest tulenev korrigeerimine seoses täiendavate vähemusosalustega (määruse (EL) nr 575/2013 artiklid 479 ja 480);</w:t>
            </w:r>
          </w:p>
          <w:p w14:paraId="0BB67C27"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üleminekusätetest tulenevad esimese taseme põhiomavahendite korrigeerimised (määruse (EL)</w:t>
            </w:r>
            <w:r w:rsidRPr="00B94845">
              <w:rPr>
                <w:rFonts w:ascii="Times New Roman" w:hAnsi="Times New Roman"/>
                <w:bCs/>
              </w:rPr>
              <w:t xml:space="preserve"> nr 575/2013 artiklid 469–478 ja 481): üleminekusätetest tulenevate esimese taseme põhiomavahenditest tehtavate mahaarvamiste korrigeerimine;</w:t>
            </w:r>
          </w:p>
          <w:p w14:paraId="72C5A2E1" w14:textId="77777777" w:rsidR="00BC606C" w:rsidRPr="00B94845" w:rsidRDefault="00B94845">
            <w:pPr>
              <w:spacing w:after="120"/>
              <w:ind w:left="360" w:hanging="360"/>
              <w:contextualSpacing/>
              <w:jc w:val="both"/>
              <w:rPr>
                <w:rFonts w:ascii="Times New Roman" w:eastAsia="Times New Roman" w:hAnsi="Times New Roman"/>
                <w:b/>
                <w:bCs/>
                <w:u w:val="single"/>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esimese taseme põhiomavahendite elemendid või mahaarvamised esimese taseme põhiomavahendite elemendist, mid</w:t>
            </w:r>
            <w:r w:rsidRPr="00B94845">
              <w:rPr>
                <w:rFonts w:ascii="Times New Roman" w:hAnsi="Times New Roman"/>
                <w:bCs/>
              </w:rPr>
              <w:t>a ei saa määrata ühele ridadest 4–18.</w:t>
            </w:r>
          </w:p>
          <w:p w14:paraId="2306933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Seda rida ei tohi kasutada selleks, et kaasata maksevõime suhtarvude arvutusse kapitalikirjeid või mahaarvamisi, mis ei ole hõlmatud määrusega (EL) </w:t>
            </w:r>
            <w:r w:rsidRPr="00B94845">
              <w:rPr>
                <w:rFonts w:ascii="Times New Roman" w:hAnsi="Times New Roman"/>
                <w:bCs/>
                <w:szCs w:val="22"/>
              </w:rPr>
              <w:t>2019/2033</w:t>
            </w:r>
            <w:r w:rsidRPr="00B94845">
              <w:rPr>
                <w:rFonts w:ascii="Times New Roman" w:hAnsi="Times New Roman"/>
                <w:bCs/>
                <w:szCs w:val="22"/>
              </w:rPr>
              <w:t xml:space="preserve"> või määrusega (EL) nr 575/2013.</w:t>
            </w:r>
          </w:p>
        </w:tc>
      </w:tr>
      <w:tr w:rsidR="00BC606C" w:rsidRPr="00B94845" w14:paraId="4E0E00DE" w14:textId="77777777">
        <w:tblPrEx>
          <w:tblLook w:val="00A0" w:firstRow="1" w:lastRow="0" w:firstColumn="1" w:lastColumn="0" w:noHBand="0" w:noVBand="0"/>
        </w:tblPrEx>
        <w:tc>
          <w:tcPr>
            <w:tcW w:w="1129" w:type="dxa"/>
            <w:vAlign w:val="center"/>
          </w:tcPr>
          <w:p w14:paraId="1A38183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7506B0C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TÄIENDAVAD ESIMESE TASEM</w:t>
            </w:r>
            <w:r w:rsidRPr="00B94845">
              <w:rPr>
                <w:rFonts w:ascii="Times New Roman" w:hAnsi="Times New Roman"/>
                <w:b/>
                <w:bCs/>
                <w:szCs w:val="22"/>
                <w:u w:val="single"/>
              </w:rPr>
              <w:t>E OMAVAHENDID</w:t>
            </w:r>
          </w:p>
          <w:p w14:paraId="1CB7B8B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4F367E87" w14:textId="77777777" w:rsidR="00BC606C" w:rsidRPr="00B94845" w:rsidRDefault="00B94845">
            <w:pPr>
              <w:spacing w:after="120"/>
              <w:jc w:val="both"/>
              <w:rPr>
                <w:rFonts w:ascii="Times New Roman" w:hAnsi="Times New Roman" w:cs="Times New Roman"/>
                <w:szCs w:val="22"/>
              </w:rPr>
            </w:pPr>
            <w:r w:rsidRPr="00B94845">
              <w:rPr>
                <w:rFonts w:ascii="Times New Roman" w:hAnsi="Times New Roman"/>
                <w:szCs w:val="22"/>
              </w:rPr>
              <w:t>Määruse (EL) nr 575/2013 artikkel 61</w:t>
            </w:r>
          </w:p>
          <w:p w14:paraId="78A0DB6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Avalikustatakse ridade 21 ja 24 kogusumma.</w:t>
            </w:r>
          </w:p>
        </w:tc>
      </w:tr>
      <w:tr w:rsidR="00BC606C" w:rsidRPr="00B94845" w14:paraId="49CB2713" w14:textId="77777777">
        <w:tblPrEx>
          <w:tblLook w:val="00A0" w:firstRow="1" w:lastRow="0" w:firstColumn="1" w:lastColumn="0" w:noHBand="0" w:noVBand="0"/>
        </w:tblPrEx>
        <w:tc>
          <w:tcPr>
            <w:tcW w:w="1129" w:type="dxa"/>
            <w:vAlign w:val="center"/>
          </w:tcPr>
          <w:p w14:paraId="0A4427A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73B1234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
                <w:bCs/>
                <w:szCs w:val="22"/>
                <w:u w:val="single"/>
              </w:rPr>
              <w:t>Täielikult sissemakstud otseemiteeritud kapital</w:t>
            </w:r>
          </w:p>
          <w:p w14:paraId="6DA43CA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50B8B4DA"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Määruse (EL) nr 575/2013 artikli 51 punkt a ning artiklid 52, 53 ja 54</w:t>
            </w:r>
          </w:p>
          <w:p w14:paraId="58FF00B6"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Avalikustatav summa ei hõlma instrumentidega seotud ülekurssi.</w:t>
            </w:r>
          </w:p>
        </w:tc>
      </w:tr>
      <w:tr w:rsidR="00BC606C" w:rsidRPr="00B94845" w14:paraId="28CA7312" w14:textId="77777777">
        <w:tblPrEx>
          <w:tblLook w:val="00A0" w:firstRow="1" w:lastRow="0" w:firstColumn="1" w:lastColumn="0" w:noHBand="0" w:noVBand="0"/>
        </w:tblPrEx>
        <w:tc>
          <w:tcPr>
            <w:tcW w:w="1129" w:type="dxa"/>
            <w:vAlign w:val="center"/>
          </w:tcPr>
          <w:p w14:paraId="11A6DF6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49D4D0D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Ülekurss</w:t>
            </w:r>
          </w:p>
          <w:p w14:paraId="045D06A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7FD4E4C5"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 xml:space="preserve">Määruse (EL) </w:t>
            </w:r>
            <w:r w:rsidRPr="00B94845">
              <w:rPr>
                <w:rStyle w:val="FormatvorlageInstructionsTabelleText"/>
                <w:rFonts w:ascii="Times New Roman" w:hAnsi="Times New Roman"/>
                <w:sz w:val="22"/>
              </w:rPr>
              <w:t>nr 575/2013 artikli 51 punkt b</w:t>
            </w:r>
          </w:p>
          <w:p w14:paraId="25594AEF"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Ülekurss on määratletud kohaldatavas raamatupidamistavas.</w:t>
            </w:r>
          </w:p>
          <w:p w14:paraId="6D9C85E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Selle kirje puhul avalikustatav summa on kirjega „Sissemakstud kapitaliinstrumendid“ seotud osa.</w:t>
            </w:r>
          </w:p>
        </w:tc>
      </w:tr>
      <w:tr w:rsidR="00BC606C" w:rsidRPr="00B94845" w14:paraId="2035408D" w14:textId="77777777">
        <w:tblPrEx>
          <w:tblLook w:val="00A0" w:firstRow="1" w:lastRow="0" w:firstColumn="1" w:lastColumn="0" w:noHBand="0" w:noVBand="0"/>
        </w:tblPrEx>
        <w:tc>
          <w:tcPr>
            <w:tcW w:w="1129" w:type="dxa"/>
            <w:tcBorders>
              <w:bottom w:val="single" w:sz="4" w:space="0" w:color="auto"/>
            </w:tcBorders>
            <w:vAlign w:val="center"/>
          </w:tcPr>
          <w:p w14:paraId="79AD463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076A98A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TÄIENDAVATEST ESIMESE TASEME OMAVAHENDITEST TEHTUD MAHAARVAMIS</w:t>
            </w:r>
            <w:r w:rsidRPr="00B94845">
              <w:rPr>
                <w:rFonts w:ascii="Times New Roman" w:hAnsi="Times New Roman"/>
                <w:b/>
                <w:bCs/>
                <w:szCs w:val="22"/>
                <w:u w:val="single"/>
              </w:rPr>
              <w:t>ED KOKKU</w:t>
            </w:r>
          </w:p>
          <w:p w14:paraId="1F6FD46E" w14:textId="77777777" w:rsidR="00BC606C" w:rsidRPr="00B94845" w:rsidRDefault="00B94845">
            <w:pPr>
              <w:spacing w:before="60" w:after="60"/>
              <w:rPr>
                <w:rFonts w:ascii="Times New Roman" w:eastAsia="Times New Roman" w:hAnsi="Times New Roman" w:cs="Times New Roman"/>
                <w:b/>
                <w:bCs/>
                <w:szCs w:val="22"/>
                <w:u w:val="single"/>
              </w:rPr>
            </w:pPr>
            <w:r w:rsidRPr="00B94845">
              <w:rPr>
                <w:rFonts w:ascii="Times New Roman" w:hAnsi="Times New Roman"/>
                <w:szCs w:val="22"/>
              </w:rPr>
              <w:t>Määruse (EL) nr 575/2013 artikkel 56</w:t>
            </w:r>
          </w:p>
        </w:tc>
      </w:tr>
      <w:tr w:rsidR="00BC606C" w:rsidRPr="00B94845" w14:paraId="5E935790" w14:textId="77777777">
        <w:tblPrEx>
          <w:tblLook w:val="00A0" w:firstRow="1" w:lastRow="0" w:firstColumn="1" w:lastColumn="0" w:noHBand="0" w:noVBand="0"/>
        </w:tblPrEx>
        <w:tc>
          <w:tcPr>
            <w:tcW w:w="1129" w:type="dxa"/>
            <w:tcBorders>
              <w:bottom w:val="single" w:sz="4" w:space="0" w:color="auto"/>
            </w:tcBorders>
            <w:vAlign w:val="center"/>
          </w:tcPr>
          <w:p w14:paraId="35FA2ABA"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594602A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Täiendavad esimese taseme omavahendid: muud kapitalielemendid, mahaarvamised ja korrigeerimised</w:t>
            </w:r>
          </w:p>
          <w:p w14:paraId="6DE1904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See rida sisaldab asjakohasel juhul järgmiste kirjete summat:</w:t>
            </w:r>
          </w:p>
          <w:p w14:paraId="016896B7"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üleminekusätetest tulenev </w:t>
            </w:r>
            <w:r w:rsidRPr="00B94845">
              <w:rPr>
                <w:rFonts w:ascii="Times New Roman" w:hAnsi="Times New Roman"/>
                <w:bCs/>
              </w:rPr>
              <w:t>korrigeerimine seoses varasemalt kehtinud nõuete ajutise kohaldamisega täiendavatesse esimese taseme omavahenditesse kuuluvate instrumentide suhtes (määruse (EL) nr 575/2013 artikli 483 lõiked 4 ja 5, artiklid 484–487 ning artiklid 489 ja 491);</w:t>
            </w:r>
          </w:p>
          <w:p w14:paraId="246A9079"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tütarette</w:t>
            </w:r>
            <w:r w:rsidRPr="00B94845">
              <w:rPr>
                <w:rFonts w:ascii="Times New Roman" w:hAnsi="Times New Roman"/>
                <w:bCs/>
              </w:rPr>
              <w:t>võtjate emiteeritud instrumendid, mis arvatakse täiendavate esimese taseme omavahendite hulka (määruse (EL) nr 575/2013 artiklid 83, 85 ja 86): tütarettevõtjate kõigi kvalifitseeruvate esimese taseme omavahendite summa, mis arvatakse konsolideeritud täiend</w:t>
            </w:r>
            <w:r w:rsidRPr="00B94845">
              <w:rPr>
                <w:rFonts w:ascii="Times New Roman" w:hAnsi="Times New Roman"/>
                <w:bCs/>
              </w:rPr>
              <w:t>avate esimese taseme omavahendite hulka, sealhulgas eriotstarbelise ettevõtja emiteeritud omavahendid (määruse (EL) nr 575/2013 artikkel 83);</w:t>
            </w:r>
          </w:p>
          <w:p w14:paraId="273528F5"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üleminekusätetest tulenev korrigeerimine seoses tütarettevõtjate emiteeritud instrumentide täiendava kajastamise</w:t>
            </w:r>
            <w:r w:rsidRPr="00B94845">
              <w:rPr>
                <w:rFonts w:ascii="Times New Roman" w:hAnsi="Times New Roman"/>
                <w:bCs/>
              </w:rPr>
              <w:t xml:space="preserve">ga täiendavates esimese taseme </w:t>
            </w:r>
            <w:r w:rsidRPr="00B94845">
              <w:rPr>
                <w:rFonts w:ascii="Times New Roman" w:hAnsi="Times New Roman"/>
                <w:bCs/>
              </w:rPr>
              <w:lastRenderedPageBreak/>
              <w:t>omavahendites (määruse (EL) nr 575/2013 artikkel 480): üleminekusätetest tulenev korrigeerimine seoses kvalifitseeruvate esimese taseme omavahenditega, mis arvatakse konsolideeritud täiendavate esimese taseme omavahendite hul</w:t>
            </w:r>
            <w:r w:rsidRPr="00B94845">
              <w:rPr>
                <w:rFonts w:ascii="Times New Roman" w:hAnsi="Times New Roman"/>
                <w:bCs/>
              </w:rPr>
              <w:t>ka;</w:t>
            </w:r>
          </w:p>
          <w:p w14:paraId="3D710A6B"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üleminekusätetest tulenevad täiendavate esimese taseme omavahendite korrigeerimised (määruse (EL) nr 575/2013 artiklid 472, 473a, 474, 475, 478 ja 481): üleminekusätetest tulenev mahaarvamiste korrigeerimine;</w:t>
            </w:r>
          </w:p>
          <w:p w14:paraId="34A99109"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täiendavate esimese taseme omavahe</w:t>
            </w:r>
            <w:r w:rsidRPr="00B94845">
              <w:rPr>
                <w:rFonts w:ascii="Times New Roman" w:hAnsi="Times New Roman"/>
                <w:bCs/>
              </w:rPr>
              <w:t>ndite kirjetest tehtavate mahaarvamiste summa, mis ületab täiendavaid esimese taseme omavahendeid ja mis arvatakse maha esimese taseme põhiomavahenditest vastavalt määruse (EL) nr 575/2013 artikli 36 lõike 1 punktile j. Täiendavad esimese taseme omavahendi</w:t>
            </w:r>
            <w:r w:rsidRPr="00B94845">
              <w:rPr>
                <w:rFonts w:ascii="Times New Roman" w:hAnsi="Times New Roman"/>
                <w:bCs/>
              </w:rPr>
              <w:t>d ei saa olla negatiivsed, kuid on võimalik, et mahaarvamised täiendavate esimese taseme omavahendite kirjetest ületavad olemasolevate täiendavate esimese taseme omavahendite kirjete summat. Sellisel juhul kajastab see kirje summat, mida on vaja real 20 ka</w:t>
            </w:r>
            <w:r w:rsidRPr="00B94845">
              <w:rPr>
                <w:rFonts w:ascii="Times New Roman" w:hAnsi="Times New Roman"/>
                <w:bCs/>
              </w:rPr>
              <w:t>jastatud summa suurendamiseks nullini ning mis võrdub muude mahaarvamiste kõrval real 18 kajastatud täiendavatest esimese taseme omavahenditest tehtavate mahaarvamiste sellise summa pöördväärtusega, mis ületab täiendavaid esimese taseme omavahendeid.</w:t>
            </w:r>
          </w:p>
          <w:p w14:paraId="682DE67A"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w:t>
            </w:r>
            <w:r w:rsidRPr="00B94845">
              <w:rPr>
                <w:rFonts w:ascii="Times New Roman" w:hAnsi="Times New Roman"/>
                <w:bCs/>
              </w:rPr>
              <w:t>d täiendavate esimese taseme omavahendite elemendid või mahaarvamised täiendavate esimese taseme omavahendite elemendist, mida ei saa määrata ühele ridadest 21–23.</w:t>
            </w:r>
          </w:p>
          <w:p w14:paraId="43EFB8D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Seda rida ei tohi kasutada selleks, et kaasata maksevõime suhtarvude arvutusse kapitalikirje</w:t>
            </w:r>
            <w:r w:rsidRPr="00B94845">
              <w:rPr>
                <w:rFonts w:ascii="Times New Roman" w:hAnsi="Times New Roman"/>
                <w:bCs/>
                <w:szCs w:val="22"/>
              </w:rPr>
              <w:t xml:space="preserve">id või mahaarvamisi, mis ei ole hõlmatud määrusega (EL) </w:t>
            </w:r>
            <w:r w:rsidRPr="00B94845">
              <w:rPr>
                <w:rFonts w:ascii="Times New Roman" w:hAnsi="Times New Roman"/>
                <w:bCs/>
                <w:szCs w:val="22"/>
              </w:rPr>
              <w:t>2019/2033</w:t>
            </w:r>
            <w:r w:rsidRPr="00B94845">
              <w:rPr>
                <w:rFonts w:ascii="Times New Roman" w:hAnsi="Times New Roman"/>
                <w:bCs/>
                <w:szCs w:val="22"/>
              </w:rPr>
              <w:t xml:space="preserve"> või määrusega (EL) nr 575/2013.</w:t>
            </w:r>
          </w:p>
        </w:tc>
      </w:tr>
      <w:tr w:rsidR="00BC606C" w:rsidRPr="00B94845" w14:paraId="0C966298" w14:textId="77777777">
        <w:tblPrEx>
          <w:tblLook w:val="00A0" w:firstRow="1" w:lastRow="0" w:firstColumn="1" w:lastColumn="0" w:noHBand="0" w:noVBand="0"/>
        </w:tblPrEx>
        <w:tc>
          <w:tcPr>
            <w:tcW w:w="1129" w:type="dxa"/>
            <w:shd w:val="clear" w:color="auto" w:fill="auto"/>
            <w:vAlign w:val="center"/>
          </w:tcPr>
          <w:p w14:paraId="55931D6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07DB0BE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TEISE TASEME OMAVAHENDID</w:t>
            </w:r>
          </w:p>
          <w:p w14:paraId="796535F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3AD4781C"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Määruse (EL) nr 575/2013 artikkel 71</w:t>
            </w:r>
          </w:p>
          <w:p w14:paraId="04109E5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Avalikustatakse ridade 26 ja 29 </w:t>
            </w:r>
            <w:r w:rsidRPr="00B94845">
              <w:rPr>
                <w:rFonts w:ascii="Times New Roman" w:hAnsi="Times New Roman"/>
                <w:bCs/>
                <w:szCs w:val="22"/>
              </w:rPr>
              <w:t>kogusumma.</w:t>
            </w:r>
          </w:p>
        </w:tc>
      </w:tr>
      <w:tr w:rsidR="00BC606C" w:rsidRPr="00B94845" w14:paraId="3A98633F" w14:textId="77777777">
        <w:tblPrEx>
          <w:tblLook w:val="00A0" w:firstRow="1" w:lastRow="0" w:firstColumn="1" w:lastColumn="0" w:noHBand="0" w:noVBand="0"/>
        </w:tblPrEx>
        <w:tc>
          <w:tcPr>
            <w:tcW w:w="1129" w:type="dxa"/>
            <w:shd w:val="clear" w:color="auto" w:fill="auto"/>
            <w:vAlign w:val="center"/>
          </w:tcPr>
          <w:p w14:paraId="00511A8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273F84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
                <w:bCs/>
                <w:szCs w:val="22"/>
                <w:u w:val="single"/>
              </w:rPr>
              <w:t>Täielikult sissemakstud otseemiteeritud kapitaliinstrumendid</w:t>
            </w:r>
          </w:p>
          <w:p w14:paraId="76077A1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17E43148" w14:textId="77777777" w:rsidR="00BC606C" w:rsidRPr="00B94845" w:rsidRDefault="00B94845">
            <w:pPr>
              <w:pStyle w:val="InstructionsText"/>
              <w:rPr>
                <w:rStyle w:val="FormatvorlageInstructionsTabelleText"/>
                <w:rFonts w:ascii="Times New Roman" w:eastAsiaTheme="minorHAnsi" w:hAnsi="Times New Roman"/>
                <w:bCs/>
                <w:sz w:val="22"/>
              </w:rPr>
            </w:pPr>
            <w:r w:rsidRPr="00B94845">
              <w:rPr>
                <w:rStyle w:val="FormatvorlageInstructionsTabelleText"/>
                <w:rFonts w:ascii="Times New Roman" w:hAnsi="Times New Roman"/>
                <w:sz w:val="22"/>
              </w:rPr>
              <w:t>Määruse (EL) nr 575/2013 artikli 62 punkt a ning artiklid 63–65</w:t>
            </w:r>
          </w:p>
          <w:p w14:paraId="2843581F"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 xml:space="preserve">Avalikustatav summa ei hõlma instrumentidega seotud </w:t>
            </w:r>
            <w:r w:rsidRPr="00B94845">
              <w:rPr>
                <w:rStyle w:val="FormatvorlageInstructionsTabelleText"/>
                <w:rFonts w:ascii="Times New Roman" w:hAnsi="Times New Roman"/>
                <w:sz w:val="22"/>
                <w:szCs w:val="22"/>
              </w:rPr>
              <w:t>ülekurssi.</w:t>
            </w:r>
          </w:p>
        </w:tc>
      </w:tr>
      <w:tr w:rsidR="00BC606C" w:rsidRPr="00B94845" w14:paraId="2D7D262B" w14:textId="77777777">
        <w:tblPrEx>
          <w:tblLook w:val="00A0" w:firstRow="1" w:lastRow="0" w:firstColumn="1" w:lastColumn="0" w:noHBand="0" w:noVBand="0"/>
        </w:tblPrEx>
        <w:tc>
          <w:tcPr>
            <w:tcW w:w="1129" w:type="dxa"/>
            <w:shd w:val="clear" w:color="auto" w:fill="auto"/>
            <w:vAlign w:val="center"/>
          </w:tcPr>
          <w:p w14:paraId="0324346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EFAA54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Ülekurss</w:t>
            </w:r>
          </w:p>
          <w:p w14:paraId="10A2D96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527A2725"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Määruse (EL) nr 575/2013 artikli 62 punkt b ja artikkel 65</w:t>
            </w:r>
          </w:p>
          <w:p w14:paraId="333C862B"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Ülekurss on määratletud kohaldatavas raamatupidamistavas.</w:t>
            </w:r>
          </w:p>
          <w:p w14:paraId="33F3DD4A" w14:textId="77777777" w:rsidR="00BC606C" w:rsidRPr="00B94845" w:rsidRDefault="00B94845">
            <w:pPr>
              <w:pStyle w:val="InstructionsText"/>
            </w:pPr>
            <w:r w:rsidRPr="00B94845">
              <w:rPr>
                <w:rStyle w:val="FormatvorlageInstructionsTabelleText"/>
                <w:rFonts w:ascii="Times New Roman" w:hAnsi="Times New Roman"/>
                <w:sz w:val="22"/>
              </w:rPr>
              <w:t xml:space="preserve">Selle kirje puhul avalikustatav summa on kirjega </w:t>
            </w:r>
            <w:r w:rsidRPr="00B94845">
              <w:rPr>
                <w:rStyle w:val="FormatvorlageInstructionsTabelleText"/>
                <w:rFonts w:ascii="Times New Roman" w:hAnsi="Times New Roman"/>
                <w:sz w:val="22"/>
              </w:rPr>
              <w:t>„Sissemakstud kapitaliinstrumendid“ seotud osa.</w:t>
            </w:r>
          </w:p>
        </w:tc>
      </w:tr>
      <w:tr w:rsidR="00BC606C" w:rsidRPr="00B94845" w14:paraId="4F6E4A6D" w14:textId="77777777">
        <w:tblPrEx>
          <w:tblLook w:val="00A0" w:firstRow="1" w:lastRow="0" w:firstColumn="1" w:lastColumn="0" w:noHBand="0" w:noVBand="0"/>
        </w:tblPrEx>
        <w:tc>
          <w:tcPr>
            <w:tcW w:w="1129" w:type="dxa"/>
            <w:shd w:val="clear" w:color="auto" w:fill="auto"/>
            <w:vAlign w:val="center"/>
          </w:tcPr>
          <w:p w14:paraId="352E01A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41017EA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TEISE TASEME OMAVAHENDITEST TEHTUD MAHAARVAMISED KOKKU</w:t>
            </w:r>
          </w:p>
          <w:p w14:paraId="71651F4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szCs w:val="22"/>
              </w:rPr>
              <w:t>Määruse (EL) nr 575/2013 artikkel 66</w:t>
            </w:r>
          </w:p>
        </w:tc>
      </w:tr>
      <w:tr w:rsidR="00BC606C" w:rsidRPr="00B94845" w14:paraId="4983A76A" w14:textId="77777777">
        <w:tblPrEx>
          <w:tblLook w:val="00A0" w:firstRow="1" w:lastRow="0" w:firstColumn="1" w:lastColumn="0" w:noHBand="0" w:noVBand="0"/>
        </w:tblPrEx>
        <w:tc>
          <w:tcPr>
            <w:tcW w:w="1129" w:type="dxa"/>
            <w:shd w:val="clear" w:color="auto" w:fill="auto"/>
            <w:vAlign w:val="center"/>
          </w:tcPr>
          <w:p w14:paraId="552A0AD8"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8EED2B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Teise taseme omavahendid: muud kapitalielemendid, mahaarvamised ja korrigeerimised</w:t>
            </w:r>
          </w:p>
          <w:p w14:paraId="0D17877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See rida sisaldab asj</w:t>
            </w:r>
            <w:r w:rsidRPr="00B94845">
              <w:rPr>
                <w:rFonts w:ascii="Times New Roman" w:hAnsi="Times New Roman"/>
                <w:bCs/>
                <w:szCs w:val="22"/>
              </w:rPr>
              <w:t>akohasel juhul järgmiste kirjete summat:</w:t>
            </w:r>
          </w:p>
          <w:p w14:paraId="5AB380F1"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üleminekusätetest tulenev korrigeerimine seoses varasemalt kehtinud nõuete ajutise kohaldamisega teise taseme omavahenditesse kuuluvate instrumentide </w:t>
            </w:r>
            <w:r w:rsidRPr="00B94845">
              <w:rPr>
                <w:rFonts w:ascii="Times New Roman" w:hAnsi="Times New Roman"/>
                <w:bCs/>
              </w:rPr>
              <w:lastRenderedPageBreak/>
              <w:t xml:space="preserve">suhtes (määruse (EL) nr 575/2013 artikli 483 lõiked 6 ja 7 </w:t>
            </w:r>
            <w:r w:rsidRPr="00B94845">
              <w:rPr>
                <w:rFonts w:ascii="Times New Roman" w:hAnsi="Times New Roman"/>
                <w:bCs/>
              </w:rPr>
              <w:t>ning artiklid 484, 486, 488, 490 ja 491);</w:t>
            </w:r>
          </w:p>
          <w:p w14:paraId="336692AA"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tütarettevõtja emiteeritud instrumendid, mis arvatakse teise taseme omavahendite hulka (määruse (EL) nr 575/2013 artiklid 83, 87 ja 88): tütarettevõtjate kõigi kvalifitseeruvate omavahendite summa, mis arvatakse </w:t>
            </w:r>
            <w:r w:rsidRPr="00B94845">
              <w:rPr>
                <w:rFonts w:ascii="Times New Roman" w:hAnsi="Times New Roman"/>
                <w:bCs/>
              </w:rPr>
              <w:t>konsolideeritud teise taseme omavahendite hulka, sealhulgas eriotstarbelise ettevõtja emiteeritud kvalifitseeruvad teise taseme omavahendid (määruse (EL) nr 575/2013 artikkel 83);</w:t>
            </w:r>
          </w:p>
          <w:p w14:paraId="011559EE"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üleminekusätetest tulenev korrigeerimine seoses tütarettevõtjate emiteerit</w:t>
            </w:r>
            <w:r w:rsidRPr="00B94845">
              <w:rPr>
                <w:rFonts w:ascii="Times New Roman" w:hAnsi="Times New Roman"/>
                <w:bCs/>
              </w:rPr>
              <w:t>ud instrumentide täiendava kajastamisega teise taseme omavahendites (määruse (EL) nr 575/2013 artikkel 480): üleminekusätetest tulenev korrigeerimine seoses kvalifitseeruvate omavahenditega, mis arvatakse konsolideeritud teise taseme omavahendite hulka;</w:t>
            </w:r>
          </w:p>
          <w:p w14:paraId="2B27AE98"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üleminekusätetest tulenevad teise taseme omavahendite korrigeerimised (määruse (EL) nr 575/2013 artiklid 472, 473a, 476, 477, 478 ja 481): üleminekusätetest tulenevate teise taseme omavahenditest tehtavate mahaarvamiste korrigeerimine;</w:t>
            </w:r>
          </w:p>
          <w:p w14:paraId="2C61BA5D"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teise taseme </w:t>
            </w:r>
            <w:r w:rsidRPr="00B94845">
              <w:rPr>
                <w:rFonts w:ascii="Times New Roman" w:hAnsi="Times New Roman"/>
                <w:bCs/>
              </w:rPr>
              <w:t>omavahendite kirjetest tehtavate mahaarvamiste summa, mis ületab teise taseme omavahendeid ja mis arvatakse maha täiendavatest esimese taseme omavahenditest vastavalt määruse (EL) nr 575/2013 artikli 56 punktile e. Teise taseme omavahendid ei saa olla nega</w:t>
            </w:r>
            <w:r w:rsidRPr="00B94845">
              <w:rPr>
                <w:rFonts w:ascii="Times New Roman" w:hAnsi="Times New Roman"/>
                <w:bCs/>
              </w:rPr>
              <w:t>tiivsed, kuid on võimalik, et mahaarvamised teise taseme omavahendite kirjetest ületavad olemasolevate teise taseme omavahendite kirjete summat. Sel juhul kajastab see kirje summat, mida on vaja real 25 kajastatud summa suurendamiseks nullini;</w:t>
            </w:r>
          </w:p>
          <w:p w14:paraId="3C374928"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teise</w:t>
            </w:r>
            <w:r w:rsidRPr="00B94845">
              <w:rPr>
                <w:rFonts w:ascii="Times New Roman" w:hAnsi="Times New Roman"/>
                <w:bCs/>
              </w:rPr>
              <w:t xml:space="preserve"> taseme omavahendite elemendid või mahaarvamised teise taseme omavahendite elemendist, mida ei saa määrata ühele ridadest 26–28.</w:t>
            </w:r>
          </w:p>
          <w:p w14:paraId="2FFE4AA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Seda rida ei tohi kasutada selleks, et kaasata maksevõime suhtarvude arvutusse kapitalikirjeid või mahaarvamisi, mis ei ole hõl</w:t>
            </w:r>
            <w:r w:rsidRPr="00B94845">
              <w:rPr>
                <w:rFonts w:ascii="Times New Roman" w:hAnsi="Times New Roman"/>
                <w:bCs/>
                <w:szCs w:val="22"/>
              </w:rPr>
              <w:t xml:space="preserve">matud määrusega (EL) </w:t>
            </w:r>
            <w:r w:rsidRPr="00B94845">
              <w:rPr>
                <w:rFonts w:ascii="Times New Roman" w:hAnsi="Times New Roman"/>
                <w:bCs/>
                <w:szCs w:val="22"/>
              </w:rPr>
              <w:t>2019/2033</w:t>
            </w:r>
            <w:r w:rsidRPr="00B94845">
              <w:rPr>
                <w:rFonts w:ascii="Times New Roman" w:hAnsi="Times New Roman"/>
                <w:bCs/>
                <w:szCs w:val="22"/>
              </w:rPr>
              <w:t xml:space="preserve"> või määrusega (EL) nr 575/2013.</w:t>
            </w:r>
          </w:p>
        </w:tc>
      </w:tr>
    </w:tbl>
    <w:p w14:paraId="5ABA5BCE" w14:textId="77777777" w:rsidR="00BC606C" w:rsidRPr="00B94845" w:rsidRDefault="00BC606C">
      <w:pPr>
        <w:ind w:left="720"/>
        <w:rPr>
          <w:rFonts w:ascii="Times New Roman" w:hAnsi="Times New Roman" w:cs="Times New Roman"/>
          <w:b/>
          <w:bCs/>
          <w:sz w:val="24"/>
        </w:rPr>
      </w:pPr>
    </w:p>
    <w:p w14:paraId="3A60E6EC" w14:textId="77777777" w:rsidR="00BC606C" w:rsidRPr="00B94845" w:rsidRDefault="00B94845">
      <w:pPr>
        <w:ind w:left="720"/>
        <w:rPr>
          <w:rFonts w:ascii="Times New Roman" w:hAnsi="Times New Roman" w:cs="Times New Roman"/>
          <w:b/>
          <w:bCs/>
          <w:sz w:val="24"/>
        </w:rPr>
      </w:pPr>
      <w:r w:rsidRPr="00B94845">
        <w:rPr>
          <w:rFonts w:ascii="Times New Roman" w:hAnsi="Times New Roman"/>
          <w:b/>
          <w:bCs/>
          <w:sz w:val="24"/>
        </w:rPr>
        <w:t>Vorm EU CC</w:t>
      </w:r>
      <w:r w:rsidRPr="00B94845">
        <w:rPr>
          <w:rFonts w:ascii="Times New Roman" w:hAnsi="Times New Roman"/>
          <w:b/>
          <w:bCs/>
          <w:sz w:val="24"/>
        </w:rPr>
        <w:t>1.03.</w:t>
      </w:r>
      <w:r w:rsidRPr="00B94845">
        <w:rPr>
          <w:rFonts w:ascii="Times New Roman" w:hAnsi="Times New Roman"/>
          <w:b/>
          <w:bCs/>
          <w:sz w:val="24"/>
        </w:rPr>
        <w:t xml:space="preserve"> Regulatiivsete omavahendite koosseis (grupi kapitalitest)</w:t>
      </w:r>
    </w:p>
    <w:p w14:paraId="3287B397" w14:textId="77777777" w:rsidR="00BC606C" w:rsidRPr="00B94845" w:rsidRDefault="00B94845">
      <w:pPr>
        <w:tabs>
          <w:tab w:val="left" w:pos="360"/>
        </w:tabs>
        <w:spacing w:before="120" w:after="120"/>
        <w:ind w:left="360" w:hanging="360"/>
        <w:jc w:val="both"/>
        <w:rPr>
          <w:rFonts w:ascii="Times New Roman" w:hAnsi="Times New Roman" w:cs="Times New Roman"/>
          <w:bCs/>
          <w:sz w:val="24"/>
        </w:rPr>
      </w:pPr>
      <w:r w:rsidRPr="00B94845">
        <w:rPr>
          <w:rFonts w:ascii="Times New Roman" w:hAnsi="Times New Roman" w:cs="Times New Roman"/>
          <w:bCs/>
          <w:sz w:val="24"/>
        </w:rPr>
        <w:t>6.</w:t>
      </w:r>
      <w:r w:rsidRPr="00B94845">
        <w:rPr>
          <w:rFonts w:ascii="Times New Roman" w:hAnsi="Times New Roman" w:cs="Times New Roman"/>
          <w:bCs/>
          <w:sz w:val="24"/>
        </w:rPr>
        <w:tab/>
      </w:r>
      <w:r w:rsidRPr="00B94845">
        <w:rPr>
          <w:rFonts w:ascii="Times New Roman" w:hAnsi="Times New Roman"/>
          <w:bCs/>
          <w:sz w:val="24"/>
        </w:rPr>
        <w:t xml:space="preserve">Määruse (EL) </w:t>
      </w:r>
      <w:r w:rsidRPr="00B94845">
        <w:rPr>
          <w:rFonts w:ascii="Times New Roman" w:hAnsi="Times New Roman"/>
          <w:bCs/>
          <w:sz w:val="24"/>
        </w:rPr>
        <w:t>2019/2033</w:t>
      </w:r>
      <w:r w:rsidRPr="00B94845">
        <w:rPr>
          <w:rFonts w:ascii="Times New Roman" w:hAnsi="Times New Roman"/>
          <w:bCs/>
          <w:sz w:val="24"/>
        </w:rPr>
        <w:t xml:space="preserve"> artikli 8 lõikes 3 osutatud üksused, kes saavad kasu kõnealuse artikli kohaldamisest, avali</w:t>
      </w:r>
      <w:r w:rsidRPr="00B94845">
        <w:rPr>
          <w:rFonts w:ascii="Times New Roman" w:hAnsi="Times New Roman"/>
          <w:bCs/>
          <w:sz w:val="24"/>
        </w:rPr>
        <w:t>kustavad teabe omavahendite koosseisu kohta vastavalt vormile EU I CC</w:t>
      </w:r>
      <w:r w:rsidRPr="00B94845">
        <w:rPr>
          <w:rFonts w:ascii="Times New Roman" w:hAnsi="Times New Roman"/>
          <w:bCs/>
          <w:sz w:val="24"/>
        </w:rPr>
        <w:t>1.03</w:t>
      </w:r>
      <w:r w:rsidRPr="00B94845">
        <w:rPr>
          <w:rFonts w:ascii="Times New Roman" w:hAnsi="Times New Roman"/>
          <w:bCs/>
          <w:sz w:val="24"/>
        </w:rPr>
        <w:t xml:space="preserve"> ja järgmistele juhistele.</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C606C" w:rsidRPr="00B94845" w14:paraId="09CCBED0" w14:textId="77777777">
        <w:tc>
          <w:tcPr>
            <w:tcW w:w="1129" w:type="dxa"/>
            <w:shd w:val="clear" w:color="auto" w:fill="D9D9D9"/>
          </w:tcPr>
          <w:p w14:paraId="1B01891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szCs w:val="22"/>
              </w:rPr>
              <w:t>Rida</w:t>
            </w:r>
          </w:p>
        </w:tc>
        <w:tc>
          <w:tcPr>
            <w:tcW w:w="7620" w:type="dxa"/>
            <w:shd w:val="clear" w:color="auto" w:fill="D9D9D9"/>
          </w:tcPr>
          <w:p w14:paraId="24F5EE8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szCs w:val="22"/>
              </w:rPr>
              <w:t>Viited õigussätetele ja juhised</w:t>
            </w:r>
          </w:p>
        </w:tc>
      </w:tr>
      <w:tr w:rsidR="00BC606C" w:rsidRPr="00B94845" w14:paraId="6A259E64" w14:textId="77777777">
        <w:tc>
          <w:tcPr>
            <w:tcW w:w="1129" w:type="dxa"/>
            <w:vAlign w:val="center"/>
          </w:tcPr>
          <w:p w14:paraId="0EC0D82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color w:val="000000"/>
                <w:szCs w:val="22"/>
              </w:rPr>
              <w:t>1</w:t>
            </w:r>
          </w:p>
        </w:tc>
        <w:tc>
          <w:tcPr>
            <w:tcW w:w="7620" w:type="dxa"/>
          </w:tcPr>
          <w:p w14:paraId="1731188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OMAVAHENDID</w:t>
            </w:r>
          </w:p>
          <w:p w14:paraId="51879E8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5AD9A1E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 xml:space="preserve">Investeerimisühingu omavahendid võrduvad tema esimese ja </w:t>
            </w:r>
            <w:r w:rsidRPr="00B94845">
              <w:rPr>
                <w:rStyle w:val="FormatvorlageInstructionsTabelleText"/>
                <w:rFonts w:ascii="Times New Roman" w:hAnsi="Times New Roman"/>
                <w:sz w:val="22"/>
                <w:szCs w:val="22"/>
              </w:rPr>
              <w:t>teise taseme omavahendite summaga.</w:t>
            </w:r>
          </w:p>
        </w:tc>
      </w:tr>
      <w:tr w:rsidR="00BC606C" w:rsidRPr="00B94845" w14:paraId="6EAADA7C" w14:textId="77777777">
        <w:tc>
          <w:tcPr>
            <w:tcW w:w="1129" w:type="dxa"/>
            <w:vAlign w:val="center"/>
          </w:tcPr>
          <w:p w14:paraId="403A635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color w:val="000000"/>
                <w:szCs w:val="22"/>
              </w:rPr>
              <w:t>2</w:t>
            </w:r>
          </w:p>
        </w:tc>
        <w:tc>
          <w:tcPr>
            <w:tcW w:w="7620" w:type="dxa"/>
          </w:tcPr>
          <w:p w14:paraId="1B026BA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ESIMESE TASEME OMAVAHENDID</w:t>
            </w:r>
          </w:p>
          <w:p w14:paraId="46E8DE7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Esimese taseme omavahendid võrduvad esimese taseme põhiomavahendite ja täiendavate esimese taseme omavahendite summaga.</w:t>
            </w:r>
          </w:p>
        </w:tc>
      </w:tr>
      <w:tr w:rsidR="00BC606C" w:rsidRPr="00B94845" w14:paraId="61C3FC23" w14:textId="77777777">
        <w:tc>
          <w:tcPr>
            <w:tcW w:w="1129" w:type="dxa"/>
            <w:vAlign w:val="center"/>
          </w:tcPr>
          <w:p w14:paraId="2B8CB8C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color w:val="000000"/>
                <w:szCs w:val="22"/>
              </w:rPr>
              <w:t>3</w:t>
            </w:r>
          </w:p>
        </w:tc>
        <w:tc>
          <w:tcPr>
            <w:tcW w:w="7620" w:type="dxa"/>
          </w:tcPr>
          <w:p w14:paraId="5099ED0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InstructionsTabelleberschrift"/>
                <w:rFonts w:ascii="Times New Roman" w:hAnsi="Times New Roman"/>
                <w:sz w:val="22"/>
                <w:szCs w:val="22"/>
              </w:rPr>
              <w:t>ESIMESE TASEME PÕHIOMAVAHENDID</w:t>
            </w:r>
          </w:p>
          <w:p w14:paraId="3C2728F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455B7C7F" w14:textId="77777777" w:rsidR="00BC606C" w:rsidRPr="00B94845" w:rsidRDefault="00B94845">
            <w:pPr>
              <w:spacing w:after="120"/>
              <w:jc w:val="both"/>
              <w:rPr>
                <w:rFonts w:ascii="Times New Roman" w:eastAsia="Times New Roman" w:hAnsi="Times New Roman" w:cs="Times New Roman"/>
                <w:bCs/>
                <w:szCs w:val="22"/>
              </w:rPr>
            </w:pPr>
            <w:r w:rsidRPr="00B94845">
              <w:rPr>
                <w:rStyle w:val="FormatvorlageInstructionsTabelleText"/>
                <w:rFonts w:ascii="Times New Roman" w:hAnsi="Times New Roman"/>
                <w:sz w:val="22"/>
                <w:szCs w:val="22"/>
              </w:rPr>
              <w:t>Määruse (EL) nr 575/2013 artikkel 50</w:t>
            </w:r>
          </w:p>
        </w:tc>
      </w:tr>
      <w:tr w:rsidR="00BC606C" w:rsidRPr="00B94845" w14:paraId="3993C62F" w14:textId="77777777">
        <w:tc>
          <w:tcPr>
            <w:tcW w:w="1129" w:type="dxa"/>
            <w:vAlign w:val="center"/>
          </w:tcPr>
          <w:p w14:paraId="36ACA90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4</w:t>
            </w:r>
          </w:p>
        </w:tc>
        <w:tc>
          <w:tcPr>
            <w:tcW w:w="7620" w:type="dxa"/>
          </w:tcPr>
          <w:p w14:paraId="18DE258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Sissemakstud kapitaliinstrumendid</w:t>
            </w:r>
          </w:p>
          <w:p w14:paraId="1D5167CF"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lastRenderedPageBreak/>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57082E8A"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Määruse (EL) nr 575/2013 artikli 26 lõike 1 punkt a ja artiklid 27–31</w:t>
            </w:r>
          </w:p>
          <w:p w14:paraId="6FEE42C4"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 xml:space="preserve">See hõlmab vastastikuste seltside, ühistute </w:t>
            </w:r>
            <w:r w:rsidRPr="00B94845">
              <w:rPr>
                <w:rStyle w:val="FormatvorlageInstructionsTabelleText"/>
                <w:rFonts w:ascii="Times New Roman" w:hAnsi="Times New Roman"/>
                <w:sz w:val="22"/>
              </w:rPr>
              <w:t>või samalaadsete investeerimisühingute kapitaliinstrumente (määruse (EL) nr 575/2013 artiklid 27–29).</w:t>
            </w:r>
          </w:p>
          <w:p w14:paraId="228442DB"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Arvesse ei võeta instrumentidega seotud ülekurssi.</w:t>
            </w:r>
          </w:p>
          <w:p w14:paraId="47058388" w14:textId="77777777" w:rsidR="00BC606C" w:rsidRPr="00B94845" w:rsidRDefault="00B94845">
            <w:pPr>
              <w:pStyle w:val="InstructionsText"/>
            </w:pPr>
            <w:r w:rsidRPr="00B94845">
              <w:rPr>
                <w:rStyle w:val="FormatvorlageInstructionsTabelleText"/>
                <w:rFonts w:ascii="Times New Roman" w:hAnsi="Times New Roman"/>
                <w:sz w:val="22"/>
              </w:rPr>
              <w:t xml:space="preserve">Arvesse võetakse avaliku sektori asutuste poolt hädaolukorras märgitud </w:t>
            </w:r>
            <w:r w:rsidRPr="00B94845">
              <w:rPr>
                <w:rStyle w:val="FormatvorlageInstructionsTabelleText"/>
                <w:rFonts w:ascii="Times New Roman" w:hAnsi="Times New Roman"/>
                <w:sz w:val="22"/>
              </w:rPr>
              <w:t>kapitaliinstrumente, kui täidetud on kõik määruse (EL) nr 575/2013 artiklis 31 sätestatud tingimused.</w:t>
            </w:r>
          </w:p>
        </w:tc>
      </w:tr>
      <w:tr w:rsidR="00BC606C" w:rsidRPr="00B94845" w14:paraId="35E26D28" w14:textId="77777777">
        <w:tc>
          <w:tcPr>
            <w:tcW w:w="1129" w:type="dxa"/>
            <w:vAlign w:val="center"/>
          </w:tcPr>
          <w:p w14:paraId="7526C16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5</w:t>
            </w:r>
          </w:p>
        </w:tc>
        <w:tc>
          <w:tcPr>
            <w:tcW w:w="7620" w:type="dxa"/>
          </w:tcPr>
          <w:p w14:paraId="6AD58AF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Ülekurss</w:t>
            </w:r>
          </w:p>
          <w:p w14:paraId="1D401E3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3FD2DACC"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Määruse (EL) nr 575/2013 artikli 26 lõike 1 punkt b</w:t>
            </w:r>
          </w:p>
          <w:p w14:paraId="1720A944"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 xml:space="preserve">Ülekurss on määratletud </w:t>
            </w:r>
            <w:r w:rsidRPr="00B94845">
              <w:rPr>
                <w:rStyle w:val="FormatvorlageInstructionsTabelleText"/>
                <w:rFonts w:ascii="Times New Roman" w:hAnsi="Times New Roman"/>
                <w:sz w:val="22"/>
              </w:rPr>
              <w:t>kohaldatavas raamatupidamistavas.</w:t>
            </w:r>
          </w:p>
          <w:p w14:paraId="5B0A516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Selle kirje puhul avalikustatav summa on kirjega „Sissemakstud kapitaliinstrumendid“ seotud osa.</w:t>
            </w:r>
          </w:p>
        </w:tc>
      </w:tr>
      <w:tr w:rsidR="00BC606C" w:rsidRPr="00B94845" w14:paraId="3419ADB9" w14:textId="77777777">
        <w:tc>
          <w:tcPr>
            <w:tcW w:w="1129" w:type="dxa"/>
            <w:vAlign w:val="center"/>
          </w:tcPr>
          <w:p w14:paraId="4A8277F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6</w:t>
            </w:r>
          </w:p>
        </w:tc>
        <w:tc>
          <w:tcPr>
            <w:tcW w:w="7620" w:type="dxa"/>
          </w:tcPr>
          <w:p w14:paraId="0A410FCE"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Jaotamata kasum</w:t>
            </w:r>
          </w:p>
          <w:p w14:paraId="7D0819D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3AD43C4D" w14:textId="77777777" w:rsidR="00BC606C" w:rsidRPr="00B94845" w:rsidRDefault="00B94845">
            <w:pPr>
              <w:spacing w:after="120"/>
              <w:jc w:val="both"/>
              <w:rPr>
                <w:rFonts w:ascii="Times New Roman" w:eastAsia="Times New Roman" w:hAnsi="Times New Roman" w:cs="Times New Roman"/>
                <w:bCs/>
                <w:szCs w:val="22"/>
              </w:rPr>
            </w:pPr>
            <w:r w:rsidRPr="00B94845">
              <w:rPr>
                <w:rStyle w:val="FormatvorlageInstructionsTabelleText"/>
                <w:rFonts w:ascii="Times New Roman" w:hAnsi="Times New Roman"/>
                <w:sz w:val="22"/>
                <w:szCs w:val="22"/>
              </w:rPr>
              <w:t>Määruse (EL) nr 575/2013 artikli 26 lõike 1 punkt c</w:t>
            </w:r>
          </w:p>
          <w:p w14:paraId="7B1A1EB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Jaota</w:t>
            </w:r>
            <w:r w:rsidRPr="00B94845">
              <w:rPr>
                <w:rStyle w:val="FormatvorlageInstructionsTabelleText"/>
                <w:rFonts w:ascii="Times New Roman" w:hAnsi="Times New Roman"/>
                <w:sz w:val="22"/>
                <w:szCs w:val="22"/>
              </w:rPr>
              <w:t>mata kasum hõlmab eelmiste aastate jaotamata kasumit koos aruandeperioodi aktsepteeritava vahekasumi või aastakasumiga.</w:t>
            </w:r>
          </w:p>
        </w:tc>
      </w:tr>
      <w:tr w:rsidR="00BC606C" w:rsidRPr="00B94845" w14:paraId="7E141EF3" w14:textId="77777777">
        <w:tc>
          <w:tcPr>
            <w:tcW w:w="1129" w:type="dxa"/>
            <w:vAlign w:val="center"/>
          </w:tcPr>
          <w:p w14:paraId="582A584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7</w:t>
            </w:r>
          </w:p>
        </w:tc>
        <w:tc>
          <w:tcPr>
            <w:tcW w:w="7620" w:type="dxa"/>
          </w:tcPr>
          <w:p w14:paraId="6B88FC2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Eelmiste aastate jaotamata kasum</w:t>
            </w:r>
          </w:p>
          <w:p w14:paraId="013F0B2A" w14:textId="77777777" w:rsidR="00BC606C" w:rsidRPr="00B94845" w:rsidRDefault="00B94845">
            <w:pPr>
              <w:spacing w:after="120"/>
              <w:jc w:val="both"/>
              <w:rPr>
                <w:rFonts w:ascii="Times New Roman" w:hAnsi="Times New Roman" w:cs="Times New Roman"/>
                <w:szCs w:val="22"/>
              </w:rPr>
            </w:pPr>
            <w:r w:rsidRPr="00B94845">
              <w:rPr>
                <w:rFonts w:ascii="Times New Roman" w:hAnsi="Times New Roman"/>
                <w:szCs w:val="22"/>
              </w:rPr>
              <w:t>Määruse (EL) nr 575/2013 artikli 4 lõike 1 punkt 123 ja artikli 26 lõike 1 punkt c</w:t>
            </w:r>
          </w:p>
          <w:p w14:paraId="6A9C026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szCs w:val="22"/>
              </w:rPr>
              <w:t>Määruse (EL) nr 5</w:t>
            </w:r>
            <w:r w:rsidRPr="00B94845">
              <w:rPr>
                <w:rFonts w:ascii="Times New Roman" w:hAnsi="Times New Roman"/>
                <w:szCs w:val="22"/>
              </w:rPr>
              <w:t>75/2013 artikli 4 lõike 1 punktis 123 on jaotamata kasum määratletud kui „eelmiste aastate jaotamata kasum või kahjum kohaldatava raamatupidamistava tähenduses“.</w:t>
            </w:r>
          </w:p>
        </w:tc>
      </w:tr>
      <w:tr w:rsidR="00BC606C" w:rsidRPr="00B94845" w14:paraId="28F2DFBF" w14:textId="77777777">
        <w:tc>
          <w:tcPr>
            <w:tcW w:w="1129" w:type="dxa"/>
            <w:vAlign w:val="center"/>
          </w:tcPr>
          <w:p w14:paraId="64F4422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8</w:t>
            </w:r>
          </w:p>
        </w:tc>
        <w:tc>
          <w:tcPr>
            <w:tcW w:w="7620" w:type="dxa"/>
          </w:tcPr>
          <w:p w14:paraId="099B490F"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Aktsepteeritav kasum või kahjum</w:t>
            </w:r>
          </w:p>
          <w:p w14:paraId="254E8B55" w14:textId="77777777" w:rsidR="00BC606C" w:rsidRPr="00B94845" w:rsidRDefault="00B94845">
            <w:pPr>
              <w:spacing w:after="120"/>
              <w:jc w:val="both"/>
              <w:rPr>
                <w:rFonts w:ascii="Times New Roman" w:eastAsia="Times New Roman" w:hAnsi="Times New Roman" w:cs="Times New Roman"/>
                <w:szCs w:val="22"/>
              </w:rPr>
            </w:pPr>
            <w:r w:rsidRPr="00B94845">
              <w:rPr>
                <w:rFonts w:ascii="Times New Roman" w:hAnsi="Times New Roman"/>
                <w:szCs w:val="22"/>
              </w:rPr>
              <w:t xml:space="preserve">Määruse (EL) nr 575/2013 artikli 4 lõike 1 punkt 121, </w:t>
            </w:r>
            <w:r w:rsidRPr="00B94845">
              <w:rPr>
                <w:rFonts w:ascii="Times New Roman" w:hAnsi="Times New Roman"/>
                <w:szCs w:val="22"/>
              </w:rPr>
              <w:t>artikli 26 lõige 2 ja artikli 36 lõike 1 punkt a</w:t>
            </w:r>
          </w:p>
          <w:p w14:paraId="51440F46" w14:textId="77777777" w:rsidR="00BC606C" w:rsidRPr="00B94845" w:rsidRDefault="00B94845">
            <w:pPr>
              <w:spacing w:after="120"/>
              <w:jc w:val="both"/>
              <w:rPr>
                <w:rFonts w:ascii="Times New Roman" w:eastAsia="Times New Roman" w:hAnsi="Times New Roman" w:cs="Times New Roman"/>
                <w:szCs w:val="22"/>
              </w:rPr>
            </w:pPr>
            <w:r w:rsidRPr="00B94845">
              <w:rPr>
                <w:rFonts w:ascii="Times New Roman" w:hAnsi="Times New Roman"/>
                <w:szCs w:val="22"/>
              </w:rPr>
              <w:t>Määruse (EL) nr 575/2013 artikli 26 lõikega 2 lubatakse pädevate asutuste eelneval nõusolekul võtta jaotamata kasumina arvesse aruandeperioodi vahekasumit või aastakasumit, kui täidetud on teatavad tingimuse</w:t>
            </w:r>
            <w:r w:rsidRPr="00B94845">
              <w:rPr>
                <w:rFonts w:ascii="Times New Roman" w:hAnsi="Times New Roman"/>
                <w:szCs w:val="22"/>
              </w:rPr>
              <w:t>d.</w:t>
            </w:r>
          </w:p>
          <w:p w14:paraId="3B0AD0A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szCs w:val="22"/>
              </w:rPr>
              <w:t>Teiselt poolt arvatakse vastavalt määruse (EL) nr 575/2013 artikli 36 lõike 1 punktile a esimese taseme põhiomavahenditest maha kahjum.</w:t>
            </w:r>
          </w:p>
        </w:tc>
      </w:tr>
      <w:tr w:rsidR="00BC606C" w:rsidRPr="00B94845" w14:paraId="23F5A61D" w14:textId="77777777">
        <w:tc>
          <w:tcPr>
            <w:tcW w:w="1129" w:type="dxa"/>
            <w:vAlign w:val="center"/>
          </w:tcPr>
          <w:p w14:paraId="087E76C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9</w:t>
            </w:r>
          </w:p>
        </w:tc>
        <w:tc>
          <w:tcPr>
            <w:tcW w:w="7620" w:type="dxa"/>
          </w:tcPr>
          <w:p w14:paraId="769EB82E"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Muu akumuleeritud koondkasum</w:t>
            </w:r>
          </w:p>
          <w:p w14:paraId="420CB665"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7CBE19ED" w14:textId="77777777" w:rsidR="00BC606C" w:rsidRPr="00B94845" w:rsidRDefault="00B94845">
            <w:pPr>
              <w:spacing w:after="120"/>
              <w:jc w:val="both"/>
              <w:rPr>
                <w:rFonts w:ascii="Times New Roman" w:hAnsi="Times New Roman" w:cs="Times New Roman"/>
                <w:bCs/>
                <w:szCs w:val="22"/>
              </w:rPr>
            </w:pPr>
            <w:r w:rsidRPr="00B94845">
              <w:rPr>
                <w:rStyle w:val="FormatvorlageInstructionsTabelleText"/>
                <w:rFonts w:ascii="Times New Roman" w:hAnsi="Times New Roman"/>
                <w:sz w:val="22"/>
                <w:szCs w:val="22"/>
              </w:rPr>
              <w:t xml:space="preserve">Määruse (EL) nr 575/2013 </w:t>
            </w:r>
            <w:r w:rsidRPr="00B94845">
              <w:rPr>
                <w:rStyle w:val="FormatvorlageInstructionsTabelleText"/>
                <w:rFonts w:ascii="Times New Roman" w:hAnsi="Times New Roman"/>
                <w:sz w:val="22"/>
                <w:szCs w:val="22"/>
              </w:rPr>
              <w:t>artikli 26 lõike 1 punkt d</w:t>
            </w:r>
          </w:p>
        </w:tc>
      </w:tr>
      <w:tr w:rsidR="00BC606C" w:rsidRPr="00B94845" w14:paraId="7250BAC0" w14:textId="77777777">
        <w:tc>
          <w:tcPr>
            <w:tcW w:w="1129" w:type="dxa"/>
            <w:vAlign w:val="center"/>
          </w:tcPr>
          <w:p w14:paraId="21F27AAF"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10</w:t>
            </w:r>
          </w:p>
        </w:tc>
        <w:tc>
          <w:tcPr>
            <w:tcW w:w="7620" w:type="dxa"/>
          </w:tcPr>
          <w:p w14:paraId="6E593E6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Muud reservid</w:t>
            </w:r>
          </w:p>
          <w:p w14:paraId="70BAC88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48ACEE24"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Määruse (EL) nr 575/2013 artikli 4 lõike 1 punkt 117 ja artikli 26 lõike 1 punkt e</w:t>
            </w:r>
          </w:p>
          <w:p w14:paraId="2D38ACF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 xml:space="preserve">Asjaomane summa avalikustatakse pärast arvutamise ajal prognoositavate maksude </w:t>
            </w:r>
            <w:r w:rsidRPr="00B94845">
              <w:rPr>
                <w:rStyle w:val="FormatvorlageInstructionsTabelleText"/>
                <w:rFonts w:ascii="Times New Roman" w:hAnsi="Times New Roman"/>
                <w:sz w:val="22"/>
                <w:szCs w:val="22"/>
              </w:rPr>
              <w:t>mahaarvamist.</w:t>
            </w:r>
          </w:p>
        </w:tc>
      </w:tr>
      <w:tr w:rsidR="00BC606C" w:rsidRPr="00B94845" w14:paraId="78276306" w14:textId="77777777">
        <w:tc>
          <w:tcPr>
            <w:tcW w:w="1129" w:type="dxa"/>
            <w:vAlign w:val="center"/>
          </w:tcPr>
          <w:p w14:paraId="1E193FFA"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t>11</w:t>
            </w:r>
          </w:p>
        </w:tc>
        <w:tc>
          <w:tcPr>
            <w:tcW w:w="7620" w:type="dxa"/>
          </w:tcPr>
          <w:p w14:paraId="49B826C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Esimese taseme põhiomavahendite korrigeerimine seoses usaldatavusfiltritega</w:t>
            </w:r>
          </w:p>
          <w:p w14:paraId="38B4425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lastRenderedPageBreak/>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7660BC5E"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Määruse (EL) nr 575/2013 artiklid 32–35</w:t>
            </w:r>
          </w:p>
        </w:tc>
      </w:tr>
      <w:tr w:rsidR="00BC606C" w:rsidRPr="00B94845" w14:paraId="233BCC63" w14:textId="77777777">
        <w:tc>
          <w:tcPr>
            <w:tcW w:w="1129" w:type="dxa"/>
            <w:vAlign w:val="center"/>
          </w:tcPr>
          <w:p w14:paraId="1A0EC735" w14:textId="77777777" w:rsidR="00BC606C" w:rsidRPr="00B94845" w:rsidRDefault="00B94845">
            <w:pPr>
              <w:spacing w:after="120"/>
              <w:jc w:val="both"/>
              <w:rPr>
                <w:rFonts w:ascii="Times New Roman" w:hAnsi="Times New Roman" w:cs="Times New Roman"/>
                <w:color w:val="000000"/>
                <w:szCs w:val="22"/>
              </w:rPr>
            </w:pPr>
            <w:r w:rsidRPr="00B94845">
              <w:rPr>
                <w:rFonts w:ascii="Times New Roman" w:hAnsi="Times New Roman"/>
                <w:color w:val="000000"/>
                <w:szCs w:val="22"/>
              </w:rPr>
              <w:lastRenderedPageBreak/>
              <w:t>12</w:t>
            </w:r>
          </w:p>
        </w:tc>
        <w:tc>
          <w:tcPr>
            <w:tcW w:w="7620" w:type="dxa"/>
          </w:tcPr>
          <w:p w14:paraId="43FCF0A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Muud vahendid</w:t>
            </w:r>
          </w:p>
          <w:p w14:paraId="59A8290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4</w:t>
            </w:r>
          </w:p>
        </w:tc>
      </w:tr>
      <w:tr w:rsidR="00BC606C" w:rsidRPr="00B94845" w14:paraId="276E635D" w14:textId="77777777">
        <w:tc>
          <w:tcPr>
            <w:tcW w:w="1129" w:type="dxa"/>
            <w:vAlign w:val="center"/>
          </w:tcPr>
          <w:p w14:paraId="481CC4AF"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13</w:t>
            </w:r>
          </w:p>
        </w:tc>
        <w:tc>
          <w:tcPr>
            <w:tcW w:w="7620" w:type="dxa"/>
          </w:tcPr>
          <w:p w14:paraId="12B25BC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ESIMESE TASEME PÕHIOMAVAHENDITEST TEHTUD MAHAARVAMISED KOKKU</w:t>
            </w:r>
          </w:p>
          <w:p w14:paraId="5F785C0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Avalikustatakse ridade 14–23 kogusumma.</w:t>
            </w:r>
          </w:p>
        </w:tc>
      </w:tr>
      <w:tr w:rsidR="00BC606C" w:rsidRPr="00B94845" w14:paraId="5FD4A17C" w14:textId="77777777">
        <w:tc>
          <w:tcPr>
            <w:tcW w:w="1129" w:type="dxa"/>
            <w:vAlign w:val="center"/>
          </w:tcPr>
          <w:p w14:paraId="50E6A7D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14</w:t>
            </w:r>
          </w:p>
        </w:tc>
        <w:tc>
          <w:tcPr>
            <w:tcW w:w="7620" w:type="dxa"/>
            <w:shd w:val="clear" w:color="auto" w:fill="auto"/>
          </w:tcPr>
          <w:p w14:paraId="3BC1169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Enda esimese taseme põhiomavahenditesse kuuluvad instrumendid</w:t>
            </w:r>
          </w:p>
          <w:p w14:paraId="798D00B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31604B9C"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Määruse (</w:t>
            </w:r>
            <w:r w:rsidRPr="00B94845">
              <w:rPr>
                <w:rStyle w:val="FormatvorlageInstructionsTabelleText"/>
                <w:rFonts w:ascii="Times New Roman" w:hAnsi="Times New Roman"/>
                <w:sz w:val="22"/>
              </w:rPr>
              <w:t>EL) nr 575/2013 artikli 36 lõike 1 punkt f ja artikkel 42</w:t>
            </w:r>
          </w:p>
          <w:p w14:paraId="56417A42"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Aruandva investeerimisühingu või konsolideerimisgrupi osalused enda esimese taseme põhiomavahendites aruandekuupäeva seisuga. Kohaldatakse määruse (EL) nr 575/2013 artiklis 42 sätestatud erandeid.</w:t>
            </w:r>
          </w:p>
          <w:p w14:paraId="28FC26F8"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O</w:t>
            </w:r>
            <w:r w:rsidRPr="00B94845">
              <w:rPr>
                <w:rStyle w:val="FormatvorlageInstructionsTabelleText"/>
                <w:rFonts w:ascii="Times New Roman" w:hAnsi="Times New Roman"/>
                <w:sz w:val="22"/>
              </w:rPr>
              <w:t>salusi aktsiates, mis kuuluvad kirje „mitteaktsepteeritavad kapitaliinstrumendid“ alla, ei kajastata sellel real.</w:t>
            </w:r>
          </w:p>
          <w:p w14:paraId="6C6FCEA2"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Avalikustatav summa hõlmab omaaktsiatega seotud ülekurssi.</w:t>
            </w:r>
          </w:p>
          <w:p w14:paraId="18571530" w14:textId="77777777" w:rsidR="00BC606C" w:rsidRPr="00B94845" w:rsidRDefault="00BC606C">
            <w:pPr>
              <w:pStyle w:val="InstructionsText"/>
            </w:pPr>
          </w:p>
        </w:tc>
      </w:tr>
      <w:tr w:rsidR="00BC606C" w:rsidRPr="00B94845" w14:paraId="082F407A" w14:textId="77777777">
        <w:tc>
          <w:tcPr>
            <w:tcW w:w="1129" w:type="dxa"/>
            <w:vAlign w:val="center"/>
          </w:tcPr>
          <w:p w14:paraId="7B44041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5DAB5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Jooksva majandusaasta kahjum</w:t>
            </w:r>
          </w:p>
          <w:p w14:paraId="5383F3DD"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szCs w:val="22"/>
              </w:rPr>
              <w:t xml:space="preserve">Määruse (EL) nr 575/2013 artikli 36 </w:t>
            </w:r>
            <w:r w:rsidRPr="00B94845">
              <w:rPr>
                <w:rFonts w:ascii="Times New Roman" w:hAnsi="Times New Roman"/>
                <w:szCs w:val="22"/>
              </w:rPr>
              <w:t>lõike 1 punkt a</w:t>
            </w:r>
          </w:p>
        </w:tc>
      </w:tr>
      <w:tr w:rsidR="00BC606C" w:rsidRPr="00B94845" w14:paraId="426599F2" w14:textId="77777777">
        <w:tc>
          <w:tcPr>
            <w:tcW w:w="1129" w:type="dxa"/>
            <w:vAlign w:val="center"/>
          </w:tcPr>
          <w:p w14:paraId="17C93DF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5B2F0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Firmaväärtus</w:t>
            </w:r>
          </w:p>
          <w:p w14:paraId="2B281AE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3C9BDC7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Määruse (EL) nr 575/2013 artikli 4 lõike 1 punkt 113, artikli 36 lõike 1 punkt b ja artikkel 37</w:t>
            </w:r>
          </w:p>
        </w:tc>
      </w:tr>
      <w:tr w:rsidR="00BC606C" w:rsidRPr="00B94845" w14:paraId="67E08AC2" w14:textId="77777777">
        <w:tc>
          <w:tcPr>
            <w:tcW w:w="1129" w:type="dxa"/>
            <w:vAlign w:val="center"/>
          </w:tcPr>
          <w:p w14:paraId="4ECFB52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6563A6"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Muu immateriaalne vara</w:t>
            </w:r>
          </w:p>
          <w:p w14:paraId="79AC9FE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6E7F87DB" w14:textId="77777777" w:rsidR="00BC606C" w:rsidRPr="00B94845" w:rsidRDefault="00B94845">
            <w:pPr>
              <w:pStyle w:val="InstructionsText"/>
              <w:rPr>
                <w:rStyle w:val="FormatvorlageInstructionsTabelleText"/>
                <w:rFonts w:ascii="Times New Roman" w:eastAsiaTheme="minorHAnsi" w:hAnsi="Times New Roman"/>
                <w:bCs/>
                <w:sz w:val="22"/>
              </w:rPr>
            </w:pPr>
            <w:r w:rsidRPr="00B94845">
              <w:rPr>
                <w:rStyle w:val="FormatvorlageInstructionsTabelleText"/>
                <w:rFonts w:ascii="Times New Roman" w:hAnsi="Times New Roman"/>
                <w:sz w:val="22"/>
              </w:rPr>
              <w:t>Määruse (EL) nr 575/2013 artikli 4 lõike 1 punkt 115, artikli 36 lõike 1 punkt b ja artikli 37 punkt a</w:t>
            </w:r>
          </w:p>
          <w:p w14:paraId="2D8BD11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Muu immateriaalne vara on kohaldatava raamatupidamistava alusel kajastatav immateriaalne vara, millest on maha arvatud firmavä</w:t>
            </w:r>
            <w:r w:rsidRPr="00B94845">
              <w:rPr>
                <w:rStyle w:val="FormatvorlageInstructionsTabelleText"/>
                <w:rFonts w:ascii="Times New Roman" w:hAnsi="Times New Roman"/>
                <w:sz w:val="22"/>
                <w:szCs w:val="22"/>
              </w:rPr>
              <w:t>ärtus vastavalt kohaldatavale raamatupidamistavale.</w:t>
            </w:r>
          </w:p>
        </w:tc>
      </w:tr>
      <w:tr w:rsidR="00BC606C" w:rsidRPr="00B94845" w14:paraId="1EEA491B" w14:textId="77777777">
        <w:tc>
          <w:tcPr>
            <w:tcW w:w="1129" w:type="dxa"/>
            <w:vAlign w:val="center"/>
          </w:tcPr>
          <w:p w14:paraId="2C3831E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DF6DA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Tulevasel kasumlikkusel põhinev edasilükkunud tulumaksu vara, mis ei tulene ajutistest erinevustest, pärast seotud tulumaksu kohustuste mahaarvamist</w:t>
            </w:r>
          </w:p>
          <w:p w14:paraId="507F118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w:t>
            </w:r>
            <w:r w:rsidRPr="00B94845">
              <w:rPr>
                <w:rFonts w:ascii="Times New Roman" w:hAnsi="Times New Roman"/>
                <w:bCs/>
                <w:szCs w:val="22"/>
              </w:rPr>
              <w:t>a</w:t>
            </w:r>
          </w:p>
          <w:p w14:paraId="35D09B8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36 lõike 1 punkt c</w:t>
            </w:r>
          </w:p>
        </w:tc>
      </w:tr>
      <w:tr w:rsidR="00BC606C" w:rsidRPr="00B94845" w14:paraId="79C9C59D" w14:textId="77777777">
        <w:tc>
          <w:tcPr>
            <w:tcW w:w="1129" w:type="dxa"/>
            <w:vAlign w:val="center"/>
          </w:tcPr>
          <w:p w14:paraId="1D034ED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22F4C3F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Väljaspool finantssektorit olev oluline osalus, mis ületab 15 % omavahenditest</w:t>
            </w:r>
          </w:p>
          <w:p w14:paraId="230E61C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10 lõike 1 punkt a</w:t>
            </w:r>
          </w:p>
        </w:tc>
      </w:tr>
      <w:tr w:rsidR="00BC606C" w:rsidRPr="00B94845" w14:paraId="6A698CB3" w14:textId="77777777">
        <w:tc>
          <w:tcPr>
            <w:tcW w:w="1129" w:type="dxa"/>
            <w:vAlign w:val="center"/>
          </w:tcPr>
          <w:p w14:paraId="4CAF0C53"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78A26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 Finantssektorivälistes ettevõtjates olevate </w:t>
            </w:r>
            <w:r w:rsidRPr="00B94845">
              <w:rPr>
                <w:rFonts w:ascii="Times New Roman" w:hAnsi="Times New Roman"/>
                <w:b/>
                <w:bCs/>
                <w:szCs w:val="22"/>
                <w:u w:val="single"/>
              </w:rPr>
              <w:t>oluliste osaluste kogusumma, mis ületab 60 % omavahenditest</w:t>
            </w:r>
          </w:p>
          <w:p w14:paraId="18FAD92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10 lõike 1 punkt b</w:t>
            </w:r>
          </w:p>
        </w:tc>
      </w:tr>
      <w:tr w:rsidR="00BC606C" w:rsidRPr="00B94845" w14:paraId="1231B0A4" w14:textId="77777777">
        <w:tc>
          <w:tcPr>
            <w:tcW w:w="1129" w:type="dxa"/>
            <w:vAlign w:val="center"/>
          </w:tcPr>
          <w:p w14:paraId="6E479F91"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lastRenderedPageBreak/>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C17722"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Selliste finantssektori ettevõtjate esimese taseme põhiomavahenditesse kuuluvad instrumendid, kus investeerimisühingul ei ole olulist inve</w:t>
            </w:r>
            <w:r w:rsidRPr="00B94845">
              <w:rPr>
                <w:rFonts w:ascii="Times New Roman" w:hAnsi="Times New Roman"/>
                <w:b/>
                <w:bCs/>
                <w:szCs w:val="22"/>
                <w:u w:val="single"/>
              </w:rPr>
              <w:t>steeringut</w:t>
            </w:r>
          </w:p>
          <w:p w14:paraId="35043E2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c</w:t>
            </w:r>
          </w:p>
          <w:p w14:paraId="7ED0253E"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36 lõike 1 punkt h</w:t>
            </w:r>
          </w:p>
        </w:tc>
      </w:tr>
      <w:tr w:rsidR="00BC606C" w:rsidRPr="00B94845" w14:paraId="3931816B" w14:textId="77777777">
        <w:tc>
          <w:tcPr>
            <w:tcW w:w="1129" w:type="dxa"/>
            <w:vAlign w:val="center"/>
          </w:tcPr>
          <w:p w14:paraId="1752337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8CEBF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Kindlaksmääratud hüvitisega pensionifondi varad</w:t>
            </w:r>
          </w:p>
          <w:p w14:paraId="0445421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b</w:t>
            </w:r>
          </w:p>
          <w:p w14:paraId="7006352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Määruse (EL) nr 575/2013 </w:t>
            </w:r>
            <w:r w:rsidRPr="00B94845">
              <w:rPr>
                <w:rFonts w:ascii="Times New Roman" w:hAnsi="Times New Roman"/>
                <w:bCs/>
                <w:szCs w:val="22"/>
              </w:rPr>
              <w:t>artikli 36 lõike 1 punkt e</w:t>
            </w:r>
          </w:p>
        </w:tc>
      </w:tr>
      <w:tr w:rsidR="00BC606C" w:rsidRPr="00B94845" w14:paraId="3EF26E36" w14:textId="77777777">
        <w:tc>
          <w:tcPr>
            <w:tcW w:w="1129" w:type="dxa"/>
            <w:vAlign w:val="center"/>
          </w:tcPr>
          <w:p w14:paraId="3B3EA98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6DFAA11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Muud mahaarvamised</w:t>
            </w:r>
          </w:p>
          <w:p w14:paraId="43020123"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szCs w:val="22"/>
              </w:rPr>
              <w:t>Määruse (EL) nr 575/2013 artikli 36 lõikes 1 loetletud muude mahaarvamiste summa.</w:t>
            </w:r>
          </w:p>
        </w:tc>
      </w:tr>
      <w:tr w:rsidR="00BC606C" w:rsidRPr="00B94845" w14:paraId="1CEACD87" w14:textId="77777777">
        <w:tc>
          <w:tcPr>
            <w:tcW w:w="1129" w:type="dxa"/>
          </w:tcPr>
          <w:p w14:paraId="757AE6EE"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6FA2616"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Esimese taseme põhiomavahendid: muud kapitalielemendid, mahaarvamised ja korrigeerimised</w:t>
            </w:r>
          </w:p>
          <w:p w14:paraId="4593C39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See rida sisaldab asjakohas</w:t>
            </w:r>
            <w:r w:rsidRPr="00B94845">
              <w:rPr>
                <w:rFonts w:ascii="Times New Roman" w:hAnsi="Times New Roman"/>
                <w:bCs/>
                <w:szCs w:val="22"/>
              </w:rPr>
              <w:t>el juhul järgmiste kirjete summat:</w:t>
            </w:r>
          </w:p>
          <w:p w14:paraId="50C2D756"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üleminekusätetest tulenev korrigeerimine seoses varasemalt kehtinud nõuete ajutise kohaldamisega esimese taseme põhiomavahenditesse kuuluvate instrumentide suhtes (määruse (EL) nr 575/2013 artikli 483 lõiked 1, 2 ja 3 </w:t>
            </w:r>
            <w:r w:rsidRPr="00B94845">
              <w:rPr>
                <w:rFonts w:ascii="Times New Roman" w:hAnsi="Times New Roman"/>
                <w:bCs/>
              </w:rPr>
              <w:t>ning artiklid 484–487);</w:t>
            </w:r>
          </w:p>
          <w:p w14:paraId="5DCBDE86"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üleminekusätetest tulenevad esimese taseme põhiomavahendite korrigeerimised (määruse (EL) nr 575/2013 artiklid 469–478 ja 481): üleminekusätetest tulenevate esimese taseme põhiomavahenditest tehtavate mahaarvamiste korrigeeri</w:t>
            </w:r>
            <w:r w:rsidRPr="00B94845">
              <w:rPr>
                <w:rFonts w:ascii="Times New Roman" w:hAnsi="Times New Roman"/>
                <w:bCs/>
              </w:rPr>
              <w:t>mine;</w:t>
            </w:r>
          </w:p>
          <w:p w14:paraId="7124A42D" w14:textId="77777777" w:rsidR="00BC606C" w:rsidRPr="00B94845" w:rsidRDefault="00B94845">
            <w:pPr>
              <w:spacing w:after="120"/>
              <w:ind w:left="360" w:hanging="360"/>
              <w:contextualSpacing/>
              <w:jc w:val="both"/>
              <w:rPr>
                <w:rFonts w:ascii="Times New Roman" w:eastAsia="Times New Roman" w:hAnsi="Times New Roman"/>
                <w:b/>
                <w:bCs/>
                <w:u w:val="single"/>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esimese taseme põhiomavahendite elemendid või mahaarvamised esimese taseme põhiomavahendite elemendist, mida ei saa määrata ühele ridadest 4–23.</w:t>
            </w:r>
          </w:p>
          <w:p w14:paraId="25BB48F6"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Seda rida ei tohi kasutada selleks, et kaasata maksevõime suhtarvude arvutusse kapitalikirjeid või</w:t>
            </w:r>
            <w:r w:rsidRPr="00B94845">
              <w:rPr>
                <w:rFonts w:ascii="Times New Roman" w:hAnsi="Times New Roman"/>
                <w:bCs/>
                <w:szCs w:val="22"/>
              </w:rPr>
              <w:t xml:space="preserve"> mahaarvamisi, mis ei ole hõlmatud määrusega (EL) </w:t>
            </w:r>
            <w:r w:rsidRPr="00B94845">
              <w:rPr>
                <w:rFonts w:ascii="Times New Roman" w:hAnsi="Times New Roman"/>
                <w:bCs/>
                <w:szCs w:val="22"/>
              </w:rPr>
              <w:t>2019/2033</w:t>
            </w:r>
            <w:r w:rsidRPr="00B94845">
              <w:rPr>
                <w:rFonts w:ascii="Times New Roman" w:hAnsi="Times New Roman"/>
                <w:bCs/>
                <w:szCs w:val="22"/>
              </w:rPr>
              <w:t xml:space="preserve"> või määrusega (EL) nr 575/2013.</w:t>
            </w:r>
          </w:p>
        </w:tc>
      </w:tr>
      <w:tr w:rsidR="00BC606C" w:rsidRPr="00B94845" w14:paraId="12D2102D" w14:textId="77777777">
        <w:tc>
          <w:tcPr>
            <w:tcW w:w="1129" w:type="dxa"/>
          </w:tcPr>
          <w:p w14:paraId="76DB647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9A9504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TÄIENDAVAD ESIMESE TASEME OMAVAHENDID</w:t>
            </w:r>
          </w:p>
          <w:p w14:paraId="4F7A0FD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18BF30C2" w14:textId="77777777" w:rsidR="00BC606C" w:rsidRPr="00B94845" w:rsidRDefault="00B94845">
            <w:pPr>
              <w:spacing w:after="120"/>
              <w:jc w:val="both"/>
              <w:rPr>
                <w:rFonts w:ascii="Times New Roman" w:hAnsi="Times New Roman" w:cs="Times New Roman"/>
                <w:szCs w:val="22"/>
              </w:rPr>
            </w:pPr>
            <w:r w:rsidRPr="00B94845">
              <w:rPr>
                <w:rFonts w:ascii="Times New Roman" w:hAnsi="Times New Roman"/>
                <w:szCs w:val="22"/>
              </w:rPr>
              <w:t>Määruse (EL) nr 575/2013 artikkel 61</w:t>
            </w:r>
          </w:p>
          <w:p w14:paraId="79BE410A"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Avalikustatakse ridade 26–28 ja 32 </w:t>
            </w:r>
            <w:r w:rsidRPr="00B94845">
              <w:rPr>
                <w:rFonts w:ascii="Times New Roman" w:hAnsi="Times New Roman"/>
                <w:bCs/>
                <w:szCs w:val="22"/>
              </w:rPr>
              <w:t>kogusumma.</w:t>
            </w:r>
          </w:p>
        </w:tc>
      </w:tr>
      <w:tr w:rsidR="00BC606C" w:rsidRPr="00B94845" w14:paraId="0D0D64DB" w14:textId="77777777">
        <w:tc>
          <w:tcPr>
            <w:tcW w:w="1129" w:type="dxa"/>
          </w:tcPr>
          <w:p w14:paraId="1FC3456C"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4B071E"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Sissemakstud kapitaliinstrumendid</w:t>
            </w:r>
          </w:p>
          <w:p w14:paraId="565CDD4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43A26674"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Määruse (EL) nr 575/2013 artikli 51 punkt a ning artiklid 52, 53 ja 54</w:t>
            </w:r>
          </w:p>
          <w:p w14:paraId="484152A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Avalikustatav summa ei hõlma instrumentidega seotud ülekurssi.</w:t>
            </w:r>
          </w:p>
        </w:tc>
      </w:tr>
      <w:tr w:rsidR="00BC606C" w:rsidRPr="00B94845" w14:paraId="202D841C" w14:textId="77777777">
        <w:tc>
          <w:tcPr>
            <w:tcW w:w="1129" w:type="dxa"/>
          </w:tcPr>
          <w:p w14:paraId="55E2ED4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7DB51D0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Ülekurss</w:t>
            </w:r>
          </w:p>
          <w:p w14:paraId="2827486C"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0612179A"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Määruse (EL) nr 575/2013 artikli 51 punkt b</w:t>
            </w:r>
          </w:p>
          <w:p w14:paraId="7F20238B"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Ülekurss on määratletud kohaldatavas raamatupidamistavas.</w:t>
            </w:r>
          </w:p>
          <w:p w14:paraId="0F0078F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Selle kirje puhul avalikustatav summa on kirjega „Sissemakstud kapitaliinstrumendid“ seotud osa.</w:t>
            </w:r>
          </w:p>
        </w:tc>
      </w:tr>
      <w:tr w:rsidR="00BC606C" w:rsidRPr="00B94845" w14:paraId="6283B904" w14:textId="77777777">
        <w:tc>
          <w:tcPr>
            <w:tcW w:w="1129" w:type="dxa"/>
          </w:tcPr>
          <w:p w14:paraId="0D31DAA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9CE54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 </w:t>
            </w:r>
            <w:r w:rsidRPr="00B94845">
              <w:rPr>
                <w:rFonts w:ascii="Times New Roman" w:hAnsi="Times New Roman"/>
                <w:b/>
                <w:bCs/>
                <w:szCs w:val="22"/>
                <w:u w:val="single"/>
              </w:rPr>
              <w:t>TÄIENDAVATEST ESIMESE TASEME OMAVAHENDITEST TEHTUD MAHAARVAMISED KOKKU</w:t>
            </w:r>
          </w:p>
          <w:p w14:paraId="3A155ECA" w14:textId="77777777" w:rsidR="00BC606C" w:rsidRPr="00B94845" w:rsidRDefault="00B94845">
            <w:pPr>
              <w:spacing w:before="60" w:after="60"/>
              <w:rPr>
                <w:rFonts w:ascii="Times New Roman" w:hAnsi="Times New Roman" w:cs="Times New Roman"/>
                <w:szCs w:val="22"/>
              </w:rPr>
            </w:pPr>
            <w:r w:rsidRPr="00B94845">
              <w:rPr>
                <w:rFonts w:ascii="Times New Roman" w:hAnsi="Times New Roman"/>
                <w:szCs w:val="22"/>
              </w:rPr>
              <w:lastRenderedPageBreak/>
              <w:t>Määruse (EL) nr 575/2013 artikkel 56</w:t>
            </w:r>
          </w:p>
          <w:p w14:paraId="60E23E7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Avalikustatakse ridade 29–31 kogusumma.</w:t>
            </w:r>
          </w:p>
        </w:tc>
      </w:tr>
      <w:tr w:rsidR="00BC606C" w:rsidRPr="00B94845" w14:paraId="606D9C89" w14:textId="77777777">
        <w:tc>
          <w:tcPr>
            <w:tcW w:w="1129" w:type="dxa"/>
          </w:tcPr>
          <w:p w14:paraId="725DC17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lastRenderedPageBreak/>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D3EB7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Enda täiendavatesse esimese taseme omavahenditesse kuuluvad instrumendid</w:t>
            </w:r>
          </w:p>
          <w:p w14:paraId="09FD0A2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4B7C20EF" w14:textId="77777777" w:rsidR="00BC606C" w:rsidRPr="00B94845" w:rsidRDefault="00B94845">
            <w:pPr>
              <w:pStyle w:val="InstructionsText"/>
              <w:rPr>
                <w:rStyle w:val="FormatvorlageInstructionsTabelleText"/>
                <w:rFonts w:ascii="Times New Roman" w:eastAsiaTheme="minorHAnsi" w:hAnsi="Times New Roman"/>
                <w:bCs/>
                <w:sz w:val="22"/>
              </w:rPr>
            </w:pPr>
            <w:r w:rsidRPr="00B94845">
              <w:rPr>
                <w:rStyle w:val="FormatvorlageInstructionsTabelleText"/>
                <w:rFonts w:ascii="Times New Roman" w:hAnsi="Times New Roman"/>
                <w:sz w:val="22"/>
              </w:rPr>
              <w:t>Määruse (EL) nr 575/2013 artikli 52 lõike 1 punkt b, artikli 56 punkt a ja artikkel 57</w:t>
            </w:r>
          </w:p>
          <w:p w14:paraId="740860B0"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 xml:space="preserve">Investeerimisühingu osalused enda täiendavatesse esimese taseme omavahenditesse kuuluvates instrumentides </w:t>
            </w:r>
            <w:r w:rsidRPr="00B94845">
              <w:rPr>
                <w:rStyle w:val="FormatvorlageInstructionsTabelleText"/>
                <w:rFonts w:ascii="Times New Roman" w:hAnsi="Times New Roman"/>
                <w:sz w:val="22"/>
              </w:rPr>
              <w:t>aruandekuupäeva seisuga. Kohaldatakse määruse (EL) nr 575/2013 artiklis 57 sätestatud erandeid.</w:t>
            </w:r>
          </w:p>
          <w:p w14:paraId="00724769"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Avalikustatav summa hõlmab omaaktsiatega seotud ülekurssi.</w:t>
            </w:r>
          </w:p>
          <w:p w14:paraId="3B2A4A35" w14:textId="77777777" w:rsidR="00BC606C" w:rsidRPr="00B94845" w:rsidRDefault="00BC606C">
            <w:pPr>
              <w:pStyle w:val="InstructionsText"/>
            </w:pPr>
          </w:p>
        </w:tc>
      </w:tr>
      <w:tr w:rsidR="00BC606C" w:rsidRPr="00B94845" w14:paraId="622BC95B" w14:textId="77777777">
        <w:tc>
          <w:tcPr>
            <w:tcW w:w="1129" w:type="dxa"/>
          </w:tcPr>
          <w:p w14:paraId="681B0B6F"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928F1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Selliste finantssektori ettevõtjate täiendavatesse esimese taseme omavahenditesse kuuluvad i</w:t>
            </w:r>
            <w:r w:rsidRPr="00B94845">
              <w:rPr>
                <w:rFonts w:ascii="Times New Roman" w:hAnsi="Times New Roman"/>
                <w:b/>
                <w:bCs/>
                <w:szCs w:val="22"/>
                <w:u w:val="single"/>
              </w:rPr>
              <w:t>nstrumendid, kus investeerimisühingul ei ole olulist investeeringut</w:t>
            </w:r>
          </w:p>
          <w:p w14:paraId="4188698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c</w:t>
            </w:r>
          </w:p>
          <w:p w14:paraId="294549C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56 punkt c</w:t>
            </w:r>
          </w:p>
        </w:tc>
      </w:tr>
      <w:tr w:rsidR="00BC606C" w:rsidRPr="00B94845" w14:paraId="173FEB66" w14:textId="77777777">
        <w:tc>
          <w:tcPr>
            <w:tcW w:w="1129" w:type="dxa"/>
          </w:tcPr>
          <w:p w14:paraId="44D88A2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238580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Muud mahaarvamised</w:t>
            </w:r>
          </w:p>
          <w:p w14:paraId="0694D87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Kõigi muude mahaarvamiste summa vastavalt määruse (EL) </w:t>
            </w:r>
            <w:r w:rsidRPr="00B94845">
              <w:rPr>
                <w:rFonts w:ascii="Times New Roman" w:hAnsi="Times New Roman"/>
                <w:bCs/>
                <w:szCs w:val="22"/>
              </w:rPr>
              <w:t>nr 575/2013 artiklile 56, välja arvatud määruse (EL) nr 575/2013 artikli 56 punkti d kohased mahaarvamised, mida ei ole kajastatud eespool esitatud real 0340 või 0380.</w:t>
            </w:r>
          </w:p>
        </w:tc>
      </w:tr>
      <w:tr w:rsidR="00BC606C" w:rsidRPr="00B94845" w14:paraId="226F982C" w14:textId="77777777">
        <w:tc>
          <w:tcPr>
            <w:tcW w:w="1129" w:type="dxa"/>
          </w:tcPr>
          <w:p w14:paraId="0A36701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575DEA4"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Täiendavad esimese taseme omavahendid: muud kapitalielemendid, </w:t>
            </w:r>
            <w:r w:rsidRPr="00B94845">
              <w:rPr>
                <w:rFonts w:ascii="Times New Roman" w:hAnsi="Times New Roman"/>
                <w:b/>
                <w:bCs/>
                <w:szCs w:val="22"/>
                <w:u w:val="single"/>
              </w:rPr>
              <w:t>mahaarvamised ja korrigeerimised</w:t>
            </w:r>
          </w:p>
          <w:p w14:paraId="75EB28B2"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See rida sisaldab asjakohasel juhul järgmiste kirjete summat:</w:t>
            </w:r>
          </w:p>
          <w:p w14:paraId="59851CD0"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üleminekusätetest tulenev korrigeerimine seoses varasemalt kehtinud nõuete ajutise kohaldamisega täiendavatesse esimese taseme omavahenditesse kuuluvate instru</w:t>
            </w:r>
            <w:r w:rsidRPr="00B94845">
              <w:rPr>
                <w:rFonts w:ascii="Times New Roman" w:hAnsi="Times New Roman"/>
                <w:bCs/>
              </w:rPr>
              <w:t>mentide suhtes (määruse (EL) nr 575/2013 artikli 483 lõiked 4 ja 5, artiklid 484–487 ning artiklid 489 ja 491);</w:t>
            </w:r>
          </w:p>
          <w:p w14:paraId="62AF43FB"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üleminekusätetest tulenevad täiendavate esimese taseme omavahendite korrigeerimised (määruse (EL) nr 575/2013 artiklid 472, 473a, 474, 47</w:t>
            </w:r>
            <w:r w:rsidRPr="00B94845">
              <w:rPr>
                <w:rFonts w:ascii="Times New Roman" w:hAnsi="Times New Roman"/>
                <w:bCs/>
              </w:rPr>
              <w:t>5, 478 ja 481): üleminekusätetest tulenev mahaarvamiste korrigeerimine;</w:t>
            </w:r>
          </w:p>
          <w:p w14:paraId="78CFEE04"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täiendavate esimese taseme omavahendite kirjetest tehtavate mahaarvamiste summa, mis ületab täiendavaid esimese taseme omavahendeid ja mis arvatakse maha esimese taseme põhiomavahend</w:t>
            </w:r>
            <w:r w:rsidRPr="00B94845">
              <w:rPr>
                <w:rFonts w:ascii="Times New Roman" w:hAnsi="Times New Roman"/>
                <w:bCs/>
              </w:rPr>
              <w:t>itest vastavalt määruse (EL) nr 575/2013 artikli 36 lõike 1 punktile j. Täiendavad esimese taseme omavahendid ei saa olla negatiivsed, kuid on võimalik, et mahaarvamised täiendavate esimese taseme omavahendite kirjetest ületavad olemasolevate täiendavate e</w:t>
            </w:r>
            <w:r w:rsidRPr="00B94845">
              <w:rPr>
                <w:rFonts w:ascii="Times New Roman" w:hAnsi="Times New Roman"/>
                <w:bCs/>
              </w:rPr>
              <w:t>simese taseme omavahendite kirjete summat. Sellisel juhul kajastab see kirje summat, mida on vaja real 0300 kajastatud summa suurendamiseks nullini ning mis võrdub muude mahaarvamiste kõrval real 23 kajastatud täiendavatest esimese taseme omavahenditest te</w:t>
            </w:r>
            <w:r w:rsidRPr="00B94845">
              <w:rPr>
                <w:rFonts w:ascii="Times New Roman" w:hAnsi="Times New Roman"/>
                <w:bCs/>
              </w:rPr>
              <w:t>htavate mahaarvamiste sellise summa pöördväärtusega, mis ületab täiendavaid esimese taseme omavahendeid.</w:t>
            </w:r>
          </w:p>
          <w:p w14:paraId="5BEAF6A1"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täiendavate esimese taseme omavahendite elemendid või mahaarvamised täiendavate esimese taseme omavahendite elemendist, mida ei saa määrata ühel</w:t>
            </w:r>
            <w:r w:rsidRPr="00B94845">
              <w:rPr>
                <w:rFonts w:ascii="Times New Roman" w:hAnsi="Times New Roman"/>
                <w:bCs/>
              </w:rPr>
              <w:t>e ridadest 26–31.</w:t>
            </w:r>
          </w:p>
          <w:p w14:paraId="60045CF9"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 xml:space="preserve">Seda rida ei tohi kasutada selleks, et kaasata maksevõime suhtarvude arvutusse kapitalikirjeid või mahaarvamisi, mis ei ole hõlmatud määrusega (EL) </w:t>
            </w:r>
            <w:r w:rsidRPr="00B94845">
              <w:rPr>
                <w:rFonts w:ascii="Times New Roman" w:hAnsi="Times New Roman"/>
                <w:bCs/>
                <w:szCs w:val="22"/>
              </w:rPr>
              <w:t>2019/2033</w:t>
            </w:r>
            <w:r w:rsidRPr="00B94845">
              <w:rPr>
                <w:rFonts w:ascii="Times New Roman" w:hAnsi="Times New Roman"/>
                <w:bCs/>
                <w:szCs w:val="22"/>
              </w:rPr>
              <w:t xml:space="preserve"> või määrusega (EL) nr 575/2013.</w:t>
            </w:r>
          </w:p>
        </w:tc>
      </w:tr>
      <w:tr w:rsidR="00BC606C" w:rsidRPr="00B94845" w14:paraId="5D593987" w14:textId="77777777">
        <w:tc>
          <w:tcPr>
            <w:tcW w:w="1129" w:type="dxa"/>
          </w:tcPr>
          <w:p w14:paraId="2E2D900D"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lastRenderedPageBreak/>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4FC01D0"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TEISE TASEME OMAVAHENDID</w:t>
            </w:r>
          </w:p>
          <w:p w14:paraId="72DE602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lõige 1</w:t>
            </w:r>
          </w:p>
          <w:p w14:paraId="581B9EF8" w14:textId="77777777" w:rsidR="00BC606C" w:rsidRPr="00B94845" w:rsidRDefault="00B94845">
            <w:pPr>
              <w:spacing w:after="120"/>
              <w:jc w:val="both"/>
              <w:rPr>
                <w:rStyle w:val="FormatvorlageInstructionsTabelleText"/>
                <w:rFonts w:ascii="Times New Roman" w:hAnsi="Times New Roman"/>
                <w:sz w:val="22"/>
                <w:szCs w:val="22"/>
              </w:rPr>
            </w:pPr>
            <w:r w:rsidRPr="00B94845">
              <w:rPr>
                <w:rStyle w:val="FormatvorlageInstructionsTabelleText"/>
                <w:rFonts w:ascii="Times New Roman" w:hAnsi="Times New Roman"/>
                <w:sz w:val="22"/>
                <w:szCs w:val="22"/>
              </w:rPr>
              <w:t>Määruse (EL) nr 575/2013 artikkel 71</w:t>
            </w:r>
          </w:p>
          <w:p w14:paraId="36AE7207" w14:textId="77777777" w:rsidR="00BC606C" w:rsidRPr="00B94845" w:rsidRDefault="00B94845">
            <w:pPr>
              <w:pStyle w:val="CommentText"/>
              <w:rPr>
                <w:sz w:val="22"/>
                <w:szCs w:val="22"/>
              </w:rPr>
            </w:pPr>
            <w:r w:rsidRPr="00B94845">
              <w:rPr>
                <w:rFonts w:ascii="Times New Roman" w:hAnsi="Times New Roman"/>
                <w:sz w:val="22"/>
                <w:szCs w:val="22"/>
              </w:rPr>
              <w:t>Avalikustatakse ridade 34–36 ja 39 kogusumma.</w:t>
            </w:r>
          </w:p>
        </w:tc>
      </w:tr>
      <w:tr w:rsidR="00BC606C" w:rsidRPr="00B94845" w14:paraId="120C92B6" w14:textId="77777777">
        <w:tc>
          <w:tcPr>
            <w:tcW w:w="1129" w:type="dxa"/>
          </w:tcPr>
          <w:p w14:paraId="4300D8B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86DB2C"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Täielikult sissemakstud otseemiteeritud kapitaliinstrumendid</w:t>
            </w:r>
          </w:p>
          <w:p w14:paraId="5A92CFAB"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4D35C529" w14:textId="77777777" w:rsidR="00BC606C" w:rsidRPr="00B94845" w:rsidRDefault="00B94845">
            <w:pPr>
              <w:pStyle w:val="InstructionsText"/>
              <w:rPr>
                <w:rStyle w:val="FormatvorlageInstructionsTabelleText"/>
                <w:rFonts w:ascii="Times New Roman" w:eastAsiaTheme="minorHAnsi" w:hAnsi="Times New Roman"/>
                <w:bCs/>
                <w:sz w:val="22"/>
              </w:rPr>
            </w:pPr>
            <w:r w:rsidRPr="00B94845">
              <w:rPr>
                <w:rStyle w:val="FormatvorlageInstructionsTabelleText"/>
                <w:rFonts w:ascii="Times New Roman" w:hAnsi="Times New Roman"/>
                <w:sz w:val="22"/>
              </w:rPr>
              <w:t>Määruse (EL) nr 575/2013 artikli 62 punkt a ning artiklid 63–65</w:t>
            </w:r>
          </w:p>
          <w:p w14:paraId="22D9A14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Style w:val="FormatvorlageInstructionsTabelleText"/>
                <w:rFonts w:ascii="Times New Roman" w:hAnsi="Times New Roman"/>
                <w:sz w:val="22"/>
                <w:szCs w:val="22"/>
              </w:rPr>
              <w:t>Avalikustatav summa ei hõlma instrumentidega seotud ülekurssi.</w:t>
            </w:r>
          </w:p>
        </w:tc>
      </w:tr>
      <w:tr w:rsidR="00BC606C" w:rsidRPr="00B94845" w14:paraId="6B6AE1D0" w14:textId="77777777">
        <w:tc>
          <w:tcPr>
            <w:tcW w:w="1129" w:type="dxa"/>
          </w:tcPr>
          <w:p w14:paraId="0764FDE7"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6D39B8"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Ülekurss</w:t>
            </w:r>
          </w:p>
          <w:p w14:paraId="214C278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01953E2A"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 xml:space="preserve">Määruse (EL) nr 575/2013 </w:t>
            </w:r>
            <w:r w:rsidRPr="00B94845">
              <w:rPr>
                <w:rStyle w:val="FormatvorlageInstructionsTabelleText"/>
                <w:rFonts w:ascii="Times New Roman" w:hAnsi="Times New Roman"/>
                <w:sz w:val="22"/>
              </w:rPr>
              <w:t>artikli 62 punkt b ja artikkel 65</w:t>
            </w:r>
          </w:p>
          <w:p w14:paraId="557E75BF"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Ülekurss on määratletud kohaldatavas raamatupidamistavas.</w:t>
            </w:r>
          </w:p>
          <w:p w14:paraId="6F780BD5" w14:textId="77777777" w:rsidR="00BC606C" w:rsidRPr="00B94845" w:rsidRDefault="00B94845">
            <w:pPr>
              <w:pStyle w:val="InstructionsText"/>
            </w:pPr>
            <w:r w:rsidRPr="00B94845">
              <w:rPr>
                <w:rStyle w:val="FormatvorlageInstructionsTabelleText"/>
                <w:rFonts w:ascii="Times New Roman" w:hAnsi="Times New Roman"/>
                <w:sz w:val="22"/>
              </w:rPr>
              <w:t>Selle kirje puhul avalikustatav summa on kirjega „Sissemakstud kapitaliinstrumendid“ seotud osa.</w:t>
            </w:r>
          </w:p>
        </w:tc>
      </w:tr>
      <w:tr w:rsidR="00BC606C" w:rsidRPr="00B94845" w14:paraId="597F4156" w14:textId="77777777">
        <w:tc>
          <w:tcPr>
            <w:tcW w:w="1129" w:type="dxa"/>
          </w:tcPr>
          <w:p w14:paraId="7E65D71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F91779"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xml:space="preserve">(-) TEISE TASEME OMAVAHENDITEST TEHTUD </w:t>
            </w:r>
            <w:r w:rsidRPr="00B94845">
              <w:rPr>
                <w:rFonts w:ascii="Times New Roman" w:hAnsi="Times New Roman"/>
                <w:b/>
                <w:bCs/>
                <w:szCs w:val="22"/>
                <w:u w:val="single"/>
              </w:rPr>
              <w:t>MAHAARVAMISED KOKKU</w:t>
            </w:r>
          </w:p>
          <w:p w14:paraId="2606448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szCs w:val="22"/>
              </w:rPr>
              <w:t>Määruse (EL) nr 575/2013 artikkel 66</w:t>
            </w:r>
          </w:p>
        </w:tc>
      </w:tr>
      <w:tr w:rsidR="00BC606C" w:rsidRPr="00B94845" w14:paraId="0B59B0DE" w14:textId="77777777">
        <w:tc>
          <w:tcPr>
            <w:tcW w:w="1129" w:type="dxa"/>
          </w:tcPr>
          <w:p w14:paraId="01FA61BA"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7D83DC1B"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Enda teise taseme omavahenditesse kuuluvad instrumendid</w:t>
            </w:r>
          </w:p>
          <w:p w14:paraId="469FF936"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1 punkt i</w:t>
            </w:r>
          </w:p>
          <w:p w14:paraId="022871B3"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 xml:space="preserve">Määruse (EL) nr 575/2013 artikli 63 punkti b alapunkt i, artikli 66 punkt a ja </w:t>
            </w:r>
            <w:r w:rsidRPr="00B94845">
              <w:rPr>
                <w:rStyle w:val="FormatvorlageInstructionsTabelleText"/>
                <w:rFonts w:ascii="Times New Roman" w:hAnsi="Times New Roman"/>
                <w:sz w:val="22"/>
              </w:rPr>
              <w:t>artikkel 67</w:t>
            </w:r>
          </w:p>
          <w:p w14:paraId="649E94C6"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Aruandva investeerimisühingu või konsolideerimisgrupi osalused enda teise taseme omavahenditesse kuuluvates instrumentides aruandekuupäeva seisuga. Kohaldatakse määruse (EL) nr 575/2013 artiklis 67 sätestatud erandeid.</w:t>
            </w:r>
          </w:p>
          <w:p w14:paraId="32BE6B57" w14:textId="77777777" w:rsidR="00BC606C" w:rsidRPr="00B94845" w:rsidRDefault="00B94845">
            <w:pPr>
              <w:pStyle w:val="InstructionsText"/>
              <w:rPr>
                <w:rStyle w:val="FormatvorlageInstructionsTabelleText"/>
                <w:rFonts w:ascii="Times New Roman" w:hAnsi="Times New Roman"/>
                <w:sz w:val="22"/>
              </w:rPr>
            </w:pPr>
            <w:r w:rsidRPr="00B94845">
              <w:rPr>
                <w:rStyle w:val="FormatvorlageInstructionsTabelleText"/>
                <w:rFonts w:ascii="Times New Roman" w:hAnsi="Times New Roman"/>
                <w:sz w:val="22"/>
              </w:rPr>
              <w:t>Osalusi aktsiates, mis ku</w:t>
            </w:r>
            <w:r w:rsidRPr="00B94845">
              <w:rPr>
                <w:rStyle w:val="FormatvorlageInstructionsTabelleText"/>
                <w:rFonts w:ascii="Times New Roman" w:hAnsi="Times New Roman"/>
                <w:sz w:val="22"/>
              </w:rPr>
              <w:t>uluvad kirje „mitteaktsepteeritavad kapitaliinstrumendid“ alla, ei avalikustata sellel real.</w:t>
            </w:r>
          </w:p>
          <w:p w14:paraId="4E28B94D" w14:textId="77777777" w:rsidR="00BC606C" w:rsidRPr="00B94845" w:rsidRDefault="00B94845">
            <w:pPr>
              <w:pStyle w:val="InstructionsText"/>
            </w:pPr>
            <w:r w:rsidRPr="00B94845">
              <w:rPr>
                <w:rStyle w:val="FormatvorlageInstructionsTabelleText"/>
                <w:rFonts w:ascii="Times New Roman" w:hAnsi="Times New Roman"/>
                <w:sz w:val="22"/>
              </w:rPr>
              <w:t>Avalikustatav summa hõlmab omaaktsiatega seotud ülekurssi.</w:t>
            </w:r>
          </w:p>
        </w:tc>
      </w:tr>
      <w:tr w:rsidR="00BC606C" w:rsidRPr="00B94845" w14:paraId="21211289" w14:textId="77777777">
        <w:tc>
          <w:tcPr>
            <w:tcW w:w="1129" w:type="dxa"/>
          </w:tcPr>
          <w:p w14:paraId="0AE2EBB9"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79DF17"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 Selliste finantssektori ettevõtjate teise taseme omavahenditesse kuuluvad instrumendid, kus inve</w:t>
            </w:r>
            <w:r w:rsidRPr="00B94845">
              <w:rPr>
                <w:rFonts w:ascii="Times New Roman" w:hAnsi="Times New Roman"/>
                <w:b/>
                <w:bCs/>
                <w:szCs w:val="22"/>
                <w:u w:val="single"/>
              </w:rPr>
              <w:t>steerimisühingul ei ole olulist investeeringut</w:t>
            </w:r>
          </w:p>
          <w:p w14:paraId="647048C0"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 xml:space="preserve">Määruse (EL) </w:t>
            </w:r>
            <w:r w:rsidRPr="00B94845">
              <w:rPr>
                <w:rFonts w:ascii="Times New Roman" w:hAnsi="Times New Roman"/>
                <w:bCs/>
                <w:szCs w:val="22"/>
              </w:rPr>
              <w:t>2019/2033</w:t>
            </w:r>
            <w:r w:rsidRPr="00B94845">
              <w:rPr>
                <w:rFonts w:ascii="Times New Roman" w:hAnsi="Times New Roman"/>
                <w:bCs/>
                <w:szCs w:val="22"/>
              </w:rPr>
              <w:t xml:space="preserve"> artikli 9 lõike 2 punkt c</w:t>
            </w:r>
          </w:p>
          <w:p w14:paraId="42A3CDF5"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Määruse (EL) nr 575/2013 artikli 66 punkt c</w:t>
            </w:r>
          </w:p>
        </w:tc>
      </w:tr>
      <w:tr w:rsidR="00BC606C" w:rsidRPr="00B94845" w14:paraId="1EF90A4B" w14:textId="77777777">
        <w:tc>
          <w:tcPr>
            <w:tcW w:w="1129" w:type="dxa"/>
            <w:tcBorders>
              <w:bottom w:val="single" w:sz="4" w:space="0" w:color="auto"/>
            </w:tcBorders>
          </w:tcPr>
          <w:p w14:paraId="0CD0E624"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519BAC9"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
                <w:bCs/>
                <w:szCs w:val="22"/>
                <w:u w:val="single"/>
              </w:rPr>
              <w:t>Teise taseme omavahendid: muud kapitalielemendid, mahaarvamised ja korrigeerimised</w:t>
            </w:r>
          </w:p>
          <w:p w14:paraId="071F8458" w14:textId="77777777" w:rsidR="00BC606C" w:rsidRPr="00B94845" w:rsidRDefault="00B94845">
            <w:pPr>
              <w:spacing w:after="120"/>
              <w:jc w:val="both"/>
              <w:rPr>
                <w:rFonts w:ascii="Times New Roman" w:eastAsia="Times New Roman" w:hAnsi="Times New Roman" w:cs="Times New Roman"/>
                <w:bCs/>
                <w:szCs w:val="22"/>
              </w:rPr>
            </w:pPr>
            <w:r w:rsidRPr="00B94845">
              <w:rPr>
                <w:rFonts w:ascii="Times New Roman" w:hAnsi="Times New Roman"/>
                <w:bCs/>
                <w:szCs w:val="22"/>
              </w:rPr>
              <w:t>See rida sisaldab asjakohasel</w:t>
            </w:r>
            <w:r w:rsidRPr="00B94845">
              <w:rPr>
                <w:rFonts w:ascii="Times New Roman" w:hAnsi="Times New Roman"/>
                <w:bCs/>
                <w:szCs w:val="22"/>
              </w:rPr>
              <w:t xml:space="preserve"> juhul järgmiste kirjete summat:</w:t>
            </w:r>
          </w:p>
          <w:p w14:paraId="5F24D6D8"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üleminekusätetest tulenev korrigeerimine seoses varasemalt kehtinud nõuete ajutise kohaldamisega teise taseme omavahenditesse kuuluvate instrumentide suhtes (määruse (EL) nr 575/2013 artikli 483 lõiked 6 ja 7 ning </w:t>
            </w:r>
            <w:r w:rsidRPr="00B94845">
              <w:rPr>
                <w:rFonts w:ascii="Times New Roman" w:hAnsi="Times New Roman"/>
                <w:bCs/>
              </w:rPr>
              <w:t>artiklid 484, 486, 488, 490 ja 491);</w:t>
            </w:r>
          </w:p>
          <w:p w14:paraId="2353031F"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üleminekusätetest tulenevad teise taseme omavahendite korrigeerimised (määruse (EL) nr 575/2013 artiklid 472, 473a, 476, 477, 478 ja 481): üleminekusätetest tulenevate teise taseme omavahenditest tehtavate mahaar</w:t>
            </w:r>
            <w:r w:rsidRPr="00B94845">
              <w:rPr>
                <w:rFonts w:ascii="Times New Roman" w:hAnsi="Times New Roman"/>
                <w:bCs/>
              </w:rPr>
              <w:t>vamiste korrigeerimine;</w:t>
            </w:r>
          </w:p>
          <w:p w14:paraId="42AB9042"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 xml:space="preserve">teise taseme omavahendite kirjetest tehtavate mahaarvamiste summa, mis ületab teise taseme omavahendeid ja mis arvatakse maha täiendavatest esimese taseme </w:t>
            </w:r>
            <w:r w:rsidRPr="00B94845">
              <w:rPr>
                <w:rFonts w:ascii="Times New Roman" w:hAnsi="Times New Roman"/>
                <w:bCs/>
              </w:rPr>
              <w:lastRenderedPageBreak/>
              <w:t>omavahenditest vastavalt määruse (EL) nr 575/2013 artikli 56 punktile e. Te</w:t>
            </w:r>
            <w:r w:rsidRPr="00B94845">
              <w:rPr>
                <w:rFonts w:ascii="Times New Roman" w:hAnsi="Times New Roman"/>
                <w:bCs/>
              </w:rPr>
              <w:t>ise taseme omavahendid ei saa olla negatiivsed, kuid on võimalik, et mahaarvamised teise taseme omavahendite kirjetest ületavad olemasolevate teise taseme omavahendite kirjete summat. Sel juhul kajastab see kirje summat, mida on vaja real 33 kajastatud sum</w:t>
            </w:r>
            <w:r w:rsidRPr="00B94845">
              <w:rPr>
                <w:rFonts w:ascii="Times New Roman" w:hAnsi="Times New Roman"/>
                <w:bCs/>
              </w:rPr>
              <w:t>ma suurendamiseks nullini;</w:t>
            </w:r>
          </w:p>
          <w:p w14:paraId="4AC9FF34" w14:textId="77777777" w:rsidR="00BC606C" w:rsidRPr="00B94845" w:rsidRDefault="00B94845">
            <w:pPr>
              <w:spacing w:after="120"/>
              <w:ind w:left="360" w:hanging="360"/>
              <w:contextualSpacing/>
              <w:jc w:val="both"/>
              <w:rPr>
                <w:rFonts w:ascii="Times New Roman" w:eastAsia="Times New Roman" w:hAnsi="Times New Roman"/>
                <w:bCs/>
              </w:rPr>
            </w:pPr>
            <w:r w:rsidRPr="00B94845">
              <w:rPr>
                <w:rFonts w:ascii="Times New Roman" w:eastAsia="Times New Roman" w:hAnsi="Times New Roman" w:cs="Times New Roman"/>
                <w:bCs/>
                <w:szCs w:val="22"/>
              </w:rPr>
              <w:t>—</w:t>
            </w:r>
            <w:r w:rsidRPr="00B94845">
              <w:rPr>
                <w:rFonts w:ascii="Times New Roman" w:eastAsia="Times New Roman" w:hAnsi="Times New Roman" w:cs="Times New Roman"/>
                <w:bCs/>
                <w:szCs w:val="22"/>
              </w:rPr>
              <w:tab/>
            </w:r>
            <w:r w:rsidRPr="00B94845">
              <w:rPr>
                <w:rFonts w:ascii="Times New Roman" w:hAnsi="Times New Roman"/>
                <w:bCs/>
              </w:rPr>
              <w:t>muud teise taseme omavahendite elemendid või mahaarvamised teise taseme omavahendite elemendist, mida ei saa määrata ühele ridadest 34–38.</w:t>
            </w:r>
          </w:p>
          <w:p w14:paraId="425055D1" w14:textId="77777777" w:rsidR="00BC606C" w:rsidRPr="00B94845" w:rsidRDefault="00B94845">
            <w:pPr>
              <w:spacing w:after="120"/>
              <w:jc w:val="both"/>
              <w:rPr>
                <w:rFonts w:ascii="Times New Roman" w:eastAsia="Times New Roman" w:hAnsi="Times New Roman" w:cs="Times New Roman"/>
                <w:b/>
                <w:bCs/>
                <w:szCs w:val="22"/>
                <w:u w:val="single"/>
              </w:rPr>
            </w:pPr>
            <w:r w:rsidRPr="00B94845">
              <w:rPr>
                <w:rFonts w:ascii="Times New Roman" w:hAnsi="Times New Roman"/>
                <w:bCs/>
                <w:szCs w:val="22"/>
              </w:rPr>
              <w:t>Seda rida ei tohi kasutada selleks, et kaasata maksevõime suhtarvude arvutusse kapitalik</w:t>
            </w:r>
            <w:r w:rsidRPr="00B94845">
              <w:rPr>
                <w:rFonts w:ascii="Times New Roman" w:hAnsi="Times New Roman"/>
                <w:bCs/>
                <w:szCs w:val="22"/>
              </w:rPr>
              <w:t xml:space="preserve">irjeid või mahaarvamisi, mis ei ole hõlmatud määrusega (EL) </w:t>
            </w:r>
            <w:r w:rsidRPr="00B94845">
              <w:rPr>
                <w:rFonts w:ascii="Times New Roman" w:hAnsi="Times New Roman"/>
                <w:bCs/>
                <w:szCs w:val="22"/>
              </w:rPr>
              <w:t>2019/2033</w:t>
            </w:r>
            <w:r w:rsidRPr="00B94845">
              <w:rPr>
                <w:rFonts w:ascii="Times New Roman" w:hAnsi="Times New Roman"/>
                <w:bCs/>
                <w:szCs w:val="22"/>
              </w:rPr>
              <w:t xml:space="preserve"> või määrusega (EL) nr 575/2013.</w:t>
            </w:r>
          </w:p>
        </w:tc>
      </w:tr>
    </w:tbl>
    <w:p w14:paraId="530CB124" w14:textId="77777777" w:rsidR="00BC606C" w:rsidRPr="00B94845" w:rsidRDefault="00BC606C">
      <w:pPr>
        <w:rPr>
          <w:rFonts w:ascii="Times New Roman" w:hAnsi="Times New Roman" w:cs="Times New Roman"/>
          <w:b/>
          <w:bCs/>
          <w:sz w:val="24"/>
        </w:rPr>
      </w:pPr>
    </w:p>
    <w:p w14:paraId="28F4A060" w14:textId="77777777" w:rsidR="00BC606C" w:rsidRPr="00B94845" w:rsidRDefault="00B94845">
      <w:pPr>
        <w:rPr>
          <w:rFonts w:ascii="Times New Roman" w:hAnsi="Times New Roman" w:cs="Times New Roman"/>
          <w:b/>
          <w:bCs/>
          <w:sz w:val="24"/>
        </w:rPr>
      </w:pPr>
      <w:r w:rsidRPr="00B94845">
        <w:rPr>
          <w:rFonts w:ascii="Times New Roman" w:hAnsi="Times New Roman"/>
          <w:b/>
          <w:bCs/>
          <w:sz w:val="24"/>
        </w:rPr>
        <w:t>Vorm EU I CC2. Regulatiivsete omavahendite ja auditeeritud finantsaruannetes esitatud bilansi kooskõlastav võrdlemine</w:t>
      </w:r>
    </w:p>
    <w:p w14:paraId="4BB944BD" w14:textId="77777777" w:rsidR="00BC606C" w:rsidRPr="00B94845" w:rsidRDefault="00B94845">
      <w:pPr>
        <w:tabs>
          <w:tab w:val="left" w:pos="360"/>
        </w:tabs>
        <w:spacing w:before="120" w:after="120"/>
        <w:ind w:left="357" w:hanging="357"/>
        <w:jc w:val="both"/>
        <w:rPr>
          <w:rFonts w:ascii="Times New Roman" w:hAnsi="Times New Roman" w:cs="Times New Roman"/>
          <w:bCs/>
          <w:sz w:val="24"/>
        </w:rPr>
      </w:pPr>
      <w:r w:rsidRPr="00B94845">
        <w:rPr>
          <w:rFonts w:ascii="Times New Roman" w:hAnsi="Times New Roman" w:cs="Times New Roman"/>
          <w:bCs/>
          <w:sz w:val="24"/>
        </w:rPr>
        <w:t>7.</w:t>
      </w:r>
      <w:r w:rsidRPr="00B94845">
        <w:rPr>
          <w:rFonts w:ascii="Times New Roman" w:hAnsi="Times New Roman" w:cs="Times New Roman"/>
          <w:bCs/>
          <w:sz w:val="24"/>
        </w:rPr>
        <w:tab/>
      </w:r>
      <w:r w:rsidRPr="00B94845">
        <w:rPr>
          <w:rFonts w:ascii="Times New Roman" w:hAnsi="Times New Roman"/>
          <w:bCs/>
          <w:sz w:val="24"/>
        </w:rPr>
        <w:t xml:space="preserve">Investeerimisühingud järgivad käesolevas lisas esitatud juhiseid, et täita VI lisas esitatud vorm EU I CC2 vastavalt määruse (EL) </w:t>
      </w:r>
      <w:r w:rsidRPr="00B94845">
        <w:rPr>
          <w:rFonts w:ascii="Times New Roman" w:hAnsi="Times New Roman"/>
          <w:bCs/>
          <w:sz w:val="24"/>
        </w:rPr>
        <w:t>2019/2033</w:t>
      </w:r>
      <w:r w:rsidRPr="00B94845">
        <w:rPr>
          <w:rFonts w:ascii="Times New Roman" w:hAnsi="Times New Roman"/>
          <w:bCs/>
          <w:sz w:val="24"/>
        </w:rPr>
        <w:t xml:space="preserve"> artikli 49 lõike 1 punktile a.</w:t>
      </w:r>
    </w:p>
    <w:p w14:paraId="1D8ED38A" w14:textId="77777777" w:rsidR="00BC606C" w:rsidRPr="00B94845" w:rsidRDefault="00B94845">
      <w:pPr>
        <w:tabs>
          <w:tab w:val="left" w:pos="360"/>
        </w:tabs>
        <w:spacing w:before="120" w:after="120"/>
        <w:ind w:left="357" w:hanging="357"/>
        <w:jc w:val="both"/>
        <w:rPr>
          <w:rFonts w:ascii="Times New Roman" w:hAnsi="Times New Roman" w:cs="Times New Roman"/>
          <w:bCs/>
          <w:sz w:val="24"/>
        </w:rPr>
      </w:pPr>
      <w:r w:rsidRPr="00B94845">
        <w:rPr>
          <w:rFonts w:ascii="Times New Roman" w:hAnsi="Times New Roman" w:cs="Times New Roman"/>
          <w:bCs/>
          <w:sz w:val="24"/>
        </w:rPr>
        <w:t>8.</w:t>
      </w:r>
      <w:r w:rsidRPr="00B94845">
        <w:rPr>
          <w:rFonts w:ascii="Times New Roman" w:hAnsi="Times New Roman" w:cs="Times New Roman"/>
          <w:bCs/>
          <w:sz w:val="24"/>
        </w:rPr>
        <w:tab/>
      </w:r>
      <w:r w:rsidRPr="00B94845">
        <w:rPr>
          <w:rFonts w:ascii="Times New Roman" w:hAnsi="Times New Roman"/>
          <w:bCs/>
          <w:sz w:val="24"/>
        </w:rPr>
        <w:t>Investeerimisühingud avalikustavad avaldatud finantsaruannetes esitatud bilansi. F</w:t>
      </w:r>
      <w:r w:rsidRPr="00B94845">
        <w:rPr>
          <w:rFonts w:ascii="Times New Roman" w:hAnsi="Times New Roman"/>
          <w:bCs/>
          <w:sz w:val="24"/>
        </w:rPr>
        <w:t>inantsaruanded on auditeeritud finantsaruanded, mis sisaldavad teavet aasta lõpu seisuga.</w:t>
      </w:r>
    </w:p>
    <w:p w14:paraId="0B56168C" w14:textId="77777777" w:rsidR="00BC606C" w:rsidRPr="00B94845" w:rsidRDefault="00B94845">
      <w:pPr>
        <w:tabs>
          <w:tab w:val="left" w:pos="360"/>
        </w:tabs>
        <w:spacing w:before="120" w:after="120"/>
        <w:ind w:left="357" w:hanging="357"/>
        <w:jc w:val="both"/>
        <w:rPr>
          <w:rFonts w:ascii="Times New Roman" w:hAnsi="Times New Roman" w:cs="Times New Roman"/>
          <w:bCs/>
          <w:sz w:val="24"/>
        </w:rPr>
      </w:pPr>
      <w:r w:rsidRPr="00B94845">
        <w:rPr>
          <w:rFonts w:ascii="Times New Roman" w:hAnsi="Times New Roman" w:cs="Times New Roman"/>
          <w:bCs/>
          <w:sz w:val="24"/>
        </w:rPr>
        <w:t>9.</w:t>
      </w:r>
      <w:r w:rsidRPr="00B94845">
        <w:rPr>
          <w:rFonts w:ascii="Times New Roman" w:hAnsi="Times New Roman" w:cs="Times New Roman"/>
          <w:bCs/>
          <w:sz w:val="24"/>
        </w:rPr>
        <w:tab/>
      </w:r>
      <w:r w:rsidRPr="00B94845">
        <w:rPr>
          <w:rFonts w:ascii="Times New Roman" w:hAnsi="Times New Roman"/>
          <w:bCs/>
          <w:sz w:val="24"/>
        </w:rPr>
        <w:t xml:space="preserve">Vormi read on paindlikud ja investeerimisühingud täidavad need kooskõlas oma finantsaruannetega. Omavahendite kirjed auditeeritud finantsaruannetes hõlmavad kõiki </w:t>
      </w:r>
      <w:r w:rsidRPr="00B94845">
        <w:rPr>
          <w:rFonts w:ascii="Times New Roman" w:hAnsi="Times New Roman"/>
          <w:bCs/>
          <w:sz w:val="24"/>
        </w:rPr>
        <w:t xml:space="preserve">kirjeid, mis on regulatiivsete omavahendite (sealhulgas omakapital, kohustused, nt võlg) osad või on nendest maha arvatud, või muid bilansiridu, mis mõjutavad regulatiivseid omavahendeid (nt immateriaalne vara, firmaväärtus, edasilükkunud tulumaksu vara). </w:t>
      </w:r>
      <w:r w:rsidRPr="00B94845">
        <w:rPr>
          <w:rFonts w:ascii="Times New Roman" w:hAnsi="Times New Roman"/>
          <w:bCs/>
          <w:sz w:val="24"/>
        </w:rPr>
        <w:t>Investeerimisühingud laiendavad vajaduse korral bilansi omavahendite kirjeid tagamaks, et kõik omavahendite avalikustamise vormi (vorm EU I CC1) komponendid on eraldi kindlaks tehtavad. Investeerimisühingud laiendavad bilansi elemente ainult nii üksikasjal</w:t>
      </w:r>
      <w:r w:rsidRPr="00B94845">
        <w:rPr>
          <w:rFonts w:ascii="Times New Roman" w:hAnsi="Times New Roman"/>
          <w:bCs/>
          <w:sz w:val="24"/>
        </w:rPr>
        <w:t>ikult, kui on vaja vormiga EU I CC1 nõutud komponentide kindlakstegemiseks. Avalikustamine peab olema proportsionaalne investeerimisühingu bilansi keerukusega.</w:t>
      </w:r>
    </w:p>
    <w:p w14:paraId="00ABC24B" w14:textId="77777777" w:rsidR="00BC606C" w:rsidRPr="00B94845" w:rsidRDefault="00B94845">
      <w:pPr>
        <w:tabs>
          <w:tab w:val="left" w:pos="360"/>
        </w:tabs>
        <w:spacing w:before="120" w:after="120"/>
        <w:ind w:left="357" w:hanging="357"/>
        <w:jc w:val="both"/>
        <w:rPr>
          <w:rFonts w:ascii="Times New Roman" w:hAnsi="Times New Roman" w:cs="Times New Roman"/>
          <w:bCs/>
          <w:sz w:val="24"/>
        </w:rPr>
      </w:pPr>
      <w:r w:rsidRPr="00B94845">
        <w:rPr>
          <w:rFonts w:ascii="Times New Roman" w:hAnsi="Times New Roman" w:cs="Times New Roman"/>
          <w:bCs/>
          <w:sz w:val="24"/>
        </w:rPr>
        <w:t>10.</w:t>
      </w:r>
      <w:r w:rsidRPr="00B94845">
        <w:rPr>
          <w:rFonts w:ascii="Times New Roman" w:hAnsi="Times New Roman" w:cs="Times New Roman"/>
          <w:bCs/>
          <w:sz w:val="24"/>
        </w:rPr>
        <w:tab/>
      </w:r>
      <w:r w:rsidRPr="00B94845">
        <w:rPr>
          <w:rFonts w:ascii="Times New Roman" w:hAnsi="Times New Roman"/>
          <w:bCs/>
          <w:sz w:val="24"/>
        </w:rPr>
        <w:t>Veerud on muutumatud ja need täidetakse järgmiselt.</w:t>
      </w:r>
    </w:p>
    <w:p w14:paraId="58496B05" w14:textId="77777777" w:rsidR="00BC606C" w:rsidRPr="00B94845" w:rsidRDefault="00B94845">
      <w:pPr>
        <w:pStyle w:val="numberedparagraph"/>
        <w:numPr>
          <w:ilvl w:val="0"/>
          <w:numId w:val="0"/>
        </w:numPr>
        <w:ind w:left="709" w:hanging="360"/>
        <w:rPr>
          <w:rFonts w:ascii="Times New Roman" w:hAnsi="Times New Roman" w:cs="Times New Roman"/>
          <w:sz w:val="24"/>
        </w:rPr>
      </w:pPr>
      <w:r w:rsidRPr="00B94845">
        <w:rPr>
          <w:rFonts w:ascii="Times New Roman" w:hAnsi="Times New Roman" w:cs="Times New Roman"/>
          <w:sz w:val="24"/>
        </w:rPr>
        <w:t>a.</w:t>
      </w:r>
      <w:r w:rsidRPr="00B94845">
        <w:rPr>
          <w:rFonts w:ascii="Times New Roman" w:hAnsi="Times New Roman" w:cs="Times New Roman"/>
          <w:sz w:val="24"/>
        </w:rPr>
        <w:tab/>
      </w:r>
      <w:r w:rsidRPr="00B94845">
        <w:rPr>
          <w:rFonts w:ascii="Times New Roman" w:hAnsi="Times New Roman"/>
          <w:sz w:val="24"/>
        </w:rPr>
        <w:t xml:space="preserve">Veerg a: </w:t>
      </w:r>
      <w:r w:rsidRPr="00B94845">
        <w:rPr>
          <w:rFonts w:ascii="Times New Roman" w:hAnsi="Times New Roman"/>
          <w:sz w:val="24"/>
        </w:rPr>
        <w:t>investeerimisühingud kajastavad auditeeritud finantsaruannetes sisalduvas bilansis esitatud arvnäitajaid vastavalt konsolideerimise raamatupidamislikule kohaldamisalale.</w:t>
      </w:r>
    </w:p>
    <w:p w14:paraId="139B8C5E" w14:textId="77777777" w:rsidR="00BC606C" w:rsidRPr="00B94845" w:rsidRDefault="00B94845">
      <w:pPr>
        <w:pStyle w:val="numberedparagraph"/>
        <w:numPr>
          <w:ilvl w:val="0"/>
          <w:numId w:val="0"/>
        </w:numPr>
        <w:ind w:left="709" w:hanging="360"/>
        <w:rPr>
          <w:rFonts w:ascii="Times New Roman" w:hAnsi="Times New Roman" w:cs="Times New Roman"/>
          <w:sz w:val="24"/>
        </w:rPr>
      </w:pPr>
      <w:r w:rsidRPr="00B94845">
        <w:rPr>
          <w:rFonts w:ascii="Times New Roman" w:hAnsi="Times New Roman" w:cs="Times New Roman"/>
          <w:sz w:val="24"/>
        </w:rPr>
        <w:t>b.</w:t>
      </w:r>
      <w:r w:rsidRPr="00B94845">
        <w:rPr>
          <w:rFonts w:ascii="Times New Roman" w:hAnsi="Times New Roman" w:cs="Times New Roman"/>
          <w:sz w:val="24"/>
        </w:rPr>
        <w:tab/>
      </w:r>
      <w:r w:rsidRPr="00B94845">
        <w:rPr>
          <w:rFonts w:ascii="Times New Roman" w:hAnsi="Times New Roman"/>
          <w:sz w:val="24"/>
        </w:rPr>
        <w:t>Veerg b: investeerimisühingud avalikustavad arvnäitajad, mis vastavad konsolideerim</w:t>
      </w:r>
      <w:r w:rsidRPr="00B94845">
        <w:rPr>
          <w:rFonts w:ascii="Times New Roman" w:hAnsi="Times New Roman"/>
          <w:sz w:val="24"/>
        </w:rPr>
        <w:t>ise regulatiivsele kohaldamisalale.</w:t>
      </w:r>
    </w:p>
    <w:p w14:paraId="5164A027" w14:textId="77777777" w:rsidR="00BC606C" w:rsidRPr="00B94845" w:rsidRDefault="00B94845">
      <w:pPr>
        <w:pStyle w:val="numberedparagraph"/>
        <w:numPr>
          <w:ilvl w:val="0"/>
          <w:numId w:val="0"/>
        </w:numPr>
        <w:ind w:left="709" w:hanging="360"/>
        <w:rPr>
          <w:rFonts w:ascii="Times New Roman" w:hAnsi="Times New Roman" w:cs="Times New Roman"/>
          <w:sz w:val="24"/>
        </w:rPr>
      </w:pPr>
      <w:r w:rsidRPr="00B94845">
        <w:rPr>
          <w:rFonts w:ascii="Times New Roman" w:hAnsi="Times New Roman" w:cs="Times New Roman"/>
          <w:sz w:val="24"/>
        </w:rPr>
        <w:t>c.</w:t>
      </w:r>
      <w:r w:rsidRPr="00B94845">
        <w:rPr>
          <w:rFonts w:ascii="Times New Roman" w:hAnsi="Times New Roman" w:cs="Times New Roman"/>
          <w:sz w:val="24"/>
        </w:rPr>
        <w:tab/>
      </w:r>
      <w:r w:rsidRPr="00B94845">
        <w:rPr>
          <w:rFonts w:ascii="Times New Roman" w:hAnsi="Times New Roman"/>
          <w:sz w:val="24"/>
        </w:rPr>
        <w:t xml:space="preserve">Veerg c: investeerimisühingud lisavad vormi EU I CC2 omavahendite kirjete ja omavahendite avalikustamise vormi EU I CC1 asjaomaste kirjete vahele ristviited. Vormi EU I CC2 veerus c esitatud viide seotakse vormi EU I </w:t>
      </w:r>
      <w:r w:rsidRPr="00B94845">
        <w:rPr>
          <w:rFonts w:ascii="Times New Roman" w:hAnsi="Times New Roman"/>
          <w:sz w:val="24"/>
        </w:rPr>
        <w:t>CC1 veerus b esitatud viitega.</w:t>
      </w:r>
    </w:p>
    <w:p w14:paraId="1C60E63D" w14:textId="77777777" w:rsidR="00BC606C" w:rsidRPr="00B94845" w:rsidRDefault="00B94845">
      <w:pPr>
        <w:tabs>
          <w:tab w:val="left" w:pos="360"/>
        </w:tabs>
        <w:spacing w:before="120" w:after="120"/>
        <w:ind w:left="357" w:hanging="357"/>
        <w:jc w:val="both"/>
        <w:rPr>
          <w:rFonts w:ascii="Times New Roman" w:hAnsi="Times New Roman" w:cs="Times New Roman"/>
          <w:bCs/>
          <w:sz w:val="24"/>
        </w:rPr>
      </w:pPr>
      <w:r w:rsidRPr="00B94845">
        <w:rPr>
          <w:rFonts w:ascii="Times New Roman" w:hAnsi="Times New Roman" w:cs="Times New Roman"/>
          <w:bCs/>
          <w:sz w:val="24"/>
        </w:rPr>
        <w:t>11.</w:t>
      </w:r>
      <w:r w:rsidRPr="00B94845">
        <w:rPr>
          <w:rFonts w:ascii="Times New Roman" w:hAnsi="Times New Roman" w:cs="Times New Roman"/>
          <w:bCs/>
          <w:sz w:val="24"/>
        </w:rPr>
        <w:tab/>
      </w:r>
      <w:r w:rsidRPr="00B94845">
        <w:rPr>
          <w:rFonts w:ascii="Times New Roman" w:hAnsi="Times New Roman"/>
          <w:bCs/>
          <w:sz w:val="24"/>
        </w:rPr>
        <w:t>Järgmistel juhtudel, kui investeerimisühingu raamatupidamislik konsolideerimine ja regulatiivne konsolideerimine kattuvad, täidetakse üksnes veerg a ning see asjaolu avalikustatakse selgelt:</w:t>
      </w:r>
    </w:p>
    <w:p w14:paraId="4C6D857B" w14:textId="77777777" w:rsidR="00BC606C" w:rsidRPr="00B94845" w:rsidRDefault="00B94845">
      <w:pPr>
        <w:pStyle w:val="numberedparagraph"/>
        <w:numPr>
          <w:ilvl w:val="0"/>
          <w:numId w:val="0"/>
        </w:numPr>
        <w:tabs>
          <w:tab w:val="left" w:pos="-180"/>
        </w:tabs>
        <w:ind w:left="709" w:hanging="360"/>
        <w:rPr>
          <w:rFonts w:ascii="Times New Roman" w:hAnsi="Times New Roman" w:cs="Times New Roman"/>
          <w:bCs/>
          <w:sz w:val="24"/>
        </w:rPr>
      </w:pPr>
      <w:r w:rsidRPr="00B94845">
        <w:rPr>
          <w:rFonts w:ascii="Times New Roman" w:hAnsi="Times New Roman" w:cs="Times New Roman"/>
          <w:bCs/>
          <w:sz w:val="24"/>
        </w:rPr>
        <w:lastRenderedPageBreak/>
        <w:t>d.</w:t>
      </w:r>
      <w:r w:rsidRPr="00B94845">
        <w:rPr>
          <w:rFonts w:ascii="Times New Roman" w:hAnsi="Times New Roman" w:cs="Times New Roman"/>
          <w:bCs/>
          <w:sz w:val="24"/>
        </w:rPr>
        <w:tab/>
      </w:r>
      <w:r w:rsidRPr="00B94845">
        <w:rPr>
          <w:rFonts w:ascii="Times New Roman" w:hAnsi="Times New Roman"/>
          <w:sz w:val="24"/>
        </w:rPr>
        <w:t>kui investeerimisühingud tä</w:t>
      </w:r>
      <w:r w:rsidRPr="00B94845">
        <w:rPr>
          <w:rFonts w:ascii="Times New Roman" w:hAnsi="Times New Roman"/>
          <w:sz w:val="24"/>
        </w:rPr>
        <w:t>idavad määruse (EL) nr </w:t>
      </w:r>
      <w:r w:rsidRPr="00B94845">
        <w:rPr>
          <w:rFonts w:ascii="Times New Roman" w:hAnsi="Times New Roman"/>
          <w:sz w:val="24"/>
        </w:rPr>
        <w:t>2019/2033</w:t>
      </w:r>
      <w:r w:rsidRPr="00B94845">
        <w:rPr>
          <w:rFonts w:ascii="Times New Roman" w:hAnsi="Times New Roman"/>
          <w:sz w:val="24"/>
        </w:rPr>
        <w:t xml:space="preserve"> VI osa kohaseid investeerimisühingute usaldatavusnõuetega seotud kohustusi konsolideeritud või allkonsolideeritud alusel, kuid finantsaruannetes bilansi puhul kasutatud konsolideerimise kohaldamisala või meetod on identne m</w:t>
      </w:r>
      <w:r w:rsidRPr="00B94845">
        <w:rPr>
          <w:rFonts w:ascii="Times New Roman" w:hAnsi="Times New Roman"/>
          <w:sz w:val="24"/>
        </w:rPr>
        <w:t>ääruse (EL) nr </w:t>
      </w:r>
      <w:r w:rsidRPr="00B94845">
        <w:rPr>
          <w:rFonts w:ascii="Times New Roman" w:hAnsi="Times New Roman"/>
          <w:sz w:val="24"/>
        </w:rPr>
        <w:t>2019/2033</w:t>
      </w:r>
      <w:r w:rsidRPr="00B94845">
        <w:rPr>
          <w:rFonts w:ascii="Times New Roman" w:hAnsi="Times New Roman"/>
          <w:sz w:val="24"/>
        </w:rPr>
        <w:t xml:space="preserve"> I osa II jaotise 2. peatükis määratletud konsolideerimise kohaldamisala ja meetodiga, ning kui investeerimisühingud vormile lisatud selgituses selgelt märgivad, et puuduvad erinevused konsolideerimise vastavates kohaldamisalades ja</w:t>
      </w:r>
      <w:r w:rsidRPr="00B94845">
        <w:rPr>
          <w:rFonts w:ascii="Times New Roman" w:hAnsi="Times New Roman"/>
          <w:sz w:val="24"/>
        </w:rPr>
        <w:t xml:space="preserve"> meetodites.</w:t>
      </w:r>
    </w:p>
    <w:p w14:paraId="20A698ED" w14:textId="77777777" w:rsidR="00BC606C" w:rsidRPr="00B94845" w:rsidRDefault="00B94845">
      <w:pPr>
        <w:pStyle w:val="numberedparagraph"/>
        <w:numPr>
          <w:ilvl w:val="0"/>
          <w:numId w:val="0"/>
        </w:numPr>
        <w:tabs>
          <w:tab w:val="left" w:pos="-180"/>
        </w:tabs>
        <w:ind w:left="709" w:hanging="360"/>
        <w:rPr>
          <w:rFonts w:ascii="Times New Roman" w:hAnsi="Times New Roman" w:cs="Times New Roman"/>
          <w:bCs/>
          <w:sz w:val="24"/>
        </w:rPr>
      </w:pPr>
      <w:r w:rsidRPr="00B94845">
        <w:rPr>
          <w:rFonts w:ascii="Times New Roman" w:hAnsi="Times New Roman" w:cs="Times New Roman"/>
          <w:bCs/>
          <w:sz w:val="24"/>
        </w:rPr>
        <w:t>e.</w:t>
      </w:r>
      <w:r w:rsidRPr="00B94845">
        <w:rPr>
          <w:rFonts w:ascii="Times New Roman" w:hAnsi="Times New Roman" w:cs="Times New Roman"/>
          <w:bCs/>
          <w:sz w:val="24"/>
        </w:rPr>
        <w:tab/>
      </w:r>
      <w:r w:rsidRPr="00B94845">
        <w:rPr>
          <w:rFonts w:ascii="Times New Roman" w:hAnsi="Times New Roman"/>
          <w:sz w:val="24"/>
        </w:rPr>
        <w:t xml:space="preserve">kui investeerimisühingud täidavad määruse (EL) </w:t>
      </w:r>
      <w:r w:rsidRPr="00B94845">
        <w:rPr>
          <w:rFonts w:ascii="Times New Roman" w:hAnsi="Times New Roman"/>
          <w:sz w:val="24"/>
        </w:rPr>
        <w:t>2019/2033</w:t>
      </w:r>
      <w:r w:rsidRPr="00B94845">
        <w:rPr>
          <w:rFonts w:ascii="Times New Roman" w:hAnsi="Times New Roman"/>
          <w:sz w:val="24"/>
        </w:rPr>
        <w:t xml:space="preserve"> VI osas sätestatud kohustusi individuaalselt.</w:t>
      </w:r>
    </w:p>
    <w:p w14:paraId="32457C63" w14:textId="77777777" w:rsidR="00BC606C" w:rsidRPr="00B94845" w:rsidRDefault="00B94845">
      <w:pPr>
        <w:rPr>
          <w:rFonts w:ascii="Times New Roman" w:hAnsi="Times New Roman" w:cs="Times New Roman"/>
          <w:b/>
          <w:bCs/>
          <w:sz w:val="24"/>
        </w:rPr>
      </w:pPr>
      <w:r w:rsidRPr="00B94845">
        <w:rPr>
          <w:rFonts w:ascii="Times New Roman" w:hAnsi="Times New Roman"/>
          <w:b/>
          <w:bCs/>
          <w:sz w:val="24"/>
        </w:rPr>
        <w:t>Tabel EU I CCA. Selliste omavahenditesse kuuluvate instrumentide põhitunnused, mille on emiteerinud investeerimisühing</w:t>
      </w:r>
    </w:p>
    <w:p w14:paraId="2EC1B5F6" w14:textId="77777777" w:rsidR="00BC606C" w:rsidRPr="00B94845" w:rsidRDefault="00B94845">
      <w:pPr>
        <w:tabs>
          <w:tab w:val="left" w:pos="360"/>
        </w:tabs>
        <w:spacing w:before="120" w:after="120"/>
        <w:ind w:left="357" w:hanging="357"/>
        <w:jc w:val="both"/>
        <w:rPr>
          <w:rFonts w:ascii="Times New Roman" w:hAnsi="Times New Roman" w:cs="Times New Roman"/>
          <w:bCs/>
          <w:sz w:val="24"/>
        </w:rPr>
      </w:pPr>
      <w:r w:rsidRPr="00B94845">
        <w:rPr>
          <w:rFonts w:ascii="Times New Roman" w:hAnsi="Times New Roman" w:cs="Times New Roman"/>
          <w:bCs/>
          <w:sz w:val="24"/>
        </w:rPr>
        <w:t>12.</w:t>
      </w:r>
      <w:r w:rsidRPr="00B94845">
        <w:rPr>
          <w:rFonts w:ascii="Times New Roman" w:hAnsi="Times New Roman" w:cs="Times New Roman"/>
          <w:bCs/>
          <w:sz w:val="24"/>
        </w:rPr>
        <w:tab/>
      </w:r>
      <w:r w:rsidRPr="00B94845">
        <w:rPr>
          <w:rFonts w:ascii="Times New Roman" w:hAnsi="Times New Roman"/>
          <w:bCs/>
          <w:sz w:val="24"/>
        </w:rPr>
        <w:t>Investeerimisü</w:t>
      </w:r>
      <w:r w:rsidRPr="00B94845">
        <w:rPr>
          <w:rFonts w:ascii="Times New Roman" w:hAnsi="Times New Roman"/>
          <w:bCs/>
          <w:sz w:val="24"/>
        </w:rPr>
        <w:t xml:space="preserve">hingud järgivad käesolevas lisas esitatud juhiseid, et täita VI lisas esitatud vorm EU I CCA vastavalt määruse (EL) </w:t>
      </w:r>
      <w:r w:rsidRPr="00B94845">
        <w:rPr>
          <w:rFonts w:ascii="Times New Roman" w:hAnsi="Times New Roman"/>
          <w:bCs/>
          <w:sz w:val="24"/>
        </w:rPr>
        <w:t>2019/2033</w:t>
      </w:r>
      <w:r w:rsidRPr="00B94845">
        <w:rPr>
          <w:rFonts w:ascii="Times New Roman" w:hAnsi="Times New Roman"/>
          <w:bCs/>
          <w:sz w:val="24"/>
        </w:rPr>
        <w:t xml:space="preserve"> artikli 49 lõike 1 punktile b.</w:t>
      </w:r>
    </w:p>
    <w:p w14:paraId="586E6998" w14:textId="77777777" w:rsidR="00BC606C" w:rsidRPr="00B94845" w:rsidRDefault="00B94845">
      <w:pPr>
        <w:tabs>
          <w:tab w:val="left" w:pos="360"/>
        </w:tabs>
        <w:spacing w:before="120" w:after="120"/>
        <w:ind w:left="357" w:hanging="357"/>
        <w:jc w:val="both"/>
        <w:rPr>
          <w:rFonts w:ascii="Times New Roman" w:hAnsi="Times New Roman" w:cs="Times New Roman"/>
          <w:bCs/>
          <w:sz w:val="24"/>
        </w:rPr>
      </w:pPr>
      <w:r w:rsidRPr="00B94845">
        <w:rPr>
          <w:rFonts w:ascii="Times New Roman" w:hAnsi="Times New Roman" w:cs="Times New Roman"/>
          <w:bCs/>
          <w:sz w:val="24"/>
        </w:rPr>
        <w:t>13.</w:t>
      </w:r>
      <w:r w:rsidRPr="00B94845">
        <w:rPr>
          <w:rFonts w:ascii="Times New Roman" w:hAnsi="Times New Roman" w:cs="Times New Roman"/>
          <w:bCs/>
          <w:sz w:val="24"/>
        </w:rPr>
        <w:tab/>
      </w:r>
      <w:r w:rsidRPr="00B94845">
        <w:rPr>
          <w:rFonts w:ascii="Times New Roman" w:hAnsi="Times New Roman"/>
          <w:bCs/>
          <w:sz w:val="24"/>
        </w:rPr>
        <w:t xml:space="preserve">Investeerimisühingud täidavad tabeli EU I CCA järgmiste kategooriate kohta: esimese </w:t>
      </w:r>
      <w:r w:rsidRPr="00B94845">
        <w:rPr>
          <w:rFonts w:ascii="Times New Roman" w:hAnsi="Times New Roman"/>
          <w:bCs/>
          <w:sz w:val="24"/>
        </w:rPr>
        <w:t>taseme põhiomavahenditesse kuuluvad instrumendid, täiendavatesse esimese taseme omavahenditesse kuuluvad instrumendid ja teise taseme omavahenditesse kuuluvad instrumendid.</w:t>
      </w:r>
    </w:p>
    <w:p w14:paraId="1ED5D426" w14:textId="77777777" w:rsidR="00BC606C" w:rsidRPr="00B94845" w:rsidRDefault="00B94845">
      <w:pPr>
        <w:tabs>
          <w:tab w:val="left" w:pos="360"/>
        </w:tabs>
        <w:spacing w:before="120" w:after="120"/>
        <w:ind w:left="357" w:hanging="357"/>
        <w:jc w:val="both"/>
        <w:rPr>
          <w:rFonts w:ascii="Times New Roman" w:hAnsi="Times New Roman" w:cs="Times New Roman"/>
          <w:bCs/>
          <w:sz w:val="24"/>
        </w:rPr>
      </w:pPr>
      <w:r w:rsidRPr="00B94845">
        <w:rPr>
          <w:rFonts w:ascii="Times New Roman" w:hAnsi="Times New Roman" w:cs="Times New Roman"/>
          <w:bCs/>
          <w:sz w:val="24"/>
        </w:rPr>
        <w:t>14.</w:t>
      </w:r>
      <w:r w:rsidRPr="00B94845">
        <w:rPr>
          <w:rFonts w:ascii="Times New Roman" w:hAnsi="Times New Roman" w:cs="Times New Roman"/>
          <w:bCs/>
          <w:sz w:val="24"/>
        </w:rPr>
        <w:tab/>
      </w:r>
      <w:r w:rsidRPr="00B94845">
        <w:rPr>
          <w:rFonts w:ascii="Times New Roman" w:hAnsi="Times New Roman"/>
          <w:bCs/>
          <w:sz w:val="24"/>
        </w:rPr>
        <w:t>Tabelid koosnevad eraldi veergudest, milles esitatakse iga regulatiivsetesse om</w:t>
      </w:r>
      <w:r w:rsidRPr="00B94845">
        <w:rPr>
          <w:rFonts w:ascii="Times New Roman" w:hAnsi="Times New Roman"/>
          <w:bCs/>
          <w:sz w:val="24"/>
        </w:rPr>
        <w:t>avahenditesse kuuluva instrumendi põhitunnused. Kui sama kategooria eri instrumentidel on samad tunnused, võivad investeerimisühingud täita ainult ühe veeru ja esitada seal samad tunnused ning märkida emissioonid, millele samad tunnused osutavad.</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BC606C" w:rsidRPr="00B94845" w14:paraId="6ACCE518" w14:textId="77777777">
        <w:trPr>
          <w:trHeight w:val="259"/>
        </w:trPr>
        <w:tc>
          <w:tcPr>
            <w:tcW w:w="8691" w:type="dxa"/>
            <w:gridSpan w:val="2"/>
            <w:shd w:val="clear" w:color="auto" w:fill="D9D9D9" w:themeFill="background1" w:themeFillShade="D9"/>
          </w:tcPr>
          <w:p w14:paraId="0C3866D0" w14:textId="77777777" w:rsidR="00BC606C" w:rsidRPr="00B94845" w:rsidRDefault="00B94845">
            <w:pPr>
              <w:rPr>
                <w:rFonts w:ascii="Times New Roman" w:eastAsia="Times New Roman" w:hAnsi="Times New Roman" w:cs="Times New Roman"/>
                <w:b/>
                <w:bCs/>
                <w:color w:val="000000"/>
                <w:sz w:val="24"/>
              </w:rPr>
            </w:pPr>
            <w:r w:rsidRPr="00B94845">
              <w:rPr>
                <w:rFonts w:ascii="Times New Roman" w:hAnsi="Times New Roman"/>
                <w:b/>
                <w:bCs/>
                <w:color w:val="000000"/>
                <w:sz w:val="24"/>
              </w:rPr>
              <w:t>Juhised s</w:t>
            </w:r>
            <w:r w:rsidRPr="00B94845">
              <w:rPr>
                <w:rFonts w:ascii="Times New Roman" w:hAnsi="Times New Roman"/>
                <w:b/>
                <w:bCs/>
                <w:color w:val="000000"/>
                <w:sz w:val="24"/>
              </w:rPr>
              <w:t>elliste omavahenditesse kuuluvate instrumentide põhitunnuste tabeli täitmiseks, mille on emiteerinud investeerimisühing</w:t>
            </w:r>
          </w:p>
        </w:tc>
      </w:tr>
      <w:tr w:rsidR="00BC606C" w:rsidRPr="00B94845" w14:paraId="7F02774C" w14:textId="77777777">
        <w:trPr>
          <w:trHeight w:val="259"/>
        </w:trPr>
        <w:tc>
          <w:tcPr>
            <w:tcW w:w="1030" w:type="dxa"/>
            <w:shd w:val="clear" w:color="auto" w:fill="D9D9D9" w:themeFill="background1" w:themeFillShade="D9"/>
            <w:vAlign w:val="center"/>
          </w:tcPr>
          <w:p w14:paraId="517DB803" w14:textId="77777777" w:rsidR="00BC606C" w:rsidRPr="00B94845" w:rsidRDefault="00B94845">
            <w:pPr>
              <w:rPr>
                <w:rFonts w:ascii="Times New Roman" w:eastAsia="Times New Roman" w:hAnsi="Times New Roman" w:cs="Times New Roman"/>
                <w:b/>
                <w:bCs/>
                <w:color w:val="000000"/>
                <w:sz w:val="24"/>
              </w:rPr>
            </w:pPr>
            <w:r w:rsidRPr="00B94845">
              <w:rPr>
                <w:rFonts w:ascii="Times New Roman" w:hAnsi="Times New Roman"/>
                <w:b/>
                <w:bCs/>
                <w:color w:val="000000"/>
                <w:sz w:val="24"/>
              </w:rPr>
              <w:t>Rea number</w:t>
            </w:r>
          </w:p>
        </w:tc>
        <w:tc>
          <w:tcPr>
            <w:tcW w:w="7661" w:type="dxa"/>
            <w:shd w:val="clear" w:color="auto" w:fill="D9D9D9" w:themeFill="background1" w:themeFillShade="D9"/>
            <w:noWrap/>
            <w:vAlign w:val="bottom"/>
          </w:tcPr>
          <w:p w14:paraId="5F093350" w14:textId="77777777" w:rsidR="00BC606C" w:rsidRPr="00B94845" w:rsidRDefault="00B94845">
            <w:pPr>
              <w:rPr>
                <w:rFonts w:ascii="Times New Roman" w:eastAsia="Times New Roman" w:hAnsi="Times New Roman" w:cs="Times New Roman"/>
                <w:b/>
                <w:bCs/>
                <w:color w:val="000000"/>
                <w:sz w:val="24"/>
              </w:rPr>
            </w:pPr>
            <w:r w:rsidRPr="00B94845">
              <w:rPr>
                <w:rFonts w:ascii="Times New Roman" w:hAnsi="Times New Roman"/>
                <w:b/>
                <w:bCs/>
                <w:color w:val="000000"/>
                <w:sz w:val="24"/>
              </w:rPr>
              <w:t>Selgitus</w:t>
            </w:r>
          </w:p>
        </w:tc>
      </w:tr>
      <w:tr w:rsidR="00BC606C" w:rsidRPr="00B94845" w14:paraId="0C3B715A" w14:textId="77777777">
        <w:trPr>
          <w:trHeight w:val="259"/>
        </w:trPr>
        <w:tc>
          <w:tcPr>
            <w:tcW w:w="1030" w:type="dxa"/>
            <w:vAlign w:val="center"/>
          </w:tcPr>
          <w:p w14:paraId="1CA7ACC0"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w:t>
            </w:r>
          </w:p>
        </w:tc>
        <w:tc>
          <w:tcPr>
            <w:tcW w:w="7661" w:type="dxa"/>
            <w:shd w:val="clear" w:color="auto" w:fill="auto"/>
            <w:noWrap/>
            <w:vAlign w:val="bottom"/>
          </w:tcPr>
          <w:p w14:paraId="679B0B41"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Emitent</w:t>
            </w:r>
          </w:p>
          <w:p w14:paraId="420B9DB8"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Emitendi juriidiline staatus</w:t>
            </w:r>
          </w:p>
          <w:p w14:paraId="52AE8544"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rsidRPr="00B94845" w14:paraId="1741D677" w14:textId="77777777">
        <w:trPr>
          <w:trHeight w:val="259"/>
        </w:trPr>
        <w:tc>
          <w:tcPr>
            <w:tcW w:w="1030" w:type="dxa"/>
            <w:vAlign w:val="center"/>
          </w:tcPr>
          <w:p w14:paraId="5F782F88"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2</w:t>
            </w:r>
          </w:p>
        </w:tc>
        <w:tc>
          <w:tcPr>
            <w:tcW w:w="7661" w:type="dxa"/>
            <w:shd w:val="clear" w:color="auto" w:fill="auto"/>
            <w:noWrap/>
            <w:vAlign w:val="bottom"/>
          </w:tcPr>
          <w:p w14:paraId="20C46A32"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Kordumatu tunnus (nt CUSIP, ISIN või </w:t>
            </w:r>
            <w:r w:rsidRPr="00B94845">
              <w:rPr>
                <w:rFonts w:ascii="Times New Roman" w:hAnsi="Times New Roman"/>
                <w:sz w:val="24"/>
              </w:rPr>
              <w:t>Bloombergi tunnuskood suunatud pakkumiste puhul)</w:t>
            </w:r>
          </w:p>
          <w:p w14:paraId="2A2AC852"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Kordumatu tunnus (nt CUSIP ISIN või Bloombergi tunnuskood suunatud pakkumiste puhul).</w:t>
            </w:r>
          </w:p>
          <w:p w14:paraId="4653C88E"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i/>
                <w:sz w:val="24"/>
              </w:rPr>
              <w:t>Vabas vormis tekst</w:t>
            </w:r>
          </w:p>
        </w:tc>
      </w:tr>
      <w:tr w:rsidR="00BC606C" w:rsidRPr="00B94845" w14:paraId="7FC6F4A2" w14:textId="77777777">
        <w:trPr>
          <w:trHeight w:val="259"/>
        </w:trPr>
        <w:tc>
          <w:tcPr>
            <w:tcW w:w="1030" w:type="dxa"/>
            <w:vAlign w:val="center"/>
          </w:tcPr>
          <w:p w14:paraId="53CD55C4"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3</w:t>
            </w:r>
          </w:p>
        </w:tc>
        <w:tc>
          <w:tcPr>
            <w:tcW w:w="7661" w:type="dxa"/>
            <w:shd w:val="clear" w:color="auto" w:fill="auto"/>
            <w:noWrap/>
            <w:vAlign w:val="bottom"/>
          </w:tcPr>
          <w:p w14:paraId="0760256F"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Avalik või suunatud pakkumine</w:t>
            </w:r>
          </w:p>
          <w:p w14:paraId="0E88D604"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lastRenderedPageBreak/>
              <w:t>Täpsustada, kas instrument on emiteeritud avaliku või suunatud pakkum</w:t>
            </w:r>
            <w:r w:rsidRPr="00B94845">
              <w:rPr>
                <w:rFonts w:ascii="Times New Roman" w:hAnsi="Times New Roman"/>
                <w:sz w:val="24"/>
              </w:rPr>
              <w:t>ise teel.</w:t>
            </w:r>
          </w:p>
          <w:p w14:paraId="3286FDE4"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i/>
                <w:sz w:val="24"/>
              </w:rPr>
              <w:t>Valida menüüst: [avalik] [suunatud]</w:t>
            </w:r>
          </w:p>
        </w:tc>
      </w:tr>
      <w:tr w:rsidR="00BC606C" w:rsidRPr="00B94845" w14:paraId="04BC2ED2" w14:textId="77777777">
        <w:trPr>
          <w:trHeight w:val="259"/>
        </w:trPr>
        <w:tc>
          <w:tcPr>
            <w:tcW w:w="1030" w:type="dxa"/>
            <w:vAlign w:val="center"/>
          </w:tcPr>
          <w:p w14:paraId="0EA3DEC5"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lastRenderedPageBreak/>
              <w:t>4</w:t>
            </w:r>
          </w:p>
        </w:tc>
        <w:tc>
          <w:tcPr>
            <w:tcW w:w="7661" w:type="dxa"/>
            <w:shd w:val="clear" w:color="auto" w:fill="auto"/>
            <w:noWrap/>
            <w:vAlign w:val="bottom"/>
          </w:tcPr>
          <w:p w14:paraId="3FA5DF0B"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Instrumendi suhtes kehtiv õigus</w:t>
            </w:r>
          </w:p>
          <w:p w14:paraId="596A7AAB"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instrumendi suhtes kehtiv õigus.</w:t>
            </w:r>
          </w:p>
          <w:p w14:paraId="64F0CB82"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 xml:space="preserve">Vabas vormis tekst </w:t>
            </w:r>
          </w:p>
        </w:tc>
      </w:tr>
      <w:tr w:rsidR="00BC606C" w:rsidRPr="00B94845" w14:paraId="7D8A2EEF" w14:textId="77777777">
        <w:trPr>
          <w:trHeight w:val="259"/>
        </w:trPr>
        <w:tc>
          <w:tcPr>
            <w:tcW w:w="1030" w:type="dxa"/>
            <w:vAlign w:val="center"/>
          </w:tcPr>
          <w:p w14:paraId="425CD3AE"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5</w:t>
            </w:r>
          </w:p>
        </w:tc>
        <w:tc>
          <w:tcPr>
            <w:tcW w:w="7661" w:type="dxa"/>
            <w:shd w:val="clear" w:color="auto" w:fill="auto"/>
            <w:noWrap/>
            <w:vAlign w:val="bottom"/>
          </w:tcPr>
          <w:p w14:paraId="7E31862F"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Instrumendi liik (liigid määrab kindlaks iga jurisdiktsioon)</w:t>
            </w:r>
          </w:p>
          <w:p w14:paraId="4CF5C052"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Täpsustada instrumendi liik; erineb </w:t>
            </w:r>
            <w:r w:rsidRPr="00B94845">
              <w:rPr>
                <w:rFonts w:ascii="Times New Roman" w:hAnsi="Times New Roman"/>
                <w:sz w:val="24"/>
              </w:rPr>
              <w:t>jurisdiktsioonide lõikes.</w:t>
            </w:r>
          </w:p>
          <w:p w14:paraId="0ADFDE63"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Esimese taseme põhiomavahenditesse kuuluvate instrumentide puhul valida instrumendi nimetus esimese taseme põhiomavahenditesse kuuluvate instrumentide loetelus, mille on avaldanud EBA.</w:t>
            </w:r>
          </w:p>
          <w:p w14:paraId="49633236"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Muude instrumentide puhul valida menüüst: men</w:t>
            </w:r>
            <w:r w:rsidRPr="00B94845">
              <w:rPr>
                <w:rFonts w:ascii="Times New Roman" w:hAnsi="Times New Roman"/>
                <w:i/>
                <w:sz w:val="24"/>
              </w:rPr>
              <w:t xml:space="preserve">üü valikuvõimalused näeb investeerimisühingutele ette iga jurisdiktsioon – lisada õiguslikud viited määruse (EL) </w:t>
            </w:r>
            <w:r w:rsidRPr="00B94845">
              <w:rPr>
                <w:rFonts w:ascii="Times New Roman" w:hAnsi="Times New Roman"/>
                <w:i/>
                <w:sz w:val="24"/>
              </w:rPr>
              <w:t>2019/2033</w:t>
            </w:r>
            <w:r w:rsidRPr="00B94845">
              <w:rPr>
                <w:rFonts w:ascii="Times New Roman" w:hAnsi="Times New Roman"/>
                <w:i/>
                <w:sz w:val="24"/>
              </w:rPr>
              <w:t xml:space="preserve"> artiklitele iga instrumendiliigi puhul.</w:t>
            </w:r>
          </w:p>
        </w:tc>
      </w:tr>
      <w:tr w:rsidR="00BC606C" w:rsidRPr="00B94845" w14:paraId="6F5BE066" w14:textId="77777777">
        <w:trPr>
          <w:trHeight w:val="259"/>
        </w:trPr>
        <w:tc>
          <w:tcPr>
            <w:tcW w:w="1030" w:type="dxa"/>
            <w:vAlign w:val="center"/>
          </w:tcPr>
          <w:p w14:paraId="3937878D"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6</w:t>
            </w:r>
          </w:p>
        </w:tc>
        <w:tc>
          <w:tcPr>
            <w:tcW w:w="7661" w:type="dxa"/>
            <w:shd w:val="clear" w:color="auto" w:fill="auto"/>
            <w:noWrap/>
            <w:vAlign w:val="bottom"/>
          </w:tcPr>
          <w:p w14:paraId="22580876"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Regulatiivses kapitalis kajastatud summa (valuuta miljonites, viimase aruandekuupäeva seis</w:t>
            </w:r>
            <w:r w:rsidRPr="00B94845">
              <w:rPr>
                <w:rFonts w:ascii="Times New Roman" w:hAnsi="Times New Roman"/>
                <w:sz w:val="24"/>
              </w:rPr>
              <w:t>uga)</w:t>
            </w:r>
          </w:p>
          <w:p w14:paraId="26496159"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regulatiivsete omavahenditena kajastatud summa (kajastatud instrumendi kogusumma enne üleminekusätete kohaldamist asjaomase avalikustamistaseme puhul – aruandluskohustuste täitmisel kasutatud valuuta).</w:t>
            </w:r>
          </w:p>
          <w:p w14:paraId="68285BEF"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 xml:space="preserve">Vabas vormis tekst – eelkõige </w:t>
            </w:r>
            <w:r w:rsidRPr="00B94845">
              <w:rPr>
                <w:rFonts w:ascii="Times New Roman" w:hAnsi="Times New Roman"/>
                <w:i/>
                <w:sz w:val="24"/>
              </w:rPr>
              <w:t>täpsustada, kui instrumentide teatavad osad kuuluvad regulatiivsete omavahendite eri tasemete alla ning kui regulatiivsete omavahenditena kajastatud summa erineb emiteeritud summast.</w:t>
            </w:r>
          </w:p>
        </w:tc>
      </w:tr>
      <w:tr w:rsidR="00BC606C" w:rsidRPr="00B94845" w14:paraId="66FD1E38" w14:textId="77777777">
        <w:trPr>
          <w:trHeight w:val="259"/>
        </w:trPr>
        <w:tc>
          <w:tcPr>
            <w:tcW w:w="1030" w:type="dxa"/>
            <w:vAlign w:val="center"/>
          </w:tcPr>
          <w:p w14:paraId="32BC9D92"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7</w:t>
            </w:r>
          </w:p>
        </w:tc>
        <w:tc>
          <w:tcPr>
            <w:tcW w:w="7661" w:type="dxa"/>
            <w:shd w:val="clear" w:color="auto" w:fill="auto"/>
            <w:noWrap/>
            <w:vAlign w:val="bottom"/>
          </w:tcPr>
          <w:p w14:paraId="08F5AEE7"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Instrumendi nimiväärtus</w:t>
            </w:r>
          </w:p>
          <w:p w14:paraId="5443849F"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Instrumendi nimiväärtus (emiteerimise valuutas</w:t>
            </w:r>
            <w:r w:rsidRPr="00B94845">
              <w:rPr>
                <w:rFonts w:ascii="Times New Roman" w:hAnsi="Times New Roman"/>
                <w:sz w:val="24"/>
              </w:rPr>
              <w:t xml:space="preserve"> ja aruandluskohustuse täitmise valuutas).</w:t>
            </w:r>
          </w:p>
          <w:p w14:paraId="3D43A426"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rsidRPr="00B94845" w14:paraId="207E758A" w14:textId="77777777">
        <w:trPr>
          <w:trHeight w:val="259"/>
        </w:trPr>
        <w:tc>
          <w:tcPr>
            <w:tcW w:w="1030" w:type="dxa"/>
            <w:vAlign w:val="center"/>
          </w:tcPr>
          <w:p w14:paraId="177D3113"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8</w:t>
            </w:r>
          </w:p>
        </w:tc>
        <w:tc>
          <w:tcPr>
            <w:tcW w:w="7661" w:type="dxa"/>
            <w:shd w:val="clear" w:color="auto" w:fill="auto"/>
            <w:noWrap/>
            <w:vAlign w:val="bottom"/>
          </w:tcPr>
          <w:p w14:paraId="38D05A81"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Emissioonihind</w:t>
            </w:r>
          </w:p>
          <w:p w14:paraId="2C2CCDF9"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Instrumendi emiteerimise hind.</w:t>
            </w:r>
          </w:p>
          <w:p w14:paraId="4DE68B65"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rsidRPr="00B94845" w14:paraId="33A74979" w14:textId="77777777">
        <w:trPr>
          <w:trHeight w:val="259"/>
        </w:trPr>
        <w:tc>
          <w:tcPr>
            <w:tcW w:w="1030" w:type="dxa"/>
            <w:vAlign w:val="center"/>
          </w:tcPr>
          <w:p w14:paraId="2E6FEC6D"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lastRenderedPageBreak/>
              <w:t>9</w:t>
            </w:r>
          </w:p>
        </w:tc>
        <w:tc>
          <w:tcPr>
            <w:tcW w:w="7661" w:type="dxa"/>
            <w:shd w:val="clear" w:color="auto" w:fill="auto"/>
            <w:noWrap/>
            <w:vAlign w:val="bottom"/>
          </w:tcPr>
          <w:p w14:paraId="16CDDB68"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Tagasivõtuhind</w:t>
            </w:r>
          </w:p>
          <w:p w14:paraId="7266D508"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Instrumendi tagasivõtmise hind.</w:t>
            </w:r>
          </w:p>
          <w:p w14:paraId="6E079335"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rsidRPr="00B94845" w14:paraId="5F815766" w14:textId="77777777">
        <w:trPr>
          <w:trHeight w:val="259"/>
        </w:trPr>
        <w:tc>
          <w:tcPr>
            <w:tcW w:w="1030" w:type="dxa"/>
            <w:vAlign w:val="center"/>
          </w:tcPr>
          <w:p w14:paraId="33BA6C1E"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10</w:t>
            </w:r>
          </w:p>
        </w:tc>
        <w:tc>
          <w:tcPr>
            <w:tcW w:w="7661" w:type="dxa"/>
            <w:shd w:val="clear" w:color="auto" w:fill="auto"/>
            <w:noWrap/>
            <w:vAlign w:val="bottom"/>
          </w:tcPr>
          <w:p w14:paraId="11D2877A"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Raamatupidamislik liigitus</w:t>
            </w:r>
          </w:p>
          <w:p w14:paraId="54A41F39"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Täpsustada </w:t>
            </w:r>
            <w:r w:rsidRPr="00B94845">
              <w:rPr>
                <w:rFonts w:ascii="Times New Roman" w:hAnsi="Times New Roman"/>
                <w:sz w:val="24"/>
              </w:rPr>
              <w:t>raamatupidamislik liigitus.</w:t>
            </w:r>
          </w:p>
          <w:p w14:paraId="374EA79F"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[aktsiakapital] [kohustused – amortiseeritud soetusmaksumus] [kohustused – õiglase väärtuse võimaluse kasutamine] [mittekontrolliv osalus konsolideeritud tütarettevõtjas]</w:t>
            </w:r>
          </w:p>
        </w:tc>
      </w:tr>
      <w:tr w:rsidR="00BC606C" w:rsidRPr="00B94845" w14:paraId="13869930" w14:textId="77777777">
        <w:trPr>
          <w:trHeight w:val="259"/>
        </w:trPr>
        <w:tc>
          <w:tcPr>
            <w:tcW w:w="1030" w:type="dxa"/>
            <w:vAlign w:val="center"/>
          </w:tcPr>
          <w:p w14:paraId="0002DFB1"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11</w:t>
            </w:r>
          </w:p>
        </w:tc>
        <w:tc>
          <w:tcPr>
            <w:tcW w:w="7661" w:type="dxa"/>
            <w:shd w:val="clear" w:color="auto" w:fill="auto"/>
            <w:noWrap/>
            <w:vAlign w:val="bottom"/>
          </w:tcPr>
          <w:p w14:paraId="094C318A"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Esmase emissiooni kuupäev</w:t>
            </w:r>
          </w:p>
          <w:p w14:paraId="4B15435D"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Täpsustada </w:t>
            </w:r>
            <w:r w:rsidRPr="00B94845">
              <w:rPr>
                <w:rFonts w:ascii="Times New Roman" w:hAnsi="Times New Roman"/>
                <w:sz w:val="24"/>
              </w:rPr>
              <w:t>emissiooni kuupäev.</w:t>
            </w:r>
          </w:p>
          <w:p w14:paraId="09C6325C"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i/>
                <w:sz w:val="24"/>
              </w:rPr>
              <w:t>Vabas vormis tekst</w:t>
            </w:r>
          </w:p>
        </w:tc>
      </w:tr>
      <w:tr w:rsidR="00BC606C" w:rsidRPr="00B94845" w14:paraId="68CF8C0E" w14:textId="77777777">
        <w:trPr>
          <w:trHeight w:val="259"/>
        </w:trPr>
        <w:tc>
          <w:tcPr>
            <w:tcW w:w="1030" w:type="dxa"/>
            <w:vAlign w:val="center"/>
          </w:tcPr>
          <w:p w14:paraId="2DAF8EE5"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12</w:t>
            </w:r>
          </w:p>
        </w:tc>
        <w:tc>
          <w:tcPr>
            <w:tcW w:w="7661" w:type="dxa"/>
            <w:shd w:val="clear" w:color="auto" w:fill="auto"/>
            <w:noWrap/>
            <w:vAlign w:val="bottom"/>
          </w:tcPr>
          <w:p w14:paraId="4309B378"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Tähtajatu või tähtajaline</w:t>
            </w:r>
          </w:p>
          <w:p w14:paraId="6636D8FC"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tähtajaline või tähtajatu.</w:t>
            </w:r>
          </w:p>
          <w:p w14:paraId="612F25F1"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[tähtajatu] [tähtajaline]</w:t>
            </w:r>
          </w:p>
        </w:tc>
      </w:tr>
      <w:tr w:rsidR="00BC606C" w:rsidRPr="00B94845" w14:paraId="1A6BDAF1" w14:textId="77777777">
        <w:trPr>
          <w:trHeight w:val="259"/>
        </w:trPr>
        <w:tc>
          <w:tcPr>
            <w:tcW w:w="1030" w:type="dxa"/>
            <w:vAlign w:val="center"/>
          </w:tcPr>
          <w:p w14:paraId="7D3CD870"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13</w:t>
            </w:r>
          </w:p>
        </w:tc>
        <w:tc>
          <w:tcPr>
            <w:tcW w:w="7661" w:type="dxa"/>
            <w:shd w:val="clear" w:color="auto" w:fill="auto"/>
            <w:noWrap/>
            <w:vAlign w:val="bottom"/>
          </w:tcPr>
          <w:p w14:paraId="22483B59"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Algne lõpptähtaeg</w:t>
            </w:r>
          </w:p>
          <w:p w14:paraId="48198625"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Tähtajalise instrumendi puhul märkida algne lõpptähtaeg (päev, kuu, </w:t>
            </w:r>
            <w:r w:rsidRPr="00B94845">
              <w:rPr>
                <w:rFonts w:ascii="Times New Roman" w:hAnsi="Times New Roman"/>
                <w:sz w:val="24"/>
              </w:rPr>
              <w:t>aasta). Tähtajatute instrumentide puhul märkida „lõpptähtaeg puudub“.</w:t>
            </w:r>
          </w:p>
          <w:p w14:paraId="163C17DB"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i/>
                <w:sz w:val="24"/>
              </w:rPr>
              <w:t>Vabas vormis tekst</w:t>
            </w:r>
          </w:p>
        </w:tc>
      </w:tr>
      <w:tr w:rsidR="00BC606C" w:rsidRPr="00B94845" w14:paraId="5FB533B2" w14:textId="77777777">
        <w:trPr>
          <w:trHeight w:val="259"/>
        </w:trPr>
        <w:tc>
          <w:tcPr>
            <w:tcW w:w="1030" w:type="dxa"/>
            <w:vAlign w:val="center"/>
          </w:tcPr>
          <w:p w14:paraId="36BB13BD"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14</w:t>
            </w:r>
          </w:p>
        </w:tc>
        <w:tc>
          <w:tcPr>
            <w:tcW w:w="7661" w:type="dxa"/>
            <w:shd w:val="clear" w:color="auto" w:fill="auto"/>
            <w:noWrap/>
            <w:vAlign w:val="bottom"/>
          </w:tcPr>
          <w:p w14:paraId="41F0F860"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Tagasiost emitendi algatusel järelevalveasutuse eelneva heakskiidu korral</w:t>
            </w:r>
          </w:p>
          <w:p w14:paraId="547555FD"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emitendil on tagasiostuõigus (kõik tagasiostuõiguse liigid).</w:t>
            </w:r>
          </w:p>
          <w:p w14:paraId="34709FF4"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w:t>
            </w:r>
            <w:r w:rsidRPr="00B94845">
              <w:rPr>
                <w:rFonts w:ascii="Times New Roman" w:hAnsi="Times New Roman"/>
                <w:i/>
                <w:sz w:val="24"/>
              </w:rPr>
              <w:t>st: [jah] [ei]</w:t>
            </w:r>
          </w:p>
        </w:tc>
      </w:tr>
      <w:tr w:rsidR="00BC606C" w:rsidRPr="00B94845" w14:paraId="233F151D" w14:textId="77777777">
        <w:trPr>
          <w:trHeight w:val="259"/>
        </w:trPr>
        <w:tc>
          <w:tcPr>
            <w:tcW w:w="1030" w:type="dxa"/>
            <w:vAlign w:val="center"/>
          </w:tcPr>
          <w:p w14:paraId="458D2E9F"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15</w:t>
            </w:r>
          </w:p>
        </w:tc>
        <w:tc>
          <w:tcPr>
            <w:tcW w:w="7661" w:type="dxa"/>
            <w:shd w:val="clear" w:color="auto" w:fill="auto"/>
            <w:noWrap/>
            <w:vAlign w:val="bottom"/>
          </w:tcPr>
          <w:p w14:paraId="5442665F"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Valitav tagasiostukuupäev, tingimuslikud tagasiostukuupäevad ja tagasivõtmisel makstav summa</w:t>
            </w:r>
          </w:p>
          <w:p w14:paraId="125E37D6"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Emitendi tagasiostuõigusega instrumendi puhul täpsustada tagasiostu esimene kuupäev, kui instrumendi puhul kehtib tagasiostuõigus </w:t>
            </w:r>
            <w:r w:rsidRPr="00B94845">
              <w:rPr>
                <w:rFonts w:ascii="Times New Roman" w:hAnsi="Times New Roman"/>
                <w:sz w:val="24"/>
              </w:rPr>
              <w:t>konkreetsel kuupäeval (päev, kuu ja aasta) ning lisaks täpsustada, kas instrumendi puhul kehtib tagasiostuõigus maksu- ja/või regulatiivse sündmuse korral. Täpsustada ka tagasivõtmise hinda. Aitab hinnata püsivust.</w:t>
            </w:r>
          </w:p>
          <w:p w14:paraId="4390C0BE"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lastRenderedPageBreak/>
              <w:t>Vabas vormis tekst</w:t>
            </w:r>
          </w:p>
        </w:tc>
      </w:tr>
      <w:tr w:rsidR="00BC606C" w:rsidRPr="00B94845" w14:paraId="3BCC8ECC" w14:textId="77777777">
        <w:trPr>
          <w:trHeight w:val="259"/>
        </w:trPr>
        <w:tc>
          <w:tcPr>
            <w:tcW w:w="1030" w:type="dxa"/>
            <w:vAlign w:val="center"/>
          </w:tcPr>
          <w:p w14:paraId="4619B614"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lastRenderedPageBreak/>
              <w:t>16</w:t>
            </w:r>
          </w:p>
        </w:tc>
        <w:tc>
          <w:tcPr>
            <w:tcW w:w="7661" w:type="dxa"/>
            <w:shd w:val="clear" w:color="auto" w:fill="auto"/>
            <w:noWrap/>
            <w:vAlign w:val="bottom"/>
          </w:tcPr>
          <w:p w14:paraId="636AEE1D"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Hilisemad tagasios</w:t>
            </w:r>
            <w:r w:rsidRPr="00B94845">
              <w:rPr>
                <w:rFonts w:ascii="Times New Roman" w:hAnsi="Times New Roman"/>
                <w:sz w:val="24"/>
              </w:rPr>
              <w:t>tukuupäevad, kui see on asjakohane</w:t>
            </w:r>
          </w:p>
          <w:p w14:paraId="183DA801"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Asjakohasel juhul täpsustada hilisemate tagasiostukuupäevade olemasolu ja sagedust. Aitab hinnata püsivust.</w:t>
            </w:r>
          </w:p>
          <w:p w14:paraId="1062DD32"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i/>
                <w:sz w:val="24"/>
              </w:rPr>
              <w:t>Vabas vormis tekst</w:t>
            </w:r>
          </w:p>
        </w:tc>
      </w:tr>
      <w:tr w:rsidR="00BC606C" w:rsidRPr="00B94845" w14:paraId="76A63CAA" w14:textId="77777777">
        <w:trPr>
          <w:trHeight w:val="259"/>
        </w:trPr>
        <w:tc>
          <w:tcPr>
            <w:tcW w:w="1030" w:type="dxa"/>
            <w:vAlign w:val="center"/>
          </w:tcPr>
          <w:p w14:paraId="318EF476"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17</w:t>
            </w:r>
          </w:p>
        </w:tc>
        <w:tc>
          <w:tcPr>
            <w:tcW w:w="7661" w:type="dxa"/>
            <w:shd w:val="clear" w:color="auto" w:fill="auto"/>
            <w:noWrap/>
            <w:vAlign w:val="bottom"/>
          </w:tcPr>
          <w:p w14:paraId="5445303A"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Fikseeritud või ujuv dividend/kupong</w:t>
            </w:r>
          </w:p>
          <w:p w14:paraId="7D580758"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kupong/dividend on: instrumendi tähta</w:t>
            </w:r>
            <w:r w:rsidRPr="00B94845">
              <w:rPr>
                <w:rFonts w:ascii="Times New Roman" w:hAnsi="Times New Roman"/>
                <w:sz w:val="24"/>
              </w:rPr>
              <w:t>ja jooksul fikseeritud või ujuv või praegu fikseeritud, kuid muutub tulevikus ujuvaks, või praegu ujuv, kuid muutub tulevikus fikseerituks.</w:t>
            </w:r>
          </w:p>
          <w:p w14:paraId="351EB8D9"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 xml:space="preserve">Valida menüüst: [fikseeritud] [ujuv] [fikseeritud, muutub ujuvaks] [ujuv, muutub fikseerituks] </w:t>
            </w:r>
          </w:p>
        </w:tc>
      </w:tr>
      <w:tr w:rsidR="00BC606C" w:rsidRPr="00B94845" w14:paraId="40D86B29" w14:textId="77777777">
        <w:trPr>
          <w:trHeight w:val="259"/>
        </w:trPr>
        <w:tc>
          <w:tcPr>
            <w:tcW w:w="1030" w:type="dxa"/>
            <w:vAlign w:val="center"/>
          </w:tcPr>
          <w:p w14:paraId="62722BCF"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18</w:t>
            </w:r>
          </w:p>
        </w:tc>
        <w:tc>
          <w:tcPr>
            <w:tcW w:w="7661" w:type="dxa"/>
            <w:shd w:val="clear" w:color="auto" w:fill="auto"/>
            <w:noWrap/>
            <w:vAlign w:val="bottom"/>
          </w:tcPr>
          <w:p w14:paraId="51078D53"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Kupongimäär ja mis tahes seotud indeksid</w:t>
            </w:r>
          </w:p>
          <w:p w14:paraId="29C57CED"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Märkida instrumendi kupongimäär ja mis tahes seotud indeks, millega kupongi/dividendimäär on seotud.</w:t>
            </w:r>
          </w:p>
          <w:p w14:paraId="1856466C"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 xml:space="preserve">Vabas vormis tekst </w:t>
            </w:r>
          </w:p>
        </w:tc>
      </w:tr>
      <w:tr w:rsidR="00BC606C" w:rsidRPr="00B94845" w14:paraId="279A9779" w14:textId="77777777">
        <w:trPr>
          <w:trHeight w:val="2983"/>
        </w:trPr>
        <w:tc>
          <w:tcPr>
            <w:tcW w:w="1030" w:type="dxa"/>
            <w:vAlign w:val="center"/>
          </w:tcPr>
          <w:p w14:paraId="4993DA23"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19</w:t>
            </w:r>
          </w:p>
        </w:tc>
        <w:tc>
          <w:tcPr>
            <w:tcW w:w="7661" w:type="dxa"/>
            <w:shd w:val="clear" w:color="auto" w:fill="auto"/>
            <w:noWrap/>
            <w:vAlign w:val="bottom"/>
          </w:tcPr>
          <w:p w14:paraId="48244D2D"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Dividendide maksmise piirangu olemasolu</w:t>
            </w:r>
          </w:p>
          <w:p w14:paraId="33B196BC"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instrumendilt kupongi või dividend</w:t>
            </w:r>
            <w:r w:rsidRPr="00B94845">
              <w:rPr>
                <w:rFonts w:ascii="Times New Roman" w:hAnsi="Times New Roman"/>
                <w:sz w:val="24"/>
              </w:rPr>
              <w:t>i maksmata jätmine takistab dividendide maksmist lihtaktsiatelt (st, kas dividendide maksmisel on piirang).</w:t>
            </w:r>
          </w:p>
          <w:p w14:paraId="3EF0668A"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 xml:space="preserve">Valida menüüst: [jah], [ei] </w:t>
            </w:r>
          </w:p>
        </w:tc>
      </w:tr>
      <w:tr w:rsidR="00BC606C" w:rsidRPr="00B94845" w14:paraId="09579A9E" w14:textId="77777777">
        <w:trPr>
          <w:trHeight w:val="259"/>
        </w:trPr>
        <w:tc>
          <w:tcPr>
            <w:tcW w:w="1030" w:type="dxa"/>
            <w:vAlign w:val="center"/>
          </w:tcPr>
          <w:p w14:paraId="70B1C08A"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20</w:t>
            </w:r>
          </w:p>
        </w:tc>
        <w:tc>
          <w:tcPr>
            <w:tcW w:w="7661" w:type="dxa"/>
            <w:shd w:val="clear" w:color="auto" w:fill="auto"/>
            <w:noWrap/>
            <w:vAlign w:val="bottom"/>
          </w:tcPr>
          <w:p w14:paraId="6E346830"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 Täielik kaalutlusõigus, osaline kaalutlusõigus või kohustuslik (ajaliselt)</w:t>
            </w:r>
          </w:p>
          <w:p w14:paraId="6B8DF597"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emitendil on kupongi/dividendi maksmise osas täielik või osaline kaalutlusõigus või see puudub. Kui investeerimisühingul on täielik kaalutlusõigus tühistada kupongi</w:t>
            </w:r>
            <w:r w:rsidRPr="00B94845">
              <w:rPr>
                <w:rFonts w:ascii="Times New Roman" w:hAnsi="Times New Roman"/>
                <w:sz w:val="24"/>
              </w:rPr>
              <w:t>/dividendi maksmised kõigis olukordades, peab ta valima „täielik kaalutlusõigus“ (muu hulgas, kui dividendide maksmisel on piirang, mis ei takista investeerimisühingut tühistamast makseid instrumendilt). Kui esineb tingimus, mis peab olema enne makse tühis</w:t>
            </w:r>
            <w:r w:rsidRPr="00B94845">
              <w:rPr>
                <w:rFonts w:ascii="Times New Roman" w:hAnsi="Times New Roman"/>
                <w:sz w:val="24"/>
              </w:rPr>
              <w:t>tamist täidetud (nt omavahendid alla teatava künnise), peab investeerimisühing valima „osaline kaalutlusõigus“. Kui investeerimisühing saab tühistada maksed ainult maksejõuetuse korral, tuleb valida „kohustuslik“.</w:t>
            </w:r>
          </w:p>
          <w:p w14:paraId="4013A14F"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lastRenderedPageBreak/>
              <w:t>Valida menüüst: [täielik kaalutlusõigus] [</w:t>
            </w:r>
            <w:r w:rsidRPr="00B94845">
              <w:rPr>
                <w:rFonts w:ascii="Times New Roman" w:hAnsi="Times New Roman"/>
                <w:i/>
                <w:sz w:val="24"/>
              </w:rPr>
              <w:t>osaline kaalutlusõigus] [kohustuslik]</w:t>
            </w:r>
          </w:p>
          <w:p w14:paraId="4C202C7D"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i/>
                <w:sz w:val="24"/>
              </w:rPr>
              <w:t>Vabas vormis tekst (märkida kaalutluse põhjused, dividendide maksmise käivitite olemasolu, dividendide maksmise piirangud, alternatiivne kupongimaksmise mehhanism ACSM)</w:t>
            </w:r>
          </w:p>
        </w:tc>
      </w:tr>
      <w:tr w:rsidR="00BC606C" w:rsidRPr="00B94845" w14:paraId="273EE4C6" w14:textId="77777777">
        <w:trPr>
          <w:trHeight w:val="259"/>
        </w:trPr>
        <w:tc>
          <w:tcPr>
            <w:tcW w:w="1030" w:type="dxa"/>
            <w:vAlign w:val="center"/>
          </w:tcPr>
          <w:p w14:paraId="00D365C3"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lastRenderedPageBreak/>
              <w:t>21</w:t>
            </w:r>
          </w:p>
        </w:tc>
        <w:tc>
          <w:tcPr>
            <w:tcW w:w="7661" w:type="dxa"/>
            <w:shd w:val="clear" w:color="auto" w:fill="auto"/>
            <w:noWrap/>
            <w:vAlign w:val="bottom"/>
          </w:tcPr>
          <w:p w14:paraId="48F38C75"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Täielik kaalutlusõigus, osaline </w:t>
            </w:r>
            <w:r w:rsidRPr="00B94845">
              <w:rPr>
                <w:rFonts w:ascii="Times New Roman" w:hAnsi="Times New Roman"/>
                <w:sz w:val="24"/>
              </w:rPr>
              <w:t>kaalutlusõigus või kohustuslik (summa seisukohast)</w:t>
            </w:r>
          </w:p>
          <w:p w14:paraId="42603B33"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emitendil on kupongi/dividendi summa osas täielik või osaline kaalutlusõigus või see puudub.</w:t>
            </w:r>
          </w:p>
          <w:p w14:paraId="00CBD88A"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[täielik kaalutlusõigus] [osaline kaalutlusõigus] [kohustuslik]</w:t>
            </w:r>
          </w:p>
        </w:tc>
      </w:tr>
      <w:tr w:rsidR="00BC606C" w:rsidRPr="00B94845" w14:paraId="3C290293" w14:textId="77777777">
        <w:trPr>
          <w:trHeight w:val="259"/>
        </w:trPr>
        <w:tc>
          <w:tcPr>
            <w:tcW w:w="1030" w:type="dxa"/>
            <w:vAlign w:val="center"/>
          </w:tcPr>
          <w:p w14:paraId="32DB5414"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22</w:t>
            </w:r>
          </w:p>
        </w:tc>
        <w:tc>
          <w:tcPr>
            <w:tcW w:w="7661" w:type="dxa"/>
            <w:shd w:val="clear" w:color="auto" w:fill="auto"/>
            <w:noWrap/>
            <w:vAlign w:val="bottom"/>
          </w:tcPr>
          <w:p w14:paraId="23354192"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 Väljamakse </w:t>
            </w:r>
            <w:r w:rsidRPr="00B94845">
              <w:rPr>
                <w:rFonts w:ascii="Times New Roman" w:hAnsi="Times New Roman"/>
                <w:sz w:val="24"/>
              </w:rPr>
              <w:t>suurendamise või muu tagasiostu ajendava tingimuse olemasolu</w:t>
            </w:r>
          </w:p>
          <w:p w14:paraId="4D214602"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esineb väljamaksete suurendamist või muid tagasiostu ajendavaid tingimusi.</w:t>
            </w:r>
          </w:p>
          <w:p w14:paraId="10879342"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[jah] [ei]</w:t>
            </w:r>
          </w:p>
        </w:tc>
      </w:tr>
      <w:tr w:rsidR="00BC606C" w:rsidRPr="00B94845" w14:paraId="1EFD1640" w14:textId="77777777">
        <w:trPr>
          <w:trHeight w:val="259"/>
        </w:trPr>
        <w:tc>
          <w:tcPr>
            <w:tcW w:w="1030" w:type="dxa"/>
            <w:vAlign w:val="center"/>
          </w:tcPr>
          <w:p w14:paraId="0C5492B4"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23</w:t>
            </w:r>
          </w:p>
        </w:tc>
        <w:tc>
          <w:tcPr>
            <w:tcW w:w="7661" w:type="dxa"/>
            <w:shd w:val="clear" w:color="auto" w:fill="auto"/>
            <w:noWrap/>
            <w:vAlign w:val="bottom"/>
          </w:tcPr>
          <w:p w14:paraId="238CB9F1"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Mittekumulatiivne või kumulatiivne</w:t>
            </w:r>
          </w:p>
          <w:p w14:paraId="68C60F04"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dividendid/kupongid on</w:t>
            </w:r>
            <w:r w:rsidRPr="00B94845">
              <w:rPr>
                <w:rFonts w:ascii="Times New Roman" w:hAnsi="Times New Roman"/>
                <w:sz w:val="24"/>
              </w:rPr>
              <w:t xml:space="preserve"> kumulatiivsed või mittekumulatiivsed.</w:t>
            </w:r>
          </w:p>
          <w:p w14:paraId="113AFCB3"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[mittekumulatiivne] [kumulatiivne] [ACSM]</w:t>
            </w:r>
          </w:p>
        </w:tc>
      </w:tr>
      <w:tr w:rsidR="00BC606C" w:rsidRPr="00B94845" w14:paraId="4E2A4DA4" w14:textId="77777777">
        <w:trPr>
          <w:trHeight w:val="259"/>
        </w:trPr>
        <w:tc>
          <w:tcPr>
            <w:tcW w:w="1030" w:type="dxa"/>
            <w:vAlign w:val="center"/>
          </w:tcPr>
          <w:p w14:paraId="6E4B6A11"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24</w:t>
            </w:r>
          </w:p>
        </w:tc>
        <w:tc>
          <w:tcPr>
            <w:tcW w:w="7661" w:type="dxa"/>
            <w:shd w:val="clear" w:color="auto" w:fill="auto"/>
            <w:noWrap/>
            <w:vAlign w:val="bottom"/>
          </w:tcPr>
          <w:p w14:paraId="5E30FFB1"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Vahetatav või mittevahetatav</w:t>
            </w:r>
          </w:p>
          <w:p w14:paraId="18CE0A56"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instrument on vahetatav või mitte.</w:t>
            </w:r>
          </w:p>
          <w:p w14:paraId="336F4156"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[vahetatav] [mittevahetatav]</w:t>
            </w:r>
          </w:p>
        </w:tc>
      </w:tr>
      <w:tr w:rsidR="00BC606C" w:rsidRPr="00B94845" w14:paraId="71AF63F9" w14:textId="77777777">
        <w:trPr>
          <w:trHeight w:val="259"/>
        </w:trPr>
        <w:tc>
          <w:tcPr>
            <w:tcW w:w="1030" w:type="dxa"/>
            <w:vAlign w:val="center"/>
          </w:tcPr>
          <w:p w14:paraId="47F17EC5"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25</w:t>
            </w:r>
          </w:p>
        </w:tc>
        <w:tc>
          <w:tcPr>
            <w:tcW w:w="7661" w:type="dxa"/>
            <w:shd w:val="clear" w:color="auto" w:fill="auto"/>
            <w:noWrap/>
            <w:vAlign w:val="bottom"/>
          </w:tcPr>
          <w:p w14:paraId="16991E84"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 Kui vahetatav, vahetamise käiviti(d)</w:t>
            </w:r>
          </w:p>
          <w:p w14:paraId="0B34645B"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tingimusi, mille alusel instrument vahetatakse, sealhulgas hetk, mil investeerimisühing ei ole enam elujõuline. Kui vahetamise saavad käivitada üks või rohkem ametiasutust, tuleb need loetleda. Kui vahetamis</w:t>
            </w:r>
            <w:r w:rsidRPr="00B94845">
              <w:rPr>
                <w:rFonts w:ascii="Times New Roman" w:hAnsi="Times New Roman"/>
                <w:sz w:val="24"/>
              </w:rPr>
              <w:t>e saavad käivitada üks või rohkem ametiasutust, tuleb need loetleda. Iga ametiasutuse puhul tuleb märkida, kas talle annavad õigusliku aluse vahetamise käivitamiseks instrumendi lepingu tingimused (lepinguline lähenemisviis) või annavad selle õigusvahendid</w:t>
            </w:r>
            <w:r w:rsidRPr="00B94845">
              <w:rPr>
                <w:rFonts w:ascii="Times New Roman" w:hAnsi="Times New Roman"/>
                <w:sz w:val="24"/>
              </w:rPr>
              <w:t xml:space="preserve"> (õiguspõhine lähenemisviis).</w:t>
            </w:r>
          </w:p>
          <w:p w14:paraId="73FAA596"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rsidRPr="00B94845" w14:paraId="25432F87" w14:textId="77777777">
        <w:trPr>
          <w:trHeight w:val="259"/>
        </w:trPr>
        <w:tc>
          <w:tcPr>
            <w:tcW w:w="1030" w:type="dxa"/>
            <w:vAlign w:val="center"/>
          </w:tcPr>
          <w:p w14:paraId="709B4AA7"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lastRenderedPageBreak/>
              <w:t>26</w:t>
            </w:r>
          </w:p>
        </w:tc>
        <w:tc>
          <w:tcPr>
            <w:tcW w:w="7661" w:type="dxa"/>
            <w:shd w:val="clear" w:color="auto" w:fill="auto"/>
            <w:noWrap/>
            <w:vAlign w:val="bottom"/>
          </w:tcPr>
          <w:p w14:paraId="108BEAF9"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Kui vahetatav, kas täielikult või osaliselt</w:t>
            </w:r>
          </w:p>
          <w:p w14:paraId="62C20123"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instrument vahetatakse alati täielikult, seda saab vahetada täielikult või osaliselt või vahetatakse see alati osaliselt.</w:t>
            </w:r>
          </w:p>
          <w:p w14:paraId="47B27BC6"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[alat</w:t>
            </w:r>
            <w:r w:rsidRPr="00B94845">
              <w:rPr>
                <w:rFonts w:ascii="Times New Roman" w:hAnsi="Times New Roman"/>
                <w:i/>
                <w:sz w:val="24"/>
              </w:rPr>
              <w:t>i täielikult] [osaliselt või täielikult] [alati osaliselt]</w:t>
            </w:r>
          </w:p>
        </w:tc>
      </w:tr>
      <w:tr w:rsidR="00BC606C" w:rsidRPr="00B94845" w14:paraId="4E442FEF" w14:textId="77777777">
        <w:trPr>
          <w:trHeight w:val="259"/>
        </w:trPr>
        <w:tc>
          <w:tcPr>
            <w:tcW w:w="1030" w:type="dxa"/>
            <w:vAlign w:val="center"/>
          </w:tcPr>
          <w:p w14:paraId="1D83044B"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27</w:t>
            </w:r>
          </w:p>
        </w:tc>
        <w:tc>
          <w:tcPr>
            <w:tcW w:w="7661" w:type="dxa"/>
            <w:shd w:val="clear" w:color="auto" w:fill="auto"/>
            <w:noWrap/>
            <w:vAlign w:val="bottom"/>
          </w:tcPr>
          <w:p w14:paraId="46487834"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Kui vahetatav, vahetamise määr</w:t>
            </w:r>
          </w:p>
          <w:p w14:paraId="65383D41"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Märkida kõige enam kahju katva instrumendi vastu vahetamise määr.</w:t>
            </w:r>
          </w:p>
          <w:p w14:paraId="3992C2B3"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rsidRPr="00B94845" w14:paraId="60389835" w14:textId="77777777">
        <w:trPr>
          <w:trHeight w:val="259"/>
        </w:trPr>
        <w:tc>
          <w:tcPr>
            <w:tcW w:w="1030" w:type="dxa"/>
            <w:vAlign w:val="center"/>
          </w:tcPr>
          <w:p w14:paraId="28EFB4AC"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28</w:t>
            </w:r>
          </w:p>
        </w:tc>
        <w:tc>
          <w:tcPr>
            <w:tcW w:w="7661" w:type="dxa"/>
            <w:shd w:val="clear" w:color="auto" w:fill="auto"/>
            <w:noWrap/>
            <w:vAlign w:val="bottom"/>
          </w:tcPr>
          <w:p w14:paraId="0EF303F4"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 Kui vahetatav, kas kohustuslik või vabatahtlik vahetamine</w:t>
            </w:r>
          </w:p>
          <w:p w14:paraId="1BEB5679"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Vahetatavate instrumentide puhul täpsustada, kas vahetamine on kohustuslik või mitte.</w:t>
            </w:r>
          </w:p>
          <w:p w14:paraId="2E612797"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[kohustuslik] [vabatahtlik] [ei kohaldata] ja [omanike valikul] [emitendi valikul] [nii omanike</w:t>
            </w:r>
            <w:r w:rsidRPr="00B94845">
              <w:rPr>
                <w:rFonts w:ascii="Times New Roman" w:hAnsi="Times New Roman"/>
                <w:i/>
                <w:sz w:val="24"/>
              </w:rPr>
              <w:t xml:space="preserve"> kui ka emitendi valikul]</w:t>
            </w:r>
          </w:p>
        </w:tc>
      </w:tr>
      <w:tr w:rsidR="00BC606C" w:rsidRPr="00B94845" w14:paraId="62D77186" w14:textId="77777777">
        <w:trPr>
          <w:trHeight w:val="259"/>
        </w:trPr>
        <w:tc>
          <w:tcPr>
            <w:tcW w:w="1030" w:type="dxa"/>
            <w:vAlign w:val="center"/>
          </w:tcPr>
          <w:p w14:paraId="7634069D"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29</w:t>
            </w:r>
          </w:p>
        </w:tc>
        <w:tc>
          <w:tcPr>
            <w:tcW w:w="7661" w:type="dxa"/>
            <w:shd w:val="clear" w:color="auto" w:fill="auto"/>
            <w:noWrap/>
            <w:vAlign w:val="bottom"/>
          </w:tcPr>
          <w:p w14:paraId="44EE9B50"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Kui vahetatav, märkida instrumendi liik, mille vastu vahetatakse</w:t>
            </w:r>
          </w:p>
          <w:p w14:paraId="10C923A8"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Vahetatavate instrumentide puhul täpsustada selle instrumendi liiki, mille vastu vahetatakse.</w:t>
            </w:r>
          </w:p>
          <w:p w14:paraId="0F69A479"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 xml:space="preserve">Valida menüüst: [esimese taseme põhiomavahendid] </w:t>
            </w:r>
            <w:r w:rsidRPr="00B94845">
              <w:rPr>
                <w:rFonts w:ascii="Times New Roman" w:hAnsi="Times New Roman"/>
                <w:i/>
                <w:sz w:val="24"/>
              </w:rPr>
              <w:t>[täiendavad esimese taseme omavahendid] [teise taseme omavahendid] [muu]</w:t>
            </w:r>
          </w:p>
        </w:tc>
      </w:tr>
      <w:tr w:rsidR="00BC606C" w:rsidRPr="00B94845" w14:paraId="6212B88D" w14:textId="77777777">
        <w:trPr>
          <w:trHeight w:val="259"/>
        </w:trPr>
        <w:tc>
          <w:tcPr>
            <w:tcW w:w="1030" w:type="dxa"/>
            <w:vAlign w:val="center"/>
          </w:tcPr>
          <w:p w14:paraId="7E2B0B07"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30</w:t>
            </w:r>
          </w:p>
        </w:tc>
        <w:tc>
          <w:tcPr>
            <w:tcW w:w="7661" w:type="dxa"/>
            <w:shd w:val="clear" w:color="auto" w:fill="auto"/>
            <w:noWrap/>
            <w:vAlign w:val="bottom"/>
          </w:tcPr>
          <w:p w14:paraId="5452F438"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Kui vahetatav, märkida selle instrumendi emitent, mille vastu vahetatakse</w:t>
            </w:r>
          </w:p>
          <w:p w14:paraId="0D6FD8BF"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Kui vahetatav, märkida selle instrumendi emitent, mille vastu vahetatakse.</w:t>
            </w:r>
          </w:p>
          <w:p w14:paraId="16DAC70B"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rsidRPr="00B94845" w14:paraId="2B259840" w14:textId="77777777">
        <w:trPr>
          <w:trHeight w:val="259"/>
        </w:trPr>
        <w:tc>
          <w:tcPr>
            <w:tcW w:w="1030" w:type="dxa"/>
            <w:vAlign w:val="center"/>
          </w:tcPr>
          <w:p w14:paraId="033EE4F9"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31</w:t>
            </w:r>
          </w:p>
        </w:tc>
        <w:tc>
          <w:tcPr>
            <w:tcW w:w="7661" w:type="dxa"/>
            <w:shd w:val="clear" w:color="auto" w:fill="auto"/>
            <w:noWrap/>
            <w:vAlign w:val="bottom"/>
          </w:tcPr>
          <w:p w14:paraId="1EE2DF94"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Allahindamise tunnused</w:t>
            </w:r>
          </w:p>
          <w:p w14:paraId="00A7F050"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Täpsustada, kas esineb allahindamise tunnus.</w:t>
            </w:r>
          </w:p>
          <w:p w14:paraId="45BAD260"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[jah] [ei]</w:t>
            </w:r>
          </w:p>
        </w:tc>
      </w:tr>
      <w:tr w:rsidR="00BC606C" w:rsidRPr="00B94845" w14:paraId="0903EFFD" w14:textId="77777777">
        <w:trPr>
          <w:trHeight w:val="259"/>
        </w:trPr>
        <w:tc>
          <w:tcPr>
            <w:tcW w:w="1030" w:type="dxa"/>
            <w:vAlign w:val="center"/>
          </w:tcPr>
          <w:p w14:paraId="5C4E995A"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32</w:t>
            </w:r>
          </w:p>
        </w:tc>
        <w:tc>
          <w:tcPr>
            <w:tcW w:w="7661" w:type="dxa"/>
            <w:shd w:val="clear" w:color="auto" w:fill="auto"/>
            <w:noWrap/>
            <w:vAlign w:val="bottom"/>
          </w:tcPr>
          <w:p w14:paraId="4E5E042F"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Allahindamise korral selle käiviti(d)</w:t>
            </w:r>
          </w:p>
          <w:p w14:paraId="07D36DE6" w14:textId="77777777" w:rsidR="00BC606C" w:rsidRPr="00B94845" w:rsidRDefault="00B94845">
            <w:pPr>
              <w:autoSpaceDE w:val="0"/>
              <w:autoSpaceDN w:val="0"/>
              <w:adjustRightInd w:val="0"/>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Märkida käiviti, mille korral allahindamine toimub, sealhulgas hetk, mil investeerimisühing ei ole enam </w:t>
            </w:r>
            <w:r w:rsidRPr="00B94845">
              <w:rPr>
                <w:rFonts w:ascii="Times New Roman" w:hAnsi="Times New Roman"/>
                <w:sz w:val="24"/>
              </w:rPr>
              <w:t>elujõuline. Kui allahindamise saavad käivitada üks või rohkem ametiasutust, tuleb need loetleda. Kui allahindamise saavad käivitada üks või rohkem ametiasutust, tuleb need loetleda. Iga ametiasutuse puhul tuleb märkida, kas talle annavad õigusliku aluse al</w:t>
            </w:r>
            <w:r w:rsidRPr="00B94845">
              <w:rPr>
                <w:rFonts w:ascii="Times New Roman" w:hAnsi="Times New Roman"/>
                <w:sz w:val="24"/>
              </w:rPr>
              <w:t xml:space="preserve">lahindamise </w:t>
            </w:r>
            <w:r w:rsidRPr="00B94845">
              <w:rPr>
                <w:rFonts w:ascii="Times New Roman" w:hAnsi="Times New Roman"/>
                <w:sz w:val="24"/>
              </w:rPr>
              <w:lastRenderedPageBreak/>
              <w:t>käivitamiseks instrumendi lepingu tingimused (lepinguline lähenemisviis) või annavad selle õigusvahendid (õiguspõhine lähenemisviis).</w:t>
            </w:r>
          </w:p>
          <w:p w14:paraId="552BB678"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rsidRPr="00B94845" w14:paraId="2D223AF6" w14:textId="77777777">
        <w:trPr>
          <w:trHeight w:val="259"/>
        </w:trPr>
        <w:tc>
          <w:tcPr>
            <w:tcW w:w="1030" w:type="dxa"/>
            <w:vAlign w:val="center"/>
          </w:tcPr>
          <w:p w14:paraId="771A80F1"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lastRenderedPageBreak/>
              <w:t>33</w:t>
            </w:r>
          </w:p>
        </w:tc>
        <w:tc>
          <w:tcPr>
            <w:tcW w:w="7661" w:type="dxa"/>
            <w:shd w:val="clear" w:color="auto" w:fill="auto"/>
            <w:noWrap/>
            <w:vAlign w:val="bottom"/>
          </w:tcPr>
          <w:p w14:paraId="4ED19B0E"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Allahindamise korral, kas osaline või täielik allahindamine</w:t>
            </w:r>
          </w:p>
          <w:p w14:paraId="5A364B84"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Täpsustada, kas instrument </w:t>
            </w:r>
            <w:r w:rsidRPr="00B94845">
              <w:rPr>
                <w:rFonts w:ascii="Times New Roman" w:hAnsi="Times New Roman"/>
                <w:sz w:val="24"/>
              </w:rPr>
              <w:t>hinnatakse alati alla täielikult, võib seda teha osaliselt või see hinnatakse alati alla osaliselt. Aitab allahindamisel hinnata kahjumi katmise võimet.</w:t>
            </w:r>
          </w:p>
          <w:p w14:paraId="6FFBE237"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 xml:space="preserve">Valida menüüst: [alati täielikult] [osaliselt või täielikult] [alati osaliselt] </w:t>
            </w:r>
          </w:p>
        </w:tc>
      </w:tr>
      <w:tr w:rsidR="00BC606C" w:rsidRPr="00B94845" w14:paraId="78B3065F" w14:textId="77777777">
        <w:trPr>
          <w:trHeight w:val="259"/>
        </w:trPr>
        <w:tc>
          <w:tcPr>
            <w:tcW w:w="1030" w:type="dxa"/>
            <w:vAlign w:val="center"/>
          </w:tcPr>
          <w:p w14:paraId="153CC743"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34</w:t>
            </w:r>
          </w:p>
        </w:tc>
        <w:tc>
          <w:tcPr>
            <w:tcW w:w="7661" w:type="dxa"/>
            <w:shd w:val="clear" w:color="auto" w:fill="auto"/>
            <w:noWrap/>
            <w:vAlign w:val="bottom"/>
          </w:tcPr>
          <w:p w14:paraId="57B50B49"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Allahindamise korr</w:t>
            </w:r>
            <w:r w:rsidRPr="00B94845">
              <w:rPr>
                <w:rFonts w:ascii="Times New Roman" w:hAnsi="Times New Roman"/>
                <w:sz w:val="24"/>
              </w:rPr>
              <w:t>al, kas alaline või ajutine allahindamine</w:t>
            </w:r>
          </w:p>
          <w:p w14:paraId="577EE754"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Allahinnatava instrumendi kohta täpsustada, kas allahindamine on alaline või ajutine.</w:t>
            </w:r>
          </w:p>
          <w:p w14:paraId="3A7D6C5D"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Valida menüüst: [alaline] [ajutine] [ei kohaldata]</w:t>
            </w:r>
          </w:p>
        </w:tc>
      </w:tr>
      <w:tr w:rsidR="00BC606C" w:rsidRPr="00B94845" w14:paraId="59F84731" w14:textId="77777777">
        <w:trPr>
          <w:trHeight w:val="259"/>
        </w:trPr>
        <w:tc>
          <w:tcPr>
            <w:tcW w:w="1030" w:type="dxa"/>
            <w:vAlign w:val="center"/>
          </w:tcPr>
          <w:p w14:paraId="07085B82"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35</w:t>
            </w:r>
          </w:p>
        </w:tc>
        <w:tc>
          <w:tcPr>
            <w:tcW w:w="7661" w:type="dxa"/>
            <w:shd w:val="clear" w:color="auto" w:fill="auto"/>
            <w:noWrap/>
            <w:vAlign w:val="bottom"/>
          </w:tcPr>
          <w:p w14:paraId="66AB3A67"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Ajutise allahindamise korral üleshindamise mehhanismi kirjeldus</w:t>
            </w:r>
          </w:p>
          <w:p w14:paraId="51EC79C1"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Kirjeldada üleshindamise mehhanismi.</w:t>
            </w:r>
          </w:p>
          <w:p w14:paraId="7807B002"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rsidRPr="00B94845" w14:paraId="0B68F387" w14:textId="77777777">
        <w:trPr>
          <w:trHeight w:val="1448"/>
        </w:trPr>
        <w:tc>
          <w:tcPr>
            <w:tcW w:w="1030" w:type="dxa"/>
            <w:vAlign w:val="center"/>
          </w:tcPr>
          <w:p w14:paraId="24D0166B"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36</w:t>
            </w:r>
          </w:p>
        </w:tc>
        <w:tc>
          <w:tcPr>
            <w:tcW w:w="7661" w:type="dxa"/>
            <w:shd w:val="clear" w:color="auto" w:fill="auto"/>
            <w:noWrap/>
            <w:vAlign w:val="bottom"/>
          </w:tcPr>
          <w:p w14:paraId="5DF8C4C3"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Nõuetele mittevastavad üleminekutunnused</w:t>
            </w:r>
          </w:p>
          <w:p w14:paraId="2BA14807"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Kui on nõuetele mittevastavaid tunnuseid, kirjeldada neid.</w:t>
            </w:r>
          </w:p>
          <w:p w14:paraId="6555108E"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sz w:val="24"/>
              </w:rPr>
              <w:t>Valige [jah] või [ei].</w:t>
            </w:r>
          </w:p>
        </w:tc>
      </w:tr>
      <w:tr w:rsidR="00BC606C" w:rsidRPr="00B94845" w14:paraId="2F14D44C" w14:textId="77777777">
        <w:trPr>
          <w:trHeight w:val="259"/>
        </w:trPr>
        <w:tc>
          <w:tcPr>
            <w:tcW w:w="1030" w:type="dxa"/>
            <w:vAlign w:val="center"/>
          </w:tcPr>
          <w:p w14:paraId="545330A6"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37</w:t>
            </w:r>
          </w:p>
        </w:tc>
        <w:tc>
          <w:tcPr>
            <w:tcW w:w="7661" w:type="dxa"/>
            <w:shd w:val="clear" w:color="auto" w:fill="auto"/>
            <w:noWrap/>
            <w:vAlign w:val="bottom"/>
          </w:tcPr>
          <w:p w14:paraId="167E2966"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Kui jah, täpsustada neid tunnuseid.</w:t>
            </w:r>
          </w:p>
          <w:p w14:paraId="0106E069"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Kui esineb nõuetele </w:t>
            </w:r>
            <w:r w:rsidRPr="00B94845">
              <w:rPr>
                <w:rFonts w:ascii="Times New Roman" w:hAnsi="Times New Roman"/>
                <w:sz w:val="24"/>
              </w:rPr>
              <w:t>mittevastavaid tunnuseid, täpsustab investeerimisühing neid.</w:t>
            </w:r>
          </w:p>
          <w:p w14:paraId="7FDBD204" w14:textId="77777777" w:rsidR="00BC606C" w:rsidRPr="00B94845" w:rsidRDefault="00B94845">
            <w:pPr>
              <w:spacing w:after="200" w:line="276" w:lineRule="auto"/>
              <w:jc w:val="both"/>
              <w:rPr>
                <w:rFonts w:ascii="Times New Roman" w:eastAsia="Times New Roman" w:hAnsi="Times New Roman" w:cs="Times New Roman"/>
                <w:i/>
                <w:sz w:val="24"/>
              </w:rPr>
            </w:pPr>
            <w:r w:rsidRPr="00B94845">
              <w:rPr>
                <w:rFonts w:ascii="Times New Roman" w:hAnsi="Times New Roman"/>
                <w:i/>
                <w:sz w:val="24"/>
              </w:rPr>
              <w:t>Vabas vormis tekst</w:t>
            </w:r>
          </w:p>
        </w:tc>
      </w:tr>
      <w:tr w:rsidR="00BC606C" w14:paraId="2E168B70" w14:textId="77777777">
        <w:trPr>
          <w:trHeight w:val="259"/>
        </w:trPr>
        <w:tc>
          <w:tcPr>
            <w:tcW w:w="1030" w:type="dxa"/>
            <w:vAlign w:val="center"/>
          </w:tcPr>
          <w:p w14:paraId="4D213BC1" w14:textId="77777777" w:rsidR="00BC606C" w:rsidRPr="00B94845" w:rsidRDefault="00B94845">
            <w:pPr>
              <w:spacing w:after="200" w:line="276" w:lineRule="auto"/>
              <w:rPr>
                <w:rFonts w:ascii="Times New Roman" w:eastAsia="Times New Roman" w:hAnsi="Times New Roman" w:cs="Times New Roman"/>
                <w:sz w:val="24"/>
              </w:rPr>
            </w:pPr>
            <w:r w:rsidRPr="00B94845">
              <w:rPr>
                <w:rFonts w:ascii="Times New Roman" w:hAnsi="Times New Roman"/>
                <w:color w:val="000000"/>
                <w:sz w:val="24"/>
              </w:rPr>
              <w:t>38</w:t>
            </w:r>
          </w:p>
        </w:tc>
        <w:tc>
          <w:tcPr>
            <w:tcW w:w="7661" w:type="dxa"/>
            <w:shd w:val="clear" w:color="auto" w:fill="auto"/>
            <w:noWrap/>
            <w:vAlign w:val="bottom"/>
          </w:tcPr>
          <w:p w14:paraId="0EFE3448" w14:textId="77777777" w:rsidR="00BC606C" w:rsidRPr="00B94845"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Link instrumendi täielikele tingimustele (viited)</w:t>
            </w:r>
          </w:p>
          <w:p w14:paraId="4928677A" w14:textId="77777777" w:rsidR="00BC606C" w:rsidRDefault="00B94845">
            <w:pPr>
              <w:spacing w:after="200" w:line="276" w:lineRule="auto"/>
              <w:jc w:val="both"/>
              <w:rPr>
                <w:rFonts w:ascii="Times New Roman" w:eastAsia="Times New Roman" w:hAnsi="Times New Roman" w:cs="Times New Roman"/>
                <w:sz w:val="24"/>
              </w:rPr>
            </w:pPr>
            <w:r w:rsidRPr="00B94845">
              <w:rPr>
                <w:rFonts w:ascii="Times New Roman" w:hAnsi="Times New Roman"/>
                <w:sz w:val="24"/>
              </w:rPr>
              <w:t xml:space="preserve">Investeerimisühingud lisavad hüperlingi, mis võimaldab juurdepääsu emissiooniprospektile, sealhulgas kõigile </w:t>
            </w:r>
            <w:r w:rsidRPr="00B94845">
              <w:rPr>
                <w:rFonts w:ascii="Times New Roman" w:hAnsi="Times New Roman"/>
                <w:sz w:val="24"/>
              </w:rPr>
              <w:t>instrumendi tingimustele.</w:t>
            </w:r>
          </w:p>
        </w:tc>
      </w:tr>
      <w:bookmarkEnd w:id="0"/>
      <w:bookmarkEnd w:id="1"/>
      <w:bookmarkEnd w:id="2"/>
      <w:bookmarkEnd w:id="3"/>
      <w:bookmarkEnd w:id="4"/>
      <w:bookmarkEnd w:id="5"/>
      <w:bookmarkEnd w:id="6"/>
      <w:bookmarkEnd w:id="7"/>
      <w:bookmarkEnd w:id="8"/>
      <w:bookmarkEnd w:id="9"/>
    </w:tbl>
    <w:p w14:paraId="31F0128B" w14:textId="77777777" w:rsidR="00BC606C" w:rsidRDefault="00BC606C">
      <w:pPr>
        <w:rPr>
          <w:rFonts w:ascii="Times New Roman" w:hAnsi="Times New Roman" w:cs="Times New Roman"/>
          <w:bCs/>
          <w:sz w:val="24"/>
        </w:rPr>
      </w:pPr>
    </w:p>
    <w:sectPr w:rsidR="00BC606C">
      <w:headerReference w:type="default" r:id="rId8"/>
      <w:footerReference w:type="default" r:id="rId9"/>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23DAD" w14:textId="77777777" w:rsidR="00BC606C" w:rsidRDefault="00B94845">
      <w:r>
        <w:separator/>
      </w:r>
    </w:p>
  </w:endnote>
  <w:endnote w:type="continuationSeparator" w:id="0">
    <w:p w14:paraId="3A7E06AE" w14:textId="77777777" w:rsidR="00BC606C" w:rsidRDefault="00B9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3B669" w14:textId="77777777" w:rsidR="00BC606C" w:rsidRDefault="00B94845">
    <w:pPr>
      <w:pStyle w:val="Footer"/>
      <w:tabs>
        <w:tab w:val="clear" w:pos="4320"/>
        <w:tab w:val="clear" w:pos="8640"/>
        <w:tab w:val="right" w:pos="9071"/>
      </w:tabs>
    </w:pPr>
    <w:r>
      <w:t>ET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42394" w14:textId="77777777" w:rsidR="00BC606C" w:rsidRDefault="00B94845">
      <w:pPr>
        <w:rPr>
          <w:sz w:val="12"/>
          <w:szCs w:val="12"/>
        </w:rPr>
      </w:pPr>
      <w:r>
        <w:rPr>
          <w:sz w:val="12"/>
          <w:szCs w:val="12"/>
        </w:rPr>
        <w:separator/>
      </w:r>
    </w:p>
  </w:footnote>
  <w:footnote w:type="continuationSeparator" w:id="0">
    <w:p w14:paraId="4CB5B2AF" w14:textId="77777777" w:rsidR="00BC606C" w:rsidRDefault="00B94845">
      <w:r>
        <w:continuationSeparator/>
      </w:r>
    </w:p>
  </w:footnote>
  <w:footnote w:type="continuationNotice" w:id="1">
    <w:p w14:paraId="7227DDB2" w14:textId="77777777" w:rsidR="00BC606C" w:rsidRDefault="00BC606C">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EEC71" w14:textId="2BD6CEC3" w:rsidR="00BC606C" w:rsidRDefault="00B94845">
    <w:pPr>
      <w:pStyle w:val="Header"/>
    </w:pPr>
    <w:r>
      <w:rPr>
        <w:noProof/>
      </w:rPr>
      <mc:AlternateContent>
        <mc:Choice Requires="wps">
          <w:drawing>
            <wp:anchor distT="0" distB="0" distL="114300" distR="114300" simplePos="0" relativeHeight="251659264" behindDoc="0" locked="0" layoutInCell="0" allowOverlap="1" wp14:anchorId="6AC6E082" wp14:editId="4F8D1785">
              <wp:simplePos x="0" y="0"/>
              <wp:positionH relativeFrom="page">
                <wp:posOffset>0</wp:posOffset>
              </wp:positionH>
              <wp:positionV relativeFrom="page">
                <wp:posOffset>190500</wp:posOffset>
              </wp:positionV>
              <wp:extent cx="7556500" cy="273050"/>
              <wp:effectExtent l="0" t="0" r="0" b="12700"/>
              <wp:wrapNone/>
              <wp:docPr id="1" name="MSIPCM75284202915ef61c55fa401d"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CE0FD6D" w14:textId="797B2B21" w:rsidR="00B94845" w:rsidRPr="00B94845" w:rsidRDefault="00B94845" w:rsidP="00B94845">
                          <w:pPr>
                            <w:rPr>
                              <w:rFonts w:ascii="Calibri" w:hAnsi="Calibri" w:cs="Calibri"/>
                              <w:color w:val="000000"/>
                              <w:sz w:val="24"/>
                            </w:rPr>
                          </w:pPr>
                          <w:r w:rsidRPr="00B94845">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AC6E082" id="_x0000_t202" coordsize="21600,21600" o:spt="202" path="m,l,21600r21600,l21600,xe">
              <v:stroke joinstyle="miter"/>
              <v:path gradientshapeok="t" o:connecttype="rect"/>
            </v:shapetype>
            <v:shape id="MSIPCM75284202915ef61c55fa401d"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" o:allowincell="f" filled="f" stroked="f" strokeweight=".5pt">
              <v:fill o:detectmouseclick="t"/>
              <v:textbox inset="20pt,0,,0">
                <w:txbxContent>
                  <w:p w14:paraId="2CE0FD6D" w14:textId="797B2B21" w:rsidR="00B94845" w:rsidRPr="00B94845" w:rsidRDefault="00B94845" w:rsidP="00B94845">
                    <w:pPr>
                      <w:rPr>
                        <w:rFonts w:ascii="Calibri" w:hAnsi="Calibri" w:cs="Calibri"/>
                        <w:color w:val="000000"/>
                        <w:sz w:val="24"/>
                      </w:rPr>
                    </w:pPr>
                    <w:r w:rsidRPr="00B94845">
                      <w:rPr>
                        <w:rFonts w:ascii="Calibri" w:hAnsi="Calibri" w:cs="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94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BC606C"/>
    <w:rsid w:val="00B94845"/>
    <w:rsid w:val="00BC60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9441"/>
    <o:shapelayout v:ext="edit">
      <o:idmap v:ext="edit" data="1"/>
    </o:shapelayout>
  </w:shapeDefaults>
  <w:decimalSymbol w:val="."/>
  <w:listSeparator w:val=","/>
  <w14:docId w14:val="13F1E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et-EE"/>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et-EE"/>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et-EE" w:eastAsia="de-DE"/>
    </w:rPr>
  </w:style>
  <w:style w:type="character" w:customStyle="1" w:styleId="ListParagraphChar">
    <w:name w:val="List Paragraph Char"/>
    <w:link w:val="ListParagraph"/>
    <w:uiPriority w:val="34"/>
    <w:rPr>
      <w:rFonts w:ascii="Calibri" w:eastAsia="Calibri" w:hAnsi="Calibri" w:cs="Times New Roman"/>
      <w:sz w:val="22"/>
      <w:szCs w:val="22"/>
      <w:lang w:val="et-EE"/>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4D70F-D4D8-4CD8-A47F-1B94D1EE1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8389</Words>
  <Characters>47819</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2022-01-14T15:49:59Z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a7847ca6-42a4-441a-9692-5069ecf7fc4b</vt:lpwstr>
  </property>
  <property fmtid="{D5CDD505-2E9C-101B-9397-08002B2CF9AE}" pid="8" name="MSIP_Label_5c7eb9de-735b-4a68-8fe4-c9c62709b012_ContentBits">
    <vt:lpwstr>1</vt:lpwstr>
  </property>
</Properties>
</file>