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3E050" w14:textId="77777777" w:rsidR="00F55293" w:rsidRDefault="00C34B5C">
      <w:pPr>
        <w:pStyle w:val="Typedudocument"/>
      </w:pPr>
      <w:r w:rsidRPr="00C34B5C">
        <w:rPr>
          <w:caps/>
        </w:rPr>
        <w:t>Provedbena uredba Komisije</w:t>
      </w:r>
      <w:r>
        <w:t xml:space="preserve"> </w:t>
      </w:r>
      <w:r w:rsidR="0065343C">
        <w:t xml:space="preserve">(EU) </w:t>
      </w:r>
      <w:r>
        <w:t>2021</w:t>
      </w:r>
      <w:r w:rsidR="0065343C">
        <w:t>/…</w:t>
      </w:r>
    </w:p>
    <w:p w14:paraId="36A1479D" w14:textId="77777777" w:rsidR="00F55293" w:rsidRDefault="0065343C">
      <w:pPr>
        <w:pStyle w:val="Datedadoption"/>
      </w:pPr>
      <w:r>
        <w:t xml:space="preserve">оd </w:t>
      </w:r>
      <w:r w:rsidR="00C34B5C">
        <w:t>6. prosinca 2021.</w:t>
      </w:r>
    </w:p>
    <w:p w14:paraId="644510E6" w14:textId="77777777" w:rsidR="00F55293" w:rsidRDefault="0065343C">
      <w:pPr>
        <w:pStyle w:val="Titreobjet"/>
      </w:pPr>
      <w:r>
        <w:t>o utvrđivanju provedbenih tehničkih standarda za primjenu Uredbe (EU) 2019/2033 Europskog parlamenta i Vijeća u pogledu nadzornog izvješćivanja i objava investicijskih društava</w:t>
      </w:r>
    </w:p>
    <w:p w14:paraId="48A6309B" w14:textId="77777777" w:rsidR="00F55293" w:rsidRPr="00C34B5C" w:rsidRDefault="0065343C">
      <w:pPr>
        <w:pStyle w:val="IntrtEEE"/>
        <w:rPr>
          <w:b/>
        </w:rPr>
      </w:pPr>
      <w:r w:rsidRPr="00C34B5C">
        <w:rPr>
          <w:b/>
        </w:rPr>
        <w:t>(Tekst značajan za EGP)</w:t>
      </w:r>
    </w:p>
    <w:p w14:paraId="2AA3771D" w14:textId="77777777" w:rsidR="00F55293" w:rsidRDefault="0065343C">
      <w:pPr>
        <w:pStyle w:val="Institutionquiagit"/>
      </w:pPr>
      <w:r>
        <w:t>EUROPSKA KOMISIJA,</w:t>
      </w:r>
    </w:p>
    <w:p w14:paraId="5C1D4DFA" w14:textId="77777777" w:rsidR="00F55293" w:rsidRDefault="0065343C">
      <w:r>
        <w:rPr>
          <w:color w:val="000000"/>
        </w:rPr>
        <w:t>uzimajući u obzir Ugovor o funkcioniranju Europske unije</w:t>
      </w:r>
      <w:r>
        <w:t>,</w:t>
      </w:r>
    </w:p>
    <w:p w14:paraId="6B4563BB" w14:textId="77777777" w:rsidR="00F55293" w:rsidRDefault="0065343C">
      <w:r>
        <w:t>uzimajući u obzir Uredbu (EU) 2019/2033 Europskog Parlamenta i Vijeća od 27. studenoga 2019. o bonitetnim zahtjevima za investicijska društva i o izmjeni uredaba (EU) br. 1093/2010, (EU) br. 575/2013, (EU) br. 600/2014 i (EU) br. 806/2014 </w:t>
      </w:r>
      <w:r>
        <w:rPr>
          <w:rStyle w:val="FootnoteReference"/>
        </w:rPr>
        <w:footnoteReference w:id="1"/>
      </w:r>
      <w:r>
        <w:t>, a posebno njezin članak 49. stavak 2. i članak 54. stavak 3.,</w:t>
      </w:r>
    </w:p>
    <w:p w14:paraId="600FFD0F" w14:textId="77777777" w:rsidR="00F55293" w:rsidRDefault="0065343C">
      <w:r>
        <w:t>budući da:</w:t>
      </w:r>
    </w:p>
    <w:p w14:paraId="606C19AA" w14:textId="77777777" w:rsidR="00F55293" w:rsidRDefault="0065343C">
      <w:pPr>
        <w:pStyle w:val="Considrant"/>
        <w:numPr>
          <w:ilvl w:val="0"/>
          <w:numId w:val="0"/>
        </w:numPr>
        <w:tabs>
          <w:tab w:val="left" w:pos="709"/>
        </w:tabs>
        <w:ind w:left="709" w:hanging="709"/>
      </w:pPr>
      <w:r>
        <w:t>(1)</w:t>
      </w:r>
      <w:r>
        <w:tab/>
        <w:t>Zahtjevi za izvješćivanje investicijskih društava iz članka 54. Uredbe (EU) 2019/2033 trebali bi biti prilagođeni poslovanju investicijskih društava te proporcionalni veličini i složenosti pojedinih investicijskih društava. Tim bi se zahtjevima osobito trebalo uzeti u obzir da se određena investicijska društva trebaju smatrati malima i nepovezanima u skladu s uvjetima iz članka 12. Uredbe (EU) 2019/2033.</w:t>
      </w:r>
    </w:p>
    <w:p w14:paraId="2E217A35" w14:textId="77777777" w:rsidR="00F55293" w:rsidRDefault="0065343C">
      <w:pPr>
        <w:pStyle w:val="Considrant"/>
        <w:numPr>
          <w:ilvl w:val="0"/>
          <w:numId w:val="0"/>
        </w:numPr>
        <w:tabs>
          <w:tab w:val="left" w:pos="709"/>
        </w:tabs>
        <w:ind w:left="709" w:hanging="709"/>
      </w:pPr>
      <w:r>
        <w:t>(2)</w:t>
      </w:r>
      <w:r>
        <w:tab/>
        <w:t xml:space="preserve">U skladu s člankom 54. stavkom 1. Uredbe (EU) 2019/2033, mala i nepovezana investicijska društva trebaju izvješćivati o informacijama koje se odnose na razinu i sastav regulatornog kapitala, kapitalne zahtjeve, temelj za izračun kapitalnog zahtjeva i razinu aktivnosti u pogledu uvjeta utvrđenih u članku 12. stavku 1. Uredbe (EU) 2019/2033. Stoga mala i nepovezana društva nisu obvezna izvješćivati o jednako detaljnim informacijama kao druga investicijska društva na koja se primjenjuje Uredba (EU) 2019/2033. Obrasci za izvješćivanje o izračunu faktora K stoga se ne bi trebali primjenjivati na mala i nepovezana društva. Osim toga, u skladu s člankom 54. stavkom 2. trećim podstavkom Uredbe (EU) 2019/2033, </w:t>
      </w:r>
      <w:bookmarkStart w:id="0" w:name="_DV_C108"/>
      <w:r>
        <w:t>mala i međusobno nepovezana društva izuzeta su od izvješćivanja o koncentracijskom riziku, a nadležna tijela mogu izuzeti mala i nepovezana društva od obveze izvješćivanja o likvidnosnim zahtjevima</w:t>
      </w:r>
      <w:bookmarkStart w:id="1" w:name="_DV_M108"/>
      <w:bookmarkEnd w:id="0"/>
      <w:bookmarkEnd w:id="1"/>
      <w:r>
        <w:t>.</w:t>
      </w:r>
    </w:p>
    <w:p w14:paraId="555A08DC" w14:textId="77777777" w:rsidR="00F55293" w:rsidRDefault="0065343C">
      <w:pPr>
        <w:pStyle w:val="Considrant"/>
        <w:numPr>
          <w:ilvl w:val="0"/>
          <w:numId w:val="0"/>
        </w:numPr>
        <w:tabs>
          <w:tab w:val="left" w:pos="709"/>
        </w:tabs>
        <w:ind w:left="709" w:hanging="709"/>
      </w:pPr>
      <w:r>
        <w:t>(3)</w:t>
      </w:r>
      <w:r>
        <w:tab/>
        <w:t>Sva investicijska društva na koja se primjenjuje Uredba (EU) 2019/2033 trebala bi izvješćivati o svojem profilu i veličini aktivnosti kako bi nadležna tijela mogla ocijeniti ispunjavaju li ta investicijska društva uvjete iz članka 12. Uredbe (EU) 2019/2033 da bi ih se moglo smatrati malim i nepovezanim investicijskim društvima.</w:t>
      </w:r>
    </w:p>
    <w:p w14:paraId="7A12D64E" w14:textId="77777777" w:rsidR="00F55293" w:rsidRDefault="0065343C">
      <w:pPr>
        <w:pStyle w:val="Considrant"/>
        <w:numPr>
          <w:ilvl w:val="0"/>
          <w:numId w:val="0"/>
        </w:numPr>
        <w:tabs>
          <w:tab w:val="left" w:pos="709"/>
        </w:tabs>
        <w:ind w:left="709" w:hanging="709"/>
      </w:pPr>
      <w:r>
        <w:t>(4)</w:t>
      </w:r>
      <w:r>
        <w:tab/>
        <w:t xml:space="preserve">Kako bi svojim ulagateljima i širem tržištu osigurali transparentnost, člankom 46. Uredbe (EU) 2019/2033 propisuje se da investicijska društva koja nisu mala i nepovezana investicijska društva javno objavljuju informacije navedene u dijelu šestom te uredbe. Ti zahtjevi za objavu ne primjenjuju se na mala i nepovezana </w:t>
      </w:r>
      <w:r>
        <w:lastRenderedPageBreak/>
        <w:t>investicijska društva, osim ako ta društva izdaju instrumente dodatnog osnovnog kapitala, kako bi ulagatelji imali transparentan uvid u te instrumente.</w:t>
      </w:r>
    </w:p>
    <w:p w14:paraId="3FB46E3D" w14:textId="77777777" w:rsidR="00F55293" w:rsidRDefault="0065343C">
      <w:pPr>
        <w:pStyle w:val="Considrant"/>
        <w:numPr>
          <w:ilvl w:val="0"/>
          <w:numId w:val="0"/>
        </w:numPr>
        <w:tabs>
          <w:tab w:val="left" w:pos="709"/>
        </w:tabs>
        <w:ind w:left="709" w:hanging="709"/>
      </w:pPr>
      <w:r>
        <w:t>(5)</w:t>
      </w:r>
      <w:r>
        <w:tab/>
        <w:t>Ovom bi se Uredbom investicijskim društvima trebali dati obrasci i tablice za pružanje dovoljno sveobuhvatnih i usporedivih informacija o sastavu i kvaliteti njihova regulatornog kapitala. Točnije, potrebno je uvesti obrazac za kvantitativnu objavu sastava regulatornog kapitala i fleksibilan obrazac za usklađivanje regulatornog kapitala s revidiranim financijskim izvještajima. Iz istog je razloga potrebno utvrditi i obrazac s informacijama o najvažnijim obilježjima instrumenata regulatornog kapitala koje izdaje investicijsko društvo.</w:t>
      </w:r>
    </w:p>
    <w:p w14:paraId="07F5F667" w14:textId="77777777" w:rsidR="00F55293" w:rsidRDefault="0065343C">
      <w:pPr>
        <w:pStyle w:val="Considrant"/>
        <w:numPr>
          <w:ilvl w:val="0"/>
          <w:numId w:val="0"/>
        </w:numPr>
        <w:tabs>
          <w:tab w:val="left" w:pos="709"/>
        </w:tabs>
        <w:ind w:left="709" w:hanging="709"/>
      </w:pPr>
      <w:r>
        <w:t>(6)</w:t>
      </w:r>
      <w:r>
        <w:tab/>
      </w:r>
      <w:r>
        <w:rPr>
          <w:color w:val="000000"/>
        </w:rPr>
        <w:t>Za lakšu provedbu zahtjeva za izvješćivanje i objavu potrebno je dodatno uskladiti obrasce za izvješćivanje i objavu. Stoga bi obrazac za objavu sastava regulatornog kapitala trebao biti pomno usklađen s povezanim obrascem za izvješćivanje o razini i sastavu regulatornog kapitala. Iz istog bi razloga obrazac za objavu potpunog usklađivanja regulatornog kapitala s revidiranim financijskim izvještajima trebao biti fleksibilan jer bi se raščlamba obrasca trebala temeljiti na raščlambi bilance u revidiranim financijskim izvještajima investicijskog društva. Osim toga, obrazac za objavu informacija o glavnim obilježjima regulatornog kapitala trebao bi biti fiksan, a njegova složenost trebala bi ovisiti o složenosti instrumenata regulatornog kapitala.</w:t>
      </w:r>
    </w:p>
    <w:p w14:paraId="7FE25D5F" w14:textId="556133BA" w:rsidR="00F55293" w:rsidRDefault="0065343C" w:rsidP="00D031D9">
      <w:pPr>
        <w:pStyle w:val="Considrant"/>
        <w:numPr>
          <w:ilvl w:val="0"/>
          <w:numId w:val="0"/>
        </w:numPr>
        <w:tabs>
          <w:tab w:val="left" w:pos="709"/>
        </w:tabs>
        <w:ind w:left="709" w:hanging="709"/>
      </w:pPr>
      <w:r>
        <w:t>(7)</w:t>
      </w:r>
      <w:r>
        <w:tab/>
        <w:t>Kako bi se izbjeglo neopravdano povećanje troškova investicijskih društava za usklađivanje i kako bi se očuvala kvaliteta podataka, trebalo bi u najvećoj mogućoj mjeri uskladiti sadržaj obveza izvješćivanja i objave. Stoga je primjereno u jednoj uredbi utvrditi standarde koji se primjenjuju na zahtjeve za izvješćivanje i objavu.</w:t>
      </w:r>
    </w:p>
    <w:p w14:paraId="2A250618" w14:textId="60EAC48F" w:rsidR="00F55293" w:rsidRDefault="0065343C">
      <w:pPr>
        <w:pStyle w:val="Considrant"/>
        <w:numPr>
          <w:ilvl w:val="0"/>
          <w:numId w:val="0"/>
        </w:numPr>
        <w:tabs>
          <w:tab w:val="left" w:pos="709"/>
        </w:tabs>
        <w:ind w:left="709" w:hanging="709"/>
      </w:pPr>
      <w:r>
        <w:t>(</w:t>
      </w:r>
      <w:r w:rsidR="00D031D9">
        <w:t>8</w:t>
      </w:r>
      <w:r>
        <w:t>)</w:t>
      </w:r>
      <w:r>
        <w:tab/>
        <w:t>Ova se Uredba temelji na nacrtu provedbenih tehničkih standarda koji je Europsko nadzorno tijelo za bankarstvo (EBA) dostavilo Komisiji nakon savjetovanja s Europskim nadzornim tijelom za vrijednosne papire i tržišta kapitala.</w:t>
      </w:r>
    </w:p>
    <w:p w14:paraId="69678595" w14:textId="41A98221" w:rsidR="00F55293" w:rsidRDefault="0065343C">
      <w:pPr>
        <w:pStyle w:val="Considrant"/>
        <w:numPr>
          <w:ilvl w:val="0"/>
          <w:numId w:val="0"/>
        </w:numPr>
        <w:tabs>
          <w:tab w:val="left" w:pos="709"/>
        </w:tabs>
        <w:ind w:left="709" w:hanging="709"/>
      </w:pPr>
      <w:r>
        <w:t>(</w:t>
      </w:r>
      <w:r w:rsidR="00D031D9">
        <w:t>9</w:t>
      </w:r>
      <w:r>
        <w:t>)</w:t>
      </w:r>
      <w:r>
        <w:tab/>
        <w:t>EBA je provela otvoreno javno savjetovanje o nacrtu provedbenih tehničkih standarda na kojem se temelji ova Uredba, analizirala moguće povezane troškove i koristi te zatražila savjet Interesne skupine za bankarstvo osnovane u skladu s člankom 37. Uredbe (EU) br. 1093/2010 Europskog parlamenta i Vijeća </w:t>
      </w:r>
      <w:r>
        <w:rPr>
          <w:rStyle w:val="FootnoteReference"/>
        </w:rPr>
        <w:footnoteReference w:id="2"/>
      </w:r>
      <w:r>
        <w:t>,</w:t>
      </w:r>
    </w:p>
    <w:p w14:paraId="437C8E2E" w14:textId="77777777" w:rsidR="00F55293" w:rsidRDefault="0065343C">
      <w:pPr>
        <w:pStyle w:val="Formuledadoption"/>
      </w:pPr>
      <w:r>
        <w:t>DONIJELA JE OVU UREDBU:</w:t>
      </w:r>
    </w:p>
    <w:p w14:paraId="1C674784" w14:textId="77777777" w:rsidR="00F55293" w:rsidRPr="00C34B5C" w:rsidRDefault="0065343C">
      <w:pPr>
        <w:pStyle w:val="ChapterTitle"/>
        <w:rPr>
          <w:b w:val="0"/>
        </w:rPr>
      </w:pPr>
      <w:r w:rsidRPr="00C34B5C">
        <w:rPr>
          <w:b w:val="0"/>
        </w:rPr>
        <w:t>POGLAVLJE I.</w:t>
      </w:r>
    </w:p>
    <w:p w14:paraId="412F4D66" w14:textId="77777777" w:rsidR="00F55293" w:rsidRDefault="0065343C">
      <w:pPr>
        <w:pStyle w:val="ChapterTitle"/>
      </w:pPr>
      <w:r>
        <w:t>NADZORNO IZVJEŠĆIVANJE</w:t>
      </w:r>
    </w:p>
    <w:p w14:paraId="4EB90F9B" w14:textId="77777777" w:rsidR="00F55293" w:rsidRDefault="0065343C">
      <w:pPr>
        <w:pStyle w:val="Titrearticle"/>
      </w:pPr>
      <w:r>
        <w:t>Članak 1.</w:t>
      </w:r>
    </w:p>
    <w:p w14:paraId="2C988713" w14:textId="77777777" w:rsidR="00F55293" w:rsidRDefault="0065343C">
      <w:pPr>
        <w:pStyle w:val="Titrearticle"/>
        <w:spacing w:before="120"/>
        <w:rPr>
          <w:b/>
          <w:i w:val="0"/>
        </w:rPr>
      </w:pPr>
      <w:r>
        <w:rPr>
          <w:b/>
          <w:i w:val="0"/>
        </w:rPr>
        <w:t>Referentni datumi izvješćivanja</w:t>
      </w:r>
    </w:p>
    <w:p w14:paraId="7282AE9A" w14:textId="77777777" w:rsidR="00F55293" w:rsidRDefault="0065343C">
      <w:pPr>
        <w:pStyle w:val="NumPar1"/>
        <w:numPr>
          <w:ilvl w:val="0"/>
          <w:numId w:val="0"/>
        </w:numPr>
        <w:tabs>
          <w:tab w:val="left" w:pos="567"/>
        </w:tabs>
      </w:pPr>
      <w:r>
        <w:t>1.</w:t>
      </w:r>
      <w:r>
        <w:tab/>
        <w:t>O informacijama iz članka 54. stavka 1. Uredbe izvješćuje se kakve su na sljedeće referentne datume izvješćivanja:</w:t>
      </w:r>
    </w:p>
    <w:p w14:paraId="1A714DD2" w14:textId="77777777" w:rsidR="00F55293" w:rsidRDefault="0065343C">
      <w:pPr>
        <w:pStyle w:val="Point1letter"/>
        <w:numPr>
          <w:ilvl w:val="0"/>
          <w:numId w:val="0"/>
        </w:numPr>
        <w:ind w:left="567" w:hanging="567"/>
      </w:pPr>
      <w:r>
        <w:t>(a)</w:t>
      </w:r>
      <w:r>
        <w:tab/>
        <w:t>tromjesečno izvješćivanje: 31. ožujka, 30. lipnja, 30. rujna i 31. prosinca;</w:t>
      </w:r>
    </w:p>
    <w:p w14:paraId="07C33F25" w14:textId="77777777" w:rsidR="00F55293" w:rsidRDefault="0065343C">
      <w:pPr>
        <w:pStyle w:val="Point1letter"/>
        <w:numPr>
          <w:ilvl w:val="0"/>
          <w:numId w:val="0"/>
        </w:numPr>
        <w:ind w:left="567" w:hanging="567"/>
      </w:pPr>
      <w:r>
        <w:t>(b)</w:t>
      </w:r>
      <w:r>
        <w:tab/>
        <w:t>godišnje izvješćivanje: 31. prosinca.</w:t>
      </w:r>
    </w:p>
    <w:p w14:paraId="685A175A" w14:textId="77777777" w:rsidR="00F55293" w:rsidRDefault="0065343C">
      <w:pPr>
        <w:pStyle w:val="NumPar1"/>
        <w:numPr>
          <w:ilvl w:val="0"/>
          <w:numId w:val="0"/>
        </w:numPr>
        <w:tabs>
          <w:tab w:val="left" w:pos="567"/>
        </w:tabs>
      </w:pPr>
      <w:r>
        <w:t>2.</w:t>
      </w:r>
      <w:r>
        <w:tab/>
        <w:t xml:space="preserve">Referentni datumi izvješćivanja iz stavka 1. mogu se prilagoditi ako je investicijskim društvima nacionalnim pravom dopušteno izvješćivanje o njihovim financijskim </w:t>
      </w:r>
      <w:r>
        <w:lastRenderedPageBreak/>
        <w:t>informacijama sa stanjem na kraju računovodstvene godine koja je različita od kalendarske godine, tako da se tromjesečno izvješćivanje o informacijama provodi svaka tri mjeseca odgovarajuće računovodstvene godine, a godišnje izvješćivanje na kraju računovodstvene godine.</w:t>
      </w:r>
    </w:p>
    <w:p w14:paraId="633EB847" w14:textId="77777777" w:rsidR="00F55293" w:rsidRDefault="0065343C">
      <w:pPr>
        <w:pStyle w:val="Titrearticle"/>
      </w:pPr>
      <w:r>
        <w:t>Članak 2.</w:t>
      </w:r>
    </w:p>
    <w:p w14:paraId="78305ACD" w14:textId="77777777" w:rsidR="00F55293" w:rsidRDefault="0065343C">
      <w:pPr>
        <w:pStyle w:val="Titrearticle"/>
        <w:spacing w:before="120"/>
        <w:rPr>
          <w:b/>
          <w:i w:val="0"/>
        </w:rPr>
      </w:pPr>
      <w:r>
        <w:rPr>
          <w:b/>
          <w:i w:val="0"/>
        </w:rPr>
        <w:t>Datumi dostave izvješća</w:t>
      </w:r>
    </w:p>
    <w:p w14:paraId="72185099" w14:textId="77777777" w:rsidR="00F55293" w:rsidRDefault="0065343C">
      <w:pPr>
        <w:pStyle w:val="NumPar1"/>
        <w:numPr>
          <w:ilvl w:val="0"/>
          <w:numId w:val="0"/>
        </w:numPr>
        <w:tabs>
          <w:tab w:val="left" w:pos="567"/>
        </w:tabs>
      </w:pPr>
      <w:r>
        <w:t>1.</w:t>
      </w:r>
      <w:r>
        <w:tab/>
        <w:t>Informacije iz članka 54. stavka 1. Uredbe (EU) 2019/2033 dostavljaju se do kraja radnog vremena na sljedeće datume dostave:</w:t>
      </w:r>
    </w:p>
    <w:p w14:paraId="29D8ED9A" w14:textId="77777777" w:rsidR="00F55293" w:rsidRDefault="0065343C">
      <w:pPr>
        <w:pStyle w:val="Point1letter"/>
        <w:numPr>
          <w:ilvl w:val="0"/>
          <w:numId w:val="0"/>
        </w:numPr>
        <w:ind w:left="567" w:hanging="567"/>
      </w:pPr>
      <w:r>
        <w:t>(a)</w:t>
      </w:r>
      <w:r>
        <w:tab/>
        <w:t>tromjesečno izvješćivanje: 12. svibnja, 11. kolovoza, 11. studenoga i 11. veljače;</w:t>
      </w:r>
    </w:p>
    <w:p w14:paraId="021FF5B4" w14:textId="77777777" w:rsidR="00F55293" w:rsidRDefault="0065343C">
      <w:pPr>
        <w:pStyle w:val="Point1letter"/>
        <w:numPr>
          <w:ilvl w:val="0"/>
          <w:numId w:val="0"/>
        </w:numPr>
        <w:ind w:left="567" w:hanging="567"/>
      </w:pPr>
      <w:r>
        <w:t>(b)</w:t>
      </w:r>
      <w:r>
        <w:tab/>
        <w:t>godišnje izvješćivanje: 11. veljače.</w:t>
      </w:r>
    </w:p>
    <w:p w14:paraId="1F21BC2E" w14:textId="77777777" w:rsidR="00F55293" w:rsidRDefault="0065343C">
      <w:pPr>
        <w:pStyle w:val="NumPar1"/>
        <w:numPr>
          <w:ilvl w:val="0"/>
          <w:numId w:val="0"/>
        </w:numPr>
        <w:tabs>
          <w:tab w:val="left" w:pos="567"/>
        </w:tabs>
      </w:pPr>
      <w:r>
        <w:t>2.</w:t>
      </w:r>
      <w:r>
        <w:tab/>
        <w:t>Ako je dan dostave izvješća u državi članici nadležnog tijela kojem se dostavlja izvješće državni praznik, subota ili nedjelja, izvješće se dostavlja sljedeći radni dan.</w:t>
      </w:r>
    </w:p>
    <w:p w14:paraId="6C3CF69E" w14:textId="77777777" w:rsidR="00F55293" w:rsidRDefault="0065343C">
      <w:pPr>
        <w:pStyle w:val="NumPar1"/>
        <w:numPr>
          <w:ilvl w:val="0"/>
          <w:numId w:val="0"/>
        </w:numPr>
        <w:tabs>
          <w:tab w:val="left" w:pos="567"/>
        </w:tabs>
      </w:pPr>
      <w:r>
        <w:t>3.</w:t>
      </w:r>
      <w:r>
        <w:tab/>
        <w:t>Ako investicijska društva o svojim informacijama izvješćuju na referentne datume izvješćivanja prilagođene kraju njihove računovodstvene godine iz članka 1. stavka 2. ove Uredbe, datumi dostave izvješća mogu se prilagoditi tako da razdoblje za dostavu nakon prilagođenog referentnog datuma izvješćivanja ostane isto.</w:t>
      </w:r>
    </w:p>
    <w:p w14:paraId="79CE0E4C" w14:textId="77777777" w:rsidR="00F55293" w:rsidRDefault="0065343C">
      <w:pPr>
        <w:pStyle w:val="NumPar1"/>
        <w:numPr>
          <w:ilvl w:val="0"/>
          <w:numId w:val="0"/>
        </w:numPr>
        <w:tabs>
          <w:tab w:val="left" w:pos="567"/>
        </w:tabs>
      </w:pPr>
      <w:r>
        <w:t>4.</w:t>
      </w:r>
      <w:r>
        <w:tab/>
        <w:t>Investicijska društva mogu dostaviti nerevidirane podatke. Ako revidirani podaci odstupaju od dostavljenih nerevidiranih podataka, izmijenjeni revidirani podaci dostavljaju se bez nepotrebne odgode. Za potrebe ovog članka „nerevidirani podaci” znači podaci o kojima vanjski revizor nije izrazio mišljenje, a revidirani podaci su podaci koje je vanjski revizor revidirao i o njima izrazio revizorsko mišljenje.</w:t>
      </w:r>
    </w:p>
    <w:p w14:paraId="71076009" w14:textId="77777777" w:rsidR="00F55293" w:rsidRDefault="0065343C">
      <w:pPr>
        <w:pStyle w:val="NumPar1"/>
        <w:numPr>
          <w:ilvl w:val="0"/>
          <w:numId w:val="0"/>
        </w:numPr>
        <w:tabs>
          <w:tab w:val="left" w:pos="567"/>
        </w:tabs>
      </w:pPr>
      <w:r>
        <w:t>5.</w:t>
      </w:r>
      <w:r>
        <w:tab/>
        <w:t>Ispravci dostavljenih izvješća dostavljaju se nadležnim tijelima bez nepotrebne odgode.</w:t>
      </w:r>
    </w:p>
    <w:p w14:paraId="42FC1ECC" w14:textId="77777777" w:rsidR="00F55293" w:rsidRDefault="0065343C">
      <w:pPr>
        <w:pStyle w:val="Titrearticle"/>
      </w:pPr>
      <w:r>
        <w:t>Članak 3.</w:t>
      </w:r>
    </w:p>
    <w:p w14:paraId="5D3656BE" w14:textId="77777777" w:rsidR="00F55293" w:rsidRDefault="0065343C">
      <w:pPr>
        <w:pStyle w:val="Titrearticle"/>
        <w:spacing w:before="120"/>
        <w:rPr>
          <w:b/>
          <w:i w:val="0"/>
        </w:rPr>
      </w:pPr>
      <w:r>
        <w:rPr>
          <w:b/>
          <w:i w:val="0"/>
        </w:rPr>
        <w:t>Primjena zahtjeva za izvješćivanje na pojedinačnoj osnovi</w:t>
      </w:r>
    </w:p>
    <w:p w14:paraId="08AAA0AD" w14:textId="77777777" w:rsidR="00F55293" w:rsidRDefault="0065343C">
      <w:r>
        <w:t>Kako bi na pojedinačnoj osnovi ispunila zahtjeve za izvješćivanje iz članka 54. Uredbe (EU) 2019/2033, investicijska društva dostavljaju informacije iz članaka 5., 6. i 7. ove Uredbe učestalošću koja je u njima utvrđena.</w:t>
      </w:r>
    </w:p>
    <w:p w14:paraId="14E2C4AC" w14:textId="77777777" w:rsidR="00F55293" w:rsidRDefault="0065343C">
      <w:pPr>
        <w:pStyle w:val="Titrearticle"/>
      </w:pPr>
      <w:r>
        <w:t>Članak 4.</w:t>
      </w:r>
    </w:p>
    <w:p w14:paraId="5A9FBA52" w14:textId="77777777" w:rsidR="00F55293" w:rsidRDefault="0065343C">
      <w:pPr>
        <w:pStyle w:val="Titrearticle"/>
        <w:spacing w:before="120"/>
        <w:rPr>
          <w:b/>
          <w:i w:val="0"/>
        </w:rPr>
      </w:pPr>
      <w:r>
        <w:rPr>
          <w:b/>
          <w:i w:val="0"/>
        </w:rPr>
        <w:t>Primjena zahtjeva za izvješćivanje na konsolidiranoj osnovi</w:t>
      </w:r>
    </w:p>
    <w:p w14:paraId="3CBBD2B3" w14:textId="77777777" w:rsidR="00F55293" w:rsidRDefault="0065343C">
      <w:pPr>
        <w:rPr>
          <w:i/>
        </w:rPr>
      </w:pPr>
      <w:r>
        <w:t>Kako bi na konsolidiranoj osnovi ispunila zahtjeve za izvješćivanje iz članka 54. Uredbe (EU) 2019/2033, investicijska društva dostavljaju informacije iz članaka 5. i 6. ove Provedbene uredbe učestalošću koja je u njima utvrđena.</w:t>
      </w:r>
    </w:p>
    <w:p w14:paraId="0C8F00FC" w14:textId="77777777" w:rsidR="00F55293" w:rsidRDefault="0065343C">
      <w:pPr>
        <w:pStyle w:val="Titrearticle"/>
      </w:pPr>
      <w:r>
        <w:t>Članak 5.</w:t>
      </w:r>
    </w:p>
    <w:p w14:paraId="652582DC" w14:textId="77777777" w:rsidR="00F55293" w:rsidRDefault="0065343C">
      <w:pPr>
        <w:pStyle w:val="Titrearticle"/>
        <w:spacing w:before="120"/>
        <w:rPr>
          <w:b/>
          <w:i w:val="0"/>
        </w:rPr>
      </w:pPr>
      <w:r>
        <w:rPr>
          <w:b/>
          <w:i w:val="0"/>
        </w:rPr>
        <w:t>Format i učestalost izvješćivanja investicijskih društava koja nisu mala i nepovezana investicijska društva</w:t>
      </w:r>
    </w:p>
    <w:p w14:paraId="6B1A1E6A" w14:textId="77777777" w:rsidR="00F55293" w:rsidRDefault="0065343C">
      <w:pPr>
        <w:pStyle w:val="NumPar1"/>
        <w:numPr>
          <w:ilvl w:val="0"/>
          <w:numId w:val="0"/>
        </w:numPr>
        <w:tabs>
          <w:tab w:val="left" w:pos="567"/>
        </w:tabs>
      </w:pPr>
      <w:r>
        <w:t>1.</w:t>
      </w:r>
      <w:r>
        <w:tab/>
        <w:t>Investicijska društva koja nisu mala i nepovezana investicijska društva tromjesečno dostavljaju informacije koje su propisane člankom 54. stavcima 1. i 2. Uredbe (EU) 2019/2033 upotrebom obrazaca iz Priloga I. ovoj Uredbi u skladu s uputama iz Priloga II. ovoj Uredbi.</w:t>
      </w:r>
    </w:p>
    <w:p w14:paraId="640DC94F" w14:textId="77777777" w:rsidR="00F55293" w:rsidRDefault="0065343C">
      <w:pPr>
        <w:pStyle w:val="NumPar1"/>
        <w:numPr>
          <w:ilvl w:val="0"/>
          <w:numId w:val="0"/>
        </w:numPr>
        <w:tabs>
          <w:tab w:val="left" w:pos="567"/>
        </w:tabs>
        <w:rPr>
          <w:szCs w:val="24"/>
        </w:rPr>
      </w:pPr>
      <w:r>
        <w:rPr>
          <w:szCs w:val="24"/>
        </w:rPr>
        <w:lastRenderedPageBreak/>
        <w:t>2.</w:t>
      </w:r>
      <w:r>
        <w:rPr>
          <w:szCs w:val="24"/>
        </w:rPr>
        <w:tab/>
      </w:r>
      <w:r>
        <w:t>Investicijska društva koja nisu mala i nepovezana investicijska društva i utvrđuju zahtjev za faktore K za rizik za tržište (RtM) na temelju K-NPR-a u skladu s člankom 21. stavkom 1. Uredbe (EU) 2019/2033 tromjesečno dostavljaju informacije iz obrazaca od C 18.00 do C 24.00 iz Priloga I. Provedbenoj uredbi Komisije (EU) 2021/451</w:t>
      </w:r>
      <w:r w:rsidR="00C34B5C">
        <w:t> </w:t>
      </w:r>
      <w:r w:rsidR="00C34B5C">
        <w:rPr>
          <w:rStyle w:val="FootnoteReference"/>
        </w:rPr>
        <w:footnoteReference w:id="3"/>
      </w:r>
      <w:r>
        <w:t xml:space="preserve"> u skladu s uputama iz dijela 2. Priloga II. toj provedbenoj uredbi.</w:t>
      </w:r>
    </w:p>
    <w:p w14:paraId="7FF0BED3" w14:textId="77777777" w:rsidR="00F55293" w:rsidRDefault="0065343C">
      <w:pPr>
        <w:pStyle w:val="NumPar1"/>
        <w:numPr>
          <w:ilvl w:val="0"/>
          <w:numId w:val="0"/>
        </w:numPr>
        <w:tabs>
          <w:tab w:val="left" w:pos="567"/>
        </w:tabs>
        <w:rPr>
          <w:szCs w:val="24"/>
        </w:rPr>
      </w:pPr>
      <w:r>
        <w:rPr>
          <w:szCs w:val="24"/>
        </w:rPr>
        <w:t>3.</w:t>
      </w:r>
      <w:r>
        <w:rPr>
          <w:szCs w:val="24"/>
        </w:rPr>
        <w:tab/>
      </w:r>
      <w:r>
        <w:t>Investicijska društva koja nisu mala i nepovezana investicijska društva i primjenjuju odstupanje iz članka 25. stavka 4. Uredbe (EU) 2019/2033 tromjesečno dostavljaju informacije iz obrasca C 34.02 iz Priloga I. Provedbenoj uredbi (EU) 2021/451 u skladu s uputama iz dijela 2. Priloga II. toj provedbenoj uredbi.</w:t>
      </w:r>
    </w:p>
    <w:p w14:paraId="51D5B0C4" w14:textId="77777777" w:rsidR="00F55293" w:rsidRDefault="0065343C">
      <w:pPr>
        <w:pStyle w:val="NumPar1"/>
        <w:numPr>
          <w:ilvl w:val="0"/>
          <w:numId w:val="0"/>
        </w:numPr>
        <w:tabs>
          <w:tab w:val="left" w:pos="567"/>
        </w:tabs>
        <w:rPr>
          <w:szCs w:val="24"/>
        </w:rPr>
      </w:pPr>
      <w:r>
        <w:rPr>
          <w:szCs w:val="24"/>
        </w:rPr>
        <w:t>4.</w:t>
      </w:r>
      <w:r>
        <w:rPr>
          <w:szCs w:val="24"/>
        </w:rPr>
        <w:tab/>
      </w:r>
      <w:r>
        <w:t>Investicijska društva koja nisu mala i nepovezana investicijska društva i primjenjuju odstupanje iz članka 25. stavka 5. drugog podstavka Uredbe (EU) 2019/2033 tromjesečno dostavljaju informacije iz obrasca C 25.00 iz Priloga I. Provedbenoj uredbi (EU) 2021/451 u skladu s uputama iz dijela 2. Priloga II. toj provedbenoj uredbi.</w:t>
      </w:r>
    </w:p>
    <w:p w14:paraId="0DEB42D2" w14:textId="77777777" w:rsidR="00F55293" w:rsidRDefault="0065343C">
      <w:pPr>
        <w:pStyle w:val="Titrearticle"/>
      </w:pPr>
      <w:r>
        <w:t>Članak 6.</w:t>
      </w:r>
    </w:p>
    <w:p w14:paraId="156F302F" w14:textId="77777777" w:rsidR="00F55293" w:rsidRDefault="0065343C">
      <w:pPr>
        <w:pStyle w:val="Titrearticle"/>
        <w:spacing w:before="120"/>
        <w:rPr>
          <w:b/>
          <w:i w:val="0"/>
        </w:rPr>
      </w:pPr>
      <w:r>
        <w:rPr>
          <w:b/>
          <w:i w:val="0"/>
        </w:rPr>
        <w:t>Format i učestalost izvješćivanja malih i nepovezanih investicijskih društava</w:t>
      </w:r>
    </w:p>
    <w:p w14:paraId="65982FE6" w14:textId="77777777" w:rsidR="00F55293" w:rsidRDefault="0065343C">
      <w:pPr>
        <w:pStyle w:val="NumPar1"/>
        <w:numPr>
          <w:ilvl w:val="0"/>
          <w:numId w:val="0"/>
        </w:numPr>
        <w:tabs>
          <w:tab w:val="left" w:pos="567"/>
        </w:tabs>
      </w:pPr>
      <w:r>
        <w:t>1.</w:t>
      </w:r>
      <w:r>
        <w:tab/>
        <w:t>Mala i nepovezana investicijska društva jednom godišnje dostavljaju informacije iz obrazaca iz Priloga III. ovoj Uredbi u skladu s uputama iz Priloga IV. ovoj Uredbi. Investicijska društva na koja se primjenjuje izuzeće iz članka 43. stavka 1. drugog podstavka Uredbe (EU) 2019/2033 izuzimaju se od obveze dostavljanja informacija navedenih u obrascu IF 09.01 u Prilogu III. ovoj Uredbi.</w:t>
      </w:r>
    </w:p>
    <w:p w14:paraId="1A726692" w14:textId="77777777" w:rsidR="00F55293" w:rsidRDefault="0065343C">
      <w:pPr>
        <w:pStyle w:val="Titrearticle"/>
      </w:pPr>
      <w:r>
        <w:t>Članak 7.</w:t>
      </w:r>
    </w:p>
    <w:p w14:paraId="31D5A49D" w14:textId="77777777" w:rsidR="00F55293" w:rsidRDefault="0065343C">
      <w:pPr>
        <w:pStyle w:val="Titrearticle"/>
        <w:spacing w:before="120"/>
        <w:rPr>
          <w:b/>
          <w:i w:val="0"/>
        </w:rPr>
      </w:pPr>
      <w:r>
        <w:rPr>
          <w:b/>
          <w:i w:val="0"/>
        </w:rPr>
        <w:t>Format i učestalost izvješćivanja subjekata na koje se primjenjuje članak 8. Uredbe (EU) 2019/2033</w:t>
      </w:r>
    </w:p>
    <w:p w14:paraId="6C18F000" w14:textId="77777777" w:rsidR="00F55293" w:rsidRDefault="0065343C">
      <w:pPr>
        <w:rPr>
          <w:rFonts w:eastAsia="Times New Roman"/>
          <w:szCs w:val="24"/>
        </w:rPr>
      </w:pPr>
      <w:r>
        <w:t>Odstupajući od članka 4. ove Uredbe, subjekti iz članka 8. stavka 3. Uredbe (EU) 2019/2033 na koje se primjenjuje taj članak tromjesečno dostavljaju informacije iz obrazaca iz Priloga VIII. ovoj Uredbi u skladu s uputama iz Priloga IX. ovoj Uredbi.</w:t>
      </w:r>
    </w:p>
    <w:p w14:paraId="13BC2F75" w14:textId="77777777" w:rsidR="00F55293" w:rsidRDefault="0065343C">
      <w:pPr>
        <w:pStyle w:val="Titrearticle"/>
      </w:pPr>
      <w:r>
        <w:t>Članak 8.</w:t>
      </w:r>
    </w:p>
    <w:p w14:paraId="35754DEE" w14:textId="77777777" w:rsidR="00F55293" w:rsidRDefault="0065343C">
      <w:pPr>
        <w:pStyle w:val="Titrearticle"/>
        <w:spacing w:before="120"/>
        <w:rPr>
          <w:b/>
          <w:i w:val="0"/>
        </w:rPr>
      </w:pPr>
      <w:r>
        <w:rPr>
          <w:b/>
          <w:i w:val="0"/>
        </w:rPr>
        <w:t>Preciznost podataka i informacije o dostavi podataka</w:t>
      </w:r>
    </w:p>
    <w:p w14:paraId="703B86AA" w14:textId="77777777" w:rsidR="00F55293" w:rsidRDefault="0065343C">
      <w:pPr>
        <w:pStyle w:val="NumPar1"/>
        <w:numPr>
          <w:ilvl w:val="0"/>
          <w:numId w:val="0"/>
        </w:numPr>
        <w:tabs>
          <w:tab w:val="left" w:pos="567"/>
        </w:tabs>
      </w:pPr>
      <w:r>
        <w:t>1.</w:t>
      </w:r>
      <w:r>
        <w:tab/>
        <w:t>Investicijska društva dostavljaju informacije iz ove Uredbe u skladu s formatima za razmjenu podataka i načinima prikazivanja koje odrede nadležna tijela poštujući definiciju podataka iz modela podataka i formule za validaciju utvrđene u Prilogu V. te sljedeće odredbe:</w:t>
      </w:r>
    </w:p>
    <w:p w14:paraId="36AA147B" w14:textId="77777777" w:rsidR="00F55293" w:rsidRDefault="0065343C">
      <w:pPr>
        <w:pStyle w:val="Point1letter"/>
        <w:numPr>
          <w:ilvl w:val="0"/>
          <w:numId w:val="0"/>
        </w:numPr>
        <w:ind w:left="567" w:hanging="567"/>
      </w:pPr>
      <w:r>
        <w:t>(a)</w:t>
      </w:r>
      <w:r>
        <w:tab/>
        <w:t>informacije koje nisu potrebne ili primjenjive ne uzimaju se u obzir pri dostavi podataka;</w:t>
      </w:r>
    </w:p>
    <w:p w14:paraId="35E07BBD" w14:textId="77777777" w:rsidR="00F55293" w:rsidRDefault="0065343C">
      <w:pPr>
        <w:pStyle w:val="Point1letter"/>
        <w:numPr>
          <w:ilvl w:val="0"/>
          <w:numId w:val="0"/>
        </w:numPr>
        <w:ind w:left="567" w:hanging="567"/>
      </w:pPr>
      <w:r>
        <w:t>(b)</w:t>
      </w:r>
      <w:r>
        <w:tab/>
        <w:t>numeričke vrijednosti dostavljaju se kao činjenice u skladu sa sljedećim pravilima:</w:t>
      </w:r>
    </w:p>
    <w:p w14:paraId="7FF7DF51" w14:textId="77777777" w:rsidR="00F55293" w:rsidRDefault="0065343C">
      <w:pPr>
        <w:pStyle w:val="Point2"/>
        <w:ind w:left="1134"/>
      </w:pPr>
      <w:r>
        <w:t>i.</w:t>
      </w:r>
      <w:r>
        <w:tab/>
        <w:t>podaci vrste „monetarni” iskazuju se minimalno na razini tisućica;</w:t>
      </w:r>
    </w:p>
    <w:p w14:paraId="633F2893" w14:textId="77777777" w:rsidR="00F55293" w:rsidRDefault="0065343C">
      <w:pPr>
        <w:pStyle w:val="Point2"/>
        <w:ind w:left="1134"/>
      </w:pPr>
      <w:r>
        <w:t>ii.</w:t>
      </w:r>
      <w:r>
        <w:tab/>
        <w:t>podaci vrste „postotak” izražavaju se po jedinici minimalno s četiri decimalna mjesta;</w:t>
      </w:r>
    </w:p>
    <w:p w14:paraId="09047CE0" w14:textId="77777777" w:rsidR="00F55293" w:rsidRDefault="0065343C">
      <w:pPr>
        <w:pStyle w:val="Point2"/>
        <w:ind w:left="1134"/>
      </w:pPr>
      <w:r>
        <w:lastRenderedPageBreak/>
        <w:t>iii.</w:t>
      </w:r>
      <w:r>
        <w:tab/>
        <w:t>podaci vrste „cijeli broj” iskazuju se bez decimalnih mjesta, minimalno na razini jedinica.</w:t>
      </w:r>
    </w:p>
    <w:p w14:paraId="0C375F51" w14:textId="77777777" w:rsidR="00F55293" w:rsidRDefault="0065343C">
      <w:pPr>
        <w:pStyle w:val="NumPar1"/>
        <w:numPr>
          <w:ilvl w:val="0"/>
          <w:numId w:val="0"/>
        </w:numPr>
        <w:tabs>
          <w:tab w:val="left" w:pos="567"/>
        </w:tabs>
      </w:pPr>
      <w:r>
        <w:t>2.</w:t>
      </w:r>
      <w:r>
        <w:tab/>
        <w:t>Investicijska društva identificiraju se svojom identifikacijskom oznakom pravnog subjekta (LEI). Pravni subjekti i druge ugovorne strane, osim investicijskih društava, identificiraju se oznakom LEI ako je imaju.</w:t>
      </w:r>
    </w:p>
    <w:p w14:paraId="435053E8" w14:textId="77777777" w:rsidR="00F55293" w:rsidRDefault="0065343C">
      <w:pPr>
        <w:pStyle w:val="NumPar1"/>
        <w:numPr>
          <w:ilvl w:val="0"/>
          <w:numId w:val="0"/>
        </w:numPr>
        <w:tabs>
          <w:tab w:val="left" w:pos="567"/>
        </w:tabs>
      </w:pPr>
      <w:r>
        <w:t>3.</w:t>
      </w:r>
      <w:r>
        <w:tab/>
        <w:t>Uz informacije koje investicijska društva dostavljaju na temelju ove Uredbe dostavljaju se sljedeće popratne informacije:</w:t>
      </w:r>
    </w:p>
    <w:p w14:paraId="7BAFCEEF" w14:textId="77777777" w:rsidR="00F55293" w:rsidRDefault="0065343C">
      <w:pPr>
        <w:pStyle w:val="Point1letter"/>
        <w:numPr>
          <w:ilvl w:val="0"/>
          <w:numId w:val="0"/>
        </w:numPr>
        <w:ind w:left="567" w:hanging="567"/>
      </w:pPr>
      <w:r>
        <w:t>(a)</w:t>
      </w:r>
      <w:r>
        <w:tab/>
        <w:t>referentni datum i referentno razdoblje izvješćivanja;</w:t>
      </w:r>
    </w:p>
    <w:p w14:paraId="22A296FE" w14:textId="77777777" w:rsidR="00F55293" w:rsidRDefault="0065343C">
      <w:pPr>
        <w:pStyle w:val="Point1letter"/>
        <w:numPr>
          <w:ilvl w:val="0"/>
          <w:numId w:val="0"/>
        </w:numPr>
        <w:ind w:left="567" w:hanging="567"/>
      </w:pPr>
      <w:r>
        <w:t>(b)</w:t>
      </w:r>
      <w:r>
        <w:tab/>
        <w:t>valuta izvješćivanja;</w:t>
      </w:r>
    </w:p>
    <w:p w14:paraId="528764F7" w14:textId="77777777" w:rsidR="00F55293" w:rsidRDefault="0065343C">
      <w:pPr>
        <w:pStyle w:val="Point1letter"/>
        <w:numPr>
          <w:ilvl w:val="0"/>
          <w:numId w:val="0"/>
        </w:numPr>
        <w:ind w:left="567" w:hanging="567"/>
      </w:pPr>
      <w:r>
        <w:t>(c)</w:t>
      </w:r>
      <w:r>
        <w:tab/>
        <w:t>računovodstveni standard;</w:t>
      </w:r>
    </w:p>
    <w:p w14:paraId="2F3937A4" w14:textId="77777777" w:rsidR="00F55293" w:rsidRDefault="0065343C">
      <w:pPr>
        <w:pStyle w:val="Point1letter"/>
        <w:numPr>
          <w:ilvl w:val="0"/>
          <w:numId w:val="0"/>
        </w:numPr>
        <w:ind w:left="567" w:hanging="567"/>
      </w:pPr>
      <w:r>
        <w:t>(d)</w:t>
      </w:r>
      <w:r>
        <w:tab/>
        <w:t>identifikacijska oznaka pravnog subjekta (LEI) izvještajne institucije;</w:t>
      </w:r>
    </w:p>
    <w:p w14:paraId="4118553C" w14:textId="77777777" w:rsidR="00F55293" w:rsidRDefault="0065343C">
      <w:pPr>
        <w:pStyle w:val="Point1letter"/>
        <w:numPr>
          <w:ilvl w:val="0"/>
          <w:numId w:val="0"/>
        </w:numPr>
        <w:ind w:left="567" w:hanging="567"/>
      </w:pPr>
      <w:r>
        <w:t>(e)</w:t>
      </w:r>
      <w:r>
        <w:tab/>
        <w:t>opseg konsolidacije.</w:t>
      </w:r>
    </w:p>
    <w:p w14:paraId="5D8AC3A6" w14:textId="77777777" w:rsidR="00F55293" w:rsidRPr="0065343C" w:rsidRDefault="0065343C">
      <w:pPr>
        <w:pStyle w:val="ChapterTitle"/>
        <w:rPr>
          <w:b w:val="0"/>
        </w:rPr>
      </w:pPr>
      <w:r w:rsidRPr="0065343C">
        <w:rPr>
          <w:b w:val="0"/>
        </w:rPr>
        <w:t>POGLAVLJE II.</w:t>
      </w:r>
    </w:p>
    <w:p w14:paraId="2F80A3E1" w14:textId="77777777" w:rsidR="00F55293" w:rsidRDefault="0065343C">
      <w:pPr>
        <w:pStyle w:val="ChapterTitle"/>
      </w:pPr>
      <w:r>
        <w:t>JAVNA OBJAVA INFORMACIJA INVESTICIJSKIH DRUŠTAVA</w:t>
      </w:r>
    </w:p>
    <w:p w14:paraId="751BA9C7" w14:textId="77777777" w:rsidR="00F55293" w:rsidRDefault="0065343C">
      <w:pPr>
        <w:pStyle w:val="Titrearticle"/>
      </w:pPr>
      <w:r>
        <w:t>Članak 9.</w:t>
      </w:r>
    </w:p>
    <w:p w14:paraId="414D3C97" w14:textId="77777777" w:rsidR="00F55293" w:rsidRDefault="0065343C">
      <w:pPr>
        <w:pStyle w:val="Titrearticle"/>
        <w:spacing w:before="120"/>
        <w:rPr>
          <w:b/>
          <w:i w:val="0"/>
        </w:rPr>
      </w:pPr>
      <w:r>
        <w:rPr>
          <w:b/>
          <w:i w:val="0"/>
        </w:rPr>
        <w:t>Načela objave</w:t>
      </w:r>
    </w:p>
    <w:p w14:paraId="4B1A4C17" w14:textId="77777777" w:rsidR="00F55293" w:rsidRDefault="0065343C">
      <w:pPr>
        <w:pStyle w:val="NumPar1"/>
        <w:numPr>
          <w:ilvl w:val="0"/>
          <w:numId w:val="0"/>
        </w:numPr>
      </w:pPr>
      <w:r>
        <w:t>1.</w:t>
      </w:r>
      <w:r>
        <w:tab/>
        <w:t>Na informacije koje treba objaviti u skladu s ovom Uredbom primjenjuju se sljedeća načela:</w:t>
      </w:r>
    </w:p>
    <w:p w14:paraId="4AE5E306" w14:textId="77777777" w:rsidR="00F55293" w:rsidRDefault="0065343C">
      <w:pPr>
        <w:pStyle w:val="Point1letter"/>
        <w:numPr>
          <w:ilvl w:val="0"/>
          <w:numId w:val="0"/>
        </w:numPr>
        <w:ind w:left="567" w:hanging="567"/>
      </w:pPr>
      <w:r>
        <w:t>(a)</w:t>
      </w:r>
      <w:r>
        <w:tab/>
        <w:t>objave podliježu istoj razini interne provjere kao i izvještaj rukovodstva uključen u financijski izvještaj investicijskog društva;</w:t>
      </w:r>
    </w:p>
    <w:p w14:paraId="704340C2" w14:textId="77777777" w:rsidR="00F55293" w:rsidRDefault="0065343C">
      <w:pPr>
        <w:pStyle w:val="Point1letter"/>
        <w:numPr>
          <w:ilvl w:val="0"/>
          <w:numId w:val="0"/>
        </w:numPr>
        <w:ind w:left="567" w:hanging="567"/>
      </w:pPr>
      <w:r>
        <w:t>(b)</w:t>
      </w:r>
      <w:r>
        <w:tab/>
        <w:t>objave su jasne i prikazane na način koji je razumljiv korisnicima informacija te se priopćavaju putem pristupačnog medija. Važne poruke ističu se i lako su uočljive. Složena pitanja objašnjavaju se jednostavnim jezikom. Povezane informacije prikazuju se zajedno;</w:t>
      </w:r>
    </w:p>
    <w:p w14:paraId="5F183BAD" w14:textId="77777777" w:rsidR="00F55293" w:rsidRDefault="0065343C">
      <w:pPr>
        <w:pStyle w:val="Point1letter"/>
        <w:numPr>
          <w:ilvl w:val="0"/>
          <w:numId w:val="0"/>
        </w:numPr>
        <w:ind w:left="567" w:hanging="567"/>
      </w:pPr>
      <w:r>
        <w:t>(c)</w:t>
      </w:r>
      <w:r>
        <w:tab/>
        <w:t>objave su smislene i dosljedne tijekom vremena kako bi se korisnicima informacija omogućilo da usporede informacije iz različitih razdoblja objave;</w:t>
      </w:r>
    </w:p>
    <w:p w14:paraId="3FB63696" w14:textId="77777777" w:rsidR="00F55293" w:rsidRDefault="0065343C">
      <w:pPr>
        <w:pStyle w:val="Point1letter"/>
        <w:numPr>
          <w:ilvl w:val="0"/>
          <w:numId w:val="0"/>
        </w:numPr>
        <w:ind w:left="567" w:hanging="567"/>
      </w:pPr>
      <w:r>
        <w:t>(d)</w:t>
      </w:r>
      <w:r>
        <w:tab/>
        <w:t>uz kvantitativne objave prilažu se kvalitativna objašnjenja i sve druge dodatne informacije koje bi mogle biti potrebne korisnicima tih informacija kako bi ih razumjeli, posebno ističući svaku značajnu promjenu bilo koje objave u odnosu na informacije iz prethodnih objava.</w:t>
      </w:r>
    </w:p>
    <w:p w14:paraId="4C58F10F" w14:textId="77777777" w:rsidR="00F55293" w:rsidRDefault="0065343C">
      <w:pPr>
        <w:pStyle w:val="Titrearticle"/>
      </w:pPr>
      <w:r>
        <w:t>Članak 10.</w:t>
      </w:r>
    </w:p>
    <w:p w14:paraId="0B249AC1" w14:textId="77777777" w:rsidR="00F55293" w:rsidRDefault="0065343C">
      <w:pPr>
        <w:pStyle w:val="Titrearticle"/>
        <w:spacing w:before="120"/>
        <w:rPr>
          <w:b/>
          <w:i w:val="0"/>
        </w:rPr>
      </w:pPr>
      <w:r>
        <w:rPr>
          <w:b/>
          <w:i w:val="0"/>
        </w:rPr>
        <w:t>Objava regulatornog kapitala investicijskih društava</w:t>
      </w:r>
    </w:p>
    <w:p w14:paraId="16518A79" w14:textId="77777777" w:rsidR="00F55293" w:rsidRDefault="0065343C">
      <w:r>
        <w:t>Investicijska društva objavljuju informacije o regulatornom kapitalu u skladu s člankom 49. stavkom 1. Uredbe (EU) 2019/2033 upotrebom obrazaca iz Priloga VI. ovoj Uredbi i u skladu s relevantnim uputama iz Priloga VII. ovoj Uredbi.</w:t>
      </w:r>
    </w:p>
    <w:p w14:paraId="513A0BD0" w14:textId="77777777" w:rsidR="00F55293" w:rsidRDefault="0065343C">
      <w:pPr>
        <w:pStyle w:val="Titrearticle"/>
      </w:pPr>
      <w:r>
        <w:lastRenderedPageBreak/>
        <w:t>Članak 11.</w:t>
      </w:r>
    </w:p>
    <w:p w14:paraId="3AE40BD2" w14:textId="77777777" w:rsidR="00F55293" w:rsidRDefault="0065343C">
      <w:pPr>
        <w:pStyle w:val="Titrearticle"/>
        <w:spacing w:before="120"/>
        <w:rPr>
          <w:b/>
          <w:i w:val="0"/>
        </w:rPr>
      </w:pPr>
      <w:r>
        <w:rPr>
          <w:b/>
          <w:i w:val="0"/>
        </w:rPr>
        <w:t>Opće odredbe o objavi</w:t>
      </w:r>
    </w:p>
    <w:p w14:paraId="59A64849" w14:textId="77777777" w:rsidR="00F55293" w:rsidRDefault="0065343C">
      <w:pPr>
        <w:pStyle w:val="NumPar1"/>
        <w:numPr>
          <w:ilvl w:val="0"/>
          <w:numId w:val="0"/>
        </w:numPr>
        <w:tabs>
          <w:tab w:val="left" w:pos="567"/>
        </w:tabs>
      </w:pPr>
      <w:r>
        <w:t>1.</w:t>
      </w:r>
      <w:r>
        <w:tab/>
        <w:t>Pri objavljivanju informacija iz članka 10. ove Uredbe investicijska društva osiguravaju da se brojčane vrijednosti dostavljaju kao činjenice u skladu sa sljedećim pravilima:</w:t>
      </w:r>
    </w:p>
    <w:p w14:paraId="5B2FFFEB" w14:textId="77777777" w:rsidR="00F55293" w:rsidRDefault="0065343C">
      <w:pPr>
        <w:pStyle w:val="Point1letter"/>
        <w:numPr>
          <w:ilvl w:val="0"/>
          <w:numId w:val="0"/>
        </w:numPr>
        <w:ind w:left="567" w:hanging="567"/>
      </w:pPr>
      <w:r>
        <w:t>(a)</w:t>
      </w:r>
      <w:r>
        <w:tab/>
        <w:t>kvantitativni monetarni podaci objavljuju se minimalno na razini tisuća jedinica;</w:t>
      </w:r>
    </w:p>
    <w:p w14:paraId="5B79CDAF" w14:textId="77777777" w:rsidR="00F55293" w:rsidRDefault="0065343C">
      <w:pPr>
        <w:pStyle w:val="Point1letter"/>
        <w:numPr>
          <w:ilvl w:val="0"/>
          <w:numId w:val="0"/>
        </w:numPr>
        <w:ind w:left="567" w:hanging="567"/>
      </w:pPr>
      <w:r>
        <w:t>(b)</w:t>
      </w:r>
      <w:r>
        <w:tab/>
        <w:t>kvantitativni podaci koji se objavljuju kao „postotak” iskazuju se po jedinici minimalno s četiri decimalna mjesta.</w:t>
      </w:r>
    </w:p>
    <w:p w14:paraId="6AD4A151" w14:textId="77777777" w:rsidR="00F55293" w:rsidRDefault="0065343C">
      <w:pPr>
        <w:pStyle w:val="NumPar1"/>
        <w:numPr>
          <w:ilvl w:val="0"/>
          <w:numId w:val="0"/>
        </w:numPr>
        <w:tabs>
          <w:tab w:val="left" w:pos="567"/>
        </w:tabs>
      </w:pPr>
      <w:r>
        <w:t>2.</w:t>
      </w:r>
      <w:r>
        <w:tab/>
        <w:t>Pri objavljivanju informacija iz članka 10. ove Uredbe investicijska društva osiguravaju da podaci sadržavaju sve sljedeće informacije:</w:t>
      </w:r>
    </w:p>
    <w:p w14:paraId="7A3D8C18" w14:textId="77777777" w:rsidR="00F55293" w:rsidRDefault="0065343C">
      <w:pPr>
        <w:pStyle w:val="Point1letter"/>
        <w:numPr>
          <w:ilvl w:val="0"/>
          <w:numId w:val="0"/>
        </w:numPr>
        <w:ind w:left="567" w:hanging="567"/>
      </w:pPr>
      <w:r>
        <w:t>(a)</w:t>
      </w:r>
      <w:r>
        <w:tab/>
        <w:t>referentni datum i referentno razdoblje objave;</w:t>
      </w:r>
    </w:p>
    <w:p w14:paraId="263475AC" w14:textId="77777777" w:rsidR="00F55293" w:rsidRDefault="0065343C">
      <w:pPr>
        <w:pStyle w:val="Point1letter"/>
        <w:numPr>
          <w:ilvl w:val="0"/>
          <w:numId w:val="0"/>
        </w:numPr>
        <w:ind w:left="567" w:hanging="567"/>
      </w:pPr>
      <w:r>
        <w:t>(b)</w:t>
      </w:r>
      <w:r>
        <w:tab/>
        <w:t>valutu objave;</w:t>
      </w:r>
    </w:p>
    <w:p w14:paraId="45931230" w14:textId="77777777" w:rsidR="00F55293" w:rsidRDefault="0065343C">
      <w:pPr>
        <w:pStyle w:val="Point1letter"/>
        <w:numPr>
          <w:ilvl w:val="0"/>
          <w:numId w:val="0"/>
        </w:numPr>
        <w:ind w:left="567" w:hanging="567"/>
      </w:pPr>
      <w:r>
        <w:t>(c)</w:t>
      </w:r>
      <w:r>
        <w:tab/>
        <w:t>ime i, prema potrebi, identifikacijsku oznaku pravnog subjekta (LEI) institucije koja objavljuje podatke;</w:t>
      </w:r>
    </w:p>
    <w:p w14:paraId="362D98F3" w14:textId="77777777" w:rsidR="00F55293" w:rsidRDefault="0065343C">
      <w:pPr>
        <w:pStyle w:val="Point1letter"/>
        <w:numPr>
          <w:ilvl w:val="0"/>
          <w:numId w:val="0"/>
        </w:numPr>
        <w:ind w:left="567" w:hanging="567"/>
      </w:pPr>
      <w:r>
        <w:t>(d)</w:t>
      </w:r>
      <w:r>
        <w:tab/>
        <w:t>prema potrebi, računovodstveni standard;</w:t>
      </w:r>
    </w:p>
    <w:p w14:paraId="0E517022" w14:textId="77777777" w:rsidR="00F55293" w:rsidRDefault="0065343C">
      <w:pPr>
        <w:pStyle w:val="Point1letter"/>
        <w:numPr>
          <w:ilvl w:val="0"/>
          <w:numId w:val="0"/>
        </w:numPr>
        <w:ind w:left="567" w:hanging="567"/>
      </w:pPr>
      <w:r>
        <w:t>(e)</w:t>
      </w:r>
      <w:r>
        <w:tab/>
        <w:t>prema potrebi, opseg konsolidacije.</w:t>
      </w:r>
    </w:p>
    <w:p w14:paraId="65477143" w14:textId="77777777" w:rsidR="00F55293" w:rsidRPr="0065343C" w:rsidRDefault="0065343C">
      <w:pPr>
        <w:pStyle w:val="ChapterTitle"/>
        <w:rPr>
          <w:b w:val="0"/>
        </w:rPr>
      </w:pPr>
      <w:r w:rsidRPr="0065343C">
        <w:rPr>
          <w:b w:val="0"/>
        </w:rPr>
        <w:t>POGLAVLJE III.</w:t>
      </w:r>
    </w:p>
    <w:p w14:paraId="00D0F7ED" w14:textId="77777777" w:rsidR="00F55293" w:rsidRDefault="0065343C">
      <w:pPr>
        <w:pStyle w:val="ChapterTitle"/>
      </w:pPr>
      <w:r>
        <w:t>ZAVRŠNE ODREDBE</w:t>
      </w:r>
    </w:p>
    <w:p w14:paraId="6BC3F7BE" w14:textId="77777777" w:rsidR="00F55293" w:rsidRDefault="0065343C">
      <w:pPr>
        <w:pStyle w:val="Titrearticle"/>
        <w:spacing w:before="120"/>
      </w:pPr>
      <w:r>
        <w:t>Članak 12.</w:t>
      </w:r>
    </w:p>
    <w:p w14:paraId="58041A27" w14:textId="4584EB9A" w:rsidR="00F55293" w:rsidRDefault="0065343C">
      <w:pPr>
        <w:pStyle w:val="Titrearticle"/>
        <w:spacing w:before="120"/>
        <w:rPr>
          <w:b/>
          <w:i w:val="0"/>
        </w:rPr>
      </w:pPr>
      <w:r>
        <w:rPr>
          <w:b/>
          <w:i w:val="0"/>
        </w:rPr>
        <w:t>Stupanje na snag</w:t>
      </w:r>
      <w:r w:rsidR="00D031D9">
        <w:rPr>
          <w:b/>
          <w:i w:val="0"/>
        </w:rPr>
        <w:t>u</w:t>
      </w:r>
    </w:p>
    <w:p w14:paraId="306C1F5D" w14:textId="77777777" w:rsidR="00F55293" w:rsidRDefault="0065343C">
      <w:r>
        <w:t xml:space="preserve">Ova Uredba stupa na snagu dvadesetog dana od dana objave u </w:t>
      </w:r>
      <w:r>
        <w:rPr>
          <w:i/>
        </w:rPr>
        <w:t>Službenom listu Europske unije</w:t>
      </w:r>
      <w:r>
        <w:t>.</w:t>
      </w:r>
    </w:p>
    <w:p w14:paraId="3EFBFA6B" w14:textId="77777777" w:rsidR="00F55293" w:rsidRDefault="0065343C">
      <w:pPr>
        <w:pStyle w:val="Applicationdirecte"/>
      </w:pPr>
      <w:r>
        <w:t>Ova je Uredba u cijelosti obvezujuća i izravno se primjenjuje u svim državama članicama.</w:t>
      </w:r>
    </w:p>
    <w:p w14:paraId="63C2A739" w14:textId="77777777" w:rsidR="00F55293" w:rsidRDefault="0065343C">
      <w:pPr>
        <w:pStyle w:val="Fait"/>
      </w:pPr>
      <w:r>
        <w:t>Sastavljeno u Bruxellesu 6. prosinca 2021.</w:t>
      </w:r>
    </w:p>
    <w:p w14:paraId="3D961311" w14:textId="77777777" w:rsidR="00F55293" w:rsidRDefault="0065343C">
      <w:pPr>
        <w:pStyle w:val="Institutionquisigne"/>
      </w:pPr>
      <w:r>
        <w:tab/>
        <w:t>Za Komisiju</w:t>
      </w:r>
    </w:p>
    <w:p w14:paraId="41665974" w14:textId="77777777" w:rsidR="00F55293" w:rsidRDefault="0065343C">
      <w:pPr>
        <w:pStyle w:val="Personnequisigne"/>
      </w:pPr>
      <w:r>
        <w:tab/>
        <w:t>Predsjednica</w:t>
      </w:r>
    </w:p>
    <w:p w14:paraId="0E828EA9" w14:textId="77777777" w:rsidR="00F55293" w:rsidRPr="0065343C" w:rsidRDefault="0065343C">
      <w:pPr>
        <w:pStyle w:val="Personnequisigne"/>
        <w:rPr>
          <w:i w:val="0"/>
        </w:rPr>
      </w:pPr>
      <w:r>
        <w:tab/>
      </w:r>
      <w:r w:rsidRPr="0065343C">
        <w:rPr>
          <w:i w:val="0"/>
        </w:rPr>
        <w:t xml:space="preserve">Ursula </w:t>
      </w:r>
      <w:r w:rsidRPr="0065343C">
        <w:rPr>
          <w:i w:val="0"/>
          <w:caps/>
        </w:rPr>
        <w:t>von der Leyen</w:t>
      </w:r>
    </w:p>
    <w:sectPr w:rsidR="00F55293" w:rsidRPr="0065343C">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EC6747" w14:textId="77777777" w:rsidR="00F55293" w:rsidRDefault="0065343C">
      <w:pPr>
        <w:spacing w:before="0" w:after="0"/>
      </w:pPr>
      <w:r>
        <w:separator/>
      </w:r>
    </w:p>
  </w:endnote>
  <w:endnote w:type="continuationSeparator" w:id="0">
    <w:p w14:paraId="6EFD9660" w14:textId="77777777" w:rsidR="00F55293" w:rsidRDefault="006534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71BF1" w14:textId="77777777" w:rsidR="00F55293" w:rsidRDefault="0065343C">
    <w:pPr>
      <w:pStyle w:val="Footer"/>
      <w:tabs>
        <w:tab w:val="clear" w:pos="4535"/>
        <w:tab w:val="clear" w:pos="9921"/>
      </w:tabs>
      <w:ind w:left="0" w:right="0"/>
    </w:pPr>
    <w:r>
      <w:t>HR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7A2DD" w14:textId="77777777" w:rsidR="00F55293" w:rsidRDefault="0065343C">
      <w:pPr>
        <w:spacing w:before="0" w:after="0"/>
      </w:pPr>
      <w:r>
        <w:separator/>
      </w:r>
    </w:p>
  </w:footnote>
  <w:footnote w:type="continuationSeparator" w:id="0">
    <w:p w14:paraId="7CA17237" w14:textId="77777777" w:rsidR="00F55293" w:rsidRDefault="0065343C">
      <w:pPr>
        <w:spacing w:before="0" w:after="0"/>
      </w:pPr>
      <w:r>
        <w:continuationSeparator/>
      </w:r>
    </w:p>
  </w:footnote>
  <w:footnote w:id="1">
    <w:p w14:paraId="030D2A2D" w14:textId="77777777" w:rsidR="00F55293" w:rsidRDefault="0065343C">
      <w:pPr>
        <w:pStyle w:val="FootnoteText"/>
      </w:pPr>
      <w:r>
        <w:rPr>
          <w:rStyle w:val="FootnoteReference"/>
        </w:rPr>
        <w:footnoteRef/>
      </w:r>
      <w:r>
        <w:tab/>
        <w:t>SL L 314, 5.12.2019., str. 1.</w:t>
      </w:r>
    </w:p>
  </w:footnote>
  <w:footnote w:id="2">
    <w:p w14:paraId="2B17C489" w14:textId="77777777" w:rsidR="00F55293" w:rsidRDefault="0065343C">
      <w:pPr>
        <w:pStyle w:val="FootnoteText"/>
      </w:pPr>
      <w:r>
        <w:rPr>
          <w:rStyle w:val="FootnoteReference"/>
        </w:rPr>
        <w:footnoteRef/>
      </w:r>
      <w:r>
        <w:tab/>
        <w:t>Uredba (EU) br. 1093/2010 Europskog parlamenta i Vijeća od 24. studenoga 2010. o osnivanju europskog nadzornog tijela (Europskog nadzornog tijela za bankarstvo), kojom se izmjenjuje Odluka br. 716/2009/EZ i stavlja izvan snage Odluka Komisije 2009/78/EZ (SL L 331, 15.12.2010., str. 12.).</w:t>
      </w:r>
    </w:p>
  </w:footnote>
  <w:footnote w:id="3">
    <w:p w14:paraId="49DB7A7D" w14:textId="77777777" w:rsidR="00C34B5C" w:rsidRDefault="00C34B5C" w:rsidP="00C34B5C">
      <w:pPr>
        <w:pStyle w:val="FootnoteText"/>
        <w:ind w:left="567" w:hanging="567"/>
      </w:pPr>
      <w:r>
        <w:rPr>
          <w:rStyle w:val="FootnoteReference"/>
        </w:rPr>
        <w:footnoteRef/>
      </w:r>
      <w:r>
        <w:t xml:space="preserve"> </w:t>
      </w:r>
      <w:r>
        <w:tab/>
      </w:r>
      <w:r w:rsidRPr="00C34B5C">
        <w:t>Provedbena uredba komisije (EU) 2021/451 оd 17. prosinca 2020. o utvrđivanju provedbenih tehničkih standarda za primjenu Uredbe (EU) br. 575/2013 Europskog parlamenta i Vijeća u pogledu nadzornog izvješćivanja institucija i stavljanju izvan snage Provedbene uredbe (EU) br. 680/2014</w:t>
      </w:r>
      <w:r>
        <w:t xml:space="preserve"> </w:t>
      </w:r>
      <w:r w:rsidR="0065343C">
        <w:t>(SL L 97, 19.3.2021.,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E1FCB" w14:textId="57D171BC" w:rsidR="00F55293" w:rsidRDefault="00D031D9">
    <w:pPr>
      <w:pStyle w:val="Header"/>
    </w:pPr>
    <w:r>
      <w:rPr>
        <w:noProof/>
      </w:rPr>
      <mc:AlternateContent>
        <mc:Choice Requires="wps">
          <w:drawing>
            <wp:anchor distT="0" distB="0" distL="114300" distR="114300" simplePos="0" relativeHeight="251658240" behindDoc="0" locked="0" layoutInCell="0" allowOverlap="1" wp14:anchorId="190519F5" wp14:editId="1063F94E">
              <wp:simplePos x="0" y="0"/>
              <wp:positionH relativeFrom="page">
                <wp:posOffset>0</wp:posOffset>
              </wp:positionH>
              <wp:positionV relativeFrom="page">
                <wp:posOffset>190500</wp:posOffset>
              </wp:positionV>
              <wp:extent cx="7560945" cy="273050"/>
              <wp:effectExtent l="0" t="0" r="0" b="12700"/>
              <wp:wrapNone/>
              <wp:docPr id="1" name="MSIPCM6e604bfc9a12a6c5e15d3b05"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3891DA" w14:textId="6F8B8826" w:rsidR="00D031D9" w:rsidRPr="00D031D9" w:rsidRDefault="00D031D9" w:rsidP="00D031D9">
                          <w:pPr>
                            <w:spacing w:before="0" w:after="0"/>
                            <w:jc w:val="left"/>
                            <w:rPr>
                              <w:rFonts w:ascii="Calibri" w:hAnsi="Calibri" w:cs="Calibri"/>
                              <w:color w:val="000000"/>
                            </w:rPr>
                          </w:pPr>
                          <w:r w:rsidRPr="00D031D9">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90519F5" id="_x0000_t202" coordsize="21600,21600" o:spt="202" path="m,l,21600r21600,l21600,xe">
              <v:stroke joinstyle="miter"/>
              <v:path gradientshapeok="t" o:connecttype="rect"/>
            </v:shapetype>
            <v:shape id="MSIPCM6e604bfc9a12a6c5e15d3b05"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" o:allowincell="f" filled="f" stroked="f" strokeweight=".5pt">
              <v:fill o:detectmouseclick="t"/>
              <v:textbox inset="20pt,0,,0">
                <w:txbxContent>
                  <w:p w14:paraId="313891DA" w14:textId="6F8B8826" w:rsidR="00D031D9" w:rsidRPr="00D031D9" w:rsidRDefault="00D031D9" w:rsidP="00D031D9">
                    <w:pPr>
                      <w:spacing w:before="0" w:after="0"/>
                      <w:jc w:val="left"/>
                      <w:rPr>
                        <w:rFonts w:ascii="Calibri" w:hAnsi="Calibri" w:cs="Calibri"/>
                        <w:color w:val="000000"/>
                      </w:rPr>
                    </w:pPr>
                    <w:r w:rsidRPr="00D031D9">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4:27:4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70ACC0E7-AFD8-4897-9B71-03262F177A78"/>
    <w:docVar w:name="LW_COVERPAGE_TYPE" w:val="1"/>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utvr\u273?ivanju provedbenih tehni\u269?kih standarda za primjenu Uredbe (EU) 2019/2033 Europskog parlamenta i Vije\u263?a u pogledu nadzornog izvje\u353?\u263?ivanja i objava investicijskih dru\u353?tava"/>
    <w:docVar w:name="LW_TYPE.DOC.CP" w:val="PROVEDBENA UREDBA KOMISIJE (EU) \u8230?/..."/>
  </w:docVars>
  <w:rsids>
    <w:rsidRoot w:val="00F55293"/>
    <w:rsid w:val="000143B8"/>
    <w:rsid w:val="0065343C"/>
    <w:rsid w:val="00C34B5C"/>
    <w:rsid w:val="00D031D9"/>
    <w:rsid w:val="00F55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874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hr-H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hr-HR"/>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2324C-1B6B-4359-958B-57B890A2E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2045</Words>
  <Characters>11659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2021-11-26T08:49:00Z</dcterms:created>
  <dcterms:modified xsi:type="dcterms:W3CDTF">2022-01-14T16:17:00Z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2022-01-14T16:17:17Z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1052ff8b-6244-4ad8-9741-f06cfcdf2d6e</vt:lpwstr>
  </property>
  <property fmtid="{D5CDD505-2E9C-101B-9397-08002B2CF9AE}" pid="15" name="MSIP_Label_5c7eb9de-735b-4a68-8fe4-c9c62709b012_ContentBits">
    <vt:lpwstr>1</vt:lpwstr>
  </property>
</Properties>
</file>