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120" w:after="120"/>
        <w:jc w:val="center"/>
        <w:rPr>
          <w:rFonts w:ascii="Times New Roman" w:hAnsi="Times New Roman"/>
          <w:b/>
          <w:sz w:val="24"/>
          <w:szCs w:val="24"/>
        </w:rPr>
      </w:pPr>
      <w:bookmarkStart w:id="0" w:name="_GoBack"/>
      <w:bookmarkEnd w:id="0"/>
      <w:r>
        <w:rPr>
          <w:rFonts w:ascii="Times New Roman" w:hAnsi="Times New Roman"/>
          <w:b/>
          <w:sz w:val="24"/>
          <w:szCs w:val="24"/>
        </w:rPr>
        <w:t>ANNEXE V</w:t>
      </w:r>
    </w:p>
    <w:p>
      <w:pPr>
        <w:spacing w:before="120" w:after="120"/>
        <w:jc w:val="center"/>
        <w:rPr>
          <w:rFonts w:ascii="Times New Roman" w:hAnsi="Times New Roman"/>
          <w:b/>
          <w:sz w:val="24"/>
          <w:szCs w:val="24"/>
        </w:rPr>
      </w:pPr>
      <w:r>
        <w:rPr>
          <w:rFonts w:ascii="Times New Roman" w:hAnsi="Times New Roman"/>
          <w:b/>
          <w:sz w:val="24"/>
          <w:szCs w:val="24"/>
        </w:rPr>
        <w:t>Partie I: Modèle de points de données unique</w:t>
      </w:r>
    </w:p>
    <w:p>
      <w:pPr>
        <w:spacing w:after="100" w:afterAutospacing="1"/>
        <w:rPr>
          <w:rFonts w:ascii="Times New Roman" w:hAnsi="Times New Roman"/>
        </w:rPr>
      </w:pPr>
      <w:r>
        <w:rPr>
          <w:rFonts w:ascii="Times New Roman" w:hAnsi="Times New Roman"/>
        </w:rPr>
        <w:t>Tous les éléments de données des annexes du présent règlement sont transformés en un modèle de points de données unique qui constitue la base de systèmes informatiques uniformes pour les établissements et les autorités compétentes.</w:t>
      </w:r>
    </w:p>
    <w:p>
      <w:pPr>
        <w:spacing w:after="100" w:afterAutospacing="1"/>
        <w:rPr>
          <w:rFonts w:ascii="Times New Roman" w:hAnsi="Times New Roman"/>
        </w:rPr>
      </w:pPr>
      <w:r>
        <w:rPr>
          <w:rFonts w:ascii="Times New Roman" w:hAnsi="Times New Roman"/>
        </w:rPr>
        <w:t>Le modèle de points de données unique répond aux critères suivants:</w:t>
      </w:r>
    </w:p>
    <w:p>
      <w:pPr>
        <w:spacing w:after="100" w:afterAutospacing="1"/>
        <w:ind w:left="709" w:hanging="709"/>
        <w:rPr>
          <w:rFonts w:ascii="Times New Roman" w:hAnsi="Times New Roman"/>
        </w:rPr>
      </w:pPr>
      <w:r>
        <w:rPr>
          <w:rFonts w:ascii="Times New Roman" w:hAnsi="Times New Roman"/>
        </w:rPr>
        <w:t>a)</w:t>
      </w:r>
      <w:r>
        <w:tab/>
      </w:r>
      <w:r>
        <w:rPr>
          <w:rFonts w:ascii="Times New Roman" w:hAnsi="Times New Roman"/>
        </w:rPr>
        <w:t>il fournit une représentation structurée de tous les éléments de données figurant aux annexes I, III et VIII;</w:t>
      </w:r>
    </w:p>
    <w:p>
      <w:pPr>
        <w:spacing w:after="100" w:afterAutospacing="1"/>
        <w:rPr>
          <w:rFonts w:ascii="Times New Roman" w:hAnsi="Times New Roman"/>
        </w:rPr>
      </w:pPr>
      <w:r>
        <w:rPr>
          <w:rFonts w:ascii="Times New Roman" w:hAnsi="Times New Roman"/>
        </w:rPr>
        <w:t>b)</w:t>
      </w:r>
      <w:r>
        <w:tab/>
      </w:r>
      <w:r>
        <w:rPr>
          <w:rFonts w:ascii="Times New Roman" w:hAnsi="Times New Roman"/>
        </w:rPr>
        <w:t>il indique tous les concepts économiques employés dans les annexes I à IV et VIII à IX;</w:t>
      </w:r>
    </w:p>
    <w:p>
      <w:pPr>
        <w:spacing w:after="100" w:afterAutospacing="1"/>
        <w:ind w:left="709" w:hanging="709"/>
        <w:rPr>
          <w:rFonts w:ascii="Times New Roman" w:hAnsi="Times New Roman"/>
        </w:rPr>
      </w:pPr>
      <w:r>
        <w:rPr>
          <w:rFonts w:ascii="Times New Roman" w:hAnsi="Times New Roman"/>
        </w:rPr>
        <w:t>c)</w:t>
      </w:r>
      <w:r>
        <w:tab/>
      </w:r>
      <w:r>
        <w:rPr>
          <w:rFonts w:ascii="Times New Roman" w:hAnsi="Times New Roman"/>
        </w:rPr>
        <w:t>il fournit un dictionnaire de données comprenant les libellés de tableaux, d’ordonnées, d’axes, de domaines, de dimensions et de membres;</w:t>
      </w:r>
    </w:p>
    <w:p>
      <w:pPr>
        <w:spacing w:after="100" w:afterAutospacing="1"/>
        <w:rPr>
          <w:rFonts w:ascii="Times New Roman" w:hAnsi="Times New Roman"/>
        </w:rPr>
      </w:pPr>
      <w:r>
        <w:rPr>
          <w:rFonts w:ascii="Times New Roman" w:hAnsi="Times New Roman"/>
        </w:rPr>
        <w:t>d)</w:t>
      </w:r>
      <w:r>
        <w:tab/>
      </w:r>
      <w:r>
        <w:rPr>
          <w:rFonts w:ascii="Times New Roman" w:hAnsi="Times New Roman"/>
        </w:rPr>
        <w:t>il fournit des indicateurs qui définissent les propriétés ou les montants des points de données;</w:t>
      </w:r>
    </w:p>
    <w:p>
      <w:pPr>
        <w:spacing w:after="100" w:afterAutospacing="1"/>
        <w:ind w:left="709" w:hanging="709"/>
        <w:rPr>
          <w:rFonts w:ascii="Times New Roman" w:hAnsi="Times New Roman"/>
        </w:rPr>
      </w:pPr>
      <w:r>
        <w:rPr>
          <w:rFonts w:ascii="Times New Roman" w:hAnsi="Times New Roman"/>
        </w:rPr>
        <w:t>e)</w:t>
      </w:r>
      <w:r>
        <w:tab/>
      </w:r>
      <w:r>
        <w:rPr>
          <w:rFonts w:ascii="Times New Roman" w:hAnsi="Times New Roman"/>
        </w:rPr>
        <w:t>il fournit des définitions de points de données sous la forme d’ensembles de caractéristiques permettant d’identifier sans équivoque le concept;</w:t>
      </w:r>
    </w:p>
    <w:p>
      <w:pPr>
        <w:spacing w:after="100" w:afterAutospacing="1"/>
        <w:ind w:left="709" w:hanging="709"/>
        <w:rPr>
          <w:rFonts w:ascii="Times New Roman" w:hAnsi="Times New Roman"/>
        </w:rPr>
      </w:pPr>
      <w:r>
        <w:rPr>
          <w:rFonts w:ascii="Times New Roman" w:hAnsi="Times New Roman"/>
        </w:rPr>
        <w:t>f)</w:t>
      </w:r>
      <w:r>
        <w:tab/>
      </w:r>
      <w:r>
        <w:rPr>
          <w:rFonts w:ascii="Times New Roman" w:hAnsi="Times New Roman"/>
        </w:rPr>
        <w:t>il contient toutes les spécifications techniques nécessaires au développement de solutions informatiques de déclaration qui produisent des informations uniformes aux fins de la surveillance.</w:t>
      </w:r>
    </w:p>
    <w:p>
      <w:pPr>
        <w:spacing w:before="120" w:after="120"/>
        <w:jc w:val="center"/>
        <w:rPr>
          <w:rFonts w:ascii="Times New Roman" w:hAnsi="Times New Roman"/>
          <w:b/>
          <w:sz w:val="24"/>
          <w:szCs w:val="24"/>
        </w:rPr>
      </w:pPr>
      <w:r>
        <w:rPr>
          <w:rFonts w:ascii="Times New Roman" w:hAnsi="Times New Roman"/>
          <w:b/>
          <w:sz w:val="24"/>
          <w:szCs w:val="24"/>
        </w:rPr>
        <w:t>Partie II: Règles de validation</w:t>
      </w:r>
    </w:p>
    <w:p>
      <w:pPr>
        <w:spacing w:after="100" w:afterAutospacing="1"/>
        <w:rPr>
          <w:rFonts w:ascii="Times New Roman" w:hAnsi="Times New Roman"/>
        </w:rPr>
      </w:pPr>
      <w:r>
        <w:rPr>
          <w:rFonts w:ascii="Times New Roman" w:hAnsi="Times New Roman"/>
        </w:rPr>
        <w:t>Les éléments de données figurant aux annexes du présent règlement sont soumis à des règles de validation qui garantissent la qualité et la cohérence des données.</w:t>
      </w:r>
    </w:p>
    <w:p>
      <w:pPr>
        <w:spacing w:after="100" w:afterAutospacing="1"/>
        <w:rPr>
          <w:rFonts w:ascii="Times New Roman" w:hAnsi="Times New Roman"/>
        </w:rPr>
      </w:pPr>
      <w:r>
        <w:rPr>
          <w:rFonts w:ascii="Times New Roman" w:hAnsi="Times New Roman"/>
        </w:rPr>
        <w:t>Ces règles de validation répondent aux critères suivants:</w:t>
      </w:r>
    </w:p>
    <w:p>
      <w:pPr>
        <w:spacing w:after="100" w:afterAutospacing="1"/>
        <w:ind w:left="709" w:hanging="709"/>
        <w:rPr>
          <w:rFonts w:ascii="Times New Roman" w:hAnsi="Times New Roman"/>
        </w:rPr>
      </w:pPr>
      <w:r>
        <w:rPr>
          <w:rFonts w:ascii="Times New Roman" w:hAnsi="Times New Roman"/>
        </w:rPr>
        <w:t>a)</w:t>
      </w:r>
      <w:r>
        <w:tab/>
      </w:r>
      <w:r>
        <w:rPr>
          <w:rFonts w:ascii="Times New Roman" w:hAnsi="Times New Roman"/>
        </w:rPr>
        <w:t>elles définissent les relations logiques entre les points de données pertinents;</w:t>
      </w:r>
    </w:p>
    <w:p>
      <w:pPr>
        <w:spacing w:after="100" w:afterAutospacing="1"/>
        <w:ind w:left="709" w:hanging="709"/>
        <w:rPr>
          <w:rFonts w:ascii="Times New Roman" w:hAnsi="Times New Roman"/>
        </w:rPr>
      </w:pPr>
      <w:r>
        <w:rPr>
          <w:rFonts w:ascii="Times New Roman" w:hAnsi="Times New Roman"/>
        </w:rPr>
        <w:t>b)</w:t>
      </w:r>
      <w:r>
        <w:tab/>
      </w:r>
      <w:r>
        <w:rPr>
          <w:rFonts w:ascii="Times New Roman" w:hAnsi="Times New Roman"/>
        </w:rPr>
        <w:t>elles comprennent des filtres et des conditions préalables qui définissent l’ensemble de données auquel une règle de validation s’applique;</w:t>
      </w:r>
    </w:p>
    <w:p>
      <w:pPr>
        <w:spacing w:after="100" w:afterAutospacing="1"/>
        <w:ind w:left="709" w:hanging="709"/>
        <w:rPr>
          <w:rFonts w:ascii="Times New Roman" w:hAnsi="Times New Roman"/>
        </w:rPr>
      </w:pPr>
      <w:r>
        <w:rPr>
          <w:rFonts w:ascii="Times New Roman" w:hAnsi="Times New Roman"/>
        </w:rPr>
        <w:t>c)</w:t>
      </w:r>
      <w:r>
        <w:tab/>
      </w:r>
      <w:r>
        <w:rPr>
          <w:rFonts w:ascii="Times New Roman" w:hAnsi="Times New Roman"/>
        </w:rPr>
        <w:t>elles vérifient la cohérence des données déclarées;</w:t>
      </w:r>
    </w:p>
    <w:p>
      <w:pPr>
        <w:spacing w:after="100" w:afterAutospacing="1"/>
        <w:ind w:left="709" w:hanging="709"/>
        <w:rPr>
          <w:rFonts w:ascii="Times New Roman" w:hAnsi="Times New Roman"/>
        </w:rPr>
      </w:pPr>
      <w:r>
        <w:rPr>
          <w:rFonts w:ascii="Times New Roman" w:hAnsi="Times New Roman"/>
        </w:rPr>
        <w:t>d)</w:t>
      </w:r>
      <w:r>
        <w:tab/>
      </w:r>
      <w:r>
        <w:rPr>
          <w:rFonts w:ascii="Times New Roman" w:hAnsi="Times New Roman"/>
        </w:rPr>
        <w:t>elles vérifient l’exactitude des données déclarées;</w:t>
      </w:r>
    </w:p>
    <w:p>
      <w:pPr>
        <w:spacing w:after="100" w:afterAutospacing="1"/>
        <w:ind w:left="709" w:hanging="709"/>
        <w:rPr>
          <w:rFonts w:ascii="Times New Roman" w:hAnsi="Times New Roman"/>
        </w:rPr>
      </w:pPr>
      <w:r>
        <w:rPr>
          <w:rFonts w:ascii="Times New Roman" w:hAnsi="Times New Roman"/>
        </w:rPr>
        <w:t>e)</w:t>
      </w:r>
      <w:r>
        <w:tab/>
      </w:r>
      <w:r>
        <w:rPr>
          <w:rFonts w:ascii="Times New Roman" w:hAnsi="Times New Roman"/>
        </w:rPr>
        <w:t>elles établissent les valeurs par défaut qui s’appliquent lorsque des informations n’ont pas été déclarées.</w:t>
      </w:r>
    </w:p>
    <w:sectPr>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tabs>
        <w:tab w:val="clear" w:pos="4680"/>
        <w:tab w:val="clear" w:pos="9360"/>
        <w:tab w:val="right" w:pos="9071"/>
      </w:tabs>
    </w:pPr>
    <w:r>
      <w:t>FR - Cleaned document</w:t>
    </w:r>
    <w:r>
      <w:tab/>
    </w:r>
    <w:r>
      <w:fldChar w:fldCharType="begin"/>
    </w:r>
    <w:r>
      <w:instrText xml:space="preserve"> PAGE \* MERGEFORMAT </w:instrText>
    </w:r>
    <w:r>
      <w:fldChar w:fldCharType="separate"/>
    </w:r>
    <w:r>
      <w:rPr>
        <w:noProof/>
      </w:rPr>
      <w:t>1</w:t>
    </w:r>
    <w:r>
      <w:fldChar w:fldCharType="end"/>
    </w:r>
    <w:r>
      <w:t>/</w:t>
    </w:r>
    <w:fldSimple w:instr=" NUMPAGES \* MERGEFORMAT ">
      <w:r>
        <w:rPr>
          <w:noProof/>
        </w:rPr>
        <w:t>1</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lang w:val="fr-FR"/>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lang w:val="fr-FR"/>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fr-FR"/>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2021-11-25T14:58:00Z</dcterms:created>
  <dcterms:modified xsi:type="dcterms:W3CDTF">2021-11-25T16:25:00Z</dcterms:modified>
</cp:coreProperties>
</file>