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13F7D" w14:textId="77777777" w:rsidR="005673AC" w:rsidRPr="00840DEE" w:rsidRDefault="00C122DA" w:rsidP="00C122DA">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840DEE">
        <w:t>VII PIELIKUMS — Norādījumi par pašu kapitāla informācijas atklāšanas veidnēm</w:t>
      </w:r>
    </w:p>
    <w:p w14:paraId="712D74F3" w14:textId="77777777" w:rsidR="009B5CAD" w:rsidRPr="00840DEE" w:rsidRDefault="009B5CAD" w:rsidP="009B5CAD">
      <w:pPr>
        <w:rPr>
          <w:rFonts w:ascii="Times New Roman" w:hAnsi="Times New Roman" w:cs="Times New Roman"/>
          <w:sz w:val="24"/>
          <w:lang w:val="en-IE"/>
        </w:rPr>
      </w:pPr>
    </w:p>
    <w:p w14:paraId="77EC869C" w14:textId="77777777" w:rsidR="001F2493" w:rsidRPr="00840DEE" w:rsidRDefault="001F2493" w:rsidP="00267DE1">
      <w:pPr>
        <w:rPr>
          <w:rFonts w:ascii="Times New Roman" w:hAnsi="Times New Roman" w:cs="Times New Roman"/>
          <w:b/>
          <w:bCs/>
          <w:sz w:val="24"/>
        </w:rPr>
      </w:pPr>
      <w:r w:rsidRPr="00840DEE">
        <w:rPr>
          <w:rFonts w:ascii="Times New Roman" w:hAnsi="Times New Roman"/>
          <w:b/>
          <w:bCs/>
          <w:sz w:val="24"/>
        </w:rPr>
        <w:t>Veidne EU I CC1.01, EU I CC1.02 un EU I CC1.03 — Regulējošām prasībām atbilstošā pašu kapitāla struktūra</w:t>
      </w:r>
    </w:p>
    <w:p w14:paraId="47F50416" w14:textId="77777777" w:rsidR="001F2493" w:rsidRPr="00840DEE" w:rsidRDefault="001F2493" w:rsidP="00267DE1">
      <w:pPr>
        <w:rPr>
          <w:rFonts w:ascii="Times New Roman" w:hAnsi="Times New Roman" w:cs="Times New Roman"/>
          <w:noProof/>
          <w:sz w:val="24"/>
          <w:lang w:val="en-IE"/>
        </w:rPr>
      </w:pPr>
    </w:p>
    <w:p w14:paraId="1DAA8BBF" w14:textId="77777777" w:rsidR="001F2493" w:rsidRPr="00840DEE" w:rsidRDefault="001F2493" w:rsidP="00464493">
      <w:pPr>
        <w:numPr>
          <w:ilvl w:val="0"/>
          <w:numId w:val="11"/>
        </w:numPr>
        <w:spacing w:before="120" w:after="120"/>
        <w:jc w:val="both"/>
        <w:rPr>
          <w:rFonts w:ascii="Times New Roman" w:hAnsi="Times New Roman" w:cs="Times New Roman"/>
          <w:bCs/>
          <w:sz w:val="24"/>
        </w:rPr>
      </w:pPr>
      <w:r w:rsidRPr="00840DEE">
        <w:rPr>
          <w:rFonts w:ascii="Times New Roman" w:hAnsi="Times New Roman"/>
          <w:bCs/>
          <w:sz w:val="24"/>
        </w:rPr>
        <w:t>Ieguldījumu brokeru sabiedrības saskaņā ar Regulas (ES) 2019/2033 49. panta 1. punkta a) un c) apakšpunktu piemēro šajā pielikumā sniegtos norādījumus, lai aizpildītu VI pielikumā esošo veidni EU I CC1.</w:t>
      </w:r>
    </w:p>
    <w:p w14:paraId="32BFEA5D" w14:textId="77777777" w:rsidR="001F2493" w:rsidRPr="00840DEE" w:rsidRDefault="001F2493" w:rsidP="001F2493">
      <w:pPr>
        <w:numPr>
          <w:ilvl w:val="0"/>
          <w:numId w:val="11"/>
        </w:numPr>
        <w:spacing w:before="120" w:after="120"/>
        <w:ind w:left="357" w:hanging="357"/>
        <w:jc w:val="both"/>
        <w:rPr>
          <w:rFonts w:ascii="Times New Roman" w:hAnsi="Times New Roman" w:cs="Times New Roman"/>
          <w:bCs/>
          <w:sz w:val="24"/>
        </w:rPr>
      </w:pPr>
      <w:r w:rsidRPr="00840DEE">
        <w:rPr>
          <w:rFonts w:ascii="Times New Roman" w:hAnsi="Times New Roman"/>
          <w:bCs/>
          <w:sz w:val="24"/>
        </w:rPr>
        <w:t>Ieguldījumu brokeru sabiedrības aizpilda b) sleju, lai paskaidrotu visu būtisko ievaddatu avotu, sniedzot mijnorādi uz atbilstošajām rindām veidnē EU I CC2.</w:t>
      </w:r>
    </w:p>
    <w:p w14:paraId="078ED2AC" w14:textId="77777777" w:rsidR="001F2493" w:rsidRPr="00840DEE" w:rsidRDefault="001F2493" w:rsidP="001F2493">
      <w:pPr>
        <w:numPr>
          <w:ilvl w:val="0"/>
          <w:numId w:val="11"/>
        </w:numPr>
        <w:spacing w:before="120" w:after="120"/>
        <w:jc w:val="both"/>
        <w:rPr>
          <w:rFonts w:ascii="Times New Roman" w:hAnsi="Times New Roman" w:cs="Times New Roman"/>
          <w:bCs/>
          <w:sz w:val="24"/>
        </w:rPr>
      </w:pPr>
      <w:r w:rsidRPr="00840DEE">
        <w:rPr>
          <w:rFonts w:ascii="Times New Roman" w:hAnsi="Times New Roman"/>
          <w:bCs/>
          <w:sz w:val="24"/>
        </w:rPr>
        <w:t>Ieguldījumu brokeru sabiedrības iekļauj veidnei pievienotajā izklāsta daļā aprakstu par visiem ierobežojumiem, ko piemēro pašu kapitāla aprēķināšanai saskaņā ar Regulas (ES) 2019/2033 49. panta 1. punkta c) apakšpunktu, un instrumentiem un atskaitījumiem, kuriem šos ierobežojumus piemēro. Tās arī izskaidro atklāto summu galvenās izmaiņas salīdzinājumā ar iepriekšējiem informācijas atklāšanas periodiem.</w:t>
      </w:r>
    </w:p>
    <w:p w14:paraId="0D34BEA5" w14:textId="77777777" w:rsidR="001F2493" w:rsidRPr="00840DEE" w:rsidRDefault="001F2493" w:rsidP="001F2493">
      <w:pPr>
        <w:numPr>
          <w:ilvl w:val="0"/>
          <w:numId w:val="11"/>
        </w:numPr>
        <w:spacing w:before="120" w:after="120"/>
        <w:jc w:val="both"/>
        <w:rPr>
          <w:rFonts w:ascii="Times New Roman" w:hAnsi="Times New Roman" w:cs="Times New Roman"/>
          <w:bCs/>
          <w:sz w:val="24"/>
        </w:rPr>
      </w:pPr>
      <w:r w:rsidRPr="00840DEE">
        <w:rPr>
          <w:rFonts w:ascii="Times New Roman" w:hAnsi="Times New Roman"/>
          <w:bCs/>
          <w:sz w:val="24"/>
        </w:rPr>
        <w:t>Šīs veidnes formāts ir fiksēts, un ieguldījumu brokeru sabiedrības atklāj informāciju tajā tieši tādā pašā formātā, kā noteikts VI pielikumā.</w:t>
      </w:r>
    </w:p>
    <w:p w14:paraId="3B826F39" w14:textId="77777777" w:rsidR="001F2493" w:rsidRPr="00840DEE" w:rsidRDefault="00970F84" w:rsidP="001F2493">
      <w:pPr>
        <w:numPr>
          <w:ilvl w:val="0"/>
          <w:numId w:val="11"/>
        </w:numPr>
        <w:spacing w:before="120" w:after="120"/>
        <w:jc w:val="both"/>
        <w:rPr>
          <w:rFonts w:ascii="Times New Roman" w:hAnsi="Times New Roman" w:cs="Times New Roman"/>
          <w:bCs/>
          <w:sz w:val="24"/>
        </w:rPr>
      </w:pPr>
      <w:r w:rsidRPr="00840DEE">
        <w:rPr>
          <w:rFonts w:ascii="Times New Roman" w:hAnsi="Times New Roman"/>
          <w:bCs/>
          <w:sz w:val="24"/>
        </w:rPr>
        <w:t xml:space="preserve">Ieguldījumu brokeru sabiedrības, kas nav nelielas un savstarpēji nesaistītas, informāciju par pašu kapitāla struktūru atklāj saskaņā ar VI pielikuma veidni EU I CC1.01.  Nelielas un savstarpēji nesaistītas ieguldījumu brokeru sabiedrības, kuras emitē pirmā līmeņa papildu kapitāla instrumentus, informāciju par pašu kapitāla struktūru atklāj saskaņā ar VI pielikuma veidni EU I CC1.02. </w:t>
      </w:r>
    </w:p>
    <w:p w14:paraId="15F1A8CA" w14:textId="77777777" w:rsidR="00C53587" w:rsidRPr="00840DEE" w:rsidRDefault="00C53587" w:rsidP="0012736E">
      <w:pPr>
        <w:spacing w:before="120" w:after="120"/>
        <w:jc w:val="both"/>
        <w:rPr>
          <w:rFonts w:ascii="Times New Roman" w:hAnsi="Times New Roman" w:cs="Times New Roman"/>
          <w:bCs/>
          <w:sz w:val="24"/>
        </w:rPr>
      </w:pPr>
    </w:p>
    <w:p w14:paraId="72E50101" w14:textId="77777777" w:rsidR="00E2207A" w:rsidRPr="00840DEE" w:rsidRDefault="00E2207A" w:rsidP="0012736E">
      <w:pPr>
        <w:rPr>
          <w:rFonts w:ascii="Times New Roman" w:hAnsi="Times New Roman" w:cs="Times New Roman"/>
          <w:b/>
          <w:bCs/>
          <w:sz w:val="24"/>
        </w:rPr>
      </w:pPr>
      <w:r w:rsidRPr="00840DEE">
        <w:rPr>
          <w:rFonts w:ascii="Times New Roman" w:hAnsi="Times New Roman"/>
          <w:b/>
          <w:bCs/>
          <w:sz w:val="24"/>
        </w:rPr>
        <w:t>Veidne EU I CC1.01 — Regulējošām prasībām atbilstošā pašu kapitāla struktūra (Ieguldījumu brokeru sabiedrības, kas nav nelielas un savstarpēji nesaistītas)</w:t>
      </w:r>
    </w:p>
    <w:p w14:paraId="56648956" w14:textId="77777777" w:rsidR="001F2493" w:rsidRPr="00840DEE" w:rsidRDefault="001F2493" w:rsidP="001F2493">
      <w:pPr>
        <w:spacing w:before="120" w:after="120"/>
        <w:jc w:val="both"/>
        <w:rPr>
          <w:rFonts w:ascii="Times New Roman" w:hAnsi="Times New Roman" w:cs="Times New Roman"/>
          <w:bCs/>
          <w:sz w:val="24"/>
        </w:rPr>
      </w:pP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1F2493" w:rsidRPr="00840DEE" w14:paraId="093EC04E" w14:textId="77777777" w:rsidTr="001F2493">
        <w:trPr>
          <w:trHeight w:val="395"/>
        </w:trPr>
        <w:tc>
          <w:tcPr>
            <w:tcW w:w="8812" w:type="dxa"/>
            <w:gridSpan w:val="2"/>
            <w:shd w:val="clear" w:color="auto" w:fill="D9D9D9" w:themeFill="background1" w:themeFillShade="D9"/>
          </w:tcPr>
          <w:p w14:paraId="69F57963" w14:textId="77777777" w:rsidR="001F2493" w:rsidRPr="00840DEE" w:rsidRDefault="001F2493" w:rsidP="00AF1B12">
            <w:pPr>
              <w:pStyle w:val="TableTitle"/>
              <w:spacing w:before="0" w:after="0"/>
              <w:jc w:val="left"/>
              <w:rPr>
                <w:rFonts w:ascii="Times New Roman" w:hAnsi="Times New Roman"/>
                <w:szCs w:val="22"/>
              </w:rPr>
            </w:pPr>
            <w:r w:rsidRPr="00840DEE">
              <w:rPr>
                <w:rFonts w:ascii="Times New Roman" w:hAnsi="Times New Roman"/>
                <w:szCs w:val="22"/>
              </w:rPr>
              <w:t>Atsauces uz tiesību aktiem un norādījumi</w:t>
            </w:r>
          </w:p>
        </w:tc>
      </w:tr>
      <w:tr w:rsidR="001F2493" w:rsidRPr="00840DEE" w14:paraId="2D585E0A" w14:textId="77777777" w:rsidTr="001F2493">
        <w:tblPrEx>
          <w:tblLook w:val="00A0" w:firstRow="1" w:lastRow="0" w:firstColumn="1" w:lastColumn="0" w:noHBand="0" w:noVBand="0"/>
        </w:tblPrEx>
        <w:tc>
          <w:tcPr>
            <w:tcW w:w="1129" w:type="dxa"/>
            <w:tcBorders>
              <w:bottom w:val="single" w:sz="4" w:space="0" w:color="auto"/>
            </w:tcBorders>
            <w:shd w:val="clear" w:color="auto" w:fill="D9D9D9"/>
          </w:tcPr>
          <w:p w14:paraId="4764350C" w14:textId="77777777" w:rsidR="001F2493" w:rsidRPr="00840DEE" w:rsidRDefault="001F2493" w:rsidP="00AF1B12">
            <w:pPr>
              <w:spacing w:after="120"/>
              <w:jc w:val="both"/>
              <w:rPr>
                <w:rFonts w:ascii="Times New Roman" w:eastAsia="Times New Roman" w:hAnsi="Times New Roman" w:cs="Times New Roman"/>
                <w:bCs/>
                <w:szCs w:val="22"/>
              </w:rPr>
            </w:pPr>
            <w:r w:rsidRPr="00840DEE">
              <w:rPr>
                <w:rFonts w:ascii="Times New Roman" w:hAnsi="Times New Roman"/>
                <w:szCs w:val="22"/>
              </w:rPr>
              <w:t>Rinda</w:t>
            </w:r>
          </w:p>
        </w:tc>
        <w:tc>
          <w:tcPr>
            <w:tcW w:w="7683" w:type="dxa"/>
            <w:tcBorders>
              <w:bottom w:val="single" w:sz="4" w:space="0" w:color="auto"/>
            </w:tcBorders>
            <w:shd w:val="clear" w:color="auto" w:fill="D9D9D9"/>
          </w:tcPr>
          <w:p w14:paraId="6A53D67D" w14:textId="77777777" w:rsidR="001F2493" w:rsidRPr="00840DEE" w:rsidRDefault="001F2493" w:rsidP="00AF1B12">
            <w:pPr>
              <w:spacing w:after="120"/>
              <w:jc w:val="both"/>
              <w:rPr>
                <w:rFonts w:ascii="Times New Roman" w:eastAsia="Times New Roman" w:hAnsi="Times New Roman" w:cs="Times New Roman"/>
                <w:bCs/>
                <w:szCs w:val="22"/>
              </w:rPr>
            </w:pPr>
            <w:r w:rsidRPr="00840DEE">
              <w:rPr>
                <w:rFonts w:ascii="Times New Roman" w:hAnsi="Times New Roman"/>
                <w:szCs w:val="22"/>
              </w:rPr>
              <w:t>Atsauces uz tiesību aktiem un norādījumi</w:t>
            </w:r>
          </w:p>
        </w:tc>
      </w:tr>
      <w:tr w:rsidR="00A01899" w:rsidRPr="00840DEE" w14:paraId="59033FE3" w14:textId="77777777" w:rsidTr="00AF1B12">
        <w:tblPrEx>
          <w:tblLook w:val="00A0" w:firstRow="1" w:lastRow="0" w:firstColumn="1" w:lastColumn="0" w:noHBand="0" w:noVBand="0"/>
        </w:tblPrEx>
        <w:tc>
          <w:tcPr>
            <w:tcW w:w="1129" w:type="dxa"/>
            <w:shd w:val="clear" w:color="auto" w:fill="auto"/>
            <w:vAlign w:val="center"/>
          </w:tcPr>
          <w:p w14:paraId="321C7D4D" w14:textId="77777777" w:rsidR="00A01899" w:rsidRPr="00840DEE" w:rsidRDefault="00A01899" w:rsidP="00A01899">
            <w:pPr>
              <w:spacing w:after="120"/>
              <w:jc w:val="both"/>
              <w:rPr>
                <w:rFonts w:ascii="Times New Roman" w:eastAsia="Times New Roman" w:hAnsi="Times New Roman" w:cs="Times New Roman"/>
                <w:bCs/>
                <w:szCs w:val="22"/>
              </w:rPr>
            </w:pPr>
            <w:r w:rsidRPr="00840DEE">
              <w:rPr>
                <w:rFonts w:ascii="Times New Roman" w:hAnsi="Times New Roman"/>
                <w:b/>
                <w:bCs/>
                <w:color w:val="000000"/>
                <w:szCs w:val="22"/>
              </w:rPr>
              <w:t>1.</w:t>
            </w:r>
          </w:p>
        </w:tc>
        <w:tc>
          <w:tcPr>
            <w:tcW w:w="7683" w:type="dxa"/>
            <w:shd w:val="clear" w:color="auto" w:fill="auto"/>
          </w:tcPr>
          <w:p w14:paraId="09FFBA62" w14:textId="77777777" w:rsidR="00A01899" w:rsidRPr="00840DEE" w:rsidRDefault="00A01899" w:rsidP="00A01899">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Pašu kapitāls</w:t>
            </w:r>
          </w:p>
          <w:p w14:paraId="329DF90D" w14:textId="77777777" w:rsidR="00A01899" w:rsidRPr="00840DEE" w:rsidRDefault="00A01899" w:rsidP="00A01899">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punkts.</w:t>
            </w:r>
          </w:p>
          <w:p w14:paraId="71682B15" w14:textId="77777777" w:rsidR="00A01899" w:rsidRPr="00840DEE" w:rsidRDefault="00A01899" w:rsidP="00A01899">
            <w:pPr>
              <w:spacing w:after="120"/>
              <w:jc w:val="both"/>
              <w:rPr>
                <w:rStyle w:val="FormatvorlageInstructionsTabelleText"/>
                <w:rFonts w:ascii="Times New Roman" w:hAnsi="Times New Roman"/>
                <w:sz w:val="22"/>
                <w:szCs w:val="22"/>
              </w:rPr>
            </w:pPr>
            <w:r w:rsidRPr="00840DEE">
              <w:rPr>
                <w:rStyle w:val="FormatvorlageInstructionsTabelleText"/>
                <w:rFonts w:ascii="Times New Roman" w:hAnsi="Times New Roman"/>
                <w:sz w:val="22"/>
                <w:szCs w:val="22"/>
              </w:rPr>
              <w:t>Ieguldījumu brokeru sabiedrības pašu kapitālu veido tās pirmā līmeņa pamata kapitāla, pirmā līmeņa papildu kapitāla un otrā līmeņa kapitāla summa.</w:t>
            </w:r>
          </w:p>
          <w:p w14:paraId="4449A9C8" w14:textId="77777777" w:rsidR="00A01899" w:rsidRPr="00840DEE" w:rsidRDefault="00A01899" w:rsidP="00627A6E">
            <w:pPr>
              <w:spacing w:after="120"/>
              <w:jc w:val="both"/>
              <w:rPr>
                <w:rFonts w:ascii="Times New Roman" w:eastAsia="Times New Roman" w:hAnsi="Times New Roman" w:cs="Times New Roman"/>
                <w:bCs/>
                <w:szCs w:val="22"/>
              </w:rPr>
            </w:pPr>
            <w:r w:rsidRPr="00840DEE">
              <w:rPr>
                <w:rFonts w:ascii="Times New Roman" w:hAnsi="Times New Roman"/>
                <w:bCs/>
                <w:szCs w:val="22"/>
              </w:rPr>
              <w:t>Šī rinda ir 2. un 40. rindas summa.</w:t>
            </w:r>
          </w:p>
        </w:tc>
      </w:tr>
      <w:tr w:rsidR="00A01899" w:rsidRPr="00840DEE" w14:paraId="346D48FE" w14:textId="77777777" w:rsidTr="00AF1B12">
        <w:tblPrEx>
          <w:tblLook w:val="00A0" w:firstRow="1" w:lastRow="0" w:firstColumn="1" w:lastColumn="0" w:noHBand="0" w:noVBand="0"/>
        </w:tblPrEx>
        <w:tc>
          <w:tcPr>
            <w:tcW w:w="1129" w:type="dxa"/>
            <w:shd w:val="clear" w:color="auto" w:fill="auto"/>
            <w:vAlign w:val="center"/>
          </w:tcPr>
          <w:p w14:paraId="6CB6C652" w14:textId="77777777" w:rsidR="00A01899" w:rsidRPr="00840DEE" w:rsidRDefault="00A01899" w:rsidP="00A01899">
            <w:pPr>
              <w:spacing w:after="120"/>
              <w:jc w:val="both"/>
              <w:rPr>
                <w:rFonts w:ascii="Times New Roman" w:eastAsia="Times New Roman" w:hAnsi="Times New Roman" w:cs="Times New Roman"/>
                <w:bCs/>
                <w:szCs w:val="22"/>
              </w:rPr>
            </w:pPr>
            <w:r w:rsidRPr="00840DEE">
              <w:rPr>
                <w:rFonts w:ascii="Times New Roman" w:hAnsi="Times New Roman"/>
                <w:b/>
                <w:bCs/>
                <w:color w:val="000000"/>
                <w:szCs w:val="22"/>
              </w:rPr>
              <w:t>2.</w:t>
            </w:r>
          </w:p>
        </w:tc>
        <w:tc>
          <w:tcPr>
            <w:tcW w:w="7683" w:type="dxa"/>
            <w:shd w:val="clear" w:color="auto" w:fill="auto"/>
          </w:tcPr>
          <w:p w14:paraId="3AE33658" w14:textId="77777777" w:rsidR="00A01899" w:rsidRPr="00840DEE" w:rsidRDefault="00A01899" w:rsidP="00A01899">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Pirmā līmeņa kapitāls</w:t>
            </w:r>
          </w:p>
          <w:p w14:paraId="39A89FDE" w14:textId="77777777" w:rsidR="00A01899" w:rsidRPr="00840DEE" w:rsidRDefault="00A01899" w:rsidP="00A01899">
            <w:pPr>
              <w:spacing w:after="120"/>
              <w:jc w:val="both"/>
              <w:rPr>
                <w:rStyle w:val="FormatvorlageInstructionsTabelleText"/>
                <w:rFonts w:ascii="Times New Roman" w:hAnsi="Times New Roman"/>
                <w:sz w:val="22"/>
                <w:szCs w:val="22"/>
              </w:rPr>
            </w:pPr>
            <w:r w:rsidRPr="00840DEE">
              <w:rPr>
                <w:rStyle w:val="FormatvorlageInstructionsTabelleText"/>
                <w:rFonts w:ascii="Times New Roman" w:hAnsi="Times New Roman"/>
                <w:sz w:val="22"/>
                <w:szCs w:val="22"/>
              </w:rPr>
              <w:t>Pirmā līmeņa kapitālu veido pirmā līmeņa pamata kapitāla un pirmā līmeņa papildu kapitāla summa.</w:t>
            </w:r>
          </w:p>
          <w:p w14:paraId="1509CF95" w14:textId="77777777" w:rsidR="00A01899" w:rsidRPr="00840DEE" w:rsidRDefault="00A01899" w:rsidP="009E6A4E">
            <w:pPr>
              <w:spacing w:after="120"/>
              <w:jc w:val="both"/>
              <w:rPr>
                <w:rFonts w:ascii="Times New Roman" w:eastAsia="Times New Roman" w:hAnsi="Times New Roman" w:cs="Times New Roman"/>
                <w:b/>
                <w:bCs/>
                <w:szCs w:val="22"/>
              </w:rPr>
            </w:pPr>
            <w:r w:rsidRPr="00840DEE">
              <w:rPr>
                <w:rFonts w:ascii="Times New Roman" w:hAnsi="Times New Roman"/>
                <w:bCs/>
                <w:szCs w:val="22"/>
              </w:rPr>
              <w:t>Šī rinda ir 3. un 28. rindas summa.</w:t>
            </w:r>
          </w:p>
        </w:tc>
      </w:tr>
      <w:tr w:rsidR="00A01899" w:rsidRPr="00840DEE" w14:paraId="5032CF0A" w14:textId="77777777" w:rsidTr="00AF1B12">
        <w:tblPrEx>
          <w:tblLook w:val="00A0" w:firstRow="1" w:lastRow="0" w:firstColumn="1" w:lastColumn="0" w:noHBand="0" w:noVBand="0"/>
        </w:tblPrEx>
        <w:tc>
          <w:tcPr>
            <w:tcW w:w="1129" w:type="dxa"/>
            <w:shd w:val="clear" w:color="auto" w:fill="auto"/>
            <w:vAlign w:val="center"/>
          </w:tcPr>
          <w:p w14:paraId="5F960526" w14:textId="77777777" w:rsidR="00A01899" w:rsidRPr="00840DEE" w:rsidRDefault="00A01899" w:rsidP="00A01899">
            <w:pPr>
              <w:spacing w:after="120"/>
              <w:jc w:val="both"/>
              <w:rPr>
                <w:rFonts w:ascii="Times New Roman" w:eastAsia="Times New Roman" w:hAnsi="Times New Roman" w:cs="Times New Roman"/>
                <w:bCs/>
                <w:szCs w:val="22"/>
              </w:rPr>
            </w:pPr>
            <w:r w:rsidRPr="00840DEE">
              <w:rPr>
                <w:rFonts w:ascii="Times New Roman" w:hAnsi="Times New Roman"/>
                <w:b/>
                <w:bCs/>
                <w:color w:val="000000"/>
                <w:szCs w:val="22"/>
              </w:rPr>
              <w:t>3.</w:t>
            </w:r>
          </w:p>
        </w:tc>
        <w:tc>
          <w:tcPr>
            <w:tcW w:w="7683" w:type="dxa"/>
            <w:shd w:val="clear" w:color="auto" w:fill="auto"/>
          </w:tcPr>
          <w:p w14:paraId="19506A95" w14:textId="77777777" w:rsidR="00A01899" w:rsidRPr="00840DEE" w:rsidRDefault="00A01899" w:rsidP="00A01899">
            <w:pPr>
              <w:spacing w:after="120"/>
              <w:jc w:val="both"/>
              <w:rPr>
                <w:rFonts w:ascii="Times New Roman" w:eastAsia="Times New Roman" w:hAnsi="Times New Roman" w:cs="Times New Roman"/>
                <w:b/>
                <w:bCs/>
                <w:szCs w:val="22"/>
                <w:u w:val="single"/>
              </w:rPr>
            </w:pPr>
            <w:r w:rsidRPr="00840DEE">
              <w:rPr>
                <w:rStyle w:val="InstructionsTabelleberschrift"/>
                <w:rFonts w:ascii="Times New Roman" w:hAnsi="Times New Roman"/>
                <w:sz w:val="22"/>
                <w:szCs w:val="22"/>
              </w:rPr>
              <w:t>Pirmā līmeņa pamata kapitāls</w:t>
            </w:r>
            <w:r w:rsidRPr="00840DEE">
              <w:rPr>
                <w:rFonts w:ascii="Times New Roman" w:hAnsi="Times New Roman"/>
                <w:b/>
                <w:bCs/>
                <w:szCs w:val="22"/>
                <w:u w:val="single"/>
              </w:rPr>
              <w:t xml:space="preserve"> </w:t>
            </w:r>
          </w:p>
          <w:p w14:paraId="3D159F8F" w14:textId="77777777" w:rsidR="00A01899" w:rsidRPr="00840DEE" w:rsidRDefault="00A01899" w:rsidP="00A01899">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punkts.</w:t>
            </w:r>
          </w:p>
          <w:p w14:paraId="01970B18" w14:textId="77777777" w:rsidR="00A01899" w:rsidRPr="00840DEE" w:rsidRDefault="00A01899" w:rsidP="00A01899">
            <w:pPr>
              <w:spacing w:after="120"/>
              <w:jc w:val="both"/>
              <w:rPr>
                <w:rStyle w:val="FormatvorlageInstructionsTabelleText"/>
                <w:rFonts w:ascii="Times New Roman" w:hAnsi="Times New Roman"/>
                <w:sz w:val="22"/>
                <w:szCs w:val="22"/>
              </w:rPr>
            </w:pPr>
            <w:r w:rsidRPr="00840DEE">
              <w:rPr>
                <w:rStyle w:val="FormatvorlageInstructionsTabelleText"/>
                <w:rFonts w:ascii="Times New Roman" w:hAnsi="Times New Roman"/>
                <w:sz w:val="22"/>
                <w:szCs w:val="22"/>
              </w:rPr>
              <w:lastRenderedPageBreak/>
              <w:t xml:space="preserve">Regulas </w:t>
            </w:r>
            <w:r w:rsidRPr="00840DEE">
              <w:rPr>
                <w:rFonts w:ascii="Times New Roman" w:hAnsi="Times New Roman"/>
                <w:bCs/>
                <w:szCs w:val="22"/>
              </w:rPr>
              <w:t xml:space="preserve">(ES) </w:t>
            </w:r>
            <w:r w:rsidRPr="00840DEE">
              <w:rPr>
                <w:rStyle w:val="FormatvorlageInstructionsTabelleText"/>
                <w:rFonts w:ascii="Times New Roman" w:hAnsi="Times New Roman"/>
                <w:sz w:val="22"/>
                <w:szCs w:val="22"/>
              </w:rPr>
              <w:t>Nr. 575/2013 50. pants.</w:t>
            </w:r>
          </w:p>
          <w:p w14:paraId="1A91388A" w14:textId="77777777" w:rsidR="00A01899" w:rsidRPr="00840DEE" w:rsidRDefault="00A01899" w:rsidP="00017B79">
            <w:pPr>
              <w:spacing w:after="120"/>
              <w:jc w:val="both"/>
              <w:rPr>
                <w:rFonts w:ascii="Times New Roman" w:eastAsia="Times New Roman" w:hAnsi="Times New Roman" w:cs="Times New Roman"/>
                <w:bCs/>
                <w:szCs w:val="22"/>
              </w:rPr>
            </w:pPr>
            <w:r w:rsidRPr="00840DEE">
              <w:rPr>
                <w:rFonts w:ascii="Times New Roman" w:hAnsi="Times New Roman"/>
                <w:bCs/>
                <w:szCs w:val="22"/>
              </w:rPr>
              <w:t>Atklāj 4. līdz 12. rindas un 27. rindas kopsummu.</w:t>
            </w:r>
          </w:p>
        </w:tc>
      </w:tr>
      <w:tr w:rsidR="00A01899" w:rsidRPr="00840DEE" w14:paraId="6DEC3C39" w14:textId="77777777" w:rsidTr="00AF1B12">
        <w:tblPrEx>
          <w:tblLook w:val="00A0" w:firstRow="1" w:lastRow="0" w:firstColumn="1" w:lastColumn="0" w:noHBand="0" w:noVBand="0"/>
        </w:tblPrEx>
        <w:tc>
          <w:tcPr>
            <w:tcW w:w="1129" w:type="dxa"/>
            <w:shd w:val="clear" w:color="auto" w:fill="auto"/>
            <w:vAlign w:val="center"/>
          </w:tcPr>
          <w:p w14:paraId="483D8DDC" w14:textId="77777777" w:rsidR="00A01899" w:rsidRPr="00840DEE" w:rsidRDefault="00A01899" w:rsidP="00A01899">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lastRenderedPageBreak/>
              <w:t>4.</w:t>
            </w:r>
          </w:p>
        </w:tc>
        <w:tc>
          <w:tcPr>
            <w:tcW w:w="7683" w:type="dxa"/>
            <w:shd w:val="clear" w:color="auto" w:fill="auto"/>
          </w:tcPr>
          <w:p w14:paraId="7C77FD32" w14:textId="77777777" w:rsidR="00A01899" w:rsidRPr="00840DEE" w:rsidRDefault="0011259B" w:rsidP="00A01899">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Pilnībā apmaksāti kapitāla instrumenti</w:t>
            </w:r>
          </w:p>
          <w:p w14:paraId="223963EC" w14:textId="77777777" w:rsidR="00A01899" w:rsidRPr="00840DEE" w:rsidRDefault="00141856" w:rsidP="00A01899">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0EBB18D9" w14:textId="77777777" w:rsidR="00A01899" w:rsidRPr="00840DEE" w:rsidRDefault="00141856" w:rsidP="00972BBA">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 xml:space="preserve">Regulas (ES) </w:t>
            </w:r>
            <w:r w:rsidRPr="00840DEE">
              <w:t xml:space="preserve">Nr. </w:t>
            </w:r>
            <w:r w:rsidRPr="00840DEE">
              <w:rPr>
                <w:rStyle w:val="FormatvorlageInstructionsTabelleText"/>
                <w:rFonts w:ascii="Times New Roman" w:hAnsi="Times New Roman"/>
                <w:sz w:val="22"/>
              </w:rPr>
              <w:t>575/2013 26. panta 1. punkta a) apakšpunkts un 27. līdz 31. pants</w:t>
            </w:r>
            <w:r w:rsidRPr="00840DEE">
              <w:t>.</w:t>
            </w:r>
          </w:p>
          <w:p w14:paraId="3AB4F494" w14:textId="77777777" w:rsidR="00017B79" w:rsidRPr="00840DEE" w:rsidRDefault="00017B79" w:rsidP="00972BBA">
            <w:pPr>
              <w:pStyle w:val="InstructionsText"/>
              <w:rPr>
                <w:rStyle w:val="FormatvorlageInstructionsTabelleText"/>
                <w:rFonts w:ascii="Times New Roman" w:hAnsi="Times New Roman"/>
                <w:sz w:val="22"/>
              </w:rPr>
            </w:pPr>
          </w:p>
          <w:p w14:paraId="4B17B100" w14:textId="77777777" w:rsidR="00A01899" w:rsidRPr="00840DEE" w:rsidRDefault="00A01899" w:rsidP="00972BBA">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Ietver savstarpēju sabiedrību, kooperatīvu sabiedrību vai līdzīgu iestāžu</w:t>
            </w:r>
            <w:r w:rsidRPr="00840DEE">
              <w:t xml:space="preserve"> kapitāla</w:t>
            </w:r>
            <w:r w:rsidRPr="00840DEE">
              <w:rPr>
                <w:rStyle w:val="FormatvorlageInstructionsTabelleText"/>
                <w:rFonts w:ascii="Times New Roman" w:hAnsi="Times New Roman"/>
                <w:sz w:val="22"/>
              </w:rPr>
              <w:t xml:space="preserve"> instrumentus (Regulas (ES) Nr. 575/2013 27. un 29. pants).</w:t>
            </w:r>
          </w:p>
          <w:p w14:paraId="66EE21AB" w14:textId="77777777" w:rsidR="00A01899" w:rsidRPr="00840DEE" w:rsidRDefault="00A01899" w:rsidP="002B149A">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Neietver ar instrumentiem saistīto akciju emisijas uzcenojumu.</w:t>
            </w:r>
          </w:p>
          <w:p w14:paraId="588E80B3" w14:textId="77777777" w:rsidR="00A01899" w:rsidRPr="00840DEE" w:rsidRDefault="00A01899" w:rsidP="002B149A">
            <w:pPr>
              <w:pStyle w:val="InstructionsText"/>
            </w:pPr>
            <w:r w:rsidRPr="00840DEE">
              <w:rPr>
                <w:rStyle w:val="FormatvorlageInstructionsTabelleText"/>
                <w:rFonts w:ascii="Times New Roman" w:hAnsi="Times New Roman"/>
                <w:sz w:val="22"/>
              </w:rPr>
              <w:t>Kapitāla instrumentus, uz ko parakstījušas valsts sektora iestādes ārkārtas situācijās</w:t>
            </w:r>
            <w:r w:rsidRPr="00840DEE">
              <w:t>, ietver, ja</w:t>
            </w:r>
            <w:r w:rsidRPr="00840DEE">
              <w:rPr>
                <w:rStyle w:val="FormatvorlageInstructionsTabelleText"/>
                <w:rFonts w:ascii="Times New Roman" w:hAnsi="Times New Roman"/>
                <w:sz w:val="22"/>
              </w:rPr>
              <w:t xml:space="preserve"> ir izpildīti visi Regulas (ES) Nr. 575/2013 31. panta nosacījumi.</w:t>
            </w:r>
          </w:p>
        </w:tc>
      </w:tr>
      <w:tr w:rsidR="00A01899" w:rsidRPr="00840DEE" w14:paraId="211C19D6" w14:textId="77777777" w:rsidTr="00AF1B12">
        <w:tblPrEx>
          <w:tblLook w:val="00A0" w:firstRow="1" w:lastRow="0" w:firstColumn="1" w:lastColumn="0" w:noHBand="0" w:noVBand="0"/>
        </w:tblPrEx>
        <w:tc>
          <w:tcPr>
            <w:tcW w:w="1129" w:type="dxa"/>
            <w:shd w:val="clear" w:color="auto" w:fill="auto"/>
            <w:vAlign w:val="center"/>
          </w:tcPr>
          <w:p w14:paraId="1ACF57D0" w14:textId="77777777" w:rsidR="00A01899" w:rsidRPr="00840DEE" w:rsidRDefault="00A01899" w:rsidP="00A01899">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5.</w:t>
            </w:r>
          </w:p>
        </w:tc>
        <w:tc>
          <w:tcPr>
            <w:tcW w:w="7683" w:type="dxa"/>
            <w:shd w:val="clear" w:color="auto" w:fill="auto"/>
          </w:tcPr>
          <w:p w14:paraId="1F6878D7" w14:textId="77777777" w:rsidR="00A01899" w:rsidRPr="00840DEE" w:rsidRDefault="00A01899" w:rsidP="00A01899">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xml:space="preserve">Akciju emisijas uzcenojums </w:t>
            </w:r>
          </w:p>
          <w:p w14:paraId="05F0A561" w14:textId="77777777" w:rsidR="00141856" w:rsidRPr="00840DEE" w:rsidRDefault="00141856" w:rsidP="00141856">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7C052279" w14:textId="77777777" w:rsidR="00A01899" w:rsidRPr="00840DEE" w:rsidRDefault="00141856" w:rsidP="00A01899">
            <w:pPr>
              <w:spacing w:after="120"/>
              <w:jc w:val="both"/>
              <w:rPr>
                <w:rStyle w:val="FormatvorlageInstructionsTabelleText"/>
                <w:rFonts w:ascii="Times New Roman" w:hAnsi="Times New Roman"/>
                <w:sz w:val="22"/>
                <w:szCs w:val="22"/>
              </w:rPr>
            </w:pPr>
            <w:r w:rsidRPr="00840DEE">
              <w:rPr>
                <w:rStyle w:val="FormatvorlageInstructionsTabelleText"/>
                <w:rFonts w:ascii="Times New Roman" w:hAnsi="Times New Roman"/>
                <w:sz w:val="22"/>
                <w:szCs w:val="22"/>
              </w:rPr>
              <w:t xml:space="preserve">Regulas (ES) Nr. 575/2013 </w:t>
            </w:r>
            <w:r w:rsidRPr="00840DEE">
              <w:rPr>
                <w:rFonts w:ascii="Times New Roman" w:hAnsi="Times New Roman"/>
                <w:bCs/>
                <w:szCs w:val="22"/>
              </w:rPr>
              <w:t>26. panta</w:t>
            </w:r>
            <w:r w:rsidRPr="00840DEE">
              <w:rPr>
                <w:rStyle w:val="FormatvorlageInstructionsTabelleText"/>
                <w:rFonts w:ascii="Times New Roman" w:hAnsi="Times New Roman"/>
                <w:sz w:val="22"/>
                <w:szCs w:val="22"/>
              </w:rPr>
              <w:t xml:space="preserve">  1. punkta b) apakšpunkts.</w:t>
            </w:r>
          </w:p>
          <w:p w14:paraId="6C086A8C" w14:textId="77777777" w:rsidR="00A01899" w:rsidRPr="00840DEE" w:rsidRDefault="00A01899" w:rsidP="00972BBA">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 xml:space="preserve">Akciju emisijas uzcenojums ir uzcenojums tādā nozīmē, kā definēts piemērojamā grāmatvedības standartā. </w:t>
            </w:r>
          </w:p>
          <w:p w14:paraId="19EC80F6" w14:textId="77777777" w:rsidR="00A01899" w:rsidRPr="00840DEE" w:rsidRDefault="00A01899" w:rsidP="00A01899">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Šajā postenī atklājamā summa ir ar “Apmaksātiem kapitāla instrumentiem” saistītā daļa.</w:t>
            </w:r>
          </w:p>
        </w:tc>
      </w:tr>
      <w:tr w:rsidR="00A01899" w:rsidRPr="00840DEE" w14:paraId="47351FBF" w14:textId="77777777" w:rsidTr="00AF1B12">
        <w:tblPrEx>
          <w:tblLook w:val="00A0" w:firstRow="1" w:lastRow="0" w:firstColumn="1" w:lastColumn="0" w:noHBand="0" w:noVBand="0"/>
        </w:tblPrEx>
        <w:tc>
          <w:tcPr>
            <w:tcW w:w="1129" w:type="dxa"/>
            <w:shd w:val="clear" w:color="auto" w:fill="auto"/>
            <w:vAlign w:val="center"/>
          </w:tcPr>
          <w:p w14:paraId="4E17F09F" w14:textId="77777777" w:rsidR="00A01899" w:rsidRPr="00840DEE" w:rsidRDefault="00A01899" w:rsidP="00A01899">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6.</w:t>
            </w:r>
          </w:p>
        </w:tc>
        <w:tc>
          <w:tcPr>
            <w:tcW w:w="7683" w:type="dxa"/>
            <w:shd w:val="clear" w:color="auto" w:fill="auto"/>
          </w:tcPr>
          <w:p w14:paraId="0776E15A" w14:textId="77777777" w:rsidR="00A01899" w:rsidRPr="00840DEE" w:rsidRDefault="00A01899" w:rsidP="00A01899">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Nesadalītā peļņa</w:t>
            </w:r>
          </w:p>
          <w:p w14:paraId="76AFE826" w14:textId="77777777" w:rsidR="00141856" w:rsidRPr="00840DEE" w:rsidRDefault="00141856" w:rsidP="00141856">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5569EB52" w14:textId="77777777" w:rsidR="00141856" w:rsidRPr="00840DEE" w:rsidRDefault="00141856" w:rsidP="00141856">
            <w:pPr>
              <w:spacing w:after="120"/>
              <w:jc w:val="both"/>
              <w:rPr>
                <w:rStyle w:val="FormatvorlageInstructionsTabelleText"/>
                <w:rFonts w:ascii="Times New Roman" w:hAnsi="Times New Roman"/>
                <w:sz w:val="22"/>
                <w:szCs w:val="22"/>
              </w:rPr>
            </w:pPr>
            <w:r w:rsidRPr="00840DEE">
              <w:rPr>
                <w:rStyle w:val="FormatvorlageInstructionsTabelleText"/>
                <w:rFonts w:ascii="Times New Roman" w:hAnsi="Times New Roman"/>
                <w:sz w:val="22"/>
                <w:szCs w:val="22"/>
              </w:rPr>
              <w:t>Regulas (ES) Nr. 575/2013</w:t>
            </w:r>
            <w:r w:rsidRPr="00840DEE">
              <w:rPr>
                <w:rFonts w:ascii="Times New Roman" w:hAnsi="Times New Roman"/>
                <w:bCs/>
                <w:szCs w:val="22"/>
              </w:rPr>
              <w:t xml:space="preserve"> 26. panta 1. punkta</w:t>
            </w:r>
            <w:r w:rsidRPr="00840DEE">
              <w:rPr>
                <w:rStyle w:val="FormatvorlageInstructionsTabelleText"/>
                <w:rFonts w:ascii="Times New Roman" w:hAnsi="Times New Roman"/>
                <w:sz w:val="22"/>
                <w:szCs w:val="22"/>
              </w:rPr>
              <w:t xml:space="preserve"> c) apakšpunkts.</w:t>
            </w:r>
          </w:p>
          <w:p w14:paraId="5B7589D2" w14:textId="77777777" w:rsidR="00A01899" w:rsidRPr="00840DEE" w:rsidRDefault="00A01899" w:rsidP="00A01899">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Nesadalītā peļņa ietver iepriekšējā gada nesadalīto peļņu, kā arī atbilstošo starpposma vai gada beigu peļņu.</w:t>
            </w:r>
          </w:p>
        </w:tc>
      </w:tr>
      <w:tr w:rsidR="00A01899" w:rsidRPr="00840DEE" w14:paraId="65DCA8CB" w14:textId="77777777" w:rsidTr="00AF1B12">
        <w:tblPrEx>
          <w:tblLook w:val="00A0" w:firstRow="1" w:lastRow="0" w:firstColumn="1" w:lastColumn="0" w:noHBand="0" w:noVBand="0"/>
        </w:tblPrEx>
        <w:tc>
          <w:tcPr>
            <w:tcW w:w="1129" w:type="dxa"/>
            <w:shd w:val="clear" w:color="auto" w:fill="auto"/>
            <w:vAlign w:val="center"/>
          </w:tcPr>
          <w:p w14:paraId="5C0FAFC9" w14:textId="77777777" w:rsidR="00A01899" w:rsidRPr="00840DEE" w:rsidRDefault="00A01899" w:rsidP="00A01899">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7.</w:t>
            </w:r>
          </w:p>
        </w:tc>
        <w:tc>
          <w:tcPr>
            <w:tcW w:w="7683" w:type="dxa"/>
            <w:shd w:val="clear" w:color="auto" w:fill="auto"/>
          </w:tcPr>
          <w:p w14:paraId="60D7A435" w14:textId="77777777" w:rsidR="00A01899" w:rsidRPr="00840DEE" w:rsidRDefault="00A01899" w:rsidP="00A01899">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Uzkrātie pārējie apvienotie ienākumi</w:t>
            </w:r>
          </w:p>
          <w:p w14:paraId="4BC37E90" w14:textId="77777777" w:rsidR="00141856" w:rsidRPr="00840DEE" w:rsidRDefault="00141856" w:rsidP="00141856">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25DB3713" w14:textId="77777777" w:rsidR="00A01899" w:rsidRPr="00840DEE" w:rsidRDefault="00141856" w:rsidP="00A01899">
            <w:pPr>
              <w:spacing w:after="120"/>
              <w:jc w:val="both"/>
              <w:rPr>
                <w:rFonts w:ascii="Times New Roman" w:hAnsi="Times New Roman" w:cs="Times New Roman"/>
                <w:bCs/>
                <w:szCs w:val="22"/>
              </w:rPr>
            </w:pPr>
            <w:r w:rsidRPr="00840DEE">
              <w:rPr>
                <w:rStyle w:val="FormatvorlageInstructionsTabelleText"/>
                <w:rFonts w:ascii="Times New Roman" w:hAnsi="Times New Roman"/>
                <w:sz w:val="22"/>
                <w:szCs w:val="22"/>
              </w:rPr>
              <w:t xml:space="preserve">Regulas (ES) Nr. 575/2013 </w:t>
            </w:r>
            <w:r w:rsidRPr="00840DEE">
              <w:rPr>
                <w:rFonts w:ascii="Times New Roman" w:hAnsi="Times New Roman"/>
                <w:bCs/>
                <w:szCs w:val="22"/>
              </w:rPr>
              <w:t>26. panta</w:t>
            </w:r>
            <w:r w:rsidRPr="00840DEE">
              <w:rPr>
                <w:rStyle w:val="FormatvorlageInstructionsTabelleText"/>
                <w:rFonts w:ascii="Times New Roman" w:hAnsi="Times New Roman"/>
                <w:sz w:val="22"/>
                <w:szCs w:val="22"/>
              </w:rPr>
              <w:t xml:space="preserve">  1. punkta d) apakšpunkts.</w:t>
            </w:r>
          </w:p>
        </w:tc>
      </w:tr>
      <w:tr w:rsidR="00A01899" w:rsidRPr="00840DEE" w14:paraId="5BE9B57A" w14:textId="77777777" w:rsidTr="00AF1B12">
        <w:tblPrEx>
          <w:tblLook w:val="00A0" w:firstRow="1" w:lastRow="0" w:firstColumn="1" w:lastColumn="0" w:noHBand="0" w:noVBand="0"/>
        </w:tblPrEx>
        <w:tc>
          <w:tcPr>
            <w:tcW w:w="1129" w:type="dxa"/>
            <w:shd w:val="clear" w:color="auto" w:fill="auto"/>
            <w:vAlign w:val="center"/>
          </w:tcPr>
          <w:p w14:paraId="5D446C3B" w14:textId="77777777" w:rsidR="00A01899" w:rsidRPr="00840DEE" w:rsidRDefault="00A01899" w:rsidP="00A01899">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8.</w:t>
            </w:r>
          </w:p>
        </w:tc>
        <w:tc>
          <w:tcPr>
            <w:tcW w:w="7683" w:type="dxa"/>
            <w:tcBorders>
              <w:bottom w:val="single" w:sz="4" w:space="0" w:color="auto"/>
            </w:tcBorders>
            <w:shd w:val="clear" w:color="auto" w:fill="auto"/>
          </w:tcPr>
          <w:p w14:paraId="24F8F046" w14:textId="77777777" w:rsidR="00A01899" w:rsidRPr="00840DEE" w:rsidRDefault="00A01899" w:rsidP="00A01899">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Citas rezerves</w:t>
            </w:r>
          </w:p>
          <w:p w14:paraId="7D2662ED" w14:textId="77777777" w:rsidR="00141856" w:rsidRPr="00840DEE" w:rsidRDefault="00141856" w:rsidP="00141856">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44AE1276" w14:textId="77777777" w:rsidR="00A01899" w:rsidRPr="00840DEE" w:rsidRDefault="00A01899" w:rsidP="00A01899">
            <w:pPr>
              <w:spacing w:after="120"/>
              <w:jc w:val="both"/>
              <w:rPr>
                <w:rStyle w:val="FormatvorlageInstructionsTabelleText"/>
                <w:rFonts w:ascii="Times New Roman" w:hAnsi="Times New Roman"/>
                <w:sz w:val="22"/>
                <w:szCs w:val="22"/>
              </w:rPr>
            </w:pPr>
            <w:r w:rsidRPr="00840DEE">
              <w:rPr>
                <w:rStyle w:val="FormatvorlageInstructionsTabelleText"/>
                <w:rFonts w:ascii="Times New Roman" w:hAnsi="Times New Roman"/>
                <w:sz w:val="22"/>
                <w:szCs w:val="22"/>
              </w:rPr>
              <w:t>Regulas (ES) Nr. 575/2013 4. panta 1. punkta</w:t>
            </w:r>
            <w:r w:rsidRPr="00840DEE">
              <w:rPr>
                <w:rFonts w:ascii="Times New Roman" w:hAnsi="Times New Roman"/>
                <w:bCs/>
                <w:szCs w:val="22"/>
              </w:rPr>
              <w:t xml:space="preserve"> 117) apakšpunkts un</w:t>
            </w:r>
            <w:r w:rsidRPr="00840DEE">
              <w:rPr>
                <w:rStyle w:val="FormatvorlageInstructionsTabelleText"/>
                <w:rFonts w:ascii="Times New Roman" w:hAnsi="Times New Roman"/>
                <w:sz w:val="22"/>
                <w:szCs w:val="22"/>
              </w:rPr>
              <w:t>26. panta 1. punkta e) apakšpunkts.</w:t>
            </w:r>
            <w:r w:rsidRPr="00840DEE">
              <w:rPr>
                <w:rFonts w:ascii="Times New Roman" w:hAnsi="Times New Roman"/>
                <w:szCs w:val="22"/>
              </w:rPr>
              <w:t xml:space="preserve"> </w:t>
            </w:r>
          </w:p>
          <w:p w14:paraId="65071627" w14:textId="77777777" w:rsidR="00A01899" w:rsidRPr="00840DEE" w:rsidRDefault="00A01899" w:rsidP="00A01899">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Atklājamā summā neietver jebkādus nodokļus, kuri paredzami aprēķināšanas laikā.</w:t>
            </w:r>
          </w:p>
        </w:tc>
      </w:tr>
      <w:tr w:rsidR="00A01899" w:rsidRPr="00840DEE" w14:paraId="450B3844" w14:textId="77777777" w:rsidTr="00AF1B12">
        <w:tblPrEx>
          <w:tblLook w:val="00A0" w:firstRow="1" w:lastRow="0" w:firstColumn="1" w:lastColumn="0" w:noHBand="0" w:noVBand="0"/>
        </w:tblPrEx>
        <w:tc>
          <w:tcPr>
            <w:tcW w:w="1129" w:type="dxa"/>
            <w:shd w:val="clear" w:color="auto" w:fill="auto"/>
            <w:vAlign w:val="center"/>
          </w:tcPr>
          <w:p w14:paraId="2FE3E4F5" w14:textId="77777777" w:rsidR="00A01899" w:rsidRPr="00840DEE" w:rsidRDefault="00A01899" w:rsidP="00A01899">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9.</w:t>
            </w:r>
          </w:p>
        </w:tc>
        <w:tc>
          <w:tcPr>
            <w:tcW w:w="7683" w:type="dxa"/>
            <w:shd w:val="clear" w:color="auto" w:fill="auto"/>
          </w:tcPr>
          <w:p w14:paraId="54D36A76" w14:textId="77777777" w:rsidR="00A01899" w:rsidRPr="00840DEE" w:rsidRDefault="00A01899" w:rsidP="00A01899">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Mazākuma līdzdalības daļas, kas atzītas pirmā līmeņa pamata kapitālā</w:t>
            </w:r>
          </w:p>
          <w:p w14:paraId="4DA81A71" w14:textId="77777777" w:rsidR="00A01899" w:rsidRPr="00840DEE" w:rsidRDefault="00A01899" w:rsidP="00A01899">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Visu mazākuma līdzdalības daļu meitasuzņēmumos summa, kas ietverta konsolidētajā pirmā līmeņa pamata kapitālā.</w:t>
            </w:r>
          </w:p>
        </w:tc>
      </w:tr>
      <w:tr w:rsidR="0011259B" w:rsidRPr="00840DEE" w14:paraId="0CFDC45C" w14:textId="77777777" w:rsidTr="00AF1B12">
        <w:tblPrEx>
          <w:tblLook w:val="00A0" w:firstRow="1" w:lastRow="0" w:firstColumn="1" w:lastColumn="0" w:noHBand="0" w:noVBand="0"/>
        </w:tblPrEx>
        <w:tc>
          <w:tcPr>
            <w:tcW w:w="1129" w:type="dxa"/>
            <w:shd w:val="clear" w:color="auto" w:fill="auto"/>
            <w:vAlign w:val="center"/>
          </w:tcPr>
          <w:p w14:paraId="5A7A7306" w14:textId="77777777" w:rsidR="0011259B" w:rsidRPr="00840DEE" w:rsidRDefault="0011259B" w:rsidP="00A01899">
            <w:pPr>
              <w:spacing w:after="120"/>
              <w:jc w:val="both"/>
              <w:rPr>
                <w:rFonts w:ascii="Times New Roman" w:hAnsi="Times New Roman" w:cs="Times New Roman"/>
                <w:color w:val="000000"/>
                <w:szCs w:val="22"/>
              </w:rPr>
            </w:pPr>
            <w:r w:rsidRPr="00840DEE">
              <w:rPr>
                <w:rFonts w:ascii="Times New Roman" w:hAnsi="Times New Roman"/>
                <w:color w:val="000000"/>
                <w:szCs w:val="22"/>
              </w:rPr>
              <w:t>10.</w:t>
            </w:r>
          </w:p>
        </w:tc>
        <w:tc>
          <w:tcPr>
            <w:tcW w:w="7683" w:type="dxa"/>
            <w:shd w:val="clear" w:color="auto" w:fill="auto"/>
          </w:tcPr>
          <w:p w14:paraId="269BA3B8" w14:textId="77777777" w:rsidR="0011259B" w:rsidRPr="00840DEE" w:rsidRDefault="0011259B" w:rsidP="0011259B">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Pirmā līmeņa pamata kapitāla korekcijas saistībā ar prudenciālajiem filtriem</w:t>
            </w:r>
          </w:p>
          <w:p w14:paraId="3BE48AF5" w14:textId="77777777" w:rsidR="0011259B" w:rsidRPr="00840DEE" w:rsidRDefault="0011259B" w:rsidP="0011259B">
            <w:pPr>
              <w:spacing w:after="120"/>
              <w:jc w:val="both"/>
              <w:rPr>
                <w:rStyle w:val="FormatvorlageInstructionsTabelleText"/>
                <w:rFonts w:ascii="Times New Roman" w:hAnsi="Times New Roman"/>
                <w:sz w:val="22"/>
                <w:szCs w:val="22"/>
              </w:rPr>
            </w:pPr>
            <w:r w:rsidRPr="00840DEE">
              <w:rPr>
                <w:rStyle w:val="FormatvorlageInstructionsTabelleText"/>
                <w:rFonts w:ascii="Times New Roman" w:hAnsi="Times New Roman"/>
                <w:sz w:val="22"/>
                <w:szCs w:val="22"/>
              </w:rPr>
              <w:t>Regulas (ES) 2019/2033</w:t>
            </w:r>
            <w:r w:rsidRPr="00840DEE">
              <w:rPr>
                <w:rFonts w:ascii="Times New Roman" w:hAnsi="Times New Roman"/>
                <w:bCs/>
                <w:szCs w:val="22"/>
              </w:rPr>
              <w:t xml:space="preserve"> 9. panta 1. punkta</w:t>
            </w:r>
            <w:r w:rsidRPr="00840DEE">
              <w:rPr>
                <w:rStyle w:val="FormatvorlageInstructionsTabelleText"/>
                <w:rFonts w:ascii="Times New Roman" w:hAnsi="Times New Roman"/>
                <w:sz w:val="22"/>
                <w:szCs w:val="22"/>
              </w:rPr>
              <w:t xml:space="preserve"> i) apakšpunkts.</w:t>
            </w:r>
          </w:p>
          <w:p w14:paraId="49B3ACEC" w14:textId="77777777" w:rsidR="0011259B" w:rsidRPr="00840DEE" w:rsidRDefault="0011259B" w:rsidP="0011259B">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Regulas (ES) Nr. 575/2013</w:t>
            </w:r>
            <w:r w:rsidRPr="00840DEE">
              <w:rPr>
                <w:rFonts w:ascii="Times New Roman" w:hAnsi="Times New Roman"/>
                <w:bCs/>
                <w:szCs w:val="22"/>
              </w:rPr>
              <w:t xml:space="preserve"> 32. līdz</w:t>
            </w:r>
            <w:r w:rsidRPr="00840DEE">
              <w:rPr>
                <w:rStyle w:val="FormatvorlageInstructionsTabelleText"/>
                <w:rFonts w:ascii="Times New Roman" w:hAnsi="Times New Roman"/>
                <w:sz w:val="22"/>
                <w:szCs w:val="22"/>
              </w:rPr>
              <w:t xml:space="preserve"> 35. pants.</w:t>
            </w:r>
          </w:p>
        </w:tc>
      </w:tr>
      <w:tr w:rsidR="00825F5D" w:rsidRPr="00840DEE" w14:paraId="1F53613D" w14:textId="77777777" w:rsidTr="00AF1B12">
        <w:tblPrEx>
          <w:tblLook w:val="00A0" w:firstRow="1" w:lastRow="0" w:firstColumn="1" w:lastColumn="0" w:noHBand="0" w:noVBand="0"/>
        </w:tblPrEx>
        <w:tc>
          <w:tcPr>
            <w:tcW w:w="1129" w:type="dxa"/>
            <w:shd w:val="clear" w:color="auto" w:fill="auto"/>
            <w:vAlign w:val="center"/>
          </w:tcPr>
          <w:p w14:paraId="7E62C31A" w14:textId="77777777" w:rsidR="00825F5D" w:rsidRPr="00840DEE" w:rsidRDefault="00825F5D" w:rsidP="00A01899">
            <w:pPr>
              <w:spacing w:after="120"/>
              <w:jc w:val="both"/>
              <w:rPr>
                <w:rFonts w:ascii="Times New Roman" w:hAnsi="Times New Roman" w:cs="Times New Roman"/>
                <w:color w:val="000000"/>
                <w:szCs w:val="22"/>
              </w:rPr>
            </w:pPr>
            <w:r w:rsidRPr="00840DEE">
              <w:rPr>
                <w:rFonts w:ascii="Times New Roman" w:hAnsi="Times New Roman"/>
                <w:color w:val="000000"/>
                <w:szCs w:val="22"/>
              </w:rPr>
              <w:t>11.</w:t>
            </w:r>
          </w:p>
        </w:tc>
        <w:tc>
          <w:tcPr>
            <w:tcW w:w="7683" w:type="dxa"/>
            <w:shd w:val="clear" w:color="auto" w:fill="auto"/>
          </w:tcPr>
          <w:p w14:paraId="2DE3B9CD"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Citi līdzekļi</w:t>
            </w:r>
          </w:p>
          <w:p w14:paraId="145BC2F8"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Cs/>
              </w:rPr>
              <w:t>Regulas (ES) 2019/2033 9. panta 4. punkts.</w:t>
            </w:r>
          </w:p>
        </w:tc>
      </w:tr>
      <w:tr w:rsidR="00A01899" w:rsidRPr="00840DEE" w14:paraId="7DE7117D" w14:textId="77777777" w:rsidTr="00AF1B12">
        <w:tblPrEx>
          <w:tblLook w:val="00A0" w:firstRow="1" w:lastRow="0" w:firstColumn="1" w:lastColumn="0" w:noHBand="0" w:noVBand="0"/>
        </w:tblPrEx>
        <w:tc>
          <w:tcPr>
            <w:tcW w:w="1129" w:type="dxa"/>
            <w:shd w:val="clear" w:color="auto" w:fill="auto"/>
            <w:vAlign w:val="center"/>
          </w:tcPr>
          <w:p w14:paraId="5CC61D07" w14:textId="77777777" w:rsidR="00A01899" w:rsidRPr="00840DEE" w:rsidRDefault="00A01899" w:rsidP="00A01899">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lastRenderedPageBreak/>
              <w:t>12.</w:t>
            </w:r>
          </w:p>
        </w:tc>
        <w:tc>
          <w:tcPr>
            <w:tcW w:w="7683" w:type="dxa"/>
            <w:shd w:val="clear" w:color="auto" w:fill="auto"/>
          </w:tcPr>
          <w:p w14:paraId="37547467" w14:textId="77777777" w:rsidR="00A01899" w:rsidRPr="00840DEE" w:rsidRDefault="00A01899" w:rsidP="00A01899">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KOPĒJIE ATSKAITĪJUMI NO PIRMĀ LĪMEŅA PAMATA KAPITĀLA</w:t>
            </w:r>
          </w:p>
          <w:p w14:paraId="3E026B9C" w14:textId="77777777" w:rsidR="00A01899" w:rsidRPr="00840DEE" w:rsidRDefault="00A01899" w:rsidP="00F94AE9">
            <w:pPr>
              <w:spacing w:after="120"/>
              <w:jc w:val="both"/>
              <w:rPr>
                <w:rFonts w:ascii="Times New Roman" w:eastAsia="Times New Roman" w:hAnsi="Times New Roman" w:cs="Times New Roman"/>
                <w:bCs/>
                <w:szCs w:val="22"/>
              </w:rPr>
            </w:pPr>
            <w:r w:rsidRPr="00840DEE">
              <w:rPr>
                <w:rFonts w:ascii="Times New Roman" w:hAnsi="Times New Roman"/>
                <w:bCs/>
                <w:szCs w:val="22"/>
              </w:rPr>
              <w:t>Atklāj 13. rindas un 17. līdz 26. rindas kopsummu.</w:t>
            </w:r>
          </w:p>
        </w:tc>
      </w:tr>
      <w:tr w:rsidR="00A01899" w:rsidRPr="00840DEE" w14:paraId="21B6EB8C" w14:textId="77777777" w:rsidTr="00AF1B12">
        <w:tblPrEx>
          <w:tblLook w:val="00A0" w:firstRow="1" w:lastRow="0" w:firstColumn="1" w:lastColumn="0" w:noHBand="0" w:noVBand="0"/>
        </w:tblPrEx>
        <w:tc>
          <w:tcPr>
            <w:tcW w:w="1129" w:type="dxa"/>
            <w:shd w:val="clear" w:color="auto" w:fill="auto"/>
            <w:vAlign w:val="center"/>
          </w:tcPr>
          <w:p w14:paraId="2496F61A" w14:textId="77777777" w:rsidR="00A01899" w:rsidRPr="00840DEE" w:rsidRDefault="00A01899" w:rsidP="00A01899">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13.</w:t>
            </w:r>
          </w:p>
        </w:tc>
        <w:tc>
          <w:tcPr>
            <w:tcW w:w="7683" w:type="dxa"/>
            <w:shd w:val="clear" w:color="auto" w:fill="auto"/>
          </w:tcPr>
          <w:p w14:paraId="4E6C0981" w14:textId="77777777" w:rsidR="00A01899" w:rsidRPr="00840DEE" w:rsidRDefault="00A01899" w:rsidP="00A01899">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Pašu pirmā līmeņa pamata kapitāla instrumenti</w:t>
            </w:r>
          </w:p>
          <w:p w14:paraId="21B56D56" w14:textId="77777777" w:rsidR="00A01899" w:rsidRPr="00840DEE" w:rsidRDefault="00A23527" w:rsidP="00A01899">
            <w:pPr>
              <w:spacing w:after="120"/>
              <w:jc w:val="both"/>
              <w:rPr>
                <w:rFonts w:ascii="Times New Roman" w:eastAsia="Times New Roman" w:hAnsi="Times New Roman" w:cs="Times New Roman"/>
                <w:bCs/>
                <w:szCs w:val="22"/>
              </w:rPr>
            </w:pPr>
            <w:r w:rsidRPr="00840DEE">
              <w:rPr>
                <w:rFonts w:ascii="Times New Roman" w:hAnsi="Times New Roman"/>
                <w:bCs/>
              </w:rPr>
              <w:t>Regulas (ES) 2019/2033 9. panta 1. punkta i) apakšpunkts.</w:t>
            </w:r>
          </w:p>
          <w:p w14:paraId="48303D0E" w14:textId="77777777" w:rsidR="00A01899" w:rsidRPr="00840DEE" w:rsidRDefault="00A01899" w:rsidP="00972BBA">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Regulas (ES) Nr. 575/2013</w:t>
            </w:r>
            <w:r w:rsidRPr="00840DEE">
              <w:t xml:space="preserve"> </w:t>
            </w:r>
            <w:r w:rsidRPr="00840DEE">
              <w:rPr>
                <w:rStyle w:val="FormatvorlageInstructionsTabelleText"/>
                <w:rFonts w:ascii="Times New Roman" w:hAnsi="Times New Roman"/>
                <w:sz w:val="22"/>
              </w:rPr>
              <w:t>36. panta 1. punkta f) apakšpunkts un 42. pants.</w:t>
            </w:r>
          </w:p>
          <w:p w14:paraId="7DA3207E" w14:textId="77777777" w:rsidR="00A01899" w:rsidRPr="00840DEE" w:rsidRDefault="00A01899" w:rsidP="00972BBA">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Pašu pirmā līmeņa pamata kapitāla instrumenti, ko pārskata sniegšanas datumā tur pārskata sniedzēja iestāde vai grupa. Piemērojami Regulas (ES)</w:t>
            </w:r>
            <w:r w:rsidRPr="00840DEE">
              <w:t xml:space="preserve"> </w:t>
            </w:r>
            <w:r w:rsidRPr="00840DEE">
              <w:rPr>
                <w:rStyle w:val="FormatvorlageInstructionsTabelleText"/>
                <w:rFonts w:ascii="Times New Roman" w:hAnsi="Times New Roman"/>
                <w:sz w:val="22"/>
              </w:rPr>
              <w:t>Nr. 575/2013 42. panta izņēmumi.</w:t>
            </w:r>
          </w:p>
          <w:p w14:paraId="76227CE1" w14:textId="77777777" w:rsidR="00A01899" w:rsidRPr="00840DEE" w:rsidRDefault="00A01899" w:rsidP="002B149A">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Šajā rindā neatklāj tādas līdzdalības akcijās, kas iekļautas kā “Neatbilstoši kapitāla instrumenti”.</w:t>
            </w:r>
          </w:p>
          <w:p w14:paraId="241DAE5D" w14:textId="77777777" w:rsidR="00A01899" w:rsidRPr="00840DEE" w:rsidRDefault="00A01899" w:rsidP="003C6848">
            <w:pPr>
              <w:pStyle w:val="InstructionsText"/>
            </w:pPr>
            <w:r w:rsidRPr="00840DEE">
              <w:rPr>
                <w:rStyle w:val="FormatvorlageInstructionsTabelleText"/>
                <w:rFonts w:ascii="Times New Roman" w:hAnsi="Times New Roman"/>
                <w:sz w:val="22"/>
              </w:rPr>
              <w:t>Atklājamā summa ietver akciju emisijas uzcenojumu, kas saistīts ar pašu akcijām.</w:t>
            </w:r>
          </w:p>
        </w:tc>
      </w:tr>
      <w:tr w:rsidR="00825F5D" w:rsidRPr="00840DEE" w14:paraId="02E01EC0" w14:textId="77777777" w:rsidTr="00AF1B12">
        <w:tblPrEx>
          <w:tblLook w:val="00A0" w:firstRow="1" w:lastRow="0" w:firstColumn="1" w:lastColumn="0" w:noHBand="0" w:noVBand="0"/>
        </w:tblPrEx>
        <w:tc>
          <w:tcPr>
            <w:tcW w:w="1129" w:type="dxa"/>
            <w:shd w:val="clear" w:color="auto" w:fill="auto"/>
            <w:vAlign w:val="center"/>
          </w:tcPr>
          <w:p w14:paraId="01771176"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14.</w:t>
            </w:r>
          </w:p>
        </w:tc>
        <w:tc>
          <w:tcPr>
            <w:tcW w:w="7683" w:type="dxa"/>
            <w:shd w:val="clear" w:color="auto" w:fill="auto"/>
          </w:tcPr>
          <w:p w14:paraId="4FE586CD"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Tiešas līdzdalības pirmā līmeņa pamata kapitāla instrumentos</w:t>
            </w:r>
          </w:p>
          <w:p w14:paraId="33714363" w14:textId="77777777" w:rsidR="00447D81" w:rsidRPr="00840DEE" w:rsidRDefault="00447D81" w:rsidP="00447D81">
            <w:pPr>
              <w:spacing w:after="120"/>
              <w:jc w:val="both"/>
              <w:rPr>
                <w:rFonts w:ascii="Times New Roman" w:eastAsia="Times New Roman" w:hAnsi="Times New Roman" w:cs="Times New Roman"/>
                <w:bCs/>
                <w:szCs w:val="22"/>
              </w:rPr>
            </w:pPr>
            <w:r w:rsidRPr="00840DEE">
              <w:rPr>
                <w:rFonts w:ascii="Times New Roman" w:hAnsi="Times New Roman"/>
                <w:bCs/>
              </w:rPr>
              <w:t>Regulas (ES) 2019/2033 9. panta 1. punkta i) apakšpunkts.</w:t>
            </w:r>
          </w:p>
          <w:p w14:paraId="1B32F4E6" w14:textId="77777777" w:rsidR="00447D81" w:rsidRPr="00840DEE" w:rsidRDefault="00447D81" w:rsidP="00447D81">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Regulas (ES) Nr. 575/2013</w:t>
            </w:r>
            <w:r w:rsidRPr="00840DEE">
              <w:t xml:space="preserve"> </w:t>
            </w:r>
            <w:r w:rsidRPr="00840DEE">
              <w:rPr>
                <w:rStyle w:val="FormatvorlageInstructionsTabelleText"/>
                <w:rFonts w:ascii="Times New Roman" w:hAnsi="Times New Roman"/>
                <w:sz w:val="22"/>
              </w:rPr>
              <w:t>36. panta 1. punkta f) apakšpunkts un 42. pants.</w:t>
            </w:r>
          </w:p>
          <w:p w14:paraId="0CE9DD6C" w14:textId="77777777" w:rsidR="00825F5D" w:rsidRPr="00840DEE" w:rsidRDefault="00825F5D" w:rsidP="009C422F">
            <w:pPr>
              <w:pStyle w:val="InstructionsText"/>
            </w:pPr>
            <w:r w:rsidRPr="00840DEE">
              <w:rPr>
                <w:rStyle w:val="FormatvorlageInstructionsTabelleText"/>
                <w:rFonts w:ascii="Times New Roman" w:hAnsi="Times New Roman"/>
                <w:sz w:val="22"/>
              </w:rPr>
              <w:t xml:space="preserve">Ieguldījumu brokeru sabiedrības turēti pirmā līmeņa pamata kapitāla instrumenti. </w:t>
            </w:r>
          </w:p>
        </w:tc>
      </w:tr>
      <w:tr w:rsidR="00825F5D" w:rsidRPr="00840DEE" w14:paraId="1F93D0C1" w14:textId="77777777" w:rsidTr="00AF1B12">
        <w:tblPrEx>
          <w:tblLook w:val="00A0" w:firstRow="1" w:lastRow="0" w:firstColumn="1" w:lastColumn="0" w:noHBand="0" w:noVBand="0"/>
        </w:tblPrEx>
        <w:tc>
          <w:tcPr>
            <w:tcW w:w="1129" w:type="dxa"/>
            <w:shd w:val="clear" w:color="auto" w:fill="auto"/>
            <w:vAlign w:val="center"/>
          </w:tcPr>
          <w:p w14:paraId="6B086D29"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15.</w:t>
            </w:r>
          </w:p>
        </w:tc>
        <w:tc>
          <w:tcPr>
            <w:tcW w:w="7683" w:type="dxa"/>
            <w:shd w:val="clear" w:color="auto" w:fill="auto"/>
          </w:tcPr>
          <w:p w14:paraId="3D50ADB1"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Netiešas līdzdalības pirmā līmeņa pamata kapitāla instrumentos</w:t>
            </w:r>
          </w:p>
          <w:p w14:paraId="5B242A27" w14:textId="77777777" w:rsidR="00447D81" w:rsidRPr="00840DEE" w:rsidRDefault="00447D81" w:rsidP="00447D81">
            <w:pPr>
              <w:spacing w:after="120"/>
              <w:jc w:val="both"/>
              <w:rPr>
                <w:rFonts w:ascii="Times New Roman" w:eastAsia="Times New Roman" w:hAnsi="Times New Roman" w:cs="Times New Roman"/>
                <w:bCs/>
                <w:szCs w:val="22"/>
              </w:rPr>
            </w:pPr>
            <w:r w:rsidRPr="00840DEE">
              <w:rPr>
                <w:rFonts w:ascii="Times New Roman" w:hAnsi="Times New Roman"/>
                <w:bCs/>
              </w:rPr>
              <w:t>Regulas (ES) 2019/2033 9. panta 1. punkta i) apakšpunkts.</w:t>
            </w:r>
          </w:p>
          <w:p w14:paraId="1572059E" w14:textId="77777777" w:rsidR="00447D81" w:rsidRPr="00840DEE" w:rsidRDefault="00447D81" w:rsidP="00447D81">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Regulas (ES) Nr. 575/2013</w:t>
            </w:r>
            <w:r w:rsidRPr="00840DEE">
              <w:t xml:space="preserve"> </w:t>
            </w:r>
            <w:r w:rsidRPr="00840DEE">
              <w:rPr>
                <w:rStyle w:val="FormatvorlageInstructionsTabelleText"/>
                <w:rFonts w:ascii="Times New Roman" w:hAnsi="Times New Roman"/>
                <w:sz w:val="22"/>
              </w:rPr>
              <w:t>36. panta 1. punkta f) apakšpunkts un 42. pants.</w:t>
            </w:r>
          </w:p>
          <w:p w14:paraId="524E4402" w14:textId="77777777" w:rsidR="00825F5D" w:rsidRPr="00840DEE" w:rsidRDefault="00825F5D" w:rsidP="003C6848">
            <w:pPr>
              <w:pStyle w:val="InstructionsText"/>
            </w:pPr>
            <w:r w:rsidRPr="00840DEE">
              <w:rPr>
                <w:rStyle w:val="FormatvorlageInstructionsTabelleText"/>
                <w:rFonts w:ascii="Times New Roman" w:hAnsi="Times New Roman"/>
                <w:sz w:val="22"/>
              </w:rPr>
              <w:t>Ieguldījumu brokeru sabiedrības turēti pirmā līmeņa pamata kapitāla instrumenti.</w:t>
            </w:r>
          </w:p>
        </w:tc>
      </w:tr>
      <w:tr w:rsidR="00825F5D" w:rsidRPr="00840DEE" w14:paraId="00F98C81" w14:textId="77777777" w:rsidTr="00AF1B12">
        <w:tblPrEx>
          <w:tblLook w:val="00A0" w:firstRow="1" w:lastRow="0" w:firstColumn="1" w:lastColumn="0" w:noHBand="0" w:noVBand="0"/>
        </w:tblPrEx>
        <w:tc>
          <w:tcPr>
            <w:tcW w:w="1129" w:type="dxa"/>
            <w:shd w:val="clear" w:color="auto" w:fill="auto"/>
            <w:vAlign w:val="center"/>
          </w:tcPr>
          <w:p w14:paraId="04BC2F4B"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26F060B"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Sintētiskas līdzdalības pirmā līmeņa pamata kapitāla instrumentos</w:t>
            </w:r>
          </w:p>
          <w:p w14:paraId="3847BDDF" w14:textId="77777777" w:rsidR="00447D81" w:rsidRPr="00840DEE" w:rsidRDefault="00447D81" w:rsidP="00447D81">
            <w:pPr>
              <w:spacing w:after="120"/>
              <w:jc w:val="both"/>
              <w:rPr>
                <w:rFonts w:ascii="Times New Roman" w:eastAsia="Times New Roman" w:hAnsi="Times New Roman" w:cs="Times New Roman"/>
                <w:bCs/>
                <w:szCs w:val="22"/>
              </w:rPr>
            </w:pPr>
            <w:r w:rsidRPr="00840DEE">
              <w:rPr>
                <w:rFonts w:ascii="Times New Roman" w:hAnsi="Times New Roman"/>
                <w:bCs/>
              </w:rPr>
              <w:t>Regulas (ES) 2019/2033 9. panta 1. punkta i) apakšpunkts.</w:t>
            </w:r>
          </w:p>
          <w:p w14:paraId="334BE0BD" w14:textId="77777777" w:rsidR="00825F5D" w:rsidRPr="00840DEE" w:rsidRDefault="00825F5D" w:rsidP="00145EA8">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Regulas (ES) Nr. 575/2013</w:t>
            </w:r>
            <w:r w:rsidRPr="00840DEE">
              <w:rPr>
                <w:rFonts w:ascii="Times New Roman" w:hAnsi="Times New Roman"/>
                <w:bCs/>
              </w:rPr>
              <w:t xml:space="preserve"> 4. panta 1. punkta</w:t>
            </w:r>
            <w:r w:rsidRPr="00840DEE">
              <w:rPr>
                <w:rStyle w:val="FormatvorlageInstructionsTabelleText"/>
                <w:rFonts w:ascii="Times New Roman" w:hAnsi="Times New Roman"/>
                <w:sz w:val="22"/>
                <w:szCs w:val="22"/>
              </w:rPr>
              <w:t xml:space="preserve"> 114) apakšpunkts un 36. panta 1. punkta f) apakšpunkts un 42. pants.</w:t>
            </w:r>
            <w:r w:rsidRPr="00840DEE">
              <w:rPr>
                <w:rFonts w:ascii="Times New Roman" w:hAnsi="Times New Roman"/>
              </w:rPr>
              <w:t xml:space="preserve"> </w:t>
            </w:r>
          </w:p>
        </w:tc>
      </w:tr>
      <w:tr w:rsidR="00825F5D" w:rsidRPr="00840DEE" w14:paraId="2550A858"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008FDC2D"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29FE5D60"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Kārtējā finanšu gada zaudējumi</w:t>
            </w:r>
          </w:p>
          <w:p w14:paraId="1E51059A"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Nr. 575/2013</w:t>
            </w:r>
            <w:r w:rsidRPr="00840DEE">
              <w:rPr>
                <w:rFonts w:ascii="Times New Roman" w:hAnsi="Times New Roman"/>
                <w:bCs/>
              </w:rPr>
              <w:t xml:space="preserve"> </w:t>
            </w:r>
            <w:r w:rsidRPr="00840DEE">
              <w:rPr>
                <w:rFonts w:ascii="Times New Roman" w:hAnsi="Times New Roman"/>
                <w:bCs/>
                <w:szCs w:val="22"/>
              </w:rPr>
              <w:t>36. panta 1. punkta a) apakšpunkts.</w:t>
            </w:r>
          </w:p>
        </w:tc>
      </w:tr>
      <w:tr w:rsidR="00825F5D" w:rsidRPr="00840DEE" w14:paraId="3732F61C"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22570D6D"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18.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0AADB71"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xml:space="preserve">(-) Nemateriālā vērtība </w:t>
            </w:r>
          </w:p>
          <w:p w14:paraId="35B128CC" w14:textId="77777777" w:rsidR="00447D81" w:rsidRPr="00840DEE" w:rsidRDefault="00447D81" w:rsidP="00447D81">
            <w:pPr>
              <w:spacing w:after="120"/>
              <w:jc w:val="both"/>
              <w:rPr>
                <w:rFonts w:ascii="Times New Roman" w:eastAsia="Times New Roman" w:hAnsi="Times New Roman" w:cs="Times New Roman"/>
                <w:bCs/>
                <w:szCs w:val="22"/>
              </w:rPr>
            </w:pPr>
            <w:r w:rsidRPr="00840DEE">
              <w:rPr>
                <w:rFonts w:ascii="Times New Roman" w:hAnsi="Times New Roman"/>
                <w:bCs/>
              </w:rPr>
              <w:t>Regulas (ES) 2019/2033 9. panta 1. punkta i) apakšpunkts.</w:t>
            </w:r>
          </w:p>
          <w:p w14:paraId="6876F8C8" w14:textId="77777777" w:rsidR="00825F5D" w:rsidRPr="00840DEE" w:rsidRDefault="00447D81" w:rsidP="00145EA8">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Regulas (ES) Nr. 575/2013</w:t>
            </w:r>
            <w:r w:rsidRPr="00840DEE">
              <w:rPr>
                <w:rFonts w:ascii="Times New Roman" w:hAnsi="Times New Roman"/>
                <w:bCs/>
              </w:rPr>
              <w:t xml:space="preserve"> 4. panta 1. punkta</w:t>
            </w:r>
            <w:r w:rsidRPr="00840DEE">
              <w:rPr>
                <w:rStyle w:val="FormatvorlageInstructionsTabelleText"/>
                <w:rFonts w:ascii="Times New Roman" w:hAnsi="Times New Roman"/>
                <w:sz w:val="22"/>
                <w:szCs w:val="22"/>
              </w:rPr>
              <w:t xml:space="preserve"> 113) apakšpunkts un 36. panta 1. punkta b) apakšpunkts un 37. pants.</w:t>
            </w:r>
          </w:p>
        </w:tc>
      </w:tr>
      <w:tr w:rsidR="00825F5D" w:rsidRPr="00840DEE" w14:paraId="6A27C059"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391867C4"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19.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8518AA3"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Citi nemateriālie aktīvi</w:t>
            </w:r>
          </w:p>
          <w:p w14:paraId="6B409782" w14:textId="77777777" w:rsidR="00825F5D" w:rsidRPr="00840DEE" w:rsidRDefault="00447D81" w:rsidP="00825F5D">
            <w:pPr>
              <w:spacing w:after="120"/>
              <w:jc w:val="both"/>
              <w:rPr>
                <w:rFonts w:ascii="Times New Roman" w:eastAsia="Times New Roman" w:hAnsi="Times New Roman" w:cs="Times New Roman"/>
                <w:bCs/>
                <w:szCs w:val="22"/>
              </w:rPr>
            </w:pPr>
            <w:r w:rsidRPr="00840DEE">
              <w:rPr>
                <w:rFonts w:ascii="Times New Roman" w:hAnsi="Times New Roman"/>
                <w:bCs/>
              </w:rPr>
              <w:t>Regulas (ES) 2019/2033 9. panta 1. punkta i) apakšpunkts.</w:t>
            </w:r>
          </w:p>
          <w:p w14:paraId="28013FA7" w14:textId="77777777" w:rsidR="00825F5D" w:rsidRPr="00840DEE" w:rsidRDefault="00145EA8" w:rsidP="00825F5D">
            <w:pPr>
              <w:pStyle w:val="InstructionsText"/>
              <w:rPr>
                <w:rStyle w:val="FormatvorlageInstructionsTabelleText"/>
                <w:rFonts w:ascii="Times New Roman" w:eastAsiaTheme="minorHAnsi" w:hAnsi="Times New Roman"/>
                <w:bCs/>
                <w:sz w:val="22"/>
              </w:rPr>
            </w:pPr>
            <w:r w:rsidRPr="00840DEE">
              <w:rPr>
                <w:rStyle w:val="FormatvorlageInstructionsTabelleText"/>
                <w:rFonts w:ascii="Times New Roman" w:hAnsi="Times New Roman"/>
                <w:sz w:val="22"/>
              </w:rPr>
              <w:t>Regulas (ES) Nr. 575/2013</w:t>
            </w:r>
            <w:r w:rsidRPr="00840DEE">
              <w:t xml:space="preserve"> </w:t>
            </w:r>
            <w:r w:rsidRPr="00840DEE">
              <w:rPr>
                <w:rStyle w:val="FormatvorlageInstructionsTabelleText"/>
                <w:rFonts w:ascii="Times New Roman" w:hAnsi="Times New Roman"/>
                <w:sz w:val="22"/>
              </w:rPr>
              <w:t>4. panta 1. punkta 115) apakšpunkts un 36. panta 1. punkta b) apakšpunkts un 37. panta a) punkts.</w:t>
            </w:r>
          </w:p>
          <w:p w14:paraId="52F3B306"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Citi nemateriālie aktīvi ir nemateriālie aktīvi saskaņā ar piemērojamo grāmatvedības standartu, mīnus nemateriālā vērtība arī saskaņā ar piemērojamo grāmatvedības standartu.</w:t>
            </w:r>
          </w:p>
        </w:tc>
      </w:tr>
      <w:tr w:rsidR="00825F5D" w:rsidRPr="00840DEE" w14:paraId="392F9DF6"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120B0800" w14:textId="77777777" w:rsidR="00825F5D" w:rsidRPr="00840DEE" w:rsidRDefault="004B0D97"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20.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C3EB088"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Atliktā nodokļa aktīvi, kuru realizācija atkarīga no peļņas gūšanas nākotnē un kuri neizriet no laika noviržu izraisītas pagaidu starpības, atskaitot attiecīgas nodokļu saistības</w:t>
            </w:r>
          </w:p>
          <w:p w14:paraId="1C0724A7" w14:textId="77777777" w:rsidR="00825F5D" w:rsidRPr="00840DEE" w:rsidRDefault="00145EA8"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w:t>
            </w:r>
            <w:r w:rsidRPr="00840DEE">
              <w:rPr>
                <w:rFonts w:ascii="Times New Roman" w:hAnsi="Times New Roman"/>
                <w:bCs/>
              </w:rPr>
              <w:t xml:space="preserve"> </w:t>
            </w:r>
            <w:r w:rsidRPr="00840DEE">
              <w:rPr>
                <w:rFonts w:ascii="Times New Roman" w:hAnsi="Times New Roman"/>
                <w:bCs/>
                <w:szCs w:val="22"/>
              </w:rPr>
              <w:t>9. panta 2. punkta a) apakšpunkts.</w:t>
            </w:r>
          </w:p>
          <w:p w14:paraId="5915ECF0" w14:textId="77777777" w:rsidR="00825F5D" w:rsidRPr="00840DEE" w:rsidRDefault="00145EA8" w:rsidP="004B0D97">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Nr. 575/2013</w:t>
            </w:r>
            <w:r w:rsidRPr="00840DEE">
              <w:rPr>
                <w:rFonts w:ascii="Times New Roman" w:hAnsi="Times New Roman"/>
                <w:bCs/>
              </w:rPr>
              <w:t xml:space="preserve"> 36. panta 1. punkta</w:t>
            </w:r>
            <w:r w:rsidRPr="00840DEE">
              <w:rPr>
                <w:rFonts w:ascii="Times New Roman" w:hAnsi="Times New Roman"/>
                <w:bCs/>
                <w:szCs w:val="22"/>
              </w:rPr>
              <w:t xml:space="preserve"> c) apakšpunkts.</w:t>
            </w:r>
          </w:p>
        </w:tc>
      </w:tr>
      <w:tr w:rsidR="00825F5D" w:rsidRPr="00840DEE" w14:paraId="184543AE" w14:textId="77777777" w:rsidTr="00970F84">
        <w:tblPrEx>
          <w:tblLook w:val="00A0" w:firstRow="1" w:lastRow="0" w:firstColumn="1" w:lastColumn="0" w:noHBand="0" w:noVBand="0"/>
        </w:tblPrEx>
        <w:tc>
          <w:tcPr>
            <w:tcW w:w="1129" w:type="dxa"/>
            <w:tcBorders>
              <w:top w:val="single" w:sz="4" w:space="0" w:color="auto"/>
            </w:tcBorders>
            <w:shd w:val="clear" w:color="auto" w:fill="auto"/>
            <w:vAlign w:val="center"/>
          </w:tcPr>
          <w:p w14:paraId="72CBB9FC"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lastRenderedPageBreak/>
              <w:t>21.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0CAAEDAA"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Būtiska līdzdalība ārpus finanšu sektora, kas pārsniedz 15 % no pašu kapitāla</w:t>
            </w:r>
          </w:p>
          <w:p w14:paraId="146C42A4" w14:textId="77777777" w:rsidR="00825F5D" w:rsidRPr="00840DEE" w:rsidRDefault="00145EA8" w:rsidP="004B0D97">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2019/2033</w:t>
            </w:r>
            <w:r w:rsidRPr="00840DEE">
              <w:rPr>
                <w:rFonts w:ascii="Times New Roman" w:hAnsi="Times New Roman"/>
                <w:bCs/>
              </w:rPr>
              <w:t xml:space="preserve"> </w:t>
            </w:r>
            <w:r w:rsidRPr="00840DEE">
              <w:rPr>
                <w:rFonts w:ascii="Times New Roman" w:hAnsi="Times New Roman"/>
                <w:bCs/>
                <w:szCs w:val="22"/>
              </w:rPr>
              <w:t>10. panta 1. punkta a) apakšpunkts.</w:t>
            </w:r>
          </w:p>
        </w:tc>
      </w:tr>
      <w:tr w:rsidR="00825F5D" w:rsidRPr="00840DEE" w14:paraId="2EC87F0B"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3442233B"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22.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84E7109"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xml:space="preserve">(-) Tādu būtisku līdzdalību kopsumma uzņēmumos, kas nav finanšu sektora sabiedrības, kuras pārsniedz 60 % no ieguldījumu brokeru sabiedrības pašu kapitāla </w:t>
            </w:r>
          </w:p>
          <w:p w14:paraId="245367F9" w14:textId="77777777" w:rsidR="00825F5D" w:rsidRPr="00840DEE" w:rsidRDefault="00145EA8" w:rsidP="004B0D97">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 xml:space="preserve">Regulas (ES) 2019/2033 </w:t>
            </w:r>
            <w:r w:rsidRPr="00840DEE">
              <w:rPr>
                <w:rFonts w:ascii="Times New Roman" w:hAnsi="Times New Roman"/>
                <w:bCs/>
              </w:rPr>
              <w:t>10. panta</w:t>
            </w:r>
            <w:r w:rsidRPr="00840DEE">
              <w:rPr>
                <w:rFonts w:ascii="Times New Roman" w:hAnsi="Times New Roman"/>
                <w:bCs/>
                <w:szCs w:val="22"/>
              </w:rPr>
              <w:t xml:space="preserve">  1. punkta b) apakšpunkts.</w:t>
            </w:r>
          </w:p>
        </w:tc>
      </w:tr>
      <w:tr w:rsidR="00825F5D" w:rsidRPr="00840DEE" w14:paraId="41B65D27"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5CBE9CB1"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23.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78E0806"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Tādu finanšu sektora sabiedrību pirmā līmeņa pamata kapitāla instrumenti, kurās iestādei nav būtiska ieguldījuma</w:t>
            </w:r>
          </w:p>
          <w:p w14:paraId="3ED679DD" w14:textId="77777777" w:rsidR="00825F5D" w:rsidRPr="00840DEE" w:rsidRDefault="00145EA8"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2. punkta c) apakšpunkts.</w:t>
            </w:r>
          </w:p>
          <w:p w14:paraId="450DE927" w14:textId="77777777" w:rsidR="00825F5D" w:rsidRPr="00840DEE" w:rsidRDefault="00145EA8" w:rsidP="004B0D97">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Nr. 575/2013 36. panta 1. punkta h) apakšpunkts.</w:t>
            </w:r>
          </w:p>
        </w:tc>
      </w:tr>
      <w:tr w:rsidR="00825F5D" w:rsidRPr="00840DEE" w14:paraId="712D6842"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0C206ECC"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24.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347427A"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Tādu finanšu sektora sabiedrību pirmā līmeņa pamata kapitāla instrumenti, kurās iestādei ir būtisks ieguldījums</w:t>
            </w:r>
          </w:p>
          <w:p w14:paraId="6FCE2F43" w14:textId="77777777" w:rsidR="00825F5D" w:rsidRPr="00840DEE" w:rsidRDefault="00145EA8"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2. punkta d) apakšpunkts.</w:t>
            </w:r>
          </w:p>
          <w:p w14:paraId="53F82196" w14:textId="77777777" w:rsidR="00825F5D" w:rsidRPr="00840DEE" w:rsidRDefault="00145EA8" w:rsidP="004B0D97">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Nr. 575/2013 36. panta 1. punkta i) apakšpunkts.</w:t>
            </w:r>
          </w:p>
        </w:tc>
      </w:tr>
      <w:tr w:rsidR="00825F5D" w:rsidRPr="00840DEE" w14:paraId="41530FF5"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760593F9"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25.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F0ABC28"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Definētu pabalstu pensiju fondu aktīvi</w:t>
            </w:r>
          </w:p>
          <w:p w14:paraId="69E11861" w14:textId="77777777" w:rsidR="00825F5D" w:rsidRPr="00840DEE" w:rsidRDefault="00145EA8"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2. punkta b) apakšpunkts.</w:t>
            </w:r>
          </w:p>
          <w:p w14:paraId="7B7136DF" w14:textId="77777777" w:rsidR="00825F5D" w:rsidRPr="00840DEE" w:rsidRDefault="00145EA8" w:rsidP="004B0D97">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Nr. 575/2013 36. panta 1. punkta e) apakšpunkts.</w:t>
            </w:r>
          </w:p>
        </w:tc>
      </w:tr>
      <w:tr w:rsidR="00825F5D" w:rsidRPr="00840DEE" w14:paraId="200BFD04" w14:textId="77777777" w:rsidTr="00AF1B12">
        <w:tblPrEx>
          <w:tblLook w:val="00A0" w:firstRow="1" w:lastRow="0" w:firstColumn="1" w:lastColumn="0" w:noHBand="0" w:noVBand="0"/>
        </w:tblPrEx>
        <w:tc>
          <w:tcPr>
            <w:tcW w:w="1129" w:type="dxa"/>
            <w:vAlign w:val="center"/>
          </w:tcPr>
          <w:p w14:paraId="2A980917"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25A17E17"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Citi atskaitījumi</w:t>
            </w:r>
          </w:p>
          <w:p w14:paraId="3F6EFDD0"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Visu citu Regulas (ES) Nr. 575/2013 36. panta 1. punktā uzskaitīto atskaitījumu summa.</w:t>
            </w:r>
          </w:p>
        </w:tc>
      </w:tr>
      <w:tr w:rsidR="004876E9" w:rsidRPr="00840DEE" w14:paraId="3498A5AD" w14:textId="77777777" w:rsidTr="00AF1B12">
        <w:tblPrEx>
          <w:tblLook w:val="00A0" w:firstRow="1" w:lastRow="0" w:firstColumn="1" w:lastColumn="0" w:noHBand="0" w:noVBand="0"/>
        </w:tblPrEx>
        <w:tc>
          <w:tcPr>
            <w:tcW w:w="1129" w:type="dxa"/>
            <w:vAlign w:val="center"/>
          </w:tcPr>
          <w:p w14:paraId="06F63DE0" w14:textId="77777777" w:rsidR="004876E9" w:rsidRPr="00840DEE" w:rsidRDefault="004B0D97" w:rsidP="00825F5D">
            <w:pPr>
              <w:spacing w:after="120"/>
              <w:jc w:val="both"/>
              <w:rPr>
                <w:rFonts w:ascii="Times New Roman" w:hAnsi="Times New Roman" w:cs="Times New Roman"/>
                <w:color w:val="000000"/>
                <w:szCs w:val="22"/>
              </w:rPr>
            </w:pPr>
            <w:r w:rsidRPr="00840DEE">
              <w:rPr>
                <w:rFonts w:ascii="Times New Roman" w:hAnsi="Times New Roman"/>
                <w:color w:val="000000"/>
                <w:szCs w:val="22"/>
              </w:rPr>
              <w:t>27.</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2FB06F6D" w14:textId="77777777" w:rsidR="004876E9" w:rsidRPr="00840DEE" w:rsidRDefault="004876E9" w:rsidP="004876E9">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Pirmā līmeņa pamata kapitāls: citi kapitāla elementi, atskaitījumi un korekcijas</w:t>
            </w:r>
          </w:p>
          <w:p w14:paraId="1EAF7327" w14:textId="77777777" w:rsidR="004876E9" w:rsidRPr="00840DEE" w:rsidRDefault="004876E9" w:rsidP="004876E9">
            <w:pPr>
              <w:spacing w:after="120"/>
              <w:jc w:val="both"/>
              <w:rPr>
                <w:rFonts w:ascii="Times New Roman" w:eastAsia="Times New Roman" w:hAnsi="Times New Roman" w:cs="Times New Roman"/>
                <w:bCs/>
                <w:szCs w:val="22"/>
              </w:rPr>
            </w:pPr>
            <w:r w:rsidRPr="00840DEE">
              <w:rPr>
                <w:rFonts w:ascii="Times New Roman" w:hAnsi="Times New Roman"/>
                <w:bCs/>
                <w:szCs w:val="22"/>
              </w:rPr>
              <w:t>Šī rinda ietver šādu posteņu summu (ja piemērojams):</w:t>
            </w:r>
          </w:p>
          <w:p w14:paraId="4BE16EBE" w14:textId="77777777" w:rsidR="004876E9" w:rsidRPr="00840DEE" w:rsidRDefault="004876E9" w:rsidP="004876E9">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pārejas posma korekcijas saistībā ar pirmā līmeņa pamata kapitāla instrumentiem, attiecībā uz kuriem piemērotas tiesības saglabāt iepriekš spēkā esošos nosacījumus (Regulas (ES) Nr. 575/2013 483. panta 1., 2. un 3. punkts un 484. līdz 487. pants),</w:t>
            </w:r>
          </w:p>
          <w:p w14:paraId="2262451E" w14:textId="77777777" w:rsidR="004876E9" w:rsidRPr="00840DEE" w:rsidRDefault="004876E9" w:rsidP="004876E9">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pārejas posma korekcijas saistībā ar papildu mazākuma līdzdalības daļām (Regulas (ES) Nr. 575/2013 479. un 480. pants),</w:t>
            </w:r>
          </w:p>
          <w:p w14:paraId="2F025E6D" w14:textId="77777777" w:rsidR="004876E9" w:rsidRPr="00840DEE" w:rsidRDefault="004876E9" w:rsidP="004876E9">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citas pārejas posma korekcijas attiecībā uz pirmā līmeņa pamata kapitāla instrumentiem (Regulas (ES) Nr. 575/2013 469. līdz 478. pants un 481. pants): korekcijas, kas saistībā ar pārejas noteikumiem veiktas atskaitījumos no pirmā līmeņa pamata kapitāla,</w:t>
            </w:r>
          </w:p>
          <w:p w14:paraId="08ED3CDD" w14:textId="77777777" w:rsidR="004876E9" w:rsidRPr="00840DEE" w:rsidRDefault="004876E9" w:rsidP="004876E9">
            <w:pPr>
              <w:pStyle w:val="ListParagraph"/>
              <w:numPr>
                <w:ilvl w:val="0"/>
                <w:numId w:val="15"/>
              </w:numPr>
              <w:spacing w:after="120"/>
              <w:contextualSpacing/>
              <w:jc w:val="both"/>
              <w:rPr>
                <w:rFonts w:ascii="Times New Roman" w:eastAsia="Times New Roman" w:hAnsi="Times New Roman"/>
                <w:b/>
                <w:bCs/>
                <w:u w:val="single"/>
              </w:rPr>
            </w:pPr>
            <w:r w:rsidRPr="00840DEE">
              <w:rPr>
                <w:rFonts w:ascii="Times New Roman" w:hAnsi="Times New Roman"/>
                <w:bCs/>
              </w:rPr>
              <w:t xml:space="preserve">citi pirmā līmeņa pamata kapitāla elementi vai atskaitījumi no pirmā līmeņa pamata kapitāla elementa, kurus nevar iedalīt nevienā no rindām, kas apzīmētas ar 4–26. </w:t>
            </w:r>
          </w:p>
          <w:p w14:paraId="1044A5C8" w14:textId="77777777" w:rsidR="004876E9" w:rsidRPr="00840DEE" w:rsidRDefault="004876E9" w:rsidP="005768F5">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Šo rindu neizmanto, lai maksātspējas koeficientu aprēķinā iekļautu kapitāla posteņus vai atskaitījumus, kuriem nepiemēro Regulu (ES) 2019/2033 vai Regulu (ES) Nr. 575/2013.</w:t>
            </w:r>
          </w:p>
        </w:tc>
      </w:tr>
      <w:tr w:rsidR="00825F5D" w:rsidRPr="00840DEE" w14:paraId="584D922C" w14:textId="77777777" w:rsidTr="00AF1B12">
        <w:tblPrEx>
          <w:tblLook w:val="00A0" w:firstRow="1" w:lastRow="0" w:firstColumn="1" w:lastColumn="0" w:noHBand="0" w:noVBand="0"/>
        </w:tblPrEx>
        <w:tc>
          <w:tcPr>
            <w:tcW w:w="1129" w:type="dxa"/>
            <w:vAlign w:val="center"/>
          </w:tcPr>
          <w:p w14:paraId="5F18A447"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28.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4F632E1B"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PIRMĀ LĪMEŅA PAPILDU KAPITĀLS</w:t>
            </w:r>
          </w:p>
          <w:p w14:paraId="2AEC9462" w14:textId="77777777" w:rsidR="00825F5D" w:rsidRPr="00840DEE" w:rsidRDefault="00145EA8"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punkts.</w:t>
            </w:r>
          </w:p>
          <w:p w14:paraId="51052D85"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lastRenderedPageBreak/>
              <w:t>Regulas (ES) Nr. 575/2013 61. pants.</w:t>
            </w:r>
          </w:p>
          <w:p w14:paraId="4EB030D1" w14:textId="77777777" w:rsidR="00825F5D" w:rsidRPr="00840DEE" w:rsidRDefault="00825F5D" w:rsidP="004B0D97">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Atklāj 29. līdz 31. rindas un 39. rindas kopsummu.</w:t>
            </w:r>
          </w:p>
        </w:tc>
      </w:tr>
      <w:tr w:rsidR="00825F5D" w:rsidRPr="00840DEE" w14:paraId="6C6A6A9D" w14:textId="77777777" w:rsidTr="00AF1B12">
        <w:tblPrEx>
          <w:tblLook w:val="00A0" w:firstRow="1" w:lastRow="0" w:firstColumn="1" w:lastColumn="0" w:noHBand="0" w:noVBand="0"/>
        </w:tblPrEx>
        <w:tc>
          <w:tcPr>
            <w:tcW w:w="1129" w:type="dxa"/>
            <w:vAlign w:val="center"/>
          </w:tcPr>
          <w:p w14:paraId="32ED906E"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lastRenderedPageBreak/>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5ECA9BC2" w14:textId="77777777" w:rsidR="00401D85" w:rsidRPr="00840DEE" w:rsidRDefault="00401D85" w:rsidP="00825F5D">
            <w:pPr>
              <w:spacing w:after="120"/>
              <w:jc w:val="both"/>
              <w:rPr>
                <w:rFonts w:ascii="Times New Roman" w:eastAsia="Times New Roman" w:hAnsi="Times New Roman" w:cs="Times New Roman"/>
                <w:bCs/>
                <w:szCs w:val="22"/>
              </w:rPr>
            </w:pPr>
            <w:r w:rsidRPr="00840DEE">
              <w:rPr>
                <w:rFonts w:ascii="Times New Roman" w:hAnsi="Times New Roman"/>
                <w:b/>
                <w:bCs/>
                <w:szCs w:val="22"/>
                <w:u w:val="single"/>
              </w:rPr>
              <w:t xml:space="preserve">Pilnībā apmaksāti, tieši emitēti kapitāla instrumenti </w:t>
            </w:r>
          </w:p>
          <w:p w14:paraId="1DC64C7A" w14:textId="77777777" w:rsidR="00825F5D" w:rsidRPr="00840DEE" w:rsidRDefault="00145EA8"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5B70A67B" w14:textId="77777777" w:rsidR="00825F5D" w:rsidRPr="00840DEE" w:rsidRDefault="00145EA8" w:rsidP="00825F5D">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Regulas (ES) Nr. 575/2013</w:t>
            </w:r>
            <w:r w:rsidRPr="00840DEE">
              <w:t xml:space="preserve"> </w:t>
            </w:r>
            <w:r w:rsidRPr="00840DEE">
              <w:rPr>
                <w:rStyle w:val="FormatvorlageInstructionsTabelleText"/>
                <w:rFonts w:ascii="Times New Roman" w:hAnsi="Times New Roman"/>
                <w:sz w:val="22"/>
              </w:rPr>
              <w:t>51. panta a) apakšpunkts un 52., 53. līdz 54. pants.</w:t>
            </w:r>
          </w:p>
          <w:p w14:paraId="0BAFA570"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Atklājamā summa neietver akciju emisijas uzcenojumu, kas saistīts ar instrumentiem.</w:t>
            </w:r>
          </w:p>
        </w:tc>
      </w:tr>
      <w:tr w:rsidR="00825F5D" w:rsidRPr="00840DEE" w14:paraId="6D462077" w14:textId="77777777" w:rsidTr="00AF1B12">
        <w:tblPrEx>
          <w:tblLook w:val="00A0" w:firstRow="1" w:lastRow="0" w:firstColumn="1" w:lastColumn="0" w:noHBand="0" w:noVBand="0"/>
        </w:tblPrEx>
        <w:tc>
          <w:tcPr>
            <w:tcW w:w="1129" w:type="dxa"/>
            <w:vAlign w:val="center"/>
          </w:tcPr>
          <w:p w14:paraId="4988FA54" w14:textId="77777777" w:rsidR="00825F5D" w:rsidRPr="00840DEE" w:rsidRDefault="004B0D97" w:rsidP="00825F5D">
            <w:pPr>
              <w:spacing w:after="120"/>
              <w:jc w:val="both"/>
              <w:rPr>
                <w:rFonts w:ascii="Times New Roman" w:hAnsi="Times New Roman" w:cs="Times New Roman"/>
                <w:color w:val="000000"/>
                <w:szCs w:val="22"/>
              </w:rPr>
            </w:pPr>
            <w:r w:rsidRPr="00840DEE">
              <w:rPr>
                <w:rFonts w:ascii="Times New Roman" w:hAnsi="Times New Roman"/>
                <w:color w:val="000000"/>
                <w:szCs w:val="22"/>
              </w:rPr>
              <w:t>30.</w:t>
            </w:r>
          </w:p>
        </w:tc>
        <w:tc>
          <w:tcPr>
            <w:tcW w:w="7683" w:type="dxa"/>
            <w:tcBorders>
              <w:top w:val="nil"/>
              <w:left w:val="single" w:sz="4" w:space="0" w:color="auto"/>
              <w:bottom w:val="single" w:sz="4" w:space="0" w:color="auto"/>
              <w:right w:val="single" w:sz="4" w:space="0" w:color="auto"/>
            </w:tcBorders>
            <w:shd w:val="clear" w:color="auto" w:fill="auto"/>
            <w:vAlign w:val="bottom"/>
          </w:tcPr>
          <w:p w14:paraId="26F83492"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xml:space="preserve">Akciju emisijas uzcenojums </w:t>
            </w:r>
          </w:p>
          <w:p w14:paraId="1B058687" w14:textId="77777777" w:rsidR="00145EA8" w:rsidRPr="00840DEE" w:rsidRDefault="00145EA8" w:rsidP="00145EA8">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3E06B971" w14:textId="77777777" w:rsidR="00825F5D" w:rsidRPr="00840DEE" w:rsidRDefault="00145EA8" w:rsidP="00825F5D">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 xml:space="preserve">Regulas (ES) Nr. 575/2013 </w:t>
            </w:r>
            <w:r w:rsidRPr="00840DEE">
              <w:t>51. panta</w:t>
            </w:r>
            <w:r w:rsidRPr="00840DEE">
              <w:rPr>
                <w:rStyle w:val="FormatvorlageInstructionsTabelleText"/>
                <w:rFonts w:ascii="Times New Roman" w:hAnsi="Times New Roman"/>
                <w:sz w:val="22"/>
              </w:rPr>
              <w:t xml:space="preserve"> b) apakšpunkts.</w:t>
            </w:r>
          </w:p>
          <w:p w14:paraId="2304FA12" w14:textId="77777777" w:rsidR="00825F5D" w:rsidRPr="00840DEE" w:rsidRDefault="00825F5D" w:rsidP="00825F5D">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Akciju emisijas uzcenojums ir uzcenojums tādā nozīmē, kā definēts piemērojamā grāmatvedības standartā.</w:t>
            </w:r>
          </w:p>
          <w:p w14:paraId="10FA4C19"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Šajā postenī atklājamā summa ir ar “Apmaksātiem kapitāla instrumentiem” saistītā daļa.</w:t>
            </w:r>
          </w:p>
        </w:tc>
      </w:tr>
      <w:tr w:rsidR="00825F5D" w:rsidRPr="00840DEE" w14:paraId="48DF3A4F" w14:textId="77777777" w:rsidTr="00AF1B12">
        <w:tblPrEx>
          <w:tblLook w:val="00A0" w:firstRow="1" w:lastRow="0" w:firstColumn="1" w:lastColumn="0" w:noHBand="0" w:noVBand="0"/>
        </w:tblPrEx>
        <w:tc>
          <w:tcPr>
            <w:tcW w:w="1129" w:type="dxa"/>
            <w:tcBorders>
              <w:bottom w:val="single" w:sz="4" w:space="0" w:color="auto"/>
            </w:tcBorders>
            <w:vAlign w:val="center"/>
          </w:tcPr>
          <w:p w14:paraId="365856B7" w14:textId="77777777" w:rsidR="00825F5D" w:rsidRPr="00840DEE" w:rsidRDefault="004B0D97"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31.</w:t>
            </w:r>
          </w:p>
        </w:tc>
        <w:tc>
          <w:tcPr>
            <w:tcW w:w="7683" w:type="dxa"/>
            <w:tcBorders>
              <w:top w:val="nil"/>
              <w:left w:val="single" w:sz="4" w:space="0" w:color="auto"/>
              <w:bottom w:val="single" w:sz="4" w:space="0" w:color="auto"/>
              <w:right w:val="single" w:sz="4" w:space="0" w:color="auto"/>
            </w:tcBorders>
            <w:shd w:val="clear" w:color="auto" w:fill="auto"/>
            <w:vAlign w:val="bottom"/>
          </w:tcPr>
          <w:p w14:paraId="76036A17"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KOPĒJIE ATSKAITĪJUMI NO PIRMĀ LĪMEŅA PAPILDU KAPITĀLA</w:t>
            </w:r>
          </w:p>
          <w:p w14:paraId="7C09FCB9" w14:textId="77777777" w:rsidR="00825F5D" w:rsidRPr="00840DEE" w:rsidRDefault="00825F5D" w:rsidP="00825F5D">
            <w:pPr>
              <w:spacing w:before="60" w:after="60"/>
              <w:rPr>
                <w:rFonts w:ascii="Times New Roman" w:hAnsi="Times New Roman" w:cs="Times New Roman"/>
                <w:szCs w:val="22"/>
              </w:rPr>
            </w:pPr>
            <w:r w:rsidRPr="00840DEE">
              <w:rPr>
                <w:rFonts w:ascii="Times New Roman" w:hAnsi="Times New Roman"/>
                <w:szCs w:val="22"/>
              </w:rPr>
              <w:t>Regulas (ES) Nr. 575/2013 56. pants.</w:t>
            </w:r>
          </w:p>
          <w:p w14:paraId="26313587" w14:textId="77777777" w:rsidR="00825F5D" w:rsidRPr="00840DEE" w:rsidRDefault="00825F5D" w:rsidP="00772D79">
            <w:pPr>
              <w:spacing w:after="120"/>
              <w:jc w:val="both"/>
              <w:rPr>
                <w:rFonts w:ascii="Times New Roman" w:eastAsia="Times New Roman" w:hAnsi="Times New Roman" w:cs="Times New Roman"/>
                <w:bCs/>
                <w:szCs w:val="22"/>
              </w:rPr>
            </w:pPr>
            <w:r w:rsidRPr="00840DEE">
              <w:rPr>
                <w:rFonts w:ascii="Times New Roman" w:hAnsi="Times New Roman"/>
                <w:bCs/>
                <w:szCs w:val="22"/>
              </w:rPr>
              <w:t>Atklāj 32. rindas un 36. līdz 38. rindas kopsummu.</w:t>
            </w:r>
          </w:p>
        </w:tc>
      </w:tr>
      <w:tr w:rsidR="00825F5D" w:rsidRPr="00840DEE" w14:paraId="7C3A633D"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36CCC05E"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32.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7FC9D8E"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Pašu pirmā līmeņa papildu kapitāla instrumenti</w:t>
            </w:r>
          </w:p>
          <w:p w14:paraId="61352E65" w14:textId="77777777" w:rsidR="00825F5D" w:rsidRPr="00840DEE" w:rsidRDefault="00145EA8"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5041C26A" w14:textId="77777777" w:rsidR="00825F5D" w:rsidRPr="00840DEE" w:rsidRDefault="00145EA8" w:rsidP="00825F5D">
            <w:pPr>
              <w:pStyle w:val="InstructionsText"/>
              <w:rPr>
                <w:rStyle w:val="FormatvorlageInstructionsTabelleText"/>
                <w:rFonts w:ascii="Times New Roman" w:eastAsiaTheme="minorHAnsi" w:hAnsi="Times New Roman"/>
                <w:bCs/>
                <w:sz w:val="22"/>
              </w:rPr>
            </w:pPr>
            <w:r w:rsidRPr="00840DEE">
              <w:rPr>
                <w:rStyle w:val="FormatvorlageInstructionsTabelleText"/>
                <w:rFonts w:ascii="Times New Roman" w:hAnsi="Times New Roman"/>
                <w:sz w:val="22"/>
              </w:rPr>
              <w:t>Regulas (ES) Nr. 575/2013</w:t>
            </w:r>
            <w:r w:rsidRPr="00840DEE">
              <w:t xml:space="preserve"> </w:t>
            </w:r>
            <w:r w:rsidRPr="00840DEE">
              <w:rPr>
                <w:rStyle w:val="FormatvorlageInstructionsTabelleText"/>
                <w:rFonts w:ascii="Times New Roman" w:hAnsi="Times New Roman"/>
                <w:sz w:val="22"/>
              </w:rPr>
              <w:t>52. panta 1. punkta b) apakšpunkts, 56. panta a) punkts un 57. pants.</w:t>
            </w:r>
          </w:p>
          <w:p w14:paraId="05CC41AA" w14:textId="77777777" w:rsidR="00825F5D" w:rsidRPr="00840DEE" w:rsidRDefault="00825F5D" w:rsidP="00825F5D">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Pašu pirmā līmeņa papildu kapitāla instrumenti, ko pārskata sniegšanas datumā tur ieguldījumu brokeru sabiedrība. Piemērojami Regulas (ES) Nr. 575/2013 57. panta izņēmumi.</w:t>
            </w:r>
          </w:p>
          <w:p w14:paraId="07FFD27B" w14:textId="77777777" w:rsidR="00825F5D" w:rsidRPr="00840DEE" w:rsidRDefault="00825F5D" w:rsidP="009C422F">
            <w:pPr>
              <w:pStyle w:val="InstructionsText"/>
            </w:pPr>
            <w:r w:rsidRPr="00840DEE">
              <w:rPr>
                <w:rStyle w:val="FormatvorlageInstructionsTabelleText"/>
                <w:rFonts w:ascii="Times New Roman" w:hAnsi="Times New Roman"/>
                <w:sz w:val="22"/>
              </w:rPr>
              <w:t>Atklājamā summa ietver akciju emisijas uzcenojumu, kas saistīts ar pašu akcijām.</w:t>
            </w:r>
          </w:p>
        </w:tc>
      </w:tr>
      <w:tr w:rsidR="00825F5D" w:rsidRPr="00840DEE" w14:paraId="0F816960" w14:textId="77777777" w:rsidTr="00AF1B12">
        <w:tblPrEx>
          <w:tblLook w:val="00A0" w:firstRow="1" w:lastRow="0" w:firstColumn="1" w:lastColumn="0" w:noHBand="0" w:noVBand="0"/>
        </w:tblPrEx>
        <w:tc>
          <w:tcPr>
            <w:tcW w:w="1129" w:type="dxa"/>
            <w:shd w:val="clear" w:color="auto" w:fill="auto"/>
            <w:vAlign w:val="center"/>
          </w:tcPr>
          <w:p w14:paraId="66FE21F4"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33.</w:t>
            </w:r>
          </w:p>
        </w:tc>
        <w:tc>
          <w:tcPr>
            <w:tcW w:w="7683" w:type="dxa"/>
            <w:tcBorders>
              <w:top w:val="nil"/>
              <w:left w:val="single" w:sz="4" w:space="0" w:color="auto"/>
              <w:bottom w:val="single" w:sz="4" w:space="0" w:color="auto"/>
              <w:right w:val="single" w:sz="4" w:space="0" w:color="auto"/>
            </w:tcBorders>
            <w:shd w:val="clear" w:color="auto" w:fill="auto"/>
            <w:vAlign w:val="bottom"/>
          </w:tcPr>
          <w:p w14:paraId="3E698527"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Tiešas līdzdalības pirmā līmeņa papildu kapitāla instrumentos</w:t>
            </w:r>
          </w:p>
          <w:p w14:paraId="7125F824" w14:textId="77777777" w:rsidR="00825F5D" w:rsidRPr="00840DEE" w:rsidRDefault="00145EA8"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2. punkta c) apakšpunkts.</w:t>
            </w:r>
          </w:p>
          <w:p w14:paraId="58AD6826" w14:textId="77777777" w:rsidR="00825F5D" w:rsidRPr="00840DEE" w:rsidRDefault="0016101F" w:rsidP="004B0D97">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Nr. 575/2013 56. panta a) punkts.</w:t>
            </w:r>
          </w:p>
        </w:tc>
      </w:tr>
      <w:tr w:rsidR="00825F5D" w:rsidRPr="00840DEE" w14:paraId="62C7C584" w14:textId="77777777" w:rsidTr="00AF1B12">
        <w:tblPrEx>
          <w:tblLook w:val="00A0" w:firstRow="1" w:lastRow="0" w:firstColumn="1" w:lastColumn="0" w:noHBand="0" w:noVBand="0"/>
        </w:tblPrEx>
        <w:tc>
          <w:tcPr>
            <w:tcW w:w="1129" w:type="dxa"/>
            <w:shd w:val="clear" w:color="auto" w:fill="auto"/>
            <w:vAlign w:val="center"/>
          </w:tcPr>
          <w:p w14:paraId="72B44D1B"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34.</w:t>
            </w:r>
          </w:p>
        </w:tc>
        <w:tc>
          <w:tcPr>
            <w:tcW w:w="7683" w:type="dxa"/>
            <w:tcBorders>
              <w:top w:val="nil"/>
              <w:left w:val="single" w:sz="4" w:space="0" w:color="auto"/>
              <w:bottom w:val="single" w:sz="4" w:space="0" w:color="auto"/>
              <w:right w:val="single" w:sz="4" w:space="0" w:color="auto"/>
            </w:tcBorders>
            <w:shd w:val="clear" w:color="auto" w:fill="auto"/>
            <w:vAlign w:val="bottom"/>
          </w:tcPr>
          <w:p w14:paraId="09FEFEB8"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Netiešas līdzdalības pirmā līmeņa papildu kapitāla instrumentos</w:t>
            </w:r>
          </w:p>
          <w:p w14:paraId="167EA0B4" w14:textId="77777777" w:rsidR="00825F5D" w:rsidRPr="00840DEE" w:rsidRDefault="0016101F"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2. punkta c) apakšpunkts.</w:t>
            </w:r>
          </w:p>
          <w:p w14:paraId="12E7D44A" w14:textId="77777777" w:rsidR="00825F5D" w:rsidRPr="00840DEE" w:rsidRDefault="0016101F" w:rsidP="004B0D97">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Nr. 575/2013 56. panta a) punkts.</w:t>
            </w:r>
          </w:p>
        </w:tc>
      </w:tr>
      <w:tr w:rsidR="00825F5D" w:rsidRPr="00840DEE" w14:paraId="4B46B937" w14:textId="77777777" w:rsidTr="00AF1B12">
        <w:tblPrEx>
          <w:tblLook w:val="00A0" w:firstRow="1" w:lastRow="0" w:firstColumn="1" w:lastColumn="0" w:noHBand="0" w:noVBand="0"/>
        </w:tblPrEx>
        <w:tc>
          <w:tcPr>
            <w:tcW w:w="1129" w:type="dxa"/>
            <w:shd w:val="clear" w:color="auto" w:fill="auto"/>
            <w:vAlign w:val="center"/>
          </w:tcPr>
          <w:p w14:paraId="24F1405B"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35.</w:t>
            </w:r>
          </w:p>
        </w:tc>
        <w:tc>
          <w:tcPr>
            <w:tcW w:w="7683" w:type="dxa"/>
            <w:tcBorders>
              <w:top w:val="nil"/>
              <w:left w:val="single" w:sz="4" w:space="0" w:color="auto"/>
              <w:bottom w:val="single" w:sz="4" w:space="0" w:color="auto"/>
              <w:right w:val="single" w:sz="4" w:space="0" w:color="auto"/>
            </w:tcBorders>
            <w:shd w:val="clear" w:color="auto" w:fill="auto"/>
            <w:vAlign w:val="bottom"/>
          </w:tcPr>
          <w:p w14:paraId="563EB002"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Sintētiskas līdzdalības pirmā līmeņa papildu kapitāla instrumentos</w:t>
            </w:r>
          </w:p>
          <w:p w14:paraId="3DF32B79" w14:textId="77777777" w:rsidR="00825F5D" w:rsidRPr="00840DEE" w:rsidRDefault="0016101F"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2. punkta c) apakšpunkts.</w:t>
            </w:r>
          </w:p>
          <w:p w14:paraId="34D78644" w14:textId="77777777" w:rsidR="00825F5D" w:rsidRPr="00840DEE" w:rsidRDefault="0016101F" w:rsidP="004B0D97">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Nr. 575/2013 56. panta a) punkts.</w:t>
            </w:r>
          </w:p>
        </w:tc>
      </w:tr>
      <w:tr w:rsidR="00825F5D" w:rsidRPr="00840DEE" w14:paraId="1EFCEF80" w14:textId="77777777" w:rsidTr="00AF1B12">
        <w:tblPrEx>
          <w:tblLook w:val="00A0" w:firstRow="1" w:lastRow="0" w:firstColumn="1" w:lastColumn="0" w:noHBand="0" w:noVBand="0"/>
        </w:tblPrEx>
        <w:tc>
          <w:tcPr>
            <w:tcW w:w="1129" w:type="dxa"/>
            <w:shd w:val="clear" w:color="auto" w:fill="auto"/>
            <w:vAlign w:val="center"/>
          </w:tcPr>
          <w:p w14:paraId="733C5D00"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36.</w:t>
            </w:r>
          </w:p>
        </w:tc>
        <w:tc>
          <w:tcPr>
            <w:tcW w:w="7683" w:type="dxa"/>
            <w:tcBorders>
              <w:top w:val="nil"/>
              <w:left w:val="single" w:sz="4" w:space="0" w:color="auto"/>
              <w:bottom w:val="single" w:sz="4" w:space="0" w:color="auto"/>
              <w:right w:val="single" w:sz="4" w:space="0" w:color="auto"/>
            </w:tcBorders>
            <w:shd w:val="clear" w:color="auto" w:fill="auto"/>
            <w:vAlign w:val="bottom"/>
          </w:tcPr>
          <w:p w14:paraId="6DC8CA06"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Tādu finanšu sektora sabiedrību pirmā līmeņa papildu kapitāla instrumenti, kurās iestādei nav būtiska ieguldījuma</w:t>
            </w:r>
          </w:p>
          <w:p w14:paraId="4AFB404A" w14:textId="77777777" w:rsidR="00825F5D" w:rsidRPr="00840DEE" w:rsidRDefault="0016101F"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2. punkta c) apakšpunkts.</w:t>
            </w:r>
          </w:p>
          <w:p w14:paraId="23DE3751" w14:textId="77777777" w:rsidR="00825F5D" w:rsidRPr="00840DEE" w:rsidRDefault="0016101F" w:rsidP="004B0D97">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Nr. 575/2013 56. panta c) punkts.</w:t>
            </w:r>
          </w:p>
        </w:tc>
      </w:tr>
      <w:tr w:rsidR="00825F5D" w:rsidRPr="00840DEE" w14:paraId="3F5B27E8" w14:textId="77777777" w:rsidTr="00AF1B12">
        <w:tblPrEx>
          <w:tblLook w:val="00A0" w:firstRow="1" w:lastRow="0" w:firstColumn="1" w:lastColumn="0" w:noHBand="0" w:noVBand="0"/>
        </w:tblPrEx>
        <w:tc>
          <w:tcPr>
            <w:tcW w:w="1129" w:type="dxa"/>
            <w:shd w:val="clear" w:color="auto" w:fill="auto"/>
            <w:vAlign w:val="center"/>
          </w:tcPr>
          <w:p w14:paraId="687CC981"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37.</w:t>
            </w:r>
          </w:p>
        </w:tc>
        <w:tc>
          <w:tcPr>
            <w:tcW w:w="7683" w:type="dxa"/>
            <w:tcBorders>
              <w:top w:val="nil"/>
              <w:left w:val="single" w:sz="4" w:space="0" w:color="auto"/>
              <w:bottom w:val="single" w:sz="4" w:space="0" w:color="auto"/>
              <w:right w:val="single" w:sz="4" w:space="0" w:color="auto"/>
            </w:tcBorders>
            <w:shd w:val="clear" w:color="auto" w:fill="auto"/>
            <w:vAlign w:val="bottom"/>
          </w:tcPr>
          <w:p w14:paraId="164B490F"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Tādu finanšu sektora sabiedrību pirmā līmeņa papildu kapitāla instrumenti, kurās iestādei ir būtisks ieguldījums</w:t>
            </w:r>
          </w:p>
          <w:p w14:paraId="613E8D34" w14:textId="77777777" w:rsidR="00825F5D" w:rsidRPr="00840DEE" w:rsidRDefault="0016101F"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lastRenderedPageBreak/>
              <w:t>Regulas (ES) 2019/2033 9. panta 2. punkta c) apakšpunkts.</w:t>
            </w:r>
          </w:p>
          <w:p w14:paraId="37BBEC0B" w14:textId="77777777" w:rsidR="00825F5D" w:rsidRPr="00840DEE" w:rsidRDefault="0016101F" w:rsidP="004B0D97">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Nr. 575/2013 56. panta d) punkts.</w:t>
            </w:r>
          </w:p>
        </w:tc>
      </w:tr>
      <w:tr w:rsidR="00401D85" w:rsidRPr="00840DEE" w14:paraId="21837A42" w14:textId="77777777" w:rsidTr="00AF1B12">
        <w:tblPrEx>
          <w:tblLook w:val="00A0" w:firstRow="1" w:lastRow="0" w:firstColumn="1" w:lastColumn="0" w:noHBand="0" w:noVBand="0"/>
        </w:tblPrEx>
        <w:tc>
          <w:tcPr>
            <w:tcW w:w="1129" w:type="dxa"/>
            <w:shd w:val="clear" w:color="auto" w:fill="auto"/>
            <w:vAlign w:val="center"/>
          </w:tcPr>
          <w:p w14:paraId="2716B4D1" w14:textId="77777777" w:rsidR="00401D85" w:rsidRPr="00840DEE" w:rsidRDefault="004B0D97" w:rsidP="00401D85">
            <w:pPr>
              <w:spacing w:after="120"/>
              <w:jc w:val="both"/>
              <w:rPr>
                <w:rFonts w:ascii="Times New Roman" w:hAnsi="Times New Roman" w:cs="Times New Roman"/>
                <w:color w:val="000000"/>
                <w:szCs w:val="22"/>
              </w:rPr>
            </w:pPr>
            <w:r w:rsidRPr="00840DEE">
              <w:rPr>
                <w:rFonts w:ascii="Times New Roman" w:hAnsi="Times New Roman"/>
                <w:color w:val="000000"/>
                <w:szCs w:val="22"/>
              </w:rPr>
              <w:lastRenderedPageBreak/>
              <w:t>38.</w:t>
            </w:r>
          </w:p>
        </w:tc>
        <w:tc>
          <w:tcPr>
            <w:tcW w:w="7683" w:type="dxa"/>
            <w:tcBorders>
              <w:top w:val="nil"/>
              <w:left w:val="single" w:sz="4" w:space="0" w:color="auto"/>
              <w:bottom w:val="single" w:sz="4" w:space="0" w:color="auto"/>
              <w:right w:val="single" w:sz="4" w:space="0" w:color="auto"/>
            </w:tcBorders>
            <w:shd w:val="clear" w:color="auto" w:fill="auto"/>
            <w:vAlign w:val="bottom"/>
          </w:tcPr>
          <w:p w14:paraId="2D237EFB" w14:textId="77777777" w:rsidR="00401D85" w:rsidRPr="00840DEE" w:rsidRDefault="00401D85" w:rsidP="00401D85">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Citi atskaitījumi</w:t>
            </w:r>
          </w:p>
          <w:p w14:paraId="45CB40D8" w14:textId="77777777" w:rsidR="00401D85" w:rsidRPr="00840DEE" w:rsidRDefault="00401D85" w:rsidP="004B0D97">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Visu citu tādu atskaitījumu summa saskaņā ar Regulas (ES) Nr. 575/2013 56. pantu, kas nav iekļauti nevienā no iepriekšējām rindām.</w:t>
            </w:r>
          </w:p>
        </w:tc>
      </w:tr>
      <w:tr w:rsidR="00401D85" w:rsidRPr="00840DEE" w14:paraId="7152E604" w14:textId="77777777" w:rsidTr="00AF1B12">
        <w:tblPrEx>
          <w:tblLook w:val="00A0" w:firstRow="1" w:lastRow="0" w:firstColumn="1" w:lastColumn="0" w:noHBand="0" w:noVBand="0"/>
        </w:tblPrEx>
        <w:tc>
          <w:tcPr>
            <w:tcW w:w="1129" w:type="dxa"/>
            <w:shd w:val="clear" w:color="auto" w:fill="auto"/>
            <w:vAlign w:val="center"/>
          </w:tcPr>
          <w:p w14:paraId="4BF5FD02" w14:textId="77777777" w:rsidR="00401D85" w:rsidRPr="00840DEE" w:rsidRDefault="004B0D97" w:rsidP="00401D85">
            <w:pPr>
              <w:spacing w:after="120"/>
              <w:jc w:val="both"/>
              <w:rPr>
                <w:rFonts w:ascii="Times New Roman" w:hAnsi="Times New Roman" w:cs="Times New Roman"/>
                <w:color w:val="000000"/>
                <w:szCs w:val="22"/>
              </w:rPr>
            </w:pPr>
            <w:r w:rsidRPr="00840DEE">
              <w:rPr>
                <w:rFonts w:ascii="Times New Roman" w:hAnsi="Times New Roman"/>
                <w:color w:val="000000"/>
                <w:szCs w:val="22"/>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14:paraId="36F8170F" w14:textId="77777777" w:rsidR="00401D85" w:rsidRPr="00840DEE" w:rsidRDefault="00401D85" w:rsidP="00401D85">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Pirmā līmeņa papildu kapitāls: citi kapitāla elementi, atskaitījumi un korekcijas</w:t>
            </w:r>
          </w:p>
          <w:p w14:paraId="6699726A" w14:textId="77777777" w:rsidR="00401D85" w:rsidRPr="00840DEE" w:rsidRDefault="00401D85" w:rsidP="00401D85">
            <w:pPr>
              <w:spacing w:after="120"/>
              <w:jc w:val="both"/>
              <w:rPr>
                <w:rFonts w:ascii="Times New Roman" w:eastAsia="Times New Roman" w:hAnsi="Times New Roman" w:cs="Times New Roman"/>
                <w:bCs/>
                <w:szCs w:val="22"/>
              </w:rPr>
            </w:pPr>
            <w:r w:rsidRPr="00840DEE">
              <w:rPr>
                <w:rFonts w:ascii="Times New Roman" w:hAnsi="Times New Roman"/>
                <w:bCs/>
                <w:szCs w:val="22"/>
              </w:rPr>
              <w:t>Šī rinda ietver šādu posteņu summu (ja piemērojams):</w:t>
            </w:r>
          </w:p>
          <w:p w14:paraId="27C72FCA" w14:textId="77777777" w:rsidR="00401D85" w:rsidRPr="00840DEE" w:rsidRDefault="00401D85" w:rsidP="00401D85">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pārejas posma korekcijas saistībā ar pirmā līmeņa papildu kapitāla instrumentiem, attiecībā uz kuriem piemērotas tiesības saglabāt iepriekš spēkā esošos nosacījumus (Regulas (ES) Nr. 575/2013 483. panta 4. un 5. punkts, 484. līdz 487. pants, 489. un 491. pants),</w:t>
            </w:r>
          </w:p>
          <w:p w14:paraId="1F8125B6" w14:textId="77777777" w:rsidR="00401D85" w:rsidRPr="00840DEE" w:rsidRDefault="00401D85" w:rsidP="00401D85">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 xml:space="preserve">meitasuzņēmumu emitēti instrumenti, kuri ir atzīti pirmā līmeņa papildu kapitālā (Regulas (ES) Nr. 575/2013 83., 85. un 86. pants): visa meitasuzņēmumu atbilstīgā pirmā līmeņa kapitāla summa, kas ietverta konsolidētajā pirmā līmeņa papildu kapitālā, tajā skaitā arī īpašam nolūkam dibinātas sabiedrības emitētais kapitāls (Regulas (ES) Nr. 575/2013 83. pants), </w:t>
            </w:r>
          </w:p>
          <w:p w14:paraId="38907BFA" w14:textId="77777777" w:rsidR="00401D85" w:rsidRPr="00840DEE" w:rsidRDefault="00401D85" w:rsidP="00401D85">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pārejas posma korekcijas saistībā ar meitasuzņēmumu emitētu instrumentu papildu atzīšanu pirmā līmeņa papildu kapitālā (Regulas (ES) Nr. 575/2013 480. pants), konsolidētajā pirmā līmeņa papildu kapitālā ietvertā atbilstīgā pirmā līmeņa kapitāla korekcijas saistībā ar pārejas noteikumiem,</w:t>
            </w:r>
          </w:p>
          <w:p w14:paraId="19F0FCE4" w14:textId="77777777" w:rsidR="00401D85" w:rsidRPr="00840DEE" w:rsidRDefault="00401D85" w:rsidP="00401D85">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citas pārejas posma korekcijas attiecībā uz pirmā līmeņa papildu kapitālu (Regulas (ES) Nr. 575/2013 472. pants, 473.a, 474., 475., 478. un 481. pants): korekcijas, kas saistībā ar pārejas noteikumiem veiktas atskaitījumos,</w:t>
            </w:r>
          </w:p>
          <w:p w14:paraId="4D226CDA" w14:textId="77777777" w:rsidR="00401D85" w:rsidRPr="00840DEE" w:rsidRDefault="00401D85" w:rsidP="00401D85">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summa, par kādu pirmā līmeņa papildu kapitāla posteņu atskaitījums pārsniedz pirmā līmeņa papildu kapitālu, atskaitīta no pirmā līmeņa pamata kapitāla saskaņā ar Regulas (ES) Nr. 575/2013 36. panta 1. punkta j) apakšpunktu: pirmā līmeņa papildu kapitāls nevar būt negatīvs, bet pastāv iespēja, ka atskaitījumi no pirmā līmeņa papildu kapitāla posteņiem pārsniedz pieejamo pirmā līmeņa papildu kapitāla posteņu summu. Šādā gadījumā šis postenis atspoguļo summu, kas nepieciešama, lai 28. rindā uzrādīto summu palielinātu līdz nullei, un ir vienāds ar apgriezto summu, par kādu pirmā līmeņa papildu kapitāla posteņu atskaitījums pārsniedz pirmā līmeņa papildu kapitālu un kas papildus citiem atskaitījumiem ietverta 38. rindā,</w:t>
            </w:r>
          </w:p>
          <w:p w14:paraId="3CB6BF9C" w14:textId="77777777" w:rsidR="00401D85" w:rsidRPr="00840DEE" w:rsidRDefault="00401D85" w:rsidP="00401D85">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 xml:space="preserve">citi pirmā līmeņa papildu kapitāla elementi vai atskaitījumi no pirmā līmeņa papildu kapitāla elementa, kurus nevar iedalīt nevienā no rindām, kas apzīmētas ar 29–38. </w:t>
            </w:r>
          </w:p>
          <w:p w14:paraId="49E1AA66" w14:textId="77777777" w:rsidR="00401D85" w:rsidRPr="00840DEE" w:rsidRDefault="00401D85" w:rsidP="005768F5">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Šo rindu neizmanto, lai maksātspējas koeficientu aprēķinā iekļautu kapitāla posteņus vai atskaitījumus, kuriem nepiemēro Regulu (ES) 2019/2033 vai Regulu (ES) Nr. 575/2013.</w:t>
            </w:r>
          </w:p>
        </w:tc>
      </w:tr>
      <w:tr w:rsidR="00401D85" w:rsidRPr="00840DEE" w14:paraId="3AB68C4C" w14:textId="77777777" w:rsidTr="00AF1B12">
        <w:tblPrEx>
          <w:tblLook w:val="00A0" w:firstRow="1" w:lastRow="0" w:firstColumn="1" w:lastColumn="0" w:noHBand="0" w:noVBand="0"/>
        </w:tblPrEx>
        <w:tc>
          <w:tcPr>
            <w:tcW w:w="1129" w:type="dxa"/>
            <w:shd w:val="clear" w:color="auto" w:fill="auto"/>
            <w:vAlign w:val="center"/>
          </w:tcPr>
          <w:p w14:paraId="144F14ED" w14:textId="77777777" w:rsidR="00401D85" w:rsidRPr="00840DEE" w:rsidRDefault="004B0D97" w:rsidP="00401D85">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40.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38E28A1C" w14:textId="77777777" w:rsidR="00401D85" w:rsidRPr="00840DEE" w:rsidRDefault="00401D85" w:rsidP="00401D85">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OTRĀ LĪMEŅA KAPITĀLS</w:t>
            </w:r>
          </w:p>
          <w:p w14:paraId="65D92EFC" w14:textId="77777777" w:rsidR="00401D85" w:rsidRPr="00840DEE" w:rsidRDefault="00401D85" w:rsidP="00401D85">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2. punkts.</w:t>
            </w:r>
          </w:p>
          <w:p w14:paraId="57EC5914" w14:textId="77777777" w:rsidR="00401D85" w:rsidRPr="00840DEE" w:rsidRDefault="00401D85" w:rsidP="00401D85">
            <w:pPr>
              <w:spacing w:after="120"/>
              <w:jc w:val="both"/>
              <w:rPr>
                <w:rStyle w:val="FormatvorlageInstructionsTabelleText"/>
                <w:rFonts w:ascii="Times New Roman" w:hAnsi="Times New Roman"/>
                <w:sz w:val="22"/>
                <w:szCs w:val="22"/>
              </w:rPr>
            </w:pPr>
            <w:r w:rsidRPr="00840DEE">
              <w:rPr>
                <w:rStyle w:val="FormatvorlageInstructionsTabelleText"/>
                <w:rFonts w:ascii="Times New Roman" w:hAnsi="Times New Roman"/>
                <w:sz w:val="22"/>
                <w:szCs w:val="22"/>
              </w:rPr>
              <w:t xml:space="preserve">Regulas </w:t>
            </w:r>
            <w:r w:rsidRPr="00840DEE">
              <w:rPr>
                <w:rFonts w:ascii="Times New Roman" w:hAnsi="Times New Roman"/>
                <w:bCs/>
                <w:szCs w:val="22"/>
              </w:rPr>
              <w:t xml:space="preserve">(ES) </w:t>
            </w:r>
            <w:r w:rsidRPr="00840DEE">
              <w:rPr>
                <w:rStyle w:val="FormatvorlageInstructionsTabelleText"/>
                <w:rFonts w:ascii="Times New Roman" w:hAnsi="Times New Roman"/>
                <w:sz w:val="22"/>
                <w:szCs w:val="22"/>
              </w:rPr>
              <w:t>Nr. 575/2013 71. pants.</w:t>
            </w:r>
          </w:p>
          <w:p w14:paraId="212244CF" w14:textId="77777777" w:rsidR="00401D85" w:rsidRPr="00840DEE" w:rsidRDefault="00401D85" w:rsidP="00401D85">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Atklāj 41. līdz 43. rindas un 50. rindas kopsummu.</w:t>
            </w:r>
          </w:p>
        </w:tc>
      </w:tr>
      <w:tr w:rsidR="00401D85" w:rsidRPr="00840DEE" w14:paraId="5605F652" w14:textId="77777777" w:rsidTr="00AF1B12">
        <w:tblPrEx>
          <w:tblLook w:val="00A0" w:firstRow="1" w:lastRow="0" w:firstColumn="1" w:lastColumn="0" w:noHBand="0" w:noVBand="0"/>
        </w:tblPrEx>
        <w:tc>
          <w:tcPr>
            <w:tcW w:w="1129" w:type="dxa"/>
            <w:shd w:val="clear" w:color="auto" w:fill="auto"/>
            <w:vAlign w:val="center"/>
          </w:tcPr>
          <w:p w14:paraId="083103F3" w14:textId="77777777" w:rsidR="00401D85" w:rsidRPr="00840DEE" w:rsidRDefault="004B0D97" w:rsidP="00401D85">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41.</w:t>
            </w:r>
          </w:p>
        </w:tc>
        <w:tc>
          <w:tcPr>
            <w:tcW w:w="7683" w:type="dxa"/>
            <w:tcBorders>
              <w:top w:val="nil"/>
              <w:left w:val="single" w:sz="4" w:space="0" w:color="auto"/>
              <w:bottom w:val="single" w:sz="4" w:space="0" w:color="auto"/>
              <w:right w:val="single" w:sz="4" w:space="0" w:color="auto"/>
            </w:tcBorders>
            <w:shd w:val="clear" w:color="auto" w:fill="auto"/>
            <w:vAlign w:val="bottom"/>
          </w:tcPr>
          <w:p w14:paraId="5B712790" w14:textId="77777777" w:rsidR="00401D85" w:rsidRPr="00840DEE" w:rsidRDefault="00401D85" w:rsidP="00401D85">
            <w:pPr>
              <w:spacing w:after="120"/>
              <w:jc w:val="both"/>
              <w:rPr>
                <w:rFonts w:ascii="Times New Roman" w:eastAsia="Times New Roman" w:hAnsi="Times New Roman" w:cs="Times New Roman"/>
                <w:bCs/>
                <w:szCs w:val="22"/>
              </w:rPr>
            </w:pPr>
            <w:r w:rsidRPr="00840DEE">
              <w:rPr>
                <w:rFonts w:ascii="Times New Roman" w:hAnsi="Times New Roman"/>
                <w:b/>
                <w:bCs/>
                <w:szCs w:val="22"/>
                <w:u w:val="single"/>
              </w:rPr>
              <w:t xml:space="preserve">Pilnībā apmaksāti, tieši emitēti kapitāla instrumenti </w:t>
            </w:r>
          </w:p>
          <w:p w14:paraId="1F07B88C" w14:textId="77777777" w:rsidR="00401D85" w:rsidRPr="00840DEE" w:rsidRDefault="00401D85" w:rsidP="00401D85">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063FA8A8" w14:textId="77777777" w:rsidR="00401D85" w:rsidRPr="00840DEE" w:rsidRDefault="00401D85" w:rsidP="00401D85">
            <w:pPr>
              <w:pStyle w:val="InstructionsText"/>
              <w:rPr>
                <w:rStyle w:val="FormatvorlageInstructionsTabelleText"/>
                <w:rFonts w:ascii="Times New Roman" w:eastAsiaTheme="minorHAnsi" w:hAnsi="Times New Roman"/>
                <w:bCs/>
                <w:sz w:val="22"/>
              </w:rPr>
            </w:pPr>
            <w:r w:rsidRPr="00840DEE">
              <w:rPr>
                <w:rStyle w:val="FormatvorlageInstructionsTabelleText"/>
                <w:rFonts w:ascii="Times New Roman" w:hAnsi="Times New Roman"/>
                <w:sz w:val="22"/>
              </w:rPr>
              <w:lastRenderedPageBreak/>
              <w:t>Regulas (ES) Nr. 575/2013 62. panta a) apakšpunkts, 63. un 65. pants.</w:t>
            </w:r>
          </w:p>
          <w:p w14:paraId="5335E7AF" w14:textId="77777777" w:rsidR="00401D85" w:rsidRPr="00840DEE" w:rsidRDefault="00401D85" w:rsidP="00401D85">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Atklājamā summa neietver akciju emisijas uzcenojumu, kas saistīts ar instrumentiem.</w:t>
            </w:r>
          </w:p>
        </w:tc>
      </w:tr>
      <w:tr w:rsidR="00401D85" w:rsidRPr="00840DEE" w14:paraId="349D182B" w14:textId="77777777" w:rsidTr="00AF1B12">
        <w:tblPrEx>
          <w:tblLook w:val="00A0" w:firstRow="1" w:lastRow="0" w:firstColumn="1" w:lastColumn="0" w:noHBand="0" w:noVBand="0"/>
        </w:tblPrEx>
        <w:tc>
          <w:tcPr>
            <w:tcW w:w="1129" w:type="dxa"/>
            <w:shd w:val="clear" w:color="auto" w:fill="auto"/>
            <w:vAlign w:val="center"/>
          </w:tcPr>
          <w:p w14:paraId="3DC78826" w14:textId="77777777" w:rsidR="00401D85" w:rsidRPr="00840DEE" w:rsidRDefault="004B0D97" w:rsidP="00401D85">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lastRenderedPageBreak/>
              <w:t>42.</w:t>
            </w:r>
          </w:p>
        </w:tc>
        <w:tc>
          <w:tcPr>
            <w:tcW w:w="7683" w:type="dxa"/>
            <w:tcBorders>
              <w:top w:val="nil"/>
              <w:left w:val="single" w:sz="4" w:space="0" w:color="auto"/>
              <w:bottom w:val="single" w:sz="4" w:space="0" w:color="auto"/>
              <w:right w:val="single" w:sz="4" w:space="0" w:color="auto"/>
            </w:tcBorders>
            <w:shd w:val="clear" w:color="auto" w:fill="auto"/>
            <w:vAlign w:val="bottom"/>
          </w:tcPr>
          <w:p w14:paraId="2ABEE3E9" w14:textId="77777777" w:rsidR="00401D85" w:rsidRPr="00840DEE" w:rsidRDefault="00401D85" w:rsidP="00401D85">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xml:space="preserve">Akciju emisijas uzcenojums </w:t>
            </w:r>
          </w:p>
          <w:p w14:paraId="783A2DC5" w14:textId="77777777" w:rsidR="00401D85" w:rsidRPr="00840DEE" w:rsidRDefault="00401D85" w:rsidP="00401D85">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6AFACD62" w14:textId="77777777" w:rsidR="00401D85" w:rsidRPr="00840DEE" w:rsidRDefault="00401D85" w:rsidP="00401D85">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Regulas (ES) Nr. 575/2013 62. panta b) punkts un 65. pants.</w:t>
            </w:r>
          </w:p>
          <w:p w14:paraId="32A61B51" w14:textId="77777777" w:rsidR="00401D85" w:rsidRPr="00840DEE" w:rsidRDefault="00401D85" w:rsidP="00401D85">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 xml:space="preserve">Akciju emisijas uzcenojums ir uzcenojums tādā nozīmē, kā definēts piemērojamā grāmatvedības standartā. </w:t>
            </w:r>
          </w:p>
          <w:p w14:paraId="2972CFDD" w14:textId="77777777" w:rsidR="00401D85" w:rsidRPr="00840DEE" w:rsidRDefault="00401D85" w:rsidP="00401D85">
            <w:pPr>
              <w:pStyle w:val="InstructionsText"/>
            </w:pPr>
            <w:r w:rsidRPr="00840DEE">
              <w:rPr>
                <w:rStyle w:val="FormatvorlageInstructionsTabelleText"/>
                <w:rFonts w:ascii="Times New Roman" w:hAnsi="Times New Roman"/>
                <w:sz w:val="22"/>
              </w:rPr>
              <w:t>Šajā postenī atklājamā summa ir ar “Apmaksātiem kapitāla instrumentiem” saistītā daļa.</w:t>
            </w:r>
          </w:p>
        </w:tc>
      </w:tr>
      <w:tr w:rsidR="00401D85" w:rsidRPr="00840DEE" w14:paraId="38098B8B" w14:textId="77777777" w:rsidTr="00AF1B12">
        <w:tblPrEx>
          <w:tblLook w:val="00A0" w:firstRow="1" w:lastRow="0" w:firstColumn="1" w:lastColumn="0" w:noHBand="0" w:noVBand="0"/>
        </w:tblPrEx>
        <w:tc>
          <w:tcPr>
            <w:tcW w:w="1129" w:type="dxa"/>
            <w:shd w:val="clear" w:color="auto" w:fill="auto"/>
            <w:vAlign w:val="center"/>
          </w:tcPr>
          <w:p w14:paraId="09B4FD05" w14:textId="77777777" w:rsidR="00401D85" w:rsidRPr="00840DEE" w:rsidRDefault="00401D85" w:rsidP="00401D85">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43.</w:t>
            </w:r>
          </w:p>
        </w:tc>
        <w:tc>
          <w:tcPr>
            <w:tcW w:w="7683" w:type="dxa"/>
            <w:tcBorders>
              <w:top w:val="nil"/>
              <w:left w:val="single" w:sz="4" w:space="0" w:color="auto"/>
              <w:bottom w:val="single" w:sz="4" w:space="0" w:color="auto"/>
              <w:right w:val="single" w:sz="4" w:space="0" w:color="auto"/>
            </w:tcBorders>
            <w:shd w:val="clear" w:color="auto" w:fill="auto"/>
            <w:vAlign w:val="bottom"/>
          </w:tcPr>
          <w:p w14:paraId="7F5B62A8" w14:textId="77777777" w:rsidR="00401D85" w:rsidRPr="00840DEE" w:rsidRDefault="00401D85" w:rsidP="00401D85">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KOPĒJIE ATSKAITĪJUMI NO OTRĀ LĪMEŅA KAPITĀLA</w:t>
            </w:r>
          </w:p>
          <w:p w14:paraId="6FE4CFEC" w14:textId="77777777" w:rsidR="00401D85" w:rsidRPr="00840DEE" w:rsidRDefault="00401D85" w:rsidP="00627A6E">
            <w:pPr>
              <w:spacing w:after="120"/>
              <w:jc w:val="both"/>
              <w:rPr>
                <w:rFonts w:ascii="Times New Roman" w:eastAsia="Times New Roman" w:hAnsi="Times New Roman" w:cs="Times New Roman"/>
                <w:bCs/>
                <w:szCs w:val="22"/>
              </w:rPr>
            </w:pPr>
            <w:r w:rsidRPr="00840DEE">
              <w:rPr>
                <w:rFonts w:ascii="Times New Roman" w:hAnsi="Times New Roman"/>
                <w:szCs w:val="22"/>
              </w:rPr>
              <w:t>Regulas (ES) Nr. 575/2013 66. pants.</w:t>
            </w:r>
          </w:p>
        </w:tc>
      </w:tr>
      <w:tr w:rsidR="00401D85" w:rsidRPr="00840DEE" w14:paraId="10FEE0BC" w14:textId="77777777" w:rsidTr="00AF1B12">
        <w:tblPrEx>
          <w:tblLook w:val="00A0" w:firstRow="1" w:lastRow="0" w:firstColumn="1" w:lastColumn="0" w:noHBand="0" w:noVBand="0"/>
        </w:tblPrEx>
        <w:tc>
          <w:tcPr>
            <w:tcW w:w="1129" w:type="dxa"/>
            <w:shd w:val="clear" w:color="auto" w:fill="auto"/>
            <w:vAlign w:val="center"/>
          </w:tcPr>
          <w:p w14:paraId="613B223E" w14:textId="77777777" w:rsidR="00401D85" w:rsidRPr="00840DEE" w:rsidRDefault="00401D85" w:rsidP="00401D85">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44.</w:t>
            </w:r>
          </w:p>
        </w:tc>
        <w:tc>
          <w:tcPr>
            <w:tcW w:w="7683" w:type="dxa"/>
            <w:tcBorders>
              <w:top w:val="nil"/>
              <w:left w:val="single" w:sz="4" w:space="0" w:color="auto"/>
              <w:bottom w:val="single" w:sz="4" w:space="0" w:color="auto"/>
              <w:right w:val="single" w:sz="4" w:space="0" w:color="auto"/>
            </w:tcBorders>
            <w:shd w:val="clear" w:color="auto" w:fill="auto"/>
            <w:vAlign w:val="bottom"/>
          </w:tcPr>
          <w:p w14:paraId="349DA10E" w14:textId="77777777" w:rsidR="00401D85" w:rsidRPr="00840DEE" w:rsidRDefault="00401D85" w:rsidP="00401D85">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Pašu otrā līmeņa kapitāla instrumenti</w:t>
            </w:r>
          </w:p>
          <w:p w14:paraId="1E386B95" w14:textId="77777777" w:rsidR="00401D85" w:rsidRPr="00840DEE" w:rsidRDefault="00401D85" w:rsidP="00401D85">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7583F044" w14:textId="77777777" w:rsidR="00401D85" w:rsidRPr="00840DEE" w:rsidRDefault="00401D85" w:rsidP="00401D85">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Regulas (ES) Nr. 575/2013 63. panta b) punkta i) apakšpunkts, 66. panta a) punkts un 67. pants.</w:t>
            </w:r>
          </w:p>
          <w:p w14:paraId="61A5694C" w14:textId="77777777" w:rsidR="00401D85" w:rsidRPr="00840DEE" w:rsidRDefault="00401D85" w:rsidP="00401D85">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Pašu otrā līmeņa kapitāla instrumenti, ko pārskata sniegšanas datumā tur pārskata sniedzēja iestāde vai grupa. Piemērojami Regulas (ES) Nr. 575/2013 67. panta izņēmumi.</w:t>
            </w:r>
          </w:p>
          <w:p w14:paraId="21C5678C" w14:textId="77777777" w:rsidR="00401D85" w:rsidRPr="00840DEE" w:rsidRDefault="00401D85" w:rsidP="00401D85">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Šajā rindā neatklāj tādas līdzdalības akcijās, kas iekļautas kā “Neatbilstoši kapitāla instrumenti”.</w:t>
            </w:r>
          </w:p>
          <w:p w14:paraId="2D221EA8" w14:textId="77777777" w:rsidR="00401D85" w:rsidRPr="00840DEE" w:rsidRDefault="00401D85" w:rsidP="00401D85">
            <w:pPr>
              <w:pStyle w:val="InstructionsText"/>
            </w:pPr>
            <w:r w:rsidRPr="00840DEE">
              <w:rPr>
                <w:rStyle w:val="FormatvorlageInstructionsTabelleText"/>
                <w:rFonts w:ascii="Times New Roman" w:hAnsi="Times New Roman"/>
                <w:sz w:val="22"/>
              </w:rPr>
              <w:t>Atklājamā summa ietver akciju emisijas uzcenojumu, kas saistīts ar pašu akcijām.</w:t>
            </w:r>
          </w:p>
        </w:tc>
      </w:tr>
      <w:tr w:rsidR="00401D85" w:rsidRPr="00840DEE" w14:paraId="53591FFA" w14:textId="77777777" w:rsidTr="00AF1B12">
        <w:tblPrEx>
          <w:tblLook w:val="00A0" w:firstRow="1" w:lastRow="0" w:firstColumn="1" w:lastColumn="0" w:noHBand="0" w:noVBand="0"/>
        </w:tblPrEx>
        <w:tc>
          <w:tcPr>
            <w:tcW w:w="1129" w:type="dxa"/>
            <w:shd w:val="clear" w:color="auto" w:fill="auto"/>
            <w:vAlign w:val="center"/>
          </w:tcPr>
          <w:p w14:paraId="1D004DA3" w14:textId="77777777" w:rsidR="00401D85" w:rsidRPr="00840DEE" w:rsidRDefault="00401D85" w:rsidP="00401D85">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45.</w:t>
            </w:r>
          </w:p>
        </w:tc>
        <w:tc>
          <w:tcPr>
            <w:tcW w:w="7683" w:type="dxa"/>
            <w:tcBorders>
              <w:top w:val="nil"/>
              <w:left w:val="single" w:sz="4" w:space="0" w:color="auto"/>
              <w:bottom w:val="single" w:sz="4" w:space="0" w:color="auto"/>
              <w:right w:val="single" w:sz="4" w:space="0" w:color="auto"/>
            </w:tcBorders>
            <w:shd w:val="clear" w:color="auto" w:fill="auto"/>
            <w:vAlign w:val="bottom"/>
          </w:tcPr>
          <w:p w14:paraId="2FAF28AD" w14:textId="77777777" w:rsidR="00401D85" w:rsidRPr="00840DEE" w:rsidRDefault="00401D85" w:rsidP="00401D85">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Tiešas līdzdalības otrā līmeņa kapitāla instrumentos</w:t>
            </w:r>
          </w:p>
          <w:p w14:paraId="6DB8531B" w14:textId="77777777" w:rsidR="00401D85" w:rsidRPr="00840DEE" w:rsidRDefault="00401D85" w:rsidP="009C422F">
            <w:pPr>
              <w:pStyle w:val="InstructionsText"/>
            </w:pPr>
            <w:r w:rsidRPr="00840DEE">
              <w:rPr>
                <w:rStyle w:val="FormatvorlageInstructionsTabelleText"/>
                <w:rFonts w:ascii="Times New Roman" w:hAnsi="Times New Roman"/>
                <w:sz w:val="22"/>
              </w:rPr>
              <w:t>Regulas (ES) Nr. 575/2013 63. panta b) punkts, 66. panta a) punkts un 67. pants.</w:t>
            </w:r>
          </w:p>
        </w:tc>
      </w:tr>
      <w:tr w:rsidR="00401D85" w:rsidRPr="00840DEE" w14:paraId="2943C9A0" w14:textId="77777777" w:rsidTr="00AF1B12">
        <w:tblPrEx>
          <w:tblLook w:val="00A0" w:firstRow="1" w:lastRow="0" w:firstColumn="1" w:lastColumn="0" w:noHBand="0" w:noVBand="0"/>
        </w:tblPrEx>
        <w:tc>
          <w:tcPr>
            <w:tcW w:w="1129" w:type="dxa"/>
            <w:shd w:val="clear" w:color="auto" w:fill="auto"/>
            <w:vAlign w:val="center"/>
          </w:tcPr>
          <w:p w14:paraId="1D2CACB0" w14:textId="77777777" w:rsidR="00401D85" w:rsidRPr="00840DEE" w:rsidRDefault="00401D85" w:rsidP="00401D85">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46.</w:t>
            </w:r>
          </w:p>
        </w:tc>
        <w:tc>
          <w:tcPr>
            <w:tcW w:w="7683" w:type="dxa"/>
            <w:tcBorders>
              <w:top w:val="nil"/>
              <w:left w:val="single" w:sz="4" w:space="0" w:color="auto"/>
              <w:bottom w:val="single" w:sz="4" w:space="0" w:color="auto"/>
              <w:right w:val="single" w:sz="4" w:space="0" w:color="auto"/>
            </w:tcBorders>
            <w:shd w:val="clear" w:color="auto" w:fill="auto"/>
            <w:vAlign w:val="bottom"/>
          </w:tcPr>
          <w:p w14:paraId="55E9A0DF" w14:textId="77777777" w:rsidR="00401D85" w:rsidRPr="00840DEE" w:rsidRDefault="00401D85" w:rsidP="00401D85">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Netiešas līdzdalības otrā līmeņa kapitāla instrumentos</w:t>
            </w:r>
          </w:p>
          <w:p w14:paraId="7ECD690B" w14:textId="77777777" w:rsidR="00401D85" w:rsidRPr="00840DEE" w:rsidRDefault="00401D85" w:rsidP="004B0D97">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Regulas (ES) Nr. 575/2013 4. panta 1. punkta 114) apakšpunkts, 63. panta b) punkts, 66. panta a) punkts un 67. pants.</w:t>
            </w:r>
          </w:p>
        </w:tc>
      </w:tr>
      <w:tr w:rsidR="00401D85" w:rsidRPr="00840DEE" w14:paraId="5AB5ADFD" w14:textId="77777777" w:rsidTr="00AF1B12">
        <w:tblPrEx>
          <w:tblLook w:val="00A0" w:firstRow="1" w:lastRow="0" w:firstColumn="1" w:lastColumn="0" w:noHBand="0" w:noVBand="0"/>
        </w:tblPrEx>
        <w:tc>
          <w:tcPr>
            <w:tcW w:w="1129" w:type="dxa"/>
            <w:shd w:val="clear" w:color="auto" w:fill="auto"/>
            <w:vAlign w:val="center"/>
          </w:tcPr>
          <w:p w14:paraId="289AD811" w14:textId="77777777" w:rsidR="00401D85" w:rsidRPr="00840DEE" w:rsidRDefault="00401D85" w:rsidP="00401D85">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47.</w:t>
            </w:r>
          </w:p>
        </w:tc>
        <w:tc>
          <w:tcPr>
            <w:tcW w:w="7683" w:type="dxa"/>
            <w:tcBorders>
              <w:top w:val="nil"/>
              <w:left w:val="single" w:sz="4" w:space="0" w:color="auto"/>
              <w:bottom w:val="single" w:sz="4" w:space="0" w:color="auto"/>
              <w:right w:val="single" w:sz="4" w:space="0" w:color="auto"/>
            </w:tcBorders>
            <w:shd w:val="clear" w:color="auto" w:fill="auto"/>
            <w:vAlign w:val="bottom"/>
          </w:tcPr>
          <w:p w14:paraId="575FCEF4" w14:textId="77777777" w:rsidR="00401D85" w:rsidRPr="00840DEE" w:rsidRDefault="00401D85" w:rsidP="00401D85">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Sintētiskas līdzdalības otrā līmeņa kapitāla instrumentos</w:t>
            </w:r>
          </w:p>
          <w:p w14:paraId="11934B1F" w14:textId="77777777" w:rsidR="00401D85" w:rsidRPr="00840DEE" w:rsidRDefault="001E32D5" w:rsidP="00401D85">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Regulas (ES) Nr. 575/2013 4. panta 1. punkta 126) apakšpunkts, 63. panta b) punkts, 66. panta a) punkts un 67. pants.</w:t>
            </w:r>
          </w:p>
        </w:tc>
      </w:tr>
      <w:tr w:rsidR="00401D85" w:rsidRPr="00840DEE" w14:paraId="5104BA0F" w14:textId="77777777" w:rsidTr="00AF1B12">
        <w:tblPrEx>
          <w:tblLook w:val="00A0" w:firstRow="1" w:lastRow="0" w:firstColumn="1" w:lastColumn="0" w:noHBand="0" w:noVBand="0"/>
        </w:tblPrEx>
        <w:tc>
          <w:tcPr>
            <w:tcW w:w="1129" w:type="dxa"/>
            <w:shd w:val="clear" w:color="auto" w:fill="auto"/>
            <w:vAlign w:val="center"/>
          </w:tcPr>
          <w:p w14:paraId="06E0B8ED" w14:textId="77777777" w:rsidR="00401D85" w:rsidRPr="00840DEE" w:rsidRDefault="00401D85" w:rsidP="00401D85">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48.</w:t>
            </w:r>
          </w:p>
        </w:tc>
        <w:tc>
          <w:tcPr>
            <w:tcW w:w="7683" w:type="dxa"/>
            <w:tcBorders>
              <w:top w:val="nil"/>
              <w:left w:val="single" w:sz="4" w:space="0" w:color="auto"/>
              <w:bottom w:val="single" w:sz="4" w:space="0" w:color="auto"/>
              <w:right w:val="single" w:sz="4" w:space="0" w:color="auto"/>
            </w:tcBorders>
            <w:shd w:val="clear" w:color="auto" w:fill="auto"/>
            <w:vAlign w:val="bottom"/>
          </w:tcPr>
          <w:p w14:paraId="762312CB" w14:textId="77777777" w:rsidR="00401D85" w:rsidRPr="00840DEE" w:rsidRDefault="00401D85" w:rsidP="00401D85">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Tādu finanšu sektora sabiedrību otrā līmeņa kapitāla instrumenti, kurās iestādei nav būtiska ieguldījuma</w:t>
            </w:r>
          </w:p>
          <w:p w14:paraId="3A94E684" w14:textId="77777777" w:rsidR="00401D85" w:rsidRPr="00840DEE" w:rsidRDefault="00401D85" w:rsidP="00401D85">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2. punkta c) apakšpunkts.</w:t>
            </w:r>
          </w:p>
          <w:p w14:paraId="7D5C17A9" w14:textId="77777777" w:rsidR="00401D85" w:rsidRPr="00840DEE" w:rsidRDefault="00401D85" w:rsidP="00401D85">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Nr. 575/2013 66. panta c) punkts.</w:t>
            </w:r>
          </w:p>
        </w:tc>
      </w:tr>
      <w:tr w:rsidR="00401D85" w:rsidRPr="00840DEE" w14:paraId="1905F156" w14:textId="77777777" w:rsidTr="009C422F">
        <w:tblPrEx>
          <w:tblLook w:val="00A0" w:firstRow="1" w:lastRow="0" w:firstColumn="1" w:lastColumn="0" w:noHBand="0" w:noVBand="0"/>
        </w:tblPrEx>
        <w:tc>
          <w:tcPr>
            <w:tcW w:w="1129" w:type="dxa"/>
            <w:tcBorders>
              <w:bottom w:val="single" w:sz="4" w:space="0" w:color="auto"/>
            </w:tcBorders>
            <w:shd w:val="clear" w:color="auto" w:fill="auto"/>
            <w:vAlign w:val="center"/>
          </w:tcPr>
          <w:p w14:paraId="3D62C178" w14:textId="77777777" w:rsidR="00401D85" w:rsidRPr="00840DEE" w:rsidRDefault="00401D85" w:rsidP="00401D85">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49.</w:t>
            </w:r>
          </w:p>
        </w:tc>
        <w:tc>
          <w:tcPr>
            <w:tcW w:w="7683" w:type="dxa"/>
            <w:tcBorders>
              <w:top w:val="nil"/>
              <w:left w:val="single" w:sz="4" w:space="0" w:color="auto"/>
              <w:bottom w:val="single" w:sz="4" w:space="0" w:color="auto"/>
              <w:right w:val="single" w:sz="4" w:space="0" w:color="auto"/>
            </w:tcBorders>
            <w:shd w:val="clear" w:color="auto" w:fill="auto"/>
            <w:vAlign w:val="bottom"/>
          </w:tcPr>
          <w:p w14:paraId="10A4E147" w14:textId="77777777" w:rsidR="00401D85" w:rsidRPr="00840DEE" w:rsidRDefault="00401D85" w:rsidP="00401D85">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Tādu finanšu sektora sabiedrību otrā līmeņa kapitāla instrumenti, kurās iestādei ir būtisks ieguldījums</w:t>
            </w:r>
          </w:p>
          <w:p w14:paraId="20631B9D" w14:textId="77777777" w:rsidR="00401D85" w:rsidRPr="00840DEE" w:rsidRDefault="00401D85" w:rsidP="00401D85">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Regulas (ES) Nr. 575/2013 4. panta 1. punkta 27) apakšpunkts, 66. panta d) punkts, 68., 69. un 79. pants.</w:t>
            </w:r>
          </w:p>
          <w:p w14:paraId="15272011" w14:textId="77777777" w:rsidR="00401D85" w:rsidRPr="00840DEE" w:rsidRDefault="00401D85" w:rsidP="00401D85">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Pilnībā atskaita iestādes līdzdalības tādu finanšu sektora sabiedrību (kā definēts Regulas (ES) Nr. 575/2013 4. panta 1. punkta 27. apakšpunktā) otrā līmeņa kapitāla instrumentos, kurās ieguldījumu brokeru sabiedrībai ir būtisks ieguldījums.</w:t>
            </w:r>
          </w:p>
        </w:tc>
      </w:tr>
      <w:tr w:rsidR="004B0D97" w:rsidRPr="00840DEE" w14:paraId="47CE2E02" w14:textId="77777777" w:rsidTr="009C422F">
        <w:tblPrEx>
          <w:tblLook w:val="00A0" w:firstRow="1" w:lastRow="0" w:firstColumn="1" w:lastColumn="0" w:noHBand="0" w:noVBand="0"/>
        </w:tblPrEx>
        <w:tc>
          <w:tcPr>
            <w:tcW w:w="1129" w:type="dxa"/>
            <w:tcBorders>
              <w:top w:val="single" w:sz="4" w:space="0" w:color="auto"/>
            </w:tcBorders>
            <w:shd w:val="clear" w:color="auto" w:fill="auto"/>
            <w:vAlign w:val="center"/>
          </w:tcPr>
          <w:p w14:paraId="14083CD2" w14:textId="77777777" w:rsidR="004B0D97" w:rsidRPr="00840DEE" w:rsidRDefault="004B0D97" w:rsidP="00401D85">
            <w:pPr>
              <w:spacing w:after="120"/>
              <w:jc w:val="both"/>
              <w:rPr>
                <w:rFonts w:ascii="Times New Roman" w:hAnsi="Times New Roman" w:cs="Times New Roman"/>
                <w:color w:val="000000"/>
                <w:szCs w:val="22"/>
              </w:rPr>
            </w:pPr>
            <w:r w:rsidRPr="00840DEE">
              <w:rPr>
                <w:rFonts w:ascii="Times New Roman" w:hAnsi="Times New Roman"/>
                <w:color w:val="000000"/>
                <w:szCs w:val="22"/>
              </w:rPr>
              <w:t>50.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B121032" w14:textId="77777777" w:rsidR="004B0D97" w:rsidRPr="00840DEE" w:rsidRDefault="004B0D97" w:rsidP="004B0D97">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Otrā līmeņa kapitāls: citi kapitāla elementi, atskaitījumi un korekcijas</w:t>
            </w:r>
          </w:p>
          <w:p w14:paraId="1F0401B8" w14:textId="77777777" w:rsidR="004B0D97" w:rsidRPr="00840DEE" w:rsidRDefault="004B0D97" w:rsidP="004B0D97">
            <w:pPr>
              <w:spacing w:after="120"/>
              <w:jc w:val="both"/>
              <w:rPr>
                <w:rFonts w:ascii="Times New Roman" w:eastAsia="Times New Roman" w:hAnsi="Times New Roman" w:cs="Times New Roman"/>
                <w:bCs/>
                <w:szCs w:val="22"/>
              </w:rPr>
            </w:pPr>
            <w:r w:rsidRPr="00840DEE">
              <w:rPr>
                <w:rFonts w:ascii="Times New Roman" w:hAnsi="Times New Roman"/>
                <w:bCs/>
                <w:szCs w:val="22"/>
              </w:rPr>
              <w:t>Šī rinda ietver šādu posteņu summu (ja piemērojams):</w:t>
            </w:r>
          </w:p>
          <w:p w14:paraId="77C2A21E" w14:textId="77777777" w:rsidR="004B0D97" w:rsidRPr="00840DEE" w:rsidRDefault="004B0D97" w:rsidP="004B0D97">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lastRenderedPageBreak/>
              <w:t>pārejas posma korekcijas saistībā ar otrā līmeņa kapitāla instrumentiem, attiecībā uz kuriem piemērotas tiesības saglabāt iepriekš spēkā esošos nosacījumus (Regulas (ES) Nr. 575/2013 483. panta 6. un 7. punkts, 484., 486., 488., 490. un 491. pants),</w:t>
            </w:r>
          </w:p>
          <w:p w14:paraId="00D25489" w14:textId="77777777" w:rsidR="004B0D97" w:rsidRPr="00840DEE" w:rsidRDefault="004B0D97" w:rsidP="004B0D97">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meitasuzņēmumu emitēti instrumenti, kuri ir atzīti otrā līmeņa kapitālā (Regulas (ES) Nr. 575/2013 83., 87. un 88. pants): visa meitasuzņēmumu atbilstīgā pašu kapitāla summa, kas ietverta konsolidētajā otrā līmeņa kapitālā, tajā skaitā arī īpašam nolūkam dibinātas sabiedrības emitētais atbilstīgais otrā līmeņa kapitāls (Regulas (ES) Nr. 575/2013 83. pants),</w:t>
            </w:r>
          </w:p>
          <w:p w14:paraId="2001B428" w14:textId="77777777" w:rsidR="004B0D97" w:rsidRPr="00840DEE" w:rsidRDefault="004B0D97" w:rsidP="004B0D97">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pārejas posma korekcijas saistībā ar meitasuzņēmumu emitētu instrumentu papildu atzīšanu otrā līmeņa kapitālā (Regulas (ES) Nr. 575/2013 480. pants): korekcijas, kas saistībā ar pārejas noteikumiem veiktas atbilstīgā pašu kapitālā, kurš ietverts konsolidētajā otrā līmeņa kapitālā,</w:t>
            </w:r>
          </w:p>
          <w:p w14:paraId="7C6938B2" w14:textId="77777777" w:rsidR="004B0D97" w:rsidRPr="00840DEE" w:rsidRDefault="004B0D97" w:rsidP="004B0D97">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citas pārejas posma korekcijas attiecībā uz otrā līmeņa kapitālu (Regulas (ES) Nr. 575/2013 472. pants, 473.a, 476., 477., 478. un 481. pants): korekcijas, kas saistībā ar pārejas noteikumiem veiktas atskaitījumos no otrā līmeņa kapitāla,</w:t>
            </w:r>
          </w:p>
          <w:p w14:paraId="6BB10C05" w14:textId="77777777" w:rsidR="004B0D97" w:rsidRPr="00840DEE" w:rsidRDefault="004B0D97" w:rsidP="004B0D97">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summa, par kādu otrā līmeņa kapitāla posteņu atskaitījums pārsniedz otrā līmeņa kapitālu, atskaitīta no pirmā līmeņa pamata kapitāla saskaņā ar Regulas (ES) Nr. 575/2013 56. panta e) punktu: otrā līmeņa kapitāls nevar būt negatīvs, bet pastāv iespēja, ka atskaitījumi no otrā līmeņa kapitāla posteņiem pārsniedz pieejamo otrā līmeņa kapitāla posteņu summu. Šādā gadījumā šis postenis atspoguļo summu, kas nepieciešama, lai 40. rindā uzrādīto summu palielinātu līdz nullei,</w:t>
            </w:r>
          </w:p>
          <w:p w14:paraId="02270E16" w14:textId="77777777" w:rsidR="004B0D97" w:rsidRPr="00840DEE" w:rsidRDefault="004B0D97" w:rsidP="004B0D97">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 xml:space="preserve">citi otrā līmeņa kapitāla elementi vai atskaitījumi no otrā līmeņa kapitāla elementa, kurus nevar iedalīt nevienā no rindām, kas apzīmētas ar 41–49. </w:t>
            </w:r>
          </w:p>
          <w:p w14:paraId="2F54159E" w14:textId="77777777" w:rsidR="004B0D97" w:rsidRPr="00840DEE" w:rsidRDefault="004B0D97" w:rsidP="005768F5">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Šo rindu neizmanto, lai maksātspējas koeficientu aprēķinā iekļautu kapitāla posteņus vai atskaitījumus, kuriem nepiemēro Regulu (ES) 2019/2033 vai Regulu (ES) Nr. 575/2013.</w:t>
            </w:r>
          </w:p>
        </w:tc>
      </w:tr>
    </w:tbl>
    <w:p w14:paraId="4BC7EAE0" w14:textId="77777777" w:rsidR="001F2493" w:rsidRPr="00840DEE" w:rsidRDefault="001F2493" w:rsidP="001F2493">
      <w:pPr>
        <w:spacing w:before="120" w:after="120"/>
        <w:jc w:val="both"/>
        <w:rPr>
          <w:rFonts w:ascii="Times New Roman" w:hAnsi="Times New Roman" w:cs="Times New Roman"/>
          <w:bCs/>
          <w:sz w:val="24"/>
        </w:rPr>
      </w:pPr>
    </w:p>
    <w:p w14:paraId="4F8A7FA5" w14:textId="77777777" w:rsidR="001F2493" w:rsidRPr="00840DEE" w:rsidRDefault="00B44D36" w:rsidP="00B44D36">
      <w:pPr>
        <w:ind w:left="720"/>
        <w:rPr>
          <w:rFonts w:ascii="Times New Roman" w:hAnsi="Times New Roman" w:cs="Times New Roman"/>
          <w:b/>
          <w:bCs/>
          <w:sz w:val="24"/>
        </w:rPr>
      </w:pPr>
      <w:r w:rsidRPr="00840DEE">
        <w:rPr>
          <w:rFonts w:ascii="Times New Roman" w:hAnsi="Times New Roman"/>
          <w:b/>
          <w:bCs/>
          <w:sz w:val="24"/>
        </w:rPr>
        <w:t>Veidne EU I CC1.02. — Regulējošām prasībām atbilstošā pašu kapitāla struktūra (Nelielas un savstarpēji nesaistītas ieguldījumu brokeru sabiedrības)</w:t>
      </w:r>
    </w:p>
    <w:p w14:paraId="0F4FC8D7" w14:textId="77777777" w:rsidR="00B44D36" w:rsidRPr="00840DEE" w:rsidRDefault="00B44D36" w:rsidP="00B44D36">
      <w:pPr>
        <w:ind w:left="720"/>
        <w:rPr>
          <w:rFonts w:ascii="Times New Roman" w:hAnsi="Times New Roman" w:cs="Times New Roman"/>
          <w:b/>
          <w:bCs/>
          <w:sz w:val="24"/>
        </w:rPr>
      </w:pP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B44D36" w:rsidRPr="00840DEE" w14:paraId="4CDE678E" w14:textId="77777777" w:rsidTr="00AF1B12">
        <w:trPr>
          <w:trHeight w:val="395"/>
        </w:trPr>
        <w:tc>
          <w:tcPr>
            <w:tcW w:w="8812" w:type="dxa"/>
            <w:gridSpan w:val="2"/>
            <w:shd w:val="clear" w:color="auto" w:fill="D9D9D9" w:themeFill="background1" w:themeFillShade="D9"/>
          </w:tcPr>
          <w:p w14:paraId="02D8A92A" w14:textId="77777777" w:rsidR="00B44D36" w:rsidRPr="00840DEE" w:rsidRDefault="00B44D36" w:rsidP="00AF1B12">
            <w:pPr>
              <w:pStyle w:val="TableTitle"/>
              <w:spacing w:before="0" w:after="0"/>
              <w:jc w:val="left"/>
              <w:rPr>
                <w:rFonts w:ascii="Times New Roman" w:hAnsi="Times New Roman"/>
                <w:szCs w:val="22"/>
              </w:rPr>
            </w:pPr>
            <w:r w:rsidRPr="00840DEE">
              <w:rPr>
                <w:rFonts w:ascii="Times New Roman" w:hAnsi="Times New Roman"/>
                <w:szCs w:val="22"/>
              </w:rPr>
              <w:t>Atsauces uz tiesību aktiem un norādījumi</w:t>
            </w:r>
          </w:p>
        </w:tc>
      </w:tr>
      <w:tr w:rsidR="00B44D36" w:rsidRPr="00840DEE" w14:paraId="440A80E9" w14:textId="77777777" w:rsidTr="00AF1B12">
        <w:tblPrEx>
          <w:tblLook w:val="00A0" w:firstRow="1" w:lastRow="0" w:firstColumn="1" w:lastColumn="0" w:noHBand="0" w:noVBand="0"/>
        </w:tblPrEx>
        <w:tc>
          <w:tcPr>
            <w:tcW w:w="1129" w:type="dxa"/>
            <w:tcBorders>
              <w:bottom w:val="single" w:sz="4" w:space="0" w:color="auto"/>
            </w:tcBorders>
            <w:shd w:val="clear" w:color="auto" w:fill="D9D9D9"/>
          </w:tcPr>
          <w:p w14:paraId="0B378E61" w14:textId="77777777" w:rsidR="00B44D36" w:rsidRPr="00840DEE" w:rsidRDefault="00B44D36" w:rsidP="00AF1B12">
            <w:pPr>
              <w:spacing w:after="120"/>
              <w:jc w:val="both"/>
              <w:rPr>
                <w:rFonts w:ascii="Times New Roman" w:eastAsia="Times New Roman" w:hAnsi="Times New Roman" w:cs="Times New Roman"/>
                <w:bCs/>
                <w:szCs w:val="22"/>
              </w:rPr>
            </w:pPr>
            <w:r w:rsidRPr="00840DEE">
              <w:rPr>
                <w:rFonts w:ascii="Times New Roman" w:hAnsi="Times New Roman"/>
                <w:szCs w:val="22"/>
              </w:rPr>
              <w:t>Rinda</w:t>
            </w:r>
          </w:p>
        </w:tc>
        <w:tc>
          <w:tcPr>
            <w:tcW w:w="7683" w:type="dxa"/>
            <w:tcBorders>
              <w:bottom w:val="single" w:sz="4" w:space="0" w:color="auto"/>
            </w:tcBorders>
            <w:shd w:val="clear" w:color="auto" w:fill="D9D9D9"/>
          </w:tcPr>
          <w:p w14:paraId="6D5DD6E8" w14:textId="77777777" w:rsidR="00B44D36" w:rsidRPr="00840DEE" w:rsidRDefault="00B44D36" w:rsidP="00AF1B12">
            <w:pPr>
              <w:spacing w:after="120"/>
              <w:jc w:val="both"/>
              <w:rPr>
                <w:rFonts w:ascii="Times New Roman" w:eastAsia="Times New Roman" w:hAnsi="Times New Roman" w:cs="Times New Roman"/>
                <w:bCs/>
                <w:szCs w:val="22"/>
              </w:rPr>
            </w:pPr>
            <w:r w:rsidRPr="00840DEE">
              <w:rPr>
                <w:rFonts w:ascii="Times New Roman" w:hAnsi="Times New Roman"/>
                <w:szCs w:val="22"/>
              </w:rPr>
              <w:t>Atsauces uz tiesību aktiem un norādījumi</w:t>
            </w:r>
          </w:p>
        </w:tc>
      </w:tr>
      <w:tr w:rsidR="00B44D36" w:rsidRPr="00840DEE" w14:paraId="6D6348EC" w14:textId="77777777" w:rsidTr="00AF1B12">
        <w:tblPrEx>
          <w:tblLook w:val="00A0" w:firstRow="1" w:lastRow="0" w:firstColumn="1" w:lastColumn="0" w:noHBand="0" w:noVBand="0"/>
        </w:tblPrEx>
        <w:tc>
          <w:tcPr>
            <w:tcW w:w="1129" w:type="dxa"/>
            <w:shd w:val="clear" w:color="auto" w:fill="auto"/>
            <w:vAlign w:val="center"/>
          </w:tcPr>
          <w:p w14:paraId="62004395" w14:textId="77777777" w:rsidR="00B44D36" w:rsidRPr="00840DEE" w:rsidRDefault="00B44D36" w:rsidP="00B44D36">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1.</w:t>
            </w:r>
          </w:p>
        </w:tc>
        <w:tc>
          <w:tcPr>
            <w:tcW w:w="7683" w:type="dxa"/>
            <w:shd w:val="clear" w:color="auto" w:fill="auto"/>
          </w:tcPr>
          <w:p w14:paraId="3F2D9C45" w14:textId="77777777" w:rsidR="00B44D36" w:rsidRPr="00840DEE" w:rsidRDefault="00B44D36" w:rsidP="00B44D36">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Pašu kapitāls</w:t>
            </w:r>
          </w:p>
          <w:p w14:paraId="53D0E78B" w14:textId="77777777" w:rsidR="00B44D36" w:rsidRPr="00840DEE" w:rsidRDefault="00B44D36" w:rsidP="00B44D36">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punkts.</w:t>
            </w:r>
          </w:p>
          <w:p w14:paraId="104FAF98" w14:textId="77777777" w:rsidR="00B44D36" w:rsidRPr="00840DEE" w:rsidRDefault="00B44D36" w:rsidP="00B44D36">
            <w:pPr>
              <w:spacing w:after="120"/>
              <w:jc w:val="both"/>
              <w:rPr>
                <w:rStyle w:val="FormatvorlageInstructionsTabelleText"/>
                <w:rFonts w:ascii="Times New Roman" w:hAnsi="Times New Roman"/>
                <w:sz w:val="22"/>
                <w:szCs w:val="22"/>
              </w:rPr>
            </w:pPr>
            <w:r w:rsidRPr="00840DEE">
              <w:rPr>
                <w:rStyle w:val="FormatvorlageInstructionsTabelleText"/>
                <w:rFonts w:ascii="Times New Roman" w:hAnsi="Times New Roman"/>
                <w:sz w:val="22"/>
                <w:szCs w:val="22"/>
              </w:rPr>
              <w:t>Ieguldījumu brokeru sabiedrības pašu kapitālu veido tās pirmā līmeņa pamata kapitāla, pirmā līmeņa papildu kapitāla un otrā līmeņa kapitāla summa.</w:t>
            </w:r>
          </w:p>
          <w:p w14:paraId="5C100381" w14:textId="77777777" w:rsidR="001F7FC2" w:rsidRPr="00840DEE" w:rsidRDefault="001F7FC2" w:rsidP="00367D4B">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Atklāj 2. un 25. rindas kopsummu.</w:t>
            </w:r>
          </w:p>
        </w:tc>
      </w:tr>
      <w:tr w:rsidR="00B44D36" w:rsidRPr="00840DEE" w14:paraId="4A4539E6" w14:textId="77777777" w:rsidTr="00AF1B12">
        <w:tblPrEx>
          <w:tblLook w:val="00A0" w:firstRow="1" w:lastRow="0" w:firstColumn="1" w:lastColumn="0" w:noHBand="0" w:noVBand="0"/>
        </w:tblPrEx>
        <w:tc>
          <w:tcPr>
            <w:tcW w:w="1129" w:type="dxa"/>
            <w:shd w:val="clear" w:color="auto" w:fill="auto"/>
            <w:vAlign w:val="center"/>
          </w:tcPr>
          <w:p w14:paraId="14F17681" w14:textId="77777777" w:rsidR="00B44D36" w:rsidRPr="00840DEE" w:rsidRDefault="00B44D36" w:rsidP="00B44D36">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2.</w:t>
            </w:r>
          </w:p>
        </w:tc>
        <w:tc>
          <w:tcPr>
            <w:tcW w:w="7683" w:type="dxa"/>
            <w:shd w:val="clear" w:color="auto" w:fill="auto"/>
          </w:tcPr>
          <w:p w14:paraId="0E5BF494" w14:textId="77777777" w:rsidR="00B44D36" w:rsidRPr="00840DEE" w:rsidRDefault="00B44D36" w:rsidP="00B44D36">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Pirmā līmeņa kapitāls</w:t>
            </w:r>
          </w:p>
          <w:p w14:paraId="78C290B4" w14:textId="77777777" w:rsidR="00B44D36" w:rsidRPr="00840DEE" w:rsidRDefault="00B44D36" w:rsidP="00B44D36">
            <w:pPr>
              <w:spacing w:after="120"/>
              <w:jc w:val="both"/>
              <w:rPr>
                <w:rStyle w:val="FormatvorlageInstructionsTabelleText"/>
                <w:rFonts w:ascii="Times New Roman" w:hAnsi="Times New Roman"/>
                <w:sz w:val="22"/>
                <w:szCs w:val="22"/>
              </w:rPr>
            </w:pPr>
            <w:r w:rsidRPr="00840DEE">
              <w:rPr>
                <w:rStyle w:val="FormatvorlageInstructionsTabelleText"/>
                <w:rFonts w:ascii="Times New Roman" w:hAnsi="Times New Roman"/>
                <w:sz w:val="22"/>
                <w:szCs w:val="22"/>
              </w:rPr>
              <w:t>Pirmā līmeņa kapitālu veido pirmā līmeņa pamata kapitāla un pirmā līmeņa papildu kapitāla summa.</w:t>
            </w:r>
          </w:p>
          <w:p w14:paraId="5B363968" w14:textId="77777777" w:rsidR="001F7FC2" w:rsidRPr="00840DEE" w:rsidRDefault="001F7FC2" w:rsidP="002A2797">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Atklāj 3. un 20. rindas kopsummu.</w:t>
            </w:r>
          </w:p>
        </w:tc>
      </w:tr>
      <w:tr w:rsidR="00B44D36" w:rsidRPr="00840DEE" w14:paraId="5FF4F7A3" w14:textId="77777777" w:rsidTr="00AF1B12">
        <w:tblPrEx>
          <w:tblLook w:val="00A0" w:firstRow="1" w:lastRow="0" w:firstColumn="1" w:lastColumn="0" w:noHBand="0" w:noVBand="0"/>
        </w:tblPrEx>
        <w:tc>
          <w:tcPr>
            <w:tcW w:w="1129" w:type="dxa"/>
            <w:shd w:val="clear" w:color="auto" w:fill="auto"/>
            <w:vAlign w:val="center"/>
          </w:tcPr>
          <w:p w14:paraId="5CCB14B4" w14:textId="77777777" w:rsidR="00B44D36" w:rsidRPr="00840DEE" w:rsidRDefault="00B44D36" w:rsidP="00B44D36">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3.</w:t>
            </w:r>
          </w:p>
        </w:tc>
        <w:tc>
          <w:tcPr>
            <w:tcW w:w="7683" w:type="dxa"/>
            <w:shd w:val="clear" w:color="auto" w:fill="auto"/>
          </w:tcPr>
          <w:p w14:paraId="75E629A9" w14:textId="77777777" w:rsidR="00B44D36" w:rsidRPr="00840DEE" w:rsidRDefault="00B44D36" w:rsidP="00B44D36">
            <w:pPr>
              <w:spacing w:after="120"/>
              <w:jc w:val="both"/>
              <w:rPr>
                <w:rFonts w:ascii="Times New Roman" w:eastAsia="Times New Roman" w:hAnsi="Times New Roman" w:cs="Times New Roman"/>
                <w:b/>
                <w:bCs/>
                <w:szCs w:val="22"/>
                <w:u w:val="single"/>
              </w:rPr>
            </w:pPr>
            <w:r w:rsidRPr="00840DEE">
              <w:rPr>
                <w:rStyle w:val="InstructionsTabelleberschrift"/>
                <w:rFonts w:ascii="Times New Roman" w:hAnsi="Times New Roman"/>
                <w:sz w:val="22"/>
                <w:szCs w:val="22"/>
              </w:rPr>
              <w:t>Pirmā līmeņa pamata kapitāls</w:t>
            </w:r>
            <w:r w:rsidRPr="00840DEE">
              <w:rPr>
                <w:rFonts w:ascii="Times New Roman" w:hAnsi="Times New Roman"/>
                <w:b/>
                <w:bCs/>
                <w:szCs w:val="22"/>
                <w:u w:val="single"/>
              </w:rPr>
              <w:t xml:space="preserve"> </w:t>
            </w:r>
          </w:p>
          <w:p w14:paraId="19D9244B" w14:textId="77777777" w:rsidR="00B44D36" w:rsidRPr="00840DEE" w:rsidRDefault="00B44D36" w:rsidP="00B44D36">
            <w:pPr>
              <w:spacing w:after="120"/>
              <w:jc w:val="both"/>
              <w:rPr>
                <w:rFonts w:ascii="Times New Roman" w:eastAsia="Times New Roman" w:hAnsi="Times New Roman" w:cs="Times New Roman"/>
                <w:bCs/>
                <w:szCs w:val="22"/>
              </w:rPr>
            </w:pPr>
            <w:r w:rsidRPr="00840DEE">
              <w:rPr>
                <w:rFonts w:ascii="Times New Roman" w:hAnsi="Times New Roman"/>
                <w:bCs/>
                <w:szCs w:val="22"/>
              </w:rPr>
              <w:lastRenderedPageBreak/>
              <w:t>Regulas (ES) 2019/2033 9. panta 1. punkts.</w:t>
            </w:r>
          </w:p>
          <w:p w14:paraId="3A521A4D" w14:textId="77777777" w:rsidR="00B44D36" w:rsidRPr="00840DEE" w:rsidRDefault="00B44D36" w:rsidP="00B44D36">
            <w:pPr>
              <w:spacing w:after="120"/>
              <w:jc w:val="both"/>
              <w:rPr>
                <w:rStyle w:val="FormatvorlageInstructionsTabelleText"/>
                <w:rFonts w:ascii="Times New Roman" w:hAnsi="Times New Roman"/>
                <w:sz w:val="22"/>
                <w:szCs w:val="22"/>
              </w:rPr>
            </w:pPr>
            <w:r w:rsidRPr="00840DEE">
              <w:rPr>
                <w:rStyle w:val="FormatvorlageInstructionsTabelleText"/>
                <w:rFonts w:ascii="Times New Roman" w:hAnsi="Times New Roman"/>
                <w:sz w:val="22"/>
                <w:szCs w:val="22"/>
              </w:rPr>
              <w:t>Regulas (ES) Nr. 575/2013 50. pants.</w:t>
            </w:r>
          </w:p>
          <w:p w14:paraId="7AC7D9A1" w14:textId="77777777" w:rsidR="001F7FC2" w:rsidRPr="00840DEE" w:rsidRDefault="001F7FC2" w:rsidP="001F7FC2">
            <w:pPr>
              <w:spacing w:after="120"/>
              <w:jc w:val="both"/>
              <w:rPr>
                <w:rFonts w:ascii="Times New Roman" w:eastAsia="Times New Roman" w:hAnsi="Times New Roman" w:cs="Times New Roman"/>
                <w:bCs/>
                <w:szCs w:val="22"/>
              </w:rPr>
            </w:pPr>
            <w:r w:rsidRPr="00840DEE">
              <w:rPr>
                <w:rFonts w:ascii="Times New Roman" w:hAnsi="Times New Roman"/>
                <w:bCs/>
                <w:szCs w:val="22"/>
              </w:rPr>
              <w:t>Atklāj 4. līdz 11. rindas un 19. rindas kopsummu.</w:t>
            </w:r>
          </w:p>
        </w:tc>
      </w:tr>
      <w:tr w:rsidR="00B44D36" w:rsidRPr="00840DEE" w14:paraId="1B0F7BC7" w14:textId="77777777" w:rsidTr="00AF1B12">
        <w:tblPrEx>
          <w:tblLook w:val="00A0" w:firstRow="1" w:lastRow="0" w:firstColumn="1" w:lastColumn="0" w:noHBand="0" w:noVBand="0"/>
        </w:tblPrEx>
        <w:tc>
          <w:tcPr>
            <w:tcW w:w="1129" w:type="dxa"/>
            <w:shd w:val="clear" w:color="auto" w:fill="auto"/>
            <w:vAlign w:val="center"/>
          </w:tcPr>
          <w:p w14:paraId="53CD15AF" w14:textId="77777777" w:rsidR="00B44D36" w:rsidRPr="00840DEE" w:rsidRDefault="00B44D36" w:rsidP="00B44D36">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lastRenderedPageBreak/>
              <w:t>4.</w:t>
            </w:r>
          </w:p>
        </w:tc>
        <w:tc>
          <w:tcPr>
            <w:tcW w:w="7683" w:type="dxa"/>
            <w:shd w:val="clear" w:color="auto" w:fill="auto"/>
          </w:tcPr>
          <w:p w14:paraId="7DC5C2DF" w14:textId="77777777" w:rsidR="00CC1DC4" w:rsidRPr="00840DEE" w:rsidRDefault="00CC1DC4" w:rsidP="00107FFE">
            <w:pPr>
              <w:spacing w:after="120"/>
              <w:jc w:val="both"/>
              <w:rPr>
                <w:rFonts w:ascii="Times New Roman" w:eastAsia="Times New Roman" w:hAnsi="Times New Roman" w:cs="Times New Roman"/>
                <w:bCs/>
                <w:szCs w:val="22"/>
              </w:rPr>
            </w:pPr>
            <w:r w:rsidRPr="00840DEE">
              <w:rPr>
                <w:rFonts w:ascii="Times New Roman" w:hAnsi="Times New Roman"/>
                <w:b/>
                <w:bCs/>
                <w:szCs w:val="22"/>
                <w:u w:val="single"/>
              </w:rPr>
              <w:t xml:space="preserve">Pilnībā apmaksāti kapitāla instrumenti </w:t>
            </w:r>
          </w:p>
          <w:p w14:paraId="26D1DF39" w14:textId="77777777" w:rsidR="00107FFE" w:rsidRPr="00840DEE" w:rsidRDefault="00107FFE" w:rsidP="00107FFE">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5C6D4B12" w14:textId="77777777" w:rsidR="00B44D36" w:rsidRPr="00840DEE" w:rsidRDefault="00B44D36" w:rsidP="00972BBA">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Regulas (ES) Nr. 575/2013 26. panta 1. punkta a) apakšpunkts un 27. līdz 31. pants.</w:t>
            </w:r>
          </w:p>
          <w:p w14:paraId="67E5E8AC" w14:textId="77777777" w:rsidR="00B44D36" w:rsidRPr="00840DEE" w:rsidRDefault="00B44D36" w:rsidP="00972BBA">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Ietver savstarpēju sabiedrību, kooperatīvu sabiedrību vai līdzīgu iestāžu kapitāla instrumentus (Regulas (ES) Nr. 575/2013 27. un 29. pants).</w:t>
            </w:r>
          </w:p>
          <w:p w14:paraId="7A1C0757" w14:textId="77777777" w:rsidR="00B44D36" w:rsidRPr="00840DEE" w:rsidRDefault="00B44D36" w:rsidP="002B149A">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Neietver ar instrumentiem saistīto akciju emisijas uzcenojumu.</w:t>
            </w:r>
          </w:p>
          <w:p w14:paraId="20529449" w14:textId="77777777" w:rsidR="00B44D36" w:rsidRPr="00840DEE" w:rsidRDefault="00B44D36" w:rsidP="002B149A">
            <w:pPr>
              <w:pStyle w:val="InstructionsText"/>
            </w:pPr>
            <w:r w:rsidRPr="00840DEE">
              <w:rPr>
                <w:rStyle w:val="FormatvorlageInstructionsTabelleText"/>
                <w:rFonts w:ascii="Times New Roman" w:hAnsi="Times New Roman"/>
                <w:sz w:val="22"/>
              </w:rPr>
              <w:t>Ietver kapitāla instrumentus, uz ko parakstījušas valsts sektora iestādes ārkārtas situācijās, ja visi Regulas (ES) Nr. 575/2013 31. panta nosacījumi ir izpildīti.</w:t>
            </w:r>
          </w:p>
        </w:tc>
      </w:tr>
      <w:tr w:rsidR="00B44D36" w:rsidRPr="00840DEE" w14:paraId="003C23EB" w14:textId="77777777" w:rsidTr="00AF1B12">
        <w:tblPrEx>
          <w:tblLook w:val="00A0" w:firstRow="1" w:lastRow="0" w:firstColumn="1" w:lastColumn="0" w:noHBand="0" w:noVBand="0"/>
        </w:tblPrEx>
        <w:tc>
          <w:tcPr>
            <w:tcW w:w="1129" w:type="dxa"/>
            <w:shd w:val="clear" w:color="auto" w:fill="auto"/>
            <w:vAlign w:val="center"/>
          </w:tcPr>
          <w:p w14:paraId="3C0C512B" w14:textId="77777777" w:rsidR="00B44D36" w:rsidRPr="00840DEE" w:rsidRDefault="00B44D36" w:rsidP="00B44D36">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5.</w:t>
            </w:r>
          </w:p>
        </w:tc>
        <w:tc>
          <w:tcPr>
            <w:tcW w:w="7683" w:type="dxa"/>
            <w:shd w:val="clear" w:color="auto" w:fill="auto"/>
          </w:tcPr>
          <w:p w14:paraId="3F92AA39" w14:textId="77777777" w:rsidR="00B44D36" w:rsidRPr="00840DEE" w:rsidRDefault="00B44D36" w:rsidP="00B44D36">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xml:space="preserve">Akciju emisijas uzcenojums </w:t>
            </w:r>
          </w:p>
          <w:p w14:paraId="7899311C" w14:textId="77777777" w:rsidR="00107FFE" w:rsidRPr="00840DEE" w:rsidRDefault="005D04FC" w:rsidP="00107FFE">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27FDE84C" w14:textId="77777777" w:rsidR="00B44D36" w:rsidRPr="00840DEE" w:rsidRDefault="005D04FC" w:rsidP="00B44D36">
            <w:pPr>
              <w:spacing w:after="120"/>
              <w:jc w:val="both"/>
              <w:rPr>
                <w:rStyle w:val="FormatvorlageInstructionsTabelleText"/>
                <w:rFonts w:ascii="Times New Roman" w:hAnsi="Times New Roman"/>
                <w:sz w:val="22"/>
                <w:szCs w:val="22"/>
              </w:rPr>
            </w:pPr>
            <w:r w:rsidRPr="00840DEE">
              <w:rPr>
                <w:rStyle w:val="FormatvorlageInstructionsTabelleText"/>
                <w:rFonts w:ascii="Times New Roman" w:hAnsi="Times New Roman"/>
                <w:sz w:val="22"/>
                <w:szCs w:val="22"/>
              </w:rPr>
              <w:t>Regulas (ES) Nr. 575/2013 26. panta  1. punkta b) apakšpunkts.</w:t>
            </w:r>
          </w:p>
          <w:p w14:paraId="52C57F74" w14:textId="77777777" w:rsidR="00B44D36" w:rsidRPr="00840DEE" w:rsidRDefault="00B44D36" w:rsidP="00972BBA">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 xml:space="preserve">Akciju emisijas uzcenojums ir uzcenojums tādā nozīmē, kā definēts piemērojamā grāmatvedības standartā. </w:t>
            </w:r>
          </w:p>
          <w:p w14:paraId="7DB768CB" w14:textId="77777777" w:rsidR="00B44D36" w:rsidRPr="00840DEE" w:rsidRDefault="00B44D36" w:rsidP="00B44D36">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Šajā postenī atklājamā summa ir ar “Apmaksātiem kapitāla instrumentiem” saistītā daļa.</w:t>
            </w:r>
          </w:p>
        </w:tc>
      </w:tr>
      <w:tr w:rsidR="00B44D36" w:rsidRPr="00840DEE" w14:paraId="1B7253C3" w14:textId="77777777" w:rsidTr="00AF1B12">
        <w:tblPrEx>
          <w:tblLook w:val="00A0" w:firstRow="1" w:lastRow="0" w:firstColumn="1" w:lastColumn="0" w:noHBand="0" w:noVBand="0"/>
        </w:tblPrEx>
        <w:tc>
          <w:tcPr>
            <w:tcW w:w="1129" w:type="dxa"/>
            <w:shd w:val="clear" w:color="auto" w:fill="auto"/>
            <w:vAlign w:val="center"/>
          </w:tcPr>
          <w:p w14:paraId="1E3A9EB4" w14:textId="77777777" w:rsidR="00B44D36" w:rsidRPr="00840DEE" w:rsidRDefault="00B44D36" w:rsidP="00B44D36">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6.</w:t>
            </w:r>
          </w:p>
        </w:tc>
        <w:tc>
          <w:tcPr>
            <w:tcW w:w="7683" w:type="dxa"/>
            <w:shd w:val="clear" w:color="auto" w:fill="auto"/>
          </w:tcPr>
          <w:p w14:paraId="49E718F0" w14:textId="77777777" w:rsidR="00B44D36" w:rsidRPr="00840DEE" w:rsidRDefault="00B44D36" w:rsidP="00B44D36">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Nesadalītā peļņa</w:t>
            </w:r>
          </w:p>
          <w:p w14:paraId="41B4843B" w14:textId="77777777" w:rsidR="00107FFE" w:rsidRPr="00840DEE" w:rsidRDefault="00107FFE" w:rsidP="00107FFE">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4541AB7E" w14:textId="77777777" w:rsidR="00B44D36" w:rsidRPr="00840DEE" w:rsidRDefault="00B44D36" w:rsidP="00B44D36">
            <w:pPr>
              <w:spacing w:after="120"/>
              <w:jc w:val="both"/>
              <w:rPr>
                <w:rFonts w:ascii="Times New Roman" w:eastAsia="Times New Roman" w:hAnsi="Times New Roman" w:cs="Times New Roman"/>
                <w:bCs/>
                <w:szCs w:val="22"/>
              </w:rPr>
            </w:pPr>
            <w:r w:rsidRPr="00840DEE">
              <w:rPr>
                <w:rStyle w:val="FormatvorlageInstructionsTabelleText"/>
                <w:rFonts w:ascii="Times New Roman" w:hAnsi="Times New Roman"/>
                <w:sz w:val="22"/>
                <w:szCs w:val="22"/>
              </w:rPr>
              <w:t>Regulas (ES) Nr. 575/2013 26. panta 1. punkta c) apakšpunkts.</w:t>
            </w:r>
          </w:p>
          <w:p w14:paraId="035CD55F" w14:textId="77777777" w:rsidR="00B44D36" w:rsidRPr="00840DEE" w:rsidRDefault="00B44D36" w:rsidP="00B44D36">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Nesadalītā peļņa ietver iepriekšējā gada nesadalīto peļņu, kā arī atbilstošo starpposma vai gada beigu peļņu.</w:t>
            </w:r>
          </w:p>
        </w:tc>
      </w:tr>
      <w:tr w:rsidR="00B44D36" w:rsidRPr="00840DEE" w14:paraId="796866C3" w14:textId="77777777" w:rsidTr="00AF1B12">
        <w:tblPrEx>
          <w:tblLook w:val="00A0" w:firstRow="1" w:lastRow="0" w:firstColumn="1" w:lastColumn="0" w:noHBand="0" w:noVBand="0"/>
        </w:tblPrEx>
        <w:tc>
          <w:tcPr>
            <w:tcW w:w="1129" w:type="dxa"/>
            <w:shd w:val="clear" w:color="auto" w:fill="auto"/>
            <w:vAlign w:val="center"/>
          </w:tcPr>
          <w:p w14:paraId="0C0426CD" w14:textId="77777777" w:rsidR="00B44D36" w:rsidRPr="00840DEE" w:rsidRDefault="00B44D36" w:rsidP="00B44D36">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7.</w:t>
            </w:r>
          </w:p>
        </w:tc>
        <w:tc>
          <w:tcPr>
            <w:tcW w:w="7683" w:type="dxa"/>
            <w:shd w:val="clear" w:color="auto" w:fill="auto"/>
          </w:tcPr>
          <w:p w14:paraId="16513A7A" w14:textId="77777777" w:rsidR="00B44D36" w:rsidRPr="00840DEE" w:rsidRDefault="00B44D36" w:rsidP="00B44D36">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Uzkrātie pārējie apvienotie ienākumi</w:t>
            </w:r>
          </w:p>
          <w:p w14:paraId="453D100B" w14:textId="77777777" w:rsidR="00107FFE" w:rsidRPr="00840DEE" w:rsidRDefault="0067429C" w:rsidP="00107FFE">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529D58E7" w14:textId="77777777" w:rsidR="00B44D36" w:rsidRPr="00840DEE" w:rsidRDefault="0067429C">
            <w:pPr>
              <w:spacing w:after="120"/>
              <w:jc w:val="both"/>
              <w:rPr>
                <w:rFonts w:ascii="Times New Roman" w:hAnsi="Times New Roman" w:cs="Times New Roman"/>
                <w:bCs/>
                <w:szCs w:val="22"/>
              </w:rPr>
            </w:pPr>
            <w:r w:rsidRPr="00840DEE">
              <w:rPr>
                <w:rStyle w:val="FormatvorlageInstructionsTabelleText"/>
                <w:rFonts w:ascii="Times New Roman" w:hAnsi="Times New Roman"/>
                <w:sz w:val="22"/>
                <w:szCs w:val="22"/>
              </w:rPr>
              <w:t>Regulas (ES) Nr. 575/2013 26. panta  1. punkta d) apakšpunkts.</w:t>
            </w:r>
          </w:p>
        </w:tc>
      </w:tr>
      <w:tr w:rsidR="00B44D36" w:rsidRPr="00840DEE" w14:paraId="65280E43" w14:textId="77777777" w:rsidTr="00AF1B12">
        <w:tblPrEx>
          <w:tblLook w:val="00A0" w:firstRow="1" w:lastRow="0" w:firstColumn="1" w:lastColumn="0" w:noHBand="0" w:noVBand="0"/>
        </w:tblPrEx>
        <w:tc>
          <w:tcPr>
            <w:tcW w:w="1129" w:type="dxa"/>
            <w:shd w:val="clear" w:color="auto" w:fill="auto"/>
            <w:vAlign w:val="center"/>
          </w:tcPr>
          <w:p w14:paraId="353B46AB" w14:textId="77777777" w:rsidR="00B44D36" w:rsidRPr="00840DEE" w:rsidRDefault="00B44D36" w:rsidP="00B44D36">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8.</w:t>
            </w:r>
          </w:p>
        </w:tc>
        <w:tc>
          <w:tcPr>
            <w:tcW w:w="7683" w:type="dxa"/>
            <w:tcBorders>
              <w:bottom w:val="single" w:sz="4" w:space="0" w:color="auto"/>
            </w:tcBorders>
            <w:shd w:val="clear" w:color="auto" w:fill="auto"/>
          </w:tcPr>
          <w:p w14:paraId="3E12E377" w14:textId="77777777" w:rsidR="00B44D36" w:rsidRPr="00840DEE" w:rsidRDefault="00B44D36" w:rsidP="00B44D36">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Citas rezerves</w:t>
            </w:r>
          </w:p>
          <w:p w14:paraId="75AD21CC" w14:textId="77777777" w:rsidR="00107FFE" w:rsidRPr="00840DEE" w:rsidRDefault="0067429C" w:rsidP="00107FFE">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0DF67996" w14:textId="77777777" w:rsidR="00B44D36" w:rsidRPr="00840DEE" w:rsidRDefault="00B44D36" w:rsidP="00B44D36">
            <w:pPr>
              <w:spacing w:after="120"/>
              <w:jc w:val="both"/>
              <w:rPr>
                <w:rStyle w:val="FormatvorlageInstructionsTabelleText"/>
                <w:rFonts w:ascii="Times New Roman" w:hAnsi="Times New Roman"/>
                <w:sz w:val="22"/>
                <w:szCs w:val="22"/>
              </w:rPr>
            </w:pPr>
            <w:r w:rsidRPr="00840DEE">
              <w:rPr>
                <w:rStyle w:val="FormatvorlageInstructionsTabelleText"/>
                <w:rFonts w:ascii="Times New Roman" w:hAnsi="Times New Roman"/>
                <w:sz w:val="22"/>
                <w:szCs w:val="22"/>
              </w:rPr>
              <w:t>Regulas (ES) Nr. 575/2013 4. panta 1. punkta 117) apakšpunkts un 26. panta 1. punkta e) apakšpunkts.</w:t>
            </w:r>
          </w:p>
          <w:p w14:paraId="43A32750" w14:textId="77777777" w:rsidR="00B44D36" w:rsidRPr="00840DEE" w:rsidRDefault="00B44D36" w:rsidP="00B44D36">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Atklājamā summā neietver jebkādus nodokļus, kuri paredzami aprēķināšanas laikā.</w:t>
            </w:r>
          </w:p>
        </w:tc>
      </w:tr>
      <w:tr w:rsidR="00CC1DC4" w:rsidRPr="00840DEE" w14:paraId="00B67B6D" w14:textId="77777777" w:rsidTr="00AF1B12">
        <w:tblPrEx>
          <w:tblLook w:val="00A0" w:firstRow="1" w:lastRow="0" w:firstColumn="1" w:lastColumn="0" w:noHBand="0" w:noVBand="0"/>
        </w:tblPrEx>
        <w:tc>
          <w:tcPr>
            <w:tcW w:w="1129" w:type="dxa"/>
            <w:shd w:val="clear" w:color="auto" w:fill="auto"/>
            <w:vAlign w:val="center"/>
          </w:tcPr>
          <w:p w14:paraId="4CB81740" w14:textId="77777777" w:rsidR="00CC1DC4" w:rsidRPr="00840DEE" w:rsidRDefault="00CC1DC4" w:rsidP="00825F5D">
            <w:pPr>
              <w:spacing w:after="120"/>
              <w:jc w:val="both"/>
              <w:rPr>
                <w:rFonts w:ascii="Times New Roman" w:hAnsi="Times New Roman" w:cs="Times New Roman"/>
                <w:color w:val="000000"/>
                <w:szCs w:val="22"/>
              </w:rPr>
            </w:pPr>
            <w:r w:rsidRPr="00840DEE">
              <w:rPr>
                <w:rFonts w:ascii="Times New Roman" w:hAnsi="Times New Roman"/>
                <w:color w:val="000000"/>
                <w:szCs w:val="22"/>
              </w:rPr>
              <w:t>9.</w:t>
            </w:r>
          </w:p>
        </w:tc>
        <w:tc>
          <w:tcPr>
            <w:tcW w:w="7683" w:type="dxa"/>
            <w:shd w:val="clear" w:color="auto" w:fill="auto"/>
          </w:tcPr>
          <w:p w14:paraId="4D60D634" w14:textId="77777777" w:rsidR="00CC1DC4" w:rsidRPr="00840DEE" w:rsidRDefault="00CC1DC4" w:rsidP="00CC1DC4">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Pirmā līmeņa pamata kapitāla korekcijas saistībā ar prudenciālajiem filtriem</w:t>
            </w:r>
          </w:p>
          <w:p w14:paraId="17066E92" w14:textId="77777777" w:rsidR="00CC1DC4" w:rsidRPr="00840DEE" w:rsidRDefault="00CC1DC4" w:rsidP="00CC1DC4">
            <w:pPr>
              <w:spacing w:after="120"/>
              <w:jc w:val="both"/>
              <w:rPr>
                <w:rStyle w:val="FormatvorlageInstructionsTabelleText"/>
                <w:rFonts w:ascii="Times New Roman" w:hAnsi="Times New Roman"/>
                <w:sz w:val="22"/>
                <w:szCs w:val="22"/>
              </w:rPr>
            </w:pPr>
            <w:r w:rsidRPr="00840DEE">
              <w:rPr>
                <w:rStyle w:val="FormatvorlageInstructionsTabelleText"/>
                <w:rFonts w:ascii="Times New Roman" w:hAnsi="Times New Roman"/>
                <w:sz w:val="22"/>
                <w:szCs w:val="22"/>
              </w:rPr>
              <w:t>Regulas (ES) 2019/2033 9. panta 1. punkta i) apakšpunkts.</w:t>
            </w:r>
          </w:p>
          <w:p w14:paraId="6CCC9D2B" w14:textId="77777777" w:rsidR="00CC1DC4" w:rsidRPr="00840DEE" w:rsidRDefault="00CC1DC4" w:rsidP="00CC1DC4">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Regulas (ES) Nr. 575/2013 32. līdz 35. pants.</w:t>
            </w:r>
          </w:p>
        </w:tc>
      </w:tr>
      <w:tr w:rsidR="00825F5D" w:rsidRPr="00840DEE" w14:paraId="66A73132" w14:textId="77777777" w:rsidTr="00AF1B12">
        <w:tblPrEx>
          <w:tblLook w:val="00A0" w:firstRow="1" w:lastRow="0" w:firstColumn="1" w:lastColumn="0" w:noHBand="0" w:noVBand="0"/>
        </w:tblPrEx>
        <w:tc>
          <w:tcPr>
            <w:tcW w:w="1129" w:type="dxa"/>
            <w:shd w:val="clear" w:color="auto" w:fill="auto"/>
            <w:vAlign w:val="center"/>
          </w:tcPr>
          <w:p w14:paraId="73A9C15D" w14:textId="77777777" w:rsidR="00825F5D" w:rsidRPr="00840DEE" w:rsidRDefault="00CC1DC4" w:rsidP="00825F5D">
            <w:pPr>
              <w:spacing w:after="120"/>
              <w:jc w:val="both"/>
              <w:rPr>
                <w:rFonts w:ascii="Times New Roman" w:hAnsi="Times New Roman" w:cs="Times New Roman"/>
                <w:color w:val="000000"/>
                <w:szCs w:val="22"/>
              </w:rPr>
            </w:pPr>
            <w:r w:rsidRPr="00840DEE">
              <w:rPr>
                <w:rFonts w:ascii="Times New Roman" w:hAnsi="Times New Roman"/>
                <w:color w:val="000000"/>
                <w:szCs w:val="22"/>
              </w:rPr>
              <w:t>10.</w:t>
            </w:r>
          </w:p>
        </w:tc>
        <w:tc>
          <w:tcPr>
            <w:tcW w:w="7683" w:type="dxa"/>
            <w:shd w:val="clear" w:color="auto" w:fill="auto"/>
          </w:tcPr>
          <w:p w14:paraId="526BF28A"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Citi līdzekļi</w:t>
            </w:r>
          </w:p>
          <w:p w14:paraId="124470C7"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2019/2033 9. panta 4. punkts.</w:t>
            </w:r>
          </w:p>
        </w:tc>
      </w:tr>
      <w:tr w:rsidR="00825F5D" w:rsidRPr="00840DEE" w14:paraId="34462606" w14:textId="77777777" w:rsidTr="00AF1B12">
        <w:tblPrEx>
          <w:tblLook w:val="00A0" w:firstRow="1" w:lastRow="0" w:firstColumn="1" w:lastColumn="0" w:noHBand="0" w:noVBand="0"/>
        </w:tblPrEx>
        <w:tc>
          <w:tcPr>
            <w:tcW w:w="1129" w:type="dxa"/>
            <w:shd w:val="clear" w:color="auto" w:fill="auto"/>
            <w:vAlign w:val="center"/>
          </w:tcPr>
          <w:p w14:paraId="37174021" w14:textId="77777777" w:rsidR="00825F5D" w:rsidRPr="00840DEE" w:rsidRDefault="00825F5D" w:rsidP="00825F5D">
            <w:pPr>
              <w:spacing w:after="120"/>
              <w:jc w:val="both"/>
              <w:rPr>
                <w:rFonts w:ascii="Times New Roman" w:hAnsi="Times New Roman" w:cs="Times New Roman"/>
                <w:color w:val="000000"/>
                <w:szCs w:val="22"/>
              </w:rPr>
            </w:pPr>
            <w:r w:rsidRPr="00840DEE">
              <w:rPr>
                <w:rFonts w:ascii="Times New Roman" w:hAnsi="Times New Roman"/>
                <w:color w:val="000000"/>
                <w:szCs w:val="22"/>
              </w:rPr>
              <w:t>11.</w:t>
            </w:r>
          </w:p>
        </w:tc>
        <w:tc>
          <w:tcPr>
            <w:tcW w:w="7683" w:type="dxa"/>
            <w:shd w:val="clear" w:color="auto" w:fill="auto"/>
          </w:tcPr>
          <w:p w14:paraId="1203FA39"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KOPĒJIE ATSKAITĪJUMI NO PIRMĀ LĪMEŅA PAMATA KAPITĀLA</w:t>
            </w:r>
          </w:p>
          <w:p w14:paraId="3DA31414" w14:textId="77777777" w:rsidR="00825F5D" w:rsidRPr="00840DEE" w:rsidRDefault="00825F5D" w:rsidP="002A2797">
            <w:pPr>
              <w:spacing w:after="120"/>
              <w:jc w:val="both"/>
              <w:rPr>
                <w:rFonts w:ascii="Times New Roman" w:eastAsia="Times New Roman" w:hAnsi="Times New Roman" w:cs="Times New Roman"/>
                <w:bCs/>
                <w:szCs w:val="22"/>
              </w:rPr>
            </w:pPr>
            <w:r w:rsidRPr="00840DEE">
              <w:rPr>
                <w:rFonts w:ascii="Times New Roman" w:hAnsi="Times New Roman"/>
                <w:bCs/>
                <w:szCs w:val="22"/>
              </w:rPr>
              <w:t>Atklāj 12. līdz 18. rindas kopsummu.</w:t>
            </w:r>
          </w:p>
        </w:tc>
      </w:tr>
      <w:tr w:rsidR="00825F5D" w:rsidRPr="00840DEE" w14:paraId="50EC22A7"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022D7718"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lastRenderedPageBreak/>
              <w:t>12.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253E8F10"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Kārtējā finanšu gada zaudējumi</w:t>
            </w:r>
          </w:p>
          <w:p w14:paraId="6C032D42"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szCs w:val="22"/>
              </w:rPr>
              <w:t>Regulas (ES) Nr. 575/2013 36. panta 1. punkta a) apakšpunkts.</w:t>
            </w:r>
          </w:p>
        </w:tc>
      </w:tr>
      <w:tr w:rsidR="00825F5D" w:rsidRPr="00840DEE" w14:paraId="717AB33A"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0DFA4D3E"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13.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671FE91"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xml:space="preserve">(-) Nemateriālā vērtība </w:t>
            </w:r>
          </w:p>
          <w:p w14:paraId="6E3FDF9C" w14:textId="77777777" w:rsidR="00825F5D" w:rsidRPr="00840DEE" w:rsidRDefault="001E32D5"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237242D5" w14:textId="77777777" w:rsidR="00825F5D" w:rsidRPr="00840DEE" w:rsidRDefault="001E32D5" w:rsidP="00ED4FEE">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Regulas (ES) Nr. 575/2013 4. panta 1. punkta 113) apakšpunkts un 36. panta 1. punkta b) apakšpunkts un 37. pants.</w:t>
            </w:r>
          </w:p>
        </w:tc>
      </w:tr>
      <w:tr w:rsidR="00825F5D" w:rsidRPr="00840DEE" w14:paraId="148ECABE"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0B3AADB6"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14.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526D97C"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Citi nemateriālie aktīvi</w:t>
            </w:r>
          </w:p>
          <w:p w14:paraId="1E7256FF" w14:textId="77777777" w:rsidR="00825F5D" w:rsidRPr="00840DEE" w:rsidRDefault="001E32D5"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23802C29" w14:textId="77777777" w:rsidR="00825F5D" w:rsidRPr="00840DEE" w:rsidRDefault="001E32D5" w:rsidP="00825F5D">
            <w:pPr>
              <w:pStyle w:val="InstructionsText"/>
              <w:rPr>
                <w:rStyle w:val="FormatvorlageInstructionsTabelleText"/>
                <w:rFonts w:ascii="Times New Roman" w:eastAsiaTheme="minorHAnsi" w:hAnsi="Times New Roman"/>
                <w:bCs/>
                <w:sz w:val="22"/>
              </w:rPr>
            </w:pPr>
            <w:r w:rsidRPr="00840DEE">
              <w:rPr>
                <w:rStyle w:val="FormatvorlageInstructionsTabelleText"/>
                <w:rFonts w:ascii="Times New Roman" w:hAnsi="Times New Roman"/>
                <w:sz w:val="22"/>
              </w:rPr>
              <w:t>Regulas (ES) Nr. 575/2013 4. panta 1. punkta 115) apakšpunkts un 36. panta 1. punkta b) apakšpunkts un 37. panta a) punkts.</w:t>
            </w:r>
          </w:p>
          <w:p w14:paraId="072AEB3A"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Citi nemateriālie aktīvi ir nemateriālie aktīvi saskaņā ar piemērojamo grāmatvedības standartu, mīnus nemateriālā vērtība arī saskaņā ar piemērojamo grāmatvedības standartu.</w:t>
            </w:r>
          </w:p>
        </w:tc>
      </w:tr>
      <w:tr w:rsidR="00825F5D" w:rsidRPr="00840DEE" w14:paraId="58A2E4A2"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4504971E"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C26274C"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Atliktā nodokļa aktīvi, kuru realizācija atkarīga no peļņas gūšanas nākotnē un kuri neizriet no laika noviržu izraisītas pagaidu starpības, atskaitot attiecīgas nodokļu saistības</w:t>
            </w:r>
          </w:p>
          <w:p w14:paraId="3EBE80CD" w14:textId="77777777" w:rsidR="00825F5D" w:rsidRPr="00840DEE" w:rsidRDefault="001E32D5"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w:t>
            </w:r>
            <w:r w:rsidRPr="00840DEE">
              <w:t xml:space="preserve"> </w:t>
            </w:r>
            <w:r w:rsidRPr="00840DEE">
              <w:rPr>
                <w:rFonts w:ascii="Times New Roman" w:hAnsi="Times New Roman"/>
                <w:bCs/>
                <w:szCs w:val="22"/>
              </w:rPr>
              <w:t>9. panta 2. punkta a) apakšpunkts.</w:t>
            </w:r>
          </w:p>
          <w:p w14:paraId="2D600B6B" w14:textId="77777777" w:rsidR="00825F5D" w:rsidRPr="00840DEE" w:rsidRDefault="001E32D5" w:rsidP="00825F5D">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Nr. 575/2013 36. panta 1. punkta c) apakšpunkts.</w:t>
            </w:r>
          </w:p>
        </w:tc>
      </w:tr>
      <w:tr w:rsidR="00825F5D" w:rsidRPr="00840DEE" w14:paraId="2A5F9DC0" w14:textId="77777777" w:rsidTr="00970F84">
        <w:tblPrEx>
          <w:tblLook w:val="00A0" w:firstRow="1" w:lastRow="0" w:firstColumn="1" w:lastColumn="0" w:noHBand="0" w:noVBand="0"/>
        </w:tblPrEx>
        <w:tc>
          <w:tcPr>
            <w:tcW w:w="1129" w:type="dxa"/>
            <w:tcBorders>
              <w:top w:val="single" w:sz="4" w:space="0" w:color="auto"/>
            </w:tcBorders>
            <w:shd w:val="clear" w:color="auto" w:fill="auto"/>
            <w:vAlign w:val="center"/>
          </w:tcPr>
          <w:p w14:paraId="7C29EFBE"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FDF4481"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Būtiska līdzdalība ārpus finanšu sektora, kas pārsniedz 15 % no pašu kapitāla</w:t>
            </w:r>
          </w:p>
          <w:p w14:paraId="63540C10"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2019/2033 10. panta 1. punkta a) apakšpunkts.</w:t>
            </w:r>
          </w:p>
        </w:tc>
      </w:tr>
      <w:tr w:rsidR="00825F5D" w:rsidRPr="00840DEE" w14:paraId="59FA215E" w14:textId="77777777" w:rsidTr="00AF1B12">
        <w:tblPrEx>
          <w:tblLook w:val="00A0" w:firstRow="1" w:lastRow="0" w:firstColumn="1" w:lastColumn="0" w:noHBand="0" w:noVBand="0"/>
        </w:tblPrEx>
        <w:tc>
          <w:tcPr>
            <w:tcW w:w="1129" w:type="dxa"/>
            <w:tcBorders>
              <w:top w:val="single" w:sz="4" w:space="0" w:color="auto"/>
            </w:tcBorders>
            <w:shd w:val="clear" w:color="auto" w:fill="auto"/>
            <w:vAlign w:val="center"/>
          </w:tcPr>
          <w:p w14:paraId="3133A3B8"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251CA2EF"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Tādu būtisku līdzdalību kopsumma uzņēmumos, kas nav finanšu sektora sabiedrības, kuras pārsniedz 60 % no ieguldījumu brokeru sabiedrības pašu kapitāla</w:t>
            </w:r>
          </w:p>
          <w:p w14:paraId="56A3838A" w14:textId="77777777" w:rsidR="00825F5D" w:rsidRPr="00840DEE" w:rsidRDefault="001E32D5" w:rsidP="00825F5D">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2019/2033 10. panta 1. punkta a) apakšpunkts.</w:t>
            </w:r>
          </w:p>
        </w:tc>
      </w:tr>
      <w:tr w:rsidR="00825F5D" w:rsidRPr="00840DEE" w14:paraId="3FBB92A9" w14:textId="77777777" w:rsidTr="00AF1B12">
        <w:tblPrEx>
          <w:tblLook w:val="00A0" w:firstRow="1" w:lastRow="0" w:firstColumn="1" w:lastColumn="0" w:noHBand="0" w:noVBand="0"/>
        </w:tblPrEx>
        <w:tc>
          <w:tcPr>
            <w:tcW w:w="1129" w:type="dxa"/>
            <w:vAlign w:val="center"/>
          </w:tcPr>
          <w:p w14:paraId="6BDF03FD"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18.</w:t>
            </w:r>
          </w:p>
        </w:tc>
        <w:tc>
          <w:tcPr>
            <w:tcW w:w="7683" w:type="dxa"/>
            <w:tcBorders>
              <w:top w:val="nil"/>
              <w:left w:val="single" w:sz="4" w:space="0" w:color="auto"/>
              <w:bottom w:val="single" w:sz="4" w:space="0" w:color="auto"/>
              <w:right w:val="single" w:sz="4" w:space="0" w:color="auto"/>
            </w:tcBorders>
            <w:shd w:val="clear" w:color="auto" w:fill="auto"/>
            <w:vAlign w:val="bottom"/>
          </w:tcPr>
          <w:p w14:paraId="65A8EFE1"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Citi atskaitījumi</w:t>
            </w:r>
          </w:p>
          <w:p w14:paraId="1D076508"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szCs w:val="22"/>
              </w:rPr>
              <w:t>Visu citu Regulas (ES) Nr. 575/2013 36. panta 1. punktā uzskaitīto atskaitījumu summa.</w:t>
            </w:r>
          </w:p>
        </w:tc>
      </w:tr>
      <w:tr w:rsidR="000509F9" w:rsidRPr="00840DEE" w14:paraId="38381D94" w14:textId="77777777" w:rsidTr="00AF1B12">
        <w:tblPrEx>
          <w:tblLook w:val="00A0" w:firstRow="1" w:lastRow="0" w:firstColumn="1" w:lastColumn="0" w:noHBand="0" w:noVBand="0"/>
        </w:tblPrEx>
        <w:tc>
          <w:tcPr>
            <w:tcW w:w="1129" w:type="dxa"/>
            <w:vAlign w:val="center"/>
          </w:tcPr>
          <w:p w14:paraId="19F6446C" w14:textId="77777777" w:rsidR="000509F9" w:rsidRPr="00840DEE" w:rsidRDefault="000509F9" w:rsidP="000509F9">
            <w:pPr>
              <w:spacing w:after="120"/>
              <w:jc w:val="both"/>
              <w:rPr>
                <w:rFonts w:ascii="Times New Roman" w:hAnsi="Times New Roman" w:cs="Times New Roman"/>
                <w:color w:val="000000"/>
                <w:szCs w:val="22"/>
              </w:rPr>
            </w:pPr>
            <w:r w:rsidRPr="00840DEE">
              <w:rPr>
                <w:rFonts w:ascii="Times New Roman" w:hAnsi="Times New Roman"/>
                <w:color w:val="000000"/>
                <w:szCs w:val="22"/>
              </w:rPr>
              <w:t>19.</w:t>
            </w:r>
          </w:p>
        </w:tc>
        <w:tc>
          <w:tcPr>
            <w:tcW w:w="7683" w:type="dxa"/>
            <w:tcBorders>
              <w:top w:val="nil"/>
              <w:left w:val="single" w:sz="4" w:space="0" w:color="auto"/>
              <w:bottom w:val="single" w:sz="4" w:space="0" w:color="auto"/>
              <w:right w:val="single" w:sz="4" w:space="0" w:color="auto"/>
            </w:tcBorders>
            <w:shd w:val="clear" w:color="auto" w:fill="auto"/>
            <w:vAlign w:val="bottom"/>
          </w:tcPr>
          <w:p w14:paraId="17ABB3B6" w14:textId="77777777" w:rsidR="000509F9" w:rsidRPr="00840DEE" w:rsidRDefault="000509F9" w:rsidP="000509F9">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Pirmā līmeņa pamata kapitāls: citi kapitāla elementi, atskaitījumi un korekcijas</w:t>
            </w:r>
          </w:p>
          <w:p w14:paraId="311A03BE" w14:textId="77777777" w:rsidR="000509F9" w:rsidRPr="00840DEE" w:rsidRDefault="000509F9" w:rsidP="000509F9">
            <w:pPr>
              <w:spacing w:after="120"/>
              <w:jc w:val="both"/>
              <w:rPr>
                <w:rFonts w:ascii="Times New Roman" w:eastAsia="Times New Roman" w:hAnsi="Times New Roman" w:cs="Times New Roman"/>
                <w:bCs/>
                <w:szCs w:val="22"/>
              </w:rPr>
            </w:pPr>
            <w:r w:rsidRPr="00840DEE">
              <w:rPr>
                <w:rFonts w:ascii="Times New Roman" w:hAnsi="Times New Roman"/>
                <w:bCs/>
                <w:szCs w:val="22"/>
              </w:rPr>
              <w:t>Šī rinda ietver šādu posteņu summu (ja piemērojams):</w:t>
            </w:r>
          </w:p>
          <w:p w14:paraId="4E0E5375" w14:textId="77777777" w:rsidR="000509F9" w:rsidRPr="00840DEE" w:rsidRDefault="000509F9" w:rsidP="000509F9">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pārejas posma korekcijas saistībā ar pirmā līmeņa pamata kapitāla instrumentiem, attiecībā uz kuriem piemērotas tiesības saglabāt iepriekš spēkā esošos nosacījumus (Regulas (ES) Nr. 575/2013 483. panta 1., 2. un 3. punkts un 484. līdz 487. pants),</w:t>
            </w:r>
          </w:p>
          <w:p w14:paraId="16A49BA1" w14:textId="77777777" w:rsidR="000509F9" w:rsidRPr="00840DEE" w:rsidRDefault="000509F9" w:rsidP="000509F9">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pārejas posma korekcijas saistībā ar papildu mazākuma līdzdalības daļām (Regulas (ES) Nr. 575/2013 479. un 480. pants),</w:t>
            </w:r>
          </w:p>
          <w:p w14:paraId="43F32716" w14:textId="77777777" w:rsidR="000509F9" w:rsidRPr="00840DEE" w:rsidRDefault="000509F9" w:rsidP="000509F9">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 xml:space="preserve">citas pārejas posma korekcijas attiecībā uz pirmā līmeņa pamata kapitāla instrumentiem (Regulas (ES) Nr. 575/2013 469. līdz 478. pants un 481. pants): korekcijas, kas saistībā ar pārejas noteikumiem veiktas atskaitījumos no pirmā līmeņa pamata kapitāla, </w:t>
            </w:r>
          </w:p>
          <w:p w14:paraId="622F484A" w14:textId="77777777" w:rsidR="000509F9" w:rsidRPr="00840DEE" w:rsidRDefault="000509F9" w:rsidP="000509F9">
            <w:pPr>
              <w:pStyle w:val="ListParagraph"/>
              <w:numPr>
                <w:ilvl w:val="0"/>
                <w:numId w:val="15"/>
              </w:numPr>
              <w:spacing w:after="120"/>
              <w:contextualSpacing/>
              <w:jc w:val="both"/>
              <w:rPr>
                <w:rFonts w:ascii="Times New Roman" w:eastAsia="Times New Roman" w:hAnsi="Times New Roman"/>
                <w:b/>
                <w:bCs/>
                <w:u w:val="single"/>
              </w:rPr>
            </w:pPr>
            <w:r w:rsidRPr="00840DEE">
              <w:rPr>
                <w:rFonts w:ascii="Times New Roman" w:hAnsi="Times New Roman"/>
                <w:bCs/>
              </w:rPr>
              <w:lastRenderedPageBreak/>
              <w:t xml:space="preserve">citi pirmā līmeņa pamata kapitāla elementi vai atskaitījumi no pirmā līmeņa pamata kapitāla elementa, kurus nevar iedalīt nevienā no rindām, kas apzīmētas ar 4–18. </w:t>
            </w:r>
          </w:p>
          <w:p w14:paraId="4AF51BCB" w14:textId="77777777" w:rsidR="000509F9" w:rsidRPr="00840DEE" w:rsidRDefault="000509F9" w:rsidP="00582254">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Šo rindu neizmanto, lai maksātspējas koeficientu aprēķinā iekļautu kapitāla posteņus vai atskaitījumus, kuriem nepiemēro Regulu (ES) 2019/2033 vai Regulu (ES) Nr. 575/2013.</w:t>
            </w:r>
          </w:p>
        </w:tc>
      </w:tr>
      <w:tr w:rsidR="000509F9" w:rsidRPr="00840DEE" w14:paraId="25AEFD6E" w14:textId="77777777" w:rsidTr="00AF1B12">
        <w:tblPrEx>
          <w:tblLook w:val="00A0" w:firstRow="1" w:lastRow="0" w:firstColumn="1" w:lastColumn="0" w:noHBand="0" w:noVBand="0"/>
        </w:tblPrEx>
        <w:tc>
          <w:tcPr>
            <w:tcW w:w="1129" w:type="dxa"/>
            <w:vAlign w:val="center"/>
          </w:tcPr>
          <w:p w14:paraId="5BD380A5" w14:textId="77777777" w:rsidR="000509F9" w:rsidRPr="00840DEE" w:rsidRDefault="000509F9" w:rsidP="000509F9">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lastRenderedPageBreak/>
              <w:t>20.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5BFB1787" w14:textId="77777777" w:rsidR="000509F9" w:rsidRPr="00840DEE" w:rsidRDefault="000509F9" w:rsidP="000509F9">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PIRMĀ LĪMEŅA PAPILDU KAPITĀLS</w:t>
            </w:r>
          </w:p>
          <w:p w14:paraId="4AC26ADD" w14:textId="77777777" w:rsidR="000509F9" w:rsidRPr="00840DEE" w:rsidRDefault="000509F9" w:rsidP="000509F9">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punkts.</w:t>
            </w:r>
          </w:p>
          <w:p w14:paraId="1F8A6B71" w14:textId="77777777" w:rsidR="000509F9" w:rsidRPr="00840DEE" w:rsidRDefault="000509F9" w:rsidP="000509F9">
            <w:pPr>
              <w:spacing w:after="120"/>
              <w:jc w:val="both"/>
              <w:rPr>
                <w:rFonts w:ascii="Times New Roman" w:hAnsi="Times New Roman" w:cs="Times New Roman"/>
                <w:szCs w:val="22"/>
              </w:rPr>
            </w:pPr>
            <w:r w:rsidRPr="00840DEE">
              <w:rPr>
                <w:rFonts w:ascii="Times New Roman" w:hAnsi="Times New Roman"/>
                <w:szCs w:val="22"/>
              </w:rPr>
              <w:t>Regulas (ES) Nr. 575/2013 61. pants.</w:t>
            </w:r>
          </w:p>
          <w:p w14:paraId="1C4888A6" w14:textId="77777777" w:rsidR="000509F9" w:rsidRPr="00840DEE" w:rsidRDefault="000509F9">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Atklāj 21. līdz 24. rindas kopsummu.</w:t>
            </w:r>
          </w:p>
        </w:tc>
      </w:tr>
      <w:tr w:rsidR="000509F9" w:rsidRPr="00840DEE" w14:paraId="492F821F" w14:textId="77777777" w:rsidTr="00AF1B12">
        <w:tblPrEx>
          <w:tblLook w:val="00A0" w:firstRow="1" w:lastRow="0" w:firstColumn="1" w:lastColumn="0" w:noHBand="0" w:noVBand="0"/>
        </w:tblPrEx>
        <w:tc>
          <w:tcPr>
            <w:tcW w:w="1129" w:type="dxa"/>
            <w:vAlign w:val="center"/>
          </w:tcPr>
          <w:p w14:paraId="453D367C" w14:textId="77777777" w:rsidR="000509F9" w:rsidRPr="00840DEE" w:rsidRDefault="000509F9" w:rsidP="000509F9">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14:paraId="585FFE80" w14:textId="77777777" w:rsidR="000509F9" w:rsidRPr="00840DEE" w:rsidRDefault="000509F9" w:rsidP="000509F9">
            <w:pPr>
              <w:spacing w:after="120"/>
              <w:jc w:val="both"/>
              <w:rPr>
                <w:rFonts w:ascii="Times New Roman" w:eastAsia="Times New Roman" w:hAnsi="Times New Roman" w:cs="Times New Roman"/>
                <w:bCs/>
                <w:szCs w:val="22"/>
              </w:rPr>
            </w:pPr>
            <w:r w:rsidRPr="00840DEE">
              <w:rPr>
                <w:rFonts w:ascii="Times New Roman" w:hAnsi="Times New Roman"/>
                <w:b/>
                <w:bCs/>
                <w:szCs w:val="22"/>
                <w:u w:val="single"/>
              </w:rPr>
              <w:t xml:space="preserve">Pilnībā apmaksāts, tieši emitēts kapitāls </w:t>
            </w:r>
          </w:p>
          <w:p w14:paraId="75B34AF7" w14:textId="77777777" w:rsidR="000509F9" w:rsidRPr="00840DEE" w:rsidRDefault="000509F9" w:rsidP="000509F9">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7A4FD718" w14:textId="77777777" w:rsidR="000509F9" w:rsidRPr="00840DEE" w:rsidRDefault="000509F9" w:rsidP="000509F9">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Regulas (ES) Nr. 575/2013 51. panta a) apakšpunkts un 52., 53. un 54. pants.</w:t>
            </w:r>
          </w:p>
          <w:p w14:paraId="63FBAD2D" w14:textId="77777777" w:rsidR="000509F9" w:rsidRPr="00840DEE" w:rsidRDefault="000509F9" w:rsidP="000509F9">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Atklājamā summa neietver akciju emisijas uzcenojumu, kas saistīts ar instrumentiem.</w:t>
            </w:r>
          </w:p>
        </w:tc>
      </w:tr>
      <w:tr w:rsidR="000509F9" w:rsidRPr="00840DEE" w14:paraId="0A98EF0B" w14:textId="77777777" w:rsidTr="00AF1B12">
        <w:tblPrEx>
          <w:tblLook w:val="00A0" w:firstRow="1" w:lastRow="0" w:firstColumn="1" w:lastColumn="0" w:noHBand="0" w:noVBand="0"/>
        </w:tblPrEx>
        <w:tc>
          <w:tcPr>
            <w:tcW w:w="1129" w:type="dxa"/>
            <w:vAlign w:val="center"/>
          </w:tcPr>
          <w:p w14:paraId="3E9FB2E2" w14:textId="77777777" w:rsidR="000509F9" w:rsidRPr="00840DEE" w:rsidRDefault="000509F9" w:rsidP="002A2797">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22.</w:t>
            </w:r>
          </w:p>
        </w:tc>
        <w:tc>
          <w:tcPr>
            <w:tcW w:w="7683" w:type="dxa"/>
            <w:tcBorders>
              <w:top w:val="nil"/>
              <w:left w:val="single" w:sz="4" w:space="0" w:color="auto"/>
              <w:bottom w:val="single" w:sz="4" w:space="0" w:color="auto"/>
              <w:right w:val="single" w:sz="4" w:space="0" w:color="auto"/>
            </w:tcBorders>
            <w:shd w:val="clear" w:color="auto" w:fill="auto"/>
            <w:vAlign w:val="bottom"/>
          </w:tcPr>
          <w:p w14:paraId="0F9E56DB" w14:textId="77777777" w:rsidR="000509F9" w:rsidRPr="00840DEE" w:rsidRDefault="000509F9" w:rsidP="000509F9">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xml:space="preserve">Akciju emisijas uzcenojums </w:t>
            </w:r>
          </w:p>
          <w:p w14:paraId="4876BF5D" w14:textId="77777777" w:rsidR="000509F9" w:rsidRPr="00840DEE" w:rsidRDefault="000509F9" w:rsidP="000509F9">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0E982848" w14:textId="77777777" w:rsidR="000509F9" w:rsidRPr="00840DEE" w:rsidRDefault="000509F9" w:rsidP="000509F9">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Regulas (ES) Nr. 575/2013 51. panta b) apakšpunkts.</w:t>
            </w:r>
          </w:p>
          <w:p w14:paraId="7E4E0F4B" w14:textId="77777777" w:rsidR="000509F9" w:rsidRPr="00840DEE" w:rsidRDefault="000509F9" w:rsidP="000509F9">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Akciju emisijas uzcenojums ir uzcenojums tādā nozīmē, kā definēts piemērojamā grāmatvedības standartā.</w:t>
            </w:r>
          </w:p>
          <w:p w14:paraId="13ADB8D8" w14:textId="77777777" w:rsidR="000509F9" w:rsidRPr="00840DEE" w:rsidRDefault="000509F9" w:rsidP="000509F9">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Šajā postenī atklājamā summa ir ar “Apmaksātiem kapitāla instrumentiem” saistītā daļa.</w:t>
            </w:r>
          </w:p>
        </w:tc>
      </w:tr>
      <w:tr w:rsidR="000509F9" w:rsidRPr="00840DEE" w14:paraId="7744E05B" w14:textId="77777777" w:rsidTr="00AF1B12">
        <w:tblPrEx>
          <w:tblLook w:val="00A0" w:firstRow="1" w:lastRow="0" w:firstColumn="1" w:lastColumn="0" w:noHBand="0" w:noVBand="0"/>
        </w:tblPrEx>
        <w:tc>
          <w:tcPr>
            <w:tcW w:w="1129" w:type="dxa"/>
            <w:tcBorders>
              <w:bottom w:val="single" w:sz="4" w:space="0" w:color="auto"/>
            </w:tcBorders>
            <w:vAlign w:val="center"/>
          </w:tcPr>
          <w:p w14:paraId="281731CB" w14:textId="77777777" w:rsidR="000509F9" w:rsidRPr="00840DEE" w:rsidRDefault="000509F9" w:rsidP="000509F9">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23.</w:t>
            </w:r>
          </w:p>
        </w:tc>
        <w:tc>
          <w:tcPr>
            <w:tcW w:w="7683" w:type="dxa"/>
            <w:tcBorders>
              <w:top w:val="nil"/>
              <w:left w:val="single" w:sz="4" w:space="0" w:color="auto"/>
              <w:bottom w:val="single" w:sz="4" w:space="0" w:color="auto"/>
              <w:right w:val="single" w:sz="4" w:space="0" w:color="auto"/>
            </w:tcBorders>
            <w:shd w:val="clear" w:color="auto" w:fill="auto"/>
            <w:vAlign w:val="bottom"/>
          </w:tcPr>
          <w:p w14:paraId="1CDE0673" w14:textId="77777777" w:rsidR="000509F9" w:rsidRPr="00840DEE" w:rsidRDefault="000509F9" w:rsidP="000509F9">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KOPĒJIE ATSKAITĪJUMI NO PIRMĀ LĪMEŅA PAPILDU KAPITĀLA</w:t>
            </w:r>
          </w:p>
          <w:p w14:paraId="0CAA2B1E" w14:textId="77777777" w:rsidR="000509F9" w:rsidRPr="00840DEE" w:rsidRDefault="000509F9" w:rsidP="00582254">
            <w:pPr>
              <w:spacing w:before="60" w:after="60"/>
              <w:rPr>
                <w:rFonts w:ascii="Times New Roman" w:eastAsia="Times New Roman" w:hAnsi="Times New Roman" w:cs="Times New Roman"/>
                <w:b/>
                <w:bCs/>
                <w:szCs w:val="22"/>
                <w:u w:val="single"/>
              </w:rPr>
            </w:pPr>
            <w:r w:rsidRPr="00840DEE">
              <w:rPr>
                <w:rFonts w:ascii="Times New Roman" w:hAnsi="Times New Roman"/>
                <w:szCs w:val="22"/>
              </w:rPr>
              <w:t>Regulas (ES) Nr. 575/2013 56. pants.</w:t>
            </w:r>
          </w:p>
        </w:tc>
      </w:tr>
      <w:tr w:rsidR="000509F9" w:rsidRPr="00840DEE" w14:paraId="347256A2" w14:textId="77777777" w:rsidTr="00AF1B12">
        <w:tblPrEx>
          <w:tblLook w:val="00A0" w:firstRow="1" w:lastRow="0" w:firstColumn="1" w:lastColumn="0" w:noHBand="0" w:noVBand="0"/>
        </w:tblPrEx>
        <w:tc>
          <w:tcPr>
            <w:tcW w:w="1129" w:type="dxa"/>
            <w:tcBorders>
              <w:bottom w:val="single" w:sz="4" w:space="0" w:color="auto"/>
            </w:tcBorders>
            <w:vAlign w:val="center"/>
          </w:tcPr>
          <w:p w14:paraId="286007AF" w14:textId="77777777" w:rsidR="000509F9" w:rsidRPr="00840DEE" w:rsidRDefault="000509F9" w:rsidP="000509F9">
            <w:pPr>
              <w:spacing w:after="120"/>
              <w:jc w:val="both"/>
              <w:rPr>
                <w:rFonts w:ascii="Times New Roman" w:hAnsi="Times New Roman" w:cs="Times New Roman"/>
                <w:color w:val="000000"/>
                <w:szCs w:val="22"/>
              </w:rPr>
            </w:pPr>
            <w:r w:rsidRPr="00840DEE">
              <w:rPr>
                <w:rFonts w:ascii="Times New Roman" w:hAnsi="Times New Roman"/>
                <w:color w:val="000000"/>
                <w:szCs w:val="22"/>
              </w:rPr>
              <w:t>24.</w:t>
            </w:r>
          </w:p>
        </w:tc>
        <w:tc>
          <w:tcPr>
            <w:tcW w:w="7683" w:type="dxa"/>
            <w:tcBorders>
              <w:top w:val="nil"/>
              <w:left w:val="single" w:sz="4" w:space="0" w:color="auto"/>
              <w:bottom w:val="single" w:sz="4" w:space="0" w:color="auto"/>
              <w:right w:val="single" w:sz="4" w:space="0" w:color="auto"/>
            </w:tcBorders>
            <w:shd w:val="clear" w:color="auto" w:fill="auto"/>
            <w:vAlign w:val="bottom"/>
          </w:tcPr>
          <w:p w14:paraId="07138B89" w14:textId="77777777" w:rsidR="000509F9" w:rsidRPr="00840DEE" w:rsidRDefault="000509F9" w:rsidP="000509F9">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Pirmā līmeņa papildu kapitāls: citi kapitāla elementi, atskaitījumi un korekcijas</w:t>
            </w:r>
          </w:p>
          <w:p w14:paraId="13DCBAC6" w14:textId="77777777" w:rsidR="000509F9" w:rsidRPr="00840DEE" w:rsidRDefault="000509F9" w:rsidP="000509F9">
            <w:pPr>
              <w:spacing w:after="120"/>
              <w:jc w:val="both"/>
              <w:rPr>
                <w:rFonts w:ascii="Times New Roman" w:eastAsia="Times New Roman" w:hAnsi="Times New Roman" w:cs="Times New Roman"/>
                <w:bCs/>
                <w:szCs w:val="22"/>
              </w:rPr>
            </w:pPr>
            <w:r w:rsidRPr="00840DEE">
              <w:rPr>
                <w:rFonts w:ascii="Times New Roman" w:hAnsi="Times New Roman"/>
                <w:bCs/>
                <w:szCs w:val="22"/>
              </w:rPr>
              <w:t>Šī rinda ietver šādu posteņu summu (ja piemērojams):</w:t>
            </w:r>
          </w:p>
          <w:p w14:paraId="15F5F3A8" w14:textId="77777777" w:rsidR="000509F9" w:rsidRPr="00840DEE" w:rsidRDefault="000509F9" w:rsidP="000509F9">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pārejas posma korekcijas saistībā ar pirmā līmeņa papildu kapitāla instrumentiem, attiecībā uz kuriem piemērotas tiesības saglabāt iepriekš spēkā esošos nosacījumus (Regulas (ES) Nr. 575/2013 483. panta 4. un 5. punkts, 484. līdz 487. pants, 489. un 491. pants),</w:t>
            </w:r>
          </w:p>
          <w:p w14:paraId="17913093" w14:textId="77777777" w:rsidR="000509F9" w:rsidRPr="00840DEE" w:rsidRDefault="000509F9" w:rsidP="000509F9">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 xml:space="preserve">meitasuzņēmumu emitēti instrumenti, kuri ir atzīti pirmā līmeņa papildu kapitālā (Regulas (ES) Nr. 575/2013 83., 85. un 86. pants): visa meitasuzņēmumu atbilstīgā pirmā līmeņa kapitāla summa, kas ietverta konsolidētajā pirmā līmeņa papildu kapitālā, tajā skaitā arī īpašam nolūkam dibinātas sabiedrības emitētais kapitāls (Regulas (ES) Nr. 575/2013 83. pants), </w:t>
            </w:r>
          </w:p>
          <w:p w14:paraId="38014840" w14:textId="77777777" w:rsidR="000509F9" w:rsidRPr="00840DEE" w:rsidRDefault="000509F9" w:rsidP="000509F9">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pārejas posma korekcijas saistībā ar meitasuzņēmumu emitētu instrumentu papildu atzīšanu pirmā līmeņa papildu kapitālā (Regulas (ES) Nr. 575/2013 480. pants), konsolidētajā pirmā līmeņa papildu kapitālā ietvertā atbilstīgā pirmā līmeņa kapitāla korekcijas saistībā ar pārejas noteikumiem,</w:t>
            </w:r>
          </w:p>
          <w:p w14:paraId="243D98B7" w14:textId="77777777" w:rsidR="000509F9" w:rsidRPr="00840DEE" w:rsidRDefault="000509F9" w:rsidP="000509F9">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citas pārejas posma korekcijas attiecībā uz pirmā līmeņa papildu kapitālu (Regulas (ES) Nr. 575/2013 472. pants, 473.a, 474., 475., 478. un 481. pants): atskaitījumu korekcijas saistībā ar pārejas noteikumiem,</w:t>
            </w:r>
          </w:p>
          <w:p w14:paraId="6A1879AC" w14:textId="77777777" w:rsidR="000509F9" w:rsidRPr="00840DEE" w:rsidRDefault="000509F9" w:rsidP="000509F9">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 xml:space="preserve">summa, par kādu pirmā līmeņa papildu kapitāla posteņu atskaitījums pārsniedz pirmā līmeņa papildu kapitālu, atskaitīta no pirmā līmeņa pamata kapitāla saskaņā ar Regulas (ES) Nr. 575/2013 36. panta 1. punkta j) apakšpunktu: pirmā līmeņa papildu kapitāls nevar būt negatīvs, bet pastāv iespēja, ka atskaitījumi no pirmā </w:t>
            </w:r>
            <w:r w:rsidRPr="00840DEE">
              <w:rPr>
                <w:rFonts w:ascii="Times New Roman" w:hAnsi="Times New Roman"/>
                <w:bCs/>
              </w:rPr>
              <w:lastRenderedPageBreak/>
              <w:t>līmeņa papildu kapitāla posteņiem pārsniedz pieejamo pirmā līmeņa papildu kapitāla posteņu summu. Šādā gadījumā šis postenis atspoguļo summu, kas nepieciešama, lai 20. rindā uzrādīto summu palielinātu līdz nullei, un ir vienāds ar apgriezto summu, par kādu pirmā līmeņa papildu kapitāla posteņu atskaitījums pārsniedz pirmā līmeņa papildu kapitālu un kas papildus citiem atskaitījumiem ietverta 18. rindā,</w:t>
            </w:r>
          </w:p>
          <w:p w14:paraId="4800A97B" w14:textId="77777777" w:rsidR="000509F9" w:rsidRPr="00840DEE" w:rsidRDefault="000509F9" w:rsidP="000509F9">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 xml:space="preserve">citi pirmā līmeņa papildu kapitāla elementi vai atskaitījumi no pirmā līmeņa papildu kapitāla elementa, kurus nevar iedalīt nevienā no rindām, kas apzīmētas ar 21–23. </w:t>
            </w:r>
          </w:p>
          <w:p w14:paraId="5C72A009" w14:textId="77777777" w:rsidR="000509F9" w:rsidRPr="00840DEE" w:rsidRDefault="000509F9" w:rsidP="005768F5">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Šo rindu neizmanto, lai maksātspējas koeficientu aprēķinā iekļautu kapitāla posteņus vai atskaitījumus, kuriem nepiemēro Regulu (ES) 2019/2033 vai Regulu (ES) Nr. 575/2013.</w:t>
            </w:r>
          </w:p>
        </w:tc>
      </w:tr>
      <w:tr w:rsidR="000509F9" w:rsidRPr="00840DEE" w14:paraId="44DF2D3D" w14:textId="77777777" w:rsidTr="00AF1B12">
        <w:tblPrEx>
          <w:tblLook w:val="00A0" w:firstRow="1" w:lastRow="0" w:firstColumn="1" w:lastColumn="0" w:noHBand="0" w:noVBand="0"/>
        </w:tblPrEx>
        <w:tc>
          <w:tcPr>
            <w:tcW w:w="1129" w:type="dxa"/>
            <w:shd w:val="clear" w:color="auto" w:fill="auto"/>
            <w:vAlign w:val="center"/>
          </w:tcPr>
          <w:p w14:paraId="217244C5" w14:textId="77777777" w:rsidR="000509F9" w:rsidRPr="00840DEE" w:rsidRDefault="000509F9" w:rsidP="000509F9">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lastRenderedPageBreak/>
              <w:t>25.</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37C4EAB8" w14:textId="77777777" w:rsidR="000509F9" w:rsidRPr="00840DEE" w:rsidRDefault="000509F9" w:rsidP="000509F9">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OTRĀ LĪMEŅA KAPITĀLS</w:t>
            </w:r>
          </w:p>
          <w:p w14:paraId="186D74AE" w14:textId="77777777" w:rsidR="000509F9" w:rsidRPr="00840DEE" w:rsidRDefault="000509F9" w:rsidP="000509F9">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punkts.</w:t>
            </w:r>
          </w:p>
          <w:p w14:paraId="3A21F6E7" w14:textId="77777777" w:rsidR="000509F9" w:rsidRPr="00840DEE" w:rsidRDefault="000509F9" w:rsidP="000509F9">
            <w:pPr>
              <w:spacing w:after="120"/>
              <w:jc w:val="both"/>
              <w:rPr>
                <w:rStyle w:val="FormatvorlageInstructionsTabelleText"/>
                <w:rFonts w:ascii="Times New Roman" w:hAnsi="Times New Roman"/>
                <w:sz w:val="22"/>
                <w:szCs w:val="22"/>
              </w:rPr>
            </w:pPr>
            <w:r w:rsidRPr="00840DEE">
              <w:rPr>
                <w:rStyle w:val="FormatvorlageInstructionsTabelleText"/>
                <w:rFonts w:ascii="Times New Roman" w:hAnsi="Times New Roman"/>
                <w:sz w:val="22"/>
                <w:szCs w:val="22"/>
              </w:rPr>
              <w:t>Regulas (ES) Nr. 575/2013 71. pants.</w:t>
            </w:r>
          </w:p>
          <w:p w14:paraId="4409BE88" w14:textId="77777777" w:rsidR="000509F9" w:rsidRPr="00840DEE" w:rsidRDefault="000509F9" w:rsidP="002A2797">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Atklāj 26. līdz 29. rindas kopsummu.</w:t>
            </w:r>
          </w:p>
        </w:tc>
      </w:tr>
      <w:tr w:rsidR="000509F9" w:rsidRPr="00840DEE" w14:paraId="05BA2E3D" w14:textId="77777777" w:rsidTr="00AF1B12">
        <w:tblPrEx>
          <w:tblLook w:val="00A0" w:firstRow="1" w:lastRow="0" w:firstColumn="1" w:lastColumn="0" w:noHBand="0" w:noVBand="0"/>
        </w:tblPrEx>
        <w:tc>
          <w:tcPr>
            <w:tcW w:w="1129" w:type="dxa"/>
            <w:shd w:val="clear" w:color="auto" w:fill="auto"/>
            <w:vAlign w:val="center"/>
          </w:tcPr>
          <w:p w14:paraId="40D76217" w14:textId="77777777" w:rsidR="000509F9" w:rsidRPr="00840DEE" w:rsidRDefault="000509F9" w:rsidP="000509F9">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21DAD989" w14:textId="77777777" w:rsidR="000509F9" w:rsidRPr="00840DEE" w:rsidRDefault="000509F9" w:rsidP="000509F9">
            <w:pPr>
              <w:spacing w:after="120"/>
              <w:jc w:val="both"/>
              <w:rPr>
                <w:rFonts w:ascii="Times New Roman" w:eastAsia="Times New Roman" w:hAnsi="Times New Roman" w:cs="Times New Roman"/>
                <w:bCs/>
                <w:szCs w:val="22"/>
              </w:rPr>
            </w:pPr>
            <w:r w:rsidRPr="00840DEE">
              <w:rPr>
                <w:rFonts w:ascii="Times New Roman" w:hAnsi="Times New Roman"/>
                <w:b/>
                <w:bCs/>
                <w:szCs w:val="22"/>
                <w:u w:val="single"/>
              </w:rPr>
              <w:t xml:space="preserve">Pilnībā apmaksāti, tieši emitēti kapitāla instrumenti </w:t>
            </w:r>
          </w:p>
          <w:p w14:paraId="63D813B1" w14:textId="77777777" w:rsidR="000509F9" w:rsidRPr="00840DEE" w:rsidRDefault="000509F9" w:rsidP="000509F9">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73784C9B" w14:textId="77777777" w:rsidR="000509F9" w:rsidRPr="00840DEE" w:rsidRDefault="000509F9" w:rsidP="000509F9">
            <w:pPr>
              <w:pStyle w:val="InstructionsText"/>
              <w:rPr>
                <w:rStyle w:val="FormatvorlageInstructionsTabelleText"/>
                <w:rFonts w:ascii="Times New Roman" w:eastAsiaTheme="minorHAnsi" w:hAnsi="Times New Roman"/>
                <w:bCs/>
                <w:sz w:val="22"/>
              </w:rPr>
            </w:pPr>
            <w:r w:rsidRPr="00840DEE">
              <w:rPr>
                <w:rStyle w:val="FormatvorlageInstructionsTabelleText"/>
                <w:rFonts w:ascii="Times New Roman" w:hAnsi="Times New Roman"/>
                <w:sz w:val="22"/>
              </w:rPr>
              <w:t>Regulas (ES) Nr. 575/2013 62. panta a) apakšpunkts, 63. un 65. pants.</w:t>
            </w:r>
          </w:p>
          <w:p w14:paraId="691FD84F" w14:textId="77777777" w:rsidR="000509F9" w:rsidRPr="00840DEE" w:rsidRDefault="000509F9" w:rsidP="000509F9">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Atklājamā summa neietver akciju emisijas uzcenojumu, kas saistīts ar instrumentiem.</w:t>
            </w:r>
          </w:p>
        </w:tc>
      </w:tr>
      <w:tr w:rsidR="000509F9" w:rsidRPr="00840DEE" w14:paraId="6C652CB2" w14:textId="77777777" w:rsidTr="00AF1B12">
        <w:tblPrEx>
          <w:tblLook w:val="00A0" w:firstRow="1" w:lastRow="0" w:firstColumn="1" w:lastColumn="0" w:noHBand="0" w:noVBand="0"/>
        </w:tblPrEx>
        <w:tc>
          <w:tcPr>
            <w:tcW w:w="1129" w:type="dxa"/>
            <w:shd w:val="clear" w:color="auto" w:fill="auto"/>
            <w:vAlign w:val="center"/>
          </w:tcPr>
          <w:p w14:paraId="528C7DFA" w14:textId="77777777" w:rsidR="000509F9" w:rsidRPr="00840DEE" w:rsidRDefault="000509F9" w:rsidP="000509F9">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27.</w:t>
            </w:r>
          </w:p>
        </w:tc>
        <w:tc>
          <w:tcPr>
            <w:tcW w:w="7683" w:type="dxa"/>
            <w:tcBorders>
              <w:top w:val="nil"/>
              <w:left w:val="single" w:sz="4" w:space="0" w:color="auto"/>
              <w:bottom w:val="single" w:sz="4" w:space="0" w:color="auto"/>
              <w:right w:val="single" w:sz="4" w:space="0" w:color="auto"/>
            </w:tcBorders>
            <w:shd w:val="clear" w:color="auto" w:fill="auto"/>
            <w:vAlign w:val="bottom"/>
          </w:tcPr>
          <w:p w14:paraId="72C9B2EA" w14:textId="77777777" w:rsidR="000509F9" w:rsidRPr="00840DEE" w:rsidRDefault="000509F9" w:rsidP="000509F9">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xml:space="preserve">Akciju emisijas uzcenojums </w:t>
            </w:r>
          </w:p>
          <w:p w14:paraId="3EE1A5B5" w14:textId="77777777" w:rsidR="000509F9" w:rsidRPr="00840DEE" w:rsidRDefault="000509F9" w:rsidP="000509F9">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719EDD67" w14:textId="77777777" w:rsidR="000509F9" w:rsidRPr="00840DEE" w:rsidRDefault="000509F9" w:rsidP="000509F9">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Regulas (ES) Nr. 575/2013 62. panta b) punkts un 65. pants.</w:t>
            </w:r>
          </w:p>
          <w:p w14:paraId="76A0B1A6" w14:textId="77777777" w:rsidR="000509F9" w:rsidRPr="00840DEE" w:rsidRDefault="000509F9" w:rsidP="000509F9">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 xml:space="preserve">Akciju emisijas uzcenojums ir uzcenojums tādā nozīmē, kā definēts piemērojamā grāmatvedības standartā. </w:t>
            </w:r>
          </w:p>
          <w:p w14:paraId="0DCC299D" w14:textId="77777777" w:rsidR="000509F9" w:rsidRPr="00840DEE" w:rsidRDefault="000509F9" w:rsidP="000509F9">
            <w:pPr>
              <w:pStyle w:val="InstructionsText"/>
            </w:pPr>
            <w:r w:rsidRPr="00840DEE">
              <w:rPr>
                <w:rStyle w:val="FormatvorlageInstructionsTabelleText"/>
                <w:rFonts w:ascii="Times New Roman" w:hAnsi="Times New Roman"/>
                <w:sz w:val="22"/>
              </w:rPr>
              <w:t>Šajā postenī atklājamā summa ir ar “Apmaksātiem kapitāla instrumentiem” saistītā daļa.</w:t>
            </w:r>
          </w:p>
        </w:tc>
      </w:tr>
      <w:tr w:rsidR="000509F9" w:rsidRPr="00840DEE" w14:paraId="3391ADE9" w14:textId="77777777" w:rsidTr="009C422F">
        <w:tblPrEx>
          <w:tblLook w:val="00A0" w:firstRow="1" w:lastRow="0" w:firstColumn="1" w:lastColumn="0" w:noHBand="0" w:noVBand="0"/>
        </w:tblPrEx>
        <w:tc>
          <w:tcPr>
            <w:tcW w:w="1129" w:type="dxa"/>
            <w:shd w:val="clear" w:color="auto" w:fill="auto"/>
            <w:vAlign w:val="center"/>
          </w:tcPr>
          <w:p w14:paraId="00709F81" w14:textId="77777777" w:rsidR="000509F9" w:rsidRPr="00840DEE" w:rsidRDefault="000509F9" w:rsidP="000509F9">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7BA3CEA2" w14:textId="77777777" w:rsidR="000509F9" w:rsidRPr="00840DEE" w:rsidRDefault="000509F9" w:rsidP="000509F9">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KOPĒJIE ATSKAITĪJUMI NO OTRĀ LĪMEŅA KAPITĀLA</w:t>
            </w:r>
          </w:p>
          <w:p w14:paraId="563B1496" w14:textId="77777777" w:rsidR="000509F9" w:rsidRPr="00840DEE" w:rsidRDefault="000509F9" w:rsidP="000509F9">
            <w:pPr>
              <w:spacing w:after="120"/>
              <w:jc w:val="both"/>
              <w:rPr>
                <w:rFonts w:ascii="Times New Roman" w:eastAsia="Times New Roman" w:hAnsi="Times New Roman" w:cs="Times New Roman"/>
                <w:b/>
                <w:bCs/>
                <w:szCs w:val="22"/>
                <w:u w:val="single"/>
              </w:rPr>
            </w:pPr>
            <w:r w:rsidRPr="00840DEE">
              <w:rPr>
                <w:rFonts w:ascii="Times New Roman" w:hAnsi="Times New Roman"/>
                <w:szCs w:val="22"/>
              </w:rPr>
              <w:t>Regulas (ES) Nr. 575/2013 66. pants.</w:t>
            </w:r>
          </w:p>
        </w:tc>
      </w:tr>
      <w:tr w:rsidR="000509F9" w:rsidRPr="00840DEE" w14:paraId="4B6F7AB7" w14:textId="77777777" w:rsidTr="009C422F">
        <w:tblPrEx>
          <w:tblLook w:val="00A0" w:firstRow="1" w:lastRow="0" w:firstColumn="1" w:lastColumn="0" w:noHBand="0" w:noVBand="0"/>
        </w:tblPrEx>
        <w:tc>
          <w:tcPr>
            <w:tcW w:w="1129" w:type="dxa"/>
            <w:shd w:val="clear" w:color="auto" w:fill="auto"/>
            <w:vAlign w:val="center"/>
          </w:tcPr>
          <w:p w14:paraId="76C9A14D" w14:textId="77777777" w:rsidR="000509F9" w:rsidRPr="00840DEE" w:rsidRDefault="000509F9" w:rsidP="000509F9">
            <w:pPr>
              <w:spacing w:after="120"/>
              <w:jc w:val="both"/>
              <w:rPr>
                <w:rFonts w:ascii="Times New Roman" w:hAnsi="Times New Roman" w:cs="Times New Roman"/>
                <w:color w:val="000000"/>
                <w:szCs w:val="22"/>
              </w:rPr>
            </w:pPr>
            <w:r w:rsidRPr="00840DEE">
              <w:rPr>
                <w:rFonts w:ascii="Times New Roman" w:hAnsi="Times New Roman"/>
                <w:color w:val="000000"/>
                <w:szCs w:val="22"/>
              </w:rPr>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03E0920" w14:textId="77777777" w:rsidR="000509F9" w:rsidRPr="00840DEE" w:rsidRDefault="000509F9" w:rsidP="000509F9">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Otrā līmeņa kapitāls: citi kapitāla elementi, atskaitījumi un korekcijas</w:t>
            </w:r>
          </w:p>
          <w:p w14:paraId="56F0D7BB" w14:textId="77777777" w:rsidR="000509F9" w:rsidRPr="00840DEE" w:rsidRDefault="000509F9" w:rsidP="000509F9">
            <w:pPr>
              <w:spacing w:after="120"/>
              <w:jc w:val="both"/>
              <w:rPr>
                <w:rFonts w:ascii="Times New Roman" w:eastAsia="Times New Roman" w:hAnsi="Times New Roman" w:cs="Times New Roman"/>
                <w:bCs/>
                <w:szCs w:val="22"/>
              </w:rPr>
            </w:pPr>
            <w:r w:rsidRPr="00840DEE">
              <w:rPr>
                <w:rFonts w:ascii="Times New Roman" w:hAnsi="Times New Roman"/>
                <w:bCs/>
                <w:szCs w:val="22"/>
              </w:rPr>
              <w:t>Šī rinda ietver šādu posteņu summu (ja piemērojams):</w:t>
            </w:r>
          </w:p>
          <w:p w14:paraId="7091093B" w14:textId="77777777" w:rsidR="000509F9" w:rsidRPr="00840DEE" w:rsidRDefault="000509F9" w:rsidP="000509F9">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pārejas posma korekcijas saistībā ar otrā līmeņa kapitāla instrumentiem, attiecībā uz kuriem piemērotas tiesības saglabāt iepriekš spēkā esošos nosacījumus (Regulas (ES) Nr. 575/2013 483. panta 6. un 7. punkts, 484., 486., 488., 490. un 491. pants),</w:t>
            </w:r>
          </w:p>
          <w:p w14:paraId="071C16A5" w14:textId="77777777" w:rsidR="000509F9" w:rsidRPr="00840DEE" w:rsidRDefault="000509F9" w:rsidP="000509F9">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meitasuzņēmumu emitēti instrumenti, kuri ir atzīti otrā līmeņa kapitālā (Regulas (ES) Nr. 575/2013 83., 87. un 88. pants): visa meitasuzņēmumu atbilstīgā pašu kapitāla summa, kas ietverta konsolidētajā otrā līmeņa kapitālā, tajā skaitā arī īpašam nolūkam dibinātas sabiedrības emitētais atbilstīgais otrā līmeņa kapitāls (Regulas (ES) Nr. 575/2013 83. pants),</w:t>
            </w:r>
          </w:p>
          <w:p w14:paraId="5B9D754E" w14:textId="77777777" w:rsidR="000509F9" w:rsidRPr="00840DEE" w:rsidRDefault="000509F9" w:rsidP="000509F9">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pārejas posma korekcijas saistībā ar meitasuzņēmumu emitētu instrumentu papildu atzīšanu otrā līmeņa kapitālā (Regulas (ES) Nr. 575/2013 480. pants): korekcijas, kas saistībā ar pārejas noteikumiem veiktas atbilstīgā pašu kapitālā, kurš ietverts konsolidētajā otrā līmeņa kapitālā,</w:t>
            </w:r>
          </w:p>
          <w:p w14:paraId="42AA2879" w14:textId="77777777" w:rsidR="000509F9" w:rsidRPr="00840DEE" w:rsidRDefault="000509F9" w:rsidP="000509F9">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lastRenderedPageBreak/>
              <w:t>citas pārejas posma korekcijas attiecībā uz otrā līmeņa kapitālu (Regulas (ES) Nr. 575/2013 472. pants, 473.a, 476., 477., 478. un 481. pants): korekcijas, kas saistībā ar pārejas noteikumiem veiktas atskaitījumos no otrā līmeņa kapitāla,</w:t>
            </w:r>
          </w:p>
          <w:p w14:paraId="14DF7C75" w14:textId="77777777" w:rsidR="000509F9" w:rsidRPr="00840DEE" w:rsidRDefault="000509F9" w:rsidP="000509F9">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summa, par kādu otrā līmeņa kapitāla posteņu atskaitījums pārsniedz otrā līmeņa kapitālu, atskaitīta no pirmā līmeņa papildu kapitāla saskaņā ar Regulas (ES) Nr. 575/2013 56. panta e) punktu: otrā līmeņa kapitāls nevar būt negatīvs, bet pastāv iespēja, ka atskaitījumi no otrā līmeņa kapitāla posteņiem pārsniedz pieejamo otrā līmeņa kapitāla posteņu summu. Šādā gadījumā šis postenis atspoguļo summu, kas nepieciešama, lai 25. rindā uzrādīto summu palielinātu līdz nullei,</w:t>
            </w:r>
          </w:p>
          <w:p w14:paraId="5CB64774" w14:textId="77777777" w:rsidR="000509F9" w:rsidRPr="00840DEE" w:rsidRDefault="000509F9" w:rsidP="000509F9">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 xml:space="preserve">citi otrā līmeņa kapitāla elementi vai atskaitījumi no otrā līmeņa kapitāla elementa, kurus nevar iedalīt nevienā no rindām, kas apzīmētas ar 26–28. </w:t>
            </w:r>
          </w:p>
          <w:p w14:paraId="57E01AC2" w14:textId="77777777" w:rsidR="000509F9" w:rsidRPr="00840DEE" w:rsidRDefault="000509F9" w:rsidP="00582254">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Šo rindu neizmanto, lai maksātspējas koeficientu aprēķinā iekļautu kapitāla posteņus vai atskaitījumus, kuriem nepiemēro Regulu (ES) 2019/2033 vai Regulu (ES) Nr. 575/2013.</w:t>
            </w:r>
          </w:p>
        </w:tc>
      </w:tr>
    </w:tbl>
    <w:p w14:paraId="0EC38A16" w14:textId="77777777" w:rsidR="00B44D36" w:rsidRPr="00840DEE" w:rsidRDefault="00B44D36" w:rsidP="00B44D36">
      <w:pPr>
        <w:ind w:left="720"/>
        <w:rPr>
          <w:rFonts w:ascii="Times New Roman" w:hAnsi="Times New Roman" w:cs="Times New Roman"/>
          <w:b/>
          <w:bCs/>
          <w:sz w:val="24"/>
        </w:rPr>
      </w:pPr>
    </w:p>
    <w:p w14:paraId="7E952C08" w14:textId="77777777" w:rsidR="00970F84" w:rsidRPr="00840DEE" w:rsidRDefault="00970F84" w:rsidP="00970F84">
      <w:pPr>
        <w:ind w:left="720"/>
        <w:rPr>
          <w:rFonts w:ascii="Times New Roman" w:hAnsi="Times New Roman" w:cs="Times New Roman"/>
          <w:b/>
          <w:bCs/>
          <w:sz w:val="24"/>
        </w:rPr>
      </w:pPr>
      <w:r w:rsidRPr="00840DEE">
        <w:rPr>
          <w:rFonts w:ascii="Times New Roman" w:hAnsi="Times New Roman"/>
          <w:b/>
          <w:bCs/>
          <w:sz w:val="24"/>
        </w:rPr>
        <w:t>Veidne EU I CC1.03 — Regulējošām prasībām atbilstošā pašu kapitāla struktūra (Grupas kapitāla kritērijs)</w:t>
      </w:r>
    </w:p>
    <w:p w14:paraId="3BC71808" w14:textId="77777777" w:rsidR="00924338" w:rsidRPr="00840DEE" w:rsidRDefault="00924338" w:rsidP="00970F84">
      <w:pPr>
        <w:ind w:left="720"/>
        <w:rPr>
          <w:rFonts w:ascii="Times New Roman" w:hAnsi="Times New Roman" w:cs="Times New Roman"/>
          <w:b/>
          <w:bCs/>
          <w:sz w:val="24"/>
        </w:rPr>
      </w:pPr>
    </w:p>
    <w:p w14:paraId="5FF1BEC0" w14:textId="77777777" w:rsidR="00B44D36" w:rsidRPr="00840DEE" w:rsidRDefault="008A2821" w:rsidP="008A2821">
      <w:pPr>
        <w:numPr>
          <w:ilvl w:val="0"/>
          <w:numId w:val="11"/>
        </w:numPr>
        <w:spacing w:before="120" w:after="120"/>
        <w:jc w:val="both"/>
        <w:rPr>
          <w:rFonts w:ascii="Times New Roman" w:hAnsi="Times New Roman" w:cs="Times New Roman"/>
          <w:bCs/>
          <w:sz w:val="24"/>
        </w:rPr>
      </w:pPr>
      <w:r w:rsidRPr="00840DEE">
        <w:rPr>
          <w:rFonts w:ascii="Times New Roman" w:hAnsi="Times New Roman"/>
          <w:bCs/>
          <w:sz w:val="24"/>
        </w:rPr>
        <w:t xml:space="preserve">Regulas (ES) 2019/2033 8. panta 3. punktā minētās sabiedrības, kuras piemēro minēto pantu, informāciju par pašu kapitāla struktūru atklāj saskaņā ar veidni EU I CC1.03 un turpmākajiem norādījumiem. </w:t>
      </w:r>
    </w:p>
    <w:p w14:paraId="582FAF67" w14:textId="77777777" w:rsidR="008A2821" w:rsidRPr="00840DEE" w:rsidRDefault="008A2821" w:rsidP="00B44D36">
      <w:pPr>
        <w:ind w:left="720"/>
        <w:rPr>
          <w:rFonts w:ascii="Times New Roman" w:hAnsi="Times New Roman" w:cs="Times New Roman"/>
          <w:b/>
          <w:bCs/>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70F84" w:rsidRPr="00840DEE" w14:paraId="07FB7A1E" w14:textId="77777777" w:rsidTr="00970F84">
        <w:tc>
          <w:tcPr>
            <w:tcW w:w="1129" w:type="dxa"/>
            <w:shd w:val="clear" w:color="auto" w:fill="D9D9D9"/>
          </w:tcPr>
          <w:p w14:paraId="3868F296" w14:textId="77777777" w:rsidR="00970F84" w:rsidRPr="00840DEE" w:rsidRDefault="00970F84" w:rsidP="00970F84">
            <w:pPr>
              <w:spacing w:after="120"/>
              <w:jc w:val="both"/>
              <w:rPr>
                <w:rFonts w:ascii="Times New Roman" w:eastAsia="Times New Roman" w:hAnsi="Times New Roman" w:cs="Times New Roman"/>
                <w:bCs/>
                <w:szCs w:val="22"/>
              </w:rPr>
            </w:pPr>
            <w:r w:rsidRPr="00840DEE">
              <w:rPr>
                <w:rFonts w:ascii="Times New Roman" w:hAnsi="Times New Roman"/>
                <w:szCs w:val="22"/>
              </w:rPr>
              <w:t>Rinda</w:t>
            </w:r>
          </w:p>
        </w:tc>
        <w:tc>
          <w:tcPr>
            <w:tcW w:w="7620" w:type="dxa"/>
            <w:shd w:val="clear" w:color="auto" w:fill="D9D9D9"/>
          </w:tcPr>
          <w:p w14:paraId="2D2F3B1C" w14:textId="77777777" w:rsidR="00970F84" w:rsidRPr="00840DEE" w:rsidRDefault="00970F84" w:rsidP="00970F84">
            <w:pPr>
              <w:spacing w:after="120"/>
              <w:jc w:val="both"/>
              <w:rPr>
                <w:rFonts w:ascii="Times New Roman" w:eastAsia="Times New Roman" w:hAnsi="Times New Roman" w:cs="Times New Roman"/>
                <w:bCs/>
                <w:szCs w:val="22"/>
              </w:rPr>
            </w:pPr>
            <w:r w:rsidRPr="00840DEE">
              <w:rPr>
                <w:rFonts w:ascii="Times New Roman" w:hAnsi="Times New Roman"/>
                <w:szCs w:val="22"/>
              </w:rPr>
              <w:t>Atsauces uz tiesību aktiem un norādījumi</w:t>
            </w:r>
          </w:p>
        </w:tc>
      </w:tr>
      <w:tr w:rsidR="00970F84" w:rsidRPr="00840DEE" w14:paraId="69C1E7E7" w14:textId="77777777" w:rsidTr="002B149A">
        <w:tc>
          <w:tcPr>
            <w:tcW w:w="1129" w:type="dxa"/>
            <w:vAlign w:val="center"/>
          </w:tcPr>
          <w:p w14:paraId="55887550" w14:textId="77777777" w:rsidR="00970F84" w:rsidRPr="00840DEE" w:rsidRDefault="00970F84" w:rsidP="00970F84">
            <w:pPr>
              <w:spacing w:after="120"/>
              <w:jc w:val="both"/>
              <w:rPr>
                <w:rFonts w:ascii="Times New Roman" w:eastAsia="Times New Roman" w:hAnsi="Times New Roman" w:cs="Times New Roman"/>
                <w:bCs/>
                <w:szCs w:val="22"/>
              </w:rPr>
            </w:pPr>
            <w:r w:rsidRPr="00840DEE">
              <w:rPr>
                <w:rFonts w:ascii="Times New Roman" w:hAnsi="Times New Roman"/>
                <w:bCs/>
                <w:color w:val="000000"/>
                <w:szCs w:val="22"/>
              </w:rPr>
              <w:t>1.</w:t>
            </w:r>
          </w:p>
        </w:tc>
        <w:tc>
          <w:tcPr>
            <w:tcW w:w="7620" w:type="dxa"/>
          </w:tcPr>
          <w:p w14:paraId="6F09628A" w14:textId="77777777" w:rsidR="00970F84" w:rsidRPr="00840DEE" w:rsidRDefault="00970F84" w:rsidP="00970F84">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PAŠU KAPITĀLS</w:t>
            </w:r>
          </w:p>
          <w:p w14:paraId="56163839" w14:textId="77777777" w:rsidR="00970F84" w:rsidRPr="00840DEE" w:rsidRDefault="00970F84" w:rsidP="00970F84">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punkts.</w:t>
            </w:r>
          </w:p>
          <w:p w14:paraId="2D77D8B8" w14:textId="77777777" w:rsidR="00970F84" w:rsidRPr="00840DEE" w:rsidRDefault="00970F84">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Ieguldījumu brokeru sabiedrības pašu kapitālu veido tās pirmā līmeņa kapitāla un otrā līmeņa kapitāla summa.</w:t>
            </w:r>
          </w:p>
        </w:tc>
      </w:tr>
      <w:tr w:rsidR="00970F84" w:rsidRPr="00840DEE" w14:paraId="6D06976F" w14:textId="77777777" w:rsidTr="002B149A">
        <w:tc>
          <w:tcPr>
            <w:tcW w:w="1129" w:type="dxa"/>
            <w:vAlign w:val="center"/>
          </w:tcPr>
          <w:p w14:paraId="4EEA79AF" w14:textId="77777777" w:rsidR="00970F84" w:rsidRPr="00840DEE" w:rsidRDefault="00970F84" w:rsidP="00970F84">
            <w:pPr>
              <w:spacing w:after="120"/>
              <w:jc w:val="both"/>
              <w:rPr>
                <w:rFonts w:ascii="Times New Roman" w:eastAsia="Times New Roman" w:hAnsi="Times New Roman" w:cs="Times New Roman"/>
                <w:bCs/>
                <w:szCs w:val="22"/>
              </w:rPr>
            </w:pPr>
            <w:r w:rsidRPr="00840DEE">
              <w:rPr>
                <w:rFonts w:ascii="Times New Roman" w:hAnsi="Times New Roman"/>
                <w:bCs/>
                <w:color w:val="000000"/>
                <w:szCs w:val="22"/>
              </w:rPr>
              <w:t>2.</w:t>
            </w:r>
          </w:p>
        </w:tc>
        <w:tc>
          <w:tcPr>
            <w:tcW w:w="7620" w:type="dxa"/>
          </w:tcPr>
          <w:p w14:paraId="144B1694" w14:textId="77777777" w:rsidR="00970F84" w:rsidRPr="00840DEE" w:rsidRDefault="00970F84" w:rsidP="00970F84">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PIRMĀ LĪMEŅA KAPITĀLS</w:t>
            </w:r>
          </w:p>
          <w:p w14:paraId="1FADE3BD" w14:textId="77777777" w:rsidR="00970F84" w:rsidRPr="00840DEE" w:rsidRDefault="00970F84" w:rsidP="00970F84">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Pirmā līmeņa kapitālu veido pirmā līmeņa pamata kapitāla un pirmā līmeņa papildu kapitāla summa.</w:t>
            </w:r>
          </w:p>
        </w:tc>
      </w:tr>
      <w:tr w:rsidR="00970F84" w:rsidRPr="00840DEE" w14:paraId="488F8EC5" w14:textId="77777777" w:rsidTr="002B149A">
        <w:tc>
          <w:tcPr>
            <w:tcW w:w="1129" w:type="dxa"/>
            <w:vAlign w:val="center"/>
          </w:tcPr>
          <w:p w14:paraId="30EC6BFF" w14:textId="77777777" w:rsidR="00970F84" w:rsidRPr="00840DEE" w:rsidRDefault="00970F84" w:rsidP="00970F84">
            <w:pPr>
              <w:spacing w:after="120"/>
              <w:jc w:val="both"/>
              <w:rPr>
                <w:rFonts w:ascii="Times New Roman" w:eastAsia="Times New Roman" w:hAnsi="Times New Roman" w:cs="Times New Roman"/>
                <w:bCs/>
                <w:szCs w:val="22"/>
              </w:rPr>
            </w:pPr>
            <w:r w:rsidRPr="00840DEE">
              <w:rPr>
                <w:rFonts w:ascii="Times New Roman" w:hAnsi="Times New Roman"/>
                <w:bCs/>
                <w:color w:val="000000"/>
                <w:szCs w:val="22"/>
              </w:rPr>
              <w:t>3.</w:t>
            </w:r>
          </w:p>
        </w:tc>
        <w:tc>
          <w:tcPr>
            <w:tcW w:w="7620" w:type="dxa"/>
          </w:tcPr>
          <w:p w14:paraId="78F7D40D" w14:textId="77777777" w:rsidR="00970F84" w:rsidRPr="00840DEE" w:rsidRDefault="00970F84" w:rsidP="00970F84">
            <w:pPr>
              <w:spacing w:after="120"/>
              <w:jc w:val="both"/>
              <w:rPr>
                <w:rFonts w:ascii="Times New Roman" w:eastAsia="Times New Roman" w:hAnsi="Times New Roman" w:cs="Times New Roman"/>
                <w:b/>
                <w:bCs/>
                <w:szCs w:val="22"/>
                <w:u w:val="single"/>
              </w:rPr>
            </w:pPr>
            <w:r w:rsidRPr="00840DEE">
              <w:rPr>
                <w:rStyle w:val="InstructionsTabelleberschrift"/>
                <w:rFonts w:ascii="Times New Roman" w:hAnsi="Times New Roman"/>
                <w:sz w:val="22"/>
                <w:szCs w:val="22"/>
              </w:rPr>
              <w:t>PIRMĀ LĪMEŅA PAMATA KAPITĀLS</w:t>
            </w:r>
            <w:r w:rsidRPr="00840DEE">
              <w:rPr>
                <w:rFonts w:ascii="Times New Roman" w:hAnsi="Times New Roman"/>
                <w:b/>
                <w:bCs/>
                <w:szCs w:val="22"/>
                <w:u w:val="single"/>
              </w:rPr>
              <w:t xml:space="preserve"> </w:t>
            </w:r>
          </w:p>
          <w:p w14:paraId="568EDC53" w14:textId="77777777" w:rsidR="00970F84" w:rsidRPr="00840DEE" w:rsidRDefault="00970F84" w:rsidP="00970F84">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punkts.</w:t>
            </w:r>
          </w:p>
          <w:p w14:paraId="41A741AE" w14:textId="77777777" w:rsidR="00970F84" w:rsidRPr="00840DEE" w:rsidRDefault="00970F84" w:rsidP="00970F84">
            <w:pPr>
              <w:spacing w:after="120"/>
              <w:jc w:val="both"/>
              <w:rPr>
                <w:rFonts w:ascii="Times New Roman" w:eastAsia="Times New Roman" w:hAnsi="Times New Roman" w:cs="Times New Roman"/>
                <w:bCs/>
                <w:szCs w:val="22"/>
              </w:rPr>
            </w:pPr>
            <w:r w:rsidRPr="00840DEE">
              <w:rPr>
                <w:rStyle w:val="FormatvorlageInstructionsTabelleText"/>
                <w:rFonts w:ascii="Times New Roman" w:hAnsi="Times New Roman"/>
                <w:sz w:val="22"/>
                <w:szCs w:val="22"/>
              </w:rPr>
              <w:t>Regulas (ES) Nr. 575/2013 50. pants.</w:t>
            </w:r>
          </w:p>
        </w:tc>
      </w:tr>
      <w:tr w:rsidR="00970F84" w:rsidRPr="00840DEE" w14:paraId="3D2D1BDD" w14:textId="77777777" w:rsidTr="002B149A">
        <w:tc>
          <w:tcPr>
            <w:tcW w:w="1129" w:type="dxa"/>
            <w:vAlign w:val="center"/>
          </w:tcPr>
          <w:p w14:paraId="4664FE3F" w14:textId="77777777" w:rsidR="00970F84" w:rsidRPr="00840DEE" w:rsidRDefault="00970F84" w:rsidP="00970F84">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4.</w:t>
            </w:r>
          </w:p>
        </w:tc>
        <w:tc>
          <w:tcPr>
            <w:tcW w:w="7620" w:type="dxa"/>
          </w:tcPr>
          <w:p w14:paraId="2B7A9932" w14:textId="77777777" w:rsidR="00970F84" w:rsidRPr="00840DEE" w:rsidRDefault="00970F84" w:rsidP="00970F84">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Apmaksāti kapitāla instrumenti</w:t>
            </w:r>
          </w:p>
          <w:p w14:paraId="1953D2A2" w14:textId="77777777" w:rsidR="00970F84" w:rsidRPr="00840DEE" w:rsidRDefault="00970F84" w:rsidP="00970F84">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3FC43E8F" w14:textId="77777777" w:rsidR="00970F84" w:rsidRPr="00840DEE" w:rsidRDefault="00970F84" w:rsidP="00972BBA">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Regulas (ES) Nr. 575/2013 26. panta 1. punkta a) apakšpunkts un 27. līdz 31. pants.</w:t>
            </w:r>
          </w:p>
          <w:p w14:paraId="66A0C625" w14:textId="77777777" w:rsidR="00970F84" w:rsidRPr="00840DEE" w:rsidRDefault="00970F84" w:rsidP="00972BBA">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Ietver savstarpēju sabiedrību, kooperatīvu sabiedrību vai līdzīgu iestāžu kapitāla instrumentus (Regulas (ES) Nr. 575/2013 27. un 29. pants).</w:t>
            </w:r>
          </w:p>
          <w:p w14:paraId="40DE5D3F" w14:textId="77777777" w:rsidR="00970F84" w:rsidRPr="00840DEE" w:rsidRDefault="00970F84" w:rsidP="00972BBA">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Neietver ar instrumentiem saistīto akciju emisijas uzcenojumu.</w:t>
            </w:r>
          </w:p>
          <w:p w14:paraId="2DAC11A1" w14:textId="77777777" w:rsidR="00970F84" w:rsidRPr="00840DEE" w:rsidRDefault="00970F84" w:rsidP="002B149A">
            <w:pPr>
              <w:pStyle w:val="InstructionsText"/>
            </w:pPr>
            <w:r w:rsidRPr="00840DEE">
              <w:rPr>
                <w:rStyle w:val="FormatvorlageInstructionsTabelleText"/>
                <w:rFonts w:ascii="Times New Roman" w:hAnsi="Times New Roman"/>
                <w:sz w:val="22"/>
              </w:rPr>
              <w:t>Ietver kapitāla instrumentus, uz ko parakstījušas valsts sektora iestādes ārkārtas situācijās, ja visi Regulas (ES) Nr. 575/2013 31. panta nosacījumi ir izpildīti.</w:t>
            </w:r>
          </w:p>
        </w:tc>
      </w:tr>
      <w:tr w:rsidR="00970F84" w:rsidRPr="00840DEE" w14:paraId="0F68FA11" w14:textId="77777777" w:rsidTr="002B149A">
        <w:tc>
          <w:tcPr>
            <w:tcW w:w="1129" w:type="dxa"/>
            <w:vAlign w:val="center"/>
          </w:tcPr>
          <w:p w14:paraId="0692C6FA" w14:textId="77777777" w:rsidR="00970F84" w:rsidRPr="00840DEE" w:rsidRDefault="00970F84" w:rsidP="00970F84">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5.</w:t>
            </w:r>
          </w:p>
        </w:tc>
        <w:tc>
          <w:tcPr>
            <w:tcW w:w="7620" w:type="dxa"/>
          </w:tcPr>
          <w:p w14:paraId="47E8288E" w14:textId="77777777" w:rsidR="00970F84" w:rsidRPr="00840DEE" w:rsidRDefault="00970F84" w:rsidP="00970F84">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xml:space="preserve">Akciju emisijas uzcenojums </w:t>
            </w:r>
          </w:p>
          <w:p w14:paraId="3068B138" w14:textId="77777777" w:rsidR="00970F84" w:rsidRPr="00840DEE" w:rsidRDefault="00970F84" w:rsidP="00970F84">
            <w:pPr>
              <w:spacing w:after="120"/>
              <w:jc w:val="both"/>
              <w:rPr>
                <w:rFonts w:ascii="Times New Roman" w:eastAsia="Times New Roman" w:hAnsi="Times New Roman" w:cs="Times New Roman"/>
                <w:bCs/>
                <w:szCs w:val="22"/>
              </w:rPr>
            </w:pPr>
            <w:r w:rsidRPr="00840DEE">
              <w:rPr>
                <w:rFonts w:ascii="Times New Roman" w:hAnsi="Times New Roman"/>
                <w:bCs/>
                <w:szCs w:val="22"/>
              </w:rPr>
              <w:lastRenderedPageBreak/>
              <w:t>Regulas (ES) 2019/2033 9. panta 1. punkta i) apakšpunkts.</w:t>
            </w:r>
          </w:p>
          <w:p w14:paraId="3B637ED2" w14:textId="77777777" w:rsidR="00970F84" w:rsidRPr="00840DEE" w:rsidRDefault="00970F84" w:rsidP="00970F84">
            <w:pPr>
              <w:spacing w:after="120"/>
              <w:jc w:val="both"/>
              <w:rPr>
                <w:rStyle w:val="FormatvorlageInstructionsTabelleText"/>
                <w:rFonts w:ascii="Times New Roman" w:hAnsi="Times New Roman"/>
                <w:sz w:val="22"/>
                <w:szCs w:val="22"/>
              </w:rPr>
            </w:pPr>
            <w:r w:rsidRPr="00840DEE">
              <w:rPr>
                <w:rStyle w:val="FormatvorlageInstructionsTabelleText"/>
                <w:rFonts w:ascii="Times New Roman" w:hAnsi="Times New Roman"/>
                <w:sz w:val="22"/>
                <w:szCs w:val="22"/>
              </w:rPr>
              <w:t>Regulas (ES) Nr. 575/2013 26. panta  1. punkta b) apakšpunkts.</w:t>
            </w:r>
          </w:p>
          <w:p w14:paraId="73051115" w14:textId="77777777" w:rsidR="00970F84" w:rsidRPr="00840DEE" w:rsidRDefault="00970F84" w:rsidP="00972BBA">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 xml:space="preserve">Akciju emisijas uzcenojums ir uzcenojums tādā nozīmē, kā definēts piemērojamā grāmatvedības standartā. </w:t>
            </w:r>
          </w:p>
          <w:p w14:paraId="246D47D2" w14:textId="77777777" w:rsidR="00970F84" w:rsidRPr="00840DEE" w:rsidRDefault="00970F84" w:rsidP="00970F84">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Šajā postenī atklājamā summa ir ar “Apmaksātiem kapitāla instrumentiem” saistītā daļa.</w:t>
            </w:r>
          </w:p>
        </w:tc>
      </w:tr>
      <w:tr w:rsidR="00970F84" w:rsidRPr="00840DEE" w14:paraId="00F76830" w14:textId="77777777" w:rsidTr="002B149A">
        <w:tc>
          <w:tcPr>
            <w:tcW w:w="1129" w:type="dxa"/>
            <w:vAlign w:val="center"/>
          </w:tcPr>
          <w:p w14:paraId="494E092F" w14:textId="77777777" w:rsidR="00970F84" w:rsidRPr="00840DEE" w:rsidRDefault="00970F84" w:rsidP="00970F84">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lastRenderedPageBreak/>
              <w:t>6.</w:t>
            </w:r>
          </w:p>
        </w:tc>
        <w:tc>
          <w:tcPr>
            <w:tcW w:w="7620" w:type="dxa"/>
          </w:tcPr>
          <w:p w14:paraId="51C333F4" w14:textId="77777777" w:rsidR="00970F84" w:rsidRPr="00840DEE" w:rsidRDefault="00970F84" w:rsidP="00970F84">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Nesadalītā peļņa</w:t>
            </w:r>
          </w:p>
          <w:p w14:paraId="48ACF65A" w14:textId="77777777" w:rsidR="00970F84" w:rsidRPr="00840DEE" w:rsidRDefault="00BA200E" w:rsidP="00970F84">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2E73A4F3" w14:textId="77777777" w:rsidR="00970F84" w:rsidRPr="00840DEE" w:rsidRDefault="00970F84" w:rsidP="00970F84">
            <w:pPr>
              <w:spacing w:after="120"/>
              <w:jc w:val="both"/>
              <w:rPr>
                <w:rFonts w:ascii="Times New Roman" w:eastAsia="Times New Roman" w:hAnsi="Times New Roman" w:cs="Times New Roman"/>
                <w:bCs/>
                <w:szCs w:val="22"/>
              </w:rPr>
            </w:pPr>
            <w:r w:rsidRPr="00840DEE">
              <w:rPr>
                <w:rStyle w:val="FormatvorlageInstructionsTabelleText"/>
                <w:rFonts w:ascii="Times New Roman" w:hAnsi="Times New Roman"/>
                <w:sz w:val="22"/>
                <w:szCs w:val="22"/>
              </w:rPr>
              <w:t>Regulas (ES) Nr. 575/2013 26. panta 1. punkta c) apakšpunkts.</w:t>
            </w:r>
          </w:p>
          <w:p w14:paraId="258BD858" w14:textId="77777777" w:rsidR="00970F84" w:rsidRPr="00840DEE" w:rsidRDefault="00970F84" w:rsidP="00970F84">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Nesadalītā peļņa ietver iepriekšējā gada nesadalīto peļņu, kā arī atbilstošo starpposma vai gada beigu peļņu.</w:t>
            </w:r>
          </w:p>
        </w:tc>
      </w:tr>
      <w:tr w:rsidR="00970F84" w:rsidRPr="00840DEE" w14:paraId="361ED1EC" w14:textId="77777777" w:rsidTr="002B149A">
        <w:tc>
          <w:tcPr>
            <w:tcW w:w="1129" w:type="dxa"/>
            <w:vAlign w:val="center"/>
          </w:tcPr>
          <w:p w14:paraId="2E64A01A" w14:textId="77777777" w:rsidR="00970F84" w:rsidRPr="00840DEE" w:rsidRDefault="00970F84" w:rsidP="00970F84">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7.</w:t>
            </w:r>
          </w:p>
        </w:tc>
        <w:tc>
          <w:tcPr>
            <w:tcW w:w="7620" w:type="dxa"/>
          </w:tcPr>
          <w:p w14:paraId="655ED4CB" w14:textId="77777777" w:rsidR="00970F84" w:rsidRPr="00840DEE" w:rsidRDefault="00970F84" w:rsidP="00970F84">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Iepriekšējo gadu nesadalītā peļņa</w:t>
            </w:r>
          </w:p>
          <w:p w14:paraId="021662CD" w14:textId="77777777" w:rsidR="00970F84" w:rsidRPr="00840DEE" w:rsidRDefault="00970F84" w:rsidP="00970F84">
            <w:pPr>
              <w:spacing w:after="120"/>
              <w:jc w:val="both"/>
              <w:rPr>
                <w:rFonts w:ascii="Times New Roman" w:hAnsi="Times New Roman" w:cs="Times New Roman"/>
                <w:szCs w:val="22"/>
              </w:rPr>
            </w:pPr>
            <w:r w:rsidRPr="00840DEE">
              <w:rPr>
                <w:rFonts w:ascii="Times New Roman" w:hAnsi="Times New Roman"/>
                <w:szCs w:val="22"/>
              </w:rPr>
              <w:t>Regulas (ES) Nr. 575/2013 4. panta 1. punkta 123) apakšpunkts un 26. panta 1. punkta c) apakšpunkts.</w:t>
            </w:r>
          </w:p>
          <w:p w14:paraId="2FD9159C" w14:textId="77777777" w:rsidR="00970F84" w:rsidRPr="00840DEE" w:rsidRDefault="00970F84">
            <w:pPr>
              <w:spacing w:after="120"/>
              <w:jc w:val="both"/>
              <w:rPr>
                <w:rFonts w:ascii="Times New Roman" w:eastAsia="Times New Roman" w:hAnsi="Times New Roman" w:cs="Times New Roman"/>
                <w:b/>
                <w:bCs/>
                <w:szCs w:val="22"/>
                <w:u w:val="single"/>
              </w:rPr>
            </w:pPr>
            <w:r w:rsidRPr="00840DEE">
              <w:rPr>
                <w:rFonts w:ascii="Times New Roman" w:hAnsi="Times New Roman"/>
                <w:szCs w:val="22"/>
              </w:rPr>
              <w:t>Regulas (ES) Nr. 575/2013 4. panta 1. punkta 123. apakšpunktā nesadalītā peļņa ir definēta kā “pārnestā peļņa un zaudējumi, kas izriet no peļņas vai zaudējumu galīgās piemērošanas saskaņā ar piemērojamo grāmatvedības regulējumu”.</w:t>
            </w:r>
          </w:p>
        </w:tc>
      </w:tr>
      <w:tr w:rsidR="00970F84" w:rsidRPr="00840DEE" w14:paraId="3E82108C" w14:textId="77777777" w:rsidTr="002B149A">
        <w:tc>
          <w:tcPr>
            <w:tcW w:w="1129" w:type="dxa"/>
            <w:vAlign w:val="center"/>
          </w:tcPr>
          <w:p w14:paraId="576829D1" w14:textId="77777777" w:rsidR="00970F84" w:rsidRPr="00840DEE" w:rsidRDefault="00970F84" w:rsidP="00970F84">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8.</w:t>
            </w:r>
          </w:p>
        </w:tc>
        <w:tc>
          <w:tcPr>
            <w:tcW w:w="7620" w:type="dxa"/>
          </w:tcPr>
          <w:p w14:paraId="52192405" w14:textId="77777777" w:rsidR="00970F84" w:rsidRPr="00840DEE" w:rsidRDefault="00970F84" w:rsidP="00970F84">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Atbilstošā peļņa vai zaudējumi</w:t>
            </w:r>
          </w:p>
          <w:p w14:paraId="2987BFA4" w14:textId="77777777" w:rsidR="00970F84" w:rsidRPr="00840DEE" w:rsidRDefault="00970F84" w:rsidP="00970F84">
            <w:pPr>
              <w:spacing w:after="120"/>
              <w:jc w:val="both"/>
              <w:rPr>
                <w:rFonts w:ascii="Times New Roman" w:eastAsia="Times New Roman" w:hAnsi="Times New Roman" w:cs="Times New Roman"/>
                <w:szCs w:val="22"/>
              </w:rPr>
            </w:pPr>
            <w:r w:rsidRPr="00840DEE">
              <w:rPr>
                <w:rFonts w:ascii="Times New Roman" w:hAnsi="Times New Roman"/>
                <w:szCs w:val="22"/>
              </w:rPr>
              <w:t>Regulas (ES) Nr. 575/2013 4. panta 1. punkta 121) apakšpunkts, 26. panta 2. punkts un 36. panta 1. punkta a) apakšpunkts.</w:t>
            </w:r>
          </w:p>
          <w:p w14:paraId="57CFB8AA" w14:textId="77777777" w:rsidR="00970F84" w:rsidRPr="00840DEE" w:rsidRDefault="00970F84" w:rsidP="00970F84">
            <w:pPr>
              <w:spacing w:after="120"/>
              <w:jc w:val="both"/>
              <w:rPr>
                <w:rFonts w:ascii="Times New Roman" w:eastAsia="Times New Roman" w:hAnsi="Times New Roman" w:cs="Times New Roman"/>
                <w:szCs w:val="22"/>
              </w:rPr>
            </w:pPr>
            <w:r w:rsidRPr="00840DEE">
              <w:rPr>
                <w:rFonts w:ascii="Times New Roman" w:hAnsi="Times New Roman"/>
                <w:szCs w:val="22"/>
              </w:rPr>
              <w:t xml:space="preserve">Regulas (ES) Nr. 575/2013 26. panta 2. punkts ļauj ar kompetento iestāžu iepriekšēju piekrišanu starpposma vai gada beigu peļņu iekļaut kā nesadalīto peļņu, ja ir izpildīti daži nosacījumi. </w:t>
            </w:r>
          </w:p>
          <w:p w14:paraId="56EC338A" w14:textId="77777777" w:rsidR="00970F84" w:rsidRPr="00840DEE" w:rsidRDefault="00970F84">
            <w:pPr>
              <w:spacing w:after="120"/>
              <w:jc w:val="both"/>
              <w:rPr>
                <w:rFonts w:ascii="Times New Roman" w:eastAsia="Times New Roman" w:hAnsi="Times New Roman" w:cs="Times New Roman"/>
                <w:b/>
                <w:bCs/>
                <w:szCs w:val="22"/>
                <w:u w:val="single"/>
              </w:rPr>
            </w:pPr>
            <w:r w:rsidRPr="00840DEE">
              <w:rPr>
                <w:rFonts w:ascii="Times New Roman" w:hAnsi="Times New Roman"/>
                <w:szCs w:val="22"/>
              </w:rPr>
              <w:t>No otras puses, zaudējumus atskaita no pirmā līmeņa pamata kapitāla, kā norādīts Regulas (ES) Nr. 575/2013 36. panta 1. punkta a) apakšpunktā.</w:t>
            </w:r>
          </w:p>
        </w:tc>
      </w:tr>
      <w:tr w:rsidR="00970F84" w:rsidRPr="00840DEE" w14:paraId="15642A90" w14:textId="77777777" w:rsidTr="002B149A">
        <w:tc>
          <w:tcPr>
            <w:tcW w:w="1129" w:type="dxa"/>
            <w:vAlign w:val="center"/>
          </w:tcPr>
          <w:p w14:paraId="1EC1956A" w14:textId="77777777" w:rsidR="00970F84" w:rsidRPr="00840DEE" w:rsidRDefault="00970F84" w:rsidP="00970F84">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9.</w:t>
            </w:r>
          </w:p>
        </w:tc>
        <w:tc>
          <w:tcPr>
            <w:tcW w:w="7620" w:type="dxa"/>
          </w:tcPr>
          <w:p w14:paraId="038DD316" w14:textId="77777777" w:rsidR="00970F84" w:rsidRPr="00840DEE" w:rsidRDefault="00970F84" w:rsidP="00970F84">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Uzkrātie pārējie apvienotie ienākumi</w:t>
            </w:r>
          </w:p>
          <w:p w14:paraId="72E7A2B8" w14:textId="77777777" w:rsidR="00970F84" w:rsidRPr="00840DEE" w:rsidRDefault="00DC60DE" w:rsidP="00970F84">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3B5A61BC" w14:textId="77777777" w:rsidR="00970F84" w:rsidRPr="00840DEE" w:rsidRDefault="00DC60DE">
            <w:pPr>
              <w:spacing w:after="120"/>
              <w:jc w:val="both"/>
              <w:rPr>
                <w:rFonts w:ascii="Times New Roman" w:hAnsi="Times New Roman" w:cs="Times New Roman"/>
                <w:bCs/>
                <w:szCs w:val="22"/>
              </w:rPr>
            </w:pPr>
            <w:r w:rsidRPr="00840DEE">
              <w:rPr>
                <w:rStyle w:val="FormatvorlageInstructionsTabelleText"/>
                <w:rFonts w:ascii="Times New Roman" w:hAnsi="Times New Roman"/>
                <w:sz w:val="22"/>
                <w:szCs w:val="22"/>
              </w:rPr>
              <w:t>Regulas (ES) Nr. 575/2013 26. panta  1. punkta d) apakšpunkts.</w:t>
            </w:r>
          </w:p>
        </w:tc>
      </w:tr>
      <w:tr w:rsidR="00970F84" w:rsidRPr="00840DEE" w14:paraId="4BC2D400" w14:textId="77777777" w:rsidTr="002B149A">
        <w:tc>
          <w:tcPr>
            <w:tcW w:w="1129" w:type="dxa"/>
            <w:vAlign w:val="center"/>
          </w:tcPr>
          <w:p w14:paraId="3EC191CE" w14:textId="77777777" w:rsidR="00970F84" w:rsidRPr="00840DEE" w:rsidRDefault="00970F84" w:rsidP="00970F84">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10.</w:t>
            </w:r>
          </w:p>
        </w:tc>
        <w:tc>
          <w:tcPr>
            <w:tcW w:w="7620" w:type="dxa"/>
          </w:tcPr>
          <w:p w14:paraId="23036E38" w14:textId="77777777" w:rsidR="00970F84" w:rsidRPr="00840DEE" w:rsidRDefault="00970F84" w:rsidP="00970F84">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Citas rezerves</w:t>
            </w:r>
          </w:p>
          <w:p w14:paraId="55A820C6" w14:textId="77777777" w:rsidR="00970F84" w:rsidRPr="00840DEE" w:rsidRDefault="00970F84" w:rsidP="00970F84">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2DFE423E" w14:textId="77777777" w:rsidR="00970F84" w:rsidRPr="00840DEE" w:rsidRDefault="00970F84" w:rsidP="00970F84">
            <w:pPr>
              <w:spacing w:after="120"/>
              <w:jc w:val="both"/>
              <w:rPr>
                <w:rStyle w:val="FormatvorlageInstructionsTabelleText"/>
                <w:rFonts w:ascii="Times New Roman" w:hAnsi="Times New Roman"/>
                <w:sz w:val="22"/>
                <w:szCs w:val="22"/>
              </w:rPr>
            </w:pPr>
            <w:r w:rsidRPr="00840DEE">
              <w:rPr>
                <w:rStyle w:val="FormatvorlageInstructionsTabelleText"/>
                <w:rFonts w:ascii="Times New Roman" w:hAnsi="Times New Roman"/>
                <w:sz w:val="22"/>
                <w:szCs w:val="22"/>
              </w:rPr>
              <w:t>Regulas (ES) Nr. 575/2013 4. panta 1. punkta 117) apakšpunkts un 26. panta 1. punkta e) apakšpunkts.</w:t>
            </w:r>
          </w:p>
          <w:p w14:paraId="0E401719" w14:textId="77777777" w:rsidR="00970F84" w:rsidRPr="00840DEE" w:rsidRDefault="00970F84" w:rsidP="00970F84">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Atklājamā summā neietver jebkādus nodokļus, kuri paredzami aprēķināšanas laikā.</w:t>
            </w:r>
          </w:p>
        </w:tc>
      </w:tr>
      <w:tr w:rsidR="00562703" w:rsidRPr="00840DEE" w14:paraId="6835C058" w14:textId="77777777" w:rsidTr="002B149A">
        <w:tc>
          <w:tcPr>
            <w:tcW w:w="1129" w:type="dxa"/>
            <w:vAlign w:val="center"/>
          </w:tcPr>
          <w:p w14:paraId="0C4BED81" w14:textId="77777777" w:rsidR="00562703" w:rsidRPr="00840DEE" w:rsidRDefault="00562703" w:rsidP="00970F84">
            <w:pPr>
              <w:spacing w:after="120"/>
              <w:jc w:val="both"/>
              <w:rPr>
                <w:rFonts w:ascii="Times New Roman" w:hAnsi="Times New Roman" w:cs="Times New Roman"/>
                <w:color w:val="000000"/>
                <w:szCs w:val="22"/>
              </w:rPr>
            </w:pPr>
            <w:r w:rsidRPr="00840DEE">
              <w:rPr>
                <w:rFonts w:ascii="Times New Roman" w:hAnsi="Times New Roman"/>
                <w:color w:val="000000"/>
                <w:szCs w:val="22"/>
              </w:rPr>
              <w:t>11.</w:t>
            </w:r>
          </w:p>
        </w:tc>
        <w:tc>
          <w:tcPr>
            <w:tcW w:w="7620" w:type="dxa"/>
          </w:tcPr>
          <w:p w14:paraId="57E317BF" w14:textId="77777777" w:rsidR="006B03D2" w:rsidRPr="00840DEE" w:rsidRDefault="006B03D2" w:rsidP="006B03D2">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Pirmā līmeņa pamata kapitāla korekcijas saistībā ar prudenciālajiem filtriem</w:t>
            </w:r>
          </w:p>
          <w:p w14:paraId="3E12E8D5" w14:textId="77777777" w:rsidR="006B03D2" w:rsidRPr="00840DEE" w:rsidRDefault="006B03D2" w:rsidP="006B03D2">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767B032D" w14:textId="77777777" w:rsidR="00562703" w:rsidRPr="00840DEE" w:rsidRDefault="006B03D2" w:rsidP="006B03D2">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Regulas (ES) Nr. 575/2013 32. līdz 35. pants.</w:t>
            </w:r>
          </w:p>
        </w:tc>
      </w:tr>
      <w:tr w:rsidR="00825F5D" w:rsidRPr="00840DEE" w14:paraId="398B0C21" w14:textId="77777777" w:rsidTr="002B149A">
        <w:tc>
          <w:tcPr>
            <w:tcW w:w="1129" w:type="dxa"/>
            <w:vAlign w:val="center"/>
          </w:tcPr>
          <w:p w14:paraId="7120D87E" w14:textId="77777777" w:rsidR="00825F5D" w:rsidRPr="00840DEE" w:rsidRDefault="00825F5D" w:rsidP="00970F84">
            <w:pPr>
              <w:spacing w:after="120"/>
              <w:jc w:val="both"/>
              <w:rPr>
                <w:rFonts w:ascii="Times New Roman" w:hAnsi="Times New Roman" w:cs="Times New Roman"/>
                <w:color w:val="000000"/>
                <w:szCs w:val="22"/>
              </w:rPr>
            </w:pPr>
            <w:r w:rsidRPr="00840DEE">
              <w:rPr>
                <w:rFonts w:ascii="Times New Roman" w:hAnsi="Times New Roman"/>
                <w:color w:val="000000"/>
                <w:szCs w:val="22"/>
              </w:rPr>
              <w:t>12.</w:t>
            </w:r>
          </w:p>
        </w:tc>
        <w:tc>
          <w:tcPr>
            <w:tcW w:w="7620" w:type="dxa"/>
          </w:tcPr>
          <w:p w14:paraId="141E4287" w14:textId="77777777" w:rsidR="00825F5D" w:rsidRPr="00840DEE" w:rsidRDefault="00825F5D" w:rsidP="00970F84">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Citi līdzekļi</w:t>
            </w:r>
          </w:p>
          <w:p w14:paraId="67EAE61E" w14:textId="77777777" w:rsidR="00825F5D" w:rsidRPr="00840DEE" w:rsidRDefault="00825F5D" w:rsidP="00970F84">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2019/2033 9. panta 4. punkts.</w:t>
            </w:r>
          </w:p>
        </w:tc>
      </w:tr>
      <w:tr w:rsidR="00825F5D" w:rsidRPr="00840DEE" w14:paraId="57348720" w14:textId="77777777" w:rsidTr="002B149A">
        <w:tc>
          <w:tcPr>
            <w:tcW w:w="1129" w:type="dxa"/>
            <w:vAlign w:val="center"/>
          </w:tcPr>
          <w:p w14:paraId="265D11CD"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13.</w:t>
            </w:r>
          </w:p>
        </w:tc>
        <w:tc>
          <w:tcPr>
            <w:tcW w:w="7620" w:type="dxa"/>
          </w:tcPr>
          <w:p w14:paraId="5B80A7B5"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KOPĒJIE ATSKAITĪJUMI NO PIRMĀ LĪMEŅA PAMATA KAPITĀLA</w:t>
            </w:r>
          </w:p>
          <w:p w14:paraId="71AEBA78" w14:textId="77777777" w:rsidR="00825F5D" w:rsidRPr="00840DEE" w:rsidRDefault="00825F5D" w:rsidP="00463F85">
            <w:pPr>
              <w:spacing w:after="120"/>
              <w:jc w:val="both"/>
              <w:rPr>
                <w:rFonts w:ascii="Times New Roman" w:eastAsia="Times New Roman" w:hAnsi="Times New Roman" w:cs="Times New Roman"/>
                <w:bCs/>
                <w:szCs w:val="22"/>
              </w:rPr>
            </w:pPr>
            <w:r w:rsidRPr="00840DEE">
              <w:rPr>
                <w:rFonts w:ascii="Times New Roman" w:hAnsi="Times New Roman"/>
                <w:bCs/>
                <w:szCs w:val="22"/>
              </w:rPr>
              <w:lastRenderedPageBreak/>
              <w:t>Atklāj 14. līdz 23. rindas kopsummu.</w:t>
            </w:r>
          </w:p>
        </w:tc>
      </w:tr>
      <w:tr w:rsidR="00825F5D" w:rsidRPr="00840DEE" w14:paraId="1058B6C6" w14:textId="77777777" w:rsidTr="002B149A">
        <w:tc>
          <w:tcPr>
            <w:tcW w:w="1129" w:type="dxa"/>
            <w:vAlign w:val="center"/>
          </w:tcPr>
          <w:p w14:paraId="1530C872"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lastRenderedPageBreak/>
              <w:t>14.</w:t>
            </w:r>
          </w:p>
        </w:tc>
        <w:tc>
          <w:tcPr>
            <w:tcW w:w="7620" w:type="dxa"/>
            <w:shd w:val="clear" w:color="auto" w:fill="auto"/>
          </w:tcPr>
          <w:p w14:paraId="0B866D86"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Pašu pirmā līmeņa pamata kapitāla instrumenti</w:t>
            </w:r>
          </w:p>
          <w:p w14:paraId="3F245252" w14:textId="77777777" w:rsidR="00825F5D" w:rsidRPr="00840DEE" w:rsidRDefault="00DC60DE"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6F76E6CF" w14:textId="77777777" w:rsidR="00825F5D" w:rsidRPr="00840DEE" w:rsidRDefault="00DC60DE" w:rsidP="00825F5D">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Regulas (ES) Nr. 575/2013 36. panta 1. punkta f) apakšpunkts un 42. pants.</w:t>
            </w:r>
          </w:p>
          <w:p w14:paraId="3F8176EE" w14:textId="77777777" w:rsidR="00825F5D" w:rsidRPr="00840DEE" w:rsidRDefault="00825F5D" w:rsidP="00825F5D">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Pašu pirmā līmeņa pamata kapitāla instrumenti, ko pārskata sniegšanas datumā tur pārskata sniedzēja iestāde vai grupa. Piemērojami Regulas (ES) Nr. 575/2013 42. panta izņēmumi.</w:t>
            </w:r>
          </w:p>
          <w:p w14:paraId="64BC594F" w14:textId="77777777" w:rsidR="00825F5D" w:rsidRPr="00840DEE" w:rsidRDefault="00825F5D" w:rsidP="00825F5D">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Šajā rindā neuzrāda tādas līdzdalības akcijās, kas iekļautas kā “Neatbilstoši kapitāla instrumenti”.</w:t>
            </w:r>
          </w:p>
          <w:p w14:paraId="28BB052A" w14:textId="77777777" w:rsidR="00825F5D" w:rsidRPr="00840DEE" w:rsidRDefault="00825F5D" w:rsidP="00825F5D">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Atklājamā summa ietver akciju emisijas uzcenojumu, kas saistīts ar pašu akcijām.</w:t>
            </w:r>
          </w:p>
          <w:p w14:paraId="29C1F174" w14:textId="77777777" w:rsidR="00825F5D" w:rsidRPr="00840DEE" w:rsidRDefault="00825F5D" w:rsidP="00825F5D">
            <w:pPr>
              <w:pStyle w:val="InstructionsText"/>
            </w:pPr>
          </w:p>
        </w:tc>
      </w:tr>
      <w:tr w:rsidR="00825F5D" w:rsidRPr="00840DEE" w14:paraId="0BE0F1F4" w14:textId="77777777" w:rsidTr="002B149A">
        <w:tc>
          <w:tcPr>
            <w:tcW w:w="1129" w:type="dxa"/>
            <w:vAlign w:val="center"/>
          </w:tcPr>
          <w:p w14:paraId="36689648"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15.</w:t>
            </w:r>
          </w:p>
        </w:tc>
        <w:tc>
          <w:tcPr>
            <w:tcW w:w="7620" w:type="dxa"/>
            <w:tcBorders>
              <w:top w:val="nil"/>
              <w:left w:val="single" w:sz="4" w:space="0" w:color="auto"/>
              <w:bottom w:val="single" w:sz="4" w:space="0" w:color="auto"/>
              <w:right w:val="single" w:sz="4" w:space="0" w:color="auto"/>
            </w:tcBorders>
            <w:shd w:val="clear" w:color="auto" w:fill="auto"/>
            <w:vAlign w:val="center"/>
          </w:tcPr>
          <w:p w14:paraId="655A2584"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Kārtējā finanšu gada zaudējumi</w:t>
            </w:r>
          </w:p>
          <w:p w14:paraId="4E5E1F3B" w14:textId="77777777" w:rsidR="00825F5D" w:rsidRPr="00840DEE" w:rsidRDefault="00825F5D">
            <w:pPr>
              <w:spacing w:after="120"/>
              <w:jc w:val="both"/>
              <w:rPr>
                <w:rFonts w:ascii="Times New Roman" w:eastAsia="Times New Roman" w:hAnsi="Times New Roman" w:cs="Times New Roman"/>
                <w:b/>
                <w:bCs/>
                <w:szCs w:val="22"/>
                <w:u w:val="single"/>
              </w:rPr>
            </w:pPr>
            <w:r w:rsidRPr="00840DEE">
              <w:rPr>
                <w:rFonts w:ascii="Times New Roman" w:hAnsi="Times New Roman"/>
                <w:szCs w:val="22"/>
              </w:rPr>
              <w:t>Regulas (ES) Nr. 575/2013 36. panta 1. punkta a) apakšpunkts.</w:t>
            </w:r>
          </w:p>
        </w:tc>
      </w:tr>
      <w:tr w:rsidR="00825F5D" w:rsidRPr="00840DEE" w14:paraId="19337337" w14:textId="77777777" w:rsidTr="002B149A">
        <w:tc>
          <w:tcPr>
            <w:tcW w:w="1129" w:type="dxa"/>
            <w:vAlign w:val="center"/>
          </w:tcPr>
          <w:p w14:paraId="4FAED71C"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16.</w:t>
            </w:r>
          </w:p>
        </w:tc>
        <w:tc>
          <w:tcPr>
            <w:tcW w:w="7620" w:type="dxa"/>
            <w:tcBorders>
              <w:top w:val="nil"/>
              <w:left w:val="single" w:sz="4" w:space="0" w:color="auto"/>
              <w:bottom w:val="single" w:sz="4" w:space="0" w:color="auto"/>
              <w:right w:val="single" w:sz="4" w:space="0" w:color="auto"/>
            </w:tcBorders>
            <w:shd w:val="clear" w:color="auto" w:fill="auto"/>
            <w:vAlign w:val="bottom"/>
          </w:tcPr>
          <w:p w14:paraId="017F333A"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xml:space="preserve">(-) Nemateriālā vērtība </w:t>
            </w:r>
          </w:p>
          <w:p w14:paraId="07DCFAAF" w14:textId="77777777" w:rsidR="00825F5D" w:rsidRPr="00840DEE" w:rsidRDefault="00DC60DE"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4389D169" w14:textId="77777777" w:rsidR="00825F5D" w:rsidRPr="00840DEE" w:rsidRDefault="00825F5D">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Regulas (ES) Nr. 575/2013 4. panta 1. punkta 113) apakšpunkts un 36. panta 1. punkta b) apakšpunkts un 37. pants.</w:t>
            </w:r>
          </w:p>
        </w:tc>
      </w:tr>
      <w:tr w:rsidR="00825F5D" w:rsidRPr="00840DEE" w14:paraId="48D6B3CB" w14:textId="77777777" w:rsidTr="002B149A">
        <w:tc>
          <w:tcPr>
            <w:tcW w:w="1129" w:type="dxa"/>
            <w:vAlign w:val="center"/>
          </w:tcPr>
          <w:p w14:paraId="65D7BA7A"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17.</w:t>
            </w:r>
          </w:p>
        </w:tc>
        <w:tc>
          <w:tcPr>
            <w:tcW w:w="7620" w:type="dxa"/>
            <w:tcBorders>
              <w:top w:val="nil"/>
              <w:left w:val="single" w:sz="4" w:space="0" w:color="auto"/>
              <w:bottom w:val="single" w:sz="4" w:space="0" w:color="auto"/>
              <w:right w:val="single" w:sz="4" w:space="0" w:color="auto"/>
            </w:tcBorders>
            <w:shd w:val="clear" w:color="auto" w:fill="auto"/>
            <w:vAlign w:val="bottom"/>
          </w:tcPr>
          <w:p w14:paraId="2019CEB0"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Citi nemateriālie aktīvi</w:t>
            </w:r>
          </w:p>
          <w:p w14:paraId="191AECCA"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38FAB35C" w14:textId="77777777" w:rsidR="00825F5D" w:rsidRPr="00840DEE" w:rsidRDefault="00825F5D" w:rsidP="00825F5D">
            <w:pPr>
              <w:pStyle w:val="InstructionsText"/>
              <w:rPr>
                <w:rStyle w:val="FormatvorlageInstructionsTabelleText"/>
                <w:rFonts w:ascii="Times New Roman" w:eastAsiaTheme="minorHAnsi" w:hAnsi="Times New Roman"/>
                <w:bCs/>
                <w:sz w:val="22"/>
              </w:rPr>
            </w:pPr>
            <w:r w:rsidRPr="00840DEE">
              <w:rPr>
                <w:rStyle w:val="FormatvorlageInstructionsTabelleText"/>
                <w:rFonts w:ascii="Times New Roman" w:hAnsi="Times New Roman"/>
                <w:sz w:val="22"/>
              </w:rPr>
              <w:t>Regulas (ES) Nr. 575/2013 4. panta 1. punkta 115) apakšpunkts un 36. panta 1. punkta b) apakšpunkts un 37. panta a) punkts.</w:t>
            </w:r>
          </w:p>
          <w:p w14:paraId="04BFB02F"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Citi nemateriālie aktīvi ir nemateriālie aktīvi saskaņā ar piemērojamo grāmatvedības standartu, mīnus nemateriālā vērtība arī saskaņā ar piemērojamo grāmatvedības standartu.</w:t>
            </w:r>
          </w:p>
        </w:tc>
      </w:tr>
      <w:tr w:rsidR="00825F5D" w:rsidRPr="00840DEE" w14:paraId="1F5DCEE2" w14:textId="77777777" w:rsidTr="002B149A">
        <w:tc>
          <w:tcPr>
            <w:tcW w:w="1129" w:type="dxa"/>
            <w:vAlign w:val="center"/>
          </w:tcPr>
          <w:p w14:paraId="6FBC5FD7"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18.</w:t>
            </w:r>
          </w:p>
        </w:tc>
        <w:tc>
          <w:tcPr>
            <w:tcW w:w="7620" w:type="dxa"/>
            <w:tcBorders>
              <w:top w:val="nil"/>
              <w:left w:val="single" w:sz="4" w:space="0" w:color="auto"/>
              <w:bottom w:val="single" w:sz="4" w:space="0" w:color="auto"/>
              <w:right w:val="single" w:sz="4" w:space="0" w:color="auto"/>
            </w:tcBorders>
            <w:shd w:val="clear" w:color="auto" w:fill="auto"/>
            <w:vAlign w:val="bottom"/>
          </w:tcPr>
          <w:p w14:paraId="28B5A6EE"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Atliktā nodokļa aktīvi, kuru realizācija atkarīga no peļņas gūšanas nākotnē un kuri neizriet no laika noviržu izraisītas pagaidu starpības, atskaitot attiecīgas nodokļu saistības</w:t>
            </w:r>
          </w:p>
          <w:p w14:paraId="5BD1BA9F" w14:textId="77777777" w:rsidR="00825F5D" w:rsidRPr="00840DEE" w:rsidRDefault="000830E9"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2. punkta a) apakšpunkts.</w:t>
            </w:r>
          </w:p>
          <w:p w14:paraId="17F14E84" w14:textId="77777777" w:rsidR="00825F5D" w:rsidRPr="00840DEE" w:rsidRDefault="000830E9">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Nr. 575/2013 36. panta 1. punkta c) apakšpunkts.</w:t>
            </w:r>
          </w:p>
        </w:tc>
      </w:tr>
      <w:tr w:rsidR="00825F5D" w:rsidRPr="00840DEE" w14:paraId="4E95D0E7" w14:textId="77777777" w:rsidTr="002B149A">
        <w:tc>
          <w:tcPr>
            <w:tcW w:w="1129" w:type="dxa"/>
            <w:vAlign w:val="center"/>
          </w:tcPr>
          <w:p w14:paraId="6CD67F07"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19.</w:t>
            </w:r>
          </w:p>
        </w:tc>
        <w:tc>
          <w:tcPr>
            <w:tcW w:w="7620" w:type="dxa"/>
            <w:tcBorders>
              <w:top w:val="nil"/>
              <w:left w:val="single" w:sz="4" w:space="0" w:color="auto"/>
              <w:bottom w:val="single" w:sz="4" w:space="0" w:color="auto"/>
              <w:right w:val="single" w:sz="4" w:space="0" w:color="auto"/>
            </w:tcBorders>
            <w:shd w:val="clear" w:color="auto" w:fill="auto"/>
            <w:vAlign w:val="center"/>
          </w:tcPr>
          <w:p w14:paraId="7BD421F5"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Būtiska līdzdalība ārpus finanšu sektora, kas pārsniedz 15 % no pašu kapitāla</w:t>
            </w:r>
          </w:p>
          <w:p w14:paraId="14279BEF" w14:textId="77777777" w:rsidR="00825F5D" w:rsidRPr="00840DEE" w:rsidRDefault="000830E9">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10. panta 1. punkta a) apakšpunkts.</w:t>
            </w:r>
          </w:p>
        </w:tc>
      </w:tr>
      <w:tr w:rsidR="00825F5D" w:rsidRPr="00840DEE" w14:paraId="04AEDFC2" w14:textId="77777777" w:rsidTr="002B149A">
        <w:tc>
          <w:tcPr>
            <w:tcW w:w="1129" w:type="dxa"/>
            <w:vAlign w:val="center"/>
          </w:tcPr>
          <w:p w14:paraId="647C06C8" w14:textId="77777777" w:rsidR="00825F5D" w:rsidRPr="00840DEE" w:rsidRDefault="00562703"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51D10D5"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Tādu būtisku līdzdalību kopsumma uzņēmumos, kas nav finanšu sektora sabiedrības, kuras pārsniedz 60 % no ieguldījumu brokeru sabiedrības pašu kapitāla</w:t>
            </w:r>
          </w:p>
          <w:p w14:paraId="471B7D9E" w14:textId="77777777" w:rsidR="00825F5D" w:rsidRPr="00840DEE" w:rsidRDefault="000830E9">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2019/2033 10. panta  1. punkta b) apakšpunkts.</w:t>
            </w:r>
          </w:p>
        </w:tc>
      </w:tr>
      <w:tr w:rsidR="00825F5D" w:rsidRPr="00840DEE" w14:paraId="3A51AA10" w14:textId="77777777" w:rsidTr="002B149A">
        <w:tc>
          <w:tcPr>
            <w:tcW w:w="1129" w:type="dxa"/>
            <w:vAlign w:val="center"/>
          </w:tcPr>
          <w:p w14:paraId="43CAC249"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21.</w:t>
            </w:r>
          </w:p>
        </w:tc>
        <w:tc>
          <w:tcPr>
            <w:tcW w:w="7620" w:type="dxa"/>
            <w:tcBorders>
              <w:top w:val="nil"/>
              <w:left w:val="single" w:sz="4" w:space="0" w:color="auto"/>
              <w:bottom w:val="single" w:sz="4" w:space="0" w:color="auto"/>
              <w:right w:val="single" w:sz="4" w:space="0" w:color="auto"/>
            </w:tcBorders>
            <w:shd w:val="clear" w:color="auto" w:fill="auto"/>
            <w:vAlign w:val="bottom"/>
          </w:tcPr>
          <w:p w14:paraId="548C35D2"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Tādu finanšu sektora sabiedrību pirmā līmeņa pamata kapitāla instrumenti, kurās iestādei nav būtiska ieguldījuma</w:t>
            </w:r>
          </w:p>
          <w:p w14:paraId="21F9A82F" w14:textId="77777777" w:rsidR="00825F5D" w:rsidRPr="00840DEE" w:rsidRDefault="000830E9"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2. punkta c) apakšpunkts.</w:t>
            </w:r>
          </w:p>
          <w:p w14:paraId="01B5E653" w14:textId="77777777" w:rsidR="00825F5D" w:rsidRPr="00840DEE" w:rsidRDefault="000830E9">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Nr. 575/2013 36. panta 1. punkta h) apakšpunkts.</w:t>
            </w:r>
          </w:p>
        </w:tc>
      </w:tr>
      <w:tr w:rsidR="00825F5D" w:rsidRPr="00840DEE" w14:paraId="5A096BD4" w14:textId="77777777" w:rsidTr="002B149A">
        <w:tc>
          <w:tcPr>
            <w:tcW w:w="1129" w:type="dxa"/>
            <w:vAlign w:val="center"/>
          </w:tcPr>
          <w:p w14:paraId="69F5EC39"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t>22.</w:t>
            </w:r>
          </w:p>
        </w:tc>
        <w:tc>
          <w:tcPr>
            <w:tcW w:w="7620" w:type="dxa"/>
            <w:tcBorders>
              <w:top w:val="nil"/>
              <w:left w:val="single" w:sz="4" w:space="0" w:color="auto"/>
              <w:bottom w:val="single" w:sz="4" w:space="0" w:color="auto"/>
              <w:right w:val="single" w:sz="4" w:space="0" w:color="auto"/>
            </w:tcBorders>
            <w:shd w:val="clear" w:color="auto" w:fill="auto"/>
            <w:vAlign w:val="bottom"/>
          </w:tcPr>
          <w:p w14:paraId="1A743155"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Definētu pabalstu pensiju fondu aktīvi</w:t>
            </w:r>
          </w:p>
          <w:p w14:paraId="76954F8F" w14:textId="77777777" w:rsidR="00825F5D" w:rsidRPr="00840DEE" w:rsidRDefault="000830E9"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lastRenderedPageBreak/>
              <w:t>Regulas (ES) 2019/2033 9. panta  2. punkta b) apakšpunkts.</w:t>
            </w:r>
          </w:p>
          <w:p w14:paraId="591A1E4E" w14:textId="77777777" w:rsidR="00825F5D" w:rsidRPr="00840DEE" w:rsidRDefault="00825F5D">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Nr. 575/2013 36. panta 1. punkta e) apakšpunkts.</w:t>
            </w:r>
          </w:p>
        </w:tc>
      </w:tr>
      <w:tr w:rsidR="00825F5D" w:rsidRPr="00840DEE" w14:paraId="41DA3309" w14:textId="77777777" w:rsidTr="002B149A">
        <w:tc>
          <w:tcPr>
            <w:tcW w:w="1129" w:type="dxa"/>
            <w:vAlign w:val="center"/>
          </w:tcPr>
          <w:p w14:paraId="367A8785"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color w:val="000000"/>
                <w:szCs w:val="22"/>
              </w:rPr>
              <w:lastRenderedPageBreak/>
              <w:t>23.</w:t>
            </w:r>
          </w:p>
        </w:tc>
        <w:tc>
          <w:tcPr>
            <w:tcW w:w="7620" w:type="dxa"/>
            <w:tcBorders>
              <w:top w:val="nil"/>
              <w:left w:val="single" w:sz="4" w:space="0" w:color="auto"/>
              <w:bottom w:val="single" w:sz="4" w:space="0" w:color="auto"/>
              <w:right w:val="single" w:sz="4" w:space="0" w:color="auto"/>
            </w:tcBorders>
            <w:shd w:val="clear" w:color="auto" w:fill="auto"/>
            <w:vAlign w:val="bottom"/>
          </w:tcPr>
          <w:p w14:paraId="15ADDB8D"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Citi atskaitījumi</w:t>
            </w:r>
          </w:p>
          <w:p w14:paraId="49CC68B8"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szCs w:val="22"/>
              </w:rPr>
              <w:t>Visu citu Regulas (ES) Nr. 575/2013 36. panta 1. punktā uzskaitīto atskaitījumu summa.</w:t>
            </w:r>
          </w:p>
        </w:tc>
      </w:tr>
      <w:tr w:rsidR="00562703" w:rsidRPr="00840DEE" w14:paraId="1BDA1C23" w14:textId="77777777" w:rsidTr="00E85018">
        <w:tc>
          <w:tcPr>
            <w:tcW w:w="1129" w:type="dxa"/>
          </w:tcPr>
          <w:p w14:paraId="6AE4B217" w14:textId="77777777" w:rsidR="00562703" w:rsidRPr="00840DEE" w:rsidRDefault="00562703"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24.</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29103AE" w14:textId="77777777" w:rsidR="006B03D2" w:rsidRPr="00840DEE" w:rsidRDefault="006B03D2" w:rsidP="006B03D2">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Pirmā līmeņa pamata kapitāls: citi kapitāla elementi, atskaitījumi un korekcijas</w:t>
            </w:r>
          </w:p>
          <w:p w14:paraId="704716A1" w14:textId="77777777" w:rsidR="006B03D2" w:rsidRPr="00840DEE" w:rsidRDefault="006B03D2" w:rsidP="006B03D2">
            <w:pPr>
              <w:spacing w:after="120"/>
              <w:jc w:val="both"/>
              <w:rPr>
                <w:rFonts w:ascii="Times New Roman" w:eastAsia="Times New Roman" w:hAnsi="Times New Roman" w:cs="Times New Roman"/>
                <w:bCs/>
                <w:szCs w:val="22"/>
              </w:rPr>
            </w:pPr>
            <w:r w:rsidRPr="00840DEE">
              <w:rPr>
                <w:rFonts w:ascii="Times New Roman" w:hAnsi="Times New Roman"/>
                <w:bCs/>
                <w:szCs w:val="22"/>
              </w:rPr>
              <w:t>Šī rinda ietver šādu posteņu summu (ja piemērojams):</w:t>
            </w:r>
          </w:p>
          <w:p w14:paraId="723C1852" w14:textId="77777777" w:rsidR="006B03D2" w:rsidRPr="00840DEE" w:rsidRDefault="006B03D2" w:rsidP="006B03D2">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pārejas posma korekcijas saistībā ar pirmā līmeņa pamata kapitāla instrumentiem, attiecībā uz kuriem piemērotas tiesības saglabāt iepriekš spēkā esošos nosacījumus (Regulas (ES) Nr. 575/2013 483. panta 1., 2. un 3. punkts un 484. līdz 487. pants),</w:t>
            </w:r>
          </w:p>
          <w:p w14:paraId="067DE91E" w14:textId="77777777" w:rsidR="006B03D2" w:rsidRPr="00840DEE" w:rsidRDefault="006B03D2" w:rsidP="006B03D2">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citas pārejas posma korekcijas attiecībā uz pirmā līmeņa pamata kapitāla instrumentiem (Regulas (ES) Nr. 575/2013 469. līdz 478. pants un 481. pants): korekcijas, kas saistībā ar pārejas noteikumiem veiktas atskaitījumos no pirmā līmeņa pamata kapitāla,</w:t>
            </w:r>
          </w:p>
          <w:p w14:paraId="2764E9F5" w14:textId="77777777" w:rsidR="006B03D2" w:rsidRPr="00840DEE" w:rsidRDefault="006B03D2" w:rsidP="006B03D2">
            <w:pPr>
              <w:pStyle w:val="ListParagraph"/>
              <w:numPr>
                <w:ilvl w:val="0"/>
                <w:numId w:val="15"/>
              </w:numPr>
              <w:spacing w:after="120"/>
              <w:contextualSpacing/>
              <w:jc w:val="both"/>
              <w:rPr>
                <w:rFonts w:ascii="Times New Roman" w:eastAsia="Times New Roman" w:hAnsi="Times New Roman"/>
                <w:b/>
                <w:bCs/>
                <w:u w:val="single"/>
              </w:rPr>
            </w:pPr>
            <w:r w:rsidRPr="00840DEE">
              <w:rPr>
                <w:rFonts w:ascii="Times New Roman" w:hAnsi="Times New Roman"/>
                <w:bCs/>
              </w:rPr>
              <w:t xml:space="preserve">citi pirmā līmeņa pamata kapitāla elementi vai atskaitījumi no pirmā līmeņa pamata kapitāla elementa, kurus nevar iedalīt nevienā no rindām, kas apzīmētas ar 4–23. </w:t>
            </w:r>
          </w:p>
          <w:p w14:paraId="65702F79" w14:textId="77777777" w:rsidR="00562703" w:rsidRPr="00840DEE" w:rsidRDefault="006B03D2" w:rsidP="005768F5">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Šo rindu neizmanto, lai maksātspējas koeficientu aprēķinā iekļautu kapitāla posteņus vai atskaitījumus, kuriem nepiemēro Regulu (ES) 2019/2033 vai Regulu (ES) Nr. 575/2013.</w:t>
            </w:r>
          </w:p>
        </w:tc>
      </w:tr>
      <w:tr w:rsidR="00825F5D" w:rsidRPr="00840DEE" w14:paraId="648DD5A9" w14:textId="77777777" w:rsidTr="00E85018">
        <w:tc>
          <w:tcPr>
            <w:tcW w:w="1129" w:type="dxa"/>
          </w:tcPr>
          <w:p w14:paraId="197622C4"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25.</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4206795"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PIRMĀ LĪMEŅA PAPILDU KAPITĀLS</w:t>
            </w:r>
          </w:p>
          <w:p w14:paraId="4A32A9AD"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punkts.</w:t>
            </w:r>
          </w:p>
          <w:p w14:paraId="14A436EE" w14:textId="77777777" w:rsidR="00825F5D" w:rsidRPr="00840DEE" w:rsidRDefault="00825F5D" w:rsidP="00825F5D">
            <w:pPr>
              <w:spacing w:after="120"/>
              <w:jc w:val="both"/>
              <w:rPr>
                <w:rFonts w:ascii="Times New Roman" w:hAnsi="Times New Roman" w:cs="Times New Roman"/>
                <w:szCs w:val="22"/>
              </w:rPr>
            </w:pPr>
            <w:r w:rsidRPr="00840DEE">
              <w:rPr>
                <w:rFonts w:ascii="Times New Roman" w:hAnsi="Times New Roman"/>
                <w:szCs w:val="22"/>
              </w:rPr>
              <w:t>Regulas (ES) Nr. 575/2013 61. pants.</w:t>
            </w:r>
          </w:p>
          <w:p w14:paraId="7ADBFD35" w14:textId="77777777" w:rsidR="00825F5D" w:rsidRPr="00840DEE" w:rsidRDefault="00825F5D">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Atklāj 26. līdz 28. rindas un 32. rindas kopsummu.</w:t>
            </w:r>
          </w:p>
        </w:tc>
      </w:tr>
      <w:tr w:rsidR="00825F5D" w:rsidRPr="00840DEE" w14:paraId="7D2BA6B0" w14:textId="77777777" w:rsidTr="00970F84">
        <w:tc>
          <w:tcPr>
            <w:tcW w:w="1129" w:type="dxa"/>
          </w:tcPr>
          <w:p w14:paraId="304A9487"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26.</w:t>
            </w:r>
          </w:p>
        </w:tc>
        <w:tc>
          <w:tcPr>
            <w:tcW w:w="7620" w:type="dxa"/>
            <w:tcBorders>
              <w:top w:val="nil"/>
              <w:left w:val="single" w:sz="4" w:space="0" w:color="auto"/>
              <w:bottom w:val="single" w:sz="4" w:space="0" w:color="auto"/>
              <w:right w:val="single" w:sz="4" w:space="0" w:color="auto"/>
            </w:tcBorders>
            <w:shd w:val="clear" w:color="auto" w:fill="auto"/>
            <w:vAlign w:val="bottom"/>
          </w:tcPr>
          <w:p w14:paraId="3830DA9B"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Apmaksāti kapitāla instrumenti</w:t>
            </w:r>
          </w:p>
          <w:p w14:paraId="453F44CD"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273F33CE" w14:textId="77777777" w:rsidR="00825F5D" w:rsidRPr="00840DEE" w:rsidRDefault="00825F5D" w:rsidP="00825F5D">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Regulas (ES) Nr. 575/2013 51. panta a) apakšpunkts un 52., 53. un 54. pants.</w:t>
            </w:r>
          </w:p>
          <w:p w14:paraId="3EB33CAE"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Atklājamā summa neietver akciju emisijas uzcenojumu, kas saistīts ar instrumentiem.</w:t>
            </w:r>
          </w:p>
        </w:tc>
      </w:tr>
      <w:tr w:rsidR="00825F5D" w:rsidRPr="00840DEE" w14:paraId="2A872338" w14:textId="77777777" w:rsidTr="00970F84">
        <w:tc>
          <w:tcPr>
            <w:tcW w:w="1129" w:type="dxa"/>
          </w:tcPr>
          <w:p w14:paraId="0EA6B915"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27.</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1719F2"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xml:space="preserve">Akciju emisijas uzcenojums </w:t>
            </w:r>
          </w:p>
          <w:p w14:paraId="6A4B1F0B" w14:textId="77777777" w:rsidR="00825F5D" w:rsidRPr="00840DEE" w:rsidRDefault="00B414FA"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5EF2E9CC" w14:textId="77777777" w:rsidR="00825F5D" w:rsidRPr="00840DEE" w:rsidRDefault="00825F5D" w:rsidP="00825F5D">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Regulas (ES) Nr. 575/2013 51. panta b) apakšpunkts.</w:t>
            </w:r>
          </w:p>
          <w:p w14:paraId="28001A2B" w14:textId="77777777" w:rsidR="00825F5D" w:rsidRPr="00840DEE" w:rsidRDefault="00825F5D" w:rsidP="00825F5D">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Akciju emisijas uzcenojums ir uzcenojums tādā nozīmē, kā definēts piemērojamā grāmatvedības standartā.</w:t>
            </w:r>
          </w:p>
          <w:p w14:paraId="26F89C0B"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Šajā postenī atklājamā summa ir ar “Apmaksātiem kapitāla instrumentiem” saistītā daļa.</w:t>
            </w:r>
          </w:p>
        </w:tc>
      </w:tr>
      <w:tr w:rsidR="00825F5D" w:rsidRPr="00840DEE" w14:paraId="1C34A3E2" w14:textId="77777777" w:rsidTr="00970F84">
        <w:tc>
          <w:tcPr>
            <w:tcW w:w="1129" w:type="dxa"/>
          </w:tcPr>
          <w:p w14:paraId="1D5EF14A"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28.</w:t>
            </w:r>
          </w:p>
        </w:tc>
        <w:tc>
          <w:tcPr>
            <w:tcW w:w="7620" w:type="dxa"/>
            <w:tcBorders>
              <w:top w:val="nil"/>
              <w:left w:val="single" w:sz="4" w:space="0" w:color="auto"/>
              <w:bottom w:val="single" w:sz="4" w:space="0" w:color="auto"/>
              <w:right w:val="single" w:sz="4" w:space="0" w:color="auto"/>
            </w:tcBorders>
            <w:shd w:val="clear" w:color="auto" w:fill="auto"/>
            <w:vAlign w:val="bottom"/>
          </w:tcPr>
          <w:p w14:paraId="5E5B6478"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KOPĒJIE ATSKAITĪJUMI NO PIRMĀ LĪMEŅA PAPILDU KAPITĀLA</w:t>
            </w:r>
          </w:p>
          <w:p w14:paraId="732A3F75" w14:textId="77777777" w:rsidR="00825F5D" w:rsidRPr="00840DEE" w:rsidRDefault="00825F5D" w:rsidP="00825F5D">
            <w:pPr>
              <w:spacing w:before="60" w:after="60"/>
              <w:rPr>
                <w:rFonts w:ascii="Times New Roman" w:hAnsi="Times New Roman" w:cs="Times New Roman"/>
                <w:szCs w:val="22"/>
              </w:rPr>
            </w:pPr>
            <w:r w:rsidRPr="00840DEE">
              <w:rPr>
                <w:rFonts w:ascii="Times New Roman" w:hAnsi="Times New Roman"/>
                <w:szCs w:val="22"/>
              </w:rPr>
              <w:t>Regulas (ES) Nr. 575/2013 56. pants.</w:t>
            </w:r>
          </w:p>
          <w:p w14:paraId="36D172FA" w14:textId="77777777" w:rsidR="00825F5D" w:rsidRPr="00840DEE" w:rsidRDefault="00825F5D" w:rsidP="00463F85">
            <w:pPr>
              <w:spacing w:after="120"/>
              <w:jc w:val="both"/>
              <w:rPr>
                <w:rFonts w:ascii="Times New Roman" w:eastAsia="Times New Roman" w:hAnsi="Times New Roman" w:cs="Times New Roman"/>
                <w:bCs/>
                <w:szCs w:val="22"/>
              </w:rPr>
            </w:pPr>
            <w:r w:rsidRPr="00840DEE">
              <w:rPr>
                <w:rFonts w:ascii="Times New Roman" w:hAnsi="Times New Roman"/>
                <w:bCs/>
                <w:szCs w:val="22"/>
              </w:rPr>
              <w:t>Atklāj 29. līdz 31. rindas kopsummu.</w:t>
            </w:r>
          </w:p>
        </w:tc>
      </w:tr>
      <w:tr w:rsidR="00825F5D" w:rsidRPr="00840DEE" w14:paraId="1B28538F" w14:textId="77777777" w:rsidTr="00970F84">
        <w:tc>
          <w:tcPr>
            <w:tcW w:w="1129" w:type="dxa"/>
          </w:tcPr>
          <w:p w14:paraId="2A7FDE62" w14:textId="77777777" w:rsidR="00825F5D" w:rsidRPr="00840DEE" w:rsidRDefault="00825F5D"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29.</w:t>
            </w:r>
          </w:p>
        </w:tc>
        <w:tc>
          <w:tcPr>
            <w:tcW w:w="7620" w:type="dxa"/>
            <w:tcBorders>
              <w:top w:val="nil"/>
              <w:left w:val="single" w:sz="4" w:space="0" w:color="auto"/>
              <w:bottom w:val="single" w:sz="4" w:space="0" w:color="auto"/>
              <w:right w:val="single" w:sz="4" w:space="0" w:color="auto"/>
            </w:tcBorders>
            <w:shd w:val="clear" w:color="auto" w:fill="auto"/>
            <w:vAlign w:val="bottom"/>
          </w:tcPr>
          <w:p w14:paraId="068321CF"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Pašu pirmā līmeņa papildu kapitāla instrumenti</w:t>
            </w:r>
          </w:p>
          <w:p w14:paraId="6FB4AB42" w14:textId="77777777" w:rsidR="00825F5D" w:rsidRPr="00840DEE" w:rsidRDefault="00B414FA"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lastRenderedPageBreak/>
              <w:t>Regulas (ES) 2019/2033 9. panta 1. punkta i) apakšpunkts.</w:t>
            </w:r>
          </w:p>
          <w:p w14:paraId="011AF180" w14:textId="77777777" w:rsidR="00825F5D" w:rsidRPr="00840DEE" w:rsidRDefault="00825F5D" w:rsidP="00825F5D">
            <w:pPr>
              <w:pStyle w:val="InstructionsText"/>
              <w:rPr>
                <w:rStyle w:val="FormatvorlageInstructionsTabelleText"/>
                <w:rFonts w:ascii="Times New Roman" w:eastAsiaTheme="minorHAnsi" w:hAnsi="Times New Roman"/>
                <w:bCs/>
                <w:sz w:val="22"/>
              </w:rPr>
            </w:pPr>
            <w:r w:rsidRPr="00840DEE">
              <w:rPr>
                <w:rStyle w:val="FormatvorlageInstructionsTabelleText"/>
                <w:rFonts w:ascii="Times New Roman" w:hAnsi="Times New Roman"/>
                <w:sz w:val="22"/>
              </w:rPr>
              <w:t>Regulas (ES) Nr. 575/2013 52. panta 1. punkta b) apakšpunkts, 56. panta a) punkts un 57. pants.</w:t>
            </w:r>
          </w:p>
          <w:p w14:paraId="01AF6BFC" w14:textId="77777777" w:rsidR="00825F5D" w:rsidRPr="00840DEE" w:rsidRDefault="00825F5D" w:rsidP="00825F5D">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Pašu pirmā līmeņa papildu kapitāla instrumenti, ko pārskata sniegšanas datumā tur ieguldījumu brokeru sabiedrība. Piemērojami Regulas (ES) Nr. 575/2013 57. panta izņēmumi.</w:t>
            </w:r>
          </w:p>
          <w:p w14:paraId="41CE43AB" w14:textId="77777777" w:rsidR="00825F5D" w:rsidRPr="00840DEE" w:rsidRDefault="00825F5D" w:rsidP="00825F5D">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Atklājamā summa ietver akciju emisijas uzcenojumu, kas saistīts ar pašu akcijām.</w:t>
            </w:r>
          </w:p>
          <w:p w14:paraId="2106C10A" w14:textId="77777777" w:rsidR="00825F5D" w:rsidRPr="00840DEE" w:rsidRDefault="00825F5D" w:rsidP="00825F5D">
            <w:pPr>
              <w:pStyle w:val="InstructionsText"/>
            </w:pPr>
          </w:p>
        </w:tc>
      </w:tr>
      <w:tr w:rsidR="00825F5D" w:rsidRPr="00840DEE" w14:paraId="1C311E84" w14:textId="77777777" w:rsidTr="00970F84">
        <w:tc>
          <w:tcPr>
            <w:tcW w:w="1129" w:type="dxa"/>
          </w:tcPr>
          <w:p w14:paraId="751A4DE4" w14:textId="77777777" w:rsidR="00825F5D" w:rsidRPr="00840DEE" w:rsidRDefault="00562703"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lastRenderedPageBreak/>
              <w:t>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D2B25D5" w14:textId="77777777" w:rsidR="00825F5D" w:rsidRPr="00840DEE" w:rsidRDefault="00825F5D" w:rsidP="00825F5D">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Tādu finanšu sektora sabiedrību pirmā līmeņa papildu kapitāla instrumenti, kurās iestādei nav būtiska ieguldījuma</w:t>
            </w:r>
          </w:p>
          <w:p w14:paraId="4B57158D" w14:textId="77777777" w:rsidR="00825F5D" w:rsidRPr="00840DEE" w:rsidRDefault="00B414FA" w:rsidP="00825F5D">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2. punkta c) apakšpunkts.</w:t>
            </w:r>
          </w:p>
          <w:p w14:paraId="66E28C66" w14:textId="77777777" w:rsidR="00825F5D" w:rsidRPr="00840DEE" w:rsidRDefault="00B414FA">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Nr. 575/2013 56. panta c) punkts.</w:t>
            </w:r>
          </w:p>
        </w:tc>
      </w:tr>
      <w:tr w:rsidR="00173D0E" w:rsidRPr="00840DEE" w14:paraId="0F259060" w14:textId="77777777" w:rsidTr="00970F84">
        <w:tc>
          <w:tcPr>
            <w:tcW w:w="1129" w:type="dxa"/>
          </w:tcPr>
          <w:p w14:paraId="236C724A" w14:textId="77777777" w:rsidR="00173D0E" w:rsidRPr="00840DEE" w:rsidRDefault="00173D0E" w:rsidP="00173D0E">
            <w:pPr>
              <w:spacing w:after="120"/>
              <w:jc w:val="both"/>
              <w:rPr>
                <w:rFonts w:ascii="Times New Roman" w:eastAsia="Times New Roman" w:hAnsi="Times New Roman" w:cs="Times New Roman"/>
                <w:bCs/>
                <w:szCs w:val="22"/>
              </w:rPr>
            </w:pPr>
            <w:r w:rsidRPr="00840DEE">
              <w:rPr>
                <w:rFonts w:ascii="Times New Roman" w:hAnsi="Times New Roman"/>
                <w:bCs/>
                <w:szCs w:val="22"/>
              </w:rPr>
              <w:t>31.</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2694D8A" w14:textId="77777777" w:rsidR="00173D0E" w:rsidRPr="00840DEE" w:rsidRDefault="00173D0E" w:rsidP="00173D0E">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Citi atskaitījumi</w:t>
            </w:r>
          </w:p>
          <w:p w14:paraId="6CD053A3" w14:textId="77777777" w:rsidR="00173D0E" w:rsidRPr="00840DEE" w:rsidRDefault="00173D0E">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Visu citu tādu atskaitījumu summa saskaņā ar Regulas (ES) Nr. 575/2013 56. pantu, izņemot atskaitījumus saskaņā ar Regulas (ES) 575/2013 56. panta d) punktu, kas nav iekļauti nevienā no iepriekšējām rindām, kuras apzīmētas ar 0340 vai 0380.</w:t>
            </w:r>
          </w:p>
        </w:tc>
      </w:tr>
      <w:tr w:rsidR="00173D0E" w:rsidRPr="00840DEE" w14:paraId="6F70190C" w14:textId="77777777" w:rsidTr="00970F84">
        <w:tc>
          <w:tcPr>
            <w:tcW w:w="1129" w:type="dxa"/>
          </w:tcPr>
          <w:p w14:paraId="2F20659A" w14:textId="77777777" w:rsidR="00173D0E" w:rsidRPr="00840DEE" w:rsidRDefault="00173D0E" w:rsidP="00173D0E">
            <w:pPr>
              <w:spacing w:after="120"/>
              <w:jc w:val="both"/>
              <w:rPr>
                <w:rFonts w:ascii="Times New Roman" w:eastAsia="Times New Roman" w:hAnsi="Times New Roman" w:cs="Times New Roman"/>
                <w:bCs/>
                <w:szCs w:val="22"/>
              </w:rPr>
            </w:pPr>
            <w:r w:rsidRPr="00840DEE">
              <w:rPr>
                <w:rFonts w:ascii="Times New Roman" w:hAnsi="Times New Roman"/>
                <w:bCs/>
                <w:szCs w:val="22"/>
              </w:rPr>
              <w:t>32.</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8E69DAA" w14:textId="77777777" w:rsidR="00173D0E" w:rsidRPr="00840DEE" w:rsidRDefault="00173D0E" w:rsidP="00173D0E">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Pirmā līmeņa papildu kapitāls: citi kapitāla elementi, atskaitījumi un korekcijas</w:t>
            </w:r>
          </w:p>
          <w:p w14:paraId="123B38A2" w14:textId="77777777" w:rsidR="00173D0E" w:rsidRPr="00840DEE" w:rsidRDefault="00173D0E" w:rsidP="00173D0E">
            <w:pPr>
              <w:spacing w:after="120"/>
              <w:jc w:val="both"/>
              <w:rPr>
                <w:rFonts w:ascii="Times New Roman" w:eastAsia="Times New Roman" w:hAnsi="Times New Roman" w:cs="Times New Roman"/>
                <w:bCs/>
                <w:szCs w:val="22"/>
              </w:rPr>
            </w:pPr>
            <w:r w:rsidRPr="00840DEE">
              <w:rPr>
                <w:rFonts w:ascii="Times New Roman" w:hAnsi="Times New Roman"/>
                <w:bCs/>
                <w:szCs w:val="22"/>
              </w:rPr>
              <w:t>Šī rinda ietver šādu posteņu summu (ja piemērojams):</w:t>
            </w:r>
          </w:p>
          <w:p w14:paraId="04F86956" w14:textId="77777777" w:rsidR="00173D0E" w:rsidRPr="00840DEE" w:rsidRDefault="00173D0E" w:rsidP="00173D0E">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pārejas posma korekcijas saistībā ar pirmā līmeņa papildu kapitāla instrumentiem, attiecībā uz kuriem piemērotas tiesības saglabāt iepriekš spēkā esošos nosacījumus (Regulas (ES) Nr. 575/2013 483. panta 4. un 5. punkts, 484. līdz 487. pants, 489. un 491. pants),</w:t>
            </w:r>
          </w:p>
          <w:p w14:paraId="48EDAA7C" w14:textId="77777777" w:rsidR="00173D0E" w:rsidRPr="00840DEE" w:rsidRDefault="00173D0E" w:rsidP="00173D0E">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citas pārejas posma korekcijas attiecībā uz pirmā līmeņa papildu kapitālu (Regulas (ES) Nr. 575/2013 472. pants, 473.a, 474., 475., 478. un 481. pants): atskaitījumu korekcijas saistībā ar pārejas noteikumiem,</w:t>
            </w:r>
          </w:p>
          <w:p w14:paraId="60B23142" w14:textId="77777777" w:rsidR="00173D0E" w:rsidRPr="00840DEE" w:rsidRDefault="00173D0E" w:rsidP="00173D0E">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summa, par kādu pirmā līmeņa papildu kapitāla posteņu atskaitījums pārsniedz pirmā līmeņa papildu kapitālu, atskaitīta no pirmā līmeņa pamata kapitāla saskaņā ar Regulas (ES) Nr. 575/2013 36. panta 1. punkta j) apakšpunktu: pirmā līmeņa papildu kapitāls nevar būt negatīvs, bet pastāv iespēja, ka atskaitījumi no pirmā līmeņa papildu kapitāla posteņiem pārsniedz pieejamo pirmā līmeņa papildu kapitāla posteņu summu. Šādā gadījumā šis postenis atspoguļo summu, kas nepieciešama, lai 0300. rindā uzrādīto summu palielinātu līdz nullei, un ir vienāds ar apgriezto summu, par kādu pirmā līmeņa papildu kapitāla posteņu atskaitījums pārsniedz pirmā līmeņa papildu kapitālu un kas papildus citiem atskaitījumiem ietverta 23. rindā,</w:t>
            </w:r>
          </w:p>
          <w:p w14:paraId="2F18A57E" w14:textId="77777777" w:rsidR="00173D0E" w:rsidRPr="00840DEE" w:rsidRDefault="00173D0E" w:rsidP="00173D0E">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 xml:space="preserve">citi pirmā līmeņa papildu kapitāla elementi vai atskaitījumi no pirmā līmeņa papildu kapitāla elementiem, kurus nevar iedalīt nevienā no rindām, kas apzīmētas ar 26–31. </w:t>
            </w:r>
          </w:p>
          <w:p w14:paraId="5F91978E" w14:textId="77777777" w:rsidR="00173D0E" w:rsidRPr="00840DEE" w:rsidRDefault="00173D0E" w:rsidP="00862664">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Šo rindu neizmanto, lai maksātspējas koeficientu aprēķinā iekļautu kapitāla posteņus vai atskaitījumus, kuriem nepiemēro Regulu (ES) 2019/2033 vai Regulu (ES) Nr. 575/2013.</w:t>
            </w:r>
          </w:p>
        </w:tc>
      </w:tr>
      <w:tr w:rsidR="00173D0E" w:rsidRPr="00840DEE" w14:paraId="3472F9E5" w14:textId="77777777" w:rsidTr="00970F84">
        <w:tc>
          <w:tcPr>
            <w:tcW w:w="1129" w:type="dxa"/>
          </w:tcPr>
          <w:p w14:paraId="3A7DC1DE" w14:textId="77777777" w:rsidR="00173D0E" w:rsidRPr="00840DEE" w:rsidRDefault="00173D0E" w:rsidP="00173D0E">
            <w:pPr>
              <w:spacing w:after="120"/>
              <w:jc w:val="both"/>
              <w:rPr>
                <w:rFonts w:ascii="Times New Roman" w:eastAsia="Times New Roman" w:hAnsi="Times New Roman" w:cs="Times New Roman"/>
                <w:bCs/>
                <w:szCs w:val="22"/>
              </w:rPr>
            </w:pPr>
            <w:r w:rsidRPr="00840DEE">
              <w:rPr>
                <w:rFonts w:ascii="Times New Roman" w:hAnsi="Times New Roman"/>
                <w:bCs/>
                <w:szCs w:val="22"/>
              </w:rPr>
              <w:t>33.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58339B1" w14:textId="77777777" w:rsidR="00173D0E" w:rsidRPr="00840DEE" w:rsidRDefault="00173D0E" w:rsidP="00173D0E">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OTRĀ LĪMEŅA KAPITĀLS</w:t>
            </w:r>
          </w:p>
          <w:p w14:paraId="1648FF30" w14:textId="77777777" w:rsidR="00173D0E" w:rsidRPr="00840DEE" w:rsidRDefault="00173D0E" w:rsidP="00173D0E">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punkts.</w:t>
            </w:r>
          </w:p>
          <w:p w14:paraId="09729DA5" w14:textId="77777777" w:rsidR="00173D0E" w:rsidRPr="00840DEE" w:rsidRDefault="00173D0E" w:rsidP="00173D0E">
            <w:pPr>
              <w:spacing w:after="120"/>
              <w:jc w:val="both"/>
              <w:rPr>
                <w:rStyle w:val="FormatvorlageInstructionsTabelleText"/>
                <w:rFonts w:ascii="Times New Roman" w:hAnsi="Times New Roman"/>
                <w:sz w:val="22"/>
                <w:szCs w:val="22"/>
              </w:rPr>
            </w:pPr>
            <w:r w:rsidRPr="00840DEE">
              <w:rPr>
                <w:rStyle w:val="FormatvorlageInstructionsTabelleText"/>
                <w:rFonts w:ascii="Times New Roman" w:hAnsi="Times New Roman"/>
                <w:sz w:val="22"/>
                <w:szCs w:val="22"/>
              </w:rPr>
              <w:t>Regulas (ES) Nr. 575/2013 71. pants.</w:t>
            </w:r>
          </w:p>
          <w:p w14:paraId="0D16882E" w14:textId="77777777" w:rsidR="00173D0E" w:rsidRPr="00840DEE" w:rsidRDefault="00173D0E" w:rsidP="00463F85">
            <w:pPr>
              <w:pStyle w:val="CommentText"/>
              <w:rPr>
                <w:sz w:val="22"/>
                <w:szCs w:val="22"/>
              </w:rPr>
            </w:pPr>
            <w:r w:rsidRPr="00840DEE">
              <w:rPr>
                <w:rFonts w:ascii="Times New Roman" w:hAnsi="Times New Roman"/>
                <w:bCs/>
                <w:sz w:val="22"/>
                <w:szCs w:val="22"/>
              </w:rPr>
              <w:t xml:space="preserve">Atklāj 34. līdz 36. rindas un 39. rindas </w:t>
            </w:r>
            <w:r w:rsidRPr="00840DEE">
              <w:rPr>
                <w:rStyle w:val="FormatvorlageInstructionsTabelleText"/>
                <w:rFonts w:ascii="Times New Roman" w:hAnsi="Times New Roman"/>
                <w:sz w:val="22"/>
                <w:szCs w:val="22"/>
              </w:rPr>
              <w:t>kopsummu</w:t>
            </w:r>
            <w:r w:rsidRPr="00840DEE">
              <w:rPr>
                <w:rFonts w:ascii="Times New Roman" w:hAnsi="Times New Roman"/>
                <w:bCs/>
                <w:sz w:val="22"/>
                <w:szCs w:val="22"/>
              </w:rPr>
              <w:t>.</w:t>
            </w:r>
          </w:p>
        </w:tc>
      </w:tr>
      <w:tr w:rsidR="00173D0E" w:rsidRPr="00840DEE" w14:paraId="3155FFF6" w14:textId="77777777" w:rsidTr="00970F84">
        <w:tc>
          <w:tcPr>
            <w:tcW w:w="1129" w:type="dxa"/>
          </w:tcPr>
          <w:p w14:paraId="39E98DF9" w14:textId="77777777" w:rsidR="00173D0E" w:rsidRPr="00840DEE" w:rsidRDefault="00173D0E" w:rsidP="00173D0E">
            <w:pPr>
              <w:spacing w:after="120"/>
              <w:jc w:val="both"/>
              <w:rPr>
                <w:rFonts w:ascii="Times New Roman" w:eastAsia="Times New Roman" w:hAnsi="Times New Roman" w:cs="Times New Roman"/>
                <w:bCs/>
                <w:szCs w:val="22"/>
              </w:rPr>
            </w:pPr>
            <w:r w:rsidRPr="00840DEE">
              <w:rPr>
                <w:rFonts w:ascii="Times New Roman" w:hAnsi="Times New Roman"/>
                <w:bCs/>
                <w:szCs w:val="22"/>
              </w:rPr>
              <w:lastRenderedPageBreak/>
              <w:t>34.</w:t>
            </w:r>
          </w:p>
        </w:tc>
        <w:tc>
          <w:tcPr>
            <w:tcW w:w="7620" w:type="dxa"/>
            <w:tcBorders>
              <w:top w:val="nil"/>
              <w:left w:val="single" w:sz="4" w:space="0" w:color="auto"/>
              <w:bottom w:val="single" w:sz="4" w:space="0" w:color="auto"/>
              <w:right w:val="single" w:sz="4" w:space="0" w:color="auto"/>
            </w:tcBorders>
            <w:shd w:val="clear" w:color="auto" w:fill="auto"/>
            <w:vAlign w:val="bottom"/>
          </w:tcPr>
          <w:p w14:paraId="4FF863BF" w14:textId="77777777" w:rsidR="00173D0E" w:rsidRPr="00840DEE" w:rsidRDefault="00173D0E" w:rsidP="00173D0E">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Pilnībā apmaksāti, tieši emitēti kapitāla instrumenti</w:t>
            </w:r>
          </w:p>
          <w:p w14:paraId="07176B82" w14:textId="77777777" w:rsidR="00173D0E" w:rsidRPr="00840DEE" w:rsidRDefault="00173D0E" w:rsidP="00173D0E">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28841AE4" w14:textId="77777777" w:rsidR="00173D0E" w:rsidRPr="00840DEE" w:rsidRDefault="00524914" w:rsidP="00173D0E">
            <w:pPr>
              <w:pStyle w:val="InstructionsText"/>
              <w:rPr>
                <w:rStyle w:val="FormatvorlageInstructionsTabelleText"/>
                <w:rFonts w:ascii="Times New Roman" w:eastAsiaTheme="minorHAnsi" w:hAnsi="Times New Roman"/>
                <w:bCs/>
                <w:sz w:val="22"/>
              </w:rPr>
            </w:pPr>
            <w:r w:rsidRPr="00840DEE">
              <w:rPr>
                <w:rStyle w:val="FormatvorlageInstructionsTabelleText"/>
                <w:rFonts w:ascii="Times New Roman" w:hAnsi="Times New Roman"/>
                <w:sz w:val="22"/>
              </w:rPr>
              <w:t>Regulas (ES) Nr. 575/2013 62. panta a) apakšpunkts, 63. un 65. pants.</w:t>
            </w:r>
          </w:p>
          <w:p w14:paraId="6F086D4C" w14:textId="77777777" w:rsidR="00173D0E" w:rsidRPr="00840DEE" w:rsidRDefault="00173D0E" w:rsidP="00173D0E">
            <w:pPr>
              <w:spacing w:after="120"/>
              <w:jc w:val="both"/>
              <w:rPr>
                <w:rFonts w:ascii="Times New Roman" w:eastAsia="Times New Roman" w:hAnsi="Times New Roman" w:cs="Times New Roman"/>
                <w:b/>
                <w:bCs/>
                <w:szCs w:val="22"/>
                <w:u w:val="single"/>
              </w:rPr>
            </w:pPr>
            <w:r w:rsidRPr="00840DEE">
              <w:rPr>
                <w:rStyle w:val="FormatvorlageInstructionsTabelleText"/>
                <w:rFonts w:ascii="Times New Roman" w:hAnsi="Times New Roman"/>
                <w:sz w:val="22"/>
                <w:szCs w:val="22"/>
              </w:rPr>
              <w:t>Atklājamā summa neietver akciju emisijas uzcenojumu, kas saistīts ar instrumentiem.</w:t>
            </w:r>
          </w:p>
        </w:tc>
      </w:tr>
      <w:tr w:rsidR="00173D0E" w:rsidRPr="00840DEE" w14:paraId="72A93964" w14:textId="77777777" w:rsidTr="00970F84">
        <w:tc>
          <w:tcPr>
            <w:tcW w:w="1129" w:type="dxa"/>
          </w:tcPr>
          <w:p w14:paraId="4B4943E1" w14:textId="77777777" w:rsidR="00173D0E" w:rsidRPr="00840DEE" w:rsidRDefault="00173D0E" w:rsidP="00173D0E">
            <w:pPr>
              <w:spacing w:after="120"/>
              <w:jc w:val="both"/>
              <w:rPr>
                <w:rFonts w:ascii="Times New Roman" w:eastAsia="Times New Roman" w:hAnsi="Times New Roman" w:cs="Times New Roman"/>
                <w:bCs/>
                <w:szCs w:val="22"/>
              </w:rPr>
            </w:pPr>
            <w:r w:rsidRPr="00840DEE">
              <w:rPr>
                <w:rFonts w:ascii="Times New Roman" w:hAnsi="Times New Roman"/>
                <w:bCs/>
                <w:szCs w:val="22"/>
              </w:rPr>
              <w:t>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54BDDB77" w14:textId="77777777" w:rsidR="00173D0E" w:rsidRPr="00840DEE" w:rsidRDefault="00173D0E" w:rsidP="00173D0E">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xml:space="preserve">Akciju emisijas uzcenojums </w:t>
            </w:r>
          </w:p>
          <w:p w14:paraId="12993E13" w14:textId="77777777" w:rsidR="00173D0E" w:rsidRPr="00840DEE" w:rsidRDefault="00173D0E" w:rsidP="00173D0E">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1BEF0A37" w14:textId="77777777" w:rsidR="00173D0E" w:rsidRPr="00840DEE" w:rsidRDefault="00173D0E" w:rsidP="00173D0E">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Regulas (ES) Nr. 575/2013 62. panta b) punkts un 65. pants.</w:t>
            </w:r>
          </w:p>
          <w:p w14:paraId="3C679302" w14:textId="77777777" w:rsidR="00173D0E" w:rsidRPr="00840DEE" w:rsidRDefault="00173D0E" w:rsidP="00173D0E">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 xml:space="preserve">Akciju emisijas uzcenojums ir uzcenojums tādā nozīmē, kā definēts piemērojamā grāmatvedības standartā. </w:t>
            </w:r>
          </w:p>
          <w:p w14:paraId="6C7F81F3" w14:textId="77777777" w:rsidR="00173D0E" w:rsidRPr="00840DEE" w:rsidRDefault="00173D0E" w:rsidP="00173D0E">
            <w:pPr>
              <w:pStyle w:val="InstructionsText"/>
            </w:pPr>
            <w:r w:rsidRPr="00840DEE">
              <w:rPr>
                <w:rStyle w:val="FormatvorlageInstructionsTabelleText"/>
                <w:rFonts w:ascii="Times New Roman" w:hAnsi="Times New Roman"/>
                <w:sz w:val="22"/>
              </w:rPr>
              <w:t>Šajā postenī atklājamā summa ir ar “Apmaksātiem kapitāla instrumentiem” saistītā daļa.</w:t>
            </w:r>
          </w:p>
        </w:tc>
      </w:tr>
      <w:tr w:rsidR="00173D0E" w:rsidRPr="00840DEE" w14:paraId="209EB7D7" w14:textId="77777777" w:rsidTr="00970F84">
        <w:tc>
          <w:tcPr>
            <w:tcW w:w="1129" w:type="dxa"/>
          </w:tcPr>
          <w:p w14:paraId="610BA3BE" w14:textId="77777777" w:rsidR="00173D0E" w:rsidRPr="00840DEE" w:rsidRDefault="00173D0E" w:rsidP="00173D0E">
            <w:pPr>
              <w:spacing w:after="120"/>
              <w:jc w:val="both"/>
              <w:rPr>
                <w:rFonts w:ascii="Times New Roman" w:eastAsia="Times New Roman" w:hAnsi="Times New Roman" w:cs="Times New Roman"/>
                <w:bCs/>
                <w:szCs w:val="22"/>
              </w:rPr>
            </w:pPr>
            <w:r w:rsidRPr="00840DEE">
              <w:rPr>
                <w:rFonts w:ascii="Times New Roman" w:hAnsi="Times New Roman"/>
                <w:bCs/>
                <w:szCs w:val="22"/>
              </w:rPr>
              <w:t>36.</w:t>
            </w:r>
          </w:p>
        </w:tc>
        <w:tc>
          <w:tcPr>
            <w:tcW w:w="7620" w:type="dxa"/>
            <w:tcBorders>
              <w:top w:val="nil"/>
              <w:left w:val="single" w:sz="4" w:space="0" w:color="auto"/>
              <w:bottom w:val="single" w:sz="4" w:space="0" w:color="auto"/>
              <w:right w:val="single" w:sz="4" w:space="0" w:color="auto"/>
            </w:tcBorders>
            <w:shd w:val="clear" w:color="auto" w:fill="auto"/>
            <w:vAlign w:val="bottom"/>
          </w:tcPr>
          <w:p w14:paraId="169597F4" w14:textId="77777777" w:rsidR="00173D0E" w:rsidRPr="00840DEE" w:rsidRDefault="00173D0E" w:rsidP="00173D0E">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KOPĒJIE ATSKAITĪJUMI NO OTRĀ LĪMEŅA KAPITĀLA</w:t>
            </w:r>
          </w:p>
          <w:p w14:paraId="03F31CA6" w14:textId="77777777" w:rsidR="00173D0E" w:rsidRPr="00840DEE" w:rsidRDefault="00173D0E" w:rsidP="00463F85">
            <w:pPr>
              <w:spacing w:after="120"/>
              <w:jc w:val="both"/>
              <w:rPr>
                <w:rFonts w:ascii="Times New Roman" w:eastAsia="Times New Roman" w:hAnsi="Times New Roman" w:cs="Times New Roman"/>
                <w:bCs/>
                <w:szCs w:val="22"/>
              </w:rPr>
            </w:pPr>
            <w:r w:rsidRPr="00840DEE">
              <w:rPr>
                <w:rFonts w:ascii="Times New Roman" w:hAnsi="Times New Roman"/>
                <w:szCs w:val="22"/>
              </w:rPr>
              <w:t>Regulas (ES) Nr. 575/2013 66. pants.</w:t>
            </w:r>
          </w:p>
        </w:tc>
      </w:tr>
      <w:tr w:rsidR="00173D0E" w:rsidRPr="00840DEE" w14:paraId="1B917D28" w14:textId="77777777" w:rsidTr="00970F84">
        <w:tc>
          <w:tcPr>
            <w:tcW w:w="1129" w:type="dxa"/>
          </w:tcPr>
          <w:p w14:paraId="03FF7B0A" w14:textId="77777777" w:rsidR="00173D0E" w:rsidRPr="00840DEE" w:rsidRDefault="00173D0E" w:rsidP="00173D0E">
            <w:pPr>
              <w:spacing w:after="120"/>
              <w:jc w:val="both"/>
              <w:rPr>
                <w:rFonts w:ascii="Times New Roman" w:eastAsia="Times New Roman" w:hAnsi="Times New Roman" w:cs="Times New Roman"/>
                <w:bCs/>
                <w:szCs w:val="22"/>
              </w:rPr>
            </w:pPr>
            <w:r w:rsidRPr="00840DEE">
              <w:rPr>
                <w:rFonts w:ascii="Times New Roman" w:hAnsi="Times New Roman"/>
                <w:bCs/>
                <w:szCs w:val="22"/>
              </w:rPr>
              <w:t>37.</w:t>
            </w:r>
          </w:p>
        </w:tc>
        <w:tc>
          <w:tcPr>
            <w:tcW w:w="7620" w:type="dxa"/>
            <w:tcBorders>
              <w:top w:val="nil"/>
              <w:left w:val="single" w:sz="4" w:space="0" w:color="auto"/>
              <w:bottom w:val="single" w:sz="4" w:space="0" w:color="auto"/>
              <w:right w:val="single" w:sz="4" w:space="0" w:color="auto"/>
            </w:tcBorders>
            <w:shd w:val="clear" w:color="auto" w:fill="auto"/>
            <w:vAlign w:val="bottom"/>
          </w:tcPr>
          <w:p w14:paraId="7B1FF07E" w14:textId="77777777" w:rsidR="00173D0E" w:rsidRPr="00840DEE" w:rsidRDefault="00173D0E" w:rsidP="00173D0E">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Pašu otrā līmeņa kapitāla instrumenti</w:t>
            </w:r>
          </w:p>
          <w:p w14:paraId="135A0504" w14:textId="77777777" w:rsidR="00173D0E" w:rsidRPr="00840DEE" w:rsidRDefault="00524914" w:rsidP="00173D0E">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1. punkta i) apakšpunkts.</w:t>
            </w:r>
          </w:p>
          <w:p w14:paraId="7F7F2C03" w14:textId="77777777" w:rsidR="00173D0E" w:rsidRPr="00840DEE" w:rsidRDefault="00524914" w:rsidP="00173D0E">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Regulas (ES) Nr. 575/2013 63. panta b) punkta i) apakšpunkts, 66. panta a) punkts un 67. pants.</w:t>
            </w:r>
          </w:p>
          <w:p w14:paraId="4CC86CD2" w14:textId="77777777" w:rsidR="00173D0E" w:rsidRPr="00840DEE" w:rsidRDefault="00173D0E" w:rsidP="00173D0E">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Pašu otrā līmeņa kapitāla instrumenti, ko pārskata sniegšanas datumā tur pārskata sniedzēja iestāde vai grupa. Piemērojami Regulas (ES) Nr. 575/2013 67. panta izņēmumi.</w:t>
            </w:r>
          </w:p>
          <w:p w14:paraId="40038656" w14:textId="77777777" w:rsidR="00173D0E" w:rsidRPr="00840DEE" w:rsidRDefault="00173D0E" w:rsidP="00173D0E">
            <w:pPr>
              <w:pStyle w:val="InstructionsText"/>
              <w:rPr>
                <w:rStyle w:val="FormatvorlageInstructionsTabelleText"/>
                <w:rFonts w:ascii="Times New Roman" w:hAnsi="Times New Roman"/>
                <w:sz w:val="22"/>
              </w:rPr>
            </w:pPr>
            <w:r w:rsidRPr="00840DEE">
              <w:rPr>
                <w:rStyle w:val="FormatvorlageInstructionsTabelleText"/>
                <w:rFonts w:ascii="Times New Roman" w:hAnsi="Times New Roman"/>
                <w:sz w:val="22"/>
              </w:rPr>
              <w:t>Šajā rindā neatklāj tādas līdzdalības akcijās, kas iekļautas kā “Neatbilstoši kapitāla instrumenti”.</w:t>
            </w:r>
          </w:p>
          <w:p w14:paraId="6245671C" w14:textId="77777777" w:rsidR="00173D0E" w:rsidRPr="00840DEE" w:rsidRDefault="00173D0E" w:rsidP="00173D0E">
            <w:pPr>
              <w:pStyle w:val="InstructionsText"/>
            </w:pPr>
            <w:r w:rsidRPr="00840DEE">
              <w:rPr>
                <w:rStyle w:val="FormatvorlageInstructionsTabelleText"/>
                <w:rFonts w:ascii="Times New Roman" w:hAnsi="Times New Roman"/>
                <w:sz w:val="22"/>
              </w:rPr>
              <w:t>Atklājamā summa ietver akciju emisijas uzcenojumu, kas saistīts ar pašu akcijām.</w:t>
            </w:r>
          </w:p>
        </w:tc>
      </w:tr>
      <w:tr w:rsidR="00173D0E" w:rsidRPr="00840DEE" w14:paraId="0E38C51D" w14:textId="77777777" w:rsidTr="009C422F">
        <w:tc>
          <w:tcPr>
            <w:tcW w:w="1129" w:type="dxa"/>
          </w:tcPr>
          <w:p w14:paraId="377B3528" w14:textId="77777777" w:rsidR="00173D0E" w:rsidRPr="00840DEE" w:rsidRDefault="00173D0E" w:rsidP="00173D0E">
            <w:pPr>
              <w:spacing w:after="120"/>
              <w:jc w:val="both"/>
              <w:rPr>
                <w:rFonts w:ascii="Times New Roman" w:eastAsia="Times New Roman" w:hAnsi="Times New Roman" w:cs="Times New Roman"/>
                <w:bCs/>
                <w:szCs w:val="22"/>
              </w:rPr>
            </w:pPr>
            <w:r w:rsidRPr="00840DEE">
              <w:rPr>
                <w:rFonts w:ascii="Times New Roman" w:hAnsi="Times New Roman"/>
                <w:bCs/>
                <w:szCs w:val="22"/>
              </w:rPr>
              <w:t>38.</w:t>
            </w:r>
          </w:p>
        </w:tc>
        <w:tc>
          <w:tcPr>
            <w:tcW w:w="7620" w:type="dxa"/>
            <w:tcBorders>
              <w:top w:val="nil"/>
              <w:left w:val="single" w:sz="4" w:space="0" w:color="auto"/>
              <w:bottom w:val="single" w:sz="4" w:space="0" w:color="auto"/>
              <w:right w:val="single" w:sz="4" w:space="0" w:color="auto"/>
            </w:tcBorders>
            <w:shd w:val="clear" w:color="auto" w:fill="auto"/>
            <w:vAlign w:val="bottom"/>
          </w:tcPr>
          <w:p w14:paraId="0CB32044" w14:textId="77777777" w:rsidR="00173D0E" w:rsidRPr="00840DEE" w:rsidRDefault="00173D0E" w:rsidP="00173D0E">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 Tādu finanšu sektora sabiedrību otrā līmeņa kapitāla instrumenti, kurās iestādei nav būtiska ieguldījuma</w:t>
            </w:r>
          </w:p>
          <w:p w14:paraId="4EE99749" w14:textId="77777777" w:rsidR="00173D0E" w:rsidRPr="00840DEE" w:rsidRDefault="00524914" w:rsidP="00173D0E">
            <w:pPr>
              <w:spacing w:after="120"/>
              <w:jc w:val="both"/>
              <w:rPr>
                <w:rFonts w:ascii="Times New Roman" w:eastAsia="Times New Roman" w:hAnsi="Times New Roman" w:cs="Times New Roman"/>
                <w:bCs/>
                <w:szCs w:val="22"/>
              </w:rPr>
            </w:pPr>
            <w:r w:rsidRPr="00840DEE">
              <w:rPr>
                <w:rFonts w:ascii="Times New Roman" w:hAnsi="Times New Roman"/>
                <w:bCs/>
                <w:szCs w:val="22"/>
              </w:rPr>
              <w:t>Regulas (ES) 2019/2033 9. panta 2. punkta c) apakšpunkts.</w:t>
            </w:r>
          </w:p>
          <w:p w14:paraId="725DA967" w14:textId="77777777" w:rsidR="00173D0E" w:rsidRPr="00840DEE" w:rsidRDefault="00524914">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Regulas (ES) Nr. 575/2013 66. panta c) punkts.</w:t>
            </w:r>
          </w:p>
        </w:tc>
      </w:tr>
      <w:tr w:rsidR="00173D0E" w:rsidRPr="00840DEE" w14:paraId="607737E7" w14:textId="77777777" w:rsidTr="009C422F">
        <w:tc>
          <w:tcPr>
            <w:tcW w:w="1129" w:type="dxa"/>
            <w:tcBorders>
              <w:bottom w:val="single" w:sz="4" w:space="0" w:color="auto"/>
            </w:tcBorders>
          </w:tcPr>
          <w:p w14:paraId="32EEA435" w14:textId="77777777" w:rsidR="00173D0E" w:rsidRPr="00840DEE" w:rsidRDefault="00173D0E" w:rsidP="00173D0E">
            <w:pPr>
              <w:spacing w:after="120"/>
              <w:jc w:val="both"/>
              <w:rPr>
                <w:rFonts w:ascii="Times New Roman" w:eastAsia="Times New Roman" w:hAnsi="Times New Roman" w:cs="Times New Roman"/>
                <w:bCs/>
                <w:szCs w:val="22"/>
              </w:rPr>
            </w:pPr>
            <w:r w:rsidRPr="00840DEE">
              <w:rPr>
                <w:rFonts w:ascii="Times New Roman" w:hAnsi="Times New Roman"/>
                <w:bCs/>
                <w:szCs w:val="22"/>
              </w:rPr>
              <w:t>39.</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81E415A" w14:textId="77777777" w:rsidR="00173D0E" w:rsidRPr="00840DEE" w:rsidRDefault="00173D0E" w:rsidP="00173D0E">
            <w:pPr>
              <w:spacing w:after="120"/>
              <w:jc w:val="both"/>
              <w:rPr>
                <w:rFonts w:ascii="Times New Roman" w:eastAsia="Times New Roman" w:hAnsi="Times New Roman" w:cs="Times New Roman"/>
                <w:b/>
                <w:bCs/>
                <w:szCs w:val="22"/>
                <w:u w:val="single"/>
              </w:rPr>
            </w:pPr>
            <w:r w:rsidRPr="00840DEE">
              <w:rPr>
                <w:rFonts w:ascii="Times New Roman" w:hAnsi="Times New Roman"/>
                <w:b/>
                <w:bCs/>
                <w:szCs w:val="22"/>
                <w:u w:val="single"/>
              </w:rPr>
              <w:t>Otrā līmeņa kapitāls: citi kapitāla elementi, atskaitījumi un korekcijas</w:t>
            </w:r>
          </w:p>
          <w:p w14:paraId="0BBDC0BD" w14:textId="77777777" w:rsidR="00173D0E" w:rsidRPr="00840DEE" w:rsidRDefault="00173D0E" w:rsidP="00173D0E">
            <w:pPr>
              <w:spacing w:after="120"/>
              <w:jc w:val="both"/>
              <w:rPr>
                <w:rFonts w:ascii="Times New Roman" w:eastAsia="Times New Roman" w:hAnsi="Times New Roman" w:cs="Times New Roman"/>
                <w:bCs/>
                <w:szCs w:val="22"/>
              </w:rPr>
            </w:pPr>
            <w:r w:rsidRPr="00840DEE">
              <w:rPr>
                <w:rFonts w:ascii="Times New Roman" w:hAnsi="Times New Roman"/>
                <w:bCs/>
                <w:szCs w:val="22"/>
              </w:rPr>
              <w:t>Šī rinda ietver šādu posteņu summu (ja piemērojams):</w:t>
            </w:r>
          </w:p>
          <w:p w14:paraId="0997B821" w14:textId="77777777" w:rsidR="00173D0E" w:rsidRPr="00840DEE" w:rsidRDefault="00173D0E" w:rsidP="00173D0E">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pārejas posma korekcijas saistībā ar otrā līmeņa kapitāla instrumentiem, attiecībā uz kuriem piemērotas tiesības saglabāt iepriekš spēkā esošos nosacījumus (Regulas (ES) Nr. 575/2013 483. panta 6. un 7. punkts, 484., 486., 488., 490. un 491. pants),</w:t>
            </w:r>
          </w:p>
          <w:p w14:paraId="1C7F7693" w14:textId="77777777" w:rsidR="00173D0E" w:rsidRPr="00840DEE" w:rsidRDefault="00173D0E" w:rsidP="00173D0E">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citas pārejas posma korekcijas attiecībā uz otrā līmeņa kapitālu (Regulas (ES) Nr. 575/2013 472. pants, 473.a, 476., 477., 478. un 481. pants): korekcijas, kas saistībā ar pārejas noteikumiem veiktas atskaitījumos no otrā līmeņa kapitāla,</w:t>
            </w:r>
          </w:p>
          <w:p w14:paraId="60F49BCC" w14:textId="77777777" w:rsidR="00173D0E" w:rsidRPr="00840DEE" w:rsidRDefault="00173D0E" w:rsidP="00173D0E">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t>summa, par kādu otrā līmeņa kapitāla posteņu atskaitījums pārsniedz otrā līmeņa kapitālu, atskaitīta no pirmā līmeņa papildu kapitāla saskaņā ar Regulas (ES) Nr. 575/2013 56. panta e) punktu: otrā līmeņa kapitāls nevar būt negatīvs, bet pastāv iespēja, ka atskaitījumi no otrā līmeņa kapitāla posteņiem pārsniedz pieejamo otrā līmeņa kapitāla posteņu summu. Šādā gadījumā šis postenis atspoguļo summu, kas nepieciešama, lai 33. rindā uzrādīto summu palielinātu līdz nullei,</w:t>
            </w:r>
          </w:p>
          <w:p w14:paraId="2309DC5E" w14:textId="77777777" w:rsidR="00173D0E" w:rsidRPr="00840DEE" w:rsidRDefault="00173D0E" w:rsidP="00173D0E">
            <w:pPr>
              <w:pStyle w:val="ListParagraph"/>
              <w:numPr>
                <w:ilvl w:val="0"/>
                <w:numId w:val="15"/>
              </w:numPr>
              <w:spacing w:after="120"/>
              <w:contextualSpacing/>
              <w:jc w:val="both"/>
              <w:rPr>
                <w:rFonts w:ascii="Times New Roman" w:eastAsia="Times New Roman" w:hAnsi="Times New Roman"/>
                <w:bCs/>
              </w:rPr>
            </w:pPr>
            <w:r w:rsidRPr="00840DEE">
              <w:rPr>
                <w:rFonts w:ascii="Times New Roman" w:hAnsi="Times New Roman"/>
                <w:bCs/>
              </w:rPr>
              <w:lastRenderedPageBreak/>
              <w:t xml:space="preserve">citi otrā līmeņa kapitāla elementi vai atskaitījumi no otrā līmeņa kapitāla elementa, kurus nevar iedalīt nevienā no rindām, kas apzīmētas ar 34–38. </w:t>
            </w:r>
          </w:p>
          <w:p w14:paraId="4C57D445" w14:textId="77777777" w:rsidR="00173D0E" w:rsidRPr="00840DEE" w:rsidRDefault="00173D0E" w:rsidP="00CF6458">
            <w:pPr>
              <w:spacing w:after="120"/>
              <w:jc w:val="both"/>
              <w:rPr>
                <w:rFonts w:ascii="Times New Roman" w:eastAsia="Times New Roman" w:hAnsi="Times New Roman" w:cs="Times New Roman"/>
                <w:b/>
                <w:bCs/>
                <w:szCs w:val="22"/>
                <w:u w:val="single"/>
              </w:rPr>
            </w:pPr>
            <w:r w:rsidRPr="00840DEE">
              <w:rPr>
                <w:rFonts w:ascii="Times New Roman" w:hAnsi="Times New Roman"/>
                <w:bCs/>
                <w:szCs w:val="22"/>
              </w:rPr>
              <w:t>Šo rindu neizmanto, lai maksātspējas koeficientu aprēķinā iekļautu kapitāla posteņus vai atskaitījumus, kuriem nepiemēro Regulu (ES) 2019/2033 vai Regulu (ES) Nr. 575/2013.</w:t>
            </w:r>
          </w:p>
        </w:tc>
      </w:tr>
    </w:tbl>
    <w:p w14:paraId="58A874C7" w14:textId="77777777" w:rsidR="001F2493" w:rsidRPr="00840DEE" w:rsidRDefault="001F2493" w:rsidP="00267DE1">
      <w:pPr>
        <w:rPr>
          <w:rFonts w:ascii="Times New Roman" w:hAnsi="Times New Roman" w:cs="Times New Roman"/>
          <w:b/>
          <w:bCs/>
          <w:sz w:val="24"/>
        </w:rPr>
      </w:pPr>
    </w:p>
    <w:p w14:paraId="5194EAA8" w14:textId="77777777" w:rsidR="00970F84" w:rsidRPr="00840DEE" w:rsidRDefault="00970F84" w:rsidP="00267DE1">
      <w:pPr>
        <w:rPr>
          <w:rFonts w:ascii="Times New Roman" w:hAnsi="Times New Roman" w:cs="Times New Roman"/>
          <w:b/>
          <w:bCs/>
          <w:sz w:val="24"/>
        </w:rPr>
      </w:pPr>
    </w:p>
    <w:p w14:paraId="58FB0C3E" w14:textId="77777777" w:rsidR="00267DE1" w:rsidRPr="00840DEE" w:rsidRDefault="00267DE1" w:rsidP="00267DE1">
      <w:pPr>
        <w:rPr>
          <w:rFonts w:ascii="Times New Roman" w:hAnsi="Times New Roman" w:cs="Times New Roman"/>
          <w:b/>
          <w:bCs/>
          <w:sz w:val="24"/>
        </w:rPr>
      </w:pPr>
      <w:r w:rsidRPr="00840DEE">
        <w:rPr>
          <w:rFonts w:ascii="Times New Roman" w:hAnsi="Times New Roman"/>
          <w:b/>
          <w:bCs/>
          <w:sz w:val="24"/>
        </w:rPr>
        <w:t>Veidne EU I CC2 — Regulējošām prasībām atbilstošā pašu kapitāla saskaņošana ar revidēto finanšu pārskatu bilanci</w:t>
      </w:r>
    </w:p>
    <w:p w14:paraId="32117EDD" w14:textId="77777777" w:rsidR="00267DE1" w:rsidRPr="00840DEE" w:rsidRDefault="00267DE1">
      <w:pPr>
        <w:rPr>
          <w:rFonts w:ascii="Times New Roman" w:hAnsi="Times New Roman" w:cs="Times New Roman"/>
          <w:b/>
          <w:sz w:val="24"/>
        </w:rPr>
      </w:pPr>
    </w:p>
    <w:p w14:paraId="643CC40B" w14:textId="77777777" w:rsidR="00267DE1" w:rsidRPr="00840DEE" w:rsidRDefault="0062489A" w:rsidP="007335CF">
      <w:pPr>
        <w:numPr>
          <w:ilvl w:val="0"/>
          <w:numId w:val="11"/>
        </w:numPr>
        <w:spacing w:before="120" w:after="120"/>
        <w:ind w:left="357" w:hanging="357"/>
        <w:jc w:val="both"/>
        <w:rPr>
          <w:rFonts w:ascii="Times New Roman" w:hAnsi="Times New Roman" w:cs="Times New Roman"/>
          <w:bCs/>
          <w:sz w:val="24"/>
        </w:rPr>
      </w:pPr>
      <w:r w:rsidRPr="00840DEE">
        <w:rPr>
          <w:rFonts w:ascii="Times New Roman" w:hAnsi="Times New Roman"/>
          <w:bCs/>
          <w:sz w:val="24"/>
        </w:rPr>
        <w:t>Ieguldījumu brokeru sabiedrības saskaņā ar Regulas (ES) 2019/2033 49. panta 1. punkta a) apakšpunktu piemēro šajā pielikumā sniegtos norādījumus, lai aizpildītu VI pielikumā sniegto veidni EU I CC2.</w:t>
      </w:r>
    </w:p>
    <w:p w14:paraId="0A39B915" w14:textId="77777777" w:rsidR="00785FA0" w:rsidRPr="00840DEE" w:rsidRDefault="0062489A" w:rsidP="00FC5DAA">
      <w:pPr>
        <w:numPr>
          <w:ilvl w:val="0"/>
          <w:numId w:val="11"/>
        </w:numPr>
        <w:spacing w:before="120" w:after="120"/>
        <w:ind w:left="357" w:hanging="357"/>
        <w:jc w:val="both"/>
        <w:rPr>
          <w:rFonts w:ascii="Times New Roman" w:hAnsi="Times New Roman" w:cs="Times New Roman"/>
          <w:bCs/>
          <w:sz w:val="24"/>
        </w:rPr>
      </w:pPr>
      <w:r w:rsidRPr="00840DEE">
        <w:rPr>
          <w:rFonts w:ascii="Times New Roman" w:hAnsi="Times New Roman"/>
          <w:bCs/>
          <w:sz w:val="24"/>
        </w:rPr>
        <w:t>Ieguldījumu brokeru sabiedrības atklāj to publicētajos finanšu pārskatos iekļautās bilances informāciju. Finanšu pārskati ir revidētie finanšu pārskati, kuros atklāta informācija par laikposmu līdz gada beigām.</w:t>
      </w:r>
    </w:p>
    <w:p w14:paraId="637E215C" w14:textId="77777777" w:rsidR="003156DA" w:rsidRPr="00840DEE" w:rsidRDefault="003156DA" w:rsidP="00FC5DAA">
      <w:pPr>
        <w:numPr>
          <w:ilvl w:val="0"/>
          <w:numId w:val="11"/>
        </w:numPr>
        <w:spacing w:before="120" w:after="120"/>
        <w:ind w:left="357" w:hanging="357"/>
        <w:jc w:val="both"/>
        <w:rPr>
          <w:rFonts w:ascii="Times New Roman" w:hAnsi="Times New Roman" w:cs="Times New Roman"/>
          <w:bCs/>
          <w:sz w:val="24"/>
        </w:rPr>
      </w:pPr>
      <w:r w:rsidRPr="00840DEE">
        <w:rPr>
          <w:rFonts w:ascii="Times New Roman" w:hAnsi="Times New Roman"/>
          <w:bCs/>
          <w:sz w:val="24"/>
        </w:rPr>
        <w:t>Veidnes rindas ir elastīgas, un ieguldījumu brokeru sabiedrības informāciju tajās atklāj atbilstoši saviem finanšu pārskatiem. Revidēto finanšu pārskatu pašu kapitāla posteņos iekļauj visus posteņus, kas ir pašu kapitāla komponenti vai ko atskaita no regulējošām prasībām atbilstošā pašu kapitāla, tostarp kapitāla vērtspapīrus, saistības, piemēram, parāda saistības, vai citas bilances pozīcijas, kas ietekmē regulējošajām prasībām atbilstošo pašu kapitālu, piemēram, nemateriālie aktīvi, nemateriālā vērtība, atliktā nodokļa aktīvi. Ieguldījumu brokeru sabiedrības pēc vajadzības izvērš bilances pašu kapitāla posteņus, lai nodrošinātu, ka visi komponenti, kas iekļauti pašu kapitāla struktūras informācijas atklāšanas veidnē (veidne EU I CC1), tiek norādīti atsevišķi. Ieguldījumu brokeru sabiedrības izvērš bilances elementus tikai tādā granularitātes līmenī, kāds vajadzīgs, lai iegūtu komponentus, kuri vajadzīgi veidnei EU I CC1. Informācijas atklāšana ir proporcionāla ieguldījumu brokeru sabiedrības bilances sarežģītībai.</w:t>
      </w:r>
    </w:p>
    <w:p w14:paraId="78D2B23E" w14:textId="77777777" w:rsidR="00785FA0" w:rsidRPr="00840DEE" w:rsidRDefault="003156DA" w:rsidP="00FC5DAA">
      <w:pPr>
        <w:numPr>
          <w:ilvl w:val="0"/>
          <w:numId w:val="11"/>
        </w:numPr>
        <w:spacing w:before="120" w:after="120"/>
        <w:ind w:left="357" w:hanging="357"/>
        <w:jc w:val="both"/>
        <w:rPr>
          <w:rFonts w:ascii="Times New Roman" w:hAnsi="Times New Roman" w:cs="Times New Roman"/>
          <w:bCs/>
          <w:sz w:val="24"/>
        </w:rPr>
      </w:pPr>
      <w:r w:rsidRPr="00840DEE">
        <w:rPr>
          <w:rFonts w:ascii="Times New Roman" w:hAnsi="Times New Roman"/>
          <w:bCs/>
          <w:sz w:val="24"/>
        </w:rPr>
        <w:t>Slejas ir fiksētas, un informāciju tajās atklāj šādi:</w:t>
      </w:r>
    </w:p>
    <w:p w14:paraId="460CDCF9" w14:textId="77777777" w:rsidR="00785FA0" w:rsidRPr="00840DEE" w:rsidRDefault="00785FA0" w:rsidP="00FC5DAA">
      <w:pPr>
        <w:pStyle w:val="numberedparagraph"/>
        <w:numPr>
          <w:ilvl w:val="1"/>
          <w:numId w:val="12"/>
        </w:numPr>
        <w:tabs>
          <w:tab w:val="clear" w:pos="-180"/>
        </w:tabs>
        <w:ind w:left="709"/>
        <w:rPr>
          <w:rFonts w:ascii="Times New Roman" w:hAnsi="Times New Roman" w:cs="Times New Roman"/>
          <w:sz w:val="24"/>
        </w:rPr>
      </w:pPr>
      <w:r w:rsidRPr="00840DEE">
        <w:rPr>
          <w:rFonts w:ascii="Times New Roman" w:hAnsi="Times New Roman"/>
          <w:sz w:val="24"/>
        </w:rPr>
        <w:t>a sleja: Ieguldījumu brokeru sabiedrības iekļauj skaitļus, kas uzrādīti to bilancē, kura iekļauta to revidētajos finanšu pārskatos saskaņā ar grāmatvedības konsolidācijas tvērumu.</w:t>
      </w:r>
    </w:p>
    <w:p w14:paraId="76861E63" w14:textId="77777777" w:rsidR="00785FA0" w:rsidRPr="00840DEE" w:rsidRDefault="00785FA0" w:rsidP="00EF0EC9">
      <w:pPr>
        <w:pStyle w:val="numberedparagraph"/>
        <w:numPr>
          <w:ilvl w:val="1"/>
          <w:numId w:val="12"/>
        </w:numPr>
        <w:tabs>
          <w:tab w:val="clear" w:pos="-180"/>
        </w:tabs>
        <w:ind w:left="709"/>
        <w:rPr>
          <w:rFonts w:ascii="Times New Roman" w:hAnsi="Times New Roman" w:cs="Times New Roman"/>
          <w:sz w:val="24"/>
        </w:rPr>
      </w:pPr>
      <w:r w:rsidRPr="00840DEE">
        <w:rPr>
          <w:rFonts w:ascii="Times New Roman" w:hAnsi="Times New Roman"/>
          <w:sz w:val="24"/>
        </w:rPr>
        <w:t xml:space="preserve">b sleja: Ieguldījumu brokeru sabiedrības uzrāda skaitļus, kas atbilst konsolidācijas regulatīvajam tvērumam. </w:t>
      </w:r>
    </w:p>
    <w:p w14:paraId="1248A551" w14:textId="77777777" w:rsidR="00785FA0" w:rsidRPr="00840DEE" w:rsidRDefault="00785FA0" w:rsidP="00FC5DAA">
      <w:pPr>
        <w:pStyle w:val="numberedparagraph"/>
        <w:numPr>
          <w:ilvl w:val="1"/>
          <w:numId w:val="12"/>
        </w:numPr>
        <w:tabs>
          <w:tab w:val="clear" w:pos="-180"/>
        </w:tabs>
        <w:ind w:left="709"/>
        <w:rPr>
          <w:rFonts w:ascii="Times New Roman" w:hAnsi="Times New Roman" w:cs="Times New Roman"/>
          <w:sz w:val="24"/>
        </w:rPr>
      </w:pPr>
      <w:r w:rsidRPr="00840DEE">
        <w:rPr>
          <w:rFonts w:ascii="Times New Roman" w:hAnsi="Times New Roman"/>
          <w:sz w:val="24"/>
        </w:rPr>
        <w:t>c sleja: Ieguldījumu brokeru sabiedrības ietver mijnorādi starp pašu kapitāla posteni veidnē EU I CC2 un attiecīgajiem posteņiem pašu kapitāla informācijas atklāšanas veidnē EU I CC1. Atsauce veidnes EU I CC2 c slejā būs saistīta ar atsauci, kas ietverta veidnes EU I CC1 b slejā.</w:t>
      </w:r>
    </w:p>
    <w:p w14:paraId="07FAD6E4" w14:textId="77777777" w:rsidR="009702C5" w:rsidRPr="00840DEE" w:rsidRDefault="001B66D7" w:rsidP="00FC5DAA">
      <w:pPr>
        <w:numPr>
          <w:ilvl w:val="0"/>
          <w:numId w:val="11"/>
        </w:numPr>
        <w:spacing w:before="120" w:after="120"/>
        <w:ind w:left="357" w:hanging="357"/>
        <w:jc w:val="both"/>
        <w:rPr>
          <w:rFonts w:ascii="Times New Roman" w:hAnsi="Times New Roman" w:cs="Times New Roman"/>
          <w:bCs/>
          <w:sz w:val="24"/>
        </w:rPr>
      </w:pPr>
      <w:r w:rsidRPr="00840DEE">
        <w:rPr>
          <w:rFonts w:ascii="Times New Roman" w:hAnsi="Times New Roman"/>
          <w:bCs/>
          <w:sz w:val="24"/>
        </w:rPr>
        <w:lastRenderedPageBreak/>
        <w:t xml:space="preserve"> Šādos gadījumos, kad ieguldījumu brokeru sabiedrību grāmatvedības konsolidācijas tvērums un regulatīvās konsolidācijas tvērums ir vienādi, aizpilda tikai a) sleju, un šo faktu skaidri norāda:</w:t>
      </w:r>
    </w:p>
    <w:p w14:paraId="3D12A0BA" w14:textId="77777777" w:rsidR="00E27884" w:rsidRPr="00840DEE" w:rsidRDefault="009702C5" w:rsidP="00E85018">
      <w:pPr>
        <w:pStyle w:val="numberedparagraph"/>
        <w:numPr>
          <w:ilvl w:val="1"/>
          <w:numId w:val="12"/>
        </w:numPr>
        <w:ind w:left="709"/>
        <w:rPr>
          <w:rFonts w:ascii="Times New Roman" w:hAnsi="Times New Roman" w:cs="Times New Roman"/>
          <w:bCs/>
          <w:sz w:val="24"/>
        </w:rPr>
      </w:pPr>
      <w:r w:rsidRPr="00840DEE">
        <w:rPr>
          <w:rFonts w:ascii="Times New Roman" w:hAnsi="Times New Roman"/>
          <w:sz w:val="24"/>
        </w:rPr>
        <w:t>Ja ieguldījumu brokeru sabiedrības konsolidēti pilda Regulas (ES) 2019/2033 sestajā daļā noteiktās ieguldījumu brokeru sabiedrību prudenciālās prasības, bet konsolidācijas tvērums un konsolidācijas metode, kas finanšu pārskatos izmantota attiecībā uz bilanci, ir identiska Regulas (ES) 2019/2033 pirmās daļas II sadaļas 2. nodaļā definētajam konsolidācijas tvērumam un konsolidācijas metodei, un ieguldījumu brokeru sabiedrības veidnei pievienotajā izklāstā skaidri norāda, ka starp attiecīgajiem konsolidācijas tvērumiem un metodēm nav atšķirību.</w:t>
      </w:r>
    </w:p>
    <w:p w14:paraId="0EACC662" w14:textId="77777777" w:rsidR="009702C5" w:rsidRPr="00840DEE" w:rsidRDefault="009702C5" w:rsidP="00FC5DAA">
      <w:pPr>
        <w:pStyle w:val="numberedparagraph"/>
        <w:numPr>
          <w:ilvl w:val="1"/>
          <w:numId w:val="12"/>
        </w:numPr>
        <w:ind w:left="709"/>
        <w:rPr>
          <w:rFonts w:ascii="Times New Roman" w:hAnsi="Times New Roman" w:cs="Times New Roman"/>
          <w:bCs/>
          <w:sz w:val="24"/>
        </w:rPr>
      </w:pPr>
      <w:r w:rsidRPr="00840DEE">
        <w:rPr>
          <w:rFonts w:ascii="Times New Roman" w:hAnsi="Times New Roman"/>
          <w:sz w:val="24"/>
        </w:rPr>
        <w:t>Ja ieguldījumu brokeru sabiedrības individuāli pilda Regulas (ES) 2019/2033 sestajā daļā noteiktos pienākumus.</w:t>
      </w:r>
    </w:p>
    <w:p w14:paraId="154343AB" w14:textId="77777777" w:rsidR="001B66D7" w:rsidRPr="00840DEE" w:rsidRDefault="001B66D7" w:rsidP="001B66D7">
      <w:pPr>
        <w:pStyle w:val="ListParagraph"/>
        <w:rPr>
          <w:rFonts w:ascii="Times New Roman" w:hAnsi="Times New Roman"/>
          <w:bCs/>
          <w:sz w:val="24"/>
          <w:szCs w:val="24"/>
        </w:rPr>
      </w:pPr>
    </w:p>
    <w:p w14:paraId="5087B516" w14:textId="77777777" w:rsidR="008C700B" w:rsidRPr="00840DEE" w:rsidRDefault="008C700B">
      <w:pPr>
        <w:rPr>
          <w:rFonts w:ascii="Times New Roman" w:hAnsi="Times New Roman" w:cs="Times New Roman"/>
          <w:b/>
          <w:sz w:val="24"/>
        </w:rPr>
      </w:pPr>
      <w:r w:rsidRPr="00840DEE">
        <w:br w:type="page"/>
      </w:r>
    </w:p>
    <w:p w14:paraId="013AEF27" w14:textId="77777777" w:rsidR="004D7854" w:rsidRPr="00840DEE" w:rsidRDefault="00BE4814" w:rsidP="004D7854">
      <w:pPr>
        <w:rPr>
          <w:rFonts w:ascii="Times New Roman" w:hAnsi="Times New Roman" w:cs="Times New Roman"/>
          <w:b/>
          <w:bCs/>
          <w:sz w:val="24"/>
        </w:rPr>
      </w:pPr>
      <w:r w:rsidRPr="00840DEE">
        <w:rPr>
          <w:rFonts w:ascii="Times New Roman" w:hAnsi="Times New Roman"/>
          <w:b/>
          <w:bCs/>
          <w:sz w:val="24"/>
        </w:rPr>
        <w:lastRenderedPageBreak/>
        <w:t>Veidne EU I CCA — Sabiedrības emitēto pašu instrumentu galvenās iezīmes.</w:t>
      </w:r>
    </w:p>
    <w:p w14:paraId="4CF55CB2" w14:textId="77777777" w:rsidR="004D7854" w:rsidRPr="00840DEE" w:rsidRDefault="004D7854" w:rsidP="004D7854">
      <w:pPr>
        <w:rPr>
          <w:rFonts w:ascii="Times New Roman" w:hAnsi="Times New Roman" w:cs="Times New Roman"/>
          <w:b/>
          <w:bCs/>
          <w:sz w:val="24"/>
        </w:rPr>
      </w:pPr>
    </w:p>
    <w:p w14:paraId="7BF1F4F9" w14:textId="77777777" w:rsidR="009658DE" w:rsidRPr="00840DEE" w:rsidRDefault="0062489A" w:rsidP="00FC5DAA">
      <w:pPr>
        <w:numPr>
          <w:ilvl w:val="0"/>
          <w:numId w:val="11"/>
        </w:numPr>
        <w:spacing w:before="120" w:after="120"/>
        <w:ind w:left="357" w:hanging="357"/>
        <w:jc w:val="both"/>
        <w:rPr>
          <w:rFonts w:ascii="Times New Roman" w:hAnsi="Times New Roman" w:cs="Times New Roman"/>
          <w:bCs/>
          <w:sz w:val="24"/>
        </w:rPr>
      </w:pPr>
      <w:r w:rsidRPr="00840DEE">
        <w:rPr>
          <w:rFonts w:ascii="Times New Roman" w:hAnsi="Times New Roman"/>
          <w:bCs/>
          <w:sz w:val="24"/>
        </w:rPr>
        <w:t>Ieguldījumu brokeru sabiedrības saskaņā ar Regulas (ES) 2019/2033 49. panta 1. punkta b) apakšpunktu piemēro šajā pielikumā sniegtos norādījumus, lai aizpildītu VI pielikumā sniegto veidni EU I CCA.</w:t>
      </w:r>
    </w:p>
    <w:p w14:paraId="0C4FF7BC" w14:textId="77777777" w:rsidR="009658DE" w:rsidRPr="00840DEE" w:rsidRDefault="0062489A" w:rsidP="000B30B1">
      <w:pPr>
        <w:numPr>
          <w:ilvl w:val="0"/>
          <w:numId w:val="11"/>
        </w:numPr>
        <w:spacing w:before="120" w:after="120"/>
        <w:ind w:left="357" w:hanging="357"/>
        <w:jc w:val="both"/>
        <w:rPr>
          <w:rFonts w:ascii="Times New Roman" w:hAnsi="Times New Roman" w:cs="Times New Roman"/>
          <w:bCs/>
          <w:sz w:val="24"/>
        </w:rPr>
      </w:pPr>
      <w:r w:rsidRPr="00840DEE">
        <w:rPr>
          <w:rFonts w:ascii="Times New Roman" w:hAnsi="Times New Roman"/>
          <w:bCs/>
          <w:sz w:val="24"/>
        </w:rPr>
        <w:t>Ieguldījumu brokeru sabiedrības aizpilda tabulu EU I CCA attiecībā uz šādām kategorijām: pirmā līmeņa pamata kapitāla instrumentiem, pirmā līmeņa papildu kapitāla instrumentiem un otrā līmeņa kapitāla instrumentiem.</w:t>
      </w:r>
    </w:p>
    <w:p w14:paraId="72DFA3C3" w14:textId="77777777" w:rsidR="009658DE" w:rsidRPr="00840DEE" w:rsidRDefault="009658DE" w:rsidP="00FC5DAA">
      <w:pPr>
        <w:numPr>
          <w:ilvl w:val="0"/>
          <w:numId w:val="11"/>
        </w:numPr>
        <w:spacing w:before="120" w:after="120"/>
        <w:ind w:left="357" w:hanging="357"/>
        <w:jc w:val="both"/>
        <w:rPr>
          <w:rFonts w:ascii="Times New Roman" w:hAnsi="Times New Roman" w:cs="Times New Roman"/>
          <w:bCs/>
          <w:sz w:val="24"/>
        </w:rPr>
      </w:pPr>
      <w:r w:rsidRPr="00840DEE">
        <w:rPr>
          <w:rFonts w:ascii="Times New Roman" w:hAnsi="Times New Roman"/>
          <w:bCs/>
          <w:sz w:val="24"/>
        </w:rPr>
        <w:t>Tabulās ir ietvertas atsevišķas slejas ar katra regulējošajām prasībām atbilstošā kapitāla instrumenta iezīmēm. Ja vienas kategorijas dažādiem instrumentiem ir identiskas iezīmes, ieguldījumu brokeru sabiedrības var aizpildīt tikai vienu sleju, atspoguļojot šīs identiskās iezīmes un uzrādot emisijas, uz kurām identiskās iezīmes attiecas.</w:t>
      </w:r>
      <w:r w:rsidRPr="00840DEE">
        <w:tab/>
      </w:r>
    </w:p>
    <w:p w14:paraId="089A6016" w14:textId="77777777" w:rsidR="008E0B40" w:rsidRPr="00840DEE" w:rsidRDefault="008E0B40" w:rsidP="00E078B5">
      <w:pPr>
        <w:spacing w:before="120" w:after="120"/>
        <w:jc w:val="both"/>
        <w:rPr>
          <w:rFonts w:ascii="Times New Roman" w:hAnsi="Times New Roman" w:cs="Times New Roman"/>
          <w:bCs/>
          <w:sz w:val="24"/>
        </w:rPr>
      </w:pPr>
    </w:p>
    <w:p w14:paraId="2564E35E" w14:textId="77777777" w:rsidR="009658DE" w:rsidRPr="00840DEE" w:rsidRDefault="009658DE" w:rsidP="009658DE">
      <w:pPr>
        <w:rPr>
          <w:rFonts w:ascii="Times New Roman" w:hAnsi="Times New Roman" w:cs="Times New Roman"/>
          <w:sz w:val="24"/>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9658DE" w:rsidRPr="00840DEE" w14:paraId="23D91C69" w14:textId="77777777" w:rsidTr="00E1293C">
        <w:trPr>
          <w:trHeight w:val="259"/>
        </w:trPr>
        <w:tc>
          <w:tcPr>
            <w:tcW w:w="8691" w:type="dxa"/>
            <w:gridSpan w:val="2"/>
            <w:shd w:val="clear" w:color="auto" w:fill="D9D9D9" w:themeFill="background1" w:themeFillShade="D9"/>
          </w:tcPr>
          <w:p w14:paraId="2A73498B" w14:textId="77777777" w:rsidR="009658DE" w:rsidRPr="00840DEE" w:rsidRDefault="009658DE">
            <w:pPr>
              <w:rPr>
                <w:rFonts w:ascii="Times New Roman" w:eastAsia="Times New Roman" w:hAnsi="Times New Roman" w:cs="Times New Roman"/>
                <w:b/>
                <w:bCs/>
                <w:color w:val="000000"/>
                <w:sz w:val="24"/>
              </w:rPr>
            </w:pPr>
            <w:r w:rsidRPr="00840DEE">
              <w:rPr>
                <w:rFonts w:ascii="Times New Roman" w:hAnsi="Times New Roman"/>
                <w:b/>
                <w:bCs/>
                <w:color w:val="000000"/>
                <w:sz w:val="24"/>
              </w:rPr>
              <w:t>Norādījumi par sabiedrības emitēto pašu kapitāla instrumentu galveno iezīmju tabulas aizpildīšanu</w:t>
            </w:r>
          </w:p>
        </w:tc>
      </w:tr>
      <w:tr w:rsidR="00516D85" w:rsidRPr="00840DEE" w14:paraId="20308E3C" w14:textId="77777777" w:rsidTr="00E1293C">
        <w:trPr>
          <w:trHeight w:val="259"/>
        </w:trPr>
        <w:tc>
          <w:tcPr>
            <w:tcW w:w="1030" w:type="dxa"/>
            <w:shd w:val="clear" w:color="auto" w:fill="D9D9D9" w:themeFill="background1" w:themeFillShade="D9"/>
            <w:vAlign w:val="center"/>
          </w:tcPr>
          <w:p w14:paraId="5B23A37D" w14:textId="77777777" w:rsidR="00516D85" w:rsidRPr="00840DEE" w:rsidRDefault="00516D85" w:rsidP="00123F9E">
            <w:pPr>
              <w:rPr>
                <w:rFonts w:ascii="Times New Roman" w:eastAsia="Times New Roman" w:hAnsi="Times New Roman" w:cs="Times New Roman"/>
                <w:b/>
                <w:bCs/>
                <w:color w:val="000000"/>
                <w:sz w:val="24"/>
              </w:rPr>
            </w:pPr>
            <w:r w:rsidRPr="00840DEE">
              <w:rPr>
                <w:rFonts w:ascii="Times New Roman" w:hAnsi="Times New Roman"/>
                <w:b/>
                <w:bCs/>
                <w:color w:val="000000"/>
                <w:sz w:val="24"/>
              </w:rPr>
              <w:t>Rindas numurs</w:t>
            </w:r>
          </w:p>
        </w:tc>
        <w:tc>
          <w:tcPr>
            <w:tcW w:w="7661" w:type="dxa"/>
            <w:shd w:val="clear" w:color="auto" w:fill="D9D9D9" w:themeFill="background1" w:themeFillShade="D9"/>
            <w:noWrap/>
            <w:vAlign w:val="bottom"/>
          </w:tcPr>
          <w:p w14:paraId="0143C6DC" w14:textId="77777777" w:rsidR="00516D85" w:rsidRPr="00840DEE" w:rsidRDefault="00516D85" w:rsidP="00123F9E">
            <w:pPr>
              <w:rPr>
                <w:rFonts w:ascii="Times New Roman" w:eastAsia="Times New Roman" w:hAnsi="Times New Roman" w:cs="Times New Roman"/>
                <w:b/>
                <w:bCs/>
                <w:color w:val="000000"/>
                <w:sz w:val="24"/>
              </w:rPr>
            </w:pPr>
            <w:r w:rsidRPr="00840DEE">
              <w:rPr>
                <w:rFonts w:ascii="Times New Roman" w:hAnsi="Times New Roman"/>
                <w:b/>
                <w:bCs/>
                <w:color w:val="000000"/>
                <w:sz w:val="24"/>
              </w:rPr>
              <w:t>Paskaidrojums</w:t>
            </w:r>
          </w:p>
        </w:tc>
      </w:tr>
      <w:tr w:rsidR="00C60DFD" w:rsidRPr="00840DEE" w14:paraId="1E830EDD" w14:textId="77777777" w:rsidTr="00E1293C">
        <w:trPr>
          <w:trHeight w:val="259"/>
        </w:trPr>
        <w:tc>
          <w:tcPr>
            <w:tcW w:w="1030" w:type="dxa"/>
            <w:vAlign w:val="center"/>
          </w:tcPr>
          <w:p w14:paraId="01CD6300" w14:textId="77777777" w:rsidR="00C60DFD" w:rsidRPr="00840DEE" w:rsidRDefault="00C60DFD" w:rsidP="00C60DFD">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1.</w:t>
            </w:r>
          </w:p>
        </w:tc>
        <w:tc>
          <w:tcPr>
            <w:tcW w:w="7661" w:type="dxa"/>
            <w:shd w:val="clear" w:color="auto" w:fill="auto"/>
            <w:noWrap/>
            <w:vAlign w:val="bottom"/>
          </w:tcPr>
          <w:p w14:paraId="3F5BB5C1" w14:textId="77777777" w:rsidR="00572850" w:rsidRPr="00840DEE" w:rsidRDefault="00572850"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Emitents</w:t>
            </w:r>
          </w:p>
          <w:p w14:paraId="3C587888" w14:textId="77777777" w:rsidR="00C60DFD" w:rsidRPr="00840DEE" w:rsidRDefault="00C60DFD"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Identificē juridisko personu, kas ir emitents.</w:t>
            </w:r>
          </w:p>
          <w:p w14:paraId="2914D02D" w14:textId="77777777" w:rsidR="00C60DFD" w:rsidRPr="00840DEE" w:rsidRDefault="00C60DFD" w:rsidP="00C60DFD">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Teksts brīvā formā</w:t>
            </w:r>
          </w:p>
        </w:tc>
      </w:tr>
      <w:tr w:rsidR="00C60DFD" w:rsidRPr="00840DEE" w14:paraId="57ECD2E1" w14:textId="77777777" w:rsidTr="00E1293C">
        <w:trPr>
          <w:trHeight w:val="259"/>
        </w:trPr>
        <w:tc>
          <w:tcPr>
            <w:tcW w:w="1030" w:type="dxa"/>
            <w:vAlign w:val="center"/>
          </w:tcPr>
          <w:p w14:paraId="24DDF6D3" w14:textId="77777777" w:rsidR="00C60DFD" w:rsidRPr="00840DEE" w:rsidRDefault="00C60DFD" w:rsidP="00C60DFD">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2.</w:t>
            </w:r>
          </w:p>
        </w:tc>
        <w:tc>
          <w:tcPr>
            <w:tcW w:w="7661" w:type="dxa"/>
            <w:shd w:val="clear" w:color="auto" w:fill="auto"/>
            <w:noWrap/>
            <w:vAlign w:val="bottom"/>
          </w:tcPr>
          <w:p w14:paraId="7252BB84" w14:textId="77777777" w:rsidR="00572850" w:rsidRPr="00840DEE" w:rsidRDefault="00572850"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 xml:space="preserve">Unikālais identifikators (piemēram, </w:t>
            </w:r>
            <w:r w:rsidRPr="00840DEE">
              <w:rPr>
                <w:rFonts w:ascii="Times New Roman" w:hAnsi="Times New Roman"/>
                <w:i/>
                <w:sz w:val="24"/>
              </w:rPr>
              <w:t>CUSIP</w:t>
            </w:r>
            <w:r w:rsidRPr="00840DEE">
              <w:rPr>
                <w:rFonts w:ascii="Times New Roman" w:hAnsi="Times New Roman"/>
                <w:sz w:val="24"/>
              </w:rPr>
              <w:t xml:space="preserve">, </w:t>
            </w:r>
            <w:r w:rsidRPr="00840DEE">
              <w:rPr>
                <w:rFonts w:ascii="Times New Roman" w:hAnsi="Times New Roman"/>
                <w:i/>
                <w:sz w:val="24"/>
              </w:rPr>
              <w:t>ISIN</w:t>
            </w:r>
            <w:r w:rsidRPr="00840DEE">
              <w:rPr>
                <w:rFonts w:ascii="Times New Roman" w:hAnsi="Times New Roman"/>
                <w:sz w:val="24"/>
              </w:rPr>
              <w:t xml:space="preserve"> vai </w:t>
            </w:r>
            <w:r w:rsidRPr="00840DEE">
              <w:rPr>
                <w:rFonts w:ascii="Times New Roman" w:hAnsi="Times New Roman"/>
                <w:i/>
                <w:sz w:val="24"/>
              </w:rPr>
              <w:t>Bloomberg</w:t>
            </w:r>
            <w:r w:rsidRPr="00840DEE">
              <w:rPr>
                <w:rFonts w:ascii="Times New Roman" w:hAnsi="Times New Roman"/>
                <w:sz w:val="24"/>
              </w:rPr>
              <w:t xml:space="preserve"> identifikators privātam izvietojumam)</w:t>
            </w:r>
          </w:p>
          <w:p w14:paraId="6AF0A000" w14:textId="77777777" w:rsidR="00C60DFD" w:rsidRPr="00840DEE" w:rsidRDefault="00C60DFD"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 xml:space="preserve">Unikālais identifikators (piemēram, </w:t>
            </w:r>
            <w:r w:rsidRPr="00840DEE">
              <w:rPr>
                <w:rFonts w:ascii="Times New Roman" w:hAnsi="Times New Roman"/>
                <w:i/>
                <w:sz w:val="24"/>
              </w:rPr>
              <w:t>CUSIP</w:t>
            </w:r>
            <w:r w:rsidRPr="00840DEE">
              <w:rPr>
                <w:rFonts w:ascii="Times New Roman" w:hAnsi="Times New Roman"/>
                <w:sz w:val="24"/>
              </w:rPr>
              <w:t xml:space="preserve">, </w:t>
            </w:r>
            <w:r w:rsidRPr="00840DEE">
              <w:rPr>
                <w:rFonts w:ascii="Times New Roman" w:hAnsi="Times New Roman"/>
                <w:i/>
                <w:sz w:val="24"/>
              </w:rPr>
              <w:t>ISIN</w:t>
            </w:r>
            <w:r w:rsidRPr="00840DEE">
              <w:rPr>
                <w:rFonts w:ascii="Times New Roman" w:hAnsi="Times New Roman"/>
                <w:sz w:val="24"/>
              </w:rPr>
              <w:t xml:space="preserve"> vai </w:t>
            </w:r>
            <w:r w:rsidRPr="00840DEE">
              <w:rPr>
                <w:rFonts w:ascii="Times New Roman" w:hAnsi="Times New Roman"/>
                <w:i/>
                <w:sz w:val="24"/>
              </w:rPr>
              <w:t>Bloomberg</w:t>
            </w:r>
            <w:r w:rsidRPr="00840DEE">
              <w:rPr>
                <w:rFonts w:ascii="Times New Roman" w:hAnsi="Times New Roman"/>
                <w:sz w:val="24"/>
              </w:rPr>
              <w:t xml:space="preserve"> identifikators privātam izvietojumam).</w:t>
            </w:r>
          </w:p>
          <w:p w14:paraId="2C371351" w14:textId="77777777" w:rsidR="00C60DFD" w:rsidRPr="00840DEE" w:rsidRDefault="00C60DFD" w:rsidP="00C60DFD">
            <w:pPr>
              <w:spacing w:after="200" w:line="276" w:lineRule="auto"/>
              <w:jc w:val="both"/>
              <w:rPr>
                <w:rFonts w:ascii="Times New Roman" w:eastAsia="Times New Roman" w:hAnsi="Times New Roman" w:cs="Times New Roman"/>
                <w:sz w:val="24"/>
              </w:rPr>
            </w:pPr>
            <w:r w:rsidRPr="00840DEE">
              <w:rPr>
                <w:rFonts w:ascii="Times New Roman" w:hAnsi="Times New Roman"/>
                <w:i/>
                <w:sz w:val="24"/>
              </w:rPr>
              <w:t>Teksts brīvā formā</w:t>
            </w:r>
          </w:p>
        </w:tc>
      </w:tr>
      <w:tr w:rsidR="00C60DFD" w:rsidRPr="00840DEE" w14:paraId="08D895BE" w14:textId="77777777" w:rsidTr="00E1293C">
        <w:trPr>
          <w:trHeight w:val="259"/>
        </w:trPr>
        <w:tc>
          <w:tcPr>
            <w:tcW w:w="1030" w:type="dxa"/>
            <w:vAlign w:val="center"/>
          </w:tcPr>
          <w:p w14:paraId="3362F461" w14:textId="77777777" w:rsidR="00C60DFD" w:rsidRPr="00840DEE" w:rsidRDefault="00C60DFD" w:rsidP="00C60DFD">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3.</w:t>
            </w:r>
          </w:p>
        </w:tc>
        <w:tc>
          <w:tcPr>
            <w:tcW w:w="7661" w:type="dxa"/>
            <w:shd w:val="clear" w:color="auto" w:fill="auto"/>
            <w:noWrap/>
            <w:vAlign w:val="bottom"/>
          </w:tcPr>
          <w:p w14:paraId="764603A1" w14:textId="77777777" w:rsidR="00572850" w:rsidRPr="00840DEE" w:rsidRDefault="00572850" w:rsidP="00C60DFD">
            <w:pPr>
              <w:autoSpaceDE w:val="0"/>
              <w:autoSpaceDN w:val="0"/>
              <w:adjustRightInd w:val="0"/>
              <w:spacing w:after="200" w:line="276" w:lineRule="auto"/>
              <w:jc w:val="both"/>
              <w:rPr>
                <w:rFonts w:ascii="Times New Roman" w:eastAsia="Times New Roman" w:hAnsi="Times New Roman" w:cs="Times New Roman"/>
                <w:sz w:val="24"/>
              </w:rPr>
            </w:pPr>
            <w:r w:rsidRPr="00840DEE">
              <w:rPr>
                <w:rFonts w:ascii="Times New Roman" w:hAnsi="Times New Roman"/>
                <w:sz w:val="24"/>
              </w:rPr>
              <w:t>Publiska vai privāta izvietošana</w:t>
            </w:r>
          </w:p>
          <w:p w14:paraId="770621E2" w14:textId="77777777" w:rsidR="00C60DFD" w:rsidRPr="00840DEE" w:rsidRDefault="00C60DFD" w:rsidP="00C60DFD">
            <w:pPr>
              <w:autoSpaceDE w:val="0"/>
              <w:autoSpaceDN w:val="0"/>
              <w:adjustRightInd w:val="0"/>
              <w:spacing w:after="200" w:line="276" w:lineRule="auto"/>
              <w:jc w:val="both"/>
              <w:rPr>
                <w:rFonts w:ascii="Times New Roman" w:eastAsia="Times New Roman" w:hAnsi="Times New Roman" w:cs="Times New Roman"/>
                <w:sz w:val="24"/>
              </w:rPr>
            </w:pPr>
            <w:r w:rsidRPr="00840DEE">
              <w:rPr>
                <w:rFonts w:ascii="Times New Roman" w:hAnsi="Times New Roman"/>
                <w:sz w:val="24"/>
              </w:rPr>
              <w:t>Precizē, vai instruments izvietots publiski vai privāti.</w:t>
            </w:r>
          </w:p>
          <w:p w14:paraId="414ED89B" w14:textId="77777777" w:rsidR="00C60DFD" w:rsidRPr="00840DEE" w:rsidRDefault="00C60DFD" w:rsidP="00C60DFD">
            <w:pPr>
              <w:spacing w:after="200" w:line="276" w:lineRule="auto"/>
              <w:jc w:val="both"/>
              <w:rPr>
                <w:rFonts w:ascii="Times New Roman" w:eastAsia="Times New Roman" w:hAnsi="Times New Roman" w:cs="Times New Roman"/>
                <w:sz w:val="24"/>
              </w:rPr>
            </w:pPr>
            <w:r w:rsidRPr="00840DEE">
              <w:rPr>
                <w:rFonts w:ascii="Times New Roman" w:hAnsi="Times New Roman"/>
                <w:i/>
                <w:sz w:val="24"/>
              </w:rPr>
              <w:t>Atlasīt no izvēlnes: [Publiska] [Privāta]</w:t>
            </w:r>
          </w:p>
        </w:tc>
      </w:tr>
      <w:tr w:rsidR="00C60DFD" w:rsidRPr="00840DEE" w14:paraId="1DFD7A1A" w14:textId="77777777" w:rsidTr="00E1293C">
        <w:trPr>
          <w:trHeight w:val="259"/>
        </w:trPr>
        <w:tc>
          <w:tcPr>
            <w:tcW w:w="1030" w:type="dxa"/>
            <w:vAlign w:val="center"/>
          </w:tcPr>
          <w:p w14:paraId="77F54EEB" w14:textId="77777777" w:rsidR="00C60DFD" w:rsidRPr="00840DEE" w:rsidRDefault="00C60DFD" w:rsidP="00C60DFD">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4.</w:t>
            </w:r>
          </w:p>
        </w:tc>
        <w:tc>
          <w:tcPr>
            <w:tcW w:w="7661" w:type="dxa"/>
            <w:shd w:val="clear" w:color="auto" w:fill="auto"/>
            <w:noWrap/>
            <w:vAlign w:val="bottom"/>
          </w:tcPr>
          <w:p w14:paraId="18E196B8" w14:textId="77777777" w:rsidR="00F117AF" w:rsidRPr="00840DEE" w:rsidRDefault="00F117AF" w:rsidP="00C60DFD">
            <w:pPr>
              <w:autoSpaceDE w:val="0"/>
              <w:autoSpaceDN w:val="0"/>
              <w:adjustRightInd w:val="0"/>
              <w:spacing w:after="200" w:line="276" w:lineRule="auto"/>
              <w:jc w:val="both"/>
              <w:rPr>
                <w:rFonts w:ascii="Times New Roman" w:eastAsia="Times New Roman" w:hAnsi="Times New Roman" w:cs="Times New Roman"/>
                <w:sz w:val="24"/>
              </w:rPr>
            </w:pPr>
            <w:r w:rsidRPr="00840DEE">
              <w:rPr>
                <w:rFonts w:ascii="Times New Roman" w:hAnsi="Times New Roman"/>
                <w:sz w:val="24"/>
              </w:rPr>
              <w:t>Tiesību akts(-i), kas reglamentē instrumentu</w:t>
            </w:r>
          </w:p>
          <w:p w14:paraId="215FC260" w14:textId="77777777" w:rsidR="00C60DFD" w:rsidRPr="00840DEE" w:rsidRDefault="00C60DFD" w:rsidP="00C60DFD">
            <w:pPr>
              <w:autoSpaceDE w:val="0"/>
              <w:autoSpaceDN w:val="0"/>
              <w:adjustRightInd w:val="0"/>
              <w:spacing w:after="200" w:line="276" w:lineRule="auto"/>
              <w:jc w:val="both"/>
              <w:rPr>
                <w:rFonts w:ascii="Times New Roman" w:eastAsia="Times New Roman" w:hAnsi="Times New Roman" w:cs="Times New Roman"/>
                <w:sz w:val="24"/>
              </w:rPr>
            </w:pPr>
            <w:r w:rsidRPr="00840DEE">
              <w:rPr>
                <w:rFonts w:ascii="Times New Roman" w:hAnsi="Times New Roman"/>
                <w:sz w:val="24"/>
              </w:rPr>
              <w:t xml:space="preserve">Precizē tiesību aktu(-us), kas reglamentē instrumentu. </w:t>
            </w:r>
          </w:p>
          <w:p w14:paraId="71B092D2" w14:textId="77777777" w:rsidR="00C60DFD" w:rsidRPr="00840DEE" w:rsidRDefault="00C60DFD" w:rsidP="00C60DFD">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 xml:space="preserve">Teksts brīvā formā </w:t>
            </w:r>
          </w:p>
        </w:tc>
      </w:tr>
      <w:tr w:rsidR="00C60DFD" w:rsidRPr="00840DEE" w14:paraId="36635829" w14:textId="77777777" w:rsidTr="00E1293C">
        <w:trPr>
          <w:trHeight w:val="259"/>
        </w:trPr>
        <w:tc>
          <w:tcPr>
            <w:tcW w:w="1030" w:type="dxa"/>
            <w:vAlign w:val="center"/>
          </w:tcPr>
          <w:p w14:paraId="2041FC02" w14:textId="77777777" w:rsidR="00C60DFD" w:rsidRPr="00840DEE" w:rsidRDefault="00C60DFD" w:rsidP="00C60DFD">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5.</w:t>
            </w:r>
          </w:p>
        </w:tc>
        <w:tc>
          <w:tcPr>
            <w:tcW w:w="7661" w:type="dxa"/>
            <w:shd w:val="clear" w:color="auto" w:fill="auto"/>
            <w:noWrap/>
            <w:vAlign w:val="bottom"/>
          </w:tcPr>
          <w:p w14:paraId="1E6D93EC" w14:textId="77777777" w:rsidR="00F117AF" w:rsidRPr="00840DEE" w:rsidRDefault="00F117AF"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Instrumenta veids (veidi norāda par katru jurisdikciju)</w:t>
            </w:r>
          </w:p>
          <w:p w14:paraId="6CD08B3D" w14:textId="77777777" w:rsidR="00C60DFD" w:rsidRPr="00840DEE" w:rsidRDefault="00C60DFD"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lastRenderedPageBreak/>
              <w:t xml:space="preserve">Norāda instrumenta veidu atkarībā no jurisdikcijas.  </w:t>
            </w:r>
          </w:p>
          <w:p w14:paraId="177AA071" w14:textId="77777777" w:rsidR="00C60DFD" w:rsidRPr="00840DEE" w:rsidRDefault="00C60DFD" w:rsidP="00C60DFD">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Attiecībā uz pirmā līmeņa pamata kapitālu atlasa instrumenta nosaukumu pirmā līmeņa pamata kapitāla instrumentu sarakstā, ko publicē EBI.</w:t>
            </w:r>
          </w:p>
          <w:p w14:paraId="5669DD80" w14:textId="77777777" w:rsidR="00C60DFD" w:rsidRPr="00840DEE" w:rsidRDefault="00C60DFD" w:rsidP="00C60DFD">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Attiecībā uz citiem instrumentiem atlasa no: izvēlnes iespējas, kas katrai jurisdikcijai jāsniedz ieguldījumu brokeru sabiedrībām — iekļaut atsauces uz Regulas (ES) 2019/2033 normām katram instrumentu veidam.</w:t>
            </w:r>
          </w:p>
        </w:tc>
      </w:tr>
      <w:tr w:rsidR="00C60DFD" w:rsidRPr="00840DEE" w14:paraId="4388CEE8" w14:textId="77777777" w:rsidTr="00E1293C">
        <w:trPr>
          <w:trHeight w:val="259"/>
        </w:trPr>
        <w:tc>
          <w:tcPr>
            <w:tcW w:w="1030" w:type="dxa"/>
            <w:vAlign w:val="center"/>
          </w:tcPr>
          <w:p w14:paraId="1C39DC83" w14:textId="77777777" w:rsidR="00C60DFD" w:rsidRPr="00840DEE" w:rsidRDefault="00C60DFD" w:rsidP="00C60DFD">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lastRenderedPageBreak/>
              <w:t>6.</w:t>
            </w:r>
          </w:p>
        </w:tc>
        <w:tc>
          <w:tcPr>
            <w:tcW w:w="7661" w:type="dxa"/>
            <w:shd w:val="clear" w:color="auto" w:fill="auto"/>
            <w:noWrap/>
            <w:vAlign w:val="bottom"/>
          </w:tcPr>
          <w:p w14:paraId="72CD493B" w14:textId="77777777" w:rsidR="00F117AF" w:rsidRPr="00840DEE" w:rsidRDefault="00F117AF"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Summa, kas atzīta regulējošām prasībām atbilstošā kapitālā (valūta miljonos, sākot no pēdējās pārskata sniegšanas dienas)</w:t>
            </w:r>
          </w:p>
          <w:p w14:paraId="487F4CC0" w14:textId="77777777" w:rsidR="00C60DFD" w:rsidRPr="00840DEE" w:rsidRDefault="00C60DFD"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Norāda summu, kas atzīta regulējošām prasībām atbilstošā pašu kapitālā (kopējā instrumenta summa, kas atzīta pirms pārejas posma noteikumiem attiecīgā informācijas atklāšanas līmenī – valūtā, kuru izmanto, pildot pārskatu sniegšanas pienākumus).</w:t>
            </w:r>
          </w:p>
          <w:p w14:paraId="56B04661" w14:textId="77777777" w:rsidR="00C60DFD" w:rsidRPr="00840DEE" w:rsidRDefault="00C60DFD" w:rsidP="00C60DFD">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Teksts brīvā formā — norādīt jo īpaši, ja dažas instrumentu daļas ir dažādos regulējošām prasībām atbilstoša kapitāla līmeņos un ja summa, kas atzīta regulējošām prasībām atbilstošā pašu kapitālā, atšķiras no emitētās summas.</w:t>
            </w:r>
          </w:p>
        </w:tc>
      </w:tr>
      <w:tr w:rsidR="00C60DFD" w:rsidRPr="00840DEE" w14:paraId="5892A062" w14:textId="77777777" w:rsidTr="00E1293C">
        <w:trPr>
          <w:trHeight w:val="259"/>
        </w:trPr>
        <w:tc>
          <w:tcPr>
            <w:tcW w:w="1030" w:type="dxa"/>
            <w:vAlign w:val="center"/>
          </w:tcPr>
          <w:p w14:paraId="727661AF" w14:textId="77777777" w:rsidR="00C60DFD" w:rsidRPr="00840DEE" w:rsidRDefault="00C60DFD" w:rsidP="00C60DFD">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7.</w:t>
            </w:r>
          </w:p>
        </w:tc>
        <w:tc>
          <w:tcPr>
            <w:tcW w:w="7661" w:type="dxa"/>
            <w:shd w:val="clear" w:color="auto" w:fill="auto"/>
            <w:noWrap/>
            <w:vAlign w:val="bottom"/>
          </w:tcPr>
          <w:p w14:paraId="428E7ABF" w14:textId="77777777" w:rsidR="00F117AF" w:rsidRPr="00840DEE" w:rsidRDefault="00F117AF"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Instrumenta nominālā summa</w:t>
            </w:r>
          </w:p>
          <w:p w14:paraId="6F07DB1C" w14:textId="77777777" w:rsidR="00C60DFD" w:rsidRPr="00840DEE" w:rsidRDefault="00C60DFD"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Instrumenta nominālā summa (emisijas valūtā un valūtā, kuru izmanto, pildot pārskatu sniegšanas pienākumus).</w:t>
            </w:r>
          </w:p>
          <w:p w14:paraId="1B6DA654" w14:textId="77777777" w:rsidR="00C60DFD" w:rsidRPr="00840DEE" w:rsidRDefault="00C60DFD" w:rsidP="00C60DFD">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Teksts brīvā formā</w:t>
            </w:r>
          </w:p>
        </w:tc>
      </w:tr>
      <w:tr w:rsidR="00C60DFD" w:rsidRPr="00840DEE" w14:paraId="7E1278AC" w14:textId="77777777" w:rsidTr="00E1293C">
        <w:trPr>
          <w:trHeight w:val="259"/>
        </w:trPr>
        <w:tc>
          <w:tcPr>
            <w:tcW w:w="1030" w:type="dxa"/>
            <w:vAlign w:val="center"/>
          </w:tcPr>
          <w:p w14:paraId="0C1FAE77" w14:textId="77777777" w:rsidR="00C60DFD" w:rsidRPr="00840DEE" w:rsidRDefault="00C60DFD" w:rsidP="00C60DFD">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8.</w:t>
            </w:r>
          </w:p>
        </w:tc>
        <w:tc>
          <w:tcPr>
            <w:tcW w:w="7661" w:type="dxa"/>
            <w:shd w:val="clear" w:color="auto" w:fill="auto"/>
            <w:noWrap/>
            <w:vAlign w:val="bottom"/>
          </w:tcPr>
          <w:p w14:paraId="3674BD0F" w14:textId="77777777" w:rsidR="00F117AF" w:rsidRPr="00840DEE" w:rsidRDefault="00F117AF"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Emisijas cena</w:t>
            </w:r>
          </w:p>
          <w:p w14:paraId="3785BA46" w14:textId="77777777" w:rsidR="00C60DFD" w:rsidRPr="00840DEE" w:rsidRDefault="00C60DFD"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Instrumenta emisijas cena.</w:t>
            </w:r>
          </w:p>
          <w:p w14:paraId="2047D065" w14:textId="77777777" w:rsidR="00C60DFD" w:rsidRPr="00840DEE" w:rsidRDefault="00C60DFD" w:rsidP="00C60DFD">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Teksts brīvā formā</w:t>
            </w:r>
          </w:p>
        </w:tc>
      </w:tr>
      <w:tr w:rsidR="00C60DFD" w:rsidRPr="00840DEE" w14:paraId="519CFCE8" w14:textId="77777777" w:rsidTr="00E1293C">
        <w:trPr>
          <w:trHeight w:val="259"/>
        </w:trPr>
        <w:tc>
          <w:tcPr>
            <w:tcW w:w="1030" w:type="dxa"/>
            <w:vAlign w:val="center"/>
          </w:tcPr>
          <w:p w14:paraId="25AC515A" w14:textId="77777777" w:rsidR="00C60DFD" w:rsidRPr="00840DEE" w:rsidRDefault="00C60DFD" w:rsidP="00C60DFD">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9.</w:t>
            </w:r>
          </w:p>
        </w:tc>
        <w:tc>
          <w:tcPr>
            <w:tcW w:w="7661" w:type="dxa"/>
            <w:shd w:val="clear" w:color="auto" w:fill="auto"/>
            <w:noWrap/>
            <w:vAlign w:val="bottom"/>
          </w:tcPr>
          <w:p w14:paraId="5EB9AEB4" w14:textId="77777777" w:rsidR="00F117AF" w:rsidRPr="00840DEE" w:rsidRDefault="00F117AF"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Dzēšanas cena</w:t>
            </w:r>
          </w:p>
          <w:p w14:paraId="14701466" w14:textId="77777777" w:rsidR="00C60DFD" w:rsidRPr="00840DEE" w:rsidRDefault="00C60DFD"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Instrumenta dzēšanas cena.</w:t>
            </w:r>
          </w:p>
          <w:p w14:paraId="2ACB3AD6" w14:textId="77777777" w:rsidR="00C60DFD" w:rsidRPr="00840DEE" w:rsidRDefault="00C60DFD" w:rsidP="00C60DFD">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Teksts brīvā formā</w:t>
            </w:r>
          </w:p>
        </w:tc>
      </w:tr>
      <w:tr w:rsidR="00C60DFD" w:rsidRPr="00840DEE" w14:paraId="5A99C9F0" w14:textId="77777777" w:rsidTr="00E1293C">
        <w:trPr>
          <w:trHeight w:val="259"/>
        </w:trPr>
        <w:tc>
          <w:tcPr>
            <w:tcW w:w="1030" w:type="dxa"/>
            <w:vAlign w:val="center"/>
          </w:tcPr>
          <w:p w14:paraId="0E9F2FF8" w14:textId="77777777" w:rsidR="00C60DFD" w:rsidRPr="00840DEE" w:rsidRDefault="00C60DFD" w:rsidP="00C60DFD">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10.</w:t>
            </w:r>
          </w:p>
        </w:tc>
        <w:tc>
          <w:tcPr>
            <w:tcW w:w="7661" w:type="dxa"/>
            <w:shd w:val="clear" w:color="auto" w:fill="auto"/>
            <w:noWrap/>
            <w:vAlign w:val="bottom"/>
          </w:tcPr>
          <w:p w14:paraId="0BFFEEDA" w14:textId="77777777" w:rsidR="00F117AF" w:rsidRPr="00840DEE" w:rsidRDefault="00F117AF"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Uzskaites klasifikācija</w:t>
            </w:r>
          </w:p>
          <w:p w14:paraId="747AC5AF" w14:textId="77777777" w:rsidR="00C60DFD" w:rsidRPr="00840DEE" w:rsidRDefault="00C60DFD"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 xml:space="preserve">Norāda uzskaites klasifikāciju.  </w:t>
            </w:r>
          </w:p>
          <w:p w14:paraId="24FEB606" w14:textId="77777777" w:rsidR="00C60DFD" w:rsidRPr="00840DEE" w:rsidRDefault="00C60DFD" w:rsidP="00C60DFD">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Atlasīt no izvēlnes: [Akcionāru pašu kapitāls] [Saistības — amortizētajās izmaksās] [Saistības — patiesās vērtības iespēja] [Nekontrolējoša līdzdalība konsolidētā meitasuzņēmumā]</w:t>
            </w:r>
          </w:p>
        </w:tc>
      </w:tr>
      <w:tr w:rsidR="00C60DFD" w:rsidRPr="00840DEE" w14:paraId="1E3220B6" w14:textId="77777777" w:rsidTr="00E1293C">
        <w:trPr>
          <w:trHeight w:val="259"/>
        </w:trPr>
        <w:tc>
          <w:tcPr>
            <w:tcW w:w="1030" w:type="dxa"/>
            <w:vAlign w:val="center"/>
          </w:tcPr>
          <w:p w14:paraId="58E4DA25" w14:textId="77777777" w:rsidR="00C60DFD" w:rsidRPr="00840DEE" w:rsidRDefault="00C60DFD" w:rsidP="00C60DFD">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lastRenderedPageBreak/>
              <w:t>11.</w:t>
            </w:r>
          </w:p>
        </w:tc>
        <w:tc>
          <w:tcPr>
            <w:tcW w:w="7661" w:type="dxa"/>
            <w:shd w:val="clear" w:color="auto" w:fill="auto"/>
            <w:noWrap/>
            <w:vAlign w:val="bottom"/>
          </w:tcPr>
          <w:p w14:paraId="5E91B51A" w14:textId="77777777" w:rsidR="00F117AF" w:rsidRPr="00840DEE" w:rsidRDefault="00F117AF"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Emisijas sākotnējais datums</w:t>
            </w:r>
          </w:p>
          <w:p w14:paraId="16DD835C" w14:textId="77777777" w:rsidR="00C60DFD" w:rsidRPr="00840DEE" w:rsidRDefault="00C60DFD"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Norāda emisijas datumu.</w:t>
            </w:r>
          </w:p>
          <w:p w14:paraId="4B051CE3" w14:textId="77777777" w:rsidR="00C60DFD" w:rsidRPr="00840DEE" w:rsidRDefault="00C60DFD" w:rsidP="00C60DFD">
            <w:pPr>
              <w:spacing w:after="200" w:line="276" w:lineRule="auto"/>
              <w:jc w:val="both"/>
              <w:rPr>
                <w:rFonts w:ascii="Times New Roman" w:eastAsia="Times New Roman" w:hAnsi="Times New Roman" w:cs="Times New Roman"/>
                <w:sz w:val="24"/>
              </w:rPr>
            </w:pPr>
            <w:r w:rsidRPr="00840DEE">
              <w:rPr>
                <w:rFonts w:ascii="Times New Roman" w:hAnsi="Times New Roman"/>
                <w:i/>
                <w:sz w:val="24"/>
              </w:rPr>
              <w:t>Teksts brīvā formā</w:t>
            </w:r>
          </w:p>
        </w:tc>
      </w:tr>
      <w:tr w:rsidR="00C60DFD" w:rsidRPr="00840DEE" w14:paraId="6FB7CC1C" w14:textId="77777777" w:rsidTr="00E1293C">
        <w:trPr>
          <w:trHeight w:val="259"/>
        </w:trPr>
        <w:tc>
          <w:tcPr>
            <w:tcW w:w="1030" w:type="dxa"/>
            <w:vAlign w:val="center"/>
          </w:tcPr>
          <w:p w14:paraId="041D9D58" w14:textId="77777777" w:rsidR="00C60DFD" w:rsidRPr="00840DEE" w:rsidRDefault="00C60DFD" w:rsidP="00C60DFD">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12.</w:t>
            </w:r>
          </w:p>
        </w:tc>
        <w:tc>
          <w:tcPr>
            <w:tcW w:w="7661" w:type="dxa"/>
            <w:shd w:val="clear" w:color="auto" w:fill="auto"/>
            <w:noWrap/>
            <w:vAlign w:val="bottom"/>
          </w:tcPr>
          <w:p w14:paraId="7F29E76C" w14:textId="77777777" w:rsidR="00F117AF" w:rsidRPr="00840DEE" w:rsidRDefault="00F117AF"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Beztermiņa vai ar termiņu</w:t>
            </w:r>
          </w:p>
          <w:p w14:paraId="05A00BC1" w14:textId="77777777" w:rsidR="00C60DFD" w:rsidRPr="00840DEE" w:rsidRDefault="00C60DFD"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Norāda, vai ar termiņu vai beztermiņa.</w:t>
            </w:r>
          </w:p>
          <w:p w14:paraId="67EFA5C8" w14:textId="77777777" w:rsidR="00C60DFD" w:rsidRPr="00840DEE" w:rsidRDefault="00C60DFD" w:rsidP="00C60DFD">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Atlasīt no izvēlnes: [Beztermiņa] [Ar termiņu]</w:t>
            </w:r>
          </w:p>
        </w:tc>
      </w:tr>
      <w:tr w:rsidR="00C60DFD" w:rsidRPr="00840DEE" w14:paraId="54E1FDE9" w14:textId="77777777" w:rsidTr="00E1293C">
        <w:trPr>
          <w:trHeight w:val="259"/>
        </w:trPr>
        <w:tc>
          <w:tcPr>
            <w:tcW w:w="1030" w:type="dxa"/>
            <w:vAlign w:val="center"/>
          </w:tcPr>
          <w:p w14:paraId="791E41EF" w14:textId="77777777" w:rsidR="00C60DFD" w:rsidRPr="00840DEE" w:rsidRDefault="00C60DFD" w:rsidP="00C60DFD">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13.</w:t>
            </w:r>
          </w:p>
        </w:tc>
        <w:tc>
          <w:tcPr>
            <w:tcW w:w="7661" w:type="dxa"/>
            <w:shd w:val="clear" w:color="auto" w:fill="auto"/>
            <w:noWrap/>
            <w:vAlign w:val="bottom"/>
          </w:tcPr>
          <w:p w14:paraId="18D46018" w14:textId="77777777" w:rsidR="00F117AF" w:rsidRPr="00840DEE" w:rsidRDefault="00F117AF"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Sākotnējā termiņa datums</w:t>
            </w:r>
          </w:p>
          <w:p w14:paraId="26772C59" w14:textId="77777777" w:rsidR="00C60DFD" w:rsidRPr="00840DEE" w:rsidRDefault="00C60DFD"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 xml:space="preserve">Instrumentam ar termiņu norāda sākotnējā termiņa datumu (diena, mēnesis un gads). Beztermiņa instrumentam norāda “beztermiņa”. </w:t>
            </w:r>
          </w:p>
          <w:p w14:paraId="44ED0B94" w14:textId="77777777" w:rsidR="00C60DFD" w:rsidRPr="00840DEE" w:rsidRDefault="00C60DFD" w:rsidP="00C60DFD">
            <w:pPr>
              <w:spacing w:after="200" w:line="276" w:lineRule="auto"/>
              <w:jc w:val="both"/>
              <w:rPr>
                <w:rFonts w:ascii="Times New Roman" w:eastAsia="Times New Roman" w:hAnsi="Times New Roman" w:cs="Times New Roman"/>
                <w:sz w:val="24"/>
              </w:rPr>
            </w:pPr>
            <w:r w:rsidRPr="00840DEE">
              <w:rPr>
                <w:rFonts w:ascii="Times New Roman" w:hAnsi="Times New Roman"/>
                <w:i/>
                <w:sz w:val="24"/>
              </w:rPr>
              <w:t>Teksts brīvā formā</w:t>
            </w:r>
          </w:p>
        </w:tc>
      </w:tr>
      <w:tr w:rsidR="00C60DFD" w:rsidRPr="00840DEE" w14:paraId="67BFFF3E" w14:textId="77777777" w:rsidTr="00E1293C">
        <w:trPr>
          <w:trHeight w:val="259"/>
        </w:trPr>
        <w:tc>
          <w:tcPr>
            <w:tcW w:w="1030" w:type="dxa"/>
            <w:vAlign w:val="center"/>
          </w:tcPr>
          <w:p w14:paraId="7CD6C8FB" w14:textId="77777777" w:rsidR="00C60DFD" w:rsidRPr="00840DEE" w:rsidRDefault="00C60DFD" w:rsidP="00C60DFD">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14.</w:t>
            </w:r>
          </w:p>
        </w:tc>
        <w:tc>
          <w:tcPr>
            <w:tcW w:w="7661" w:type="dxa"/>
            <w:shd w:val="clear" w:color="auto" w:fill="auto"/>
            <w:noWrap/>
            <w:vAlign w:val="bottom"/>
          </w:tcPr>
          <w:p w14:paraId="56E93041" w14:textId="77777777" w:rsidR="00F117AF" w:rsidRPr="00840DEE" w:rsidRDefault="00F117AF"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Emitenta atsaukšanas iespēja, attiecībā uz kuru jāsaņem iepriekšējs uzraudzības iestāžu apstiprinājums</w:t>
            </w:r>
          </w:p>
          <w:p w14:paraId="4AED1D2E" w14:textId="77777777" w:rsidR="00C60DFD" w:rsidRPr="00840DEE" w:rsidRDefault="00C60DFD"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Norāda, vai pastāv emitentam paredzēta atsaukšanas iespēja (visu veidu atsaukšanas iespējas).</w:t>
            </w:r>
          </w:p>
          <w:p w14:paraId="05855950" w14:textId="77777777" w:rsidR="00C60DFD" w:rsidRPr="00840DEE" w:rsidRDefault="00C60DFD" w:rsidP="00C60DFD">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Atlasīt no izvēlnes: [Jā] [Nē]</w:t>
            </w:r>
          </w:p>
        </w:tc>
      </w:tr>
      <w:tr w:rsidR="00C60DFD" w:rsidRPr="00840DEE" w14:paraId="7A70799E" w14:textId="77777777" w:rsidTr="00E1293C">
        <w:trPr>
          <w:trHeight w:val="259"/>
        </w:trPr>
        <w:tc>
          <w:tcPr>
            <w:tcW w:w="1030" w:type="dxa"/>
            <w:vAlign w:val="center"/>
          </w:tcPr>
          <w:p w14:paraId="4BAFDBAB" w14:textId="77777777" w:rsidR="00C60DFD" w:rsidRPr="00840DEE" w:rsidRDefault="00C60DFD" w:rsidP="00C60DFD">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15.</w:t>
            </w:r>
          </w:p>
        </w:tc>
        <w:tc>
          <w:tcPr>
            <w:tcW w:w="7661" w:type="dxa"/>
            <w:shd w:val="clear" w:color="auto" w:fill="auto"/>
            <w:noWrap/>
            <w:vAlign w:val="bottom"/>
          </w:tcPr>
          <w:p w14:paraId="348B0969" w14:textId="77777777" w:rsidR="00F117AF" w:rsidRPr="00840DEE" w:rsidRDefault="00F117AF"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Atsaukšanas datums pēc izvēles, iespējamie atsaukšanas datumi un dzēšanas summa</w:t>
            </w:r>
          </w:p>
          <w:p w14:paraId="54F4D643" w14:textId="77777777" w:rsidR="00C60DFD" w:rsidRPr="00840DEE" w:rsidRDefault="00C60DFD"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Instrumentam, kura emitentam paredzēta atsaukšanas iespēja, norāda pirmo atsaukšanas iespējas datumu, ja instrumentam atsaukšanas iespēja paredzēta noteiktā datumā (diena, mēnesis un gads), un turklāt norāda, vai instrumentam paredzēta atsaukšana nodokļu un/vai regulatīvajā gadījumā. Norāda arī dzēšanas cenu. Palīdz novērtēt pastāvību.</w:t>
            </w:r>
          </w:p>
          <w:p w14:paraId="4FCCAF5E" w14:textId="77777777" w:rsidR="00C60DFD" w:rsidRPr="00840DEE" w:rsidRDefault="00C60DFD" w:rsidP="00C60DFD">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Teksts brīvā formā</w:t>
            </w:r>
          </w:p>
        </w:tc>
      </w:tr>
      <w:tr w:rsidR="00C60DFD" w:rsidRPr="00840DEE" w14:paraId="460AAA20" w14:textId="77777777" w:rsidTr="00E1293C">
        <w:trPr>
          <w:trHeight w:val="259"/>
        </w:trPr>
        <w:tc>
          <w:tcPr>
            <w:tcW w:w="1030" w:type="dxa"/>
            <w:vAlign w:val="center"/>
          </w:tcPr>
          <w:p w14:paraId="47F6A5BF" w14:textId="77777777" w:rsidR="00C60DFD" w:rsidRPr="00840DEE" w:rsidRDefault="00C60DFD" w:rsidP="00C60DFD">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16.</w:t>
            </w:r>
          </w:p>
        </w:tc>
        <w:tc>
          <w:tcPr>
            <w:tcW w:w="7661" w:type="dxa"/>
            <w:shd w:val="clear" w:color="auto" w:fill="auto"/>
            <w:noWrap/>
            <w:vAlign w:val="bottom"/>
          </w:tcPr>
          <w:p w14:paraId="5C417A42" w14:textId="77777777" w:rsidR="00F117AF" w:rsidRPr="00840DEE" w:rsidRDefault="00F117AF"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Attiecīgā gadījumā — vēlāki atsaukšanas datumi</w:t>
            </w:r>
          </w:p>
          <w:p w14:paraId="56FC2911" w14:textId="77777777" w:rsidR="00C60DFD" w:rsidRPr="00840DEE" w:rsidRDefault="00C60DFD" w:rsidP="00C60DFD">
            <w:pPr>
              <w:spacing w:after="200" w:line="276" w:lineRule="auto"/>
              <w:jc w:val="both"/>
              <w:rPr>
                <w:rFonts w:ascii="Times New Roman" w:eastAsia="Times New Roman" w:hAnsi="Times New Roman" w:cs="Times New Roman"/>
                <w:sz w:val="24"/>
              </w:rPr>
            </w:pPr>
            <w:r w:rsidRPr="00840DEE">
              <w:rPr>
                <w:rFonts w:ascii="Times New Roman" w:hAnsi="Times New Roman"/>
                <w:sz w:val="24"/>
              </w:rPr>
              <w:t>Attiecīgā gadījumā norāda, vai pastāv turpmāki atsaukšanas datumi, un to biežumu. Palīdz novērtēt pastāvību.</w:t>
            </w:r>
          </w:p>
          <w:p w14:paraId="22C04B04" w14:textId="77777777" w:rsidR="00C60DFD" w:rsidRPr="00840DEE" w:rsidRDefault="00C60DFD" w:rsidP="00C60DFD">
            <w:pPr>
              <w:spacing w:after="200" w:line="276" w:lineRule="auto"/>
              <w:jc w:val="both"/>
              <w:rPr>
                <w:rFonts w:ascii="Times New Roman" w:eastAsia="Times New Roman" w:hAnsi="Times New Roman" w:cs="Times New Roman"/>
                <w:sz w:val="24"/>
              </w:rPr>
            </w:pPr>
            <w:r w:rsidRPr="00840DEE">
              <w:rPr>
                <w:rFonts w:ascii="Times New Roman" w:hAnsi="Times New Roman"/>
                <w:i/>
                <w:sz w:val="24"/>
              </w:rPr>
              <w:t>Teksts brīvā formā</w:t>
            </w:r>
          </w:p>
        </w:tc>
      </w:tr>
      <w:tr w:rsidR="00A179AB" w:rsidRPr="00840DEE" w14:paraId="76A19BA2" w14:textId="77777777" w:rsidTr="00E1293C">
        <w:trPr>
          <w:trHeight w:val="259"/>
        </w:trPr>
        <w:tc>
          <w:tcPr>
            <w:tcW w:w="1030" w:type="dxa"/>
            <w:vAlign w:val="center"/>
          </w:tcPr>
          <w:p w14:paraId="222D6704"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17.</w:t>
            </w:r>
          </w:p>
        </w:tc>
        <w:tc>
          <w:tcPr>
            <w:tcW w:w="7661" w:type="dxa"/>
            <w:shd w:val="clear" w:color="auto" w:fill="auto"/>
            <w:noWrap/>
            <w:vAlign w:val="bottom"/>
          </w:tcPr>
          <w:p w14:paraId="42D5D2AE" w14:textId="77777777" w:rsidR="00F117AF" w:rsidRPr="00840DEE" w:rsidRDefault="00F117AF" w:rsidP="00A179AB">
            <w:pPr>
              <w:autoSpaceDE w:val="0"/>
              <w:autoSpaceDN w:val="0"/>
              <w:adjustRightInd w:val="0"/>
              <w:spacing w:after="200" w:line="276" w:lineRule="auto"/>
              <w:jc w:val="both"/>
              <w:rPr>
                <w:rFonts w:ascii="Times New Roman" w:eastAsia="Times New Roman" w:hAnsi="Times New Roman" w:cs="Times New Roman"/>
                <w:sz w:val="24"/>
              </w:rPr>
            </w:pPr>
            <w:r w:rsidRPr="00840DEE">
              <w:rPr>
                <w:rFonts w:ascii="Times New Roman" w:hAnsi="Times New Roman"/>
                <w:sz w:val="24"/>
              </w:rPr>
              <w:t>Fiksētas vai mainīgas dividendes/kuponi</w:t>
            </w:r>
          </w:p>
          <w:p w14:paraId="200028F7" w14:textId="77777777" w:rsidR="00A179AB" w:rsidRPr="00840DEE" w:rsidRDefault="00A179AB" w:rsidP="00A179AB">
            <w:pPr>
              <w:autoSpaceDE w:val="0"/>
              <w:autoSpaceDN w:val="0"/>
              <w:adjustRightInd w:val="0"/>
              <w:spacing w:after="200" w:line="276" w:lineRule="auto"/>
              <w:jc w:val="both"/>
              <w:rPr>
                <w:rFonts w:ascii="Times New Roman" w:eastAsia="Times New Roman" w:hAnsi="Times New Roman" w:cs="Times New Roman"/>
                <w:sz w:val="24"/>
              </w:rPr>
            </w:pPr>
            <w:r w:rsidRPr="00840DEE">
              <w:rPr>
                <w:rFonts w:ascii="Times New Roman" w:hAnsi="Times New Roman"/>
                <w:sz w:val="24"/>
              </w:rPr>
              <w:lastRenderedPageBreak/>
              <w:t xml:space="preserve">Norāda, vai kupons/dividendes ir: fiksēti vai mainīgi instrumenta darbības laikā, vai pašreiz fiksēti, bet kļūs par mainīgas likmes nākotnē, vai pašreiz mainīgas, bet kļūs par fiksētas likmes nākotnē. </w:t>
            </w:r>
          </w:p>
          <w:p w14:paraId="413057B5" w14:textId="77777777" w:rsidR="00A179AB" w:rsidRPr="00840DEE" w:rsidRDefault="00A179AB" w:rsidP="00A179AB">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 xml:space="preserve">Atlasīt no izvēlnes: [Fiksētas likmes] [Mainīgas likmes] [No fiksētas uz mainīgu likmi] [No mainīgas uz fiksētu likmi] </w:t>
            </w:r>
          </w:p>
        </w:tc>
      </w:tr>
      <w:tr w:rsidR="00A179AB" w:rsidRPr="00840DEE" w14:paraId="06EEB6EF" w14:textId="77777777" w:rsidTr="00E1293C">
        <w:trPr>
          <w:trHeight w:val="259"/>
        </w:trPr>
        <w:tc>
          <w:tcPr>
            <w:tcW w:w="1030" w:type="dxa"/>
            <w:vAlign w:val="center"/>
          </w:tcPr>
          <w:p w14:paraId="30DC90BC"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lastRenderedPageBreak/>
              <w:t>18.</w:t>
            </w:r>
          </w:p>
        </w:tc>
        <w:tc>
          <w:tcPr>
            <w:tcW w:w="7661" w:type="dxa"/>
            <w:shd w:val="clear" w:color="auto" w:fill="auto"/>
            <w:noWrap/>
            <w:vAlign w:val="bottom"/>
          </w:tcPr>
          <w:p w14:paraId="18A951F1" w14:textId="77777777" w:rsidR="00F117AF" w:rsidRPr="00840DEE" w:rsidRDefault="00F117AF" w:rsidP="00A179AB">
            <w:pPr>
              <w:autoSpaceDE w:val="0"/>
              <w:autoSpaceDN w:val="0"/>
              <w:adjustRightInd w:val="0"/>
              <w:spacing w:after="200" w:line="276" w:lineRule="auto"/>
              <w:jc w:val="both"/>
              <w:rPr>
                <w:rFonts w:ascii="Times New Roman" w:eastAsia="Times New Roman" w:hAnsi="Times New Roman" w:cs="Times New Roman"/>
                <w:sz w:val="24"/>
              </w:rPr>
            </w:pPr>
            <w:r w:rsidRPr="00840DEE">
              <w:rPr>
                <w:rFonts w:ascii="Times New Roman" w:hAnsi="Times New Roman"/>
                <w:sz w:val="24"/>
              </w:rPr>
              <w:t>Kupona likme un jebkāds ar to saistīts indekss</w:t>
            </w:r>
          </w:p>
          <w:p w14:paraId="32B955A1" w14:textId="77777777" w:rsidR="00A179AB" w:rsidRPr="00840DEE" w:rsidRDefault="00A179AB" w:rsidP="00A179AB">
            <w:pPr>
              <w:autoSpaceDE w:val="0"/>
              <w:autoSpaceDN w:val="0"/>
              <w:adjustRightInd w:val="0"/>
              <w:spacing w:after="200" w:line="276" w:lineRule="auto"/>
              <w:jc w:val="both"/>
              <w:rPr>
                <w:rFonts w:ascii="Times New Roman" w:eastAsia="Times New Roman" w:hAnsi="Times New Roman" w:cs="Times New Roman"/>
                <w:sz w:val="24"/>
              </w:rPr>
            </w:pPr>
            <w:r w:rsidRPr="00840DEE">
              <w:rPr>
                <w:rFonts w:ascii="Times New Roman" w:hAnsi="Times New Roman"/>
                <w:sz w:val="24"/>
              </w:rPr>
              <w:t xml:space="preserve">Norāda instrumenta kupona likmi un jebkādu attiecīgo indeksu, ar ko saistīta kuponu/dividenžu likme. </w:t>
            </w:r>
          </w:p>
          <w:p w14:paraId="0B16DB7B" w14:textId="77777777" w:rsidR="00A179AB" w:rsidRPr="00840DEE" w:rsidRDefault="00A179AB" w:rsidP="00A179AB">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 xml:space="preserve">Teksts brīvā formā </w:t>
            </w:r>
          </w:p>
        </w:tc>
      </w:tr>
      <w:tr w:rsidR="00A179AB" w:rsidRPr="00840DEE" w14:paraId="2C1033C2" w14:textId="77777777" w:rsidTr="00D418D6">
        <w:trPr>
          <w:trHeight w:val="2983"/>
        </w:trPr>
        <w:tc>
          <w:tcPr>
            <w:tcW w:w="1030" w:type="dxa"/>
            <w:vAlign w:val="center"/>
          </w:tcPr>
          <w:p w14:paraId="0EEC999D"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19.</w:t>
            </w:r>
          </w:p>
        </w:tc>
        <w:tc>
          <w:tcPr>
            <w:tcW w:w="7661" w:type="dxa"/>
            <w:shd w:val="clear" w:color="auto" w:fill="auto"/>
            <w:noWrap/>
            <w:vAlign w:val="bottom"/>
          </w:tcPr>
          <w:p w14:paraId="25CDC4A6" w14:textId="77777777" w:rsidR="00F117AF" w:rsidRPr="00840DEE" w:rsidRDefault="00F117AF" w:rsidP="00A179AB">
            <w:pPr>
              <w:autoSpaceDE w:val="0"/>
              <w:autoSpaceDN w:val="0"/>
              <w:adjustRightInd w:val="0"/>
              <w:spacing w:after="200" w:line="276" w:lineRule="auto"/>
              <w:jc w:val="both"/>
              <w:rPr>
                <w:rFonts w:ascii="Times New Roman" w:eastAsia="Times New Roman" w:hAnsi="Times New Roman" w:cs="Times New Roman"/>
                <w:sz w:val="24"/>
              </w:rPr>
            </w:pPr>
            <w:r w:rsidRPr="00840DEE">
              <w:rPr>
                <w:rFonts w:ascii="Times New Roman" w:hAnsi="Times New Roman"/>
                <w:sz w:val="24"/>
              </w:rPr>
              <w:t>Dividenžu bloķēšanas noteikumu esamība</w:t>
            </w:r>
          </w:p>
          <w:p w14:paraId="61FDD903" w14:textId="77777777" w:rsidR="00A179AB" w:rsidRPr="00840DEE" w:rsidRDefault="00A179AB" w:rsidP="00A179AB">
            <w:pPr>
              <w:autoSpaceDE w:val="0"/>
              <w:autoSpaceDN w:val="0"/>
              <w:adjustRightInd w:val="0"/>
              <w:spacing w:after="200" w:line="276" w:lineRule="auto"/>
              <w:jc w:val="both"/>
              <w:rPr>
                <w:rFonts w:ascii="Times New Roman" w:eastAsia="Times New Roman" w:hAnsi="Times New Roman" w:cs="Times New Roman"/>
                <w:sz w:val="24"/>
              </w:rPr>
            </w:pPr>
            <w:r w:rsidRPr="00840DEE">
              <w:rPr>
                <w:rFonts w:ascii="Times New Roman" w:hAnsi="Times New Roman"/>
                <w:sz w:val="24"/>
              </w:rPr>
              <w:t xml:space="preserve">Norāda, vai instrumenta kuponu vai dividenžu neizmaksāšana aizliedz izmaksāt dividendes par parastajām akcijām (t. i., vai pastāv dividenžu bloķēšanas noteikumi). </w:t>
            </w:r>
          </w:p>
          <w:p w14:paraId="627B3795" w14:textId="77777777" w:rsidR="00A179AB" w:rsidRPr="00840DEE" w:rsidRDefault="00A179AB" w:rsidP="00A179AB">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 xml:space="preserve">Atlasīt no izvēlnes: [jā], [nē] </w:t>
            </w:r>
          </w:p>
        </w:tc>
      </w:tr>
      <w:tr w:rsidR="00A179AB" w:rsidRPr="00840DEE" w14:paraId="3F349EB5" w14:textId="77777777" w:rsidTr="00E1293C">
        <w:trPr>
          <w:trHeight w:val="259"/>
        </w:trPr>
        <w:tc>
          <w:tcPr>
            <w:tcW w:w="1030" w:type="dxa"/>
            <w:vAlign w:val="center"/>
          </w:tcPr>
          <w:p w14:paraId="049E7126"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20.</w:t>
            </w:r>
          </w:p>
        </w:tc>
        <w:tc>
          <w:tcPr>
            <w:tcW w:w="7661" w:type="dxa"/>
            <w:shd w:val="clear" w:color="auto" w:fill="auto"/>
            <w:noWrap/>
            <w:vAlign w:val="bottom"/>
          </w:tcPr>
          <w:p w14:paraId="4D675FD9" w14:textId="77777777" w:rsidR="00F117AF" w:rsidRPr="00840DEE" w:rsidRDefault="00F117AF"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 xml:space="preserve"> Ar pilnu rīcības brīvību, ar daļēju rīcības brīvību vai obligāti (laika ziņā)</w:t>
            </w:r>
          </w:p>
          <w:p w14:paraId="11D4E5A5" w14:textId="77777777" w:rsidR="00A179AB" w:rsidRPr="00840DEE" w:rsidRDefault="00A179AB"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Norāda, vai emitentam ir pilna vai daļēja rīcības brīvība, vai nav rīcības brīvības lemt par kuponu/dividenžu izmaksu. Ja iestādei ir pilna rīcības brīvība atcelt kuponu/dividenžu maksājumus jebkurā gadījumā, tad tā atzīmē izvēli “ar pilnu rīcības brīvību” (tostarp, ja pastāv tādi dividenžu bloķēšanas noteikumi, kas nevar kavēt iestādi atcelt maksājumus par instrumentu). Ja pastāv nosacījumi, kas jāizpilda, pirms var atcelt maksājumu (piemēram, pašu kapitāls nepārsniedz noteiktu līmeni), iestāde atzīmē izvēli “ar daļēju rīcības brīvību”. Ja iestāde nevar atcelt maksājumu, nepastāvot maksātnespējai, iestādei jāatzīmē izvēle “obligāti”.</w:t>
            </w:r>
          </w:p>
          <w:p w14:paraId="2F7AAE4E" w14:textId="77777777" w:rsidR="00A179AB" w:rsidRPr="00840DEE" w:rsidRDefault="00A179AB" w:rsidP="00A179AB">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Atlasīt no izvēlnes: [Ar pilnu rīcības brīvību] [Ar daļēju rīcības brīvību] [Obligāti]</w:t>
            </w:r>
          </w:p>
          <w:p w14:paraId="107DA521" w14:textId="77777777" w:rsidR="00A179AB" w:rsidRPr="00840DEE" w:rsidRDefault="00A179AB" w:rsidP="00A179AB">
            <w:pPr>
              <w:spacing w:after="200" w:line="276" w:lineRule="auto"/>
              <w:jc w:val="both"/>
              <w:rPr>
                <w:rFonts w:ascii="Times New Roman" w:eastAsia="Times New Roman" w:hAnsi="Times New Roman" w:cs="Times New Roman"/>
                <w:sz w:val="24"/>
              </w:rPr>
            </w:pPr>
            <w:r w:rsidRPr="00840DEE">
              <w:rPr>
                <w:rFonts w:ascii="Times New Roman" w:hAnsi="Times New Roman"/>
                <w:i/>
                <w:sz w:val="24"/>
              </w:rPr>
              <w:t>Brīvs teksts (norādot rīcības brīvības iemeslus, vai pastāv dividenžu obligātas izmaksas noteikumi, dividenžu bloķēšanas noteikumi, AMKI — alternatīvs mehānisms kuponu izmaksāšanai)</w:t>
            </w:r>
          </w:p>
        </w:tc>
      </w:tr>
      <w:tr w:rsidR="00A179AB" w:rsidRPr="00840DEE" w14:paraId="175D64E2" w14:textId="77777777" w:rsidTr="00E1293C">
        <w:trPr>
          <w:trHeight w:val="259"/>
        </w:trPr>
        <w:tc>
          <w:tcPr>
            <w:tcW w:w="1030" w:type="dxa"/>
            <w:vAlign w:val="center"/>
          </w:tcPr>
          <w:p w14:paraId="60B956AD"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21.</w:t>
            </w:r>
          </w:p>
        </w:tc>
        <w:tc>
          <w:tcPr>
            <w:tcW w:w="7661" w:type="dxa"/>
            <w:shd w:val="clear" w:color="auto" w:fill="auto"/>
            <w:noWrap/>
            <w:vAlign w:val="bottom"/>
          </w:tcPr>
          <w:p w14:paraId="413F0B48" w14:textId="77777777" w:rsidR="00F117AF" w:rsidRPr="00840DEE" w:rsidRDefault="00F117AF"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Ar pilnu rīcības brīvību, ar daļēju rīcības brīvību vai obligāti (summas ziņā)</w:t>
            </w:r>
          </w:p>
          <w:p w14:paraId="2AA09A3B" w14:textId="77777777" w:rsidR="00A179AB" w:rsidRPr="00840DEE" w:rsidRDefault="00A179AB"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lastRenderedPageBreak/>
              <w:t>Norāda, vai emitentam ir pilna vai daļēja rīcības brīvība, vai nav rīcības brīvības lemt par kuponu/dividenžu summu.</w:t>
            </w:r>
          </w:p>
          <w:p w14:paraId="6E499170" w14:textId="77777777" w:rsidR="00A179AB" w:rsidRPr="00840DEE" w:rsidRDefault="00A179AB" w:rsidP="00A179AB">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Atlasīt no izvēlnes: [Ar pilnu rīcības brīvību] [Ar daļēju rīcības brīvību] [Obligāti]</w:t>
            </w:r>
          </w:p>
        </w:tc>
      </w:tr>
      <w:tr w:rsidR="00A179AB" w:rsidRPr="00840DEE" w14:paraId="504D091A" w14:textId="77777777" w:rsidTr="00E1293C">
        <w:trPr>
          <w:trHeight w:val="259"/>
        </w:trPr>
        <w:tc>
          <w:tcPr>
            <w:tcW w:w="1030" w:type="dxa"/>
            <w:vAlign w:val="center"/>
          </w:tcPr>
          <w:p w14:paraId="74F3FADB"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lastRenderedPageBreak/>
              <w:t>22.</w:t>
            </w:r>
          </w:p>
        </w:tc>
        <w:tc>
          <w:tcPr>
            <w:tcW w:w="7661" w:type="dxa"/>
            <w:shd w:val="clear" w:color="auto" w:fill="auto"/>
            <w:noWrap/>
            <w:vAlign w:val="bottom"/>
          </w:tcPr>
          <w:p w14:paraId="4EEB8BB5" w14:textId="77777777" w:rsidR="00F117AF" w:rsidRPr="00840DEE" w:rsidRDefault="00F117AF"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 xml:space="preserve"> Pieaugošu maksājumu vai citu dzēšanu veicinošu nosacījumu esība</w:t>
            </w:r>
          </w:p>
          <w:p w14:paraId="3D5B8B2D" w14:textId="77777777" w:rsidR="00A179AB" w:rsidRPr="00840DEE" w:rsidRDefault="00A179AB"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Norāda, vai pastāv pieaugoši maksājumi vai citi dzēšanu veicinoši nosacījumi.</w:t>
            </w:r>
          </w:p>
          <w:p w14:paraId="7BF710D0" w14:textId="77777777" w:rsidR="00A179AB" w:rsidRPr="00840DEE" w:rsidRDefault="00A179AB" w:rsidP="00A179AB">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Atlasīt no izvēlnes: [Jā] [Nē]</w:t>
            </w:r>
          </w:p>
        </w:tc>
      </w:tr>
      <w:tr w:rsidR="00A179AB" w:rsidRPr="00840DEE" w14:paraId="7E785652" w14:textId="77777777" w:rsidTr="00E1293C">
        <w:trPr>
          <w:trHeight w:val="259"/>
        </w:trPr>
        <w:tc>
          <w:tcPr>
            <w:tcW w:w="1030" w:type="dxa"/>
            <w:vAlign w:val="center"/>
          </w:tcPr>
          <w:p w14:paraId="366308EE"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23.</w:t>
            </w:r>
          </w:p>
        </w:tc>
        <w:tc>
          <w:tcPr>
            <w:tcW w:w="7661" w:type="dxa"/>
            <w:shd w:val="clear" w:color="auto" w:fill="auto"/>
            <w:noWrap/>
            <w:vAlign w:val="bottom"/>
          </w:tcPr>
          <w:p w14:paraId="105A6E2D" w14:textId="77777777" w:rsidR="00F117AF" w:rsidRPr="00840DEE" w:rsidRDefault="00F117AF"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Nekumulatīvi vai kumulatīvi</w:t>
            </w:r>
          </w:p>
          <w:p w14:paraId="78417469" w14:textId="77777777" w:rsidR="00A179AB" w:rsidRPr="00840DEE" w:rsidRDefault="00A179AB"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Norāda, vai dividendes/kuponi ir kumulatīvi vai nekumulatīvi.</w:t>
            </w:r>
          </w:p>
          <w:p w14:paraId="021BC59A" w14:textId="77777777" w:rsidR="00A179AB" w:rsidRPr="00840DEE" w:rsidRDefault="00A179AB" w:rsidP="00A179AB">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Atlasīt no izvēlnes: [Nekumulatīvi] [Kumulatīvi] [AMKI]</w:t>
            </w:r>
          </w:p>
        </w:tc>
      </w:tr>
      <w:tr w:rsidR="00A179AB" w:rsidRPr="00840DEE" w14:paraId="65BE59AC" w14:textId="77777777" w:rsidTr="00E1293C">
        <w:trPr>
          <w:trHeight w:val="259"/>
        </w:trPr>
        <w:tc>
          <w:tcPr>
            <w:tcW w:w="1030" w:type="dxa"/>
            <w:vAlign w:val="center"/>
          </w:tcPr>
          <w:p w14:paraId="69947C87"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24.</w:t>
            </w:r>
          </w:p>
        </w:tc>
        <w:tc>
          <w:tcPr>
            <w:tcW w:w="7661" w:type="dxa"/>
            <w:shd w:val="clear" w:color="auto" w:fill="auto"/>
            <w:noWrap/>
            <w:vAlign w:val="bottom"/>
          </w:tcPr>
          <w:p w14:paraId="007A37D0" w14:textId="77777777" w:rsidR="00F117AF" w:rsidRPr="00840DEE" w:rsidRDefault="00F117AF"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Konvertējami vai nekonvertējami</w:t>
            </w:r>
          </w:p>
          <w:p w14:paraId="6BBBE833" w14:textId="77777777" w:rsidR="00A179AB" w:rsidRPr="00840DEE" w:rsidRDefault="00A179AB"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 xml:space="preserve">Norāda, vai instruments ir konvertējams vai nav.  </w:t>
            </w:r>
          </w:p>
          <w:p w14:paraId="22C7CADE" w14:textId="77777777" w:rsidR="00A179AB" w:rsidRPr="00840DEE" w:rsidRDefault="00A179AB" w:rsidP="00A179AB">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Atlasīt no izvēlnes: [Konvertējams] [Nekonvertējams]</w:t>
            </w:r>
          </w:p>
        </w:tc>
      </w:tr>
      <w:tr w:rsidR="00A179AB" w:rsidRPr="00840DEE" w14:paraId="081F5332" w14:textId="77777777" w:rsidTr="00E1293C">
        <w:trPr>
          <w:trHeight w:val="259"/>
        </w:trPr>
        <w:tc>
          <w:tcPr>
            <w:tcW w:w="1030" w:type="dxa"/>
            <w:vAlign w:val="center"/>
          </w:tcPr>
          <w:p w14:paraId="52831012"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25.</w:t>
            </w:r>
          </w:p>
        </w:tc>
        <w:tc>
          <w:tcPr>
            <w:tcW w:w="7661" w:type="dxa"/>
            <w:shd w:val="clear" w:color="auto" w:fill="auto"/>
            <w:noWrap/>
            <w:vAlign w:val="bottom"/>
          </w:tcPr>
          <w:p w14:paraId="090C74A9" w14:textId="77777777" w:rsidR="00F117AF" w:rsidRPr="00840DEE" w:rsidRDefault="00F117AF"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 xml:space="preserve"> Ja konvertējams, norāda konvertācijas izraisītājmehānismu(-us)</w:t>
            </w:r>
          </w:p>
          <w:p w14:paraId="3DE41D02" w14:textId="77777777" w:rsidR="00A179AB" w:rsidRPr="00840DEE" w:rsidRDefault="00A179AB"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Precizē nosacījumus, saskaņā ar kuriem šis instruments tiks konvertēts, tostarp dzīvotspējas zuduma kritēriju. Ja viena vai vairākas iestādes var ierosināt konvertēšanu, tad šīs iestādes uzskaita. Attiecībā uz katru no iestādēm norāda, vai juridiskais pamats iestādei ierosināt konvertēšanu ir instrumenta līguma noteikumi (līgumiskā pieeja), vai arī šāds juridiskais pamats ir noteikts tiesību aktos (tiesību aktu pieeja).</w:t>
            </w:r>
          </w:p>
          <w:p w14:paraId="7339B69B" w14:textId="77777777" w:rsidR="00A179AB" w:rsidRPr="00840DEE" w:rsidRDefault="00A179AB" w:rsidP="00A179AB">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Teksts brīvā formā</w:t>
            </w:r>
          </w:p>
        </w:tc>
      </w:tr>
      <w:tr w:rsidR="00A179AB" w:rsidRPr="00840DEE" w14:paraId="3F0E8BED" w14:textId="77777777" w:rsidTr="00E1293C">
        <w:trPr>
          <w:trHeight w:val="259"/>
        </w:trPr>
        <w:tc>
          <w:tcPr>
            <w:tcW w:w="1030" w:type="dxa"/>
            <w:vAlign w:val="center"/>
          </w:tcPr>
          <w:p w14:paraId="34C75472"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26.</w:t>
            </w:r>
          </w:p>
        </w:tc>
        <w:tc>
          <w:tcPr>
            <w:tcW w:w="7661" w:type="dxa"/>
            <w:shd w:val="clear" w:color="auto" w:fill="auto"/>
            <w:noWrap/>
            <w:vAlign w:val="bottom"/>
          </w:tcPr>
          <w:p w14:paraId="5DFF647E" w14:textId="77777777" w:rsidR="00F117AF" w:rsidRPr="00840DEE" w:rsidRDefault="00F117AF"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Ja konvertējami — pilnībā vai daļēji</w:t>
            </w:r>
          </w:p>
          <w:p w14:paraId="29BF0FC4" w14:textId="77777777" w:rsidR="00A179AB" w:rsidRPr="00840DEE" w:rsidRDefault="00A179AB"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Norāda, vai instruments vienmēr tiks konvertēts pilnībā, to var konvertēt pilnībā vai daļēji vai arī tas vienmēr tiks konvertēts daļēji.</w:t>
            </w:r>
          </w:p>
          <w:p w14:paraId="21CC8B73" w14:textId="77777777" w:rsidR="00A179AB" w:rsidRPr="00840DEE" w:rsidRDefault="00A179AB" w:rsidP="00A179AB">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Atlasīt no izvēlnes: [Vienmēr pilnībā] [Pilnībā vai daļēji] [Vienmēr daļēji]</w:t>
            </w:r>
          </w:p>
        </w:tc>
      </w:tr>
      <w:tr w:rsidR="00A179AB" w:rsidRPr="00840DEE" w14:paraId="460D4222" w14:textId="77777777" w:rsidTr="00E1293C">
        <w:trPr>
          <w:trHeight w:val="259"/>
        </w:trPr>
        <w:tc>
          <w:tcPr>
            <w:tcW w:w="1030" w:type="dxa"/>
            <w:vAlign w:val="center"/>
          </w:tcPr>
          <w:p w14:paraId="2C1AD213"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27.</w:t>
            </w:r>
          </w:p>
        </w:tc>
        <w:tc>
          <w:tcPr>
            <w:tcW w:w="7661" w:type="dxa"/>
            <w:shd w:val="clear" w:color="auto" w:fill="auto"/>
            <w:noWrap/>
            <w:vAlign w:val="bottom"/>
          </w:tcPr>
          <w:p w14:paraId="1BF9E79D" w14:textId="77777777" w:rsidR="00F117AF" w:rsidRPr="00840DEE" w:rsidRDefault="00F117AF"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Ja konvertējami — konvertācijas likme</w:t>
            </w:r>
          </w:p>
          <w:p w14:paraId="5D373B2A" w14:textId="77777777" w:rsidR="00A179AB" w:rsidRPr="00840DEE" w:rsidRDefault="00A179AB"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 xml:space="preserve">Norāda likmi konvertēšanai instrumentā, kas vairāk absorbē zaudējumus. </w:t>
            </w:r>
          </w:p>
          <w:p w14:paraId="2AE59EE3" w14:textId="77777777" w:rsidR="00A179AB" w:rsidRPr="00840DEE" w:rsidRDefault="00A179AB" w:rsidP="00A179AB">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Teksts brīvā formā</w:t>
            </w:r>
          </w:p>
        </w:tc>
      </w:tr>
      <w:tr w:rsidR="00A179AB" w:rsidRPr="00840DEE" w14:paraId="7D3BE4ED" w14:textId="77777777" w:rsidTr="00E1293C">
        <w:trPr>
          <w:trHeight w:val="259"/>
        </w:trPr>
        <w:tc>
          <w:tcPr>
            <w:tcW w:w="1030" w:type="dxa"/>
            <w:vAlign w:val="center"/>
          </w:tcPr>
          <w:p w14:paraId="05AED9C3"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lastRenderedPageBreak/>
              <w:t>28.</w:t>
            </w:r>
          </w:p>
        </w:tc>
        <w:tc>
          <w:tcPr>
            <w:tcW w:w="7661" w:type="dxa"/>
            <w:shd w:val="clear" w:color="auto" w:fill="auto"/>
            <w:noWrap/>
            <w:vAlign w:val="bottom"/>
          </w:tcPr>
          <w:p w14:paraId="1FE4C54A" w14:textId="77777777" w:rsidR="00F117AF" w:rsidRPr="00840DEE" w:rsidRDefault="00F117AF"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 xml:space="preserve"> Ja konvertējami — obligāta vai izvēles konvertācija</w:t>
            </w:r>
          </w:p>
          <w:p w14:paraId="26716B3F" w14:textId="77777777" w:rsidR="00A179AB" w:rsidRPr="00840DEE" w:rsidRDefault="00A179AB"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 xml:space="preserve">Attiecībā uz konvertējamiem instrumentiem norāda, vai konvertēšana ir obligāta vai pēc izvēles. </w:t>
            </w:r>
          </w:p>
          <w:p w14:paraId="682C0EAD" w14:textId="77777777" w:rsidR="00A179AB" w:rsidRPr="00840DEE" w:rsidRDefault="00A179AB" w:rsidP="00A179AB">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Atlasīt no izvēlnes: [Obligāta] [Pēc izvēles] [NA] un [pēc turētāju izvēles] [pēc emitenta izvēles] [pēc turētāju un pēc emitenta izvēles]</w:t>
            </w:r>
          </w:p>
        </w:tc>
      </w:tr>
      <w:tr w:rsidR="00A179AB" w:rsidRPr="00840DEE" w14:paraId="7DAFAD8A" w14:textId="77777777" w:rsidTr="00E1293C">
        <w:trPr>
          <w:trHeight w:val="259"/>
        </w:trPr>
        <w:tc>
          <w:tcPr>
            <w:tcW w:w="1030" w:type="dxa"/>
            <w:vAlign w:val="center"/>
          </w:tcPr>
          <w:p w14:paraId="7DCA4F61"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29.</w:t>
            </w:r>
          </w:p>
        </w:tc>
        <w:tc>
          <w:tcPr>
            <w:tcW w:w="7661" w:type="dxa"/>
            <w:shd w:val="clear" w:color="auto" w:fill="auto"/>
            <w:noWrap/>
            <w:vAlign w:val="bottom"/>
          </w:tcPr>
          <w:p w14:paraId="55544309" w14:textId="77777777" w:rsidR="00F117AF" w:rsidRPr="00840DEE" w:rsidRDefault="00F117AF"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Ja konvertējami, norādīt tā instrumenta veidu, kurā konvertē</w:t>
            </w:r>
          </w:p>
          <w:p w14:paraId="1C9C816B" w14:textId="77777777" w:rsidR="00A179AB" w:rsidRPr="00840DEE" w:rsidRDefault="00A179AB"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 xml:space="preserve">Konvertējamiem instrumentiem norāda instrumenta, kurā notiek konvertēšana, veidu. </w:t>
            </w:r>
          </w:p>
          <w:p w14:paraId="3B1DB4D9" w14:textId="77777777" w:rsidR="00A179AB" w:rsidRPr="00840DEE" w:rsidRDefault="00A179AB" w:rsidP="00A179AB">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Atlasīt no izvēlnes: [Pirmā līmeņa pamata kapitāla instrumenti] [Pirmā līmeņa papildu kapitāla instrumenti] [Otrā līmeņa kapitāla instrumenti] [Citi]</w:t>
            </w:r>
          </w:p>
        </w:tc>
      </w:tr>
      <w:tr w:rsidR="00A179AB" w:rsidRPr="00840DEE" w14:paraId="084BCAB4" w14:textId="77777777" w:rsidTr="00E1293C">
        <w:trPr>
          <w:trHeight w:val="259"/>
        </w:trPr>
        <w:tc>
          <w:tcPr>
            <w:tcW w:w="1030" w:type="dxa"/>
            <w:vAlign w:val="center"/>
          </w:tcPr>
          <w:p w14:paraId="57A176A0"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30.</w:t>
            </w:r>
          </w:p>
        </w:tc>
        <w:tc>
          <w:tcPr>
            <w:tcW w:w="7661" w:type="dxa"/>
            <w:shd w:val="clear" w:color="auto" w:fill="auto"/>
            <w:noWrap/>
            <w:vAlign w:val="bottom"/>
          </w:tcPr>
          <w:p w14:paraId="6850BCC0" w14:textId="77777777" w:rsidR="00F117AF" w:rsidRPr="00840DEE" w:rsidRDefault="00F117AF"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Ja konvertējami, norādīt tā instrumenta emitentu, kurā instrumentu konvertē</w:t>
            </w:r>
          </w:p>
          <w:p w14:paraId="7C660FC7" w14:textId="77777777" w:rsidR="00A179AB" w:rsidRPr="00840DEE" w:rsidRDefault="00A179AB"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Ja konvertējams, tad norāda instrumenta, kurā notiek konvertēšana, emitentu.</w:t>
            </w:r>
          </w:p>
          <w:p w14:paraId="7278330F" w14:textId="77777777" w:rsidR="00A179AB" w:rsidRPr="00840DEE" w:rsidRDefault="00A179AB" w:rsidP="00A179AB">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Teksts brīvā formā</w:t>
            </w:r>
          </w:p>
        </w:tc>
      </w:tr>
      <w:tr w:rsidR="00A179AB" w:rsidRPr="00840DEE" w14:paraId="6A1A75ED" w14:textId="77777777" w:rsidTr="00E1293C">
        <w:trPr>
          <w:trHeight w:val="259"/>
        </w:trPr>
        <w:tc>
          <w:tcPr>
            <w:tcW w:w="1030" w:type="dxa"/>
            <w:vAlign w:val="center"/>
          </w:tcPr>
          <w:p w14:paraId="5EABFF6E"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31.</w:t>
            </w:r>
          </w:p>
        </w:tc>
        <w:tc>
          <w:tcPr>
            <w:tcW w:w="7661" w:type="dxa"/>
            <w:shd w:val="clear" w:color="auto" w:fill="auto"/>
            <w:noWrap/>
            <w:vAlign w:val="bottom"/>
          </w:tcPr>
          <w:p w14:paraId="077306F7" w14:textId="77777777" w:rsidR="00F117AF" w:rsidRPr="00840DEE" w:rsidRDefault="00F117AF"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Vērtības samazināšanas iezīmes</w:t>
            </w:r>
          </w:p>
          <w:p w14:paraId="62DEE9B3" w14:textId="77777777" w:rsidR="00A179AB" w:rsidRPr="00840DEE" w:rsidRDefault="00A179AB"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 xml:space="preserve">Norāda, vai pastāv samazināšanas iespēja. </w:t>
            </w:r>
          </w:p>
          <w:p w14:paraId="1CB86C2B" w14:textId="77777777" w:rsidR="00A179AB" w:rsidRPr="00840DEE" w:rsidRDefault="00A179AB" w:rsidP="00A179AB">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Atlasīt no izvēlnes: [Jā] [Nē]</w:t>
            </w:r>
          </w:p>
        </w:tc>
      </w:tr>
      <w:tr w:rsidR="00A179AB" w:rsidRPr="00840DEE" w14:paraId="6E20DD23" w14:textId="77777777" w:rsidTr="00E1293C">
        <w:trPr>
          <w:trHeight w:val="259"/>
        </w:trPr>
        <w:tc>
          <w:tcPr>
            <w:tcW w:w="1030" w:type="dxa"/>
            <w:vAlign w:val="center"/>
          </w:tcPr>
          <w:p w14:paraId="142AE9CE"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32.</w:t>
            </w:r>
          </w:p>
        </w:tc>
        <w:tc>
          <w:tcPr>
            <w:tcW w:w="7661" w:type="dxa"/>
            <w:shd w:val="clear" w:color="auto" w:fill="auto"/>
            <w:noWrap/>
            <w:vAlign w:val="bottom"/>
          </w:tcPr>
          <w:p w14:paraId="4D583C1B" w14:textId="77777777" w:rsidR="00F117AF" w:rsidRPr="00840DEE" w:rsidRDefault="00F117AF" w:rsidP="00A179AB">
            <w:pPr>
              <w:autoSpaceDE w:val="0"/>
              <w:autoSpaceDN w:val="0"/>
              <w:adjustRightInd w:val="0"/>
              <w:spacing w:after="200" w:line="276" w:lineRule="auto"/>
              <w:jc w:val="both"/>
              <w:rPr>
                <w:rFonts w:ascii="Times New Roman" w:eastAsia="Times New Roman" w:hAnsi="Times New Roman" w:cs="Times New Roman"/>
                <w:sz w:val="24"/>
              </w:rPr>
            </w:pPr>
            <w:r w:rsidRPr="00840DEE">
              <w:rPr>
                <w:rFonts w:ascii="Times New Roman" w:hAnsi="Times New Roman"/>
                <w:sz w:val="24"/>
              </w:rPr>
              <w:t>Ja vērtība samazināta — samazināšanas izraisītājmehānisms(-i)</w:t>
            </w:r>
          </w:p>
          <w:p w14:paraId="4D06C175" w14:textId="77777777" w:rsidR="00A179AB" w:rsidRPr="00840DEE" w:rsidRDefault="00A179AB" w:rsidP="00A179AB">
            <w:pPr>
              <w:autoSpaceDE w:val="0"/>
              <w:autoSpaceDN w:val="0"/>
              <w:adjustRightInd w:val="0"/>
              <w:spacing w:after="200" w:line="276" w:lineRule="auto"/>
              <w:jc w:val="both"/>
              <w:rPr>
                <w:rFonts w:ascii="Times New Roman" w:eastAsia="Times New Roman" w:hAnsi="Times New Roman" w:cs="Times New Roman"/>
                <w:sz w:val="24"/>
              </w:rPr>
            </w:pPr>
            <w:r w:rsidRPr="00840DEE">
              <w:rPr>
                <w:rFonts w:ascii="Times New Roman" w:hAnsi="Times New Roman"/>
                <w:sz w:val="24"/>
              </w:rPr>
              <w:t xml:space="preserve">Norāda izraisītājmehānismus, tostarp dzīvotspējas zuduma kritēriju, pēc kuru sasniegšanas veic vērtības samazināšanu. Ja viena vai vairākas iestādes var ierosināt vērtības samazināšanu, tad šīs iestādes uzskaita. Attiecībā uz katru no iestādēm norāda, vai juridiskais pamats iestādei ierosināt vērtības samazināšanu ir instrumenta līguma noteikumi (līgumiskā pieeja), vai arī šāds juridiskais pamats ir noteikts tiesību aktos (tiesību aktu pieeja). </w:t>
            </w:r>
          </w:p>
          <w:p w14:paraId="173883B1" w14:textId="77777777" w:rsidR="00A179AB" w:rsidRPr="00840DEE" w:rsidRDefault="00A179AB" w:rsidP="00A179AB">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Teksts brīvā formā</w:t>
            </w:r>
          </w:p>
        </w:tc>
      </w:tr>
      <w:tr w:rsidR="00A179AB" w:rsidRPr="00840DEE" w14:paraId="74CD3AE3" w14:textId="77777777" w:rsidTr="00E1293C">
        <w:trPr>
          <w:trHeight w:val="259"/>
        </w:trPr>
        <w:tc>
          <w:tcPr>
            <w:tcW w:w="1030" w:type="dxa"/>
            <w:vAlign w:val="center"/>
          </w:tcPr>
          <w:p w14:paraId="7DD07E9F"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33.</w:t>
            </w:r>
          </w:p>
        </w:tc>
        <w:tc>
          <w:tcPr>
            <w:tcW w:w="7661" w:type="dxa"/>
            <w:shd w:val="clear" w:color="auto" w:fill="auto"/>
            <w:noWrap/>
            <w:vAlign w:val="bottom"/>
          </w:tcPr>
          <w:p w14:paraId="4296A428" w14:textId="77777777" w:rsidR="00F117AF" w:rsidRPr="00840DEE" w:rsidRDefault="00F117AF"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Ja vērtība samazināta — pilnībā vai daļēji samazināta</w:t>
            </w:r>
          </w:p>
          <w:p w14:paraId="282458E4" w14:textId="77777777" w:rsidR="00A179AB" w:rsidRPr="00840DEE" w:rsidRDefault="00A179AB"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Norāda, vai instruments vienmēr tiks pilnībā samazināts, to var samazināt daļēji vai arī tas vienmēr tiks samazināts daļēji. Palīdz novērtēt spēju absorbēt zaudējumus, veicot vērtības samazināšanu.</w:t>
            </w:r>
          </w:p>
          <w:p w14:paraId="1572EBD0" w14:textId="77777777" w:rsidR="00A179AB" w:rsidRPr="00840DEE" w:rsidRDefault="00A179AB" w:rsidP="00A179AB">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 xml:space="preserve">Atlasīt no izvēlnes: [Vienmēr pilnībā] [Pilnībā vai daļēji] [Vienmēr daļēji] </w:t>
            </w:r>
          </w:p>
        </w:tc>
      </w:tr>
      <w:tr w:rsidR="00A179AB" w:rsidRPr="00840DEE" w14:paraId="0F1AA95D" w14:textId="77777777" w:rsidTr="00E1293C">
        <w:trPr>
          <w:trHeight w:val="259"/>
        </w:trPr>
        <w:tc>
          <w:tcPr>
            <w:tcW w:w="1030" w:type="dxa"/>
            <w:vAlign w:val="center"/>
          </w:tcPr>
          <w:p w14:paraId="00591CBE"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lastRenderedPageBreak/>
              <w:t>34.</w:t>
            </w:r>
          </w:p>
        </w:tc>
        <w:tc>
          <w:tcPr>
            <w:tcW w:w="7661" w:type="dxa"/>
            <w:shd w:val="clear" w:color="auto" w:fill="auto"/>
            <w:noWrap/>
            <w:vAlign w:val="bottom"/>
          </w:tcPr>
          <w:p w14:paraId="75B04551" w14:textId="77777777" w:rsidR="00F117AF" w:rsidRPr="00840DEE" w:rsidRDefault="00F117AF"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Ja vērtība samazināta — pastāvīgi vai uz laiku</w:t>
            </w:r>
          </w:p>
          <w:p w14:paraId="06601949" w14:textId="77777777" w:rsidR="00A179AB" w:rsidRPr="00840DEE" w:rsidRDefault="00A179AB"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 xml:space="preserve">Attiecībā uz instrumentu, kuram samazina vērtību, norāda, vai samazināšana ir pastāvīga vai uz laiku. </w:t>
            </w:r>
          </w:p>
          <w:p w14:paraId="2FB6B3C0" w14:textId="77777777" w:rsidR="00A179AB" w:rsidRPr="00840DEE" w:rsidRDefault="00A179AB" w:rsidP="00A179AB">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Atlasīt no izvēlnes: [Pastāvīga] [Uz laiku] [NA]</w:t>
            </w:r>
          </w:p>
        </w:tc>
      </w:tr>
      <w:tr w:rsidR="00A179AB" w:rsidRPr="00840DEE" w14:paraId="73C8BE55" w14:textId="77777777" w:rsidTr="00E1293C">
        <w:trPr>
          <w:trHeight w:val="259"/>
        </w:trPr>
        <w:tc>
          <w:tcPr>
            <w:tcW w:w="1030" w:type="dxa"/>
            <w:vAlign w:val="center"/>
          </w:tcPr>
          <w:p w14:paraId="0CE01BBF"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35.</w:t>
            </w:r>
          </w:p>
        </w:tc>
        <w:tc>
          <w:tcPr>
            <w:tcW w:w="7661" w:type="dxa"/>
            <w:shd w:val="clear" w:color="auto" w:fill="auto"/>
            <w:noWrap/>
            <w:vAlign w:val="bottom"/>
          </w:tcPr>
          <w:p w14:paraId="0C952264" w14:textId="77777777" w:rsidR="00F117AF" w:rsidRPr="00840DEE" w:rsidRDefault="00F117AF"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Ja vērtība samazināta uz laiku — atjaunināšanas mehānisma apraksts</w:t>
            </w:r>
          </w:p>
          <w:p w14:paraId="50550C0D" w14:textId="77777777" w:rsidR="00A179AB" w:rsidRPr="00840DEE" w:rsidRDefault="00A179AB"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Apraksta atjaunināšanas mehānismu.</w:t>
            </w:r>
          </w:p>
          <w:p w14:paraId="69BC31A0" w14:textId="77777777" w:rsidR="00A179AB" w:rsidRPr="00840DEE" w:rsidRDefault="00A179AB" w:rsidP="00A179AB">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Teksts brīvā formā</w:t>
            </w:r>
          </w:p>
        </w:tc>
      </w:tr>
      <w:tr w:rsidR="00A179AB" w:rsidRPr="00840DEE" w14:paraId="54A5DB4B" w14:textId="77777777" w:rsidTr="009C422F">
        <w:trPr>
          <w:trHeight w:val="1448"/>
        </w:trPr>
        <w:tc>
          <w:tcPr>
            <w:tcW w:w="1030" w:type="dxa"/>
            <w:vAlign w:val="center"/>
          </w:tcPr>
          <w:p w14:paraId="773AC2B4"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36.</w:t>
            </w:r>
          </w:p>
        </w:tc>
        <w:tc>
          <w:tcPr>
            <w:tcW w:w="7661" w:type="dxa"/>
            <w:shd w:val="clear" w:color="auto" w:fill="auto"/>
            <w:noWrap/>
            <w:vAlign w:val="bottom"/>
          </w:tcPr>
          <w:p w14:paraId="244C6F19" w14:textId="77777777" w:rsidR="00F117AF" w:rsidRPr="00840DEE" w:rsidRDefault="00F117AF"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Prasībām neatbilstīgas pārejas posma iezīmes</w:t>
            </w:r>
          </w:p>
          <w:p w14:paraId="234EE7BA" w14:textId="77777777" w:rsidR="00367D4B" w:rsidRPr="00840DEE" w:rsidRDefault="00A179AB"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Precizējums par to, vai ir prasībām neatbilstīgas iezīmes.</w:t>
            </w:r>
          </w:p>
          <w:p w14:paraId="251C95A7" w14:textId="77777777" w:rsidR="00A179AB" w:rsidRPr="00840DEE" w:rsidRDefault="00367D4B">
            <w:pPr>
              <w:spacing w:after="200" w:line="276" w:lineRule="auto"/>
              <w:jc w:val="both"/>
              <w:rPr>
                <w:rFonts w:ascii="Times New Roman" w:eastAsia="Times New Roman" w:hAnsi="Times New Roman" w:cs="Times New Roman"/>
                <w:i/>
                <w:sz w:val="24"/>
              </w:rPr>
            </w:pPr>
            <w:r w:rsidRPr="00840DEE">
              <w:rPr>
                <w:rFonts w:ascii="Times New Roman" w:hAnsi="Times New Roman"/>
                <w:sz w:val="24"/>
              </w:rPr>
              <w:t>Atlasīt [jā] vai [nē].</w:t>
            </w:r>
          </w:p>
        </w:tc>
      </w:tr>
      <w:tr w:rsidR="00A179AB" w:rsidRPr="00840DEE" w14:paraId="5F0FF21C" w14:textId="77777777" w:rsidTr="00E1293C">
        <w:trPr>
          <w:trHeight w:val="259"/>
        </w:trPr>
        <w:tc>
          <w:tcPr>
            <w:tcW w:w="1030" w:type="dxa"/>
            <w:vAlign w:val="center"/>
          </w:tcPr>
          <w:p w14:paraId="79DAABDA"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37.</w:t>
            </w:r>
          </w:p>
        </w:tc>
        <w:tc>
          <w:tcPr>
            <w:tcW w:w="7661" w:type="dxa"/>
            <w:shd w:val="clear" w:color="auto" w:fill="auto"/>
            <w:noWrap/>
            <w:vAlign w:val="bottom"/>
          </w:tcPr>
          <w:p w14:paraId="54FFC1B4" w14:textId="77777777" w:rsidR="00F117AF" w:rsidRPr="00840DEE" w:rsidRDefault="00F117AF"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Ja jā, precizē prasībām neatbilstīgās iezīmes</w:t>
            </w:r>
          </w:p>
          <w:p w14:paraId="72B70BCD" w14:textId="77777777" w:rsidR="00A179AB" w:rsidRPr="00840DEE" w:rsidRDefault="00A179AB"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 xml:space="preserve">Ja ir prasībām neatbilstīgas iezīmes, iestādes precizē, kādas tās ir. </w:t>
            </w:r>
          </w:p>
          <w:p w14:paraId="734CA983" w14:textId="77777777" w:rsidR="00A179AB" w:rsidRPr="00840DEE" w:rsidRDefault="00A179AB" w:rsidP="00A179AB">
            <w:pPr>
              <w:spacing w:after="200" w:line="276" w:lineRule="auto"/>
              <w:jc w:val="both"/>
              <w:rPr>
                <w:rFonts w:ascii="Times New Roman" w:eastAsia="Times New Roman" w:hAnsi="Times New Roman" w:cs="Times New Roman"/>
                <w:i/>
                <w:sz w:val="24"/>
              </w:rPr>
            </w:pPr>
            <w:r w:rsidRPr="00840DEE">
              <w:rPr>
                <w:rFonts w:ascii="Times New Roman" w:hAnsi="Times New Roman"/>
                <w:i/>
                <w:sz w:val="24"/>
              </w:rPr>
              <w:t>Teksts brīvā formā</w:t>
            </w:r>
          </w:p>
        </w:tc>
      </w:tr>
      <w:tr w:rsidR="00A179AB" w:rsidRPr="00F54723" w14:paraId="53E9BCCA" w14:textId="77777777" w:rsidTr="00E1293C">
        <w:trPr>
          <w:trHeight w:val="259"/>
        </w:trPr>
        <w:tc>
          <w:tcPr>
            <w:tcW w:w="1030" w:type="dxa"/>
            <w:vAlign w:val="center"/>
          </w:tcPr>
          <w:p w14:paraId="01C80F31" w14:textId="77777777" w:rsidR="00A179AB" w:rsidRPr="00840DEE" w:rsidRDefault="00A179AB" w:rsidP="00A179AB">
            <w:pPr>
              <w:spacing w:after="200" w:line="276" w:lineRule="auto"/>
              <w:rPr>
                <w:rFonts w:ascii="Times New Roman" w:eastAsia="Times New Roman" w:hAnsi="Times New Roman" w:cs="Times New Roman"/>
                <w:sz w:val="24"/>
              </w:rPr>
            </w:pPr>
            <w:r w:rsidRPr="00840DEE">
              <w:rPr>
                <w:rFonts w:ascii="Times New Roman" w:hAnsi="Times New Roman"/>
                <w:color w:val="000000"/>
                <w:sz w:val="24"/>
              </w:rPr>
              <w:t>38.</w:t>
            </w:r>
          </w:p>
        </w:tc>
        <w:tc>
          <w:tcPr>
            <w:tcW w:w="7661" w:type="dxa"/>
            <w:shd w:val="clear" w:color="auto" w:fill="auto"/>
            <w:noWrap/>
            <w:vAlign w:val="bottom"/>
          </w:tcPr>
          <w:p w14:paraId="72FB774E" w14:textId="77777777" w:rsidR="00F117AF" w:rsidRPr="00840DEE" w:rsidRDefault="00F117AF"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Saite uz visiem instrumenta noteikumiem un nosacījumiem (zīmes/norādes)</w:t>
            </w:r>
          </w:p>
          <w:p w14:paraId="341CE77F" w14:textId="77777777" w:rsidR="00A179AB" w:rsidRPr="00850970" w:rsidRDefault="00A179AB" w:rsidP="00A179AB">
            <w:pPr>
              <w:spacing w:after="200" w:line="276" w:lineRule="auto"/>
              <w:jc w:val="both"/>
              <w:rPr>
                <w:rFonts w:ascii="Times New Roman" w:eastAsia="Times New Roman" w:hAnsi="Times New Roman" w:cs="Times New Roman"/>
                <w:sz w:val="24"/>
              </w:rPr>
            </w:pPr>
            <w:r w:rsidRPr="00840DEE">
              <w:rPr>
                <w:rFonts w:ascii="Times New Roman" w:hAnsi="Times New Roman"/>
                <w:sz w:val="24"/>
              </w:rPr>
              <w:t>Ieguldījumu brokeru sabiedrības iekļauj hipersaiti, kas ļauj piekļūt emisijas prospektam, tostarp visiem instrumenta noteikumiem un nosacījumiem.</w:t>
            </w:r>
          </w:p>
        </w:tc>
      </w:tr>
      <w:bookmarkEnd w:id="0"/>
      <w:bookmarkEnd w:id="1"/>
      <w:bookmarkEnd w:id="2"/>
      <w:bookmarkEnd w:id="3"/>
      <w:bookmarkEnd w:id="4"/>
      <w:bookmarkEnd w:id="5"/>
      <w:bookmarkEnd w:id="6"/>
      <w:bookmarkEnd w:id="7"/>
      <w:bookmarkEnd w:id="8"/>
      <w:bookmarkEnd w:id="9"/>
    </w:tbl>
    <w:p w14:paraId="48FC806D" w14:textId="77777777" w:rsidR="004D7854" w:rsidRPr="00933CBF" w:rsidRDefault="004D7854" w:rsidP="004D7854">
      <w:pPr>
        <w:rPr>
          <w:rFonts w:ascii="Times New Roman" w:hAnsi="Times New Roman" w:cs="Times New Roman"/>
          <w:bCs/>
          <w:sz w:val="24"/>
        </w:rPr>
      </w:pPr>
    </w:p>
    <w:sectPr w:rsidR="004D7854" w:rsidRPr="00933CBF" w:rsidSect="000F33D3">
      <w:headerReference w:type="default" r:id="rId8"/>
      <w:footerReference w:type="default" r:id="rId9"/>
      <w:pgSz w:w="11900" w:h="16840"/>
      <w:pgMar w:top="226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0BBDF2" w14:textId="77777777" w:rsidR="002C4A70" w:rsidRDefault="002C4A70" w:rsidP="00A00E34">
      <w:r>
        <w:separator/>
      </w:r>
    </w:p>
    <w:p w14:paraId="0F82E254" w14:textId="77777777" w:rsidR="002C4A70" w:rsidRDefault="002C4A70"/>
  </w:endnote>
  <w:endnote w:type="continuationSeparator" w:id="0">
    <w:p w14:paraId="24764F2D" w14:textId="77777777" w:rsidR="002C4A70" w:rsidRDefault="002C4A70" w:rsidP="00A00E34">
      <w:r>
        <w:continuationSeparator/>
      </w:r>
    </w:p>
    <w:p w14:paraId="69C82FFC" w14:textId="77777777" w:rsidR="002C4A70" w:rsidRDefault="002C4A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04704084"/>
      <w:docPartObj>
        <w:docPartGallery w:val="Page Numbers (Bottom of Page)"/>
        <w:docPartUnique/>
      </w:docPartObj>
    </w:sdtPr>
    <w:sdtEndPr>
      <w:rPr>
        <w:noProof/>
      </w:rPr>
    </w:sdtEndPr>
    <w:sdtContent>
      <w:p w14:paraId="6655DCA5" w14:textId="77777777" w:rsidR="002C4A70" w:rsidRDefault="002C4A70">
        <w:pPr>
          <w:pStyle w:val="Footer"/>
          <w:jc w:val="right"/>
        </w:pPr>
        <w:r>
          <w:fldChar w:fldCharType="begin"/>
        </w:r>
        <w:r>
          <w:instrText xml:space="preserve"> PAGE   \* MERGEFORMAT </w:instrText>
        </w:r>
        <w:r>
          <w:fldChar w:fldCharType="separate"/>
        </w:r>
        <w:r w:rsidR="00F6671B">
          <w:rPr>
            <w:noProof/>
          </w:rPr>
          <w:t>1</w:t>
        </w:r>
        <w:r>
          <w:fldChar w:fldCharType="end"/>
        </w:r>
      </w:p>
    </w:sdtContent>
  </w:sdt>
  <w:p w14:paraId="06FE94B0" w14:textId="77777777" w:rsidR="002C4A70" w:rsidRDefault="002C4A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D7B6C8" w14:textId="77777777" w:rsidR="002C4A70" w:rsidRPr="00DB5E8F" w:rsidRDefault="002C4A70">
      <w:pPr>
        <w:rPr>
          <w:sz w:val="12"/>
          <w:szCs w:val="12"/>
        </w:rPr>
      </w:pPr>
      <w:r>
        <w:rPr>
          <w:sz w:val="12"/>
          <w:szCs w:val="12"/>
        </w:rPr>
        <w:separator/>
      </w:r>
    </w:p>
  </w:footnote>
  <w:footnote w:type="continuationSeparator" w:id="0">
    <w:p w14:paraId="28378519" w14:textId="77777777" w:rsidR="002C4A70" w:rsidRDefault="002C4A70" w:rsidP="00A00E34">
      <w:r>
        <w:continuationSeparator/>
      </w:r>
    </w:p>
    <w:p w14:paraId="74F9DCA8" w14:textId="77777777" w:rsidR="002C4A70" w:rsidRDefault="002C4A70"/>
  </w:footnote>
  <w:footnote w:type="continuationNotice" w:id="1">
    <w:p w14:paraId="14253C9A" w14:textId="77777777" w:rsidR="002C4A70" w:rsidRDefault="002C4A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089E04" w14:textId="46CBB648" w:rsidR="002C4A70" w:rsidRDefault="00840DEE">
    <w:pPr>
      <w:pStyle w:val="Header"/>
    </w:pPr>
    <w:r>
      <w:rPr>
        <w:noProof/>
      </w:rPr>
      <mc:AlternateContent>
        <mc:Choice Requires="wps">
          <w:drawing>
            <wp:anchor distT="0" distB="0" distL="114300" distR="114300" simplePos="0" relativeHeight="251659264" behindDoc="0" locked="0" layoutInCell="0" allowOverlap="1" wp14:anchorId="101CB27D" wp14:editId="66657FC9">
              <wp:simplePos x="0" y="0"/>
              <wp:positionH relativeFrom="page">
                <wp:posOffset>0</wp:posOffset>
              </wp:positionH>
              <wp:positionV relativeFrom="page">
                <wp:posOffset>190500</wp:posOffset>
              </wp:positionV>
              <wp:extent cx="7556500" cy="273050"/>
              <wp:effectExtent l="0" t="0" r="0" b="12700"/>
              <wp:wrapNone/>
              <wp:docPr id="1" name="MSIPCM35a64d6aa453d37b5b0d55a7" descr="{&quot;HashCode&quot;:-466411507,&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52E2380" w14:textId="1D52E825" w:rsidR="00840DEE" w:rsidRPr="00840DEE" w:rsidRDefault="00840DEE" w:rsidP="00840DEE">
                          <w:pPr>
                            <w:rPr>
                              <w:rFonts w:ascii="Calibri" w:hAnsi="Calibri" w:cs="Calibri"/>
                              <w:color w:val="000000"/>
                              <w:sz w:val="24"/>
                            </w:rPr>
                          </w:pPr>
                          <w:r w:rsidRPr="00840DEE">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01CB27D" id="_x0000_t202" coordsize="21600,21600" o:spt="202" path="m,l,21600r21600,l21600,xe">
              <v:stroke joinstyle="miter"/>
              <v:path gradientshapeok="t" o:connecttype="rect"/>
            </v:shapetype>
            <v:shape id="MSIPCM35a64d6aa453d37b5b0d55a7" o:spid="_x0000_s1026" type="#_x0000_t202" alt="{&quot;HashCode&quot;:-466411507,&quot;Height&quot;:842.0,&quot;Width&quot;:595.0,&quot;Placement&quot;:&quot;Header&quot;,&quot;Index&quot;:&quot;Primary&quot;,&quot;Section&quot;:1,&quot;Top&quot;:0.0,&quot;Left&quot;:0.0}" style="position:absolute;margin-left:0;margin-top:1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" o:allowincell="f" filled="f" stroked="f" strokeweight=".5pt">
              <v:fill o:detectmouseclick="t"/>
              <v:textbox inset="20pt,0,,0">
                <w:txbxContent>
                  <w:p w14:paraId="252E2380" w14:textId="1D52E825" w:rsidR="00840DEE" w:rsidRPr="00840DEE" w:rsidRDefault="00840DEE" w:rsidP="00840DEE">
                    <w:pPr>
                      <w:rPr>
                        <w:rFonts w:ascii="Calibri" w:hAnsi="Calibri" w:cs="Calibri"/>
                        <w:color w:val="000000"/>
                        <w:sz w:val="24"/>
                      </w:rPr>
                    </w:pPr>
                    <w:r w:rsidRPr="00840DEE">
                      <w:rPr>
                        <w:rFonts w:ascii="Calibri" w:hAnsi="Calibri" w:cs="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8"/>
  </w:num>
  <w:num w:numId="5">
    <w:abstractNumId w:val="14"/>
  </w:num>
  <w:num w:numId="6">
    <w:abstractNumId w:val="1"/>
  </w:num>
  <w:num w:numId="7">
    <w:abstractNumId w:val="13"/>
  </w:num>
  <w:num w:numId="8">
    <w:abstractNumId w:val="10"/>
  </w:num>
  <w:num w:numId="9">
    <w:abstractNumId w:val="0"/>
  </w:num>
  <w:num w:numId="10">
    <w:abstractNumId w:val="5"/>
  </w:num>
  <w:num w:numId="11">
    <w:abstractNumId w:val="12"/>
  </w:num>
  <w:num w:numId="12">
    <w:abstractNumId w:val="4"/>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fr-FR" w:vendorID="64" w:dllVersion="6" w:nlCheck="1" w:checkStyle="0"/>
  <w:activeWritingStyle w:appName="MSWord" w:lang="en-IE" w:vendorID="64" w:dllVersion="6"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5345"/>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F50"/>
    <w:rsid w:val="00013281"/>
    <w:rsid w:val="000152D6"/>
    <w:rsid w:val="00015DE4"/>
    <w:rsid w:val="00017B79"/>
    <w:rsid w:val="000212D9"/>
    <w:rsid w:val="000231B7"/>
    <w:rsid w:val="00027CA0"/>
    <w:rsid w:val="00030D65"/>
    <w:rsid w:val="00033C0E"/>
    <w:rsid w:val="00034F4F"/>
    <w:rsid w:val="00037735"/>
    <w:rsid w:val="00040129"/>
    <w:rsid w:val="0004256C"/>
    <w:rsid w:val="000509F9"/>
    <w:rsid w:val="000536DB"/>
    <w:rsid w:val="000607F5"/>
    <w:rsid w:val="00060A3C"/>
    <w:rsid w:val="00060C0E"/>
    <w:rsid w:val="00060F40"/>
    <w:rsid w:val="00062830"/>
    <w:rsid w:val="00062937"/>
    <w:rsid w:val="00066A9A"/>
    <w:rsid w:val="00072CD3"/>
    <w:rsid w:val="000769C4"/>
    <w:rsid w:val="000774B3"/>
    <w:rsid w:val="00080651"/>
    <w:rsid w:val="00080A3F"/>
    <w:rsid w:val="00081467"/>
    <w:rsid w:val="00082394"/>
    <w:rsid w:val="000830E9"/>
    <w:rsid w:val="00083C33"/>
    <w:rsid w:val="000843CD"/>
    <w:rsid w:val="00085E01"/>
    <w:rsid w:val="000918FE"/>
    <w:rsid w:val="00094824"/>
    <w:rsid w:val="00096C95"/>
    <w:rsid w:val="000A1C81"/>
    <w:rsid w:val="000A2565"/>
    <w:rsid w:val="000A3851"/>
    <w:rsid w:val="000B1645"/>
    <w:rsid w:val="000B30B1"/>
    <w:rsid w:val="000B6FCC"/>
    <w:rsid w:val="000C5A8A"/>
    <w:rsid w:val="000C7FD8"/>
    <w:rsid w:val="000D1FC3"/>
    <w:rsid w:val="000D7A44"/>
    <w:rsid w:val="000E0C27"/>
    <w:rsid w:val="000E6D15"/>
    <w:rsid w:val="000F33D3"/>
    <w:rsid w:val="000F3E72"/>
    <w:rsid w:val="000F3F1B"/>
    <w:rsid w:val="000F607B"/>
    <w:rsid w:val="000F6495"/>
    <w:rsid w:val="000F6FD8"/>
    <w:rsid w:val="001061FA"/>
    <w:rsid w:val="00107CC3"/>
    <w:rsid w:val="00107FFE"/>
    <w:rsid w:val="0011259B"/>
    <w:rsid w:val="0011517F"/>
    <w:rsid w:val="00116755"/>
    <w:rsid w:val="00121BB0"/>
    <w:rsid w:val="00121E46"/>
    <w:rsid w:val="00123AEB"/>
    <w:rsid w:val="00123F9E"/>
    <w:rsid w:val="0012686C"/>
    <w:rsid w:val="00126F48"/>
    <w:rsid w:val="0012736E"/>
    <w:rsid w:val="0013090C"/>
    <w:rsid w:val="00131C5D"/>
    <w:rsid w:val="00133881"/>
    <w:rsid w:val="00141649"/>
    <w:rsid w:val="00141856"/>
    <w:rsid w:val="00142DF6"/>
    <w:rsid w:val="001459FC"/>
    <w:rsid w:val="00145D24"/>
    <w:rsid w:val="00145EA8"/>
    <w:rsid w:val="00147499"/>
    <w:rsid w:val="00152832"/>
    <w:rsid w:val="00154596"/>
    <w:rsid w:val="00157440"/>
    <w:rsid w:val="001600FC"/>
    <w:rsid w:val="0016101F"/>
    <w:rsid w:val="00163025"/>
    <w:rsid w:val="0016737A"/>
    <w:rsid w:val="001705D7"/>
    <w:rsid w:val="0017108E"/>
    <w:rsid w:val="00172007"/>
    <w:rsid w:val="0017330E"/>
    <w:rsid w:val="00173D0E"/>
    <w:rsid w:val="0017446F"/>
    <w:rsid w:val="00177CB9"/>
    <w:rsid w:val="00181925"/>
    <w:rsid w:val="001834D4"/>
    <w:rsid w:val="001846A5"/>
    <w:rsid w:val="00192287"/>
    <w:rsid w:val="001A016C"/>
    <w:rsid w:val="001A2A81"/>
    <w:rsid w:val="001A5BD4"/>
    <w:rsid w:val="001A70A8"/>
    <w:rsid w:val="001B2C0D"/>
    <w:rsid w:val="001B5520"/>
    <w:rsid w:val="001B6017"/>
    <w:rsid w:val="001B66D7"/>
    <w:rsid w:val="001B7A0B"/>
    <w:rsid w:val="001B7EB3"/>
    <w:rsid w:val="001C1FD9"/>
    <w:rsid w:val="001C4DBD"/>
    <w:rsid w:val="001C502A"/>
    <w:rsid w:val="001C5BC2"/>
    <w:rsid w:val="001C788D"/>
    <w:rsid w:val="001D0179"/>
    <w:rsid w:val="001E1188"/>
    <w:rsid w:val="001E32D5"/>
    <w:rsid w:val="001E3599"/>
    <w:rsid w:val="001E62AE"/>
    <w:rsid w:val="001E6323"/>
    <w:rsid w:val="001F1CB9"/>
    <w:rsid w:val="001F2493"/>
    <w:rsid w:val="001F66F3"/>
    <w:rsid w:val="001F7501"/>
    <w:rsid w:val="001F7FC2"/>
    <w:rsid w:val="0020146D"/>
    <w:rsid w:val="00205878"/>
    <w:rsid w:val="00212AD1"/>
    <w:rsid w:val="00213D7B"/>
    <w:rsid w:val="00214DEC"/>
    <w:rsid w:val="00217948"/>
    <w:rsid w:val="00224761"/>
    <w:rsid w:val="00224A3F"/>
    <w:rsid w:val="00224D96"/>
    <w:rsid w:val="002277D4"/>
    <w:rsid w:val="002306C7"/>
    <w:rsid w:val="00236399"/>
    <w:rsid w:val="00241556"/>
    <w:rsid w:val="00241BD8"/>
    <w:rsid w:val="002434B0"/>
    <w:rsid w:val="00243BC9"/>
    <w:rsid w:val="00254CA9"/>
    <w:rsid w:val="002560B1"/>
    <w:rsid w:val="00261F5D"/>
    <w:rsid w:val="00263720"/>
    <w:rsid w:val="0026424B"/>
    <w:rsid w:val="00266553"/>
    <w:rsid w:val="00266F94"/>
    <w:rsid w:val="00267018"/>
    <w:rsid w:val="00267DE1"/>
    <w:rsid w:val="0027418E"/>
    <w:rsid w:val="002767AA"/>
    <w:rsid w:val="00276C64"/>
    <w:rsid w:val="00284A9D"/>
    <w:rsid w:val="00284B51"/>
    <w:rsid w:val="00290C10"/>
    <w:rsid w:val="00290DA3"/>
    <w:rsid w:val="00295FF7"/>
    <w:rsid w:val="00297132"/>
    <w:rsid w:val="002A0FF0"/>
    <w:rsid w:val="002A2797"/>
    <w:rsid w:val="002A3A19"/>
    <w:rsid w:val="002B149A"/>
    <w:rsid w:val="002C0DCF"/>
    <w:rsid w:val="002C4A70"/>
    <w:rsid w:val="002D1867"/>
    <w:rsid w:val="002D4CB9"/>
    <w:rsid w:val="002E4658"/>
    <w:rsid w:val="002E5710"/>
    <w:rsid w:val="002E626C"/>
    <w:rsid w:val="002F2009"/>
    <w:rsid w:val="00300924"/>
    <w:rsid w:val="003025A8"/>
    <w:rsid w:val="00304DDE"/>
    <w:rsid w:val="00305E2E"/>
    <w:rsid w:val="0030776D"/>
    <w:rsid w:val="003129B6"/>
    <w:rsid w:val="00314D35"/>
    <w:rsid w:val="00314D6E"/>
    <w:rsid w:val="003156DA"/>
    <w:rsid w:val="00317E83"/>
    <w:rsid w:val="00320E57"/>
    <w:rsid w:val="00321375"/>
    <w:rsid w:val="0032171F"/>
    <w:rsid w:val="003221EF"/>
    <w:rsid w:val="00322C23"/>
    <w:rsid w:val="003248A2"/>
    <w:rsid w:val="00334355"/>
    <w:rsid w:val="003402BF"/>
    <w:rsid w:val="00350D0D"/>
    <w:rsid w:val="0035477B"/>
    <w:rsid w:val="00354B5E"/>
    <w:rsid w:val="00357698"/>
    <w:rsid w:val="003601D5"/>
    <w:rsid w:val="003604AA"/>
    <w:rsid w:val="003604E5"/>
    <w:rsid w:val="00367D4B"/>
    <w:rsid w:val="00372BEC"/>
    <w:rsid w:val="00373588"/>
    <w:rsid w:val="00376330"/>
    <w:rsid w:val="00382481"/>
    <w:rsid w:val="003910E4"/>
    <w:rsid w:val="00392385"/>
    <w:rsid w:val="003A2097"/>
    <w:rsid w:val="003A213D"/>
    <w:rsid w:val="003A4578"/>
    <w:rsid w:val="003A7BA0"/>
    <w:rsid w:val="003B4695"/>
    <w:rsid w:val="003B6A5A"/>
    <w:rsid w:val="003C6848"/>
    <w:rsid w:val="003D01F8"/>
    <w:rsid w:val="003D5C73"/>
    <w:rsid w:val="003D6EFC"/>
    <w:rsid w:val="003D7A72"/>
    <w:rsid w:val="003E318D"/>
    <w:rsid w:val="003E4D5A"/>
    <w:rsid w:val="00401D85"/>
    <w:rsid w:val="004079C3"/>
    <w:rsid w:val="00407E31"/>
    <w:rsid w:val="00411DE3"/>
    <w:rsid w:val="00412567"/>
    <w:rsid w:val="00415A37"/>
    <w:rsid w:val="004172D1"/>
    <w:rsid w:val="0041780C"/>
    <w:rsid w:val="004226E0"/>
    <w:rsid w:val="00424530"/>
    <w:rsid w:val="004254FA"/>
    <w:rsid w:val="00430220"/>
    <w:rsid w:val="0043182B"/>
    <w:rsid w:val="00431D34"/>
    <w:rsid w:val="0043577F"/>
    <w:rsid w:val="00436298"/>
    <w:rsid w:val="0043675A"/>
    <w:rsid w:val="00441F85"/>
    <w:rsid w:val="00445775"/>
    <w:rsid w:val="004476B6"/>
    <w:rsid w:val="00447D81"/>
    <w:rsid w:val="00452468"/>
    <w:rsid w:val="0045301B"/>
    <w:rsid w:val="004541F3"/>
    <w:rsid w:val="00455E0E"/>
    <w:rsid w:val="00457830"/>
    <w:rsid w:val="00463F85"/>
    <w:rsid w:val="00464493"/>
    <w:rsid w:val="004719B4"/>
    <w:rsid w:val="00471CA1"/>
    <w:rsid w:val="00471CCE"/>
    <w:rsid w:val="00472C3C"/>
    <w:rsid w:val="0047368B"/>
    <w:rsid w:val="00475306"/>
    <w:rsid w:val="00481AC4"/>
    <w:rsid w:val="00482FB6"/>
    <w:rsid w:val="0048335C"/>
    <w:rsid w:val="004876E9"/>
    <w:rsid w:val="004955E7"/>
    <w:rsid w:val="0049781D"/>
    <w:rsid w:val="004A2A19"/>
    <w:rsid w:val="004A4358"/>
    <w:rsid w:val="004A5A27"/>
    <w:rsid w:val="004A5D8B"/>
    <w:rsid w:val="004A6748"/>
    <w:rsid w:val="004B0D97"/>
    <w:rsid w:val="004B0ED2"/>
    <w:rsid w:val="004B12B9"/>
    <w:rsid w:val="004B2FC0"/>
    <w:rsid w:val="004B7784"/>
    <w:rsid w:val="004C1B19"/>
    <w:rsid w:val="004C231D"/>
    <w:rsid w:val="004C320A"/>
    <w:rsid w:val="004C350B"/>
    <w:rsid w:val="004C3E3C"/>
    <w:rsid w:val="004C6392"/>
    <w:rsid w:val="004D1DB2"/>
    <w:rsid w:val="004D3523"/>
    <w:rsid w:val="004D7668"/>
    <w:rsid w:val="004D7854"/>
    <w:rsid w:val="004D7BCD"/>
    <w:rsid w:val="004E1A1F"/>
    <w:rsid w:val="004E405B"/>
    <w:rsid w:val="004F0AB6"/>
    <w:rsid w:val="004F4AC5"/>
    <w:rsid w:val="004F63DB"/>
    <w:rsid w:val="004F6608"/>
    <w:rsid w:val="004F7817"/>
    <w:rsid w:val="00505C64"/>
    <w:rsid w:val="005105EF"/>
    <w:rsid w:val="0051457E"/>
    <w:rsid w:val="00516D85"/>
    <w:rsid w:val="00523895"/>
    <w:rsid w:val="00524914"/>
    <w:rsid w:val="005331B8"/>
    <w:rsid w:val="00536BAA"/>
    <w:rsid w:val="00536C62"/>
    <w:rsid w:val="00537BFA"/>
    <w:rsid w:val="005410AB"/>
    <w:rsid w:val="00543A44"/>
    <w:rsid w:val="00544B12"/>
    <w:rsid w:val="00562703"/>
    <w:rsid w:val="00565691"/>
    <w:rsid w:val="005658E3"/>
    <w:rsid w:val="005673AC"/>
    <w:rsid w:val="00571BB6"/>
    <w:rsid w:val="00572850"/>
    <w:rsid w:val="00575BA7"/>
    <w:rsid w:val="005768F5"/>
    <w:rsid w:val="00582254"/>
    <w:rsid w:val="00582AA7"/>
    <w:rsid w:val="0058477C"/>
    <w:rsid w:val="0058568F"/>
    <w:rsid w:val="00593D83"/>
    <w:rsid w:val="005A6911"/>
    <w:rsid w:val="005B5C09"/>
    <w:rsid w:val="005B7D63"/>
    <w:rsid w:val="005C3DFF"/>
    <w:rsid w:val="005C46A2"/>
    <w:rsid w:val="005C498B"/>
    <w:rsid w:val="005C590A"/>
    <w:rsid w:val="005D04FC"/>
    <w:rsid w:val="005D4005"/>
    <w:rsid w:val="005D40D1"/>
    <w:rsid w:val="005D7532"/>
    <w:rsid w:val="005E0636"/>
    <w:rsid w:val="005E3A47"/>
    <w:rsid w:val="005E7F29"/>
    <w:rsid w:val="005F3FED"/>
    <w:rsid w:val="006007FC"/>
    <w:rsid w:val="006017FA"/>
    <w:rsid w:val="00602D25"/>
    <w:rsid w:val="006059B2"/>
    <w:rsid w:val="00610305"/>
    <w:rsid w:val="00610419"/>
    <w:rsid w:val="00611DDB"/>
    <w:rsid w:val="00612C7B"/>
    <w:rsid w:val="00615CA4"/>
    <w:rsid w:val="006209BD"/>
    <w:rsid w:val="006224C1"/>
    <w:rsid w:val="00622726"/>
    <w:rsid w:val="0062489A"/>
    <w:rsid w:val="006269B7"/>
    <w:rsid w:val="00627A6E"/>
    <w:rsid w:val="006307A5"/>
    <w:rsid w:val="00632CC6"/>
    <w:rsid w:val="00633DC7"/>
    <w:rsid w:val="00636E1D"/>
    <w:rsid w:val="00655112"/>
    <w:rsid w:val="0066273A"/>
    <w:rsid w:val="00663B0A"/>
    <w:rsid w:val="006641F8"/>
    <w:rsid w:val="006671A5"/>
    <w:rsid w:val="00670254"/>
    <w:rsid w:val="0067429C"/>
    <w:rsid w:val="00677051"/>
    <w:rsid w:val="00680E3F"/>
    <w:rsid w:val="00683CA4"/>
    <w:rsid w:val="00685B41"/>
    <w:rsid w:val="006973AC"/>
    <w:rsid w:val="006A0D6A"/>
    <w:rsid w:val="006A6B46"/>
    <w:rsid w:val="006B03D2"/>
    <w:rsid w:val="006C0678"/>
    <w:rsid w:val="006C1006"/>
    <w:rsid w:val="006C186D"/>
    <w:rsid w:val="006C257B"/>
    <w:rsid w:val="006D2DF9"/>
    <w:rsid w:val="006D6931"/>
    <w:rsid w:val="006D7393"/>
    <w:rsid w:val="006E1267"/>
    <w:rsid w:val="006E2336"/>
    <w:rsid w:val="006E400C"/>
    <w:rsid w:val="006E55E1"/>
    <w:rsid w:val="006E6CC7"/>
    <w:rsid w:val="006F2E13"/>
    <w:rsid w:val="006F445D"/>
    <w:rsid w:val="006F6074"/>
    <w:rsid w:val="006F72C6"/>
    <w:rsid w:val="00703E4E"/>
    <w:rsid w:val="007071C6"/>
    <w:rsid w:val="00707902"/>
    <w:rsid w:val="00710E4B"/>
    <w:rsid w:val="00711E1C"/>
    <w:rsid w:val="00712D2C"/>
    <w:rsid w:val="00721FBA"/>
    <w:rsid w:val="0072423A"/>
    <w:rsid w:val="007269B8"/>
    <w:rsid w:val="00730352"/>
    <w:rsid w:val="007335CF"/>
    <w:rsid w:val="0073505B"/>
    <w:rsid w:val="00735285"/>
    <w:rsid w:val="00742839"/>
    <w:rsid w:val="007457ED"/>
    <w:rsid w:val="00745B15"/>
    <w:rsid w:val="00752710"/>
    <w:rsid w:val="00755505"/>
    <w:rsid w:val="00762FE2"/>
    <w:rsid w:val="0076316D"/>
    <w:rsid w:val="00770BA4"/>
    <w:rsid w:val="00770FEB"/>
    <w:rsid w:val="00772993"/>
    <w:rsid w:val="00772D79"/>
    <w:rsid w:val="007815FB"/>
    <w:rsid w:val="00781D80"/>
    <w:rsid w:val="00785FA0"/>
    <w:rsid w:val="00787523"/>
    <w:rsid w:val="00791DE5"/>
    <w:rsid w:val="0079762D"/>
    <w:rsid w:val="007A0054"/>
    <w:rsid w:val="007A2A87"/>
    <w:rsid w:val="007A38F2"/>
    <w:rsid w:val="007A44A6"/>
    <w:rsid w:val="007A5353"/>
    <w:rsid w:val="007A634A"/>
    <w:rsid w:val="007B00C5"/>
    <w:rsid w:val="007B2049"/>
    <w:rsid w:val="007B3D63"/>
    <w:rsid w:val="007B69D6"/>
    <w:rsid w:val="007C480D"/>
    <w:rsid w:val="007C4DEA"/>
    <w:rsid w:val="007C55D0"/>
    <w:rsid w:val="007C7C05"/>
    <w:rsid w:val="007C7EEC"/>
    <w:rsid w:val="007E17FF"/>
    <w:rsid w:val="007E57CE"/>
    <w:rsid w:val="007F025A"/>
    <w:rsid w:val="007F0336"/>
    <w:rsid w:val="008017BA"/>
    <w:rsid w:val="00802CF8"/>
    <w:rsid w:val="008054E1"/>
    <w:rsid w:val="00811B51"/>
    <w:rsid w:val="008123E1"/>
    <w:rsid w:val="00813BAC"/>
    <w:rsid w:val="00813CD4"/>
    <w:rsid w:val="008176FE"/>
    <w:rsid w:val="00821B9D"/>
    <w:rsid w:val="00823FF9"/>
    <w:rsid w:val="00825F5D"/>
    <w:rsid w:val="00832B53"/>
    <w:rsid w:val="00833D71"/>
    <w:rsid w:val="0083698E"/>
    <w:rsid w:val="00840DEE"/>
    <w:rsid w:val="00842B8C"/>
    <w:rsid w:val="0084468C"/>
    <w:rsid w:val="00844EE2"/>
    <w:rsid w:val="00845727"/>
    <w:rsid w:val="0085041F"/>
    <w:rsid w:val="00850970"/>
    <w:rsid w:val="00851389"/>
    <w:rsid w:val="00851DC4"/>
    <w:rsid w:val="008552A0"/>
    <w:rsid w:val="00862664"/>
    <w:rsid w:val="00862D23"/>
    <w:rsid w:val="0086481F"/>
    <w:rsid w:val="00865492"/>
    <w:rsid w:val="00867901"/>
    <w:rsid w:val="00867CB4"/>
    <w:rsid w:val="008708AB"/>
    <w:rsid w:val="008710F1"/>
    <w:rsid w:val="00874ED5"/>
    <w:rsid w:val="008762FD"/>
    <w:rsid w:val="008804A3"/>
    <w:rsid w:val="008810BC"/>
    <w:rsid w:val="008923EC"/>
    <w:rsid w:val="008A2821"/>
    <w:rsid w:val="008A482F"/>
    <w:rsid w:val="008A4BCE"/>
    <w:rsid w:val="008A7502"/>
    <w:rsid w:val="008B0845"/>
    <w:rsid w:val="008C086F"/>
    <w:rsid w:val="008C0FCB"/>
    <w:rsid w:val="008C1A94"/>
    <w:rsid w:val="008C5B82"/>
    <w:rsid w:val="008C676F"/>
    <w:rsid w:val="008C700B"/>
    <w:rsid w:val="008D02E1"/>
    <w:rsid w:val="008E0286"/>
    <w:rsid w:val="008E0B40"/>
    <w:rsid w:val="008E5D6B"/>
    <w:rsid w:val="008F025A"/>
    <w:rsid w:val="008F112C"/>
    <w:rsid w:val="008F184B"/>
    <w:rsid w:val="008F2190"/>
    <w:rsid w:val="008F3908"/>
    <w:rsid w:val="00900B16"/>
    <w:rsid w:val="009014B6"/>
    <w:rsid w:val="00902DB0"/>
    <w:rsid w:val="00907326"/>
    <w:rsid w:val="0091023A"/>
    <w:rsid w:val="00911FDF"/>
    <w:rsid w:val="00912882"/>
    <w:rsid w:val="00912895"/>
    <w:rsid w:val="009210DE"/>
    <w:rsid w:val="00922245"/>
    <w:rsid w:val="0092311E"/>
    <w:rsid w:val="00924338"/>
    <w:rsid w:val="00933CBF"/>
    <w:rsid w:val="00943B87"/>
    <w:rsid w:val="00943C57"/>
    <w:rsid w:val="00950374"/>
    <w:rsid w:val="00950380"/>
    <w:rsid w:val="00952E83"/>
    <w:rsid w:val="009531CB"/>
    <w:rsid w:val="00953FD4"/>
    <w:rsid w:val="00957DB9"/>
    <w:rsid w:val="0096160F"/>
    <w:rsid w:val="009658DE"/>
    <w:rsid w:val="00965B80"/>
    <w:rsid w:val="009702C5"/>
    <w:rsid w:val="00970F55"/>
    <w:rsid w:val="00970F84"/>
    <w:rsid w:val="00972BBA"/>
    <w:rsid w:val="009874AC"/>
    <w:rsid w:val="00993B1E"/>
    <w:rsid w:val="00997774"/>
    <w:rsid w:val="009A6CFC"/>
    <w:rsid w:val="009A7B54"/>
    <w:rsid w:val="009A7E3F"/>
    <w:rsid w:val="009B122E"/>
    <w:rsid w:val="009B3E7A"/>
    <w:rsid w:val="009B5CAD"/>
    <w:rsid w:val="009B6F48"/>
    <w:rsid w:val="009B7766"/>
    <w:rsid w:val="009B795B"/>
    <w:rsid w:val="009C12C9"/>
    <w:rsid w:val="009C1CE7"/>
    <w:rsid w:val="009C422F"/>
    <w:rsid w:val="009C4C51"/>
    <w:rsid w:val="009D55F7"/>
    <w:rsid w:val="009E23B3"/>
    <w:rsid w:val="009E2F32"/>
    <w:rsid w:val="009E38A2"/>
    <w:rsid w:val="009E4107"/>
    <w:rsid w:val="009E6A4E"/>
    <w:rsid w:val="009E76BE"/>
    <w:rsid w:val="009E79BF"/>
    <w:rsid w:val="009F12DA"/>
    <w:rsid w:val="009F3FE6"/>
    <w:rsid w:val="009F53AF"/>
    <w:rsid w:val="009F7480"/>
    <w:rsid w:val="00A00793"/>
    <w:rsid w:val="00A00E34"/>
    <w:rsid w:val="00A01899"/>
    <w:rsid w:val="00A01A6F"/>
    <w:rsid w:val="00A062C7"/>
    <w:rsid w:val="00A07858"/>
    <w:rsid w:val="00A10257"/>
    <w:rsid w:val="00A1373A"/>
    <w:rsid w:val="00A14332"/>
    <w:rsid w:val="00A1464F"/>
    <w:rsid w:val="00A179AB"/>
    <w:rsid w:val="00A23527"/>
    <w:rsid w:val="00A23608"/>
    <w:rsid w:val="00A268BE"/>
    <w:rsid w:val="00A27B9D"/>
    <w:rsid w:val="00A27D88"/>
    <w:rsid w:val="00A304D0"/>
    <w:rsid w:val="00A37FED"/>
    <w:rsid w:val="00A41A7E"/>
    <w:rsid w:val="00A4607D"/>
    <w:rsid w:val="00A4696A"/>
    <w:rsid w:val="00A53EC9"/>
    <w:rsid w:val="00A6040B"/>
    <w:rsid w:val="00A639C9"/>
    <w:rsid w:val="00A725D6"/>
    <w:rsid w:val="00A728FD"/>
    <w:rsid w:val="00A72C7D"/>
    <w:rsid w:val="00A76F9E"/>
    <w:rsid w:val="00A81586"/>
    <w:rsid w:val="00A9135C"/>
    <w:rsid w:val="00A92440"/>
    <w:rsid w:val="00A92FBB"/>
    <w:rsid w:val="00A95602"/>
    <w:rsid w:val="00AB104D"/>
    <w:rsid w:val="00AB2476"/>
    <w:rsid w:val="00AC565D"/>
    <w:rsid w:val="00AC5B77"/>
    <w:rsid w:val="00AD0C73"/>
    <w:rsid w:val="00AD43EC"/>
    <w:rsid w:val="00AD6309"/>
    <w:rsid w:val="00AD68A6"/>
    <w:rsid w:val="00AE1A2D"/>
    <w:rsid w:val="00AE40A8"/>
    <w:rsid w:val="00AE5347"/>
    <w:rsid w:val="00AE55F6"/>
    <w:rsid w:val="00AE56DB"/>
    <w:rsid w:val="00AE5F3C"/>
    <w:rsid w:val="00AF1B12"/>
    <w:rsid w:val="00AF705F"/>
    <w:rsid w:val="00AF7442"/>
    <w:rsid w:val="00B0009A"/>
    <w:rsid w:val="00B06C16"/>
    <w:rsid w:val="00B11575"/>
    <w:rsid w:val="00B1201E"/>
    <w:rsid w:val="00B12C9C"/>
    <w:rsid w:val="00B13C87"/>
    <w:rsid w:val="00B1710D"/>
    <w:rsid w:val="00B27C1B"/>
    <w:rsid w:val="00B32510"/>
    <w:rsid w:val="00B3595C"/>
    <w:rsid w:val="00B36D5E"/>
    <w:rsid w:val="00B414FA"/>
    <w:rsid w:val="00B41AA9"/>
    <w:rsid w:val="00B41D2E"/>
    <w:rsid w:val="00B43E07"/>
    <w:rsid w:val="00B44D36"/>
    <w:rsid w:val="00B50C9F"/>
    <w:rsid w:val="00B526A8"/>
    <w:rsid w:val="00B55FAB"/>
    <w:rsid w:val="00B6734E"/>
    <w:rsid w:val="00B71ECA"/>
    <w:rsid w:val="00B72FCD"/>
    <w:rsid w:val="00B76198"/>
    <w:rsid w:val="00B81983"/>
    <w:rsid w:val="00B829D2"/>
    <w:rsid w:val="00B83D9D"/>
    <w:rsid w:val="00B84529"/>
    <w:rsid w:val="00B87D5A"/>
    <w:rsid w:val="00B96F7F"/>
    <w:rsid w:val="00BA08D5"/>
    <w:rsid w:val="00BA200E"/>
    <w:rsid w:val="00BA414B"/>
    <w:rsid w:val="00BB2111"/>
    <w:rsid w:val="00BB50D3"/>
    <w:rsid w:val="00BB5F93"/>
    <w:rsid w:val="00BB7CD7"/>
    <w:rsid w:val="00BC13F1"/>
    <w:rsid w:val="00BC5CCC"/>
    <w:rsid w:val="00BC7FD2"/>
    <w:rsid w:val="00BD12F1"/>
    <w:rsid w:val="00BD6709"/>
    <w:rsid w:val="00BD7264"/>
    <w:rsid w:val="00BE089D"/>
    <w:rsid w:val="00BE4814"/>
    <w:rsid w:val="00BF5F86"/>
    <w:rsid w:val="00C03AE7"/>
    <w:rsid w:val="00C05D9D"/>
    <w:rsid w:val="00C102BB"/>
    <w:rsid w:val="00C1210D"/>
    <w:rsid w:val="00C122DA"/>
    <w:rsid w:val="00C12FA8"/>
    <w:rsid w:val="00C2347B"/>
    <w:rsid w:val="00C261D1"/>
    <w:rsid w:val="00C32777"/>
    <w:rsid w:val="00C334E6"/>
    <w:rsid w:val="00C33ED6"/>
    <w:rsid w:val="00C33F67"/>
    <w:rsid w:val="00C342AE"/>
    <w:rsid w:val="00C35592"/>
    <w:rsid w:val="00C356AF"/>
    <w:rsid w:val="00C41927"/>
    <w:rsid w:val="00C43337"/>
    <w:rsid w:val="00C439D6"/>
    <w:rsid w:val="00C43FD9"/>
    <w:rsid w:val="00C44761"/>
    <w:rsid w:val="00C44E1D"/>
    <w:rsid w:val="00C44EB2"/>
    <w:rsid w:val="00C47E8F"/>
    <w:rsid w:val="00C5061F"/>
    <w:rsid w:val="00C53587"/>
    <w:rsid w:val="00C54CC8"/>
    <w:rsid w:val="00C57BC4"/>
    <w:rsid w:val="00C601DB"/>
    <w:rsid w:val="00C60915"/>
    <w:rsid w:val="00C60DFD"/>
    <w:rsid w:val="00C931D7"/>
    <w:rsid w:val="00C964B8"/>
    <w:rsid w:val="00C969A6"/>
    <w:rsid w:val="00CA3955"/>
    <w:rsid w:val="00CB1889"/>
    <w:rsid w:val="00CC1DC4"/>
    <w:rsid w:val="00CD39AD"/>
    <w:rsid w:val="00CD4AF7"/>
    <w:rsid w:val="00CD4C1C"/>
    <w:rsid w:val="00CE0E35"/>
    <w:rsid w:val="00CE3517"/>
    <w:rsid w:val="00CE5E92"/>
    <w:rsid w:val="00CF4FE1"/>
    <w:rsid w:val="00CF6458"/>
    <w:rsid w:val="00CF7EBE"/>
    <w:rsid w:val="00D00442"/>
    <w:rsid w:val="00D01670"/>
    <w:rsid w:val="00D05C26"/>
    <w:rsid w:val="00D05E45"/>
    <w:rsid w:val="00D062AC"/>
    <w:rsid w:val="00D120EF"/>
    <w:rsid w:val="00D152E7"/>
    <w:rsid w:val="00D2174F"/>
    <w:rsid w:val="00D21F91"/>
    <w:rsid w:val="00D33027"/>
    <w:rsid w:val="00D36DFB"/>
    <w:rsid w:val="00D3796C"/>
    <w:rsid w:val="00D418D6"/>
    <w:rsid w:val="00D41DBF"/>
    <w:rsid w:val="00D44360"/>
    <w:rsid w:val="00D4770F"/>
    <w:rsid w:val="00D53948"/>
    <w:rsid w:val="00D549B9"/>
    <w:rsid w:val="00D54D18"/>
    <w:rsid w:val="00D557EE"/>
    <w:rsid w:val="00D56058"/>
    <w:rsid w:val="00D57F4B"/>
    <w:rsid w:val="00D57F9C"/>
    <w:rsid w:val="00D65001"/>
    <w:rsid w:val="00D656AD"/>
    <w:rsid w:val="00D71427"/>
    <w:rsid w:val="00D765DC"/>
    <w:rsid w:val="00D76E91"/>
    <w:rsid w:val="00D811FA"/>
    <w:rsid w:val="00D81F8C"/>
    <w:rsid w:val="00D841FF"/>
    <w:rsid w:val="00D849AA"/>
    <w:rsid w:val="00D84FEE"/>
    <w:rsid w:val="00D872D1"/>
    <w:rsid w:val="00DA6122"/>
    <w:rsid w:val="00DB0E3D"/>
    <w:rsid w:val="00DB1E32"/>
    <w:rsid w:val="00DB2AD2"/>
    <w:rsid w:val="00DB4809"/>
    <w:rsid w:val="00DB5E8F"/>
    <w:rsid w:val="00DC3E99"/>
    <w:rsid w:val="00DC5C27"/>
    <w:rsid w:val="00DC60DE"/>
    <w:rsid w:val="00DC7C3E"/>
    <w:rsid w:val="00DD40A7"/>
    <w:rsid w:val="00DE142C"/>
    <w:rsid w:val="00DE1538"/>
    <w:rsid w:val="00DE30E0"/>
    <w:rsid w:val="00DE6A90"/>
    <w:rsid w:val="00DF1A0E"/>
    <w:rsid w:val="00DF5B7A"/>
    <w:rsid w:val="00E032F7"/>
    <w:rsid w:val="00E03CF4"/>
    <w:rsid w:val="00E078B5"/>
    <w:rsid w:val="00E11B1A"/>
    <w:rsid w:val="00E1293C"/>
    <w:rsid w:val="00E14AA0"/>
    <w:rsid w:val="00E152CC"/>
    <w:rsid w:val="00E15377"/>
    <w:rsid w:val="00E2207A"/>
    <w:rsid w:val="00E22BCE"/>
    <w:rsid w:val="00E258D8"/>
    <w:rsid w:val="00E27884"/>
    <w:rsid w:val="00E326FF"/>
    <w:rsid w:val="00E34B8E"/>
    <w:rsid w:val="00E361B0"/>
    <w:rsid w:val="00E36CD4"/>
    <w:rsid w:val="00E37D82"/>
    <w:rsid w:val="00E41563"/>
    <w:rsid w:val="00E45D6A"/>
    <w:rsid w:val="00E51EA9"/>
    <w:rsid w:val="00E53DFB"/>
    <w:rsid w:val="00E574A1"/>
    <w:rsid w:val="00E62DB8"/>
    <w:rsid w:val="00E63010"/>
    <w:rsid w:val="00E65B64"/>
    <w:rsid w:val="00E677EF"/>
    <w:rsid w:val="00E706D2"/>
    <w:rsid w:val="00E7159B"/>
    <w:rsid w:val="00E773EC"/>
    <w:rsid w:val="00E802DD"/>
    <w:rsid w:val="00E85018"/>
    <w:rsid w:val="00E859DF"/>
    <w:rsid w:val="00E87041"/>
    <w:rsid w:val="00E93BE6"/>
    <w:rsid w:val="00E95201"/>
    <w:rsid w:val="00EA1807"/>
    <w:rsid w:val="00EA23B6"/>
    <w:rsid w:val="00EA4947"/>
    <w:rsid w:val="00EC0C41"/>
    <w:rsid w:val="00EC11F0"/>
    <w:rsid w:val="00EC1594"/>
    <w:rsid w:val="00EC1B31"/>
    <w:rsid w:val="00EC1C8C"/>
    <w:rsid w:val="00EC446E"/>
    <w:rsid w:val="00EC6DF3"/>
    <w:rsid w:val="00ED2521"/>
    <w:rsid w:val="00ED2FB9"/>
    <w:rsid w:val="00ED2FBA"/>
    <w:rsid w:val="00ED4FEE"/>
    <w:rsid w:val="00EE0C7D"/>
    <w:rsid w:val="00EE2A43"/>
    <w:rsid w:val="00EE456B"/>
    <w:rsid w:val="00EF0EC9"/>
    <w:rsid w:val="00EF35BF"/>
    <w:rsid w:val="00EF381C"/>
    <w:rsid w:val="00F00C37"/>
    <w:rsid w:val="00F00E02"/>
    <w:rsid w:val="00F034AC"/>
    <w:rsid w:val="00F117AF"/>
    <w:rsid w:val="00F124BE"/>
    <w:rsid w:val="00F12C38"/>
    <w:rsid w:val="00F15397"/>
    <w:rsid w:val="00F160D2"/>
    <w:rsid w:val="00F25828"/>
    <w:rsid w:val="00F4748D"/>
    <w:rsid w:val="00F53841"/>
    <w:rsid w:val="00F53B21"/>
    <w:rsid w:val="00F54723"/>
    <w:rsid w:val="00F612B3"/>
    <w:rsid w:val="00F653FF"/>
    <w:rsid w:val="00F6671B"/>
    <w:rsid w:val="00F7064A"/>
    <w:rsid w:val="00F73F10"/>
    <w:rsid w:val="00F747AD"/>
    <w:rsid w:val="00F76D8A"/>
    <w:rsid w:val="00F87F11"/>
    <w:rsid w:val="00F942CA"/>
    <w:rsid w:val="00F9452C"/>
    <w:rsid w:val="00F94AE9"/>
    <w:rsid w:val="00F97085"/>
    <w:rsid w:val="00FA4060"/>
    <w:rsid w:val="00FB310C"/>
    <w:rsid w:val="00FB482B"/>
    <w:rsid w:val="00FB7206"/>
    <w:rsid w:val="00FC1D72"/>
    <w:rsid w:val="00FC22F3"/>
    <w:rsid w:val="00FC53BA"/>
    <w:rsid w:val="00FC5DAA"/>
    <w:rsid w:val="00FD6A9F"/>
    <w:rsid w:val="00FE0C92"/>
    <w:rsid w:val="00FE5577"/>
    <w:rsid w:val="00FE5C56"/>
    <w:rsid w:val="00FF34CA"/>
    <w:rsid w:val="00FF36B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5345"/>
    <o:shapelayout v:ext="edit">
      <o:idmap v:ext="edit" data="1"/>
    </o:shapelayout>
  </w:shapeDefaults>
  <w:decimalSymbol w:val="."/>
  <w:listSeparator w:val=","/>
  <w14:docId w14:val="41B05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DA3"/>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lv-LV"/>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link w:val="ListParagraphChar"/>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Title">
    <w:name w:val="TableTitle"/>
    <w:basedOn w:val="Normal"/>
    <w:next w:val="Normal"/>
    <w:link w:val="TableTitleChar"/>
    <w:rsid w:val="00DD40A7"/>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DD40A7"/>
    <w:rPr>
      <w:rFonts w:ascii="Arial" w:eastAsia="MS Mincho" w:hAnsi="Arial" w:cs="Times New Roman"/>
      <w:b/>
      <w:noProof/>
      <w:sz w:val="22"/>
      <w:szCs w:val="20"/>
      <w:lang w:val="lv-LV"/>
    </w:rPr>
  </w:style>
  <w:style w:type="paragraph" w:styleId="Revision">
    <w:name w:val="Revision"/>
    <w:hidden/>
    <w:uiPriority w:val="99"/>
    <w:semiHidden/>
    <w:rsid w:val="00BD6709"/>
    <w:rPr>
      <w:sz w:val="22"/>
    </w:rPr>
  </w:style>
  <w:style w:type="character" w:customStyle="1" w:styleId="FormatvorlageInstructionsTabelleText">
    <w:name w:val="Formatvorlage Instructions Tabelle Text"/>
    <w:uiPriority w:val="99"/>
    <w:qFormat/>
    <w:rsid w:val="001F2493"/>
    <w:rPr>
      <w:rFonts w:ascii="Verdana" w:hAnsi="Verdana" w:cs="Times New Roman"/>
      <w:bCs/>
      <w:sz w:val="20"/>
      <w:u w:val="none"/>
    </w:rPr>
  </w:style>
  <w:style w:type="character" w:customStyle="1" w:styleId="InstructionsTabelleberschrift">
    <w:name w:val="Instructions Tabelle Überschrift"/>
    <w:qFormat/>
    <w:rsid w:val="001F2493"/>
    <w:rPr>
      <w:rFonts w:ascii="Verdana" w:hAnsi="Verdana" w:cs="Times New Roman"/>
      <w:b/>
      <w:bCs/>
      <w:sz w:val="20"/>
      <w:u w:val="single"/>
    </w:rPr>
  </w:style>
  <w:style w:type="paragraph" w:customStyle="1" w:styleId="InstructionsText">
    <w:name w:val="Instructions Text"/>
    <w:basedOn w:val="Normal"/>
    <w:link w:val="InstructionsTextChar"/>
    <w:autoRedefine/>
    <w:rsid w:val="00972BBA"/>
    <w:pPr>
      <w:jc w:val="both"/>
    </w:pPr>
    <w:rPr>
      <w:rFonts w:ascii="Times New Roman" w:eastAsiaTheme="majorEastAsia" w:hAnsi="Times New Roman" w:cs="Arial"/>
      <w:bCs/>
      <w:szCs w:val="22"/>
      <w:lang w:eastAsia="de-DE"/>
    </w:rPr>
  </w:style>
  <w:style w:type="character" w:customStyle="1" w:styleId="InstructionsTextChar">
    <w:name w:val="Instructions Text Char"/>
    <w:link w:val="InstructionsText"/>
    <w:locked/>
    <w:rsid w:val="00972BBA"/>
    <w:rPr>
      <w:rFonts w:ascii="Times New Roman" w:eastAsiaTheme="majorEastAsia" w:hAnsi="Times New Roman" w:cs="Arial"/>
      <w:bCs/>
      <w:sz w:val="22"/>
      <w:szCs w:val="22"/>
      <w:lang w:val="lv-LV" w:eastAsia="de-DE"/>
    </w:rPr>
  </w:style>
  <w:style w:type="character" w:customStyle="1" w:styleId="ListParagraphChar">
    <w:name w:val="List Paragraph Char"/>
    <w:link w:val="ListParagraph"/>
    <w:uiPriority w:val="34"/>
    <w:rsid w:val="004876E9"/>
    <w:rPr>
      <w:rFonts w:ascii="Calibri" w:eastAsia="Calibri" w:hAnsi="Calibri" w:cs="Times New Roman"/>
      <w:sz w:val="22"/>
      <w:szCs w:val="22"/>
      <w:lang w:val="lv-LV"/>
    </w:rPr>
  </w:style>
  <w:style w:type="paragraph" w:customStyle="1" w:styleId="InstructionsText2">
    <w:name w:val="Instructions Text 2"/>
    <w:basedOn w:val="InstructionsText"/>
    <w:qFormat/>
    <w:rsid w:val="00900B16"/>
    <w:pPr>
      <w:numPr>
        <w:numId w:val="16"/>
      </w:numPr>
      <w:spacing w:after="240"/>
    </w:pPr>
    <w:rPr>
      <w:rFonts w:eastAsia="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BD59C-896A-4DAB-9995-8AFA42580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8488</Words>
  <Characters>48384</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2021-12-08T13:19:00Z</dcterms:created>
  <dcterms:modified xsi:type="dcterms:W3CDTF">2022-01-14T16:53:00Z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2022-01-14T16:53:11Z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77fa96ab-d543-4c38-86c3-5059d73aa215</vt:lpwstr>
  </property>
  <property fmtid="{D5CDD505-2E9C-101B-9397-08002B2CF9AE}" pid="8" name="MSIP_Label_5c7eb9de-735b-4a68-8fe4-c9c62709b012_ContentBits">
    <vt:lpwstr>1</vt:lpwstr>
  </property>
</Properties>
</file>