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F7EBEB" w14:textId="77777777" w:rsidR="006C4B04" w:rsidRDefault="00D53CDD">
      <w:pPr>
        <w:pStyle w:val="Typedudocument"/>
      </w:pPr>
      <w:r>
        <w:t xml:space="preserve">KOMISIJAS ĪSTENOŠANAS REGULA </w:t>
      </w:r>
      <w:r w:rsidR="0032217E">
        <w:t xml:space="preserve">(ES) </w:t>
      </w:r>
      <w:r w:rsidR="00854BD0">
        <w:t>2021</w:t>
      </w:r>
      <w:r w:rsidR="0032217E">
        <w:t>/…</w:t>
      </w:r>
    </w:p>
    <w:p w14:paraId="58225D2D" w14:textId="77777777" w:rsidR="006C4B04" w:rsidRDefault="0032217E">
      <w:pPr>
        <w:pStyle w:val="Datedadoption"/>
      </w:pPr>
      <w:r>
        <w:t>(</w:t>
      </w:r>
      <w:r w:rsidR="00854BD0">
        <w:rPr>
          <w:rStyle w:val="Marker2"/>
          <w:color w:val="auto"/>
        </w:rPr>
        <w:t>2021. gada 6. decembris</w:t>
      </w:r>
      <w:r>
        <w:t>),</w:t>
      </w:r>
    </w:p>
    <w:p w14:paraId="395D7A23" w14:textId="77777777" w:rsidR="006C4B04" w:rsidRDefault="0032217E">
      <w:pPr>
        <w:pStyle w:val="Titreobjet"/>
      </w:pPr>
      <w:r>
        <w:t>ar ko nosaka īstenošanas tehniskos standartus Eiropas Parlamenta un Padomes Regulas (ES) 2019/2033 piemērošanai attiecībā uz ieguldījumu brokeru sabiedrību sniegtajiem uzraudzības pārskatiem un informācijas atklāšanu</w:t>
      </w:r>
    </w:p>
    <w:p w14:paraId="5223750B" w14:textId="77777777" w:rsidR="006C4B04" w:rsidRDefault="0032217E">
      <w:pPr>
        <w:pStyle w:val="IntrtEEE"/>
      </w:pPr>
      <w:r>
        <w:t>(Dokuments attiecas uz EEZ)</w:t>
      </w:r>
    </w:p>
    <w:p w14:paraId="354E0927" w14:textId="77777777" w:rsidR="006C4B04" w:rsidRDefault="0032217E">
      <w:pPr>
        <w:pStyle w:val="Institutionquiagit"/>
      </w:pPr>
      <w:r>
        <w:t>EIROPAS KOMISIJA,</w:t>
      </w:r>
    </w:p>
    <w:p w14:paraId="0DC1F510" w14:textId="77777777" w:rsidR="006C4B04" w:rsidRDefault="0032217E">
      <w:r>
        <w:rPr>
          <w:color w:val="000000"/>
        </w:rPr>
        <w:t>ņemot vērā Līgumu par Eiropas Savienības darbību</w:t>
      </w:r>
      <w:r>
        <w:t>,</w:t>
      </w:r>
    </w:p>
    <w:p w14:paraId="64E31CC2" w14:textId="77777777" w:rsidR="006C4B04" w:rsidRDefault="0032217E">
      <w:r>
        <w:t>ņemot vērā Eiropas Parlamenta un Padomes Regulu (ES) 2019/2033 (2019. gada 27. novembris) par prudenciālajām prasībām ieguldījumu brokeru sabiedrībām un ar ko groza Regulas (ES) Nr. 1093/2010, (ES) Nr. 575/2013, (ES) Nr. 600/2014 un (ES) Nr. 806/2014 </w:t>
      </w:r>
      <w:r>
        <w:rPr>
          <w:rStyle w:val="FootnoteReference"/>
        </w:rPr>
        <w:footnoteReference w:id="1"/>
      </w:r>
      <w:r>
        <w:t xml:space="preserve"> un jo īpaši tās 49. panta 2. punktu un 54. panta 3. punktu,</w:t>
      </w:r>
    </w:p>
    <w:p w14:paraId="77D33649" w14:textId="77777777" w:rsidR="006C4B04" w:rsidRDefault="0032217E">
      <w:r>
        <w:t>tā kā:</w:t>
      </w:r>
    </w:p>
    <w:p w14:paraId="7CD6795D" w14:textId="77777777" w:rsidR="006C4B04" w:rsidRDefault="0032217E">
      <w:pPr>
        <w:pStyle w:val="Considrant"/>
        <w:numPr>
          <w:ilvl w:val="0"/>
          <w:numId w:val="0"/>
        </w:numPr>
        <w:tabs>
          <w:tab w:val="left" w:pos="709"/>
        </w:tabs>
        <w:ind w:left="709" w:hanging="709"/>
      </w:pPr>
      <w:r>
        <w:t>(1)</w:t>
      </w:r>
      <w:r>
        <w:tab/>
        <w:t>Regulas (ES) 2019/2033 54. pantā ieguldījumu brokeru sabiedrībām noteiktās pārskatu sniegšanas prasības būtu jāpielāgo ieguldījumu brokeru sabiedrību darījumdarbībai, un tām vajadzētu būt samērīgām ar dažādu ieguldījumu brokeru sabiedrību mērogu un sarežģītību. Minētajās prasībās jo īpaši būtu jāņem vērā tas, ka dažas ieguldījumu brokeru sabiedrības ir uzskatāmas par nelielām un savstarpēji nesaistītām atbilstoši Regulas (ES) 2019/2033 12. pantā izklāstītajiem nosacījumiem.</w:t>
      </w:r>
    </w:p>
    <w:p w14:paraId="4AFAE5E3" w14:textId="77777777" w:rsidR="006C4B04" w:rsidRDefault="0032217E">
      <w:pPr>
        <w:pStyle w:val="Considrant"/>
        <w:numPr>
          <w:ilvl w:val="0"/>
          <w:numId w:val="0"/>
        </w:numPr>
        <w:tabs>
          <w:tab w:val="left" w:pos="709"/>
        </w:tabs>
        <w:ind w:left="709" w:hanging="709"/>
      </w:pPr>
      <w:r>
        <w:t>(2)</w:t>
      </w:r>
      <w:r>
        <w:tab/>
        <w:t xml:space="preserve">Saskaņā ar Regulas (ES) 2019/2033 54. panta 1. punktu nelielām un savstarpēji nesaistītām ieguldījumu brokeru sabiedrībām ir jāsniedz informācija par pašu kapitāla apmēru un struktūru, pašu kapitāla prasībām, pašu kapitāla prasību aprēķināšanas pamatu un aktivitātes līmeni attiecībā uz Regulas (ES) 2019/2033 12. panta 1. punktā izklāstītajiem nosacījumiem. Tādējādi nelielām un savstarpēji nesaistītām ieguldījumu brokeru sabiedrībām netiek noteikta prasība sniegt tādu pašu informācijas detalizācijas pakāpi kā citām ieguldījumu brokeru sabiedrībām, uz kurām attiecas Regula (ES) 2019/2033. Tāpēc pārskatu veidnes par K-faktora aprēķināšanu nebūtu jāpiemēro nelielām un savstarpēji nesaistītām ieguldījumu brokeru sabiedrībām. Turklāt saskaņā ar Regulas (ES) 2019/2033 54. panta 2. punkta trešo daļu </w:t>
      </w:r>
      <w:bookmarkStart w:id="0" w:name="_DV_C108"/>
      <w:r>
        <w:t>nelielas un savstarpēji nesaistītas ieguldījumu brokeru sabiedrības ir atbrīvotas no pārskatu sniegšanas par koncentrācijas risku, un kompetentās iestādes var atbrīvot nelielas un savstarpēji nesaistītas brokeru sabiedrības no pienākuma sniegt pārskatu par likviditātes prasībām</w:t>
      </w:r>
      <w:bookmarkStart w:id="1" w:name="_DV_M108"/>
      <w:bookmarkEnd w:id="0"/>
      <w:bookmarkEnd w:id="1"/>
      <w:r>
        <w:t>.</w:t>
      </w:r>
    </w:p>
    <w:p w14:paraId="16520E1C" w14:textId="77777777" w:rsidR="006C4B04" w:rsidRDefault="0032217E">
      <w:pPr>
        <w:pStyle w:val="Considrant"/>
        <w:numPr>
          <w:ilvl w:val="0"/>
          <w:numId w:val="0"/>
        </w:numPr>
        <w:tabs>
          <w:tab w:val="left" w:pos="709"/>
        </w:tabs>
        <w:ind w:left="709" w:hanging="709"/>
      </w:pPr>
      <w:r>
        <w:t>(3)</w:t>
      </w:r>
      <w:r>
        <w:tab/>
        <w:t>Visām ieguldījumu brokeru sabiedrībām, uz kurām attiecas Regula (ES) 2019/2033, būtu jāsniedz pārskats par to darbības profilu un lielumu, lai kompetentās iestādes varētu novērtēt, vai minētās ieguldījumu brokeru sabiedrības atbilst Regulas (ES) 2019/2033 12. pantā minētajiem nosacījumiem, lai tās klasificētu kā nelielas un savstarpēji nesaistītas ieguldījumu brokeru sabiedrības.</w:t>
      </w:r>
    </w:p>
    <w:p w14:paraId="64F3F713" w14:textId="77777777" w:rsidR="006C4B04" w:rsidRDefault="0032217E">
      <w:pPr>
        <w:pStyle w:val="Considrant"/>
        <w:numPr>
          <w:ilvl w:val="0"/>
          <w:numId w:val="0"/>
        </w:numPr>
        <w:tabs>
          <w:tab w:val="left" w:pos="709"/>
        </w:tabs>
        <w:ind w:left="709" w:hanging="709"/>
      </w:pPr>
      <w:r>
        <w:t>(4)</w:t>
      </w:r>
      <w:r>
        <w:tab/>
        <w:t xml:space="preserve">Lai nodrošinātu pārredzamību to ieguldītājiem un plašākiem tirgiem, Regulas (ES) 2019/2033 46. pantā ir noteikts, ka ieguldījumu brokeru sabiedrībām, kas nav nelielas </w:t>
      </w:r>
      <w:r>
        <w:lastRenderedPageBreak/>
        <w:t>un savstarpēji nesaistītas ieguldījumu brokeru sabiedrības, ir publiski jāatklāj minētās regulas sestajā daļā norādītā informācija. Nelielām un savstarpēji nesaistītām ieguldījumu brokeru sabiedrībām nav jāpiemēro minētās informācijas atklāšanas prasības, izņemot gadījumā, ja tās emitē pirmā līmeņa papildu kapitāla instrumentus, lai nodrošinātu pārredzamību ieguldītājiem minētajos instrumentos.</w:t>
      </w:r>
    </w:p>
    <w:p w14:paraId="7E5A88DD" w14:textId="77777777" w:rsidR="006C4B04" w:rsidRDefault="0032217E">
      <w:pPr>
        <w:pStyle w:val="Considrant"/>
        <w:numPr>
          <w:ilvl w:val="0"/>
          <w:numId w:val="0"/>
        </w:numPr>
        <w:tabs>
          <w:tab w:val="left" w:pos="709"/>
        </w:tabs>
        <w:ind w:left="709" w:hanging="709"/>
      </w:pPr>
      <w:r>
        <w:t>(5)</w:t>
      </w:r>
      <w:r>
        <w:tab/>
        <w:t>Šai regulai būtu jānodrošina ieguldījumu brokeru sabiedrībām veidnes un tabulas, lai sniegtu pietiekami visaptverošu un salīdzināmu informāciju par to pašu kapitāla struktūru un kvalitāti. Konkrētāk, ir jāievieš kvantitatīva informācijas atklāšanas veidne par pašu kapitāla struktūru un elastīga veidne par likumā noteiktā pašu kapitāla saskaņošanu ar revidētajiem finanšu pārskatiem. Tā paša iemesla dēļ ir arī jāizveido veidne informācijai par ieguldījumu brokeru sabiedrības emitēto pašu kapitāla instrumentu būtiskākajām iezīmēm.</w:t>
      </w:r>
    </w:p>
    <w:p w14:paraId="724174E0" w14:textId="77777777" w:rsidR="006C4B04" w:rsidRDefault="0032217E">
      <w:pPr>
        <w:pStyle w:val="Considrant"/>
        <w:numPr>
          <w:ilvl w:val="0"/>
          <w:numId w:val="0"/>
        </w:numPr>
        <w:tabs>
          <w:tab w:val="left" w:pos="709"/>
        </w:tabs>
        <w:ind w:left="709" w:hanging="709"/>
      </w:pPr>
      <w:r>
        <w:t>(6)</w:t>
      </w:r>
      <w:r>
        <w:tab/>
      </w:r>
      <w:r>
        <w:rPr>
          <w:color w:val="000000"/>
        </w:rPr>
        <w:t>Lai atvieglotu pārskatu sniegšanas un informācijas atklāšanas prasību īstenošanu, ir jāuzlabo konsekvence starp pārskatu sniegšanas un informācijas atklāšanas veidnēm. Tāpēc veidne informācijas atklāšanai par pašu kapitāla struktūru būtu rūpīgi jāpielāgo attiecīgajai pārskatu sniegšanas veidnei par pašu kapitāla apmēru un struktūru. Tā paša iemesla dēļ veidnei informācijas atklāšanai par pašu kapitāla pilnīgu saskaņošanu ar revidētajiem finanšu pārskatiem vajadzētu būt elastīgai, jo veidne jāsadala, pamatojoties uz bilances sadalījumu ieguldījumu brokeru sabiedrības revidētajos finanšu pārskatos. Turklāt veidnei informācijas atklāšanai par likumā noteiktā pašu kapitāla galvenajām iezīmēm vajadzētu būt fiksētai veidnei, un tās sarežģītībai vajadzētu būt atkarīgai no pašu kapitāla instrumentu sarežģītības.</w:t>
      </w:r>
    </w:p>
    <w:p w14:paraId="793139C9" w14:textId="64D8A096" w:rsidR="006C4B04" w:rsidRDefault="0032217E" w:rsidP="00C70BB8">
      <w:pPr>
        <w:pStyle w:val="Considrant"/>
        <w:numPr>
          <w:ilvl w:val="0"/>
          <w:numId w:val="0"/>
        </w:numPr>
        <w:tabs>
          <w:tab w:val="left" w:pos="709"/>
        </w:tabs>
        <w:ind w:left="709" w:hanging="709"/>
      </w:pPr>
      <w:r>
        <w:t>(7)</w:t>
      </w:r>
      <w:r>
        <w:tab/>
        <w:t>Lai nodrošinātu, ka atbilstības nodrošināšanas izmaksas ieguldījumu brokeru sabiedrībām netiek nepamatoti palielinātas un ka tiek saglabāta datu kvalitāte, pārskatu sniegšanas un informācijas atklāšanas pienākumi pēc būtības būtu pēc iespējas jāsaskaņo savā starpā. Tāpēc ir lietderīgi vienā regulā noteikt standartus, kas piemērojami gan pārskatu sniegšanas, gan informācijas sniegšanas prasībām.</w:t>
      </w:r>
    </w:p>
    <w:p w14:paraId="7082C442" w14:textId="319F926C" w:rsidR="006C4B04" w:rsidRDefault="0032217E">
      <w:pPr>
        <w:pStyle w:val="Considrant"/>
        <w:numPr>
          <w:ilvl w:val="0"/>
          <w:numId w:val="0"/>
        </w:numPr>
        <w:tabs>
          <w:tab w:val="left" w:pos="709"/>
        </w:tabs>
        <w:ind w:left="709" w:hanging="709"/>
      </w:pPr>
      <w:r>
        <w:t>(</w:t>
      </w:r>
      <w:r w:rsidR="00C70BB8">
        <w:t>8</w:t>
      </w:r>
      <w:r>
        <w:t>)</w:t>
      </w:r>
      <w:r>
        <w:tab/>
        <w:t>Šīs regulas pamatā ir īstenošanas tehnisko standartu projekts, ko Komisijai iesniegusi Eiropas Banku iestāde (EBI) pēc apspriešanās ar Eiropas Vērtspapīru un tirgus iestādi.</w:t>
      </w:r>
    </w:p>
    <w:p w14:paraId="63B01C13" w14:textId="64E75276" w:rsidR="006C4B04" w:rsidRDefault="0032217E">
      <w:pPr>
        <w:pStyle w:val="Considrant"/>
        <w:numPr>
          <w:ilvl w:val="0"/>
          <w:numId w:val="0"/>
        </w:numPr>
        <w:tabs>
          <w:tab w:val="left" w:pos="709"/>
        </w:tabs>
        <w:ind w:left="709" w:hanging="709"/>
      </w:pPr>
      <w:r>
        <w:t>(</w:t>
      </w:r>
      <w:r w:rsidR="00C70BB8">
        <w:t>9</w:t>
      </w:r>
      <w:r>
        <w:t>)</w:t>
      </w:r>
      <w:r>
        <w:tab/>
        <w:t>EBI ir īstenojusi atklātu sabiedrisko apspriešanu par īstenošanas tehnisko standartu projektu, kurš ir šīs regulas pamatā, analizējusi iespējamās saistītās izmaksas un ieguvumus un lūgusi atzinumu Banku nozares ieinteresēto personu grupai, kas izveidota saskaņā ar Eiropas Parlamenta un Padomes Regulas (ES) Nr. 1093/2010 </w:t>
      </w:r>
      <w:r>
        <w:rPr>
          <w:rStyle w:val="FootnoteReference"/>
        </w:rPr>
        <w:footnoteReference w:id="2"/>
      </w:r>
      <w:r>
        <w:t xml:space="preserve"> 37. pantu,</w:t>
      </w:r>
    </w:p>
    <w:p w14:paraId="7631E7BB" w14:textId="77777777" w:rsidR="006C4B04" w:rsidRDefault="0032217E">
      <w:pPr>
        <w:pStyle w:val="Formuledadoption"/>
      </w:pPr>
      <w:r>
        <w:t>IR PIEŅĒMUSI ŠO REGULU.</w:t>
      </w:r>
    </w:p>
    <w:p w14:paraId="7393E12C" w14:textId="77777777" w:rsidR="006C4B04" w:rsidRPr="00854BD0" w:rsidRDefault="0032217E">
      <w:pPr>
        <w:pStyle w:val="ChapterTitle"/>
        <w:rPr>
          <w:b w:val="0"/>
        </w:rPr>
      </w:pPr>
      <w:r w:rsidRPr="00854BD0">
        <w:rPr>
          <w:b w:val="0"/>
        </w:rPr>
        <w:t>I NODAĻA</w:t>
      </w:r>
    </w:p>
    <w:p w14:paraId="0B325916" w14:textId="77777777" w:rsidR="006C4B04" w:rsidRDefault="0032217E">
      <w:pPr>
        <w:pStyle w:val="ChapterTitle"/>
      </w:pPr>
      <w:r>
        <w:t>UZRAUDZĪBAS PĀRSKATU SNIEGŠANA</w:t>
      </w:r>
    </w:p>
    <w:p w14:paraId="25905D76" w14:textId="77777777" w:rsidR="006C4B04" w:rsidRDefault="0032217E">
      <w:pPr>
        <w:pStyle w:val="Titrearticle"/>
      </w:pPr>
      <w:r>
        <w:t>1. pants</w:t>
      </w:r>
    </w:p>
    <w:p w14:paraId="2E5E41BF" w14:textId="77777777" w:rsidR="006C4B04" w:rsidRDefault="0032217E">
      <w:pPr>
        <w:pStyle w:val="Titrearticle"/>
        <w:spacing w:before="120"/>
        <w:rPr>
          <w:b/>
          <w:i w:val="0"/>
        </w:rPr>
      </w:pPr>
      <w:r>
        <w:rPr>
          <w:b/>
          <w:i w:val="0"/>
        </w:rPr>
        <w:t>Pārskatu atsauces datumi</w:t>
      </w:r>
    </w:p>
    <w:p w14:paraId="710D19F8" w14:textId="77777777" w:rsidR="006C4B04" w:rsidRDefault="0032217E">
      <w:pPr>
        <w:pStyle w:val="NumPar1"/>
        <w:numPr>
          <w:ilvl w:val="0"/>
          <w:numId w:val="0"/>
        </w:numPr>
        <w:tabs>
          <w:tab w:val="left" w:pos="567"/>
        </w:tabs>
      </w:pPr>
      <w:r>
        <w:t>1.</w:t>
      </w:r>
      <w:r>
        <w:tab/>
        <w:t>Regulas 54. panta 1. punktā minēto informāciju uzrāda, kāda tā ir šādos pārskatu atsauces datumos:</w:t>
      </w:r>
    </w:p>
    <w:p w14:paraId="1EAA3A47" w14:textId="77777777" w:rsidR="006C4B04" w:rsidRDefault="0032217E">
      <w:pPr>
        <w:pStyle w:val="Point1letter"/>
        <w:numPr>
          <w:ilvl w:val="0"/>
          <w:numId w:val="0"/>
        </w:numPr>
        <w:ind w:left="567" w:hanging="567"/>
      </w:pPr>
      <w:r>
        <w:lastRenderedPageBreak/>
        <w:t>a)</w:t>
      </w:r>
      <w:r>
        <w:tab/>
        <w:t>ceturkšņa pārskatus – 31. martā, 30. jūnijā, 30. septembrī un 31. decembrī;</w:t>
      </w:r>
    </w:p>
    <w:p w14:paraId="038A80F3" w14:textId="77777777" w:rsidR="006C4B04" w:rsidRDefault="0032217E">
      <w:pPr>
        <w:pStyle w:val="Point1letter"/>
        <w:numPr>
          <w:ilvl w:val="0"/>
          <w:numId w:val="0"/>
        </w:numPr>
        <w:ind w:left="567" w:hanging="567"/>
      </w:pPr>
      <w:r>
        <w:t>b)</w:t>
      </w:r>
      <w:r>
        <w:tab/>
        <w:t>gada pārskatus – 31. decembrī.</w:t>
      </w:r>
    </w:p>
    <w:p w14:paraId="7381A4DE" w14:textId="77777777" w:rsidR="006C4B04" w:rsidRDefault="0032217E">
      <w:pPr>
        <w:pStyle w:val="NumPar1"/>
        <w:numPr>
          <w:ilvl w:val="0"/>
          <w:numId w:val="0"/>
        </w:numPr>
        <w:tabs>
          <w:tab w:val="left" w:pos="567"/>
        </w:tabs>
      </w:pPr>
      <w:r>
        <w:t>2.</w:t>
      </w:r>
      <w:r>
        <w:tab/>
        <w:t>Šā panta 1. punktā minētos pārskatu atsauces datumus var koriģēt, ja saskaņā ar valsts tiesību aktiem ieguldījumu brokeru sabiedrībām ir atļauts sniegt savu finanšu informāciju, pamatojoties uz grāmatvedības gada beigām, kas atšķiras no kalendārā gada, tā, lai ceturkšņa informācijas sniegšana tiktu veikta ik pēc attiecīgā grāmatvedības gada trīs mēnešiem un gada pārskatu sniegšana – pārskata gada beigās.</w:t>
      </w:r>
    </w:p>
    <w:p w14:paraId="4F9EDA80" w14:textId="77777777" w:rsidR="006C4B04" w:rsidRDefault="0032217E">
      <w:pPr>
        <w:pStyle w:val="Titrearticle"/>
      </w:pPr>
      <w:r>
        <w:t>2. pants</w:t>
      </w:r>
    </w:p>
    <w:p w14:paraId="1C313219" w14:textId="77777777" w:rsidR="006C4B04" w:rsidRDefault="0032217E">
      <w:pPr>
        <w:pStyle w:val="Titrearticle"/>
        <w:spacing w:before="120"/>
        <w:rPr>
          <w:b/>
          <w:i w:val="0"/>
        </w:rPr>
      </w:pPr>
      <w:r>
        <w:rPr>
          <w:b/>
          <w:i w:val="0"/>
        </w:rPr>
        <w:t>Pārskatu nosūtīšanas datumi</w:t>
      </w:r>
    </w:p>
    <w:p w14:paraId="265BBB81" w14:textId="77777777" w:rsidR="006C4B04" w:rsidRDefault="00854BD0">
      <w:pPr>
        <w:pStyle w:val="NumPar1"/>
        <w:numPr>
          <w:ilvl w:val="0"/>
          <w:numId w:val="0"/>
        </w:numPr>
        <w:tabs>
          <w:tab w:val="left" w:pos="567"/>
        </w:tabs>
      </w:pPr>
      <w:r>
        <w:t>1</w:t>
      </w:r>
      <w:r w:rsidR="0032217E">
        <w:t>.</w:t>
      </w:r>
      <w:r w:rsidR="0032217E">
        <w:tab/>
        <w:t>Regulas (ES) 2019/2033 54. panta 1. punktā minēto informāciju iesniedz līdz šādu nosūtīšanas datumu darba dienas beigām:</w:t>
      </w:r>
    </w:p>
    <w:p w14:paraId="28351636" w14:textId="77777777" w:rsidR="006C4B04" w:rsidRDefault="00854BD0">
      <w:pPr>
        <w:pStyle w:val="Point1letter"/>
        <w:numPr>
          <w:ilvl w:val="0"/>
          <w:numId w:val="0"/>
        </w:numPr>
        <w:ind w:left="567" w:hanging="567"/>
      </w:pPr>
      <w:r>
        <w:t>a</w:t>
      </w:r>
      <w:r w:rsidR="0032217E">
        <w:t>)</w:t>
      </w:r>
      <w:r w:rsidR="0032217E">
        <w:tab/>
        <w:t>ceturkšņa pārskatus – 12. maijā, 11. augustā, 11. novembrī un 11. februārī;</w:t>
      </w:r>
    </w:p>
    <w:p w14:paraId="17A1E0FF" w14:textId="77777777" w:rsidR="006C4B04" w:rsidRDefault="00854BD0">
      <w:pPr>
        <w:pStyle w:val="Point1letter"/>
        <w:numPr>
          <w:ilvl w:val="0"/>
          <w:numId w:val="0"/>
        </w:numPr>
        <w:ind w:left="567" w:hanging="567"/>
      </w:pPr>
      <w:r>
        <w:t>b</w:t>
      </w:r>
      <w:r w:rsidR="0032217E">
        <w:t>)</w:t>
      </w:r>
      <w:r w:rsidR="0032217E">
        <w:tab/>
        <w:t>gada pārskatus – 11. februārī.</w:t>
      </w:r>
    </w:p>
    <w:p w14:paraId="38416623" w14:textId="77777777" w:rsidR="006C4B04" w:rsidRDefault="00854BD0">
      <w:pPr>
        <w:pStyle w:val="NumPar1"/>
        <w:numPr>
          <w:ilvl w:val="0"/>
          <w:numId w:val="0"/>
        </w:numPr>
        <w:tabs>
          <w:tab w:val="left" w:pos="567"/>
        </w:tabs>
      </w:pPr>
      <w:r>
        <w:t>2</w:t>
      </w:r>
      <w:r w:rsidR="0032217E">
        <w:t>.</w:t>
      </w:r>
      <w:r w:rsidR="0032217E">
        <w:tab/>
        <w:t>Ja pārskatu nosūtīšanas datums ir brīvdiena tās kompetentās iestādes dalībvalstī, kurai pārskats ir sniedzams, vai arī sestdiena vai svētdiena, pārskatu nosūtīšanas datums ir nākamā darba diena.</w:t>
      </w:r>
    </w:p>
    <w:p w14:paraId="3FF81BD7" w14:textId="77777777" w:rsidR="006C4B04" w:rsidRDefault="00854BD0">
      <w:pPr>
        <w:pStyle w:val="NumPar1"/>
        <w:numPr>
          <w:ilvl w:val="0"/>
          <w:numId w:val="0"/>
        </w:numPr>
        <w:tabs>
          <w:tab w:val="left" w:pos="567"/>
        </w:tabs>
      </w:pPr>
      <w:r>
        <w:t>3</w:t>
      </w:r>
      <w:r w:rsidR="0032217E">
        <w:t>.</w:t>
      </w:r>
      <w:r w:rsidR="0032217E">
        <w:tab/>
        <w:t>Ja ieguldījumu brokeru sabiedrības savu informāciju sniedz, izmantojot pielāgotus pārskatu atsauces datumus, kas balstīti uz to pārskata gada beigām, kā noteikts šīs regulas 1. panta 2. punktā, nosūtīšanas datumus var attiecīgi pielāgot, lai tiktu saglabāts tas pats nosūtīšanas periods no pielāgotā pārskatu atsauces datuma.</w:t>
      </w:r>
    </w:p>
    <w:p w14:paraId="2C50D9C1" w14:textId="77777777" w:rsidR="006C4B04" w:rsidRDefault="00854BD0">
      <w:pPr>
        <w:pStyle w:val="NumPar1"/>
        <w:numPr>
          <w:ilvl w:val="0"/>
          <w:numId w:val="0"/>
        </w:numPr>
        <w:tabs>
          <w:tab w:val="left" w:pos="567"/>
        </w:tabs>
      </w:pPr>
      <w:r>
        <w:t>4</w:t>
      </w:r>
      <w:r w:rsidR="0032217E">
        <w:t>.</w:t>
      </w:r>
      <w:r w:rsidR="0032217E">
        <w:tab/>
        <w:t>Ieguldījumu brokeru sabiedrības var iesniegt nerevidētus datus. Ja revidētie dati atšķiras no iesniegtajiem nerevidētajiem datiem, pārskatītos revidētos datus iesniedz bez liekas kavēšanās. Šajā pantā “nerevidēti dati” ir dati, par kuriem nav sniegts ārēja revidenta atzinums, savukārt revidēti dati ir dati, kuru revīziju ir veicis ārējs revidents, kas sniedz revīzijas atzinumu.</w:t>
      </w:r>
    </w:p>
    <w:p w14:paraId="34BE8201" w14:textId="77777777" w:rsidR="006C4B04" w:rsidRDefault="00854BD0">
      <w:pPr>
        <w:pStyle w:val="NumPar1"/>
        <w:numPr>
          <w:ilvl w:val="0"/>
          <w:numId w:val="0"/>
        </w:numPr>
        <w:tabs>
          <w:tab w:val="left" w:pos="567"/>
        </w:tabs>
      </w:pPr>
      <w:r>
        <w:t>5</w:t>
      </w:r>
      <w:r w:rsidR="0032217E">
        <w:t>.</w:t>
      </w:r>
      <w:r w:rsidR="0032217E">
        <w:tab/>
        <w:t>Labojumus iesniegtajos pārskatos iesniedz kompetentajām iestādēm bez liekas kavēšanās.</w:t>
      </w:r>
    </w:p>
    <w:p w14:paraId="0B8E1F62" w14:textId="77777777" w:rsidR="006C4B04" w:rsidRDefault="0032217E">
      <w:pPr>
        <w:pStyle w:val="Titrearticle"/>
      </w:pPr>
      <w:r>
        <w:t>3. pants</w:t>
      </w:r>
    </w:p>
    <w:p w14:paraId="66569CDC" w14:textId="77777777" w:rsidR="006C4B04" w:rsidRDefault="0032217E">
      <w:pPr>
        <w:pStyle w:val="Titrearticle"/>
        <w:spacing w:before="120"/>
        <w:rPr>
          <w:b/>
          <w:i w:val="0"/>
        </w:rPr>
      </w:pPr>
      <w:r>
        <w:rPr>
          <w:b/>
          <w:i w:val="0"/>
        </w:rPr>
        <w:t>Pārskatu sniegšanas prasību individuāla piemērošana</w:t>
      </w:r>
    </w:p>
    <w:p w14:paraId="23CC8ED9" w14:textId="77777777" w:rsidR="006C4B04" w:rsidRDefault="0032217E">
      <w:r>
        <w:t>Lai individuāli izpildītu Regulas (ES) 2019/2033 54. pantā noteiktās pārskatu sniegšanas prasības, ieguldījumu brokeru sabiedrības šīs regulas 5., 6. un 7. pantā norādīto informāciju sniedz ar tajos norādīto regularitāti.</w:t>
      </w:r>
    </w:p>
    <w:p w14:paraId="7990D606" w14:textId="77777777" w:rsidR="006C4B04" w:rsidRDefault="0032217E">
      <w:pPr>
        <w:pStyle w:val="Titrearticle"/>
      </w:pPr>
      <w:r>
        <w:t>4. pants</w:t>
      </w:r>
    </w:p>
    <w:p w14:paraId="446F910D" w14:textId="77777777" w:rsidR="006C4B04" w:rsidRDefault="0032217E">
      <w:pPr>
        <w:pStyle w:val="Titrearticle"/>
        <w:spacing w:before="120"/>
        <w:rPr>
          <w:b/>
          <w:i w:val="0"/>
        </w:rPr>
      </w:pPr>
      <w:r>
        <w:rPr>
          <w:b/>
          <w:i w:val="0"/>
        </w:rPr>
        <w:t>Konsolidēta pārskatu sniegšanas prasību piemērošana</w:t>
      </w:r>
    </w:p>
    <w:p w14:paraId="071C76B8" w14:textId="77777777" w:rsidR="006C4B04" w:rsidRDefault="0032217E">
      <w:pPr>
        <w:rPr>
          <w:i/>
        </w:rPr>
      </w:pPr>
      <w:r>
        <w:t>Lai konsolidēti izpildītu Regulas (ES) 2019/2033 54. pantā minētās pārskatu sniegšanas prasības, ieguldījumu brokeru sabiedrības šīs īstenošanas regulas 5. un 6. pantā norādīto informāciju sniedz ar tajos norādīto regularitāti.</w:t>
      </w:r>
    </w:p>
    <w:p w14:paraId="6A031FE5" w14:textId="77777777" w:rsidR="006C4B04" w:rsidRDefault="0032217E">
      <w:pPr>
        <w:pStyle w:val="Titrearticle"/>
      </w:pPr>
      <w:r>
        <w:lastRenderedPageBreak/>
        <w:t>5. pants</w:t>
      </w:r>
    </w:p>
    <w:p w14:paraId="14EB9718" w14:textId="77777777" w:rsidR="006C4B04" w:rsidRDefault="0032217E">
      <w:pPr>
        <w:pStyle w:val="Titrearticle"/>
        <w:spacing w:before="120"/>
        <w:rPr>
          <w:b/>
          <w:i w:val="0"/>
        </w:rPr>
      </w:pPr>
      <w:r>
        <w:rPr>
          <w:b/>
          <w:i w:val="0"/>
        </w:rPr>
        <w:t>Ieguldījumu brokeru sabiedrību, kas nav nelielas un savstarpēji nesaistītas ieguldījumu brokeru sabiedrības, pārskatu sniegšanas formāts un biežums</w:t>
      </w:r>
    </w:p>
    <w:p w14:paraId="2D1033B6" w14:textId="77777777" w:rsidR="006C4B04" w:rsidRDefault="00854BD0">
      <w:pPr>
        <w:pStyle w:val="NumPar1"/>
        <w:numPr>
          <w:ilvl w:val="0"/>
          <w:numId w:val="0"/>
        </w:numPr>
        <w:tabs>
          <w:tab w:val="left" w:pos="567"/>
        </w:tabs>
      </w:pPr>
      <w:r>
        <w:t>1</w:t>
      </w:r>
      <w:r w:rsidR="0032217E">
        <w:t>.</w:t>
      </w:r>
      <w:r w:rsidR="0032217E">
        <w:tab/>
        <w:t>Ieguldījumu brokeru sabiedrības, kas nav nelielas un savstarpēji nesaistītas ieguldījumu brokeru sabiedrības, Regulas (ES) 2019/2033 54. panta 1. un 2. punktā prasīto informāciju sniedz reizi ceturksnī, izmantojot veidnes, kas noteiktas šīs regulas I pielikumā, ievērojot šīs regulas II pielikumā sniegtos norādījumus.</w:t>
      </w:r>
    </w:p>
    <w:p w14:paraId="619C853D" w14:textId="77777777" w:rsidR="006C4B04" w:rsidRDefault="00854BD0">
      <w:pPr>
        <w:pStyle w:val="NumPar1"/>
        <w:numPr>
          <w:ilvl w:val="0"/>
          <w:numId w:val="0"/>
        </w:numPr>
        <w:tabs>
          <w:tab w:val="left" w:pos="567"/>
        </w:tabs>
        <w:rPr>
          <w:szCs w:val="24"/>
        </w:rPr>
      </w:pPr>
      <w:r>
        <w:rPr>
          <w:szCs w:val="24"/>
        </w:rPr>
        <w:t>2</w:t>
      </w:r>
      <w:r w:rsidR="0032217E">
        <w:rPr>
          <w:szCs w:val="24"/>
        </w:rPr>
        <w:t>.</w:t>
      </w:r>
      <w:r w:rsidR="0032217E">
        <w:rPr>
          <w:szCs w:val="24"/>
        </w:rPr>
        <w:tab/>
      </w:r>
      <w:r w:rsidR="0032217E">
        <w:t>Ieguldījumu brokeru sabiedrības, kas nav nelielas un savstarpēji nesaistītas ieguldījumu brokeru sabiedrības, kuras nosaka ar tirgu saistīto risku (</w:t>
      </w:r>
      <w:r w:rsidR="0032217E">
        <w:rPr>
          <w:i/>
        </w:rPr>
        <w:t>RtM</w:t>
      </w:r>
      <w:r w:rsidR="0032217E">
        <w:t>) K-faktora prasību, pamatojoties uz K-NPR saskaņā ar Regulas (ES) 2019/2033 21. panta 1. punktu, Komisijas Īstenošanas regulas (ES) 2021/451</w:t>
      </w:r>
      <w:r w:rsidR="005C234C">
        <w:rPr>
          <w:rStyle w:val="FootnoteReference"/>
        </w:rPr>
        <w:footnoteReference w:id="3"/>
      </w:r>
      <w:r w:rsidR="0032217E">
        <w:t xml:space="preserve"> I pielikuma C 18.00.–C 24.00. veidnē norādīto informāciju sniedz reizi ceturksnī saskaņā ar norādījumiem, kas izklāstīti minētās īstenošanas regulas II pielikuma 2. daļā.</w:t>
      </w:r>
    </w:p>
    <w:p w14:paraId="4CB050DF" w14:textId="77777777" w:rsidR="006C4B04" w:rsidRDefault="00854BD0">
      <w:pPr>
        <w:pStyle w:val="NumPar1"/>
        <w:numPr>
          <w:ilvl w:val="0"/>
          <w:numId w:val="0"/>
        </w:numPr>
        <w:tabs>
          <w:tab w:val="left" w:pos="567"/>
        </w:tabs>
        <w:rPr>
          <w:szCs w:val="24"/>
        </w:rPr>
      </w:pPr>
      <w:r>
        <w:rPr>
          <w:szCs w:val="24"/>
        </w:rPr>
        <w:t>3</w:t>
      </w:r>
      <w:r w:rsidR="0032217E">
        <w:rPr>
          <w:szCs w:val="24"/>
        </w:rPr>
        <w:t>.</w:t>
      </w:r>
      <w:r w:rsidR="0032217E">
        <w:rPr>
          <w:szCs w:val="24"/>
        </w:rPr>
        <w:tab/>
      </w:r>
      <w:r w:rsidR="0032217E">
        <w:t>Ieguldījumu brokeru sabiedrības, kas nav nelielas un savstarpēji nesaistītas ieguldījumu brokeru sabiedrības, kuras izmanto Regulas (ES) 2019/2033 25. panta 4. punktā noteikto atkāpi, Īstenošanas regulas (ES) 2021/451 I pielikuma C 34.02. veidnē norādīto informāciju sniedz reizi ceturksnī saskaņā ar norādījumiem, kas izklāstīti minētās īstenošanas regulas II pielikuma 2. daļā.</w:t>
      </w:r>
    </w:p>
    <w:p w14:paraId="231B6171" w14:textId="77777777" w:rsidR="006C4B04" w:rsidRDefault="00854BD0">
      <w:pPr>
        <w:pStyle w:val="NumPar1"/>
        <w:numPr>
          <w:ilvl w:val="0"/>
          <w:numId w:val="0"/>
        </w:numPr>
        <w:tabs>
          <w:tab w:val="left" w:pos="567"/>
        </w:tabs>
        <w:rPr>
          <w:szCs w:val="24"/>
        </w:rPr>
      </w:pPr>
      <w:r>
        <w:rPr>
          <w:szCs w:val="24"/>
        </w:rPr>
        <w:t>4</w:t>
      </w:r>
      <w:r w:rsidR="0032217E">
        <w:rPr>
          <w:szCs w:val="24"/>
        </w:rPr>
        <w:t>.</w:t>
      </w:r>
      <w:r w:rsidR="0032217E">
        <w:rPr>
          <w:szCs w:val="24"/>
        </w:rPr>
        <w:tab/>
      </w:r>
      <w:r w:rsidR="0032217E">
        <w:t>Ieguldījumu brokeru sabiedrības, kas nav nelielas un savstarpēji nesaistītas ieguldījumu brokeru sabiedrības, kuras izmanto Regulas (ES) 2019/2033 25. panta 5. punkta otrajā daļā minēto atkāpi, Īstenošanas regulas (ES) 2021/451 I pielikuma C 25.00. veidnē norādīto informāciju sniedz reizi ceturksnī saskaņā ar norādījumiem, kas izklāstīti minētās īstenošanas regulas II pielikuma 2. daļā.</w:t>
      </w:r>
    </w:p>
    <w:p w14:paraId="6C75EB23" w14:textId="77777777" w:rsidR="006C4B04" w:rsidRDefault="0032217E">
      <w:pPr>
        <w:pStyle w:val="Titrearticle"/>
      </w:pPr>
      <w:r>
        <w:t>6. pants</w:t>
      </w:r>
    </w:p>
    <w:p w14:paraId="02CA9BAC" w14:textId="77777777" w:rsidR="006C4B04" w:rsidRDefault="0032217E">
      <w:pPr>
        <w:pStyle w:val="Titrearticle"/>
        <w:spacing w:before="120"/>
        <w:rPr>
          <w:b/>
          <w:i w:val="0"/>
        </w:rPr>
      </w:pPr>
      <w:r>
        <w:rPr>
          <w:b/>
          <w:i w:val="0"/>
        </w:rPr>
        <w:t>Nelielu un savstarpēji nesaistītu ieguldījumu brokeru sabiedrību pārskatu sniegšanas formāts un biežums</w:t>
      </w:r>
    </w:p>
    <w:p w14:paraId="31C2D600" w14:textId="77777777" w:rsidR="006C4B04" w:rsidRDefault="00B000A7">
      <w:pPr>
        <w:pStyle w:val="NumPar1"/>
        <w:numPr>
          <w:ilvl w:val="0"/>
          <w:numId w:val="0"/>
        </w:numPr>
        <w:tabs>
          <w:tab w:val="left" w:pos="567"/>
        </w:tabs>
      </w:pPr>
      <w:r>
        <w:t xml:space="preserve">1. </w:t>
      </w:r>
      <w:r w:rsidR="0032217E">
        <w:t>Nelielas un savstarpēji nesaistītas ieguldījumu brokeru sabiedrības reizi gadā sniedz šīs regulas III pielikuma veidnēs norādīto informāciju saskaņā ar šīs regulas IV pielikuma norādījumiem. Ieguldījumu brokeru sabiedrības, kas gūst labumu no Regulas (ES) 2019/2033 43. panta 1. punkta otrajā daļā minētā atbrīvojuma, ir atbrīvotas no pienākuma iesniegt šīs regulas III pielikuma IF 09.01. veidnē norādīto informāciju.</w:t>
      </w:r>
    </w:p>
    <w:p w14:paraId="1A98808B" w14:textId="77777777" w:rsidR="006C4B04" w:rsidRDefault="0032217E">
      <w:pPr>
        <w:pStyle w:val="Titrearticle"/>
      </w:pPr>
      <w:r>
        <w:t>7. pants</w:t>
      </w:r>
    </w:p>
    <w:p w14:paraId="67880400" w14:textId="77777777" w:rsidR="006C4B04" w:rsidRDefault="0032217E">
      <w:pPr>
        <w:pStyle w:val="Titrearticle"/>
        <w:spacing w:before="120"/>
        <w:rPr>
          <w:b/>
          <w:i w:val="0"/>
        </w:rPr>
      </w:pPr>
      <w:r>
        <w:rPr>
          <w:b/>
          <w:i w:val="0"/>
        </w:rPr>
        <w:t>To vienību pārskatu sniegšanas formāts un biežums, kas gūst labumu no Regulas (ES) 2019/2033 8. panta piemērošanas</w:t>
      </w:r>
    </w:p>
    <w:p w14:paraId="680E53FB" w14:textId="77777777" w:rsidR="006C4B04" w:rsidRDefault="0032217E">
      <w:pPr>
        <w:rPr>
          <w:rFonts w:eastAsia="Times New Roman"/>
          <w:szCs w:val="24"/>
        </w:rPr>
      </w:pPr>
      <w:r>
        <w:t>Atkāpjoties no šīs regulas 4. panta, vienības, kas minētas Regulas (ES) 2019/2033 8. panta 3. punktā un kas gūst labumu no minētā panta piemērošanas, šīs regulas VIII pielikuma veidnēs izklāstīto informāciju sniedz reizi ceturksnī saskaņā ar šīs regulas IX pielikumā sniegtajiem norādījumiem.</w:t>
      </w:r>
    </w:p>
    <w:p w14:paraId="08B8B82D" w14:textId="77777777" w:rsidR="006C4B04" w:rsidRDefault="0032217E">
      <w:pPr>
        <w:pStyle w:val="Titrearticle"/>
      </w:pPr>
      <w:r>
        <w:lastRenderedPageBreak/>
        <w:t>8. pants</w:t>
      </w:r>
    </w:p>
    <w:p w14:paraId="317E50B8" w14:textId="77777777" w:rsidR="006C4B04" w:rsidRDefault="0032217E">
      <w:pPr>
        <w:pStyle w:val="Titrearticle"/>
        <w:spacing w:before="120"/>
        <w:rPr>
          <w:b/>
          <w:i w:val="0"/>
        </w:rPr>
      </w:pPr>
      <w:r>
        <w:rPr>
          <w:b/>
          <w:i w:val="0"/>
        </w:rPr>
        <w:t>Datu precizitāte un informācija, kas saistīta ar iesniegumiem</w:t>
      </w:r>
    </w:p>
    <w:p w14:paraId="55EB696D" w14:textId="77777777" w:rsidR="006C4B04" w:rsidRDefault="00854BD0">
      <w:pPr>
        <w:pStyle w:val="NumPar1"/>
        <w:numPr>
          <w:ilvl w:val="0"/>
          <w:numId w:val="0"/>
        </w:numPr>
        <w:tabs>
          <w:tab w:val="left" w:pos="567"/>
        </w:tabs>
      </w:pPr>
      <w:r>
        <w:t>1</w:t>
      </w:r>
      <w:r w:rsidR="0032217E">
        <w:t>.</w:t>
      </w:r>
      <w:r w:rsidR="0032217E">
        <w:tab/>
        <w:t>Ieguldījumu brokeru sabiedrības iesniedz šajā regulā minēto informāciju datu apmaiņas formātos un atveidojumos, kurus noteikušas kompetentās iestādes, ievērojot datu punkta definīciju datu punkta modelī, un V pielikumā noteiktās validācijas formulas, kā arī šādas specifikācijas:</w:t>
      </w:r>
    </w:p>
    <w:p w14:paraId="4338587C" w14:textId="77777777" w:rsidR="006C4B04" w:rsidRDefault="00854BD0">
      <w:pPr>
        <w:pStyle w:val="Point1letter"/>
        <w:numPr>
          <w:ilvl w:val="0"/>
          <w:numId w:val="0"/>
        </w:numPr>
        <w:ind w:left="567" w:hanging="567"/>
      </w:pPr>
      <w:r>
        <w:t>a</w:t>
      </w:r>
      <w:r w:rsidR="0032217E">
        <w:t>)</w:t>
      </w:r>
      <w:r w:rsidR="0032217E">
        <w:tab/>
        <w:t>informāciju, kas nav prasīta vai uz konkrēto iestādi neattiecas, nosūtāmajos datos neiekļauj;</w:t>
      </w:r>
    </w:p>
    <w:p w14:paraId="63A75760" w14:textId="77777777" w:rsidR="006C4B04" w:rsidRDefault="00854BD0">
      <w:pPr>
        <w:pStyle w:val="Point1letter"/>
        <w:numPr>
          <w:ilvl w:val="0"/>
          <w:numId w:val="0"/>
        </w:numPr>
        <w:ind w:left="567" w:hanging="567"/>
      </w:pPr>
      <w:r>
        <w:t>b</w:t>
      </w:r>
      <w:r w:rsidR="0032217E">
        <w:t>)</w:t>
      </w:r>
      <w:r w:rsidR="0032217E">
        <w:tab/>
        <w:t>skaitliskās vērtības norāda kā faktus saskaņā ar šādām konvencijām:</w:t>
      </w:r>
    </w:p>
    <w:p w14:paraId="25CFDEE9" w14:textId="77777777" w:rsidR="006C4B04" w:rsidRDefault="0032217E">
      <w:pPr>
        <w:pStyle w:val="Point2"/>
        <w:ind w:left="1134"/>
      </w:pPr>
      <w:r>
        <w:t>i)</w:t>
      </w:r>
      <w:r>
        <w:tab/>
        <w:t>datu punktus ar datu tipu “monetārs” uzrāda, izmantojot minimuma precizitāti, kas ir tūkstoš vienību;</w:t>
      </w:r>
    </w:p>
    <w:p w14:paraId="32A74CBD" w14:textId="77777777" w:rsidR="006C4B04" w:rsidRDefault="0032217E">
      <w:pPr>
        <w:pStyle w:val="Point2"/>
        <w:ind w:left="1134"/>
      </w:pPr>
      <w:r>
        <w:t>ii)</w:t>
      </w:r>
      <w:r>
        <w:tab/>
        <w:t>datu punktus ar datu tipu “procenti” izsaka relatīvajās vienībās ar minimuma precizitāti, kas ir četri cipari aiz komata;</w:t>
      </w:r>
    </w:p>
    <w:p w14:paraId="5737BC0F" w14:textId="77777777" w:rsidR="006C4B04" w:rsidRDefault="0032217E">
      <w:pPr>
        <w:pStyle w:val="Point2"/>
        <w:ind w:left="1134"/>
      </w:pPr>
      <w:r>
        <w:t>iii)</w:t>
      </w:r>
      <w:r>
        <w:tab/>
        <w:t>datu punktus ar datu tipu “vesels skaitlis” uzrāda bez cipariem aiz komata un ar precizitāti, kas ir viens.</w:t>
      </w:r>
    </w:p>
    <w:p w14:paraId="10367DA5" w14:textId="77777777" w:rsidR="006C4B04" w:rsidRDefault="00854BD0">
      <w:pPr>
        <w:pStyle w:val="NumPar1"/>
        <w:numPr>
          <w:ilvl w:val="0"/>
          <w:numId w:val="0"/>
        </w:numPr>
        <w:tabs>
          <w:tab w:val="left" w:pos="567"/>
        </w:tabs>
      </w:pPr>
      <w:r>
        <w:t>2</w:t>
      </w:r>
      <w:r w:rsidR="0032217E">
        <w:t>.</w:t>
      </w:r>
      <w:r w:rsidR="0032217E">
        <w:tab/>
        <w:t>Ieguldījumu brokeru sabiedrības identificē pēc to juridiskās personas identifikatora (</w:t>
      </w:r>
      <w:r w:rsidR="0032217E">
        <w:rPr>
          <w:i/>
        </w:rPr>
        <w:t>LEI</w:t>
      </w:r>
      <w:r w:rsidR="0032217E">
        <w:t xml:space="preserve">). Juridiskās personas un darījumu partnerus, kas nav ieguldījumu brokeru sabiedrības, identificē pēc to </w:t>
      </w:r>
      <w:r w:rsidR="0032217E">
        <w:rPr>
          <w:i/>
        </w:rPr>
        <w:t>LEI</w:t>
      </w:r>
      <w:r w:rsidR="0032217E">
        <w:t>, ja tas ir pieejams.</w:t>
      </w:r>
    </w:p>
    <w:p w14:paraId="157ECF87" w14:textId="77777777" w:rsidR="006C4B04" w:rsidRDefault="005C234C">
      <w:pPr>
        <w:pStyle w:val="NumPar1"/>
        <w:numPr>
          <w:ilvl w:val="0"/>
          <w:numId w:val="0"/>
        </w:numPr>
        <w:tabs>
          <w:tab w:val="left" w:pos="567"/>
        </w:tabs>
      </w:pPr>
      <w:r>
        <w:t>3</w:t>
      </w:r>
      <w:r w:rsidR="0032217E">
        <w:t>.</w:t>
      </w:r>
      <w:r w:rsidR="0032217E">
        <w:tab/>
        <w:t>Informācijai, ko ieguldījumu brokeru sabiedrības iesniedz, pamatojoties uz šo regulu, pievieno šādu informāciju:</w:t>
      </w:r>
    </w:p>
    <w:p w14:paraId="3CEC2471" w14:textId="77777777" w:rsidR="006C4B04" w:rsidRDefault="00854BD0">
      <w:pPr>
        <w:pStyle w:val="Point1letter"/>
        <w:numPr>
          <w:ilvl w:val="0"/>
          <w:numId w:val="0"/>
        </w:numPr>
        <w:ind w:left="567" w:hanging="567"/>
      </w:pPr>
      <w:r>
        <w:t>a</w:t>
      </w:r>
      <w:r w:rsidR="0032217E">
        <w:t>)</w:t>
      </w:r>
      <w:r w:rsidR="0032217E">
        <w:tab/>
        <w:t>pārskata atsauces datums un atsauces periods;</w:t>
      </w:r>
    </w:p>
    <w:p w14:paraId="4A3ED7F2" w14:textId="77777777" w:rsidR="006C4B04" w:rsidRDefault="00854BD0">
      <w:pPr>
        <w:pStyle w:val="Point1letter"/>
        <w:numPr>
          <w:ilvl w:val="0"/>
          <w:numId w:val="0"/>
        </w:numPr>
        <w:ind w:left="567" w:hanging="567"/>
      </w:pPr>
      <w:r>
        <w:t>b</w:t>
      </w:r>
      <w:r w:rsidR="0032217E">
        <w:t>)</w:t>
      </w:r>
      <w:r w:rsidR="0032217E">
        <w:tab/>
        <w:t>pārskata sniegšanas valūta;</w:t>
      </w:r>
    </w:p>
    <w:p w14:paraId="67EF3109" w14:textId="77777777" w:rsidR="006C4B04" w:rsidRDefault="00854BD0">
      <w:pPr>
        <w:pStyle w:val="Point1letter"/>
        <w:numPr>
          <w:ilvl w:val="0"/>
          <w:numId w:val="0"/>
        </w:numPr>
        <w:ind w:left="567" w:hanging="567"/>
      </w:pPr>
      <w:r>
        <w:t>c</w:t>
      </w:r>
      <w:r w:rsidR="0032217E">
        <w:t>)</w:t>
      </w:r>
      <w:r w:rsidR="0032217E">
        <w:tab/>
        <w:t>grāmatvedības standarts;</w:t>
      </w:r>
    </w:p>
    <w:p w14:paraId="5E39031B" w14:textId="77777777" w:rsidR="006C4B04" w:rsidRDefault="00854BD0">
      <w:pPr>
        <w:pStyle w:val="Point1letter"/>
        <w:numPr>
          <w:ilvl w:val="0"/>
          <w:numId w:val="0"/>
        </w:numPr>
        <w:ind w:left="567" w:hanging="567"/>
      </w:pPr>
      <w:r>
        <w:t>d</w:t>
      </w:r>
      <w:r w:rsidR="0032217E">
        <w:t>)</w:t>
      </w:r>
      <w:r w:rsidR="0032217E">
        <w:tab/>
        <w:t>pārskatu sniedzošās iestādes juridiskās personas identifikators (</w:t>
      </w:r>
      <w:r w:rsidR="0032217E">
        <w:rPr>
          <w:i/>
        </w:rPr>
        <w:t>LEI</w:t>
      </w:r>
      <w:r w:rsidR="0032217E">
        <w:t>);</w:t>
      </w:r>
    </w:p>
    <w:p w14:paraId="4C38FEAC" w14:textId="77777777" w:rsidR="006C4B04" w:rsidRDefault="00854BD0">
      <w:pPr>
        <w:pStyle w:val="Point1letter"/>
        <w:numPr>
          <w:ilvl w:val="0"/>
          <w:numId w:val="0"/>
        </w:numPr>
        <w:ind w:left="567" w:hanging="567"/>
      </w:pPr>
      <w:r>
        <w:t>e</w:t>
      </w:r>
      <w:r w:rsidR="0032217E">
        <w:t>)</w:t>
      </w:r>
      <w:r w:rsidR="0032217E">
        <w:tab/>
        <w:t>konsolidācijas tvērums.</w:t>
      </w:r>
    </w:p>
    <w:p w14:paraId="418EDA7C" w14:textId="77777777" w:rsidR="006C4B04" w:rsidRPr="00854BD0" w:rsidRDefault="0032217E">
      <w:pPr>
        <w:pStyle w:val="ChapterTitle"/>
        <w:rPr>
          <w:b w:val="0"/>
        </w:rPr>
      </w:pPr>
      <w:r w:rsidRPr="00854BD0">
        <w:rPr>
          <w:b w:val="0"/>
        </w:rPr>
        <w:t>II NODAĻA</w:t>
      </w:r>
    </w:p>
    <w:p w14:paraId="2060A443" w14:textId="77777777" w:rsidR="006C4B04" w:rsidRDefault="0032217E">
      <w:pPr>
        <w:pStyle w:val="ChapterTitle"/>
      </w:pPr>
      <w:r>
        <w:t>IEGULDĪJUMU BROKERU SABIEDRĪBU PUBLISKA INFORMĀCIJAS ATKLĀŠANA</w:t>
      </w:r>
    </w:p>
    <w:p w14:paraId="368A5051" w14:textId="77777777" w:rsidR="006C4B04" w:rsidRDefault="0032217E">
      <w:pPr>
        <w:pStyle w:val="Titrearticle"/>
      </w:pPr>
      <w:r>
        <w:t>9. pants</w:t>
      </w:r>
    </w:p>
    <w:p w14:paraId="7338132E" w14:textId="77777777" w:rsidR="006C4B04" w:rsidRDefault="0032217E">
      <w:pPr>
        <w:pStyle w:val="Titrearticle"/>
        <w:spacing w:before="120"/>
        <w:rPr>
          <w:b/>
          <w:i w:val="0"/>
        </w:rPr>
      </w:pPr>
      <w:r>
        <w:rPr>
          <w:b/>
          <w:i w:val="0"/>
        </w:rPr>
        <w:t>Informācijas atklāšanas principi</w:t>
      </w:r>
    </w:p>
    <w:p w14:paraId="4944D128" w14:textId="77777777" w:rsidR="006C4B04" w:rsidRDefault="00B000A7">
      <w:pPr>
        <w:pStyle w:val="NumPar1"/>
        <w:numPr>
          <w:ilvl w:val="0"/>
          <w:numId w:val="0"/>
        </w:numPr>
      </w:pPr>
      <w:r>
        <w:t xml:space="preserve">1. </w:t>
      </w:r>
      <w:r w:rsidR="0032217E">
        <w:t>Uz informāciju, kas jāatklāj saskaņā ar šo regulu, attiecas šādi principi:</w:t>
      </w:r>
    </w:p>
    <w:p w14:paraId="7018D8B3" w14:textId="77777777" w:rsidR="006C4B04" w:rsidRDefault="00854BD0">
      <w:pPr>
        <w:pStyle w:val="Point1letter"/>
        <w:numPr>
          <w:ilvl w:val="0"/>
          <w:numId w:val="0"/>
        </w:numPr>
        <w:ind w:left="567" w:hanging="567"/>
      </w:pPr>
      <w:r>
        <w:t>a</w:t>
      </w:r>
      <w:r w:rsidR="0032217E">
        <w:t>)</w:t>
      </w:r>
      <w:r w:rsidR="0032217E">
        <w:tab/>
        <w:t>informācijas atklāšanai piemēro tādu pašu iekšējās pārbaudes līmeni, kādu piemēro vadības pārskatam, kas iekļauts ieguldījumu brokeru sabiedrības finanšu pārskatā;</w:t>
      </w:r>
    </w:p>
    <w:p w14:paraId="043E3DD2" w14:textId="77777777" w:rsidR="006C4B04" w:rsidRDefault="00854BD0">
      <w:pPr>
        <w:pStyle w:val="Point1letter"/>
        <w:numPr>
          <w:ilvl w:val="0"/>
          <w:numId w:val="0"/>
        </w:numPr>
        <w:ind w:left="567" w:hanging="567"/>
      </w:pPr>
      <w:r>
        <w:t>b</w:t>
      </w:r>
      <w:r w:rsidR="0032217E">
        <w:t>)</w:t>
      </w:r>
      <w:r w:rsidR="0032217E">
        <w:tab/>
        <w:t>atklājamā informācija ir skaidra, un to sniedz informācijas lietotājiem saprotamā veidā un dara zināmu, izmantojot pieejamu informācijas nesēju. Svarīgi vēstījumi ir izcelti un viegli atrodami. Sarežģītus jautājumus izskaidro vienkāršā valodā. Saistīto informāciju norāda vienkopus;</w:t>
      </w:r>
    </w:p>
    <w:p w14:paraId="62D65F41" w14:textId="77777777" w:rsidR="006C4B04" w:rsidRDefault="00854BD0">
      <w:pPr>
        <w:pStyle w:val="Point1letter"/>
        <w:numPr>
          <w:ilvl w:val="0"/>
          <w:numId w:val="0"/>
        </w:numPr>
        <w:ind w:left="567" w:hanging="567"/>
      </w:pPr>
      <w:r>
        <w:t>c</w:t>
      </w:r>
      <w:r w:rsidR="0032217E">
        <w:t>)</w:t>
      </w:r>
      <w:r w:rsidR="0032217E">
        <w:tab/>
        <w:t>informācijas atklāšana ir jēgpilna un konsekventa laika gaitā, lai informācijas lietotāji varētu salīdzināt informāciju dažādos informācijas atklāšanas periodos;</w:t>
      </w:r>
    </w:p>
    <w:p w14:paraId="551122C5" w14:textId="77777777" w:rsidR="006C4B04" w:rsidRDefault="00854BD0">
      <w:pPr>
        <w:pStyle w:val="Point1letter"/>
        <w:numPr>
          <w:ilvl w:val="0"/>
          <w:numId w:val="0"/>
        </w:numPr>
        <w:ind w:left="567" w:hanging="567"/>
      </w:pPr>
      <w:r>
        <w:lastRenderedPageBreak/>
        <w:t>d</w:t>
      </w:r>
      <w:r w:rsidR="0032217E">
        <w:t>)</w:t>
      </w:r>
      <w:r w:rsidR="0032217E">
        <w:tab/>
        <w:t>atklātajai kvantitatīvajai informācijai pievieno kvalitatīvus skaidrojumus un jebkādu citu papildu informāciju, kas var būt nepieciešama, lai minētās informācijas lietotāji varētu to saprast, jo īpaši atzīmējot jebkādas būtiskas izmaiņas konkrētajā atklātajā informācijā salīdzinājumā ar iepriekš atklāto informāciju.</w:t>
      </w:r>
    </w:p>
    <w:p w14:paraId="0D6FB776" w14:textId="77777777" w:rsidR="006C4B04" w:rsidRDefault="0032217E">
      <w:pPr>
        <w:pStyle w:val="Titrearticle"/>
      </w:pPr>
      <w:r>
        <w:t>10. pants</w:t>
      </w:r>
    </w:p>
    <w:p w14:paraId="11DDDFD2" w14:textId="77777777" w:rsidR="006C4B04" w:rsidRDefault="0032217E">
      <w:pPr>
        <w:pStyle w:val="Titrearticle"/>
        <w:spacing w:before="120"/>
        <w:rPr>
          <w:b/>
          <w:i w:val="0"/>
        </w:rPr>
      </w:pPr>
      <w:r>
        <w:rPr>
          <w:b/>
          <w:i w:val="0"/>
        </w:rPr>
        <w:t>Informācijas atklāšana par ieguldījumu brokeru sabiedrību pašu kapitālu</w:t>
      </w:r>
    </w:p>
    <w:p w14:paraId="07E02660" w14:textId="77777777" w:rsidR="006C4B04" w:rsidRDefault="0032217E">
      <w:r>
        <w:t>Ieguldījumu brokeru sabiedrības atklāj informāciju par pašu kapitālu, kā noteikts Regulas (ES) 2019/2033 49. panta 1. punktā, izmantojot šīs regulas VI pielikumā norādītās veidnes un saskaņā ar attiecīgajiem norādījumiem, kas minēti šīs regulas VII pielikumā.</w:t>
      </w:r>
    </w:p>
    <w:p w14:paraId="3D2CF55C" w14:textId="77777777" w:rsidR="006C4B04" w:rsidRDefault="0032217E">
      <w:pPr>
        <w:pStyle w:val="Titrearticle"/>
      </w:pPr>
      <w:r>
        <w:t>11. pants</w:t>
      </w:r>
    </w:p>
    <w:p w14:paraId="00CDA504" w14:textId="77777777" w:rsidR="006C4B04" w:rsidRDefault="0032217E">
      <w:pPr>
        <w:pStyle w:val="Titrearticle"/>
        <w:spacing w:before="120"/>
        <w:rPr>
          <w:b/>
          <w:i w:val="0"/>
        </w:rPr>
      </w:pPr>
      <w:r>
        <w:rPr>
          <w:b/>
          <w:i w:val="0"/>
        </w:rPr>
        <w:t>Vispārīgi noteikumi par informācijas atklāšanu</w:t>
      </w:r>
    </w:p>
    <w:p w14:paraId="6C402EB7" w14:textId="77777777" w:rsidR="006C4B04" w:rsidRDefault="00854BD0">
      <w:pPr>
        <w:pStyle w:val="NumPar1"/>
        <w:numPr>
          <w:ilvl w:val="0"/>
          <w:numId w:val="0"/>
        </w:numPr>
        <w:tabs>
          <w:tab w:val="left" w:pos="567"/>
        </w:tabs>
      </w:pPr>
      <w:r>
        <w:t>1</w:t>
      </w:r>
      <w:r w:rsidR="0032217E">
        <w:t>.</w:t>
      </w:r>
      <w:r w:rsidR="0032217E">
        <w:tab/>
        <w:t>Atklājot šīs regulas 10. pantā minēto informāciju, ieguldījumu brokeru sabiedrības nodrošina, ka skaitliskās vērtības norāda kā faktus saskaņā ar šādiem noteikumiem:</w:t>
      </w:r>
    </w:p>
    <w:p w14:paraId="754D1F62" w14:textId="77777777" w:rsidR="006C4B04" w:rsidRDefault="00854BD0">
      <w:pPr>
        <w:pStyle w:val="Point1letter"/>
        <w:numPr>
          <w:ilvl w:val="0"/>
          <w:numId w:val="0"/>
        </w:numPr>
        <w:ind w:left="567" w:hanging="567"/>
      </w:pPr>
      <w:r>
        <w:t>a</w:t>
      </w:r>
      <w:r w:rsidR="0032217E">
        <w:t>)</w:t>
      </w:r>
      <w:r w:rsidR="0032217E">
        <w:tab/>
        <w:t>kvantitatīvos monetāros datus atklāj, izmantojot minimuma precizitātes ekvivalentu līdz tūkstošiem vienību;</w:t>
      </w:r>
    </w:p>
    <w:p w14:paraId="2AB9F68D" w14:textId="77777777" w:rsidR="006C4B04" w:rsidRDefault="00854BD0">
      <w:pPr>
        <w:pStyle w:val="Point1letter"/>
        <w:numPr>
          <w:ilvl w:val="0"/>
          <w:numId w:val="0"/>
        </w:numPr>
        <w:ind w:left="567" w:hanging="567"/>
      </w:pPr>
      <w:r>
        <w:t>b</w:t>
      </w:r>
      <w:r w:rsidR="0032217E">
        <w:t>)</w:t>
      </w:r>
      <w:r w:rsidR="0032217E">
        <w:tab/>
        <w:t>kvantitatīvos datus, ko atklāj kā “procentus”, izsaka relatīvajās vienībās ar minimuma precizitāti, kas ir četri cipari aiz komata.</w:t>
      </w:r>
    </w:p>
    <w:p w14:paraId="3B34541E" w14:textId="77777777" w:rsidR="006C4B04" w:rsidRDefault="00854BD0">
      <w:pPr>
        <w:pStyle w:val="NumPar1"/>
        <w:numPr>
          <w:ilvl w:val="0"/>
          <w:numId w:val="0"/>
        </w:numPr>
        <w:tabs>
          <w:tab w:val="left" w:pos="567"/>
        </w:tabs>
      </w:pPr>
      <w:r>
        <w:t>2</w:t>
      </w:r>
      <w:r w:rsidR="0032217E">
        <w:t>.</w:t>
      </w:r>
      <w:r w:rsidR="0032217E">
        <w:tab/>
        <w:t>Atklājot šīs regulas 10. pantā minēto informāciju, ieguldījumu brokeru sabiedrības nodrošina, ka dati ir saistīti ar visu turpmāk minēto informāciju:</w:t>
      </w:r>
    </w:p>
    <w:p w14:paraId="618BD505" w14:textId="77777777" w:rsidR="006C4B04" w:rsidRDefault="00854BD0">
      <w:pPr>
        <w:pStyle w:val="Point1letter"/>
        <w:numPr>
          <w:ilvl w:val="0"/>
          <w:numId w:val="0"/>
        </w:numPr>
        <w:ind w:left="567" w:hanging="567"/>
      </w:pPr>
      <w:r>
        <w:t>a</w:t>
      </w:r>
      <w:r w:rsidR="0032217E">
        <w:t>)</w:t>
      </w:r>
      <w:r w:rsidR="0032217E">
        <w:tab/>
        <w:t>informācijas atklāšanas atsauces datums un atsauces periods;</w:t>
      </w:r>
    </w:p>
    <w:p w14:paraId="4C77FDA7" w14:textId="77777777" w:rsidR="006C4B04" w:rsidRDefault="00854BD0">
      <w:pPr>
        <w:pStyle w:val="Point1letter"/>
        <w:numPr>
          <w:ilvl w:val="0"/>
          <w:numId w:val="0"/>
        </w:numPr>
        <w:ind w:left="567" w:hanging="567"/>
      </w:pPr>
      <w:r>
        <w:t>b</w:t>
      </w:r>
      <w:r w:rsidR="0032217E">
        <w:t>)</w:t>
      </w:r>
      <w:r w:rsidR="0032217E">
        <w:tab/>
        <w:t>informācijas atklāšanas valūta;</w:t>
      </w:r>
    </w:p>
    <w:p w14:paraId="324ACB88" w14:textId="77777777" w:rsidR="006C4B04" w:rsidRDefault="00854BD0">
      <w:pPr>
        <w:pStyle w:val="Point1letter"/>
        <w:numPr>
          <w:ilvl w:val="0"/>
          <w:numId w:val="0"/>
        </w:numPr>
        <w:ind w:left="567" w:hanging="567"/>
      </w:pPr>
      <w:r>
        <w:t>c</w:t>
      </w:r>
      <w:r w:rsidR="0032217E">
        <w:t>)</w:t>
      </w:r>
      <w:r w:rsidR="0032217E">
        <w:tab/>
        <w:t>iestādes, kas atklāj informāciju, nosaukums un – attiecīgā gadījumā – juridiskās personas identifikators (</w:t>
      </w:r>
      <w:r w:rsidR="0032217E">
        <w:rPr>
          <w:i/>
        </w:rPr>
        <w:t>LEI</w:t>
      </w:r>
      <w:r w:rsidR="0032217E">
        <w:t>);</w:t>
      </w:r>
    </w:p>
    <w:p w14:paraId="7A6EEE67" w14:textId="77777777" w:rsidR="006C4B04" w:rsidRDefault="00854BD0">
      <w:pPr>
        <w:pStyle w:val="Point1letter"/>
        <w:numPr>
          <w:ilvl w:val="0"/>
          <w:numId w:val="0"/>
        </w:numPr>
        <w:ind w:left="567" w:hanging="567"/>
      </w:pPr>
      <w:r>
        <w:t>d</w:t>
      </w:r>
      <w:r w:rsidR="0032217E">
        <w:t>)</w:t>
      </w:r>
      <w:r w:rsidR="0032217E">
        <w:tab/>
        <w:t>attiecīgā gadījumā – grāmatvedības standarts;</w:t>
      </w:r>
    </w:p>
    <w:p w14:paraId="0CBCE8FF" w14:textId="77777777" w:rsidR="006C4B04" w:rsidRDefault="00854BD0">
      <w:pPr>
        <w:pStyle w:val="Point1letter"/>
        <w:numPr>
          <w:ilvl w:val="0"/>
          <w:numId w:val="0"/>
        </w:numPr>
        <w:ind w:left="567" w:hanging="567"/>
      </w:pPr>
      <w:r>
        <w:t>e</w:t>
      </w:r>
      <w:r w:rsidR="0032217E">
        <w:t>)</w:t>
      </w:r>
      <w:r w:rsidR="0032217E">
        <w:tab/>
        <w:t>attiecīgajā gadījumā – konsolidācijas tvērums.</w:t>
      </w:r>
    </w:p>
    <w:p w14:paraId="4643309D" w14:textId="77777777" w:rsidR="006C4B04" w:rsidRPr="00854BD0" w:rsidRDefault="0032217E">
      <w:pPr>
        <w:pStyle w:val="ChapterTitle"/>
        <w:rPr>
          <w:b w:val="0"/>
        </w:rPr>
      </w:pPr>
      <w:r w:rsidRPr="00854BD0">
        <w:rPr>
          <w:b w:val="0"/>
        </w:rPr>
        <w:t>III NODAĻA</w:t>
      </w:r>
    </w:p>
    <w:p w14:paraId="1AACD6CC" w14:textId="77777777" w:rsidR="006C4B04" w:rsidRDefault="0032217E">
      <w:pPr>
        <w:pStyle w:val="ChapterTitle"/>
      </w:pPr>
      <w:r>
        <w:t>NOBEIGUMA NOTEIKUMI</w:t>
      </w:r>
    </w:p>
    <w:p w14:paraId="73B908D4" w14:textId="77777777" w:rsidR="006C4B04" w:rsidRDefault="0032217E">
      <w:pPr>
        <w:pStyle w:val="Titrearticle"/>
        <w:spacing w:before="120"/>
      </w:pPr>
      <w:r>
        <w:t>12. pants</w:t>
      </w:r>
    </w:p>
    <w:p w14:paraId="1C949A1D" w14:textId="2D2E34B4" w:rsidR="006C4B04" w:rsidRDefault="0032217E">
      <w:pPr>
        <w:pStyle w:val="Titrearticle"/>
        <w:spacing w:before="120"/>
        <w:rPr>
          <w:b/>
          <w:i w:val="0"/>
        </w:rPr>
      </w:pPr>
      <w:r>
        <w:rPr>
          <w:b/>
          <w:i w:val="0"/>
        </w:rPr>
        <w:t>Stāšanās spēkā</w:t>
      </w:r>
    </w:p>
    <w:p w14:paraId="0BE90FFF" w14:textId="77777777" w:rsidR="006C4B04" w:rsidRDefault="0032217E">
      <w:r>
        <w:t xml:space="preserve">Šī regula stājas spēkā divdesmitajā dienā pēc tās publicēšanas </w:t>
      </w:r>
      <w:r>
        <w:rPr>
          <w:i/>
        </w:rPr>
        <w:t>Eiropas Savienības Oficiālajā Vēstnesī</w:t>
      </w:r>
      <w:r>
        <w:t>.</w:t>
      </w:r>
    </w:p>
    <w:p w14:paraId="07176BBA" w14:textId="77777777" w:rsidR="006C4B04" w:rsidRDefault="0032217E">
      <w:pPr>
        <w:pStyle w:val="Applicationdirecte"/>
      </w:pPr>
      <w:r>
        <w:t>Šī regula uzliek saistības kopumā un ir tieši piemērojama visās dalībvalstīs.</w:t>
      </w:r>
    </w:p>
    <w:p w14:paraId="288C79FD" w14:textId="77777777" w:rsidR="006C4B04" w:rsidRDefault="0032217E">
      <w:pPr>
        <w:pStyle w:val="Fait"/>
      </w:pPr>
      <w:r>
        <w:lastRenderedPageBreak/>
        <w:t>Briselē,</w:t>
      </w:r>
      <w:r w:rsidR="00854BD0">
        <w:t xml:space="preserve"> </w:t>
      </w:r>
      <w:r w:rsidR="00854BD0">
        <w:rPr>
          <w:rStyle w:val="Marker2"/>
          <w:color w:val="auto"/>
        </w:rPr>
        <w:t>2021. gada 6. decembrī</w:t>
      </w:r>
    </w:p>
    <w:p w14:paraId="3030BA53" w14:textId="77777777" w:rsidR="006C4B04" w:rsidRDefault="0032217E">
      <w:pPr>
        <w:pStyle w:val="Institutionquisigne"/>
      </w:pPr>
      <w:r>
        <w:tab/>
        <w:t>Komisijas vārdā –</w:t>
      </w:r>
    </w:p>
    <w:p w14:paraId="5868CCB4" w14:textId="77777777" w:rsidR="006C4B04" w:rsidRDefault="0032217E">
      <w:pPr>
        <w:pStyle w:val="Personnequisigne"/>
      </w:pPr>
      <w:r>
        <w:tab/>
        <w:t>priekšsēdētāja</w:t>
      </w:r>
    </w:p>
    <w:p w14:paraId="47820B54" w14:textId="77777777" w:rsidR="006C4B04" w:rsidRDefault="0032217E">
      <w:pPr>
        <w:pStyle w:val="Personnequisigne"/>
      </w:pPr>
      <w:r>
        <w:tab/>
      </w:r>
      <w:r>
        <w:rPr>
          <w:i w:val="0"/>
        </w:rPr>
        <w:t xml:space="preserve">Ursula </w:t>
      </w:r>
      <w:r w:rsidR="00854BD0">
        <w:rPr>
          <w:i w:val="0"/>
        </w:rPr>
        <w:t>VON DER LEYEN</w:t>
      </w:r>
    </w:p>
    <w:sectPr w:rsidR="006C4B04">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3BC48B" w14:textId="77777777" w:rsidR="00E417E7" w:rsidRDefault="00E417E7">
      <w:pPr>
        <w:spacing w:before="0" w:after="0"/>
      </w:pPr>
      <w:r>
        <w:separator/>
      </w:r>
    </w:p>
  </w:endnote>
  <w:endnote w:type="continuationSeparator" w:id="0">
    <w:p w14:paraId="54E25069" w14:textId="77777777" w:rsidR="00E417E7" w:rsidRDefault="00E417E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A5561" w14:textId="77777777" w:rsidR="006C4B04" w:rsidRDefault="006C4B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750989" w14:textId="77777777" w:rsidR="006C4B04" w:rsidRDefault="0032217E">
    <w:pPr>
      <w:pStyle w:val="Footer"/>
      <w:tabs>
        <w:tab w:val="clear" w:pos="4535"/>
        <w:tab w:val="clear" w:pos="9921"/>
      </w:tabs>
      <w:ind w:left="0" w:right="0"/>
    </w:pPr>
    <w:r>
      <w:t>LV - Cleaned document</w:t>
    </w:r>
    <w:r>
      <w:tab/>
    </w:r>
    <w:r>
      <w:fldChar w:fldCharType="begin"/>
    </w:r>
    <w:r>
      <w:instrText xml:space="preserve"> PAGE \* MERGEFORMAT </w:instrText>
    </w:r>
    <w:r>
      <w:fldChar w:fldCharType="separate"/>
    </w:r>
    <w:r w:rsidR="00B000A7">
      <w:rPr>
        <w:noProof/>
      </w:rPr>
      <w:t>5</w:t>
    </w:r>
    <w:r>
      <w:fldChar w:fldCharType="end"/>
    </w:r>
    <w:r>
      <w:t>/</w:t>
    </w:r>
    <w:fldSimple w:instr=" NUMPAGES \* MERGEFORMAT ">
      <w:r w:rsidR="00B000A7">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A6F3F" w14:textId="77777777" w:rsidR="006C4B04" w:rsidRDefault="006C4B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F96B9B" w14:textId="77777777" w:rsidR="00E417E7" w:rsidRDefault="00E417E7">
      <w:pPr>
        <w:spacing w:before="0" w:after="0"/>
      </w:pPr>
      <w:r>
        <w:separator/>
      </w:r>
    </w:p>
  </w:footnote>
  <w:footnote w:type="continuationSeparator" w:id="0">
    <w:p w14:paraId="05077BCB" w14:textId="77777777" w:rsidR="00E417E7" w:rsidRDefault="00E417E7">
      <w:pPr>
        <w:spacing w:before="0" w:after="0"/>
      </w:pPr>
      <w:r>
        <w:continuationSeparator/>
      </w:r>
    </w:p>
  </w:footnote>
  <w:footnote w:id="1">
    <w:p w14:paraId="084C9095" w14:textId="77777777" w:rsidR="006C4B04" w:rsidRDefault="0032217E">
      <w:pPr>
        <w:pStyle w:val="FootnoteText"/>
      </w:pPr>
      <w:r>
        <w:rPr>
          <w:rStyle w:val="FootnoteReference"/>
        </w:rPr>
        <w:footnoteRef/>
      </w:r>
      <w:r>
        <w:tab/>
        <w:t>OV L 314, 5.12.2019., 1. lpp.</w:t>
      </w:r>
    </w:p>
  </w:footnote>
  <w:footnote w:id="2">
    <w:p w14:paraId="7C534C36" w14:textId="77777777" w:rsidR="006C4B04" w:rsidRDefault="0032217E">
      <w:pPr>
        <w:pStyle w:val="FootnoteText"/>
      </w:pPr>
      <w:r>
        <w:rPr>
          <w:rStyle w:val="FootnoteReference"/>
        </w:rPr>
        <w:footnoteRef/>
      </w:r>
      <w:r>
        <w:tab/>
        <w:t>Eiropas Parlamenta un Padomes Regula (ES) Nr. 1093/2010 (2010. gada 24. novembris), ar ko izveido Eiropas Uzraudzības iestādi (Eiropas Banku iestādi), groza Lēmumu Nr. 716/2009/EK un atceļ Komisijas Lēmumu 2009/78/EK (OV L 331, 15.12.2010., 12. lpp.).</w:t>
      </w:r>
    </w:p>
  </w:footnote>
  <w:footnote w:id="3">
    <w:p w14:paraId="229FBAA4" w14:textId="77777777" w:rsidR="005C234C" w:rsidRDefault="005C234C">
      <w:pPr>
        <w:pStyle w:val="FootnoteText"/>
      </w:pPr>
      <w:r>
        <w:rPr>
          <w:rStyle w:val="FootnoteReference"/>
        </w:rPr>
        <w:footnoteRef/>
      </w:r>
      <w:r>
        <w:t xml:space="preserve"> </w:t>
      </w:r>
      <w:r>
        <w:tab/>
        <w:t>Komisijas Īstenošanas regula (ES) 2021/451 (2020. gada 17. </w:t>
      </w:r>
      <w:r w:rsidRPr="005C234C">
        <w:t>decembris), ar ko nosaka īstenošanas tehniskos standartus Eiropas Parlame</w:t>
      </w:r>
      <w:r>
        <w:t>nta un Padomes Regulas (ES) Nr. </w:t>
      </w:r>
      <w:r w:rsidRPr="005C234C">
        <w:t>575/2013 piemērošanai attiecībā uz iestāžu sniegtajiem uzraudzības pārskatiem un at</w:t>
      </w:r>
      <w:r>
        <w:t>ceļ Īstenošanas regulu (ES) Nr. </w:t>
      </w:r>
      <w:r w:rsidRPr="005C234C">
        <w:t>680/2014</w:t>
      </w:r>
      <w:r>
        <w:t xml:space="preserve"> (OV L </w:t>
      </w:r>
      <w:r w:rsidRPr="005C234C">
        <w:t>97, 19.3.2021</w:t>
      </w:r>
      <w:r>
        <w:t>.</w:t>
      </w:r>
      <w:r w:rsidRPr="005C234C">
        <w:t>, 1</w:t>
      </w:r>
      <w:r>
        <w:t>. lpp.</w:t>
      </w:r>
      <w:r w:rsidRPr="005C234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5CB2C4" w14:textId="77777777" w:rsidR="006C4B04" w:rsidRDefault="006C4B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5F5DB" w14:textId="401A8BAE" w:rsidR="006C4B04" w:rsidRDefault="00C70BB8">
    <w:pPr>
      <w:pStyle w:val="Header"/>
    </w:pPr>
    <w:r>
      <w:rPr>
        <w:noProof/>
      </w:rPr>
      <mc:AlternateContent>
        <mc:Choice Requires="wps">
          <w:drawing>
            <wp:anchor distT="0" distB="0" distL="114300" distR="114300" simplePos="0" relativeHeight="251659264" behindDoc="0" locked="0" layoutInCell="0" allowOverlap="1" wp14:anchorId="556D66A7" wp14:editId="4B745685">
              <wp:simplePos x="0" y="0"/>
              <wp:positionH relativeFrom="page">
                <wp:posOffset>0</wp:posOffset>
              </wp:positionH>
              <wp:positionV relativeFrom="page">
                <wp:posOffset>190500</wp:posOffset>
              </wp:positionV>
              <wp:extent cx="7560945" cy="273050"/>
              <wp:effectExtent l="0" t="0" r="0" b="12700"/>
              <wp:wrapNone/>
              <wp:docPr id="1" name="MSIPCM6c534632a1dd7da4686dd2ba"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062DBE" w14:textId="5148B963" w:rsidR="00C70BB8" w:rsidRPr="00C70BB8" w:rsidRDefault="00C70BB8" w:rsidP="00C70BB8">
                          <w:pPr>
                            <w:spacing w:before="0" w:after="0"/>
                            <w:jc w:val="left"/>
                            <w:rPr>
                              <w:rFonts w:ascii="Calibri" w:hAnsi="Calibri" w:cs="Calibri"/>
                              <w:color w:val="000000"/>
                            </w:rPr>
                          </w:pPr>
                          <w:r w:rsidRPr="00C70BB8">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56D66A7" id="_x0000_t202" coordsize="21600,21600" o:spt="202" path="m,l,21600r21600,l21600,xe">
              <v:stroke joinstyle="miter"/>
              <v:path gradientshapeok="t" o:connecttype="rect"/>
            </v:shapetype>
            <v:shape id="MSIPCM6c534632a1dd7da4686dd2ba"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" o:allowincell="f" filled="f" stroked="f" strokeweight=".5pt">
              <v:fill o:detectmouseclick="t"/>
              <v:textbox inset="20pt,0,,0">
                <w:txbxContent>
                  <w:p w14:paraId="48062DBE" w14:textId="5148B963" w:rsidR="00C70BB8" w:rsidRPr="00C70BB8" w:rsidRDefault="00C70BB8" w:rsidP="00C70BB8">
                    <w:pPr>
                      <w:spacing w:before="0" w:after="0"/>
                      <w:jc w:val="left"/>
                      <w:rPr>
                        <w:rFonts w:ascii="Calibri" w:hAnsi="Calibri" w:cs="Calibri"/>
                        <w:color w:val="000000"/>
                      </w:rPr>
                    </w:pPr>
                    <w:r w:rsidRPr="00C70BB8">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2668D" w14:textId="77777777" w:rsidR="006C4B04" w:rsidRDefault="006C4B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21"/>
    <w:lvlOverride w:ilvl="0">
      <w:startOverride w:val="1"/>
    </w:lvlOverride>
  </w:num>
  <w:num w:numId="12">
    <w:abstractNumId w:val="18"/>
  </w:num>
  <w:num w:numId="13">
    <w:abstractNumId w:val="12"/>
  </w:num>
  <w:num w:numId="14">
    <w:abstractNumId w:val="20"/>
  </w:num>
  <w:num w:numId="15">
    <w:abstractNumId w:val="11"/>
  </w:num>
  <w:num w:numId="16">
    <w:abstractNumId w:val="13"/>
  </w:num>
  <w:num w:numId="17">
    <w:abstractNumId w:val="9"/>
  </w:num>
  <w:num w:numId="18">
    <w:abstractNumId w:val="19"/>
  </w:num>
  <w:num w:numId="19">
    <w:abstractNumId w:val="8"/>
  </w:num>
  <w:num w:numId="20">
    <w:abstractNumId w:val="14"/>
  </w:num>
  <w:num w:numId="21">
    <w:abstractNumId w:val="16"/>
  </w:num>
  <w:num w:numId="22">
    <w:abstractNumId w:val="17"/>
  </w:num>
  <w:num w:numId="23">
    <w:abstractNumId w:val="10"/>
  </w:num>
  <w:num w:numId="24">
    <w:abstractNumId w:val="15"/>
  </w:num>
  <w:num w:numId="25">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fr-FR" w:vendorID="64" w:dllVersion="6" w:nlCheck="1" w:checkStyle="0"/>
  <w:activeWritingStyle w:appName="MSWord" w:lang="es-ES" w:vendorID="64" w:dllVersion="6" w:nlCheck="1" w:checkStyle="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4:49:4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730F4959-AB28-4D33-B4A8-CD05E698E279"/>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sel\u275?, "/>
    <w:docVar w:name="LW_EMISSION_SUFFIX" w:val="."/>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r ko nosaka \u299?steno\u353?anas tehniskos standartus Eiropas Parlamenta un Padomes Regulas (ES) Nr. 2019/2033 piem\u275?ro\u353?anai attiec\u299?b\u257? uz ieguld\u299?jumu brokeru sabiedr\u299?bu sniegtajiem uzraudz\u299?bas p\u257?rskatiem un inform\u257?cijas atkl\u257?\u353?anu"/>
    <w:docVar w:name="LW_TYPE.DOC.CP" w:val="KOMISIJAS \u298?STENO\u352?ANAS REGULA (ES) \u8230?/.."/>
  </w:docVars>
  <w:rsids>
    <w:rsidRoot w:val="006C4B04"/>
    <w:rsid w:val="0032217E"/>
    <w:rsid w:val="005C234C"/>
    <w:rsid w:val="006C4B04"/>
    <w:rsid w:val="006E6216"/>
    <w:rsid w:val="00854BD0"/>
    <w:rsid w:val="00B000A7"/>
    <w:rsid w:val="00C70BB8"/>
    <w:rsid w:val="00D53CDD"/>
    <w:rsid w:val="00E417E7"/>
    <w:rsid w:val="00ED7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8B2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pPr>
      <w:keepNext/>
      <w:numPr>
        <w:numId w:val="1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1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18"/>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18"/>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lang w:val="en-US"/>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lang w:val="en-US"/>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7"/>
      </w:numPr>
      <w:contextualSpacing/>
    </w:pPr>
  </w:style>
  <w:style w:type="paragraph" w:styleId="ListNumber2">
    <w:name w:val="List Number 2"/>
    <w:basedOn w:val="Normal"/>
    <w:uiPriority w:val="99"/>
    <w:semiHidden/>
    <w:unhideWhenUsed/>
    <w:pPr>
      <w:numPr>
        <w:numId w:val="8"/>
      </w:numPr>
      <w:contextualSpacing/>
    </w:pPr>
  </w:style>
  <w:style w:type="paragraph" w:styleId="ListNumber3">
    <w:name w:val="List Number 3"/>
    <w:basedOn w:val="Normal"/>
    <w:uiPriority w:val="99"/>
    <w:semiHidden/>
    <w:unhideWhenUsed/>
    <w:pPr>
      <w:numPr>
        <w:numId w:val="9"/>
      </w:numPr>
      <w:contextualSpacing/>
    </w:pPr>
  </w:style>
  <w:style w:type="paragraph" w:styleId="ListNumber4">
    <w:name w:val="List Number 4"/>
    <w:basedOn w:val="Normal"/>
    <w:uiPriority w:val="99"/>
    <w:semiHidden/>
    <w:unhideWhenUsed/>
    <w:pPr>
      <w:numPr>
        <w:numId w:val="10"/>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12"/>
      </w:numPr>
    </w:pPr>
  </w:style>
  <w:style w:type="paragraph" w:customStyle="1" w:styleId="Tiret1">
    <w:name w:val="Tiret 1"/>
    <w:basedOn w:val="Point1"/>
    <w:pPr>
      <w:numPr>
        <w:numId w:val="13"/>
      </w:numPr>
    </w:pPr>
  </w:style>
  <w:style w:type="paragraph" w:customStyle="1" w:styleId="Tiret2">
    <w:name w:val="Tiret 2"/>
    <w:basedOn w:val="Point2"/>
    <w:pPr>
      <w:numPr>
        <w:numId w:val="14"/>
      </w:numPr>
    </w:pPr>
  </w:style>
  <w:style w:type="paragraph" w:customStyle="1" w:styleId="Tiret3">
    <w:name w:val="Tiret 3"/>
    <w:basedOn w:val="Point3"/>
    <w:pPr>
      <w:numPr>
        <w:numId w:val="15"/>
      </w:numPr>
    </w:pPr>
  </w:style>
  <w:style w:type="paragraph" w:customStyle="1" w:styleId="Tiret4">
    <w:name w:val="Tiret 4"/>
    <w:basedOn w:val="Point4"/>
    <w:pPr>
      <w:numPr>
        <w:numId w:val="16"/>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17"/>
      </w:numPr>
    </w:pPr>
  </w:style>
  <w:style w:type="paragraph" w:customStyle="1" w:styleId="NumPar2">
    <w:name w:val="NumPar 2"/>
    <w:basedOn w:val="Normal"/>
    <w:next w:val="Text1"/>
    <w:pPr>
      <w:numPr>
        <w:ilvl w:val="1"/>
        <w:numId w:val="17"/>
      </w:numPr>
    </w:pPr>
  </w:style>
  <w:style w:type="paragraph" w:customStyle="1" w:styleId="NumPar3">
    <w:name w:val="NumPar 3"/>
    <w:basedOn w:val="Normal"/>
    <w:next w:val="Text1"/>
    <w:pPr>
      <w:numPr>
        <w:ilvl w:val="2"/>
        <w:numId w:val="17"/>
      </w:numPr>
    </w:pPr>
  </w:style>
  <w:style w:type="paragraph" w:customStyle="1" w:styleId="NumPar4">
    <w:name w:val="NumPar 4"/>
    <w:basedOn w:val="Normal"/>
    <w:next w:val="Text1"/>
    <w:pPr>
      <w:numPr>
        <w:ilvl w:val="3"/>
        <w:numId w:val="17"/>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19"/>
      </w:numPr>
    </w:pPr>
  </w:style>
  <w:style w:type="paragraph" w:customStyle="1" w:styleId="Point1number">
    <w:name w:val="Point 1 (number)"/>
    <w:basedOn w:val="Normal"/>
    <w:pPr>
      <w:numPr>
        <w:ilvl w:val="2"/>
        <w:numId w:val="19"/>
      </w:numPr>
    </w:pPr>
  </w:style>
  <w:style w:type="paragraph" w:customStyle="1" w:styleId="Point2number">
    <w:name w:val="Point 2 (number)"/>
    <w:basedOn w:val="Normal"/>
    <w:pPr>
      <w:numPr>
        <w:ilvl w:val="4"/>
        <w:numId w:val="19"/>
      </w:numPr>
    </w:pPr>
  </w:style>
  <w:style w:type="paragraph" w:customStyle="1" w:styleId="Point3number">
    <w:name w:val="Point 3 (number)"/>
    <w:basedOn w:val="Normal"/>
    <w:pPr>
      <w:numPr>
        <w:ilvl w:val="6"/>
        <w:numId w:val="19"/>
      </w:numPr>
    </w:pPr>
  </w:style>
  <w:style w:type="paragraph" w:customStyle="1" w:styleId="Point0letter">
    <w:name w:val="Point 0 (letter)"/>
    <w:basedOn w:val="Normal"/>
    <w:pPr>
      <w:numPr>
        <w:ilvl w:val="1"/>
        <w:numId w:val="19"/>
      </w:numPr>
    </w:pPr>
  </w:style>
  <w:style w:type="paragraph" w:customStyle="1" w:styleId="Point1letter">
    <w:name w:val="Point 1 (letter)"/>
    <w:basedOn w:val="Normal"/>
    <w:pPr>
      <w:numPr>
        <w:ilvl w:val="3"/>
        <w:numId w:val="19"/>
      </w:numPr>
    </w:pPr>
  </w:style>
  <w:style w:type="paragraph" w:customStyle="1" w:styleId="Point2letter">
    <w:name w:val="Point 2 (letter)"/>
    <w:basedOn w:val="Normal"/>
    <w:pPr>
      <w:numPr>
        <w:ilvl w:val="5"/>
        <w:numId w:val="19"/>
      </w:numPr>
    </w:pPr>
  </w:style>
  <w:style w:type="paragraph" w:customStyle="1" w:styleId="Point3letter">
    <w:name w:val="Point 3 (letter)"/>
    <w:basedOn w:val="Normal"/>
    <w:pPr>
      <w:numPr>
        <w:ilvl w:val="7"/>
        <w:numId w:val="19"/>
      </w:numPr>
    </w:pPr>
  </w:style>
  <w:style w:type="paragraph" w:customStyle="1" w:styleId="Point4letter">
    <w:name w:val="Point 4 (letter)"/>
    <w:basedOn w:val="Normal"/>
    <w:pPr>
      <w:numPr>
        <w:ilvl w:val="8"/>
        <w:numId w:val="19"/>
      </w:numPr>
    </w:pPr>
  </w:style>
  <w:style w:type="paragraph" w:customStyle="1" w:styleId="Bullet0">
    <w:name w:val="Bullet 0"/>
    <w:basedOn w:val="Normal"/>
    <w:pPr>
      <w:numPr>
        <w:numId w:val="20"/>
      </w:numPr>
    </w:pPr>
  </w:style>
  <w:style w:type="paragraph" w:customStyle="1" w:styleId="Bullet1">
    <w:name w:val="Bullet 1"/>
    <w:basedOn w:val="Normal"/>
    <w:pPr>
      <w:numPr>
        <w:numId w:val="21"/>
      </w:numPr>
    </w:pPr>
  </w:style>
  <w:style w:type="paragraph" w:customStyle="1" w:styleId="Bullet2">
    <w:name w:val="Bullet 2"/>
    <w:basedOn w:val="Normal"/>
    <w:pPr>
      <w:numPr>
        <w:numId w:val="22"/>
      </w:numPr>
    </w:pPr>
  </w:style>
  <w:style w:type="paragraph" w:customStyle="1" w:styleId="Bullet3">
    <w:name w:val="Bullet 3"/>
    <w:basedOn w:val="Normal"/>
    <w:pPr>
      <w:numPr>
        <w:numId w:val="23"/>
      </w:numPr>
    </w:pPr>
  </w:style>
  <w:style w:type="paragraph" w:customStyle="1" w:styleId="Bullet4">
    <w:name w:val="Bullet 4"/>
    <w:basedOn w:val="Normal"/>
    <w:pPr>
      <w:numPr>
        <w:numId w:val="24"/>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25"/>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2739C-13D2-4CD4-9587-18A139E3B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2224</Words>
  <Characters>12677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2021-11-25T14:59:00Z</dcterms:created>
  <dcterms:modified xsi:type="dcterms:W3CDTF">2022-01-14T16:50:00Z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2022-01-14T16:50:31Z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883379a1-5ff8-4e56-9dc5-37225fade2cc</vt:lpwstr>
  </property>
  <property fmtid="{D5CDD505-2E9C-101B-9397-08002B2CF9AE}" pid="15" name="MSIP_Label_5c7eb9de-735b-4a68-8fe4-c9c62709b012_ContentBits">
    <vt:lpwstr>1</vt:lpwstr>
  </property>
</Properties>
</file>