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2D162" w14:textId="77777777" w:rsidR="007436E0" w:rsidRPr="0092398B" w:rsidRDefault="0092398B">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92398B">
        <w:rPr>
          <w:rFonts w:ascii="Times New Roman" w:hAnsi="Times New Roman"/>
          <w:b/>
          <w:sz w:val="24"/>
          <w:szCs w:val="24"/>
        </w:rPr>
        <w:t>LV</w:t>
      </w:r>
      <w:r w:rsidRPr="0092398B">
        <w:br/>
      </w:r>
      <w:r w:rsidRPr="0092398B">
        <w:rPr>
          <w:rFonts w:ascii="Times New Roman" w:hAnsi="Times New Roman"/>
          <w:b/>
          <w:sz w:val="24"/>
          <w:szCs w:val="20"/>
        </w:rPr>
        <w:t>IV PIELIKUMS</w:t>
      </w:r>
    </w:p>
    <w:p w14:paraId="0D079CA8" w14:textId="77777777" w:rsidR="007436E0" w:rsidRPr="0092398B" w:rsidRDefault="0092398B">
      <w:pPr>
        <w:spacing w:after="240" w:line="240" w:lineRule="auto"/>
        <w:jc w:val="center"/>
        <w:rPr>
          <w:rFonts w:ascii="Times New Roman" w:eastAsia="Times New Roman" w:hAnsi="Times New Roman" w:cs="Times New Roman"/>
          <w:b/>
          <w:sz w:val="24"/>
          <w:szCs w:val="20"/>
          <w:u w:val="single"/>
        </w:rPr>
      </w:pPr>
      <w:r w:rsidRPr="0092398B">
        <w:rPr>
          <w:rFonts w:ascii="Times New Roman" w:hAnsi="Times New Roman"/>
          <w:b/>
          <w:sz w:val="24"/>
          <w:szCs w:val="20"/>
          <w:u w:val="single"/>
        </w:rPr>
        <w:t xml:space="preserve">“IV </w:t>
      </w:r>
      <w:bookmarkEnd w:id="0"/>
      <w:bookmarkEnd w:id="1"/>
      <w:r w:rsidRPr="0092398B">
        <w:rPr>
          <w:rFonts w:ascii="Times New Roman" w:hAnsi="Times New Roman"/>
          <w:b/>
          <w:sz w:val="24"/>
          <w:szCs w:val="20"/>
          <w:u w:val="single"/>
        </w:rPr>
        <w:t>PIELIKUMS</w:t>
      </w:r>
    </w:p>
    <w:p w14:paraId="78119CD7" w14:textId="77777777" w:rsidR="007436E0" w:rsidRPr="0092398B" w:rsidRDefault="0092398B">
      <w:pPr>
        <w:spacing w:after="240" w:line="240" w:lineRule="auto"/>
        <w:jc w:val="center"/>
        <w:rPr>
          <w:rFonts w:ascii="Times New Roman" w:eastAsia="Times New Roman" w:hAnsi="Times New Roman" w:cs="Times New Roman"/>
          <w:b/>
          <w:sz w:val="24"/>
          <w:szCs w:val="20"/>
        </w:rPr>
      </w:pPr>
      <w:r w:rsidRPr="0092398B">
        <w:rPr>
          <w:rFonts w:ascii="Times New Roman" w:hAnsi="Times New Roman"/>
          <w:b/>
          <w:sz w:val="24"/>
          <w:szCs w:val="20"/>
        </w:rPr>
        <w:t>NELIELU UN SAVSTARPĒJI NESAISTĪTU IEGULDĪJUMU BROKERU SABIEDRĪBU PĀRSKATU SNIEGŠANA</w:t>
      </w:r>
    </w:p>
    <w:p w14:paraId="56BACCB4" w14:textId="77777777" w:rsidR="007436E0" w:rsidRPr="0092398B" w:rsidRDefault="0092398B">
      <w:pPr>
        <w:spacing w:after="0" w:line="240" w:lineRule="auto"/>
        <w:rPr>
          <w:rFonts w:ascii="Times New Roman" w:eastAsia="Times New Roman" w:hAnsi="Times New Roman" w:cs="Times New Roman"/>
          <w:sz w:val="24"/>
          <w:szCs w:val="24"/>
        </w:rPr>
      </w:pPr>
      <w:r w:rsidRPr="0092398B">
        <w:rPr>
          <w:rFonts w:ascii="Times New Roman" w:hAnsi="Times New Roman"/>
          <w:sz w:val="24"/>
          <w:szCs w:val="24"/>
        </w:rPr>
        <w:t>Saturs</w:t>
      </w:r>
    </w:p>
    <w:p w14:paraId="574C051C" w14:textId="77777777" w:rsidR="007436E0" w:rsidRPr="0092398B" w:rsidRDefault="0092398B">
      <w:pPr>
        <w:pStyle w:val="TOC2"/>
        <w:rPr>
          <w:rFonts w:eastAsiaTheme="minorEastAsia"/>
          <w:noProof/>
        </w:rPr>
      </w:pPr>
      <w:r w:rsidRPr="0092398B">
        <w:rPr>
          <w:rFonts w:ascii="Times New Roman" w:hAnsi="Times New Roman"/>
          <w:noProof/>
        </w:rPr>
        <w:t>I DAĻA. VISPĀRĪGIE NORĀDĪJUMI</w:t>
      </w:r>
      <w:r w:rsidRPr="0092398B">
        <w:rPr>
          <w:noProof/>
        </w:rPr>
        <w:tab/>
        <w:t>2</w:t>
      </w:r>
    </w:p>
    <w:p w14:paraId="1A6CD658" w14:textId="77777777" w:rsidR="007436E0" w:rsidRPr="0092398B" w:rsidRDefault="0092398B">
      <w:pPr>
        <w:pStyle w:val="TOC2"/>
        <w:rPr>
          <w:rFonts w:eastAsiaTheme="minorEastAsia"/>
          <w:noProof/>
        </w:rPr>
      </w:pPr>
      <w:r w:rsidRPr="0092398B">
        <w:rPr>
          <w:rFonts w:ascii="Times New Roman" w:hAnsi="Times New Roman"/>
          <w:noProof/>
        </w:rPr>
        <w:t>1. Struktūra un konvencijas</w:t>
      </w:r>
      <w:r w:rsidRPr="0092398B">
        <w:rPr>
          <w:noProof/>
        </w:rPr>
        <w:tab/>
        <w:t>2</w:t>
      </w:r>
    </w:p>
    <w:p w14:paraId="5C67B945" w14:textId="77777777" w:rsidR="007436E0" w:rsidRPr="0092398B" w:rsidRDefault="0092398B">
      <w:pPr>
        <w:pStyle w:val="TOC2"/>
        <w:rPr>
          <w:rFonts w:eastAsiaTheme="minorEastAsia"/>
          <w:noProof/>
        </w:rPr>
      </w:pPr>
      <w:r w:rsidRPr="0092398B">
        <w:rPr>
          <w:rFonts w:ascii="Times New Roman" w:hAnsi="Times New Roman"/>
          <w:noProof/>
          <w:u w:val="single"/>
        </w:rPr>
        <w:t>1.1. Struktūra</w:t>
      </w:r>
      <w:r w:rsidRPr="0092398B">
        <w:rPr>
          <w:noProof/>
        </w:rPr>
        <w:tab/>
        <w:t>2</w:t>
      </w:r>
    </w:p>
    <w:p w14:paraId="123B7AF7" w14:textId="77777777" w:rsidR="007436E0" w:rsidRPr="0092398B" w:rsidRDefault="0092398B">
      <w:pPr>
        <w:pStyle w:val="TOC2"/>
        <w:rPr>
          <w:rFonts w:eastAsiaTheme="minorEastAsia"/>
          <w:noProof/>
        </w:rPr>
      </w:pPr>
      <w:r w:rsidRPr="0092398B">
        <w:rPr>
          <w:rFonts w:ascii="Times New Roman" w:hAnsi="Times New Roman"/>
          <w:noProof/>
          <w:u w:val="single"/>
        </w:rPr>
        <w:t>1.2. Numerācijas konvencija</w:t>
      </w:r>
      <w:r w:rsidRPr="0092398B">
        <w:rPr>
          <w:noProof/>
        </w:rPr>
        <w:tab/>
        <w:t>2</w:t>
      </w:r>
    </w:p>
    <w:p w14:paraId="0EE9029E" w14:textId="77777777" w:rsidR="007436E0" w:rsidRPr="0092398B" w:rsidRDefault="0092398B">
      <w:pPr>
        <w:pStyle w:val="TOC2"/>
        <w:rPr>
          <w:rFonts w:eastAsiaTheme="minorEastAsia"/>
          <w:noProof/>
        </w:rPr>
      </w:pPr>
      <w:r w:rsidRPr="0092398B">
        <w:rPr>
          <w:rFonts w:ascii="Times New Roman" w:hAnsi="Times New Roman"/>
          <w:noProof/>
          <w:u w:val="single"/>
        </w:rPr>
        <w:t xml:space="preserve">1.3. </w:t>
      </w:r>
      <w:r w:rsidRPr="0092398B">
        <w:rPr>
          <w:rFonts w:ascii="Times New Roman" w:hAnsi="Times New Roman"/>
          <w:noProof/>
          <w:u w:val="single"/>
        </w:rPr>
        <w:t>Zīmju konvencija</w:t>
      </w:r>
      <w:r w:rsidRPr="0092398B">
        <w:rPr>
          <w:noProof/>
        </w:rPr>
        <w:tab/>
        <w:t>2</w:t>
      </w:r>
    </w:p>
    <w:p w14:paraId="1C16134F" w14:textId="77777777" w:rsidR="007436E0" w:rsidRPr="0092398B" w:rsidRDefault="0092398B">
      <w:pPr>
        <w:pStyle w:val="TOC2"/>
        <w:rPr>
          <w:rFonts w:eastAsiaTheme="minorEastAsia"/>
          <w:noProof/>
        </w:rPr>
      </w:pPr>
      <w:r w:rsidRPr="0092398B">
        <w:rPr>
          <w:rFonts w:ascii="Times New Roman" w:hAnsi="Times New Roman"/>
          <w:noProof/>
          <w:u w:val="single"/>
        </w:rPr>
        <w:t>1.4. Prudenciālā konsolidācija</w:t>
      </w:r>
      <w:r w:rsidRPr="0092398B">
        <w:rPr>
          <w:noProof/>
        </w:rPr>
        <w:tab/>
        <w:t>2</w:t>
      </w:r>
    </w:p>
    <w:p w14:paraId="15EF821D" w14:textId="77777777" w:rsidR="007436E0" w:rsidRPr="0092398B" w:rsidRDefault="0092398B">
      <w:pPr>
        <w:pStyle w:val="TOC2"/>
        <w:rPr>
          <w:rFonts w:eastAsiaTheme="minorEastAsia"/>
          <w:noProof/>
        </w:rPr>
      </w:pPr>
      <w:r w:rsidRPr="0092398B">
        <w:rPr>
          <w:rFonts w:ascii="Times New Roman" w:hAnsi="Times New Roman"/>
          <w:noProof/>
        </w:rPr>
        <w:t>II DAĻA. NORĀDĪJUMI SAISTĪBĀ AR VEIDNI</w:t>
      </w:r>
      <w:r w:rsidRPr="0092398B">
        <w:rPr>
          <w:noProof/>
        </w:rPr>
        <w:tab/>
        <w:t>3</w:t>
      </w:r>
    </w:p>
    <w:p w14:paraId="205F3FCB" w14:textId="77777777" w:rsidR="007436E0" w:rsidRPr="0092398B" w:rsidRDefault="0092398B">
      <w:pPr>
        <w:pStyle w:val="TOC2"/>
        <w:rPr>
          <w:rFonts w:eastAsiaTheme="minorEastAsia"/>
          <w:noProof/>
        </w:rPr>
      </w:pPr>
      <w:r w:rsidRPr="0092398B">
        <w:rPr>
          <w:rFonts w:ascii="Times New Roman" w:hAnsi="Times New Roman"/>
          <w:b/>
          <w:noProof/>
        </w:rPr>
        <w:t>1. PAŠU KAPITĀLS: APMĒRS, STRUKTŪRA, PRASĪBAS UN APRĒĶINĀŠANA</w:t>
      </w:r>
      <w:r w:rsidRPr="0092398B">
        <w:rPr>
          <w:noProof/>
        </w:rPr>
        <w:tab/>
        <w:t>3</w:t>
      </w:r>
    </w:p>
    <w:p w14:paraId="011F1D80" w14:textId="77777777" w:rsidR="007436E0" w:rsidRPr="0092398B" w:rsidRDefault="0092398B">
      <w:pPr>
        <w:pStyle w:val="TOC2"/>
        <w:rPr>
          <w:rFonts w:eastAsiaTheme="minorEastAsia"/>
          <w:noProof/>
          <w:lang w:val="en-US"/>
        </w:rPr>
      </w:pPr>
      <w:r w:rsidRPr="0092398B">
        <w:rPr>
          <w:rFonts w:ascii="Times New Roman" w:hAnsi="Times New Roman"/>
          <w:noProof/>
        </w:rPr>
        <w:t>1.1. Vispārīgas piezīmes</w:t>
      </w:r>
      <w:r w:rsidRPr="0092398B">
        <w:rPr>
          <w:noProof/>
        </w:rPr>
        <w:tab/>
        <w:t>3</w:t>
      </w:r>
    </w:p>
    <w:p w14:paraId="21BB674E" w14:textId="77777777" w:rsidR="007436E0" w:rsidRPr="0092398B" w:rsidRDefault="0092398B">
      <w:pPr>
        <w:pStyle w:val="TOC2"/>
        <w:rPr>
          <w:rFonts w:eastAsiaTheme="minorEastAsia"/>
          <w:noProof/>
        </w:rPr>
      </w:pPr>
      <w:r w:rsidRPr="0092398B">
        <w:rPr>
          <w:rFonts w:ascii="Times New Roman" w:hAnsi="Times New Roman"/>
          <w:noProof/>
        </w:rPr>
        <w:t>1.2. I 01.01 – PAŠU KAPITĀLA STRUKTŪRA (I 1.1.)</w:t>
      </w:r>
      <w:r w:rsidRPr="0092398B">
        <w:rPr>
          <w:noProof/>
        </w:rPr>
        <w:tab/>
        <w:t>3</w:t>
      </w:r>
    </w:p>
    <w:p w14:paraId="2D76F0D5" w14:textId="77777777" w:rsidR="007436E0" w:rsidRPr="0092398B" w:rsidRDefault="0092398B">
      <w:pPr>
        <w:pStyle w:val="TOC2"/>
        <w:rPr>
          <w:rFonts w:eastAsiaTheme="minorEastAsia"/>
          <w:noProof/>
          <w:lang w:val="en-US"/>
        </w:rPr>
      </w:pPr>
      <w:r w:rsidRPr="0092398B">
        <w:rPr>
          <w:rFonts w:ascii="Times New Roman" w:hAnsi="Times New Roman"/>
          <w:noProof/>
        </w:rPr>
        <w:t>1.2.1.</w:t>
      </w:r>
      <w:r w:rsidRPr="0092398B">
        <w:rPr>
          <w:rFonts w:eastAsiaTheme="minorEastAsia"/>
          <w:noProof/>
        </w:rPr>
        <w:tab/>
      </w:r>
      <w:r w:rsidRPr="0092398B">
        <w:rPr>
          <w:rFonts w:ascii="Times New Roman" w:hAnsi="Times New Roman"/>
          <w:noProof/>
        </w:rPr>
        <w:t>Norādījumi attiecībā uz konkrētām pozīcijām.</w:t>
      </w:r>
      <w:r w:rsidRPr="0092398B">
        <w:rPr>
          <w:noProof/>
        </w:rPr>
        <w:tab/>
        <w:t>3</w:t>
      </w:r>
    </w:p>
    <w:p w14:paraId="4701E406" w14:textId="77777777" w:rsidR="007436E0" w:rsidRPr="0092398B" w:rsidRDefault="0092398B">
      <w:pPr>
        <w:pStyle w:val="TOC2"/>
        <w:rPr>
          <w:rFonts w:eastAsiaTheme="minorEastAsia"/>
          <w:noProof/>
          <w:lang w:val="en-US"/>
        </w:rPr>
      </w:pPr>
      <w:r w:rsidRPr="0092398B">
        <w:rPr>
          <w:rFonts w:ascii="Times New Roman" w:hAnsi="Times New Roman"/>
          <w:noProof/>
        </w:rPr>
        <w:t>1.3. I 02.03 – PAŠU KAPITĀLA PRASĪBAS (I 2.3)</w:t>
      </w:r>
      <w:r w:rsidRPr="0092398B">
        <w:rPr>
          <w:noProof/>
        </w:rPr>
        <w:tab/>
        <w:t>8</w:t>
      </w:r>
    </w:p>
    <w:p w14:paraId="2E9584B3" w14:textId="77777777" w:rsidR="007436E0" w:rsidRPr="0092398B" w:rsidRDefault="0092398B">
      <w:pPr>
        <w:pStyle w:val="TOC2"/>
        <w:rPr>
          <w:rFonts w:eastAsiaTheme="minorEastAsia"/>
          <w:noProof/>
          <w:lang w:val="en-US"/>
        </w:rPr>
      </w:pPr>
      <w:r w:rsidRPr="0092398B">
        <w:rPr>
          <w:rFonts w:ascii="Times New Roman" w:hAnsi="Times New Roman"/>
          <w:noProof/>
        </w:rPr>
        <w:t>1.3.1.</w:t>
      </w:r>
      <w:r w:rsidRPr="0092398B">
        <w:rPr>
          <w:rFonts w:eastAsiaTheme="minorEastAsia"/>
          <w:noProof/>
          <w:lang w:val="en-US"/>
        </w:rPr>
        <w:tab/>
      </w:r>
      <w:r w:rsidRPr="0092398B">
        <w:rPr>
          <w:rFonts w:ascii="Times New Roman" w:hAnsi="Times New Roman"/>
          <w:noProof/>
        </w:rPr>
        <w:t>Norādījumi attiecībā uz konkrētām pozīcijām</w:t>
      </w:r>
      <w:r w:rsidRPr="0092398B">
        <w:rPr>
          <w:noProof/>
        </w:rPr>
        <w:tab/>
        <w:t>8</w:t>
      </w:r>
    </w:p>
    <w:p w14:paraId="39107FF9" w14:textId="77777777" w:rsidR="007436E0" w:rsidRPr="0092398B" w:rsidRDefault="0092398B">
      <w:pPr>
        <w:pStyle w:val="TOC2"/>
        <w:rPr>
          <w:rFonts w:eastAsiaTheme="minorEastAsia"/>
          <w:noProof/>
          <w:lang w:val="en-US"/>
        </w:rPr>
      </w:pPr>
      <w:r w:rsidRPr="0092398B">
        <w:rPr>
          <w:rFonts w:ascii="Times New Roman" w:hAnsi="Times New Roman"/>
          <w:noProof/>
        </w:rPr>
        <w:t>1.4. I 02.04 – KAPITĀLA RĀDĪTĀJI (I 2.4)</w:t>
      </w:r>
      <w:r w:rsidRPr="0092398B">
        <w:rPr>
          <w:noProof/>
        </w:rPr>
        <w:tab/>
        <w:t>9</w:t>
      </w:r>
    </w:p>
    <w:p w14:paraId="490A4F18" w14:textId="77777777" w:rsidR="007436E0" w:rsidRPr="0092398B" w:rsidRDefault="0092398B">
      <w:pPr>
        <w:pStyle w:val="TOC2"/>
        <w:rPr>
          <w:rFonts w:eastAsiaTheme="minorEastAsia"/>
          <w:noProof/>
        </w:rPr>
      </w:pPr>
      <w:r w:rsidRPr="0092398B">
        <w:rPr>
          <w:rFonts w:ascii="Times New Roman" w:hAnsi="Times New Roman"/>
          <w:noProof/>
        </w:rPr>
        <w:t>1.4.1.</w:t>
      </w:r>
      <w:r w:rsidRPr="0092398B">
        <w:rPr>
          <w:rFonts w:eastAsiaTheme="minorEastAsia"/>
          <w:noProof/>
          <w:lang w:val="en-US"/>
        </w:rPr>
        <w:tab/>
      </w:r>
      <w:r w:rsidRPr="0092398B">
        <w:rPr>
          <w:rFonts w:ascii="Times New Roman" w:hAnsi="Times New Roman"/>
          <w:noProof/>
        </w:rPr>
        <w:t>Norādījumi attiecībā uz konkrētām pozīcijām</w:t>
      </w:r>
      <w:r w:rsidRPr="0092398B">
        <w:rPr>
          <w:rFonts w:ascii="Times New Roman" w:hAnsi="Times New Roman"/>
          <w:noProof/>
          <w:u w:val="single"/>
        </w:rPr>
        <w:t>.</w:t>
      </w:r>
      <w:r w:rsidRPr="0092398B">
        <w:rPr>
          <w:noProof/>
        </w:rPr>
        <w:tab/>
        <w:t>9</w:t>
      </w:r>
    </w:p>
    <w:p w14:paraId="2B892B2E" w14:textId="77777777" w:rsidR="007436E0" w:rsidRPr="0092398B" w:rsidRDefault="0092398B">
      <w:pPr>
        <w:pStyle w:val="TOC2"/>
        <w:rPr>
          <w:rFonts w:eastAsiaTheme="minorEastAsia"/>
          <w:noProof/>
        </w:rPr>
      </w:pPr>
      <w:r w:rsidRPr="0092398B">
        <w:rPr>
          <w:rFonts w:ascii="Times New Roman" w:hAnsi="Times New Roman"/>
          <w:noProof/>
        </w:rPr>
        <w:t xml:space="preserve">1.5. I </w:t>
      </w:r>
      <w:r w:rsidRPr="0092398B">
        <w:rPr>
          <w:rFonts w:ascii="Times New Roman" w:hAnsi="Times New Roman"/>
          <w:noProof/>
        </w:rPr>
        <w:t>03.01 – FIKSĒTO PIESKAITĀMO IZDEVUMU PRASĪBU APRĒĶINĀŠANA (I 3.1)</w:t>
      </w:r>
      <w:r w:rsidRPr="0092398B">
        <w:rPr>
          <w:noProof/>
        </w:rPr>
        <w:tab/>
        <w:t>11</w:t>
      </w:r>
    </w:p>
    <w:p w14:paraId="484A46EC" w14:textId="77777777" w:rsidR="007436E0" w:rsidRPr="0092398B" w:rsidRDefault="0092398B">
      <w:pPr>
        <w:pStyle w:val="TOC2"/>
        <w:rPr>
          <w:rFonts w:eastAsiaTheme="minorEastAsia"/>
          <w:noProof/>
        </w:rPr>
      </w:pPr>
      <w:r w:rsidRPr="0092398B">
        <w:rPr>
          <w:rFonts w:ascii="Times New Roman" w:hAnsi="Times New Roman"/>
          <w:noProof/>
        </w:rPr>
        <w:t>1.5.1.</w:t>
      </w:r>
      <w:r w:rsidRPr="0092398B">
        <w:rPr>
          <w:rFonts w:ascii="Times New Roman" w:hAnsi="Times New Roman"/>
          <w:noProof/>
        </w:rPr>
        <w:tab/>
        <w:t>Norādījumi attiecībā uz konkrētām pozīcijām</w:t>
      </w:r>
      <w:r w:rsidRPr="0092398B">
        <w:rPr>
          <w:noProof/>
        </w:rPr>
        <w:tab/>
        <w:t>11</w:t>
      </w:r>
    </w:p>
    <w:p w14:paraId="648FA2F3" w14:textId="77777777" w:rsidR="007436E0" w:rsidRPr="0092398B" w:rsidRDefault="0092398B">
      <w:pPr>
        <w:pStyle w:val="TOC2"/>
        <w:rPr>
          <w:rFonts w:eastAsiaTheme="minorEastAsia"/>
          <w:noProof/>
        </w:rPr>
      </w:pPr>
      <w:r w:rsidRPr="0092398B">
        <w:rPr>
          <w:rFonts w:ascii="Times New Roman" w:hAnsi="Times New Roman"/>
          <w:noProof/>
        </w:rPr>
        <w:t>2. NELIELAS UN SAVSTARPĒJI NESAISTĪTAS IEGULDĪJUMU BROKERU SABIEDRĪBAS</w:t>
      </w:r>
      <w:r w:rsidRPr="0092398B">
        <w:rPr>
          <w:noProof/>
        </w:rPr>
        <w:tab/>
        <w:t>13</w:t>
      </w:r>
    </w:p>
    <w:p w14:paraId="756B2E99" w14:textId="77777777" w:rsidR="007436E0" w:rsidRPr="0092398B" w:rsidRDefault="0092398B">
      <w:pPr>
        <w:pStyle w:val="TOC2"/>
        <w:rPr>
          <w:rFonts w:eastAsiaTheme="minorEastAsia"/>
          <w:noProof/>
          <w:lang w:val="en-US"/>
        </w:rPr>
      </w:pPr>
      <w:r w:rsidRPr="0092398B">
        <w:rPr>
          <w:rFonts w:ascii="Times New Roman" w:hAnsi="Times New Roman"/>
          <w:noProof/>
        </w:rPr>
        <w:t>2.1.</w:t>
      </w:r>
      <w:r w:rsidRPr="0092398B">
        <w:rPr>
          <w:rFonts w:eastAsiaTheme="minorEastAsia"/>
          <w:noProof/>
          <w:lang w:val="en-US"/>
        </w:rPr>
        <w:tab/>
      </w:r>
      <w:r w:rsidRPr="0092398B">
        <w:rPr>
          <w:rFonts w:ascii="Times New Roman" w:hAnsi="Times New Roman"/>
          <w:noProof/>
        </w:rPr>
        <w:t>I 05.00 – AKTIVITĀTES LĪMENIS – ROBEŽVĒRTĪBAS PĀRSKATĪ</w:t>
      </w:r>
      <w:r w:rsidRPr="0092398B">
        <w:rPr>
          <w:rFonts w:ascii="Times New Roman" w:hAnsi="Times New Roman"/>
          <w:noProof/>
        </w:rPr>
        <w:t>ŠANA (I 5)</w:t>
      </w:r>
      <w:r w:rsidRPr="0092398B">
        <w:rPr>
          <w:noProof/>
        </w:rPr>
        <w:tab/>
        <w:t>13</w:t>
      </w:r>
    </w:p>
    <w:p w14:paraId="2BE79A1F" w14:textId="77777777" w:rsidR="007436E0" w:rsidRPr="0092398B" w:rsidRDefault="0092398B">
      <w:pPr>
        <w:pStyle w:val="TOC2"/>
        <w:rPr>
          <w:rFonts w:eastAsiaTheme="minorEastAsia"/>
          <w:noProof/>
          <w:lang w:val="en-US"/>
        </w:rPr>
      </w:pPr>
      <w:r w:rsidRPr="0092398B">
        <w:rPr>
          <w:rFonts w:ascii="Times New Roman" w:hAnsi="Times New Roman"/>
          <w:noProof/>
        </w:rPr>
        <w:t>2.1.1.</w:t>
      </w:r>
      <w:r w:rsidRPr="0092398B">
        <w:rPr>
          <w:rFonts w:eastAsiaTheme="minorEastAsia"/>
          <w:noProof/>
          <w:lang w:val="en-US"/>
        </w:rPr>
        <w:tab/>
      </w:r>
      <w:r w:rsidRPr="0092398B">
        <w:rPr>
          <w:rFonts w:ascii="Times New Roman" w:hAnsi="Times New Roman"/>
          <w:noProof/>
        </w:rPr>
        <w:t>Norādījumi attiecībā uz konkrētām pozīcijām</w:t>
      </w:r>
      <w:r w:rsidRPr="0092398B">
        <w:rPr>
          <w:noProof/>
        </w:rPr>
        <w:tab/>
        <w:t>13</w:t>
      </w:r>
    </w:p>
    <w:p w14:paraId="6F105886" w14:textId="77777777" w:rsidR="007436E0" w:rsidRPr="0092398B" w:rsidRDefault="0092398B">
      <w:pPr>
        <w:pStyle w:val="TOC2"/>
        <w:rPr>
          <w:rFonts w:eastAsiaTheme="minorEastAsia"/>
          <w:noProof/>
          <w:lang w:val="en-US"/>
        </w:rPr>
      </w:pPr>
      <w:r w:rsidRPr="0092398B">
        <w:rPr>
          <w:rFonts w:ascii="Times New Roman" w:hAnsi="Times New Roman"/>
          <w:b/>
          <w:noProof/>
        </w:rPr>
        <w:t>3. LIKVIDITĀTES PRASĪBAS</w:t>
      </w:r>
      <w:r w:rsidRPr="0092398B">
        <w:rPr>
          <w:noProof/>
        </w:rPr>
        <w:tab/>
        <w:t>16</w:t>
      </w:r>
    </w:p>
    <w:p w14:paraId="6120EE89" w14:textId="77777777" w:rsidR="007436E0" w:rsidRPr="0092398B" w:rsidRDefault="0092398B">
      <w:pPr>
        <w:pStyle w:val="TOC2"/>
        <w:rPr>
          <w:rFonts w:eastAsiaTheme="minorEastAsia"/>
          <w:noProof/>
          <w:lang w:val="en-US"/>
        </w:rPr>
      </w:pPr>
      <w:r w:rsidRPr="0092398B">
        <w:rPr>
          <w:rFonts w:ascii="Times New Roman" w:hAnsi="Times New Roman"/>
          <w:noProof/>
        </w:rPr>
        <w:t>3.1 I 09.01 – LIKVIDITĀTES PRASĪBAS (I 9.1)</w:t>
      </w:r>
      <w:r w:rsidRPr="0092398B">
        <w:rPr>
          <w:noProof/>
        </w:rPr>
        <w:tab/>
        <w:t>16</w:t>
      </w:r>
    </w:p>
    <w:p w14:paraId="476BE04D" w14:textId="77777777" w:rsidR="007436E0" w:rsidRPr="0092398B" w:rsidRDefault="0092398B">
      <w:pPr>
        <w:pStyle w:val="TOC2"/>
        <w:rPr>
          <w:rFonts w:eastAsiaTheme="minorEastAsia"/>
          <w:noProof/>
        </w:rPr>
      </w:pPr>
      <w:r w:rsidRPr="0092398B">
        <w:rPr>
          <w:rFonts w:ascii="Times New Roman" w:hAnsi="Times New Roman"/>
          <w:noProof/>
        </w:rPr>
        <w:t>3.1.1.</w:t>
      </w:r>
      <w:r w:rsidRPr="0092398B">
        <w:rPr>
          <w:rFonts w:eastAsiaTheme="minorEastAsia"/>
          <w:noProof/>
          <w:lang w:val="en-US"/>
        </w:rPr>
        <w:tab/>
      </w:r>
      <w:r w:rsidRPr="0092398B">
        <w:rPr>
          <w:rFonts w:ascii="Times New Roman" w:hAnsi="Times New Roman"/>
          <w:noProof/>
        </w:rPr>
        <w:t>Norādījumi attiecībā uz konkrētām pozīcijām</w:t>
      </w:r>
      <w:r w:rsidRPr="0092398B">
        <w:rPr>
          <w:rFonts w:ascii="Times New Roman" w:hAnsi="Times New Roman"/>
          <w:noProof/>
          <w:u w:val="single"/>
        </w:rPr>
        <w:t>.</w:t>
      </w:r>
      <w:r w:rsidRPr="0092398B">
        <w:rPr>
          <w:noProof/>
        </w:rPr>
        <w:tab/>
        <w:t>16</w:t>
      </w:r>
      <w:bookmarkStart w:id="6" w:name="_Toc360188322"/>
      <w:bookmarkStart w:id="7" w:name="_Toc473560870"/>
      <w:bookmarkStart w:id="8" w:name="_Toc7084155"/>
    </w:p>
    <w:p w14:paraId="1088BE58" w14:textId="77777777" w:rsidR="007436E0" w:rsidRPr="0092398B" w:rsidRDefault="0092398B">
      <w:pPr>
        <w:pStyle w:val="Heading2"/>
        <w:rPr>
          <w:rFonts w:ascii="Times New Roman" w:hAnsi="Times New Roman"/>
        </w:rPr>
      </w:pPr>
      <w:bookmarkStart w:id="9" w:name="_Toc88141784"/>
      <w:r w:rsidRPr="0092398B">
        <w:rPr>
          <w:rFonts w:ascii="Times New Roman" w:hAnsi="Times New Roman"/>
        </w:rPr>
        <w:t>I DAĻA. VISPĀRĪGIE NORĀDĪJUMI</w:t>
      </w:r>
      <w:bookmarkEnd w:id="9"/>
    </w:p>
    <w:p w14:paraId="68FAFDAC" w14:textId="77777777" w:rsidR="007436E0" w:rsidRPr="0092398B" w:rsidRDefault="0092398B">
      <w:pPr>
        <w:keepNext/>
        <w:spacing w:before="240" w:after="240" w:line="240" w:lineRule="auto"/>
        <w:jc w:val="both"/>
        <w:outlineLvl w:val="1"/>
        <w:rPr>
          <w:rFonts w:ascii="Times New Roman" w:eastAsia="Arial" w:hAnsi="Times New Roman" w:cs="Times New Roman"/>
          <w:sz w:val="24"/>
          <w:szCs w:val="24"/>
        </w:rPr>
      </w:pPr>
      <w:bookmarkStart w:id="10" w:name="_Toc88141785"/>
      <w:r w:rsidRPr="0092398B">
        <w:rPr>
          <w:rFonts w:ascii="Times New Roman" w:hAnsi="Times New Roman"/>
          <w:sz w:val="24"/>
          <w:szCs w:val="24"/>
        </w:rPr>
        <w:t>1. Struktūra un konvencijas</w:t>
      </w:r>
      <w:bookmarkEnd w:id="10"/>
    </w:p>
    <w:p w14:paraId="7FE2A92A" w14:textId="77777777" w:rsidR="007436E0" w:rsidRPr="0092398B" w:rsidRDefault="0092398B">
      <w:pPr>
        <w:keepNext/>
        <w:spacing w:before="240" w:after="240" w:line="240" w:lineRule="auto"/>
        <w:jc w:val="both"/>
        <w:outlineLvl w:val="1"/>
        <w:rPr>
          <w:rFonts w:ascii="Times New Roman" w:eastAsia="Arial" w:hAnsi="Times New Roman" w:cs="Times New Roman"/>
          <w:sz w:val="24"/>
          <w:szCs w:val="24"/>
          <w:u w:val="single"/>
        </w:rPr>
      </w:pPr>
      <w:bookmarkStart w:id="11" w:name="_Toc88141786"/>
      <w:r w:rsidRPr="0092398B">
        <w:rPr>
          <w:rFonts w:ascii="Times New Roman" w:hAnsi="Times New Roman"/>
          <w:sz w:val="24"/>
          <w:szCs w:val="24"/>
          <w:u w:val="single"/>
        </w:rPr>
        <w:t>1.1. Struktūra</w:t>
      </w:r>
      <w:bookmarkEnd w:id="11"/>
    </w:p>
    <w:p w14:paraId="3580AFDD" w14:textId="77777777" w:rsidR="007436E0" w:rsidRPr="0092398B" w:rsidRDefault="0092398B">
      <w:pPr>
        <w:spacing w:line="256" w:lineRule="auto"/>
        <w:ind w:left="993" w:hanging="504"/>
        <w:jc w:val="both"/>
        <w:rPr>
          <w:rFonts w:ascii="Times New Roman" w:hAnsi="Times New Roman" w:cs="Times New Roman"/>
        </w:rPr>
      </w:pPr>
      <w:r w:rsidRPr="0092398B">
        <w:rPr>
          <w:rFonts w:ascii="Times New Roman" w:hAnsi="Times New Roman" w:cs="Times New Roman"/>
        </w:rPr>
        <w:t>1.</w:t>
      </w:r>
      <w:r w:rsidRPr="0092398B">
        <w:rPr>
          <w:rFonts w:ascii="Times New Roman" w:hAnsi="Times New Roman" w:cs="Times New Roman"/>
        </w:rPr>
        <w:tab/>
      </w:r>
      <w:r w:rsidRPr="0092398B">
        <w:rPr>
          <w:rFonts w:ascii="Times New Roman" w:hAnsi="Times New Roman"/>
        </w:rPr>
        <w:t>Satvaru kopumā veido šādi informācijas bloki:</w:t>
      </w:r>
    </w:p>
    <w:p w14:paraId="24E771A7" w14:textId="77777777" w:rsidR="007436E0" w:rsidRPr="0092398B" w:rsidRDefault="0092398B">
      <w:pPr>
        <w:spacing w:line="256" w:lineRule="auto"/>
        <w:ind w:left="1728" w:hanging="648"/>
        <w:jc w:val="both"/>
        <w:rPr>
          <w:rFonts w:ascii="Times New Roman" w:hAnsi="Times New Roman" w:cs="Times New Roman"/>
        </w:rPr>
      </w:pPr>
      <w:r w:rsidRPr="0092398B">
        <w:rPr>
          <w:rFonts w:ascii="Times New Roman" w:hAnsi="Times New Roman" w:cs="Times New Roman"/>
        </w:rPr>
        <w:lastRenderedPageBreak/>
        <w:t>a)</w:t>
      </w:r>
      <w:r w:rsidRPr="0092398B">
        <w:rPr>
          <w:rFonts w:ascii="Times New Roman" w:hAnsi="Times New Roman" w:cs="Times New Roman"/>
        </w:rPr>
        <w:tab/>
      </w:r>
      <w:r w:rsidRPr="0092398B">
        <w:rPr>
          <w:rFonts w:ascii="Times New Roman" w:hAnsi="Times New Roman"/>
        </w:rPr>
        <w:t>pašu kapitāls;</w:t>
      </w:r>
    </w:p>
    <w:p w14:paraId="5DFFC844" w14:textId="77777777" w:rsidR="007436E0" w:rsidRPr="0092398B" w:rsidRDefault="0092398B">
      <w:pPr>
        <w:spacing w:line="256" w:lineRule="auto"/>
        <w:ind w:left="1728" w:hanging="648"/>
        <w:jc w:val="both"/>
        <w:rPr>
          <w:rFonts w:ascii="Times New Roman" w:hAnsi="Times New Roman" w:cs="Times New Roman"/>
        </w:rPr>
      </w:pPr>
      <w:r w:rsidRPr="0092398B">
        <w:rPr>
          <w:rFonts w:ascii="Times New Roman" w:hAnsi="Times New Roman" w:cs="Times New Roman"/>
        </w:rPr>
        <w:t>b)</w:t>
      </w:r>
      <w:r w:rsidRPr="0092398B">
        <w:rPr>
          <w:rFonts w:ascii="Times New Roman" w:hAnsi="Times New Roman" w:cs="Times New Roman"/>
        </w:rPr>
        <w:tab/>
      </w:r>
      <w:r w:rsidRPr="0092398B">
        <w:rPr>
          <w:rFonts w:ascii="Times New Roman" w:hAnsi="Times New Roman"/>
        </w:rPr>
        <w:t>pašu kapitāla prasību aprēķināšana;</w:t>
      </w:r>
    </w:p>
    <w:p w14:paraId="38B2C62D" w14:textId="77777777" w:rsidR="007436E0" w:rsidRPr="0092398B" w:rsidRDefault="0092398B">
      <w:pPr>
        <w:spacing w:line="256" w:lineRule="auto"/>
        <w:ind w:left="1728" w:hanging="648"/>
        <w:jc w:val="both"/>
        <w:rPr>
          <w:rFonts w:ascii="Times New Roman" w:hAnsi="Times New Roman" w:cs="Times New Roman"/>
        </w:rPr>
      </w:pPr>
      <w:r w:rsidRPr="0092398B">
        <w:rPr>
          <w:rFonts w:ascii="Times New Roman" w:hAnsi="Times New Roman" w:cs="Times New Roman"/>
        </w:rPr>
        <w:t>c)</w:t>
      </w:r>
      <w:r w:rsidRPr="0092398B">
        <w:rPr>
          <w:rFonts w:ascii="Times New Roman" w:hAnsi="Times New Roman" w:cs="Times New Roman"/>
        </w:rPr>
        <w:tab/>
      </w:r>
      <w:r w:rsidRPr="0092398B">
        <w:rPr>
          <w:rFonts w:ascii="Times New Roman" w:hAnsi="Times New Roman"/>
        </w:rPr>
        <w:t>fiksēto pieskaitāmo izdevumu prasību aprēķināšana;</w:t>
      </w:r>
    </w:p>
    <w:p w14:paraId="3D696E49" w14:textId="77777777" w:rsidR="007436E0" w:rsidRPr="0092398B" w:rsidRDefault="0092398B">
      <w:pPr>
        <w:spacing w:line="256" w:lineRule="auto"/>
        <w:ind w:left="1728" w:hanging="648"/>
        <w:jc w:val="both"/>
        <w:rPr>
          <w:rFonts w:ascii="Times New Roman" w:hAnsi="Times New Roman" w:cs="Times New Roman"/>
        </w:rPr>
      </w:pPr>
      <w:r w:rsidRPr="0092398B">
        <w:rPr>
          <w:rFonts w:ascii="Times New Roman" w:hAnsi="Times New Roman" w:cs="Times New Roman"/>
        </w:rPr>
        <w:t>d)</w:t>
      </w:r>
      <w:r w:rsidRPr="0092398B">
        <w:rPr>
          <w:rFonts w:ascii="Times New Roman" w:hAnsi="Times New Roman" w:cs="Times New Roman"/>
        </w:rPr>
        <w:tab/>
      </w:r>
      <w:r w:rsidRPr="0092398B">
        <w:rPr>
          <w:rFonts w:ascii="Times New Roman" w:hAnsi="Times New Roman"/>
        </w:rPr>
        <w:t>aktivitātes līmenis attiecībā uz Regulas (ES) 2019/2033 12. panta 1. punktā mi</w:t>
      </w:r>
      <w:r w:rsidRPr="0092398B">
        <w:rPr>
          <w:rFonts w:ascii="Times New Roman" w:hAnsi="Times New Roman"/>
        </w:rPr>
        <w:t>nētajiem nosacījumiem;</w:t>
      </w:r>
    </w:p>
    <w:p w14:paraId="10B8BA5E" w14:textId="77777777" w:rsidR="007436E0" w:rsidRPr="0092398B" w:rsidRDefault="0092398B">
      <w:pPr>
        <w:spacing w:line="256" w:lineRule="auto"/>
        <w:ind w:left="1728" w:hanging="648"/>
        <w:jc w:val="both"/>
        <w:rPr>
          <w:rFonts w:ascii="Times New Roman" w:hAnsi="Times New Roman" w:cs="Times New Roman"/>
        </w:rPr>
      </w:pPr>
      <w:r w:rsidRPr="0092398B">
        <w:rPr>
          <w:rFonts w:ascii="Times New Roman" w:hAnsi="Times New Roman" w:cs="Times New Roman"/>
        </w:rPr>
        <w:t>e)</w:t>
      </w:r>
      <w:r w:rsidRPr="0092398B">
        <w:rPr>
          <w:rFonts w:ascii="Times New Roman" w:hAnsi="Times New Roman" w:cs="Times New Roman"/>
        </w:rPr>
        <w:tab/>
      </w:r>
      <w:r w:rsidRPr="0092398B">
        <w:rPr>
          <w:rFonts w:ascii="Times New Roman" w:hAnsi="Times New Roman"/>
        </w:rPr>
        <w:t>likviditātes prasības.</w:t>
      </w:r>
    </w:p>
    <w:p w14:paraId="19D26571" w14:textId="77777777" w:rsidR="007436E0" w:rsidRPr="0092398B" w:rsidRDefault="0092398B">
      <w:pPr>
        <w:pStyle w:val="InstructionsText2"/>
        <w:numPr>
          <w:ilvl w:val="0"/>
          <w:numId w:val="0"/>
        </w:numPr>
        <w:ind w:left="360" w:hanging="360"/>
      </w:pPr>
      <w:r w:rsidRPr="0092398B">
        <w:t>2.</w:t>
      </w:r>
      <w:r w:rsidRPr="0092398B">
        <w:tab/>
        <w:t>Attiecībā uz katru veidni ir sniegtas atsauces uz tiesību aktiem. Šajā šīs regulas daļā ir iekļauta detalizētāka informācija par vispārīgākiem pārskatu sniegšanas aspektiem attiecībā uz katru veidņu bloku</w:t>
      </w:r>
      <w:r w:rsidRPr="0092398B">
        <w:t>, norādījumi par konkrētām pozīcijām, kā arī validācijas noteikumi.</w:t>
      </w:r>
    </w:p>
    <w:p w14:paraId="378A69DB" w14:textId="77777777" w:rsidR="007436E0" w:rsidRPr="0092398B" w:rsidRDefault="0092398B">
      <w:pPr>
        <w:keepNext/>
        <w:spacing w:before="240" w:after="240" w:line="240" w:lineRule="auto"/>
        <w:jc w:val="both"/>
        <w:outlineLvl w:val="1"/>
        <w:rPr>
          <w:rFonts w:ascii="Times New Roman" w:eastAsia="Arial" w:hAnsi="Times New Roman" w:cs="Times New Roman"/>
          <w:sz w:val="24"/>
          <w:szCs w:val="24"/>
          <w:u w:val="single"/>
        </w:rPr>
      </w:pPr>
      <w:bookmarkStart w:id="12" w:name="_Toc88141787"/>
      <w:r w:rsidRPr="0092398B">
        <w:rPr>
          <w:rFonts w:ascii="Times New Roman" w:hAnsi="Times New Roman"/>
          <w:sz w:val="24"/>
          <w:szCs w:val="24"/>
          <w:u w:val="single"/>
        </w:rPr>
        <w:t>1.2. Numerācijas konvencija</w:t>
      </w:r>
      <w:bookmarkEnd w:id="12"/>
    </w:p>
    <w:p w14:paraId="540BCD2D" w14:textId="77777777" w:rsidR="007436E0" w:rsidRPr="0092398B" w:rsidRDefault="0092398B">
      <w:pPr>
        <w:pStyle w:val="InstructionsText2"/>
        <w:numPr>
          <w:ilvl w:val="0"/>
          <w:numId w:val="0"/>
        </w:numPr>
        <w:ind w:left="360" w:hanging="360"/>
      </w:pPr>
      <w:r w:rsidRPr="0092398B">
        <w:t>3.</w:t>
      </w:r>
      <w:r w:rsidRPr="0092398B">
        <w:tab/>
        <w:t xml:space="preserve">Atsaucoties uz veidņu slejām, rindām un šūnām, dokumentā izmanto 4.–7. punktā norādīto apzīmējumu konvenciju. Minētos ciparu kodus plaši izmanto </w:t>
      </w:r>
      <w:r w:rsidRPr="0092398B">
        <w:t>validācijas noteikumos.</w:t>
      </w:r>
    </w:p>
    <w:p w14:paraId="63CB1049" w14:textId="77777777" w:rsidR="007436E0" w:rsidRPr="0092398B" w:rsidRDefault="0092398B">
      <w:pPr>
        <w:pStyle w:val="InstructionsText2"/>
        <w:numPr>
          <w:ilvl w:val="0"/>
          <w:numId w:val="0"/>
        </w:numPr>
        <w:ind w:left="360" w:hanging="360"/>
      </w:pPr>
      <w:r w:rsidRPr="0092398B">
        <w:t>4.</w:t>
      </w:r>
      <w:r w:rsidRPr="0092398B">
        <w:tab/>
        <w:t>Norādījumos izmantots šāds vispārējs apzīmējums: {Veidne; Rinda; Sleja}.</w:t>
      </w:r>
    </w:p>
    <w:p w14:paraId="003CB1AA" w14:textId="77777777" w:rsidR="007436E0" w:rsidRPr="0092398B" w:rsidRDefault="0092398B">
      <w:pPr>
        <w:pStyle w:val="InstructionsText2"/>
        <w:numPr>
          <w:ilvl w:val="0"/>
          <w:numId w:val="0"/>
        </w:numPr>
        <w:ind w:left="360" w:hanging="360"/>
      </w:pPr>
      <w:r w:rsidRPr="0092398B">
        <w:t>5.</w:t>
      </w:r>
      <w:r w:rsidRPr="0092398B">
        <w:tab/>
        <w:t>Ja validāciju veic veidnē, kurā izmantoti tikai minētās veidnes datu punkti, apzīmējumi neattiecas uz veidni: {Rinda; Sleja}.</w:t>
      </w:r>
    </w:p>
    <w:p w14:paraId="337884E0" w14:textId="77777777" w:rsidR="007436E0" w:rsidRPr="0092398B" w:rsidRDefault="0092398B">
      <w:pPr>
        <w:pStyle w:val="InstructionsText2"/>
        <w:numPr>
          <w:ilvl w:val="0"/>
          <w:numId w:val="0"/>
        </w:numPr>
        <w:ind w:left="360" w:hanging="360"/>
      </w:pPr>
      <w:r w:rsidRPr="0092398B">
        <w:t>6.</w:t>
      </w:r>
      <w:r w:rsidRPr="0092398B">
        <w:tab/>
        <w:t>Ja veidnēs ir tikai vien</w:t>
      </w:r>
      <w:r w:rsidRPr="0092398B">
        <w:t>a sleja, atsaucas vienīgi uz rindām: {Veidne; Rinda}</w:t>
      </w:r>
    </w:p>
    <w:p w14:paraId="318E4F1B" w14:textId="77777777" w:rsidR="007436E0" w:rsidRPr="0092398B" w:rsidRDefault="0092398B">
      <w:pPr>
        <w:pStyle w:val="InstructionsText2"/>
        <w:numPr>
          <w:ilvl w:val="0"/>
          <w:numId w:val="0"/>
        </w:numPr>
        <w:ind w:left="360" w:hanging="360"/>
      </w:pPr>
      <w:r w:rsidRPr="0092398B">
        <w:t>7.</w:t>
      </w:r>
      <w:r w:rsidRPr="0092398B">
        <w:tab/>
        <w:t>Zvaigznītes zīmi izmanto, lai norādītu, ka validāciju veic attiecībā uz iepriekš norādītām rindām vai slejām.</w:t>
      </w:r>
    </w:p>
    <w:p w14:paraId="3B7D9CD8" w14:textId="77777777" w:rsidR="007436E0" w:rsidRPr="0092398B" w:rsidRDefault="0092398B">
      <w:pPr>
        <w:keepNext/>
        <w:spacing w:before="240" w:after="240" w:line="240" w:lineRule="auto"/>
        <w:jc w:val="both"/>
        <w:outlineLvl w:val="1"/>
        <w:rPr>
          <w:rFonts w:ascii="Times New Roman" w:eastAsia="Arial" w:hAnsi="Times New Roman" w:cs="Times New Roman"/>
          <w:sz w:val="24"/>
          <w:szCs w:val="24"/>
          <w:u w:val="single"/>
        </w:rPr>
      </w:pPr>
      <w:bookmarkStart w:id="13" w:name="_Toc88141788"/>
      <w:r w:rsidRPr="0092398B">
        <w:rPr>
          <w:rFonts w:ascii="Times New Roman" w:hAnsi="Times New Roman"/>
          <w:sz w:val="24"/>
          <w:szCs w:val="24"/>
          <w:u w:val="single"/>
        </w:rPr>
        <w:t>1.3. Zīmju konvencija</w:t>
      </w:r>
      <w:bookmarkEnd w:id="13"/>
    </w:p>
    <w:p w14:paraId="5CF6E2BC" w14:textId="77777777" w:rsidR="007436E0" w:rsidRPr="0092398B" w:rsidRDefault="0092398B">
      <w:pPr>
        <w:pStyle w:val="InstructionsText2"/>
        <w:numPr>
          <w:ilvl w:val="0"/>
          <w:numId w:val="0"/>
        </w:numPr>
        <w:ind w:left="360" w:hanging="360"/>
      </w:pPr>
      <w:r w:rsidRPr="0092398B">
        <w:t>8.</w:t>
      </w:r>
      <w:r w:rsidRPr="0092398B">
        <w:tab/>
        <w:t>Jebkuru summu, kas palielina pašu kapitālu vai pašu kapitāla pras</w:t>
      </w:r>
      <w:r w:rsidRPr="0092398B">
        <w:t>ības, vai likviditātes prasības, uzrāda kā pozitīvu skaitli. Turpretim summu, kas samazina kopējo pašu kapitālu vai pašu kapitāla prasības, uzrāda kā negatīvu skaitli. Ja pirms posteņa apzīmējuma ir mīnus zīme (-), attiecībā uz šo posteni nav sagaidāma poz</w:t>
      </w:r>
      <w:r w:rsidRPr="0092398B">
        <w:t>itīva vērtība.</w:t>
      </w:r>
    </w:p>
    <w:p w14:paraId="06651F17" w14:textId="77777777" w:rsidR="007436E0" w:rsidRPr="0092398B" w:rsidRDefault="0092398B">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141789"/>
      <w:r w:rsidRPr="0092398B">
        <w:rPr>
          <w:rFonts w:ascii="Times New Roman" w:hAnsi="Times New Roman"/>
          <w:sz w:val="24"/>
          <w:szCs w:val="24"/>
          <w:u w:val="single"/>
        </w:rPr>
        <w:t>1.4.</w:t>
      </w:r>
      <w:bookmarkEnd w:id="14"/>
      <w:r w:rsidRPr="0092398B">
        <w:rPr>
          <w:rFonts w:ascii="Times New Roman" w:hAnsi="Times New Roman"/>
          <w:sz w:val="24"/>
          <w:szCs w:val="24"/>
          <w:u w:val="single"/>
        </w:rPr>
        <w:t xml:space="preserve"> Prudenciālā konsolidācija</w:t>
      </w:r>
      <w:bookmarkEnd w:id="15"/>
    </w:p>
    <w:p w14:paraId="70667232" w14:textId="77777777" w:rsidR="007436E0" w:rsidRPr="0092398B" w:rsidRDefault="0092398B">
      <w:pPr>
        <w:spacing w:line="256" w:lineRule="auto"/>
        <w:ind w:left="360" w:hanging="360"/>
        <w:jc w:val="both"/>
        <w:rPr>
          <w:rFonts w:ascii="Times New Roman" w:hAnsi="Times New Roman" w:cs="Times New Roman"/>
          <w:sz w:val="24"/>
        </w:rPr>
      </w:pPr>
      <w:r w:rsidRPr="0092398B">
        <w:rPr>
          <w:rFonts w:ascii="Times New Roman" w:hAnsi="Times New Roman" w:cs="Times New Roman"/>
          <w:sz w:val="24"/>
        </w:rPr>
        <w:t>9.</w:t>
      </w:r>
      <w:r w:rsidRPr="0092398B">
        <w:rPr>
          <w:rFonts w:ascii="Times New Roman" w:hAnsi="Times New Roman" w:cs="Times New Roman"/>
          <w:sz w:val="24"/>
        </w:rPr>
        <w:tab/>
      </w:r>
      <w:r w:rsidRPr="0092398B">
        <w:rPr>
          <w:rFonts w:ascii="Times New Roman" w:hAnsi="Times New Roman"/>
          <w:sz w:val="24"/>
        </w:rPr>
        <w:t>Ja vien nav piešķirts atbrīvojums, Regulu (ES) 2019/2033 un Direktīvu (ES) 2019/2034, tostarp Regulas (ES) 2019/2033 septītajā daļā minētās pārskatu sniegšanas prasības, piemēro ieguldījumu brokeru sabiedrīb</w:t>
      </w:r>
      <w:r w:rsidRPr="0092398B">
        <w:rPr>
          <w:rFonts w:ascii="Times New Roman" w:hAnsi="Times New Roman"/>
          <w:sz w:val="24"/>
        </w:rPr>
        <w:t>ām individuāli un konsolidēti. Regulas (ES) 2019/2033 4. panta 1. punkta 11) apakšpunktā “konsolidētais finanšu stāvoklis” ir definēts kā finanšu stāvoklis, kas izriet no tā, ka Regulas 2019/2033 prasības tiek piemērotas ieguldījumu brokeru sabiedrības gru</w:t>
      </w:r>
      <w:r w:rsidRPr="0092398B">
        <w:rPr>
          <w:rFonts w:ascii="Times New Roman" w:hAnsi="Times New Roman"/>
          <w:sz w:val="24"/>
        </w:rPr>
        <w:t>pai tā, it kā grupas sabiedrības kopā būtu viena ieguldījumu brokeru sabiedrība. Pēc Regulas (ES) 2019/2033 7. panta piemērošanas ieguldījumu brokeru sabiedrību grupas izpilda pārskatu sniegšanas prasības visās veidnēs, pamatojoties uz to prudenciālās kons</w:t>
      </w:r>
      <w:r w:rsidRPr="0092398B">
        <w:rPr>
          <w:rFonts w:ascii="Times New Roman" w:hAnsi="Times New Roman"/>
          <w:sz w:val="24"/>
        </w:rPr>
        <w:t>olidācijas tvērumu (kas var atšķirties no to grāmatvedības konsolidācijas tvēruma).</w:t>
      </w:r>
    </w:p>
    <w:p w14:paraId="2537D4E3" w14:textId="77777777" w:rsidR="007436E0" w:rsidRPr="0092398B" w:rsidRDefault="0092398B">
      <w:pPr>
        <w:pStyle w:val="Heading2"/>
        <w:rPr>
          <w:rFonts w:ascii="Times New Roman" w:hAnsi="Times New Roman"/>
        </w:rPr>
      </w:pPr>
      <w:bookmarkStart w:id="16" w:name="_Toc88141790"/>
      <w:r w:rsidRPr="0092398B">
        <w:rPr>
          <w:rFonts w:ascii="Times New Roman" w:hAnsi="Times New Roman"/>
        </w:rPr>
        <w:lastRenderedPageBreak/>
        <w:t>II DAĻA. NORĀDĪJUMI SAISTĪBĀ AR VEIDNI</w:t>
      </w:r>
      <w:bookmarkEnd w:id="6"/>
      <w:bookmarkEnd w:id="7"/>
      <w:bookmarkEnd w:id="8"/>
      <w:bookmarkEnd w:id="16"/>
    </w:p>
    <w:p w14:paraId="69EED185" w14:textId="77777777" w:rsidR="007436E0" w:rsidRPr="0092398B" w:rsidRDefault="0092398B">
      <w:pPr>
        <w:pStyle w:val="Instructionsberschrift2"/>
        <w:ind w:left="357" w:hanging="357"/>
        <w:rPr>
          <w:rFonts w:ascii="Times New Roman" w:hAnsi="Times New Roman" w:cs="Times New Roman"/>
          <w:b/>
          <w:sz w:val="24"/>
        </w:rPr>
      </w:pPr>
      <w:bookmarkStart w:id="17" w:name="_Toc88141791"/>
      <w:r w:rsidRPr="0092398B">
        <w:rPr>
          <w:rFonts w:ascii="Times New Roman" w:hAnsi="Times New Roman"/>
          <w:b/>
          <w:sz w:val="24"/>
          <w:u w:val="none"/>
        </w:rPr>
        <w:t>1. PAŠU KAPITĀLS: APMĒRS, STRUKTŪRA, PRASĪBAS UN APRĒĶINĀŠANA</w:t>
      </w:r>
      <w:bookmarkEnd w:id="17"/>
    </w:p>
    <w:p w14:paraId="09E8B8FB" w14:textId="77777777" w:rsidR="007436E0" w:rsidRPr="0092398B" w:rsidRDefault="0092398B">
      <w:pPr>
        <w:pStyle w:val="Instructionsberschrift2"/>
        <w:ind w:left="357" w:hanging="357"/>
        <w:rPr>
          <w:rFonts w:ascii="Times New Roman" w:hAnsi="Times New Roman" w:cs="Times New Roman"/>
          <w:sz w:val="24"/>
        </w:rPr>
      </w:pPr>
      <w:bookmarkStart w:id="18" w:name="_Toc88141792"/>
      <w:r w:rsidRPr="0092398B">
        <w:rPr>
          <w:rFonts w:ascii="Times New Roman" w:hAnsi="Times New Roman"/>
          <w:sz w:val="24"/>
        </w:rPr>
        <w:t>1.1. Vispārīgas piezīmes</w:t>
      </w:r>
      <w:bookmarkEnd w:id="18"/>
    </w:p>
    <w:p w14:paraId="400D2A9C" w14:textId="77777777" w:rsidR="007436E0" w:rsidRPr="0092398B" w:rsidRDefault="0092398B">
      <w:pPr>
        <w:spacing w:line="256" w:lineRule="auto"/>
        <w:ind w:left="993" w:hanging="567"/>
        <w:jc w:val="both"/>
        <w:rPr>
          <w:rFonts w:ascii="Times New Roman" w:hAnsi="Times New Roman" w:cs="Times New Roman"/>
          <w:sz w:val="24"/>
        </w:rPr>
      </w:pPr>
      <w:r w:rsidRPr="0092398B">
        <w:rPr>
          <w:rFonts w:ascii="Times New Roman" w:hAnsi="Times New Roman" w:cs="Times New Roman"/>
          <w:sz w:val="24"/>
        </w:rPr>
        <w:t>10.</w:t>
      </w:r>
      <w:r w:rsidRPr="0092398B">
        <w:rPr>
          <w:rFonts w:ascii="Times New Roman" w:hAnsi="Times New Roman" w:cs="Times New Roman"/>
          <w:sz w:val="24"/>
        </w:rPr>
        <w:tab/>
      </w:r>
      <w:r w:rsidRPr="0092398B">
        <w:rPr>
          <w:rFonts w:ascii="Times New Roman" w:hAnsi="Times New Roman"/>
          <w:sz w:val="24"/>
        </w:rPr>
        <w:t>Sadaļa par pašu kapitālu ietver informācij</w:t>
      </w:r>
      <w:r w:rsidRPr="0092398B">
        <w:rPr>
          <w:rFonts w:ascii="Times New Roman" w:hAnsi="Times New Roman"/>
          <w:sz w:val="24"/>
        </w:rPr>
        <w:t>u par ieguldījumu brokeru sabiedrības turēto pašu kapitālu un tās pašu kapitāla prasībām. Tajā ir ietvertas divas veidnes.</w:t>
      </w:r>
    </w:p>
    <w:p w14:paraId="542869B4" w14:textId="77777777" w:rsidR="007436E0" w:rsidRPr="0092398B" w:rsidRDefault="0092398B">
      <w:pPr>
        <w:spacing w:line="256" w:lineRule="auto"/>
        <w:ind w:left="1728" w:hanging="648"/>
        <w:jc w:val="both"/>
        <w:rPr>
          <w:rFonts w:ascii="Times New Roman" w:hAnsi="Times New Roman" w:cs="Times New Roman"/>
          <w:sz w:val="24"/>
        </w:rPr>
      </w:pPr>
      <w:r w:rsidRPr="0092398B">
        <w:rPr>
          <w:rFonts w:ascii="Times New Roman" w:hAnsi="Times New Roman" w:cs="Times New Roman"/>
          <w:sz w:val="24"/>
        </w:rPr>
        <w:t>a)</w:t>
      </w:r>
      <w:r w:rsidRPr="0092398B">
        <w:rPr>
          <w:rFonts w:ascii="Times New Roman" w:hAnsi="Times New Roman" w:cs="Times New Roman"/>
          <w:sz w:val="24"/>
        </w:rPr>
        <w:tab/>
      </w:r>
      <w:r w:rsidRPr="0092398B">
        <w:rPr>
          <w:rFonts w:ascii="Times New Roman" w:hAnsi="Times New Roman"/>
          <w:sz w:val="24"/>
        </w:rPr>
        <w:t>Veidnē I 01.01 ietver informāciju par ieguldījumu brokeru sabiedrības turētā pašu kapitāla struktūru: pirmā līmeņa pamata kapitāls</w:t>
      </w:r>
      <w:r w:rsidRPr="0092398B">
        <w:rPr>
          <w:rFonts w:ascii="Times New Roman" w:hAnsi="Times New Roman"/>
          <w:sz w:val="24"/>
        </w:rPr>
        <w:t>, pirmā līmeņa papildu kapitāls un otrā līmeņa kapitāls.</w:t>
      </w:r>
    </w:p>
    <w:p w14:paraId="2D6BFFB9" w14:textId="77777777" w:rsidR="007436E0" w:rsidRPr="0092398B" w:rsidRDefault="0092398B">
      <w:pPr>
        <w:spacing w:line="256" w:lineRule="auto"/>
        <w:ind w:left="1728" w:hanging="648"/>
        <w:jc w:val="both"/>
        <w:rPr>
          <w:rFonts w:ascii="Times New Roman" w:hAnsi="Times New Roman" w:cs="Times New Roman"/>
          <w:sz w:val="24"/>
        </w:rPr>
      </w:pPr>
      <w:r w:rsidRPr="0092398B">
        <w:rPr>
          <w:rFonts w:ascii="Times New Roman" w:hAnsi="Times New Roman" w:cs="Times New Roman"/>
          <w:sz w:val="24"/>
        </w:rPr>
        <w:t>b)</w:t>
      </w:r>
      <w:r w:rsidRPr="0092398B">
        <w:rPr>
          <w:rFonts w:ascii="Times New Roman" w:hAnsi="Times New Roman" w:cs="Times New Roman"/>
          <w:sz w:val="24"/>
        </w:rPr>
        <w:tab/>
      </w:r>
      <w:r w:rsidRPr="0092398B">
        <w:rPr>
          <w:rFonts w:ascii="Times New Roman" w:hAnsi="Times New Roman"/>
          <w:sz w:val="24"/>
        </w:rPr>
        <w:t xml:space="preserve">Veidnē I 02.03 un I 02.04 ietver informāciju par kopējo papildu pašu kapitāla prasību, pastāvīgā minimālā kapitāla prasību, fiksēto pieskaitāmo izdevumu prasību, visas papildu pašu </w:t>
      </w:r>
      <w:r w:rsidRPr="0092398B">
        <w:rPr>
          <w:rFonts w:ascii="Times New Roman" w:hAnsi="Times New Roman"/>
          <w:sz w:val="24"/>
        </w:rPr>
        <w:t>kapitāla prasības un norādes, kā arī pārejas posma pašu kapitāla prasību un kapitāla rādītājus.</w:t>
      </w:r>
    </w:p>
    <w:p w14:paraId="233E342D" w14:textId="77777777" w:rsidR="007436E0" w:rsidRPr="0092398B" w:rsidRDefault="0092398B">
      <w:pPr>
        <w:spacing w:line="256" w:lineRule="auto"/>
        <w:ind w:left="1728" w:hanging="648"/>
        <w:jc w:val="both"/>
        <w:rPr>
          <w:rFonts w:ascii="Times New Roman" w:hAnsi="Times New Roman" w:cs="Times New Roman"/>
          <w:sz w:val="24"/>
        </w:rPr>
      </w:pPr>
      <w:r w:rsidRPr="0092398B">
        <w:rPr>
          <w:rFonts w:ascii="Times New Roman" w:hAnsi="Times New Roman" w:cs="Times New Roman"/>
          <w:sz w:val="24"/>
        </w:rPr>
        <w:t>c)</w:t>
      </w:r>
      <w:r w:rsidRPr="0092398B">
        <w:rPr>
          <w:rFonts w:ascii="Times New Roman" w:hAnsi="Times New Roman" w:cs="Times New Roman"/>
          <w:sz w:val="24"/>
        </w:rPr>
        <w:tab/>
      </w:r>
      <w:r w:rsidRPr="0092398B">
        <w:rPr>
          <w:rFonts w:ascii="Times New Roman" w:hAnsi="Times New Roman"/>
          <w:sz w:val="24"/>
        </w:rPr>
        <w:t>Veidnē I 03.01 ietver informāciju saistībā ar fiksēto pieskaitāmo izmaksu prasības aprēķināšanu.</w:t>
      </w:r>
    </w:p>
    <w:p w14:paraId="24645F44" w14:textId="77777777" w:rsidR="007436E0" w:rsidRPr="0092398B" w:rsidRDefault="0092398B">
      <w:pPr>
        <w:spacing w:line="256" w:lineRule="auto"/>
        <w:ind w:left="993" w:hanging="567"/>
        <w:jc w:val="both"/>
        <w:rPr>
          <w:rFonts w:ascii="Times New Roman" w:hAnsi="Times New Roman" w:cs="Times New Roman"/>
          <w:sz w:val="24"/>
        </w:rPr>
      </w:pPr>
      <w:r w:rsidRPr="0092398B">
        <w:rPr>
          <w:rFonts w:ascii="Times New Roman" w:hAnsi="Times New Roman" w:cs="Times New Roman"/>
          <w:sz w:val="24"/>
        </w:rPr>
        <w:t>11.</w:t>
      </w:r>
      <w:r w:rsidRPr="0092398B">
        <w:rPr>
          <w:rFonts w:ascii="Times New Roman" w:hAnsi="Times New Roman" w:cs="Times New Roman"/>
          <w:sz w:val="24"/>
        </w:rPr>
        <w:tab/>
      </w:r>
      <w:r w:rsidRPr="0092398B">
        <w:rPr>
          <w:rFonts w:ascii="Times New Roman" w:hAnsi="Times New Roman"/>
          <w:sz w:val="24"/>
        </w:rPr>
        <w:t>Šo veidņu posteņos pārejas posma korekcijas parasti neņe</w:t>
      </w:r>
      <w:r w:rsidRPr="0092398B">
        <w:rPr>
          <w:rFonts w:ascii="Times New Roman" w:hAnsi="Times New Roman"/>
          <w:sz w:val="24"/>
        </w:rPr>
        <w:t>m vērā. Tas nozīmē, ka skaitļus (izņemot gadījumus, kad pārejas posma pašu kapitāla prasība ir īpaši norādīta) aprēķina saskaņā ar nobeiguma noteikumiem (t. i., it kā nebūtu pārejas noteikumu).</w:t>
      </w:r>
    </w:p>
    <w:p w14:paraId="39A78108" w14:textId="77777777" w:rsidR="007436E0" w:rsidRPr="0092398B" w:rsidRDefault="0092398B">
      <w:pPr>
        <w:pStyle w:val="Instructionsberschrift2"/>
        <w:ind w:left="357" w:hanging="357"/>
        <w:rPr>
          <w:rFonts w:ascii="Times New Roman" w:hAnsi="Times New Roman" w:cs="Times New Roman"/>
          <w:sz w:val="24"/>
          <w:u w:val="none"/>
        </w:rPr>
      </w:pPr>
      <w:bookmarkStart w:id="19" w:name="_Toc88141793"/>
      <w:r w:rsidRPr="0092398B">
        <w:rPr>
          <w:rFonts w:ascii="Times New Roman" w:hAnsi="Times New Roman"/>
          <w:sz w:val="24"/>
          <w:u w:val="none"/>
        </w:rPr>
        <w:t xml:space="preserve">1.2. </w:t>
      </w:r>
      <w:r w:rsidRPr="0092398B">
        <w:rPr>
          <w:rFonts w:ascii="Times New Roman" w:hAnsi="Times New Roman"/>
          <w:sz w:val="24"/>
        </w:rPr>
        <w:t>I 01.01 – PAŠU KAPITĀLA STRUKTŪRA (I 1.1.)</w:t>
      </w:r>
      <w:bookmarkEnd w:id="19"/>
    </w:p>
    <w:p w14:paraId="6A0DD4C3" w14:textId="77777777" w:rsidR="007436E0" w:rsidRPr="0092398B" w:rsidRDefault="0092398B">
      <w:pPr>
        <w:pStyle w:val="Instructionsberschrift2"/>
        <w:ind w:left="357" w:hanging="357"/>
        <w:rPr>
          <w:rFonts w:ascii="Times New Roman" w:hAnsi="Times New Roman" w:cs="Times New Roman"/>
          <w:sz w:val="24"/>
        </w:rPr>
      </w:pPr>
      <w:bookmarkStart w:id="20" w:name="_Toc88141794"/>
      <w:r w:rsidRPr="0092398B">
        <w:rPr>
          <w:rFonts w:ascii="Times New Roman" w:hAnsi="Times New Roman"/>
          <w:sz w:val="24"/>
          <w:u w:val="none"/>
        </w:rPr>
        <w:t>1.2.1.</w:t>
      </w:r>
      <w:r w:rsidRPr="0092398B">
        <w:tab/>
      </w:r>
      <w:r w:rsidRPr="0092398B">
        <w:rPr>
          <w:rFonts w:ascii="Times New Roman" w:hAnsi="Times New Roman"/>
          <w:sz w:val="24"/>
        </w:rPr>
        <w:t>Norādījumi attiecībā uz konkrētām pozīcijām.</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48054B8E" w14:textId="77777777">
        <w:tc>
          <w:tcPr>
            <w:tcW w:w="1129" w:type="dxa"/>
            <w:shd w:val="clear" w:color="auto" w:fill="D9D9D9"/>
          </w:tcPr>
          <w:p w14:paraId="2FA83A4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Rinda</w:t>
            </w:r>
          </w:p>
        </w:tc>
        <w:tc>
          <w:tcPr>
            <w:tcW w:w="7620" w:type="dxa"/>
            <w:shd w:val="clear" w:color="auto" w:fill="D9D9D9"/>
          </w:tcPr>
          <w:p w14:paraId="63D0457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Atsauces uz tiesību aktiem un norādījumi</w:t>
            </w:r>
          </w:p>
        </w:tc>
      </w:tr>
      <w:tr w:rsidR="007436E0" w:rsidRPr="0092398B" w14:paraId="5106A3B6" w14:textId="77777777">
        <w:tc>
          <w:tcPr>
            <w:tcW w:w="1129" w:type="dxa"/>
          </w:tcPr>
          <w:p w14:paraId="0E306D5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0010</w:t>
            </w:r>
          </w:p>
        </w:tc>
        <w:tc>
          <w:tcPr>
            <w:tcW w:w="7620" w:type="dxa"/>
          </w:tcPr>
          <w:p w14:paraId="72DE710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PAŠU KAPITĀLS</w:t>
            </w:r>
          </w:p>
          <w:p w14:paraId="5AA2E0A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punkts.</w:t>
            </w:r>
          </w:p>
          <w:p w14:paraId="359128AE"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Ieguldījumu brokeru sabiedrības pašu kapitālu veido tās pirmā līmeņa kapitāla un otrā līmeņa kapitāla</w:t>
            </w:r>
            <w:r w:rsidRPr="0092398B">
              <w:rPr>
                <w:rStyle w:val="FormatvorlageInstructionsTabelleText"/>
                <w:rFonts w:ascii="Times New Roman" w:hAnsi="Times New Roman"/>
                <w:sz w:val="22"/>
              </w:rPr>
              <w:t xml:space="preserve"> summa.</w:t>
            </w:r>
          </w:p>
          <w:p w14:paraId="1CD2760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Uzrāda (0020. un 0380.) rindas kopsummu.</w:t>
            </w:r>
          </w:p>
        </w:tc>
      </w:tr>
      <w:tr w:rsidR="007436E0" w:rsidRPr="0092398B" w14:paraId="232F43D3" w14:textId="77777777">
        <w:tc>
          <w:tcPr>
            <w:tcW w:w="1129" w:type="dxa"/>
          </w:tcPr>
          <w:p w14:paraId="06C36DA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0020</w:t>
            </w:r>
          </w:p>
        </w:tc>
        <w:tc>
          <w:tcPr>
            <w:tcW w:w="7620" w:type="dxa"/>
          </w:tcPr>
          <w:p w14:paraId="1252BF7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KAPITĀLS</w:t>
            </w:r>
          </w:p>
          <w:p w14:paraId="0B89091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Pirmā līmeņa kapitālu veido pirmā līmeņa pamata kapitāla un pirmā līmeņa papildu kapitāla summa.</w:t>
            </w:r>
          </w:p>
        </w:tc>
      </w:tr>
      <w:tr w:rsidR="007436E0" w:rsidRPr="0092398B" w14:paraId="698F465A" w14:textId="77777777">
        <w:tc>
          <w:tcPr>
            <w:tcW w:w="1129" w:type="dxa"/>
          </w:tcPr>
          <w:p w14:paraId="6749C88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0030</w:t>
            </w:r>
          </w:p>
        </w:tc>
        <w:tc>
          <w:tcPr>
            <w:tcW w:w="7620" w:type="dxa"/>
          </w:tcPr>
          <w:p w14:paraId="149E927A"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InstructionsTabelleberschrift"/>
                <w:rFonts w:ascii="Times New Roman" w:hAnsi="Times New Roman"/>
                <w:sz w:val="22"/>
              </w:rPr>
              <w:t>PIRMĀ LĪMEŅA PAMATA KAPITĀLS</w:t>
            </w:r>
          </w:p>
          <w:p w14:paraId="226604F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2019/2033 9. panta </w:t>
            </w:r>
            <w:r w:rsidRPr="0092398B">
              <w:rPr>
                <w:rFonts w:ascii="Times New Roman" w:hAnsi="Times New Roman"/>
                <w:bCs/>
              </w:rPr>
              <w:t>1. punkts.</w:t>
            </w:r>
          </w:p>
          <w:p w14:paraId="3ED99634"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Nr. 575/2013 50. pants.</w:t>
            </w:r>
          </w:p>
          <w:p w14:paraId="3C64294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Uzrāda (0040. līdz 0060. un 0090. līdz 0140. un 0290.) rindas kopsummu.</w:t>
            </w:r>
          </w:p>
        </w:tc>
      </w:tr>
      <w:tr w:rsidR="007436E0" w:rsidRPr="0092398B" w14:paraId="7E559B8E" w14:textId="77777777">
        <w:tc>
          <w:tcPr>
            <w:tcW w:w="1129" w:type="dxa"/>
          </w:tcPr>
          <w:p w14:paraId="388ADD3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0040</w:t>
            </w:r>
          </w:p>
        </w:tc>
        <w:tc>
          <w:tcPr>
            <w:tcW w:w="7620" w:type="dxa"/>
          </w:tcPr>
          <w:p w14:paraId="425442E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Pilnībā apmaksāti kapitāla instrumenti</w:t>
            </w:r>
          </w:p>
          <w:p w14:paraId="3597177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006C2CFE"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 xml:space="preserve">Regulas (ES) </w:t>
            </w:r>
            <w:r w:rsidRPr="0092398B">
              <w:rPr>
                <w:rStyle w:val="FormatvorlageInstructionsTabelleText"/>
                <w:rFonts w:ascii="Times New Roman" w:hAnsi="Times New Roman"/>
                <w:sz w:val="22"/>
                <w:szCs w:val="22"/>
              </w:rPr>
              <w:t>Nr. 575/2013 26. panta 1. punkta a) apakšpunkts un 27. līdz 31. pants.</w:t>
            </w:r>
          </w:p>
          <w:p w14:paraId="5106A9F2"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lastRenderedPageBreak/>
              <w:t>Ietver savstarpēju sabiedrību, kooperatīvu sabiedrību vai līdzīgu iestāžu kapitāla instrumentus (Regulas (ES) Nr. 575/2013 27. un 29. pants).</w:t>
            </w:r>
          </w:p>
          <w:p w14:paraId="07B28010"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Neietver ar instrumentiem saistīto akciju e</w:t>
            </w:r>
            <w:r w:rsidRPr="0092398B">
              <w:rPr>
                <w:rStyle w:val="FormatvorlageInstructionsTabelleText"/>
                <w:rFonts w:ascii="Times New Roman" w:hAnsi="Times New Roman"/>
                <w:sz w:val="22"/>
                <w:szCs w:val="22"/>
              </w:rPr>
              <w:t>misijas uzcenojumu.</w:t>
            </w:r>
          </w:p>
          <w:p w14:paraId="65E787E7" w14:textId="77777777" w:rsidR="007436E0" w:rsidRPr="0092398B" w:rsidRDefault="0092398B">
            <w:pPr>
              <w:pStyle w:val="InstructionsText"/>
              <w:rPr>
                <w:sz w:val="22"/>
                <w:szCs w:val="22"/>
              </w:rPr>
            </w:pPr>
            <w:r w:rsidRPr="0092398B">
              <w:rPr>
                <w:rStyle w:val="FormatvorlageInstructionsTabelleText"/>
                <w:rFonts w:ascii="Times New Roman" w:hAnsi="Times New Roman"/>
                <w:sz w:val="22"/>
                <w:szCs w:val="22"/>
              </w:rPr>
              <w:t>Kapitāla instrumentus, uz ko parakstījušas valsts sektora iestādes ārkārtas situācijās, ietver, ja visi Regulas (ES) Nr. 575/2013 31. panta nosacījumi ir izpildīti.</w:t>
            </w:r>
          </w:p>
        </w:tc>
      </w:tr>
      <w:tr w:rsidR="007436E0" w:rsidRPr="0092398B" w14:paraId="62F89DC6" w14:textId="77777777">
        <w:tc>
          <w:tcPr>
            <w:tcW w:w="1129" w:type="dxa"/>
          </w:tcPr>
          <w:p w14:paraId="353D935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0050</w:t>
            </w:r>
          </w:p>
        </w:tc>
        <w:tc>
          <w:tcPr>
            <w:tcW w:w="7620" w:type="dxa"/>
          </w:tcPr>
          <w:p w14:paraId="164A5B1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Akciju emisijas uzcenojums</w:t>
            </w:r>
          </w:p>
          <w:p w14:paraId="3D94EC6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2019/2033 9. panta </w:t>
            </w:r>
            <w:r w:rsidRPr="0092398B">
              <w:rPr>
                <w:rFonts w:ascii="Times New Roman" w:hAnsi="Times New Roman"/>
                <w:bCs/>
              </w:rPr>
              <w:t>1. punkta i) apakšpunkts.</w:t>
            </w:r>
          </w:p>
          <w:p w14:paraId="153CFE1D"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Nr. 575/2013 26. panta 1. punkta b) apakšpunkts.</w:t>
            </w:r>
          </w:p>
          <w:p w14:paraId="5FED4CD7"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Akciju emisijas uzcenojums ir uzcenojums tādā nozīmē, kā definēts piemērojamā grāmatvedības standartā.</w:t>
            </w:r>
          </w:p>
          <w:p w14:paraId="2DA9B7B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Šajā postenī uzrādāmā summa ir ar “Apmaksātiem kapitāla instrumen</w:t>
            </w:r>
            <w:r w:rsidRPr="0092398B">
              <w:rPr>
                <w:rStyle w:val="FormatvorlageInstructionsTabelleText"/>
                <w:rFonts w:ascii="Times New Roman" w:hAnsi="Times New Roman"/>
                <w:sz w:val="22"/>
              </w:rPr>
              <w:t>tiem” saistītā daļa.</w:t>
            </w:r>
          </w:p>
        </w:tc>
      </w:tr>
      <w:tr w:rsidR="007436E0" w:rsidRPr="0092398B" w14:paraId="60A28DDB" w14:textId="77777777">
        <w:tc>
          <w:tcPr>
            <w:tcW w:w="1129" w:type="dxa"/>
          </w:tcPr>
          <w:p w14:paraId="76C98FA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0060</w:t>
            </w:r>
          </w:p>
        </w:tc>
        <w:tc>
          <w:tcPr>
            <w:tcW w:w="7620" w:type="dxa"/>
          </w:tcPr>
          <w:p w14:paraId="2D996BB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Nesadalītā peļņa</w:t>
            </w:r>
          </w:p>
          <w:p w14:paraId="71C50D6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2F9F6FA0" w14:textId="77777777" w:rsidR="007436E0" w:rsidRPr="0092398B" w:rsidRDefault="0092398B">
            <w:pPr>
              <w:spacing w:after="120" w:line="240" w:lineRule="auto"/>
              <w:jc w:val="both"/>
              <w:rPr>
                <w:rFonts w:ascii="Times New Roman" w:eastAsia="Times New Roman" w:hAnsi="Times New Roman" w:cs="Times New Roman"/>
                <w:bCs/>
              </w:rPr>
            </w:pPr>
            <w:r w:rsidRPr="0092398B">
              <w:rPr>
                <w:rStyle w:val="FormatvorlageInstructionsTabelleText"/>
                <w:rFonts w:ascii="Times New Roman" w:hAnsi="Times New Roman"/>
                <w:sz w:val="22"/>
              </w:rPr>
              <w:t>Regulas (ES) Nr. 575/2013 26. panta 1. punkta c) apakšpunkts.</w:t>
            </w:r>
          </w:p>
          <w:p w14:paraId="128A0CE4"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 xml:space="preserve">Nesadalītā peļņa ietver iepriekšējā gada nesadalīto peļņu, kā arī atbilstošo starpposma vai </w:t>
            </w:r>
            <w:r w:rsidRPr="0092398B">
              <w:rPr>
                <w:rStyle w:val="FormatvorlageInstructionsTabelleText"/>
                <w:rFonts w:ascii="Times New Roman" w:hAnsi="Times New Roman"/>
                <w:sz w:val="22"/>
              </w:rPr>
              <w:t>gada beigu peļņu.</w:t>
            </w:r>
          </w:p>
          <w:p w14:paraId="551D506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Uzrāda 0070. un 0080. rindas kopsummu.</w:t>
            </w:r>
          </w:p>
        </w:tc>
      </w:tr>
      <w:tr w:rsidR="007436E0" w:rsidRPr="0092398B" w14:paraId="027C876F" w14:textId="77777777">
        <w:tc>
          <w:tcPr>
            <w:tcW w:w="1129" w:type="dxa"/>
          </w:tcPr>
          <w:p w14:paraId="5728EFD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0070</w:t>
            </w:r>
          </w:p>
        </w:tc>
        <w:tc>
          <w:tcPr>
            <w:tcW w:w="7620" w:type="dxa"/>
          </w:tcPr>
          <w:p w14:paraId="5886BAF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Iepriekšējo gadu nesadalītā peļņa</w:t>
            </w:r>
          </w:p>
          <w:p w14:paraId="43BE783B" w14:textId="77777777" w:rsidR="007436E0" w:rsidRPr="0092398B" w:rsidRDefault="0092398B">
            <w:pPr>
              <w:spacing w:after="120" w:line="240" w:lineRule="auto"/>
              <w:jc w:val="both"/>
              <w:rPr>
                <w:rFonts w:ascii="Times New Roman" w:eastAsia="Times New Roman" w:hAnsi="Times New Roman" w:cs="Times New Roman"/>
              </w:rPr>
            </w:pPr>
            <w:r w:rsidRPr="0092398B">
              <w:rPr>
                <w:rFonts w:ascii="Times New Roman" w:hAnsi="Times New Roman"/>
              </w:rPr>
              <w:t>Regulas (ES) Nr. 575/2013 4. panta 1. punkta 123) apakšpunkts un 26. panta 1. punkta c) apakšpunkts.</w:t>
            </w:r>
          </w:p>
          <w:p w14:paraId="7D17509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 xml:space="preserve">Regulas (ES) Nr. 575/2013 4. panta 1. punkta 123. </w:t>
            </w:r>
            <w:r w:rsidRPr="0092398B">
              <w:rPr>
                <w:rFonts w:ascii="Times New Roman" w:hAnsi="Times New Roman"/>
              </w:rPr>
              <w:t>apakšpunktā nesadalītā peļņa ir definēta kā “pārnestā peļņa un zaudējumi, kas izriet no peļņas vai zaudējumu galīgās piemērošanas saskaņā ar piemērojamo grāmatvedības regulējumu”.</w:t>
            </w:r>
          </w:p>
        </w:tc>
      </w:tr>
      <w:tr w:rsidR="007436E0" w:rsidRPr="0092398B" w14:paraId="72A9058A" w14:textId="77777777">
        <w:tc>
          <w:tcPr>
            <w:tcW w:w="1129" w:type="dxa"/>
          </w:tcPr>
          <w:p w14:paraId="7E644C1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0080</w:t>
            </w:r>
          </w:p>
        </w:tc>
        <w:tc>
          <w:tcPr>
            <w:tcW w:w="7620" w:type="dxa"/>
          </w:tcPr>
          <w:p w14:paraId="68C90DD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Attiecināmā peļņa</w:t>
            </w:r>
          </w:p>
          <w:p w14:paraId="0424D417" w14:textId="77777777" w:rsidR="007436E0" w:rsidRPr="0092398B" w:rsidRDefault="0092398B">
            <w:pPr>
              <w:spacing w:after="120" w:line="240" w:lineRule="auto"/>
              <w:jc w:val="both"/>
              <w:rPr>
                <w:rFonts w:ascii="Times New Roman" w:eastAsia="Times New Roman" w:hAnsi="Times New Roman" w:cs="Times New Roman"/>
              </w:rPr>
            </w:pPr>
            <w:r w:rsidRPr="0092398B">
              <w:rPr>
                <w:rFonts w:ascii="Times New Roman" w:hAnsi="Times New Roman"/>
              </w:rPr>
              <w:t xml:space="preserve">Regulas (ES) Nr. 575/2013 4. panta </w:t>
            </w:r>
            <w:r w:rsidRPr="0092398B">
              <w:rPr>
                <w:rFonts w:ascii="Times New Roman" w:hAnsi="Times New Roman"/>
              </w:rPr>
              <w:t>1. punkta 121) apakšpunkts, 26. panta 2. punkts un 36. panta 1. punkta a) apakšpunkts.</w:t>
            </w:r>
          </w:p>
          <w:p w14:paraId="13E927D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 xml:space="preserve">Regulas (ES) </w:t>
            </w:r>
            <w:r w:rsidRPr="0092398B">
              <w:rPr>
                <w:rStyle w:val="FormatvorlageInstructionsTabelleText"/>
                <w:rFonts w:ascii="Times New Roman" w:hAnsi="Times New Roman"/>
                <w:sz w:val="22"/>
              </w:rPr>
              <w:t>Nr. 5</w:t>
            </w:r>
            <w:r w:rsidRPr="0092398B">
              <w:rPr>
                <w:rFonts w:ascii="Times New Roman" w:hAnsi="Times New Roman"/>
              </w:rPr>
              <w:t>75/2013 26. panta 2. punkts ļauj ar kompetento iestāžu iepriekšēju piekrišanu starpposma vai gada beigu peļņu iekļaut kā nesadalīto peļņu, ja ir izpild</w:t>
            </w:r>
            <w:r w:rsidRPr="0092398B">
              <w:rPr>
                <w:rFonts w:ascii="Times New Roman" w:hAnsi="Times New Roman"/>
              </w:rPr>
              <w:t xml:space="preserve">īti zināmi nosacījumi. </w:t>
            </w:r>
          </w:p>
        </w:tc>
      </w:tr>
      <w:tr w:rsidR="007436E0" w:rsidRPr="0092398B" w14:paraId="12AC4A07" w14:textId="77777777">
        <w:tc>
          <w:tcPr>
            <w:tcW w:w="1129" w:type="dxa"/>
          </w:tcPr>
          <w:p w14:paraId="59467B1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0090</w:t>
            </w:r>
          </w:p>
        </w:tc>
        <w:tc>
          <w:tcPr>
            <w:tcW w:w="7620" w:type="dxa"/>
          </w:tcPr>
          <w:p w14:paraId="7FEBFF6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Uzkrātie pārējie apvienotie ienākumi</w:t>
            </w:r>
          </w:p>
          <w:p w14:paraId="1BB3316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4479E0A7" w14:textId="77777777" w:rsidR="007436E0" w:rsidRPr="0092398B" w:rsidRDefault="0092398B">
            <w:pPr>
              <w:spacing w:after="120" w:line="240" w:lineRule="auto"/>
              <w:jc w:val="both"/>
              <w:rPr>
                <w:rFonts w:ascii="Times New Roman" w:hAnsi="Times New Roman" w:cs="Times New Roman"/>
                <w:bCs/>
              </w:rPr>
            </w:pPr>
            <w:r w:rsidRPr="0092398B">
              <w:rPr>
                <w:rStyle w:val="FormatvorlageInstructionsTabelleText"/>
                <w:rFonts w:ascii="Times New Roman" w:hAnsi="Times New Roman"/>
                <w:sz w:val="22"/>
              </w:rPr>
              <w:t>Regulas (ES) Nr. 575/2013 26. panta 1. punkta d) apakšpunkts.</w:t>
            </w:r>
          </w:p>
        </w:tc>
      </w:tr>
      <w:tr w:rsidR="007436E0" w:rsidRPr="0092398B" w14:paraId="1DE448A2" w14:textId="77777777">
        <w:tc>
          <w:tcPr>
            <w:tcW w:w="1129" w:type="dxa"/>
          </w:tcPr>
          <w:p w14:paraId="76A09C7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0100</w:t>
            </w:r>
          </w:p>
        </w:tc>
        <w:tc>
          <w:tcPr>
            <w:tcW w:w="7620" w:type="dxa"/>
          </w:tcPr>
          <w:p w14:paraId="0A9FB51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Citas rezerves</w:t>
            </w:r>
          </w:p>
          <w:p w14:paraId="2BF1D7E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w:t>
            </w:r>
            <w:r w:rsidRPr="0092398B">
              <w:rPr>
                <w:rFonts w:ascii="Times New Roman" w:hAnsi="Times New Roman"/>
                <w:bCs/>
              </w:rPr>
              <w:t>kšpunkts.</w:t>
            </w:r>
          </w:p>
          <w:p w14:paraId="77F41EB1"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Nr. 575/2013 4. panta 1. punkta 117) apakšpunkts un 26. panta 1. punkta e) apakšpunkts.</w:t>
            </w:r>
          </w:p>
          <w:p w14:paraId="6B4A567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Uzrādāmajā summā neietver jebkādus nodokļus, kuri paredzami aprēķināšanas laikā.</w:t>
            </w:r>
          </w:p>
        </w:tc>
      </w:tr>
      <w:tr w:rsidR="007436E0" w:rsidRPr="0092398B" w14:paraId="3E77DDB5" w14:textId="77777777">
        <w:tc>
          <w:tcPr>
            <w:tcW w:w="1129" w:type="dxa"/>
          </w:tcPr>
          <w:p w14:paraId="59C33F4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0110</w:t>
            </w:r>
          </w:p>
        </w:tc>
        <w:tc>
          <w:tcPr>
            <w:tcW w:w="7620" w:type="dxa"/>
            <w:shd w:val="clear" w:color="auto" w:fill="auto"/>
          </w:tcPr>
          <w:p w14:paraId="325E504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Mazākuma līdzdalības daļas, kas atzītas pirmā līmeņa pamat</w:t>
            </w:r>
            <w:r w:rsidRPr="0092398B">
              <w:rPr>
                <w:rFonts w:ascii="Times New Roman" w:hAnsi="Times New Roman"/>
                <w:b/>
                <w:bCs/>
                <w:u w:val="single"/>
              </w:rPr>
              <w:t>a kapitālā</w:t>
            </w:r>
          </w:p>
          <w:p w14:paraId="673A2E9F"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Nr. 575/2013 84. panta 1. punkts, 85. panta 1. punkts un 87. panta 1. punkts.</w:t>
            </w:r>
          </w:p>
          <w:p w14:paraId="3E1B758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lastRenderedPageBreak/>
              <w:t>Meitasuzņēmuma mazākuma līdzdalības visa apmēra summa, kas ir iekļauta konsolidētajā pirmā līmeņa pamata kapitālā.</w:t>
            </w:r>
          </w:p>
        </w:tc>
      </w:tr>
      <w:tr w:rsidR="007436E0" w:rsidRPr="0092398B" w14:paraId="5CCE4733" w14:textId="77777777">
        <w:tc>
          <w:tcPr>
            <w:tcW w:w="1129" w:type="dxa"/>
          </w:tcPr>
          <w:p w14:paraId="17814EA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0120</w:t>
            </w:r>
          </w:p>
        </w:tc>
        <w:tc>
          <w:tcPr>
            <w:tcW w:w="7620" w:type="dxa"/>
            <w:shd w:val="clear" w:color="auto" w:fill="auto"/>
          </w:tcPr>
          <w:p w14:paraId="56B35E1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Pirmā līmeņa pamata </w:t>
            </w:r>
            <w:r w:rsidRPr="0092398B">
              <w:rPr>
                <w:rFonts w:ascii="Times New Roman" w:hAnsi="Times New Roman"/>
                <w:b/>
                <w:bCs/>
                <w:u w:val="single"/>
              </w:rPr>
              <w:t>kapitāla korekcijas saistībā ar prudenciālajiem filtriem</w:t>
            </w:r>
          </w:p>
          <w:p w14:paraId="3A2CA69D"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2019/2033 9. panta 1. punkta i) apakšpunkts.</w:t>
            </w:r>
          </w:p>
          <w:p w14:paraId="5E00B93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Regulas (ES) Nr. 575/2013 32. līdz 35. pants.</w:t>
            </w:r>
          </w:p>
        </w:tc>
      </w:tr>
      <w:tr w:rsidR="007436E0" w:rsidRPr="0092398B" w14:paraId="27D02B36" w14:textId="77777777">
        <w:tc>
          <w:tcPr>
            <w:tcW w:w="1129" w:type="dxa"/>
          </w:tcPr>
          <w:p w14:paraId="708E4FA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0130</w:t>
            </w:r>
          </w:p>
        </w:tc>
        <w:tc>
          <w:tcPr>
            <w:tcW w:w="7620" w:type="dxa"/>
          </w:tcPr>
          <w:p w14:paraId="1E92E1F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Citi līdzekļi</w:t>
            </w:r>
          </w:p>
          <w:p w14:paraId="03F34CA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w:t>
            </w:r>
            <w:r w:rsidRPr="0092398B">
              <w:rPr>
                <w:rStyle w:val="FormatvorlageInstructionsTabelleText"/>
                <w:rFonts w:ascii="Times New Roman" w:hAnsi="Times New Roman"/>
                <w:sz w:val="22"/>
              </w:rPr>
              <w:t xml:space="preserve">(ES) </w:t>
            </w:r>
            <w:r w:rsidRPr="0092398B">
              <w:rPr>
                <w:rFonts w:ascii="Times New Roman" w:hAnsi="Times New Roman"/>
                <w:bCs/>
              </w:rPr>
              <w:t>2019/2033 9. panta 4. punkts.</w:t>
            </w:r>
          </w:p>
        </w:tc>
      </w:tr>
      <w:tr w:rsidR="007436E0" w:rsidRPr="0092398B" w14:paraId="6D317778" w14:textId="77777777">
        <w:tc>
          <w:tcPr>
            <w:tcW w:w="1129" w:type="dxa"/>
          </w:tcPr>
          <w:p w14:paraId="7816853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0140</w:t>
            </w:r>
          </w:p>
        </w:tc>
        <w:tc>
          <w:tcPr>
            <w:tcW w:w="7620" w:type="dxa"/>
          </w:tcPr>
          <w:p w14:paraId="13017D94"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 KOPĒJIE </w:t>
            </w:r>
            <w:r w:rsidRPr="0092398B">
              <w:rPr>
                <w:rFonts w:ascii="Times New Roman" w:hAnsi="Times New Roman"/>
                <w:b/>
                <w:bCs/>
                <w:u w:val="single"/>
              </w:rPr>
              <w:t>ATSKAITĪJUMI NO PIRMĀ LĪMEŅA PAMATA KAPITĀLA</w:t>
            </w:r>
          </w:p>
          <w:p w14:paraId="3B3B4E2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Uzrāda 0190. līdz 0285. rindas kopsummu.</w:t>
            </w:r>
          </w:p>
        </w:tc>
      </w:tr>
      <w:tr w:rsidR="007436E0" w:rsidRPr="0092398B" w14:paraId="14F5396E" w14:textId="77777777">
        <w:tc>
          <w:tcPr>
            <w:tcW w:w="1129" w:type="dxa"/>
          </w:tcPr>
          <w:p w14:paraId="1DC11FD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F0696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Kārtējā finanšu gada zaudējumi</w:t>
            </w:r>
          </w:p>
          <w:p w14:paraId="66097C5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Regulas (ES) Nr. 575/2013 36. panta 1. punkta a) apakšpunkts.</w:t>
            </w:r>
          </w:p>
        </w:tc>
      </w:tr>
      <w:tr w:rsidR="007436E0" w:rsidRPr="0092398B" w14:paraId="17BB5983" w14:textId="77777777">
        <w:tc>
          <w:tcPr>
            <w:tcW w:w="1129" w:type="dxa"/>
          </w:tcPr>
          <w:p w14:paraId="1EA9008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865DD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Nemateriālā vērtība</w:t>
            </w:r>
          </w:p>
          <w:p w14:paraId="41CBB5C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2019/2033 </w:t>
            </w:r>
            <w:r w:rsidRPr="0092398B">
              <w:rPr>
                <w:rFonts w:ascii="Times New Roman" w:hAnsi="Times New Roman"/>
                <w:bCs/>
              </w:rPr>
              <w:t>9. panta 1. punkta i) apakšpunkts.</w:t>
            </w:r>
          </w:p>
          <w:p w14:paraId="3F0AADD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Regulas (ES) Nr. 575/2013 4. panta 1. punkta 113) apakšpunkts un 36. panta 1. punkta b) apakšpunkts un 37. pants.</w:t>
            </w:r>
          </w:p>
        </w:tc>
      </w:tr>
      <w:tr w:rsidR="007436E0" w:rsidRPr="0092398B" w14:paraId="5F76AE13" w14:textId="77777777">
        <w:tc>
          <w:tcPr>
            <w:tcW w:w="1129" w:type="dxa"/>
          </w:tcPr>
          <w:p w14:paraId="0965B29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81D11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Citi nemateriālie aktīvi</w:t>
            </w:r>
          </w:p>
          <w:p w14:paraId="183FC8C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62058D0C" w14:textId="77777777" w:rsidR="007436E0" w:rsidRPr="0092398B" w:rsidRDefault="0092398B">
            <w:pPr>
              <w:pStyle w:val="InstructionsText"/>
              <w:rPr>
                <w:rStyle w:val="FormatvorlageInstructionsTabelleText"/>
                <w:rFonts w:ascii="Times New Roman" w:eastAsiaTheme="minorHAnsi" w:hAnsi="Times New Roman"/>
                <w:bCs/>
                <w:sz w:val="22"/>
                <w:szCs w:val="22"/>
              </w:rPr>
            </w:pPr>
            <w:r w:rsidRPr="0092398B">
              <w:rPr>
                <w:rStyle w:val="FormatvorlageInstructionsTabelleText"/>
                <w:rFonts w:ascii="Times New Roman" w:hAnsi="Times New Roman"/>
                <w:sz w:val="22"/>
                <w:szCs w:val="22"/>
              </w:rPr>
              <w:t>Regulas (ES) N</w:t>
            </w:r>
            <w:r w:rsidRPr="0092398B">
              <w:rPr>
                <w:rStyle w:val="FormatvorlageInstructionsTabelleText"/>
                <w:rFonts w:ascii="Times New Roman" w:hAnsi="Times New Roman"/>
                <w:sz w:val="22"/>
                <w:szCs w:val="22"/>
              </w:rPr>
              <w:t>r. 575/2013 4. panta 1. punkta 115) apakšpunkts un 36. panta 1. punkta b) apakšpunkts un 37. panta a) apakšpunkts.</w:t>
            </w:r>
          </w:p>
          <w:p w14:paraId="0A00E5A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Citi nemateriālie aktīvi ir nemateriālie aktīvi saskaņā ar piemērojamo grāmatvedības standartu, mīnus nemateriālā vērtība arī saskaņā ar piem</w:t>
            </w:r>
            <w:r w:rsidRPr="0092398B">
              <w:rPr>
                <w:rStyle w:val="FormatvorlageInstructionsTabelleText"/>
                <w:rFonts w:ascii="Times New Roman" w:hAnsi="Times New Roman"/>
                <w:sz w:val="22"/>
              </w:rPr>
              <w:t>ērojamo grāmatvedības standartu.</w:t>
            </w:r>
          </w:p>
        </w:tc>
      </w:tr>
      <w:tr w:rsidR="007436E0" w:rsidRPr="0092398B" w14:paraId="4DB9D182" w14:textId="77777777">
        <w:tc>
          <w:tcPr>
            <w:tcW w:w="1129" w:type="dxa"/>
          </w:tcPr>
          <w:p w14:paraId="6701058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3D610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Atliktā nodokļa aktīvi, kuru realizācija atkarīga no peļņas gūšanas nākotnē un kuri neizriet no laika noviržu izraisītas pagaidu starpības, atskaitot attiecīgas nodokļu saistības</w:t>
            </w:r>
          </w:p>
          <w:p w14:paraId="26C0661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2.</w:t>
            </w:r>
            <w:r w:rsidRPr="0092398B">
              <w:rPr>
                <w:rFonts w:ascii="Times New Roman" w:hAnsi="Times New Roman"/>
                <w:bCs/>
              </w:rPr>
              <w:t> punkta a) apakšpunkts.</w:t>
            </w:r>
          </w:p>
          <w:p w14:paraId="3E18852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Nr. 575/2013 36. panta 1. punkta c) apakšpunkts.</w:t>
            </w:r>
          </w:p>
        </w:tc>
      </w:tr>
      <w:tr w:rsidR="007436E0" w:rsidRPr="0092398B" w14:paraId="71670627" w14:textId="77777777">
        <w:tc>
          <w:tcPr>
            <w:tcW w:w="1129" w:type="dxa"/>
          </w:tcPr>
          <w:p w14:paraId="6CA750F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DA5E1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Būtiska līdzdalība ārpus finanšu sektora, kas pārsniedz 15 % no pašu kapitāla</w:t>
            </w:r>
          </w:p>
          <w:p w14:paraId="7959498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10. panta 1. punkta a) apakšpunkts.</w:t>
            </w:r>
          </w:p>
        </w:tc>
      </w:tr>
      <w:tr w:rsidR="007436E0" w:rsidRPr="0092398B" w14:paraId="3267F04C" w14:textId="77777777">
        <w:tc>
          <w:tcPr>
            <w:tcW w:w="1129" w:type="dxa"/>
          </w:tcPr>
          <w:p w14:paraId="1863E9E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10ED6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 Tādu </w:t>
            </w:r>
            <w:r w:rsidRPr="0092398B">
              <w:rPr>
                <w:rFonts w:ascii="Times New Roman" w:hAnsi="Times New Roman"/>
                <w:b/>
                <w:bCs/>
                <w:u w:val="single"/>
              </w:rPr>
              <w:t>būtisku līdzdalību kopsumma uzņēmumos, kas nav finanšu sektora sabiedrības, kuras pārsniedz 60 % no ieguldījumu brokeru sabiedrības pašu kapitāla</w:t>
            </w:r>
          </w:p>
          <w:p w14:paraId="407061E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10. panta 1. punkta b) apakšpunkts.</w:t>
            </w:r>
          </w:p>
        </w:tc>
      </w:tr>
      <w:tr w:rsidR="007436E0" w:rsidRPr="0092398B" w14:paraId="2E6C1593" w14:textId="77777777">
        <w:tc>
          <w:tcPr>
            <w:tcW w:w="1129" w:type="dxa"/>
          </w:tcPr>
          <w:p w14:paraId="587A5B3D"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0B25E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Citi atskaitījumi</w:t>
            </w:r>
          </w:p>
          <w:p w14:paraId="6BB8DFB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Visu citu tādu atskaitī</w:t>
            </w:r>
            <w:r w:rsidRPr="0092398B">
              <w:rPr>
                <w:rFonts w:ascii="Times New Roman" w:hAnsi="Times New Roman"/>
              </w:rPr>
              <w:t xml:space="preserve">jumu summa saskaņā ar Regulas (ES) </w:t>
            </w:r>
            <w:r w:rsidRPr="0092398B">
              <w:rPr>
                <w:rStyle w:val="FormatvorlageInstructionsTabelleText"/>
                <w:rFonts w:ascii="Times New Roman" w:hAnsi="Times New Roman"/>
                <w:sz w:val="22"/>
              </w:rPr>
              <w:t>Nr. 5</w:t>
            </w:r>
            <w:r w:rsidRPr="0092398B">
              <w:rPr>
                <w:rFonts w:ascii="Times New Roman" w:hAnsi="Times New Roman"/>
              </w:rPr>
              <w:t>75/2013 36. panta 1. punktu, kas nav iekļauti nevienā no iepriekšējām rindām, kuras apzīmētas no 0160 līdz 0240.</w:t>
            </w:r>
          </w:p>
        </w:tc>
      </w:tr>
      <w:tr w:rsidR="007436E0" w:rsidRPr="0092398B" w14:paraId="60F00F7B" w14:textId="77777777">
        <w:tc>
          <w:tcPr>
            <w:tcW w:w="1129" w:type="dxa"/>
          </w:tcPr>
          <w:p w14:paraId="03847FF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2F1A14"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pamata kapitāls: citi kapitāla elementi, atskaitījumi un korekcijas</w:t>
            </w:r>
          </w:p>
          <w:p w14:paraId="63082CD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Šī rinda </w:t>
            </w:r>
            <w:r w:rsidRPr="0092398B">
              <w:rPr>
                <w:rFonts w:ascii="Times New Roman" w:hAnsi="Times New Roman"/>
                <w:bCs/>
              </w:rPr>
              <w:t>ietver šādu posteņu summu (ja piemērojams):</w:t>
            </w:r>
          </w:p>
          <w:p w14:paraId="4BACD0BA"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lastRenderedPageBreak/>
              <w:t>–</w:t>
            </w:r>
            <w:r w:rsidRPr="0092398B">
              <w:rPr>
                <w:rFonts w:ascii="Times New Roman" w:eastAsia="Times New Roman" w:hAnsi="Times New Roman" w:cs="Times New Roman"/>
                <w:bCs/>
              </w:rPr>
              <w:tab/>
            </w:r>
            <w:r w:rsidRPr="0092398B">
              <w:rPr>
                <w:rFonts w:ascii="Times New Roman" w:hAnsi="Times New Roman"/>
                <w:bCs/>
              </w:rPr>
              <w:t>pārejas posma korekcijas saistībā ar pirmā līmeņa pamata kapitāla instrumentiem, attiecībā uz kuriem piemērotas tiesības saglabāt iepriekš spēkā</w:t>
            </w:r>
            <w:r w:rsidRPr="0092398B">
              <w:rPr>
                <w:rStyle w:val="FormatvorlageInstructionsTabelleText"/>
                <w:rFonts w:ascii="Times New Roman" w:hAnsi="Times New Roman"/>
                <w:sz w:val="22"/>
              </w:rPr>
              <w:t xml:space="preserve"> esošos nosacījumus (</w:t>
            </w:r>
            <w:r w:rsidRPr="0092398B">
              <w:rPr>
                <w:rFonts w:ascii="Times New Roman" w:hAnsi="Times New Roman"/>
                <w:bCs/>
              </w:rPr>
              <w:t xml:space="preserve">Regulas (ES) Nr. 575/2013 </w:t>
            </w:r>
            <w:r w:rsidRPr="0092398B">
              <w:rPr>
                <w:rFonts w:ascii="Times New Roman" w:hAnsi="Times New Roman"/>
                <w:bCs/>
              </w:rPr>
              <w:t>483. panta 1., 2. un 3. punkts un 484. līdz 487. pants),</w:t>
            </w:r>
          </w:p>
          <w:p w14:paraId="3FD0583F"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pārejas posma korekcijas saistībā ar papildu mazākuma līdzdalības daļām</w:t>
            </w:r>
            <w:r w:rsidRPr="0092398B">
              <w:rPr>
                <w:rStyle w:val="FormatvorlageInstructionsTabelleText"/>
                <w:rFonts w:ascii="Times New Roman" w:hAnsi="Times New Roman"/>
                <w:sz w:val="22"/>
              </w:rPr>
              <w:t xml:space="preserve"> (Regulas (ES) Nr. 575/2013 479. un 480. pants</w:t>
            </w:r>
            <w:r w:rsidRPr="0092398B">
              <w:rPr>
                <w:rFonts w:ascii="Times New Roman" w:hAnsi="Times New Roman"/>
                <w:bCs/>
              </w:rPr>
              <w:t>),</w:t>
            </w:r>
          </w:p>
          <w:p w14:paraId="36D63936"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citas pārejas posma korekcijas attiecībā uz pirmā līmeņa pamata</w:t>
            </w:r>
            <w:r w:rsidRPr="0092398B">
              <w:rPr>
                <w:rStyle w:val="FormatvorlageInstructionsTabelleText"/>
                <w:rFonts w:ascii="Times New Roman" w:hAnsi="Times New Roman"/>
                <w:sz w:val="22"/>
              </w:rPr>
              <w:t xml:space="preserve"> kapitāla in</w:t>
            </w:r>
            <w:r w:rsidRPr="0092398B">
              <w:rPr>
                <w:rStyle w:val="FormatvorlageInstructionsTabelleText"/>
                <w:rFonts w:ascii="Times New Roman" w:hAnsi="Times New Roman"/>
                <w:sz w:val="22"/>
              </w:rPr>
              <w:t>strumentiem (</w:t>
            </w:r>
            <w:r w:rsidRPr="0092398B">
              <w:rPr>
                <w:rFonts w:ascii="Times New Roman" w:hAnsi="Times New Roman"/>
                <w:bCs/>
              </w:rPr>
              <w:t>Regulas (ES) Nr. 575/2013 469. līdz 478. pants un 481. pants): korekcijas, kas saistībā ar pārejas noteikumiem veiktas atskaitījumos no pirmā līmeņa pamata kapitāla,</w:t>
            </w:r>
          </w:p>
          <w:p w14:paraId="535D9BAA" w14:textId="77777777" w:rsidR="007436E0" w:rsidRPr="0092398B" w:rsidRDefault="0092398B">
            <w:pPr>
              <w:spacing w:after="120" w:line="240" w:lineRule="auto"/>
              <w:ind w:left="360" w:hanging="360"/>
              <w:jc w:val="both"/>
              <w:rPr>
                <w:rFonts w:ascii="Times New Roman" w:eastAsia="Times New Roman" w:hAnsi="Times New Roman" w:cs="Times New Roman"/>
                <w:b/>
                <w:bCs/>
                <w:u w:val="single"/>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citi pirmā līmeņa pamata kapitāla elementi vai atskaitījumi no pirmā līmeņa</w:t>
            </w:r>
            <w:r w:rsidRPr="0092398B">
              <w:rPr>
                <w:rFonts w:ascii="Times New Roman" w:hAnsi="Times New Roman"/>
                <w:bCs/>
              </w:rPr>
              <w:t xml:space="preserve"> pamata kapitāla elementa, kurus nevar iedalīt nevienā no rindām, kas apzīmētas ar 0040–0285.</w:t>
            </w:r>
          </w:p>
          <w:p w14:paraId="4929BAC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rindu neizmanto, lai maksātspējas koeficientu aprēķinā iekļautu kapitāla posteņus vai atskaitījumus, kuriem nepiemēro Regulu (ES) 2019/2033 vai Regulu (ES) Nr.</w:t>
            </w:r>
            <w:r w:rsidRPr="0092398B">
              <w:rPr>
                <w:rFonts w:ascii="Times New Roman" w:hAnsi="Times New Roman"/>
                <w:bCs/>
              </w:rPr>
              <w:t> 575/2013.</w:t>
            </w:r>
          </w:p>
        </w:tc>
      </w:tr>
      <w:tr w:rsidR="007436E0" w:rsidRPr="0092398B" w14:paraId="3920F910" w14:textId="77777777">
        <w:tc>
          <w:tcPr>
            <w:tcW w:w="1129" w:type="dxa"/>
          </w:tcPr>
          <w:p w14:paraId="748EC6A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469221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PAPILDU KAPITĀLS</w:t>
            </w:r>
          </w:p>
          <w:p w14:paraId="704D58D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punkts.</w:t>
            </w:r>
          </w:p>
          <w:p w14:paraId="6257234C"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Regulas (ES) Nr. 575/2013 61. pants.</w:t>
            </w:r>
          </w:p>
          <w:p w14:paraId="43F2151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Uzrāda 0310. līdz 0410. rindas kopsummu.</w:t>
            </w:r>
          </w:p>
        </w:tc>
      </w:tr>
      <w:tr w:rsidR="007436E0" w:rsidRPr="0092398B" w14:paraId="126B3A51" w14:textId="77777777">
        <w:tc>
          <w:tcPr>
            <w:tcW w:w="1129" w:type="dxa"/>
          </w:tcPr>
          <w:p w14:paraId="40FFBA7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A2724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Pilnībā apmaksāti, tieši emitēti kapitāla instrumenti</w:t>
            </w:r>
          </w:p>
          <w:p w14:paraId="4C05F27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w:t>
            </w:r>
            <w:r w:rsidRPr="0092398B">
              <w:rPr>
                <w:rFonts w:ascii="Times New Roman" w:hAnsi="Times New Roman"/>
                <w:bCs/>
              </w:rPr>
              <w:t>2019/2033 9. panta 1. punkta i) apakšpunkts.</w:t>
            </w:r>
          </w:p>
          <w:p w14:paraId="1B33AAAE"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Regulas (ES) Nr. 575/2013 51. panta a) punkts un 52., 53. un 54. pants.</w:t>
            </w:r>
          </w:p>
          <w:p w14:paraId="28279AD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Uzrādāmā summa neietver ar instrumentiem saistīto akciju emisijas uzcenojumu.</w:t>
            </w:r>
          </w:p>
        </w:tc>
      </w:tr>
      <w:tr w:rsidR="007436E0" w:rsidRPr="0092398B" w14:paraId="6AAFEE7B" w14:textId="77777777">
        <w:tc>
          <w:tcPr>
            <w:tcW w:w="1129" w:type="dxa"/>
          </w:tcPr>
          <w:p w14:paraId="36A8E89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F0381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Akciju emisijas uzcenojums</w:t>
            </w:r>
          </w:p>
          <w:p w14:paraId="02A54DB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w:t>
            </w:r>
            <w:r w:rsidRPr="0092398B">
              <w:rPr>
                <w:rFonts w:ascii="Times New Roman" w:hAnsi="Times New Roman"/>
                <w:bCs/>
              </w:rPr>
              <w:t>2019/2033 9. panta 1. punkta i) apakšpunkts.</w:t>
            </w:r>
          </w:p>
          <w:p w14:paraId="1AA1FF4E"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Regulas (ES) Nr. 575/2013 51. panta b) punkts.</w:t>
            </w:r>
          </w:p>
          <w:p w14:paraId="53CC06D0"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Akciju emisijas uzcenojums ir uzcenojums tādā nozīmē, kā definēts piemērojamā grāmatvedības standartā.</w:t>
            </w:r>
          </w:p>
          <w:p w14:paraId="552E423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Šajā postenī uzrādāmā summa ir ar “Pilnībā apmaksātiem, tieši</w:t>
            </w:r>
            <w:r w:rsidRPr="0092398B">
              <w:rPr>
                <w:rStyle w:val="FormatvorlageInstructionsTabelleText"/>
                <w:rFonts w:ascii="Times New Roman" w:hAnsi="Times New Roman"/>
                <w:sz w:val="22"/>
              </w:rPr>
              <w:t xml:space="preserve"> emitētiem kapitāla instrumentiem” saistītā daļa.</w:t>
            </w:r>
          </w:p>
        </w:tc>
      </w:tr>
      <w:tr w:rsidR="007436E0" w:rsidRPr="0092398B" w14:paraId="3D00AE94" w14:textId="77777777">
        <w:tc>
          <w:tcPr>
            <w:tcW w:w="1129" w:type="dxa"/>
          </w:tcPr>
          <w:p w14:paraId="7A5CDA1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27BCC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KOPĒJIE ATSKAITĪJUMI NO PIRMĀ LĪMEŅA PAPILDU KAPITĀLA</w:t>
            </w:r>
          </w:p>
          <w:p w14:paraId="2A814A00" w14:textId="77777777" w:rsidR="007436E0" w:rsidRPr="0092398B" w:rsidRDefault="0092398B">
            <w:pPr>
              <w:spacing w:before="60" w:after="60"/>
              <w:rPr>
                <w:rFonts w:ascii="Times New Roman" w:hAnsi="Times New Roman" w:cs="Times New Roman"/>
              </w:rPr>
            </w:pPr>
            <w:r w:rsidRPr="0092398B">
              <w:rPr>
                <w:rFonts w:ascii="Times New Roman" w:hAnsi="Times New Roman"/>
              </w:rPr>
              <w:t xml:space="preserve">Regulas (ES) Nr. 575/2013 </w:t>
            </w:r>
            <w:r w:rsidRPr="0092398B">
              <w:rPr>
                <w:rStyle w:val="FormatvorlageInstructionsTabelleText"/>
                <w:rFonts w:ascii="Times New Roman" w:hAnsi="Times New Roman"/>
                <w:sz w:val="22"/>
              </w:rPr>
              <w:t>56. pants</w:t>
            </w:r>
            <w:r w:rsidRPr="0092398B">
              <w:rPr>
                <w:rFonts w:ascii="Times New Roman" w:hAnsi="Times New Roman"/>
              </w:rPr>
              <w:t>.</w:t>
            </w:r>
          </w:p>
        </w:tc>
      </w:tr>
      <w:tr w:rsidR="007436E0" w:rsidRPr="0092398B" w14:paraId="63160544" w14:textId="77777777">
        <w:tc>
          <w:tcPr>
            <w:tcW w:w="1129" w:type="dxa"/>
          </w:tcPr>
          <w:p w14:paraId="5E362FA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CF8D0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papildu kapitāls: citi kapitāla elementi, atskaitījumi un korekcijas</w:t>
            </w:r>
          </w:p>
          <w:p w14:paraId="38626AE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Šī rinda </w:t>
            </w:r>
            <w:r w:rsidRPr="0092398B">
              <w:rPr>
                <w:rFonts w:ascii="Times New Roman" w:hAnsi="Times New Roman"/>
                <w:bCs/>
              </w:rPr>
              <w:t>ietver šādu posteņu summu (ja piemērojams):</w:t>
            </w:r>
          </w:p>
          <w:p w14:paraId="32AC41EA"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pārejas posma korekcijas saistībā ar pirmā līmeņa papildu kapitāla instrumentiem, attiecībā uz kuriem piemērotas tiesības saglabāt iepriekš spēkā esošos nosacījumus (Regulas (ES) Nr. 575/2013 483. pant</w:t>
            </w:r>
            <w:r w:rsidRPr="0092398B">
              <w:rPr>
                <w:rStyle w:val="FormatvorlageInstructionsTabelleText"/>
                <w:rFonts w:ascii="Times New Roman" w:hAnsi="Times New Roman"/>
                <w:sz w:val="22"/>
              </w:rPr>
              <w:t>a 4. un 5</w:t>
            </w:r>
            <w:r w:rsidRPr="0092398B">
              <w:rPr>
                <w:rStyle w:val="FormatvorlageInstructionsTabelleText"/>
                <w:rFonts w:ascii="Times New Roman" w:hAnsi="Times New Roman"/>
                <w:sz w:val="22"/>
              </w:rPr>
              <w:t>. punkts, 484. līdz</w:t>
            </w:r>
            <w:r w:rsidRPr="0092398B">
              <w:rPr>
                <w:rFonts w:ascii="Times New Roman" w:hAnsi="Times New Roman"/>
                <w:bCs/>
              </w:rPr>
              <w:t xml:space="preserve"> 487. pants, 489. un 491. pants),</w:t>
            </w:r>
          </w:p>
          <w:p w14:paraId="15697C9C"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meitasuzņēmumu emitēti instrumenti, kuri ir atzīti pirmā</w:t>
            </w:r>
            <w:r w:rsidRPr="0092398B">
              <w:rPr>
                <w:rStyle w:val="FormatvorlageInstructionsTabelleText"/>
                <w:rFonts w:ascii="Times New Roman" w:hAnsi="Times New Roman"/>
                <w:sz w:val="22"/>
              </w:rPr>
              <w:t xml:space="preserve"> līmeņa papildu kapitālā (</w:t>
            </w:r>
            <w:r w:rsidRPr="0092398B">
              <w:rPr>
                <w:rFonts w:ascii="Times New Roman" w:hAnsi="Times New Roman"/>
                <w:bCs/>
              </w:rPr>
              <w:t>Regulas (ES) Nr. 575/2013 83., 85. un 86. pants): visa meitasuzņēmumu atbilstīgā pirmā līmeņa kapitāla summa, kas ietve</w:t>
            </w:r>
            <w:r w:rsidRPr="0092398B">
              <w:rPr>
                <w:rFonts w:ascii="Times New Roman" w:hAnsi="Times New Roman"/>
                <w:bCs/>
              </w:rPr>
              <w:t>rta konsolidētajā pirmā līmeņa papildu kapitālā, tajā skaitā arī īpašam</w:t>
            </w:r>
            <w:r w:rsidRPr="0092398B">
              <w:rPr>
                <w:rStyle w:val="FormatvorlageInstructionsTabelleText"/>
                <w:rFonts w:ascii="Times New Roman" w:hAnsi="Times New Roman"/>
                <w:sz w:val="22"/>
              </w:rPr>
              <w:t xml:space="preserve"> nolūkam dibinātas sabiedrības</w:t>
            </w:r>
            <w:r w:rsidRPr="0092398B">
              <w:rPr>
                <w:rFonts w:ascii="Times New Roman" w:hAnsi="Times New Roman"/>
                <w:bCs/>
              </w:rPr>
              <w:t xml:space="preserve"> emitētais kapitāls (Regulas (ES)</w:t>
            </w:r>
            <w:r w:rsidRPr="0092398B">
              <w:rPr>
                <w:rFonts w:ascii="Times New Roman" w:hAnsi="Times New Roman"/>
              </w:rPr>
              <w:t xml:space="preserve"> Nr. 575/2013 83. pants),</w:t>
            </w:r>
          </w:p>
          <w:p w14:paraId="0ADE34E8"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lastRenderedPageBreak/>
              <w:t>–</w:t>
            </w:r>
            <w:r w:rsidRPr="0092398B">
              <w:rPr>
                <w:rFonts w:ascii="Times New Roman" w:eastAsia="Times New Roman" w:hAnsi="Times New Roman" w:cs="Times New Roman"/>
                <w:bCs/>
              </w:rPr>
              <w:tab/>
            </w:r>
            <w:r w:rsidRPr="0092398B">
              <w:rPr>
                <w:rFonts w:ascii="Times New Roman" w:hAnsi="Times New Roman"/>
                <w:bCs/>
              </w:rPr>
              <w:t>pārejas posma korekcijas saistībā ar meitasuzņēmumu emitētu instrumentu papildu atzīšanu pirmā</w:t>
            </w:r>
            <w:r w:rsidRPr="0092398B">
              <w:rPr>
                <w:rFonts w:ascii="Times New Roman" w:hAnsi="Times New Roman"/>
                <w:bCs/>
              </w:rPr>
              <w:t xml:space="preserve"> līmeņa papildu kapitālā (Regulas (ES)</w:t>
            </w:r>
            <w:r w:rsidRPr="0092398B">
              <w:rPr>
                <w:rStyle w:val="FormatvorlageInstructionsTabelleText"/>
                <w:rFonts w:ascii="Times New Roman" w:hAnsi="Times New Roman"/>
                <w:sz w:val="22"/>
              </w:rPr>
              <w:t xml:space="preserve"> Nr. 575/2013 480. pants): konsolidētajā pirmā līmeņa papildu kapitālā </w:t>
            </w:r>
            <w:r w:rsidRPr="0092398B">
              <w:rPr>
                <w:rFonts w:ascii="Times New Roman" w:hAnsi="Times New Roman"/>
                <w:bCs/>
              </w:rPr>
              <w:t>ietvertā atbilstīgā pirmā līmeņa kapitāla korekcijas saistībā ar pārejas noteikumiem,</w:t>
            </w:r>
          </w:p>
          <w:p w14:paraId="09A05FA8"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citas pārejas posma korekcijas attiecībā uz pirmā līmeņa pa</w:t>
            </w:r>
            <w:r w:rsidRPr="0092398B">
              <w:rPr>
                <w:rFonts w:ascii="Times New Roman" w:hAnsi="Times New Roman"/>
                <w:bCs/>
              </w:rPr>
              <w:t>pildu kapitālu (Regulas</w:t>
            </w:r>
            <w:r w:rsidRPr="0092398B">
              <w:rPr>
                <w:rStyle w:val="FormatvorlageInstructionsTabelleText"/>
                <w:rFonts w:ascii="Times New Roman" w:hAnsi="Times New Roman"/>
                <w:sz w:val="22"/>
              </w:rPr>
              <w:t xml:space="preserve"> (ES) Nr. 575/2013 472. pants</w:t>
            </w:r>
            <w:r w:rsidRPr="0092398B">
              <w:rPr>
                <w:rFonts w:ascii="Times New Roman" w:hAnsi="Times New Roman"/>
                <w:bCs/>
              </w:rPr>
              <w:t>, 473.a, 474., 475., 478. un 481. pants): atskaitījumu korekcijas saistībā ar pārejas noteikumiem,</w:t>
            </w:r>
          </w:p>
          <w:p w14:paraId="68826C6C"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summa, par kādu pirmā līmeņa papildu kapitāla posteņu atskaitījums pārsniedz pirmā līmeņa papildu kapit</w:t>
            </w:r>
            <w:r w:rsidRPr="0092398B">
              <w:rPr>
                <w:rFonts w:ascii="Times New Roman" w:hAnsi="Times New Roman"/>
                <w:bCs/>
              </w:rPr>
              <w:t>ālu, atskaitīta no</w:t>
            </w:r>
            <w:r w:rsidRPr="0092398B">
              <w:rPr>
                <w:rStyle w:val="FormatvorlageInstructionsTabelleText"/>
                <w:rFonts w:ascii="Times New Roman" w:hAnsi="Times New Roman"/>
                <w:sz w:val="22"/>
              </w:rPr>
              <w:t xml:space="preserve"> pirmā līmeņa pamata kapitāla saskaņā ar Regulas</w:t>
            </w:r>
            <w:r w:rsidRPr="0092398B">
              <w:rPr>
                <w:rFonts w:ascii="Times New Roman" w:hAnsi="Times New Roman"/>
                <w:bCs/>
              </w:rPr>
              <w:t xml:space="preserve"> (ES) Nr. 575/2013 36. panta 1. punkta j) apakšpunktu: pirmā līmeņa papildu kapitāls nevar būt negatīvs, bet pastāv iespēja, ka atskaitījumi no pirmā līmeņa papildu kapitāla posteņiem pārsni</w:t>
            </w:r>
            <w:r w:rsidRPr="0092398B">
              <w:rPr>
                <w:rFonts w:ascii="Times New Roman" w:hAnsi="Times New Roman"/>
                <w:bCs/>
              </w:rPr>
              <w:t>edz pieejamo pirmā līmeņa papildu kapitāla posteņu summu. Šādā gadījumā šis postenis atspoguļo summu, kas nepieciešama, lai 0300. rindā uzrādīto summu palielinātu līdz nullei, un ir vienāds ar apgriezto summu, par kādu pirmā līmeņa papildu kapitāla posteņu</w:t>
            </w:r>
            <w:r w:rsidRPr="0092398B">
              <w:rPr>
                <w:rFonts w:ascii="Times New Roman" w:hAnsi="Times New Roman"/>
                <w:bCs/>
              </w:rPr>
              <w:t xml:space="preserve"> atskaitījums pārsniedz pirmā līmeņa papildu kapitālu un kas papildus citiem atskaitījumiem ietverta 0285. rindā.</w:t>
            </w:r>
          </w:p>
          <w:p w14:paraId="6E865482"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Citi pirmā līmeņa papildu kapitāla elementi vai atskaitījumi no pirmā līmeņa papildu kapitāla elementa, kurus nevar iedalīt nevienā no rindā</w:t>
            </w:r>
            <w:r w:rsidRPr="0092398B">
              <w:rPr>
                <w:rFonts w:ascii="Times New Roman" w:hAnsi="Times New Roman"/>
                <w:bCs/>
              </w:rPr>
              <w:t>m, kas apzīmētas ar 0310–0330.</w:t>
            </w:r>
          </w:p>
          <w:p w14:paraId="3264E0E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rindu neizmanto, lai maksātspējas koeficientu aprēķinā iekļautu kapitāla posteņus vai atskaitījumus, kuriem nepiemēro Regulu (ES) 2019/2033 vai Regulu (ES) Nr. 575/2013.</w:t>
            </w:r>
          </w:p>
        </w:tc>
      </w:tr>
      <w:tr w:rsidR="007436E0" w:rsidRPr="0092398B" w14:paraId="262027BA" w14:textId="77777777">
        <w:tc>
          <w:tcPr>
            <w:tcW w:w="1129" w:type="dxa"/>
          </w:tcPr>
          <w:p w14:paraId="5ED4F6BD"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B0AA63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OTRĀ LĪMEŅA KAPITĀLS</w:t>
            </w:r>
          </w:p>
          <w:p w14:paraId="5297B25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w:t>
            </w:r>
            <w:r w:rsidRPr="0092398B">
              <w:rPr>
                <w:rStyle w:val="FormatvorlageInstructionsTabelleText"/>
                <w:rFonts w:ascii="Times New Roman" w:hAnsi="Times New Roman"/>
                <w:sz w:val="22"/>
              </w:rPr>
              <w:t xml:space="preserve">(ES) </w:t>
            </w:r>
            <w:r w:rsidRPr="0092398B">
              <w:rPr>
                <w:rFonts w:ascii="Times New Roman" w:hAnsi="Times New Roman"/>
                <w:bCs/>
              </w:rPr>
              <w:t>2019/2033 9.</w:t>
            </w:r>
            <w:r w:rsidRPr="0092398B">
              <w:rPr>
                <w:rFonts w:ascii="Times New Roman" w:hAnsi="Times New Roman"/>
                <w:bCs/>
              </w:rPr>
              <w:t> panta 1. punkts.</w:t>
            </w:r>
          </w:p>
          <w:p w14:paraId="20A0D6EC" w14:textId="77777777" w:rsidR="007436E0" w:rsidRPr="0092398B" w:rsidRDefault="0092398B">
            <w:pPr>
              <w:spacing w:after="120" w:line="240" w:lineRule="auto"/>
              <w:jc w:val="both"/>
              <w:rPr>
                <w:rStyle w:val="FormatvorlageInstructionsTabelleText"/>
                <w:rFonts w:ascii="Times New Roman" w:hAnsi="Times New Roman"/>
                <w:sz w:val="22"/>
              </w:rPr>
            </w:pPr>
            <w:r w:rsidRPr="0092398B">
              <w:rPr>
                <w:rStyle w:val="FormatvorlageInstructionsTabelleText"/>
                <w:rFonts w:ascii="Times New Roman" w:hAnsi="Times New Roman"/>
                <w:sz w:val="22"/>
              </w:rPr>
              <w:t>Regulas (ES) Nr. 575/2013 71. pants.</w:t>
            </w:r>
          </w:p>
          <w:p w14:paraId="5561DB1F" w14:textId="77777777" w:rsidR="007436E0" w:rsidRPr="0092398B" w:rsidRDefault="0092398B">
            <w:pPr>
              <w:pStyle w:val="CommentText"/>
              <w:rPr>
                <w:sz w:val="22"/>
                <w:szCs w:val="22"/>
              </w:rPr>
            </w:pPr>
            <w:r w:rsidRPr="0092398B">
              <w:rPr>
                <w:rFonts w:ascii="Times New Roman" w:hAnsi="Times New Roman"/>
                <w:bCs/>
                <w:sz w:val="22"/>
                <w:szCs w:val="22"/>
              </w:rPr>
              <w:t>Uzrāda 0430. līdz 0520. rindas kopsummu.</w:t>
            </w:r>
          </w:p>
        </w:tc>
      </w:tr>
      <w:tr w:rsidR="007436E0" w:rsidRPr="0092398B" w14:paraId="69A43D9B" w14:textId="77777777">
        <w:tc>
          <w:tcPr>
            <w:tcW w:w="1129" w:type="dxa"/>
          </w:tcPr>
          <w:p w14:paraId="3AA0E0E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E047E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Pilnībā apmaksāti, tieši emitēti kapitāla instrumenti</w:t>
            </w:r>
          </w:p>
          <w:p w14:paraId="5F32F77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414C001F" w14:textId="77777777" w:rsidR="007436E0" w:rsidRPr="0092398B" w:rsidRDefault="0092398B">
            <w:pPr>
              <w:pStyle w:val="InstructionsText"/>
              <w:rPr>
                <w:rStyle w:val="FormatvorlageInstructionsTabelleText"/>
                <w:rFonts w:ascii="Times New Roman" w:eastAsiaTheme="minorHAnsi" w:hAnsi="Times New Roman"/>
                <w:bCs/>
                <w:sz w:val="22"/>
                <w:szCs w:val="22"/>
              </w:rPr>
            </w:pPr>
            <w:r w:rsidRPr="0092398B">
              <w:rPr>
                <w:rStyle w:val="FormatvorlageInstructionsTabelleText"/>
                <w:rFonts w:ascii="Times New Roman" w:hAnsi="Times New Roman"/>
                <w:sz w:val="22"/>
                <w:szCs w:val="22"/>
              </w:rPr>
              <w:t xml:space="preserve">Regulas (ES) Nr. 575/2013 </w:t>
            </w:r>
            <w:r w:rsidRPr="0092398B">
              <w:rPr>
                <w:rStyle w:val="FormatvorlageInstructionsTabelleText"/>
                <w:rFonts w:ascii="Times New Roman" w:hAnsi="Times New Roman"/>
                <w:sz w:val="22"/>
                <w:szCs w:val="22"/>
              </w:rPr>
              <w:t>62. panta a) punkts, 63. un 65. pants.</w:t>
            </w:r>
          </w:p>
          <w:p w14:paraId="1BAD7D1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Style w:val="FormatvorlageInstructionsTabelleText"/>
                <w:rFonts w:ascii="Times New Roman" w:hAnsi="Times New Roman"/>
                <w:sz w:val="22"/>
              </w:rPr>
              <w:t>Uzrādāmā summa neietver ar instrumentiem saistīto akciju emisijas uzcenojumu.</w:t>
            </w:r>
          </w:p>
        </w:tc>
      </w:tr>
      <w:tr w:rsidR="007436E0" w:rsidRPr="0092398B" w14:paraId="7DA3673B" w14:textId="77777777">
        <w:tc>
          <w:tcPr>
            <w:tcW w:w="1129" w:type="dxa"/>
          </w:tcPr>
          <w:p w14:paraId="5CDC5F3D"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3E91A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Akciju emisijas uzcenojums</w:t>
            </w:r>
          </w:p>
          <w:p w14:paraId="3465D1F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i) apakšpunkts.</w:t>
            </w:r>
          </w:p>
          <w:p w14:paraId="4134A99A"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 xml:space="preserve">Regulas (ES) Nr. 575/2013 62. panta </w:t>
            </w:r>
            <w:r w:rsidRPr="0092398B">
              <w:rPr>
                <w:rStyle w:val="FormatvorlageInstructionsTabelleText"/>
                <w:rFonts w:ascii="Times New Roman" w:hAnsi="Times New Roman"/>
                <w:sz w:val="22"/>
                <w:szCs w:val="22"/>
              </w:rPr>
              <w:t>b) punkts un 65. pants.</w:t>
            </w:r>
          </w:p>
          <w:p w14:paraId="1C5B4D9E" w14:textId="77777777" w:rsidR="007436E0" w:rsidRPr="0092398B" w:rsidRDefault="0092398B">
            <w:pPr>
              <w:pStyle w:val="InstructionsText"/>
              <w:rPr>
                <w:rStyle w:val="FormatvorlageInstructionsTabelleText"/>
                <w:rFonts w:ascii="Times New Roman" w:hAnsi="Times New Roman"/>
                <w:sz w:val="22"/>
                <w:szCs w:val="22"/>
              </w:rPr>
            </w:pPr>
            <w:r w:rsidRPr="0092398B">
              <w:rPr>
                <w:rStyle w:val="FormatvorlageInstructionsTabelleText"/>
                <w:rFonts w:ascii="Times New Roman" w:hAnsi="Times New Roman"/>
                <w:sz w:val="22"/>
                <w:szCs w:val="22"/>
              </w:rPr>
              <w:t>Akciju emisijas uzcenojums ir uzcenojums tādā nozīmē, kā definēts piemērojamā grāmatvedības standartā.</w:t>
            </w:r>
          </w:p>
          <w:p w14:paraId="75BD639D" w14:textId="77777777" w:rsidR="007436E0" w:rsidRPr="0092398B" w:rsidRDefault="0092398B">
            <w:pPr>
              <w:pStyle w:val="InstructionsText"/>
              <w:rPr>
                <w:sz w:val="22"/>
                <w:szCs w:val="22"/>
              </w:rPr>
            </w:pPr>
            <w:r w:rsidRPr="0092398B">
              <w:rPr>
                <w:rStyle w:val="FormatvorlageInstructionsTabelleText"/>
                <w:rFonts w:ascii="Times New Roman" w:hAnsi="Times New Roman"/>
                <w:sz w:val="22"/>
                <w:szCs w:val="22"/>
              </w:rPr>
              <w:t>Šajā postenī uzrādāmā summa ir ar “Pilnībā apmaksātiem, tieši emitētiem kapitāla instrumentiem” saistītā daļa.</w:t>
            </w:r>
          </w:p>
        </w:tc>
      </w:tr>
      <w:tr w:rsidR="007436E0" w:rsidRPr="0092398B" w14:paraId="141D1893" w14:textId="77777777">
        <w:tc>
          <w:tcPr>
            <w:tcW w:w="1129" w:type="dxa"/>
            <w:tcBorders>
              <w:top w:val="single" w:sz="4" w:space="0" w:color="auto"/>
              <w:bottom w:val="single" w:sz="4" w:space="0" w:color="auto"/>
            </w:tcBorders>
          </w:tcPr>
          <w:p w14:paraId="00BC438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177B76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 KOPĒJIE </w:t>
            </w:r>
            <w:r w:rsidRPr="0092398B">
              <w:rPr>
                <w:rFonts w:ascii="Times New Roman" w:hAnsi="Times New Roman"/>
                <w:b/>
                <w:bCs/>
                <w:u w:val="single"/>
              </w:rPr>
              <w:t>ATSKAITĪJUMI NO OTRĀ LĪMEŅA KAPITĀLA</w:t>
            </w:r>
          </w:p>
          <w:p w14:paraId="78C40C69"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 xml:space="preserve">Regulas (ES) Nr. 575/2013 </w:t>
            </w:r>
            <w:r w:rsidRPr="0092398B">
              <w:rPr>
                <w:rStyle w:val="FormatvorlageInstructionsTabelleText"/>
                <w:rFonts w:ascii="Times New Roman" w:hAnsi="Times New Roman"/>
                <w:sz w:val="22"/>
              </w:rPr>
              <w:t>66. pants</w:t>
            </w:r>
            <w:r w:rsidRPr="0092398B">
              <w:rPr>
                <w:rFonts w:ascii="Times New Roman" w:hAnsi="Times New Roman"/>
              </w:rPr>
              <w:t>.</w:t>
            </w:r>
          </w:p>
        </w:tc>
      </w:tr>
      <w:tr w:rsidR="007436E0" w:rsidRPr="0092398B" w14:paraId="50400C15" w14:textId="77777777">
        <w:tc>
          <w:tcPr>
            <w:tcW w:w="1129" w:type="dxa"/>
            <w:tcBorders>
              <w:top w:val="single" w:sz="4" w:space="0" w:color="auto"/>
            </w:tcBorders>
          </w:tcPr>
          <w:p w14:paraId="3B447FC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E65D2A"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Otrā līmeņa kapitāls: citi kapitāla elementi, atskaitījumi un korekcijas</w:t>
            </w:r>
          </w:p>
          <w:p w14:paraId="199101B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Šī rinda ietver šādu posteņu summu (ja piemērojams):</w:t>
            </w:r>
          </w:p>
          <w:p w14:paraId="6AFC24DE"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 xml:space="preserve">pārejas posma korekcijas saistībā ar otrā </w:t>
            </w:r>
            <w:r w:rsidRPr="0092398B">
              <w:rPr>
                <w:rFonts w:ascii="Times New Roman" w:hAnsi="Times New Roman"/>
                <w:bCs/>
              </w:rPr>
              <w:t xml:space="preserve">līmeņa kapitāla instrumentiem, attiecībā uz kuriem piemērotas tiesības saglabāt iepriekš spēkā esošos nosacījumus </w:t>
            </w:r>
            <w:r w:rsidRPr="0092398B">
              <w:rPr>
                <w:rFonts w:ascii="Times New Roman" w:hAnsi="Times New Roman"/>
                <w:bCs/>
              </w:rPr>
              <w:lastRenderedPageBreak/>
              <w:t>(Regulas (ES) Nr. 575/2013 483. panta 6. un 7. punkts, 484., 486., 488., 490. un 491. pants),</w:t>
            </w:r>
          </w:p>
          <w:p w14:paraId="661F52DB"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 xml:space="preserve">meitasuzņēmumu emitēti </w:t>
            </w:r>
            <w:r w:rsidRPr="0092398B">
              <w:rPr>
                <w:rFonts w:ascii="Times New Roman" w:hAnsi="Times New Roman"/>
                <w:bCs/>
              </w:rPr>
              <w:t>instrumenti, kuri ir atzīti otrā līmeņa kapitālā (Regulas (ES) Nr. 575/2013 83., 87. un 88. pants): visa meitasuzņēmumu atbilstīgā pašu kapitāla summa, kas ietverta konsolidētajā otrā līmeņa kapitālā, tajā skaitā arī īpašam nolūkam dibinātas sabiedrības em</w:t>
            </w:r>
            <w:r w:rsidRPr="0092398B">
              <w:rPr>
                <w:rFonts w:ascii="Times New Roman" w:hAnsi="Times New Roman"/>
                <w:bCs/>
              </w:rPr>
              <w:t>itētais atbilstīgais otrā līmeņa kapitāls (Regulas (ES) Nr. 575/2013 83. pants),</w:t>
            </w:r>
          </w:p>
          <w:p w14:paraId="5ABA7F49"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pārejas posma korekcijas saistībā ar meitasuzņēmumu emitētu instrumentu papildu atzīšanu otrā līmeņa kapitālā (Regulas (ES) Nr. 575/2013 480. pants): korekcijas, kas saistīb</w:t>
            </w:r>
            <w:r w:rsidRPr="0092398B">
              <w:rPr>
                <w:rFonts w:ascii="Times New Roman" w:hAnsi="Times New Roman"/>
                <w:bCs/>
              </w:rPr>
              <w:t>ā ar pārejas noteikumiem veiktas atbilstīgā pašu kapitālā, kurš ietverts konsolidētajā otrā līmeņa kapitālā,</w:t>
            </w:r>
          </w:p>
          <w:p w14:paraId="3FB20AA8"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citas pārejas posma korekcijas attiecībā uz otrā līmeņa kapitālu (Regulas (ES) Nr. 575/2013 472. pants, 473.a, 476., 477., 478. un 481. pants): k</w:t>
            </w:r>
            <w:r w:rsidRPr="0092398B">
              <w:rPr>
                <w:rFonts w:ascii="Times New Roman" w:hAnsi="Times New Roman"/>
                <w:bCs/>
              </w:rPr>
              <w:t>orekcijas, kas saistībā ar pārejas noteikumiem veiktas atskaitījumos no otrā līmeņa kapitāla,</w:t>
            </w:r>
          </w:p>
          <w:p w14:paraId="2C4FA187"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summa, par kādu otrā līmeņa kapitāla posteņu atskaitījums pārsniedz otrā līmeņa kapitālu, atskaitīta no pirmā līmeņa papildu kapitāla saskaņā ar Regulas (ES) Nr</w:t>
            </w:r>
            <w:r w:rsidRPr="0092398B">
              <w:rPr>
                <w:rFonts w:ascii="Times New Roman" w:hAnsi="Times New Roman"/>
                <w:bCs/>
              </w:rPr>
              <w:t>. 575/2013 56. panta e) punktu: otrā līmeņa kapitāls nevar būt negatīvs, bet pastāv iespēja, ka atskaitījumi no otrā līmeņa kapitāla posteņiem pārsniedz pieejamo otrā līmeņa kapitāla posteņu summu. Šādā gadījumā šis postenis atspoguļo summu, kas nepiecieša</w:t>
            </w:r>
            <w:r w:rsidRPr="0092398B">
              <w:rPr>
                <w:rFonts w:ascii="Times New Roman" w:hAnsi="Times New Roman"/>
                <w:bCs/>
              </w:rPr>
              <w:t>ma, lai 0420. rindā uzrādīto summu palielinātu līdz nullei.</w:t>
            </w:r>
          </w:p>
          <w:p w14:paraId="05F4915D" w14:textId="77777777" w:rsidR="007436E0" w:rsidRPr="0092398B" w:rsidRDefault="0092398B">
            <w:pPr>
              <w:spacing w:after="120" w:line="240" w:lineRule="auto"/>
              <w:ind w:left="360" w:hanging="360"/>
              <w:jc w:val="both"/>
              <w:rPr>
                <w:rFonts w:ascii="Times New Roman" w:eastAsia="Times New Roman" w:hAnsi="Times New Roman" w:cs="Times New Roman"/>
                <w:bCs/>
              </w:rPr>
            </w:pPr>
            <w:r w:rsidRPr="0092398B">
              <w:rPr>
                <w:rFonts w:ascii="Times New Roman" w:eastAsia="Times New Roman" w:hAnsi="Times New Roman" w:cs="Times New Roman"/>
                <w:bCs/>
              </w:rPr>
              <w:t>–</w:t>
            </w:r>
            <w:r w:rsidRPr="0092398B">
              <w:rPr>
                <w:rFonts w:ascii="Times New Roman" w:eastAsia="Times New Roman" w:hAnsi="Times New Roman" w:cs="Times New Roman"/>
                <w:bCs/>
              </w:rPr>
              <w:tab/>
            </w:r>
            <w:r w:rsidRPr="0092398B">
              <w:rPr>
                <w:rFonts w:ascii="Times New Roman" w:hAnsi="Times New Roman"/>
                <w:bCs/>
              </w:rPr>
              <w:t>Citi otrā līmeņa kapitāla elementi vai atskaitījumi no otrā līmeņa kapitāla elementa, kurus nevar iedalīt nevienā no rindām, kas apzīmētas ar 0430–0450.</w:t>
            </w:r>
          </w:p>
          <w:p w14:paraId="12793DA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rindu neizmanto, lai maksātspējas koef</w:t>
            </w:r>
            <w:r w:rsidRPr="0092398B">
              <w:rPr>
                <w:rFonts w:ascii="Times New Roman" w:hAnsi="Times New Roman"/>
                <w:bCs/>
              </w:rPr>
              <w:t>icientu aprēķinā iekļautu kapitāla posteņus vai atskaitījumus, kuriem nepiemēro Regulu (ES) 2019/2033 vai Regulu (ES) Nr. 575/2013.</w:t>
            </w:r>
          </w:p>
        </w:tc>
      </w:tr>
    </w:tbl>
    <w:p w14:paraId="441C7398" w14:textId="77777777" w:rsidR="007436E0" w:rsidRPr="0092398B" w:rsidRDefault="0092398B">
      <w:pPr>
        <w:pStyle w:val="Instructionsberschrift2"/>
        <w:ind w:left="357" w:hanging="357"/>
        <w:rPr>
          <w:rFonts w:ascii="Times New Roman" w:hAnsi="Times New Roman" w:cs="Times New Roman"/>
          <w:sz w:val="24"/>
          <w:u w:val="none"/>
        </w:rPr>
      </w:pPr>
      <w:bookmarkStart w:id="21" w:name="_Toc88141795"/>
      <w:r w:rsidRPr="0092398B">
        <w:rPr>
          <w:rFonts w:ascii="Times New Roman" w:hAnsi="Times New Roman"/>
          <w:sz w:val="24"/>
          <w:u w:val="none"/>
        </w:rPr>
        <w:lastRenderedPageBreak/>
        <w:t>1.3.</w:t>
      </w:r>
      <w:r w:rsidRPr="0092398B">
        <w:rPr>
          <w:rFonts w:ascii="Times New Roman" w:hAnsi="Times New Roman"/>
          <w:sz w:val="24"/>
        </w:rPr>
        <w:t xml:space="preserve"> I 02.03 – PAŠU KAPITĀLA PRASĪBAS (I 2.3)</w:t>
      </w:r>
      <w:bookmarkEnd w:id="21"/>
    </w:p>
    <w:p w14:paraId="128B72A0"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u w:val="single"/>
        </w:rPr>
      </w:pPr>
      <w:bookmarkStart w:id="22" w:name="_Toc88141796"/>
      <w:r w:rsidRPr="0092398B">
        <w:rPr>
          <w:rFonts w:ascii="Times New Roman" w:hAnsi="Times New Roman"/>
          <w:sz w:val="24"/>
          <w:szCs w:val="24"/>
        </w:rPr>
        <w:t>1.3.1.</w:t>
      </w:r>
      <w:r w:rsidRPr="0092398B">
        <w:tab/>
      </w:r>
      <w:r w:rsidRPr="0092398B">
        <w:rPr>
          <w:rFonts w:ascii="Times New Roman" w:hAnsi="Times New Roman"/>
          <w:sz w:val="24"/>
          <w:szCs w:val="24"/>
          <w:u w:val="single"/>
        </w:rPr>
        <w:t>Norādījumi attiecībā uz konkrētām pozīcijām</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6597287B" w14:textId="77777777">
        <w:tc>
          <w:tcPr>
            <w:tcW w:w="1129" w:type="dxa"/>
            <w:shd w:val="clear" w:color="auto" w:fill="D9D9D9"/>
          </w:tcPr>
          <w:p w14:paraId="0AB926E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Rinda</w:t>
            </w:r>
          </w:p>
        </w:tc>
        <w:tc>
          <w:tcPr>
            <w:tcW w:w="7620" w:type="dxa"/>
            <w:shd w:val="clear" w:color="auto" w:fill="D9D9D9"/>
          </w:tcPr>
          <w:p w14:paraId="7C15A63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 xml:space="preserve">Atsauces uz </w:t>
            </w:r>
            <w:r w:rsidRPr="0092398B">
              <w:rPr>
                <w:rFonts w:ascii="Times New Roman" w:hAnsi="Times New Roman"/>
              </w:rPr>
              <w:t>tiesību aktiem un norādījumi</w:t>
            </w:r>
          </w:p>
        </w:tc>
      </w:tr>
      <w:tr w:rsidR="007436E0" w:rsidRPr="0092398B" w14:paraId="278646DF" w14:textId="77777777">
        <w:tc>
          <w:tcPr>
            <w:tcW w:w="1129" w:type="dxa"/>
          </w:tcPr>
          <w:p w14:paraId="72F8EB0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0010</w:t>
            </w:r>
          </w:p>
        </w:tc>
        <w:tc>
          <w:tcPr>
            <w:tcW w:w="7620" w:type="dxa"/>
          </w:tcPr>
          <w:p w14:paraId="525E089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Pašu kapitāla prasība</w:t>
            </w:r>
          </w:p>
          <w:p w14:paraId="7C7BA16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11. panta 1. un 2. punkts.</w:t>
            </w:r>
          </w:p>
          <w:p w14:paraId="2DEAE60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Šis postenis nepārsniedz 0020. un 0030. rindas vērtību.</w:t>
            </w:r>
          </w:p>
        </w:tc>
      </w:tr>
      <w:tr w:rsidR="007436E0" w:rsidRPr="0092398B" w14:paraId="22C46BDF" w14:textId="77777777">
        <w:tc>
          <w:tcPr>
            <w:tcW w:w="1129" w:type="dxa"/>
          </w:tcPr>
          <w:p w14:paraId="6559ADA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0020</w:t>
            </w:r>
          </w:p>
        </w:tc>
        <w:tc>
          <w:tcPr>
            <w:tcW w:w="7620" w:type="dxa"/>
          </w:tcPr>
          <w:p w14:paraId="3C68CFC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Pastāvīgā minimālā kapitāla prasība</w:t>
            </w:r>
          </w:p>
          <w:p w14:paraId="1BF8619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14. pants.</w:t>
            </w:r>
          </w:p>
        </w:tc>
      </w:tr>
      <w:tr w:rsidR="007436E0" w:rsidRPr="0092398B" w14:paraId="74438397" w14:textId="77777777">
        <w:tc>
          <w:tcPr>
            <w:tcW w:w="1129" w:type="dxa"/>
          </w:tcPr>
          <w:p w14:paraId="646AFC3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0030</w:t>
            </w:r>
          </w:p>
        </w:tc>
        <w:tc>
          <w:tcPr>
            <w:tcW w:w="7620" w:type="dxa"/>
          </w:tcPr>
          <w:p w14:paraId="775A984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Fiksēto pieskaitāmo izdevumu prasība</w:t>
            </w:r>
          </w:p>
          <w:p w14:paraId="6990D4E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13. pants.</w:t>
            </w:r>
          </w:p>
        </w:tc>
      </w:tr>
      <w:tr w:rsidR="007436E0" w:rsidRPr="0092398B" w14:paraId="09D15692" w14:textId="77777777">
        <w:tc>
          <w:tcPr>
            <w:tcW w:w="1129" w:type="dxa"/>
          </w:tcPr>
          <w:p w14:paraId="5D1C3F7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0050 – 0090 </w:t>
            </w:r>
          </w:p>
        </w:tc>
        <w:tc>
          <w:tcPr>
            <w:tcW w:w="7620" w:type="dxa"/>
          </w:tcPr>
          <w:p w14:paraId="1FBBFC7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pašu kapitāla prasības</w:t>
            </w:r>
          </w:p>
        </w:tc>
      </w:tr>
      <w:tr w:rsidR="007436E0" w:rsidRPr="0092398B" w14:paraId="6EBE86D0" w14:textId="77777777">
        <w:tc>
          <w:tcPr>
            <w:tcW w:w="1129" w:type="dxa"/>
          </w:tcPr>
          <w:p w14:paraId="3EF2E3C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0050</w:t>
            </w:r>
          </w:p>
        </w:tc>
        <w:tc>
          <w:tcPr>
            <w:tcW w:w="7620" w:type="dxa"/>
          </w:tcPr>
          <w:p w14:paraId="071805E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prasība, pamatojoties uz Regulas (ES) Nr. 575/2013 pašu kapitāla prasībām</w:t>
            </w:r>
          </w:p>
          <w:p w14:paraId="3FA66D5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 xml:space="preserve">Regulas (ES) 2019/2033 </w:t>
            </w:r>
            <w:r w:rsidRPr="0092398B">
              <w:rPr>
                <w:rFonts w:ascii="Times New Roman" w:hAnsi="Times New Roman"/>
                <w:bCs/>
              </w:rPr>
              <w:t>57. panta 3. punkta a) apakšpunkts.</w:t>
            </w:r>
          </w:p>
        </w:tc>
      </w:tr>
      <w:tr w:rsidR="007436E0" w:rsidRPr="0092398B" w14:paraId="372DF470" w14:textId="77777777">
        <w:tc>
          <w:tcPr>
            <w:tcW w:w="1129" w:type="dxa"/>
          </w:tcPr>
          <w:p w14:paraId="1E46C75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0060</w:t>
            </w:r>
          </w:p>
        </w:tc>
        <w:tc>
          <w:tcPr>
            <w:tcW w:w="7620" w:type="dxa"/>
          </w:tcPr>
          <w:p w14:paraId="1C59E5C4"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prasība, pamatojoties uz fiksēto pieskaitāmo izdevumu prasībām</w:t>
            </w:r>
          </w:p>
          <w:p w14:paraId="3FD05A8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57. panta 3. punkta b) apakšpunkts.</w:t>
            </w:r>
          </w:p>
        </w:tc>
      </w:tr>
      <w:tr w:rsidR="007436E0" w:rsidRPr="0092398B" w14:paraId="52FAFB6D" w14:textId="77777777">
        <w:tc>
          <w:tcPr>
            <w:tcW w:w="1129" w:type="dxa"/>
          </w:tcPr>
          <w:p w14:paraId="79074F2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0070</w:t>
            </w:r>
          </w:p>
        </w:tc>
        <w:tc>
          <w:tcPr>
            <w:tcW w:w="7620" w:type="dxa"/>
          </w:tcPr>
          <w:p w14:paraId="28740BD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prasība ieguldījumu brokeru sabiedrībām, kurām iepriekš pi</w:t>
            </w:r>
            <w:r w:rsidRPr="0092398B">
              <w:rPr>
                <w:rFonts w:ascii="Times New Roman" w:hAnsi="Times New Roman"/>
                <w:b/>
                <w:bCs/>
                <w:u w:val="single"/>
              </w:rPr>
              <w:t>emēroja tikai sākotnējā kapitāla prasību</w:t>
            </w:r>
          </w:p>
          <w:p w14:paraId="06F7296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57. panta 4. punkta a) apakšpunkts.</w:t>
            </w:r>
          </w:p>
        </w:tc>
      </w:tr>
      <w:tr w:rsidR="007436E0" w:rsidRPr="0092398B" w14:paraId="693D9C0A" w14:textId="77777777">
        <w:tc>
          <w:tcPr>
            <w:tcW w:w="1129" w:type="dxa"/>
          </w:tcPr>
          <w:p w14:paraId="018C5D3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0080</w:t>
            </w:r>
          </w:p>
        </w:tc>
        <w:tc>
          <w:tcPr>
            <w:tcW w:w="7620" w:type="dxa"/>
          </w:tcPr>
          <w:p w14:paraId="00E1C26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prasība, pamatojoties uz sākotnējā kapitāla prasību atļaujas saņemšanas brīdī</w:t>
            </w:r>
          </w:p>
          <w:p w14:paraId="6FECC48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 xml:space="preserve">Regulas (ES) 2019/2033 57. panta 4. punkta </w:t>
            </w:r>
            <w:r w:rsidRPr="0092398B">
              <w:rPr>
                <w:rFonts w:ascii="Times New Roman" w:hAnsi="Times New Roman"/>
                <w:bCs/>
              </w:rPr>
              <w:t>b) apakšpunkts.</w:t>
            </w:r>
          </w:p>
        </w:tc>
      </w:tr>
      <w:tr w:rsidR="007436E0" w:rsidRPr="0092398B" w14:paraId="0C7D1B06" w14:textId="77777777">
        <w:tc>
          <w:tcPr>
            <w:tcW w:w="1129" w:type="dxa"/>
          </w:tcPr>
          <w:p w14:paraId="7B98277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0090</w:t>
            </w:r>
          </w:p>
        </w:tc>
        <w:tc>
          <w:tcPr>
            <w:tcW w:w="7620" w:type="dxa"/>
          </w:tcPr>
          <w:p w14:paraId="172FC9E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Pārejas posma prasība ieguldījumu brokeru sabiedrībām, kurām nav atļaujas sniegt konkrētus pakalpojumus</w:t>
            </w:r>
          </w:p>
          <w:p w14:paraId="1F61F83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Regulas (ES) 2019/2033 57. panta 4. punkta c) apakšpunkts.</w:t>
            </w:r>
          </w:p>
        </w:tc>
      </w:tr>
      <w:tr w:rsidR="007436E0" w:rsidRPr="0092398B" w14:paraId="4CC7A72F" w14:textId="77777777">
        <w:tc>
          <w:tcPr>
            <w:tcW w:w="1129" w:type="dxa"/>
          </w:tcPr>
          <w:p w14:paraId="3682670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0110–0130</w:t>
            </w:r>
          </w:p>
        </w:tc>
        <w:tc>
          <w:tcPr>
            <w:tcW w:w="7620" w:type="dxa"/>
          </w:tcPr>
          <w:p w14:paraId="43B6898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Izziņas posteņi</w:t>
            </w:r>
          </w:p>
        </w:tc>
      </w:tr>
      <w:tr w:rsidR="007436E0" w:rsidRPr="0092398B" w14:paraId="5995BEE1" w14:textId="77777777">
        <w:tc>
          <w:tcPr>
            <w:tcW w:w="1129" w:type="dxa"/>
            <w:tcBorders>
              <w:top w:val="single" w:sz="4" w:space="0" w:color="auto"/>
              <w:left w:val="single" w:sz="4" w:space="0" w:color="auto"/>
              <w:bottom w:val="single" w:sz="4" w:space="0" w:color="auto"/>
              <w:right w:val="single" w:sz="4" w:space="0" w:color="auto"/>
            </w:tcBorders>
          </w:tcPr>
          <w:p w14:paraId="2265A26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3014D5B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Papildu pašu kapitāla prasība</w:t>
            </w:r>
          </w:p>
          <w:p w14:paraId="2A58789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Direktīv</w:t>
            </w:r>
            <w:r w:rsidRPr="0092398B">
              <w:rPr>
                <w:rFonts w:ascii="Times New Roman" w:hAnsi="Times New Roman"/>
                <w:bCs/>
              </w:rPr>
              <w:t>as (ES) 2019/2034 40. pants.</w:t>
            </w:r>
          </w:p>
          <w:p w14:paraId="1F173D4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Papildu pašu kapitāls, kas pieprasīts pēc uzraudzības pārbaudes un novērtējuma procesa.</w:t>
            </w:r>
            <w:r w:rsidRPr="0092398B">
              <w:rPr>
                <w:rFonts w:ascii="Times New Roman" w:hAnsi="Times New Roman"/>
                <w:b/>
                <w:bCs/>
                <w:u w:val="single"/>
              </w:rPr>
              <w:t xml:space="preserve"> </w:t>
            </w:r>
          </w:p>
        </w:tc>
      </w:tr>
      <w:tr w:rsidR="007436E0" w:rsidRPr="0092398B" w14:paraId="21536EA7" w14:textId="77777777">
        <w:tc>
          <w:tcPr>
            <w:tcW w:w="1129" w:type="dxa"/>
            <w:tcBorders>
              <w:top w:val="single" w:sz="4" w:space="0" w:color="auto"/>
              <w:left w:val="single" w:sz="4" w:space="0" w:color="auto"/>
              <w:bottom w:val="single" w:sz="4" w:space="0" w:color="auto"/>
              <w:right w:val="single" w:sz="4" w:space="0" w:color="auto"/>
            </w:tcBorders>
          </w:tcPr>
          <w:p w14:paraId="60C8968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0A439C4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Kopējā pašu kapitāla prasība</w:t>
            </w:r>
          </w:p>
          <w:p w14:paraId="5ECE099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 xml:space="preserve">Ieguldījumu brokeru sabiedrības kopējo pašu kapitāla prasību veido tās atsauces datumā </w:t>
            </w:r>
            <w:r w:rsidRPr="0092398B">
              <w:rPr>
                <w:rFonts w:ascii="Times New Roman" w:hAnsi="Times New Roman"/>
              </w:rPr>
              <w:t>piemērojamo pašu kapitāla prasību, 0110. rindā uzrādītā papildu pašu kapitāla prasības un 0120. rindā uzrādītās papildu pašu kapitāla norādes summa.</w:t>
            </w:r>
          </w:p>
        </w:tc>
      </w:tr>
    </w:tbl>
    <w:p w14:paraId="18C8D35D" w14:textId="77777777" w:rsidR="007436E0" w:rsidRPr="0092398B" w:rsidRDefault="0092398B">
      <w:pPr>
        <w:pStyle w:val="Instructionsberschrift2"/>
        <w:ind w:left="357" w:hanging="357"/>
        <w:rPr>
          <w:rFonts w:ascii="Times New Roman" w:hAnsi="Times New Roman" w:cs="Times New Roman"/>
          <w:sz w:val="24"/>
        </w:rPr>
      </w:pPr>
      <w:bookmarkStart w:id="23" w:name="_Toc88141797"/>
      <w:r w:rsidRPr="0092398B">
        <w:rPr>
          <w:rFonts w:ascii="Times New Roman" w:hAnsi="Times New Roman"/>
          <w:sz w:val="24"/>
        </w:rPr>
        <w:t>1.4. I 02.04 – KAPITĀLA RĀDĪTĀJI (I 2.4)</w:t>
      </w:r>
      <w:bookmarkEnd w:id="23"/>
    </w:p>
    <w:p w14:paraId="6B615054"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141798"/>
      <w:r w:rsidRPr="0092398B">
        <w:rPr>
          <w:rFonts w:ascii="Times New Roman" w:hAnsi="Times New Roman"/>
          <w:sz w:val="24"/>
          <w:szCs w:val="24"/>
        </w:rPr>
        <w:t>1.4.1.</w:t>
      </w:r>
      <w:r w:rsidRPr="0092398B">
        <w:tab/>
      </w:r>
      <w:r w:rsidRPr="0092398B">
        <w:rPr>
          <w:rFonts w:ascii="Times New Roman" w:hAnsi="Times New Roman"/>
          <w:sz w:val="24"/>
          <w:szCs w:val="24"/>
          <w:u w:val="single"/>
        </w:rPr>
        <w:t>Norādījumi attiecībā uz konkrētām pozīcijām.</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55794734" w14:textId="77777777">
        <w:tc>
          <w:tcPr>
            <w:tcW w:w="1129" w:type="dxa"/>
            <w:shd w:val="clear" w:color="auto" w:fill="D9D9D9"/>
          </w:tcPr>
          <w:p w14:paraId="0F53938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Rinda</w:t>
            </w:r>
          </w:p>
        </w:tc>
        <w:tc>
          <w:tcPr>
            <w:tcW w:w="7620" w:type="dxa"/>
            <w:shd w:val="clear" w:color="auto" w:fill="D9D9D9"/>
          </w:tcPr>
          <w:p w14:paraId="144FD3B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Atsauces uz tiesību aktiem un norādījumi</w:t>
            </w:r>
          </w:p>
        </w:tc>
      </w:tr>
      <w:tr w:rsidR="007436E0" w:rsidRPr="0092398B" w14:paraId="2BA77657" w14:textId="77777777">
        <w:tc>
          <w:tcPr>
            <w:tcW w:w="1129" w:type="dxa"/>
          </w:tcPr>
          <w:p w14:paraId="28AD732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0010</w:t>
            </w:r>
          </w:p>
        </w:tc>
        <w:tc>
          <w:tcPr>
            <w:tcW w:w="7620" w:type="dxa"/>
          </w:tcPr>
          <w:p w14:paraId="212864A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pamata kapitāla rādītājs</w:t>
            </w:r>
          </w:p>
          <w:p w14:paraId="25AA5CA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a) apakšpunkts un 11. panta 1. un 2. punkts.</w:t>
            </w:r>
          </w:p>
          <w:p w14:paraId="13B1EB9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posteni izsaka kā procentuālo daļu.</w:t>
            </w:r>
          </w:p>
        </w:tc>
      </w:tr>
      <w:tr w:rsidR="007436E0" w:rsidRPr="0092398B" w14:paraId="32ECA8DB" w14:textId="77777777">
        <w:tc>
          <w:tcPr>
            <w:tcW w:w="1129" w:type="dxa"/>
          </w:tcPr>
          <w:p w14:paraId="5273BED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0020</w:t>
            </w:r>
          </w:p>
        </w:tc>
        <w:tc>
          <w:tcPr>
            <w:tcW w:w="7620" w:type="dxa"/>
          </w:tcPr>
          <w:p w14:paraId="3D6C689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Pirmā līmeņa pamata kapitāla </w:t>
            </w:r>
            <w:r w:rsidRPr="0092398B">
              <w:rPr>
                <w:rFonts w:ascii="Times New Roman" w:hAnsi="Times New Roman"/>
                <w:b/>
                <w:bCs/>
                <w:u w:val="single"/>
              </w:rPr>
              <w:t>pārpalikums (+)/deficīts (-)</w:t>
            </w:r>
          </w:p>
          <w:p w14:paraId="02F61F36"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Šis postenis parāda pirmā līmeņa pamata kapitāla pārpalikumu vai deficītu saistībā ar Regulas (ES) 2019/2033 9. panta 1. punktā noteikto prasību.</w:t>
            </w:r>
          </w:p>
          <w:p w14:paraId="37181BB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Attiecībā uz šo posteni neņem vērā Regulas (ES) 2019/2033 57. panta 3. un 4. punk</w:t>
            </w:r>
            <w:r w:rsidRPr="0092398B">
              <w:rPr>
                <w:rFonts w:ascii="Times New Roman" w:hAnsi="Times New Roman"/>
              </w:rPr>
              <w:t>ta pārejas noteikumus.</w:t>
            </w:r>
          </w:p>
        </w:tc>
      </w:tr>
      <w:tr w:rsidR="007436E0" w:rsidRPr="0092398B" w14:paraId="7EBACAFB" w14:textId="77777777">
        <w:tc>
          <w:tcPr>
            <w:tcW w:w="1129" w:type="dxa"/>
          </w:tcPr>
          <w:p w14:paraId="3C16B4D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0030</w:t>
            </w:r>
          </w:p>
        </w:tc>
        <w:tc>
          <w:tcPr>
            <w:tcW w:w="7620" w:type="dxa"/>
          </w:tcPr>
          <w:p w14:paraId="4E23BF4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kapitāla rādītājs</w:t>
            </w:r>
          </w:p>
          <w:p w14:paraId="4C6D91E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b) apakšpunkts un 11. panta 1. un 2. punkts.</w:t>
            </w:r>
          </w:p>
          <w:p w14:paraId="2282607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posteni izsaka kā procentuālo daļu.</w:t>
            </w:r>
          </w:p>
        </w:tc>
      </w:tr>
      <w:tr w:rsidR="007436E0" w:rsidRPr="0092398B" w14:paraId="2436FAB8" w14:textId="77777777">
        <w:tc>
          <w:tcPr>
            <w:tcW w:w="1129" w:type="dxa"/>
          </w:tcPr>
          <w:p w14:paraId="5F09E9A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0040</w:t>
            </w:r>
          </w:p>
        </w:tc>
        <w:tc>
          <w:tcPr>
            <w:tcW w:w="7620" w:type="dxa"/>
          </w:tcPr>
          <w:p w14:paraId="1A55B03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Pirmā līmeņa kapitāla pārpalikums (+)/deficīts (-)</w:t>
            </w:r>
          </w:p>
          <w:p w14:paraId="6456142E"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lastRenderedPageBreak/>
              <w:t xml:space="preserve">Šis </w:t>
            </w:r>
            <w:r w:rsidRPr="0092398B">
              <w:rPr>
                <w:rFonts w:ascii="Times New Roman" w:hAnsi="Times New Roman"/>
              </w:rPr>
              <w:t>postenis parāda pirmā līmeņa kapitāla pārpalikumu vai deficītu saistībā ar Regulas (ES) 2019/2033 9. panta 1. punktā noteikto prasību.</w:t>
            </w:r>
          </w:p>
          <w:p w14:paraId="55511F9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Attiecībā uz šo posteni neņem vērā Regulas (ES) 2019/2033 57. pant</w:t>
            </w:r>
            <w:r w:rsidRPr="0092398B">
              <w:rPr>
                <w:rFonts w:ascii="Times New Roman" w:hAnsi="Times New Roman"/>
                <w:bCs/>
              </w:rPr>
              <w:t>a</w:t>
            </w:r>
            <w:r w:rsidRPr="0092398B">
              <w:rPr>
                <w:rFonts w:ascii="Times New Roman" w:hAnsi="Times New Roman"/>
              </w:rPr>
              <w:t xml:space="preserve"> 3. un 4. punkta pārejas noteikumus.</w:t>
            </w:r>
          </w:p>
        </w:tc>
      </w:tr>
      <w:tr w:rsidR="007436E0" w:rsidRPr="0092398B" w14:paraId="0D831F69" w14:textId="77777777">
        <w:tc>
          <w:tcPr>
            <w:tcW w:w="1129" w:type="dxa"/>
          </w:tcPr>
          <w:p w14:paraId="6C3D242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0050</w:t>
            </w:r>
          </w:p>
        </w:tc>
        <w:tc>
          <w:tcPr>
            <w:tcW w:w="7620" w:type="dxa"/>
          </w:tcPr>
          <w:p w14:paraId="00A0FF0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Pašu kapitā</w:t>
            </w:r>
            <w:r w:rsidRPr="0092398B">
              <w:rPr>
                <w:rFonts w:ascii="Times New Roman" w:hAnsi="Times New Roman"/>
                <w:b/>
                <w:bCs/>
                <w:u w:val="single"/>
              </w:rPr>
              <w:t>la rādītājs</w:t>
            </w:r>
          </w:p>
          <w:p w14:paraId="3B6489F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9. panta 1. punkta c) apakšpunkts un 11. panta 1. un 2. punkts.</w:t>
            </w:r>
          </w:p>
          <w:p w14:paraId="1B0E453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Šo posteni izsaka kā procentuālo daļu.</w:t>
            </w:r>
          </w:p>
        </w:tc>
      </w:tr>
      <w:tr w:rsidR="007436E0" w:rsidRPr="0092398B" w14:paraId="40301484" w14:textId="77777777">
        <w:tc>
          <w:tcPr>
            <w:tcW w:w="1129" w:type="dxa"/>
          </w:tcPr>
          <w:p w14:paraId="7A58C85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0060</w:t>
            </w:r>
          </w:p>
        </w:tc>
        <w:tc>
          <w:tcPr>
            <w:tcW w:w="7620" w:type="dxa"/>
          </w:tcPr>
          <w:p w14:paraId="3B0AE9E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Kopējā kapitāla pārpalikums (+)/deficīts (–)</w:t>
            </w:r>
          </w:p>
          <w:p w14:paraId="2CBD2302"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Šis postenis parāda pašu kapitāla pārpalikumu vai deficītu saistībā</w:t>
            </w:r>
            <w:r w:rsidRPr="0092398B">
              <w:rPr>
                <w:rFonts w:ascii="Times New Roman" w:hAnsi="Times New Roman"/>
              </w:rPr>
              <w:t xml:space="preserve"> ar Regulas (ES) 2019/2033 9. panta 1. punktā noteikto prasību.</w:t>
            </w:r>
          </w:p>
          <w:p w14:paraId="6EF4CB8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rPr>
              <w:t>Attiecībā uz šo posteni neņem vērā Regulas (ES) 2019/2033 57. panta 3. un 4. punkta pārejas noteikumus.</w:t>
            </w:r>
          </w:p>
        </w:tc>
      </w:tr>
    </w:tbl>
    <w:p w14:paraId="0F8FE126" w14:textId="77777777" w:rsidR="007436E0" w:rsidRPr="0092398B" w:rsidRDefault="007436E0">
      <w:pPr>
        <w:pStyle w:val="Instructionsberschrift2"/>
        <w:ind w:left="357" w:hanging="357"/>
        <w:rPr>
          <w:rFonts w:ascii="Times New Roman" w:hAnsi="Times New Roman" w:cs="Times New Roman"/>
          <w:sz w:val="24"/>
        </w:rPr>
      </w:pPr>
    </w:p>
    <w:p w14:paraId="1DBD3670" w14:textId="77777777" w:rsidR="007436E0" w:rsidRPr="0092398B" w:rsidRDefault="0092398B">
      <w:pPr>
        <w:pStyle w:val="Instructionsberschrift2"/>
        <w:ind w:left="357" w:hanging="357"/>
        <w:rPr>
          <w:rFonts w:ascii="Times New Roman" w:hAnsi="Times New Roman" w:cs="Times New Roman"/>
          <w:sz w:val="24"/>
        </w:rPr>
      </w:pPr>
      <w:bookmarkStart w:id="25" w:name="_Toc88141799"/>
      <w:r w:rsidRPr="0092398B">
        <w:rPr>
          <w:rFonts w:ascii="Times New Roman" w:hAnsi="Times New Roman"/>
          <w:sz w:val="24"/>
        </w:rPr>
        <w:t>1.5. I 03.01 – FIKSĒTO PIESKAITĀMO IZDEVUMU PRASĪBU APRĒĶINĀŠANA (I 3.1)</w:t>
      </w:r>
      <w:bookmarkEnd w:id="2"/>
      <w:bookmarkEnd w:id="3"/>
      <w:bookmarkEnd w:id="25"/>
      <w:bookmarkEnd w:id="4"/>
      <w:bookmarkEnd w:id="5"/>
    </w:p>
    <w:p w14:paraId="7EDE3309" w14:textId="77777777" w:rsidR="007436E0" w:rsidRPr="0092398B" w:rsidRDefault="0092398B">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141800"/>
      <w:r w:rsidRPr="0092398B">
        <w:rPr>
          <w:rFonts w:ascii="Times New Roman" w:hAnsi="Times New Roman"/>
          <w:sz w:val="24"/>
          <w:szCs w:val="24"/>
        </w:rPr>
        <w:t>1.5.1.</w:t>
      </w:r>
      <w:r w:rsidRPr="0092398B">
        <w:rPr>
          <w:rFonts w:ascii="Times New Roman" w:hAnsi="Times New Roman"/>
          <w:sz w:val="24"/>
          <w:szCs w:val="24"/>
        </w:rPr>
        <w:tab/>
      </w:r>
      <w:r w:rsidRPr="0092398B">
        <w:rPr>
          <w:rFonts w:ascii="Times New Roman" w:hAnsi="Times New Roman"/>
          <w:sz w:val="24"/>
          <w:szCs w:val="24"/>
          <w:u w:val="single"/>
        </w:rPr>
        <w:t xml:space="preserve">Norādījumi attiecībā uz konkrētām </w:t>
      </w:r>
      <w:bookmarkEnd w:id="26"/>
      <w:bookmarkEnd w:id="27"/>
      <w:r w:rsidRPr="0092398B">
        <w:rPr>
          <w:rFonts w:ascii="Times New Roman" w:hAnsi="Times New Roman"/>
          <w:sz w:val="24"/>
          <w:szCs w:val="24"/>
          <w:u w:val="single"/>
        </w:rPr>
        <w:t>pozīcijām</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2490517B" w14:textId="77777777">
        <w:tc>
          <w:tcPr>
            <w:tcW w:w="1129" w:type="dxa"/>
            <w:shd w:val="clear" w:color="auto" w:fill="D9D9D9"/>
          </w:tcPr>
          <w:p w14:paraId="2D58E3FF"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color w:val="000000" w:themeColor="text1"/>
              </w:rPr>
              <w:t>Rinda</w:t>
            </w:r>
          </w:p>
        </w:tc>
        <w:tc>
          <w:tcPr>
            <w:tcW w:w="7620" w:type="dxa"/>
            <w:shd w:val="clear" w:color="auto" w:fill="D9D9D9"/>
          </w:tcPr>
          <w:p w14:paraId="462F6DB3"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color w:val="000000" w:themeColor="text1"/>
              </w:rPr>
              <w:t>Atsauces uz tiesību aktiem un norādījumi</w:t>
            </w:r>
          </w:p>
        </w:tc>
      </w:tr>
      <w:tr w:rsidR="007436E0" w:rsidRPr="0092398B" w14:paraId="4ED31DB2" w14:textId="77777777">
        <w:tc>
          <w:tcPr>
            <w:tcW w:w="1129" w:type="dxa"/>
          </w:tcPr>
          <w:p w14:paraId="4F92B346"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0010</w:t>
            </w:r>
          </w:p>
        </w:tc>
        <w:tc>
          <w:tcPr>
            <w:tcW w:w="7620" w:type="dxa"/>
          </w:tcPr>
          <w:p w14:paraId="49F46B3B"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Fiksēto pieskaitāmo izdevumu prasība</w:t>
            </w:r>
          </w:p>
          <w:p w14:paraId="40C2985D"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rPr>
              <w:t>Regulas (ES) 2019/2033 13. panta 1. punkts.</w:t>
            </w:r>
          </w:p>
          <w:p w14:paraId="045C1123"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Uzrādītā summa ir vismaz 25 % no gada fiksētajiem pieskaitāmajiem izdevumiem p</w:t>
            </w:r>
            <w:r w:rsidRPr="0092398B">
              <w:rPr>
                <w:rFonts w:ascii="Times New Roman" w:hAnsi="Times New Roman"/>
              </w:rPr>
              <w:t>ar iepriekšējo gadu (0020. rinda).</w:t>
            </w:r>
          </w:p>
          <w:p w14:paraId="5B0A2E06"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Gadījumos, kad ir būtiskas izmaiņas, kā minēts Regulas (ES) 2019/2033 13. panta 2. punktā, uzrādītā summa ir fiksēto pieskaitāmo izdevumu prasība, ko kompetentā iestāde noteikusi saskaņā ar minēto pantu.</w:t>
            </w:r>
          </w:p>
          <w:p w14:paraId="309492DE" w14:textId="77777777" w:rsidR="007436E0" w:rsidRPr="0092398B" w:rsidRDefault="0092398B">
            <w:pPr>
              <w:spacing w:after="120" w:line="240" w:lineRule="auto"/>
              <w:jc w:val="both"/>
              <w:rPr>
                <w:rFonts w:ascii="Times New Roman" w:hAnsi="Times New Roman" w:cs="Times New Roman"/>
              </w:rPr>
            </w:pPr>
            <w:r w:rsidRPr="0092398B">
              <w:rPr>
                <w:rFonts w:ascii="Times New Roman" w:hAnsi="Times New Roman"/>
              </w:rPr>
              <w:t>Regulas (ES) 2019</w:t>
            </w:r>
            <w:r w:rsidRPr="0092398B">
              <w:rPr>
                <w:rFonts w:ascii="Times New Roman" w:hAnsi="Times New Roman"/>
              </w:rPr>
              <w:t>/2033 13. panta 3. punktā precizētajos gadījumos uzrādāmā summa ir prognozētie fiksētie pieskaitāmie izdevumi par kārtējo gadu (0200. rinda).</w:t>
            </w:r>
          </w:p>
        </w:tc>
      </w:tr>
      <w:tr w:rsidR="007436E0" w:rsidRPr="0092398B" w14:paraId="71049A32" w14:textId="77777777">
        <w:tc>
          <w:tcPr>
            <w:tcW w:w="1129" w:type="dxa"/>
          </w:tcPr>
          <w:p w14:paraId="142727B5"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0020</w:t>
            </w:r>
          </w:p>
        </w:tc>
        <w:tc>
          <w:tcPr>
            <w:tcW w:w="7620" w:type="dxa"/>
          </w:tcPr>
          <w:p w14:paraId="3D2B0FC3"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Gada fiksētie pieskaitāmie izdevumi par iepriekšējo gadu, pēc peļņas sadales</w:t>
            </w:r>
          </w:p>
          <w:p w14:paraId="380890D8"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 xml:space="preserve">Regulas (ES) 2019/2033 </w:t>
            </w:r>
            <w:r w:rsidRPr="0092398B">
              <w:rPr>
                <w:rFonts w:ascii="Times New Roman" w:hAnsi="Times New Roman"/>
                <w:bCs/>
                <w:color w:val="000000" w:themeColor="text1"/>
              </w:rPr>
              <w:t>13. panta 1. punkts.</w:t>
            </w:r>
          </w:p>
          <w:p w14:paraId="3BA9829D" w14:textId="77777777" w:rsidR="007436E0" w:rsidRPr="0092398B" w:rsidRDefault="0092398B">
            <w:pPr>
              <w:pStyle w:val="CommentText"/>
              <w:rPr>
                <w:rFonts w:ascii="Times New Roman" w:hAnsi="Times New Roman" w:cs="Times New Roman"/>
                <w:sz w:val="22"/>
                <w:szCs w:val="22"/>
              </w:rPr>
            </w:pPr>
            <w:r w:rsidRPr="0092398B">
              <w:rPr>
                <w:rFonts w:ascii="Times New Roman" w:hAnsi="Times New Roman"/>
                <w:bCs/>
                <w:color w:val="000000" w:themeColor="text1"/>
                <w:sz w:val="22"/>
                <w:szCs w:val="22"/>
              </w:rPr>
              <w:t xml:space="preserve">Ieguldījumu brokeru sabiedrības fiksētos pieskaitāmos izdevumus par iepriekšējo gadu uzrāda pēc peļņas sadales. </w:t>
            </w:r>
          </w:p>
        </w:tc>
      </w:tr>
      <w:tr w:rsidR="007436E0" w:rsidRPr="0092398B" w14:paraId="7C4FCC6C" w14:textId="77777777">
        <w:tc>
          <w:tcPr>
            <w:tcW w:w="1129" w:type="dxa"/>
          </w:tcPr>
          <w:p w14:paraId="589C7636"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0030</w:t>
            </w:r>
          </w:p>
        </w:tc>
        <w:tc>
          <w:tcPr>
            <w:tcW w:w="7620" w:type="dxa"/>
          </w:tcPr>
          <w:p w14:paraId="056FCDD0"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Iepriekšējā gada kopējās izmaksas pēc peļņas sadales</w:t>
            </w:r>
          </w:p>
          <w:p w14:paraId="2D375006" w14:textId="77777777" w:rsidR="007436E0" w:rsidRPr="0092398B" w:rsidRDefault="0092398B">
            <w:pPr>
              <w:spacing w:after="120" w:line="240" w:lineRule="auto"/>
              <w:jc w:val="both"/>
              <w:rPr>
                <w:rFonts w:ascii="Times New Roman" w:eastAsia="Times New Roman" w:hAnsi="Times New Roman" w:cs="Times New Roman"/>
                <w:bCs/>
                <w:i/>
                <w:color w:val="000000" w:themeColor="text1"/>
              </w:rPr>
            </w:pPr>
            <w:r w:rsidRPr="0092398B">
              <w:rPr>
                <w:rFonts w:ascii="Times New Roman" w:hAnsi="Times New Roman"/>
                <w:bCs/>
              </w:rPr>
              <w:t>Regulas (ES) 2019/2033 13. panta 1. punkts.</w:t>
            </w:r>
          </w:p>
          <w:p w14:paraId="3E05B725"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 xml:space="preserve">Uzrādāmā summa ir </w:t>
            </w:r>
            <w:r w:rsidRPr="0092398B">
              <w:rPr>
                <w:rFonts w:ascii="Times New Roman" w:hAnsi="Times New Roman"/>
                <w:bCs/>
                <w:color w:val="000000" w:themeColor="text1"/>
              </w:rPr>
              <w:t>summa pēc peļņas sadales.</w:t>
            </w:r>
          </w:p>
        </w:tc>
      </w:tr>
      <w:tr w:rsidR="007436E0" w:rsidRPr="0092398B" w14:paraId="3F8EDA96" w14:textId="77777777">
        <w:tc>
          <w:tcPr>
            <w:tcW w:w="1129" w:type="dxa"/>
          </w:tcPr>
          <w:p w14:paraId="1C623E1A"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0040</w:t>
            </w:r>
          </w:p>
        </w:tc>
        <w:tc>
          <w:tcPr>
            <w:tcW w:w="7620" w:type="dxa"/>
          </w:tcPr>
          <w:p w14:paraId="7FF53073"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Tostarp: fiksētie izdevumi, kas ieguldījumu brokeru sabiedrībām radušies trešo personu vārdā</w:t>
            </w:r>
          </w:p>
          <w:p w14:paraId="7C50B724"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Cs/>
              </w:rPr>
              <w:t>Regulas (ES) 2019/2033 13. pants.</w:t>
            </w:r>
          </w:p>
        </w:tc>
      </w:tr>
      <w:tr w:rsidR="007436E0" w:rsidRPr="0092398B" w14:paraId="5BA48D8E" w14:textId="77777777">
        <w:tc>
          <w:tcPr>
            <w:tcW w:w="1129" w:type="dxa"/>
          </w:tcPr>
          <w:p w14:paraId="666485BB"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0050</w:t>
            </w:r>
          </w:p>
        </w:tc>
        <w:tc>
          <w:tcPr>
            <w:tcW w:w="7620" w:type="dxa"/>
          </w:tcPr>
          <w:p w14:paraId="396B3D96"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Atskaitījumi kopā</w:t>
            </w:r>
          </w:p>
          <w:p w14:paraId="6226777C" w14:textId="77777777" w:rsidR="007436E0" w:rsidRPr="0092398B" w:rsidRDefault="0092398B">
            <w:pPr>
              <w:pStyle w:val="NumPar1"/>
              <w:numPr>
                <w:ilvl w:val="0"/>
                <w:numId w:val="0"/>
              </w:numPr>
              <w:rPr>
                <w:sz w:val="22"/>
              </w:rPr>
            </w:pPr>
            <w:r w:rsidRPr="0092398B">
              <w:rPr>
                <w:sz w:val="22"/>
              </w:rPr>
              <w:lastRenderedPageBreak/>
              <w:t xml:space="preserve">Papildus Regulas (ES) 2019/2033 13. panta 4. punktā </w:t>
            </w:r>
            <w:r w:rsidRPr="0092398B">
              <w:rPr>
                <w:sz w:val="22"/>
              </w:rPr>
              <w:t>minētajiem atskaitīšanas posteņiem no kopējiem izdevumiem atskaita arī turpmāk norādītos posteņus, ja tie saskaņā ar attiecīgo grāmatvedības regulējumu ir iekļauti pie kopējiem izdevumiem:</w:t>
            </w:r>
          </w:p>
          <w:p w14:paraId="78C2C1A3" w14:textId="77777777" w:rsidR="007436E0" w:rsidRPr="0092398B" w:rsidRDefault="0092398B">
            <w:pPr>
              <w:pStyle w:val="Point1letter"/>
              <w:numPr>
                <w:ilvl w:val="0"/>
                <w:numId w:val="0"/>
              </w:numPr>
              <w:tabs>
                <w:tab w:val="left" w:pos="850"/>
              </w:tabs>
              <w:ind w:left="492" w:hanging="567"/>
              <w:rPr>
                <w:sz w:val="22"/>
              </w:rPr>
            </w:pPr>
            <w:r w:rsidRPr="0092398B">
              <w:rPr>
                <w:sz w:val="22"/>
              </w:rPr>
              <w:t>a)</w:t>
            </w:r>
            <w:r w:rsidRPr="0092398B">
              <w:rPr>
                <w:sz w:val="22"/>
              </w:rPr>
              <w:tab/>
              <w:t>nodevas, starpniecības un citas maksas, ko maksā centrālajiem da</w:t>
            </w:r>
            <w:r w:rsidRPr="0092398B">
              <w:rPr>
                <w:sz w:val="22"/>
              </w:rPr>
              <w:t>rījumu partneriem, biržām un citām tirdzniecības vietām un starpniecības brokeriem par darījumu izpildi, reģistrēšanu vai tīrvērti, tikai tādā gadījumā, ja tās tiek tieši nodotas tālāk un iekasētas no klientiem. Tās neietver nodevas un citas maksas, kas ne</w:t>
            </w:r>
            <w:r w:rsidRPr="0092398B">
              <w:rPr>
                <w:sz w:val="22"/>
              </w:rPr>
              <w:t>pieciešamas, lai saglabātu dalību vai citādi izpildītu zaudējumu dalīšanas finanšu saistības pret centrālajiem darījumu partneriem, biržām un citām tirdzniecības vietām;</w:t>
            </w:r>
          </w:p>
          <w:p w14:paraId="628B7223" w14:textId="77777777" w:rsidR="007436E0" w:rsidRPr="0092398B" w:rsidRDefault="0092398B">
            <w:pPr>
              <w:pStyle w:val="Point1letter"/>
              <w:numPr>
                <w:ilvl w:val="0"/>
                <w:numId w:val="0"/>
              </w:numPr>
              <w:tabs>
                <w:tab w:val="left" w:pos="850"/>
              </w:tabs>
              <w:ind w:left="492" w:hanging="567"/>
              <w:rPr>
                <w:sz w:val="22"/>
              </w:rPr>
            </w:pPr>
            <w:r w:rsidRPr="0092398B">
              <w:rPr>
                <w:sz w:val="22"/>
              </w:rPr>
              <w:t>b)</w:t>
            </w:r>
            <w:r w:rsidRPr="0092398B">
              <w:rPr>
                <w:sz w:val="22"/>
              </w:rPr>
              <w:tab/>
              <w:t>klientiem izmaksātos procentus par klienta naudu, ja nav nekāda pienākuma maksāt šā</w:t>
            </w:r>
            <w:r w:rsidRPr="0092398B">
              <w:rPr>
                <w:sz w:val="22"/>
              </w:rPr>
              <w:t>dus procentus;</w:t>
            </w:r>
          </w:p>
          <w:p w14:paraId="1AA6A686" w14:textId="77777777" w:rsidR="007436E0" w:rsidRPr="0092398B" w:rsidRDefault="0092398B">
            <w:pPr>
              <w:pStyle w:val="Point1letter"/>
              <w:numPr>
                <w:ilvl w:val="0"/>
                <w:numId w:val="0"/>
              </w:numPr>
              <w:tabs>
                <w:tab w:val="left" w:pos="850"/>
              </w:tabs>
              <w:ind w:left="492" w:hanging="567"/>
              <w:rPr>
                <w:sz w:val="22"/>
              </w:rPr>
            </w:pPr>
            <w:r w:rsidRPr="0092398B">
              <w:rPr>
                <w:sz w:val="22"/>
              </w:rPr>
              <w:t>c)</w:t>
            </w:r>
            <w:r w:rsidRPr="0092398B">
              <w:rPr>
                <w:sz w:val="22"/>
              </w:rPr>
              <w:tab/>
              <w:t>izdevumi no nodokļiem, ja tie ir maksājami saistībā ar ieguldījumu brokeru sabiedrības gada peļņu;</w:t>
            </w:r>
          </w:p>
          <w:p w14:paraId="064F152F" w14:textId="77777777" w:rsidR="007436E0" w:rsidRPr="0092398B" w:rsidRDefault="0092398B">
            <w:pPr>
              <w:pStyle w:val="Point1letter"/>
              <w:numPr>
                <w:ilvl w:val="0"/>
                <w:numId w:val="0"/>
              </w:numPr>
              <w:tabs>
                <w:tab w:val="left" w:pos="850"/>
              </w:tabs>
              <w:ind w:left="492" w:hanging="567"/>
              <w:rPr>
                <w:sz w:val="22"/>
              </w:rPr>
            </w:pPr>
            <w:r w:rsidRPr="0092398B">
              <w:rPr>
                <w:sz w:val="22"/>
              </w:rPr>
              <w:t>d)</w:t>
            </w:r>
            <w:r w:rsidRPr="0092398B">
              <w:rPr>
                <w:sz w:val="22"/>
              </w:rPr>
              <w:tab/>
              <w:t>zaudējumi, kas rodas no finanšu instrumentu tirdzniecības savā vārdā;</w:t>
            </w:r>
          </w:p>
          <w:p w14:paraId="22EC6FE3" w14:textId="77777777" w:rsidR="007436E0" w:rsidRPr="0092398B" w:rsidRDefault="0092398B">
            <w:pPr>
              <w:pStyle w:val="Point1letter"/>
              <w:numPr>
                <w:ilvl w:val="0"/>
                <w:numId w:val="0"/>
              </w:numPr>
              <w:tabs>
                <w:tab w:val="left" w:pos="850"/>
              </w:tabs>
              <w:ind w:left="492" w:hanging="567"/>
              <w:rPr>
                <w:sz w:val="22"/>
              </w:rPr>
            </w:pPr>
            <w:r w:rsidRPr="0092398B">
              <w:rPr>
                <w:sz w:val="22"/>
              </w:rPr>
              <w:t>e)</w:t>
            </w:r>
            <w:r w:rsidRPr="0092398B">
              <w:rPr>
                <w:sz w:val="22"/>
              </w:rPr>
              <w:tab/>
              <w:t>maksājumi saistībā ar līgumisku peļņu un zaudējumu nodošanas lī</w:t>
            </w:r>
            <w:r w:rsidRPr="0092398B">
              <w:rPr>
                <w:sz w:val="22"/>
              </w:rPr>
              <w:t>gumiem, saskaņā ar kuriem ieguldījumu brokeru sabiedrībai ir pienākums pēc gada finanšu pārskatu sagatavošanas nodot savu gada rezultātu mātesuzņēmumam;</w:t>
            </w:r>
          </w:p>
          <w:p w14:paraId="638D19B3" w14:textId="77777777" w:rsidR="007436E0" w:rsidRPr="0092398B" w:rsidRDefault="0092398B">
            <w:pPr>
              <w:pStyle w:val="Point1letter"/>
              <w:numPr>
                <w:ilvl w:val="0"/>
                <w:numId w:val="0"/>
              </w:numPr>
              <w:tabs>
                <w:tab w:val="left" w:pos="850"/>
              </w:tabs>
              <w:ind w:left="492" w:hanging="567"/>
              <w:rPr>
                <w:color w:val="000000" w:themeColor="text1"/>
                <w:sz w:val="22"/>
              </w:rPr>
            </w:pPr>
            <w:r w:rsidRPr="0092398B">
              <w:rPr>
                <w:color w:val="000000" w:themeColor="text1"/>
                <w:sz w:val="22"/>
              </w:rPr>
              <w:t>f)</w:t>
            </w:r>
            <w:r w:rsidRPr="0092398B">
              <w:rPr>
                <w:color w:val="000000" w:themeColor="text1"/>
                <w:sz w:val="22"/>
              </w:rPr>
              <w:tab/>
            </w:r>
            <w:r w:rsidRPr="0092398B">
              <w:rPr>
                <w:sz w:val="22"/>
              </w:rPr>
              <w:t>maksājumi rezervē vispārējiem banku riskiem saskaņā ar 26. panta 1. punkta f) apakšpunktu Regulā (ES</w:t>
            </w:r>
            <w:r w:rsidRPr="0092398B">
              <w:rPr>
                <w:sz w:val="22"/>
              </w:rPr>
              <w:t>) Nr. 575/2013;</w:t>
            </w:r>
          </w:p>
          <w:p w14:paraId="371FD7BF" w14:textId="77777777" w:rsidR="007436E0" w:rsidRPr="0092398B" w:rsidRDefault="0092398B">
            <w:pPr>
              <w:pStyle w:val="Point1letter"/>
              <w:numPr>
                <w:ilvl w:val="0"/>
                <w:numId w:val="0"/>
              </w:numPr>
              <w:tabs>
                <w:tab w:val="left" w:pos="850"/>
              </w:tabs>
              <w:ind w:left="492" w:hanging="567"/>
              <w:rPr>
                <w:rFonts w:eastAsia="Times New Roman"/>
                <w:bCs/>
                <w:color w:val="000000" w:themeColor="text1"/>
                <w:sz w:val="22"/>
              </w:rPr>
            </w:pPr>
            <w:r w:rsidRPr="0092398B">
              <w:rPr>
                <w:rFonts w:eastAsia="Times New Roman"/>
                <w:bCs/>
                <w:color w:val="000000" w:themeColor="text1"/>
                <w:sz w:val="22"/>
              </w:rPr>
              <w:t>g)</w:t>
            </w:r>
            <w:r w:rsidRPr="0092398B">
              <w:rPr>
                <w:rFonts w:eastAsia="Times New Roman"/>
                <w:bCs/>
                <w:color w:val="000000" w:themeColor="text1"/>
                <w:sz w:val="22"/>
              </w:rPr>
              <w:tab/>
            </w:r>
            <w:r w:rsidRPr="0092398B">
              <w:rPr>
                <w:sz w:val="22"/>
              </w:rPr>
              <w:t>izdevumi, kas saistīti ar posteņiem, kuri saskaņā ar Regulas (ES) 575/2013 36. panta 1. punktu jau ir atskaitīti no pašu kapitāla.</w:t>
            </w:r>
            <w:r w:rsidRPr="0092398B">
              <w:rPr>
                <w:bCs/>
                <w:color w:val="000000" w:themeColor="text1"/>
                <w:sz w:val="22"/>
              </w:rPr>
              <w:t xml:space="preserve"> </w:t>
            </w:r>
          </w:p>
        </w:tc>
      </w:tr>
      <w:tr w:rsidR="007436E0" w:rsidRPr="0092398B" w14:paraId="534AD1A9" w14:textId="77777777">
        <w:tc>
          <w:tcPr>
            <w:tcW w:w="1129" w:type="dxa"/>
          </w:tcPr>
          <w:p w14:paraId="52D77240"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lastRenderedPageBreak/>
              <w:t>0060</w:t>
            </w:r>
          </w:p>
        </w:tc>
        <w:tc>
          <w:tcPr>
            <w:tcW w:w="7620" w:type="dxa"/>
          </w:tcPr>
          <w:p w14:paraId="2E46F025"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Darbinieku prēmijas un cits atalgojums</w:t>
            </w:r>
          </w:p>
          <w:p w14:paraId="72778EAF"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 xml:space="preserve">Regulas (ES) 2019/2033 13. panta 4. punkta </w:t>
            </w:r>
            <w:r w:rsidRPr="0092398B">
              <w:rPr>
                <w:rFonts w:ascii="Times New Roman" w:hAnsi="Times New Roman"/>
                <w:bCs/>
                <w:color w:val="000000" w:themeColor="text1"/>
              </w:rPr>
              <w:t>a) apakšpunkts.</w:t>
            </w:r>
          </w:p>
          <w:p w14:paraId="6FA9C835" w14:textId="77777777" w:rsidR="007436E0" w:rsidRPr="0092398B" w:rsidRDefault="0092398B">
            <w:pPr>
              <w:pStyle w:val="NumPar1"/>
              <w:numPr>
                <w:ilvl w:val="0"/>
                <w:numId w:val="0"/>
              </w:numPr>
              <w:rPr>
                <w:sz w:val="22"/>
              </w:rPr>
            </w:pPr>
            <w:r w:rsidRPr="0092398B">
              <w:rPr>
                <w:sz w:val="22"/>
              </w:rPr>
              <w:t>Darbinieku prēmijas un citu atalgojumu uzskata par atkarīgu no ieguldījumu brokeru sabiedrības neto peļņas attiecīgajā gadā, ja ir izpildīti abi turpmāk minētie nosacījumi:</w:t>
            </w:r>
          </w:p>
          <w:p w14:paraId="5F72842D" w14:textId="77777777" w:rsidR="007436E0" w:rsidRPr="0092398B" w:rsidRDefault="0092398B">
            <w:pPr>
              <w:pStyle w:val="Point1letter"/>
              <w:numPr>
                <w:ilvl w:val="0"/>
                <w:numId w:val="0"/>
              </w:numPr>
              <w:ind w:left="634" w:hanging="567"/>
              <w:rPr>
                <w:sz w:val="22"/>
              </w:rPr>
            </w:pPr>
            <w:r w:rsidRPr="0092398B">
              <w:rPr>
                <w:sz w:val="22"/>
              </w:rPr>
              <w:t>h)</w:t>
            </w:r>
            <w:r w:rsidRPr="0092398B">
              <w:rPr>
                <w:sz w:val="22"/>
              </w:rPr>
              <w:tab/>
              <w:t xml:space="preserve">atskaitāmās darbinieku prēmijas un cits atalgojums jau ir </w:t>
            </w:r>
            <w:r w:rsidRPr="0092398B">
              <w:rPr>
                <w:sz w:val="22"/>
              </w:rPr>
              <w:t>izmaksāts darbiniekiem iepriekšējā gadā pirms maksājuma gada, vai darbinieku prēmiju vai cita atalgojuma izmaksāšana darbiniekiem neietekmēs sabiedrības kapitāla pozīciju maksājuma gadā;</w:t>
            </w:r>
          </w:p>
          <w:p w14:paraId="474593FB" w14:textId="77777777" w:rsidR="007436E0" w:rsidRPr="0092398B" w:rsidRDefault="0092398B">
            <w:pPr>
              <w:pStyle w:val="Point1letter"/>
              <w:numPr>
                <w:ilvl w:val="0"/>
                <w:numId w:val="0"/>
              </w:numPr>
              <w:ind w:left="634" w:hanging="567"/>
              <w:rPr>
                <w:rFonts w:eastAsia="Times New Roman"/>
                <w:bCs/>
                <w:color w:val="000000" w:themeColor="text1"/>
                <w:sz w:val="22"/>
              </w:rPr>
            </w:pPr>
            <w:r w:rsidRPr="0092398B">
              <w:rPr>
                <w:rFonts w:eastAsia="Times New Roman"/>
                <w:bCs/>
                <w:color w:val="000000" w:themeColor="text1"/>
                <w:sz w:val="22"/>
              </w:rPr>
              <w:t>i)</w:t>
            </w:r>
            <w:r w:rsidRPr="0092398B">
              <w:rPr>
                <w:rFonts w:eastAsia="Times New Roman"/>
                <w:bCs/>
                <w:color w:val="000000" w:themeColor="text1"/>
                <w:sz w:val="22"/>
              </w:rPr>
              <w:tab/>
            </w:r>
            <w:r w:rsidRPr="0092398B">
              <w:rPr>
                <w:sz w:val="22"/>
              </w:rPr>
              <w:t>attiecībā uz kārtējo gadu un turpmākajiem gadiem sabiedrībai nav p</w:t>
            </w:r>
            <w:r w:rsidRPr="0092398B">
              <w:rPr>
                <w:sz w:val="22"/>
              </w:rPr>
              <w:t>ienākuma piešķirt vai iedalīt turpmākas prēmijas vai citus maksājumus atalgojuma veidā, ja vien tā negūst neto peļņu minētajā gadā.</w:t>
            </w:r>
          </w:p>
        </w:tc>
      </w:tr>
      <w:tr w:rsidR="007436E0" w:rsidRPr="0092398B" w14:paraId="38E2C8FF" w14:textId="77777777">
        <w:tc>
          <w:tcPr>
            <w:tcW w:w="1129" w:type="dxa"/>
          </w:tcPr>
          <w:p w14:paraId="785A1330"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0070</w:t>
            </w:r>
          </w:p>
        </w:tc>
        <w:tc>
          <w:tcPr>
            <w:tcW w:w="7620" w:type="dxa"/>
          </w:tcPr>
          <w:p w14:paraId="329F0DA0"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Darbinieku, direktoru un partneru neto peļņas daļas</w:t>
            </w:r>
          </w:p>
          <w:p w14:paraId="1ADA9043"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Regulas (ES) 2019/2033 13. panta 4. punkta b) apakšpunkts.</w:t>
            </w:r>
          </w:p>
          <w:p w14:paraId="4DDD2BB6"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rPr>
              <w:t>Dar</w:t>
            </w:r>
            <w:r w:rsidRPr="0092398B">
              <w:rPr>
                <w:rFonts w:ascii="Times New Roman" w:hAnsi="Times New Roman"/>
              </w:rPr>
              <w:t>binieku, direktoru un partneru peļņas daļas aprēķina, pamatojoties uz neto peļņu.</w:t>
            </w:r>
          </w:p>
        </w:tc>
      </w:tr>
      <w:tr w:rsidR="007436E0" w:rsidRPr="0092398B" w14:paraId="159A6309" w14:textId="77777777">
        <w:tc>
          <w:tcPr>
            <w:tcW w:w="1129" w:type="dxa"/>
          </w:tcPr>
          <w:p w14:paraId="6F45BD58"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0080</w:t>
            </w:r>
          </w:p>
        </w:tc>
        <w:tc>
          <w:tcPr>
            <w:tcW w:w="7620" w:type="dxa"/>
          </w:tcPr>
          <w:p w14:paraId="617DC996"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Citi peļņas diskrecionārie maksājumi un atalgojuma mainīgā daļa</w:t>
            </w:r>
          </w:p>
          <w:p w14:paraId="31AB59A2"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Regulas (ES) 2019/2033 13. panta 4. punkta c) apakšpunkts.</w:t>
            </w:r>
          </w:p>
        </w:tc>
      </w:tr>
      <w:tr w:rsidR="007436E0" w:rsidRPr="0092398B" w14:paraId="1CF72053" w14:textId="77777777">
        <w:tc>
          <w:tcPr>
            <w:tcW w:w="1129" w:type="dxa"/>
          </w:tcPr>
          <w:p w14:paraId="5ED6192C"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0090</w:t>
            </w:r>
          </w:p>
        </w:tc>
        <w:tc>
          <w:tcPr>
            <w:tcW w:w="7620" w:type="dxa"/>
          </w:tcPr>
          <w:p w14:paraId="5690A312"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Dalītas maksājamās komisijas na</w:t>
            </w:r>
            <w:r w:rsidRPr="0092398B">
              <w:rPr>
                <w:rFonts w:ascii="Times New Roman" w:hAnsi="Times New Roman"/>
                <w:b/>
                <w:bCs/>
                <w:color w:val="000000" w:themeColor="text1"/>
                <w:u w:val="single"/>
              </w:rPr>
              <w:t>udas un maksas</w:t>
            </w:r>
          </w:p>
          <w:p w14:paraId="05CCCD92"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Regulas (ES) 2019/2033 13. panta 4. punkta d) apakšpunkts.</w:t>
            </w:r>
          </w:p>
        </w:tc>
      </w:tr>
      <w:tr w:rsidR="007436E0" w:rsidRPr="0092398B" w14:paraId="7EA99D14" w14:textId="77777777">
        <w:tc>
          <w:tcPr>
            <w:tcW w:w="1129" w:type="dxa"/>
          </w:tcPr>
          <w:p w14:paraId="4F9FD22A"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0100</w:t>
            </w:r>
          </w:p>
        </w:tc>
        <w:tc>
          <w:tcPr>
            <w:tcW w:w="7620" w:type="dxa"/>
          </w:tcPr>
          <w:p w14:paraId="414E7012"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Nodevas, starpniecības un citas maksas, ko maksā centrālajiem darījumu partneriem un iekasē no klientiem</w:t>
            </w:r>
          </w:p>
          <w:p w14:paraId="792E4212"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rPr>
              <w:lastRenderedPageBreak/>
              <w:t xml:space="preserve">Nodevas, starpniecības un citas maksas, ko maksā </w:t>
            </w:r>
            <w:r w:rsidRPr="0092398B">
              <w:rPr>
                <w:rFonts w:ascii="Times New Roman" w:hAnsi="Times New Roman"/>
              </w:rPr>
              <w:t>centrālajiem darījumu partneriem, biržām un citām tirdzniecības vietām un starpniecības brokeriem par darījumu izpildi, reģistrēšanu vai tīrvērti, tikai tādā gadījumā, ja tās tiek tieši nodotas tālāk un iekasētas no klientiem. Tās neietver nodevas un citas</w:t>
            </w:r>
            <w:r w:rsidRPr="0092398B">
              <w:rPr>
                <w:rFonts w:ascii="Times New Roman" w:hAnsi="Times New Roman"/>
              </w:rPr>
              <w:t xml:space="preserve"> maksas, kas nepieciešamas, lai saglabātu dalību vai citādi izpildītu zaudējumu dalīšanas finanšu saistības pret centrālajiem darījumu partneriem, biržām un citām tirdzniecības vietām.</w:t>
            </w:r>
            <w:r w:rsidRPr="0092398B">
              <w:rPr>
                <w:rFonts w:ascii="Times New Roman" w:hAnsi="Times New Roman"/>
                <w:bCs/>
                <w:color w:val="000000" w:themeColor="text1"/>
              </w:rPr>
              <w:t xml:space="preserve"> </w:t>
            </w:r>
          </w:p>
        </w:tc>
      </w:tr>
      <w:tr w:rsidR="007436E0" w:rsidRPr="0092398B" w14:paraId="1FA9FDFE" w14:textId="77777777">
        <w:tc>
          <w:tcPr>
            <w:tcW w:w="1129" w:type="dxa"/>
          </w:tcPr>
          <w:p w14:paraId="4BFC01E0"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lastRenderedPageBreak/>
              <w:t>0110</w:t>
            </w:r>
          </w:p>
        </w:tc>
        <w:tc>
          <w:tcPr>
            <w:tcW w:w="7620" w:type="dxa"/>
          </w:tcPr>
          <w:p w14:paraId="1DE0C0B9"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Maksājumi saistītajiem aģentiem</w:t>
            </w:r>
          </w:p>
          <w:p w14:paraId="524E4496"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rPr>
              <w:t>Regulas (ES) 2019/2033 13. p</w:t>
            </w:r>
            <w:r w:rsidRPr="0092398B">
              <w:rPr>
                <w:rFonts w:ascii="Times New Roman" w:hAnsi="Times New Roman"/>
                <w:bCs/>
              </w:rPr>
              <w:t>anta 4. punkta e) apakšpunkts.</w:t>
            </w:r>
          </w:p>
        </w:tc>
      </w:tr>
      <w:tr w:rsidR="007436E0" w:rsidRPr="0092398B" w14:paraId="7DEB362B" w14:textId="77777777">
        <w:tc>
          <w:tcPr>
            <w:tcW w:w="1129" w:type="dxa"/>
          </w:tcPr>
          <w:p w14:paraId="5781C866"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0130</w:t>
            </w:r>
          </w:p>
        </w:tc>
        <w:tc>
          <w:tcPr>
            <w:tcW w:w="7620" w:type="dxa"/>
          </w:tcPr>
          <w:p w14:paraId="28F1C3B4"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Vienreizējie izdevumi no neikdienišķām darbībām</w:t>
            </w:r>
          </w:p>
          <w:p w14:paraId="5DED9147"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Regulas (ES) 2019/2033 13. panta 4. punkta f) apakšpunkts.</w:t>
            </w:r>
          </w:p>
        </w:tc>
      </w:tr>
      <w:tr w:rsidR="007436E0" w:rsidRPr="0092398B" w14:paraId="4D01A493" w14:textId="77777777">
        <w:tc>
          <w:tcPr>
            <w:tcW w:w="1129" w:type="dxa"/>
          </w:tcPr>
          <w:p w14:paraId="438A069B"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0140</w:t>
            </w:r>
          </w:p>
          <w:p w14:paraId="212C533C" w14:textId="77777777" w:rsidR="007436E0" w:rsidRPr="0092398B" w:rsidRDefault="007436E0">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3C81DFFE" w14:textId="77777777" w:rsidR="007436E0" w:rsidRPr="0092398B" w:rsidRDefault="0092398B">
            <w:pPr>
              <w:spacing w:after="120" w:line="240" w:lineRule="auto"/>
              <w:jc w:val="both"/>
              <w:rPr>
                <w:rFonts w:ascii="Times New Roman" w:eastAsia="Times New Roman" w:hAnsi="Times New Roman" w:cs="Times New Roman"/>
                <w:bCs/>
                <w:color w:val="000000" w:themeColor="text1"/>
                <w:u w:val="single"/>
              </w:rPr>
            </w:pPr>
            <w:r w:rsidRPr="0092398B">
              <w:rPr>
                <w:rFonts w:ascii="Times New Roman" w:hAnsi="Times New Roman"/>
                <w:b/>
                <w:bCs/>
                <w:color w:val="000000" w:themeColor="text1"/>
                <w:u w:val="single"/>
              </w:rPr>
              <w:t>(-) Izdevumi no nodokļiem</w:t>
            </w:r>
          </w:p>
          <w:p w14:paraId="5D7AD9C8" w14:textId="77777777" w:rsidR="007436E0" w:rsidRPr="0092398B" w:rsidRDefault="0092398B">
            <w:pPr>
              <w:pStyle w:val="Point1letter"/>
              <w:numPr>
                <w:ilvl w:val="0"/>
                <w:numId w:val="0"/>
              </w:numPr>
              <w:rPr>
                <w:rFonts w:eastAsia="Times New Roman"/>
                <w:color w:val="000000" w:themeColor="text1"/>
                <w:sz w:val="22"/>
              </w:rPr>
            </w:pPr>
            <w:r w:rsidRPr="0092398B">
              <w:rPr>
                <w:sz w:val="22"/>
              </w:rPr>
              <w:t xml:space="preserve">Izdevumi no nodokļiem, ja tie ir maksājami saistībā ar </w:t>
            </w:r>
            <w:r w:rsidRPr="0092398B">
              <w:rPr>
                <w:sz w:val="22"/>
              </w:rPr>
              <w:t>ieguldījumu brokeru sabiedrības gada peļņu.</w:t>
            </w:r>
          </w:p>
        </w:tc>
      </w:tr>
      <w:tr w:rsidR="007436E0" w:rsidRPr="0092398B" w14:paraId="3DF156FE" w14:textId="77777777">
        <w:tc>
          <w:tcPr>
            <w:tcW w:w="1129" w:type="dxa"/>
          </w:tcPr>
          <w:p w14:paraId="531369DA"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0150</w:t>
            </w:r>
          </w:p>
        </w:tc>
        <w:tc>
          <w:tcPr>
            <w:tcW w:w="7620" w:type="dxa"/>
          </w:tcPr>
          <w:p w14:paraId="2AD0B0DB"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Zaudējumi, kas rodas no finanšu instrumentu tirdzniecības savā vārdā</w:t>
            </w:r>
          </w:p>
          <w:p w14:paraId="231D812D"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Definīcija nav nepieciešama.</w:t>
            </w:r>
          </w:p>
        </w:tc>
      </w:tr>
      <w:tr w:rsidR="007436E0" w:rsidRPr="0092398B" w14:paraId="276E00ED" w14:textId="77777777">
        <w:tc>
          <w:tcPr>
            <w:tcW w:w="1129" w:type="dxa"/>
          </w:tcPr>
          <w:p w14:paraId="6EA3183A"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0160</w:t>
            </w:r>
          </w:p>
        </w:tc>
        <w:tc>
          <w:tcPr>
            <w:tcW w:w="7620" w:type="dxa"/>
          </w:tcPr>
          <w:p w14:paraId="01E54DA1"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Līgumiska peļņa un zaudējumu nodošanas līgumi</w:t>
            </w:r>
          </w:p>
          <w:p w14:paraId="54DFC3F9"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rPr>
              <w:t xml:space="preserve">Maksājumi saistībā ar līgumisku peļņu un zaudējumu nodošanas līgumiem, saskaņā ar kuriem ieguldījumu brokeru sabiedrībai ir pienākums pēc gada finanšu pārskatu sagatavošanas nodot savu gada rezultātu mātesuzņēmumam. </w:t>
            </w:r>
          </w:p>
        </w:tc>
      </w:tr>
      <w:tr w:rsidR="007436E0" w:rsidRPr="0092398B" w14:paraId="5688EB26" w14:textId="77777777">
        <w:tc>
          <w:tcPr>
            <w:tcW w:w="1129" w:type="dxa"/>
          </w:tcPr>
          <w:p w14:paraId="422649EE"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0170</w:t>
            </w:r>
          </w:p>
        </w:tc>
        <w:tc>
          <w:tcPr>
            <w:tcW w:w="7620" w:type="dxa"/>
          </w:tcPr>
          <w:p w14:paraId="51EF1463"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Izdevumi par izejvielām</w:t>
            </w:r>
          </w:p>
          <w:p w14:paraId="5BEE0D81"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bookmarkStart w:id="32" w:name="_Toc38271703"/>
            <w:r w:rsidRPr="0092398B">
              <w:rPr>
                <w:rFonts w:ascii="Times New Roman" w:hAnsi="Times New Roman"/>
                <w:bCs/>
                <w:color w:val="000000" w:themeColor="text1"/>
              </w:rPr>
              <w:t>Preču</w:t>
            </w:r>
            <w:r w:rsidRPr="0092398B">
              <w:rPr>
                <w:rFonts w:ascii="Times New Roman" w:hAnsi="Times New Roman"/>
                <w:bCs/>
                <w:color w:val="000000" w:themeColor="text1"/>
              </w:rPr>
              <w:t xml:space="preserve"> un emisijas kvotu dīleri var atskaitīt izdevumus par izejvielām, kas saistīti ar ieguldījumu brokeru sabiedrību, kura tirgojas ar pamatā esošās preces atvasinātajiem instrumentiem.</w:t>
            </w:r>
            <w:bookmarkEnd w:id="32"/>
          </w:p>
        </w:tc>
      </w:tr>
      <w:tr w:rsidR="007436E0" w:rsidRPr="0092398B" w14:paraId="3CB997A0" w14:textId="77777777">
        <w:tc>
          <w:tcPr>
            <w:tcW w:w="1129" w:type="dxa"/>
          </w:tcPr>
          <w:p w14:paraId="5DB1F01D"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0180</w:t>
            </w:r>
          </w:p>
        </w:tc>
        <w:tc>
          <w:tcPr>
            <w:tcW w:w="7620" w:type="dxa"/>
          </w:tcPr>
          <w:p w14:paraId="0E55642D"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Maksājumi rezervē vispārējiem banku riskiem</w:t>
            </w:r>
          </w:p>
          <w:p w14:paraId="7CF0CB71"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Cs/>
              </w:rPr>
              <w:t>Maksājumi rezervē vi</w:t>
            </w:r>
            <w:r w:rsidRPr="0092398B">
              <w:rPr>
                <w:rFonts w:ascii="Times New Roman" w:hAnsi="Times New Roman"/>
                <w:bCs/>
              </w:rPr>
              <w:t>spārējiem banku riskiem saskaņā ar 26. panta 1. punkta f) apakšpunktu Regulā (ES) Nr. 575/2013.</w:t>
            </w:r>
          </w:p>
        </w:tc>
      </w:tr>
      <w:tr w:rsidR="007436E0" w:rsidRPr="0092398B" w14:paraId="1B35F788" w14:textId="77777777">
        <w:tc>
          <w:tcPr>
            <w:tcW w:w="1129" w:type="dxa"/>
          </w:tcPr>
          <w:p w14:paraId="36FAAC6B"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0190</w:t>
            </w:r>
          </w:p>
        </w:tc>
        <w:tc>
          <w:tcPr>
            <w:tcW w:w="7620" w:type="dxa"/>
          </w:tcPr>
          <w:p w14:paraId="49B54FCD"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Izdevumi, kas saistīti ar posteņiem, kuri jau ir atskaitīti no pašu kapitāla</w:t>
            </w:r>
          </w:p>
          <w:p w14:paraId="4BC33786"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Cs/>
              </w:rPr>
              <w:t xml:space="preserve">Izdevumi, kas saistīti ar posteņiem, kuri saskaņā ar Regulas (ES) </w:t>
            </w:r>
            <w:r w:rsidRPr="0092398B">
              <w:rPr>
                <w:rFonts w:ascii="Times New Roman" w:hAnsi="Times New Roman"/>
                <w:bCs/>
              </w:rPr>
              <w:t>575/2013 36. panta 1. punktu jau ir atskaitīti no pašu kapitāla.</w:t>
            </w:r>
          </w:p>
        </w:tc>
      </w:tr>
      <w:tr w:rsidR="007436E0" w:rsidRPr="0092398B" w14:paraId="4AE9D7AB" w14:textId="77777777">
        <w:tc>
          <w:tcPr>
            <w:tcW w:w="1129" w:type="dxa"/>
          </w:tcPr>
          <w:p w14:paraId="0065ECCF"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0200</w:t>
            </w:r>
          </w:p>
        </w:tc>
        <w:tc>
          <w:tcPr>
            <w:tcW w:w="7620" w:type="dxa"/>
          </w:tcPr>
          <w:p w14:paraId="613A70DA"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Prognozētie fiksētie pieskaitāmie izdevumi par kārtējo gadu</w:t>
            </w:r>
          </w:p>
          <w:p w14:paraId="1A08491F"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Prognoze par fiksētajiem pieskaitāmajiem izdevumiem par kārtējo gadu pēc peļņas sadales.</w:t>
            </w:r>
          </w:p>
        </w:tc>
      </w:tr>
      <w:tr w:rsidR="007436E0" w:rsidRPr="0092398B" w14:paraId="41CFDD8E" w14:textId="77777777">
        <w:tc>
          <w:tcPr>
            <w:tcW w:w="1129" w:type="dxa"/>
          </w:tcPr>
          <w:p w14:paraId="080397D0"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0210</w:t>
            </w:r>
          </w:p>
        </w:tc>
        <w:tc>
          <w:tcPr>
            <w:tcW w:w="7620" w:type="dxa"/>
          </w:tcPr>
          <w:p w14:paraId="0CE3AE21" w14:textId="77777777" w:rsidR="007436E0" w:rsidRPr="0092398B" w:rsidRDefault="0092398B">
            <w:pPr>
              <w:spacing w:after="120" w:line="240" w:lineRule="auto"/>
              <w:jc w:val="both"/>
              <w:rPr>
                <w:rFonts w:ascii="Times New Roman" w:eastAsia="Times New Roman" w:hAnsi="Times New Roman" w:cs="Times New Roman"/>
                <w:b/>
                <w:bCs/>
                <w:color w:val="000000" w:themeColor="text1"/>
                <w:u w:val="single"/>
              </w:rPr>
            </w:pPr>
            <w:r w:rsidRPr="0092398B">
              <w:rPr>
                <w:rFonts w:ascii="Times New Roman" w:hAnsi="Times New Roman"/>
                <w:b/>
                <w:bCs/>
                <w:color w:val="000000" w:themeColor="text1"/>
                <w:u w:val="single"/>
              </w:rPr>
              <w:t xml:space="preserve">Fiksēto pieskaitāmo </w:t>
            </w:r>
            <w:r w:rsidRPr="0092398B">
              <w:rPr>
                <w:rFonts w:ascii="Times New Roman" w:hAnsi="Times New Roman"/>
                <w:b/>
                <w:bCs/>
                <w:color w:val="000000" w:themeColor="text1"/>
                <w:u w:val="single"/>
              </w:rPr>
              <w:t>izdevumu variācija (%)</w:t>
            </w:r>
          </w:p>
          <w:p w14:paraId="159BD7DF"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Summu uzrāda kā šādu elementu absolūto vērtību:</w:t>
            </w:r>
          </w:p>
          <w:p w14:paraId="16B53C1D" w14:textId="77777777" w:rsidR="007436E0" w:rsidRPr="0092398B" w:rsidRDefault="0092398B">
            <w:pPr>
              <w:spacing w:after="120" w:line="240" w:lineRule="auto"/>
              <w:jc w:val="both"/>
              <w:rPr>
                <w:rFonts w:ascii="Times New Roman" w:eastAsia="Times New Roman" w:hAnsi="Times New Roman" w:cs="Times New Roman"/>
                <w:bCs/>
                <w:color w:val="000000" w:themeColor="text1"/>
              </w:rPr>
            </w:pPr>
            <w:r w:rsidRPr="0092398B">
              <w:rPr>
                <w:rFonts w:ascii="Times New Roman" w:hAnsi="Times New Roman"/>
                <w:bCs/>
                <w:color w:val="000000" w:themeColor="text1"/>
              </w:rPr>
              <w:t>[(Gada fiksētie pieskaitāmie izdevumi par kārtējo gadu) – (Prognozētie fiksētie pieskaitāmie izdevumi par iepriekšējo gadu)/(Gada fiksētie pieskaitāmie izdevumi par iepriekšējo gadu)]</w:t>
            </w:r>
          </w:p>
        </w:tc>
      </w:tr>
    </w:tbl>
    <w:p w14:paraId="5E737331" w14:textId="77777777" w:rsidR="007436E0" w:rsidRPr="0092398B" w:rsidRDefault="007436E0">
      <w:pPr>
        <w:spacing w:after="120" w:line="240" w:lineRule="auto"/>
        <w:jc w:val="both"/>
        <w:rPr>
          <w:rFonts w:ascii="Times New Roman" w:eastAsia="Times New Roman" w:hAnsi="Times New Roman" w:cs="Times New Roman"/>
          <w:sz w:val="24"/>
          <w:szCs w:val="24"/>
          <w:lang w:eastAsia="de-DE"/>
        </w:rPr>
      </w:pPr>
    </w:p>
    <w:p w14:paraId="0E16FA24" w14:textId="77777777" w:rsidR="007436E0" w:rsidRPr="0092398B" w:rsidRDefault="0092398B">
      <w:pPr>
        <w:pStyle w:val="Instructionsberschrift2"/>
        <w:ind w:left="357" w:hanging="357"/>
        <w:rPr>
          <w:rFonts w:ascii="Times New Roman" w:hAnsi="Times New Roman" w:cs="Times New Roman"/>
          <w:sz w:val="24"/>
          <w:u w:val="none"/>
        </w:rPr>
      </w:pPr>
      <w:bookmarkStart w:id="33" w:name="_Toc88141801"/>
      <w:r w:rsidRPr="0092398B">
        <w:rPr>
          <w:rFonts w:ascii="Times New Roman" w:hAnsi="Times New Roman"/>
          <w:sz w:val="24"/>
          <w:u w:val="none"/>
        </w:rPr>
        <w:lastRenderedPageBreak/>
        <w:t>2. NELIELAS UN SAVSTARPĒJI NESAISTĪTAS IEGULDĪJUMU BROKERU SABIEDRĪBAS</w:t>
      </w:r>
      <w:bookmarkEnd w:id="33"/>
    </w:p>
    <w:p w14:paraId="2286FAAA"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141802"/>
      <w:bookmarkStart w:id="37" w:name="_Toc308175823"/>
      <w:bookmarkStart w:id="38" w:name="_Toc360188327"/>
      <w:r w:rsidRPr="0092398B">
        <w:rPr>
          <w:rFonts w:ascii="Times New Roman" w:hAnsi="Times New Roman"/>
          <w:sz w:val="24"/>
          <w:szCs w:val="24"/>
        </w:rPr>
        <w:t>2.1.</w:t>
      </w:r>
      <w:r w:rsidRPr="0092398B">
        <w:tab/>
      </w:r>
      <w:r w:rsidRPr="0092398B">
        <w:rPr>
          <w:rFonts w:ascii="Times New Roman" w:hAnsi="Times New Roman"/>
          <w:sz w:val="24"/>
          <w:szCs w:val="24"/>
          <w:u w:val="single"/>
        </w:rPr>
        <w:t>I 05.00 – AKTIVITĀTES LĪMENIS – ROBEŽVĒRTĪBAS PĀRSKATĪŠANA (I 5)</w:t>
      </w:r>
      <w:bookmarkEnd w:id="34"/>
      <w:bookmarkEnd w:id="35"/>
      <w:bookmarkEnd w:id="36"/>
      <w:bookmarkEnd w:id="37"/>
      <w:bookmarkEnd w:id="38"/>
    </w:p>
    <w:p w14:paraId="2F4B1F74"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141803"/>
      <w:r w:rsidRPr="0092398B">
        <w:rPr>
          <w:rFonts w:ascii="Times New Roman" w:hAnsi="Times New Roman"/>
          <w:sz w:val="24"/>
          <w:szCs w:val="24"/>
        </w:rPr>
        <w:t>2.1.1.</w:t>
      </w:r>
      <w:r w:rsidRPr="0092398B">
        <w:tab/>
      </w:r>
      <w:bookmarkStart w:id="44" w:name="_Toc308175824"/>
      <w:r w:rsidRPr="0092398B">
        <w:rPr>
          <w:rFonts w:ascii="Times New Roman" w:hAnsi="Times New Roman"/>
          <w:sz w:val="24"/>
          <w:szCs w:val="24"/>
          <w:u w:val="single"/>
        </w:rPr>
        <w:t xml:space="preserve">Norādījumi attiecībā uz konkrētām </w:t>
      </w:r>
      <w:bookmarkEnd w:id="44"/>
      <w:bookmarkEnd w:id="39"/>
      <w:r w:rsidRPr="0092398B">
        <w:rPr>
          <w:rFonts w:ascii="Times New Roman" w:hAnsi="Times New Roman"/>
          <w:sz w:val="24"/>
          <w:szCs w:val="24"/>
          <w:u w:val="single"/>
        </w:rPr>
        <w:t>pozīcijām</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12ADCF0A" w14:textId="77777777">
        <w:tc>
          <w:tcPr>
            <w:tcW w:w="1129" w:type="dxa"/>
            <w:shd w:val="clear" w:color="auto" w:fill="D9D9D9"/>
          </w:tcPr>
          <w:p w14:paraId="70027AD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Rinda</w:t>
            </w:r>
          </w:p>
        </w:tc>
        <w:tc>
          <w:tcPr>
            <w:tcW w:w="7620" w:type="dxa"/>
            <w:shd w:val="clear" w:color="auto" w:fill="D9D9D9"/>
          </w:tcPr>
          <w:p w14:paraId="2A301BF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Atsauces uz tiesību aktiem un norādījumi</w:t>
            </w:r>
          </w:p>
        </w:tc>
      </w:tr>
      <w:tr w:rsidR="007436E0" w:rsidRPr="0092398B" w14:paraId="059B1C04" w14:textId="77777777">
        <w:tc>
          <w:tcPr>
            <w:tcW w:w="1129" w:type="dxa"/>
          </w:tcPr>
          <w:p w14:paraId="30EC733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0010</w:t>
            </w:r>
          </w:p>
        </w:tc>
        <w:tc>
          <w:tcPr>
            <w:tcW w:w="7620" w:type="dxa"/>
          </w:tcPr>
          <w:p w14:paraId="7A0D1B3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(Kombinēti) aktīvi pārvaldīšanā</w:t>
            </w:r>
          </w:p>
          <w:p w14:paraId="63D9C7B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a) apakšpunkts.</w:t>
            </w:r>
          </w:p>
          <w:p w14:paraId="34CFEDA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Ja pārskata sniedzēja ieguldījumu brokeru sabiedrība ir daļa no grupas, uzrādīto vērtību nosaka kombinēti visām ieguldījumu brokeru sabiedrībām, kuras ir daļa no gru</w:t>
            </w:r>
            <w:r w:rsidRPr="0092398B">
              <w:rPr>
                <w:rFonts w:ascii="Times New Roman" w:hAnsi="Times New Roman"/>
                <w:bCs/>
              </w:rPr>
              <w:t>pas saskaņā ar Regulas (ES) 2019/2033 12. panta 2. punktu.</w:t>
            </w:r>
          </w:p>
          <w:p w14:paraId="27DC292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Ieguldījumu brokeru sabiedrības ietver diskrecionārus un nediskrecionārus aktīvus pārvaldīšanā.</w:t>
            </w:r>
          </w:p>
          <w:p w14:paraId="4422C98E"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Uzrādītā summa ir summa, ko izmantotu K-faktoru aprēķināšanai pirms attiecīgo koeficientu piemērošana</w:t>
            </w:r>
            <w:r w:rsidRPr="0092398B">
              <w:rPr>
                <w:rFonts w:ascii="Times New Roman" w:hAnsi="Times New Roman"/>
                <w:bCs/>
              </w:rPr>
              <w:t>s.</w:t>
            </w:r>
          </w:p>
        </w:tc>
      </w:tr>
      <w:tr w:rsidR="007436E0" w:rsidRPr="0092398B" w14:paraId="458F036C" w14:textId="77777777">
        <w:tc>
          <w:tcPr>
            <w:tcW w:w="1129" w:type="dxa"/>
          </w:tcPr>
          <w:p w14:paraId="2A8E673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0020</w:t>
            </w:r>
          </w:p>
        </w:tc>
        <w:tc>
          <w:tcPr>
            <w:tcW w:w="7620" w:type="dxa"/>
          </w:tcPr>
          <w:p w14:paraId="341BB2A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(Kombinēti) apstrādātie klientu rīkojumi – naudas darījumi</w:t>
            </w:r>
          </w:p>
          <w:p w14:paraId="25A1978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b) apakšpunkta i) punkts.</w:t>
            </w:r>
          </w:p>
          <w:p w14:paraId="433F986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Ja pārskata sniedzēja ieguldījumu brokeru sabiedrība ir daļa no grupas, uzrādīto vērtību nosaka kombinēti visām </w:t>
            </w:r>
            <w:r w:rsidRPr="0092398B">
              <w:rPr>
                <w:rFonts w:ascii="Times New Roman" w:hAnsi="Times New Roman"/>
                <w:bCs/>
              </w:rPr>
              <w:t>ieguldījumu brokeru sabiedrībām, kuras ir daļa no grupas saskaņā ar Regulas (ES) 2019/2033 12. panta 2. punktu.</w:t>
            </w:r>
          </w:p>
          <w:p w14:paraId="79C63FE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aprēķināšanai pirms attiecīgo koeficientu piemērošanas.</w:t>
            </w:r>
          </w:p>
        </w:tc>
      </w:tr>
      <w:tr w:rsidR="007436E0" w:rsidRPr="0092398B" w14:paraId="2F83A6B0" w14:textId="77777777">
        <w:tc>
          <w:tcPr>
            <w:tcW w:w="1129" w:type="dxa"/>
          </w:tcPr>
          <w:p w14:paraId="1A83133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0030</w:t>
            </w:r>
          </w:p>
        </w:tc>
        <w:tc>
          <w:tcPr>
            <w:tcW w:w="7620" w:type="dxa"/>
          </w:tcPr>
          <w:p w14:paraId="3183E0D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(Kombinēti) apstrādātie klientu rī</w:t>
            </w:r>
            <w:r w:rsidRPr="0092398B">
              <w:rPr>
                <w:rFonts w:ascii="Times New Roman" w:hAnsi="Times New Roman"/>
                <w:b/>
                <w:bCs/>
                <w:u w:val="single"/>
              </w:rPr>
              <w:t>kojumi – atvasinātie instrumenti</w:t>
            </w:r>
          </w:p>
          <w:p w14:paraId="2B549D9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b) apakšpunkta i) punkts.</w:t>
            </w:r>
          </w:p>
          <w:p w14:paraId="682ED11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Ja pārskata sniedzēja ieguldījumu brokeru sabiedrība ir daļa no grupas, uzrādīto vērtību nosaka kombinēti visām ieguldījumu brokeru sabiedrībām, kuras ir </w:t>
            </w:r>
            <w:r w:rsidRPr="0092398B">
              <w:rPr>
                <w:rFonts w:ascii="Times New Roman" w:hAnsi="Times New Roman"/>
                <w:bCs/>
              </w:rPr>
              <w:t>daļa no grupas saskaņā ar Regulas (ES) 2019/2033 12. panta 2. punktu.</w:t>
            </w:r>
          </w:p>
          <w:p w14:paraId="67186FBD"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aprēķināšanai pirms attiecīgo koeficientu piemērošanas.</w:t>
            </w:r>
          </w:p>
        </w:tc>
      </w:tr>
      <w:tr w:rsidR="007436E0" w:rsidRPr="0092398B" w14:paraId="7DA5AE92" w14:textId="77777777">
        <w:tc>
          <w:tcPr>
            <w:tcW w:w="1129" w:type="dxa"/>
          </w:tcPr>
          <w:p w14:paraId="689E7F8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0040</w:t>
            </w:r>
          </w:p>
        </w:tc>
        <w:tc>
          <w:tcPr>
            <w:tcW w:w="7620" w:type="dxa"/>
          </w:tcPr>
          <w:p w14:paraId="238F7D3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Aktīvi, kurus glabā un pārvalda</w:t>
            </w:r>
          </w:p>
          <w:p w14:paraId="52C2932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c</w:t>
            </w:r>
            <w:r w:rsidRPr="0092398B">
              <w:rPr>
                <w:rFonts w:ascii="Times New Roman" w:hAnsi="Times New Roman"/>
                <w:bCs/>
              </w:rPr>
              <w:t>) apakšpunkts.</w:t>
            </w:r>
          </w:p>
          <w:p w14:paraId="0D93E43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aprēķināšanai pirms attiecīgo koeficientu piemērošanas.</w:t>
            </w:r>
          </w:p>
        </w:tc>
      </w:tr>
      <w:tr w:rsidR="007436E0" w:rsidRPr="0092398B" w14:paraId="7585AC49" w14:textId="77777777">
        <w:tc>
          <w:tcPr>
            <w:tcW w:w="1129" w:type="dxa"/>
          </w:tcPr>
          <w:p w14:paraId="58270C8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0050</w:t>
            </w:r>
          </w:p>
        </w:tc>
        <w:tc>
          <w:tcPr>
            <w:tcW w:w="7620" w:type="dxa"/>
          </w:tcPr>
          <w:p w14:paraId="6D1869B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Turētā klientu nauda</w:t>
            </w:r>
          </w:p>
          <w:p w14:paraId="5C9B6C3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d) apakšpunkts.</w:t>
            </w:r>
          </w:p>
          <w:p w14:paraId="519252F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w:t>
            </w:r>
            <w:r w:rsidRPr="0092398B">
              <w:rPr>
                <w:rFonts w:ascii="Times New Roman" w:hAnsi="Times New Roman"/>
                <w:bCs/>
              </w:rPr>
              <w:t>ēķināšanai pirms attiecīgo koeficientu piemērošanas.</w:t>
            </w:r>
          </w:p>
        </w:tc>
      </w:tr>
      <w:tr w:rsidR="007436E0" w:rsidRPr="0092398B" w14:paraId="1CDA167B" w14:textId="77777777">
        <w:tc>
          <w:tcPr>
            <w:tcW w:w="1129" w:type="dxa"/>
          </w:tcPr>
          <w:p w14:paraId="242F759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0060</w:t>
            </w:r>
          </w:p>
        </w:tc>
        <w:tc>
          <w:tcPr>
            <w:tcW w:w="7620" w:type="dxa"/>
          </w:tcPr>
          <w:p w14:paraId="4BBDF7B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Dienas tirdzniecības plūsma – naudas darījumi un darījumi ar atvasinātajiem instrumentiem</w:t>
            </w:r>
          </w:p>
          <w:p w14:paraId="51D42E1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e) apakšpunkts.</w:t>
            </w:r>
          </w:p>
          <w:p w14:paraId="53F9450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 xml:space="preserve">Uzrādītā summa ir summa, ko izmantotu </w:t>
            </w:r>
            <w:r w:rsidRPr="0092398B">
              <w:rPr>
                <w:rFonts w:ascii="Times New Roman" w:hAnsi="Times New Roman"/>
                <w:bCs/>
              </w:rPr>
              <w:t>K-faktoru aprēķināšanai pirms attiecīgo koeficientu piemērošanas.</w:t>
            </w:r>
          </w:p>
        </w:tc>
      </w:tr>
      <w:tr w:rsidR="007436E0" w:rsidRPr="0092398B" w14:paraId="093468E8" w14:textId="77777777">
        <w:tc>
          <w:tcPr>
            <w:tcW w:w="1129" w:type="dxa"/>
          </w:tcPr>
          <w:p w14:paraId="759D269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0070</w:t>
            </w:r>
          </w:p>
        </w:tc>
        <w:tc>
          <w:tcPr>
            <w:tcW w:w="7620" w:type="dxa"/>
          </w:tcPr>
          <w:p w14:paraId="28DECB7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Neto pozīcijas risks</w:t>
            </w:r>
          </w:p>
          <w:p w14:paraId="062FA4A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f) apakšpunkts.</w:t>
            </w:r>
          </w:p>
          <w:p w14:paraId="6CCCD5D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aprēķināšanai pirms attiecīgo koeficientu piemērošanas.</w:t>
            </w:r>
          </w:p>
        </w:tc>
      </w:tr>
      <w:tr w:rsidR="007436E0" w:rsidRPr="0092398B" w14:paraId="1AE9E8F4" w14:textId="77777777">
        <w:tc>
          <w:tcPr>
            <w:tcW w:w="1129" w:type="dxa"/>
          </w:tcPr>
          <w:p w14:paraId="3AA950F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0080</w:t>
            </w:r>
          </w:p>
        </w:tc>
        <w:tc>
          <w:tcPr>
            <w:tcW w:w="7620" w:type="dxa"/>
          </w:tcPr>
          <w:p w14:paraId="0C94E96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Sniegtā tīrvērtes drošības rezerve</w:t>
            </w:r>
          </w:p>
          <w:p w14:paraId="47CAF90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f) apakšpunkts.</w:t>
            </w:r>
          </w:p>
          <w:p w14:paraId="50C11906" w14:textId="77777777" w:rsidR="007436E0" w:rsidRPr="0092398B" w:rsidRDefault="0092398B">
            <w:pPr>
              <w:spacing w:after="120" w:line="240" w:lineRule="auto"/>
              <w:jc w:val="both"/>
              <w:rPr>
                <w:rFonts w:ascii="Times New Roman" w:eastAsia="Times New Roman" w:hAnsi="Times New Roman" w:cs="Times New Roman"/>
                <w:b/>
                <w:bCs/>
              </w:rPr>
            </w:pPr>
            <w:r w:rsidRPr="0092398B">
              <w:rPr>
                <w:rFonts w:ascii="Times New Roman" w:hAnsi="Times New Roman"/>
                <w:bCs/>
              </w:rPr>
              <w:t>Uzrādītā summa ir summa, ko izmantotu K-faktoru aprēķināšanai pirms attiecīgo koeficientu piemērošanas.</w:t>
            </w:r>
          </w:p>
        </w:tc>
      </w:tr>
      <w:tr w:rsidR="007436E0" w:rsidRPr="0092398B" w14:paraId="48ED5BBF" w14:textId="77777777">
        <w:tc>
          <w:tcPr>
            <w:tcW w:w="1129" w:type="dxa"/>
          </w:tcPr>
          <w:p w14:paraId="1A9A901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0090</w:t>
            </w:r>
          </w:p>
        </w:tc>
        <w:tc>
          <w:tcPr>
            <w:tcW w:w="7620" w:type="dxa"/>
          </w:tcPr>
          <w:p w14:paraId="369685B8"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Tirdzniecības darījuma partnera </w:t>
            </w:r>
            <w:r w:rsidRPr="0092398B">
              <w:rPr>
                <w:rFonts w:ascii="Times New Roman" w:hAnsi="Times New Roman"/>
                <w:b/>
                <w:bCs/>
                <w:u w:val="single"/>
              </w:rPr>
              <w:t>saistību nepildīšana</w:t>
            </w:r>
          </w:p>
          <w:p w14:paraId="4794A2A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g) apakšpunkts.</w:t>
            </w:r>
          </w:p>
          <w:p w14:paraId="2C3002E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summa ir summa, ko izmantotu K-faktoru aprēķināšanai pirms attiecīgo koeficientu piemērošanas.</w:t>
            </w:r>
          </w:p>
        </w:tc>
      </w:tr>
      <w:tr w:rsidR="007436E0" w:rsidRPr="0092398B" w14:paraId="2511E486" w14:textId="77777777">
        <w:tc>
          <w:tcPr>
            <w:tcW w:w="1129" w:type="dxa"/>
          </w:tcPr>
          <w:p w14:paraId="54E58ED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0100</w:t>
            </w:r>
          </w:p>
        </w:tc>
        <w:tc>
          <w:tcPr>
            <w:tcW w:w="7620" w:type="dxa"/>
          </w:tcPr>
          <w:p w14:paraId="05A4DF5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(Kombinēti) bilance un ārpusbilance kopā</w:t>
            </w:r>
          </w:p>
          <w:p w14:paraId="2119BAC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w:t>
            </w:r>
            <w:r w:rsidRPr="0092398B">
              <w:rPr>
                <w:rFonts w:ascii="Times New Roman" w:hAnsi="Times New Roman"/>
                <w:bCs/>
              </w:rPr>
              <w:t>2019/2033 12. panta 1. punkta h) apakšpunkts.</w:t>
            </w:r>
          </w:p>
          <w:p w14:paraId="731FC69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Ja pārskata sniedzēja ieguldījumu brokeru sabiedrība ir daļa no grupas, uzrādīto vērtību nosaka kombinēti visām ieguldījumu brokeru sabiedrībām, kuras ir daļa no grupas saskaņā ar Regulas (ES) 2019/2033 12. pan</w:t>
            </w:r>
            <w:r w:rsidRPr="0092398B">
              <w:rPr>
                <w:rFonts w:ascii="Times New Roman" w:hAnsi="Times New Roman"/>
                <w:bCs/>
              </w:rPr>
              <w:t>ta 2. punktu.</w:t>
            </w:r>
          </w:p>
        </w:tc>
      </w:tr>
      <w:tr w:rsidR="007436E0" w:rsidRPr="0092398B" w14:paraId="29941413" w14:textId="77777777">
        <w:tc>
          <w:tcPr>
            <w:tcW w:w="1129" w:type="dxa"/>
          </w:tcPr>
          <w:p w14:paraId="3A78AA8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0110</w:t>
            </w:r>
          </w:p>
        </w:tc>
        <w:tc>
          <w:tcPr>
            <w:tcW w:w="7620" w:type="dxa"/>
          </w:tcPr>
          <w:p w14:paraId="4233635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(Kombinēti) kopējie gada bruto ieņēmumi</w:t>
            </w:r>
          </w:p>
          <w:p w14:paraId="48781B4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12. panta 1. punkta i) apakšpunkts.</w:t>
            </w:r>
          </w:p>
          <w:p w14:paraId="42BBAF5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Ja pārskata sniedzēja ieguldījumu brokeru sabiedrība ir daļa no grupas, uzrādīto vērtību nosaka </w:t>
            </w:r>
            <w:r w:rsidRPr="0092398B">
              <w:rPr>
                <w:rFonts w:ascii="Times New Roman" w:hAnsi="Times New Roman"/>
                <w:bCs/>
                <w:u w:val="single"/>
              </w:rPr>
              <w:t>kombinēti</w:t>
            </w:r>
            <w:r w:rsidRPr="0092398B">
              <w:rPr>
                <w:rFonts w:ascii="Times New Roman" w:hAnsi="Times New Roman"/>
                <w:bCs/>
              </w:rPr>
              <w:t xml:space="preserve"> visām ieguldījumu brokeru sabie</w:t>
            </w:r>
            <w:r w:rsidRPr="0092398B">
              <w:rPr>
                <w:rFonts w:ascii="Times New Roman" w:hAnsi="Times New Roman"/>
                <w:bCs/>
              </w:rPr>
              <w:t>drībām, kuras ir daļa no grupas saskaņā ar Regulas (ES) 2019/2033 12. panta 2. punktu.</w:t>
            </w:r>
          </w:p>
          <w:p w14:paraId="35416A3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Uzrādītā vērtība ir (0120. rinda + 0130. rinda). </w:t>
            </w:r>
          </w:p>
        </w:tc>
      </w:tr>
      <w:tr w:rsidR="007436E0" w:rsidRPr="0092398B" w14:paraId="784BAF7C" w14:textId="77777777">
        <w:tc>
          <w:tcPr>
            <w:tcW w:w="1129" w:type="dxa"/>
          </w:tcPr>
          <w:p w14:paraId="30D2E5C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0120</w:t>
            </w:r>
          </w:p>
        </w:tc>
        <w:tc>
          <w:tcPr>
            <w:tcW w:w="7620" w:type="dxa"/>
          </w:tcPr>
          <w:p w14:paraId="25C705E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Kopējie gada bruto ieņēmumi</w:t>
            </w:r>
          </w:p>
          <w:p w14:paraId="5F3B12C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 xml:space="preserve">Kopējie gada bruto ieņēmumu vērtība, </w:t>
            </w:r>
            <w:r w:rsidRPr="0092398B">
              <w:rPr>
                <w:rFonts w:ascii="Times New Roman" w:hAnsi="Times New Roman"/>
                <w:bCs/>
                <w:u w:val="single"/>
              </w:rPr>
              <w:t>izņemot</w:t>
            </w:r>
            <w:r w:rsidRPr="0092398B">
              <w:rPr>
                <w:rFonts w:ascii="Times New Roman" w:hAnsi="Times New Roman"/>
                <w:bCs/>
              </w:rPr>
              <w:t xml:space="preserve"> bruto ieņēmumus, kas grupā gūti saskaņā </w:t>
            </w:r>
            <w:r w:rsidRPr="0092398B">
              <w:rPr>
                <w:rFonts w:ascii="Times New Roman" w:hAnsi="Times New Roman"/>
                <w:bCs/>
              </w:rPr>
              <w:t>ar Regulas (ES) 2019/2033 12. panta 2. punktu.</w:t>
            </w:r>
          </w:p>
        </w:tc>
      </w:tr>
      <w:tr w:rsidR="007436E0" w:rsidRPr="0092398B" w14:paraId="6CD2CE42" w14:textId="77777777">
        <w:tc>
          <w:tcPr>
            <w:tcW w:w="1129" w:type="dxa"/>
          </w:tcPr>
          <w:p w14:paraId="0A98106D"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0130</w:t>
            </w:r>
          </w:p>
        </w:tc>
        <w:tc>
          <w:tcPr>
            <w:tcW w:w="7620" w:type="dxa"/>
          </w:tcPr>
          <w:p w14:paraId="06BADA2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Gada bruto ieņēmumu grupas iekšējā daļa</w:t>
            </w:r>
          </w:p>
          <w:p w14:paraId="494EBDC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Saskaņā ar Regulas (ES) 2019/2033 12. panta 2. punktu ieguldījumu brokeru sabiedrību grupas ietvaros radīto gada bruto ieņēmumu vērtība.</w:t>
            </w:r>
          </w:p>
        </w:tc>
      </w:tr>
      <w:tr w:rsidR="007436E0" w:rsidRPr="0092398B" w14:paraId="347B582F" w14:textId="77777777">
        <w:tc>
          <w:tcPr>
            <w:tcW w:w="1129" w:type="dxa"/>
          </w:tcPr>
          <w:p w14:paraId="6E3FB3C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0140</w:t>
            </w:r>
          </w:p>
        </w:tc>
        <w:tc>
          <w:tcPr>
            <w:tcW w:w="7620" w:type="dxa"/>
          </w:tcPr>
          <w:p w14:paraId="1CE1F38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w:t>
            </w:r>
            <w:r w:rsidRPr="0092398B">
              <w:rPr>
                <w:rFonts w:ascii="Times New Roman" w:hAnsi="Times New Roman"/>
                <w:b/>
                <w:bCs/>
                <w:u w:val="single"/>
              </w:rPr>
              <w:t>i no rīkojumu pieņemšanas un nosūtīšanas</w:t>
            </w:r>
          </w:p>
          <w:p w14:paraId="2348481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2702E0E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Direktīvas 2014/65/ES 4. panta 1. un 2. punkts.</w:t>
            </w:r>
          </w:p>
        </w:tc>
      </w:tr>
      <w:tr w:rsidR="007436E0" w:rsidRPr="0092398B" w14:paraId="3C568B23" w14:textId="77777777">
        <w:tc>
          <w:tcPr>
            <w:tcW w:w="1129" w:type="dxa"/>
          </w:tcPr>
          <w:p w14:paraId="7AF2E17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0150</w:t>
            </w:r>
          </w:p>
        </w:tc>
        <w:tc>
          <w:tcPr>
            <w:tcW w:w="7620" w:type="dxa"/>
          </w:tcPr>
          <w:p w14:paraId="52C126CA"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rīkojumu izpildes klientu vārdā</w:t>
            </w:r>
          </w:p>
          <w:p w14:paraId="56F9FE0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2019/2033 54. panta </w:t>
            </w:r>
            <w:r w:rsidRPr="0092398B">
              <w:rPr>
                <w:rFonts w:ascii="Times New Roman" w:hAnsi="Times New Roman"/>
                <w:bCs/>
              </w:rPr>
              <w:t>1. punkta d) apakšpunkts.</w:t>
            </w:r>
          </w:p>
          <w:p w14:paraId="4F92586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Direktīvas 2014/65/ES 4. panta 1. un 2. punkts.</w:t>
            </w:r>
          </w:p>
        </w:tc>
      </w:tr>
      <w:tr w:rsidR="007436E0" w:rsidRPr="0092398B" w14:paraId="07DC88EF" w14:textId="77777777">
        <w:tc>
          <w:tcPr>
            <w:tcW w:w="1129" w:type="dxa"/>
          </w:tcPr>
          <w:p w14:paraId="5F24932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92D5BE4"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darījumu veikšanas savā vārdā</w:t>
            </w:r>
          </w:p>
          <w:p w14:paraId="7C2AF9D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17BEA56A"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2D50C7DF" w14:textId="77777777">
        <w:tc>
          <w:tcPr>
            <w:tcW w:w="1129" w:type="dxa"/>
          </w:tcPr>
          <w:p w14:paraId="327DFFD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CD55E4"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portfeļa pārvaldības</w:t>
            </w:r>
          </w:p>
          <w:p w14:paraId="2E64E3C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6F83C60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2F0EE65B" w14:textId="77777777">
        <w:tc>
          <w:tcPr>
            <w:tcW w:w="1129" w:type="dxa"/>
          </w:tcPr>
          <w:p w14:paraId="0F107AE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46941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ieguldījumu konsultācijām</w:t>
            </w:r>
          </w:p>
          <w:p w14:paraId="5CAB9FA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2019/2033 54. panta 1. punkta </w:t>
            </w:r>
            <w:r w:rsidRPr="0092398B">
              <w:rPr>
                <w:rFonts w:ascii="Times New Roman" w:hAnsi="Times New Roman"/>
                <w:bCs/>
              </w:rPr>
              <w:t>d) apakšpunkts.</w:t>
            </w:r>
          </w:p>
          <w:p w14:paraId="3F18A215"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42145D15" w14:textId="77777777">
        <w:tc>
          <w:tcPr>
            <w:tcW w:w="1129" w:type="dxa"/>
          </w:tcPr>
          <w:p w14:paraId="69A80C05"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E2094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finanšu instrumentu izvietošanas/izvietošanas ar neizvietoto instrumentu izpirkšanas garantiju</w:t>
            </w:r>
          </w:p>
          <w:p w14:paraId="708B1DD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2403D52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 xml:space="preserve">Direktīvas </w:t>
            </w:r>
            <w:r w:rsidRPr="0092398B">
              <w:rPr>
                <w:rFonts w:ascii="Times New Roman" w:hAnsi="Times New Roman"/>
                <w:bCs/>
              </w:rPr>
              <w:t>2014/65/ES 4. panta 1. un 2. punkts.</w:t>
            </w:r>
          </w:p>
        </w:tc>
      </w:tr>
      <w:tr w:rsidR="007436E0" w:rsidRPr="0092398B" w14:paraId="484D7505" w14:textId="77777777">
        <w:tc>
          <w:tcPr>
            <w:tcW w:w="1129" w:type="dxa"/>
          </w:tcPr>
          <w:p w14:paraId="2243BF6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12A4E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izvietošanas bez neizvietoto instrumentu izpirkšanas garantijas</w:t>
            </w:r>
          </w:p>
          <w:p w14:paraId="124D7E5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41F3FD6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6482D1BE" w14:textId="77777777">
        <w:tc>
          <w:tcPr>
            <w:tcW w:w="1129" w:type="dxa"/>
          </w:tcPr>
          <w:p w14:paraId="5E8F0C6B"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DC494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daudzpusējās tirdzniecības sistēmas vadīšanas</w:t>
            </w:r>
          </w:p>
          <w:p w14:paraId="0DF3EB8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61A07A5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3FE85661" w14:textId="77777777">
        <w:tc>
          <w:tcPr>
            <w:tcW w:w="1129" w:type="dxa"/>
          </w:tcPr>
          <w:p w14:paraId="09B55A5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56854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organizētas tirdzniecības sistēmas vadīšanas</w:t>
            </w:r>
          </w:p>
          <w:p w14:paraId="4B44DDC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w:t>
            </w:r>
            <w:r w:rsidRPr="0092398B">
              <w:rPr>
                <w:rFonts w:ascii="Times New Roman" w:hAnsi="Times New Roman"/>
                <w:bCs/>
              </w:rPr>
              <w:t>S) 2019/2033 54. panta 1. punkta d) apakšpunkts.</w:t>
            </w:r>
          </w:p>
          <w:p w14:paraId="2BFDBA7F"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2. punkts.</w:t>
            </w:r>
          </w:p>
        </w:tc>
      </w:tr>
      <w:tr w:rsidR="007436E0" w:rsidRPr="0092398B" w14:paraId="54DDAF68" w14:textId="77777777">
        <w:tc>
          <w:tcPr>
            <w:tcW w:w="1129" w:type="dxa"/>
          </w:tcPr>
          <w:p w14:paraId="4F46A29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D7CB59"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finanšu instrumentu glabāšanas un pārvaldīšanas</w:t>
            </w:r>
          </w:p>
          <w:p w14:paraId="68A10F6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05D8450D"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w:t>
            </w:r>
            <w:r w:rsidRPr="0092398B">
              <w:rPr>
                <w:rFonts w:ascii="Times New Roman" w:hAnsi="Times New Roman"/>
                <w:bCs/>
              </w:rPr>
              <w:t>panta 1. un 3. punkts.</w:t>
            </w:r>
          </w:p>
        </w:tc>
      </w:tr>
      <w:tr w:rsidR="007436E0" w:rsidRPr="0092398B" w14:paraId="4F46D4F3" w14:textId="77777777">
        <w:tc>
          <w:tcPr>
            <w:tcW w:w="1129" w:type="dxa"/>
          </w:tcPr>
          <w:p w14:paraId="579EFEA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9C064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kredītu vai aizdevumu piešķiršanas ieguldītājiem</w:t>
            </w:r>
          </w:p>
          <w:p w14:paraId="41AA1282"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3494E5F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3. punkts.</w:t>
            </w:r>
          </w:p>
        </w:tc>
      </w:tr>
      <w:tr w:rsidR="007436E0" w:rsidRPr="0092398B" w14:paraId="6EE4C61E" w14:textId="77777777">
        <w:tc>
          <w:tcPr>
            <w:tcW w:w="1129" w:type="dxa"/>
          </w:tcPr>
          <w:p w14:paraId="6B644C2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CAB197"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 xml:space="preserve">Tostarp: ieņēmumi no sabiedrību </w:t>
            </w:r>
            <w:r w:rsidRPr="0092398B">
              <w:rPr>
                <w:rFonts w:ascii="Times New Roman" w:hAnsi="Times New Roman"/>
                <w:b/>
                <w:bCs/>
                <w:u w:val="single"/>
              </w:rPr>
              <w:t>konsultēšanas par kapitāla struktūru, darbības stratēģiju un ar to saistītiem jautājumiem un konsultācijām un pakalpojumiem attiecībā uz sabiedrību apvienošanu un sabiedrību pirkšanu</w:t>
            </w:r>
          </w:p>
          <w:p w14:paraId="580BA88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524CFF2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3. punkts.</w:t>
            </w:r>
          </w:p>
        </w:tc>
      </w:tr>
      <w:tr w:rsidR="007436E0" w:rsidRPr="0092398B" w14:paraId="6CFD0979" w14:textId="77777777">
        <w:tc>
          <w:tcPr>
            <w:tcW w:w="1129" w:type="dxa"/>
          </w:tcPr>
          <w:p w14:paraId="5991560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9DF806"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ārvalstu valūtas maiņas pakalpojumiem</w:t>
            </w:r>
          </w:p>
          <w:p w14:paraId="4240E1D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4E24988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3. punkts.</w:t>
            </w:r>
          </w:p>
        </w:tc>
      </w:tr>
      <w:tr w:rsidR="007436E0" w:rsidRPr="0092398B" w14:paraId="07BD3E06" w14:textId="77777777">
        <w:tc>
          <w:tcPr>
            <w:tcW w:w="1129" w:type="dxa"/>
          </w:tcPr>
          <w:p w14:paraId="42616643"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9CE332"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izpētes u</w:t>
            </w:r>
            <w:r w:rsidRPr="0092398B">
              <w:rPr>
                <w:rFonts w:ascii="Times New Roman" w:hAnsi="Times New Roman"/>
                <w:b/>
                <w:bCs/>
                <w:u w:val="single"/>
              </w:rPr>
              <w:t>n finanšu analīzes</w:t>
            </w:r>
          </w:p>
          <w:p w14:paraId="76C4BA3F"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7429EED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3. punkts.</w:t>
            </w:r>
          </w:p>
        </w:tc>
      </w:tr>
      <w:tr w:rsidR="007436E0" w:rsidRPr="0092398B" w14:paraId="17F9B4E5" w14:textId="77777777">
        <w:tc>
          <w:tcPr>
            <w:tcW w:w="1129" w:type="dxa"/>
          </w:tcPr>
          <w:p w14:paraId="0201266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2AF611"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Tostarp: ieņēmumi no pakalpojumiem, kas saistīti ar riska parakstīšanu</w:t>
            </w:r>
          </w:p>
          <w:p w14:paraId="682EA9F1"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 xml:space="preserve">Regulas (ES) 2019/2033 54. panta 1. punkta </w:t>
            </w:r>
            <w:r w:rsidRPr="0092398B">
              <w:rPr>
                <w:rFonts w:ascii="Times New Roman" w:hAnsi="Times New Roman"/>
                <w:bCs/>
              </w:rPr>
              <w:t>d) apakšpunkts.</w:t>
            </w:r>
          </w:p>
          <w:p w14:paraId="613A6320"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2014/65/ES 4. panta 1. un 3. punkts.</w:t>
            </w:r>
          </w:p>
        </w:tc>
      </w:tr>
      <w:tr w:rsidR="007436E0" w:rsidRPr="0092398B" w14:paraId="207A266A" w14:textId="77777777">
        <w:tc>
          <w:tcPr>
            <w:tcW w:w="1129" w:type="dxa"/>
          </w:tcPr>
          <w:p w14:paraId="619D68BE"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lastRenderedPageBreak/>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C819A9"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
                <w:bCs/>
                <w:u w:val="single"/>
              </w:rPr>
              <w:t>Tostarp: ieguldījumu pakalpojumi un papilddarbības saistībā ar pamatā esošajiem atvasinātajiem instrumentiem</w:t>
            </w:r>
          </w:p>
          <w:p w14:paraId="0D8D6408"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54. panta 1. punkta d) apakšpunkts.</w:t>
            </w:r>
          </w:p>
          <w:p w14:paraId="04432F4C"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Direktīvas 2014/65</w:t>
            </w:r>
            <w:r w:rsidRPr="0092398B">
              <w:rPr>
                <w:rFonts w:ascii="Times New Roman" w:hAnsi="Times New Roman"/>
                <w:bCs/>
              </w:rPr>
              <w:t>/ES 4. panta 1. un 3. punkts.</w:t>
            </w:r>
          </w:p>
        </w:tc>
      </w:tr>
    </w:tbl>
    <w:p w14:paraId="09208601" w14:textId="77777777" w:rsidR="007436E0" w:rsidRPr="0092398B" w:rsidRDefault="007436E0">
      <w:pPr>
        <w:pStyle w:val="Instructionsberschrift2"/>
        <w:ind w:left="357" w:hanging="357"/>
        <w:rPr>
          <w:rFonts w:ascii="Times New Roman" w:hAnsi="Times New Roman" w:cs="Times New Roman"/>
          <w:b/>
          <w:sz w:val="24"/>
          <w:u w:val="none"/>
          <w:lang w:val="fr-BE"/>
        </w:rPr>
      </w:pPr>
    </w:p>
    <w:p w14:paraId="3FC19181" w14:textId="77777777" w:rsidR="007436E0" w:rsidRPr="0092398B" w:rsidRDefault="0092398B">
      <w:pPr>
        <w:pStyle w:val="Instructionsberschrift2"/>
        <w:ind w:left="357" w:hanging="357"/>
        <w:rPr>
          <w:rFonts w:ascii="Times New Roman" w:hAnsi="Times New Roman" w:cs="Times New Roman"/>
          <w:b/>
          <w:sz w:val="24"/>
          <w:u w:val="none"/>
        </w:rPr>
      </w:pPr>
      <w:bookmarkStart w:id="45" w:name="_Toc88141804"/>
      <w:r w:rsidRPr="0092398B">
        <w:rPr>
          <w:rFonts w:ascii="Times New Roman" w:hAnsi="Times New Roman"/>
          <w:b/>
          <w:sz w:val="24"/>
          <w:u w:val="none"/>
        </w:rPr>
        <w:t>3. LIKVIDITĀTES PRASĪBAS</w:t>
      </w:r>
      <w:bookmarkEnd w:id="45"/>
    </w:p>
    <w:p w14:paraId="7FF7E417"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141805"/>
      <w:r w:rsidRPr="0092398B">
        <w:rPr>
          <w:rFonts w:ascii="Times New Roman" w:hAnsi="Times New Roman"/>
          <w:sz w:val="24"/>
          <w:szCs w:val="24"/>
          <w:u w:val="single"/>
        </w:rPr>
        <w:t>3.1 I 09.01 – LIKVIDITĀTES PRASĪBAS (I 9.1)</w:t>
      </w:r>
      <w:bookmarkEnd w:id="46"/>
    </w:p>
    <w:p w14:paraId="63F64B93" w14:textId="77777777" w:rsidR="007436E0" w:rsidRPr="0092398B" w:rsidRDefault="0092398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141806"/>
      <w:r w:rsidRPr="0092398B">
        <w:rPr>
          <w:rFonts w:ascii="Times New Roman" w:hAnsi="Times New Roman"/>
          <w:sz w:val="24"/>
          <w:szCs w:val="24"/>
        </w:rPr>
        <w:t>3.1.1.</w:t>
      </w:r>
      <w:r w:rsidRPr="0092398B">
        <w:tab/>
      </w:r>
      <w:r w:rsidRPr="0092398B">
        <w:rPr>
          <w:rFonts w:ascii="Times New Roman" w:hAnsi="Times New Roman"/>
          <w:sz w:val="24"/>
          <w:szCs w:val="24"/>
          <w:u w:val="single"/>
        </w:rPr>
        <w:t>Norādījumi attiecībā uz konkrētām pozīcijām.</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36E0" w:rsidRPr="0092398B" w14:paraId="467F25E9" w14:textId="77777777">
        <w:tc>
          <w:tcPr>
            <w:tcW w:w="1129" w:type="dxa"/>
            <w:shd w:val="clear" w:color="auto" w:fill="D9D9D9"/>
          </w:tcPr>
          <w:p w14:paraId="7ABE451A"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Rinda</w:t>
            </w:r>
          </w:p>
        </w:tc>
        <w:tc>
          <w:tcPr>
            <w:tcW w:w="7620" w:type="dxa"/>
            <w:shd w:val="clear" w:color="auto" w:fill="D9D9D9"/>
          </w:tcPr>
          <w:p w14:paraId="706DFC9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rPr>
              <w:t>Atsauces uz tiesību aktiem un norādījumi</w:t>
            </w:r>
          </w:p>
        </w:tc>
      </w:tr>
      <w:tr w:rsidR="007436E0" w:rsidRPr="0092398B" w14:paraId="673BD93B" w14:textId="77777777">
        <w:tc>
          <w:tcPr>
            <w:tcW w:w="1129" w:type="dxa"/>
          </w:tcPr>
          <w:p w14:paraId="16DE3064"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0010</w:t>
            </w:r>
          </w:p>
        </w:tc>
        <w:tc>
          <w:tcPr>
            <w:tcW w:w="7620" w:type="dxa"/>
          </w:tcPr>
          <w:p w14:paraId="64F3308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Likviditātes prasība</w:t>
            </w:r>
          </w:p>
          <w:p w14:paraId="6098F6AB"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Cs/>
              </w:rPr>
              <w:t xml:space="preserve">Regulas (ES) </w:t>
            </w:r>
            <w:r w:rsidRPr="0092398B">
              <w:rPr>
                <w:rFonts w:ascii="Times New Roman" w:hAnsi="Times New Roman"/>
                <w:bCs/>
              </w:rPr>
              <w:t>2019/2033 43. panta 1. punkts.</w:t>
            </w:r>
          </w:p>
        </w:tc>
      </w:tr>
      <w:tr w:rsidR="007436E0" w:rsidRPr="0092398B" w14:paraId="4CE6D0F0" w14:textId="77777777">
        <w:tc>
          <w:tcPr>
            <w:tcW w:w="1129" w:type="dxa"/>
          </w:tcPr>
          <w:p w14:paraId="7E09A7D6"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0020</w:t>
            </w:r>
          </w:p>
        </w:tc>
        <w:tc>
          <w:tcPr>
            <w:tcW w:w="7620" w:type="dxa"/>
          </w:tcPr>
          <w:p w14:paraId="5378C32A"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Klienta garantijas</w:t>
            </w:r>
          </w:p>
          <w:p w14:paraId="5AE3F70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Regulas (ES) 2019/2033 45. pants.</w:t>
            </w:r>
          </w:p>
          <w:p w14:paraId="7687A58C"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Uzrādītā vērtība ir 1,6 % no klientiem saskaņā ar Regulas (ES) 2019/2033 45. pantu sniegto garantiju kopsummas.</w:t>
            </w:r>
          </w:p>
        </w:tc>
      </w:tr>
      <w:tr w:rsidR="007436E0" w14:paraId="4D667B0E" w14:textId="77777777">
        <w:tc>
          <w:tcPr>
            <w:tcW w:w="1129" w:type="dxa"/>
          </w:tcPr>
          <w:p w14:paraId="4DEA6260"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0030</w:t>
            </w:r>
          </w:p>
        </w:tc>
        <w:tc>
          <w:tcPr>
            <w:tcW w:w="7620" w:type="dxa"/>
          </w:tcPr>
          <w:p w14:paraId="33CCD8E3" w14:textId="77777777" w:rsidR="007436E0" w:rsidRPr="0092398B" w:rsidRDefault="0092398B">
            <w:pPr>
              <w:spacing w:after="120" w:line="240" w:lineRule="auto"/>
              <w:jc w:val="both"/>
              <w:rPr>
                <w:rFonts w:ascii="Times New Roman" w:eastAsia="Times New Roman" w:hAnsi="Times New Roman" w:cs="Times New Roman"/>
                <w:b/>
                <w:bCs/>
                <w:u w:val="single"/>
              </w:rPr>
            </w:pPr>
            <w:r w:rsidRPr="0092398B">
              <w:rPr>
                <w:rFonts w:ascii="Times New Roman" w:hAnsi="Times New Roman"/>
                <w:b/>
                <w:bCs/>
                <w:u w:val="single"/>
              </w:rPr>
              <w:t>Likvīdie aktīvi kopā</w:t>
            </w:r>
          </w:p>
          <w:p w14:paraId="54A95867" w14:textId="77777777" w:rsidR="007436E0" w:rsidRPr="0092398B" w:rsidRDefault="0092398B">
            <w:pPr>
              <w:spacing w:after="120" w:line="240" w:lineRule="auto"/>
              <w:jc w:val="both"/>
              <w:rPr>
                <w:rFonts w:ascii="Times New Roman" w:eastAsia="Times New Roman" w:hAnsi="Times New Roman" w:cs="Times New Roman"/>
                <w:bCs/>
              </w:rPr>
            </w:pPr>
            <w:r w:rsidRPr="0092398B">
              <w:rPr>
                <w:rFonts w:ascii="Times New Roman" w:hAnsi="Times New Roman"/>
                <w:bCs/>
              </w:rPr>
              <w:t xml:space="preserve">Regulas (ES) </w:t>
            </w:r>
            <w:r w:rsidRPr="0092398B">
              <w:rPr>
                <w:rFonts w:ascii="Times New Roman" w:hAnsi="Times New Roman"/>
                <w:bCs/>
              </w:rPr>
              <w:t>2019/2033 43. panta 1. punkta a) apakšpunkts un 43. panta 2. punkts.</w:t>
            </w:r>
          </w:p>
          <w:p w14:paraId="7FB13C62" w14:textId="77777777" w:rsidR="007436E0" w:rsidRDefault="0092398B">
            <w:pPr>
              <w:pStyle w:val="CommentText"/>
              <w:rPr>
                <w:rFonts w:ascii="Times New Roman" w:eastAsia="Times New Roman" w:hAnsi="Times New Roman" w:cs="Times New Roman"/>
                <w:b/>
                <w:bCs/>
                <w:sz w:val="22"/>
                <w:szCs w:val="22"/>
                <w:u w:val="single"/>
              </w:rPr>
            </w:pPr>
            <w:r w:rsidRPr="0092398B">
              <w:rPr>
                <w:rFonts w:ascii="Times New Roman" w:hAnsi="Times New Roman"/>
                <w:bCs/>
                <w:sz w:val="22"/>
                <w:szCs w:val="22"/>
              </w:rPr>
              <w:t>Kopējos likvīdos aktīvus uzrāda pēc attiecīgo diskontu piemērošanas.</w:t>
            </w:r>
          </w:p>
        </w:tc>
      </w:tr>
    </w:tbl>
    <w:p w14:paraId="6F8BA0E0" w14:textId="77777777" w:rsidR="007436E0" w:rsidRDefault="007436E0"/>
    <w:sectPr w:rsidR="007436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940CC" w14:textId="77777777" w:rsidR="007436E0" w:rsidRDefault="007436E0">
      <w:pPr>
        <w:pStyle w:val="Footer"/>
      </w:pPr>
    </w:p>
  </w:endnote>
  <w:endnote w:type="continuationSeparator" w:id="0">
    <w:p w14:paraId="564A6DC2" w14:textId="77777777" w:rsidR="007436E0" w:rsidRDefault="007436E0">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3DB97" w14:textId="77777777" w:rsidR="007436E0" w:rsidRDefault="00743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68D5D" w14:textId="77777777" w:rsidR="007436E0" w:rsidRDefault="0092398B">
    <w:pPr>
      <w:pStyle w:val="Footer"/>
      <w:tabs>
        <w:tab w:val="clear" w:pos="4513"/>
        <w:tab w:val="clear" w:pos="9026"/>
        <w:tab w:val="right" w:pos="9071"/>
      </w:tabs>
    </w:pPr>
    <w:r>
      <w:t>LV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8B633" w14:textId="77777777" w:rsidR="007436E0" w:rsidRDefault="00743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79494" w14:textId="77777777" w:rsidR="007436E0" w:rsidRDefault="007436E0">
      <w:pPr>
        <w:pStyle w:val="Footer"/>
      </w:pPr>
    </w:p>
  </w:footnote>
  <w:footnote w:type="continuationSeparator" w:id="0">
    <w:p w14:paraId="7E932A63" w14:textId="77777777" w:rsidR="007436E0" w:rsidRDefault="007436E0">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E8035" w14:textId="77777777" w:rsidR="007436E0" w:rsidRDefault="0092398B">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6F7FA" w14:textId="2E0C8EF0" w:rsidR="007436E0" w:rsidRDefault="0092398B">
    <w:pPr>
      <w:pStyle w:val="Header"/>
    </w:pPr>
    <w:r>
      <w:rPr>
        <w:noProof/>
      </w:rPr>
      <mc:AlternateContent>
        <mc:Choice Requires="wps">
          <w:drawing>
            <wp:anchor distT="0" distB="0" distL="114300" distR="114300" simplePos="0" relativeHeight="251659264" behindDoc="0" locked="0" layoutInCell="0" allowOverlap="1" wp14:anchorId="32D463CE" wp14:editId="5991CD50">
              <wp:simplePos x="0" y="0"/>
              <wp:positionH relativeFrom="page">
                <wp:posOffset>0</wp:posOffset>
              </wp:positionH>
              <wp:positionV relativeFrom="page">
                <wp:posOffset>190500</wp:posOffset>
              </wp:positionV>
              <wp:extent cx="7560310" cy="273050"/>
              <wp:effectExtent l="0" t="0" r="0" b="12700"/>
              <wp:wrapNone/>
              <wp:docPr id="1" name="MSIPCM4f7941c2a104f228db3bbbe2"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8C0F8D" w14:textId="290963B9" w:rsidR="0092398B" w:rsidRPr="0092398B" w:rsidRDefault="0092398B" w:rsidP="0092398B">
                          <w:pPr>
                            <w:spacing w:after="0"/>
                            <w:rPr>
                              <w:rFonts w:ascii="Calibri" w:hAnsi="Calibri" w:cs="Calibri"/>
                              <w:color w:val="000000"/>
                              <w:sz w:val="24"/>
                            </w:rPr>
                          </w:pPr>
                          <w:r w:rsidRPr="0092398B">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2D463CE" id="_x0000_t202" coordsize="21600,21600" o:spt="202" path="m,l,21600r21600,l21600,xe">
              <v:stroke joinstyle="miter"/>
              <v:path gradientshapeok="t" o:connecttype="rect"/>
            </v:shapetype>
            <v:shape id="MSIPCM4f7941c2a104f228db3bbbe2"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exsAIAAEcFAAAOAAAAZHJzL2Uyb0RvYy54bWysVEtv2zAMvg/YfxB02GmtH3GSNqtTZCm6&#10;FUjbAOnQsyxLsQFbUiWlcTbsv4+S5XTtdhp2sSmS4uPjR11cdm2Dnpk2tRQ5Tk5jjJigsqzFNsff&#10;Hq5PzjAyloiSNFKwHB+YwZfz9+8u9mrGUlnJpmQaQRBhZnuV48paNYsiQyvWEnMqFRNg5FK3xMJR&#10;b6NSkz1Eb5sojeNJtJe6VFpSZgxor3ojnvv4nDNq7zk3zKImx1Cb9V/tv4X7RvMLMttqoqqahjLI&#10;P1TRklpA0mOoK2IJ2un6j1BtTbU0kttTKttIcl5T5nuAbpL4TTebiijmewFwjDrCZP5fWHr3vNao&#10;LmF2GAnSwohuNzfr5W3Gp+dZQlOSxBlP07OyGBVFwVKMSmYoIPjjw9NO2k9fiamWsmT9aXaSTSZZ&#10;kozj6cdgZ/W2ssF6lgFDguGxLm0V9OPz8VG/bghlLRPDnSEMAaL0cghwI0rWhQD9b63rlujDK68N&#10;UAC4GfyScPdBqqCJj4lXjA85QfnTUWOvzAwQ2ijAyHafZedgCnoDSjfxjuvW/WGWCOxAssORWKyz&#10;iIJyOp7EowRMFGzpdBSPPfOil9tKG/uFyRY5IccaqvZ8Is8rYyEjuA4uLpmQ13XTePI2Au1zPBlB&#10;yFcWuNEIuOh66Gt1ku2KLjRQyPIAfWnZL4VR9LqG5Cti7Jpo2AKoFzbb3sOHNxKSyCBhVEn9/W96&#10;5w/kBCtGe9iqHJunHdEMo+ZGAG3TcRbHbg/9CQTthfMky+BQDFqxa5cSNhY4CWV50fnaZhC5lu0j&#10;bP7CpQMTERSS5tgO4tLCCQzwclC2WHgZNk4RuxIbRV1oh5bD9KF7JFoF4C2M7E4Oi0dmb/DvfXuc&#10;Fzsree2H45Dt4QyAw7b6mYWXxT0Hv5+918v7N/8F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Pf6x7G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048C0F8D" w14:textId="290963B9" w:rsidR="0092398B" w:rsidRPr="0092398B" w:rsidRDefault="0092398B" w:rsidP="0092398B">
                    <w:pPr>
                      <w:spacing w:after="0"/>
                      <w:rPr>
                        <w:rFonts w:ascii="Calibri" w:hAnsi="Calibri" w:cs="Calibri"/>
                        <w:color w:val="000000"/>
                        <w:sz w:val="24"/>
                      </w:rPr>
                    </w:pPr>
                    <w:r w:rsidRPr="0092398B">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0AA2D" w14:textId="77777777" w:rsidR="007436E0" w:rsidRDefault="0092398B">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defaultTabStop w:val="720"/>
  <w:hyphenationZone w:val="283"/>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436E0"/>
    <w:rsid w:val="007436E0"/>
    <w:rsid w:val="009239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4625"/>
    <o:shapelayout v:ext="edit">
      <o:idmap v:ext="edit" data="1"/>
    </o:shapelayout>
  </w:shapeDefaults>
  <w:decimalSymbol w:val="."/>
  <w:listSeparator w:val=","/>
  <w14:docId w14:val="33CF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v-LV"/>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EAFAE654-FC13-48FF-B197-A297F6A6F59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5146</Words>
  <Characters>29336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2022-01-14T16:51:38Z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23466d3d-bbb0-4a54-b081-964735d83e6f</vt:lpwstr>
  </property>
  <property fmtid="{D5CDD505-2E9C-101B-9397-08002B2CF9AE}" pid="8" name="MSIP_Label_5c7eb9de-735b-4a68-8fe4-c9c62709b012_ContentBits">
    <vt:lpwstr>1</vt:lpwstr>
  </property>
</Properties>
</file>