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6C74B" w14:textId="77777777" w:rsidR="001C742E" w:rsidRPr="00652F74" w:rsidRDefault="00652F74">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652F74">
        <w:t>PRILOG VII. Upute za obrasce o objavi regulatornog kapitala</w:t>
      </w:r>
    </w:p>
    <w:p w14:paraId="3EB86169" w14:textId="77777777" w:rsidR="001C742E" w:rsidRPr="00652F74" w:rsidRDefault="00652F74">
      <w:pPr>
        <w:rPr>
          <w:rFonts w:ascii="Times New Roman" w:hAnsi="Times New Roman" w:cs="Times New Roman"/>
          <w:b/>
          <w:bCs/>
          <w:sz w:val="24"/>
        </w:rPr>
      </w:pPr>
      <w:r w:rsidRPr="00652F74">
        <w:rPr>
          <w:rFonts w:ascii="Times New Roman" w:hAnsi="Times New Roman"/>
          <w:b/>
          <w:bCs/>
          <w:sz w:val="24"/>
        </w:rPr>
        <w:t>Obrazac EU I CC1.01, EU I CC1.02 i EU I CC1.03 – Sastav regulatornog kapitala</w:t>
      </w:r>
    </w:p>
    <w:p w14:paraId="427DD8D4" w14:textId="77777777" w:rsidR="001C742E" w:rsidRPr="00652F74" w:rsidRDefault="00652F74">
      <w:pPr>
        <w:tabs>
          <w:tab w:val="left" w:pos="360"/>
        </w:tabs>
        <w:spacing w:before="120" w:after="120"/>
        <w:ind w:left="360" w:hanging="360"/>
        <w:jc w:val="both"/>
        <w:rPr>
          <w:rFonts w:ascii="Times New Roman" w:hAnsi="Times New Roman" w:cs="Times New Roman"/>
          <w:bCs/>
          <w:sz w:val="24"/>
        </w:rPr>
      </w:pPr>
      <w:r w:rsidRPr="00652F74">
        <w:rPr>
          <w:rFonts w:ascii="Times New Roman" w:hAnsi="Times New Roman" w:cs="Times New Roman"/>
          <w:bCs/>
          <w:sz w:val="24"/>
        </w:rPr>
        <w:t>1.</w:t>
      </w:r>
      <w:r w:rsidRPr="00652F74">
        <w:rPr>
          <w:rFonts w:ascii="Times New Roman" w:hAnsi="Times New Roman" w:cs="Times New Roman"/>
          <w:bCs/>
          <w:sz w:val="24"/>
        </w:rPr>
        <w:tab/>
      </w:r>
      <w:r w:rsidRPr="00652F74">
        <w:rPr>
          <w:rFonts w:ascii="Times New Roman" w:hAnsi="Times New Roman"/>
          <w:bCs/>
          <w:sz w:val="24"/>
        </w:rPr>
        <w:t xml:space="preserve">Investicijska društva primjenjuju upute iz ovog Priloga pri ispunjavanju obrasca EU I CC1 kako </w:t>
      </w:r>
      <w:r w:rsidRPr="00652F74">
        <w:rPr>
          <w:rFonts w:ascii="Times New Roman" w:hAnsi="Times New Roman"/>
          <w:bCs/>
          <w:sz w:val="24"/>
        </w:rPr>
        <w:t>je naveden u Prilogu VI. u skladu s člankom 49. stavkom 1. točkama (a) i (c) Uredbe (EU) 2019/2033.</w:t>
      </w:r>
    </w:p>
    <w:p w14:paraId="70F41521"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2.</w:t>
      </w:r>
      <w:r w:rsidRPr="00652F74">
        <w:rPr>
          <w:rFonts w:ascii="Times New Roman" w:hAnsi="Times New Roman" w:cs="Times New Roman"/>
          <w:bCs/>
          <w:sz w:val="24"/>
        </w:rPr>
        <w:tab/>
      </w:r>
      <w:r w:rsidRPr="00652F74">
        <w:rPr>
          <w:rFonts w:ascii="Times New Roman" w:hAnsi="Times New Roman"/>
          <w:bCs/>
          <w:sz w:val="24"/>
        </w:rPr>
        <w:t>Investicijska društva ispunjavaju stupac (b) i navode izvor svakog značajnog podatka, na koji će se upućivati u odgovarajućim redcima u obrascu EU I CC2.</w:t>
      </w:r>
    </w:p>
    <w:p w14:paraId="5EDB8434" w14:textId="77777777" w:rsidR="001C742E" w:rsidRPr="00652F74" w:rsidRDefault="00652F74">
      <w:pPr>
        <w:tabs>
          <w:tab w:val="left" w:pos="360"/>
        </w:tabs>
        <w:spacing w:before="120" w:after="120"/>
        <w:ind w:left="360" w:hanging="360"/>
        <w:jc w:val="both"/>
        <w:rPr>
          <w:rFonts w:ascii="Times New Roman" w:hAnsi="Times New Roman" w:cs="Times New Roman"/>
          <w:bCs/>
          <w:sz w:val="24"/>
        </w:rPr>
      </w:pPr>
      <w:r w:rsidRPr="00652F74">
        <w:rPr>
          <w:rFonts w:ascii="Times New Roman" w:hAnsi="Times New Roman" w:cs="Times New Roman"/>
          <w:bCs/>
          <w:sz w:val="24"/>
        </w:rPr>
        <w:t>3.</w:t>
      </w:r>
      <w:r w:rsidRPr="00652F74">
        <w:rPr>
          <w:rFonts w:ascii="Times New Roman" w:hAnsi="Times New Roman" w:cs="Times New Roman"/>
          <w:bCs/>
          <w:sz w:val="24"/>
        </w:rPr>
        <w:tab/>
      </w:r>
      <w:r w:rsidRPr="00652F74">
        <w:rPr>
          <w:rFonts w:ascii="Times New Roman" w:hAnsi="Times New Roman"/>
          <w:bCs/>
          <w:sz w:val="24"/>
        </w:rPr>
        <w:t xml:space="preserve">Investicijska društva uz obrazac prilažu opis svih ograničenja primijenjenih pri izračunu regulatornog kapitala u skladu s člankom 49. stavkom 1. točkom (c) Uredbe (EU) 2019/2033 i instrumente i odbitke na koje se ta ograničenja odnose. Objašnjavaju i </w:t>
      </w:r>
      <w:r w:rsidRPr="00652F74">
        <w:rPr>
          <w:rFonts w:ascii="Times New Roman" w:hAnsi="Times New Roman"/>
          <w:bCs/>
          <w:sz w:val="24"/>
        </w:rPr>
        <w:t>glavne promjene u objavljenim iznosima u usporedbi s prethodnim razdobljima objave.</w:t>
      </w:r>
    </w:p>
    <w:p w14:paraId="266BAA6A" w14:textId="77777777" w:rsidR="001C742E" w:rsidRPr="00652F74" w:rsidRDefault="00652F74">
      <w:pPr>
        <w:tabs>
          <w:tab w:val="left" w:pos="360"/>
        </w:tabs>
        <w:spacing w:before="120" w:after="120"/>
        <w:ind w:left="360" w:hanging="360"/>
        <w:jc w:val="both"/>
        <w:rPr>
          <w:rFonts w:ascii="Times New Roman" w:hAnsi="Times New Roman" w:cs="Times New Roman"/>
          <w:bCs/>
          <w:sz w:val="24"/>
        </w:rPr>
      </w:pPr>
      <w:r w:rsidRPr="00652F74">
        <w:rPr>
          <w:rFonts w:ascii="Times New Roman" w:hAnsi="Times New Roman" w:cs="Times New Roman"/>
          <w:bCs/>
          <w:sz w:val="24"/>
        </w:rPr>
        <w:t>4.</w:t>
      </w:r>
      <w:r w:rsidRPr="00652F74">
        <w:rPr>
          <w:rFonts w:ascii="Times New Roman" w:hAnsi="Times New Roman" w:cs="Times New Roman"/>
          <w:bCs/>
          <w:sz w:val="24"/>
        </w:rPr>
        <w:tab/>
      </w:r>
      <w:r w:rsidRPr="00652F74">
        <w:rPr>
          <w:rFonts w:ascii="Times New Roman" w:hAnsi="Times New Roman"/>
          <w:bCs/>
          <w:sz w:val="24"/>
        </w:rPr>
        <w:t>Ovaj je obrazac fiksan, a investicijska društva objavljuju ga u potpuno istom formatu navedenom u Prilogu VI.</w:t>
      </w:r>
    </w:p>
    <w:p w14:paraId="0B757117" w14:textId="77777777" w:rsidR="001C742E" w:rsidRPr="00652F74" w:rsidRDefault="00652F74">
      <w:pPr>
        <w:tabs>
          <w:tab w:val="left" w:pos="360"/>
        </w:tabs>
        <w:spacing w:before="120" w:after="120"/>
        <w:ind w:left="360" w:hanging="360"/>
        <w:jc w:val="both"/>
        <w:rPr>
          <w:rFonts w:ascii="Times New Roman" w:hAnsi="Times New Roman" w:cs="Times New Roman"/>
          <w:bCs/>
          <w:sz w:val="24"/>
        </w:rPr>
      </w:pPr>
      <w:r w:rsidRPr="00652F74">
        <w:rPr>
          <w:rFonts w:ascii="Times New Roman" w:hAnsi="Times New Roman" w:cs="Times New Roman"/>
          <w:bCs/>
          <w:sz w:val="24"/>
        </w:rPr>
        <w:t>5.</w:t>
      </w:r>
      <w:r w:rsidRPr="00652F74">
        <w:rPr>
          <w:rFonts w:ascii="Times New Roman" w:hAnsi="Times New Roman" w:cs="Times New Roman"/>
          <w:bCs/>
          <w:sz w:val="24"/>
        </w:rPr>
        <w:tab/>
      </w:r>
      <w:r w:rsidRPr="00652F74">
        <w:rPr>
          <w:rFonts w:ascii="Times New Roman" w:hAnsi="Times New Roman"/>
          <w:bCs/>
          <w:sz w:val="24"/>
        </w:rPr>
        <w:t>Investicijska društva koja nisu mala i nepovezana invest</w:t>
      </w:r>
      <w:r w:rsidRPr="00652F74">
        <w:rPr>
          <w:rFonts w:ascii="Times New Roman" w:hAnsi="Times New Roman"/>
          <w:bCs/>
          <w:sz w:val="24"/>
        </w:rPr>
        <w:t>icijska društva objavljuju informacije o sastavu regulatornog kapitala u skladu s obrascem EU I CC1.01 iz Priloga VI. Mala i nepovezana investicijska društva s izdanim instrumentima dodatnog osnovnog kapitala objavljuju informacije o sastavu regulatornog k</w:t>
      </w:r>
      <w:r w:rsidRPr="00652F74">
        <w:rPr>
          <w:rFonts w:ascii="Times New Roman" w:hAnsi="Times New Roman"/>
          <w:bCs/>
          <w:sz w:val="24"/>
        </w:rPr>
        <w:t>apitala u skladu s obrascem EU I CC1.02 također iz Priloga VI.</w:t>
      </w:r>
    </w:p>
    <w:p w14:paraId="338024E5" w14:textId="77777777" w:rsidR="001C742E" w:rsidRPr="00652F74" w:rsidRDefault="00652F74">
      <w:pPr>
        <w:rPr>
          <w:rFonts w:ascii="Times New Roman" w:hAnsi="Times New Roman" w:cs="Times New Roman"/>
          <w:b/>
          <w:bCs/>
          <w:sz w:val="24"/>
        </w:rPr>
      </w:pPr>
      <w:r w:rsidRPr="00652F74">
        <w:rPr>
          <w:rFonts w:ascii="Times New Roman" w:hAnsi="Times New Roman"/>
          <w:b/>
          <w:bCs/>
          <w:sz w:val="24"/>
        </w:rPr>
        <w:t>Obrazac EU I CC1.01 – Sastav regulatornog kapitala (investicijska društva koja nisu mala i nepovezana investicijska društva)</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C742E" w:rsidRPr="00652F74" w14:paraId="61C5C772" w14:textId="77777777">
        <w:trPr>
          <w:trHeight w:val="395"/>
        </w:trPr>
        <w:tc>
          <w:tcPr>
            <w:tcW w:w="8812" w:type="dxa"/>
            <w:gridSpan w:val="2"/>
            <w:shd w:val="clear" w:color="auto" w:fill="D9D9D9" w:themeFill="background1" w:themeFillShade="D9"/>
          </w:tcPr>
          <w:p w14:paraId="56143F1B" w14:textId="77777777" w:rsidR="001C742E" w:rsidRPr="00652F74" w:rsidRDefault="00652F74">
            <w:pPr>
              <w:pStyle w:val="TableTitle"/>
              <w:spacing w:before="0" w:after="0"/>
              <w:jc w:val="left"/>
              <w:rPr>
                <w:rFonts w:ascii="Times New Roman" w:hAnsi="Times New Roman"/>
                <w:szCs w:val="22"/>
              </w:rPr>
            </w:pPr>
            <w:r w:rsidRPr="00652F74">
              <w:rPr>
                <w:rFonts w:ascii="Times New Roman" w:hAnsi="Times New Roman"/>
                <w:szCs w:val="22"/>
              </w:rPr>
              <w:t>Pravna osnova i upute</w:t>
            </w:r>
          </w:p>
        </w:tc>
      </w:tr>
      <w:tr w:rsidR="001C742E" w:rsidRPr="00652F74" w14:paraId="37D8D3AC" w14:textId="77777777">
        <w:tblPrEx>
          <w:tblLook w:val="00A0" w:firstRow="1" w:lastRow="0" w:firstColumn="1" w:lastColumn="0" w:noHBand="0" w:noVBand="0"/>
        </w:tblPrEx>
        <w:tc>
          <w:tcPr>
            <w:tcW w:w="1129" w:type="dxa"/>
            <w:tcBorders>
              <w:bottom w:val="single" w:sz="4" w:space="0" w:color="auto"/>
            </w:tcBorders>
            <w:shd w:val="clear" w:color="auto" w:fill="D9D9D9"/>
          </w:tcPr>
          <w:p w14:paraId="7B815C0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Redak</w:t>
            </w:r>
          </w:p>
        </w:tc>
        <w:tc>
          <w:tcPr>
            <w:tcW w:w="7683" w:type="dxa"/>
            <w:tcBorders>
              <w:bottom w:val="single" w:sz="4" w:space="0" w:color="auto"/>
            </w:tcBorders>
            <w:shd w:val="clear" w:color="auto" w:fill="D9D9D9"/>
          </w:tcPr>
          <w:p w14:paraId="2CB506F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Pravna osnova i upute</w:t>
            </w:r>
          </w:p>
        </w:tc>
      </w:tr>
      <w:tr w:rsidR="001C742E" w:rsidRPr="00652F74" w14:paraId="29CDD648" w14:textId="77777777">
        <w:tblPrEx>
          <w:tblLook w:val="00A0" w:firstRow="1" w:lastRow="0" w:firstColumn="1" w:lastColumn="0" w:noHBand="0" w:noVBand="0"/>
        </w:tblPrEx>
        <w:tc>
          <w:tcPr>
            <w:tcW w:w="1129" w:type="dxa"/>
            <w:shd w:val="clear" w:color="auto" w:fill="auto"/>
            <w:vAlign w:val="center"/>
          </w:tcPr>
          <w:p w14:paraId="143D523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color w:val="000000"/>
                <w:szCs w:val="22"/>
              </w:rPr>
              <w:t>1</w:t>
            </w:r>
          </w:p>
        </w:tc>
        <w:tc>
          <w:tcPr>
            <w:tcW w:w="7683" w:type="dxa"/>
            <w:shd w:val="clear" w:color="auto" w:fill="auto"/>
          </w:tcPr>
          <w:p w14:paraId="0F86DA1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Regulatorni kapital</w:t>
            </w:r>
          </w:p>
          <w:p w14:paraId="4368CE3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26BAE5A0"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Regulatorni kapital investicijskog društva sastoji se od zbroja njegova redovnog osnovnog kapitala, dodatnog osnovnog kapitala i dopunskog kapitala.</w:t>
            </w:r>
          </w:p>
          <w:p w14:paraId="6B07EAF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je zbroj redaka 2 i 40.</w:t>
            </w:r>
          </w:p>
        </w:tc>
      </w:tr>
      <w:tr w:rsidR="001C742E" w:rsidRPr="00652F74" w14:paraId="3D779624" w14:textId="77777777">
        <w:tblPrEx>
          <w:tblLook w:val="00A0" w:firstRow="1" w:lastRow="0" w:firstColumn="1" w:lastColumn="0" w:noHBand="0" w:noVBand="0"/>
        </w:tblPrEx>
        <w:tc>
          <w:tcPr>
            <w:tcW w:w="1129" w:type="dxa"/>
            <w:shd w:val="clear" w:color="auto" w:fill="auto"/>
            <w:vAlign w:val="center"/>
          </w:tcPr>
          <w:p w14:paraId="58A245D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color w:val="000000"/>
                <w:szCs w:val="22"/>
              </w:rPr>
              <w:t>2</w:t>
            </w:r>
          </w:p>
        </w:tc>
        <w:tc>
          <w:tcPr>
            <w:tcW w:w="7683" w:type="dxa"/>
            <w:shd w:val="clear" w:color="auto" w:fill="auto"/>
          </w:tcPr>
          <w:p w14:paraId="645D75E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Osnovni kapital</w:t>
            </w:r>
          </w:p>
          <w:p w14:paraId="70823A32"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Osnovni kapital zbroj je redovnog osnovnog kapitala i dodatnog osnovnog kapitala.</w:t>
            </w:r>
          </w:p>
          <w:p w14:paraId="4EFF9157" w14:textId="77777777" w:rsidR="001C742E" w:rsidRPr="00652F74" w:rsidRDefault="00652F74">
            <w:pPr>
              <w:spacing w:after="120"/>
              <w:jc w:val="both"/>
              <w:rPr>
                <w:rFonts w:ascii="Times New Roman" w:eastAsia="Times New Roman" w:hAnsi="Times New Roman" w:cs="Times New Roman"/>
                <w:b/>
                <w:bCs/>
                <w:szCs w:val="22"/>
              </w:rPr>
            </w:pPr>
            <w:r w:rsidRPr="00652F74">
              <w:rPr>
                <w:rFonts w:ascii="Times New Roman" w:hAnsi="Times New Roman"/>
                <w:bCs/>
                <w:szCs w:val="22"/>
              </w:rPr>
              <w:t>Ovaj redak je zbroj redaka 3 i 28.</w:t>
            </w:r>
          </w:p>
        </w:tc>
      </w:tr>
      <w:tr w:rsidR="001C742E" w:rsidRPr="00652F74" w14:paraId="3F3FCF1E" w14:textId="77777777">
        <w:tblPrEx>
          <w:tblLook w:val="00A0" w:firstRow="1" w:lastRow="0" w:firstColumn="1" w:lastColumn="0" w:noHBand="0" w:noVBand="0"/>
        </w:tblPrEx>
        <w:tc>
          <w:tcPr>
            <w:tcW w:w="1129" w:type="dxa"/>
            <w:shd w:val="clear" w:color="auto" w:fill="auto"/>
            <w:vAlign w:val="center"/>
          </w:tcPr>
          <w:p w14:paraId="2FC7AD4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color w:val="000000"/>
                <w:szCs w:val="22"/>
              </w:rPr>
              <w:t>3</w:t>
            </w:r>
          </w:p>
        </w:tc>
        <w:tc>
          <w:tcPr>
            <w:tcW w:w="7683" w:type="dxa"/>
            <w:shd w:val="clear" w:color="auto" w:fill="auto"/>
          </w:tcPr>
          <w:p w14:paraId="1A4E901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InstructionsTabelleberschrift"/>
                <w:rFonts w:ascii="Times New Roman" w:hAnsi="Times New Roman"/>
                <w:sz w:val="22"/>
                <w:szCs w:val="22"/>
              </w:rPr>
              <w:t>Redovni osnovni kapital</w:t>
            </w:r>
          </w:p>
          <w:p w14:paraId="52F9ED3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590F09D0"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50. Uredbe (EU) br. 575/2013</w:t>
            </w:r>
          </w:p>
          <w:p w14:paraId="30F8436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Objavljuje se ukup</w:t>
            </w:r>
            <w:r w:rsidRPr="00652F74">
              <w:rPr>
                <w:rFonts w:ascii="Times New Roman" w:hAnsi="Times New Roman"/>
                <w:bCs/>
                <w:szCs w:val="22"/>
              </w:rPr>
              <w:t>ni zbroj redaka od 4 do 12 i retka 27.</w:t>
            </w:r>
          </w:p>
        </w:tc>
      </w:tr>
      <w:tr w:rsidR="001C742E" w:rsidRPr="00652F74" w14:paraId="319FFE41" w14:textId="77777777">
        <w:tblPrEx>
          <w:tblLook w:val="00A0" w:firstRow="1" w:lastRow="0" w:firstColumn="1" w:lastColumn="0" w:noHBand="0" w:noVBand="0"/>
        </w:tblPrEx>
        <w:tc>
          <w:tcPr>
            <w:tcW w:w="1129" w:type="dxa"/>
            <w:shd w:val="clear" w:color="auto" w:fill="auto"/>
            <w:vAlign w:val="center"/>
          </w:tcPr>
          <w:p w14:paraId="0DF98AE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w:t>
            </w:r>
          </w:p>
        </w:tc>
        <w:tc>
          <w:tcPr>
            <w:tcW w:w="7683" w:type="dxa"/>
            <w:shd w:val="clear" w:color="auto" w:fill="auto"/>
          </w:tcPr>
          <w:p w14:paraId="395304C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U potpunosti plaćeni instrumenti kapitala</w:t>
            </w:r>
          </w:p>
          <w:p w14:paraId="40EA407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75B82C0F"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26. stavak 1. točka (a) i članci od 27. do 31.</w:t>
            </w:r>
            <w:r w:rsidRPr="00652F74">
              <w:t xml:space="preserve"> </w:t>
            </w:r>
            <w:r w:rsidRPr="00652F74">
              <w:rPr>
                <w:rStyle w:val="FormatvorlageInstructionsTabelleText"/>
                <w:rFonts w:ascii="Times New Roman" w:hAnsi="Times New Roman"/>
                <w:sz w:val="22"/>
              </w:rPr>
              <w:t>Uredbe (EU) br. 575/2013</w:t>
            </w:r>
          </w:p>
          <w:p w14:paraId="357F2DF1" w14:textId="77777777" w:rsidR="001C742E" w:rsidRPr="00652F74" w:rsidRDefault="001C742E">
            <w:pPr>
              <w:pStyle w:val="InstructionsText"/>
              <w:rPr>
                <w:rStyle w:val="FormatvorlageInstructionsTabelleText"/>
                <w:rFonts w:ascii="Times New Roman" w:hAnsi="Times New Roman"/>
                <w:sz w:val="22"/>
              </w:rPr>
            </w:pPr>
          </w:p>
          <w:p w14:paraId="6B123F01"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Uključuju se instrumenti kapitala </w:t>
            </w:r>
            <w:r w:rsidRPr="00652F74">
              <w:rPr>
                <w:rStyle w:val="FormatvorlageInstructionsTabelleText"/>
                <w:rFonts w:ascii="Times New Roman" w:hAnsi="Times New Roman"/>
                <w:sz w:val="22"/>
              </w:rPr>
              <w:t>uzajamnih institucija,</w:t>
            </w:r>
            <w:r w:rsidRPr="00652F74">
              <w:t xml:space="preserve"> </w:t>
            </w:r>
            <w:r w:rsidRPr="00652F74">
              <w:rPr>
                <w:rStyle w:val="FormatvorlageInstructionsTabelleText"/>
                <w:rFonts w:ascii="Times New Roman" w:hAnsi="Times New Roman"/>
                <w:sz w:val="22"/>
              </w:rPr>
              <w:t>zadruga ili sličnih institucija (članci 27. i 29. Uredbe (EU) br. 575/2013).</w:t>
            </w:r>
          </w:p>
          <w:p w14:paraId="3607FC01"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lastRenderedPageBreak/>
              <w:t>Ne uključuje se premija na dionice povezana s instrumentima.</w:t>
            </w:r>
          </w:p>
          <w:p w14:paraId="6B5B88E7" w14:textId="77777777" w:rsidR="001C742E" w:rsidRPr="00652F74" w:rsidRDefault="00652F74">
            <w:pPr>
              <w:pStyle w:val="InstructionsText"/>
            </w:pPr>
            <w:r w:rsidRPr="00652F74">
              <w:t>Instrumenti kapitala koje upisuju tijela javne vlasti u izvanrednim situacijama uključuju se ak</w:t>
            </w:r>
            <w:r w:rsidRPr="00652F74">
              <w:t>o su ispunjeni svi uvjeti iz članka 31. Uredbe (EU) br. 575/2013.</w:t>
            </w:r>
          </w:p>
        </w:tc>
      </w:tr>
      <w:tr w:rsidR="001C742E" w:rsidRPr="00652F74" w14:paraId="012FD256" w14:textId="77777777">
        <w:tblPrEx>
          <w:tblLook w:val="00A0" w:firstRow="1" w:lastRow="0" w:firstColumn="1" w:lastColumn="0" w:noHBand="0" w:noVBand="0"/>
        </w:tblPrEx>
        <w:tc>
          <w:tcPr>
            <w:tcW w:w="1129" w:type="dxa"/>
            <w:shd w:val="clear" w:color="auto" w:fill="auto"/>
            <w:vAlign w:val="center"/>
          </w:tcPr>
          <w:p w14:paraId="61E9D2A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5</w:t>
            </w:r>
          </w:p>
        </w:tc>
        <w:tc>
          <w:tcPr>
            <w:tcW w:w="7683" w:type="dxa"/>
            <w:shd w:val="clear" w:color="auto" w:fill="auto"/>
          </w:tcPr>
          <w:p w14:paraId="62438F6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54E280B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107011AC"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 xml:space="preserve">Članak 26. stavak 1. točka (b) Uredbe (EU) </w:t>
            </w:r>
            <w:r w:rsidRPr="00652F74">
              <w:rPr>
                <w:rFonts w:ascii="Times New Roman" w:hAnsi="Times New Roman"/>
                <w:szCs w:val="22"/>
              </w:rPr>
              <w:t>br. 575/2013</w:t>
            </w:r>
          </w:p>
          <w:p w14:paraId="3662A144"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w:t>
            </w:r>
            <w:r w:rsidRPr="00652F74">
              <w:rPr>
                <w:rStyle w:val="FormatvorlageInstructionsTabelleText"/>
                <w:rFonts w:ascii="Times New Roman" w:hAnsi="Times New Roman"/>
                <w:sz w:val="22"/>
              </w:rPr>
              <w:t>unovodstvenom standardu.</w:t>
            </w:r>
          </w:p>
          <w:p w14:paraId="00D186D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u ovoj stavci dio je koji se odnosi na „plaćene instrumente kapitala”.</w:t>
            </w:r>
          </w:p>
        </w:tc>
      </w:tr>
      <w:tr w:rsidR="001C742E" w:rsidRPr="00652F74" w14:paraId="7DD41180" w14:textId="77777777">
        <w:tblPrEx>
          <w:tblLook w:val="00A0" w:firstRow="1" w:lastRow="0" w:firstColumn="1" w:lastColumn="0" w:noHBand="0" w:noVBand="0"/>
        </w:tblPrEx>
        <w:tc>
          <w:tcPr>
            <w:tcW w:w="1129" w:type="dxa"/>
            <w:shd w:val="clear" w:color="auto" w:fill="auto"/>
            <w:vAlign w:val="center"/>
          </w:tcPr>
          <w:p w14:paraId="22A4DEF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6</w:t>
            </w:r>
          </w:p>
        </w:tc>
        <w:tc>
          <w:tcPr>
            <w:tcW w:w="7683" w:type="dxa"/>
            <w:shd w:val="clear" w:color="auto" w:fill="auto"/>
          </w:tcPr>
          <w:p w14:paraId="2A0BB2F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Zadržana dobit</w:t>
            </w:r>
          </w:p>
          <w:p w14:paraId="1DDE770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7A883072" w14:textId="77777777" w:rsidR="001C742E" w:rsidRPr="00652F74" w:rsidRDefault="00652F74">
            <w:pPr>
              <w:spacing w:after="120"/>
              <w:jc w:val="both"/>
              <w:rPr>
                <w:rStyle w:val="FormatvorlageInstructionsTabelleText"/>
                <w:rFonts w:ascii="Times New Roman" w:hAnsi="Times New Roman"/>
                <w:sz w:val="22"/>
                <w:szCs w:val="22"/>
              </w:rPr>
            </w:pPr>
            <w:r w:rsidRPr="00652F74">
              <w:rPr>
                <w:rFonts w:ascii="Times New Roman" w:hAnsi="Times New Roman"/>
                <w:szCs w:val="22"/>
              </w:rPr>
              <w:t>Članak 26. stavak 1. točka (c) Uredbe (EU) br. 575/2013</w:t>
            </w:r>
          </w:p>
          <w:p w14:paraId="55B78E1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Zadržana d</w:t>
            </w:r>
            <w:r w:rsidRPr="00652F74">
              <w:rPr>
                <w:rStyle w:val="FormatvorlageInstructionsTabelleText"/>
                <w:rFonts w:ascii="Times New Roman" w:hAnsi="Times New Roman"/>
                <w:sz w:val="22"/>
                <w:szCs w:val="22"/>
              </w:rPr>
              <w:t>obit uključuje zadržanu dobit prethodne godine uvećanu za priznatu dobit tekuće godine ostvarenu tijekom poslovne godine ili dobit tekuće godine ostvarenu na kraju poslovne godine.</w:t>
            </w:r>
          </w:p>
        </w:tc>
      </w:tr>
      <w:tr w:rsidR="001C742E" w:rsidRPr="00652F74" w14:paraId="7F4AAB0B" w14:textId="77777777">
        <w:tblPrEx>
          <w:tblLook w:val="00A0" w:firstRow="1" w:lastRow="0" w:firstColumn="1" w:lastColumn="0" w:noHBand="0" w:noVBand="0"/>
        </w:tblPrEx>
        <w:tc>
          <w:tcPr>
            <w:tcW w:w="1129" w:type="dxa"/>
            <w:shd w:val="clear" w:color="auto" w:fill="auto"/>
            <w:vAlign w:val="center"/>
          </w:tcPr>
          <w:p w14:paraId="4BB05E5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7</w:t>
            </w:r>
          </w:p>
        </w:tc>
        <w:tc>
          <w:tcPr>
            <w:tcW w:w="7683" w:type="dxa"/>
            <w:shd w:val="clear" w:color="auto" w:fill="auto"/>
          </w:tcPr>
          <w:p w14:paraId="481F75B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Akumulirana ostala sveobuhvatna dobit</w:t>
            </w:r>
          </w:p>
          <w:p w14:paraId="79F2AB1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D9B70FE" w14:textId="77777777" w:rsidR="001C742E" w:rsidRPr="00652F74" w:rsidRDefault="00652F74">
            <w:pPr>
              <w:spacing w:after="120"/>
              <w:jc w:val="both"/>
              <w:rPr>
                <w:rFonts w:ascii="Times New Roman" w:hAnsi="Times New Roman" w:cs="Times New Roman"/>
                <w:bCs/>
                <w:szCs w:val="22"/>
              </w:rPr>
            </w:pPr>
            <w:r w:rsidRPr="00652F74">
              <w:rPr>
                <w:rFonts w:ascii="Times New Roman" w:hAnsi="Times New Roman"/>
                <w:szCs w:val="22"/>
              </w:rPr>
              <w:t>Članak 26. stavak 1. točka (d) Uredbe (EU) br. 575/2013</w:t>
            </w:r>
          </w:p>
        </w:tc>
      </w:tr>
      <w:tr w:rsidR="001C742E" w:rsidRPr="00652F74" w14:paraId="5F09B276" w14:textId="77777777">
        <w:tblPrEx>
          <w:tblLook w:val="00A0" w:firstRow="1" w:lastRow="0" w:firstColumn="1" w:lastColumn="0" w:noHBand="0" w:noVBand="0"/>
        </w:tblPrEx>
        <w:tc>
          <w:tcPr>
            <w:tcW w:w="1129" w:type="dxa"/>
            <w:shd w:val="clear" w:color="auto" w:fill="auto"/>
            <w:vAlign w:val="center"/>
          </w:tcPr>
          <w:p w14:paraId="6E90BF0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8</w:t>
            </w:r>
          </w:p>
        </w:tc>
        <w:tc>
          <w:tcPr>
            <w:tcW w:w="7683" w:type="dxa"/>
            <w:tcBorders>
              <w:bottom w:val="single" w:sz="4" w:space="0" w:color="auto"/>
            </w:tcBorders>
            <w:shd w:val="clear" w:color="auto" w:fill="auto"/>
          </w:tcPr>
          <w:p w14:paraId="41FE51E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Ostale rezerve</w:t>
            </w:r>
          </w:p>
          <w:p w14:paraId="5497FDD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5F186BB" w14:textId="77777777" w:rsidR="001C742E" w:rsidRPr="00652F74" w:rsidRDefault="00652F74">
            <w:pPr>
              <w:spacing w:after="120"/>
              <w:jc w:val="both"/>
              <w:rPr>
                <w:rStyle w:val="FormatvorlageInstructionsTabelleText"/>
                <w:rFonts w:ascii="Times New Roman" w:hAnsi="Times New Roman"/>
                <w:sz w:val="22"/>
                <w:szCs w:val="22"/>
              </w:rPr>
            </w:pPr>
            <w:r w:rsidRPr="00652F74">
              <w:rPr>
                <w:rFonts w:ascii="Times New Roman" w:hAnsi="Times New Roman"/>
                <w:szCs w:val="22"/>
              </w:rPr>
              <w:t>Članak 4. stavak 1. točka 117. i članak 26. stavak 1. točka (e) Uredbe (EU) br. 575/2013</w:t>
            </w:r>
          </w:p>
          <w:p w14:paraId="7DCA902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Iznos koji se </w:t>
            </w:r>
            <w:r w:rsidRPr="00652F74">
              <w:rPr>
                <w:rStyle w:val="FormatvorlageInstructionsTabelleText"/>
                <w:rFonts w:ascii="Times New Roman" w:hAnsi="Times New Roman"/>
                <w:sz w:val="22"/>
                <w:szCs w:val="22"/>
              </w:rPr>
              <w:t>objavljuje ne uključuje porezne troškove predvidive u trenutku izračuna.</w:t>
            </w:r>
          </w:p>
        </w:tc>
      </w:tr>
      <w:tr w:rsidR="001C742E" w:rsidRPr="00652F74" w14:paraId="47F39AB9" w14:textId="77777777">
        <w:tblPrEx>
          <w:tblLook w:val="00A0" w:firstRow="1" w:lastRow="0" w:firstColumn="1" w:lastColumn="0" w:noHBand="0" w:noVBand="0"/>
        </w:tblPrEx>
        <w:tc>
          <w:tcPr>
            <w:tcW w:w="1129" w:type="dxa"/>
            <w:shd w:val="clear" w:color="auto" w:fill="auto"/>
            <w:vAlign w:val="center"/>
          </w:tcPr>
          <w:p w14:paraId="121047F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9</w:t>
            </w:r>
          </w:p>
        </w:tc>
        <w:tc>
          <w:tcPr>
            <w:tcW w:w="7683" w:type="dxa"/>
            <w:shd w:val="clear" w:color="auto" w:fill="auto"/>
          </w:tcPr>
          <w:p w14:paraId="15A676B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Manjinski udjel priznat u redovnom osnovnom kapitalu</w:t>
            </w:r>
          </w:p>
          <w:p w14:paraId="2E2476F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Zbroj svih iznosa manjinskih udjela društava kćeri koji je uključen u konsolidirani redovni osnovni kapital.</w:t>
            </w:r>
          </w:p>
        </w:tc>
      </w:tr>
      <w:tr w:rsidR="001C742E" w:rsidRPr="00652F74" w14:paraId="07FF4ED8" w14:textId="77777777">
        <w:tblPrEx>
          <w:tblLook w:val="00A0" w:firstRow="1" w:lastRow="0" w:firstColumn="1" w:lastColumn="0" w:noHBand="0" w:noVBand="0"/>
        </w:tblPrEx>
        <w:tc>
          <w:tcPr>
            <w:tcW w:w="1129" w:type="dxa"/>
            <w:shd w:val="clear" w:color="auto" w:fill="auto"/>
            <w:vAlign w:val="center"/>
          </w:tcPr>
          <w:p w14:paraId="67837443"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10</w:t>
            </w:r>
          </w:p>
        </w:tc>
        <w:tc>
          <w:tcPr>
            <w:tcW w:w="7683" w:type="dxa"/>
            <w:shd w:val="clear" w:color="auto" w:fill="auto"/>
          </w:tcPr>
          <w:p w14:paraId="39100C0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Usklađenja redovnog osnovnog kapitala zbog bonitetnih filtara</w:t>
            </w:r>
          </w:p>
          <w:p w14:paraId="37A937CA" w14:textId="77777777" w:rsidR="001C742E" w:rsidRPr="00652F74" w:rsidRDefault="00652F74">
            <w:pPr>
              <w:spacing w:after="120"/>
              <w:jc w:val="both"/>
              <w:rPr>
                <w:rStyle w:val="FormatvorlageInstructionsTabelleText"/>
                <w:rFonts w:ascii="Times New Roman" w:hAnsi="Times New Roman"/>
                <w:sz w:val="22"/>
                <w:szCs w:val="22"/>
              </w:rPr>
            </w:pPr>
            <w:r w:rsidRPr="00652F74">
              <w:rPr>
                <w:rFonts w:ascii="Times New Roman" w:hAnsi="Times New Roman"/>
                <w:szCs w:val="22"/>
              </w:rPr>
              <w:t>Članak 9. stavak 1. točka</w:t>
            </w:r>
            <w:r w:rsidRPr="00652F74">
              <w:rPr>
                <w:rFonts w:ascii="Times New Roman" w:hAnsi="Times New Roman"/>
                <w:szCs w:val="22"/>
              </w:rPr>
              <w:t xml:space="preserve"> i.</w:t>
            </w:r>
            <w:r w:rsidRPr="00652F74">
              <w:rPr>
                <w:rFonts w:ascii="Times New Roman" w:hAnsi="Times New Roman"/>
                <w:szCs w:val="22"/>
              </w:rPr>
              <w:t xml:space="preserve"> Uredbe (EU) 2019/2033</w:t>
            </w:r>
          </w:p>
          <w:p w14:paraId="71CE076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Članci od 32. do 35. Uredbe (EU) br. 575/2013</w:t>
            </w:r>
          </w:p>
        </w:tc>
      </w:tr>
      <w:tr w:rsidR="001C742E" w:rsidRPr="00652F74" w14:paraId="6732CE75" w14:textId="77777777">
        <w:tblPrEx>
          <w:tblLook w:val="00A0" w:firstRow="1" w:lastRow="0" w:firstColumn="1" w:lastColumn="0" w:noHBand="0" w:noVBand="0"/>
        </w:tblPrEx>
        <w:tc>
          <w:tcPr>
            <w:tcW w:w="1129" w:type="dxa"/>
            <w:shd w:val="clear" w:color="auto" w:fill="auto"/>
            <w:vAlign w:val="center"/>
          </w:tcPr>
          <w:p w14:paraId="68806625"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11</w:t>
            </w:r>
          </w:p>
        </w:tc>
        <w:tc>
          <w:tcPr>
            <w:tcW w:w="7683" w:type="dxa"/>
            <w:shd w:val="clear" w:color="auto" w:fill="auto"/>
          </w:tcPr>
          <w:p w14:paraId="20DB83B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Druga sredstva</w:t>
            </w:r>
          </w:p>
          <w:p w14:paraId="2057E68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rPr>
              <w:t>Članak 9. stavak 4. Uredbe (EU) 2019/2033</w:t>
            </w:r>
          </w:p>
        </w:tc>
      </w:tr>
      <w:tr w:rsidR="001C742E" w:rsidRPr="00652F74" w14:paraId="3E142C1A" w14:textId="77777777">
        <w:tblPrEx>
          <w:tblLook w:val="00A0" w:firstRow="1" w:lastRow="0" w:firstColumn="1" w:lastColumn="0" w:noHBand="0" w:noVBand="0"/>
        </w:tblPrEx>
        <w:tc>
          <w:tcPr>
            <w:tcW w:w="1129" w:type="dxa"/>
            <w:shd w:val="clear" w:color="auto" w:fill="auto"/>
            <w:vAlign w:val="center"/>
          </w:tcPr>
          <w:p w14:paraId="2327586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12</w:t>
            </w:r>
          </w:p>
        </w:tc>
        <w:tc>
          <w:tcPr>
            <w:tcW w:w="7683" w:type="dxa"/>
            <w:shd w:val="clear" w:color="auto" w:fill="auto"/>
          </w:tcPr>
          <w:p w14:paraId="3777A24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UKUPNI ODBICI OD </w:t>
            </w:r>
            <w:r w:rsidRPr="00652F74">
              <w:rPr>
                <w:rFonts w:ascii="Times New Roman" w:hAnsi="Times New Roman"/>
                <w:b/>
                <w:bCs/>
                <w:szCs w:val="22"/>
                <w:u w:val="single"/>
              </w:rPr>
              <w:t>REDOVNOG OSNOVNOG KAPITALA</w:t>
            </w:r>
          </w:p>
          <w:p w14:paraId="0399CB2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Objavljuje se ukupni zbroj retka 13 i redaka od 17 do 26</w:t>
            </w:r>
          </w:p>
        </w:tc>
      </w:tr>
      <w:tr w:rsidR="001C742E" w:rsidRPr="00652F74" w14:paraId="096DF3DD" w14:textId="77777777">
        <w:tblPrEx>
          <w:tblLook w:val="00A0" w:firstRow="1" w:lastRow="0" w:firstColumn="1" w:lastColumn="0" w:noHBand="0" w:noVBand="0"/>
        </w:tblPrEx>
        <w:tc>
          <w:tcPr>
            <w:tcW w:w="1129" w:type="dxa"/>
            <w:shd w:val="clear" w:color="auto" w:fill="auto"/>
            <w:vAlign w:val="center"/>
          </w:tcPr>
          <w:p w14:paraId="26ECC87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13</w:t>
            </w:r>
          </w:p>
        </w:tc>
        <w:tc>
          <w:tcPr>
            <w:tcW w:w="7683" w:type="dxa"/>
            <w:shd w:val="clear" w:color="auto" w:fill="auto"/>
          </w:tcPr>
          <w:p w14:paraId="64D39A6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redovnog osnovnog kapitala</w:t>
            </w:r>
          </w:p>
          <w:p w14:paraId="24D84AF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 točka</w:t>
            </w:r>
            <w:r w:rsidRPr="00652F74">
              <w:rPr>
                <w:rFonts w:ascii="Times New Roman" w:hAnsi="Times New Roman"/>
                <w:bCs/>
              </w:rPr>
              <w:t xml:space="preserve"> i.</w:t>
            </w:r>
            <w:r w:rsidRPr="00652F74">
              <w:rPr>
                <w:rFonts w:ascii="Times New Roman" w:hAnsi="Times New Roman"/>
                <w:bCs/>
              </w:rPr>
              <w:t xml:space="preserve"> Uredbe (EU) 2019/2033</w:t>
            </w:r>
          </w:p>
          <w:p w14:paraId="18C00FB7" w14:textId="77777777" w:rsidR="001C742E" w:rsidRPr="00652F74" w:rsidRDefault="00652F74">
            <w:pPr>
              <w:pStyle w:val="InstructionsText"/>
              <w:rPr>
                <w:rStyle w:val="FormatvorlageInstructionsTabelleText"/>
                <w:rFonts w:ascii="Times New Roman" w:hAnsi="Times New Roman"/>
                <w:sz w:val="22"/>
              </w:rPr>
            </w:pPr>
            <w:r w:rsidRPr="00652F74">
              <w:t>Članak 36. stavak 1. točka (f) i članak 42. Uredbe (EU) br. 575/2</w:t>
            </w:r>
            <w:r w:rsidRPr="00652F74">
              <w:t>013</w:t>
            </w:r>
          </w:p>
          <w:p w14:paraId="1B27A53E"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Vlastiti instrumenti redovnog osnovnog kapitala koje drži institucija ili grupa koja izvješćuje na datum izvješćivanja. </w:t>
            </w:r>
            <w:r w:rsidRPr="00652F74">
              <w:t>Podložno iznimkama iz članka 42. Uredbe (EU) br. 575/2013.</w:t>
            </w:r>
          </w:p>
          <w:p w14:paraId="5AFAF31E"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lastRenderedPageBreak/>
              <w:t>U ovom se retku ne objavljuju ulaganja u dionice uključena kao „instrumen</w:t>
            </w:r>
            <w:r w:rsidRPr="00652F74">
              <w:rPr>
                <w:rStyle w:val="FormatvorlageInstructionsTabelleText"/>
                <w:rFonts w:ascii="Times New Roman" w:hAnsi="Times New Roman"/>
                <w:sz w:val="22"/>
              </w:rPr>
              <w:t>ti kapitala koji se ne priznaju”.</w:t>
            </w:r>
          </w:p>
          <w:p w14:paraId="684DBD8F"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uključuje premiju na dionice povezanu s vlastitim dionicama.</w:t>
            </w:r>
          </w:p>
        </w:tc>
      </w:tr>
      <w:tr w:rsidR="001C742E" w:rsidRPr="00652F74" w14:paraId="3278724E" w14:textId="77777777">
        <w:tblPrEx>
          <w:tblLook w:val="00A0" w:firstRow="1" w:lastRow="0" w:firstColumn="1" w:lastColumn="0" w:noHBand="0" w:noVBand="0"/>
        </w:tblPrEx>
        <w:tc>
          <w:tcPr>
            <w:tcW w:w="1129" w:type="dxa"/>
            <w:shd w:val="clear" w:color="auto" w:fill="auto"/>
            <w:vAlign w:val="center"/>
          </w:tcPr>
          <w:p w14:paraId="5A3121C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14</w:t>
            </w:r>
          </w:p>
        </w:tc>
        <w:tc>
          <w:tcPr>
            <w:tcW w:w="7683" w:type="dxa"/>
            <w:shd w:val="clear" w:color="auto" w:fill="auto"/>
          </w:tcPr>
          <w:p w14:paraId="29E8B2F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Izravna ulaganja u instrumente redovnog osnovnog kapitala</w:t>
            </w:r>
          </w:p>
          <w:p w14:paraId="5F2797D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 točka</w:t>
            </w:r>
            <w:r w:rsidRPr="00652F74">
              <w:rPr>
                <w:rFonts w:ascii="Times New Roman" w:hAnsi="Times New Roman"/>
                <w:bCs/>
              </w:rPr>
              <w:t xml:space="preserve"> i.</w:t>
            </w:r>
            <w:r w:rsidRPr="00652F74">
              <w:rPr>
                <w:rFonts w:ascii="Times New Roman" w:hAnsi="Times New Roman"/>
                <w:bCs/>
              </w:rPr>
              <w:t xml:space="preserve"> Uredbe (EU) 2019/2033</w:t>
            </w:r>
          </w:p>
          <w:p w14:paraId="0CF9A7BF" w14:textId="77777777" w:rsidR="001C742E" w:rsidRPr="00652F74" w:rsidRDefault="00652F74">
            <w:pPr>
              <w:pStyle w:val="InstructionsText"/>
              <w:rPr>
                <w:rStyle w:val="FormatvorlageInstructionsTabelleText"/>
                <w:rFonts w:ascii="Times New Roman" w:hAnsi="Times New Roman"/>
                <w:sz w:val="22"/>
              </w:rPr>
            </w:pPr>
            <w:r w:rsidRPr="00652F74">
              <w:t>Članak 36. stavak 1. točka (f) i članak 42. Uredbe (EU) br. 575/2013</w:t>
            </w:r>
          </w:p>
          <w:p w14:paraId="60A4EF2D" w14:textId="77777777" w:rsidR="001C742E" w:rsidRPr="00652F74" w:rsidRDefault="00652F74">
            <w:pPr>
              <w:pStyle w:val="InstructionsText"/>
            </w:pPr>
            <w:r w:rsidRPr="00652F74">
              <w:rPr>
                <w:rStyle w:val="FormatvorlageInstructionsTabelleText"/>
                <w:rFonts w:ascii="Times New Roman" w:hAnsi="Times New Roman"/>
                <w:sz w:val="22"/>
              </w:rPr>
              <w:t xml:space="preserve">Instrumenti redovnog osnovnog kapitala koje drži investicijsko društvo. </w:t>
            </w:r>
          </w:p>
        </w:tc>
      </w:tr>
      <w:tr w:rsidR="001C742E" w:rsidRPr="00652F74" w14:paraId="0D4FCE9C" w14:textId="77777777">
        <w:tblPrEx>
          <w:tblLook w:val="00A0" w:firstRow="1" w:lastRow="0" w:firstColumn="1" w:lastColumn="0" w:noHBand="0" w:noVBand="0"/>
        </w:tblPrEx>
        <w:tc>
          <w:tcPr>
            <w:tcW w:w="1129" w:type="dxa"/>
            <w:shd w:val="clear" w:color="auto" w:fill="auto"/>
            <w:vAlign w:val="center"/>
          </w:tcPr>
          <w:p w14:paraId="51C5F5D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15</w:t>
            </w:r>
          </w:p>
        </w:tc>
        <w:tc>
          <w:tcPr>
            <w:tcW w:w="7683" w:type="dxa"/>
            <w:shd w:val="clear" w:color="auto" w:fill="auto"/>
          </w:tcPr>
          <w:p w14:paraId="3274712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Neizravna ulaganja u instrumente redovnog osnovnog kapitala</w:t>
            </w:r>
          </w:p>
          <w:p w14:paraId="382696C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 toč</w:t>
            </w:r>
            <w:r w:rsidRPr="00652F74">
              <w:rPr>
                <w:rFonts w:ascii="Times New Roman" w:hAnsi="Times New Roman"/>
                <w:bCs/>
              </w:rPr>
              <w:t>ka</w:t>
            </w:r>
            <w:r w:rsidRPr="00652F74">
              <w:rPr>
                <w:rFonts w:ascii="Times New Roman" w:hAnsi="Times New Roman"/>
                <w:bCs/>
              </w:rPr>
              <w:t xml:space="preserve"> i.</w:t>
            </w:r>
            <w:r w:rsidRPr="00652F74">
              <w:rPr>
                <w:rFonts w:ascii="Times New Roman" w:hAnsi="Times New Roman"/>
                <w:bCs/>
              </w:rPr>
              <w:t xml:space="preserve"> Uredbe (EU) 2019/2033</w:t>
            </w:r>
          </w:p>
          <w:p w14:paraId="3B740CF1" w14:textId="77777777" w:rsidR="001C742E" w:rsidRPr="00652F74" w:rsidRDefault="00652F74">
            <w:pPr>
              <w:pStyle w:val="InstructionsText"/>
              <w:rPr>
                <w:rStyle w:val="FormatvorlageInstructionsTabelleText"/>
                <w:rFonts w:ascii="Times New Roman" w:hAnsi="Times New Roman"/>
                <w:sz w:val="22"/>
              </w:rPr>
            </w:pPr>
            <w:r w:rsidRPr="00652F74">
              <w:t>Članak 36. stavak 1. točka (f) i članak 42. Uredbe (EU) br. 575/2013</w:t>
            </w:r>
          </w:p>
          <w:p w14:paraId="6E21448D" w14:textId="77777777" w:rsidR="001C742E" w:rsidRPr="00652F74" w:rsidRDefault="00652F74">
            <w:pPr>
              <w:pStyle w:val="InstructionsText"/>
            </w:pPr>
            <w:r w:rsidRPr="00652F74">
              <w:rPr>
                <w:rStyle w:val="FormatvorlageInstructionsTabelleText"/>
                <w:rFonts w:ascii="Times New Roman" w:hAnsi="Times New Roman"/>
                <w:sz w:val="22"/>
              </w:rPr>
              <w:t>Instrumenti redovnog osnovnog kapitala koje drži investicijsko društvo.</w:t>
            </w:r>
          </w:p>
        </w:tc>
      </w:tr>
      <w:tr w:rsidR="001C742E" w:rsidRPr="00652F74" w14:paraId="51BCCE6E" w14:textId="77777777">
        <w:tblPrEx>
          <w:tblLook w:val="00A0" w:firstRow="1" w:lastRow="0" w:firstColumn="1" w:lastColumn="0" w:noHBand="0" w:noVBand="0"/>
        </w:tblPrEx>
        <w:tc>
          <w:tcPr>
            <w:tcW w:w="1129" w:type="dxa"/>
            <w:shd w:val="clear" w:color="auto" w:fill="auto"/>
            <w:vAlign w:val="center"/>
          </w:tcPr>
          <w:p w14:paraId="49B5F40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45FF46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Sintetska ulaganja u instrumente redovnog osnovnog kapitala</w:t>
            </w:r>
          </w:p>
          <w:p w14:paraId="50300C4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w:t>
            </w:r>
            <w:r w:rsidRPr="00652F74">
              <w:rPr>
                <w:rFonts w:ascii="Times New Roman" w:hAnsi="Times New Roman"/>
                <w:bCs/>
              </w:rPr>
              <w:t xml:space="preserve"> točka</w:t>
            </w:r>
            <w:r w:rsidRPr="00652F74">
              <w:rPr>
                <w:rFonts w:ascii="Times New Roman" w:hAnsi="Times New Roman"/>
                <w:bCs/>
              </w:rPr>
              <w:t xml:space="preserve"> i.</w:t>
            </w:r>
            <w:r w:rsidRPr="00652F74">
              <w:rPr>
                <w:rFonts w:ascii="Times New Roman" w:hAnsi="Times New Roman"/>
                <w:bCs/>
              </w:rPr>
              <w:t xml:space="preserve"> Uredbe (EU) 2019/2033</w:t>
            </w:r>
          </w:p>
          <w:p w14:paraId="5E53D91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rPr>
              <w:t>Članak 4. stavak 1. točka 114., članak 36. stavak 1. točka (f) i članak 42. Uredbe (EU) br. 575/2013</w:t>
            </w:r>
          </w:p>
        </w:tc>
      </w:tr>
      <w:tr w:rsidR="001C742E" w:rsidRPr="00652F74" w14:paraId="581F93A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34821D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146DA5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Gubici tekuće financijske godine</w:t>
            </w:r>
          </w:p>
          <w:p w14:paraId="6633465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rPr>
              <w:t>Članak 36. stavak 1. točka (a) Uredbe (EU) br. 575/2013</w:t>
            </w:r>
          </w:p>
        </w:tc>
      </w:tr>
      <w:tr w:rsidR="001C742E" w:rsidRPr="00652F74" w14:paraId="1864E53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E6FA7F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C8C4B3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w:t>
            </w:r>
            <w:r w:rsidRPr="00652F74">
              <w:rPr>
                <w:rFonts w:ascii="Times New Roman" w:hAnsi="Times New Roman"/>
                <w:b/>
                <w:bCs/>
                <w:i/>
                <w:iCs/>
                <w:szCs w:val="22"/>
                <w:u w:val="single"/>
              </w:rPr>
              <w:t>Goodwill</w:t>
            </w:r>
          </w:p>
          <w:p w14:paraId="1D2F0AB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 točka</w:t>
            </w:r>
            <w:r w:rsidRPr="00652F74">
              <w:rPr>
                <w:rFonts w:ascii="Times New Roman" w:hAnsi="Times New Roman"/>
                <w:bCs/>
              </w:rPr>
              <w:t xml:space="preserve"> i.</w:t>
            </w:r>
            <w:r w:rsidRPr="00652F74">
              <w:rPr>
                <w:rFonts w:ascii="Times New Roman" w:hAnsi="Times New Roman"/>
                <w:bCs/>
              </w:rPr>
              <w:t xml:space="preserve"> Uredbe (EU) 2019/2033</w:t>
            </w:r>
          </w:p>
          <w:p w14:paraId="30BB317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rPr>
              <w:t>Članak 4. stavak 1. točka 113., članak 36. stavak 1. točka (b) i članak 37. Uredbe (EU) br. 575/2013</w:t>
            </w:r>
          </w:p>
        </w:tc>
      </w:tr>
      <w:tr w:rsidR="001C742E" w:rsidRPr="00652F74" w14:paraId="7DB9CF2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1BB348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5DB9B1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Ostala nematerijalna imovina</w:t>
            </w:r>
          </w:p>
          <w:p w14:paraId="44DA0FC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1. točka</w:t>
            </w:r>
            <w:r w:rsidRPr="00652F74">
              <w:rPr>
                <w:rFonts w:ascii="Times New Roman" w:hAnsi="Times New Roman"/>
                <w:bCs/>
              </w:rPr>
              <w:t xml:space="preserve"> i.</w:t>
            </w:r>
            <w:r w:rsidRPr="00652F74">
              <w:rPr>
                <w:rFonts w:ascii="Times New Roman" w:hAnsi="Times New Roman"/>
                <w:bCs/>
              </w:rPr>
              <w:t xml:space="preserve"> Uredbe (EU) 2019/2033</w:t>
            </w:r>
          </w:p>
          <w:p w14:paraId="7C9C559A"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t>Članak 4. stavak</w:t>
            </w:r>
            <w:r w:rsidRPr="00652F74">
              <w:t> 1. točka 115., članak 36. stavak 1. točka (b) i članak 37. točka (a) Uredbe (EU) br. 575/2013</w:t>
            </w:r>
          </w:p>
          <w:p w14:paraId="148CEF0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Ostala nematerijalna imovina uključuje nematerijalnu imovinu u skladu s primjenjivim računovodstvenim standardom, umanjena za </w:t>
            </w:r>
            <w:r w:rsidRPr="00652F74">
              <w:rPr>
                <w:rStyle w:val="FormatvorlageInstructionsTabelleText"/>
                <w:rFonts w:ascii="Times New Roman" w:hAnsi="Times New Roman"/>
                <w:i/>
                <w:iCs/>
                <w:sz w:val="22"/>
                <w:szCs w:val="22"/>
              </w:rPr>
              <w:t>goodwill</w:t>
            </w:r>
            <w:r w:rsidRPr="00652F74">
              <w:rPr>
                <w:rStyle w:val="FormatvorlageInstructionsTabelleText"/>
                <w:rFonts w:ascii="Times New Roman" w:hAnsi="Times New Roman"/>
                <w:sz w:val="22"/>
                <w:szCs w:val="22"/>
              </w:rPr>
              <w:t>, također u skladu s primje</w:t>
            </w:r>
            <w:r w:rsidRPr="00652F74">
              <w:rPr>
                <w:rStyle w:val="FormatvorlageInstructionsTabelleText"/>
                <w:rFonts w:ascii="Times New Roman" w:hAnsi="Times New Roman"/>
                <w:sz w:val="22"/>
                <w:szCs w:val="22"/>
              </w:rPr>
              <w:t>njivim računovodstvenim standardom.</w:t>
            </w:r>
          </w:p>
        </w:tc>
      </w:tr>
      <w:tr w:rsidR="001C742E" w:rsidRPr="00652F74" w14:paraId="35448F3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C4D0A8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29A6E9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Odgođena porezna imovina koja ovisi o budućoj profitabilnosti i ne proizlazi iz privremenih razlika i ne uključuje povezane porezne obveze</w:t>
            </w:r>
          </w:p>
          <w:p w14:paraId="499210A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rPr>
              <w:t>Članak 9. stavak 2. točka (a) Uredbe (EU) 2019/2033</w:t>
            </w:r>
          </w:p>
          <w:p w14:paraId="03963A3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rPr>
              <w:t xml:space="preserve">Članak 36. stavak 1. </w:t>
            </w:r>
            <w:r w:rsidRPr="00652F74">
              <w:rPr>
                <w:rFonts w:ascii="Times New Roman" w:hAnsi="Times New Roman"/>
                <w:bCs/>
              </w:rPr>
              <w:t>točka (d) Uredbe (EU) br. 575/2013</w:t>
            </w:r>
          </w:p>
        </w:tc>
      </w:tr>
      <w:tr w:rsidR="001C742E" w:rsidRPr="00652F74" w14:paraId="6520336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2365FF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B0D12D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Kvalificirani udjel izvan financijskog sektora koji premašuje 15 % regulatornog kapitala</w:t>
            </w:r>
          </w:p>
          <w:p w14:paraId="5F97FF0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rPr>
              <w:t>Članak 10. stavak 1. točka (a) Uredbe (EU) 2019/2033</w:t>
            </w:r>
          </w:p>
        </w:tc>
      </w:tr>
      <w:tr w:rsidR="001C742E" w:rsidRPr="00652F74" w14:paraId="2C2EC5F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F6080D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43B4EB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Ukupni kvalificirani udjeli u društvu koje nije subjekt </w:t>
            </w:r>
            <w:r w:rsidRPr="00652F74">
              <w:rPr>
                <w:rFonts w:ascii="Times New Roman" w:hAnsi="Times New Roman"/>
                <w:b/>
                <w:bCs/>
                <w:szCs w:val="22"/>
                <w:u w:val="single"/>
              </w:rPr>
              <w:t>financijskog sektora koji prelaze 60 % regulatornog kapitala</w:t>
            </w:r>
          </w:p>
          <w:p w14:paraId="0248569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rPr>
              <w:t>Članak 10. stavak 1. točka (b) Uredbe (EU) 2019/2033</w:t>
            </w:r>
          </w:p>
        </w:tc>
      </w:tr>
      <w:tr w:rsidR="001C742E" w:rsidRPr="00652F74" w14:paraId="52741A7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96D1F7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A5C484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redovnog osnovnog kapitala subjekata financijskog sektora ako institucija nema značajno ulaganje</w:t>
            </w:r>
          </w:p>
          <w:p w14:paraId="114DD34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w:t>
            </w:r>
            <w:r w:rsidRPr="00652F74">
              <w:rPr>
                <w:rFonts w:ascii="Times New Roman" w:hAnsi="Times New Roman"/>
                <w:bCs/>
                <w:szCs w:val="22"/>
              </w:rPr>
              <w:t xml:space="preserve"> (c) Uredbe (EU) 2019/2033</w:t>
            </w:r>
          </w:p>
          <w:p w14:paraId="71AE9AC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lastRenderedPageBreak/>
              <w:t>Članak 36. stavak 1. točka (h) Uredbe (EU) br. 575/2013</w:t>
            </w:r>
          </w:p>
        </w:tc>
      </w:tr>
      <w:tr w:rsidR="001C742E" w:rsidRPr="00652F74" w14:paraId="1BFAAE7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B28D36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842CD6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redovnog osnovnog kapitala subjekata financijskog sektora ako institucija ima značajno ulaganje</w:t>
            </w:r>
          </w:p>
          <w:p w14:paraId="35CF41C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Članak 9. stavak 2. točka (d) Uredbe </w:t>
            </w:r>
            <w:r w:rsidRPr="00652F74">
              <w:rPr>
                <w:rFonts w:ascii="Times New Roman" w:hAnsi="Times New Roman"/>
                <w:bCs/>
                <w:szCs w:val="22"/>
              </w:rPr>
              <w:t>(EU) 2019/2033</w:t>
            </w:r>
          </w:p>
          <w:p w14:paraId="6B1B939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w:t>
            </w:r>
            <w:r w:rsidRPr="00652F74">
              <w:rPr>
                <w:rFonts w:ascii="Times New Roman" w:hAnsi="Times New Roman"/>
                <w:bCs/>
                <w:szCs w:val="22"/>
              </w:rPr>
              <w:t xml:space="preserve"> i.</w:t>
            </w:r>
            <w:r w:rsidRPr="00652F74">
              <w:rPr>
                <w:rFonts w:ascii="Times New Roman" w:hAnsi="Times New Roman"/>
                <w:bCs/>
                <w:szCs w:val="22"/>
              </w:rPr>
              <w:t xml:space="preserve"> Uredbe (EU) br. 575/2013</w:t>
            </w:r>
          </w:p>
        </w:tc>
      </w:tr>
      <w:tr w:rsidR="001C742E" w:rsidRPr="00652F74" w14:paraId="26B499C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B0439E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C2DA2D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Imovina mirovinskog fonda pod pokroviteljstvom poslodavca</w:t>
            </w:r>
          </w:p>
          <w:p w14:paraId="2DCBEE6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(b) Uredbe (EU) 2019/2033</w:t>
            </w:r>
          </w:p>
          <w:p w14:paraId="03852A4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 (e) Uredbe (EU) br. 575/2013</w:t>
            </w:r>
          </w:p>
        </w:tc>
      </w:tr>
      <w:tr w:rsidR="001C742E" w:rsidRPr="00652F74" w14:paraId="5F5EEB1A" w14:textId="77777777">
        <w:tblPrEx>
          <w:tblLook w:val="00A0" w:firstRow="1" w:lastRow="0" w:firstColumn="1" w:lastColumn="0" w:noHBand="0" w:noVBand="0"/>
        </w:tblPrEx>
        <w:tc>
          <w:tcPr>
            <w:tcW w:w="1129" w:type="dxa"/>
            <w:vAlign w:val="center"/>
          </w:tcPr>
          <w:p w14:paraId="797B230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03FCB4C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Drug</w:t>
            </w:r>
            <w:r w:rsidRPr="00652F74">
              <w:rPr>
                <w:rFonts w:ascii="Times New Roman" w:hAnsi="Times New Roman"/>
                <w:b/>
                <w:bCs/>
                <w:szCs w:val="22"/>
                <w:u w:val="single"/>
              </w:rPr>
              <w:t>i odbici</w:t>
            </w:r>
          </w:p>
          <w:p w14:paraId="10B0880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Zbroj svih drugih odbitaka iz članka 36. stavka 1. Uredbe (EU) br. 575/2013</w:t>
            </w:r>
          </w:p>
        </w:tc>
      </w:tr>
      <w:tr w:rsidR="001C742E" w:rsidRPr="00652F74" w14:paraId="374678C2" w14:textId="77777777">
        <w:tblPrEx>
          <w:tblLook w:val="00A0" w:firstRow="1" w:lastRow="0" w:firstColumn="1" w:lastColumn="0" w:noHBand="0" w:noVBand="0"/>
        </w:tblPrEx>
        <w:tc>
          <w:tcPr>
            <w:tcW w:w="1129" w:type="dxa"/>
            <w:vAlign w:val="center"/>
          </w:tcPr>
          <w:p w14:paraId="576E22A1"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73360B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Redovni osnovni kapital: drugi elementi kapitala, odbici i prilagodbe</w:t>
            </w:r>
          </w:p>
          <w:p w14:paraId="491136D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347206CA"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w:t>
            </w:r>
            <w:r w:rsidRPr="00652F74">
              <w:rPr>
                <w:rFonts w:ascii="Times New Roman" w:hAnsi="Times New Roman"/>
                <w:bCs/>
              </w:rPr>
              <w:t>usklađenja na temelju instrumenata redovnog osnovnog kapitala koji se nastavljaju priznavati (članak 483. stavci 1., 2. i 3. i članci od 484. do 487. Uredbe (EU) br. 575/2013),</w:t>
            </w:r>
          </w:p>
          <w:p w14:paraId="157B32B3"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prijelazna usklađenja na temelju dodatnih manjinskih udjela (članci 479. i 48</w:t>
            </w:r>
            <w:r w:rsidRPr="00652F74">
              <w:rPr>
                <w:rFonts w:ascii="Times New Roman" w:hAnsi="Times New Roman"/>
                <w:bCs/>
              </w:rPr>
              <w:t>0. Uredbe (EU) br. 575/2013),</w:t>
            </w:r>
          </w:p>
          <w:p w14:paraId="3254C329"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redovnog osnovnog kapitala (članci od 469. do 478. i članak 481. Uredbe (EU) br. 575/2013): usklađenja odbitaka od redovnog osnovnog kapitala na temelju prijelaznih odredbi,</w:t>
            </w:r>
          </w:p>
          <w:p w14:paraId="78CFD654" w14:textId="77777777" w:rsidR="001C742E" w:rsidRPr="00652F74" w:rsidRDefault="00652F74">
            <w:pPr>
              <w:spacing w:after="120"/>
              <w:ind w:left="360" w:hanging="360"/>
              <w:contextualSpacing/>
              <w:jc w:val="both"/>
              <w:rPr>
                <w:rFonts w:ascii="Times New Roman" w:eastAsia="Times New Roman" w:hAnsi="Times New Roman"/>
                <w:b/>
                <w:bCs/>
                <w:u w:val="single"/>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redov</w:t>
            </w:r>
            <w:r w:rsidRPr="00652F74">
              <w:rPr>
                <w:rFonts w:ascii="Times New Roman" w:hAnsi="Times New Roman"/>
                <w:bCs/>
              </w:rPr>
              <w:t>nog osnovnog kapitala ili odbici od elementa redovnog osnovnog kapitala koji se ne mogu rasporediti u jedan od redaka od 4 do 26.</w:t>
            </w:r>
          </w:p>
          <w:p w14:paraId="585E5DE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 xml:space="preserve">Ovaj se redak ne koristi za uključivanje stavki kapitala ili odbitaka koji nisu obuhvaćeni Uredbom (EU) 2019/2033 ili Uredbom </w:t>
            </w:r>
            <w:r w:rsidRPr="00652F74">
              <w:rPr>
                <w:rFonts w:ascii="Times New Roman" w:hAnsi="Times New Roman"/>
                <w:bCs/>
                <w:szCs w:val="22"/>
              </w:rPr>
              <w:t>(EU) br. 575/2013 u izračun stopa solventnosti.</w:t>
            </w:r>
          </w:p>
        </w:tc>
      </w:tr>
      <w:tr w:rsidR="001C742E" w:rsidRPr="00652F74" w14:paraId="10837E5A" w14:textId="77777777">
        <w:tblPrEx>
          <w:tblLook w:val="00A0" w:firstRow="1" w:lastRow="0" w:firstColumn="1" w:lastColumn="0" w:noHBand="0" w:noVBand="0"/>
        </w:tblPrEx>
        <w:tc>
          <w:tcPr>
            <w:tcW w:w="1129" w:type="dxa"/>
            <w:vAlign w:val="center"/>
          </w:tcPr>
          <w:p w14:paraId="259389A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813FFE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w:t>
            </w:r>
          </w:p>
          <w:p w14:paraId="224D9BB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točka 1. Uredbe (EU) 2019/2033</w:t>
            </w:r>
          </w:p>
          <w:p w14:paraId="165B579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61. Uredbe (EU) br. 575/2013</w:t>
            </w:r>
          </w:p>
          <w:p w14:paraId="493BA70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od 29 do 31 i retka 39.</w:t>
            </w:r>
          </w:p>
        </w:tc>
      </w:tr>
      <w:tr w:rsidR="001C742E" w:rsidRPr="00652F74" w14:paraId="301F3396" w14:textId="77777777">
        <w:tblPrEx>
          <w:tblLook w:val="00A0" w:firstRow="1" w:lastRow="0" w:firstColumn="1" w:lastColumn="0" w:noHBand="0" w:noVBand="0"/>
        </w:tblPrEx>
        <w:tc>
          <w:tcPr>
            <w:tcW w:w="1129" w:type="dxa"/>
            <w:vAlign w:val="center"/>
          </w:tcPr>
          <w:p w14:paraId="1F930F2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7B7FC9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szCs w:val="22"/>
                <w:u w:val="single"/>
              </w:rPr>
              <w:t xml:space="preserve">U potpunosti plaćeni, izravno </w:t>
            </w:r>
            <w:r w:rsidRPr="00652F74">
              <w:rPr>
                <w:rFonts w:ascii="Times New Roman" w:hAnsi="Times New Roman"/>
                <w:b/>
                <w:bCs/>
                <w:szCs w:val="22"/>
                <w:u w:val="single"/>
              </w:rPr>
              <w:t>izdani instrumenti kapitala</w:t>
            </w:r>
          </w:p>
          <w:p w14:paraId="18620F0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4E6BDFC"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51. točka (a) i članci 52., 53. i 54. Uredbe (EU) br. 575/2013</w:t>
            </w:r>
          </w:p>
          <w:p w14:paraId="2313227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ne uključuje premiju na dionice povezanu s instrumentima.</w:t>
            </w:r>
          </w:p>
        </w:tc>
      </w:tr>
      <w:tr w:rsidR="001C742E" w:rsidRPr="00652F74" w14:paraId="2026A324" w14:textId="77777777">
        <w:tblPrEx>
          <w:tblLook w:val="00A0" w:firstRow="1" w:lastRow="0" w:firstColumn="1" w:lastColumn="0" w:noHBand="0" w:noVBand="0"/>
        </w:tblPrEx>
        <w:tc>
          <w:tcPr>
            <w:tcW w:w="1129" w:type="dxa"/>
            <w:vAlign w:val="center"/>
          </w:tcPr>
          <w:p w14:paraId="380AC5FA"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59E26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Premija na </w:t>
            </w:r>
            <w:r w:rsidRPr="00652F74">
              <w:rPr>
                <w:rFonts w:ascii="Times New Roman" w:hAnsi="Times New Roman"/>
                <w:b/>
                <w:bCs/>
                <w:szCs w:val="22"/>
                <w:u w:val="single"/>
              </w:rPr>
              <w:t>dionice</w:t>
            </w:r>
          </w:p>
          <w:p w14:paraId="634FA0C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0D7A27A" w14:textId="77777777" w:rsidR="001C742E" w:rsidRPr="00652F74" w:rsidRDefault="00652F74">
            <w:pPr>
              <w:pStyle w:val="InstructionsText"/>
              <w:rPr>
                <w:rStyle w:val="FormatvorlageInstructionsTabelleText"/>
                <w:rFonts w:ascii="Times New Roman" w:hAnsi="Times New Roman"/>
                <w:sz w:val="22"/>
              </w:rPr>
            </w:pPr>
            <w:r w:rsidRPr="00652F74">
              <w:t xml:space="preserve">Članak 51. </w:t>
            </w:r>
            <w:r w:rsidRPr="00652F74">
              <w:rPr>
                <w:rStyle w:val="FormatvorlageInstructionsTabelleText"/>
                <w:rFonts w:ascii="Times New Roman" w:hAnsi="Times New Roman"/>
                <w:sz w:val="22"/>
              </w:rPr>
              <w:t>točka (b) Uredbe (EU) br. 575/2013</w:t>
            </w:r>
          </w:p>
          <w:p w14:paraId="6B80CDED"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4768F25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u ovoj stavci dio je koji se odnosi na „</w:t>
            </w:r>
            <w:r w:rsidRPr="00652F74">
              <w:rPr>
                <w:rStyle w:val="FormatvorlageInstructionsTabelleText"/>
                <w:rFonts w:ascii="Times New Roman" w:hAnsi="Times New Roman"/>
                <w:sz w:val="22"/>
                <w:szCs w:val="22"/>
              </w:rPr>
              <w:t>plaćene instrumente kapitala”.</w:t>
            </w:r>
          </w:p>
        </w:tc>
      </w:tr>
      <w:tr w:rsidR="001C742E" w:rsidRPr="00652F74" w14:paraId="0BF840B7" w14:textId="77777777">
        <w:tblPrEx>
          <w:tblLook w:val="00A0" w:firstRow="1" w:lastRow="0" w:firstColumn="1" w:lastColumn="0" w:noHBand="0" w:noVBand="0"/>
        </w:tblPrEx>
        <w:tc>
          <w:tcPr>
            <w:tcW w:w="1129" w:type="dxa"/>
            <w:tcBorders>
              <w:bottom w:val="single" w:sz="4" w:space="0" w:color="auto"/>
            </w:tcBorders>
            <w:vAlign w:val="center"/>
          </w:tcPr>
          <w:p w14:paraId="054D6F4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B1B58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DODATNOG OSNOVNOG KAPITALA</w:t>
            </w:r>
          </w:p>
          <w:p w14:paraId="6A8ED11D" w14:textId="77777777" w:rsidR="001C742E" w:rsidRPr="00652F74" w:rsidRDefault="00652F74">
            <w:pPr>
              <w:spacing w:before="60" w:after="60"/>
              <w:rPr>
                <w:rFonts w:ascii="Times New Roman" w:hAnsi="Times New Roman" w:cs="Times New Roman"/>
                <w:szCs w:val="22"/>
              </w:rPr>
            </w:pPr>
            <w:r w:rsidRPr="00652F74">
              <w:rPr>
                <w:rFonts w:ascii="Times New Roman" w:hAnsi="Times New Roman"/>
                <w:szCs w:val="22"/>
              </w:rPr>
              <w:lastRenderedPageBreak/>
              <w:t>Članak 56. Uredbe (EU) br. 575/2013</w:t>
            </w:r>
          </w:p>
          <w:p w14:paraId="03F93F2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Objavljuje se ukupni zbroj retka 32 i redaka od 36 do 38.</w:t>
            </w:r>
          </w:p>
        </w:tc>
      </w:tr>
      <w:tr w:rsidR="001C742E" w:rsidRPr="00652F74" w14:paraId="026D1A1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DD770E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D12AE7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dodatnog osnovnog kapitala</w:t>
            </w:r>
          </w:p>
          <w:p w14:paraId="30BB408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Članak 9. </w:t>
            </w:r>
            <w:r w:rsidRPr="00652F74">
              <w:rPr>
                <w:rFonts w:ascii="Times New Roman" w:hAnsi="Times New Roman"/>
                <w:bCs/>
                <w:szCs w:val="22"/>
              </w:rPr>
              <w:t>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1AA75137"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52. stavak 1. točka (b), članak 56. točka (a) i članak 57. Uredbe (EU) br. 575/2013</w:t>
            </w:r>
          </w:p>
          <w:p w14:paraId="1FE35A1D"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Vlastiti instrumenti dodatnog osnovnog kapitala koje drži investicijsko društvo na datum izvješćivanja. Podložno iznimkama i</w:t>
            </w:r>
            <w:r w:rsidRPr="00652F74">
              <w:rPr>
                <w:rStyle w:val="FormatvorlageInstructionsTabelleText"/>
                <w:rFonts w:ascii="Times New Roman" w:hAnsi="Times New Roman"/>
                <w:sz w:val="22"/>
              </w:rPr>
              <w:t>z članka 57. Uredbe (EU) br. 575/2013.</w:t>
            </w:r>
          </w:p>
          <w:p w14:paraId="7004C7AD"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uključuje premiju na dionice povezanu s vlastitim dionicama.</w:t>
            </w:r>
          </w:p>
        </w:tc>
      </w:tr>
      <w:tr w:rsidR="001C742E" w:rsidRPr="00652F74" w14:paraId="5CC1AE44" w14:textId="77777777">
        <w:tblPrEx>
          <w:tblLook w:val="00A0" w:firstRow="1" w:lastRow="0" w:firstColumn="1" w:lastColumn="0" w:noHBand="0" w:noVBand="0"/>
        </w:tblPrEx>
        <w:tc>
          <w:tcPr>
            <w:tcW w:w="1129" w:type="dxa"/>
            <w:shd w:val="clear" w:color="auto" w:fill="auto"/>
            <w:vAlign w:val="center"/>
          </w:tcPr>
          <w:p w14:paraId="2E8E503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24A793B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Izravna ulaganja u instrumente dodatnog osnovnog kapitala</w:t>
            </w:r>
          </w:p>
          <w:p w14:paraId="4BD9ABA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789A913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(a) Uredbe (EU) br. 575/2013</w:t>
            </w:r>
          </w:p>
        </w:tc>
      </w:tr>
      <w:tr w:rsidR="001C742E" w:rsidRPr="00652F74" w14:paraId="0F0A7E53" w14:textId="77777777">
        <w:tblPrEx>
          <w:tblLook w:val="00A0" w:firstRow="1" w:lastRow="0" w:firstColumn="1" w:lastColumn="0" w:noHBand="0" w:noVBand="0"/>
        </w:tblPrEx>
        <w:tc>
          <w:tcPr>
            <w:tcW w:w="1129" w:type="dxa"/>
            <w:shd w:val="clear" w:color="auto" w:fill="auto"/>
            <w:vAlign w:val="center"/>
          </w:tcPr>
          <w:p w14:paraId="0D47450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2305E6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Neizravna ulaganja u instrumente dodatnog osnovnog kapitala</w:t>
            </w:r>
          </w:p>
          <w:p w14:paraId="14A2AA7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3F71E27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(a) Uredbe (EU) br. 575/2013</w:t>
            </w:r>
          </w:p>
        </w:tc>
      </w:tr>
      <w:tr w:rsidR="001C742E" w:rsidRPr="00652F74" w14:paraId="539A895A" w14:textId="77777777">
        <w:tblPrEx>
          <w:tblLook w:val="00A0" w:firstRow="1" w:lastRow="0" w:firstColumn="1" w:lastColumn="0" w:noHBand="0" w:noVBand="0"/>
        </w:tblPrEx>
        <w:tc>
          <w:tcPr>
            <w:tcW w:w="1129" w:type="dxa"/>
            <w:shd w:val="clear" w:color="auto" w:fill="auto"/>
            <w:vAlign w:val="center"/>
          </w:tcPr>
          <w:p w14:paraId="209CF06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FBE4B8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Sintetska ulaganja u </w:t>
            </w:r>
            <w:r w:rsidRPr="00652F74">
              <w:rPr>
                <w:rFonts w:ascii="Times New Roman" w:hAnsi="Times New Roman"/>
                <w:b/>
                <w:bCs/>
                <w:szCs w:val="22"/>
                <w:u w:val="single"/>
              </w:rPr>
              <w:t>instrumente dodatnog osnovnog kapitala</w:t>
            </w:r>
          </w:p>
          <w:p w14:paraId="0264137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544AC5F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(a) Uredbe (EU) br. 575/2013</w:t>
            </w:r>
          </w:p>
        </w:tc>
      </w:tr>
      <w:tr w:rsidR="001C742E" w:rsidRPr="00652F74" w14:paraId="6F47295B" w14:textId="77777777">
        <w:tblPrEx>
          <w:tblLook w:val="00A0" w:firstRow="1" w:lastRow="0" w:firstColumn="1" w:lastColumn="0" w:noHBand="0" w:noVBand="0"/>
        </w:tblPrEx>
        <w:tc>
          <w:tcPr>
            <w:tcW w:w="1129" w:type="dxa"/>
            <w:shd w:val="clear" w:color="auto" w:fill="auto"/>
            <w:vAlign w:val="center"/>
          </w:tcPr>
          <w:p w14:paraId="6A9417A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E5BAF2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dodatnog osnovnog kapitala subjekata financijskog sektora ako institucija nema značajno ulaganje</w:t>
            </w:r>
          </w:p>
          <w:p w14:paraId="2E5BCE2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w:t>
            </w:r>
            <w:r w:rsidRPr="00652F74">
              <w:rPr>
                <w:rFonts w:ascii="Times New Roman" w:hAnsi="Times New Roman"/>
                <w:bCs/>
                <w:szCs w:val="22"/>
              </w:rPr>
              <w:t>anak 9. stavak 2. točka (c) Uredbe (EU) 2019/2033</w:t>
            </w:r>
          </w:p>
          <w:p w14:paraId="12FF82B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(c) Uredbe (EU) br. 575/2013</w:t>
            </w:r>
          </w:p>
        </w:tc>
      </w:tr>
      <w:tr w:rsidR="001C742E" w:rsidRPr="00652F74" w14:paraId="3D5F3641" w14:textId="77777777">
        <w:tblPrEx>
          <w:tblLook w:val="00A0" w:firstRow="1" w:lastRow="0" w:firstColumn="1" w:lastColumn="0" w:noHBand="0" w:noVBand="0"/>
        </w:tblPrEx>
        <w:tc>
          <w:tcPr>
            <w:tcW w:w="1129" w:type="dxa"/>
            <w:shd w:val="clear" w:color="auto" w:fill="auto"/>
            <w:vAlign w:val="center"/>
          </w:tcPr>
          <w:p w14:paraId="180A77B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49F00B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dodatnog osnovnog kapitala subjekata financijskog sektora ako institucija ima značajno ulaganje</w:t>
            </w:r>
          </w:p>
          <w:p w14:paraId="42EC566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Članak 9. stavak 2. točka (c) Uredbe </w:t>
            </w:r>
            <w:r w:rsidRPr="00652F74">
              <w:rPr>
                <w:rFonts w:ascii="Times New Roman" w:hAnsi="Times New Roman"/>
                <w:bCs/>
                <w:szCs w:val="22"/>
              </w:rPr>
              <w:t>(EU) 2019/2033</w:t>
            </w:r>
          </w:p>
          <w:p w14:paraId="7FBAD3E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(d) Uredbe (EU) br. 575/2013</w:t>
            </w:r>
          </w:p>
        </w:tc>
      </w:tr>
      <w:tr w:rsidR="001C742E" w:rsidRPr="00652F74" w14:paraId="79DAF715" w14:textId="77777777">
        <w:tblPrEx>
          <w:tblLook w:val="00A0" w:firstRow="1" w:lastRow="0" w:firstColumn="1" w:lastColumn="0" w:noHBand="0" w:noVBand="0"/>
        </w:tblPrEx>
        <w:tc>
          <w:tcPr>
            <w:tcW w:w="1129" w:type="dxa"/>
            <w:shd w:val="clear" w:color="auto" w:fill="auto"/>
            <w:vAlign w:val="center"/>
          </w:tcPr>
          <w:p w14:paraId="08B13B73"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12426A7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Drugi odbici</w:t>
            </w:r>
          </w:p>
          <w:p w14:paraId="18FB403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Zbroj svih ostalih odbitaka u skladu s člankom 56. Uredbe (EU) br. 575/2013 koji nisu uključeni ni u jedan od prethodno navedenih redaka.</w:t>
            </w:r>
          </w:p>
        </w:tc>
      </w:tr>
      <w:tr w:rsidR="001C742E" w:rsidRPr="00652F74" w14:paraId="6A3E72A6" w14:textId="77777777">
        <w:tblPrEx>
          <w:tblLook w:val="00A0" w:firstRow="1" w:lastRow="0" w:firstColumn="1" w:lastColumn="0" w:noHBand="0" w:noVBand="0"/>
        </w:tblPrEx>
        <w:tc>
          <w:tcPr>
            <w:tcW w:w="1129" w:type="dxa"/>
            <w:shd w:val="clear" w:color="auto" w:fill="auto"/>
            <w:vAlign w:val="center"/>
          </w:tcPr>
          <w:p w14:paraId="6045EBEB"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57889F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 drugi e</w:t>
            </w:r>
            <w:r w:rsidRPr="00652F74">
              <w:rPr>
                <w:rFonts w:ascii="Times New Roman" w:hAnsi="Times New Roman"/>
                <w:b/>
                <w:bCs/>
                <w:szCs w:val="22"/>
                <w:u w:val="single"/>
              </w:rPr>
              <w:t>lementi kapitala, odbici i prilagodbe</w:t>
            </w:r>
          </w:p>
          <w:p w14:paraId="2C526CC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7124CFCF"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dodatnog osnovnog kapitala koji se nastavljaju priznavati (članak 483. stavci 4. i 5., članci od 484. </w:t>
            </w:r>
            <w:r w:rsidRPr="00652F74">
              <w:rPr>
                <w:rFonts w:ascii="Times New Roman" w:hAnsi="Times New Roman"/>
                <w:bCs/>
              </w:rPr>
              <w:t>do 487. i članci 489. i 491. Uredbe (EU) br. 575/2013),</w:t>
            </w:r>
          </w:p>
          <w:p w14:paraId="2C45222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instrumenti društava kćeri koji su priznati u dodatnom osnovnom kapitalu (članci 83., 85. i 86. Uredbe (EU) br. 575/2013): zbroj svih iznosa kvalificiranog osnovnog kapitala društava kćeri koji je </w:t>
            </w:r>
            <w:r w:rsidRPr="00652F74">
              <w:rPr>
                <w:rFonts w:ascii="Times New Roman" w:hAnsi="Times New Roman"/>
                <w:bCs/>
              </w:rPr>
              <w:t>uključen u konsolidirani dodatni osnovni kapital, uključujući i kapital koji izdaje subjekt posebne namjene (članak 83. Uredbe (EU) br. 575/2013),</w:t>
            </w:r>
          </w:p>
          <w:p w14:paraId="733BDFA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prijelazna usklađenja na temelju dodatnog priznavanja instrumenata društava kćeri u dodatnom osnovnom kapit</w:t>
            </w:r>
            <w:r w:rsidRPr="00652F74">
              <w:rPr>
                <w:rFonts w:ascii="Times New Roman" w:hAnsi="Times New Roman"/>
                <w:bCs/>
              </w:rPr>
              <w:t xml:space="preserve">alu (članak 480. Uredbe (EU) br. 575/2013) </w:t>
            </w:r>
            <w:r w:rsidRPr="00652F74">
              <w:rPr>
                <w:rFonts w:ascii="Times New Roman" w:hAnsi="Times New Roman"/>
                <w:bCs/>
              </w:rPr>
              <w:lastRenderedPageBreak/>
              <w:t>usklađenja kvalificiranog osnovnog kapitala uključenog u konsolidirani dodatni osnovni kapital zbog prijelaznih odredbi,</w:t>
            </w:r>
          </w:p>
          <w:p w14:paraId="5AFFC6F5"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dodatnog osnovnog kapitala (članci 472., 473.a, 474., 475., 47</w:t>
            </w:r>
            <w:r w:rsidRPr="00652F74">
              <w:rPr>
                <w:rFonts w:ascii="Times New Roman" w:hAnsi="Times New Roman"/>
                <w:bCs/>
              </w:rPr>
              <w:t>8. i 481. Uredbe (EU) br. 575/2013): usklađenja odbitaka zbog prijelaznih odredbi,</w:t>
            </w:r>
          </w:p>
          <w:p w14:paraId="21809553"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dodatnog osnovnog kapitala koji premašuje dodatni osnovni kapital, odbijen od redovnog osnovnog kapitala u skladu s člankom 36. stavkom 1. točkom (j) Ure</w:t>
            </w:r>
            <w:r w:rsidRPr="00652F74">
              <w:rPr>
                <w:rFonts w:ascii="Times New Roman" w:hAnsi="Times New Roman"/>
                <w:bCs/>
              </w:rPr>
              <w:t>dbe (EU) br. 575/2013: dodatni osnovni kapital ne može biti negativan, ali moguće je da odbici od stavki dodatnog osnovnog kapitala premašuju iznos dostupnih stavki dodatnog osnovnog kapitala. U tom slučaju, u ovoj stavci izražava se iznos potreban da bi s</w:t>
            </w:r>
            <w:r w:rsidRPr="00652F74">
              <w:rPr>
                <w:rFonts w:ascii="Times New Roman" w:hAnsi="Times New Roman"/>
                <w:bCs/>
              </w:rPr>
              <w:t>e iznos iskazan u retku 28 povećao na nulu, a odgovara obrnutom iznosu odbitaka od stavki dodatnog osnovnog kapitala koji premašuje dodatni osnovni kapital te je, među ostalim odbicima, uključen u redak 38,</w:t>
            </w:r>
          </w:p>
          <w:p w14:paraId="5CED4F57"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dodatnog osnovnog kapitala ili o</w:t>
            </w:r>
            <w:r w:rsidRPr="00652F74">
              <w:rPr>
                <w:rFonts w:ascii="Times New Roman" w:hAnsi="Times New Roman"/>
                <w:bCs/>
              </w:rPr>
              <w:t>dbici od elementa dodatnog osnovnog kapitala koji se ne mogu rasporediti u jedan od redaka od 29 do 38.</w:t>
            </w:r>
          </w:p>
          <w:p w14:paraId="1709B3A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koristi za uključivanje stavki kapitala ili odbitaka koji nisu obuhvaćeni Uredbom (EU) 2019/2033 ili Uredbom (EU) br. 575/2013 u izraču</w:t>
            </w:r>
            <w:r w:rsidRPr="00652F74">
              <w:rPr>
                <w:rFonts w:ascii="Times New Roman" w:hAnsi="Times New Roman"/>
                <w:bCs/>
                <w:szCs w:val="22"/>
              </w:rPr>
              <w:t>n stopa solventnosti.</w:t>
            </w:r>
          </w:p>
        </w:tc>
      </w:tr>
      <w:tr w:rsidR="001C742E" w:rsidRPr="00652F74" w14:paraId="0EA0C32D" w14:textId="77777777">
        <w:tblPrEx>
          <w:tblLook w:val="00A0" w:firstRow="1" w:lastRow="0" w:firstColumn="1" w:lastColumn="0" w:noHBand="0" w:noVBand="0"/>
        </w:tblPrEx>
        <w:tc>
          <w:tcPr>
            <w:tcW w:w="1129" w:type="dxa"/>
            <w:shd w:val="clear" w:color="auto" w:fill="auto"/>
            <w:vAlign w:val="center"/>
          </w:tcPr>
          <w:p w14:paraId="78C127B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51E6AE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w:t>
            </w:r>
          </w:p>
          <w:p w14:paraId="1AF819D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Uredbe (EU) 2019/2033</w:t>
            </w:r>
          </w:p>
          <w:p w14:paraId="3B03A1CC"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71. Uredbe (EU) br. 575/2013</w:t>
            </w:r>
          </w:p>
          <w:p w14:paraId="1562E96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od 41 do 43 i retka 50.</w:t>
            </w:r>
          </w:p>
        </w:tc>
      </w:tr>
      <w:tr w:rsidR="001C742E" w:rsidRPr="00652F74" w14:paraId="3614BDC5" w14:textId="77777777">
        <w:tblPrEx>
          <w:tblLook w:val="00A0" w:firstRow="1" w:lastRow="0" w:firstColumn="1" w:lastColumn="0" w:noHBand="0" w:noVBand="0"/>
        </w:tblPrEx>
        <w:tc>
          <w:tcPr>
            <w:tcW w:w="1129" w:type="dxa"/>
            <w:shd w:val="clear" w:color="auto" w:fill="auto"/>
            <w:vAlign w:val="center"/>
          </w:tcPr>
          <w:p w14:paraId="486C560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2C818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szCs w:val="22"/>
                <w:u w:val="single"/>
              </w:rPr>
              <w:t>U potpunosti plaćeni, izravno izdani instrumenti kapitala</w:t>
            </w:r>
          </w:p>
          <w:p w14:paraId="69734E4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78FA37D"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62. točka (a) te članci 63. i 65. Uredbe (EU) br. 575/2013</w:t>
            </w:r>
          </w:p>
          <w:p w14:paraId="2C7F98C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ne uključuje premiju na dionice povezanu s instrumentima.</w:t>
            </w:r>
          </w:p>
        </w:tc>
      </w:tr>
      <w:tr w:rsidR="001C742E" w:rsidRPr="00652F74" w14:paraId="1FB38991" w14:textId="77777777">
        <w:tblPrEx>
          <w:tblLook w:val="00A0" w:firstRow="1" w:lastRow="0" w:firstColumn="1" w:lastColumn="0" w:noHBand="0" w:noVBand="0"/>
        </w:tblPrEx>
        <w:tc>
          <w:tcPr>
            <w:tcW w:w="1129" w:type="dxa"/>
            <w:shd w:val="clear" w:color="auto" w:fill="auto"/>
            <w:vAlign w:val="center"/>
          </w:tcPr>
          <w:p w14:paraId="54C1003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32FD8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3E35D87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32BD7F88"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62. točka (b) i članak 65. Uredbe (EU) br. 575/2013</w:t>
            </w:r>
          </w:p>
          <w:p w14:paraId="2AD25063"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6162A07B"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 ovoj stavci dio je koji se odnosi na „plaćene instrumente kap</w:t>
            </w:r>
            <w:r w:rsidRPr="00652F74">
              <w:rPr>
                <w:rStyle w:val="FormatvorlageInstructionsTabelleText"/>
                <w:rFonts w:ascii="Times New Roman" w:hAnsi="Times New Roman"/>
                <w:sz w:val="22"/>
              </w:rPr>
              <w:t>itala”.</w:t>
            </w:r>
          </w:p>
        </w:tc>
      </w:tr>
      <w:tr w:rsidR="001C742E" w:rsidRPr="00652F74" w14:paraId="7FAD8FD2" w14:textId="77777777">
        <w:tblPrEx>
          <w:tblLook w:val="00A0" w:firstRow="1" w:lastRow="0" w:firstColumn="1" w:lastColumn="0" w:noHBand="0" w:noVBand="0"/>
        </w:tblPrEx>
        <w:tc>
          <w:tcPr>
            <w:tcW w:w="1129" w:type="dxa"/>
            <w:shd w:val="clear" w:color="auto" w:fill="auto"/>
            <w:vAlign w:val="center"/>
          </w:tcPr>
          <w:p w14:paraId="45B1555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F22F5D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DOPUNSKOG KAPITALA</w:t>
            </w:r>
          </w:p>
          <w:p w14:paraId="3B3F1FA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Članak 66. Uredbe (EU) br. 575/2013</w:t>
            </w:r>
          </w:p>
        </w:tc>
      </w:tr>
      <w:tr w:rsidR="001C742E" w:rsidRPr="00652F74" w14:paraId="268E45D1" w14:textId="77777777">
        <w:tblPrEx>
          <w:tblLook w:val="00A0" w:firstRow="1" w:lastRow="0" w:firstColumn="1" w:lastColumn="0" w:noHBand="0" w:noVBand="0"/>
        </w:tblPrEx>
        <w:tc>
          <w:tcPr>
            <w:tcW w:w="1129" w:type="dxa"/>
            <w:shd w:val="clear" w:color="auto" w:fill="auto"/>
            <w:vAlign w:val="center"/>
          </w:tcPr>
          <w:p w14:paraId="407362C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25A2218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dopunskog kapitala</w:t>
            </w:r>
          </w:p>
          <w:p w14:paraId="57ECDD5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34F4D76F"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63. točka (b) podtočka</w:t>
            </w:r>
            <w:r w:rsidRPr="00652F74">
              <w:rPr>
                <w:rStyle w:val="FormatvorlageInstructionsTabelleText"/>
                <w:rFonts w:ascii="Times New Roman" w:hAnsi="Times New Roman"/>
                <w:sz w:val="22"/>
              </w:rPr>
              <w:t xml:space="preserve"> i.</w:t>
            </w:r>
            <w:r w:rsidRPr="00652F74">
              <w:rPr>
                <w:rStyle w:val="FormatvorlageInstructionsTabelleText"/>
                <w:rFonts w:ascii="Times New Roman" w:hAnsi="Times New Roman"/>
                <w:sz w:val="22"/>
              </w:rPr>
              <w:t xml:space="preserve">, članak 66. točka (a) i </w:t>
            </w:r>
            <w:r w:rsidRPr="00652F74">
              <w:rPr>
                <w:rStyle w:val="FormatvorlageInstructionsTabelleText"/>
                <w:rFonts w:ascii="Times New Roman" w:hAnsi="Times New Roman"/>
                <w:sz w:val="22"/>
              </w:rPr>
              <w:t>članak 67. Uredbe (EU) br. 575/2013</w:t>
            </w:r>
          </w:p>
          <w:p w14:paraId="2FF97BF7"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Vlastiti instrumenti dopunskog kapitala koje drži institucija ili grupa koja izvješćuje na datum izvješćivanja. Podložno iznimkama iz članka 67. Uredbe (EU) br. 575/2013.</w:t>
            </w:r>
          </w:p>
          <w:p w14:paraId="111586E1"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U ovom se retku ne objavljuju ulaganja u dionice </w:t>
            </w:r>
            <w:r w:rsidRPr="00652F74">
              <w:rPr>
                <w:rStyle w:val="FormatvorlageInstructionsTabelleText"/>
                <w:rFonts w:ascii="Times New Roman" w:hAnsi="Times New Roman"/>
                <w:sz w:val="22"/>
              </w:rPr>
              <w:t>uključena kao „instrumenti kapitala koji se ne priznaju”.</w:t>
            </w:r>
          </w:p>
          <w:p w14:paraId="01E4188B"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uključuje premiju na dionice povezanu s vlastitim dionicama.</w:t>
            </w:r>
          </w:p>
        </w:tc>
      </w:tr>
      <w:tr w:rsidR="001C742E" w:rsidRPr="00652F74" w14:paraId="6D465332" w14:textId="77777777">
        <w:tblPrEx>
          <w:tblLook w:val="00A0" w:firstRow="1" w:lastRow="0" w:firstColumn="1" w:lastColumn="0" w:noHBand="0" w:noVBand="0"/>
        </w:tblPrEx>
        <w:tc>
          <w:tcPr>
            <w:tcW w:w="1129" w:type="dxa"/>
            <w:shd w:val="clear" w:color="auto" w:fill="auto"/>
            <w:vAlign w:val="center"/>
          </w:tcPr>
          <w:p w14:paraId="3B193B0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51FAF6D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Izravna ulaganja u instrumente dopunskog kapitala</w:t>
            </w:r>
          </w:p>
          <w:p w14:paraId="23DCEB94" w14:textId="77777777" w:rsidR="001C742E" w:rsidRPr="00652F74" w:rsidRDefault="00652F74">
            <w:pPr>
              <w:pStyle w:val="InstructionsText"/>
            </w:pPr>
            <w:r w:rsidRPr="00652F74">
              <w:rPr>
                <w:rStyle w:val="FormatvorlageInstructionsTabelleText"/>
                <w:rFonts w:ascii="Times New Roman" w:hAnsi="Times New Roman"/>
                <w:sz w:val="22"/>
              </w:rPr>
              <w:t>Članak 63. točka (b), članak 66. točka (a) i članak 67</w:t>
            </w:r>
            <w:r w:rsidRPr="00652F74">
              <w:rPr>
                <w:rStyle w:val="FormatvorlageInstructionsTabelleText"/>
                <w:rFonts w:ascii="Times New Roman" w:hAnsi="Times New Roman"/>
                <w:sz w:val="22"/>
              </w:rPr>
              <w:t>. Uredbe (EU) br. 575/2013</w:t>
            </w:r>
          </w:p>
        </w:tc>
      </w:tr>
      <w:tr w:rsidR="001C742E" w:rsidRPr="00652F74" w14:paraId="0C82F591" w14:textId="77777777">
        <w:tblPrEx>
          <w:tblLook w:val="00A0" w:firstRow="1" w:lastRow="0" w:firstColumn="1" w:lastColumn="0" w:noHBand="0" w:noVBand="0"/>
        </w:tblPrEx>
        <w:tc>
          <w:tcPr>
            <w:tcW w:w="1129" w:type="dxa"/>
            <w:shd w:val="clear" w:color="auto" w:fill="auto"/>
            <w:vAlign w:val="center"/>
          </w:tcPr>
          <w:p w14:paraId="3DF29B7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F4369F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Neizravna ulaganja u instrumente dopunskog kapitala</w:t>
            </w:r>
          </w:p>
          <w:p w14:paraId="78450FF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Članak 4. stavak 1. točka 114., članak 63. točka (b), članak 66. točka (a) i članak 67. Uredbe (EU) br. 575/2013</w:t>
            </w:r>
          </w:p>
        </w:tc>
      </w:tr>
      <w:tr w:rsidR="001C742E" w:rsidRPr="00652F74" w14:paraId="572BA6A0" w14:textId="77777777">
        <w:tblPrEx>
          <w:tblLook w:val="00A0" w:firstRow="1" w:lastRow="0" w:firstColumn="1" w:lastColumn="0" w:noHBand="0" w:noVBand="0"/>
        </w:tblPrEx>
        <w:tc>
          <w:tcPr>
            <w:tcW w:w="1129" w:type="dxa"/>
            <w:shd w:val="clear" w:color="auto" w:fill="auto"/>
            <w:vAlign w:val="center"/>
          </w:tcPr>
          <w:p w14:paraId="1713660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E3D4C9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Sintetska ulaganja u instrumente </w:t>
            </w:r>
            <w:r w:rsidRPr="00652F74">
              <w:rPr>
                <w:rFonts w:ascii="Times New Roman" w:hAnsi="Times New Roman"/>
                <w:b/>
                <w:bCs/>
                <w:szCs w:val="22"/>
                <w:u w:val="single"/>
              </w:rPr>
              <w:t>dopunskog kapitala</w:t>
            </w:r>
          </w:p>
          <w:p w14:paraId="70B126D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Članak 4. stavak 1. točka 126., članak 63. točka (b), članak 66. točka (a) i članak 67. Uredbe (EU) br. 575/2013</w:t>
            </w:r>
          </w:p>
        </w:tc>
      </w:tr>
      <w:tr w:rsidR="001C742E" w:rsidRPr="00652F74" w14:paraId="259A9F3A" w14:textId="77777777">
        <w:tblPrEx>
          <w:tblLook w:val="00A0" w:firstRow="1" w:lastRow="0" w:firstColumn="1" w:lastColumn="0" w:noHBand="0" w:noVBand="0"/>
        </w:tblPrEx>
        <w:tc>
          <w:tcPr>
            <w:tcW w:w="1129" w:type="dxa"/>
            <w:shd w:val="clear" w:color="auto" w:fill="auto"/>
            <w:vAlign w:val="center"/>
          </w:tcPr>
          <w:p w14:paraId="40A41BA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C65D4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dopunskog kapitala subjekata financijskog sektora ako institucija nema značajno ulaganje</w:t>
            </w:r>
          </w:p>
          <w:p w14:paraId="3EF4D3F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51758C7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66. točka (c) Uredbe (EU) br. 575/2013</w:t>
            </w:r>
          </w:p>
        </w:tc>
      </w:tr>
      <w:tr w:rsidR="001C742E" w:rsidRPr="00652F74" w14:paraId="57431A5F"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37DB406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1434C9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dopunskog kapitala subjekata financijskog sektora ako institucija ima značajno ulaganje</w:t>
            </w:r>
          </w:p>
          <w:p w14:paraId="3DDE497F"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4. stavak 1. točka 27., članak 66. točka (d</w:t>
            </w:r>
            <w:r w:rsidRPr="00652F74">
              <w:rPr>
                <w:rStyle w:val="FormatvorlageInstructionsTabelleText"/>
                <w:rFonts w:ascii="Times New Roman" w:hAnsi="Times New Roman"/>
                <w:sz w:val="22"/>
              </w:rPr>
              <w:t>), članci 68., 69 i 79. Uredbe (EU) br. 575/2013</w:t>
            </w:r>
          </w:p>
          <w:p w14:paraId="13B664B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Ulaganja institucije u instrumente dopunskog kapitala subjekata financijskog sektora (kako su definirani u članku 4. stavku 1. točki 27. Uredbe (EU) br. 575/2013) ako investicijsko društvo ima značajno ulaga</w:t>
            </w:r>
            <w:r w:rsidRPr="00652F74">
              <w:rPr>
                <w:rStyle w:val="FormatvorlageInstructionsTabelleText"/>
                <w:rFonts w:ascii="Times New Roman" w:hAnsi="Times New Roman"/>
                <w:sz w:val="22"/>
                <w:szCs w:val="22"/>
              </w:rPr>
              <w:t>nje koje je potrebno u potpunosti odbiti</w:t>
            </w:r>
          </w:p>
        </w:tc>
      </w:tr>
      <w:tr w:rsidR="001C742E" w:rsidRPr="00652F74" w14:paraId="0FFFE9A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4579071"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E4D286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 drugi elementi kapitala, odbici i prilagodbe</w:t>
            </w:r>
          </w:p>
          <w:p w14:paraId="2113B9B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0CC90B5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dopunskog kapitala koji se </w:t>
            </w:r>
            <w:r w:rsidRPr="00652F74">
              <w:rPr>
                <w:rFonts w:ascii="Times New Roman" w:hAnsi="Times New Roman"/>
                <w:bCs/>
              </w:rPr>
              <w:t>nastavljaju priznavati (članak 483. stavci 6. i 7., članci 484., 486., 488., 490. i 491. Uredbe (EU) br. 575/2013),</w:t>
            </w:r>
          </w:p>
          <w:p w14:paraId="17C491E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instrumenti društava kćeri koji su priznati u dopunskom kapitalu (članci 83., 87. i 88. Uredbe (EU) br. 575/2013): zbroj svih iznosa kvali</w:t>
            </w:r>
            <w:r w:rsidRPr="00652F74">
              <w:rPr>
                <w:rFonts w:ascii="Times New Roman" w:hAnsi="Times New Roman"/>
                <w:bCs/>
              </w:rPr>
              <w:t>ficiranog regulatornog kapitala društava kćeri koji je uključen u konsolidirani dopunski kapital, uključujući i kvalificirani dopunski kapital koji izdaje subjekt posebne namjene (članak 83. Uredbe (EU) br. 575/2013),</w:t>
            </w:r>
          </w:p>
          <w:p w14:paraId="6B1DEC1C"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w:t>
            </w:r>
            <w:r w:rsidRPr="00652F74">
              <w:rPr>
                <w:rFonts w:ascii="Times New Roman" w:hAnsi="Times New Roman"/>
                <w:bCs/>
              </w:rPr>
              <w:t>temelju dodatnog priznavanja instrumenata društava kćeri u dopunskom kapitalu (članak 480. Uredbe (EU) br. 575/2013): usklađenja kvalificiranog regulatornog kapitala uključenog u konsolidirani dopunski kapital zbog prijelaznih odredbi,</w:t>
            </w:r>
          </w:p>
          <w:p w14:paraId="75F7D9EA"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w:t>
            </w:r>
            <w:r w:rsidRPr="00652F74">
              <w:rPr>
                <w:rFonts w:ascii="Times New Roman" w:hAnsi="Times New Roman"/>
                <w:bCs/>
              </w:rPr>
              <w:t>sklađenja dopunskog kapitala (članci 472., 473.a, 476., 477., 478. i 481. Uredbe (EU) br. 575/2013): usklađenja odbitaka od dopunskog kapitala na temelju prijelaznih odredbi,</w:t>
            </w:r>
          </w:p>
          <w:p w14:paraId="406FEE01"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dopunskog kapitala koji premašuje dopunski kapital, odbijen o</w:t>
            </w:r>
            <w:r w:rsidRPr="00652F74">
              <w:rPr>
                <w:rFonts w:ascii="Times New Roman" w:hAnsi="Times New Roman"/>
                <w:bCs/>
              </w:rPr>
              <w:t>d redovnog osnovnog kapitala u skladu s člankom 56. točkom (e) Uredbe (EU) br. 575/2013: dopunski kapital ne može biti negativan, ali moguće je da odbici od stavki dopunskog kapitala premašuju iznos dostupnih stavki dopunskog kapitala. U tom slučaju, u ovo</w:t>
            </w:r>
            <w:r w:rsidRPr="00652F74">
              <w:rPr>
                <w:rFonts w:ascii="Times New Roman" w:hAnsi="Times New Roman"/>
                <w:bCs/>
              </w:rPr>
              <w:t>j se stavci izražava iznos potreban da bi se iznos iskazan u retku 40 povećao na nulu,</w:t>
            </w:r>
          </w:p>
          <w:p w14:paraId="210A69EB"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dopunskog kapitala ili odbici od elementa dopunskog kapitala koji se ne mogu rasporediti u jedan od redaka od 41 do 49.</w:t>
            </w:r>
          </w:p>
          <w:p w14:paraId="278E0FC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lastRenderedPageBreak/>
              <w:t>Ovaj se redak ne koristi za uklj</w:t>
            </w:r>
            <w:r w:rsidRPr="00652F74">
              <w:rPr>
                <w:rFonts w:ascii="Times New Roman" w:hAnsi="Times New Roman"/>
                <w:bCs/>
                <w:szCs w:val="22"/>
              </w:rPr>
              <w:t>učivanje stavki kapitala ili odbitaka koji nisu obuhvaćeni Uredbom (EU) 2019/2033 ili Uredbom (EU) br. 575/2013 u izračun stopa solventnosti.</w:t>
            </w:r>
          </w:p>
        </w:tc>
      </w:tr>
    </w:tbl>
    <w:p w14:paraId="67B2C95C" w14:textId="77777777" w:rsidR="001C742E" w:rsidRPr="00652F74" w:rsidRDefault="001C742E">
      <w:pPr>
        <w:spacing w:before="120" w:after="120"/>
        <w:jc w:val="both"/>
        <w:rPr>
          <w:rFonts w:ascii="Times New Roman" w:hAnsi="Times New Roman" w:cs="Times New Roman"/>
          <w:bCs/>
          <w:sz w:val="24"/>
        </w:rPr>
      </w:pPr>
    </w:p>
    <w:p w14:paraId="50E3C2A3" w14:textId="77777777" w:rsidR="001C742E" w:rsidRPr="00652F74" w:rsidRDefault="00652F74">
      <w:pPr>
        <w:ind w:left="720"/>
        <w:rPr>
          <w:rFonts w:ascii="Times New Roman" w:hAnsi="Times New Roman" w:cs="Times New Roman"/>
          <w:b/>
          <w:bCs/>
          <w:sz w:val="24"/>
        </w:rPr>
      </w:pPr>
      <w:r w:rsidRPr="00652F74">
        <w:rPr>
          <w:rFonts w:ascii="Times New Roman" w:hAnsi="Times New Roman"/>
          <w:b/>
          <w:bCs/>
          <w:sz w:val="24"/>
        </w:rPr>
        <w:t>Obrazac EU I CC1.02 – Sastav regulatornog kapitala (mala i nepovezana investicijska društva)</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1C742E" w:rsidRPr="00652F74" w14:paraId="659BB9FE" w14:textId="77777777">
        <w:trPr>
          <w:trHeight w:val="395"/>
        </w:trPr>
        <w:tc>
          <w:tcPr>
            <w:tcW w:w="8812" w:type="dxa"/>
            <w:gridSpan w:val="2"/>
            <w:shd w:val="clear" w:color="auto" w:fill="D9D9D9" w:themeFill="background1" w:themeFillShade="D9"/>
          </w:tcPr>
          <w:p w14:paraId="4CAEB67D" w14:textId="77777777" w:rsidR="001C742E" w:rsidRPr="00652F74" w:rsidRDefault="00652F74">
            <w:pPr>
              <w:pStyle w:val="TableTitle"/>
              <w:spacing w:before="0" w:after="0"/>
              <w:jc w:val="left"/>
              <w:rPr>
                <w:rFonts w:ascii="Times New Roman" w:hAnsi="Times New Roman"/>
                <w:szCs w:val="22"/>
              </w:rPr>
            </w:pPr>
            <w:r w:rsidRPr="00652F74">
              <w:rPr>
                <w:rFonts w:ascii="Times New Roman" w:hAnsi="Times New Roman"/>
                <w:szCs w:val="22"/>
              </w:rPr>
              <w:t xml:space="preserve">Pravna osnova i </w:t>
            </w:r>
            <w:r w:rsidRPr="00652F74">
              <w:rPr>
                <w:rFonts w:ascii="Times New Roman" w:hAnsi="Times New Roman"/>
                <w:szCs w:val="22"/>
              </w:rPr>
              <w:t>upute</w:t>
            </w:r>
          </w:p>
        </w:tc>
      </w:tr>
      <w:tr w:rsidR="001C742E" w:rsidRPr="00652F74" w14:paraId="5CD5EE19" w14:textId="77777777">
        <w:tblPrEx>
          <w:tblLook w:val="00A0" w:firstRow="1" w:lastRow="0" w:firstColumn="1" w:lastColumn="0" w:noHBand="0" w:noVBand="0"/>
        </w:tblPrEx>
        <w:tc>
          <w:tcPr>
            <w:tcW w:w="1129" w:type="dxa"/>
            <w:tcBorders>
              <w:bottom w:val="single" w:sz="4" w:space="0" w:color="auto"/>
            </w:tcBorders>
            <w:shd w:val="clear" w:color="auto" w:fill="D9D9D9"/>
          </w:tcPr>
          <w:p w14:paraId="223B244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Redak</w:t>
            </w:r>
          </w:p>
        </w:tc>
        <w:tc>
          <w:tcPr>
            <w:tcW w:w="7683" w:type="dxa"/>
            <w:tcBorders>
              <w:bottom w:val="single" w:sz="4" w:space="0" w:color="auto"/>
            </w:tcBorders>
            <w:shd w:val="clear" w:color="auto" w:fill="D9D9D9"/>
          </w:tcPr>
          <w:p w14:paraId="51EBC44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Pravna osnova i upute</w:t>
            </w:r>
          </w:p>
        </w:tc>
      </w:tr>
      <w:tr w:rsidR="001C742E" w:rsidRPr="00652F74" w14:paraId="3C9E7D88" w14:textId="77777777">
        <w:tblPrEx>
          <w:tblLook w:val="00A0" w:firstRow="1" w:lastRow="0" w:firstColumn="1" w:lastColumn="0" w:noHBand="0" w:noVBand="0"/>
        </w:tblPrEx>
        <w:tc>
          <w:tcPr>
            <w:tcW w:w="1129" w:type="dxa"/>
            <w:shd w:val="clear" w:color="auto" w:fill="auto"/>
            <w:vAlign w:val="center"/>
          </w:tcPr>
          <w:p w14:paraId="161C1D2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w:t>
            </w:r>
          </w:p>
        </w:tc>
        <w:tc>
          <w:tcPr>
            <w:tcW w:w="7683" w:type="dxa"/>
            <w:shd w:val="clear" w:color="auto" w:fill="auto"/>
          </w:tcPr>
          <w:p w14:paraId="4F976CD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Regulatorni kapital</w:t>
            </w:r>
          </w:p>
          <w:p w14:paraId="7F37176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7F896CBB"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 xml:space="preserve">Regulatorni kapital investicijskog društva sastoji se od zbroja njegova redovnog osnovnog kapitala, dodatnog osnovnog kapitala i dopunskog </w:t>
            </w:r>
            <w:r w:rsidRPr="00652F74">
              <w:rPr>
                <w:rStyle w:val="FormatvorlageInstructionsTabelleText"/>
                <w:rFonts w:ascii="Times New Roman" w:hAnsi="Times New Roman"/>
                <w:sz w:val="22"/>
                <w:szCs w:val="22"/>
              </w:rPr>
              <w:t>kapitala.</w:t>
            </w:r>
          </w:p>
          <w:p w14:paraId="561D49A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2 i 25.</w:t>
            </w:r>
          </w:p>
        </w:tc>
      </w:tr>
      <w:tr w:rsidR="001C742E" w:rsidRPr="00652F74" w14:paraId="771B4016" w14:textId="77777777">
        <w:tblPrEx>
          <w:tblLook w:val="00A0" w:firstRow="1" w:lastRow="0" w:firstColumn="1" w:lastColumn="0" w:noHBand="0" w:noVBand="0"/>
        </w:tblPrEx>
        <w:tc>
          <w:tcPr>
            <w:tcW w:w="1129" w:type="dxa"/>
            <w:shd w:val="clear" w:color="auto" w:fill="auto"/>
            <w:vAlign w:val="center"/>
          </w:tcPr>
          <w:p w14:paraId="27428E4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w:t>
            </w:r>
          </w:p>
        </w:tc>
        <w:tc>
          <w:tcPr>
            <w:tcW w:w="7683" w:type="dxa"/>
            <w:shd w:val="clear" w:color="auto" w:fill="auto"/>
          </w:tcPr>
          <w:p w14:paraId="3F599C7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Osnovni kapital</w:t>
            </w:r>
          </w:p>
          <w:p w14:paraId="6BD3D35F"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Osnovni kapital zbroj je redovnog osnovnog kapitala i dodatnog osnovnog kapitala.</w:t>
            </w:r>
          </w:p>
          <w:p w14:paraId="3860DD6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3 i 20.</w:t>
            </w:r>
          </w:p>
        </w:tc>
      </w:tr>
      <w:tr w:rsidR="001C742E" w:rsidRPr="00652F74" w14:paraId="752C15B6" w14:textId="77777777">
        <w:tblPrEx>
          <w:tblLook w:val="00A0" w:firstRow="1" w:lastRow="0" w:firstColumn="1" w:lastColumn="0" w:noHBand="0" w:noVBand="0"/>
        </w:tblPrEx>
        <w:tc>
          <w:tcPr>
            <w:tcW w:w="1129" w:type="dxa"/>
            <w:shd w:val="clear" w:color="auto" w:fill="auto"/>
            <w:vAlign w:val="center"/>
          </w:tcPr>
          <w:p w14:paraId="6B76939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3</w:t>
            </w:r>
          </w:p>
        </w:tc>
        <w:tc>
          <w:tcPr>
            <w:tcW w:w="7683" w:type="dxa"/>
            <w:shd w:val="clear" w:color="auto" w:fill="auto"/>
          </w:tcPr>
          <w:p w14:paraId="3F09BF2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InstructionsTabelleberschrift"/>
                <w:rFonts w:ascii="Times New Roman" w:hAnsi="Times New Roman"/>
                <w:sz w:val="22"/>
                <w:szCs w:val="22"/>
              </w:rPr>
              <w:t>Redovni osnovni kapital</w:t>
            </w:r>
          </w:p>
          <w:p w14:paraId="73F83D1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Članak 9. stavak 1. Uredbe </w:t>
            </w:r>
            <w:r w:rsidRPr="00652F74">
              <w:rPr>
                <w:rFonts w:ascii="Times New Roman" w:hAnsi="Times New Roman"/>
                <w:bCs/>
                <w:szCs w:val="22"/>
              </w:rPr>
              <w:t>(EU) 2019/2033</w:t>
            </w:r>
          </w:p>
          <w:p w14:paraId="154DC04E"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50. Uredbe (EU) br. 575/2013</w:t>
            </w:r>
          </w:p>
          <w:p w14:paraId="62D7357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Objavljuje se ukupni zbroj redaka od 4 do 11 i retka 19.</w:t>
            </w:r>
          </w:p>
        </w:tc>
      </w:tr>
      <w:tr w:rsidR="001C742E" w:rsidRPr="00652F74" w14:paraId="6E167175" w14:textId="77777777">
        <w:tblPrEx>
          <w:tblLook w:val="00A0" w:firstRow="1" w:lastRow="0" w:firstColumn="1" w:lastColumn="0" w:noHBand="0" w:noVBand="0"/>
        </w:tblPrEx>
        <w:tc>
          <w:tcPr>
            <w:tcW w:w="1129" w:type="dxa"/>
            <w:shd w:val="clear" w:color="auto" w:fill="auto"/>
            <w:vAlign w:val="center"/>
          </w:tcPr>
          <w:p w14:paraId="3749D96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w:t>
            </w:r>
          </w:p>
        </w:tc>
        <w:tc>
          <w:tcPr>
            <w:tcW w:w="7683" w:type="dxa"/>
            <w:shd w:val="clear" w:color="auto" w:fill="auto"/>
          </w:tcPr>
          <w:p w14:paraId="27255E9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szCs w:val="22"/>
                <w:u w:val="single"/>
              </w:rPr>
              <w:t>U potpunosti plaćeni instrumenti kapitala</w:t>
            </w:r>
          </w:p>
          <w:p w14:paraId="5FAAA67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30C0F461"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26. stavak 1. točka (a) i članci od 27. do 31</w:t>
            </w:r>
            <w:r w:rsidRPr="00652F74">
              <w:rPr>
                <w:rStyle w:val="FormatvorlageInstructionsTabelleText"/>
                <w:rFonts w:ascii="Times New Roman" w:hAnsi="Times New Roman"/>
                <w:sz w:val="22"/>
              </w:rPr>
              <w:t>. Uredbe (EU) br. 575/2013</w:t>
            </w:r>
          </w:p>
          <w:p w14:paraId="756BFC36"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Uključuju se instrumenti kapitala uzajamnih institucija, zadruga ili sličnih institucija (članci 27. i 29. Uredbe (EU) br. 575/2013).</w:t>
            </w:r>
          </w:p>
          <w:p w14:paraId="4AB78EB0"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Ne uključuje se premija na dionice povezana s instrumentima.</w:t>
            </w:r>
          </w:p>
          <w:p w14:paraId="7EE9E581" w14:textId="77777777" w:rsidR="001C742E" w:rsidRPr="00652F74" w:rsidRDefault="00652F74">
            <w:pPr>
              <w:pStyle w:val="InstructionsText"/>
            </w:pPr>
            <w:r w:rsidRPr="00652F74">
              <w:rPr>
                <w:rStyle w:val="FormatvorlageInstructionsTabelleText"/>
                <w:rFonts w:ascii="Times New Roman" w:hAnsi="Times New Roman"/>
                <w:sz w:val="22"/>
              </w:rPr>
              <w:t xml:space="preserve">Instrumenti kapitala koje </w:t>
            </w:r>
            <w:r w:rsidRPr="00652F74">
              <w:rPr>
                <w:rStyle w:val="FormatvorlageInstructionsTabelleText"/>
                <w:rFonts w:ascii="Times New Roman" w:hAnsi="Times New Roman"/>
                <w:sz w:val="22"/>
              </w:rPr>
              <w:t>upisuju tijela javne vlasti u izvanrednim situacijama uključuju se ako su ispunjeni svi uvjeti iz članka 31. Uredbe (EU) br. 575/2013.</w:t>
            </w:r>
          </w:p>
        </w:tc>
      </w:tr>
      <w:tr w:rsidR="001C742E" w:rsidRPr="00652F74" w14:paraId="43D8C439" w14:textId="77777777">
        <w:tblPrEx>
          <w:tblLook w:val="00A0" w:firstRow="1" w:lastRow="0" w:firstColumn="1" w:lastColumn="0" w:noHBand="0" w:noVBand="0"/>
        </w:tblPrEx>
        <w:tc>
          <w:tcPr>
            <w:tcW w:w="1129" w:type="dxa"/>
            <w:shd w:val="clear" w:color="auto" w:fill="auto"/>
            <w:vAlign w:val="center"/>
          </w:tcPr>
          <w:p w14:paraId="6E0B8F6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5</w:t>
            </w:r>
          </w:p>
        </w:tc>
        <w:tc>
          <w:tcPr>
            <w:tcW w:w="7683" w:type="dxa"/>
            <w:shd w:val="clear" w:color="auto" w:fill="auto"/>
          </w:tcPr>
          <w:p w14:paraId="4C899D5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5666DA1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2CA88DD"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 xml:space="preserve">Članak 26. stavak 1. točka (b) Uredbe (EU) </w:t>
            </w:r>
            <w:r w:rsidRPr="00652F74">
              <w:rPr>
                <w:rStyle w:val="FormatvorlageInstructionsTabelleText"/>
                <w:rFonts w:ascii="Times New Roman" w:hAnsi="Times New Roman"/>
                <w:sz w:val="22"/>
                <w:szCs w:val="22"/>
              </w:rPr>
              <w:t>br. 575/2013</w:t>
            </w:r>
          </w:p>
          <w:p w14:paraId="6EF16990"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3E6BAD0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u ovoj stavci dio je koji se odnosi na „plaćene instrumente kapitala”.</w:t>
            </w:r>
          </w:p>
        </w:tc>
      </w:tr>
      <w:tr w:rsidR="001C742E" w:rsidRPr="00652F74" w14:paraId="2918A348" w14:textId="77777777">
        <w:tblPrEx>
          <w:tblLook w:val="00A0" w:firstRow="1" w:lastRow="0" w:firstColumn="1" w:lastColumn="0" w:noHBand="0" w:noVBand="0"/>
        </w:tblPrEx>
        <w:tc>
          <w:tcPr>
            <w:tcW w:w="1129" w:type="dxa"/>
            <w:shd w:val="clear" w:color="auto" w:fill="auto"/>
            <w:vAlign w:val="center"/>
          </w:tcPr>
          <w:p w14:paraId="6DEC95C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6</w:t>
            </w:r>
          </w:p>
        </w:tc>
        <w:tc>
          <w:tcPr>
            <w:tcW w:w="7683" w:type="dxa"/>
            <w:shd w:val="clear" w:color="auto" w:fill="auto"/>
          </w:tcPr>
          <w:p w14:paraId="283AA95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Zadržana dobit</w:t>
            </w:r>
          </w:p>
          <w:p w14:paraId="6D7E60E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w:t>
            </w:r>
            <w:r w:rsidRPr="00652F74">
              <w:rPr>
                <w:rFonts w:ascii="Times New Roman" w:hAnsi="Times New Roman"/>
                <w:bCs/>
                <w:szCs w:val="22"/>
              </w:rPr>
              <w:t>19/2033</w:t>
            </w:r>
          </w:p>
          <w:p w14:paraId="2458DEB4" w14:textId="77777777" w:rsidR="001C742E" w:rsidRPr="00652F74" w:rsidRDefault="00652F74">
            <w:pPr>
              <w:spacing w:after="120"/>
              <w:jc w:val="both"/>
              <w:rPr>
                <w:rFonts w:ascii="Times New Roman" w:eastAsia="Times New Roman" w:hAnsi="Times New Roman" w:cs="Times New Roman"/>
                <w:bCs/>
                <w:szCs w:val="22"/>
              </w:rPr>
            </w:pPr>
            <w:r w:rsidRPr="00652F74">
              <w:rPr>
                <w:rStyle w:val="FormatvorlageInstructionsTabelleText"/>
                <w:rFonts w:ascii="Times New Roman" w:hAnsi="Times New Roman"/>
                <w:sz w:val="22"/>
                <w:szCs w:val="22"/>
              </w:rPr>
              <w:t>Članak 26. stavak 1. točka (c) Uredbe (EU) br. 575/2013</w:t>
            </w:r>
          </w:p>
          <w:p w14:paraId="0064763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lastRenderedPageBreak/>
              <w:t>Zadržana dobit uključuje zadržanu dobit prethodne godine uvećanu za priznatu dobit tekuće godine ostvarenu tijekom poslovne godine ili dobit tekuće godine ostvarenu na kraju poslovne godine.</w:t>
            </w:r>
          </w:p>
        </w:tc>
      </w:tr>
      <w:tr w:rsidR="001C742E" w:rsidRPr="00652F74" w14:paraId="15C806C4" w14:textId="77777777">
        <w:tblPrEx>
          <w:tblLook w:val="00A0" w:firstRow="1" w:lastRow="0" w:firstColumn="1" w:lastColumn="0" w:noHBand="0" w:noVBand="0"/>
        </w:tblPrEx>
        <w:tc>
          <w:tcPr>
            <w:tcW w:w="1129" w:type="dxa"/>
            <w:shd w:val="clear" w:color="auto" w:fill="auto"/>
            <w:vAlign w:val="center"/>
          </w:tcPr>
          <w:p w14:paraId="313CBF9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7</w:t>
            </w:r>
          </w:p>
        </w:tc>
        <w:tc>
          <w:tcPr>
            <w:tcW w:w="7683" w:type="dxa"/>
            <w:shd w:val="clear" w:color="auto" w:fill="auto"/>
          </w:tcPr>
          <w:p w14:paraId="028E380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Akumulirana ostala sveobuhvatna dobit</w:t>
            </w:r>
          </w:p>
          <w:p w14:paraId="2508454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9567B61" w14:textId="77777777" w:rsidR="001C742E" w:rsidRPr="00652F74" w:rsidRDefault="00652F74">
            <w:pPr>
              <w:spacing w:after="120"/>
              <w:jc w:val="both"/>
              <w:rPr>
                <w:rFonts w:ascii="Times New Roman" w:hAnsi="Times New Roman" w:cs="Times New Roman"/>
                <w:bCs/>
                <w:szCs w:val="22"/>
              </w:rPr>
            </w:pPr>
            <w:r w:rsidRPr="00652F74">
              <w:rPr>
                <w:rStyle w:val="FormatvorlageInstructionsTabelleText"/>
                <w:rFonts w:ascii="Times New Roman" w:hAnsi="Times New Roman"/>
                <w:sz w:val="22"/>
                <w:szCs w:val="22"/>
              </w:rPr>
              <w:t>Članak 26. stavak 1. točka (d) Uredbe (EU) br. 575/2013</w:t>
            </w:r>
          </w:p>
        </w:tc>
      </w:tr>
      <w:tr w:rsidR="001C742E" w:rsidRPr="00652F74" w14:paraId="047CFEA4" w14:textId="77777777">
        <w:tblPrEx>
          <w:tblLook w:val="00A0" w:firstRow="1" w:lastRow="0" w:firstColumn="1" w:lastColumn="0" w:noHBand="0" w:noVBand="0"/>
        </w:tblPrEx>
        <w:tc>
          <w:tcPr>
            <w:tcW w:w="1129" w:type="dxa"/>
            <w:shd w:val="clear" w:color="auto" w:fill="auto"/>
            <w:vAlign w:val="center"/>
          </w:tcPr>
          <w:p w14:paraId="35B84E7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8</w:t>
            </w:r>
          </w:p>
        </w:tc>
        <w:tc>
          <w:tcPr>
            <w:tcW w:w="7683" w:type="dxa"/>
            <w:tcBorders>
              <w:bottom w:val="single" w:sz="4" w:space="0" w:color="auto"/>
            </w:tcBorders>
            <w:shd w:val="clear" w:color="auto" w:fill="auto"/>
          </w:tcPr>
          <w:p w14:paraId="7AA70D1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Ostale rezerve</w:t>
            </w:r>
          </w:p>
          <w:p w14:paraId="75ADE75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2B921462"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 xml:space="preserve">Članak 4. stavak 1. točka 117. i </w:t>
            </w:r>
            <w:r w:rsidRPr="00652F74">
              <w:rPr>
                <w:rStyle w:val="FormatvorlageInstructionsTabelleText"/>
                <w:rFonts w:ascii="Times New Roman" w:hAnsi="Times New Roman"/>
                <w:sz w:val="22"/>
                <w:szCs w:val="22"/>
              </w:rPr>
              <w:t>članak 26. stavak 1. točka (e) Uredbe (EU) br. 575/2013</w:t>
            </w:r>
          </w:p>
          <w:p w14:paraId="1E24CA9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ne uključuje porezne troškove predvidive u trenutku izračuna.</w:t>
            </w:r>
          </w:p>
        </w:tc>
      </w:tr>
      <w:tr w:rsidR="001C742E" w:rsidRPr="00652F74" w14:paraId="06F7626A" w14:textId="77777777">
        <w:tblPrEx>
          <w:tblLook w:val="00A0" w:firstRow="1" w:lastRow="0" w:firstColumn="1" w:lastColumn="0" w:noHBand="0" w:noVBand="0"/>
        </w:tblPrEx>
        <w:tc>
          <w:tcPr>
            <w:tcW w:w="1129" w:type="dxa"/>
            <w:shd w:val="clear" w:color="auto" w:fill="auto"/>
            <w:vAlign w:val="center"/>
          </w:tcPr>
          <w:p w14:paraId="4A418FC0"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9</w:t>
            </w:r>
          </w:p>
        </w:tc>
        <w:tc>
          <w:tcPr>
            <w:tcW w:w="7683" w:type="dxa"/>
            <w:shd w:val="clear" w:color="auto" w:fill="auto"/>
          </w:tcPr>
          <w:p w14:paraId="50349F1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Usklađenja redovnog osnovnog kapitala zbog bonitetnih filtara</w:t>
            </w:r>
          </w:p>
          <w:p w14:paraId="0DC886EF"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9. stavak 1. točka</w:t>
            </w:r>
            <w:r w:rsidRPr="00652F74">
              <w:rPr>
                <w:rStyle w:val="FormatvorlageInstructionsTabelleText"/>
                <w:rFonts w:ascii="Times New Roman" w:hAnsi="Times New Roman"/>
                <w:sz w:val="22"/>
                <w:szCs w:val="22"/>
              </w:rPr>
              <w:t xml:space="preserve"> i.</w:t>
            </w:r>
            <w:r w:rsidRPr="00652F74">
              <w:rPr>
                <w:rStyle w:val="FormatvorlageInstructionsTabelleText"/>
                <w:rFonts w:ascii="Times New Roman" w:hAnsi="Times New Roman"/>
                <w:sz w:val="22"/>
                <w:szCs w:val="22"/>
              </w:rPr>
              <w:t xml:space="preserve"> Uredbe (EU) 2019/2033</w:t>
            </w:r>
          </w:p>
          <w:p w14:paraId="60ED342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Članci od 32. do 35. Uredbe (EU) br. 575/2013</w:t>
            </w:r>
          </w:p>
        </w:tc>
      </w:tr>
      <w:tr w:rsidR="001C742E" w:rsidRPr="00652F74" w14:paraId="19369AF4" w14:textId="77777777">
        <w:tblPrEx>
          <w:tblLook w:val="00A0" w:firstRow="1" w:lastRow="0" w:firstColumn="1" w:lastColumn="0" w:noHBand="0" w:noVBand="0"/>
        </w:tblPrEx>
        <w:tc>
          <w:tcPr>
            <w:tcW w:w="1129" w:type="dxa"/>
            <w:shd w:val="clear" w:color="auto" w:fill="auto"/>
            <w:vAlign w:val="center"/>
          </w:tcPr>
          <w:p w14:paraId="5B873B99"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10</w:t>
            </w:r>
          </w:p>
        </w:tc>
        <w:tc>
          <w:tcPr>
            <w:tcW w:w="7683" w:type="dxa"/>
            <w:shd w:val="clear" w:color="auto" w:fill="auto"/>
          </w:tcPr>
          <w:p w14:paraId="6E06342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Druga sredstva</w:t>
            </w:r>
          </w:p>
          <w:p w14:paraId="7F0C62C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9. stavak 4. Uredbe (EU) 2019/2033</w:t>
            </w:r>
          </w:p>
        </w:tc>
      </w:tr>
      <w:tr w:rsidR="001C742E" w:rsidRPr="00652F74" w14:paraId="639FE45C" w14:textId="77777777">
        <w:tblPrEx>
          <w:tblLook w:val="00A0" w:firstRow="1" w:lastRow="0" w:firstColumn="1" w:lastColumn="0" w:noHBand="0" w:noVBand="0"/>
        </w:tblPrEx>
        <w:tc>
          <w:tcPr>
            <w:tcW w:w="1129" w:type="dxa"/>
            <w:shd w:val="clear" w:color="auto" w:fill="auto"/>
            <w:vAlign w:val="center"/>
          </w:tcPr>
          <w:p w14:paraId="5EE345B3"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11</w:t>
            </w:r>
          </w:p>
        </w:tc>
        <w:tc>
          <w:tcPr>
            <w:tcW w:w="7683" w:type="dxa"/>
            <w:shd w:val="clear" w:color="auto" w:fill="auto"/>
          </w:tcPr>
          <w:p w14:paraId="4FF5D3A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REDOVNOG OSNOVNOG KAPITALA</w:t>
            </w:r>
          </w:p>
          <w:p w14:paraId="24C639B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Objavljuje se ukupni zbroj redaka od 12 do 18.</w:t>
            </w:r>
          </w:p>
        </w:tc>
      </w:tr>
      <w:tr w:rsidR="001C742E" w:rsidRPr="00652F74" w14:paraId="1A035FE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8088BF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AED735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Gubici tekuće </w:t>
            </w:r>
            <w:r w:rsidRPr="00652F74">
              <w:rPr>
                <w:rFonts w:ascii="Times New Roman" w:hAnsi="Times New Roman"/>
                <w:b/>
                <w:bCs/>
                <w:szCs w:val="22"/>
                <w:u w:val="single"/>
              </w:rPr>
              <w:t>financijske godine</w:t>
            </w:r>
          </w:p>
          <w:p w14:paraId="126DD14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Članak 36. stavak 1. točka (a) Uredbe (EU) br. 575/2013</w:t>
            </w:r>
          </w:p>
        </w:tc>
      </w:tr>
      <w:tr w:rsidR="001C742E" w:rsidRPr="00652F74" w14:paraId="77710DC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E81D33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591B43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w:t>
            </w:r>
            <w:r w:rsidRPr="00652F74">
              <w:rPr>
                <w:rFonts w:ascii="Times New Roman" w:hAnsi="Times New Roman"/>
                <w:b/>
                <w:bCs/>
                <w:i/>
                <w:iCs/>
                <w:szCs w:val="22"/>
                <w:u w:val="single"/>
              </w:rPr>
              <w:t>Goodwill</w:t>
            </w:r>
          </w:p>
          <w:p w14:paraId="61BB486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8D611A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Članak 4. stavak 1. točka 113., članak 36. stavak 1. točka (b) i članak 37. Uredbe (EU) br. 575/2013</w:t>
            </w:r>
          </w:p>
        </w:tc>
      </w:tr>
      <w:tr w:rsidR="001C742E" w:rsidRPr="00652F74" w14:paraId="53C398C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729CB9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974C42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w:t>
            </w:r>
            <w:r w:rsidRPr="00652F74">
              <w:rPr>
                <w:rFonts w:ascii="Times New Roman" w:hAnsi="Times New Roman"/>
                <w:b/>
                <w:bCs/>
                <w:szCs w:val="22"/>
                <w:u w:val="single"/>
              </w:rPr>
              <w:t>Ostala nematerijalna imovina</w:t>
            </w:r>
          </w:p>
          <w:p w14:paraId="7F96445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2C8A994"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4. stavak 1. točka 115., članak 36. stavak 1. točka (b) i članak 37. točka (a) Uredbe (EU) br. 575/2013</w:t>
            </w:r>
          </w:p>
          <w:p w14:paraId="271E62D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Ostala nematerijalna imovina je nematerijalna imovina u skladu s </w:t>
            </w:r>
            <w:r w:rsidRPr="00652F74">
              <w:rPr>
                <w:rStyle w:val="FormatvorlageInstructionsTabelleText"/>
                <w:rFonts w:ascii="Times New Roman" w:hAnsi="Times New Roman"/>
                <w:sz w:val="22"/>
                <w:szCs w:val="22"/>
              </w:rPr>
              <w:t xml:space="preserve">primjenjivim računovodstvenim standardom, umanjena za </w:t>
            </w:r>
            <w:r w:rsidRPr="00652F74">
              <w:rPr>
                <w:rStyle w:val="FormatvorlageInstructionsTabelleText"/>
                <w:rFonts w:ascii="Times New Roman" w:hAnsi="Times New Roman"/>
                <w:i/>
                <w:iCs/>
                <w:sz w:val="22"/>
                <w:szCs w:val="22"/>
              </w:rPr>
              <w:t>goodwill</w:t>
            </w:r>
            <w:r w:rsidRPr="00652F74">
              <w:rPr>
                <w:rStyle w:val="FormatvorlageInstructionsTabelleText"/>
                <w:rFonts w:ascii="Times New Roman" w:hAnsi="Times New Roman"/>
                <w:sz w:val="22"/>
                <w:szCs w:val="22"/>
              </w:rPr>
              <w:t>, također u skladu s primjenjivim računovodstvenim standardom.</w:t>
            </w:r>
          </w:p>
        </w:tc>
      </w:tr>
      <w:tr w:rsidR="001C742E" w:rsidRPr="00652F74" w14:paraId="2609DF2D"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1C97BC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99EB84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Odgođena porezna imovina koja ovisi o budućoj profitabilnosti i ne proizlazi iz privremenih razlika i ne uključuje povezane</w:t>
            </w:r>
            <w:r w:rsidRPr="00652F74">
              <w:rPr>
                <w:rFonts w:ascii="Times New Roman" w:hAnsi="Times New Roman"/>
                <w:b/>
                <w:bCs/>
                <w:szCs w:val="22"/>
                <w:u w:val="single"/>
              </w:rPr>
              <w:t xml:space="preserve"> porezne obveze</w:t>
            </w:r>
          </w:p>
          <w:p w14:paraId="590FF84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(a) Uredbe (EU) 2019/2033</w:t>
            </w:r>
          </w:p>
          <w:p w14:paraId="54B45AB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 (c) Uredbe (EU) br. 575/2013</w:t>
            </w:r>
          </w:p>
        </w:tc>
      </w:tr>
      <w:tr w:rsidR="001C742E" w:rsidRPr="00652F74" w14:paraId="7290078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3C3850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ED27863"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Kvalificirani udjel izvan financijskog sektora koji premašuje 15 % regulatornog kapitala</w:t>
            </w:r>
          </w:p>
          <w:p w14:paraId="4B6165E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10. stavak 1. točka (a) Ured</w:t>
            </w:r>
            <w:r w:rsidRPr="00652F74">
              <w:rPr>
                <w:rFonts w:ascii="Times New Roman" w:hAnsi="Times New Roman"/>
                <w:bCs/>
                <w:szCs w:val="22"/>
              </w:rPr>
              <w:t>be (EU) br. 2019/2033</w:t>
            </w:r>
          </w:p>
        </w:tc>
      </w:tr>
      <w:tr w:rsidR="001C742E" w:rsidRPr="00652F74" w14:paraId="520630F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A7D4BA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3CC843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kvalificirani udjeli u društvu koje nije subjekt financijskog sektora koji prelaze 60 % regulatornog kapitala</w:t>
            </w:r>
          </w:p>
          <w:p w14:paraId="67F8E21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10. stavak 1. točka (a) Uredbe (EU) br. 2019/2033</w:t>
            </w:r>
          </w:p>
        </w:tc>
      </w:tr>
      <w:tr w:rsidR="001C742E" w:rsidRPr="00652F74" w14:paraId="57D68B88" w14:textId="77777777">
        <w:tblPrEx>
          <w:tblLook w:val="00A0" w:firstRow="1" w:lastRow="0" w:firstColumn="1" w:lastColumn="0" w:noHBand="0" w:noVBand="0"/>
        </w:tblPrEx>
        <w:tc>
          <w:tcPr>
            <w:tcW w:w="1129" w:type="dxa"/>
            <w:vAlign w:val="center"/>
          </w:tcPr>
          <w:p w14:paraId="529279A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85205C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Drugi odbici</w:t>
            </w:r>
          </w:p>
          <w:p w14:paraId="5DB3DA9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 xml:space="preserve">Zbroj svih drugih </w:t>
            </w:r>
            <w:r w:rsidRPr="00652F74">
              <w:rPr>
                <w:rFonts w:ascii="Times New Roman" w:hAnsi="Times New Roman"/>
                <w:szCs w:val="22"/>
              </w:rPr>
              <w:t>odbitaka iz članka 36. stavka 1. Uredbe (EU) br. 575/2013</w:t>
            </w:r>
          </w:p>
        </w:tc>
      </w:tr>
      <w:tr w:rsidR="001C742E" w:rsidRPr="00652F74" w14:paraId="314E72D9" w14:textId="77777777">
        <w:tblPrEx>
          <w:tblLook w:val="00A0" w:firstRow="1" w:lastRow="0" w:firstColumn="1" w:lastColumn="0" w:noHBand="0" w:noVBand="0"/>
        </w:tblPrEx>
        <w:tc>
          <w:tcPr>
            <w:tcW w:w="1129" w:type="dxa"/>
            <w:vAlign w:val="center"/>
          </w:tcPr>
          <w:p w14:paraId="5CB3B9B8"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5E8B57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Redovni osnovni kapital: drugi elementi kapitala, odbici i prilagodbe</w:t>
            </w:r>
          </w:p>
          <w:p w14:paraId="7B86661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6E07E58F"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w:t>
            </w:r>
            <w:r w:rsidRPr="00652F74">
              <w:rPr>
                <w:rFonts w:ascii="Times New Roman" w:hAnsi="Times New Roman"/>
                <w:bCs/>
              </w:rPr>
              <w:t>redovnog osnovnog kapitala koji se nastavljaju priznavati (članak 483. stavci 1., 2. i 3. i članci od 484. do 487. Uredbe (EU) br. 575/2013),</w:t>
            </w:r>
          </w:p>
          <w:p w14:paraId="3FFE915D"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prijelazna usklađenja na temelju dodatnih manjinskih udjela (članci 479. i 480. Uredbe (EU) br. 575/2013),</w:t>
            </w:r>
          </w:p>
          <w:p w14:paraId="241B84B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w:t>
            </w:r>
            <w:r w:rsidRPr="00652F74">
              <w:rPr>
                <w:rFonts w:ascii="Times New Roman" w:hAnsi="Times New Roman"/>
                <w:bCs/>
              </w:rPr>
              <w:t>ga prijelazna usklađenja redovnog osnovnog kapitala (članci od 469. do 478. i članak 481. Uredbe (EU) br. 575/2013): usklađenja odbitaka od redovnog osnovnog kapitala na temelju prijelaznih odredbi,</w:t>
            </w:r>
          </w:p>
          <w:p w14:paraId="4EBF117C" w14:textId="77777777" w:rsidR="001C742E" w:rsidRPr="00652F74" w:rsidRDefault="00652F74">
            <w:pPr>
              <w:spacing w:after="120"/>
              <w:ind w:left="360" w:hanging="360"/>
              <w:contextualSpacing/>
              <w:jc w:val="both"/>
              <w:rPr>
                <w:rFonts w:ascii="Times New Roman" w:eastAsia="Times New Roman" w:hAnsi="Times New Roman"/>
                <w:b/>
                <w:bCs/>
                <w:u w:val="single"/>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redovnog osnovnog kapitala ili odbici od</w:t>
            </w:r>
            <w:r w:rsidRPr="00652F74">
              <w:rPr>
                <w:rFonts w:ascii="Times New Roman" w:hAnsi="Times New Roman"/>
                <w:bCs/>
              </w:rPr>
              <w:t xml:space="preserve"> elementa redovnog osnovnog kapitala koji se ne mogu rasporediti u jedan od redaka od 4 do 18.</w:t>
            </w:r>
          </w:p>
          <w:p w14:paraId="130E93F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koristi za uključivanje stavki kapitala ili odbitaka koji nisu obuhvaćeni Uredbom (EU) 2019/2033 ili Uredbom (EU) br. 575/2013 u izračun stopa s</w:t>
            </w:r>
            <w:r w:rsidRPr="00652F74">
              <w:rPr>
                <w:rFonts w:ascii="Times New Roman" w:hAnsi="Times New Roman"/>
                <w:bCs/>
                <w:szCs w:val="22"/>
              </w:rPr>
              <w:t>olventnosti.</w:t>
            </w:r>
          </w:p>
        </w:tc>
      </w:tr>
      <w:tr w:rsidR="001C742E" w:rsidRPr="00652F74" w14:paraId="24406A2E" w14:textId="77777777">
        <w:tblPrEx>
          <w:tblLook w:val="00A0" w:firstRow="1" w:lastRow="0" w:firstColumn="1" w:lastColumn="0" w:noHBand="0" w:noVBand="0"/>
        </w:tblPrEx>
        <w:tc>
          <w:tcPr>
            <w:tcW w:w="1129" w:type="dxa"/>
            <w:vAlign w:val="center"/>
          </w:tcPr>
          <w:p w14:paraId="2998B0B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1BF698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w:t>
            </w:r>
          </w:p>
          <w:p w14:paraId="0740BAE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594F4613" w14:textId="77777777" w:rsidR="001C742E" w:rsidRPr="00652F74" w:rsidRDefault="00652F74">
            <w:pPr>
              <w:spacing w:after="120"/>
              <w:jc w:val="both"/>
              <w:rPr>
                <w:rFonts w:ascii="Times New Roman" w:hAnsi="Times New Roman" w:cs="Times New Roman"/>
                <w:szCs w:val="22"/>
              </w:rPr>
            </w:pPr>
            <w:r w:rsidRPr="00652F74">
              <w:rPr>
                <w:rFonts w:ascii="Times New Roman" w:hAnsi="Times New Roman"/>
                <w:szCs w:val="22"/>
              </w:rPr>
              <w:t>Članak 61. Uredbe (EU) br. 575/2013</w:t>
            </w:r>
          </w:p>
          <w:p w14:paraId="5140210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od 21 do 24.</w:t>
            </w:r>
          </w:p>
        </w:tc>
      </w:tr>
      <w:tr w:rsidR="001C742E" w:rsidRPr="00652F74" w14:paraId="35D29C93" w14:textId="77777777">
        <w:tblPrEx>
          <w:tblLook w:val="00A0" w:firstRow="1" w:lastRow="0" w:firstColumn="1" w:lastColumn="0" w:noHBand="0" w:noVBand="0"/>
        </w:tblPrEx>
        <w:tc>
          <w:tcPr>
            <w:tcW w:w="1129" w:type="dxa"/>
            <w:vAlign w:val="center"/>
          </w:tcPr>
          <w:p w14:paraId="56362F9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77CD901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szCs w:val="22"/>
                <w:u w:val="single"/>
              </w:rPr>
              <w:t>U potpunosti plaćeni, izravno izdani kapital</w:t>
            </w:r>
          </w:p>
          <w:p w14:paraId="241ED94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E82D89A"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51. točka (a) i članci 52., 53. i 54. Uredbe (EU) br. 575/2013</w:t>
            </w:r>
          </w:p>
          <w:p w14:paraId="0CBC7B4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ne uključuje premiju na dionice povezanu s instrumentima.</w:t>
            </w:r>
          </w:p>
        </w:tc>
      </w:tr>
      <w:tr w:rsidR="001C742E" w:rsidRPr="00652F74" w14:paraId="770FD72D" w14:textId="77777777">
        <w:tblPrEx>
          <w:tblLook w:val="00A0" w:firstRow="1" w:lastRow="0" w:firstColumn="1" w:lastColumn="0" w:noHBand="0" w:noVBand="0"/>
        </w:tblPrEx>
        <w:tc>
          <w:tcPr>
            <w:tcW w:w="1129" w:type="dxa"/>
            <w:vAlign w:val="center"/>
          </w:tcPr>
          <w:p w14:paraId="6BCD934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48992AB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3708B9C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4CBAE1B"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51. točka (b) Uredbe (EU) br. 575/2013</w:t>
            </w:r>
          </w:p>
          <w:p w14:paraId="74E31F17"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482CBB0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u ovoj stavci dio je koji se odnosi na „plaćene instrumente kapitala”.</w:t>
            </w:r>
          </w:p>
        </w:tc>
      </w:tr>
      <w:tr w:rsidR="001C742E" w:rsidRPr="00652F74" w14:paraId="3BFCF67E" w14:textId="77777777">
        <w:tblPrEx>
          <w:tblLook w:val="00A0" w:firstRow="1" w:lastRow="0" w:firstColumn="1" w:lastColumn="0" w:noHBand="0" w:noVBand="0"/>
        </w:tblPrEx>
        <w:tc>
          <w:tcPr>
            <w:tcW w:w="1129" w:type="dxa"/>
            <w:tcBorders>
              <w:bottom w:val="single" w:sz="4" w:space="0" w:color="auto"/>
            </w:tcBorders>
            <w:vAlign w:val="center"/>
          </w:tcPr>
          <w:p w14:paraId="35BEDF2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76845E5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w:t>
            </w:r>
            <w:r w:rsidRPr="00652F74">
              <w:rPr>
                <w:rFonts w:ascii="Times New Roman" w:hAnsi="Times New Roman"/>
                <w:b/>
                <w:bCs/>
                <w:szCs w:val="22"/>
                <w:u w:val="single"/>
              </w:rPr>
              <w:t>–) UKUPNI ODBICI OD DODATNOG OSNOVNOG KAPITALA</w:t>
            </w:r>
          </w:p>
          <w:p w14:paraId="4F243B1F" w14:textId="77777777" w:rsidR="001C742E" w:rsidRPr="00652F74" w:rsidRDefault="00652F74">
            <w:pPr>
              <w:spacing w:before="60" w:after="60"/>
              <w:rPr>
                <w:rFonts w:ascii="Times New Roman" w:eastAsia="Times New Roman" w:hAnsi="Times New Roman" w:cs="Times New Roman"/>
                <w:b/>
                <w:bCs/>
                <w:szCs w:val="22"/>
                <w:u w:val="single"/>
              </w:rPr>
            </w:pPr>
            <w:r w:rsidRPr="00652F74">
              <w:rPr>
                <w:rFonts w:ascii="Times New Roman" w:hAnsi="Times New Roman"/>
                <w:szCs w:val="22"/>
              </w:rPr>
              <w:t>Članak 56. Uredbe (EU) br. 575/2013</w:t>
            </w:r>
          </w:p>
        </w:tc>
      </w:tr>
      <w:tr w:rsidR="001C742E" w:rsidRPr="00652F74" w14:paraId="4536E450" w14:textId="77777777">
        <w:tblPrEx>
          <w:tblLook w:val="00A0" w:firstRow="1" w:lastRow="0" w:firstColumn="1" w:lastColumn="0" w:noHBand="0" w:noVBand="0"/>
        </w:tblPrEx>
        <w:tc>
          <w:tcPr>
            <w:tcW w:w="1129" w:type="dxa"/>
            <w:tcBorders>
              <w:bottom w:val="single" w:sz="4" w:space="0" w:color="auto"/>
            </w:tcBorders>
            <w:vAlign w:val="center"/>
          </w:tcPr>
          <w:p w14:paraId="72891EA1"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1169050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 drugi elementi kapitala, odbici i prilagodbe</w:t>
            </w:r>
          </w:p>
          <w:p w14:paraId="04F348E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04404120"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w:t>
            </w:r>
            <w:r w:rsidRPr="00652F74">
              <w:rPr>
                <w:rFonts w:ascii="Times New Roman" w:hAnsi="Times New Roman"/>
                <w:bCs/>
              </w:rPr>
              <w:t>temelju instrumenata dodatnog osnovnog kapitala koji se nastavljaju priznavati (članak 483. stavci 4. i 5., članci od 484. do 487. i članci 489. i 491. Uredbe (EU) br. 575/2013),</w:t>
            </w:r>
          </w:p>
          <w:p w14:paraId="300F2A7D"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lastRenderedPageBreak/>
              <w:t>—</w:t>
            </w:r>
            <w:r w:rsidRPr="00652F74">
              <w:rPr>
                <w:rFonts w:ascii="Times New Roman" w:eastAsia="Times New Roman" w:hAnsi="Times New Roman" w:cs="Times New Roman"/>
                <w:bCs/>
                <w:szCs w:val="22"/>
              </w:rPr>
              <w:tab/>
            </w:r>
            <w:r w:rsidRPr="00652F74">
              <w:rPr>
                <w:rFonts w:ascii="Times New Roman" w:hAnsi="Times New Roman"/>
                <w:bCs/>
              </w:rPr>
              <w:t xml:space="preserve">instrumenti društava kćeri koji su priznati u dodatnom osnovnom </w:t>
            </w:r>
            <w:r w:rsidRPr="00652F74">
              <w:rPr>
                <w:rFonts w:ascii="Times New Roman" w:hAnsi="Times New Roman"/>
                <w:bCs/>
              </w:rPr>
              <w:t>kapitalu (članci 83., 85. i 86. Uredbe (EU) br. 575/2013): zbroj svih iznosa kvalificiranog osnovnog kapitala društava kćeri koji je uključen u konsolidirani dodatni osnovni kapital, uključujući i kapital koji izdaje subjekt posebne namjene (članak 83. Ure</w:t>
            </w:r>
            <w:r w:rsidRPr="00652F74">
              <w:rPr>
                <w:rFonts w:ascii="Times New Roman" w:hAnsi="Times New Roman"/>
                <w:bCs/>
              </w:rPr>
              <w:t>dbe (EU) br. 575/2013),</w:t>
            </w:r>
          </w:p>
          <w:p w14:paraId="50DDCA49"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prijelazna usklađenja na temelju dodatnog priznavanja instrumenata društava kćeri u dodatnom osnovnom kapitalu (članak 480. Uredbe (EU) br. 575/2013) usklađenja kvalificiranog osnovnog kapitala uključenog u konsolidirani dodatni o</w:t>
            </w:r>
            <w:r w:rsidRPr="00652F74">
              <w:rPr>
                <w:rFonts w:ascii="Times New Roman" w:hAnsi="Times New Roman"/>
                <w:bCs/>
              </w:rPr>
              <w:t>snovni kapital zbog prijelaznih odredbi,</w:t>
            </w:r>
          </w:p>
          <w:p w14:paraId="67A63A4B"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dodatnog osnovnog kapitala (članci 472., 473.a, 474., 475., 478. i 481. Uredbe (EU) br. 575/2013): usklađenja odbitaka zbog prijelaznih odredbi,</w:t>
            </w:r>
          </w:p>
          <w:p w14:paraId="6F173F09"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dodatnog osnovnog ka</w:t>
            </w:r>
            <w:r w:rsidRPr="00652F74">
              <w:rPr>
                <w:rFonts w:ascii="Times New Roman" w:hAnsi="Times New Roman"/>
                <w:bCs/>
              </w:rPr>
              <w:t xml:space="preserve">pitala koji premašuje dodatni osnovni kapital, odbijen od redovnog osnovnog kapitala u skladu s člankom 36. stavkom 1. točkom (j) Uredbe (EU) br. 575/2013: dodatni osnovni kapital ne može biti negativan, ali moguće je da odbici od stavki dodatnog osnovnog </w:t>
            </w:r>
            <w:r w:rsidRPr="00652F74">
              <w:rPr>
                <w:rFonts w:ascii="Times New Roman" w:hAnsi="Times New Roman"/>
                <w:bCs/>
              </w:rPr>
              <w:t>kapitala premašuju iznos dostupnih stavki dodatnog osnovnog kapitala. U tom slučaju, u ovoj stavci izražava se iznos potreban da bi se iznos iskazan u retku 20 povećao na nulu, a odgovara obrnutom iznosu odbitaka od stavki dodatnog osnovnog kapitala koji p</w:t>
            </w:r>
            <w:r w:rsidRPr="00652F74">
              <w:rPr>
                <w:rFonts w:ascii="Times New Roman" w:hAnsi="Times New Roman"/>
                <w:bCs/>
              </w:rPr>
              <w:t>remašuje dodatni osnovni kapital te je, među ostalim odbicima, uključen u redak 18,</w:t>
            </w:r>
          </w:p>
          <w:p w14:paraId="69DA3CC5"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dodatnog osnovnog kapitala ili odbici od elementa dodatnog osnovnog kapitala koji se ne mogu rasporediti u jedan od redaka od 21 do 23.</w:t>
            </w:r>
          </w:p>
          <w:p w14:paraId="745A3F2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w:t>
            </w:r>
            <w:r w:rsidRPr="00652F74">
              <w:rPr>
                <w:rFonts w:ascii="Times New Roman" w:hAnsi="Times New Roman"/>
                <w:bCs/>
                <w:szCs w:val="22"/>
              </w:rPr>
              <w:t>risti za uključivanje stavki kapitala ili odbitaka koji nisu obuhvaćeni Uredbom (EU) 2019/2033 ili Uredbom (EU) br. 575/2013 u izračun stopa solventnosti.</w:t>
            </w:r>
          </w:p>
        </w:tc>
      </w:tr>
      <w:tr w:rsidR="001C742E" w:rsidRPr="00652F74" w14:paraId="0DB1AE74" w14:textId="77777777">
        <w:tblPrEx>
          <w:tblLook w:val="00A0" w:firstRow="1" w:lastRow="0" w:firstColumn="1" w:lastColumn="0" w:noHBand="0" w:noVBand="0"/>
        </w:tblPrEx>
        <w:tc>
          <w:tcPr>
            <w:tcW w:w="1129" w:type="dxa"/>
            <w:shd w:val="clear" w:color="auto" w:fill="auto"/>
            <w:vAlign w:val="center"/>
          </w:tcPr>
          <w:p w14:paraId="65E19CD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B49C9E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w:t>
            </w:r>
          </w:p>
          <w:p w14:paraId="78D383C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657423FD"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 xml:space="preserve">Članak 71. Uredbe (EU) </w:t>
            </w:r>
            <w:r w:rsidRPr="00652F74">
              <w:rPr>
                <w:rStyle w:val="FormatvorlageInstructionsTabelleText"/>
                <w:rFonts w:ascii="Times New Roman" w:hAnsi="Times New Roman"/>
                <w:sz w:val="22"/>
                <w:szCs w:val="22"/>
              </w:rPr>
              <w:t>br. 575/2013</w:t>
            </w:r>
          </w:p>
          <w:p w14:paraId="33959CE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od 26 do 29.</w:t>
            </w:r>
          </w:p>
        </w:tc>
      </w:tr>
      <w:tr w:rsidR="001C742E" w:rsidRPr="00652F74" w14:paraId="0A008418" w14:textId="77777777">
        <w:tblPrEx>
          <w:tblLook w:val="00A0" w:firstRow="1" w:lastRow="0" w:firstColumn="1" w:lastColumn="0" w:noHBand="0" w:noVBand="0"/>
        </w:tblPrEx>
        <w:tc>
          <w:tcPr>
            <w:tcW w:w="1129" w:type="dxa"/>
            <w:shd w:val="clear" w:color="auto" w:fill="auto"/>
            <w:vAlign w:val="center"/>
          </w:tcPr>
          <w:p w14:paraId="747E4BC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C2D7DD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
                <w:bCs/>
                <w:szCs w:val="22"/>
                <w:u w:val="single"/>
              </w:rPr>
              <w:t>U potpunosti plaćeni, izravno izdani instrumenti kapitala</w:t>
            </w:r>
          </w:p>
          <w:p w14:paraId="684065B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98AC618"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62. točka (a) te članci 63. i 65. Uredbe (EU) br. 575/2013</w:t>
            </w:r>
          </w:p>
          <w:p w14:paraId="2BDE4B6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Iznos koji se </w:t>
            </w:r>
            <w:r w:rsidRPr="00652F74">
              <w:rPr>
                <w:rStyle w:val="FormatvorlageInstructionsTabelleText"/>
                <w:rFonts w:ascii="Times New Roman" w:hAnsi="Times New Roman"/>
                <w:sz w:val="22"/>
                <w:szCs w:val="22"/>
              </w:rPr>
              <w:t>objavljuje ne uključuje premiju na dionice povezanu s instrumentima.</w:t>
            </w:r>
          </w:p>
        </w:tc>
      </w:tr>
      <w:tr w:rsidR="001C742E" w:rsidRPr="00652F74" w14:paraId="32C2E33E" w14:textId="77777777">
        <w:tblPrEx>
          <w:tblLook w:val="00A0" w:firstRow="1" w:lastRow="0" w:firstColumn="1" w:lastColumn="0" w:noHBand="0" w:noVBand="0"/>
        </w:tblPrEx>
        <w:tc>
          <w:tcPr>
            <w:tcW w:w="1129" w:type="dxa"/>
            <w:shd w:val="clear" w:color="auto" w:fill="auto"/>
            <w:vAlign w:val="center"/>
          </w:tcPr>
          <w:p w14:paraId="50D84AF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4C17D3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5DED6E63"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78B0A9C6"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62. točka (b) i članak 65. Uredbe (EU) br. 575/2013</w:t>
            </w:r>
          </w:p>
          <w:p w14:paraId="2C6DFAA8"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Premija na dionice ima isto značenje kao i u </w:t>
            </w:r>
            <w:r w:rsidRPr="00652F74">
              <w:rPr>
                <w:rStyle w:val="FormatvorlageInstructionsTabelleText"/>
                <w:rFonts w:ascii="Times New Roman" w:hAnsi="Times New Roman"/>
                <w:sz w:val="22"/>
              </w:rPr>
              <w:t>primjenjivom računovodstvenom standardu.</w:t>
            </w:r>
          </w:p>
          <w:p w14:paraId="1235BDE6"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 ovoj stavci dio je koji se odnosi na „plaćene instrumente kapitala”.</w:t>
            </w:r>
          </w:p>
        </w:tc>
      </w:tr>
      <w:tr w:rsidR="001C742E" w:rsidRPr="00652F74" w14:paraId="7B3D6922" w14:textId="77777777">
        <w:tblPrEx>
          <w:tblLook w:val="00A0" w:firstRow="1" w:lastRow="0" w:firstColumn="1" w:lastColumn="0" w:noHBand="0" w:noVBand="0"/>
        </w:tblPrEx>
        <w:tc>
          <w:tcPr>
            <w:tcW w:w="1129" w:type="dxa"/>
            <w:shd w:val="clear" w:color="auto" w:fill="auto"/>
            <w:vAlign w:val="center"/>
          </w:tcPr>
          <w:p w14:paraId="79948E5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324E6F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DOPUNSKOG KAPITALA</w:t>
            </w:r>
          </w:p>
          <w:p w14:paraId="49BD38E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Članak 66. Uredbe (EU) br. 575/2013</w:t>
            </w:r>
          </w:p>
        </w:tc>
      </w:tr>
      <w:tr w:rsidR="001C742E" w:rsidRPr="00652F74" w14:paraId="1FBF79DA" w14:textId="77777777">
        <w:tblPrEx>
          <w:tblLook w:val="00A0" w:firstRow="1" w:lastRow="0" w:firstColumn="1" w:lastColumn="0" w:noHBand="0" w:noVBand="0"/>
        </w:tblPrEx>
        <w:tc>
          <w:tcPr>
            <w:tcW w:w="1129" w:type="dxa"/>
            <w:shd w:val="clear" w:color="auto" w:fill="auto"/>
            <w:vAlign w:val="center"/>
          </w:tcPr>
          <w:p w14:paraId="7DF72E6A"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EBC9C7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 drugi elementi ka</w:t>
            </w:r>
            <w:r w:rsidRPr="00652F74">
              <w:rPr>
                <w:rFonts w:ascii="Times New Roman" w:hAnsi="Times New Roman"/>
                <w:b/>
                <w:bCs/>
                <w:szCs w:val="22"/>
                <w:u w:val="single"/>
              </w:rPr>
              <w:t>pitala, odbici i prilagodbe</w:t>
            </w:r>
          </w:p>
          <w:p w14:paraId="74CB096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2C34602D"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lastRenderedPageBreak/>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dopunskog kapitala koji se nastavljaju priznavati (članak 483. stavci 6. i 7., članci 484., 486., 488., 490. i </w:t>
            </w:r>
            <w:r w:rsidRPr="00652F74">
              <w:rPr>
                <w:rFonts w:ascii="Times New Roman" w:hAnsi="Times New Roman"/>
                <w:bCs/>
              </w:rPr>
              <w:t>491. Uredbe (EU) br. 575/2013),</w:t>
            </w:r>
          </w:p>
          <w:p w14:paraId="705A7B2E"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instrumenti društava kćeri koji su priznati u dopunskom kapitalu (članci 83., 87. i 88. Uredbe (EU) br. 575/2013): zbroj svih iznosa kvalificiranog regulatornog kapitala društava kćeri koji je uključen u konsolidirani dopu</w:t>
            </w:r>
            <w:r w:rsidRPr="00652F74">
              <w:rPr>
                <w:rFonts w:ascii="Times New Roman" w:hAnsi="Times New Roman"/>
                <w:bCs/>
              </w:rPr>
              <w:t>nski kapital, uključujući i kvalificirani dopunski kapital koji izdaje subjekt posebne namjene (članak 83. Uredbe (EU) br. 575/2013),</w:t>
            </w:r>
          </w:p>
          <w:p w14:paraId="5A3495EF"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dodatnog priznavanja instrumenata društava kćeri u dopunskom kapitalu </w:t>
            </w:r>
            <w:r w:rsidRPr="00652F74">
              <w:rPr>
                <w:rFonts w:ascii="Times New Roman" w:hAnsi="Times New Roman"/>
                <w:bCs/>
              </w:rPr>
              <w:t>(članak 480. Uredbe (EU) br. 575/2013): usklađenja kvalificiranog regulatornog kapitala uključenog u konsolidirani dopunski kapital zbog prijelaznih odredbi,</w:t>
            </w:r>
          </w:p>
          <w:p w14:paraId="2E68E657"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dopunskog kapitala (članci 472., 473.a, 476., 477., 478. i 481. Ured</w:t>
            </w:r>
            <w:r w:rsidRPr="00652F74">
              <w:rPr>
                <w:rFonts w:ascii="Times New Roman" w:hAnsi="Times New Roman"/>
                <w:bCs/>
              </w:rPr>
              <w:t>be (EU) br. 575/2013): usklađenja odbitaka od dopunskog kapitala na temelju prijelaznih odredbi,</w:t>
            </w:r>
          </w:p>
          <w:p w14:paraId="09595C65"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dopunskog kapitala koji premašuje dopunski kapital, odbijen od redovnog osnovnog kapitala u skladu s člankom 56. točkom (e) Uredbe (EU) br.</w:t>
            </w:r>
            <w:r w:rsidRPr="00652F74">
              <w:rPr>
                <w:rFonts w:ascii="Times New Roman" w:hAnsi="Times New Roman"/>
                <w:bCs/>
              </w:rPr>
              <w:t xml:space="preserve"> 575/2013: dopunski kapital ne može biti negativan, ali moguće je da odbici od stavki dopunskog kapitala premašuju iznos dostupnih stavki dopunskog kapitala. U tom slučaju, u ovoj se stavci izražava iznos potreban da bi se iznos iskazan u retku 25 povećao </w:t>
            </w:r>
            <w:r w:rsidRPr="00652F74">
              <w:rPr>
                <w:rFonts w:ascii="Times New Roman" w:hAnsi="Times New Roman"/>
                <w:bCs/>
              </w:rPr>
              <w:t>na nulu,</w:t>
            </w:r>
          </w:p>
          <w:p w14:paraId="443A386D"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dopunskog kapitala ili odbici od elementa dopunskog kapitala koji se ne mogu rasporediti u jedan od redaka od 26 do 28.</w:t>
            </w:r>
          </w:p>
          <w:p w14:paraId="08938E1C"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koristi za uključivanje stavki kapitala ili odbitaka koji nisu obuhvaćeni Uredbom (EU) 2019/2</w:t>
            </w:r>
            <w:r w:rsidRPr="00652F74">
              <w:rPr>
                <w:rFonts w:ascii="Times New Roman" w:hAnsi="Times New Roman"/>
                <w:bCs/>
                <w:szCs w:val="22"/>
              </w:rPr>
              <w:t>033 ili Uredbom (EU) br. 575/2013 u izračun stopa solventnosti.</w:t>
            </w:r>
          </w:p>
        </w:tc>
      </w:tr>
    </w:tbl>
    <w:p w14:paraId="0FB26415" w14:textId="77777777" w:rsidR="001C742E" w:rsidRPr="00652F74" w:rsidRDefault="001C742E">
      <w:pPr>
        <w:ind w:left="720"/>
        <w:rPr>
          <w:rFonts w:ascii="Times New Roman" w:hAnsi="Times New Roman" w:cs="Times New Roman"/>
          <w:b/>
          <w:bCs/>
          <w:sz w:val="24"/>
        </w:rPr>
      </w:pPr>
    </w:p>
    <w:p w14:paraId="49B642D5" w14:textId="77777777" w:rsidR="001C742E" w:rsidRPr="00652F74" w:rsidRDefault="00652F74">
      <w:pPr>
        <w:ind w:left="720"/>
        <w:rPr>
          <w:rFonts w:ascii="Times New Roman" w:hAnsi="Times New Roman" w:cs="Times New Roman"/>
          <w:b/>
          <w:bCs/>
          <w:sz w:val="24"/>
        </w:rPr>
      </w:pPr>
      <w:r w:rsidRPr="00652F74">
        <w:rPr>
          <w:rFonts w:ascii="Times New Roman" w:hAnsi="Times New Roman"/>
          <w:b/>
          <w:bCs/>
          <w:sz w:val="24"/>
        </w:rPr>
        <w:t>Obrazac EU I CC1.03 – Sastav regulatornog kapitala (kriterij kapitala grupe)</w:t>
      </w:r>
    </w:p>
    <w:p w14:paraId="702ED0F9" w14:textId="77777777" w:rsidR="001C742E" w:rsidRPr="00652F74" w:rsidRDefault="00652F74">
      <w:pPr>
        <w:tabs>
          <w:tab w:val="left" w:pos="360"/>
        </w:tabs>
        <w:spacing w:before="120" w:after="120"/>
        <w:ind w:left="360" w:hanging="360"/>
        <w:jc w:val="both"/>
        <w:rPr>
          <w:rFonts w:ascii="Times New Roman" w:hAnsi="Times New Roman" w:cs="Times New Roman"/>
          <w:bCs/>
          <w:sz w:val="24"/>
        </w:rPr>
      </w:pPr>
      <w:r w:rsidRPr="00652F74">
        <w:rPr>
          <w:rFonts w:ascii="Times New Roman" w:hAnsi="Times New Roman" w:cs="Times New Roman"/>
          <w:bCs/>
          <w:sz w:val="24"/>
        </w:rPr>
        <w:t>6.</w:t>
      </w:r>
      <w:r w:rsidRPr="00652F74">
        <w:rPr>
          <w:rFonts w:ascii="Times New Roman" w:hAnsi="Times New Roman" w:cs="Times New Roman"/>
          <w:bCs/>
          <w:sz w:val="24"/>
        </w:rPr>
        <w:tab/>
      </w:r>
      <w:r w:rsidRPr="00652F74">
        <w:rPr>
          <w:rFonts w:ascii="Times New Roman" w:hAnsi="Times New Roman"/>
          <w:bCs/>
          <w:sz w:val="24"/>
        </w:rPr>
        <w:t>Subjekti iz članka 8. stavka 3. Uredbe (EU) 2019/2033 na koje se primjenjuje taj članak objavljuju informacije</w:t>
      </w:r>
      <w:r w:rsidRPr="00652F74">
        <w:rPr>
          <w:rFonts w:ascii="Times New Roman" w:hAnsi="Times New Roman"/>
          <w:bCs/>
          <w:sz w:val="24"/>
        </w:rPr>
        <w:t xml:space="preserve"> o sastavu regulatornog kapitala u skladu s obrascem EU I CC1.03 i sljedećim uputama.</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C742E" w:rsidRPr="00652F74" w14:paraId="554BD79F" w14:textId="77777777">
        <w:tc>
          <w:tcPr>
            <w:tcW w:w="1129" w:type="dxa"/>
            <w:shd w:val="clear" w:color="auto" w:fill="D9D9D9"/>
          </w:tcPr>
          <w:p w14:paraId="4F13DA5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Redak</w:t>
            </w:r>
          </w:p>
        </w:tc>
        <w:tc>
          <w:tcPr>
            <w:tcW w:w="7620" w:type="dxa"/>
            <w:shd w:val="clear" w:color="auto" w:fill="D9D9D9"/>
          </w:tcPr>
          <w:p w14:paraId="47AD100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Pravna osnova i upute</w:t>
            </w:r>
          </w:p>
        </w:tc>
      </w:tr>
      <w:tr w:rsidR="001C742E" w:rsidRPr="00652F74" w14:paraId="3855C4E2" w14:textId="77777777">
        <w:tc>
          <w:tcPr>
            <w:tcW w:w="1129" w:type="dxa"/>
            <w:vAlign w:val="center"/>
          </w:tcPr>
          <w:p w14:paraId="599BBFC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color w:val="000000"/>
                <w:szCs w:val="22"/>
              </w:rPr>
              <w:t>1</w:t>
            </w:r>
          </w:p>
        </w:tc>
        <w:tc>
          <w:tcPr>
            <w:tcW w:w="7620" w:type="dxa"/>
          </w:tcPr>
          <w:p w14:paraId="47185CE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REGULATORNI KAPITAL</w:t>
            </w:r>
          </w:p>
          <w:p w14:paraId="0CAFF0B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54B17EA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Regulatorni kapital investicijskog društva sastoji se od zbroja </w:t>
            </w:r>
            <w:r w:rsidRPr="00652F74">
              <w:rPr>
                <w:rStyle w:val="FormatvorlageInstructionsTabelleText"/>
                <w:rFonts w:ascii="Times New Roman" w:hAnsi="Times New Roman"/>
                <w:sz w:val="22"/>
                <w:szCs w:val="22"/>
              </w:rPr>
              <w:t>njegova osnovnog kapitala i dopunskog kapitala.</w:t>
            </w:r>
          </w:p>
        </w:tc>
      </w:tr>
      <w:tr w:rsidR="001C742E" w:rsidRPr="00652F74" w14:paraId="62FDF121" w14:textId="77777777">
        <w:tc>
          <w:tcPr>
            <w:tcW w:w="1129" w:type="dxa"/>
            <w:vAlign w:val="center"/>
          </w:tcPr>
          <w:p w14:paraId="4D6EEC9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color w:val="000000"/>
                <w:szCs w:val="22"/>
              </w:rPr>
              <w:t>2</w:t>
            </w:r>
          </w:p>
        </w:tc>
        <w:tc>
          <w:tcPr>
            <w:tcW w:w="7620" w:type="dxa"/>
          </w:tcPr>
          <w:p w14:paraId="33782D0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OSNOVNI KAPITAL</w:t>
            </w:r>
          </w:p>
          <w:p w14:paraId="2465731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Osnovni kapital zbroj je redovnog osnovnog kapitala i dodatnog osnovnog kapitala.</w:t>
            </w:r>
          </w:p>
        </w:tc>
      </w:tr>
      <w:tr w:rsidR="001C742E" w:rsidRPr="00652F74" w14:paraId="48ED932C" w14:textId="77777777">
        <w:tc>
          <w:tcPr>
            <w:tcW w:w="1129" w:type="dxa"/>
            <w:vAlign w:val="center"/>
          </w:tcPr>
          <w:p w14:paraId="431877C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color w:val="000000"/>
                <w:szCs w:val="22"/>
              </w:rPr>
              <w:t>3</w:t>
            </w:r>
          </w:p>
        </w:tc>
        <w:tc>
          <w:tcPr>
            <w:tcW w:w="7620" w:type="dxa"/>
          </w:tcPr>
          <w:p w14:paraId="1CB7B94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InstructionsTabelleberschrift"/>
                <w:rFonts w:ascii="Times New Roman" w:hAnsi="Times New Roman"/>
                <w:sz w:val="22"/>
                <w:szCs w:val="22"/>
              </w:rPr>
              <w:t>REDOVNI OSNOVNI KAPITAL</w:t>
            </w:r>
          </w:p>
          <w:p w14:paraId="4F4BA42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23E5FB7C" w14:textId="77777777" w:rsidR="001C742E" w:rsidRPr="00652F74" w:rsidRDefault="00652F74">
            <w:pPr>
              <w:spacing w:after="120"/>
              <w:jc w:val="both"/>
              <w:rPr>
                <w:rFonts w:ascii="Times New Roman" w:eastAsia="Times New Roman" w:hAnsi="Times New Roman" w:cs="Times New Roman"/>
                <w:bCs/>
                <w:szCs w:val="22"/>
              </w:rPr>
            </w:pPr>
            <w:r w:rsidRPr="00652F74">
              <w:rPr>
                <w:rStyle w:val="FormatvorlageInstructionsTabelleText"/>
                <w:rFonts w:ascii="Times New Roman" w:hAnsi="Times New Roman"/>
                <w:sz w:val="22"/>
                <w:szCs w:val="22"/>
              </w:rPr>
              <w:t xml:space="preserve">Članak 50. Uredbe (EU) </w:t>
            </w:r>
            <w:r w:rsidRPr="00652F74">
              <w:rPr>
                <w:rStyle w:val="FormatvorlageInstructionsTabelleText"/>
                <w:rFonts w:ascii="Times New Roman" w:hAnsi="Times New Roman"/>
                <w:sz w:val="22"/>
                <w:szCs w:val="22"/>
              </w:rPr>
              <w:t>br. 575/2013</w:t>
            </w:r>
          </w:p>
        </w:tc>
      </w:tr>
      <w:tr w:rsidR="001C742E" w:rsidRPr="00652F74" w14:paraId="0DB93B1A" w14:textId="77777777">
        <w:tc>
          <w:tcPr>
            <w:tcW w:w="1129" w:type="dxa"/>
            <w:vAlign w:val="center"/>
          </w:tcPr>
          <w:p w14:paraId="5D33D1A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4</w:t>
            </w:r>
          </w:p>
        </w:tc>
        <w:tc>
          <w:tcPr>
            <w:tcW w:w="7620" w:type="dxa"/>
          </w:tcPr>
          <w:p w14:paraId="27FDF4B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Plaćeni instrumenti kapitala</w:t>
            </w:r>
          </w:p>
          <w:p w14:paraId="54A2DC0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6E03C42"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26. stavak 1. točka (a) i članci od 27. do 31. Uredbe (EU) br. 575/2013</w:t>
            </w:r>
          </w:p>
          <w:p w14:paraId="63747489"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lastRenderedPageBreak/>
              <w:t>Uključuju se instrumenti kapitala uzajamnih institucija, zadruga ili sličnih inst</w:t>
            </w:r>
            <w:r w:rsidRPr="00652F74">
              <w:rPr>
                <w:rStyle w:val="FormatvorlageInstructionsTabelleText"/>
                <w:rFonts w:ascii="Times New Roman" w:hAnsi="Times New Roman"/>
                <w:sz w:val="22"/>
              </w:rPr>
              <w:t>itucija (članci 27. i 29. Uredbe (EU) br. 575/2013).</w:t>
            </w:r>
          </w:p>
          <w:p w14:paraId="05A78D54"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Ne uključuje se premija na dionice povezana s instrumentima.</w:t>
            </w:r>
          </w:p>
          <w:p w14:paraId="07E59607" w14:textId="77777777" w:rsidR="001C742E" w:rsidRPr="00652F74" w:rsidRDefault="00652F74">
            <w:pPr>
              <w:pStyle w:val="InstructionsText"/>
            </w:pPr>
            <w:r w:rsidRPr="00652F74">
              <w:rPr>
                <w:rStyle w:val="FormatvorlageInstructionsTabelleText"/>
                <w:rFonts w:ascii="Times New Roman" w:hAnsi="Times New Roman"/>
                <w:sz w:val="22"/>
              </w:rPr>
              <w:t xml:space="preserve">Instrumenti kapitala koje upisuju tijela javne vlasti u izvanrednim situacijama uključuju se ako su ispunjeni svi uvjeti iz članka 31. Uredbe </w:t>
            </w:r>
            <w:r w:rsidRPr="00652F74">
              <w:rPr>
                <w:rStyle w:val="FormatvorlageInstructionsTabelleText"/>
                <w:rFonts w:ascii="Times New Roman" w:hAnsi="Times New Roman"/>
                <w:sz w:val="22"/>
              </w:rPr>
              <w:t>(EU) br. 575/2013.</w:t>
            </w:r>
          </w:p>
        </w:tc>
      </w:tr>
      <w:tr w:rsidR="001C742E" w:rsidRPr="00652F74" w14:paraId="07AEC706" w14:textId="77777777">
        <w:tc>
          <w:tcPr>
            <w:tcW w:w="1129" w:type="dxa"/>
            <w:vAlign w:val="center"/>
          </w:tcPr>
          <w:p w14:paraId="161CFC8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5</w:t>
            </w:r>
          </w:p>
        </w:tc>
        <w:tc>
          <w:tcPr>
            <w:tcW w:w="7620" w:type="dxa"/>
          </w:tcPr>
          <w:p w14:paraId="7110CE1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2CBE21C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15232478"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26. stavak 1. točka (b) Uredbe (EU) br. 575/2013</w:t>
            </w:r>
          </w:p>
          <w:p w14:paraId="003ABA28"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68044A9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Iznos koji se </w:t>
            </w:r>
            <w:r w:rsidRPr="00652F74">
              <w:rPr>
                <w:rStyle w:val="FormatvorlageInstructionsTabelleText"/>
                <w:rFonts w:ascii="Times New Roman" w:hAnsi="Times New Roman"/>
                <w:sz w:val="22"/>
                <w:szCs w:val="22"/>
              </w:rPr>
              <w:t>objavljuje u ovoj stavci dio je koji se odnosi na „plaćene instrumente kapitala”.</w:t>
            </w:r>
          </w:p>
        </w:tc>
      </w:tr>
      <w:tr w:rsidR="001C742E" w:rsidRPr="00652F74" w14:paraId="0EA5489B" w14:textId="77777777">
        <w:tc>
          <w:tcPr>
            <w:tcW w:w="1129" w:type="dxa"/>
            <w:vAlign w:val="center"/>
          </w:tcPr>
          <w:p w14:paraId="5715E13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6</w:t>
            </w:r>
          </w:p>
        </w:tc>
        <w:tc>
          <w:tcPr>
            <w:tcW w:w="7620" w:type="dxa"/>
          </w:tcPr>
          <w:p w14:paraId="7D6D98A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Zadržana dobit</w:t>
            </w:r>
          </w:p>
          <w:p w14:paraId="708615C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2FF89A1" w14:textId="77777777" w:rsidR="001C742E" w:rsidRPr="00652F74" w:rsidRDefault="00652F74">
            <w:pPr>
              <w:spacing w:after="120"/>
              <w:jc w:val="both"/>
              <w:rPr>
                <w:rFonts w:ascii="Times New Roman" w:eastAsia="Times New Roman" w:hAnsi="Times New Roman" w:cs="Times New Roman"/>
                <w:bCs/>
                <w:szCs w:val="22"/>
              </w:rPr>
            </w:pPr>
            <w:r w:rsidRPr="00652F74">
              <w:rPr>
                <w:rStyle w:val="FormatvorlageInstructionsTabelleText"/>
                <w:rFonts w:ascii="Times New Roman" w:hAnsi="Times New Roman"/>
                <w:sz w:val="22"/>
                <w:szCs w:val="22"/>
              </w:rPr>
              <w:t>Članak 26. stavak 1. točka (c) Uredbe (EU) br. 575/2013</w:t>
            </w:r>
          </w:p>
          <w:p w14:paraId="004FC0D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Zadržana dobit uključuje zadržanu dobit prethodne</w:t>
            </w:r>
            <w:r w:rsidRPr="00652F74">
              <w:rPr>
                <w:rStyle w:val="FormatvorlageInstructionsTabelleText"/>
                <w:rFonts w:ascii="Times New Roman" w:hAnsi="Times New Roman"/>
                <w:sz w:val="22"/>
                <w:szCs w:val="22"/>
              </w:rPr>
              <w:t xml:space="preserve"> godine uvećanu za priznatu dobit tekuće godine ostvarenu tijekom poslovne godine ili dobit tekuće godine ostvarenu na kraju poslovne godine.</w:t>
            </w:r>
          </w:p>
        </w:tc>
      </w:tr>
      <w:tr w:rsidR="001C742E" w:rsidRPr="00652F74" w14:paraId="559511C8" w14:textId="77777777">
        <w:tc>
          <w:tcPr>
            <w:tcW w:w="1129" w:type="dxa"/>
            <w:vAlign w:val="center"/>
          </w:tcPr>
          <w:p w14:paraId="75DF0FA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7</w:t>
            </w:r>
          </w:p>
        </w:tc>
        <w:tc>
          <w:tcPr>
            <w:tcW w:w="7620" w:type="dxa"/>
          </w:tcPr>
          <w:p w14:paraId="0967EAA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Zadržana dobit iz proteklih godina</w:t>
            </w:r>
          </w:p>
          <w:p w14:paraId="72A250F3" w14:textId="77777777" w:rsidR="001C742E" w:rsidRPr="00652F74" w:rsidRDefault="00652F74">
            <w:pPr>
              <w:spacing w:after="120"/>
              <w:jc w:val="both"/>
              <w:rPr>
                <w:rFonts w:ascii="Times New Roman" w:hAnsi="Times New Roman" w:cs="Times New Roman"/>
                <w:szCs w:val="22"/>
              </w:rPr>
            </w:pPr>
            <w:r w:rsidRPr="00652F74">
              <w:rPr>
                <w:rFonts w:ascii="Times New Roman" w:hAnsi="Times New Roman"/>
                <w:szCs w:val="22"/>
              </w:rPr>
              <w:t xml:space="preserve">Članak 4. stavak 1. točka 123. i članak 26. stavak 1. točka (c) Uredbe (EU) </w:t>
            </w:r>
            <w:r w:rsidRPr="00652F74">
              <w:rPr>
                <w:rFonts w:ascii="Times New Roman" w:hAnsi="Times New Roman"/>
                <w:szCs w:val="22"/>
              </w:rPr>
              <w:t>br. 575/2013</w:t>
            </w:r>
          </w:p>
          <w:p w14:paraId="5808684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Člankom 4. stavkom 1. točkom 123. Uredbe (EU) br. 575/2013 zadržana dobit definirana je kao „prenesena dobit i gubitak koji proizlaze iz dobiti ili gubitka proteklih godina, u skladu s primjenjivim računovodstvenim okvirom”.</w:t>
            </w:r>
          </w:p>
        </w:tc>
      </w:tr>
      <w:tr w:rsidR="001C742E" w:rsidRPr="00652F74" w14:paraId="610D0A2E" w14:textId="77777777">
        <w:tc>
          <w:tcPr>
            <w:tcW w:w="1129" w:type="dxa"/>
            <w:vAlign w:val="center"/>
          </w:tcPr>
          <w:p w14:paraId="52D8030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8</w:t>
            </w:r>
          </w:p>
        </w:tc>
        <w:tc>
          <w:tcPr>
            <w:tcW w:w="7620" w:type="dxa"/>
          </w:tcPr>
          <w:p w14:paraId="43F896B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Priznata dobit </w:t>
            </w:r>
            <w:r w:rsidRPr="00652F74">
              <w:rPr>
                <w:rFonts w:ascii="Times New Roman" w:hAnsi="Times New Roman"/>
                <w:b/>
                <w:bCs/>
                <w:szCs w:val="22"/>
                <w:u w:val="single"/>
              </w:rPr>
              <w:t>ili gubitak</w:t>
            </w:r>
          </w:p>
          <w:p w14:paraId="32BB5B73" w14:textId="77777777" w:rsidR="001C742E" w:rsidRPr="00652F74" w:rsidRDefault="00652F74">
            <w:pPr>
              <w:spacing w:after="120"/>
              <w:jc w:val="both"/>
              <w:rPr>
                <w:rFonts w:ascii="Times New Roman" w:eastAsia="Times New Roman" w:hAnsi="Times New Roman" w:cs="Times New Roman"/>
                <w:szCs w:val="22"/>
              </w:rPr>
            </w:pPr>
            <w:r w:rsidRPr="00652F74">
              <w:rPr>
                <w:rFonts w:ascii="Times New Roman" w:hAnsi="Times New Roman"/>
                <w:szCs w:val="22"/>
              </w:rPr>
              <w:t>Članak 4. stavak 1. točka 121., članak 26. stavak 2. i članak 36. stavak 1. točka (a) Uredbe (EU) br. 575/2013</w:t>
            </w:r>
          </w:p>
          <w:p w14:paraId="58B02A9C" w14:textId="77777777" w:rsidR="001C742E" w:rsidRPr="00652F74" w:rsidRDefault="00652F74">
            <w:pPr>
              <w:spacing w:after="120"/>
              <w:jc w:val="both"/>
              <w:rPr>
                <w:rFonts w:ascii="Times New Roman" w:eastAsia="Times New Roman" w:hAnsi="Times New Roman" w:cs="Times New Roman"/>
                <w:szCs w:val="22"/>
              </w:rPr>
            </w:pPr>
            <w:r w:rsidRPr="00652F74">
              <w:rPr>
                <w:rFonts w:ascii="Times New Roman" w:hAnsi="Times New Roman"/>
                <w:szCs w:val="22"/>
              </w:rPr>
              <w:t>Člankom 26. stavkom 2. Uredbe (EU) br. 575/2013 dopušteno je uz prethodno odobrenje nadležnih tijela uključiti dobit tekuće godine os</w:t>
            </w:r>
            <w:r w:rsidRPr="00652F74">
              <w:rPr>
                <w:rFonts w:ascii="Times New Roman" w:hAnsi="Times New Roman"/>
                <w:szCs w:val="22"/>
              </w:rPr>
              <w:t>tvarenu tijekom poslovne godine ili dobit tekuće godine ostvarenu na kraju poslovne godine kao zadržanu dobit, ako su ispunjeni neki uvjeti.</w:t>
            </w:r>
          </w:p>
          <w:p w14:paraId="795F88B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 xml:space="preserve">S druge strane, gubici se odbijaju od redovnog osnovnog kapitala, kako je navedeno u članku 36. stavku 1. </w:t>
            </w:r>
            <w:r w:rsidRPr="00652F74">
              <w:rPr>
                <w:rFonts w:ascii="Times New Roman" w:hAnsi="Times New Roman"/>
                <w:szCs w:val="22"/>
              </w:rPr>
              <w:t>točki (a) Uredbe (EU) br. 575/2013.</w:t>
            </w:r>
          </w:p>
        </w:tc>
      </w:tr>
      <w:tr w:rsidR="001C742E" w:rsidRPr="00652F74" w14:paraId="1436D196" w14:textId="77777777">
        <w:tc>
          <w:tcPr>
            <w:tcW w:w="1129" w:type="dxa"/>
            <w:vAlign w:val="center"/>
          </w:tcPr>
          <w:p w14:paraId="4C4C72F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9</w:t>
            </w:r>
          </w:p>
        </w:tc>
        <w:tc>
          <w:tcPr>
            <w:tcW w:w="7620" w:type="dxa"/>
          </w:tcPr>
          <w:p w14:paraId="2BE3F31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Akumulirana ostala sveobuhvatna dobit</w:t>
            </w:r>
          </w:p>
          <w:p w14:paraId="62F135A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5AA5583C" w14:textId="77777777" w:rsidR="001C742E" w:rsidRPr="00652F74" w:rsidRDefault="00652F74">
            <w:pPr>
              <w:spacing w:after="120"/>
              <w:jc w:val="both"/>
              <w:rPr>
                <w:rFonts w:ascii="Times New Roman" w:hAnsi="Times New Roman" w:cs="Times New Roman"/>
                <w:bCs/>
                <w:szCs w:val="22"/>
              </w:rPr>
            </w:pPr>
            <w:r w:rsidRPr="00652F74">
              <w:rPr>
                <w:rStyle w:val="FormatvorlageInstructionsTabelleText"/>
                <w:rFonts w:ascii="Times New Roman" w:hAnsi="Times New Roman"/>
                <w:sz w:val="22"/>
                <w:szCs w:val="22"/>
              </w:rPr>
              <w:t>Članak 26. stavak 1. točka (d) Uredbe (EU) br. 575/2013</w:t>
            </w:r>
          </w:p>
        </w:tc>
      </w:tr>
      <w:tr w:rsidR="001C742E" w:rsidRPr="00652F74" w14:paraId="4E3916F6" w14:textId="77777777">
        <w:tc>
          <w:tcPr>
            <w:tcW w:w="1129" w:type="dxa"/>
            <w:vAlign w:val="center"/>
          </w:tcPr>
          <w:p w14:paraId="16132E8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10</w:t>
            </w:r>
          </w:p>
        </w:tc>
        <w:tc>
          <w:tcPr>
            <w:tcW w:w="7620" w:type="dxa"/>
          </w:tcPr>
          <w:p w14:paraId="78ECAC0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Ostale rezerve</w:t>
            </w:r>
          </w:p>
          <w:p w14:paraId="2A8FC70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8D44783"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4. stavak 1. točka 117. i članak 26. stavak 1. točka (e) Uredbe (EU) br. 575/2013</w:t>
            </w:r>
          </w:p>
          <w:p w14:paraId="32C86E3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ne uključuje porezne troškove predvidive u trenutku izračuna.</w:t>
            </w:r>
          </w:p>
        </w:tc>
      </w:tr>
      <w:tr w:rsidR="001C742E" w:rsidRPr="00652F74" w14:paraId="541244E5" w14:textId="77777777">
        <w:tc>
          <w:tcPr>
            <w:tcW w:w="1129" w:type="dxa"/>
            <w:vAlign w:val="center"/>
          </w:tcPr>
          <w:p w14:paraId="7F32B32E"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lastRenderedPageBreak/>
              <w:t>11</w:t>
            </w:r>
          </w:p>
        </w:tc>
        <w:tc>
          <w:tcPr>
            <w:tcW w:w="7620" w:type="dxa"/>
          </w:tcPr>
          <w:p w14:paraId="5710E76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Usklađenja redovnog osnovnog kapitala zbog bonitetnih</w:t>
            </w:r>
            <w:r w:rsidRPr="00652F74">
              <w:rPr>
                <w:rFonts w:ascii="Times New Roman" w:hAnsi="Times New Roman"/>
                <w:b/>
                <w:bCs/>
                <w:szCs w:val="22"/>
                <w:u w:val="single"/>
              </w:rPr>
              <w:t xml:space="preserve"> filtara</w:t>
            </w:r>
          </w:p>
          <w:p w14:paraId="3E8AC98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D61980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Članci od 32. do 35. Uredbe (EU) br. 575/2013</w:t>
            </w:r>
          </w:p>
        </w:tc>
      </w:tr>
      <w:tr w:rsidR="001C742E" w:rsidRPr="00652F74" w14:paraId="0CD54693" w14:textId="77777777">
        <w:tc>
          <w:tcPr>
            <w:tcW w:w="1129" w:type="dxa"/>
            <w:vAlign w:val="center"/>
          </w:tcPr>
          <w:p w14:paraId="5BE9E4E0" w14:textId="77777777" w:rsidR="001C742E" w:rsidRPr="00652F74" w:rsidRDefault="00652F74">
            <w:pPr>
              <w:spacing w:after="120"/>
              <w:jc w:val="both"/>
              <w:rPr>
                <w:rFonts w:ascii="Times New Roman" w:hAnsi="Times New Roman" w:cs="Times New Roman"/>
                <w:color w:val="000000"/>
                <w:szCs w:val="22"/>
              </w:rPr>
            </w:pPr>
            <w:r w:rsidRPr="00652F74">
              <w:rPr>
                <w:rFonts w:ascii="Times New Roman" w:hAnsi="Times New Roman"/>
                <w:color w:val="000000"/>
                <w:szCs w:val="22"/>
              </w:rPr>
              <w:t>12</w:t>
            </w:r>
          </w:p>
        </w:tc>
        <w:tc>
          <w:tcPr>
            <w:tcW w:w="7620" w:type="dxa"/>
          </w:tcPr>
          <w:p w14:paraId="36FE3D7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Druga sredstva</w:t>
            </w:r>
          </w:p>
          <w:p w14:paraId="5289D5A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9. stavak 4. Uredbe (EU) 2019/2033</w:t>
            </w:r>
          </w:p>
        </w:tc>
      </w:tr>
      <w:tr w:rsidR="001C742E" w:rsidRPr="00652F74" w14:paraId="3AB9A111" w14:textId="77777777">
        <w:tc>
          <w:tcPr>
            <w:tcW w:w="1129" w:type="dxa"/>
            <w:vAlign w:val="center"/>
          </w:tcPr>
          <w:p w14:paraId="6D013B0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13</w:t>
            </w:r>
          </w:p>
        </w:tc>
        <w:tc>
          <w:tcPr>
            <w:tcW w:w="7620" w:type="dxa"/>
          </w:tcPr>
          <w:p w14:paraId="6341B21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REDOVNOG OSNOVNOG KAPITALA</w:t>
            </w:r>
          </w:p>
          <w:p w14:paraId="6A5ADC1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Objavljuje se ukupni zbroj </w:t>
            </w:r>
            <w:r w:rsidRPr="00652F74">
              <w:rPr>
                <w:rFonts w:ascii="Times New Roman" w:hAnsi="Times New Roman"/>
                <w:bCs/>
                <w:szCs w:val="22"/>
              </w:rPr>
              <w:t>redaka od 14 do 23.</w:t>
            </w:r>
          </w:p>
        </w:tc>
      </w:tr>
      <w:tr w:rsidR="001C742E" w:rsidRPr="00652F74" w14:paraId="4DF8F6DB" w14:textId="77777777">
        <w:tc>
          <w:tcPr>
            <w:tcW w:w="1129" w:type="dxa"/>
            <w:vAlign w:val="center"/>
          </w:tcPr>
          <w:p w14:paraId="7E64CCA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14</w:t>
            </w:r>
          </w:p>
        </w:tc>
        <w:tc>
          <w:tcPr>
            <w:tcW w:w="7620" w:type="dxa"/>
            <w:shd w:val="clear" w:color="auto" w:fill="auto"/>
          </w:tcPr>
          <w:p w14:paraId="7C0D48A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redovnog osnovnog kapitala</w:t>
            </w:r>
          </w:p>
          <w:p w14:paraId="24A97B9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14F76E55"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36. stavak 1. točka (f) i članak 42. Uredbe (EU) br. 575/2013</w:t>
            </w:r>
          </w:p>
          <w:p w14:paraId="73506CDF"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Vlastiti instrumenti redovnog osnovnog kapitala koje </w:t>
            </w:r>
            <w:r w:rsidRPr="00652F74">
              <w:rPr>
                <w:rStyle w:val="FormatvorlageInstructionsTabelleText"/>
                <w:rFonts w:ascii="Times New Roman" w:hAnsi="Times New Roman"/>
                <w:sz w:val="22"/>
              </w:rPr>
              <w:t>drži institucija ili grupa koja izvješćuje na datum izvješćivanja. Podložno iznimkama iz članka 42. Uredbe (EU) br. 575/2013.</w:t>
            </w:r>
          </w:p>
          <w:p w14:paraId="6F6D977A"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U ovom se retku ne iskazuju ulaganja u dionice uključena kao „instrumenti kapitala koji se ne priznaju”.</w:t>
            </w:r>
          </w:p>
          <w:p w14:paraId="5A5915E2"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Iznos koji se objavljuje </w:t>
            </w:r>
            <w:r w:rsidRPr="00652F74">
              <w:rPr>
                <w:rStyle w:val="FormatvorlageInstructionsTabelleText"/>
                <w:rFonts w:ascii="Times New Roman" w:hAnsi="Times New Roman"/>
                <w:sz w:val="22"/>
              </w:rPr>
              <w:t>uključuje premiju na dionice povezanu s vlastitim dionicama.</w:t>
            </w:r>
          </w:p>
          <w:p w14:paraId="26A974F7" w14:textId="77777777" w:rsidR="001C742E" w:rsidRPr="00652F74" w:rsidRDefault="001C742E">
            <w:pPr>
              <w:pStyle w:val="InstructionsText"/>
            </w:pPr>
          </w:p>
        </w:tc>
      </w:tr>
      <w:tr w:rsidR="001C742E" w:rsidRPr="00652F74" w14:paraId="6FA80720" w14:textId="77777777">
        <w:tc>
          <w:tcPr>
            <w:tcW w:w="1129" w:type="dxa"/>
            <w:vAlign w:val="center"/>
          </w:tcPr>
          <w:p w14:paraId="6323023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186C2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Gubici tekuće financijske godine</w:t>
            </w:r>
          </w:p>
          <w:p w14:paraId="30F9867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Članak 36. stavak 1. točka (a) Uredbe (EU) br. 575/2013</w:t>
            </w:r>
          </w:p>
        </w:tc>
      </w:tr>
      <w:tr w:rsidR="001C742E" w:rsidRPr="00652F74" w14:paraId="55EDF830" w14:textId="77777777">
        <w:tc>
          <w:tcPr>
            <w:tcW w:w="1129" w:type="dxa"/>
            <w:vAlign w:val="center"/>
          </w:tcPr>
          <w:p w14:paraId="1C26418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02AD797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w:t>
            </w:r>
            <w:r w:rsidRPr="00652F74">
              <w:rPr>
                <w:rFonts w:ascii="Times New Roman" w:hAnsi="Times New Roman"/>
                <w:b/>
                <w:bCs/>
                <w:i/>
                <w:iCs/>
                <w:szCs w:val="22"/>
                <w:u w:val="single"/>
              </w:rPr>
              <w:t>Goodwill</w:t>
            </w:r>
          </w:p>
          <w:p w14:paraId="541AA44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1D1BFE0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Članak 4. stavak 1. </w:t>
            </w:r>
            <w:r w:rsidRPr="00652F74">
              <w:rPr>
                <w:rStyle w:val="FormatvorlageInstructionsTabelleText"/>
                <w:rFonts w:ascii="Times New Roman" w:hAnsi="Times New Roman"/>
                <w:sz w:val="22"/>
                <w:szCs w:val="22"/>
              </w:rPr>
              <w:t>točka 113., članak 36. stavak 1. točka (b) i članak 37. Uredbe (EU) br. 575/2013</w:t>
            </w:r>
          </w:p>
        </w:tc>
      </w:tr>
      <w:tr w:rsidR="001C742E" w:rsidRPr="00652F74" w14:paraId="276FA1F1" w14:textId="77777777">
        <w:tc>
          <w:tcPr>
            <w:tcW w:w="1129" w:type="dxa"/>
            <w:vAlign w:val="center"/>
          </w:tcPr>
          <w:p w14:paraId="25571D8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13D66D"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Ostala nematerijalna imovina</w:t>
            </w:r>
          </w:p>
          <w:p w14:paraId="0615D10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E014461"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 xml:space="preserve">Članak 4. stavak 1. točka 115., članak 36. stavak 1. točka (b) i članak 37. točka </w:t>
            </w:r>
            <w:r w:rsidRPr="00652F74">
              <w:rPr>
                <w:rStyle w:val="FormatvorlageInstructionsTabelleText"/>
                <w:rFonts w:ascii="Times New Roman" w:hAnsi="Times New Roman"/>
                <w:sz w:val="22"/>
              </w:rPr>
              <w:t>(a) Uredbe (EU) br. 575/2013</w:t>
            </w:r>
          </w:p>
          <w:p w14:paraId="61A8E54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Ostala nematerijalna imovina je nematerijalna imovina u skladu s primjenjivim računovodstvenim standardom, umanjena za </w:t>
            </w:r>
            <w:r w:rsidRPr="00652F74">
              <w:rPr>
                <w:rStyle w:val="FormatvorlageInstructionsTabelleText"/>
                <w:rFonts w:ascii="Times New Roman" w:hAnsi="Times New Roman"/>
                <w:i/>
                <w:iCs/>
                <w:sz w:val="22"/>
                <w:szCs w:val="22"/>
              </w:rPr>
              <w:t>goodwill</w:t>
            </w:r>
            <w:r w:rsidRPr="00652F74">
              <w:rPr>
                <w:rStyle w:val="FormatvorlageInstructionsTabelleText"/>
                <w:rFonts w:ascii="Times New Roman" w:hAnsi="Times New Roman"/>
                <w:sz w:val="22"/>
                <w:szCs w:val="22"/>
              </w:rPr>
              <w:t>, također u skladu s primjenjivim računovodstvenim standardom.</w:t>
            </w:r>
          </w:p>
        </w:tc>
      </w:tr>
      <w:tr w:rsidR="001C742E" w:rsidRPr="00652F74" w14:paraId="4E4B2ED9" w14:textId="77777777">
        <w:tc>
          <w:tcPr>
            <w:tcW w:w="1129" w:type="dxa"/>
            <w:vAlign w:val="center"/>
          </w:tcPr>
          <w:p w14:paraId="00A45E4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C1F82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Odgođena porezna imovina koja</w:t>
            </w:r>
            <w:r w:rsidRPr="00652F74">
              <w:rPr>
                <w:rFonts w:ascii="Times New Roman" w:hAnsi="Times New Roman"/>
                <w:b/>
                <w:bCs/>
                <w:szCs w:val="22"/>
                <w:u w:val="single"/>
              </w:rPr>
              <w:t xml:space="preserve"> ovisi o budućoj profitabilnosti i ne proizlazi iz privremenih razlika i ne uključuje povezane porezne obveze</w:t>
            </w:r>
          </w:p>
          <w:p w14:paraId="7859BDA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(a) Uredbe (EU) br. 2019/2033</w:t>
            </w:r>
          </w:p>
          <w:p w14:paraId="25CD413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 (c) Uredbe (EU) br. 575/2013</w:t>
            </w:r>
          </w:p>
        </w:tc>
      </w:tr>
      <w:tr w:rsidR="001C742E" w:rsidRPr="00652F74" w14:paraId="69C33461" w14:textId="77777777">
        <w:tc>
          <w:tcPr>
            <w:tcW w:w="1129" w:type="dxa"/>
            <w:vAlign w:val="center"/>
          </w:tcPr>
          <w:p w14:paraId="3551153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02A6FB4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Kvalificirani udjel </w:t>
            </w:r>
            <w:r w:rsidRPr="00652F74">
              <w:rPr>
                <w:rFonts w:ascii="Times New Roman" w:hAnsi="Times New Roman"/>
                <w:b/>
                <w:bCs/>
                <w:szCs w:val="22"/>
                <w:u w:val="single"/>
              </w:rPr>
              <w:t>izvan financijskog sektora koji premašuje 15 % regulatornog kapitala</w:t>
            </w:r>
          </w:p>
          <w:p w14:paraId="5B01A92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10. stavak 1. točka (a) Uredbe (EU) br. 2019/2033</w:t>
            </w:r>
          </w:p>
        </w:tc>
      </w:tr>
      <w:tr w:rsidR="001C742E" w:rsidRPr="00652F74" w14:paraId="22E9E7D8" w14:textId="77777777">
        <w:tc>
          <w:tcPr>
            <w:tcW w:w="1129" w:type="dxa"/>
            <w:vAlign w:val="center"/>
          </w:tcPr>
          <w:p w14:paraId="00BD5DB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C0B4E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kvalificirani udjeli u društvu koje nije subjekt financijskog sektora koji prelaze 60 % regulatornog kapitala</w:t>
            </w:r>
          </w:p>
          <w:p w14:paraId="2AE80A8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w:t>
            </w:r>
            <w:r w:rsidRPr="00652F74">
              <w:rPr>
                <w:rFonts w:ascii="Times New Roman" w:hAnsi="Times New Roman"/>
                <w:bCs/>
                <w:szCs w:val="22"/>
              </w:rPr>
              <w:t>k 10. stavak 1. točka (b) Uredbe (EU) 2019/2033</w:t>
            </w:r>
          </w:p>
        </w:tc>
      </w:tr>
      <w:tr w:rsidR="001C742E" w:rsidRPr="00652F74" w14:paraId="51F569BE" w14:textId="77777777">
        <w:tc>
          <w:tcPr>
            <w:tcW w:w="1129" w:type="dxa"/>
            <w:vAlign w:val="center"/>
          </w:tcPr>
          <w:p w14:paraId="026FFF6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lastRenderedPageBreak/>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A67D5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redovnog osnovnog kapitala subjekata financijskog sektora ako institucija nema značajno ulaganje</w:t>
            </w:r>
          </w:p>
          <w:p w14:paraId="1722774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2046AA0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 (h) Uredbe (</w:t>
            </w:r>
            <w:r w:rsidRPr="00652F74">
              <w:rPr>
                <w:rFonts w:ascii="Times New Roman" w:hAnsi="Times New Roman"/>
                <w:bCs/>
                <w:szCs w:val="22"/>
              </w:rPr>
              <w:t>EU) br. 575/2013</w:t>
            </w:r>
          </w:p>
        </w:tc>
      </w:tr>
      <w:tr w:rsidR="001C742E" w:rsidRPr="00652F74" w14:paraId="0C1A5206" w14:textId="77777777">
        <w:tc>
          <w:tcPr>
            <w:tcW w:w="1129" w:type="dxa"/>
            <w:vAlign w:val="center"/>
          </w:tcPr>
          <w:p w14:paraId="4EE6756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324F39"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Imovina mirovinskog fonda pod pokroviteljstvom poslodavca</w:t>
            </w:r>
          </w:p>
          <w:p w14:paraId="77162C0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(b) Uredbe (EU) 2019/2033</w:t>
            </w:r>
          </w:p>
          <w:p w14:paraId="28A2E43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36. stavak 1. točka (e) Uredbe (EU) br. 575/2013</w:t>
            </w:r>
          </w:p>
        </w:tc>
      </w:tr>
      <w:tr w:rsidR="001C742E" w:rsidRPr="00652F74" w14:paraId="539AD674" w14:textId="77777777">
        <w:tc>
          <w:tcPr>
            <w:tcW w:w="1129" w:type="dxa"/>
            <w:vAlign w:val="center"/>
          </w:tcPr>
          <w:p w14:paraId="68C9788F"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22F1A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Drugi odbici</w:t>
            </w:r>
          </w:p>
          <w:p w14:paraId="1B9C3B4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szCs w:val="22"/>
              </w:rPr>
              <w:t xml:space="preserve">Zbroj svih drugih odbitaka iz </w:t>
            </w:r>
            <w:r w:rsidRPr="00652F74">
              <w:rPr>
                <w:rFonts w:ascii="Times New Roman" w:hAnsi="Times New Roman"/>
                <w:szCs w:val="22"/>
              </w:rPr>
              <w:t>članka 36. stavka 1. Uredbe (EU) br. 575/2013</w:t>
            </w:r>
          </w:p>
        </w:tc>
      </w:tr>
      <w:tr w:rsidR="001C742E" w:rsidRPr="00652F74" w14:paraId="3970D522" w14:textId="77777777">
        <w:tc>
          <w:tcPr>
            <w:tcW w:w="1129" w:type="dxa"/>
          </w:tcPr>
          <w:p w14:paraId="7621FAC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09F827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Redovni osnovni kapital: drugi elementi kapitala, odbici i prilagodbe</w:t>
            </w:r>
          </w:p>
          <w:p w14:paraId="525BAED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224E879B"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redovnog </w:t>
            </w:r>
            <w:r w:rsidRPr="00652F74">
              <w:rPr>
                <w:rFonts w:ascii="Times New Roman" w:hAnsi="Times New Roman"/>
                <w:bCs/>
              </w:rPr>
              <w:t>osnovnog kapitala koji se nastavljaju priznavati (članak 483. stavci 1., 2. i 3. i članci od 484. do 487. Uredbe (EU) br. 575/2013),</w:t>
            </w:r>
          </w:p>
          <w:p w14:paraId="39B50C91"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redovnog osnovnog kapitala (članci od 469. do 478. i članak 481. Uredbe (EU) br. 575/2013): u</w:t>
            </w:r>
            <w:r w:rsidRPr="00652F74">
              <w:rPr>
                <w:rFonts w:ascii="Times New Roman" w:hAnsi="Times New Roman"/>
                <w:bCs/>
              </w:rPr>
              <w:t>sklađenja odbitaka od redovnog osnovnog kapitala na temelju prijelaznih odredbi,</w:t>
            </w:r>
          </w:p>
          <w:p w14:paraId="71AFE68C" w14:textId="77777777" w:rsidR="001C742E" w:rsidRPr="00652F74" w:rsidRDefault="00652F74">
            <w:pPr>
              <w:spacing w:after="120"/>
              <w:ind w:left="360" w:hanging="360"/>
              <w:contextualSpacing/>
              <w:jc w:val="both"/>
              <w:rPr>
                <w:rFonts w:ascii="Times New Roman" w:eastAsia="Times New Roman" w:hAnsi="Times New Roman"/>
                <w:b/>
                <w:bCs/>
                <w:u w:val="single"/>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redovnog osnovnog kapitala ili odbici od elementa redovnog osnovnog kapitala koji se ne mogu rasporediti u jedan od redaka od 4 do 23.</w:t>
            </w:r>
          </w:p>
          <w:p w14:paraId="042C7AD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korist</w:t>
            </w:r>
            <w:r w:rsidRPr="00652F74">
              <w:rPr>
                <w:rFonts w:ascii="Times New Roman" w:hAnsi="Times New Roman"/>
                <w:bCs/>
                <w:szCs w:val="22"/>
              </w:rPr>
              <w:t>i za uključivanje stavki kapitala ili odbitaka koji nisu obuhvaćeni Uredbom (EU) 2019/2033 ili Uredbom (EU) br. 575/2013 u izračun stopa solventnosti.</w:t>
            </w:r>
          </w:p>
        </w:tc>
      </w:tr>
      <w:tr w:rsidR="001C742E" w:rsidRPr="00652F74" w14:paraId="4D55C47C" w14:textId="77777777">
        <w:tc>
          <w:tcPr>
            <w:tcW w:w="1129" w:type="dxa"/>
          </w:tcPr>
          <w:p w14:paraId="38AD431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9F34C47"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w:t>
            </w:r>
          </w:p>
          <w:p w14:paraId="35C21CD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72D9C7F6" w14:textId="77777777" w:rsidR="001C742E" w:rsidRPr="00652F74" w:rsidRDefault="00652F74">
            <w:pPr>
              <w:spacing w:after="120"/>
              <w:jc w:val="both"/>
              <w:rPr>
                <w:rFonts w:ascii="Times New Roman" w:hAnsi="Times New Roman" w:cs="Times New Roman"/>
                <w:szCs w:val="22"/>
              </w:rPr>
            </w:pPr>
            <w:r w:rsidRPr="00652F74">
              <w:rPr>
                <w:rFonts w:ascii="Times New Roman" w:hAnsi="Times New Roman"/>
                <w:szCs w:val="22"/>
              </w:rPr>
              <w:t>Članak 61. Uredbe (EU) br. 575/2013</w:t>
            </w:r>
          </w:p>
          <w:p w14:paraId="27D9105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Objavljuje se ukupni zbroj redaka od 26 do 28 i retka 32.</w:t>
            </w:r>
          </w:p>
        </w:tc>
      </w:tr>
      <w:tr w:rsidR="001C742E" w:rsidRPr="00652F74" w14:paraId="1BCAB16D" w14:textId="77777777">
        <w:tc>
          <w:tcPr>
            <w:tcW w:w="1129" w:type="dxa"/>
          </w:tcPr>
          <w:p w14:paraId="6E5F96D2"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29E4F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Plaćeni instrumenti kapitala</w:t>
            </w:r>
          </w:p>
          <w:p w14:paraId="36416FC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76A3143"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51. točka (a) i članci 52., 53. i 54. Uredbe (EU) br. 575/2013</w:t>
            </w:r>
          </w:p>
          <w:p w14:paraId="0FF0968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Iznos koji se objavljuje ne </w:t>
            </w:r>
            <w:r w:rsidRPr="00652F74">
              <w:rPr>
                <w:rStyle w:val="FormatvorlageInstructionsTabelleText"/>
                <w:rFonts w:ascii="Times New Roman" w:hAnsi="Times New Roman"/>
                <w:sz w:val="22"/>
                <w:szCs w:val="22"/>
              </w:rPr>
              <w:t>uključuje premiju na dionice povezanu s instrumentima.</w:t>
            </w:r>
          </w:p>
        </w:tc>
      </w:tr>
      <w:tr w:rsidR="001C742E" w:rsidRPr="00652F74" w14:paraId="53B77253" w14:textId="77777777">
        <w:tc>
          <w:tcPr>
            <w:tcW w:w="1129" w:type="dxa"/>
          </w:tcPr>
          <w:p w14:paraId="4A055EEA"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17195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5032F7E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E5CB9E6"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51. točka (b) Uredbe (EU) br. 575/2013</w:t>
            </w:r>
          </w:p>
          <w:p w14:paraId="56547EC0"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Premija na dionice ima isto značenje kao i u primjenjivom </w:t>
            </w:r>
            <w:r w:rsidRPr="00652F74">
              <w:rPr>
                <w:rStyle w:val="FormatvorlageInstructionsTabelleText"/>
                <w:rFonts w:ascii="Times New Roman" w:hAnsi="Times New Roman"/>
                <w:sz w:val="22"/>
              </w:rPr>
              <w:t>računovodstvenom standardu.</w:t>
            </w:r>
          </w:p>
          <w:p w14:paraId="028F6F8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Iznos koji se objavljuje u ovoj stavci dio je koji se odnosi na „plaćene instrumente kapitala”.</w:t>
            </w:r>
          </w:p>
        </w:tc>
      </w:tr>
      <w:tr w:rsidR="001C742E" w:rsidRPr="00652F74" w14:paraId="702086A7" w14:textId="77777777">
        <w:tc>
          <w:tcPr>
            <w:tcW w:w="1129" w:type="dxa"/>
          </w:tcPr>
          <w:p w14:paraId="3FA9CEE5"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7072F185"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DODATNOG OSNOVNOG KAPITALA</w:t>
            </w:r>
          </w:p>
          <w:p w14:paraId="04A85C5A" w14:textId="77777777" w:rsidR="001C742E" w:rsidRPr="00652F74" w:rsidRDefault="00652F74">
            <w:pPr>
              <w:spacing w:before="60" w:after="60"/>
              <w:rPr>
                <w:rFonts w:ascii="Times New Roman" w:hAnsi="Times New Roman" w:cs="Times New Roman"/>
                <w:szCs w:val="22"/>
              </w:rPr>
            </w:pPr>
            <w:r w:rsidRPr="00652F74">
              <w:rPr>
                <w:rFonts w:ascii="Times New Roman" w:hAnsi="Times New Roman"/>
                <w:szCs w:val="22"/>
              </w:rPr>
              <w:t>Članak 56. Uredbe (EU) br. 575/2013</w:t>
            </w:r>
          </w:p>
          <w:p w14:paraId="49EBA4D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Objavljuje se ukupni zbroj redaka od 29 do </w:t>
            </w:r>
            <w:r w:rsidRPr="00652F74">
              <w:rPr>
                <w:rFonts w:ascii="Times New Roman" w:hAnsi="Times New Roman"/>
                <w:bCs/>
                <w:szCs w:val="22"/>
              </w:rPr>
              <w:t>31.</w:t>
            </w:r>
          </w:p>
        </w:tc>
      </w:tr>
      <w:tr w:rsidR="001C742E" w:rsidRPr="00652F74" w14:paraId="46E619E5" w14:textId="77777777">
        <w:tc>
          <w:tcPr>
            <w:tcW w:w="1129" w:type="dxa"/>
          </w:tcPr>
          <w:p w14:paraId="2ADAA2B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A2000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dodatnog osnovnog kapitala</w:t>
            </w:r>
          </w:p>
          <w:p w14:paraId="01E8F94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lastRenderedPageBreak/>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61B094C6"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52. stavak 1. točka (b), članak 56. točka (a) i članak 57. Uredbe (EU) br. 575/2013</w:t>
            </w:r>
          </w:p>
          <w:p w14:paraId="4E486AAA"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Vlastiti instrumenti dodatnog osnovnog kapitala koje d</w:t>
            </w:r>
            <w:r w:rsidRPr="00652F74">
              <w:rPr>
                <w:rStyle w:val="FormatvorlageInstructionsTabelleText"/>
                <w:rFonts w:ascii="Times New Roman" w:hAnsi="Times New Roman"/>
                <w:sz w:val="22"/>
              </w:rPr>
              <w:t>rži investicijsko društvo na datum izvješćivanja. Podložno iznimkama iz članka 57. Uredbe (EU) br. 575/2013.</w:t>
            </w:r>
          </w:p>
          <w:p w14:paraId="4B30DA78"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Iznos koji se objavljuje uključuje premiju na dionice povezanu s vlastitim dionicama.</w:t>
            </w:r>
          </w:p>
          <w:p w14:paraId="2C39F7D9" w14:textId="77777777" w:rsidR="001C742E" w:rsidRPr="00652F74" w:rsidRDefault="001C742E">
            <w:pPr>
              <w:pStyle w:val="InstructionsText"/>
            </w:pPr>
          </w:p>
        </w:tc>
      </w:tr>
      <w:tr w:rsidR="001C742E" w:rsidRPr="00652F74" w14:paraId="7356D1F5" w14:textId="77777777">
        <w:tc>
          <w:tcPr>
            <w:tcW w:w="1129" w:type="dxa"/>
          </w:tcPr>
          <w:p w14:paraId="047C4CC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99EE9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Instrumenti dodatnog osnovnog kapitala subjekata fin</w:t>
            </w:r>
            <w:r w:rsidRPr="00652F74">
              <w:rPr>
                <w:rFonts w:ascii="Times New Roman" w:hAnsi="Times New Roman"/>
                <w:b/>
                <w:bCs/>
                <w:szCs w:val="22"/>
                <w:u w:val="single"/>
              </w:rPr>
              <w:t>ancijskog sektora ako institucija nema značajno ulaganje</w:t>
            </w:r>
          </w:p>
          <w:p w14:paraId="3F630C9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55E5FE3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56. točka (c) Uredbe (EU) br. 575/2013</w:t>
            </w:r>
          </w:p>
        </w:tc>
      </w:tr>
      <w:tr w:rsidR="001C742E" w:rsidRPr="00652F74" w14:paraId="7EAE633C" w14:textId="77777777">
        <w:tc>
          <w:tcPr>
            <w:tcW w:w="1129" w:type="dxa"/>
          </w:tcPr>
          <w:p w14:paraId="64C18A81"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FEB634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Drugi odbici</w:t>
            </w:r>
          </w:p>
          <w:p w14:paraId="344CBAFE"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 xml:space="preserve">Zbroj svih ostalih odbitaka u skladu s člankom 56. Uredbe (EU) </w:t>
            </w:r>
            <w:r w:rsidRPr="00652F74">
              <w:rPr>
                <w:rFonts w:ascii="Times New Roman" w:hAnsi="Times New Roman"/>
                <w:bCs/>
                <w:szCs w:val="22"/>
              </w:rPr>
              <w:t>br. 575/2013, osim odbitaka u skladu s člankom 56. točkom (d) Uredbe (EU) br. 575/2013, koji nisu uključeni u prethodno navedeni redak 0340 ili 0380.</w:t>
            </w:r>
          </w:p>
        </w:tc>
      </w:tr>
      <w:tr w:rsidR="001C742E" w:rsidRPr="00652F74" w14:paraId="63517E38" w14:textId="77777777">
        <w:tc>
          <w:tcPr>
            <w:tcW w:w="1129" w:type="dxa"/>
          </w:tcPr>
          <w:p w14:paraId="0321E12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5C7151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Dodatni osnovni kapital: drugi elementi kapitala, odbici i prilagodbe</w:t>
            </w:r>
          </w:p>
          <w:p w14:paraId="01810C99"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 xml:space="preserve">Ovaj redak uključuje zbroj </w:t>
            </w:r>
            <w:r w:rsidRPr="00652F74">
              <w:rPr>
                <w:rFonts w:ascii="Times New Roman" w:hAnsi="Times New Roman"/>
                <w:bCs/>
                <w:szCs w:val="22"/>
              </w:rPr>
              <w:t>sljedećih stavki, ako je primjenjivo:</w:t>
            </w:r>
          </w:p>
          <w:p w14:paraId="4ECCE9A7"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prijelazna usklađenja na temelju instrumenata dodatnog osnovnog kapitala koji se nastavljaju priznavati (članak 483. stavci 4. i 5., članci od 484. do 487. i članci 489. i 491. Uredbe (EU) br. 575/2013),</w:t>
            </w:r>
          </w:p>
          <w:p w14:paraId="262C7B9F"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w:t>
            </w:r>
            <w:r w:rsidRPr="00652F74">
              <w:rPr>
                <w:rFonts w:ascii="Times New Roman" w:hAnsi="Times New Roman"/>
                <w:bCs/>
              </w:rPr>
              <w:t>elazna usklađenja dodatnog osnovnog kapitala (članci 472., 473.a, 474., 475., 478. i 481. Uredbe (EU) br. 575/2013): usklađenja odbitaka zbog prijelaznih odredbi,</w:t>
            </w:r>
          </w:p>
          <w:p w14:paraId="138F3A70"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dodatnog osnovnog kapitala koji premašuje dodatni osnovni kapital, odbije</w:t>
            </w:r>
            <w:r w:rsidRPr="00652F74">
              <w:rPr>
                <w:rFonts w:ascii="Times New Roman" w:hAnsi="Times New Roman"/>
                <w:bCs/>
              </w:rPr>
              <w:t>n od redovnog osnovnog kapitala u skladu s člankom 36. stavkom 1. točkom (j) Uredbe (EU) br. 575/2013: dodatni osnovni kapital ne može biti negativan, ali moguće je da odbici od stavki dodatnog osnovnog kapitala premašuju iznos dostupnih stavki dodatnog os</w:t>
            </w:r>
            <w:r w:rsidRPr="00652F74">
              <w:rPr>
                <w:rFonts w:ascii="Times New Roman" w:hAnsi="Times New Roman"/>
                <w:bCs/>
              </w:rPr>
              <w:t>novnog kapitala. U tom slučaju, u ovoj stavci izražava se iznos potreban da bi se iznos iskazan u retku 0300 povećao na nulu, a odgovara obrnutom iznosu odbitaka od stavki dodatnog osnovnog kapitala koji premašuje dodatni osnovni kapital te je, među ostali</w:t>
            </w:r>
            <w:r w:rsidRPr="00652F74">
              <w:rPr>
                <w:rFonts w:ascii="Times New Roman" w:hAnsi="Times New Roman"/>
                <w:bCs/>
              </w:rPr>
              <w:t>m odbicima, uključen u redak 23,</w:t>
            </w:r>
          </w:p>
          <w:p w14:paraId="78C18C9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dodatnog osnovnog kapitala ili odbici od elementa dodatnog osnovnog kapitala koji se ne mogu rasporediti u jedan od redaka od 26 do 31.</w:t>
            </w:r>
          </w:p>
          <w:p w14:paraId="343B55A6"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 xml:space="preserve">Ovaj se redak ne koristi za uključivanje stavki kapitala ili odbitaka </w:t>
            </w:r>
            <w:r w:rsidRPr="00652F74">
              <w:rPr>
                <w:rFonts w:ascii="Times New Roman" w:hAnsi="Times New Roman"/>
                <w:bCs/>
                <w:szCs w:val="22"/>
              </w:rPr>
              <w:t>koji nisu obuhvaćeni Uredbom (EU) 2019/2033 ili Uredbom (EU) br. 575/2013 u izračun stopa solventnosti.</w:t>
            </w:r>
          </w:p>
        </w:tc>
      </w:tr>
      <w:tr w:rsidR="001C742E" w:rsidRPr="00652F74" w14:paraId="2DC8833D" w14:textId="77777777">
        <w:tc>
          <w:tcPr>
            <w:tcW w:w="1129" w:type="dxa"/>
          </w:tcPr>
          <w:p w14:paraId="48641E0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3E10421"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w:t>
            </w:r>
          </w:p>
          <w:p w14:paraId="2A683D0E"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Uredbe (EU) 2019/2033</w:t>
            </w:r>
          </w:p>
          <w:p w14:paraId="7BFB1E78" w14:textId="77777777" w:rsidR="001C742E" w:rsidRPr="00652F74" w:rsidRDefault="00652F74">
            <w:pPr>
              <w:spacing w:after="120"/>
              <w:jc w:val="both"/>
              <w:rPr>
                <w:rStyle w:val="FormatvorlageInstructionsTabelleText"/>
                <w:rFonts w:ascii="Times New Roman" w:hAnsi="Times New Roman"/>
                <w:sz w:val="22"/>
                <w:szCs w:val="22"/>
              </w:rPr>
            </w:pPr>
            <w:r w:rsidRPr="00652F74">
              <w:rPr>
                <w:rStyle w:val="FormatvorlageInstructionsTabelleText"/>
                <w:rFonts w:ascii="Times New Roman" w:hAnsi="Times New Roman"/>
                <w:sz w:val="22"/>
                <w:szCs w:val="22"/>
              </w:rPr>
              <w:t>Članak 71. Uredbe (EU) br. 575/2013</w:t>
            </w:r>
          </w:p>
          <w:p w14:paraId="6BCCE05F" w14:textId="77777777" w:rsidR="001C742E" w:rsidRPr="00652F74" w:rsidRDefault="00652F74">
            <w:pPr>
              <w:pStyle w:val="CommentText"/>
              <w:rPr>
                <w:sz w:val="22"/>
                <w:szCs w:val="22"/>
              </w:rPr>
            </w:pPr>
            <w:r w:rsidRPr="00652F74">
              <w:rPr>
                <w:rFonts w:ascii="Times New Roman" w:hAnsi="Times New Roman"/>
                <w:bCs/>
                <w:sz w:val="22"/>
                <w:szCs w:val="22"/>
              </w:rPr>
              <w:t>Objavljuje se ukupni zbroj redaka od 34 do</w:t>
            </w:r>
            <w:r w:rsidRPr="00652F74">
              <w:rPr>
                <w:rFonts w:ascii="Times New Roman" w:hAnsi="Times New Roman"/>
                <w:sz w:val="22"/>
                <w:szCs w:val="22"/>
              </w:rPr>
              <w:t xml:space="preserve"> </w:t>
            </w:r>
            <w:r w:rsidRPr="00652F74">
              <w:rPr>
                <w:rStyle w:val="FormatvorlageInstructionsTabelleText"/>
                <w:rFonts w:ascii="Times New Roman" w:hAnsi="Times New Roman"/>
                <w:sz w:val="22"/>
                <w:szCs w:val="22"/>
              </w:rPr>
              <w:t xml:space="preserve">36 i </w:t>
            </w:r>
            <w:r w:rsidRPr="00652F74">
              <w:rPr>
                <w:rStyle w:val="FormatvorlageInstructionsTabelleText"/>
                <w:rFonts w:ascii="Times New Roman" w:hAnsi="Times New Roman"/>
                <w:sz w:val="22"/>
                <w:szCs w:val="22"/>
              </w:rPr>
              <w:t>retka 39</w:t>
            </w:r>
            <w:r w:rsidRPr="00652F74">
              <w:rPr>
                <w:rFonts w:ascii="Times New Roman" w:hAnsi="Times New Roman"/>
                <w:bCs/>
                <w:sz w:val="22"/>
                <w:szCs w:val="22"/>
              </w:rPr>
              <w:t>.</w:t>
            </w:r>
          </w:p>
        </w:tc>
      </w:tr>
      <w:tr w:rsidR="001C742E" w:rsidRPr="00652F74" w14:paraId="56BEE968" w14:textId="77777777">
        <w:tc>
          <w:tcPr>
            <w:tcW w:w="1129" w:type="dxa"/>
          </w:tcPr>
          <w:p w14:paraId="005F9634"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11F09A"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U potpunosti plaćeni, izravno izdani instrumenti kapitala</w:t>
            </w:r>
          </w:p>
          <w:p w14:paraId="41482820"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0838364F" w14:textId="77777777" w:rsidR="001C742E" w:rsidRPr="00652F74" w:rsidRDefault="00652F74">
            <w:pPr>
              <w:pStyle w:val="InstructionsText"/>
              <w:rPr>
                <w:rStyle w:val="FormatvorlageInstructionsTabelleText"/>
                <w:rFonts w:ascii="Times New Roman" w:eastAsiaTheme="minorHAnsi" w:hAnsi="Times New Roman"/>
                <w:bCs/>
                <w:sz w:val="22"/>
              </w:rPr>
            </w:pPr>
            <w:r w:rsidRPr="00652F74">
              <w:rPr>
                <w:rStyle w:val="FormatvorlageInstructionsTabelleText"/>
                <w:rFonts w:ascii="Times New Roman" w:hAnsi="Times New Roman"/>
                <w:sz w:val="22"/>
              </w:rPr>
              <w:t>Članak 62. točka (a) te članci 63. i 65. Uredbe (EU) br. 575/2013</w:t>
            </w:r>
          </w:p>
          <w:p w14:paraId="6F8830A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Style w:val="FormatvorlageInstructionsTabelleText"/>
                <w:rFonts w:ascii="Times New Roman" w:hAnsi="Times New Roman"/>
                <w:sz w:val="22"/>
                <w:szCs w:val="22"/>
              </w:rPr>
              <w:t xml:space="preserve">Iznos koji se objavljuje ne uključuje premiju na dionice </w:t>
            </w:r>
            <w:r w:rsidRPr="00652F74">
              <w:rPr>
                <w:rStyle w:val="FormatvorlageInstructionsTabelleText"/>
                <w:rFonts w:ascii="Times New Roman" w:hAnsi="Times New Roman"/>
                <w:sz w:val="22"/>
                <w:szCs w:val="22"/>
              </w:rPr>
              <w:t>povezanu s instrumentima.</w:t>
            </w:r>
          </w:p>
        </w:tc>
      </w:tr>
      <w:tr w:rsidR="001C742E" w:rsidRPr="00652F74" w14:paraId="288EDEC6" w14:textId="77777777">
        <w:tc>
          <w:tcPr>
            <w:tcW w:w="1129" w:type="dxa"/>
          </w:tcPr>
          <w:p w14:paraId="750D0EE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lastRenderedPageBreak/>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027344"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Premija na dionice</w:t>
            </w:r>
          </w:p>
          <w:p w14:paraId="260CB12D"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(EU) 2019/2033</w:t>
            </w:r>
          </w:p>
          <w:p w14:paraId="4FF5CB09"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62. točka (b) i članak 65. Uredbe (EU) br. 575/2013</w:t>
            </w:r>
          </w:p>
          <w:p w14:paraId="237B013F"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Premija na dionice ima isto značenje kao i u primjenjivom računovodstvenom standardu.</w:t>
            </w:r>
          </w:p>
          <w:p w14:paraId="40EB93B8" w14:textId="77777777" w:rsidR="001C742E" w:rsidRPr="00652F74" w:rsidRDefault="00652F74">
            <w:pPr>
              <w:pStyle w:val="InstructionsText"/>
            </w:pPr>
            <w:r w:rsidRPr="00652F74">
              <w:rPr>
                <w:rStyle w:val="FormatvorlageInstructionsTabelleText"/>
                <w:rFonts w:ascii="Times New Roman" w:hAnsi="Times New Roman"/>
                <w:sz w:val="22"/>
              </w:rPr>
              <w:t xml:space="preserve">Iznos </w:t>
            </w:r>
            <w:r w:rsidRPr="00652F74">
              <w:rPr>
                <w:rStyle w:val="FormatvorlageInstructionsTabelleText"/>
                <w:rFonts w:ascii="Times New Roman" w:hAnsi="Times New Roman"/>
                <w:sz w:val="22"/>
              </w:rPr>
              <w:t>koji se objavljuje u ovoj stavci dio je koji se odnosi na „plaćene instrumente kapitala”.</w:t>
            </w:r>
          </w:p>
        </w:tc>
      </w:tr>
      <w:tr w:rsidR="001C742E" w:rsidRPr="00652F74" w14:paraId="3E770C2E" w14:textId="77777777">
        <w:tc>
          <w:tcPr>
            <w:tcW w:w="1129" w:type="dxa"/>
          </w:tcPr>
          <w:p w14:paraId="0C051F1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872C1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UKUPNI ODBICI OD DOPUNSKOG KAPITALA</w:t>
            </w:r>
          </w:p>
          <w:p w14:paraId="4BB37407"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szCs w:val="22"/>
              </w:rPr>
              <w:t>Članak 66. Uredbe (EU) br. 575/2013</w:t>
            </w:r>
          </w:p>
        </w:tc>
      </w:tr>
      <w:tr w:rsidR="001C742E" w:rsidRPr="00652F74" w14:paraId="32D8CA1D" w14:textId="77777777">
        <w:tc>
          <w:tcPr>
            <w:tcW w:w="1129" w:type="dxa"/>
          </w:tcPr>
          <w:p w14:paraId="781B202B"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ADFB32"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Vlastiti instrumenti dopunskog kapitala</w:t>
            </w:r>
          </w:p>
          <w:p w14:paraId="048A847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1. točka</w:t>
            </w:r>
            <w:r w:rsidRPr="00652F74">
              <w:rPr>
                <w:rFonts w:ascii="Times New Roman" w:hAnsi="Times New Roman"/>
                <w:bCs/>
                <w:szCs w:val="22"/>
              </w:rPr>
              <w:t xml:space="preserve"> i.</w:t>
            </w:r>
            <w:r w:rsidRPr="00652F74">
              <w:rPr>
                <w:rFonts w:ascii="Times New Roman" w:hAnsi="Times New Roman"/>
                <w:bCs/>
                <w:szCs w:val="22"/>
              </w:rPr>
              <w:t xml:space="preserve"> Uredbe (E</w:t>
            </w:r>
            <w:r w:rsidRPr="00652F74">
              <w:rPr>
                <w:rFonts w:ascii="Times New Roman" w:hAnsi="Times New Roman"/>
                <w:bCs/>
                <w:szCs w:val="22"/>
              </w:rPr>
              <w:t>U) 2019/2033</w:t>
            </w:r>
          </w:p>
          <w:p w14:paraId="5108476E"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Članak 63. točka (b) podtočka</w:t>
            </w:r>
            <w:r w:rsidRPr="00652F74">
              <w:rPr>
                <w:rStyle w:val="FormatvorlageInstructionsTabelleText"/>
                <w:rFonts w:ascii="Times New Roman" w:hAnsi="Times New Roman"/>
                <w:sz w:val="22"/>
              </w:rPr>
              <w:t xml:space="preserve"> i.</w:t>
            </w:r>
            <w:r w:rsidRPr="00652F74">
              <w:rPr>
                <w:rStyle w:val="FormatvorlageInstructionsTabelleText"/>
                <w:rFonts w:ascii="Times New Roman" w:hAnsi="Times New Roman"/>
                <w:sz w:val="22"/>
              </w:rPr>
              <w:t>, članak 66. točka (a) i članak 67. Uredbe (EU) br. 575/2013</w:t>
            </w:r>
          </w:p>
          <w:p w14:paraId="45A93960"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 xml:space="preserve">Vlastiti instrumenti dopunskog kapitala koje drži institucija ili grupa koja izvješćuje na datum izvješćivanja. Podložno iznimkama iz </w:t>
            </w:r>
            <w:r w:rsidRPr="00652F74">
              <w:rPr>
                <w:rStyle w:val="FormatvorlageInstructionsTabelleText"/>
                <w:rFonts w:ascii="Times New Roman" w:hAnsi="Times New Roman"/>
                <w:sz w:val="22"/>
              </w:rPr>
              <w:t>članka 67. Uredbe (EU) br. 575/2013.</w:t>
            </w:r>
          </w:p>
          <w:p w14:paraId="080AFFBB" w14:textId="77777777" w:rsidR="001C742E" w:rsidRPr="00652F74" w:rsidRDefault="00652F74">
            <w:pPr>
              <w:pStyle w:val="InstructionsText"/>
              <w:rPr>
                <w:rStyle w:val="FormatvorlageInstructionsTabelleText"/>
                <w:rFonts w:ascii="Times New Roman" w:hAnsi="Times New Roman"/>
                <w:sz w:val="22"/>
              </w:rPr>
            </w:pPr>
            <w:r w:rsidRPr="00652F74">
              <w:rPr>
                <w:rStyle w:val="FormatvorlageInstructionsTabelleText"/>
                <w:rFonts w:ascii="Times New Roman" w:hAnsi="Times New Roman"/>
                <w:sz w:val="22"/>
              </w:rPr>
              <w:t>U ovom se retku ne objavljuju ulaganja u dionice uključena kao „instrumenti kapitala koji se ne priznaju”.</w:t>
            </w:r>
          </w:p>
          <w:p w14:paraId="290152F8" w14:textId="77777777" w:rsidR="001C742E" w:rsidRPr="00652F74" w:rsidRDefault="00652F74">
            <w:pPr>
              <w:pStyle w:val="InstructionsText"/>
            </w:pPr>
            <w:r w:rsidRPr="00652F74">
              <w:rPr>
                <w:rStyle w:val="FormatvorlageInstructionsTabelleText"/>
                <w:rFonts w:ascii="Times New Roman" w:hAnsi="Times New Roman"/>
                <w:sz w:val="22"/>
              </w:rPr>
              <w:t>Iznos koji se objavljuje uključuje premiju na dionice povezanu s vlastitim dionicama.</w:t>
            </w:r>
          </w:p>
        </w:tc>
      </w:tr>
      <w:tr w:rsidR="001C742E" w:rsidRPr="00652F74" w14:paraId="6260CB09" w14:textId="77777777">
        <w:tc>
          <w:tcPr>
            <w:tcW w:w="1129" w:type="dxa"/>
          </w:tcPr>
          <w:p w14:paraId="41CE8218"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2A61981B"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 xml:space="preserve">(–) </w:t>
            </w:r>
            <w:r w:rsidRPr="00652F74">
              <w:rPr>
                <w:rFonts w:ascii="Times New Roman" w:hAnsi="Times New Roman"/>
                <w:b/>
                <w:bCs/>
                <w:szCs w:val="22"/>
                <w:u w:val="single"/>
              </w:rPr>
              <w:t>Instrumenti dopunskog kapitala subjekata financijskog sektora ako institucija nema značajno ulaganje</w:t>
            </w:r>
          </w:p>
          <w:p w14:paraId="7D14FEE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Članak 9. stavak 2. točka (c) Uredbe (EU) 2019/2033</w:t>
            </w:r>
          </w:p>
          <w:p w14:paraId="2984B000"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Članak 66. točka (c) Uredbe (EU) br. 575/2013</w:t>
            </w:r>
          </w:p>
        </w:tc>
      </w:tr>
      <w:tr w:rsidR="001C742E" w:rsidRPr="00652F74" w14:paraId="59725243" w14:textId="77777777">
        <w:tc>
          <w:tcPr>
            <w:tcW w:w="1129" w:type="dxa"/>
            <w:tcBorders>
              <w:bottom w:val="single" w:sz="4" w:space="0" w:color="auto"/>
            </w:tcBorders>
          </w:tcPr>
          <w:p w14:paraId="365A0CB6"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A65FEF"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
                <w:bCs/>
                <w:szCs w:val="22"/>
                <w:u w:val="single"/>
              </w:rPr>
              <w:t>Dopunski kapital: drugi elementi kapitala, odbici i p</w:t>
            </w:r>
            <w:r w:rsidRPr="00652F74">
              <w:rPr>
                <w:rFonts w:ascii="Times New Roman" w:hAnsi="Times New Roman"/>
                <w:b/>
                <w:bCs/>
                <w:szCs w:val="22"/>
                <w:u w:val="single"/>
              </w:rPr>
              <w:t>rilagodbe</w:t>
            </w:r>
          </w:p>
          <w:p w14:paraId="04BB280C" w14:textId="77777777" w:rsidR="001C742E" w:rsidRPr="00652F74" w:rsidRDefault="00652F74">
            <w:pPr>
              <w:spacing w:after="120"/>
              <w:jc w:val="both"/>
              <w:rPr>
                <w:rFonts w:ascii="Times New Roman" w:eastAsia="Times New Roman" w:hAnsi="Times New Roman" w:cs="Times New Roman"/>
                <w:bCs/>
                <w:szCs w:val="22"/>
              </w:rPr>
            </w:pPr>
            <w:r w:rsidRPr="00652F74">
              <w:rPr>
                <w:rFonts w:ascii="Times New Roman" w:hAnsi="Times New Roman"/>
                <w:bCs/>
                <w:szCs w:val="22"/>
              </w:rPr>
              <w:t>Ovaj redak uključuje zbroj sljedećih stavki, ako je primjenjivo:</w:t>
            </w:r>
          </w:p>
          <w:p w14:paraId="1AFC0E22"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 xml:space="preserve">prijelazna usklađenja na temelju instrumenata dopunskog kapitala koji se nastavljaju priznavati (članak 483. stavci 6. i 7., članci 484., 486., 488., 490. i 491. Uredbe (EU) </w:t>
            </w:r>
            <w:r w:rsidRPr="00652F74">
              <w:rPr>
                <w:rFonts w:ascii="Times New Roman" w:hAnsi="Times New Roman"/>
                <w:bCs/>
              </w:rPr>
              <w:t>br. 575/2013),</w:t>
            </w:r>
          </w:p>
          <w:p w14:paraId="52B6E38D"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druga prijelazna usklađenja dopunskog kapitala (članci 472., 473.a, 476., 477., 478. i 481. Uredbe (EU) br. 575/2013): usklađenja odbitaka od dopunskog kapitala na temelju prijelaznih odredbi,</w:t>
            </w:r>
          </w:p>
          <w:p w14:paraId="4D4470B6"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odbitak od stavki dopunskog kapitala koji pr</w:t>
            </w:r>
            <w:r w:rsidRPr="00652F74">
              <w:rPr>
                <w:rFonts w:ascii="Times New Roman" w:hAnsi="Times New Roman"/>
                <w:bCs/>
              </w:rPr>
              <w:t>emašuje dopunski kapital, odbijen od redovnog osnovnog kapitala u skladu s člankom 56. točkom (e) Uredbe (EU) br. 575/2013: dopunski kapital ne može biti negativan, ali moguće je da odbici od stavki dopunskog kapitala premašuju iznos dostupnih stavki dopun</w:t>
            </w:r>
            <w:r w:rsidRPr="00652F74">
              <w:rPr>
                <w:rFonts w:ascii="Times New Roman" w:hAnsi="Times New Roman"/>
                <w:bCs/>
              </w:rPr>
              <w:t>skog kapitala. U tom slučaju, u ovoj se stavci izražava iznos potreban da bi se iznos iskazan u retku 33 povećao na nulu,</w:t>
            </w:r>
          </w:p>
          <w:p w14:paraId="55A4E3D0" w14:textId="77777777" w:rsidR="001C742E" w:rsidRPr="00652F74" w:rsidRDefault="00652F74">
            <w:pPr>
              <w:spacing w:after="120"/>
              <w:ind w:left="360" w:hanging="360"/>
              <w:contextualSpacing/>
              <w:jc w:val="both"/>
              <w:rPr>
                <w:rFonts w:ascii="Times New Roman" w:eastAsia="Times New Roman" w:hAnsi="Times New Roman"/>
                <w:bCs/>
              </w:rPr>
            </w:pPr>
            <w:r w:rsidRPr="00652F74">
              <w:rPr>
                <w:rFonts w:ascii="Times New Roman" w:eastAsia="Times New Roman" w:hAnsi="Times New Roman" w:cs="Times New Roman"/>
                <w:bCs/>
                <w:szCs w:val="22"/>
              </w:rPr>
              <w:t>—</w:t>
            </w:r>
            <w:r w:rsidRPr="00652F74">
              <w:rPr>
                <w:rFonts w:ascii="Times New Roman" w:eastAsia="Times New Roman" w:hAnsi="Times New Roman" w:cs="Times New Roman"/>
                <w:bCs/>
                <w:szCs w:val="22"/>
              </w:rPr>
              <w:tab/>
            </w:r>
            <w:r w:rsidRPr="00652F74">
              <w:rPr>
                <w:rFonts w:ascii="Times New Roman" w:hAnsi="Times New Roman"/>
                <w:bCs/>
              </w:rPr>
              <w:t>drugi elementi dopunskog kapitala ili odbici od elementa dopunskog kapitala koji se ne mogu rasporediti u jedan od redaka od 34 do 3</w:t>
            </w:r>
            <w:r w:rsidRPr="00652F74">
              <w:rPr>
                <w:rFonts w:ascii="Times New Roman" w:hAnsi="Times New Roman"/>
                <w:bCs/>
              </w:rPr>
              <w:t>8.</w:t>
            </w:r>
          </w:p>
          <w:p w14:paraId="31C47968" w14:textId="77777777" w:rsidR="001C742E" w:rsidRPr="00652F74" w:rsidRDefault="00652F74">
            <w:pPr>
              <w:spacing w:after="120"/>
              <w:jc w:val="both"/>
              <w:rPr>
                <w:rFonts w:ascii="Times New Roman" w:eastAsia="Times New Roman" w:hAnsi="Times New Roman" w:cs="Times New Roman"/>
                <w:b/>
                <w:bCs/>
                <w:szCs w:val="22"/>
                <w:u w:val="single"/>
              </w:rPr>
            </w:pPr>
            <w:r w:rsidRPr="00652F74">
              <w:rPr>
                <w:rFonts w:ascii="Times New Roman" w:hAnsi="Times New Roman"/>
                <w:bCs/>
                <w:szCs w:val="22"/>
              </w:rPr>
              <w:t>Ovaj se redak ne koristi za uključivanje stavki kapitala ili odbitaka koji nisu obuhvaćeni Uredbom (EU) 2019/2033 ili Uredbom (EU) br. 575/2013 u izračun stopa solventnosti.</w:t>
            </w:r>
          </w:p>
        </w:tc>
      </w:tr>
    </w:tbl>
    <w:p w14:paraId="11CAB91F" w14:textId="77777777" w:rsidR="001C742E" w:rsidRPr="00652F74" w:rsidRDefault="001C742E">
      <w:pPr>
        <w:rPr>
          <w:rFonts w:ascii="Times New Roman" w:hAnsi="Times New Roman" w:cs="Times New Roman"/>
          <w:b/>
          <w:bCs/>
          <w:sz w:val="24"/>
        </w:rPr>
      </w:pPr>
    </w:p>
    <w:p w14:paraId="292C9981" w14:textId="77777777" w:rsidR="001C742E" w:rsidRPr="00652F74" w:rsidRDefault="00652F74">
      <w:pPr>
        <w:rPr>
          <w:rFonts w:ascii="Times New Roman" w:hAnsi="Times New Roman" w:cs="Times New Roman"/>
          <w:b/>
          <w:bCs/>
          <w:sz w:val="24"/>
        </w:rPr>
      </w:pPr>
      <w:r w:rsidRPr="00652F74">
        <w:rPr>
          <w:rFonts w:ascii="Times New Roman" w:hAnsi="Times New Roman"/>
          <w:b/>
          <w:bCs/>
          <w:sz w:val="24"/>
        </w:rPr>
        <w:t>Obrazac EU I CC2 – Usklađivanje regulatornog kapitala i bilance u revidiranim</w:t>
      </w:r>
      <w:r w:rsidRPr="00652F74">
        <w:rPr>
          <w:rFonts w:ascii="Times New Roman" w:hAnsi="Times New Roman"/>
          <w:b/>
          <w:bCs/>
          <w:sz w:val="24"/>
        </w:rPr>
        <w:t xml:space="preserve"> financijskim izvještajima</w:t>
      </w:r>
    </w:p>
    <w:p w14:paraId="2F09A907"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lastRenderedPageBreak/>
        <w:t>7.</w:t>
      </w:r>
      <w:r w:rsidRPr="00652F74">
        <w:rPr>
          <w:rFonts w:ascii="Times New Roman" w:hAnsi="Times New Roman" w:cs="Times New Roman"/>
          <w:bCs/>
          <w:sz w:val="24"/>
        </w:rPr>
        <w:tab/>
      </w:r>
      <w:r w:rsidRPr="00652F74">
        <w:rPr>
          <w:rFonts w:ascii="Times New Roman" w:hAnsi="Times New Roman"/>
          <w:bCs/>
          <w:sz w:val="24"/>
        </w:rPr>
        <w:t>Investicijska društva primjenjuju upute iz ovog Priloga pri ispunjavanju obrasca EU I CC2 kako je naveden u Prilogu VI. u skladu s člankom 49. stavkom 1. točkom (a) Uredbe (EU) 2019/2033.</w:t>
      </w:r>
    </w:p>
    <w:p w14:paraId="20A6501B"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8.</w:t>
      </w:r>
      <w:r w:rsidRPr="00652F74">
        <w:rPr>
          <w:rFonts w:ascii="Times New Roman" w:hAnsi="Times New Roman" w:cs="Times New Roman"/>
          <w:bCs/>
          <w:sz w:val="24"/>
        </w:rPr>
        <w:tab/>
      </w:r>
      <w:r w:rsidRPr="00652F74">
        <w:rPr>
          <w:rFonts w:ascii="Times New Roman" w:hAnsi="Times New Roman"/>
          <w:bCs/>
          <w:sz w:val="24"/>
        </w:rPr>
        <w:t>Investicijska društva objavljuju bi</w:t>
      </w:r>
      <w:r w:rsidRPr="00652F74">
        <w:rPr>
          <w:rFonts w:ascii="Times New Roman" w:hAnsi="Times New Roman"/>
          <w:bCs/>
          <w:sz w:val="24"/>
        </w:rPr>
        <w:t>lancu iz svojih objavljenih financijskih izvještaja. Financijski izvještaji su revidirani financijski izvještaji za objave na kraju godine.</w:t>
      </w:r>
    </w:p>
    <w:p w14:paraId="275BD821"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9.</w:t>
      </w:r>
      <w:r w:rsidRPr="00652F74">
        <w:rPr>
          <w:rFonts w:ascii="Times New Roman" w:hAnsi="Times New Roman" w:cs="Times New Roman"/>
          <w:bCs/>
          <w:sz w:val="24"/>
        </w:rPr>
        <w:tab/>
      </w:r>
      <w:r w:rsidRPr="00652F74">
        <w:rPr>
          <w:rFonts w:ascii="Times New Roman" w:hAnsi="Times New Roman"/>
          <w:bCs/>
          <w:sz w:val="24"/>
        </w:rPr>
        <w:t>Redci u ovom obrascu su fleksibilni i investicijska društva ih objavljuju u skladu sa svojim financijskim izvještajima. Stavke regulatornog kapitala u revidiranim financijskim izvještajima uključuju sve stavke koje su komponente regulatornog kapitala ili s</w:t>
      </w:r>
      <w:r w:rsidRPr="00652F74">
        <w:rPr>
          <w:rFonts w:ascii="Times New Roman" w:hAnsi="Times New Roman"/>
          <w:bCs/>
          <w:sz w:val="24"/>
        </w:rPr>
        <w:t xml:space="preserve">ve stavke koje su odbijene od regulatornog kapitala, uključujući kapital, obveze kao što su dugovanja, ili druge stavke bilance koje utječu na regulatorni kapital, kao što su nematerijalna imovina, </w:t>
      </w:r>
      <w:r w:rsidRPr="00652F74">
        <w:rPr>
          <w:rFonts w:ascii="Times New Roman" w:hAnsi="Times New Roman"/>
          <w:bCs/>
          <w:i/>
          <w:iCs/>
          <w:sz w:val="24"/>
        </w:rPr>
        <w:t>goodwill</w:t>
      </w:r>
      <w:r w:rsidRPr="00652F74">
        <w:rPr>
          <w:rFonts w:ascii="Times New Roman" w:hAnsi="Times New Roman"/>
          <w:bCs/>
          <w:sz w:val="24"/>
        </w:rPr>
        <w:t xml:space="preserve">, odgođena porezna imovina. Investicijska društva </w:t>
      </w:r>
      <w:r w:rsidRPr="00652F74">
        <w:rPr>
          <w:rFonts w:ascii="Times New Roman" w:hAnsi="Times New Roman"/>
          <w:bCs/>
          <w:sz w:val="24"/>
        </w:rPr>
        <w:t>prema potrebi proširuju stavke regulatornog kapitala iz bilance kako bi se sve komponente uključene u obrazac za objavu sastava regulatornog kapitala (obrazac EU I CC1) iskazale zasebno. Investicijska društva proširuju elemente bilance samo do razine detal</w:t>
      </w:r>
      <w:r w:rsidRPr="00652F74">
        <w:rPr>
          <w:rFonts w:ascii="Times New Roman" w:hAnsi="Times New Roman"/>
          <w:bCs/>
          <w:sz w:val="24"/>
        </w:rPr>
        <w:t>jnosti potrebne za dobivanje komponenti koje se propisuju u obrascu EU I CC1. Objave su proporcionalne složenosti bilance investicijskog društva.</w:t>
      </w:r>
    </w:p>
    <w:p w14:paraId="097F25EF"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10.</w:t>
      </w:r>
      <w:r w:rsidRPr="00652F74">
        <w:rPr>
          <w:rFonts w:ascii="Times New Roman" w:hAnsi="Times New Roman" w:cs="Times New Roman"/>
          <w:bCs/>
          <w:sz w:val="24"/>
        </w:rPr>
        <w:tab/>
      </w:r>
      <w:r w:rsidRPr="00652F74">
        <w:rPr>
          <w:rFonts w:ascii="Times New Roman" w:hAnsi="Times New Roman"/>
          <w:bCs/>
          <w:sz w:val="24"/>
        </w:rPr>
        <w:t>Stupci su fiksni i informacije se objavljuju kako slijedi:</w:t>
      </w:r>
    </w:p>
    <w:p w14:paraId="6DDF0149" w14:textId="77777777" w:rsidR="001C742E" w:rsidRPr="00652F74" w:rsidRDefault="00652F74">
      <w:pPr>
        <w:pStyle w:val="numberedparagraph"/>
        <w:numPr>
          <w:ilvl w:val="0"/>
          <w:numId w:val="0"/>
        </w:numPr>
        <w:ind w:left="709" w:hanging="360"/>
        <w:rPr>
          <w:rFonts w:ascii="Times New Roman" w:hAnsi="Times New Roman" w:cs="Times New Roman"/>
          <w:sz w:val="24"/>
        </w:rPr>
      </w:pPr>
      <w:r w:rsidRPr="00652F74">
        <w:rPr>
          <w:rFonts w:ascii="Times New Roman" w:hAnsi="Times New Roman" w:cs="Times New Roman"/>
          <w:sz w:val="24"/>
        </w:rPr>
        <w:t>a.</w:t>
      </w:r>
      <w:r w:rsidRPr="00652F74">
        <w:rPr>
          <w:rFonts w:ascii="Times New Roman" w:hAnsi="Times New Roman" w:cs="Times New Roman"/>
          <w:sz w:val="24"/>
        </w:rPr>
        <w:tab/>
      </w:r>
      <w:r w:rsidRPr="00652F74">
        <w:rPr>
          <w:rFonts w:ascii="Times New Roman" w:hAnsi="Times New Roman"/>
          <w:sz w:val="24"/>
        </w:rPr>
        <w:t xml:space="preserve">stupac a: investicijska društva </w:t>
      </w:r>
      <w:r w:rsidRPr="00652F74">
        <w:rPr>
          <w:rFonts w:ascii="Times New Roman" w:hAnsi="Times New Roman"/>
          <w:sz w:val="24"/>
        </w:rPr>
        <w:t>iskazuju brojčane vrijednosti iskazane u bilanci iz svojih revidiranih financijskih izvještaja u skladu s opsegom računovodstvene konsolidacije;</w:t>
      </w:r>
    </w:p>
    <w:p w14:paraId="1F4147F4" w14:textId="77777777" w:rsidR="001C742E" w:rsidRPr="00652F74" w:rsidRDefault="00652F74">
      <w:pPr>
        <w:pStyle w:val="numberedparagraph"/>
        <w:numPr>
          <w:ilvl w:val="0"/>
          <w:numId w:val="0"/>
        </w:numPr>
        <w:ind w:left="709" w:hanging="360"/>
        <w:rPr>
          <w:rFonts w:ascii="Times New Roman" w:hAnsi="Times New Roman" w:cs="Times New Roman"/>
          <w:sz w:val="24"/>
        </w:rPr>
      </w:pPr>
      <w:r w:rsidRPr="00652F74">
        <w:rPr>
          <w:rFonts w:ascii="Times New Roman" w:hAnsi="Times New Roman" w:cs="Times New Roman"/>
          <w:sz w:val="24"/>
        </w:rPr>
        <w:t>b.</w:t>
      </w:r>
      <w:r w:rsidRPr="00652F74">
        <w:rPr>
          <w:rFonts w:ascii="Times New Roman" w:hAnsi="Times New Roman" w:cs="Times New Roman"/>
          <w:sz w:val="24"/>
        </w:rPr>
        <w:tab/>
      </w:r>
      <w:r w:rsidRPr="00652F74">
        <w:rPr>
          <w:rFonts w:ascii="Times New Roman" w:hAnsi="Times New Roman"/>
          <w:sz w:val="24"/>
        </w:rPr>
        <w:t>stupac b: investicijska društva iskazuju podatke koji odgovaraju regulatornom opsegu konsolidacije;</w:t>
      </w:r>
    </w:p>
    <w:p w14:paraId="26722DFD" w14:textId="77777777" w:rsidR="001C742E" w:rsidRPr="00652F74" w:rsidRDefault="00652F74">
      <w:pPr>
        <w:pStyle w:val="numberedparagraph"/>
        <w:numPr>
          <w:ilvl w:val="0"/>
          <w:numId w:val="0"/>
        </w:numPr>
        <w:ind w:left="709" w:hanging="360"/>
        <w:rPr>
          <w:rFonts w:ascii="Times New Roman" w:hAnsi="Times New Roman" w:cs="Times New Roman"/>
          <w:sz w:val="24"/>
        </w:rPr>
      </w:pPr>
      <w:r w:rsidRPr="00652F74">
        <w:rPr>
          <w:rFonts w:ascii="Times New Roman" w:hAnsi="Times New Roman" w:cs="Times New Roman"/>
          <w:sz w:val="24"/>
        </w:rPr>
        <w:t>c.</w:t>
      </w:r>
      <w:r w:rsidRPr="00652F74">
        <w:rPr>
          <w:rFonts w:ascii="Times New Roman" w:hAnsi="Times New Roman" w:cs="Times New Roman"/>
          <w:sz w:val="24"/>
        </w:rPr>
        <w:tab/>
      </w:r>
      <w:r w:rsidRPr="00652F74">
        <w:rPr>
          <w:rFonts w:ascii="Times New Roman" w:hAnsi="Times New Roman"/>
          <w:sz w:val="24"/>
        </w:rPr>
        <w:t>stupa</w:t>
      </w:r>
      <w:r w:rsidRPr="00652F74">
        <w:rPr>
          <w:rFonts w:ascii="Times New Roman" w:hAnsi="Times New Roman"/>
          <w:sz w:val="24"/>
        </w:rPr>
        <w:t>c c: Investicijska društva iskazuju uzajamno upućivanje između stavke regulatornog kapitala u obrascu EU I CC2 i relevantnih stavki u obrascu za objavu regulatornog kapitala EU I CC1. Upućivanje u stupcu c obrasca EU I CC2 treba povezati s upućivanjem u st</w:t>
      </w:r>
      <w:r w:rsidRPr="00652F74">
        <w:rPr>
          <w:rFonts w:ascii="Times New Roman" w:hAnsi="Times New Roman"/>
          <w:sz w:val="24"/>
        </w:rPr>
        <w:t>upcu b obrasca EU I CC1.</w:t>
      </w:r>
    </w:p>
    <w:p w14:paraId="055B0E4B"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11.</w:t>
      </w:r>
      <w:r w:rsidRPr="00652F74">
        <w:rPr>
          <w:rFonts w:ascii="Times New Roman" w:hAnsi="Times New Roman" w:cs="Times New Roman"/>
          <w:bCs/>
          <w:sz w:val="24"/>
        </w:rPr>
        <w:tab/>
      </w:r>
      <w:r w:rsidRPr="00652F74">
        <w:rPr>
          <w:rFonts w:ascii="Times New Roman" w:hAnsi="Times New Roman"/>
          <w:bCs/>
          <w:sz w:val="24"/>
        </w:rPr>
        <w:t>Opseg računovodstvene konsolidacije investicijskih društava i opseg regulatorne konsolidacije u sljedećim su slučajevima potpuno jednaki te se ispunjava samo stupac (a) i ta se činjenica jasno objavljuje:</w:t>
      </w:r>
    </w:p>
    <w:p w14:paraId="113FFC63" w14:textId="77777777" w:rsidR="001C742E" w:rsidRPr="00652F74" w:rsidRDefault="00652F74">
      <w:pPr>
        <w:pStyle w:val="numberedparagraph"/>
        <w:numPr>
          <w:ilvl w:val="0"/>
          <w:numId w:val="0"/>
        </w:numPr>
        <w:tabs>
          <w:tab w:val="left" w:pos="-180"/>
        </w:tabs>
        <w:ind w:left="709" w:hanging="360"/>
        <w:rPr>
          <w:rFonts w:ascii="Times New Roman" w:hAnsi="Times New Roman" w:cs="Times New Roman"/>
          <w:bCs/>
          <w:sz w:val="24"/>
        </w:rPr>
      </w:pPr>
      <w:r w:rsidRPr="00652F74">
        <w:rPr>
          <w:rFonts w:ascii="Times New Roman" w:hAnsi="Times New Roman" w:cs="Times New Roman"/>
          <w:bCs/>
          <w:sz w:val="24"/>
        </w:rPr>
        <w:t>d.</w:t>
      </w:r>
      <w:r w:rsidRPr="00652F74">
        <w:rPr>
          <w:rFonts w:ascii="Times New Roman" w:hAnsi="Times New Roman" w:cs="Times New Roman"/>
          <w:bCs/>
          <w:sz w:val="24"/>
        </w:rPr>
        <w:tab/>
      </w:r>
      <w:r w:rsidRPr="00652F74">
        <w:rPr>
          <w:rFonts w:ascii="Times New Roman" w:hAnsi="Times New Roman"/>
          <w:sz w:val="24"/>
        </w:rPr>
        <w:t>ako investicijska d</w:t>
      </w:r>
      <w:r w:rsidRPr="00652F74">
        <w:rPr>
          <w:rFonts w:ascii="Times New Roman" w:hAnsi="Times New Roman"/>
          <w:sz w:val="24"/>
        </w:rPr>
        <w:t>ruštva ispunjavaju svoje obveze iz dijela šestog Uredbe (EU) 2019/2033 o bonitetnim zahtjevima za investicijska društva na konsolidiranoj osnovi, ali su opseg i metoda konsolidacije u skladu s kojima je sastavljena bilanca u financijskim izvještajima jedna</w:t>
      </w:r>
      <w:r w:rsidRPr="00652F74">
        <w:rPr>
          <w:rFonts w:ascii="Times New Roman" w:hAnsi="Times New Roman"/>
          <w:sz w:val="24"/>
        </w:rPr>
        <w:t>ki opsegu i metodi konsolidacije koji su definirani u skladu s dijelom prvim glavom II. poglavljem 2. Uredbe (EU) 2019/2033, a investicijska društva jasno su navele da nema razlika između tih opsega i metoda konsolidacije u opisu koji prilažu obrascu;</w:t>
      </w:r>
    </w:p>
    <w:p w14:paraId="5EC20AB9" w14:textId="77777777" w:rsidR="001C742E" w:rsidRPr="00652F74" w:rsidRDefault="00652F74">
      <w:pPr>
        <w:pStyle w:val="numberedparagraph"/>
        <w:numPr>
          <w:ilvl w:val="0"/>
          <w:numId w:val="0"/>
        </w:numPr>
        <w:tabs>
          <w:tab w:val="left" w:pos="-180"/>
        </w:tabs>
        <w:ind w:left="709" w:hanging="360"/>
        <w:rPr>
          <w:rFonts w:ascii="Times New Roman" w:hAnsi="Times New Roman" w:cs="Times New Roman"/>
          <w:bCs/>
          <w:sz w:val="24"/>
        </w:rPr>
      </w:pPr>
      <w:r w:rsidRPr="00652F74">
        <w:rPr>
          <w:rFonts w:ascii="Times New Roman" w:hAnsi="Times New Roman" w:cs="Times New Roman"/>
          <w:bCs/>
          <w:sz w:val="24"/>
        </w:rPr>
        <w:t>e.</w:t>
      </w:r>
      <w:r w:rsidRPr="00652F74">
        <w:rPr>
          <w:rFonts w:ascii="Times New Roman" w:hAnsi="Times New Roman" w:cs="Times New Roman"/>
          <w:bCs/>
          <w:sz w:val="24"/>
        </w:rPr>
        <w:tab/>
      </w:r>
      <w:r w:rsidRPr="00652F74">
        <w:rPr>
          <w:rFonts w:ascii="Times New Roman" w:hAnsi="Times New Roman"/>
          <w:sz w:val="24"/>
        </w:rPr>
        <w:t>a</w:t>
      </w:r>
      <w:r w:rsidRPr="00652F74">
        <w:rPr>
          <w:rFonts w:ascii="Times New Roman" w:hAnsi="Times New Roman"/>
          <w:sz w:val="24"/>
        </w:rPr>
        <w:t>ko investicijska društva ispunjavaju obveze iz dijela šestog Uredbe (EU) 2019/2033 na pojedinačnoj osnovi.</w:t>
      </w:r>
    </w:p>
    <w:p w14:paraId="55225437" w14:textId="77777777" w:rsidR="001C742E" w:rsidRPr="00652F74" w:rsidRDefault="00652F74">
      <w:pPr>
        <w:rPr>
          <w:rFonts w:ascii="Times New Roman" w:hAnsi="Times New Roman" w:cs="Times New Roman"/>
          <w:b/>
          <w:bCs/>
          <w:sz w:val="24"/>
        </w:rPr>
      </w:pPr>
      <w:r w:rsidRPr="00652F74">
        <w:rPr>
          <w:rFonts w:ascii="Times New Roman" w:hAnsi="Times New Roman"/>
          <w:b/>
          <w:bCs/>
          <w:sz w:val="24"/>
        </w:rPr>
        <w:t>Tablica EU I CCA – glavne značajke vlastitih instrumenata koje izdaje društvo</w:t>
      </w:r>
    </w:p>
    <w:p w14:paraId="2105A93C"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lastRenderedPageBreak/>
        <w:t>12.</w:t>
      </w:r>
      <w:r w:rsidRPr="00652F74">
        <w:rPr>
          <w:rFonts w:ascii="Times New Roman" w:hAnsi="Times New Roman" w:cs="Times New Roman"/>
          <w:bCs/>
          <w:sz w:val="24"/>
        </w:rPr>
        <w:tab/>
      </w:r>
      <w:r w:rsidRPr="00652F74">
        <w:rPr>
          <w:rFonts w:ascii="Times New Roman" w:hAnsi="Times New Roman"/>
          <w:bCs/>
          <w:sz w:val="24"/>
        </w:rPr>
        <w:t>Investicijska društva primjenjuju upute iz ovog Priloga pri ispunja</w:t>
      </w:r>
      <w:r w:rsidRPr="00652F74">
        <w:rPr>
          <w:rFonts w:ascii="Times New Roman" w:hAnsi="Times New Roman"/>
          <w:bCs/>
          <w:sz w:val="24"/>
        </w:rPr>
        <w:t>vanju tablice EU I CCA kako je navedena u Prilogu VI. u skladu s člankom 49. stavkom 1. točkom (b) Uredbe (EU) 2019/2033.</w:t>
      </w:r>
    </w:p>
    <w:p w14:paraId="713A21CF"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13.</w:t>
      </w:r>
      <w:r w:rsidRPr="00652F74">
        <w:rPr>
          <w:rFonts w:ascii="Times New Roman" w:hAnsi="Times New Roman" w:cs="Times New Roman"/>
          <w:bCs/>
          <w:sz w:val="24"/>
        </w:rPr>
        <w:tab/>
      </w:r>
      <w:r w:rsidRPr="00652F74">
        <w:rPr>
          <w:rFonts w:ascii="Times New Roman" w:hAnsi="Times New Roman"/>
          <w:bCs/>
          <w:sz w:val="24"/>
        </w:rPr>
        <w:t>Investicijska društva ispunjavaju tablicu EU I CCA za sljedeće kategorije: instrumente redovnog osnovnoga kapitala, instrumente do</w:t>
      </w:r>
      <w:r w:rsidRPr="00652F74">
        <w:rPr>
          <w:rFonts w:ascii="Times New Roman" w:hAnsi="Times New Roman"/>
          <w:bCs/>
          <w:sz w:val="24"/>
        </w:rPr>
        <w:t>datnog osnovnog kapitala i instrumente dopunskog kapitala.</w:t>
      </w:r>
    </w:p>
    <w:p w14:paraId="5E2FF92F" w14:textId="77777777" w:rsidR="001C742E" w:rsidRPr="00652F74" w:rsidRDefault="00652F74">
      <w:pPr>
        <w:tabs>
          <w:tab w:val="left" w:pos="360"/>
        </w:tabs>
        <w:spacing w:before="120" w:after="120"/>
        <w:ind w:left="357" w:hanging="357"/>
        <w:jc w:val="both"/>
        <w:rPr>
          <w:rFonts w:ascii="Times New Roman" w:hAnsi="Times New Roman" w:cs="Times New Roman"/>
          <w:bCs/>
          <w:sz w:val="24"/>
        </w:rPr>
      </w:pPr>
      <w:r w:rsidRPr="00652F74">
        <w:rPr>
          <w:rFonts w:ascii="Times New Roman" w:hAnsi="Times New Roman" w:cs="Times New Roman"/>
          <w:bCs/>
          <w:sz w:val="24"/>
        </w:rPr>
        <w:t>14.</w:t>
      </w:r>
      <w:r w:rsidRPr="00652F74">
        <w:rPr>
          <w:rFonts w:ascii="Times New Roman" w:hAnsi="Times New Roman" w:cs="Times New Roman"/>
          <w:bCs/>
          <w:sz w:val="24"/>
        </w:rPr>
        <w:tab/>
      </w:r>
      <w:r w:rsidRPr="00652F74">
        <w:rPr>
          <w:rFonts w:ascii="Times New Roman" w:hAnsi="Times New Roman"/>
          <w:bCs/>
          <w:sz w:val="24"/>
        </w:rPr>
        <w:t xml:space="preserve">Tablica sadržava zasebne stupce sa značajkama svakog instrumenta regulatornog kapitala. Ako različiti instrumenti iz iste kategorije imaju jednake značajke, investicijska društva mogu ispuniti </w:t>
      </w:r>
      <w:r w:rsidRPr="00652F74">
        <w:rPr>
          <w:rFonts w:ascii="Times New Roman" w:hAnsi="Times New Roman"/>
          <w:bCs/>
          <w:sz w:val="24"/>
        </w:rPr>
        <w:t>samo jedan stupac i u njemu objaviti te jednake značajke te navesti izdanja na koja se jednake značajke odnose.</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1C742E" w:rsidRPr="00652F74" w14:paraId="0D509A32" w14:textId="77777777">
        <w:trPr>
          <w:trHeight w:val="259"/>
        </w:trPr>
        <w:tc>
          <w:tcPr>
            <w:tcW w:w="8691" w:type="dxa"/>
            <w:gridSpan w:val="2"/>
            <w:shd w:val="clear" w:color="auto" w:fill="D9D9D9" w:themeFill="background1" w:themeFillShade="D9"/>
          </w:tcPr>
          <w:p w14:paraId="71776AFF" w14:textId="77777777" w:rsidR="001C742E" w:rsidRPr="00652F74" w:rsidRDefault="00652F74">
            <w:pPr>
              <w:rPr>
                <w:rFonts w:ascii="Times New Roman" w:eastAsia="Times New Roman" w:hAnsi="Times New Roman" w:cs="Times New Roman"/>
                <w:b/>
                <w:bCs/>
                <w:color w:val="000000"/>
                <w:sz w:val="24"/>
              </w:rPr>
            </w:pPr>
            <w:r w:rsidRPr="00652F74">
              <w:rPr>
                <w:rFonts w:ascii="Times New Roman" w:hAnsi="Times New Roman"/>
                <w:b/>
                <w:bCs/>
                <w:color w:val="000000"/>
                <w:sz w:val="24"/>
              </w:rPr>
              <w:t>Upute za ispunjavanje tablice o glavnim značajkama instrumenata regulatornog kapitala koje izdaje društvo</w:t>
            </w:r>
          </w:p>
        </w:tc>
      </w:tr>
      <w:tr w:rsidR="001C742E" w:rsidRPr="00652F74" w14:paraId="2DFE80A7" w14:textId="77777777">
        <w:trPr>
          <w:trHeight w:val="259"/>
        </w:trPr>
        <w:tc>
          <w:tcPr>
            <w:tcW w:w="1030" w:type="dxa"/>
            <w:shd w:val="clear" w:color="auto" w:fill="D9D9D9" w:themeFill="background1" w:themeFillShade="D9"/>
            <w:vAlign w:val="center"/>
          </w:tcPr>
          <w:p w14:paraId="683836D2" w14:textId="77777777" w:rsidR="001C742E" w:rsidRPr="00652F74" w:rsidRDefault="00652F74">
            <w:pPr>
              <w:rPr>
                <w:rFonts w:ascii="Times New Roman" w:eastAsia="Times New Roman" w:hAnsi="Times New Roman" w:cs="Times New Roman"/>
                <w:b/>
                <w:bCs/>
                <w:color w:val="000000"/>
                <w:sz w:val="24"/>
              </w:rPr>
            </w:pPr>
            <w:r w:rsidRPr="00652F74">
              <w:rPr>
                <w:rFonts w:ascii="Times New Roman" w:hAnsi="Times New Roman"/>
                <w:b/>
                <w:bCs/>
                <w:color w:val="000000"/>
                <w:sz w:val="24"/>
              </w:rPr>
              <w:t>Broj retka</w:t>
            </w:r>
          </w:p>
        </w:tc>
        <w:tc>
          <w:tcPr>
            <w:tcW w:w="7661" w:type="dxa"/>
            <w:shd w:val="clear" w:color="auto" w:fill="D9D9D9" w:themeFill="background1" w:themeFillShade="D9"/>
            <w:noWrap/>
            <w:vAlign w:val="bottom"/>
          </w:tcPr>
          <w:p w14:paraId="4F9BFB24" w14:textId="77777777" w:rsidR="001C742E" w:rsidRPr="00652F74" w:rsidRDefault="00652F74">
            <w:pPr>
              <w:rPr>
                <w:rFonts w:ascii="Times New Roman" w:eastAsia="Times New Roman" w:hAnsi="Times New Roman" w:cs="Times New Roman"/>
                <w:b/>
                <w:bCs/>
                <w:color w:val="000000"/>
                <w:sz w:val="24"/>
              </w:rPr>
            </w:pPr>
            <w:r w:rsidRPr="00652F74">
              <w:rPr>
                <w:rFonts w:ascii="Times New Roman" w:hAnsi="Times New Roman"/>
                <w:b/>
                <w:bCs/>
                <w:color w:val="000000"/>
                <w:sz w:val="24"/>
              </w:rPr>
              <w:t>Objašnjenje</w:t>
            </w:r>
          </w:p>
        </w:tc>
      </w:tr>
      <w:tr w:rsidR="001C742E" w:rsidRPr="00652F74" w14:paraId="5F37A22C" w14:textId="77777777">
        <w:trPr>
          <w:trHeight w:val="259"/>
        </w:trPr>
        <w:tc>
          <w:tcPr>
            <w:tcW w:w="1030" w:type="dxa"/>
            <w:vAlign w:val="center"/>
          </w:tcPr>
          <w:p w14:paraId="179A41B7"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w:t>
            </w:r>
          </w:p>
        </w:tc>
        <w:tc>
          <w:tcPr>
            <w:tcW w:w="7661" w:type="dxa"/>
            <w:shd w:val="clear" w:color="auto" w:fill="auto"/>
            <w:noWrap/>
            <w:vAlign w:val="bottom"/>
          </w:tcPr>
          <w:p w14:paraId="13D7C20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Izdavatelj</w:t>
            </w:r>
          </w:p>
          <w:p w14:paraId="573C4BE1"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pravni subjekt izdavatelja.</w:t>
            </w:r>
          </w:p>
          <w:p w14:paraId="3F37EACD"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218E30B1" w14:textId="77777777">
        <w:trPr>
          <w:trHeight w:val="259"/>
        </w:trPr>
        <w:tc>
          <w:tcPr>
            <w:tcW w:w="1030" w:type="dxa"/>
            <w:vAlign w:val="center"/>
          </w:tcPr>
          <w:p w14:paraId="74555ACE"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w:t>
            </w:r>
          </w:p>
        </w:tc>
        <w:tc>
          <w:tcPr>
            <w:tcW w:w="7661" w:type="dxa"/>
            <w:shd w:val="clear" w:color="auto" w:fill="auto"/>
            <w:noWrap/>
            <w:vAlign w:val="bottom"/>
          </w:tcPr>
          <w:p w14:paraId="0989957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Jedinstvena identifikacijska oznaka (npr. CUSIP, ISIN ili oznaka Bloomberg za privatni plasman)</w:t>
            </w:r>
          </w:p>
          <w:p w14:paraId="7E3796D2"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Jedinstvena identifikacijska oznaka (npr. CUSIP, ISIN ili oznaka Bloomberg za </w:t>
            </w:r>
            <w:r w:rsidRPr="00652F74">
              <w:rPr>
                <w:rFonts w:ascii="Times New Roman" w:hAnsi="Times New Roman"/>
                <w:sz w:val="24"/>
              </w:rPr>
              <w:t>privatni plasman)</w:t>
            </w:r>
          </w:p>
          <w:p w14:paraId="35A1F704"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Slobodan unos teksta</w:t>
            </w:r>
          </w:p>
        </w:tc>
      </w:tr>
      <w:tr w:rsidR="001C742E" w:rsidRPr="00652F74" w14:paraId="66BE4171" w14:textId="77777777">
        <w:trPr>
          <w:trHeight w:val="259"/>
        </w:trPr>
        <w:tc>
          <w:tcPr>
            <w:tcW w:w="1030" w:type="dxa"/>
            <w:vAlign w:val="center"/>
          </w:tcPr>
          <w:p w14:paraId="66EEC0C7"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w:t>
            </w:r>
          </w:p>
        </w:tc>
        <w:tc>
          <w:tcPr>
            <w:tcW w:w="7661" w:type="dxa"/>
            <w:shd w:val="clear" w:color="auto" w:fill="auto"/>
            <w:noWrap/>
            <w:vAlign w:val="bottom"/>
          </w:tcPr>
          <w:p w14:paraId="70668142"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Javni ili privatni plasman</w:t>
            </w:r>
          </w:p>
          <w:p w14:paraId="2779C18E"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je li riječ o javnom ili privatnom plasmanu instrumenata.</w:t>
            </w:r>
          </w:p>
          <w:p w14:paraId="050332BD"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Odabrati iz izbornika: [Javni] [Privatni]</w:t>
            </w:r>
          </w:p>
        </w:tc>
      </w:tr>
      <w:tr w:rsidR="001C742E" w:rsidRPr="00652F74" w14:paraId="15D898CC" w14:textId="77777777">
        <w:trPr>
          <w:trHeight w:val="259"/>
        </w:trPr>
        <w:tc>
          <w:tcPr>
            <w:tcW w:w="1030" w:type="dxa"/>
            <w:vAlign w:val="center"/>
          </w:tcPr>
          <w:p w14:paraId="2BE18284"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4</w:t>
            </w:r>
          </w:p>
        </w:tc>
        <w:tc>
          <w:tcPr>
            <w:tcW w:w="7661" w:type="dxa"/>
            <w:shd w:val="clear" w:color="auto" w:fill="auto"/>
            <w:noWrap/>
            <w:vAlign w:val="bottom"/>
          </w:tcPr>
          <w:p w14:paraId="0558BC1A"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Propisi kojima se uređuju instrumenti</w:t>
            </w:r>
          </w:p>
          <w:p w14:paraId="3834E320"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Navodi se mjerodavno pravo (ili </w:t>
            </w:r>
            <w:r w:rsidRPr="00652F74">
              <w:rPr>
                <w:rFonts w:ascii="Times New Roman" w:hAnsi="Times New Roman"/>
                <w:sz w:val="24"/>
              </w:rPr>
              <w:t>prava) instrumenta.</w:t>
            </w:r>
          </w:p>
          <w:p w14:paraId="5FFA0682"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 xml:space="preserve">Slobodan unos teksta </w:t>
            </w:r>
          </w:p>
        </w:tc>
      </w:tr>
      <w:tr w:rsidR="001C742E" w:rsidRPr="00652F74" w14:paraId="49CF3192" w14:textId="77777777">
        <w:trPr>
          <w:trHeight w:val="259"/>
        </w:trPr>
        <w:tc>
          <w:tcPr>
            <w:tcW w:w="1030" w:type="dxa"/>
            <w:vAlign w:val="center"/>
          </w:tcPr>
          <w:p w14:paraId="316A8F58"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5</w:t>
            </w:r>
          </w:p>
        </w:tc>
        <w:tc>
          <w:tcPr>
            <w:tcW w:w="7661" w:type="dxa"/>
            <w:shd w:val="clear" w:color="auto" w:fill="auto"/>
            <w:noWrap/>
            <w:vAlign w:val="bottom"/>
          </w:tcPr>
          <w:p w14:paraId="6009F68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Vrsta instrumenta (vrste utvrđuje svaka država)</w:t>
            </w:r>
          </w:p>
          <w:p w14:paraId="7942EDBB"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vrsta instrumenta – ovisno o državi.</w:t>
            </w:r>
          </w:p>
          <w:p w14:paraId="17A71F97"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Za instrumente redovnog osnovnog kapitala odabrati naziv instrumenta s popisa redovnog osnovnog kapitala koji objavl</w:t>
            </w:r>
            <w:r w:rsidRPr="00652F74">
              <w:rPr>
                <w:rFonts w:ascii="Times New Roman" w:hAnsi="Times New Roman"/>
                <w:i/>
                <w:sz w:val="24"/>
              </w:rPr>
              <w:t>juje EBA.</w:t>
            </w:r>
          </w:p>
          <w:p w14:paraId="017392B1"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lastRenderedPageBreak/>
              <w:t>Za ostale instrumente odabrati iz: opcija izbornika koje investicijska društva dobiju od svake države – treba upisati pravna upućivanja na članke Uredbe (EU) 2019/2033 za svaku vrstu instrumenta.</w:t>
            </w:r>
          </w:p>
        </w:tc>
      </w:tr>
      <w:tr w:rsidR="001C742E" w:rsidRPr="00652F74" w14:paraId="3FD044FE" w14:textId="77777777">
        <w:trPr>
          <w:trHeight w:val="259"/>
        </w:trPr>
        <w:tc>
          <w:tcPr>
            <w:tcW w:w="1030" w:type="dxa"/>
            <w:vAlign w:val="center"/>
          </w:tcPr>
          <w:p w14:paraId="2CAD7A65"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6</w:t>
            </w:r>
          </w:p>
        </w:tc>
        <w:tc>
          <w:tcPr>
            <w:tcW w:w="7661" w:type="dxa"/>
            <w:shd w:val="clear" w:color="auto" w:fill="auto"/>
            <w:noWrap/>
            <w:vAlign w:val="bottom"/>
          </w:tcPr>
          <w:p w14:paraId="163D3728"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Iznos priznat u regulatornom kapitalu (valuta u</w:t>
            </w:r>
            <w:r w:rsidRPr="00652F74">
              <w:rPr>
                <w:rFonts w:ascii="Times New Roman" w:hAnsi="Times New Roman"/>
                <w:sz w:val="24"/>
              </w:rPr>
              <w:t xml:space="preserve"> milijunima, na zadnji datum izvješćivanja)</w:t>
            </w:r>
          </w:p>
          <w:p w14:paraId="4579B16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iznos priznat u regulatornom kapitalu (ukupni iznos instrumenta priznat prije prijelaznih odredaba za odgovarajuću razinu objavljivanja – valuta koja se koristi za obveze izvješćivanja).</w:t>
            </w:r>
          </w:p>
          <w:p w14:paraId="68988FC4"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 – osobito naznačiti ako su neki dijelovi instrumenata u različitim razinama regulatornog kapitala i ako se iznos priznat u regulatornom kapitalu razlikuje od izdanog iznosa.</w:t>
            </w:r>
          </w:p>
        </w:tc>
      </w:tr>
      <w:tr w:rsidR="001C742E" w:rsidRPr="00652F74" w14:paraId="38EBD709" w14:textId="77777777">
        <w:trPr>
          <w:trHeight w:val="259"/>
        </w:trPr>
        <w:tc>
          <w:tcPr>
            <w:tcW w:w="1030" w:type="dxa"/>
            <w:vAlign w:val="center"/>
          </w:tcPr>
          <w:p w14:paraId="33F3A89A"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7</w:t>
            </w:r>
          </w:p>
        </w:tc>
        <w:tc>
          <w:tcPr>
            <w:tcW w:w="7661" w:type="dxa"/>
            <w:shd w:val="clear" w:color="auto" w:fill="auto"/>
            <w:noWrap/>
            <w:vAlign w:val="bottom"/>
          </w:tcPr>
          <w:p w14:paraId="2597FE1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Nominalni iznos instrumenta</w:t>
            </w:r>
          </w:p>
          <w:p w14:paraId="52FC035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Nominalni iznos instrumenta (u</w:t>
            </w:r>
            <w:r w:rsidRPr="00652F74">
              <w:rPr>
                <w:rFonts w:ascii="Times New Roman" w:hAnsi="Times New Roman"/>
                <w:sz w:val="24"/>
              </w:rPr>
              <w:t xml:space="preserve"> valuti izdanja i u valuti koja se koristi za obveze izvještavanja).</w:t>
            </w:r>
          </w:p>
          <w:p w14:paraId="2918D68E"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24269365" w14:textId="77777777">
        <w:trPr>
          <w:trHeight w:val="259"/>
        </w:trPr>
        <w:tc>
          <w:tcPr>
            <w:tcW w:w="1030" w:type="dxa"/>
            <w:vAlign w:val="center"/>
          </w:tcPr>
          <w:p w14:paraId="4AA538C1"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8</w:t>
            </w:r>
          </w:p>
        </w:tc>
        <w:tc>
          <w:tcPr>
            <w:tcW w:w="7661" w:type="dxa"/>
            <w:shd w:val="clear" w:color="auto" w:fill="auto"/>
            <w:noWrap/>
            <w:vAlign w:val="bottom"/>
          </w:tcPr>
          <w:p w14:paraId="3F7F1EB4"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Cijena izdanja</w:t>
            </w:r>
          </w:p>
          <w:p w14:paraId="0AC9AA0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Cijena izdanja instrumenta.</w:t>
            </w:r>
          </w:p>
          <w:p w14:paraId="758C585B"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7185F75F" w14:textId="77777777">
        <w:trPr>
          <w:trHeight w:val="259"/>
        </w:trPr>
        <w:tc>
          <w:tcPr>
            <w:tcW w:w="1030" w:type="dxa"/>
            <w:vAlign w:val="center"/>
          </w:tcPr>
          <w:p w14:paraId="76F158BD"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9</w:t>
            </w:r>
          </w:p>
        </w:tc>
        <w:tc>
          <w:tcPr>
            <w:tcW w:w="7661" w:type="dxa"/>
            <w:shd w:val="clear" w:color="auto" w:fill="auto"/>
            <w:noWrap/>
            <w:vAlign w:val="bottom"/>
          </w:tcPr>
          <w:p w14:paraId="23E63CB4"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Otkupna cijena</w:t>
            </w:r>
          </w:p>
          <w:p w14:paraId="52B38A8C"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Otkupna cijena instrumenta.</w:t>
            </w:r>
          </w:p>
          <w:p w14:paraId="4CD70FCD"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3469038C" w14:textId="77777777">
        <w:trPr>
          <w:trHeight w:val="259"/>
        </w:trPr>
        <w:tc>
          <w:tcPr>
            <w:tcW w:w="1030" w:type="dxa"/>
            <w:vAlign w:val="center"/>
          </w:tcPr>
          <w:p w14:paraId="3B6FF7CA"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10</w:t>
            </w:r>
          </w:p>
        </w:tc>
        <w:tc>
          <w:tcPr>
            <w:tcW w:w="7661" w:type="dxa"/>
            <w:shd w:val="clear" w:color="auto" w:fill="auto"/>
            <w:noWrap/>
            <w:vAlign w:val="bottom"/>
          </w:tcPr>
          <w:p w14:paraId="5181D90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Računovodstvena klasifikacija</w:t>
            </w:r>
          </w:p>
          <w:p w14:paraId="7D6F9072"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računovodstvena klasifikacija.</w:t>
            </w:r>
          </w:p>
          <w:p w14:paraId="3C055A61"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[Dionički kapital] [Obveza – amortizirani trošak] [Obveza – opcija fer vrijednosti] [Nekontrolirajući udio u konsolidiranom društvu kćeri]</w:t>
            </w:r>
          </w:p>
        </w:tc>
      </w:tr>
      <w:tr w:rsidR="001C742E" w:rsidRPr="00652F74" w14:paraId="483E006A" w14:textId="77777777">
        <w:trPr>
          <w:trHeight w:val="259"/>
        </w:trPr>
        <w:tc>
          <w:tcPr>
            <w:tcW w:w="1030" w:type="dxa"/>
            <w:vAlign w:val="center"/>
          </w:tcPr>
          <w:p w14:paraId="3BB9D033"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11</w:t>
            </w:r>
          </w:p>
        </w:tc>
        <w:tc>
          <w:tcPr>
            <w:tcW w:w="7661" w:type="dxa"/>
            <w:shd w:val="clear" w:color="auto" w:fill="auto"/>
            <w:noWrap/>
            <w:vAlign w:val="bottom"/>
          </w:tcPr>
          <w:p w14:paraId="62751329"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Izvorni datum izdav</w:t>
            </w:r>
            <w:r w:rsidRPr="00652F74">
              <w:rPr>
                <w:rFonts w:ascii="Times New Roman" w:hAnsi="Times New Roman"/>
                <w:sz w:val="24"/>
              </w:rPr>
              <w:t>anja</w:t>
            </w:r>
          </w:p>
          <w:p w14:paraId="406CF58B"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datum izdavanja.</w:t>
            </w:r>
          </w:p>
          <w:p w14:paraId="2F14B3AF"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Slobodan unos teksta</w:t>
            </w:r>
          </w:p>
        </w:tc>
      </w:tr>
      <w:tr w:rsidR="001C742E" w:rsidRPr="00652F74" w14:paraId="15AF909B" w14:textId="77777777">
        <w:trPr>
          <w:trHeight w:val="259"/>
        </w:trPr>
        <w:tc>
          <w:tcPr>
            <w:tcW w:w="1030" w:type="dxa"/>
            <w:vAlign w:val="center"/>
          </w:tcPr>
          <w:p w14:paraId="0DA2B30F"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12</w:t>
            </w:r>
          </w:p>
        </w:tc>
        <w:tc>
          <w:tcPr>
            <w:tcW w:w="7661" w:type="dxa"/>
            <w:shd w:val="clear" w:color="auto" w:fill="auto"/>
            <w:noWrap/>
            <w:vAlign w:val="bottom"/>
          </w:tcPr>
          <w:p w14:paraId="35BC040B"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Bez dospijeća ili s dospijećem</w:t>
            </w:r>
          </w:p>
          <w:p w14:paraId="08F3D950"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je li bez dospijeća ili s dospijećem.</w:t>
            </w:r>
          </w:p>
          <w:p w14:paraId="0DE49833"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[Bez dospijeća] [S dospijećem]</w:t>
            </w:r>
          </w:p>
        </w:tc>
      </w:tr>
      <w:tr w:rsidR="001C742E" w:rsidRPr="00652F74" w14:paraId="4385192F" w14:textId="77777777">
        <w:trPr>
          <w:trHeight w:val="259"/>
        </w:trPr>
        <w:tc>
          <w:tcPr>
            <w:tcW w:w="1030" w:type="dxa"/>
            <w:vAlign w:val="center"/>
          </w:tcPr>
          <w:p w14:paraId="0B4B4701"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13</w:t>
            </w:r>
          </w:p>
        </w:tc>
        <w:tc>
          <w:tcPr>
            <w:tcW w:w="7661" w:type="dxa"/>
            <w:shd w:val="clear" w:color="auto" w:fill="auto"/>
            <w:noWrap/>
            <w:vAlign w:val="bottom"/>
          </w:tcPr>
          <w:p w14:paraId="61EFA9C8"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Izvorni rok dospijeća</w:t>
            </w:r>
          </w:p>
          <w:p w14:paraId="4251553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Za instrumente s dospijećem navodi se </w:t>
            </w:r>
            <w:r w:rsidRPr="00652F74">
              <w:rPr>
                <w:rFonts w:ascii="Times New Roman" w:hAnsi="Times New Roman"/>
                <w:sz w:val="24"/>
              </w:rPr>
              <w:t>izvorni datum dospijeća (dan, mjesec i godina). Za instrumente bez dospijeća upisati „bez dospijeća”.</w:t>
            </w:r>
          </w:p>
          <w:p w14:paraId="45400177"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Slobodan unos teksta</w:t>
            </w:r>
          </w:p>
        </w:tc>
      </w:tr>
      <w:tr w:rsidR="001C742E" w:rsidRPr="00652F74" w14:paraId="5889164B" w14:textId="77777777">
        <w:trPr>
          <w:trHeight w:val="259"/>
        </w:trPr>
        <w:tc>
          <w:tcPr>
            <w:tcW w:w="1030" w:type="dxa"/>
            <w:vAlign w:val="center"/>
          </w:tcPr>
          <w:p w14:paraId="6423E994"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14</w:t>
            </w:r>
          </w:p>
        </w:tc>
        <w:tc>
          <w:tcPr>
            <w:tcW w:w="7661" w:type="dxa"/>
            <w:shd w:val="clear" w:color="auto" w:fill="auto"/>
            <w:noWrap/>
            <w:vAlign w:val="bottom"/>
          </w:tcPr>
          <w:p w14:paraId="50C4B3DF"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Opcija kupnje izdavatelja uz prethodno odobrenje nadzornog tijela</w:t>
            </w:r>
          </w:p>
          <w:p w14:paraId="25355B70"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postoji li opcija kupnje izdavatelja (sve vrste opcij</w:t>
            </w:r>
            <w:r w:rsidRPr="00652F74">
              <w:rPr>
                <w:rFonts w:ascii="Times New Roman" w:hAnsi="Times New Roman"/>
                <w:sz w:val="24"/>
              </w:rPr>
              <w:t>a kupnje).</w:t>
            </w:r>
          </w:p>
          <w:p w14:paraId="0B01A0F9"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[Da] [Ne]</w:t>
            </w:r>
          </w:p>
        </w:tc>
      </w:tr>
      <w:tr w:rsidR="001C742E" w:rsidRPr="00652F74" w14:paraId="2D742C4C" w14:textId="77777777">
        <w:trPr>
          <w:trHeight w:val="259"/>
        </w:trPr>
        <w:tc>
          <w:tcPr>
            <w:tcW w:w="1030" w:type="dxa"/>
            <w:vAlign w:val="center"/>
          </w:tcPr>
          <w:p w14:paraId="1E293109"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15</w:t>
            </w:r>
          </w:p>
        </w:tc>
        <w:tc>
          <w:tcPr>
            <w:tcW w:w="7661" w:type="dxa"/>
            <w:shd w:val="clear" w:color="auto" w:fill="auto"/>
            <w:noWrap/>
            <w:vAlign w:val="bottom"/>
          </w:tcPr>
          <w:p w14:paraId="2D4AEE6D"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Neobvezni datum izvršenja opcije kupnje, uvjetni datumi izvršenja opcije kupnje i otkupna vrijednost</w:t>
            </w:r>
          </w:p>
          <w:p w14:paraId="2EA9A25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Za instrumente s opcijom kupnje izdavatelja navodi se prvi datum izvršenja opcije kupnje ako </w:t>
            </w:r>
            <w:r w:rsidRPr="00652F74">
              <w:rPr>
                <w:rFonts w:ascii="Times New Roman" w:hAnsi="Times New Roman"/>
                <w:sz w:val="24"/>
              </w:rPr>
              <w:t>instrument ima opciju kupnje na određeni datum (dan, mjesec i godina) te, dodatno, sadržava li instrument opciju kupnje u slučaju određenog poreznog i/ili regulatornog događaja. Navodi se i otkupna cijena. Korisno za procjenu trajanja.</w:t>
            </w:r>
          </w:p>
          <w:p w14:paraId="3CC6B0AA"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2A659DBF" w14:textId="77777777">
        <w:trPr>
          <w:trHeight w:val="259"/>
        </w:trPr>
        <w:tc>
          <w:tcPr>
            <w:tcW w:w="1030" w:type="dxa"/>
            <w:vAlign w:val="center"/>
          </w:tcPr>
          <w:p w14:paraId="5CD41E79"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16</w:t>
            </w:r>
          </w:p>
        </w:tc>
        <w:tc>
          <w:tcPr>
            <w:tcW w:w="7661" w:type="dxa"/>
            <w:shd w:val="clear" w:color="auto" w:fill="auto"/>
            <w:noWrap/>
            <w:vAlign w:val="bottom"/>
          </w:tcPr>
          <w:p w14:paraId="50A1F101"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Naknadni datumi izvršenja opcije kupnje, prema potrebi</w:t>
            </w:r>
          </w:p>
          <w:p w14:paraId="6FA7A687"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postojanje i dinamika naknadnih datuma kupnje, prema potrebi. Korisno za procjenu trajanja.</w:t>
            </w:r>
          </w:p>
          <w:p w14:paraId="0DAC69DB"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Slobodan unos teksta</w:t>
            </w:r>
          </w:p>
        </w:tc>
      </w:tr>
      <w:tr w:rsidR="001C742E" w:rsidRPr="00652F74" w14:paraId="3FF41EAE" w14:textId="77777777">
        <w:trPr>
          <w:trHeight w:val="259"/>
        </w:trPr>
        <w:tc>
          <w:tcPr>
            <w:tcW w:w="1030" w:type="dxa"/>
            <w:vAlign w:val="center"/>
          </w:tcPr>
          <w:p w14:paraId="17618227"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17</w:t>
            </w:r>
          </w:p>
        </w:tc>
        <w:tc>
          <w:tcPr>
            <w:tcW w:w="7661" w:type="dxa"/>
            <w:shd w:val="clear" w:color="auto" w:fill="auto"/>
            <w:noWrap/>
            <w:vAlign w:val="bottom"/>
          </w:tcPr>
          <w:p w14:paraId="12CADCE0"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Fiksna ili promjenjiva dividenda/kupon</w:t>
            </w:r>
          </w:p>
          <w:p w14:paraId="0B883487"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je li kupon/dividend</w:t>
            </w:r>
            <w:r w:rsidRPr="00652F74">
              <w:rPr>
                <w:rFonts w:ascii="Times New Roman" w:hAnsi="Times New Roman"/>
                <w:sz w:val="24"/>
              </w:rPr>
              <w:t>a: s fiksnom ili promjenjivom kamatnom stopom tijekom trajanja instrumenta ili je trenutačno s fiksnom, a u budućnosti će biti s promjenjivom kamatnom stopom, ili je trenutačno s promjenjivom, a u budućnosti će biti s fiksnom kamatnom stopom.</w:t>
            </w:r>
          </w:p>
          <w:p w14:paraId="0353C689"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w:t>
            </w:r>
            <w:r w:rsidRPr="00652F74">
              <w:rPr>
                <w:rFonts w:ascii="Times New Roman" w:hAnsi="Times New Roman"/>
                <w:i/>
                <w:sz w:val="24"/>
              </w:rPr>
              <w:t xml:space="preserve">zbornika: [Fiksna], [Promjenjiva] [Fiksna prema promjenjivoj], [Promjenjiva prema fiksnoj] </w:t>
            </w:r>
          </w:p>
        </w:tc>
      </w:tr>
      <w:tr w:rsidR="001C742E" w:rsidRPr="00652F74" w14:paraId="7CB3BCD7" w14:textId="77777777">
        <w:trPr>
          <w:trHeight w:val="259"/>
        </w:trPr>
        <w:tc>
          <w:tcPr>
            <w:tcW w:w="1030" w:type="dxa"/>
            <w:vAlign w:val="center"/>
          </w:tcPr>
          <w:p w14:paraId="1349D9CD"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18</w:t>
            </w:r>
          </w:p>
        </w:tc>
        <w:tc>
          <w:tcPr>
            <w:tcW w:w="7661" w:type="dxa"/>
            <w:shd w:val="clear" w:color="auto" w:fill="auto"/>
            <w:noWrap/>
            <w:vAlign w:val="bottom"/>
          </w:tcPr>
          <w:p w14:paraId="133536C3"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Kuponska stopa i povezani indeksi</w:t>
            </w:r>
          </w:p>
          <w:p w14:paraId="7B828D89"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lastRenderedPageBreak/>
              <w:t>Navodi se kuponska stopa instrumenta i indeksi povezani s kuponom/dividendom.</w:t>
            </w:r>
          </w:p>
          <w:p w14:paraId="5A7CB189"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 xml:space="preserve">Slobodan unos teksta </w:t>
            </w:r>
          </w:p>
        </w:tc>
      </w:tr>
      <w:tr w:rsidR="001C742E" w:rsidRPr="00652F74" w14:paraId="49DCD3A6" w14:textId="77777777">
        <w:trPr>
          <w:trHeight w:val="2983"/>
        </w:trPr>
        <w:tc>
          <w:tcPr>
            <w:tcW w:w="1030" w:type="dxa"/>
            <w:vAlign w:val="center"/>
          </w:tcPr>
          <w:p w14:paraId="16608FC6"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19</w:t>
            </w:r>
          </w:p>
        </w:tc>
        <w:tc>
          <w:tcPr>
            <w:tcW w:w="7661" w:type="dxa"/>
            <w:shd w:val="clear" w:color="auto" w:fill="auto"/>
            <w:noWrap/>
            <w:vAlign w:val="bottom"/>
          </w:tcPr>
          <w:p w14:paraId="11786896"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Postojanje </w:t>
            </w:r>
            <w:r w:rsidRPr="00652F74">
              <w:rPr>
                <w:rFonts w:ascii="Times New Roman" w:hAnsi="Times New Roman"/>
                <w:sz w:val="24"/>
              </w:rPr>
              <w:t>mehanizama obveznog otkazivanja dividende</w:t>
            </w:r>
          </w:p>
          <w:p w14:paraId="53510B2C"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sprečava li neisplata kupona ili dividende za instrument isplatu dividende na redovite dionice (tj. postoji li mehanizam obveznog otkazivanja dividende).</w:t>
            </w:r>
          </w:p>
          <w:p w14:paraId="6726782A"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 xml:space="preserve">Odabrati iz izbornika: [da], [ne] </w:t>
            </w:r>
          </w:p>
        </w:tc>
      </w:tr>
      <w:tr w:rsidR="001C742E" w:rsidRPr="00652F74" w14:paraId="1D68BE2E" w14:textId="77777777">
        <w:trPr>
          <w:trHeight w:val="259"/>
        </w:trPr>
        <w:tc>
          <w:tcPr>
            <w:tcW w:w="1030" w:type="dxa"/>
            <w:vAlign w:val="center"/>
          </w:tcPr>
          <w:p w14:paraId="37B072D4"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20</w:t>
            </w:r>
          </w:p>
        </w:tc>
        <w:tc>
          <w:tcPr>
            <w:tcW w:w="7661" w:type="dxa"/>
            <w:shd w:val="clear" w:color="auto" w:fill="auto"/>
            <w:noWrap/>
            <w:vAlign w:val="bottom"/>
          </w:tcPr>
          <w:p w14:paraId="0731FB99"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 Puno diskrecijsko pravo, djelomično diskrecijsko pravo ili obvezno (u vremenskom pogledu)</w:t>
            </w:r>
          </w:p>
          <w:p w14:paraId="238DC220"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ima li izdavatelj puno diskrecijsko pravo, djelomično diskrecijsko pravo ili ne može odlučivati o isplati kupona/dividende. Ako ima puno diskrecijsko pravo</w:t>
            </w:r>
            <w:r w:rsidRPr="00652F74">
              <w:rPr>
                <w:rFonts w:ascii="Times New Roman" w:hAnsi="Times New Roman"/>
                <w:sz w:val="24"/>
              </w:rPr>
              <w:t xml:space="preserve"> otkazati isplate kupona/dividendi u svim okolnostima, institucija je dužna odabrati „puno diskrecijsko pravo” (i ako postoji mehanizam obveznog otkazivanja dividende koji ne može spriječiti instituciju da otkaže isplate po instrumentu). Ako postoje uvjeti</w:t>
            </w:r>
            <w:r w:rsidRPr="00652F74">
              <w:rPr>
                <w:rFonts w:ascii="Times New Roman" w:hAnsi="Times New Roman"/>
                <w:sz w:val="24"/>
              </w:rPr>
              <w:t xml:space="preserve"> koji moraju biti ispunjeni prije otkazivanja isplate (npr. regulatorni kapital ispod određenog praga), institucija je dužna odabrati „djelomično diskrecijsko pravo”. Ako ne može otkazati plaćanje izvan okvira nesolventnosti, institucija mora odabrati „obv</w:t>
            </w:r>
            <w:r w:rsidRPr="00652F74">
              <w:rPr>
                <w:rFonts w:ascii="Times New Roman" w:hAnsi="Times New Roman"/>
                <w:sz w:val="24"/>
              </w:rPr>
              <w:t>ezno”.</w:t>
            </w:r>
          </w:p>
          <w:p w14:paraId="105CF92E"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[Puno diskrecijsko pravo] [Djelomično diskrecijsko pravo] [Obvezno]</w:t>
            </w:r>
          </w:p>
          <w:p w14:paraId="59D00BFD"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i/>
                <w:sz w:val="24"/>
              </w:rPr>
              <w:t>Slobodan unos teksta (navesti razloge za diskrecijsko pravo, postoje li mehanizmi obvezne isplate dividende, mehanizmi obveznog otkazivanja dividende, alterna</w:t>
            </w:r>
            <w:r w:rsidRPr="00652F74">
              <w:rPr>
                <w:rFonts w:ascii="Times New Roman" w:hAnsi="Times New Roman"/>
                <w:i/>
                <w:sz w:val="24"/>
              </w:rPr>
              <w:t>tivni mehanizam kuponske isplate (ACSM))</w:t>
            </w:r>
          </w:p>
        </w:tc>
      </w:tr>
      <w:tr w:rsidR="001C742E" w:rsidRPr="00652F74" w14:paraId="647F4F9C" w14:textId="77777777">
        <w:trPr>
          <w:trHeight w:val="259"/>
        </w:trPr>
        <w:tc>
          <w:tcPr>
            <w:tcW w:w="1030" w:type="dxa"/>
            <w:vAlign w:val="center"/>
          </w:tcPr>
          <w:p w14:paraId="5654B94F"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21</w:t>
            </w:r>
          </w:p>
        </w:tc>
        <w:tc>
          <w:tcPr>
            <w:tcW w:w="7661" w:type="dxa"/>
            <w:shd w:val="clear" w:color="auto" w:fill="auto"/>
            <w:noWrap/>
            <w:vAlign w:val="bottom"/>
          </w:tcPr>
          <w:p w14:paraId="0B55FA4C"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Puno diskrecijsko pravo, djelomično diskrecijsko pravo ili obvezno (u pogledu iznosa)</w:t>
            </w:r>
          </w:p>
          <w:p w14:paraId="7C6FECF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Navodi se ima li izdavatelj puno diskrecijsko pravo, djelomično diskrecijsko pravo ili ne može odlučivati o isplati </w:t>
            </w:r>
            <w:r w:rsidRPr="00652F74">
              <w:rPr>
                <w:rFonts w:ascii="Times New Roman" w:hAnsi="Times New Roman"/>
                <w:sz w:val="24"/>
              </w:rPr>
              <w:t>kupona/dividende.</w:t>
            </w:r>
          </w:p>
          <w:p w14:paraId="6CE33BF0"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[Puno diskrecijsko pravo] [Djelomično diskrecijsko pravo] [Obvezno]</w:t>
            </w:r>
          </w:p>
        </w:tc>
      </w:tr>
      <w:tr w:rsidR="001C742E" w:rsidRPr="00652F74" w14:paraId="031B0BC5" w14:textId="77777777">
        <w:trPr>
          <w:trHeight w:val="259"/>
        </w:trPr>
        <w:tc>
          <w:tcPr>
            <w:tcW w:w="1030" w:type="dxa"/>
            <w:vAlign w:val="center"/>
          </w:tcPr>
          <w:p w14:paraId="031E0365"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22</w:t>
            </w:r>
          </w:p>
        </w:tc>
        <w:tc>
          <w:tcPr>
            <w:tcW w:w="7661" w:type="dxa"/>
            <w:shd w:val="clear" w:color="auto" w:fill="auto"/>
            <w:noWrap/>
            <w:vAlign w:val="bottom"/>
          </w:tcPr>
          <w:p w14:paraId="3174E680"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 Postojanje ugovorne odredbe o povećanju prinosa ili drugih poticaja za otkup</w:t>
            </w:r>
          </w:p>
          <w:p w14:paraId="6CBB87C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postoji li ugovorna odredba o povećanju prinosa ili dru</w:t>
            </w:r>
            <w:r w:rsidRPr="00652F74">
              <w:rPr>
                <w:rFonts w:ascii="Times New Roman" w:hAnsi="Times New Roman"/>
                <w:sz w:val="24"/>
              </w:rPr>
              <w:t>gi poticaj za otkup.</w:t>
            </w:r>
          </w:p>
          <w:p w14:paraId="7155C95E"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[Da] [Ne]</w:t>
            </w:r>
          </w:p>
        </w:tc>
      </w:tr>
      <w:tr w:rsidR="001C742E" w:rsidRPr="00652F74" w14:paraId="08B1D697" w14:textId="77777777">
        <w:trPr>
          <w:trHeight w:val="259"/>
        </w:trPr>
        <w:tc>
          <w:tcPr>
            <w:tcW w:w="1030" w:type="dxa"/>
            <w:vAlign w:val="center"/>
          </w:tcPr>
          <w:p w14:paraId="3F9F3858"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23</w:t>
            </w:r>
          </w:p>
        </w:tc>
        <w:tc>
          <w:tcPr>
            <w:tcW w:w="7661" w:type="dxa"/>
            <w:shd w:val="clear" w:color="auto" w:fill="auto"/>
            <w:noWrap/>
            <w:vAlign w:val="bottom"/>
          </w:tcPr>
          <w:p w14:paraId="5A414F27"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Nekumulativni ili kumulativni</w:t>
            </w:r>
          </w:p>
          <w:p w14:paraId="16866B14"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Navesti jesu li dividende/kuponi kumulativni ili nekumulativni.</w:t>
            </w:r>
          </w:p>
          <w:p w14:paraId="3DC6A4EC"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[Nekumulativni] [Kumulativni] [ACSM]</w:t>
            </w:r>
          </w:p>
        </w:tc>
      </w:tr>
      <w:tr w:rsidR="001C742E" w:rsidRPr="00652F74" w14:paraId="3F17D6E1" w14:textId="77777777">
        <w:trPr>
          <w:trHeight w:val="259"/>
        </w:trPr>
        <w:tc>
          <w:tcPr>
            <w:tcW w:w="1030" w:type="dxa"/>
            <w:vAlign w:val="center"/>
          </w:tcPr>
          <w:p w14:paraId="29822511"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24</w:t>
            </w:r>
          </w:p>
        </w:tc>
        <w:tc>
          <w:tcPr>
            <w:tcW w:w="7661" w:type="dxa"/>
            <w:shd w:val="clear" w:color="auto" w:fill="auto"/>
            <w:noWrap/>
            <w:vAlign w:val="bottom"/>
          </w:tcPr>
          <w:p w14:paraId="00D4B839"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Konvertibilni ili </w:t>
            </w:r>
            <w:r w:rsidRPr="00652F74">
              <w:rPr>
                <w:rFonts w:ascii="Times New Roman" w:hAnsi="Times New Roman"/>
                <w:sz w:val="24"/>
              </w:rPr>
              <w:t>nekonvertibilni</w:t>
            </w:r>
          </w:p>
          <w:p w14:paraId="7BAC1B4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je li instrument konvertibilan ili nekonvertibilan.</w:t>
            </w:r>
          </w:p>
          <w:p w14:paraId="149F51F5"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[Konvertibilan] [Nekonvertibilan]</w:t>
            </w:r>
          </w:p>
        </w:tc>
      </w:tr>
      <w:tr w:rsidR="001C742E" w:rsidRPr="00652F74" w14:paraId="3614AEB3" w14:textId="77777777">
        <w:trPr>
          <w:trHeight w:val="259"/>
        </w:trPr>
        <w:tc>
          <w:tcPr>
            <w:tcW w:w="1030" w:type="dxa"/>
            <w:vAlign w:val="center"/>
          </w:tcPr>
          <w:p w14:paraId="109B5C65"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25</w:t>
            </w:r>
          </w:p>
        </w:tc>
        <w:tc>
          <w:tcPr>
            <w:tcW w:w="7661" w:type="dxa"/>
            <w:shd w:val="clear" w:color="auto" w:fill="auto"/>
            <w:noWrap/>
            <w:vAlign w:val="bottom"/>
          </w:tcPr>
          <w:p w14:paraId="33343C5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 Ako su konvertibilni, pokretač(i) konverzije</w:t>
            </w:r>
          </w:p>
          <w:p w14:paraId="75FB0761"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Navode se uvjeti konverzije instrumenta, uključujući trenutak neodrživo</w:t>
            </w:r>
            <w:r w:rsidRPr="00652F74">
              <w:rPr>
                <w:rFonts w:ascii="Times New Roman" w:hAnsi="Times New Roman"/>
                <w:sz w:val="24"/>
              </w:rPr>
              <w:t>sti. Ako jedno ili više tijela mogu pokrenuti konverziju, navodi se popis tih tijela. Za svako se tijelo navodi jesu li uvjeti ugovora o instrumentu pravna osnova na temelju koje tijelo pokreće konverziju (ugovorni pristup) ili je pravna osnova utvrđena za</w:t>
            </w:r>
            <w:r w:rsidRPr="00652F74">
              <w:rPr>
                <w:rFonts w:ascii="Times New Roman" w:hAnsi="Times New Roman"/>
                <w:sz w:val="24"/>
              </w:rPr>
              <w:t>konskim sredstvima (zakonski pristup).</w:t>
            </w:r>
          </w:p>
          <w:p w14:paraId="3A56FC2A"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4BC7E825" w14:textId="77777777">
        <w:trPr>
          <w:trHeight w:val="259"/>
        </w:trPr>
        <w:tc>
          <w:tcPr>
            <w:tcW w:w="1030" w:type="dxa"/>
            <w:vAlign w:val="center"/>
          </w:tcPr>
          <w:p w14:paraId="527EE1E4"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26</w:t>
            </w:r>
          </w:p>
        </w:tc>
        <w:tc>
          <w:tcPr>
            <w:tcW w:w="7661" w:type="dxa"/>
            <w:shd w:val="clear" w:color="auto" w:fill="auto"/>
            <w:noWrap/>
            <w:vAlign w:val="bottom"/>
          </w:tcPr>
          <w:p w14:paraId="68ACD200"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su konvertibilni, potpuno ili djelomično</w:t>
            </w:r>
          </w:p>
          <w:p w14:paraId="4901329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Navodi se hoće li se instrument uvijek konvertirati u cijelosti, može li se konvertirati u cijelosti ili djelomično ili će se uvijek </w:t>
            </w:r>
            <w:r w:rsidRPr="00652F74">
              <w:rPr>
                <w:rFonts w:ascii="Times New Roman" w:hAnsi="Times New Roman"/>
                <w:sz w:val="24"/>
              </w:rPr>
              <w:t>konvertirati djelomično.</w:t>
            </w:r>
          </w:p>
          <w:p w14:paraId="4DFF074D"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[Uvijek potpuno] [Potpuno i djelomično] [Uvijek djelomično]</w:t>
            </w:r>
          </w:p>
        </w:tc>
      </w:tr>
      <w:tr w:rsidR="001C742E" w:rsidRPr="00652F74" w14:paraId="4EA7890B" w14:textId="77777777">
        <w:trPr>
          <w:trHeight w:val="259"/>
        </w:trPr>
        <w:tc>
          <w:tcPr>
            <w:tcW w:w="1030" w:type="dxa"/>
            <w:vAlign w:val="center"/>
          </w:tcPr>
          <w:p w14:paraId="4F219EBE"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27</w:t>
            </w:r>
          </w:p>
        </w:tc>
        <w:tc>
          <w:tcPr>
            <w:tcW w:w="7661" w:type="dxa"/>
            <w:shd w:val="clear" w:color="auto" w:fill="auto"/>
            <w:noWrap/>
            <w:vAlign w:val="bottom"/>
          </w:tcPr>
          <w:p w14:paraId="57D3CDEB"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su konvertibilni, stopa konverzije</w:t>
            </w:r>
          </w:p>
          <w:p w14:paraId="738F839D"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stopa konverzije u instrument većeg kapaciteta za apsorpciju gubitaka.</w:t>
            </w:r>
          </w:p>
          <w:p w14:paraId="63B916AB"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 xml:space="preserve">Slobodan unos </w:t>
            </w:r>
            <w:r w:rsidRPr="00652F74">
              <w:rPr>
                <w:rFonts w:ascii="Times New Roman" w:hAnsi="Times New Roman"/>
                <w:i/>
                <w:sz w:val="24"/>
              </w:rPr>
              <w:t>teksta</w:t>
            </w:r>
          </w:p>
        </w:tc>
      </w:tr>
      <w:tr w:rsidR="001C742E" w:rsidRPr="00652F74" w14:paraId="24C6426B" w14:textId="77777777">
        <w:trPr>
          <w:trHeight w:val="259"/>
        </w:trPr>
        <w:tc>
          <w:tcPr>
            <w:tcW w:w="1030" w:type="dxa"/>
            <w:vAlign w:val="center"/>
          </w:tcPr>
          <w:p w14:paraId="0C414C8E"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28</w:t>
            </w:r>
          </w:p>
        </w:tc>
        <w:tc>
          <w:tcPr>
            <w:tcW w:w="7661" w:type="dxa"/>
            <w:shd w:val="clear" w:color="auto" w:fill="auto"/>
            <w:noWrap/>
            <w:vAlign w:val="bottom"/>
          </w:tcPr>
          <w:p w14:paraId="4022AA18"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 Ako su konvertibilni, je li konverzija obvezna i li neobvezna</w:t>
            </w:r>
          </w:p>
          <w:p w14:paraId="0CE431A4"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Za konvertibilne instrumente navodi se je li konverzija obvezna ili neobvezna.</w:t>
            </w:r>
          </w:p>
          <w:p w14:paraId="295108AB"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lastRenderedPageBreak/>
              <w:t>Odabrati iz izbornika: [Obvezna] [Neobvezna] [Nije primjenjivo] i [odabir imatelja] [odabir izdavatelja</w:t>
            </w:r>
            <w:r w:rsidRPr="00652F74">
              <w:rPr>
                <w:rFonts w:ascii="Times New Roman" w:hAnsi="Times New Roman"/>
                <w:i/>
                <w:sz w:val="24"/>
              </w:rPr>
              <w:t>] [odabir imatelja i izdavatelja]</w:t>
            </w:r>
          </w:p>
        </w:tc>
      </w:tr>
      <w:tr w:rsidR="001C742E" w:rsidRPr="00652F74" w14:paraId="13FD4623" w14:textId="77777777">
        <w:trPr>
          <w:trHeight w:val="259"/>
        </w:trPr>
        <w:tc>
          <w:tcPr>
            <w:tcW w:w="1030" w:type="dxa"/>
            <w:vAlign w:val="center"/>
          </w:tcPr>
          <w:p w14:paraId="64EEC27C"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29</w:t>
            </w:r>
          </w:p>
        </w:tc>
        <w:tc>
          <w:tcPr>
            <w:tcW w:w="7661" w:type="dxa"/>
            <w:shd w:val="clear" w:color="auto" w:fill="auto"/>
            <w:noWrap/>
            <w:vAlign w:val="bottom"/>
          </w:tcPr>
          <w:p w14:paraId="36A7F10E"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su konvertibilni, navesti vrstu instrumenta u koji se mogu konvertirati</w:t>
            </w:r>
          </w:p>
          <w:p w14:paraId="63D7700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Za konvertibilne instrumente navodi se vrsta instrumenta u koju se mogu konvertirati.</w:t>
            </w:r>
          </w:p>
          <w:p w14:paraId="5AF2142F"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[Redovni osnovni kapital] [Dodatn</w:t>
            </w:r>
            <w:r w:rsidRPr="00652F74">
              <w:rPr>
                <w:rFonts w:ascii="Times New Roman" w:hAnsi="Times New Roman"/>
                <w:i/>
                <w:sz w:val="24"/>
              </w:rPr>
              <w:t>i osnovni kapital] [Dopunski kapital] [Ostalo]</w:t>
            </w:r>
          </w:p>
        </w:tc>
      </w:tr>
      <w:tr w:rsidR="001C742E" w:rsidRPr="00652F74" w14:paraId="3BE3050A" w14:textId="77777777">
        <w:trPr>
          <w:trHeight w:val="259"/>
        </w:trPr>
        <w:tc>
          <w:tcPr>
            <w:tcW w:w="1030" w:type="dxa"/>
            <w:vAlign w:val="center"/>
          </w:tcPr>
          <w:p w14:paraId="7678783D"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30</w:t>
            </w:r>
          </w:p>
        </w:tc>
        <w:tc>
          <w:tcPr>
            <w:tcW w:w="7661" w:type="dxa"/>
            <w:shd w:val="clear" w:color="auto" w:fill="auto"/>
            <w:noWrap/>
            <w:vAlign w:val="bottom"/>
          </w:tcPr>
          <w:p w14:paraId="06A9BFF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su konvertibilni, navesti vrstu instrumenta u koji se mogu konvertirati</w:t>
            </w:r>
          </w:p>
          <w:p w14:paraId="3936075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je konvertibilan, navesti izdavatelja instrumenta u koji se konvertira.</w:t>
            </w:r>
          </w:p>
          <w:p w14:paraId="68C3D584"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718E35DF" w14:textId="77777777">
        <w:trPr>
          <w:trHeight w:val="259"/>
        </w:trPr>
        <w:tc>
          <w:tcPr>
            <w:tcW w:w="1030" w:type="dxa"/>
            <w:vAlign w:val="center"/>
          </w:tcPr>
          <w:p w14:paraId="0F45338B"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31</w:t>
            </w:r>
          </w:p>
        </w:tc>
        <w:tc>
          <w:tcPr>
            <w:tcW w:w="7661" w:type="dxa"/>
            <w:shd w:val="clear" w:color="auto" w:fill="auto"/>
            <w:noWrap/>
            <w:vAlign w:val="bottom"/>
          </w:tcPr>
          <w:p w14:paraId="6CD705F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Značajke smanjenja </w:t>
            </w:r>
            <w:r w:rsidRPr="00652F74">
              <w:rPr>
                <w:rFonts w:ascii="Times New Roman" w:hAnsi="Times New Roman"/>
                <w:sz w:val="24"/>
              </w:rPr>
              <w:t>vrijednosti</w:t>
            </w:r>
          </w:p>
          <w:p w14:paraId="100D47A7"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postoji li značajka smanjenja vrijednosti.</w:t>
            </w:r>
          </w:p>
          <w:p w14:paraId="688280A5"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[Da] [Ne]</w:t>
            </w:r>
          </w:p>
        </w:tc>
      </w:tr>
      <w:tr w:rsidR="001C742E" w:rsidRPr="00652F74" w14:paraId="2DAEC9B0" w14:textId="77777777">
        <w:trPr>
          <w:trHeight w:val="259"/>
        </w:trPr>
        <w:tc>
          <w:tcPr>
            <w:tcW w:w="1030" w:type="dxa"/>
            <w:vAlign w:val="center"/>
          </w:tcPr>
          <w:p w14:paraId="77B5967B"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32</w:t>
            </w:r>
          </w:p>
        </w:tc>
        <w:tc>
          <w:tcPr>
            <w:tcW w:w="7661" w:type="dxa"/>
            <w:shd w:val="clear" w:color="auto" w:fill="auto"/>
            <w:noWrap/>
            <w:vAlign w:val="bottom"/>
          </w:tcPr>
          <w:p w14:paraId="0C5AF13C"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U slučaju smanjenja vrijednosti, pokretač(i) smanjenja vrijednosti</w:t>
            </w:r>
          </w:p>
          <w:p w14:paraId="17E54AB7" w14:textId="77777777" w:rsidR="001C742E" w:rsidRPr="00652F74" w:rsidRDefault="00652F74">
            <w:pPr>
              <w:autoSpaceDE w:val="0"/>
              <w:autoSpaceDN w:val="0"/>
              <w:adjustRightInd w:val="0"/>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Navode se pokretači smanjenja vrijednosti, uključujući trenutak </w:t>
            </w:r>
            <w:r w:rsidRPr="00652F74">
              <w:rPr>
                <w:rFonts w:ascii="Times New Roman" w:hAnsi="Times New Roman"/>
                <w:sz w:val="24"/>
              </w:rPr>
              <w:t>neodrživosti. Ako jedno ili više tijela mogu pokrenuti smanjenje vrijednosti, navodi se popis tih tijela. Za svako se tijelo navodi jesu li uvjeti ugovora o instrumentu pravna osnova na temelju koje tijelo pokreće smanjenje vrijednosti (ugovorni pristup) i</w:t>
            </w:r>
            <w:r w:rsidRPr="00652F74">
              <w:rPr>
                <w:rFonts w:ascii="Times New Roman" w:hAnsi="Times New Roman"/>
                <w:sz w:val="24"/>
              </w:rPr>
              <w:t>li je pravna osnova utvrđena zakonskim sredstvima (zakonski pristup).</w:t>
            </w:r>
          </w:p>
          <w:p w14:paraId="526FFFA2"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13200463" w14:textId="77777777">
        <w:trPr>
          <w:trHeight w:val="259"/>
        </w:trPr>
        <w:tc>
          <w:tcPr>
            <w:tcW w:w="1030" w:type="dxa"/>
            <w:vAlign w:val="center"/>
          </w:tcPr>
          <w:p w14:paraId="257C24A1"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33</w:t>
            </w:r>
          </w:p>
        </w:tc>
        <w:tc>
          <w:tcPr>
            <w:tcW w:w="7661" w:type="dxa"/>
            <w:shd w:val="clear" w:color="auto" w:fill="auto"/>
            <w:noWrap/>
            <w:vAlign w:val="bottom"/>
          </w:tcPr>
          <w:p w14:paraId="2695F71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U slučaju smanjenja vrijednosti, potpuno ili djelomično</w:t>
            </w:r>
          </w:p>
          <w:p w14:paraId="62356647"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Navodi se može li se instrumentu uvijek potpuno smanjiti vrijednost, može li mu se vrijednost smanjiti po</w:t>
            </w:r>
            <w:r w:rsidRPr="00652F74">
              <w:rPr>
                <w:rFonts w:ascii="Times New Roman" w:hAnsi="Times New Roman"/>
                <w:sz w:val="24"/>
              </w:rPr>
              <w:t>tpuno i djelomično ili uvijek djelomično. To olakšava procjenu kapaciteta za apsorpciju gubitaka pri smanjenju vrijednosti.</w:t>
            </w:r>
          </w:p>
          <w:p w14:paraId="35A196B9"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 xml:space="preserve">Odabrati iz izbornika: [Uvijek potpuno] [Potpuno i djelomično] [Uvijek djelomično] </w:t>
            </w:r>
          </w:p>
        </w:tc>
      </w:tr>
      <w:tr w:rsidR="001C742E" w:rsidRPr="00652F74" w14:paraId="753661EC" w14:textId="77777777">
        <w:trPr>
          <w:trHeight w:val="259"/>
        </w:trPr>
        <w:tc>
          <w:tcPr>
            <w:tcW w:w="1030" w:type="dxa"/>
            <w:vAlign w:val="center"/>
          </w:tcPr>
          <w:p w14:paraId="4E5500E3"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34</w:t>
            </w:r>
          </w:p>
        </w:tc>
        <w:tc>
          <w:tcPr>
            <w:tcW w:w="7661" w:type="dxa"/>
            <w:shd w:val="clear" w:color="auto" w:fill="auto"/>
            <w:noWrap/>
            <w:vAlign w:val="bottom"/>
          </w:tcPr>
          <w:p w14:paraId="2E0FE3C6"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U slučaju smanjenja vrijednosti, trajno ili </w:t>
            </w:r>
            <w:r w:rsidRPr="00652F74">
              <w:rPr>
                <w:rFonts w:ascii="Times New Roman" w:hAnsi="Times New Roman"/>
                <w:sz w:val="24"/>
              </w:rPr>
              <w:t>privremeno</w:t>
            </w:r>
          </w:p>
          <w:p w14:paraId="32A1FE91"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Za instrumente s mogućnošću smanjenja vrijednosti navodi se je li smanjenje vrijednosti trajno ili privremeno.</w:t>
            </w:r>
          </w:p>
          <w:p w14:paraId="0BAFE023"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Odabrati iz izbornika: [Trajno] [Privremeno] [Nije primjenjivo]</w:t>
            </w:r>
          </w:p>
        </w:tc>
      </w:tr>
      <w:tr w:rsidR="001C742E" w:rsidRPr="00652F74" w14:paraId="7732EAB8" w14:textId="77777777">
        <w:trPr>
          <w:trHeight w:val="259"/>
        </w:trPr>
        <w:tc>
          <w:tcPr>
            <w:tcW w:w="1030" w:type="dxa"/>
            <w:vAlign w:val="center"/>
          </w:tcPr>
          <w:p w14:paraId="42579850"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lastRenderedPageBreak/>
              <w:t>35</w:t>
            </w:r>
          </w:p>
        </w:tc>
        <w:tc>
          <w:tcPr>
            <w:tcW w:w="7661" w:type="dxa"/>
            <w:shd w:val="clear" w:color="auto" w:fill="auto"/>
            <w:noWrap/>
            <w:vAlign w:val="bottom"/>
          </w:tcPr>
          <w:p w14:paraId="357B1F6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U slučaju privremenog smanjenja vrijednosti, opis </w:t>
            </w:r>
            <w:r w:rsidRPr="00652F74">
              <w:rPr>
                <w:rFonts w:ascii="Times New Roman" w:hAnsi="Times New Roman"/>
                <w:sz w:val="24"/>
              </w:rPr>
              <w:t>mehanizama povećanja vrijednosti</w:t>
            </w:r>
          </w:p>
          <w:p w14:paraId="4F6FE92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Opisuje se mehanizam povećanja vrijednosti.</w:t>
            </w:r>
          </w:p>
          <w:p w14:paraId="134FCB32"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rsidRPr="00652F74" w14:paraId="6DB94177" w14:textId="77777777">
        <w:trPr>
          <w:trHeight w:val="1448"/>
        </w:trPr>
        <w:tc>
          <w:tcPr>
            <w:tcW w:w="1030" w:type="dxa"/>
            <w:vAlign w:val="center"/>
          </w:tcPr>
          <w:p w14:paraId="77637F77"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36</w:t>
            </w:r>
          </w:p>
        </w:tc>
        <w:tc>
          <w:tcPr>
            <w:tcW w:w="7661" w:type="dxa"/>
            <w:shd w:val="clear" w:color="auto" w:fill="auto"/>
            <w:noWrap/>
            <w:vAlign w:val="bottom"/>
          </w:tcPr>
          <w:p w14:paraId="3F1DE45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Nesukladne značajke konvertiranih instrumenata</w:t>
            </w:r>
          </w:p>
          <w:p w14:paraId="78CE2EBA"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postoje, navesti nesukladne značajke.</w:t>
            </w:r>
          </w:p>
          <w:p w14:paraId="18E39434"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sz w:val="24"/>
              </w:rPr>
              <w:t>Odaberite [da] ili [ne].</w:t>
            </w:r>
          </w:p>
        </w:tc>
      </w:tr>
      <w:tr w:rsidR="001C742E" w:rsidRPr="00652F74" w14:paraId="08963552" w14:textId="77777777">
        <w:trPr>
          <w:trHeight w:val="259"/>
        </w:trPr>
        <w:tc>
          <w:tcPr>
            <w:tcW w:w="1030" w:type="dxa"/>
            <w:vAlign w:val="center"/>
          </w:tcPr>
          <w:p w14:paraId="7711635F"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37</w:t>
            </w:r>
          </w:p>
        </w:tc>
        <w:tc>
          <w:tcPr>
            <w:tcW w:w="7661" w:type="dxa"/>
            <w:shd w:val="clear" w:color="auto" w:fill="auto"/>
            <w:noWrap/>
            <w:vAlign w:val="bottom"/>
          </w:tcPr>
          <w:p w14:paraId="711E1823"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Ako postoje, navesti </w:t>
            </w:r>
            <w:r w:rsidRPr="00652F74">
              <w:rPr>
                <w:rFonts w:ascii="Times New Roman" w:hAnsi="Times New Roman"/>
                <w:sz w:val="24"/>
              </w:rPr>
              <w:t>nesukladne značajke.</w:t>
            </w:r>
          </w:p>
          <w:p w14:paraId="2A90F4D2"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Ako nesukladne značajke postoje, institucije ih navode.</w:t>
            </w:r>
          </w:p>
          <w:p w14:paraId="160CEABE" w14:textId="77777777" w:rsidR="001C742E" w:rsidRPr="00652F74" w:rsidRDefault="00652F74">
            <w:pPr>
              <w:spacing w:after="200" w:line="276" w:lineRule="auto"/>
              <w:jc w:val="both"/>
              <w:rPr>
                <w:rFonts w:ascii="Times New Roman" w:eastAsia="Times New Roman" w:hAnsi="Times New Roman" w:cs="Times New Roman"/>
                <w:i/>
                <w:sz w:val="24"/>
              </w:rPr>
            </w:pPr>
            <w:r w:rsidRPr="00652F74">
              <w:rPr>
                <w:rFonts w:ascii="Times New Roman" w:hAnsi="Times New Roman"/>
                <w:i/>
                <w:sz w:val="24"/>
              </w:rPr>
              <w:t>Slobodan unos teksta</w:t>
            </w:r>
          </w:p>
        </w:tc>
      </w:tr>
      <w:tr w:rsidR="001C742E" w14:paraId="7AD253C6" w14:textId="77777777">
        <w:trPr>
          <w:trHeight w:val="259"/>
        </w:trPr>
        <w:tc>
          <w:tcPr>
            <w:tcW w:w="1030" w:type="dxa"/>
            <w:vAlign w:val="center"/>
          </w:tcPr>
          <w:p w14:paraId="05884A68" w14:textId="77777777" w:rsidR="001C742E" w:rsidRPr="00652F74" w:rsidRDefault="00652F74">
            <w:pPr>
              <w:spacing w:after="200" w:line="276" w:lineRule="auto"/>
              <w:rPr>
                <w:rFonts w:ascii="Times New Roman" w:eastAsia="Times New Roman" w:hAnsi="Times New Roman" w:cs="Times New Roman"/>
                <w:sz w:val="24"/>
              </w:rPr>
            </w:pPr>
            <w:r w:rsidRPr="00652F74">
              <w:rPr>
                <w:rFonts w:ascii="Times New Roman" w:hAnsi="Times New Roman"/>
                <w:color w:val="000000"/>
                <w:sz w:val="24"/>
              </w:rPr>
              <w:t>38</w:t>
            </w:r>
          </w:p>
        </w:tc>
        <w:tc>
          <w:tcPr>
            <w:tcW w:w="7661" w:type="dxa"/>
            <w:shd w:val="clear" w:color="auto" w:fill="auto"/>
            <w:noWrap/>
            <w:vAlign w:val="bottom"/>
          </w:tcPr>
          <w:p w14:paraId="589B336C" w14:textId="77777777" w:rsidR="001C742E" w:rsidRPr="00652F74"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Poveznica na sve uvjete instrumenta (označivanje)</w:t>
            </w:r>
          </w:p>
          <w:p w14:paraId="5510A68D" w14:textId="77777777" w:rsidR="001C742E" w:rsidRDefault="00652F74">
            <w:pPr>
              <w:spacing w:after="200" w:line="276" w:lineRule="auto"/>
              <w:jc w:val="both"/>
              <w:rPr>
                <w:rFonts w:ascii="Times New Roman" w:eastAsia="Times New Roman" w:hAnsi="Times New Roman" w:cs="Times New Roman"/>
                <w:sz w:val="24"/>
              </w:rPr>
            </w:pPr>
            <w:r w:rsidRPr="00652F74">
              <w:rPr>
                <w:rFonts w:ascii="Times New Roman" w:hAnsi="Times New Roman"/>
                <w:sz w:val="24"/>
              </w:rPr>
              <w:t xml:space="preserve">Investicijska društva navode poveznicu na prospekt izdanja, uključujući sve uvjete </w:t>
            </w:r>
            <w:r w:rsidRPr="00652F74">
              <w:rPr>
                <w:rFonts w:ascii="Times New Roman" w:hAnsi="Times New Roman"/>
                <w:sz w:val="24"/>
              </w:rPr>
              <w:t>instrumenta.</w:t>
            </w:r>
          </w:p>
        </w:tc>
      </w:tr>
      <w:bookmarkEnd w:id="0"/>
      <w:bookmarkEnd w:id="1"/>
      <w:bookmarkEnd w:id="2"/>
      <w:bookmarkEnd w:id="3"/>
      <w:bookmarkEnd w:id="4"/>
      <w:bookmarkEnd w:id="5"/>
      <w:bookmarkEnd w:id="6"/>
      <w:bookmarkEnd w:id="7"/>
      <w:bookmarkEnd w:id="8"/>
      <w:bookmarkEnd w:id="9"/>
    </w:tbl>
    <w:p w14:paraId="71E4C9FD" w14:textId="77777777" w:rsidR="001C742E" w:rsidRDefault="001C742E">
      <w:pPr>
        <w:rPr>
          <w:rFonts w:ascii="Times New Roman" w:hAnsi="Times New Roman" w:cs="Times New Roman"/>
          <w:bCs/>
          <w:sz w:val="24"/>
        </w:rPr>
      </w:pPr>
    </w:p>
    <w:sectPr w:rsidR="001C742E">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06F28" w14:textId="77777777" w:rsidR="001C742E" w:rsidRDefault="00652F74">
      <w:r>
        <w:separator/>
      </w:r>
    </w:p>
  </w:endnote>
  <w:endnote w:type="continuationSeparator" w:id="0">
    <w:p w14:paraId="4A7A50EF" w14:textId="77777777" w:rsidR="001C742E" w:rsidRDefault="00652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43C047" w14:textId="77777777" w:rsidR="001C742E" w:rsidRDefault="00652F74">
    <w:pPr>
      <w:pStyle w:val="Footer"/>
      <w:tabs>
        <w:tab w:val="clear" w:pos="4320"/>
        <w:tab w:val="clear" w:pos="8640"/>
        <w:tab w:val="right" w:pos="9071"/>
      </w:tabs>
    </w:pPr>
    <w:r>
      <w:t>HR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5E0E0" w14:textId="77777777" w:rsidR="001C742E" w:rsidRDefault="00652F74">
      <w:pPr>
        <w:rPr>
          <w:sz w:val="12"/>
          <w:szCs w:val="12"/>
        </w:rPr>
      </w:pPr>
      <w:r>
        <w:rPr>
          <w:sz w:val="12"/>
          <w:szCs w:val="12"/>
        </w:rPr>
        <w:separator/>
      </w:r>
    </w:p>
  </w:footnote>
  <w:footnote w:type="continuationSeparator" w:id="0">
    <w:p w14:paraId="4D88FC5D" w14:textId="77777777" w:rsidR="001C742E" w:rsidRDefault="00652F74">
      <w:r>
        <w:continuationSeparator/>
      </w:r>
    </w:p>
  </w:footnote>
  <w:footnote w:type="continuationNotice" w:id="1">
    <w:p w14:paraId="73D4125B" w14:textId="77777777" w:rsidR="001C742E" w:rsidRDefault="001C74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B4BAB" w14:textId="1AF63003" w:rsidR="001C742E" w:rsidRDefault="00652F74">
    <w:pPr>
      <w:pStyle w:val="Header"/>
    </w:pPr>
    <w:r>
      <w:rPr>
        <w:noProof/>
      </w:rPr>
      <mc:AlternateContent>
        <mc:Choice Requires="wps">
          <w:drawing>
            <wp:anchor distT="0" distB="0" distL="114300" distR="114300" simplePos="0" relativeHeight="251659264" behindDoc="0" locked="0" layoutInCell="0" allowOverlap="1" wp14:anchorId="719CA240" wp14:editId="6C233486">
              <wp:simplePos x="0" y="0"/>
              <wp:positionH relativeFrom="page">
                <wp:posOffset>0</wp:posOffset>
              </wp:positionH>
              <wp:positionV relativeFrom="page">
                <wp:posOffset>190500</wp:posOffset>
              </wp:positionV>
              <wp:extent cx="7556500" cy="273050"/>
              <wp:effectExtent l="0" t="0" r="0" b="12700"/>
              <wp:wrapNone/>
              <wp:docPr id="1" name="MSIPCMcc5a457eb632dae371595206"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AEFA36C" w14:textId="78B72213" w:rsidR="00652F74" w:rsidRPr="00652F74" w:rsidRDefault="00652F74" w:rsidP="00652F74">
                          <w:pPr>
                            <w:rPr>
                              <w:rFonts w:ascii="Calibri" w:hAnsi="Calibri" w:cs="Calibri"/>
                              <w:color w:val="000000"/>
                              <w:sz w:val="24"/>
                            </w:rPr>
                          </w:pPr>
                          <w:r w:rsidRPr="00652F74">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719CA240" id="_x0000_t202" coordsize="21600,21600" o:spt="202" path="m,l,21600r21600,l21600,xe">
              <v:stroke joinstyle="miter"/>
              <v:path gradientshapeok="t" o:connecttype="rect"/>
            </v:shapetype>
            <v:shape id="MSIPCMcc5a457eb632dae371595206"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" o:allowincell="f" filled="f" stroked="f" strokeweight=".5pt">
              <v:fill o:detectmouseclick="t"/>
              <v:textbox inset="20pt,0,,0">
                <w:txbxContent>
                  <w:p w14:paraId="7AEFA36C" w14:textId="78B72213" w:rsidR="00652F74" w:rsidRPr="00652F74" w:rsidRDefault="00652F74" w:rsidP="00652F74">
                    <w:pPr>
                      <w:rPr>
                        <w:rFonts w:ascii="Calibri" w:hAnsi="Calibri" w:cs="Calibri"/>
                        <w:color w:val="000000"/>
                        <w:sz w:val="24"/>
                      </w:rPr>
                    </w:pPr>
                    <w:r w:rsidRPr="00652F74">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1C742E"/>
    <w:rsid w:val="001C742E"/>
    <w:rsid w:val="00652F7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29132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hr-HR"/>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hr-HR"/>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hr-HR" w:eastAsia="de-DE"/>
    </w:rPr>
  </w:style>
  <w:style w:type="character" w:customStyle="1" w:styleId="ListParagraphChar">
    <w:name w:val="List Paragraph Char"/>
    <w:link w:val="ListParagraph"/>
    <w:uiPriority w:val="34"/>
    <w:rPr>
      <w:rFonts w:ascii="Calibri" w:eastAsia="Calibri" w:hAnsi="Calibri" w:cs="Times New Roman"/>
      <w:sz w:val="22"/>
      <w:szCs w:val="22"/>
      <w:lang w:val="hr-HR"/>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0B05C-77BD-4C46-A35E-8BCB9436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7966</Words>
  <Characters>45411</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2021-11-25T14:57:00Z</dcterms:created>
  <dcterms:modified xsi:type="dcterms:W3CDTF">2022-01-14T16:19:00Z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2022-01-14T16:19:08Z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8f26fd03-2a9c-4f3b-b692-2f60b2f0298f</vt:lpwstr>
  </property>
  <property fmtid="{D5CDD505-2E9C-101B-9397-08002B2CF9AE}" pid="8" name="MSIP_Label_5c7eb9de-735b-4a68-8fe4-c9c62709b012_ContentBits">
    <vt:lpwstr>1</vt:lpwstr>
  </property>
</Properties>
</file>