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B9B96" w14:textId="77777777" w:rsidR="00B56C72" w:rsidRPr="000B2DBD" w:rsidRDefault="009D02FB">
      <w:pPr>
        <w:pStyle w:val="Typedudocument"/>
      </w:pPr>
      <w:r w:rsidRPr="000B2DBD">
        <w:t>Εκτελεστικός κανονισμός (ΕΕ) 2021/… της Επιτροπής</w:t>
      </w:r>
    </w:p>
    <w:p w14:paraId="208C8B35" w14:textId="77777777" w:rsidR="00B56C72" w:rsidRPr="000B2DBD" w:rsidRDefault="009D02FB">
      <w:pPr>
        <w:pStyle w:val="Datedadoption"/>
      </w:pPr>
      <w:r w:rsidRPr="000B2DBD">
        <w:t xml:space="preserve">της </w:t>
      </w:r>
      <w:r w:rsidRPr="000B2DBD">
        <w:rPr>
          <w:lang w:val="en-GB"/>
        </w:rPr>
        <w:t>6</w:t>
      </w:r>
      <w:r w:rsidRPr="000B2DBD">
        <w:t>ης</w:t>
      </w:r>
      <w:r w:rsidRPr="000B2DBD">
        <w:rPr>
          <w:lang w:val="en-GB"/>
        </w:rPr>
        <w:t xml:space="preserve"> </w:t>
      </w:r>
      <w:r w:rsidRPr="000B2DBD">
        <w:t>Δεκεμβρίου 2021</w:t>
      </w:r>
    </w:p>
    <w:p w14:paraId="4AC52F31" w14:textId="77777777" w:rsidR="00B56C72" w:rsidRPr="000B2DBD" w:rsidRDefault="009D02FB">
      <w:pPr>
        <w:pStyle w:val="Titreobjet"/>
      </w:pPr>
      <w:r w:rsidRPr="000B2DBD">
        <w:t>σχετικά με τη θέσπιση εκτελεστικών τεχνικών προτύπων για την εφαρμογή του κανονισμού (ΕΕ) 2019/2033 του Ευρωπαϊκού Κοινοβουλίου και του Συμβουλίου όσον αφορά την υποβολή εποπτικών αναφορών και τις δημοσιοποιήσεις από επιχειρήσεις επενδύσεων</w:t>
      </w:r>
    </w:p>
    <w:p w14:paraId="09B05AD2" w14:textId="77777777" w:rsidR="00B56C72" w:rsidRPr="000B2DBD" w:rsidRDefault="009D02FB">
      <w:pPr>
        <w:pStyle w:val="IntrtEEE"/>
      </w:pPr>
      <w:r w:rsidRPr="000B2DBD">
        <w:t>(Κείμενο που παρουσιάζει ενδιαφέρον για τον ΕΟΧ)</w:t>
      </w:r>
    </w:p>
    <w:p w14:paraId="4D98F2F8" w14:textId="77777777" w:rsidR="00B56C72" w:rsidRPr="000B2DBD" w:rsidRDefault="009D02FB">
      <w:pPr>
        <w:pStyle w:val="Institutionquiagit"/>
      </w:pPr>
      <w:r w:rsidRPr="000B2DBD">
        <w:t>Η ΕΥΡΩΠΑΪΚΗ ΕΠΙΤΡΟΠΗ,</w:t>
      </w:r>
    </w:p>
    <w:p w14:paraId="7FADF546" w14:textId="77777777" w:rsidR="00B56C72" w:rsidRPr="000B2DBD" w:rsidRDefault="009D02FB">
      <w:r w:rsidRPr="000B2DBD">
        <w:rPr>
          <w:color w:val="000000"/>
        </w:rPr>
        <w:t>Έχοντας υπόψη τη Συνθήκη για τη λειτουργία της Ευρωπαϊκής Ένωσης</w:t>
      </w:r>
      <w:r w:rsidRPr="000B2DBD">
        <w:t>,</w:t>
      </w:r>
    </w:p>
    <w:p w14:paraId="4FA76ED2" w14:textId="77777777" w:rsidR="00B56C72" w:rsidRPr="000B2DBD" w:rsidRDefault="009D02FB">
      <w:r w:rsidRPr="000B2DBD">
        <w:t>Έχοντας υπόψη τον κανονισμό (ΕΕ) 2019/2033 του Ευρωπαϊκού Κοινοβουλίου και του Συμβουλίου, της 27ης Νοεμβρίου 2019, σχετικά με τις απαιτήσεις προληπτικής εποπτείας επιχειρήσεων επενδύσεων και την τροποποίηση των κανονισμών (ΕΕ) αριθ. 1093/2010, (ΕΕ) αριθ. 575/2013, (ΕΕ) αριθ. 600/2014 και (ΕΕ) αριθ. 806/2014 </w:t>
      </w:r>
      <w:r w:rsidRPr="000B2DBD">
        <w:rPr>
          <w:rStyle w:val="FootnoteReference"/>
        </w:rPr>
        <w:footnoteReference w:id="1"/>
      </w:r>
      <w:r w:rsidRPr="000B2DBD">
        <w:t>, και ιδίως το άρθρο 49 παράγραφος 2 και το άρθρο 54 παράγραφος 3,</w:t>
      </w:r>
    </w:p>
    <w:p w14:paraId="655359CF" w14:textId="77777777" w:rsidR="00B56C72" w:rsidRPr="000B2DBD" w:rsidRDefault="009D02FB">
      <w:r w:rsidRPr="000B2DBD">
        <w:t>Εκτιμώντας τα ακόλουθα:</w:t>
      </w:r>
    </w:p>
    <w:p w14:paraId="49A94D24" w14:textId="77777777" w:rsidR="00B56C72" w:rsidRPr="000B2DBD" w:rsidRDefault="009D02FB">
      <w:pPr>
        <w:pStyle w:val="Considrant"/>
        <w:numPr>
          <w:ilvl w:val="0"/>
          <w:numId w:val="0"/>
        </w:numPr>
        <w:tabs>
          <w:tab w:val="left" w:pos="709"/>
        </w:tabs>
        <w:ind w:left="709" w:hanging="709"/>
      </w:pPr>
      <w:r w:rsidRPr="000B2DBD">
        <w:t>(1)</w:t>
      </w:r>
      <w:r w:rsidRPr="000B2DBD">
        <w:tab/>
        <w:t>Οι απαιτήσεις υποβολής αναφορών για τις επιχειρήσεις επενδύσεων που προβλέπονται στο άρθρο 54 του κανονισμού (ΕΕ) 2019/2033 θα πρέπει να προσαρμόζονται στις δραστηριότητες των επιχειρήσεων επενδύσεων και να είναι αναλογικές προς την κλίμακα και την πολυπλοκότητα των διαφόρων επιχειρήσεων επενδύσεων. Οι εν λόγω απαιτήσεις θα πρέπει να λαμβάνουν ιδιαιτέρως υπόψη ότι ορισμένες επιχειρήσεις επενδύσεων θα πρέπει να θεωρούνται μικρές και μη διασυνδεδεμένες σύμφωνα με τις προϋποθέσεις που ορίζονται στο άρθρο 12 του κανονισμού (ΕΕ) 2019/2033.</w:t>
      </w:r>
    </w:p>
    <w:p w14:paraId="7F0129FA" w14:textId="77777777" w:rsidR="00B56C72" w:rsidRPr="000B2DBD" w:rsidRDefault="009D02FB">
      <w:pPr>
        <w:pStyle w:val="Considrant"/>
        <w:numPr>
          <w:ilvl w:val="0"/>
          <w:numId w:val="0"/>
        </w:numPr>
        <w:tabs>
          <w:tab w:val="left" w:pos="709"/>
        </w:tabs>
        <w:ind w:left="709" w:hanging="709"/>
      </w:pPr>
      <w:r w:rsidRPr="000B2DBD">
        <w:t>(2)</w:t>
      </w:r>
      <w:r w:rsidRPr="000B2DBD">
        <w:tab/>
        <w:t xml:space="preserve">Σύμφωνα με το άρθρο 54 παράγραφος 1 του κανονισμού (ΕΕ) 2019/2033, οι μικρές και μη διασυνδεδεμένες επιχειρήσεις επενδύσεων υποβάλλουν πληροφορίες σχετικά με το ύψος και τη σύνθεση των ιδίων κεφαλαίων τους, τις απαιτήσεις ιδίων κεφαλαίων τους, τη βάση για τον υπολογισμό των απαιτήσεων ιδίων κεφαλαίων τους και το επίπεδο δραστηριότητας σχετικά με τις προϋποθέσεις που ορίζονται στο άρθρο 12 παράγραφος 1 του κανονισμού (ΕΕ) 2019/2033. Κατά συνέπεια, οι μικρές και μη διασυνδεδεμένες επιχειρήσεις δεν υποχρεούνται να αναφέρουν τον ίδιο βαθμό λεπτομέρειας με άλλες επιχειρήσεις επενδύσεων που υπόκεινται στον κανονισμό (ΕΕ) 2019/2033. Ως εκ τούτου, τα υποδείγματα υποβολής αναφορών για τον υπολογισμό του παράγοντα Κ δεν θα πρέπει να εφαρμόζονται σε μικρές και μη διασυνδεδεμένες επιχειρήσεις. Επιπλέον, σύμφωνα με το άρθρο 54 παράγραφος 2 τρίτο εδάφιο του κανονισμού (ΕΕ) 2019/2033, </w:t>
      </w:r>
      <w:bookmarkStart w:id="0" w:name="_DV_C108"/>
      <w:r w:rsidRPr="000B2DBD">
        <w:t>οι μικρές και μη διασυνδεδεμένες επιχειρήσεις εξαιρούνται από την υποβολή αναφορών σχετικά με τον κίνδυνο συγκέντρωσης και οι αρμόδιες αρχές μπορούν να εξαιρούν τις μικρές και μη διασυνδεδεμένες επιχειρήσεις από την υποχρέωση υποβολής αναφορών σχετικά με τις απαιτήσεις ρευστότητας</w:t>
      </w:r>
      <w:bookmarkStart w:id="1" w:name="_DV_M108"/>
      <w:bookmarkEnd w:id="0"/>
      <w:bookmarkEnd w:id="1"/>
      <w:r w:rsidRPr="000B2DBD">
        <w:t>.</w:t>
      </w:r>
    </w:p>
    <w:p w14:paraId="6AB45C18" w14:textId="77777777" w:rsidR="00B56C72" w:rsidRPr="000B2DBD" w:rsidRDefault="009D02FB">
      <w:pPr>
        <w:pStyle w:val="Considrant"/>
        <w:numPr>
          <w:ilvl w:val="0"/>
          <w:numId w:val="0"/>
        </w:numPr>
        <w:tabs>
          <w:tab w:val="left" w:pos="709"/>
        </w:tabs>
        <w:ind w:left="709" w:hanging="709"/>
      </w:pPr>
      <w:r w:rsidRPr="000B2DBD">
        <w:t>(3)</w:t>
      </w:r>
      <w:r w:rsidRPr="000B2DBD">
        <w:tab/>
        <w:t xml:space="preserve">Όλες οι επιχειρήσεις επενδύσεων που υπόκεινται στον κανονισμό (ΕΕ) 2019/2033 θα πρέπει να αναφέρουν το προφίλ δραστηριότητας και το μέγεθός τους, ώστε οι </w:t>
      </w:r>
      <w:r w:rsidRPr="000B2DBD">
        <w:lastRenderedPageBreak/>
        <w:t>αρμόδιες αρχές να μπορούν να αξιολογούν αν οι εν λόγω επιχειρήσεις επενδύσεων πληρούν τις προϋποθέσεις που ορίζονται στο άρθρο 12 του κανονισμού (ΕΕ) 2019/2033 για να ταξινομούνται ως μικρές και μη διασυνδεδεμένες επιχειρήσεις επενδύσεων.</w:t>
      </w:r>
    </w:p>
    <w:p w14:paraId="243E03B9" w14:textId="77777777" w:rsidR="00B56C72" w:rsidRPr="000B2DBD" w:rsidRDefault="009D02FB">
      <w:pPr>
        <w:pStyle w:val="Considrant"/>
        <w:numPr>
          <w:ilvl w:val="0"/>
          <w:numId w:val="0"/>
        </w:numPr>
        <w:tabs>
          <w:tab w:val="left" w:pos="709"/>
        </w:tabs>
        <w:ind w:left="709" w:hanging="709"/>
      </w:pPr>
      <w:r w:rsidRPr="000B2DBD">
        <w:t>(4)</w:t>
      </w:r>
      <w:r w:rsidRPr="000B2DBD">
        <w:tab/>
        <w:t>Προκειμένου να παρέχεται διαφάνεια στους επενδυτές τους και στις ευρύτερες αγορές, το άρθρο 46 του κανονισμού (ΕΕ) 2019/2033 επιβάλλει στις επιχειρήσεις επενδύσεων, πλην των μικρών και μη διασυνδεδεμένων επιχειρήσεων επενδύσεων, να δημοσιοποιούν τις πληροφορίες που προσδιορίζονται στο έκτο μέρος του εν λόγω κανονισμού. Οι μικρές και μη διασυνδεδεμένες επιχειρήσεις επενδύσεων δεν υπόκεινται στις εν λόγω απαιτήσεις δημοσιοποίησης, εκτός εάν εκδίδουν πρόσθετα μέσα της κατηγορίας 1 με σκοπό την παροχή διαφάνειας σε όσους επενδύουν σε αυτά τα μέσα.</w:t>
      </w:r>
    </w:p>
    <w:p w14:paraId="7A21A579" w14:textId="77777777" w:rsidR="00B56C72" w:rsidRPr="000B2DBD" w:rsidRDefault="009D02FB">
      <w:pPr>
        <w:pStyle w:val="Considrant"/>
        <w:numPr>
          <w:ilvl w:val="0"/>
          <w:numId w:val="0"/>
        </w:numPr>
        <w:tabs>
          <w:tab w:val="left" w:pos="709"/>
        </w:tabs>
        <w:ind w:left="709" w:hanging="709"/>
      </w:pPr>
      <w:r w:rsidRPr="000B2DBD">
        <w:t>(5)</w:t>
      </w:r>
      <w:r w:rsidRPr="000B2DBD">
        <w:tab/>
        <w:t>Ο παρών κανονισμός θα πρέπει να παρέχει στις επιχειρήσεις επενδύσεων υποδείγματα και πίνακες για τη μεταφορά επαρκώς ολοκληρωμένων και συγκρίσιμων πληροφοριών σχετικά με τη σύνθεση και την ποιότητα των ιδίων κεφαλαίων τους. Πιο συγκεκριμένα, είναι αναγκαίο να θεσπιστεί ένα υπόδειγμα ποσοτικών δημοσιοποιήσεων για τη σύνθεση των ιδίων κεφαλαίων και ένα ευέλικτο υπόδειγμα για τη συμφωνία των κανονιστικών ιδίων κεφαλαίων με τις ελεγμένες οικονομικές καταστάσεις. Για τον ίδιο λόγο, είναι επίσης αναγκαίο να καθοριστεί ένα υπόδειγμα με πληροφορίες σχετικά με τα πλέον συναφή χαρακτηριστικά των μέσων ιδίων κεφαλαίων που εκδίδει η επιχείρηση επενδύσεων.</w:t>
      </w:r>
    </w:p>
    <w:p w14:paraId="77D607EB" w14:textId="77777777" w:rsidR="00B56C72" w:rsidRPr="000B2DBD" w:rsidRDefault="009D02FB">
      <w:pPr>
        <w:pStyle w:val="Considrant"/>
        <w:numPr>
          <w:ilvl w:val="0"/>
          <w:numId w:val="0"/>
        </w:numPr>
        <w:tabs>
          <w:tab w:val="left" w:pos="709"/>
        </w:tabs>
        <w:ind w:left="709" w:hanging="709"/>
      </w:pPr>
      <w:r w:rsidRPr="000B2DBD">
        <w:t>(6)</w:t>
      </w:r>
      <w:r w:rsidRPr="000B2DBD">
        <w:tab/>
      </w:r>
      <w:r w:rsidRPr="000B2DBD">
        <w:rPr>
          <w:color w:val="000000"/>
        </w:rPr>
        <w:t>Προκειμένου να διευκολυνθεί η εφαρμογή των απαιτήσεων υποβολής αναφορών και δημοσιοποιήσεων, είναι αναγκαίο να ενισχυθεί η συνοχή μεταξύ των υποδειγμάτων υποβολής αναφορών και δημοσιοποιήσεων. Το υπόδειγμα για τη δημοσιοποίηση της σύνθεσης των ιδίων κεφαλαίων θα πρέπει, επομένως, να εναρμονίζεται στενά με το σχετικό υπόδειγμα υποβολής αναφορών σχετικά με το ύψος και τη σύνθεση των ιδίων κεφαλαίων. Για τον ίδιο λόγο, το υπόδειγμα για τη δημοσιοποίηση της πλήρους συμφωνίας των ιδίων κεφαλαίων με τις ελεγμένες οικονομικές καταστάσεις θα πρέπει να είναι ευέλικτο· η ανάλυση του υποδείγματος θα πρέπει να βασίζεται στην ανάλυση του ισολογισμού στις ελεγμένες οικονομικές καταστάσεις της επιχείρησης επενδύσεων. Επιπλέον, το υπόδειγμα για τη δημοσιοποίηση πληροφοριών σχετικά με τα κύρια χαρακτηριστικά των κανονιστικών ιδίων κεφαλαίων θα πρέπει να είναι ένα σταθερό υπόδειγμα και η πολυπλοκότητά του θα πρέπει να εξαρτάται από την πολυπλοκότητα των μέσων ιδίων κεφαλαίων.</w:t>
      </w:r>
    </w:p>
    <w:p w14:paraId="7466B169" w14:textId="3EB08037" w:rsidR="00B56C72" w:rsidRPr="000B2DBD" w:rsidRDefault="009D02FB" w:rsidP="000B2DBD">
      <w:pPr>
        <w:pStyle w:val="Considrant"/>
        <w:numPr>
          <w:ilvl w:val="0"/>
          <w:numId w:val="0"/>
        </w:numPr>
        <w:tabs>
          <w:tab w:val="left" w:pos="709"/>
        </w:tabs>
        <w:ind w:left="709" w:hanging="709"/>
      </w:pPr>
      <w:r w:rsidRPr="000B2DBD">
        <w:t>(7)</w:t>
      </w:r>
      <w:r w:rsidRPr="000B2DBD">
        <w:tab/>
        <w:t>Για να διασφαλιστεί ότι δεν θα αυξηθεί αδικαιολόγητα το κόστος συμμόρφωσης για τις επιχειρήσεις επενδύσεων και ότι θα διατηρηθεί η ποιότητα των δεδομένων, οι υποχρεώσεις υποβολής αναφορών και δημοσιοποίησης θα πρέπει να εναρμονιστούν μεταξύ τους στον μέγιστο δυνατό βαθμό ως προς την ουσία τους. Ως εκ τούτου, είναι σκόπιμο να καθοριστούν, σε ενιαίο κανονισμό, τα πρότυπα που θα εφαρμόζονται για τις απαιτήσεις υποβολής αναφορών και δημοσιοποιήσεων.</w:t>
      </w:r>
    </w:p>
    <w:p w14:paraId="22B0EEC0" w14:textId="1C484E76" w:rsidR="00B56C72" w:rsidRPr="000B2DBD" w:rsidRDefault="009D02FB">
      <w:pPr>
        <w:pStyle w:val="Considrant"/>
        <w:numPr>
          <w:ilvl w:val="0"/>
          <w:numId w:val="0"/>
        </w:numPr>
        <w:tabs>
          <w:tab w:val="left" w:pos="709"/>
        </w:tabs>
        <w:ind w:left="709" w:hanging="709"/>
      </w:pPr>
      <w:r w:rsidRPr="000B2DBD">
        <w:t>(</w:t>
      </w:r>
      <w:r w:rsidR="000B2DBD" w:rsidRPr="000B2DBD">
        <w:t>8</w:t>
      </w:r>
      <w:r w:rsidRPr="000B2DBD">
        <w:t>)</w:t>
      </w:r>
      <w:r w:rsidRPr="000B2DBD">
        <w:tab/>
        <w:t>Ο παρών κανονισμός βασίζεται στα σχέδια εκτελεστικών τεχνικών προτύπων που υπέβαλε στην Επιτροπή η Ευρωπαϊκή Αρχή Τραπεζών (ΕΑΤ) μετά από διαβούλευση με την Ευρωπαϊκή Αρχή Κινητών Αξιών και Αγορών.</w:t>
      </w:r>
    </w:p>
    <w:p w14:paraId="78C3FAE9" w14:textId="751B2158" w:rsidR="00B56C72" w:rsidRPr="000B2DBD" w:rsidRDefault="009D02FB">
      <w:pPr>
        <w:pStyle w:val="Considrant"/>
        <w:numPr>
          <w:ilvl w:val="0"/>
          <w:numId w:val="0"/>
        </w:numPr>
        <w:tabs>
          <w:tab w:val="left" w:pos="709"/>
        </w:tabs>
        <w:ind w:left="709" w:hanging="709"/>
      </w:pPr>
      <w:r w:rsidRPr="000B2DBD">
        <w:t>(</w:t>
      </w:r>
      <w:r w:rsidR="000B2DBD" w:rsidRPr="000B2DBD">
        <w:t>9</w:t>
      </w:r>
      <w:r w:rsidRPr="000B2DBD">
        <w:t>)</w:t>
      </w:r>
      <w:r w:rsidRPr="000B2DBD">
        <w:tab/>
        <w:t xml:space="preserve">Η ΕΑΤ διενήργησε ανοικτές δημόσιες διαβουλεύσεις σχετικά με τα σχέδια εκτελεστικών τεχνικών προτύπων στα οποία βασίζεται ο παρών κανονισμός, ανέλυσε τα ενδεχόμενα συναφή κόστη και οφέλη και ζήτησε τις συμβουλές της ομάδας τραπεζικών συμφεροντούχων που έχει συσταθεί σύμφωνα με το άρθρο 37 του </w:t>
      </w:r>
      <w:r w:rsidRPr="000B2DBD">
        <w:lastRenderedPageBreak/>
        <w:t>κανονισμού (ΕΕ) αριθ. 1093/2010 του Ευρωπαϊκού Κοινοβουλίου και του Συμβουλίου </w:t>
      </w:r>
      <w:r w:rsidRPr="000B2DBD">
        <w:rPr>
          <w:rStyle w:val="FootnoteReference"/>
        </w:rPr>
        <w:footnoteReference w:id="2"/>
      </w:r>
      <w:r w:rsidRPr="000B2DBD">
        <w:t>,</w:t>
      </w:r>
    </w:p>
    <w:p w14:paraId="117DC192" w14:textId="77777777" w:rsidR="00B56C72" w:rsidRPr="000B2DBD" w:rsidRDefault="009D02FB">
      <w:pPr>
        <w:pStyle w:val="Formuledadoption"/>
      </w:pPr>
      <w:r w:rsidRPr="000B2DBD">
        <w:t>ΕΞΕΔΩΣΕ ΤΟΝ ΠΑΡΟΝΤΑ ΚΑΝΟΝΙΣΜΟ:</w:t>
      </w:r>
    </w:p>
    <w:p w14:paraId="2077BA82" w14:textId="77777777" w:rsidR="00B56C72" w:rsidRPr="000B2DBD" w:rsidRDefault="009D02FB">
      <w:pPr>
        <w:pStyle w:val="ChapterTitle"/>
        <w:rPr>
          <w:b w:val="0"/>
        </w:rPr>
      </w:pPr>
      <w:r w:rsidRPr="000B2DBD">
        <w:rPr>
          <w:b w:val="0"/>
        </w:rPr>
        <w:t>ΚΕΦΑΛΑΙΟ I</w:t>
      </w:r>
    </w:p>
    <w:p w14:paraId="2C3AD71B" w14:textId="77777777" w:rsidR="00B56C72" w:rsidRPr="000B2DBD" w:rsidRDefault="009D02FB">
      <w:pPr>
        <w:pStyle w:val="ChapterTitle"/>
      </w:pPr>
      <w:r w:rsidRPr="000B2DBD">
        <w:t>ΥΠΟΒΟΛΗ ΕΠΟΠΤΙΚΩΝ ΑΝΑΦΟΡΩΝ</w:t>
      </w:r>
    </w:p>
    <w:p w14:paraId="685B0464" w14:textId="77777777" w:rsidR="00B56C72" w:rsidRPr="000B2DBD" w:rsidRDefault="009D02FB">
      <w:pPr>
        <w:pStyle w:val="Titrearticle"/>
      </w:pPr>
      <w:r w:rsidRPr="000B2DBD">
        <w:t>Άρθρο 1</w:t>
      </w:r>
    </w:p>
    <w:p w14:paraId="06C46B84" w14:textId="77777777" w:rsidR="00B56C72" w:rsidRPr="000B2DBD" w:rsidRDefault="009D02FB">
      <w:pPr>
        <w:pStyle w:val="Titrearticle"/>
        <w:spacing w:before="120"/>
        <w:rPr>
          <w:b/>
          <w:i w:val="0"/>
        </w:rPr>
      </w:pPr>
      <w:r w:rsidRPr="000B2DBD">
        <w:rPr>
          <w:b/>
          <w:i w:val="0"/>
        </w:rPr>
        <w:t>Ημερομηνίες αναφοράς για την υποβολή αναφορών</w:t>
      </w:r>
    </w:p>
    <w:p w14:paraId="385D4BBE" w14:textId="77777777" w:rsidR="00B56C72" w:rsidRPr="000B2DBD" w:rsidRDefault="009D02FB">
      <w:pPr>
        <w:pStyle w:val="NumPar1"/>
        <w:numPr>
          <w:ilvl w:val="0"/>
          <w:numId w:val="0"/>
        </w:numPr>
        <w:tabs>
          <w:tab w:val="left" w:pos="567"/>
        </w:tabs>
      </w:pPr>
      <w:r w:rsidRPr="000B2DBD">
        <w:t>1.</w:t>
      </w:r>
      <w:r w:rsidRPr="000B2DBD">
        <w:tab/>
        <w:t>Οι πληροφορίες που αναφέρονται στο άρθρο 54 παράγραφος 1 του κανονισμού αναφέρονται ως έχουν οι εν λόγω πληροφορίες κατά τις ακόλουθες ημερομηνίες αναφοράς για την υποβολή αναφορών:</w:t>
      </w:r>
    </w:p>
    <w:p w14:paraId="6E2F98FA" w14:textId="77777777" w:rsidR="00B56C72" w:rsidRPr="000B2DBD" w:rsidRDefault="009D02FB">
      <w:pPr>
        <w:pStyle w:val="Point1"/>
      </w:pPr>
      <w:r w:rsidRPr="000B2DBD">
        <w:t>α)</w:t>
      </w:r>
      <w:r w:rsidRPr="000B2DBD">
        <w:tab/>
        <w:t>τριμηνιαίες αναφορές: στις 31 Μαρτίου, στις 30 Ιουνίου, στις 30 Σεπτεμβρίου και στις 31 Δεκεμβρίου·</w:t>
      </w:r>
    </w:p>
    <w:p w14:paraId="330CB0AC" w14:textId="77777777" w:rsidR="00B56C72" w:rsidRPr="000B2DBD" w:rsidRDefault="009D02FB">
      <w:pPr>
        <w:pStyle w:val="Point1"/>
      </w:pPr>
      <w:r w:rsidRPr="000B2DBD">
        <w:t>β)</w:t>
      </w:r>
      <w:r w:rsidRPr="000B2DBD">
        <w:tab/>
        <w:t>ετήσιες αναφορές: στις 31 Δεκεμβρίου.</w:t>
      </w:r>
    </w:p>
    <w:p w14:paraId="08E28816" w14:textId="77777777" w:rsidR="00B56C72" w:rsidRPr="000B2DBD" w:rsidRDefault="009D02FB">
      <w:pPr>
        <w:pStyle w:val="NumPar1"/>
        <w:numPr>
          <w:ilvl w:val="0"/>
          <w:numId w:val="0"/>
        </w:numPr>
        <w:tabs>
          <w:tab w:val="left" w:pos="567"/>
        </w:tabs>
      </w:pPr>
      <w:r w:rsidRPr="000B2DBD">
        <w:t>2.</w:t>
      </w:r>
      <w:r w:rsidRPr="000B2DBD">
        <w:tab/>
        <w:t>Οι ημερομηνίες αναφοράς για την υποβολή αναφορών της παραγράφου 1 μπορούν να προσαρμόζονται όταν το εθνικό δίκαιο επιτρέπει στις επιχειρήσεις επενδύσεων να αναφέρουν τις χρηματοοικονομικές πληροφορίες τους με βάση το τέλος της αντίστοιχης λογιστικής χρήσης, το οποίο αποκλίνει από το ημερολογιακό έτος, έτσι ώστε οι τριμηνιαίες αναφορές πληροφοριών να πραγματοποιούνται κάθε τρεις μήνες της αντίστοιχης λογιστικής χρήσης και η ετήσια υποβολή αναφορών στο τέλος της λογιστικής χρήσης.</w:t>
      </w:r>
    </w:p>
    <w:p w14:paraId="758B600C" w14:textId="77777777" w:rsidR="00B56C72" w:rsidRPr="000B2DBD" w:rsidRDefault="009D02FB">
      <w:pPr>
        <w:pStyle w:val="Titrearticle"/>
      </w:pPr>
      <w:r w:rsidRPr="000B2DBD">
        <w:t>Άρθρο 2</w:t>
      </w:r>
    </w:p>
    <w:p w14:paraId="7EF0A511" w14:textId="77777777" w:rsidR="00B56C72" w:rsidRPr="000B2DBD" w:rsidRDefault="009D02FB">
      <w:pPr>
        <w:pStyle w:val="Titrearticle"/>
        <w:spacing w:before="120"/>
        <w:rPr>
          <w:b/>
          <w:i w:val="0"/>
        </w:rPr>
      </w:pPr>
      <w:r w:rsidRPr="000B2DBD">
        <w:rPr>
          <w:b/>
          <w:i w:val="0"/>
        </w:rPr>
        <w:t>Ημερομηνίες αποστολής για την υποβολή αναφορών</w:t>
      </w:r>
    </w:p>
    <w:p w14:paraId="70F96EFD" w14:textId="77777777" w:rsidR="00B56C72" w:rsidRPr="000B2DBD" w:rsidRDefault="009D02FB">
      <w:pPr>
        <w:pStyle w:val="NumPar1"/>
        <w:numPr>
          <w:ilvl w:val="0"/>
          <w:numId w:val="0"/>
        </w:numPr>
        <w:tabs>
          <w:tab w:val="left" w:pos="567"/>
        </w:tabs>
      </w:pPr>
      <w:r w:rsidRPr="000B2DBD">
        <w:t>1.</w:t>
      </w:r>
      <w:r w:rsidRPr="000B2DBD">
        <w:tab/>
        <w:t>Οι πληροφορίες που αναφέρονται στο άρθρο 54 παράγραφος 1 του κανονισμού (ΕΕ) 2019/2033 υποβάλλονται έως το πέρας των εργασιών των ακόλουθων ημερομηνιών αποστολής:</w:t>
      </w:r>
    </w:p>
    <w:p w14:paraId="2C23DCD1" w14:textId="77777777" w:rsidR="00B56C72" w:rsidRPr="000B2DBD" w:rsidRDefault="009D02FB">
      <w:pPr>
        <w:pStyle w:val="Point1"/>
      </w:pPr>
      <w:r w:rsidRPr="000B2DBD">
        <w:t>α)</w:t>
      </w:r>
      <w:r w:rsidRPr="000B2DBD">
        <w:tab/>
        <w:t>τριμηνιαίες αναφορές: στις 12 Μαΐου, στις 11 Αυγούστου, στις 11 Νοεμβρίου και στις 11 Φεβρουαρίου·</w:t>
      </w:r>
    </w:p>
    <w:p w14:paraId="76DB0FF8" w14:textId="77777777" w:rsidR="00B56C72" w:rsidRPr="000B2DBD" w:rsidRDefault="009D02FB">
      <w:pPr>
        <w:pStyle w:val="Point1"/>
      </w:pPr>
      <w:r w:rsidRPr="000B2DBD">
        <w:t>β)</w:t>
      </w:r>
      <w:r w:rsidRPr="000B2DBD">
        <w:tab/>
        <w:t>ετήσιες αναφορές: στις 11 Φεβρουαρίου.</w:t>
      </w:r>
    </w:p>
    <w:p w14:paraId="4D009953" w14:textId="77777777" w:rsidR="00B56C72" w:rsidRPr="000B2DBD" w:rsidRDefault="009D02FB">
      <w:pPr>
        <w:pStyle w:val="NumPar1"/>
        <w:numPr>
          <w:ilvl w:val="0"/>
          <w:numId w:val="0"/>
        </w:numPr>
        <w:tabs>
          <w:tab w:val="left" w:pos="567"/>
        </w:tabs>
      </w:pPr>
      <w:r w:rsidRPr="000B2DBD">
        <w:t>2.</w:t>
      </w:r>
      <w:r w:rsidRPr="000B2DBD">
        <w:tab/>
        <w:t>Όταν η ημερομηνία αποστολής της αναφοράς συμπίπτει με δημόσια αργία στο κράτος μέλος της αρμόδιας αρχής στην οποία υποβάλλεται η αναφορά, ή συμπίπτει με Σάββατο ή Κυριακή, τότε η ημερομηνία αποστολής της αναφοράς είναι η επόμενη εργάσιμη ημέρα.</w:t>
      </w:r>
    </w:p>
    <w:p w14:paraId="2B06E549" w14:textId="77777777" w:rsidR="00B56C72" w:rsidRPr="000B2DBD" w:rsidRDefault="009D02FB">
      <w:pPr>
        <w:pStyle w:val="NumPar1"/>
        <w:numPr>
          <w:ilvl w:val="0"/>
          <w:numId w:val="0"/>
        </w:numPr>
        <w:tabs>
          <w:tab w:val="left" w:pos="567"/>
        </w:tabs>
      </w:pPr>
      <w:r w:rsidRPr="000B2DBD">
        <w:t>3.</w:t>
      </w:r>
      <w:r w:rsidRPr="000B2DBD">
        <w:tab/>
        <w:t>Εάν οι επιχειρήσεις επενδύσεων αναφέρουν τις χρηματοοικονομικές πληροφορίες τους χρησιμοποιώντας προσαρμοσμένες ημερομηνίες υποβολής αναφορών με βάση το τέλος της λογιστικής τους χρήσης, όπως ορίζεται στο άρθρο 1 παράγραφος 2 του παρόντος κανονισμού, οι ημερομηνίες αποστολής μπορούν να προσαρμόζονται ανάλογα, ώστε να διατηρείται η ίδια περίοδος αποστολής από την προσαρμοσμένη ημερομηνία αναφοράς για την υποβολή αναφορών.</w:t>
      </w:r>
    </w:p>
    <w:p w14:paraId="4296FD15" w14:textId="77777777" w:rsidR="00B56C72" w:rsidRPr="000B2DBD" w:rsidRDefault="009D02FB">
      <w:pPr>
        <w:pStyle w:val="NumPar1"/>
        <w:numPr>
          <w:ilvl w:val="0"/>
          <w:numId w:val="0"/>
        </w:numPr>
        <w:tabs>
          <w:tab w:val="left" w:pos="567"/>
        </w:tabs>
      </w:pPr>
      <w:r w:rsidRPr="000B2DBD">
        <w:lastRenderedPageBreak/>
        <w:t>4.</w:t>
      </w:r>
      <w:r w:rsidRPr="000B2DBD">
        <w:tab/>
        <w:t>Οι επιχειρήσεις επενδύσεων μπορούν να υποβάλλουν μη ελεγχθέντα στοιχεία. Σε περίπτωση που τα ελεγχθέντα στοιχεία αποκλίνουν από τα υποβληθέντα μη ελεγχθέντα στοιχεία, τότε τα αναθεωρημένα, ελεγχθέντα στοιχεία υποβάλλονται χωρίς αδικαιολόγητη καθυστέρηση. Για τους σκοπούς του παρόντος άρθρου, ως «μη ελεγχθέντα στοιχεία» νοούνται τα στοιχεία για τα οποία δεν έχει εξασφαλιστεί σχετικό πόρισμα από εξωτερικό ελεγκτή, ενώ τα ελεγχθέντα στοιχεία είναι στοιχεία που έχουν ελεγχθεί από εξωτερικό ελεγκτή, ο οποίος και διατύπωσε σχετικό πόρισμα ελέγχου.</w:t>
      </w:r>
    </w:p>
    <w:p w14:paraId="3577E71F" w14:textId="77777777" w:rsidR="00B56C72" w:rsidRPr="000B2DBD" w:rsidRDefault="009D02FB">
      <w:pPr>
        <w:pStyle w:val="NumPar1"/>
        <w:numPr>
          <w:ilvl w:val="0"/>
          <w:numId w:val="0"/>
        </w:numPr>
        <w:tabs>
          <w:tab w:val="left" w:pos="567"/>
        </w:tabs>
      </w:pPr>
      <w:r w:rsidRPr="000B2DBD">
        <w:t>5.</w:t>
      </w:r>
      <w:r w:rsidRPr="000B2DBD">
        <w:tab/>
        <w:t>Διορθώσεις επί των υποβληθεισών αναφορών υποβάλλονται στις αρμόδιες αρχές χωρίς αδικαιολόγητη καθυστέρηση.</w:t>
      </w:r>
    </w:p>
    <w:p w14:paraId="53EA5798" w14:textId="77777777" w:rsidR="00B56C72" w:rsidRPr="000B2DBD" w:rsidRDefault="009D02FB">
      <w:pPr>
        <w:pStyle w:val="Titrearticle"/>
      </w:pPr>
      <w:r w:rsidRPr="000B2DBD">
        <w:t>Άρθρο 3</w:t>
      </w:r>
    </w:p>
    <w:p w14:paraId="602F390F" w14:textId="77777777" w:rsidR="00B56C72" w:rsidRPr="000B2DBD" w:rsidRDefault="009D02FB">
      <w:pPr>
        <w:pStyle w:val="Titrearticle"/>
        <w:spacing w:before="120"/>
        <w:rPr>
          <w:b/>
          <w:i w:val="0"/>
        </w:rPr>
      </w:pPr>
      <w:r w:rsidRPr="000B2DBD">
        <w:rPr>
          <w:b/>
          <w:i w:val="0"/>
        </w:rPr>
        <w:t>Εφαρμογή των απαιτήσεων υποβολής αναφορών σε ατομική βάση</w:t>
      </w:r>
    </w:p>
    <w:p w14:paraId="0EACE24C" w14:textId="77777777" w:rsidR="00B56C72" w:rsidRPr="000B2DBD" w:rsidRDefault="009D02FB">
      <w:r w:rsidRPr="000B2DBD">
        <w:t>Προκειμένου να συμμορφώνονται με τις απαιτήσεις υποβολής αναφορών του άρθρου 54 του κανονισμού (ΕΕ) 2019/2033 σε ατομική βάση, οι επιχειρήσεις επενδύσεων αναφέρουν τις πληροφορίες που ορίζονται στα άρθρα 5, 6 και 7 του παρόντος κανονισμού με τη συχνότητα που ορίζεται σε αυτά.</w:t>
      </w:r>
    </w:p>
    <w:p w14:paraId="19723C07" w14:textId="77777777" w:rsidR="00B56C72" w:rsidRPr="000B2DBD" w:rsidRDefault="009D02FB">
      <w:pPr>
        <w:pStyle w:val="Titrearticle"/>
      </w:pPr>
      <w:r w:rsidRPr="000B2DBD">
        <w:t>Άρθρο 4</w:t>
      </w:r>
    </w:p>
    <w:p w14:paraId="4E7597C8" w14:textId="77777777" w:rsidR="00B56C72" w:rsidRPr="000B2DBD" w:rsidRDefault="009D02FB">
      <w:pPr>
        <w:pStyle w:val="Titrearticle"/>
        <w:spacing w:before="120"/>
        <w:rPr>
          <w:b/>
          <w:i w:val="0"/>
        </w:rPr>
      </w:pPr>
      <w:r w:rsidRPr="000B2DBD">
        <w:rPr>
          <w:b/>
          <w:i w:val="0"/>
        </w:rPr>
        <w:t>Εφαρμογή των απαιτήσεων υποβολής αναφορών σε ενοποιημένη βάση</w:t>
      </w:r>
    </w:p>
    <w:p w14:paraId="104CB930" w14:textId="77777777" w:rsidR="00B56C72" w:rsidRPr="000B2DBD" w:rsidRDefault="009D02FB">
      <w:pPr>
        <w:rPr>
          <w:i/>
        </w:rPr>
      </w:pPr>
      <w:r w:rsidRPr="000B2DBD">
        <w:t>Προκειμένου να συμμορφώνονται με τις απαιτήσεις υποβολής αναφορών του άρθρου 54 του κανονισμού (ΕΕ) 2019/2033 σε ενοποιημένη βάση, οι επιχειρήσεις επενδύσεων αναφέρουν τις πληροφορίες που ορίζονται στα άρθρα 5 και 6 του παρόντος εκτελεστικού κανονισμού με τη συχνότητα που ορίζεται σε αυτά.</w:t>
      </w:r>
    </w:p>
    <w:p w14:paraId="6A691EA2" w14:textId="77777777" w:rsidR="00B56C72" w:rsidRPr="000B2DBD" w:rsidRDefault="009D02FB">
      <w:pPr>
        <w:pStyle w:val="Titrearticle"/>
      </w:pPr>
      <w:r w:rsidRPr="000B2DBD">
        <w:t>Άρθρο 5</w:t>
      </w:r>
    </w:p>
    <w:p w14:paraId="5DC90F88" w14:textId="77777777" w:rsidR="00B56C72" w:rsidRPr="000B2DBD" w:rsidRDefault="009D02FB">
      <w:pPr>
        <w:pStyle w:val="Titrearticle"/>
        <w:spacing w:before="120"/>
        <w:rPr>
          <w:b/>
          <w:i w:val="0"/>
        </w:rPr>
      </w:pPr>
      <w:r w:rsidRPr="000B2DBD">
        <w:rPr>
          <w:b/>
          <w:i w:val="0"/>
        </w:rPr>
        <w:t>Μορφότυπος και συχνότητα υποβολής αναφορών από επιχειρήσεις επενδύσεων πλην των μικρών και μη διασυνδεδεμένων επιχειρήσεων επενδύσεων</w:t>
      </w:r>
    </w:p>
    <w:p w14:paraId="0565B6B7" w14:textId="77777777" w:rsidR="00B56C72" w:rsidRPr="000B2DBD" w:rsidRDefault="009D02FB">
      <w:pPr>
        <w:pStyle w:val="NumPar1"/>
        <w:numPr>
          <w:ilvl w:val="0"/>
          <w:numId w:val="0"/>
        </w:numPr>
        <w:tabs>
          <w:tab w:val="left" w:pos="567"/>
        </w:tabs>
      </w:pPr>
      <w:r w:rsidRPr="000B2DBD">
        <w:t>1.</w:t>
      </w:r>
      <w:r w:rsidRPr="000B2DBD">
        <w:tab/>
        <w:t>Οι επιχειρήσεις επενδύσεων, πλην των μικρών και μη διασυνδεδεμένων επιχειρήσεων επενδύσεων, αναφέρουν τις πληροφορίες που απαιτούνται βάσει του άρθρου 54 παράγραφοι 1 και 2 του κανονισμού (ΕΕ) 2019/2033, χρησιμοποιώντας τα υποδείγματα που ορίζονται στο παράρτημα I του παρόντος κανονισμού, σύμφωνα με τις οδηγίες που παρατίθενται στο παράρτημα II του παρόντος κανονισμού, ανά τρίμηνο.</w:t>
      </w:r>
    </w:p>
    <w:p w14:paraId="2A1F49F2" w14:textId="77777777" w:rsidR="00B56C72" w:rsidRPr="000B2DBD" w:rsidRDefault="009D02FB">
      <w:pPr>
        <w:pStyle w:val="NumPar1"/>
        <w:numPr>
          <w:ilvl w:val="0"/>
          <w:numId w:val="0"/>
        </w:numPr>
        <w:tabs>
          <w:tab w:val="left" w:pos="567"/>
        </w:tabs>
        <w:rPr>
          <w:szCs w:val="24"/>
        </w:rPr>
      </w:pPr>
      <w:r w:rsidRPr="000B2DBD">
        <w:rPr>
          <w:szCs w:val="24"/>
        </w:rPr>
        <w:t>2.</w:t>
      </w:r>
      <w:r w:rsidRPr="000B2DBD">
        <w:rPr>
          <w:szCs w:val="24"/>
        </w:rPr>
        <w:tab/>
      </w:r>
      <w:r w:rsidRPr="000B2DBD">
        <w:t>Οι επιχειρήσεις επενδύσεων, πλην των μικρών και μη διασυνδεδεμένων επιχειρήσεων επενδύσεων, που προσδιορίζουν την απαίτηση παράγοντα Κ RtM με βάση τον παράγοντα K-NPR, σύμφωνα με το άρθρο 21 παράγραφος 1 του κανονισμού (ΕΕ) 2019/2033, αναφέρουν τις πληροφορίες που ορίζονται στα υποδείγματα C 18.00 έως C 24.00 του παραρτήματος I του εκτελεστικού κανονισμού (ΕΕ) 2021/451 της Επιτροπής </w:t>
      </w:r>
      <w:r w:rsidRPr="000B2DBD">
        <w:rPr>
          <w:rStyle w:val="FootnoteReference"/>
        </w:rPr>
        <w:footnoteReference w:id="3"/>
      </w:r>
      <w:r w:rsidRPr="000B2DBD">
        <w:t>, σύμφωνα με τις οδηγίες που παρατίθενται στο παράρτημα II μέρος II του εν λόγω εκτελεστικού κανονισμού ανά τρίμηνο.</w:t>
      </w:r>
    </w:p>
    <w:p w14:paraId="0D649CFD" w14:textId="77777777" w:rsidR="00B56C72" w:rsidRPr="000B2DBD" w:rsidRDefault="009D02FB">
      <w:pPr>
        <w:pStyle w:val="NumPar1"/>
        <w:numPr>
          <w:ilvl w:val="0"/>
          <w:numId w:val="0"/>
        </w:numPr>
        <w:tabs>
          <w:tab w:val="left" w:pos="567"/>
        </w:tabs>
        <w:rPr>
          <w:szCs w:val="24"/>
        </w:rPr>
      </w:pPr>
      <w:r w:rsidRPr="000B2DBD">
        <w:rPr>
          <w:szCs w:val="24"/>
        </w:rPr>
        <w:t>3.</w:t>
      </w:r>
      <w:r w:rsidRPr="000B2DBD">
        <w:rPr>
          <w:szCs w:val="24"/>
        </w:rPr>
        <w:tab/>
      </w:r>
      <w:r w:rsidRPr="000B2DBD">
        <w:t xml:space="preserve">Οι επιχειρήσεις επενδύσεων, πλην των μικρών και μη διασυνδεδεμένων επιχειρήσεων επενδύσεων, που κάνουν χρήση της παρέκκλισης που προβλέπεται στο άρθρο 25 παράγραφος 4 του κανονισμού (ΕΕ) 2019/2033, αναφέρουν τις πληροφορίες που ορίζονται στο υπόδειγμα C 34.02 του παραρτήματος I του εκτελεστικού κανονισμού (ΕΕ) 2021/451, σύμφωνα με τις </w:t>
      </w:r>
      <w:r w:rsidRPr="000B2DBD">
        <w:lastRenderedPageBreak/>
        <w:t>οδηγίες που παρατίθενται στο παράρτημα II μέρος II του εν λόγω εκτελεστικού κανονισμού ανά τρίμηνο.</w:t>
      </w:r>
    </w:p>
    <w:p w14:paraId="67E741BE" w14:textId="77777777" w:rsidR="00B56C72" w:rsidRPr="000B2DBD" w:rsidRDefault="009D02FB">
      <w:pPr>
        <w:pStyle w:val="NumPar1"/>
        <w:numPr>
          <w:ilvl w:val="0"/>
          <w:numId w:val="0"/>
        </w:numPr>
        <w:tabs>
          <w:tab w:val="left" w:pos="567"/>
        </w:tabs>
        <w:rPr>
          <w:szCs w:val="24"/>
        </w:rPr>
      </w:pPr>
      <w:r w:rsidRPr="000B2DBD">
        <w:rPr>
          <w:szCs w:val="24"/>
        </w:rPr>
        <w:t>4.</w:t>
      </w:r>
      <w:r w:rsidRPr="000B2DBD">
        <w:rPr>
          <w:szCs w:val="24"/>
        </w:rPr>
        <w:tab/>
      </w:r>
      <w:r w:rsidRPr="000B2DBD">
        <w:t>Οι επιχειρήσεις επενδύσεων, πλην των μικρών και μη διασυνδεδεμένων επιχειρήσεων επενδύσεων, που κάνουν χρήση της παρέκκλισης που προβλέπεται στο άρθρο 25 παράγραφος 5 δεύτερο εδάφιο του κανονισμού (ΕΕ) 2019/2033, αναφέρουν τις πληροφορίες που ορίζονται στο υπόδειγμα C 25.00 του παραρτήματος I του εκτελεστικού κανονισμού (ΕΕ) 2021/451 της Επιτροπής, σύμφωνα με τις οδηγίες που παρατίθενται στο παράρτημα II μέρος II του εν λόγω εκτελεστικού κανονισμού, ανά τρίμηνο.</w:t>
      </w:r>
    </w:p>
    <w:p w14:paraId="2DD1F9D4" w14:textId="77777777" w:rsidR="00B56C72" w:rsidRPr="000B2DBD" w:rsidRDefault="009D02FB">
      <w:pPr>
        <w:pStyle w:val="Titrearticle"/>
      </w:pPr>
      <w:r w:rsidRPr="000B2DBD">
        <w:t>Άρθρο 6</w:t>
      </w:r>
    </w:p>
    <w:p w14:paraId="6B6A11C1" w14:textId="77777777" w:rsidR="00B56C72" w:rsidRPr="000B2DBD" w:rsidRDefault="009D02FB">
      <w:pPr>
        <w:pStyle w:val="Titrearticle"/>
        <w:spacing w:before="120"/>
        <w:rPr>
          <w:b/>
          <w:i w:val="0"/>
        </w:rPr>
      </w:pPr>
      <w:r w:rsidRPr="000B2DBD">
        <w:rPr>
          <w:b/>
          <w:i w:val="0"/>
        </w:rPr>
        <w:t>Μορφότυπος και συχνότητα υποβολής αναφορών από μικρές και μη διασυνδεδεμένες επιχειρήσεις επενδύσεων</w:t>
      </w:r>
    </w:p>
    <w:p w14:paraId="5F380DDA" w14:textId="77777777" w:rsidR="00B56C72" w:rsidRPr="000B2DBD" w:rsidRDefault="009D02FB">
      <w:pPr>
        <w:pStyle w:val="NumPar1"/>
        <w:numPr>
          <w:ilvl w:val="0"/>
          <w:numId w:val="0"/>
        </w:numPr>
        <w:tabs>
          <w:tab w:val="left" w:pos="567"/>
        </w:tabs>
      </w:pPr>
      <w:r w:rsidRPr="000B2DBD">
        <w:t>1.</w:t>
      </w:r>
      <w:r w:rsidRPr="000B2DBD">
        <w:tab/>
        <w:t>Οι μικρές και μη διασυνδεδεμένες επιχειρήσεις επενδύσεων αναφέρουν τις πληροφορίες που ορίζονται στα υποδείγματα του παραρτήματος III του παρόντος κανονισμού, σύμφωνα με τις οδηγίες του παραρτήματος IV του παρόντος κανονισμού, ετησίως. Οι επιχειρήσεις επενδύσεων που επωφελούνται από την παρέκκλιση που αναφέρεται στο άρθρο 43 παράγραφος 1 δεύτερο εδάφιο του κανονισμού (ΕΕ) 2019/2033 απαλλάσσονται από την υποχρέωση υποβολής των πληροφοριών που ορίζονται στο υπόδειγμα IF 09.01 του παραρτήματος III του παρόντος κανονισμού.</w:t>
      </w:r>
    </w:p>
    <w:p w14:paraId="04783E0A" w14:textId="77777777" w:rsidR="00B56C72" w:rsidRPr="000B2DBD" w:rsidRDefault="009D02FB">
      <w:pPr>
        <w:pStyle w:val="Titrearticle"/>
      </w:pPr>
      <w:r w:rsidRPr="000B2DBD">
        <w:t>Άρθρο 7</w:t>
      </w:r>
    </w:p>
    <w:p w14:paraId="13F0B0F2" w14:textId="77777777" w:rsidR="00B56C72" w:rsidRPr="000B2DBD" w:rsidRDefault="009D02FB">
      <w:pPr>
        <w:pStyle w:val="Titrearticle"/>
        <w:spacing w:before="120"/>
        <w:rPr>
          <w:b/>
          <w:i w:val="0"/>
        </w:rPr>
      </w:pPr>
      <w:r w:rsidRPr="000B2DBD">
        <w:rPr>
          <w:b/>
          <w:i w:val="0"/>
        </w:rPr>
        <w:t>Μορφότυπος και συχνότητα υποβολής αναφορών από οντότητες που επωφελούνται από την εφαρμογή του άρθρου 8 του κανονισμού (ΕΕ) 2019/2033</w:t>
      </w:r>
    </w:p>
    <w:p w14:paraId="13C0E6F1" w14:textId="77777777" w:rsidR="00B56C72" w:rsidRPr="000B2DBD" w:rsidRDefault="009D02FB">
      <w:pPr>
        <w:rPr>
          <w:rFonts w:eastAsia="Times New Roman"/>
          <w:szCs w:val="24"/>
        </w:rPr>
      </w:pPr>
      <w:r w:rsidRPr="000B2DBD">
        <w:t>Κατά παρέκκλιση από το άρθρο 4 του παρόντος κανονισμού, οι οντότητες που αναφέρονται στο άρθρο 8 παράγραφος 3 του κανονισμού (ΕΕ) 2019/2033 και επωφελούνται από την εφαρμογή του εν λόγω άρθρου, αναφέρουν τις πληροφορίες που ορίζονται στα υποδείγματα του παραρτήματος VIII του παρόντος κανονισμού, σύμφωνα με τις οδηγίες που παρατίθενται στο παράρτημα IX του παρόντος κανονισμού, ανά τρίμηνο.</w:t>
      </w:r>
    </w:p>
    <w:p w14:paraId="6A6879C6" w14:textId="77777777" w:rsidR="00B56C72" w:rsidRPr="000B2DBD" w:rsidRDefault="009D02FB">
      <w:pPr>
        <w:pStyle w:val="Titrearticle"/>
      </w:pPr>
      <w:r w:rsidRPr="000B2DBD">
        <w:t>Άρθρο 8</w:t>
      </w:r>
    </w:p>
    <w:p w14:paraId="4514930C" w14:textId="77777777" w:rsidR="00B56C72" w:rsidRPr="000B2DBD" w:rsidRDefault="009D02FB">
      <w:pPr>
        <w:pStyle w:val="Titrearticle"/>
        <w:spacing w:before="120"/>
        <w:rPr>
          <w:b/>
          <w:i w:val="0"/>
        </w:rPr>
      </w:pPr>
      <w:r w:rsidRPr="000B2DBD">
        <w:rPr>
          <w:b/>
          <w:i w:val="0"/>
        </w:rPr>
        <w:t>Ακρίβεια δεδομένων και πληροφορίες σχετικά με τις υποβολές</w:t>
      </w:r>
    </w:p>
    <w:p w14:paraId="4159FF56" w14:textId="77777777" w:rsidR="00B56C72" w:rsidRPr="000B2DBD" w:rsidRDefault="009D02FB">
      <w:pPr>
        <w:pStyle w:val="NumPar1"/>
        <w:numPr>
          <w:ilvl w:val="0"/>
          <w:numId w:val="0"/>
        </w:numPr>
        <w:tabs>
          <w:tab w:val="left" w:pos="567"/>
        </w:tabs>
      </w:pPr>
      <w:r w:rsidRPr="000B2DBD">
        <w:t>1.</w:t>
      </w:r>
      <w:r w:rsidRPr="000B2DBD">
        <w:tab/>
        <w:t>Οι επιχειρήσεις επενδύσεων υποβάλλουν τις πληροφορίες που αναφέρονται στον παρόντα κανονισμό με τους μορφοτύπους ανταλλαγής δεδομένων και τις παρουσιάσεις που ορίζονται από τις αρμόδιες αρχές, και σύμφωνα με τον ορισμό του σημείου δεδομένων του μοντέλου σημείων δεδομένων και τους τύπους επικύρωσης που ορίζονται στο παράρτημα V, καθώς και τις ακόλουθες προδιαγραφές:</w:t>
      </w:r>
    </w:p>
    <w:p w14:paraId="34A56720" w14:textId="77777777" w:rsidR="00B56C72" w:rsidRPr="000B2DBD" w:rsidRDefault="009D02FB">
      <w:pPr>
        <w:pStyle w:val="Point1"/>
      </w:pPr>
      <w:r w:rsidRPr="000B2DBD">
        <w:t>α)</w:t>
      </w:r>
      <w:r w:rsidRPr="000B2DBD">
        <w:tab/>
        <w:t>δεν περιλαμβάνονται στα υποβαλλόμενα δεδομένα οι μη απαιτούμενες ή μη εφαρμοστέες πληροφορίες·</w:t>
      </w:r>
    </w:p>
    <w:p w14:paraId="48720B25" w14:textId="77777777" w:rsidR="00B56C72" w:rsidRPr="000B2DBD" w:rsidRDefault="009D02FB">
      <w:pPr>
        <w:pStyle w:val="Point1"/>
      </w:pPr>
      <w:r w:rsidRPr="000B2DBD">
        <w:t>β)</w:t>
      </w:r>
      <w:r w:rsidRPr="000B2DBD">
        <w:tab/>
        <w:t>οι αριθμητικές τιμές υποβάλλονται ως πραγματικά δεδομένα σύμφωνα με τις ακόλουθες συμβάσεις:</w:t>
      </w:r>
    </w:p>
    <w:p w14:paraId="5A226015" w14:textId="77777777" w:rsidR="00B56C72" w:rsidRPr="000B2DBD" w:rsidRDefault="009D02FB">
      <w:pPr>
        <w:pStyle w:val="Point2"/>
        <w:ind w:left="1134"/>
      </w:pPr>
      <w:r w:rsidRPr="000B2DBD">
        <w:t>i)</w:t>
      </w:r>
      <w:r w:rsidRPr="000B2DBD">
        <w:tab/>
        <w:t>τα σημεία δεδομένων με τον τύπο δεδομένων «Νομισματικά» υποβάλλονται με τη χρήση ελάχιστης ακρίβειας που αντιστοιχεί σε χιλιάδες μονάδες·</w:t>
      </w:r>
    </w:p>
    <w:p w14:paraId="73CCF711" w14:textId="77777777" w:rsidR="00B56C72" w:rsidRPr="000B2DBD" w:rsidRDefault="009D02FB">
      <w:pPr>
        <w:pStyle w:val="Point2"/>
        <w:ind w:left="1134"/>
      </w:pPr>
      <w:r w:rsidRPr="000B2DBD">
        <w:t>ii)</w:t>
      </w:r>
      <w:r w:rsidRPr="000B2DBD">
        <w:tab/>
        <w:t>τα σημεία δεδομένων με τον τύπο δεδομένων «Ποσοστά» εκφράζονται ανά μονάδα, με ελάχιστη ακρίβεια που αντιστοιχεί σε τέσσερα δεκαδικά ψηφία·</w:t>
      </w:r>
    </w:p>
    <w:p w14:paraId="192F4788" w14:textId="77777777" w:rsidR="00B56C72" w:rsidRPr="000B2DBD" w:rsidRDefault="009D02FB">
      <w:pPr>
        <w:pStyle w:val="Point2"/>
        <w:ind w:left="1134"/>
      </w:pPr>
      <w:r w:rsidRPr="000B2DBD">
        <w:lastRenderedPageBreak/>
        <w:t>iii)</w:t>
      </w:r>
      <w:r w:rsidRPr="000B2DBD">
        <w:tab/>
        <w:t>τα σημεία δεδομένων με τον τύπο δεδομένων «Ακέραιοι» υποβάλλονται χωρίς τη χρήση δεκαδικών ψηφίων και με ακρίβεια που αντιστοιχεί σε μονάδες.</w:t>
      </w:r>
    </w:p>
    <w:p w14:paraId="45D7E5BA" w14:textId="77777777" w:rsidR="00B56C72" w:rsidRPr="000B2DBD" w:rsidRDefault="009D02FB">
      <w:pPr>
        <w:pStyle w:val="NumPar1"/>
        <w:numPr>
          <w:ilvl w:val="0"/>
          <w:numId w:val="0"/>
        </w:numPr>
        <w:tabs>
          <w:tab w:val="left" w:pos="567"/>
        </w:tabs>
      </w:pPr>
      <w:r w:rsidRPr="000B2DBD">
        <w:t>2.</w:t>
      </w:r>
      <w:r w:rsidRPr="000B2DBD">
        <w:tab/>
        <w:t>Οι επιχειρήσεις επενδύσεων προσδιορίζονται με τον σχετικό αναγνωριστικό κωδικό νομικής οντότητας (LEI). Οι νομικές οντότητες και οι αντισυμβαλλόμενοι, πλην των επιχειρήσεων επενδύσεων, προσδιορίζονται με τον κωδικό LEI τους, εφόσον υπάρχει.</w:t>
      </w:r>
    </w:p>
    <w:p w14:paraId="0694E8B1" w14:textId="77777777" w:rsidR="00B56C72" w:rsidRPr="000B2DBD" w:rsidRDefault="009D02FB">
      <w:pPr>
        <w:pStyle w:val="NumPar1"/>
        <w:numPr>
          <w:ilvl w:val="0"/>
          <w:numId w:val="0"/>
        </w:numPr>
        <w:tabs>
          <w:tab w:val="left" w:pos="567"/>
        </w:tabs>
      </w:pPr>
      <w:r w:rsidRPr="000B2DBD">
        <w:t>3.</w:t>
      </w:r>
      <w:r w:rsidRPr="000B2DBD">
        <w:tab/>
        <w:t>Οι πληροφορίες που υποβάλλονται από τις επιχειρήσεις επενδύσεων με βάση τον παρόντα κανονισμό συνοδεύονται από τις ακόλουθες πληροφορίες:</w:t>
      </w:r>
    </w:p>
    <w:p w14:paraId="19AF72CB" w14:textId="77777777" w:rsidR="00B56C72" w:rsidRPr="000B2DBD" w:rsidRDefault="009D02FB">
      <w:pPr>
        <w:pStyle w:val="Point1"/>
      </w:pPr>
      <w:r w:rsidRPr="000B2DBD">
        <w:t>α)</w:t>
      </w:r>
      <w:r w:rsidRPr="000B2DBD">
        <w:tab/>
        <w:t>ημερομηνία αναφοράς για την υποβολή αναφορών και περίοδος αναφοράς·</w:t>
      </w:r>
    </w:p>
    <w:p w14:paraId="7AD39AD4" w14:textId="77777777" w:rsidR="00B56C72" w:rsidRPr="000B2DBD" w:rsidRDefault="009D02FB">
      <w:pPr>
        <w:pStyle w:val="Point1"/>
      </w:pPr>
      <w:r w:rsidRPr="000B2DBD">
        <w:t>β)</w:t>
      </w:r>
      <w:r w:rsidRPr="000B2DBD">
        <w:tab/>
        <w:t>νόμισμα που χρησιμοποιείται για την υποβολή αναφορών·</w:t>
      </w:r>
    </w:p>
    <w:p w14:paraId="22E7A2FD" w14:textId="77777777" w:rsidR="00B56C72" w:rsidRPr="000B2DBD" w:rsidRDefault="009D02FB">
      <w:pPr>
        <w:pStyle w:val="Point1"/>
      </w:pPr>
      <w:r w:rsidRPr="000B2DBD">
        <w:t>γ)</w:t>
      </w:r>
      <w:r w:rsidRPr="000B2DBD">
        <w:tab/>
        <w:t>λογιστικό πρότυπο·</w:t>
      </w:r>
    </w:p>
    <w:p w14:paraId="2B649403" w14:textId="77777777" w:rsidR="00B56C72" w:rsidRPr="000B2DBD" w:rsidRDefault="009D02FB">
      <w:pPr>
        <w:pStyle w:val="Point1"/>
      </w:pPr>
      <w:r w:rsidRPr="000B2DBD">
        <w:t>δ)</w:t>
      </w:r>
      <w:r w:rsidRPr="000B2DBD">
        <w:tab/>
        <w:t>αναγνωριστικό νομικής οντότητας (LEI) του ιδρύματος που υποβάλλει αναφορά·</w:t>
      </w:r>
    </w:p>
    <w:p w14:paraId="4C8EF13C" w14:textId="77777777" w:rsidR="00B56C72" w:rsidRPr="000B2DBD" w:rsidRDefault="009D02FB">
      <w:pPr>
        <w:pStyle w:val="Point1"/>
      </w:pPr>
      <w:r w:rsidRPr="000B2DBD">
        <w:t>ε)</w:t>
      </w:r>
      <w:r w:rsidRPr="000B2DBD">
        <w:tab/>
        <w:t>πεδίο εφαρμογής της ενοποίησης.</w:t>
      </w:r>
    </w:p>
    <w:p w14:paraId="22C962D7" w14:textId="77777777" w:rsidR="00B56C72" w:rsidRPr="000B2DBD" w:rsidRDefault="009D02FB">
      <w:pPr>
        <w:pStyle w:val="ChapterTitle"/>
        <w:rPr>
          <w:b w:val="0"/>
        </w:rPr>
      </w:pPr>
      <w:r w:rsidRPr="000B2DBD">
        <w:rPr>
          <w:b w:val="0"/>
        </w:rPr>
        <w:t>ΚΕΦΑΛΑΙΟ II</w:t>
      </w:r>
    </w:p>
    <w:p w14:paraId="22E195FE" w14:textId="77777777" w:rsidR="00B56C72" w:rsidRPr="000B2DBD" w:rsidRDefault="009D02FB">
      <w:pPr>
        <w:pStyle w:val="ChapterTitle"/>
      </w:pPr>
      <w:r w:rsidRPr="000B2DBD">
        <w:t>ΔΗΜΟΣΙΟΠΟΙΗΣΗ ΑΠΟ ΕΠΙΧΕΙΡΗΣΕΙΣ ΕΠΕΝΔΥΣΕΩΝ</w:t>
      </w:r>
    </w:p>
    <w:p w14:paraId="4343FA7A" w14:textId="77777777" w:rsidR="00B56C72" w:rsidRPr="000B2DBD" w:rsidRDefault="009D02FB">
      <w:pPr>
        <w:pStyle w:val="Titrearticle"/>
      </w:pPr>
      <w:r w:rsidRPr="000B2DBD">
        <w:t>Άρθρο 9</w:t>
      </w:r>
    </w:p>
    <w:p w14:paraId="21ED05EB" w14:textId="77777777" w:rsidR="00B56C72" w:rsidRPr="000B2DBD" w:rsidRDefault="009D02FB">
      <w:pPr>
        <w:pStyle w:val="Titrearticle"/>
        <w:spacing w:before="120"/>
        <w:rPr>
          <w:b/>
          <w:i w:val="0"/>
        </w:rPr>
      </w:pPr>
      <w:r w:rsidRPr="000B2DBD">
        <w:rPr>
          <w:b/>
          <w:i w:val="0"/>
        </w:rPr>
        <w:t>Αρχές που διέπουν τη δημοσιοποίηση</w:t>
      </w:r>
    </w:p>
    <w:p w14:paraId="1D08DBEB" w14:textId="77777777" w:rsidR="00B56C72" w:rsidRPr="000B2DBD" w:rsidRDefault="009D02FB">
      <w:pPr>
        <w:pStyle w:val="NumPar1"/>
        <w:numPr>
          <w:ilvl w:val="0"/>
          <w:numId w:val="0"/>
        </w:numPr>
      </w:pPr>
      <w:r w:rsidRPr="000B2DBD">
        <w:t>1.</w:t>
      </w:r>
      <w:r w:rsidRPr="000B2DBD">
        <w:tab/>
        <w:t>Οι πληροφορίες που δημοσιοποιούνται σύμφωνα με τον παρόντα κανονισμό υπόκεινται στις ακόλουθες αρχές:</w:t>
      </w:r>
    </w:p>
    <w:p w14:paraId="77E98E26" w14:textId="77777777" w:rsidR="00B56C72" w:rsidRPr="000B2DBD" w:rsidRDefault="009D02FB">
      <w:pPr>
        <w:pStyle w:val="Point1"/>
      </w:pPr>
      <w:r w:rsidRPr="000B2DBD">
        <w:t>α)</w:t>
      </w:r>
      <w:r w:rsidRPr="000B2DBD">
        <w:tab/>
        <w:t>οι δημοσιοποιήσεις υπόκεινται στο ίδιο επίπεδο εσωτερικής εξακρίβωσης με εκείνο το οποίο εφαρμόζεται στην έκθεση διαχείρισης που περιλαμβάνεται στην οικονομική έκθεση της επιχείρησης επενδύσεων·</w:t>
      </w:r>
    </w:p>
    <w:p w14:paraId="55FF4875" w14:textId="77777777" w:rsidR="00B56C72" w:rsidRPr="000B2DBD" w:rsidRDefault="009D02FB">
      <w:pPr>
        <w:pStyle w:val="Point1"/>
      </w:pPr>
      <w:r w:rsidRPr="000B2DBD">
        <w:t>β)</w:t>
      </w:r>
      <w:r w:rsidRPr="000B2DBD">
        <w:tab/>
        <w:t>οι δημοσιοποιήσεις είναι σαφείς και παρουσιάζονται σε μορφή κατανοητή από τους χρήστες των πληροφοριών και κοινοποιούνται με προσβάσιμο μέσο. Τυχόν σημαντικά μηνύματα επισημαίνονται και εντοπίζονται εύκολα. Τυχόν περίπλοκα ζητήματα επεξηγούνται σε απλή γλώσσα. Οι σχετικές πληροφορίες παρουσιάζονται από κοινού·</w:t>
      </w:r>
    </w:p>
    <w:p w14:paraId="3D8B85B3" w14:textId="77777777" w:rsidR="00B56C72" w:rsidRPr="000B2DBD" w:rsidRDefault="009D02FB">
      <w:pPr>
        <w:pStyle w:val="Point1"/>
      </w:pPr>
      <w:r w:rsidRPr="000B2DBD">
        <w:t>γ)</w:t>
      </w:r>
      <w:r w:rsidRPr="000B2DBD">
        <w:tab/>
        <w:t>οι δημοσιοποιήσεις έχουν νόημα και συνέπεια σε βάθος χρόνου, ώστε οι χρήστες των πληροφοριών να μπορούν να συγκρίνουν πληροφορίες μεταξύ περιόδων δημοσιοποίησης·</w:t>
      </w:r>
    </w:p>
    <w:p w14:paraId="2C94EBA9" w14:textId="77777777" w:rsidR="00B56C72" w:rsidRPr="000B2DBD" w:rsidRDefault="009D02FB">
      <w:pPr>
        <w:pStyle w:val="Point1"/>
      </w:pPr>
      <w:r w:rsidRPr="000B2DBD">
        <w:t>δ)</w:t>
      </w:r>
      <w:r w:rsidRPr="000B2DBD">
        <w:tab/>
        <w:t>οι ποσοτικές δημοσιοποιήσεις συνοδεύονται από ποιοτικές επεξηγήσεις και οποιεσδήποτε άλλες συμπληρωματικές πληροφορίες που ενδέχεται να είναι απαραίτητες για να μπορούν οι χρήστες των εν λόγω πληροφοριών να τις κατανοήσουν, με ειδικότερη επισήμανση οποιασδήποτε σημαντικής αλλαγής σε μια συγκεκριμένη δημοσιοποίηση σε σύγκριση με τις πληροφορίες που περιλαμβάνονται σε προηγούμενες δημοσιοποιήσεις.</w:t>
      </w:r>
    </w:p>
    <w:p w14:paraId="68217EBF" w14:textId="77777777" w:rsidR="00B56C72" w:rsidRPr="000B2DBD" w:rsidRDefault="009D02FB">
      <w:pPr>
        <w:pStyle w:val="Titrearticle"/>
      </w:pPr>
      <w:r w:rsidRPr="000B2DBD">
        <w:t>Άρθρο 10</w:t>
      </w:r>
    </w:p>
    <w:p w14:paraId="680842BF" w14:textId="77777777" w:rsidR="00B56C72" w:rsidRPr="000B2DBD" w:rsidRDefault="009D02FB">
      <w:pPr>
        <w:pStyle w:val="Titrearticle"/>
        <w:spacing w:before="120"/>
        <w:rPr>
          <w:b/>
          <w:i w:val="0"/>
        </w:rPr>
      </w:pPr>
      <w:r w:rsidRPr="000B2DBD">
        <w:rPr>
          <w:b/>
          <w:i w:val="0"/>
        </w:rPr>
        <w:t>Δημοσιοποίηση των ιδίων κεφαλαίων από επιχειρήσεις επενδύσεων</w:t>
      </w:r>
    </w:p>
    <w:p w14:paraId="1FF57FAB" w14:textId="77777777" w:rsidR="00B56C72" w:rsidRPr="000B2DBD" w:rsidRDefault="009D02FB">
      <w:r w:rsidRPr="000B2DBD">
        <w:t xml:space="preserve">Οι επιχειρήσεις επενδύσεων προβαίνουν στις δημοσιοποιήσεις ιδίων κεφαλαίων που απαιτούνται βάσει του άρθρου 49 παράγραφος 1 του κανονισμού (ΕΕ) 2019/2033 </w:t>
      </w:r>
      <w:r w:rsidRPr="000B2DBD">
        <w:lastRenderedPageBreak/>
        <w:t>χρησιμοποιώντας τα υποδείγματα του παραρτήματος VI του παρόντος κανονισμού και σύμφωνα με τις σχετικές οδηγίες που παρατίθενται στο παράρτημα VII του παρόντος κανονισμού.</w:t>
      </w:r>
    </w:p>
    <w:p w14:paraId="282F7447" w14:textId="77777777" w:rsidR="00B56C72" w:rsidRPr="000B2DBD" w:rsidRDefault="009D02FB">
      <w:pPr>
        <w:pStyle w:val="Titrearticle"/>
      </w:pPr>
      <w:r w:rsidRPr="000B2DBD">
        <w:t>Άρθρο 11</w:t>
      </w:r>
    </w:p>
    <w:p w14:paraId="3F8C8143" w14:textId="77777777" w:rsidR="00B56C72" w:rsidRPr="000B2DBD" w:rsidRDefault="009D02FB">
      <w:pPr>
        <w:pStyle w:val="Titrearticle"/>
        <w:spacing w:before="120"/>
        <w:rPr>
          <w:b/>
          <w:i w:val="0"/>
        </w:rPr>
      </w:pPr>
      <w:r w:rsidRPr="000B2DBD">
        <w:rPr>
          <w:b/>
          <w:i w:val="0"/>
        </w:rPr>
        <w:t>Γενικές διατάξεις δημοσιοποιήσεων</w:t>
      </w:r>
    </w:p>
    <w:p w14:paraId="0C47CD65" w14:textId="77777777" w:rsidR="00B56C72" w:rsidRPr="000B2DBD" w:rsidRDefault="009D02FB">
      <w:pPr>
        <w:pStyle w:val="NumPar1"/>
        <w:numPr>
          <w:ilvl w:val="0"/>
          <w:numId w:val="0"/>
        </w:numPr>
        <w:tabs>
          <w:tab w:val="left" w:pos="567"/>
        </w:tabs>
      </w:pPr>
      <w:r w:rsidRPr="000B2DBD">
        <w:t>1.</w:t>
      </w:r>
      <w:r w:rsidRPr="000B2DBD">
        <w:tab/>
        <w:t>Οι επιχειρήσεις επενδύσεων, όταν δημοσιοποιούν τις πληροφορίες που αναφέρονται στο άρθρο 10 του παρόντος κανονισμού, διασφαλίζουν ότι οι αριθμητικές τιμές υποβάλλονται ως πραγματικά δεδομένα σύμφωνα με τα ακόλουθα:</w:t>
      </w:r>
    </w:p>
    <w:p w14:paraId="399F5E4E" w14:textId="77777777" w:rsidR="00B56C72" w:rsidRPr="000B2DBD" w:rsidRDefault="009D02FB">
      <w:pPr>
        <w:pStyle w:val="Point1"/>
      </w:pPr>
      <w:r w:rsidRPr="000B2DBD">
        <w:t>α)</w:t>
      </w:r>
      <w:r w:rsidRPr="000B2DBD">
        <w:tab/>
        <w:t>τα ποσοτικά νομισματικά δεδομένα δημοσιοποιούνται με τη χρήση ελάχιστης ακρίβειας που αντιστοιχεί σε χιλιάδες μονάδες·</w:t>
      </w:r>
    </w:p>
    <w:p w14:paraId="31F19C2C" w14:textId="77777777" w:rsidR="00B56C72" w:rsidRPr="000B2DBD" w:rsidRDefault="009D02FB">
      <w:pPr>
        <w:pStyle w:val="Point1"/>
      </w:pPr>
      <w:r w:rsidRPr="000B2DBD">
        <w:t>β)</w:t>
      </w:r>
      <w:r w:rsidRPr="000B2DBD">
        <w:tab/>
        <w:t>τα ποσοτικά δεδομένα που δημοσιοποιούνται ως «Ποσοστό» εκφράζονται ανά μονάδα, με ελάχιστη ακρίβεια που αντιστοιχεί σε τέσσερα δεκαδικά ψηφία.</w:t>
      </w:r>
    </w:p>
    <w:p w14:paraId="1D01028D" w14:textId="77777777" w:rsidR="00B56C72" w:rsidRPr="000B2DBD" w:rsidRDefault="009D02FB">
      <w:pPr>
        <w:pStyle w:val="NumPar1"/>
        <w:numPr>
          <w:ilvl w:val="0"/>
          <w:numId w:val="0"/>
        </w:numPr>
        <w:tabs>
          <w:tab w:val="left" w:pos="567"/>
        </w:tabs>
      </w:pPr>
      <w:r w:rsidRPr="000B2DBD">
        <w:t>2.</w:t>
      </w:r>
      <w:r w:rsidRPr="000B2DBD">
        <w:tab/>
        <w:t>Οι επιχειρήσεις επενδύσεων, όταν δημοσιοποιούν τις πληροφορίες που αναφέρονται στο άρθρο 10 του παρόντος κανονισμού, διασφαλίζουν ότι τα δεδομένα συνδέονται με όλες τις ακόλουθες πληροφορίες:</w:t>
      </w:r>
    </w:p>
    <w:p w14:paraId="4ACBA866" w14:textId="77777777" w:rsidR="00B56C72" w:rsidRPr="000B2DBD" w:rsidRDefault="009D02FB">
      <w:pPr>
        <w:pStyle w:val="Point1"/>
      </w:pPr>
      <w:r w:rsidRPr="000B2DBD">
        <w:t>α)</w:t>
      </w:r>
      <w:r w:rsidRPr="000B2DBD">
        <w:tab/>
        <w:t>ημερομηνία αναφοράς για τη δημοσιοποίηση και περίοδο αναφοράς·</w:t>
      </w:r>
    </w:p>
    <w:p w14:paraId="02082E58" w14:textId="77777777" w:rsidR="00B56C72" w:rsidRPr="000B2DBD" w:rsidRDefault="009D02FB">
      <w:pPr>
        <w:pStyle w:val="Point1"/>
      </w:pPr>
      <w:r w:rsidRPr="000B2DBD">
        <w:t>β)</w:t>
      </w:r>
      <w:r w:rsidRPr="000B2DBD">
        <w:tab/>
        <w:t>το νόμισμα στο οποίο πραγματοποιείται η δημοσιοποίηση·</w:t>
      </w:r>
    </w:p>
    <w:p w14:paraId="0EE69EEB" w14:textId="77777777" w:rsidR="00B56C72" w:rsidRPr="000B2DBD" w:rsidRDefault="009D02FB">
      <w:pPr>
        <w:pStyle w:val="Point1"/>
      </w:pPr>
      <w:r w:rsidRPr="000B2DBD">
        <w:t>γ)</w:t>
      </w:r>
      <w:r w:rsidRPr="000B2DBD">
        <w:tab/>
        <w:t>όνομα και, κατά περίπτωση, το αναγνωριστικό νομικής οντότητας (LEI) του δημοσιοποιούντος ιδρύματος·</w:t>
      </w:r>
    </w:p>
    <w:p w14:paraId="406B52A6" w14:textId="77777777" w:rsidR="00B56C72" w:rsidRPr="000B2DBD" w:rsidRDefault="009D02FB">
      <w:pPr>
        <w:pStyle w:val="Point1"/>
      </w:pPr>
      <w:r w:rsidRPr="000B2DBD">
        <w:t>δ)</w:t>
      </w:r>
      <w:r w:rsidRPr="000B2DBD">
        <w:tab/>
        <w:t>κατά περίπτωση, το λογιστικό πρότυπο·</w:t>
      </w:r>
    </w:p>
    <w:p w14:paraId="704E7A67" w14:textId="77777777" w:rsidR="00B56C72" w:rsidRPr="000B2DBD" w:rsidRDefault="009D02FB">
      <w:pPr>
        <w:pStyle w:val="Point1"/>
      </w:pPr>
      <w:r w:rsidRPr="000B2DBD">
        <w:t>ε)</w:t>
      </w:r>
      <w:r w:rsidRPr="000B2DBD">
        <w:tab/>
        <w:t>κατά περίπτωση, το πεδίο εφαρμογής της ενοποίησης.</w:t>
      </w:r>
    </w:p>
    <w:p w14:paraId="0DBAA1EE" w14:textId="77777777" w:rsidR="00B56C72" w:rsidRPr="000B2DBD" w:rsidRDefault="009D02FB">
      <w:pPr>
        <w:pStyle w:val="ChapterTitle"/>
        <w:rPr>
          <w:b w:val="0"/>
        </w:rPr>
      </w:pPr>
      <w:r w:rsidRPr="000B2DBD">
        <w:rPr>
          <w:b w:val="0"/>
        </w:rPr>
        <w:t>ΚΕΦΑΛΑΙΟ III</w:t>
      </w:r>
    </w:p>
    <w:p w14:paraId="4BE2D923" w14:textId="77777777" w:rsidR="00B56C72" w:rsidRPr="000B2DBD" w:rsidRDefault="009D02FB">
      <w:pPr>
        <w:pStyle w:val="ChapterTitle"/>
      </w:pPr>
      <w:r w:rsidRPr="000B2DBD">
        <w:t>ΤΕΛΙΚΕΣ ΔΙΑΤΑΞΕΙΣ</w:t>
      </w:r>
    </w:p>
    <w:p w14:paraId="58B0FDF6" w14:textId="77777777" w:rsidR="00B56C72" w:rsidRPr="000B2DBD" w:rsidRDefault="009D02FB">
      <w:pPr>
        <w:pStyle w:val="Titrearticle"/>
        <w:spacing w:before="120"/>
      </w:pPr>
      <w:r w:rsidRPr="000B2DBD">
        <w:t>Άρθρο 12</w:t>
      </w:r>
    </w:p>
    <w:p w14:paraId="190BB5F0" w14:textId="706C16A0" w:rsidR="00B56C72" w:rsidRPr="000B2DBD" w:rsidRDefault="009D02FB">
      <w:pPr>
        <w:pStyle w:val="Titrearticle"/>
        <w:spacing w:before="120"/>
        <w:rPr>
          <w:b/>
          <w:i w:val="0"/>
        </w:rPr>
      </w:pPr>
      <w:r w:rsidRPr="000B2DBD">
        <w:rPr>
          <w:b/>
          <w:i w:val="0"/>
        </w:rPr>
        <w:t>Έναρξη ισχύος</w:t>
      </w:r>
    </w:p>
    <w:p w14:paraId="714F7D6B" w14:textId="77777777" w:rsidR="00B56C72" w:rsidRPr="000B2DBD" w:rsidRDefault="009D02FB">
      <w:r w:rsidRPr="000B2DBD">
        <w:t xml:space="preserve">Ο παρών κανονισμός αρχίζει να ισχύει την εικοστή ημέρα από τη δημοσίευσή του στην </w:t>
      </w:r>
      <w:r w:rsidRPr="000B2DBD">
        <w:rPr>
          <w:i/>
        </w:rPr>
        <w:t>Επίσημη Εφημερίδα της Ευρωπαϊκής Ένωσης</w:t>
      </w:r>
      <w:r w:rsidRPr="000B2DBD">
        <w:t>.</w:t>
      </w:r>
    </w:p>
    <w:p w14:paraId="118B6BC8" w14:textId="77777777" w:rsidR="00B56C72" w:rsidRPr="000B2DBD" w:rsidRDefault="009D02FB">
      <w:pPr>
        <w:pStyle w:val="Applicationdirecte"/>
      </w:pPr>
      <w:r w:rsidRPr="000B2DBD">
        <w:t>Ο παρών κανονισμός είναι δεσμευτικός ως προς όλα τα μέρη του και ισχύει άμεσα σε κάθε κράτος μέλος.</w:t>
      </w:r>
    </w:p>
    <w:p w14:paraId="2CB29F84" w14:textId="77777777" w:rsidR="009D02FB" w:rsidRPr="000B2DBD" w:rsidRDefault="009D02FB" w:rsidP="009D02FB">
      <w:pPr>
        <w:pStyle w:val="Fait"/>
      </w:pPr>
    </w:p>
    <w:p w14:paraId="5B9E45D8" w14:textId="77777777" w:rsidR="00B56C72" w:rsidRPr="000B2DBD" w:rsidRDefault="009D02FB">
      <w:pPr>
        <w:pStyle w:val="Fait"/>
      </w:pPr>
      <w:r w:rsidRPr="000B2DBD">
        <w:t>Βρυξέλλες, 6 Δεκεμβρίου 2021.</w:t>
      </w:r>
    </w:p>
    <w:p w14:paraId="61EA66D4" w14:textId="77777777" w:rsidR="00B56C72" w:rsidRPr="000B2DBD" w:rsidRDefault="009D02FB">
      <w:pPr>
        <w:pStyle w:val="Institutionquisigne"/>
      </w:pPr>
      <w:r w:rsidRPr="000B2DBD">
        <w:tab/>
        <w:t>Για την Επιτροπή</w:t>
      </w:r>
    </w:p>
    <w:p w14:paraId="7877BA6A" w14:textId="77777777" w:rsidR="00B56C72" w:rsidRPr="000B2DBD" w:rsidRDefault="009D02FB">
      <w:pPr>
        <w:pStyle w:val="Personnequisigne"/>
      </w:pPr>
      <w:r w:rsidRPr="000B2DBD">
        <w:tab/>
        <w:t>Η Πρόεδρος</w:t>
      </w:r>
    </w:p>
    <w:p w14:paraId="243767D3" w14:textId="77777777" w:rsidR="00B56C72" w:rsidRPr="009D02FB" w:rsidRDefault="009D02FB">
      <w:pPr>
        <w:pStyle w:val="Personnequisigne"/>
        <w:rPr>
          <w:i w:val="0"/>
        </w:rPr>
      </w:pPr>
      <w:r w:rsidRPr="000B2DBD">
        <w:rPr>
          <w:i w:val="0"/>
        </w:rPr>
        <w:tab/>
        <w:t>Ursula VON DER LEYEN</w:t>
      </w:r>
    </w:p>
    <w:sectPr w:rsidR="00B56C72" w:rsidRPr="009D02FB">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560BD" w14:textId="77777777" w:rsidR="00B56C72" w:rsidRDefault="009D02FB">
      <w:pPr>
        <w:spacing w:before="0" w:after="0"/>
      </w:pPr>
      <w:r>
        <w:separator/>
      </w:r>
    </w:p>
  </w:endnote>
  <w:endnote w:type="continuationSeparator" w:id="0">
    <w:p w14:paraId="0A4F2A75" w14:textId="77777777" w:rsidR="00B56C72" w:rsidRDefault="009D02F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13E86" w14:textId="77777777" w:rsidR="00B56C72" w:rsidRDefault="00B56C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6B017" w14:textId="77777777" w:rsidR="00B56C72" w:rsidRDefault="009D02FB">
    <w:pPr>
      <w:pStyle w:val="Footer"/>
      <w:tabs>
        <w:tab w:val="clear" w:pos="4535"/>
        <w:tab w:val="clear" w:pos="9921"/>
      </w:tabs>
      <w:ind w:left="0" w:right="0"/>
    </w:pPr>
    <w:r>
      <w:t>EL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8</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0610A" w14:textId="77777777" w:rsidR="00B56C72" w:rsidRDefault="00B56C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96D21B" w14:textId="77777777" w:rsidR="00B56C72" w:rsidRDefault="009D02FB">
      <w:pPr>
        <w:spacing w:before="0" w:after="0"/>
      </w:pPr>
      <w:r>
        <w:separator/>
      </w:r>
    </w:p>
  </w:footnote>
  <w:footnote w:type="continuationSeparator" w:id="0">
    <w:p w14:paraId="4F733A52" w14:textId="77777777" w:rsidR="00B56C72" w:rsidRDefault="009D02FB">
      <w:pPr>
        <w:spacing w:before="0" w:after="0"/>
      </w:pPr>
      <w:r>
        <w:continuationSeparator/>
      </w:r>
    </w:p>
  </w:footnote>
  <w:footnote w:id="1">
    <w:p w14:paraId="0DCB2B03" w14:textId="77777777" w:rsidR="00B56C72" w:rsidRPr="000B2DBD" w:rsidRDefault="009D02FB">
      <w:pPr>
        <w:pStyle w:val="FootnoteText"/>
      </w:pPr>
      <w:r w:rsidRPr="000B2DBD">
        <w:rPr>
          <w:rStyle w:val="FootnoteReference"/>
        </w:rPr>
        <w:footnoteRef/>
      </w:r>
      <w:r w:rsidRPr="000B2DBD">
        <w:tab/>
        <w:t>ΕΕ L 314 της 5.12.2019, σ. 1.</w:t>
      </w:r>
    </w:p>
  </w:footnote>
  <w:footnote w:id="2">
    <w:p w14:paraId="463DD381" w14:textId="77777777" w:rsidR="00B56C72" w:rsidRPr="000B2DBD" w:rsidRDefault="009D02FB">
      <w:pPr>
        <w:pStyle w:val="FootnoteText"/>
      </w:pPr>
      <w:r w:rsidRPr="000B2DBD">
        <w:rPr>
          <w:rStyle w:val="FootnoteReference"/>
        </w:rPr>
        <w:footnoteRef/>
      </w:r>
      <w:r w:rsidRPr="000B2DBD">
        <w:tab/>
        <w:t>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L 331 της 15.12.2010, σ. 12).</w:t>
      </w:r>
    </w:p>
  </w:footnote>
  <w:footnote w:id="3">
    <w:p w14:paraId="4CE7C54B" w14:textId="77777777" w:rsidR="009D02FB" w:rsidRDefault="009D02FB">
      <w:pPr>
        <w:pStyle w:val="FootnoteText"/>
      </w:pPr>
      <w:r w:rsidRPr="000B2DBD">
        <w:rPr>
          <w:rStyle w:val="FootnoteReference"/>
        </w:rPr>
        <w:footnoteRef/>
      </w:r>
      <w:r w:rsidRPr="000B2DBD">
        <w:tab/>
        <w:t>Εκτελεστικός κανονισμός (ΕΕ) 2021/451 της Επιτροπής, της 17ης Δεκεμβρίου 2020, για τη θέσπιση εκτελεστικών τεχνικών προτύπων για την εφαρμογή του κανονισμού (ΕΕ) αριθ. 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 680/2014 (</w:t>
      </w:r>
      <w:r w:rsidRPr="000B2DBD">
        <w:rPr>
          <w:rStyle w:val="Emphasis"/>
          <w:i w:val="0"/>
        </w:rPr>
        <w:t>ΕΕ L 97 της 19.3.2021, σ. 1</w:t>
      </w:r>
      <w:r w:rsidRPr="000B2DB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965E1" w14:textId="77777777" w:rsidR="00B56C72" w:rsidRDefault="00B56C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855AF" w14:textId="76FA1FDF" w:rsidR="00B56C72" w:rsidRDefault="000B2DBD">
    <w:pPr>
      <w:pStyle w:val="Header"/>
    </w:pPr>
    <w:r>
      <w:rPr>
        <w:noProof/>
      </w:rPr>
      <mc:AlternateContent>
        <mc:Choice Requires="wps">
          <w:drawing>
            <wp:anchor distT="0" distB="0" distL="114300" distR="114300" simplePos="0" relativeHeight="251659264" behindDoc="0" locked="0" layoutInCell="0" allowOverlap="1" wp14:anchorId="74A5A538" wp14:editId="76588C20">
              <wp:simplePos x="0" y="0"/>
              <wp:positionH relativeFrom="page">
                <wp:posOffset>0</wp:posOffset>
              </wp:positionH>
              <wp:positionV relativeFrom="page">
                <wp:posOffset>190500</wp:posOffset>
              </wp:positionV>
              <wp:extent cx="7560945" cy="273050"/>
              <wp:effectExtent l="0" t="0" r="0" b="12700"/>
              <wp:wrapNone/>
              <wp:docPr id="1" name="MSIPCM337a4c3dae2b3eca30cb299f"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3D706A" w14:textId="562AC4F2" w:rsidR="000B2DBD" w:rsidRPr="000B2DBD" w:rsidRDefault="000B2DBD" w:rsidP="000B2DBD">
                          <w:pPr>
                            <w:spacing w:before="0" w:after="0"/>
                            <w:jc w:val="left"/>
                            <w:rPr>
                              <w:rFonts w:ascii="Calibri" w:hAnsi="Calibri" w:cs="Calibri"/>
                              <w:color w:val="000000"/>
                            </w:rPr>
                          </w:pPr>
                          <w:r w:rsidRPr="000B2DBD">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4A5A538" id="_x0000_t202" coordsize="21600,21600" o:spt="202" path="m,l,21600r21600,l21600,xe">
              <v:stroke joinstyle="miter"/>
              <v:path gradientshapeok="t" o:connecttype="rect"/>
            </v:shapetype>
            <v:shape id="MSIPCM337a4c3dae2b3eca30cb299f"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" o:allowincell="f" filled="f" stroked="f" strokeweight=".5pt">
              <v:fill o:detectmouseclick="t"/>
              <v:textbox inset="20pt,0,,0">
                <w:txbxContent>
                  <w:p w14:paraId="653D706A" w14:textId="562AC4F2" w:rsidR="000B2DBD" w:rsidRPr="000B2DBD" w:rsidRDefault="000B2DBD" w:rsidP="000B2DBD">
                    <w:pPr>
                      <w:spacing w:before="0" w:after="0"/>
                      <w:jc w:val="left"/>
                      <w:rPr>
                        <w:rFonts w:ascii="Calibri" w:hAnsi="Calibri" w:cs="Calibri"/>
                        <w:color w:val="000000"/>
                      </w:rPr>
                    </w:pPr>
                    <w:r w:rsidRPr="000B2DBD">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7950E" w14:textId="77777777" w:rsidR="00B56C72" w:rsidRDefault="00B56C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1"/>
  </w:num>
  <w:num w:numId="15">
    <w:abstractNumId w:val="0"/>
  </w:num>
  <w:num w:numId="16">
    <w:abstractNumId w:val="21"/>
    <w:lvlOverride w:ilvl="0">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defaultTabStop w:val="720"/>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6:46:3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1"/>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9FFC8EE9-7900-4E91-9253-F3DEEF963A51"/>
    <w:docVar w:name="LW_COVERPAGE_TYPE" w:val="1"/>
    <w:docVar w:name="LW_CROSSREFERENCE" w:val="&lt;UNUSED&gt;"/>
    <w:docVar w:name="LW_DATE.ADOPT.CP" w:val="\u964?\u951?\u962? XXX"/>
    <w:docVar w:name="LW_DATE.ADOPT.CP_DATEFORMAT" w:val="\u964?\u951?\u962? %DATE%"/>
    <w:docVar w:name="LW_DATE.ADOPT.CP_ISODATE" w:val="&lt;EMPTY&gt;"/>
    <w:docVar w:name="LW_DocType" w:val="COM"/>
    <w:docVar w:name="LW_EMISSION" w:val="&lt;EMPTY&gt;"/>
    <w:docVar w:name="LW_EMISSION_ISODATE" w:val="&lt;EMPTY&gt;"/>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963?\u967?\u949?\u964?\u953?\u954?\u940? \u956?\u949? \u964?\u951? \u952?\u941?\u963?\u960?\u953?\u963?\u951? \u949?\u954?\u964?\u949?\u955?\u949?\u963?\u964?\u953?\u954?\u974?\u957? \u964?\u949?\u967?\u957?\u953?\u954?\u974?\u957? \u960?\u961?\u959?\u964?\u973?\u960?\u969?\u957? \u947?\u953?\u945? \u964?\u951?\u957? \u949?\u966?\u945?\u961?\u956?\u959?\u947?\u942? \u964?\u959?\u965? \u954?\u945?\u957?\u959?\u957?\u953?\u963?\u956?\u959?\u973? (\u917?\u917?) 2019/2033 \u964?\u959?\u965? \u917?\u965?\u961?\u969?\u960?\u945?\u970?\u954?\u959?\u973? \u922?\u959?\u953?\u957?\u959?\u946?\u959?\u965?\u955?\u943?\u959?\u965? \u954?\u945?\u953? \u964?\u959?\u965? \u931?\u965?\u956?\u946?\u959?\u965?\u955?\u943?\u959?\u965? \u972?\u963?\u959?\u957? \u945?\u966?\u959?\u961?\u940? \u964?\u951?\u957? \u965?\u960?\u959?\u946?\u959?\u955?\u942? \u949?\u960?\u959?\u960?\u964?\u953?\u954?\u974?\u957? \u945?\u957?\u945?\u966?\u959?\u961?\u974?\u957? \u954?\u945?\u953? \u964?\u953?\u962? \u948?\u951?\u956?\u959?\u963?\u953?\u959?\u960?\u959?\u953?\u942?\u963?\u949?\u953?\u962? \u945?\u960?\u972? \u949?\u960?\u953?\u967?\u949?\u953?\u961?\u942?\u963?\u949?\u953?\u962? \u949?\u960?\u949?\u957?\u948?\u973?\u963?\u949?\u969?\u957?"/>
    <w:docVar w:name="LW_TYPE.DOC.CP" w:val="\u917?\u922?\u932?\u917?\u923?\u917?\u931?\u932?\u921?\u922?\u927?\u931? \u922?\u913?\u925?\u927?\u925?\u921?\u931?\u924?\u927?\u931? (\u917?\u917?) \u8230?/... \u932?\u919?\u931? \u917?\u928?\u921?\u932?\u929?\u927?\u928?\u919?\u931?"/>
  </w:docVars>
  <w:rsids>
    <w:rsidRoot w:val="00B56C72"/>
    <w:rsid w:val="000B2DBD"/>
    <w:rsid w:val="009D02FB"/>
    <w:rsid w:val="00B56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6BC6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pPr>
      <w:keepNext/>
      <w:numPr>
        <w:numId w:val="2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2"/>
      </w:numPr>
      <w:contextualSpacing/>
    </w:pPr>
  </w:style>
  <w:style w:type="paragraph" w:styleId="ListNumber2">
    <w:name w:val="List Number 2"/>
    <w:basedOn w:val="Normal"/>
    <w:uiPriority w:val="99"/>
    <w:semiHidden/>
    <w:unhideWhenUsed/>
    <w:pPr>
      <w:numPr>
        <w:numId w:val="13"/>
      </w:numPr>
      <w:contextualSpacing/>
    </w:pPr>
  </w:style>
  <w:style w:type="paragraph" w:styleId="ListNumber3">
    <w:name w:val="List Number 3"/>
    <w:basedOn w:val="Normal"/>
    <w:uiPriority w:val="99"/>
    <w:semiHidden/>
    <w:unhideWhenUsed/>
    <w:pPr>
      <w:numPr>
        <w:numId w:val="14"/>
      </w:numPr>
      <w:contextualSpacing/>
    </w:pPr>
  </w:style>
  <w:style w:type="paragraph" w:styleId="ListNumber4">
    <w:name w:val="List Number 4"/>
    <w:basedOn w:val="Normal"/>
    <w:uiPriority w:val="99"/>
    <w:semiHidden/>
    <w:unhideWhenUsed/>
    <w:pPr>
      <w:numPr>
        <w:numId w:val="15"/>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l-GR"/>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l-GR"/>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2"/>
      </w:numPr>
    </w:pPr>
  </w:style>
  <w:style w:type="paragraph" w:customStyle="1" w:styleId="NumPar2">
    <w:name w:val="NumPar 2"/>
    <w:basedOn w:val="Normal"/>
    <w:next w:val="Text1"/>
    <w:pPr>
      <w:numPr>
        <w:ilvl w:val="1"/>
        <w:numId w:val="22"/>
      </w:numPr>
    </w:pPr>
  </w:style>
  <w:style w:type="paragraph" w:customStyle="1" w:styleId="NumPar3">
    <w:name w:val="NumPar 3"/>
    <w:basedOn w:val="Normal"/>
    <w:next w:val="Text1"/>
    <w:pPr>
      <w:numPr>
        <w:ilvl w:val="2"/>
        <w:numId w:val="22"/>
      </w:numPr>
    </w:pPr>
  </w:style>
  <w:style w:type="paragraph" w:customStyle="1" w:styleId="NumPar4">
    <w:name w:val="NumPar 4"/>
    <w:basedOn w:val="Normal"/>
    <w:next w:val="Text1"/>
    <w:pPr>
      <w:numPr>
        <w:ilvl w:val="3"/>
        <w:numId w:val="2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4"/>
      </w:numPr>
    </w:pPr>
  </w:style>
  <w:style w:type="paragraph" w:customStyle="1" w:styleId="Point1number">
    <w:name w:val="Point 1 (number)"/>
    <w:basedOn w:val="Normal"/>
    <w:pPr>
      <w:numPr>
        <w:ilvl w:val="2"/>
        <w:numId w:val="24"/>
      </w:numPr>
    </w:pPr>
  </w:style>
  <w:style w:type="paragraph" w:customStyle="1" w:styleId="Point2number">
    <w:name w:val="Point 2 (number)"/>
    <w:basedOn w:val="Normal"/>
    <w:pPr>
      <w:numPr>
        <w:ilvl w:val="4"/>
        <w:numId w:val="24"/>
      </w:numPr>
    </w:pPr>
  </w:style>
  <w:style w:type="paragraph" w:customStyle="1" w:styleId="Point3number">
    <w:name w:val="Point 3 (number)"/>
    <w:basedOn w:val="Normal"/>
    <w:pPr>
      <w:numPr>
        <w:ilvl w:val="6"/>
        <w:numId w:val="24"/>
      </w:numPr>
    </w:pPr>
  </w:style>
  <w:style w:type="paragraph" w:customStyle="1" w:styleId="Point0letter">
    <w:name w:val="Point 0 (letter)"/>
    <w:basedOn w:val="Normal"/>
    <w:pPr>
      <w:numPr>
        <w:ilvl w:val="1"/>
        <w:numId w:val="24"/>
      </w:numPr>
    </w:pPr>
  </w:style>
  <w:style w:type="paragraph" w:customStyle="1" w:styleId="Point1letter">
    <w:name w:val="Point 1 (letter)"/>
    <w:basedOn w:val="Normal"/>
    <w:pPr>
      <w:numPr>
        <w:ilvl w:val="3"/>
        <w:numId w:val="24"/>
      </w:numPr>
    </w:pPr>
  </w:style>
  <w:style w:type="paragraph" w:customStyle="1" w:styleId="Point2letter">
    <w:name w:val="Point 2 (letter)"/>
    <w:basedOn w:val="Normal"/>
    <w:pPr>
      <w:numPr>
        <w:ilvl w:val="5"/>
        <w:numId w:val="24"/>
      </w:numPr>
    </w:pPr>
  </w:style>
  <w:style w:type="paragraph" w:customStyle="1" w:styleId="Point3letter">
    <w:name w:val="Point 3 (letter)"/>
    <w:basedOn w:val="Normal"/>
    <w:pPr>
      <w:numPr>
        <w:ilvl w:val="7"/>
        <w:numId w:val="24"/>
      </w:numPr>
    </w:pPr>
  </w:style>
  <w:style w:type="paragraph" w:customStyle="1" w:styleId="Point4letter">
    <w:name w:val="Point 4 (letter)"/>
    <w:basedOn w:val="Normal"/>
    <w:pPr>
      <w:numPr>
        <w:ilvl w:val="8"/>
        <w:numId w:val="24"/>
      </w:numPr>
    </w:pPr>
  </w:style>
  <w:style w:type="paragraph" w:customStyle="1" w:styleId="Bullet0">
    <w:name w:val="Bullet 0"/>
    <w:basedOn w:val="Normal"/>
    <w:pPr>
      <w:numPr>
        <w:numId w:val="25"/>
      </w:numPr>
    </w:pPr>
  </w:style>
  <w:style w:type="paragraph" w:customStyle="1" w:styleId="Bullet1">
    <w:name w:val="Bullet 1"/>
    <w:basedOn w:val="Normal"/>
    <w:pPr>
      <w:numPr>
        <w:numId w:val="26"/>
      </w:numPr>
    </w:pPr>
  </w:style>
  <w:style w:type="paragraph" w:customStyle="1" w:styleId="Bullet2">
    <w:name w:val="Bullet 2"/>
    <w:basedOn w:val="Normal"/>
    <w:pPr>
      <w:numPr>
        <w:numId w:val="27"/>
      </w:numPr>
    </w:pPr>
  </w:style>
  <w:style w:type="paragraph" w:customStyle="1" w:styleId="Bullet3">
    <w:name w:val="Bullet 3"/>
    <w:basedOn w:val="Normal"/>
    <w:pPr>
      <w:numPr>
        <w:numId w:val="28"/>
      </w:numPr>
    </w:pPr>
  </w:style>
  <w:style w:type="paragraph" w:customStyle="1" w:styleId="Bullet4">
    <w:name w:val="Bullet 4"/>
    <w:basedOn w:val="Normal"/>
    <w:pPr>
      <w:numPr>
        <w:numId w:val="2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character" w:styleId="Emphasis">
    <w:name w:val="Emphasis"/>
    <w:basedOn w:val="DefaultParagraphFont"/>
    <w:uiPriority w:val="20"/>
    <w:qFormat/>
    <w:rsid w:val="009D02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56C32-5EF3-4133-B93F-175094C9D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2604</Words>
  <Characters>14843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2021-11-25T15:01:00Z</dcterms:created>
  <dcterms:modified xsi:type="dcterms:W3CDTF">2022-01-14T15:36:00Z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2022-01-14T15:36:27Z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1e4ae818-f2cd-477b-a499-91f800a89bcc</vt:lpwstr>
  </property>
  <property fmtid="{D5CDD505-2E9C-101B-9397-08002B2CF9AE}" pid="15" name="MSIP_Label_5c7eb9de-735b-4a68-8fe4-c9c62709b012_ContentBits">
    <vt:lpwstr>1</vt:lpwstr>
  </property>
</Properties>
</file>