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FI</w:t>
      </w:r>
      <w:r>
        <w:br/>
      </w:r>
      <w:r>
        <w:rPr>
          <w:rFonts w:ascii="Times New Roman" w:hAnsi="Times New Roman"/>
          <w:b/>
          <w:sz w:val="24"/>
          <w:szCs w:val="20"/>
        </w:rPr>
        <w:t>LIITE IV</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”LIITE </w:t>
      </w:r>
      <w:bookmarkEnd w:id="0"/>
      <w:bookmarkEnd w:id="1"/>
      <w:r>
        <w:rPr>
          <w:rFonts w:ascii="Times New Roman" w:hAnsi="Times New Roman"/>
          <w:b/>
          <w:sz w:val="24"/>
          <w:szCs w:val="20"/>
          <w:u w:val="single"/>
        </w:rPr>
        <w:t>IV</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PIENIÄ JA ILMAN SIDOSSUHTEITA OLEVIA SIJOITUSPALVELUYRITYKSIÄ KOSKEVA RAPORTOINTI</w:t>
      </w:r>
    </w:p>
    <w:p>
      <w:pPr>
        <w:spacing w:after="0" w:line="240" w:lineRule="auto"/>
        <w:rPr>
          <w:rFonts w:ascii="Times New Roman" w:hAnsi="Times New Roman"/>
          <w:sz w:val="24"/>
          <w:szCs w:val="24"/>
          <w:lang w:val="en-GB"/>
        </w:rPr>
      </w:pPr>
      <w:r>
        <w:rPr>
          <w:rFonts w:ascii="Times New Roman" w:hAnsi="Times New Roman"/>
          <w:sz w:val="24"/>
          <w:szCs w:val="24"/>
          <w:lang w:val="en-GB"/>
        </w:rPr>
        <w:t>Sisällysluettelo</w:t>
      </w:r>
    </w:p>
    <w:p>
      <w:pPr>
        <w:pStyle w:val="TOC2"/>
        <w:rPr>
          <w:rFonts w:eastAsiaTheme="minorEastAsia"/>
          <w:noProof/>
          <w:lang w:eastAsia="fi-FI"/>
        </w:rPr>
      </w:pPr>
      <w:r>
        <w:rPr>
          <w:rFonts w:ascii="Times New Roman" w:hAnsi="Times New Roman"/>
          <w:noProof/>
        </w:rPr>
        <w:t>I OSA: YLEISET OHJEET</w:t>
      </w:r>
      <w:r>
        <w:rPr>
          <w:noProof/>
        </w:rPr>
        <w:tab/>
        <w:t>2</w:t>
      </w:r>
    </w:p>
    <w:p>
      <w:pPr>
        <w:pStyle w:val="TOC2"/>
        <w:rPr>
          <w:rFonts w:eastAsiaTheme="minorEastAsia"/>
          <w:noProof/>
          <w:lang w:eastAsia="fi-FI"/>
        </w:rPr>
      </w:pPr>
      <w:r>
        <w:rPr>
          <w:rFonts w:ascii="Times New Roman" w:hAnsi="Times New Roman"/>
          <w:noProof/>
        </w:rPr>
        <w:t>1. Rakenne ja käytännöt</w:t>
      </w:r>
      <w:r>
        <w:rPr>
          <w:noProof/>
        </w:rPr>
        <w:tab/>
        <w:t>2</w:t>
      </w:r>
    </w:p>
    <w:p>
      <w:pPr>
        <w:pStyle w:val="TOC2"/>
        <w:rPr>
          <w:rFonts w:eastAsiaTheme="minorEastAsia"/>
          <w:noProof/>
          <w:lang w:eastAsia="fi-FI"/>
        </w:rPr>
      </w:pPr>
      <w:r>
        <w:rPr>
          <w:rFonts w:ascii="Times New Roman" w:hAnsi="Times New Roman"/>
          <w:noProof/>
          <w:u w:val="single"/>
        </w:rPr>
        <w:t>1.1. Rakenne</w:t>
      </w:r>
      <w:r>
        <w:rPr>
          <w:noProof/>
        </w:rPr>
        <w:tab/>
        <w:t>2</w:t>
      </w:r>
    </w:p>
    <w:p>
      <w:pPr>
        <w:pStyle w:val="TOC2"/>
        <w:rPr>
          <w:rFonts w:eastAsiaTheme="minorEastAsia"/>
          <w:noProof/>
          <w:lang w:eastAsia="fi-FI"/>
        </w:rPr>
      </w:pPr>
      <w:r>
        <w:rPr>
          <w:rFonts w:ascii="Times New Roman" w:hAnsi="Times New Roman"/>
          <w:noProof/>
          <w:u w:val="single"/>
        </w:rPr>
        <w:t>1.2. Numerointikäytäntö</w:t>
      </w:r>
      <w:r>
        <w:rPr>
          <w:noProof/>
        </w:rPr>
        <w:tab/>
        <w:t>2</w:t>
      </w:r>
    </w:p>
    <w:p>
      <w:pPr>
        <w:pStyle w:val="TOC2"/>
        <w:rPr>
          <w:rFonts w:eastAsiaTheme="minorEastAsia"/>
          <w:noProof/>
          <w:lang w:eastAsia="fi-FI"/>
        </w:rPr>
      </w:pPr>
      <w:r>
        <w:rPr>
          <w:rFonts w:ascii="Times New Roman" w:hAnsi="Times New Roman"/>
          <w:noProof/>
          <w:u w:val="single"/>
        </w:rPr>
        <w:t>1.3. Merkkikäytäntö</w:t>
      </w:r>
      <w:r>
        <w:rPr>
          <w:noProof/>
        </w:rPr>
        <w:tab/>
        <w:t>2</w:t>
      </w:r>
    </w:p>
    <w:p>
      <w:pPr>
        <w:pStyle w:val="TOC2"/>
        <w:rPr>
          <w:rFonts w:eastAsiaTheme="minorEastAsia"/>
          <w:noProof/>
          <w:lang w:eastAsia="fi-FI"/>
        </w:rPr>
      </w:pPr>
      <w:r>
        <w:rPr>
          <w:rFonts w:ascii="Times New Roman" w:hAnsi="Times New Roman"/>
          <w:noProof/>
          <w:u w:val="single"/>
        </w:rPr>
        <w:t>1.4 Varovaisuusperiaatteen mukainen konsolidointi</w:t>
      </w:r>
      <w:r>
        <w:rPr>
          <w:noProof/>
        </w:rPr>
        <w:tab/>
        <w:t>2</w:t>
      </w:r>
    </w:p>
    <w:p>
      <w:pPr>
        <w:pStyle w:val="TOC2"/>
        <w:rPr>
          <w:rFonts w:eastAsiaTheme="minorEastAsia"/>
          <w:noProof/>
          <w:lang w:eastAsia="fi-FI"/>
        </w:rPr>
      </w:pPr>
      <w:r>
        <w:rPr>
          <w:rFonts w:ascii="Times New Roman" w:hAnsi="Times New Roman"/>
          <w:noProof/>
        </w:rPr>
        <w:t>II OSA: LOMAKKEISIIN LIITTYVÄT OHJEET</w:t>
      </w:r>
      <w:r>
        <w:rPr>
          <w:noProof/>
        </w:rPr>
        <w:tab/>
        <w:t>3</w:t>
      </w:r>
    </w:p>
    <w:p>
      <w:pPr>
        <w:pStyle w:val="TOC2"/>
        <w:rPr>
          <w:rFonts w:eastAsiaTheme="minorEastAsia"/>
          <w:noProof/>
          <w:lang w:eastAsia="fi-FI"/>
        </w:rPr>
      </w:pPr>
      <w:r>
        <w:rPr>
          <w:rFonts w:ascii="Times New Roman" w:hAnsi="Times New Roman"/>
          <w:b/>
          <w:noProof/>
        </w:rPr>
        <w:t>1. OMAT VARAT: TASO, KOOSTUMUS, VAATIMUKSET JA LASKELMAT</w:t>
      </w:r>
      <w:r>
        <w:rPr>
          <w:noProof/>
        </w:rPr>
        <w:tab/>
        <w:t>3</w:t>
      </w:r>
    </w:p>
    <w:p>
      <w:pPr>
        <w:pStyle w:val="TOC2"/>
        <w:rPr>
          <w:rFonts w:eastAsiaTheme="minorEastAsia"/>
          <w:noProof/>
          <w:lang w:eastAsia="fi-FI"/>
        </w:rPr>
      </w:pPr>
      <w:r>
        <w:rPr>
          <w:rFonts w:ascii="Times New Roman" w:hAnsi="Times New Roman"/>
          <w:noProof/>
        </w:rPr>
        <w:t>1.1. Yleiset huomiot</w:t>
      </w:r>
      <w:r>
        <w:rPr>
          <w:noProof/>
        </w:rPr>
        <w:tab/>
        <w:t>3</w:t>
      </w:r>
    </w:p>
    <w:p>
      <w:pPr>
        <w:pStyle w:val="TOC2"/>
        <w:rPr>
          <w:rFonts w:eastAsiaTheme="minorEastAsia"/>
          <w:noProof/>
          <w:lang w:eastAsia="fi-FI"/>
        </w:rPr>
      </w:pPr>
      <w:r>
        <w:rPr>
          <w:rFonts w:ascii="Times New Roman" w:hAnsi="Times New Roman"/>
          <w:noProof/>
        </w:rPr>
        <w:t>1.2. I 01.01 – OMIEN VAROJEN KOOSTUMUS (I 1.1)</w:t>
      </w:r>
      <w:r>
        <w:rPr>
          <w:noProof/>
        </w:rPr>
        <w:tab/>
        <w:t>3</w:t>
      </w:r>
    </w:p>
    <w:p>
      <w:pPr>
        <w:pStyle w:val="TOC2"/>
        <w:rPr>
          <w:rFonts w:eastAsiaTheme="minorEastAsia"/>
          <w:noProof/>
          <w:lang w:eastAsia="fi-FI"/>
        </w:rPr>
      </w:pPr>
      <w:r>
        <w:rPr>
          <w:rFonts w:ascii="Times New Roman" w:hAnsi="Times New Roman"/>
          <w:noProof/>
        </w:rPr>
        <w:t>1.2.1</w:t>
      </w:r>
      <w:r>
        <w:rPr>
          <w:rFonts w:ascii="Times New Roman" w:hAnsi="Times New Roman"/>
          <w:noProof/>
        </w:rPr>
        <w:tab/>
        <w:t>Positiokohtaiset ohjeet</w:t>
      </w:r>
      <w:r>
        <w:rPr>
          <w:noProof/>
        </w:rPr>
        <w:tab/>
        <w:t>3</w:t>
      </w:r>
    </w:p>
    <w:p>
      <w:pPr>
        <w:pStyle w:val="TOC2"/>
        <w:rPr>
          <w:rFonts w:eastAsiaTheme="minorEastAsia"/>
          <w:noProof/>
          <w:lang w:eastAsia="fi-FI"/>
        </w:rPr>
      </w:pPr>
      <w:r>
        <w:rPr>
          <w:rFonts w:ascii="Times New Roman" w:hAnsi="Times New Roman"/>
          <w:noProof/>
        </w:rPr>
        <w:t>1.3. I 02.03 – OMIEN VAROJEN VAATIMUKSET (I 2.3)</w:t>
      </w:r>
      <w:r>
        <w:rPr>
          <w:noProof/>
        </w:rPr>
        <w:tab/>
        <w:t>8</w:t>
      </w:r>
    </w:p>
    <w:p>
      <w:pPr>
        <w:pStyle w:val="TOC2"/>
        <w:rPr>
          <w:rFonts w:eastAsiaTheme="minorEastAsia"/>
          <w:noProof/>
          <w:lang w:eastAsia="fi-FI"/>
        </w:rPr>
      </w:pPr>
      <w:r>
        <w:rPr>
          <w:rFonts w:ascii="Times New Roman" w:hAnsi="Times New Roman"/>
          <w:noProof/>
        </w:rPr>
        <w:t>1.3.1</w:t>
      </w:r>
      <w:r>
        <w:rPr>
          <w:rFonts w:ascii="Times New Roman" w:hAnsi="Times New Roman"/>
          <w:noProof/>
        </w:rPr>
        <w:tab/>
      </w:r>
      <w:r>
        <w:rPr>
          <w:rFonts w:ascii="Times New Roman" w:hAnsi="Times New Roman"/>
          <w:noProof/>
          <w:u w:val="single"/>
        </w:rPr>
        <w:t>Positiokohtaiset ohjeet</w:t>
      </w:r>
      <w:r>
        <w:rPr>
          <w:noProof/>
        </w:rPr>
        <w:tab/>
        <w:t>8</w:t>
      </w:r>
    </w:p>
    <w:p>
      <w:pPr>
        <w:pStyle w:val="TOC2"/>
        <w:rPr>
          <w:rFonts w:eastAsiaTheme="minorEastAsia"/>
          <w:noProof/>
          <w:lang w:eastAsia="fi-FI"/>
        </w:rPr>
      </w:pPr>
      <w:r>
        <w:rPr>
          <w:rFonts w:ascii="Times New Roman" w:hAnsi="Times New Roman"/>
          <w:noProof/>
        </w:rPr>
        <w:t>1.4. I 02.04 – VAKAVARAISUUSSUHTEET (I 2.4)</w:t>
      </w:r>
      <w:r>
        <w:rPr>
          <w:noProof/>
        </w:rPr>
        <w:tab/>
        <w:t>9</w:t>
      </w:r>
    </w:p>
    <w:p>
      <w:pPr>
        <w:pStyle w:val="TOC2"/>
        <w:rPr>
          <w:rFonts w:eastAsiaTheme="minorEastAsia"/>
          <w:noProof/>
          <w:lang w:eastAsia="fi-FI"/>
        </w:rPr>
      </w:pPr>
      <w:r>
        <w:rPr>
          <w:rFonts w:ascii="Times New Roman" w:hAnsi="Times New Roman"/>
          <w:noProof/>
        </w:rPr>
        <w:t>1.4.1</w:t>
      </w:r>
      <w:r>
        <w:rPr>
          <w:rFonts w:ascii="Times New Roman" w:hAnsi="Times New Roman"/>
          <w:noProof/>
        </w:rPr>
        <w:tab/>
      </w:r>
      <w:r>
        <w:rPr>
          <w:rFonts w:ascii="Times New Roman" w:hAnsi="Times New Roman"/>
          <w:noProof/>
          <w:u w:val="single"/>
        </w:rPr>
        <w:t>Positiokohtaiset ohjeet</w:t>
      </w:r>
      <w:r>
        <w:rPr>
          <w:noProof/>
        </w:rPr>
        <w:tab/>
        <w:t>9</w:t>
      </w:r>
    </w:p>
    <w:p>
      <w:pPr>
        <w:pStyle w:val="TOC2"/>
        <w:rPr>
          <w:rFonts w:eastAsiaTheme="minorEastAsia"/>
          <w:noProof/>
          <w:lang w:eastAsia="fi-FI"/>
        </w:rPr>
      </w:pPr>
      <w:r>
        <w:rPr>
          <w:rFonts w:ascii="Times New Roman" w:hAnsi="Times New Roman"/>
          <w:noProof/>
        </w:rPr>
        <w:t>1.5. I 03.01 – KIINTEITÄ YLEISKUSTANNUKSIA KOSKEVAN VAATIMUKSEN LASKENTA (I 3.1)</w:t>
      </w:r>
      <w:r>
        <w:rPr>
          <w:noProof/>
        </w:rPr>
        <w:tab/>
        <w:t>11</w:t>
      </w:r>
    </w:p>
    <w:p>
      <w:pPr>
        <w:pStyle w:val="TOC2"/>
        <w:rPr>
          <w:rFonts w:eastAsiaTheme="minorEastAsia"/>
          <w:noProof/>
          <w:lang w:eastAsia="fi-FI"/>
        </w:rPr>
      </w:pPr>
      <w:r>
        <w:rPr>
          <w:rFonts w:ascii="Times New Roman" w:hAnsi="Times New Roman"/>
          <w:noProof/>
        </w:rPr>
        <w:t>1.5.1</w:t>
      </w:r>
      <w:r>
        <w:rPr>
          <w:rFonts w:ascii="Times New Roman" w:hAnsi="Times New Roman"/>
          <w:noProof/>
        </w:rPr>
        <w:tab/>
      </w:r>
      <w:r>
        <w:rPr>
          <w:rFonts w:ascii="Times New Roman" w:hAnsi="Times New Roman"/>
          <w:noProof/>
          <w:u w:val="single"/>
        </w:rPr>
        <w:t>Positiokohtaiset ohjeet</w:t>
      </w:r>
      <w:r>
        <w:rPr>
          <w:noProof/>
        </w:rPr>
        <w:tab/>
        <w:t>11</w:t>
      </w:r>
    </w:p>
    <w:p>
      <w:pPr>
        <w:pStyle w:val="TOC2"/>
        <w:rPr>
          <w:rFonts w:eastAsiaTheme="minorEastAsia"/>
          <w:noProof/>
          <w:lang w:eastAsia="fi-FI"/>
        </w:rPr>
      </w:pPr>
      <w:r>
        <w:rPr>
          <w:rFonts w:ascii="Times New Roman" w:hAnsi="Times New Roman"/>
          <w:noProof/>
        </w:rPr>
        <w:t>2. PIENET JA ILMAN SIDOSSUHTEITA OLEVAT SIJOITUSPALVELUYRITYKSET</w:t>
      </w:r>
      <w:r>
        <w:rPr>
          <w:noProof/>
        </w:rPr>
        <w:tab/>
        <w:t>13</w:t>
      </w:r>
    </w:p>
    <w:p>
      <w:pPr>
        <w:pStyle w:val="TOC2"/>
        <w:rPr>
          <w:rFonts w:eastAsiaTheme="minorEastAsia"/>
          <w:noProof/>
          <w:lang w:eastAsia="fi-FI"/>
        </w:rPr>
      </w:pPr>
      <w:r>
        <w:rPr>
          <w:rFonts w:ascii="Times New Roman" w:hAnsi="Times New Roman"/>
          <w:noProof/>
        </w:rPr>
        <w:t>2,1</w:t>
      </w:r>
      <w:r>
        <w:rPr>
          <w:rFonts w:eastAsiaTheme="minorEastAsia"/>
          <w:noProof/>
          <w:lang w:eastAsia="fi-FI"/>
        </w:rPr>
        <w:tab/>
      </w:r>
      <w:r>
        <w:rPr>
          <w:rFonts w:ascii="Times New Roman" w:hAnsi="Times New Roman"/>
          <w:noProof/>
          <w:u w:val="single"/>
        </w:rPr>
        <w:t>I 05.00 – TOIMINNAN LAAJUUS – KYNNYSARVOJEN TARKASTELU (I 5)</w:t>
      </w:r>
      <w:r>
        <w:rPr>
          <w:noProof/>
        </w:rPr>
        <w:tab/>
        <w:t>13</w:t>
      </w:r>
    </w:p>
    <w:p>
      <w:pPr>
        <w:pStyle w:val="TOC2"/>
        <w:rPr>
          <w:rFonts w:eastAsiaTheme="minorEastAsia"/>
          <w:noProof/>
          <w:lang w:eastAsia="fi-FI"/>
        </w:rPr>
      </w:pPr>
      <w:r>
        <w:rPr>
          <w:rFonts w:ascii="Times New Roman" w:hAnsi="Times New Roman"/>
          <w:noProof/>
        </w:rPr>
        <w:t>2.1.1</w:t>
      </w:r>
      <w:r>
        <w:rPr>
          <w:rFonts w:ascii="Times New Roman" w:hAnsi="Times New Roman"/>
          <w:noProof/>
        </w:rPr>
        <w:tab/>
      </w:r>
      <w:r>
        <w:rPr>
          <w:rFonts w:ascii="Times New Roman" w:hAnsi="Times New Roman"/>
          <w:noProof/>
          <w:u w:val="single"/>
        </w:rPr>
        <w:t>Positiokohtaiset ohjeet</w:t>
      </w:r>
      <w:r>
        <w:rPr>
          <w:noProof/>
        </w:rPr>
        <w:tab/>
        <w:t>13</w:t>
      </w:r>
    </w:p>
    <w:p>
      <w:pPr>
        <w:pStyle w:val="TOC2"/>
        <w:rPr>
          <w:rFonts w:eastAsiaTheme="minorEastAsia"/>
          <w:noProof/>
          <w:lang w:eastAsia="fi-FI"/>
        </w:rPr>
      </w:pPr>
      <w:r>
        <w:rPr>
          <w:rFonts w:ascii="Times New Roman" w:hAnsi="Times New Roman"/>
          <w:b/>
          <w:noProof/>
        </w:rPr>
        <w:t>3. MAKSUVALMIUSVAATIMUKSET</w:t>
      </w:r>
      <w:r>
        <w:rPr>
          <w:noProof/>
        </w:rPr>
        <w:tab/>
        <w:t>16</w:t>
      </w:r>
    </w:p>
    <w:p>
      <w:pPr>
        <w:pStyle w:val="TOC2"/>
        <w:rPr>
          <w:rFonts w:eastAsiaTheme="minorEastAsia"/>
          <w:noProof/>
          <w:lang w:eastAsia="fi-FI"/>
        </w:rPr>
      </w:pPr>
      <w:r>
        <w:rPr>
          <w:rFonts w:ascii="Times New Roman" w:hAnsi="Times New Roman"/>
          <w:noProof/>
          <w:u w:val="single"/>
        </w:rPr>
        <w:t>3.1. I 09.01 – MAKSUVALMIUSVAATIMUKSET (I 9.1)</w:t>
      </w:r>
      <w:r>
        <w:rPr>
          <w:noProof/>
        </w:rPr>
        <w:tab/>
        <w:t>16</w:t>
      </w:r>
    </w:p>
    <w:p>
      <w:pPr>
        <w:pStyle w:val="TOC2"/>
        <w:rPr>
          <w:rFonts w:eastAsiaTheme="minorEastAsia"/>
          <w:noProof/>
          <w:lang w:eastAsia="fi-FI"/>
        </w:rPr>
      </w:pPr>
      <w:r>
        <w:rPr>
          <w:rFonts w:ascii="Times New Roman" w:hAnsi="Times New Roman"/>
          <w:noProof/>
        </w:rPr>
        <w:t>3.1.1</w:t>
      </w:r>
      <w:r>
        <w:rPr>
          <w:rFonts w:ascii="Times New Roman" w:hAnsi="Times New Roman"/>
          <w:noProof/>
        </w:rPr>
        <w:tab/>
      </w:r>
      <w:r>
        <w:rPr>
          <w:rFonts w:ascii="Times New Roman" w:hAnsi="Times New Roman"/>
          <w:noProof/>
          <w:u w:val="single"/>
        </w:rPr>
        <w:t>Positiokohtaiset ohjeet</w:t>
      </w:r>
      <w:r>
        <w:rPr>
          <w:noProof/>
        </w:rPr>
        <w:tab/>
        <w:t>16</w:t>
      </w:r>
      <w:bookmarkStart w:id="7" w:name="_Toc360188322"/>
      <w:bookmarkStart w:id="8" w:name="_Toc473560870"/>
      <w:bookmarkStart w:id="9" w:name="_Toc7084155"/>
    </w:p>
    <w:p>
      <w:pPr>
        <w:pStyle w:val="Heading2"/>
        <w:rPr>
          <w:rFonts w:ascii="Times New Roman" w:hAnsi="Times New Roman"/>
        </w:rPr>
      </w:pPr>
      <w:bookmarkStart w:id="10" w:name="_Toc88216578"/>
      <w:r>
        <w:rPr>
          <w:rFonts w:ascii="Times New Roman" w:hAnsi="Times New Roman"/>
        </w:rPr>
        <w:t>I OSA: YLEISET OHJEET</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8216579"/>
      <w:r>
        <w:rPr>
          <w:rFonts w:ascii="Times New Roman" w:hAnsi="Times New Roman"/>
          <w:sz w:val="24"/>
          <w:szCs w:val="24"/>
        </w:rPr>
        <w:t>1. Rakenne ja käytännöt</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8216580"/>
      <w:r>
        <w:rPr>
          <w:rFonts w:ascii="Times New Roman" w:hAnsi="Times New Roman"/>
          <w:sz w:val="24"/>
          <w:szCs w:val="24"/>
          <w:u w:val="single"/>
        </w:rPr>
        <w:t>1.1. Rakenne</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Kehys koostuu kaiken kaikkiaan seuraavista tietokokonaisuuksista:</w:t>
      </w:r>
    </w:p>
    <w:p>
      <w:pPr>
        <w:spacing w:line="256" w:lineRule="auto"/>
        <w:ind w:left="1728" w:hanging="648"/>
        <w:jc w:val="both"/>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ab/>
      </w:r>
      <w:r>
        <w:rPr>
          <w:rFonts w:ascii="Times New Roman" w:hAnsi="Times New Roman"/>
        </w:rPr>
        <w:t>omat varat;</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omien varojen vaatimuksia koskevat laskelmat;</w:t>
      </w:r>
    </w:p>
    <w:p>
      <w:pPr>
        <w:spacing w:line="256" w:lineRule="auto"/>
        <w:ind w:left="1728" w:hanging="648"/>
        <w:jc w:val="both"/>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rPr>
        <w:t>kiinteitä yleiskustannuksia koskevan vaatimuksen laskenta;</w:t>
      </w:r>
    </w:p>
    <w:p>
      <w:pPr>
        <w:spacing w:line="256" w:lineRule="auto"/>
        <w:ind w:left="1728" w:hanging="648"/>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rPr>
        <w:t>toiminnan laajuus asetuksen (EU) 2019/2033 12 artiklan 1 kohdassa säädettyjen edellytysten perusteella;</w:t>
      </w:r>
    </w:p>
    <w:p>
      <w:pPr>
        <w:spacing w:line="256" w:lineRule="auto"/>
        <w:ind w:left="1728" w:hanging="648"/>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r>
      <w:r>
        <w:rPr>
          <w:rFonts w:ascii="Times New Roman" w:hAnsi="Times New Roman"/>
        </w:rPr>
        <w:t>maksuvalmiusvaatimukset.</w:t>
      </w:r>
    </w:p>
    <w:p>
      <w:pPr>
        <w:pStyle w:val="InstructionsText2"/>
        <w:numPr>
          <w:ilvl w:val="0"/>
          <w:numId w:val="0"/>
        </w:numPr>
        <w:ind w:left="360" w:hanging="360"/>
      </w:pPr>
      <w:r>
        <w:t>2.</w:t>
      </w:r>
      <w:r>
        <w:tab/>
        <w:t>Kunkin lomakkeen osalta annetaan lainsäädäntöviittaukset. Tämä asetuksen osa sisältää tarkemmat lisätiedot kunkin lomakesarjan raportointiin liittyvistä yleisistä näkökohdista sekä positiokohtaiset ohjeet ja validointisäännöt.</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8216581"/>
      <w:r>
        <w:rPr>
          <w:rFonts w:ascii="Times New Roman" w:hAnsi="Times New Roman"/>
          <w:sz w:val="24"/>
          <w:szCs w:val="24"/>
          <w:u w:val="single"/>
        </w:rPr>
        <w:t>1.2. Numerointikäytäntö</w:t>
      </w:r>
      <w:bookmarkEnd w:id="13"/>
    </w:p>
    <w:p>
      <w:pPr>
        <w:pStyle w:val="InstructionsText2"/>
        <w:numPr>
          <w:ilvl w:val="0"/>
          <w:numId w:val="0"/>
        </w:numPr>
        <w:ind w:left="360" w:hanging="360"/>
      </w:pPr>
      <w:r>
        <w:t>3.</w:t>
      </w:r>
      <w:r>
        <w:tab/>
        <w:t>Tässä asiakirjassa noudatetaan 4–7 kohdassa esitettyä merkintäkäytäntöä, kun viitataan lomakkeiden sarakkeisiin, riveihin ja soluihin. Kyseisiä numerokoodeja käytetään laajasti validointisäännöissä.</w:t>
      </w:r>
    </w:p>
    <w:p>
      <w:pPr>
        <w:pStyle w:val="InstructionsText2"/>
        <w:numPr>
          <w:ilvl w:val="0"/>
          <w:numId w:val="0"/>
        </w:numPr>
        <w:ind w:left="360" w:hanging="360"/>
      </w:pPr>
      <w:r>
        <w:t>4.</w:t>
      </w:r>
      <w:r>
        <w:tab/>
        <w:t>Ohjeissa noudatetaan seuraavaa yleistä merkintätapaa: {lomake; rivi; sarake}.</w:t>
      </w:r>
    </w:p>
    <w:p>
      <w:pPr>
        <w:pStyle w:val="InstructionsText2"/>
        <w:numPr>
          <w:ilvl w:val="0"/>
          <w:numId w:val="0"/>
        </w:numPr>
        <w:ind w:left="360" w:hanging="360"/>
      </w:pPr>
      <w:r>
        <w:t>5.</w:t>
      </w:r>
      <w:r>
        <w:tab/>
        <w:t>Kun on kyse lomakkeen sisällä tehtävistä validoinneista, joissa käytetään ainoastaan kyseiseen lomakkeeseen sisältyviä tietoelementtejä, merkinnöissä ei viitata itse lomakkeeseen: {rivi; sarake}.</w:t>
      </w:r>
    </w:p>
    <w:p>
      <w:pPr>
        <w:pStyle w:val="InstructionsText2"/>
        <w:numPr>
          <w:ilvl w:val="0"/>
          <w:numId w:val="0"/>
        </w:numPr>
        <w:ind w:left="360" w:hanging="360"/>
      </w:pPr>
      <w:r>
        <w:t>6.</w:t>
      </w:r>
      <w:r>
        <w:tab/>
        <w:t>Lomakkeissa, joissa on ainoastaan yksi sarake, viitataan vain riveihin: {lomake; rivi}.</w:t>
      </w:r>
    </w:p>
    <w:p>
      <w:pPr>
        <w:pStyle w:val="InstructionsText2"/>
        <w:numPr>
          <w:ilvl w:val="0"/>
          <w:numId w:val="0"/>
        </w:numPr>
        <w:ind w:left="360" w:hanging="360"/>
      </w:pPr>
      <w:r>
        <w:t>7.</w:t>
      </w:r>
      <w:r>
        <w:tab/>
        <w:t>Asteriskia (*) käytetään ilmaisemaan, että validointi kohdistuu edellä määriteltyihin riveihin tai sarakkeisiin.</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8216582"/>
      <w:r>
        <w:rPr>
          <w:rFonts w:ascii="Times New Roman" w:hAnsi="Times New Roman"/>
          <w:sz w:val="24"/>
          <w:szCs w:val="24"/>
          <w:u w:val="single"/>
        </w:rPr>
        <w:t>1.3. Merkkikäytäntö</w:t>
      </w:r>
      <w:bookmarkEnd w:id="14"/>
    </w:p>
    <w:p>
      <w:pPr>
        <w:pStyle w:val="InstructionsText2"/>
        <w:numPr>
          <w:ilvl w:val="0"/>
          <w:numId w:val="0"/>
        </w:numPr>
        <w:ind w:left="360" w:hanging="360"/>
      </w:pPr>
      <w:r>
        <w:t>8.</w:t>
      </w:r>
      <w:r>
        <w:tab/>
        <w:t>Määrät, jotka lisäävät omia varoja tai omien varojen vaatimuksia tai maksuvalmiusvaatimuksia, ilmoitetaan positiivisina lukuina. Vastaavasti määrät, jotka vähentävät omien varojen kokonaismäärää tai omien varojen vaatimuksia, ilmoitetaan negatiivisina lukuina. Jos jonkin erän otsaketta edeltää miinusmerkki (–), on tämä osoitus siitä, että erässä ei ole tarkoitus ilmoittaa positiivista lukua.</w:t>
      </w:r>
    </w:p>
    <w:p>
      <w:pPr>
        <w:keepNext/>
        <w:spacing w:before="240" w:after="240" w:line="240" w:lineRule="auto"/>
        <w:jc w:val="both"/>
        <w:outlineLvl w:val="1"/>
        <w:rPr>
          <w:rFonts w:ascii="Times New Roman" w:eastAsia="Arial" w:hAnsi="Times New Roman" w:cs="Times New Roman"/>
          <w:sz w:val="24"/>
          <w:szCs w:val="24"/>
          <w:u w:val="single"/>
        </w:rPr>
      </w:pPr>
      <w:bookmarkStart w:id="15" w:name="_Toc76557276"/>
      <w:bookmarkStart w:id="16" w:name="_Toc88216583"/>
      <w:r>
        <w:rPr>
          <w:rFonts w:ascii="Times New Roman" w:hAnsi="Times New Roman"/>
          <w:sz w:val="24"/>
          <w:szCs w:val="24"/>
          <w:u w:val="single"/>
        </w:rPr>
        <w:t>1.4</w:t>
      </w:r>
      <w:bookmarkEnd w:id="15"/>
      <w:r>
        <w:rPr>
          <w:rFonts w:ascii="Times New Roman" w:hAnsi="Times New Roman"/>
          <w:sz w:val="24"/>
          <w:szCs w:val="24"/>
          <w:u w:val="single"/>
        </w:rPr>
        <w:t xml:space="preserve"> Varovaisuusperiaatteen mukainen konsolidointi</w:t>
      </w:r>
      <w:bookmarkEnd w:id="16"/>
    </w:p>
    <w:p>
      <w:pPr>
        <w:spacing w:line="256" w:lineRule="auto"/>
        <w:ind w:left="360" w:hanging="360"/>
        <w:jc w:val="both"/>
        <w:rPr>
          <w:rFonts w:ascii="Times New Roman" w:hAnsi="Times New Roman" w:cs="Times New Roman"/>
          <w:sz w:val="24"/>
        </w:rPr>
      </w:pPr>
      <w:r>
        <w:rPr>
          <w:rFonts w:ascii="Times New Roman" w:hAnsi="Times New Roman" w:cs="Times New Roman"/>
          <w:sz w:val="24"/>
        </w:rPr>
        <w:t>9.</w:t>
      </w:r>
      <w:r>
        <w:rPr>
          <w:rFonts w:ascii="Times New Roman" w:hAnsi="Times New Roman" w:cs="Times New Roman"/>
          <w:sz w:val="24"/>
        </w:rPr>
        <w:tab/>
      </w:r>
      <w:r>
        <w:rPr>
          <w:rFonts w:ascii="Times New Roman" w:hAnsi="Times New Roman"/>
          <w:sz w:val="24"/>
        </w:rPr>
        <w:t>Asetusta (EU) 2019/2033 ja direktiiviä (EU) 2019/2034 sovelletaan sijoituspalveluyrityksiin yksilöllisesti ja konsolidoidusti, mikä sisältää asetuksen (EU) 2019/2033 seitsemännen osan raportointivaatimukset, lukuun ottamatta tapauksia, joissa on myönnetty poikkeus. Asetuksen (EU) 2019/2033 4 artiklan 11 kohdan 1 alakohdassa määritellään konsolidoitu asema sellaiseksi asemaksi, joka syntyy soveltamalla asetuksen (EU) 2019/2033 vaatimuksia sijoituspalveluyritysryhmään ikään kuin ryhmän yhteisöt muodostaisivat yhden ainoan sijoituspalveluyrityksen. Asetuksen (EU) 2019/2033 7 artiklan soveltamisen seurauksena sijoituspalveluyritysryhmien on täytettävä raportointivaatimukset täyttämällä kaikki kyseisten ryhmien varovaisuusperiaatteen mukaisen konsolidoinnin laajuuden (joka voi poiketa niiden kirjanpidollisen konsolidoinnin laajuudesta) perusteella vaaditut lomakkeet.</w:t>
      </w:r>
    </w:p>
    <w:p>
      <w:pPr>
        <w:pStyle w:val="Heading2"/>
        <w:rPr>
          <w:rFonts w:ascii="Times New Roman" w:hAnsi="Times New Roman"/>
        </w:rPr>
      </w:pPr>
      <w:bookmarkStart w:id="17" w:name="_Toc88216584"/>
      <w:r>
        <w:rPr>
          <w:rFonts w:ascii="Times New Roman" w:hAnsi="Times New Roman"/>
        </w:rPr>
        <w:lastRenderedPageBreak/>
        <w:t>II OSA: LOMAKKEISIIN LIITTYVÄT OHJEET</w:t>
      </w:r>
      <w:bookmarkEnd w:id="7"/>
      <w:bookmarkEnd w:id="8"/>
      <w:bookmarkEnd w:id="9"/>
      <w:bookmarkEnd w:id="17"/>
    </w:p>
    <w:p>
      <w:pPr>
        <w:pStyle w:val="Instructionsberschrift2"/>
        <w:ind w:left="357" w:hanging="357"/>
        <w:rPr>
          <w:rFonts w:ascii="Times New Roman" w:hAnsi="Times New Roman" w:cs="Times New Roman"/>
          <w:b/>
          <w:sz w:val="24"/>
        </w:rPr>
      </w:pPr>
      <w:bookmarkStart w:id="18" w:name="_Toc88216585"/>
      <w:r>
        <w:rPr>
          <w:rFonts w:ascii="Times New Roman" w:hAnsi="Times New Roman"/>
          <w:b/>
          <w:sz w:val="24"/>
          <w:u w:val="none"/>
        </w:rPr>
        <w:t>1. OMAT VARAT: TASO, KOOSTUMUS, VAATIMUKSET JA LASKELMAT</w:t>
      </w:r>
      <w:bookmarkEnd w:id="18"/>
    </w:p>
    <w:p>
      <w:pPr>
        <w:pStyle w:val="Instructionsberschrift2"/>
        <w:ind w:left="357" w:hanging="357"/>
        <w:rPr>
          <w:rFonts w:ascii="Times New Roman" w:hAnsi="Times New Roman" w:cs="Times New Roman"/>
          <w:sz w:val="24"/>
        </w:rPr>
      </w:pPr>
      <w:bookmarkStart w:id="19" w:name="_Toc88216586"/>
      <w:r>
        <w:rPr>
          <w:rFonts w:ascii="Times New Roman" w:hAnsi="Times New Roman"/>
          <w:sz w:val="24"/>
          <w:u w:val="none"/>
        </w:rPr>
        <w:t xml:space="preserve">1.1. </w:t>
      </w:r>
      <w:r>
        <w:rPr>
          <w:rFonts w:ascii="Times New Roman" w:hAnsi="Times New Roman"/>
          <w:sz w:val="24"/>
        </w:rPr>
        <w:t>Yleiset huomiot</w:t>
      </w:r>
      <w:bookmarkEnd w:id="19"/>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Omia varoja koskeva yleiskatsaus sisältää tiedot sijoituspalveluyrityksen omista varoista ja omien varojen vaatimuksista. Se koostuu kahdesta lomakkeesta:</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Lomake I 01.01 sisältää sijoituspalveluyrityksen hallussa olevien omien varojen koostumukset: ydinpääoma (CET1), ensisijainen lisäpääoma (AT1) ja toissijainen pääoma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Lomakkeet I 02.03 ja I 02.04 sisältävät omien varojen vaatimukset yhteensä, pysyvän vähimmäispääomavaatimuksen, kiinteitä yleiskustannuksia koskevan vaatimuksen, mahdolliset omien varojen lisävaatimukset ja ohjeet sekä siirtymäkauden omien varojen vaatimuksen ja vakavaraisuussuhteet.</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Lomake I 03.01 sisältää tietoja kiinteitä yleiskustannuksia koskevan vaatimuksen laskemisesta.</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Näiden lomakkeiden erät ilmoitetaan bruttomääräisinä ilman siirtymäkauden oikaisuja. Tämä tarkoittaa sitä, että luvut (lukuun ottamatta tapauksia, joissa siirtymäkauden omien varojen vaatimus on nimenomaisesti mainittu) lasketaan loppusäännösten mukaisesti (eli ikään kuin siirtymäsäännöksiä ei olisi).</w:t>
      </w:r>
    </w:p>
    <w:p>
      <w:pPr>
        <w:pStyle w:val="Instructionsberschrift2"/>
        <w:ind w:left="357" w:hanging="357"/>
        <w:rPr>
          <w:rFonts w:ascii="Times New Roman" w:hAnsi="Times New Roman" w:cs="Times New Roman"/>
          <w:sz w:val="24"/>
          <w:u w:val="none"/>
        </w:rPr>
      </w:pPr>
      <w:bookmarkStart w:id="20" w:name="_Toc88216587"/>
      <w:r>
        <w:rPr>
          <w:rFonts w:ascii="Times New Roman" w:hAnsi="Times New Roman"/>
          <w:sz w:val="24"/>
          <w:u w:val="none"/>
        </w:rPr>
        <w:t xml:space="preserve">1.2. </w:t>
      </w:r>
      <w:r>
        <w:rPr>
          <w:rFonts w:ascii="Times New Roman" w:hAnsi="Times New Roman"/>
          <w:sz w:val="24"/>
        </w:rPr>
        <w:t>I 01.01 – OMIEN VAROJEN KOOSTUMUS (I 1.1)</w:t>
      </w:r>
      <w:bookmarkEnd w:id="20"/>
    </w:p>
    <w:p>
      <w:pPr>
        <w:pStyle w:val="Instructionsberschrift2"/>
        <w:ind w:left="357" w:hanging="357"/>
        <w:rPr>
          <w:rFonts w:ascii="Times New Roman" w:hAnsi="Times New Roman" w:cs="Times New Roman"/>
          <w:sz w:val="24"/>
        </w:rPr>
      </w:pPr>
      <w:bookmarkStart w:id="21" w:name="_Toc88216588"/>
      <w:r>
        <w:rPr>
          <w:rFonts w:ascii="Times New Roman" w:hAnsi="Times New Roman"/>
          <w:sz w:val="24"/>
          <w:u w:val="none"/>
        </w:rPr>
        <w:t>1.2.1</w:t>
      </w:r>
      <w:r>
        <w:rPr>
          <w:rFonts w:ascii="Times New Roman" w:hAnsi="Times New Roman"/>
          <w:sz w:val="24"/>
          <w:u w:val="none"/>
        </w:rPr>
        <w:tab/>
      </w:r>
      <w:r>
        <w:rPr>
          <w:rFonts w:ascii="Times New Roman" w:hAnsi="Times New Roman"/>
          <w:sz w:val="24"/>
        </w:rPr>
        <w:t>Positiokohtaiset ohjeet</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OMAT VARAT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Sijoituspalveluyrityksen omat varat koostuvat sen ensisijaisen pääoman (T1) ja toissijaisen pääoman (T2) summasta.</w:t>
            </w:r>
          </w:p>
          <w:p>
            <w:pPr>
              <w:spacing w:after="120" w:line="240" w:lineRule="auto"/>
              <w:jc w:val="both"/>
              <w:rPr>
                <w:rFonts w:ascii="Times New Roman" w:eastAsia="Times New Roman" w:hAnsi="Times New Roman" w:cs="Times New Roman"/>
                <w:b/>
                <w:bCs/>
                <w:u w:val="single"/>
              </w:rPr>
            </w:pPr>
            <w:r>
              <w:rPr>
                <w:rFonts w:ascii="Times New Roman" w:hAnsi="Times New Roman"/>
                <w:bCs/>
              </w:rPr>
              <w:t>Ilmoitetaan rivien 0020 ja 0380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ENSISIJAINEN PÄÄOMA (T1)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Ensisijainen pääoma (T1) on ydinpääoman (CET1) ja ensisijaisen lisäpääoman (AT1)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YDINPÄÄOMA (CET1)</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50 artikla.</w:t>
            </w:r>
          </w:p>
          <w:p>
            <w:pPr>
              <w:spacing w:after="120" w:line="240" w:lineRule="auto"/>
              <w:jc w:val="both"/>
              <w:rPr>
                <w:rFonts w:ascii="Times New Roman" w:eastAsia="Times New Roman" w:hAnsi="Times New Roman" w:cs="Times New Roman"/>
                <w:bCs/>
              </w:rPr>
            </w:pPr>
            <w:r>
              <w:rPr>
                <w:rFonts w:ascii="Times New Roman" w:hAnsi="Times New Roman"/>
                <w:bCs/>
              </w:rPr>
              <w:t>Ilmoitetaan rivien 0040–0060, 0090–0140 ja 0290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Kokonaan maksetut pääomainstrumentit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26 artiklan 1 kohdan a alakohta ja 27–31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Tähän kohtaan sisällytetään keskinäisten yhtiöiden, osuuskuntien tai vastaavien laitosten pääomainstrumentit (asetuksen (EU) N:o 575/2013 27 ja 29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Siihen ei sisällytetä instrumentteihin liittyvää ylikurssirahastoa.</w:t>
            </w:r>
          </w:p>
          <w:p>
            <w:pPr>
              <w:pStyle w:val="InstructionsText"/>
              <w:rPr>
                <w:sz w:val="22"/>
                <w:szCs w:val="22"/>
              </w:rPr>
            </w:pPr>
            <w:r>
              <w:rPr>
                <w:rStyle w:val="FormatvorlageInstructionsTabelleText"/>
                <w:rFonts w:ascii="Times New Roman" w:hAnsi="Times New Roman"/>
                <w:sz w:val="22"/>
                <w:szCs w:val="22"/>
              </w:rPr>
              <w:t>Viranomaisten kriisitilanteissa merkitsemät pääomainstrumentit sisällytetään tähän, jos kaikki asetuksen (EU) N:o 575/2013 31 artiklan edellytykset täyttyvät.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Ylikurssirahasto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26 artiklan 1 kohdan b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Ylikurssirahastolla tarkoitetaan samaa kuin sovellettavassa tilinpäätössäännöstössä.</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Tässä kohdassa ilmoitettava määrä on ”Maksettuihin pääomainstrumentteihin” liittyvä osa.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Kertyneet voittovarat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Asetuksen (EU) N:o 575/2013 26 artiklan 1 kohdan c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Kertyneisiin voittovaroihin sisällytetään edellisen vuoden aikana kertyneet voitot sekä hyväksyttävät kesken tilikauden tai tilikauden päätteeksi kertyneet voitot.</w:t>
            </w:r>
          </w:p>
          <w:p>
            <w:pPr>
              <w:spacing w:after="120" w:line="240" w:lineRule="auto"/>
              <w:jc w:val="both"/>
              <w:rPr>
                <w:rFonts w:ascii="Times New Roman" w:eastAsia="Times New Roman" w:hAnsi="Times New Roman" w:cs="Times New Roman"/>
                <w:b/>
                <w:bCs/>
                <w:u w:val="single"/>
              </w:rPr>
            </w:pPr>
            <w:r>
              <w:rPr>
                <w:rFonts w:ascii="Times New Roman" w:hAnsi="Times New Roman"/>
                <w:bCs/>
              </w:rPr>
              <w:t>Ilmoitetaan rivien 0070 ja 0080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Edellisvuosien kertyneet voittovarat</w:t>
            </w:r>
          </w:p>
          <w:p>
            <w:pPr>
              <w:spacing w:after="120" w:line="240" w:lineRule="auto"/>
              <w:jc w:val="both"/>
              <w:rPr>
                <w:rFonts w:ascii="Times New Roman" w:eastAsia="Times New Roman" w:hAnsi="Times New Roman" w:cs="Times New Roman"/>
              </w:rPr>
            </w:pPr>
            <w:r>
              <w:rPr>
                <w:rFonts w:ascii="Times New Roman" w:hAnsi="Times New Roman"/>
              </w:rPr>
              <w:t>Asetuksen (EU) N:o 575/2013 4 artiklan 1 kohdan 123 alakohta ja 26 artiklan 1 kohdan c alakohta.</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N:o 575/2013 4 artiklan 1 kohdan 123 alakohdassa tarkoitetaan kertyneillä voittovaroilla ”edellisten tilikausien lopullisen tuloksen käsittelyn yhteydessä syntyneitä voittoja ja tappioita sovellettavan tilinpäätössäännöstön mukaisesti”.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Hyväksyttävät voitot</w:t>
            </w:r>
          </w:p>
          <w:p>
            <w:pPr>
              <w:spacing w:after="120" w:line="240" w:lineRule="auto"/>
              <w:jc w:val="both"/>
              <w:rPr>
                <w:rFonts w:ascii="Times New Roman" w:eastAsia="Times New Roman" w:hAnsi="Times New Roman" w:cs="Times New Roman"/>
              </w:rPr>
            </w:pPr>
            <w:r>
              <w:rPr>
                <w:rFonts w:ascii="Times New Roman" w:hAnsi="Times New Roman"/>
              </w:rPr>
              <w:t>Asetuksen (EU) N:o 575/2013 4 artiklan 1 kohdan 121 alakohta, 26 artiklan 2 kohta ja 36 artiklan 1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Asetuksen (EU) N:o 575/2013 26 artiklan 2 kohdassa sallitaan kesken tilikauden tai tilikauden päätteeksi kertyneiden voittojen sisällyttäminen kertyneisiin voittovaroihin toimivaltaisten viranomaisten etukäteisellä luvalla, mikäli tietyt ehdot täyttyvät.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Kertyneet muun laajan tuloksen erät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Asetuksen (EU) N:o 575/2013 26 artiklan 1 kohdan d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Muut rahastot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4 artiklan 1 kohdan 117 alakohta ja 26 artiklan 1 kohdan e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Määrä ilmoitetaan siten, että siitä on vähennetty laskentahetkellä odotettavissa olevat verot.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Ydinpääomaan (CET1) sisällytetyt vähemmistöosuudet</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84 artiklan 1 kohta, 85 artiklan 1 kohta ja 87 artiklan 1 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Tässä tarkoitetaan tytäryritysten vähemmistöosuuksien kaikkien sellaisten määrien summaa, jotka sisältyvät konsolidoituun ydinpääomaan (CET1).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Omiin varoihin sovellettavista suodattimista aiheutuvat ydinpääoman (CET1) oikaisut</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2019/2033 9 artiklan 1 kohdan i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Asetuksen (EU) N:o 575/2013 32–35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Muut rahastot</w:t>
            </w:r>
          </w:p>
          <w:p>
            <w:pPr>
              <w:spacing w:after="120" w:line="240" w:lineRule="auto"/>
              <w:jc w:val="both"/>
              <w:rPr>
                <w:rFonts w:ascii="Times New Roman" w:eastAsia="Times New Roman" w:hAnsi="Times New Roman" w:cs="Times New Roman"/>
                <w:bCs/>
              </w:rPr>
            </w:pPr>
            <w:r>
              <w:rPr>
                <w:rFonts w:ascii="Times New Roman" w:hAnsi="Times New Roman"/>
              </w:rPr>
              <w:t>Asetuksen (EU) 2019/2033 9 artiklan 4 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YDINPÄÄOMASTA (CET1) TEHTÄVÄT VÄHENNYKSET YHTEENSÄ</w:t>
            </w:r>
          </w:p>
          <w:p>
            <w:pPr>
              <w:spacing w:after="120" w:line="240" w:lineRule="auto"/>
              <w:jc w:val="both"/>
              <w:rPr>
                <w:rFonts w:ascii="Times New Roman" w:eastAsia="Times New Roman" w:hAnsi="Times New Roman" w:cs="Times New Roman"/>
                <w:bCs/>
              </w:rPr>
            </w:pPr>
            <w:r>
              <w:rPr>
                <w:rFonts w:ascii="Times New Roman" w:hAnsi="Times New Roman"/>
                <w:bCs/>
              </w:rPr>
              <w:t>Ilmoitetaan rivien 0190–0285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Kuluvan tilikauden tappiot</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N:o 575/2013 36 artiklan 1 kohdan a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Liikearvo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Asetuksen (EU) N:o 575/2013 4 artiklan 1 kohdan 113 alakohta, 36 artiklan 1 kohdan b alakohta ja 37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Muut aineettomat hyödykkeet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Asetuksen (EU) N:o 575/2013 4 artiklan 1 kohdan 115 alakohta, 36 artiklan 1 kohdan b alakohta ja 37 artiklan a alakohta.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Muut aineettomat hyödykkeet ovat sovellettavan tilinpäätössäännöstön mukaisia aineettomia hyödykkeitä, joihin ei kuulu sovellettavan tilinpäätössäännöstön mukaista liikearvoa.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Tulevista veronalaisista voitoista riippuvat laskennalliset verosaamiset, jotka eivät synny väliaikaisten erojen seurauksena ja joista on vähennetty niihin liittyvät verovelat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2 kohdan a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N:o 575/2013 36 artiklan 1 kohdan c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Finanssialan ulkopuolinen huomattava omistusosuus, joka on yli 15 prosenttia omista varoista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10 artiklan 1 kohdan a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Muissa yrityksissä kuin finanssialan yhteisöissä olevien huomattavien omistusosuuksien kokonaismäärä, joka on yli 60 prosenttia yrityksen omista varoista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10 artiklan 1 kohdan b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Muut vähennykset</w:t>
            </w:r>
          </w:p>
          <w:p>
            <w:pPr>
              <w:spacing w:after="120" w:line="240" w:lineRule="auto"/>
              <w:jc w:val="both"/>
              <w:rPr>
                <w:rFonts w:ascii="Times New Roman" w:eastAsia="Times New Roman" w:hAnsi="Times New Roman" w:cs="Times New Roman"/>
                <w:b/>
                <w:bCs/>
                <w:u w:val="single"/>
              </w:rPr>
            </w:pPr>
            <w:r>
              <w:rPr>
                <w:rFonts w:ascii="Times New Roman" w:hAnsi="Times New Roman"/>
              </w:rPr>
              <w:t>Kaikkien muiden asetuksen (EU) N:o 575/2013 36 artiklan 1 kohdan mukaisten vähennysten summa, jotka eivät sisälly mihinkään edellä olevista riveistä 0160–0240.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Ydinpääoma (CET1): muut pääoman osatekijät, vähennykset ja oikaisut</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tapauksen mukaan seuraavien erien summan: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Määräajaksi vapautetuista ydinpääoman (CET1) instrumenteista aiheutuvat siirtymäkauden oikaisut (asetuksen (EU) N:o 575/2013 483 artiklan 1, 2 ja 3 kohta sekä 484–487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Muista vähemmistöosuuksista aiheutuvat siirtymäkauden oikaisut (asetuksen (EU) N:o 575/2013 479 ja 480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Muut ydinpääomaa (CET1) koskevat siirtymäkauden oikaisut (asetuksen (EU) N:o 575/2013 469–478 ja 481 artikla):</w:t>
            </w:r>
            <w:r>
              <w:rPr>
                <w:rFonts w:ascii="Times New Roman" w:hAnsi="Times New Roman"/>
                <w:bCs/>
              </w:rPr>
              <w:t xml:space="preserve"> siirtymäsäännöksistä johtuviin ydinpääomasta (CET1) tehtäviä vähennyksiä koskevat oikaisut.</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ydinpääoman (CET1) osatekijät tai ydinpääoman (CET1) osatekijän vähennykset, joita ei voida kirjata jollekin riveistä 0040–0285.</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Tätä riviä ei saa käyttää asetusten (EU) 2019/2033 ja (EU) N:o 575/2013 ulkopuolelle jäävien pääomaerien tai -vähennysten sisällyttämiseen vakavaraisuussuhdelukujen laskentaan.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ENSISIJAINEN LISÄPÄÄOMA (AT1)</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kohta.</w:t>
            </w:r>
          </w:p>
          <w:p>
            <w:pPr>
              <w:spacing w:after="120" w:line="240" w:lineRule="auto"/>
              <w:jc w:val="both"/>
              <w:rPr>
                <w:rFonts w:ascii="Times New Roman" w:hAnsi="Times New Roman" w:cs="Times New Roman"/>
              </w:rPr>
            </w:pPr>
            <w:r>
              <w:rPr>
                <w:rFonts w:ascii="Times New Roman" w:hAnsi="Times New Roman"/>
              </w:rPr>
              <w:t>Asetuksen (EU) N:o 575/2013 61 artikla.</w:t>
            </w:r>
          </w:p>
          <w:p>
            <w:pPr>
              <w:spacing w:after="120" w:line="240" w:lineRule="auto"/>
              <w:jc w:val="both"/>
              <w:rPr>
                <w:rFonts w:ascii="Times New Roman" w:eastAsia="Times New Roman" w:hAnsi="Times New Roman" w:cs="Times New Roman"/>
                <w:b/>
                <w:bCs/>
                <w:u w:val="single"/>
              </w:rPr>
            </w:pPr>
            <w:r>
              <w:rPr>
                <w:rFonts w:ascii="Times New Roman" w:hAnsi="Times New Roman"/>
                <w:bCs/>
              </w:rPr>
              <w:t>Ilmoitetaan rivien 0310–0410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Kokonaan maksetut, suoraan liikkeeseenlasketut pääomainstrumentit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51 artiklan a alakohta sekä 52, 53 ja 54 artikla.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Ilmoitettavaan määrään ei sisällytetä instrumentteihin liittyvää ylikurssirahastoa.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Ylikurssirahasto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51 artiklan b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Ylikurssirahastolla tarkoitetaan samaa kuin sovellettavassa tilinpäätössäännöstössä.</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Tässä kohdassa ilmoitettava määrä on ”Kokonaan maksettuihin, suoraan liikkeeseenlaskettuihin pääomainstrumentteihin” liittyvä osa.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ENSISIJAISESTA LISÄPÄÄOMASTA (AT1) TEHTÄVÄT VÄHENNYKSET YHTEENSÄ</w:t>
            </w:r>
          </w:p>
          <w:p>
            <w:pPr>
              <w:spacing w:before="60" w:after="60"/>
              <w:rPr>
                <w:rFonts w:ascii="Times New Roman" w:hAnsi="Times New Roman" w:cs="Times New Roman"/>
              </w:rPr>
            </w:pPr>
            <w:r>
              <w:rPr>
                <w:rFonts w:ascii="Times New Roman" w:hAnsi="Times New Roman"/>
              </w:rPr>
              <w:t>Asetuksen (EU) N:o 575/2013 56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Ensisijainen pääoma (T1): muut pääoman osatekijät, vähennykset ja oikaisut</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tapauksen mukaan seuraavien erien summan: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Määräajaksi vapautetuista ensisijaisen lisäpääoman (AT1) instrumenteista aiheutuvat siirtymäkauden oikaisut (asetuksen (EU) N:o 575/2013 483 artiklan 4 ja 5 kohta, 484–487 artikla sekä 489 ja 491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Ensisijaiseen lisäpääomaan (AT1) sisällytetyt tytäryritysten liikkeeseenlaskemat instrumentit (asetuksen (EU) N:o 575/2013 83, 85 ja 86 artikla):</w:t>
            </w:r>
            <w:r>
              <w:rPr>
                <w:rFonts w:ascii="Times New Roman" w:hAnsi="Times New Roman"/>
                <w:bCs/>
              </w:rPr>
              <w:t xml:space="preserve"> </w:t>
            </w:r>
            <w:r>
              <w:rPr>
                <w:rFonts w:ascii="Times New Roman" w:hAnsi="Times New Roman"/>
              </w:rPr>
              <w:t>tytäryritysten, ehdot täyttävän ensisijaisen pääoman (T1) kaikkien määrien summa, joka sisältyy konsolidoituun ensisijaiseen lisäpääomaan (AT1), mukaan lukien erillisyhtiön liikkeeseenlaskema pääoma (asetuksen (EU) N:o 575/2013 83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Toissijaiseen pääomaan (AT1) sisällytetyistä tytäryritysten liikkeeseenlaskemista instrumenteista aiheutuvat siirtymäkauden oikaisut (asetuksen (EU) N:o 575/2013 480 artikla):</w:t>
            </w:r>
            <w:r>
              <w:rPr>
                <w:rFonts w:ascii="Times New Roman" w:hAnsi="Times New Roman"/>
                <w:bCs/>
              </w:rPr>
              <w:t xml:space="preserve"> tässä tarkoitetaan niitä siirtymäsäännöksistä aiheutuvia oikaisuja, jotka kohdistuvat konsolidoituun ensisijaiseen lisäpääomaan (AT1) sisältyvään ehdot täyttävään ensisijaiseen pääomaan (T1).</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Muut ensisijaista lisäpääomaa (AT1) koskevat siirtymäkauden oikaisut (asetuksen (EU) N:o 575/2013 472, 473 a, 474, 475, 478 ja 481 artikla):</w:t>
            </w:r>
            <w:r>
              <w:rPr>
                <w:rFonts w:ascii="Times New Roman" w:hAnsi="Times New Roman"/>
                <w:bCs/>
              </w:rPr>
              <w:t xml:space="preserve"> tässä tarkoitetaan vähennyksiin tehtäviä oikaisuja, jotka aiheutuvat siirtymäsäännöksistä.</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Ensisijaisen lisäpääoman (AT1) eristä tehtävät vähennykset, jotka ylittävät ensisijaisen lisäpääoman (AT1) ja jotka vähennetään ydinpääomasta (CET1) asetuksen (EU) N:o 575/2013 36 artiklan 1 kohdan j alakohdan mukaisesti:</w:t>
            </w:r>
            <w:r>
              <w:rPr>
                <w:rFonts w:ascii="Times New Roman" w:hAnsi="Times New Roman"/>
                <w:bCs/>
              </w:rPr>
              <w:t xml:space="preserve"> Ensisijainen lisäpääoma (AT1) ei voi olla negatiivinen, mutta ensisijaisen lisäpääoman (AT1) eristä tehtävät vähennykset voivat ylittää käytettävissä olevien ensisijaisen lisäpääoman (AT1) erien määrän. Jos näin tapahtuu, tämä erä tarkoittaa määrää, joka tarvitaan rivillä 0300 ilmoitetun määrän korottamiseksi nollaan, ja se on käänteisluku siitä, kuinka paljon ne ensisijaisen lisäpääoman (AT1) eristä tehtävät vähennykset ylittävät ensisijaisen lisäpääoman (AT1), jotka sisältyvät muiden vähennysten ohella riville 0285.</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ydinpääoman (AT1) osatekijät tai ydinpääoman (AT1) osatekijän vähennykset, joita ei voida kirjata jollekin riveistä 0310–0330.</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Tätä riviä ei saa käyttää sellaisten pääomaerien tai vähennysten sisällyttämiseen vakavaraisuussuhdelukujen laskentaan, jotka eivät kuulu asetuksen (EU) 2019/2033 tai asetuksen (EU) N:o 575/2013 soveltamisalaan.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TOISSIJAINEN PÄÄOMA (T2)</w:t>
            </w:r>
          </w:p>
          <w:p>
            <w:pPr>
              <w:spacing w:after="120" w:line="240" w:lineRule="auto"/>
              <w:jc w:val="both"/>
              <w:rPr>
                <w:rFonts w:ascii="Times New Roman" w:eastAsia="Times New Roman" w:hAnsi="Times New Roman" w:cs="Times New Roman"/>
                <w:bCs/>
              </w:rPr>
            </w:pPr>
            <w:r>
              <w:rPr>
                <w:rFonts w:ascii="Times New Roman" w:hAnsi="Times New Roman"/>
              </w:rPr>
              <w:t>Asetuksen (EU) 2019/2033 9 artiklan 1 kohta.</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Asetuksen (EU) N:o 575/2013 71 artikla.</w:t>
            </w:r>
          </w:p>
          <w:p>
            <w:pPr>
              <w:pStyle w:val="CommentText"/>
              <w:rPr>
                <w:sz w:val="22"/>
                <w:szCs w:val="22"/>
              </w:rPr>
            </w:pPr>
            <w:r>
              <w:rPr>
                <w:rFonts w:ascii="Times New Roman" w:hAnsi="Times New Roman"/>
                <w:bCs/>
                <w:sz w:val="22"/>
                <w:szCs w:val="22"/>
              </w:rPr>
              <w:t>Ilmoitetaan rivien 0430–0520 summa.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Kokonaan maksetut, suoraan liikkeeseenlasketut pääomainstrumentit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Asetuksen (EU) N:o 575/2013 62 artiklan a alakohta ja 63 ja 65 artikla.</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Ilmoitettavaan määrään ei sisällytetä instrumentteihin liittyvää ylikurssirahastoa.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Ylikurssirahasto</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62 artiklan b alakohta ja 65 artikla.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Ylikurssirahastolla tarkoitetaan samaa kuin sovellettavassa tilinpäätössäännöstössä.</w:t>
            </w:r>
          </w:p>
          <w:p>
            <w:pPr>
              <w:pStyle w:val="InstructionsText"/>
              <w:rPr>
                <w:sz w:val="22"/>
                <w:szCs w:val="22"/>
              </w:rPr>
            </w:pPr>
            <w:r>
              <w:rPr>
                <w:rStyle w:val="FormatvorlageInstructionsTabelleText"/>
                <w:rFonts w:ascii="Times New Roman" w:hAnsi="Times New Roman"/>
                <w:sz w:val="22"/>
                <w:szCs w:val="22"/>
              </w:rPr>
              <w:t>Tässä kohdassa ilmoitettava määrä on ”Kokonaan maksettuihin, suoraan liikkeeseenlaskettuihin pääomainstrumentteihin” liittyvä osa.</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TOISSIJAISESTA PÄÄOMASTA (T2) TEHTÄVÄT VÄHENNYKSET YHTEENSÄ</w:t>
            </w:r>
          </w:p>
          <w:p>
            <w:pPr>
              <w:spacing w:after="120" w:line="240" w:lineRule="auto"/>
              <w:jc w:val="both"/>
              <w:rPr>
                <w:rFonts w:ascii="Times New Roman" w:hAnsi="Times New Roman" w:cs="Times New Roman"/>
              </w:rPr>
            </w:pPr>
            <w:r>
              <w:rPr>
                <w:rFonts w:ascii="Times New Roman" w:hAnsi="Times New Roman"/>
              </w:rPr>
              <w:t>Asetuksen (EU) N:o 575/2013 66 artikla.</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Toissijainen pääoma (T2): muut pääoman osatekijät, vähennykset ja oikaisut</w:t>
            </w:r>
          </w:p>
          <w:p>
            <w:pPr>
              <w:spacing w:after="120" w:line="240" w:lineRule="auto"/>
              <w:jc w:val="both"/>
              <w:rPr>
                <w:rFonts w:ascii="Times New Roman" w:eastAsia="Times New Roman" w:hAnsi="Times New Roman" w:cs="Times New Roman"/>
                <w:bCs/>
              </w:rPr>
            </w:pPr>
            <w:r>
              <w:rPr>
                <w:rFonts w:ascii="Times New Roman" w:hAnsi="Times New Roman"/>
                <w:bCs/>
              </w:rPr>
              <w:t>Tämä rivi sisältää tapauksen mukaan seuraavien erien summan: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Määräajaksi vapautetuista toissijaisen pääoman (T2) instrumenteista aiheutuvat siirtymäkauden oikaisut (asetuksen (EU) N:o 575/2013 483 artiklan 6 ja 7 kohta sekä 484, 486, 488, 490 ja 491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Ensisijaiseen lisäpääomaan (T2) sisällytetyt tytäryritysten liikkeeseenlaskemat instrumentit (asetuksen (EU) N:o 575/2013 83, 87 ja 88 artikla): tytäryritysten ehdot täyttävien omien varojen kaikkien määrien summa, joka sisältyy konsolidoituun toissijaiseen pääomaan (T2), mukaan lukien erillisyhtiön liikkeeseenlaskema ehdot täyttävä toissijainen pääoma (T2) (asetuksen (EU) N:o 575/2013 83 artikla).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Toissijaiseen pääomaan (T2) sisällytetyistä tytäryritysten liikkeeseenlaskemista instrumenteista aiheutuvat siirtymäkauden oikaisut (asetuksen (EU) N:o 575/2013 480 artikla): tässä tarkoitetaan niitä siirtymäsäännöksistä aiheutuvia oikaisuja, jotka kohdistuvat konsolidoituun toissijaiseen pääomaan (T2) sisältyviin ehdot täyttäviin omiin varoihin.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ensisijaista lisäpääomaa (T2) koskevat siirtymäkauden oikaisut (asetuksen (EU) N:o 575/2013 472, 473 a, 476, 477, 478 ja 481 artikla): siirtymäsäännöksistä johtuviin toissijaisesta pääomasta (T2) tehtäviin vähennyksiin tehtävät oikaisut</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Toissijaisen pääoman (T2) eristä tehtävät vähennykset, jotka ylittävät toissijaisen pääoman (T2) siten, että ne vähennetään ensisijaisesta lisäpääomasta (AT1) asetuksen (EU) N:o 575/2013 56 artiklan e alakohdan mukaisesti: Toissijainen pääoma (T2) ei voi olla negatiivinen, mutta toissijaisesta pääomasta (T2) tehtävät vähennykset voivat ylittää käytettävissä olevien toissijaisen pääoman (T2) erien määrän. Jos näin tapahtuu, tämä erä edustaa määrää, joka tarvitaan rivillä 0420 ilmoitetun määrän korottamiseksi nollaan.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Muut toissijaisen pääoman (T2) osatekijät tai toissijaisen pääoman (T2) osatekijän vähennykset, joita ei voida kirjata jollekin riveistä 0430–0450.</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Tätä riviä ei saa käyttää asetusten (EU) 2019/2033 ja (EU) N:o 575/2013 ulkopuolelle jäävien pääomaerien tai -vähennysten sisällyttämiseen vakavaraisuussuhdelukujen laskentaan.</w:t>
            </w:r>
          </w:p>
        </w:tc>
      </w:tr>
    </w:tbl>
    <w:p>
      <w:pPr>
        <w:pStyle w:val="Instructionsberschrift2"/>
        <w:ind w:left="357" w:hanging="357"/>
        <w:rPr>
          <w:rFonts w:ascii="Times New Roman" w:hAnsi="Times New Roman" w:cs="Times New Roman"/>
          <w:sz w:val="24"/>
          <w:u w:val="none"/>
        </w:rPr>
      </w:pPr>
      <w:bookmarkStart w:id="22" w:name="_Toc88216589"/>
      <w:r>
        <w:rPr>
          <w:rFonts w:ascii="Times New Roman" w:hAnsi="Times New Roman"/>
          <w:sz w:val="24"/>
          <w:u w:val="none"/>
        </w:rPr>
        <w:t>1.3.</w:t>
      </w:r>
      <w:r>
        <w:rPr>
          <w:rFonts w:ascii="Times New Roman" w:hAnsi="Times New Roman"/>
          <w:sz w:val="24"/>
        </w:rPr>
        <w:t xml:space="preserve"> I 02.03 – OMIEN VAROJEN VAATIMUKSET (I 2.3)</w:t>
      </w:r>
      <w:bookmarkEnd w:id="22"/>
    </w:p>
    <w:p>
      <w:pPr>
        <w:keepNext/>
        <w:spacing w:before="240" w:after="240" w:line="240" w:lineRule="auto"/>
        <w:ind w:left="357" w:hanging="357"/>
        <w:jc w:val="both"/>
        <w:outlineLvl w:val="1"/>
        <w:rPr>
          <w:rFonts w:ascii="Times New Roman" w:eastAsia="Arial" w:hAnsi="Times New Roman" w:cs="Times New Roman"/>
          <w:u w:val="single"/>
        </w:rPr>
      </w:pPr>
      <w:bookmarkStart w:id="23" w:name="_Toc88216590"/>
      <w:r>
        <w:rPr>
          <w:rFonts w:ascii="Times New Roman" w:hAnsi="Times New Roman"/>
          <w:sz w:val="24"/>
          <w:szCs w:val="24"/>
        </w:rPr>
        <w:t>1.3.1</w:t>
      </w:r>
      <w:r>
        <w:rPr>
          <w:rFonts w:ascii="Times New Roman" w:hAnsi="Times New Roman"/>
          <w:sz w:val="24"/>
          <w:szCs w:val="24"/>
        </w:rPr>
        <w:tab/>
      </w:r>
      <w:r>
        <w:rPr>
          <w:rFonts w:ascii="Times New Roman" w:hAnsi="Times New Roman"/>
          <w:u w:val="single"/>
        </w:rPr>
        <w:t>Positiokohtaiset ohjeet</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Omien varojen vaatimus</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11 artiklan 1 ja 2 kohta.</w:t>
            </w:r>
          </w:p>
          <w:p>
            <w:pPr>
              <w:spacing w:after="120" w:line="240" w:lineRule="auto"/>
              <w:jc w:val="both"/>
              <w:rPr>
                <w:rFonts w:ascii="Times New Roman" w:eastAsia="Times New Roman" w:hAnsi="Times New Roman" w:cs="Times New Roman"/>
                <w:bCs/>
              </w:rPr>
            </w:pPr>
            <w:r>
              <w:rPr>
                <w:rFonts w:ascii="Times New Roman" w:hAnsi="Times New Roman"/>
                <w:bCs/>
              </w:rPr>
              <w:t>Tämä erä on rivien 0020 ja 0030 enimmäismäärä.</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Pysyvä vähimmäispääomavaatimus</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14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Kiinteitä yleiskustannuksia koskeva vaatimus</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13 artikla.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 xml:space="preserve">0050–0090 </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Siirtymäkauden omien varojen vaatimukset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Asetuksen (EU) N:o 575/2013 mukaisiin omien varojen vaatimuksiin perustuva siirtymäkauden vaatimus</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57 artiklan 3 kohdan a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Kiinteitä yleiskustannuksia koskeviin vaatimuksiin perustuva siirtymäkauden vaatimus</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57 artiklan 3 kohdan b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Siirtymäkauden vaatimus sellaisten sijoituspalveluyritysten osalta, joihin on aiemmin sovellettu ainoastaan perustamispääomavaatimusta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57 artiklan 4 kohdan a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Perustamispääomavaatimukseen perustuva siirtymäkauden vaatimus toimiluvan myöntämisen yhteydessä</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57 artiklan 4 kohdan b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Siirtymäkauden vaatimus sellaisten sijoituspalveluyritysten osalta, joilla ei ole toimilupaa tarjota tiettyjä palveluja</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57 artiklan 4 kohdan c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Lisätietoerät</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Omien varojen lisävaatimus</w:t>
            </w:r>
          </w:p>
          <w:p>
            <w:pPr>
              <w:spacing w:after="120" w:line="240" w:lineRule="auto"/>
              <w:jc w:val="both"/>
              <w:rPr>
                <w:rFonts w:ascii="Times New Roman" w:eastAsia="Times New Roman" w:hAnsi="Times New Roman" w:cs="Times New Roman"/>
                <w:bCs/>
              </w:rPr>
            </w:pPr>
            <w:r>
              <w:rPr>
                <w:rFonts w:ascii="Times New Roman" w:hAnsi="Times New Roman"/>
                <w:bCs/>
              </w:rPr>
              <w:t>Direktiivin (EU) 2019/2034 40 artikla.</w:t>
            </w:r>
          </w:p>
          <w:p>
            <w:pPr>
              <w:spacing w:after="120" w:line="240" w:lineRule="auto"/>
              <w:jc w:val="both"/>
              <w:rPr>
                <w:rFonts w:ascii="Times New Roman" w:eastAsia="Times New Roman" w:hAnsi="Times New Roman" w:cs="Times New Roman"/>
                <w:b/>
                <w:bCs/>
                <w:u w:val="single"/>
              </w:rPr>
            </w:pPr>
            <w:r>
              <w:rPr>
                <w:rFonts w:ascii="Times New Roman" w:hAnsi="Times New Roman"/>
                <w:bCs/>
              </w:rPr>
              <w:t>Vakavaraisuuden arviointiprosessin jälkeen vaadittavat täydentävät omat varat.</w:t>
            </w:r>
            <w:r>
              <w:rPr>
                <w:rFonts w:ascii="Times New Roman" w:hAnsi="Times New Roman"/>
                <w:b/>
                <w:bCs/>
                <w:u w:val="single"/>
              </w:rPr>
              <w:t xml:space="preserve"> </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Omien varojen vaatimus yhteensä</w:t>
            </w:r>
          </w:p>
          <w:p>
            <w:pPr>
              <w:spacing w:after="120" w:line="240" w:lineRule="auto"/>
              <w:jc w:val="both"/>
              <w:rPr>
                <w:rFonts w:ascii="Times New Roman" w:eastAsia="Times New Roman" w:hAnsi="Times New Roman" w:cs="Times New Roman"/>
                <w:b/>
                <w:bCs/>
                <w:u w:val="single"/>
              </w:rPr>
            </w:pPr>
            <w:r>
              <w:rPr>
                <w:rFonts w:ascii="Times New Roman" w:hAnsi="Times New Roman"/>
                <w:bCs/>
              </w:rPr>
              <w:t>Sijoituspalveluyrityksen omien varojen kokonaisvaatimus koostuu sen viitepäivänä sovellettavien omien varojen vaatimusten, rivillä 0110 ilmoitettujen omien varojen lisävaatimusten ja rivillä 0120 ilmoitettujen täydentäviä omia varoja koskevien ohjeiden summasta.</w:t>
            </w:r>
          </w:p>
        </w:tc>
      </w:tr>
    </w:tbl>
    <w:p>
      <w:pPr>
        <w:pStyle w:val="Instructionsberschrift2"/>
        <w:ind w:left="357" w:hanging="357"/>
        <w:rPr>
          <w:rFonts w:ascii="Times New Roman" w:hAnsi="Times New Roman" w:cs="Times New Roman"/>
          <w:sz w:val="24"/>
        </w:rPr>
      </w:pPr>
      <w:bookmarkStart w:id="24" w:name="_Toc88216591"/>
      <w:r>
        <w:rPr>
          <w:rFonts w:ascii="Times New Roman" w:hAnsi="Times New Roman"/>
          <w:sz w:val="24"/>
        </w:rPr>
        <w:t>1.4. I 02.04 – VAKAVARAISUUSSUHTEET (I 2.4)</w:t>
      </w:r>
      <w:bookmarkEnd w:id="2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5" w:name="_Toc88216592"/>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Positiokohtaiset ohjeet</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Ydinpääoman (CET1) suhde</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a alakohta ja 11 artiklan 1 ja 2 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Tämä erä ilmaistaan prosenttilukuna.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Ydinpääoman (CET1) ylijäämä(+)/alijäämä(–)</w:t>
            </w:r>
          </w:p>
          <w:p>
            <w:pPr>
              <w:spacing w:after="120" w:line="240" w:lineRule="auto"/>
              <w:jc w:val="both"/>
              <w:rPr>
                <w:rFonts w:ascii="Times New Roman" w:hAnsi="Times New Roman" w:cs="Times New Roman"/>
              </w:rPr>
            </w:pPr>
            <w:r>
              <w:rPr>
                <w:rFonts w:ascii="Times New Roman" w:hAnsi="Times New Roman"/>
              </w:rPr>
              <w:t>Tämä erä osoittaa ydinpääoman (CET1) ylijäämän tai alijäämän, joka liittyy asetuksen (EU) 2019/2033 9 artiklan 1 kohdassa asetettuun vaatimukseen.</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2019/2033 57 artiklan 3 ja 4 kohdan siirtymäsäännöksiä ei oteta huomioon tämän erän osalta.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Ensisijaisen pääoman (T1) suhde</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b alakohta ja 11 artiklan 1 ja 2 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Tämä erä ilmaistaan prosenttilukuna.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Ensisijaisen pääoman (T1) ylijäämä(+)/alijäämä(–)</w:t>
            </w:r>
          </w:p>
          <w:p>
            <w:pPr>
              <w:spacing w:after="120" w:line="240" w:lineRule="auto"/>
              <w:jc w:val="both"/>
              <w:rPr>
                <w:rFonts w:ascii="Times New Roman" w:hAnsi="Times New Roman" w:cs="Times New Roman"/>
              </w:rPr>
            </w:pPr>
            <w:r>
              <w:rPr>
                <w:rFonts w:ascii="Times New Roman" w:hAnsi="Times New Roman"/>
              </w:rPr>
              <w:t>Tämä erä osoittaa ensisijaisen pääoman (T1) ylijäämän tai alijäämän, joka liittyy asetuksen (EU) 2019/2033 9 artiklan 1 kohdassa asetettuun vaatimukseen.</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2019/2033 57 artiklan 3 ja 4 kohdan siirtymäsäännöksiä ei oteta huomioon tämän erän osalta.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Omien varojen suhde</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9 artiklan 1 kohdan c alakohta ja 11 artiklan 1 ja 2 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Tämä erä ilmaistaan prosenttilukuna.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Kokonaispääoman ylijäämä(+)/alijäämä(–)</w:t>
            </w:r>
          </w:p>
          <w:p>
            <w:pPr>
              <w:spacing w:after="120" w:line="240" w:lineRule="auto"/>
              <w:jc w:val="both"/>
              <w:rPr>
                <w:rFonts w:ascii="Times New Roman" w:hAnsi="Times New Roman" w:cs="Times New Roman"/>
              </w:rPr>
            </w:pPr>
            <w:r>
              <w:rPr>
                <w:rFonts w:ascii="Times New Roman" w:hAnsi="Times New Roman"/>
              </w:rPr>
              <w:t>Tämä erä osoittaa omien varojen ylijäämän tai alijäämän, joka liittyy asetuksen (EU) 2019/2033 9 artiklan 1 kohdassa asetettuun vaatimukseen.</w:t>
            </w:r>
          </w:p>
          <w:p>
            <w:pPr>
              <w:spacing w:after="120" w:line="240" w:lineRule="auto"/>
              <w:jc w:val="both"/>
              <w:rPr>
                <w:rFonts w:ascii="Times New Roman" w:eastAsia="Times New Roman" w:hAnsi="Times New Roman" w:cs="Times New Roman"/>
                <w:b/>
                <w:bCs/>
                <w:u w:val="single"/>
              </w:rPr>
            </w:pPr>
            <w:r>
              <w:rPr>
                <w:rFonts w:ascii="Times New Roman" w:hAnsi="Times New Roman"/>
              </w:rPr>
              <w:t>Asetuksen (EU) 2019/2033 57 artiklan 3 ja 4 kohdan siirtymäsäännöksiä ei oteta huomioon tämän erän osalta.</w:t>
            </w:r>
          </w:p>
        </w:tc>
      </w:tr>
    </w:tbl>
    <w:p>
      <w:pPr>
        <w:pStyle w:val="Instructionsberschrift2"/>
        <w:ind w:left="357" w:hanging="357"/>
        <w:rPr>
          <w:rFonts w:ascii="Times New Roman" w:hAnsi="Times New Roman" w:cs="Times New Roman"/>
          <w:sz w:val="24"/>
        </w:rPr>
      </w:pPr>
    </w:p>
    <w:p>
      <w:pPr>
        <w:pStyle w:val="Instructionsberschrift2"/>
        <w:ind w:left="357" w:hanging="357"/>
        <w:rPr>
          <w:rFonts w:ascii="Times New Roman" w:hAnsi="Times New Roman" w:cs="Times New Roman"/>
          <w:sz w:val="24"/>
        </w:rPr>
      </w:pPr>
      <w:bookmarkStart w:id="26" w:name="_Toc88216593"/>
      <w:r>
        <w:rPr>
          <w:rFonts w:ascii="Times New Roman" w:hAnsi="Times New Roman"/>
          <w:sz w:val="24"/>
        </w:rPr>
        <w:t>1.5. I 03.01 – KIINTEITÄ YLEISKUSTANNUKSIA KOSKEVAN VAATIMUKSEN LASKENTA (I 3.1)</w:t>
      </w:r>
      <w:bookmarkEnd w:id="2"/>
      <w:bookmarkEnd w:id="3"/>
      <w:bookmarkEnd w:id="26"/>
      <w:bookmarkEnd w:id="4"/>
      <w:bookmarkEnd w:id="5"/>
    </w:p>
    <w:p>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7" w:name="_Toc310414968"/>
      <w:bookmarkStart w:id="28" w:name="_Toc360188326"/>
      <w:bookmarkStart w:id="29" w:name="_Toc473560874"/>
      <w:bookmarkStart w:id="30" w:name="_Toc7084159"/>
      <w:bookmarkStart w:id="31" w:name="_Toc88216594"/>
      <w:bookmarkStart w:id="32" w:name="_Toc308175821"/>
      <w:r>
        <w:rPr>
          <w:rFonts w:ascii="Times New Roman" w:hAnsi="Times New Roman"/>
          <w:sz w:val="24"/>
          <w:szCs w:val="24"/>
        </w:rPr>
        <w:t>1.5.1</w:t>
      </w:r>
      <w:r>
        <w:rPr>
          <w:rFonts w:ascii="Times New Roman" w:hAnsi="Times New Roman"/>
          <w:sz w:val="24"/>
          <w:szCs w:val="24"/>
        </w:rPr>
        <w:tab/>
      </w:r>
      <w:r>
        <w:rPr>
          <w:rFonts w:ascii="Times New Roman" w:hAnsi="Times New Roman"/>
          <w:sz w:val="24"/>
          <w:szCs w:val="24"/>
          <w:u w:val="single"/>
        </w:rPr>
        <w:t xml:space="preserve">Positiokohtaiset </w:t>
      </w:r>
      <w:bookmarkEnd w:id="32"/>
      <w:bookmarkEnd w:id="27"/>
      <w:r>
        <w:rPr>
          <w:rFonts w:ascii="Times New Roman" w:hAnsi="Times New Roman"/>
          <w:sz w:val="24"/>
          <w:szCs w:val="24"/>
          <w:u w:val="single"/>
        </w:rPr>
        <w:t>ohjeet</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Rivi</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Lainsäädäntöviittaukset ja ohjeet</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Kiinteitä yleiskustannuksia koskeva vaatimus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rPr>
              <w:t>Asetuksen (EU) 2019/2033 13 artiklan 1 kohta.</w:t>
            </w:r>
          </w:p>
          <w:p>
            <w:pPr>
              <w:spacing w:after="120" w:line="240" w:lineRule="auto"/>
              <w:jc w:val="both"/>
              <w:rPr>
                <w:rFonts w:ascii="Times New Roman" w:hAnsi="Times New Roman" w:cs="Times New Roman"/>
              </w:rPr>
            </w:pPr>
            <w:r>
              <w:rPr>
                <w:rFonts w:ascii="Times New Roman" w:hAnsi="Times New Roman"/>
              </w:rPr>
              <w:t>Ilmoitettavan määrän on oltava vähintään 25 prosenttia edellisen vuoden vuosittaisista kiinteistä yleiskustannuksista (rivi 0020).</w:t>
            </w:r>
          </w:p>
          <w:p>
            <w:pPr>
              <w:spacing w:after="120" w:line="240" w:lineRule="auto"/>
              <w:jc w:val="both"/>
              <w:rPr>
                <w:rFonts w:ascii="Times New Roman" w:hAnsi="Times New Roman" w:cs="Times New Roman"/>
              </w:rPr>
            </w:pPr>
            <w:r>
              <w:rPr>
                <w:rFonts w:ascii="Times New Roman" w:hAnsi="Times New Roman"/>
              </w:rPr>
              <w:t>Jos kyseessä on asetuksen (EU) 2019/2033 13 artiklan 2 kohdan mukainen olennainen muutos, ilmoitettava määrä on toimivaltaisen viranomaisen kyseisen artiklan mukaisesti asettama kiinteitä yleiskustannuksia koskeva vaatimus.</w:t>
            </w:r>
          </w:p>
          <w:p>
            <w:pPr>
              <w:spacing w:after="120" w:line="240" w:lineRule="auto"/>
              <w:jc w:val="both"/>
              <w:rPr>
                <w:rFonts w:ascii="Times New Roman" w:hAnsi="Times New Roman" w:cs="Times New Roman"/>
              </w:rPr>
            </w:pPr>
            <w:r>
              <w:rPr>
                <w:rFonts w:ascii="Times New Roman" w:hAnsi="Times New Roman"/>
              </w:rPr>
              <w:t>Asetuksen (EU) 2019/2033 13 artiklan 3 kohdassa eritellyissä tapauksissa ilmoitettava määrä on kuluvan vuoden ennakoidut kiinteät yleiskustannukset (rivi 0200).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Edellisen vuoden vuotuiset kiinteät yleiskustannukset voitonjaon jälkeen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artiklan 1 kohta.</w:t>
            </w:r>
          </w:p>
          <w:p>
            <w:pPr>
              <w:pStyle w:val="CommentText"/>
              <w:rPr>
                <w:rFonts w:ascii="Times New Roman" w:hAnsi="Times New Roman" w:cs="Times New Roman"/>
                <w:sz w:val="22"/>
                <w:szCs w:val="22"/>
              </w:rPr>
            </w:pPr>
            <w:r>
              <w:rPr>
                <w:rFonts w:ascii="Times New Roman" w:hAnsi="Times New Roman"/>
                <w:bCs/>
                <w:color w:val="000000" w:themeColor="text1"/>
                <w:sz w:val="22"/>
                <w:szCs w:val="22"/>
              </w:rPr>
              <w:t xml:space="preserve">Sijoituspalveluyritysten on ilmoitettava edellisen vuoden kiinteät yleiskustannukset voitonjaon jälkeen.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Edellisen vuoden kustannukset yhteensä voitonjaon jälkeen</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rPr>
              <w:t>Asetuksen (EU) 2019/2033 13 artiklan 1 kohta.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Ilmoitettava määrä on voitonjaon jälkeinen määrä.</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Joista: kolmansille osapuolille sijoituspalveluyritysten puolesta aiheutuneet kiinteät kustannukset</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Asetuksen (EU) 2019/2033 13 artikla.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Vähennykset yhteensä</w:t>
            </w:r>
          </w:p>
          <w:p>
            <w:pPr>
              <w:pStyle w:val="NumPar1"/>
              <w:numPr>
                <w:ilvl w:val="0"/>
                <w:numId w:val="0"/>
              </w:numPr>
              <w:rPr>
                <w:sz w:val="22"/>
              </w:rPr>
            </w:pPr>
            <w:r>
              <w:rPr>
                <w:sz w:val="22"/>
              </w:rPr>
              <w:t>Asetuksen (EU) 2019/2033 13 artiklan 4 kohdassa tarkoitettujen vähennettävien erien lisäksi kokonaiskustannuksista on vähennettävä myös seuraavat erät, jos ne sisältyvät kokonaiskustannuksiin asiaankuuluvan tilinpäätössäännöstön mukaisesti:</w:t>
            </w:r>
          </w:p>
          <w:p>
            <w:pPr>
              <w:pStyle w:val="Point1letter"/>
              <w:numPr>
                <w:ilvl w:val="0"/>
                <w:numId w:val="0"/>
              </w:numPr>
              <w:tabs>
                <w:tab w:val="left" w:pos="850"/>
              </w:tabs>
              <w:ind w:left="492" w:hanging="567"/>
              <w:rPr>
                <w:sz w:val="22"/>
              </w:rPr>
            </w:pPr>
            <w:r>
              <w:rPr>
                <w:sz w:val="22"/>
              </w:rPr>
              <w:t>a)</w:t>
            </w:r>
            <w:r>
              <w:rPr>
                <w:sz w:val="22"/>
              </w:rPr>
              <w:tab/>
              <w:t>keskusvastapuolille, pörsseille ja muille kauppapaikoille ja välittäjille liiketoimien toteuttamista, rekisteröintiä tai selvitystä varten maksettavat palkkiot, välityspalkkiot ja muut maksut ainoastaan, jos ne siirretään suoraan asiakkaille ja veloitetaan niiltä. Näihin eivät sisälly palkkiot ja muut maksut, jotka ovat tarpeen keskusvastapuolten, pörssien ja muiden kauppapaikkojen jäsenyyden ylläpitämiseksi tai muutoin tappioiden jakamista koskevien taloudellisten velvoitteiden täyttämiseksi keskusvastapuolia, pörssejä ja muita kauppapaikkoja kohtaan;</w:t>
            </w:r>
          </w:p>
          <w:p>
            <w:pPr>
              <w:pStyle w:val="Point1letter"/>
              <w:numPr>
                <w:ilvl w:val="0"/>
                <w:numId w:val="0"/>
              </w:numPr>
              <w:tabs>
                <w:tab w:val="left" w:pos="850"/>
              </w:tabs>
              <w:ind w:left="492" w:hanging="567"/>
              <w:rPr>
                <w:sz w:val="22"/>
              </w:rPr>
            </w:pPr>
            <w:r>
              <w:rPr>
                <w:sz w:val="22"/>
              </w:rPr>
              <w:t>b)</w:t>
            </w:r>
            <w:r>
              <w:rPr>
                <w:sz w:val="22"/>
              </w:rPr>
              <w:tab/>
              <w:t>asiakkaille asiakasrahoista maksetut korot, jos tällaisia korkoja ei ole millään tavalla velvoitettu maksamaan;</w:t>
            </w:r>
          </w:p>
          <w:p>
            <w:pPr>
              <w:pStyle w:val="Point1letter"/>
              <w:numPr>
                <w:ilvl w:val="0"/>
                <w:numId w:val="0"/>
              </w:numPr>
              <w:tabs>
                <w:tab w:val="left" w:pos="850"/>
              </w:tabs>
              <w:ind w:left="492" w:hanging="567"/>
              <w:rPr>
                <w:sz w:val="22"/>
              </w:rPr>
            </w:pPr>
            <w:r>
              <w:rPr>
                <w:sz w:val="22"/>
              </w:rPr>
              <w:t>c)</w:t>
            </w:r>
            <w:r>
              <w:rPr>
                <w:sz w:val="22"/>
              </w:rPr>
              <w:tab/>
              <w:t>menot veroista, jos ne erääntyvät suhteessa sijoituspalveluyrityksen vuotuiseen voittoon;</w:t>
            </w:r>
          </w:p>
          <w:p>
            <w:pPr>
              <w:pStyle w:val="Point1letter"/>
              <w:numPr>
                <w:ilvl w:val="0"/>
                <w:numId w:val="0"/>
              </w:numPr>
              <w:tabs>
                <w:tab w:val="left" w:pos="850"/>
              </w:tabs>
              <w:ind w:left="492" w:hanging="567"/>
              <w:rPr>
                <w:sz w:val="22"/>
              </w:rPr>
            </w:pPr>
            <w:r>
              <w:rPr>
                <w:sz w:val="22"/>
              </w:rPr>
              <w:t>d)</w:t>
            </w:r>
            <w:r>
              <w:rPr>
                <w:sz w:val="22"/>
              </w:rPr>
              <w:tab/>
              <w:t>tappiot omaan lukuun käytävästä kaupankäynnistä rahoitusvälineillä;</w:t>
            </w:r>
          </w:p>
          <w:p>
            <w:pPr>
              <w:pStyle w:val="Point1letter"/>
              <w:numPr>
                <w:ilvl w:val="0"/>
                <w:numId w:val="0"/>
              </w:numPr>
              <w:tabs>
                <w:tab w:val="left" w:pos="850"/>
              </w:tabs>
              <w:ind w:left="492" w:hanging="567"/>
              <w:rPr>
                <w:sz w:val="22"/>
              </w:rPr>
            </w:pPr>
            <w:r>
              <w:rPr>
                <w:sz w:val="22"/>
              </w:rPr>
              <w:t>e)</w:t>
            </w:r>
            <w:r>
              <w:rPr>
                <w:sz w:val="22"/>
              </w:rPr>
              <w:tab/>
              <w:t>maksut, jotka liittyvät sopimusperusteisiin voittojen ja tappioiden siirtämistä koskeviin sopimuksiin, joiden mukaisesti sijoituspalveluyrityksen on vuositilinpäätöksensä laatimisen jälkeen siirrettävä vuotuinen tulos emoyritykselle;</w:t>
            </w:r>
          </w:p>
          <w:p>
            <w:pPr>
              <w:pStyle w:val="Point1letter"/>
              <w:numPr>
                <w:ilvl w:val="0"/>
                <w:numId w:val="0"/>
              </w:numPr>
              <w:tabs>
                <w:tab w:val="left" w:pos="850"/>
              </w:tabs>
              <w:ind w:left="492" w:hanging="567"/>
              <w:rPr>
                <w:color w:val="000000" w:themeColor="text1"/>
                <w:sz w:val="22"/>
              </w:rPr>
            </w:pPr>
            <w:r>
              <w:rPr>
                <w:color w:val="000000" w:themeColor="text1"/>
                <w:sz w:val="22"/>
              </w:rPr>
              <w:t>f)</w:t>
            </w:r>
            <w:r>
              <w:rPr>
                <w:color w:val="000000" w:themeColor="text1"/>
                <w:sz w:val="22"/>
              </w:rPr>
              <w:tab/>
            </w:r>
            <w:r>
              <w:rPr>
                <w:sz w:val="22"/>
              </w:rPr>
              <w:t>asetuksen (EU) N:o 575/2013 26 artiklan 1 kohdan f alakohdan mukaiset maksut yleisen pankkiriskin rahastoon;</w:t>
            </w:r>
          </w:p>
          <w:p>
            <w:pPr>
              <w:pStyle w:val="Point1letter"/>
              <w:numPr>
                <w:ilvl w:val="0"/>
                <w:numId w:val="0"/>
              </w:numPr>
              <w:tabs>
                <w:tab w:val="left" w:pos="850"/>
              </w:tabs>
              <w:ind w:left="492" w:hanging="567"/>
              <w:rPr>
                <w:rFonts w:eastAsia="Times New Roman"/>
                <w:bCs/>
                <w:color w:val="000000" w:themeColor="text1"/>
                <w:sz w:val="22"/>
              </w:rPr>
            </w:pPr>
            <w:r>
              <w:rPr>
                <w:rFonts w:eastAsia="Times New Roman"/>
                <w:bCs/>
                <w:color w:val="000000" w:themeColor="text1"/>
                <w:sz w:val="22"/>
              </w:rPr>
              <w:t>g)</w:t>
            </w:r>
            <w:r>
              <w:rPr>
                <w:rFonts w:eastAsia="Times New Roman"/>
                <w:bCs/>
                <w:color w:val="000000" w:themeColor="text1"/>
                <w:sz w:val="22"/>
              </w:rPr>
              <w:tab/>
            </w:r>
            <w:r>
              <w:rPr>
                <w:sz w:val="22"/>
              </w:rPr>
              <w:t>kustannukset, jotka liittyvät sellaisiin eriin, jotka on jo vähennetty omista varoista asetuksen (EU) N:o 575/2013 36 artiklan 1 kohdan mukaisesti.</w:t>
            </w:r>
            <w:r>
              <w:rPr>
                <w:bCs/>
                <w:color w:val="000000" w:themeColor="text1"/>
                <w:sz w:val="22"/>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Henkilöstön bonukset ja muut palkkiot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artiklan 4 kohdan a alakohta.</w:t>
            </w:r>
          </w:p>
          <w:p>
            <w:pPr>
              <w:pStyle w:val="NumPar1"/>
              <w:numPr>
                <w:ilvl w:val="0"/>
                <w:numId w:val="0"/>
              </w:numPr>
              <w:rPr>
                <w:sz w:val="22"/>
              </w:rPr>
            </w:pPr>
            <w:r>
              <w:rPr>
                <w:sz w:val="22"/>
              </w:rPr>
              <w:t>Henkilöstön bonuksien ja muiden palkkioiden katsotaan riippuvan sijoituspalveluyrityksen kyseisen vuoden nettovoitosta, jos molemmat seuraavista edellytyksistä täyttyvät:</w:t>
            </w:r>
          </w:p>
          <w:p>
            <w:pPr>
              <w:pStyle w:val="Point1letter"/>
              <w:numPr>
                <w:ilvl w:val="0"/>
                <w:numId w:val="0"/>
              </w:numPr>
              <w:ind w:left="634" w:hanging="567"/>
              <w:rPr>
                <w:sz w:val="22"/>
              </w:rPr>
            </w:pPr>
            <w:r>
              <w:rPr>
                <w:sz w:val="22"/>
              </w:rPr>
              <w:t>h)</w:t>
            </w:r>
            <w:r>
              <w:rPr>
                <w:sz w:val="22"/>
              </w:rPr>
              <w:tab/>
              <w:t>vähennettävät henkilöstön bonukset tai muut palkkiot on jo maksettu työntekijöille maksuvuotta edeltävänä vuonna tai henkilöstön bonusten tai muiden palkkioiden maksaminen työntekijöille ei vaikuta yrityksen pääomapositioon maksuvuonna;</w:t>
            </w:r>
          </w:p>
          <w:p>
            <w:pPr>
              <w:pStyle w:val="Point1letter"/>
              <w:numPr>
                <w:ilvl w:val="0"/>
                <w:numId w:val="0"/>
              </w:numPr>
              <w:ind w:left="634" w:hanging="567"/>
              <w:rPr>
                <w:rFonts w:eastAsia="Times New Roman"/>
                <w:bCs/>
                <w:color w:val="000000" w:themeColor="text1"/>
                <w:sz w:val="22"/>
              </w:rPr>
            </w:pPr>
            <w:r>
              <w:rPr>
                <w:rFonts w:eastAsia="Times New Roman"/>
                <w:bCs/>
                <w:color w:val="000000" w:themeColor="text1"/>
                <w:sz w:val="22"/>
              </w:rPr>
              <w:t>i)</w:t>
            </w:r>
            <w:r>
              <w:rPr>
                <w:rFonts w:eastAsia="Times New Roman"/>
                <w:bCs/>
                <w:color w:val="000000" w:themeColor="text1"/>
                <w:sz w:val="22"/>
              </w:rPr>
              <w:tab/>
            </w:r>
            <w:r>
              <w:rPr>
                <w:sz w:val="22"/>
              </w:rPr>
              <w:t>yritys ei ole velvollinen myöntämään tai jakamaan muita bonuksia tai muita palkkioiden muodossa suoritettavia maksuja kuluvan vuoden ja tulevien vuosien osalta, ellei se tee kyseisenä vuonna nettovoittoa.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Työntekijöiden, johtajien ja kumppaneiden osuudet nettovoitosta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artiklan 4 kohdan b alakohta.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Työntekijöiden, johtajien ja kumppaneiden osuudet voitosta lasketaan nettovoiton perusteella.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Muut harkinnanvaraiset voitonjaot ja muuttuvat palkkiot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artiklan 4 kohdan c alakohta.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Maksetut yhteispalkkiot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artiklan 4 kohdan d alakohta.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Keskusvastapuolille maksettavat asiakkailta veloitettavat maksut, välityspalkkiot ja muut maksut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Keskusvastapuolille, pörsseille ja muille kauppapaikoille ja välittäjille liiketoimien toteuttamista, rekisteröintiä tai selvitystä varten maksettavat palkkiot, välityspalkkiot ja muut maksut ainoastaan, jos ne siirretään suoraan asiakkaille ja veloitetaan niiltä. Näihin eivät sisälly palkkiot ja muut maksut, jotka ovat tarpeen keskusvastapuolten, pörssien ja muiden kauppapaikkojen jäsenyyden ylläpitämiseksi tai muutoin tappioiden jakamista koskevien taloudellisten velvoitteiden täyttämiseksi keskusvastapuolia, pörssejä ja muita kauppapaikkoja kohtaan.</w:t>
            </w:r>
            <w:r>
              <w:rPr>
                <w:rFonts w:ascii="Times New Roman" w:hAnsi="Times New Roman"/>
                <w:bCs/>
                <w:color w:val="000000" w:themeColor="text1"/>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Sidonnaisasiamiehille suoritetut palkkiot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rPr>
              <w:t>Asetuksen (EU) 2019/2033 13 artiklan 4 kohdan e alakohta.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Epätavanomaisesta toiminnasta johtuvat kertaluonteiset menot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Asetuksen (EU) 2019/2033 13 artiklan 4 kohdan f alakohta.</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0140</w:t>
            </w:r>
          </w:p>
          <w:p>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pPr>
              <w:spacing w:after="120" w:line="240" w:lineRule="auto"/>
              <w:jc w:val="both"/>
              <w:rPr>
                <w:rFonts w:ascii="Times New Roman" w:eastAsia="Times New Roman" w:hAnsi="Times New Roman" w:cs="Times New Roman"/>
                <w:bCs/>
                <w:color w:val="000000" w:themeColor="text1"/>
                <w:u w:val="single"/>
              </w:rPr>
            </w:pPr>
            <w:r>
              <w:rPr>
                <w:rFonts w:ascii="Times New Roman" w:hAnsi="Times New Roman"/>
                <w:b/>
                <w:bCs/>
                <w:color w:val="000000" w:themeColor="text1"/>
                <w:u w:val="single"/>
              </w:rPr>
              <w:t>(–) Veromenot</w:t>
            </w:r>
          </w:p>
          <w:p>
            <w:pPr>
              <w:pStyle w:val="Point1letter"/>
              <w:numPr>
                <w:ilvl w:val="0"/>
                <w:numId w:val="0"/>
              </w:numPr>
              <w:rPr>
                <w:rFonts w:eastAsia="Times New Roman"/>
                <w:color w:val="000000" w:themeColor="text1"/>
                <w:sz w:val="22"/>
              </w:rPr>
            </w:pPr>
            <w:r>
              <w:rPr>
                <w:sz w:val="22"/>
              </w:rPr>
              <w:t>Menot veroista, jos ne erääntyvät suhteessa sijoituspalveluyrityksen vuotuiseen voittoon.</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Tappiot omaan lukuun käytävästä kaupankäynnistä rahoitusvälineillä</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Ei kaipaa tarkempaa selitystä.</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Sopimusperusteiset voittojen ja tappioiden siirtämistä koskevat sopimukset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Maksut, jotka liittyvät sopimusperusteisiin voittojen ja tappioiden siirtämistä koskeviin sopimuksiin, joiden mukaisesti sijoituspalveluyrityksen on vuositilinpäätöksensä laatimisen jälkeen siirrettävä vuotuinen tulos emoyritykselle.</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Raaka-aineisiin liittyvät menot</w:t>
            </w:r>
          </w:p>
          <w:p>
            <w:pPr>
              <w:spacing w:after="120" w:line="240" w:lineRule="auto"/>
              <w:jc w:val="both"/>
              <w:rPr>
                <w:rFonts w:ascii="Times New Roman" w:eastAsia="Times New Roman" w:hAnsi="Times New Roman" w:cs="Times New Roman"/>
                <w:bCs/>
                <w:color w:val="000000" w:themeColor="text1"/>
              </w:rPr>
            </w:pPr>
            <w:bookmarkStart w:id="33" w:name="_Toc38271703"/>
            <w:r>
              <w:rPr>
                <w:rFonts w:ascii="Times New Roman" w:hAnsi="Times New Roman"/>
                <w:bCs/>
                <w:color w:val="000000" w:themeColor="text1"/>
              </w:rPr>
              <w:t>Hyödyke- ja päästöoikeusmarkkinoilla toimivat välittäjät voivat vähentää raaka-aineista aiheutuvat menot, jotka liittyvät sijoituspalveluyrityksen kaupankäyntiin kohde-etuutena olevan hyödykkeen johdannaisilla.</w:t>
            </w:r>
            <w:bookmarkEnd w:id="33"/>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Maksut yleisen pankkiriskin rahastoon</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Asetuksen (EU) N:o 575/2013 26 artiklan 1 kohdan f alakohdan mukaiset maksut yleisen pankkiriskin rahastoon.</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Omista varoista jo vähennettyihin eriin liittyvät kustannukset</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Kustannukset, jotka liittyvät sellaisiin eriin, jotka on jo vähennetty omista varoista asetuksen (EU) N:o 575/2013 36 artiklan 1 kohdan mukaisesti.</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Kuluvan vuoden ennakoidut kiinteät yleiskustannukset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Voitonjakoa seuraavan vuoden kiinteiden yleiskustannusten ennuste.</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Kiinteiden yleiskustannusten vaihtelu (%)</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Määrä ilmoitetaan seuraavana absoluuttisena arvona: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[(Kuluvan vuoden vuotuiset kiinteät yleiskustannukset) – (edellisen vuoden ennakoidut kiinteät yleiskustannukset) / (edellisen vuoden vuosittaiset kiinteät yleiskustannukset)].</w:t>
            </w:r>
          </w:p>
        </w:tc>
      </w:tr>
    </w:tbl>
    <w:p>
      <w:pPr>
        <w:spacing w:after="120" w:line="240" w:lineRule="auto"/>
        <w:jc w:val="both"/>
        <w:rPr>
          <w:rFonts w:ascii="Times New Roman" w:eastAsia="Times New Roman" w:hAnsi="Times New Roman" w:cs="Times New Roman"/>
          <w:sz w:val="24"/>
          <w:szCs w:val="24"/>
          <w:lang w:eastAsia="de-DE"/>
        </w:rPr>
      </w:pPr>
    </w:p>
    <w:p>
      <w:pPr>
        <w:pStyle w:val="Instructionsberschrift2"/>
        <w:ind w:left="357" w:hanging="357"/>
        <w:rPr>
          <w:rFonts w:ascii="Times New Roman" w:hAnsi="Times New Roman" w:cs="Times New Roman"/>
          <w:sz w:val="24"/>
          <w:u w:val="none"/>
        </w:rPr>
      </w:pPr>
      <w:bookmarkStart w:id="34" w:name="_Toc88216595"/>
      <w:r>
        <w:rPr>
          <w:rFonts w:ascii="Times New Roman" w:hAnsi="Times New Roman"/>
          <w:sz w:val="24"/>
          <w:u w:val="none"/>
        </w:rPr>
        <w:t>2. PIENET JA ILMAN SIDOSSUHTEITA OLEVAT SIJOITUSPALVELUYRITYKSET</w:t>
      </w:r>
      <w:bookmarkEnd w:id="3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73560875"/>
      <w:bookmarkStart w:id="36" w:name="_Toc7084160"/>
      <w:bookmarkStart w:id="37" w:name="_Toc88216596"/>
      <w:bookmarkStart w:id="38" w:name="_Toc308175823"/>
      <w:bookmarkStart w:id="39" w:name="_Toc360188327"/>
      <w:r>
        <w:rPr>
          <w:rFonts w:ascii="Times New Roman" w:hAnsi="Times New Roman"/>
          <w:sz w:val="24"/>
          <w:szCs w:val="24"/>
        </w:rPr>
        <w:t>2,1</w:t>
      </w:r>
      <w:r>
        <w:tab/>
      </w:r>
      <w:r>
        <w:rPr>
          <w:rFonts w:ascii="Times New Roman" w:hAnsi="Times New Roman"/>
          <w:sz w:val="24"/>
          <w:szCs w:val="24"/>
          <w:u w:val="single"/>
        </w:rPr>
        <w:t>I 05.00 – TOIMINNAN LAAJUUS – KYNNYSARVOJEN TARKASTELU (I 5)</w:t>
      </w:r>
      <w:bookmarkEnd w:id="35"/>
      <w:bookmarkEnd w:id="36"/>
      <w:bookmarkEnd w:id="37"/>
      <w:bookmarkEnd w:id="38"/>
      <w:bookmarkEnd w:id="39"/>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310414970"/>
      <w:bookmarkStart w:id="41" w:name="_Toc360188328"/>
      <w:bookmarkStart w:id="42" w:name="_Toc473560876"/>
      <w:bookmarkStart w:id="43" w:name="_Toc7084161"/>
      <w:bookmarkStart w:id="44" w:name="_Toc88216597"/>
      <w:bookmarkStart w:id="45" w:name="_Toc308175824"/>
      <w:r>
        <w:rPr>
          <w:rFonts w:ascii="Times New Roman" w:hAnsi="Times New Roman"/>
          <w:sz w:val="24"/>
          <w:szCs w:val="24"/>
        </w:rPr>
        <w:t>2.1.1</w:t>
      </w:r>
      <w:r>
        <w:rPr>
          <w:rFonts w:ascii="Times New Roman" w:hAnsi="Times New Roman"/>
          <w:sz w:val="24"/>
          <w:szCs w:val="24"/>
        </w:rPr>
        <w:tab/>
      </w:r>
      <w:r>
        <w:rPr>
          <w:rFonts w:ascii="Times New Roman" w:hAnsi="Times New Roman"/>
          <w:sz w:val="24"/>
          <w:szCs w:val="24"/>
          <w:u w:val="single"/>
        </w:rPr>
        <w:t xml:space="preserve">Positiokohtaiset </w:t>
      </w:r>
      <w:bookmarkEnd w:id="45"/>
      <w:bookmarkEnd w:id="40"/>
      <w:r>
        <w:rPr>
          <w:rFonts w:ascii="Times New Roman" w:hAnsi="Times New Roman"/>
          <w:sz w:val="24"/>
          <w:szCs w:val="24"/>
          <w:u w:val="single"/>
        </w:rPr>
        <w:t>ohjeet</w:t>
      </w:r>
      <w:bookmarkEnd w:id="41"/>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Hoidettavina olevat (yhdistetyt) varat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a alakohta.</w:t>
            </w:r>
          </w:p>
          <w:p>
            <w:pPr>
              <w:spacing w:after="120" w:line="240" w:lineRule="auto"/>
              <w:jc w:val="both"/>
              <w:rPr>
                <w:rFonts w:ascii="Times New Roman" w:eastAsia="Times New Roman" w:hAnsi="Times New Roman" w:cs="Times New Roman"/>
                <w:bCs/>
              </w:rPr>
            </w:pPr>
            <w:r>
              <w:rPr>
                <w:rFonts w:ascii="Times New Roman" w:hAnsi="Times New Roman"/>
                <w:bCs/>
              </w:rPr>
              <w:t>Jos raportoiva sijoituspalveluyritys kuuluu ryhmään, ilmoitettu arvo on asetuksen (EU) 2019/2033 12 artiklan 2 kohdan mukaisesti määritettävä yhdistetysti kaikkien niiden sijoituspalveluyritysten osalta, jotka kuuluvat ryhmään.</w:t>
            </w:r>
          </w:p>
          <w:p>
            <w:pPr>
              <w:spacing w:after="120" w:line="240" w:lineRule="auto"/>
              <w:jc w:val="both"/>
              <w:rPr>
                <w:rFonts w:ascii="Times New Roman" w:eastAsia="Times New Roman" w:hAnsi="Times New Roman" w:cs="Times New Roman"/>
                <w:bCs/>
              </w:rPr>
            </w:pPr>
            <w:r>
              <w:rPr>
                <w:rFonts w:ascii="Times New Roman" w:hAnsi="Times New Roman"/>
                <w:bCs/>
              </w:rPr>
              <w:t>Sijoituspalveluyritysten on sisällytettävä hoidettavina olevat harkinnanvaraiset ja muut kuin harkinnanvaraiset varat.</w:t>
            </w:r>
          </w:p>
          <w:p>
            <w:pPr>
              <w:spacing w:after="120" w:line="240" w:lineRule="auto"/>
              <w:jc w:val="both"/>
              <w:rPr>
                <w:rFonts w:ascii="Times New Roman" w:eastAsia="Times New Roman" w:hAnsi="Times New Roman" w:cs="Times New Roman"/>
                <w:b/>
                <w:bCs/>
                <w:u w:val="single"/>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Käsiteltävinä olevat (yhdistetyt) asiakastoimeksiannot – käteiskaupat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b alakohdan i alakohta.</w:t>
            </w:r>
          </w:p>
          <w:p>
            <w:pPr>
              <w:spacing w:after="120" w:line="240" w:lineRule="auto"/>
              <w:jc w:val="both"/>
              <w:rPr>
                <w:rFonts w:ascii="Times New Roman" w:eastAsia="Times New Roman" w:hAnsi="Times New Roman" w:cs="Times New Roman"/>
                <w:bCs/>
              </w:rPr>
            </w:pPr>
            <w:r>
              <w:rPr>
                <w:rFonts w:ascii="Times New Roman" w:hAnsi="Times New Roman"/>
                <w:bCs/>
              </w:rPr>
              <w:t>Jos raportoiva sijoituspalveluyritys kuuluu ryhmään, ilmoitettu arvo on asetuksen (EU) 2019/2033 12 artiklan 2 kohdan mukaisesti määritettävä yhdistetysti kaikkien niiden sijoituspalveluyritysten osalta, jotka kuuluvat ryhmään.</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Käsiteltävinä olevat (yhdistetyt) asiakastoimeksiannot – johdannaiset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b alakohdan i alakohta.</w:t>
            </w:r>
          </w:p>
          <w:p>
            <w:pPr>
              <w:spacing w:after="120" w:line="240" w:lineRule="auto"/>
              <w:jc w:val="both"/>
              <w:rPr>
                <w:rFonts w:ascii="Times New Roman" w:eastAsia="Times New Roman" w:hAnsi="Times New Roman" w:cs="Times New Roman"/>
                <w:bCs/>
              </w:rPr>
            </w:pPr>
            <w:r>
              <w:rPr>
                <w:rFonts w:ascii="Times New Roman" w:hAnsi="Times New Roman"/>
                <w:bCs/>
              </w:rPr>
              <w:t>Jos raportoiva sijoituspalveluyritys kuuluu ryhmään, ilmoitettu arvo on asetuksen (EU) 2019/2033 12 artiklan 2 kohdan mukaisesti määritettävä yhdistetysti kaikkien niiden sijoituspalveluyritysten osalta, jotka kuuluvat ryhmään.</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Säilytettävinä ja hallinnoitavina olevat varat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c alakohta.</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Hallussa olevat asiakasrahat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d alakohta.</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Päivittäinen kaupankäyntivirta – käteiskaupat ja johdannaiskaupat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e alakohta.</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Nettopositioriski</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f alakohta.</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Annettu määritysmarginaali</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f alakohta.</w:t>
            </w:r>
          </w:p>
          <w:p>
            <w:pPr>
              <w:spacing w:after="120" w:line="240" w:lineRule="auto"/>
              <w:jc w:val="both"/>
              <w:rPr>
                <w:rFonts w:ascii="Times New Roman" w:eastAsia="Times New Roman" w:hAnsi="Times New Roman" w:cs="Times New Roman"/>
                <w:b/>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Kaupan vastapuolen maksukyvyttömyys</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g alakohta.</w:t>
            </w:r>
          </w:p>
          <w:p>
            <w:pPr>
              <w:spacing w:after="120" w:line="240" w:lineRule="auto"/>
              <w:jc w:val="both"/>
              <w:rPr>
                <w:rFonts w:ascii="Times New Roman" w:eastAsia="Times New Roman" w:hAnsi="Times New Roman" w:cs="Times New Roman"/>
                <w:bCs/>
              </w:rPr>
            </w:pPr>
            <w:r>
              <w:rPr>
                <w:rFonts w:ascii="Times New Roman" w:hAnsi="Times New Roman"/>
                <w:bCs/>
              </w:rPr>
              <w:t>Ilmoitettava määrä on se määrä, jota käytettäisiin K-tekijöiden laskemiseen ennen asiaankuuluvien kertoimien soveltamista.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Taseeseen sisältyvä ja taseen ulkopuolinen (yhdistetty) loppusumma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h alakohta.</w:t>
            </w:r>
          </w:p>
          <w:p>
            <w:pPr>
              <w:spacing w:after="120" w:line="240" w:lineRule="auto"/>
              <w:jc w:val="both"/>
              <w:rPr>
                <w:rFonts w:ascii="Times New Roman" w:eastAsia="Times New Roman" w:hAnsi="Times New Roman" w:cs="Times New Roman"/>
                <w:bCs/>
              </w:rPr>
            </w:pPr>
            <w:r>
              <w:rPr>
                <w:rFonts w:ascii="Times New Roman" w:hAnsi="Times New Roman"/>
                <w:bCs/>
              </w:rPr>
              <w:t>Jos raportoiva sijoituspalveluyritys kuuluu ryhmään, ilmoitettu arvo on asetuksen (EU) 2019/2033 12 artiklan 2 kohdan mukaisesti määritettävä yhdistetysti kaikkien niiden sijoituspalveluyritysten osalta, jotka kuuluvat ryhmään.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Yhdistetyt vuotuiset kokonaisbruttotuotot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12 artiklan 1 kohdan i alakohta.</w:t>
            </w:r>
          </w:p>
          <w:p>
            <w:pPr>
              <w:spacing w:after="120" w:line="240" w:lineRule="auto"/>
              <w:jc w:val="both"/>
              <w:rPr>
                <w:rFonts w:ascii="Times New Roman" w:eastAsia="Times New Roman" w:hAnsi="Times New Roman" w:cs="Times New Roman"/>
                <w:bCs/>
              </w:rPr>
            </w:pPr>
            <w:r>
              <w:rPr>
                <w:rFonts w:ascii="Times New Roman" w:hAnsi="Times New Roman"/>
                <w:bCs/>
              </w:rPr>
              <w:t xml:space="preserve">Jos raportoiva sijoituspalveluyritys kuuluu ryhmään, ilmoitettu arvo on asetuksen (EU) 2019/2033 12 artiklan 2 kohdan mukaisesti määritettävä </w:t>
            </w:r>
            <w:r>
              <w:rPr>
                <w:rFonts w:ascii="Times New Roman" w:hAnsi="Times New Roman"/>
                <w:bCs/>
                <w:u w:val="single"/>
              </w:rPr>
              <w:t>yhdistetysti</w:t>
            </w:r>
            <w:r>
              <w:rPr>
                <w:rFonts w:ascii="Times New Roman" w:hAnsi="Times New Roman"/>
                <w:bCs/>
              </w:rPr>
              <w:t xml:space="preserve"> kaikkien niiden sijoituspalveluyritysten osalta, jotka kuuluvat ryhmään.</w:t>
            </w:r>
          </w:p>
          <w:p>
            <w:pPr>
              <w:spacing w:after="120" w:line="240" w:lineRule="auto"/>
              <w:jc w:val="both"/>
              <w:rPr>
                <w:rFonts w:ascii="Times New Roman" w:eastAsia="Times New Roman" w:hAnsi="Times New Roman" w:cs="Times New Roman"/>
                <w:bCs/>
              </w:rPr>
            </w:pPr>
            <w:r>
              <w:rPr>
                <w:rFonts w:ascii="Times New Roman" w:hAnsi="Times New Roman"/>
                <w:bCs/>
              </w:rPr>
              <w:t>Ilmoitettava arvo on rivi 0120 + rivi 0130.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Vuotuiset kokonaisbruttotuotot</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Vuotuisten kokonaisbruttotuottojen arvo </w:t>
            </w:r>
            <w:r>
              <w:rPr>
                <w:rFonts w:ascii="Times New Roman" w:hAnsi="Times New Roman"/>
                <w:bCs/>
                <w:u w:val="single"/>
              </w:rPr>
              <w:t>ilman</w:t>
            </w:r>
            <w:r>
              <w:rPr>
                <w:rFonts w:ascii="Times New Roman" w:hAnsi="Times New Roman"/>
                <w:bCs/>
              </w:rPr>
              <w:t xml:space="preserve"> ryhmän sisäisiä bruttotuottoja asetuksen (EU) 2019/2033 12 artiklan 2 kohdan mukaisesti.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Ryhmän sisäinen osa vuotuisista bruttotuotoista</w:t>
            </w:r>
          </w:p>
          <w:p>
            <w:pPr>
              <w:spacing w:after="120" w:line="240" w:lineRule="auto"/>
              <w:jc w:val="both"/>
              <w:rPr>
                <w:rFonts w:ascii="Times New Roman" w:eastAsia="Times New Roman" w:hAnsi="Times New Roman" w:cs="Times New Roman"/>
                <w:b/>
                <w:bCs/>
                <w:u w:val="single"/>
              </w:rPr>
            </w:pPr>
            <w:r>
              <w:rPr>
                <w:rFonts w:ascii="Times New Roman" w:hAnsi="Times New Roman"/>
                <w:bCs/>
              </w:rPr>
              <w:t>Sijoituspalveluyritysryhmässä asetuksen (EU) 2019/2033 12 artiklan 2 kohdan mukaisesti saatujen bruttotuottojen arvo.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toimeksiantojen vastaanottamisesta ja välittämisestä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Cs/>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toimeksiantojen toteuttamisesta asiakkaiden lukuun</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Cs/>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kaupankäynnistä omaan lukuun</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salkunhoidosta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sijoitusneuvonnasta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rahoitusvälineiden merkinnästä / rahoitusvälineiden liikkeeseenlaskun järjestämisestä merkintätakauksen perusteella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rahoitusvälineiden liikkeeseenlaskun järjestämisestä ilman merkintätakausta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monenkeskisen kaupankäyntijärjestelmän ylläpidosta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organisoidun kaupankäyntijärjestelmän ylläpidosta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2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rahoitusvälineiden säilyttämisestä ja hoidosta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luoton- tai lainanannosta sijoittajille</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yrityksille annettavasta neuvonnasta pääomarakenteesta, teollisuusstrategiasta sekä muista näihin liittyvistä kysymyksistä sekä yritysten sulautumista ja yritysostoja koskevasta neuvonnasta ja palveluista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valuuttapalveluista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sijoitustutkimus ja rahoitusanalyysi</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Joista: tulot merkintäsitoumuksia koskevista palveluista</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Joista: sijoituspalvelut ja oheistoiminta, jotka liittyvät johdannaisten kohde-etuuksiin</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54 artiklan 1 kohdan d alakohta.</w:t>
            </w:r>
          </w:p>
          <w:p>
            <w:pPr>
              <w:spacing w:after="120" w:line="240" w:lineRule="auto"/>
              <w:jc w:val="both"/>
              <w:rPr>
                <w:rFonts w:ascii="Times New Roman" w:eastAsia="Times New Roman" w:hAnsi="Times New Roman" w:cs="Times New Roman"/>
                <w:b/>
                <w:bCs/>
                <w:u w:val="single"/>
              </w:rPr>
            </w:pPr>
            <w:r>
              <w:rPr>
                <w:rFonts w:ascii="Times New Roman" w:hAnsi="Times New Roman"/>
                <w:bCs/>
              </w:rPr>
              <w:t>Direktiivin 2014/65/EU 4 artiklan 1 kohdan 3 alakohta.</w:t>
            </w:r>
          </w:p>
        </w:tc>
      </w:tr>
    </w:tbl>
    <w:p>
      <w:pPr>
        <w:pStyle w:val="Instructionsberschrift2"/>
        <w:ind w:left="357" w:hanging="357"/>
        <w:rPr>
          <w:rFonts w:ascii="Times New Roman" w:hAnsi="Times New Roman" w:cs="Times New Roman"/>
          <w:b/>
          <w:sz w:val="24"/>
          <w:u w:val="none"/>
        </w:rPr>
      </w:pPr>
    </w:p>
    <w:p>
      <w:pPr>
        <w:pStyle w:val="Instructionsberschrift2"/>
        <w:ind w:left="357" w:hanging="357"/>
        <w:rPr>
          <w:rFonts w:ascii="Times New Roman" w:hAnsi="Times New Roman" w:cs="Times New Roman"/>
          <w:b/>
          <w:sz w:val="24"/>
          <w:u w:val="none"/>
        </w:rPr>
      </w:pPr>
      <w:bookmarkStart w:id="46" w:name="_Toc88216598"/>
      <w:r>
        <w:rPr>
          <w:rFonts w:ascii="Times New Roman" w:hAnsi="Times New Roman"/>
          <w:b/>
          <w:sz w:val="24"/>
          <w:u w:val="none"/>
        </w:rPr>
        <w:t>3. MAKSUVALMIUSVAATIMUKSET</w:t>
      </w:r>
      <w:bookmarkEnd w:id="46"/>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16599"/>
      <w:r>
        <w:rPr>
          <w:rFonts w:ascii="Times New Roman" w:hAnsi="Times New Roman"/>
          <w:sz w:val="24"/>
          <w:szCs w:val="24"/>
          <w:u w:val="single"/>
        </w:rPr>
        <w:t>3.1. I 09.01 – MAKSUVALMIUSVAATIMUKSET (I 9.1)</w:t>
      </w:r>
      <w:bookmarkEnd w:id="47"/>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88216600"/>
      <w:r>
        <w:rPr>
          <w:rFonts w:ascii="Times New Roman" w:hAnsi="Times New Roman"/>
          <w:sz w:val="24"/>
          <w:szCs w:val="24"/>
        </w:rPr>
        <w:t>3.1.1</w:t>
      </w:r>
      <w:r>
        <w:rPr>
          <w:rFonts w:ascii="Times New Roman" w:hAnsi="Times New Roman"/>
          <w:sz w:val="24"/>
          <w:szCs w:val="24"/>
        </w:rPr>
        <w:tab/>
      </w:r>
      <w:r>
        <w:rPr>
          <w:rFonts w:ascii="Times New Roman" w:hAnsi="Times New Roman"/>
          <w:sz w:val="24"/>
          <w:szCs w:val="24"/>
          <w:u w:val="single"/>
        </w:rPr>
        <w:t>Positiokohtaiset ohjeet</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Rivi</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Lainsäädäntöviittaukset ja ohjeet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Maksuvalmiusvaatimus</w:t>
            </w:r>
          </w:p>
          <w:p>
            <w:pPr>
              <w:spacing w:after="120" w:line="240" w:lineRule="auto"/>
              <w:jc w:val="both"/>
              <w:rPr>
                <w:rFonts w:ascii="Times New Roman" w:eastAsia="Times New Roman" w:hAnsi="Times New Roman" w:cs="Times New Roman"/>
                <w:b/>
                <w:bCs/>
                <w:u w:val="single"/>
              </w:rPr>
            </w:pPr>
            <w:r>
              <w:rPr>
                <w:rFonts w:ascii="Times New Roman" w:hAnsi="Times New Roman"/>
                <w:bCs/>
              </w:rPr>
              <w:t>Asetuksen (EU) 2019/2033 43 artiklan 1 kohta.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Asiakkaille annetut takaukset</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45 artikla.</w:t>
            </w:r>
          </w:p>
          <w:p>
            <w:pPr>
              <w:spacing w:after="120" w:line="240" w:lineRule="auto"/>
              <w:jc w:val="both"/>
              <w:rPr>
                <w:rFonts w:ascii="Times New Roman" w:eastAsia="Times New Roman" w:hAnsi="Times New Roman" w:cs="Times New Roman"/>
                <w:bCs/>
              </w:rPr>
            </w:pPr>
            <w:r>
              <w:rPr>
                <w:rFonts w:ascii="Times New Roman" w:hAnsi="Times New Roman"/>
                <w:bCs/>
              </w:rPr>
              <w:t>Ilmoitettava arvo on 1,6 prosenttia asiakkaille asetuksen (EU) 2019/2033 45 artiklan mukaisesti annettujen takausten kokonaismäärästä.</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Likvidit varat yhteensä</w:t>
            </w:r>
          </w:p>
          <w:p>
            <w:pPr>
              <w:spacing w:after="120" w:line="240" w:lineRule="auto"/>
              <w:jc w:val="both"/>
              <w:rPr>
                <w:rFonts w:ascii="Times New Roman" w:eastAsia="Times New Roman" w:hAnsi="Times New Roman" w:cs="Times New Roman"/>
                <w:bCs/>
              </w:rPr>
            </w:pPr>
            <w:r>
              <w:rPr>
                <w:rFonts w:ascii="Times New Roman" w:hAnsi="Times New Roman"/>
                <w:bCs/>
              </w:rPr>
              <w:t>Asetuksen (EU) 2019/2033 43 artiklan 1 kohdan a alakohta ja 43 artiklan 2 kohta.</w:t>
            </w:r>
          </w:p>
          <w:p>
            <w:pPr>
              <w:pStyle w:val="CommentText"/>
              <w:rPr>
                <w:rFonts w:ascii="Times New Roman" w:eastAsia="Times New Roman" w:hAnsi="Times New Roman" w:cs="Times New Roman"/>
                <w:b/>
                <w:bCs/>
                <w:sz w:val="22"/>
                <w:szCs w:val="22"/>
                <w:u w:val="single"/>
              </w:rPr>
            </w:pPr>
            <w:r>
              <w:rPr>
                <w:rFonts w:ascii="Times New Roman" w:hAnsi="Times New Roman"/>
                <w:bCs/>
                <w:sz w:val="22"/>
                <w:szCs w:val="22"/>
              </w:rPr>
              <w:t>Likvidien varojen kokonaismäärä ilmoitetaan asiaankuuluvien arvonleikkausten soveltamisen jälkeen.</w:t>
            </w:r>
          </w:p>
        </w:tc>
      </w:tr>
    </w:tbl>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065A3D" w16cid:durableId="24899E7E"/>
  <w16cid:commentId w16cid:paraId="79E4C2DA" w16cid:durableId="24899E7F"/>
  <w16cid:commentId w16cid:paraId="4F93143D" w16cid:durableId="24899E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FI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IE" w:vendorID="64" w:dllVersion="131078" w:nlCheck="1" w:checkStyle="1"/>
  <w:activeWritingStyle w:appName="MSWord" w:lang="en-GB" w:vendorID="64" w:dllVersion="131078" w:nlCheck="1" w:checkStyle="1"/>
  <w:activeWritingStyle w:appName="MSWord" w:lang="fi-FI" w:vendorID="64" w:dllVersion="131078" w:nlCheck="1" w:checkStyle="0"/>
  <w:revisionView w:markup="0"/>
  <w:defaultTabStop w:val="720"/>
  <w:hyphenationZone w:val="283"/>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8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fi-FI"/>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C088673-9547-40F9-B15F-AFBB9E08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5261</Words>
  <Characters>29993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2021-11-25T16:24:00Z</dcterms:modified>
  <cp:category/>
</cp:coreProperties>
</file>