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BE8E64" w14:textId="77777777" w:rsidR="00F26498" w:rsidRPr="002A4062" w:rsidRDefault="002A4062">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r w:rsidRPr="002A4062">
        <w:rPr>
          <w:rFonts w:ascii="Times New Roman" w:hAnsi="Times New Roman"/>
          <w:b/>
          <w:sz w:val="24"/>
          <w:szCs w:val="24"/>
        </w:rPr>
        <w:t>PT</w:t>
      </w:r>
      <w:r w:rsidRPr="002A4062">
        <w:br/>
      </w:r>
      <w:r w:rsidRPr="002A4062">
        <w:rPr>
          <w:rFonts w:ascii="Times New Roman" w:hAnsi="Times New Roman"/>
          <w:b/>
          <w:sz w:val="24"/>
          <w:szCs w:val="20"/>
        </w:rPr>
        <w:t>ANEXO IX</w:t>
      </w:r>
    </w:p>
    <w:p w14:paraId="5C6974EF" w14:textId="77777777" w:rsidR="00F26498" w:rsidRPr="002A4062" w:rsidRDefault="002A4062">
      <w:pPr>
        <w:spacing w:after="240" w:line="240" w:lineRule="auto"/>
        <w:jc w:val="center"/>
        <w:rPr>
          <w:rFonts w:ascii="Times New Roman" w:eastAsia="Times New Roman" w:hAnsi="Times New Roman" w:cs="Times New Roman"/>
          <w:b/>
          <w:sz w:val="24"/>
          <w:szCs w:val="20"/>
          <w:u w:val="single"/>
        </w:rPr>
      </w:pPr>
      <w:r w:rsidRPr="002A4062">
        <w:rPr>
          <w:rFonts w:ascii="Times New Roman" w:hAnsi="Times New Roman"/>
          <w:b/>
          <w:sz w:val="24"/>
          <w:szCs w:val="20"/>
          <w:u w:val="single"/>
        </w:rPr>
        <w:t xml:space="preserve">«ANEXO </w:t>
      </w:r>
      <w:bookmarkEnd w:id="0"/>
      <w:bookmarkEnd w:id="1"/>
      <w:r w:rsidRPr="002A4062">
        <w:rPr>
          <w:rFonts w:ascii="Times New Roman" w:hAnsi="Times New Roman"/>
          <w:b/>
          <w:sz w:val="24"/>
          <w:szCs w:val="20"/>
          <w:u w:val="single"/>
        </w:rPr>
        <w:t>IX</w:t>
      </w:r>
    </w:p>
    <w:p w14:paraId="54B7D029" w14:textId="77777777" w:rsidR="00F26498" w:rsidRPr="002A4062" w:rsidRDefault="002A4062">
      <w:pPr>
        <w:spacing w:after="240" w:line="240" w:lineRule="auto"/>
        <w:jc w:val="center"/>
        <w:rPr>
          <w:rFonts w:ascii="Times New Roman" w:eastAsia="Times New Roman" w:hAnsi="Times New Roman" w:cs="Times New Roman"/>
          <w:b/>
          <w:sz w:val="24"/>
          <w:szCs w:val="20"/>
        </w:rPr>
      </w:pPr>
      <w:r w:rsidRPr="002A4062">
        <w:rPr>
          <w:rFonts w:ascii="Times New Roman" w:hAnsi="Times New Roman"/>
          <w:b/>
          <w:sz w:val="24"/>
          <w:szCs w:val="20"/>
        </w:rPr>
        <w:t>COMUNICAÇÃO DE INFORMAÇÕES SOBRE O CRITÉRIO DO CAPITAL DO GRUPO</w:t>
      </w:r>
    </w:p>
    <w:p w14:paraId="2AB99ED8" w14:textId="77777777" w:rsidR="00F26498" w:rsidRPr="002A4062" w:rsidRDefault="002A4062">
      <w:pPr>
        <w:spacing w:after="360" w:line="240" w:lineRule="auto"/>
        <w:rPr>
          <w:rFonts w:ascii="Times New Roman" w:eastAsia="Times New Roman" w:hAnsi="Times New Roman" w:cs="Times New Roman"/>
          <w:sz w:val="24"/>
          <w:szCs w:val="24"/>
          <w:lang w:val="en-US"/>
        </w:rPr>
      </w:pPr>
      <w:r w:rsidRPr="002A4062">
        <w:rPr>
          <w:rFonts w:ascii="Times New Roman" w:hAnsi="Times New Roman"/>
          <w:sz w:val="24"/>
          <w:szCs w:val="24"/>
          <w:lang w:val="en-US"/>
        </w:rPr>
        <w:t>Índice</w:t>
      </w:r>
    </w:p>
    <w:p w14:paraId="2E0F982A" w14:textId="77777777" w:rsidR="00F26498" w:rsidRPr="002A4062" w:rsidRDefault="002A4062">
      <w:pPr>
        <w:pStyle w:val="TOC2"/>
        <w:tabs>
          <w:tab w:val="right" w:leader="dot" w:pos="9016"/>
        </w:tabs>
        <w:rPr>
          <w:rFonts w:eastAsiaTheme="minorEastAsia"/>
          <w:noProof/>
        </w:rPr>
      </w:pPr>
      <w:r w:rsidRPr="002A4062">
        <w:rPr>
          <w:rFonts w:ascii="Times New Roman" w:hAnsi="Times New Roman"/>
          <w:noProof/>
        </w:rPr>
        <w:t>PARTE I: INSTRUÇÕES GERAIS</w:t>
      </w:r>
      <w:r w:rsidRPr="002A4062">
        <w:rPr>
          <w:noProof/>
        </w:rPr>
        <w:tab/>
        <w:t>2</w:t>
      </w:r>
    </w:p>
    <w:p w14:paraId="274D58FA" w14:textId="77777777" w:rsidR="00F26498" w:rsidRPr="002A4062" w:rsidRDefault="002A4062">
      <w:pPr>
        <w:pStyle w:val="TOC2"/>
        <w:tabs>
          <w:tab w:val="right" w:leader="dot" w:pos="9016"/>
        </w:tabs>
        <w:rPr>
          <w:rFonts w:eastAsiaTheme="minorEastAsia"/>
          <w:noProof/>
        </w:rPr>
      </w:pPr>
      <w:r w:rsidRPr="002A4062">
        <w:rPr>
          <w:rFonts w:ascii="Times New Roman" w:hAnsi="Times New Roman"/>
          <w:noProof/>
        </w:rPr>
        <w:t>1. Estrutura e convenções</w:t>
      </w:r>
      <w:r w:rsidRPr="002A4062">
        <w:rPr>
          <w:noProof/>
        </w:rPr>
        <w:tab/>
        <w:t>2</w:t>
      </w:r>
    </w:p>
    <w:p w14:paraId="5D5B40DE" w14:textId="77777777" w:rsidR="00F26498" w:rsidRPr="002A4062" w:rsidRDefault="002A4062">
      <w:pPr>
        <w:pStyle w:val="TOC2"/>
        <w:tabs>
          <w:tab w:val="right" w:leader="dot" w:pos="9016"/>
        </w:tabs>
        <w:rPr>
          <w:rFonts w:eastAsiaTheme="minorEastAsia"/>
          <w:noProof/>
        </w:rPr>
      </w:pPr>
      <w:r w:rsidRPr="002A4062">
        <w:rPr>
          <w:rFonts w:ascii="Times New Roman" w:hAnsi="Times New Roman"/>
          <w:noProof/>
        </w:rPr>
        <w:t>1.1. Estrutura</w:t>
      </w:r>
      <w:r w:rsidRPr="002A4062">
        <w:rPr>
          <w:noProof/>
        </w:rPr>
        <w:tab/>
        <w:t>2</w:t>
      </w:r>
    </w:p>
    <w:p w14:paraId="10D45A85" w14:textId="77777777" w:rsidR="00F26498" w:rsidRPr="002A4062" w:rsidRDefault="002A4062">
      <w:pPr>
        <w:pStyle w:val="TOC2"/>
        <w:tabs>
          <w:tab w:val="right" w:leader="dot" w:pos="9016"/>
        </w:tabs>
        <w:rPr>
          <w:rFonts w:eastAsiaTheme="minorEastAsia"/>
          <w:noProof/>
        </w:rPr>
      </w:pPr>
      <w:r w:rsidRPr="002A4062">
        <w:rPr>
          <w:rFonts w:ascii="Times New Roman" w:hAnsi="Times New Roman"/>
          <w:noProof/>
        </w:rPr>
        <w:t>1.2. Convenções relativas à numeração</w:t>
      </w:r>
      <w:r w:rsidRPr="002A4062">
        <w:rPr>
          <w:noProof/>
        </w:rPr>
        <w:tab/>
        <w:t>2</w:t>
      </w:r>
    </w:p>
    <w:p w14:paraId="3DA159F0" w14:textId="77777777" w:rsidR="00F26498" w:rsidRPr="002A4062" w:rsidRDefault="002A4062">
      <w:pPr>
        <w:pStyle w:val="TOC2"/>
        <w:tabs>
          <w:tab w:val="right" w:leader="dot" w:pos="9016"/>
        </w:tabs>
        <w:rPr>
          <w:rFonts w:eastAsiaTheme="minorEastAsia"/>
          <w:noProof/>
        </w:rPr>
      </w:pPr>
      <w:r w:rsidRPr="002A4062">
        <w:rPr>
          <w:rFonts w:ascii="Times New Roman" w:hAnsi="Times New Roman"/>
          <w:noProof/>
        </w:rPr>
        <w:t xml:space="preserve">1.3. Sinais </w:t>
      </w:r>
      <w:r w:rsidRPr="002A4062">
        <w:rPr>
          <w:rFonts w:ascii="Times New Roman" w:hAnsi="Times New Roman"/>
          <w:noProof/>
        </w:rPr>
        <w:t>convencionados</w:t>
      </w:r>
      <w:r w:rsidRPr="002A4062">
        <w:rPr>
          <w:noProof/>
        </w:rPr>
        <w:tab/>
        <w:t>2</w:t>
      </w:r>
    </w:p>
    <w:p w14:paraId="720419CF" w14:textId="77777777" w:rsidR="00F26498" w:rsidRPr="002A4062" w:rsidRDefault="002A4062">
      <w:pPr>
        <w:pStyle w:val="TOC2"/>
        <w:tabs>
          <w:tab w:val="right" w:leader="dot" w:pos="9016"/>
        </w:tabs>
        <w:spacing w:before="240"/>
        <w:ind w:left="221"/>
        <w:rPr>
          <w:rFonts w:eastAsiaTheme="minorEastAsia"/>
          <w:noProof/>
        </w:rPr>
      </w:pPr>
      <w:r w:rsidRPr="002A4062">
        <w:rPr>
          <w:rFonts w:ascii="Times New Roman" w:hAnsi="Times New Roman"/>
          <w:noProof/>
        </w:rPr>
        <w:t>PARTE II: INSTRUÇÕES RESPEITANTES AOS MODELOS</w:t>
      </w:r>
      <w:r w:rsidRPr="002A4062">
        <w:rPr>
          <w:noProof/>
        </w:rPr>
        <w:tab/>
        <w:t>3</w:t>
      </w:r>
    </w:p>
    <w:p w14:paraId="225F214C" w14:textId="77777777" w:rsidR="00F26498" w:rsidRPr="002A4062" w:rsidRDefault="002A4062">
      <w:pPr>
        <w:pStyle w:val="TOC2"/>
        <w:tabs>
          <w:tab w:val="right" w:leader="dot" w:pos="9016"/>
        </w:tabs>
        <w:rPr>
          <w:rFonts w:eastAsiaTheme="minorEastAsia"/>
          <w:noProof/>
        </w:rPr>
      </w:pPr>
      <w:r w:rsidRPr="002A4062">
        <w:rPr>
          <w:rFonts w:ascii="Times New Roman" w:hAnsi="Times New Roman"/>
          <w:b/>
          <w:noProof/>
        </w:rPr>
        <w:t>1. FUNDOS PRÓPRIOS: NÍVEL, COMPOSIÇÃO, REQUISITOS E CÁLCULO</w:t>
      </w:r>
      <w:r w:rsidRPr="002A4062">
        <w:rPr>
          <w:noProof/>
        </w:rPr>
        <w:tab/>
        <w:t>3</w:t>
      </w:r>
    </w:p>
    <w:p w14:paraId="368D2745" w14:textId="77777777" w:rsidR="00F26498" w:rsidRPr="002A4062" w:rsidRDefault="002A4062">
      <w:pPr>
        <w:pStyle w:val="TOC2"/>
        <w:tabs>
          <w:tab w:val="right" w:leader="dot" w:pos="9016"/>
        </w:tabs>
        <w:rPr>
          <w:rFonts w:eastAsiaTheme="minorEastAsia"/>
          <w:noProof/>
        </w:rPr>
      </w:pPr>
      <w:r w:rsidRPr="002A4062">
        <w:rPr>
          <w:rFonts w:ascii="Times New Roman" w:hAnsi="Times New Roman"/>
          <w:noProof/>
        </w:rPr>
        <w:t>1.1. Observações gerais</w:t>
      </w:r>
      <w:r w:rsidRPr="002A4062">
        <w:rPr>
          <w:noProof/>
        </w:rPr>
        <w:tab/>
        <w:t>3</w:t>
      </w:r>
    </w:p>
    <w:p w14:paraId="6028408E" w14:textId="77777777" w:rsidR="00F26498" w:rsidRPr="002A4062" w:rsidRDefault="002A4062">
      <w:pPr>
        <w:pStyle w:val="TOC2"/>
        <w:tabs>
          <w:tab w:val="right" w:leader="dot" w:pos="9016"/>
        </w:tabs>
        <w:rPr>
          <w:rFonts w:eastAsiaTheme="minorEastAsia"/>
          <w:noProof/>
        </w:rPr>
      </w:pPr>
      <w:r w:rsidRPr="002A4062">
        <w:rPr>
          <w:rFonts w:ascii="Times New Roman" w:hAnsi="Times New Roman"/>
          <w:noProof/>
        </w:rPr>
        <w:t>1.2. I 11.01 - COMPOSIÇÃO DOS FUNDOS PRÓPRIOS - CRITÉRIO DO CAPITAL DO GRUPO (I11.1)</w:t>
      </w:r>
      <w:r w:rsidRPr="002A4062">
        <w:rPr>
          <w:noProof/>
        </w:rPr>
        <w:tab/>
        <w:t>3</w:t>
      </w:r>
    </w:p>
    <w:p w14:paraId="03417429" w14:textId="77777777" w:rsidR="00F26498" w:rsidRPr="002A4062" w:rsidRDefault="002A4062">
      <w:pPr>
        <w:pStyle w:val="TOC2"/>
        <w:tabs>
          <w:tab w:val="left" w:pos="1100"/>
          <w:tab w:val="right" w:leader="dot" w:pos="9016"/>
        </w:tabs>
        <w:rPr>
          <w:rFonts w:eastAsiaTheme="minorEastAsia"/>
          <w:noProof/>
        </w:rPr>
      </w:pPr>
      <w:r w:rsidRPr="002A4062">
        <w:rPr>
          <w:rFonts w:ascii="Times New Roman" w:hAnsi="Times New Roman"/>
          <w:noProof/>
        </w:rPr>
        <w:t>1.2.1.</w:t>
      </w:r>
      <w:r w:rsidRPr="002A4062">
        <w:rPr>
          <w:rFonts w:eastAsiaTheme="minorEastAsia"/>
          <w:noProof/>
        </w:rPr>
        <w:tab/>
      </w:r>
      <w:r w:rsidRPr="002A4062">
        <w:rPr>
          <w:rFonts w:ascii="Times New Roman" w:hAnsi="Times New Roman"/>
          <w:noProof/>
        </w:rPr>
        <w:t>Instruções relativas a posições específicas</w:t>
      </w:r>
      <w:r w:rsidRPr="002A4062">
        <w:rPr>
          <w:noProof/>
        </w:rPr>
        <w:tab/>
        <w:t>3</w:t>
      </w:r>
    </w:p>
    <w:p w14:paraId="011203F1" w14:textId="77777777" w:rsidR="00F26498" w:rsidRPr="002A4062" w:rsidRDefault="002A4062">
      <w:pPr>
        <w:pStyle w:val="TOC2"/>
        <w:tabs>
          <w:tab w:val="right" w:leader="dot" w:pos="9016"/>
        </w:tabs>
        <w:rPr>
          <w:rFonts w:eastAsiaTheme="minorEastAsia"/>
          <w:noProof/>
        </w:rPr>
      </w:pPr>
      <w:r w:rsidRPr="002A4062">
        <w:rPr>
          <w:rFonts w:ascii="Times New Roman" w:hAnsi="Times New Roman"/>
          <w:noProof/>
        </w:rPr>
        <w:t>1.3 I 11.02 REQUISITOS DE FUNDOS PRÓPRIOS - CRITÉRIO DO CAPITAL DO GRUPO (I11.2)</w:t>
      </w:r>
      <w:r w:rsidRPr="002A4062">
        <w:rPr>
          <w:noProof/>
        </w:rPr>
        <w:tab/>
        <w:t>9</w:t>
      </w:r>
    </w:p>
    <w:p w14:paraId="2B2DED20" w14:textId="77777777" w:rsidR="00F26498" w:rsidRPr="002A4062" w:rsidRDefault="002A4062">
      <w:pPr>
        <w:pStyle w:val="TOC2"/>
        <w:tabs>
          <w:tab w:val="left" w:pos="1100"/>
          <w:tab w:val="right" w:leader="dot" w:pos="9016"/>
        </w:tabs>
        <w:rPr>
          <w:rFonts w:eastAsiaTheme="minorEastAsia"/>
          <w:noProof/>
        </w:rPr>
      </w:pPr>
      <w:r w:rsidRPr="002A4062">
        <w:rPr>
          <w:rFonts w:ascii="Times New Roman" w:hAnsi="Times New Roman"/>
          <w:noProof/>
        </w:rPr>
        <w:t>1.3.1.</w:t>
      </w:r>
      <w:r w:rsidRPr="002A4062">
        <w:rPr>
          <w:rFonts w:eastAsiaTheme="minorEastAsia"/>
          <w:noProof/>
        </w:rPr>
        <w:tab/>
      </w:r>
      <w:r w:rsidRPr="002A4062">
        <w:rPr>
          <w:rFonts w:ascii="Times New Roman" w:hAnsi="Times New Roman"/>
          <w:noProof/>
        </w:rPr>
        <w:t>Instruções relativas a posições específicas</w:t>
      </w:r>
      <w:r w:rsidRPr="002A4062">
        <w:rPr>
          <w:noProof/>
        </w:rPr>
        <w:tab/>
        <w:t>9</w:t>
      </w:r>
    </w:p>
    <w:p w14:paraId="1BEEB46C" w14:textId="77777777" w:rsidR="00F26498" w:rsidRPr="002A4062" w:rsidRDefault="002A4062">
      <w:pPr>
        <w:pStyle w:val="TOC2"/>
        <w:tabs>
          <w:tab w:val="right" w:leader="dot" w:pos="9016"/>
        </w:tabs>
        <w:rPr>
          <w:rFonts w:eastAsiaTheme="minorEastAsia"/>
          <w:noProof/>
        </w:rPr>
      </w:pPr>
      <w:r w:rsidRPr="002A4062">
        <w:rPr>
          <w:rFonts w:ascii="Times New Roman" w:hAnsi="Times New Roman"/>
          <w:noProof/>
        </w:rPr>
        <w:t>1.4 IF 11.03 INFORMAÇÕES SOBRE EMPRESAS FILIAIS (IF11.3)</w:t>
      </w:r>
      <w:r w:rsidRPr="002A4062">
        <w:rPr>
          <w:noProof/>
        </w:rPr>
        <w:tab/>
        <w:t>10</w:t>
      </w:r>
    </w:p>
    <w:p w14:paraId="2F8C44BA" w14:textId="77777777" w:rsidR="00F26498" w:rsidRPr="002A4062" w:rsidRDefault="002A4062">
      <w:pPr>
        <w:pStyle w:val="TOC2"/>
        <w:tabs>
          <w:tab w:val="left" w:pos="1100"/>
          <w:tab w:val="right" w:leader="dot" w:pos="9016"/>
        </w:tabs>
        <w:rPr>
          <w:rFonts w:eastAsiaTheme="minorEastAsia"/>
          <w:noProof/>
        </w:rPr>
      </w:pPr>
      <w:r w:rsidRPr="002A4062">
        <w:rPr>
          <w:rFonts w:ascii="Times New Roman" w:hAnsi="Times New Roman"/>
          <w:noProof/>
        </w:rPr>
        <w:t>1.4.1.</w:t>
      </w:r>
      <w:r w:rsidRPr="002A4062">
        <w:rPr>
          <w:rFonts w:eastAsiaTheme="minorEastAsia"/>
          <w:noProof/>
        </w:rPr>
        <w:tab/>
      </w:r>
      <w:r w:rsidRPr="002A4062">
        <w:rPr>
          <w:rFonts w:ascii="Times New Roman" w:hAnsi="Times New Roman"/>
          <w:noProof/>
        </w:rPr>
        <w:t>Instruç</w:t>
      </w:r>
      <w:r w:rsidRPr="002A4062">
        <w:rPr>
          <w:rFonts w:ascii="Times New Roman" w:hAnsi="Times New Roman"/>
          <w:noProof/>
        </w:rPr>
        <w:t>ões relativas a posições específicas</w:t>
      </w:r>
      <w:r w:rsidRPr="002A4062">
        <w:rPr>
          <w:noProof/>
        </w:rPr>
        <w:tab/>
        <w:t>10</w:t>
      </w:r>
      <w:bookmarkStart w:id="6" w:name="_Toc360188322"/>
      <w:bookmarkStart w:id="7" w:name="_Toc473560870"/>
      <w:bookmarkStart w:id="8" w:name="_Toc7084155"/>
    </w:p>
    <w:p w14:paraId="33355938" w14:textId="77777777" w:rsidR="00F26498" w:rsidRPr="002A4062" w:rsidRDefault="00F26498"/>
    <w:p w14:paraId="20AC79AC" w14:textId="77777777" w:rsidR="00F26498" w:rsidRPr="002A4062" w:rsidRDefault="00F26498"/>
    <w:p w14:paraId="13C47FC9" w14:textId="77777777" w:rsidR="00F26498" w:rsidRPr="002A4062" w:rsidRDefault="002A4062">
      <w:pPr>
        <w:pStyle w:val="Heading2"/>
        <w:rPr>
          <w:rFonts w:ascii="Times New Roman" w:hAnsi="Times New Roman"/>
        </w:rPr>
      </w:pPr>
      <w:bookmarkStart w:id="9" w:name="_Toc88147180"/>
      <w:r w:rsidRPr="002A4062">
        <w:rPr>
          <w:rFonts w:ascii="Times New Roman" w:hAnsi="Times New Roman"/>
        </w:rPr>
        <w:t>PARTE I: INSTRUÇÕES GERAIS</w:t>
      </w:r>
      <w:bookmarkEnd w:id="9"/>
    </w:p>
    <w:p w14:paraId="7466F801" w14:textId="77777777" w:rsidR="00F26498" w:rsidRPr="002A4062" w:rsidRDefault="002A4062">
      <w:pPr>
        <w:keepNext/>
        <w:spacing w:before="240" w:after="240" w:line="240" w:lineRule="auto"/>
        <w:jc w:val="both"/>
        <w:outlineLvl w:val="1"/>
        <w:rPr>
          <w:rFonts w:ascii="Times New Roman" w:eastAsia="Arial" w:hAnsi="Times New Roman" w:cs="Times New Roman"/>
          <w:sz w:val="24"/>
          <w:szCs w:val="24"/>
        </w:rPr>
      </w:pPr>
      <w:bookmarkStart w:id="10" w:name="_Toc88147181"/>
      <w:r w:rsidRPr="002A4062">
        <w:rPr>
          <w:rFonts w:ascii="Times New Roman" w:hAnsi="Times New Roman"/>
          <w:sz w:val="24"/>
          <w:szCs w:val="24"/>
        </w:rPr>
        <w:t>1. Estrutura e convenções</w:t>
      </w:r>
      <w:bookmarkEnd w:id="10"/>
    </w:p>
    <w:p w14:paraId="2D45267A" w14:textId="77777777" w:rsidR="00F26498" w:rsidRPr="002A4062" w:rsidRDefault="002A4062">
      <w:pPr>
        <w:keepNext/>
        <w:spacing w:before="240" w:after="240" w:line="240" w:lineRule="auto"/>
        <w:jc w:val="both"/>
        <w:outlineLvl w:val="1"/>
        <w:rPr>
          <w:rFonts w:ascii="Times New Roman" w:eastAsia="Arial" w:hAnsi="Times New Roman" w:cs="Times New Roman"/>
          <w:sz w:val="24"/>
          <w:szCs w:val="24"/>
          <w:u w:val="single"/>
        </w:rPr>
      </w:pPr>
      <w:bookmarkStart w:id="11" w:name="_Toc88147182"/>
      <w:r w:rsidRPr="002A4062">
        <w:rPr>
          <w:rFonts w:ascii="Times New Roman" w:hAnsi="Times New Roman"/>
          <w:sz w:val="24"/>
          <w:szCs w:val="24"/>
        </w:rPr>
        <w:t xml:space="preserve">1.1. </w:t>
      </w:r>
      <w:r w:rsidRPr="002A4062">
        <w:rPr>
          <w:rFonts w:ascii="Times New Roman" w:hAnsi="Times New Roman"/>
          <w:sz w:val="24"/>
          <w:szCs w:val="24"/>
          <w:u w:val="single"/>
        </w:rPr>
        <w:t>Estrutura</w:t>
      </w:r>
      <w:bookmarkEnd w:id="11"/>
    </w:p>
    <w:p w14:paraId="50E1EBF6" w14:textId="77777777" w:rsidR="00F26498" w:rsidRPr="002A4062" w:rsidRDefault="002A4062">
      <w:pPr>
        <w:spacing w:line="256" w:lineRule="auto"/>
        <w:ind w:left="993" w:hanging="567"/>
        <w:jc w:val="both"/>
        <w:rPr>
          <w:rFonts w:ascii="Times New Roman" w:hAnsi="Times New Roman" w:cs="Times New Roman"/>
        </w:rPr>
      </w:pPr>
      <w:r w:rsidRPr="002A4062">
        <w:rPr>
          <w:rFonts w:ascii="Times New Roman" w:hAnsi="Times New Roman" w:cs="Times New Roman"/>
        </w:rPr>
        <w:t>1.</w:t>
      </w:r>
      <w:r w:rsidRPr="002A4062">
        <w:rPr>
          <w:rFonts w:ascii="Times New Roman" w:hAnsi="Times New Roman" w:cs="Times New Roman"/>
        </w:rPr>
        <w:tab/>
      </w:r>
      <w:r w:rsidRPr="002A4062">
        <w:rPr>
          <w:rFonts w:ascii="Times New Roman" w:hAnsi="Times New Roman"/>
        </w:rPr>
        <w:t>Globalmente, a comunicação de informações sobre o critério do capital do grupo subdivide-se em dois modelos:</w:t>
      </w:r>
    </w:p>
    <w:p w14:paraId="06262DD0" w14:textId="77777777" w:rsidR="00F26498" w:rsidRPr="002A4062" w:rsidRDefault="002A4062">
      <w:pPr>
        <w:spacing w:before="120" w:line="257" w:lineRule="auto"/>
        <w:ind w:left="1729" w:hanging="737"/>
        <w:jc w:val="both"/>
        <w:rPr>
          <w:rFonts w:ascii="Times New Roman" w:hAnsi="Times New Roman" w:cs="Times New Roman"/>
        </w:rPr>
      </w:pPr>
      <w:r w:rsidRPr="002A4062">
        <w:rPr>
          <w:rFonts w:ascii="Times New Roman" w:hAnsi="Times New Roman" w:cs="Times New Roman"/>
        </w:rPr>
        <w:t>a)</w:t>
      </w:r>
      <w:r w:rsidRPr="002A4062">
        <w:rPr>
          <w:rFonts w:ascii="Times New Roman" w:hAnsi="Times New Roman" w:cs="Times New Roman"/>
        </w:rPr>
        <w:tab/>
      </w:r>
      <w:r w:rsidRPr="002A4062">
        <w:rPr>
          <w:rFonts w:ascii="Times New Roman" w:hAnsi="Times New Roman"/>
        </w:rPr>
        <w:t>Composição dos fundos próprios</w:t>
      </w:r>
    </w:p>
    <w:p w14:paraId="01B83831" w14:textId="77777777" w:rsidR="00F26498" w:rsidRPr="002A4062" w:rsidRDefault="002A4062">
      <w:pPr>
        <w:spacing w:line="256" w:lineRule="auto"/>
        <w:ind w:left="1728" w:hanging="735"/>
        <w:jc w:val="both"/>
        <w:rPr>
          <w:rFonts w:ascii="Times New Roman" w:hAnsi="Times New Roman" w:cs="Times New Roman"/>
        </w:rPr>
      </w:pPr>
      <w:r w:rsidRPr="002A4062">
        <w:rPr>
          <w:rFonts w:ascii="Times New Roman" w:hAnsi="Times New Roman" w:cs="Times New Roman"/>
        </w:rPr>
        <w:t>b)</w:t>
      </w:r>
      <w:r w:rsidRPr="002A4062">
        <w:rPr>
          <w:rFonts w:ascii="Times New Roman" w:hAnsi="Times New Roman" w:cs="Times New Roman"/>
        </w:rPr>
        <w:tab/>
      </w:r>
      <w:r w:rsidRPr="002A4062">
        <w:rPr>
          <w:rFonts w:ascii="Times New Roman" w:hAnsi="Times New Roman"/>
        </w:rPr>
        <w:t>Instrumentos dos fundos próprios.</w:t>
      </w:r>
    </w:p>
    <w:p w14:paraId="1350690D" w14:textId="77777777" w:rsidR="00F26498" w:rsidRPr="002A4062" w:rsidRDefault="002A4062">
      <w:pPr>
        <w:pStyle w:val="InstructionsText2"/>
        <w:numPr>
          <w:ilvl w:val="0"/>
          <w:numId w:val="0"/>
        </w:numPr>
        <w:ind w:left="993" w:hanging="567"/>
      </w:pPr>
      <w:r w:rsidRPr="002A4062">
        <w:t>2.</w:t>
      </w:r>
      <w:r w:rsidRPr="002A4062">
        <w:tab/>
        <w:t xml:space="preserve">São fornecidas as referências jurídicas para cada modelo. Esta parte do presente regulamento contém informações mais pormenorizadas sobre aspetos mais gerais da </w:t>
      </w:r>
      <w:r w:rsidRPr="002A4062">
        <w:lastRenderedPageBreak/>
        <w:t>comunicação de cada bloco dos modelos, instruções sobre</w:t>
      </w:r>
      <w:r w:rsidRPr="002A4062">
        <w:t xml:space="preserve"> posições específicas e regras de validação.</w:t>
      </w:r>
    </w:p>
    <w:p w14:paraId="0EDAC283" w14:textId="77777777" w:rsidR="00F26498" w:rsidRPr="002A4062" w:rsidRDefault="002A4062">
      <w:pPr>
        <w:keepNext/>
        <w:spacing w:before="240" w:after="240" w:line="240" w:lineRule="auto"/>
        <w:jc w:val="both"/>
        <w:outlineLvl w:val="1"/>
        <w:rPr>
          <w:rFonts w:ascii="Times New Roman" w:eastAsia="Arial" w:hAnsi="Times New Roman" w:cs="Times New Roman"/>
          <w:sz w:val="24"/>
          <w:szCs w:val="24"/>
          <w:u w:val="single"/>
        </w:rPr>
      </w:pPr>
      <w:bookmarkStart w:id="12" w:name="_Toc88147183"/>
      <w:r w:rsidRPr="002A4062">
        <w:rPr>
          <w:rFonts w:ascii="Times New Roman" w:hAnsi="Times New Roman"/>
          <w:sz w:val="24"/>
          <w:szCs w:val="24"/>
        </w:rPr>
        <w:t xml:space="preserve">1.2. </w:t>
      </w:r>
      <w:r w:rsidRPr="002A4062">
        <w:rPr>
          <w:rFonts w:ascii="Times New Roman" w:hAnsi="Times New Roman"/>
          <w:sz w:val="24"/>
          <w:szCs w:val="24"/>
          <w:u w:val="single"/>
        </w:rPr>
        <w:t>Convenções relativas à numeração</w:t>
      </w:r>
      <w:bookmarkEnd w:id="12"/>
    </w:p>
    <w:p w14:paraId="7964DB33" w14:textId="77777777" w:rsidR="00F26498" w:rsidRPr="002A4062" w:rsidRDefault="002A4062">
      <w:pPr>
        <w:pStyle w:val="InstructionsText2"/>
        <w:numPr>
          <w:ilvl w:val="0"/>
          <w:numId w:val="0"/>
        </w:numPr>
        <w:ind w:left="993" w:hanging="567"/>
      </w:pPr>
      <w:r w:rsidRPr="002A4062">
        <w:t>3.</w:t>
      </w:r>
      <w:r w:rsidRPr="002A4062">
        <w:tab/>
        <w:t>O documento segue a convenção de designação constante dos pontos 4 a 7, quando se refere às colunas, às linhas e às células dos modelos. Esses códigos numéricos são exten</w:t>
      </w:r>
      <w:r w:rsidRPr="002A4062">
        <w:t>sivamente utilizados nas regras de validação.</w:t>
      </w:r>
    </w:p>
    <w:p w14:paraId="2D3A3BE6" w14:textId="77777777" w:rsidR="00F26498" w:rsidRPr="002A4062" w:rsidRDefault="002A4062">
      <w:pPr>
        <w:pStyle w:val="InstructionsText2"/>
        <w:numPr>
          <w:ilvl w:val="0"/>
          <w:numId w:val="0"/>
        </w:numPr>
        <w:ind w:left="993" w:hanging="567"/>
      </w:pPr>
      <w:r w:rsidRPr="002A4062">
        <w:t>4.</w:t>
      </w:r>
      <w:r w:rsidRPr="002A4062">
        <w:tab/>
        <w:t>Nas instruções é seguida a seguinte notação geral: {Modelo; Linha; Coluna}.</w:t>
      </w:r>
    </w:p>
    <w:p w14:paraId="2E18B083" w14:textId="77777777" w:rsidR="00F26498" w:rsidRPr="002A4062" w:rsidRDefault="002A4062">
      <w:pPr>
        <w:pStyle w:val="InstructionsText2"/>
        <w:numPr>
          <w:ilvl w:val="0"/>
          <w:numId w:val="0"/>
        </w:numPr>
        <w:ind w:left="993" w:hanging="567"/>
      </w:pPr>
      <w:r w:rsidRPr="002A4062">
        <w:t>5.</w:t>
      </w:r>
      <w:r w:rsidRPr="002A4062">
        <w:tab/>
        <w:t xml:space="preserve">No caso das validações no quadro de um modelo, nas quais são utilizados apenas os dados desse modelo, as notações não se </w:t>
      </w:r>
      <w:r w:rsidRPr="002A4062">
        <w:t>referem a um modelo: {Linha; Coluna}.</w:t>
      </w:r>
    </w:p>
    <w:p w14:paraId="04384FC9" w14:textId="77777777" w:rsidR="00F26498" w:rsidRPr="002A4062" w:rsidRDefault="002A4062">
      <w:pPr>
        <w:pStyle w:val="InstructionsText2"/>
        <w:numPr>
          <w:ilvl w:val="0"/>
          <w:numId w:val="0"/>
        </w:numPr>
        <w:ind w:left="993" w:hanging="567"/>
      </w:pPr>
      <w:r w:rsidRPr="002A4062">
        <w:t>6.</w:t>
      </w:r>
      <w:r w:rsidRPr="002A4062">
        <w:tab/>
        <w:t>No caso dos modelos com uma única coluna, apenas são referidas as linhas. {Modelo; Linha}</w:t>
      </w:r>
    </w:p>
    <w:p w14:paraId="7F597C5A" w14:textId="77777777" w:rsidR="00F26498" w:rsidRPr="002A4062" w:rsidRDefault="002A4062">
      <w:pPr>
        <w:pStyle w:val="InstructionsText2"/>
        <w:numPr>
          <w:ilvl w:val="0"/>
          <w:numId w:val="0"/>
        </w:numPr>
        <w:ind w:left="993" w:hanging="567"/>
      </w:pPr>
      <w:r w:rsidRPr="002A4062">
        <w:t>7.</w:t>
      </w:r>
      <w:r w:rsidRPr="002A4062">
        <w:tab/>
        <w:t>Um sinal de asterisco indica que a validação é realizada relativamente às linhas ou colunas especificadas anteriormente.</w:t>
      </w:r>
    </w:p>
    <w:p w14:paraId="27047A97" w14:textId="77777777" w:rsidR="00F26498" w:rsidRPr="002A4062" w:rsidRDefault="002A4062">
      <w:pPr>
        <w:keepNext/>
        <w:spacing w:before="240" w:after="240" w:line="240" w:lineRule="auto"/>
        <w:jc w:val="both"/>
        <w:outlineLvl w:val="1"/>
        <w:rPr>
          <w:rFonts w:ascii="Times New Roman" w:eastAsia="Arial" w:hAnsi="Times New Roman" w:cs="Times New Roman"/>
          <w:sz w:val="24"/>
          <w:szCs w:val="24"/>
          <w:u w:val="single"/>
        </w:rPr>
      </w:pPr>
      <w:bookmarkStart w:id="13" w:name="_Toc88147184"/>
      <w:r w:rsidRPr="002A4062">
        <w:rPr>
          <w:rFonts w:ascii="Times New Roman" w:hAnsi="Times New Roman"/>
          <w:sz w:val="24"/>
          <w:szCs w:val="24"/>
        </w:rPr>
        <w:t>1</w:t>
      </w:r>
      <w:r w:rsidRPr="002A4062">
        <w:rPr>
          <w:rFonts w:ascii="Times New Roman" w:hAnsi="Times New Roman"/>
          <w:sz w:val="24"/>
          <w:szCs w:val="24"/>
        </w:rPr>
        <w:t xml:space="preserve">.3. </w:t>
      </w:r>
      <w:r w:rsidRPr="002A4062">
        <w:rPr>
          <w:rFonts w:ascii="Times New Roman" w:hAnsi="Times New Roman"/>
          <w:sz w:val="24"/>
          <w:szCs w:val="24"/>
          <w:u w:val="single"/>
        </w:rPr>
        <w:t>Sinais convencionados</w:t>
      </w:r>
      <w:bookmarkEnd w:id="13"/>
    </w:p>
    <w:p w14:paraId="71DFA9ED" w14:textId="77777777" w:rsidR="00F26498" w:rsidRPr="002A4062" w:rsidRDefault="002A4062">
      <w:pPr>
        <w:pStyle w:val="InstructionsText2"/>
        <w:numPr>
          <w:ilvl w:val="0"/>
          <w:numId w:val="0"/>
        </w:numPr>
        <w:ind w:left="993" w:hanging="567"/>
      </w:pPr>
      <w:r w:rsidRPr="002A4062">
        <w:t>8.</w:t>
      </w:r>
      <w:r w:rsidRPr="002A4062">
        <w:tab/>
        <w:t>Qualquer montante que aumente os fundos próprios ou os requisitos de fundos próprios, ou os requisitos de liquidez, deve ser comunicado como um valor positivo. Pelo contrário, qualquer montante que diminua os fundos próprios to</w:t>
      </w:r>
      <w:r w:rsidRPr="002A4062">
        <w:t>tais ou os requisitos totais de fundos próprios deve ser comunicado como um valor negativo. Se a designação de um elemento for precedida de um sinal negativo (-), não se prevê a comunicação de qualquer valor positivo para esse elemento.</w:t>
      </w:r>
    </w:p>
    <w:p w14:paraId="2C86D658" w14:textId="77777777" w:rsidR="00F26498" w:rsidRPr="002A4062" w:rsidRDefault="002A4062">
      <w:pPr>
        <w:pStyle w:val="Heading2"/>
        <w:rPr>
          <w:rFonts w:ascii="Times New Roman" w:hAnsi="Times New Roman"/>
        </w:rPr>
      </w:pPr>
      <w:bookmarkStart w:id="14" w:name="_Toc88147185"/>
      <w:r w:rsidRPr="002A4062">
        <w:rPr>
          <w:rFonts w:ascii="Times New Roman" w:hAnsi="Times New Roman"/>
        </w:rPr>
        <w:t>PARTE II: INSTRUÇÕE</w:t>
      </w:r>
      <w:r w:rsidRPr="002A4062">
        <w:rPr>
          <w:rFonts w:ascii="Times New Roman" w:hAnsi="Times New Roman"/>
        </w:rPr>
        <w:t>S RESPEITANTES AOS MODELOS</w:t>
      </w:r>
      <w:bookmarkEnd w:id="6"/>
      <w:bookmarkEnd w:id="7"/>
      <w:bookmarkEnd w:id="8"/>
      <w:bookmarkEnd w:id="14"/>
    </w:p>
    <w:p w14:paraId="4BD9C183" w14:textId="77777777" w:rsidR="00F26498" w:rsidRPr="002A4062" w:rsidRDefault="002A4062">
      <w:pPr>
        <w:pStyle w:val="Instructionsberschrift2"/>
        <w:ind w:left="357" w:hanging="357"/>
        <w:rPr>
          <w:rFonts w:ascii="Times New Roman" w:hAnsi="Times New Roman" w:cs="Times New Roman"/>
          <w:b/>
          <w:sz w:val="24"/>
        </w:rPr>
      </w:pPr>
      <w:bookmarkStart w:id="15" w:name="_Toc88147186"/>
      <w:r w:rsidRPr="002A4062">
        <w:rPr>
          <w:rFonts w:ascii="Times New Roman" w:hAnsi="Times New Roman"/>
          <w:b/>
          <w:sz w:val="24"/>
          <w:u w:val="none"/>
        </w:rPr>
        <w:t>1. FUNDOS PRÓPRIOS: NÍVEL, COMPOSIÇÃO, REQUISITOS E CÁLCULO</w:t>
      </w:r>
      <w:bookmarkEnd w:id="15"/>
    </w:p>
    <w:p w14:paraId="7BE1ACBB" w14:textId="77777777" w:rsidR="00F26498" w:rsidRPr="002A4062" w:rsidRDefault="002A4062">
      <w:pPr>
        <w:pStyle w:val="Instructionsberschrift2"/>
        <w:ind w:left="357" w:hanging="357"/>
        <w:rPr>
          <w:rFonts w:ascii="Times New Roman" w:hAnsi="Times New Roman" w:cs="Times New Roman"/>
          <w:sz w:val="24"/>
        </w:rPr>
      </w:pPr>
      <w:bookmarkStart w:id="16" w:name="_Toc88147187"/>
      <w:r w:rsidRPr="002A4062">
        <w:rPr>
          <w:rFonts w:ascii="Times New Roman" w:hAnsi="Times New Roman"/>
          <w:sz w:val="24"/>
          <w:u w:val="none"/>
        </w:rPr>
        <w:t xml:space="preserve">1.1. </w:t>
      </w:r>
      <w:r w:rsidRPr="002A4062">
        <w:rPr>
          <w:rFonts w:ascii="Times New Roman" w:hAnsi="Times New Roman"/>
          <w:sz w:val="24"/>
        </w:rPr>
        <w:t>Observações gerais</w:t>
      </w:r>
      <w:bookmarkEnd w:id="16"/>
    </w:p>
    <w:p w14:paraId="1BAC8297" w14:textId="77777777" w:rsidR="00F26498" w:rsidRPr="002A4062" w:rsidRDefault="002A4062">
      <w:pPr>
        <w:spacing w:line="256" w:lineRule="auto"/>
        <w:ind w:left="993" w:hanging="567"/>
        <w:jc w:val="both"/>
        <w:rPr>
          <w:rFonts w:ascii="Times New Roman" w:hAnsi="Times New Roman" w:cs="Times New Roman"/>
          <w:sz w:val="24"/>
        </w:rPr>
      </w:pPr>
      <w:r w:rsidRPr="002A4062">
        <w:rPr>
          <w:rFonts w:ascii="Times New Roman" w:hAnsi="Times New Roman" w:cs="Times New Roman"/>
          <w:sz w:val="24"/>
        </w:rPr>
        <w:t>10.</w:t>
      </w:r>
      <w:r w:rsidRPr="002A4062">
        <w:rPr>
          <w:rFonts w:ascii="Times New Roman" w:hAnsi="Times New Roman" w:cs="Times New Roman"/>
          <w:sz w:val="24"/>
        </w:rPr>
        <w:tab/>
      </w:r>
      <w:r w:rsidRPr="002A4062">
        <w:rPr>
          <w:rFonts w:ascii="Times New Roman" w:hAnsi="Times New Roman"/>
          <w:sz w:val="24"/>
        </w:rPr>
        <w:t xml:space="preserve">A secção geral dos fundos próprios contém informações sobre os fundos próprios que uma empresa de investimento detém e os seus </w:t>
      </w:r>
      <w:r w:rsidRPr="002A4062">
        <w:rPr>
          <w:rFonts w:ascii="Times New Roman" w:hAnsi="Times New Roman"/>
          <w:sz w:val="24"/>
        </w:rPr>
        <w:t>requisitos de fundos próprios. É constituída por dois modelos:</w:t>
      </w:r>
    </w:p>
    <w:p w14:paraId="441A89B0" w14:textId="77777777" w:rsidR="00F26498" w:rsidRPr="002A4062" w:rsidRDefault="002A4062">
      <w:pPr>
        <w:spacing w:line="256" w:lineRule="auto"/>
        <w:ind w:left="1728" w:hanging="735"/>
        <w:jc w:val="both"/>
        <w:rPr>
          <w:rFonts w:ascii="Times New Roman" w:hAnsi="Times New Roman" w:cs="Times New Roman"/>
          <w:sz w:val="24"/>
        </w:rPr>
      </w:pPr>
      <w:r w:rsidRPr="002A4062">
        <w:rPr>
          <w:rFonts w:ascii="Times New Roman" w:hAnsi="Times New Roman" w:cs="Times New Roman"/>
          <w:sz w:val="24"/>
        </w:rPr>
        <w:t>a)</w:t>
      </w:r>
      <w:r w:rsidRPr="002A4062">
        <w:rPr>
          <w:rFonts w:ascii="Times New Roman" w:hAnsi="Times New Roman" w:cs="Times New Roman"/>
          <w:sz w:val="24"/>
        </w:rPr>
        <w:tab/>
      </w:r>
      <w:r w:rsidRPr="002A4062">
        <w:rPr>
          <w:rFonts w:ascii="Times New Roman" w:hAnsi="Times New Roman"/>
          <w:sz w:val="24"/>
        </w:rPr>
        <w:t>O modelo I 01.01 contém as composições dos fundos próprios que uma empresa de investimento detém: fundos próprios principais de nível 1 (FPP1), fundos próprios adicionais de nível 1 (FPA1) e</w:t>
      </w:r>
      <w:r w:rsidRPr="002A4062">
        <w:rPr>
          <w:rFonts w:ascii="Times New Roman" w:hAnsi="Times New Roman"/>
          <w:sz w:val="24"/>
        </w:rPr>
        <w:t xml:space="preserve"> fundos próprios de nível 2 (FP2).</w:t>
      </w:r>
    </w:p>
    <w:p w14:paraId="4920EC92" w14:textId="77777777" w:rsidR="00F26498" w:rsidRPr="002A4062" w:rsidRDefault="002A4062">
      <w:pPr>
        <w:spacing w:line="256" w:lineRule="auto"/>
        <w:ind w:left="1728" w:hanging="735"/>
        <w:jc w:val="both"/>
        <w:rPr>
          <w:rFonts w:ascii="Times New Roman" w:hAnsi="Times New Roman" w:cs="Times New Roman"/>
          <w:sz w:val="24"/>
        </w:rPr>
      </w:pPr>
      <w:r w:rsidRPr="002A4062">
        <w:rPr>
          <w:rFonts w:ascii="Times New Roman" w:hAnsi="Times New Roman" w:cs="Times New Roman"/>
          <w:sz w:val="24"/>
        </w:rPr>
        <w:t>b)</w:t>
      </w:r>
      <w:r w:rsidRPr="002A4062">
        <w:rPr>
          <w:rFonts w:ascii="Times New Roman" w:hAnsi="Times New Roman" w:cs="Times New Roman"/>
          <w:sz w:val="24"/>
        </w:rPr>
        <w:tab/>
      </w:r>
      <w:r w:rsidRPr="002A4062">
        <w:rPr>
          <w:rFonts w:ascii="Times New Roman" w:hAnsi="Times New Roman"/>
          <w:sz w:val="24"/>
        </w:rPr>
        <w:t xml:space="preserve">O modelo I 11.02 contém informações sobre os «requisitos de fundos próprios» no contexto do critério do capital do grupo, ou seja, participações intragrupo, passivos contingentes e requisitos totais de fundos próprios </w:t>
      </w:r>
      <w:r w:rsidRPr="002A4062">
        <w:rPr>
          <w:rFonts w:ascii="Times New Roman" w:hAnsi="Times New Roman"/>
          <w:sz w:val="24"/>
        </w:rPr>
        <w:t>das filiais.</w:t>
      </w:r>
    </w:p>
    <w:p w14:paraId="0F206965" w14:textId="77777777" w:rsidR="00F26498" w:rsidRPr="002A4062" w:rsidRDefault="002A4062">
      <w:pPr>
        <w:spacing w:line="256" w:lineRule="auto"/>
        <w:ind w:left="1728" w:hanging="735"/>
        <w:jc w:val="both"/>
        <w:rPr>
          <w:rFonts w:ascii="Times New Roman" w:hAnsi="Times New Roman" w:cs="Times New Roman"/>
          <w:sz w:val="24"/>
        </w:rPr>
      </w:pPr>
      <w:r w:rsidRPr="002A4062">
        <w:rPr>
          <w:rFonts w:ascii="Times New Roman" w:hAnsi="Times New Roman" w:cs="Times New Roman"/>
          <w:sz w:val="24"/>
        </w:rPr>
        <w:t>c)</w:t>
      </w:r>
      <w:r w:rsidRPr="002A4062">
        <w:rPr>
          <w:rFonts w:ascii="Times New Roman" w:hAnsi="Times New Roman" w:cs="Times New Roman"/>
          <w:sz w:val="24"/>
        </w:rPr>
        <w:tab/>
      </w:r>
      <w:r w:rsidRPr="002A4062">
        <w:rPr>
          <w:rFonts w:ascii="Times New Roman" w:hAnsi="Times New Roman"/>
          <w:sz w:val="24"/>
        </w:rPr>
        <w:t xml:space="preserve">O modelo I 11.03 contém as informações relevantes sobre os requisitos de fundos próprios, passivos contingentes, créditos subordinados e </w:t>
      </w:r>
      <w:r w:rsidRPr="002A4062">
        <w:rPr>
          <w:rFonts w:ascii="Times New Roman" w:hAnsi="Times New Roman"/>
          <w:sz w:val="24"/>
        </w:rPr>
        <w:lastRenderedPageBreak/>
        <w:t>participações de entidades do setor financeiro a nível das filiais, discriminadas por entidade.</w:t>
      </w:r>
    </w:p>
    <w:p w14:paraId="6977FEB0" w14:textId="77777777" w:rsidR="00F26498" w:rsidRPr="002A4062" w:rsidRDefault="002A4062">
      <w:pPr>
        <w:spacing w:line="256" w:lineRule="auto"/>
        <w:ind w:left="993" w:hanging="567"/>
        <w:jc w:val="both"/>
        <w:rPr>
          <w:rFonts w:ascii="Times New Roman" w:hAnsi="Times New Roman" w:cs="Times New Roman"/>
          <w:sz w:val="24"/>
        </w:rPr>
      </w:pPr>
      <w:r w:rsidRPr="002A4062">
        <w:rPr>
          <w:rFonts w:ascii="Times New Roman" w:hAnsi="Times New Roman" w:cs="Times New Roman"/>
          <w:sz w:val="24"/>
        </w:rPr>
        <w:t>11.</w:t>
      </w:r>
      <w:r w:rsidRPr="002A4062">
        <w:rPr>
          <w:rFonts w:ascii="Times New Roman" w:hAnsi="Times New Roman" w:cs="Times New Roman"/>
          <w:sz w:val="24"/>
        </w:rPr>
        <w:tab/>
      </w:r>
      <w:r w:rsidRPr="002A4062">
        <w:rPr>
          <w:rFonts w:ascii="Times New Roman" w:hAnsi="Times New Roman"/>
          <w:sz w:val="24"/>
        </w:rPr>
        <w:t xml:space="preserve">Os </w:t>
      </w:r>
      <w:r w:rsidRPr="002A4062">
        <w:rPr>
          <w:rFonts w:ascii="Times New Roman" w:hAnsi="Times New Roman"/>
          <w:sz w:val="24"/>
        </w:rPr>
        <w:t>elementos destes modelos não tomam em consideração os ajustamentos transitórios. Isto significa que os valores (exceto nos casos em que o requisito de fundos próprios transitórios é especificamente indicado) são calculados de acordo com as disposições fina</w:t>
      </w:r>
      <w:r w:rsidRPr="002A4062">
        <w:rPr>
          <w:rFonts w:ascii="Times New Roman" w:hAnsi="Times New Roman"/>
          <w:sz w:val="24"/>
        </w:rPr>
        <w:t>is (ou seja, como se não existissem disposições transitórias).</w:t>
      </w:r>
    </w:p>
    <w:p w14:paraId="3B728C37" w14:textId="77777777" w:rsidR="00F26498" w:rsidRPr="002A4062" w:rsidRDefault="002A4062">
      <w:pPr>
        <w:pStyle w:val="Instructionsberschrift2"/>
        <w:ind w:left="357" w:hanging="357"/>
        <w:rPr>
          <w:rFonts w:ascii="Times New Roman" w:hAnsi="Times New Roman" w:cs="Times New Roman"/>
          <w:sz w:val="24"/>
        </w:rPr>
      </w:pPr>
      <w:bookmarkStart w:id="17" w:name="_Toc88147188"/>
      <w:r w:rsidRPr="002A4062">
        <w:rPr>
          <w:rFonts w:ascii="Times New Roman" w:hAnsi="Times New Roman"/>
          <w:sz w:val="24"/>
          <w:u w:val="none"/>
        </w:rPr>
        <w:t xml:space="preserve">1.2. </w:t>
      </w:r>
      <w:r w:rsidRPr="002A4062">
        <w:rPr>
          <w:rFonts w:ascii="Times New Roman" w:hAnsi="Times New Roman"/>
          <w:sz w:val="24"/>
        </w:rPr>
        <w:t>I 11.01 - COMPOSIÇÃO DOS FUNDOS PRÓPRIOS - CRITÉRIO DO CAPITAL DO GRUPO (I11.1)</w:t>
      </w:r>
      <w:bookmarkEnd w:id="17"/>
    </w:p>
    <w:p w14:paraId="3479F17F" w14:textId="77777777" w:rsidR="00F26498" w:rsidRPr="002A4062" w:rsidRDefault="002A4062">
      <w:pPr>
        <w:pStyle w:val="Instructionsberschrift2"/>
        <w:ind w:left="357" w:hanging="357"/>
        <w:rPr>
          <w:rFonts w:ascii="Times New Roman" w:hAnsi="Times New Roman" w:cs="Times New Roman"/>
          <w:sz w:val="24"/>
        </w:rPr>
      </w:pPr>
      <w:bookmarkStart w:id="18" w:name="_Toc88147189"/>
      <w:r w:rsidRPr="002A4062">
        <w:rPr>
          <w:rFonts w:ascii="Times New Roman" w:hAnsi="Times New Roman"/>
          <w:sz w:val="24"/>
          <w:u w:val="none"/>
        </w:rPr>
        <w:t>1.2.1.</w:t>
      </w:r>
      <w:r w:rsidRPr="002A4062">
        <w:rPr>
          <w:u w:val="none"/>
        </w:rPr>
        <w:tab/>
      </w:r>
      <w:r w:rsidRPr="002A4062">
        <w:rPr>
          <w:rFonts w:ascii="Times New Roman" w:hAnsi="Times New Roman"/>
          <w:sz w:val="24"/>
        </w:rPr>
        <w:t>Instruções relativas a posições específicas</w:t>
      </w:r>
      <w:bookmarkEnd w:id="1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26498" w:rsidRPr="002A4062" w14:paraId="0AE3586B" w14:textId="77777777">
        <w:tc>
          <w:tcPr>
            <w:tcW w:w="1129" w:type="dxa"/>
            <w:shd w:val="clear" w:color="auto" w:fill="D9D9D9"/>
          </w:tcPr>
          <w:p w14:paraId="453274F8"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rPr>
              <w:t>Linha</w:t>
            </w:r>
          </w:p>
        </w:tc>
        <w:tc>
          <w:tcPr>
            <w:tcW w:w="7620" w:type="dxa"/>
            <w:shd w:val="clear" w:color="auto" w:fill="D9D9D9"/>
          </w:tcPr>
          <w:p w14:paraId="3BBE3426"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rPr>
              <w:t>Referências jurídicas e instruções</w:t>
            </w:r>
          </w:p>
        </w:tc>
      </w:tr>
      <w:tr w:rsidR="00F26498" w:rsidRPr="002A4062" w14:paraId="133877D7" w14:textId="77777777">
        <w:tc>
          <w:tcPr>
            <w:tcW w:w="1129" w:type="dxa"/>
          </w:tcPr>
          <w:p w14:paraId="4EC3C6B4"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0010</w:t>
            </w:r>
          </w:p>
        </w:tc>
        <w:tc>
          <w:tcPr>
            <w:tcW w:w="7620" w:type="dxa"/>
          </w:tcPr>
          <w:p w14:paraId="47AACC52"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FUNDOS PRÓPRIOS</w:t>
            </w:r>
          </w:p>
          <w:p w14:paraId="7E6D32F6"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9.</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1, do Regulamento (UE) 2019/2033.</w:t>
            </w:r>
          </w:p>
          <w:p w14:paraId="3E490B04"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Style w:val="FormatvorlageInstructionsTabelleText"/>
                <w:rFonts w:ascii="Times New Roman" w:hAnsi="Times New Roman"/>
                <w:sz w:val="22"/>
              </w:rPr>
              <w:t>Os fundos próprios de uma empresa de investimento são constituídos pela soma dos seus fundos próprios de nível 1 e fundos próprios de nível 2.</w:t>
            </w:r>
          </w:p>
        </w:tc>
      </w:tr>
      <w:tr w:rsidR="00F26498" w:rsidRPr="002A4062" w14:paraId="68C6EC1A" w14:textId="77777777">
        <w:tc>
          <w:tcPr>
            <w:tcW w:w="1129" w:type="dxa"/>
          </w:tcPr>
          <w:p w14:paraId="785A2F58"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0020</w:t>
            </w:r>
          </w:p>
        </w:tc>
        <w:tc>
          <w:tcPr>
            <w:tcW w:w="7620" w:type="dxa"/>
          </w:tcPr>
          <w:p w14:paraId="36D744AC"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FUNDOS PRÓPRIOS DE NÍVEL 1</w:t>
            </w:r>
          </w:p>
          <w:p w14:paraId="7B723E24"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Style w:val="FormatvorlageInstructionsTabelleText"/>
                <w:rFonts w:ascii="Times New Roman" w:hAnsi="Times New Roman"/>
                <w:sz w:val="22"/>
              </w:rPr>
              <w:t xml:space="preserve">Os </w:t>
            </w:r>
            <w:r w:rsidRPr="002A4062">
              <w:rPr>
                <w:rStyle w:val="FormatvorlageInstructionsTabelleText"/>
                <w:rFonts w:ascii="Times New Roman" w:hAnsi="Times New Roman"/>
                <w:sz w:val="22"/>
              </w:rPr>
              <w:t>fundos próprios de nível 1 são constituídos pela soma dos fundos próprios principais de nível 1 e dos fundos próprios adicionais de nível 1.</w:t>
            </w:r>
          </w:p>
        </w:tc>
      </w:tr>
      <w:tr w:rsidR="00F26498" w:rsidRPr="002A4062" w14:paraId="4EE3355E" w14:textId="77777777">
        <w:tc>
          <w:tcPr>
            <w:tcW w:w="1129" w:type="dxa"/>
          </w:tcPr>
          <w:p w14:paraId="325C998E"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0030</w:t>
            </w:r>
          </w:p>
        </w:tc>
        <w:tc>
          <w:tcPr>
            <w:tcW w:w="7620" w:type="dxa"/>
          </w:tcPr>
          <w:p w14:paraId="257BBCF2"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Style w:val="InstructionsTabelleberschrift"/>
                <w:rFonts w:ascii="Times New Roman" w:hAnsi="Times New Roman"/>
                <w:sz w:val="22"/>
              </w:rPr>
              <w:t>FUNDOS PRÓPRIOS PRINCIPAIS DE NÍVEL 1</w:t>
            </w:r>
          </w:p>
          <w:p w14:paraId="170C5A05"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9.</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1, do Regulamento (UE) 2019/2033.</w:t>
            </w:r>
          </w:p>
          <w:p w14:paraId="4FE63DF1" w14:textId="77777777" w:rsidR="00F26498" w:rsidRPr="002A4062" w:rsidRDefault="002A4062">
            <w:pPr>
              <w:spacing w:after="120" w:line="240" w:lineRule="auto"/>
              <w:jc w:val="both"/>
              <w:rPr>
                <w:rFonts w:ascii="Times New Roman" w:eastAsia="Times New Roman" w:hAnsi="Times New Roman" w:cs="Times New Roman"/>
                <w:bCs/>
              </w:rPr>
            </w:pPr>
            <w:r w:rsidRPr="002A4062">
              <w:rPr>
                <w:rStyle w:val="FormatvorlageInstructionsTabelleText"/>
                <w:rFonts w:ascii="Times New Roman" w:hAnsi="Times New Roman"/>
                <w:sz w:val="22"/>
              </w:rPr>
              <w:t>Artigo 50.</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xml:space="preserve"> do Regulamento (UE) n.</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575/2013.</w:t>
            </w:r>
          </w:p>
        </w:tc>
      </w:tr>
      <w:tr w:rsidR="00F26498" w:rsidRPr="002A4062" w14:paraId="7AFC1D9C" w14:textId="77777777">
        <w:trPr>
          <w:trHeight w:val="3109"/>
        </w:trPr>
        <w:tc>
          <w:tcPr>
            <w:tcW w:w="1129" w:type="dxa"/>
          </w:tcPr>
          <w:p w14:paraId="7D8349C9"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0040</w:t>
            </w:r>
          </w:p>
        </w:tc>
        <w:tc>
          <w:tcPr>
            <w:tcW w:w="7620" w:type="dxa"/>
          </w:tcPr>
          <w:p w14:paraId="30B2A0C7"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Instrumentos de fundos próprios integralmente realizados</w:t>
            </w:r>
          </w:p>
          <w:p w14:paraId="4FCEB667"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9.</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1, alínea i), do Regulamento (UE) 2019/2033.</w:t>
            </w:r>
          </w:p>
          <w:p w14:paraId="48386B87" w14:textId="77777777" w:rsidR="00F26498" w:rsidRPr="002A4062" w:rsidRDefault="002A4062">
            <w:pPr>
              <w:pStyle w:val="InstructionsText"/>
              <w:rPr>
                <w:rStyle w:val="FormatvorlageInstructionsTabelleText"/>
                <w:rFonts w:ascii="Times New Roman" w:hAnsi="Times New Roman"/>
                <w:sz w:val="22"/>
                <w:szCs w:val="22"/>
              </w:rPr>
            </w:pPr>
            <w:r w:rsidRPr="002A4062">
              <w:rPr>
                <w:rStyle w:val="FormatvorlageInstructionsTabelleText"/>
                <w:rFonts w:ascii="Times New Roman" w:hAnsi="Times New Roman"/>
                <w:sz w:val="22"/>
                <w:szCs w:val="22"/>
              </w:rPr>
              <w:t>Artigo 26.</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n.</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1, alínea a), e artigos 27.</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xml:space="preserve"> a 31.° do Regulamento (UE) n.</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575/2013.</w:t>
            </w:r>
          </w:p>
          <w:p w14:paraId="3781F947" w14:textId="77777777" w:rsidR="00F26498" w:rsidRPr="002A4062" w:rsidRDefault="002A4062">
            <w:pPr>
              <w:pStyle w:val="InstructionsText"/>
              <w:rPr>
                <w:rStyle w:val="FormatvorlageInstructionsTabelleText"/>
                <w:rFonts w:ascii="Times New Roman" w:hAnsi="Times New Roman"/>
                <w:sz w:val="22"/>
                <w:szCs w:val="22"/>
              </w:rPr>
            </w:pPr>
            <w:r w:rsidRPr="002A4062">
              <w:rPr>
                <w:rStyle w:val="FormatvorlageInstructionsTabelleText"/>
                <w:rFonts w:ascii="Times New Roman" w:hAnsi="Times New Roman"/>
                <w:sz w:val="22"/>
                <w:szCs w:val="22"/>
              </w:rPr>
              <w:t>Os instrum</w:t>
            </w:r>
            <w:r w:rsidRPr="002A4062">
              <w:rPr>
                <w:rStyle w:val="FormatvorlageInstructionsTabelleText"/>
                <w:rFonts w:ascii="Times New Roman" w:hAnsi="Times New Roman"/>
                <w:sz w:val="22"/>
                <w:szCs w:val="22"/>
              </w:rPr>
              <w:t>entos de fundos próprios de sociedades mútuas e cooperativas ou instituições similares (artigos 27.</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xml:space="preserve"> e 29.° do Regulamento (UE) n.</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575/2013) devem ser incluídos.</w:t>
            </w:r>
          </w:p>
          <w:p w14:paraId="1044ED77" w14:textId="77777777" w:rsidR="00F26498" w:rsidRPr="002A4062" w:rsidRDefault="002A4062">
            <w:pPr>
              <w:pStyle w:val="InstructionsText"/>
              <w:rPr>
                <w:rStyle w:val="FormatvorlageInstructionsTabelleText"/>
                <w:rFonts w:ascii="Times New Roman" w:hAnsi="Times New Roman"/>
                <w:sz w:val="22"/>
                <w:szCs w:val="22"/>
              </w:rPr>
            </w:pPr>
            <w:r w:rsidRPr="002A4062">
              <w:rPr>
                <w:rStyle w:val="FormatvorlageInstructionsTabelleText"/>
                <w:rFonts w:ascii="Times New Roman" w:hAnsi="Times New Roman"/>
                <w:sz w:val="22"/>
                <w:szCs w:val="22"/>
              </w:rPr>
              <w:t>Os prémios de emissão de ações relacionados com os instrumentos não podem ser incluídos.</w:t>
            </w:r>
          </w:p>
          <w:p w14:paraId="3F56AB72" w14:textId="77777777" w:rsidR="00F26498" w:rsidRPr="002A4062" w:rsidRDefault="002A4062">
            <w:pPr>
              <w:pStyle w:val="InstructionsText"/>
              <w:rPr>
                <w:sz w:val="22"/>
                <w:szCs w:val="22"/>
              </w:rPr>
            </w:pPr>
            <w:r w:rsidRPr="002A4062">
              <w:rPr>
                <w:rStyle w:val="FormatvorlageInstructionsTabelleText"/>
                <w:rFonts w:ascii="Times New Roman" w:hAnsi="Times New Roman"/>
                <w:sz w:val="22"/>
                <w:szCs w:val="22"/>
              </w:rPr>
              <w:t xml:space="preserve">Os </w:t>
            </w:r>
            <w:r w:rsidRPr="002A4062">
              <w:rPr>
                <w:rStyle w:val="FormatvorlageInstructionsTabelleText"/>
                <w:rFonts w:ascii="Times New Roman" w:hAnsi="Times New Roman"/>
                <w:sz w:val="22"/>
                <w:szCs w:val="22"/>
              </w:rPr>
              <w:t>instrumentos de fundos próprios subscritos por autoridades públicas em situações de emergência devem ser incluídos se estiverem preenchidas todas as condições previstas no artigo 31.</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xml:space="preserve"> do Regulamento (UE) n.</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575/2013.</w:t>
            </w:r>
          </w:p>
        </w:tc>
      </w:tr>
      <w:tr w:rsidR="00F26498" w:rsidRPr="002A4062" w14:paraId="267723E2" w14:textId="77777777">
        <w:tc>
          <w:tcPr>
            <w:tcW w:w="1129" w:type="dxa"/>
          </w:tcPr>
          <w:p w14:paraId="3508EAC6"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0050</w:t>
            </w:r>
          </w:p>
        </w:tc>
        <w:tc>
          <w:tcPr>
            <w:tcW w:w="7620" w:type="dxa"/>
          </w:tcPr>
          <w:p w14:paraId="32238692"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Prémios de emissão</w:t>
            </w:r>
          </w:p>
          <w:p w14:paraId="17EE644F"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9.</w:t>
            </w:r>
            <w:r w:rsidRPr="002A4062">
              <w:rPr>
                <w:rFonts w:ascii="Times New Roman" w:hAnsi="Times New Roman"/>
                <w:bCs/>
                <w:vertAlign w:val="superscript"/>
              </w:rPr>
              <w:t>o</w:t>
            </w:r>
            <w:r w:rsidRPr="002A4062">
              <w:rPr>
                <w:rFonts w:ascii="Times New Roman" w:hAnsi="Times New Roman"/>
                <w:bCs/>
              </w:rPr>
              <w:t xml:space="preserve">, </w:t>
            </w:r>
            <w:r w:rsidRPr="002A4062">
              <w:rPr>
                <w:rFonts w:ascii="Times New Roman" w:hAnsi="Times New Roman"/>
                <w:bCs/>
              </w:rPr>
              <w:t>n.</w:t>
            </w:r>
            <w:r w:rsidRPr="002A4062">
              <w:rPr>
                <w:rFonts w:ascii="Times New Roman" w:hAnsi="Times New Roman"/>
                <w:bCs/>
                <w:vertAlign w:val="superscript"/>
              </w:rPr>
              <w:t>o</w:t>
            </w:r>
            <w:r w:rsidRPr="002A4062">
              <w:rPr>
                <w:rFonts w:ascii="Times New Roman" w:hAnsi="Times New Roman"/>
                <w:bCs/>
              </w:rPr>
              <w:t> 1, alínea i), do Regulamento (UE) 2019/2033.</w:t>
            </w:r>
          </w:p>
          <w:p w14:paraId="2F8AF94D" w14:textId="77777777" w:rsidR="00F26498" w:rsidRPr="002A4062" w:rsidRDefault="002A4062">
            <w:pPr>
              <w:spacing w:after="120" w:line="240" w:lineRule="auto"/>
              <w:jc w:val="both"/>
              <w:rPr>
                <w:rStyle w:val="FormatvorlageInstructionsTabelleText"/>
                <w:rFonts w:ascii="Times New Roman" w:hAnsi="Times New Roman"/>
                <w:sz w:val="22"/>
              </w:rPr>
            </w:pPr>
            <w:r w:rsidRPr="002A4062">
              <w:rPr>
                <w:rStyle w:val="FormatvorlageInstructionsTabelleText"/>
                <w:rFonts w:ascii="Times New Roman" w:hAnsi="Times New Roman"/>
                <w:sz w:val="22"/>
              </w:rPr>
              <w:t>Artigo 26.</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n.</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1, alínea b), do Regulamento (UE) n.</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575/2013.</w:t>
            </w:r>
          </w:p>
          <w:p w14:paraId="018AC735" w14:textId="77777777" w:rsidR="00F26498" w:rsidRPr="002A4062" w:rsidRDefault="002A4062">
            <w:pPr>
              <w:pStyle w:val="InstructionsText"/>
              <w:rPr>
                <w:rStyle w:val="FormatvorlageInstructionsTabelleText"/>
                <w:rFonts w:ascii="Times New Roman" w:hAnsi="Times New Roman"/>
                <w:sz w:val="22"/>
                <w:szCs w:val="22"/>
              </w:rPr>
            </w:pPr>
            <w:r w:rsidRPr="002A4062">
              <w:rPr>
                <w:rStyle w:val="FormatvorlageInstructionsTabelleText"/>
                <w:rFonts w:ascii="Times New Roman" w:hAnsi="Times New Roman"/>
                <w:sz w:val="22"/>
                <w:szCs w:val="22"/>
              </w:rPr>
              <w:t>«Prémios de emissão de ações» tem a mesma aceção que na norma de contabilidade aplicável.</w:t>
            </w:r>
          </w:p>
          <w:p w14:paraId="4408F3A0"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Style w:val="FormatvorlageInstructionsTabelleText"/>
                <w:rFonts w:ascii="Times New Roman" w:hAnsi="Times New Roman"/>
                <w:sz w:val="22"/>
              </w:rPr>
              <w:t>O montante a comunicar neste elemento deve ser a par</w:t>
            </w:r>
            <w:r w:rsidRPr="002A4062">
              <w:rPr>
                <w:rStyle w:val="FormatvorlageInstructionsTabelleText"/>
                <w:rFonts w:ascii="Times New Roman" w:hAnsi="Times New Roman"/>
                <w:sz w:val="22"/>
              </w:rPr>
              <w:t>te relacionada com os «instrumentos de fundos próprios realizados».</w:t>
            </w:r>
          </w:p>
        </w:tc>
      </w:tr>
      <w:tr w:rsidR="00F26498" w:rsidRPr="002A4062" w14:paraId="4137ED27" w14:textId="77777777">
        <w:tc>
          <w:tcPr>
            <w:tcW w:w="1129" w:type="dxa"/>
          </w:tcPr>
          <w:p w14:paraId="43A8637A"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0060</w:t>
            </w:r>
          </w:p>
        </w:tc>
        <w:tc>
          <w:tcPr>
            <w:tcW w:w="7620" w:type="dxa"/>
          </w:tcPr>
          <w:p w14:paraId="2DFD1903"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Resultados retidos</w:t>
            </w:r>
          </w:p>
          <w:p w14:paraId="61B54BD3"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rPr>
              <w:t>Artigo 9.</w:t>
            </w:r>
            <w:r w:rsidRPr="002A4062">
              <w:rPr>
                <w:rFonts w:ascii="Times New Roman" w:hAnsi="Times New Roman"/>
                <w:vertAlign w:val="superscript"/>
              </w:rPr>
              <w:t>o</w:t>
            </w:r>
            <w:r w:rsidRPr="002A4062">
              <w:rPr>
                <w:rFonts w:ascii="Times New Roman" w:hAnsi="Times New Roman"/>
              </w:rPr>
              <w:t>, n.</w:t>
            </w:r>
            <w:r w:rsidRPr="002A4062">
              <w:rPr>
                <w:rFonts w:ascii="Times New Roman" w:hAnsi="Times New Roman"/>
                <w:vertAlign w:val="superscript"/>
              </w:rPr>
              <w:t>o</w:t>
            </w:r>
            <w:r w:rsidRPr="002A4062">
              <w:rPr>
                <w:rFonts w:ascii="Times New Roman" w:hAnsi="Times New Roman"/>
              </w:rPr>
              <w:t xml:space="preserve"> 1, alínea i), </w:t>
            </w:r>
            <w:r w:rsidRPr="002A4062">
              <w:rPr>
                <w:rStyle w:val="FormatvorlageInstructionsTabelleText"/>
                <w:rFonts w:ascii="Times New Roman" w:hAnsi="Times New Roman"/>
                <w:sz w:val="22"/>
              </w:rPr>
              <w:t>do</w:t>
            </w:r>
            <w:r w:rsidRPr="002A4062">
              <w:rPr>
                <w:rFonts w:ascii="Times New Roman" w:hAnsi="Times New Roman"/>
              </w:rPr>
              <w:t xml:space="preserve"> Regulamento (UE) 2019/2033.</w:t>
            </w:r>
          </w:p>
          <w:p w14:paraId="032ABF4A" w14:textId="77777777" w:rsidR="00F26498" w:rsidRPr="002A4062" w:rsidRDefault="002A4062">
            <w:pPr>
              <w:spacing w:after="120" w:line="240" w:lineRule="auto"/>
              <w:jc w:val="both"/>
              <w:rPr>
                <w:rStyle w:val="FormatvorlageInstructionsTabelleText"/>
                <w:rFonts w:ascii="Times New Roman" w:hAnsi="Times New Roman"/>
                <w:sz w:val="22"/>
              </w:rPr>
            </w:pPr>
            <w:r w:rsidRPr="002A4062">
              <w:rPr>
                <w:rStyle w:val="FormatvorlageInstructionsTabelleText"/>
                <w:rFonts w:ascii="Times New Roman" w:hAnsi="Times New Roman"/>
                <w:sz w:val="22"/>
              </w:rPr>
              <w:t>Artigo 26.</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n.</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1, alínea c), do Regulamento (UE) n.</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575/2013.</w:t>
            </w:r>
          </w:p>
          <w:p w14:paraId="19F920FF" w14:textId="77777777" w:rsidR="00F26498" w:rsidRPr="002A4062" w:rsidRDefault="002A4062">
            <w:pPr>
              <w:spacing w:after="120" w:line="240" w:lineRule="auto"/>
              <w:jc w:val="both"/>
              <w:rPr>
                <w:rStyle w:val="FormatvorlageInstructionsTabelleText"/>
                <w:rFonts w:ascii="Times New Roman" w:hAnsi="Times New Roman"/>
                <w:sz w:val="22"/>
              </w:rPr>
            </w:pPr>
            <w:r w:rsidRPr="002A4062">
              <w:rPr>
                <w:rStyle w:val="FormatvorlageInstructionsTabelleText"/>
                <w:rFonts w:ascii="Times New Roman" w:hAnsi="Times New Roman"/>
                <w:sz w:val="22"/>
              </w:rPr>
              <w:lastRenderedPageBreak/>
              <w:t xml:space="preserve">Os resultados retidos incluem os </w:t>
            </w:r>
            <w:r w:rsidRPr="002A4062">
              <w:rPr>
                <w:rStyle w:val="FormatvorlageInstructionsTabelleText"/>
                <w:rFonts w:ascii="Times New Roman" w:hAnsi="Times New Roman"/>
                <w:sz w:val="22"/>
              </w:rPr>
              <w:t>resultados retidos do exercício anterior mais os lucros provisórios ou de final do exercício elegíveis.</w:t>
            </w:r>
          </w:p>
          <w:p w14:paraId="0573A970"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Cs/>
              </w:rPr>
              <w:t>Deve ser comunicada a soma das linhas 0070 e 0080.</w:t>
            </w:r>
          </w:p>
        </w:tc>
      </w:tr>
      <w:tr w:rsidR="00F26498" w:rsidRPr="002A4062" w14:paraId="3BE811EB" w14:textId="77777777">
        <w:tc>
          <w:tcPr>
            <w:tcW w:w="1129" w:type="dxa"/>
          </w:tcPr>
          <w:p w14:paraId="1991C53D"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lastRenderedPageBreak/>
              <w:t>0070</w:t>
            </w:r>
          </w:p>
        </w:tc>
        <w:tc>
          <w:tcPr>
            <w:tcW w:w="7620" w:type="dxa"/>
          </w:tcPr>
          <w:p w14:paraId="0848875C"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Resultados retidos de exercícios anteriores</w:t>
            </w:r>
          </w:p>
          <w:p w14:paraId="617D91DD"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4.</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1, ponto 123, e artigo 26.</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1,</w:t>
            </w:r>
            <w:r w:rsidRPr="002A4062">
              <w:rPr>
                <w:rFonts w:ascii="Times New Roman" w:hAnsi="Times New Roman"/>
                <w:bCs/>
              </w:rPr>
              <w:t xml:space="preserve"> alínea c), do Regulamento (UE) n.</w:t>
            </w:r>
            <w:r w:rsidRPr="002A4062">
              <w:rPr>
                <w:rFonts w:ascii="Times New Roman" w:hAnsi="Times New Roman"/>
                <w:bCs/>
                <w:vertAlign w:val="superscript"/>
              </w:rPr>
              <w:t>o</w:t>
            </w:r>
            <w:r w:rsidRPr="002A4062">
              <w:rPr>
                <w:rFonts w:ascii="Times New Roman" w:hAnsi="Times New Roman"/>
                <w:bCs/>
              </w:rPr>
              <w:t> 575/2013.</w:t>
            </w:r>
          </w:p>
          <w:p w14:paraId="2951A307"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Cs/>
              </w:rPr>
              <w:t>O artigo 4.</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1, ponto 123, do Regulamento (UE) n.</w:t>
            </w:r>
            <w:r w:rsidRPr="002A4062">
              <w:rPr>
                <w:rFonts w:ascii="Times New Roman" w:hAnsi="Times New Roman"/>
                <w:bCs/>
                <w:vertAlign w:val="superscript"/>
              </w:rPr>
              <w:t>o</w:t>
            </w:r>
            <w:r w:rsidRPr="002A4062">
              <w:rPr>
                <w:rFonts w:ascii="Times New Roman" w:hAnsi="Times New Roman"/>
                <w:bCs/>
              </w:rPr>
              <w:t> 575/2013 define resultados retidos como «os resultados transitados por afetação do resultado final segundo o quadro contabilístico aplicável».</w:t>
            </w:r>
          </w:p>
        </w:tc>
      </w:tr>
      <w:tr w:rsidR="00F26498" w:rsidRPr="002A4062" w14:paraId="5E51240B" w14:textId="77777777">
        <w:tc>
          <w:tcPr>
            <w:tcW w:w="1129" w:type="dxa"/>
          </w:tcPr>
          <w:p w14:paraId="51043E0F"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0080</w:t>
            </w:r>
          </w:p>
        </w:tc>
        <w:tc>
          <w:tcPr>
            <w:tcW w:w="7620" w:type="dxa"/>
          </w:tcPr>
          <w:p w14:paraId="2ACDAF8D"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Lucro</w:t>
            </w:r>
            <w:r w:rsidRPr="002A4062">
              <w:rPr>
                <w:rFonts w:ascii="Times New Roman" w:hAnsi="Times New Roman"/>
                <w:b/>
                <w:bCs/>
                <w:u w:val="single"/>
              </w:rPr>
              <w:t>s elegíveis</w:t>
            </w:r>
          </w:p>
          <w:p w14:paraId="2FD46F7E" w14:textId="77777777" w:rsidR="00F26498" w:rsidRPr="002A4062" w:rsidRDefault="002A4062">
            <w:pPr>
              <w:spacing w:after="120" w:line="240" w:lineRule="auto"/>
              <w:jc w:val="both"/>
              <w:rPr>
                <w:rFonts w:ascii="Times New Roman" w:eastAsia="Times New Roman" w:hAnsi="Times New Roman" w:cs="Times New Roman"/>
              </w:rPr>
            </w:pPr>
            <w:r w:rsidRPr="002A4062">
              <w:rPr>
                <w:rFonts w:ascii="Times New Roman" w:hAnsi="Times New Roman"/>
              </w:rPr>
              <w:t>Artigo 4.</w:t>
            </w:r>
            <w:r w:rsidRPr="002A4062">
              <w:rPr>
                <w:rFonts w:ascii="Times New Roman" w:hAnsi="Times New Roman"/>
                <w:vertAlign w:val="superscript"/>
              </w:rPr>
              <w:t>o</w:t>
            </w:r>
            <w:r w:rsidRPr="002A4062">
              <w:rPr>
                <w:rFonts w:ascii="Times New Roman" w:hAnsi="Times New Roman"/>
              </w:rPr>
              <w:t>, n.</w:t>
            </w:r>
            <w:r w:rsidRPr="002A4062">
              <w:rPr>
                <w:rFonts w:ascii="Times New Roman" w:hAnsi="Times New Roman"/>
                <w:vertAlign w:val="superscript"/>
              </w:rPr>
              <w:t>o</w:t>
            </w:r>
            <w:r w:rsidRPr="002A4062">
              <w:rPr>
                <w:rFonts w:ascii="Times New Roman" w:hAnsi="Times New Roman"/>
              </w:rPr>
              <w:t> 1, ponto 121, artigo 26.</w:t>
            </w:r>
            <w:r w:rsidRPr="002A4062">
              <w:rPr>
                <w:rFonts w:ascii="Times New Roman" w:hAnsi="Times New Roman"/>
                <w:vertAlign w:val="superscript"/>
              </w:rPr>
              <w:t>o</w:t>
            </w:r>
            <w:r w:rsidRPr="002A4062">
              <w:rPr>
                <w:rFonts w:ascii="Times New Roman" w:hAnsi="Times New Roman"/>
              </w:rPr>
              <w:t>, n.</w:t>
            </w:r>
            <w:r w:rsidRPr="002A4062">
              <w:rPr>
                <w:rFonts w:ascii="Times New Roman" w:hAnsi="Times New Roman"/>
                <w:vertAlign w:val="superscript"/>
              </w:rPr>
              <w:t>o</w:t>
            </w:r>
            <w:r w:rsidRPr="002A4062">
              <w:rPr>
                <w:rFonts w:ascii="Times New Roman" w:hAnsi="Times New Roman"/>
              </w:rPr>
              <w:t> 2, e artigo 36.</w:t>
            </w:r>
            <w:r w:rsidRPr="002A4062">
              <w:rPr>
                <w:rFonts w:ascii="Times New Roman" w:hAnsi="Times New Roman"/>
                <w:vertAlign w:val="superscript"/>
              </w:rPr>
              <w:t>o</w:t>
            </w:r>
            <w:r w:rsidRPr="002A4062">
              <w:rPr>
                <w:rFonts w:ascii="Times New Roman" w:hAnsi="Times New Roman"/>
              </w:rPr>
              <w:t>, n.</w:t>
            </w:r>
            <w:r w:rsidRPr="002A4062">
              <w:rPr>
                <w:rFonts w:ascii="Times New Roman" w:hAnsi="Times New Roman"/>
                <w:vertAlign w:val="superscript"/>
              </w:rPr>
              <w:t>o</w:t>
            </w:r>
            <w:r w:rsidRPr="002A4062">
              <w:rPr>
                <w:rFonts w:ascii="Times New Roman" w:hAnsi="Times New Roman"/>
              </w:rPr>
              <w:t> 1, alínea a), do Regulamento (UE) n.</w:t>
            </w:r>
            <w:r w:rsidRPr="002A4062">
              <w:rPr>
                <w:rFonts w:ascii="Times New Roman" w:hAnsi="Times New Roman"/>
                <w:vertAlign w:val="superscript"/>
              </w:rPr>
              <w:t>o</w:t>
            </w:r>
            <w:r w:rsidRPr="002A4062">
              <w:rPr>
                <w:rFonts w:ascii="Times New Roman" w:hAnsi="Times New Roman"/>
              </w:rPr>
              <w:t> 575/2013.</w:t>
            </w:r>
          </w:p>
          <w:p w14:paraId="03C60241"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rPr>
              <w:t>O artigo 26.</w:t>
            </w:r>
            <w:r w:rsidRPr="002A4062">
              <w:rPr>
                <w:rFonts w:ascii="Times New Roman" w:hAnsi="Times New Roman"/>
                <w:vertAlign w:val="superscript"/>
              </w:rPr>
              <w:t>o</w:t>
            </w:r>
            <w:r w:rsidRPr="002A4062">
              <w:rPr>
                <w:rFonts w:ascii="Times New Roman" w:hAnsi="Times New Roman"/>
              </w:rPr>
              <w:t>, n.</w:t>
            </w:r>
            <w:r w:rsidRPr="002A4062">
              <w:rPr>
                <w:rFonts w:ascii="Times New Roman" w:hAnsi="Times New Roman"/>
                <w:vertAlign w:val="superscript"/>
              </w:rPr>
              <w:t>o</w:t>
            </w:r>
            <w:r w:rsidRPr="002A4062">
              <w:rPr>
                <w:rFonts w:ascii="Times New Roman" w:hAnsi="Times New Roman"/>
              </w:rPr>
              <w:t> 2, do Regulamento (UE) n.</w:t>
            </w:r>
            <w:r w:rsidRPr="002A4062">
              <w:rPr>
                <w:rFonts w:ascii="Times New Roman" w:hAnsi="Times New Roman"/>
                <w:vertAlign w:val="superscript"/>
              </w:rPr>
              <w:t>o</w:t>
            </w:r>
            <w:r w:rsidRPr="002A4062">
              <w:rPr>
                <w:rFonts w:ascii="Times New Roman" w:hAnsi="Times New Roman"/>
              </w:rPr>
              <w:t xml:space="preserve"> 575/2013 permite incluir os lucros provisórios ou de final do exercício como resultados retidos, com a autorização prévia das autoridades competentes e se estiverem preenchidas determinadas condições. </w:t>
            </w:r>
          </w:p>
        </w:tc>
      </w:tr>
      <w:tr w:rsidR="00F26498" w:rsidRPr="002A4062" w14:paraId="5540EBE8" w14:textId="77777777">
        <w:tc>
          <w:tcPr>
            <w:tcW w:w="1129" w:type="dxa"/>
          </w:tcPr>
          <w:p w14:paraId="69E0AF2F"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0090</w:t>
            </w:r>
          </w:p>
        </w:tc>
        <w:tc>
          <w:tcPr>
            <w:tcW w:w="7620" w:type="dxa"/>
          </w:tcPr>
          <w:p w14:paraId="6BAD7B35"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Outro rendimento integral acumulado</w:t>
            </w:r>
          </w:p>
          <w:p w14:paraId="795C97FC"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9.</w:t>
            </w:r>
            <w:r w:rsidRPr="002A4062">
              <w:rPr>
                <w:rFonts w:ascii="Times New Roman" w:hAnsi="Times New Roman"/>
                <w:bCs/>
                <w:vertAlign w:val="superscript"/>
              </w:rPr>
              <w:t>o</w:t>
            </w:r>
            <w:r w:rsidRPr="002A4062">
              <w:rPr>
                <w:rFonts w:ascii="Times New Roman" w:hAnsi="Times New Roman"/>
                <w:bCs/>
              </w:rPr>
              <w:t>,</w:t>
            </w:r>
            <w:r w:rsidRPr="002A4062">
              <w:rPr>
                <w:rFonts w:ascii="Times New Roman" w:hAnsi="Times New Roman"/>
                <w:bCs/>
              </w:rPr>
              <w:t xml:space="preserve"> n.</w:t>
            </w:r>
            <w:r w:rsidRPr="002A4062">
              <w:rPr>
                <w:rFonts w:ascii="Times New Roman" w:hAnsi="Times New Roman"/>
                <w:bCs/>
                <w:vertAlign w:val="superscript"/>
              </w:rPr>
              <w:t>o</w:t>
            </w:r>
            <w:r w:rsidRPr="002A4062">
              <w:rPr>
                <w:rFonts w:ascii="Times New Roman" w:hAnsi="Times New Roman"/>
                <w:bCs/>
              </w:rPr>
              <w:t> 1, alínea i), do Regulamento (UE) 2019/2033.</w:t>
            </w:r>
          </w:p>
          <w:p w14:paraId="703FA8F0" w14:textId="77777777" w:rsidR="00F26498" w:rsidRPr="002A4062" w:rsidRDefault="002A4062">
            <w:pPr>
              <w:spacing w:after="120" w:line="240" w:lineRule="auto"/>
              <w:jc w:val="both"/>
              <w:rPr>
                <w:rFonts w:ascii="Times New Roman" w:hAnsi="Times New Roman" w:cs="Times New Roman"/>
                <w:bCs/>
              </w:rPr>
            </w:pPr>
            <w:r w:rsidRPr="002A4062">
              <w:rPr>
                <w:rStyle w:val="FormatvorlageInstructionsTabelleText"/>
                <w:rFonts w:ascii="Times New Roman" w:hAnsi="Times New Roman"/>
                <w:sz w:val="22"/>
              </w:rPr>
              <w:t>Artigo 26.</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n.</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1, alínea d), do Regulamento (UE) n.</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575/2013.</w:t>
            </w:r>
          </w:p>
        </w:tc>
      </w:tr>
      <w:tr w:rsidR="00F26498" w:rsidRPr="002A4062" w14:paraId="74F453C2" w14:textId="77777777">
        <w:tc>
          <w:tcPr>
            <w:tcW w:w="1129" w:type="dxa"/>
          </w:tcPr>
          <w:p w14:paraId="36A712B3"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0100</w:t>
            </w:r>
          </w:p>
        </w:tc>
        <w:tc>
          <w:tcPr>
            <w:tcW w:w="7620" w:type="dxa"/>
          </w:tcPr>
          <w:p w14:paraId="42853AB0"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Outras reservas</w:t>
            </w:r>
          </w:p>
          <w:p w14:paraId="0C294DBA"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9.</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1, alínea i), do Regulamento (UE) 2019/2033.</w:t>
            </w:r>
          </w:p>
          <w:p w14:paraId="27979F9B" w14:textId="77777777" w:rsidR="00F26498" w:rsidRPr="002A4062" w:rsidRDefault="002A4062">
            <w:pPr>
              <w:spacing w:after="120" w:line="240" w:lineRule="auto"/>
              <w:jc w:val="both"/>
              <w:rPr>
                <w:rStyle w:val="FormatvorlageInstructionsTabelleText"/>
                <w:rFonts w:ascii="Times New Roman" w:hAnsi="Times New Roman"/>
                <w:sz w:val="22"/>
              </w:rPr>
            </w:pPr>
            <w:r w:rsidRPr="002A4062">
              <w:rPr>
                <w:rStyle w:val="FormatvorlageInstructionsTabelleText"/>
                <w:rFonts w:ascii="Times New Roman" w:hAnsi="Times New Roman"/>
                <w:sz w:val="22"/>
              </w:rPr>
              <w:t>Artigo 4.</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n.</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1, ponto 117, e artigo 26.</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n.</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xml:space="preserve"> 1, </w:t>
            </w:r>
            <w:r w:rsidRPr="002A4062">
              <w:rPr>
                <w:rStyle w:val="FormatvorlageInstructionsTabelleText"/>
                <w:rFonts w:ascii="Times New Roman" w:hAnsi="Times New Roman"/>
                <w:sz w:val="22"/>
              </w:rPr>
              <w:t>alínea e), do Regulamento (UE) n.</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575/2013.</w:t>
            </w:r>
          </w:p>
          <w:p w14:paraId="7ED2B846"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Style w:val="FormatvorlageInstructionsTabelleText"/>
                <w:rFonts w:ascii="Times New Roman" w:hAnsi="Times New Roman"/>
                <w:sz w:val="22"/>
              </w:rPr>
              <w:t>O montante deve ser comunicado após a dedução de quaisquer impostos previsíveis no momento do cálculo.</w:t>
            </w:r>
          </w:p>
        </w:tc>
      </w:tr>
      <w:tr w:rsidR="00F26498" w:rsidRPr="002A4062" w14:paraId="671FAA42" w14:textId="77777777">
        <w:tc>
          <w:tcPr>
            <w:tcW w:w="1129" w:type="dxa"/>
          </w:tcPr>
          <w:p w14:paraId="5C3E1CE8"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0120</w:t>
            </w:r>
          </w:p>
        </w:tc>
        <w:tc>
          <w:tcPr>
            <w:tcW w:w="7620" w:type="dxa"/>
          </w:tcPr>
          <w:p w14:paraId="55E7CB9E"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Ajustamentos dos FPP1 devidos a filtros prudenciais</w:t>
            </w:r>
          </w:p>
          <w:p w14:paraId="387B5659"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9.</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xml:space="preserve"> 1, alínea i), do </w:t>
            </w:r>
            <w:r w:rsidRPr="002A4062">
              <w:rPr>
                <w:rFonts w:ascii="Times New Roman" w:hAnsi="Times New Roman"/>
                <w:bCs/>
              </w:rPr>
              <w:t>Regulamento (UE) 2019/2033.</w:t>
            </w:r>
          </w:p>
          <w:p w14:paraId="6EAC6806"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Style w:val="FormatvorlageInstructionsTabelleText"/>
                <w:rFonts w:ascii="Times New Roman" w:hAnsi="Times New Roman"/>
                <w:sz w:val="22"/>
              </w:rPr>
              <w:t>Artigos 32.</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xml:space="preserve"> a 35.° do Regulamento (UE) n.</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575/2013.</w:t>
            </w:r>
          </w:p>
        </w:tc>
      </w:tr>
      <w:tr w:rsidR="00F26498" w:rsidRPr="002A4062" w14:paraId="510CD569" w14:textId="77777777">
        <w:tc>
          <w:tcPr>
            <w:tcW w:w="1129" w:type="dxa"/>
          </w:tcPr>
          <w:p w14:paraId="44D39E63"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0130</w:t>
            </w:r>
          </w:p>
        </w:tc>
        <w:tc>
          <w:tcPr>
            <w:tcW w:w="7620" w:type="dxa"/>
          </w:tcPr>
          <w:p w14:paraId="057011D6"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Outros fundos</w:t>
            </w:r>
          </w:p>
          <w:p w14:paraId="3768F85D"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Cs/>
              </w:rPr>
              <w:t>Artigo 9.</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4, do Regulamento (UE) 2019/2033.</w:t>
            </w:r>
          </w:p>
        </w:tc>
      </w:tr>
      <w:tr w:rsidR="00F26498" w:rsidRPr="002A4062" w14:paraId="1A2A902A" w14:textId="77777777">
        <w:tc>
          <w:tcPr>
            <w:tcW w:w="1129" w:type="dxa"/>
          </w:tcPr>
          <w:p w14:paraId="7463FDE0"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0145</w:t>
            </w:r>
          </w:p>
        </w:tc>
        <w:tc>
          <w:tcPr>
            <w:tcW w:w="7620" w:type="dxa"/>
          </w:tcPr>
          <w:p w14:paraId="3B0F6752"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 TOTAL DAS DEDUÇÕES AOS FUNDOS PRÓPRIOS PRINCIPAIS DE NÍVEL 1</w:t>
            </w:r>
          </w:p>
          <w:p w14:paraId="58FB92D3"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8.</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xml:space="preserve"> 2, alínea a), do </w:t>
            </w:r>
            <w:r w:rsidRPr="002A4062">
              <w:rPr>
                <w:rFonts w:ascii="Times New Roman" w:hAnsi="Times New Roman"/>
                <w:bCs/>
              </w:rPr>
              <w:t>Regulamento (UE) 2019/2033, artigo 36.</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1, do Regulamento (UE) n.</w:t>
            </w:r>
            <w:r w:rsidRPr="002A4062">
              <w:rPr>
                <w:rFonts w:ascii="Times New Roman" w:hAnsi="Times New Roman"/>
                <w:bCs/>
                <w:vertAlign w:val="superscript"/>
              </w:rPr>
              <w:t>o</w:t>
            </w:r>
            <w:r w:rsidRPr="002A4062">
              <w:rPr>
                <w:rFonts w:ascii="Times New Roman" w:hAnsi="Times New Roman"/>
                <w:bCs/>
              </w:rPr>
              <w:t> 575/2013, com exceção da subalínea i) do mesmo número.</w:t>
            </w:r>
          </w:p>
          <w:p w14:paraId="463C80EB"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Deve ser comunicada a soma das linhas 0150 e 0190-0280.</w:t>
            </w:r>
          </w:p>
        </w:tc>
      </w:tr>
      <w:tr w:rsidR="00F26498" w:rsidRPr="002A4062" w14:paraId="466D591F" w14:textId="77777777">
        <w:trPr>
          <w:trHeight w:val="3148"/>
        </w:trPr>
        <w:tc>
          <w:tcPr>
            <w:tcW w:w="1129" w:type="dxa"/>
          </w:tcPr>
          <w:p w14:paraId="6DE95819"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lastRenderedPageBreak/>
              <w:t>0150</w:t>
            </w:r>
          </w:p>
        </w:tc>
        <w:tc>
          <w:tcPr>
            <w:tcW w:w="7620" w:type="dxa"/>
            <w:shd w:val="clear" w:color="auto" w:fill="auto"/>
          </w:tcPr>
          <w:p w14:paraId="2BE5A3CE"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 Instrumentos próprios de FPP1</w:t>
            </w:r>
          </w:p>
          <w:p w14:paraId="23C9DEE5" w14:textId="77777777" w:rsidR="00F26498" w:rsidRPr="002A4062" w:rsidRDefault="002A4062">
            <w:pPr>
              <w:rPr>
                <w:rFonts w:cs="Times New Roman"/>
              </w:rPr>
            </w:pPr>
            <w:r w:rsidRPr="002A4062">
              <w:rPr>
                <w:rFonts w:ascii="Times New Roman" w:hAnsi="Times New Roman"/>
                <w:bCs/>
              </w:rPr>
              <w:t>Artigo 9.</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xml:space="preserve"> 1, alínea i), </w:t>
            </w:r>
            <w:r w:rsidRPr="002A4062">
              <w:rPr>
                <w:rFonts w:ascii="Times New Roman" w:hAnsi="Times New Roman"/>
                <w:bCs/>
              </w:rPr>
              <w:t>do Regulamento (UE) 2019/2033.</w:t>
            </w:r>
          </w:p>
          <w:p w14:paraId="1278AE7E" w14:textId="77777777" w:rsidR="00F26498" w:rsidRPr="002A4062" w:rsidRDefault="002A4062">
            <w:pPr>
              <w:rPr>
                <w:rStyle w:val="FormatvorlageInstructionsTabelleText"/>
                <w:rFonts w:ascii="Times New Roman" w:hAnsi="Times New Roman"/>
                <w:bCs w:val="0"/>
                <w:sz w:val="22"/>
              </w:rPr>
            </w:pPr>
            <w:r w:rsidRPr="002A4062">
              <w:rPr>
                <w:rStyle w:val="FormatvorlageInstructionsTabelleText"/>
                <w:rFonts w:ascii="Times New Roman" w:hAnsi="Times New Roman"/>
                <w:sz w:val="22"/>
              </w:rPr>
              <w:t>Artigo 36.</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n.</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1, alínea f), e artigo 42.</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xml:space="preserve"> do Regulamento (UE) n.</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575/2013.</w:t>
            </w:r>
          </w:p>
          <w:p w14:paraId="3ACACD33" w14:textId="77777777" w:rsidR="00F26498" w:rsidRPr="002A4062" w:rsidRDefault="002A4062">
            <w:pPr>
              <w:pStyle w:val="InstructionsText"/>
              <w:rPr>
                <w:rStyle w:val="FormatvorlageInstructionsTabelleText"/>
                <w:rFonts w:ascii="Times New Roman" w:hAnsi="Times New Roman"/>
                <w:sz w:val="22"/>
                <w:szCs w:val="22"/>
              </w:rPr>
            </w:pPr>
            <w:r w:rsidRPr="002A4062">
              <w:rPr>
                <w:rStyle w:val="FormatvorlageInstructionsTabelleText"/>
                <w:rFonts w:ascii="Times New Roman" w:hAnsi="Times New Roman"/>
                <w:sz w:val="22"/>
                <w:szCs w:val="22"/>
              </w:rPr>
              <w:t xml:space="preserve">Instrumentos próprios de FPP1 detidos pela instituição ou grupo que comunica informações à data de referência. Sob reserva das exceções </w:t>
            </w:r>
            <w:r w:rsidRPr="002A4062">
              <w:rPr>
                <w:rStyle w:val="FormatvorlageInstructionsTabelleText"/>
                <w:rFonts w:ascii="Times New Roman" w:hAnsi="Times New Roman"/>
                <w:sz w:val="22"/>
                <w:szCs w:val="22"/>
              </w:rPr>
              <w:t>previstas no artigo 42.</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xml:space="preserve"> do Regulamento (UE) n.</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575/2013.</w:t>
            </w:r>
          </w:p>
          <w:p w14:paraId="112EE490" w14:textId="77777777" w:rsidR="00F26498" w:rsidRPr="002A4062" w:rsidRDefault="002A4062">
            <w:pPr>
              <w:pStyle w:val="InstructionsText"/>
              <w:rPr>
                <w:rStyle w:val="FormatvorlageInstructionsTabelleText"/>
                <w:rFonts w:ascii="Times New Roman" w:hAnsi="Times New Roman"/>
                <w:sz w:val="22"/>
                <w:szCs w:val="22"/>
              </w:rPr>
            </w:pPr>
            <w:r w:rsidRPr="002A4062">
              <w:rPr>
                <w:rStyle w:val="FormatvorlageInstructionsTabelleText"/>
                <w:rFonts w:ascii="Times New Roman" w:hAnsi="Times New Roman"/>
                <w:sz w:val="22"/>
                <w:szCs w:val="22"/>
              </w:rPr>
              <w:t>As detenções de ações incluídas em «Instrumentos de fundos próprios não elegíveis» não podem ser comunicadas nesta linha.</w:t>
            </w:r>
          </w:p>
          <w:p w14:paraId="4F032348" w14:textId="77777777" w:rsidR="00F26498" w:rsidRPr="002A4062" w:rsidRDefault="002A4062">
            <w:pPr>
              <w:pStyle w:val="InstructionsText"/>
              <w:rPr>
                <w:sz w:val="22"/>
                <w:szCs w:val="22"/>
              </w:rPr>
            </w:pPr>
            <w:r w:rsidRPr="002A4062">
              <w:rPr>
                <w:rStyle w:val="FormatvorlageInstructionsTabelleText"/>
                <w:rFonts w:ascii="Times New Roman" w:hAnsi="Times New Roman"/>
                <w:sz w:val="22"/>
                <w:szCs w:val="22"/>
              </w:rPr>
              <w:t>O montante a comunicar deve incluir os prémios de emissão de ações relacion</w:t>
            </w:r>
            <w:r w:rsidRPr="002A4062">
              <w:rPr>
                <w:rStyle w:val="FormatvorlageInstructionsTabelleText"/>
                <w:rFonts w:ascii="Times New Roman" w:hAnsi="Times New Roman"/>
                <w:sz w:val="22"/>
                <w:szCs w:val="22"/>
              </w:rPr>
              <w:t>ados com as ações próprias.</w:t>
            </w:r>
          </w:p>
        </w:tc>
      </w:tr>
      <w:tr w:rsidR="00F26498" w:rsidRPr="002A4062" w14:paraId="40E329BB" w14:textId="77777777">
        <w:tc>
          <w:tcPr>
            <w:tcW w:w="1129" w:type="dxa"/>
          </w:tcPr>
          <w:p w14:paraId="6C00DD8A"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83FEAD2"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 Perdas relativas ao exercício em curso</w:t>
            </w:r>
          </w:p>
          <w:p w14:paraId="47206583"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rPr>
              <w:t>Artigo 36.</w:t>
            </w:r>
            <w:r w:rsidRPr="002A4062">
              <w:rPr>
                <w:rFonts w:ascii="Times New Roman" w:hAnsi="Times New Roman"/>
                <w:vertAlign w:val="superscript"/>
              </w:rPr>
              <w:t>o</w:t>
            </w:r>
            <w:r w:rsidRPr="002A4062">
              <w:rPr>
                <w:rFonts w:ascii="Times New Roman" w:hAnsi="Times New Roman"/>
              </w:rPr>
              <w:t>, n.</w:t>
            </w:r>
            <w:r w:rsidRPr="002A4062">
              <w:rPr>
                <w:rFonts w:ascii="Times New Roman" w:hAnsi="Times New Roman"/>
                <w:vertAlign w:val="superscript"/>
              </w:rPr>
              <w:t>o</w:t>
            </w:r>
            <w:r w:rsidRPr="002A4062">
              <w:rPr>
                <w:rFonts w:ascii="Times New Roman" w:hAnsi="Times New Roman"/>
              </w:rPr>
              <w:t> 1, alínea a), do Regulamento (UE) n.</w:t>
            </w:r>
            <w:r w:rsidRPr="002A4062">
              <w:rPr>
                <w:rFonts w:ascii="Times New Roman" w:hAnsi="Times New Roman"/>
                <w:vertAlign w:val="superscript"/>
              </w:rPr>
              <w:t>o</w:t>
            </w:r>
            <w:r w:rsidRPr="002A4062">
              <w:rPr>
                <w:rFonts w:ascii="Times New Roman" w:hAnsi="Times New Roman"/>
              </w:rPr>
              <w:t> 575/2013.</w:t>
            </w:r>
          </w:p>
        </w:tc>
      </w:tr>
      <w:tr w:rsidR="00F26498" w:rsidRPr="002A4062" w14:paraId="36AF7636" w14:textId="77777777">
        <w:tc>
          <w:tcPr>
            <w:tcW w:w="1129" w:type="dxa"/>
          </w:tcPr>
          <w:p w14:paraId="65C4CE49"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A2AC12D"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 xml:space="preserve">(-) </w:t>
            </w:r>
            <w:r w:rsidRPr="002A4062">
              <w:rPr>
                <w:rFonts w:ascii="Times New Roman" w:hAnsi="Times New Roman"/>
                <w:b/>
                <w:bCs/>
                <w:i/>
                <w:iCs/>
                <w:u w:val="single"/>
              </w:rPr>
              <w:t>Goodwill</w:t>
            </w:r>
          </w:p>
          <w:p w14:paraId="6541C272"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9.</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1, alínea i), do Regulamento (UE) 2019/2033.</w:t>
            </w:r>
          </w:p>
          <w:p w14:paraId="26CD8D38"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Style w:val="FormatvorlageInstructionsTabelleText"/>
                <w:rFonts w:ascii="Times New Roman" w:hAnsi="Times New Roman"/>
                <w:sz w:val="22"/>
              </w:rPr>
              <w:t>Artigo 4.</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n.</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xml:space="preserve"> 1, ponto 113, </w:t>
            </w:r>
            <w:r w:rsidRPr="002A4062">
              <w:rPr>
                <w:rStyle w:val="FormatvorlageInstructionsTabelleText"/>
                <w:rFonts w:ascii="Times New Roman" w:hAnsi="Times New Roman"/>
                <w:sz w:val="22"/>
              </w:rPr>
              <w:t>artigo 36.</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n.</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1, alínea b), e artigo 37.</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xml:space="preserve"> do Regulamento (UE) n.</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575/2013.</w:t>
            </w:r>
          </w:p>
        </w:tc>
      </w:tr>
      <w:tr w:rsidR="00F26498" w:rsidRPr="002A4062" w14:paraId="332919E7" w14:textId="77777777">
        <w:tc>
          <w:tcPr>
            <w:tcW w:w="1129" w:type="dxa"/>
          </w:tcPr>
          <w:p w14:paraId="0456B96E"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E147333"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 Outros ativos intangíveis</w:t>
            </w:r>
          </w:p>
          <w:p w14:paraId="419434E2"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9.</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1, alínea i), do Regulamento (UE) 2019/2033.</w:t>
            </w:r>
          </w:p>
          <w:p w14:paraId="6DBD9545" w14:textId="77777777" w:rsidR="00F26498" w:rsidRPr="002A4062" w:rsidRDefault="002A4062">
            <w:pPr>
              <w:pStyle w:val="InstructionsText"/>
              <w:rPr>
                <w:rStyle w:val="FormatvorlageInstructionsTabelleText"/>
                <w:rFonts w:ascii="Times New Roman" w:eastAsiaTheme="minorHAnsi" w:hAnsi="Times New Roman"/>
                <w:bCs/>
                <w:sz w:val="22"/>
                <w:szCs w:val="22"/>
              </w:rPr>
            </w:pPr>
            <w:r w:rsidRPr="002A4062">
              <w:rPr>
                <w:rStyle w:val="FormatvorlageInstructionsTabelleText"/>
                <w:rFonts w:ascii="Times New Roman" w:hAnsi="Times New Roman"/>
                <w:sz w:val="22"/>
                <w:szCs w:val="22"/>
              </w:rPr>
              <w:t>Artigo 4.</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n.</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1, ponto 115, artigo 36.</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n.</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1, alínea b), e artigo 37.</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xml:space="preserve">, </w:t>
            </w:r>
            <w:r w:rsidRPr="002A4062">
              <w:rPr>
                <w:rStyle w:val="FormatvorlageInstructionsTabelleText"/>
                <w:rFonts w:ascii="Times New Roman" w:hAnsi="Times New Roman"/>
                <w:sz w:val="22"/>
                <w:szCs w:val="22"/>
              </w:rPr>
              <w:t>alínea a), do Regulamento (UE) n.</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575/2013.</w:t>
            </w:r>
          </w:p>
          <w:p w14:paraId="1D1469BC"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Style w:val="FormatvorlageInstructionsTabelleText"/>
                <w:rFonts w:ascii="Times New Roman" w:hAnsi="Times New Roman"/>
                <w:sz w:val="22"/>
              </w:rPr>
              <w:t xml:space="preserve">Por «outros ativos intangíveis» entende-se os ativos intangíveis na aceção da norma de contabilidade aplicável, menos o </w:t>
            </w:r>
            <w:r w:rsidRPr="002A4062">
              <w:rPr>
                <w:rStyle w:val="FormatvorlageInstructionsTabelleText"/>
                <w:rFonts w:ascii="Times New Roman" w:hAnsi="Times New Roman"/>
                <w:i/>
                <w:iCs/>
                <w:sz w:val="22"/>
              </w:rPr>
              <w:t>goodwill</w:t>
            </w:r>
            <w:r w:rsidRPr="002A4062">
              <w:rPr>
                <w:rStyle w:val="FormatvorlageInstructionsTabelleText"/>
                <w:rFonts w:ascii="Times New Roman" w:hAnsi="Times New Roman"/>
                <w:sz w:val="22"/>
              </w:rPr>
              <w:t>, também na aceção da norma de contabilidade aplicável.</w:t>
            </w:r>
          </w:p>
        </w:tc>
      </w:tr>
      <w:tr w:rsidR="00F26498" w:rsidRPr="002A4062" w14:paraId="1F107BEE" w14:textId="77777777">
        <w:tc>
          <w:tcPr>
            <w:tcW w:w="1129" w:type="dxa"/>
          </w:tcPr>
          <w:p w14:paraId="4AD38D22"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0DA1F81"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 Ativos por impost</w:t>
            </w:r>
            <w:r w:rsidRPr="002A4062">
              <w:rPr>
                <w:rFonts w:ascii="Times New Roman" w:hAnsi="Times New Roman"/>
                <w:b/>
                <w:bCs/>
                <w:u w:val="single"/>
              </w:rPr>
              <w:t>os diferidos que dependem da rendibilidade futura e não decorrem de diferenças temporárias líquidas dos passivos por impostos associados</w:t>
            </w:r>
          </w:p>
          <w:p w14:paraId="3AF75CA6"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9.</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2, alínea a), do Regulamento (UE) 2019/2033.</w:t>
            </w:r>
          </w:p>
          <w:p w14:paraId="3EAA1C67"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Cs/>
              </w:rPr>
              <w:t>Artigo 36.</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1, alínea c), do Regulamento (UE) n.</w:t>
            </w:r>
            <w:r w:rsidRPr="002A4062">
              <w:rPr>
                <w:rFonts w:ascii="Times New Roman" w:hAnsi="Times New Roman"/>
                <w:bCs/>
                <w:vertAlign w:val="superscript"/>
              </w:rPr>
              <w:t>o</w:t>
            </w:r>
            <w:r w:rsidRPr="002A4062">
              <w:rPr>
                <w:rFonts w:ascii="Times New Roman" w:hAnsi="Times New Roman"/>
                <w:bCs/>
              </w:rPr>
              <w:t> 575/2013.</w:t>
            </w:r>
          </w:p>
        </w:tc>
      </w:tr>
      <w:tr w:rsidR="00F26498" w:rsidRPr="002A4062" w14:paraId="631C777F" w14:textId="77777777">
        <w:tc>
          <w:tcPr>
            <w:tcW w:w="1129" w:type="dxa"/>
          </w:tcPr>
          <w:p w14:paraId="566F0B23"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D0B27F6"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 Participação qualificada fora do setor financeiro superior a 15 % dos fundos próprios</w:t>
            </w:r>
          </w:p>
          <w:p w14:paraId="3008F7F0"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10.</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1, alínea a), do Regulamento (UE) 2019/2033.</w:t>
            </w:r>
          </w:p>
        </w:tc>
      </w:tr>
      <w:tr w:rsidR="00F26498" w:rsidRPr="002A4062" w14:paraId="1B32EE4F" w14:textId="77777777">
        <w:tc>
          <w:tcPr>
            <w:tcW w:w="1129" w:type="dxa"/>
          </w:tcPr>
          <w:p w14:paraId="56211DA6"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F7B5354"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 xml:space="preserve">(-) Total das participações qualificadas em empresas que não são </w:t>
            </w:r>
            <w:r w:rsidRPr="002A4062">
              <w:rPr>
                <w:rFonts w:ascii="Times New Roman" w:hAnsi="Times New Roman"/>
                <w:b/>
                <w:bCs/>
                <w:u w:val="single"/>
              </w:rPr>
              <w:t>entidades do setor financeiro que excedam 60 % dos seus fundos próprios</w:t>
            </w:r>
          </w:p>
          <w:p w14:paraId="4938982E"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Cs/>
              </w:rPr>
              <w:t>Artigo 10.</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1, alínea b), do Regulamento (UE) 2019/2033.</w:t>
            </w:r>
          </w:p>
        </w:tc>
      </w:tr>
      <w:tr w:rsidR="00F26498" w:rsidRPr="002A4062" w14:paraId="4C761B06" w14:textId="77777777">
        <w:tc>
          <w:tcPr>
            <w:tcW w:w="1129" w:type="dxa"/>
          </w:tcPr>
          <w:p w14:paraId="0BED1F20"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2CFBA9C"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 Instrumentos de FPP1 de entidades do setor financeiro nas quais a empresa-mãe não tem um investimento significat</w:t>
            </w:r>
            <w:r w:rsidRPr="002A4062">
              <w:rPr>
                <w:rFonts w:ascii="Times New Roman" w:hAnsi="Times New Roman"/>
                <w:b/>
                <w:bCs/>
                <w:u w:val="single"/>
              </w:rPr>
              <w:t>ivo</w:t>
            </w:r>
          </w:p>
          <w:p w14:paraId="1636BE0D"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9.</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2, alínea c), do Regulamento (UE) 2019/2033.</w:t>
            </w:r>
          </w:p>
          <w:p w14:paraId="4D25C839"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36.</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1, alínea h), do Regulamento (UE) n.</w:t>
            </w:r>
            <w:r w:rsidRPr="002A4062">
              <w:rPr>
                <w:rFonts w:ascii="Times New Roman" w:hAnsi="Times New Roman"/>
                <w:bCs/>
                <w:vertAlign w:val="superscript"/>
              </w:rPr>
              <w:t>o</w:t>
            </w:r>
            <w:r w:rsidRPr="002A4062">
              <w:rPr>
                <w:rFonts w:ascii="Times New Roman" w:hAnsi="Times New Roman"/>
                <w:bCs/>
              </w:rPr>
              <w:t> 575/2013.</w:t>
            </w:r>
          </w:p>
          <w:p w14:paraId="3D7F01D5"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Cs/>
              </w:rPr>
              <w:t>Nesta linha, entende-se por empresa-mãe na União as empresas de investimento-mãe na União, as sociedades gestoras de participa</w:t>
            </w:r>
            <w:r w:rsidRPr="002A4062">
              <w:rPr>
                <w:rFonts w:ascii="Times New Roman" w:hAnsi="Times New Roman"/>
                <w:bCs/>
              </w:rPr>
              <w:t>ções sociais-mãe na União, as companhias financeiras mistas-mãe na União ou qualquer outra empresa-mãe que seja uma empresa de investimento, uma instituição financeira, uma empresa de serviços auxiliares ou um agente vinculado</w:t>
            </w:r>
          </w:p>
        </w:tc>
      </w:tr>
      <w:tr w:rsidR="00F26498" w:rsidRPr="002A4062" w14:paraId="3B91ABD5" w14:textId="77777777">
        <w:tc>
          <w:tcPr>
            <w:tcW w:w="1129" w:type="dxa"/>
          </w:tcPr>
          <w:p w14:paraId="69F79C6E"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lastRenderedPageBreak/>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B390D56"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 xml:space="preserve">(-) Ativos de </w:t>
            </w:r>
            <w:r w:rsidRPr="002A4062">
              <w:rPr>
                <w:rFonts w:ascii="Times New Roman" w:hAnsi="Times New Roman"/>
                <w:b/>
                <w:bCs/>
                <w:u w:val="single"/>
              </w:rPr>
              <w:t>fundos de pensões de benefício definido</w:t>
            </w:r>
          </w:p>
          <w:p w14:paraId="36C1933B"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9.</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2, alínea b), do Regulamento (UE) 2019/2033.</w:t>
            </w:r>
          </w:p>
          <w:p w14:paraId="3B3A02FE"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Cs/>
              </w:rPr>
              <w:t>Artigo 36.</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1, alínea e), do Regulamento (UE) n.</w:t>
            </w:r>
            <w:r w:rsidRPr="002A4062">
              <w:rPr>
                <w:rFonts w:ascii="Times New Roman" w:hAnsi="Times New Roman"/>
                <w:bCs/>
                <w:vertAlign w:val="superscript"/>
              </w:rPr>
              <w:t>o</w:t>
            </w:r>
            <w:r w:rsidRPr="002A4062">
              <w:rPr>
                <w:rFonts w:ascii="Times New Roman" w:hAnsi="Times New Roman"/>
                <w:bCs/>
              </w:rPr>
              <w:t> 575/2013.</w:t>
            </w:r>
          </w:p>
        </w:tc>
      </w:tr>
      <w:tr w:rsidR="00F26498" w:rsidRPr="002A4062" w14:paraId="50199C62" w14:textId="77777777">
        <w:tc>
          <w:tcPr>
            <w:tcW w:w="1129" w:type="dxa"/>
          </w:tcPr>
          <w:p w14:paraId="5E79D0E3"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24F6B63"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 Outras deduções</w:t>
            </w:r>
          </w:p>
          <w:p w14:paraId="3BD75D0D"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rPr>
              <w:t xml:space="preserve">A soma de todas as outras deduções em conformidade com o artigo </w:t>
            </w:r>
            <w:r w:rsidRPr="002A4062">
              <w:rPr>
                <w:rFonts w:ascii="Times New Roman" w:hAnsi="Times New Roman"/>
              </w:rPr>
              <w:t>36.</w:t>
            </w:r>
            <w:r w:rsidRPr="002A4062">
              <w:rPr>
                <w:rFonts w:ascii="Times New Roman" w:hAnsi="Times New Roman"/>
                <w:vertAlign w:val="superscript"/>
              </w:rPr>
              <w:t>o</w:t>
            </w:r>
            <w:r w:rsidRPr="002A4062">
              <w:rPr>
                <w:rFonts w:ascii="Times New Roman" w:hAnsi="Times New Roman"/>
              </w:rPr>
              <w:t>, n.</w:t>
            </w:r>
            <w:r w:rsidRPr="002A4062">
              <w:rPr>
                <w:rFonts w:ascii="Times New Roman" w:hAnsi="Times New Roman"/>
                <w:vertAlign w:val="superscript"/>
              </w:rPr>
              <w:t>o</w:t>
            </w:r>
            <w:r w:rsidRPr="002A4062">
              <w:rPr>
                <w:rFonts w:ascii="Times New Roman" w:hAnsi="Times New Roman"/>
              </w:rPr>
              <w:t> 1, do Regulamento (UE) n.</w:t>
            </w:r>
            <w:r w:rsidRPr="002A4062">
              <w:rPr>
                <w:rFonts w:ascii="Times New Roman" w:hAnsi="Times New Roman"/>
                <w:vertAlign w:val="superscript"/>
              </w:rPr>
              <w:t>o</w:t>
            </w:r>
            <w:r w:rsidRPr="002A4062">
              <w:rPr>
                <w:rFonts w:ascii="Times New Roman" w:hAnsi="Times New Roman"/>
              </w:rPr>
              <w:t> 575/2013, com exceção das deduções em consonância com o artigo 36.</w:t>
            </w:r>
            <w:r w:rsidRPr="002A4062">
              <w:rPr>
                <w:rFonts w:ascii="Times New Roman" w:hAnsi="Times New Roman"/>
                <w:vertAlign w:val="superscript"/>
              </w:rPr>
              <w:t>o</w:t>
            </w:r>
            <w:r w:rsidRPr="002A4062">
              <w:rPr>
                <w:rFonts w:ascii="Times New Roman" w:hAnsi="Times New Roman"/>
              </w:rPr>
              <w:t>, n.</w:t>
            </w:r>
            <w:r w:rsidRPr="002A4062">
              <w:rPr>
                <w:rFonts w:ascii="Times New Roman" w:hAnsi="Times New Roman"/>
                <w:vertAlign w:val="superscript"/>
              </w:rPr>
              <w:t>o</w:t>
            </w:r>
            <w:r w:rsidRPr="002A4062">
              <w:rPr>
                <w:rFonts w:ascii="Times New Roman" w:hAnsi="Times New Roman"/>
              </w:rPr>
              <w:t> 1, alínea i), do Regulamento (UE) n.</w:t>
            </w:r>
            <w:r w:rsidRPr="002A4062">
              <w:rPr>
                <w:rFonts w:ascii="Times New Roman" w:hAnsi="Times New Roman"/>
                <w:vertAlign w:val="superscript"/>
              </w:rPr>
              <w:t>o</w:t>
            </w:r>
            <w:r w:rsidRPr="002A4062">
              <w:rPr>
                <w:rFonts w:ascii="Times New Roman" w:hAnsi="Times New Roman"/>
              </w:rPr>
              <w:t xml:space="preserve"> 575/2013, que não estejam incluídas em nenhuma das linhas 0150 a 0270 </w:t>
            </w:r>
            <w:r w:rsidRPr="002A4062">
              <w:rPr>
                <w:rFonts w:ascii="Times New Roman" w:hAnsi="Times New Roman"/>
                <w:i/>
                <w:iCs/>
              </w:rPr>
              <w:t>supra.</w:t>
            </w:r>
          </w:p>
        </w:tc>
      </w:tr>
      <w:tr w:rsidR="00F26498" w:rsidRPr="002A4062" w14:paraId="76561A6F" w14:textId="77777777">
        <w:tc>
          <w:tcPr>
            <w:tcW w:w="1129" w:type="dxa"/>
          </w:tcPr>
          <w:p w14:paraId="01913239"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0295</w:t>
            </w:r>
          </w:p>
        </w:tc>
        <w:tc>
          <w:tcPr>
            <w:tcW w:w="7620" w:type="dxa"/>
            <w:tcBorders>
              <w:top w:val="nil"/>
              <w:left w:val="single" w:sz="4" w:space="0" w:color="auto"/>
              <w:bottom w:val="single" w:sz="4" w:space="0" w:color="auto"/>
              <w:right w:val="single" w:sz="4" w:space="0" w:color="auto"/>
            </w:tcBorders>
            <w:shd w:val="clear" w:color="auto" w:fill="auto"/>
            <w:vAlign w:val="bottom"/>
          </w:tcPr>
          <w:p w14:paraId="3A406749"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FPP1: Outros elementos de fundos próprios, deduções e ajustamentos</w:t>
            </w:r>
          </w:p>
          <w:p w14:paraId="53C7264C"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Esta linha deve incluir a soma dos seguintes elementos, se aplicável:</w:t>
            </w:r>
          </w:p>
          <w:p w14:paraId="1A15218E" w14:textId="77777777" w:rsidR="00F26498" w:rsidRPr="002A4062" w:rsidRDefault="002A4062">
            <w:pPr>
              <w:spacing w:after="120" w:line="240" w:lineRule="auto"/>
              <w:ind w:left="360" w:hanging="360"/>
              <w:jc w:val="both"/>
              <w:rPr>
                <w:rFonts w:ascii="Times New Roman" w:eastAsia="Times New Roman" w:hAnsi="Times New Roman" w:cs="Times New Roman"/>
                <w:bCs/>
              </w:rPr>
            </w:pPr>
            <w:r w:rsidRPr="002A4062">
              <w:rPr>
                <w:rFonts w:ascii="Times New Roman" w:eastAsia="Times New Roman" w:hAnsi="Times New Roman" w:cs="Times New Roman"/>
                <w:bCs/>
              </w:rPr>
              <w:t>—</w:t>
            </w:r>
            <w:r w:rsidRPr="002A4062">
              <w:rPr>
                <w:rFonts w:ascii="Times New Roman" w:eastAsia="Times New Roman" w:hAnsi="Times New Roman" w:cs="Times New Roman"/>
                <w:bCs/>
              </w:rPr>
              <w:tab/>
            </w:r>
            <w:r w:rsidRPr="002A4062">
              <w:rPr>
                <w:rFonts w:ascii="Times New Roman" w:hAnsi="Times New Roman"/>
                <w:bCs/>
              </w:rPr>
              <w:t xml:space="preserve">Ajustamentos </w:t>
            </w:r>
            <w:r w:rsidRPr="002A4062">
              <w:rPr>
                <w:rFonts w:ascii="Times New Roman" w:hAnsi="Times New Roman"/>
                <w:bCs/>
              </w:rPr>
              <w:t>transitórios devidos a instrumentos de FPP1 objeto de direitos adquiridos (artigo 483.</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os</w:t>
            </w:r>
            <w:r w:rsidRPr="002A4062">
              <w:rPr>
                <w:rFonts w:ascii="Times New Roman" w:hAnsi="Times New Roman"/>
                <w:bCs/>
              </w:rPr>
              <w:t> 1, 2 e 3, e artigos 484.</w:t>
            </w:r>
            <w:r w:rsidRPr="002A4062">
              <w:rPr>
                <w:rFonts w:ascii="Times New Roman" w:hAnsi="Times New Roman"/>
                <w:bCs/>
                <w:vertAlign w:val="superscript"/>
              </w:rPr>
              <w:t>o</w:t>
            </w:r>
            <w:r w:rsidRPr="002A4062">
              <w:rPr>
                <w:rFonts w:ascii="Times New Roman" w:hAnsi="Times New Roman"/>
                <w:bCs/>
              </w:rPr>
              <w:t xml:space="preserve"> a 487.° do Regulamento (UE) n.</w:t>
            </w:r>
            <w:r w:rsidRPr="002A4062">
              <w:rPr>
                <w:rFonts w:ascii="Times New Roman" w:hAnsi="Times New Roman"/>
                <w:bCs/>
                <w:vertAlign w:val="superscript"/>
              </w:rPr>
              <w:t>o</w:t>
            </w:r>
            <w:r w:rsidRPr="002A4062">
              <w:rPr>
                <w:rFonts w:ascii="Times New Roman" w:hAnsi="Times New Roman"/>
                <w:bCs/>
              </w:rPr>
              <w:t> 575/2013).</w:t>
            </w:r>
          </w:p>
          <w:p w14:paraId="37B5064D" w14:textId="77777777" w:rsidR="00F26498" w:rsidRPr="002A4062" w:rsidRDefault="002A4062">
            <w:pPr>
              <w:spacing w:after="120" w:line="240" w:lineRule="auto"/>
              <w:ind w:left="360" w:hanging="360"/>
              <w:jc w:val="both"/>
              <w:rPr>
                <w:rFonts w:ascii="Times New Roman" w:eastAsia="Times New Roman" w:hAnsi="Times New Roman" w:cs="Times New Roman"/>
                <w:bCs/>
              </w:rPr>
            </w:pPr>
            <w:r w:rsidRPr="002A4062">
              <w:rPr>
                <w:rFonts w:ascii="Times New Roman" w:eastAsia="Times New Roman" w:hAnsi="Times New Roman" w:cs="Times New Roman"/>
                <w:bCs/>
              </w:rPr>
              <w:t>—</w:t>
            </w:r>
            <w:r w:rsidRPr="002A4062">
              <w:rPr>
                <w:rFonts w:ascii="Times New Roman" w:eastAsia="Times New Roman" w:hAnsi="Times New Roman" w:cs="Times New Roman"/>
                <w:bCs/>
              </w:rPr>
              <w:tab/>
            </w:r>
            <w:r w:rsidRPr="002A4062">
              <w:rPr>
                <w:rFonts w:ascii="Times New Roman" w:hAnsi="Times New Roman"/>
                <w:bCs/>
              </w:rPr>
              <w:t>Outros ajustamentos transitórios dos FPP1 (artigos 469.</w:t>
            </w:r>
            <w:r w:rsidRPr="002A4062">
              <w:rPr>
                <w:rFonts w:ascii="Times New Roman" w:hAnsi="Times New Roman"/>
                <w:bCs/>
                <w:vertAlign w:val="superscript"/>
              </w:rPr>
              <w:t>o</w:t>
            </w:r>
            <w:r w:rsidRPr="002A4062">
              <w:rPr>
                <w:rFonts w:ascii="Times New Roman" w:hAnsi="Times New Roman"/>
                <w:bCs/>
              </w:rPr>
              <w:t xml:space="preserve"> a 478.° e 481.° do Regulamento (UE</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575/2013): ajustamentos das deduções aos FPP1 devido a disposições transitórias.</w:t>
            </w:r>
          </w:p>
          <w:p w14:paraId="36BF76EA" w14:textId="77777777" w:rsidR="00F26498" w:rsidRPr="002A4062" w:rsidRDefault="002A4062">
            <w:pPr>
              <w:spacing w:after="120" w:line="240" w:lineRule="auto"/>
              <w:ind w:left="360" w:hanging="360"/>
              <w:jc w:val="both"/>
              <w:rPr>
                <w:rFonts w:ascii="Times New Roman" w:eastAsia="Times New Roman" w:hAnsi="Times New Roman" w:cs="Times New Roman"/>
                <w:b/>
                <w:bCs/>
                <w:u w:val="single"/>
              </w:rPr>
            </w:pPr>
            <w:r w:rsidRPr="002A4062">
              <w:rPr>
                <w:rFonts w:ascii="Times New Roman" w:eastAsia="Times New Roman" w:hAnsi="Times New Roman" w:cs="Times New Roman"/>
                <w:bCs/>
              </w:rPr>
              <w:t>—</w:t>
            </w:r>
            <w:r w:rsidRPr="002A4062">
              <w:rPr>
                <w:rFonts w:ascii="Times New Roman" w:eastAsia="Times New Roman" w:hAnsi="Times New Roman" w:cs="Times New Roman"/>
                <w:bCs/>
              </w:rPr>
              <w:tab/>
            </w:r>
            <w:r w:rsidRPr="002A4062">
              <w:rPr>
                <w:rFonts w:ascii="Times New Roman" w:hAnsi="Times New Roman"/>
                <w:bCs/>
              </w:rPr>
              <w:t>Outros elementos de FPP1 ou deduções a um elemento de FPP1 que não possam ser afetados a uma das linhas 0040 a 0280.</w:t>
            </w:r>
          </w:p>
          <w:p w14:paraId="6A41B8A9"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Cs/>
              </w:rPr>
              <w:t>Esta linha não deve ser utilizada para incluir ele</w:t>
            </w:r>
            <w:r w:rsidRPr="002A4062">
              <w:rPr>
                <w:rFonts w:ascii="Times New Roman" w:hAnsi="Times New Roman"/>
                <w:bCs/>
              </w:rPr>
              <w:t>mentos ou deduções de fundos próprios não abrangidos pelo Regulamento (UE) 2019/2033 ou pelo Regulamento (UE) n.</w:t>
            </w:r>
            <w:r w:rsidRPr="002A4062">
              <w:rPr>
                <w:rFonts w:ascii="Times New Roman" w:hAnsi="Times New Roman"/>
                <w:bCs/>
                <w:vertAlign w:val="superscript"/>
              </w:rPr>
              <w:t>o</w:t>
            </w:r>
            <w:r w:rsidRPr="002A4062">
              <w:rPr>
                <w:rFonts w:ascii="Times New Roman" w:hAnsi="Times New Roman"/>
                <w:bCs/>
              </w:rPr>
              <w:t> 575/2013 no cálculo dos rácios de solvabilidade.</w:t>
            </w:r>
          </w:p>
        </w:tc>
      </w:tr>
      <w:tr w:rsidR="00F26498" w:rsidRPr="002A4062" w14:paraId="6DF72446" w14:textId="77777777">
        <w:tc>
          <w:tcPr>
            <w:tcW w:w="1129" w:type="dxa"/>
          </w:tcPr>
          <w:p w14:paraId="60411BDE"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3CD7041E"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FUNDOS PRÓPRIOS ADICIONAIS DE NÍVEL 1</w:t>
            </w:r>
          </w:p>
          <w:p w14:paraId="1FC5BF07"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9.</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1, do Regulamento (UE) 2019/2033.</w:t>
            </w:r>
          </w:p>
          <w:p w14:paraId="003E3801"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rPr>
              <w:t>Artigo 61.</w:t>
            </w:r>
            <w:r w:rsidRPr="002A4062">
              <w:rPr>
                <w:rFonts w:ascii="Times New Roman" w:hAnsi="Times New Roman"/>
                <w:vertAlign w:val="superscript"/>
              </w:rPr>
              <w:t>o</w:t>
            </w:r>
            <w:r w:rsidRPr="002A4062">
              <w:rPr>
                <w:rFonts w:ascii="Times New Roman" w:hAnsi="Times New Roman"/>
              </w:rPr>
              <w:t xml:space="preserve"> do Regulamento (UE) n.</w:t>
            </w:r>
            <w:r w:rsidRPr="002A4062">
              <w:rPr>
                <w:rFonts w:ascii="Times New Roman" w:hAnsi="Times New Roman"/>
                <w:vertAlign w:val="superscript"/>
              </w:rPr>
              <w:t>o</w:t>
            </w:r>
            <w:r w:rsidRPr="002A4062">
              <w:rPr>
                <w:rFonts w:ascii="Times New Roman" w:hAnsi="Times New Roman"/>
              </w:rPr>
              <w:t> 575/2013.</w:t>
            </w:r>
          </w:p>
        </w:tc>
      </w:tr>
      <w:tr w:rsidR="00F26498" w:rsidRPr="002A4062" w14:paraId="73C1F85E" w14:textId="77777777">
        <w:tc>
          <w:tcPr>
            <w:tcW w:w="1129" w:type="dxa"/>
          </w:tcPr>
          <w:p w14:paraId="3D378E30"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75699F0"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Instrumentos de fundos próprios integralmente realizados e emitidos diretamente</w:t>
            </w:r>
          </w:p>
          <w:p w14:paraId="705C3F23"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9.</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1, alínea i), do Regulamento (UE) 2019/2033.</w:t>
            </w:r>
          </w:p>
          <w:p w14:paraId="1DEF0F56" w14:textId="77777777" w:rsidR="00F26498" w:rsidRPr="002A4062" w:rsidRDefault="002A4062">
            <w:pPr>
              <w:pStyle w:val="InstructionsText"/>
              <w:rPr>
                <w:rStyle w:val="FormatvorlageInstructionsTabelleText"/>
                <w:rFonts w:ascii="Times New Roman" w:hAnsi="Times New Roman"/>
                <w:sz w:val="22"/>
                <w:szCs w:val="22"/>
              </w:rPr>
            </w:pPr>
            <w:r w:rsidRPr="002A4062">
              <w:rPr>
                <w:rStyle w:val="FormatvorlageInstructionsTabelleText"/>
                <w:rFonts w:ascii="Times New Roman" w:hAnsi="Times New Roman"/>
                <w:sz w:val="22"/>
                <w:szCs w:val="22"/>
              </w:rPr>
              <w:t>Artigo 51.</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alínea a), e artigos 52.</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xml:space="preserve">, 53.° e 54.° do </w:t>
            </w:r>
            <w:r w:rsidRPr="002A4062">
              <w:rPr>
                <w:rStyle w:val="FormatvorlageInstructionsTabelleText"/>
                <w:rFonts w:ascii="Times New Roman" w:hAnsi="Times New Roman"/>
                <w:sz w:val="22"/>
                <w:szCs w:val="22"/>
              </w:rPr>
              <w:t>Regulamento (UE) n.</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575/2013.</w:t>
            </w:r>
          </w:p>
          <w:p w14:paraId="772C2630"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Style w:val="FormatvorlageInstructionsTabelleText"/>
                <w:rFonts w:ascii="Times New Roman" w:hAnsi="Times New Roman"/>
                <w:sz w:val="22"/>
              </w:rPr>
              <w:t>O montante a comunicar não pode incluir os prémios de emissão de ações relacionados com os instrumentos.</w:t>
            </w:r>
          </w:p>
        </w:tc>
      </w:tr>
      <w:tr w:rsidR="00F26498" w:rsidRPr="002A4062" w14:paraId="20FDD6E8" w14:textId="77777777">
        <w:tc>
          <w:tcPr>
            <w:tcW w:w="1129" w:type="dxa"/>
          </w:tcPr>
          <w:p w14:paraId="736234F1"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995F910"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Prémios de emissão</w:t>
            </w:r>
          </w:p>
          <w:p w14:paraId="2980A9DD"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9.</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1, alínea i), do Regulamento (UE) 2019/2033.</w:t>
            </w:r>
          </w:p>
          <w:p w14:paraId="48014EF6" w14:textId="77777777" w:rsidR="00F26498" w:rsidRPr="002A4062" w:rsidRDefault="002A4062">
            <w:pPr>
              <w:pStyle w:val="InstructionsText"/>
              <w:rPr>
                <w:rStyle w:val="FormatvorlageInstructionsTabelleText"/>
                <w:rFonts w:ascii="Times New Roman" w:hAnsi="Times New Roman"/>
                <w:sz w:val="22"/>
                <w:szCs w:val="22"/>
              </w:rPr>
            </w:pPr>
            <w:r w:rsidRPr="002A4062">
              <w:rPr>
                <w:rStyle w:val="FormatvorlageInstructionsTabelleText"/>
                <w:rFonts w:ascii="Times New Roman" w:hAnsi="Times New Roman"/>
                <w:sz w:val="22"/>
                <w:szCs w:val="22"/>
              </w:rPr>
              <w:t>Artigo 51.</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xml:space="preserve">, alínea b), do </w:t>
            </w:r>
            <w:r w:rsidRPr="002A4062">
              <w:rPr>
                <w:rStyle w:val="FormatvorlageInstructionsTabelleText"/>
                <w:rFonts w:ascii="Times New Roman" w:hAnsi="Times New Roman"/>
                <w:sz w:val="22"/>
                <w:szCs w:val="22"/>
              </w:rPr>
              <w:t>Regulamento (UE) n.</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575/2013.</w:t>
            </w:r>
          </w:p>
          <w:p w14:paraId="753F1EBD" w14:textId="77777777" w:rsidR="00F26498" w:rsidRPr="002A4062" w:rsidRDefault="002A4062">
            <w:pPr>
              <w:pStyle w:val="InstructionsText"/>
              <w:rPr>
                <w:rStyle w:val="FormatvorlageInstructionsTabelleText"/>
                <w:rFonts w:ascii="Times New Roman" w:hAnsi="Times New Roman"/>
                <w:sz w:val="22"/>
                <w:szCs w:val="22"/>
              </w:rPr>
            </w:pPr>
            <w:r w:rsidRPr="002A4062">
              <w:rPr>
                <w:rStyle w:val="FormatvorlageInstructionsTabelleText"/>
                <w:rFonts w:ascii="Times New Roman" w:hAnsi="Times New Roman"/>
                <w:sz w:val="22"/>
                <w:szCs w:val="22"/>
              </w:rPr>
              <w:t>«Prémios de emissão de ações» tem a mesma aceção que na norma de contabilidade aplicável.</w:t>
            </w:r>
          </w:p>
          <w:p w14:paraId="118B1DAB"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Style w:val="FormatvorlageInstructionsTabelleText"/>
                <w:rFonts w:ascii="Times New Roman" w:hAnsi="Times New Roman"/>
                <w:sz w:val="22"/>
              </w:rPr>
              <w:t>O montante a comunicar neste elemento deve ser a parte relacionada com os «instrumentos de fundos próprios realizados».</w:t>
            </w:r>
          </w:p>
        </w:tc>
      </w:tr>
      <w:tr w:rsidR="00F26498" w:rsidRPr="002A4062" w14:paraId="2103ADC3" w14:textId="77777777">
        <w:tc>
          <w:tcPr>
            <w:tcW w:w="1129" w:type="dxa"/>
          </w:tcPr>
          <w:p w14:paraId="452A3515"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0335</w:t>
            </w:r>
          </w:p>
        </w:tc>
        <w:tc>
          <w:tcPr>
            <w:tcW w:w="7620" w:type="dxa"/>
            <w:tcBorders>
              <w:top w:val="nil"/>
              <w:left w:val="single" w:sz="4" w:space="0" w:color="auto"/>
              <w:bottom w:val="single" w:sz="4" w:space="0" w:color="auto"/>
              <w:right w:val="single" w:sz="4" w:space="0" w:color="auto"/>
            </w:tcBorders>
            <w:shd w:val="clear" w:color="auto" w:fill="auto"/>
            <w:vAlign w:val="bottom"/>
          </w:tcPr>
          <w:p w14:paraId="7F43464F"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 TOTAL</w:t>
            </w:r>
            <w:r w:rsidRPr="002A4062">
              <w:rPr>
                <w:rFonts w:ascii="Times New Roman" w:hAnsi="Times New Roman"/>
                <w:b/>
                <w:bCs/>
                <w:u w:val="single"/>
              </w:rPr>
              <w:t xml:space="preserve"> DAS DEDUÇÕES AOS FUNDOS PRÓPRIOS ADICIONAIS DE NÍVEL 1</w:t>
            </w:r>
          </w:p>
          <w:p w14:paraId="52ED432D" w14:textId="77777777" w:rsidR="00F26498" w:rsidRPr="002A4062" w:rsidRDefault="002A4062">
            <w:pPr>
              <w:spacing w:before="60" w:after="60"/>
              <w:rPr>
                <w:rFonts w:ascii="Times New Roman" w:hAnsi="Times New Roman" w:cs="Times New Roman"/>
              </w:rPr>
            </w:pPr>
            <w:r w:rsidRPr="002A4062">
              <w:rPr>
                <w:rFonts w:ascii="Times New Roman" w:hAnsi="Times New Roman"/>
              </w:rPr>
              <w:t>Artigo 56.</w:t>
            </w:r>
            <w:r w:rsidRPr="002A4062">
              <w:rPr>
                <w:rFonts w:ascii="Times New Roman" w:hAnsi="Times New Roman"/>
                <w:vertAlign w:val="superscript"/>
              </w:rPr>
              <w:t>o</w:t>
            </w:r>
            <w:r w:rsidRPr="002A4062">
              <w:rPr>
                <w:rFonts w:ascii="Times New Roman" w:hAnsi="Times New Roman"/>
              </w:rPr>
              <w:t xml:space="preserve"> do Regulamento (UE) n.</w:t>
            </w:r>
            <w:r w:rsidRPr="002A4062">
              <w:rPr>
                <w:rFonts w:ascii="Times New Roman" w:hAnsi="Times New Roman"/>
                <w:vertAlign w:val="superscript"/>
              </w:rPr>
              <w:t>o</w:t>
            </w:r>
            <w:r w:rsidRPr="002A4062">
              <w:rPr>
                <w:rFonts w:ascii="Times New Roman" w:hAnsi="Times New Roman"/>
              </w:rPr>
              <w:t> 575/2013, com exceção da alínea d) do mesmo artigo.</w:t>
            </w:r>
          </w:p>
          <w:p w14:paraId="73370690"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Deve ser comunicada a soma total das linhas 0340, 0380 e 0400.</w:t>
            </w:r>
          </w:p>
        </w:tc>
      </w:tr>
      <w:tr w:rsidR="00F26498" w:rsidRPr="002A4062" w14:paraId="5C7942D8" w14:textId="77777777">
        <w:tc>
          <w:tcPr>
            <w:tcW w:w="1129" w:type="dxa"/>
          </w:tcPr>
          <w:p w14:paraId="252DD79A"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AB4E68A"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 Instrumentos próprios de FPA1</w:t>
            </w:r>
          </w:p>
          <w:p w14:paraId="38FD33CB"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lastRenderedPageBreak/>
              <w:t>Artigo 9.</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1, alínea i), do Regulamento (UE) 2019/2033.</w:t>
            </w:r>
          </w:p>
          <w:p w14:paraId="64B8CFA8" w14:textId="77777777" w:rsidR="00F26498" w:rsidRPr="002A4062" w:rsidRDefault="002A4062">
            <w:pPr>
              <w:spacing w:after="120" w:line="240" w:lineRule="auto"/>
              <w:jc w:val="both"/>
              <w:rPr>
                <w:rStyle w:val="FormatvorlageInstructionsTabelleText"/>
                <w:rFonts w:ascii="Times New Roman" w:hAnsi="Times New Roman"/>
                <w:sz w:val="22"/>
              </w:rPr>
            </w:pPr>
            <w:r w:rsidRPr="002A4062">
              <w:rPr>
                <w:rStyle w:val="FormatvorlageInstructionsTabelleText"/>
                <w:rFonts w:ascii="Times New Roman" w:hAnsi="Times New Roman"/>
                <w:sz w:val="22"/>
              </w:rPr>
              <w:t>Artigo 52.</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n.</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1, alínea b), artigo 56.</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alínea a), e artigo 57.</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xml:space="preserve"> do Regulamento (UE) n.</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575/2013.</w:t>
            </w:r>
          </w:p>
          <w:p w14:paraId="210342DD" w14:textId="77777777" w:rsidR="00F26498" w:rsidRPr="002A4062" w:rsidRDefault="002A4062">
            <w:pPr>
              <w:pStyle w:val="InstructionsText"/>
              <w:rPr>
                <w:rStyle w:val="FormatvorlageInstructionsTabelleText"/>
                <w:rFonts w:ascii="Times New Roman" w:hAnsi="Times New Roman"/>
                <w:sz w:val="22"/>
                <w:szCs w:val="22"/>
              </w:rPr>
            </w:pPr>
            <w:r w:rsidRPr="002A4062">
              <w:rPr>
                <w:rStyle w:val="FormatvorlageInstructionsTabelleText"/>
                <w:rFonts w:ascii="Times New Roman" w:hAnsi="Times New Roman"/>
                <w:sz w:val="22"/>
                <w:szCs w:val="22"/>
              </w:rPr>
              <w:t>Instrumentos próprios de FPA1 detidos pela empresa de investimento à data de referência. Sob</w:t>
            </w:r>
            <w:r w:rsidRPr="002A4062">
              <w:rPr>
                <w:rStyle w:val="FormatvorlageInstructionsTabelleText"/>
                <w:rFonts w:ascii="Times New Roman" w:hAnsi="Times New Roman"/>
                <w:sz w:val="22"/>
                <w:szCs w:val="22"/>
              </w:rPr>
              <w:t xml:space="preserve"> reserva das exceções previstas no artigo 57.</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xml:space="preserve"> do Regulamento (UE) n.</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575/2013.</w:t>
            </w:r>
          </w:p>
          <w:p w14:paraId="1528E22B" w14:textId="77777777" w:rsidR="00F26498" w:rsidRPr="002A4062" w:rsidRDefault="002A4062">
            <w:pPr>
              <w:pStyle w:val="InstructionsText"/>
              <w:rPr>
                <w:sz w:val="22"/>
                <w:szCs w:val="22"/>
              </w:rPr>
            </w:pPr>
            <w:r w:rsidRPr="002A4062">
              <w:rPr>
                <w:rStyle w:val="FormatvorlageInstructionsTabelleText"/>
                <w:rFonts w:ascii="Times New Roman" w:hAnsi="Times New Roman"/>
                <w:sz w:val="22"/>
                <w:szCs w:val="22"/>
              </w:rPr>
              <w:t>O montante a comunicar deve incluir os prémios de emissão de ações relacionados com as ações próprias.</w:t>
            </w:r>
          </w:p>
        </w:tc>
      </w:tr>
      <w:tr w:rsidR="00F26498" w:rsidRPr="002A4062" w14:paraId="74F90968" w14:textId="77777777">
        <w:tc>
          <w:tcPr>
            <w:tcW w:w="1129" w:type="dxa"/>
          </w:tcPr>
          <w:p w14:paraId="33062D4A"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lastRenderedPageBreak/>
              <w:t>0380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F043B0A"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 Instrumentos de FPA1 de entidades do setor financeiro nas quai</w:t>
            </w:r>
            <w:r w:rsidRPr="002A4062">
              <w:rPr>
                <w:rFonts w:ascii="Times New Roman" w:hAnsi="Times New Roman"/>
                <w:b/>
                <w:bCs/>
                <w:u w:val="single"/>
              </w:rPr>
              <w:t>s a empresa-mãe não tem um investimento significativo</w:t>
            </w:r>
          </w:p>
          <w:p w14:paraId="3059A93A"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9.</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2, alínea c), do Regulamento (UE) 2019/2033.</w:t>
            </w:r>
          </w:p>
          <w:p w14:paraId="7ABDF18E"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56.</w:t>
            </w:r>
            <w:r w:rsidRPr="002A4062">
              <w:rPr>
                <w:rFonts w:ascii="Times New Roman" w:hAnsi="Times New Roman"/>
                <w:bCs/>
                <w:vertAlign w:val="superscript"/>
              </w:rPr>
              <w:t>o</w:t>
            </w:r>
            <w:r w:rsidRPr="002A4062">
              <w:rPr>
                <w:rFonts w:ascii="Times New Roman" w:hAnsi="Times New Roman"/>
                <w:bCs/>
              </w:rPr>
              <w:t>, alínea c), do Regulamento (UE) n.</w:t>
            </w:r>
            <w:r w:rsidRPr="002A4062">
              <w:rPr>
                <w:rFonts w:ascii="Times New Roman" w:hAnsi="Times New Roman"/>
                <w:bCs/>
                <w:vertAlign w:val="superscript"/>
              </w:rPr>
              <w:t>o</w:t>
            </w:r>
            <w:r w:rsidRPr="002A4062">
              <w:rPr>
                <w:rFonts w:ascii="Times New Roman" w:hAnsi="Times New Roman"/>
                <w:bCs/>
              </w:rPr>
              <w:t> 575/2013.</w:t>
            </w:r>
          </w:p>
          <w:p w14:paraId="63E8CC78"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Cs/>
              </w:rPr>
              <w:t>Nesta linha, entende-se por empresa-mãe na União as empresas de investimento-mãe na</w:t>
            </w:r>
            <w:r w:rsidRPr="002A4062">
              <w:rPr>
                <w:rFonts w:ascii="Times New Roman" w:hAnsi="Times New Roman"/>
                <w:bCs/>
              </w:rPr>
              <w:t xml:space="preserve"> União, as sociedades gestoras de participações sociais-mãe na União, as companhias financeiras mistas-mãe na União ou qualquer outra empresa-mãe que seja uma empresa de investimento, uma instituição financeira, uma empresa de serviços auxiliares ou um age</w:t>
            </w:r>
            <w:r w:rsidRPr="002A4062">
              <w:rPr>
                <w:rFonts w:ascii="Times New Roman" w:hAnsi="Times New Roman"/>
                <w:bCs/>
              </w:rPr>
              <w:t>nte vinculado.</w:t>
            </w:r>
          </w:p>
        </w:tc>
      </w:tr>
      <w:tr w:rsidR="00F26498" w:rsidRPr="002A4062" w14:paraId="3BAF1D2E" w14:textId="77777777">
        <w:tc>
          <w:tcPr>
            <w:tcW w:w="1129" w:type="dxa"/>
          </w:tcPr>
          <w:p w14:paraId="10EAD79D"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C5E6D31"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 Outras deduções</w:t>
            </w:r>
          </w:p>
          <w:p w14:paraId="6D8FAB64"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Cs/>
              </w:rPr>
              <w:t>A soma de todas as outras deduções em conformidade com o artigo 56.</w:t>
            </w:r>
            <w:r w:rsidRPr="002A4062">
              <w:rPr>
                <w:rFonts w:ascii="Times New Roman" w:hAnsi="Times New Roman"/>
                <w:bCs/>
                <w:vertAlign w:val="superscript"/>
              </w:rPr>
              <w:t>o</w:t>
            </w:r>
            <w:r w:rsidRPr="002A4062">
              <w:rPr>
                <w:rFonts w:ascii="Times New Roman" w:hAnsi="Times New Roman"/>
                <w:bCs/>
              </w:rPr>
              <w:t xml:space="preserve"> do Regulamento (UE) n.</w:t>
            </w:r>
            <w:r w:rsidRPr="002A4062">
              <w:rPr>
                <w:rFonts w:ascii="Times New Roman" w:hAnsi="Times New Roman"/>
                <w:bCs/>
                <w:vertAlign w:val="superscript"/>
              </w:rPr>
              <w:t>o</w:t>
            </w:r>
            <w:r w:rsidRPr="002A4062">
              <w:rPr>
                <w:rFonts w:ascii="Times New Roman" w:hAnsi="Times New Roman"/>
                <w:bCs/>
              </w:rPr>
              <w:t> 575/2013, com exceção das deduções em consonância com o artigo 56.</w:t>
            </w:r>
            <w:r w:rsidRPr="002A4062">
              <w:rPr>
                <w:rFonts w:ascii="Times New Roman" w:hAnsi="Times New Roman"/>
                <w:bCs/>
                <w:vertAlign w:val="superscript"/>
              </w:rPr>
              <w:t>o</w:t>
            </w:r>
            <w:r w:rsidRPr="002A4062">
              <w:rPr>
                <w:rFonts w:ascii="Times New Roman" w:hAnsi="Times New Roman"/>
                <w:bCs/>
              </w:rPr>
              <w:t>, alínea d), do Regulamento (UE) n.</w:t>
            </w:r>
            <w:r w:rsidRPr="002A4062">
              <w:rPr>
                <w:rFonts w:ascii="Times New Roman" w:hAnsi="Times New Roman"/>
                <w:bCs/>
                <w:vertAlign w:val="superscript"/>
              </w:rPr>
              <w:t>o</w:t>
            </w:r>
            <w:r w:rsidRPr="002A4062">
              <w:rPr>
                <w:rFonts w:ascii="Times New Roman" w:hAnsi="Times New Roman"/>
                <w:bCs/>
              </w:rPr>
              <w:t xml:space="preserve"> 575/2013, que não estejam incluídas em nenhuma das linhas 0340 a 0380 </w:t>
            </w:r>
            <w:r w:rsidRPr="002A4062">
              <w:rPr>
                <w:rFonts w:ascii="Times New Roman" w:hAnsi="Times New Roman"/>
                <w:bCs/>
                <w:i/>
                <w:iCs/>
              </w:rPr>
              <w:t>supra.</w:t>
            </w:r>
          </w:p>
        </w:tc>
      </w:tr>
      <w:tr w:rsidR="00F26498" w:rsidRPr="002A4062" w14:paraId="150FFE58" w14:textId="77777777">
        <w:tc>
          <w:tcPr>
            <w:tcW w:w="1129" w:type="dxa"/>
          </w:tcPr>
          <w:p w14:paraId="47FF3F4F"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0415</w:t>
            </w:r>
          </w:p>
        </w:tc>
        <w:tc>
          <w:tcPr>
            <w:tcW w:w="7620" w:type="dxa"/>
            <w:tcBorders>
              <w:top w:val="nil"/>
              <w:left w:val="single" w:sz="4" w:space="0" w:color="auto"/>
              <w:bottom w:val="single" w:sz="4" w:space="0" w:color="auto"/>
              <w:right w:val="single" w:sz="4" w:space="0" w:color="auto"/>
            </w:tcBorders>
            <w:shd w:val="clear" w:color="auto" w:fill="auto"/>
            <w:vAlign w:val="bottom"/>
          </w:tcPr>
          <w:p w14:paraId="262C8C1F"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Fundos próprios adicionais de nível 1: Outros elementos de fundos próprios, deduções e ajustamentos</w:t>
            </w:r>
          </w:p>
          <w:p w14:paraId="1608539C"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Esta linha deve incluir a soma dos seguintes elementos, se aplicável:</w:t>
            </w:r>
          </w:p>
          <w:p w14:paraId="587C530C" w14:textId="77777777" w:rsidR="00F26498" w:rsidRPr="002A4062" w:rsidRDefault="002A4062">
            <w:pPr>
              <w:spacing w:after="120" w:line="240" w:lineRule="auto"/>
              <w:ind w:left="360" w:hanging="360"/>
              <w:jc w:val="both"/>
              <w:rPr>
                <w:rFonts w:ascii="Times New Roman" w:eastAsia="Times New Roman" w:hAnsi="Times New Roman" w:cs="Times New Roman"/>
                <w:bCs/>
              </w:rPr>
            </w:pPr>
            <w:r w:rsidRPr="002A4062">
              <w:rPr>
                <w:rFonts w:ascii="Times New Roman" w:eastAsia="Times New Roman" w:hAnsi="Times New Roman" w:cs="Times New Roman"/>
                <w:bCs/>
              </w:rPr>
              <w:t>—</w:t>
            </w:r>
            <w:r w:rsidRPr="002A4062">
              <w:rPr>
                <w:rFonts w:ascii="Times New Roman" w:eastAsia="Times New Roman" w:hAnsi="Times New Roman" w:cs="Times New Roman"/>
                <w:bCs/>
              </w:rPr>
              <w:tab/>
            </w:r>
            <w:r w:rsidRPr="002A4062">
              <w:rPr>
                <w:rFonts w:ascii="Times New Roman" w:hAnsi="Times New Roman"/>
                <w:bCs/>
              </w:rPr>
              <w:t>Ajustamentos transitórios devidos a instrumentos de FPA1 objeto de direitos adquiridos (artigo 483.</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os</w:t>
            </w:r>
            <w:r w:rsidRPr="002A4062">
              <w:rPr>
                <w:rFonts w:ascii="Times New Roman" w:hAnsi="Times New Roman"/>
                <w:bCs/>
              </w:rPr>
              <w:t> 4 e 5, artigos 484.</w:t>
            </w:r>
            <w:r w:rsidRPr="002A4062">
              <w:rPr>
                <w:rFonts w:ascii="Times New Roman" w:hAnsi="Times New Roman"/>
                <w:bCs/>
                <w:vertAlign w:val="superscript"/>
              </w:rPr>
              <w:t>o</w:t>
            </w:r>
            <w:r w:rsidRPr="002A4062">
              <w:rPr>
                <w:rFonts w:ascii="Times New Roman" w:hAnsi="Times New Roman"/>
                <w:bCs/>
              </w:rPr>
              <w:t xml:space="preserve"> a 487.° e artigos 489.</w:t>
            </w:r>
            <w:r w:rsidRPr="002A4062">
              <w:rPr>
                <w:rFonts w:ascii="Times New Roman" w:hAnsi="Times New Roman"/>
                <w:bCs/>
                <w:vertAlign w:val="superscript"/>
              </w:rPr>
              <w:t>o</w:t>
            </w:r>
            <w:r w:rsidRPr="002A4062">
              <w:rPr>
                <w:rFonts w:ascii="Times New Roman" w:hAnsi="Times New Roman"/>
                <w:bCs/>
              </w:rPr>
              <w:t xml:space="preserve"> e 491.° do Regulamento (UE) n.</w:t>
            </w:r>
            <w:r w:rsidRPr="002A4062">
              <w:rPr>
                <w:rFonts w:ascii="Times New Roman" w:hAnsi="Times New Roman"/>
                <w:bCs/>
                <w:vertAlign w:val="superscript"/>
              </w:rPr>
              <w:t>o</w:t>
            </w:r>
            <w:r w:rsidRPr="002A4062">
              <w:rPr>
                <w:rFonts w:ascii="Times New Roman" w:hAnsi="Times New Roman"/>
                <w:bCs/>
              </w:rPr>
              <w:t> 575/2013).</w:t>
            </w:r>
          </w:p>
          <w:p w14:paraId="348AE939" w14:textId="77777777" w:rsidR="00F26498" w:rsidRPr="002A4062" w:rsidRDefault="002A4062">
            <w:pPr>
              <w:spacing w:after="120" w:line="240" w:lineRule="auto"/>
              <w:ind w:left="360" w:hanging="360"/>
              <w:jc w:val="both"/>
              <w:rPr>
                <w:rFonts w:ascii="Times New Roman" w:eastAsia="Times New Roman" w:hAnsi="Times New Roman" w:cs="Times New Roman"/>
                <w:bCs/>
              </w:rPr>
            </w:pPr>
            <w:r w:rsidRPr="002A4062">
              <w:rPr>
                <w:rFonts w:ascii="Times New Roman" w:eastAsia="Times New Roman" w:hAnsi="Times New Roman" w:cs="Times New Roman"/>
                <w:bCs/>
              </w:rPr>
              <w:t>—</w:t>
            </w:r>
            <w:r w:rsidRPr="002A4062">
              <w:rPr>
                <w:rFonts w:ascii="Times New Roman" w:eastAsia="Times New Roman" w:hAnsi="Times New Roman" w:cs="Times New Roman"/>
                <w:bCs/>
              </w:rPr>
              <w:tab/>
            </w:r>
            <w:r w:rsidRPr="002A4062">
              <w:rPr>
                <w:rFonts w:ascii="Times New Roman" w:hAnsi="Times New Roman"/>
                <w:bCs/>
              </w:rPr>
              <w:t>Outros ajustamentos transitórios dos FPA1 (artigos 472.</w:t>
            </w:r>
            <w:r w:rsidRPr="002A4062">
              <w:rPr>
                <w:rFonts w:ascii="Times New Roman" w:hAnsi="Times New Roman"/>
                <w:bCs/>
                <w:vertAlign w:val="superscript"/>
              </w:rPr>
              <w:t>o</w:t>
            </w:r>
            <w:r w:rsidRPr="002A4062">
              <w:rPr>
                <w:rFonts w:ascii="Times New Roman" w:hAnsi="Times New Roman"/>
                <w:bCs/>
              </w:rPr>
              <w:t>, 4</w:t>
            </w:r>
            <w:r w:rsidRPr="002A4062">
              <w:rPr>
                <w:rFonts w:ascii="Times New Roman" w:hAnsi="Times New Roman"/>
                <w:bCs/>
              </w:rPr>
              <w:t>73.°-A, 474.°, 475.°, 478.° e 481.° do Regulamento (UE) n.</w:t>
            </w:r>
            <w:r w:rsidRPr="002A4062">
              <w:rPr>
                <w:rFonts w:ascii="Times New Roman" w:hAnsi="Times New Roman"/>
                <w:bCs/>
                <w:vertAlign w:val="superscript"/>
              </w:rPr>
              <w:t>o</w:t>
            </w:r>
            <w:r w:rsidRPr="002A4062">
              <w:rPr>
                <w:rFonts w:ascii="Times New Roman" w:hAnsi="Times New Roman"/>
                <w:bCs/>
              </w:rPr>
              <w:t> 575/2013): ajustamentos das deduções devidos a disposições transitórias.</w:t>
            </w:r>
          </w:p>
          <w:p w14:paraId="5021FED5" w14:textId="77777777" w:rsidR="00F26498" w:rsidRPr="002A4062" w:rsidRDefault="002A4062">
            <w:pPr>
              <w:spacing w:after="120" w:line="240" w:lineRule="auto"/>
              <w:ind w:left="360" w:hanging="360"/>
              <w:jc w:val="both"/>
              <w:rPr>
                <w:rFonts w:ascii="Times New Roman" w:eastAsia="Times New Roman" w:hAnsi="Times New Roman" w:cs="Times New Roman"/>
                <w:bCs/>
              </w:rPr>
            </w:pPr>
            <w:r w:rsidRPr="002A4062">
              <w:rPr>
                <w:rFonts w:ascii="Times New Roman" w:eastAsia="Times New Roman" w:hAnsi="Times New Roman" w:cs="Times New Roman"/>
                <w:bCs/>
              </w:rPr>
              <w:t>—</w:t>
            </w:r>
            <w:r w:rsidRPr="002A4062">
              <w:rPr>
                <w:rFonts w:ascii="Times New Roman" w:eastAsia="Times New Roman" w:hAnsi="Times New Roman" w:cs="Times New Roman"/>
                <w:bCs/>
              </w:rPr>
              <w:tab/>
            </w:r>
            <w:r w:rsidRPr="002A4062">
              <w:rPr>
                <w:rFonts w:ascii="Times New Roman" w:hAnsi="Times New Roman"/>
                <w:bCs/>
              </w:rPr>
              <w:t>Excesso de dedução de elementos dos FPA1 relativamente aos FPA1, deduzido aos FPP1 nos termos do artigo 36.</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1, alín</w:t>
            </w:r>
            <w:r w:rsidRPr="002A4062">
              <w:rPr>
                <w:rFonts w:ascii="Times New Roman" w:hAnsi="Times New Roman"/>
                <w:bCs/>
              </w:rPr>
              <w:t>ea j), do Regulamento (UE) n.</w:t>
            </w:r>
            <w:r w:rsidRPr="002A4062">
              <w:rPr>
                <w:rFonts w:ascii="Times New Roman" w:hAnsi="Times New Roman"/>
                <w:bCs/>
                <w:vertAlign w:val="superscript"/>
              </w:rPr>
              <w:t>o</w:t>
            </w:r>
            <w:r w:rsidRPr="002A4062">
              <w:rPr>
                <w:rFonts w:ascii="Times New Roman" w:hAnsi="Times New Roman"/>
                <w:bCs/>
              </w:rPr>
              <w:t> 575/2013: Os fundos próprios adicionais de nível 1 não podem ser negativos, mas é possível que as deduções aos elementos dos FPA1 excedam o montante dos elementos dos FPA1 disponíveis. Quando tal acontece, este elemento repre</w:t>
            </w:r>
            <w:r w:rsidRPr="002A4062">
              <w:rPr>
                <w:rFonts w:ascii="Times New Roman" w:hAnsi="Times New Roman"/>
                <w:bCs/>
              </w:rPr>
              <w:t>senta o montante necessário para aumentar o montante comunicado na linha 0300 para zero e é igual ao inverso do excesso de deduções aos elementos dos FPA1 em relação aos FPA1 incluídos, entre outras deduções, na linha 0280.</w:t>
            </w:r>
          </w:p>
          <w:p w14:paraId="433A0406" w14:textId="77777777" w:rsidR="00F26498" w:rsidRPr="002A4062" w:rsidRDefault="002A4062">
            <w:pPr>
              <w:spacing w:after="120" w:line="240" w:lineRule="auto"/>
              <w:ind w:left="360" w:hanging="360"/>
              <w:jc w:val="both"/>
              <w:rPr>
                <w:rFonts w:ascii="Times New Roman" w:eastAsia="Times New Roman" w:hAnsi="Times New Roman" w:cs="Times New Roman"/>
                <w:bCs/>
              </w:rPr>
            </w:pPr>
            <w:r w:rsidRPr="002A4062">
              <w:rPr>
                <w:rFonts w:ascii="Times New Roman" w:eastAsia="Times New Roman" w:hAnsi="Times New Roman" w:cs="Times New Roman"/>
                <w:bCs/>
              </w:rPr>
              <w:t>—</w:t>
            </w:r>
            <w:r w:rsidRPr="002A4062">
              <w:rPr>
                <w:rFonts w:ascii="Times New Roman" w:eastAsia="Times New Roman" w:hAnsi="Times New Roman" w:cs="Times New Roman"/>
                <w:bCs/>
              </w:rPr>
              <w:tab/>
            </w:r>
            <w:r w:rsidRPr="002A4062">
              <w:rPr>
                <w:rFonts w:ascii="Times New Roman" w:hAnsi="Times New Roman"/>
                <w:bCs/>
              </w:rPr>
              <w:t>Outros elementos de FPA1 ou de</w:t>
            </w:r>
            <w:r w:rsidRPr="002A4062">
              <w:rPr>
                <w:rFonts w:ascii="Times New Roman" w:hAnsi="Times New Roman"/>
                <w:bCs/>
              </w:rPr>
              <w:t>duções a um elemento de FPA1 que não possam ser afetados a uma das linhas 0310 a 0400.</w:t>
            </w:r>
          </w:p>
          <w:p w14:paraId="23B9416F"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Cs/>
              </w:rPr>
              <w:t>Esta linha não deve ser utilizada para incluir elementos ou deduções de fundos próprios não abrangidos pelo Regulamento (UE) 2019/2033 ou pelo Regulamento (UE) n.</w:t>
            </w:r>
            <w:r w:rsidRPr="002A4062">
              <w:rPr>
                <w:rFonts w:ascii="Times New Roman" w:hAnsi="Times New Roman"/>
                <w:bCs/>
                <w:vertAlign w:val="superscript"/>
              </w:rPr>
              <w:t>o</w:t>
            </w:r>
            <w:r w:rsidRPr="002A4062">
              <w:rPr>
                <w:rFonts w:ascii="Times New Roman" w:hAnsi="Times New Roman"/>
                <w:bCs/>
              </w:rPr>
              <w:t> 575/2</w:t>
            </w:r>
            <w:r w:rsidRPr="002A4062">
              <w:rPr>
                <w:rFonts w:ascii="Times New Roman" w:hAnsi="Times New Roman"/>
                <w:bCs/>
              </w:rPr>
              <w:t>013 no cálculo dos rácios de solvabilidade.</w:t>
            </w:r>
          </w:p>
        </w:tc>
      </w:tr>
      <w:tr w:rsidR="00F26498" w:rsidRPr="002A4062" w14:paraId="3AA7C5EC" w14:textId="77777777">
        <w:tc>
          <w:tcPr>
            <w:tcW w:w="1129" w:type="dxa"/>
          </w:tcPr>
          <w:p w14:paraId="219D203B"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23EA3BFF"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FUNDOS PRÓPRIOS DE NÍVEL 2</w:t>
            </w:r>
          </w:p>
          <w:p w14:paraId="6C0C60D4"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9.</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1, do Regulamento (UE) 2019/2033.</w:t>
            </w:r>
          </w:p>
          <w:p w14:paraId="31EB91E3" w14:textId="77777777" w:rsidR="00F26498" w:rsidRPr="002A4062" w:rsidRDefault="002A4062">
            <w:pPr>
              <w:spacing w:after="120" w:line="240" w:lineRule="auto"/>
              <w:jc w:val="both"/>
              <w:rPr>
                <w:rStyle w:val="FormatvorlageInstructionsTabelleText"/>
                <w:rFonts w:ascii="Times New Roman" w:hAnsi="Times New Roman"/>
                <w:sz w:val="22"/>
              </w:rPr>
            </w:pPr>
            <w:r w:rsidRPr="002A4062">
              <w:rPr>
                <w:rStyle w:val="FormatvorlageInstructionsTabelleText"/>
                <w:rFonts w:ascii="Times New Roman" w:hAnsi="Times New Roman"/>
                <w:sz w:val="22"/>
              </w:rPr>
              <w:lastRenderedPageBreak/>
              <w:t>Artigo 71.</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xml:space="preserve"> do Regulamento (UE) n.</w:t>
            </w:r>
            <w:r w:rsidRPr="002A4062">
              <w:rPr>
                <w:rStyle w:val="FormatvorlageInstructionsTabelleText"/>
                <w:rFonts w:ascii="Times New Roman" w:hAnsi="Times New Roman"/>
                <w:sz w:val="22"/>
                <w:vertAlign w:val="superscript"/>
              </w:rPr>
              <w:t>o</w:t>
            </w:r>
            <w:r w:rsidRPr="002A4062">
              <w:rPr>
                <w:rStyle w:val="FormatvorlageInstructionsTabelleText"/>
                <w:rFonts w:ascii="Times New Roman" w:hAnsi="Times New Roman"/>
                <w:sz w:val="22"/>
              </w:rPr>
              <w:t> 575/2013.</w:t>
            </w:r>
          </w:p>
          <w:p w14:paraId="35488875" w14:textId="77777777" w:rsidR="00F26498" w:rsidRPr="002A4062" w:rsidRDefault="002A4062">
            <w:pPr>
              <w:pStyle w:val="CommentText"/>
              <w:rPr>
                <w:sz w:val="22"/>
                <w:szCs w:val="22"/>
              </w:rPr>
            </w:pPr>
            <w:r w:rsidRPr="002A4062">
              <w:rPr>
                <w:rFonts w:ascii="Times New Roman" w:hAnsi="Times New Roman"/>
                <w:bCs/>
                <w:sz w:val="22"/>
                <w:szCs w:val="22"/>
              </w:rPr>
              <w:t>Deve ser comunicada a soma total das linhas 0430 a 0455 e 0525.</w:t>
            </w:r>
          </w:p>
        </w:tc>
      </w:tr>
      <w:tr w:rsidR="00F26498" w:rsidRPr="002A4062" w14:paraId="1C8D01BB" w14:textId="77777777">
        <w:tc>
          <w:tcPr>
            <w:tcW w:w="1129" w:type="dxa"/>
          </w:tcPr>
          <w:p w14:paraId="5160CB45"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lastRenderedPageBreak/>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962FC6C"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Instrumentos de fundos próprios integralmente realizados e emitidos diretamente</w:t>
            </w:r>
          </w:p>
          <w:p w14:paraId="357A735B"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9.</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1, alínea i), do Regulamento (UE) 2019/2033.</w:t>
            </w:r>
          </w:p>
          <w:p w14:paraId="35A845C6" w14:textId="77777777" w:rsidR="00F26498" w:rsidRPr="002A4062" w:rsidRDefault="002A4062">
            <w:pPr>
              <w:pStyle w:val="InstructionsText"/>
              <w:rPr>
                <w:rStyle w:val="FormatvorlageInstructionsTabelleText"/>
                <w:rFonts w:ascii="Times New Roman" w:eastAsiaTheme="minorHAnsi" w:hAnsi="Times New Roman"/>
                <w:bCs/>
                <w:sz w:val="22"/>
                <w:szCs w:val="22"/>
              </w:rPr>
            </w:pPr>
            <w:r w:rsidRPr="002A4062">
              <w:rPr>
                <w:rStyle w:val="FormatvorlageInstructionsTabelleText"/>
                <w:rFonts w:ascii="Times New Roman" w:hAnsi="Times New Roman"/>
                <w:sz w:val="22"/>
                <w:szCs w:val="22"/>
              </w:rPr>
              <w:t>Artigo 62.</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alínea a), e artigos 63.</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xml:space="preserve"> e 65.° do Regulamento (UE) n.</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575/2013.</w:t>
            </w:r>
          </w:p>
          <w:p w14:paraId="13897CFF"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Style w:val="FormatvorlageInstructionsTabelleText"/>
                <w:rFonts w:ascii="Times New Roman" w:hAnsi="Times New Roman"/>
                <w:sz w:val="22"/>
              </w:rPr>
              <w:t>O montante a comunicar não pode inc</w:t>
            </w:r>
            <w:r w:rsidRPr="002A4062">
              <w:rPr>
                <w:rStyle w:val="FormatvorlageInstructionsTabelleText"/>
                <w:rFonts w:ascii="Times New Roman" w:hAnsi="Times New Roman"/>
                <w:sz w:val="22"/>
              </w:rPr>
              <w:t>luir os prémios de emissão de ações relacionados com os instrumentos.</w:t>
            </w:r>
          </w:p>
        </w:tc>
      </w:tr>
      <w:tr w:rsidR="00F26498" w:rsidRPr="002A4062" w14:paraId="577103DD" w14:textId="77777777">
        <w:tc>
          <w:tcPr>
            <w:tcW w:w="1129" w:type="dxa"/>
          </w:tcPr>
          <w:p w14:paraId="68881429"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77A4FB2"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Prémios de emissão</w:t>
            </w:r>
          </w:p>
          <w:p w14:paraId="3A504199"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9.</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1, alínea i), do Regulamento (UE) 2019/2033.</w:t>
            </w:r>
          </w:p>
          <w:p w14:paraId="33F14D92" w14:textId="77777777" w:rsidR="00F26498" w:rsidRPr="002A4062" w:rsidRDefault="002A4062">
            <w:pPr>
              <w:pStyle w:val="InstructionsText"/>
              <w:rPr>
                <w:rStyle w:val="FormatvorlageInstructionsTabelleText"/>
                <w:rFonts w:ascii="Times New Roman" w:hAnsi="Times New Roman"/>
                <w:sz w:val="22"/>
                <w:szCs w:val="22"/>
              </w:rPr>
            </w:pPr>
            <w:r w:rsidRPr="002A4062">
              <w:rPr>
                <w:rStyle w:val="FormatvorlageInstructionsTabelleText"/>
                <w:rFonts w:ascii="Times New Roman" w:hAnsi="Times New Roman"/>
                <w:sz w:val="22"/>
                <w:szCs w:val="22"/>
              </w:rPr>
              <w:t>Artigo 62.</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alínea b), e artigo 65.</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xml:space="preserve"> do Regulamento (UE) n.</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575/2013.</w:t>
            </w:r>
          </w:p>
          <w:p w14:paraId="4B399C5A" w14:textId="77777777" w:rsidR="00F26498" w:rsidRPr="002A4062" w:rsidRDefault="002A4062">
            <w:pPr>
              <w:pStyle w:val="InstructionsText"/>
              <w:rPr>
                <w:rStyle w:val="FormatvorlageInstructionsTabelleText"/>
                <w:rFonts w:ascii="Times New Roman" w:hAnsi="Times New Roman"/>
                <w:sz w:val="22"/>
                <w:szCs w:val="22"/>
              </w:rPr>
            </w:pPr>
            <w:r w:rsidRPr="002A4062">
              <w:rPr>
                <w:rStyle w:val="FormatvorlageInstructionsTabelleText"/>
                <w:rFonts w:ascii="Times New Roman" w:hAnsi="Times New Roman"/>
                <w:sz w:val="22"/>
                <w:szCs w:val="22"/>
              </w:rPr>
              <w:t xml:space="preserve">«Prémios de emissão de </w:t>
            </w:r>
            <w:r w:rsidRPr="002A4062">
              <w:rPr>
                <w:rStyle w:val="FormatvorlageInstructionsTabelleText"/>
                <w:rFonts w:ascii="Times New Roman" w:hAnsi="Times New Roman"/>
                <w:sz w:val="22"/>
                <w:szCs w:val="22"/>
              </w:rPr>
              <w:t>ações» tem a mesma aceção que na norma de contabilidade aplicável.</w:t>
            </w:r>
          </w:p>
          <w:p w14:paraId="7C2FF904" w14:textId="77777777" w:rsidR="00F26498" w:rsidRPr="002A4062" w:rsidRDefault="002A4062">
            <w:pPr>
              <w:pStyle w:val="InstructionsText"/>
              <w:rPr>
                <w:sz w:val="22"/>
                <w:szCs w:val="22"/>
              </w:rPr>
            </w:pPr>
            <w:r w:rsidRPr="002A4062">
              <w:rPr>
                <w:rStyle w:val="FormatvorlageInstructionsTabelleText"/>
                <w:rFonts w:ascii="Times New Roman" w:hAnsi="Times New Roman"/>
                <w:sz w:val="22"/>
                <w:szCs w:val="22"/>
              </w:rPr>
              <w:t>O montante a comunicar neste elemento deve ser a parte relacionada com os «instrumentos de fundos próprios realizados».</w:t>
            </w:r>
          </w:p>
        </w:tc>
      </w:tr>
      <w:tr w:rsidR="00F26498" w:rsidRPr="002A4062" w14:paraId="325A08EC" w14:textId="77777777">
        <w:tc>
          <w:tcPr>
            <w:tcW w:w="1129" w:type="dxa"/>
          </w:tcPr>
          <w:p w14:paraId="25AE2767"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0455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252A6666"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 TOTAL DAS DEDUÇÕES AOS FUNDOS PRÓPRIOS DE NÍVEL 2</w:t>
            </w:r>
          </w:p>
          <w:p w14:paraId="66A71192"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rPr>
              <w:t>Artigo 66</w:t>
            </w:r>
            <w:r w:rsidRPr="002A4062">
              <w:rPr>
                <w:rFonts w:ascii="Times New Roman" w:hAnsi="Times New Roman"/>
              </w:rPr>
              <w:t>.</w:t>
            </w:r>
            <w:r w:rsidRPr="002A4062">
              <w:rPr>
                <w:rFonts w:ascii="Times New Roman" w:hAnsi="Times New Roman"/>
                <w:vertAlign w:val="superscript"/>
              </w:rPr>
              <w:t>o</w:t>
            </w:r>
            <w:r w:rsidRPr="002A4062">
              <w:rPr>
                <w:rFonts w:ascii="Times New Roman" w:hAnsi="Times New Roman"/>
              </w:rPr>
              <w:t xml:space="preserve"> do Regulamento (UE) n.</w:t>
            </w:r>
            <w:r w:rsidRPr="002A4062">
              <w:rPr>
                <w:rFonts w:ascii="Times New Roman" w:hAnsi="Times New Roman"/>
                <w:vertAlign w:val="superscript"/>
              </w:rPr>
              <w:t>o</w:t>
            </w:r>
            <w:r w:rsidRPr="002A4062">
              <w:rPr>
                <w:rFonts w:ascii="Times New Roman" w:hAnsi="Times New Roman"/>
              </w:rPr>
              <w:t> 575/2013, com exceção da alínea d) do mesmo artigo.</w:t>
            </w:r>
          </w:p>
        </w:tc>
      </w:tr>
      <w:tr w:rsidR="00F26498" w:rsidRPr="002A4062" w14:paraId="48820D96" w14:textId="77777777">
        <w:tc>
          <w:tcPr>
            <w:tcW w:w="1129" w:type="dxa"/>
          </w:tcPr>
          <w:p w14:paraId="43151B61"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BC82352"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 Instrumentos próprios de FP2</w:t>
            </w:r>
          </w:p>
          <w:p w14:paraId="67FFB46A"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9.</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1, alínea i), do Regulamento (UE) 2019/2033.</w:t>
            </w:r>
          </w:p>
          <w:p w14:paraId="57B9261D" w14:textId="77777777" w:rsidR="00F26498" w:rsidRPr="002A4062" w:rsidRDefault="002A4062">
            <w:pPr>
              <w:pStyle w:val="InstructionsText"/>
              <w:rPr>
                <w:rStyle w:val="FormatvorlageInstructionsTabelleText"/>
                <w:rFonts w:ascii="Times New Roman" w:hAnsi="Times New Roman"/>
                <w:sz w:val="22"/>
                <w:szCs w:val="22"/>
              </w:rPr>
            </w:pPr>
            <w:r w:rsidRPr="002A4062">
              <w:rPr>
                <w:rStyle w:val="FormatvorlageInstructionsTabelleText"/>
                <w:rFonts w:ascii="Times New Roman" w:hAnsi="Times New Roman"/>
                <w:sz w:val="22"/>
                <w:szCs w:val="22"/>
              </w:rPr>
              <w:t>Artigo 63.</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alínea b), subalínea i), artigo 66.</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alínea a), e artigo 67.</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xml:space="preserve"> do Regulamento (UE) n.</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575/2013.</w:t>
            </w:r>
          </w:p>
          <w:p w14:paraId="74F81E0B" w14:textId="77777777" w:rsidR="00F26498" w:rsidRPr="002A4062" w:rsidRDefault="002A4062">
            <w:pPr>
              <w:pStyle w:val="InstructionsText"/>
              <w:rPr>
                <w:rStyle w:val="FormatvorlageInstructionsTabelleText"/>
                <w:rFonts w:ascii="Times New Roman" w:hAnsi="Times New Roman"/>
                <w:sz w:val="22"/>
                <w:szCs w:val="22"/>
              </w:rPr>
            </w:pPr>
            <w:r w:rsidRPr="002A4062">
              <w:rPr>
                <w:rStyle w:val="FormatvorlageInstructionsTabelleText"/>
                <w:rFonts w:ascii="Times New Roman" w:hAnsi="Times New Roman"/>
                <w:sz w:val="22"/>
                <w:szCs w:val="22"/>
              </w:rPr>
              <w:t>Instrumentos próprios de FP2 detidos pela instituição ou grupo que comunica informações à data de referência. Sob reserva das exceções previstas no artigo 67.</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xml:space="preserve"> do Regulamento (UE) n.</w:t>
            </w:r>
            <w:r w:rsidRPr="002A4062">
              <w:rPr>
                <w:rStyle w:val="FormatvorlageInstructionsTabelleText"/>
                <w:rFonts w:ascii="Times New Roman" w:hAnsi="Times New Roman"/>
                <w:sz w:val="22"/>
                <w:szCs w:val="22"/>
                <w:vertAlign w:val="superscript"/>
              </w:rPr>
              <w:t>o</w:t>
            </w:r>
            <w:r w:rsidRPr="002A4062">
              <w:rPr>
                <w:rStyle w:val="FormatvorlageInstructionsTabelleText"/>
                <w:rFonts w:ascii="Times New Roman" w:hAnsi="Times New Roman"/>
                <w:sz w:val="22"/>
                <w:szCs w:val="22"/>
              </w:rPr>
              <w:t> 575/2013.</w:t>
            </w:r>
          </w:p>
          <w:p w14:paraId="6DA58155" w14:textId="77777777" w:rsidR="00F26498" w:rsidRPr="002A4062" w:rsidRDefault="002A4062">
            <w:pPr>
              <w:pStyle w:val="InstructionsText"/>
              <w:rPr>
                <w:rStyle w:val="FormatvorlageInstructionsTabelleText"/>
                <w:rFonts w:ascii="Times New Roman" w:hAnsi="Times New Roman"/>
                <w:sz w:val="22"/>
                <w:szCs w:val="22"/>
              </w:rPr>
            </w:pPr>
            <w:r w:rsidRPr="002A4062">
              <w:rPr>
                <w:rStyle w:val="FormatvorlageInstructionsTabelleText"/>
                <w:rFonts w:ascii="Times New Roman" w:hAnsi="Times New Roman"/>
                <w:sz w:val="22"/>
                <w:szCs w:val="22"/>
              </w:rPr>
              <w:t>As detenções de ações inclu</w:t>
            </w:r>
            <w:r w:rsidRPr="002A4062">
              <w:rPr>
                <w:rStyle w:val="FormatvorlageInstructionsTabelleText"/>
                <w:rFonts w:ascii="Times New Roman" w:hAnsi="Times New Roman"/>
                <w:sz w:val="22"/>
                <w:szCs w:val="22"/>
              </w:rPr>
              <w:t>ídas em «Instrumentos de fundos próprios não elegíveis» não podem ser comunicadas nesta linha.</w:t>
            </w:r>
          </w:p>
          <w:p w14:paraId="015F851B" w14:textId="77777777" w:rsidR="00F26498" w:rsidRPr="002A4062" w:rsidRDefault="002A4062">
            <w:pPr>
              <w:pStyle w:val="InstructionsText"/>
              <w:rPr>
                <w:sz w:val="22"/>
                <w:szCs w:val="22"/>
              </w:rPr>
            </w:pPr>
            <w:r w:rsidRPr="002A4062">
              <w:rPr>
                <w:rStyle w:val="FormatvorlageInstructionsTabelleText"/>
                <w:rFonts w:ascii="Times New Roman" w:hAnsi="Times New Roman"/>
                <w:sz w:val="22"/>
                <w:szCs w:val="22"/>
              </w:rPr>
              <w:t>O montante a comunicar deve incluir os prémios de emissão de ações relacionados com as ações próprias.</w:t>
            </w:r>
          </w:p>
        </w:tc>
      </w:tr>
      <w:tr w:rsidR="00F26498" w:rsidRPr="002A4062" w14:paraId="36E4A145" w14:textId="77777777">
        <w:tc>
          <w:tcPr>
            <w:tcW w:w="1129" w:type="dxa"/>
          </w:tcPr>
          <w:p w14:paraId="405016D9"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0500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B896297"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 xml:space="preserve">(-) Instrumentos de FP2 de entidades do setor </w:t>
            </w:r>
            <w:r w:rsidRPr="002A4062">
              <w:rPr>
                <w:rFonts w:ascii="Times New Roman" w:hAnsi="Times New Roman"/>
                <w:b/>
                <w:bCs/>
                <w:u w:val="single"/>
              </w:rPr>
              <w:t>financeiro nas quais a empresa-mãe não tem um investimento significativo</w:t>
            </w:r>
          </w:p>
          <w:p w14:paraId="409819F1"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9.</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2, alínea c), do Regulamento (UE) 2019/2033.</w:t>
            </w:r>
          </w:p>
          <w:p w14:paraId="2627F949"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66.</w:t>
            </w:r>
            <w:r w:rsidRPr="002A4062">
              <w:rPr>
                <w:rFonts w:ascii="Times New Roman" w:hAnsi="Times New Roman"/>
                <w:bCs/>
                <w:vertAlign w:val="superscript"/>
              </w:rPr>
              <w:t>o</w:t>
            </w:r>
            <w:r w:rsidRPr="002A4062">
              <w:rPr>
                <w:rFonts w:ascii="Times New Roman" w:hAnsi="Times New Roman"/>
                <w:bCs/>
              </w:rPr>
              <w:t>, alínea c), do Regulamento (UE) n.</w:t>
            </w:r>
            <w:r w:rsidRPr="002A4062">
              <w:rPr>
                <w:rFonts w:ascii="Times New Roman" w:hAnsi="Times New Roman"/>
                <w:bCs/>
                <w:vertAlign w:val="superscript"/>
              </w:rPr>
              <w:t>o</w:t>
            </w:r>
            <w:r w:rsidRPr="002A4062">
              <w:rPr>
                <w:rFonts w:ascii="Times New Roman" w:hAnsi="Times New Roman"/>
                <w:bCs/>
              </w:rPr>
              <w:t> 575/2013.</w:t>
            </w:r>
          </w:p>
          <w:p w14:paraId="66932AFA"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Cs/>
              </w:rPr>
              <w:t xml:space="preserve">Nesta linha, entende-se por empresa-mãe na União as empresas de </w:t>
            </w:r>
            <w:r w:rsidRPr="002A4062">
              <w:rPr>
                <w:rFonts w:ascii="Times New Roman" w:hAnsi="Times New Roman"/>
                <w:bCs/>
              </w:rPr>
              <w:t>investimento-mãe na União, as sociedades gestoras de participações sociais-mãe na União, as companhias financeiras mistas-mãe na União ou qualquer outra empresa-mãe que seja uma empresa de investimento, uma instituição financeira, uma empresa de serviços a</w:t>
            </w:r>
            <w:r w:rsidRPr="002A4062">
              <w:rPr>
                <w:rFonts w:ascii="Times New Roman" w:hAnsi="Times New Roman"/>
                <w:bCs/>
              </w:rPr>
              <w:t>uxiliares ou um agente vinculado.</w:t>
            </w:r>
          </w:p>
        </w:tc>
      </w:tr>
      <w:tr w:rsidR="00F26498" w:rsidRPr="002A4062" w14:paraId="738A5A2D" w14:textId="77777777">
        <w:tc>
          <w:tcPr>
            <w:tcW w:w="1129" w:type="dxa"/>
            <w:tcBorders>
              <w:bottom w:val="single" w:sz="4" w:space="0" w:color="auto"/>
            </w:tcBorders>
          </w:tcPr>
          <w:p w14:paraId="7C0BB5D8"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0525</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84C213E"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Fundos próprios de nível 2: Outros elementos de fundos próprios, deduções e ajustamentos</w:t>
            </w:r>
          </w:p>
          <w:p w14:paraId="4BA43871"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Esta linha deve incluir a soma dos seguintes elementos, se aplicável:</w:t>
            </w:r>
          </w:p>
          <w:p w14:paraId="7616169F" w14:textId="77777777" w:rsidR="00F26498" w:rsidRPr="002A4062" w:rsidRDefault="002A4062">
            <w:pPr>
              <w:spacing w:after="120" w:line="240" w:lineRule="auto"/>
              <w:ind w:left="360" w:hanging="360"/>
              <w:jc w:val="both"/>
              <w:rPr>
                <w:rFonts w:ascii="Times New Roman" w:eastAsia="Times New Roman" w:hAnsi="Times New Roman" w:cs="Times New Roman"/>
                <w:bCs/>
              </w:rPr>
            </w:pPr>
            <w:r w:rsidRPr="002A4062">
              <w:rPr>
                <w:rFonts w:ascii="Times New Roman" w:eastAsia="Times New Roman" w:hAnsi="Times New Roman" w:cs="Times New Roman"/>
                <w:bCs/>
              </w:rPr>
              <w:t>—</w:t>
            </w:r>
            <w:r w:rsidRPr="002A4062">
              <w:rPr>
                <w:rFonts w:ascii="Times New Roman" w:eastAsia="Times New Roman" w:hAnsi="Times New Roman" w:cs="Times New Roman"/>
                <w:bCs/>
              </w:rPr>
              <w:tab/>
            </w:r>
            <w:r w:rsidRPr="002A4062">
              <w:rPr>
                <w:rFonts w:ascii="Times New Roman" w:hAnsi="Times New Roman"/>
                <w:bCs/>
              </w:rPr>
              <w:t xml:space="preserve">Ajustamentos transitórios devidos a </w:t>
            </w:r>
            <w:r w:rsidRPr="002A4062">
              <w:rPr>
                <w:rFonts w:ascii="Times New Roman" w:hAnsi="Times New Roman"/>
                <w:bCs/>
              </w:rPr>
              <w:t>instrumentos de FP2 objeto de direitos adquiridos (artigo 483.</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os</w:t>
            </w:r>
            <w:r w:rsidRPr="002A4062">
              <w:rPr>
                <w:rFonts w:ascii="Times New Roman" w:hAnsi="Times New Roman"/>
                <w:bCs/>
              </w:rPr>
              <w:t> 6 e 7, artigos 484.</w:t>
            </w:r>
            <w:r w:rsidRPr="002A4062">
              <w:rPr>
                <w:rFonts w:ascii="Times New Roman" w:hAnsi="Times New Roman"/>
                <w:bCs/>
                <w:vertAlign w:val="superscript"/>
              </w:rPr>
              <w:t>o</w:t>
            </w:r>
            <w:r w:rsidRPr="002A4062">
              <w:rPr>
                <w:rFonts w:ascii="Times New Roman" w:hAnsi="Times New Roman"/>
                <w:bCs/>
              </w:rPr>
              <w:t>, 486.°, 488.°, 490.° e 491.° do Regulamento (UE) n.</w:t>
            </w:r>
            <w:r w:rsidRPr="002A4062">
              <w:rPr>
                <w:rFonts w:ascii="Times New Roman" w:hAnsi="Times New Roman"/>
                <w:bCs/>
                <w:vertAlign w:val="superscript"/>
              </w:rPr>
              <w:t>o</w:t>
            </w:r>
            <w:r w:rsidRPr="002A4062">
              <w:rPr>
                <w:rFonts w:ascii="Times New Roman" w:hAnsi="Times New Roman"/>
                <w:bCs/>
              </w:rPr>
              <w:t> 575/2013).</w:t>
            </w:r>
          </w:p>
          <w:p w14:paraId="486ECE38" w14:textId="77777777" w:rsidR="00F26498" w:rsidRPr="002A4062" w:rsidRDefault="002A4062">
            <w:pPr>
              <w:spacing w:after="120" w:line="240" w:lineRule="auto"/>
              <w:ind w:left="360" w:hanging="360"/>
              <w:jc w:val="both"/>
              <w:rPr>
                <w:rFonts w:ascii="Times New Roman" w:eastAsia="Times New Roman" w:hAnsi="Times New Roman" w:cs="Times New Roman"/>
                <w:bCs/>
              </w:rPr>
            </w:pPr>
            <w:r w:rsidRPr="002A4062">
              <w:rPr>
                <w:rFonts w:ascii="Times New Roman" w:eastAsia="Times New Roman" w:hAnsi="Times New Roman" w:cs="Times New Roman"/>
                <w:bCs/>
              </w:rPr>
              <w:lastRenderedPageBreak/>
              <w:t>—</w:t>
            </w:r>
            <w:r w:rsidRPr="002A4062">
              <w:rPr>
                <w:rFonts w:ascii="Times New Roman" w:eastAsia="Times New Roman" w:hAnsi="Times New Roman" w:cs="Times New Roman"/>
                <w:bCs/>
              </w:rPr>
              <w:tab/>
            </w:r>
            <w:r w:rsidRPr="002A4062">
              <w:rPr>
                <w:rFonts w:ascii="Times New Roman" w:hAnsi="Times New Roman"/>
                <w:bCs/>
              </w:rPr>
              <w:t>Outros ajustamentos transitórios dos FP2 (artigos 472.</w:t>
            </w:r>
            <w:r w:rsidRPr="002A4062">
              <w:rPr>
                <w:rFonts w:ascii="Times New Roman" w:hAnsi="Times New Roman"/>
                <w:bCs/>
                <w:vertAlign w:val="superscript"/>
              </w:rPr>
              <w:t>o</w:t>
            </w:r>
            <w:r w:rsidRPr="002A4062">
              <w:rPr>
                <w:rFonts w:ascii="Times New Roman" w:hAnsi="Times New Roman"/>
                <w:bCs/>
              </w:rPr>
              <w:t>, 473.°-A, 476.°, 477.°, 478.° e 481.° do Re</w:t>
            </w:r>
            <w:r w:rsidRPr="002A4062">
              <w:rPr>
                <w:rFonts w:ascii="Times New Roman" w:hAnsi="Times New Roman"/>
                <w:bCs/>
              </w:rPr>
              <w:t>gulamento (UE) n.</w:t>
            </w:r>
            <w:r w:rsidRPr="002A4062">
              <w:rPr>
                <w:rFonts w:ascii="Times New Roman" w:hAnsi="Times New Roman"/>
                <w:bCs/>
                <w:vertAlign w:val="superscript"/>
              </w:rPr>
              <w:t>o</w:t>
            </w:r>
            <w:r w:rsidRPr="002A4062">
              <w:rPr>
                <w:rFonts w:ascii="Times New Roman" w:hAnsi="Times New Roman"/>
                <w:bCs/>
              </w:rPr>
              <w:t> 575/2013): Ajustamentos das deduções aos FP2 devido a disposições transitórias</w:t>
            </w:r>
          </w:p>
          <w:p w14:paraId="5DEA08F1" w14:textId="77777777" w:rsidR="00F26498" w:rsidRPr="002A4062" w:rsidRDefault="002A4062">
            <w:pPr>
              <w:spacing w:after="120" w:line="240" w:lineRule="auto"/>
              <w:ind w:left="360" w:hanging="360"/>
              <w:jc w:val="both"/>
              <w:rPr>
                <w:rFonts w:ascii="Times New Roman" w:eastAsia="Times New Roman" w:hAnsi="Times New Roman" w:cs="Times New Roman"/>
                <w:bCs/>
              </w:rPr>
            </w:pPr>
            <w:r w:rsidRPr="002A4062">
              <w:rPr>
                <w:rFonts w:ascii="Times New Roman" w:eastAsia="Times New Roman" w:hAnsi="Times New Roman" w:cs="Times New Roman"/>
                <w:bCs/>
              </w:rPr>
              <w:t>—</w:t>
            </w:r>
            <w:r w:rsidRPr="002A4062">
              <w:rPr>
                <w:rFonts w:ascii="Times New Roman" w:eastAsia="Times New Roman" w:hAnsi="Times New Roman" w:cs="Times New Roman"/>
                <w:bCs/>
              </w:rPr>
              <w:tab/>
            </w:r>
            <w:r w:rsidRPr="002A4062">
              <w:rPr>
                <w:rFonts w:ascii="Times New Roman" w:hAnsi="Times New Roman"/>
                <w:bCs/>
              </w:rPr>
              <w:t>Excesso de dedução de elementos dos FP2 relativamente aos FP2, deduzido aos FPA1 nos termos do artigo 56.</w:t>
            </w:r>
            <w:r w:rsidRPr="002A4062">
              <w:rPr>
                <w:rFonts w:ascii="Times New Roman" w:hAnsi="Times New Roman"/>
                <w:bCs/>
                <w:vertAlign w:val="superscript"/>
              </w:rPr>
              <w:t>o</w:t>
            </w:r>
            <w:r w:rsidRPr="002A4062">
              <w:rPr>
                <w:rFonts w:ascii="Times New Roman" w:hAnsi="Times New Roman"/>
                <w:bCs/>
              </w:rPr>
              <w:t>, alínea e), do Regulamento (UE) n.</w:t>
            </w:r>
            <w:r w:rsidRPr="002A4062">
              <w:rPr>
                <w:rFonts w:ascii="Times New Roman" w:hAnsi="Times New Roman"/>
                <w:bCs/>
                <w:vertAlign w:val="superscript"/>
              </w:rPr>
              <w:t>o</w:t>
            </w:r>
            <w:r w:rsidRPr="002A4062">
              <w:rPr>
                <w:rFonts w:ascii="Times New Roman" w:hAnsi="Times New Roman"/>
                <w:bCs/>
              </w:rPr>
              <w:t xml:space="preserve"> 575/2013: Os </w:t>
            </w:r>
            <w:r w:rsidRPr="002A4062">
              <w:rPr>
                <w:rFonts w:ascii="Times New Roman" w:hAnsi="Times New Roman"/>
                <w:bCs/>
              </w:rPr>
              <w:t xml:space="preserve">FP2 não podem ser negativos, mas é possível que as deduções aos elementos dos FP2 excedam o montante dos elementos dos FP2 disponíveis. Se tal acontecer, este elemento representa o montante necessário para aumentar o montante comunicado na linha 0420 para </w:t>
            </w:r>
            <w:r w:rsidRPr="002A4062">
              <w:rPr>
                <w:rFonts w:ascii="Times New Roman" w:hAnsi="Times New Roman"/>
                <w:bCs/>
              </w:rPr>
              <w:t>zero.</w:t>
            </w:r>
          </w:p>
          <w:p w14:paraId="7665F424" w14:textId="77777777" w:rsidR="00F26498" w:rsidRPr="002A4062" w:rsidRDefault="002A4062">
            <w:pPr>
              <w:spacing w:after="120" w:line="240" w:lineRule="auto"/>
              <w:ind w:left="360" w:hanging="360"/>
              <w:jc w:val="both"/>
              <w:rPr>
                <w:rFonts w:ascii="Times New Roman" w:eastAsia="Times New Roman" w:hAnsi="Times New Roman" w:cs="Times New Roman"/>
                <w:bCs/>
              </w:rPr>
            </w:pPr>
            <w:r w:rsidRPr="002A4062">
              <w:rPr>
                <w:rFonts w:ascii="Times New Roman" w:eastAsia="Times New Roman" w:hAnsi="Times New Roman" w:cs="Times New Roman"/>
                <w:bCs/>
              </w:rPr>
              <w:t>—</w:t>
            </w:r>
            <w:r w:rsidRPr="002A4062">
              <w:rPr>
                <w:rFonts w:ascii="Times New Roman" w:eastAsia="Times New Roman" w:hAnsi="Times New Roman" w:cs="Times New Roman"/>
                <w:bCs/>
              </w:rPr>
              <w:tab/>
            </w:r>
            <w:r w:rsidRPr="002A4062">
              <w:rPr>
                <w:rFonts w:ascii="Times New Roman" w:hAnsi="Times New Roman"/>
                <w:bCs/>
              </w:rPr>
              <w:t>Outros elementos de FP2 ou deduções a um elemento de FP2 que não possam ser afetados a uma das linhas 0430 a 0500.</w:t>
            </w:r>
          </w:p>
          <w:p w14:paraId="40540D2D"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Cs/>
              </w:rPr>
              <w:t>Esta linha não deve ser utilizada para incluir elementos ou deduções de fundos próprios não abrangidos pelo Regulamento (UE) 2019/203</w:t>
            </w:r>
            <w:r w:rsidRPr="002A4062">
              <w:rPr>
                <w:rFonts w:ascii="Times New Roman" w:hAnsi="Times New Roman"/>
                <w:bCs/>
              </w:rPr>
              <w:t>3 ou pelo Regulamento (UE) n.</w:t>
            </w:r>
            <w:r w:rsidRPr="002A4062">
              <w:rPr>
                <w:rFonts w:ascii="Times New Roman" w:hAnsi="Times New Roman"/>
                <w:bCs/>
                <w:vertAlign w:val="superscript"/>
              </w:rPr>
              <w:t>o</w:t>
            </w:r>
            <w:r w:rsidRPr="002A4062">
              <w:rPr>
                <w:rFonts w:ascii="Times New Roman" w:hAnsi="Times New Roman"/>
                <w:bCs/>
              </w:rPr>
              <w:t> 575/2013 no cálculo dos rácios de solvabilidade.</w:t>
            </w:r>
          </w:p>
        </w:tc>
      </w:tr>
    </w:tbl>
    <w:p w14:paraId="1DB26098" w14:textId="77777777" w:rsidR="00F26498" w:rsidRPr="002A4062" w:rsidRDefault="002A4062">
      <w:pPr>
        <w:pStyle w:val="Instructionsberschrift2"/>
        <w:ind w:left="357" w:hanging="357"/>
        <w:rPr>
          <w:rFonts w:ascii="Times New Roman" w:hAnsi="Times New Roman" w:cs="Times New Roman"/>
          <w:sz w:val="24"/>
          <w:u w:val="none"/>
        </w:rPr>
      </w:pPr>
      <w:bookmarkStart w:id="19" w:name="_Toc88147190"/>
      <w:r w:rsidRPr="002A4062">
        <w:rPr>
          <w:rFonts w:ascii="Times New Roman" w:hAnsi="Times New Roman"/>
          <w:sz w:val="24"/>
          <w:u w:val="none"/>
        </w:rPr>
        <w:lastRenderedPageBreak/>
        <w:t xml:space="preserve">1.3 </w:t>
      </w:r>
      <w:r w:rsidRPr="002A4062">
        <w:rPr>
          <w:rFonts w:ascii="Times New Roman" w:hAnsi="Times New Roman"/>
          <w:sz w:val="24"/>
        </w:rPr>
        <w:t>I 11.02 REQUISITOS DE FUNDOS PRÓPRIOS - CRITÉRIO DO CAPITAL DO GRUPO (I11.2)</w:t>
      </w:r>
      <w:bookmarkEnd w:id="19"/>
    </w:p>
    <w:p w14:paraId="5F305E97" w14:textId="77777777" w:rsidR="00F26498" w:rsidRPr="002A4062" w:rsidRDefault="002A4062">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0" w:name="_Toc88147191"/>
      <w:r w:rsidRPr="002A4062">
        <w:rPr>
          <w:rFonts w:ascii="Times New Roman" w:hAnsi="Times New Roman"/>
          <w:sz w:val="24"/>
          <w:szCs w:val="24"/>
        </w:rPr>
        <w:t>1.3.1.</w:t>
      </w:r>
      <w:r w:rsidRPr="002A4062">
        <w:tab/>
      </w:r>
      <w:r w:rsidRPr="002A4062">
        <w:rPr>
          <w:rFonts w:ascii="Times New Roman" w:hAnsi="Times New Roman"/>
          <w:sz w:val="24"/>
          <w:szCs w:val="24"/>
          <w:u w:val="single"/>
        </w:rPr>
        <w:t>Instruções relativas a posições específicas</w:t>
      </w:r>
      <w:bookmarkEnd w:id="2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26498" w:rsidRPr="002A4062" w14:paraId="3D305B9F" w14:textId="77777777">
        <w:tc>
          <w:tcPr>
            <w:tcW w:w="1129" w:type="dxa"/>
            <w:shd w:val="clear" w:color="auto" w:fill="D9D9D9"/>
          </w:tcPr>
          <w:p w14:paraId="5DA9A99C"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rPr>
              <w:t>Linha</w:t>
            </w:r>
          </w:p>
        </w:tc>
        <w:tc>
          <w:tcPr>
            <w:tcW w:w="7620" w:type="dxa"/>
            <w:shd w:val="clear" w:color="auto" w:fill="D9D9D9"/>
          </w:tcPr>
          <w:p w14:paraId="50DCAEF2"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rPr>
              <w:t xml:space="preserve">Referências jurídicas e </w:t>
            </w:r>
            <w:r w:rsidRPr="002A4062">
              <w:rPr>
                <w:rFonts w:ascii="Times New Roman" w:hAnsi="Times New Roman"/>
              </w:rPr>
              <w:t>instruções</w:t>
            </w:r>
          </w:p>
        </w:tc>
      </w:tr>
      <w:tr w:rsidR="00F26498" w:rsidRPr="002A4062" w14:paraId="2F13C301" w14:textId="77777777">
        <w:tc>
          <w:tcPr>
            <w:tcW w:w="1129" w:type="dxa"/>
            <w:tcBorders>
              <w:top w:val="single" w:sz="4" w:space="0" w:color="auto"/>
              <w:left w:val="single" w:sz="4" w:space="0" w:color="auto"/>
              <w:bottom w:val="single" w:sz="4" w:space="0" w:color="auto"/>
              <w:right w:val="single" w:sz="4" w:space="0" w:color="auto"/>
            </w:tcBorders>
          </w:tcPr>
          <w:p w14:paraId="0337B736"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tcPr>
          <w:p w14:paraId="0B7C3AEF"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Instrumentos de FPP1 de entidades do setor financeiro do grupo de empresas de investimento nas quais a empresa-mãe tem um investimento significativo nessas entidades</w:t>
            </w:r>
          </w:p>
          <w:p w14:paraId="37ED8BAA"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Cs/>
              </w:rPr>
              <w:t>Artigo 8.</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xml:space="preserve"> 3, alínea a), do Regulamento (UE) 2019/2033, </w:t>
            </w:r>
            <w:r w:rsidRPr="002A4062">
              <w:rPr>
                <w:rFonts w:ascii="Times New Roman" w:hAnsi="Times New Roman"/>
                <w:bCs/>
              </w:rPr>
              <w:t>conjugado com o artigo 36.</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1, alínea i), do Regulamento (UE) n.</w:t>
            </w:r>
            <w:r w:rsidRPr="002A4062">
              <w:rPr>
                <w:rFonts w:ascii="Times New Roman" w:hAnsi="Times New Roman"/>
                <w:bCs/>
                <w:vertAlign w:val="superscript"/>
              </w:rPr>
              <w:t>o</w:t>
            </w:r>
            <w:r w:rsidRPr="002A4062">
              <w:rPr>
                <w:rFonts w:ascii="Times New Roman" w:hAnsi="Times New Roman"/>
                <w:bCs/>
              </w:rPr>
              <w:t> 575/2013.</w:t>
            </w:r>
          </w:p>
        </w:tc>
      </w:tr>
      <w:tr w:rsidR="00F26498" w:rsidRPr="002A4062" w14:paraId="4C1F16DC" w14:textId="77777777">
        <w:tc>
          <w:tcPr>
            <w:tcW w:w="1129" w:type="dxa"/>
            <w:tcBorders>
              <w:top w:val="single" w:sz="4" w:space="0" w:color="auto"/>
              <w:bottom w:val="single" w:sz="4" w:space="0" w:color="auto"/>
            </w:tcBorders>
          </w:tcPr>
          <w:p w14:paraId="242CC825"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0020</w:t>
            </w:r>
          </w:p>
        </w:tc>
        <w:tc>
          <w:tcPr>
            <w:tcW w:w="7620" w:type="dxa"/>
            <w:tcBorders>
              <w:top w:val="single" w:sz="4" w:space="0" w:color="auto"/>
              <w:bottom w:val="single" w:sz="4" w:space="0" w:color="auto"/>
            </w:tcBorders>
          </w:tcPr>
          <w:p w14:paraId="6506F18E"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Instrumentos de FPA1 de entidades do setor financeiro do grupo de empresas de investimento nas quais a empresa-mãe tem um investimento significativo nessas entidades</w:t>
            </w:r>
          </w:p>
          <w:p w14:paraId="566DC4AD"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w:t>
            </w:r>
            <w:r w:rsidRPr="002A4062">
              <w:rPr>
                <w:rFonts w:ascii="Times New Roman" w:hAnsi="Times New Roman"/>
                <w:bCs/>
              </w:rPr>
              <w:t>igo 8.</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3, alínea a), do Regulamento (UE) 2019/2033, conjugado com o artigo 56.</w:t>
            </w:r>
            <w:r w:rsidRPr="002A4062">
              <w:rPr>
                <w:rFonts w:ascii="Times New Roman" w:hAnsi="Times New Roman"/>
                <w:bCs/>
                <w:vertAlign w:val="superscript"/>
              </w:rPr>
              <w:t>o</w:t>
            </w:r>
            <w:r w:rsidRPr="002A4062">
              <w:rPr>
                <w:rFonts w:ascii="Times New Roman" w:hAnsi="Times New Roman"/>
                <w:bCs/>
              </w:rPr>
              <w:t>, alínea d), do Regulamento (UE) n.</w:t>
            </w:r>
            <w:r w:rsidRPr="002A4062">
              <w:rPr>
                <w:rFonts w:ascii="Times New Roman" w:hAnsi="Times New Roman"/>
                <w:bCs/>
                <w:vertAlign w:val="superscript"/>
              </w:rPr>
              <w:t>o</w:t>
            </w:r>
            <w:r w:rsidRPr="002A4062">
              <w:rPr>
                <w:rFonts w:ascii="Times New Roman" w:hAnsi="Times New Roman"/>
                <w:bCs/>
              </w:rPr>
              <w:t> 575/2013.</w:t>
            </w:r>
          </w:p>
        </w:tc>
      </w:tr>
      <w:tr w:rsidR="00F26498" w:rsidRPr="002A4062" w14:paraId="26B81B21" w14:textId="77777777">
        <w:tc>
          <w:tcPr>
            <w:tcW w:w="1129" w:type="dxa"/>
            <w:tcBorders>
              <w:top w:val="single" w:sz="4" w:space="0" w:color="auto"/>
              <w:bottom w:val="single" w:sz="4" w:space="0" w:color="auto"/>
            </w:tcBorders>
          </w:tcPr>
          <w:p w14:paraId="5FBCD2FB"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0030</w:t>
            </w:r>
          </w:p>
        </w:tc>
        <w:tc>
          <w:tcPr>
            <w:tcW w:w="7620" w:type="dxa"/>
            <w:tcBorders>
              <w:top w:val="single" w:sz="4" w:space="0" w:color="auto"/>
              <w:bottom w:val="single" w:sz="4" w:space="0" w:color="auto"/>
            </w:tcBorders>
          </w:tcPr>
          <w:p w14:paraId="69F6D7F3"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 xml:space="preserve">Instrumentos de FP2 de entidades do setor financeiro do grupo de empresas de investimento nas quais a </w:t>
            </w:r>
            <w:r w:rsidRPr="002A4062">
              <w:rPr>
                <w:rFonts w:ascii="Times New Roman" w:hAnsi="Times New Roman"/>
                <w:b/>
                <w:bCs/>
                <w:u w:val="single"/>
              </w:rPr>
              <w:t>empresa-mãe tem um investimento significativo nessas entidades</w:t>
            </w:r>
          </w:p>
          <w:p w14:paraId="3DC76D47"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Cs/>
              </w:rPr>
              <w:t>Artigo 8.</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3, alínea a), conjugado com o artigo 66.</w:t>
            </w:r>
            <w:r w:rsidRPr="002A4062">
              <w:rPr>
                <w:rFonts w:ascii="Times New Roman" w:hAnsi="Times New Roman"/>
                <w:bCs/>
                <w:vertAlign w:val="superscript"/>
              </w:rPr>
              <w:t>o</w:t>
            </w:r>
            <w:r w:rsidRPr="002A4062">
              <w:rPr>
                <w:rFonts w:ascii="Times New Roman" w:hAnsi="Times New Roman"/>
                <w:bCs/>
              </w:rPr>
              <w:t>, alínea d), do Regulamento (UE) n.</w:t>
            </w:r>
            <w:r w:rsidRPr="002A4062">
              <w:rPr>
                <w:rFonts w:ascii="Times New Roman" w:hAnsi="Times New Roman"/>
                <w:bCs/>
                <w:vertAlign w:val="superscript"/>
              </w:rPr>
              <w:t>o</w:t>
            </w:r>
            <w:r w:rsidRPr="002A4062">
              <w:rPr>
                <w:rFonts w:ascii="Times New Roman" w:hAnsi="Times New Roman"/>
                <w:bCs/>
              </w:rPr>
              <w:t> 575/2013.</w:t>
            </w:r>
          </w:p>
        </w:tc>
      </w:tr>
      <w:tr w:rsidR="00F26498" w:rsidRPr="002A4062" w14:paraId="50C1F942" w14:textId="77777777">
        <w:tc>
          <w:tcPr>
            <w:tcW w:w="1129" w:type="dxa"/>
          </w:tcPr>
          <w:p w14:paraId="7FF58EC3"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0040</w:t>
            </w:r>
          </w:p>
        </w:tc>
        <w:tc>
          <w:tcPr>
            <w:tcW w:w="7620" w:type="dxa"/>
          </w:tcPr>
          <w:p w14:paraId="0A72BD83"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
                <w:bCs/>
                <w:u w:val="single"/>
              </w:rPr>
              <w:t>Participações de entidades do setor financeiro no grupo de empresas de investimento</w:t>
            </w:r>
            <w:r w:rsidRPr="002A4062">
              <w:rPr>
                <w:rFonts w:ascii="Times New Roman" w:hAnsi="Times New Roman"/>
                <w:b/>
                <w:bCs/>
                <w:u w:val="single"/>
              </w:rPr>
              <w:t xml:space="preserve"> na medida em que não constituam fundos próprios da entidade do grupo em que a empresa-mãe detém investimentos</w:t>
            </w:r>
          </w:p>
          <w:p w14:paraId="6EDD0901"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8.</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3, alínea a), do Regulamento (UE) 2019/2033.</w:t>
            </w:r>
          </w:p>
          <w:p w14:paraId="30AF50F8"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 xml:space="preserve">Esta linha inclui participações da empresa-mãe na medida em que não </w:t>
            </w:r>
            <w:r w:rsidRPr="002A4062">
              <w:rPr>
                <w:rFonts w:ascii="Times New Roman" w:hAnsi="Times New Roman"/>
                <w:bCs/>
              </w:rPr>
              <w:t>constituam fundos próprios da entidade do grupo em que a empresa-mãe detém investimentos.</w:t>
            </w:r>
          </w:p>
        </w:tc>
      </w:tr>
      <w:tr w:rsidR="00F26498" w:rsidRPr="002A4062" w14:paraId="34E8E293" w14:textId="77777777">
        <w:tc>
          <w:tcPr>
            <w:tcW w:w="1129" w:type="dxa"/>
            <w:tcBorders>
              <w:bottom w:val="single" w:sz="4" w:space="0" w:color="auto"/>
            </w:tcBorders>
          </w:tcPr>
          <w:p w14:paraId="3C843789"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0050</w:t>
            </w:r>
          </w:p>
        </w:tc>
        <w:tc>
          <w:tcPr>
            <w:tcW w:w="7620" w:type="dxa"/>
            <w:tcBorders>
              <w:bottom w:val="single" w:sz="4" w:space="0" w:color="auto"/>
            </w:tcBorders>
          </w:tcPr>
          <w:p w14:paraId="37536573"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
                <w:bCs/>
                <w:u w:val="single"/>
              </w:rPr>
              <w:t>Créditos subordinados de entidades do setor financeiro do grupo de empresas de investimento</w:t>
            </w:r>
          </w:p>
          <w:p w14:paraId="1567CF16"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8.</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xml:space="preserve"> 3, alínea a), do Regulamento (UE) </w:t>
            </w:r>
            <w:r w:rsidRPr="002A4062">
              <w:rPr>
                <w:rFonts w:ascii="Times New Roman" w:hAnsi="Times New Roman"/>
                <w:bCs/>
              </w:rPr>
              <w:t>2019/2033.</w:t>
            </w:r>
          </w:p>
          <w:p w14:paraId="4A803E75"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Cs/>
              </w:rPr>
              <w:lastRenderedPageBreak/>
              <w:t>Esta linha inclui créditos subordinados da empresa-mãe na medida em que não constituam fundos próprios da entidade do grupo em que a empresa-mãe detém investimentos.</w:t>
            </w:r>
          </w:p>
        </w:tc>
      </w:tr>
      <w:tr w:rsidR="00F26498" w:rsidRPr="002A4062" w14:paraId="00949F22" w14:textId="77777777">
        <w:tc>
          <w:tcPr>
            <w:tcW w:w="1129" w:type="dxa"/>
            <w:tcBorders>
              <w:top w:val="single" w:sz="4" w:space="0" w:color="auto"/>
              <w:bottom w:val="single" w:sz="4" w:space="0" w:color="auto"/>
            </w:tcBorders>
          </w:tcPr>
          <w:p w14:paraId="6548F399"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lastRenderedPageBreak/>
              <w:t>0060</w:t>
            </w:r>
          </w:p>
        </w:tc>
        <w:tc>
          <w:tcPr>
            <w:tcW w:w="7620" w:type="dxa"/>
            <w:tcBorders>
              <w:top w:val="single" w:sz="4" w:space="0" w:color="auto"/>
              <w:bottom w:val="single" w:sz="4" w:space="0" w:color="auto"/>
            </w:tcBorders>
          </w:tcPr>
          <w:p w14:paraId="3AB61863"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Passivos contingentes a favor de entidades do grupo de empresas de invest</w:t>
            </w:r>
            <w:r w:rsidRPr="002A4062">
              <w:rPr>
                <w:rFonts w:ascii="Times New Roman" w:hAnsi="Times New Roman"/>
                <w:b/>
                <w:bCs/>
                <w:u w:val="single"/>
              </w:rPr>
              <w:t>imento</w:t>
            </w:r>
          </w:p>
          <w:p w14:paraId="76D265B4"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8.</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3, alínea b), do Regulamento (UE) 2019/2033.</w:t>
            </w:r>
          </w:p>
        </w:tc>
      </w:tr>
      <w:tr w:rsidR="00F26498" w:rsidRPr="002A4062" w14:paraId="5B8671F4" w14:textId="77777777">
        <w:tc>
          <w:tcPr>
            <w:tcW w:w="1129" w:type="dxa"/>
            <w:tcBorders>
              <w:top w:val="single" w:sz="4" w:space="0" w:color="auto"/>
            </w:tcBorders>
          </w:tcPr>
          <w:p w14:paraId="60A98ED3"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0070</w:t>
            </w:r>
          </w:p>
        </w:tc>
        <w:tc>
          <w:tcPr>
            <w:tcW w:w="7620" w:type="dxa"/>
            <w:tcBorders>
              <w:top w:val="single" w:sz="4" w:space="0" w:color="auto"/>
            </w:tcBorders>
          </w:tcPr>
          <w:p w14:paraId="63D92CB0"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Requisitos totais de fundos próprios das empresas filiais</w:t>
            </w:r>
          </w:p>
          <w:p w14:paraId="1D9440CB"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Em aplicação do artigo 8.</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4, do Regulamento (UE) 2019/2033.</w:t>
            </w:r>
          </w:p>
        </w:tc>
      </w:tr>
    </w:tbl>
    <w:p w14:paraId="4FCE7F0C" w14:textId="77777777" w:rsidR="00F26498" w:rsidRPr="002A4062" w:rsidRDefault="002A4062">
      <w:pPr>
        <w:pStyle w:val="Instructionsberschrift2"/>
        <w:ind w:left="357" w:hanging="357"/>
        <w:rPr>
          <w:rFonts w:ascii="Times New Roman" w:hAnsi="Times New Roman" w:cs="Times New Roman"/>
          <w:sz w:val="24"/>
        </w:rPr>
      </w:pPr>
      <w:bookmarkStart w:id="21" w:name="_Toc88147192"/>
      <w:bookmarkEnd w:id="2"/>
      <w:bookmarkEnd w:id="3"/>
      <w:bookmarkEnd w:id="4"/>
      <w:bookmarkEnd w:id="5"/>
      <w:r w:rsidRPr="002A4062">
        <w:rPr>
          <w:rFonts w:ascii="Times New Roman" w:hAnsi="Times New Roman"/>
          <w:sz w:val="24"/>
          <w:u w:val="none"/>
        </w:rPr>
        <w:t xml:space="preserve">1.4 </w:t>
      </w:r>
      <w:r w:rsidRPr="002A4062">
        <w:rPr>
          <w:rFonts w:ascii="Times New Roman" w:hAnsi="Times New Roman"/>
          <w:sz w:val="24"/>
        </w:rPr>
        <w:t xml:space="preserve">IF 11.03 INFORMAÇÕES SOBRE EMPRESAS FILIAIS </w:t>
      </w:r>
      <w:r w:rsidRPr="002A4062">
        <w:rPr>
          <w:rFonts w:ascii="Times New Roman" w:hAnsi="Times New Roman"/>
          <w:sz w:val="24"/>
        </w:rPr>
        <w:t>(IF11.3)</w:t>
      </w:r>
      <w:bookmarkEnd w:id="21"/>
    </w:p>
    <w:p w14:paraId="3FECCE4B" w14:textId="77777777" w:rsidR="00F26498" w:rsidRPr="002A4062" w:rsidRDefault="002A4062">
      <w:pPr>
        <w:spacing w:line="256" w:lineRule="auto"/>
        <w:ind w:left="1224" w:hanging="504"/>
        <w:jc w:val="both"/>
        <w:rPr>
          <w:rFonts w:ascii="Times New Roman" w:hAnsi="Times New Roman" w:cs="Times New Roman"/>
          <w:sz w:val="24"/>
        </w:rPr>
      </w:pPr>
      <w:r w:rsidRPr="002A4062">
        <w:rPr>
          <w:rFonts w:ascii="Times New Roman" w:hAnsi="Times New Roman" w:cs="Times New Roman"/>
          <w:sz w:val="24"/>
        </w:rPr>
        <w:t>10.</w:t>
      </w:r>
      <w:r w:rsidRPr="002A4062">
        <w:rPr>
          <w:rFonts w:ascii="Times New Roman" w:hAnsi="Times New Roman" w:cs="Times New Roman"/>
          <w:sz w:val="24"/>
        </w:rPr>
        <w:tab/>
      </w:r>
      <w:r w:rsidRPr="002A4062">
        <w:rPr>
          <w:rFonts w:ascii="Times New Roman" w:hAnsi="Times New Roman"/>
          <w:sz w:val="24"/>
        </w:rPr>
        <w:t>Todas as entidades incluídas no âmbito do critério do capital do grupo devem ser comunicadas neste modelo. Tal inclui igualmente a empresa-mãe do próprio grupo.</w:t>
      </w:r>
    </w:p>
    <w:p w14:paraId="7AB2F267" w14:textId="77777777" w:rsidR="00F26498" w:rsidRPr="002A4062" w:rsidRDefault="002A4062">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2" w:name="_Toc88147193"/>
      <w:r w:rsidRPr="002A4062">
        <w:rPr>
          <w:rFonts w:ascii="Times New Roman" w:hAnsi="Times New Roman"/>
          <w:sz w:val="24"/>
          <w:szCs w:val="24"/>
        </w:rPr>
        <w:t>1.4.1.</w:t>
      </w:r>
      <w:r w:rsidRPr="002A4062">
        <w:tab/>
      </w:r>
      <w:r w:rsidRPr="002A4062">
        <w:rPr>
          <w:rFonts w:ascii="Times New Roman" w:hAnsi="Times New Roman"/>
          <w:sz w:val="24"/>
          <w:szCs w:val="24"/>
          <w:u w:val="single"/>
        </w:rPr>
        <w:t>Instruções relativas a posições específicas</w:t>
      </w:r>
      <w:bookmarkEnd w:id="2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26498" w:rsidRPr="002A4062" w14:paraId="60342B4C" w14:textId="77777777">
        <w:tc>
          <w:tcPr>
            <w:tcW w:w="1129" w:type="dxa"/>
            <w:shd w:val="clear" w:color="auto" w:fill="D9D9D9"/>
          </w:tcPr>
          <w:p w14:paraId="3E0A4D7B"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rPr>
              <w:t>Colunas</w:t>
            </w:r>
          </w:p>
        </w:tc>
        <w:tc>
          <w:tcPr>
            <w:tcW w:w="7620" w:type="dxa"/>
            <w:shd w:val="clear" w:color="auto" w:fill="D9D9D9"/>
          </w:tcPr>
          <w:p w14:paraId="2C4B4F76"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rPr>
              <w:t xml:space="preserve">Referências </w:t>
            </w:r>
            <w:r w:rsidRPr="002A4062">
              <w:rPr>
                <w:rFonts w:ascii="Times New Roman" w:hAnsi="Times New Roman"/>
              </w:rPr>
              <w:t>jurídicas e instruções</w:t>
            </w:r>
          </w:p>
        </w:tc>
      </w:tr>
      <w:tr w:rsidR="00F26498" w:rsidRPr="002A4062" w14:paraId="4C86A2A8" w14:textId="77777777">
        <w:tc>
          <w:tcPr>
            <w:tcW w:w="1129" w:type="dxa"/>
          </w:tcPr>
          <w:p w14:paraId="4C6DDCBF"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0010</w:t>
            </w:r>
          </w:p>
        </w:tc>
        <w:tc>
          <w:tcPr>
            <w:tcW w:w="7620" w:type="dxa"/>
          </w:tcPr>
          <w:p w14:paraId="2DBA78EF"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Código</w:t>
            </w:r>
          </w:p>
          <w:p w14:paraId="65BE31BA"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Cs/>
              </w:rPr>
              <w:t xml:space="preserve">O código como parte de um identificador de linha tem de ser único para cada entidade que é objeto de comunicação de informações. Para as empresas de investimento e as empresas de seguros, o código é o código LEI. </w:t>
            </w:r>
            <w:r w:rsidRPr="002A4062">
              <w:rPr>
                <w:rFonts w:ascii="Times New Roman" w:hAnsi="Times New Roman"/>
                <w:bCs/>
              </w:rPr>
              <w:t>Para outras entidades, o código é o código LEI ou, quando não disponível, um código nacional. O código deve ser único e utilizado de forma coerente em todos os modelos e ao longo do tempo. O código deve ter sempre um valor.</w:t>
            </w:r>
          </w:p>
        </w:tc>
      </w:tr>
      <w:tr w:rsidR="00F26498" w:rsidRPr="002A4062" w14:paraId="2394E7E3" w14:textId="77777777">
        <w:tc>
          <w:tcPr>
            <w:tcW w:w="1129" w:type="dxa"/>
          </w:tcPr>
          <w:p w14:paraId="641AEB0F"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0020</w:t>
            </w:r>
          </w:p>
        </w:tc>
        <w:tc>
          <w:tcPr>
            <w:tcW w:w="7620" w:type="dxa"/>
          </w:tcPr>
          <w:p w14:paraId="77B88B18"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Tipo de código</w:t>
            </w:r>
          </w:p>
          <w:p w14:paraId="7DBD0017"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 empresa q</w:t>
            </w:r>
            <w:r w:rsidRPr="002A4062">
              <w:rPr>
                <w:rFonts w:ascii="Times New Roman" w:hAnsi="Times New Roman"/>
                <w:bCs/>
              </w:rPr>
              <w:t>ue relata deve identificar o tipo de código comunicado na coluna 0010 como «tipo de código LEI» ou «tipo de código nacional».</w:t>
            </w:r>
          </w:p>
          <w:p w14:paraId="56B9739B"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Cs/>
              </w:rPr>
              <w:t>O tipo de código deve ser sempre comunicado.</w:t>
            </w:r>
          </w:p>
        </w:tc>
      </w:tr>
      <w:tr w:rsidR="00F26498" w:rsidRPr="002A4062" w14:paraId="7F968772" w14:textId="77777777">
        <w:tc>
          <w:tcPr>
            <w:tcW w:w="1129" w:type="dxa"/>
          </w:tcPr>
          <w:p w14:paraId="2290BC7E"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0030</w:t>
            </w:r>
          </w:p>
        </w:tc>
        <w:tc>
          <w:tcPr>
            <w:tcW w:w="7620" w:type="dxa"/>
          </w:tcPr>
          <w:p w14:paraId="259BFD20"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Nome da empresa</w:t>
            </w:r>
          </w:p>
          <w:p w14:paraId="6C4A75CF"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Style w:val="InstructionsTabelleText"/>
                <w:rFonts w:ascii="Times New Roman" w:hAnsi="Times New Roman"/>
                <w:sz w:val="22"/>
              </w:rPr>
              <w:t xml:space="preserve">Designação da empresa abrangida pelo perímetro de </w:t>
            </w:r>
            <w:r w:rsidRPr="002A4062">
              <w:rPr>
                <w:rStyle w:val="InstructionsTabelleText"/>
                <w:rFonts w:ascii="Times New Roman" w:hAnsi="Times New Roman"/>
                <w:sz w:val="22"/>
              </w:rPr>
              <w:t>consolidação.</w:t>
            </w:r>
          </w:p>
        </w:tc>
      </w:tr>
      <w:tr w:rsidR="00F26498" w:rsidRPr="002A4062" w14:paraId="5109FB0C" w14:textId="77777777">
        <w:tc>
          <w:tcPr>
            <w:tcW w:w="1129" w:type="dxa"/>
          </w:tcPr>
          <w:p w14:paraId="4CD72D5B"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0040</w:t>
            </w:r>
          </w:p>
        </w:tc>
        <w:tc>
          <w:tcPr>
            <w:tcW w:w="7620" w:type="dxa"/>
          </w:tcPr>
          <w:p w14:paraId="75F3C928" w14:textId="77777777" w:rsidR="00F26498" w:rsidRPr="002A4062" w:rsidRDefault="002A4062">
            <w:pPr>
              <w:spacing w:after="120" w:line="240" w:lineRule="auto"/>
              <w:jc w:val="both"/>
              <w:rPr>
                <w:rFonts w:ascii="Times New Roman" w:eastAsia="Times New Roman" w:hAnsi="Times New Roman" w:cs="Times New Roman"/>
                <w:b/>
                <w:bCs/>
              </w:rPr>
            </w:pPr>
            <w:r w:rsidRPr="002A4062">
              <w:rPr>
                <w:rFonts w:ascii="Times New Roman" w:hAnsi="Times New Roman"/>
                <w:b/>
                <w:bCs/>
              </w:rPr>
              <w:t>Empresa-mãe/filial</w:t>
            </w:r>
          </w:p>
          <w:p w14:paraId="24790037"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Indica se a entidade apresentada na linha é a empresa-mãe do grupo ou uma filial</w:t>
            </w:r>
          </w:p>
        </w:tc>
      </w:tr>
      <w:tr w:rsidR="00F26498" w:rsidRPr="002A4062" w14:paraId="7B243172" w14:textId="77777777">
        <w:tc>
          <w:tcPr>
            <w:tcW w:w="1129" w:type="dxa"/>
          </w:tcPr>
          <w:p w14:paraId="06F0D6A0"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0050</w:t>
            </w:r>
          </w:p>
        </w:tc>
        <w:tc>
          <w:tcPr>
            <w:tcW w:w="7620" w:type="dxa"/>
          </w:tcPr>
          <w:p w14:paraId="606674BE"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País</w:t>
            </w:r>
          </w:p>
          <w:p w14:paraId="559974D7" w14:textId="77777777" w:rsidR="00F26498" w:rsidRPr="002A4062" w:rsidRDefault="002A4062">
            <w:pPr>
              <w:autoSpaceDE w:val="0"/>
              <w:autoSpaceDN w:val="0"/>
              <w:spacing w:before="40" w:after="40" w:line="240" w:lineRule="auto"/>
              <w:rPr>
                <w:rFonts w:ascii="Times New Roman" w:eastAsia="Times New Roman" w:hAnsi="Times New Roman" w:cs="Times New Roman"/>
                <w:b/>
                <w:bCs/>
                <w:u w:val="single"/>
              </w:rPr>
            </w:pPr>
            <w:r w:rsidRPr="002A4062">
              <w:rPr>
                <w:rStyle w:val="InstructionsTabelleText"/>
                <w:rFonts w:ascii="Times New Roman" w:hAnsi="Times New Roman"/>
                <w:sz w:val="22"/>
              </w:rPr>
              <w:t>Deve ser comunicado o país onde está localizada a filial.</w:t>
            </w:r>
          </w:p>
        </w:tc>
      </w:tr>
      <w:tr w:rsidR="00F26498" w:rsidRPr="002A4062" w14:paraId="209C9011" w14:textId="77777777">
        <w:tc>
          <w:tcPr>
            <w:tcW w:w="1129" w:type="dxa"/>
          </w:tcPr>
          <w:p w14:paraId="3689DE59"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 xml:space="preserve">0060 </w:t>
            </w:r>
            <w:r w:rsidRPr="002A4062">
              <w:rPr>
                <w:rFonts w:ascii="Times New Roman" w:hAnsi="Times New Roman"/>
                <w:bCs/>
              </w:rPr>
              <w:t>- 010</w:t>
            </w:r>
            <w:r w:rsidRPr="002A4062">
              <w:rPr>
                <w:rFonts w:ascii="Times New Roman" w:hAnsi="Times New Roman"/>
                <w:bCs/>
              </w:rPr>
              <w:t>0</w:t>
            </w:r>
          </w:p>
        </w:tc>
        <w:tc>
          <w:tcPr>
            <w:tcW w:w="7620" w:type="dxa"/>
          </w:tcPr>
          <w:p w14:paraId="6223C097"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Investimentos da empresa-mãe</w:t>
            </w:r>
          </w:p>
          <w:p w14:paraId="10A04CE8"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8.</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3, alínea</w:t>
            </w:r>
            <w:r w:rsidRPr="002A4062">
              <w:rPr>
                <w:rFonts w:ascii="Times New Roman" w:hAnsi="Times New Roman"/>
                <w:bCs/>
              </w:rPr>
              <w:t xml:space="preserve"> a), do Regulamento (UE) 2019/2033.</w:t>
            </w:r>
          </w:p>
          <w:p w14:paraId="70B310E8"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Cs/>
              </w:rPr>
              <w:t>Na presente secção, devem ser comunicados os investimentos da empresa-mãe nas entidades do grupo.</w:t>
            </w:r>
          </w:p>
        </w:tc>
      </w:tr>
      <w:tr w:rsidR="00F26498" w:rsidRPr="002A4062" w14:paraId="2655C92A" w14:textId="77777777">
        <w:tc>
          <w:tcPr>
            <w:tcW w:w="1129" w:type="dxa"/>
            <w:tcBorders>
              <w:top w:val="single" w:sz="4" w:space="0" w:color="auto"/>
              <w:left w:val="single" w:sz="4" w:space="0" w:color="auto"/>
              <w:bottom w:val="single" w:sz="4" w:space="0" w:color="auto"/>
              <w:right w:val="single" w:sz="4" w:space="0" w:color="auto"/>
            </w:tcBorders>
          </w:tcPr>
          <w:p w14:paraId="314F925A"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0060</w:t>
            </w:r>
          </w:p>
        </w:tc>
        <w:tc>
          <w:tcPr>
            <w:tcW w:w="7620" w:type="dxa"/>
            <w:tcBorders>
              <w:top w:val="single" w:sz="4" w:space="0" w:color="auto"/>
              <w:left w:val="single" w:sz="4" w:space="0" w:color="auto"/>
              <w:bottom w:val="single" w:sz="4" w:space="0" w:color="auto"/>
              <w:right w:val="single" w:sz="4" w:space="0" w:color="auto"/>
            </w:tcBorders>
          </w:tcPr>
          <w:p w14:paraId="54AE46AF"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
                <w:bCs/>
                <w:u w:val="single"/>
              </w:rPr>
              <w:t>FPP1</w:t>
            </w:r>
          </w:p>
          <w:p w14:paraId="3CDA860F"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Cs/>
              </w:rPr>
              <w:t>Artigo 8.</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3, alínea a), do Regulamento (UE) 2019/2033, conjugado com o artigo 36.</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xml:space="preserve"> 1, alínea i), </w:t>
            </w:r>
            <w:r w:rsidRPr="002A4062">
              <w:rPr>
                <w:rFonts w:ascii="Times New Roman" w:hAnsi="Times New Roman"/>
                <w:bCs/>
              </w:rPr>
              <w:t>do Regulamento (UE) n.</w:t>
            </w:r>
            <w:r w:rsidRPr="002A4062">
              <w:rPr>
                <w:rFonts w:ascii="Times New Roman" w:hAnsi="Times New Roman"/>
                <w:bCs/>
                <w:vertAlign w:val="superscript"/>
              </w:rPr>
              <w:t>o</w:t>
            </w:r>
            <w:r w:rsidRPr="002A4062">
              <w:rPr>
                <w:rFonts w:ascii="Times New Roman" w:hAnsi="Times New Roman"/>
                <w:bCs/>
              </w:rPr>
              <w:t> 575/2013.</w:t>
            </w:r>
          </w:p>
        </w:tc>
      </w:tr>
      <w:tr w:rsidR="00F26498" w:rsidRPr="002A4062" w14:paraId="137FD057" w14:textId="77777777">
        <w:tc>
          <w:tcPr>
            <w:tcW w:w="1129" w:type="dxa"/>
            <w:tcBorders>
              <w:top w:val="single" w:sz="4" w:space="0" w:color="auto"/>
              <w:bottom w:val="single" w:sz="4" w:space="0" w:color="auto"/>
            </w:tcBorders>
          </w:tcPr>
          <w:p w14:paraId="44131052"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0070</w:t>
            </w:r>
          </w:p>
        </w:tc>
        <w:tc>
          <w:tcPr>
            <w:tcW w:w="7620" w:type="dxa"/>
            <w:tcBorders>
              <w:top w:val="single" w:sz="4" w:space="0" w:color="auto"/>
              <w:bottom w:val="single" w:sz="4" w:space="0" w:color="auto"/>
            </w:tcBorders>
          </w:tcPr>
          <w:p w14:paraId="2A65FF3E"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
                <w:bCs/>
                <w:u w:val="single"/>
              </w:rPr>
              <w:t>FPA1</w:t>
            </w:r>
          </w:p>
          <w:p w14:paraId="25FDC51E"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lastRenderedPageBreak/>
              <w:t>Artigo 8.</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3, alínea a), do Regulamento (UE) 2019/2033, conjugado com o artigo 56.</w:t>
            </w:r>
            <w:r w:rsidRPr="002A4062">
              <w:rPr>
                <w:rFonts w:ascii="Times New Roman" w:hAnsi="Times New Roman"/>
                <w:bCs/>
                <w:vertAlign w:val="superscript"/>
              </w:rPr>
              <w:t>o</w:t>
            </w:r>
            <w:r w:rsidRPr="002A4062">
              <w:rPr>
                <w:rFonts w:ascii="Times New Roman" w:hAnsi="Times New Roman"/>
                <w:bCs/>
              </w:rPr>
              <w:t>, alínea d), do Regulamento (UE) n.</w:t>
            </w:r>
            <w:r w:rsidRPr="002A4062">
              <w:rPr>
                <w:rFonts w:ascii="Times New Roman" w:hAnsi="Times New Roman"/>
                <w:bCs/>
                <w:vertAlign w:val="superscript"/>
              </w:rPr>
              <w:t>o</w:t>
            </w:r>
            <w:r w:rsidRPr="002A4062">
              <w:rPr>
                <w:rFonts w:ascii="Times New Roman" w:hAnsi="Times New Roman"/>
                <w:bCs/>
              </w:rPr>
              <w:t> 575/2013.</w:t>
            </w:r>
          </w:p>
        </w:tc>
      </w:tr>
      <w:tr w:rsidR="00F26498" w:rsidRPr="002A4062" w14:paraId="09EFFAEA" w14:textId="77777777">
        <w:tc>
          <w:tcPr>
            <w:tcW w:w="1129" w:type="dxa"/>
            <w:tcBorders>
              <w:top w:val="single" w:sz="4" w:space="0" w:color="auto"/>
              <w:bottom w:val="single" w:sz="4" w:space="0" w:color="auto"/>
            </w:tcBorders>
          </w:tcPr>
          <w:p w14:paraId="2968552D"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lastRenderedPageBreak/>
              <w:t>0080</w:t>
            </w:r>
          </w:p>
        </w:tc>
        <w:tc>
          <w:tcPr>
            <w:tcW w:w="7620" w:type="dxa"/>
            <w:tcBorders>
              <w:top w:val="single" w:sz="4" w:space="0" w:color="auto"/>
              <w:bottom w:val="single" w:sz="4" w:space="0" w:color="auto"/>
            </w:tcBorders>
          </w:tcPr>
          <w:p w14:paraId="22986256"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FP2</w:t>
            </w:r>
          </w:p>
          <w:p w14:paraId="4B013F8E"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Cs/>
              </w:rPr>
              <w:t>Artigo 8.</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3, alínea a), do Regulamento (UE) 2019/2033, conju</w:t>
            </w:r>
            <w:r w:rsidRPr="002A4062">
              <w:rPr>
                <w:rFonts w:ascii="Times New Roman" w:hAnsi="Times New Roman"/>
                <w:bCs/>
              </w:rPr>
              <w:t>gado com o artigo 66.</w:t>
            </w:r>
            <w:r w:rsidRPr="002A4062">
              <w:rPr>
                <w:rFonts w:ascii="Times New Roman" w:hAnsi="Times New Roman"/>
                <w:bCs/>
                <w:vertAlign w:val="superscript"/>
              </w:rPr>
              <w:t>o</w:t>
            </w:r>
            <w:r w:rsidRPr="002A4062">
              <w:rPr>
                <w:rFonts w:ascii="Times New Roman" w:hAnsi="Times New Roman"/>
                <w:bCs/>
              </w:rPr>
              <w:t>, alínea d), do Regulamento (UE) n.</w:t>
            </w:r>
            <w:r w:rsidRPr="002A4062">
              <w:rPr>
                <w:rFonts w:ascii="Times New Roman" w:hAnsi="Times New Roman"/>
                <w:bCs/>
                <w:vertAlign w:val="superscript"/>
              </w:rPr>
              <w:t>o</w:t>
            </w:r>
            <w:r w:rsidRPr="002A4062">
              <w:rPr>
                <w:rFonts w:ascii="Times New Roman" w:hAnsi="Times New Roman"/>
                <w:bCs/>
              </w:rPr>
              <w:t> 575/2013.</w:t>
            </w:r>
          </w:p>
        </w:tc>
      </w:tr>
      <w:tr w:rsidR="00F26498" w:rsidRPr="002A4062" w14:paraId="182AE8CD" w14:textId="77777777">
        <w:tc>
          <w:tcPr>
            <w:tcW w:w="1129" w:type="dxa"/>
          </w:tcPr>
          <w:p w14:paraId="56798BB1"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0090</w:t>
            </w:r>
          </w:p>
        </w:tc>
        <w:tc>
          <w:tcPr>
            <w:tcW w:w="7620" w:type="dxa"/>
          </w:tcPr>
          <w:p w14:paraId="0FF0F758"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Participações</w:t>
            </w:r>
          </w:p>
          <w:p w14:paraId="2A4DAFFB"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8.</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3, alínea a), do Regulamento (UE) 2019/2033.</w:t>
            </w:r>
          </w:p>
          <w:p w14:paraId="0164EED4"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 xml:space="preserve">Esta coluna inclui participações da empresa-mãe na medida em que não constituam fundos próprios da </w:t>
            </w:r>
            <w:r w:rsidRPr="002A4062">
              <w:rPr>
                <w:rFonts w:ascii="Times New Roman" w:hAnsi="Times New Roman"/>
                <w:bCs/>
              </w:rPr>
              <w:t>entidade do grupo em que a empresa-mãe detém investimentos.</w:t>
            </w:r>
          </w:p>
        </w:tc>
      </w:tr>
      <w:tr w:rsidR="00F26498" w:rsidRPr="002A4062" w14:paraId="4EECB6D5" w14:textId="77777777">
        <w:tc>
          <w:tcPr>
            <w:tcW w:w="1129" w:type="dxa"/>
            <w:tcBorders>
              <w:bottom w:val="single" w:sz="4" w:space="0" w:color="auto"/>
            </w:tcBorders>
          </w:tcPr>
          <w:p w14:paraId="4131B347"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0100</w:t>
            </w:r>
          </w:p>
        </w:tc>
        <w:tc>
          <w:tcPr>
            <w:tcW w:w="7620" w:type="dxa"/>
            <w:tcBorders>
              <w:bottom w:val="single" w:sz="4" w:space="0" w:color="auto"/>
            </w:tcBorders>
          </w:tcPr>
          <w:p w14:paraId="2AB76F9E"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
                <w:bCs/>
                <w:u w:val="single"/>
              </w:rPr>
              <w:t>Créditos subordinados</w:t>
            </w:r>
          </w:p>
          <w:p w14:paraId="5A41C0D6"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8.</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3, alínea a), do Regulamento (UE) 2019/2033.</w:t>
            </w:r>
          </w:p>
          <w:p w14:paraId="278FB3AD"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Cs/>
              </w:rPr>
              <w:t xml:space="preserve">Esta coluna inclui créditos subordinados da empresa-mãe na medida em que não constituam fundos próprios da </w:t>
            </w:r>
            <w:r w:rsidRPr="002A4062">
              <w:rPr>
                <w:rFonts w:ascii="Times New Roman" w:hAnsi="Times New Roman"/>
                <w:bCs/>
              </w:rPr>
              <w:t>entidade do grupo em que a empresa-mãe detém investimentos.</w:t>
            </w:r>
          </w:p>
        </w:tc>
      </w:tr>
      <w:tr w:rsidR="00F26498" w:rsidRPr="002A4062" w14:paraId="7EC973D7" w14:textId="77777777">
        <w:tc>
          <w:tcPr>
            <w:tcW w:w="1129" w:type="dxa"/>
            <w:tcBorders>
              <w:top w:val="single" w:sz="4" w:space="0" w:color="auto"/>
              <w:bottom w:val="single" w:sz="4" w:space="0" w:color="auto"/>
            </w:tcBorders>
          </w:tcPr>
          <w:p w14:paraId="6A2EF20D"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0110</w:t>
            </w:r>
          </w:p>
        </w:tc>
        <w:tc>
          <w:tcPr>
            <w:tcW w:w="7620" w:type="dxa"/>
            <w:tcBorders>
              <w:top w:val="single" w:sz="4" w:space="0" w:color="auto"/>
              <w:bottom w:val="single" w:sz="4" w:space="0" w:color="auto"/>
            </w:tcBorders>
          </w:tcPr>
          <w:p w14:paraId="2608D369"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Passivos contingentes da empresa-mãe a favor da entidade</w:t>
            </w:r>
          </w:p>
          <w:p w14:paraId="3BA33232"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8.</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3, alínea b), do Regulamento (UE) 2019/2033.</w:t>
            </w:r>
          </w:p>
        </w:tc>
      </w:tr>
      <w:tr w:rsidR="00F26498" w:rsidRPr="002A4062" w14:paraId="184D41AB" w14:textId="77777777">
        <w:tc>
          <w:tcPr>
            <w:tcW w:w="1129" w:type="dxa"/>
            <w:tcBorders>
              <w:top w:val="single" w:sz="4" w:space="0" w:color="auto"/>
              <w:bottom w:val="single" w:sz="4" w:space="0" w:color="auto"/>
            </w:tcBorders>
          </w:tcPr>
          <w:p w14:paraId="116DEA7B"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0120</w:t>
            </w:r>
          </w:p>
        </w:tc>
        <w:tc>
          <w:tcPr>
            <w:tcW w:w="7620" w:type="dxa"/>
            <w:tcBorders>
              <w:top w:val="single" w:sz="4" w:space="0" w:color="auto"/>
              <w:bottom w:val="single" w:sz="4" w:space="0" w:color="auto"/>
            </w:tcBorders>
          </w:tcPr>
          <w:p w14:paraId="40C92F66"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Requisitos totais de fundos próprios das empresas filiais</w:t>
            </w:r>
          </w:p>
          <w:p w14:paraId="012C372C"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Artigo 8.</w:t>
            </w:r>
            <w:r w:rsidRPr="002A4062">
              <w:rPr>
                <w:rFonts w:ascii="Times New Roman" w:hAnsi="Times New Roman"/>
                <w:bCs/>
                <w:vertAlign w:val="superscript"/>
              </w:rPr>
              <w:t>o</w:t>
            </w:r>
            <w:r w:rsidRPr="002A4062">
              <w:rPr>
                <w:rFonts w:ascii="Times New Roman" w:hAnsi="Times New Roman"/>
                <w:bCs/>
              </w:rPr>
              <w:t>, n.</w:t>
            </w:r>
            <w:r w:rsidRPr="002A4062">
              <w:rPr>
                <w:rFonts w:ascii="Times New Roman" w:hAnsi="Times New Roman"/>
                <w:bCs/>
                <w:vertAlign w:val="superscript"/>
              </w:rPr>
              <w:t>o</w:t>
            </w:r>
            <w:r w:rsidRPr="002A4062">
              <w:rPr>
                <w:rFonts w:ascii="Times New Roman" w:hAnsi="Times New Roman"/>
                <w:bCs/>
              </w:rPr>
              <w:t> 4, do Regulamento (UE) 2019/2033.</w:t>
            </w:r>
          </w:p>
        </w:tc>
      </w:tr>
      <w:tr w:rsidR="00F26498" w:rsidRPr="002A4062" w14:paraId="1F886593" w14:textId="77777777">
        <w:tc>
          <w:tcPr>
            <w:tcW w:w="1129" w:type="dxa"/>
            <w:tcBorders>
              <w:top w:val="single" w:sz="4" w:space="0" w:color="auto"/>
              <w:bottom w:val="single" w:sz="4" w:space="0" w:color="auto"/>
            </w:tcBorders>
          </w:tcPr>
          <w:p w14:paraId="66DCF6D1"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0130</w:t>
            </w:r>
          </w:p>
        </w:tc>
        <w:tc>
          <w:tcPr>
            <w:tcW w:w="7620" w:type="dxa"/>
            <w:tcBorders>
              <w:top w:val="single" w:sz="4" w:space="0" w:color="auto"/>
              <w:bottom w:val="single" w:sz="4" w:space="0" w:color="auto"/>
            </w:tcBorders>
          </w:tcPr>
          <w:p w14:paraId="45F59005"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Requisito de capital mínimo permanente</w:t>
            </w:r>
          </w:p>
          <w:p w14:paraId="78A2FB1C" w14:textId="77777777" w:rsidR="00F26498" w:rsidRPr="002A4062" w:rsidRDefault="002A4062">
            <w:pPr>
              <w:spacing w:after="120" w:line="240" w:lineRule="auto"/>
              <w:jc w:val="both"/>
              <w:rPr>
                <w:rFonts w:ascii="Times New Roman" w:eastAsia="Times New Roman" w:hAnsi="Times New Roman" w:cs="Times New Roman"/>
                <w:bCs/>
                <w:color w:val="000000" w:themeColor="text1"/>
              </w:rPr>
            </w:pPr>
            <w:r w:rsidRPr="002A4062">
              <w:rPr>
                <w:rFonts w:ascii="Times New Roman" w:hAnsi="Times New Roman"/>
                <w:bCs/>
                <w:color w:val="000000" w:themeColor="text1"/>
              </w:rPr>
              <w:t>Artigo 14.</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xml:space="preserve"> do Regulamento (UE) 2019/2033.</w:t>
            </w:r>
          </w:p>
        </w:tc>
      </w:tr>
      <w:tr w:rsidR="00F26498" w:rsidRPr="002A4062" w14:paraId="1054DB04" w14:textId="77777777">
        <w:tc>
          <w:tcPr>
            <w:tcW w:w="1129" w:type="dxa"/>
            <w:tcBorders>
              <w:top w:val="single" w:sz="4" w:space="0" w:color="auto"/>
              <w:bottom w:val="single" w:sz="4" w:space="0" w:color="auto"/>
            </w:tcBorders>
          </w:tcPr>
          <w:p w14:paraId="4EAD6A61"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0140</w:t>
            </w:r>
          </w:p>
        </w:tc>
        <w:tc>
          <w:tcPr>
            <w:tcW w:w="7620" w:type="dxa"/>
            <w:tcBorders>
              <w:top w:val="single" w:sz="4" w:space="0" w:color="auto"/>
              <w:bottom w:val="single" w:sz="4" w:space="0" w:color="auto"/>
            </w:tcBorders>
          </w:tcPr>
          <w:p w14:paraId="6DD6EAFF"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Requisito baseado nos fatores K</w:t>
            </w:r>
          </w:p>
          <w:p w14:paraId="690217B8" w14:textId="77777777" w:rsidR="00F26498" w:rsidRPr="002A4062" w:rsidRDefault="002A4062">
            <w:pPr>
              <w:spacing w:after="120" w:line="240" w:lineRule="auto"/>
              <w:jc w:val="both"/>
              <w:rPr>
                <w:rFonts w:ascii="Times New Roman" w:eastAsia="Times New Roman" w:hAnsi="Times New Roman" w:cs="Times New Roman"/>
                <w:bCs/>
                <w:color w:val="000000" w:themeColor="text1"/>
              </w:rPr>
            </w:pPr>
            <w:r w:rsidRPr="002A4062">
              <w:rPr>
                <w:rFonts w:ascii="Times New Roman" w:hAnsi="Times New Roman"/>
                <w:bCs/>
                <w:color w:val="000000" w:themeColor="text1"/>
              </w:rPr>
              <w:t>Artigo 15.</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xml:space="preserve"> do Regulamento (UE) 2019/2033.</w:t>
            </w:r>
          </w:p>
        </w:tc>
      </w:tr>
      <w:tr w:rsidR="00F26498" w:rsidRPr="002A4062" w14:paraId="755BCAC4" w14:textId="77777777">
        <w:tc>
          <w:tcPr>
            <w:tcW w:w="1129" w:type="dxa"/>
            <w:tcBorders>
              <w:top w:val="single" w:sz="4" w:space="0" w:color="auto"/>
            </w:tcBorders>
          </w:tcPr>
          <w:p w14:paraId="2262F4E2"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0150</w:t>
            </w:r>
          </w:p>
        </w:tc>
        <w:tc>
          <w:tcPr>
            <w:tcW w:w="7620" w:type="dxa"/>
            <w:tcBorders>
              <w:top w:val="single" w:sz="4" w:space="0" w:color="auto"/>
            </w:tcBorders>
          </w:tcPr>
          <w:p w14:paraId="49594011"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Ativos sob gestão</w:t>
            </w:r>
          </w:p>
          <w:p w14:paraId="7FFBAE54" w14:textId="77777777" w:rsidR="00F26498" w:rsidRPr="002A4062" w:rsidRDefault="002A4062">
            <w:pPr>
              <w:spacing w:after="120" w:line="240" w:lineRule="auto"/>
              <w:jc w:val="both"/>
              <w:rPr>
                <w:rFonts w:ascii="Times New Roman" w:eastAsia="Times New Roman" w:hAnsi="Times New Roman" w:cs="Times New Roman"/>
                <w:bCs/>
                <w:color w:val="000000" w:themeColor="text1"/>
              </w:rPr>
            </w:pPr>
            <w:r w:rsidRPr="002A4062">
              <w:rPr>
                <w:rFonts w:ascii="Times New Roman" w:hAnsi="Times New Roman"/>
                <w:bCs/>
                <w:color w:val="000000" w:themeColor="text1"/>
              </w:rPr>
              <w:t>Artigo 15.</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w:t>
            </w:r>
            <w:r w:rsidRPr="002A4062">
              <w:rPr>
                <w:rFonts w:ascii="Times New Roman" w:hAnsi="Times New Roman"/>
                <w:bCs/>
                <w:color w:val="000000" w:themeColor="text1"/>
              </w:rPr>
              <w:t xml:space="preserve"> n.</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2, e artigo 17.</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xml:space="preserve"> do Regulamento (UE) 2019/2033.</w:t>
            </w:r>
          </w:p>
        </w:tc>
      </w:tr>
      <w:tr w:rsidR="00F26498" w:rsidRPr="002A4062" w14:paraId="57E1536A" w14:textId="77777777">
        <w:tc>
          <w:tcPr>
            <w:tcW w:w="1129" w:type="dxa"/>
            <w:tcBorders>
              <w:top w:val="single" w:sz="4" w:space="0" w:color="auto"/>
            </w:tcBorders>
          </w:tcPr>
          <w:p w14:paraId="5D7EC3F4"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0160</w:t>
            </w:r>
          </w:p>
        </w:tc>
        <w:tc>
          <w:tcPr>
            <w:tcW w:w="7620" w:type="dxa"/>
            <w:tcBorders>
              <w:top w:val="single" w:sz="4" w:space="0" w:color="auto"/>
            </w:tcBorders>
          </w:tcPr>
          <w:p w14:paraId="63304021"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Fundos de clientes detidos - Segregados</w:t>
            </w:r>
          </w:p>
          <w:p w14:paraId="4D191FAF" w14:textId="77777777" w:rsidR="00F26498" w:rsidRPr="002A4062" w:rsidRDefault="002A4062">
            <w:pPr>
              <w:spacing w:after="120" w:line="240" w:lineRule="auto"/>
              <w:jc w:val="both"/>
              <w:rPr>
                <w:rFonts w:ascii="Times New Roman" w:eastAsia="Times New Roman" w:hAnsi="Times New Roman" w:cs="Times New Roman"/>
                <w:bCs/>
                <w:color w:val="000000" w:themeColor="text1"/>
              </w:rPr>
            </w:pPr>
            <w:r w:rsidRPr="002A4062">
              <w:rPr>
                <w:rFonts w:ascii="Times New Roman" w:hAnsi="Times New Roman"/>
                <w:bCs/>
                <w:color w:val="000000" w:themeColor="text1"/>
              </w:rPr>
              <w:t>Artigo 15.</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n.</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2, e artigo 18.</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xml:space="preserve"> do Regulamento (UE) 2019/2033.</w:t>
            </w:r>
          </w:p>
        </w:tc>
      </w:tr>
      <w:tr w:rsidR="00F26498" w:rsidRPr="002A4062" w14:paraId="7231BA59" w14:textId="77777777">
        <w:tc>
          <w:tcPr>
            <w:tcW w:w="1129" w:type="dxa"/>
            <w:tcBorders>
              <w:top w:val="single" w:sz="4" w:space="0" w:color="auto"/>
            </w:tcBorders>
          </w:tcPr>
          <w:p w14:paraId="7A49F759"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0170</w:t>
            </w:r>
          </w:p>
        </w:tc>
        <w:tc>
          <w:tcPr>
            <w:tcW w:w="7620" w:type="dxa"/>
            <w:tcBorders>
              <w:top w:val="single" w:sz="4" w:space="0" w:color="auto"/>
            </w:tcBorders>
          </w:tcPr>
          <w:p w14:paraId="02A31C7A"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Fundos de clientes detidos - Não segregados</w:t>
            </w:r>
          </w:p>
          <w:p w14:paraId="468833A2" w14:textId="77777777" w:rsidR="00F26498" w:rsidRPr="002A4062" w:rsidRDefault="002A4062">
            <w:pPr>
              <w:spacing w:after="120" w:line="240" w:lineRule="auto"/>
              <w:jc w:val="both"/>
              <w:rPr>
                <w:rFonts w:ascii="Times New Roman" w:eastAsia="Times New Roman" w:hAnsi="Times New Roman" w:cs="Times New Roman"/>
                <w:bCs/>
                <w:color w:val="000000" w:themeColor="text1"/>
              </w:rPr>
            </w:pPr>
            <w:r w:rsidRPr="002A4062">
              <w:rPr>
                <w:rFonts w:ascii="Times New Roman" w:hAnsi="Times New Roman"/>
                <w:bCs/>
                <w:color w:val="000000" w:themeColor="text1"/>
              </w:rPr>
              <w:t>Artigo 15.</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n.</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2, e artigo 18.</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xml:space="preserve"> do Regulamento (UE) 2019/2033.</w:t>
            </w:r>
          </w:p>
        </w:tc>
      </w:tr>
      <w:tr w:rsidR="00F26498" w:rsidRPr="002A4062" w14:paraId="7F7BCA0E" w14:textId="77777777">
        <w:tc>
          <w:tcPr>
            <w:tcW w:w="1129" w:type="dxa"/>
            <w:tcBorders>
              <w:top w:val="single" w:sz="4" w:space="0" w:color="auto"/>
            </w:tcBorders>
          </w:tcPr>
          <w:p w14:paraId="78C6D9C5"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0180</w:t>
            </w:r>
          </w:p>
        </w:tc>
        <w:tc>
          <w:tcPr>
            <w:tcW w:w="7620" w:type="dxa"/>
            <w:tcBorders>
              <w:top w:val="single" w:sz="4" w:space="0" w:color="auto"/>
            </w:tcBorders>
          </w:tcPr>
          <w:p w14:paraId="7F9D5B11" w14:textId="77777777" w:rsidR="00F26498" w:rsidRPr="002A4062" w:rsidRDefault="002A4062">
            <w:pPr>
              <w:tabs>
                <w:tab w:val="left" w:pos="3948"/>
              </w:tabs>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Ativos objeto de guarda e administração</w:t>
            </w:r>
          </w:p>
          <w:p w14:paraId="52BB88CC" w14:textId="77777777" w:rsidR="00F26498" w:rsidRPr="002A4062" w:rsidRDefault="002A4062">
            <w:pPr>
              <w:spacing w:after="120" w:line="240" w:lineRule="auto"/>
              <w:jc w:val="both"/>
              <w:rPr>
                <w:rFonts w:ascii="Times New Roman" w:eastAsia="Times New Roman" w:hAnsi="Times New Roman" w:cs="Times New Roman"/>
                <w:bCs/>
                <w:color w:val="000000" w:themeColor="text1"/>
              </w:rPr>
            </w:pPr>
            <w:r w:rsidRPr="002A4062">
              <w:rPr>
                <w:rFonts w:ascii="Times New Roman" w:hAnsi="Times New Roman"/>
                <w:bCs/>
                <w:color w:val="000000" w:themeColor="text1"/>
              </w:rPr>
              <w:t>Artigo 15.</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n.</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2, e artigo 19.</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xml:space="preserve"> do Regulamento (UE) 2019/2033. </w:t>
            </w:r>
          </w:p>
        </w:tc>
      </w:tr>
      <w:tr w:rsidR="00F26498" w:rsidRPr="002A4062" w14:paraId="3830E429" w14:textId="77777777">
        <w:tc>
          <w:tcPr>
            <w:tcW w:w="1129" w:type="dxa"/>
            <w:tcBorders>
              <w:top w:val="single" w:sz="4" w:space="0" w:color="auto"/>
            </w:tcBorders>
          </w:tcPr>
          <w:p w14:paraId="4B037405"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0190</w:t>
            </w:r>
          </w:p>
        </w:tc>
        <w:tc>
          <w:tcPr>
            <w:tcW w:w="7620" w:type="dxa"/>
            <w:tcBorders>
              <w:top w:val="single" w:sz="4" w:space="0" w:color="auto"/>
            </w:tcBorders>
          </w:tcPr>
          <w:p w14:paraId="5E86C43F"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Ordens de clientes tratadas - Transações em numerário</w:t>
            </w:r>
          </w:p>
          <w:p w14:paraId="73239C52" w14:textId="77777777" w:rsidR="00F26498" w:rsidRPr="002A4062" w:rsidRDefault="002A4062">
            <w:pPr>
              <w:spacing w:after="120" w:line="240" w:lineRule="auto"/>
              <w:jc w:val="both"/>
              <w:rPr>
                <w:rFonts w:ascii="Times New Roman" w:eastAsia="Times New Roman" w:hAnsi="Times New Roman" w:cs="Times New Roman"/>
                <w:bCs/>
                <w:color w:val="000000" w:themeColor="text1"/>
              </w:rPr>
            </w:pPr>
            <w:r w:rsidRPr="002A4062">
              <w:rPr>
                <w:rFonts w:ascii="Times New Roman" w:hAnsi="Times New Roman"/>
                <w:bCs/>
                <w:color w:val="000000" w:themeColor="text1"/>
              </w:rPr>
              <w:t>Artigo 15.</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n.</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2, artigo 20.</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n.</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1, e artigo 20.</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n.</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2, alínea a), do Regulamento (UE) 2019/2033.</w:t>
            </w:r>
          </w:p>
        </w:tc>
      </w:tr>
      <w:tr w:rsidR="00F26498" w:rsidRPr="002A4062" w14:paraId="1BCA6B73" w14:textId="77777777">
        <w:tc>
          <w:tcPr>
            <w:tcW w:w="1129" w:type="dxa"/>
            <w:tcBorders>
              <w:top w:val="single" w:sz="4" w:space="0" w:color="auto"/>
            </w:tcBorders>
          </w:tcPr>
          <w:p w14:paraId="46ADC1CD"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0200</w:t>
            </w:r>
          </w:p>
        </w:tc>
        <w:tc>
          <w:tcPr>
            <w:tcW w:w="7620" w:type="dxa"/>
            <w:tcBorders>
              <w:top w:val="single" w:sz="4" w:space="0" w:color="auto"/>
            </w:tcBorders>
          </w:tcPr>
          <w:p w14:paraId="12F0A533"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Ordens de clientes tratadas - Transações de derivados</w:t>
            </w:r>
          </w:p>
          <w:p w14:paraId="34FE5332" w14:textId="77777777" w:rsidR="00F26498" w:rsidRPr="002A4062" w:rsidRDefault="002A4062">
            <w:pPr>
              <w:spacing w:after="120" w:line="240" w:lineRule="auto"/>
              <w:jc w:val="both"/>
              <w:rPr>
                <w:rFonts w:ascii="Times New Roman" w:eastAsia="Times New Roman" w:hAnsi="Times New Roman" w:cs="Times New Roman"/>
                <w:bCs/>
                <w:color w:val="000000" w:themeColor="text1"/>
              </w:rPr>
            </w:pPr>
            <w:r w:rsidRPr="002A4062">
              <w:rPr>
                <w:rFonts w:ascii="Times New Roman" w:hAnsi="Times New Roman"/>
                <w:bCs/>
                <w:color w:val="000000" w:themeColor="text1"/>
              </w:rPr>
              <w:t>Artigo 15.</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n.</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2, artigo 20.</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n.</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1, e artigo 20.</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n.</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2, alínea b), do Regulamento (UE) 2019/2033.</w:t>
            </w:r>
          </w:p>
        </w:tc>
      </w:tr>
      <w:tr w:rsidR="00F26498" w:rsidRPr="002A4062" w14:paraId="0063D236" w14:textId="77777777">
        <w:tc>
          <w:tcPr>
            <w:tcW w:w="1129" w:type="dxa"/>
            <w:tcBorders>
              <w:top w:val="single" w:sz="4" w:space="0" w:color="auto"/>
            </w:tcBorders>
          </w:tcPr>
          <w:p w14:paraId="3F88DCCA"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0210</w:t>
            </w:r>
          </w:p>
        </w:tc>
        <w:tc>
          <w:tcPr>
            <w:tcW w:w="7620" w:type="dxa"/>
            <w:tcBorders>
              <w:top w:val="single" w:sz="4" w:space="0" w:color="auto"/>
            </w:tcBorders>
          </w:tcPr>
          <w:p w14:paraId="008B0C33"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 xml:space="preserve">Requisito </w:t>
            </w:r>
            <w:r w:rsidRPr="002A4062">
              <w:rPr>
                <w:rFonts w:ascii="Times New Roman" w:hAnsi="Times New Roman"/>
                <w:b/>
                <w:bCs/>
                <w:u w:val="single"/>
              </w:rPr>
              <w:t>correspondente a K-Risco de posição líquida</w:t>
            </w:r>
          </w:p>
          <w:p w14:paraId="715FB9B2" w14:textId="77777777" w:rsidR="00F26498" w:rsidRPr="002A4062" w:rsidRDefault="002A4062">
            <w:pPr>
              <w:spacing w:after="120" w:line="240" w:lineRule="auto"/>
              <w:jc w:val="both"/>
              <w:rPr>
                <w:rFonts w:ascii="Times New Roman" w:eastAsia="Times New Roman" w:hAnsi="Times New Roman" w:cs="Times New Roman"/>
                <w:bCs/>
                <w:color w:val="000000" w:themeColor="text1"/>
              </w:rPr>
            </w:pPr>
            <w:r w:rsidRPr="002A4062">
              <w:rPr>
                <w:rFonts w:ascii="Times New Roman" w:hAnsi="Times New Roman"/>
                <w:bCs/>
                <w:color w:val="000000" w:themeColor="text1"/>
              </w:rPr>
              <w:t>Artigo 22.</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xml:space="preserve"> do Regulamento (UE) 2019/2033.</w:t>
            </w:r>
          </w:p>
        </w:tc>
      </w:tr>
      <w:tr w:rsidR="00F26498" w:rsidRPr="002A4062" w14:paraId="313FA145" w14:textId="77777777">
        <w:tc>
          <w:tcPr>
            <w:tcW w:w="1129" w:type="dxa"/>
            <w:tcBorders>
              <w:top w:val="single" w:sz="4" w:space="0" w:color="auto"/>
            </w:tcBorders>
          </w:tcPr>
          <w:p w14:paraId="108419E4"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0220</w:t>
            </w:r>
          </w:p>
        </w:tc>
        <w:tc>
          <w:tcPr>
            <w:tcW w:w="7620" w:type="dxa"/>
            <w:tcBorders>
              <w:top w:val="single" w:sz="4" w:space="0" w:color="auto"/>
            </w:tcBorders>
          </w:tcPr>
          <w:p w14:paraId="36E2031E"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Margem de compensação concedida</w:t>
            </w:r>
          </w:p>
          <w:p w14:paraId="179E5C17" w14:textId="77777777" w:rsidR="00F26498" w:rsidRPr="002A4062" w:rsidRDefault="002A4062">
            <w:pPr>
              <w:spacing w:after="120" w:line="240" w:lineRule="auto"/>
              <w:jc w:val="both"/>
              <w:rPr>
                <w:rFonts w:ascii="Times New Roman" w:eastAsia="Times New Roman" w:hAnsi="Times New Roman" w:cs="Times New Roman"/>
                <w:bCs/>
                <w:color w:val="000000" w:themeColor="text1"/>
              </w:rPr>
            </w:pPr>
            <w:r w:rsidRPr="002A4062">
              <w:rPr>
                <w:rFonts w:ascii="Times New Roman" w:hAnsi="Times New Roman"/>
                <w:bCs/>
                <w:color w:val="000000" w:themeColor="text1"/>
              </w:rPr>
              <w:lastRenderedPageBreak/>
              <w:t>Artigo 23.</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n.</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2, do Regulamento (UE) 2019/2033.</w:t>
            </w:r>
          </w:p>
        </w:tc>
      </w:tr>
      <w:tr w:rsidR="00F26498" w:rsidRPr="002A4062" w14:paraId="5B773E7A" w14:textId="77777777">
        <w:tc>
          <w:tcPr>
            <w:tcW w:w="1129" w:type="dxa"/>
            <w:tcBorders>
              <w:top w:val="single" w:sz="4" w:space="0" w:color="auto"/>
            </w:tcBorders>
          </w:tcPr>
          <w:p w14:paraId="711A8F68"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lastRenderedPageBreak/>
              <w:t>0230</w:t>
            </w:r>
          </w:p>
        </w:tc>
        <w:tc>
          <w:tcPr>
            <w:tcW w:w="7620" w:type="dxa"/>
            <w:tcBorders>
              <w:top w:val="single" w:sz="4" w:space="0" w:color="auto"/>
            </w:tcBorders>
          </w:tcPr>
          <w:p w14:paraId="22FC8397"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Incumprimento da contraparte na negociação</w:t>
            </w:r>
          </w:p>
          <w:p w14:paraId="4C51069B" w14:textId="77777777" w:rsidR="00F26498" w:rsidRPr="002A4062" w:rsidRDefault="002A4062">
            <w:pPr>
              <w:spacing w:after="120" w:line="240" w:lineRule="auto"/>
              <w:jc w:val="both"/>
              <w:rPr>
                <w:rFonts w:ascii="Times New Roman" w:eastAsia="Times New Roman" w:hAnsi="Times New Roman" w:cs="Times New Roman"/>
                <w:bCs/>
                <w:color w:val="000000" w:themeColor="text1"/>
              </w:rPr>
            </w:pPr>
            <w:r w:rsidRPr="002A4062">
              <w:rPr>
                <w:rFonts w:ascii="Times New Roman" w:hAnsi="Times New Roman"/>
                <w:bCs/>
                <w:color w:val="000000" w:themeColor="text1"/>
              </w:rPr>
              <w:t>Artigos 24.</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xml:space="preserve"> e 26.° do Regulame</w:t>
            </w:r>
            <w:r w:rsidRPr="002A4062">
              <w:rPr>
                <w:rFonts w:ascii="Times New Roman" w:hAnsi="Times New Roman"/>
                <w:bCs/>
                <w:color w:val="000000" w:themeColor="text1"/>
              </w:rPr>
              <w:t>nto (UE) 2019/2033.</w:t>
            </w:r>
          </w:p>
        </w:tc>
      </w:tr>
      <w:tr w:rsidR="00F26498" w:rsidRPr="002A4062" w14:paraId="17025635" w14:textId="77777777">
        <w:tc>
          <w:tcPr>
            <w:tcW w:w="1129" w:type="dxa"/>
            <w:tcBorders>
              <w:top w:val="single" w:sz="4" w:space="0" w:color="auto"/>
            </w:tcBorders>
          </w:tcPr>
          <w:p w14:paraId="08A4A3D1"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0240</w:t>
            </w:r>
          </w:p>
        </w:tc>
        <w:tc>
          <w:tcPr>
            <w:tcW w:w="7620" w:type="dxa"/>
            <w:tcBorders>
              <w:top w:val="single" w:sz="4" w:space="0" w:color="auto"/>
            </w:tcBorders>
          </w:tcPr>
          <w:p w14:paraId="2F2D4612"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Fluxo diário de negociação - Transações em numerário</w:t>
            </w:r>
          </w:p>
          <w:p w14:paraId="76E5DC67" w14:textId="77777777" w:rsidR="00F26498" w:rsidRPr="002A4062" w:rsidRDefault="002A4062">
            <w:pPr>
              <w:spacing w:after="120" w:line="240" w:lineRule="auto"/>
              <w:jc w:val="both"/>
              <w:rPr>
                <w:rFonts w:ascii="Times New Roman" w:eastAsia="Times New Roman" w:hAnsi="Times New Roman" w:cs="Times New Roman"/>
                <w:bCs/>
                <w:color w:val="000000" w:themeColor="text1"/>
              </w:rPr>
            </w:pPr>
            <w:r w:rsidRPr="002A4062">
              <w:rPr>
                <w:rFonts w:ascii="Times New Roman" w:hAnsi="Times New Roman"/>
                <w:bCs/>
                <w:color w:val="000000" w:themeColor="text1"/>
              </w:rPr>
              <w:t>Para efeitos do cálculo do requisito baseado nos fatores K, as empresas de investimento devem prestar informações aplicando o coeficiente previsto no artigo 15.</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n.</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xml:space="preserve"> 2, do </w:t>
            </w:r>
            <w:r w:rsidRPr="002A4062">
              <w:rPr>
                <w:rFonts w:ascii="Times New Roman" w:hAnsi="Times New Roman"/>
                <w:bCs/>
                <w:color w:val="000000" w:themeColor="text1"/>
              </w:rPr>
              <w:t>Regulamento (UE) 2019/2033.</w:t>
            </w:r>
          </w:p>
          <w:p w14:paraId="6B4560A3" w14:textId="77777777" w:rsidR="00F26498" w:rsidRPr="002A4062" w:rsidRDefault="002A4062">
            <w:pPr>
              <w:spacing w:after="120" w:line="240" w:lineRule="auto"/>
              <w:jc w:val="both"/>
              <w:rPr>
                <w:rFonts w:ascii="Times New Roman" w:eastAsia="Times New Roman" w:hAnsi="Times New Roman" w:cs="Times New Roman"/>
                <w:bCs/>
                <w:i/>
                <w:color w:val="000000" w:themeColor="text1"/>
              </w:rPr>
            </w:pPr>
            <w:r w:rsidRPr="002A4062">
              <w:rPr>
                <w:rFonts w:ascii="Times New Roman" w:hAnsi="Times New Roman"/>
                <w:bCs/>
                <w:color w:val="000000" w:themeColor="text1"/>
              </w:rPr>
              <w:t>Em situação de tensão no mercado, em conformidade com o artigo 15.</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n.</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5, alínea c), do Regulamento (UE) 2019/2033, as empresas de investimento devem aplicar um coeficiente ajustado especificado nessa alínea.</w:t>
            </w:r>
          </w:p>
          <w:p w14:paraId="5F994BEB" w14:textId="77777777" w:rsidR="00F26498" w:rsidRPr="002A4062" w:rsidRDefault="002A4062">
            <w:pPr>
              <w:spacing w:after="120" w:line="240" w:lineRule="auto"/>
              <w:jc w:val="both"/>
              <w:rPr>
                <w:rFonts w:ascii="Times New Roman" w:eastAsia="Times New Roman" w:hAnsi="Times New Roman" w:cs="Times New Roman"/>
                <w:bCs/>
                <w:color w:val="000000" w:themeColor="text1"/>
              </w:rPr>
            </w:pPr>
            <w:r w:rsidRPr="002A4062">
              <w:rPr>
                <w:rFonts w:ascii="Times New Roman" w:hAnsi="Times New Roman"/>
                <w:bCs/>
                <w:color w:val="000000" w:themeColor="text1"/>
              </w:rPr>
              <w:t xml:space="preserve">O fator do fluxo </w:t>
            </w:r>
            <w:r w:rsidRPr="002A4062">
              <w:rPr>
                <w:rFonts w:ascii="Times New Roman" w:hAnsi="Times New Roman"/>
                <w:bCs/>
                <w:color w:val="000000" w:themeColor="text1"/>
              </w:rPr>
              <w:t>diário de negociação deve ser calculado em conformidade com o artigo 33.</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n.</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2, alínea a), do Regulamento (UE) 2019/2033.</w:t>
            </w:r>
          </w:p>
        </w:tc>
      </w:tr>
      <w:tr w:rsidR="00F26498" w:rsidRPr="002A4062" w14:paraId="76C2C9DF" w14:textId="77777777">
        <w:tc>
          <w:tcPr>
            <w:tcW w:w="1129" w:type="dxa"/>
            <w:tcBorders>
              <w:top w:val="single" w:sz="4" w:space="0" w:color="auto"/>
            </w:tcBorders>
          </w:tcPr>
          <w:p w14:paraId="4FB1EEF1"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0250</w:t>
            </w:r>
          </w:p>
        </w:tc>
        <w:tc>
          <w:tcPr>
            <w:tcW w:w="7620" w:type="dxa"/>
            <w:tcBorders>
              <w:top w:val="single" w:sz="4" w:space="0" w:color="auto"/>
            </w:tcBorders>
          </w:tcPr>
          <w:p w14:paraId="78287C86"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Fluxo diário de negociação - Transações de derivados</w:t>
            </w:r>
          </w:p>
          <w:p w14:paraId="443E0CE0" w14:textId="77777777" w:rsidR="00F26498" w:rsidRPr="002A4062" w:rsidRDefault="002A4062">
            <w:pPr>
              <w:spacing w:after="120" w:line="240" w:lineRule="auto"/>
              <w:jc w:val="both"/>
              <w:rPr>
                <w:rFonts w:ascii="Times New Roman" w:eastAsia="Times New Roman" w:hAnsi="Times New Roman" w:cs="Times New Roman"/>
                <w:bCs/>
                <w:color w:val="000000" w:themeColor="text1"/>
              </w:rPr>
            </w:pPr>
            <w:r w:rsidRPr="002A4062">
              <w:rPr>
                <w:rFonts w:ascii="Times New Roman" w:hAnsi="Times New Roman"/>
                <w:bCs/>
                <w:color w:val="000000" w:themeColor="text1"/>
              </w:rPr>
              <w:t>Para efeitos do cálculo do requisito baseado nos fatores K, as empresas d</w:t>
            </w:r>
            <w:r w:rsidRPr="002A4062">
              <w:rPr>
                <w:rFonts w:ascii="Times New Roman" w:hAnsi="Times New Roman"/>
                <w:bCs/>
                <w:color w:val="000000" w:themeColor="text1"/>
              </w:rPr>
              <w:t>e investimento devem prestar informações aplicando o coeficiente previsto no artigo 15.</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n.</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2, do Regulamento (UE) 2019/2033.</w:t>
            </w:r>
          </w:p>
          <w:p w14:paraId="1B80D24E" w14:textId="77777777" w:rsidR="00F26498" w:rsidRPr="002A4062" w:rsidRDefault="002A4062">
            <w:pPr>
              <w:spacing w:after="120" w:line="240" w:lineRule="auto"/>
              <w:jc w:val="both"/>
              <w:rPr>
                <w:rFonts w:ascii="Times New Roman" w:eastAsia="Times New Roman" w:hAnsi="Times New Roman" w:cs="Times New Roman"/>
                <w:bCs/>
                <w:i/>
                <w:color w:val="000000" w:themeColor="text1"/>
              </w:rPr>
            </w:pPr>
            <w:r w:rsidRPr="002A4062">
              <w:rPr>
                <w:rFonts w:ascii="Times New Roman" w:hAnsi="Times New Roman"/>
                <w:bCs/>
                <w:color w:val="000000" w:themeColor="text1"/>
              </w:rPr>
              <w:t>Em situação de tensão no mercado, em conformidade com o artigo 15.</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n.</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xml:space="preserve"> 5, alínea c), do Regulamento (UE) 2019/2033, as </w:t>
            </w:r>
            <w:r w:rsidRPr="002A4062">
              <w:rPr>
                <w:rFonts w:ascii="Times New Roman" w:hAnsi="Times New Roman"/>
                <w:bCs/>
                <w:color w:val="000000" w:themeColor="text1"/>
              </w:rPr>
              <w:t>empresas de investimento devem aplicar um coeficiente ajustado especificado nessa alínea.</w:t>
            </w:r>
          </w:p>
          <w:p w14:paraId="3810C783" w14:textId="77777777" w:rsidR="00F26498" w:rsidRPr="002A4062" w:rsidRDefault="002A4062">
            <w:pPr>
              <w:spacing w:after="120" w:line="240" w:lineRule="auto"/>
              <w:jc w:val="both"/>
              <w:rPr>
                <w:rFonts w:ascii="Times New Roman" w:eastAsia="Times New Roman" w:hAnsi="Times New Roman" w:cs="Times New Roman"/>
                <w:bCs/>
                <w:color w:val="000000" w:themeColor="text1"/>
              </w:rPr>
            </w:pPr>
            <w:r w:rsidRPr="002A4062">
              <w:rPr>
                <w:rFonts w:ascii="Times New Roman" w:hAnsi="Times New Roman"/>
                <w:bCs/>
                <w:color w:val="000000" w:themeColor="text1"/>
              </w:rPr>
              <w:t>O fator de fluxo diário de negociação deve ser calculado em conformidade com o artigo 33.</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n.</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2, alínea b), do Regulamento (UE) 2019/2033.</w:t>
            </w:r>
          </w:p>
        </w:tc>
      </w:tr>
      <w:tr w:rsidR="00F26498" w:rsidRPr="002A4062" w14:paraId="78D54379" w14:textId="77777777">
        <w:tc>
          <w:tcPr>
            <w:tcW w:w="1129" w:type="dxa"/>
            <w:tcBorders>
              <w:top w:val="single" w:sz="4" w:space="0" w:color="auto"/>
            </w:tcBorders>
          </w:tcPr>
          <w:p w14:paraId="29C775AF"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0260</w:t>
            </w:r>
          </w:p>
        </w:tc>
        <w:tc>
          <w:tcPr>
            <w:tcW w:w="7620" w:type="dxa"/>
            <w:tcBorders>
              <w:top w:val="single" w:sz="4" w:space="0" w:color="auto"/>
            </w:tcBorders>
          </w:tcPr>
          <w:p w14:paraId="63FA9636"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Requisito baseado n</w:t>
            </w:r>
            <w:r w:rsidRPr="002A4062">
              <w:rPr>
                <w:rFonts w:ascii="Times New Roman" w:hAnsi="Times New Roman"/>
                <w:b/>
                <w:bCs/>
                <w:u w:val="single"/>
              </w:rPr>
              <w:t>o factor K relativo ao risco de concentração</w:t>
            </w:r>
          </w:p>
          <w:p w14:paraId="1F617514" w14:textId="77777777" w:rsidR="00F26498" w:rsidRPr="002A4062" w:rsidRDefault="002A4062">
            <w:pPr>
              <w:spacing w:after="120" w:line="240" w:lineRule="auto"/>
              <w:jc w:val="both"/>
              <w:rPr>
                <w:rFonts w:ascii="Times New Roman" w:eastAsia="Times New Roman" w:hAnsi="Times New Roman" w:cs="Times New Roman"/>
                <w:bCs/>
                <w:color w:val="000000" w:themeColor="text1"/>
              </w:rPr>
            </w:pPr>
            <w:r w:rsidRPr="002A4062">
              <w:rPr>
                <w:rFonts w:ascii="Times New Roman" w:hAnsi="Times New Roman"/>
                <w:bCs/>
                <w:color w:val="000000" w:themeColor="text1"/>
              </w:rPr>
              <w:t>Artigo 37.</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n.</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2, e artigos 24.</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xml:space="preserve"> e 39.° do Regulamento (UE) 2019/2033.</w:t>
            </w:r>
          </w:p>
        </w:tc>
      </w:tr>
      <w:tr w:rsidR="00F26498" w14:paraId="24E5AA4E" w14:textId="77777777">
        <w:tc>
          <w:tcPr>
            <w:tcW w:w="1129" w:type="dxa"/>
            <w:tcBorders>
              <w:top w:val="single" w:sz="4" w:space="0" w:color="auto"/>
            </w:tcBorders>
          </w:tcPr>
          <w:p w14:paraId="288A768A" w14:textId="77777777" w:rsidR="00F26498" w:rsidRPr="002A4062" w:rsidRDefault="002A4062">
            <w:pPr>
              <w:spacing w:after="120" w:line="240" w:lineRule="auto"/>
              <w:jc w:val="both"/>
              <w:rPr>
                <w:rFonts w:ascii="Times New Roman" w:eastAsia="Times New Roman" w:hAnsi="Times New Roman" w:cs="Times New Roman"/>
                <w:bCs/>
              </w:rPr>
            </w:pPr>
            <w:r w:rsidRPr="002A4062">
              <w:rPr>
                <w:rFonts w:ascii="Times New Roman" w:hAnsi="Times New Roman"/>
                <w:bCs/>
              </w:rPr>
              <w:t>0270</w:t>
            </w:r>
          </w:p>
        </w:tc>
        <w:tc>
          <w:tcPr>
            <w:tcW w:w="7620" w:type="dxa"/>
            <w:tcBorders>
              <w:top w:val="single" w:sz="4" w:space="0" w:color="auto"/>
            </w:tcBorders>
          </w:tcPr>
          <w:p w14:paraId="62F25017" w14:textId="77777777" w:rsidR="00F26498" w:rsidRPr="002A4062" w:rsidRDefault="002A4062">
            <w:pPr>
              <w:spacing w:after="120" w:line="240" w:lineRule="auto"/>
              <w:jc w:val="both"/>
              <w:rPr>
                <w:rFonts w:ascii="Times New Roman" w:eastAsia="Times New Roman" w:hAnsi="Times New Roman" w:cs="Times New Roman"/>
                <w:b/>
                <w:bCs/>
                <w:u w:val="single"/>
              </w:rPr>
            </w:pPr>
            <w:r w:rsidRPr="002A4062">
              <w:rPr>
                <w:rFonts w:ascii="Times New Roman" w:hAnsi="Times New Roman"/>
                <w:b/>
                <w:bCs/>
                <w:u w:val="single"/>
              </w:rPr>
              <w:t>Requisitos baseados nas despesas gerais fixas</w:t>
            </w:r>
          </w:p>
          <w:p w14:paraId="04F778E5" w14:textId="77777777" w:rsidR="00F26498" w:rsidRDefault="002A4062">
            <w:pPr>
              <w:spacing w:after="120" w:line="240" w:lineRule="auto"/>
              <w:jc w:val="both"/>
              <w:rPr>
                <w:rFonts w:ascii="Times New Roman" w:eastAsia="Times New Roman" w:hAnsi="Times New Roman" w:cs="Times New Roman"/>
                <w:bCs/>
                <w:color w:val="000000" w:themeColor="text1"/>
              </w:rPr>
            </w:pPr>
            <w:r w:rsidRPr="002A4062">
              <w:rPr>
                <w:rFonts w:ascii="Times New Roman" w:hAnsi="Times New Roman"/>
                <w:bCs/>
                <w:color w:val="000000" w:themeColor="text1"/>
              </w:rPr>
              <w:t>Artigo 13.</w:t>
            </w:r>
            <w:r w:rsidRPr="002A4062">
              <w:rPr>
                <w:rFonts w:ascii="Times New Roman" w:hAnsi="Times New Roman"/>
                <w:bCs/>
                <w:color w:val="000000" w:themeColor="text1"/>
                <w:vertAlign w:val="superscript"/>
              </w:rPr>
              <w:t>o</w:t>
            </w:r>
            <w:r w:rsidRPr="002A4062">
              <w:rPr>
                <w:rFonts w:ascii="Times New Roman" w:hAnsi="Times New Roman"/>
                <w:bCs/>
                <w:color w:val="000000" w:themeColor="text1"/>
              </w:rPr>
              <w:t xml:space="preserve"> do Regulamento (UE) 2019/2033.</w:t>
            </w:r>
          </w:p>
        </w:tc>
      </w:tr>
    </w:tbl>
    <w:p w14:paraId="19C34642" w14:textId="77777777" w:rsidR="00F26498" w:rsidRDefault="00F26498">
      <w:pPr>
        <w:pStyle w:val="Instructionsberschrift2"/>
        <w:ind w:left="357" w:hanging="357"/>
      </w:pPr>
    </w:p>
    <w:sectPr w:rsidR="00F26498">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B194B5" w14:textId="77777777" w:rsidR="00F26498" w:rsidRDefault="00F26498">
      <w:pPr>
        <w:pStyle w:val="Footer"/>
      </w:pPr>
    </w:p>
  </w:endnote>
  <w:endnote w:type="continuationSeparator" w:id="0">
    <w:p w14:paraId="6DAEF21C" w14:textId="77777777" w:rsidR="00F26498" w:rsidRDefault="00F26498">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313310" w14:textId="77777777" w:rsidR="00F26498" w:rsidRDefault="00F264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99CF4" w14:textId="77777777" w:rsidR="00F26498" w:rsidRDefault="002A4062">
    <w:pPr>
      <w:pStyle w:val="Footer"/>
      <w:tabs>
        <w:tab w:val="clear" w:pos="4513"/>
        <w:tab w:val="clear" w:pos="9026"/>
        <w:tab w:val="right" w:pos="9071"/>
      </w:tabs>
    </w:pPr>
    <w:r>
      <w:t>PT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12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CC23AC" w14:textId="77777777" w:rsidR="00F26498" w:rsidRDefault="00F264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6B163C" w14:textId="77777777" w:rsidR="00F26498" w:rsidRDefault="00F26498">
      <w:pPr>
        <w:pStyle w:val="Footer"/>
      </w:pPr>
    </w:p>
  </w:footnote>
  <w:footnote w:type="continuationSeparator" w:id="0">
    <w:p w14:paraId="4B0B209C" w14:textId="77777777" w:rsidR="00F26498" w:rsidRDefault="00F26498">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1FE861" w14:textId="77777777" w:rsidR="00F26498" w:rsidRDefault="002A4062">
    <w:pPr>
      <w:pStyle w:val="Header"/>
    </w:pPr>
    <w:r>
      <w:rPr>
        <w:rFonts w:ascii="Times New Roman" w:hAnsi="Times New Roman" w:cs="Times New Roman"/>
        <w:color w:val="000000"/>
        <w:sz w:val="24"/>
      </w:rPr>
      <w:t xml:space="preserve">Central Bank of Ireland - </w:t>
    </w:r>
    <w:r>
      <w:rPr>
        <w:rFonts w:ascii="Times New Roman" w:hAnsi="Times New Roman" w:cs="Times New Roman"/>
        <w:color w:val="000000"/>
        <w:sz w:val="24"/>
      </w:rPr>
      <w:t>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964712" w14:textId="74485C17" w:rsidR="00F26498" w:rsidRDefault="002A4062">
    <w:pPr>
      <w:pStyle w:val="Header"/>
    </w:pPr>
    <w:r>
      <w:rPr>
        <w:noProof/>
      </w:rPr>
      <mc:AlternateContent>
        <mc:Choice Requires="wps">
          <w:drawing>
            <wp:anchor distT="0" distB="0" distL="114300" distR="114300" simplePos="0" relativeHeight="251659264" behindDoc="0" locked="0" layoutInCell="0" allowOverlap="1" wp14:anchorId="1701D618" wp14:editId="1FC54D8E">
              <wp:simplePos x="0" y="0"/>
              <wp:positionH relativeFrom="page">
                <wp:posOffset>0</wp:posOffset>
              </wp:positionH>
              <wp:positionV relativeFrom="page">
                <wp:posOffset>190500</wp:posOffset>
              </wp:positionV>
              <wp:extent cx="7560310" cy="273050"/>
              <wp:effectExtent l="0" t="0" r="0" b="12700"/>
              <wp:wrapNone/>
              <wp:docPr id="1" name="MSIPCM18954d94889f5cd7baa18afa"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4601A3A" w14:textId="2D72E52E" w:rsidR="002A4062" w:rsidRPr="002A4062" w:rsidRDefault="002A4062" w:rsidP="002A4062">
                          <w:pPr>
                            <w:spacing w:after="0"/>
                            <w:rPr>
                              <w:rFonts w:ascii="Calibri" w:hAnsi="Calibri" w:cs="Calibri"/>
                              <w:color w:val="000000"/>
                              <w:sz w:val="24"/>
                            </w:rPr>
                          </w:pPr>
                          <w:r w:rsidRPr="002A4062">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1701D618" id="_x0000_t202" coordsize="21600,21600" o:spt="202" path="m,l,21600r21600,l21600,xe">
              <v:stroke joinstyle="miter"/>
              <v:path gradientshapeok="t" o:connecttype="rect"/>
            </v:shapetype>
            <v:shape id="MSIPCM18954d94889f5cd7baa18afa"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" o:allowincell="f" filled="f" stroked="f" strokeweight=".5pt">
              <v:fill o:detectmouseclick="t"/>
              <v:textbox inset="20pt,0,,0">
                <w:txbxContent>
                  <w:p w14:paraId="44601A3A" w14:textId="2D72E52E" w:rsidR="002A4062" w:rsidRPr="002A4062" w:rsidRDefault="002A4062" w:rsidP="002A4062">
                    <w:pPr>
                      <w:spacing w:after="0"/>
                      <w:rPr>
                        <w:rFonts w:ascii="Calibri" w:hAnsi="Calibri" w:cs="Calibri"/>
                        <w:color w:val="000000"/>
                        <w:sz w:val="24"/>
                      </w:rPr>
                    </w:pPr>
                    <w:r w:rsidRPr="002A4062">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CD5C0" w14:textId="77777777" w:rsidR="00F26498" w:rsidRDefault="002A4062">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5"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9DE1B7E"/>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5"/>
  </w:num>
  <w:num w:numId="3">
    <w:abstractNumId w:val="11"/>
  </w:num>
  <w:num w:numId="4">
    <w:abstractNumId w:val="0"/>
  </w:num>
  <w:num w:numId="5">
    <w:abstractNumId w:val="3"/>
  </w:num>
  <w:num w:numId="6">
    <w:abstractNumId w:val="13"/>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20"/>
  <w:hyphenationZone w:val="283"/>
  <w:characterSpacingControl w:val="doNotCompress"/>
  <w:hdrShapeDefaults>
    <o:shapedefaults v:ext="edit" spidmax="142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26498"/>
    <w:rsid w:val="002A4062"/>
    <w:rsid w:val="00F264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2337"/>
    <o:shapelayout v:ext="edit">
      <o:idmap v:ext="edit" data="1"/>
    </o:shapelayout>
  </w:shapeDefaults>
  <w:decimalSymbol w:val="."/>
  <w:listSeparator w:val=","/>
  <w14:docId w14:val="361F1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pt-PT"/>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character" w:customStyle="1" w:styleId="InstructionsTabelleText">
    <w:name w:val="Instructions Tabelle Text"/>
    <w:rPr>
      <w:rFonts w:ascii="Verdana" w:hAnsi="Verdana" w:cs="Times New Roman"/>
      <w:sz w:val="20"/>
    </w:rPr>
  </w:style>
  <w:style w:type="paragraph" w:styleId="Revision">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EE2BAD95-70D3-4A49-B626-6D5E906A0229}">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3946</Words>
  <Characters>22496</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2021-11-25T15:01:00Z</dcterms:created>
  <dcterms:modified xsi:type="dcterms:W3CDTF">2022-01-14T17:10:00Z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2022-01-14T17:10:43Z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29eb6236-181d-4ca2-9437-6fbc2be6b893</vt:lpwstr>
  </property>
  <property fmtid="{D5CDD505-2E9C-101B-9397-08002B2CF9AE}" pid="8" name="MSIP_Label_5c7eb9de-735b-4a68-8fe4-c9c62709b012_ContentBits">
    <vt:lpwstr>1</vt:lpwstr>
  </property>
</Properties>
</file>