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9E4354" w14:textId="77777777" w:rsidR="006A39B0" w:rsidRPr="001B019C" w:rsidRDefault="001B019C">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r w:rsidRPr="001B019C">
        <w:rPr>
          <w:rFonts w:ascii="Times New Roman" w:hAnsi="Times New Roman"/>
          <w:b/>
          <w:sz w:val="24"/>
          <w:szCs w:val="24"/>
        </w:rPr>
        <w:t>LV</w:t>
      </w:r>
      <w:r w:rsidRPr="001B019C">
        <w:br/>
      </w:r>
      <w:r w:rsidRPr="001B019C">
        <w:rPr>
          <w:rFonts w:ascii="Times New Roman" w:hAnsi="Times New Roman"/>
          <w:b/>
          <w:sz w:val="24"/>
          <w:szCs w:val="20"/>
        </w:rPr>
        <w:t>IX PIELIKUMS</w:t>
      </w:r>
    </w:p>
    <w:p w14:paraId="4B89CB8D" w14:textId="77777777" w:rsidR="006A39B0" w:rsidRPr="001B019C" w:rsidRDefault="001B019C">
      <w:pPr>
        <w:spacing w:after="240" w:line="240" w:lineRule="auto"/>
        <w:jc w:val="center"/>
        <w:rPr>
          <w:rFonts w:ascii="Times New Roman" w:eastAsia="Times New Roman" w:hAnsi="Times New Roman" w:cs="Times New Roman"/>
          <w:b/>
          <w:sz w:val="24"/>
          <w:szCs w:val="20"/>
          <w:u w:val="single"/>
        </w:rPr>
      </w:pPr>
      <w:r w:rsidRPr="001B019C">
        <w:rPr>
          <w:rFonts w:ascii="Times New Roman" w:hAnsi="Times New Roman"/>
          <w:b/>
          <w:sz w:val="24"/>
          <w:szCs w:val="20"/>
          <w:u w:val="single"/>
        </w:rPr>
        <w:t xml:space="preserve">“IX </w:t>
      </w:r>
      <w:bookmarkEnd w:id="0"/>
      <w:bookmarkEnd w:id="1"/>
      <w:r w:rsidRPr="001B019C">
        <w:rPr>
          <w:rFonts w:ascii="Times New Roman" w:hAnsi="Times New Roman"/>
          <w:b/>
          <w:sz w:val="24"/>
          <w:szCs w:val="20"/>
          <w:u w:val="single"/>
        </w:rPr>
        <w:t>PIELIKUMS</w:t>
      </w:r>
    </w:p>
    <w:p w14:paraId="0052B87E" w14:textId="77777777" w:rsidR="006A39B0" w:rsidRPr="001B019C" w:rsidRDefault="001B019C">
      <w:pPr>
        <w:spacing w:after="240" w:line="240" w:lineRule="auto"/>
        <w:jc w:val="center"/>
        <w:rPr>
          <w:rFonts w:ascii="Times New Roman" w:eastAsia="Times New Roman" w:hAnsi="Times New Roman" w:cs="Times New Roman"/>
          <w:b/>
          <w:sz w:val="24"/>
          <w:szCs w:val="20"/>
        </w:rPr>
      </w:pPr>
      <w:r w:rsidRPr="001B019C">
        <w:rPr>
          <w:rFonts w:ascii="Times New Roman" w:hAnsi="Times New Roman"/>
          <w:b/>
          <w:sz w:val="24"/>
          <w:szCs w:val="20"/>
        </w:rPr>
        <w:t>PĀRSKATU SNIEGŠANA PAR GRUPAS KAPITĀLA KRITĒRIJU</w:t>
      </w:r>
    </w:p>
    <w:p w14:paraId="007C6C34" w14:textId="77777777" w:rsidR="006A39B0" w:rsidRPr="001B019C" w:rsidRDefault="001B019C">
      <w:pPr>
        <w:spacing w:after="0" w:line="240" w:lineRule="auto"/>
        <w:rPr>
          <w:rFonts w:ascii="Times New Roman" w:eastAsia="Times New Roman" w:hAnsi="Times New Roman" w:cs="Times New Roman"/>
          <w:sz w:val="24"/>
          <w:szCs w:val="24"/>
        </w:rPr>
      </w:pPr>
      <w:r w:rsidRPr="001B019C">
        <w:rPr>
          <w:rFonts w:ascii="Times New Roman" w:hAnsi="Times New Roman"/>
          <w:sz w:val="24"/>
          <w:szCs w:val="24"/>
        </w:rPr>
        <w:t>Saturs</w:t>
      </w:r>
    </w:p>
    <w:p w14:paraId="404FC3BC" w14:textId="77777777" w:rsidR="006A39B0" w:rsidRPr="001B019C" w:rsidRDefault="001B019C">
      <w:pPr>
        <w:pStyle w:val="TOC2"/>
        <w:tabs>
          <w:tab w:val="right" w:leader="dot" w:pos="9016"/>
        </w:tabs>
        <w:rPr>
          <w:rFonts w:eastAsiaTheme="minorEastAsia"/>
          <w:noProof/>
        </w:rPr>
      </w:pPr>
      <w:r w:rsidRPr="001B019C">
        <w:rPr>
          <w:rFonts w:ascii="Times New Roman" w:hAnsi="Times New Roman"/>
          <w:noProof/>
        </w:rPr>
        <w:t>I DAĻA. VISPĀRĪGIE NORĀDĪJUMI</w:t>
      </w:r>
      <w:r w:rsidRPr="001B019C">
        <w:rPr>
          <w:noProof/>
        </w:rPr>
        <w:tab/>
        <w:t>2</w:t>
      </w:r>
    </w:p>
    <w:p w14:paraId="4F14D807" w14:textId="77777777" w:rsidR="006A39B0" w:rsidRPr="001B019C" w:rsidRDefault="001B019C">
      <w:pPr>
        <w:pStyle w:val="TOC2"/>
        <w:tabs>
          <w:tab w:val="right" w:leader="dot" w:pos="9016"/>
        </w:tabs>
        <w:rPr>
          <w:rFonts w:eastAsiaTheme="minorEastAsia"/>
          <w:noProof/>
        </w:rPr>
      </w:pPr>
      <w:r w:rsidRPr="001B019C">
        <w:rPr>
          <w:rFonts w:ascii="Times New Roman" w:hAnsi="Times New Roman"/>
          <w:noProof/>
        </w:rPr>
        <w:t>1. Struktūra un konvencijas</w:t>
      </w:r>
      <w:r w:rsidRPr="001B019C">
        <w:rPr>
          <w:noProof/>
        </w:rPr>
        <w:tab/>
        <w:t>2</w:t>
      </w:r>
    </w:p>
    <w:p w14:paraId="6DB063B3" w14:textId="77777777" w:rsidR="006A39B0" w:rsidRPr="001B019C" w:rsidRDefault="001B019C">
      <w:pPr>
        <w:pStyle w:val="TOC2"/>
        <w:tabs>
          <w:tab w:val="right" w:leader="dot" w:pos="9016"/>
        </w:tabs>
        <w:rPr>
          <w:rFonts w:eastAsiaTheme="minorEastAsia"/>
          <w:noProof/>
        </w:rPr>
      </w:pPr>
      <w:r w:rsidRPr="001B019C">
        <w:rPr>
          <w:rFonts w:ascii="Times New Roman" w:hAnsi="Times New Roman"/>
          <w:noProof/>
          <w:u w:val="single"/>
        </w:rPr>
        <w:t>1.1. Struktūra</w:t>
      </w:r>
      <w:r w:rsidRPr="001B019C">
        <w:rPr>
          <w:noProof/>
        </w:rPr>
        <w:tab/>
        <w:t>2</w:t>
      </w:r>
    </w:p>
    <w:p w14:paraId="22EDBE18" w14:textId="77777777" w:rsidR="006A39B0" w:rsidRPr="001B019C" w:rsidRDefault="001B019C">
      <w:pPr>
        <w:pStyle w:val="TOC2"/>
        <w:tabs>
          <w:tab w:val="right" w:leader="dot" w:pos="9016"/>
        </w:tabs>
        <w:rPr>
          <w:rFonts w:eastAsiaTheme="minorEastAsia"/>
          <w:noProof/>
        </w:rPr>
      </w:pPr>
      <w:r w:rsidRPr="001B019C">
        <w:rPr>
          <w:rFonts w:ascii="Times New Roman" w:hAnsi="Times New Roman"/>
          <w:noProof/>
          <w:u w:val="single"/>
        </w:rPr>
        <w:t>1.2. Numerācijas konvencija</w:t>
      </w:r>
      <w:r w:rsidRPr="001B019C">
        <w:rPr>
          <w:noProof/>
        </w:rPr>
        <w:tab/>
        <w:t>2</w:t>
      </w:r>
    </w:p>
    <w:p w14:paraId="15A26022" w14:textId="77777777" w:rsidR="006A39B0" w:rsidRPr="001B019C" w:rsidRDefault="001B019C">
      <w:pPr>
        <w:pStyle w:val="TOC2"/>
        <w:tabs>
          <w:tab w:val="right" w:leader="dot" w:pos="9016"/>
        </w:tabs>
        <w:rPr>
          <w:rFonts w:eastAsiaTheme="minorEastAsia"/>
          <w:noProof/>
        </w:rPr>
      </w:pPr>
      <w:r w:rsidRPr="001B019C">
        <w:rPr>
          <w:rFonts w:ascii="Times New Roman" w:hAnsi="Times New Roman"/>
          <w:noProof/>
          <w:u w:val="single"/>
        </w:rPr>
        <w:t>1.3. Zīmju konvencija</w:t>
      </w:r>
      <w:r w:rsidRPr="001B019C">
        <w:rPr>
          <w:noProof/>
        </w:rPr>
        <w:tab/>
        <w:t>2</w:t>
      </w:r>
    </w:p>
    <w:p w14:paraId="114EC1C9" w14:textId="77777777" w:rsidR="006A39B0" w:rsidRPr="001B019C" w:rsidRDefault="001B019C">
      <w:pPr>
        <w:pStyle w:val="TOC2"/>
        <w:tabs>
          <w:tab w:val="right" w:leader="dot" w:pos="9016"/>
        </w:tabs>
        <w:rPr>
          <w:rFonts w:eastAsiaTheme="minorEastAsia"/>
          <w:noProof/>
        </w:rPr>
      </w:pPr>
      <w:r w:rsidRPr="001B019C">
        <w:rPr>
          <w:rFonts w:ascii="Times New Roman" w:hAnsi="Times New Roman"/>
          <w:noProof/>
        </w:rPr>
        <w:t xml:space="preserve">II DAĻA. </w:t>
      </w:r>
      <w:r w:rsidRPr="001B019C">
        <w:rPr>
          <w:rFonts w:ascii="Times New Roman" w:hAnsi="Times New Roman"/>
          <w:noProof/>
        </w:rPr>
        <w:t>NORĀDĪJUMI SAISTĪBĀ AR VEIDNI</w:t>
      </w:r>
      <w:r w:rsidRPr="001B019C">
        <w:rPr>
          <w:noProof/>
        </w:rPr>
        <w:tab/>
        <w:t>2</w:t>
      </w:r>
    </w:p>
    <w:p w14:paraId="156CEFCC" w14:textId="77777777" w:rsidR="006A39B0" w:rsidRPr="001B019C" w:rsidRDefault="001B019C">
      <w:pPr>
        <w:pStyle w:val="TOC2"/>
        <w:tabs>
          <w:tab w:val="right" w:leader="dot" w:pos="9016"/>
        </w:tabs>
        <w:rPr>
          <w:rFonts w:eastAsiaTheme="minorEastAsia"/>
          <w:noProof/>
        </w:rPr>
      </w:pPr>
      <w:r w:rsidRPr="001B019C">
        <w:rPr>
          <w:rFonts w:ascii="Times New Roman" w:hAnsi="Times New Roman"/>
          <w:b/>
          <w:noProof/>
        </w:rPr>
        <w:t>1. PAŠU KAPITĀLS: APMĒRS, STRUKTŪRA, PRASĪBAS UN APRĒĶINĀŠANA</w:t>
      </w:r>
      <w:r w:rsidRPr="001B019C">
        <w:rPr>
          <w:noProof/>
        </w:rPr>
        <w:tab/>
        <w:t>2</w:t>
      </w:r>
    </w:p>
    <w:p w14:paraId="0F382C4B" w14:textId="77777777" w:rsidR="006A39B0" w:rsidRPr="001B019C" w:rsidRDefault="001B019C">
      <w:pPr>
        <w:pStyle w:val="TOC2"/>
        <w:tabs>
          <w:tab w:val="right" w:leader="dot" w:pos="9016"/>
        </w:tabs>
        <w:rPr>
          <w:rFonts w:eastAsiaTheme="minorEastAsia"/>
          <w:noProof/>
        </w:rPr>
      </w:pPr>
      <w:r w:rsidRPr="001B019C">
        <w:rPr>
          <w:rFonts w:ascii="Times New Roman" w:hAnsi="Times New Roman"/>
          <w:noProof/>
        </w:rPr>
        <w:t>1.1. Vispārīgas piezīmes</w:t>
      </w:r>
      <w:r w:rsidRPr="001B019C">
        <w:rPr>
          <w:noProof/>
        </w:rPr>
        <w:tab/>
        <w:t>2</w:t>
      </w:r>
    </w:p>
    <w:p w14:paraId="79080226" w14:textId="77777777" w:rsidR="006A39B0" w:rsidRPr="001B019C" w:rsidRDefault="001B019C">
      <w:pPr>
        <w:pStyle w:val="TOC2"/>
        <w:tabs>
          <w:tab w:val="right" w:leader="dot" w:pos="9016"/>
        </w:tabs>
        <w:rPr>
          <w:rFonts w:eastAsiaTheme="minorEastAsia"/>
          <w:noProof/>
        </w:rPr>
      </w:pPr>
      <w:r w:rsidRPr="001B019C">
        <w:rPr>
          <w:rFonts w:ascii="Times New Roman" w:hAnsi="Times New Roman"/>
          <w:noProof/>
        </w:rPr>
        <w:t>1.2. I 11.01 – PAŠU KAPITĀLA STRUKTŪRA – GRUPAS KAPITĀLA KRITĒRIJS (I11.1)</w:t>
      </w:r>
      <w:r w:rsidRPr="001B019C">
        <w:rPr>
          <w:noProof/>
        </w:rPr>
        <w:tab/>
        <w:t>3</w:t>
      </w:r>
    </w:p>
    <w:p w14:paraId="434761E4" w14:textId="77777777" w:rsidR="006A39B0" w:rsidRPr="001B019C" w:rsidRDefault="001B019C">
      <w:pPr>
        <w:pStyle w:val="TOC2"/>
        <w:tabs>
          <w:tab w:val="left" w:pos="1100"/>
          <w:tab w:val="right" w:leader="dot" w:pos="9016"/>
        </w:tabs>
        <w:rPr>
          <w:rFonts w:eastAsiaTheme="minorEastAsia"/>
          <w:noProof/>
        </w:rPr>
      </w:pPr>
      <w:r w:rsidRPr="001B019C">
        <w:rPr>
          <w:rFonts w:ascii="Times New Roman" w:hAnsi="Times New Roman"/>
          <w:noProof/>
        </w:rPr>
        <w:t>1.2.1.</w:t>
      </w:r>
      <w:r w:rsidRPr="001B019C">
        <w:rPr>
          <w:rFonts w:eastAsiaTheme="minorEastAsia"/>
          <w:noProof/>
        </w:rPr>
        <w:tab/>
      </w:r>
      <w:r w:rsidRPr="001B019C">
        <w:rPr>
          <w:rFonts w:ascii="Times New Roman" w:hAnsi="Times New Roman"/>
          <w:noProof/>
        </w:rPr>
        <w:t xml:space="preserve">Norādījumi attiecībā uz konkrētām </w:t>
      </w:r>
      <w:r w:rsidRPr="001B019C">
        <w:rPr>
          <w:rFonts w:ascii="Times New Roman" w:hAnsi="Times New Roman"/>
          <w:noProof/>
        </w:rPr>
        <w:t>pozīcijām.</w:t>
      </w:r>
      <w:r w:rsidRPr="001B019C">
        <w:rPr>
          <w:noProof/>
        </w:rPr>
        <w:tab/>
        <w:t>3</w:t>
      </w:r>
    </w:p>
    <w:p w14:paraId="24834BDC" w14:textId="77777777" w:rsidR="006A39B0" w:rsidRPr="001B019C" w:rsidRDefault="001B019C">
      <w:pPr>
        <w:pStyle w:val="TOC2"/>
        <w:tabs>
          <w:tab w:val="right" w:leader="dot" w:pos="9016"/>
        </w:tabs>
        <w:rPr>
          <w:rFonts w:eastAsiaTheme="minorEastAsia"/>
          <w:noProof/>
        </w:rPr>
      </w:pPr>
      <w:r w:rsidRPr="001B019C">
        <w:rPr>
          <w:rFonts w:ascii="Times New Roman" w:hAnsi="Times New Roman"/>
          <w:noProof/>
        </w:rPr>
        <w:t>1.3. I 11.02 – PAŠU KAPITĀLA PRASĪBAS – GRUPAS KAPITĀLA KRITĒRIJS (I11.2)</w:t>
      </w:r>
      <w:r w:rsidRPr="001B019C">
        <w:rPr>
          <w:noProof/>
        </w:rPr>
        <w:tab/>
        <w:t>9</w:t>
      </w:r>
    </w:p>
    <w:p w14:paraId="5C01FD34" w14:textId="77777777" w:rsidR="006A39B0" w:rsidRPr="001B019C" w:rsidRDefault="001B019C">
      <w:pPr>
        <w:pStyle w:val="TOC2"/>
        <w:tabs>
          <w:tab w:val="left" w:pos="1100"/>
          <w:tab w:val="right" w:leader="dot" w:pos="9016"/>
        </w:tabs>
        <w:rPr>
          <w:rFonts w:eastAsiaTheme="minorEastAsia"/>
          <w:noProof/>
          <w:lang w:val="en-US"/>
        </w:rPr>
      </w:pPr>
      <w:r w:rsidRPr="001B019C">
        <w:rPr>
          <w:rFonts w:ascii="Times New Roman" w:hAnsi="Times New Roman"/>
          <w:noProof/>
        </w:rPr>
        <w:t>1.3.1.</w:t>
      </w:r>
      <w:r w:rsidRPr="001B019C">
        <w:rPr>
          <w:rFonts w:eastAsiaTheme="minorEastAsia"/>
          <w:noProof/>
        </w:rPr>
        <w:tab/>
      </w:r>
      <w:r w:rsidRPr="001B019C">
        <w:rPr>
          <w:rFonts w:ascii="Times New Roman" w:hAnsi="Times New Roman"/>
          <w:noProof/>
          <w:u w:val="single"/>
        </w:rPr>
        <w:t>Norādījumi attiecībā uz konkrētām pozīcijām.</w:t>
      </w:r>
      <w:r w:rsidRPr="001B019C">
        <w:rPr>
          <w:noProof/>
        </w:rPr>
        <w:tab/>
        <w:t>9</w:t>
      </w:r>
    </w:p>
    <w:p w14:paraId="535B9C44" w14:textId="77777777" w:rsidR="006A39B0" w:rsidRPr="001B019C" w:rsidRDefault="001B019C">
      <w:pPr>
        <w:pStyle w:val="TOC2"/>
        <w:tabs>
          <w:tab w:val="right" w:leader="dot" w:pos="9016"/>
        </w:tabs>
        <w:rPr>
          <w:rFonts w:eastAsiaTheme="minorEastAsia"/>
          <w:noProof/>
          <w:lang w:val="en-US"/>
        </w:rPr>
      </w:pPr>
      <w:r w:rsidRPr="001B019C">
        <w:rPr>
          <w:rFonts w:ascii="Times New Roman" w:hAnsi="Times New Roman"/>
          <w:noProof/>
        </w:rPr>
        <w:t>1.4. IF 11.03. INFORMĀCIJA PAR MEITASUZŅĒMUMIEM (IF11.3)</w:t>
      </w:r>
      <w:r w:rsidRPr="001B019C">
        <w:rPr>
          <w:noProof/>
        </w:rPr>
        <w:tab/>
        <w:t>9</w:t>
      </w:r>
    </w:p>
    <w:p w14:paraId="7C86B783" w14:textId="77777777" w:rsidR="006A39B0" w:rsidRPr="001B019C" w:rsidRDefault="001B019C">
      <w:pPr>
        <w:pStyle w:val="TOC2"/>
        <w:tabs>
          <w:tab w:val="left" w:pos="1100"/>
          <w:tab w:val="right" w:leader="dot" w:pos="9016"/>
        </w:tabs>
        <w:rPr>
          <w:rFonts w:eastAsiaTheme="minorEastAsia"/>
          <w:noProof/>
        </w:rPr>
      </w:pPr>
      <w:r w:rsidRPr="001B019C">
        <w:rPr>
          <w:rFonts w:ascii="Times New Roman" w:hAnsi="Times New Roman"/>
          <w:noProof/>
        </w:rPr>
        <w:t>1.4.1.</w:t>
      </w:r>
      <w:r w:rsidRPr="001B019C">
        <w:rPr>
          <w:rFonts w:eastAsiaTheme="minorEastAsia"/>
          <w:noProof/>
          <w:lang w:val="en-US"/>
        </w:rPr>
        <w:tab/>
      </w:r>
      <w:r w:rsidRPr="001B019C">
        <w:rPr>
          <w:rFonts w:ascii="Times New Roman" w:hAnsi="Times New Roman"/>
          <w:noProof/>
          <w:u w:val="single"/>
        </w:rPr>
        <w:t xml:space="preserve">Norādījumi attiecībā uz konkrētām </w:t>
      </w:r>
      <w:r w:rsidRPr="001B019C">
        <w:rPr>
          <w:rFonts w:ascii="Times New Roman" w:hAnsi="Times New Roman"/>
          <w:noProof/>
          <w:u w:val="single"/>
        </w:rPr>
        <w:t>pozīcijām.</w:t>
      </w:r>
      <w:r w:rsidRPr="001B019C">
        <w:rPr>
          <w:noProof/>
        </w:rPr>
        <w:tab/>
        <w:t>10</w:t>
      </w:r>
      <w:bookmarkStart w:id="6" w:name="_Toc360188322"/>
      <w:bookmarkStart w:id="7" w:name="_Toc473560870"/>
      <w:bookmarkStart w:id="8" w:name="_Toc7084155"/>
    </w:p>
    <w:p w14:paraId="573B227C" w14:textId="77777777" w:rsidR="006A39B0" w:rsidRPr="001B019C" w:rsidRDefault="006A39B0"/>
    <w:p w14:paraId="12A6DFAB" w14:textId="77777777" w:rsidR="006A39B0" w:rsidRPr="001B019C" w:rsidRDefault="006A39B0"/>
    <w:p w14:paraId="26DF56D3" w14:textId="77777777" w:rsidR="006A39B0" w:rsidRPr="001B019C" w:rsidRDefault="001B019C">
      <w:pPr>
        <w:pStyle w:val="Heading2"/>
        <w:rPr>
          <w:rFonts w:ascii="Times New Roman" w:hAnsi="Times New Roman"/>
        </w:rPr>
      </w:pPr>
      <w:bookmarkStart w:id="9" w:name="_Toc88142215"/>
      <w:r w:rsidRPr="001B019C">
        <w:rPr>
          <w:rFonts w:ascii="Times New Roman" w:hAnsi="Times New Roman"/>
        </w:rPr>
        <w:t>I DAĻA. VISPĀRĪGIE NORĀDĪJUMI</w:t>
      </w:r>
      <w:bookmarkEnd w:id="9"/>
    </w:p>
    <w:p w14:paraId="61129CDD" w14:textId="77777777" w:rsidR="006A39B0" w:rsidRPr="001B019C" w:rsidRDefault="001B019C">
      <w:pPr>
        <w:keepNext/>
        <w:spacing w:before="240" w:after="240" w:line="240" w:lineRule="auto"/>
        <w:jc w:val="both"/>
        <w:outlineLvl w:val="1"/>
        <w:rPr>
          <w:rFonts w:ascii="Times New Roman" w:eastAsia="Arial" w:hAnsi="Times New Roman" w:cs="Times New Roman"/>
          <w:sz w:val="24"/>
          <w:szCs w:val="24"/>
        </w:rPr>
      </w:pPr>
      <w:bookmarkStart w:id="10" w:name="_Toc88142216"/>
      <w:r w:rsidRPr="001B019C">
        <w:rPr>
          <w:rFonts w:ascii="Times New Roman" w:hAnsi="Times New Roman"/>
          <w:sz w:val="24"/>
          <w:szCs w:val="24"/>
        </w:rPr>
        <w:t>1. Struktūra un konvencijas</w:t>
      </w:r>
      <w:bookmarkEnd w:id="10"/>
    </w:p>
    <w:p w14:paraId="2218BDAD" w14:textId="77777777" w:rsidR="006A39B0" w:rsidRPr="001B019C" w:rsidRDefault="001B019C">
      <w:pPr>
        <w:keepNext/>
        <w:spacing w:before="240" w:after="240" w:line="240" w:lineRule="auto"/>
        <w:jc w:val="both"/>
        <w:outlineLvl w:val="1"/>
        <w:rPr>
          <w:rFonts w:ascii="Times New Roman" w:eastAsia="Arial" w:hAnsi="Times New Roman" w:cs="Times New Roman"/>
          <w:sz w:val="24"/>
          <w:szCs w:val="24"/>
          <w:u w:val="single"/>
        </w:rPr>
      </w:pPr>
      <w:bookmarkStart w:id="11" w:name="_Toc88142217"/>
      <w:r w:rsidRPr="001B019C">
        <w:rPr>
          <w:rFonts w:ascii="Times New Roman" w:hAnsi="Times New Roman"/>
          <w:sz w:val="24"/>
          <w:szCs w:val="24"/>
          <w:u w:val="single"/>
        </w:rPr>
        <w:t>1.1. Struktūra</w:t>
      </w:r>
      <w:bookmarkEnd w:id="11"/>
    </w:p>
    <w:p w14:paraId="2A316533" w14:textId="77777777" w:rsidR="006A39B0" w:rsidRPr="001B019C" w:rsidRDefault="001B019C">
      <w:pPr>
        <w:spacing w:line="256" w:lineRule="auto"/>
        <w:ind w:left="993" w:hanging="504"/>
        <w:jc w:val="both"/>
        <w:rPr>
          <w:rFonts w:ascii="Times New Roman" w:hAnsi="Times New Roman" w:cs="Times New Roman"/>
        </w:rPr>
      </w:pPr>
      <w:r w:rsidRPr="001B019C">
        <w:rPr>
          <w:rFonts w:ascii="Times New Roman" w:hAnsi="Times New Roman" w:cs="Times New Roman"/>
        </w:rPr>
        <w:t>1.</w:t>
      </w:r>
      <w:r w:rsidRPr="001B019C">
        <w:rPr>
          <w:rFonts w:ascii="Times New Roman" w:hAnsi="Times New Roman" w:cs="Times New Roman"/>
        </w:rPr>
        <w:tab/>
      </w:r>
      <w:r w:rsidRPr="001B019C">
        <w:rPr>
          <w:rFonts w:ascii="Times New Roman" w:hAnsi="Times New Roman"/>
        </w:rPr>
        <w:t>Pārskatu par grupas kapitāla kritēriju kopumā sniedz, izmantojot divas veidnes:</w:t>
      </w:r>
    </w:p>
    <w:p w14:paraId="440416B7" w14:textId="77777777" w:rsidR="006A39B0" w:rsidRPr="001B019C" w:rsidRDefault="001B019C">
      <w:pPr>
        <w:spacing w:line="256" w:lineRule="auto"/>
        <w:ind w:left="1728" w:hanging="648"/>
        <w:jc w:val="both"/>
        <w:rPr>
          <w:rFonts w:ascii="Times New Roman" w:hAnsi="Times New Roman" w:cs="Times New Roman"/>
        </w:rPr>
      </w:pPr>
      <w:r w:rsidRPr="001B019C">
        <w:rPr>
          <w:rFonts w:ascii="Times New Roman" w:hAnsi="Times New Roman" w:cs="Times New Roman"/>
        </w:rPr>
        <w:t>a)</w:t>
      </w:r>
      <w:r w:rsidRPr="001B019C">
        <w:rPr>
          <w:rFonts w:ascii="Times New Roman" w:hAnsi="Times New Roman" w:cs="Times New Roman"/>
        </w:rPr>
        <w:tab/>
      </w:r>
      <w:r w:rsidRPr="001B019C">
        <w:rPr>
          <w:rFonts w:ascii="Times New Roman" w:hAnsi="Times New Roman"/>
        </w:rPr>
        <w:t>pašu kapitāla struktūra</w:t>
      </w:r>
    </w:p>
    <w:p w14:paraId="6BE8455E" w14:textId="77777777" w:rsidR="006A39B0" w:rsidRPr="001B019C" w:rsidRDefault="001B019C">
      <w:pPr>
        <w:spacing w:line="256" w:lineRule="auto"/>
        <w:ind w:left="1728" w:hanging="648"/>
        <w:jc w:val="both"/>
        <w:rPr>
          <w:rFonts w:ascii="Times New Roman" w:hAnsi="Times New Roman" w:cs="Times New Roman"/>
        </w:rPr>
      </w:pPr>
      <w:r w:rsidRPr="001B019C">
        <w:rPr>
          <w:rFonts w:ascii="Times New Roman" w:hAnsi="Times New Roman" w:cs="Times New Roman"/>
        </w:rPr>
        <w:t>b)</w:t>
      </w:r>
      <w:r w:rsidRPr="001B019C">
        <w:rPr>
          <w:rFonts w:ascii="Times New Roman" w:hAnsi="Times New Roman" w:cs="Times New Roman"/>
        </w:rPr>
        <w:tab/>
      </w:r>
      <w:r w:rsidRPr="001B019C">
        <w:rPr>
          <w:rFonts w:ascii="Times New Roman" w:hAnsi="Times New Roman"/>
        </w:rPr>
        <w:t>pašu kapitāla instrumenti.</w:t>
      </w:r>
    </w:p>
    <w:p w14:paraId="48BA0DA6" w14:textId="77777777" w:rsidR="006A39B0" w:rsidRPr="001B019C" w:rsidRDefault="001B019C">
      <w:pPr>
        <w:pStyle w:val="InstructionsText2"/>
        <w:numPr>
          <w:ilvl w:val="0"/>
          <w:numId w:val="0"/>
        </w:numPr>
        <w:ind w:left="360" w:hanging="360"/>
      </w:pPr>
      <w:r w:rsidRPr="001B019C">
        <w:t>2.</w:t>
      </w:r>
      <w:r w:rsidRPr="001B019C">
        <w:tab/>
        <w:t>Attiecībā uz katru veidn</w:t>
      </w:r>
      <w:r w:rsidRPr="001B019C">
        <w:t>i ir sniegtas atsauces uz tiesību aktiem. Šajā šīs regulas daļā ir iekļauta detalizētāka informācija par vispārīgākiem pārskatu sniegšanas aspektiem attiecībā uz katru veidņu bloku, norādījumi par konkrētām pozīcijām, kā arī validācijas noteikumi.</w:t>
      </w:r>
    </w:p>
    <w:p w14:paraId="24AA85BA" w14:textId="77777777" w:rsidR="006A39B0" w:rsidRPr="001B019C" w:rsidRDefault="001B019C">
      <w:pPr>
        <w:keepNext/>
        <w:spacing w:before="240" w:after="240" w:line="240" w:lineRule="auto"/>
        <w:jc w:val="both"/>
        <w:outlineLvl w:val="1"/>
        <w:rPr>
          <w:rFonts w:ascii="Times New Roman" w:eastAsia="Arial" w:hAnsi="Times New Roman" w:cs="Times New Roman"/>
          <w:sz w:val="24"/>
          <w:szCs w:val="24"/>
          <w:u w:val="single"/>
        </w:rPr>
      </w:pPr>
      <w:bookmarkStart w:id="12" w:name="_Toc88142218"/>
      <w:r w:rsidRPr="001B019C">
        <w:rPr>
          <w:rFonts w:ascii="Times New Roman" w:hAnsi="Times New Roman"/>
          <w:sz w:val="24"/>
          <w:szCs w:val="24"/>
          <w:u w:val="single"/>
        </w:rPr>
        <w:t>1.2. Num</w:t>
      </w:r>
      <w:r w:rsidRPr="001B019C">
        <w:rPr>
          <w:rFonts w:ascii="Times New Roman" w:hAnsi="Times New Roman"/>
          <w:sz w:val="24"/>
          <w:szCs w:val="24"/>
          <w:u w:val="single"/>
        </w:rPr>
        <w:t>erācijas konvencija</w:t>
      </w:r>
      <w:bookmarkEnd w:id="12"/>
    </w:p>
    <w:p w14:paraId="3CD9040A" w14:textId="77777777" w:rsidR="006A39B0" w:rsidRPr="001B019C" w:rsidRDefault="001B019C">
      <w:pPr>
        <w:pStyle w:val="InstructionsText2"/>
        <w:numPr>
          <w:ilvl w:val="0"/>
          <w:numId w:val="0"/>
        </w:numPr>
        <w:ind w:left="360" w:hanging="360"/>
      </w:pPr>
      <w:r w:rsidRPr="001B019C">
        <w:t>3.</w:t>
      </w:r>
      <w:r w:rsidRPr="001B019C">
        <w:tab/>
        <w:t>Atsaucoties uz veidņu slejām, rindām un šūnām, dokumentā izmanto 4.–7. punktā norādīto apzīmējumu konvenciju. Minētos ciparu kodus plaši izmanto validācijas noteikumos.</w:t>
      </w:r>
    </w:p>
    <w:p w14:paraId="6C7CDACF" w14:textId="77777777" w:rsidR="006A39B0" w:rsidRPr="001B019C" w:rsidRDefault="001B019C">
      <w:pPr>
        <w:pStyle w:val="InstructionsText2"/>
        <w:numPr>
          <w:ilvl w:val="0"/>
          <w:numId w:val="0"/>
        </w:numPr>
        <w:ind w:left="360" w:hanging="360"/>
      </w:pPr>
      <w:r w:rsidRPr="001B019C">
        <w:lastRenderedPageBreak/>
        <w:t>4.</w:t>
      </w:r>
      <w:r w:rsidRPr="001B019C">
        <w:tab/>
        <w:t>Norādījumos izmantots šāds vispārējs apzīmējums: {Veidne; Rin</w:t>
      </w:r>
      <w:r w:rsidRPr="001B019C">
        <w:t>da; Sleja}.</w:t>
      </w:r>
    </w:p>
    <w:p w14:paraId="0CE3159D" w14:textId="77777777" w:rsidR="006A39B0" w:rsidRPr="001B019C" w:rsidRDefault="001B019C">
      <w:pPr>
        <w:pStyle w:val="InstructionsText2"/>
        <w:numPr>
          <w:ilvl w:val="0"/>
          <w:numId w:val="0"/>
        </w:numPr>
        <w:ind w:left="360" w:hanging="360"/>
      </w:pPr>
      <w:r w:rsidRPr="001B019C">
        <w:t>5.</w:t>
      </w:r>
      <w:r w:rsidRPr="001B019C">
        <w:tab/>
        <w:t>Ja validāciju veic veidnē, kurā izmantoti tikai minētās veidnes datu punkti, apzīmējumi neattiecas uz veidni: {Rinda; Sleja}.</w:t>
      </w:r>
    </w:p>
    <w:p w14:paraId="7EC0D66A" w14:textId="77777777" w:rsidR="006A39B0" w:rsidRPr="001B019C" w:rsidRDefault="001B019C">
      <w:pPr>
        <w:pStyle w:val="InstructionsText2"/>
        <w:numPr>
          <w:ilvl w:val="0"/>
          <w:numId w:val="0"/>
        </w:numPr>
        <w:ind w:left="360" w:hanging="360"/>
      </w:pPr>
      <w:r w:rsidRPr="001B019C">
        <w:t>6.</w:t>
      </w:r>
      <w:r w:rsidRPr="001B019C">
        <w:tab/>
        <w:t>Ja veidnēs ir tikai viena sleja, atsaucas vienīgi uz rindām: {Veidne; Rinda}</w:t>
      </w:r>
    </w:p>
    <w:p w14:paraId="46EE8B0E" w14:textId="77777777" w:rsidR="006A39B0" w:rsidRPr="001B019C" w:rsidRDefault="001B019C">
      <w:pPr>
        <w:pStyle w:val="InstructionsText2"/>
        <w:numPr>
          <w:ilvl w:val="0"/>
          <w:numId w:val="0"/>
        </w:numPr>
        <w:ind w:left="360" w:hanging="360"/>
      </w:pPr>
      <w:r w:rsidRPr="001B019C">
        <w:t>7.</w:t>
      </w:r>
      <w:r w:rsidRPr="001B019C">
        <w:tab/>
        <w:t>Zvaigznītes zīmi izmanto, lai no</w:t>
      </w:r>
      <w:r w:rsidRPr="001B019C">
        <w:t>rādītu, ka validāciju veic attiecībā uz iepriekš norādītām rindām vai slejām.</w:t>
      </w:r>
    </w:p>
    <w:p w14:paraId="48597D50" w14:textId="77777777" w:rsidR="006A39B0" w:rsidRPr="001B019C" w:rsidRDefault="001B019C">
      <w:pPr>
        <w:keepNext/>
        <w:spacing w:before="240" w:after="240" w:line="240" w:lineRule="auto"/>
        <w:jc w:val="both"/>
        <w:outlineLvl w:val="1"/>
        <w:rPr>
          <w:rFonts w:ascii="Times New Roman" w:eastAsia="Arial" w:hAnsi="Times New Roman" w:cs="Times New Roman"/>
          <w:sz w:val="24"/>
          <w:szCs w:val="24"/>
          <w:u w:val="single"/>
        </w:rPr>
      </w:pPr>
      <w:bookmarkStart w:id="13" w:name="_Toc88142219"/>
      <w:r w:rsidRPr="001B019C">
        <w:rPr>
          <w:rFonts w:ascii="Times New Roman" w:hAnsi="Times New Roman"/>
          <w:sz w:val="24"/>
          <w:szCs w:val="24"/>
          <w:u w:val="single"/>
        </w:rPr>
        <w:t>1.3. Zīmju konvencija</w:t>
      </w:r>
      <w:bookmarkEnd w:id="13"/>
    </w:p>
    <w:p w14:paraId="2C294F1D" w14:textId="77777777" w:rsidR="006A39B0" w:rsidRPr="001B019C" w:rsidRDefault="001B019C">
      <w:pPr>
        <w:pStyle w:val="InstructionsText2"/>
        <w:numPr>
          <w:ilvl w:val="0"/>
          <w:numId w:val="0"/>
        </w:numPr>
        <w:ind w:left="360" w:hanging="360"/>
      </w:pPr>
      <w:r w:rsidRPr="001B019C">
        <w:t>8.</w:t>
      </w:r>
      <w:r w:rsidRPr="001B019C">
        <w:tab/>
        <w:t xml:space="preserve">Jebkuru summu, kas palielina pašu kapitālu vai pašu kapitāla prasības, vai likviditātes prasības, uzrāda kā pozitīvu skaitli. Turpretim summu, kas </w:t>
      </w:r>
      <w:r w:rsidRPr="001B019C">
        <w:t>samazina kopējo pašu kapitālu vai pašu kapitāla prasības, uzrāda kā negatīvu skaitli. Ja pirms posteņa apzīmējuma ir mīnus zīme (-), attiecībā uz šo posteni nav sagaidāma pozitīva vērtība.</w:t>
      </w:r>
    </w:p>
    <w:p w14:paraId="47CCD856" w14:textId="77777777" w:rsidR="006A39B0" w:rsidRPr="001B019C" w:rsidRDefault="001B019C">
      <w:pPr>
        <w:pStyle w:val="Heading2"/>
        <w:rPr>
          <w:rFonts w:ascii="Times New Roman" w:hAnsi="Times New Roman"/>
        </w:rPr>
      </w:pPr>
      <w:bookmarkStart w:id="14" w:name="_Toc88142220"/>
      <w:r w:rsidRPr="001B019C">
        <w:rPr>
          <w:rFonts w:ascii="Times New Roman" w:hAnsi="Times New Roman"/>
        </w:rPr>
        <w:t>II DAĻA. NORĀDĪJUMI SAISTĪBĀ AR VEIDNI</w:t>
      </w:r>
      <w:bookmarkEnd w:id="6"/>
      <w:bookmarkEnd w:id="7"/>
      <w:bookmarkEnd w:id="8"/>
      <w:bookmarkEnd w:id="14"/>
    </w:p>
    <w:p w14:paraId="18943C0D" w14:textId="77777777" w:rsidR="006A39B0" w:rsidRPr="001B019C" w:rsidRDefault="001B019C">
      <w:pPr>
        <w:pStyle w:val="Instructionsberschrift2"/>
        <w:ind w:left="357" w:hanging="357"/>
        <w:rPr>
          <w:rFonts w:ascii="Times New Roman" w:hAnsi="Times New Roman" w:cs="Times New Roman"/>
          <w:b/>
          <w:sz w:val="24"/>
        </w:rPr>
      </w:pPr>
      <w:bookmarkStart w:id="15" w:name="_Toc88142221"/>
      <w:r w:rsidRPr="001B019C">
        <w:rPr>
          <w:rFonts w:ascii="Times New Roman" w:hAnsi="Times New Roman"/>
          <w:b/>
          <w:sz w:val="24"/>
          <w:u w:val="none"/>
        </w:rPr>
        <w:t>1. PAŠU KAPITĀLS: APMĒRS, ST</w:t>
      </w:r>
      <w:r w:rsidRPr="001B019C">
        <w:rPr>
          <w:rFonts w:ascii="Times New Roman" w:hAnsi="Times New Roman"/>
          <w:b/>
          <w:sz w:val="24"/>
          <w:u w:val="none"/>
        </w:rPr>
        <w:t>RUKTŪRA, PRASĪBAS UN APRĒĶINĀŠANA</w:t>
      </w:r>
      <w:bookmarkEnd w:id="15"/>
    </w:p>
    <w:p w14:paraId="09D08C47" w14:textId="77777777" w:rsidR="006A39B0" w:rsidRPr="001B019C" w:rsidRDefault="001B019C">
      <w:pPr>
        <w:pStyle w:val="Instructionsberschrift2"/>
        <w:ind w:left="357" w:hanging="357"/>
        <w:rPr>
          <w:rFonts w:ascii="Times New Roman" w:hAnsi="Times New Roman" w:cs="Times New Roman"/>
          <w:sz w:val="24"/>
        </w:rPr>
      </w:pPr>
      <w:bookmarkStart w:id="16" w:name="_Toc88142222"/>
      <w:r w:rsidRPr="001B019C">
        <w:rPr>
          <w:rFonts w:ascii="Times New Roman" w:hAnsi="Times New Roman"/>
          <w:sz w:val="24"/>
        </w:rPr>
        <w:t>1.1. Vispārīgas piezīmes</w:t>
      </w:r>
      <w:bookmarkEnd w:id="16"/>
    </w:p>
    <w:p w14:paraId="20A23332" w14:textId="77777777" w:rsidR="006A39B0" w:rsidRPr="001B019C" w:rsidRDefault="001B019C">
      <w:pPr>
        <w:spacing w:line="256" w:lineRule="auto"/>
        <w:ind w:left="993" w:hanging="567"/>
        <w:jc w:val="both"/>
        <w:rPr>
          <w:rFonts w:ascii="Times New Roman" w:hAnsi="Times New Roman" w:cs="Times New Roman"/>
          <w:sz w:val="24"/>
        </w:rPr>
      </w:pPr>
      <w:r w:rsidRPr="001B019C">
        <w:rPr>
          <w:rFonts w:ascii="Times New Roman" w:hAnsi="Times New Roman" w:cs="Times New Roman"/>
          <w:sz w:val="24"/>
        </w:rPr>
        <w:t>10.</w:t>
      </w:r>
      <w:r w:rsidRPr="001B019C">
        <w:rPr>
          <w:rFonts w:ascii="Times New Roman" w:hAnsi="Times New Roman" w:cs="Times New Roman"/>
          <w:sz w:val="24"/>
        </w:rPr>
        <w:tab/>
      </w:r>
      <w:r w:rsidRPr="001B019C">
        <w:rPr>
          <w:rFonts w:ascii="Times New Roman" w:hAnsi="Times New Roman"/>
          <w:sz w:val="24"/>
        </w:rPr>
        <w:t>Sadaļa par pašu kapitālu ietver informāciju par ieguldījumu brokeru sabiedrības turēto pašu kapitālu un tās pašu kapitāla prasībām. Tajā ir ietvertas divas veidnes.</w:t>
      </w:r>
    </w:p>
    <w:p w14:paraId="0992CFDF" w14:textId="77777777" w:rsidR="006A39B0" w:rsidRPr="001B019C" w:rsidRDefault="001B019C">
      <w:pPr>
        <w:spacing w:line="256" w:lineRule="auto"/>
        <w:ind w:left="1728" w:hanging="648"/>
        <w:jc w:val="both"/>
        <w:rPr>
          <w:rFonts w:ascii="Times New Roman" w:hAnsi="Times New Roman" w:cs="Times New Roman"/>
          <w:sz w:val="24"/>
        </w:rPr>
      </w:pPr>
      <w:r w:rsidRPr="001B019C">
        <w:rPr>
          <w:rFonts w:ascii="Times New Roman" w:hAnsi="Times New Roman" w:cs="Times New Roman"/>
          <w:sz w:val="24"/>
        </w:rPr>
        <w:t>a)</w:t>
      </w:r>
      <w:r w:rsidRPr="001B019C">
        <w:rPr>
          <w:rFonts w:ascii="Times New Roman" w:hAnsi="Times New Roman" w:cs="Times New Roman"/>
          <w:sz w:val="24"/>
        </w:rPr>
        <w:tab/>
      </w:r>
      <w:r w:rsidRPr="001B019C">
        <w:rPr>
          <w:rFonts w:ascii="Times New Roman" w:hAnsi="Times New Roman"/>
          <w:sz w:val="24"/>
        </w:rPr>
        <w:t>Veidnē I 11.01 ietver inf</w:t>
      </w:r>
      <w:r w:rsidRPr="001B019C">
        <w:rPr>
          <w:rFonts w:ascii="Times New Roman" w:hAnsi="Times New Roman"/>
          <w:sz w:val="24"/>
        </w:rPr>
        <w:t>ormāciju par ieguldījumu brokeru sabiedrības turētā pašu kapitāla struktūru: pirmā līmeņa pamata kapitāls, pirmā līmeņa papildu kapitāls un otrā līmeņa kapitāls.</w:t>
      </w:r>
    </w:p>
    <w:p w14:paraId="603D5528" w14:textId="77777777" w:rsidR="006A39B0" w:rsidRPr="001B019C" w:rsidRDefault="001B019C">
      <w:pPr>
        <w:spacing w:line="256" w:lineRule="auto"/>
        <w:ind w:left="1728" w:hanging="648"/>
        <w:jc w:val="both"/>
        <w:rPr>
          <w:rFonts w:ascii="Times New Roman" w:hAnsi="Times New Roman" w:cs="Times New Roman"/>
          <w:sz w:val="24"/>
        </w:rPr>
      </w:pPr>
      <w:r w:rsidRPr="001B019C">
        <w:rPr>
          <w:rFonts w:ascii="Times New Roman" w:hAnsi="Times New Roman" w:cs="Times New Roman"/>
          <w:sz w:val="24"/>
        </w:rPr>
        <w:t>b)</w:t>
      </w:r>
      <w:r w:rsidRPr="001B019C">
        <w:rPr>
          <w:rFonts w:ascii="Times New Roman" w:hAnsi="Times New Roman" w:cs="Times New Roman"/>
          <w:sz w:val="24"/>
        </w:rPr>
        <w:tab/>
      </w:r>
      <w:r w:rsidRPr="001B019C">
        <w:rPr>
          <w:rFonts w:ascii="Times New Roman" w:hAnsi="Times New Roman"/>
          <w:sz w:val="24"/>
        </w:rPr>
        <w:t>Veidnē I 11.02 ietver informāciju par “pašu kapitāla prasībām” grupas kapitāla kritērija ko</w:t>
      </w:r>
      <w:r w:rsidRPr="001B019C">
        <w:rPr>
          <w:rFonts w:ascii="Times New Roman" w:hAnsi="Times New Roman"/>
          <w:sz w:val="24"/>
        </w:rPr>
        <w:t>ntekstā, t. i., grupas iekšējam līdzdalībām, iespējamām saistībām un meitasuzņēmumu kopējām pašu kapitāla prasībām.</w:t>
      </w:r>
    </w:p>
    <w:p w14:paraId="2BF8D3BF" w14:textId="77777777" w:rsidR="006A39B0" w:rsidRPr="001B019C" w:rsidRDefault="001B019C">
      <w:pPr>
        <w:spacing w:line="256" w:lineRule="auto"/>
        <w:ind w:left="1728" w:hanging="648"/>
        <w:jc w:val="both"/>
        <w:rPr>
          <w:rFonts w:ascii="Times New Roman" w:hAnsi="Times New Roman" w:cs="Times New Roman"/>
          <w:sz w:val="24"/>
        </w:rPr>
      </w:pPr>
      <w:r w:rsidRPr="001B019C">
        <w:rPr>
          <w:rFonts w:ascii="Times New Roman" w:hAnsi="Times New Roman" w:cs="Times New Roman"/>
          <w:sz w:val="24"/>
        </w:rPr>
        <w:t>c)</w:t>
      </w:r>
      <w:r w:rsidRPr="001B019C">
        <w:rPr>
          <w:rFonts w:ascii="Times New Roman" w:hAnsi="Times New Roman" w:cs="Times New Roman"/>
          <w:sz w:val="24"/>
        </w:rPr>
        <w:tab/>
      </w:r>
      <w:r w:rsidRPr="001B019C">
        <w:rPr>
          <w:rFonts w:ascii="Times New Roman" w:hAnsi="Times New Roman"/>
          <w:sz w:val="24"/>
        </w:rPr>
        <w:t>Veidne I 11.03 ietver attiecīgo informāciju par kapitāla prasībām, iespējamām saistībām, pakārtotajām prasībām un finanšu sektora sabiedr</w:t>
      </w:r>
      <w:r w:rsidRPr="001B019C">
        <w:rPr>
          <w:rFonts w:ascii="Times New Roman" w:hAnsi="Times New Roman"/>
          <w:sz w:val="24"/>
        </w:rPr>
        <w:t>ību līdzdalībām meitasuzņēmumu līmenī, sadalījumā pa atsevišķajām sabiedrībām.</w:t>
      </w:r>
    </w:p>
    <w:p w14:paraId="03E015AA" w14:textId="77777777" w:rsidR="006A39B0" w:rsidRPr="001B019C" w:rsidRDefault="001B019C">
      <w:pPr>
        <w:spacing w:line="256" w:lineRule="auto"/>
        <w:ind w:left="993" w:hanging="567"/>
        <w:jc w:val="both"/>
        <w:rPr>
          <w:rFonts w:ascii="Times New Roman" w:hAnsi="Times New Roman" w:cs="Times New Roman"/>
          <w:sz w:val="24"/>
        </w:rPr>
      </w:pPr>
      <w:r w:rsidRPr="001B019C">
        <w:rPr>
          <w:rFonts w:ascii="Times New Roman" w:hAnsi="Times New Roman" w:cs="Times New Roman"/>
          <w:sz w:val="24"/>
        </w:rPr>
        <w:t>11.</w:t>
      </w:r>
      <w:r w:rsidRPr="001B019C">
        <w:rPr>
          <w:rFonts w:ascii="Times New Roman" w:hAnsi="Times New Roman" w:cs="Times New Roman"/>
          <w:sz w:val="24"/>
        </w:rPr>
        <w:tab/>
      </w:r>
      <w:r w:rsidRPr="001B019C">
        <w:rPr>
          <w:rFonts w:ascii="Times New Roman" w:hAnsi="Times New Roman"/>
          <w:sz w:val="24"/>
        </w:rPr>
        <w:t>Šo veidņu posteņos pārejas posma korekcijas parasti neņem vērā. Tas nozīmē, ka skaitļus (izņemot gadījumus, kad pārejas posma pašu kapitāla prasība ir īpaši norādīta) aprēķi</w:t>
      </w:r>
      <w:r w:rsidRPr="001B019C">
        <w:rPr>
          <w:rFonts w:ascii="Times New Roman" w:hAnsi="Times New Roman"/>
          <w:sz w:val="24"/>
        </w:rPr>
        <w:t>na saskaņā ar nobeiguma noteikumiem (t. i., it kā nebūtu pārejas noteikumu).</w:t>
      </w:r>
    </w:p>
    <w:p w14:paraId="46ABD4FA" w14:textId="77777777" w:rsidR="006A39B0" w:rsidRPr="001B019C" w:rsidRDefault="001B019C">
      <w:pPr>
        <w:pStyle w:val="Instructionsberschrift2"/>
        <w:ind w:left="357" w:hanging="357"/>
        <w:rPr>
          <w:rFonts w:ascii="Times New Roman" w:hAnsi="Times New Roman" w:cs="Times New Roman"/>
          <w:sz w:val="24"/>
        </w:rPr>
      </w:pPr>
      <w:bookmarkStart w:id="17" w:name="_Toc88142223"/>
      <w:r w:rsidRPr="001B019C">
        <w:rPr>
          <w:rFonts w:ascii="Times New Roman" w:hAnsi="Times New Roman"/>
          <w:sz w:val="24"/>
        </w:rPr>
        <w:t>1.2. I 11.01 – PAŠU KAPITĀLA STRUKTŪRA – GRUPAS KAPITĀLA KRITĒRIJS (I11.1)</w:t>
      </w:r>
      <w:bookmarkEnd w:id="17"/>
    </w:p>
    <w:p w14:paraId="491659D4" w14:textId="77777777" w:rsidR="006A39B0" w:rsidRPr="001B019C" w:rsidRDefault="001B019C">
      <w:pPr>
        <w:pStyle w:val="Instructionsberschrift2"/>
        <w:ind w:left="357" w:hanging="357"/>
        <w:rPr>
          <w:rFonts w:ascii="Times New Roman" w:hAnsi="Times New Roman" w:cs="Times New Roman"/>
          <w:sz w:val="24"/>
        </w:rPr>
      </w:pPr>
      <w:bookmarkStart w:id="18" w:name="_Toc88142224"/>
      <w:r w:rsidRPr="001B019C">
        <w:rPr>
          <w:rFonts w:ascii="Times New Roman" w:hAnsi="Times New Roman"/>
          <w:sz w:val="24"/>
          <w:u w:val="none"/>
        </w:rPr>
        <w:t>1.2.1.</w:t>
      </w:r>
      <w:r w:rsidRPr="001B019C">
        <w:tab/>
      </w:r>
      <w:r w:rsidRPr="001B019C">
        <w:rPr>
          <w:rFonts w:ascii="Times New Roman" w:hAnsi="Times New Roman"/>
          <w:sz w:val="24"/>
        </w:rPr>
        <w:t>Norādījumi attiecībā uz konkrētām pozīcijām.</w:t>
      </w:r>
      <w:bookmarkEnd w:id="1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A39B0" w:rsidRPr="001B019C" w14:paraId="4C9D890B" w14:textId="77777777">
        <w:tc>
          <w:tcPr>
            <w:tcW w:w="1129" w:type="dxa"/>
            <w:shd w:val="clear" w:color="auto" w:fill="D9D9D9"/>
          </w:tcPr>
          <w:p w14:paraId="79810024"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rPr>
              <w:t>Rinda</w:t>
            </w:r>
          </w:p>
        </w:tc>
        <w:tc>
          <w:tcPr>
            <w:tcW w:w="7620" w:type="dxa"/>
            <w:shd w:val="clear" w:color="auto" w:fill="D9D9D9"/>
          </w:tcPr>
          <w:p w14:paraId="64EF5505"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rPr>
              <w:t>Atsauces uz tiesību aktiem un norādījumi</w:t>
            </w:r>
          </w:p>
        </w:tc>
      </w:tr>
      <w:tr w:rsidR="006A39B0" w:rsidRPr="001B019C" w14:paraId="441C1093" w14:textId="77777777">
        <w:tc>
          <w:tcPr>
            <w:tcW w:w="1129" w:type="dxa"/>
          </w:tcPr>
          <w:p w14:paraId="529F37DF"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0010</w:t>
            </w:r>
          </w:p>
        </w:tc>
        <w:tc>
          <w:tcPr>
            <w:tcW w:w="7620" w:type="dxa"/>
          </w:tcPr>
          <w:p w14:paraId="412F4DCA"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PAŠU KAPITĀLS</w:t>
            </w:r>
          </w:p>
          <w:p w14:paraId="4EC807D0"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 9. panta 1. punkts.</w:t>
            </w:r>
          </w:p>
          <w:p w14:paraId="6AE090B3"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Style w:val="FormatvorlageInstructionsTabelleText"/>
                <w:rFonts w:ascii="Times New Roman" w:hAnsi="Times New Roman"/>
                <w:sz w:val="22"/>
              </w:rPr>
              <w:lastRenderedPageBreak/>
              <w:t>Ieguldījumu brokeru sabiedrības pašu kapitālu veido tās pirmā līmeņa kapitāla un otrā līmeņa kapitāla summa.</w:t>
            </w:r>
          </w:p>
        </w:tc>
      </w:tr>
      <w:tr w:rsidR="006A39B0" w:rsidRPr="001B019C" w14:paraId="2E80F465" w14:textId="77777777">
        <w:tc>
          <w:tcPr>
            <w:tcW w:w="1129" w:type="dxa"/>
          </w:tcPr>
          <w:p w14:paraId="03B4A076"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lastRenderedPageBreak/>
              <w:t>0020</w:t>
            </w:r>
          </w:p>
        </w:tc>
        <w:tc>
          <w:tcPr>
            <w:tcW w:w="7620" w:type="dxa"/>
          </w:tcPr>
          <w:p w14:paraId="437C862A"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PIRMĀ LĪMEŅA KAPITĀLS</w:t>
            </w:r>
          </w:p>
          <w:p w14:paraId="1B33D50C"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Style w:val="FormatvorlageInstructionsTabelleText"/>
                <w:rFonts w:ascii="Times New Roman" w:hAnsi="Times New Roman"/>
                <w:sz w:val="22"/>
              </w:rPr>
              <w:t xml:space="preserve">Pirmā līmeņa kapitālu veido pirmā līmeņa pamata </w:t>
            </w:r>
            <w:r w:rsidRPr="001B019C">
              <w:rPr>
                <w:rStyle w:val="FormatvorlageInstructionsTabelleText"/>
                <w:rFonts w:ascii="Times New Roman" w:hAnsi="Times New Roman"/>
                <w:sz w:val="22"/>
              </w:rPr>
              <w:t>kapitāla un pirmā līmeņa papildu kapitāla summa.</w:t>
            </w:r>
          </w:p>
        </w:tc>
      </w:tr>
      <w:tr w:rsidR="006A39B0" w:rsidRPr="001B019C" w14:paraId="077F79B5" w14:textId="77777777">
        <w:tc>
          <w:tcPr>
            <w:tcW w:w="1129" w:type="dxa"/>
          </w:tcPr>
          <w:p w14:paraId="242C81A9"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0030</w:t>
            </w:r>
          </w:p>
        </w:tc>
        <w:tc>
          <w:tcPr>
            <w:tcW w:w="7620" w:type="dxa"/>
          </w:tcPr>
          <w:p w14:paraId="5A77085C"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Style w:val="InstructionsTabelleberschrift"/>
                <w:rFonts w:ascii="Times New Roman" w:hAnsi="Times New Roman"/>
                <w:sz w:val="22"/>
              </w:rPr>
              <w:t>PIRMĀ LĪMEŅA PAMATA KAPITĀLS</w:t>
            </w:r>
          </w:p>
          <w:p w14:paraId="238894B4"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 9. panta 1. punkts.</w:t>
            </w:r>
          </w:p>
          <w:p w14:paraId="49BD8AB7" w14:textId="77777777" w:rsidR="006A39B0" w:rsidRPr="001B019C" w:rsidRDefault="001B019C">
            <w:pPr>
              <w:spacing w:after="120" w:line="240" w:lineRule="auto"/>
              <w:jc w:val="both"/>
              <w:rPr>
                <w:rFonts w:ascii="Times New Roman" w:eastAsia="Times New Roman" w:hAnsi="Times New Roman" w:cs="Times New Roman"/>
                <w:bCs/>
              </w:rPr>
            </w:pPr>
            <w:r w:rsidRPr="001B019C">
              <w:rPr>
                <w:rStyle w:val="FormatvorlageInstructionsTabelleText"/>
                <w:rFonts w:ascii="Times New Roman" w:hAnsi="Times New Roman"/>
                <w:sz w:val="22"/>
              </w:rPr>
              <w:t>Regulas (ES) Nr. 575/2013 50. pants.</w:t>
            </w:r>
          </w:p>
        </w:tc>
      </w:tr>
      <w:tr w:rsidR="006A39B0" w:rsidRPr="001B019C" w14:paraId="6BE2D117" w14:textId="77777777">
        <w:tc>
          <w:tcPr>
            <w:tcW w:w="1129" w:type="dxa"/>
          </w:tcPr>
          <w:p w14:paraId="406CC575"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0040</w:t>
            </w:r>
          </w:p>
        </w:tc>
        <w:tc>
          <w:tcPr>
            <w:tcW w:w="7620" w:type="dxa"/>
          </w:tcPr>
          <w:p w14:paraId="27DFF5E4"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Pilnībā apmaksāti kapitāla instrumenti</w:t>
            </w:r>
          </w:p>
          <w:p w14:paraId="55E9043E"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 xml:space="preserve">Regulas (ES) 2019/2033 9. panta </w:t>
            </w:r>
            <w:r w:rsidRPr="001B019C">
              <w:rPr>
                <w:rFonts w:ascii="Times New Roman" w:hAnsi="Times New Roman"/>
                <w:bCs/>
              </w:rPr>
              <w:t>1. punkta i) apakšpunkts.</w:t>
            </w:r>
          </w:p>
          <w:p w14:paraId="6754A540" w14:textId="77777777" w:rsidR="006A39B0" w:rsidRPr="001B019C" w:rsidRDefault="001B019C">
            <w:pPr>
              <w:pStyle w:val="InstructionsText"/>
              <w:rPr>
                <w:rStyle w:val="FormatvorlageInstructionsTabelleText"/>
                <w:rFonts w:ascii="Times New Roman" w:hAnsi="Times New Roman"/>
                <w:sz w:val="22"/>
                <w:szCs w:val="22"/>
              </w:rPr>
            </w:pPr>
            <w:r w:rsidRPr="001B019C">
              <w:rPr>
                <w:rStyle w:val="FormatvorlageInstructionsTabelleText"/>
                <w:rFonts w:ascii="Times New Roman" w:hAnsi="Times New Roman"/>
                <w:sz w:val="22"/>
                <w:szCs w:val="22"/>
              </w:rPr>
              <w:t>Regulas (ES) Nr. 575/2013 26. panta 1. punkta a) apakšpunkts un 27. līdz 31. pants.</w:t>
            </w:r>
          </w:p>
          <w:p w14:paraId="35546337" w14:textId="77777777" w:rsidR="006A39B0" w:rsidRPr="001B019C" w:rsidRDefault="001B019C">
            <w:pPr>
              <w:pStyle w:val="InstructionsText"/>
              <w:rPr>
                <w:rStyle w:val="FormatvorlageInstructionsTabelleText"/>
                <w:rFonts w:ascii="Times New Roman" w:hAnsi="Times New Roman"/>
                <w:sz w:val="22"/>
                <w:szCs w:val="22"/>
              </w:rPr>
            </w:pPr>
            <w:r w:rsidRPr="001B019C">
              <w:rPr>
                <w:rStyle w:val="FormatvorlageInstructionsTabelleText"/>
                <w:rFonts w:ascii="Times New Roman" w:hAnsi="Times New Roman"/>
                <w:sz w:val="22"/>
                <w:szCs w:val="22"/>
              </w:rPr>
              <w:t>Ietver savstarpēju sabiedrību, kooperatīvu sabiedrību vai līdzīgu iestāžu kapitāla instrumentus (Regulas (ES) Nr. 575/2013 27. un 29. pants).</w:t>
            </w:r>
          </w:p>
          <w:p w14:paraId="016EFC17" w14:textId="77777777" w:rsidR="006A39B0" w:rsidRPr="001B019C" w:rsidRDefault="001B019C">
            <w:pPr>
              <w:pStyle w:val="InstructionsText"/>
              <w:rPr>
                <w:rStyle w:val="FormatvorlageInstructionsTabelleText"/>
                <w:rFonts w:ascii="Times New Roman" w:hAnsi="Times New Roman"/>
                <w:sz w:val="22"/>
                <w:szCs w:val="22"/>
              </w:rPr>
            </w:pPr>
            <w:r w:rsidRPr="001B019C">
              <w:rPr>
                <w:rStyle w:val="FormatvorlageInstructionsTabelleText"/>
                <w:rFonts w:ascii="Times New Roman" w:hAnsi="Times New Roman"/>
                <w:sz w:val="22"/>
                <w:szCs w:val="22"/>
              </w:rPr>
              <w:t>Neie</w:t>
            </w:r>
            <w:r w:rsidRPr="001B019C">
              <w:rPr>
                <w:rStyle w:val="FormatvorlageInstructionsTabelleText"/>
                <w:rFonts w:ascii="Times New Roman" w:hAnsi="Times New Roman"/>
                <w:sz w:val="22"/>
                <w:szCs w:val="22"/>
              </w:rPr>
              <w:t>tver ar instrumentiem saistīto akciju emisijas uzcenojumu.</w:t>
            </w:r>
          </w:p>
          <w:p w14:paraId="19C9C04C" w14:textId="77777777" w:rsidR="006A39B0" w:rsidRPr="001B019C" w:rsidRDefault="001B019C">
            <w:pPr>
              <w:pStyle w:val="InstructionsText"/>
              <w:rPr>
                <w:sz w:val="22"/>
                <w:szCs w:val="22"/>
              </w:rPr>
            </w:pPr>
            <w:r w:rsidRPr="001B019C">
              <w:rPr>
                <w:rStyle w:val="FormatvorlageInstructionsTabelleText"/>
                <w:rFonts w:ascii="Times New Roman" w:hAnsi="Times New Roman"/>
                <w:sz w:val="22"/>
                <w:szCs w:val="22"/>
              </w:rPr>
              <w:t>Ietver kapitāla instrumentus, uz ko parakstījušas valsts sektora iestādes ārkārtas situācijās, ja visi Regulas (ES) Nr. 575/2013 31. panta nosacījumi ir izpildīti.</w:t>
            </w:r>
          </w:p>
        </w:tc>
      </w:tr>
      <w:tr w:rsidR="006A39B0" w:rsidRPr="001B019C" w14:paraId="4B171319" w14:textId="77777777">
        <w:tc>
          <w:tcPr>
            <w:tcW w:w="1129" w:type="dxa"/>
          </w:tcPr>
          <w:p w14:paraId="777C4E82"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0050</w:t>
            </w:r>
          </w:p>
        </w:tc>
        <w:tc>
          <w:tcPr>
            <w:tcW w:w="7620" w:type="dxa"/>
          </w:tcPr>
          <w:p w14:paraId="76DCD014"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Akciju emisijas uzcenojums</w:t>
            </w:r>
          </w:p>
          <w:p w14:paraId="10277D0A"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 9. panta 1. punkta i) apakšpunkts.</w:t>
            </w:r>
          </w:p>
          <w:p w14:paraId="55F4A027" w14:textId="77777777" w:rsidR="006A39B0" w:rsidRPr="001B019C" w:rsidRDefault="001B019C">
            <w:pPr>
              <w:spacing w:after="120" w:line="240" w:lineRule="auto"/>
              <w:jc w:val="both"/>
              <w:rPr>
                <w:rStyle w:val="FormatvorlageInstructionsTabelleText"/>
                <w:rFonts w:ascii="Times New Roman" w:hAnsi="Times New Roman"/>
                <w:sz w:val="22"/>
              </w:rPr>
            </w:pPr>
            <w:r w:rsidRPr="001B019C">
              <w:rPr>
                <w:rStyle w:val="FormatvorlageInstructionsTabelleText"/>
                <w:rFonts w:ascii="Times New Roman" w:hAnsi="Times New Roman"/>
                <w:sz w:val="22"/>
              </w:rPr>
              <w:t>Regulas (ES) Nr. 575/2013 26. panta 1. punkta b) apakšpunkts.</w:t>
            </w:r>
          </w:p>
          <w:p w14:paraId="24B0E8DD" w14:textId="77777777" w:rsidR="006A39B0" w:rsidRPr="001B019C" w:rsidRDefault="001B019C">
            <w:pPr>
              <w:pStyle w:val="InstructionsText"/>
              <w:rPr>
                <w:rStyle w:val="FormatvorlageInstructionsTabelleText"/>
                <w:rFonts w:ascii="Times New Roman" w:hAnsi="Times New Roman"/>
                <w:sz w:val="22"/>
                <w:szCs w:val="22"/>
              </w:rPr>
            </w:pPr>
            <w:r w:rsidRPr="001B019C">
              <w:rPr>
                <w:rStyle w:val="FormatvorlageInstructionsTabelleText"/>
                <w:rFonts w:ascii="Times New Roman" w:hAnsi="Times New Roman"/>
                <w:sz w:val="22"/>
                <w:szCs w:val="22"/>
              </w:rPr>
              <w:t>Akciju emisijas uzcenojums ir uzcenojums tādā nozīmē, kā definēts piemērojamā grāmatvedības standartā.</w:t>
            </w:r>
          </w:p>
          <w:p w14:paraId="31E220F5"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Style w:val="FormatvorlageInstructionsTabelleText"/>
                <w:rFonts w:ascii="Times New Roman" w:hAnsi="Times New Roman"/>
                <w:sz w:val="22"/>
              </w:rPr>
              <w:t>Šajā postenī uzrādāmā summa ir ar</w:t>
            </w:r>
            <w:r w:rsidRPr="001B019C">
              <w:rPr>
                <w:rStyle w:val="FormatvorlageInstructionsTabelleText"/>
                <w:rFonts w:ascii="Times New Roman" w:hAnsi="Times New Roman"/>
                <w:sz w:val="22"/>
              </w:rPr>
              <w:t xml:space="preserve"> “Apmaksātiem kapitāla instrumentiem” saistītā daļa.</w:t>
            </w:r>
          </w:p>
        </w:tc>
      </w:tr>
      <w:tr w:rsidR="006A39B0" w:rsidRPr="001B019C" w14:paraId="479AACA7" w14:textId="77777777">
        <w:tc>
          <w:tcPr>
            <w:tcW w:w="1129" w:type="dxa"/>
          </w:tcPr>
          <w:p w14:paraId="4F44737B"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0060</w:t>
            </w:r>
          </w:p>
        </w:tc>
        <w:tc>
          <w:tcPr>
            <w:tcW w:w="7620" w:type="dxa"/>
          </w:tcPr>
          <w:p w14:paraId="100F27E1"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Nesadalītā peļņa</w:t>
            </w:r>
          </w:p>
          <w:p w14:paraId="30798F52"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w:t>
            </w:r>
            <w:r w:rsidRPr="001B019C">
              <w:rPr>
                <w:rStyle w:val="FormatvorlageInstructionsTabelleText"/>
                <w:rFonts w:ascii="Times New Roman" w:hAnsi="Times New Roman"/>
                <w:sz w:val="22"/>
              </w:rPr>
              <w:t xml:space="preserve"> 9. panta 1. punkta</w:t>
            </w:r>
            <w:r w:rsidRPr="001B019C">
              <w:rPr>
                <w:rFonts w:ascii="Times New Roman" w:hAnsi="Times New Roman"/>
                <w:bCs/>
              </w:rPr>
              <w:t xml:space="preserve"> i) apakšpunkts.</w:t>
            </w:r>
          </w:p>
          <w:p w14:paraId="427C198D" w14:textId="77777777" w:rsidR="006A39B0" w:rsidRPr="001B019C" w:rsidRDefault="001B019C">
            <w:pPr>
              <w:spacing w:after="120" w:line="240" w:lineRule="auto"/>
              <w:jc w:val="both"/>
              <w:rPr>
                <w:rStyle w:val="FormatvorlageInstructionsTabelleText"/>
                <w:rFonts w:ascii="Times New Roman" w:hAnsi="Times New Roman"/>
                <w:sz w:val="22"/>
              </w:rPr>
            </w:pPr>
            <w:r w:rsidRPr="001B019C">
              <w:rPr>
                <w:rStyle w:val="FormatvorlageInstructionsTabelleText"/>
                <w:rFonts w:ascii="Times New Roman" w:hAnsi="Times New Roman"/>
                <w:sz w:val="22"/>
              </w:rPr>
              <w:t>Regulas (ES) Nr. 575/2013 26. panta 1. punkta c) apakšpunkts.</w:t>
            </w:r>
          </w:p>
          <w:p w14:paraId="2DED0B1E" w14:textId="77777777" w:rsidR="006A39B0" w:rsidRPr="001B019C" w:rsidRDefault="001B019C">
            <w:pPr>
              <w:spacing w:after="120" w:line="240" w:lineRule="auto"/>
              <w:jc w:val="both"/>
              <w:rPr>
                <w:rStyle w:val="FormatvorlageInstructionsTabelleText"/>
                <w:rFonts w:ascii="Times New Roman" w:hAnsi="Times New Roman"/>
                <w:sz w:val="22"/>
              </w:rPr>
            </w:pPr>
            <w:r w:rsidRPr="001B019C">
              <w:rPr>
                <w:rStyle w:val="FormatvorlageInstructionsTabelleText"/>
                <w:rFonts w:ascii="Times New Roman" w:hAnsi="Times New Roman"/>
                <w:sz w:val="22"/>
              </w:rPr>
              <w:t xml:space="preserve">Nesadalītā peļņa ietver iepriekšējā gada </w:t>
            </w:r>
            <w:r w:rsidRPr="001B019C">
              <w:rPr>
                <w:rStyle w:val="FormatvorlageInstructionsTabelleText"/>
                <w:rFonts w:ascii="Times New Roman" w:hAnsi="Times New Roman"/>
                <w:sz w:val="22"/>
              </w:rPr>
              <w:t>nesadalīto peļņu, kā arī atbilstošo starpposma vai gada beigu peļņu.</w:t>
            </w:r>
          </w:p>
          <w:p w14:paraId="79D05004"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Cs/>
              </w:rPr>
              <w:t>Uzrāda 0070. un 0080. rindas summu.</w:t>
            </w:r>
          </w:p>
        </w:tc>
      </w:tr>
      <w:tr w:rsidR="006A39B0" w:rsidRPr="001B019C" w14:paraId="0AEDB12B" w14:textId="77777777">
        <w:tc>
          <w:tcPr>
            <w:tcW w:w="1129" w:type="dxa"/>
          </w:tcPr>
          <w:p w14:paraId="13DE5E9C"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0070</w:t>
            </w:r>
          </w:p>
        </w:tc>
        <w:tc>
          <w:tcPr>
            <w:tcW w:w="7620" w:type="dxa"/>
          </w:tcPr>
          <w:p w14:paraId="54E03547"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Iepriekšējo gadu nesadalītā peļņa</w:t>
            </w:r>
          </w:p>
          <w:p w14:paraId="3868BDE2"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Nr. 575/2013 4. panta 1. punkta 123) apakšpunkts un 26. panta 1. punkta c) apakšpunkts.</w:t>
            </w:r>
          </w:p>
          <w:p w14:paraId="25495FD2"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Cs/>
              </w:rPr>
              <w:t>Regulas (E</w:t>
            </w:r>
            <w:r w:rsidRPr="001B019C">
              <w:rPr>
                <w:rFonts w:ascii="Times New Roman" w:hAnsi="Times New Roman"/>
                <w:bCs/>
              </w:rPr>
              <w:t>S) Nr. 575/2013 4. panta 1. punkta 123. apakšpunktā nesadalītā peļņa ir definēta kā “pārnestā peļņa un zaudējumi, kas izriet no peļņas vai zaudējumu galīgās piemērošanas saskaņā ar piemērojamo grāmatvedības regulējumu”.</w:t>
            </w:r>
          </w:p>
        </w:tc>
      </w:tr>
      <w:tr w:rsidR="006A39B0" w:rsidRPr="001B019C" w14:paraId="21BF0D77" w14:textId="77777777">
        <w:tc>
          <w:tcPr>
            <w:tcW w:w="1129" w:type="dxa"/>
          </w:tcPr>
          <w:p w14:paraId="5BB262BC"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0080</w:t>
            </w:r>
          </w:p>
        </w:tc>
        <w:tc>
          <w:tcPr>
            <w:tcW w:w="7620" w:type="dxa"/>
          </w:tcPr>
          <w:p w14:paraId="6582B544"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Attiecināmā peļņa</w:t>
            </w:r>
          </w:p>
          <w:p w14:paraId="6270CBEA" w14:textId="77777777" w:rsidR="006A39B0" w:rsidRPr="001B019C" w:rsidRDefault="001B019C">
            <w:pPr>
              <w:spacing w:after="120" w:line="240" w:lineRule="auto"/>
              <w:jc w:val="both"/>
              <w:rPr>
                <w:rFonts w:ascii="Times New Roman" w:eastAsia="Times New Roman" w:hAnsi="Times New Roman" w:cs="Times New Roman"/>
              </w:rPr>
            </w:pPr>
            <w:r w:rsidRPr="001B019C">
              <w:rPr>
                <w:rFonts w:ascii="Times New Roman" w:hAnsi="Times New Roman"/>
              </w:rPr>
              <w:t>Regulas (ES)</w:t>
            </w:r>
            <w:r w:rsidRPr="001B019C">
              <w:rPr>
                <w:rFonts w:ascii="Times New Roman" w:hAnsi="Times New Roman"/>
              </w:rPr>
              <w:t xml:space="preserve"> Nr. 575/2013 4. panta 1. punkta 121) apakšpunkts, 26. panta 2. punkts un 36. panta 1. punkta a) apakšpunkts.</w:t>
            </w:r>
          </w:p>
          <w:p w14:paraId="1C4BC486"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rPr>
              <w:t>Regulas (ES) Nr. 575/2013 26. panta 2. punkts ļauj ar kompetento iestāžu iepriekšēju piekrišanu starpposma vai gada beigu peļņu iekļaut kā nesadal</w:t>
            </w:r>
            <w:r w:rsidRPr="001B019C">
              <w:rPr>
                <w:rFonts w:ascii="Times New Roman" w:hAnsi="Times New Roman"/>
              </w:rPr>
              <w:t xml:space="preserve">īto peļņu, ja ir izpildīti zināmi nosacījumi. </w:t>
            </w:r>
          </w:p>
        </w:tc>
      </w:tr>
      <w:tr w:rsidR="006A39B0" w:rsidRPr="001B019C" w14:paraId="3BCF256D" w14:textId="77777777">
        <w:tc>
          <w:tcPr>
            <w:tcW w:w="1129" w:type="dxa"/>
          </w:tcPr>
          <w:p w14:paraId="39745E54"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0090</w:t>
            </w:r>
          </w:p>
        </w:tc>
        <w:tc>
          <w:tcPr>
            <w:tcW w:w="7620" w:type="dxa"/>
          </w:tcPr>
          <w:p w14:paraId="40539D06"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Uzkrātie pārējie apvienotie ienākumi</w:t>
            </w:r>
          </w:p>
          <w:p w14:paraId="62BBC738"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lastRenderedPageBreak/>
              <w:t>Regulas (ES) 2019/2033 9. panta 1. punkta i) apakšpunkts.</w:t>
            </w:r>
          </w:p>
          <w:p w14:paraId="58D69997" w14:textId="77777777" w:rsidR="006A39B0" w:rsidRPr="001B019C" w:rsidRDefault="001B019C">
            <w:pPr>
              <w:spacing w:after="120" w:line="240" w:lineRule="auto"/>
              <w:jc w:val="both"/>
              <w:rPr>
                <w:rFonts w:ascii="Times New Roman" w:hAnsi="Times New Roman" w:cs="Times New Roman"/>
                <w:bCs/>
              </w:rPr>
            </w:pPr>
            <w:r w:rsidRPr="001B019C">
              <w:rPr>
                <w:rStyle w:val="FormatvorlageInstructionsTabelleText"/>
                <w:rFonts w:ascii="Times New Roman" w:hAnsi="Times New Roman"/>
                <w:sz w:val="22"/>
              </w:rPr>
              <w:t>Regulas (ES) Nr. 575/2013 26. panta 1. punkta d) apakšpunkts.</w:t>
            </w:r>
          </w:p>
        </w:tc>
      </w:tr>
      <w:tr w:rsidR="006A39B0" w:rsidRPr="001B019C" w14:paraId="2CC7DD6C" w14:textId="77777777">
        <w:tc>
          <w:tcPr>
            <w:tcW w:w="1129" w:type="dxa"/>
          </w:tcPr>
          <w:p w14:paraId="14DB8BD6"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lastRenderedPageBreak/>
              <w:t>0100</w:t>
            </w:r>
          </w:p>
        </w:tc>
        <w:tc>
          <w:tcPr>
            <w:tcW w:w="7620" w:type="dxa"/>
          </w:tcPr>
          <w:p w14:paraId="45903DED"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Citas rezerves</w:t>
            </w:r>
          </w:p>
          <w:p w14:paraId="49A474E1"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 xml:space="preserve">Regulas (ES) </w:t>
            </w:r>
            <w:r w:rsidRPr="001B019C">
              <w:rPr>
                <w:rFonts w:ascii="Times New Roman" w:hAnsi="Times New Roman"/>
                <w:bCs/>
              </w:rPr>
              <w:t>2019/2033 9. panta 1. punkta i) apakšpunkts.</w:t>
            </w:r>
          </w:p>
          <w:p w14:paraId="4524B607" w14:textId="77777777" w:rsidR="006A39B0" w:rsidRPr="001B019C" w:rsidRDefault="001B019C">
            <w:pPr>
              <w:spacing w:after="120" w:line="240" w:lineRule="auto"/>
              <w:jc w:val="both"/>
              <w:rPr>
                <w:rStyle w:val="FormatvorlageInstructionsTabelleText"/>
                <w:rFonts w:ascii="Times New Roman" w:hAnsi="Times New Roman"/>
                <w:sz w:val="22"/>
              </w:rPr>
            </w:pPr>
            <w:r w:rsidRPr="001B019C">
              <w:rPr>
                <w:rStyle w:val="FormatvorlageInstructionsTabelleText"/>
                <w:rFonts w:ascii="Times New Roman" w:hAnsi="Times New Roman"/>
                <w:sz w:val="22"/>
              </w:rPr>
              <w:t>Regulas (ES) Nr. 575/2013 4. panta 1. punkta 117) apakšpunkts un 26. panta 1. punkta e) apakšpunkts.</w:t>
            </w:r>
          </w:p>
          <w:p w14:paraId="2C67FFAA"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Style w:val="FormatvorlageInstructionsTabelleText"/>
                <w:rFonts w:ascii="Times New Roman" w:hAnsi="Times New Roman"/>
                <w:sz w:val="22"/>
              </w:rPr>
              <w:t>Uzrādāmajā summā neietver jebkādus nodokļus, kuri paredzami aprēķināšanas laikā.</w:t>
            </w:r>
          </w:p>
        </w:tc>
      </w:tr>
      <w:tr w:rsidR="006A39B0" w:rsidRPr="001B019C" w14:paraId="1A59CC16" w14:textId="77777777">
        <w:tc>
          <w:tcPr>
            <w:tcW w:w="1129" w:type="dxa"/>
          </w:tcPr>
          <w:p w14:paraId="0A8648B6"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0120</w:t>
            </w:r>
          </w:p>
        </w:tc>
        <w:tc>
          <w:tcPr>
            <w:tcW w:w="7620" w:type="dxa"/>
          </w:tcPr>
          <w:p w14:paraId="5CA024BD"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Pirmā līmeņa pamata kap</w:t>
            </w:r>
            <w:r w:rsidRPr="001B019C">
              <w:rPr>
                <w:rFonts w:ascii="Times New Roman" w:hAnsi="Times New Roman"/>
                <w:b/>
                <w:bCs/>
                <w:u w:val="single"/>
              </w:rPr>
              <w:t>itāla korekcijas saistībā ar prudenciālajiem filtriem</w:t>
            </w:r>
          </w:p>
          <w:p w14:paraId="06AE5076"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 9. panta 1. punkta i) apakšpunkts.</w:t>
            </w:r>
          </w:p>
          <w:p w14:paraId="685184A0"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Style w:val="FormatvorlageInstructionsTabelleText"/>
                <w:rFonts w:ascii="Times New Roman" w:hAnsi="Times New Roman"/>
                <w:sz w:val="22"/>
              </w:rPr>
              <w:t>Regulas (ES) Nr. 575/2013 32. līdz 35. pants.</w:t>
            </w:r>
          </w:p>
        </w:tc>
      </w:tr>
      <w:tr w:rsidR="006A39B0" w:rsidRPr="001B019C" w14:paraId="52034CA3" w14:textId="77777777">
        <w:tc>
          <w:tcPr>
            <w:tcW w:w="1129" w:type="dxa"/>
          </w:tcPr>
          <w:p w14:paraId="01F7394B"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0130</w:t>
            </w:r>
          </w:p>
        </w:tc>
        <w:tc>
          <w:tcPr>
            <w:tcW w:w="7620" w:type="dxa"/>
          </w:tcPr>
          <w:p w14:paraId="045DA8CC"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Citi līdzekļi</w:t>
            </w:r>
          </w:p>
          <w:p w14:paraId="18215695"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Cs/>
              </w:rPr>
              <w:t>Regulas (ES) 2019/2033 9. panta 4. punkts.</w:t>
            </w:r>
          </w:p>
        </w:tc>
      </w:tr>
      <w:tr w:rsidR="006A39B0" w:rsidRPr="001B019C" w14:paraId="6AD5455D" w14:textId="77777777">
        <w:tc>
          <w:tcPr>
            <w:tcW w:w="1129" w:type="dxa"/>
          </w:tcPr>
          <w:p w14:paraId="639FF4D9"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0145</w:t>
            </w:r>
          </w:p>
        </w:tc>
        <w:tc>
          <w:tcPr>
            <w:tcW w:w="7620" w:type="dxa"/>
          </w:tcPr>
          <w:p w14:paraId="0A811315"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 xml:space="preserve">(-) KOPĒJIE </w:t>
            </w:r>
            <w:r w:rsidRPr="001B019C">
              <w:rPr>
                <w:rFonts w:ascii="Times New Roman" w:hAnsi="Times New Roman"/>
                <w:b/>
                <w:bCs/>
                <w:u w:val="single"/>
              </w:rPr>
              <w:t>ATSKAITĪJUMI NO PIRMĀ LĪMEŅA PAMATA KAPITĀLA</w:t>
            </w:r>
          </w:p>
          <w:p w14:paraId="14C5D5D6"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 8. panta 2. punkta a) apakšpunkts, Regulas (ES) Nr. 575/2013 36. panta 1. punkts, izņemot minētā punkta i) apakšpunktu.</w:t>
            </w:r>
          </w:p>
          <w:p w14:paraId="04A937FB"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Uzrāda 0150. rindas un 0190.–0280. rindas summu.</w:t>
            </w:r>
          </w:p>
        </w:tc>
      </w:tr>
      <w:tr w:rsidR="006A39B0" w:rsidRPr="001B019C" w14:paraId="52752201" w14:textId="77777777">
        <w:tc>
          <w:tcPr>
            <w:tcW w:w="1129" w:type="dxa"/>
          </w:tcPr>
          <w:p w14:paraId="12D2EEEF"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0150</w:t>
            </w:r>
          </w:p>
        </w:tc>
        <w:tc>
          <w:tcPr>
            <w:tcW w:w="7620" w:type="dxa"/>
            <w:shd w:val="clear" w:color="auto" w:fill="auto"/>
          </w:tcPr>
          <w:p w14:paraId="4124FAE6"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 xml:space="preserve">(-) Pašu </w:t>
            </w:r>
            <w:r w:rsidRPr="001B019C">
              <w:rPr>
                <w:rFonts w:ascii="Times New Roman" w:hAnsi="Times New Roman"/>
                <w:b/>
                <w:bCs/>
                <w:u w:val="single"/>
              </w:rPr>
              <w:t>pirmā līmeņa pamata kapitāla instrumenti</w:t>
            </w:r>
          </w:p>
          <w:p w14:paraId="42BA2C9C" w14:textId="77777777" w:rsidR="006A39B0" w:rsidRPr="001B019C" w:rsidRDefault="001B019C">
            <w:pPr>
              <w:rPr>
                <w:rFonts w:cs="Times New Roman"/>
              </w:rPr>
            </w:pPr>
            <w:r w:rsidRPr="001B019C">
              <w:rPr>
                <w:rFonts w:ascii="Times New Roman" w:hAnsi="Times New Roman"/>
                <w:bCs/>
              </w:rPr>
              <w:t>Regulas (ES) 2019/2033 9. panta 1. punkta i) apakšpunkts.</w:t>
            </w:r>
          </w:p>
          <w:p w14:paraId="7B4E3B74" w14:textId="77777777" w:rsidR="006A39B0" w:rsidRPr="001B019C" w:rsidRDefault="001B019C">
            <w:pPr>
              <w:rPr>
                <w:rStyle w:val="FormatvorlageInstructionsTabelleText"/>
                <w:rFonts w:ascii="Times New Roman" w:hAnsi="Times New Roman"/>
                <w:bCs w:val="0"/>
                <w:sz w:val="22"/>
              </w:rPr>
            </w:pPr>
            <w:r w:rsidRPr="001B019C">
              <w:rPr>
                <w:rStyle w:val="FormatvorlageInstructionsTabelleText"/>
                <w:rFonts w:ascii="Times New Roman" w:hAnsi="Times New Roman"/>
                <w:sz w:val="22"/>
              </w:rPr>
              <w:t>Regulas (ES) Nr. 575/2013 36. panta 1. punkta f) apakšpunkts un 42. pants.</w:t>
            </w:r>
          </w:p>
          <w:p w14:paraId="034BC8BB" w14:textId="77777777" w:rsidR="006A39B0" w:rsidRPr="001B019C" w:rsidRDefault="001B019C">
            <w:pPr>
              <w:pStyle w:val="InstructionsText"/>
              <w:rPr>
                <w:rStyle w:val="FormatvorlageInstructionsTabelleText"/>
                <w:rFonts w:ascii="Times New Roman" w:hAnsi="Times New Roman"/>
                <w:sz w:val="22"/>
                <w:szCs w:val="22"/>
              </w:rPr>
            </w:pPr>
            <w:r w:rsidRPr="001B019C">
              <w:rPr>
                <w:rStyle w:val="FormatvorlageInstructionsTabelleText"/>
                <w:rFonts w:ascii="Times New Roman" w:hAnsi="Times New Roman"/>
                <w:sz w:val="22"/>
                <w:szCs w:val="22"/>
              </w:rPr>
              <w:t>Pašu pirmā līmeņa pamata kapitāla instrumenti, ko pārskata sniegšanas datumā tur p</w:t>
            </w:r>
            <w:r w:rsidRPr="001B019C">
              <w:rPr>
                <w:rStyle w:val="FormatvorlageInstructionsTabelleText"/>
                <w:rFonts w:ascii="Times New Roman" w:hAnsi="Times New Roman"/>
                <w:sz w:val="22"/>
                <w:szCs w:val="22"/>
              </w:rPr>
              <w:t>ārskata sniedzēja iestāde vai grupa. Piemērojami Regulas (ES) Nr. 575/2013 42. panta izņēmumi.</w:t>
            </w:r>
          </w:p>
          <w:p w14:paraId="0D605D84" w14:textId="77777777" w:rsidR="006A39B0" w:rsidRPr="001B019C" w:rsidRDefault="001B019C">
            <w:pPr>
              <w:pStyle w:val="InstructionsText"/>
              <w:rPr>
                <w:rStyle w:val="FormatvorlageInstructionsTabelleText"/>
                <w:rFonts w:ascii="Times New Roman" w:hAnsi="Times New Roman"/>
                <w:sz w:val="22"/>
                <w:szCs w:val="22"/>
              </w:rPr>
            </w:pPr>
            <w:r w:rsidRPr="001B019C">
              <w:rPr>
                <w:rStyle w:val="FormatvorlageInstructionsTabelleText"/>
                <w:rFonts w:ascii="Times New Roman" w:hAnsi="Times New Roman"/>
                <w:sz w:val="22"/>
                <w:szCs w:val="22"/>
              </w:rPr>
              <w:t>Šajā rindā neuzrāda tādas līdzdalības akcijās, kas iekļautas kā “Neatbilstoši kapitāla instrumenti”.</w:t>
            </w:r>
          </w:p>
          <w:p w14:paraId="44F0518B" w14:textId="77777777" w:rsidR="006A39B0" w:rsidRPr="001B019C" w:rsidRDefault="001B019C">
            <w:pPr>
              <w:pStyle w:val="InstructionsText"/>
              <w:rPr>
                <w:sz w:val="22"/>
                <w:szCs w:val="22"/>
              </w:rPr>
            </w:pPr>
            <w:r w:rsidRPr="001B019C">
              <w:rPr>
                <w:rStyle w:val="FormatvorlageInstructionsTabelleText"/>
                <w:rFonts w:ascii="Times New Roman" w:hAnsi="Times New Roman"/>
                <w:sz w:val="22"/>
                <w:szCs w:val="22"/>
              </w:rPr>
              <w:t>Uzrādāmā summa ietver ar pašu akcijām saistīto akciju emisij</w:t>
            </w:r>
            <w:r w:rsidRPr="001B019C">
              <w:rPr>
                <w:rStyle w:val="FormatvorlageInstructionsTabelleText"/>
                <w:rFonts w:ascii="Times New Roman" w:hAnsi="Times New Roman"/>
                <w:sz w:val="22"/>
                <w:szCs w:val="22"/>
              </w:rPr>
              <w:t>as uzcenojumu.</w:t>
            </w:r>
          </w:p>
        </w:tc>
      </w:tr>
      <w:tr w:rsidR="006A39B0" w:rsidRPr="001B019C" w14:paraId="039FD992" w14:textId="77777777">
        <w:tc>
          <w:tcPr>
            <w:tcW w:w="1129" w:type="dxa"/>
          </w:tcPr>
          <w:p w14:paraId="72A65867"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29A51AA"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 Kārtējā finanšu gada zaudējumi</w:t>
            </w:r>
          </w:p>
          <w:p w14:paraId="253BD67A"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rPr>
              <w:t>Regulas (ES) Nr. 575/2013 36. panta 1. punkta a) apakšpunkts.</w:t>
            </w:r>
          </w:p>
        </w:tc>
      </w:tr>
      <w:tr w:rsidR="006A39B0" w:rsidRPr="001B019C" w14:paraId="02B39733" w14:textId="77777777">
        <w:tc>
          <w:tcPr>
            <w:tcW w:w="1129" w:type="dxa"/>
          </w:tcPr>
          <w:p w14:paraId="266A61F3"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A3C6BB0"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 Nemateriālā vērtība</w:t>
            </w:r>
          </w:p>
          <w:p w14:paraId="5AFC128E"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 9. panta 1. punkta i) apakšpunkts.</w:t>
            </w:r>
          </w:p>
          <w:p w14:paraId="1360C6B4"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Style w:val="FormatvorlageInstructionsTabelleText"/>
                <w:rFonts w:ascii="Times New Roman" w:hAnsi="Times New Roman"/>
                <w:sz w:val="22"/>
              </w:rPr>
              <w:t xml:space="preserve">Regulas (ES) Nr. 575/2013 4. panta </w:t>
            </w:r>
            <w:r w:rsidRPr="001B019C">
              <w:rPr>
                <w:rStyle w:val="FormatvorlageInstructionsTabelleText"/>
                <w:rFonts w:ascii="Times New Roman" w:hAnsi="Times New Roman"/>
                <w:sz w:val="22"/>
              </w:rPr>
              <w:t>1. punkta 113) apakšpunkts un 36. panta 1. punkta b) apakšpunkts un 37. pants.</w:t>
            </w:r>
          </w:p>
        </w:tc>
      </w:tr>
      <w:tr w:rsidR="006A39B0" w:rsidRPr="001B019C" w14:paraId="2012EE9C" w14:textId="77777777">
        <w:tc>
          <w:tcPr>
            <w:tcW w:w="1129" w:type="dxa"/>
          </w:tcPr>
          <w:p w14:paraId="3EBC2EA8"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456C68A"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 Citi nemateriālie aktīvi</w:t>
            </w:r>
          </w:p>
          <w:p w14:paraId="200B6F01"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 9. panta 1. punkta i) apakšpunkts.</w:t>
            </w:r>
          </w:p>
          <w:p w14:paraId="71AE4F27" w14:textId="77777777" w:rsidR="006A39B0" w:rsidRPr="001B019C" w:rsidRDefault="001B019C">
            <w:pPr>
              <w:pStyle w:val="InstructionsText"/>
              <w:rPr>
                <w:rStyle w:val="FormatvorlageInstructionsTabelleText"/>
                <w:rFonts w:ascii="Times New Roman" w:eastAsiaTheme="minorHAnsi" w:hAnsi="Times New Roman"/>
                <w:bCs/>
                <w:sz w:val="22"/>
                <w:szCs w:val="22"/>
              </w:rPr>
            </w:pPr>
            <w:r w:rsidRPr="001B019C">
              <w:rPr>
                <w:rStyle w:val="FormatvorlageInstructionsTabelleText"/>
                <w:rFonts w:ascii="Times New Roman" w:hAnsi="Times New Roman"/>
                <w:sz w:val="22"/>
                <w:szCs w:val="22"/>
              </w:rPr>
              <w:t>Regulas (ES) Nr. 575/2013 4. panta 1. punkta 115) apakšpunkts un 36. panta 1. punkta</w:t>
            </w:r>
            <w:r w:rsidRPr="001B019C">
              <w:rPr>
                <w:rStyle w:val="FormatvorlageInstructionsTabelleText"/>
                <w:rFonts w:ascii="Times New Roman" w:hAnsi="Times New Roman"/>
                <w:sz w:val="22"/>
                <w:szCs w:val="22"/>
              </w:rPr>
              <w:t xml:space="preserve"> b) apakšpunkts un 37. panta a) apakšpunkts.</w:t>
            </w:r>
          </w:p>
          <w:p w14:paraId="471F8A8C"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Style w:val="FormatvorlageInstructionsTabelleText"/>
                <w:rFonts w:ascii="Times New Roman" w:hAnsi="Times New Roman"/>
                <w:sz w:val="22"/>
              </w:rPr>
              <w:t>Citi nemateriālie aktīvi ir nemateriālie aktīvi saskaņā ar piemērojamo grāmatvedības standartu, mīnus nemateriālā vērtība, arī saskaņā ar piemērojamo grāmatvedības standartu.</w:t>
            </w:r>
          </w:p>
        </w:tc>
      </w:tr>
      <w:tr w:rsidR="006A39B0" w:rsidRPr="001B019C" w14:paraId="119B92D4" w14:textId="77777777">
        <w:tc>
          <w:tcPr>
            <w:tcW w:w="1129" w:type="dxa"/>
          </w:tcPr>
          <w:p w14:paraId="115890AB"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DB2BA3B"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 xml:space="preserve">(-) Atliktā nodokļa </w:t>
            </w:r>
            <w:r w:rsidRPr="001B019C">
              <w:rPr>
                <w:rFonts w:ascii="Times New Roman" w:hAnsi="Times New Roman"/>
                <w:b/>
                <w:bCs/>
                <w:u w:val="single"/>
              </w:rPr>
              <w:t>aktīvi, kuru realizācija atkarīga no peļņas gūšanas nākotnē un kuri neizriet no laika noviržu izraisītas pagaidu starpības, atskaitot attiecīgas nodokļu saistības</w:t>
            </w:r>
          </w:p>
          <w:p w14:paraId="1C9F0F33"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lastRenderedPageBreak/>
              <w:t>Regulas (ES) 2019/2033 9. panta 2. punkta a) apakšpunkts.</w:t>
            </w:r>
          </w:p>
          <w:p w14:paraId="1D16DFFC"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Cs/>
              </w:rPr>
              <w:t>Regulas (ES) Nr. 575/2013 36. panta</w:t>
            </w:r>
            <w:r w:rsidRPr="001B019C">
              <w:rPr>
                <w:rFonts w:ascii="Times New Roman" w:hAnsi="Times New Roman"/>
                <w:bCs/>
              </w:rPr>
              <w:t xml:space="preserve"> 1. punkta c) apakšpunkts.</w:t>
            </w:r>
          </w:p>
        </w:tc>
      </w:tr>
      <w:tr w:rsidR="006A39B0" w:rsidRPr="001B019C" w14:paraId="7411CEBB" w14:textId="77777777">
        <w:tc>
          <w:tcPr>
            <w:tcW w:w="1129" w:type="dxa"/>
          </w:tcPr>
          <w:p w14:paraId="185C7F0C"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lastRenderedPageBreak/>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F82B365"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 Būtiska līdzdalība ārpus finanšu sektora, kas pārsniedz 15 % no pašu kapitāla</w:t>
            </w:r>
          </w:p>
          <w:p w14:paraId="442900D5"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 10. panta 1. punkta a) apakšpunkts.</w:t>
            </w:r>
          </w:p>
        </w:tc>
      </w:tr>
      <w:tr w:rsidR="006A39B0" w:rsidRPr="001B019C" w14:paraId="44411B2B" w14:textId="77777777">
        <w:tc>
          <w:tcPr>
            <w:tcW w:w="1129" w:type="dxa"/>
          </w:tcPr>
          <w:p w14:paraId="6A34D697"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8194609"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 xml:space="preserve">(-) Tādu būtisku līdzdalību kopsumma uzņēmumos, kas nav finanšu </w:t>
            </w:r>
            <w:r w:rsidRPr="001B019C">
              <w:rPr>
                <w:rFonts w:ascii="Times New Roman" w:hAnsi="Times New Roman"/>
                <w:b/>
                <w:bCs/>
                <w:u w:val="single"/>
              </w:rPr>
              <w:t>sektora sabiedrības, kuras pārsniedz 60 % no ieguldījumu brokeru sabiedrības pašu kapitāla</w:t>
            </w:r>
          </w:p>
          <w:p w14:paraId="4CA07F51"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Cs/>
              </w:rPr>
              <w:t>Regulas (ES) 2019/2033 10. panta 1. punkta b) apakšpunkts.</w:t>
            </w:r>
          </w:p>
        </w:tc>
      </w:tr>
      <w:tr w:rsidR="006A39B0" w:rsidRPr="001B019C" w14:paraId="023A4442" w14:textId="77777777">
        <w:tc>
          <w:tcPr>
            <w:tcW w:w="1129" w:type="dxa"/>
          </w:tcPr>
          <w:p w14:paraId="10BC2B2C"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DD0F5B4"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 Tādu finanšu sektora sabiedrību pirmā līmeņa pamata kapitāla instrumenti, kurās mātesuzņēmumam n</w:t>
            </w:r>
            <w:r w:rsidRPr="001B019C">
              <w:rPr>
                <w:rFonts w:ascii="Times New Roman" w:hAnsi="Times New Roman"/>
                <w:b/>
                <w:bCs/>
                <w:u w:val="single"/>
              </w:rPr>
              <w:t>av būtiska ieguldījuma</w:t>
            </w:r>
          </w:p>
          <w:p w14:paraId="746EAF23"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 9. panta 2. punkta c) apakšpunkts.</w:t>
            </w:r>
          </w:p>
          <w:p w14:paraId="5541CD1F"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Nr. 575/2013 36. panta 1. punkta h) apakšpunkts.</w:t>
            </w:r>
          </w:p>
          <w:p w14:paraId="5866FE65"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Cs/>
              </w:rPr>
              <w:t>Šajā rindā Savienības mātesuzņēmums nozīmē Savienības mātes ieguldījumu brokeru sabiedrības, Savienības mātes ieg</w:t>
            </w:r>
            <w:r w:rsidRPr="001B019C">
              <w:rPr>
                <w:rFonts w:ascii="Times New Roman" w:hAnsi="Times New Roman"/>
                <w:bCs/>
              </w:rPr>
              <w:t xml:space="preserve">uldījumu pārvaldītājsabiedrības, Savienības mātes jauktas finanšu pārvaldītājsabiedrības vai jebkurus citus mātesuzņēmumus, kas ir ieguldījumu brokeru sabiedrības, finanšu iestādes, palīgpakalpojumu sabiedrības vai saistītie aģenti. </w:t>
            </w:r>
          </w:p>
        </w:tc>
      </w:tr>
      <w:tr w:rsidR="006A39B0" w:rsidRPr="001B019C" w14:paraId="36386C32" w14:textId="77777777">
        <w:tc>
          <w:tcPr>
            <w:tcW w:w="1129" w:type="dxa"/>
          </w:tcPr>
          <w:p w14:paraId="10594A1B"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C7CB524"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 xml:space="preserve">(-) </w:t>
            </w:r>
            <w:r w:rsidRPr="001B019C">
              <w:rPr>
                <w:rFonts w:ascii="Times New Roman" w:hAnsi="Times New Roman"/>
                <w:b/>
                <w:bCs/>
                <w:u w:val="single"/>
              </w:rPr>
              <w:t>Definētu pabalstu pensiju fondu aktīvi</w:t>
            </w:r>
          </w:p>
          <w:p w14:paraId="673E13EC"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 9. panta 2. punkta b) apakšpunkts.</w:t>
            </w:r>
          </w:p>
          <w:p w14:paraId="538F2983"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Cs/>
              </w:rPr>
              <w:t>Regulas (ES) Nr. 575/2013 36. panta 1. punkta e) apakšpunkts.</w:t>
            </w:r>
          </w:p>
        </w:tc>
      </w:tr>
      <w:tr w:rsidR="006A39B0" w:rsidRPr="001B019C" w14:paraId="388B5F70" w14:textId="77777777">
        <w:tc>
          <w:tcPr>
            <w:tcW w:w="1129" w:type="dxa"/>
          </w:tcPr>
          <w:p w14:paraId="2D9B7954"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08A6A13"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 Citi atskaitījumi</w:t>
            </w:r>
          </w:p>
          <w:p w14:paraId="19143D96"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rPr>
              <w:t>Visu citu tādu atskaitījumu summa saskaņā ar Regulas (ES) Nr. 575/201</w:t>
            </w:r>
            <w:r w:rsidRPr="001B019C">
              <w:rPr>
                <w:rFonts w:ascii="Times New Roman" w:hAnsi="Times New Roman"/>
              </w:rPr>
              <w:t>3 36. panta 1. punktu, izņemot atskaitījumus saskaņā ar Regulas (ES) 575/2013 36. panta 1. punkta i) apakšpunktu, kas nav iekļauti nevienā no iepriekšējām rindām, kuras apzīmētas ar 0150–0270.</w:t>
            </w:r>
          </w:p>
        </w:tc>
      </w:tr>
      <w:tr w:rsidR="006A39B0" w:rsidRPr="001B019C" w14:paraId="08CB53CD" w14:textId="77777777">
        <w:tc>
          <w:tcPr>
            <w:tcW w:w="1129" w:type="dxa"/>
          </w:tcPr>
          <w:p w14:paraId="55D90B27"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0295</w:t>
            </w:r>
          </w:p>
        </w:tc>
        <w:tc>
          <w:tcPr>
            <w:tcW w:w="7620" w:type="dxa"/>
            <w:tcBorders>
              <w:top w:val="nil"/>
              <w:left w:val="single" w:sz="4" w:space="0" w:color="auto"/>
              <w:bottom w:val="single" w:sz="4" w:space="0" w:color="auto"/>
              <w:right w:val="single" w:sz="4" w:space="0" w:color="auto"/>
            </w:tcBorders>
            <w:shd w:val="clear" w:color="auto" w:fill="auto"/>
            <w:vAlign w:val="bottom"/>
          </w:tcPr>
          <w:p w14:paraId="028DAB3E"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Pirmā līmeņa pamata kapitāls: citi kapitāla elementi, ats</w:t>
            </w:r>
            <w:r w:rsidRPr="001B019C">
              <w:rPr>
                <w:rFonts w:ascii="Times New Roman" w:hAnsi="Times New Roman"/>
                <w:b/>
                <w:bCs/>
                <w:u w:val="single"/>
              </w:rPr>
              <w:t>kaitījumi un korekcijas</w:t>
            </w:r>
          </w:p>
          <w:p w14:paraId="0FEF155C"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Šī rinda ietver šādu posteņu summu (ja piemērojams):</w:t>
            </w:r>
          </w:p>
          <w:p w14:paraId="621327DD" w14:textId="77777777" w:rsidR="006A39B0" w:rsidRPr="001B019C" w:rsidRDefault="001B019C">
            <w:pPr>
              <w:spacing w:after="120" w:line="240" w:lineRule="auto"/>
              <w:ind w:left="360" w:hanging="360"/>
              <w:jc w:val="both"/>
              <w:rPr>
                <w:rFonts w:ascii="Times New Roman" w:eastAsia="Times New Roman" w:hAnsi="Times New Roman" w:cs="Times New Roman"/>
                <w:bCs/>
              </w:rPr>
            </w:pPr>
            <w:r w:rsidRPr="001B019C">
              <w:rPr>
                <w:rFonts w:ascii="Times New Roman" w:eastAsia="Times New Roman" w:hAnsi="Times New Roman" w:cs="Times New Roman"/>
                <w:bCs/>
              </w:rPr>
              <w:t>–</w:t>
            </w:r>
            <w:r w:rsidRPr="001B019C">
              <w:rPr>
                <w:rFonts w:ascii="Times New Roman" w:eastAsia="Times New Roman" w:hAnsi="Times New Roman" w:cs="Times New Roman"/>
                <w:bCs/>
              </w:rPr>
              <w:tab/>
            </w:r>
            <w:r w:rsidRPr="001B019C">
              <w:rPr>
                <w:rFonts w:ascii="Times New Roman" w:hAnsi="Times New Roman"/>
                <w:bCs/>
              </w:rPr>
              <w:t xml:space="preserve">pārejas posma korekcijas saistībā ar pirmā līmeņa pamata kapitāla instrumentiem, attiecībā uz kuriem piemērotas tiesības saglabāt iepriekš spēkā esošos nosacījumus </w:t>
            </w:r>
            <w:r w:rsidRPr="001B019C">
              <w:rPr>
                <w:rFonts w:ascii="Times New Roman" w:hAnsi="Times New Roman"/>
                <w:bCs/>
              </w:rPr>
              <w:t>(Regulas (ES) Nr. 575/2013 483. panta 1., 2. un 3. punkts un 484. līdz 487. pants),</w:t>
            </w:r>
          </w:p>
          <w:p w14:paraId="13ED3808" w14:textId="77777777" w:rsidR="006A39B0" w:rsidRPr="001B019C" w:rsidRDefault="001B019C">
            <w:pPr>
              <w:spacing w:after="120" w:line="240" w:lineRule="auto"/>
              <w:ind w:left="360" w:hanging="360"/>
              <w:jc w:val="both"/>
              <w:rPr>
                <w:rFonts w:ascii="Times New Roman" w:eastAsia="Times New Roman" w:hAnsi="Times New Roman" w:cs="Times New Roman"/>
                <w:bCs/>
              </w:rPr>
            </w:pPr>
            <w:r w:rsidRPr="001B019C">
              <w:rPr>
                <w:rFonts w:ascii="Times New Roman" w:eastAsia="Times New Roman" w:hAnsi="Times New Roman" w:cs="Times New Roman"/>
                <w:bCs/>
              </w:rPr>
              <w:t>–</w:t>
            </w:r>
            <w:r w:rsidRPr="001B019C">
              <w:rPr>
                <w:rFonts w:ascii="Times New Roman" w:eastAsia="Times New Roman" w:hAnsi="Times New Roman" w:cs="Times New Roman"/>
                <w:bCs/>
              </w:rPr>
              <w:tab/>
            </w:r>
            <w:r w:rsidRPr="001B019C">
              <w:rPr>
                <w:rFonts w:ascii="Times New Roman" w:hAnsi="Times New Roman"/>
                <w:bCs/>
              </w:rPr>
              <w:t>citas pārejas posma korekcijas attiecībā uz pirmā līmeņa pamata kapitāla instrumentiem (Regulas (ES) Nr. 575/2013 469. līdz 478. pants un 481. pants): korekcijas, kas sai</w:t>
            </w:r>
            <w:r w:rsidRPr="001B019C">
              <w:rPr>
                <w:rFonts w:ascii="Times New Roman" w:hAnsi="Times New Roman"/>
                <w:bCs/>
              </w:rPr>
              <w:t>stībā ar pārejas noteikumiem veiktas atskaitījumos no pirmā līmeņa pamata kapitāla,</w:t>
            </w:r>
          </w:p>
          <w:p w14:paraId="0E8B5038" w14:textId="77777777" w:rsidR="006A39B0" w:rsidRPr="001B019C" w:rsidRDefault="001B019C">
            <w:pPr>
              <w:spacing w:after="120" w:line="240" w:lineRule="auto"/>
              <w:ind w:left="360" w:hanging="360"/>
              <w:jc w:val="both"/>
              <w:rPr>
                <w:rFonts w:ascii="Times New Roman" w:eastAsia="Times New Roman" w:hAnsi="Times New Roman" w:cs="Times New Roman"/>
                <w:b/>
                <w:bCs/>
                <w:u w:val="single"/>
              </w:rPr>
            </w:pPr>
            <w:r w:rsidRPr="001B019C">
              <w:rPr>
                <w:rFonts w:ascii="Times New Roman" w:eastAsia="Times New Roman" w:hAnsi="Times New Roman" w:cs="Times New Roman"/>
                <w:bCs/>
              </w:rPr>
              <w:t>–</w:t>
            </w:r>
            <w:r w:rsidRPr="001B019C">
              <w:rPr>
                <w:rFonts w:ascii="Times New Roman" w:eastAsia="Times New Roman" w:hAnsi="Times New Roman" w:cs="Times New Roman"/>
                <w:bCs/>
              </w:rPr>
              <w:tab/>
            </w:r>
            <w:r w:rsidRPr="001B019C">
              <w:rPr>
                <w:rFonts w:ascii="Times New Roman" w:hAnsi="Times New Roman"/>
                <w:bCs/>
              </w:rPr>
              <w:t>citi pirmā līmeņa pamata kapitāla elementi vai atskaitījumi no pirmā līmeņa pamata kapitāla elementa, kurus nevar iedalīt nevienā no rindām, kas apzīmētas ar 0040–0280.</w:t>
            </w:r>
          </w:p>
          <w:p w14:paraId="1191287F"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Cs/>
              </w:rPr>
              <w:t>Š</w:t>
            </w:r>
            <w:r w:rsidRPr="001B019C">
              <w:rPr>
                <w:rFonts w:ascii="Times New Roman" w:hAnsi="Times New Roman"/>
                <w:bCs/>
              </w:rPr>
              <w:t>o rindu neizmanto, lai maksātspējas koeficientu aprēķinā iekļautu kapitāla posteņus vai atskaitījumus, kuriem nepiemēro Regulu (ES) 2019/2033 vai Regulu (ES) Nr. 575/2013.</w:t>
            </w:r>
          </w:p>
        </w:tc>
      </w:tr>
      <w:tr w:rsidR="006A39B0" w:rsidRPr="001B019C" w14:paraId="1D75B709" w14:textId="77777777">
        <w:tc>
          <w:tcPr>
            <w:tcW w:w="1129" w:type="dxa"/>
          </w:tcPr>
          <w:p w14:paraId="7B5A93C5"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CE3E486"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PIRMĀ LĪMEŅA PAPILDU KAPITĀLS</w:t>
            </w:r>
          </w:p>
          <w:p w14:paraId="2DC2E18A"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lastRenderedPageBreak/>
              <w:t xml:space="preserve">Regulas (ES) 2019/2033 9. panta </w:t>
            </w:r>
            <w:r w:rsidRPr="001B019C">
              <w:rPr>
                <w:rFonts w:ascii="Times New Roman" w:hAnsi="Times New Roman"/>
                <w:bCs/>
              </w:rPr>
              <w:t>1. punkts.</w:t>
            </w:r>
          </w:p>
          <w:p w14:paraId="28534473"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rPr>
              <w:t>Regulas (ES) Nr. 575/2013 61. pants.</w:t>
            </w:r>
          </w:p>
        </w:tc>
      </w:tr>
      <w:tr w:rsidR="006A39B0" w:rsidRPr="001B019C" w14:paraId="2B1FF285" w14:textId="77777777">
        <w:tc>
          <w:tcPr>
            <w:tcW w:w="1129" w:type="dxa"/>
          </w:tcPr>
          <w:p w14:paraId="47FBA425"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lastRenderedPageBreak/>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BD4EB0C"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Pilnībā apmaksāti, tieši emitēti kapitāla instrumenti</w:t>
            </w:r>
          </w:p>
          <w:p w14:paraId="5249E966"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 9. panta 1. punkta i) apakšpunkts.</w:t>
            </w:r>
          </w:p>
          <w:p w14:paraId="788BD72D" w14:textId="77777777" w:rsidR="006A39B0" w:rsidRPr="001B019C" w:rsidRDefault="001B019C">
            <w:pPr>
              <w:pStyle w:val="InstructionsText"/>
              <w:rPr>
                <w:rStyle w:val="FormatvorlageInstructionsTabelleText"/>
                <w:rFonts w:ascii="Times New Roman" w:hAnsi="Times New Roman"/>
                <w:sz w:val="22"/>
                <w:szCs w:val="22"/>
              </w:rPr>
            </w:pPr>
            <w:r w:rsidRPr="001B019C">
              <w:rPr>
                <w:rStyle w:val="FormatvorlageInstructionsTabelleText"/>
                <w:rFonts w:ascii="Times New Roman" w:hAnsi="Times New Roman"/>
                <w:sz w:val="22"/>
                <w:szCs w:val="22"/>
              </w:rPr>
              <w:t>Regulas (ES) Nr. 575/2013 51. panta a) punkts un 52., 53. un 54. pants.</w:t>
            </w:r>
          </w:p>
          <w:p w14:paraId="27CAD37C"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Style w:val="FormatvorlageInstructionsTabelleText"/>
                <w:rFonts w:ascii="Times New Roman" w:hAnsi="Times New Roman"/>
                <w:sz w:val="22"/>
              </w:rPr>
              <w:t xml:space="preserve">Uzrādāmā </w:t>
            </w:r>
            <w:r w:rsidRPr="001B019C">
              <w:rPr>
                <w:rStyle w:val="FormatvorlageInstructionsTabelleText"/>
                <w:rFonts w:ascii="Times New Roman" w:hAnsi="Times New Roman"/>
                <w:sz w:val="22"/>
              </w:rPr>
              <w:t>summa neietver ar instrumentiem saistīto akciju emisijas uzcenojumu.</w:t>
            </w:r>
          </w:p>
        </w:tc>
      </w:tr>
      <w:tr w:rsidR="006A39B0" w:rsidRPr="001B019C" w14:paraId="31F1F211" w14:textId="77777777">
        <w:tc>
          <w:tcPr>
            <w:tcW w:w="1129" w:type="dxa"/>
          </w:tcPr>
          <w:p w14:paraId="03A7B42F"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3B816B6"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Akciju emisijas uzcenojums</w:t>
            </w:r>
          </w:p>
          <w:p w14:paraId="584C2154"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 9. panta 1. punkta i) apakšpunkts.</w:t>
            </w:r>
          </w:p>
          <w:p w14:paraId="7BA76BDA" w14:textId="77777777" w:rsidR="006A39B0" w:rsidRPr="001B019C" w:rsidRDefault="001B019C">
            <w:pPr>
              <w:pStyle w:val="InstructionsText"/>
              <w:rPr>
                <w:rStyle w:val="FormatvorlageInstructionsTabelleText"/>
                <w:rFonts w:ascii="Times New Roman" w:hAnsi="Times New Roman"/>
                <w:sz w:val="22"/>
                <w:szCs w:val="22"/>
              </w:rPr>
            </w:pPr>
            <w:r w:rsidRPr="001B019C">
              <w:rPr>
                <w:rStyle w:val="FormatvorlageInstructionsTabelleText"/>
                <w:rFonts w:ascii="Times New Roman" w:hAnsi="Times New Roman"/>
                <w:sz w:val="22"/>
                <w:szCs w:val="22"/>
              </w:rPr>
              <w:t>Regulas (ES) Nr. 575/2013 51. panta b) punkts.</w:t>
            </w:r>
          </w:p>
          <w:p w14:paraId="60E19051" w14:textId="77777777" w:rsidR="006A39B0" w:rsidRPr="001B019C" w:rsidRDefault="001B019C">
            <w:pPr>
              <w:pStyle w:val="InstructionsText"/>
              <w:rPr>
                <w:rStyle w:val="FormatvorlageInstructionsTabelleText"/>
                <w:rFonts w:ascii="Times New Roman" w:hAnsi="Times New Roman"/>
                <w:sz w:val="22"/>
                <w:szCs w:val="22"/>
              </w:rPr>
            </w:pPr>
            <w:r w:rsidRPr="001B019C">
              <w:rPr>
                <w:rStyle w:val="FormatvorlageInstructionsTabelleText"/>
                <w:rFonts w:ascii="Times New Roman" w:hAnsi="Times New Roman"/>
                <w:sz w:val="22"/>
                <w:szCs w:val="22"/>
              </w:rPr>
              <w:t xml:space="preserve">Akciju emisijas uzcenojums ir </w:t>
            </w:r>
            <w:r w:rsidRPr="001B019C">
              <w:rPr>
                <w:rStyle w:val="FormatvorlageInstructionsTabelleText"/>
                <w:rFonts w:ascii="Times New Roman" w:hAnsi="Times New Roman"/>
                <w:sz w:val="22"/>
                <w:szCs w:val="22"/>
              </w:rPr>
              <w:t>uzcenojums tādā nozīmē, kā definēts piemērojamā grāmatvedības standartā.</w:t>
            </w:r>
          </w:p>
          <w:p w14:paraId="486A52A9"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Style w:val="FormatvorlageInstructionsTabelleText"/>
                <w:rFonts w:ascii="Times New Roman" w:hAnsi="Times New Roman"/>
                <w:sz w:val="22"/>
              </w:rPr>
              <w:t>Šajā postenī uzrādāmā summa ir ar “Apmaksātiem kapitāla instrumentiem” saistītā daļa.</w:t>
            </w:r>
          </w:p>
        </w:tc>
      </w:tr>
      <w:tr w:rsidR="006A39B0" w:rsidRPr="001B019C" w14:paraId="0F25DF03" w14:textId="77777777">
        <w:tc>
          <w:tcPr>
            <w:tcW w:w="1129" w:type="dxa"/>
          </w:tcPr>
          <w:p w14:paraId="29E03365"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0335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19206C88"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 KOPĒJIE ATSKAITĪJUMI NO PIRMĀ LĪMEŅA PAPILDU KAPITĀLA</w:t>
            </w:r>
          </w:p>
          <w:p w14:paraId="0BF051C9" w14:textId="77777777" w:rsidR="006A39B0" w:rsidRPr="001B019C" w:rsidRDefault="001B019C">
            <w:pPr>
              <w:spacing w:before="60" w:after="60"/>
              <w:rPr>
                <w:rFonts w:ascii="Times New Roman" w:hAnsi="Times New Roman" w:cs="Times New Roman"/>
              </w:rPr>
            </w:pPr>
            <w:r w:rsidRPr="001B019C">
              <w:rPr>
                <w:rFonts w:ascii="Times New Roman" w:hAnsi="Times New Roman"/>
              </w:rPr>
              <w:t>Regulas (ES) Nr. 575/2013 56. pan</w:t>
            </w:r>
            <w:r w:rsidRPr="001B019C">
              <w:rPr>
                <w:rFonts w:ascii="Times New Roman" w:hAnsi="Times New Roman"/>
              </w:rPr>
              <w:t>ts, izņemot minētā panta d) punktu.</w:t>
            </w:r>
          </w:p>
          <w:p w14:paraId="1D7E3E39"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Uzrāda 0340., 0380. un 0400. rindas kopsummu.</w:t>
            </w:r>
          </w:p>
        </w:tc>
      </w:tr>
      <w:tr w:rsidR="006A39B0" w:rsidRPr="001B019C" w14:paraId="55FF98BB" w14:textId="77777777">
        <w:tc>
          <w:tcPr>
            <w:tcW w:w="1129" w:type="dxa"/>
          </w:tcPr>
          <w:p w14:paraId="3AE92273"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CDB5DA3"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 Pašu pirmā līmeņa papildu kapitāla instrumenti</w:t>
            </w:r>
          </w:p>
          <w:p w14:paraId="26A3F11C"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 9. panta 1. punkta i) apakšpunkts.</w:t>
            </w:r>
          </w:p>
          <w:p w14:paraId="7A65902B" w14:textId="77777777" w:rsidR="006A39B0" w:rsidRPr="001B019C" w:rsidRDefault="001B019C">
            <w:pPr>
              <w:spacing w:after="120" w:line="240" w:lineRule="auto"/>
              <w:jc w:val="both"/>
              <w:rPr>
                <w:rStyle w:val="FormatvorlageInstructionsTabelleText"/>
                <w:rFonts w:ascii="Times New Roman" w:hAnsi="Times New Roman"/>
                <w:sz w:val="22"/>
              </w:rPr>
            </w:pPr>
            <w:r w:rsidRPr="001B019C">
              <w:rPr>
                <w:rStyle w:val="FormatvorlageInstructionsTabelleText"/>
                <w:rFonts w:ascii="Times New Roman" w:hAnsi="Times New Roman"/>
                <w:sz w:val="22"/>
              </w:rPr>
              <w:t xml:space="preserve">Regulas (ES) Nr. 575/2013 52. panta 1. punkta </w:t>
            </w:r>
            <w:r w:rsidRPr="001B019C">
              <w:rPr>
                <w:rStyle w:val="FormatvorlageInstructionsTabelleText"/>
                <w:rFonts w:ascii="Times New Roman" w:hAnsi="Times New Roman"/>
                <w:sz w:val="22"/>
              </w:rPr>
              <w:t>b) apakšpunkts, 56. panta a) punkts un 57. pants.</w:t>
            </w:r>
          </w:p>
          <w:p w14:paraId="2558A906" w14:textId="77777777" w:rsidR="006A39B0" w:rsidRPr="001B019C" w:rsidRDefault="001B019C">
            <w:pPr>
              <w:pStyle w:val="InstructionsText"/>
              <w:rPr>
                <w:rStyle w:val="FormatvorlageInstructionsTabelleText"/>
                <w:rFonts w:ascii="Times New Roman" w:hAnsi="Times New Roman"/>
                <w:sz w:val="22"/>
                <w:szCs w:val="22"/>
              </w:rPr>
            </w:pPr>
            <w:r w:rsidRPr="001B019C">
              <w:rPr>
                <w:rStyle w:val="FormatvorlageInstructionsTabelleText"/>
                <w:rFonts w:ascii="Times New Roman" w:hAnsi="Times New Roman"/>
                <w:sz w:val="22"/>
                <w:szCs w:val="22"/>
              </w:rPr>
              <w:t>Pašu pirmā līmeņa papildu kapitāla instrumenti, ko pārskata sniegšanas datumā tur ieguldījumu brokeru sabiedrība. Piemērojami Regulas (ES) Nr. 575/2013 57. panta izņēmumi.</w:t>
            </w:r>
          </w:p>
          <w:p w14:paraId="55591821" w14:textId="77777777" w:rsidR="006A39B0" w:rsidRPr="001B019C" w:rsidRDefault="001B019C">
            <w:pPr>
              <w:pStyle w:val="InstructionsText"/>
              <w:rPr>
                <w:sz w:val="22"/>
                <w:szCs w:val="22"/>
              </w:rPr>
            </w:pPr>
            <w:r w:rsidRPr="001B019C">
              <w:rPr>
                <w:rStyle w:val="FormatvorlageInstructionsTabelleText"/>
                <w:rFonts w:ascii="Times New Roman" w:hAnsi="Times New Roman"/>
                <w:sz w:val="22"/>
                <w:szCs w:val="22"/>
              </w:rPr>
              <w:t>Uzrādāmā summa ietver ar pašu akci</w:t>
            </w:r>
            <w:r w:rsidRPr="001B019C">
              <w:rPr>
                <w:rStyle w:val="FormatvorlageInstructionsTabelleText"/>
                <w:rFonts w:ascii="Times New Roman" w:hAnsi="Times New Roman"/>
                <w:sz w:val="22"/>
                <w:szCs w:val="22"/>
              </w:rPr>
              <w:t>jām saistīto akciju emisijas uzcenojumu.</w:t>
            </w:r>
          </w:p>
        </w:tc>
      </w:tr>
      <w:tr w:rsidR="006A39B0" w:rsidRPr="001B019C" w14:paraId="3DA4930B" w14:textId="77777777">
        <w:tc>
          <w:tcPr>
            <w:tcW w:w="1129" w:type="dxa"/>
          </w:tcPr>
          <w:p w14:paraId="4993299B"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DAFF9D3"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 Tādu finanšu sektora sabiedrību pirmā līmeņa papildu kapitāla instrumenti, kurās mātesuzņēmumam nav būtiska ieguldījuma</w:t>
            </w:r>
          </w:p>
          <w:p w14:paraId="530FD750"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 9. panta 2. punkta c) apakšpunkts.</w:t>
            </w:r>
          </w:p>
          <w:p w14:paraId="21C3F2BA"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 xml:space="preserve">Regulas (ES) </w:t>
            </w:r>
            <w:r w:rsidRPr="001B019C">
              <w:rPr>
                <w:rFonts w:ascii="Times New Roman" w:hAnsi="Times New Roman"/>
                <w:bCs/>
              </w:rPr>
              <w:t>Nr. 575/2013 56. panta c) punkts.</w:t>
            </w:r>
          </w:p>
          <w:p w14:paraId="75439B2A"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Cs/>
              </w:rPr>
              <w:t>Šajā rindā Savienības mātesuzņēmums nozīmē Savienības mātes ieguldījumu brokeru sabiedrības, Savienības mātes ieguldījumu pārvaldītājsabiedrības, Savienības mātes jauktas finanšu pārvaldītājsabiedrības vai jebkurus citus m</w:t>
            </w:r>
            <w:r w:rsidRPr="001B019C">
              <w:rPr>
                <w:rFonts w:ascii="Times New Roman" w:hAnsi="Times New Roman"/>
                <w:bCs/>
              </w:rPr>
              <w:t>ātesuzņēmumus, kas ir ieguldījumu brokeru sabiedrības, finanšu iestādes, palīgpakalpojumu sabiedrības vai saistītie aģenti.</w:t>
            </w:r>
          </w:p>
        </w:tc>
      </w:tr>
      <w:tr w:rsidR="006A39B0" w:rsidRPr="001B019C" w14:paraId="376E593F" w14:textId="77777777">
        <w:tc>
          <w:tcPr>
            <w:tcW w:w="1129" w:type="dxa"/>
          </w:tcPr>
          <w:p w14:paraId="6DA9DF57"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8E9FE59"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 Citi atskaitījumi</w:t>
            </w:r>
          </w:p>
          <w:p w14:paraId="33CF6BFB"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Cs/>
              </w:rPr>
              <w:t xml:space="preserve">Visu citu tādu atskaitījumu summa saskaņā ar Regulas (ES) Nr. 575/2013 56. pantu, izņemot </w:t>
            </w:r>
            <w:r w:rsidRPr="001B019C">
              <w:rPr>
                <w:rFonts w:ascii="Times New Roman" w:hAnsi="Times New Roman"/>
                <w:bCs/>
              </w:rPr>
              <w:t>atskaitījumus saskaņā ar Regulas (ES) 575/2013 56. panta d) punktu, kas nav iekļauti nevienā no iepriekšējām rindām, kuras apzīmētas ar 0340 vai 0380.</w:t>
            </w:r>
          </w:p>
        </w:tc>
      </w:tr>
      <w:tr w:rsidR="006A39B0" w:rsidRPr="001B019C" w14:paraId="54BF3E0C" w14:textId="77777777">
        <w:tc>
          <w:tcPr>
            <w:tcW w:w="1129" w:type="dxa"/>
          </w:tcPr>
          <w:p w14:paraId="1F62904B"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0415</w:t>
            </w:r>
          </w:p>
        </w:tc>
        <w:tc>
          <w:tcPr>
            <w:tcW w:w="7620" w:type="dxa"/>
            <w:tcBorders>
              <w:top w:val="nil"/>
              <w:left w:val="single" w:sz="4" w:space="0" w:color="auto"/>
              <w:bottom w:val="single" w:sz="4" w:space="0" w:color="auto"/>
              <w:right w:val="single" w:sz="4" w:space="0" w:color="auto"/>
            </w:tcBorders>
            <w:shd w:val="clear" w:color="auto" w:fill="auto"/>
            <w:vAlign w:val="bottom"/>
          </w:tcPr>
          <w:p w14:paraId="23464EE3"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Pirmā līmeņa papildu kapitāls: citi kapitāla elementi, atskaitījumi un korekcijas</w:t>
            </w:r>
          </w:p>
          <w:p w14:paraId="5B4D126F"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Šī rinda ietver š</w:t>
            </w:r>
            <w:r w:rsidRPr="001B019C">
              <w:rPr>
                <w:rFonts w:ascii="Times New Roman" w:hAnsi="Times New Roman"/>
                <w:bCs/>
              </w:rPr>
              <w:t>ādu posteņu summu (ja piemērojams):</w:t>
            </w:r>
          </w:p>
          <w:p w14:paraId="36C92077" w14:textId="77777777" w:rsidR="006A39B0" w:rsidRPr="001B019C" w:rsidRDefault="001B019C">
            <w:pPr>
              <w:spacing w:after="120" w:line="240" w:lineRule="auto"/>
              <w:ind w:left="360" w:hanging="360"/>
              <w:jc w:val="both"/>
              <w:rPr>
                <w:rFonts w:ascii="Times New Roman" w:eastAsia="Times New Roman" w:hAnsi="Times New Roman" w:cs="Times New Roman"/>
                <w:bCs/>
              </w:rPr>
            </w:pPr>
            <w:r w:rsidRPr="001B019C">
              <w:rPr>
                <w:rFonts w:ascii="Times New Roman" w:eastAsia="Times New Roman" w:hAnsi="Times New Roman" w:cs="Times New Roman"/>
                <w:bCs/>
              </w:rPr>
              <w:t>–</w:t>
            </w:r>
            <w:r w:rsidRPr="001B019C">
              <w:rPr>
                <w:rFonts w:ascii="Times New Roman" w:eastAsia="Times New Roman" w:hAnsi="Times New Roman" w:cs="Times New Roman"/>
                <w:bCs/>
              </w:rPr>
              <w:tab/>
            </w:r>
            <w:r w:rsidRPr="001B019C">
              <w:rPr>
                <w:rFonts w:ascii="Times New Roman" w:hAnsi="Times New Roman"/>
                <w:bCs/>
              </w:rPr>
              <w:t>pārejas posma korekcijas saistībā ar pirmā līmeņa papildu kapitāla instrumentiem, attiecībā uz kuriem piemērotas tiesības saglabāt iepriekš spēkā esošos nosacījumus (Regulas (ES) Nr. 575/2013 483. panta 4. un 5. punkts</w:t>
            </w:r>
            <w:r w:rsidRPr="001B019C">
              <w:rPr>
                <w:rFonts w:ascii="Times New Roman" w:hAnsi="Times New Roman"/>
                <w:bCs/>
              </w:rPr>
              <w:t>, 484. līdz 487. pants, 489. un 491. pants),</w:t>
            </w:r>
          </w:p>
          <w:p w14:paraId="5CEF3D89" w14:textId="77777777" w:rsidR="006A39B0" w:rsidRPr="001B019C" w:rsidRDefault="001B019C">
            <w:pPr>
              <w:spacing w:after="120" w:line="240" w:lineRule="auto"/>
              <w:ind w:left="360" w:hanging="360"/>
              <w:jc w:val="both"/>
              <w:rPr>
                <w:rFonts w:ascii="Times New Roman" w:eastAsia="Times New Roman" w:hAnsi="Times New Roman" w:cs="Times New Roman"/>
                <w:bCs/>
              </w:rPr>
            </w:pPr>
            <w:r w:rsidRPr="001B019C">
              <w:rPr>
                <w:rFonts w:ascii="Times New Roman" w:eastAsia="Times New Roman" w:hAnsi="Times New Roman" w:cs="Times New Roman"/>
                <w:bCs/>
              </w:rPr>
              <w:lastRenderedPageBreak/>
              <w:t>–</w:t>
            </w:r>
            <w:r w:rsidRPr="001B019C">
              <w:rPr>
                <w:rFonts w:ascii="Times New Roman" w:eastAsia="Times New Roman" w:hAnsi="Times New Roman" w:cs="Times New Roman"/>
                <w:bCs/>
              </w:rPr>
              <w:tab/>
            </w:r>
            <w:r w:rsidRPr="001B019C">
              <w:rPr>
                <w:rFonts w:ascii="Times New Roman" w:hAnsi="Times New Roman"/>
                <w:bCs/>
              </w:rPr>
              <w:t>citas pārejas posma korekcijas attiecībā uz pirmā līmeņa papildu kapitālu (Regulas (ES) Nr. 575/2013 472. pants, 473.a, 474., 475., 478. un 481. pants): atskaitījumu korekcijas saistībā ar pārejas noteikumiem,</w:t>
            </w:r>
          </w:p>
          <w:p w14:paraId="61189579" w14:textId="77777777" w:rsidR="006A39B0" w:rsidRPr="001B019C" w:rsidRDefault="001B019C">
            <w:pPr>
              <w:spacing w:after="120" w:line="240" w:lineRule="auto"/>
              <w:ind w:left="360" w:hanging="360"/>
              <w:jc w:val="both"/>
              <w:rPr>
                <w:rFonts w:ascii="Times New Roman" w:eastAsia="Times New Roman" w:hAnsi="Times New Roman" w:cs="Times New Roman"/>
                <w:bCs/>
              </w:rPr>
            </w:pPr>
            <w:r w:rsidRPr="001B019C">
              <w:rPr>
                <w:rFonts w:ascii="Times New Roman" w:eastAsia="Times New Roman" w:hAnsi="Times New Roman" w:cs="Times New Roman"/>
                <w:bCs/>
              </w:rPr>
              <w:t>–</w:t>
            </w:r>
            <w:r w:rsidRPr="001B019C">
              <w:rPr>
                <w:rFonts w:ascii="Times New Roman" w:eastAsia="Times New Roman" w:hAnsi="Times New Roman" w:cs="Times New Roman"/>
                <w:bCs/>
              </w:rPr>
              <w:tab/>
            </w:r>
            <w:r w:rsidRPr="001B019C">
              <w:rPr>
                <w:rFonts w:ascii="Times New Roman" w:hAnsi="Times New Roman"/>
                <w:bCs/>
              </w:rPr>
              <w:t>summa, par kādu pirmā līmeņa papildu kapitāla posteņu atskaitījums pārsniedz pirmā līmeņa papildu kapitālu, atskaitīta no pirmā līmeņa pamata kapitāla saskaņā ar Regulas (ES) Nr. 575/2013 36. panta 1. punkta j) apakšpunktu: pirmā līmeņa papildu kapitāls</w:t>
            </w:r>
            <w:r w:rsidRPr="001B019C">
              <w:rPr>
                <w:rFonts w:ascii="Times New Roman" w:hAnsi="Times New Roman"/>
                <w:bCs/>
              </w:rPr>
              <w:t xml:space="preserve"> nevar būt negatīvs, bet pastāv iespēja, ka atskaitījumi no pirmā līmeņa papildu kapitāla posteņiem pārsniedz pieejamo pirmā līmeņa papildu kapitāla posteņu summu. Šādā gadījumā šis postenis atspoguļo summu, kas nepieciešama, lai 0300. rindā uzrādīto summu</w:t>
            </w:r>
            <w:r w:rsidRPr="001B019C">
              <w:rPr>
                <w:rFonts w:ascii="Times New Roman" w:hAnsi="Times New Roman"/>
                <w:bCs/>
              </w:rPr>
              <w:t xml:space="preserve"> palielinātu līdz nullei, un ir vienāds ar apgriezto summu, par kādu pirmā līmeņa papildu kapitāla posteņu atskaitījums pārsniedz pirmā līmeņa papildu kapitālu un kas papildus citiem atskaitījumiem ietverta 0280. rindā,</w:t>
            </w:r>
          </w:p>
          <w:p w14:paraId="072B2198" w14:textId="77777777" w:rsidR="006A39B0" w:rsidRPr="001B019C" w:rsidRDefault="001B019C">
            <w:pPr>
              <w:spacing w:after="120" w:line="240" w:lineRule="auto"/>
              <w:ind w:left="360" w:hanging="360"/>
              <w:jc w:val="both"/>
              <w:rPr>
                <w:rFonts w:ascii="Times New Roman" w:eastAsia="Times New Roman" w:hAnsi="Times New Roman" w:cs="Times New Roman"/>
                <w:bCs/>
              </w:rPr>
            </w:pPr>
            <w:r w:rsidRPr="001B019C">
              <w:rPr>
                <w:rFonts w:ascii="Times New Roman" w:eastAsia="Times New Roman" w:hAnsi="Times New Roman" w:cs="Times New Roman"/>
                <w:bCs/>
              </w:rPr>
              <w:t>–</w:t>
            </w:r>
            <w:r w:rsidRPr="001B019C">
              <w:rPr>
                <w:rFonts w:ascii="Times New Roman" w:eastAsia="Times New Roman" w:hAnsi="Times New Roman" w:cs="Times New Roman"/>
                <w:bCs/>
              </w:rPr>
              <w:tab/>
            </w:r>
            <w:r w:rsidRPr="001B019C">
              <w:rPr>
                <w:rFonts w:ascii="Times New Roman" w:hAnsi="Times New Roman"/>
                <w:bCs/>
              </w:rPr>
              <w:t>citi pirmā līmeņa papildu kapitāla</w:t>
            </w:r>
            <w:r w:rsidRPr="001B019C">
              <w:rPr>
                <w:rFonts w:ascii="Times New Roman" w:hAnsi="Times New Roman"/>
                <w:bCs/>
              </w:rPr>
              <w:t xml:space="preserve"> elementi vai atskaitījumi no pirmā līmeņa papildu kapitāla elementa, kurus nevar iedalīt nevienā no rindām, kas apzīmētas ar 0310–0400.</w:t>
            </w:r>
          </w:p>
          <w:p w14:paraId="1CB48782"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Cs/>
              </w:rPr>
              <w:t>Šo rindu neizmanto, lai maksātspējas koeficientu aprēķinā iekļautu kapitāla posteņus vai atskaitījumus, kuriem nepiemēr</w:t>
            </w:r>
            <w:r w:rsidRPr="001B019C">
              <w:rPr>
                <w:rFonts w:ascii="Times New Roman" w:hAnsi="Times New Roman"/>
                <w:bCs/>
              </w:rPr>
              <w:t>o Regulu (ES) 2019/2033 vai Regulu (ES) Nr. 575/2013.</w:t>
            </w:r>
          </w:p>
        </w:tc>
      </w:tr>
      <w:tr w:rsidR="006A39B0" w:rsidRPr="001B019C" w14:paraId="1E9973C9" w14:textId="77777777">
        <w:tc>
          <w:tcPr>
            <w:tcW w:w="1129" w:type="dxa"/>
          </w:tcPr>
          <w:p w14:paraId="47BC3890"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AD2BCDD"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OTRĀ LĪMEŅA KAPITĀLS</w:t>
            </w:r>
          </w:p>
          <w:p w14:paraId="21A427E1"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 9. panta 1. punkts.</w:t>
            </w:r>
          </w:p>
          <w:p w14:paraId="319AA20E" w14:textId="77777777" w:rsidR="006A39B0" w:rsidRPr="001B019C" w:rsidRDefault="001B019C">
            <w:pPr>
              <w:spacing w:after="120" w:line="240" w:lineRule="auto"/>
              <w:jc w:val="both"/>
              <w:rPr>
                <w:rStyle w:val="FormatvorlageInstructionsTabelleText"/>
                <w:rFonts w:ascii="Times New Roman" w:hAnsi="Times New Roman"/>
                <w:sz w:val="22"/>
              </w:rPr>
            </w:pPr>
            <w:r w:rsidRPr="001B019C">
              <w:rPr>
                <w:rStyle w:val="FormatvorlageInstructionsTabelleText"/>
                <w:rFonts w:ascii="Times New Roman" w:hAnsi="Times New Roman"/>
                <w:sz w:val="22"/>
              </w:rPr>
              <w:t>Regulas (ES) Nr. 575/2013 71. pants.</w:t>
            </w:r>
          </w:p>
          <w:p w14:paraId="1447B939" w14:textId="77777777" w:rsidR="006A39B0" w:rsidRPr="001B019C" w:rsidRDefault="001B019C">
            <w:pPr>
              <w:pStyle w:val="CommentText"/>
              <w:rPr>
                <w:sz w:val="22"/>
                <w:szCs w:val="22"/>
              </w:rPr>
            </w:pPr>
            <w:r w:rsidRPr="001B019C">
              <w:rPr>
                <w:rFonts w:ascii="Times New Roman" w:hAnsi="Times New Roman"/>
                <w:bCs/>
                <w:sz w:val="22"/>
                <w:szCs w:val="22"/>
              </w:rPr>
              <w:t>Uzrāda 0430. līdz 0455. un 0525. rindas kopsummu.</w:t>
            </w:r>
          </w:p>
        </w:tc>
      </w:tr>
      <w:tr w:rsidR="006A39B0" w:rsidRPr="001B019C" w14:paraId="6C09332A" w14:textId="77777777">
        <w:tc>
          <w:tcPr>
            <w:tcW w:w="1129" w:type="dxa"/>
          </w:tcPr>
          <w:p w14:paraId="7FFBA2B5"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39DFEE6"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 xml:space="preserve">Pilnībā apmaksāti, tieši emitēti </w:t>
            </w:r>
            <w:r w:rsidRPr="001B019C">
              <w:rPr>
                <w:rFonts w:ascii="Times New Roman" w:hAnsi="Times New Roman"/>
                <w:b/>
                <w:bCs/>
                <w:u w:val="single"/>
              </w:rPr>
              <w:t>kapitāla instrumenti</w:t>
            </w:r>
          </w:p>
          <w:p w14:paraId="0F48B538"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 9. panta 1. punkta i) apakšpunkts.</w:t>
            </w:r>
          </w:p>
          <w:p w14:paraId="735CDBF7" w14:textId="77777777" w:rsidR="006A39B0" w:rsidRPr="001B019C" w:rsidRDefault="001B019C">
            <w:pPr>
              <w:pStyle w:val="InstructionsText"/>
              <w:rPr>
                <w:rStyle w:val="FormatvorlageInstructionsTabelleText"/>
                <w:rFonts w:ascii="Times New Roman" w:eastAsiaTheme="minorHAnsi" w:hAnsi="Times New Roman"/>
                <w:bCs/>
                <w:sz w:val="22"/>
                <w:szCs w:val="22"/>
              </w:rPr>
            </w:pPr>
            <w:r w:rsidRPr="001B019C">
              <w:rPr>
                <w:rStyle w:val="FormatvorlageInstructionsTabelleText"/>
                <w:rFonts w:ascii="Times New Roman" w:hAnsi="Times New Roman"/>
                <w:sz w:val="22"/>
                <w:szCs w:val="22"/>
              </w:rPr>
              <w:t>Regulas (ES) Nr. 575/2013 62. panta a) punkts, 63. un 65. pants.</w:t>
            </w:r>
          </w:p>
          <w:p w14:paraId="4C6F7C87"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Style w:val="FormatvorlageInstructionsTabelleText"/>
                <w:rFonts w:ascii="Times New Roman" w:hAnsi="Times New Roman"/>
                <w:sz w:val="22"/>
              </w:rPr>
              <w:t>Uzrādāmā summa neietver ar instrumentiem saistīto akciju emisijas uzcenojumu.</w:t>
            </w:r>
          </w:p>
        </w:tc>
      </w:tr>
      <w:tr w:rsidR="006A39B0" w:rsidRPr="001B019C" w14:paraId="3B74DF2A" w14:textId="77777777">
        <w:tc>
          <w:tcPr>
            <w:tcW w:w="1129" w:type="dxa"/>
          </w:tcPr>
          <w:p w14:paraId="37FCB038"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40125CA"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 xml:space="preserve">Akciju emisijas </w:t>
            </w:r>
            <w:r w:rsidRPr="001B019C">
              <w:rPr>
                <w:rFonts w:ascii="Times New Roman" w:hAnsi="Times New Roman"/>
                <w:b/>
                <w:bCs/>
                <w:u w:val="single"/>
              </w:rPr>
              <w:t>uzcenojums</w:t>
            </w:r>
          </w:p>
          <w:p w14:paraId="6B13A13A"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 9. panta 1. punkta i) apakšpunkts.</w:t>
            </w:r>
          </w:p>
          <w:p w14:paraId="6B1D2F2B" w14:textId="77777777" w:rsidR="006A39B0" w:rsidRPr="001B019C" w:rsidRDefault="001B019C">
            <w:pPr>
              <w:pStyle w:val="InstructionsText"/>
              <w:rPr>
                <w:rStyle w:val="FormatvorlageInstructionsTabelleText"/>
                <w:rFonts w:ascii="Times New Roman" w:hAnsi="Times New Roman"/>
                <w:sz w:val="22"/>
                <w:szCs w:val="22"/>
              </w:rPr>
            </w:pPr>
            <w:r w:rsidRPr="001B019C">
              <w:rPr>
                <w:rStyle w:val="FormatvorlageInstructionsTabelleText"/>
                <w:rFonts w:ascii="Times New Roman" w:hAnsi="Times New Roman"/>
                <w:sz w:val="22"/>
                <w:szCs w:val="22"/>
              </w:rPr>
              <w:t>Regulas (ES) Nr. 575/2013 62. panta b) punkts un 65. pants.</w:t>
            </w:r>
          </w:p>
          <w:p w14:paraId="59A783A0" w14:textId="77777777" w:rsidR="006A39B0" w:rsidRPr="001B019C" w:rsidRDefault="001B019C">
            <w:pPr>
              <w:pStyle w:val="InstructionsText"/>
              <w:rPr>
                <w:rStyle w:val="FormatvorlageInstructionsTabelleText"/>
                <w:rFonts w:ascii="Times New Roman" w:hAnsi="Times New Roman"/>
                <w:sz w:val="22"/>
                <w:szCs w:val="22"/>
              </w:rPr>
            </w:pPr>
            <w:r w:rsidRPr="001B019C">
              <w:rPr>
                <w:rStyle w:val="FormatvorlageInstructionsTabelleText"/>
                <w:rFonts w:ascii="Times New Roman" w:hAnsi="Times New Roman"/>
                <w:sz w:val="22"/>
                <w:szCs w:val="22"/>
              </w:rPr>
              <w:t>Akciju emisijas uzcenojums ir uzcenojums tādā nozīmē, kā definēts piemērojamā grāmatvedības standartā.</w:t>
            </w:r>
          </w:p>
          <w:p w14:paraId="0A716679" w14:textId="77777777" w:rsidR="006A39B0" w:rsidRPr="001B019C" w:rsidRDefault="001B019C">
            <w:pPr>
              <w:pStyle w:val="InstructionsText"/>
              <w:rPr>
                <w:sz w:val="22"/>
                <w:szCs w:val="22"/>
              </w:rPr>
            </w:pPr>
            <w:r w:rsidRPr="001B019C">
              <w:rPr>
                <w:rStyle w:val="FormatvorlageInstructionsTabelleText"/>
                <w:rFonts w:ascii="Times New Roman" w:hAnsi="Times New Roman"/>
                <w:sz w:val="22"/>
                <w:szCs w:val="22"/>
              </w:rPr>
              <w:t>Šajā postenī uzrādāmā su</w:t>
            </w:r>
            <w:r w:rsidRPr="001B019C">
              <w:rPr>
                <w:rStyle w:val="FormatvorlageInstructionsTabelleText"/>
                <w:rFonts w:ascii="Times New Roman" w:hAnsi="Times New Roman"/>
                <w:sz w:val="22"/>
                <w:szCs w:val="22"/>
              </w:rPr>
              <w:t>mma ar “Apmaksātiem kapitāla instrumentiem” saistītā daļa.</w:t>
            </w:r>
          </w:p>
        </w:tc>
      </w:tr>
      <w:tr w:rsidR="006A39B0" w:rsidRPr="001B019C" w14:paraId="45D3B149" w14:textId="77777777">
        <w:tc>
          <w:tcPr>
            <w:tcW w:w="1129" w:type="dxa"/>
          </w:tcPr>
          <w:p w14:paraId="0DA2125F"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0455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1DA77E43"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 KOPĒJIE ATSKAITĪJUMI NO OTRĀ LĪMEŅA KAPITĀLA</w:t>
            </w:r>
          </w:p>
          <w:p w14:paraId="3DA38936"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rPr>
              <w:t>Regulas (ES) Nr. 575/2013 66. pants, izņemot minētā panta d) punktu.</w:t>
            </w:r>
          </w:p>
        </w:tc>
      </w:tr>
      <w:tr w:rsidR="006A39B0" w:rsidRPr="001B019C" w14:paraId="02C64BF6" w14:textId="77777777">
        <w:tc>
          <w:tcPr>
            <w:tcW w:w="1129" w:type="dxa"/>
          </w:tcPr>
          <w:p w14:paraId="65452119"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813A548"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 Pašu otrā līmeņa kapitāla instrumenti</w:t>
            </w:r>
          </w:p>
          <w:p w14:paraId="14B895E6"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 9.</w:t>
            </w:r>
            <w:r w:rsidRPr="001B019C">
              <w:rPr>
                <w:rFonts w:ascii="Times New Roman" w:hAnsi="Times New Roman"/>
                <w:bCs/>
              </w:rPr>
              <w:t> panta 1. punkta i) apakšpunkts.</w:t>
            </w:r>
          </w:p>
          <w:p w14:paraId="085B4AC3" w14:textId="77777777" w:rsidR="006A39B0" w:rsidRPr="001B019C" w:rsidRDefault="001B019C">
            <w:pPr>
              <w:pStyle w:val="InstructionsText"/>
              <w:rPr>
                <w:rStyle w:val="FormatvorlageInstructionsTabelleText"/>
                <w:rFonts w:ascii="Times New Roman" w:hAnsi="Times New Roman"/>
                <w:sz w:val="22"/>
                <w:szCs w:val="22"/>
              </w:rPr>
            </w:pPr>
            <w:r w:rsidRPr="001B019C">
              <w:rPr>
                <w:rStyle w:val="FormatvorlageInstructionsTabelleText"/>
                <w:rFonts w:ascii="Times New Roman" w:hAnsi="Times New Roman"/>
                <w:sz w:val="22"/>
                <w:szCs w:val="22"/>
              </w:rPr>
              <w:t>Regulas (ES) Nr. 575/2013 63. panta b) punkta i) apakšpunkts, 66. panta a) punkts un 67. pants.</w:t>
            </w:r>
          </w:p>
          <w:p w14:paraId="314FC2C7" w14:textId="77777777" w:rsidR="006A39B0" w:rsidRPr="001B019C" w:rsidRDefault="001B019C">
            <w:pPr>
              <w:pStyle w:val="InstructionsText"/>
              <w:rPr>
                <w:rStyle w:val="FormatvorlageInstructionsTabelleText"/>
                <w:rFonts w:ascii="Times New Roman" w:hAnsi="Times New Roman"/>
                <w:sz w:val="22"/>
                <w:szCs w:val="22"/>
              </w:rPr>
            </w:pPr>
            <w:r w:rsidRPr="001B019C">
              <w:rPr>
                <w:rStyle w:val="FormatvorlageInstructionsTabelleText"/>
                <w:rFonts w:ascii="Times New Roman" w:hAnsi="Times New Roman"/>
                <w:sz w:val="22"/>
                <w:szCs w:val="22"/>
              </w:rPr>
              <w:t xml:space="preserve">Pašu otrā līmeņa kapitāla instrumenti, ko pārskata sniegšanas datumā tur pārskata iesniedzēja iestāde vai grupa. </w:t>
            </w:r>
            <w:r w:rsidRPr="001B019C">
              <w:rPr>
                <w:rStyle w:val="FormatvorlageInstructionsTabelleText"/>
                <w:rFonts w:ascii="Times New Roman" w:hAnsi="Times New Roman"/>
                <w:sz w:val="22"/>
                <w:szCs w:val="22"/>
              </w:rPr>
              <w:t>Piemērojami Regulas (ES) Nr. 575/2013 67. panta izņēmumi.</w:t>
            </w:r>
          </w:p>
          <w:p w14:paraId="5BF01F03" w14:textId="77777777" w:rsidR="006A39B0" w:rsidRPr="001B019C" w:rsidRDefault="001B019C">
            <w:pPr>
              <w:pStyle w:val="InstructionsText"/>
              <w:rPr>
                <w:rStyle w:val="FormatvorlageInstructionsTabelleText"/>
                <w:rFonts w:ascii="Times New Roman" w:hAnsi="Times New Roman"/>
                <w:sz w:val="22"/>
                <w:szCs w:val="22"/>
              </w:rPr>
            </w:pPr>
            <w:r w:rsidRPr="001B019C">
              <w:rPr>
                <w:rStyle w:val="FormatvorlageInstructionsTabelleText"/>
                <w:rFonts w:ascii="Times New Roman" w:hAnsi="Times New Roman"/>
                <w:sz w:val="22"/>
                <w:szCs w:val="22"/>
              </w:rPr>
              <w:t>Šajā rindā neuzrāda tādas līdzdalības akcijās, kas iekļautas kā “Neatbilstoši kapitāla instrumenti”.</w:t>
            </w:r>
          </w:p>
          <w:p w14:paraId="25E2A450" w14:textId="77777777" w:rsidR="006A39B0" w:rsidRPr="001B019C" w:rsidRDefault="001B019C">
            <w:pPr>
              <w:pStyle w:val="InstructionsText"/>
              <w:rPr>
                <w:sz w:val="22"/>
                <w:szCs w:val="22"/>
              </w:rPr>
            </w:pPr>
            <w:r w:rsidRPr="001B019C">
              <w:rPr>
                <w:rStyle w:val="FormatvorlageInstructionsTabelleText"/>
                <w:rFonts w:ascii="Times New Roman" w:hAnsi="Times New Roman"/>
                <w:sz w:val="22"/>
                <w:szCs w:val="22"/>
              </w:rPr>
              <w:t>Uzrādāmā summa ietver ar pašu akcijām saistīto akciju emisijas uzcenojumu.</w:t>
            </w:r>
          </w:p>
        </w:tc>
      </w:tr>
      <w:tr w:rsidR="006A39B0" w:rsidRPr="001B019C" w14:paraId="30586588" w14:textId="77777777">
        <w:tc>
          <w:tcPr>
            <w:tcW w:w="1129" w:type="dxa"/>
          </w:tcPr>
          <w:p w14:paraId="0C5CC701"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lastRenderedPageBreak/>
              <w:t>0500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E4B3267"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 Tādu finanšu</w:t>
            </w:r>
            <w:r w:rsidRPr="001B019C">
              <w:rPr>
                <w:rFonts w:ascii="Times New Roman" w:hAnsi="Times New Roman"/>
                <w:b/>
                <w:bCs/>
                <w:u w:val="single"/>
              </w:rPr>
              <w:t xml:space="preserve"> sektora sabiedrību otrā līmeņa kapitāla instrumenti, kurās mātesuzņēmumam nav būtiska ieguldījuma</w:t>
            </w:r>
          </w:p>
          <w:p w14:paraId="05D97D5E"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 9. panta 2. punkta c) apakšpunkts.</w:t>
            </w:r>
          </w:p>
          <w:p w14:paraId="03AB2F2E"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Nr. 575/2013 66. panta c) punkts.</w:t>
            </w:r>
          </w:p>
          <w:p w14:paraId="593DBBBF"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Cs/>
              </w:rPr>
              <w:t>Šajā rindā Savienības mātesuzņēmums nozīmē Savienība</w:t>
            </w:r>
            <w:r w:rsidRPr="001B019C">
              <w:rPr>
                <w:rFonts w:ascii="Times New Roman" w:hAnsi="Times New Roman"/>
                <w:bCs/>
              </w:rPr>
              <w:t>s mātes ieguldījumu brokeru sabiedrības, Savienības mātes ieguldījumu pārvaldītājsabiedrības, Savienības mātes jauktas finanšu pārvaldītājsabiedrības vai jebkurus citus mātesuzņēmumus, kas ir ieguldījumu brokeru sabiedrības, finanšu iestādes, palīgpakalpoj</w:t>
            </w:r>
            <w:r w:rsidRPr="001B019C">
              <w:rPr>
                <w:rFonts w:ascii="Times New Roman" w:hAnsi="Times New Roman"/>
                <w:bCs/>
              </w:rPr>
              <w:t>umu sabiedrības vai saistītie aģenti.</w:t>
            </w:r>
          </w:p>
        </w:tc>
      </w:tr>
      <w:tr w:rsidR="006A39B0" w:rsidRPr="001B019C" w14:paraId="40C51648" w14:textId="77777777">
        <w:tc>
          <w:tcPr>
            <w:tcW w:w="1129" w:type="dxa"/>
            <w:tcBorders>
              <w:bottom w:val="single" w:sz="4" w:space="0" w:color="auto"/>
            </w:tcBorders>
          </w:tcPr>
          <w:p w14:paraId="4A3BCF66"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0525</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3905059"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Otrā līmeņa kapitāls: citi kapitāla elementi, atskaitījumi un korekcijas</w:t>
            </w:r>
          </w:p>
          <w:p w14:paraId="02674D70"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Šī rinda ietver šādu posteņu summu (ja piemērojams):</w:t>
            </w:r>
          </w:p>
          <w:p w14:paraId="501272C4" w14:textId="77777777" w:rsidR="006A39B0" w:rsidRPr="001B019C" w:rsidRDefault="001B019C">
            <w:pPr>
              <w:spacing w:after="120" w:line="240" w:lineRule="auto"/>
              <w:ind w:left="360" w:hanging="360"/>
              <w:jc w:val="both"/>
              <w:rPr>
                <w:rFonts w:ascii="Times New Roman" w:eastAsia="Times New Roman" w:hAnsi="Times New Roman" w:cs="Times New Roman"/>
                <w:bCs/>
              </w:rPr>
            </w:pPr>
            <w:r w:rsidRPr="001B019C">
              <w:rPr>
                <w:rFonts w:ascii="Times New Roman" w:eastAsia="Times New Roman" w:hAnsi="Times New Roman" w:cs="Times New Roman"/>
                <w:bCs/>
              </w:rPr>
              <w:t>–</w:t>
            </w:r>
            <w:r w:rsidRPr="001B019C">
              <w:rPr>
                <w:rFonts w:ascii="Times New Roman" w:eastAsia="Times New Roman" w:hAnsi="Times New Roman" w:cs="Times New Roman"/>
                <w:bCs/>
              </w:rPr>
              <w:tab/>
            </w:r>
            <w:r w:rsidRPr="001B019C">
              <w:rPr>
                <w:rFonts w:ascii="Times New Roman" w:hAnsi="Times New Roman"/>
                <w:bCs/>
              </w:rPr>
              <w:t xml:space="preserve">pārejas posma korekcijas saistībā ar otrā līmeņa kapitāla </w:t>
            </w:r>
            <w:r w:rsidRPr="001B019C">
              <w:rPr>
                <w:rFonts w:ascii="Times New Roman" w:hAnsi="Times New Roman"/>
                <w:bCs/>
              </w:rPr>
              <w:t>instrumentiem, attiecībā uz kuriem piemērotas tiesības saglabāt iepriekš spēkā esošos nosacījumus (Regulas (ES) Nr. 575/2013 483. panta 6. un 7. punkts, 484., 486., 488., 490. un 491. pants),</w:t>
            </w:r>
          </w:p>
          <w:p w14:paraId="6EC9A211" w14:textId="77777777" w:rsidR="006A39B0" w:rsidRPr="001B019C" w:rsidRDefault="001B019C">
            <w:pPr>
              <w:spacing w:after="120" w:line="240" w:lineRule="auto"/>
              <w:ind w:left="360" w:hanging="360"/>
              <w:jc w:val="both"/>
              <w:rPr>
                <w:rFonts w:ascii="Times New Roman" w:eastAsia="Times New Roman" w:hAnsi="Times New Roman" w:cs="Times New Roman"/>
                <w:bCs/>
              </w:rPr>
            </w:pPr>
            <w:r w:rsidRPr="001B019C">
              <w:rPr>
                <w:rFonts w:ascii="Times New Roman" w:eastAsia="Times New Roman" w:hAnsi="Times New Roman" w:cs="Times New Roman"/>
                <w:bCs/>
              </w:rPr>
              <w:t>–</w:t>
            </w:r>
            <w:r w:rsidRPr="001B019C">
              <w:rPr>
                <w:rFonts w:ascii="Times New Roman" w:eastAsia="Times New Roman" w:hAnsi="Times New Roman" w:cs="Times New Roman"/>
                <w:bCs/>
              </w:rPr>
              <w:tab/>
            </w:r>
            <w:r w:rsidRPr="001B019C">
              <w:rPr>
                <w:rFonts w:ascii="Times New Roman" w:hAnsi="Times New Roman"/>
                <w:bCs/>
              </w:rPr>
              <w:t>citas pārejas posma korekcijas attiecībā uz otrā līmeņa kapitā</w:t>
            </w:r>
            <w:r w:rsidRPr="001B019C">
              <w:rPr>
                <w:rFonts w:ascii="Times New Roman" w:hAnsi="Times New Roman"/>
                <w:bCs/>
              </w:rPr>
              <w:t>lu (Regulas (ES) Nr. 575/2013 472. pants, 473.a, 476., 477., 478. un 481. pants): korekcijas, kas saistībā ar pārejas noteikumiem veiktas atskaitījumos no otrā līmeņa kapitāla,</w:t>
            </w:r>
          </w:p>
          <w:p w14:paraId="485B675A" w14:textId="77777777" w:rsidR="006A39B0" w:rsidRPr="001B019C" w:rsidRDefault="001B019C">
            <w:pPr>
              <w:spacing w:after="120" w:line="240" w:lineRule="auto"/>
              <w:ind w:left="360" w:hanging="360"/>
              <w:jc w:val="both"/>
              <w:rPr>
                <w:rFonts w:ascii="Times New Roman" w:eastAsia="Times New Roman" w:hAnsi="Times New Roman" w:cs="Times New Roman"/>
                <w:bCs/>
              </w:rPr>
            </w:pPr>
            <w:r w:rsidRPr="001B019C">
              <w:rPr>
                <w:rFonts w:ascii="Times New Roman" w:eastAsia="Times New Roman" w:hAnsi="Times New Roman" w:cs="Times New Roman"/>
                <w:bCs/>
              </w:rPr>
              <w:t>–</w:t>
            </w:r>
            <w:r w:rsidRPr="001B019C">
              <w:rPr>
                <w:rFonts w:ascii="Times New Roman" w:eastAsia="Times New Roman" w:hAnsi="Times New Roman" w:cs="Times New Roman"/>
                <w:bCs/>
              </w:rPr>
              <w:tab/>
            </w:r>
            <w:r w:rsidRPr="001B019C">
              <w:rPr>
                <w:rFonts w:ascii="Times New Roman" w:hAnsi="Times New Roman"/>
                <w:bCs/>
              </w:rPr>
              <w:t>summa, par kādu otrā līmeņa kapitāla posteņu atskaitījums pārsniedz otrā līme</w:t>
            </w:r>
            <w:r w:rsidRPr="001B019C">
              <w:rPr>
                <w:rFonts w:ascii="Times New Roman" w:hAnsi="Times New Roman"/>
                <w:bCs/>
              </w:rPr>
              <w:t>ņa kapitālu, atskaitīta no pirmā līmeņa papildu kapitāla saskaņā ar Regulas (ES) Nr. 575/2013 56. panta e) punktu: otrā līmeņa kapitāls nevar būt negatīvs, bet pastāv iespēja, ka atskaitījumi no otrā līmeņa kapitāla posteņiem pārsniedz pieejamo otrā līmeņa</w:t>
            </w:r>
            <w:r w:rsidRPr="001B019C">
              <w:rPr>
                <w:rFonts w:ascii="Times New Roman" w:hAnsi="Times New Roman"/>
                <w:bCs/>
              </w:rPr>
              <w:t xml:space="preserve"> kapitāla posteņu summu. Šādā gadījumā šis postenis atspoguļo summu, kas nepieciešama, lai 0420. rindā uzrādīto summu palielinātu līdz nullei,</w:t>
            </w:r>
          </w:p>
          <w:p w14:paraId="7598C73A" w14:textId="77777777" w:rsidR="006A39B0" w:rsidRPr="001B019C" w:rsidRDefault="001B019C">
            <w:pPr>
              <w:spacing w:after="120" w:line="240" w:lineRule="auto"/>
              <w:ind w:left="360" w:hanging="360"/>
              <w:jc w:val="both"/>
              <w:rPr>
                <w:rFonts w:ascii="Times New Roman" w:eastAsia="Times New Roman" w:hAnsi="Times New Roman" w:cs="Times New Roman"/>
                <w:bCs/>
              </w:rPr>
            </w:pPr>
            <w:r w:rsidRPr="001B019C">
              <w:rPr>
                <w:rFonts w:ascii="Times New Roman" w:eastAsia="Times New Roman" w:hAnsi="Times New Roman" w:cs="Times New Roman"/>
                <w:bCs/>
              </w:rPr>
              <w:t>–</w:t>
            </w:r>
            <w:r w:rsidRPr="001B019C">
              <w:rPr>
                <w:rFonts w:ascii="Times New Roman" w:eastAsia="Times New Roman" w:hAnsi="Times New Roman" w:cs="Times New Roman"/>
                <w:bCs/>
              </w:rPr>
              <w:tab/>
            </w:r>
            <w:r w:rsidRPr="001B019C">
              <w:rPr>
                <w:rFonts w:ascii="Times New Roman" w:hAnsi="Times New Roman"/>
                <w:bCs/>
              </w:rPr>
              <w:t>citi otrā līmeņa kapitāla elementi vai atskaitījumi no otrā līmeņa kapitāla elementa, kurus nevar iedalīt nevie</w:t>
            </w:r>
            <w:r w:rsidRPr="001B019C">
              <w:rPr>
                <w:rFonts w:ascii="Times New Roman" w:hAnsi="Times New Roman"/>
                <w:bCs/>
              </w:rPr>
              <w:t>nā no rindām, kas apzīmētas ar 0430–0500.</w:t>
            </w:r>
          </w:p>
          <w:p w14:paraId="011FEC9E"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Cs/>
              </w:rPr>
              <w:t>Šo rindu neizmanto, lai maksātspējas koeficientu aprēķinā iekļautu kapitāla posteņus vai atskaitījumus, kuriem nepiemēro Regulu (ES) 2019/2033 vai Regulu (ES) Nr. 575/2013.</w:t>
            </w:r>
          </w:p>
        </w:tc>
      </w:tr>
    </w:tbl>
    <w:p w14:paraId="63F49A6D" w14:textId="77777777" w:rsidR="006A39B0" w:rsidRPr="001B019C" w:rsidRDefault="001B019C">
      <w:pPr>
        <w:pStyle w:val="Instructionsberschrift2"/>
        <w:ind w:left="357" w:hanging="357"/>
        <w:rPr>
          <w:rFonts w:ascii="Times New Roman" w:hAnsi="Times New Roman" w:cs="Times New Roman"/>
          <w:sz w:val="24"/>
          <w:u w:val="none"/>
        </w:rPr>
      </w:pPr>
      <w:bookmarkStart w:id="19" w:name="_Toc88142225"/>
      <w:r w:rsidRPr="001B019C">
        <w:rPr>
          <w:rFonts w:ascii="Times New Roman" w:hAnsi="Times New Roman"/>
          <w:sz w:val="24"/>
          <w:u w:val="none"/>
        </w:rPr>
        <w:t>1.3.</w:t>
      </w:r>
      <w:r w:rsidRPr="001B019C">
        <w:rPr>
          <w:rFonts w:ascii="Times New Roman" w:hAnsi="Times New Roman"/>
          <w:sz w:val="24"/>
        </w:rPr>
        <w:t xml:space="preserve"> I 11.02 – PAŠU KAPITĀLA PRASĪBAS – GRUPAS KAPITĀLA KRITĒRIJS (I11.2)</w:t>
      </w:r>
      <w:bookmarkEnd w:id="19"/>
    </w:p>
    <w:p w14:paraId="39D53DD6" w14:textId="77777777" w:rsidR="006A39B0" w:rsidRPr="001B019C" w:rsidRDefault="001B019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0" w:name="_Toc88142226"/>
      <w:r w:rsidRPr="001B019C">
        <w:rPr>
          <w:rFonts w:ascii="Times New Roman" w:hAnsi="Times New Roman"/>
          <w:sz w:val="24"/>
          <w:szCs w:val="24"/>
        </w:rPr>
        <w:t>1.3.1.</w:t>
      </w:r>
      <w:r w:rsidRPr="001B019C">
        <w:tab/>
      </w:r>
      <w:r w:rsidRPr="001B019C">
        <w:rPr>
          <w:rFonts w:ascii="Times New Roman" w:hAnsi="Times New Roman"/>
          <w:sz w:val="24"/>
          <w:szCs w:val="24"/>
          <w:u w:val="single"/>
        </w:rPr>
        <w:t>Norādījumi attiecībā uz konkrētām pozīcijām.</w:t>
      </w:r>
      <w:bookmarkEnd w:id="2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A39B0" w:rsidRPr="001B019C" w14:paraId="2AC11FA3" w14:textId="77777777">
        <w:tc>
          <w:tcPr>
            <w:tcW w:w="1129" w:type="dxa"/>
            <w:shd w:val="clear" w:color="auto" w:fill="D9D9D9"/>
          </w:tcPr>
          <w:p w14:paraId="44B20658"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rPr>
              <w:t>Rinda</w:t>
            </w:r>
          </w:p>
        </w:tc>
        <w:tc>
          <w:tcPr>
            <w:tcW w:w="7620" w:type="dxa"/>
            <w:shd w:val="clear" w:color="auto" w:fill="D9D9D9"/>
          </w:tcPr>
          <w:p w14:paraId="7CAA425F"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rPr>
              <w:t>Atsauces uz tiesību aktiem un norādījumi</w:t>
            </w:r>
          </w:p>
        </w:tc>
      </w:tr>
      <w:tr w:rsidR="006A39B0" w:rsidRPr="001B019C" w14:paraId="293ECDA7" w14:textId="77777777">
        <w:tc>
          <w:tcPr>
            <w:tcW w:w="1129" w:type="dxa"/>
            <w:tcBorders>
              <w:top w:val="single" w:sz="4" w:space="0" w:color="auto"/>
              <w:left w:val="single" w:sz="4" w:space="0" w:color="auto"/>
              <w:bottom w:val="single" w:sz="4" w:space="0" w:color="auto"/>
              <w:right w:val="single" w:sz="4" w:space="0" w:color="auto"/>
            </w:tcBorders>
          </w:tcPr>
          <w:p w14:paraId="4DE7840F"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tcPr>
          <w:p w14:paraId="45C2171B"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 xml:space="preserve">Tādu finanšu sektora sabiedrību pirmā līmeņa pamata kapitāla </w:t>
            </w:r>
            <w:r w:rsidRPr="001B019C">
              <w:rPr>
                <w:rFonts w:ascii="Times New Roman" w:hAnsi="Times New Roman"/>
                <w:b/>
                <w:bCs/>
                <w:u w:val="single"/>
              </w:rPr>
              <w:t>instrumenti, kuras ir ieguldījumu brokeru sabiedrību grupā un kurās mātesuzņēmumam ir būtisks ieguldījums</w:t>
            </w:r>
          </w:p>
          <w:p w14:paraId="41FD309D"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Cs/>
              </w:rPr>
              <w:t>Regulas (ES) 2019/2033 8. panta 3. punkta a) apakšpunkts saistībā ar Regulas (ES) Nr. 575/2013 36. panta 1. punkta i) apakšpunktu.</w:t>
            </w:r>
          </w:p>
        </w:tc>
      </w:tr>
      <w:tr w:rsidR="006A39B0" w:rsidRPr="001B019C" w14:paraId="01A2C8B6" w14:textId="77777777">
        <w:tc>
          <w:tcPr>
            <w:tcW w:w="1129" w:type="dxa"/>
            <w:tcBorders>
              <w:top w:val="single" w:sz="4" w:space="0" w:color="auto"/>
              <w:bottom w:val="single" w:sz="4" w:space="0" w:color="auto"/>
            </w:tcBorders>
          </w:tcPr>
          <w:p w14:paraId="6964589B"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0020</w:t>
            </w:r>
          </w:p>
        </w:tc>
        <w:tc>
          <w:tcPr>
            <w:tcW w:w="7620" w:type="dxa"/>
            <w:tcBorders>
              <w:top w:val="single" w:sz="4" w:space="0" w:color="auto"/>
              <w:bottom w:val="single" w:sz="4" w:space="0" w:color="auto"/>
            </w:tcBorders>
          </w:tcPr>
          <w:p w14:paraId="49A82373"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 xml:space="preserve">Tādu finanšu </w:t>
            </w:r>
            <w:r w:rsidRPr="001B019C">
              <w:rPr>
                <w:rFonts w:ascii="Times New Roman" w:hAnsi="Times New Roman"/>
                <w:b/>
                <w:bCs/>
                <w:u w:val="single"/>
              </w:rPr>
              <w:t>sektora sabiedrību pirmā līmeņa papildu kapitāla instrumenti, kuras ir ieguldījumu brokeru sabiedrību grupā un kurās mātesuzņēmumam ir būtisks ieguldījums</w:t>
            </w:r>
          </w:p>
          <w:p w14:paraId="5264D741"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 8. panta 3. punkta a) apakšpunkts saistībā ar Regulas (ES) Nr. 575/2013 56. pa</w:t>
            </w:r>
            <w:r w:rsidRPr="001B019C">
              <w:rPr>
                <w:rFonts w:ascii="Times New Roman" w:hAnsi="Times New Roman"/>
                <w:bCs/>
              </w:rPr>
              <w:t>nta d) punktu.</w:t>
            </w:r>
          </w:p>
        </w:tc>
      </w:tr>
      <w:tr w:rsidR="006A39B0" w:rsidRPr="001B019C" w14:paraId="06C65436" w14:textId="77777777">
        <w:tc>
          <w:tcPr>
            <w:tcW w:w="1129" w:type="dxa"/>
            <w:tcBorders>
              <w:top w:val="single" w:sz="4" w:space="0" w:color="auto"/>
              <w:bottom w:val="single" w:sz="4" w:space="0" w:color="auto"/>
            </w:tcBorders>
          </w:tcPr>
          <w:p w14:paraId="5CFA9767"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lastRenderedPageBreak/>
              <w:t>0030</w:t>
            </w:r>
          </w:p>
        </w:tc>
        <w:tc>
          <w:tcPr>
            <w:tcW w:w="7620" w:type="dxa"/>
            <w:tcBorders>
              <w:top w:val="single" w:sz="4" w:space="0" w:color="auto"/>
              <w:bottom w:val="single" w:sz="4" w:space="0" w:color="auto"/>
            </w:tcBorders>
          </w:tcPr>
          <w:p w14:paraId="148F277C"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Tādu finanšu sektora sabiedrību otrā līmeņa kapitāla instrumenti, kuras ir ieguldījumu brokeru sabiedrību grupā un kurās mātesuzņēmumam ir būtisks ieguldījums</w:t>
            </w:r>
          </w:p>
          <w:p w14:paraId="52EA6F8D"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Cs/>
              </w:rPr>
              <w:t xml:space="preserve">8. panta 3. punkta a) apakšpunkts saistībā ar Regulas (ES) </w:t>
            </w:r>
            <w:r w:rsidRPr="001B019C">
              <w:rPr>
                <w:rFonts w:ascii="Times New Roman" w:hAnsi="Times New Roman"/>
                <w:bCs/>
              </w:rPr>
              <w:t>Nr. 575/2013 66. panta d) punktu.</w:t>
            </w:r>
          </w:p>
        </w:tc>
      </w:tr>
      <w:tr w:rsidR="006A39B0" w:rsidRPr="001B019C" w14:paraId="15A2143B" w14:textId="77777777">
        <w:tc>
          <w:tcPr>
            <w:tcW w:w="1129" w:type="dxa"/>
          </w:tcPr>
          <w:p w14:paraId="019942E2"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0040</w:t>
            </w:r>
          </w:p>
        </w:tc>
        <w:tc>
          <w:tcPr>
            <w:tcW w:w="7620" w:type="dxa"/>
          </w:tcPr>
          <w:p w14:paraId="6FA79278"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
                <w:bCs/>
                <w:u w:val="single"/>
              </w:rPr>
              <w:t>Ieguldījumu brokeru sabiedrību grupā esošu finanšu sektora sabiedrību līdzdalības, ciktāl tās neveido grupas sabiedrības, kurā mātesuzņēmums ir ieguldījis, pašu kapitālu</w:t>
            </w:r>
          </w:p>
          <w:p w14:paraId="0AAAF28B"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 xml:space="preserve">Regulas (ES) 2019/2033 8. panta </w:t>
            </w:r>
            <w:r w:rsidRPr="001B019C">
              <w:rPr>
                <w:rFonts w:ascii="Times New Roman" w:hAnsi="Times New Roman"/>
                <w:bCs/>
              </w:rPr>
              <w:t>3. punkta a) apakšpunkts.</w:t>
            </w:r>
          </w:p>
          <w:p w14:paraId="5B27818E"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Šī rinda ietver mātesuzņēmuma līdzdalības, ciktāl tās neveido grupas sabiedrības, kurā mātesuzņēmums ir ieguldījis, pašu kapitālu.</w:t>
            </w:r>
          </w:p>
        </w:tc>
      </w:tr>
      <w:tr w:rsidR="006A39B0" w:rsidRPr="001B019C" w14:paraId="428099B0" w14:textId="77777777">
        <w:tc>
          <w:tcPr>
            <w:tcW w:w="1129" w:type="dxa"/>
            <w:tcBorders>
              <w:bottom w:val="single" w:sz="4" w:space="0" w:color="auto"/>
            </w:tcBorders>
          </w:tcPr>
          <w:p w14:paraId="05EEE7A4"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0050</w:t>
            </w:r>
          </w:p>
        </w:tc>
        <w:tc>
          <w:tcPr>
            <w:tcW w:w="7620" w:type="dxa"/>
            <w:tcBorders>
              <w:bottom w:val="single" w:sz="4" w:space="0" w:color="auto"/>
            </w:tcBorders>
          </w:tcPr>
          <w:p w14:paraId="393927A4"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
                <w:bCs/>
                <w:u w:val="single"/>
              </w:rPr>
              <w:t>Finanšu sektora sabiedrību pakārtotie prasījumi ieguldījumu brokeru sabiedrību grupā</w:t>
            </w:r>
          </w:p>
          <w:p w14:paraId="60B286BB"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 8. panta 3. punkta a) apakšpunkts.</w:t>
            </w:r>
          </w:p>
          <w:p w14:paraId="3BE7B110"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Cs/>
              </w:rPr>
              <w:t>Šī rinda ietver mātesuzņēmuma pakārtotos prasījumus, ciktāl tie neveido grupas sabiedrības, kurā mātesuzņēmums ir ieguldījis, pašu kapitālu.</w:t>
            </w:r>
          </w:p>
        </w:tc>
      </w:tr>
      <w:tr w:rsidR="006A39B0" w:rsidRPr="001B019C" w14:paraId="3590B63E" w14:textId="77777777">
        <w:tc>
          <w:tcPr>
            <w:tcW w:w="1129" w:type="dxa"/>
            <w:tcBorders>
              <w:top w:val="single" w:sz="4" w:space="0" w:color="auto"/>
              <w:bottom w:val="single" w:sz="4" w:space="0" w:color="auto"/>
            </w:tcBorders>
          </w:tcPr>
          <w:p w14:paraId="5A94DDD6"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0060</w:t>
            </w:r>
          </w:p>
        </w:tc>
        <w:tc>
          <w:tcPr>
            <w:tcW w:w="7620" w:type="dxa"/>
            <w:tcBorders>
              <w:top w:val="single" w:sz="4" w:space="0" w:color="auto"/>
              <w:bottom w:val="single" w:sz="4" w:space="0" w:color="auto"/>
            </w:tcBorders>
          </w:tcPr>
          <w:p w14:paraId="1C0F3FF9"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Iespējamās saistības par labu sabiedrībām ieguldīju</w:t>
            </w:r>
            <w:r w:rsidRPr="001B019C">
              <w:rPr>
                <w:rFonts w:ascii="Times New Roman" w:hAnsi="Times New Roman"/>
                <w:b/>
                <w:bCs/>
                <w:u w:val="single"/>
              </w:rPr>
              <w:t>mu brokeru sabiedrību grupā</w:t>
            </w:r>
          </w:p>
          <w:p w14:paraId="1015F625"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 8. panta 3. punkta b) apakšpunkts.</w:t>
            </w:r>
          </w:p>
        </w:tc>
      </w:tr>
      <w:tr w:rsidR="006A39B0" w:rsidRPr="001B019C" w14:paraId="65C3526C" w14:textId="77777777">
        <w:tc>
          <w:tcPr>
            <w:tcW w:w="1129" w:type="dxa"/>
            <w:tcBorders>
              <w:top w:val="single" w:sz="4" w:space="0" w:color="auto"/>
            </w:tcBorders>
          </w:tcPr>
          <w:p w14:paraId="0BAC4956"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0070</w:t>
            </w:r>
          </w:p>
        </w:tc>
        <w:tc>
          <w:tcPr>
            <w:tcW w:w="7620" w:type="dxa"/>
            <w:tcBorders>
              <w:top w:val="single" w:sz="4" w:space="0" w:color="auto"/>
            </w:tcBorders>
          </w:tcPr>
          <w:p w14:paraId="6B860F6D"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Kopējās pašu kapitāla prasības meitasuzņēmumiem</w:t>
            </w:r>
          </w:p>
          <w:p w14:paraId="110AC8BA"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Ja piemēro Regulas (ES) 2019/2033 8. panta 4. punktu.</w:t>
            </w:r>
          </w:p>
        </w:tc>
      </w:tr>
    </w:tbl>
    <w:p w14:paraId="113DE4AF" w14:textId="77777777" w:rsidR="006A39B0" w:rsidRPr="001B019C" w:rsidRDefault="001B019C">
      <w:pPr>
        <w:pStyle w:val="Instructionsberschrift2"/>
        <w:ind w:left="357" w:hanging="357"/>
        <w:rPr>
          <w:rFonts w:ascii="Times New Roman" w:hAnsi="Times New Roman" w:cs="Times New Roman"/>
          <w:sz w:val="24"/>
        </w:rPr>
      </w:pPr>
      <w:bookmarkStart w:id="21" w:name="_Toc88142227"/>
      <w:bookmarkEnd w:id="2"/>
      <w:bookmarkEnd w:id="3"/>
      <w:bookmarkEnd w:id="4"/>
      <w:bookmarkEnd w:id="5"/>
      <w:r w:rsidRPr="001B019C">
        <w:rPr>
          <w:rFonts w:ascii="Times New Roman" w:hAnsi="Times New Roman"/>
          <w:sz w:val="24"/>
          <w:u w:val="none"/>
        </w:rPr>
        <w:t>1.4.</w:t>
      </w:r>
      <w:r w:rsidRPr="001B019C">
        <w:rPr>
          <w:rFonts w:ascii="Times New Roman" w:hAnsi="Times New Roman"/>
          <w:sz w:val="24"/>
        </w:rPr>
        <w:t xml:space="preserve"> IF 11.03. INFORMĀCIJA PAR MEITASUZŅĒMUMIEM (IF11.3)</w:t>
      </w:r>
      <w:bookmarkEnd w:id="21"/>
    </w:p>
    <w:p w14:paraId="0E7AD330" w14:textId="77777777" w:rsidR="006A39B0" w:rsidRPr="001B019C" w:rsidRDefault="001B019C">
      <w:pPr>
        <w:spacing w:line="256" w:lineRule="auto"/>
        <w:ind w:left="1224" w:hanging="504"/>
        <w:jc w:val="both"/>
        <w:rPr>
          <w:rFonts w:ascii="Times New Roman" w:hAnsi="Times New Roman" w:cs="Times New Roman"/>
          <w:sz w:val="24"/>
        </w:rPr>
      </w:pPr>
      <w:r w:rsidRPr="001B019C">
        <w:rPr>
          <w:rFonts w:ascii="Times New Roman" w:hAnsi="Times New Roman" w:cs="Times New Roman"/>
          <w:sz w:val="24"/>
        </w:rPr>
        <w:t>10.</w:t>
      </w:r>
      <w:r w:rsidRPr="001B019C">
        <w:rPr>
          <w:rFonts w:ascii="Times New Roman" w:hAnsi="Times New Roman" w:cs="Times New Roman"/>
          <w:sz w:val="24"/>
        </w:rPr>
        <w:tab/>
      </w:r>
      <w:r w:rsidRPr="001B019C">
        <w:rPr>
          <w:rFonts w:ascii="Times New Roman" w:hAnsi="Times New Roman"/>
          <w:sz w:val="24"/>
        </w:rPr>
        <w:t>Šajā veidnē uzrāda visas grupas kapitāla kritērija tvērumā esošās sabiedrības. Tās ietver arī pašas grupas mātesuzņēmumu.</w:t>
      </w:r>
    </w:p>
    <w:p w14:paraId="1904821A" w14:textId="77777777" w:rsidR="006A39B0" w:rsidRPr="001B019C" w:rsidRDefault="001B019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2" w:name="_Toc88142228"/>
      <w:r w:rsidRPr="001B019C">
        <w:rPr>
          <w:rFonts w:ascii="Times New Roman" w:hAnsi="Times New Roman"/>
          <w:sz w:val="24"/>
          <w:szCs w:val="24"/>
        </w:rPr>
        <w:t>1.4.1.</w:t>
      </w:r>
      <w:r w:rsidRPr="001B019C">
        <w:tab/>
      </w:r>
      <w:r w:rsidRPr="001B019C">
        <w:rPr>
          <w:rFonts w:ascii="Times New Roman" w:hAnsi="Times New Roman"/>
          <w:sz w:val="24"/>
          <w:szCs w:val="24"/>
          <w:u w:val="single"/>
        </w:rPr>
        <w:t>Norādījumi attiecībā uz konkrētām pozīcijām.</w:t>
      </w:r>
      <w:bookmarkEnd w:id="2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A39B0" w:rsidRPr="001B019C" w14:paraId="7A63BC9B" w14:textId="77777777">
        <w:tc>
          <w:tcPr>
            <w:tcW w:w="1129" w:type="dxa"/>
            <w:shd w:val="clear" w:color="auto" w:fill="D9D9D9"/>
          </w:tcPr>
          <w:p w14:paraId="5CFFD29F"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rPr>
              <w:t>Slejas</w:t>
            </w:r>
          </w:p>
        </w:tc>
        <w:tc>
          <w:tcPr>
            <w:tcW w:w="7620" w:type="dxa"/>
            <w:shd w:val="clear" w:color="auto" w:fill="D9D9D9"/>
          </w:tcPr>
          <w:p w14:paraId="5D3FF9EC"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rPr>
              <w:t>Atsauces uz tiesīb</w:t>
            </w:r>
            <w:r w:rsidRPr="001B019C">
              <w:rPr>
                <w:rFonts w:ascii="Times New Roman" w:hAnsi="Times New Roman"/>
              </w:rPr>
              <w:t>u aktiem un norādījumi</w:t>
            </w:r>
          </w:p>
        </w:tc>
      </w:tr>
      <w:tr w:rsidR="006A39B0" w:rsidRPr="001B019C" w14:paraId="547760AC" w14:textId="77777777">
        <w:tc>
          <w:tcPr>
            <w:tcW w:w="1129" w:type="dxa"/>
          </w:tcPr>
          <w:p w14:paraId="5F477966"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0010</w:t>
            </w:r>
          </w:p>
        </w:tc>
        <w:tc>
          <w:tcPr>
            <w:tcW w:w="7620" w:type="dxa"/>
          </w:tcPr>
          <w:p w14:paraId="540917E5"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Kods</w:t>
            </w:r>
          </w:p>
          <w:p w14:paraId="7BE67DDC"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Cs/>
              </w:rPr>
              <w:t>Kodam, kas ir daļa no rindu identifikatora, jābūt unikālam attiecībā uz katru uzrādīto sabiedrību. Ieguldījumu brokeru sabiedrībām un apdrošināšanas sabiedrībām kods ir juridiskās personas identifikatora (</w:t>
            </w:r>
            <w:r w:rsidRPr="001B019C">
              <w:rPr>
                <w:rFonts w:ascii="Times New Roman" w:hAnsi="Times New Roman"/>
                <w:bCs/>
                <w:i/>
                <w:iCs/>
              </w:rPr>
              <w:t>LEI</w:t>
            </w:r>
            <w:r w:rsidRPr="001B019C">
              <w:rPr>
                <w:rFonts w:ascii="Times New Roman" w:hAnsi="Times New Roman"/>
                <w:bCs/>
              </w:rPr>
              <w:t xml:space="preserve">) kods. Citām sabiedrībām šis kods ir </w:t>
            </w:r>
            <w:r w:rsidRPr="001B019C">
              <w:rPr>
                <w:rFonts w:ascii="Times New Roman" w:hAnsi="Times New Roman"/>
                <w:bCs/>
                <w:i/>
                <w:iCs/>
              </w:rPr>
              <w:t>LEI</w:t>
            </w:r>
            <w:r w:rsidRPr="001B019C">
              <w:rPr>
                <w:rFonts w:ascii="Times New Roman" w:hAnsi="Times New Roman"/>
                <w:bCs/>
              </w:rPr>
              <w:t xml:space="preserve"> kods vai, ja tas nav pieejams, tad kods, kas nav </w:t>
            </w:r>
            <w:r w:rsidRPr="001B019C">
              <w:rPr>
                <w:rFonts w:ascii="Times New Roman" w:hAnsi="Times New Roman"/>
                <w:bCs/>
                <w:i/>
                <w:iCs/>
              </w:rPr>
              <w:t>LEI</w:t>
            </w:r>
            <w:r w:rsidRPr="001B019C">
              <w:rPr>
                <w:rFonts w:ascii="Times New Roman" w:hAnsi="Times New Roman"/>
                <w:bCs/>
              </w:rPr>
              <w:t xml:space="preserve"> kods. Kods ir unikāls, un dažādās veidnēs un laika gaitā to izmanto vienotā veidā. Šis kods vienmēr apzīmē kādu vērtību.</w:t>
            </w:r>
          </w:p>
        </w:tc>
      </w:tr>
      <w:tr w:rsidR="006A39B0" w:rsidRPr="001B019C" w14:paraId="36A21DDC" w14:textId="77777777">
        <w:tc>
          <w:tcPr>
            <w:tcW w:w="1129" w:type="dxa"/>
          </w:tcPr>
          <w:p w14:paraId="02C49B27"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0020</w:t>
            </w:r>
          </w:p>
        </w:tc>
        <w:tc>
          <w:tcPr>
            <w:tcW w:w="7620" w:type="dxa"/>
          </w:tcPr>
          <w:p w14:paraId="4B80D386"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Koda tips</w:t>
            </w:r>
          </w:p>
          <w:p w14:paraId="283FA9E7"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Pārskata sniedzēja iestā</w:t>
            </w:r>
            <w:r w:rsidRPr="001B019C">
              <w:rPr>
                <w:rFonts w:ascii="Times New Roman" w:hAnsi="Times New Roman"/>
                <w:bCs/>
              </w:rPr>
              <w:t>de identificē 0010. slejā uzrādīto kodu kā “</w:t>
            </w:r>
            <w:r w:rsidRPr="001B019C">
              <w:rPr>
                <w:rFonts w:ascii="Times New Roman" w:hAnsi="Times New Roman"/>
                <w:bCs/>
                <w:i/>
                <w:iCs/>
              </w:rPr>
              <w:t>LEI</w:t>
            </w:r>
            <w:r w:rsidRPr="001B019C">
              <w:rPr>
                <w:rFonts w:ascii="Times New Roman" w:hAnsi="Times New Roman"/>
                <w:bCs/>
              </w:rPr>
              <w:t xml:space="preserve"> koda tips’ vai </w:t>
            </w:r>
            <w:r w:rsidRPr="001B019C">
              <w:rPr>
                <w:rFonts w:ascii="Times New Roman" w:hAnsi="Times New Roman"/>
                <w:bCs/>
              </w:rPr>
              <w:t>‘V</w:t>
            </w:r>
            <w:r w:rsidRPr="001B019C">
              <w:rPr>
                <w:rFonts w:ascii="Times New Roman" w:hAnsi="Times New Roman"/>
                <w:bCs/>
              </w:rPr>
              <w:t>alsts koda tips”.</w:t>
            </w:r>
          </w:p>
          <w:p w14:paraId="2D65D4D1"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Cs/>
              </w:rPr>
              <w:t>Koda tips ir jāuzrāda vienmēr.</w:t>
            </w:r>
          </w:p>
        </w:tc>
      </w:tr>
      <w:tr w:rsidR="006A39B0" w:rsidRPr="001B019C" w14:paraId="064C189A" w14:textId="77777777">
        <w:tc>
          <w:tcPr>
            <w:tcW w:w="1129" w:type="dxa"/>
          </w:tcPr>
          <w:p w14:paraId="046042CA"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0030</w:t>
            </w:r>
          </w:p>
        </w:tc>
        <w:tc>
          <w:tcPr>
            <w:tcW w:w="7620" w:type="dxa"/>
          </w:tcPr>
          <w:p w14:paraId="7BEEE5E5"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Uzņēmuma nosaukums</w:t>
            </w:r>
          </w:p>
          <w:p w14:paraId="16F669F8"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Style w:val="InstructionsTabelleText"/>
                <w:rFonts w:ascii="Times New Roman" w:hAnsi="Times New Roman"/>
                <w:sz w:val="22"/>
              </w:rPr>
              <w:t>Konsolidācijas tvērumā iekļautā uzņēmuma nosaukums.</w:t>
            </w:r>
          </w:p>
        </w:tc>
      </w:tr>
      <w:tr w:rsidR="006A39B0" w:rsidRPr="001B019C" w14:paraId="41627C61" w14:textId="77777777">
        <w:tc>
          <w:tcPr>
            <w:tcW w:w="1129" w:type="dxa"/>
          </w:tcPr>
          <w:p w14:paraId="305886B1"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0040</w:t>
            </w:r>
          </w:p>
        </w:tc>
        <w:tc>
          <w:tcPr>
            <w:tcW w:w="7620" w:type="dxa"/>
          </w:tcPr>
          <w:p w14:paraId="4F33F75C" w14:textId="77777777" w:rsidR="006A39B0" w:rsidRPr="001B019C" w:rsidRDefault="001B019C">
            <w:pPr>
              <w:spacing w:after="120" w:line="240" w:lineRule="auto"/>
              <w:jc w:val="both"/>
              <w:rPr>
                <w:rFonts w:ascii="Times New Roman" w:eastAsia="Times New Roman" w:hAnsi="Times New Roman" w:cs="Times New Roman"/>
                <w:b/>
                <w:bCs/>
              </w:rPr>
            </w:pPr>
            <w:r w:rsidRPr="001B019C">
              <w:rPr>
                <w:rFonts w:ascii="Times New Roman" w:hAnsi="Times New Roman"/>
                <w:b/>
                <w:bCs/>
              </w:rPr>
              <w:t>Mātesuzņēmums/meitasuzņēmums</w:t>
            </w:r>
          </w:p>
          <w:p w14:paraId="17A57411"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lastRenderedPageBreak/>
              <w:t xml:space="preserve">Norāda, vai rindā uzrādītā sabiedrība ir grupas mātesuzņēmums vai meitasuzņēmums. </w:t>
            </w:r>
          </w:p>
        </w:tc>
      </w:tr>
      <w:tr w:rsidR="006A39B0" w:rsidRPr="001B019C" w14:paraId="13785AAE" w14:textId="77777777">
        <w:tc>
          <w:tcPr>
            <w:tcW w:w="1129" w:type="dxa"/>
          </w:tcPr>
          <w:p w14:paraId="7A4A64A9"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lastRenderedPageBreak/>
              <w:t>0050</w:t>
            </w:r>
          </w:p>
        </w:tc>
        <w:tc>
          <w:tcPr>
            <w:tcW w:w="7620" w:type="dxa"/>
          </w:tcPr>
          <w:p w14:paraId="130495EB"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Valsts</w:t>
            </w:r>
          </w:p>
          <w:p w14:paraId="31F808DA" w14:textId="77777777" w:rsidR="006A39B0" w:rsidRPr="001B019C" w:rsidRDefault="001B019C">
            <w:pPr>
              <w:autoSpaceDE w:val="0"/>
              <w:autoSpaceDN w:val="0"/>
              <w:spacing w:before="40" w:after="40" w:line="240" w:lineRule="auto"/>
              <w:rPr>
                <w:rFonts w:ascii="Times New Roman" w:eastAsia="Times New Roman" w:hAnsi="Times New Roman" w:cs="Times New Roman"/>
                <w:b/>
                <w:bCs/>
                <w:u w:val="single"/>
              </w:rPr>
            </w:pPr>
            <w:r w:rsidRPr="001B019C">
              <w:rPr>
                <w:rStyle w:val="InstructionsTabelleText"/>
                <w:rFonts w:ascii="Times New Roman" w:hAnsi="Times New Roman"/>
                <w:sz w:val="22"/>
              </w:rPr>
              <w:t>Uzrāda valsti, kurā atrodas meitasuzņēmums.</w:t>
            </w:r>
          </w:p>
        </w:tc>
      </w:tr>
      <w:tr w:rsidR="006A39B0" w:rsidRPr="001B019C" w14:paraId="6F2B7A68" w14:textId="77777777">
        <w:tc>
          <w:tcPr>
            <w:tcW w:w="1129" w:type="dxa"/>
          </w:tcPr>
          <w:p w14:paraId="0B3B83A1"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0060–0100</w:t>
            </w:r>
          </w:p>
        </w:tc>
        <w:tc>
          <w:tcPr>
            <w:tcW w:w="7620" w:type="dxa"/>
          </w:tcPr>
          <w:p w14:paraId="053576BB"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Mātesuzņēmuma ieguldījumi</w:t>
            </w:r>
          </w:p>
          <w:p w14:paraId="6F18A318"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 8. panta 3. punkta a) apakšpunkts.</w:t>
            </w:r>
          </w:p>
          <w:p w14:paraId="1F35D4A5"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Cs/>
              </w:rPr>
              <w:t>Šajā sadaļā uzrāda mā</w:t>
            </w:r>
            <w:r w:rsidRPr="001B019C">
              <w:rPr>
                <w:rFonts w:ascii="Times New Roman" w:hAnsi="Times New Roman"/>
                <w:bCs/>
              </w:rPr>
              <w:t>tesuzņēmuma ieguldījumus grupas sabiedrībās.</w:t>
            </w:r>
          </w:p>
        </w:tc>
      </w:tr>
      <w:tr w:rsidR="006A39B0" w:rsidRPr="001B019C" w14:paraId="40429BFC" w14:textId="77777777">
        <w:tc>
          <w:tcPr>
            <w:tcW w:w="1129" w:type="dxa"/>
            <w:tcBorders>
              <w:top w:val="single" w:sz="4" w:space="0" w:color="auto"/>
              <w:left w:val="single" w:sz="4" w:space="0" w:color="auto"/>
              <w:bottom w:val="single" w:sz="4" w:space="0" w:color="auto"/>
              <w:right w:val="single" w:sz="4" w:space="0" w:color="auto"/>
            </w:tcBorders>
          </w:tcPr>
          <w:p w14:paraId="7203D805"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tcPr>
          <w:p w14:paraId="18833BEB"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
                <w:bCs/>
                <w:u w:val="single"/>
              </w:rPr>
              <w:t>Pirmā līmeņa pamata kapitāls</w:t>
            </w:r>
          </w:p>
          <w:p w14:paraId="7D9E62D6"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Cs/>
              </w:rPr>
              <w:t>Regulas (ES) 2019/2033 8. panta 3. punkta a) apakšpunkts saistībā ar Regulas (ES) Nr. 575/2013 36. panta 1. punkta i) apakšpunktu.</w:t>
            </w:r>
          </w:p>
        </w:tc>
      </w:tr>
      <w:tr w:rsidR="006A39B0" w:rsidRPr="001B019C" w14:paraId="13F67C15" w14:textId="77777777">
        <w:tc>
          <w:tcPr>
            <w:tcW w:w="1129" w:type="dxa"/>
            <w:tcBorders>
              <w:top w:val="single" w:sz="4" w:space="0" w:color="auto"/>
              <w:bottom w:val="single" w:sz="4" w:space="0" w:color="auto"/>
            </w:tcBorders>
          </w:tcPr>
          <w:p w14:paraId="5666F048"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0070</w:t>
            </w:r>
          </w:p>
        </w:tc>
        <w:tc>
          <w:tcPr>
            <w:tcW w:w="7620" w:type="dxa"/>
            <w:tcBorders>
              <w:top w:val="single" w:sz="4" w:space="0" w:color="auto"/>
              <w:bottom w:val="single" w:sz="4" w:space="0" w:color="auto"/>
            </w:tcBorders>
          </w:tcPr>
          <w:p w14:paraId="461CDCE9"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
                <w:bCs/>
                <w:u w:val="single"/>
              </w:rPr>
              <w:t>Pirmā līmeņa papildu kapitāls</w:t>
            </w:r>
          </w:p>
          <w:p w14:paraId="5C53BFEB"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 8. panta 3. punkta a) apakšpunkts saistībā ar Regulas (ES) Nr. 575/2013 56. panta d) punktu.</w:t>
            </w:r>
          </w:p>
        </w:tc>
      </w:tr>
      <w:tr w:rsidR="006A39B0" w:rsidRPr="001B019C" w14:paraId="7F08FE57" w14:textId="77777777">
        <w:tc>
          <w:tcPr>
            <w:tcW w:w="1129" w:type="dxa"/>
            <w:tcBorders>
              <w:top w:val="single" w:sz="4" w:space="0" w:color="auto"/>
              <w:bottom w:val="single" w:sz="4" w:space="0" w:color="auto"/>
            </w:tcBorders>
          </w:tcPr>
          <w:p w14:paraId="7202DFB5"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0080</w:t>
            </w:r>
          </w:p>
        </w:tc>
        <w:tc>
          <w:tcPr>
            <w:tcW w:w="7620" w:type="dxa"/>
            <w:tcBorders>
              <w:top w:val="single" w:sz="4" w:space="0" w:color="auto"/>
              <w:bottom w:val="single" w:sz="4" w:space="0" w:color="auto"/>
            </w:tcBorders>
          </w:tcPr>
          <w:p w14:paraId="734D17CA"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Otrā līmeņa kapitāls</w:t>
            </w:r>
          </w:p>
          <w:p w14:paraId="6F969618"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Cs/>
              </w:rPr>
              <w:t>Regulas (ES) 2019/2033 8. panta 3. punkta a) apakšpunkts saistībā ar Regulas (ES) Nr. 575/2013 66. panta d) punkt</w:t>
            </w:r>
            <w:r w:rsidRPr="001B019C">
              <w:rPr>
                <w:rFonts w:ascii="Times New Roman" w:hAnsi="Times New Roman"/>
                <w:bCs/>
              </w:rPr>
              <w:t>u.</w:t>
            </w:r>
          </w:p>
        </w:tc>
      </w:tr>
      <w:tr w:rsidR="006A39B0" w:rsidRPr="001B019C" w14:paraId="6CEAEBBF" w14:textId="77777777">
        <w:tc>
          <w:tcPr>
            <w:tcW w:w="1129" w:type="dxa"/>
          </w:tcPr>
          <w:p w14:paraId="171257E7"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0090</w:t>
            </w:r>
          </w:p>
        </w:tc>
        <w:tc>
          <w:tcPr>
            <w:tcW w:w="7620" w:type="dxa"/>
          </w:tcPr>
          <w:p w14:paraId="35C2FBFB"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Līdzdalības</w:t>
            </w:r>
          </w:p>
          <w:p w14:paraId="14499577"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 8. panta 3. punkta a) apakšpunkts.</w:t>
            </w:r>
          </w:p>
          <w:p w14:paraId="65F7C26E"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Šī sleja ietver mātesuzņēmuma līdzdalības, ciktāl tās neveido grupas sabiedrības, kurā mātesuzņēmums ir ieguldījis, pašu kapitālu.</w:t>
            </w:r>
          </w:p>
        </w:tc>
      </w:tr>
      <w:tr w:rsidR="006A39B0" w:rsidRPr="001B019C" w14:paraId="6E006DD5" w14:textId="77777777">
        <w:tc>
          <w:tcPr>
            <w:tcW w:w="1129" w:type="dxa"/>
            <w:tcBorders>
              <w:bottom w:val="single" w:sz="4" w:space="0" w:color="auto"/>
            </w:tcBorders>
          </w:tcPr>
          <w:p w14:paraId="0B62ECE9"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0100</w:t>
            </w:r>
          </w:p>
        </w:tc>
        <w:tc>
          <w:tcPr>
            <w:tcW w:w="7620" w:type="dxa"/>
            <w:tcBorders>
              <w:bottom w:val="single" w:sz="4" w:space="0" w:color="auto"/>
            </w:tcBorders>
          </w:tcPr>
          <w:p w14:paraId="6D27571F"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
                <w:bCs/>
                <w:u w:val="single"/>
              </w:rPr>
              <w:t>Pakārtotie prasījumi</w:t>
            </w:r>
          </w:p>
          <w:p w14:paraId="19462E1C"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 xml:space="preserve">Regulas (ES) </w:t>
            </w:r>
            <w:r w:rsidRPr="001B019C">
              <w:rPr>
                <w:rFonts w:ascii="Times New Roman" w:hAnsi="Times New Roman"/>
                <w:bCs/>
              </w:rPr>
              <w:t>2019/2033 8. panta 3. punkta a) apakšpunkts.</w:t>
            </w:r>
          </w:p>
          <w:p w14:paraId="3463A6BD"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Cs/>
              </w:rPr>
              <w:t>Šī sleja ietver mātesuzņēmuma pakārtotos prasījumus, ciktāl tie neveido grupas sabiedrības, kurā mātesuzņēmums ir ieguldījis, pašu kapitālu.</w:t>
            </w:r>
          </w:p>
        </w:tc>
      </w:tr>
      <w:tr w:rsidR="006A39B0" w:rsidRPr="001B019C" w14:paraId="3E1A0DBB" w14:textId="77777777">
        <w:tc>
          <w:tcPr>
            <w:tcW w:w="1129" w:type="dxa"/>
            <w:tcBorders>
              <w:top w:val="single" w:sz="4" w:space="0" w:color="auto"/>
              <w:bottom w:val="single" w:sz="4" w:space="0" w:color="auto"/>
            </w:tcBorders>
          </w:tcPr>
          <w:p w14:paraId="21828808"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0110</w:t>
            </w:r>
          </w:p>
        </w:tc>
        <w:tc>
          <w:tcPr>
            <w:tcW w:w="7620" w:type="dxa"/>
            <w:tcBorders>
              <w:top w:val="single" w:sz="4" w:space="0" w:color="auto"/>
              <w:bottom w:val="single" w:sz="4" w:space="0" w:color="auto"/>
            </w:tcBorders>
          </w:tcPr>
          <w:p w14:paraId="27A953EE"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 xml:space="preserve">Mātesuzņēmuma iespējamās saistības par labu </w:t>
            </w:r>
            <w:r w:rsidRPr="001B019C">
              <w:rPr>
                <w:rFonts w:ascii="Times New Roman" w:hAnsi="Times New Roman"/>
                <w:b/>
                <w:bCs/>
                <w:u w:val="single"/>
              </w:rPr>
              <w:t>sabiedrībai</w:t>
            </w:r>
          </w:p>
          <w:p w14:paraId="26058DB5"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 8. panta 3. punkta b) apakšpunkts.</w:t>
            </w:r>
          </w:p>
        </w:tc>
      </w:tr>
      <w:tr w:rsidR="006A39B0" w:rsidRPr="001B019C" w14:paraId="7FF4DB3E" w14:textId="77777777">
        <w:tc>
          <w:tcPr>
            <w:tcW w:w="1129" w:type="dxa"/>
            <w:tcBorders>
              <w:top w:val="single" w:sz="4" w:space="0" w:color="auto"/>
              <w:bottom w:val="single" w:sz="4" w:space="0" w:color="auto"/>
            </w:tcBorders>
          </w:tcPr>
          <w:p w14:paraId="088D8286"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0120</w:t>
            </w:r>
          </w:p>
        </w:tc>
        <w:tc>
          <w:tcPr>
            <w:tcW w:w="7620" w:type="dxa"/>
            <w:tcBorders>
              <w:top w:val="single" w:sz="4" w:space="0" w:color="auto"/>
              <w:bottom w:val="single" w:sz="4" w:space="0" w:color="auto"/>
            </w:tcBorders>
          </w:tcPr>
          <w:p w14:paraId="37D4FC03"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Kopējās pašu kapitāla prasības meitasuzņēmumiem</w:t>
            </w:r>
          </w:p>
          <w:p w14:paraId="00D4D4D0"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Regulas (ES) 2019/2033 8. panta 4. punkts.</w:t>
            </w:r>
          </w:p>
        </w:tc>
      </w:tr>
      <w:tr w:rsidR="006A39B0" w:rsidRPr="001B019C" w14:paraId="19E1C486" w14:textId="77777777">
        <w:tc>
          <w:tcPr>
            <w:tcW w:w="1129" w:type="dxa"/>
            <w:tcBorders>
              <w:top w:val="single" w:sz="4" w:space="0" w:color="auto"/>
              <w:bottom w:val="single" w:sz="4" w:space="0" w:color="auto"/>
            </w:tcBorders>
          </w:tcPr>
          <w:p w14:paraId="6F8BD5C1"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0130</w:t>
            </w:r>
          </w:p>
        </w:tc>
        <w:tc>
          <w:tcPr>
            <w:tcW w:w="7620" w:type="dxa"/>
            <w:tcBorders>
              <w:top w:val="single" w:sz="4" w:space="0" w:color="auto"/>
              <w:bottom w:val="single" w:sz="4" w:space="0" w:color="auto"/>
            </w:tcBorders>
          </w:tcPr>
          <w:p w14:paraId="629438A2"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Pastāvīgais minimālais kapitāls</w:t>
            </w:r>
          </w:p>
          <w:p w14:paraId="6B4D91DD" w14:textId="77777777" w:rsidR="006A39B0" w:rsidRPr="001B019C" w:rsidRDefault="001B019C">
            <w:pPr>
              <w:spacing w:after="120" w:line="240" w:lineRule="auto"/>
              <w:jc w:val="both"/>
              <w:rPr>
                <w:rFonts w:ascii="Times New Roman" w:eastAsia="Times New Roman" w:hAnsi="Times New Roman" w:cs="Times New Roman"/>
                <w:bCs/>
                <w:color w:val="000000" w:themeColor="text1"/>
              </w:rPr>
            </w:pPr>
            <w:r w:rsidRPr="001B019C">
              <w:rPr>
                <w:rFonts w:ascii="Times New Roman" w:hAnsi="Times New Roman"/>
                <w:bCs/>
                <w:color w:val="000000" w:themeColor="text1"/>
              </w:rPr>
              <w:t>Regulas (ES) 2019/2033 14. pants.</w:t>
            </w:r>
          </w:p>
        </w:tc>
      </w:tr>
      <w:tr w:rsidR="006A39B0" w:rsidRPr="001B019C" w14:paraId="1ED51DD7" w14:textId="77777777">
        <w:tc>
          <w:tcPr>
            <w:tcW w:w="1129" w:type="dxa"/>
            <w:tcBorders>
              <w:top w:val="single" w:sz="4" w:space="0" w:color="auto"/>
              <w:bottom w:val="single" w:sz="4" w:space="0" w:color="auto"/>
            </w:tcBorders>
          </w:tcPr>
          <w:p w14:paraId="053CF843"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0140</w:t>
            </w:r>
          </w:p>
        </w:tc>
        <w:tc>
          <w:tcPr>
            <w:tcW w:w="7620" w:type="dxa"/>
            <w:tcBorders>
              <w:top w:val="single" w:sz="4" w:space="0" w:color="auto"/>
              <w:bottom w:val="single" w:sz="4" w:space="0" w:color="auto"/>
            </w:tcBorders>
          </w:tcPr>
          <w:p w14:paraId="0F0CE2EE"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K-faktora prasība</w:t>
            </w:r>
          </w:p>
          <w:p w14:paraId="7C6A8DF6" w14:textId="77777777" w:rsidR="006A39B0" w:rsidRPr="001B019C" w:rsidRDefault="001B019C">
            <w:pPr>
              <w:spacing w:after="120" w:line="240" w:lineRule="auto"/>
              <w:jc w:val="both"/>
              <w:rPr>
                <w:rFonts w:ascii="Times New Roman" w:eastAsia="Times New Roman" w:hAnsi="Times New Roman" w:cs="Times New Roman"/>
                <w:bCs/>
                <w:color w:val="000000" w:themeColor="text1"/>
              </w:rPr>
            </w:pPr>
            <w:r w:rsidRPr="001B019C">
              <w:rPr>
                <w:rFonts w:ascii="Times New Roman" w:hAnsi="Times New Roman"/>
                <w:bCs/>
                <w:color w:val="000000" w:themeColor="text1"/>
              </w:rPr>
              <w:t>Regulas (ES) 2019/2033 15. pants.</w:t>
            </w:r>
          </w:p>
        </w:tc>
      </w:tr>
      <w:tr w:rsidR="006A39B0" w:rsidRPr="001B019C" w14:paraId="5697D46D" w14:textId="77777777">
        <w:tc>
          <w:tcPr>
            <w:tcW w:w="1129" w:type="dxa"/>
            <w:tcBorders>
              <w:top w:val="single" w:sz="4" w:space="0" w:color="auto"/>
            </w:tcBorders>
          </w:tcPr>
          <w:p w14:paraId="70E6842A"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0150</w:t>
            </w:r>
          </w:p>
        </w:tc>
        <w:tc>
          <w:tcPr>
            <w:tcW w:w="7620" w:type="dxa"/>
            <w:tcBorders>
              <w:top w:val="single" w:sz="4" w:space="0" w:color="auto"/>
            </w:tcBorders>
          </w:tcPr>
          <w:p w14:paraId="56692EE6"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Aktīvi pārvaldīšanā</w:t>
            </w:r>
          </w:p>
          <w:p w14:paraId="1C392046" w14:textId="77777777" w:rsidR="006A39B0" w:rsidRPr="001B019C" w:rsidRDefault="001B019C">
            <w:pPr>
              <w:spacing w:after="120" w:line="240" w:lineRule="auto"/>
              <w:jc w:val="both"/>
              <w:rPr>
                <w:rFonts w:ascii="Times New Roman" w:eastAsia="Times New Roman" w:hAnsi="Times New Roman" w:cs="Times New Roman"/>
                <w:bCs/>
                <w:color w:val="000000" w:themeColor="text1"/>
              </w:rPr>
            </w:pPr>
            <w:r w:rsidRPr="001B019C">
              <w:rPr>
                <w:rFonts w:ascii="Times New Roman" w:hAnsi="Times New Roman"/>
                <w:bCs/>
                <w:color w:val="000000" w:themeColor="text1"/>
              </w:rPr>
              <w:t>Regulas (ES) 2019/2033 15. panta 2. punkts un 17. pants.</w:t>
            </w:r>
          </w:p>
        </w:tc>
      </w:tr>
      <w:tr w:rsidR="006A39B0" w:rsidRPr="001B019C" w14:paraId="6FDABE72" w14:textId="77777777">
        <w:tc>
          <w:tcPr>
            <w:tcW w:w="1129" w:type="dxa"/>
            <w:tcBorders>
              <w:top w:val="single" w:sz="4" w:space="0" w:color="auto"/>
            </w:tcBorders>
          </w:tcPr>
          <w:p w14:paraId="19BD3FE1"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0160</w:t>
            </w:r>
          </w:p>
        </w:tc>
        <w:tc>
          <w:tcPr>
            <w:tcW w:w="7620" w:type="dxa"/>
            <w:tcBorders>
              <w:top w:val="single" w:sz="4" w:space="0" w:color="auto"/>
            </w:tcBorders>
          </w:tcPr>
          <w:p w14:paraId="0C484BE5"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Turētā klientu nauda – nošķirtos kontos</w:t>
            </w:r>
          </w:p>
          <w:p w14:paraId="4C9449A9" w14:textId="77777777" w:rsidR="006A39B0" w:rsidRPr="001B019C" w:rsidRDefault="001B019C">
            <w:pPr>
              <w:spacing w:after="120" w:line="240" w:lineRule="auto"/>
              <w:jc w:val="both"/>
              <w:rPr>
                <w:rFonts w:ascii="Times New Roman" w:eastAsia="Times New Roman" w:hAnsi="Times New Roman" w:cs="Times New Roman"/>
                <w:bCs/>
                <w:color w:val="000000" w:themeColor="text1"/>
              </w:rPr>
            </w:pPr>
            <w:r w:rsidRPr="001B019C">
              <w:rPr>
                <w:rFonts w:ascii="Times New Roman" w:hAnsi="Times New Roman"/>
                <w:bCs/>
                <w:color w:val="000000" w:themeColor="text1"/>
              </w:rPr>
              <w:t>Regulas (ES) 2019/2033 15. panta 2. punkts un 18. pants.</w:t>
            </w:r>
          </w:p>
        </w:tc>
      </w:tr>
      <w:tr w:rsidR="006A39B0" w:rsidRPr="001B019C" w14:paraId="1BC580B9" w14:textId="77777777">
        <w:tc>
          <w:tcPr>
            <w:tcW w:w="1129" w:type="dxa"/>
            <w:tcBorders>
              <w:top w:val="single" w:sz="4" w:space="0" w:color="auto"/>
            </w:tcBorders>
          </w:tcPr>
          <w:p w14:paraId="35C90464"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0170</w:t>
            </w:r>
          </w:p>
        </w:tc>
        <w:tc>
          <w:tcPr>
            <w:tcW w:w="7620" w:type="dxa"/>
            <w:tcBorders>
              <w:top w:val="single" w:sz="4" w:space="0" w:color="auto"/>
            </w:tcBorders>
          </w:tcPr>
          <w:p w14:paraId="7BBA363C"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 xml:space="preserve">Turētā </w:t>
            </w:r>
            <w:r w:rsidRPr="001B019C">
              <w:rPr>
                <w:rFonts w:ascii="Times New Roman" w:hAnsi="Times New Roman"/>
                <w:b/>
                <w:bCs/>
                <w:u w:val="single"/>
              </w:rPr>
              <w:t>klientu nauda – nenošķirtos kontos</w:t>
            </w:r>
          </w:p>
          <w:p w14:paraId="31BF87B2" w14:textId="77777777" w:rsidR="006A39B0" w:rsidRPr="001B019C" w:rsidRDefault="001B019C">
            <w:pPr>
              <w:spacing w:after="120" w:line="240" w:lineRule="auto"/>
              <w:jc w:val="both"/>
              <w:rPr>
                <w:rFonts w:ascii="Times New Roman" w:eastAsia="Times New Roman" w:hAnsi="Times New Roman" w:cs="Times New Roman"/>
                <w:bCs/>
                <w:color w:val="000000" w:themeColor="text1"/>
              </w:rPr>
            </w:pPr>
            <w:r w:rsidRPr="001B019C">
              <w:rPr>
                <w:rFonts w:ascii="Times New Roman" w:hAnsi="Times New Roman"/>
                <w:bCs/>
                <w:color w:val="000000" w:themeColor="text1"/>
              </w:rPr>
              <w:t>Regulas (ES) 2019/2033 15. panta 2. punkts un 18. pants.</w:t>
            </w:r>
          </w:p>
        </w:tc>
      </w:tr>
      <w:tr w:rsidR="006A39B0" w:rsidRPr="001B019C" w14:paraId="060EA45E" w14:textId="77777777">
        <w:tc>
          <w:tcPr>
            <w:tcW w:w="1129" w:type="dxa"/>
            <w:tcBorders>
              <w:top w:val="single" w:sz="4" w:space="0" w:color="auto"/>
            </w:tcBorders>
          </w:tcPr>
          <w:p w14:paraId="02E7F082"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0180</w:t>
            </w:r>
          </w:p>
        </w:tc>
        <w:tc>
          <w:tcPr>
            <w:tcW w:w="7620" w:type="dxa"/>
            <w:tcBorders>
              <w:top w:val="single" w:sz="4" w:space="0" w:color="auto"/>
            </w:tcBorders>
          </w:tcPr>
          <w:p w14:paraId="170260A7" w14:textId="77777777" w:rsidR="006A39B0" w:rsidRPr="001B019C" w:rsidRDefault="001B019C">
            <w:pPr>
              <w:tabs>
                <w:tab w:val="left" w:pos="3948"/>
              </w:tabs>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Aktīvi, kurus glabā un pārvalda</w:t>
            </w:r>
          </w:p>
          <w:p w14:paraId="5142ADB4" w14:textId="77777777" w:rsidR="006A39B0" w:rsidRPr="001B019C" w:rsidRDefault="001B019C">
            <w:pPr>
              <w:spacing w:after="120" w:line="240" w:lineRule="auto"/>
              <w:jc w:val="both"/>
              <w:rPr>
                <w:rFonts w:ascii="Times New Roman" w:eastAsia="Times New Roman" w:hAnsi="Times New Roman" w:cs="Times New Roman"/>
                <w:bCs/>
                <w:color w:val="000000" w:themeColor="text1"/>
              </w:rPr>
            </w:pPr>
            <w:r w:rsidRPr="001B019C">
              <w:rPr>
                <w:rFonts w:ascii="Times New Roman" w:hAnsi="Times New Roman"/>
                <w:bCs/>
                <w:color w:val="000000" w:themeColor="text1"/>
              </w:rPr>
              <w:lastRenderedPageBreak/>
              <w:t xml:space="preserve">Regulas (ES) 2019/2033 15. panta 2. punkts un 19. pants. </w:t>
            </w:r>
          </w:p>
        </w:tc>
      </w:tr>
      <w:tr w:rsidR="006A39B0" w:rsidRPr="001B019C" w14:paraId="6E82521E" w14:textId="77777777">
        <w:tc>
          <w:tcPr>
            <w:tcW w:w="1129" w:type="dxa"/>
            <w:tcBorders>
              <w:top w:val="single" w:sz="4" w:space="0" w:color="auto"/>
            </w:tcBorders>
          </w:tcPr>
          <w:p w14:paraId="7AC452AE"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lastRenderedPageBreak/>
              <w:t>0190</w:t>
            </w:r>
          </w:p>
        </w:tc>
        <w:tc>
          <w:tcPr>
            <w:tcW w:w="7620" w:type="dxa"/>
            <w:tcBorders>
              <w:top w:val="single" w:sz="4" w:space="0" w:color="auto"/>
            </w:tcBorders>
          </w:tcPr>
          <w:p w14:paraId="58A4E7AD"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Apstrādātie klientu rīkojumi – naudas darījumi</w:t>
            </w:r>
          </w:p>
          <w:p w14:paraId="4958CB76" w14:textId="77777777" w:rsidR="006A39B0" w:rsidRPr="001B019C" w:rsidRDefault="001B019C">
            <w:pPr>
              <w:spacing w:after="120" w:line="240" w:lineRule="auto"/>
              <w:jc w:val="both"/>
              <w:rPr>
                <w:rFonts w:ascii="Times New Roman" w:eastAsia="Times New Roman" w:hAnsi="Times New Roman" w:cs="Times New Roman"/>
                <w:bCs/>
                <w:color w:val="000000" w:themeColor="text1"/>
              </w:rPr>
            </w:pPr>
            <w:r w:rsidRPr="001B019C">
              <w:rPr>
                <w:rFonts w:ascii="Times New Roman" w:hAnsi="Times New Roman"/>
                <w:bCs/>
                <w:color w:val="000000" w:themeColor="text1"/>
              </w:rPr>
              <w:t>Regulas (ES) 20</w:t>
            </w:r>
            <w:r w:rsidRPr="001B019C">
              <w:rPr>
                <w:rFonts w:ascii="Times New Roman" w:hAnsi="Times New Roman"/>
                <w:bCs/>
                <w:color w:val="000000" w:themeColor="text1"/>
              </w:rPr>
              <w:t>19/2033 15. panta 2. punkts, 20. panta 1. punkts un 20. panta 2. punkta a) apakšpunkts.</w:t>
            </w:r>
          </w:p>
        </w:tc>
      </w:tr>
      <w:tr w:rsidR="006A39B0" w:rsidRPr="001B019C" w14:paraId="144606A7" w14:textId="77777777">
        <w:tc>
          <w:tcPr>
            <w:tcW w:w="1129" w:type="dxa"/>
            <w:tcBorders>
              <w:top w:val="single" w:sz="4" w:space="0" w:color="auto"/>
            </w:tcBorders>
          </w:tcPr>
          <w:p w14:paraId="18954A74"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0200</w:t>
            </w:r>
          </w:p>
        </w:tc>
        <w:tc>
          <w:tcPr>
            <w:tcW w:w="7620" w:type="dxa"/>
            <w:tcBorders>
              <w:top w:val="single" w:sz="4" w:space="0" w:color="auto"/>
            </w:tcBorders>
          </w:tcPr>
          <w:p w14:paraId="3255F9DE"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Apstrādātie klientu rīkojumi – atvasināto instrumentu darījumi</w:t>
            </w:r>
          </w:p>
          <w:p w14:paraId="275F7631" w14:textId="77777777" w:rsidR="006A39B0" w:rsidRPr="001B019C" w:rsidRDefault="001B019C">
            <w:pPr>
              <w:spacing w:after="120" w:line="240" w:lineRule="auto"/>
              <w:jc w:val="both"/>
              <w:rPr>
                <w:rFonts w:ascii="Times New Roman" w:eastAsia="Times New Roman" w:hAnsi="Times New Roman" w:cs="Times New Roman"/>
                <w:bCs/>
                <w:color w:val="000000" w:themeColor="text1"/>
              </w:rPr>
            </w:pPr>
            <w:r w:rsidRPr="001B019C">
              <w:rPr>
                <w:rFonts w:ascii="Times New Roman" w:hAnsi="Times New Roman"/>
                <w:bCs/>
                <w:color w:val="000000" w:themeColor="text1"/>
              </w:rPr>
              <w:t xml:space="preserve">Regulas (ES) 2019/2033 15. panta 2. punkts, 20. panta 1. punkts un 20. panta 2. punkta </w:t>
            </w:r>
            <w:r w:rsidRPr="001B019C">
              <w:rPr>
                <w:rFonts w:ascii="Times New Roman" w:hAnsi="Times New Roman"/>
                <w:bCs/>
                <w:color w:val="000000" w:themeColor="text1"/>
              </w:rPr>
              <w:t>b) apakšpunkts.</w:t>
            </w:r>
          </w:p>
        </w:tc>
      </w:tr>
      <w:tr w:rsidR="006A39B0" w:rsidRPr="001B019C" w14:paraId="68ED1B4F" w14:textId="77777777">
        <w:tc>
          <w:tcPr>
            <w:tcW w:w="1129" w:type="dxa"/>
            <w:tcBorders>
              <w:top w:val="single" w:sz="4" w:space="0" w:color="auto"/>
            </w:tcBorders>
          </w:tcPr>
          <w:p w14:paraId="5D79E7C5"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0210</w:t>
            </w:r>
          </w:p>
        </w:tc>
        <w:tc>
          <w:tcPr>
            <w:tcW w:w="7620" w:type="dxa"/>
            <w:tcBorders>
              <w:top w:val="single" w:sz="4" w:space="0" w:color="auto"/>
            </w:tcBorders>
          </w:tcPr>
          <w:p w14:paraId="28BD45C3"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K-faktora neto pozīciju riska prasība</w:t>
            </w:r>
          </w:p>
          <w:p w14:paraId="002A117A" w14:textId="77777777" w:rsidR="006A39B0" w:rsidRPr="001B019C" w:rsidRDefault="001B019C">
            <w:pPr>
              <w:spacing w:after="120" w:line="240" w:lineRule="auto"/>
              <w:jc w:val="both"/>
              <w:rPr>
                <w:rFonts w:ascii="Times New Roman" w:eastAsia="Times New Roman" w:hAnsi="Times New Roman" w:cs="Times New Roman"/>
                <w:bCs/>
                <w:color w:val="000000" w:themeColor="text1"/>
              </w:rPr>
            </w:pPr>
            <w:r w:rsidRPr="001B019C">
              <w:rPr>
                <w:rFonts w:ascii="Times New Roman" w:hAnsi="Times New Roman"/>
                <w:bCs/>
                <w:color w:val="000000" w:themeColor="text1"/>
              </w:rPr>
              <w:t>Regulas (ES) 2019/2033 22. pants.</w:t>
            </w:r>
          </w:p>
        </w:tc>
      </w:tr>
      <w:tr w:rsidR="006A39B0" w:rsidRPr="001B019C" w14:paraId="60978DB4" w14:textId="77777777">
        <w:tc>
          <w:tcPr>
            <w:tcW w:w="1129" w:type="dxa"/>
            <w:tcBorders>
              <w:top w:val="single" w:sz="4" w:space="0" w:color="auto"/>
            </w:tcBorders>
          </w:tcPr>
          <w:p w14:paraId="6B3D830F"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0220</w:t>
            </w:r>
          </w:p>
        </w:tc>
        <w:tc>
          <w:tcPr>
            <w:tcW w:w="7620" w:type="dxa"/>
            <w:tcBorders>
              <w:top w:val="single" w:sz="4" w:space="0" w:color="auto"/>
            </w:tcBorders>
          </w:tcPr>
          <w:p w14:paraId="31D9CB1D"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Sniegtā tīrvērtes drošības rezerve</w:t>
            </w:r>
          </w:p>
          <w:p w14:paraId="0B51EA56" w14:textId="77777777" w:rsidR="006A39B0" w:rsidRPr="001B019C" w:rsidRDefault="001B019C">
            <w:pPr>
              <w:spacing w:after="120" w:line="240" w:lineRule="auto"/>
              <w:jc w:val="both"/>
              <w:rPr>
                <w:rFonts w:ascii="Times New Roman" w:eastAsia="Times New Roman" w:hAnsi="Times New Roman" w:cs="Times New Roman"/>
                <w:bCs/>
                <w:color w:val="000000" w:themeColor="text1"/>
              </w:rPr>
            </w:pPr>
            <w:r w:rsidRPr="001B019C">
              <w:rPr>
                <w:rFonts w:ascii="Times New Roman" w:hAnsi="Times New Roman"/>
                <w:bCs/>
                <w:color w:val="000000" w:themeColor="text1"/>
              </w:rPr>
              <w:t>Regulas (ES) 2019/2033 23. panta 2. punkts.</w:t>
            </w:r>
          </w:p>
        </w:tc>
      </w:tr>
      <w:tr w:rsidR="006A39B0" w:rsidRPr="001B019C" w14:paraId="5F2E59AC" w14:textId="77777777">
        <w:tc>
          <w:tcPr>
            <w:tcW w:w="1129" w:type="dxa"/>
            <w:tcBorders>
              <w:top w:val="single" w:sz="4" w:space="0" w:color="auto"/>
            </w:tcBorders>
          </w:tcPr>
          <w:p w14:paraId="31240F87"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0230</w:t>
            </w:r>
          </w:p>
        </w:tc>
        <w:tc>
          <w:tcPr>
            <w:tcW w:w="7620" w:type="dxa"/>
            <w:tcBorders>
              <w:top w:val="single" w:sz="4" w:space="0" w:color="auto"/>
            </w:tcBorders>
          </w:tcPr>
          <w:p w14:paraId="4F747F6A"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Tirdzniecības darījuma partnera saistību nepildīšana</w:t>
            </w:r>
          </w:p>
          <w:p w14:paraId="4348E963" w14:textId="77777777" w:rsidR="006A39B0" w:rsidRPr="001B019C" w:rsidRDefault="001B019C">
            <w:pPr>
              <w:spacing w:after="120" w:line="240" w:lineRule="auto"/>
              <w:jc w:val="both"/>
              <w:rPr>
                <w:rFonts w:ascii="Times New Roman" w:eastAsia="Times New Roman" w:hAnsi="Times New Roman" w:cs="Times New Roman"/>
                <w:bCs/>
                <w:color w:val="000000" w:themeColor="text1"/>
              </w:rPr>
            </w:pPr>
            <w:r w:rsidRPr="001B019C">
              <w:rPr>
                <w:rFonts w:ascii="Times New Roman" w:hAnsi="Times New Roman"/>
                <w:bCs/>
                <w:color w:val="000000" w:themeColor="text1"/>
              </w:rPr>
              <w:t>Regulas (ES) 2019/</w:t>
            </w:r>
            <w:r w:rsidRPr="001B019C">
              <w:rPr>
                <w:rFonts w:ascii="Times New Roman" w:hAnsi="Times New Roman"/>
                <w:bCs/>
                <w:color w:val="000000" w:themeColor="text1"/>
              </w:rPr>
              <w:t>2033 26. pants un 24. pants.</w:t>
            </w:r>
          </w:p>
        </w:tc>
      </w:tr>
      <w:tr w:rsidR="006A39B0" w:rsidRPr="001B019C" w14:paraId="138B7A7B" w14:textId="77777777">
        <w:tc>
          <w:tcPr>
            <w:tcW w:w="1129" w:type="dxa"/>
            <w:tcBorders>
              <w:top w:val="single" w:sz="4" w:space="0" w:color="auto"/>
            </w:tcBorders>
          </w:tcPr>
          <w:p w14:paraId="10330C1B"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0240</w:t>
            </w:r>
          </w:p>
        </w:tc>
        <w:tc>
          <w:tcPr>
            <w:tcW w:w="7620" w:type="dxa"/>
            <w:tcBorders>
              <w:top w:val="single" w:sz="4" w:space="0" w:color="auto"/>
            </w:tcBorders>
          </w:tcPr>
          <w:p w14:paraId="11641B83"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Dienas tirdzniecības plūsma – naudas darījumi</w:t>
            </w:r>
          </w:p>
          <w:p w14:paraId="488030CE" w14:textId="77777777" w:rsidR="006A39B0" w:rsidRPr="001B019C" w:rsidRDefault="001B019C">
            <w:pPr>
              <w:spacing w:after="120" w:line="240" w:lineRule="auto"/>
              <w:jc w:val="both"/>
              <w:rPr>
                <w:rFonts w:ascii="Times New Roman" w:eastAsia="Times New Roman" w:hAnsi="Times New Roman" w:cs="Times New Roman"/>
                <w:bCs/>
                <w:color w:val="000000" w:themeColor="text1"/>
              </w:rPr>
            </w:pPr>
            <w:r w:rsidRPr="001B019C">
              <w:rPr>
                <w:rFonts w:ascii="Times New Roman" w:hAnsi="Times New Roman"/>
                <w:bCs/>
                <w:color w:val="000000" w:themeColor="text1"/>
              </w:rPr>
              <w:t>Lai aprēķinātu K-faktora prasību, ieguldījumu brokeru sabiedrības to uzrāda, piemērojot Regulas (ES) 2019/2033 15. panta 2. punktā minēto koeficientu.</w:t>
            </w:r>
          </w:p>
          <w:p w14:paraId="78DD1BDC" w14:textId="77777777" w:rsidR="006A39B0" w:rsidRPr="001B019C" w:rsidRDefault="001B019C">
            <w:pPr>
              <w:spacing w:after="120" w:line="240" w:lineRule="auto"/>
              <w:jc w:val="both"/>
              <w:rPr>
                <w:rFonts w:ascii="Times New Roman" w:eastAsia="Times New Roman" w:hAnsi="Times New Roman" w:cs="Times New Roman"/>
                <w:bCs/>
                <w:i/>
                <w:color w:val="000000" w:themeColor="text1"/>
              </w:rPr>
            </w:pPr>
            <w:r w:rsidRPr="001B019C">
              <w:rPr>
                <w:rFonts w:ascii="Times New Roman" w:hAnsi="Times New Roman"/>
                <w:bCs/>
                <w:color w:val="000000" w:themeColor="text1"/>
              </w:rPr>
              <w:t xml:space="preserve">Ja tirgus </w:t>
            </w:r>
            <w:r w:rsidRPr="001B019C">
              <w:rPr>
                <w:rFonts w:ascii="Times New Roman" w:hAnsi="Times New Roman"/>
                <w:bCs/>
                <w:color w:val="000000" w:themeColor="text1"/>
              </w:rPr>
              <w:t>apstākļi ir saspringti, ieguldījumu brokeru sabiedrības saskaņā ar Regulas (ES) 2019/2033 15. panta 5. punkta c) apakšpunktu piemēro koriģētu koeficientu, kā norādīts minētajā punktā.</w:t>
            </w:r>
          </w:p>
          <w:p w14:paraId="5582BCA2" w14:textId="77777777" w:rsidR="006A39B0" w:rsidRPr="001B019C" w:rsidRDefault="001B019C">
            <w:pPr>
              <w:spacing w:after="120" w:line="240" w:lineRule="auto"/>
              <w:jc w:val="both"/>
              <w:rPr>
                <w:rFonts w:ascii="Times New Roman" w:eastAsia="Times New Roman" w:hAnsi="Times New Roman" w:cs="Times New Roman"/>
                <w:bCs/>
                <w:color w:val="000000" w:themeColor="text1"/>
              </w:rPr>
            </w:pPr>
            <w:r w:rsidRPr="001B019C">
              <w:rPr>
                <w:rFonts w:ascii="Times New Roman" w:hAnsi="Times New Roman"/>
                <w:bCs/>
                <w:color w:val="000000" w:themeColor="text1"/>
              </w:rPr>
              <w:t>Dienas tirdzniecības plūsmas faktoru aprēķina saskaņā ar Regulas (ES) 20</w:t>
            </w:r>
            <w:r w:rsidRPr="001B019C">
              <w:rPr>
                <w:rFonts w:ascii="Times New Roman" w:hAnsi="Times New Roman"/>
                <w:bCs/>
                <w:color w:val="000000" w:themeColor="text1"/>
              </w:rPr>
              <w:t>19/2033 33. panta 2. punkta a) apakšpunktu.</w:t>
            </w:r>
          </w:p>
        </w:tc>
      </w:tr>
      <w:tr w:rsidR="006A39B0" w:rsidRPr="001B019C" w14:paraId="579F9219" w14:textId="77777777">
        <w:tc>
          <w:tcPr>
            <w:tcW w:w="1129" w:type="dxa"/>
            <w:tcBorders>
              <w:top w:val="single" w:sz="4" w:space="0" w:color="auto"/>
            </w:tcBorders>
          </w:tcPr>
          <w:p w14:paraId="68E67C2D"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0250</w:t>
            </w:r>
          </w:p>
        </w:tc>
        <w:tc>
          <w:tcPr>
            <w:tcW w:w="7620" w:type="dxa"/>
            <w:tcBorders>
              <w:top w:val="single" w:sz="4" w:space="0" w:color="auto"/>
            </w:tcBorders>
          </w:tcPr>
          <w:p w14:paraId="6D36ACBA"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Dienas tirdzniecības plūsma – darījumi ar atvasinātajiem instrumentiem</w:t>
            </w:r>
          </w:p>
          <w:p w14:paraId="658D485D" w14:textId="77777777" w:rsidR="006A39B0" w:rsidRPr="001B019C" w:rsidRDefault="001B019C">
            <w:pPr>
              <w:spacing w:after="120" w:line="240" w:lineRule="auto"/>
              <w:jc w:val="both"/>
              <w:rPr>
                <w:rFonts w:ascii="Times New Roman" w:eastAsia="Times New Roman" w:hAnsi="Times New Roman" w:cs="Times New Roman"/>
                <w:bCs/>
                <w:color w:val="000000" w:themeColor="text1"/>
              </w:rPr>
            </w:pPr>
            <w:r w:rsidRPr="001B019C">
              <w:rPr>
                <w:rFonts w:ascii="Times New Roman" w:hAnsi="Times New Roman"/>
                <w:bCs/>
                <w:color w:val="000000" w:themeColor="text1"/>
              </w:rPr>
              <w:t xml:space="preserve">Lai aprēķinātu K-faktora prasību, ieguldījumu brokeru sabiedrības to uzrāda, piemērojot Regulas (ES) 2019/2033 15. panta </w:t>
            </w:r>
            <w:r w:rsidRPr="001B019C">
              <w:rPr>
                <w:rFonts w:ascii="Times New Roman" w:hAnsi="Times New Roman"/>
                <w:bCs/>
                <w:color w:val="000000" w:themeColor="text1"/>
              </w:rPr>
              <w:t>2. punktā minēto koeficientu.</w:t>
            </w:r>
          </w:p>
          <w:p w14:paraId="781E0E18" w14:textId="77777777" w:rsidR="006A39B0" w:rsidRPr="001B019C" w:rsidRDefault="001B019C">
            <w:pPr>
              <w:spacing w:after="120" w:line="240" w:lineRule="auto"/>
              <w:jc w:val="both"/>
              <w:rPr>
                <w:rFonts w:ascii="Times New Roman" w:eastAsia="Times New Roman" w:hAnsi="Times New Roman" w:cs="Times New Roman"/>
                <w:bCs/>
                <w:i/>
                <w:color w:val="000000" w:themeColor="text1"/>
              </w:rPr>
            </w:pPr>
            <w:r w:rsidRPr="001B019C">
              <w:rPr>
                <w:rFonts w:ascii="Times New Roman" w:hAnsi="Times New Roman"/>
                <w:bCs/>
                <w:color w:val="000000" w:themeColor="text1"/>
              </w:rPr>
              <w:t>Ja tirgus apstākļi ir saspringti, ieguldījumu brokeru sabiedrības saskaņā ar Regulas (ES) 2019/2033 15. panta 5. punkta c) apakšpunktu piemēro koriģētu koeficientu, kā norādīts minētajā punktā.</w:t>
            </w:r>
          </w:p>
          <w:p w14:paraId="340FA7A7" w14:textId="77777777" w:rsidR="006A39B0" w:rsidRPr="001B019C" w:rsidRDefault="001B019C">
            <w:pPr>
              <w:spacing w:after="120" w:line="240" w:lineRule="auto"/>
              <w:jc w:val="both"/>
              <w:rPr>
                <w:rFonts w:ascii="Times New Roman" w:eastAsia="Times New Roman" w:hAnsi="Times New Roman" w:cs="Times New Roman"/>
                <w:bCs/>
                <w:color w:val="000000" w:themeColor="text1"/>
              </w:rPr>
            </w:pPr>
            <w:r w:rsidRPr="001B019C">
              <w:rPr>
                <w:rFonts w:ascii="Times New Roman" w:hAnsi="Times New Roman"/>
                <w:bCs/>
                <w:color w:val="000000" w:themeColor="text1"/>
              </w:rPr>
              <w:t>Dienas tirdzniecības plūsmas fak</w:t>
            </w:r>
            <w:r w:rsidRPr="001B019C">
              <w:rPr>
                <w:rFonts w:ascii="Times New Roman" w:hAnsi="Times New Roman"/>
                <w:bCs/>
                <w:color w:val="000000" w:themeColor="text1"/>
              </w:rPr>
              <w:t>toru aprēķina saskaņā ar Regulas (ES) 2019/2033 33. panta 2. punkta b) apakšpunktu.</w:t>
            </w:r>
          </w:p>
        </w:tc>
      </w:tr>
      <w:tr w:rsidR="006A39B0" w:rsidRPr="001B019C" w14:paraId="03408A4E" w14:textId="77777777">
        <w:tc>
          <w:tcPr>
            <w:tcW w:w="1129" w:type="dxa"/>
            <w:tcBorders>
              <w:top w:val="single" w:sz="4" w:space="0" w:color="auto"/>
            </w:tcBorders>
          </w:tcPr>
          <w:p w14:paraId="1FB4C085"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0260</w:t>
            </w:r>
          </w:p>
        </w:tc>
        <w:tc>
          <w:tcPr>
            <w:tcW w:w="7620" w:type="dxa"/>
            <w:tcBorders>
              <w:top w:val="single" w:sz="4" w:space="0" w:color="auto"/>
            </w:tcBorders>
          </w:tcPr>
          <w:p w14:paraId="744A7652"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K-faktora koncentrācijas risks</w:t>
            </w:r>
          </w:p>
          <w:p w14:paraId="67AA16FB" w14:textId="77777777" w:rsidR="006A39B0" w:rsidRPr="001B019C" w:rsidRDefault="001B019C">
            <w:pPr>
              <w:spacing w:after="120" w:line="240" w:lineRule="auto"/>
              <w:jc w:val="both"/>
              <w:rPr>
                <w:rFonts w:ascii="Times New Roman" w:eastAsia="Times New Roman" w:hAnsi="Times New Roman" w:cs="Times New Roman"/>
                <w:bCs/>
                <w:color w:val="000000" w:themeColor="text1"/>
              </w:rPr>
            </w:pPr>
            <w:r w:rsidRPr="001B019C">
              <w:rPr>
                <w:rFonts w:ascii="Times New Roman" w:hAnsi="Times New Roman"/>
                <w:bCs/>
                <w:color w:val="000000" w:themeColor="text1"/>
              </w:rPr>
              <w:t>Regulas (ES) 2019/2033 37. panta 2. punkts, 39. pants un 24. pants.</w:t>
            </w:r>
          </w:p>
        </w:tc>
      </w:tr>
      <w:tr w:rsidR="006A39B0" w14:paraId="48AAA7B0" w14:textId="77777777">
        <w:tc>
          <w:tcPr>
            <w:tcW w:w="1129" w:type="dxa"/>
            <w:tcBorders>
              <w:top w:val="single" w:sz="4" w:space="0" w:color="auto"/>
            </w:tcBorders>
          </w:tcPr>
          <w:p w14:paraId="5E06941F" w14:textId="77777777" w:rsidR="006A39B0" w:rsidRPr="001B019C" w:rsidRDefault="001B019C">
            <w:pPr>
              <w:spacing w:after="120" w:line="240" w:lineRule="auto"/>
              <w:jc w:val="both"/>
              <w:rPr>
                <w:rFonts w:ascii="Times New Roman" w:eastAsia="Times New Roman" w:hAnsi="Times New Roman" w:cs="Times New Roman"/>
                <w:bCs/>
              </w:rPr>
            </w:pPr>
            <w:r w:rsidRPr="001B019C">
              <w:rPr>
                <w:rFonts w:ascii="Times New Roman" w:hAnsi="Times New Roman"/>
                <w:bCs/>
              </w:rPr>
              <w:t>0270</w:t>
            </w:r>
          </w:p>
        </w:tc>
        <w:tc>
          <w:tcPr>
            <w:tcW w:w="7620" w:type="dxa"/>
            <w:tcBorders>
              <w:top w:val="single" w:sz="4" w:space="0" w:color="auto"/>
            </w:tcBorders>
          </w:tcPr>
          <w:p w14:paraId="3D6D5589" w14:textId="77777777" w:rsidR="006A39B0" w:rsidRPr="001B019C" w:rsidRDefault="001B019C">
            <w:pPr>
              <w:spacing w:after="120" w:line="240" w:lineRule="auto"/>
              <w:jc w:val="both"/>
              <w:rPr>
                <w:rFonts w:ascii="Times New Roman" w:eastAsia="Times New Roman" w:hAnsi="Times New Roman" w:cs="Times New Roman"/>
                <w:b/>
                <w:bCs/>
                <w:u w:val="single"/>
              </w:rPr>
            </w:pPr>
            <w:r w:rsidRPr="001B019C">
              <w:rPr>
                <w:rFonts w:ascii="Times New Roman" w:hAnsi="Times New Roman"/>
                <w:b/>
                <w:bCs/>
                <w:u w:val="single"/>
              </w:rPr>
              <w:t>Fiksēto pieskaitāmo izdevumu prasības</w:t>
            </w:r>
          </w:p>
          <w:p w14:paraId="2677454F" w14:textId="77777777" w:rsidR="006A39B0" w:rsidRDefault="001B019C">
            <w:pPr>
              <w:spacing w:after="120" w:line="240" w:lineRule="auto"/>
              <w:jc w:val="both"/>
              <w:rPr>
                <w:rFonts w:ascii="Times New Roman" w:eastAsia="Times New Roman" w:hAnsi="Times New Roman" w:cs="Times New Roman"/>
                <w:bCs/>
                <w:color w:val="000000" w:themeColor="text1"/>
              </w:rPr>
            </w:pPr>
            <w:r w:rsidRPr="001B019C">
              <w:rPr>
                <w:rFonts w:ascii="Times New Roman" w:hAnsi="Times New Roman"/>
                <w:bCs/>
                <w:color w:val="000000" w:themeColor="text1"/>
              </w:rPr>
              <w:t xml:space="preserve">Regulas (ES) 2019/2033 </w:t>
            </w:r>
            <w:r w:rsidRPr="001B019C">
              <w:rPr>
                <w:rFonts w:ascii="Times New Roman" w:hAnsi="Times New Roman"/>
                <w:bCs/>
                <w:color w:val="000000" w:themeColor="text1"/>
              </w:rPr>
              <w:t>13. pants.</w:t>
            </w:r>
          </w:p>
        </w:tc>
      </w:tr>
    </w:tbl>
    <w:p w14:paraId="55EFE96C" w14:textId="77777777" w:rsidR="006A39B0" w:rsidRDefault="006A39B0">
      <w:pPr>
        <w:pStyle w:val="Instructionsberschrift2"/>
        <w:ind w:left="357" w:hanging="357"/>
        <w:rPr>
          <w:lang w:val="en-IE"/>
        </w:rPr>
      </w:pPr>
    </w:p>
    <w:sectPr w:rsidR="006A39B0">
      <w:headerReference w:type="even" r:id="rId9"/>
      <w:headerReference w:type="default" r:id="rId10"/>
      <w:footerReference w:type="default" r:id="rId11"/>
      <w:headerReference w:type="first" r:id="rId12"/>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C18354" w14:textId="77777777" w:rsidR="006A39B0" w:rsidRDefault="006A39B0">
      <w:pPr>
        <w:pStyle w:val="Footer"/>
      </w:pPr>
    </w:p>
  </w:endnote>
  <w:endnote w:type="continuationSeparator" w:id="0">
    <w:p w14:paraId="65241354" w14:textId="77777777" w:rsidR="006A39B0" w:rsidRDefault="006A39B0">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D426B" w14:textId="77777777" w:rsidR="006A39B0" w:rsidRDefault="001B019C">
    <w:pPr>
      <w:pStyle w:val="Footer"/>
      <w:tabs>
        <w:tab w:val="clear" w:pos="4513"/>
        <w:tab w:val="clear" w:pos="9026"/>
        <w:tab w:val="right" w:pos="9071"/>
      </w:tabs>
    </w:pPr>
    <w:r>
      <w:t>LV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11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DAAFF2" w14:textId="77777777" w:rsidR="006A39B0" w:rsidRDefault="006A39B0">
      <w:pPr>
        <w:pStyle w:val="Footer"/>
      </w:pPr>
    </w:p>
  </w:footnote>
  <w:footnote w:type="continuationSeparator" w:id="0">
    <w:p w14:paraId="1F189823" w14:textId="77777777" w:rsidR="006A39B0" w:rsidRDefault="006A39B0">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47778" w14:textId="77777777" w:rsidR="006A39B0" w:rsidRDefault="001B019C">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95095" w14:textId="3707C03B" w:rsidR="006A39B0" w:rsidRDefault="001B019C">
    <w:pPr>
      <w:pStyle w:val="Header"/>
    </w:pPr>
    <w:r>
      <w:rPr>
        <w:noProof/>
      </w:rPr>
      <mc:AlternateContent>
        <mc:Choice Requires="wps">
          <w:drawing>
            <wp:anchor distT="0" distB="0" distL="114300" distR="114300" simplePos="0" relativeHeight="251659264" behindDoc="0" locked="0" layoutInCell="0" allowOverlap="1" wp14:anchorId="3F666955" wp14:editId="532622B6">
              <wp:simplePos x="0" y="0"/>
              <wp:positionH relativeFrom="page">
                <wp:posOffset>0</wp:posOffset>
              </wp:positionH>
              <wp:positionV relativeFrom="page">
                <wp:posOffset>190500</wp:posOffset>
              </wp:positionV>
              <wp:extent cx="7560310" cy="273050"/>
              <wp:effectExtent l="0" t="0" r="0" b="12700"/>
              <wp:wrapNone/>
              <wp:docPr id="1" name="MSIPCMf28e43ad85ec954efc6f1f96"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7B0C5E2" w14:textId="13F09C94" w:rsidR="001B019C" w:rsidRPr="001B019C" w:rsidRDefault="001B019C" w:rsidP="001B019C">
                          <w:pPr>
                            <w:spacing w:after="0"/>
                            <w:rPr>
                              <w:rFonts w:ascii="Calibri" w:hAnsi="Calibri" w:cs="Calibri"/>
                              <w:color w:val="000000"/>
                              <w:sz w:val="24"/>
                            </w:rPr>
                          </w:pPr>
                          <w:r w:rsidRPr="001B019C">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3F666955" id="_x0000_t202" coordsize="21600,21600" o:spt="202" path="m,l,21600r21600,l21600,xe">
              <v:stroke joinstyle="miter"/>
              <v:path gradientshapeok="t" o:connecttype="rect"/>
            </v:shapetype>
            <v:shape id="MSIPCMf28e43ad85ec954efc6f1f96"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60usAIAAEcFAAAOAAAAZHJzL2Uyb0RvYy54bWysVE1v2zAMvQ/YfxB02Gmt7cROk6xOkaXo&#10;FiBtA6RDz4osxQZsSZWUxtmw/z5KltO122nYxaZIih+Pj7q8apsaPTNtKilynJzHGDFBZVGJXY6/&#10;PdycjTEyloiC1FKwHB+ZwVez9+8uD2rKBrKUdcE0giDCTA8qx6W1ahpFhpasIeZcKibAyKVuiIWj&#10;3kWFJgeI3tTRII5H0UHqQmlJmTGgve6MeObjc86ovefcMIvqHENt1n+1/27dN5pdkulOE1VWNJRB&#10;/qGKhlQCkp5CXRNL0F5Xf4RqKqqlkdyeU9lEkvOKMt8DdJPEb7rZlEQx3wuAY9QJJvP/wtK757VG&#10;VQGzw0iQBkZ0u1muF7d8MGbpkBTjjNFJljJORzzhkxFGBTMUEPzx4Wkv7aevxJQLWbDuND1LR6M0&#10;SbL44mOws2pX2mAdp8CQYHisClsGfTbJTvp1TShrmOjv9GEIEKWTQ4ClKFgbAnS/ta4aoo+vvDZA&#10;AeBm8EvC3QepgiY+JV4x3ucE5U9HjYMyU0BoowAj236WrYMp6A0o3cRbrhv3h1kisAPJjidisdYi&#10;CsqLbBQPEzBRsA0uhnHmmRe93Fba2C9MNsgJOdZQtecTeV4ZCxnBtXdxyYS8qerak7cW6JDj0RBC&#10;vrLAjVrARddDV6uTbLttQwNbWRyhLy27pTCK3lSQfEWMXRMNWwD1wmbbe/jwWkISGSSMSqm//03v&#10;/IGcYMXoAFuVY/O0J5phVC8F0HaQpXHs9tCfQNBemCRpCodtrxX7ZiFhY4GTUJYXna+te5Fr2TzC&#10;5s9dOjARQSFpjm0vLiycwAAvB2XzuZdh4xSxK7FR1IV2aDlMH9pHolUA3sLI7mS/eGT6Bv/Ot8N5&#10;vreSV344DtkOzgA4bKufWXhZ3HPw+9l7vbx/s18AAAD//wMAUEsDBBQABgAIAAAAIQBpAd4j3AAA&#10;AAcBAAAPAAAAZHJzL2Rvd25yZXYueG1sTI/BTsMwEETvSPyDtUjcqF0qFZpmU6EgDkgcoOUDnHhJ&#10;AvE6irdp+ve4JzitRjOaeZvvZt+ricbYBUZYLgwo4jq4jhuEz8PL3SOoKJad7QMTwpki7Irrq9xm&#10;Lpz4g6a9NCqVcMwsQisyZFrHuiVv4yIMxMn7CqO3kuTYaDfaUyr3vb43Zq297TgttHagsqX6Z3/0&#10;CGX57g5nad74+bubK1e9TrUfEG9v5qctKKFZ/sJwwU/oUCSmKhzZRdUjpEcEYWXSvbjLjVmDqhAe&#10;VgZ0kev//MUvAAAA//8DAFBLAQItABQABgAIAAAAIQC2gziS/gAAAOEBAAATAAAAAAAAAAAAAAAA&#10;AAAAAABbQ29udGVudF9UeXBlc10ueG1sUEsBAi0AFAAGAAgAAAAhADj9If/WAAAAlAEAAAsAAAAA&#10;AAAAAAAAAAAALwEAAF9yZWxzLy5yZWxzUEsBAi0AFAAGAAgAAAAhAGXLrS6wAgAARwUAAA4AAAAA&#10;AAAAAAAAAAAALgIAAGRycy9lMm9Eb2MueG1sUEsBAi0AFAAGAAgAAAAhAGkB3iPcAAAABwEAAA8A&#10;AAAAAAAAAAAAAAAACgUAAGRycy9kb3ducmV2LnhtbFBLBQYAAAAABAAEAPMAAAATBgAAAAA=&#10;" o:allowincell="f" filled="f" stroked="f" strokeweight=".5pt">
              <v:fill o:detectmouseclick="t"/>
              <v:textbox inset="20pt,0,,0">
                <w:txbxContent>
                  <w:p w14:paraId="37B0C5E2" w14:textId="13F09C94" w:rsidR="001B019C" w:rsidRPr="001B019C" w:rsidRDefault="001B019C" w:rsidP="001B019C">
                    <w:pPr>
                      <w:spacing w:after="0"/>
                      <w:rPr>
                        <w:rFonts w:ascii="Calibri" w:hAnsi="Calibri" w:cs="Calibri"/>
                        <w:color w:val="000000"/>
                        <w:sz w:val="24"/>
                      </w:rPr>
                    </w:pPr>
                    <w:r w:rsidRPr="001B019C">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BD56C8" w14:textId="77777777" w:rsidR="006A39B0" w:rsidRDefault="001B019C">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5"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9DE1B7E"/>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5"/>
  </w:num>
  <w:num w:numId="3">
    <w:abstractNumId w:val="11"/>
  </w:num>
  <w:num w:numId="4">
    <w:abstractNumId w:val="0"/>
  </w:num>
  <w:num w:numId="5">
    <w:abstractNumId w:val="3"/>
  </w:num>
  <w:num w:numId="6">
    <w:abstractNumId w:val="1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20"/>
  <w:hyphenationZone w:val="283"/>
  <w:characterSpacingControl w:val="doNotCompress"/>
  <w:hdrShapeDefaults>
    <o:shapedefaults v:ext="edit" spidmax="140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A39B0"/>
    <w:rsid w:val="001B019C"/>
    <w:rsid w:val="006A39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0289"/>
    <o:shapelayout v:ext="edit">
      <o:idmap v:ext="edit" data="1"/>
    </o:shapelayout>
  </w:shapeDefaults>
  <w:decimalSymbol w:val="."/>
  <w:listSeparator w:val=","/>
  <w14:docId w14:val="411A8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lv-LV"/>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character" w:customStyle="1" w:styleId="InstructionsTabelleText">
    <w:name w:val="Instructions Tabelle Text"/>
    <w:rPr>
      <w:rFonts w:ascii="Verdana" w:hAnsi="Verdana" w:cs="Times New Roman"/>
      <w:sz w:val="20"/>
    </w:rPr>
  </w:style>
  <w:style w:type="paragraph" w:styleId="Re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A85FC6D1-714D-4678-BB3E-093D3B3A4AD0}">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3690</Words>
  <Characters>21033</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2021-11-25T14:58:00Z</dcterms:created>
  <dcterms:modified xsi:type="dcterms:W3CDTF">2022-01-14T16:52:00Z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2022-01-14T16:52:39Z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1a7369e1-6742-4797-a06b-b602ed514fd9</vt:lpwstr>
  </property>
  <property fmtid="{D5CDD505-2E9C-101B-9397-08002B2CF9AE}" pid="8" name="MSIP_Label_5c7eb9de-735b-4a68-8fe4-c9c62709b012_ContentBits">
    <vt:lpwstr>1</vt:lpwstr>
  </property>
</Properties>
</file>