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280F5" w14:textId="77777777" w:rsidR="00FA0C6F" w:rsidRPr="00990A2C" w:rsidRDefault="00990A2C">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990A2C">
        <w:rPr>
          <w:rFonts w:ascii="Times New Roman" w:hAnsi="Times New Roman"/>
          <w:b/>
          <w:sz w:val="24"/>
          <w:szCs w:val="24"/>
        </w:rPr>
        <w:t>HR</w:t>
      </w:r>
      <w:r w:rsidRPr="00990A2C">
        <w:br/>
      </w:r>
      <w:r w:rsidRPr="00990A2C">
        <w:rPr>
          <w:rFonts w:ascii="Times New Roman" w:hAnsi="Times New Roman"/>
          <w:b/>
          <w:sz w:val="24"/>
          <w:szCs w:val="20"/>
        </w:rPr>
        <w:t>PRILOG IV.</w:t>
      </w:r>
    </w:p>
    <w:p w14:paraId="395A2812" w14:textId="77777777" w:rsidR="00FA0C6F" w:rsidRPr="00990A2C" w:rsidRDefault="00990A2C">
      <w:pPr>
        <w:spacing w:after="240" w:line="240" w:lineRule="auto"/>
        <w:jc w:val="center"/>
        <w:rPr>
          <w:rFonts w:ascii="Times New Roman" w:eastAsia="Times New Roman" w:hAnsi="Times New Roman" w:cs="Times New Roman"/>
          <w:b/>
          <w:sz w:val="24"/>
          <w:szCs w:val="20"/>
          <w:u w:val="single"/>
        </w:rPr>
      </w:pPr>
      <w:r w:rsidRPr="00990A2C">
        <w:rPr>
          <w:rFonts w:ascii="Times New Roman" w:hAnsi="Times New Roman"/>
          <w:b/>
          <w:sz w:val="24"/>
          <w:szCs w:val="20"/>
          <w:u w:val="single"/>
        </w:rPr>
        <w:t xml:space="preserve">„PRILOG </w:t>
      </w:r>
      <w:bookmarkEnd w:id="0"/>
      <w:bookmarkEnd w:id="1"/>
      <w:r w:rsidRPr="00990A2C">
        <w:rPr>
          <w:rFonts w:ascii="Times New Roman" w:hAnsi="Times New Roman"/>
          <w:b/>
          <w:sz w:val="24"/>
          <w:szCs w:val="20"/>
          <w:u w:val="single"/>
        </w:rPr>
        <w:t>IV.</w:t>
      </w:r>
    </w:p>
    <w:p w14:paraId="52C0180C" w14:textId="77777777" w:rsidR="00FA0C6F" w:rsidRPr="00990A2C" w:rsidRDefault="00990A2C">
      <w:pPr>
        <w:spacing w:after="240" w:line="240" w:lineRule="auto"/>
        <w:jc w:val="center"/>
        <w:rPr>
          <w:rFonts w:ascii="Times New Roman" w:eastAsia="Times New Roman" w:hAnsi="Times New Roman" w:cs="Times New Roman"/>
          <w:b/>
          <w:sz w:val="24"/>
          <w:szCs w:val="20"/>
        </w:rPr>
      </w:pPr>
      <w:r w:rsidRPr="00990A2C">
        <w:rPr>
          <w:rFonts w:ascii="Times New Roman" w:hAnsi="Times New Roman"/>
          <w:b/>
          <w:sz w:val="24"/>
          <w:szCs w:val="20"/>
        </w:rPr>
        <w:t>IZVJEŠĆIVANJE ZA MALA I NEPOVEZANA INVESTICIJSKA DRUŠTVA</w:t>
      </w:r>
    </w:p>
    <w:p w14:paraId="2E677893" w14:textId="77777777" w:rsidR="00FA0C6F" w:rsidRPr="00990A2C" w:rsidRDefault="00990A2C">
      <w:pPr>
        <w:spacing w:after="0" w:line="240" w:lineRule="auto"/>
        <w:rPr>
          <w:rFonts w:ascii="Times New Roman" w:eastAsia="Times New Roman" w:hAnsi="Times New Roman" w:cs="Times New Roman"/>
          <w:sz w:val="24"/>
          <w:szCs w:val="24"/>
        </w:rPr>
      </w:pPr>
      <w:r w:rsidRPr="00990A2C">
        <w:rPr>
          <w:rFonts w:ascii="Times New Roman" w:hAnsi="Times New Roman"/>
          <w:sz w:val="24"/>
          <w:szCs w:val="24"/>
        </w:rPr>
        <w:t>Sadržaj</w:t>
      </w:r>
    </w:p>
    <w:p w14:paraId="52896EAD" w14:textId="77777777" w:rsidR="00FA0C6F" w:rsidRPr="00990A2C" w:rsidRDefault="00990A2C">
      <w:pPr>
        <w:pStyle w:val="TOC2"/>
        <w:rPr>
          <w:rFonts w:eastAsiaTheme="minorEastAsia"/>
          <w:noProof/>
          <w:lang w:val="en-IE" w:eastAsia="en-IE"/>
        </w:rPr>
      </w:pPr>
      <w:r w:rsidRPr="00990A2C">
        <w:rPr>
          <w:rFonts w:ascii="Times New Roman" w:hAnsi="Times New Roman"/>
          <w:noProof/>
        </w:rPr>
        <w:t>DIO I. OPĆE UPUTE</w:t>
      </w:r>
      <w:r w:rsidRPr="00990A2C">
        <w:rPr>
          <w:noProof/>
        </w:rPr>
        <w:tab/>
        <w:t>2</w:t>
      </w:r>
    </w:p>
    <w:p w14:paraId="7D67C36D" w14:textId="77777777" w:rsidR="00FA0C6F" w:rsidRPr="00990A2C" w:rsidRDefault="00990A2C">
      <w:pPr>
        <w:pStyle w:val="TOC2"/>
        <w:rPr>
          <w:rFonts w:eastAsiaTheme="minorEastAsia"/>
          <w:noProof/>
          <w:lang w:val="en-IE" w:eastAsia="en-IE"/>
        </w:rPr>
      </w:pPr>
      <w:r w:rsidRPr="00990A2C">
        <w:rPr>
          <w:rFonts w:ascii="Times New Roman" w:hAnsi="Times New Roman"/>
          <w:noProof/>
        </w:rPr>
        <w:t>1. Struktura i pravila</w:t>
      </w:r>
      <w:r w:rsidRPr="00990A2C">
        <w:rPr>
          <w:noProof/>
        </w:rPr>
        <w:tab/>
        <w:t>2</w:t>
      </w:r>
    </w:p>
    <w:p w14:paraId="10C131F9" w14:textId="77777777" w:rsidR="00FA0C6F" w:rsidRPr="00990A2C" w:rsidRDefault="00990A2C">
      <w:pPr>
        <w:pStyle w:val="TOC2"/>
        <w:rPr>
          <w:rFonts w:eastAsiaTheme="minorEastAsia"/>
          <w:noProof/>
          <w:lang w:val="en-IE" w:eastAsia="en-IE"/>
        </w:rPr>
      </w:pPr>
      <w:r w:rsidRPr="00990A2C">
        <w:rPr>
          <w:rFonts w:ascii="Times New Roman" w:hAnsi="Times New Roman"/>
          <w:noProof/>
          <w:u w:val="single"/>
        </w:rPr>
        <w:t>1.1. Struktura</w:t>
      </w:r>
      <w:r w:rsidRPr="00990A2C">
        <w:rPr>
          <w:noProof/>
        </w:rPr>
        <w:tab/>
        <w:t>2</w:t>
      </w:r>
    </w:p>
    <w:p w14:paraId="5EA6DD38" w14:textId="77777777" w:rsidR="00FA0C6F" w:rsidRPr="00990A2C" w:rsidRDefault="00990A2C">
      <w:pPr>
        <w:pStyle w:val="TOC2"/>
        <w:rPr>
          <w:rFonts w:eastAsiaTheme="minorEastAsia"/>
          <w:noProof/>
          <w:lang w:val="en-IE" w:eastAsia="en-IE"/>
        </w:rPr>
      </w:pPr>
      <w:r w:rsidRPr="00990A2C">
        <w:rPr>
          <w:rFonts w:ascii="Times New Roman" w:hAnsi="Times New Roman"/>
          <w:noProof/>
          <w:u w:val="single"/>
        </w:rPr>
        <w:t>1.2. Pravila označivanja brojevima</w:t>
      </w:r>
      <w:r w:rsidRPr="00990A2C">
        <w:rPr>
          <w:noProof/>
        </w:rPr>
        <w:tab/>
        <w:t>2</w:t>
      </w:r>
    </w:p>
    <w:p w14:paraId="42819D49" w14:textId="77777777" w:rsidR="00FA0C6F" w:rsidRPr="00990A2C" w:rsidRDefault="00990A2C">
      <w:pPr>
        <w:pStyle w:val="TOC2"/>
        <w:rPr>
          <w:rFonts w:eastAsiaTheme="minorEastAsia"/>
          <w:noProof/>
          <w:lang w:val="en-IE" w:eastAsia="en-IE"/>
        </w:rPr>
      </w:pPr>
      <w:r w:rsidRPr="00990A2C">
        <w:rPr>
          <w:rFonts w:ascii="Times New Roman" w:hAnsi="Times New Roman"/>
          <w:noProof/>
          <w:u w:val="single"/>
        </w:rPr>
        <w:t>1.3. Pravila o predznaku</w:t>
      </w:r>
      <w:r w:rsidRPr="00990A2C">
        <w:rPr>
          <w:noProof/>
        </w:rPr>
        <w:tab/>
        <w:t>2</w:t>
      </w:r>
    </w:p>
    <w:p w14:paraId="017BE199" w14:textId="77777777" w:rsidR="00FA0C6F" w:rsidRPr="00990A2C" w:rsidRDefault="00990A2C">
      <w:pPr>
        <w:pStyle w:val="TOC2"/>
        <w:rPr>
          <w:rFonts w:eastAsiaTheme="minorEastAsia"/>
          <w:noProof/>
          <w:lang w:val="en-IE" w:eastAsia="en-IE"/>
        </w:rPr>
      </w:pPr>
      <w:r w:rsidRPr="00990A2C">
        <w:rPr>
          <w:rFonts w:ascii="Times New Roman" w:hAnsi="Times New Roman"/>
          <w:noProof/>
          <w:u w:val="single"/>
        </w:rPr>
        <w:t xml:space="preserve">1.4. </w:t>
      </w:r>
      <w:r w:rsidRPr="00990A2C">
        <w:rPr>
          <w:rFonts w:ascii="Times New Roman" w:hAnsi="Times New Roman"/>
          <w:noProof/>
          <w:u w:val="single"/>
        </w:rPr>
        <w:t>Bonitetna konsolidacija</w:t>
      </w:r>
      <w:r w:rsidRPr="00990A2C">
        <w:rPr>
          <w:noProof/>
        </w:rPr>
        <w:tab/>
        <w:t>2</w:t>
      </w:r>
    </w:p>
    <w:p w14:paraId="088A6987" w14:textId="77777777" w:rsidR="00FA0C6F" w:rsidRPr="00990A2C" w:rsidRDefault="00990A2C">
      <w:pPr>
        <w:pStyle w:val="TOC2"/>
        <w:rPr>
          <w:rFonts w:eastAsiaTheme="minorEastAsia"/>
          <w:noProof/>
          <w:lang w:val="en-IE" w:eastAsia="en-IE"/>
        </w:rPr>
      </w:pPr>
      <w:r w:rsidRPr="00990A2C">
        <w:rPr>
          <w:rFonts w:ascii="Times New Roman" w:hAnsi="Times New Roman"/>
          <w:noProof/>
        </w:rPr>
        <w:t>DIO II. UPUTE ZA OBRASCE</w:t>
      </w:r>
      <w:r w:rsidRPr="00990A2C">
        <w:rPr>
          <w:noProof/>
        </w:rPr>
        <w:tab/>
        <w:t>3</w:t>
      </w:r>
    </w:p>
    <w:p w14:paraId="40FF0356" w14:textId="77777777" w:rsidR="00FA0C6F" w:rsidRPr="00990A2C" w:rsidRDefault="00990A2C">
      <w:pPr>
        <w:pStyle w:val="TOC2"/>
        <w:rPr>
          <w:rFonts w:eastAsiaTheme="minorEastAsia"/>
          <w:noProof/>
          <w:lang w:val="en-IE" w:eastAsia="en-IE"/>
        </w:rPr>
      </w:pPr>
      <w:r w:rsidRPr="00990A2C">
        <w:rPr>
          <w:rFonts w:ascii="Times New Roman" w:hAnsi="Times New Roman"/>
          <w:b/>
          <w:noProof/>
        </w:rPr>
        <w:t>1. REGULATORNI KAPITAL: RAZINA, SASTAV, ZAHTJEVI I IZRAČUN</w:t>
      </w:r>
      <w:r w:rsidRPr="00990A2C">
        <w:rPr>
          <w:noProof/>
        </w:rPr>
        <w:tab/>
        <w:t>3</w:t>
      </w:r>
    </w:p>
    <w:p w14:paraId="122FCE6D" w14:textId="77777777" w:rsidR="00FA0C6F" w:rsidRPr="00990A2C" w:rsidRDefault="00990A2C">
      <w:pPr>
        <w:pStyle w:val="TOC2"/>
        <w:rPr>
          <w:rFonts w:eastAsiaTheme="minorEastAsia"/>
          <w:noProof/>
          <w:lang w:val="en-IE" w:eastAsia="en-IE"/>
        </w:rPr>
      </w:pPr>
      <w:r w:rsidRPr="00990A2C">
        <w:rPr>
          <w:rFonts w:ascii="Times New Roman" w:hAnsi="Times New Roman"/>
          <w:noProof/>
        </w:rPr>
        <w:t>1.1. Opće napomene</w:t>
      </w:r>
      <w:r w:rsidRPr="00990A2C">
        <w:rPr>
          <w:noProof/>
        </w:rPr>
        <w:tab/>
        <w:t>3</w:t>
      </w:r>
    </w:p>
    <w:p w14:paraId="4F0EF507" w14:textId="77777777" w:rsidR="00FA0C6F" w:rsidRPr="00990A2C" w:rsidRDefault="00990A2C">
      <w:pPr>
        <w:pStyle w:val="TOC2"/>
        <w:rPr>
          <w:rFonts w:eastAsiaTheme="minorEastAsia"/>
          <w:noProof/>
          <w:lang w:val="en-IE" w:eastAsia="en-IE"/>
        </w:rPr>
      </w:pPr>
      <w:r w:rsidRPr="00990A2C">
        <w:rPr>
          <w:rFonts w:ascii="Times New Roman" w:hAnsi="Times New Roman"/>
          <w:noProof/>
        </w:rPr>
        <w:t>1.2. I 01.01 – SASTAV REGULATORNOG KAPITALA (I 1,1)</w:t>
      </w:r>
      <w:r w:rsidRPr="00990A2C">
        <w:rPr>
          <w:noProof/>
        </w:rPr>
        <w:tab/>
        <w:t>3</w:t>
      </w:r>
    </w:p>
    <w:p w14:paraId="0BDAE7AF" w14:textId="77777777" w:rsidR="00FA0C6F" w:rsidRPr="00990A2C" w:rsidRDefault="00990A2C">
      <w:pPr>
        <w:pStyle w:val="TOC2"/>
        <w:rPr>
          <w:rFonts w:eastAsiaTheme="minorEastAsia"/>
          <w:noProof/>
          <w:lang w:val="en-IE" w:eastAsia="en-IE"/>
        </w:rPr>
      </w:pPr>
      <w:r w:rsidRPr="00990A2C">
        <w:rPr>
          <w:rFonts w:ascii="Times New Roman" w:hAnsi="Times New Roman"/>
          <w:noProof/>
        </w:rPr>
        <w:t>1.2.1</w:t>
      </w:r>
      <w:r w:rsidRPr="00990A2C">
        <w:rPr>
          <w:rFonts w:ascii="Times New Roman" w:hAnsi="Times New Roman"/>
          <w:noProof/>
        </w:rPr>
        <w:tab/>
        <w:t>Upute za specifične pozicije</w:t>
      </w:r>
      <w:r w:rsidRPr="00990A2C">
        <w:rPr>
          <w:noProof/>
        </w:rPr>
        <w:tab/>
        <w:t>3</w:t>
      </w:r>
    </w:p>
    <w:p w14:paraId="67F6EBC1" w14:textId="77777777" w:rsidR="00FA0C6F" w:rsidRPr="00990A2C" w:rsidRDefault="00990A2C">
      <w:pPr>
        <w:pStyle w:val="TOC2"/>
        <w:rPr>
          <w:rFonts w:eastAsiaTheme="minorEastAsia"/>
          <w:noProof/>
          <w:lang w:val="en-IE" w:eastAsia="en-IE"/>
        </w:rPr>
      </w:pPr>
      <w:r w:rsidRPr="00990A2C">
        <w:rPr>
          <w:rFonts w:ascii="Times New Roman" w:hAnsi="Times New Roman"/>
          <w:noProof/>
        </w:rPr>
        <w:t xml:space="preserve">1.3. I 02.03 – </w:t>
      </w:r>
      <w:r w:rsidRPr="00990A2C">
        <w:rPr>
          <w:rFonts w:ascii="Times New Roman" w:hAnsi="Times New Roman"/>
          <w:noProof/>
        </w:rPr>
        <w:t>KAPITALNI ZAHTJEVI (I 2.3)</w:t>
      </w:r>
      <w:r w:rsidRPr="00990A2C">
        <w:rPr>
          <w:noProof/>
        </w:rPr>
        <w:tab/>
        <w:t>8</w:t>
      </w:r>
    </w:p>
    <w:p w14:paraId="06BF3A63" w14:textId="77777777" w:rsidR="00FA0C6F" w:rsidRPr="00990A2C" w:rsidRDefault="00990A2C">
      <w:pPr>
        <w:pStyle w:val="TOC2"/>
        <w:rPr>
          <w:rFonts w:eastAsiaTheme="minorEastAsia"/>
          <w:noProof/>
          <w:lang w:val="en-IE" w:eastAsia="en-IE"/>
        </w:rPr>
      </w:pPr>
      <w:r w:rsidRPr="00990A2C">
        <w:rPr>
          <w:rFonts w:ascii="Times New Roman" w:hAnsi="Times New Roman"/>
          <w:noProof/>
        </w:rPr>
        <w:t>1.3.1</w:t>
      </w:r>
      <w:r w:rsidRPr="00990A2C">
        <w:rPr>
          <w:rFonts w:ascii="Times New Roman" w:hAnsi="Times New Roman"/>
          <w:noProof/>
        </w:rPr>
        <w:tab/>
      </w:r>
      <w:r w:rsidRPr="00990A2C">
        <w:rPr>
          <w:rFonts w:ascii="Times New Roman" w:hAnsi="Times New Roman"/>
          <w:noProof/>
          <w:u w:val="single"/>
        </w:rPr>
        <w:t>Upute za specifične pozicije</w:t>
      </w:r>
      <w:r w:rsidRPr="00990A2C">
        <w:rPr>
          <w:noProof/>
        </w:rPr>
        <w:tab/>
        <w:t>8</w:t>
      </w:r>
    </w:p>
    <w:p w14:paraId="712F9153" w14:textId="77777777" w:rsidR="00FA0C6F" w:rsidRPr="00990A2C" w:rsidRDefault="00990A2C">
      <w:pPr>
        <w:pStyle w:val="TOC2"/>
        <w:rPr>
          <w:rFonts w:eastAsiaTheme="minorEastAsia"/>
          <w:noProof/>
          <w:lang w:val="en-IE" w:eastAsia="en-IE"/>
        </w:rPr>
      </w:pPr>
      <w:r w:rsidRPr="00990A2C">
        <w:rPr>
          <w:rFonts w:ascii="Times New Roman" w:hAnsi="Times New Roman"/>
          <w:noProof/>
        </w:rPr>
        <w:t>1.4. I 02.04 – STOPE KAPITALA (I 2.4)</w:t>
      </w:r>
      <w:r w:rsidRPr="00990A2C">
        <w:rPr>
          <w:noProof/>
        </w:rPr>
        <w:tab/>
        <w:t>9</w:t>
      </w:r>
    </w:p>
    <w:p w14:paraId="48E7012E" w14:textId="77777777" w:rsidR="00FA0C6F" w:rsidRPr="00990A2C" w:rsidRDefault="00990A2C">
      <w:pPr>
        <w:pStyle w:val="TOC2"/>
        <w:rPr>
          <w:rFonts w:eastAsiaTheme="minorEastAsia"/>
          <w:noProof/>
          <w:lang w:val="en-IE" w:eastAsia="en-IE"/>
        </w:rPr>
      </w:pPr>
      <w:r w:rsidRPr="00990A2C">
        <w:rPr>
          <w:rFonts w:ascii="Times New Roman" w:hAnsi="Times New Roman"/>
          <w:noProof/>
        </w:rPr>
        <w:t>1.4.1</w:t>
      </w:r>
      <w:r w:rsidRPr="00990A2C">
        <w:rPr>
          <w:rFonts w:ascii="Times New Roman" w:hAnsi="Times New Roman"/>
          <w:noProof/>
        </w:rPr>
        <w:tab/>
      </w:r>
      <w:r w:rsidRPr="00990A2C">
        <w:rPr>
          <w:rFonts w:ascii="Times New Roman" w:hAnsi="Times New Roman"/>
          <w:noProof/>
          <w:u w:val="single"/>
        </w:rPr>
        <w:t>Upute za specifične pozicije</w:t>
      </w:r>
      <w:r w:rsidRPr="00990A2C">
        <w:rPr>
          <w:noProof/>
        </w:rPr>
        <w:tab/>
        <w:t>9</w:t>
      </w:r>
    </w:p>
    <w:p w14:paraId="61252E6E" w14:textId="77777777" w:rsidR="00FA0C6F" w:rsidRPr="00990A2C" w:rsidRDefault="00990A2C">
      <w:pPr>
        <w:pStyle w:val="TOC2"/>
        <w:rPr>
          <w:rFonts w:eastAsiaTheme="minorEastAsia"/>
          <w:noProof/>
          <w:lang w:val="en-IE" w:eastAsia="en-IE"/>
        </w:rPr>
      </w:pPr>
      <w:r w:rsidRPr="00990A2C">
        <w:rPr>
          <w:rFonts w:ascii="Times New Roman" w:hAnsi="Times New Roman"/>
          <w:noProof/>
        </w:rPr>
        <w:t>1.5. I 03.01 – IZRAČUN ZAHTJEVA ZA FIKSNE OPĆE TROŠKOVE (I 3.1)</w:t>
      </w:r>
      <w:r w:rsidRPr="00990A2C">
        <w:rPr>
          <w:noProof/>
        </w:rPr>
        <w:tab/>
        <w:t>10</w:t>
      </w:r>
    </w:p>
    <w:p w14:paraId="6A73214D" w14:textId="77777777" w:rsidR="00FA0C6F" w:rsidRPr="00990A2C" w:rsidRDefault="00990A2C">
      <w:pPr>
        <w:pStyle w:val="TOC2"/>
        <w:rPr>
          <w:rFonts w:eastAsiaTheme="minorEastAsia"/>
          <w:noProof/>
          <w:lang w:val="en-IE" w:eastAsia="en-IE"/>
        </w:rPr>
      </w:pPr>
      <w:r w:rsidRPr="00990A2C">
        <w:rPr>
          <w:rFonts w:ascii="Times New Roman" w:hAnsi="Times New Roman"/>
          <w:noProof/>
        </w:rPr>
        <w:t>1.5.1</w:t>
      </w:r>
      <w:r w:rsidRPr="00990A2C">
        <w:rPr>
          <w:rFonts w:ascii="Times New Roman" w:hAnsi="Times New Roman"/>
          <w:noProof/>
        </w:rPr>
        <w:tab/>
      </w:r>
      <w:r w:rsidRPr="00990A2C">
        <w:rPr>
          <w:rFonts w:ascii="Times New Roman" w:hAnsi="Times New Roman"/>
          <w:noProof/>
          <w:u w:val="single"/>
        </w:rPr>
        <w:t>Upute za specifične pozicije</w:t>
      </w:r>
      <w:r w:rsidRPr="00990A2C">
        <w:rPr>
          <w:noProof/>
        </w:rPr>
        <w:tab/>
        <w:t>10</w:t>
      </w:r>
    </w:p>
    <w:p w14:paraId="5DD18407" w14:textId="77777777" w:rsidR="00FA0C6F" w:rsidRPr="00990A2C" w:rsidRDefault="00990A2C">
      <w:pPr>
        <w:pStyle w:val="TOC2"/>
        <w:rPr>
          <w:rFonts w:eastAsiaTheme="minorEastAsia"/>
          <w:noProof/>
          <w:lang w:val="en-IE" w:eastAsia="en-IE"/>
        </w:rPr>
      </w:pPr>
      <w:r w:rsidRPr="00990A2C">
        <w:rPr>
          <w:rFonts w:ascii="Times New Roman" w:hAnsi="Times New Roman"/>
          <w:noProof/>
        </w:rPr>
        <w:t xml:space="preserve">2. MALA </w:t>
      </w:r>
      <w:r w:rsidRPr="00990A2C">
        <w:rPr>
          <w:rFonts w:ascii="Times New Roman" w:hAnsi="Times New Roman"/>
          <w:noProof/>
        </w:rPr>
        <w:t>I NEPOVEZANA INVESTICIJSKA DRUŠTVA</w:t>
      </w:r>
      <w:r w:rsidRPr="00990A2C">
        <w:rPr>
          <w:noProof/>
        </w:rPr>
        <w:tab/>
        <w:t>12</w:t>
      </w:r>
    </w:p>
    <w:p w14:paraId="49C2E073" w14:textId="77777777" w:rsidR="00FA0C6F" w:rsidRPr="00990A2C" w:rsidRDefault="00990A2C">
      <w:pPr>
        <w:pStyle w:val="TOC2"/>
        <w:rPr>
          <w:rFonts w:eastAsiaTheme="minorEastAsia"/>
          <w:noProof/>
          <w:lang w:val="en-IE" w:eastAsia="en-IE"/>
        </w:rPr>
      </w:pPr>
      <w:r w:rsidRPr="00990A2C">
        <w:rPr>
          <w:rFonts w:ascii="Times New Roman" w:hAnsi="Times New Roman"/>
          <w:noProof/>
        </w:rPr>
        <w:t>2.1</w:t>
      </w:r>
      <w:r w:rsidRPr="00990A2C">
        <w:rPr>
          <w:rFonts w:ascii="Times New Roman" w:hAnsi="Times New Roman"/>
          <w:noProof/>
        </w:rPr>
        <w:tab/>
      </w:r>
      <w:r w:rsidRPr="00990A2C">
        <w:rPr>
          <w:rFonts w:ascii="Times New Roman" w:hAnsi="Times New Roman"/>
          <w:noProof/>
          <w:u w:val="single"/>
        </w:rPr>
        <w:t>I 05.00 – RAZINA AKTIVNOSTI – PREISPITIVANJE PRAGOVA (I 5)</w:t>
      </w:r>
      <w:r w:rsidRPr="00990A2C">
        <w:rPr>
          <w:noProof/>
        </w:rPr>
        <w:tab/>
        <w:t>12</w:t>
      </w:r>
    </w:p>
    <w:p w14:paraId="542988CC" w14:textId="77777777" w:rsidR="00FA0C6F" w:rsidRPr="00990A2C" w:rsidRDefault="00990A2C">
      <w:pPr>
        <w:pStyle w:val="TOC2"/>
        <w:rPr>
          <w:rFonts w:eastAsiaTheme="minorEastAsia"/>
          <w:noProof/>
          <w:lang w:val="en-IE" w:eastAsia="en-IE"/>
        </w:rPr>
      </w:pPr>
      <w:r w:rsidRPr="00990A2C">
        <w:rPr>
          <w:rFonts w:ascii="Times New Roman" w:hAnsi="Times New Roman"/>
          <w:noProof/>
        </w:rPr>
        <w:t>2.1.1</w:t>
      </w:r>
      <w:r w:rsidRPr="00990A2C">
        <w:rPr>
          <w:rFonts w:ascii="Times New Roman" w:hAnsi="Times New Roman"/>
          <w:noProof/>
        </w:rPr>
        <w:tab/>
      </w:r>
      <w:r w:rsidRPr="00990A2C">
        <w:rPr>
          <w:rFonts w:ascii="Times New Roman" w:hAnsi="Times New Roman"/>
          <w:noProof/>
          <w:u w:val="single"/>
        </w:rPr>
        <w:t>Upute za specifične pozicije</w:t>
      </w:r>
      <w:r w:rsidRPr="00990A2C">
        <w:rPr>
          <w:noProof/>
        </w:rPr>
        <w:tab/>
        <w:t>12</w:t>
      </w:r>
    </w:p>
    <w:p w14:paraId="5871DEF6" w14:textId="77777777" w:rsidR="00FA0C6F" w:rsidRPr="00990A2C" w:rsidRDefault="00990A2C">
      <w:pPr>
        <w:pStyle w:val="TOC2"/>
        <w:rPr>
          <w:rFonts w:eastAsiaTheme="minorEastAsia"/>
          <w:noProof/>
          <w:lang w:val="en-IE" w:eastAsia="en-IE"/>
        </w:rPr>
      </w:pPr>
      <w:r w:rsidRPr="00990A2C">
        <w:rPr>
          <w:rFonts w:ascii="Times New Roman" w:hAnsi="Times New Roman"/>
          <w:b/>
          <w:noProof/>
        </w:rPr>
        <w:t>3. LIKVIDNOSNI ZAHTJEVI</w:t>
      </w:r>
      <w:r w:rsidRPr="00990A2C">
        <w:rPr>
          <w:noProof/>
        </w:rPr>
        <w:tab/>
        <w:t>15</w:t>
      </w:r>
    </w:p>
    <w:p w14:paraId="23836FF1" w14:textId="77777777" w:rsidR="00FA0C6F" w:rsidRPr="00990A2C" w:rsidRDefault="00990A2C">
      <w:pPr>
        <w:pStyle w:val="TOC2"/>
        <w:rPr>
          <w:rFonts w:eastAsiaTheme="minorEastAsia"/>
          <w:noProof/>
          <w:lang w:val="en-IE" w:eastAsia="en-IE"/>
        </w:rPr>
      </w:pPr>
      <w:r w:rsidRPr="00990A2C">
        <w:rPr>
          <w:rFonts w:ascii="Times New Roman" w:hAnsi="Times New Roman"/>
          <w:noProof/>
          <w:u w:val="single"/>
        </w:rPr>
        <w:t>3.1. I 09.01 – LIKVIDNOSNI ZAHTJEVI (I 9,1)</w:t>
      </w:r>
      <w:r w:rsidRPr="00990A2C">
        <w:rPr>
          <w:noProof/>
        </w:rPr>
        <w:tab/>
        <w:t>15</w:t>
      </w:r>
    </w:p>
    <w:p w14:paraId="046A2B99" w14:textId="77777777" w:rsidR="00FA0C6F" w:rsidRPr="00990A2C" w:rsidRDefault="00990A2C">
      <w:pPr>
        <w:pStyle w:val="TOC2"/>
        <w:rPr>
          <w:rFonts w:eastAsiaTheme="minorEastAsia"/>
          <w:noProof/>
          <w:lang w:val="en-IE" w:eastAsia="en-IE"/>
        </w:rPr>
      </w:pPr>
      <w:r w:rsidRPr="00990A2C">
        <w:rPr>
          <w:rFonts w:ascii="Times New Roman" w:hAnsi="Times New Roman"/>
          <w:noProof/>
        </w:rPr>
        <w:t>3.1.1</w:t>
      </w:r>
      <w:r w:rsidRPr="00990A2C">
        <w:rPr>
          <w:rFonts w:ascii="Times New Roman" w:hAnsi="Times New Roman"/>
          <w:noProof/>
        </w:rPr>
        <w:tab/>
      </w:r>
      <w:r w:rsidRPr="00990A2C">
        <w:rPr>
          <w:rFonts w:ascii="Times New Roman" w:hAnsi="Times New Roman"/>
          <w:noProof/>
          <w:u w:val="single"/>
        </w:rPr>
        <w:t>Upute za specifične pozicije</w:t>
      </w:r>
      <w:r w:rsidRPr="00990A2C">
        <w:rPr>
          <w:noProof/>
        </w:rPr>
        <w:tab/>
        <w:t>15</w:t>
      </w:r>
      <w:bookmarkStart w:id="6" w:name="_Toc360188322"/>
      <w:bookmarkStart w:id="7" w:name="_Toc473560870"/>
      <w:bookmarkStart w:id="8" w:name="_Toc7084155"/>
    </w:p>
    <w:p w14:paraId="78174526" w14:textId="77777777" w:rsidR="00FA0C6F" w:rsidRPr="00990A2C" w:rsidRDefault="00990A2C">
      <w:pPr>
        <w:pStyle w:val="Heading2"/>
        <w:rPr>
          <w:rFonts w:ascii="Times New Roman" w:hAnsi="Times New Roman"/>
        </w:rPr>
      </w:pPr>
      <w:bookmarkStart w:id="9" w:name="_Toc88219042"/>
      <w:r w:rsidRPr="00990A2C">
        <w:rPr>
          <w:rFonts w:ascii="Times New Roman" w:hAnsi="Times New Roman"/>
        </w:rPr>
        <w:t>DI</w:t>
      </w:r>
      <w:r w:rsidRPr="00990A2C">
        <w:rPr>
          <w:rFonts w:ascii="Times New Roman" w:hAnsi="Times New Roman"/>
        </w:rPr>
        <w:t>O I. OPĆE UPUTE</w:t>
      </w:r>
      <w:bookmarkEnd w:id="9"/>
    </w:p>
    <w:p w14:paraId="2FC4C854" w14:textId="77777777" w:rsidR="00FA0C6F" w:rsidRPr="00990A2C" w:rsidRDefault="00990A2C">
      <w:pPr>
        <w:keepNext/>
        <w:spacing w:before="240" w:after="240" w:line="240" w:lineRule="auto"/>
        <w:jc w:val="both"/>
        <w:outlineLvl w:val="1"/>
        <w:rPr>
          <w:rFonts w:ascii="Times New Roman" w:eastAsia="Arial" w:hAnsi="Times New Roman" w:cs="Times New Roman"/>
          <w:sz w:val="24"/>
          <w:szCs w:val="24"/>
        </w:rPr>
      </w:pPr>
      <w:bookmarkStart w:id="10" w:name="_Toc88219043"/>
      <w:r w:rsidRPr="00990A2C">
        <w:rPr>
          <w:rFonts w:ascii="Times New Roman" w:hAnsi="Times New Roman"/>
          <w:sz w:val="24"/>
          <w:szCs w:val="24"/>
        </w:rPr>
        <w:t>1. Struktura i pravila</w:t>
      </w:r>
      <w:bookmarkEnd w:id="10"/>
    </w:p>
    <w:p w14:paraId="2B460C5E" w14:textId="77777777" w:rsidR="00FA0C6F" w:rsidRPr="00990A2C" w:rsidRDefault="00990A2C">
      <w:pPr>
        <w:keepNext/>
        <w:spacing w:before="240" w:after="240" w:line="240" w:lineRule="auto"/>
        <w:jc w:val="both"/>
        <w:outlineLvl w:val="1"/>
        <w:rPr>
          <w:rFonts w:ascii="Times New Roman" w:eastAsia="Arial" w:hAnsi="Times New Roman" w:cs="Times New Roman"/>
          <w:sz w:val="24"/>
          <w:szCs w:val="24"/>
          <w:u w:val="single"/>
        </w:rPr>
      </w:pPr>
      <w:bookmarkStart w:id="11" w:name="_Toc88219044"/>
      <w:r w:rsidRPr="00990A2C">
        <w:rPr>
          <w:rFonts w:ascii="Times New Roman" w:hAnsi="Times New Roman"/>
          <w:sz w:val="24"/>
          <w:szCs w:val="24"/>
          <w:u w:val="single"/>
        </w:rPr>
        <w:t>1.1. Struktura</w:t>
      </w:r>
      <w:bookmarkEnd w:id="11"/>
    </w:p>
    <w:p w14:paraId="3955416C" w14:textId="77777777" w:rsidR="00FA0C6F" w:rsidRPr="00990A2C" w:rsidRDefault="00990A2C">
      <w:pPr>
        <w:spacing w:line="256" w:lineRule="auto"/>
        <w:ind w:left="993" w:hanging="504"/>
        <w:jc w:val="both"/>
        <w:rPr>
          <w:rFonts w:ascii="Times New Roman" w:hAnsi="Times New Roman" w:cs="Times New Roman"/>
        </w:rPr>
      </w:pPr>
      <w:r w:rsidRPr="00990A2C">
        <w:rPr>
          <w:rFonts w:ascii="Times New Roman" w:hAnsi="Times New Roman" w:cs="Times New Roman"/>
        </w:rPr>
        <w:t>1.</w:t>
      </w:r>
      <w:r w:rsidRPr="00990A2C">
        <w:rPr>
          <w:rFonts w:ascii="Times New Roman" w:hAnsi="Times New Roman" w:cs="Times New Roman"/>
        </w:rPr>
        <w:tab/>
      </w:r>
      <w:r w:rsidRPr="00990A2C">
        <w:rPr>
          <w:rFonts w:ascii="Times New Roman" w:hAnsi="Times New Roman"/>
        </w:rPr>
        <w:t>Općenito okvir čine sljedeće skupine informacija:</w:t>
      </w:r>
    </w:p>
    <w:p w14:paraId="16BBACD2" w14:textId="77777777" w:rsidR="00FA0C6F" w:rsidRPr="00990A2C" w:rsidRDefault="00990A2C">
      <w:pPr>
        <w:spacing w:line="256" w:lineRule="auto"/>
        <w:ind w:left="1728" w:hanging="648"/>
        <w:jc w:val="both"/>
        <w:rPr>
          <w:rFonts w:ascii="Times New Roman" w:hAnsi="Times New Roman" w:cs="Times New Roman"/>
        </w:rPr>
      </w:pPr>
      <w:r w:rsidRPr="00990A2C">
        <w:rPr>
          <w:rFonts w:ascii="Times New Roman" w:hAnsi="Times New Roman" w:cs="Times New Roman"/>
        </w:rPr>
        <w:t>(a)</w:t>
      </w:r>
      <w:r w:rsidRPr="00990A2C">
        <w:rPr>
          <w:rFonts w:ascii="Times New Roman" w:hAnsi="Times New Roman" w:cs="Times New Roman"/>
        </w:rPr>
        <w:tab/>
      </w:r>
      <w:r w:rsidRPr="00990A2C">
        <w:rPr>
          <w:rFonts w:ascii="Times New Roman" w:hAnsi="Times New Roman"/>
        </w:rPr>
        <w:t>regulatorni kapital;</w:t>
      </w:r>
    </w:p>
    <w:p w14:paraId="38E1ACF0" w14:textId="77777777" w:rsidR="00FA0C6F" w:rsidRPr="00990A2C" w:rsidRDefault="00990A2C">
      <w:pPr>
        <w:spacing w:line="256" w:lineRule="auto"/>
        <w:ind w:left="1728" w:hanging="648"/>
        <w:jc w:val="both"/>
        <w:rPr>
          <w:rFonts w:ascii="Times New Roman" w:hAnsi="Times New Roman" w:cs="Times New Roman"/>
        </w:rPr>
      </w:pPr>
      <w:r w:rsidRPr="00990A2C">
        <w:rPr>
          <w:rFonts w:ascii="Times New Roman" w:hAnsi="Times New Roman" w:cs="Times New Roman"/>
        </w:rPr>
        <w:t>(b)</w:t>
      </w:r>
      <w:r w:rsidRPr="00990A2C">
        <w:rPr>
          <w:rFonts w:ascii="Times New Roman" w:hAnsi="Times New Roman" w:cs="Times New Roman"/>
        </w:rPr>
        <w:tab/>
      </w:r>
      <w:r w:rsidRPr="00990A2C">
        <w:rPr>
          <w:rFonts w:ascii="Times New Roman" w:hAnsi="Times New Roman"/>
        </w:rPr>
        <w:t>izračuni kapitalnih zahtjeva;</w:t>
      </w:r>
    </w:p>
    <w:p w14:paraId="44B432F4" w14:textId="77777777" w:rsidR="00FA0C6F" w:rsidRPr="00990A2C" w:rsidRDefault="00990A2C">
      <w:pPr>
        <w:spacing w:line="256" w:lineRule="auto"/>
        <w:ind w:left="1728" w:hanging="648"/>
        <w:jc w:val="both"/>
        <w:rPr>
          <w:rFonts w:ascii="Times New Roman" w:hAnsi="Times New Roman" w:cs="Times New Roman"/>
        </w:rPr>
      </w:pPr>
      <w:r w:rsidRPr="00990A2C">
        <w:rPr>
          <w:rFonts w:ascii="Times New Roman" w:hAnsi="Times New Roman" w:cs="Times New Roman"/>
        </w:rPr>
        <w:lastRenderedPageBreak/>
        <w:t>(c)</w:t>
      </w:r>
      <w:r w:rsidRPr="00990A2C">
        <w:rPr>
          <w:rFonts w:ascii="Times New Roman" w:hAnsi="Times New Roman" w:cs="Times New Roman"/>
        </w:rPr>
        <w:tab/>
      </w:r>
      <w:r w:rsidRPr="00990A2C">
        <w:rPr>
          <w:rFonts w:ascii="Times New Roman" w:hAnsi="Times New Roman"/>
        </w:rPr>
        <w:t>izračun zahtjeva za fiksne opće troškove;</w:t>
      </w:r>
    </w:p>
    <w:p w14:paraId="50138438" w14:textId="77777777" w:rsidR="00FA0C6F" w:rsidRPr="00990A2C" w:rsidRDefault="00990A2C">
      <w:pPr>
        <w:spacing w:line="256" w:lineRule="auto"/>
        <w:ind w:left="1728" w:hanging="648"/>
        <w:jc w:val="both"/>
        <w:rPr>
          <w:rFonts w:ascii="Times New Roman" w:hAnsi="Times New Roman" w:cs="Times New Roman"/>
        </w:rPr>
      </w:pPr>
      <w:r w:rsidRPr="00990A2C">
        <w:rPr>
          <w:rFonts w:ascii="Times New Roman" w:hAnsi="Times New Roman" w:cs="Times New Roman"/>
        </w:rPr>
        <w:t>(d)</w:t>
      </w:r>
      <w:r w:rsidRPr="00990A2C">
        <w:rPr>
          <w:rFonts w:ascii="Times New Roman" w:hAnsi="Times New Roman" w:cs="Times New Roman"/>
        </w:rPr>
        <w:tab/>
      </w:r>
      <w:r w:rsidRPr="00990A2C">
        <w:rPr>
          <w:rFonts w:ascii="Times New Roman" w:hAnsi="Times New Roman"/>
        </w:rPr>
        <w:t xml:space="preserve">razina aktivnosti u odnosu na </w:t>
      </w:r>
      <w:r w:rsidRPr="00990A2C">
        <w:rPr>
          <w:rFonts w:ascii="Times New Roman" w:hAnsi="Times New Roman"/>
        </w:rPr>
        <w:t>uvjete iz članka 12. stavka 1. Uredbe (EU) 2019/2033;</w:t>
      </w:r>
    </w:p>
    <w:p w14:paraId="17C4406C" w14:textId="77777777" w:rsidR="00FA0C6F" w:rsidRPr="00990A2C" w:rsidRDefault="00990A2C">
      <w:pPr>
        <w:spacing w:line="256" w:lineRule="auto"/>
        <w:ind w:left="1728" w:hanging="648"/>
        <w:jc w:val="both"/>
        <w:rPr>
          <w:rFonts w:ascii="Times New Roman" w:hAnsi="Times New Roman" w:cs="Times New Roman"/>
        </w:rPr>
      </w:pPr>
      <w:r w:rsidRPr="00990A2C">
        <w:rPr>
          <w:rFonts w:ascii="Times New Roman" w:hAnsi="Times New Roman" w:cs="Times New Roman"/>
        </w:rPr>
        <w:t>(e)</w:t>
      </w:r>
      <w:r w:rsidRPr="00990A2C">
        <w:rPr>
          <w:rFonts w:ascii="Times New Roman" w:hAnsi="Times New Roman" w:cs="Times New Roman"/>
        </w:rPr>
        <w:tab/>
      </w:r>
      <w:r w:rsidRPr="00990A2C">
        <w:rPr>
          <w:rFonts w:ascii="Times New Roman" w:hAnsi="Times New Roman"/>
        </w:rPr>
        <w:t>likvidnosni zahtjevi.</w:t>
      </w:r>
    </w:p>
    <w:p w14:paraId="5EE82E2C" w14:textId="77777777" w:rsidR="00FA0C6F" w:rsidRPr="00990A2C" w:rsidRDefault="00990A2C">
      <w:pPr>
        <w:pStyle w:val="InstructionsText2"/>
        <w:numPr>
          <w:ilvl w:val="0"/>
          <w:numId w:val="0"/>
        </w:numPr>
        <w:ind w:left="360" w:hanging="360"/>
      </w:pPr>
      <w:r w:rsidRPr="00990A2C">
        <w:t>2.</w:t>
      </w:r>
      <w:r w:rsidRPr="00990A2C">
        <w:tab/>
        <w:t>Za svaki je obrazac navedena pravna osnova. Ovaj dio Uredbe sadržava dodatne detaljne informacije o općenitijim aspektima izvješćivanja u svakoj skupini obrazaca, upute za s</w:t>
      </w:r>
      <w:r w:rsidRPr="00990A2C">
        <w:t>pecifične pozicije te pravila validacije.</w:t>
      </w:r>
    </w:p>
    <w:p w14:paraId="0C403E01" w14:textId="77777777" w:rsidR="00FA0C6F" w:rsidRPr="00990A2C" w:rsidRDefault="00990A2C">
      <w:pPr>
        <w:keepNext/>
        <w:spacing w:before="240" w:after="240" w:line="240" w:lineRule="auto"/>
        <w:jc w:val="both"/>
        <w:outlineLvl w:val="1"/>
        <w:rPr>
          <w:rFonts w:ascii="Times New Roman" w:eastAsia="Arial" w:hAnsi="Times New Roman" w:cs="Times New Roman"/>
          <w:sz w:val="24"/>
          <w:szCs w:val="24"/>
          <w:u w:val="single"/>
        </w:rPr>
      </w:pPr>
      <w:bookmarkStart w:id="12" w:name="_Toc88219045"/>
      <w:r w:rsidRPr="00990A2C">
        <w:rPr>
          <w:rFonts w:ascii="Times New Roman" w:hAnsi="Times New Roman"/>
          <w:sz w:val="24"/>
          <w:szCs w:val="24"/>
          <w:u w:val="single"/>
        </w:rPr>
        <w:t>1.2. Pravila označivanja brojevima</w:t>
      </w:r>
      <w:bookmarkEnd w:id="12"/>
    </w:p>
    <w:p w14:paraId="1797750C" w14:textId="77777777" w:rsidR="00FA0C6F" w:rsidRPr="00990A2C" w:rsidRDefault="00990A2C">
      <w:pPr>
        <w:pStyle w:val="InstructionsText2"/>
        <w:numPr>
          <w:ilvl w:val="0"/>
          <w:numId w:val="0"/>
        </w:numPr>
        <w:ind w:left="360" w:hanging="360"/>
      </w:pPr>
      <w:r w:rsidRPr="00990A2C">
        <w:t>3.</w:t>
      </w:r>
      <w:r w:rsidRPr="00990A2C">
        <w:tab/>
        <w:t xml:space="preserve">Pri upućivanju na stupce, retke i rubrike obrazaca u dokumentu se poštuju pravila označivanja iz točaka od 4. do 7. Te se brojčane oznake u velikoj mjeri koriste u </w:t>
      </w:r>
      <w:r w:rsidRPr="00990A2C">
        <w:t>pravilima validacije.</w:t>
      </w:r>
    </w:p>
    <w:p w14:paraId="2872082E" w14:textId="77777777" w:rsidR="00FA0C6F" w:rsidRPr="00990A2C" w:rsidRDefault="00990A2C">
      <w:pPr>
        <w:pStyle w:val="InstructionsText2"/>
        <w:numPr>
          <w:ilvl w:val="0"/>
          <w:numId w:val="0"/>
        </w:numPr>
        <w:ind w:left="360" w:hanging="360"/>
      </w:pPr>
      <w:r w:rsidRPr="00990A2C">
        <w:t>4.</w:t>
      </w:r>
      <w:r w:rsidRPr="00990A2C">
        <w:tab/>
        <w:t>U uputama se primjenjuje sljedeća opća bilješka: {Obrazac; Redak; stupac}.</w:t>
      </w:r>
    </w:p>
    <w:p w14:paraId="39B096BE" w14:textId="77777777" w:rsidR="00FA0C6F" w:rsidRPr="00990A2C" w:rsidRDefault="00990A2C">
      <w:pPr>
        <w:pStyle w:val="InstructionsText2"/>
        <w:numPr>
          <w:ilvl w:val="0"/>
          <w:numId w:val="0"/>
        </w:numPr>
        <w:ind w:left="360" w:hanging="360"/>
      </w:pPr>
      <w:r w:rsidRPr="00990A2C">
        <w:t>5.</w:t>
      </w:r>
      <w:r w:rsidRPr="00990A2C">
        <w:tab/>
        <w:t>U slučaju validacija u okviru obrasca pri kojima se koriste samo podaci iz tog obrasca, bilješkama se ne upućuje na obrazac: {Redak; stupac}.</w:t>
      </w:r>
    </w:p>
    <w:p w14:paraId="4693BC2F" w14:textId="77777777" w:rsidR="00FA0C6F" w:rsidRPr="00990A2C" w:rsidRDefault="00990A2C">
      <w:pPr>
        <w:pStyle w:val="InstructionsText2"/>
        <w:numPr>
          <w:ilvl w:val="0"/>
          <w:numId w:val="0"/>
        </w:numPr>
        <w:ind w:left="360" w:hanging="360"/>
      </w:pPr>
      <w:r w:rsidRPr="00990A2C">
        <w:t>6.</w:t>
      </w:r>
      <w:r w:rsidRPr="00990A2C">
        <w:tab/>
        <w:t>U slučaj</w:t>
      </w:r>
      <w:r w:rsidRPr="00990A2C">
        <w:t>u obrazaca samo s jednim stupcem upućuje se samo na retke: {Obrazac; Redak}.</w:t>
      </w:r>
    </w:p>
    <w:p w14:paraId="2CA723A7" w14:textId="77777777" w:rsidR="00FA0C6F" w:rsidRPr="00990A2C" w:rsidRDefault="00990A2C">
      <w:pPr>
        <w:pStyle w:val="InstructionsText2"/>
        <w:numPr>
          <w:ilvl w:val="0"/>
          <w:numId w:val="0"/>
        </w:numPr>
        <w:ind w:left="360" w:hanging="360"/>
      </w:pPr>
      <w:r w:rsidRPr="00990A2C">
        <w:t>7.</w:t>
      </w:r>
      <w:r w:rsidRPr="00990A2C">
        <w:tab/>
        <w:t>Znak zvjezdice koristi se kako bi se naznačilo da je validacija izvršena za prethodno navedene retke ili stupce.</w:t>
      </w:r>
    </w:p>
    <w:p w14:paraId="230F8993" w14:textId="77777777" w:rsidR="00FA0C6F" w:rsidRPr="00990A2C" w:rsidRDefault="00990A2C">
      <w:pPr>
        <w:keepNext/>
        <w:spacing w:before="240" w:after="240" w:line="240" w:lineRule="auto"/>
        <w:jc w:val="both"/>
        <w:outlineLvl w:val="1"/>
        <w:rPr>
          <w:rFonts w:ascii="Times New Roman" w:eastAsia="Arial" w:hAnsi="Times New Roman" w:cs="Times New Roman"/>
          <w:sz w:val="24"/>
          <w:szCs w:val="24"/>
          <w:u w:val="single"/>
        </w:rPr>
      </w:pPr>
      <w:bookmarkStart w:id="13" w:name="_Toc88219046"/>
      <w:r w:rsidRPr="00990A2C">
        <w:rPr>
          <w:rFonts w:ascii="Times New Roman" w:hAnsi="Times New Roman"/>
          <w:sz w:val="24"/>
          <w:szCs w:val="24"/>
          <w:u w:val="single"/>
        </w:rPr>
        <w:t>1.3. Pravila o predznaku</w:t>
      </w:r>
      <w:bookmarkEnd w:id="13"/>
    </w:p>
    <w:p w14:paraId="261D7FF4" w14:textId="77777777" w:rsidR="00FA0C6F" w:rsidRPr="00990A2C" w:rsidRDefault="00990A2C">
      <w:pPr>
        <w:pStyle w:val="InstructionsText2"/>
        <w:numPr>
          <w:ilvl w:val="0"/>
          <w:numId w:val="0"/>
        </w:numPr>
        <w:ind w:left="360" w:hanging="360"/>
      </w:pPr>
      <w:r w:rsidRPr="00990A2C">
        <w:t>8.</w:t>
      </w:r>
      <w:r w:rsidRPr="00990A2C">
        <w:tab/>
        <w:t>Svaki iznos kojim se povećava regul</w:t>
      </w:r>
      <w:r w:rsidRPr="00990A2C">
        <w:t xml:space="preserve">atorni kapital, kapitalni zahtjevi ili likvidnosni zahtjevi iskazuje se kao pozitivna vrijednost. Nasuprot tome, svaki iznos kojim se ukupni regulatorni kapital ili kapitalni zahtjevi umanjuju iskazuje se kao negativna vrijednost. Uz stavku kojoj prethodi </w:t>
      </w:r>
      <w:r w:rsidRPr="00990A2C">
        <w:t>negativan predznak (–) ne očekuje se navođenje pozitivnog broja.</w:t>
      </w:r>
    </w:p>
    <w:p w14:paraId="54C28C48" w14:textId="77777777" w:rsidR="00FA0C6F" w:rsidRPr="00990A2C" w:rsidRDefault="00990A2C">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219047"/>
      <w:r w:rsidRPr="00990A2C">
        <w:rPr>
          <w:rFonts w:ascii="Times New Roman" w:hAnsi="Times New Roman"/>
          <w:sz w:val="24"/>
          <w:szCs w:val="24"/>
          <w:u w:val="single"/>
        </w:rPr>
        <w:t>1.4.</w:t>
      </w:r>
      <w:bookmarkEnd w:id="14"/>
      <w:r w:rsidRPr="00990A2C">
        <w:rPr>
          <w:rFonts w:ascii="Times New Roman" w:hAnsi="Times New Roman"/>
          <w:sz w:val="24"/>
          <w:szCs w:val="24"/>
          <w:u w:val="single"/>
        </w:rPr>
        <w:t xml:space="preserve"> Bonitetna konsolidacija</w:t>
      </w:r>
      <w:bookmarkEnd w:id="15"/>
    </w:p>
    <w:p w14:paraId="468C7B6D" w14:textId="77777777" w:rsidR="00FA0C6F" w:rsidRPr="00990A2C" w:rsidRDefault="00990A2C">
      <w:pPr>
        <w:spacing w:line="256" w:lineRule="auto"/>
        <w:ind w:left="360" w:hanging="360"/>
        <w:jc w:val="both"/>
        <w:rPr>
          <w:rFonts w:ascii="Times New Roman" w:hAnsi="Times New Roman" w:cs="Times New Roman"/>
          <w:sz w:val="24"/>
        </w:rPr>
      </w:pPr>
      <w:r w:rsidRPr="00990A2C">
        <w:rPr>
          <w:rFonts w:ascii="Times New Roman" w:hAnsi="Times New Roman" w:cs="Times New Roman"/>
          <w:sz w:val="24"/>
        </w:rPr>
        <w:t>9.</w:t>
      </w:r>
      <w:r w:rsidRPr="00990A2C">
        <w:rPr>
          <w:rFonts w:ascii="Times New Roman" w:hAnsi="Times New Roman" w:cs="Times New Roman"/>
          <w:sz w:val="24"/>
        </w:rPr>
        <w:tab/>
      </w:r>
      <w:r w:rsidRPr="00990A2C">
        <w:rPr>
          <w:rFonts w:ascii="Times New Roman" w:hAnsi="Times New Roman"/>
          <w:sz w:val="24"/>
        </w:rPr>
        <w:t>Osim ako je odobreno izuzeće, Uredba (EU) 2019/2033 i Direktiva (EU) 2019/2034 primjenjuju se na investicijska društva na pojedinačnoj i konsolidiranoj osnovi,</w:t>
      </w:r>
      <w:r w:rsidRPr="00990A2C">
        <w:rPr>
          <w:rFonts w:ascii="Times New Roman" w:hAnsi="Times New Roman"/>
          <w:sz w:val="24"/>
        </w:rPr>
        <w:t xml:space="preserve"> što uključuje zahtjeve za izvješćivanje iz dijela sedmog Uredbe (EU) 2019/2033. U članku 4. stavku 1. točki 11. Uredbe (EU) 2019/2033 konsolidirani položaj definira se kao položaj koji nastane primjenom zahtjeva Uredbe (EU) 2019/2033 na grupu investicijsk</w:t>
      </w:r>
      <w:r w:rsidRPr="00990A2C">
        <w:rPr>
          <w:rFonts w:ascii="Times New Roman" w:hAnsi="Times New Roman"/>
          <w:sz w:val="24"/>
        </w:rPr>
        <w:t>og društva kao da subjekti te grupe čine jedno investicijsko društvo. Nakon primjene članka 7. Uredbe (EU) 2019/2033 grupe investicijskih društava ispunjavaju zahtjeve za izvješćivanje u svim obrascima na temelju njihova opsega bonitetne konsolidacije (koj</w:t>
      </w:r>
      <w:r w:rsidRPr="00990A2C">
        <w:rPr>
          <w:rFonts w:ascii="Times New Roman" w:hAnsi="Times New Roman"/>
          <w:sz w:val="24"/>
        </w:rPr>
        <w:t>i se može razlikovati od njihova opsega računovodstvene konsolidacije).</w:t>
      </w:r>
    </w:p>
    <w:p w14:paraId="1667D333" w14:textId="77777777" w:rsidR="00FA0C6F" w:rsidRPr="00990A2C" w:rsidRDefault="00990A2C">
      <w:pPr>
        <w:pStyle w:val="Heading2"/>
        <w:rPr>
          <w:rFonts w:ascii="Times New Roman" w:hAnsi="Times New Roman"/>
        </w:rPr>
      </w:pPr>
      <w:bookmarkStart w:id="16" w:name="_Toc88219048"/>
      <w:r w:rsidRPr="00990A2C">
        <w:rPr>
          <w:rFonts w:ascii="Times New Roman" w:hAnsi="Times New Roman"/>
        </w:rPr>
        <w:t>DIO II. UPUTE ZA OBRASCE</w:t>
      </w:r>
      <w:bookmarkEnd w:id="6"/>
      <w:bookmarkEnd w:id="7"/>
      <w:bookmarkEnd w:id="8"/>
      <w:bookmarkEnd w:id="16"/>
    </w:p>
    <w:p w14:paraId="281E13C3" w14:textId="77777777" w:rsidR="00FA0C6F" w:rsidRPr="00990A2C" w:rsidRDefault="00990A2C">
      <w:pPr>
        <w:pStyle w:val="Instructionsberschrift2"/>
        <w:ind w:left="357" w:hanging="357"/>
        <w:rPr>
          <w:rFonts w:ascii="Times New Roman" w:hAnsi="Times New Roman" w:cs="Times New Roman"/>
          <w:b/>
          <w:sz w:val="24"/>
        </w:rPr>
      </w:pPr>
      <w:bookmarkStart w:id="17" w:name="_Toc88219049"/>
      <w:r w:rsidRPr="00990A2C">
        <w:rPr>
          <w:rFonts w:ascii="Times New Roman" w:hAnsi="Times New Roman"/>
          <w:b/>
          <w:sz w:val="24"/>
          <w:u w:val="none"/>
        </w:rPr>
        <w:t>1. REGULATORNI KAPITAL: RAZINA, SASTAV, ZAHTJEVI I IZRAČUN</w:t>
      </w:r>
      <w:bookmarkEnd w:id="17"/>
    </w:p>
    <w:p w14:paraId="24E8D737" w14:textId="77777777" w:rsidR="00FA0C6F" w:rsidRPr="00990A2C" w:rsidRDefault="00990A2C">
      <w:pPr>
        <w:pStyle w:val="Instructionsberschrift2"/>
        <w:ind w:left="357" w:hanging="357"/>
        <w:rPr>
          <w:rFonts w:ascii="Times New Roman" w:hAnsi="Times New Roman" w:cs="Times New Roman"/>
          <w:sz w:val="24"/>
        </w:rPr>
      </w:pPr>
      <w:bookmarkStart w:id="18" w:name="_Toc88219050"/>
      <w:r w:rsidRPr="00990A2C">
        <w:rPr>
          <w:rFonts w:ascii="Times New Roman" w:hAnsi="Times New Roman"/>
          <w:sz w:val="24"/>
          <w:u w:val="none"/>
        </w:rPr>
        <w:t xml:space="preserve">1.1. </w:t>
      </w:r>
      <w:r w:rsidRPr="00990A2C">
        <w:rPr>
          <w:rFonts w:ascii="Times New Roman" w:hAnsi="Times New Roman"/>
          <w:sz w:val="24"/>
        </w:rPr>
        <w:t>Opće napomene</w:t>
      </w:r>
      <w:bookmarkEnd w:id="18"/>
    </w:p>
    <w:p w14:paraId="13951560" w14:textId="77777777" w:rsidR="00FA0C6F" w:rsidRPr="00990A2C" w:rsidRDefault="00990A2C">
      <w:pPr>
        <w:spacing w:line="256" w:lineRule="auto"/>
        <w:ind w:left="993" w:hanging="567"/>
        <w:jc w:val="both"/>
        <w:rPr>
          <w:rFonts w:ascii="Times New Roman" w:hAnsi="Times New Roman" w:cs="Times New Roman"/>
          <w:sz w:val="24"/>
        </w:rPr>
      </w:pPr>
      <w:r w:rsidRPr="00990A2C">
        <w:rPr>
          <w:rFonts w:ascii="Times New Roman" w:hAnsi="Times New Roman" w:cs="Times New Roman"/>
          <w:sz w:val="24"/>
        </w:rPr>
        <w:t>10.</w:t>
      </w:r>
      <w:r w:rsidRPr="00990A2C">
        <w:rPr>
          <w:rFonts w:ascii="Times New Roman" w:hAnsi="Times New Roman" w:cs="Times New Roman"/>
          <w:sz w:val="24"/>
        </w:rPr>
        <w:tab/>
      </w:r>
      <w:r w:rsidRPr="00990A2C">
        <w:rPr>
          <w:rFonts w:ascii="Times New Roman" w:hAnsi="Times New Roman"/>
          <w:sz w:val="24"/>
        </w:rPr>
        <w:t>Odjeljak s pregledom regulatornog kapitala sadržava informacije o regulatorno</w:t>
      </w:r>
      <w:r w:rsidRPr="00990A2C">
        <w:rPr>
          <w:rFonts w:ascii="Times New Roman" w:hAnsi="Times New Roman"/>
          <w:sz w:val="24"/>
        </w:rPr>
        <w:t>m kapitalu i kapitalnim zahtjevima investicijskog društva. Sadržava dva obrasca:</w:t>
      </w:r>
    </w:p>
    <w:p w14:paraId="5961C6C9" w14:textId="77777777" w:rsidR="00FA0C6F" w:rsidRPr="00990A2C" w:rsidRDefault="00990A2C">
      <w:pPr>
        <w:spacing w:line="256" w:lineRule="auto"/>
        <w:ind w:left="1728" w:hanging="648"/>
        <w:jc w:val="both"/>
        <w:rPr>
          <w:rFonts w:ascii="Times New Roman" w:hAnsi="Times New Roman" w:cs="Times New Roman"/>
          <w:sz w:val="24"/>
        </w:rPr>
      </w:pPr>
      <w:r w:rsidRPr="00990A2C">
        <w:rPr>
          <w:rFonts w:ascii="Times New Roman" w:hAnsi="Times New Roman" w:cs="Times New Roman"/>
          <w:sz w:val="24"/>
        </w:rPr>
        <w:lastRenderedPageBreak/>
        <w:t>(a)</w:t>
      </w:r>
      <w:r w:rsidRPr="00990A2C">
        <w:rPr>
          <w:rFonts w:ascii="Times New Roman" w:hAnsi="Times New Roman" w:cs="Times New Roman"/>
          <w:sz w:val="24"/>
        </w:rPr>
        <w:tab/>
      </w:r>
      <w:r w:rsidRPr="00990A2C">
        <w:rPr>
          <w:rFonts w:ascii="Times New Roman" w:hAnsi="Times New Roman"/>
          <w:sz w:val="24"/>
        </w:rPr>
        <w:t>obrazac I 01.01 odnosi se na sastav regulatornog kapitala investicijskog društva: redovni osnovni kapital (CET1), dodatni osnovni kapital (AT1) i dopunski kapital (T2);</w:t>
      </w:r>
    </w:p>
    <w:p w14:paraId="1713EEBB" w14:textId="77777777" w:rsidR="00FA0C6F" w:rsidRPr="00990A2C" w:rsidRDefault="00990A2C">
      <w:pPr>
        <w:spacing w:line="256" w:lineRule="auto"/>
        <w:ind w:left="1728" w:hanging="648"/>
        <w:jc w:val="both"/>
        <w:rPr>
          <w:rFonts w:ascii="Times New Roman" w:hAnsi="Times New Roman" w:cs="Times New Roman"/>
          <w:sz w:val="24"/>
        </w:rPr>
      </w:pPr>
      <w:r w:rsidRPr="00990A2C">
        <w:rPr>
          <w:rFonts w:ascii="Times New Roman" w:hAnsi="Times New Roman" w:cs="Times New Roman"/>
          <w:sz w:val="24"/>
        </w:rPr>
        <w:t>(b)</w:t>
      </w:r>
      <w:r w:rsidRPr="00990A2C">
        <w:rPr>
          <w:rFonts w:ascii="Times New Roman" w:hAnsi="Times New Roman" w:cs="Times New Roman"/>
          <w:sz w:val="24"/>
        </w:rPr>
        <w:tab/>
      </w:r>
      <w:r w:rsidRPr="00990A2C">
        <w:rPr>
          <w:rFonts w:ascii="Times New Roman" w:hAnsi="Times New Roman"/>
          <w:sz w:val="24"/>
        </w:rPr>
        <w:t>obrasci I 02.03 i I 02.04 odnose se na ukupni kapitalni zahtjev, zahtjev za trajni minimalni kapital, zahtjev za fiksne opće troškove, sve dodatne kapitalne zahtjeve i smjernice o regulatornom kapitalu te prijelazni kapitalni zahtjev i stope kapitala;</w:t>
      </w:r>
    </w:p>
    <w:p w14:paraId="72BA2A03" w14:textId="77777777" w:rsidR="00FA0C6F" w:rsidRPr="00990A2C" w:rsidRDefault="00990A2C">
      <w:pPr>
        <w:spacing w:line="256" w:lineRule="auto"/>
        <w:ind w:left="1728" w:hanging="648"/>
        <w:jc w:val="both"/>
        <w:rPr>
          <w:rFonts w:ascii="Times New Roman" w:hAnsi="Times New Roman" w:cs="Times New Roman"/>
          <w:sz w:val="24"/>
        </w:rPr>
      </w:pPr>
      <w:r w:rsidRPr="00990A2C">
        <w:rPr>
          <w:rFonts w:ascii="Times New Roman" w:hAnsi="Times New Roman" w:cs="Times New Roman"/>
          <w:sz w:val="24"/>
        </w:rPr>
        <w:t>(c)</w:t>
      </w:r>
      <w:r w:rsidRPr="00990A2C">
        <w:rPr>
          <w:rFonts w:ascii="Times New Roman" w:hAnsi="Times New Roman" w:cs="Times New Roman"/>
          <w:sz w:val="24"/>
        </w:rPr>
        <w:tab/>
      </w:r>
      <w:r w:rsidRPr="00990A2C">
        <w:rPr>
          <w:rFonts w:ascii="Times New Roman" w:hAnsi="Times New Roman"/>
          <w:sz w:val="24"/>
        </w:rPr>
        <w:t>obrazac I 03.01 sadržava informacije o izračunu zahtjeva za fiksne opće troškove.</w:t>
      </w:r>
    </w:p>
    <w:p w14:paraId="6AEAAA20" w14:textId="77777777" w:rsidR="00FA0C6F" w:rsidRPr="00990A2C" w:rsidRDefault="00990A2C">
      <w:pPr>
        <w:spacing w:line="256" w:lineRule="auto"/>
        <w:ind w:left="993" w:hanging="567"/>
        <w:jc w:val="both"/>
        <w:rPr>
          <w:rFonts w:ascii="Times New Roman" w:hAnsi="Times New Roman" w:cs="Times New Roman"/>
          <w:sz w:val="24"/>
        </w:rPr>
      </w:pPr>
      <w:r w:rsidRPr="00990A2C">
        <w:rPr>
          <w:rFonts w:ascii="Times New Roman" w:hAnsi="Times New Roman" w:cs="Times New Roman"/>
          <w:sz w:val="24"/>
        </w:rPr>
        <w:t>11.</w:t>
      </w:r>
      <w:r w:rsidRPr="00990A2C">
        <w:rPr>
          <w:rFonts w:ascii="Times New Roman" w:hAnsi="Times New Roman" w:cs="Times New Roman"/>
          <w:sz w:val="24"/>
        </w:rPr>
        <w:tab/>
      </w:r>
      <w:r w:rsidRPr="00990A2C">
        <w:rPr>
          <w:rFonts w:ascii="Times New Roman" w:hAnsi="Times New Roman"/>
          <w:sz w:val="24"/>
        </w:rPr>
        <w:t>Za stavke u ovim obrascima nisu u obzir uzeta prijelazna usklađenja. To znači da se iznosi (osim ako je posebno naveden prijelazni kapitalni zahtjev) izračunavaju u s</w:t>
      </w:r>
      <w:r w:rsidRPr="00990A2C">
        <w:rPr>
          <w:rFonts w:ascii="Times New Roman" w:hAnsi="Times New Roman"/>
          <w:sz w:val="24"/>
        </w:rPr>
        <w:t>kladu sa završnim odredbama (tj. kao da nema prijelaznih odredbi).</w:t>
      </w:r>
    </w:p>
    <w:p w14:paraId="478D8356" w14:textId="77777777" w:rsidR="00FA0C6F" w:rsidRPr="00990A2C" w:rsidRDefault="00990A2C">
      <w:pPr>
        <w:pStyle w:val="Instructionsberschrift2"/>
        <w:ind w:left="357" w:hanging="357"/>
        <w:rPr>
          <w:rFonts w:ascii="Times New Roman" w:hAnsi="Times New Roman" w:cs="Times New Roman"/>
          <w:sz w:val="24"/>
          <w:u w:val="none"/>
        </w:rPr>
      </w:pPr>
      <w:bookmarkStart w:id="19" w:name="_Toc88219051"/>
      <w:r w:rsidRPr="00990A2C">
        <w:rPr>
          <w:rFonts w:ascii="Times New Roman" w:hAnsi="Times New Roman"/>
          <w:sz w:val="24"/>
          <w:u w:val="none"/>
        </w:rPr>
        <w:t xml:space="preserve">1.2. </w:t>
      </w:r>
      <w:r w:rsidRPr="00990A2C">
        <w:rPr>
          <w:rFonts w:ascii="Times New Roman" w:hAnsi="Times New Roman"/>
          <w:sz w:val="24"/>
        </w:rPr>
        <w:t>I 01.01 – SASTAV REGULATORNOG KAPITALA (I 1,1)</w:t>
      </w:r>
      <w:bookmarkEnd w:id="19"/>
    </w:p>
    <w:p w14:paraId="1AF461DF" w14:textId="77777777" w:rsidR="00FA0C6F" w:rsidRPr="00990A2C" w:rsidRDefault="00990A2C">
      <w:pPr>
        <w:pStyle w:val="Instructionsberschrift2"/>
        <w:ind w:left="357" w:hanging="357"/>
        <w:rPr>
          <w:rFonts w:ascii="Times New Roman" w:hAnsi="Times New Roman" w:cs="Times New Roman"/>
          <w:sz w:val="24"/>
        </w:rPr>
      </w:pPr>
      <w:bookmarkStart w:id="20" w:name="_Toc88219052"/>
      <w:r w:rsidRPr="00990A2C">
        <w:rPr>
          <w:rFonts w:ascii="Times New Roman" w:hAnsi="Times New Roman"/>
          <w:sz w:val="24"/>
          <w:u w:val="none"/>
        </w:rPr>
        <w:t>1.2.1</w:t>
      </w:r>
      <w:r w:rsidRPr="00990A2C">
        <w:rPr>
          <w:rFonts w:ascii="Times New Roman" w:hAnsi="Times New Roman"/>
          <w:sz w:val="24"/>
          <w:u w:val="none"/>
        </w:rPr>
        <w:tab/>
      </w:r>
      <w:r w:rsidRPr="00990A2C">
        <w:rPr>
          <w:rFonts w:ascii="Times New Roman" w:hAnsi="Times New Roman"/>
          <w:sz w:val="24"/>
        </w:rPr>
        <w:t>Upute za specifične pozicije</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A0C6F" w:rsidRPr="00990A2C" w14:paraId="66CBED51" w14:textId="77777777">
        <w:tc>
          <w:tcPr>
            <w:tcW w:w="1129" w:type="dxa"/>
            <w:shd w:val="clear" w:color="auto" w:fill="D9D9D9"/>
          </w:tcPr>
          <w:p w14:paraId="2C5B6382"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Redak</w:t>
            </w:r>
          </w:p>
        </w:tc>
        <w:tc>
          <w:tcPr>
            <w:tcW w:w="7620" w:type="dxa"/>
            <w:shd w:val="clear" w:color="auto" w:fill="D9D9D9"/>
          </w:tcPr>
          <w:p w14:paraId="49052E3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Pravna osnova i upute</w:t>
            </w:r>
          </w:p>
        </w:tc>
      </w:tr>
      <w:tr w:rsidR="00FA0C6F" w:rsidRPr="00990A2C" w14:paraId="08F9D269" w14:textId="77777777">
        <w:tc>
          <w:tcPr>
            <w:tcW w:w="1129" w:type="dxa"/>
          </w:tcPr>
          <w:p w14:paraId="385C32B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0010</w:t>
            </w:r>
          </w:p>
        </w:tc>
        <w:tc>
          <w:tcPr>
            <w:tcW w:w="7620" w:type="dxa"/>
          </w:tcPr>
          <w:p w14:paraId="44134F3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REGULATORNI KAPITAL</w:t>
            </w:r>
          </w:p>
          <w:p w14:paraId="33D36AB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Članak 9. stavak 1. Uredbe </w:t>
            </w:r>
            <w:r w:rsidRPr="00990A2C">
              <w:rPr>
                <w:rFonts w:ascii="Times New Roman" w:hAnsi="Times New Roman"/>
                <w:bCs/>
              </w:rPr>
              <w:t>(EU) 2019/2033</w:t>
            </w:r>
          </w:p>
          <w:p w14:paraId="50B1D7FB" w14:textId="77777777" w:rsidR="00FA0C6F" w:rsidRPr="00990A2C" w:rsidRDefault="00990A2C">
            <w:pPr>
              <w:spacing w:after="120" w:line="240" w:lineRule="auto"/>
              <w:jc w:val="both"/>
              <w:rPr>
                <w:rStyle w:val="FormatvorlageInstructionsTabelleText"/>
                <w:rFonts w:ascii="Times New Roman" w:hAnsi="Times New Roman"/>
                <w:sz w:val="22"/>
              </w:rPr>
            </w:pPr>
            <w:r w:rsidRPr="00990A2C">
              <w:rPr>
                <w:rStyle w:val="FormatvorlageInstructionsTabelleText"/>
                <w:rFonts w:ascii="Times New Roman" w:hAnsi="Times New Roman"/>
                <w:sz w:val="22"/>
              </w:rPr>
              <w:t>Regulatorni kapital investicijskog društva sastoji se od zbroja njegova osnovnog kapitala i dopunskog kapitala.</w:t>
            </w:r>
          </w:p>
          <w:p w14:paraId="51B7886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Iskazuje se ukupni zbroj redaka 0020 i 0380.</w:t>
            </w:r>
          </w:p>
        </w:tc>
      </w:tr>
      <w:tr w:rsidR="00FA0C6F" w:rsidRPr="00990A2C" w14:paraId="667D1888" w14:textId="77777777">
        <w:tc>
          <w:tcPr>
            <w:tcW w:w="1129" w:type="dxa"/>
          </w:tcPr>
          <w:p w14:paraId="7309AF9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0020</w:t>
            </w:r>
          </w:p>
        </w:tc>
        <w:tc>
          <w:tcPr>
            <w:tcW w:w="7620" w:type="dxa"/>
          </w:tcPr>
          <w:p w14:paraId="55A1ABC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OSNOVNI KAPITAL</w:t>
            </w:r>
          </w:p>
          <w:p w14:paraId="3647405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 xml:space="preserve">Osnovni kapital zbroj je redovnog osnovnog kapitala i </w:t>
            </w:r>
            <w:r w:rsidRPr="00990A2C">
              <w:rPr>
                <w:rStyle w:val="FormatvorlageInstructionsTabelleText"/>
                <w:rFonts w:ascii="Times New Roman" w:hAnsi="Times New Roman"/>
                <w:sz w:val="22"/>
              </w:rPr>
              <w:t>dodatnog osnovnog kapitala.</w:t>
            </w:r>
          </w:p>
        </w:tc>
      </w:tr>
      <w:tr w:rsidR="00FA0C6F" w:rsidRPr="00990A2C" w14:paraId="731C579B" w14:textId="77777777">
        <w:tc>
          <w:tcPr>
            <w:tcW w:w="1129" w:type="dxa"/>
          </w:tcPr>
          <w:p w14:paraId="6823170F"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0030</w:t>
            </w:r>
          </w:p>
        </w:tc>
        <w:tc>
          <w:tcPr>
            <w:tcW w:w="7620" w:type="dxa"/>
          </w:tcPr>
          <w:p w14:paraId="25388BB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InstructionsTabelleberschrift"/>
                <w:rFonts w:ascii="Times New Roman" w:hAnsi="Times New Roman"/>
                <w:sz w:val="22"/>
              </w:rPr>
              <w:t>REDOVNI OSNOVNI KAPITAL</w:t>
            </w:r>
          </w:p>
          <w:p w14:paraId="0555C41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Uredbe (EU) 2019/2033</w:t>
            </w:r>
          </w:p>
          <w:p w14:paraId="464FF4C1" w14:textId="77777777" w:rsidR="00FA0C6F" w:rsidRPr="00990A2C" w:rsidRDefault="00990A2C">
            <w:pPr>
              <w:spacing w:after="120" w:line="240" w:lineRule="auto"/>
              <w:jc w:val="both"/>
              <w:rPr>
                <w:rStyle w:val="FormatvorlageInstructionsTabelleText"/>
                <w:rFonts w:ascii="Times New Roman" w:hAnsi="Times New Roman"/>
                <w:sz w:val="22"/>
              </w:rPr>
            </w:pPr>
            <w:r w:rsidRPr="00990A2C">
              <w:rPr>
                <w:rStyle w:val="FormatvorlageInstructionsTabelleText"/>
                <w:rFonts w:ascii="Times New Roman" w:hAnsi="Times New Roman"/>
                <w:sz w:val="22"/>
              </w:rPr>
              <w:t>Članak 50. Uredbe (EU) br. 575/2013</w:t>
            </w:r>
          </w:p>
          <w:p w14:paraId="046D608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Iskazuje se ukupni zbroj redaka od 0040 do 0060, od 0090 do 0140 i retka 0290.</w:t>
            </w:r>
          </w:p>
        </w:tc>
      </w:tr>
      <w:tr w:rsidR="00FA0C6F" w:rsidRPr="00990A2C" w14:paraId="7BD8ECF0" w14:textId="77777777">
        <w:tc>
          <w:tcPr>
            <w:tcW w:w="1129" w:type="dxa"/>
          </w:tcPr>
          <w:p w14:paraId="2159C33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0040</w:t>
            </w:r>
          </w:p>
        </w:tc>
        <w:tc>
          <w:tcPr>
            <w:tcW w:w="7620" w:type="dxa"/>
          </w:tcPr>
          <w:p w14:paraId="0BA373E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U potpunosti plaćeni </w:t>
            </w:r>
            <w:r w:rsidRPr="00990A2C">
              <w:rPr>
                <w:rFonts w:ascii="Times New Roman" w:hAnsi="Times New Roman"/>
                <w:b/>
                <w:bCs/>
                <w:u w:val="single"/>
              </w:rPr>
              <w:t>instrumenti kapitala</w:t>
            </w:r>
          </w:p>
          <w:p w14:paraId="18A1DA4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143FB794"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Članak 26. stavak 1. točka (a) i članci od 27. do 31. Uredbe (EU) br. 575/2013</w:t>
            </w:r>
          </w:p>
          <w:p w14:paraId="6B725DD0"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Uključuju se instrumenti kapitala uzajamnih institucija, zadruga ili sličnih institucija (članci 27. i 29</w:t>
            </w:r>
            <w:r w:rsidRPr="00990A2C">
              <w:rPr>
                <w:rStyle w:val="FormatvorlageInstructionsTabelleText"/>
                <w:rFonts w:ascii="Times New Roman" w:hAnsi="Times New Roman"/>
                <w:sz w:val="22"/>
                <w:szCs w:val="22"/>
              </w:rPr>
              <w:t>. Uredbe (EU) br. 575/2013).</w:t>
            </w:r>
          </w:p>
          <w:p w14:paraId="1D85E57B"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Ne uključuje se premija na dionice povezana s instrumentima.</w:t>
            </w:r>
          </w:p>
          <w:p w14:paraId="34C16F55" w14:textId="77777777" w:rsidR="00FA0C6F" w:rsidRPr="00990A2C" w:rsidRDefault="00990A2C">
            <w:pPr>
              <w:pStyle w:val="InstructionsText"/>
              <w:rPr>
                <w:sz w:val="22"/>
                <w:szCs w:val="22"/>
              </w:rPr>
            </w:pPr>
            <w:r w:rsidRPr="00990A2C">
              <w:rPr>
                <w:rStyle w:val="FormatvorlageInstructionsTabelleText"/>
                <w:rFonts w:ascii="Times New Roman" w:hAnsi="Times New Roman"/>
                <w:sz w:val="22"/>
                <w:szCs w:val="22"/>
              </w:rPr>
              <w:t>Instrumenti kapitala koje upisuju tijela javne vlasti u izvanrednim situacijama uključuju se ako su ispunjeni svi uvjeti iz članka 31. Uredbe (EU) br. 575/2013.</w:t>
            </w:r>
          </w:p>
        </w:tc>
      </w:tr>
      <w:tr w:rsidR="00FA0C6F" w:rsidRPr="00990A2C" w14:paraId="2AE3701A" w14:textId="77777777">
        <w:tc>
          <w:tcPr>
            <w:tcW w:w="1129" w:type="dxa"/>
          </w:tcPr>
          <w:p w14:paraId="4C06A3F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0050</w:t>
            </w:r>
          </w:p>
        </w:tc>
        <w:tc>
          <w:tcPr>
            <w:tcW w:w="7620" w:type="dxa"/>
          </w:tcPr>
          <w:p w14:paraId="35CCAFB8"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Premija na dionice</w:t>
            </w:r>
          </w:p>
          <w:p w14:paraId="087DE4C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60BEBCAC" w14:textId="77777777" w:rsidR="00FA0C6F" w:rsidRPr="00990A2C" w:rsidRDefault="00990A2C">
            <w:pPr>
              <w:spacing w:after="120" w:line="240" w:lineRule="auto"/>
              <w:jc w:val="both"/>
              <w:rPr>
                <w:rStyle w:val="FormatvorlageInstructionsTabelleText"/>
                <w:rFonts w:ascii="Times New Roman" w:hAnsi="Times New Roman"/>
                <w:sz w:val="22"/>
              </w:rPr>
            </w:pPr>
            <w:r w:rsidRPr="00990A2C">
              <w:rPr>
                <w:rStyle w:val="FormatvorlageInstructionsTabelleText"/>
                <w:rFonts w:ascii="Times New Roman" w:hAnsi="Times New Roman"/>
                <w:sz w:val="22"/>
              </w:rPr>
              <w:t>Članak 26. stavak 1. točka (b) Uredbe (EU) br. 575/2013</w:t>
            </w:r>
          </w:p>
          <w:p w14:paraId="10590188"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Premija na dionice ima isto značenje kao i u primjenjivom računovodstvenom standardu.</w:t>
            </w:r>
          </w:p>
          <w:p w14:paraId="419C793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lastRenderedPageBreak/>
              <w:t>Iznos koji se iskazuje u ovoj stavci di</w:t>
            </w:r>
            <w:r w:rsidRPr="00990A2C">
              <w:rPr>
                <w:rStyle w:val="FormatvorlageInstructionsTabelleText"/>
                <w:rFonts w:ascii="Times New Roman" w:hAnsi="Times New Roman"/>
                <w:sz w:val="22"/>
              </w:rPr>
              <w:t>o je koji se odnosi na „plaćene instrumente kapitala”.</w:t>
            </w:r>
          </w:p>
        </w:tc>
      </w:tr>
      <w:tr w:rsidR="00FA0C6F" w:rsidRPr="00990A2C" w14:paraId="07EB9A6F" w14:textId="77777777">
        <w:tc>
          <w:tcPr>
            <w:tcW w:w="1129" w:type="dxa"/>
          </w:tcPr>
          <w:p w14:paraId="72505A9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0060</w:t>
            </w:r>
          </w:p>
        </w:tc>
        <w:tc>
          <w:tcPr>
            <w:tcW w:w="7620" w:type="dxa"/>
          </w:tcPr>
          <w:p w14:paraId="0FB0B8E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Zadržana dobit</w:t>
            </w:r>
          </w:p>
          <w:p w14:paraId="09B1A88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7F9AB7CD" w14:textId="77777777" w:rsidR="00FA0C6F" w:rsidRPr="00990A2C" w:rsidRDefault="00990A2C">
            <w:pPr>
              <w:spacing w:after="120" w:line="240" w:lineRule="auto"/>
              <w:jc w:val="both"/>
              <w:rPr>
                <w:rFonts w:ascii="Times New Roman" w:eastAsia="Times New Roman" w:hAnsi="Times New Roman" w:cs="Times New Roman"/>
                <w:bCs/>
              </w:rPr>
            </w:pPr>
            <w:r w:rsidRPr="00990A2C">
              <w:rPr>
                <w:rStyle w:val="FormatvorlageInstructionsTabelleText"/>
                <w:rFonts w:ascii="Times New Roman" w:hAnsi="Times New Roman"/>
                <w:sz w:val="22"/>
              </w:rPr>
              <w:t>Članak 26. stavak 1. točka (c) Uredbe (EU) br. 575/2013</w:t>
            </w:r>
          </w:p>
          <w:p w14:paraId="6D8A2A3B" w14:textId="77777777" w:rsidR="00FA0C6F" w:rsidRPr="00990A2C" w:rsidRDefault="00990A2C">
            <w:pPr>
              <w:spacing w:after="120" w:line="240" w:lineRule="auto"/>
              <w:jc w:val="both"/>
              <w:rPr>
                <w:rStyle w:val="FormatvorlageInstructionsTabelleText"/>
                <w:rFonts w:ascii="Times New Roman" w:hAnsi="Times New Roman"/>
                <w:sz w:val="22"/>
              </w:rPr>
            </w:pPr>
            <w:r w:rsidRPr="00990A2C">
              <w:rPr>
                <w:rStyle w:val="FormatvorlageInstructionsTabelleText"/>
                <w:rFonts w:ascii="Times New Roman" w:hAnsi="Times New Roman"/>
                <w:sz w:val="22"/>
              </w:rPr>
              <w:t>Zadržana dobit uključuje zadržanu dobit prethodne godine uvećanu za prizn</w:t>
            </w:r>
            <w:r w:rsidRPr="00990A2C">
              <w:rPr>
                <w:rStyle w:val="FormatvorlageInstructionsTabelleText"/>
                <w:rFonts w:ascii="Times New Roman" w:hAnsi="Times New Roman"/>
                <w:sz w:val="22"/>
              </w:rPr>
              <w:t>atu dobit tekuće godine ostvarenu tijekom poslovne godine ili dobit tekuće godine ostvarenu na kraju poslovne godine.</w:t>
            </w:r>
          </w:p>
          <w:p w14:paraId="688315E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Iskazuje se ukupni zbroj redaka 0070 i 0080.</w:t>
            </w:r>
          </w:p>
        </w:tc>
      </w:tr>
      <w:tr w:rsidR="00FA0C6F" w:rsidRPr="00990A2C" w14:paraId="47C31E3D" w14:textId="77777777">
        <w:tc>
          <w:tcPr>
            <w:tcW w:w="1129" w:type="dxa"/>
          </w:tcPr>
          <w:p w14:paraId="7490363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0070</w:t>
            </w:r>
          </w:p>
        </w:tc>
        <w:tc>
          <w:tcPr>
            <w:tcW w:w="7620" w:type="dxa"/>
          </w:tcPr>
          <w:p w14:paraId="5B7BD389"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Zadržana dobit iz proteklih godina</w:t>
            </w:r>
          </w:p>
          <w:p w14:paraId="386F119A" w14:textId="77777777" w:rsidR="00FA0C6F" w:rsidRPr="00990A2C" w:rsidRDefault="00990A2C">
            <w:pPr>
              <w:spacing w:after="120" w:line="240" w:lineRule="auto"/>
              <w:jc w:val="both"/>
              <w:rPr>
                <w:rFonts w:ascii="Times New Roman" w:eastAsia="Times New Roman" w:hAnsi="Times New Roman" w:cs="Times New Roman"/>
              </w:rPr>
            </w:pPr>
            <w:r w:rsidRPr="00990A2C">
              <w:rPr>
                <w:rFonts w:ascii="Times New Roman" w:hAnsi="Times New Roman"/>
              </w:rPr>
              <w:t xml:space="preserve">Članak 4. stavak 1. točka 123. i </w:t>
            </w:r>
            <w:r w:rsidRPr="00990A2C">
              <w:rPr>
                <w:rFonts w:ascii="Times New Roman" w:hAnsi="Times New Roman"/>
              </w:rPr>
              <w:t>članak 26. stavak 1. točka (c) Uredbe (EU) br. 575/2013</w:t>
            </w:r>
          </w:p>
          <w:p w14:paraId="18030AD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rPr>
              <w:t xml:space="preserve">Člankom 4. stavkom 1. točkom 123. Uredbe (EU) br. 575/2013 zadržana dobit definirana je kao „prenesena dobit i gubitak koji proizlaze iz dobiti ili gubitka proteklih godina, u skladu s </w:t>
            </w:r>
            <w:r w:rsidRPr="00990A2C">
              <w:rPr>
                <w:rFonts w:ascii="Times New Roman" w:hAnsi="Times New Roman"/>
              </w:rPr>
              <w:t>primjenjivim računovodstvenim okvirom”.</w:t>
            </w:r>
          </w:p>
        </w:tc>
      </w:tr>
      <w:tr w:rsidR="00FA0C6F" w:rsidRPr="00990A2C" w14:paraId="3812D4B8" w14:textId="77777777">
        <w:tc>
          <w:tcPr>
            <w:tcW w:w="1129" w:type="dxa"/>
          </w:tcPr>
          <w:p w14:paraId="236BDEF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0080</w:t>
            </w:r>
          </w:p>
        </w:tc>
        <w:tc>
          <w:tcPr>
            <w:tcW w:w="7620" w:type="dxa"/>
          </w:tcPr>
          <w:p w14:paraId="7C560E5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Prihvatljiva dobit</w:t>
            </w:r>
          </w:p>
          <w:p w14:paraId="0C70DA34" w14:textId="77777777" w:rsidR="00FA0C6F" w:rsidRPr="00990A2C" w:rsidRDefault="00990A2C">
            <w:pPr>
              <w:spacing w:after="120" w:line="240" w:lineRule="auto"/>
              <w:jc w:val="both"/>
              <w:rPr>
                <w:rFonts w:ascii="Times New Roman" w:eastAsia="Times New Roman" w:hAnsi="Times New Roman" w:cs="Times New Roman"/>
              </w:rPr>
            </w:pPr>
            <w:r w:rsidRPr="00990A2C">
              <w:rPr>
                <w:rFonts w:ascii="Times New Roman" w:hAnsi="Times New Roman"/>
              </w:rPr>
              <w:t>Članak 4. stavak 1. točka 121., članak 26. stavak 2. i članak 36. stavak 1. točka (a) Uredbe (EU) br. 575/2013</w:t>
            </w:r>
          </w:p>
          <w:p w14:paraId="606FB22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rPr>
              <w:t>Člankom 26. stavkom 2. Uredbe (EU) br. 575/2013 dopušteno je uz prethodno odobre</w:t>
            </w:r>
            <w:r w:rsidRPr="00990A2C">
              <w:rPr>
                <w:rFonts w:ascii="Times New Roman" w:hAnsi="Times New Roman"/>
              </w:rPr>
              <w:t xml:space="preserve">nje nadležnih tijela uključiti dobit tekuće godine ostvarenu tijekom poslovne godine ili dobit tekuće godine ostvarenu na kraju poslovne godine kao zadržanu dobit, ako su ispunjeni neki uvjeti. </w:t>
            </w:r>
          </w:p>
        </w:tc>
      </w:tr>
      <w:tr w:rsidR="00FA0C6F" w:rsidRPr="00990A2C" w14:paraId="68CFA548" w14:textId="77777777">
        <w:tc>
          <w:tcPr>
            <w:tcW w:w="1129" w:type="dxa"/>
          </w:tcPr>
          <w:p w14:paraId="45775A0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0090</w:t>
            </w:r>
          </w:p>
        </w:tc>
        <w:tc>
          <w:tcPr>
            <w:tcW w:w="7620" w:type="dxa"/>
          </w:tcPr>
          <w:p w14:paraId="0EC6A24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Akumulirana ostala sveobuhvatna dobit</w:t>
            </w:r>
          </w:p>
          <w:p w14:paraId="754D4E4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w:t>
            </w:r>
            <w:r w:rsidRPr="00990A2C">
              <w:rPr>
                <w:rFonts w:ascii="Times New Roman" w:hAnsi="Times New Roman"/>
                <w:bCs/>
              </w:rPr>
              <w:t>1. točka</w:t>
            </w:r>
            <w:r w:rsidRPr="00990A2C">
              <w:rPr>
                <w:rFonts w:ascii="Times New Roman" w:hAnsi="Times New Roman"/>
                <w:bCs/>
              </w:rPr>
              <w:t xml:space="preserve"> i.</w:t>
            </w:r>
            <w:r w:rsidRPr="00990A2C">
              <w:rPr>
                <w:rFonts w:ascii="Times New Roman" w:hAnsi="Times New Roman"/>
                <w:bCs/>
              </w:rPr>
              <w:t xml:space="preserve"> Uredbe (EU) 2019/2033</w:t>
            </w:r>
          </w:p>
          <w:p w14:paraId="31C189C9" w14:textId="77777777" w:rsidR="00FA0C6F" w:rsidRPr="00990A2C" w:rsidRDefault="00990A2C">
            <w:pPr>
              <w:spacing w:after="120" w:line="240" w:lineRule="auto"/>
              <w:jc w:val="both"/>
              <w:rPr>
                <w:rFonts w:ascii="Times New Roman" w:hAnsi="Times New Roman" w:cs="Times New Roman"/>
                <w:bCs/>
              </w:rPr>
            </w:pPr>
            <w:r w:rsidRPr="00990A2C">
              <w:rPr>
                <w:rStyle w:val="FormatvorlageInstructionsTabelleText"/>
                <w:rFonts w:ascii="Times New Roman" w:hAnsi="Times New Roman"/>
                <w:sz w:val="22"/>
              </w:rPr>
              <w:t>Članak 26. stavak 1. točka (d) Uredbe (EU) br. 575/2013</w:t>
            </w:r>
          </w:p>
        </w:tc>
      </w:tr>
      <w:tr w:rsidR="00FA0C6F" w:rsidRPr="00990A2C" w14:paraId="124F0E39" w14:textId="77777777">
        <w:tc>
          <w:tcPr>
            <w:tcW w:w="1129" w:type="dxa"/>
          </w:tcPr>
          <w:p w14:paraId="01049D0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0100</w:t>
            </w:r>
          </w:p>
        </w:tc>
        <w:tc>
          <w:tcPr>
            <w:tcW w:w="7620" w:type="dxa"/>
          </w:tcPr>
          <w:p w14:paraId="29085E79"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Ostale rezerve</w:t>
            </w:r>
          </w:p>
          <w:p w14:paraId="411D0E6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12BDEDC8" w14:textId="77777777" w:rsidR="00FA0C6F" w:rsidRPr="00990A2C" w:rsidRDefault="00990A2C">
            <w:pPr>
              <w:spacing w:after="120" w:line="240" w:lineRule="auto"/>
              <w:jc w:val="both"/>
              <w:rPr>
                <w:rStyle w:val="FormatvorlageInstructionsTabelleText"/>
                <w:rFonts w:ascii="Times New Roman" w:hAnsi="Times New Roman"/>
                <w:sz w:val="22"/>
              </w:rPr>
            </w:pPr>
            <w:r w:rsidRPr="00990A2C">
              <w:rPr>
                <w:rStyle w:val="FormatvorlageInstructionsTabelleText"/>
                <w:rFonts w:ascii="Times New Roman" w:hAnsi="Times New Roman"/>
                <w:sz w:val="22"/>
              </w:rPr>
              <w:t>Članak 4. stavak 1. točka 117. i članak 26. stavak 1. točka (e) Uredbe (EU) br. 575/2013</w:t>
            </w:r>
          </w:p>
          <w:p w14:paraId="1B57CC8D"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Iznos</w:t>
            </w:r>
            <w:r w:rsidRPr="00990A2C">
              <w:rPr>
                <w:rStyle w:val="FormatvorlageInstructionsTabelleText"/>
                <w:rFonts w:ascii="Times New Roman" w:hAnsi="Times New Roman"/>
                <w:sz w:val="22"/>
              </w:rPr>
              <w:t xml:space="preserve"> koji se iskazuje ne uključuje porezne troškove predvidive u trenutku izračuna.</w:t>
            </w:r>
          </w:p>
        </w:tc>
      </w:tr>
      <w:tr w:rsidR="00FA0C6F" w:rsidRPr="00990A2C" w14:paraId="3187A1C0" w14:textId="77777777">
        <w:tc>
          <w:tcPr>
            <w:tcW w:w="1129" w:type="dxa"/>
          </w:tcPr>
          <w:p w14:paraId="7DE161B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0110</w:t>
            </w:r>
          </w:p>
        </w:tc>
        <w:tc>
          <w:tcPr>
            <w:tcW w:w="7620" w:type="dxa"/>
            <w:shd w:val="clear" w:color="auto" w:fill="auto"/>
          </w:tcPr>
          <w:p w14:paraId="4A6FA956"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Manjinski udjel priznat u redovnom osnovnom kapitalu</w:t>
            </w:r>
          </w:p>
          <w:p w14:paraId="38C03710" w14:textId="77777777" w:rsidR="00FA0C6F" w:rsidRPr="00990A2C" w:rsidRDefault="00990A2C">
            <w:pPr>
              <w:spacing w:after="120" w:line="240" w:lineRule="auto"/>
              <w:jc w:val="both"/>
              <w:rPr>
                <w:rStyle w:val="FormatvorlageInstructionsTabelleText"/>
                <w:rFonts w:ascii="Times New Roman" w:hAnsi="Times New Roman"/>
                <w:sz w:val="22"/>
              </w:rPr>
            </w:pPr>
            <w:r w:rsidRPr="00990A2C">
              <w:rPr>
                <w:rStyle w:val="FormatvorlageInstructionsTabelleText"/>
                <w:rFonts w:ascii="Times New Roman" w:hAnsi="Times New Roman"/>
                <w:sz w:val="22"/>
              </w:rPr>
              <w:t>Članak 84. stavak 1., članak 85. stavak 1. i članak 87. stavak 1. Uredbe (EU) br. 575/2013</w:t>
            </w:r>
          </w:p>
          <w:p w14:paraId="410D2D17"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 xml:space="preserve">Zbroj svih iznosa </w:t>
            </w:r>
            <w:r w:rsidRPr="00990A2C">
              <w:rPr>
                <w:rStyle w:val="FormatvorlageInstructionsTabelleText"/>
                <w:rFonts w:ascii="Times New Roman" w:hAnsi="Times New Roman"/>
                <w:sz w:val="22"/>
              </w:rPr>
              <w:t>manjinskih udjela društava kćeri koji je uključen u konsolidirani redovni osnovni kapital.</w:t>
            </w:r>
          </w:p>
        </w:tc>
      </w:tr>
      <w:tr w:rsidR="00FA0C6F" w:rsidRPr="00990A2C" w14:paraId="4CDC9699" w14:textId="77777777">
        <w:tc>
          <w:tcPr>
            <w:tcW w:w="1129" w:type="dxa"/>
          </w:tcPr>
          <w:p w14:paraId="3B5506C9"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0120</w:t>
            </w:r>
          </w:p>
        </w:tc>
        <w:tc>
          <w:tcPr>
            <w:tcW w:w="7620" w:type="dxa"/>
            <w:shd w:val="clear" w:color="auto" w:fill="auto"/>
          </w:tcPr>
          <w:p w14:paraId="47F22429"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Usklađenja redovnog osnovnog kapitala zbog bonitetnih filtara</w:t>
            </w:r>
          </w:p>
          <w:p w14:paraId="2F621C40" w14:textId="77777777" w:rsidR="00FA0C6F" w:rsidRPr="00990A2C" w:rsidRDefault="00990A2C">
            <w:pPr>
              <w:spacing w:after="120" w:line="240" w:lineRule="auto"/>
              <w:jc w:val="both"/>
              <w:rPr>
                <w:rStyle w:val="FormatvorlageInstructionsTabelleText"/>
                <w:rFonts w:ascii="Times New Roman" w:hAnsi="Times New Roman"/>
                <w:sz w:val="22"/>
              </w:rPr>
            </w:pPr>
            <w:r w:rsidRPr="00990A2C">
              <w:rPr>
                <w:rStyle w:val="FormatvorlageInstructionsTabelleText"/>
                <w:rFonts w:ascii="Times New Roman" w:hAnsi="Times New Roman"/>
                <w:sz w:val="22"/>
              </w:rPr>
              <w:t>Članak 9. stavak 1. točka</w:t>
            </w:r>
            <w:r w:rsidRPr="00990A2C">
              <w:rPr>
                <w:rStyle w:val="FormatvorlageInstructionsTabelleText"/>
                <w:rFonts w:ascii="Times New Roman" w:hAnsi="Times New Roman"/>
                <w:sz w:val="22"/>
              </w:rPr>
              <w:t xml:space="preserve"> i.</w:t>
            </w:r>
            <w:r w:rsidRPr="00990A2C">
              <w:rPr>
                <w:rStyle w:val="FormatvorlageInstructionsTabelleText"/>
                <w:rFonts w:ascii="Times New Roman" w:hAnsi="Times New Roman"/>
                <w:sz w:val="22"/>
              </w:rPr>
              <w:t xml:space="preserve"> Uredbe (EU) 2019/2033</w:t>
            </w:r>
          </w:p>
          <w:p w14:paraId="61E2978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 xml:space="preserve">Članci od 32. do 35. Uredbe (EU) </w:t>
            </w:r>
            <w:r w:rsidRPr="00990A2C">
              <w:rPr>
                <w:rStyle w:val="FormatvorlageInstructionsTabelleText"/>
                <w:rFonts w:ascii="Times New Roman" w:hAnsi="Times New Roman"/>
                <w:sz w:val="22"/>
              </w:rPr>
              <w:t>br. 575/2013</w:t>
            </w:r>
          </w:p>
        </w:tc>
      </w:tr>
      <w:tr w:rsidR="00FA0C6F" w:rsidRPr="00990A2C" w14:paraId="1696F039" w14:textId="77777777">
        <w:tc>
          <w:tcPr>
            <w:tcW w:w="1129" w:type="dxa"/>
          </w:tcPr>
          <w:p w14:paraId="458A430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0130</w:t>
            </w:r>
          </w:p>
        </w:tc>
        <w:tc>
          <w:tcPr>
            <w:tcW w:w="7620" w:type="dxa"/>
          </w:tcPr>
          <w:p w14:paraId="643A160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Druga sredstva</w:t>
            </w:r>
          </w:p>
          <w:p w14:paraId="236C8E2C"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4. Uredbe (EU) 2019/2033</w:t>
            </w:r>
          </w:p>
        </w:tc>
      </w:tr>
      <w:tr w:rsidR="00FA0C6F" w:rsidRPr="00990A2C" w14:paraId="59BE95BA" w14:textId="77777777">
        <w:tc>
          <w:tcPr>
            <w:tcW w:w="1129" w:type="dxa"/>
          </w:tcPr>
          <w:p w14:paraId="378A841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0140</w:t>
            </w:r>
          </w:p>
        </w:tc>
        <w:tc>
          <w:tcPr>
            <w:tcW w:w="7620" w:type="dxa"/>
          </w:tcPr>
          <w:p w14:paraId="57F92CF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UKUPNI ODBICI OD REDOVNOG OSNOVNOG KAPITALA</w:t>
            </w:r>
          </w:p>
          <w:p w14:paraId="0D3F8AD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Iskazuje se ukupni zbroj redaka od 0190 do 0285.</w:t>
            </w:r>
          </w:p>
        </w:tc>
      </w:tr>
      <w:tr w:rsidR="00FA0C6F" w:rsidRPr="00990A2C" w14:paraId="5CB2B58C" w14:textId="77777777">
        <w:tc>
          <w:tcPr>
            <w:tcW w:w="1129" w:type="dxa"/>
          </w:tcPr>
          <w:p w14:paraId="7F82D3D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904CB3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Gubici tekuće financijske godine</w:t>
            </w:r>
          </w:p>
          <w:p w14:paraId="27F42817"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rPr>
              <w:t xml:space="preserve">Članak 36. stavak 1. točka (a) </w:t>
            </w:r>
            <w:r w:rsidRPr="00990A2C">
              <w:rPr>
                <w:rFonts w:ascii="Times New Roman" w:hAnsi="Times New Roman"/>
              </w:rPr>
              <w:t>Uredbe (EU) br. 575/2013</w:t>
            </w:r>
          </w:p>
        </w:tc>
      </w:tr>
      <w:tr w:rsidR="00FA0C6F" w:rsidRPr="00990A2C" w14:paraId="435A3A8F" w14:textId="77777777">
        <w:tc>
          <w:tcPr>
            <w:tcW w:w="1129" w:type="dxa"/>
          </w:tcPr>
          <w:p w14:paraId="4EEBA8B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1B4E4D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 </w:t>
            </w:r>
            <w:r w:rsidRPr="00990A2C">
              <w:rPr>
                <w:rFonts w:ascii="Times New Roman" w:hAnsi="Times New Roman"/>
                <w:b/>
                <w:bCs/>
                <w:i/>
                <w:iCs/>
                <w:u w:val="single"/>
              </w:rPr>
              <w:t>Goodwill</w:t>
            </w:r>
          </w:p>
          <w:p w14:paraId="53BC4DA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79FB9398"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Članak 4. stavak 1. točka 113., članak 36. stavak 1. točka (b) i članak 37. Uredbe (EU) br. 575/2013</w:t>
            </w:r>
          </w:p>
        </w:tc>
      </w:tr>
      <w:tr w:rsidR="00FA0C6F" w:rsidRPr="00990A2C" w14:paraId="5F02EC76" w14:textId="77777777">
        <w:tc>
          <w:tcPr>
            <w:tcW w:w="1129" w:type="dxa"/>
          </w:tcPr>
          <w:p w14:paraId="7785620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0E9DD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Ostala nematerijalna imovina</w:t>
            </w:r>
          </w:p>
          <w:p w14:paraId="72C9AE72"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Članak 9. </w:t>
            </w:r>
            <w:r w:rsidRPr="00990A2C">
              <w:rPr>
                <w:rFonts w:ascii="Times New Roman" w:hAnsi="Times New Roman"/>
                <w:bCs/>
              </w:rPr>
              <w:t>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3E3642DA" w14:textId="77777777" w:rsidR="00FA0C6F" w:rsidRPr="00990A2C" w:rsidRDefault="00990A2C">
            <w:pPr>
              <w:pStyle w:val="InstructionsText"/>
              <w:rPr>
                <w:rStyle w:val="FormatvorlageInstructionsTabelleText"/>
                <w:rFonts w:ascii="Times New Roman" w:eastAsiaTheme="minorHAnsi" w:hAnsi="Times New Roman"/>
                <w:bCs/>
                <w:sz w:val="22"/>
                <w:szCs w:val="22"/>
              </w:rPr>
            </w:pPr>
            <w:r w:rsidRPr="00990A2C">
              <w:rPr>
                <w:rStyle w:val="FormatvorlageInstructionsTabelleText"/>
                <w:rFonts w:ascii="Times New Roman" w:hAnsi="Times New Roman"/>
                <w:sz w:val="22"/>
                <w:szCs w:val="22"/>
              </w:rPr>
              <w:t>Članak 4. stavak 1. točka 115., članak 36. stavak 1. točka (b) i članak 37. točka (a) Uredbe (EU) br. 575/2013</w:t>
            </w:r>
          </w:p>
          <w:p w14:paraId="42AF6D5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Ostala nematerijalna imovina je nematerijalna imovina u skladu s primjenjivim računovodstvenim standardo</w:t>
            </w:r>
            <w:r w:rsidRPr="00990A2C">
              <w:rPr>
                <w:rStyle w:val="FormatvorlageInstructionsTabelleText"/>
                <w:rFonts w:ascii="Times New Roman" w:hAnsi="Times New Roman"/>
                <w:sz w:val="22"/>
              </w:rPr>
              <w:t xml:space="preserve">m, umanjena za </w:t>
            </w:r>
            <w:r w:rsidRPr="00990A2C">
              <w:rPr>
                <w:rStyle w:val="FormatvorlageInstructionsTabelleText"/>
                <w:rFonts w:ascii="Times New Roman" w:hAnsi="Times New Roman"/>
                <w:i/>
                <w:iCs/>
                <w:sz w:val="22"/>
              </w:rPr>
              <w:t>goodwill</w:t>
            </w:r>
            <w:r w:rsidRPr="00990A2C">
              <w:rPr>
                <w:rStyle w:val="FormatvorlageInstructionsTabelleText"/>
                <w:rFonts w:ascii="Times New Roman" w:hAnsi="Times New Roman"/>
                <w:sz w:val="22"/>
              </w:rPr>
              <w:t>, također u skladu s primjenjivim računovodstvenim standardom.</w:t>
            </w:r>
          </w:p>
        </w:tc>
      </w:tr>
      <w:tr w:rsidR="00FA0C6F" w:rsidRPr="00990A2C" w14:paraId="7AB99BAB" w14:textId="77777777">
        <w:tc>
          <w:tcPr>
            <w:tcW w:w="1129" w:type="dxa"/>
          </w:tcPr>
          <w:p w14:paraId="0E3651BF"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4EACEE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Odgođena porezna imovina koja ovisi o budućoj profitabilnosti i ne proizlazi iz privremenih razlika i ne uključuje povezane porezne obveze</w:t>
            </w:r>
          </w:p>
          <w:p w14:paraId="4F1118F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Članak 9. </w:t>
            </w:r>
            <w:r w:rsidRPr="00990A2C">
              <w:rPr>
                <w:rFonts w:ascii="Times New Roman" w:hAnsi="Times New Roman"/>
                <w:bCs/>
              </w:rPr>
              <w:t>stavak 2. točka (a) Uredbe (EU) 2019/2033</w:t>
            </w:r>
          </w:p>
          <w:p w14:paraId="5DF77E6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36. stavak 1. točka (d) Uredbe (EU) br. 575/2013</w:t>
            </w:r>
          </w:p>
        </w:tc>
      </w:tr>
      <w:tr w:rsidR="00FA0C6F" w:rsidRPr="00990A2C" w14:paraId="0535E315" w14:textId="77777777">
        <w:tc>
          <w:tcPr>
            <w:tcW w:w="1129" w:type="dxa"/>
          </w:tcPr>
          <w:p w14:paraId="3D95F64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1668C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Kvalificirani udjel izvan financijskog sektora koji premašuje 15 % regulatornog kapitala</w:t>
            </w:r>
          </w:p>
          <w:p w14:paraId="1FBF33E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Članak 10. stavak 1. točka (a) Uredbe </w:t>
            </w:r>
            <w:r w:rsidRPr="00990A2C">
              <w:rPr>
                <w:rFonts w:ascii="Times New Roman" w:hAnsi="Times New Roman"/>
                <w:bCs/>
              </w:rPr>
              <w:t>(EU) 2019/2033</w:t>
            </w:r>
          </w:p>
        </w:tc>
      </w:tr>
      <w:tr w:rsidR="00FA0C6F" w:rsidRPr="00990A2C" w14:paraId="654C1DEF" w14:textId="77777777">
        <w:tc>
          <w:tcPr>
            <w:tcW w:w="1129" w:type="dxa"/>
          </w:tcPr>
          <w:p w14:paraId="7F5553C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77BC726"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Ukupni kvalificirani udjeli u društvu koje nije subjekt financijskog sektora koji prelaze 60 % regulatornog kapitala</w:t>
            </w:r>
          </w:p>
          <w:p w14:paraId="3293A5C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10. stavak 1. točka (b) Uredbe (EU) 2019/2033</w:t>
            </w:r>
          </w:p>
        </w:tc>
      </w:tr>
      <w:tr w:rsidR="00FA0C6F" w:rsidRPr="00990A2C" w14:paraId="268E70C3" w14:textId="77777777">
        <w:tc>
          <w:tcPr>
            <w:tcW w:w="1129" w:type="dxa"/>
          </w:tcPr>
          <w:p w14:paraId="342534B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64109F"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Drugi odbici</w:t>
            </w:r>
          </w:p>
          <w:p w14:paraId="23DE69D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rPr>
              <w:t xml:space="preserve">Zbroj svih ostalih odbitaka u </w:t>
            </w:r>
            <w:r w:rsidRPr="00990A2C">
              <w:rPr>
                <w:rFonts w:ascii="Times New Roman" w:hAnsi="Times New Roman"/>
              </w:rPr>
              <w:t>skladu s člankom 36. stavkom 1. Uredbe (EU) br. 575/2013 koji nisu uključeni ni u jedan od prethodno navedenih redaka od 0160 do 0240</w:t>
            </w:r>
          </w:p>
        </w:tc>
      </w:tr>
      <w:tr w:rsidR="00FA0C6F" w:rsidRPr="00990A2C" w14:paraId="009A4A63" w14:textId="77777777">
        <w:tc>
          <w:tcPr>
            <w:tcW w:w="1129" w:type="dxa"/>
          </w:tcPr>
          <w:p w14:paraId="4188A9A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E14A1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Redovni osnovni kapital: drugi elementi kapitala, odbici i prilagodbe</w:t>
            </w:r>
          </w:p>
          <w:p w14:paraId="07E3B60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Ovaj redak uključuje zbroj sljedećih </w:t>
            </w:r>
            <w:r w:rsidRPr="00990A2C">
              <w:rPr>
                <w:rFonts w:ascii="Times New Roman" w:hAnsi="Times New Roman"/>
                <w:bCs/>
              </w:rPr>
              <w:t>stavki, ako je primjenjivo:</w:t>
            </w:r>
          </w:p>
          <w:p w14:paraId="45CA5546"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rPr>
              <w:t>prijelazna usklađenja na temelju instrumenata redovnog osnovnog kapitala koji se nastavljaju priznavati (članak 483. stavci 1., 2. i 3. i članci od 484. do 487. Uredbe (EU) br. 575/2013),</w:t>
            </w:r>
          </w:p>
          <w:p w14:paraId="7E364381"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rPr>
              <w:t>prijelazna usklađenja na temelju dod</w:t>
            </w:r>
            <w:r w:rsidRPr="00990A2C">
              <w:rPr>
                <w:rFonts w:ascii="Times New Roman" w:hAnsi="Times New Roman"/>
              </w:rPr>
              <w:t>atnih manjinskih udjela (članci 479. i 480. Uredbe (EU) br. 575/2013),</w:t>
            </w:r>
          </w:p>
          <w:p w14:paraId="02C8AD58"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rPr>
              <w:t>druga prijelazna usklađenja redovnog osnovnog kapitala (članci od 469. do 478. i članak 481. Uredbe (EU) br. 575/2013):</w:t>
            </w:r>
            <w:r w:rsidRPr="00990A2C">
              <w:rPr>
                <w:rFonts w:ascii="Times New Roman" w:hAnsi="Times New Roman"/>
                <w:bCs/>
              </w:rPr>
              <w:t xml:space="preserve"> usklađenja odbitaka od redovnog osnovnog kapitala na temelju pr</w:t>
            </w:r>
            <w:r w:rsidRPr="00990A2C">
              <w:rPr>
                <w:rFonts w:ascii="Times New Roman" w:hAnsi="Times New Roman"/>
                <w:bCs/>
              </w:rPr>
              <w:t>ijelaznih odredbi,</w:t>
            </w:r>
          </w:p>
          <w:p w14:paraId="67AEB7A6" w14:textId="77777777" w:rsidR="00FA0C6F" w:rsidRPr="00990A2C" w:rsidRDefault="00990A2C">
            <w:pPr>
              <w:spacing w:after="120" w:line="240" w:lineRule="auto"/>
              <w:ind w:left="360" w:hanging="360"/>
              <w:jc w:val="both"/>
              <w:rPr>
                <w:rFonts w:ascii="Times New Roman" w:eastAsia="Times New Roman" w:hAnsi="Times New Roman" w:cs="Times New Roman"/>
                <w:b/>
                <w:bCs/>
                <w:u w:val="single"/>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bCs/>
              </w:rPr>
              <w:t>drugi elementi redovnog osnovnog kapitala ili odbici od elementa redovnog osnovnog kapitala koji se ne mogu rasporediti u jedan od redaka od 0040 do 0285.</w:t>
            </w:r>
          </w:p>
          <w:p w14:paraId="34C83B5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lastRenderedPageBreak/>
              <w:t xml:space="preserve">Ovaj se redak ne koristi za uključivanje stavki kapitala ili odbitaka koji nisu </w:t>
            </w:r>
            <w:r w:rsidRPr="00990A2C">
              <w:rPr>
                <w:rFonts w:ascii="Times New Roman" w:hAnsi="Times New Roman"/>
                <w:bCs/>
              </w:rPr>
              <w:t>obuhvaćeni Uredbom (EU) 2019/2033 ili Uredbom (EU) br. 575/2013 u izračun stopa solventnosti.</w:t>
            </w:r>
          </w:p>
        </w:tc>
      </w:tr>
      <w:tr w:rsidR="00FA0C6F" w:rsidRPr="00990A2C" w14:paraId="5ED66380" w14:textId="77777777">
        <w:tc>
          <w:tcPr>
            <w:tcW w:w="1129" w:type="dxa"/>
          </w:tcPr>
          <w:p w14:paraId="3A24652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1492A97"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DODATNI OSNOVNI KAPITAL</w:t>
            </w:r>
          </w:p>
          <w:p w14:paraId="0EF3A24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Uredbe (EU) 2019/2033</w:t>
            </w:r>
          </w:p>
          <w:p w14:paraId="33A417FD" w14:textId="77777777" w:rsidR="00FA0C6F" w:rsidRPr="00990A2C" w:rsidRDefault="00990A2C">
            <w:pPr>
              <w:spacing w:after="120" w:line="240" w:lineRule="auto"/>
              <w:jc w:val="both"/>
              <w:rPr>
                <w:rFonts w:ascii="Times New Roman" w:hAnsi="Times New Roman" w:cs="Times New Roman"/>
              </w:rPr>
            </w:pPr>
            <w:r w:rsidRPr="00990A2C">
              <w:rPr>
                <w:rFonts w:ascii="Times New Roman" w:hAnsi="Times New Roman"/>
              </w:rPr>
              <w:t>Članak 61. Uredbe (EU) br. 575/2013</w:t>
            </w:r>
          </w:p>
          <w:p w14:paraId="39391B3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Iskazuje se ukupni zbroj redaka od 0310 do 0410.</w:t>
            </w:r>
          </w:p>
        </w:tc>
      </w:tr>
      <w:tr w:rsidR="00FA0C6F" w:rsidRPr="00990A2C" w14:paraId="043C33C6" w14:textId="77777777">
        <w:tc>
          <w:tcPr>
            <w:tcW w:w="1129" w:type="dxa"/>
          </w:tcPr>
          <w:p w14:paraId="61B400C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8E1BD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U potpunosti plaćeni, izravno izdani instrumenti kapitala</w:t>
            </w:r>
          </w:p>
          <w:p w14:paraId="53CE1F1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258C2427"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Članak 51. točka (a) i članci 52., 53. i 54. Uredbe (EU) br. 575/2013</w:t>
            </w:r>
          </w:p>
          <w:p w14:paraId="0C53C1BD"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 xml:space="preserve">Iznos koji se iskazuje ne uključuje premiju na dionice povezanu s </w:t>
            </w:r>
            <w:r w:rsidRPr="00990A2C">
              <w:rPr>
                <w:rStyle w:val="FormatvorlageInstructionsTabelleText"/>
                <w:rFonts w:ascii="Times New Roman" w:hAnsi="Times New Roman"/>
                <w:sz w:val="22"/>
              </w:rPr>
              <w:t>instrumentima.</w:t>
            </w:r>
          </w:p>
        </w:tc>
      </w:tr>
      <w:tr w:rsidR="00FA0C6F" w:rsidRPr="00990A2C" w14:paraId="05CED136" w14:textId="77777777">
        <w:tc>
          <w:tcPr>
            <w:tcW w:w="1129" w:type="dxa"/>
          </w:tcPr>
          <w:p w14:paraId="149AEAA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29CE16"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Premija na dionice</w:t>
            </w:r>
          </w:p>
          <w:p w14:paraId="5CD3D04C"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44EAD730"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Članak 51. točka (b) Uredbe (EU) br. 575/2013</w:t>
            </w:r>
          </w:p>
          <w:p w14:paraId="004E35A4"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Premija na dionice ima isto značenje kao i u primjenjivom računovodstvenom standardu.</w:t>
            </w:r>
          </w:p>
          <w:p w14:paraId="536C88F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 xml:space="preserve">Iznos koji se iskazuje u ovoj </w:t>
            </w:r>
            <w:r w:rsidRPr="00990A2C">
              <w:rPr>
                <w:rStyle w:val="FormatvorlageInstructionsTabelleText"/>
                <w:rFonts w:ascii="Times New Roman" w:hAnsi="Times New Roman"/>
                <w:sz w:val="22"/>
              </w:rPr>
              <w:t>stavci dio je koji se odnosi na „u potpunosti plaćene, izravno izdane instrumente kapitala”.</w:t>
            </w:r>
          </w:p>
        </w:tc>
      </w:tr>
      <w:tr w:rsidR="00FA0C6F" w:rsidRPr="00990A2C" w14:paraId="324B7BC6" w14:textId="77777777">
        <w:tc>
          <w:tcPr>
            <w:tcW w:w="1129" w:type="dxa"/>
          </w:tcPr>
          <w:p w14:paraId="6A3CBAF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DC7D7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UKUPNI ODBICI OD DODATNOG OSNOVNOG KAPITALA</w:t>
            </w:r>
          </w:p>
          <w:p w14:paraId="43C68790" w14:textId="77777777" w:rsidR="00FA0C6F" w:rsidRPr="00990A2C" w:rsidRDefault="00990A2C">
            <w:pPr>
              <w:spacing w:before="60" w:after="60"/>
              <w:rPr>
                <w:rFonts w:ascii="Times New Roman" w:hAnsi="Times New Roman" w:cs="Times New Roman"/>
              </w:rPr>
            </w:pPr>
            <w:r w:rsidRPr="00990A2C">
              <w:rPr>
                <w:rFonts w:ascii="Times New Roman" w:hAnsi="Times New Roman"/>
              </w:rPr>
              <w:t>Članak 56. Uredbe (EU) br. 575/2013</w:t>
            </w:r>
          </w:p>
        </w:tc>
      </w:tr>
      <w:tr w:rsidR="00FA0C6F" w:rsidRPr="00990A2C" w14:paraId="23A5B803" w14:textId="77777777">
        <w:tc>
          <w:tcPr>
            <w:tcW w:w="1129" w:type="dxa"/>
          </w:tcPr>
          <w:p w14:paraId="14D83A5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41F1A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Dodatni osnovni kapital: drugi elementi kapitala, odbici i </w:t>
            </w:r>
            <w:r w:rsidRPr="00990A2C">
              <w:rPr>
                <w:rFonts w:ascii="Times New Roman" w:hAnsi="Times New Roman"/>
                <w:b/>
                <w:bCs/>
                <w:u w:val="single"/>
              </w:rPr>
              <w:t>prilagodbe</w:t>
            </w:r>
          </w:p>
          <w:p w14:paraId="6AE1087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Ovaj redak uključuje zbroj sljedećih stavki, ako je primjenjivo:</w:t>
            </w:r>
          </w:p>
          <w:p w14:paraId="560E5A74"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Style w:val="FormatvorlageInstructionsTabelleText"/>
                <w:rFonts w:ascii="Times New Roman" w:hAnsi="Times New Roman"/>
                <w:sz w:val="22"/>
              </w:rPr>
              <w:t>prijelazna usklađenja na temelju instrumenata dodatnog osnovnog kapitala koji se nastavljaju priznavati (članak 483. stavci 4. i 5., članci od 484. do 487. i članci 489. i 491. U</w:t>
            </w:r>
            <w:r w:rsidRPr="00990A2C">
              <w:rPr>
                <w:rStyle w:val="FormatvorlageInstructionsTabelleText"/>
                <w:rFonts w:ascii="Times New Roman" w:hAnsi="Times New Roman"/>
                <w:sz w:val="22"/>
              </w:rPr>
              <w:t>redbe (EU) br. 575/2013),</w:t>
            </w:r>
          </w:p>
          <w:p w14:paraId="7FB0E7FB"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Style w:val="FormatvorlageInstructionsTabelleText"/>
                <w:rFonts w:ascii="Times New Roman" w:hAnsi="Times New Roman"/>
                <w:sz w:val="22"/>
              </w:rPr>
              <w:t>instrumenti društava kćeri koji su priznati u dodatnom osnovnom kapitalu (članci 83., 85. i 86. Uredbe (EU) br. 575/2013):</w:t>
            </w:r>
            <w:r w:rsidRPr="00990A2C">
              <w:rPr>
                <w:rFonts w:ascii="Times New Roman" w:hAnsi="Times New Roman"/>
                <w:bCs/>
              </w:rPr>
              <w:t xml:space="preserve"> </w:t>
            </w:r>
            <w:r w:rsidRPr="00990A2C">
              <w:rPr>
                <w:rStyle w:val="FormatvorlageInstructionsTabelleText"/>
                <w:rFonts w:ascii="Times New Roman" w:hAnsi="Times New Roman"/>
                <w:sz w:val="22"/>
              </w:rPr>
              <w:t>zbroj svih iznosa kvalificiranog osnovnog kapitala društava kćeri koji je uključen u konsolidirani dodatn</w:t>
            </w:r>
            <w:r w:rsidRPr="00990A2C">
              <w:rPr>
                <w:rStyle w:val="FormatvorlageInstructionsTabelleText"/>
                <w:rFonts w:ascii="Times New Roman" w:hAnsi="Times New Roman"/>
                <w:sz w:val="22"/>
              </w:rPr>
              <w:t>i osnovni kapital, uključujući i kapital koji izdaje subjekt posebne namjene (članak 83. Uredbe (EU) br. 575/2013),</w:t>
            </w:r>
          </w:p>
          <w:p w14:paraId="40C09234"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Style w:val="FormatvorlageInstructionsTabelleText"/>
                <w:rFonts w:ascii="Times New Roman" w:hAnsi="Times New Roman"/>
                <w:sz w:val="22"/>
              </w:rPr>
              <w:t>prijelazna usklađenja na temelju dodatnog priznavanja instrumenata društava kćeri u dodatnom osnovnom kapitalu (članak 480. Uredbe (EU) br</w:t>
            </w:r>
            <w:r w:rsidRPr="00990A2C">
              <w:rPr>
                <w:rStyle w:val="FormatvorlageInstructionsTabelleText"/>
                <w:rFonts w:ascii="Times New Roman" w:hAnsi="Times New Roman"/>
                <w:sz w:val="22"/>
              </w:rPr>
              <w:t>. 575/2013):</w:t>
            </w:r>
            <w:r w:rsidRPr="00990A2C">
              <w:rPr>
                <w:rFonts w:ascii="Times New Roman" w:hAnsi="Times New Roman"/>
                <w:bCs/>
              </w:rPr>
              <w:t xml:space="preserve"> </w:t>
            </w:r>
            <w:r w:rsidRPr="00990A2C">
              <w:rPr>
                <w:rStyle w:val="FormatvorlageInstructionsTabelleText"/>
                <w:rFonts w:ascii="Times New Roman" w:hAnsi="Times New Roman"/>
                <w:sz w:val="22"/>
              </w:rPr>
              <w:t>usklađenja kvalificiranog osnovnog kapitala uključenog u konsolidirani dodatni osnovni kapital zbog prijelaznih odredbi,</w:t>
            </w:r>
          </w:p>
          <w:p w14:paraId="36B59ED9"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Style w:val="FormatvorlageInstructionsTabelleText"/>
                <w:rFonts w:ascii="Times New Roman" w:hAnsi="Times New Roman"/>
                <w:sz w:val="22"/>
              </w:rPr>
              <w:t>druga prijelazna usklađenja dodatnog osnovnog kapitala (članci 472., 473.a, 474., 475., 478. i 481. Uredbe (EU) br. 575/</w:t>
            </w:r>
            <w:r w:rsidRPr="00990A2C">
              <w:rPr>
                <w:rStyle w:val="FormatvorlageInstructionsTabelleText"/>
                <w:rFonts w:ascii="Times New Roman" w:hAnsi="Times New Roman"/>
                <w:sz w:val="22"/>
              </w:rPr>
              <w:t>2013):</w:t>
            </w:r>
            <w:r w:rsidRPr="00990A2C">
              <w:rPr>
                <w:rFonts w:ascii="Times New Roman" w:hAnsi="Times New Roman"/>
                <w:bCs/>
              </w:rPr>
              <w:t xml:space="preserve"> usklađenja odbitaka zbog prijelaznih odredbi,</w:t>
            </w:r>
          </w:p>
          <w:p w14:paraId="709BA905"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Style w:val="FormatvorlageInstructionsTabelleText"/>
                <w:rFonts w:ascii="Times New Roman" w:hAnsi="Times New Roman"/>
                <w:sz w:val="22"/>
              </w:rPr>
              <w:t>odbitak od stavki dodatnog osnovnog kapitala koji premašuje dodatni osnovni kapital, odbijen od redovnog osnovnog kapitala u skladu s člankom 36. stavkom 1. točkom (j) Uredbe (EU) br. 575/2013:</w:t>
            </w:r>
            <w:r w:rsidRPr="00990A2C">
              <w:rPr>
                <w:rFonts w:ascii="Times New Roman" w:hAnsi="Times New Roman"/>
                <w:bCs/>
              </w:rPr>
              <w:t xml:space="preserve"> dodatni</w:t>
            </w:r>
            <w:r w:rsidRPr="00990A2C">
              <w:rPr>
                <w:rFonts w:ascii="Times New Roman" w:hAnsi="Times New Roman"/>
                <w:bCs/>
              </w:rPr>
              <w:t xml:space="preserve"> osnovni kapital ne može biti negativan, ali moguće je da odbici od stavki dodatnog osnovnog kapitala premašuju iznos dostupnih stavki dodatnog osnovnog kapitala. U tom slučaju, u ovoj stavci izražava se iznos potreban da bi se iznos iskazan u retku 0300 p</w:t>
            </w:r>
            <w:r w:rsidRPr="00990A2C">
              <w:rPr>
                <w:rFonts w:ascii="Times New Roman" w:hAnsi="Times New Roman"/>
                <w:bCs/>
              </w:rPr>
              <w:t xml:space="preserve">ovećao na nulu, a odgovara obrnutom iznosu odbitaka od stavki dodatnog </w:t>
            </w:r>
            <w:r w:rsidRPr="00990A2C">
              <w:rPr>
                <w:rFonts w:ascii="Times New Roman" w:hAnsi="Times New Roman"/>
                <w:bCs/>
              </w:rPr>
              <w:lastRenderedPageBreak/>
              <w:t>osnovnog kapitala koji premašuje dodatni osnovni kapital te je, među ostalim odbicima, uključen u redak 0285,</w:t>
            </w:r>
          </w:p>
          <w:p w14:paraId="1EB01BE1"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bCs/>
              </w:rPr>
              <w:t xml:space="preserve">drugi elementi dodatnog osnovnog kapitala ili odbici od elementa </w:t>
            </w:r>
            <w:r w:rsidRPr="00990A2C">
              <w:rPr>
                <w:rFonts w:ascii="Times New Roman" w:hAnsi="Times New Roman"/>
                <w:bCs/>
              </w:rPr>
              <w:t>dodatnog osnovnog kapitala koji se ne mogu rasporediti u jedan od redaka od 0310 do 0330.</w:t>
            </w:r>
          </w:p>
          <w:p w14:paraId="652A5257"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Ovaj se redak ne koristi za uključivanje stavki kapitala ili odbitaka koji nisu obuhvaćeni Uredbom (EU) 2019/2033 ili Uredbom (EU) br. 575/2013 u izračun stopa solven</w:t>
            </w:r>
            <w:r w:rsidRPr="00990A2C">
              <w:rPr>
                <w:rFonts w:ascii="Times New Roman" w:hAnsi="Times New Roman"/>
                <w:bCs/>
              </w:rPr>
              <w:t>tnosti.</w:t>
            </w:r>
          </w:p>
        </w:tc>
      </w:tr>
      <w:tr w:rsidR="00FA0C6F" w:rsidRPr="00990A2C" w14:paraId="0607E675" w14:textId="77777777">
        <w:tc>
          <w:tcPr>
            <w:tcW w:w="1129" w:type="dxa"/>
          </w:tcPr>
          <w:p w14:paraId="27910DD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2CD37F8"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DOPUNSKI KAPITAL</w:t>
            </w:r>
          </w:p>
          <w:p w14:paraId="15E8DB6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Uredbe (EU) 2019/2033</w:t>
            </w:r>
          </w:p>
          <w:p w14:paraId="213665CD" w14:textId="77777777" w:rsidR="00FA0C6F" w:rsidRPr="00990A2C" w:rsidRDefault="00990A2C">
            <w:pPr>
              <w:spacing w:after="120" w:line="240" w:lineRule="auto"/>
              <w:jc w:val="both"/>
              <w:rPr>
                <w:rStyle w:val="FormatvorlageInstructionsTabelleText"/>
                <w:rFonts w:ascii="Times New Roman" w:hAnsi="Times New Roman"/>
                <w:sz w:val="22"/>
              </w:rPr>
            </w:pPr>
            <w:r w:rsidRPr="00990A2C">
              <w:rPr>
                <w:rStyle w:val="FormatvorlageInstructionsTabelleText"/>
                <w:rFonts w:ascii="Times New Roman" w:hAnsi="Times New Roman"/>
                <w:sz w:val="22"/>
              </w:rPr>
              <w:t>Članak 71. Uredbe (EU) br. 575/2013</w:t>
            </w:r>
          </w:p>
          <w:p w14:paraId="3EEC305B" w14:textId="77777777" w:rsidR="00FA0C6F" w:rsidRPr="00990A2C" w:rsidRDefault="00990A2C">
            <w:pPr>
              <w:pStyle w:val="CommentText"/>
              <w:rPr>
                <w:sz w:val="22"/>
                <w:szCs w:val="22"/>
              </w:rPr>
            </w:pPr>
            <w:r w:rsidRPr="00990A2C">
              <w:rPr>
                <w:rFonts w:ascii="Times New Roman" w:hAnsi="Times New Roman"/>
                <w:bCs/>
                <w:sz w:val="22"/>
                <w:szCs w:val="22"/>
              </w:rPr>
              <w:t>Iskazuje se ukupni zbroj redaka od 0430 do 0520.</w:t>
            </w:r>
          </w:p>
        </w:tc>
      </w:tr>
      <w:tr w:rsidR="00FA0C6F" w:rsidRPr="00990A2C" w14:paraId="38E5CDA0" w14:textId="77777777">
        <w:tc>
          <w:tcPr>
            <w:tcW w:w="1129" w:type="dxa"/>
          </w:tcPr>
          <w:p w14:paraId="7820D05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E5C8DD"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U potpunosti plaćeni, izravno izdani instrumenti kapitala</w:t>
            </w:r>
          </w:p>
          <w:p w14:paraId="13579AB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22D7C69C" w14:textId="77777777" w:rsidR="00FA0C6F" w:rsidRPr="00990A2C" w:rsidRDefault="00990A2C">
            <w:pPr>
              <w:pStyle w:val="InstructionsText"/>
              <w:rPr>
                <w:rStyle w:val="FormatvorlageInstructionsTabelleText"/>
                <w:rFonts w:ascii="Times New Roman" w:eastAsiaTheme="minorHAnsi" w:hAnsi="Times New Roman"/>
                <w:bCs/>
                <w:sz w:val="22"/>
                <w:szCs w:val="22"/>
              </w:rPr>
            </w:pPr>
            <w:r w:rsidRPr="00990A2C">
              <w:rPr>
                <w:rStyle w:val="FormatvorlageInstructionsTabelleText"/>
                <w:rFonts w:ascii="Times New Roman" w:hAnsi="Times New Roman"/>
                <w:sz w:val="22"/>
                <w:szCs w:val="22"/>
              </w:rPr>
              <w:t>Članak 62. točka (a) te članci 63. i 65. Uredbe (EU) br. 575/2013</w:t>
            </w:r>
          </w:p>
          <w:p w14:paraId="4AEB1DDF"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Style w:val="FormatvorlageInstructionsTabelleText"/>
                <w:rFonts w:ascii="Times New Roman" w:hAnsi="Times New Roman"/>
                <w:sz w:val="22"/>
              </w:rPr>
              <w:t>Iznos koji se iskazuje ne uključuje premiju na dionice povezanu s instrumentima.</w:t>
            </w:r>
          </w:p>
        </w:tc>
      </w:tr>
      <w:tr w:rsidR="00FA0C6F" w:rsidRPr="00990A2C" w14:paraId="65214F84" w14:textId="77777777">
        <w:tc>
          <w:tcPr>
            <w:tcW w:w="1129" w:type="dxa"/>
          </w:tcPr>
          <w:p w14:paraId="630E564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0FE15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Premija na dionice</w:t>
            </w:r>
          </w:p>
          <w:p w14:paraId="5445A04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0E218D92"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Članak 62. točka (b) i članak 65. Uredbe (EU) br. 575/2013</w:t>
            </w:r>
          </w:p>
          <w:p w14:paraId="3840D71B" w14:textId="77777777" w:rsidR="00FA0C6F" w:rsidRPr="00990A2C" w:rsidRDefault="00990A2C">
            <w:pPr>
              <w:pStyle w:val="InstructionsText"/>
              <w:rPr>
                <w:rStyle w:val="FormatvorlageInstructionsTabelleText"/>
                <w:rFonts w:ascii="Times New Roman" w:hAnsi="Times New Roman"/>
                <w:sz w:val="22"/>
                <w:szCs w:val="22"/>
              </w:rPr>
            </w:pPr>
            <w:r w:rsidRPr="00990A2C">
              <w:rPr>
                <w:rStyle w:val="FormatvorlageInstructionsTabelleText"/>
                <w:rFonts w:ascii="Times New Roman" w:hAnsi="Times New Roman"/>
                <w:sz w:val="22"/>
                <w:szCs w:val="22"/>
              </w:rPr>
              <w:t>Premija na dionice ima isto značenje kao i u primjenjivom računovodstvenom standardu.</w:t>
            </w:r>
          </w:p>
          <w:p w14:paraId="2A890213" w14:textId="77777777" w:rsidR="00FA0C6F" w:rsidRPr="00990A2C" w:rsidRDefault="00990A2C">
            <w:pPr>
              <w:pStyle w:val="InstructionsText"/>
              <w:rPr>
                <w:sz w:val="22"/>
                <w:szCs w:val="22"/>
              </w:rPr>
            </w:pPr>
            <w:r w:rsidRPr="00990A2C">
              <w:rPr>
                <w:rStyle w:val="FormatvorlageInstructionsTabelleText"/>
                <w:rFonts w:ascii="Times New Roman" w:hAnsi="Times New Roman"/>
                <w:sz w:val="22"/>
                <w:szCs w:val="22"/>
              </w:rPr>
              <w:t xml:space="preserve">Iznos koji se iskazuje u ovoj stavci dio je koji se odnosi na „u potpunosti </w:t>
            </w:r>
            <w:r w:rsidRPr="00990A2C">
              <w:rPr>
                <w:rStyle w:val="FormatvorlageInstructionsTabelleText"/>
                <w:rFonts w:ascii="Times New Roman" w:hAnsi="Times New Roman"/>
                <w:sz w:val="22"/>
                <w:szCs w:val="22"/>
              </w:rPr>
              <w:t>plaćene, izravno izdane instrumente kapitala”.</w:t>
            </w:r>
          </w:p>
        </w:tc>
      </w:tr>
      <w:tr w:rsidR="00FA0C6F" w:rsidRPr="00990A2C" w14:paraId="51166DE8" w14:textId="77777777">
        <w:tc>
          <w:tcPr>
            <w:tcW w:w="1129" w:type="dxa"/>
            <w:tcBorders>
              <w:top w:val="single" w:sz="4" w:space="0" w:color="auto"/>
              <w:bottom w:val="single" w:sz="4" w:space="0" w:color="auto"/>
            </w:tcBorders>
          </w:tcPr>
          <w:p w14:paraId="49F47922"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2D7E2B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UKUPNI ODBICI OD DOPUNSKOG KAPITALA</w:t>
            </w:r>
          </w:p>
          <w:p w14:paraId="6F209C3B" w14:textId="77777777" w:rsidR="00FA0C6F" w:rsidRPr="00990A2C" w:rsidRDefault="00990A2C">
            <w:pPr>
              <w:spacing w:after="120" w:line="240" w:lineRule="auto"/>
              <w:jc w:val="both"/>
              <w:rPr>
                <w:rFonts w:ascii="Times New Roman" w:hAnsi="Times New Roman" w:cs="Times New Roman"/>
              </w:rPr>
            </w:pPr>
            <w:r w:rsidRPr="00990A2C">
              <w:rPr>
                <w:rFonts w:ascii="Times New Roman" w:hAnsi="Times New Roman"/>
              </w:rPr>
              <w:t>Članak 66. Uredbe (EU) br. 575/2013</w:t>
            </w:r>
          </w:p>
        </w:tc>
      </w:tr>
      <w:tr w:rsidR="00FA0C6F" w:rsidRPr="00990A2C" w14:paraId="3137C0D1" w14:textId="77777777">
        <w:tc>
          <w:tcPr>
            <w:tcW w:w="1129" w:type="dxa"/>
            <w:tcBorders>
              <w:top w:val="single" w:sz="4" w:space="0" w:color="auto"/>
            </w:tcBorders>
          </w:tcPr>
          <w:p w14:paraId="64833B7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98D2A6F"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Dopunski kapital: drugi elementi kapitala, odbici i prilagodbe</w:t>
            </w:r>
          </w:p>
          <w:p w14:paraId="57A1B4DF"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Ovaj redak uključuje zbroj sljedećih stavki, ako je </w:t>
            </w:r>
            <w:r w:rsidRPr="00990A2C">
              <w:rPr>
                <w:rFonts w:ascii="Times New Roman" w:hAnsi="Times New Roman"/>
                <w:bCs/>
              </w:rPr>
              <w:t>primjenjivo:</w:t>
            </w:r>
          </w:p>
          <w:p w14:paraId="71A4B2F7"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bCs/>
              </w:rPr>
              <w:t>prijelazna usklađenja na temelju instrumenata dopunskog kapitala koji se nastavljaju priznavati (članak 483. stavci 6. i 7., članci 484., 486., 488., 490. i 491. Uredbe (EU) br. 575/2013),</w:t>
            </w:r>
          </w:p>
          <w:p w14:paraId="56729368"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bCs/>
              </w:rPr>
              <w:t>instrumenti društava kćeri koji su priznati u dopu</w:t>
            </w:r>
            <w:r w:rsidRPr="00990A2C">
              <w:rPr>
                <w:rFonts w:ascii="Times New Roman" w:hAnsi="Times New Roman"/>
                <w:bCs/>
              </w:rPr>
              <w:t>nskom kapitalu (članci 83., 87. i 88. Uredbe (EU) br. 575/2013): zbroj svih iznosa kvalificiranog regulatornog kapitala društava kćeri koji je uključen u konsolidirani dopunski kapital, uključujući i kvalificirani dopunski kapital koji izdaje subjekt poseb</w:t>
            </w:r>
            <w:r w:rsidRPr="00990A2C">
              <w:rPr>
                <w:rFonts w:ascii="Times New Roman" w:hAnsi="Times New Roman"/>
                <w:bCs/>
              </w:rPr>
              <w:t>ne namjene (članak 83. Uredbe (EU) br. 575/2013),</w:t>
            </w:r>
          </w:p>
          <w:p w14:paraId="048DE95B"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bCs/>
              </w:rPr>
              <w:t xml:space="preserve">prijelazna usklađenja na temelju dodatnog priznavanja instrumenata društava kćeri u dopunskom kapitalu (članak 480. Uredbe (EU) br. 575/2013): usklađenja kvalificiranog regulatornog kapitala uključenog u </w:t>
            </w:r>
            <w:r w:rsidRPr="00990A2C">
              <w:rPr>
                <w:rFonts w:ascii="Times New Roman" w:hAnsi="Times New Roman"/>
                <w:bCs/>
              </w:rPr>
              <w:t>konsolidirani dopunski kapital zbog prijelaznih odredbi,</w:t>
            </w:r>
          </w:p>
          <w:p w14:paraId="533E031A"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bCs/>
              </w:rPr>
              <w:t>druga prijelazna usklađenja dopunskog kapitala (članci 472., 473.a, 476., 477., 478. i 481. Uredbe (EU) br. 575/2013): usklađenja odbitaka od dopunskog kapitala na temelju prijelaznih odredbi,</w:t>
            </w:r>
          </w:p>
          <w:p w14:paraId="0D09DB62"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bCs/>
              </w:rPr>
              <w:t>od</w:t>
            </w:r>
            <w:r w:rsidRPr="00990A2C">
              <w:rPr>
                <w:rFonts w:ascii="Times New Roman" w:hAnsi="Times New Roman"/>
                <w:bCs/>
              </w:rPr>
              <w:t xml:space="preserve">bitak od stavki dopunskog kapitala koji premašuje dopunski kapital, odbijen od redovnog osnovnog kapitala u skladu s člankom 56. točkom (e) Uredbe (EU) br. 575/2013: dopunski kapital ne može biti negativan, ali moguće je da odbici </w:t>
            </w:r>
            <w:r w:rsidRPr="00990A2C">
              <w:rPr>
                <w:rFonts w:ascii="Times New Roman" w:hAnsi="Times New Roman"/>
                <w:bCs/>
              </w:rPr>
              <w:lastRenderedPageBreak/>
              <w:t>od stavki dopunskog kapit</w:t>
            </w:r>
            <w:r w:rsidRPr="00990A2C">
              <w:rPr>
                <w:rFonts w:ascii="Times New Roman" w:hAnsi="Times New Roman"/>
                <w:bCs/>
              </w:rPr>
              <w:t>ala premašuju iznos dostupnih stavki dopunskog kapitala. U tom slučaju, u ovoj se stavci izražava iznos potreban da bi se iznos iskazan u retku 0420 povećao na nulu,</w:t>
            </w:r>
          </w:p>
          <w:p w14:paraId="4E31F766" w14:textId="77777777" w:rsidR="00FA0C6F" w:rsidRPr="00990A2C" w:rsidRDefault="00990A2C">
            <w:pPr>
              <w:spacing w:after="120" w:line="240" w:lineRule="auto"/>
              <w:ind w:left="360" w:hanging="360"/>
              <w:jc w:val="both"/>
              <w:rPr>
                <w:rFonts w:ascii="Times New Roman" w:eastAsia="Times New Roman" w:hAnsi="Times New Roman" w:cs="Times New Roman"/>
                <w:bCs/>
              </w:rPr>
            </w:pPr>
            <w:r w:rsidRPr="00990A2C">
              <w:rPr>
                <w:rFonts w:ascii="Times New Roman" w:eastAsia="Times New Roman" w:hAnsi="Times New Roman" w:cs="Times New Roman"/>
                <w:bCs/>
              </w:rPr>
              <w:t>—</w:t>
            </w:r>
            <w:r w:rsidRPr="00990A2C">
              <w:rPr>
                <w:rFonts w:ascii="Times New Roman" w:eastAsia="Times New Roman" w:hAnsi="Times New Roman" w:cs="Times New Roman"/>
                <w:bCs/>
              </w:rPr>
              <w:tab/>
            </w:r>
            <w:r w:rsidRPr="00990A2C">
              <w:rPr>
                <w:rFonts w:ascii="Times New Roman" w:hAnsi="Times New Roman"/>
                <w:bCs/>
              </w:rPr>
              <w:t>drugi elementi dopunskog kapitala ili odbici od elementa dopunskog kapitala koji se ne m</w:t>
            </w:r>
            <w:r w:rsidRPr="00990A2C">
              <w:rPr>
                <w:rFonts w:ascii="Times New Roman" w:hAnsi="Times New Roman"/>
                <w:bCs/>
              </w:rPr>
              <w:t>ogu rasporediti u jedan od redaka od 0430 do 0450.</w:t>
            </w:r>
          </w:p>
          <w:p w14:paraId="6DECD1C1"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Ovaj se redak ne koristi za uključivanje stavki kapitala ili odbitaka koji nisu obuhvaćeni Uredbom (EU) 2019/2033 ili Uredbom (EU) br. 575/2013 u izračun stopa solventnosti.</w:t>
            </w:r>
          </w:p>
        </w:tc>
      </w:tr>
    </w:tbl>
    <w:p w14:paraId="42ECD463" w14:textId="77777777" w:rsidR="00FA0C6F" w:rsidRPr="00990A2C" w:rsidRDefault="00990A2C">
      <w:pPr>
        <w:pStyle w:val="Instructionsberschrift2"/>
        <w:ind w:left="357" w:hanging="357"/>
        <w:rPr>
          <w:rFonts w:ascii="Times New Roman" w:hAnsi="Times New Roman" w:cs="Times New Roman"/>
          <w:sz w:val="24"/>
          <w:u w:val="none"/>
        </w:rPr>
      </w:pPr>
      <w:bookmarkStart w:id="21" w:name="_Toc88219053"/>
      <w:r w:rsidRPr="00990A2C">
        <w:rPr>
          <w:rFonts w:ascii="Times New Roman" w:hAnsi="Times New Roman"/>
          <w:sz w:val="24"/>
          <w:u w:val="none"/>
        </w:rPr>
        <w:lastRenderedPageBreak/>
        <w:t>1.3.</w:t>
      </w:r>
      <w:r w:rsidRPr="00990A2C">
        <w:rPr>
          <w:rFonts w:ascii="Times New Roman" w:hAnsi="Times New Roman"/>
          <w:sz w:val="24"/>
        </w:rPr>
        <w:t xml:space="preserve"> I 02.03 – KAPITALNI ZAHTJEVI (I 2.3)</w:t>
      </w:r>
      <w:bookmarkEnd w:id="21"/>
    </w:p>
    <w:p w14:paraId="129CB83A" w14:textId="77777777" w:rsidR="00FA0C6F" w:rsidRPr="00990A2C" w:rsidRDefault="00990A2C">
      <w:pPr>
        <w:keepNext/>
        <w:spacing w:before="240" w:after="240" w:line="240" w:lineRule="auto"/>
        <w:ind w:left="357" w:hanging="357"/>
        <w:jc w:val="both"/>
        <w:outlineLvl w:val="1"/>
        <w:rPr>
          <w:rFonts w:ascii="Times New Roman" w:eastAsia="Arial" w:hAnsi="Times New Roman" w:cs="Times New Roman"/>
          <w:u w:val="single"/>
        </w:rPr>
      </w:pPr>
      <w:bookmarkStart w:id="22" w:name="_Toc88219054"/>
      <w:r w:rsidRPr="00990A2C">
        <w:rPr>
          <w:rFonts w:ascii="Times New Roman" w:hAnsi="Times New Roman"/>
          <w:sz w:val="24"/>
          <w:szCs w:val="24"/>
        </w:rPr>
        <w:t>1.3.1</w:t>
      </w:r>
      <w:r w:rsidRPr="00990A2C">
        <w:rPr>
          <w:rFonts w:ascii="Times New Roman" w:hAnsi="Times New Roman"/>
          <w:sz w:val="24"/>
          <w:szCs w:val="24"/>
        </w:rPr>
        <w:tab/>
      </w:r>
      <w:r w:rsidRPr="00990A2C">
        <w:rPr>
          <w:rFonts w:ascii="Times New Roman" w:hAnsi="Times New Roman"/>
          <w:u w:val="single"/>
        </w:rPr>
        <w:t>Upute za specifične pozicije</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A0C6F" w:rsidRPr="00990A2C" w14:paraId="3D162A96" w14:textId="77777777">
        <w:tc>
          <w:tcPr>
            <w:tcW w:w="1129" w:type="dxa"/>
            <w:shd w:val="clear" w:color="auto" w:fill="D9D9D9"/>
          </w:tcPr>
          <w:p w14:paraId="21544FE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Redak</w:t>
            </w:r>
          </w:p>
        </w:tc>
        <w:tc>
          <w:tcPr>
            <w:tcW w:w="7620" w:type="dxa"/>
            <w:shd w:val="clear" w:color="auto" w:fill="D9D9D9"/>
          </w:tcPr>
          <w:p w14:paraId="3A89372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Pravna osnova i upute</w:t>
            </w:r>
          </w:p>
        </w:tc>
      </w:tr>
      <w:tr w:rsidR="00FA0C6F" w:rsidRPr="00990A2C" w14:paraId="6C549F0C" w14:textId="77777777">
        <w:tc>
          <w:tcPr>
            <w:tcW w:w="1129" w:type="dxa"/>
          </w:tcPr>
          <w:p w14:paraId="166C9EA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0010</w:t>
            </w:r>
          </w:p>
        </w:tc>
        <w:tc>
          <w:tcPr>
            <w:tcW w:w="7620" w:type="dxa"/>
          </w:tcPr>
          <w:p w14:paraId="600F1E3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Kapitalni zahtjevi</w:t>
            </w:r>
          </w:p>
          <w:p w14:paraId="3F06407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11. stavci 1. i 2. Uredbe (EU) 2019/2033</w:t>
            </w:r>
          </w:p>
          <w:p w14:paraId="6DE459C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U ovoj se stavci iskazuje najveći iznos iz redaka 0020 i 0030.</w:t>
            </w:r>
          </w:p>
        </w:tc>
      </w:tr>
      <w:tr w:rsidR="00FA0C6F" w:rsidRPr="00990A2C" w14:paraId="3AE0B5BD" w14:textId="77777777">
        <w:tc>
          <w:tcPr>
            <w:tcW w:w="1129" w:type="dxa"/>
          </w:tcPr>
          <w:p w14:paraId="0566907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0020</w:t>
            </w:r>
          </w:p>
        </w:tc>
        <w:tc>
          <w:tcPr>
            <w:tcW w:w="7620" w:type="dxa"/>
          </w:tcPr>
          <w:p w14:paraId="4AC0D78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Zahtjev za trajni minimalni kapital</w:t>
            </w:r>
          </w:p>
          <w:p w14:paraId="63186B7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14. Uredbe (EU) 2019/2033</w:t>
            </w:r>
          </w:p>
        </w:tc>
      </w:tr>
      <w:tr w:rsidR="00FA0C6F" w:rsidRPr="00990A2C" w14:paraId="49783F73" w14:textId="77777777">
        <w:tc>
          <w:tcPr>
            <w:tcW w:w="1129" w:type="dxa"/>
          </w:tcPr>
          <w:p w14:paraId="59A8DBE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0030</w:t>
            </w:r>
          </w:p>
        </w:tc>
        <w:tc>
          <w:tcPr>
            <w:tcW w:w="7620" w:type="dxa"/>
          </w:tcPr>
          <w:p w14:paraId="3E089790"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Zahtjev za fiksne opće troškove</w:t>
            </w:r>
          </w:p>
          <w:p w14:paraId="6AAB5211"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13. Uredbe (EU) 2019/2033</w:t>
            </w:r>
          </w:p>
        </w:tc>
      </w:tr>
      <w:tr w:rsidR="00FA0C6F" w:rsidRPr="00990A2C" w14:paraId="15BDD573" w14:textId="77777777">
        <w:tc>
          <w:tcPr>
            <w:tcW w:w="1129" w:type="dxa"/>
          </w:tcPr>
          <w:p w14:paraId="2527007C"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0050 – 0090 </w:t>
            </w:r>
          </w:p>
        </w:tc>
        <w:tc>
          <w:tcPr>
            <w:tcW w:w="7620" w:type="dxa"/>
          </w:tcPr>
          <w:p w14:paraId="644A697D"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Prijelazni kapitalni zahtjevi</w:t>
            </w:r>
          </w:p>
        </w:tc>
      </w:tr>
      <w:tr w:rsidR="00FA0C6F" w:rsidRPr="00990A2C" w14:paraId="043A7FE6" w14:textId="77777777">
        <w:tc>
          <w:tcPr>
            <w:tcW w:w="1129" w:type="dxa"/>
          </w:tcPr>
          <w:p w14:paraId="2EB26BF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0050</w:t>
            </w:r>
          </w:p>
        </w:tc>
        <w:tc>
          <w:tcPr>
            <w:tcW w:w="7620" w:type="dxa"/>
          </w:tcPr>
          <w:p w14:paraId="0DE52F70"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Prijelazni zahtjev koji se temelji na kapitalnim </w:t>
            </w:r>
            <w:r w:rsidRPr="00990A2C">
              <w:rPr>
                <w:rFonts w:ascii="Times New Roman" w:hAnsi="Times New Roman"/>
                <w:b/>
                <w:bCs/>
                <w:u w:val="single"/>
              </w:rPr>
              <w:t>zahtjevima iz Uredbe (EU) br. 575/2013</w:t>
            </w:r>
          </w:p>
          <w:p w14:paraId="2C59987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57. stavak 3. točka (a) Uredbe (EU) 2019/2033</w:t>
            </w:r>
          </w:p>
        </w:tc>
      </w:tr>
      <w:tr w:rsidR="00FA0C6F" w:rsidRPr="00990A2C" w14:paraId="3B7CBF49" w14:textId="77777777">
        <w:tc>
          <w:tcPr>
            <w:tcW w:w="1129" w:type="dxa"/>
          </w:tcPr>
          <w:p w14:paraId="5349414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0060</w:t>
            </w:r>
          </w:p>
        </w:tc>
        <w:tc>
          <w:tcPr>
            <w:tcW w:w="7620" w:type="dxa"/>
          </w:tcPr>
          <w:p w14:paraId="3C5AB090"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Prijelazni zahtjev koji se temelji na zahtjevima za fiksne opće troškove</w:t>
            </w:r>
          </w:p>
          <w:p w14:paraId="7E3467BD"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57. stavak 3. točka (b) Uredbe (EU) 2019/2033</w:t>
            </w:r>
          </w:p>
        </w:tc>
      </w:tr>
      <w:tr w:rsidR="00FA0C6F" w:rsidRPr="00990A2C" w14:paraId="4837D78A" w14:textId="77777777">
        <w:tc>
          <w:tcPr>
            <w:tcW w:w="1129" w:type="dxa"/>
          </w:tcPr>
          <w:p w14:paraId="3BC336A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0070</w:t>
            </w:r>
          </w:p>
        </w:tc>
        <w:tc>
          <w:tcPr>
            <w:tcW w:w="7620" w:type="dxa"/>
          </w:tcPr>
          <w:p w14:paraId="4B14640F"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Prijelazni zahtjev za inve</w:t>
            </w:r>
            <w:r w:rsidRPr="00990A2C">
              <w:rPr>
                <w:rFonts w:ascii="Times New Roman" w:hAnsi="Times New Roman"/>
                <w:b/>
                <w:bCs/>
                <w:u w:val="single"/>
              </w:rPr>
              <w:t>sticijska društva na koja se prije primjenjivao samo zahtjev za inicijalni kapital</w:t>
            </w:r>
          </w:p>
          <w:p w14:paraId="684F608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57. stavak 4. točka (a) Uredbe (EU) br. 2019/2033</w:t>
            </w:r>
          </w:p>
        </w:tc>
      </w:tr>
      <w:tr w:rsidR="00FA0C6F" w:rsidRPr="00990A2C" w14:paraId="418A0C6B" w14:textId="77777777">
        <w:tc>
          <w:tcPr>
            <w:tcW w:w="1129" w:type="dxa"/>
          </w:tcPr>
          <w:p w14:paraId="2154AC9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0080</w:t>
            </w:r>
          </w:p>
        </w:tc>
        <w:tc>
          <w:tcPr>
            <w:tcW w:w="7620" w:type="dxa"/>
          </w:tcPr>
          <w:p w14:paraId="486CEB9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Prijelazni zahtjev koji se temelji na zahtjevu za inicijalni kapital pri izdavanju odobrenja za rad</w:t>
            </w:r>
          </w:p>
          <w:p w14:paraId="1596496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57. stavak 4. točka (b) Uredbe (EU) 2019/2033</w:t>
            </w:r>
          </w:p>
        </w:tc>
      </w:tr>
      <w:tr w:rsidR="00FA0C6F" w:rsidRPr="00990A2C" w14:paraId="1982D8FE" w14:textId="77777777">
        <w:tc>
          <w:tcPr>
            <w:tcW w:w="1129" w:type="dxa"/>
          </w:tcPr>
          <w:p w14:paraId="680B3A3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0090</w:t>
            </w:r>
          </w:p>
        </w:tc>
        <w:tc>
          <w:tcPr>
            <w:tcW w:w="7620" w:type="dxa"/>
          </w:tcPr>
          <w:p w14:paraId="11C5258D"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Prijelazni zahtjev za investicijska društva koja nemaju odobrenje za pružanje određenih usluga</w:t>
            </w:r>
          </w:p>
          <w:p w14:paraId="533E565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57. stavak 4. točka (c) Uredbe (EU) 2019/2033</w:t>
            </w:r>
          </w:p>
        </w:tc>
      </w:tr>
      <w:tr w:rsidR="00FA0C6F" w:rsidRPr="00990A2C" w14:paraId="3B90FEC1" w14:textId="77777777">
        <w:tc>
          <w:tcPr>
            <w:tcW w:w="1129" w:type="dxa"/>
          </w:tcPr>
          <w:p w14:paraId="4BCB412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0110 – 0130</w:t>
            </w:r>
          </w:p>
        </w:tc>
        <w:tc>
          <w:tcPr>
            <w:tcW w:w="7620" w:type="dxa"/>
          </w:tcPr>
          <w:p w14:paraId="4F8EFD1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Bilješke</w:t>
            </w:r>
          </w:p>
        </w:tc>
      </w:tr>
      <w:tr w:rsidR="00FA0C6F" w:rsidRPr="00990A2C" w14:paraId="057AB65E" w14:textId="77777777">
        <w:tc>
          <w:tcPr>
            <w:tcW w:w="1129" w:type="dxa"/>
            <w:tcBorders>
              <w:top w:val="single" w:sz="4" w:space="0" w:color="auto"/>
              <w:left w:val="single" w:sz="4" w:space="0" w:color="auto"/>
              <w:bottom w:val="single" w:sz="4" w:space="0" w:color="auto"/>
              <w:right w:val="single" w:sz="4" w:space="0" w:color="auto"/>
            </w:tcBorders>
          </w:tcPr>
          <w:p w14:paraId="4489F4F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7B86E90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Dodatni kapitalni zah</w:t>
            </w:r>
            <w:r w:rsidRPr="00990A2C">
              <w:rPr>
                <w:rFonts w:ascii="Times New Roman" w:hAnsi="Times New Roman"/>
                <w:b/>
                <w:bCs/>
                <w:u w:val="single"/>
              </w:rPr>
              <w:t>tjevi</w:t>
            </w:r>
          </w:p>
          <w:p w14:paraId="01A6170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40. Direktive (EU) 2019/2034</w:t>
            </w:r>
          </w:p>
          <w:p w14:paraId="5BCDE94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lastRenderedPageBreak/>
              <w:t>Dodatni regulatorni kapital potreban nakon postupka nadzorne provjere i ocjene (SREP)</w:t>
            </w:r>
            <w:r w:rsidRPr="00990A2C">
              <w:rPr>
                <w:rFonts w:ascii="Times New Roman" w:hAnsi="Times New Roman"/>
                <w:b/>
                <w:bCs/>
                <w:u w:val="single"/>
              </w:rPr>
              <w:t xml:space="preserve"> </w:t>
            </w:r>
          </w:p>
        </w:tc>
      </w:tr>
      <w:tr w:rsidR="00FA0C6F" w:rsidRPr="00990A2C" w14:paraId="08C709C9" w14:textId="77777777">
        <w:tc>
          <w:tcPr>
            <w:tcW w:w="1129" w:type="dxa"/>
            <w:tcBorders>
              <w:top w:val="single" w:sz="4" w:space="0" w:color="auto"/>
              <w:left w:val="single" w:sz="4" w:space="0" w:color="auto"/>
              <w:bottom w:val="single" w:sz="4" w:space="0" w:color="auto"/>
              <w:right w:val="single" w:sz="4" w:space="0" w:color="auto"/>
            </w:tcBorders>
          </w:tcPr>
          <w:p w14:paraId="4FB2D8D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0120</w:t>
            </w:r>
          </w:p>
        </w:tc>
        <w:tc>
          <w:tcPr>
            <w:tcW w:w="7620" w:type="dxa"/>
            <w:tcBorders>
              <w:top w:val="single" w:sz="4" w:space="0" w:color="auto"/>
              <w:left w:val="single" w:sz="4" w:space="0" w:color="auto"/>
              <w:bottom w:val="single" w:sz="4" w:space="0" w:color="auto"/>
              <w:right w:val="single" w:sz="4" w:space="0" w:color="auto"/>
            </w:tcBorders>
          </w:tcPr>
          <w:p w14:paraId="1B367047"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Ukupni kapitalni zahtjev</w:t>
            </w:r>
          </w:p>
          <w:p w14:paraId="127E0D0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rPr>
              <w:t>Kapitalni zahtjev investicijskog društva sastoji se od zbroja</w:t>
            </w:r>
            <w:r w:rsidRPr="00990A2C">
              <w:rPr>
                <w:rFonts w:ascii="Times New Roman" w:hAnsi="Times New Roman"/>
                <w:bCs/>
              </w:rPr>
              <w:t xml:space="preserve"> </w:t>
            </w:r>
            <w:r w:rsidRPr="00990A2C">
              <w:rPr>
                <w:rFonts w:ascii="Times New Roman" w:hAnsi="Times New Roman"/>
              </w:rPr>
              <w:t xml:space="preserve">kapitalnih zahtjeva </w:t>
            </w:r>
            <w:r w:rsidRPr="00990A2C">
              <w:rPr>
                <w:rFonts w:ascii="Times New Roman" w:hAnsi="Times New Roman"/>
                <w:bCs/>
              </w:rPr>
              <w:t>primjenjivih na referentni datum</w:t>
            </w:r>
            <w:r w:rsidRPr="00990A2C">
              <w:rPr>
                <w:rFonts w:ascii="Times New Roman" w:hAnsi="Times New Roman"/>
              </w:rPr>
              <w:t xml:space="preserve">, </w:t>
            </w:r>
            <w:r w:rsidRPr="00990A2C">
              <w:rPr>
                <w:rFonts w:ascii="Times New Roman" w:hAnsi="Times New Roman"/>
                <w:bCs/>
              </w:rPr>
              <w:t xml:space="preserve">dodatnog </w:t>
            </w:r>
            <w:r w:rsidRPr="00990A2C">
              <w:rPr>
                <w:rFonts w:ascii="Times New Roman" w:hAnsi="Times New Roman"/>
              </w:rPr>
              <w:t xml:space="preserve">kapitalnog zahtjeva </w:t>
            </w:r>
            <w:r w:rsidRPr="00990A2C">
              <w:rPr>
                <w:rFonts w:ascii="Times New Roman" w:hAnsi="Times New Roman"/>
                <w:bCs/>
              </w:rPr>
              <w:t xml:space="preserve">kako je iskazan u retku 0110 </w:t>
            </w:r>
            <w:r w:rsidRPr="00990A2C">
              <w:rPr>
                <w:rFonts w:ascii="Times New Roman" w:hAnsi="Times New Roman"/>
              </w:rPr>
              <w:t xml:space="preserve">i </w:t>
            </w:r>
            <w:r w:rsidRPr="00990A2C">
              <w:rPr>
                <w:rFonts w:ascii="Times New Roman" w:hAnsi="Times New Roman"/>
                <w:bCs/>
              </w:rPr>
              <w:t xml:space="preserve">smjernice </w:t>
            </w:r>
            <w:r w:rsidRPr="00990A2C">
              <w:rPr>
                <w:rFonts w:ascii="Times New Roman" w:hAnsi="Times New Roman"/>
              </w:rPr>
              <w:t xml:space="preserve">o dodatnom regulatornom kapitalu </w:t>
            </w:r>
            <w:r w:rsidRPr="00990A2C">
              <w:rPr>
                <w:rFonts w:ascii="Times New Roman" w:hAnsi="Times New Roman"/>
                <w:bCs/>
              </w:rPr>
              <w:t xml:space="preserve">kako je iskazana u </w:t>
            </w:r>
            <w:r w:rsidRPr="00990A2C">
              <w:rPr>
                <w:rFonts w:ascii="Times New Roman" w:hAnsi="Times New Roman"/>
              </w:rPr>
              <w:t xml:space="preserve">retku </w:t>
            </w:r>
            <w:r w:rsidRPr="00990A2C">
              <w:rPr>
                <w:rFonts w:ascii="Times New Roman" w:hAnsi="Times New Roman"/>
                <w:bCs/>
              </w:rPr>
              <w:t>0120.</w:t>
            </w:r>
          </w:p>
        </w:tc>
      </w:tr>
    </w:tbl>
    <w:p w14:paraId="56CF0CA1" w14:textId="77777777" w:rsidR="00FA0C6F" w:rsidRPr="00990A2C" w:rsidRDefault="00990A2C">
      <w:pPr>
        <w:pStyle w:val="Instructionsberschrift2"/>
        <w:ind w:left="357" w:hanging="357"/>
        <w:rPr>
          <w:rFonts w:ascii="Times New Roman" w:hAnsi="Times New Roman" w:cs="Times New Roman"/>
          <w:sz w:val="24"/>
        </w:rPr>
      </w:pPr>
      <w:bookmarkStart w:id="23" w:name="_Toc88219055"/>
      <w:r w:rsidRPr="00990A2C">
        <w:rPr>
          <w:rFonts w:ascii="Times New Roman" w:hAnsi="Times New Roman"/>
          <w:sz w:val="24"/>
        </w:rPr>
        <w:t>1.4. I 02.04 – STOPE KAPITALA (I 2.4)</w:t>
      </w:r>
      <w:bookmarkEnd w:id="23"/>
    </w:p>
    <w:p w14:paraId="6024678F" w14:textId="77777777" w:rsidR="00FA0C6F" w:rsidRPr="00990A2C" w:rsidRDefault="00990A2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219056"/>
      <w:r w:rsidRPr="00990A2C">
        <w:rPr>
          <w:rFonts w:ascii="Times New Roman" w:hAnsi="Times New Roman"/>
          <w:sz w:val="24"/>
          <w:szCs w:val="24"/>
        </w:rPr>
        <w:t>1.4.1</w:t>
      </w:r>
      <w:r w:rsidRPr="00990A2C">
        <w:rPr>
          <w:rFonts w:ascii="Times New Roman" w:hAnsi="Times New Roman"/>
          <w:sz w:val="24"/>
          <w:szCs w:val="24"/>
        </w:rPr>
        <w:tab/>
      </w:r>
      <w:r w:rsidRPr="00990A2C">
        <w:rPr>
          <w:rFonts w:ascii="Times New Roman" w:hAnsi="Times New Roman"/>
          <w:sz w:val="24"/>
          <w:szCs w:val="24"/>
          <w:u w:val="single"/>
        </w:rPr>
        <w:t>Upute za specifične poz</w:t>
      </w:r>
      <w:r w:rsidRPr="00990A2C">
        <w:rPr>
          <w:rFonts w:ascii="Times New Roman" w:hAnsi="Times New Roman"/>
          <w:sz w:val="24"/>
          <w:szCs w:val="24"/>
          <w:u w:val="single"/>
        </w:rPr>
        <w:t>icije</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A0C6F" w:rsidRPr="00990A2C" w14:paraId="282099F4" w14:textId="77777777">
        <w:tc>
          <w:tcPr>
            <w:tcW w:w="1129" w:type="dxa"/>
            <w:shd w:val="clear" w:color="auto" w:fill="D9D9D9"/>
          </w:tcPr>
          <w:p w14:paraId="6FA5C87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Redak</w:t>
            </w:r>
          </w:p>
        </w:tc>
        <w:tc>
          <w:tcPr>
            <w:tcW w:w="7620" w:type="dxa"/>
            <w:shd w:val="clear" w:color="auto" w:fill="D9D9D9"/>
          </w:tcPr>
          <w:p w14:paraId="46077BA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Pravna osnova i upute</w:t>
            </w:r>
          </w:p>
        </w:tc>
      </w:tr>
      <w:tr w:rsidR="00FA0C6F" w:rsidRPr="00990A2C" w14:paraId="68CCA7BB" w14:textId="77777777">
        <w:tc>
          <w:tcPr>
            <w:tcW w:w="1129" w:type="dxa"/>
          </w:tcPr>
          <w:p w14:paraId="05BEF40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0010</w:t>
            </w:r>
          </w:p>
        </w:tc>
        <w:tc>
          <w:tcPr>
            <w:tcW w:w="7620" w:type="dxa"/>
          </w:tcPr>
          <w:p w14:paraId="09A4172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Stopa redovnog osnovnog kapitala</w:t>
            </w:r>
          </w:p>
          <w:p w14:paraId="7718AA2C"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 (a) i članak 11. stavci 1. i 2. Uredbe (EU) 2019/2033</w:t>
            </w:r>
          </w:p>
          <w:p w14:paraId="084561F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Ova stavka izražava se kao postotak.</w:t>
            </w:r>
          </w:p>
        </w:tc>
      </w:tr>
      <w:tr w:rsidR="00FA0C6F" w:rsidRPr="00990A2C" w14:paraId="37A429E7" w14:textId="77777777">
        <w:tc>
          <w:tcPr>
            <w:tcW w:w="1129" w:type="dxa"/>
          </w:tcPr>
          <w:p w14:paraId="0E4BB11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0020</w:t>
            </w:r>
          </w:p>
        </w:tc>
        <w:tc>
          <w:tcPr>
            <w:tcW w:w="7620" w:type="dxa"/>
          </w:tcPr>
          <w:p w14:paraId="08D47D8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Višak (+)/manjak (–) redovnog osnovnog kapitala</w:t>
            </w:r>
          </w:p>
          <w:p w14:paraId="5AE00E76" w14:textId="77777777" w:rsidR="00FA0C6F" w:rsidRPr="00990A2C" w:rsidRDefault="00990A2C">
            <w:pPr>
              <w:spacing w:after="120" w:line="240" w:lineRule="auto"/>
              <w:jc w:val="both"/>
              <w:rPr>
                <w:rFonts w:ascii="Times New Roman" w:hAnsi="Times New Roman" w:cs="Times New Roman"/>
              </w:rPr>
            </w:pPr>
            <w:r w:rsidRPr="00990A2C">
              <w:rPr>
                <w:rFonts w:ascii="Times New Roman" w:hAnsi="Times New Roman"/>
              </w:rPr>
              <w:t xml:space="preserve">U ovoj </w:t>
            </w:r>
            <w:r w:rsidRPr="00990A2C">
              <w:rPr>
                <w:rFonts w:ascii="Times New Roman" w:hAnsi="Times New Roman"/>
              </w:rPr>
              <w:t>stavci iskazuje se višak ili manjak redovnog osnovnog kapitala koji se odnosi na zahtjev iz članka 9. stavka 1. Uredbe (EU) 2019/2033.</w:t>
            </w:r>
          </w:p>
          <w:p w14:paraId="6097B91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rPr>
              <w:t>Prijelazne odredbe članka 57. stavaka 3. i 4. Uredbe (EU) 2019/2033 ne primjenjuju se na ovu stavku.</w:t>
            </w:r>
          </w:p>
        </w:tc>
      </w:tr>
      <w:tr w:rsidR="00FA0C6F" w:rsidRPr="00990A2C" w14:paraId="3825D9C1" w14:textId="77777777">
        <w:tc>
          <w:tcPr>
            <w:tcW w:w="1129" w:type="dxa"/>
          </w:tcPr>
          <w:p w14:paraId="2FE8638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0030</w:t>
            </w:r>
          </w:p>
        </w:tc>
        <w:tc>
          <w:tcPr>
            <w:tcW w:w="7620" w:type="dxa"/>
          </w:tcPr>
          <w:p w14:paraId="013E048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Stopa </w:t>
            </w:r>
            <w:r w:rsidRPr="00990A2C">
              <w:rPr>
                <w:rFonts w:ascii="Times New Roman" w:hAnsi="Times New Roman"/>
                <w:b/>
                <w:bCs/>
                <w:u w:val="single"/>
              </w:rPr>
              <w:t>osnovnog kapitala</w:t>
            </w:r>
          </w:p>
          <w:p w14:paraId="433FD55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 (b) i članak 11. stavci 1. i 2. Uredbe (EU) 2019/2033</w:t>
            </w:r>
          </w:p>
          <w:p w14:paraId="02E8CDA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Ova stavka izražava se kao postotak.</w:t>
            </w:r>
          </w:p>
        </w:tc>
      </w:tr>
      <w:tr w:rsidR="00FA0C6F" w:rsidRPr="00990A2C" w14:paraId="1E64DD20" w14:textId="77777777">
        <w:tc>
          <w:tcPr>
            <w:tcW w:w="1129" w:type="dxa"/>
          </w:tcPr>
          <w:p w14:paraId="1F1F9E6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0040</w:t>
            </w:r>
          </w:p>
        </w:tc>
        <w:tc>
          <w:tcPr>
            <w:tcW w:w="7620" w:type="dxa"/>
          </w:tcPr>
          <w:p w14:paraId="1B0CA55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Višak (+)/manjak (–) osnovnog kapitala</w:t>
            </w:r>
          </w:p>
          <w:p w14:paraId="4F30D9B8" w14:textId="77777777" w:rsidR="00FA0C6F" w:rsidRPr="00990A2C" w:rsidRDefault="00990A2C">
            <w:pPr>
              <w:spacing w:after="120" w:line="240" w:lineRule="auto"/>
              <w:jc w:val="both"/>
              <w:rPr>
                <w:rFonts w:ascii="Times New Roman" w:hAnsi="Times New Roman" w:cs="Times New Roman"/>
              </w:rPr>
            </w:pPr>
            <w:r w:rsidRPr="00990A2C">
              <w:rPr>
                <w:rFonts w:ascii="Times New Roman" w:hAnsi="Times New Roman"/>
              </w:rPr>
              <w:t xml:space="preserve">U ovoj stavci iskazuje se višak ili manjak osnovnog kapitala koji se odnosi </w:t>
            </w:r>
            <w:r w:rsidRPr="00990A2C">
              <w:rPr>
                <w:rFonts w:ascii="Times New Roman" w:hAnsi="Times New Roman"/>
              </w:rPr>
              <w:t>na zahtjev iz članka 9. stavka 1. Uredbe (EU) 2019/2033.</w:t>
            </w:r>
          </w:p>
          <w:p w14:paraId="201D4821"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rPr>
              <w:t>Prijelazne odredbe članka 57. stavaka 3. i 4. Uredbe (EU) 2019/2033 ne primjenjuju se na ovu stavku.</w:t>
            </w:r>
          </w:p>
        </w:tc>
      </w:tr>
      <w:tr w:rsidR="00FA0C6F" w:rsidRPr="00990A2C" w14:paraId="00F02F9F" w14:textId="77777777">
        <w:tc>
          <w:tcPr>
            <w:tcW w:w="1129" w:type="dxa"/>
          </w:tcPr>
          <w:p w14:paraId="1E83E4E0"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0050</w:t>
            </w:r>
          </w:p>
        </w:tc>
        <w:tc>
          <w:tcPr>
            <w:tcW w:w="7620" w:type="dxa"/>
          </w:tcPr>
          <w:p w14:paraId="44F02D7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Stopa regulatornog kapitala</w:t>
            </w:r>
          </w:p>
          <w:p w14:paraId="4D0CB14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9. stavak 1. točka (c) i članak 11. stavci 1. i 2. Uredbe</w:t>
            </w:r>
            <w:r w:rsidRPr="00990A2C">
              <w:rPr>
                <w:rFonts w:ascii="Times New Roman" w:hAnsi="Times New Roman"/>
                <w:bCs/>
              </w:rPr>
              <w:t xml:space="preserve"> (EU) 2019/2033</w:t>
            </w:r>
          </w:p>
          <w:p w14:paraId="7AFAC1F8"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Ova stavka izražava se kao postotak.</w:t>
            </w:r>
          </w:p>
        </w:tc>
      </w:tr>
      <w:tr w:rsidR="00FA0C6F" w:rsidRPr="00990A2C" w14:paraId="3970857A" w14:textId="77777777">
        <w:tc>
          <w:tcPr>
            <w:tcW w:w="1129" w:type="dxa"/>
          </w:tcPr>
          <w:p w14:paraId="195FA93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0060</w:t>
            </w:r>
          </w:p>
        </w:tc>
        <w:tc>
          <w:tcPr>
            <w:tcW w:w="7620" w:type="dxa"/>
          </w:tcPr>
          <w:p w14:paraId="05EBCDF9"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Višak (+)/manjak (–) ukupnog kapitala</w:t>
            </w:r>
          </w:p>
          <w:p w14:paraId="42497567" w14:textId="77777777" w:rsidR="00FA0C6F" w:rsidRPr="00990A2C" w:rsidRDefault="00990A2C">
            <w:pPr>
              <w:spacing w:after="120" w:line="240" w:lineRule="auto"/>
              <w:jc w:val="both"/>
              <w:rPr>
                <w:rFonts w:ascii="Times New Roman" w:hAnsi="Times New Roman" w:cs="Times New Roman"/>
              </w:rPr>
            </w:pPr>
            <w:r w:rsidRPr="00990A2C">
              <w:rPr>
                <w:rFonts w:ascii="Times New Roman" w:hAnsi="Times New Roman"/>
              </w:rPr>
              <w:t>U ovoj stavci iskazuje se višak ili manjak regulatornog kapitala koji se odnosi na zahtjev iz članka 9. stavka 1. Uredbe (EU) 2019/2033.</w:t>
            </w:r>
          </w:p>
          <w:p w14:paraId="1729CB7F"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rPr>
              <w:t>Prijelazne odredbe čla</w:t>
            </w:r>
            <w:r w:rsidRPr="00990A2C">
              <w:rPr>
                <w:rFonts w:ascii="Times New Roman" w:hAnsi="Times New Roman"/>
              </w:rPr>
              <w:t>nka 57. stavaka 3. i 4. Uredbe (EU) 2019/2033 ne primjenjuju se na ovu stavku.</w:t>
            </w:r>
          </w:p>
        </w:tc>
      </w:tr>
    </w:tbl>
    <w:p w14:paraId="2CBD77F5" w14:textId="77777777" w:rsidR="00FA0C6F" w:rsidRPr="00990A2C" w:rsidRDefault="00FA0C6F">
      <w:pPr>
        <w:pStyle w:val="Instructionsberschrift2"/>
        <w:ind w:left="357" w:hanging="357"/>
        <w:rPr>
          <w:rFonts w:ascii="Times New Roman" w:hAnsi="Times New Roman" w:cs="Times New Roman"/>
          <w:sz w:val="24"/>
        </w:rPr>
      </w:pPr>
    </w:p>
    <w:p w14:paraId="7BAFB549" w14:textId="77777777" w:rsidR="00FA0C6F" w:rsidRPr="00990A2C" w:rsidRDefault="00990A2C">
      <w:pPr>
        <w:pStyle w:val="Instructionsberschrift2"/>
        <w:ind w:left="357" w:hanging="357"/>
        <w:rPr>
          <w:rFonts w:ascii="Times New Roman" w:hAnsi="Times New Roman" w:cs="Times New Roman"/>
          <w:sz w:val="24"/>
        </w:rPr>
      </w:pPr>
      <w:bookmarkStart w:id="25" w:name="_Toc88219057"/>
      <w:r w:rsidRPr="00990A2C">
        <w:rPr>
          <w:rFonts w:ascii="Times New Roman" w:hAnsi="Times New Roman"/>
          <w:sz w:val="24"/>
        </w:rPr>
        <w:t>1.5. I 03.01 – IZRAČUN ZAHTJEVA ZA FIKSNE OPĆE TROŠKOVE (I 3.1)</w:t>
      </w:r>
      <w:bookmarkEnd w:id="2"/>
      <w:bookmarkEnd w:id="3"/>
      <w:bookmarkEnd w:id="25"/>
      <w:bookmarkEnd w:id="4"/>
      <w:bookmarkEnd w:id="5"/>
    </w:p>
    <w:p w14:paraId="1ECAB612" w14:textId="77777777" w:rsidR="00FA0C6F" w:rsidRPr="00990A2C" w:rsidRDefault="00990A2C">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08175821"/>
      <w:bookmarkStart w:id="27" w:name="_Toc310414968"/>
      <w:bookmarkStart w:id="28" w:name="_Toc360188326"/>
      <w:bookmarkStart w:id="29" w:name="_Toc473560874"/>
      <w:bookmarkStart w:id="30" w:name="_Toc7084159"/>
      <w:bookmarkStart w:id="31" w:name="_Toc88219058"/>
      <w:r w:rsidRPr="00990A2C">
        <w:rPr>
          <w:rFonts w:ascii="Times New Roman" w:hAnsi="Times New Roman"/>
          <w:sz w:val="24"/>
          <w:szCs w:val="24"/>
        </w:rPr>
        <w:t>1.5.1</w:t>
      </w:r>
      <w:r w:rsidRPr="00990A2C">
        <w:rPr>
          <w:rFonts w:ascii="Times New Roman" w:hAnsi="Times New Roman"/>
          <w:sz w:val="24"/>
          <w:szCs w:val="24"/>
        </w:rPr>
        <w:tab/>
      </w:r>
      <w:r w:rsidRPr="00990A2C">
        <w:rPr>
          <w:rFonts w:ascii="Times New Roman" w:hAnsi="Times New Roman"/>
          <w:sz w:val="24"/>
          <w:szCs w:val="24"/>
          <w:u w:val="single"/>
        </w:rPr>
        <w:t xml:space="preserve">Upute za specifične </w:t>
      </w:r>
      <w:bookmarkEnd w:id="26"/>
      <w:bookmarkEnd w:id="27"/>
      <w:r w:rsidRPr="00990A2C">
        <w:rPr>
          <w:rFonts w:ascii="Times New Roman" w:hAnsi="Times New Roman"/>
          <w:sz w:val="24"/>
          <w:szCs w:val="24"/>
          <w:u w:val="single"/>
        </w:rPr>
        <w:t>pozicije</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A0C6F" w:rsidRPr="00990A2C" w14:paraId="2006D1DE" w14:textId="77777777">
        <w:tc>
          <w:tcPr>
            <w:tcW w:w="1129" w:type="dxa"/>
            <w:shd w:val="clear" w:color="auto" w:fill="D9D9D9"/>
          </w:tcPr>
          <w:p w14:paraId="61B79073"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color w:val="000000" w:themeColor="text1"/>
              </w:rPr>
              <w:t>Redak</w:t>
            </w:r>
          </w:p>
        </w:tc>
        <w:tc>
          <w:tcPr>
            <w:tcW w:w="7620" w:type="dxa"/>
            <w:shd w:val="clear" w:color="auto" w:fill="D9D9D9"/>
          </w:tcPr>
          <w:p w14:paraId="5A2D89A8"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color w:val="000000" w:themeColor="text1"/>
              </w:rPr>
              <w:t>Pravna osnova i upute</w:t>
            </w:r>
          </w:p>
        </w:tc>
      </w:tr>
      <w:tr w:rsidR="00FA0C6F" w:rsidRPr="00990A2C" w14:paraId="2ECEC18C" w14:textId="77777777">
        <w:tc>
          <w:tcPr>
            <w:tcW w:w="1129" w:type="dxa"/>
          </w:tcPr>
          <w:p w14:paraId="40ADF156"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0010</w:t>
            </w:r>
          </w:p>
        </w:tc>
        <w:tc>
          <w:tcPr>
            <w:tcW w:w="7620" w:type="dxa"/>
          </w:tcPr>
          <w:p w14:paraId="6C105937"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Zahtjev za fiksne opće troškove</w:t>
            </w:r>
          </w:p>
          <w:p w14:paraId="4A3B7F2D"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rPr>
              <w:t>Članak 13. stavak 1. Uredbe (EU) 2019/2033</w:t>
            </w:r>
          </w:p>
          <w:p w14:paraId="678AC646" w14:textId="77777777" w:rsidR="00FA0C6F" w:rsidRPr="00990A2C" w:rsidRDefault="00990A2C">
            <w:pPr>
              <w:spacing w:after="120" w:line="240" w:lineRule="auto"/>
              <w:jc w:val="both"/>
              <w:rPr>
                <w:rFonts w:ascii="Times New Roman" w:hAnsi="Times New Roman" w:cs="Times New Roman"/>
              </w:rPr>
            </w:pPr>
            <w:r w:rsidRPr="00990A2C">
              <w:rPr>
                <w:rFonts w:ascii="Times New Roman" w:hAnsi="Times New Roman"/>
              </w:rPr>
              <w:t>Iskazani iznos jednak je najmanje 25 % godišnjih fiksnih općih troškova iz prethodne godine (redak 0020).</w:t>
            </w:r>
          </w:p>
          <w:p w14:paraId="51E55EF8" w14:textId="77777777" w:rsidR="00FA0C6F" w:rsidRPr="00990A2C" w:rsidRDefault="00990A2C">
            <w:pPr>
              <w:spacing w:after="120" w:line="240" w:lineRule="auto"/>
              <w:jc w:val="both"/>
              <w:rPr>
                <w:rFonts w:ascii="Times New Roman" w:hAnsi="Times New Roman" w:cs="Times New Roman"/>
              </w:rPr>
            </w:pPr>
            <w:r w:rsidRPr="00990A2C">
              <w:rPr>
                <w:rFonts w:ascii="Times New Roman" w:hAnsi="Times New Roman"/>
              </w:rPr>
              <w:t>U slučajevima u kojima je došlo do značajne promjene iz članka 13. stavka 2. Uredbe (EU) 2019/2033, iznos k</w:t>
            </w:r>
            <w:r w:rsidRPr="00990A2C">
              <w:rPr>
                <w:rFonts w:ascii="Times New Roman" w:hAnsi="Times New Roman"/>
              </w:rPr>
              <w:t>oji se iskazuje jednak je zahtjevu za fiksne opće troškove koji je nadležno tijelo utvrdilo u skladu s tim člankom.</w:t>
            </w:r>
          </w:p>
          <w:p w14:paraId="67792D61" w14:textId="77777777" w:rsidR="00FA0C6F" w:rsidRPr="00990A2C" w:rsidRDefault="00990A2C">
            <w:pPr>
              <w:spacing w:after="120" w:line="240" w:lineRule="auto"/>
              <w:jc w:val="both"/>
              <w:rPr>
                <w:rFonts w:ascii="Times New Roman" w:hAnsi="Times New Roman" w:cs="Times New Roman"/>
              </w:rPr>
            </w:pPr>
            <w:r w:rsidRPr="00990A2C">
              <w:rPr>
                <w:rFonts w:ascii="Times New Roman" w:hAnsi="Times New Roman"/>
              </w:rPr>
              <w:t>U slučajevima iz članka 13. stavka 3. Uredbe (EU) 2019/2033 iznos koji se iskazuje jednak je predviđenim fiksnim općim troškovima tekuće god</w:t>
            </w:r>
            <w:r w:rsidRPr="00990A2C">
              <w:rPr>
                <w:rFonts w:ascii="Times New Roman" w:hAnsi="Times New Roman"/>
              </w:rPr>
              <w:t>ine (redak 0200).</w:t>
            </w:r>
          </w:p>
        </w:tc>
      </w:tr>
      <w:tr w:rsidR="00FA0C6F" w:rsidRPr="00990A2C" w14:paraId="139FD7B2" w14:textId="77777777">
        <w:tc>
          <w:tcPr>
            <w:tcW w:w="1129" w:type="dxa"/>
          </w:tcPr>
          <w:p w14:paraId="4CE3F37F"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0020</w:t>
            </w:r>
          </w:p>
        </w:tc>
        <w:tc>
          <w:tcPr>
            <w:tcW w:w="7620" w:type="dxa"/>
          </w:tcPr>
          <w:p w14:paraId="60012E98"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Godišnji fiksni opći troškovi iz prethodne godine nakon raspodjele dobiti</w:t>
            </w:r>
          </w:p>
          <w:p w14:paraId="286566CB"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Članak 13. stavak 1. Uredbe (EU) 2019/2033</w:t>
            </w:r>
          </w:p>
          <w:p w14:paraId="552550F6" w14:textId="77777777" w:rsidR="00FA0C6F" w:rsidRPr="00990A2C" w:rsidRDefault="00990A2C">
            <w:pPr>
              <w:pStyle w:val="CommentText"/>
              <w:rPr>
                <w:rFonts w:ascii="Times New Roman" w:hAnsi="Times New Roman" w:cs="Times New Roman"/>
                <w:sz w:val="22"/>
                <w:szCs w:val="22"/>
              </w:rPr>
            </w:pPr>
            <w:r w:rsidRPr="00990A2C">
              <w:rPr>
                <w:rFonts w:ascii="Times New Roman" w:hAnsi="Times New Roman"/>
                <w:bCs/>
                <w:color w:val="000000" w:themeColor="text1"/>
                <w:sz w:val="22"/>
                <w:szCs w:val="22"/>
              </w:rPr>
              <w:t xml:space="preserve">Investicijska društva iskazuju fiksne opće troškove iz prethodne godine nakon raspodjele dobiti. </w:t>
            </w:r>
          </w:p>
        </w:tc>
      </w:tr>
      <w:tr w:rsidR="00FA0C6F" w:rsidRPr="00990A2C" w14:paraId="5FC03661" w14:textId="77777777">
        <w:tc>
          <w:tcPr>
            <w:tcW w:w="1129" w:type="dxa"/>
          </w:tcPr>
          <w:p w14:paraId="76227179"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0030</w:t>
            </w:r>
          </w:p>
        </w:tc>
        <w:tc>
          <w:tcPr>
            <w:tcW w:w="7620" w:type="dxa"/>
          </w:tcPr>
          <w:p w14:paraId="2268166F"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Ukupni rashodi iz prethodne godine nakon raspodjele dobiti</w:t>
            </w:r>
          </w:p>
          <w:p w14:paraId="0E317452" w14:textId="77777777" w:rsidR="00FA0C6F" w:rsidRPr="00990A2C" w:rsidRDefault="00990A2C">
            <w:pPr>
              <w:spacing w:after="120" w:line="240" w:lineRule="auto"/>
              <w:jc w:val="both"/>
              <w:rPr>
                <w:rFonts w:ascii="Times New Roman" w:eastAsia="Times New Roman" w:hAnsi="Times New Roman" w:cs="Times New Roman"/>
                <w:bCs/>
                <w:i/>
                <w:color w:val="000000" w:themeColor="text1"/>
              </w:rPr>
            </w:pPr>
            <w:r w:rsidRPr="00990A2C">
              <w:rPr>
                <w:rFonts w:ascii="Times New Roman" w:hAnsi="Times New Roman"/>
                <w:bCs/>
              </w:rPr>
              <w:t>Članak 13. stavak 1. Uredbe (EU) 2019/2033</w:t>
            </w:r>
          </w:p>
          <w:p w14:paraId="1A483905"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Iskazuje se iznos nakon raspodjele dobiti.</w:t>
            </w:r>
          </w:p>
        </w:tc>
      </w:tr>
      <w:tr w:rsidR="00FA0C6F" w:rsidRPr="00990A2C" w14:paraId="316C6A2C" w14:textId="77777777">
        <w:tc>
          <w:tcPr>
            <w:tcW w:w="1129" w:type="dxa"/>
          </w:tcPr>
          <w:p w14:paraId="6BF2FE9A"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0040</w:t>
            </w:r>
          </w:p>
        </w:tc>
        <w:tc>
          <w:tcPr>
            <w:tcW w:w="7620" w:type="dxa"/>
          </w:tcPr>
          <w:p w14:paraId="641E5234"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O</w:t>
            </w:r>
            <w:r w:rsidRPr="00990A2C">
              <w:rPr>
                <w:rFonts w:ascii="Times New Roman" w:hAnsi="Times New Roman"/>
                <w:b/>
                <w:bCs/>
                <w:color w:val="000000" w:themeColor="text1"/>
                <w:u w:val="single"/>
              </w:rPr>
              <w:t>d čega: fiksni rashodi koje u ime investicijskih društava snose treće strane</w:t>
            </w:r>
          </w:p>
          <w:p w14:paraId="7A448342"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Cs/>
              </w:rPr>
              <w:t>Članak 13. Uredbe (EU) 2019/2033</w:t>
            </w:r>
          </w:p>
        </w:tc>
      </w:tr>
      <w:tr w:rsidR="00FA0C6F" w:rsidRPr="00990A2C" w14:paraId="185FFEB8" w14:textId="77777777">
        <w:tc>
          <w:tcPr>
            <w:tcW w:w="1129" w:type="dxa"/>
          </w:tcPr>
          <w:p w14:paraId="2731E2BE"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0050</w:t>
            </w:r>
          </w:p>
        </w:tc>
        <w:tc>
          <w:tcPr>
            <w:tcW w:w="7620" w:type="dxa"/>
          </w:tcPr>
          <w:p w14:paraId="3FD454D0"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Ukupni odbici</w:t>
            </w:r>
          </w:p>
          <w:p w14:paraId="4FC67578" w14:textId="77777777" w:rsidR="00FA0C6F" w:rsidRPr="00990A2C" w:rsidRDefault="00990A2C">
            <w:pPr>
              <w:pStyle w:val="NumPar1"/>
              <w:numPr>
                <w:ilvl w:val="0"/>
                <w:numId w:val="0"/>
              </w:numPr>
              <w:rPr>
                <w:sz w:val="22"/>
              </w:rPr>
            </w:pPr>
            <w:r w:rsidRPr="00990A2C">
              <w:rPr>
                <w:sz w:val="22"/>
              </w:rPr>
              <w:t xml:space="preserve">Uz stavke za odbitak iz članka 13. stavka 4. Uredbe (EU) 2019/2033, od ukupnih rashoda odbijaju se i sljedeće stavke </w:t>
            </w:r>
            <w:r w:rsidRPr="00990A2C">
              <w:rPr>
                <w:sz w:val="22"/>
              </w:rPr>
              <w:t>ako su uključene u ukupne rashode u skladu s relevantnim računovodstvenim okvirom:</w:t>
            </w:r>
          </w:p>
          <w:p w14:paraId="0B95687E" w14:textId="77777777" w:rsidR="00FA0C6F" w:rsidRPr="00990A2C" w:rsidRDefault="00990A2C">
            <w:pPr>
              <w:pStyle w:val="Point1letter"/>
              <w:numPr>
                <w:ilvl w:val="0"/>
                <w:numId w:val="0"/>
              </w:numPr>
              <w:tabs>
                <w:tab w:val="left" w:pos="850"/>
              </w:tabs>
              <w:ind w:left="492" w:hanging="567"/>
              <w:rPr>
                <w:sz w:val="22"/>
              </w:rPr>
            </w:pPr>
            <w:r w:rsidRPr="00990A2C">
              <w:rPr>
                <w:sz w:val="22"/>
              </w:rPr>
              <w:t>(a)</w:t>
            </w:r>
            <w:r w:rsidRPr="00990A2C">
              <w:rPr>
                <w:sz w:val="22"/>
              </w:rPr>
              <w:tab/>
              <w:t xml:space="preserve">naknade za brokerske usluge i druge naknade koje klijenti plaćaju središnjim drugim ugovornim stranama, burzama i drugim mjestima trgovanja i posrednicima za izvršenje, </w:t>
            </w:r>
            <w:r w:rsidRPr="00990A2C">
              <w:rPr>
                <w:sz w:val="22"/>
              </w:rPr>
              <w:t xml:space="preserve">registraciju ili poravnanje transakcija samo ako se izravno prenose i naplaćuju klijentima. Ne uključuju naknade kao što je podmirivanje članarine ili drugih financijskih obveza podjele gubitaka prema središnjim drugim ugovornim stranama, burzama i drugim </w:t>
            </w:r>
            <w:r w:rsidRPr="00990A2C">
              <w:rPr>
                <w:sz w:val="22"/>
              </w:rPr>
              <w:t>mjestima trgovanja;</w:t>
            </w:r>
          </w:p>
          <w:p w14:paraId="7DD672D3" w14:textId="77777777" w:rsidR="00FA0C6F" w:rsidRPr="00990A2C" w:rsidRDefault="00990A2C">
            <w:pPr>
              <w:pStyle w:val="Point1letter"/>
              <w:numPr>
                <w:ilvl w:val="0"/>
                <w:numId w:val="0"/>
              </w:numPr>
              <w:tabs>
                <w:tab w:val="left" w:pos="850"/>
              </w:tabs>
              <w:ind w:left="492" w:hanging="567"/>
              <w:rPr>
                <w:sz w:val="22"/>
              </w:rPr>
            </w:pPr>
            <w:r w:rsidRPr="00990A2C">
              <w:rPr>
                <w:sz w:val="22"/>
              </w:rPr>
              <w:t>(b)</w:t>
            </w:r>
            <w:r w:rsidRPr="00990A2C">
              <w:rPr>
                <w:sz w:val="22"/>
              </w:rPr>
              <w:tab/>
              <w:t>kamate koje se klijentima isplaćuju na njihova novčana sredstva ako ne postoji nikakva obveza za isplatu takvih kamata;</w:t>
            </w:r>
          </w:p>
          <w:p w14:paraId="27000CAE" w14:textId="77777777" w:rsidR="00FA0C6F" w:rsidRPr="00990A2C" w:rsidRDefault="00990A2C">
            <w:pPr>
              <w:pStyle w:val="Point1letter"/>
              <w:numPr>
                <w:ilvl w:val="0"/>
                <w:numId w:val="0"/>
              </w:numPr>
              <w:tabs>
                <w:tab w:val="left" w:pos="850"/>
              </w:tabs>
              <w:ind w:left="492" w:hanging="567"/>
              <w:rPr>
                <w:sz w:val="22"/>
              </w:rPr>
            </w:pPr>
            <w:r w:rsidRPr="00990A2C">
              <w:rPr>
                <w:sz w:val="22"/>
              </w:rPr>
              <w:t>(c)</w:t>
            </w:r>
            <w:r w:rsidRPr="00990A2C">
              <w:rPr>
                <w:sz w:val="22"/>
              </w:rPr>
              <w:tab/>
              <w:t>porezni rashodi ako dospijevaju za godišnju dobit investicijskog društva;</w:t>
            </w:r>
          </w:p>
          <w:p w14:paraId="47F324C9" w14:textId="77777777" w:rsidR="00FA0C6F" w:rsidRPr="00990A2C" w:rsidRDefault="00990A2C">
            <w:pPr>
              <w:pStyle w:val="Point1letter"/>
              <w:numPr>
                <w:ilvl w:val="0"/>
                <w:numId w:val="0"/>
              </w:numPr>
              <w:tabs>
                <w:tab w:val="left" w:pos="850"/>
              </w:tabs>
              <w:ind w:left="492" w:hanging="567"/>
              <w:rPr>
                <w:sz w:val="22"/>
              </w:rPr>
            </w:pPr>
            <w:r w:rsidRPr="00990A2C">
              <w:rPr>
                <w:sz w:val="22"/>
              </w:rPr>
              <w:t>(d)</w:t>
            </w:r>
            <w:r w:rsidRPr="00990A2C">
              <w:rPr>
                <w:sz w:val="22"/>
              </w:rPr>
              <w:tab/>
              <w:t>gubici od trgovanja financijsk</w:t>
            </w:r>
            <w:r w:rsidRPr="00990A2C">
              <w:rPr>
                <w:sz w:val="22"/>
              </w:rPr>
              <w:t>im instrumentima za vlastiti račun;</w:t>
            </w:r>
          </w:p>
          <w:p w14:paraId="55D707FD" w14:textId="77777777" w:rsidR="00FA0C6F" w:rsidRPr="00990A2C" w:rsidRDefault="00990A2C">
            <w:pPr>
              <w:pStyle w:val="Point1letter"/>
              <w:numPr>
                <w:ilvl w:val="0"/>
                <w:numId w:val="0"/>
              </w:numPr>
              <w:tabs>
                <w:tab w:val="left" w:pos="850"/>
              </w:tabs>
              <w:ind w:left="492" w:hanging="567"/>
              <w:rPr>
                <w:sz w:val="22"/>
              </w:rPr>
            </w:pPr>
            <w:r w:rsidRPr="00990A2C">
              <w:rPr>
                <w:sz w:val="22"/>
              </w:rPr>
              <w:t>(e)</w:t>
            </w:r>
            <w:r w:rsidRPr="00990A2C">
              <w:rPr>
                <w:sz w:val="22"/>
              </w:rPr>
              <w:tab/>
              <w:t>plaćanja na temelju ugovora o prijenosu dobiti i gubitka na temelju ugovora u skladu s kojima je investicijsko društvo obvezno, nakon pripreme svojih godišnjih financijskih izvještaja, prenijeti svoj godišnji rezulta</w:t>
            </w:r>
            <w:r w:rsidRPr="00990A2C">
              <w:rPr>
                <w:sz w:val="22"/>
              </w:rPr>
              <w:t>t matičnom društvu;</w:t>
            </w:r>
          </w:p>
          <w:p w14:paraId="355A4E00" w14:textId="77777777" w:rsidR="00FA0C6F" w:rsidRPr="00990A2C" w:rsidRDefault="00990A2C">
            <w:pPr>
              <w:pStyle w:val="Point1letter"/>
              <w:numPr>
                <w:ilvl w:val="0"/>
                <w:numId w:val="0"/>
              </w:numPr>
              <w:tabs>
                <w:tab w:val="left" w:pos="850"/>
              </w:tabs>
              <w:ind w:left="492" w:hanging="567"/>
              <w:rPr>
                <w:color w:val="000000" w:themeColor="text1"/>
                <w:sz w:val="22"/>
              </w:rPr>
            </w:pPr>
            <w:r w:rsidRPr="00990A2C">
              <w:rPr>
                <w:color w:val="000000" w:themeColor="text1"/>
                <w:sz w:val="22"/>
              </w:rPr>
              <w:lastRenderedPageBreak/>
              <w:t>(f)</w:t>
            </w:r>
            <w:r w:rsidRPr="00990A2C">
              <w:rPr>
                <w:color w:val="000000" w:themeColor="text1"/>
                <w:sz w:val="22"/>
              </w:rPr>
              <w:tab/>
              <w:t>uplate u rezerve za opće bankovne rizike u skladu s člankom 26. stavkom 1. točkom (f) Uredbe (EU) br. 575/2013;</w:t>
            </w:r>
          </w:p>
          <w:p w14:paraId="646F2EB7" w14:textId="77777777" w:rsidR="00FA0C6F" w:rsidRPr="00990A2C" w:rsidRDefault="00990A2C">
            <w:pPr>
              <w:pStyle w:val="Point1letter"/>
              <w:numPr>
                <w:ilvl w:val="0"/>
                <w:numId w:val="0"/>
              </w:numPr>
              <w:tabs>
                <w:tab w:val="left" w:pos="850"/>
              </w:tabs>
              <w:ind w:left="492" w:hanging="567"/>
              <w:rPr>
                <w:rFonts w:eastAsia="Times New Roman"/>
                <w:bCs/>
                <w:color w:val="000000" w:themeColor="text1"/>
                <w:sz w:val="22"/>
              </w:rPr>
            </w:pPr>
            <w:r w:rsidRPr="00990A2C">
              <w:rPr>
                <w:rFonts w:eastAsia="Times New Roman"/>
                <w:bCs/>
                <w:color w:val="000000" w:themeColor="text1"/>
                <w:sz w:val="22"/>
              </w:rPr>
              <w:t>(g)</w:t>
            </w:r>
            <w:r w:rsidRPr="00990A2C">
              <w:rPr>
                <w:rFonts w:eastAsia="Times New Roman"/>
                <w:bCs/>
                <w:color w:val="000000" w:themeColor="text1"/>
                <w:sz w:val="22"/>
              </w:rPr>
              <w:tab/>
            </w:r>
            <w:r w:rsidRPr="00990A2C">
              <w:rPr>
                <w:sz w:val="22"/>
              </w:rPr>
              <w:t xml:space="preserve">rashodi povezani sa stavkama koje su već odbijene od regulatornog kapitala u skladu s člankom 36. stavkom 1. Uredbe </w:t>
            </w:r>
            <w:r w:rsidRPr="00990A2C">
              <w:rPr>
                <w:sz w:val="22"/>
              </w:rPr>
              <w:t>(EU) br. 575/2013.</w:t>
            </w:r>
            <w:r w:rsidRPr="00990A2C">
              <w:rPr>
                <w:bCs/>
                <w:color w:val="000000" w:themeColor="text1"/>
                <w:sz w:val="22"/>
              </w:rPr>
              <w:t xml:space="preserve"> </w:t>
            </w:r>
          </w:p>
        </w:tc>
      </w:tr>
      <w:tr w:rsidR="00FA0C6F" w:rsidRPr="00990A2C" w14:paraId="25A2CBAC" w14:textId="77777777">
        <w:tc>
          <w:tcPr>
            <w:tcW w:w="1129" w:type="dxa"/>
          </w:tcPr>
          <w:p w14:paraId="35BBA353"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lastRenderedPageBreak/>
              <w:t>0060</w:t>
            </w:r>
          </w:p>
        </w:tc>
        <w:tc>
          <w:tcPr>
            <w:tcW w:w="7620" w:type="dxa"/>
          </w:tcPr>
          <w:p w14:paraId="7A756FC1"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Bonusi i ostali primici za osoblje</w:t>
            </w:r>
          </w:p>
          <w:p w14:paraId="064D3FB2"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Članak 13. stavak 4. točka (a) Uredbe (EU) 2019/2033</w:t>
            </w:r>
          </w:p>
          <w:p w14:paraId="5C913773" w14:textId="77777777" w:rsidR="00FA0C6F" w:rsidRPr="00990A2C" w:rsidRDefault="00990A2C">
            <w:pPr>
              <w:pStyle w:val="NumPar1"/>
              <w:numPr>
                <w:ilvl w:val="0"/>
                <w:numId w:val="0"/>
              </w:numPr>
              <w:rPr>
                <w:sz w:val="22"/>
              </w:rPr>
            </w:pPr>
            <w:r w:rsidRPr="00990A2C">
              <w:rPr>
                <w:sz w:val="22"/>
              </w:rPr>
              <w:t>Smatra se da bonusi i ostali primici za osoblje ovise o neto dobiti investicijskog društva u dotičnoj godini ako su ispunjena oba sljedeća</w:t>
            </w:r>
            <w:r w:rsidRPr="00990A2C">
              <w:rPr>
                <w:sz w:val="22"/>
              </w:rPr>
              <w:t xml:space="preserve"> uvjeta:</w:t>
            </w:r>
          </w:p>
          <w:p w14:paraId="4A0921ED" w14:textId="77777777" w:rsidR="00FA0C6F" w:rsidRPr="00990A2C" w:rsidRDefault="00990A2C">
            <w:pPr>
              <w:pStyle w:val="Point1letter"/>
              <w:numPr>
                <w:ilvl w:val="0"/>
                <w:numId w:val="0"/>
              </w:numPr>
              <w:ind w:left="634" w:hanging="567"/>
              <w:rPr>
                <w:sz w:val="22"/>
              </w:rPr>
            </w:pPr>
            <w:r w:rsidRPr="00990A2C">
              <w:rPr>
                <w:sz w:val="22"/>
              </w:rPr>
              <w:t>(h)</w:t>
            </w:r>
            <w:r w:rsidRPr="00990A2C">
              <w:rPr>
                <w:sz w:val="22"/>
              </w:rPr>
              <w:tab/>
              <w:t>bonusi i ostali primici za osoblje koji se odbijaju već su isplaćeni zaposlenicima u godini koja prethodi godini isplate ili isplata bonusa i ostalih primitaka za osoblje neće utjecati na kapitalnu poziciju društva u godini isplate;</w:t>
            </w:r>
          </w:p>
          <w:p w14:paraId="5B675132" w14:textId="77777777" w:rsidR="00FA0C6F" w:rsidRPr="00990A2C" w:rsidRDefault="00990A2C">
            <w:pPr>
              <w:pStyle w:val="Point1letter"/>
              <w:numPr>
                <w:ilvl w:val="0"/>
                <w:numId w:val="0"/>
              </w:numPr>
              <w:ind w:left="634" w:hanging="567"/>
              <w:rPr>
                <w:rFonts w:eastAsia="Times New Roman"/>
                <w:bCs/>
                <w:color w:val="000000" w:themeColor="text1"/>
                <w:sz w:val="22"/>
              </w:rPr>
            </w:pPr>
            <w:r w:rsidRPr="00990A2C">
              <w:rPr>
                <w:rFonts w:eastAsia="Times New Roman"/>
                <w:bCs/>
                <w:color w:val="000000" w:themeColor="text1"/>
                <w:sz w:val="22"/>
              </w:rPr>
              <w:t>i.</w:t>
            </w:r>
            <w:r w:rsidRPr="00990A2C">
              <w:rPr>
                <w:rFonts w:eastAsia="Times New Roman"/>
                <w:bCs/>
                <w:color w:val="000000" w:themeColor="text1"/>
                <w:sz w:val="22"/>
              </w:rPr>
              <w:tab/>
            </w:r>
            <w:r w:rsidRPr="00990A2C">
              <w:rPr>
                <w:sz w:val="22"/>
              </w:rPr>
              <w:t xml:space="preserve">za </w:t>
            </w:r>
            <w:r w:rsidRPr="00990A2C">
              <w:rPr>
                <w:sz w:val="22"/>
              </w:rPr>
              <w:t>tekuću godinu i sljedeće godine društvo nije dužno dodijeliti ili raspodijeliti dodatne bonuse ili druge isplate u obliku primitaka, osim ako u toj godini ostvari neto dobit.</w:t>
            </w:r>
          </w:p>
        </w:tc>
      </w:tr>
      <w:tr w:rsidR="00FA0C6F" w:rsidRPr="00990A2C" w14:paraId="6D812962" w14:textId="77777777">
        <w:tc>
          <w:tcPr>
            <w:tcW w:w="1129" w:type="dxa"/>
          </w:tcPr>
          <w:p w14:paraId="716C5D86"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0070</w:t>
            </w:r>
          </w:p>
        </w:tc>
        <w:tc>
          <w:tcPr>
            <w:tcW w:w="7620" w:type="dxa"/>
          </w:tcPr>
          <w:p w14:paraId="654CC7ED"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Udjeli zaposlenika, direktora i partnera u neto dobiti</w:t>
            </w:r>
          </w:p>
          <w:p w14:paraId="4D9EBED1"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Članak 13. stava</w:t>
            </w:r>
            <w:r w:rsidRPr="00990A2C">
              <w:rPr>
                <w:rFonts w:ascii="Times New Roman" w:hAnsi="Times New Roman"/>
                <w:bCs/>
                <w:color w:val="000000" w:themeColor="text1"/>
              </w:rPr>
              <w:t>k 4. točka (b) Uredbe (EU) 2019/2033</w:t>
            </w:r>
          </w:p>
          <w:p w14:paraId="5E0B2B18"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rPr>
              <w:t>Udjeli zaposlenika, direktora i partnera u dobiti izračunavaju se na temelju neto dobiti.</w:t>
            </w:r>
          </w:p>
        </w:tc>
      </w:tr>
      <w:tr w:rsidR="00FA0C6F" w:rsidRPr="00990A2C" w14:paraId="11EFB4F0" w14:textId="77777777">
        <w:tc>
          <w:tcPr>
            <w:tcW w:w="1129" w:type="dxa"/>
          </w:tcPr>
          <w:p w14:paraId="0F1D8380"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0080</w:t>
            </w:r>
          </w:p>
        </w:tc>
        <w:tc>
          <w:tcPr>
            <w:tcW w:w="7620" w:type="dxa"/>
          </w:tcPr>
          <w:p w14:paraId="7A4A7261"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Druge diskrecijske isplate dobiti i varijabilni primici</w:t>
            </w:r>
          </w:p>
          <w:p w14:paraId="1512EBE0"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 xml:space="preserve">Članak 13. stavak 4. točka (c) Uredbe </w:t>
            </w:r>
            <w:r w:rsidRPr="00990A2C">
              <w:rPr>
                <w:rFonts w:ascii="Times New Roman" w:hAnsi="Times New Roman"/>
                <w:bCs/>
                <w:color w:val="000000" w:themeColor="text1"/>
              </w:rPr>
              <w:t>(EU) 2019/2033</w:t>
            </w:r>
          </w:p>
        </w:tc>
      </w:tr>
      <w:tr w:rsidR="00FA0C6F" w:rsidRPr="00990A2C" w14:paraId="6F6599CE" w14:textId="77777777">
        <w:tc>
          <w:tcPr>
            <w:tcW w:w="1129" w:type="dxa"/>
          </w:tcPr>
          <w:p w14:paraId="33FD1662"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0090</w:t>
            </w:r>
          </w:p>
        </w:tc>
        <w:tc>
          <w:tcPr>
            <w:tcW w:w="7620" w:type="dxa"/>
          </w:tcPr>
          <w:p w14:paraId="0F50741D"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Obveza za dijeljene provizije i naknade</w:t>
            </w:r>
          </w:p>
          <w:p w14:paraId="1C832D17"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Članak 13. stavak 4. točka (d) Uredbe (EU) 2019/2033</w:t>
            </w:r>
          </w:p>
        </w:tc>
      </w:tr>
      <w:tr w:rsidR="00FA0C6F" w:rsidRPr="00990A2C" w14:paraId="54143E36" w14:textId="77777777">
        <w:tc>
          <w:tcPr>
            <w:tcW w:w="1129" w:type="dxa"/>
          </w:tcPr>
          <w:p w14:paraId="27CA547F"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0100</w:t>
            </w:r>
          </w:p>
        </w:tc>
        <w:tc>
          <w:tcPr>
            <w:tcW w:w="7620" w:type="dxa"/>
          </w:tcPr>
          <w:p w14:paraId="18184BE7"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Naknade za brokerske usluge i druge naknade koje klijenti plaćaju središnjim drugim ugovornim stranama</w:t>
            </w:r>
          </w:p>
          <w:p w14:paraId="7724A67F"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rPr>
              <w:t xml:space="preserve">Naknade za </w:t>
            </w:r>
            <w:r w:rsidRPr="00990A2C">
              <w:rPr>
                <w:rFonts w:ascii="Times New Roman" w:hAnsi="Times New Roman"/>
              </w:rPr>
              <w:t>brokerske usluge i druge naknade koje klijenti plaćaju središnjim drugim ugovornim stranama, burzama i drugim mjestima trgovanja i posrednicima za izvršenje, registraciju ili poravnanje transakcija samo ako se izravno prenose i naplaćuju klijentima. Ne ukl</w:t>
            </w:r>
            <w:r w:rsidRPr="00990A2C">
              <w:rPr>
                <w:rFonts w:ascii="Times New Roman" w:hAnsi="Times New Roman"/>
              </w:rPr>
              <w:t>jučuju naknade kao što je podmirivanje članarine ili drugih financijskih obveza podjele gubitaka prema središnjim drugim ugovornim stranama, burzama i drugim mjestima trgovanja.</w:t>
            </w:r>
            <w:r w:rsidRPr="00990A2C">
              <w:rPr>
                <w:rFonts w:ascii="Times New Roman" w:hAnsi="Times New Roman"/>
                <w:bCs/>
                <w:color w:val="000000" w:themeColor="text1"/>
              </w:rPr>
              <w:t xml:space="preserve"> </w:t>
            </w:r>
          </w:p>
        </w:tc>
      </w:tr>
      <w:tr w:rsidR="00FA0C6F" w:rsidRPr="00990A2C" w14:paraId="3F09381D" w14:textId="77777777">
        <w:tc>
          <w:tcPr>
            <w:tcW w:w="1129" w:type="dxa"/>
          </w:tcPr>
          <w:p w14:paraId="27A382FF"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0110</w:t>
            </w:r>
          </w:p>
        </w:tc>
        <w:tc>
          <w:tcPr>
            <w:tcW w:w="7620" w:type="dxa"/>
          </w:tcPr>
          <w:p w14:paraId="46E54142"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Naknade vezanim zastupnicima</w:t>
            </w:r>
          </w:p>
          <w:p w14:paraId="64056BE6"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rPr>
              <w:t xml:space="preserve">Članak 13. stavak 4. točka (e) Uredbe </w:t>
            </w:r>
            <w:r w:rsidRPr="00990A2C">
              <w:rPr>
                <w:rFonts w:ascii="Times New Roman" w:hAnsi="Times New Roman"/>
                <w:bCs/>
              </w:rPr>
              <w:t>(EU) 2019/2033</w:t>
            </w:r>
          </w:p>
        </w:tc>
      </w:tr>
      <w:tr w:rsidR="00FA0C6F" w:rsidRPr="00990A2C" w14:paraId="2B241B2A" w14:textId="77777777">
        <w:tc>
          <w:tcPr>
            <w:tcW w:w="1129" w:type="dxa"/>
          </w:tcPr>
          <w:p w14:paraId="5FBA770B"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0130</w:t>
            </w:r>
          </w:p>
        </w:tc>
        <w:tc>
          <w:tcPr>
            <w:tcW w:w="7620" w:type="dxa"/>
          </w:tcPr>
          <w:p w14:paraId="0F75B7EB"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Jednokratni rashodi od neuobičajenih aktivnosti</w:t>
            </w:r>
          </w:p>
          <w:p w14:paraId="321D5A75"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Članak 13. stavak 4. točka (f) Uredbe (EU) 2019/2033</w:t>
            </w:r>
          </w:p>
        </w:tc>
      </w:tr>
      <w:tr w:rsidR="00FA0C6F" w:rsidRPr="00990A2C" w14:paraId="34E012E8" w14:textId="77777777">
        <w:tc>
          <w:tcPr>
            <w:tcW w:w="1129" w:type="dxa"/>
          </w:tcPr>
          <w:p w14:paraId="2332D9E0"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0140</w:t>
            </w:r>
          </w:p>
          <w:p w14:paraId="70DD2204" w14:textId="77777777" w:rsidR="00FA0C6F" w:rsidRPr="00990A2C" w:rsidRDefault="00FA0C6F">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6E6EE3C5" w14:textId="77777777" w:rsidR="00FA0C6F" w:rsidRPr="00990A2C" w:rsidRDefault="00990A2C">
            <w:pPr>
              <w:spacing w:after="120" w:line="240" w:lineRule="auto"/>
              <w:jc w:val="both"/>
              <w:rPr>
                <w:rFonts w:ascii="Times New Roman" w:eastAsia="Times New Roman" w:hAnsi="Times New Roman" w:cs="Times New Roman"/>
                <w:bCs/>
                <w:color w:val="000000" w:themeColor="text1"/>
                <w:u w:val="single"/>
              </w:rPr>
            </w:pPr>
            <w:r w:rsidRPr="00990A2C">
              <w:rPr>
                <w:rFonts w:ascii="Times New Roman" w:hAnsi="Times New Roman"/>
                <w:b/>
                <w:bCs/>
                <w:color w:val="000000" w:themeColor="text1"/>
                <w:u w:val="single"/>
              </w:rPr>
              <w:t>(−) Porezni rashodi</w:t>
            </w:r>
          </w:p>
          <w:p w14:paraId="2F24E132" w14:textId="77777777" w:rsidR="00FA0C6F" w:rsidRPr="00990A2C" w:rsidRDefault="00990A2C">
            <w:pPr>
              <w:pStyle w:val="Point1letter"/>
              <w:numPr>
                <w:ilvl w:val="0"/>
                <w:numId w:val="0"/>
              </w:numPr>
              <w:rPr>
                <w:rFonts w:eastAsia="Times New Roman"/>
                <w:color w:val="000000" w:themeColor="text1"/>
                <w:sz w:val="22"/>
              </w:rPr>
            </w:pPr>
            <w:r w:rsidRPr="00990A2C">
              <w:rPr>
                <w:sz w:val="22"/>
              </w:rPr>
              <w:t>Porezni rashodi ako dospijevaju za godišnju dobit investicijskog društva</w:t>
            </w:r>
          </w:p>
        </w:tc>
      </w:tr>
      <w:tr w:rsidR="00FA0C6F" w:rsidRPr="00990A2C" w14:paraId="72C14D2E" w14:textId="77777777">
        <w:tc>
          <w:tcPr>
            <w:tcW w:w="1129" w:type="dxa"/>
          </w:tcPr>
          <w:p w14:paraId="13421CA9"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0150</w:t>
            </w:r>
          </w:p>
        </w:tc>
        <w:tc>
          <w:tcPr>
            <w:tcW w:w="7620" w:type="dxa"/>
          </w:tcPr>
          <w:p w14:paraId="6A5232B8"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xml:space="preserve">(–) Gubici od trgovanja </w:t>
            </w:r>
            <w:r w:rsidRPr="00990A2C">
              <w:rPr>
                <w:rFonts w:ascii="Times New Roman" w:hAnsi="Times New Roman"/>
                <w:b/>
                <w:bCs/>
                <w:color w:val="000000" w:themeColor="text1"/>
                <w:u w:val="single"/>
              </w:rPr>
              <w:t>financijskim instrumentima za vlastiti račun</w:t>
            </w:r>
          </w:p>
          <w:p w14:paraId="6E70A6F1"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Razumljivo samo po sebi</w:t>
            </w:r>
          </w:p>
        </w:tc>
      </w:tr>
      <w:tr w:rsidR="00FA0C6F" w:rsidRPr="00990A2C" w14:paraId="747649AD" w14:textId="77777777">
        <w:tc>
          <w:tcPr>
            <w:tcW w:w="1129" w:type="dxa"/>
          </w:tcPr>
          <w:p w14:paraId="7CBAD19F"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0160</w:t>
            </w:r>
          </w:p>
        </w:tc>
        <w:tc>
          <w:tcPr>
            <w:tcW w:w="7620" w:type="dxa"/>
          </w:tcPr>
          <w:p w14:paraId="2608C0F7"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Ugovorni sporazumi o prijenosu dobiti i gubitka</w:t>
            </w:r>
          </w:p>
          <w:p w14:paraId="38DF957A"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rPr>
              <w:lastRenderedPageBreak/>
              <w:t xml:space="preserve">Plaćanja na temelju ugovora o prijenosu dobiti i gubitka na temelju ugovora u skladu s kojima je investicijsko društvo </w:t>
            </w:r>
            <w:r w:rsidRPr="00990A2C">
              <w:rPr>
                <w:rFonts w:ascii="Times New Roman" w:hAnsi="Times New Roman"/>
              </w:rPr>
              <w:t>obvezno, nakon pripreme svojih godišnjih financijskih izvještaja, prenijeti svoj godišnji rezultat matičnom društvu</w:t>
            </w:r>
          </w:p>
        </w:tc>
      </w:tr>
      <w:tr w:rsidR="00FA0C6F" w:rsidRPr="00990A2C" w14:paraId="4A791D1C" w14:textId="77777777">
        <w:tc>
          <w:tcPr>
            <w:tcW w:w="1129" w:type="dxa"/>
          </w:tcPr>
          <w:p w14:paraId="78F56250"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lastRenderedPageBreak/>
              <w:t>0170</w:t>
            </w:r>
          </w:p>
        </w:tc>
        <w:tc>
          <w:tcPr>
            <w:tcW w:w="7620" w:type="dxa"/>
          </w:tcPr>
          <w:p w14:paraId="78C989A0"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Rashodi za sirovine</w:t>
            </w:r>
          </w:p>
          <w:p w14:paraId="66B1B4FC"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bookmarkStart w:id="32" w:name="_Toc38271703"/>
            <w:r w:rsidRPr="00990A2C">
              <w:rPr>
                <w:rFonts w:ascii="Times New Roman" w:hAnsi="Times New Roman"/>
                <w:bCs/>
                <w:color w:val="000000" w:themeColor="text1"/>
              </w:rPr>
              <w:t xml:space="preserve">Trgovci robom i emisijskim jedinicama mogu odbiti rashode za sirovine povezane s investicijskim društvom koje </w:t>
            </w:r>
            <w:r w:rsidRPr="00990A2C">
              <w:rPr>
                <w:rFonts w:ascii="Times New Roman" w:hAnsi="Times New Roman"/>
                <w:bCs/>
                <w:color w:val="000000" w:themeColor="text1"/>
              </w:rPr>
              <w:t>trguje izvedenicama odnosne robe.</w:t>
            </w:r>
            <w:bookmarkEnd w:id="32"/>
          </w:p>
        </w:tc>
      </w:tr>
      <w:tr w:rsidR="00FA0C6F" w:rsidRPr="00990A2C" w14:paraId="57048C33" w14:textId="77777777">
        <w:tc>
          <w:tcPr>
            <w:tcW w:w="1129" w:type="dxa"/>
          </w:tcPr>
          <w:p w14:paraId="235E94CA"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0180</w:t>
            </w:r>
          </w:p>
        </w:tc>
        <w:tc>
          <w:tcPr>
            <w:tcW w:w="7620" w:type="dxa"/>
          </w:tcPr>
          <w:p w14:paraId="7E7EC625"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Uplate u fond za opće bankovne rizike</w:t>
            </w:r>
          </w:p>
          <w:p w14:paraId="6084858E"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Cs/>
                <w:color w:val="000000" w:themeColor="text1"/>
              </w:rPr>
              <w:t>Uplate u rezerve za opće bankovne rizike u skladu s člankom 26. stavkom 1. točkom (f) Uredbe (EU) br. 575/2013</w:t>
            </w:r>
          </w:p>
        </w:tc>
      </w:tr>
      <w:tr w:rsidR="00FA0C6F" w:rsidRPr="00990A2C" w14:paraId="1940FBA0" w14:textId="77777777">
        <w:tc>
          <w:tcPr>
            <w:tcW w:w="1129" w:type="dxa"/>
          </w:tcPr>
          <w:p w14:paraId="648364C8"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0190</w:t>
            </w:r>
          </w:p>
        </w:tc>
        <w:tc>
          <w:tcPr>
            <w:tcW w:w="7620" w:type="dxa"/>
          </w:tcPr>
          <w:p w14:paraId="1FBE27D9"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 xml:space="preserve">(–) Rashodi povezani sa stavkama koje su već odbijene od </w:t>
            </w:r>
            <w:r w:rsidRPr="00990A2C">
              <w:rPr>
                <w:rFonts w:ascii="Times New Roman" w:hAnsi="Times New Roman"/>
                <w:b/>
                <w:bCs/>
                <w:color w:val="000000" w:themeColor="text1"/>
                <w:u w:val="single"/>
              </w:rPr>
              <w:t>regulatornog kapitala</w:t>
            </w:r>
          </w:p>
          <w:p w14:paraId="5D0B657B"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Cs/>
              </w:rPr>
              <w:t>Rashodi povezani sa stavkama koje su već odbijene od regulatornog kapitala u skladu s člankom 36. stavkom 1. Uredbe (EU) br. 575/2013</w:t>
            </w:r>
          </w:p>
        </w:tc>
      </w:tr>
      <w:tr w:rsidR="00FA0C6F" w:rsidRPr="00990A2C" w14:paraId="201F5D60" w14:textId="77777777">
        <w:tc>
          <w:tcPr>
            <w:tcW w:w="1129" w:type="dxa"/>
          </w:tcPr>
          <w:p w14:paraId="6D01D7BA"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0200</w:t>
            </w:r>
          </w:p>
        </w:tc>
        <w:tc>
          <w:tcPr>
            <w:tcW w:w="7620" w:type="dxa"/>
          </w:tcPr>
          <w:p w14:paraId="7ABDFA05"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Predviđeni fiksni opći troškovi tekuće godine</w:t>
            </w:r>
          </w:p>
          <w:p w14:paraId="652D90F8"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 xml:space="preserve">Predviđanja fiksnih općih troškova za </w:t>
            </w:r>
            <w:r w:rsidRPr="00990A2C">
              <w:rPr>
                <w:rFonts w:ascii="Times New Roman" w:hAnsi="Times New Roman"/>
                <w:bCs/>
                <w:color w:val="000000" w:themeColor="text1"/>
              </w:rPr>
              <w:t>tekuću godinu nakon raspodjele dobiti.</w:t>
            </w:r>
          </w:p>
        </w:tc>
      </w:tr>
      <w:tr w:rsidR="00FA0C6F" w:rsidRPr="00990A2C" w14:paraId="680D8584" w14:textId="77777777">
        <w:tc>
          <w:tcPr>
            <w:tcW w:w="1129" w:type="dxa"/>
          </w:tcPr>
          <w:p w14:paraId="6E4DF933"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0210</w:t>
            </w:r>
          </w:p>
        </w:tc>
        <w:tc>
          <w:tcPr>
            <w:tcW w:w="7620" w:type="dxa"/>
          </w:tcPr>
          <w:p w14:paraId="405E04C0" w14:textId="77777777" w:rsidR="00FA0C6F" w:rsidRPr="00990A2C" w:rsidRDefault="00990A2C">
            <w:pPr>
              <w:spacing w:after="120" w:line="240" w:lineRule="auto"/>
              <w:jc w:val="both"/>
              <w:rPr>
                <w:rFonts w:ascii="Times New Roman" w:eastAsia="Times New Roman" w:hAnsi="Times New Roman" w:cs="Times New Roman"/>
                <w:b/>
                <w:bCs/>
                <w:color w:val="000000" w:themeColor="text1"/>
                <w:u w:val="single"/>
              </w:rPr>
            </w:pPr>
            <w:r w:rsidRPr="00990A2C">
              <w:rPr>
                <w:rFonts w:ascii="Times New Roman" w:hAnsi="Times New Roman"/>
                <w:b/>
                <w:bCs/>
                <w:color w:val="000000" w:themeColor="text1"/>
                <w:u w:val="single"/>
              </w:rPr>
              <w:t>Razlika u fiksnim općim troškovima (%)</w:t>
            </w:r>
          </w:p>
          <w:p w14:paraId="71E910E4"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Iznos se iskazuje kao sljedeća apsolutna vrijednost:</w:t>
            </w:r>
          </w:p>
          <w:p w14:paraId="1539DE30" w14:textId="77777777" w:rsidR="00FA0C6F" w:rsidRPr="00990A2C" w:rsidRDefault="00990A2C">
            <w:pPr>
              <w:spacing w:after="120" w:line="240" w:lineRule="auto"/>
              <w:jc w:val="both"/>
              <w:rPr>
                <w:rFonts w:ascii="Times New Roman" w:eastAsia="Times New Roman" w:hAnsi="Times New Roman" w:cs="Times New Roman"/>
                <w:bCs/>
                <w:color w:val="000000" w:themeColor="text1"/>
              </w:rPr>
            </w:pPr>
            <w:r w:rsidRPr="00990A2C">
              <w:rPr>
                <w:rFonts w:ascii="Times New Roman" w:hAnsi="Times New Roman"/>
                <w:bCs/>
                <w:color w:val="000000" w:themeColor="text1"/>
              </w:rPr>
              <w:t>[(Godišnji fiksni opći troškovi tekuće godine) – (predviđeni fiksni opći troškovi iz prethodne godine)/(godišnji fiksni</w:t>
            </w:r>
            <w:r w:rsidRPr="00990A2C">
              <w:rPr>
                <w:rFonts w:ascii="Times New Roman" w:hAnsi="Times New Roman"/>
                <w:bCs/>
                <w:color w:val="000000" w:themeColor="text1"/>
              </w:rPr>
              <w:t xml:space="preserve"> opći troškovi iz prethodne godine)]</w:t>
            </w:r>
          </w:p>
        </w:tc>
      </w:tr>
    </w:tbl>
    <w:p w14:paraId="69C80DFD" w14:textId="77777777" w:rsidR="00FA0C6F" w:rsidRPr="00990A2C" w:rsidRDefault="00FA0C6F">
      <w:pPr>
        <w:spacing w:after="120" w:line="240" w:lineRule="auto"/>
        <w:jc w:val="both"/>
        <w:rPr>
          <w:rFonts w:ascii="Times New Roman" w:eastAsia="Times New Roman" w:hAnsi="Times New Roman" w:cs="Times New Roman"/>
          <w:sz w:val="24"/>
          <w:szCs w:val="24"/>
          <w:lang w:eastAsia="de-DE"/>
        </w:rPr>
      </w:pPr>
    </w:p>
    <w:p w14:paraId="3ACD9879" w14:textId="77777777" w:rsidR="00FA0C6F" w:rsidRPr="00990A2C" w:rsidRDefault="00990A2C">
      <w:pPr>
        <w:pStyle w:val="Instructionsberschrift2"/>
        <w:ind w:left="357" w:hanging="357"/>
        <w:rPr>
          <w:rFonts w:ascii="Times New Roman" w:hAnsi="Times New Roman" w:cs="Times New Roman"/>
          <w:sz w:val="24"/>
          <w:u w:val="none"/>
        </w:rPr>
      </w:pPr>
      <w:bookmarkStart w:id="33" w:name="_Toc88219059"/>
      <w:r w:rsidRPr="00990A2C">
        <w:rPr>
          <w:rFonts w:ascii="Times New Roman" w:hAnsi="Times New Roman"/>
          <w:sz w:val="24"/>
          <w:u w:val="none"/>
        </w:rPr>
        <w:t>2. MALA I NEPOVEZANA INVESTICIJSKA DRUŠTVA</w:t>
      </w:r>
      <w:bookmarkEnd w:id="33"/>
    </w:p>
    <w:p w14:paraId="7C5F3391" w14:textId="77777777" w:rsidR="00FA0C6F" w:rsidRPr="00990A2C" w:rsidRDefault="00990A2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219060"/>
      <w:bookmarkStart w:id="37" w:name="_Toc308175823"/>
      <w:bookmarkStart w:id="38" w:name="_Toc360188327"/>
      <w:r w:rsidRPr="00990A2C">
        <w:rPr>
          <w:rFonts w:ascii="Times New Roman" w:hAnsi="Times New Roman"/>
          <w:sz w:val="24"/>
          <w:szCs w:val="24"/>
        </w:rPr>
        <w:t>2.1</w:t>
      </w:r>
      <w:r w:rsidRPr="00990A2C">
        <w:rPr>
          <w:rFonts w:ascii="Times New Roman" w:hAnsi="Times New Roman"/>
          <w:sz w:val="24"/>
          <w:szCs w:val="24"/>
        </w:rPr>
        <w:tab/>
      </w:r>
      <w:r w:rsidRPr="00990A2C">
        <w:rPr>
          <w:rFonts w:ascii="Times New Roman" w:hAnsi="Times New Roman"/>
          <w:sz w:val="24"/>
          <w:szCs w:val="24"/>
          <w:u w:val="single"/>
        </w:rPr>
        <w:t>I 05.00 – RAZINA AKTIVNOSTI – PREISPITIVANJE PRAGOVA (I 5)</w:t>
      </w:r>
      <w:bookmarkEnd w:id="34"/>
      <w:bookmarkEnd w:id="35"/>
      <w:bookmarkEnd w:id="36"/>
      <w:bookmarkEnd w:id="37"/>
      <w:bookmarkEnd w:id="38"/>
    </w:p>
    <w:p w14:paraId="6B4A4B2B" w14:textId="77777777" w:rsidR="00FA0C6F" w:rsidRPr="00990A2C" w:rsidRDefault="00990A2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08175824"/>
      <w:bookmarkStart w:id="40" w:name="_Toc310414970"/>
      <w:bookmarkStart w:id="41" w:name="_Toc360188328"/>
      <w:bookmarkStart w:id="42" w:name="_Toc473560876"/>
      <w:bookmarkStart w:id="43" w:name="_Toc7084161"/>
      <w:bookmarkStart w:id="44" w:name="_Toc88219061"/>
      <w:r w:rsidRPr="00990A2C">
        <w:rPr>
          <w:rFonts w:ascii="Times New Roman" w:hAnsi="Times New Roman"/>
          <w:sz w:val="24"/>
          <w:szCs w:val="24"/>
        </w:rPr>
        <w:t>2.1.1</w:t>
      </w:r>
      <w:r w:rsidRPr="00990A2C">
        <w:rPr>
          <w:rFonts w:ascii="Times New Roman" w:hAnsi="Times New Roman"/>
          <w:sz w:val="24"/>
          <w:szCs w:val="24"/>
        </w:rPr>
        <w:tab/>
      </w:r>
      <w:r w:rsidRPr="00990A2C">
        <w:rPr>
          <w:rFonts w:ascii="Times New Roman" w:hAnsi="Times New Roman"/>
          <w:sz w:val="24"/>
          <w:szCs w:val="24"/>
          <w:u w:val="single"/>
        </w:rPr>
        <w:t xml:space="preserve">Upute za specifične </w:t>
      </w:r>
      <w:bookmarkEnd w:id="39"/>
      <w:bookmarkEnd w:id="40"/>
      <w:r w:rsidRPr="00990A2C">
        <w:rPr>
          <w:rFonts w:ascii="Times New Roman" w:hAnsi="Times New Roman"/>
          <w:sz w:val="24"/>
          <w:szCs w:val="24"/>
          <w:u w:val="single"/>
        </w:rPr>
        <w:t>pozicije</w:t>
      </w:r>
      <w:bookmarkEnd w:id="41"/>
      <w:bookmarkEnd w:id="42"/>
      <w:bookmarkEnd w:id="43"/>
      <w:bookmarkEnd w:id="4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A0C6F" w:rsidRPr="00990A2C" w14:paraId="51CB6FE6" w14:textId="77777777">
        <w:tc>
          <w:tcPr>
            <w:tcW w:w="1129" w:type="dxa"/>
            <w:shd w:val="clear" w:color="auto" w:fill="D9D9D9"/>
          </w:tcPr>
          <w:p w14:paraId="1C32967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Redak</w:t>
            </w:r>
          </w:p>
        </w:tc>
        <w:tc>
          <w:tcPr>
            <w:tcW w:w="7620" w:type="dxa"/>
            <w:shd w:val="clear" w:color="auto" w:fill="D9D9D9"/>
          </w:tcPr>
          <w:p w14:paraId="5BC28DEC"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Pravna osnova i upute</w:t>
            </w:r>
          </w:p>
        </w:tc>
      </w:tr>
      <w:tr w:rsidR="00FA0C6F" w:rsidRPr="00990A2C" w14:paraId="64DD85F0" w14:textId="77777777">
        <w:tc>
          <w:tcPr>
            <w:tcW w:w="1129" w:type="dxa"/>
          </w:tcPr>
          <w:p w14:paraId="0490AA3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0010</w:t>
            </w:r>
          </w:p>
        </w:tc>
        <w:tc>
          <w:tcPr>
            <w:tcW w:w="7620" w:type="dxa"/>
          </w:tcPr>
          <w:p w14:paraId="3CDFBE4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
                <w:bCs/>
                <w:u w:val="single"/>
              </w:rPr>
              <w:t xml:space="preserve">(Kombinirana) imovina pod </w:t>
            </w:r>
            <w:r w:rsidRPr="00990A2C">
              <w:rPr>
                <w:rFonts w:ascii="Times New Roman" w:hAnsi="Times New Roman"/>
                <w:b/>
                <w:bCs/>
                <w:u w:val="single"/>
              </w:rPr>
              <w:t>upravljanjem</w:t>
            </w:r>
          </w:p>
          <w:p w14:paraId="6E9374A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(a) Uredbe (EU) 2019/2033</w:t>
            </w:r>
          </w:p>
          <w:p w14:paraId="29EEC96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Ako je izvještajno investicijsko društvo dio grupe, iskazana vrijednost određuje se na kombiniranoj osnovi za sva investicijska društva koja su članovi grupe u skladu s člankom 12. stavkom2.</w:t>
            </w:r>
            <w:r w:rsidRPr="00990A2C">
              <w:rPr>
                <w:rFonts w:ascii="Times New Roman" w:hAnsi="Times New Roman"/>
                <w:bCs/>
              </w:rPr>
              <w:t xml:space="preserve"> Uredbe (EU) 2019/2033.</w:t>
            </w:r>
          </w:p>
          <w:p w14:paraId="48B0C71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Investicijska društva uključuju diskrecijsku i nediskrecijsku imovinu pod upravljanjem.</w:t>
            </w:r>
          </w:p>
          <w:p w14:paraId="40D274F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Iskazuje se iznos koji bi se upotrijebio za izračun faktora K prije primjene relevantnih koeficijenata.</w:t>
            </w:r>
          </w:p>
        </w:tc>
      </w:tr>
      <w:tr w:rsidR="00FA0C6F" w:rsidRPr="00990A2C" w14:paraId="43E350A6" w14:textId="77777777">
        <w:tc>
          <w:tcPr>
            <w:tcW w:w="1129" w:type="dxa"/>
          </w:tcPr>
          <w:p w14:paraId="2168251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0020</w:t>
            </w:r>
          </w:p>
        </w:tc>
        <w:tc>
          <w:tcPr>
            <w:tcW w:w="7620" w:type="dxa"/>
          </w:tcPr>
          <w:p w14:paraId="336412E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
                <w:bCs/>
                <w:u w:val="single"/>
              </w:rPr>
              <w:t>(Kombinirani) obrađeni nalozi klij</w:t>
            </w:r>
            <w:r w:rsidRPr="00990A2C">
              <w:rPr>
                <w:rFonts w:ascii="Times New Roman" w:hAnsi="Times New Roman"/>
                <w:b/>
                <w:bCs/>
                <w:u w:val="single"/>
              </w:rPr>
              <w:t>enta – novčane transakcije</w:t>
            </w:r>
          </w:p>
          <w:p w14:paraId="213664E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(b) podtočka</w:t>
            </w:r>
            <w:r w:rsidRPr="00990A2C">
              <w:rPr>
                <w:rFonts w:ascii="Times New Roman" w:hAnsi="Times New Roman"/>
                <w:bCs/>
              </w:rPr>
              <w:t xml:space="preserve"> i.</w:t>
            </w:r>
            <w:r w:rsidRPr="00990A2C">
              <w:rPr>
                <w:rFonts w:ascii="Times New Roman" w:hAnsi="Times New Roman"/>
                <w:bCs/>
              </w:rPr>
              <w:t xml:space="preserve"> Uredbe (EU) 2019/2033</w:t>
            </w:r>
          </w:p>
          <w:p w14:paraId="3EC9360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Ako je izvještajno investicijsko društvo dio grupe, iskazana vrijednost određuje se na kombiniranoj osnovi za sva investicijska društva koja su članovi grupe u </w:t>
            </w:r>
            <w:r w:rsidRPr="00990A2C">
              <w:rPr>
                <w:rFonts w:ascii="Times New Roman" w:hAnsi="Times New Roman"/>
                <w:bCs/>
              </w:rPr>
              <w:t>skladu s člankom 12. stavkom2. Uredbe (EU) 2019/2033.</w:t>
            </w:r>
          </w:p>
          <w:p w14:paraId="482B658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Iskazuje se iznos koji bi se upotrijebio za izračun faktora K prije primjene relevantnih koeficijenata.</w:t>
            </w:r>
          </w:p>
        </w:tc>
      </w:tr>
      <w:tr w:rsidR="00FA0C6F" w:rsidRPr="00990A2C" w14:paraId="1CB915CE" w14:textId="77777777">
        <w:tc>
          <w:tcPr>
            <w:tcW w:w="1129" w:type="dxa"/>
          </w:tcPr>
          <w:p w14:paraId="0299D14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0030</w:t>
            </w:r>
          </w:p>
        </w:tc>
        <w:tc>
          <w:tcPr>
            <w:tcW w:w="7620" w:type="dxa"/>
          </w:tcPr>
          <w:p w14:paraId="61FDD2D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
                <w:bCs/>
                <w:u w:val="single"/>
              </w:rPr>
              <w:t>(Kombinirani) obrađeni nalozi klijenta – izvedenice</w:t>
            </w:r>
          </w:p>
          <w:p w14:paraId="618DE08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(b) podtočka</w:t>
            </w:r>
            <w:r w:rsidRPr="00990A2C">
              <w:rPr>
                <w:rFonts w:ascii="Times New Roman" w:hAnsi="Times New Roman"/>
                <w:bCs/>
              </w:rPr>
              <w:t xml:space="preserve"> </w:t>
            </w:r>
            <w:r w:rsidRPr="00990A2C">
              <w:rPr>
                <w:rFonts w:ascii="Times New Roman" w:hAnsi="Times New Roman"/>
                <w:bCs/>
              </w:rPr>
              <w:t>i.</w:t>
            </w:r>
            <w:r w:rsidRPr="00990A2C">
              <w:rPr>
                <w:rFonts w:ascii="Times New Roman" w:hAnsi="Times New Roman"/>
                <w:bCs/>
              </w:rPr>
              <w:t xml:space="preserve"> Uredbe (EU) 2019/2033</w:t>
            </w:r>
          </w:p>
          <w:p w14:paraId="1AEBF09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Ako je izvještajno investicijsko društvo dio grupe, iskazana vrijednost određuje se na kombiniranoj osnovi za sva investicijska društva koja su članovi grupe u skladu s člankom 12. stavkom2. Uredbe (EU) 2019/2033.</w:t>
            </w:r>
          </w:p>
          <w:p w14:paraId="68799E4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Iskazuje se iznos</w:t>
            </w:r>
            <w:r w:rsidRPr="00990A2C">
              <w:rPr>
                <w:rFonts w:ascii="Times New Roman" w:hAnsi="Times New Roman"/>
                <w:bCs/>
              </w:rPr>
              <w:t xml:space="preserve"> koji bi se upotrijebio za izračun faktora K prije primjene relevantnih koeficijenata.</w:t>
            </w:r>
          </w:p>
        </w:tc>
      </w:tr>
      <w:tr w:rsidR="00FA0C6F" w:rsidRPr="00990A2C" w14:paraId="716AB9FC" w14:textId="77777777">
        <w:tc>
          <w:tcPr>
            <w:tcW w:w="1129" w:type="dxa"/>
          </w:tcPr>
          <w:p w14:paraId="038652C9"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0040</w:t>
            </w:r>
          </w:p>
        </w:tc>
        <w:tc>
          <w:tcPr>
            <w:tcW w:w="7620" w:type="dxa"/>
          </w:tcPr>
          <w:p w14:paraId="53229F6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Imovina koja se pohranjuje i administrira</w:t>
            </w:r>
          </w:p>
          <w:p w14:paraId="724AA0C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(c) Uredbe (EU) 2019/2033</w:t>
            </w:r>
          </w:p>
          <w:p w14:paraId="3406515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Iskazuje se iznos koji bi se upotrijebio za izračun faktora K prije </w:t>
            </w:r>
            <w:r w:rsidRPr="00990A2C">
              <w:rPr>
                <w:rFonts w:ascii="Times New Roman" w:hAnsi="Times New Roman"/>
                <w:bCs/>
              </w:rPr>
              <w:t>primjene relevantnih koeficijenata.</w:t>
            </w:r>
          </w:p>
        </w:tc>
      </w:tr>
      <w:tr w:rsidR="00FA0C6F" w:rsidRPr="00990A2C" w14:paraId="70C0FAD0" w14:textId="77777777">
        <w:tc>
          <w:tcPr>
            <w:tcW w:w="1129" w:type="dxa"/>
          </w:tcPr>
          <w:p w14:paraId="266DFAC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0050</w:t>
            </w:r>
          </w:p>
        </w:tc>
        <w:tc>
          <w:tcPr>
            <w:tcW w:w="7620" w:type="dxa"/>
          </w:tcPr>
          <w:p w14:paraId="643A4C1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Novčana sredstva klijenta koja se drže</w:t>
            </w:r>
          </w:p>
          <w:p w14:paraId="2B85866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(d) Uredbe (EU) 2019/2033</w:t>
            </w:r>
          </w:p>
          <w:p w14:paraId="3C82609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Iskazuje se iznos koji bi se upotrijebio za izračun faktora K prije primjene relevantnih koeficijenata.</w:t>
            </w:r>
          </w:p>
        </w:tc>
      </w:tr>
      <w:tr w:rsidR="00FA0C6F" w:rsidRPr="00990A2C" w14:paraId="39F77723" w14:textId="77777777">
        <w:tc>
          <w:tcPr>
            <w:tcW w:w="1129" w:type="dxa"/>
          </w:tcPr>
          <w:p w14:paraId="3662FBF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0060</w:t>
            </w:r>
          </w:p>
        </w:tc>
        <w:tc>
          <w:tcPr>
            <w:tcW w:w="7620" w:type="dxa"/>
          </w:tcPr>
          <w:p w14:paraId="0E691D0F"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Dnevni </w:t>
            </w:r>
            <w:r w:rsidRPr="00990A2C">
              <w:rPr>
                <w:rFonts w:ascii="Times New Roman" w:hAnsi="Times New Roman"/>
                <w:b/>
                <w:bCs/>
                <w:u w:val="single"/>
              </w:rPr>
              <w:t>promet trgovanja – novčane transakcije i trgovanje izvedenicama</w:t>
            </w:r>
          </w:p>
          <w:p w14:paraId="718C7242"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(e) Uredbe (EU) 2019/2033</w:t>
            </w:r>
          </w:p>
          <w:p w14:paraId="3408357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Iskazuje se iznos koji bi se upotrijebio za izračun faktora K prije primjene relevantnih koeficijenata.</w:t>
            </w:r>
          </w:p>
        </w:tc>
      </w:tr>
      <w:tr w:rsidR="00FA0C6F" w:rsidRPr="00990A2C" w14:paraId="65B49AAC" w14:textId="77777777">
        <w:tc>
          <w:tcPr>
            <w:tcW w:w="1129" w:type="dxa"/>
          </w:tcPr>
          <w:p w14:paraId="65A244F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0070</w:t>
            </w:r>
          </w:p>
        </w:tc>
        <w:tc>
          <w:tcPr>
            <w:tcW w:w="7620" w:type="dxa"/>
          </w:tcPr>
          <w:p w14:paraId="1D3BB97B"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Rizik neto pozicija</w:t>
            </w:r>
          </w:p>
          <w:p w14:paraId="174754B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w:t>
            </w:r>
            <w:r w:rsidRPr="00990A2C">
              <w:rPr>
                <w:rFonts w:ascii="Times New Roman" w:hAnsi="Times New Roman"/>
                <w:bCs/>
              </w:rPr>
              <w:t>. stavak 1. točka (f) Uredbe (EU) 2019/2033</w:t>
            </w:r>
          </w:p>
          <w:p w14:paraId="2688B5D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Iskazuje se iznos koji bi se upotrijebio za izračun faktora K prije primjene relevantnih koeficijenata.</w:t>
            </w:r>
          </w:p>
        </w:tc>
      </w:tr>
      <w:tr w:rsidR="00FA0C6F" w:rsidRPr="00990A2C" w14:paraId="3F2AB04F" w14:textId="77777777">
        <w:tc>
          <w:tcPr>
            <w:tcW w:w="1129" w:type="dxa"/>
          </w:tcPr>
          <w:p w14:paraId="5C9EA0B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0080</w:t>
            </w:r>
          </w:p>
        </w:tc>
        <w:tc>
          <w:tcPr>
            <w:tcW w:w="7620" w:type="dxa"/>
          </w:tcPr>
          <w:p w14:paraId="4C8832F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Pružena marža poravnanja</w:t>
            </w:r>
          </w:p>
          <w:p w14:paraId="2019220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(f) Uredbe (EU) 2019/2033</w:t>
            </w:r>
          </w:p>
          <w:p w14:paraId="7F3C1626" w14:textId="77777777" w:rsidR="00FA0C6F" w:rsidRPr="00990A2C" w:rsidRDefault="00990A2C">
            <w:pPr>
              <w:spacing w:after="120" w:line="240" w:lineRule="auto"/>
              <w:jc w:val="both"/>
              <w:rPr>
                <w:rFonts w:ascii="Times New Roman" w:eastAsia="Times New Roman" w:hAnsi="Times New Roman" w:cs="Times New Roman"/>
                <w:b/>
                <w:bCs/>
              </w:rPr>
            </w:pPr>
            <w:r w:rsidRPr="00990A2C">
              <w:rPr>
                <w:rFonts w:ascii="Times New Roman" w:hAnsi="Times New Roman"/>
                <w:bCs/>
              </w:rPr>
              <w:t>Iskazuje se iznos koji b</w:t>
            </w:r>
            <w:r w:rsidRPr="00990A2C">
              <w:rPr>
                <w:rFonts w:ascii="Times New Roman" w:hAnsi="Times New Roman"/>
                <w:bCs/>
              </w:rPr>
              <w:t>i se upotrijebio za izračun faktora K prije primjene relevantnih koeficijenata.</w:t>
            </w:r>
          </w:p>
        </w:tc>
      </w:tr>
      <w:tr w:rsidR="00FA0C6F" w:rsidRPr="00990A2C" w14:paraId="7CB841D9" w14:textId="77777777">
        <w:tc>
          <w:tcPr>
            <w:tcW w:w="1129" w:type="dxa"/>
          </w:tcPr>
          <w:p w14:paraId="63BA8DF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0090</w:t>
            </w:r>
          </w:p>
        </w:tc>
        <w:tc>
          <w:tcPr>
            <w:tcW w:w="7620" w:type="dxa"/>
          </w:tcPr>
          <w:p w14:paraId="06E4BFE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Nastanak statusa neispunjavanja obveza druge ugovorne strane u trgovanju</w:t>
            </w:r>
          </w:p>
          <w:p w14:paraId="10A1E65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(g) Uredbe (EU) 2019/2033</w:t>
            </w:r>
          </w:p>
          <w:p w14:paraId="2E0E7C0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Iskazuje se iznos koji bi se upotrijebio za </w:t>
            </w:r>
            <w:r w:rsidRPr="00990A2C">
              <w:rPr>
                <w:rFonts w:ascii="Times New Roman" w:hAnsi="Times New Roman"/>
                <w:bCs/>
              </w:rPr>
              <w:t>izračun faktora K prije primjene relevantnih koeficijenata.</w:t>
            </w:r>
          </w:p>
        </w:tc>
      </w:tr>
      <w:tr w:rsidR="00FA0C6F" w:rsidRPr="00990A2C" w14:paraId="00A93291" w14:textId="77777777">
        <w:tc>
          <w:tcPr>
            <w:tcW w:w="1129" w:type="dxa"/>
          </w:tcPr>
          <w:p w14:paraId="43C31BF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0100</w:t>
            </w:r>
          </w:p>
        </w:tc>
        <w:tc>
          <w:tcPr>
            <w:tcW w:w="7620" w:type="dxa"/>
          </w:tcPr>
          <w:p w14:paraId="2F14AF9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
                <w:bCs/>
                <w:u w:val="single"/>
              </w:rPr>
              <w:t>(Kombinirane) ukupne bilančne i izvanbilančne stavke</w:t>
            </w:r>
          </w:p>
          <w:p w14:paraId="47A0298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 (h) Uredbe (EU) 2019/2033</w:t>
            </w:r>
          </w:p>
          <w:p w14:paraId="66666122"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Ako je izvještajno investicijsko društvo dio grupe, iskazana vrijednost </w:t>
            </w:r>
            <w:r w:rsidRPr="00990A2C">
              <w:rPr>
                <w:rFonts w:ascii="Times New Roman" w:hAnsi="Times New Roman"/>
                <w:bCs/>
              </w:rPr>
              <w:t>određuje se na kombiniranoj osnovi za sva investicijska društva koja su članovi grupe u skladu s člankom 12. stavkom2. Uredbe (EU) 2019/2033.</w:t>
            </w:r>
          </w:p>
        </w:tc>
      </w:tr>
      <w:tr w:rsidR="00FA0C6F" w:rsidRPr="00990A2C" w14:paraId="61B37A48" w14:textId="77777777">
        <w:tc>
          <w:tcPr>
            <w:tcW w:w="1129" w:type="dxa"/>
          </w:tcPr>
          <w:p w14:paraId="760596A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0110</w:t>
            </w:r>
          </w:p>
        </w:tc>
        <w:tc>
          <w:tcPr>
            <w:tcW w:w="7620" w:type="dxa"/>
          </w:tcPr>
          <w:p w14:paraId="4F71646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
                <w:bCs/>
                <w:u w:val="single"/>
              </w:rPr>
              <w:t>Kombinirani ukupni godišnji bruto prihodi</w:t>
            </w:r>
          </w:p>
          <w:p w14:paraId="4C26943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12. stavak 1. točka</w:t>
            </w:r>
            <w:r w:rsidRPr="00990A2C">
              <w:rPr>
                <w:rFonts w:ascii="Times New Roman" w:hAnsi="Times New Roman"/>
                <w:bCs/>
              </w:rPr>
              <w:t xml:space="preserve"> i.</w:t>
            </w:r>
            <w:r w:rsidRPr="00990A2C">
              <w:rPr>
                <w:rFonts w:ascii="Times New Roman" w:hAnsi="Times New Roman"/>
                <w:bCs/>
              </w:rPr>
              <w:t xml:space="preserve"> Uredbe (EU) 2019/2033</w:t>
            </w:r>
          </w:p>
          <w:p w14:paraId="7F11146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Ako je izvješt</w:t>
            </w:r>
            <w:r w:rsidRPr="00990A2C">
              <w:rPr>
                <w:rFonts w:ascii="Times New Roman" w:hAnsi="Times New Roman"/>
                <w:bCs/>
              </w:rPr>
              <w:t xml:space="preserve">ajno investicijsko društvo dio grupe, iskazana vrijednost određuje se </w:t>
            </w:r>
            <w:r w:rsidRPr="00990A2C">
              <w:rPr>
                <w:rFonts w:ascii="Times New Roman" w:hAnsi="Times New Roman"/>
                <w:bCs/>
                <w:u w:val="single"/>
              </w:rPr>
              <w:t>na kombiniranoj osnovi</w:t>
            </w:r>
            <w:r w:rsidRPr="00990A2C">
              <w:rPr>
                <w:rFonts w:ascii="Times New Roman" w:hAnsi="Times New Roman"/>
                <w:bCs/>
              </w:rPr>
              <w:t xml:space="preserve"> za sva investicijska društva koja su članovi grupe u skladu s člankom 12. stavkom2. Uredbe (EU) 2019/2033.</w:t>
            </w:r>
          </w:p>
          <w:p w14:paraId="4D481752"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Iskazuje se ukupna vrijednost redaka 0120 i 0130.</w:t>
            </w:r>
          </w:p>
        </w:tc>
      </w:tr>
      <w:tr w:rsidR="00FA0C6F" w:rsidRPr="00990A2C" w14:paraId="5800ABBD" w14:textId="77777777">
        <w:tc>
          <w:tcPr>
            <w:tcW w:w="1129" w:type="dxa"/>
          </w:tcPr>
          <w:p w14:paraId="3D66FFA9"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0120</w:t>
            </w:r>
          </w:p>
        </w:tc>
        <w:tc>
          <w:tcPr>
            <w:tcW w:w="7620" w:type="dxa"/>
          </w:tcPr>
          <w:p w14:paraId="336AD8A0"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Ukupni godišnji bruto prihodi</w:t>
            </w:r>
          </w:p>
          <w:p w14:paraId="250550F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 xml:space="preserve">Vrijednost ukupnih godišnjih bruto prihoda, </w:t>
            </w:r>
            <w:r w:rsidRPr="00990A2C">
              <w:rPr>
                <w:rFonts w:ascii="Times New Roman" w:hAnsi="Times New Roman"/>
                <w:bCs/>
                <w:u w:val="single"/>
              </w:rPr>
              <w:t>isključujući</w:t>
            </w:r>
            <w:r w:rsidRPr="00990A2C">
              <w:rPr>
                <w:rFonts w:ascii="Times New Roman" w:hAnsi="Times New Roman"/>
                <w:bCs/>
              </w:rPr>
              <w:t xml:space="preserve"> bruto prihode ostvarene unutar grupe u skladu s člankom 12. stavkom 2. Uredbe (EU) 2019/2033.</w:t>
            </w:r>
          </w:p>
        </w:tc>
      </w:tr>
      <w:tr w:rsidR="00FA0C6F" w:rsidRPr="00990A2C" w14:paraId="52B22F67" w14:textId="77777777">
        <w:tc>
          <w:tcPr>
            <w:tcW w:w="1129" w:type="dxa"/>
          </w:tcPr>
          <w:p w14:paraId="2CC9437C"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0130</w:t>
            </w:r>
          </w:p>
        </w:tc>
        <w:tc>
          <w:tcPr>
            <w:tcW w:w="7620" w:type="dxa"/>
          </w:tcPr>
          <w:p w14:paraId="402EAD0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Unutargrupni dio godišnjih bruto prihoda</w:t>
            </w:r>
          </w:p>
          <w:p w14:paraId="59B0121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Vrijednost bruto prihoda ostvarenih unutar grupe investicijskog društva u skladu s člankom 12. stavkom 2. Ured</w:t>
            </w:r>
            <w:r w:rsidRPr="00990A2C">
              <w:rPr>
                <w:rFonts w:ascii="Times New Roman" w:hAnsi="Times New Roman"/>
                <w:bCs/>
              </w:rPr>
              <w:t>be (EU) 2019/2033.</w:t>
            </w:r>
          </w:p>
        </w:tc>
      </w:tr>
      <w:tr w:rsidR="00FA0C6F" w:rsidRPr="00990A2C" w14:paraId="01033390" w14:textId="77777777">
        <w:tc>
          <w:tcPr>
            <w:tcW w:w="1129" w:type="dxa"/>
          </w:tcPr>
          <w:p w14:paraId="18D16DB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0140</w:t>
            </w:r>
          </w:p>
        </w:tc>
        <w:tc>
          <w:tcPr>
            <w:tcW w:w="7620" w:type="dxa"/>
          </w:tcPr>
          <w:p w14:paraId="356AE38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zaprimanja i prijenosa naloga</w:t>
            </w:r>
          </w:p>
          <w:p w14:paraId="60A7173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0532982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4. stavak 1. točka 2. Direktive 2014/65/EU</w:t>
            </w:r>
          </w:p>
        </w:tc>
      </w:tr>
      <w:tr w:rsidR="00FA0C6F" w:rsidRPr="00990A2C" w14:paraId="6EDE5ED6" w14:textId="77777777">
        <w:tc>
          <w:tcPr>
            <w:tcW w:w="1129" w:type="dxa"/>
          </w:tcPr>
          <w:p w14:paraId="72DDBB4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0150</w:t>
            </w:r>
          </w:p>
        </w:tc>
        <w:tc>
          <w:tcPr>
            <w:tcW w:w="7620" w:type="dxa"/>
          </w:tcPr>
          <w:p w14:paraId="3F678EAE"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izvršenja naloga za račun klijenata</w:t>
            </w:r>
          </w:p>
          <w:p w14:paraId="02D98B72"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6EC74CE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4. stavak 1. točka 2. Direktive 2014/65/EU</w:t>
            </w:r>
          </w:p>
        </w:tc>
      </w:tr>
      <w:tr w:rsidR="00FA0C6F" w:rsidRPr="00990A2C" w14:paraId="1DC339D9" w14:textId="77777777">
        <w:tc>
          <w:tcPr>
            <w:tcW w:w="1129" w:type="dxa"/>
          </w:tcPr>
          <w:p w14:paraId="63E92091"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193390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trgovanja za vlastiti račun</w:t>
            </w:r>
          </w:p>
          <w:p w14:paraId="07FEF5DF"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5B2B0DF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2. Direktive 2014/65</w:t>
            </w:r>
            <w:r w:rsidRPr="00990A2C">
              <w:rPr>
                <w:rFonts w:ascii="Times New Roman" w:hAnsi="Times New Roman"/>
                <w:bCs/>
              </w:rPr>
              <w:t>/EU</w:t>
            </w:r>
          </w:p>
        </w:tc>
      </w:tr>
      <w:tr w:rsidR="00FA0C6F" w:rsidRPr="00990A2C" w14:paraId="7998B9C3" w14:textId="77777777">
        <w:tc>
          <w:tcPr>
            <w:tcW w:w="1129" w:type="dxa"/>
          </w:tcPr>
          <w:p w14:paraId="658F00B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A1B3FE0"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upravljanja portfeljem</w:t>
            </w:r>
          </w:p>
          <w:p w14:paraId="426E549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1DAFBAA9"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2. Direktive 2014/65/EU</w:t>
            </w:r>
          </w:p>
        </w:tc>
      </w:tr>
      <w:tr w:rsidR="00FA0C6F" w:rsidRPr="00990A2C" w14:paraId="1F699559" w14:textId="77777777">
        <w:tc>
          <w:tcPr>
            <w:tcW w:w="1129" w:type="dxa"/>
          </w:tcPr>
          <w:p w14:paraId="731B5BE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BA1CD09"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investicijskog savjetovanja</w:t>
            </w:r>
          </w:p>
          <w:p w14:paraId="0943D8E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 xml:space="preserve">Članak 54. stavak 1. točka (d) Uredbe </w:t>
            </w:r>
            <w:r w:rsidRPr="00990A2C">
              <w:rPr>
                <w:rFonts w:ascii="Times New Roman" w:hAnsi="Times New Roman"/>
                <w:bCs/>
              </w:rPr>
              <w:t>(EU) 2019/2033</w:t>
            </w:r>
          </w:p>
          <w:p w14:paraId="0AE57296"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2. Direktive 2014/65/EU</w:t>
            </w:r>
          </w:p>
        </w:tc>
      </w:tr>
      <w:tr w:rsidR="00FA0C6F" w:rsidRPr="00990A2C" w14:paraId="5A4C9FDF" w14:textId="77777777">
        <w:tc>
          <w:tcPr>
            <w:tcW w:w="1129" w:type="dxa"/>
          </w:tcPr>
          <w:p w14:paraId="30933B4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B567C6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provedbe ponude odnosno prodaje financijskih instrumenata uz obvezu otkupa</w:t>
            </w:r>
          </w:p>
          <w:p w14:paraId="5FEFFC5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14B0B641"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2. Direktiv</w:t>
            </w:r>
            <w:r w:rsidRPr="00990A2C">
              <w:rPr>
                <w:rFonts w:ascii="Times New Roman" w:hAnsi="Times New Roman"/>
                <w:bCs/>
              </w:rPr>
              <w:t>e 2014/65/EU</w:t>
            </w:r>
          </w:p>
        </w:tc>
      </w:tr>
      <w:tr w:rsidR="00FA0C6F" w:rsidRPr="00990A2C" w14:paraId="216DDC58" w14:textId="77777777">
        <w:tc>
          <w:tcPr>
            <w:tcW w:w="1129" w:type="dxa"/>
          </w:tcPr>
          <w:p w14:paraId="489E1A0F"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45A8870"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provedbe ponude odnosno prodaje financijskih instrumenata bez obveze otkupa</w:t>
            </w:r>
          </w:p>
          <w:p w14:paraId="50312C7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0983D42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2. Direktive 2014/65/EU</w:t>
            </w:r>
          </w:p>
        </w:tc>
      </w:tr>
      <w:tr w:rsidR="00FA0C6F" w:rsidRPr="00990A2C" w14:paraId="4572B1A5" w14:textId="77777777">
        <w:tc>
          <w:tcPr>
            <w:tcW w:w="1129" w:type="dxa"/>
          </w:tcPr>
          <w:p w14:paraId="0EAAD41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A975211"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Od čega: prihodi od </w:t>
            </w:r>
            <w:r w:rsidRPr="00990A2C">
              <w:rPr>
                <w:rFonts w:ascii="Times New Roman" w:hAnsi="Times New Roman"/>
                <w:b/>
                <w:bCs/>
                <w:u w:val="single"/>
              </w:rPr>
              <w:t>upravljanja MTP-om</w:t>
            </w:r>
          </w:p>
          <w:p w14:paraId="2A343C9B"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3105C566"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2. Direktive 2014/65/EU</w:t>
            </w:r>
          </w:p>
        </w:tc>
      </w:tr>
      <w:tr w:rsidR="00FA0C6F" w:rsidRPr="00990A2C" w14:paraId="5352D4E4" w14:textId="77777777">
        <w:tc>
          <w:tcPr>
            <w:tcW w:w="1129" w:type="dxa"/>
          </w:tcPr>
          <w:p w14:paraId="5C15EDB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4E73F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upravljanja OTP-om</w:t>
            </w:r>
          </w:p>
          <w:p w14:paraId="6CC340F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19A11296"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2. Direkti</w:t>
            </w:r>
            <w:r w:rsidRPr="00990A2C">
              <w:rPr>
                <w:rFonts w:ascii="Times New Roman" w:hAnsi="Times New Roman"/>
                <w:bCs/>
              </w:rPr>
              <w:t>ve 2014/65/EU</w:t>
            </w:r>
          </w:p>
        </w:tc>
      </w:tr>
      <w:tr w:rsidR="00FA0C6F" w:rsidRPr="00990A2C" w14:paraId="6CCB477B" w14:textId="77777777">
        <w:tc>
          <w:tcPr>
            <w:tcW w:w="1129" w:type="dxa"/>
          </w:tcPr>
          <w:p w14:paraId="2BBE04D9"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CCC064"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pohrane i administriranja financijskih instrumenata</w:t>
            </w:r>
          </w:p>
          <w:p w14:paraId="50FD81B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2866049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lastRenderedPageBreak/>
              <w:t>Članak 4. stavak 1. točka 3. Direktive 2014/65/EU</w:t>
            </w:r>
          </w:p>
        </w:tc>
      </w:tr>
      <w:tr w:rsidR="00FA0C6F" w:rsidRPr="00990A2C" w14:paraId="3029AC21" w14:textId="77777777">
        <w:tc>
          <w:tcPr>
            <w:tcW w:w="1129" w:type="dxa"/>
          </w:tcPr>
          <w:p w14:paraId="4D823B1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218925"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davanja kredita ili zajmova ulagate</w:t>
            </w:r>
            <w:r w:rsidRPr="00990A2C">
              <w:rPr>
                <w:rFonts w:ascii="Times New Roman" w:hAnsi="Times New Roman"/>
                <w:b/>
                <w:bCs/>
                <w:u w:val="single"/>
              </w:rPr>
              <w:t>ljima</w:t>
            </w:r>
          </w:p>
          <w:p w14:paraId="59971539"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1416222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3. Direktive 2014/65/EU</w:t>
            </w:r>
          </w:p>
        </w:tc>
      </w:tr>
      <w:tr w:rsidR="00FA0C6F" w:rsidRPr="00990A2C" w14:paraId="2130EDCB" w14:textId="77777777">
        <w:tc>
          <w:tcPr>
            <w:tcW w:w="1129" w:type="dxa"/>
          </w:tcPr>
          <w:p w14:paraId="49BD460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D3464C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Od čega: prihodi od savjetovanja društava o strukturi kapitala, poslovnim strategijama i srodnim pitanjima te savjetovanja i usluga </w:t>
            </w:r>
            <w:r w:rsidRPr="00990A2C">
              <w:rPr>
                <w:rFonts w:ascii="Times New Roman" w:hAnsi="Times New Roman"/>
                <w:b/>
                <w:bCs/>
                <w:u w:val="single"/>
              </w:rPr>
              <w:t>povezanih sa spajanjem i kupnjom društava</w:t>
            </w:r>
          </w:p>
          <w:p w14:paraId="5E0B88F3"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7B91BDF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3. Direktive 2014/65/EU</w:t>
            </w:r>
          </w:p>
        </w:tc>
      </w:tr>
      <w:tr w:rsidR="00FA0C6F" w:rsidRPr="00990A2C" w14:paraId="3652AFB8" w14:textId="77777777">
        <w:tc>
          <w:tcPr>
            <w:tcW w:w="1129" w:type="dxa"/>
          </w:tcPr>
          <w:p w14:paraId="6D1F486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299871"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prihodi od deviznog poslovanja</w:t>
            </w:r>
          </w:p>
          <w:p w14:paraId="2ACA1F2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271A4841"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w:t>
            </w:r>
            <w:r w:rsidRPr="00990A2C">
              <w:rPr>
                <w:rFonts w:ascii="Times New Roman" w:hAnsi="Times New Roman"/>
                <w:bCs/>
              </w:rPr>
              <w:t>avak 1. točka 3. Direktive 2014/65/EU</w:t>
            </w:r>
          </w:p>
        </w:tc>
      </w:tr>
      <w:tr w:rsidR="00FA0C6F" w:rsidRPr="00990A2C" w14:paraId="1D85810C" w14:textId="77777777">
        <w:tc>
          <w:tcPr>
            <w:tcW w:w="1129" w:type="dxa"/>
          </w:tcPr>
          <w:p w14:paraId="1D2BF1F9"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EEA5EA"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Od čega: investicijska istraživanja i financijske analize</w:t>
            </w:r>
          </w:p>
          <w:p w14:paraId="135FCE4A"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5D799CE9"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3. Direktive 2014/65/EU</w:t>
            </w:r>
          </w:p>
        </w:tc>
      </w:tr>
      <w:tr w:rsidR="00FA0C6F" w:rsidRPr="00990A2C" w14:paraId="210FEA21" w14:textId="77777777">
        <w:tc>
          <w:tcPr>
            <w:tcW w:w="1129" w:type="dxa"/>
          </w:tcPr>
          <w:p w14:paraId="25B45A24"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F2D41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Od čega: prihodi od usluga povezanih s </w:t>
            </w:r>
            <w:r w:rsidRPr="00990A2C">
              <w:rPr>
                <w:rFonts w:ascii="Times New Roman" w:hAnsi="Times New Roman"/>
                <w:b/>
                <w:bCs/>
                <w:u w:val="single"/>
              </w:rPr>
              <w:t>provedbom ponude odnosno prodaje financijskih instrumenata</w:t>
            </w:r>
          </w:p>
          <w:p w14:paraId="08BE8AD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10E0F47C"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3. Direktive 2014/65/EU</w:t>
            </w:r>
          </w:p>
        </w:tc>
      </w:tr>
      <w:tr w:rsidR="00FA0C6F" w:rsidRPr="00990A2C" w14:paraId="555E61F1" w14:textId="77777777">
        <w:tc>
          <w:tcPr>
            <w:tcW w:w="1129" w:type="dxa"/>
          </w:tcPr>
          <w:p w14:paraId="7A95A67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20F395"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
                <w:bCs/>
                <w:u w:val="single"/>
              </w:rPr>
              <w:t>Od čega: investicijske usluge i pomoćne aktivnosti koje se odnose na temeljnu imovinu iz</w:t>
            </w:r>
            <w:r w:rsidRPr="00990A2C">
              <w:rPr>
                <w:rFonts w:ascii="Times New Roman" w:hAnsi="Times New Roman"/>
                <w:b/>
                <w:bCs/>
                <w:u w:val="single"/>
              </w:rPr>
              <w:t>vedenica</w:t>
            </w:r>
          </w:p>
          <w:p w14:paraId="3D2D83C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54. stavak 1. točka (d) Uredbe (EU) 2019/2033</w:t>
            </w:r>
          </w:p>
          <w:p w14:paraId="16264629"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 stavak 1. točka 3. Direktive 2014/65/EU</w:t>
            </w:r>
          </w:p>
        </w:tc>
      </w:tr>
    </w:tbl>
    <w:p w14:paraId="20E04C98" w14:textId="77777777" w:rsidR="00FA0C6F" w:rsidRPr="00990A2C" w:rsidRDefault="00FA0C6F">
      <w:pPr>
        <w:pStyle w:val="Instructionsberschrift2"/>
        <w:ind w:left="357" w:hanging="357"/>
        <w:rPr>
          <w:rFonts w:ascii="Times New Roman" w:hAnsi="Times New Roman" w:cs="Times New Roman"/>
          <w:b/>
          <w:sz w:val="24"/>
          <w:u w:val="none"/>
          <w:lang w:val="en-IE"/>
        </w:rPr>
      </w:pPr>
    </w:p>
    <w:p w14:paraId="57E7283A" w14:textId="77777777" w:rsidR="00FA0C6F" w:rsidRPr="00990A2C" w:rsidRDefault="00990A2C">
      <w:pPr>
        <w:pStyle w:val="Instructionsberschrift2"/>
        <w:ind w:left="357" w:hanging="357"/>
        <w:rPr>
          <w:rFonts w:ascii="Times New Roman" w:hAnsi="Times New Roman" w:cs="Times New Roman"/>
          <w:b/>
          <w:sz w:val="24"/>
          <w:u w:val="none"/>
        </w:rPr>
      </w:pPr>
      <w:bookmarkStart w:id="45" w:name="_Toc88219062"/>
      <w:r w:rsidRPr="00990A2C">
        <w:rPr>
          <w:rFonts w:ascii="Times New Roman" w:hAnsi="Times New Roman"/>
          <w:b/>
          <w:sz w:val="24"/>
          <w:u w:val="none"/>
        </w:rPr>
        <w:t>3. LIKVIDNOSNI ZAHTJEVI</w:t>
      </w:r>
      <w:bookmarkEnd w:id="45"/>
    </w:p>
    <w:p w14:paraId="59FF1E13" w14:textId="77777777" w:rsidR="00FA0C6F" w:rsidRPr="00990A2C" w:rsidRDefault="00990A2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219063"/>
      <w:r w:rsidRPr="00990A2C">
        <w:rPr>
          <w:rFonts w:ascii="Times New Roman" w:hAnsi="Times New Roman"/>
          <w:sz w:val="24"/>
          <w:szCs w:val="24"/>
          <w:u w:val="single"/>
        </w:rPr>
        <w:t>3.1. I 09.01 – LIKVIDNOSNI ZAHTJEVI (I 9,1)</w:t>
      </w:r>
      <w:bookmarkEnd w:id="46"/>
    </w:p>
    <w:p w14:paraId="2B31930C" w14:textId="77777777" w:rsidR="00FA0C6F" w:rsidRPr="00990A2C" w:rsidRDefault="00990A2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219064"/>
      <w:r w:rsidRPr="00990A2C">
        <w:rPr>
          <w:rFonts w:ascii="Times New Roman" w:hAnsi="Times New Roman"/>
          <w:sz w:val="24"/>
          <w:szCs w:val="24"/>
        </w:rPr>
        <w:t>3.1.1</w:t>
      </w:r>
      <w:r w:rsidRPr="00990A2C">
        <w:rPr>
          <w:rFonts w:ascii="Times New Roman" w:hAnsi="Times New Roman"/>
          <w:sz w:val="24"/>
          <w:szCs w:val="24"/>
        </w:rPr>
        <w:tab/>
      </w:r>
      <w:r w:rsidRPr="00990A2C">
        <w:rPr>
          <w:rFonts w:ascii="Times New Roman" w:hAnsi="Times New Roman"/>
          <w:sz w:val="24"/>
          <w:szCs w:val="24"/>
          <w:u w:val="single"/>
        </w:rPr>
        <w:t>Upute za specifične pozicije</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A0C6F" w:rsidRPr="00990A2C" w14:paraId="3F6BD7E7" w14:textId="77777777">
        <w:tc>
          <w:tcPr>
            <w:tcW w:w="1129" w:type="dxa"/>
            <w:shd w:val="clear" w:color="auto" w:fill="D9D9D9"/>
          </w:tcPr>
          <w:p w14:paraId="27E30C8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Redak</w:t>
            </w:r>
          </w:p>
        </w:tc>
        <w:tc>
          <w:tcPr>
            <w:tcW w:w="7620" w:type="dxa"/>
            <w:shd w:val="clear" w:color="auto" w:fill="D9D9D9"/>
          </w:tcPr>
          <w:p w14:paraId="4C64505D"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rPr>
              <w:t>Pravna osnova i upute</w:t>
            </w:r>
          </w:p>
        </w:tc>
      </w:tr>
      <w:tr w:rsidR="00FA0C6F" w:rsidRPr="00990A2C" w14:paraId="377D00D6" w14:textId="77777777">
        <w:tc>
          <w:tcPr>
            <w:tcW w:w="1129" w:type="dxa"/>
          </w:tcPr>
          <w:p w14:paraId="274683C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0010</w:t>
            </w:r>
          </w:p>
        </w:tc>
        <w:tc>
          <w:tcPr>
            <w:tcW w:w="7620" w:type="dxa"/>
          </w:tcPr>
          <w:p w14:paraId="573A0803"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Likvidnosni zahtjev</w:t>
            </w:r>
          </w:p>
          <w:p w14:paraId="6852470F"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Cs/>
              </w:rPr>
              <w:t>Članak 43. stavak 1. Uredbe (EU) 2019/2033</w:t>
            </w:r>
          </w:p>
        </w:tc>
      </w:tr>
      <w:tr w:rsidR="00FA0C6F" w:rsidRPr="00990A2C" w14:paraId="282218BD" w14:textId="77777777">
        <w:tc>
          <w:tcPr>
            <w:tcW w:w="1129" w:type="dxa"/>
          </w:tcPr>
          <w:p w14:paraId="5195EB48"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0020</w:t>
            </w:r>
          </w:p>
        </w:tc>
        <w:tc>
          <w:tcPr>
            <w:tcW w:w="7620" w:type="dxa"/>
          </w:tcPr>
          <w:p w14:paraId="7F700551"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Jamstva klijentima</w:t>
            </w:r>
          </w:p>
          <w:p w14:paraId="0788DE4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45. Uredbe (EU) 2019/2033</w:t>
            </w:r>
          </w:p>
          <w:p w14:paraId="28C4FCC7"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Iskazana vrijednost je 1,6 % ukupnog iznosa jamstava danih klijentima u skladu s člankom 45. Uredbe (EU) 2019/2033.</w:t>
            </w:r>
          </w:p>
        </w:tc>
      </w:tr>
      <w:tr w:rsidR="00FA0C6F" w14:paraId="6FFF62AE" w14:textId="77777777">
        <w:tc>
          <w:tcPr>
            <w:tcW w:w="1129" w:type="dxa"/>
          </w:tcPr>
          <w:p w14:paraId="3F1BD836"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0030</w:t>
            </w:r>
          </w:p>
        </w:tc>
        <w:tc>
          <w:tcPr>
            <w:tcW w:w="7620" w:type="dxa"/>
          </w:tcPr>
          <w:p w14:paraId="2A426962" w14:textId="77777777" w:rsidR="00FA0C6F" w:rsidRPr="00990A2C" w:rsidRDefault="00990A2C">
            <w:pPr>
              <w:spacing w:after="120" w:line="240" w:lineRule="auto"/>
              <w:jc w:val="both"/>
              <w:rPr>
                <w:rFonts w:ascii="Times New Roman" w:eastAsia="Times New Roman" w:hAnsi="Times New Roman" w:cs="Times New Roman"/>
                <w:b/>
                <w:bCs/>
                <w:u w:val="single"/>
              </w:rPr>
            </w:pPr>
            <w:r w:rsidRPr="00990A2C">
              <w:rPr>
                <w:rFonts w:ascii="Times New Roman" w:hAnsi="Times New Roman"/>
                <w:b/>
                <w:bCs/>
                <w:u w:val="single"/>
              </w:rPr>
              <w:t xml:space="preserve">Ukupna </w:t>
            </w:r>
            <w:r w:rsidRPr="00990A2C">
              <w:rPr>
                <w:rFonts w:ascii="Times New Roman" w:hAnsi="Times New Roman"/>
                <w:b/>
                <w:bCs/>
                <w:u w:val="single"/>
              </w:rPr>
              <w:t>likvidna imovina</w:t>
            </w:r>
          </w:p>
          <w:p w14:paraId="50D19F4E" w14:textId="77777777" w:rsidR="00FA0C6F" w:rsidRPr="00990A2C" w:rsidRDefault="00990A2C">
            <w:pPr>
              <w:spacing w:after="120" w:line="240" w:lineRule="auto"/>
              <w:jc w:val="both"/>
              <w:rPr>
                <w:rFonts w:ascii="Times New Roman" w:eastAsia="Times New Roman" w:hAnsi="Times New Roman" w:cs="Times New Roman"/>
                <w:bCs/>
              </w:rPr>
            </w:pPr>
            <w:r w:rsidRPr="00990A2C">
              <w:rPr>
                <w:rFonts w:ascii="Times New Roman" w:hAnsi="Times New Roman"/>
                <w:bCs/>
              </w:rPr>
              <w:t>Članak 43. stavak 1. točka (a) i članak 43. stavak 2. Uredbe (EU) 2019/2033</w:t>
            </w:r>
          </w:p>
          <w:p w14:paraId="14D950D9" w14:textId="77777777" w:rsidR="00FA0C6F" w:rsidRDefault="00990A2C">
            <w:pPr>
              <w:pStyle w:val="CommentText"/>
              <w:rPr>
                <w:rFonts w:ascii="Times New Roman" w:eastAsia="Times New Roman" w:hAnsi="Times New Roman" w:cs="Times New Roman"/>
                <w:b/>
                <w:bCs/>
                <w:sz w:val="22"/>
                <w:szCs w:val="22"/>
                <w:u w:val="single"/>
              </w:rPr>
            </w:pPr>
            <w:r w:rsidRPr="00990A2C">
              <w:rPr>
                <w:rFonts w:ascii="Times New Roman" w:hAnsi="Times New Roman"/>
                <w:bCs/>
                <w:sz w:val="22"/>
                <w:szCs w:val="22"/>
              </w:rPr>
              <w:lastRenderedPageBreak/>
              <w:t>Ukupna likvidna imovina iskazuje se nakon primjene odgovarajućih korektivnih faktora.</w:t>
            </w:r>
          </w:p>
        </w:tc>
      </w:tr>
    </w:tbl>
    <w:p w14:paraId="3379A2D9" w14:textId="77777777" w:rsidR="00FA0C6F" w:rsidRDefault="00FA0C6F"/>
    <w:sectPr w:rsidR="00FA0C6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562D11" w14:textId="77777777" w:rsidR="00FA0C6F" w:rsidRDefault="00FA0C6F">
      <w:pPr>
        <w:pStyle w:val="Footer"/>
      </w:pPr>
    </w:p>
  </w:endnote>
  <w:endnote w:type="continuationSeparator" w:id="0">
    <w:p w14:paraId="6CF65F40" w14:textId="77777777" w:rsidR="00FA0C6F" w:rsidRDefault="00FA0C6F">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3C2E4" w14:textId="77777777" w:rsidR="00FA0C6F" w:rsidRDefault="00FA0C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DD44C" w14:textId="77777777" w:rsidR="00FA0C6F" w:rsidRDefault="00990A2C">
    <w:pPr>
      <w:pStyle w:val="Footer"/>
      <w:tabs>
        <w:tab w:val="clear" w:pos="4513"/>
        <w:tab w:val="clear" w:pos="9026"/>
        <w:tab w:val="right" w:pos="9071"/>
      </w:tabs>
    </w:pPr>
    <w:r>
      <w:t>HR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1DBC9" w14:textId="77777777" w:rsidR="00FA0C6F" w:rsidRDefault="00FA0C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693F90" w14:textId="77777777" w:rsidR="00FA0C6F" w:rsidRDefault="00FA0C6F">
      <w:pPr>
        <w:pStyle w:val="Footer"/>
      </w:pPr>
    </w:p>
  </w:footnote>
  <w:footnote w:type="continuationSeparator" w:id="0">
    <w:p w14:paraId="58EB15DC" w14:textId="77777777" w:rsidR="00FA0C6F" w:rsidRDefault="00FA0C6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71E00" w14:textId="77777777" w:rsidR="00FA0C6F" w:rsidRDefault="00990A2C">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AC9F3" w14:textId="6DF6F6F9" w:rsidR="00FA0C6F" w:rsidRDefault="00990A2C">
    <w:pPr>
      <w:pStyle w:val="Header"/>
    </w:pPr>
    <w:r>
      <w:rPr>
        <w:noProof/>
      </w:rPr>
      <mc:AlternateContent>
        <mc:Choice Requires="wps">
          <w:drawing>
            <wp:anchor distT="0" distB="0" distL="114300" distR="114300" simplePos="0" relativeHeight="251659264" behindDoc="0" locked="0" layoutInCell="0" allowOverlap="1" wp14:anchorId="366D957C" wp14:editId="00F624EA">
              <wp:simplePos x="0" y="0"/>
              <wp:positionH relativeFrom="page">
                <wp:posOffset>0</wp:posOffset>
              </wp:positionH>
              <wp:positionV relativeFrom="page">
                <wp:posOffset>190500</wp:posOffset>
              </wp:positionV>
              <wp:extent cx="7560310" cy="273050"/>
              <wp:effectExtent l="0" t="0" r="0" b="12700"/>
              <wp:wrapNone/>
              <wp:docPr id="1" name="MSIPCMd23142089aaf7b9042beb6cf"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F789F8" w14:textId="70399E62" w:rsidR="00990A2C" w:rsidRPr="00990A2C" w:rsidRDefault="00990A2C" w:rsidP="00990A2C">
                          <w:pPr>
                            <w:spacing w:after="0"/>
                            <w:rPr>
                              <w:rFonts w:ascii="Calibri" w:hAnsi="Calibri" w:cs="Calibri"/>
                              <w:color w:val="000000"/>
                              <w:sz w:val="24"/>
                            </w:rPr>
                          </w:pPr>
                          <w:r w:rsidRPr="00990A2C">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66D957C" id="_x0000_t202" coordsize="21600,21600" o:spt="202" path="m,l,21600r21600,l21600,xe">
              <v:stroke joinstyle="miter"/>
              <v:path gradientshapeok="t" o:connecttype="rect"/>
            </v:shapetype>
            <v:shape id="MSIPCMd23142089aaf7b9042beb6cf"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" o:allowincell="f" filled="f" stroked="f" strokeweight=".5pt">
              <v:fill o:detectmouseclick="t"/>
              <v:textbox inset="20pt,0,,0">
                <w:txbxContent>
                  <w:p w14:paraId="02F789F8" w14:textId="70399E62" w:rsidR="00990A2C" w:rsidRPr="00990A2C" w:rsidRDefault="00990A2C" w:rsidP="00990A2C">
                    <w:pPr>
                      <w:spacing w:after="0"/>
                      <w:rPr>
                        <w:rFonts w:ascii="Calibri" w:hAnsi="Calibri" w:cs="Calibri"/>
                        <w:color w:val="000000"/>
                        <w:sz w:val="24"/>
                      </w:rPr>
                    </w:pPr>
                    <w:r w:rsidRPr="00990A2C">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AC26B" w14:textId="77777777" w:rsidR="00FA0C6F" w:rsidRDefault="00990A2C">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defaultTabStop w:val="720"/>
  <w:hyphenationZone w:val="283"/>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A0C6F"/>
    <w:rsid w:val="00990A2C"/>
    <w:rsid w:val="00FA0C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14:docId w14:val="34FEB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hr-H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03858F23-13FC-4FB4-861F-7A997904B416}">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4821</Words>
  <Characters>27485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2022-01-14T16:18:00Z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2022-01-14T16:18:16Z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4b8890fc-56d6-4616-8678-620d3b9c29ae</vt:lpwstr>
  </property>
  <property fmtid="{D5CDD505-2E9C-101B-9397-08002B2CF9AE}" pid="8" name="MSIP_Label_5c7eb9de-735b-4a68-8fe4-c9c62709b012_ContentBits">
    <vt:lpwstr>1</vt:lpwstr>
  </property>
</Properties>
</file>