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8B7D5" w14:textId="77777777" w:rsidR="003B229B" w:rsidRDefault="00EF4A30">
      <w:pPr>
        <w:pStyle w:val="Typedudocument"/>
      </w:pPr>
      <w:r>
        <w:t xml:space="preserve">KOMISIJOS ĮGYVENDINIMO REGLAMENTAS </w:t>
      </w:r>
      <w:r w:rsidR="00267699">
        <w:t xml:space="preserve">(ES) </w:t>
      </w:r>
      <w:r w:rsidRPr="001C5F36">
        <w:t>2021</w:t>
      </w:r>
      <w:r w:rsidR="00267699" w:rsidRPr="001C5F36">
        <w:t>/…</w:t>
      </w:r>
    </w:p>
    <w:p w14:paraId="53C16A7A" w14:textId="77777777" w:rsidR="003B229B" w:rsidRDefault="00EF4A30">
      <w:pPr>
        <w:pStyle w:val="Datedadoption"/>
      </w:pPr>
      <w:r>
        <w:rPr>
          <w:rStyle w:val="Marker2"/>
          <w:color w:val="auto"/>
        </w:rPr>
        <w:t>2021 m. gruodžio 6 d.</w:t>
      </w:r>
    </w:p>
    <w:p w14:paraId="3E1EAD27" w14:textId="77777777" w:rsidR="003B229B" w:rsidRDefault="00267699">
      <w:pPr>
        <w:pStyle w:val="Titreobjet"/>
      </w:pPr>
      <w:r>
        <w:t>kuriuo nustatomi techniniai įgyvendinimo standartai, susiję su Europos Parlamento ir Tarybos reglamento (ES) 2019/2033 taikymu investicinių įmonių informacijos teikimo priežiūros institucijoms ir jos atskleidimo srityje</w:t>
      </w:r>
    </w:p>
    <w:p w14:paraId="39E57B0C" w14:textId="77777777" w:rsidR="003B229B" w:rsidRDefault="00267699">
      <w:pPr>
        <w:pStyle w:val="IntrtEEE"/>
      </w:pPr>
      <w:r>
        <w:t>(Tekstas svarbus EEE)</w:t>
      </w:r>
    </w:p>
    <w:p w14:paraId="33AE58F2" w14:textId="77777777" w:rsidR="003B229B" w:rsidRDefault="00267699">
      <w:pPr>
        <w:pStyle w:val="Institutionquiagit"/>
      </w:pPr>
      <w:r>
        <w:t>EUROPOS KOMISIJA,</w:t>
      </w:r>
    </w:p>
    <w:p w14:paraId="429710BC" w14:textId="77777777" w:rsidR="003B229B" w:rsidRDefault="00267699">
      <w:r>
        <w:t>atsižvelgdama į Sutartį dėl Europos Sąjungos veikimo,</w:t>
      </w:r>
    </w:p>
    <w:p w14:paraId="3869C773" w14:textId="77777777" w:rsidR="003B229B" w:rsidRDefault="00267699">
      <w:r>
        <w:t>atsižvelgdama į 2019 m. lapkričio 27 d. Europos Parlamento ir Tarybos reglamentą (ES) 2019/2033 dėl riziką ribojančių reikalavimų investicinėms įmonėms, kuriuo iš dalies keičiami reglamentai (ES) Nr. 1093/2010, (ES) Nr. 575/2013, (ES) Nr. 600/2014 ir (ES) Nr. 806/2014 </w:t>
      </w:r>
      <w:r>
        <w:rPr>
          <w:rStyle w:val="FootnoteReference"/>
        </w:rPr>
        <w:footnoteReference w:id="1"/>
      </w:r>
      <w:r>
        <w:t>, ypač į jo 49 straipsnio 2 dalį ir 54 straipsnio 3 dalį,</w:t>
      </w:r>
    </w:p>
    <w:p w14:paraId="4D1567BC" w14:textId="77777777" w:rsidR="003B229B" w:rsidRDefault="00267699">
      <w:r>
        <w:t>kadangi:</w:t>
      </w:r>
    </w:p>
    <w:p w14:paraId="493972C9" w14:textId="77777777" w:rsidR="003B229B" w:rsidRDefault="00267699">
      <w:pPr>
        <w:pStyle w:val="Considrant"/>
        <w:numPr>
          <w:ilvl w:val="0"/>
          <w:numId w:val="0"/>
        </w:numPr>
        <w:tabs>
          <w:tab w:val="left" w:pos="709"/>
        </w:tabs>
        <w:ind w:left="709" w:hanging="709"/>
      </w:pPr>
      <w:r>
        <w:t>(1)</w:t>
      </w:r>
      <w:r>
        <w:tab/>
        <w:t>Reglamento (ES) 2019/2033 54 straipsnyje investicinėms įmonėms nustatyti informacijos teikimo reikalavimai turėtų būti pritaikyti prie investicinių įmonių veiklos ir proporcingi įvairių investicinių įmonių mastui ir sudėtingumui. Tais reikalavimais visų pirma turėtų būti atsižvelgiama į tai, kad tam tikros investicinės įmonės Reglamento (ES) 2019/2033 12 straipsnyje nustatytomis sąlygomis turi būti laikomos mažomis ir tarpusavio sąsajų neturinčiomis investicinėmis įmonėmis;</w:t>
      </w:r>
    </w:p>
    <w:p w14:paraId="3BF55A8B" w14:textId="77777777" w:rsidR="003B229B" w:rsidRDefault="00267699">
      <w:pPr>
        <w:pStyle w:val="Considrant"/>
        <w:numPr>
          <w:ilvl w:val="0"/>
          <w:numId w:val="0"/>
        </w:numPr>
        <w:tabs>
          <w:tab w:val="left" w:pos="709"/>
        </w:tabs>
        <w:ind w:left="709" w:hanging="709"/>
      </w:pPr>
      <w:r>
        <w:t>(2)</w:t>
      </w:r>
      <w:r>
        <w:tab/>
        <w:t xml:space="preserve">pagal Reglamento (ES) 2019/2033 54 straipsnio 1 dalį mažos ir tarpusavio sąsajų neturinčios investicinės įmonės turi teikti informaciją apie nuosavų lėšų sumą ir sudėtį, nuosavų lėšų reikalavimus, nuosavų lėšų reikalavimų apskaičiavimų pagrindą ir su Reglamento (ES) 2019/2033 12 straipsnio 1 dalyje nustatytomis sąlygomis susijusios veiklos lygį. Taigi mažos ir tarpusavio sąsajų neturinčios įmonės neprivalo teikti tokio pat išsamumo informacijos kaip kitos investicinės įmonės, kurioms taikomas Reglamentas (ES) 2019/2033. Todėl mažoms ir tarpusavio sąsajų neturinčioms įmonėms neturėtų būti taikomos informacijos apie K veiksnių apskaičiavimą teikimo formos. Be to, pagal Reglamento (ES) 2019/2033 54 straipsnio 2 dalies trečią pastraipą </w:t>
      </w:r>
      <w:bookmarkStart w:id="0" w:name="_DV_C108"/>
      <w:r>
        <w:t>mažoms ir tarpusavio sąsajų neturinčioms įmonėms netaikomas reikalavimas teikti informaciją apie koncentracijos riziką, o kompetentingos institucijos mažoms ir tarpusavio sąsajų neturinčioms įmonėms gali netaikyti pareigos teikti informaciją apie likvidumo reikalavimus</w:t>
      </w:r>
      <w:bookmarkStart w:id="1" w:name="_DV_M108"/>
      <w:bookmarkEnd w:id="0"/>
      <w:bookmarkEnd w:id="1"/>
      <w:r>
        <w:t>;</w:t>
      </w:r>
    </w:p>
    <w:p w14:paraId="4E9F51F3" w14:textId="77777777" w:rsidR="003B229B" w:rsidRDefault="00267699">
      <w:pPr>
        <w:pStyle w:val="Considrant"/>
        <w:numPr>
          <w:ilvl w:val="0"/>
          <w:numId w:val="0"/>
        </w:numPr>
        <w:tabs>
          <w:tab w:val="left" w:pos="709"/>
        </w:tabs>
        <w:ind w:left="709" w:hanging="709"/>
      </w:pPr>
      <w:r>
        <w:t>(3)</w:t>
      </w:r>
      <w:r>
        <w:tab/>
        <w:t>visos investicinės įmonės, kurioms taikomas Reglamentas (ES) 2019/2033, turėtų teikti informaciją apie savo veiklos profilį ir dydį, kad kompetentingos institucijos galėtų įvertinti, ar tos investicinės įmonės atitinka Reglamento (ES) 2019/2033 12 straipsnyje nustatytas sąlygas, kad būtų laikomos mažomis ir tarpusavio sąsajų neturinčiomis investicinėmis įmonėmis;</w:t>
      </w:r>
    </w:p>
    <w:p w14:paraId="5117ADBE" w14:textId="77777777" w:rsidR="003B229B" w:rsidRDefault="00267699">
      <w:pPr>
        <w:pStyle w:val="Considrant"/>
        <w:numPr>
          <w:ilvl w:val="0"/>
          <w:numId w:val="0"/>
        </w:numPr>
        <w:tabs>
          <w:tab w:val="left" w:pos="709"/>
        </w:tabs>
        <w:ind w:left="709" w:hanging="709"/>
      </w:pPr>
      <w:r>
        <w:t>(4)</w:t>
      </w:r>
      <w:r>
        <w:tab/>
        <w:t xml:space="preserve">siekiant investuotojams ir platesnėms rinkoms užtikrinti skaidrumą Reglamento (ES) 2019/2033 46 straipsniu reikalaujama, kad investicinės įmonės, kurios nėra mažos ir </w:t>
      </w:r>
      <w:r>
        <w:lastRenderedPageBreak/>
        <w:t>tarpusavio sąsajų neturinčios investicinės įmonės, viešai atskleistų to reglamento šeštoje dalyje nurodytą informaciją. Mažoms ir tarpusavio sąsajų neturinčioms investicinėms įmonėms tokie informacijos atskleidimo reikalavimai netaikomi, išskyrus atvejus, kai jos leidžia papildomo 1 lygio kapitalo priemones, kad būtų užtikrintas skaidrumas investuotojams į tas priemones;</w:t>
      </w:r>
    </w:p>
    <w:p w14:paraId="14714365" w14:textId="77777777" w:rsidR="003B229B" w:rsidRDefault="00267699">
      <w:pPr>
        <w:pStyle w:val="Considrant"/>
        <w:numPr>
          <w:ilvl w:val="0"/>
          <w:numId w:val="0"/>
        </w:numPr>
        <w:tabs>
          <w:tab w:val="left" w:pos="709"/>
        </w:tabs>
        <w:ind w:left="709" w:hanging="709"/>
      </w:pPr>
      <w:r>
        <w:t>(5)</w:t>
      </w:r>
      <w:r>
        <w:tab/>
        <w:t>šiame reglamente investicinėms įmonėms turėtų būti pateiktos formos ir lentelės, kuriose būtų galima pateikti pakankamai visapusišką ir palyginamą informaciją apie jų nuosavų lėšų sudėtį ir kokybę. Konkrečiau, būtina nustatyti kiekybinės informacijos apie nuosavų lėšų sudėtį atskleidimo formą ir lanksčią reguliuojamų nuosavų lėšų suderinimo su audituotomis finansinėmis ataskaitomis formą. Dėl tos pačios priežasties taip pat būtina nustatyti informacijos apie investicinės įmonės išleistų nuosavų lėšų priemonių pagrindines savybes formą;</w:t>
      </w:r>
    </w:p>
    <w:p w14:paraId="58332659" w14:textId="77777777" w:rsidR="003B229B" w:rsidRDefault="00267699">
      <w:pPr>
        <w:pStyle w:val="Considrant"/>
        <w:numPr>
          <w:ilvl w:val="0"/>
          <w:numId w:val="0"/>
        </w:numPr>
        <w:tabs>
          <w:tab w:val="left" w:pos="709"/>
        </w:tabs>
        <w:ind w:left="709" w:hanging="709"/>
      </w:pPr>
      <w:r>
        <w:t>(6)</w:t>
      </w:r>
      <w:r>
        <w:tab/>
      </w:r>
      <w:r>
        <w:rPr>
          <w:color w:val="000000"/>
        </w:rPr>
        <w:t>siekiant palengvinti informacijos teikimo ir atskleidimo reikalavimų įgyvendinimą, būtina didinti informacijos teikimo ir atskleidimo formų nuoseklumą. Todėl informacijos apie nuosavų lėšų sudėtį atskleidimo forma turėtų būti glaudžiai suderinta su susijusia informacijos apie nuosavų lėšų sumą ir sudėtį teikimo forma. Dėl tos pačios priežasties informacijos apie visišką nuosavų lėšų ir audituotų finansinių ataskaitų suderinimą atskleidimo forma turėtų būti lanksti, t. y. formos elementų suskirstymas turėtų būti grindžiamas balanso elementų suskirstymu investicinės įmonės audituotose finansinėse ataskaitose. Be to, informacijos apie reguliuojamų nuosavų lėšų pagrindines savybes atskleidimo forma turėtų būti nustatytojo formato, o jos sudėtingumas turėtų priklausyti nuo nuosavų lėšų priemonių sudėtingumo;</w:t>
      </w:r>
    </w:p>
    <w:p w14:paraId="35691E96" w14:textId="4ACD53F3" w:rsidR="003B229B" w:rsidRDefault="00267699" w:rsidP="00E67911">
      <w:pPr>
        <w:pStyle w:val="Considrant"/>
        <w:numPr>
          <w:ilvl w:val="0"/>
          <w:numId w:val="0"/>
        </w:numPr>
        <w:tabs>
          <w:tab w:val="left" w:pos="709"/>
        </w:tabs>
        <w:ind w:left="709" w:hanging="709"/>
      </w:pPr>
      <w:r>
        <w:t>(7)</w:t>
      </w:r>
      <w:r>
        <w:tab/>
        <w:t>siekiant užtikrinti, kad investicinių įmonių reikalavimų laikymosi išlaidos nepagrįstai neišaugtų ir būtų išlaikyta duomenų kokybė, informacijos teikimo ir informacijos atskleidimo pareigų esmė turėtų būti kuo labiau suderinta tarpusavyje. Todėl ir informacijos teikimui, ir informacijos atskleidimui taikytinus standartus tikslinga nustatyti viename reglamente;</w:t>
      </w:r>
    </w:p>
    <w:p w14:paraId="1CC732FE" w14:textId="0889A6B9" w:rsidR="003B229B" w:rsidRDefault="00267699">
      <w:pPr>
        <w:pStyle w:val="Considrant"/>
        <w:numPr>
          <w:ilvl w:val="0"/>
          <w:numId w:val="0"/>
        </w:numPr>
        <w:tabs>
          <w:tab w:val="left" w:pos="709"/>
        </w:tabs>
        <w:ind w:left="709" w:hanging="709"/>
      </w:pPr>
      <w:r>
        <w:t>(</w:t>
      </w:r>
      <w:r w:rsidR="00E67911">
        <w:t>8</w:t>
      </w:r>
      <w:r>
        <w:t>)</w:t>
      </w:r>
      <w:r>
        <w:tab/>
        <w:t>šis reglamentas grindžiamas Europos bankininkystės institucijos (EBI), pasikonsultavus su Europos vertybinių popierių ir rinkų institucija, Komisijai pateiktais techninių įgyvendinimo standartų projektais;</w:t>
      </w:r>
    </w:p>
    <w:p w14:paraId="20FBED3A" w14:textId="59483D23" w:rsidR="003B229B" w:rsidRDefault="00267699">
      <w:pPr>
        <w:pStyle w:val="Considrant"/>
        <w:numPr>
          <w:ilvl w:val="0"/>
          <w:numId w:val="0"/>
        </w:numPr>
        <w:tabs>
          <w:tab w:val="left" w:pos="709"/>
        </w:tabs>
        <w:ind w:left="709" w:hanging="709"/>
      </w:pPr>
      <w:r>
        <w:t>(</w:t>
      </w:r>
      <w:r w:rsidR="00E67911">
        <w:t>9</w:t>
      </w:r>
      <w:r>
        <w:t>)</w:t>
      </w:r>
      <w:r>
        <w:tab/>
        <w:t>EBI surengė atviras viešas konsultacijas dėl techninių įgyvendinimo standartų projektų, kuriais grindžiamas šis reglamentas, išanalizavo galimas susijusias sąnaudas ir naudą bei paprašė Bankininkystės suinteresuotųjų subjektų grupės, įsteigtos pagal Europos Parlamento ir Tarybos reglamento (ES) Nr. 1093/2010 </w:t>
      </w:r>
      <w:r>
        <w:rPr>
          <w:rStyle w:val="FootnoteReference"/>
        </w:rPr>
        <w:footnoteReference w:id="2"/>
      </w:r>
      <w:r>
        <w:t xml:space="preserve"> 37 straipsnį, pateikti rekomendacijų,</w:t>
      </w:r>
    </w:p>
    <w:p w14:paraId="7BC89153" w14:textId="77777777" w:rsidR="003B229B" w:rsidRDefault="00267699">
      <w:pPr>
        <w:pStyle w:val="Formuledadoption"/>
      </w:pPr>
      <w:r>
        <w:lastRenderedPageBreak/>
        <w:t>PRIĖMĖ ŠĮ REGLAMENTĄ:</w:t>
      </w:r>
    </w:p>
    <w:p w14:paraId="587C1363" w14:textId="77777777" w:rsidR="003B229B" w:rsidRPr="00EF4A30" w:rsidRDefault="00267699">
      <w:pPr>
        <w:pStyle w:val="ChapterTitle"/>
        <w:rPr>
          <w:b w:val="0"/>
        </w:rPr>
      </w:pPr>
      <w:r w:rsidRPr="00EF4A30">
        <w:rPr>
          <w:b w:val="0"/>
        </w:rPr>
        <w:t>I SKYRIUS</w:t>
      </w:r>
    </w:p>
    <w:p w14:paraId="2B00AF15" w14:textId="77777777" w:rsidR="003B229B" w:rsidRDefault="00267699">
      <w:pPr>
        <w:pStyle w:val="ChapterTitle"/>
      </w:pPr>
      <w:r>
        <w:t>INFORMACIJOS TEIKIMAS PRIEŽIŪROS INSTITUCIJOMS</w:t>
      </w:r>
    </w:p>
    <w:p w14:paraId="5449849B" w14:textId="77777777" w:rsidR="003B229B" w:rsidRDefault="00267699">
      <w:pPr>
        <w:pStyle w:val="Titrearticle"/>
      </w:pPr>
      <w:r>
        <w:t>1 straipsnis</w:t>
      </w:r>
    </w:p>
    <w:p w14:paraId="23710F31" w14:textId="77777777" w:rsidR="003B229B" w:rsidRDefault="00267699">
      <w:pPr>
        <w:pStyle w:val="Titrearticle"/>
        <w:spacing w:before="120"/>
        <w:rPr>
          <w:b/>
          <w:i w:val="0"/>
        </w:rPr>
      </w:pPr>
      <w:r>
        <w:rPr>
          <w:b/>
          <w:i w:val="0"/>
        </w:rPr>
        <w:t>Ataskaitinės datos</w:t>
      </w:r>
    </w:p>
    <w:p w14:paraId="43609F52" w14:textId="77777777" w:rsidR="003B229B" w:rsidRDefault="00267699">
      <w:pPr>
        <w:pStyle w:val="NumPar1"/>
        <w:numPr>
          <w:ilvl w:val="0"/>
          <w:numId w:val="0"/>
        </w:numPr>
        <w:tabs>
          <w:tab w:val="left" w:pos="567"/>
        </w:tabs>
      </w:pPr>
      <w:r>
        <w:t>1.</w:t>
      </w:r>
      <w:r>
        <w:tab/>
        <w:t>Kaip Reglamento 54 straipsnio 1 dalyje nurodyta informacija teikiama informacija, kurios ataskaitinės datos yra šios:</w:t>
      </w:r>
    </w:p>
    <w:p w14:paraId="6CCCE26E" w14:textId="77777777" w:rsidR="003B229B" w:rsidRDefault="00267699">
      <w:pPr>
        <w:pStyle w:val="Point1letter"/>
        <w:numPr>
          <w:ilvl w:val="0"/>
          <w:numId w:val="0"/>
        </w:numPr>
        <w:ind w:left="567" w:hanging="567"/>
      </w:pPr>
      <w:r>
        <w:t>a)</w:t>
      </w:r>
      <w:r>
        <w:tab/>
        <w:t>ketvirčio informacija – kovo 31 d., birželio 30 d., rugsėjo 30 d. ir gruodžio 31 d.;</w:t>
      </w:r>
    </w:p>
    <w:p w14:paraId="0B178768" w14:textId="77777777" w:rsidR="003B229B" w:rsidRDefault="00267699">
      <w:pPr>
        <w:pStyle w:val="Point1letter"/>
        <w:numPr>
          <w:ilvl w:val="0"/>
          <w:numId w:val="0"/>
        </w:numPr>
        <w:ind w:left="567" w:hanging="567"/>
      </w:pPr>
      <w:r>
        <w:t>b)</w:t>
      </w:r>
      <w:r>
        <w:tab/>
        <w:t>metų informacija – gruodžio 31 d.</w:t>
      </w:r>
    </w:p>
    <w:p w14:paraId="20B2548F" w14:textId="77777777" w:rsidR="003B229B" w:rsidRDefault="00267699">
      <w:pPr>
        <w:pStyle w:val="NumPar1"/>
        <w:numPr>
          <w:ilvl w:val="0"/>
          <w:numId w:val="0"/>
        </w:numPr>
        <w:tabs>
          <w:tab w:val="left" w:pos="567"/>
        </w:tabs>
      </w:pPr>
      <w:r>
        <w:t>2.</w:t>
      </w:r>
      <w:r>
        <w:tab/>
        <w:t>Jeigu pagal nacionalinę teisę investicinėms įmonėms leidžiama finansinę informaciją teikti atsižvelgiant į jų finansinių metų, kurie nesutampa su kalendoriniais metais, pabaigą, 1 dalyje nurodytos ataskaitinės datos gali būti pakoreguotos, kad ketvirčio informacija būtų teikiama atitinkamai kas tris atitinkamų finansinių metų mėnesius, o metų informacija – finansinių metų pabaigoje.</w:t>
      </w:r>
    </w:p>
    <w:p w14:paraId="7462B921" w14:textId="77777777" w:rsidR="003B229B" w:rsidRDefault="00267699">
      <w:pPr>
        <w:pStyle w:val="Titrearticle"/>
      </w:pPr>
      <w:r>
        <w:t>2 straipsnis</w:t>
      </w:r>
    </w:p>
    <w:p w14:paraId="0A651643" w14:textId="77777777" w:rsidR="003B229B" w:rsidRDefault="00267699">
      <w:pPr>
        <w:pStyle w:val="Titrearticle"/>
        <w:spacing w:before="120"/>
        <w:rPr>
          <w:b/>
          <w:i w:val="0"/>
        </w:rPr>
      </w:pPr>
      <w:r>
        <w:rPr>
          <w:b/>
          <w:i w:val="0"/>
        </w:rPr>
        <w:t>Informacijos teikimo datos</w:t>
      </w:r>
    </w:p>
    <w:p w14:paraId="6313B1C6" w14:textId="77777777" w:rsidR="003B229B" w:rsidRDefault="00267699">
      <w:pPr>
        <w:pStyle w:val="NumPar1"/>
        <w:numPr>
          <w:ilvl w:val="0"/>
          <w:numId w:val="0"/>
        </w:numPr>
        <w:tabs>
          <w:tab w:val="left" w:pos="567"/>
        </w:tabs>
      </w:pPr>
      <w:r>
        <w:t>1.</w:t>
      </w:r>
      <w:r>
        <w:tab/>
        <w:t>Reglamento (ES) 2019/2033 54 straipsnio 1 dalyje nurodyta informacija teikiama iki darbo dienos pabaigos šiomis informacijos teikimo datomis:</w:t>
      </w:r>
    </w:p>
    <w:p w14:paraId="0597E3EE" w14:textId="77777777" w:rsidR="003B229B" w:rsidRDefault="00267699">
      <w:pPr>
        <w:pStyle w:val="Point1letter"/>
        <w:numPr>
          <w:ilvl w:val="0"/>
          <w:numId w:val="0"/>
        </w:numPr>
        <w:ind w:left="567" w:hanging="567"/>
      </w:pPr>
      <w:r>
        <w:t>a)</w:t>
      </w:r>
      <w:r>
        <w:tab/>
        <w:t>ketvirčio informacija – gegužės 12 d., rugpjūčio 11 d., lapkričio 11 d. ir vasario 11 d.;</w:t>
      </w:r>
    </w:p>
    <w:p w14:paraId="2F0FE3A0" w14:textId="77777777" w:rsidR="003B229B" w:rsidRDefault="00267699">
      <w:pPr>
        <w:pStyle w:val="Point1letter"/>
        <w:numPr>
          <w:ilvl w:val="0"/>
          <w:numId w:val="0"/>
        </w:numPr>
        <w:ind w:left="567" w:hanging="567"/>
      </w:pPr>
      <w:r>
        <w:t>b)</w:t>
      </w:r>
      <w:r>
        <w:tab/>
        <w:t>metų informacija – vasario 11 d.</w:t>
      </w:r>
    </w:p>
    <w:p w14:paraId="0F9C3384" w14:textId="77777777" w:rsidR="003B229B" w:rsidRDefault="00267699">
      <w:pPr>
        <w:pStyle w:val="NumPar1"/>
        <w:numPr>
          <w:ilvl w:val="0"/>
          <w:numId w:val="0"/>
        </w:numPr>
        <w:tabs>
          <w:tab w:val="left" w:pos="567"/>
        </w:tabs>
      </w:pPr>
      <w:r>
        <w:t>2.</w:t>
      </w:r>
      <w:r>
        <w:tab/>
        <w:t>Jeigu informacijos teikimo data yra švenčių diena kompetentingos institucijos, kuriai turi būti pateikta informacija, valstybėje narėje arba šeštadienis ar sekmadienis, informacijos teikimo data yra kita darbo diena.</w:t>
      </w:r>
    </w:p>
    <w:p w14:paraId="7670FFE1" w14:textId="77777777" w:rsidR="003B229B" w:rsidRDefault="00267699">
      <w:pPr>
        <w:pStyle w:val="NumPar1"/>
        <w:numPr>
          <w:ilvl w:val="0"/>
          <w:numId w:val="0"/>
        </w:numPr>
        <w:tabs>
          <w:tab w:val="left" w:pos="567"/>
        </w:tabs>
      </w:pPr>
      <w:r>
        <w:t>3.</w:t>
      </w:r>
      <w:r>
        <w:tab/>
        <w:t>Jeigu investicinės įmonės savo informaciją teikia pagal pakoreguotas ataskaitines datas, kurios pagrįstos jų finansinių metų pabaiga, kaip nustatyta šio reglamento 1 straipsnio 2 dalyje, informacijos teikimo datos taip pat gali būti atitinkamai pakoreguotos, kad būtų išlaikytas tas pats informacijos teikimo laikotarpis nuo pakoreguotos ataskaitinės datos.</w:t>
      </w:r>
    </w:p>
    <w:p w14:paraId="68154C07" w14:textId="77777777" w:rsidR="003B229B" w:rsidRDefault="00267699">
      <w:pPr>
        <w:pStyle w:val="NumPar1"/>
        <w:numPr>
          <w:ilvl w:val="0"/>
          <w:numId w:val="0"/>
        </w:numPr>
        <w:tabs>
          <w:tab w:val="left" w:pos="567"/>
        </w:tabs>
      </w:pPr>
      <w:r>
        <w:t>4.</w:t>
      </w:r>
      <w:r>
        <w:tab/>
        <w:t>Investicinės įmonės gali pateikti neaudituotus duomenis. Jeigu audituoti duomenys skiriasi nuo pateiktų neaudituotų duomenų, nepagrįstai nedelsiant pateikiami patikslinti audituoti duomenys. Šiame straipsnyje neaudituoti duomenys – duomenys, dėl kurių negauta išorės auditoriaus nuomonė, o audituoti duomenys – duomenys, kuriuos auditavo ir audito nuomonę pateikė išorės auditorius.</w:t>
      </w:r>
    </w:p>
    <w:p w14:paraId="14129AF6" w14:textId="77777777" w:rsidR="003B229B" w:rsidRDefault="00267699">
      <w:pPr>
        <w:pStyle w:val="NumPar1"/>
        <w:numPr>
          <w:ilvl w:val="0"/>
          <w:numId w:val="0"/>
        </w:numPr>
        <w:tabs>
          <w:tab w:val="left" w:pos="567"/>
        </w:tabs>
      </w:pPr>
      <w:r>
        <w:t>5.</w:t>
      </w:r>
      <w:r>
        <w:tab/>
        <w:t>Pateiktų ataskaitų pataisos kompetentingoms institucijoms pateikiamos nepagrįstai nedelsiant.</w:t>
      </w:r>
    </w:p>
    <w:p w14:paraId="28CF90DB" w14:textId="77777777" w:rsidR="003B229B" w:rsidRDefault="00267699">
      <w:pPr>
        <w:pStyle w:val="Titrearticle"/>
      </w:pPr>
      <w:r>
        <w:t>3 straipsnis</w:t>
      </w:r>
    </w:p>
    <w:p w14:paraId="3DF4F1F5" w14:textId="77777777" w:rsidR="003B229B" w:rsidRDefault="00267699">
      <w:pPr>
        <w:pStyle w:val="Titrearticle"/>
        <w:spacing w:before="120"/>
        <w:rPr>
          <w:b/>
          <w:i w:val="0"/>
        </w:rPr>
      </w:pPr>
      <w:r>
        <w:rPr>
          <w:b/>
          <w:i w:val="0"/>
        </w:rPr>
        <w:t>Individualus informacijos teikimo reikalavimų taikymas</w:t>
      </w:r>
    </w:p>
    <w:p w14:paraId="78F31A05" w14:textId="77777777" w:rsidR="003B229B" w:rsidRDefault="00267699">
      <w:r>
        <w:t>Siekdamos individualiai laikytis Reglamento (ES) 2019/2033 54 straipsnyje nustatytų informacijos teikimo reikalavimų, investicinės įmonės šio reglamento 5, 6 ir 7 straipsniuose nurodytą informaciją teikia juose nurodytu dažnumu.</w:t>
      </w:r>
    </w:p>
    <w:p w14:paraId="213A1FBD" w14:textId="77777777" w:rsidR="003B229B" w:rsidRDefault="00267699">
      <w:pPr>
        <w:pStyle w:val="Titrearticle"/>
      </w:pPr>
      <w:r>
        <w:lastRenderedPageBreak/>
        <w:t>4 straipsnis</w:t>
      </w:r>
    </w:p>
    <w:p w14:paraId="4DE05B1E" w14:textId="77777777" w:rsidR="003B229B" w:rsidRDefault="00267699">
      <w:pPr>
        <w:pStyle w:val="Titrearticle"/>
        <w:spacing w:before="120"/>
        <w:rPr>
          <w:b/>
          <w:i w:val="0"/>
        </w:rPr>
      </w:pPr>
      <w:r>
        <w:rPr>
          <w:b/>
          <w:i w:val="0"/>
        </w:rPr>
        <w:t>Konsoliduotas informacijos teikimo reikalavimų taikymas</w:t>
      </w:r>
    </w:p>
    <w:p w14:paraId="33147659" w14:textId="77777777" w:rsidR="003B229B" w:rsidRDefault="00267699">
      <w:pPr>
        <w:rPr>
          <w:i/>
        </w:rPr>
      </w:pPr>
      <w:r>
        <w:t>Siekdamos konsoliduotai laikytis Reglamento (ES) 2019/2033 54 straipsnyje nurodytų informacijos teikimo reikalavimų, investicinės įmonės šio įgyvendinimo reglamento 5 ir 6 straipsniuose nurodytą informaciją teikia juose nurodytu dažnumu.</w:t>
      </w:r>
    </w:p>
    <w:p w14:paraId="330D161D" w14:textId="77777777" w:rsidR="003B229B" w:rsidRDefault="00267699">
      <w:pPr>
        <w:pStyle w:val="Titrearticle"/>
      </w:pPr>
      <w:r>
        <w:t>5 straipsnis</w:t>
      </w:r>
    </w:p>
    <w:p w14:paraId="181631F3" w14:textId="77777777" w:rsidR="003B229B" w:rsidRDefault="00267699">
      <w:pPr>
        <w:pStyle w:val="Titrearticle"/>
        <w:spacing w:before="120"/>
        <w:rPr>
          <w:b/>
          <w:i w:val="0"/>
        </w:rPr>
      </w:pPr>
      <w:r>
        <w:rPr>
          <w:b/>
          <w:i w:val="0"/>
        </w:rPr>
        <w:t>Investicinių įmonių, kurios nėra mažos ir tarpusavio sąsajų neturinčios investicinės įmonės, informacijos teikimo formatas ir dažnumas</w:t>
      </w:r>
    </w:p>
    <w:p w14:paraId="268701D5" w14:textId="77777777" w:rsidR="003B229B" w:rsidRDefault="00267699">
      <w:pPr>
        <w:pStyle w:val="NumPar1"/>
        <w:numPr>
          <w:ilvl w:val="0"/>
          <w:numId w:val="0"/>
        </w:numPr>
        <w:tabs>
          <w:tab w:val="left" w:pos="567"/>
        </w:tabs>
      </w:pPr>
      <w:r>
        <w:t>1.</w:t>
      </w:r>
      <w:r>
        <w:tab/>
        <w:t>Investicinės įmonės, kurios nėra mažos ir tarpusavio sąsajų neturinčios investicinės įmonės, informaciją, kurios reikalaujama pagal Reglamento (ES) 2019/2033 54 straipsnio 1 ir 2 dalis, kas ketvirtį teikia naudodamos šio reglamento I priede nustatytas formas pagal šio reglamento II priede pateiktus nurodymus.</w:t>
      </w:r>
    </w:p>
    <w:p w14:paraId="245E17F4" w14:textId="77777777" w:rsidR="003B229B" w:rsidRDefault="00267699">
      <w:pPr>
        <w:pStyle w:val="NumPar1"/>
        <w:numPr>
          <w:ilvl w:val="0"/>
          <w:numId w:val="0"/>
        </w:numPr>
        <w:tabs>
          <w:tab w:val="left" w:pos="567"/>
        </w:tabs>
        <w:rPr>
          <w:szCs w:val="24"/>
        </w:rPr>
      </w:pPr>
      <w:r>
        <w:rPr>
          <w:szCs w:val="24"/>
        </w:rPr>
        <w:t>2.</w:t>
      </w:r>
      <w:r>
        <w:rPr>
          <w:szCs w:val="24"/>
        </w:rPr>
        <w:tab/>
      </w:r>
      <w:r>
        <w:t>Investicinės įmonės, kurios nėra mažos ir tarpusavio sąsajų neturinčios investicinės įmonės ir kurios RtM K veiksnių reikalavimą nustato remdamosi K-NPR pagal Reglamento (ES) 2019/2033 21 straipsnio 1 dalį, Komisijos įgyvendinimo reglamento (ES) 2021/451</w:t>
      </w:r>
      <w:r w:rsidR="00EF4A30">
        <w:rPr>
          <w:rStyle w:val="FootnoteReference"/>
        </w:rPr>
        <w:footnoteReference w:id="3"/>
      </w:r>
      <w:r>
        <w:t xml:space="preserve"> I</w:t>
      </w:r>
      <w:r w:rsidR="00EF4A30">
        <w:t> </w:t>
      </w:r>
      <w:r>
        <w:t>priedo C 18.00–C 24.00 formose nurodytą informaciją kas ketvirtį teikia pagal to įgyvendinimo reglamento II priedo 2 dalyje pateiktus nurodymus.</w:t>
      </w:r>
    </w:p>
    <w:p w14:paraId="48C9C1BC" w14:textId="77777777" w:rsidR="003B229B" w:rsidRDefault="00267699">
      <w:pPr>
        <w:pStyle w:val="NumPar1"/>
        <w:numPr>
          <w:ilvl w:val="0"/>
          <w:numId w:val="0"/>
        </w:numPr>
        <w:tabs>
          <w:tab w:val="left" w:pos="567"/>
        </w:tabs>
        <w:rPr>
          <w:szCs w:val="24"/>
        </w:rPr>
      </w:pPr>
      <w:r>
        <w:rPr>
          <w:szCs w:val="24"/>
        </w:rPr>
        <w:t>3.</w:t>
      </w:r>
      <w:r>
        <w:rPr>
          <w:szCs w:val="24"/>
        </w:rPr>
        <w:tab/>
      </w:r>
      <w:r>
        <w:t xml:space="preserve">Investicinės įmonės, kurios nėra mažos ir tarpusavio sąsajų neturinčios investicinės įmonės ir kurios naudojasi Reglamento (ES) 2019/2033 25 straipsnio 4 dalyje nustatyta nukrypti leidžiančia nuostata, </w:t>
      </w:r>
      <w:r w:rsidR="00EF4A30">
        <w:t>Į</w:t>
      </w:r>
      <w:r>
        <w:t>gyvendinimo reglamento (ES) 2021/451 I priedo C 34.02 formoje nurodytą informaciją kas ketvirtį teikia pagal to įgyvendinimo reglamento II priedo 2 dalyje pateiktus nurodymus.</w:t>
      </w:r>
    </w:p>
    <w:p w14:paraId="7F1A17D1" w14:textId="77777777" w:rsidR="003B229B" w:rsidRDefault="00267699">
      <w:pPr>
        <w:pStyle w:val="NumPar1"/>
        <w:numPr>
          <w:ilvl w:val="0"/>
          <w:numId w:val="0"/>
        </w:numPr>
        <w:tabs>
          <w:tab w:val="left" w:pos="567"/>
        </w:tabs>
        <w:rPr>
          <w:szCs w:val="24"/>
        </w:rPr>
      </w:pPr>
      <w:r>
        <w:rPr>
          <w:szCs w:val="24"/>
        </w:rPr>
        <w:t>4.</w:t>
      </w:r>
      <w:r>
        <w:rPr>
          <w:szCs w:val="24"/>
        </w:rPr>
        <w:tab/>
      </w:r>
      <w:r>
        <w:t>Investicinės įmonės, kurios nėra mažos ir tarpusavio sąsajų neturinčios investicinės įmonės ir kurios naudojasi Reglamento (ES) 2019/2033 25 straipsnio 5 dalies antroje pastraipoje nustatyta nukrypti leidžiančia nuostata, Įgyvendinimo reglamento (ES) 2021/451 I priedo C 25.00 formoje nurodytą informaciją kas ketvirtį teikia pagal to įgyvendinimo reglamento II priedo 2 dalyje pateiktus nurodymus.</w:t>
      </w:r>
    </w:p>
    <w:p w14:paraId="2710BAEB" w14:textId="77777777" w:rsidR="003B229B" w:rsidRDefault="00267699">
      <w:pPr>
        <w:pStyle w:val="Titrearticle"/>
      </w:pPr>
      <w:r>
        <w:t>6 straipsnis</w:t>
      </w:r>
    </w:p>
    <w:p w14:paraId="47DF84F0" w14:textId="77777777" w:rsidR="003B229B" w:rsidRDefault="00267699">
      <w:pPr>
        <w:pStyle w:val="Titrearticle"/>
        <w:spacing w:before="120"/>
        <w:rPr>
          <w:b/>
          <w:i w:val="0"/>
        </w:rPr>
      </w:pPr>
      <w:r>
        <w:rPr>
          <w:b/>
          <w:i w:val="0"/>
        </w:rPr>
        <w:t>Mažų ir tarpusavio sąsajų neturinčių investicinių įmonių informacijos teikimo formatas ir dažnumas</w:t>
      </w:r>
    </w:p>
    <w:p w14:paraId="64FBD489" w14:textId="77777777" w:rsidR="003B229B" w:rsidRDefault="00267699">
      <w:pPr>
        <w:pStyle w:val="NumPar1"/>
        <w:numPr>
          <w:ilvl w:val="0"/>
          <w:numId w:val="0"/>
        </w:numPr>
        <w:tabs>
          <w:tab w:val="left" w:pos="567"/>
        </w:tabs>
      </w:pPr>
      <w:r>
        <w:t>1.</w:t>
      </w:r>
      <w:r>
        <w:tab/>
        <w:t>Mažos ir tarpusavio sąsajų neturinčios investicinės įmonės šio reglamento III priedo formose nurodytą informaciją kasmet teikia pagal šio reglamento IV priedo nurodymus. Investicinėms įmonėms, kurios naudojasi Reglamento (ES) 2019/2033 43 straipsnio 1 dalies antroje pastraipoje nurodyta išimtimi, pareiga pateikti šio reglamento III priedo IF 09.01 formoje nurodytą informaciją nėra taikoma.</w:t>
      </w:r>
    </w:p>
    <w:p w14:paraId="2C157472" w14:textId="77777777" w:rsidR="003B229B" w:rsidRDefault="00267699">
      <w:pPr>
        <w:pStyle w:val="Titrearticle"/>
      </w:pPr>
      <w:r>
        <w:lastRenderedPageBreak/>
        <w:t>7 straipsnis</w:t>
      </w:r>
    </w:p>
    <w:p w14:paraId="4E2109BD" w14:textId="77777777" w:rsidR="003B229B" w:rsidRDefault="00267699">
      <w:pPr>
        <w:pStyle w:val="Titrearticle"/>
        <w:spacing w:before="120"/>
        <w:rPr>
          <w:b/>
          <w:i w:val="0"/>
        </w:rPr>
      </w:pPr>
      <w:r>
        <w:rPr>
          <w:b/>
          <w:i w:val="0"/>
        </w:rPr>
        <w:t>Subjektų, kuriems taikomas Reglamento (ES) 2019/2033 8 straipsnis, informacijos teikimo formatas ir dažnumas</w:t>
      </w:r>
    </w:p>
    <w:p w14:paraId="647F66B5" w14:textId="77777777" w:rsidR="003B229B" w:rsidRDefault="00267699">
      <w:pPr>
        <w:rPr>
          <w:rFonts w:eastAsia="Times New Roman"/>
          <w:szCs w:val="24"/>
        </w:rPr>
      </w:pPr>
      <w:r>
        <w:t>Nukrypstant nuo šio reglamento 4 straipsnio, Reglamento (ES) 2019/2033 8 straipsnio 3 dalyje nurodyti subjektai, kuriems taikomas tas straipsnis, kas ketvirtį teikia šio reglamento VIII priedo formose nurodytą informaciją pagal šio reglamento IX priede pateiktus nurodymus.</w:t>
      </w:r>
    </w:p>
    <w:p w14:paraId="06941FCC" w14:textId="77777777" w:rsidR="003B229B" w:rsidRDefault="00267699">
      <w:pPr>
        <w:pStyle w:val="Titrearticle"/>
      </w:pPr>
      <w:r>
        <w:t>8 straipsnis</w:t>
      </w:r>
    </w:p>
    <w:p w14:paraId="7B949A1D" w14:textId="77777777" w:rsidR="003B229B" w:rsidRDefault="00267699">
      <w:pPr>
        <w:pStyle w:val="Titrearticle"/>
        <w:spacing w:before="120"/>
        <w:rPr>
          <w:b/>
          <w:i w:val="0"/>
        </w:rPr>
      </w:pPr>
      <w:r>
        <w:rPr>
          <w:b/>
          <w:i w:val="0"/>
        </w:rPr>
        <w:t>Duomenų tikslumas ir informacija, susijusi su teikiama informacija</w:t>
      </w:r>
    </w:p>
    <w:p w14:paraId="0EE955E8" w14:textId="77777777" w:rsidR="003B229B" w:rsidRDefault="00267699">
      <w:pPr>
        <w:pStyle w:val="NumPar1"/>
        <w:numPr>
          <w:ilvl w:val="0"/>
          <w:numId w:val="0"/>
        </w:numPr>
        <w:tabs>
          <w:tab w:val="left" w:pos="567"/>
        </w:tabs>
      </w:pPr>
      <w:r>
        <w:t>1.</w:t>
      </w:r>
      <w:r>
        <w:tab/>
        <w:t>Investicinės įmonės šiame reglamente nurodytą informaciją pateikia kompetentingų institucijų nustatytais keitimosi duomenimis formatais ir jų nustatytais informacijos pateikimo būdais, laikydamosi V priede nurodyto duomenų vienetų modelio duomenų vienetų apibrėžties ir patvirtinimo formulių, taip pat atsižvelgdamos į šiuos nurodymus:</w:t>
      </w:r>
    </w:p>
    <w:p w14:paraId="28915310" w14:textId="77777777" w:rsidR="003B229B" w:rsidRDefault="00267699">
      <w:pPr>
        <w:pStyle w:val="Point1letter"/>
        <w:numPr>
          <w:ilvl w:val="0"/>
          <w:numId w:val="0"/>
        </w:numPr>
        <w:ind w:left="567" w:hanging="567"/>
      </w:pPr>
      <w:r>
        <w:t>a)</w:t>
      </w:r>
      <w:r>
        <w:tab/>
        <w:t>nereikalaujama arba netaikoma informacija į pateikiamus duomenis nėra įtraukiama;</w:t>
      </w:r>
    </w:p>
    <w:p w14:paraId="6A2C65FA" w14:textId="77777777" w:rsidR="003B229B" w:rsidRDefault="00267699">
      <w:pPr>
        <w:pStyle w:val="Point1letter"/>
        <w:numPr>
          <w:ilvl w:val="0"/>
          <w:numId w:val="0"/>
        </w:numPr>
        <w:ind w:left="567" w:hanging="567"/>
      </w:pPr>
      <w:r>
        <w:t>b)</w:t>
      </w:r>
      <w:r>
        <w:tab/>
        <w:t>skaitinės reikšmės kaip faktai pateikiamos tokia tvarka:</w:t>
      </w:r>
    </w:p>
    <w:p w14:paraId="44510781" w14:textId="77777777" w:rsidR="003B229B" w:rsidRDefault="00267699">
      <w:pPr>
        <w:pStyle w:val="Point2"/>
        <w:ind w:left="1134"/>
      </w:pPr>
      <w:r>
        <w:t>i)</w:t>
      </w:r>
      <w:r>
        <w:tab/>
        <w:t>duomenų vienetai, kurių duomenų rūšis yra „piniginė vertė“, nurodomi mažiausiai tūkstančių vienetų tikslumu;</w:t>
      </w:r>
    </w:p>
    <w:p w14:paraId="7399B7FA" w14:textId="77777777" w:rsidR="003B229B" w:rsidRDefault="00267699">
      <w:pPr>
        <w:pStyle w:val="Point2"/>
        <w:ind w:left="1134"/>
      </w:pPr>
      <w:r>
        <w:t>ii)</w:t>
      </w:r>
      <w:r>
        <w:tab/>
        <w:t>duomenų vienetai, kurių duomenų rūšis yra „procentinė dalis“, nurodomi vienetais mažiausiai dešimttūkstantųjų tikslumu;</w:t>
      </w:r>
    </w:p>
    <w:p w14:paraId="6B33E309" w14:textId="77777777" w:rsidR="003B229B" w:rsidRDefault="00267699">
      <w:pPr>
        <w:pStyle w:val="Point2"/>
        <w:ind w:left="1134"/>
      </w:pPr>
      <w:r>
        <w:t>iii)</w:t>
      </w:r>
      <w:r>
        <w:tab/>
        <w:t>duomenų vienetai, kurių duomenų rūšis yra „sveikasis skaičius“, nurodomi nenaudojant dešimtainių skaičių, vienetų tikslumu.</w:t>
      </w:r>
    </w:p>
    <w:p w14:paraId="4099BBCB" w14:textId="77777777" w:rsidR="003B229B" w:rsidRDefault="00267699">
      <w:pPr>
        <w:pStyle w:val="NumPar1"/>
        <w:numPr>
          <w:ilvl w:val="0"/>
          <w:numId w:val="0"/>
        </w:numPr>
        <w:tabs>
          <w:tab w:val="left" w:pos="567"/>
        </w:tabs>
      </w:pPr>
      <w:r>
        <w:t>2.</w:t>
      </w:r>
      <w:r>
        <w:tab/>
        <w:t>Investicinės įmonės identifikuojamos pagal jų juridinio asmens identifikatorių (LEI). Kiti nei investicinės įmonės juridiniai asmenys ir sandorio šalys identifikuojami pagal jų LEI, jei toks yra.</w:t>
      </w:r>
    </w:p>
    <w:p w14:paraId="64C62765" w14:textId="77777777" w:rsidR="003B229B" w:rsidRDefault="00267699">
      <w:pPr>
        <w:pStyle w:val="NumPar1"/>
        <w:numPr>
          <w:ilvl w:val="0"/>
          <w:numId w:val="0"/>
        </w:numPr>
        <w:tabs>
          <w:tab w:val="left" w:pos="567"/>
        </w:tabs>
      </w:pPr>
      <w:r>
        <w:t>3.</w:t>
      </w:r>
      <w:r>
        <w:tab/>
        <w:t>Prie investicinių įmonių remiantis šiuo reglamentu teikiamos informacijos pridedama ši informacija:</w:t>
      </w:r>
    </w:p>
    <w:p w14:paraId="20E246ED" w14:textId="77777777" w:rsidR="003B229B" w:rsidRDefault="00267699">
      <w:pPr>
        <w:pStyle w:val="Point1letter"/>
        <w:numPr>
          <w:ilvl w:val="0"/>
          <w:numId w:val="0"/>
        </w:numPr>
        <w:ind w:left="567" w:hanging="567"/>
      </w:pPr>
      <w:r>
        <w:t>a)</w:t>
      </w:r>
      <w:r>
        <w:tab/>
        <w:t>ataskaitinė data ir ataskaitinis laikotarpis;</w:t>
      </w:r>
    </w:p>
    <w:p w14:paraId="23C7C7E5" w14:textId="77777777" w:rsidR="003B229B" w:rsidRDefault="00267699">
      <w:pPr>
        <w:pStyle w:val="Point1letter"/>
        <w:numPr>
          <w:ilvl w:val="0"/>
          <w:numId w:val="0"/>
        </w:numPr>
        <w:ind w:left="567" w:hanging="567"/>
      </w:pPr>
      <w:r>
        <w:t>b)</w:t>
      </w:r>
      <w:r>
        <w:tab/>
        <w:t>ataskaitose nurodoma valiuta;</w:t>
      </w:r>
    </w:p>
    <w:p w14:paraId="424C4ED8" w14:textId="77777777" w:rsidR="003B229B" w:rsidRDefault="00267699">
      <w:pPr>
        <w:pStyle w:val="Point1letter"/>
        <w:numPr>
          <w:ilvl w:val="0"/>
          <w:numId w:val="0"/>
        </w:numPr>
        <w:ind w:left="567" w:hanging="567"/>
      </w:pPr>
      <w:r>
        <w:t>c)</w:t>
      </w:r>
      <w:r>
        <w:tab/>
        <w:t>apskaitos standartas;</w:t>
      </w:r>
    </w:p>
    <w:p w14:paraId="04798638" w14:textId="77777777" w:rsidR="003B229B" w:rsidRDefault="00267699">
      <w:pPr>
        <w:pStyle w:val="Point1letter"/>
        <w:numPr>
          <w:ilvl w:val="0"/>
          <w:numId w:val="0"/>
        </w:numPr>
        <w:ind w:left="567" w:hanging="567"/>
      </w:pPr>
      <w:r>
        <w:t>d)</w:t>
      </w:r>
      <w:r>
        <w:tab/>
        <w:t>informaciją teikiančios įstaigos juridinio asmens identifikatorius (LEI);</w:t>
      </w:r>
    </w:p>
    <w:p w14:paraId="451ECC57" w14:textId="77777777" w:rsidR="003B229B" w:rsidRDefault="00267699">
      <w:pPr>
        <w:pStyle w:val="Point1letter"/>
        <w:numPr>
          <w:ilvl w:val="0"/>
          <w:numId w:val="0"/>
        </w:numPr>
        <w:ind w:left="567" w:hanging="567"/>
      </w:pPr>
      <w:r>
        <w:t>e)</w:t>
      </w:r>
      <w:r>
        <w:tab/>
        <w:t>konsolidavimo apimtis.</w:t>
      </w:r>
    </w:p>
    <w:p w14:paraId="4991EFB6" w14:textId="77777777" w:rsidR="003B229B" w:rsidRPr="00EF4A30" w:rsidRDefault="00267699">
      <w:pPr>
        <w:pStyle w:val="ChapterTitle"/>
        <w:rPr>
          <w:b w:val="0"/>
        </w:rPr>
      </w:pPr>
      <w:r w:rsidRPr="00EF4A30">
        <w:rPr>
          <w:b w:val="0"/>
        </w:rPr>
        <w:t>II SKYRIUS</w:t>
      </w:r>
    </w:p>
    <w:p w14:paraId="7EA5E53E" w14:textId="77777777" w:rsidR="003B229B" w:rsidRDefault="00267699">
      <w:pPr>
        <w:pStyle w:val="ChapterTitle"/>
      </w:pPr>
      <w:r>
        <w:t>VIEŠAS INVESTICINIŲ ĮMONIŲ INFORMACIJOS ATSKLEIDIMAS</w:t>
      </w:r>
    </w:p>
    <w:p w14:paraId="3D586A58" w14:textId="77777777" w:rsidR="003B229B" w:rsidRDefault="00267699">
      <w:pPr>
        <w:pStyle w:val="Titrearticle"/>
      </w:pPr>
      <w:r>
        <w:t>9 straipsnis</w:t>
      </w:r>
    </w:p>
    <w:p w14:paraId="03F47E53" w14:textId="77777777" w:rsidR="003B229B" w:rsidRDefault="00267699">
      <w:pPr>
        <w:pStyle w:val="Titrearticle"/>
        <w:spacing w:before="120"/>
        <w:rPr>
          <w:b/>
          <w:i w:val="0"/>
        </w:rPr>
      </w:pPr>
      <w:r>
        <w:rPr>
          <w:b/>
          <w:i w:val="0"/>
        </w:rPr>
        <w:t>Informacijos atskleidimo principai</w:t>
      </w:r>
    </w:p>
    <w:p w14:paraId="559EED26" w14:textId="77777777" w:rsidR="003B229B" w:rsidRDefault="00267699">
      <w:pPr>
        <w:pStyle w:val="NumPar1"/>
        <w:numPr>
          <w:ilvl w:val="0"/>
          <w:numId w:val="0"/>
        </w:numPr>
      </w:pPr>
      <w:r>
        <w:t>1.</w:t>
      </w:r>
      <w:r>
        <w:tab/>
        <w:t>Informacijai, kuri turi būti atskleista pagal šį reglamentą, taikomi šie principai:</w:t>
      </w:r>
    </w:p>
    <w:p w14:paraId="4CFCB115" w14:textId="77777777" w:rsidR="003B229B" w:rsidRDefault="00267699">
      <w:pPr>
        <w:pStyle w:val="Point1letter"/>
        <w:numPr>
          <w:ilvl w:val="0"/>
          <w:numId w:val="0"/>
        </w:numPr>
        <w:ind w:left="567" w:hanging="567"/>
      </w:pPr>
      <w:r>
        <w:lastRenderedPageBreak/>
        <w:t>a)</w:t>
      </w:r>
      <w:r>
        <w:tab/>
        <w:t>atskleidžiamai informacijai taikomas tokio paties lygio vidaus patikrinimas, koks taikomas į investicinės įmonės finansinę ataskaitą įtrauktam vadovybės pranešimui;</w:t>
      </w:r>
    </w:p>
    <w:p w14:paraId="15224A26" w14:textId="77777777" w:rsidR="003B229B" w:rsidRDefault="00267699">
      <w:pPr>
        <w:pStyle w:val="Point1letter"/>
        <w:numPr>
          <w:ilvl w:val="0"/>
          <w:numId w:val="0"/>
        </w:numPr>
        <w:ind w:left="567" w:hanging="567"/>
      </w:pPr>
      <w:r>
        <w:t>b)</w:t>
      </w:r>
      <w:r>
        <w:tab/>
        <w:t>atskleidžiama informacija yra aiški ir pateikiama informacijos naudotojams suprantama forma ir prieinamomis priemonėmis. Svarbios pastabos paryškinamos ir lengvai randamos. Sudėtingi klausimai paaiškinami paprasta kalba. Susijusi informacija pateikiama kartu;</w:t>
      </w:r>
    </w:p>
    <w:p w14:paraId="5F834D46" w14:textId="77777777" w:rsidR="003B229B" w:rsidRDefault="00267699">
      <w:pPr>
        <w:pStyle w:val="Point1letter"/>
        <w:numPr>
          <w:ilvl w:val="0"/>
          <w:numId w:val="0"/>
        </w:numPr>
        <w:ind w:left="567" w:hanging="567"/>
      </w:pPr>
      <w:r>
        <w:t>c)</w:t>
      </w:r>
      <w:r>
        <w:tab/>
        <w:t>atskleidžiama informacija yra prasminga ir nuosekli visą laiką, kad informacijos naudotojai galėtų palyginti atskleistą skirtingų laikotarpių informaciją;</w:t>
      </w:r>
    </w:p>
    <w:p w14:paraId="4B385C7B" w14:textId="77777777" w:rsidR="003B229B" w:rsidRDefault="00267699">
      <w:pPr>
        <w:pStyle w:val="Point1letter"/>
        <w:numPr>
          <w:ilvl w:val="0"/>
          <w:numId w:val="0"/>
        </w:numPr>
        <w:ind w:left="567" w:hanging="567"/>
      </w:pPr>
      <w:r>
        <w:t>d)</w:t>
      </w:r>
      <w:r>
        <w:tab/>
        <w:t>atskleidžiama kiekybinė informacija papildoma kokybiniais paaiškinimais ir kita papildoma informacija, kuri gali būti reikalinga, kad šios informacijos naudotojai ją suprastų, ir visų pirma atkreipiamas dėmesys į bet kokius reikšmingus atskleidžiamos informacijos pokyčius, palyginti su anksčiau atskleista informacija.</w:t>
      </w:r>
    </w:p>
    <w:p w14:paraId="4C40C3A8" w14:textId="77777777" w:rsidR="003B229B" w:rsidRDefault="00267699">
      <w:pPr>
        <w:pStyle w:val="Titrearticle"/>
      </w:pPr>
      <w:r>
        <w:t>10 straipsnis</w:t>
      </w:r>
    </w:p>
    <w:p w14:paraId="6B9EF03A" w14:textId="77777777" w:rsidR="003B229B" w:rsidRDefault="00267699">
      <w:pPr>
        <w:pStyle w:val="Titrearticle"/>
        <w:spacing w:before="120"/>
        <w:rPr>
          <w:b/>
          <w:i w:val="0"/>
        </w:rPr>
      </w:pPr>
      <w:r>
        <w:rPr>
          <w:b/>
          <w:i w:val="0"/>
        </w:rPr>
        <w:t>Informacijos apie investicinių įmonių nuosavas lėšas atskleidimas</w:t>
      </w:r>
    </w:p>
    <w:p w14:paraId="4B72C600" w14:textId="77777777" w:rsidR="003B229B" w:rsidRDefault="00267699">
      <w:r>
        <w:t>Investicinės įmonės informaciją apie nuosavas lėšas, kurios reikalaujama pagal Reglamento (ES) 2019/2033 49 straipsnio 1 dalį, atskleidžia naudodamos šio reglamento VI priede pateiktas formas pagal atitinkamus šio reglamento VII priede pateiktus nurodymus.</w:t>
      </w:r>
    </w:p>
    <w:p w14:paraId="0D22BB41" w14:textId="77777777" w:rsidR="003B229B" w:rsidRDefault="00267699">
      <w:pPr>
        <w:pStyle w:val="Titrearticle"/>
      </w:pPr>
      <w:r>
        <w:t>11 straipsnis</w:t>
      </w:r>
    </w:p>
    <w:p w14:paraId="08766A82" w14:textId="77777777" w:rsidR="003B229B" w:rsidRDefault="00267699">
      <w:pPr>
        <w:pStyle w:val="Titrearticle"/>
        <w:spacing w:before="120"/>
        <w:rPr>
          <w:b/>
          <w:i w:val="0"/>
        </w:rPr>
      </w:pPr>
      <w:r>
        <w:rPr>
          <w:b/>
          <w:i w:val="0"/>
        </w:rPr>
        <w:t>Bendrosios nuostatos dėl informacijos atskleidimo</w:t>
      </w:r>
    </w:p>
    <w:p w14:paraId="41E0B20D" w14:textId="77777777" w:rsidR="003B229B" w:rsidRDefault="00267699">
      <w:pPr>
        <w:pStyle w:val="NumPar1"/>
        <w:numPr>
          <w:ilvl w:val="0"/>
          <w:numId w:val="0"/>
        </w:numPr>
        <w:tabs>
          <w:tab w:val="left" w:pos="567"/>
        </w:tabs>
      </w:pPr>
      <w:r>
        <w:t>1.</w:t>
      </w:r>
      <w:r>
        <w:tab/>
        <w:t>Atskleisdamos šio reglamento 10 straipsnyje nurodytą informaciją investicinės įmonės užtikrina, kad skaitinės reikšmės būtų pateiktos kaip faktai pagal šiuos reikalavimus:</w:t>
      </w:r>
    </w:p>
    <w:p w14:paraId="641B78BC" w14:textId="77777777" w:rsidR="003B229B" w:rsidRDefault="00267699">
      <w:pPr>
        <w:pStyle w:val="Point1letter"/>
        <w:numPr>
          <w:ilvl w:val="0"/>
          <w:numId w:val="0"/>
        </w:numPr>
        <w:ind w:left="567" w:hanging="567"/>
      </w:pPr>
      <w:r>
        <w:t>a)</w:t>
      </w:r>
      <w:r>
        <w:tab/>
        <w:t>kiekybiniai pinigų duomenys nurodomi mažiausiai tūkstančių vienetų tikslumu;</w:t>
      </w:r>
    </w:p>
    <w:p w14:paraId="0CF3A03D" w14:textId="77777777" w:rsidR="003B229B" w:rsidRDefault="00267699">
      <w:pPr>
        <w:pStyle w:val="Point1letter"/>
        <w:numPr>
          <w:ilvl w:val="0"/>
          <w:numId w:val="0"/>
        </w:numPr>
        <w:ind w:left="567" w:hanging="567"/>
      </w:pPr>
      <w:r>
        <w:t>b)</w:t>
      </w:r>
      <w:r>
        <w:tab/>
        <w:t>kiekybiniai duomenys, atskleidžiami kaip procentinė dalis, nurodomi vienetais mažiausiai dešimttūkstantųjų tikslumu.</w:t>
      </w:r>
    </w:p>
    <w:p w14:paraId="7956F2C3" w14:textId="77777777" w:rsidR="003B229B" w:rsidRDefault="00267699">
      <w:pPr>
        <w:pStyle w:val="NumPar1"/>
        <w:numPr>
          <w:ilvl w:val="0"/>
          <w:numId w:val="0"/>
        </w:numPr>
        <w:tabs>
          <w:tab w:val="left" w:pos="567"/>
        </w:tabs>
      </w:pPr>
      <w:r>
        <w:t>2.</w:t>
      </w:r>
      <w:r>
        <w:tab/>
        <w:t>Atskleisdamos šio reglamento 10 straipsnyje nurodytą informaciją investicinės įmonės užtikrina, kad duomenys būtų susieti su visa šia informacija:</w:t>
      </w:r>
    </w:p>
    <w:p w14:paraId="17AC224C" w14:textId="77777777" w:rsidR="003B229B" w:rsidRDefault="00267699">
      <w:pPr>
        <w:pStyle w:val="Point1letter"/>
        <w:numPr>
          <w:ilvl w:val="0"/>
          <w:numId w:val="0"/>
        </w:numPr>
        <w:ind w:left="567" w:hanging="567"/>
      </w:pPr>
      <w:r>
        <w:t>a)</w:t>
      </w:r>
      <w:r>
        <w:tab/>
        <w:t>ataskaitine data ir ataskaitiniu laikotarpiu;</w:t>
      </w:r>
    </w:p>
    <w:p w14:paraId="41AC7009" w14:textId="77777777" w:rsidR="003B229B" w:rsidRDefault="00267699">
      <w:pPr>
        <w:pStyle w:val="Point1letter"/>
        <w:numPr>
          <w:ilvl w:val="0"/>
          <w:numId w:val="0"/>
        </w:numPr>
        <w:ind w:left="567" w:hanging="567"/>
      </w:pPr>
      <w:r>
        <w:t>b)</w:t>
      </w:r>
      <w:r>
        <w:tab/>
        <w:t>atskleidžiamų sumų valiuta;</w:t>
      </w:r>
    </w:p>
    <w:p w14:paraId="0F52EC7A" w14:textId="77777777" w:rsidR="003B229B" w:rsidRDefault="00267699">
      <w:pPr>
        <w:pStyle w:val="Point1letter"/>
        <w:numPr>
          <w:ilvl w:val="0"/>
          <w:numId w:val="0"/>
        </w:numPr>
        <w:ind w:left="567" w:hanging="567"/>
      </w:pPr>
      <w:r>
        <w:t>c)</w:t>
      </w:r>
      <w:r>
        <w:tab/>
        <w:t>informaciją atskleidžiančios įstaigos pavadinimu ir, jei yra, juridinio asmens identifikatoriumi (LEI);</w:t>
      </w:r>
    </w:p>
    <w:p w14:paraId="7B46CAAD" w14:textId="77777777" w:rsidR="003B229B" w:rsidRDefault="00267699">
      <w:pPr>
        <w:pStyle w:val="Point1letter"/>
        <w:numPr>
          <w:ilvl w:val="0"/>
          <w:numId w:val="0"/>
        </w:numPr>
        <w:ind w:left="567" w:hanging="567"/>
      </w:pPr>
      <w:r>
        <w:t>d)</w:t>
      </w:r>
      <w:r>
        <w:tab/>
        <w:t>jei taikytina, apskaitos standartu;</w:t>
      </w:r>
    </w:p>
    <w:p w14:paraId="65DA3E30" w14:textId="77777777" w:rsidR="003B229B" w:rsidRDefault="00267699">
      <w:pPr>
        <w:pStyle w:val="Point1letter"/>
        <w:numPr>
          <w:ilvl w:val="0"/>
          <w:numId w:val="0"/>
        </w:numPr>
        <w:ind w:left="567" w:hanging="567"/>
      </w:pPr>
      <w:r>
        <w:t>e)</w:t>
      </w:r>
      <w:r>
        <w:tab/>
        <w:t>jei taikytina, konsolidavimo apimtimi.</w:t>
      </w:r>
    </w:p>
    <w:p w14:paraId="0090B4A6" w14:textId="77777777" w:rsidR="003B229B" w:rsidRPr="00EF4A30" w:rsidRDefault="00267699">
      <w:pPr>
        <w:pStyle w:val="ChapterTitle"/>
        <w:rPr>
          <w:b w:val="0"/>
        </w:rPr>
      </w:pPr>
      <w:r w:rsidRPr="00EF4A30">
        <w:rPr>
          <w:b w:val="0"/>
        </w:rPr>
        <w:t>III SKYRIUS</w:t>
      </w:r>
    </w:p>
    <w:p w14:paraId="4A6EE56C" w14:textId="77777777" w:rsidR="003B229B" w:rsidRDefault="00267699">
      <w:pPr>
        <w:pStyle w:val="ChapterTitle"/>
      </w:pPr>
      <w:r>
        <w:t>BAIGIAMOSIOS NUOSTATOS</w:t>
      </w:r>
    </w:p>
    <w:p w14:paraId="1B644504" w14:textId="77777777" w:rsidR="003B229B" w:rsidRDefault="00267699">
      <w:pPr>
        <w:pStyle w:val="Titrearticle"/>
        <w:spacing w:before="120"/>
      </w:pPr>
      <w:r>
        <w:t>12 straipsnis</w:t>
      </w:r>
    </w:p>
    <w:p w14:paraId="70B87527" w14:textId="77777777" w:rsidR="003B229B" w:rsidRDefault="00267699">
      <w:pPr>
        <w:pStyle w:val="Titrearticle"/>
        <w:spacing w:before="120"/>
        <w:rPr>
          <w:b/>
          <w:i w:val="0"/>
        </w:rPr>
      </w:pPr>
      <w:r>
        <w:rPr>
          <w:b/>
          <w:i w:val="0"/>
        </w:rPr>
        <w:t>Įsigaliojimas ir taikymas</w:t>
      </w:r>
    </w:p>
    <w:p w14:paraId="6F735D0A" w14:textId="77777777" w:rsidR="003B229B" w:rsidRDefault="00267699">
      <w:r>
        <w:t xml:space="preserve">Šis reglamentas įsigalioja dvidešimtą dieną po jo paskelbimo </w:t>
      </w:r>
      <w:r>
        <w:rPr>
          <w:i/>
        </w:rPr>
        <w:t>Europos Sąjungos oficialiajame leidinyje</w:t>
      </w:r>
      <w:r>
        <w:t>.</w:t>
      </w:r>
    </w:p>
    <w:p w14:paraId="37C53CD9" w14:textId="77777777" w:rsidR="003B229B" w:rsidRDefault="00267699">
      <w:pPr>
        <w:pStyle w:val="Applicationdirecte"/>
      </w:pPr>
      <w:r>
        <w:lastRenderedPageBreak/>
        <w:t>Šis reglamentas privalomas visas ir tiesiogiai taikomas visose valstybėse narėse.</w:t>
      </w:r>
    </w:p>
    <w:p w14:paraId="24BC202F" w14:textId="77777777" w:rsidR="003B229B" w:rsidRDefault="00267699">
      <w:pPr>
        <w:pStyle w:val="Fait"/>
      </w:pPr>
      <w:r>
        <w:t>Priimta Briuselyje</w:t>
      </w:r>
      <w:r w:rsidR="00EF4A30">
        <w:t xml:space="preserve"> 2021 m. gruodžio 6 d.</w:t>
      </w:r>
    </w:p>
    <w:p w14:paraId="602B6C43" w14:textId="77777777" w:rsidR="003B229B" w:rsidRDefault="00267699">
      <w:pPr>
        <w:pStyle w:val="Institutionquisigne"/>
      </w:pPr>
      <w:r>
        <w:tab/>
        <w:t>Komisijos vardu</w:t>
      </w:r>
    </w:p>
    <w:p w14:paraId="7CE52139" w14:textId="77777777" w:rsidR="003B229B" w:rsidRDefault="00267699">
      <w:pPr>
        <w:pStyle w:val="Personnequisigne"/>
      </w:pPr>
      <w:r>
        <w:tab/>
        <w:t>Pirmininkė</w:t>
      </w:r>
    </w:p>
    <w:p w14:paraId="7D389492" w14:textId="77777777" w:rsidR="003B229B" w:rsidRPr="00EF4A30" w:rsidRDefault="00267699">
      <w:pPr>
        <w:pStyle w:val="Personnequisigne"/>
        <w:rPr>
          <w:i w:val="0"/>
        </w:rPr>
      </w:pPr>
      <w:r>
        <w:tab/>
      </w:r>
      <w:r w:rsidRPr="00EF4A30">
        <w:rPr>
          <w:i w:val="0"/>
        </w:rPr>
        <w:t xml:space="preserve">Ursula </w:t>
      </w:r>
      <w:r w:rsidR="00EF4A30" w:rsidRPr="00EF4A30">
        <w:rPr>
          <w:i w:val="0"/>
        </w:rPr>
        <w:t>VON DER LEYEN</w:t>
      </w:r>
    </w:p>
    <w:sectPr w:rsidR="003B229B" w:rsidRPr="00EF4A30">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3C8FF" w14:textId="77777777" w:rsidR="00267699" w:rsidRDefault="00267699">
      <w:pPr>
        <w:spacing w:before="0" w:after="0"/>
      </w:pPr>
      <w:r>
        <w:separator/>
      </w:r>
    </w:p>
  </w:endnote>
  <w:endnote w:type="continuationSeparator" w:id="0">
    <w:p w14:paraId="33647CCD" w14:textId="77777777" w:rsidR="00267699" w:rsidRDefault="002676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76E2" w14:textId="77777777" w:rsidR="003B229B" w:rsidRDefault="00267699">
    <w:pPr>
      <w:pStyle w:val="Footer"/>
      <w:tabs>
        <w:tab w:val="clear" w:pos="4535"/>
        <w:tab w:val="clear" w:pos="9921"/>
      </w:tabs>
      <w:ind w:left="0" w:right="0"/>
    </w:pPr>
    <w:r>
      <w:t>LT - Cleaned document</w:t>
    </w:r>
    <w:r>
      <w:tab/>
    </w:r>
    <w:r>
      <w:fldChar w:fldCharType="begin"/>
    </w:r>
    <w:r>
      <w:instrText xml:space="preserve"> PAGE \* MERGEFORMAT </w:instrText>
    </w:r>
    <w:r>
      <w:fldChar w:fldCharType="separate"/>
    </w:r>
    <w:r w:rsidR="00EF4A30">
      <w:rPr>
        <w:noProof/>
      </w:rPr>
      <w:t>7</w:t>
    </w:r>
    <w:r>
      <w:fldChar w:fldCharType="end"/>
    </w:r>
    <w:r>
      <w:t>/</w:t>
    </w:r>
    <w:r w:rsidR="001C5F36">
      <w:fldChar w:fldCharType="begin"/>
    </w:r>
    <w:r w:rsidR="001C5F36">
      <w:instrText xml:space="preserve"> NUMPAGES \* MERGEFORMAT </w:instrText>
    </w:r>
    <w:r w:rsidR="001C5F36">
      <w:fldChar w:fldCharType="separate"/>
    </w:r>
    <w:r w:rsidR="00EF4A30">
      <w:rPr>
        <w:noProof/>
      </w:rPr>
      <w:t>7</w:t>
    </w:r>
    <w:r w:rsidR="001C5F3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89175" w14:textId="77777777" w:rsidR="00267699" w:rsidRDefault="00267699">
      <w:pPr>
        <w:spacing w:before="0" w:after="0"/>
      </w:pPr>
      <w:r>
        <w:separator/>
      </w:r>
    </w:p>
  </w:footnote>
  <w:footnote w:type="continuationSeparator" w:id="0">
    <w:p w14:paraId="10E4BD5E" w14:textId="77777777" w:rsidR="00267699" w:rsidRDefault="00267699">
      <w:pPr>
        <w:spacing w:before="0" w:after="0"/>
      </w:pPr>
      <w:r>
        <w:continuationSeparator/>
      </w:r>
    </w:p>
  </w:footnote>
  <w:footnote w:id="1">
    <w:p w14:paraId="19DDEE0E" w14:textId="77777777" w:rsidR="003B229B" w:rsidRDefault="00267699">
      <w:pPr>
        <w:pStyle w:val="FootnoteText"/>
      </w:pPr>
      <w:r>
        <w:rPr>
          <w:rStyle w:val="FootnoteReference"/>
        </w:rPr>
        <w:footnoteRef/>
      </w:r>
      <w:r>
        <w:tab/>
        <w:t>OL L 314, 2019 12 5, p. 1.</w:t>
      </w:r>
    </w:p>
  </w:footnote>
  <w:footnote w:id="2">
    <w:p w14:paraId="720253A5" w14:textId="77777777" w:rsidR="003B229B" w:rsidRDefault="00267699">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 w:id="3">
    <w:p w14:paraId="5E4FC27F" w14:textId="77777777" w:rsidR="00EF4A30" w:rsidRDefault="00EF4A30">
      <w:pPr>
        <w:pStyle w:val="FootnoteText"/>
      </w:pPr>
      <w:r>
        <w:rPr>
          <w:rStyle w:val="FootnoteReference"/>
        </w:rPr>
        <w:footnoteRef/>
      </w:r>
      <w:r>
        <w:t xml:space="preserve"> </w:t>
      </w:r>
      <w:r w:rsidRPr="00EF4A30">
        <w:rPr>
          <w:shd w:val="clear" w:color="auto" w:fill="FFFFFF"/>
        </w:rPr>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w:t>
      </w:r>
      <w:r>
        <w:rPr>
          <w:shd w:val="clear" w:color="auto" w:fill="FFFFFF"/>
        </w:rPr>
        <w:t xml:space="preserve"> (OL L 97, 2021 3 19,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DD3EC" w14:textId="238F30B9" w:rsidR="003B229B" w:rsidRDefault="003D36B0">
    <w:pPr>
      <w:pStyle w:val="Header"/>
    </w:pPr>
    <w:r>
      <w:rPr>
        <w:noProof/>
      </w:rPr>
      <mc:AlternateContent>
        <mc:Choice Requires="wps">
          <w:drawing>
            <wp:anchor distT="0" distB="0" distL="114300" distR="114300" simplePos="0" relativeHeight="251659264" behindDoc="0" locked="0" layoutInCell="0" allowOverlap="1" wp14:anchorId="474CEE11" wp14:editId="63F4DB48">
              <wp:simplePos x="0" y="0"/>
              <wp:positionH relativeFrom="page">
                <wp:posOffset>0</wp:posOffset>
              </wp:positionH>
              <wp:positionV relativeFrom="page">
                <wp:posOffset>190500</wp:posOffset>
              </wp:positionV>
              <wp:extent cx="7560945" cy="273050"/>
              <wp:effectExtent l="0" t="0" r="0" b="12700"/>
              <wp:wrapNone/>
              <wp:docPr id="1" name="MSIPCM670b4e04826a6ec3aafa46ee"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04F00D" w14:textId="21035D0D" w:rsidR="003D36B0" w:rsidRPr="003D36B0" w:rsidRDefault="003D36B0" w:rsidP="003D36B0">
                          <w:pPr>
                            <w:spacing w:before="0" w:after="0"/>
                            <w:jc w:val="left"/>
                            <w:rPr>
                              <w:rFonts w:ascii="Calibri" w:hAnsi="Calibri" w:cs="Calibri"/>
                              <w:color w:val="000000"/>
                            </w:rPr>
                          </w:pPr>
                          <w:r w:rsidRPr="003D36B0">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74CEE11" id="_x0000_t202" coordsize="21600,21600" o:spt="202" path="m,l,21600r21600,l21600,xe">
              <v:stroke joinstyle="miter"/>
              <v:path gradientshapeok="t" o:connecttype="rect"/>
            </v:shapetype>
            <v:shape id="MSIPCM670b4e04826a6ec3aafa46ee"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" o:allowincell="f" filled="f" stroked="f" strokeweight=".5pt">
              <v:textbox inset="20pt,0,,0">
                <w:txbxContent>
                  <w:p w14:paraId="1A04F00D" w14:textId="21035D0D" w:rsidR="003D36B0" w:rsidRPr="003D36B0" w:rsidRDefault="003D36B0" w:rsidP="003D36B0">
                    <w:pPr>
                      <w:spacing w:before="0" w:after="0"/>
                      <w:jc w:val="left"/>
                      <w:rPr>
                        <w:rFonts w:ascii="Calibri" w:hAnsi="Calibri" w:cs="Calibri"/>
                        <w:color w:val="000000"/>
                      </w:rPr>
                    </w:pPr>
                    <w:r w:rsidRPr="003D36B0">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0:32:1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F740670F-6B76-4DCB-8E1A-E9AD32C1C8AB"/>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techniniai \u303?gyvendinimo standartai, susij\u281? su Europos Parlamento ir Tarybos reglamento (ES) 2019/2033 taikymu investicini\u371? \u303?moni\u371? informacijos teikimo prie\u382?i\u363?ros institucijoms ir jos atskleidimo srityje"/>
    <w:docVar w:name="LW_TYPE.DOC.CP" w:val="KOMISIJOS \u302?GYVENDINIMO REGLAMENTAS (ES) \u8230?/..."/>
  </w:docVars>
  <w:rsids>
    <w:rsidRoot w:val="003B229B"/>
    <w:rsid w:val="001C5F36"/>
    <w:rsid w:val="00267699"/>
    <w:rsid w:val="003B229B"/>
    <w:rsid w:val="003D36B0"/>
    <w:rsid w:val="00E67911"/>
    <w:rsid w:val="00EF4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C1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lt-LT"/>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lt-LT"/>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EE191-741F-4385-9793-922667F0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TotalTime>
  <Pages>7</Pages>
  <Words>2210</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2022-01-17T15:49:29Z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8e12186f-a06e-4bdb-9371-73cd4d046c38</vt:lpwstr>
  </property>
  <property fmtid="{D5CDD505-2E9C-101B-9397-08002B2CF9AE}" pid="15" name="MSIP_Label_5c7eb9de-735b-4a68-8fe4-c9c62709b012_ContentBits">
    <vt:lpwstr>1</vt:lpwstr>
  </property>
</Properties>
</file>