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03BE61" w14:textId="77777777" w:rsidR="00533CA6" w:rsidRDefault="00D03B75">
      <w:pPr>
        <w:pStyle w:val="Typedudocument"/>
      </w:pPr>
      <w:r>
        <w:t>RÈGLEMENT D’EXÉCUTION (UE) 2021/… DE LA COMMISSION</w:t>
      </w:r>
    </w:p>
    <w:p w14:paraId="2CAB8926" w14:textId="77777777" w:rsidR="00533CA6" w:rsidRDefault="00D03B75">
      <w:pPr>
        <w:pStyle w:val="Datedadoption"/>
      </w:pPr>
      <w:r>
        <w:t>du 6 décembre 2021</w:t>
      </w:r>
    </w:p>
    <w:p w14:paraId="4BB93E96" w14:textId="77777777" w:rsidR="00533CA6" w:rsidRDefault="00D03B75">
      <w:pPr>
        <w:pStyle w:val="Titreobjet"/>
      </w:pPr>
      <w:r>
        <w:t>définissant des normes techniques d’exécution pour l’application du règlement (UE) 2019/2033 du Parlement européen et du Conseil en ce qui concerne les déclarations à des fins de surveillance et les informations à publier par les entreprises d’investissement</w:t>
      </w:r>
    </w:p>
    <w:p w14:paraId="1CA2DAC9" w14:textId="77777777" w:rsidR="00533CA6" w:rsidRPr="00D03B75" w:rsidRDefault="00D03B75">
      <w:pPr>
        <w:pStyle w:val="IntrtEEE"/>
        <w:rPr>
          <w:b/>
        </w:rPr>
      </w:pPr>
      <w:r w:rsidRPr="00D03B75">
        <w:rPr>
          <w:b/>
        </w:rPr>
        <w:t>(Texte présentant de l’intérêt pour l’EEE)</w:t>
      </w:r>
    </w:p>
    <w:p w14:paraId="2EAFFFC7" w14:textId="77777777" w:rsidR="00533CA6" w:rsidRDefault="00D03B75">
      <w:pPr>
        <w:pStyle w:val="Institutionquiagit"/>
      </w:pPr>
      <w:r>
        <w:t>LA COMMISSION EUROPÉENNE,</w:t>
      </w:r>
    </w:p>
    <w:p w14:paraId="30F435F5" w14:textId="77777777" w:rsidR="00533CA6" w:rsidRDefault="00D03B75">
      <w:r>
        <w:rPr>
          <w:color w:val="000000"/>
        </w:rPr>
        <w:t>vu le traité sur le fonctionnement de l’Union européenne</w:t>
      </w:r>
      <w:r>
        <w:t>,</w:t>
      </w:r>
    </w:p>
    <w:p w14:paraId="23C6C87B" w14:textId="77777777" w:rsidR="00533CA6" w:rsidRDefault="00D03B75">
      <w:r>
        <w:t>vu le règlement (UE) 2019/2033 du Parlement européen et du Conseil du 27 novembre 2019 concernant les exigences prudentielles applicables aux entreprises d’investissement et modifiant les règlements (UE) n</w:t>
      </w:r>
      <w:r>
        <w:rPr>
          <w:vertAlign w:val="superscript"/>
        </w:rPr>
        <w:t>o</w:t>
      </w:r>
      <w:r>
        <w:t> 1093/2010, (UE) n</w:t>
      </w:r>
      <w:r>
        <w:rPr>
          <w:vertAlign w:val="superscript"/>
        </w:rPr>
        <w:t>o</w:t>
      </w:r>
      <w:r>
        <w:t> 575/2013, (UE) n</w:t>
      </w:r>
      <w:r>
        <w:rPr>
          <w:vertAlign w:val="superscript"/>
        </w:rPr>
        <w:t>o</w:t>
      </w:r>
      <w:r>
        <w:t> 600/2014 et (UE) n</w:t>
      </w:r>
      <w:r>
        <w:rPr>
          <w:vertAlign w:val="superscript"/>
        </w:rPr>
        <w:t>o</w:t>
      </w:r>
      <w:r>
        <w:t> 806/2014 </w:t>
      </w:r>
      <w:r>
        <w:rPr>
          <w:rStyle w:val="FootnoteReference"/>
        </w:rPr>
        <w:footnoteReference w:id="1"/>
      </w:r>
      <w:r>
        <w:t>, et notamment son article 49, paragraphe 2, et son article 54, paragraphe 3,</w:t>
      </w:r>
    </w:p>
    <w:p w14:paraId="1C05CD4F" w14:textId="77777777" w:rsidR="00533CA6" w:rsidRDefault="00D03B75">
      <w:r>
        <w:t>considérant ce qui suit:</w:t>
      </w:r>
    </w:p>
    <w:p w14:paraId="25A21323" w14:textId="77777777" w:rsidR="00533CA6" w:rsidRDefault="00D03B75">
      <w:pPr>
        <w:pStyle w:val="Considrant"/>
        <w:numPr>
          <w:ilvl w:val="0"/>
          <w:numId w:val="0"/>
        </w:numPr>
        <w:tabs>
          <w:tab w:val="left" w:pos="709"/>
        </w:tabs>
        <w:ind w:left="709" w:hanging="709"/>
      </w:pPr>
      <w:r>
        <w:t>(1)</w:t>
      </w:r>
      <w:r>
        <w:tab/>
        <w:t>Il convient que les exigences en matière de déclaration applicables aux entreprises d’investissement énoncées à l’article 54 du règlement (UE) 2019/2033 soient adaptées à l’activité de ces entreprises et proportionnées à leurs différentes échelles et degrés de complexité. En particulier, ces exigences devraient tenir compte du fait que certaines entreprises d’investissement sont considérées comme des petites entreprises d’investissement non interconnectées, en vertu des conditions prévues à l’article 12 du règlement (UE) 2019/2033.</w:t>
      </w:r>
    </w:p>
    <w:p w14:paraId="55C4EB79" w14:textId="77777777" w:rsidR="00533CA6" w:rsidRDefault="00D03B75">
      <w:pPr>
        <w:pStyle w:val="Considrant"/>
        <w:numPr>
          <w:ilvl w:val="0"/>
          <w:numId w:val="0"/>
        </w:numPr>
        <w:tabs>
          <w:tab w:val="left" w:pos="709"/>
        </w:tabs>
        <w:ind w:left="709" w:hanging="709"/>
      </w:pPr>
      <w:r>
        <w:t>(2)</w:t>
      </w:r>
      <w:r>
        <w:tab/>
        <w:t xml:space="preserve">Conformément à l’article 54, paragraphe 1, du règlement (UE) 2019/2033, les petites entreprises d’investissement non interconnectées doivent déclarer le niveau et la composition de leurs fonds propres, leurs exigences de fonds propres, la base de calcul de leurs exigences de fonds propres et leur niveau d’activité par rapport aux conditions énoncées à l’article 12, paragraphe 1, dudit règlement. Les petites entreprises non interconnectées ne sont donc pas tenues de déclarer des informations du même niveau de détail que les autres entreprises d’investissement soumises au règlement (UE) 2019/2033. Les modèles de déclaration relatifs aux calculs basés sur les facteurs K ne devraient donc pas être applicables aux petites entreprises non interconnectées. Conformément à l’article 54, paragraphe 2, troisième alinéa, du règlement (UE) 2019/2033, </w:t>
      </w:r>
      <w:bookmarkStart w:id="0" w:name="_DV_C108"/>
      <w:r>
        <w:t>les petites entreprises d’investissement non interconnectées sont de plus exemptées de déclarer leur risque de concentration, et les autorités compétentes peuvent les exempter de l’obligation de déclaration relative aux exigences de liquidité</w:t>
      </w:r>
      <w:bookmarkStart w:id="1" w:name="_DV_M108"/>
      <w:bookmarkEnd w:id="0"/>
      <w:bookmarkEnd w:id="1"/>
      <w:r>
        <w:t>.</w:t>
      </w:r>
    </w:p>
    <w:p w14:paraId="7E8A5EEA" w14:textId="77777777" w:rsidR="00533CA6" w:rsidRDefault="00D03B75">
      <w:pPr>
        <w:pStyle w:val="Considrant"/>
        <w:numPr>
          <w:ilvl w:val="0"/>
          <w:numId w:val="0"/>
        </w:numPr>
        <w:tabs>
          <w:tab w:val="left" w:pos="709"/>
        </w:tabs>
        <w:ind w:left="709" w:hanging="709"/>
      </w:pPr>
      <w:r>
        <w:t>(3)</w:t>
      </w:r>
      <w:r>
        <w:tab/>
        <w:t>Toutes les entreprises d’investissement soumises au règlement (UE) 2019/2033 devraient déclarer leur profil d’activité et leur taille afin de permettre aux autorités compétentes d’évaluer si elles respectent ou non les conditions prévues à l’article 12 dudit règlement pour être classées comme petites entreprises d’investissement non interconnectées.</w:t>
      </w:r>
    </w:p>
    <w:p w14:paraId="1D682EAC" w14:textId="77777777" w:rsidR="00533CA6" w:rsidRDefault="00D03B75">
      <w:pPr>
        <w:pStyle w:val="Considrant"/>
        <w:numPr>
          <w:ilvl w:val="0"/>
          <w:numId w:val="0"/>
        </w:numPr>
        <w:tabs>
          <w:tab w:val="left" w:pos="709"/>
        </w:tabs>
        <w:ind w:left="709" w:hanging="709"/>
      </w:pPr>
      <w:r>
        <w:lastRenderedPageBreak/>
        <w:t>(4)</w:t>
      </w:r>
      <w:r>
        <w:tab/>
        <w:t>Par souci de transparence pour les investisseurs et, plus largement, les marchés, l’article 46 du règlement (UE) 2019/2033 impose aux entreprises d’investissement autres que des petites entreprises d’investissement non interconnectées de publier les informations prévues dans la sixième partie dudit règlement. Les petites entreprises d’investissement non interconnectées ne sont pas soumises à ces exigences de publication, sauf si elles émettent des instruments de fonds propres additionnels de catégorie 1 afin de garantir la transparence pour ceux qui investissent dans ces instruments.</w:t>
      </w:r>
    </w:p>
    <w:p w14:paraId="40D3331B" w14:textId="77777777" w:rsidR="00533CA6" w:rsidRDefault="00D03B75">
      <w:pPr>
        <w:pStyle w:val="Considrant"/>
        <w:numPr>
          <w:ilvl w:val="0"/>
          <w:numId w:val="0"/>
        </w:numPr>
        <w:tabs>
          <w:tab w:val="left" w:pos="709"/>
        </w:tabs>
        <w:ind w:left="709" w:hanging="709"/>
      </w:pPr>
      <w:r>
        <w:t>(5)</w:t>
      </w:r>
      <w:r>
        <w:tab/>
        <w:t>Le présent règlement devrait fournir aux entreprises d’investissement des modèles et tableaux leur permettant de transmettre des informations suffisamment complètes et comparables sur la composition et la qualité de leurs fonds propres. Plus particulièrement, il est nécessaire d’introduire un modèle quantitatif de publication concernant la composition des fonds propres et un modèle flexible concernant le rapprochement des fonds propres réglementaires avec le bilan dans les états financiers audités. Pour la même raison, il est également nécessaire de prévoir un modèle concernant les informations sur les caractéristiques les plus pertinentes des instruments de fonds propres émis par l’entreprise d’investissement.</w:t>
      </w:r>
    </w:p>
    <w:p w14:paraId="015C7C9D" w14:textId="77777777" w:rsidR="00533CA6" w:rsidRDefault="00D03B75">
      <w:pPr>
        <w:pStyle w:val="Considrant"/>
        <w:numPr>
          <w:ilvl w:val="0"/>
          <w:numId w:val="0"/>
        </w:numPr>
        <w:tabs>
          <w:tab w:val="left" w:pos="709"/>
        </w:tabs>
        <w:ind w:left="709" w:hanging="709"/>
      </w:pPr>
      <w:r>
        <w:t>(6)</w:t>
      </w:r>
      <w:r>
        <w:tab/>
      </w:r>
      <w:r>
        <w:rPr>
          <w:color w:val="000000"/>
        </w:rPr>
        <w:t>Afin de faciliter la mise en œuvre des exigences de déclaration et de publication, il est nécessaire de renforcer la cohérence entre les modèles de déclaration et les modèles de publication. Il convient donc que le modèle de publication relatif à la composition des fonds propres suive de près le modèle de déclaration correspondant relatif au niveau et à la composition des fonds propres. Pour la même raison, il convient que le modèle de publication concernant le rapprochement des fonds propres réglementaires avec le bilan dans les états financiers audités soit flexible: la ventilation des éléments de ce modèle devrait être fondée sur les éléments du bilan figurant dans les états financiers audités de l’entreprise d’investissement. En outre, le modèle servant à la publication des informations relatives aux caractéristiques principales des fonds propres réglementaires devrait être un modèle fixe et son degré de complexité devrait dépendre de la complexité des instruments de fonds propres.</w:t>
      </w:r>
    </w:p>
    <w:p w14:paraId="320C83EC" w14:textId="1923AB35" w:rsidR="00533CA6" w:rsidRDefault="00D03B75" w:rsidP="007145B5">
      <w:pPr>
        <w:pStyle w:val="Considrant"/>
        <w:numPr>
          <w:ilvl w:val="0"/>
          <w:numId w:val="0"/>
        </w:numPr>
        <w:tabs>
          <w:tab w:val="left" w:pos="709"/>
        </w:tabs>
        <w:ind w:left="709" w:hanging="709"/>
      </w:pPr>
      <w:r>
        <w:t>(7)</w:t>
      </w:r>
      <w:r>
        <w:tab/>
        <w:t>Afin de ne pas alourdir indûment les coûts de mise en conformité supportés par les entreprises d’investissement et de préserver la qualité des données, il conviendrait d’aligner autant que possible les obligations de déclaration et de publication sur le fond. Il y a donc lieu de réunir, dans un seul et même règlement, les normes régissant à la fois la déclaration et la publication.</w:t>
      </w:r>
    </w:p>
    <w:p w14:paraId="252DD17F" w14:textId="2DBB9B01" w:rsidR="00533CA6" w:rsidRDefault="00D03B75">
      <w:pPr>
        <w:pStyle w:val="Considrant"/>
        <w:numPr>
          <w:ilvl w:val="0"/>
          <w:numId w:val="0"/>
        </w:numPr>
        <w:tabs>
          <w:tab w:val="left" w:pos="709"/>
        </w:tabs>
        <w:ind w:left="709" w:hanging="709"/>
      </w:pPr>
      <w:r>
        <w:t>(</w:t>
      </w:r>
      <w:r w:rsidR="007145B5">
        <w:t>8</w:t>
      </w:r>
      <w:r>
        <w:t>)</w:t>
      </w:r>
      <w:r>
        <w:tab/>
        <w:t>Le présent règlement se fonde sur les projets de normes techniques d’exécution soumis à la Commission par l’Autorité bancaire européenne (ABE) après consultation de l’Autorité européenne des marchés financiers.</w:t>
      </w:r>
    </w:p>
    <w:p w14:paraId="69CACA07" w14:textId="0D9F0399" w:rsidR="00533CA6" w:rsidRDefault="00D03B75">
      <w:pPr>
        <w:pStyle w:val="Considrant"/>
        <w:numPr>
          <w:ilvl w:val="0"/>
          <w:numId w:val="0"/>
        </w:numPr>
        <w:tabs>
          <w:tab w:val="left" w:pos="709"/>
        </w:tabs>
        <w:ind w:left="709" w:hanging="709"/>
      </w:pPr>
      <w:r>
        <w:t>(</w:t>
      </w:r>
      <w:r w:rsidR="007145B5">
        <w:t>9</w:t>
      </w:r>
      <w:r>
        <w:t>)</w:t>
      </w:r>
      <w:r>
        <w:tab/>
        <w:t>L’ABE a procédé à des consultations publiques ouvertes sur les projets de normes techniques d’exécution sur lesquels se fonde le présent règlement, analysé les coûts et avantages potentiels qu’ils impliquent et sollicité l’avis du groupe des parties intéressées au secteur bancaire institué par l’article 37 du règlement (UE) n</w:t>
      </w:r>
      <w:r>
        <w:rPr>
          <w:vertAlign w:val="superscript"/>
        </w:rPr>
        <w:t>o</w:t>
      </w:r>
      <w:r>
        <w:t> 1093/2010 du Parlement européen et du Conseil </w:t>
      </w:r>
      <w:r>
        <w:rPr>
          <w:rStyle w:val="FootnoteReference"/>
        </w:rPr>
        <w:footnoteReference w:id="2"/>
      </w:r>
      <w:r>
        <w:t>,</w:t>
      </w:r>
    </w:p>
    <w:p w14:paraId="23B56708" w14:textId="77777777" w:rsidR="00533CA6" w:rsidRDefault="00D03B75">
      <w:pPr>
        <w:pStyle w:val="Formuledadoption"/>
      </w:pPr>
      <w:r>
        <w:lastRenderedPageBreak/>
        <w:t>A ADOPTÉ LE PRÉSENT RÈGLEMENT:</w:t>
      </w:r>
    </w:p>
    <w:p w14:paraId="013E5462" w14:textId="77777777" w:rsidR="00533CA6" w:rsidRPr="00D03B75" w:rsidRDefault="00D03B75">
      <w:pPr>
        <w:pStyle w:val="ChapterTitle"/>
        <w:rPr>
          <w:b w:val="0"/>
        </w:rPr>
      </w:pPr>
      <w:r w:rsidRPr="00D03B75">
        <w:rPr>
          <w:b w:val="0"/>
        </w:rPr>
        <w:t>CHAPITRE I</w:t>
      </w:r>
    </w:p>
    <w:p w14:paraId="4F37E91A" w14:textId="77777777" w:rsidR="00533CA6" w:rsidRDefault="00D03B75">
      <w:pPr>
        <w:pStyle w:val="ChapterTitle"/>
      </w:pPr>
      <w:r>
        <w:t>DÉCLARATIONS À DES FINS DE SURVEILLANCE</w:t>
      </w:r>
    </w:p>
    <w:p w14:paraId="2EF65873" w14:textId="77777777" w:rsidR="00533CA6" w:rsidRDefault="00D03B75">
      <w:pPr>
        <w:pStyle w:val="Titrearticle"/>
      </w:pPr>
      <w:r>
        <w:t>Article premier</w:t>
      </w:r>
    </w:p>
    <w:p w14:paraId="3BABF617" w14:textId="77777777" w:rsidR="00533CA6" w:rsidRDefault="00D03B75">
      <w:pPr>
        <w:pStyle w:val="Titrearticle"/>
        <w:spacing w:before="120"/>
        <w:rPr>
          <w:b/>
          <w:i w:val="0"/>
        </w:rPr>
      </w:pPr>
      <w:r>
        <w:rPr>
          <w:b/>
          <w:i w:val="0"/>
        </w:rPr>
        <w:t>Dates de référence pour les déclarations</w:t>
      </w:r>
    </w:p>
    <w:p w14:paraId="4F0CA0AE" w14:textId="77777777" w:rsidR="00533CA6" w:rsidRDefault="00D03B75">
      <w:pPr>
        <w:pStyle w:val="NumPar1"/>
        <w:numPr>
          <w:ilvl w:val="0"/>
          <w:numId w:val="0"/>
        </w:numPr>
        <w:tabs>
          <w:tab w:val="left" w:pos="567"/>
        </w:tabs>
      </w:pPr>
      <w:r>
        <w:t>1.</w:t>
      </w:r>
      <w:r>
        <w:tab/>
        <w:t>Les informations visées à l’article 54, paragraphe 1, du règlement sont déclarées telles qu’arrêtées aux dates de référence suivantes:</w:t>
      </w:r>
    </w:p>
    <w:p w14:paraId="327D0243" w14:textId="77777777" w:rsidR="00533CA6" w:rsidRDefault="00D03B75">
      <w:pPr>
        <w:pStyle w:val="Point1letter"/>
        <w:numPr>
          <w:ilvl w:val="0"/>
          <w:numId w:val="0"/>
        </w:numPr>
        <w:ind w:left="567" w:hanging="567"/>
      </w:pPr>
      <w:r>
        <w:t>a)</w:t>
      </w:r>
      <w:r>
        <w:tab/>
        <w:t>déclarations trimestrielles: les 31 mars, 30 juin, 30 septembre et 31 décembre;</w:t>
      </w:r>
    </w:p>
    <w:p w14:paraId="00CC9006" w14:textId="77777777" w:rsidR="00533CA6" w:rsidRDefault="00D03B75">
      <w:pPr>
        <w:pStyle w:val="Point1letter"/>
        <w:numPr>
          <w:ilvl w:val="0"/>
          <w:numId w:val="0"/>
        </w:numPr>
        <w:ind w:left="567" w:hanging="567"/>
      </w:pPr>
      <w:r>
        <w:t>b)</w:t>
      </w:r>
      <w:r>
        <w:tab/>
        <w:t>déclarations annuelles: le 31 décembre.</w:t>
      </w:r>
    </w:p>
    <w:p w14:paraId="42BDD4D3" w14:textId="77777777" w:rsidR="00533CA6" w:rsidRDefault="00D03B75">
      <w:pPr>
        <w:pStyle w:val="NumPar1"/>
        <w:numPr>
          <w:ilvl w:val="0"/>
          <w:numId w:val="0"/>
        </w:numPr>
        <w:tabs>
          <w:tab w:val="left" w:pos="567"/>
        </w:tabs>
      </w:pPr>
      <w:r>
        <w:t>2.</w:t>
      </w:r>
      <w:r>
        <w:tab/>
        <w:t>Les dates de référence pour les déclarations fixées au paragraphe 1 peuvent être adaptées lorsque la législation nationale autorise les entreprises d’investissement à déclarer des informations financières arrêtées à la date de clôture de leur exercice comptable et que celui-ci diffère de l’année civile, de sorte que la déclaration trimestrielle des informations ait lieu tous les trimestres de l’exercice comptable en question et que la déclaration annuelle ait lieu à la clôture de l’exercice comptable.</w:t>
      </w:r>
    </w:p>
    <w:p w14:paraId="079A87A9" w14:textId="77777777" w:rsidR="00533CA6" w:rsidRDefault="00D03B75">
      <w:pPr>
        <w:pStyle w:val="Titrearticle"/>
      </w:pPr>
      <w:r>
        <w:t>Article 2</w:t>
      </w:r>
    </w:p>
    <w:p w14:paraId="4E5317A4" w14:textId="77777777" w:rsidR="00533CA6" w:rsidRDefault="00D03B75">
      <w:pPr>
        <w:pStyle w:val="Titrearticle"/>
        <w:spacing w:before="120"/>
        <w:rPr>
          <w:b/>
          <w:i w:val="0"/>
        </w:rPr>
      </w:pPr>
      <w:r>
        <w:rPr>
          <w:b/>
          <w:i w:val="0"/>
        </w:rPr>
        <w:t>Dates de remise des déclarations</w:t>
      </w:r>
    </w:p>
    <w:p w14:paraId="64BEBFB9" w14:textId="77777777" w:rsidR="00533CA6" w:rsidRDefault="00D03B75">
      <w:pPr>
        <w:pStyle w:val="NumPar1"/>
        <w:numPr>
          <w:ilvl w:val="0"/>
          <w:numId w:val="0"/>
        </w:numPr>
        <w:tabs>
          <w:tab w:val="left" w:pos="567"/>
        </w:tabs>
      </w:pPr>
      <w:r>
        <w:t>1.</w:t>
      </w:r>
      <w:r>
        <w:tab/>
        <w:t>Les informations visées à l’article 54, paragraphe 1, du règlement (UE) 2019/2033 sont transmises aux dates de remise suivantes, avant la clôture des activités:</w:t>
      </w:r>
    </w:p>
    <w:p w14:paraId="04CE118C" w14:textId="77777777" w:rsidR="00533CA6" w:rsidRDefault="00D03B75">
      <w:pPr>
        <w:pStyle w:val="Point1letter"/>
        <w:numPr>
          <w:ilvl w:val="0"/>
          <w:numId w:val="0"/>
        </w:numPr>
        <w:ind w:left="567" w:hanging="567"/>
      </w:pPr>
      <w:r>
        <w:t>a)</w:t>
      </w:r>
      <w:r>
        <w:tab/>
        <w:t>déclarations trimestrielles: les 12 mai, 11 août, 11 novembre et 11 février;</w:t>
      </w:r>
    </w:p>
    <w:p w14:paraId="7083EC91" w14:textId="77777777" w:rsidR="00533CA6" w:rsidRDefault="00D03B75">
      <w:pPr>
        <w:pStyle w:val="Point1letter"/>
        <w:numPr>
          <w:ilvl w:val="0"/>
          <w:numId w:val="0"/>
        </w:numPr>
        <w:ind w:left="567" w:hanging="567"/>
      </w:pPr>
      <w:r>
        <w:t>b)</w:t>
      </w:r>
      <w:r>
        <w:tab/>
        <w:t>déclarations annuelles: le 11 février.</w:t>
      </w:r>
    </w:p>
    <w:p w14:paraId="1017662C" w14:textId="77777777" w:rsidR="00533CA6" w:rsidRDefault="00D03B75">
      <w:pPr>
        <w:pStyle w:val="NumPar1"/>
        <w:numPr>
          <w:ilvl w:val="0"/>
          <w:numId w:val="0"/>
        </w:numPr>
        <w:tabs>
          <w:tab w:val="left" w:pos="567"/>
        </w:tabs>
      </w:pPr>
      <w:r>
        <w:t>2.</w:t>
      </w:r>
      <w:r>
        <w:tab/>
        <w:t>Lorsque la date de remise des déclarations correspond à un jour férié dans l’État membre de l’autorité compétente qui doit recevoir la déclaration, ou à un samedi ou un dimanche, la date de remise des déclarations est le jour ouvré suivant.</w:t>
      </w:r>
    </w:p>
    <w:p w14:paraId="6CB7643F" w14:textId="77777777" w:rsidR="00533CA6" w:rsidRDefault="00D03B75">
      <w:pPr>
        <w:pStyle w:val="NumPar1"/>
        <w:numPr>
          <w:ilvl w:val="0"/>
          <w:numId w:val="0"/>
        </w:numPr>
        <w:tabs>
          <w:tab w:val="left" w:pos="567"/>
        </w:tabs>
      </w:pPr>
      <w:r>
        <w:t>3.</w:t>
      </w:r>
      <w:r>
        <w:tab/>
        <w:t>Lorsque les entreprises d’investissement déclarent leurs informations selon des dates de référence basées sur la clôture de leur exercice comptable, comme prévu à l’article 1</w:t>
      </w:r>
      <w:r>
        <w:rPr>
          <w:vertAlign w:val="superscript"/>
        </w:rPr>
        <w:t>er</w:t>
      </w:r>
      <w:r>
        <w:t>, paragraphe 2, du présent règlement, les dates de remise peuvent elles aussi être adaptées, de façon à maintenir la même distance entre la date de référence adaptée et la date de remise.</w:t>
      </w:r>
    </w:p>
    <w:p w14:paraId="528DC2EA" w14:textId="77777777" w:rsidR="00533CA6" w:rsidRDefault="00D03B75">
      <w:pPr>
        <w:pStyle w:val="NumPar1"/>
        <w:numPr>
          <w:ilvl w:val="0"/>
          <w:numId w:val="0"/>
        </w:numPr>
        <w:tabs>
          <w:tab w:val="left" w:pos="567"/>
        </w:tabs>
      </w:pPr>
      <w:r>
        <w:t>4.</w:t>
      </w:r>
      <w:r>
        <w:tab/>
        <w:t>Les entreprises d’investissement peuvent transmettre des chiffres non audités. Lorsque des chiffres audités diffèrent de chiffres non audités déjà déclarés, ces chiffres audités différents sont transmis dans les meilleurs délais. Aux fins du présent article, on entend par «chiffres non audités» les chiffres au sujet desquels un auditeur externe n’a pas encore émis d’opinion, au contraire des chiffres audités.</w:t>
      </w:r>
    </w:p>
    <w:p w14:paraId="237B78EE" w14:textId="77777777" w:rsidR="00533CA6" w:rsidRDefault="00D03B75">
      <w:pPr>
        <w:pStyle w:val="NumPar1"/>
        <w:numPr>
          <w:ilvl w:val="0"/>
          <w:numId w:val="0"/>
        </w:numPr>
        <w:tabs>
          <w:tab w:val="left" w:pos="567"/>
        </w:tabs>
      </w:pPr>
      <w:r>
        <w:t>5.</w:t>
      </w:r>
      <w:r>
        <w:tab/>
        <w:t>Les corrections apportées à des déclarations déjà effectuées sont transmises dans les meilleurs délais aux autorités compétentes.</w:t>
      </w:r>
    </w:p>
    <w:p w14:paraId="52DB07D8" w14:textId="77777777" w:rsidR="00533CA6" w:rsidRDefault="00D03B75">
      <w:pPr>
        <w:pStyle w:val="Titrearticle"/>
      </w:pPr>
      <w:r>
        <w:t>Article 3</w:t>
      </w:r>
    </w:p>
    <w:p w14:paraId="37C8CAF4" w14:textId="77777777" w:rsidR="00533CA6" w:rsidRDefault="00D03B75">
      <w:pPr>
        <w:pStyle w:val="Titrearticle"/>
        <w:spacing w:before="120"/>
        <w:rPr>
          <w:b/>
          <w:i w:val="0"/>
        </w:rPr>
      </w:pPr>
      <w:r>
        <w:rPr>
          <w:b/>
          <w:i w:val="0"/>
        </w:rPr>
        <w:t>Application des exigences de déclaration sur base individuelle</w:t>
      </w:r>
    </w:p>
    <w:p w14:paraId="2D1EB22E" w14:textId="77777777" w:rsidR="00533CA6" w:rsidRDefault="00D03B75">
      <w:r>
        <w:t xml:space="preserve">Afin de satisfaire sur une base individuelle aux exigences en matière de déclaration de l’article 54 du règlement (UE) 2019/2033, les entreprises d’investissement déclarent les </w:t>
      </w:r>
      <w:r>
        <w:lastRenderedPageBreak/>
        <w:t>informations prévues aux articles 5, 6 et 7 du présent règlement à la fréquence indiquée dans ces articles.</w:t>
      </w:r>
    </w:p>
    <w:p w14:paraId="0DA669C1" w14:textId="77777777" w:rsidR="00533CA6" w:rsidRDefault="00D03B75">
      <w:pPr>
        <w:pStyle w:val="Titrearticle"/>
      </w:pPr>
      <w:r>
        <w:t>Article 4</w:t>
      </w:r>
    </w:p>
    <w:p w14:paraId="4433B8D3" w14:textId="77777777" w:rsidR="00533CA6" w:rsidRDefault="00D03B75">
      <w:pPr>
        <w:pStyle w:val="Titrearticle"/>
        <w:spacing w:before="120"/>
        <w:rPr>
          <w:b/>
          <w:i w:val="0"/>
        </w:rPr>
      </w:pPr>
      <w:r>
        <w:rPr>
          <w:b/>
          <w:i w:val="0"/>
        </w:rPr>
        <w:t>Application des exigences de déclaration sur base consolidée</w:t>
      </w:r>
    </w:p>
    <w:p w14:paraId="0F465AD6" w14:textId="77777777" w:rsidR="00533CA6" w:rsidRDefault="00D03B75">
      <w:pPr>
        <w:rPr>
          <w:i/>
        </w:rPr>
      </w:pPr>
      <w:r>
        <w:t>Afin de satisfaire sur une base consolidée aux exigences en matière de déclaration de l’article 54 du règlement (UE) 2019/2033, les entreprises d’investissement déclarent les informations prévues aux articles 5 et 6 du présent règlement d’exécution à la fréquence indiquée dans ces articles.</w:t>
      </w:r>
    </w:p>
    <w:p w14:paraId="1917719A" w14:textId="77777777" w:rsidR="00533CA6" w:rsidRDefault="00D03B75">
      <w:pPr>
        <w:pStyle w:val="Titrearticle"/>
      </w:pPr>
      <w:r>
        <w:t>Article 5</w:t>
      </w:r>
    </w:p>
    <w:p w14:paraId="336DDAB7" w14:textId="77777777" w:rsidR="00533CA6" w:rsidRDefault="00D03B75">
      <w:pPr>
        <w:pStyle w:val="Titrearticle"/>
        <w:spacing w:before="120"/>
        <w:rPr>
          <w:b/>
          <w:i w:val="0"/>
        </w:rPr>
      </w:pPr>
      <w:r>
        <w:rPr>
          <w:b/>
          <w:i w:val="0"/>
        </w:rPr>
        <w:t>Format et fréquence des déclarations par les entreprises d’investissement autres que des petites entreprises d’investissement non interconnectées</w:t>
      </w:r>
    </w:p>
    <w:p w14:paraId="186C7A0C" w14:textId="77777777" w:rsidR="00533CA6" w:rsidRDefault="00D03B75">
      <w:pPr>
        <w:pStyle w:val="NumPar1"/>
        <w:numPr>
          <w:ilvl w:val="0"/>
          <w:numId w:val="0"/>
        </w:numPr>
        <w:tabs>
          <w:tab w:val="left" w:pos="567"/>
        </w:tabs>
      </w:pPr>
      <w:r>
        <w:t>1.</w:t>
      </w:r>
      <w:r>
        <w:tab/>
        <w:t>Les entreprises d’investissement autres que des petites entreprises d’investissement non interconnectées déclarent les informations requises par l’article 54, paragraphes 1 et 2, du règlement (UE) 2019/2033 en utilisant les modèles établis à l’annexe I du présent règlement conformément aux instructions figurant à l’annexe II du présent règlement, à une fréquence trimestrielle.</w:t>
      </w:r>
    </w:p>
    <w:p w14:paraId="1492D07D" w14:textId="77777777" w:rsidR="00533CA6" w:rsidRDefault="00D03B75">
      <w:pPr>
        <w:pStyle w:val="NumPar1"/>
        <w:numPr>
          <w:ilvl w:val="0"/>
          <w:numId w:val="0"/>
        </w:numPr>
        <w:tabs>
          <w:tab w:val="left" w:pos="567"/>
        </w:tabs>
        <w:rPr>
          <w:szCs w:val="24"/>
        </w:rPr>
      </w:pPr>
      <w:r>
        <w:rPr>
          <w:szCs w:val="24"/>
        </w:rPr>
        <w:t>2.</w:t>
      </w:r>
      <w:r>
        <w:rPr>
          <w:szCs w:val="24"/>
        </w:rPr>
        <w:tab/>
      </w:r>
      <w:r>
        <w:t>Les entreprises d’investissement autres que des petites entreprises d’investissement non interconnectées qui déterminent l’exigence basée sur les facteurs K au titre des RtM sur la base de K-NPR en vertu de l’article 21, paragraphe 1, du règlement (UE) 2019/2033 déclarent les informations prévues dans les modèles C 18.00 à C 24.00 de l’annexe I du règlement d’exécution (UE) 2021/451 de la Commission </w:t>
      </w:r>
      <w:r>
        <w:rPr>
          <w:rStyle w:val="FootnoteReference"/>
        </w:rPr>
        <w:footnoteReference w:id="3"/>
      </w:r>
      <w:r>
        <w:t xml:space="preserve"> conformément aux instructions figurant à l’annexe II, partie 2, dudit règlement d’exécution, à une fréquence trimestrielle.</w:t>
      </w:r>
    </w:p>
    <w:p w14:paraId="5F5512BE" w14:textId="77777777" w:rsidR="00533CA6" w:rsidRDefault="00D03B75">
      <w:pPr>
        <w:pStyle w:val="NumPar1"/>
        <w:numPr>
          <w:ilvl w:val="0"/>
          <w:numId w:val="0"/>
        </w:numPr>
        <w:tabs>
          <w:tab w:val="left" w:pos="567"/>
        </w:tabs>
        <w:rPr>
          <w:szCs w:val="24"/>
        </w:rPr>
      </w:pPr>
      <w:r>
        <w:rPr>
          <w:szCs w:val="24"/>
        </w:rPr>
        <w:t>3.</w:t>
      </w:r>
      <w:r>
        <w:rPr>
          <w:szCs w:val="24"/>
        </w:rPr>
        <w:tab/>
      </w:r>
      <w:r>
        <w:t>Les entreprises d’investissement autres que des petites entreprises d’investissement non interconnectées qui font usage de la dérogation prévue à l’article 25, paragraphe 4, du règlement (UE) 2019/2033 déclarent les informations prévues dans le modèle C 34.02 de l’annexe I du règlement d’exécution (UE) 2021/451 conformément aux instructions figurant à l’annexe II, partie 2, dudit règlement d’exécution, à une fréquence trimestrielle.</w:t>
      </w:r>
    </w:p>
    <w:p w14:paraId="5DBCD9DD" w14:textId="77777777" w:rsidR="00533CA6" w:rsidRDefault="00D03B75">
      <w:pPr>
        <w:pStyle w:val="NumPar1"/>
        <w:numPr>
          <w:ilvl w:val="0"/>
          <w:numId w:val="0"/>
        </w:numPr>
        <w:tabs>
          <w:tab w:val="left" w:pos="567"/>
        </w:tabs>
        <w:rPr>
          <w:szCs w:val="24"/>
        </w:rPr>
      </w:pPr>
      <w:r>
        <w:rPr>
          <w:szCs w:val="24"/>
        </w:rPr>
        <w:t>4.</w:t>
      </w:r>
      <w:r>
        <w:rPr>
          <w:szCs w:val="24"/>
        </w:rPr>
        <w:tab/>
      </w:r>
      <w:r>
        <w:t>Les entreprises d’investissement autres que des petites entreprises d’investissement non interconnectées qui font usage de la dérogation prévue à l’article 25, paragraphe 5, second alinéa, du règlement (UE) 2019/2033 déclarent les informations prévues dans le modèle C 25.00 de l’annexe I du règlement d’exécution (UE) 2021/451 conformément aux instructions figurant à l’annexe II, partie 2, dudit règlement d’exécution, à une fréquence trimestrielle.</w:t>
      </w:r>
    </w:p>
    <w:p w14:paraId="30FEE122" w14:textId="77777777" w:rsidR="00533CA6" w:rsidRDefault="00D03B75">
      <w:pPr>
        <w:pStyle w:val="Titrearticle"/>
      </w:pPr>
      <w:r>
        <w:t>Article 6</w:t>
      </w:r>
    </w:p>
    <w:p w14:paraId="3D0F93C4" w14:textId="77777777" w:rsidR="00533CA6" w:rsidRDefault="00D03B75">
      <w:pPr>
        <w:pStyle w:val="Titrearticle"/>
        <w:spacing w:before="120"/>
        <w:rPr>
          <w:b/>
          <w:i w:val="0"/>
        </w:rPr>
      </w:pPr>
      <w:r>
        <w:rPr>
          <w:b/>
          <w:i w:val="0"/>
        </w:rPr>
        <w:t>Format et fréquence des déclarations par les petites entreprises d’investissement non interconnectées</w:t>
      </w:r>
    </w:p>
    <w:p w14:paraId="19A4ABCF" w14:textId="77777777" w:rsidR="00533CA6" w:rsidRDefault="00D03B75">
      <w:pPr>
        <w:pStyle w:val="NumPar1"/>
        <w:numPr>
          <w:ilvl w:val="0"/>
          <w:numId w:val="0"/>
        </w:numPr>
        <w:tabs>
          <w:tab w:val="left" w:pos="567"/>
        </w:tabs>
      </w:pPr>
      <w:r>
        <w:t>1.</w:t>
      </w:r>
      <w:r>
        <w:tab/>
        <w:t xml:space="preserve">Les petites entreprises d’investissement non interconnectées déclarent les informations prévues dans les modèles de l’annexe III du présent règlement conformément aux instructions figurant à l’annexe IV du présent règlement, à une fréquence annuelle. Les entreprises d’investissement qui bénéficient de l’exemption prévue à l’article 43, paragraphe 1, deuxième </w:t>
      </w:r>
      <w:r>
        <w:lastRenderedPageBreak/>
        <w:t>alinéa, du règlement (UE) 2019/2033 sont exemptées de l’obligation de transmettre les informations prévues dans le modèle IF 09.01 de l’annexe III du présent règlement.</w:t>
      </w:r>
    </w:p>
    <w:p w14:paraId="5D5FE35D" w14:textId="77777777" w:rsidR="00533CA6" w:rsidRDefault="00D03B75">
      <w:pPr>
        <w:pStyle w:val="Titrearticle"/>
      </w:pPr>
      <w:r>
        <w:t>Article 7</w:t>
      </w:r>
    </w:p>
    <w:p w14:paraId="42A24558" w14:textId="77777777" w:rsidR="00533CA6" w:rsidRDefault="00D03B75">
      <w:pPr>
        <w:pStyle w:val="Titrearticle"/>
        <w:spacing w:before="120"/>
        <w:rPr>
          <w:b/>
          <w:i w:val="0"/>
        </w:rPr>
      </w:pPr>
      <w:r>
        <w:rPr>
          <w:b/>
          <w:i w:val="0"/>
        </w:rPr>
        <w:t>Format et fréquence des déclarations par les entités bénéficiant de l’application de l’article 8 du règlement (UE) 2019/2033</w:t>
      </w:r>
    </w:p>
    <w:p w14:paraId="664B23A6" w14:textId="77777777" w:rsidR="00533CA6" w:rsidRDefault="00D03B75">
      <w:pPr>
        <w:rPr>
          <w:rFonts w:eastAsia="Times New Roman"/>
          <w:szCs w:val="24"/>
        </w:rPr>
      </w:pPr>
      <w:r>
        <w:t>Par dérogation à l’article 4 du présent règlement, les entités visées à l’article 8, paragraphe 3, du règlement (UE) 2019/2033 qui bénéficient de l’application dudit article déclarent les informations prévues dans les modèles de l’annexe VIII du présent règlement conformément aux instructions prévues à l’annexe IX du présent règlement à une fréquence trimestrielle.</w:t>
      </w:r>
    </w:p>
    <w:p w14:paraId="6BA3799C" w14:textId="77777777" w:rsidR="00533CA6" w:rsidRDefault="00D03B75">
      <w:pPr>
        <w:pStyle w:val="Titrearticle"/>
      </w:pPr>
      <w:r>
        <w:t>Article 8</w:t>
      </w:r>
    </w:p>
    <w:p w14:paraId="797D3B7F" w14:textId="77777777" w:rsidR="00533CA6" w:rsidRDefault="00D03B75">
      <w:pPr>
        <w:pStyle w:val="Titrearticle"/>
        <w:spacing w:before="120"/>
        <w:rPr>
          <w:b/>
          <w:i w:val="0"/>
        </w:rPr>
      </w:pPr>
      <w:r>
        <w:rPr>
          <w:b/>
          <w:i w:val="0"/>
        </w:rPr>
        <w:t>Précision des données et informations associées aux déclarations</w:t>
      </w:r>
    </w:p>
    <w:p w14:paraId="546071A5" w14:textId="77777777" w:rsidR="00533CA6" w:rsidRDefault="00D03B75">
      <w:pPr>
        <w:pStyle w:val="NumPar1"/>
        <w:numPr>
          <w:ilvl w:val="0"/>
          <w:numId w:val="0"/>
        </w:numPr>
        <w:tabs>
          <w:tab w:val="left" w:pos="567"/>
        </w:tabs>
      </w:pPr>
      <w:r>
        <w:t>1.</w:t>
      </w:r>
      <w:r>
        <w:tab/>
        <w:t>Les entreprises d’investissement transmettent les informations visées dans le présent règlement selon les présentations et formats d’échange de données définis par les autorités compétentes, en appliquant la définition des points de données du modèle de points de données et les formules de validation définies à l’annexe V, ainsi que les spécifications suivantes:</w:t>
      </w:r>
    </w:p>
    <w:p w14:paraId="12F4A02F" w14:textId="77777777" w:rsidR="00533CA6" w:rsidRDefault="00D03B75">
      <w:pPr>
        <w:pStyle w:val="Point1letter"/>
        <w:numPr>
          <w:ilvl w:val="0"/>
          <w:numId w:val="0"/>
        </w:numPr>
        <w:ind w:left="567" w:hanging="567"/>
      </w:pPr>
      <w:r>
        <w:t>a)</w:t>
      </w:r>
      <w:r>
        <w:tab/>
        <w:t>les données transmises ne doivent pas inclure d’informations non requises ou sans objet;</w:t>
      </w:r>
    </w:p>
    <w:p w14:paraId="4DB1EB5D" w14:textId="77777777" w:rsidR="00533CA6" w:rsidRDefault="00D03B75">
      <w:pPr>
        <w:pStyle w:val="Point1letter"/>
        <w:numPr>
          <w:ilvl w:val="0"/>
          <w:numId w:val="0"/>
        </w:numPr>
        <w:ind w:left="567" w:hanging="567"/>
      </w:pPr>
      <w:r>
        <w:t>b)</w:t>
      </w:r>
      <w:r>
        <w:tab/>
        <w:t>les valeurs numériques sont présentées comme des faits, selon les conventions suivantes:</w:t>
      </w:r>
    </w:p>
    <w:p w14:paraId="3D9F22C8" w14:textId="77777777" w:rsidR="00533CA6" w:rsidRDefault="00D03B75">
      <w:pPr>
        <w:pStyle w:val="Point2"/>
        <w:ind w:left="1134"/>
      </w:pPr>
      <w:r>
        <w:t>i)</w:t>
      </w:r>
      <w:r>
        <w:tab/>
        <w:t>les points de données ayant comme type de données «Monétaire» sont exprimés avec une précision minimale fixée au millier d’unités;</w:t>
      </w:r>
    </w:p>
    <w:p w14:paraId="1D061DE3" w14:textId="77777777" w:rsidR="00533CA6" w:rsidRDefault="00D03B75">
      <w:pPr>
        <w:pStyle w:val="Point2"/>
        <w:ind w:left="1134"/>
      </w:pPr>
      <w:r>
        <w:t>ii)</w:t>
      </w:r>
      <w:r>
        <w:tab/>
        <w:t>les points de données ayant comme type de données «Pourcentage» sont exprimés avec une précision minimale de quatre décimales;</w:t>
      </w:r>
    </w:p>
    <w:p w14:paraId="0EB54F08" w14:textId="77777777" w:rsidR="00533CA6" w:rsidRDefault="00D03B75">
      <w:pPr>
        <w:pStyle w:val="Point2"/>
        <w:ind w:left="1134"/>
      </w:pPr>
      <w:r>
        <w:t>iii)</w:t>
      </w:r>
      <w:r>
        <w:tab/>
        <w:t>les points de données ayant comme type de données «Nombre entier» sont exprimés sans décimale, avec une précision fixée à l’unité.</w:t>
      </w:r>
    </w:p>
    <w:p w14:paraId="5CA596E8" w14:textId="77777777" w:rsidR="00533CA6" w:rsidRDefault="00D03B75">
      <w:pPr>
        <w:pStyle w:val="NumPar1"/>
        <w:numPr>
          <w:ilvl w:val="0"/>
          <w:numId w:val="0"/>
        </w:numPr>
        <w:tabs>
          <w:tab w:val="left" w:pos="567"/>
        </w:tabs>
      </w:pPr>
      <w:r>
        <w:t>2.</w:t>
      </w:r>
      <w:r>
        <w:tab/>
        <w:t>Les entreprises d’investissement sont identifiées au moyen de leur identifiant d’entité juridique (LEI). Les entités juridiques et les contreparties autres que des entreprises d’investissement sont identifiées par leur LEI s’il est disponible.</w:t>
      </w:r>
    </w:p>
    <w:p w14:paraId="579B3A8A" w14:textId="77777777" w:rsidR="00533CA6" w:rsidRDefault="00D03B75">
      <w:pPr>
        <w:pStyle w:val="NumPar1"/>
        <w:numPr>
          <w:ilvl w:val="0"/>
          <w:numId w:val="0"/>
        </w:numPr>
        <w:tabs>
          <w:tab w:val="left" w:pos="567"/>
        </w:tabs>
      </w:pPr>
      <w:r>
        <w:t>3.</w:t>
      </w:r>
      <w:r>
        <w:tab/>
        <w:t>Les informations communiquées par les entreprises d’investissement sur la base du présent règlement sont accompagnées des informations suivantes:</w:t>
      </w:r>
    </w:p>
    <w:p w14:paraId="7921AE6D" w14:textId="77777777" w:rsidR="00533CA6" w:rsidRDefault="00D03B75">
      <w:pPr>
        <w:pStyle w:val="Point1letter"/>
        <w:numPr>
          <w:ilvl w:val="0"/>
          <w:numId w:val="0"/>
        </w:numPr>
        <w:ind w:left="567" w:hanging="567"/>
      </w:pPr>
      <w:r>
        <w:t>a)</w:t>
      </w:r>
      <w:r>
        <w:tab/>
        <w:t>date de référence et période de référence de la déclaration;</w:t>
      </w:r>
    </w:p>
    <w:p w14:paraId="1C2D73D3" w14:textId="77777777" w:rsidR="00533CA6" w:rsidRDefault="00D03B75">
      <w:pPr>
        <w:pStyle w:val="Point1letter"/>
        <w:numPr>
          <w:ilvl w:val="0"/>
          <w:numId w:val="0"/>
        </w:numPr>
        <w:ind w:left="567" w:hanging="567"/>
      </w:pPr>
      <w:r>
        <w:t>b)</w:t>
      </w:r>
      <w:r>
        <w:tab/>
        <w:t>monnaie de la déclaration;</w:t>
      </w:r>
    </w:p>
    <w:p w14:paraId="16C1329B" w14:textId="77777777" w:rsidR="00533CA6" w:rsidRDefault="00D03B75">
      <w:pPr>
        <w:pStyle w:val="Point1letter"/>
        <w:numPr>
          <w:ilvl w:val="0"/>
          <w:numId w:val="0"/>
        </w:numPr>
        <w:ind w:left="567" w:hanging="567"/>
      </w:pPr>
      <w:r>
        <w:t>c)</w:t>
      </w:r>
      <w:r>
        <w:tab/>
        <w:t>norme comptable;</w:t>
      </w:r>
    </w:p>
    <w:p w14:paraId="0CBF2CB1" w14:textId="77777777" w:rsidR="00533CA6" w:rsidRDefault="00D03B75">
      <w:pPr>
        <w:pStyle w:val="Point1letter"/>
        <w:numPr>
          <w:ilvl w:val="0"/>
          <w:numId w:val="0"/>
        </w:numPr>
        <w:ind w:left="567" w:hanging="567"/>
      </w:pPr>
      <w:r>
        <w:t>d)</w:t>
      </w:r>
      <w:r>
        <w:tab/>
        <w:t>identifiant d’entité juridique (LEI) de l’établissement déclarant;</w:t>
      </w:r>
    </w:p>
    <w:p w14:paraId="1D22479D" w14:textId="77777777" w:rsidR="00533CA6" w:rsidRDefault="00D03B75">
      <w:pPr>
        <w:pStyle w:val="Point1letter"/>
        <w:numPr>
          <w:ilvl w:val="0"/>
          <w:numId w:val="0"/>
        </w:numPr>
        <w:ind w:left="567" w:hanging="567"/>
      </w:pPr>
      <w:r>
        <w:t>e)</w:t>
      </w:r>
      <w:r>
        <w:tab/>
        <w:t>périmètre de consolidation.</w:t>
      </w:r>
    </w:p>
    <w:p w14:paraId="4722062F" w14:textId="77777777" w:rsidR="00533CA6" w:rsidRPr="00D03B75" w:rsidRDefault="00D03B75">
      <w:pPr>
        <w:pStyle w:val="ChapterTitle"/>
        <w:rPr>
          <w:b w:val="0"/>
        </w:rPr>
      </w:pPr>
      <w:r w:rsidRPr="00D03B75">
        <w:rPr>
          <w:b w:val="0"/>
        </w:rPr>
        <w:lastRenderedPageBreak/>
        <w:t>CHAPITRE II</w:t>
      </w:r>
    </w:p>
    <w:p w14:paraId="7F542318" w14:textId="77777777" w:rsidR="00533CA6" w:rsidRDefault="00D03B75">
      <w:pPr>
        <w:pStyle w:val="ChapterTitle"/>
      </w:pPr>
      <w:r>
        <w:t>INFORMATIONS À PUBLIER PAR LES ENTREPRISES D’INVESTISSEMENT</w:t>
      </w:r>
    </w:p>
    <w:p w14:paraId="59D350BE" w14:textId="77777777" w:rsidR="00533CA6" w:rsidRDefault="00D03B75">
      <w:pPr>
        <w:pStyle w:val="Titrearticle"/>
      </w:pPr>
      <w:r>
        <w:t>Article 9</w:t>
      </w:r>
    </w:p>
    <w:p w14:paraId="1ACD8123" w14:textId="77777777" w:rsidR="00533CA6" w:rsidRDefault="00D03B75">
      <w:pPr>
        <w:pStyle w:val="Titrearticle"/>
        <w:spacing w:before="120"/>
        <w:rPr>
          <w:b/>
          <w:i w:val="0"/>
        </w:rPr>
      </w:pPr>
      <w:r>
        <w:rPr>
          <w:b/>
          <w:i w:val="0"/>
        </w:rPr>
        <w:t>Principes pour la publication</w:t>
      </w:r>
    </w:p>
    <w:p w14:paraId="58DFD5B5" w14:textId="77777777" w:rsidR="00533CA6" w:rsidRDefault="00D03B75">
      <w:pPr>
        <w:pStyle w:val="NumPar1"/>
        <w:numPr>
          <w:ilvl w:val="0"/>
          <w:numId w:val="0"/>
        </w:numPr>
      </w:pPr>
      <w:r>
        <w:t>1.</w:t>
      </w:r>
      <w:r>
        <w:tab/>
        <w:t>Les informations à publier conformément au présent règlement respectent les principes suivants:</w:t>
      </w:r>
    </w:p>
    <w:p w14:paraId="1E167139" w14:textId="77777777" w:rsidR="00533CA6" w:rsidRDefault="00D03B75">
      <w:pPr>
        <w:pStyle w:val="Point1letter"/>
        <w:numPr>
          <w:ilvl w:val="0"/>
          <w:numId w:val="0"/>
        </w:numPr>
        <w:ind w:left="567" w:hanging="567"/>
      </w:pPr>
      <w:r>
        <w:t>a)</w:t>
      </w:r>
      <w:r>
        <w:tab/>
        <w:t>les informations publiées sont soumises au même niveau de vérification interne que le rapport de gestion inclus dans le rapport financier de l’entreprise d’investissement;</w:t>
      </w:r>
    </w:p>
    <w:p w14:paraId="5E0263D5" w14:textId="77777777" w:rsidR="00533CA6" w:rsidRDefault="00D03B75">
      <w:pPr>
        <w:pStyle w:val="Point1letter"/>
        <w:numPr>
          <w:ilvl w:val="0"/>
          <w:numId w:val="0"/>
        </w:numPr>
        <w:ind w:left="567" w:hanging="567"/>
      </w:pPr>
      <w:r>
        <w:t>b)</w:t>
      </w:r>
      <w:r>
        <w:tab/>
        <w:t>les informations publiées sont claires, elles sont présentées sous une forme compréhensible pour leurs utilisateurs et sont communiquées sur un support accessible. Les messages importants sont soulignés et faciles à trouver. Les questions complexes sont expliquées dans un langage simple. Les informations qui ont un rapport entre elles sont présentées ensemble;</w:t>
      </w:r>
    </w:p>
    <w:p w14:paraId="1CBCD133" w14:textId="77777777" w:rsidR="00533CA6" w:rsidRDefault="00D03B75">
      <w:pPr>
        <w:pStyle w:val="Point1letter"/>
        <w:numPr>
          <w:ilvl w:val="0"/>
          <w:numId w:val="0"/>
        </w:numPr>
        <w:ind w:left="567" w:hanging="567"/>
      </w:pPr>
      <w:r>
        <w:t>c)</w:t>
      </w:r>
      <w:r>
        <w:tab/>
        <w:t>les informations publiées sont pertinentes et cohérentes dans le temps afin de permettre à leurs utilisateurs de les comparer entre différentes périodes de publication;</w:t>
      </w:r>
    </w:p>
    <w:p w14:paraId="12B25DCF" w14:textId="77777777" w:rsidR="00533CA6" w:rsidRDefault="00D03B75">
      <w:pPr>
        <w:pStyle w:val="Point1letter"/>
        <w:numPr>
          <w:ilvl w:val="0"/>
          <w:numId w:val="0"/>
        </w:numPr>
        <w:ind w:left="567" w:hanging="567"/>
      </w:pPr>
      <w:r>
        <w:t>d)</w:t>
      </w:r>
      <w:r>
        <w:tab/>
        <w:t>les publications quantitatives sont accompagnées d’explications qualitatives et de toute autre information complémentaire qui pourrait être nécessaire pour permettre aux utilisateurs de ces informations de les comprendre, soulignant en particulier tout changement significatif survenu dans une publication par rapport aux informations contenues dans les publications précédentes.</w:t>
      </w:r>
    </w:p>
    <w:p w14:paraId="5FC57E3A" w14:textId="77777777" w:rsidR="00533CA6" w:rsidRDefault="00D03B75">
      <w:pPr>
        <w:pStyle w:val="Titrearticle"/>
      </w:pPr>
      <w:r>
        <w:t>Article 10</w:t>
      </w:r>
    </w:p>
    <w:p w14:paraId="36886178" w14:textId="77777777" w:rsidR="00533CA6" w:rsidRDefault="00D03B75">
      <w:pPr>
        <w:pStyle w:val="Titrearticle"/>
        <w:spacing w:before="120"/>
        <w:rPr>
          <w:b/>
          <w:i w:val="0"/>
        </w:rPr>
      </w:pPr>
      <w:r>
        <w:rPr>
          <w:b/>
          <w:i w:val="0"/>
        </w:rPr>
        <w:t>Publication d’informations sur les fonds propres par les entreprises d’investissement</w:t>
      </w:r>
    </w:p>
    <w:p w14:paraId="29100FBD" w14:textId="77777777" w:rsidR="00533CA6" w:rsidRDefault="00D03B75">
      <w:r>
        <w:t>Les entreprises d’investissement publient les informations sur les fonds propres requises par l’article 49, paragraphe 1, du règlement (UE) 2019/2033 en utilisant les modèles de l’annexe VI du présent règlement et conformément aux instructions pertinentes énoncées à l’annexe VII du présent règlement.</w:t>
      </w:r>
    </w:p>
    <w:p w14:paraId="683882A6" w14:textId="77777777" w:rsidR="00533CA6" w:rsidRDefault="00D03B75">
      <w:pPr>
        <w:pStyle w:val="Titrearticle"/>
      </w:pPr>
      <w:r>
        <w:t>Article 11</w:t>
      </w:r>
    </w:p>
    <w:p w14:paraId="5AF914F6" w14:textId="77777777" w:rsidR="00533CA6" w:rsidRDefault="00D03B75">
      <w:pPr>
        <w:pStyle w:val="Titrearticle"/>
        <w:spacing w:before="120"/>
        <w:rPr>
          <w:b/>
          <w:i w:val="0"/>
        </w:rPr>
      </w:pPr>
      <w:r>
        <w:rPr>
          <w:b/>
          <w:i w:val="0"/>
        </w:rPr>
        <w:t>Dispositions générales en matière de publication</w:t>
      </w:r>
    </w:p>
    <w:p w14:paraId="20A60879" w14:textId="77777777" w:rsidR="00533CA6" w:rsidRDefault="00D03B75">
      <w:pPr>
        <w:pStyle w:val="NumPar1"/>
        <w:numPr>
          <w:ilvl w:val="0"/>
          <w:numId w:val="0"/>
        </w:numPr>
        <w:tabs>
          <w:tab w:val="left" w:pos="567"/>
        </w:tabs>
      </w:pPr>
      <w:r>
        <w:t>1.</w:t>
      </w:r>
      <w:r>
        <w:tab/>
        <w:t>Lorsqu’elles publient les informations visées à l’article 10 du présent règlement, les entreprises d’investissement font en sorte que les valeurs numériques soient présentées comme des faits, selon les modalités suivantes:</w:t>
      </w:r>
    </w:p>
    <w:p w14:paraId="1C9FBB0A" w14:textId="77777777" w:rsidR="00533CA6" w:rsidRDefault="00D03B75">
      <w:pPr>
        <w:pStyle w:val="Point1letter"/>
        <w:numPr>
          <w:ilvl w:val="0"/>
          <w:numId w:val="0"/>
        </w:numPr>
        <w:ind w:left="567" w:hanging="567"/>
      </w:pPr>
      <w:r>
        <w:t>a)</w:t>
      </w:r>
      <w:r>
        <w:tab/>
        <w:t>les données monétaires quantitatives sont publiées avec une précision minimale fixée au millier d’unités;</w:t>
      </w:r>
    </w:p>
    <w:p w14:paraId="36D72123" w14:textId="77777777" w:rsidR="00533CA6" w:rsidRDefault="00D03B75">
      <w:pPr>
        <w:pStyle w:val="Point1letter"/>
        <w:numPr>
          <w:ilvl w:val="0"/>
          <w:numId w:val="0"/>
        </w:numPr>
        <w:ind w:left="567" w:hanging="567"/>
      </w:pPr>
      <w:r>
        <w:t>b)</w:t>
      </w:r>
      <w:r>
        <w:tab/>
        <w:t>les données quantitatives publiées en tant que «Pourcentage» sont exprimées avec une précision minimale à l’unité de quatre décimales.</w:t>
      </w:r>
    </w:p>
    <w:p w14:paraId="761EFF86" w14:textId="77777777" w:rsidR="00533CA6" w:rsidRDefault="00D03B75">
      <w:pPr>
        <w:pStyle w:val="NumPar1"/>
        <w:numPr>
          <w:ilvl w:val="0"/>
          <w:numId w:val="0"/>
        </w:numPr>
        <w:tabs>
          <w:tab w:val="left" w:pos="567"/>
        </w:tabs>
      </w:pPr>
      <w:r>
        <w:t>2.</w:t>
      </w:r>
      <w:r>
        <w:tab/>
        <w:t>Lorsqu’elles publient les informations visées à l’article 10 du présent règlement, les entreprises d’investissement font en sorte que les données soient accompagnées de l’ensemble des informations suivantes:</w:t>
      </w:r>
    </w:p>
    <w:p w14:paraId="1E3DA048" w14:textId="77777777" w:rsidR="00533CA6" w:rsidRDefault="00D03B75">
      <w:pPr>
        <w:pStyle w:val="Point1letter"/>
        <w:numPr>
          <w:ilvl w:val="0"/>
          <w:numId w:val="0"/>
        </w:numPr>
        <w:ind w:left="567" w:hanging="567"/>
      </w:pPr>
      <w:r>
        <w:lastRenderedPageBreak/>
        <w:t>a)</w:t>
      </w:r>
      <w:r>
        <w:tab/>
        <w:t>la date de référence et la période de référence de la publication;</w:t>
      </w:r>
    </w:p>
    <w:p w14:paraId="3D3AB383" w14:textId="77777777" w:rsidR="00533CA6" w:rsidRDefault="00D03B75">
      <w:pPr>
        <w:pStyle w:val="Point1letter"/>
        <w:numPr>
          <w:ilvl w:val="0"/>
          <w:numId w:val="0"/>
        </w:numPr>
        <w:ind w:left="567" w:hanging="567"/>
      </w:pPr>
      <w:r>
        <w:t>b)</w:t>
      </w:r>
      <w:r>
        <w:tab/>
        <w:t>la monnaie de la publication;</w:t>
      </w:r>
    </w:p>
    <w:p w14:paraId="10057BC3" w14:textId="77777777" w:rsidR="00533CA6" w:rsidRDefault="00D03B75">
      <w:pPr>
        <w:pStyle w:val="Point1letter"/>
        <w:numPr>
          <w:ilvl w:val="0"/>
          <w:numId w:val="0"/>
        </w:numPr>
        <w:ind w:left="567" w:hanging="567"/>
      </w:pPr>
      <w:r>
        <w:t>c)</w:t>
      </w:r>
      <w:r>
        <w:tab/>
        <w:t>le nom et, s’il y a lieu, l’identifiant d’entité juridique (LEI) de l’établissement publiant;</w:t>
      </w:r>
    </w:p>
    <w:p w14:paraId="3D69B325" w14:textId="77777777" w:rsidR="00533CA6" w:rsidRDefault="00D03B75">
      <w:pPr>
        <w:pStyle w:val="Point1letter"/>
        <w:numPr>
          <w:ilvl w:val="0"/>
          <w:numId w:val="0"/>
        </w:numPr>
        <w:ind w:left="567" w:hanging="567"/>
      </w:pPr>
      <w:r>
        <w:t>d)</w:t>
      </w:r>
      <w:r>
        <w:tab/>
        <w:t>le cas échéant, la norme comptable;</w:t>
      </w:r>
    </w:p>
    <w:p w14:paraId="1B0A5AF9" w14:textId="77777777" w:rsidR="00533CA6" w:rsidRDefault="00D03B75">
      <w:pPr>
        <w:pStyle w:val="Point1letter"/>
        <w:numPr>
          <w:ilvl w:val="0"/>
          <w:numId w:val="0"/>
        </w:numPr>
        <w:ind w:left="567" w:hanging="567"/>
      </w:pPr>
      <w:r>
        <w:t>e)</w:t>
      </w:r>
      <w:r>
        <w:tab/>
        <w:t>le cas échéant, le périmètre de consolidation.</w:t>
      </w:r>
    </w:p>
    <w:p w14:paraId="7750D5B3" w14:textId="77777777" w:rsidR="00533CA6" w:rsidRPr="00D03B75" w:rsidRDefault="00D03B75">
      <w:pPr>
        <w:pStyle w:val="ChapterTitle"/>
        <w:rPr>
          <w:b w:val="0"/>
        </w:rPr>
      </w:pPr>
      <w:r w:rsidRPr="00D03B75">
        <w:rPr>
          <w:b w:val="0"/>
        </w:rPr>
        <w:t>CHAPITRE III</w:t>
      </w:r>
    </w:p>
    <w:p w14:paraId="73232CA9" w14:textId="77777777" w:rsidR="00533CA6" w:rsidRDefault="00D03B75">
      <w:pPr>
        <w:pStyle w:val="ChapterTitle"/>
      </w:pPr>
      <w:r>
        <w:t>DISPOSITIONS FINALES</w:t>
      </w:r>
    </w:p>
    <w:p w14:paraId="27753A52" w14:textId="77777777" w:rsidR="00533CA6" w:rsidRDefault="00D03B75">
      <w:pPr>
        <w:pStyle w:val="Titrearticle"/>
        <w:spacing w:before="120"/>
      </w:pPr>
      <w:r>
        <w:t>Article 12</w:t>
      </w:r>
    </w:p>
    <w:p w14:paraId="574B170E" w14:textId="16E552E1" w:rsidR="00533CA6" w:rsidRDefault="00D03B75">
      <w:pPr>
        <w:pStyle w:val="Titrearticle"/>
        <w:spacing w:before="120"/>
        <w:rPr>
          <w:b/>
          <w:i w:val="0"/>
        </w:rPr>
      </w:pPr>
      <w:r>
        <w:rPr>
          <w:b/>
          <w:i w:val="0"/>
        </w:rPr>
        <w:t>Entrée en vigueur</w:t>
      </w:r>
    </w:p>
    <w:p w14:paraId="76C067EC" w14:textId="77777777" w:rsidR="00533CA6" w:rsidRDefault="00D03B75">
      <w:r>
        <w:t xml:space="preserve">Le présent règlement entre en vigueur le vingtième jour suivant celui de sa publication au </w:t>
      </w:r>
      <w:r>
        <w:rPr>
          <w:i/>
        </w:rPr>
        <w:t>Journal officiel de l’Union européenne</w:t>
      </w:r>
      <w:r>
        <w:t>.</w:t>
      </w:r>
    </w:p>
    <w:p w14:paraId="4E5FC1E5" w14:textId="77777777" w:rsidR="00533CA6" w:rsidRDefault="00D03B75">
      <w:pPr>
        <w:pStyle w:val="Applicationdirecte"/>
      </w:pPr>
      <w:r>
        <w:t>Le présent règlement est obligatoire dans tous ses éléments et directement applicable dans tout État membre.</w:t>
      </w:r>
    </w:p>
    <w:p w14:paraId="4A9E3D17" w14:textId="77777777" w:rsidR="00533CA6" w:rsidRDefault="00D03B75">
      <w:pPr>
        <w:pStyle w:val="Fait"/>
      </w:pPr>
      <w:r>
        <w:t>Fait à Bruxelles, le 6 décembre 2021.</w:t>
      </w:r>
    </w:p>
    <w:p w14:paraId="339A7F76" w14:textId="77777777" w:rsidR="00533CA6" w:rsidRDefault="00D03B75">
      <w:pPr>
        <w:pStyle w:val="Institutionquisigne"/>
      </w:pPr>
      <w:r>
        <w:tab/>
        <w:t>Par la Commission</w:t>
      </w:r>
    </w:p>
    <w:p w14:paraId="49189F1E" w14:textId="77777777" w:rsidR="00533CA6" w:rsidRDefault="00D03B75">
      <w:pPr>
        <w:pStyle w:val="Personnequisigne"/>
      </w:pPr>
      <w:r>
        <w:tab/>
        <w:t>La présidente</w:t>
      </w:r>
    </w:p>
    <w:p w14:paraId="509D2627" w14:textId="77777777" w:rsidR="00533CA6" w:rsidRPr="00D03B75" w:rsidRDefault="00D03B75">
      <w:pPr>
        <w:pStyle w:val="Personnequisigne"/>
        <w:rPr>
          <w:i w:val="0"/>
        </w:rPr>
      </w:pPr>
      <w:r>
        <w:tab/>
      </w:r>
      <w:r w:rsidRPr="00D03B75">
        <w:rPr>
          <w:i w:val="0"/>
        </w:rPr>
        <w:t>Ursula VON DER LEYEN</w:t>
      </w:r>
    </w:p>
    <w:sectPr w:rsidR="00533CA6" w:rsidRPr="00D03B75">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29C2FA" w14:textId="77777777" w:rsidR="00533CA6" w:rsidRDefault="00D03B75">
      <w:pPr>
        <w:spacing w:before="0" w:after="0"/>
      </w:pPr>
      <w:r>
        <w:separator/>
      </w:r>
    </w:p>
  </w:endnote>
  <w:endnote w:type="continuationSeparator" w:id="0">
    <w:p w14:paraId="5765AB38" w14:textId="77777777" w:rsidR="00533CA6" w:rsidRDefault="00D03B7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6F4A00" w14:textId="77777777" w:rsidR="00533CA6" w:rsidRDefault="00533C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81C1C6" w14:textId="77777777" w:rsidR="00533CA6" w:rsidRDefault="00D03B75">
    <w:pPr>
      <w:pStyle w:val="Footer"/>
      <w:tabs>
        <w:tab w:val="clear" w:pos="4535"/>
        <w:tab w:val="clear" w:pos="9921"/>
      </w:tabs>
      <w:ind w:left="0" w:right="0"/>
    </w:pPr>
    <w:r>
      <w:t>FR - Cleaned document</w:t>
    </w:r>
    <w:r>
      <w:tab/>
    </w:r>
    <w:r>
      <w:fldChar w:fldCharType="begin"/>
    </w:r>
    <w:r>
      <w:instrText xml:space="preserve"> PAGE \* MERGEFORMAT </w:instrText>
    </w:r>
    <w:r>
      <w:fldChar w:fldCharType="separate"/>
    </w:r>
    <w:r>
      <w:rPr>
        <w:noProof/>
      </w:rPr>
      <w:t>7</w:t>
    </w:r>
    <w:r>
      <w:fldChar w:fldCharType="end"/>
    </w:r>
    <w:r>
      <w:t>/</w:t>
    </w:r>
    <w:fldSimple w:instr=" NUMPAGES \* MERGEFORMAT ">
      <w:r>
        <w:rPr>
          <w:noProof/>
        </w:rPr>
        <w:t>7</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02F0D" w14:textId="77777777" w:rsidR="00533CA6" w:rsidRDefault="00533C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CD815B" w14:textId="77777777" w:rsidR="00533CA6" w:rsidRDefault="00D03B75">
      <w:pPr>
        <w:spacing w:before="0" w:after="0"/>
      </w:pPr>
      <w:r>
        <w:separator/>
      </w:r>
    </w:p>
  </w:footnote>
  <w:footnote w:type="continuationSeparator" w:id="0">
    <w:p w14:paraId="2A20FA7A" w14:textId="77777777" w:rsidR="00533CA6" w:rsidRDefault="00D03B75">
      <w:pPr>
        <w:spacing w:before="0" w:after="0"/>
      </w:pPr>
      <w:r>
        <w:continuationSeparator/>
      </w:r>
    </w:p>
  </w:footnote>
  <w:footnote w:id="1">
    <w:p w14:paraId="6A9E5760" w14:textId="77777777" w:rsidR="00533CA6" w:rsidRDefault="00D03B75">
      <w:pPr>
        <w:pStyle w:val="FootnoteText"/>
        <w:rPr>
          <w:lang w:val="fr-BE"/>
        </w:rPr>
      </w:pPr>
      <w:r>
        <w:rPr>
          <w:rStyle w:val="FootnoteReference"/>
        </w:rPr>
        <w:footnoteRef/>
      </w:r>
      <w:r>
        <w:rPr>
          <w:lang w:val="fr-BE"/>
        </w:rPr>
        <w:tab/>
        <w:t>JO L 314 du 5.12.2019, p. 1.</w:t>
      </w:r>
    </w:p>
  </w:footnote>
  <w:footnote w:id="2">
    <w:p w14:paraId="578AEB0B" w14:textId="77777777" w:rsidR="00533CA6" w:rsidRDefault="00D03B75">
      <w:pPr>
        <w:pStyle w:val="FootnoteText"/>
        <w:rPr>
          <w:lang w:val="fr-BE"/>
        </w:rPr>
      </w:pPr>
      <w:r>
        <w:rPr>
          <w:rStyle w:val="FootnoteReference"/>
        </w:rPr>
        <w:footnoteRef/>
      </w:r>
      <w:r>
        <w:rPr>
          <w:lang w:val="fr-BE"/>
        </w:rPr>
        <w:tab/>
        <w:t>Règlement (UE) n</w:t>
      </w:r>
      <w:r>
        <w:rPr>
          <w:vertAlign w:val="superscript"/>
          <w:lang w:val="fr-BE"/>
        </w:rPr>
        <w:t>o</w:t>
      </w:r>
      <w:r>
        <w:rPr>
          <w:lang w:val="fr-BE"/>
        </w:rPr>
        <w:t> 1093/2010 du Parlement européen et du Conseil du 24 novembre 2010 instituant une Autorité européenne de surveillance (Autorité bancaire européenne), modifiant la décision n</w:t>
      </w:r>
      <w:r>
        <w:rPr>
          <w:vertAlign w:val="superscript"/>
          <w:lang w:val="fr-BE"/>
        </w:rPr>
        <w:t>o</w:t>
      </w:r>
      <w:r>
        <w:rPr>
          <w:lang w:val="fr-BE"/>
        </w:rPr>
        <w:t> 716/2009/CE et abrogeant la décision 2009/78/CE de la Commission (JO L 331 du 15.12.2010, p. 12).</w:t>
      </w:r>
    </w:p>
  </w:footnote>
  <w:footnote w:id="3">
    <w:p w14:paraId="0767F7CA" w14:textId="77777777" w:rsidR="00D03B75" w:rsidRPr="00D03B75" w:rsidRDefault="00D03B75">
      <w:pPr>
        <w:pStyle w:val="FootnoteText"/>
        <w:rPr>
          <w:lang w:val="fr-BE"/>
        </w:rPr>
      </w:pPr>
      <w:r>
        <w:rPr>
          <w:rStyle w:val="FootnoteReference"/>
        </w:rPr>
        <w:footnoteRef/>
      </w:r>
      <w:r>
        <w:t xml:space="preserve"> </w:t>
      </w:r>
      <w:r>
        <w:tab/>
      </w:r>
      <w:r w:rsidRPr="00D03B75">
        <w:t xml:space="preserve">Règlement d’exécution (UE) </w:t>
      </w:r>
      <w:r>
        <w:t>2021/451 de la Commission du 17 </w:t>
      </w:r>
      <w:r w:rsidRPr="00D03B75">
        <w:t>décembre 2020 définissant des normes techniques d’exécution pour l’application du règlement (UE) n</w:t>
      </w:r>
      <w:r w:rsidRPr="00D03B75">
        <w:rPr>
          <w:vertAlign w:val="superscript"/>
        </w:rPr>
        <w:t>o</w:t>
      </w:r>
      <w:r w:rsidRPr="00D03B75">
        <w:t xml:space="preserve"> 575/2013 du Parlement européen et du Conseil en ce qui concerne l’information prudentielle à fournir par les établissements, et abrogeant le règlement d’exécution (UE) n</w:t>
      </w:r>
      <w:r w:rsidRPr="00D03B75">
        <w:rPr>
          <w:vertAlign w:val="superscript"/>
        </w:rPr>
        <w:t>o</w:t>
      </w:r>
      <w:r w:rsidRPr="00D03B75">
        <w:t xml:space="preserve"> 680/2014</w:t>
      </w:r>
      <w:r>
        <w:t xml:space="preserve"> (JO L 97 du 19.3.2021,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841E0B" w14:textId="77777777" w:rsidR="00533CA6" w:rsidRDefault="00533C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DD3A4" w14:textId="575C6EC5" w:rsidR="00533CA6" w:rsidRDefault="007145B5">
    <w:pPr>
      <w:pStyle w:val="Header"/>
    </w:pPr>
    <w:r>
      <w:rPr>
        <w:noProof/>
      </w:rPr>
      <mc:AlternateContent>
        <mc:Choice Requires="wps">
          <w:drawing>
            <wp:anchor distT="0" distB="0" distL="114300" distR="114300" simplePos="0" relativeHeight="251659264" behindDoc="0" locked="0" layoutInCell="0" allowOverlap="1" wp14:anchorId="10124F6A" wp14:editId="23437450">
              <wp:simplePos x="0" y="0"/>
              <wp:positionH relativeFrom="page">
                <wp:posOffset>0</wp:posOffset>
              </wp:positionH>
              <wp:positionV relativeFrom="page">
                <wp:posOffset>190500</wp:posOffset>
              </wp:positionV>
              <wp:extent cx="7560945" cy="273050"/>
              <wp:effectExtent l="0" t="0" r="0" b="12700"/>
              <wp:wrapNone/>
              <wp:docPr id="1" name="MSIPCMde1d4fcfa3aa74f58a529350"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E659316" w14:textId="5633FA00" w:rsidR="007145B5" w:rsidRPr="007145B5" w:rsidRDefault="007145B5" w:rsidP="007145B5">
                          <w:pPr>
                            <w:spacing w:before="0" w:after="0"/>
                            <w:jc w:val="left"/>
                            <w:rPr>
                              <w:rFonts w:ascii="Calibri" w:hAnsi="Calibri" w:cs="Calibri"/>
                              <w:color w:val="000000"/>
                            </w:rPr>
                          </w:pPr>
                          <w:r w:rsidRPr="007145B5">
                            <w:rPr>
                              <w:rFonts w:ascii="Calibri" w:hAnsi="Calibri" w:cs="Calibri"/>
                              <w:color w:val="000000"/>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10124F6A" id="_x0000_t202" coordsize="21600,21600" o:spt="202" path="m,l,21600r21600,l21600,xe">
              <v:stroke joinstyle="miter"/>
              <v:path gradientshapeok="t" o:connecttype="rect"/>
            </v:shapetype>
            <v:shape id="MSIPCMde1d4fcfa3aa74f58a529350" o:spid="_x0000_s1026" type="#_x0000_t202" alt="{&quot;HashCode&quot;:-466411507,&quot;Height&quot;:841.0,&quot;Width&quot;:595.0,&quot;Placement&quot;:&quot;Header&quot;,&quot;Index&quot;:&quot;Primary&quot;,&quot;Section&quot;:1,&quot;Top&quot;:0.0,&quot;Left&quot;:0.0}" style="position:absolute;left:0;text-align:left;margin-left:0;margin-top:1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" o:allowincell="f" filled="f" stroked="f" strokeweight=".5pt">
              <v:fill o:detectmouseclick="t"/>
              <v:textbox inset="20pt,0,,0">
                <w:txbxContent>
                  <w:p w14:paraId="2E659316" w14:textId="5633FA00" w:rsidR="007145B5" w:rsidRPr="007145B5" w:rsidRDefault="007145B5" w:rsidP="007145B5">
                    <w:pPr>
                      <w:spacing w:before="0" w:after="0"/>
                      <w:jc w:val="left"/>
                      <w:rPr>
                        <w:rFonts w:ascii="Calibri" w:hAnsi="Calibri" w:cs="Calibri"/>
                        <w:color w:val="000000"/>
                      </w:rPr>
                    </w:pPr>
                    <w:r w:rsidRPr="007145B5">
                      <w:rPr>
                        <w:rFonts w:ascii="Calibri" w:hAnsi="Calibri" w:cs="Calibri"/>
                        <w:color w:val="000000"/>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F499FC" w14:textId="77777777" w:rsidR="00533CA6" w:rsidRDefault="00533C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0B4E1F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59C8CF9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94E350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EA4BB7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BFC4352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41830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AD6B0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230E7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2"/>
  </w:num>
  <w:num w:numId="21">
    <w:abstractNumId w:val="1"/>
  </w:num>
  <w:num w:numId="22">
    <w:abstractNumId w:val="0"/>
  </w:num>
  <w:num w:numId="23">
    <w:abstractNumId w:val="21"/>
    <w:lvlOverride w:ilvl="0">
      <w:startOverride w:val="1"/>
    </w:lvlOverride>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de-AT" w:vendorID="64" w:dllVersion="6" w:nlCheck="1" w:checkStyle="0"/>
  <w:activeWritingStyle w:appName="MSWord" w:lang="en-GB" w:vendorID="64" w:dllVersion="6" w:nlCheck="1" w:checkStyle="1"/>
  <w:activeWritingStyle w:appName="MSWord" w:lang="fr-BE" w:vendorID="64" w:dllVersion="6" w:nlCheck="1" w:checkStyle="0"/>
  <w:activeWritingStyle w:appName="MSWord" w:lang="fr-FR" w:vendorID="64" w:dllVersion="6" w:nlCheck="1" w:checkStyle="0"/>
  <w:defaultTabStop w:val="720"/>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DQCDateTime" w:val="2021-11-17 15:49:37"/>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43"/>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3B0844C3-B6EB-477F-8DE0-4345FE74235A"/>
    <w:docVar w:name="LW_COVERPAGE_TYPE" w:val="1"/>
    <w:docVar w:name="LW_CROSSREFERENCE" w:val="&lt;UNUSED&gt;"/>
    <w:docVar w:name="LW_DATE.ADOPT.CP" w:val="du XXX"/>
    <w:docVar w:name="LW_DATE.ADOPT.CP_DATEFORMAT" w:val="du %DATE%"/>
    <w:docVar w:name="LW_DATE.ADOPT.CP_ISODATE" w:val="&lt;EMPTY&gt;"/>
    <w:docVar w:name="LW_DocType" w:val="COM"/>
    <w:docVar w:name="LW_EMISSION" w:val="&lt;EMPTY&gt;"/>
    <w:docVar w:name="LW_EMISSION_ISODATE" w:val="&lt;EMPTY&gt;"/>
    <w:docVar w:name="LW_EMISSION_LOCATION" w:val="BRX"/>
    <w:docVar w:name="LW_EMISSION_PREFIX" w:val="Bruxelles, le "/>
    <w:docVar w:name="LW_EMISSION_SUFFIX" w:val=" "/>
    <w:docVar w:name="LW_ID_DOCMODEL" w:val="SJ-004"/>
    <w:docVar w:name="LW_ID_DOCSIGNATURE" w:val="SJ-004"/>
    <w:docVar w:name="LW_ID_DOCSTRUCTURE" w:val="COM/AA"/>
    <w:docVar w:name="LW_ID_DOCTYPE" w:val="SJ-004"/>
    <w:docVar w:name="LW_INTERETEEE.CP" w:val="(Texte présentant de l'intérêt pour l'EEE)"/>
    <w:docVar w:name="LW_LANGUE" w:val="FR"/>
    <w:docVar w:name="LW_LANGUESFAISANTFOI.CP" w:val="&lt;UNUSED&gt;"/>
    <w:docVar w:name="LW_LEVEL_OF_SENSITIVITY" w:val="Standard treatment"/>
    <w:docVar w:name="LW_NOM.INST" w:val="COMMISSION EUROPÉENNE"/>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définissant des normes techniques d\u8217?exécution pour l\u8217?application du règlement (UE) 2019/2033 du Parlement européen et du Conseil en ce qui concerne les déclarations à des fins de surveillance et les informations à publier par les entreprises d'investissement"/>
    <w:docVar w:name="LW_TYPE.DOC.CP" w:val="RÈGLEMENT D\u8217?EXÉCUTION (UE) \u8230?/... DE LA COMMISSION"/>
  </w:docVars>
  <w:rsids>
    <w:rsidRoot w:val="00533CA6"/>
    <w:rsid w:val="00374FE4"/>
    <w:rsid w:val="00533CA6"/>
    <w:rsid w:val="007145B5"/>
    <w:rsid w:val="00D03B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1DF21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fr-FR"/>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pPr>
      <w:spacing w:before="120" w:after="120" w:line="240" w:lineRule="auto"/>
      <w:jc w:val="both"/>
    </w:pPr>
    <w:rPr>
      <w:rFonts w:eastAsiaTheme="minorEastAsia"/>
      <w:noProof/>
      <w:szCs w:val="24"/>
    </w:rPr>
  </w:style>
  <w:style w:type="character" w:customStyle="1" w:styleId="bodyChar">
    <w:name w:val="body Char"/>
    <w:basedOn w:val="DefaultParagraphFont"/>
    <w:link w:val="body"/>
    <w:rPr>
      <w:rFonts w:eastAsiaTheme="minorEastAsia"/>
      <w:noProof/>
      <w:szCs w:val="24"/>
    </w:rPr>
  </w:style>
  <w:style w:type="paragraph" w:styleId="ListBullet">
    <w:name w:val="List Bullet"/>
    <w:basedOn w:val="Normal"/>
    <w:uiPriority w:val="99"/>
    <w:semiHidden/>
    <w:unhideWhenUsed/>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Paragraph">
    <w:name w:val="List Paragraph"/>
    <w:basedOn w:val="Normal"/>
    <w:link w:val="ListParagraphChar"/>
    <w:uiPriority w:val="34"/>
    <w:qFormat/>
    <w:pPr>
      <w:spacing w:before="0" w:after="160" w:line="259" w:lineRule="auto"/>
      <w:ind w:left="720"/>
      <w:contextualSpacing/>
      <w:jc w:val="left"/>
    </w:pPr>
    <w:rPr>
      <w:rFonts w:asciiTheme="minorHAnsi" w:hAnsiTheme="minorHAnsi" w:cstheme="minorBidi"/>
      <w:sz w:val="22"/>
    </w:rPr>
  </w:style>
  <w:style w:type="paragraph" w:styleId="BodyText">
    <w:name w:val="Body Text"/>
    <w:basedOn w:val="Normal"/>
    <w:link w:val="BodyTextChar"/>
    <w:uiPriority w:val="99"/>
    <w:unhideWhenUsed/>
    <w:pPr>
      <w:spacing w:before="0"/>
      <w:jc w:val="left"/>
    </w:pPr>
    <w:rPr>
      <w:rFonts w:asciiTheme="minorHAnsi" w:eastAsiaTheme="minorEastAsia" w:hAnsiTheme="minorHAnsi" w:cstheme="minorBidi"/>
      <w:sz w:val="22"/>
      <w:szCs w:val="24"/>
    </w:rPr>
  </w:style>
  <w:style w:type="character" w:customStyle="1" w:styleId="BodyTextChar">
    <w:name w:val="Body Text Char"/>
    <w:basedOn w:val="DefaultParagraphFont"/>
    <w:link w:val="BodyText"/>
    <w:uiPriority w:val="99"/>
    <w:rPr>
      <w:rFonts w:eastAsiaTheme="minorEastAsia"/>
      <w:szCs w:val="24"/>
    </w:rPr>
  </w:style>
  <w:style w:type="character" w:customStyle="1" w:styleId="ListParagraphChar">
    <w:name w:val="List Paragraph Char"/>
    <w:link w:val="ListParagraph"/>
    <w:uiPriority w:val="34"/>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semiHidden/>
    <w:unhideWhenUsed/>
    <w:pPr>
      <w:numPr>
        <w:numId w:val="19"/>
      </w:numPr>
      <w:contextualSpacing/>
    </w:pPr>
  </w:style>
  <w:style w:type="paragraph" w:styleId="ListNumber2">
    <w:name w:val="List Number 2"/>
    <w:basedOn w:val="Normal"/>
    <w:uiPriority w:val="99"/>
    <w:semiHidden/>
    <w:unhideWhenUsed/>
    <w:pPr>
      <w:numPr>
        <w:numId w:val="20"/>
      </w:numPr>
      <w:contextualSpacing/>
    </w:pPr>
  </w:style>
  <w:style w:type="paragraph" w:styleId="ListNumber3">
    <w:name w:val="List Number 3"/>
    <w:basedOn w:val="Normal"/>
    <w:uiPriority w:val="99"/>
    <w:semiHidden/>
    <w:unhideWhenUsed/>
    <w:pPr>
      <w:numPr>
        <w:numId w:val="21"/>
      </w:numPr>
      <w:contextualSpacing/>
    </w:pPr>
  </w:style>
  <w:style w:type="paragraph" w:styleId="ListNumber4">
    <w:name w:val="List Number 4"/>
    <w:basedOn w:val="Normal"/>
    <w:uiPriority w:val="99"/>
    <w:semiHidden/>
    <w:unhideWhenUsed/>
    <w:pPr>
      <w:numPr>
        <w:numId w:val="22"/>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fr-FR"/>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fr-FR"/>
    </w:rPr>
  </w:style>
  <w:style w:type="paragraph" w:styleId="Revision">
    <w:name w:val="Revision"/>
    <w:hidden/>
    <w:uiPriority w:val="99"/>
    <w:semiHidden/>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0389410">
      <w:bodyDiv w:val="1"/>
      <w:marLeft w:val="0"/>
      <w:marRight w:val="0"/>
      <w:marTop w:val="0"/>
      <w:marBottom w:val="0"/>
      <w:divBdr>
        <w:top w:val="none" w:sz="0" w:space="0" w:color="auto"/>
        <w:left w:val="none" w:sz="0" w:space="0" w:color="auto"/>
        <w:bottom w:val="none" w:sz="0" w:space="0" w:color="auto"/>
        <w:right w:val="none" w:sz="0" w:space="0" w:color="auto"/>
      </w:divBdr>
      <w:divsChild>
        <w:div w:id="1581058862">
          <w:marLeft w:val="0"/>
          <w:marRight w:val="0"/>
          <w:marTop w:val="120"/>
          <w:marBottom w:val="0"/>
          <w:divBdr>
            <w:top w:val="none" w:sz="0" w:space="0" w:color="auto"/>
            <w:left w:val="none" w:sz="0" w:space="0" w:color="auto"/>
            <w:bottom w:val="none" w:sz="0" w:space="0" w:color="auto"/>
            <w:right w:val="none" w:sz="0" w:space="0" w:color="auto"/>
          </w:divBdr>
        </w:div>
        <w:div w:id="2110659510">
          <w:marLeft w:val="0"/>
          <w:marRight w:val="0"/>
          <w:marTop w:val="0"/>
          <w:marBottom w:val="0"/>
          <w:divBdr>
            <w:top w:val="none" w:sz="0" w:space="0" w:color="auto"/>
            <w:left w:val="none" w:sz="0" w:space="0" w:color="auto"/>
            <w:bottom w:val="none" w:sz="0" w:space="0" w:color="auto"/>
            <w:right w:val="none" w:sz="0" w:space="0" w:color="auto"/>
          </w:divBdr>
        </w:div>
      </w:divsChild>
    </w:div>
    <w:div w:id="1147362770">
      <w:bodyDiv w:val="1"/>
      <w:marLeft w:val="0"/>
      <w:marRight w:val="0"/>
      <w:marTop w:val="0"/>
      <w:marBottom w:val="0"/>
      <w:divBdr>
        <w:top w:val="none" w:sz="0" w:space="0" w:color="auto"/>
        <w:left w:val="none" w:sz="0" w:space="0" w:color="auto"/>
        <w:bottom w:val="none" w:sz="0" w:space="0" w:color="auto"/>
        <w:right w:val="none" w:sz="0" w:space="0" w:color="auto"/>
      </w:divBdr>
    </w:div>
    <w:div w:id="1846901890">
      <w:bodyDiv w:val="1"/>
      <w:marLeft w:val="0"/>
      <w:marRight w:val="0"/>
      <w:marTop w:val="0"/>
      <w:marBottom w:val="0"/>
      <w:divBdr>
        <w:top w:val="none" w:sz="0" w:space="0" w:color="auto"/>
        <w:left w:val="none" w:sz="0" w:space="0" w:color="auto"/>
        <w:bottom w:val="none" w:sz="0" w:space="0" w:color="auto"/>
        <w:right w:val="none" w:sz="0" w:space="0" w:color="auto"/>
      </w:divBdr>
      <w:divsChild>
        <w:div w:id="11031102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E5E0F-2E5A-4933-A6C5-6C8B8FD33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2560</Words>
  <Characters>14592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2021-11-26T09:49:00Z</dcterms:created>
  <dcterms:modified xsi:type="dcterms:W3CDTF">2022-01-14T16:04:00Z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20200226</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y fmtid="{D5CDD505-2E9C-101B-9397-08002B2CF9AE}" pid="9" name="MSIP_Label_5c7eb9de-735b-4a68-8fe4-c9c62709b012_Enabled">
    <vt:lpwstr>true</vt:lpwstr>
  </property>
  <property fmtid="{D5CDD505-2E9C-101B-9397-08002B2CF9AE}" pid="10" name="MSIP_Label_5c7eb9de-735b-4a68-8fe4-c9c62709b012_SetDate">
    <vt:lpwstr>2022-01-14T16:04:01Z</vt:lpwstr>
  </property>
  <property fmtid="{D5CDD505-2E9C-101B-9397-08002B2CF9AE}" pid="11" name="MSIP_Label_5c7eb9de-735b-4a68-8fe4-c9c62709b012_Method">
    <vt:lpwstr>Standard</vt:lpwstr>
  </property>
  <property fmtid="{D5CDD505-2E9C-101B-9397-08002B2CF9AE}" pid="12" name="MSIP_Label_5c7eb9de-735b-4a68-8fe4-c9c62709b012_Name">
    <vt:lpwstr>EBA Regular Use</vt:lpwstr>
  </property>
  <property fmtid="{D5CDD505-2E9C-101B-9397-08002B2CF9AE}" pid="13" name="MSIP_Label_5c7eb9de-735b-4a68-8fe4-c9c62709b012_SiteId">
    <vt:lpwstr>3bacb4ff-f1a2-4c92-b96c-e99fec826b68</vt:lpwstr>
  </property>
  <property fmtid="{D5CDD505-2E9C-101B-9397-08002B2CF9AE}" pid="14" name="MSIP_Label_5c7eb9de-735b-4a68-8fe4-c9c62709b012_ActionId">
    <vt:lpwstr>fefde99b-4ce6-4f54-948c-7317f86e8b1d</vt:lpwstr>
  </property>
  <property fmtid="{D5CDD505-2E9C-101B-9397-08002B2CF9AE}" pid="15" name="MSIP_Label_5c7eb9de-735b-4a68-8fe4-c9c62709b012_ContentBits">
    <vt:lpwstr>1</vt:lpwstr>
  </property>
</Properties>
</file>