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F31EAA" w14:textId="77777777" w:rsidR="00C90CF4" w:rsidRDefault="00E14AC7">
      <w:pPr>
        <w:pStyle w:val="Typedudocument"/>
      </w:pPr>
      <w:r>
        <w:t>PROVÁDĚCÍ NAŘÍZENÍ KOMISE (EU) 2021</w:t>
      </w:r>
      <w:r w:rsidR="006703F8">
        <w:t>/…</w:t>
      </w:r>
    </w:p>
    <w:p w14:paraId="07EC15C9" w14:textId="77777777" w:rsidR="00C90CF4" w:rsidRDefault="00E14AC7">
      <w:pPr>
        <w:pStyle w:val="Datedadoption"/>
      </w:pPr>
      <w:r>
        <w:t>ze dne 6. prosince 2021</w:t>
      </w:r>
      <w:r w:rsidR="006703F8">
        <w:t>,</w:t>
      </w:r>
    </w:p>
    <w:p w14:paraId="070C7213" w14:textId="77777777" w:rsidR="00C90CF4" w:rsidRDefault="006703F8">
      <w:pPr>
        <w:pStyle w:val="Titreobjet"/>
      </w:pPr>
      <w:r>
        <w:t>kterým se stanoví prováděcí technické normy pro uplatňování nařízení Evropského parlamentu a Rady (EU) 2019/2033, pokud jde o podávání zpráv pro účely dohledu a zpřístupňování informací investičními podniky</w:t>
      </w:r>
    </w:p>
    <w:p w14:paraId="03810345" w14:textId="77777777" w:rsidR="00C90CF4" w:rsidRDefault="006703F8">
      <w:pPr>
        <w:pStyle w:val="IntrtEEE"/>
      </w:pPr>
      <w:r>
        <w:t>(Text s významem pro EHP)</w:t>
      </w:r>
    </w:p>
    <w:p w14:paraId="076722AB" w14:textId="77777777" w:rsidR="00C90CF4" w:rsidRDefault="006703F8">
      <w:pPr>
        <w:pStyle w:val="Institutionquiagit"/>
      </w:pPr>
      <w:r>
        <w:t>EVROPSKÁ KOMISE,</w:t>
      </w:r>
    </w:p>
    <w:p w14:paraId="1AA9C13B" w14:textId="77777777" w:rsidR="00C90CF4" w:rsidRDefault="006703F8">
      <w:r>
        <w:t>s ohledem na Smlouvu o fungování Evropské unie,</w:t>
      </w:r>
    </w:p>
    <w:p w14:paraId="7D66B65E" w14:textId="77777777" w:rsidR="00C90CF4" w:rsidRDefault="006703F8">
      <w:r>
        <w:t>s ohledem na nařízení Evropského Parlamentu a Rady (EU) 2019/2033 ze dne 27. listopadu 2019 o obezřetnostních požadavcích na investiční podniky a o změně nařízení (EU) č. 1093/2010, (EU) č. 575/2013, (EU) č. 600/2014 a (EU) č. 806/2014 </w:t>
      </w:r>
      <w:r>
        <w:rPr>
          <w:rStyle w:val="FootnoteReference"/>
        </w:rPr>
        <w:footnoteReference w:id="1"/>
      </w:r>
      <w:r>
        <w:t>, a zejména na čl. 49 odst. 2 a čl. 54 odst. 3 uvedeného nařízení,</w:t>
      </w:r>
    </w:p>
    <w:p w14:paraId="686F2E5B" w14:textId="77777777" w:rsidR="00C90CF4" w:rsidRDefault="006703F8">
      <w:r>
        <w:t>vzhledem k těmto důvodům:</w:t>
      </w:r>
    </w:p>
    <w:p w14:paraId="0C523CCB" w14:textId="77777777" w:rsidR="00C90CF4" w:rsidRDefault="006703F8">
      <w:pPr>
        <w:pStyle w:val="Considrant"/>
        <w:numPr>
          <w:ilvl w:val="0"/>
          <w:numId w:val="0"/>
        </w:numPr>
        <w:tabs>
          <w:tab w:val="left" w:pos="709"/>
        </w:tabs>
        <w:ind w:left="709" w:hanging="709"/>
      </w:pPr>
      <w:r>
        <w:t>(1)</w:t>
      </w:r>
      <w:r>
        <w:tab/>
        <w:t>Požadavky na podávání zpráv investičními podniky stanovené v článku 54 nařízení (EU) 2019/2033 by měly být přizpůsobeny činnosti investičních podniků a měly by být přiměřené rozsahu a složitosti různých investičních podniků. Tyto požadavky by měly zejména zohlednit skutečnost, že některé investiční podniky mají být považovány za malé a nepropojené podle podmínek stanovených v článku 12 nařízení (EU) 2019/2033.</w:t>
      </w:r>
    </w:p>
    <w:p w14:paraId="49F2E228" w14:textId="77777777" w:rsidR="00C90CF4" w:rsidRDefault="006703F8">
      <w:pPr>
        <w:pStyle w:val="Considrant"/>
        <w:numPr>
          <w:ilvl w:val="0"/>
          <w:numId w:val="0"/>
        </w:numPr>
        <w:tabs>
          <w:tab w:val="left" w:pos="709"/>
        </w:tabs>
        <w:ind w:left="709" w:hanging="709"/>
      </w:pPr>
      <w:r>
        <w:t>(2)</w:t>
      </w:r>
      <w:r>
        <w:tab/>
        <w:t xml:space="preserve">Podle čl. 54 odst. 1 nařízení (EU) 2019/2033 mají malé a nepropojené investiční podniky předkládat zprávy o výši a složení svého kapitálu, svých kapitálových požadavcích, základu pro výpočet kapitálových požadavků a intenzitě činnosti ve vztahu k podmínkám stanoveným v čl. 12 odst. 1 nařízení (EU) 2019/2033. Malé a nepropojené podniky tedy nemusí předkládat zprávy na stejné úrovni podrobností jako ostatní investiční podniky, na které se vztahuje nařízení (EU) 2019/2033. Šablony pro podávání zpráv o výpočtu K-faktorů by se proto neměly vztahovat na malé a nepropojené podniky. Podle čl. 54 odst. 2 třetího pododstavce nařízení (EU) 2019/2033 </w:t>
      </w:r>
      <w:bookmarkStart w:id="0" w:name="_DV_C108"/>
      <w:r>
        <w:t>jsou navíc malé a nepropojené podniky osvobozeny od povinnosti podávat zprávy o riziku koncentrace a příslušné orgány mohou osvobodit malé a nepropojené podniky od povinnosti podávat zprávy o požadavcích na likviditu</w:t>
      </w:r>
      <w:bookmarkStart w:id="1" w:name="_DV_M108"/>
      <w:bookmarkEnd w:id="0"/>
      <w:bookmarkEnd w:id="1"/>
      <w:r>
        <w:t>.</w:t>
      </w:r>
    </w:p>
    <w:p w14:paraId="05DAEB08" w14:textId="77777777" w:rsidR="00C90CF4" w:rsidRDefault="006703F8">
      <w:pPr>
        <w:pStyle w:val="Considrant"/>
        <w:numPr>
          <w:ilvl w:val="0"/>
          <w:numId w:val="0"/>
        </w:numPr>
        <w:tabs>
          <w:tab w:val="left" w:pos="709"/>
        </w:tabs>
        <w:ind w:left="709" w:hanging="709"/>
      </w:pPr>
      <w:r>
        <w:t>(3)</w:t>
      </w:r>
      <w:r>
        <w:tab/>
        <w:t>Všechny investiční podniky, na které se vztahuje nařízení (EU) 2019/2033, by měly podávat zprávy o svém profilu činnosti a velikosti, na základě kterých příslušné orgány posoudí, zda tyto investiční podniky splňují podmínky stanovené v článku 12 nařízení (EU) 2019/2033 k tomu, aby mohly být považovány za malé a nepropojené investiční podniky.</w:t>
      </w:r>
    </w:p>
    <w:p w14:paraId="3A7744DC" w14:textId="77777777" w:rsidR="00C90CF4" w:rsidRDefault="006703F8">
      <w:pPr>
        <w:pStyle w:val="Considrant"/>
        <w:numPr>
          <w:ilvl w:val="0"/>
          <w:numId w:val="0"/>
        </w:numPr>
        <w:tabs>
          <w:tab w:val="left" w:pos="709"/>
        </w:tabs>
        <w:ind w:left="709" w:hanging="709"/>
      </w:pPr>
      <w:r>
        <w:t>(4)</w:t>
      </w:r>
      <w:r>
        <w:tab/>
        <w:t xml:space="preserve">Za účelem zajištění transparentnosti pro investory a širší trhy článek 46 nařízení (EU) 2019/2033 požaduje, aby investiční podniky, které nejsou malé a nepropojené investiční podniky, zpřístupnily informace uvedené v části šesté uvedeného nařízení. Na malé a nepropojené investiční podniky se požadavky na zpřístupňování těchto </w:t>
      </w:r>
      <w:r>
        <w:lastRenderedPageBreak/>
        <w:t>informací nevztahují, ledaže vydají nástroje zahrnované do vedlejšího kapitálu tier 1, a to za účelem zajištění transparentnosti vůči investorům v souvislosti s těmito nástroji.</w:t>
      </w:r>
    </w:p>
    <w:p w14:paraId="0C99732F" w14:textId="77777777" w:rsidR="00C90CF4" w:rsidRDefault="006703F8">
      <w:pPr>
        <w:pStyle w:val="Considrant"/>
        <w:numPr>
          <w:ilvl w:val="0"/>
          <w:numId w:val="0"/>
        </w:numPr>
        <w:tabs>
          <w:tab w:val="left" w:pos="709"/>
        </w:tabs>
        <w:ind w:left="709" w:hanging="709"/>
      </w:pPr>
      <w:r>
        <w:t>(5)</w:t>
      </w:r>
      <w:r>
        <w:tab/>
        <w:t>Toto nařízení by mělo investičním podnikům poskytnout šablony a tabulky, jež obsahují dostatečně komplexní a srovnatelné informace o složení a kvalitě jejich kapitálu. Přesněji řečeno je nutné zavést šablonu pro zpřístupňování kvantitativních informací o složení kapitálu a flexibilní šablonu pro sesouhlasení regulatorního kapitálu s auditovanou účetní závěrkou. Ze stejného důvodu je také nutné zavést šablonu obsahující informace o nejdůležitějších vlastnostech kapitálových nástrojů vydaných investičním podnikem.</w:t>
      </w:r>
    </w:p>
    <w:p w14:paraId="75E47B95" w14:textId="77777777" w:rsidR="00C90CF4" w:rsidRDefault="006703F8">
      <w:pPr>
        <w:pStyle w:val="Considrant"/>
        <w:numPr>
          <w:ilvl w:val="0"/>
          <w:numId w:val="0"/>
        </w:numPr>
        <w:tabs>
          <w:tab w:val="left" w:pos="709"/>
        </w:tabs>
        <w:ind w:left="709" w:hanging="709"/>
      </w:pPr>
      <w:r>
        <w:t>(6)</w:t>
      </w:r>
      <w:r>
        <w:tab/>
      </w:r>
      <w:r>
        <w:rPr>
          <w:color w:val="000000"/>
        </w:rPr>
        <w:t>Pro usnadnění plnění požadavků na podávání zpráv a zpřístupňování informací je nutné posílit soulad mezi šablonami pro podávání zpráv a zpřístupňování informací. Šablona pro zpřístupňování informací o složení kapitálu by proto měla být úzce sladěna se související šablonou pro podávání zpráv o výši a složení kapitálu. Ze stejného důvodu by měla být flexibilní šablona pro zpřístupňování informací o úplném sesouhlasení kapitálu s auditovanou účetní závěrkou, přičemž členění šablony by mělo vycházet z rozčlenění rozvahy v auditované účetní závěrce investičního podniku. Kromě toho by šablona pro zpřístupňování informací o hlavních vlastnostech regulatorního kapitálu měla být šablona s pevným formátem a její členitost by měla záviset na složitosti kapitálových nástrojů.</w:t>
      </w:r>
    </w:p>
    <w:p w14:paraId="37787E33" w14:textId="2CC0912A" w:rsidR="00C90CF4" w:rsidRDefault="006703F8" w:rsidP="00D32E26">
      <w:pPr>
        <w:pStyle w:val="Considrant"/>
        <w:numPr>
          <w:ilvl w:val="0"/>
          <w:numId w:val="0"/>
        </w:numPr>
        <w:tabs>
          <w:tab w:val="left" w:pos="709"/>
        </w:tabs>
        <w:ind w:left="709" w:hanging="709"/>
      </w:pPr>
      <w:r>
        <w:t>(7)</w:t>
      </w:r>
      <w:r>
        <w:tab/>
        <w:t>Aby se zajistilo, že náklady na zajištění souladu nebudou pro investiční podniky nepřiměřeně navýšeny a že bude zachována kvalita údajů, měly by být povinnosti týkající se podávání zpráv a zpřístupňování informací co nejvíce ve své podstatě vzájemně sladěny. Je proto vhodné stanovit normy platné pro požadavky na podávání zpráv a zpřístupňování informací v rámci jediného nařízení.</w:t>
      </w:r>
    </w:p>
    <w:p w14:paraId="248E3442" w14:textId="421E84A8" w:rsidR="00C90CF4" w:rsidRDefault="006703F8">
      <w:pPr>
        <w:pStyle w:val="Considrant"/>
        <w:numPr>
          <w:ilvl w:val="0"/>
          <w:numId w:val="0"/>
        </w:numPr>
        <w:tabs>
          <w:tab w:val="left" w:pos="709"/>
        </w:tabs>
        <w:ind w:left="709" w:hanging="709"/>
      </w:pPr>
      <w:r>
        <w:t>(</w:t>
      </w:r>
      <w:r w:rsidR="00D32E26">
        <w:t>8</w:t>
      </w:r>
      <w:r>
        <w:t>)</w:t>
      </w:r>
      <w:r>
        <w:tab/>
        <w:t>Toto nařízení vychází z návrhů prováděcích technických norem, které Komisi předložil Evropský orgán pro bankovnictví poté, co vedl konzultace s Evropským orgánem pro cenné papíry a trhy.</w:t>
      </w:r>
    </w:p>
    <w:p w14:paraId="7E77979F" w14:textId="56412455" w:rsidR="00C90CF4" w:rsidRDefault="006703F8">
      <w:pPr>
        <w:pStyle w:val="Considrant"/>
        <w:numPr>
          <w:ilvl w:val="0"/>
          <w:numId w:val="0"/>
        </w:numPr>
        <w:tabs>
          <w:tab w:val="left" w:pos="709"/>
        </w:tabs>
        <w:ind w:left="709" w:hanging="709"/>
      </w:pPr>
      <w:r>
        <w:t>(</w:t>
      </w:r>
      <w:r w:rsidR="00D32E26">
        <w:t>9</w:t>
      </w:r>
      <w:r>
        <w:t>)</w:t>
      </w:r>
      <w:r>
        <w:tab/>
        <w:t>Orgán EBA uskutečnil k návrhům prováděcích technických norem, z nichž toto nařízení vychází, otevřené veřejné konzultace, analyzoval potenciální související náklady a přínosy a požádal o stanovisko skupinu subjektů působících v bankovnictví zřízenou podle článku 37 nařízení Evropského parlamentu a Rady (EU) č. 1093/2010 </w:t>
      </w:r>
      <w:r>
        <w:rPr>
          <w:rStyle w:val="FootnoteReference"/>
        </w:rPr>
        <w:footnoteReference w:id="2"/>
      </w:r>
      <w:r>
        <w:t>,</w:t>
      </w:r>
    </w:p>
    <w:p w14:paraId="4D00B22F" w14:textId="77777777" w:rsidR="00C90CF4" w:rsidRDefault="006703F8">
      <w:pPr>
        <w:pStyle w:val="Formuledadoption"/>
      </w:pPr>
      <w:r>
        <w:t>PŘIJALA TOTO NAŘÍZENÍ:</w:t>
      </w:r>
    </w:p>
    <w:p w14:paraId="2EC0A5FE" w14:textId="77777777" w:rsidR="00C90CF4" w:rsidRDefault="006703F8">
      <w:pPr>
        <w:pStyle w:val="ChapterTitle"/>
      </w:pPr>
      <w:r>
        <w:t>KAPITOLA I</w:t>
      </w:r>
    </w:p>
    <w:p w14:paraId="2FACD0D9" w14:textId="77777777" w:rsidR="00C90CF4" w:rsidRDefault="006703F8">
      <w:pPr>
        <w:pStyle w:val="ChapterTitle"/>
      </w:pPr>
      <w:r>
        <w:t>PODÁVÁNÍ ZPRÁV PRO ÚČELY DOHLEDU</w:t>
      </w:r>
    </w:p>
    <w:p w14:paraId="13D4EAED" w14:textId="77777777" w:rsidR="00C90CF4" w:rsidRDefault="006703F8">
      <w:pPr>
        <w:pStyle w:val="Titrearticle"/>
      </w:pPr>
      <w:r>
        <w:t>Článek 1</w:t>
      </w:r>
    </w:p>
    <w:p w14:paraId="6A45549F" w14:textId="77777777" w:rsidR="00C90CF4" w:rsidRDefault="006703F8">
      <w:pPr>
        <w:pStyle w:val="Titrearticle"/>
        <w:spacing w:before="120"/>
        <w:rPr>
          <w:b/>
          <w:i w:val="0"/>
        </w:rPr>
      </w:pPr>
      <w:r>
        <w:rPr>
          <w:b/>
          <w:i w:val="0"/>
        </w:rPr>
        <w:t>Referenční data vykazování</w:t>
      </w:r>
    </w:p>
    <w:p w14:paraId="00CC3F64" w14:textId="77777777" w:rsidR="00C90CF4" w:rsidRDefault="006703F8">
      <w:pPr>
        <w:pStyle w:val="NumPar1"/>
        <w:numPr>
          <w:ilvl w:val="0"/>
          <w:numId w:val="0"/>
        </w:numPr>
        <w:tabs>
          <w:tab w:val="left" w:pos="567"/>
        </w:tabs>
      </w:pPr>
      <w:r>
        <w:t>1.</w:t>
      </w:r>
      <w:r>
        <w:tab/>
        <w:t>Informace uvedené v čl. 54 odst. 1 nařízení se vykazují podle platnosti těchto informací k následujícím referenčním datům vykazování:</w:t>
      </w:r>
    </w:p>
    <w:p w14:paraId="36A89AD2" w14:textId="77777777" w:rsidR="00C90CF4" w:rsidRDefault="006703F8">
      <w:pPr>
        <w:pStyle w:val="Point1"/>
        <w:ind w:left="567"/>
      </w:pPr>
      <w:r>
        <w:lastRenderedPageBreak/>
        <w:t>a)</w:t>
      </w:r>
      <w:r>
        <w:tab/>
        <w:t>čtvrtletní vykazování: ke dni 31. března, 30. června, 30. září a 31. prosince;</w:t>
      </w:r>
    </w:p>
    <w:p w14:paraId="7D484CAB" w14:textId="77777777" w:rsidR="00C90CF4" w:rsidRDefault="006703F8">
      <w:pPr>
        <w:pStyle w:val="Point1"/>
        <w:ind w:left="567"/>
      </w:pPr>
      <w:r>
        <w:t>b)</w:t>
      </w:r>
      <w:r>
        <w:tab/>
        <w:t>roční vykazování: ke dni 31. prosince.</w:t>
      </w:r>
    </w:p>
    <w:p w14:paraId="59B23461" w14:textId="77777777" w:rsidR="00C90CF4" w:rsidRDefault="006703F8">
      <w:pPr>
        <w:pStyle w:val="NumPar1"/>
        <w:numPr>
          <w:ilvl w:val="0"/>
          <w:numId w:val="0"/>
        </w:numPr>
        <w:tabs>
          <w:tab w:val="left" w:pos="567"/>
        </w:tabs>
      </w:pPr>
      <w:r>
        <w:t>2.</w:t>
      </w:r>
      <w:r>
        <w:tab/>
        <w:t>Referenční data vykazování uvedená v odstavci 1 lze upravit, pokud je investičním podnikům podle vnitrostátních právních předpisů povoleno vykazovat své finanční informace na konci účetního období, které se liší od kalendářního roku. Čtvrtletní vykazování informací se tedy provádí každé tři měsíce příslušného účetního období a roční vykazování se provádí na konci účetního období.</w:t>
      </w:r>
    </w:p>
    <w:p w14:paraId="24905B9C" w14:textId="77777777" w:rsidR="00C90CF4" w:rsidRDefault="006703F8">
      <w:pPr>
        <w:pStyle w:val="Titrearticle"/>
      </w:pPr>
      <w:r>
        <w:t>Článek 2</w:t>
      </w:r>
    </w:p>
    <w:p w14:paraId="51173880" w14:textId="77777777" w:rsidR="00C90CF4" w:rsidRDefault="006703F8">
      <w:pPr>
        <w:pStyle w:val="Titrearticle"/>
        <w:spacing w:before="120"/>
        <w:rPr>
          <w:b/>
          <w:i w:val="0"/>
        </w:rPr>
      </w:pPr>
      <w:r>
        <w:rPr>
          <w:b/>
          <w:i w:val="0"/>
        </w:rPr>
        <w:t>Lhůty pro zasílání zpráv</w:t>
      </w:r>
    </w:p>
    <w:p w14:paraId="02DF759F" w14:textId="77777777" w:rsidR="00C90CF4" w:rsidRDefault="006703F8">
      <w:pPr>
        <w:pStyle w:val="NumPar1"/>
        <w:numPr>
          <w:ilvl w:val="0"/>
          <w:numId w:val="0"/>
        </w:numPr>
        <w:tabs>
          <w:tab w:val="left" w:pos="567"/>
        </w:tabs>
      </w:pPr>
      <w:r>
        <w:t>1.</w:t>
      </w:r>
      <w:r>
        <w:tab/>
        <w:t>Informace uvedené v čl. 54 odst. 1 nařízení (EU) 2019/2033 se předkládají do konce běžné pracovní doby k následujícím datům pro zasílání zpráv:</w:t>
      </w:r>
    </w:p>
    <w:p w14:paraId="51B0168C" w14:textId="77777777" w:rsidR="00C90CF4" w:rsidRDefault="006703F8">
      <w:pPr>
        <w:pStyle w:val="Point1"/>
        <w:ind w:left="567"/>
      </w:pPr>
      <w:r>
        <w:t>a)</w:t>
      </w:r>
      <w:r>
        <w:tab/>
        <w:t>čtvrtletní vykazování: ke dni 12. května, 11. srpna, 11. listopadu a 11. února;</w:t>
      </w:r>
    </w:p>
    <w:p w14:paraId="6B5DE521" w14:textId="77777777" w:rsidR="00C90CF4" w:rsidRDefault="006703F8">
      <w:pPr>
        <w:pStyle w:val="Point1"/>
        <w:ind w:left="567"/>
      </w:pPr>
      <w:r>
        <w:t>b)</w:t>
      </w:r>
      <w:r>
        <w:tab/>
        <w:t>roční vykazování: ke dni 11. února.</w:t>
      </w:r>
    </w:p>
    <w:p w14:paraId="0C2C25E4" w14:textId="77777777" w:rsidR="00C90CF4" w:rsidRDefault="006703F8">
      <w:pPr>
        <w:pStyle w:val="NumPar1"/>
        <w:numPr>
          <w:ilvl w:val="0"/>
          <w:numId w:val="0"/>
        </w:numPr>
        <w:tabs>
          <w:tab w:val="left" w:pos="567"/>
        </w:tabs>
      </w:pPr>
      <w:r>
        <w:t>2.</w:t>
      </w:r>
      <w:r>
        <w:tab/>
        <w:t>Připadá-li v členském státě příslušného orgánu, jemuž se zpráva předkládá, lhůta pro zaslání zprávy na státní svátek nebo na sobotu či na neděli, je lhůtou pro zaslání zprávy nejbližší následující pracovní den.</w:t>
      </w:r>
    </w:p>
    <w:p w14:paraId="14B65BE5" w14:textId="77777777" w:rsidR="00C90CF4" w:rsidRDefault="006703F8">
      <w:pPr>
        <w:pStyle w:val="NumPar1"/>
        <w:numPr>
          <w:ilvl w:val="0"/>
          <w:numId w:val="0"/>
        </w:numPr>
        <w:tabs>
          <w:tab w:val="left" w:pos="567"/>
        </w:tabs>
      </w:pPr>
      <w:r>
        <w:t>3.</w:t>
      </w:r>
      <w:r>
        <w:tab/>
        <w:t>Vykazují-li investiční podniky své informace v souladu s ustanovením čl. 1 odst. 2 tohoto nařízení na základě upravených referenčních dat odpovídajících konci účetního roku, mohou být příslušným způsobem upraveny lhůty pro zasílání zpráv, tak aby byla zachována délka období od upraveného referenčního data vykazování.</w:t>
      </w:r>
    </w:p>
    <w:p w14:paraId="32F01F48" w14:textId="77777777" w:rsidR="00C90CF4" w:rsidRDefault="006703F8">
      <w:pPr>
        <w:pStyle w:val="NumPar1"/>
        <w:numPr>
          <w:ilvl w:val="0"/>
          <w:numId w:val="0"/>
        </w:numPr>
        <w:tabs>
          <w:tab w:val="left" w:pos="567"/>
        </w:tabs>
      </w:pPr>
      <w:r>
        <w:t>4.</w:t>
      </w:r>
      <w:r>
        <w:tab/>
        <w:t>Investiční podniky mohou předkládat neauditované údaje. Pokud se auditované údaje liší od předložených neauditovaných údajů, musí být bez zbytečného prodlení předloženy revidované auditované údaje. Pro účely tohoto článku se „neauditovanými údaji“ rozumí údaje, k nimž nebylo předáno stanovisko externího auditora, zatímco údaje auditované jsou naopak údaje, u nichž externí auditor provedl audit a vydal k nim výrok auditora.</w:t>
      </w:r>
    </w:p>
    <w:p w14:paraId="40ECE4BF" w14:textId="77777777" w:rsidR="00C90CF4" w:rsidRDefault="006703F8">
      <w:pPr>
        <w:pStyle w:val="NumPar1"/>
        <w:numPr>
          <w:ilvl w:val="0"/>
          <w:numId w:val="0"/>
        </w:numPr>
        <w:tabs>
          <w:tab w:val="left" w:pos="567"/>
        </w:tabs>
      </w:pPr>
      <w:r>
        <w:t>5.</w:t>
      </w:r>
      <w:r>
        <w:tab/>
        <w:t>Jakékoli opravy předložených zpráv se příslušným orgánům předkládají bez zbytečného odkladu.</w:t>
      </w:r>
    </w:p>
    <w:p w14:paraId="5B105A30" w14:textId="77777777" w:rsidR="00C90CF4" w:rsidRDefault="006703F8">
      <w:pPr>
        <w:pStyle w:val="Titrearticle"/>
      </w:pPr>
      <w:r>
        <w:t>Článek 3</w:t>
      </w:r>
    </w:p>
    <w:p w14:paraId="1D60C55F" w14:textId="77777777" w:rsidR="00C90CF4" w:rsidRDefault="006703F8">
      <w:pPr>
        <w:pStyle w:val="Titrearticle"/>
        <w:spacing w:before="120"/>
        <w:rPr>
          <w:b/>
          <w:i w:val="0"/>
        </w:rPr>
      </w:pPr>
      <w:r>
        <w:rPr>
          <w:b/>
          <w:i w:val="0"/>
        </w:rPr>
        <w:t>Uplatňování požadavků na podávání zpráv na individuálním základě</w:t>
      </w:r>
    </w:p>
    <w:p w14:paraId="24809080" w14:textId="77777777" w:rsidR="00C90CF4" w:rsidRDefault="006703F8">
      <w:r>
        <w:t>S</w:t>
      </w:r>
      <w:r>
        <w:rPr>
          <w:b/>
          <w:i/>
        </w:rPr>
        <w:t> </w:t>
      </w:r>
      <w:r>
        <w:t>cílem splnit požadavky na podávání zpráv podle článku 54 nařízení (EU) 2019/2033 na individuálním základě investiční podniky vykazují informace uvedené v článcích 5, 6 a 7 tohoto nařízení s četností v nich stanovenou.</w:t>
      </w:r>
    </w:p>
    <w:p w14:paraId="733440CF" w14:textId="77777777" w:rsidR="00C90CF4" w:rsidRDefault="006703F8">
      <w:pPr>
        <w:pStyle w:val="Titrearticle"/>
      </w:pPr>
      <w:r>
        <w:t>Článek 4</w:t>
      </w:r>
    </w:p>
    <w:p w14:paraId="36A73BE3" w14:textId="77777777" w:rsidR="00C90CF4" w:rsidRDefault="006703F8">
      <w:pPr>
        <w:pStyle w:val="Titrearticle"/>
        <w:spacing w:before="120"/>
        <w:rPr>
          <w:b/>
          <w:i w:val="0"/>
        </w:rPr>
      </w:pPr>
      <w:r>
        <w:rPr>
          <w:b/>
          <w:i w:val="0"/>
        </w:rPr>
        <w:t>Uplatňování požadavků na podávání zpráv na konsolidovaném základě</w:t>
      </w:r>
    </w:p>
    <w:p w14:paraId="48B14284" w14:textId="77777777" w:rsidR="00C90CF4" w:rsidRDefault="006703F8">
      <w:pPr>
        <w:rPr>
          <w:i/>
        </w:rPr>
      </w:pPr>
      <w:r>
        <w:t>S</w:t>
      </w:r>
      <w:r>
        <w:rPr>
          <w:b/>
          <w:i/>
        </w:rPr>
        <w:t> </w:t>
      </w:r>
      <w:r>
        <w:t>cílem splnit požadavky na podávání zpráv podle článku 54 nařízení (EU) 2019/2033 na konsolidovaném základě investiční podniky vykazují informace uvedené v článcích 5 a 6 tohoto prováděcího nařízení s četností v nich stanovenou.</w:t>
      </w:r>
    </w:p>
    <w:p w14:paraId="53518DA1" w14:textId="77777777" w:rsidR="00C90CF4" w:rsidRDefault="006703F8">
      <w:pPr>
        <w:pStyle w:val="Titrearticle"/>
      </w:pPr>
      <w:r>
        <w:lastRenderedPageBreak/>
        <w:t>Článek 5</w:t>
      </w:r>
    </w:p>
    <w:p w14:paraId="7AB344DB" w14:textId="77777777" w:rsidR="00C90CF4" w:rsidRDefault="006703F8">
      <w:pPr>
        <w:pStyle w:val="Titrearticle"/>
        <w:spacing w:before="120"/>
        <w:rPr>
          <w:b/>
          <w:i w:val="0"/>
        </w:rPr>
      </w:pPr>
      <w:r>
        <w:rPr>
          <w:b/>
          <w:i w:val="0"/>
        </w:rPr>
        <w:t>Formát a četnost podávání zpráv investičními podniky, které nejsou malé a nepropojené investiční podniky</w:t>
      </w:r>
    </w:p>
    <w:p w14:paraId="4A6590ED" w14:textId="77777777" w:rsidR="00C90CF4" w:rsidRDefault="006703F8">
      <w:pPr>
        <w:pStyle w:val="NumPar1"/>
        <w:numPr>
          <w:ilvl w:val="0"/>
          <w:numId w:val="0"/>
        </w:numPr>
        <w:tabs>
          <w:tab w:val="left" w:pos="567"/>
        </w:tabs>
      </w:pPr>
      <w:r>
        <w:t>1.</w:t>
      </w:r>
      <w:r>
        <w:tab/>
        <w:t>Investiční podniky, které nejsou malé a nepropojené investiční podniky, vykazují informace požadované podle čl. 54 odst. 1 a 2 nařízení (EU) 2019/2033 pomocí šablon obsažených v příloze I tohoto nařízení v souladu s pokyny uvedenými v příloze II tohoto nařízení čtvrtletně.</w:t>
      </w:r>
    </w:p>
    <w:p w14:paraId="3575A83E" w14:textId="77777777" w:rsidR="00C90CF4" w:rsidRDefault="006703F8">
      <w:pPr>
        <w:pStyle w:val="NumPar1"/>
        <w:numPr>
          <w:ilvl w:val="0"/>
          <w:numId w:val="0"/>
        </w:numPr>
        <w:tabs>
          <w:tab w:val="left" w:pos="567"/>
        </w:tabs>
        <w:rPr>
          <w:szCs w:val="24"/>
        </w:rPr>
      </w:pPr>
      <w:r>
        <w:rPr>
          <w:szCs w:val="24"/>
        </w:rPr>
        <w:t>2.</w:t>
      </w:r>
      <w:r>
        <w:rPr>
          <w:szCs w:val="24"/>
        </w:rPr>
        <w:tab/>
      </w:r>
      <w:r>
        <w:t>Investiční podniky, které nejsou malé a nepropojené investiční podniky a které určují požadavek dle K-faktorů ve vztahu k riziku pro trh (RtM) na základě K-NPR v souladu s čl. 21 odst. 1 nařízení (EU) 2019/2033, vykazují informace uvedené v šablonách C 18.00 až C 24.00 přílohy I prováděcího nařízení Komise (EU) 2021/451</w:t>
      </w:r>
      <w:r w:rsidR="00E14AC7">
        <w:rPr>
          <w:rStyle w:val="FootnoteReference"/>
        </w:rPr>
        <w:footnoteReference w:id="3"/>
      </w:r>
      <w:r>
        <w:t xml:space="preserve"> v souladu s pokyny uvedenými v části 2 přílohy II uvedeného prováděcího nařízení čtvrtletně.</w:t>
      </w:r>
    </w:p>
    <w:p w14:paraId="7DC42BAF" w14:textId="77777777" w:rsidR="00C90CF4" w:rsidRDefault="006703F8">
      <w:pPr>
        <w:pStyle w:val="NumPar1"/>
        <w:numPr>
          <w:ilvl w:val="0"/>
          <w:numId w:val="0"/>
        </w:numPr>
        <w:tabs>
          <w:tab w:val="left" w:pos="567"/>
        </w:tabs>
        <w:rPr>
          <w:szCs w:val="24"/>
        </w:rPr>
      </w:pPr>
      <w:r>
        <w:rPr>
          <w:szCs w:val="24"/>
        </w:rPr>
        <w:t>3.</w:t>
      </w:r>
      <w:r>
        <w:rPr>
          <w:szCs w:val="24"/>
        </w:rPr>
        <w:tab/>
      </w:r>
      <w:r>
        <w:t>Investiční podniky, které nejsou malé a nepropojené investiční podniky a které uplatňují výjimku stanovenou v čl. 25 odst. 4 nařízení (EU) 2019/2033, vykazují informace uvedené v šabloně C 34.02 příloh</w:t>
      </w:r>
      <w:r w:rsidR="00E14AC7">
        <w:t xml:space="preserve">y I prováděcího nařízení </w:t>
      </w:r>
      <w:r>
        <w:t>(EU) 2021/451 v souladu s pokyny uvedenými v části 2 přílohy II uvedeného prováděcího nařízení čtvrtletně.</w:t>
      </w:r>
    </w:p>
    <w:p w14:paraId="69CCDE9E" w14:textId="77777777" w:rsidR="00C90CF4" w:rsidRDefault="006703F8">
      <w:pPr>
        <w:pStyle w:val="NumPar1"/>
        <w:numPr>
          <w:ilvl w:val="0"/>
          <w:numId w:val="0"/>
        </w:numPr>
        <w:tabs>
          <w:tab w:val="left" w:pos="567"/>
        </w:tabs>
        <w:rPr>
          <w:szCs w:val="24"/>
        </w:rPr>
      </w:pPr>
      <w:r>
        <w:rPr>
          <w:szCs w:val="24"/>
        </w:rPr>
        <w:t>4.</w:t>
      </w:r>
      <w:r>
        <w:rPr>
          <w:szCs w:val="24"/>
        </w:rPr>
        <w:tab/>
      </w:r>
      <w:r>
        <w:t>Investiční podniky, které nejsou malé a nepropojené investiční podniky a které uplatňují výjimku stanovenou v čl. 25 odst. 5 druhém pododstavci nařízení (EU) 2019/2033, vykazují informace uvedené v šabloně C 25.00 přílohy I prováděcího nařízení (EU) 2021/451 v souladu s pokyny uvedenými v části 2 přílohy II uvedeného prováděcího nařízení čtvrtletně.</w:t>
      </w:r>
    </w:p>
    <w:p w14:paraId="738551F3" w14:textId="77777777" w:rsidR="00C90CF4" w:rsidRDefault="006703F8">
      <w:pPr>
        <w:pStyle w:val="Titrearticle"/>
      </w:pPr>
      <w:r>
        <w:t>Článek 6</w:t>
      </w:r>
    </w:p>
    <w:p w14:paraId="5CA5CF76" w14:textId="77777777" w:rsidR="00C90CF4" w:rsidRDefault="006703F8">
      <w:pPr>
        <w:pStyle w:val="Titrearticle"/>
        <w:spacing w:before="120"/>
        <w:rPr>
          <w:b/>
          <w:i w:val="0"/>
        </w:rPr>
      </w:pPr>
      <w:r>
        <w:rPr>
          <w:b/>
          <w:i w:val="0"/>
        </w:rPr>
        <w:t>Formát a četnost podávání zpráv malými a nepropojenými investičními podniky</w:t>
      </w:r>
    </w:p>
    <w:p w14:paraId="6014C931" w14:textId="77777777" w:rsidR="00C90CF4" w:rsidRDefault="006703F8">
      <w:pPr>
        <w:pStyle w:val="NumPar1"/>
        <w:numPr>
          <w:ilvl w:val="0"/>
          <w:numId w:val="0"/>
        </w:numPr>
        <w:tabs>
          <w:tab w:val="left" w:pos="567"/>
        </w:tabs>
      </w:pPr>
      <w:r>
        <w:t>1.</w:t>
      </w:r>
      <w:r>
        <w:tab/>
        <w:t>Malé a nepropojené investiční podniky vykazují informace uvedené v šablonách přílohy III tohoto nařízení v souladu s pokyny uvedenými v příloze IV tohoto nařízení ročně. Investiční podniky, které uplatňují výjimku uvedenou v čl. 43 odst. 1 druhém pododstavci nařízení (EU) 2019/2033, jsou osvobozeny od povinnosti předkládat informace uvedené v šabloně IF 09.01 obsažené v příloze III tohoto nařízení.</w:t>
      </w:r>
    </w:p>
    <w:p w14:paraId="18774926" w14:textId="77777777" w:rsidR="00C90CF4" w:rsidRDefault="006703F8">
      <w:pPr>
        <w:pStyle w:val="Titrearticle"/>
      </w:pPr>
      <w:r>
        <w:t>Článek 7</w:t>
      </w:r>
    </w:p>
    <w:p w14:paraId="333E034F" w14:textId="77777777" w:rsidR="00C90CF4" w:rsidRDefault="006703F8">
      <w:pPr>
        <w:pStyle w:val="Titrearticle"/>
        <w:spacing w:before="120"/>
        <w:rPr>
          <w:b/>
          <w:i w:val="0"/>
        </w:rPr>
      </w:pPr>
      <w:r>
        <w:rPr>
          <w:b/>
          <w:i w:val="0"/>
        </w:rPr>
        <w:t>Formát a četnost podávání zpráv subjekty, které mají prospěch z použití článku 8 nařízení (EU) 2019/2033</w:t>
      </w:r>
    </w:p>
    <w:p w14:paraId="6D11B2A1" w14:textId="77777777" w:rsidR="00C90CF4" w:rsidRDefault="006703F8">
      <w:pPr>
        <w:rPr>
          <w:rFonts w:eastAsia="Times New Roman"/>
          <w:szCs w:val="24"/>
        </w:rPr>
      </w:pPr>
      <w:r>
        <w:t>Odchylně od článku 4 tohoto nařízení vykazují subjekty uvedené v čl. 8 odst. 3 nařízení (EU) 2019/2033, které mají prospěch z použití uvedeného článku, informace uvedené v šablonách obsažených v příloze VIII tohoto nařízení v souladu s pokyny stanovenými v příloze IX tohoto nařízení čtvrtletně.</w:t>
      </w:r>
    </w:p>
    <w:p w14:paraId="5AFECEE3" w14:textId="77777777" w:rsidR="00C90CF4" w:rsidRDefault="006703F8">
      <w:pPr>
        <w:pStyle w:val="Titrearticle"/>
      </w:pPr>
      <w:r>
        <w:t>Článek 8</w:t>
      </w:r>
    </w:p>
    <w:p w14:paraId="7C53B2CD" w14:textId="77777777" w:rsidR="00C90CF4" w:rsidRDefault="006703F8">
      <w:pPr>
        <w:pStyle w:val="Titrearticle"/>
        <w:spacing w:before="120"/>
        <w:rPr>
          <w:b/>
          <w:i w:val="0"/>
        </w:rPr>
      </w:pPr>
      <w:r>
        <w:rPr>
          <w:b/>
          <w:i w:val="0"/>
        </w:rPr>
        <w:t>Přesnost údajů a informace související s předkládáním zpráv</w:t>
      </w:r>
    </w:p>
    <w:p w14:paraId="31FF6898" w14:textId="77777777" w:rsidR="00C90CF4" w:rsidRDefault="006703F8">
      <w:pPr>
        <w:pStyle w:val="NumPar1"/>
        <w:numPr>
          <w:ilvl w:val="0"/>
          <w:numId w:val="0"/>
        </w:numPr>
        <w:tabs>
          <w:tab w:val="left" w:pos="567"/>
        </w:tabs>
      </w:pPr>
      <w:r>
        <w:t>1.</w:t>
      </w:r>
      <w:r>
        <w:tab/>
        <w:t xml:space="preserve">Investiční podniky předkládají informace, na něž se odkazuje v tomto nařízení, ve formátech pro výměnu údajů a ve výkazech, jež určí příslušné orgány a jež se řídí definicemi </w:t>
      </w:r>
      <w:r>
        <w:lastRenderedPageBreak/>
        <w:t>datových polí obsaženými v modelu datových polí a vzorci pro ověřování platnosti podle přílohy V, přičemž musí splňovat také následující parametry:</w:t>
      </w:r>
    </w:p>
    <w:p w14:paraId="2E5C6E74" w14:textId="77777777" w:rsidR="00C90CF4" w:rsidRDefault="006703F8">
      <w:pPr>
        <w:pStyle w:val="Point1"/>
        <w:ind w:left="567"/>
      </w:pPr>
      <w:r>
        <w:t>a)</w:t>
      </w:r>
      <w:r>
        <w:tab/>
        <w:t>součástí předkládaných údajů nejsou informace, které nejsou vyžadovány nebo nejsou v daném případě relevantní;</w:t>
      </w:r>
    </w:p>
    <w:p w14:paraId="2B062CD0" w14:textId="77777777" w:rsidR="00C90CF4" w:rsidRDefault="006703F8">
      <w:pPr>
        <w:pStyle w:val="Point1"/>
        <w:ind w:left="567"/>
      </w:pPr>
      <w:r>
        <w:t>b)</w:t>
      </w:r>
      <w:r>
        <w:tab/>
        <w:t>číselné hodnoty se fakticky vykazují podle následujících pravidel:</w:t>
      </w:r>
    </w:p>
    <w:p w14:paraId="26F1E4C8" w14:textId="77777777" w:rsidR="00C90CF4" w:rsidRDefault="006703F8">
      <w:pPr>
        <w:pStyle w:val="Point2"/>
        <w:ind w:left="1134"/>
      </w:pPr>
      <w:r>
        <w:t>i)</w:t>
      </w:r>
      <w:r>
        <w:tab/>
        <w:t>datové body s údaji typu „měna“ se vykazují s minimální přesností odpovídající tisícům jednotek;</w:t>
      </w:r>
    </w:p>
    <w:p w14:paraId="28E28F7E" w14:textId="77777777" w:rsidR="00C90CF4" w:rsidRDefault="006703F8">
      <w:pPr>
        <w:pStyle w:val="Point2"/>
        <w:ind w:left="1134"/>
      </w:pPr>
      <w:r>
        <w:t>ii)</w:t>
      </w:r>
      <w:r>
        <w:tab/>
        <w:t>datové body s údaji typu „procento“ se pro každou jednotku vyjádří s minimální přesností odpovídající čtyřem desetinným místům;</w:t>
      </w:r>
    </w:p>
    <w:p w14:paraId="16A7AF84" w14:textId="77777777" w:rsidR="00C90CF4" w:rsidRDefault="006703F8">
      <w:pPr>
        <w:pStyle w:val="Point2"/>
        <w:ind w:left="1134"/>
      </w:pPr>
      <w:r>
        <w:t>iii)</w:t>
      </w:r>
      <w:r>
        <w:tab/>
        <w:t>datové body s údaji typu „celé číslo“ se vykazují s přesností odpovídající jednotkám bez desetinných míst.</w:t>
      </w:r>
    </w:p>
    <w:p w14:paraId="3A050D28" w14:textId="77777777" w:rsidR="00C90CF4" w:rsidRDefault="006703F8">
      <w:pPr>
        <w:pStyle w:val="NumPar1"/>
        <w:numPr>
          <w:ilvl w:val="0"/>
          <w:numId w:val="0"/>
        </w:numPr>
        <w:tabs>
          <w:tab w:val="left" w:pos="567"/>
        </w:tabs>
      </w:pPr>
      <w:r>
        <w:t>2.</w:t>
      </w:r>
      <w:r>
        <w:tab/>
        <w:t>Investiční podniky se označují svým identifikačním kódem právnické osoby (LEI). Právnické osoby a protistrany jiné než investiční podniky jsou identifikovány pomocí jejich LEI, je-li k dispozici.</w:t>
      </w:r>
    </w:p>
    <w:p w14:paraId="6ED685D4" w14:textId="77777777" w:rsidR="00C90CF4" w:rsidRDefault="006703F8">
      <w:pPr>
        <w:pStyle w:val="NumPar1"/>
        <w:numPr>
          <w:ilvl w:val="0"/>
          <w:numId w:val="0"/>
        </w:numPr>
        <w:tabs>
          <w:tab w:val="left" w:pos="567"/>
        </w:tabs>
      </w:pPr>
      <w:r>
        <w:t>3.</w:t>
      </w:r>
      <w:r>
        <w:tab/>
        <w:t>Informace předkládané investičními podniky v souladu s tímto nařízením jsou doprovázeny následujícími informacemi:</w:t>
      </w:r>
    </w:p>
    <w:p w14:paraId="36D90F1A" w14:textId="77777777" w:rsidR="00C90CF4" w:rsidRDefault="006703F8">
      <w:pPr>
        <w:pStyle w:val="Point1"/>
        <w:ind w:left="567"/>
      </w:pPr>
      <w:r>
        <w:t>a)</w:t>
      </w:r>
      <w:r>
        <w:tab/>
        <w:t>referenčním datem vykazování a referenčním obdobím;</w:t>
      </w:r>
    </w:p>
    <w:p w14:paraId="4025204D" w14:textId="77777777" w:rsidR="00C90CF4" w:rsidRDefault="006703F8">
      <w:pPr>
        <w:pStyle w:val="Point1"/>
        <w:ind w:left="567"/>
      </w:pPr>
      <w:r>
        <w:t>b)</w:t>
      </w:r>
      <w:r>
        <w:tab/>
        <w:t>vykazovací měnou;</w:t>
      </w:r>
    </w:p>
    <w:p w14:paraId="6B550B3A" w14:textId="77777777" w:rsidR="00C90CF4" w:rsidRDefault="006703F8">
      <w:pPr>
        <w:pStyle w:val="Point1"/>
        <w:ind w:left="567"/>
      </w:pPr>
      <w:r>
        <w:t>c)</w:t>
      </w:r>
      <w:r>
        <w:tab/>
        <w:t>účetním standardem;</w:t>
      </w:r>
    </w:p>
    <w:p w14:paraId="389CA76F" w14:textId="77777777" w:rsidR="00C90CF4" w:rsidRDefault="006703F8">
      <w:pPr>
        <w:pStyle w:val="Point1"/>
        <w:ind w:left="567"/>
      </w:pPr>
      <w:r>
        <w:t>d)</w:t>
      </w:r>
      <w:r>
        <w:tab/>
        <w:t>identifikačním kódem právnické osoby (LEI) vykazující instituce;</w:t>
      </w:r>
    </w:p>
    <w:p w14:paraId="6CD00E6F" w14:textId="77777777" w:rsidR="00C90CF4" w:rsidRDefault="006703F8">
      <w:pPr>
        <w:pStyle w:val="Point1"/>
        <w:ind w:left="567"/>
      </w:pPr>
      <w:r>
        <w:t>e)</w:t>
      </w:r>
      <w:r>
        <w:tab/>
        <w:t>rozsahem konsolidace.</w:t>
      </w:r>
    </w:p>
    <w:p w14:paraId="04C6B29C" w14:textId="77777777" w:rsidR="00C90CF4" w:rsidRDefault="006703F8">
      <w:pPr>
        <w:pStyle w:val="ChapterTitle"/>
      </w:pPr>
      <w:r>
        <w:t>KAPITOLA II</w:t>
      </w:r>
    </w:p>
    <w:p w14:paraId="55BECEEE" w14:textId="77777777" w:rsidR="00C90CF4" w:rsidRDefault="006703F8">
      <w:pPr>
        <w:pStyle w:val="ChapterTitle"/>
      </w:pPr>
      <w:r>
        <w:t>ZPŘÍSTUPŇOVÁNÍ INFORMACÍ INVESTIČNÍMI PODNIKY</w:t>
      </w:r>
    </w:p>
    <w:p w14:paraId="14156C83" w14:textId="77777777" w:rsidR="00C90CF4" w:rsidRDefault="006703F8">
      <w:pPr>
        <w:pStyle w:val="Titrearticle"/>
      </w:pPr>
      <w:r>
        <w:t>Článek 9</w:t>
      </w:r>
    </w:p>
    <w:p w14:paraId="14F08E39" w14:textId="77777777" w:rsidR="00C90CF4" w:rsidRDefault="006703F8">
      <w:pPr>
        <w:pStyle w:val="Titrearticle"/>
        <w:spacing w:before="120"/>
        <w:rPr>
          <w:b/>
          <w:i w:val="0"/>
        </w:rPr>
      </w:pPr>
      <w:r>
        <w:rPr>
          <w:b/>
          <w:i w:val="0"/>
        </w:rPr>
        <w:t>Zásady zpřístupňování informací</w:t>
      </w:r>
    </w:p>
    <w:p w14:paraId="6B8CCFC2" w14:textId="77777777" w:rsidR="00C90CF4" w:rsidRDefault="006703F8">
      <w:pPr>
        <w:pStyle w:val="NumPar1"/>
        <w:numPr>
          <w:ilvl w:val="0"/>
          <w:numId w:val="0"/>
        </w:numPr>
      </w:pPr>
      <w:r>
        <w:t>1.</w:t>
      </w:r>
      <w:r>
        <w:tab/>
        <w:t>Na informace, které mají být zpřístupněny podle tohoto nařízení, se vztahují tyto zásady:</w:t>
      </w:r>
    </w:p>
    <w:p w14:paraId="140B4861" w14:textId="77777777" w:rsidR="00C90CF4" w:rsidRDefault="006703F8">
      <w:pPr>
        <w:pStyle w:val="Point1"/>
        <w:ind w:left="709" w:hanging="709"/>
      </w:pPr>
      <w:r>
        <w:t>a)</w:t>
      </w:r>
      <w:r>
        <w:tab/>
        <w:t>zpřístupňované informace podléhají stejné úrovni interního ověřování, jaká se používá v případě zprávy o činnosti obsažené ve finanční zprávě investičního podniku;</w:t>
      </w:r>
    </w:p>
    <w:p w14:paraId="0FE4714E" w14:textId="77777777" w:rsidR="00C90CF4" w:rsidRDefault="006703F8">
      <w:pPr>
        <w:pStyle w:val="Point1"/>
        <w:ind w:left="709" w:hanging="709"/>
      </w:pPr>
      <w:r>
        <w:t>b)</w:t>
      </w:r>
      <w:r>
        <w:tab/>
        <w:t>zpřístupňované informace musí být jasné a musí být předloženy uživatelům informací srozumitelným způsobem a sděleny pomocí média, k němuž je snadný přístup. Důležitá sdělení musí být zvýrazněna a snadno dohledatelná. Složité záležitosti musí být vysvětleny jednoduše. Související informace se předkládají společně;</w:t>
      </w:r>
    </w:p>
    <w:p w14:paraId="49DB7C6D" w14:textId="77777777" w:rsidR="00C90CF4" w:rsidRDefault="006703F8">
      <w:pPr>
        <w:pStyle w:val="Point1"/>
        <w:ind w:left="709" w:hanging="709"/>
      </w:pPr>
      <w:r>
        <w:t>c)</w:t>
      </w:r>
      <w:r>
        <w:tab/>
        <w:t>zpřístupňované informace musí být smysluplné a v průběhu času konzistentní, aby uživatelé informací mohli informace porovnávat v různých obdobích, za něž se informace zpřístupňují;</w:t>
      </w:r>
    </w:p>
    <w:p w14:paraId="04413931" w14:textId="77777777" w:rsidR="00C90CF4" w:rsidRDefault="006703F8">
      <w:pPr>
        <w:pStyle w:val="Point1"/>
        <w:ind w:left="709" w:hanging="709"/>
      </w:pPr>
      <w:r>
        <w:t>d)</w:t>
      </w:r>
      <w:r>
        <w:tab/>
        <w:t xml:space="preserve">kvantitativní zpřístupňované informace musí doprovázet kvalitativní vysvětlení a veškeré jiné doplňující informace potřebné k tomu, aby uživatelé příslušných informací daným zpřístupněným kvantitativním informacím porozuměli, zejména </w:t>
      </w:r>
      <w:r>
        <w:lastRenderedPageBreak/>
        <w:t>s ohledem na jakékoli významné změny v daných zpřístupněných informacích v porovnání s dříve zpřístupněnými informacemi.</w:t>
      </w:r>
    </w:p>
    <w:p w14:paraId="553BCD3D" w14:textId="77777777" w:rsidR="00C90CF4" w:rsidRDefault="006703F8">
      <w:pPr>
        <w:pStyle w:val="Titrearticle"/>
      </w:pPr>
      <w:r>
        <w:t>Článek 10</w:t>
      </w:r>
    </w:p>
    <w:p w14:paraId="723D7F17" w14:textId="77777777" w:rsidR="00C90CF4" w:rsidRDefault="006703F8">
      <w:pPr>
        <w:pStyle w:val="Titrearticle"/>
        <w:spacing w:before="120"/>
        <w:rPr>
          <w:b/>
          <w:i w:val="0"/>
        </w:rPr>
      </w:pPr>
      <w:r>
        <w:rPr>
          <w:b/>
          <w:i w:val="0"/>
        </w:rPr>
        <w:t>Zpřístupňování informací o kapitálu investičními podniky</w:t>
      </w:r>
    </w:p>
    <w:p w14:paraId="3C417EB5" w14:textId="77777777" w:rsidR="00C90CF4" w:rsidRDefault="006703F8">
      <w:r>
        <w:t>Investiční podniky zpřístupní informace o kapitálu požadované podle čl. 49 odst. 1 nařízení (EU) 2019/2033 pomocí šablon obsažených v příloze VI tohoto nařízení a v souladu s příslušnými pokyny uvedenými v příloze VII tohoto nařízení.</w:t>
      </w:r>
    </w:p>
    <w:p w14:paraId="37A6A837" w14:textId="77777777" w:rsidR="00C90CF4" w:rsidRDefault="006703F8">
      <w:pPr>
        <w:pStyle w:val="Titrearticle"/>
      </w:pPr>
      <w:r>
        <w:t>Článek 11</w:t>
      </w:r>
    </w:p>
    <w:p w14:paraId="0F90243E" w14:textId="77777777" w:rsidR="00C90CF4" w:rsidRDefault="006703F8">
      <w:pPr>
        <w:pStyle w:val="Titrearticle"/>
        <w:spacing w:before="120"/>
        <w:rPr>
          <w:b/>
          <w:i w:val="0"/>
        </w:rPr>
      </w:pPr>
      <w:r>
        <w:rPr>
          <w:b/>
          <w:i w:val="0"/>
        </w:rPr>
        <w:t>Obecná ustanovení o zpřístupňování informací</w:t>
      </w:r>
    </w:p>
    <w:p w14:paraId="27CB2555" w14:textId="77777777" w:rsidR="00C90CF4" w:rsidRDefault="006703F8">
      <w:pPr>
        <w:pStyle w:val="NumPar1"/>
        <w:numPr>
          <w:ilvl w:val="0"/>
          <w:numId w:val="0"/>
        </w:numPr>
        <w:tabs>
          <w:tab w:val="left" w:pos="567"/>
        </w:tabs>
      </w:pPr>
      <w:r>
        <w:t>1.</w:t>
      </w:r>
      <w:r>
        <w:tab/>
        <w:t>Při zpřístupňování informací uvedených v článku 10 tohoto nařízení investiční podniky zajistí, aby se číselné hodnoty fakticky vykazovaly podle následujících pravidel:</w:t>
      </w:r>
    </w:p>
    <w:p w14:paraId="3763FA4E" w14:textId="77777777" w:rsidR="00C90CF4" w:rsidRDefault="006703F8">
      <w:pPr>
        <w:pStyle w:val="Point1"/>
        <w:ind w:left="709" w:hanging="709"/>
      </w:pPr>
      <w:r>
        <w:t>a)</w:t>
      </w:r>
      <w:r>
        <w:tab/>
        <w:t>kvantitativní peněžní údaje se zpřístupní s minimální přesností odpovídající tisícům jednotek;</w:t>
      </w:r>
    </w:p>
    <w:p w14:paraId="118666AB" w14:textId="77777777" w:rsidR="00C90CF4" w:rsidRDefault="006703F8">
      <w:pPr>
        <w:pStyle w:val="Point1"/>
        <w:ind w:left="709" w:hanging="709"/>
      </w:pPr>
      <w:r>
        <w:t>b)</w:t>
      </w:r>
      <w:r>
        <w:tab/>
        <w:t>kvantitativní údaje typu „procento“ se pro každou jednotku vyjadřují s minimální přesností odpovídající čtyřem desetinným místům.</w:t>
      </w:r>
    </w:p>
    <w:p w14:paraId="6C1D69E9" w14:textId="77777777" w:rsidR="00C90CF4" w:rsidRDefault="006703F8">
      <w:pPr>
        <w:pStyle w:val="NumPar1"/>
        <w:numPr>
          <w:ilvl w:val="0"/>
          <w:numId w:val="0"/>
        </w:numPr>
        <w:tabs>
          <w:tab w:val="left" w:pos="567"/>
        </w:tabs>
      </w:pPr>
      <w:r>
        <w:t>2.</w:t>
      </w:r>
      <w:r>
        <w:tab/>
        <w:t>Při zpřístupňování informací uvedených v článku 10 tohoto nařízení investiční podniky zajistí, aby byly údaje spojeny se všemi následujícími informacemi:</w:t>
      </w:r>
    </w:p>
    <w:p w14:paraId="3F750DE6" w14:textId="77777777" w:rsidR="00C90CF4" w:rsidRDefault="006703F8">
      <w:pPr>
        <w:pStyle w:val="Point1"/>
        <w:ind w:left="709" w:hanging="709"/>
      </w:pPr>
      <w:r>
        <w:t>a)</w:t>
      </w:r>
      <w:r>
        <w:tab/>
        <w:t>referenčním datem zpřístupňování informací a referenčním obdobím;</w:t>
      </w:r>
    </w:p>
    <w:p w14:paraId="08A30CF2" w14:textId="77777777" w:rsidR="00C90CF4" w:rsidRDefault="006703F8">
      <w:pPr>
        <w:pStyle w:val="Point1"/>
        <w:ind w:left="709" w:hanging="709"/>
      </w:pPr>
      <w:r>
        <w:t>b)</w:t>
      </w:r>
      <w:r>
        <w:tab/>
        <w:t>měnou zveřejněného údaje;</w:t>
      </w:r>
    </w:p>
    <w:p w14:paraId="723451F7" w14:textId="77777777" w:rsidR="00C90CF4" w:rsidRDefault="006703F8">
      <w:pPr>
        <w:pStyle w:val="Point1"/>
        <w:ind w:left="709" w:hanging="709"/>
      </w:pPr>
      <w:r>
        <w:t>c)</w:t>
      </w:r>
      <w:r>
        <w:tab/>
        <w:t>názvem a případně identifikačním kódem právnické osoby instituce zpřístupňující informaci;</w:t>
      </w:r>
    </w:p>
    <w:p w14:paraId="5C395775" w14:textId="77777777" w:rsidR="00C90CF4" w:rsidRDefault="006703F8">
      <w:pPr>
        <w:pStyle w:val="Point1"/>
        <w:ind w:left="709" w:hanging="709"/>
      </w:pPr>
      <w:r>
        <w:t>d)</w:t>
      </w:r>
      <w:r>
        <w:tab/>
        <w:t>v příslušných případech účetním standardem;</w:t>
      </w:r>
    </w:p>
    <w:p w14:paraId="1EDCFE8B" w14:textId="77777777" w:rsidR="00C90CF4" w:rsidRDefault="006703F8">
      <w:pPr>
        <w:pStyle w:val="Point1"/>
        <w:ind w:left="709" w:hanging="709"/>
      </w:pPr>
      <w:r>
        <w:t>e)</w:t>
      </w:r>
      <w:r>
        <w:tab/>
        <w:t>v příslušných případech rozsahem konsolidace.</w:t>
      </w:r>
    </w:p>
    <w:p w14:paraId="1F1DE893" w14:textId="77777777" w:rsidR="00C90CF4" w:rsidRDefault="006703F8">
      <w:pPr>
        <w:pStyle w:val="ChapterTitle"/>
      </w:pPr>
      <w:r>
        <w:t>KAPITOLA III</w:t>
      </w:r>
    </w:p>
    <w:p w14:paraId="59700D38" w14:textId="77777777" w:rsidR="00C90CF4" w:rsidRDefault="006703F8">
      <w:pPr>
        <w:pStyle w:val="ChapterTitle"/>
      </w:pPr>
      <w:r>
        <w:t>ZÁVĚREČNÁ USTANOVENÍ</w:t>
      </w:r>
    </w:p>
    <w:p w14:paraId="3AB7F190" w14:textId="77777777" w:rsidR="00C90CF4" w:rsidRDefault="006703F8">
      <w:pPr>
        <w:pStyle w:val="Titrearticle"/>
        <w:spacing w:before="120"/>
      </w:pPr>
      <w:r>
        <w:t>Článek 12</w:t>
      </w:r>
    </w:p>
    <w:p w14:paraId="3DBB0172" w14:textId="705C5961" w:rsidR="00C90CF4" w:rsidRDefault="006703F8">
      <w:pPr>
        <w:pStyle w:val="Titrearticle"/>
        <w:spacing w:before="120"/>
        <w:rPr>
          <w:b/>
          <w:i w:val="0"/>
        </w:rPr>
      </w:pPr>
      <w:r>
        <w:rPr>
          <w:b/>
          <w:i w:val="0"/>
        </w:rPr>
        <w:t>Vstup v platnost</w:t>
      </w:r>
    </w:p>
    <w:p w14:paraId="4A334DFA" w14:textId="77777777" w:rsidR="00C90CF4" w:rsidRDefault="006703F8">
      <w:r>
        <w:t>Toto nařízení vstupuje v platnost dvacátým dnem po vyhlášení v </w:t>
      </w:r>
      <w:r>
        <w:rPr>
          <w:i/>
        </w:rPr>
        <w:t>Úředním věstníku Evropské unie</w:t>
      </w:r>
      <w:r>
        <w:t>.</w:t>
      </w:r>
    </w:p>
    <w:p w14:paraId="2D434850" w14:textId="77777777" w:rsidR="00C90CF4" w:rsidRDefault="006703F8">
      <w:pPr>
        <w:pStyle w:val="Applicationdirecte"/>
      </w:pPr>
      <w:r>
        <w:t>Toto nařízení je závazné v celém rozsahu a přímo použitelné ve všech členských státech.</w:t>
      </w:r>
    </w:p>
    <w:p w14:paraId="0939EC66" w14:textId="77777777" w:rsidR="00C90CF4" w:rsidRDefault="006703F8">
      <w:pPr>
        <w:pStyle w:val="Fait"/>
      </w:pPr>
      <w:r>
        <w:t>V Bruselu dne</w:t>
      </w:r>
      <w:r w:rsidR="00E14AC7">
        <w:t xml:space="preserve"> 6. prosince 2021.</w:t>
      </w:r>
    </w:p>
    <w:p w14:paraId="0E2EB589" w14:textId="77777777" w:rsidR="00C90CF4" w:rsidRDefault="006703F8">
      <w:pPr>
        <w:pStyle w:val="Institutionquisigne"/>
      </w:pPr>
      <w:r>
        <w:tab/>
        <w:t>Za Komisi</w:t>
      </w:r>
    </w:p>
    <w:p w14:paraId="30F71041" w14:textId="77777777" w:rsidR="00C90CF4" w:rsidRDefault="006703F8">
      <w:pPr>
        <w:pStyle w:val="Personnequisigne"/>
      </w:pPr>
      <w:r>
        <w:tab/>
        <w:t>předsedkyně</w:t>
      </w:r>
    </w:p>
    <w:p w14:paraId="11374C08" w14:textId="77777777" w:rsidR="00C90CF4" w:rsidRPr="00E14AC7" w:rsidRDefault="006703F8">
      <w:pPr>
        <w:pStyle w:val="Personnequisigne"/>
        <w:rPr>
          <w:i w:val="0"/>
        </w:rPr>
      </w:pPr>
      <w:r w:rsidRPr="00E14AC7">
        <w:rPr>
          <w:i w:val="0"/>
        </w:rPr>
        <w:tab/>
        <w:t xml:space="preserve">Ursula </w:t>
      </w:r>
      <w:r w:rsidR="00E14AC7" w:rsidRPr="00E14AC7">
        <w:rPr>
          <w:i w:val="0"/>
        </w:rPr>
        <w:t>VON DER LEYEN</w:t>
      </w:r>
    </w:p>
    <w:sectPr w:rsidR="00C90CF4" w:rsidRPr="00E14AC7">
      <w:headerReference w:type="default" r:id="rId8"/>
      <w:footerReference w:type="defaul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4443B7" w14:textId="77777777" w:rsidR="006703F8" w:rsidRDefault="006703F8">
      <w:pPr>
        <w:spacing w:before="0" w:after="0"/>
      </w:pPr>
      <w:r>
        <w:separator/>
      </w:r>
    </w:p>
  </w:endnote>
  <w:endnote w:type="continuationSeparator" w:id="0">
    <w:p w14:paraId="4845A5F5" w14:textId="77777777" w:rsidR="006703F8" w:rsidRDefault="006703F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739B0" w14:textId="77777777" w:rsidR="00C90CF4" w:rsidRDefault="006703F8">
    <w:pPr>
      <w:pStyle w:val="Footer"/>
      <w:tabs>
        <w:tab w:val="clear" w:pos="4535"/>
        <w:tab w:val="clear" w:pos="9921"/>
      </w:tabs>
      <w:ind w:left="0" w:right="0"/>
    </w:pPr>
    <w:r>
      <w:t>CS - Cleaned document</w:t>
    </w:r>
    <w:r>
      <w:tab/>
    </w:r>
    <w:r>
      <w:fldChar w:fldCharType="begin"/>
    </w:r>
    <w:r>
      <w:instrText xml:space="preserve"> PAGE \* MERGEFORMAT </w:instrText>
    </w:r>
    <w:r>
      <w:fldChar w:fldCharType="separate"/>
    </w:r>
    <w:r w:rsidR="00E14AC7">
      <w:rPr>
        <w:noProof/>
      </w:rPr>
      <w:t>1</w:t>
    </w:r>
    <w:r>
      <w:fldChar w:fldCharType="end"/>
    </w:r>
    <w:r>
      <w:t>/</w:t>
    </w:r>
    <w:fldSimple w:instr=" NUMPAGES \* MERGEFORMAT ">
      <w:r w:rsidR="00E14AC7">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C8E26" w14:textId="77777777" w:rsidR="006703F8" w:rsidRDefault="006703F8">
      <w:pPr>
        <w:spacing w:before="0" w:after="0"/>
      </w:pPr>
      <w:r>
        <w:separator/>
      </w:r>
    </w:p>
  </w:footnote>
  <w:footnote w:type="continuationSeparator" w:id="0">
    <w:p w14:paraId="729636A7" w14:textId="77777777" w:rsidR="006703F8" w:rsidRDefault="006703F8">
      <w:pPr>
        <w:spacing w:before="0" w:after="0"/>
      </w:pPr>
      <w:r>
        <w:continuationSeparator/>
      </w:r>
    </w:p>
  </w:footnote>
  <w:footnote w:id="1">
    <w:p w14:paraId="3CC69D40" w14:textId="77777777" w:rsidR="00C90CF4" w:rsidRDefault="006703F8">
      <w:pPr>
        <w:pStyle w:val="FootnoteText"/>
      </w:pPr>
      <w:r>
        <w:rPr>
          <w:rStyle w:val="FootnoteReference"/>
        </w:rPr>
        <w:footnoteRef/>
      </w:r>
      <w:r>
        <w:tab/>
        <w:t>Úř. věst. L 314, 5.12.2019, s. 1.</w:t>
      </w:r>
    </w:p>
  </w:footnote>
  <w:footnote w:id="2">
    <w:p w14:paraId="2A8B7033" w14:textId="77777777" w:rsidR="00C90CF4" w:rsidRDefault="006703F8">
      <w:pPr>
        <w:pStyle w:val="FootnoteText"/>
      </w:pPr>
      <w:r>
        <w:rPr>
          <w:rStyle w:val="FootnoteReference"/>
        </w:rPr>
        <w:footnoteRef/>
      </w:r>
      <w:r>
        <w:tab/>
        <w:t>Nařízení Evropského parlamentu a Rady (EU) č. 1093/2010 ze dne 24. listopadu 2010 o zřízení Evropského orgánu dohledu (Evropského orgánu pro bankovnictví), o změně rozhodnutí č. 716/2009/ES a o zrušení rozhodnutí Komise 2009/78/ES (Úř. věst. L 331, 15.12.2010, s. 12).</w:t>
      </w:r>
    </w:p>
  </w:footnote>
  <w:footnote w:id="3">
    <w:p w14:paraId="425C2719" w14:textId="77777777" w:rsidR="00E14AC7" w:rsidRDefault="00E14AC7">
      <w:pPr>
        <w:pStyle w:val="FootnoteText"/>
      </w:pPr>
      <w:r>
        <w:rPr>
          <w:rStyle w:val="FootnoteReference"/>
        </w:rPr>
        <w:footnoteRef/>
      </w:r>
      <w:r>
        <w:t xml:space="preserve"> </w:t>
      </w:r>
      <w:r>
        <w:tab/>
        <w:t>Prováděcí nařízení Komise (EU) 2021/451 ze dne 17. prosince 2020, kterým se stanoví prováděcí technické normy pro uplatňování nařízení Evropského parlamentu a Rady (EU) č. 575/2013, pokud jde o podávání zpráv institucí pro účely dohledu, a kterým se zrušuje prováděcí nařízení (EU) č. 680/2014 (Úř. věst. L 97, 19.3.2021,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E2B7B" w14:textId="42B11C28" w:rsidR="00D32E26" w:rsidRDefault="00D32E26">
    <w:pPr>
      <w:pStyle w:val="Header"/>
    </w:pPr>
    <w:r>
      <w:rPr>
        <w:noProof/>
      </w:rPr>
      <mc:AlternateContent>
        <mc:Choice Requires="wps">
          <w:drawing>
            <wp:anchor distT="0" distB="0" distL="114300" distR="114300" simplePos="0" relativeHeight="251659264" behindDoc="0" locked="0" layoutInCell="0" allowOverlap="1" wp14:anchorId="1F920BF1" wp14:editId="0E77656D">
              <wp:simplePos x="0" y="0"/>
              <wp:positionH relativeFrom="page">
                <wp:posOffset>0</wp:posOffset>
              </wp:positionH>
              <wp:positionV relativeFrom="page">
                <wp:posOffset>190500</wp:posOffset>
              </wp:positionV>
              <wp:extent cx="7560945" cy="273050"/>
              <wp:effectExtent l="0" t="0" r="0" b="12700"/>
              <wp:wrapNone/>
              <wp:docPr id="1" name="MSIPCMb6bf42fb8259713c1350a3bf"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211186" w14:textId="5DA8E624" w:rsidR="00D32E26" w:rsidRPr="00D32E26" w:rsidRDefault="00D32E26" w:rsidP="00D32E26">
                          <w:pPr>
                            <w:spacing w:before="0" w:after="0"/>
                            <w:jc w:val="left"/>
                            <w:rPr>
                              <w:rFonts w:ascii="Calibri" w:hAnsi="Calibri" w:cs="Calibri"/>
                              <w:color w:val="000000"/>
                            </w:rPr>
                          </w:pPr>
                          <w:r w:rsidRPr="00D32E26">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F920BF1" id="_x0000_t202" coordsize="21600,21600" o:spt="202" path="m,l,21600r21600,l21600,xe">
              <v:stroke joinstyle="miter"/>
              <v:path gradientshapeok="t" o:connecttype="rect"/>
            </v:shapetype>
            <v:shape id="MSIPCMb6bf42fb8259713c1350a3bf"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" o:allowincell="f" filled="f" stroked="f" strokeweight=".5pt">
              <v:fill o:detectmouseclick="t"/>
              <v:textbox inset="20pt,0,,0">
                <w:txbxContent>
                  <w:p w14:paraId="67211186" w14:textId="5DA8E624" w:rsidR="00D32E26" w:rsidRPr="00D32E26" w:rsidRDefault="00D32E26" w:rsidP="00D32E26">
                    <w:pPr>
                      <w:spacing w:before="0" w:after="0"/>
                      <w:jc w:val="left"/>
                      <w:rPr>
                        <w:rFonts w:ascii="Calibri" w:hAnsi="Calibri" w:cs="Calibri"/>
                        <w:color w:val="000000"/>
                      </w:rPr>
                    </w:pPr>
                    <w:r w:rsidRPr="00D32E26">
                      <w:rPr>
                        <w:rFonts w:ascii="Calibri" w:hAnsi="Calibri" w:cs="Calibri"/>
                        <w:color w:val="000000"/>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1"/>
  </w:num>
  <w:num w:numId="15">
    <w:abstractNumId w:val="0"/>
  </w:num>
  <w:num w:numId="16">
    <w:abstractNumId w:val="21"/>
    <w:lvlOverride w:ilvl="0">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de-DE" w:vendorID="64" w:dllVersion="6" w:nlCheck="1" w:checkStyle="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7 17:06:2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VERPAGE_EXISTS" w:val="True"/>
    <w:docVar w:name="LW_COVERPAGE_GUID" w:val="9893B45F-8466-4F18-9CCE-AFCD25D5F43E"/>
    <w:docVar w:name="LW_COVERPAGE_TYPE" w:val="1"/>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 "/>
    <w:docVar w:name="LW_ID_DOCMODEL" w:val="SJ-004"/>
    <w:docVar w:name="LW_ID_DOCSIGNATURE" w:val="SJ-004"/>
    <w:docVar w:name="LW_ID_DOCSTRUCTURE" w:val="COM/AA"/>
    <w:docVar w:name="LW_ID_DOCTYPE" w:val="SJ-004"/>
    <w:docVar w:name="LW_INTERETEEE.CP" w:val="(Text s významem pro EHP)"/>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erým se stanoví provád\u283?cí technické normy pro uplat\u328?ování na\u345?ízení Evropského parlamentu a Rady (EU) 2019/2033, pokud jde o podávání zpráv pro ú\u269?ely dohledu a zp\u345?ístup\u328?ování informací investi\u269?ními podniky"/>
    <w:docVar w:name="LW_TYPE.DOC.CP" w:val="PROVÁD\u282?CÍ NA\u344?ÍZENÍ KOMISE (EU) \u8230?/..."/>
  </w:docVars>
  <w:rsids>
    <w:rsidRoot w:val="00C90CF4"/>
    <w:rsid w:val="006703F8"/>
    <w:rsid w:val="00C90CF4"/>
    <w:rsid w:val="00D32E26"/>
    <w:rsid w:val="00E14A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C32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pPr>
      <w:keepNext/>
      <w:numPr>
        <w:numId w:val="2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2"/>
      </w:numPr>
      <w:contextualSpacing/>
    </w:pPr>
  </w:style>
  <w:style w:type="paragraph" w:styleId="ListNumber2">
    <w:name w:val="List Number 2"/>
    <w:basedOn w:val="Normal"/>
    <w:uiPriority w:val="99"/>
    <w:semiHidden/>
    <w:unhideWhenUsed/>
    <w:pPr>
      <w:numPr>
        <w:numId w:val="13"/>
      </w:numPr>
      <w:contextualSpacing/>
    </w:pPr>
  </w:style>
  <w:style w:type="paragraph" w:styleId="ListNumber3">
    <w:name w:val="List Number 3"/>
    <w:basedOn w:val="Normal"/>
    <w:uiPriority w:val="99"/>
    <w:semiHidden/>
    <w:unhideWhenUsed/>
    <w:pPr>
      <w:numPr>
        <w:numId w:val="14"/>
      </w:numPr>
      <w:contextualSpacing/>
    </w:pPr>
  </w:style>
  <w:style w:type="paragraph" w:styleId="ListNumber4">
    <w:name w:val="List Number 4"/>
    <w:basedOn w:val="Normal"/>
    <w:uiPriority w:val="99"/>
    <w:semiHidden/>
    <w:unhideWhenUsed/>
    <w:pPr>
      <w:numPr>
        <w:numId w:val="15"/>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cs-CZ"/>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cs-CZ"/>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7"/>
      </w:numPr>
    </w:pPr>
  </w:style>
  <w:style w:type="paragraph" w:customStyle="1" w:styleId="Tiret1">
    <w:name w:val="Tiret 1"/>
    <w:basedOn w:val="Point1"/>
    <w:pPr>
      <w:numPr>
        <w:numId w:val="18"/>
      </w:numPr>
    </w:pPr>
  </w:style>
  <w:style w:type="paragraph" w:customStyle="1" w:styleId="Tiret2">
    <w:name w:val="Tiret 2"/>
    <w:basedOn w:val="Point2"/>
    <w:pPr>
      <w:numPr>
        <w:numId w:val="19"/>
      </w:numPr>
    </w:pPr>
  </w:style>
  <w:style w:type="paragraph" w:customStyle="1" w:styleId="Tiret3">
    <w:name w:val="Tiret 3"/>
    <w:basedOn w:val="Point3"/>
    <w:pPr>
      <w:numPr>
        <w:numId w:val="20"/>
      </w:numPr>
    </w:pPr>
  </w:style>
  <w:style w:type="paragraph" w:customStyle="1" w:styleId="Tiret4">
    <w:name w:val="Tiret 4"/>
    <w:basedOn w:val="Point4"/>
    <w:pPr>
      <w:numPr>
        <w:numId w:val="2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2"/>
      </w:numPr>
    </w:pPr>
  </w:style>
  <w:style w:type="paragraph" w:customStyle="1" w:styleId="NumPar2">
    <w:name w:val="NumPar 2"/>
    <w:basedOn w:val="Normal"/>
    <w:next w:val="Text1"/>
    <w:pPr>
      <w:numPr>
        <w:ilvl w:val="1"/>
        <w:numId w:val="22"/>
      </w:numPr>
    </w:pPr>
  </w:style>
  <w:style w:type="paragraph" w:customStyle="1" w:styleId="NumPar3">
    <w:name w:val="NumPar 3"/>
    <w:basedOn w:val="Normal"/>
    <w:next w:val="Text1"/>
    <w:pPr>
      <w:numPr>
        <w:ilvl w:val="2"/>
        <w:numId w:val="22"/>
      </w:numPr>
    </w:pPr>
  </w:style>
  <w:style w:type="paragraph" w:customStyle="1" w:styleId="NumPar4">
    <w:name w:val="NumPar 4"/>
    <w:basedOn w:val="Normal"/>
    <w:next w:val="Text1"/>
    <w:pPr>
      <w:numPr>
        <w:ilvl w:val="3"/>
        <w:numId w:val="2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4"/>
      </w:numPr>
    </w:pPr>
  </w:style>
  <w:style w:type="paragraph" w:customStyle="1" w:styleId="Point1number">
    <w:name w:val="Point 1 (number)"/>
    <w:basedOn w:val="Normal"/>
    <w:pPr>
      <w:numPr>
        <w:ilvl w:val="2"/>
        <w:numId w:val="24"/>
      </w:numPr>
    </w:pPr>
  </w:style>
  <w:style w:type="paragraph" w:customStyle="1" w:styleId="Point2number">
    <w:name w:val="Point 2 (number)"/>
    <w:basedOn w:val="Normal"/>
    <w:pPr>
      <w:numPr>
        <w:ilvl w:val="4"/>
        <w:numId w:val="24"/>
      </w:numPr>
    </w:pPr>
  </w:style>
  <w:style w:type="paragraph" w:customStyle="1" w:styleId="Point3number">
    <w:name w:val="Point 3 (number)"/>
    <w:basedOn w:val="Normal"/>
    <w:pPr>
      <w:numPr>
        <w:ilvl w:val="6"/>
        <w:numId w:val="24"/>
      </w:numPr>
    </w:pPr>
  </w:style>
  <w:style w:type="paragraph" w:customStyle="1" w:styleId="Point0letter">
    <w:name w:val="Point 0 (letter)"/>
    <w:basedOn w:val="Normal"/>
    <w:pPr>
      <w:numPr>
        <w:ilvl w:val="1"/>
        <w:numId w:val="24"/>
      </w:numPr>
    </w:pPr>
  </w:style>
  <w:style w:type="paragraph" w:customStyle="1" w:styleId="Point1letter">
    <w:name w:val="Point 1 (letter)"/>
    <w:basedOn w:val="Normal"/>
    <w:pPr>
      <w:numPr>
        <w:ilvl w:val="3"/>
        <w:numId w:val="24"/>
      </w:numPr>
    </w:pPr>
  </w:style>
  <w:style w:type="paragraph" w:customStyle="1" w:styleId="Point2letter">
    <w:name w:val="Point 2 (letter)"/>
    <w:basedOn w:val="Normal"/>
    <w:pPr>
      <w:numPr>
        <w:ilvl w:val="5"/>
        <w:numId w:val="24"/>
      </w:numPr>
    </w:pPr>
  </w:style>
  <w:style w:type="paragraph" w:customStyle="1" w:styleId="Point3letter">
    <w:name w:val="Point 3 (letter)"/>
    <w:basedOn w:val="Normal"/>
    <w:pPr>
      <w:numPr>
        <w:ilvl w:val="7"/>
        <w:numId w:val="24"/>
      </w:numPr>
    </w:pPr>
  </w:style>
  <w:style w:type="paragraph" w:customStyle="1" w:styleId="Point4letter">
    <w:name w:val="Point 4 (letter)"/>
    <w:basedOn w:val="Normal"/>
    <w:pPr>
      <w:numPr>
        <w:ilvl w:val="8"/>
        <w:numId w:val="24"/>
      </w:numPr>
    </w:pPr>
  </w:style>
  <w:style w:type="paragraph" w:customStyle="1" w:styleId="Bullet0">
    <w:name w:val="Bullet 0"/>
    <w:basedOn w:val="Normal"/>
    <w:pPr>
      <w:numPr>
        <w:numId w:val="25"/>
      </w:numPr>
    </w:pPr>
  </w:style>
  <w:style w:type="paragraph" w:customStyle="1" w:styleId="Bullet1">
    <w:name w:val="Bullet 1"/>
    <w:basedOn w:val="Normal"/>
    <w:pPr>
      <w:numPr>
        <w:numId w:val="26"/>
      </w:numPr>
    </w:pPr>
  </w:style>
  <w:style w:type="paragraph" w:customStyle="1" w:styleId="Bullet2">
    <w:name w:val="Bullet 2"/>
    <w:basedOn w:val="Normal"/>
    <w:pPr>
      <w:numPr>
        <w:numId w:val="27"/>
      </w:numPr>
    </w:pPr>
  </w:style>
  <w:style w:type="paragraph" w:customStyle="1" w:styleId="Bullet3">
    <w:name w:val="Bullet 3"/>
    <w:basedOn w:val="Normal"/>
    <w:pPr>
      <w:numPr>
        <w:numId w:val="28"/>
      </w:numPr>
    </w:pPr>
  </w:style>
  <w:style w:type="paragraph" w:customStyle="1" w:styleId="Bullet4">
    <w:name w:val="Bullet 4"/>
    <w:basedOn w:val="Normal"/>
    <w:pPr>
      <w:numPr>
        <w:numId w:val="2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F0E17-2071-4DC1-B89D-5CE882AC0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6</Pages>
  <Words>2139</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2022-01-14T15:20:13Z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9cb37eb6-e7c5-4010-b0dd-e38209c7a02a</vt:lpwstr>
  </property>
  <property fmtid="{D5CDD505-2E9C-101B-9397-08002B2CF9AE}" pid="15" name="MSIP_Label_5c7eb9de-735b-4a68-8fe4-c9c62709b012_ContentBits">
    <vt:lpwstr>1</vt:lpwstr>
  </property>
</Properties>
</file>