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21174" w14:textId="77777777" w:rsidR="008618A0" w:rsidRPr="00EA3026" w:rsidRDefault="00EA3026">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EA3026">
        <w:t>BILAGA VII – Instruktioner för mallar för offentliggörande av information om kapitalbas</w:t>
      </w:r>
    </w:p>
    <w:p w14:paraId="10A47F03" w14:textId="77777777" w:rsidR="008618A0" w:rsidRPr="00EA3026" w:rsidRDefault="00EA3026">
      <w:pPr>
        <w:rPr>
          <w:rFonts w:ascii="Times New Roman" w:hAnsi="Times New Roman" w:cs="Times New Roman"/>
          <w:b/>
          <w:bCs/>
          <w:sz w:val="24"/>
        </w:rPr>
      </w:pPr>
      <w:r w:rsidRPr="00EA3026">
        <w:rPr>
          <w:rFonts w:ascii="Times New Roman" w:hAnsi="Times New Roman"/>
          <w:b/>
          <w:sz w:val="24"/>
        </w:rPr>
        <w:t>Mall EU I CC1.01, EU I CC1.02 och EU I CC1.03 – Sammansättning av föreskriven kapitalbas</w:t>
      </w:r>
    </w:p>
    <w:p w14:paraId="11A950D6" w14:textId="77777777" w:rsidR="008618A0" w:rsidRPr="00EA3026" w:rsidRDefault="00EA3026">
      <w:pPr>
        <w:tabs>
          <w:tab w:val="left" w:pos="360"/>
        </w:tabs>
        <w:spacing w:before="120" w:after="120"/>
        <w:ind w:left="360" w:hanging="360"/>
        <w:jc w:val="both"/>
        <w:rPr>
          <w:rFonts w:ascii="Times New Roman" w:hAnsi="Times New Roman" w:cs="Times New Roman"/>
          <w:bCs/>
          <w:sz w:val="24"/>
        </w:rPr>
      </w:pPr>
      <w:r w:rsidRPr="00EA3026">
        <w:rPr>
          <w:rFonts w:ascii="Times New Roman" w:hAnsi="Times New Roman" w:cs="Times New Roman"/>
          <w:bCs/>
          <w:sz w:val="24"/>
        </w:rPr>
        <w:t>1.</w:t>
      </w:r>
      <w:r w:rsidRPr="00EA3026">
        <w:rPr>
          <w:rFonts w:ascii="Times New Roman" w:hAnsi="Times New Roman" w:cs="Times New Roman"/>
          <w:bCs/>
          <w:sz w:val="24"/>
        </w:rPr>
        <w:tab/>
      </w:r>
      <w:r w:rsidRPr="00EA3026">
        <w:rPr>
          <w:rFonts w:ascii="Times New Roman" w:hAnsi="Times New Roman"/>
          <w:sz w:val="24"/>
        </w:rPr>
        <w:t xml:space="preserve">Värdepappersföretag ska tillämpa </w:t>
      </w:r>
      <w:r w:rsidRPr="00EA3026">
        <w:rPr>
          <w:rFonts w:ascii="Times New Roman" w:hAnsi="Times New Roman"/>
          <w:sz w:val="24"/>
        </w:rPr>
        <w:t>instruktionerna i denna bilaga för att fylla i mall EU I CC1 som återfinns i bilaga VI i enlighet med artikel 49.1 a och c i förordning (EU) 2019/2033.</w:t>
      </w:r>
    </w:p>
    <w:p w14:paraId="278EE4CE"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2.</w:t>
      </w:r>
      <w:r w:rsidRPr="00EA3026">
        <w:rPr>
          <w:rFonts w:ascii="Times New Roman" w:hAnsi="Times New Roman" w:cs="Times New Roman"/>
          <w:bCs/>
          <w:sz w:val="24"/>
        </w:rPr>
        <w:tab/>
      </w:r>
      <w:r w:rsidRPr="00EA3026">
        <w:rPr>
          <w:rFonts w:ascii="Times New Roman" w:hAnsi="Times New Roman"/>
          <w:sz w:val="24"/>
        </w:rPr>
        <w:t>Värdepappersföretagen ska fylla i kolumn b för att redovisa källan till varje större ingångsvärde, fö</w:t>
      </w:r>
      <w:r w:rsidRPr="00EA3026">
        <w:rPr>
          <w:rFonts w:ascii="Times New Roman" w:hAnsi="Times New Roman"/>
          <w:sz w:val="24"/>
        </w:rPr>
        <w:t>r vilket en korshänvisning ska finnas till de motsvarande raderna i mall EU I CC2.</w:t>
      </w:r>
    </w:p>
    <w:p w14:paraId="2FEC7C1E" w14:textId="77777777" w:rsidR="008618A0" w:rsidRPr="00EA3026" w:rsidRDefault="00EA3026">
      <w:pPr>
        <w:tabs>
          <w:tab w:val="left" w:pos="360"/>
        </w:tabs>
        <w:spacing w:before="120" w:after="120"/>
        <w:ind w:left="360" w:hanging="360"/>
        <w:jc w:val="both"/>
        <w:rPr>
          <w:rFonts w:ascii="Times New Roman" w:hAnsi="Times New Roman" w:cs="Times New Roman"/>
          <w:bCs/>
          <w:sz w:val="24"/>
        </w:rPr>
      </w:pPr>
      <w:r w:rsidRPr="00EA3026">
        <w:rPr>
          <w:rFonts w:ascii="Times New Roman" w:hAnsi="Times New Roman" w:cs="Times New Roman"/>
          <w:bCs/>
          <w:sz w:val="24"/>
        </w:rPr>
        <w:t>3.</w:t>
      </w:r>
      <w:r w:rsidRPr="00EA3026">
        <w:rPr>
          <w:rFonts w:ascii="Times New Roman" w:hAnsi="Times New Roman" w:cs="Times New Roman"/>
          <w:bCs/>
          <w:sz w:val="24"/>
        </w:rPr>
        <w:tab/>
      </w:r>
      <w:r w:rsidRPr="00EA3026">
        <w:rPr>
          <w:rFonts w:ascii="Times New Roman" w:hAnsi="Times New Roman"/>
          <w:sz w:val="24"/>
        </w:rPr>
        <w:t xml:space="preserve">I den förklaring som medföljer mallen ska värdepappersföretagen beskriva alla restriktioner som tillämpats på beräkningen av kapitalbasen i enlighet med artikel 49.1 c i </w:t>
      </w:r>
      <w:r w:rsidRPr="00EA3026">
        <w:rPr>
          <w:rFonts w:ascii="Times New Roman" w:hAnsi="Times New Roman"/>
          <w:sz w:val="24"/>
        </w:rPr>
        <w:t>förordning (EU) 2019/2033 och de instrument och avdrag som dessa begränsningar är tillämpliga på. De ska också förklara de viktigaste förändringarna i de redovisade beloppen jämfört med tidigare redovisningsperioder.</w:t>
      </w:r>
    </w:p>
    <w:p w14:paraId="1E62571A" w14:textId="77777777" w:rsidR="008618A0" w:rsidRPr="00EA3026" w:rsidRDefault="00EA3026">
      <w:pPr>
        <w:tabs>
          <w:tab w:val="left" w:pos="360"/>
        </w:tabs>
        <w:spacing w:before="120" w:after="120"/>
        <w:ind w:left="360" w:hanging="360"/>
        <w:jc w:val="both"/>
        <w:rPr>
          <w:rFonts w:ascii="Times New Roman" w:hAnsi="Times New Roman" w:cs="Times New Roman"/>
          <w:bCs/>
          <w:sz w:val="24"/>
        </w:rPr>
      </w:pPr>
      <w:r w:rsidRPr="00EA3026">
        <w:rPr>
          <w:rFonts w:ascii="Times New Roman" w:hAnsi="Times New Roman" w:cs="Times New Roman"/>
          <w:bCs/>
          <w:sz w:val="24"/>
        </w:rPr>
        <w:t>4.</w:t>
      </w:r>
      <w:r w:rsidRPr="00EA3026">
        <w:rPr>
          <w:rFonts w:ascii="Times New Roman" w:hAnsi="Times New Roman" w:cs="Times New Roman"/>
          <w:bCs/>
          <w:sz w:val="24"/>
        </w:rPr>
        <w:tab/>
      </w:r>
      <w:r w:rsidRPr="00EA3026">
        <w:rPr>
          <w:rFonts w:ascii="Times New Roman" w:hAnsi="Times New Roman"/>
          <w:sz w:val="24"/>
        </w:rPr>
        <w:t>Denna mall är fast och värdepappersf</w:t>
      </w:r>
      <w:r w:rsidRPr="00EA3026">
        <w:rPr>
          <w:rFonts w:ascii="Times New Roman" w:hAnsi="Times New Roman"/>
          <w:sz w:val="24"/>
        </w:rPr>
        <w:t>öretagen ska offentliggöra informationen i exakt samma format som anges i bilaga VI.</w:t>
      </w:r>
    </w:p>
    <w:p w14:paraId="3DB44FDF" w14:textId="77777777" w:rsidR="008618A0" w:rsidRPr="00EA3026" w:rsidRDefault="00EA3026">
      <w:pPr>
        <w:tabs>
          <w:tab w:val="left" w:pos="360"/>
        </w:tabs>
        <w:spacing w:before="120" w:after="120"/>
        <w:ind w:left="360" w:hanging="360"/>
        <w:jc w:val="both"/>
        <w:rPr>
          <w:rFonts w:ascii="Times New Roman" w:hAnsi="Times New Roman" w:cs="Times New Roman"/>
          <w:bCs/>
          <w:sz w:val="24"/>
        </w:rPr>
      </w:pPr>
      <w:r w:rsidRPr="00EA3026">
        <w:rPr>
          <w:rFonts w:ascii="Times New Roman" w:hAnsi="Times New Roman" w:cs="Times New Roman"/>
          <w:bCs/>
          <w:sz w:val="24"/>
        </w:rPr>
        <w:t>5.</w:t>
      </w:r>
      <w:r w:rsidRPr="00EA3026">
        <w:rPr>
          <w:rFonts w:ascii="Times New Roman" w:hAnsi="Times New Roman" w:cs="Times New Roman"/>
          <w:bCs/>
          <w:sz w:val="24"/>
        </w:rPr>
        <w:tab/>
      </w:r>
      <w:r w:rsidRPr="00EA3026">
        <w:rPr>
          <w:rFonts w:ascii="Times New Roman" w:hAnsi="Times New Roman"/>
          <w:sz w:val="24"/>
        </w:rPr>
        <w:t>Andra värdepappersföretag än små och icke-sammanlänkade ska offentliggöra information om sammansättningen av kapitalbasen i enlighet med mall EU I CC1.01 i bilaga VI. S</w:t>
      </w:r>
      <w:r w:rsidRPr="00EA3026">
        <w:rPr>
          <w:rFonts w:ascii="Times New Roman" w:hAnsi="Times New Roman"/>
          <w:sz w:val="24"/>
        </w:rPr>
        <w:t>må och icke-sammanlänkade värdepappersföretag med emission av instrument för övrigt primärkapital för kapitaltäckningsändamål (primärkapitaltillskottsinstrument) ska också offentliggöra information om sammansättningen av kapitalbasen i enlighet med mall EU</w:t>
      </w:r>
      <w:r w:rsidRPr="00EA3026">
        <w:rPr>
          <w:rFonts w:ascii="Times New Roman" w:hAnsi="Times New Roman"/>
          <w:sz w:val="24"/>
        </w:rPr>
        <w:t xml:space="preserve"> I CC1.02 i bilaga VI.</w:t>
      </w:r>
    </w:p>
    <w:p w14:paraId="4968E62B" w14:textId="77777777" w:rsidR="008618A0" w:rsidRPr="00EA3026" w:rsidRDefault="00EA3026">
      <w:pPr>
        <w:rPr>
          <w:rFonts w:ascii="Times New Roman" w:hAnsi="Times New Roman" w:cs="Times New Roman"/>
          <w:b/>
          <w:bCs/>
          <w:sz w:val="24"/>
        </w:rPr>
      </w:pPr>
      <w:r w:rsidRPr="00EA3026">
        <w:rPr>
          <w:rFonts w:ascii="Times New Roman" w:hAnsi="Times New Roman"/>
          <w:b/>
          <w:sz w:val="24"/>
        </w:rPr>
        <w:t>Mall EU I CC1.01 – Sammansättning av föreskriven kapitalbas (andra värdepappersföretag än små och icke-sammanlänkade)</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8618A0" w:rsidRPr="00EA3026" w14:paraId="7CF77AD7" w14:textId="77777777">
        <w:trPr>
          <w:trHeight w:val="395"/>
        </w:trPr>
        <w:tc>
          <w:tcPr>
            <w:tcW w:w="8812" w:type="dxa"/>
            <w:gridSpan w:val="2"/>
            <w:shd w:val="clear" w:color="auto" w:fill="D9D9D9" w:themeFill="background1" w:themeFillShade="D9"/>
          </w:tcPr>
          <w:p w14:paraId="5852D663" w14:textId="77777777" w:rsidR="008618A0" w:rsidRPr="00EA3026" w:rsidRDefault="00EA3026">
            <w:pPr>
              <w:pStyle w:val="TableTitle"/>
              <w:spacing w:before="0" w:after="0"/>
              <w:jc w:val="left"/>
              <w:rPr>
                <w:rFonts w:ascii="Times New Roman" w:hAnsi="Times New Roman"/>
                <w:szCs w:val="22"/>
              </w:rPr>
            </w:pPr>
            <w:r w:rsidRPr="00EA3026">
              <w:rPr>
                <w:rFonts w:ascii="Times New Roman" w:hAnsi="Times New Roman"/>
              </w:rPr>
              <w:t>Rättsliga hänvisningar och instruktioner</w:t>
            </w:r>
          </w:p>
        </w:tc>
      </w:tr>
      <w:tr w:rsidR="008618A0" w:rsidRPr="00EA3026" w14:paraId="7B73D3E7" w14:textId="77777777">
        <w:tblPrEx>
          <w:tblLook w:val="00A0" w:firstRow="1" w:lastRow="0" w:firstColumn="1" w:lastColumn="0" w:noHBand="0" w:noVBand="0"/>
        </w:tblPrEx>
        <w:tc>
          <w:tcPr>
            <w:tcW w:w="1129" w:type="dxa"/>
            <w:tcBorders>
              <w:bottom w:val="single" w:sz="4" w:space="0" w:color="auto"/>
            </w:tcBorders>
            <w:shd w:val="clear" w:color="auto" w:fill="D9D9D9"/>
          </w:tcPr>
          <w:p w14:paraId="3D30730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Rad</w:t>
            </w:r>
          </w:p>
        </w:tc>
        <w:tc>
          <w:tcPr>
            <w:tcW w:w="7683" w:type="dxa"/>
            <w:tcBorders>
              <w:bottom w:val="single" w:sz="4" w:space="0" w:color="auto"/>
            </w:tcBorders>
            <w:shd w:val="clear" w:color="auto" w:fill="D9D9D9"/>
          </w:tcPr>
          <w:p w14:paraId="06B8D29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Rättsliga hänvisningar och instruktioner</w:t>
            </w:r>
          </w:p>
        </w:tc>
      </w:tr>
      <w:tr w:rsidR="008618A0" w:rsidRPr="00EA3026" w14:paraId="72811459" w14:textId="77777777">
        <w:tblPrEx>
          <w:tblLook w:val="00A0" w:firstRow="1" w:lastRow="0" w:firstColumn="1" w:lastColumn="0" w:noHBand="0" w:noVBand="0"/>
        </w:tblPrEx>
        <w:tc>
          <w:tcPr>
            <w:tcW w:w="1129" w:type="dxa"/>
            <w:shd w:val="clear" w:color="auto" w:fill="auto"/>
            <w:vAlign w:val="center"/>
          </w:tcPr>
          <w:p w14:paraId="2595381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color w:val="000000"/>
              </w:rPr>
              <w:t>1</w:t>
            </w:r>
          </w:p>
        </w:tc>
        <w:tc>
          <w:tcPr>
            <w:tcW w:w="7683" w:type="dxa"/>
            <w:shd w:val="clear" w:color="auto" w:fill="auto"/>
          </w:tcPr>
          <w:p w14:paraId="68955E8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Kapitalbas</w:t>
            </w:r>
          </w:p>
          <w:p w14:paraId="45579C1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w:t>
            </w:r>
            <w:r w:rsidRPr="00EA3026">
              <w:rPr>
                <w:rFonts w:ascii="Times New Roman" w:hAnsi="Times New Roman"/>
              </w:rPr>
              <w:t xml:space="preserve"> förordning (EU) 2019/2033.</w:t>
            </w:r>
          </w:p>
          <w:p w14:paraId="4D0CB3D0"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Ett värdepappersföretags kapitalbas ska bestå av summan av dess kärnprimärkapital, övrigt primärkapital för kapitaltäckningsändamål och supplementärkapital.</w:t>
            </w:r>
          </w:p>
          <w:p w14:paraId="7B5B240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är summan av rad 2 och rad 40.</w:t>
            </w:r>
          </w:p>
        </w:tc>
      </w:tr>
      <w:tr w:rsidR="008618A0" w:rsidRPr="00EA3026" w14:paraId="33C3869B" w14:textId="77777777">
        <w:tblPrEx>
          <w:tblLook w:val="00A0" w:firstRow="1" w:lastRow="0" w:firstColumn="1" w:lastColumn="0" w:noHBand="0" w:noVBand="0"/>
        </w:tblPrEx>
        <w:tc>
          <w:tcPr>
            <w:tcW w:w="1129" w:type="dxa"/>
            <w:shd w:val="clear" w:color="auto" w:fill="auto"/>
            <w:vAlign w:val="center"/>
          </w:tcPr>
          <w:p w14:paraId="5CF6A06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color w:val="000000"/>
              </w:rPr>
              <w:t>2</w:t>
            </w:r>
          </w:p>
        </w:tc>
        <w:tc>
          <w:tcPr>
            <w:tcW w:w="7683" w:type="dxa"/>
            <w:shd w:val="clear" w:color="auto" w:fill="auto"/>
          </w:tcPr>
          <w:p w14:paraId="7C73816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Primärkapital</w:t>
            </w:r>
          </w:p>
          <w:p w14:paraId="76392AC8"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Primärkapital är summan av kärnprimärkapital och övrigt primärkapital för kapitaltäckningsändamål.</w:t>
            </w:r>
          </w:p>
          <w:p w14:paraId="0A2B21FC" w14:textId="77777777" w:rsidR="008618A0" w:rsidRPr="00EA3026" w:rsidRDefault="00EA3026">
            <w:pPr>
              <w:spacing w:after="120"/>
              <w:jc w:val="both"/>
              <w:rPr>
                <w:rFonts w:ascii="Times New Roman" w:eastAsia="Times New Roman" w:hAnsi="Times New Roman" w:cs="Times New Roman"/>
                <w:b/>
                <w:bCs/>
                <w:szCs w:val="22"/>
              </w:rPr>
            </w:pPr>
            <w:r w:rsidRPr="00EA3026">
              <w:rPr>
                <w:rFonts w:ascii="Times New Roman" w:hAnsi="Times New Roman"/>
              </w:rPr>
              <w:t>Denna rad är summan av rad 3 och rad 28.</w:t>
            </w:r>
          </w:p>
        </w:tc>
      </w:tr>
      <w:tr w:rsidR="008618A0" w:rsidRPr="00EA3026" w14:paraId="56B2B357" w14:textId="77777777">
        <w:tblPrEx>
          <w:tblLook w:val="00A0" w:firstRow="1" w:lastRow="0" w:firstColumn="1" w:lastColumn="0" w:noHBand="0" w:noVBand="0"/>
        </w:tblPrEx>
        <w:tc>
          <w:tcPr>
            <w:tcW w:w="1129" w:type="dxa"/>
            <w:shd w:val="clear" w:color="auto" w:fill="auto"/>
            <w:vAlign w:val="center"/>
          </w:tcPr>
          <w:p w14:paraId="6F0FBBC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color w:val="000000"/>
              </w:rPr>
              <w:t>3</w:t>
            </w:r>
          </w:p>
        </w:tc>
        <w:tc>
          <w:tcPr>
            <w:tcW w:w="7683" w:type="dxa"/>
            <w:shd w:val="clear" w:color="auto" w:fill="auto"/>
          </w:tcPr>
          <w:p w14:paraId="49A3A878"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InstructionsTabelleberschrift"/>
                <w:rFonts w:ascii="Times New Roman" w:hAnsi="Times New Roman"/>
                <w:sz w:val="22"/>
              </w:rPr>
              <w:t>Kärnprimärkapital</w:t>
            </w:r>
          </w:p>
          <w:p w14:paraId="2682E21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0627F4FB"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 xml:space="preserve">Artikel 50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p w14:paraId="45EE013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Totalsumman </w:t>
            </w:r>
            <w:r w:rsidRPr="00EA3026">
              <w:rPr>
                <w:rFonts w:ascii="Times New Roman" w:hAnsi="Times New Roman"/>
              </w:rPr>
              <w:t>av raderna 4–12 och rad 27 ska offentliggöras.</w:t>
            </w:r>
          </w:p>
        </w:tc>
      </w:tr>
      <w:tr w:rsidR="008618A0" w:rsidRPr="00EA3026" w14:paraId="37837830" w14:textId="77777777">
        <w:tblPrEx>
          <w:tblLook w:val="00A0" w:firstRow="1" w:lastRow="0" w:firstColumn="1" w:lastColumn="0" w:noHBand="0" w:noVBand="0"/>
        </w:tblPrEx>
        <w:tc>
          <w:tcPr>
            <w:tcW w:w="1129" w:type="dxa"/>
            <w:shd w:val="clear" w:color="auto" w:fill="auto"/>
            <w:vAlign w:val="center"/>
          </w:tcPr>
          <w:p w14:paraId="2096E83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4</w:t>
            </w:r>
          </w:p>
        </w:tc>
        <w:tc>
          <w:tcPr>
            <w:tcW w:w="7683" w:type="dxa"/>
            <w:shd w:val="clear" w:color="auto" w:fill="auto"/>
          </w:tcPr>
          <w:p w14:paraId="5856ACF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Fullt betalda kapitalinstrument</w:t>
            </w:r>
          </w:p>
          <w:p w14:paraId="103661A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114D79BF"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Artikel 26.1 a och artiklarna 27–31 </w:t>
            </w:r>
            <w:r w:rsidRPr="00EA3026">
              <w:t xml:space="preserve">i </w:t>
            </w:r>
            <w:r w:rsidRPr="00EA3026">
              <w:rPr>
                <w:rStyle w:val="FormatvorlageInstructionsTabelleText"/>
                <w:rFonts w:ascii="Times New Roman" w:hAnsi="Times New Roman"/>
                <w:sz w:val="22"/>
              </w:rPr>
              <w:t>förordning (EU) nr 575/2013</w:t>
            </w:r>
          </w:p>
          <w:p w14:paraId="644456B2" w14:textId="77777777" w:rsidR="008618A0" w:rsidRPr="00EA3026" w:rsidRDefault="008618A0">
            <w:pPr>
              <w:pStyle w:val="InstructionsText"/>
              <w:rPr>
                <w:rStyle w:val="FormatvorlageInstructionsTabelleText"/>
                <w:rFonts w:ascii="Times New Roman" w:hAnsi="Times New Roman"/>
                <w:sz w:val="22"/>
              </w:rPr>
            </w:pPr>
          </w:p>
          <w:p w14:paraId="2CBEE15A"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Kapitalinstrument i ömsesidiga bolag, kooperativa </w:t>
            </w:r>
            <w:r w:rsidRPr="00EA3026">
              <w:rPr>
                <w:rStyle w:val="FormatvorlageInstructionsTabelleText"/>
                <w:rFonts w:ascii="Times New Roman" w:hAnsi="Times New Roman"/>
                <w:sz w:val="22"/>
              </w:rPr>
              <w:t>sammanslutningar eller jämförbara institut (artiklarna 27 och 29</w:t>
            </w:r>
            <w:r w:rsidRPr="00EA3026">
              <w:t xml:space="preserve"> i </w:t>
            </w:r>
            <w:r w:rsidRPr="00EA3026">
              <w:rPr>
                <w:rStyle w:val="FormatvorlageInstructionsTabelleText"/>
                <w:rFonts w:ascii="Times New Roman" w:hAnsi="Times New Roman"/>
                <w:sz w:val="22"/>
              </w:rPr>
              <w:t>förordning (EU) nr 575/2013) ska inkluderas.</w:t>
            </w:r>
          </w:p>
          <w:p w14:paraId="31D808BF"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Den överkursfond som hör ihop med instrumenten ska inte inkluderas.</w:t>
            </w:r>
          </w:p>
          <w:p w14:paraId="47D45310" w14:textId="77777777" w:rsidR="008618A0" w:rsidRPr="00EA3026" w:rsidRDefault="00EA3026">
            <w:pPr>
              <w:pStyle w:val="InstructionsText"/>
            </w:pPr>
            <w:r w:rsidRPr="00EA3026">
              <w:rPr>
                <w:rStyle w:val="FormatvorlageInstructionsTabelleText"/>
                <w:rFonts w:ascii="Times New Roman" w:hAnsi="Times New Roman"/>
                <w:sz w:val="22"/>
              </w:rPr>
              <w:t>Kapitalinstrument som tecknats av offentliga myndigheter i nödsituationer sk</w:t>
            </w:r>
            <w:r w:rsidRPr="00EA3026">
              <w:rPr>
                <w:rStyle w:val="FormatvorlageInstructionsTabelleText"/>
                <w:rFonts w:ascii="Times New Roman" w:hAnsi="Times New Roman"/>
                <w:sz w:val="22"/>
              </w:rPr>
              <w:t>a inkluderas om samtliga villkor i artikel 31</w:t>
            </w:r>
            <w:r w:rsidRPr="00EA3026">
              <w:t xml:space="preserve"> i </w:t>
            </w:r>
            <w:r w:rsidRPr="00EA3026">
              <w:rPr>
                <w:rStyle w:val="FormatvorlageInstructionsTabelleText"/>
                <w:rFonts w:ascii="Times New Roman" w:hAnsi="Times New Roman"/>
                <w:sz w:val="22"/>
              </w:rPr>
              <w:t>förordning (EU) nr 575/2013 är uppfyllda.</w:t>
            </w:r>
          </w:p>
        </w:tc>
      </w:tr>
      <w:tr w:rsidR="008618A0" w:rsidRPr="00EA3026" w14:paraId="2339321D" w14:textId="77777777">
        <w:tblPrEx>
          <w:tblLook w:val="00A0" w:firstRow="1" w:lastRow="0" w:firstColumn="1" w:lastColumn="0" w:noHBand="0" w:noVBand="0"/>
        </w:tblPrEx>
        <w:tc>
          <w:tcPr>
            <w:tcW w:w="1129" w:type="dxa"/>
            <w:shd w:val="clear" w:color="auto" w:fill="auto"/>
            <w:vAlign w:val="center"/>
          </w:tcPr>
          <w:p w14:paraId="49A6881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5</w:t>
            </w:r>
          </w:p>
        </w:tc>
        <w:tc>
          <w:tcPr>
            <w:tcW w:w="7683" w:type="dxa"/>
            <w:shd w:val="clear" w:color="auto" w:fill="auto"/>
          </w:tcPr>
          <w:p w14:paraId="14BF3B6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0757045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304D2A62"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 xml:space="preserve">Artikel 26.1 b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p w14:paraId="1B5FC9B8"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Överkursfond har den innebörd som anges i </w:t>
            </w:r>
            <w:r w:rsidRPr="00EA3026">
              <w:rPr>
                <w:rStyle w:val="FormatvorlageInstructionsTabelleText"/>
                <w:rFonts w:ascii="Times New Roman" w:hAnsi="Times New Roman"/>
                <w:sz w:val="22"/>
              </w:rPr>
              <w:t>tillämplig redovisningsstandard.</w:t>
            </w:r>
          </w:p>
          <w:p w14:paraId="44CA62B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31E16924" w14:textId="77777777">
        <w:tblPrEx>
          <w:tblLook w:val="00A0" w:firstRow="1" w:lastRow="0" w:firstColumn="1" w:lastColumn="0" w:noHBand="0" w:noVBand="0"/>
        </w:tblPrEx>
        <w:tc>
          <w:tcPr>
            <w:tcW w:w="1129" w:type="dxa"/>
            <w:shd w:val="clear" w:color="auto" w:fill="auto"/>
            <w:vAlign w:val="center"/>
          </w:tcPr>
          <w:p w14:paraId="6444482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6</w:t>
            </w:r>
          </w:p>
        </w:tc>
        <w:tc>
          <w:tcPr>
            <w:tcW w:w="7683" w:type="dxa"/>
            <w:shd w:val="clear" w:color="auto" w:fill="auto"/>
          </w:tcPr>
          <w:p w14:paraId="2A90837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Balanserade vinstmedel</w:t>
            </w:r>
          </w:p>
          <w:p w14:paraId="051045C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C5172BA"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 xml:space="preserve">Artikel 26.1 c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p w14:paraId="3BAB337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I balanserade</w:t>
            </w:r>
            <w:r w:rsidRPr="00EA3026">
              <w:rPr>
                <w:rStyle w:val="FormatvorlageInstructionsTabelleText"/>
                <w:rFonts w:ascii="Times New Roman" w:hAnsi="Times New Roman"/>
                <w:sz w:val="22"/>
              </w:rPr>
              <w:t xml:space="preserve"> vinstmedel ska balanserade vinstmedel från det föregående året ingå plus godtagbara delårs- eller årsöverskott.</w:t>
            </w:r>
          </w:p>
        </w:tc>
      </w:tr>
      <w:tr w:rsidR="008618A0" w:rsidRPr="00EA3026" w14:paraId="01346E8F" w14:textId="77777777">
        <w:tblPrEx>
          <w:tblLook w:val="00A0" w:firstRow="1" w:lastRow="0" w:firstColumn="1" w:lastColumn="0" w:noHBand="0" w:noVBand="0"/>
        </w:tblPrEx>
        <w:tc>
          <w:tcPr>
            <w:tcW w:w="1129" w:type="dxa"/>
            <w:shd w:val="clear" w:color="auto" w:fill="auto"/>
            <w:vAlign w:val="center"/>
          </w:tcPr>
          <w:p w14:paraId="2F8B63E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7</w:t>
            </w:r>
          </w:p>
        </w:tc>
        <w:tc>
          <w:tcPr>
            <w:tcW w:w="7683" w:type="dxa"/>
            <w:shd w:val="clear" w:color="auto" w:fill="auto"/>
          </w:tcPr>
          <w:p w14:paraId="1185000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Ackumulerat övrigt totalresultat</w:t>
            </w:r>
          </w:p>
          <w:p w14:paraId="365F7F6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08A6C732" w14:textId="77777777" w:rsidR="008618A0" w:rsidRPr="00EA3026" w:rsidRDefault="00EA3026">
            <w:pPr>
              <w:spacing w:after="120"/>
              <w:jc w:val="both"/>
              <w:rPr>
                <w:rFonts w:ascii="Times New Roman" w:hAnsi="Times New Roman" w:cs="Times New Roman"/>
                <w:bCs/>
                <w:szCs w:val="22"/>
              </w:rPr>
            </w:pPr>
            <w:r w:rsidRPr="00EA3026">
              <w:rPr>
                <w:rStyle w:val="FormatvorlageInstructionsTabelleText"/>
                <w:rFonts w:ascii="Times New Roman" w:hAnsi="Times New Roman"/>
                <w:sz w:val="22"/>
              </w:rPr>
              <w:t xml:space="preserve">Artikel 26.1 d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tc>
      </w:tr>
      <w:tr w:rsidR="008618A0" w:rsidRPr="00EA3026" w14:paraId="75CB463E" w14:textId="77777777">
        <w:tblPrEx>
          <w:tblLook w:val="00A0" w:firstRow="1" w:lastRow="0" w:firstColumn="1" w:lastColumn="0" w:noHBand="0" w:noVBand="0"/>
        </w:tblPrEx>
        <w:tc>
          <w:tcPr>
            <w:tcW w:w="1129" w:type="dxa"/>
            <w:shd w:val="clear" w:color="auto" w:fill="auto"/>
            <w:vAlign w:val="center"/>
          </w:tcPr>
          <w:p w14:paraId="5382099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8</w:t>
            </w:r>
          </w:p>
        </w:tc>
        <w:tc>
          <w:tcPr>
            <w:tcW w:w="7683" w:type="dxa"/>
            <w:tcBorders>
              <w:bottom w:val="single" w:sz="4" w:space="0" w:color="auto"/>
            </w:tcBorders>
            <w:shd w:val="clear" w:color="auto" w:fill="auto"/>
          </w:tcPr>
          <w:p w14:paraId="3EB5BA3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Övriga </w:t>
            </w:r>
            <w:r w:rsidRPr="00EA3026">
              <w:rPr>
                <w:rFonts w:ascii="Times New Roman" w:hAnsi="Times New Roman"/>
                <w:b/>
                <w:u w:val="single"/>
              </w:rPr>
              <w:t>reserver</w:t>
            </w:r>
          </w:p>
          <w:p w14:paraId="5CB4F02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246DAF6F"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 xml:space="preserve">Artikel 4.1.117 och artikel 26.1 e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p w14:paraId="1EEFEFB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Beloppet ska redovisas efter avdrag för de eventuella skattepålagor som kan förutses när beräkningen görs.</w:t>
            </w:r>
          </w:p>
        </w:tc>
      </w:tr>
      <w:tr w:rsidR="008618A0" w:rsidRPr="00EA3026" w14:paraId="6BC97C12" w14:textId="77777777">
        <w:tblPrEx>
          <w:tblLook w:val="00A0" w:firstRow="1" w:lastRow="0" w:firstColumn="1" w:lastColumn="0" w:noHBand="0" w:noVBand="0"/>
        </w:tblPrEx>
        <w:tc>
          <w:tcPr>
            <w:tcW w:w="1129" w:type="dxa"/>
            <w:shd w:val="clear" w:color="auto" w:fill="auto"/>
            <w:vAlign w:val="center"/>
          </w:tcPr>
          <w:p w14:paraId="1252BCC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9</w:t>
            </w:r>
          </w:p>
        </w:tc>
        <w:tc>
          <w:tcPr>
            <w:tcW w:w="7683" w:type="dxa"/>
            <w:shd w:val="clear" w:color="auto" w:fill="auto"/>
          </w:tcPr>
          <w:p w14:paraId="0B20C25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Minoritetsintressen som får ingå i kärnprimärkapital</w:t>
            </w:r>
          </w:p>
          <w:p w14:paraId="02CC1EE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Summan av samtliga dotterföretags minoritetsintressen som ingår i det konsoliderade kärnprimärkapitalet.</w:t>
            </w:r>
          </w:p>
        </w:tc>
      </w:tr>
      <w:tr w:rsidR="008618A0" w:rsidRPr="00EA3026" w14:paraId="651085DB" w14:textId="77777777">
        <w:tblPrEx>
          <w:tblLook w:val="00A0" w:firstRow="1" w:lastRow="0" w:firstColumn="1" w:lastColumn="0" w:noHBand="0" w:noVBand="0"/>
        </w:tblPrEx>
        <w:tc>
          <w:tcPr>
            <w:tcW w:w="1129" w:type="dxa"/>
            <w:shd w:val="clear" w:color="auto" w:fill="auto"/>
            <w:vAlign w:val="center"/>
          </w:tcPr>
          <w:p w14:paraId="2BA9B2AF"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10</w:t>
            </w:r>
          </w:p>
        </w:tc>
        <w:tc>
          <w:tcPr>
            <w:tcW w:w="7683" w:type="dxa"/>
            <w:shd w:val="clear" w:color="auto" w:fill="auto"/>
          </w:tcPr>
          <w:p w14:paraId="28389C9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Justeringar av kärnprimärkapital på grund av försiktighetsmarginaler</w:t>
            </w:r>
          </w:p>
          <w:p w14:paraId="1EDC55D4"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 xml:space="preserve">Artikel 9.1 i </w:t>
            </w:r>
            <w:r w:rsidRPr="00EA3026">
              <w:rPr>
                <w:rFonts w:ascii="Times New Roman" w:hAnsi="Times New Roman"/>
              </w:rPr>
              <w:t xml:space="preserve">i </w:t>
            </w:r>
            <w:r w:rsidRPr="00EA3026">
              <w:rPr>
                <w:rStyle w:val="FormatvorlageInstructionsTabelleText"/>
                <w:rFonts w:ascii="Times New Roman" w:hAnsi="Times New Roman"/>
                <w:sz w:val="22"/>
              </w:rPr>
              <w:t>förordnin</w:t>
            </w:r>
            <w:r w:rsidRPr="00EA3026">
              <w:rPr>
                <w:rStyle w:val="FormatvorlageInstructionsTabelleText"/>
                <w:rFonts w:ascii="Times New Roman" w:hAnsi="Times New Roman"/>
                <w:sz w:val="22"/>
              </w:rPr>
              <w:t>g (EU) 2019/2033.</w:t>
            </w:r>
          </w:p>
          <w:p w14:paraId="05D55AF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Artiklarna 32–35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tc>
      </w:tr>
      <w:tr w:rsidR="008618A0" w:rsidRPr="00EA3026" w14:paraId="6B3990C8" w14:textId="77777777">
        <w:tblPrEx>
          <w:tblLook w:val="00A0" w:firstRow="1" w:lastRow="0" w:firstColumn="1" w:lastColumn="0" w:noHBand="0" w:noVBand="0"/>
        </w:tblPrEx>
        <w:tc>
          <w:tcPr>
            <w:tcW w:w="1129" w:type="dxa"/>
            <w:shd w:val="clear" w:color="auto" w:fill="auto"/>
            <w:vAlign w:val="center"/>
          </w:tcPr>
          <w:p w14:paraId="45EC1C9E"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11</w:t>
            </w:r>
          </w:p>
        </w:tc>
        <w:tc>
          <w:tcPr>
            <w:tcW w:w="7683" w:type="dxa"/>
            <w:shd w:val="clear" w:color="auto" w:fill="auto"/>
          </w:tcPr>
          <w:p w14:paraId="0E12AF1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Övriga fonder</w:t>
            </w:r>
          </w:p>
          <w:p w14:paraId="7DD4E3F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9.4 i förordning (EU) 2019/2033.</w:t>
            </w:r>
          </w:p>
        </w:tc>
      </w:tr>
      <w:tr w:rsidR="008618A0" w:rsidRPr="00EA3026" w14:paraId="7B62DB26" w14:textId="77777777">
        <w:tblPrEx>
          <w:tblLook w:val="00A0" w:firstRow="1" w:lastRow="0" w:firstColumn="1" w:lastColumn="0" w:noHBand="0" w:noVBand="0"/>
        </w:tblPrEx>
        <w:tc>
          <w:tcPr>
            <w:tcW w:w="1129" w:type="dxa"/>
            <w:shd w:val="clear" w:color="auto" w:fill="auto"/>
            <w:vAlign w:val="center"/>
          </w:tcPr>
          <w:p w14:paraId="1A7428C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12</w:t>
            </w:r>
          </w:p>
        </w:tc>
        <w:tc>
          <w:tcPr>
            <w:tcW w:w="7683" w:type="dxa"/>
            <w:shd w:val="clear" w:color="auto" w:fill="auto"/>
          </w:tcPr>
          <w:p w14:paraId="754DA90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TOTALA AVDRAG FRÅN KÄRNPRIMÄRKAPITAL</w:t>
            </w:r>
          </w:p>
          <w:p w14:paraId="3F5A044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Totalsumman av rad 13 och raderna 17–26 ska redovisas.</w:t>
            </w:r>
          </w:p>
        </w:tc>
      </w:tr>
      <w:tr w:rsidR="008618A0" w:rsidRPr="00EA3026" w14:paraId="0A980941" w14:textId="77777777">
        <w:tblPrEx>
          <w:tblLook w:val="00A0" w:firstRow="1" w:lastRow="0" w:firstColumn="1" w:lastColumn="0" w:noHBand="0" w:noVBand="0"/>
        </w:tblPrEx>
        <w:tc>
          <w:tcPr>
            <w:tcW w:w="1129" w:type="dxa"/>
            <w:shd w:val="clear" w:color="auto" w:fill="auto"/>
            <w:vAlign w:val="center"/>
          </w:tcPr>
          <w:p w14:paraId="1A7E4C5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13</w:t>
            </w:r>
          </w:p>
        </w:tc>
        <w:tc>
          <w:tcPr>
            <w:tcW w:w="7683" w:type="dxa"/>
            <w:shd w:val="clear" w:color="auto" w:fill="auto"/>
          </w:tcPr>
          <w:p w14:paraId="7A42C80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Egna </w:t>
            </w:r>
            <w:r w:rsidRPr="00EA3026">
              <w:rPr>
                <w:rFonts w:ascii="Times New Roman" w:hAnsi="Times New Roman"/>
                <w:b/>
                <w:u w:val="single"/>
              </w:rPr>
              <w:t>kärnprimärkapitalinstrument</w:t>
            </w:r>
          </w:p>
          <w:p w14:paraId="6F0046A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78A4332F"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Artikel 36.1 f och artikel 42 </w:t>
            </w:r>
            <w:r w:rsidRPr="00EA3026">
              <w:t xml:space="preserve">i </w:t>
            </w:r>
            <w:r w:rsidRPr="00EA3026">
              <w:rPr>
                <w:rStyle w:val="FormatvorlageInstructionsTabelleText"/>
                <w:rFonts w:ascii="Times New Roman" w:hAnsi="Times New Roman"/>
                <w:sz w:val="22"/>
              </w:rPr>
              <w:t>förordning (EU) nr 575/2013.</w:t>
            </w:r>
          </w:p>
          <w:p w14:paraId="4E4C9845"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Det egna kärnprimärkapital som det rapporterande institutet eller den rapporterande gruppen innehar på rapporteringsdatum. O</w:t>
            </w:r>
            <w:r w:rsidRPr="00EA3026">
              <w:rPr>
                <w:rStyle w:val="FormatvorlageInstructionsTabelleText"/>
                <w:rFonts w:ascii="Times New Roman" w:hAnsi="Times New Roman"/>
                <w:sz w:val="22"/>
              </w:rPr>
              <w:t xml:space="preserve">mfattas av undantagen i artikel 42 </w:t>
            </w:r>
            <w:r w:rsidRPr="00EA3026">
              <w:t xml:space="preserve">i </w:t>
            </w:r>
            <w:r w:rsidRPr="00EA3026">
              <w:rPr>
                <w:rStyle w:val="FormatvorlageInstructionsTabelleText"/>
                <w:rFonts w:ascii="Times New Roman" w:hAnsi="Times New Roman"/>
                <w:sz w:val="22"/>
              </w:rPr>
              <w:t>förordning (EU) nr 575/2013.</w:t>
            </w:r>
          </w:p>
          <w:p w14:paraId="6B7A7531"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Aktieinnehav som ingår i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ej godtagbara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 xml:space="preserve"> ska inte redovisas på denna rad.</w:t>
            </w:r>
          </w:p>
          <w:p w14:paraId="53EEC8BE" w14:textId="77777777" w:rsidR="008618A0" w:rsidRPr="00EA3026" w:rsidRDefault="00EA3026">
            <w:pPr>
              <w:pStyle w:val="InstructionsText"/>
            </w:pPr>
            <w:r w:rsidRPr="00EA3026">
              <w:rPr>
                <w:rStyle w:val="FormatvorlageInstructionsTabelleText"/>
                <w:rFonts w:ascii="Times New Roman" w:hAnsi="Times New Roman"/>
                <w:sz w:val="22"/>
              </w:rPr>
              <w:t>Den överkursfond som hör ihop med aktieinnehavet ska ingå i det redovisade beloppet.</w:t>
            </w:r>
          </w:p>
        </w:tc>
      </w:tr>
      <w:tr w:rsidR="008618A0" w:rsidRPr="00EA3026" w14:paraId="70DF357B" w14:textId="77777777">
        <w:tblPrEx>
          <w:tblLook w:val="00A0" w:firstRow="1" w:lastRow="0" w:firstColumn="1" w:lastColumn="0" w:noHBand="0" w:noVBand="0"/>
        </w:tblPrEx>
        <w:tc>
          <w:tcPr>
            <w:tcW w:w="1129" w:type="dxa"/>
            <w:shd w:val="clear" w:color="auto" w:fill="auto"/>
            <w:vAlign w:val="center"/>
          </w:tcPr>
          <w:p w14:paraId="05A7A92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14</w:t>
            </w:r>
          </w:p>
        </w:tc>
        <w:tc>
          <w:tcPr>
            <w:tcW w:w="7683" w:type="dxa"/>
            <w:shd w:val="clear" w:color="auto" w:fill="auto"/>
          </w:tcPr>
          <w:p w14:paraId="0C10186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w:t>
            </w:r>
            <w:r w:rsidRPr="00EA3026">
              <w:rPr>
                <w:rFonts w:ascii="Times New Roman" w:hAnsi="Times New Roman"/>
                <w:b/>
                <w:u w:val="single"/>
              </w:rPr>
              <w:t>Direkta innehav av kärnprimärkapitalinstrument</w:t>
            </w:r>
          </w:p>
          <w:p w14:paraId="6084F0D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67188EF8"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Artikel 36.1 f och artikel 42 </w:t>
            </w:r>
            <w:r w:rsidRPr="00EA3026">
              <w:t xml:space="preserve">i </w:t>
            </w:r>
            <w:r w:rsidRPr="00EA3026">
              <w:rPr>
                <w:rStyle w:val="FormatvorlageInstructionsTabelleText"/>
                <w:rFonts w:ascii="Times New Roman" w:hAnsi="Times New Roman"/>
                <w:sz w:val="22"/>
              </w:rPr>
              <w:t>förordning (EU) nr 575/2013.</w:t>
            </w:r>
          </w:p>
          <w:p w14:paraId="3431ADA4" w14:textId="77777777" w:rsidR="008618A0" w:rsidRPr="00EA3026" w:rsidRDefault="00EA3026">
            <w:pPr>
              <w:pStyle w:val="InstructionsText"/>
            </w:pPr>
            <w:r w:rsidRPr="00EA3026">
              <w:rPr>
                <w:rStyle w:val="FormatvorlageInstructionsTabelleText"/>
                <w:rFonts w:ascii="Times New Roman" w:hAnsi="Times New Roman"/>
                <w:sz w:val="22"/>
              </w:rPr>
              <w:t xml:space="preserve">Kärnprimärkapitalinstrument som innehas av värdepappersföretaget. </w:t>
            </w:r>
          </w:p>
        </w:tc>
      </w:tr>
      <w:tr w:rsidR="008618A0" w:rsidRPr="00EA3026" w14:paraId="4C1D35C9" w14:textId="77777777">
        <w:tblPrEx>
          <w:tblLook w:val="00A0" w:firstRow="1" w:lastRow="0" w:firstColumn="1" w:lastColumn="0" w:noHBand="0" w:noVBand="0"/>
        </w:tblPrEx>
        <w:tc>
          <w:tcPr>
            <w:tcW w:w="1129" w:type="dxa"/>
            <w:shd w:val="clear" w:color="auto" w:fill="auto"/>
            <w:vAlign w:val="center"/>
          </w:tcPr>
          <w:p w14:paraId="3E13A5C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15</w:t>
            </w:r>
          </w:p>
        </w:tc>
        <w:tc>
          <w:tcPr>
            <w:tcW w:w="7683" w:type="dxa"/>
            <w:shd w:val="clear" w:color="auto" w:fill="auto"/>
          </w:tcPr>
          <w:p w14:paraId="12CB5A9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Indirekta innehav av kärnprimä</w:t>
            </w:r>
            <w:r w:rsidRPr="00EA3026">
              <w:rPr>
                <w:rFonts w:ascii="Times New Roman" w:hAnsi="Times New Roman"/>
                <w:b/>
                <w:u w:val="single"/>
              </w:rPr>
              <w:t>rkapitalinstrument</w:t>
            </w:r>
          </w:p>
          <w:p w14:paraId="1E5F65D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4CD3B7A9"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Artikel 36.1 f och artikel 42 </w:t>
            </w:r>
            <w:r w:rsidRPr="00EA3026">
              <w:t xml:space="preserve">i </w:t>
            </w:r>
            <w:r w:rsidRPr="00EA3026">
              <w:rPr>
                <w:rStyle w:val="FormatvorlageInstructionsTabelleText"/>
                <w:rFonts w:ascii="Times New Roman" w:hAnsi="Times New Roman"/>
                <w:sz w:val="22"/>
              </w:rPr>
              <w:t>förordning (EU) nr 575/2013.</w:t>
            </w:r>
          </w:p>
          <w:p w14:paraId="7139A934" w14:textId="77777777" w:rsidR="008618A0" w:rsidRPr="00EA3026" w:rsidRDefault="00EA3026">
            <w:pPr>
              <w:pStyle w:val="InstructionsText"/>
            </w:pPr>
            <w:r w:rsidRPr="00EA3026">
              <w:rPr>
                <w:rStyle w:val="FormatvorlageInstructionsTabelleText"/>
                <w:rFonts w:ascii="Times New Roman" w:hAnsi="Times New Roman"/>
                <w:sz w:val="22"/>
              </w:rPr>
              <w:t>Kärnprimärkapitalinstrument som innehas av värdepappersföretaget</w:t>
            </w:r>
            <w:r w:rsidRPr="00EA3026">
              <w:t>.</w:t>
            </w:r>
          </w:p>
        </w:tc>
      </w:tr>
      <w:tr w:rsidR="008618A0" w:rsidRPr="00EA3026" w14:paraId="10FFCF7C" w14:textId="77777777">
        <w:tblPrEx>
          <w:tblLook w:val="00A0" w:firstRow="1" w:lastRow="0" w:firstColumn="1" w:lastColumn="0" w:noHBand="0" w:noVBand="0"/>
        </w:tblPrEx>
        <w:tc>
          <w:tcPr>
            <w:tcW w:w="1129" w:type="dxa"/>
            <w:shd w:val="clear" w:color="auto" w:fill="auto"/>
            <w:vAlign w:val="center"/>
          </w:tcPr>
          <w:p w14:paraId="17A550A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C13574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Syntetiska innehav av kärnprimärkapitalinstrument</w:t>
            </w:r>
          </w:p>
          <w:p w14:paraId="4D08255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w:t>
            </w:r>
            <w:r w:rsidRPr="00EA3026">
              <w:rPr>
                <w:rFonts w:ascii="Times New Roman" w:hAnsi="Times New Roman"/>
              </w:rPr>
              <w:t>.1 i i förordning (EU) 2019/2033.</w:t>
            </w:r>
          </w:p>
          <w:p w14:paraId="4C8E7A8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Artikel 4.1.114, artikel 36.1 f och artikel 42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tc>
      </w:tr>
      <w:tr w:rsidR="008618A0" w:rsidRPr="00EA3026" w14:paraId="6592AA5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0C7893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1E89DA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Förluster för innevarande räkenskapsår</w:t>
            </w:r>
          </w:p>
          <w:p w14:paraId="13F6291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a i förordning (EU) nr 575/2013.</w:t>
            </w:r>
          </w:p>
        </w:tc>
      </w:tr>
      <w:tr w:rsidR="008618A0" w:rsidRPr="00EA3026" w14:paraId="11B6C8B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69D059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0ED8BF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Goodwill</w:t>
            </w:r>
          </w:p>
          <w:p w14:paraId="041E549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9.1 i i </w:t>
            </w:r>
            <w:r w:rsidRPr="00EA3026">
              <w:rPr>
                <w:rFonts w:ascii="Times New Roman" w:hAnsi="Times New Roman"/>
              </w:rPr>
              <w:t>förordning (EU) 2019/2033.</w:t>
            </w:r>
          </w:p>
          <w:p w14:paraId="1AA0465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Artikel 4.1.113, artikel 36.1 b och artikel 37 </w:t>
            </w:r>
            <w:r w:rsidRPr="00EA3026">
              <w:rPr>
                <w:rFonts w:ascii="Times New Roman" w:hAnsi="Times New Roman"/>
              </w:rPr>
              <w:t xml:space="preserve">i </w:t>
            </w:r>
            <w:r w:rsidRPr="00EA3026">
              <w:rPr>
                <w:rStyle w:val="FormatvorlageInstructionsTabelleText"/>
                <w:rFonts w:ascii="Times New Roman" w:hAnsi="Times New Roman"/>
                <w:sz w:val="22"/>
              </w:rPr>
              <w:t>förordning (EU) nr 575/2013.</w:t>
            </w:r>
          </w:p>
        </w:tc>
      </w:tr>
      <w:tr w:rsidR="008618A0" w:rsidRPr="00EA3026" w14:paraId="00792C6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C3E601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FF9C6E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Övriga immateriella tillgångar</w:t>
            </w:r>
          </w:p>
          <w:p w14:paraId="5C5120C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2F63526D"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 xml:space="preserve">Artikel 4.1.115, artikel 36.1 b och artikel 37 a </w:t>
            </w:r>
            <w:r w:rsidRPr="00EA3026">
              <w:t>i</w:t>
            </w:r>
            <w:r w:rsidRPr="00EA3026">
              <w:rPr>
                <w:rStyle w:val="FormatvorlageInstructionsTabelleText"/>
                <w:rFonts w:ascii="Times New Roman" w:hAnsi="Times New Roman"/>
                <w:sz w:val="22"/>
              </w:rPr>
              <w:t>förordning (EU) nr 575/2013.</w:t>
            </w:r>
          </w:p>
          <w:p w14:paraId="105DFB2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Övriga immateriella tillgångar ska inbegripa immateriella tillgångar enligt tillämplig redovisningsstandard minus goodwill, även denna enligt tillämplig redovisningsstandard.</w:t>
            </w:r>
          </w:p>
        </w:tc>
      </w:tr>
      <w:tr w:rsidR="008618A0" w:rsidRPr="00EA3026" w14:paraId="6DCDF10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3A8994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w:t>
            </w:r>
            <w:r w:rsidRPr="00EA3026">
              <w:rPr>
                <w:rFonts w:ascii="Times New Roman" w:hAnsi="Times New Roman"/>
                <w:color w:val="000000"/>
              </w:rPr>
              <w:t>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60DCF7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Uppskjutna skattefordringar som är beroende av framtida lönsamhet och som inte uppstår till följd av temporära skillnader minus tillhörande skatteskulder</w:t>
            </w:r>
          </w:p>
          <w:p w14:paraId="4ADC681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a i förordning (EU) 2019/2033.</w:t>
            </w:r>
          </w:p>
          <w:p w14:paraId="0491F0C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c i förordning (EU) nr 575/2013.</w:t>
            </w:r>
          </w:p>
        </w:tc>
      </w:tr>
      <w:tr w:rsidR="008618A0" w:rsidRPr="00EA3026" w14:paraId="0677C0B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0A3ABD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20480A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Kvalificerat innehav utanför den finansiella sektorn som överstiger 15 % av kapitalbasen</w:t>
            </w:r>
          </w:p>
          <w:p w14:paraId="31C8FBF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10.1 a i förordning (EU) 2019/2033.</w:t>
            </w:r>
          </w:p>
        </w:tc>
      </w:tr>
      <w:tr w:rsidR="008618A0" w:rsidRPr="00EA3026" w14:paraId="173AC2F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B2857D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5BD96A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Totala kvalificerade innehav i andra företag än enheter i den finansiella sektorn som överstiger 60 % av deras </w:t>
            </w:r>
            <w:r w:rsidRPr="00EA3026">
              <w:rPr>
                <w:rFonts w:ascii="Times New Roman" w:hAnsi="Times New Roman"/>
                <w:b/>
                <w:u w:val="single"/>
              </w:rPr>
              <w:t>kapitalbas</w:t>
            </w:r>
          </w:p>
          <w:p w14:paraId="2549B1E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10.1 b i förordning (EU) 2019/2033.</w:t>
            </w:r>
          </w:p>
        </w:tc>
      </w:tr>
      <w:tr w:rsidR="008618A0" w:rsidRPr="00EA3026" w14:paraId="3B884ED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4561B4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66055D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Kärnprimärkapitalinstrument i enheter i den finansiella sektorn i vilka institutet inte har ett väsentligt innehav</w:t>
            </w:r>
          </w:p>
          <w:p w14:paraId="28C91E8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46A4CE3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h i förordning (EU) nr</w:t>
            </w:r>
            <w:r w:rsidRPr="00EA3026">
              <w:rPr>
                <w:rFonts w:ascii="Times New Roman" w:hAnsi="Times New Roman"/>
              </w:rPr>
              <w:t xml:space="preserve"> 575/2013.</w:t>
            </w:r>
          </w:p>
        </w:tc>
      </w:tr>
      <w:tr w:rsidR="008618A0" w:rsidRPr="00EA3026" w14:paraId="00E1CC4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745DB7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E01F92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Kärnprimärkapitalinstrument i enheter i den finansiella sektorn i vilka institutet har ett väsentligt innehav</w:t>
            </w:r>
          </w:p>
          <w:p w14:paraId="3CC0A74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d i förordning (EU) 2019/2033.</w:t>
            </w:r>
          </w:p>
          <w:p w14:paraId="45DE6BF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i i förordning (EU) nr 575/2013.</w:t>
            </w:r>
          </w:p>
        </w:tc>
      </w:tr>
      <w:tr w:rsidR="008618A0" w:rsidRPr="00EA3026" w14:paraId="323667D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165E9C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DC63D0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Tillgångar i </w:t>
            </w:r>
            <w:r w:rsidRPr="00EA3026">
              <w:rPr>
                <w:rFonts w:ascii="Times New Roman" w:hAnsi="Times New Roman"/>
                <w:b/>
                <w:u w:val="single"/>
              </w:rPr>
              <w:t>förmånsbestämda pensionsplaner</w:t>
            </w:r>
          </w:p>
          <w:p w14:paraId="6921054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b i förordning (EU) 2019/2033.</w:t>
            </w:r>
          </w:p>
          <w:p w14:paraId="32D50BE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e i förordning (EU) nr 575/2013.</w:t>
            </w:r>
          </w:p>
        </w:tc>
      </w:tr>
      <w:tr w:rsidR="008618A0" w:rsidRPr="00EA3026" w14:paraId="4AD1A664" w14:textId="77777777">
        <w:tblPrEx>
          <w:tblLook w:val="00A0" w:firstRow="1" w:lastRow="0" w:firstColumn="1" w:lastColumn="0" w:noHBand="0" w:noVBand="0"/>
        </w:tblPrEx>
        <w:tc>
          <w:tcPr>
            <w:tcW w:w="1129" w:type="dxa"/>
            <w:vAlign w:val="center"/>
          </w:tcPr>
          <w:p w14:paraId="6C3ABBE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2446B4F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Andra avdrag</w:t>
            </w:r>
          </w:p>
          <w:p w14:paraId="4798C530"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Summan av alla andra avdrag som anges i artikel 36.1 i förordning (EU) nr 575/2013.</w:t>
            </w:r>
          </w:p>
        </w:tc>
      </w:tr>
      <w:tr w:rsidR="008618A0" w:rsidRPr="00EA3026" w14:paraId="7B0B8D94" w14:textId="77777777">
        <w:tblPrEx>
          <w:tblLook w:val="00A0" w:firstRow="1" w:lastRow="0" w:firstColumn="1" w:lastColumn="0" w:noHBand="0" w:noVBand="0"/>
        </w:tblPrEx>
        <w:tc>
          <w:tcPr>
            <w:tcW w:w="1129" w:type="dxa"/>
            <w:vAlign w:val="center"/>
          </w:tcPr>
          <w:p w14:paraId="67E93001"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77E382D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Kärnprimärkapital: Andra kapitalposter, avdrag och justeringar</w:t>
            </w:r>
          </w:p>
          <w:p w14:paraId="6E200C5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ska i tillämpliga fall omfatta summan av följande poster:</w:t>
            </w:r>
          </w:p>
          <w:p w14:paraId="5E87088D"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kärnprimärkapitalinstrument för vilka äldre regler får fortsätta att tillämpas (artikel 48</w:t>
            </w:r>
            <w:r w:rsidRPr="00EA3026">
              <w:rPr>
                <w:rFonts w:ascii="Times New Roman" w:hAnsi="Times New Roman"/>
              </w:rPr>
              <w:t>3.1, 483.2 och 483.3 samt artiklarna 484–487 i förordning (EU) nr 575/2013).</w:t>
            </w:r>
          </w:p>
          <w:p w14:paraId="7D5FEF0C"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ytterligare minoritetsinnehav (artiklarna 479 och 480 i förordning (EU) nr 575/2013).</w:t>
            </w:r>
          </w:p>
          <w:p w14:paraId="646299CA"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kärnprimärkapital (artikla</w:t>
            </w:r>
            <w:r w:rsidRPr="00EA3026">
              <w:rPr>
                <w:rFonts w:ascii="Times New Roman" w:hAnsi="Times New Roman"/>
              </w:rPr>
              <w:t>rna 469–478 och 481 i förordning (EU) nr 575/2013): Justeringar av avdragen från kärnprimärkapital på grund av övergångsbestämmelser.</w:t>
            </w:r>
          </w:p>
          <w:p w14:paraId="35B2D318" w14:textId="77777777" w:rsidR="008618A0" w:rsidRPr="00EA3026" w:rsidRDefault="00EA3026">
            <w:pPr>
              <w:spacing w:after="120"/>
              <w:ind w:left="360" w:hanging="360"/>
              <w:contextualSpacing/>
              <w:jc w:val="both"/>
              <w:rPr>
                <w:rFonts w:ascii="Times New Roman" w:eastAsia="Times New Roman" w:hAnsi="Times New Roman"/>
                <w:b/>
                <w:bCs/>
                <w:u w:val="single"/>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delar i eller avdrag från kärnprimärkapital som inte kan hänföras till någon av raderna 4–26.</w:t>
            </w:r>
          </w:p>
          <w:p w14:paraId="28590B1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Denna rad ska inte a</w:t>
            </w:r>
            <w:r w:rsidRPr="00EA3026">
              <w:rPr>
                <w:rFonts w:ascii="Times New Roman" w:hAnsi="Times New Roman"/>
              </w:rPr>
              <w:t>nvändas för att ta med kapitalposter eller avdrag som inte omfattas av förordning (EU) 2019/2033 eller förordning (EU) nr 575/2013 vid beräkning av kapitaltäckningsgraden.</w:t>
            </w:r>
          </w:p>
        </w:tc>
      </w:tr>
      <w:tr w:rsidR="008618A0" w:rsidRPr="00EA3026" w14:paraId="3FD108FA" w14:textId="77777777">
        <w:tblPrEx>
          <w:tblLook w:val="00A0" w:firstRow="1" w:lastRow="0" w:firstColumn="1" w:lastColumn="0" w:noHBand="0" w:noVBand="0"/>
        </w:tblPrEx>
        <w:tc>
          <w:tcPr>
            <w:tcW w:w="1129" w:type="dxa"/>
            <w:vAlign w:val="center"/>
          </w:tcPr>
          <w:p w14:paraId="05435C4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436FC4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ÖVRIGT PRIMÄRKAPITAL FÖR KAPITALTÄCKNINGSÄNDAMÅL</w:t>
            </w:r>
          </w:p>
          <w:p w14:paraId="4C78573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9.1 i </w:t>
            </w:r>
            <w:r w:rsidRPr="00EA3026">
              <w:rPr>
                <w:rFonts w:ascii="Times New Roman" w:hAnsi="Times New Roman"/>
              </w:rPr>
              <w:t>förordning (EU) 2019/2033.</w:t>
            </w:r>
          </w:p>
          <w:p w14:paraId="3FB7317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61 i förordning (EU) nr 575/2013.</w:t>
            </w:r>
          </w:p>
          <w:p w14:paraId="71F0D96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Totalsumman av raderna 29–31 och rad 39 ska redovisas.</w:t>
            </w:r>
          </w:p>
        </w:tc>
      </w:tr>
      <w:tr w:rsidR="008618A0" w:rsidRPr="00EA3026" w14:paraId="5D7FB3BB" w14:textId="77777777">
        <w:tblPrEx>
          <w:tblLook w:val="00A0" w:firstRow="1" w:lastRow="0" w:firstColumn="1" w:lastColumn="0" w:noHBand="0" w:noVBand="0"/>
        </w:tblPrEx>
        <w:tc>
          <w:tcPr>
            <w:tcW w:w="1129" w:type="dxa"/>
            <w:vAlign w:val="center"/>
          </w:tcPr>
          <w:p w14:paraId="5152407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B7F6F9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u w:val="single"/>
              </w:rPr>
              <w:t>Fullt betalda direkt emitterade kapitalinstrument</w:t>
            </w:r>
          </w:p>
          <w:p w14:paraId="42E9D33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1F57F3FE"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Artikel 51 a och artiklarna 52, 53 </w:t>
            </w:r>
            <w:r w:rsidRPr="00EA3026">
              <w:rPr>
                <w:rStyle w:val="FormatvorlageInstructionsTabelleText"/>
                <w:rFonts w:ascii="Times New Roman" w:hAnsi="Times New Roman"/>
                <w:sz w:val="22"/>
              </w:rPr>
              <w:t xml:space="preserve">och 54 </w:t>
            </w:r>
            <w:r w:rsidRPr="00EA3026">
              <w:t xml:space="preserve">i </w:t>
            </w:r>
            <w:r w:rsidRPr="00EA3026">
              <w:rPr>
                <w:rStyle w:val="FormatvorlageInstructionsTabelleText"/>
                <w:rFonts w:ascii="Times New Roman" w:hAnsi="Times New Roman"/>
                <w:sz w:val="22"/>
              </w:rPr>
              <w:t>förordning (EU) nr 575/2013.</w:t>
            </w:r>
          </w:p>
          <w:p w14:paraId="0C380E0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Den överkursfond som hör ihop med instrumentet ska inte ingå i det belopp som redovisas.</w:t>
            </w:r>
          </w:p>
        </w:tc>
      </w:tr>
      <w:tr w:rsidR="008618A0" w:rsidRPr="00EA3026" w14:paraId="16857E94" w14:textId="77777777">
        <w:tblPrEx>
          <w:tblLook w:val="00A0" w:firstRow="1" w:lastRow="0" w:firstColumn="1" w:lastColumn="0" w:noHBand="0" w:noVBand="0"/>
        </w:tblPrEx>
        <w:tc>
          <w:tcPr>
            <w:tcW w:w="1129" w:type="dxa"/>
            <w:vAlign w:val="center"/>
          </w:tcPr>
          <w:p w14:paraId="071EF0D1"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093A4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020D59B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lastRenderedPageBreak/>
              <w:t>Artikel 9.1 i i förordning (EU) 2019/2033.</w:t>
            </w:r>
          </w:p>
          <w:p w14:paraId="553668A3"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Artikel 51 b </w:t>
            </w:r>
            <w:r w:rsidRPr="00EA3026">
              <w:t xml:space="preserve">i </w:t>
            </w:r>
            <w:r w:rsidRPr="00EA3026">
              <w:rPr>
                <w:rStyle w:val="FormatvorlageInstructionsTabelleText"/>
                <w:rFonts w:ascii="Times New Roman" w:hAnsi="Times New Roman"/>
                <w:sz w:val="22"/>
              </w:rPr>
              <w:t>förordning (EU) nr 575/2013.</w:t>
            </w:r>
          </w:p>
          <w:p w14:paraId="23591BCC"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Överkursfond har den </w:t>
            </w:r>
            <w:r w:rsidRPr="00EA3026">
              <w:rPr>
                <w:rStyle w:val="FormatvorlageInstructionsTabelleText"/>
                <w:rFonts w:ascii="Times New Roman" w:hAnsi="Times New Roman"/>
                <w:sz w:val="22"/>
              </w:rPr>
              <w:t>innebörd som anges i tillämplig redovisningsstandard.</w:t>
            </w:r>
          </w:p>
          <w:p w14:paraId="2C8C1EC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732EFFE6" w14:textId="77777777">
        <w:tblPrEx>
          <w:tblLook w:val="00A0" w:firstRow="1" w:lastRow="0" w:firstColumn="1" w:lastColumn="0" w:noHBand="0" w:noVBand="0"/>
        </w:tblPrEx>
        <w:tc>
          <w:tcPr>
            <w:tcW w:w="1129" w:type="dxa"/>
            <w:tcBorders>
              <w:bottom w:val="single" w:sz="4" w:space="0" w:color="auto"/>
            </w:tcBorders>
            <w:vAlign w:val="center"/>
          </w:tcPr>
          <w:p w14:paraId="1A55B5C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652B6E1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TOTALA AVDRAG FRÅN ÖVRIGT PRIMÄRKAPITAL FÖR KAPITALTÄCKNINGSÄNDAMÅL</w:t>
            </w:r>
          </w:p>
          <w:p w14:paraId="4E2BE157" w14:textId="77777777" w:rsidR="008618A0" w:rsidRPr="00EA3026" w:rsidRDefault="00EA3026">
            <w:pPr>
              <w:spacing w:before="60" w:after="60"/>
              <w:rPr>
                <w:rFonts w:ascii="Times New Roman" w:hAnsi="Times New Roman" w:cs="Times New Roman"/>
                <w:szCs w:val="22"/>
              </w:rPr>
            </w:pPr>
            <w:r w:rsidRPr="00EA3026">
              <w:rPr>
                <w:rFonts w:ascii="Times New Roman" w:hAnsi="Times New Roman"/>
              </w:rPr>
              <w:t>Artikel 56 i förordning (EU) nr</w:t>
            </w:r>
            <w:r w:rsidRPr="00EA3026">
              <w:rPr>
                <w:rFonts w:ascii="Times New Roman" w:hAnsi="Times New Roman"/>
              </w:rPr>
              <w:t xml:space="preserve"> 575/2013.</w:t>
            </w:r>
          </w:p>
          <w:p w14:paraId="0470B72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Totalsumman av raderna 32 och raderna 36–38 ska redovisas.</w:t>
            </w:r>
          </w:p>
        </w:tc>
      </w:tr>
      <w:tr w:rsidR="008618A0" w:rsidRPr="00EA3026" w14:paraId="3276B03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D1C054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7025B4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Egna primärkapitaltillskottinstrument</w:t>
            </w:r>
          </w:p>
          <w:p w14:paraId="607412A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FFC4710"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 xml:space="preserve">Artikel 52.1 b, artikel 56 a och artikel 57 </w:t>
            </w:r>
            <w:r w:rsidRPr="00EA3026">
              <w:t xml:space="preserve">i </w:t>
            </w:r>
            <w:r w:rsidRPr="00EA3026">
              <w:rPr>
                <w:rStyle w:val="FormatvorlageInstructionsTabelleText"/>
                <w:rFonts w:ascii="Times New Roman" w:hAnsi="Times New Roman"/>
                <w:sz w:val="22"/>
              </w:rPr>
              <w:t>förordning (EU) nr 575/2013.</w:t>
            </w:r>
          </w:p>
          <w:p w14:paraId="6C3F2C11"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Egna </w:t>
            </w:r>
            <w:r w:rsidRPr="00EA3026">
              <w:rPr>
                <w:rStyle w:val="FormatvorlageInstructionsTabelleText"/>
                <w:rFonts w:ascii="Times New Roman" w:hAnsi="Times New Roman"/>
                <w:sz w:val="22"/>
              </w:rPr>
              <w:t>primärkapitaltillskottinstrument som värdepappersföretaget innehar på rapporteringsdatum. Omfattas av undantagen i artikel 57 i förordning (EU) nr 575/2013.</w:t>
            </w:r>
          </w:p>
          <w:p w14:paraId="4E8A80A9" w14:textId="77777777" w:rsidR="008618A0" w:rsidRPr="00EA3026" w:rsidRDefault="00EA3026">
            <w:pPr>
              <w:pStyle w:val="InstructionsText"/>
            </w:pPr>
            <w:r w:rsidRPr="00EA3026">
              <w:rPr>
                <w:rStyle w:val="FormatvorlageInstructionsTabelleText"/>
                <w:rFonts w:ascii="Times New Roman" w:hAnsi="Times New Roman"/>
                <w:sz w:val="22"/>
              </w:rPr>
              <w:t>Den överkursfond som hör ihop med aktieinnehavet ska ingå i det redovisade beloppet.</w:t>
            </w:r>
          </w:p>
        </w:tc>
      </w:tr>
      <w:tr w:rsidR="008618A0" w:rsidRPr="00EA3026" w14:paraId="0734D9D0" w14:textId="77777777">
        <w:tblPrEx>
          <w:tblLook w:val="00A0" w:firstRow="1" w:lastRow="0" w:firstColumn="1" w:lastColumn="0" w:noHBand="0" w:noVBand="0"/>
        </w:tblPrEx>
        <w:tc>
          <w:tcPr>
            <w:tcW w:w="1129" w:type="dxa"/>
            <w:shd w:val="clear" w:color="auto" w:fill="auto"/>
            <w:vAlign w:val="center"/>
          </w:tcPr>
          <w:p w14:paraId="0E53A34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AC689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w:t>
            </w:r>
            <w:r w:rsidRPr="00EA3026">
              <w:rPr>
                <w:rFonts w:ascii="Times New Roman" w:hAnsi="Times New Roman"/>
                <w:b/>
                <w:u w:val="single"/>
              </w:rPr>
              <w:t>Direkta innehav av primärkapitaltillskottinstrument</w:t>
            </w:r>
          </w:p>
          <w:p w14:paraId="263605E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018C877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56 a i förordning (EU) nr 575/2013.</w:t>
            </w:r>
          </w:p>
        </w:tc>
      </w:tr>
      <w:tr w:rsidR="008618A0" w:rsidRPr="00EA3026" w14:paraId="4FA84BD1" w14:textId="77777777">
        <w:tblPrEx>
          <w:tblLook w:val="00A0" w:firstRow="1" w:lastRow="0" w:firstColumn="1" w:lastColumn="0" w:noHBand="0" w:noVBand="0"/>
        </w:tblPrEx>
        <w:tc>
          <w:tcPr>
            <w:tcW w:w="1129" w:type="dxa"/>
            <w:shd w:val="clear" w:color="auto" w:fill="auto"/>
            <w:vAlign w:val="center"/>
          </w:tcPr>
          <w:p w14:paraId="1194B94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1194F7C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Indirekta innehav av primärkapitaltillskottinstrument</w:t>
            </w:r>
          </w:p>
          <w:p w14:paraId="1AF17B3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3D10FC3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56 a i förordning (EU) nr 575/2013.</w:t>
            </w:r>
          </w:p>
        </w:tc>
      </w:tr>
      <w:tr w:rsidR="008618A0" w:rsidRPr="00EA3026" w14:paraId="79AC4C7C" w14:textId="77777777">
        <w:tblPrEx>
          <w:tblLook w:val="00A0" w:firstRow="1" w:lastRow="0" w:firstColumn="1" w:lastColumn="0" w:noHBand="0" w:noVBand="0"/>
        </w:tblPrEx>
        <w:tc>
          <w:tcPr>
            <w:tcW w:w="1129" w:type="dxa"/>
            <w:shd w:val="clear" w:color="auto" w:fill="auto"/>
            <w:vAlign w:val="center"/>
          </w:tcPr>
          <w:p w14:paraId="067168E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47D1D61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Syntetiska innehav av primärkapitaltillskottinstrument</w:t>
            </w:r>
          </w:p>
          <w:p w14:paraId="580FBD7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6EE59C5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56 a i förordning (EU) nr 575/2013.</w:t>
            </w:r>
          </w:p>
        </w:tc>
      </w:tr>
      <w:tr w:rsidR="008618A0" w:rsidRPr="00EA3026" w14:paraId="0866DD70" w14:textId="77777777">
        <w:tblPrEx>
          <w:tblLook w:val="00A0" w:firstRow="1" w:lastRow="0" w:firstColumn="1" w:lastColumn="0" w:noHBand="0" w:noVBand="0"/>
        </w:tblPrEx>
        <w:tc>
          <w:tcPr>
            <w:tcW w:w="1129" w:type="dxa"/>
            <w:shd w:val="clear" w:color="auto" w:fill="auto"/>
            <w:vAlign w:val="center"/>
          </w:tcPr>
          <w:p w14:paraId="61FF33F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678B158"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Primärkapitaltillskottsinstrument i enheter i den fina</w:t>
            </w:r>
            <w:r w:rsidRPr="00EA3026">
              <w:rPr>
                <w:rFonts w:ascii="Times New Roman" w:hAnsi="Times New Roman"/>
                <w:b/>
                <w:u w:val="single"/>
              </w:rPr>
              <w:t>nsiella sektorn i vilka institutet inte har ett väsentligt innehav</w:t>
            </w:r>
          </w:p>
          <w:p w14:paraId="2F383C0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1B64E30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56 c i förordning (EU) nr 575/2013.</w:t>
            </w:r>
          </w:p>
        </w:tc>
      </w:tr>
      <w:tr w:rsidR="008618A0" w:rsidRPr="00EA3026" w14:paraId="5A89DB9E" w14:textId="77777777">
        <w:tblPrEx>
          <w:tblLook w:val="00A0" w:firstRow="1" w:lastRow="0" w:firstColumn="1" w:lastColumn="0" w:noHBand="0" w:noVBand="0"/>
        </w:tblPrEx>
        <w:tc>
          <w:tcPr>
            <w:tcW w:w="1129" w:type="dxa"/>
            <w:shd w:val="clear" w:color="auto" w:fill="auto"/>
            <w:vAlign w:val="center"/>
          </w:tcPr>
          <w:p w14:paraId="6D49CD4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43541FF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Primärkapitaltillskottinstrument i enheter i den finansiella sektorn i vilka </w:t>
            </w:r>
            <w:r w:rsidRPr="00EA3026">
              <w:rPr>
                <w:rFonts w:ascii="Times New Roman" w:hAnsi="Times New Roman"/>
                <w:b/>
                <w:u w:val="single"/>
              </w:rPr>
              <w:t>institutet har ett väsentligt innehav</w:t>
            </w:r>
          </w:p>
          <w:p w14:paraId="0D5B093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787C7B0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56 d i förordning (EU) nr 575/2013.</w:t>
            </w:r>
          </w:p>
        </w:tc>
      </w:tr>
      <w:tr w:rsidR="008618A0" w:rsidRPr="00EA3026" w14:paraId="4A0BF684" w14:textId="77777777">
        <w:tblPrEx>
          <w:tblLook w:val="00A0" w:firstRow="1" w:lastRow="0" w:firstColumn="1" w:lastColumn="0" w:noHBand="0" w:noVBand="0"/>
        </w:tblPrEx>
        <w:tc>
          <w:tcPr>
            <w:tcW w:w="1129" w:type="dxa"/>
            <w:shd w:val="clear" w:color="auto" w:fill="auto"/>
            <w:vAlign w:val="center"/>
          </w:tcPr>
          <w:p w14:paraId="75BB2F43"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91108A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Övriga avdrag</w:t>
            </w:r>
          </w:p>
          <w:p w14:paraId="0D85334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Summan av alla andra avdrag i enlighet med artikel 56 i förordning (EU) nr 575/2013 som inte ingår i någon av</w:t>
            </w:r>
            <w:r w:rsidRPr="00EA3026">
              <w:rPr>
                <w:rFonts w:ascii="Times New Roman" w:hAnsi="Times New Roman"/>
              </w:rPr>
              <w:t xml:space="preserve"> raderna ovan.</w:t>
            </w:r>
          </w:p>
        </w:tc>
      </w:tr>
      <w:tr w:rsidR="008618A0" w:rsidRPr="00EA3026" w14:paraId="59188852" w14:textId="77777777">
        <w:tblPrEx>
          <w:tblLook w:val="00A0" w:firstRow="1" w:lastRow="0" w:firstColumn="1" w:lastColumn="0" w:noHBand="0" w:noVBand="0"/>
        </w:tblPrEx>
        <w:tc>
          <w:tcPr>
            <w:tcW w:w="1129" w:type="dxa"/>
            <w:shd w:val="clear" w:color="auto" w:fill="auto"/>
            <w:vAlign w:val="center"/>
          </w:tcPr>
          <w:p w14:paraId="47FCFEBE"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4FC5A23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Primärkapitaltillskott Andra kapitalposter, avdrag och justeringar</w:t>
            </w:r>
          </w:p>
          <w:p w14:paraId="6BED77C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ska i tillämpliga fall omfatta summan av följande poster:</w:t>
            </w:r>
          </w:p>
          <w:p w14:paraId="10196FBB"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lastRenderedPageBreak/>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primärkapitaltillskottsinstrument för vilka äldre regler får fortsä</w:t>
            </w:r>
            <w:r w:rsidRPr="00EA3026">
              <w:rPr>
                <w:rFonts w:ascii="Times New Roman" w:hAnsi="Times New Roman"/>
              </w:rPr>
              <w:t>tta att tillämpas (artikel 483.4 och 483.5 samt artiklarna 484–487, artiklarna 489 och 491 i förordning (EU) nr 575/2013).</w:t>
            </w:r>
          </w:p>
          <w:p w14:paraId="3AE0096A"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Instrument som emitterats av dotterföretag som redovisas i primärkapitaltillskott (artiklarna 83, 85 och 86 i förordning (EU) nr </w:t>
            </w:r>
            <w:r w:rsidRPr="00EA3026">
              <w:rPr>
                <w:rFonts w:ascii="Times New Roman" w:hAnsi="Times New Roman"/>
              </w:rPr>
              <w:t>575/2013): Summan av alla belopp för kvalificerande primärkapital i dotterföretag som ingår i konsoliderat primärkapitaltillskott, inklusive kapital som emitterats av ett specialföretag (artikel 83 i förordning (EU) nr 575/2013).</w:t>
            </w:r>
          </w:p>
          <w:p w14:paraId="3FD5EEFD"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Övergångsjusteringar på </w:t>
            </w:r>
            <w:r w:rsidRPr="00EA3026">
              <w:rPr>
                <w:rFonts w:ascii="Times New Roman" w:hAnsi="Times New Roman"/>
              </w:rPr>
              <w:t>grund av att primärkapitaltillskott tas upp i instrument som utgivits av dotterföretag (artikel 480 i förordning (EU) nr 575/2013), justeringar av kvalificerande primärkapital som, på grund av övergångsbestämmelser, ingår i det konsoliderade primärkapitalt</w:t>
            </w:r>
            <w:r w:rsidRPr="00EA3026">
              <w:rPr>
                <w:rFonts w:ascii="Times New Roman" w:hAnsi="Times New Roman"/>
              </w:rPr>
              <w:t>illskottet.</w:t>
            </w:r>
          </w:p>
          <w:p w14:paraId="0D3E44B1"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primärkapitaltillskott (artiklarna 472, 473a, 474, 475, 478 och 481 i förordning (EU) nr 575/2013): Justeringar av avdrag på grund av övergångsbestämmelser.</w:t>
            </w:r>
          </w:p>
          <w:p w14:paraId="28DDF98B"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Avdrag från primärkapitaltillskottposter som överstig</w:t>
            </w:r>
            <w:r w:rsidRPr="00EA3026">
              <w:rPr>
                <w:rFonts w:ascii="Times New Roman" w:hAnsi="Times New Roman"/>
              </w:rPr>
              <w:t>er primärkapitaltillskott, som dras av från kärnprimärkapitalet i enlighet med artikel 36.1 j i förordning (EU) nr 575/2013: Primärkapitaltillskott får inte vara negativt, men det är möjligt att avdragen från primärkapitaltillskottsposter överstiger belopp</w:t>
            </w:r>
            <w:r w:rsidRPr="00EA3026">
              <w:rPr>
                <w:rFonts w:ascii="Times New Roman" w:hAnsi="Times New Roman"/>
              </w:rPr>
              <w:t>et för tillgängliga primärkapitaltillskottsposter. Om så sker representerar denna post det belopp som behövs för att det belopp som rapporterats i rad 28 ska bli noll och motsvarar det inverterade belopp som dragits av från primärkapitaltillskottsposter so</w:t>
            </w:r>
            <w:r w:rsidRPr="00EA3026">
              <w:rPr>
                <w:rFonts w:ascii="Times New Roman" w:hAnsi="Times New Roman"/>
              </w:rPr>
              <w:t>m överstiger inkluderat primärkapitaltillskott, som redovisas bland övriga avdrag i rad 38.</w:t>
            </w:r>
          </w:p>
          <w:p w14:paraId="66BB08A9"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delar i övrigt primärkapital eller avdrag från delar i primärkapitaltillskott som inte kan hänföras till någon av raderna 29–38.</w:t>
            </w:r>
          </w:p>
          <w:p w14:paraId="304819F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 xml:space="preserve">Denna rad ska inte </w:t>
            </w:r>
            <w:r w:rsidRPr="00EA3026">
              <w:rPr>
                <w:rFonts w:ascii="Times New Roman" w:hAnsi="Times New Roman"/>
              </w:rPr>
              <w:t>användas för att ta med kapitalposter eller avdrag som inte omfattas av förordning (EU) 2019/2033 eller förordning (EU) nr 575/2013 vid beräkning av kapitaltäckningsgraden.</w:t>
            </w:r>
          </w:p>
        </w:tc>
      </w:tr>
      <w:tr w:rsidR="008618A0" w:rsidRPr="00EA3026" w14:paraId="4142FD7C" w14:textId="77777777">
        <w:tblPrEx>
          <w:tblLook w:val="00A0" w:firstRow="1" w:lastRow="0" w:firstColumn="1" w:lastColumn="0" w:noHBand="0" w:noVBand="0"/>
        </w:tblPrEx>
        <w:tc>
          <w:tcPr>
            <w:tcW w:w="1129" w:type="dxa"/>
            <w:shd w:val="clear" w:color="auto" w:fill="auto"/>
            <w:vAlign w:val="center"/>
          </w:tcPr>
          <w:p w14:paraId="1D32941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868428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SUPPLEMENTÄRKAPITAL</w:t>
            </w:r>
          </w:p>
          <w:p w14:paraId="12CDC8E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i förordning (EU) 2019/2033.</w:t>
            </w:r>
          </w:p>
          <w:p w14:paraId="7BA224A7"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 xml:space="preserve">Artikel 71 </w:t>
            </w:r>
            <w:r w:rsidRPr="00EA3026">
              <w:rPr>
                <w:rFonts w:ascii="Times New Roman" w:hAnsi="Times New Roman"/>
              </w:rPr>
              <w:t xml:space="preserve">i </w:t>
            </w:r>
            <w:r w:rsidRPr="00EA3026">
              <w:rPr>
                <w:rStyle w:val="FormatvorlageInstructionsTabelleText"/>
                <w:rFonts w:ascii="Times New Roman" w:hAnsi="Times New Roman"/>
                <w:sz w:val="22"/>
              </w:rPr>
              <w:t>föror</w:t>
            </w:r>
            <w:r w:rsidRPr="00EA3026">
              <w:rPr>
                <w:rStyle w:val="FormatvorlageInstructionsTabelleText"/>
                <w:rFonts w:ascii="Times New Roman" w:hAnsi="Times New Roman"/>
                <w:sz w:val="22"/>
              </w:rPr>
              <w:t>dning (EU) nr 575/2013.</w:t>
            </w:r>
          </w:p>
          <w:p w14:paraId="166524D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Totalsumman av raderna 41–43 och rad 50 ska redovisas.</w:t>
            </w:r>
          </w:p>
        </w:tc>
      </w:tr>
      <w:tr w:rsidR="008618A0" w:rsidRPr="00EA3026" w14:paraId="092B097A" w14:textId="77777777">
        <w:tblPrEx>
          <w:tblLook w:val="00A0" w:firstRow="1" w:lastRow="0" w:firstColumn="1" w:lastColumn="0" w:noHBand="0" w:noVBand="0"/>
        </w:tblPrEx>
        <w:tc>
          <w:tcPr>
            <w:tcW w:w="1129" w:type="dxa"/>
            <w:shd w:val="clear" w:color="auto" w:fill="auto"/>
            <w:vAlign w:val="center"/>
          </w:tcPr>
          <w:p w14:paraId="42034C6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1397A4E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u w:val="single"/>
              </w:rPr>
              <w:t>Fullt betalda direkt emitterade kapitalinstrument</w:t>
            </w:r>
          </w:p>
          <w:p w14:paraId="3B9EDBD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8645C02"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Artikel 62 a och artiklarna 63 och 65 i förordning (EU) nr 575/2013.</w:t>
            </w:r>
          </w:p>
          <w:p w14:paraId="1D2AAC9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Den </w:t>
            </w:r>
            <w:r w:rsidRPr="00EA3026">
              <w:rPr>
                <w:rStyle w:val="FormatvorlageInstructionsTabelleText"/>
                <w:rFonts w:ascii="Times New Roman" w:hAnsi="Times New Roman"/>
                <w:sz w:val="22"/>
              </w:rPr>
              <w:t>överkursfond som hör ihop med instrumentet ska inte ingå i det belopp som redovisas.</w:t>
            </w:r>
          </w:p>
        </w:tc>
      </w:tr>
      <w:tr w:rsidR="008618A0" w:rsidRPr="00EA3026" w14:paraId="3ACFC576" w14:textId="77777777">
        <w:tblPrEx>
          <w:tblLook w:val="00A0" w:firstRow="1" w:lastRow="0" w:firstColumn="1" w:lastColumn="0" w:noHBand="0" w:noVBand="0"/>
        </w:tblPrEx>
        <w:tc>
          <w:tcPr>
            <w:tcW w:w="1129" w:type="dxa"/>
            <w:shd w:val="clear" w:color="auto" w:fill="auto"/>
            <w:vAlign w:val="center"/>
          </w:tcPr>
          <w:p w14:paraId="531735C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C7716C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3FB23B1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3392D1C7"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62 b och artikel 65 i förordning (EU) nr 575/2013.</w:t>
            </w:r>
          </w:p>
          <w:p w14:paraId="22869E01"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Överkursfond har den innebörd som anges i </w:t>
            </w:r>
            <w:r w:rsidRPr="00EA3026">
              <w:rPr>
                <w:rStyle w:val="FormatvorlageInstructionsTabelleText"/>
                <w:rFonts w:ascii="Times New Roman" w:hAnsi="Times New Roman"/>
                <w:sz w:val="22"/>
              </w:rPr>
              <w:t>tillämplig redovisningsstandard.</w:t>
            </w:r>
          </w:p>
          <w:p w14:paraId="2168569F" w14:textId="77777777" w:rsidR="008618A0" w:rsidRPr="00EA3026" w:rsidRDefault="00EA3026">
            <w:pPr>
              <w:pStyle w:val="InstructionsText"/>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4E52669B" w14:textId="77777777">
        <w:tblPrEx>
          <w:tblLook w:val="00A0" w:firstRow="1" w:lastRow="0" w:firstColumn="1" w:lastColumn="0" w:noHBand="0" w:noVBand="0"/>
        </w:tblPrEx>
        <w:tc>
          <w:tcPr>
            <w:tcW w:w="1129" w:type="dxa"/>
            <w:shd w:val="clear" w:color="auto" w:fill="auto"/>
            <w:vAlign w:val="center"/>
          </w:tcPr>
          <w:p w14:paraId="4FD7267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0BEAB07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TOTALA AVDRAG FRÅN SUPPLEMENTÄRKAPITAL</w:t>
            </w:r>
          </w:p>
          <w:p w14:paraId="457FAE6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66 i förordning (EU) nr 575/2013.</w:t>
            </w:r>
          </w:p>
        </w:tc>
      </w:tr>
      <w:tr w:rsidR="008618A0" w:rsidRPr="00EA3026" w14:paraId="26219357" w14:textId="77777777">
        <w:tblPrEx>
          <w:tblLook w:val="00A0" w:firstRow="1" w:lastRow="0" w:firstColumn="1" w:lastColumn="0" w:noHBand="0" w:noVBand="0"/>
        </w:tblPrEx>
        <w:tc>
          <w:tcPr>
            <w:tcW w:w="1129" w:type="dxa"/>
            <w:shd w:val="clear" w:color="auto" w:fill="auto"/>
            <w:vAlign w:val="center"/>
          </w:tcPr>
          <w:p w14:paraId="4A37233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404E1BA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Egna </w:t>
            </w:r>
            <w:r w:rsidRPr="00EA3026">
              <w:rPr>
                <w:rFonts w:ascii="Times New Roman" w:hAnsi="Times New Roman"/>
                <w:b/>
                <w:u w:val="single"/>
              </w:rPr>
              <w:t>supplementärkapitalinstrument</w:t>
            </w:r>
          </w:p>
          <w:p w14:paraId="0F88352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776CF92E"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63 bi, artikel 66 a och artikel 67 i förordning (EU) nr 575/2013.</w:t>
            </w:r>
          </w:p>
          <w:p w14:paraId="2AA040E4"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Egna supplementärkapitalinstrument som det rapporterande institutet eller den rapporterande gruppen </w:t>
            </w:r>
            <w:r w:rsidRPr="00EA3026">
              <w:rPr>
                <w:rStyle w:val="FormatvorlageInstructionsTabelleText"/>
                <w:rFonts w:ascii="Times New Roman" w:hAnsi="Times New Roman"/>
                <w:sz w:val="22"/>
              </w:rPr>
              <w:t>innehar på rapporteringsdatum. Omfattas av undantagen i artikel 67 i förordning (EU) nr 575/2013.</w:t>
            </w:r>
          </w:p>
          <w:p w14:paraId="60E622F3"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Aktieinnehav som ingår i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ej godtagbara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 xml:space="preserve"> ska inte redovisas på denna rad.</w:t>
            </w:r>
          </w:p>
          <w:p w14:paraId="77D79FFD" w14:textId="77777777" w:rsidR="008618A0" w:rsidRPr="00EA3026" w:rsidRDefault="00EA3026">
            <w:pPr>
              <w:pStyle w:val="InstructionsText"/>
            </w:pPr>
            <w:r w:rsidRPr="00EA3026">
              <w:rPr>
                <w:rStyle w:val="FormatvorlageInstructionsTabelleText"/>
                <w:rFonts w:ascii="Times New Roman" w:hAnsi="Times New Roman"/>
                <w:sz w:val="22"/>
              </w:rPr>
              <w:t>Den överkursfond som hör ihop med aktieinnehavet ska ingå i det re</w:t>
            </w:r>
            <w:r w:rsidRPr="00EA3026">
              <w:rPr>
                <w:rStyle w:val="FormatvorlageInstructionsTabelleText"/>
                <w:rFonts w:ascii="Times New Roman" w:hAnsi="Times New Roman"/>
                <w:sz w:val="22"/>
              </w:rPr>
              <w:t>dovisade beloppet.</w:t>
            </w:r>
          </w:p>
        </w:tc>
      </w:tr>
      <w:tr w:rsidR="008618A0" w:rsidRPr="00EA3026" w14:paraId="53C9F762" w14:textId="77777777">
        <w:tblPrEx>
          <w:tblLook w:val="00A0" w:firstRow="1" w:lastRow="0" w:firstColumn="1" w:lastColumn="0" w:noHBand="0" w:noVBand="0"/>
        </w:tblPrEx>
        <w:tc>
          <w:tcPr>
            <w:tcW w:w="1129" w:type="dxa"/>
            <w:shd w:val="clear" w:color="auto" w:fill="auto"/>
            <w:vAlign w:val="center"/>
          </w:tcPr>
          <w:p w14:paraId="711E2FC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2E1B772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Direkta innehav av supplementärkapitalinstrument</w:t>
            </w:r>
          </w:p>
          <w:p w14:paraId="6EB5E974" w14:textId="77777777" w:rsidR="008618A0" w:rsidRPr="00EA3026" w:rsidRDefault="00EA3026">
            <w:pPr>
              <w:pStyle w:val="InstructionsText"/>
            </w:pPr>
            <w:r w:rsidRPr="00EA3026">
              <w:rPr>
                <w:rStyle w:val="FormatvorlageInstructionsTabelleText"/>
                <w:rFonts w:ascii="Times New Roman" w:hAnsi="Times New Roman"/>
                <w:sz w:val="22"/>
              </w:rPr>
              <w:t>Artikel 63 b, artikel 66 a och artikel 67 i förordning (EU) nr 575/2013.</w:t>
            </w:r>
          </w:p>
        </w:tc>
      </w:tr>
      <w:tr w:rsidR="008618A0" w:rsidRPr="00EA3026" w14:paraId="2AFE245A" w14:textId="77777777">
        <w:tblPrEx>
          <w:tblLook w:val="00A0" w:firstRow="1" w:lastRow="0" w:firstColumn="1" w:lastColumn="0" w:noHBand="0" w:noVBand="0"/>
        </w:tblPrEx>
        <w:tc>
          <w:tcPr>
            <w:tcW w:w="1129" w:type="dxa"/>
            <w:shd w:val="clear" w:color="auto" w:fill="auto"/>
            <w:vAlign w:val="center"/>
          </w:tcPr>
          <w:p w14:paraId="0624485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38F7EE00"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Indirekta innehav av supplementärkapitalinstrument</w:t>
            </w:r>
          </w:p>
          <w:p w14:paraId="1A7238E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Artikel 4.1.114, artikel 63 b, artikel 66 a och </w:t>
            </w:r>
            <w:r w:rsidRPr="00EA3026">
              <w:rPr>
                <w:rStyle w:val="FormatvorlageInstructionsTabelleText"/>
                <w:rFonts w:ascii="Times New Roman" w:hAnsi="Times New Roman"/>
                <w:sz w:val="22"/>
              </w:rPr>
              <w:t>artikel 67 i förordning (EU) nr 575/2013.</w:t>
            </w:r>
          </w:p>
        </w:tc>
      </w:tr>
      <w:tr w:rsidR="008618A0" w:rsidRPr="00EA3026" w14:paraId="1CBD896C" w14:textId="77777777">
        <w:tblPrEx>
          <w:tblLook w:val="00A0" w:firstRow="1" w:lastRow="0" w:firstColumn="1" w:lastColumn="0" w:noHBand="0" w:noVBand="0"/>
        </w:tblPrEx>
        <w:tc>
          <w:tcPr>
            <w:tcW w:w="1129" w:type="dxa"/>
            <w:shd w:val="clear" w:color="auto" w:fill="auto"/>
            <w:vAlign w:val="center"/>
          </w:tcPr>
          <w:p w14:paraId="72C5652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9C5E4C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Syntetiska innehav av supplementärkapitalinstrument</w:t>
            </w:r>
          </w:p>
          <w:p w14:paraId="57E58F7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Artikel 4.1.126, artikel 63 b, artikel 66 a och artikel 67 i förordning (EU) nr 575/2013.</w:t>
            </w:r>
          </w:p>
        </w:tc>
      </w:tr>
      <w:tr w:rsidR="008618A0" w:rsidRPr="00EA3026" w14:paraId="6AC31B51" w14:textId="77777777">
        <w:tblPrEx>
          <w:tblLook w:val="00A0" w:firstRow="1" w:lastRow="0" w:firstColumn="1" w:lastColumn="0" w:noHBand="0" w:noVBand="0"/>
        </w:tblPrEx>
        <w:tc>
          <w:tcPr>
            <w:tcW w:w="1129" w:type="dxa"/>
            <w:shd w:val="clear" w:color="auto" w:fill="auto"/>
            <w:vAlign w:val="center"/>
          </w:tcPr>
          <w:p w14:paraId="2E4DA8C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5000F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w:t>
            </w:r>
            <w:r w:rsidRPr="00EA3026">
              <w:rPr>
                <w:rFonts w:ascii="Times New Roman" w:hAnsi="Times New Roman"/>
                <w:b/>
                <w:u w:val="single"/>
              </w:rPr>
              <w:t>Supplementärkapitalinstrument i enheter i den finansiella sektorn i vilka institutet inte har ett väsentligt innehav</w:t>
            </w:r>
          </w:p>
          <w:p w14:paraId="3C42633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59E6151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66 c i förordning (EU) nr 575/2013.</w:t>
            </w:r>
          </w:p>
        </w:tc>
      </w:tr>
      <w:tr w:rsidR="008618A0" w:rsidRPr="00EA3026" w14:paraId="5A09375A"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59FBF31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1A91B6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Supplementärkapitalinstrument i enheter i de</w:t>
            </w:r>
            <w:r w:rsidRPr="00EA3026">
              <w:rPr>
                <w:rFonts w:ascii="Times New Roman" w:hAnsi="Times New Roman"/>
                <w:b/>
                <w:u w:val="single"/>
              </w:rPr>
              <w:t>n finansiella sektorn i vilka institutet har ett väsentligt innehav</w:t>
            </w:r>
          </w:p>
          <w:p w14:paraId="3F8C65A1"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4.1.27, artikel 66 d, artiklarna 68, 69 och 79 i förordning (EU) nr 575/2013.</w:t>
            </w:r>
          </w:p>
          <w:p w14:paraId="0823A1F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Om institutet innehar supplementärkapitalinstrument i enheter i den finansiella sektorn (enligt defini</w:t>
            </w:r>
            <w:r w:rsidRPr="00EA3026">
              <w:rPr>
                <w:rStyle w:val="FormatvorlageInstructionsTabelleText"/>
                <w:rFonts w:ascii="Times New Roman" w:hAnsi="Times New Roman"/>
                <w:sz w:val="22"/>
              </w:rPr>
              <w:t>tionen i artikel 4.1.27 i förordning (EU) nr 575/2013) i vilka institutet har ett väsentligt innehav, ska dessa dras av helt och hållet.</w:t>
            </w:r>
          </w:p>
        </w:tc>
      </w:tr>
      <w:tr w:rsidR="008618A0" w:rsidRPr="00EA3026" w14:paraId="3A7EDFA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E9D617F"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6B20AE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Supplementärkapital: Andra kapitalposter, avdrag och justeringar</w:t>
            </w:r>
          </w:p>
          <w:p w14:paraId="5758D12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Denna rad ska i tillämpliga fall omfatta </w:t>
            </w:r>
            <w:r w:rsidRPr="00EA3026">
              <w:rPr>
                <w:rFonts w:ascii="Times New Roman" w:hAnsi="Times New Roman"/>
              </w:rPr>
              <w:t>summan av följande poster:</w:t>
            </w:r>
          </w:p>
          <w:p w14:paraId="055C9678"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supplementärkapitalinstrument för vilka äldre regler får fortsätta att tillämpas (artikel 483.6 och 483.7, artiklarna 484, 486, 488, 490 och 491 i förordning (EU) nr 575/2013).</w:t>
            </w:r>
          </w:p>
          <w:p w14:paraId="4C053024"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Instrument som </w:t>
            </w:r>
            <w:r w:rsidRPr="00EA3026">
              <w:rPr>
                <w:rFonts w:ascii="Times New Roman" w:hAnsi="Times New Roman"/>
              </w:rPr>
              <w:t>utgivits av dotterföretag som tas upp i supplementärkapital (artiklarna 83, 87 och 88 i förordning (EU) nr 575/2013): Summan av alla belopp för kvalificerande kapitalbas i dotterföretag som ingår i det konsoliderade supplementärkapitalet, inklusive kvalifi</w:t>
            </w:r>
            <w:r w:rsidRPr="00EA3026">
              <w:rPr>
                <w:rFonts w:ascii="Times New Roman" w:hAnsi="Times New Roman"/>
              </w:rPr>
              <w:t>cerande supplementärkapital som emitterats av ett specialföretag (artikel 83 i förordning (EU) nr 575/2013).</w:t>
            </w:r>
          </w:p>
          <w:p w14:paraId="7E14B7E8"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att kapitalinstrument som emitterats av dotterföretag tas upp i supplementärkapital (artikel 480 i förordning (E</w:t>
            </w:r>
            <w:r w:rsidRPr="00EA3026">
              <w:rPr>
                <w:rFonts w:ascii="Times New Roman" w:hAnsi="Times New Roman"/>
              </w:rPr>
              <w:t>U) nr 575/2013): Justeringar av den kvalificerande kapitalbas som ingår i konsoliderat supplementärkapital på grund av övergångsbestämmelser.</w:t>
            </w:r>
          </w:p>
          <w:p w14:paraId="7BE02F85"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supplementärkapital (artiklarna 472, 473a, 476, 477, 478 och 481 i förordning (EU)</w:t>
            </w:r>
            <w:r w:rsidRPr="00EA3026">
              <w:rPr>
                <w:rFonts w:ascii="Times New Roman" w:hAnsi="Times New Roman"/>
              </w:rPr>
              <w:t xml:space="preserve"> nr 575/2013): Justeringar av avdragen från supplementärkapital på grund av övergångsbestämmelser.</w:t>
            </w:r>
          </w:p>
          <w:p w14:paraId="628C056A"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Avdrag från supplementärkapitalposter som överstiger eget supplementärkapital, som dras av från primärkapitaltillskott i enlighet med artikel 56 e i förord</w:t>
            </w:r>
            <w:r w:rsidRPr="00EA3026">
              <w:rPr>
                <w:rFonts w:ascii="Times New Roman" w:hAnsi="Times New Roman"/>
              </w:rPr>
              <w:t xml:space="preserve">ning (EU) nr 575/2013: Supplementärkapital får inte vara negativt, men det är möjligt </w:t>
            </w:r>
            <w:r w:rsidRPr="00EA3026">
              <w:rPr>
                <w:rFonts w:ascii="Times New Roman" w:hAnsi="Times New Roman"/>
              </w:rPr>
              <w:lastRenderedPageBreak/>
              <w:t xml:space="preserve">att avdragen från supplementärkapitalposter överstiger beloppet för tillgängliga supplementärkapitalposter. Om så sker representerar denna post det belopp som behövs för </w:t>
            </w:r>
            <w:r w:rsidRPr="00EA3026">
              <w:rPr>
                <w:rFonts w:ascii="Times New Roman" w:hAnsi="Times New Roman"/>
              </w:rPr>
              <w:t>att det belopp som rapporteras på rad 40 ska bli noll.</w:t>
            </w:r>
          </w:p>
          <w:p w14:paraId="30B89657"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delar i eller avdrag från en supplementärkapitalpost som inte kan hänföras till någon av raderna 41–49.</w:t>
            </w:r>
          </w:p>
          <w:p w14:paraId="346C517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Denna rad ska inte användas för att ta med kapitalposter eller avdrag som inte omfattas a</w:t>
            </w:r>
            <w:r w:rsidRPr="00EA3026">
              <w:rPr>
                <w:rFonts w:ascii="Times New Roman" w:hAnsi="Times New Roman"/>
              </w:rPr>
              <w:t>v förordning (EU) 2019/2033 eller förordning (EU) nr 575/2013 vid beräkning av kapitaltäckningsgraden.</w:t>
            </w:r>
          </w:p>
        </w:tc>
      </w:tr>
    </w:tbl>
    <w:p w14:paraId="30561EAC" w14:textId="77777777" w:rsidR="008618A0" w:rsidRPr="00EA3026" w:rsidRDefault="008618A0">
      <w:pPr>
        <w:spacing w:before="120" w:after="120"/>
        <w:jc w:val="both"/>
        <w:rPr>
          <w:rFonts w:ascii="Times New Roman" w:hAnsi="Times New Roman" w:cs="Times New Roman"/>
          <w:bCs/>
          <w:sz w:val="24"/>
        </w:rPr>
      </w:pPr>
    </w:p>
    <w:p w14:paraId="72E377A2" w14:textId="77777777" w:rsidR="008618A0" w:rsidRPr="00EA3026" w:rsidRDefault="00EA3026">
      <w:pPr>
        <w:ind w:left="720"/>
        <w:rPr>
          <w:rFonts w:ascii="Times New Roman" w:hAnsi="Times New Roman" w:cs="Times New Roman"/>
          <w:b/>
          <w:bCs/>
          <w:sz w:val="24"/>
        </w:rPr>
      </w:pPr>
      <w:r w:rsidRPr="00EA3026">
        <w:rPr>
          <w:rFonts w:ascii="Times New Roman" w:hAnsi="Times New Roman"/>
          <w:b/>
          <w:sz w:val="24"/>
        </w:rPr>
        <w:t>Mall EU I CC1.02 – Sammansättning av föreskrivna kapitalbaser (små och icke-sammanlänkade värdepappersföretag)</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8618A0" w:rsidRPr="00EA3026" w14:paraId="6DA8389F" w14:textId="77777777">
        <w:trPr>
          <w:trHeight w:val="395"/>
        </w:trPr>
        <w:tc>
          <w:tcPr>
            <w:tcW w:w="8812" w:type="dxa"/>
            <w:gridSpan w:val="2"/>
            <w:shd w:val="clear" w:color="auto" w:fill="D9D9D9" w:themeFill="background1" w:themeFillShade="D9"/>
          </w:tcPr>
          <w:p w14:paraId="1B71892D" w14:textId="77777777" w:rsidR="008618A0" w:rsidRPr="00EA3026" w:rsidRDefault="00EA3026">
            <w:pPr>
              <w:pStyle w:val="TableTitle"/>
              <w:spacing w:before="0" w:after="0"/>
              <w:jc w:val="left"/>
              <w:rPr>
                <w:rFonts w:ascii="Times New Roman" w:hAnsi="Times New Roman"/>
                <w:szCs w:val="22"/>
              </w:rPr>
            </w:pPr>
            <w:r w:rsidRPr="00EA3026">
              <w:rPr>
                <w:rFonts w:ascii="Times New Roman" w:hAnsi="Times New Roman"/>
              </w:rPr>
              <w:t xml:space="preserve">Rättsliga hänvisningar och </w:t>
            </w:r>
            <w:r w:rsidRPr="00EA3026">
              <w:rPr>
                <w:rFonts w:ascii="Times New Roman" w:hAnsi="Times New Roman"/>
              </w:rPr>
              <w:t>instruktioner</w:t>
            </w:r>
          </w:p>
        </w:tc>
      </w:tr>
      <w:tr w:rsidR="008618A0" w:rsidRPr="00EA3026" w14:paraId="48616A54" w14:textId="77777777">
        <w:tblPrEx>
          <w:tblLook w:val="00A0" w:firstRow="1" w:lastRow="0" w:firstColumn="1" w:lastColumn="0" w:noHBand="0" w:noVBand="0"/>
        </w:tblPrEx>
        <w:tc>
          <w:tcPr>
            <w:tcW w:w="1129" w:type="dxa"/>
            <w:tcBorders>
              <w:bottom w:val="single" w:sz="4" w:space="0" w:color="auto"/>
            </w:tcBorders>
            <w:shd w:val="clear" w:color="auto" w:fill="D9D9D9"/>
          </w:tcPr>
          <w:p w14:paraId="69910B3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Rad</w:t>
            </w:r>
          </w:p>
        </w:tc>
        <w:tc>
          <w:tcPr>
            <w:tcW w:w="7683" w:type="dxa"/>
            <w:tcBorders>
              <w:bottom w:val="single" w:sz="4" w:space="0" w:color="auto"/>
            </w:tcBorders>
            <w:shd w:val="clear" w:color="auto" w:fill="D9D9D9"/>
          </w:tcPr>
          <w:p w14:paraId="7C684D1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Rättsliga hänvisningar och instruktioner</w:t>
            </w:r>
          </w:p>
        </w:tc>
      </w:tr>
      <w:tr w:rsidR="008618A0" w:rsidRPr="00EA3026" w14:paraId="11A66CC6" w14:textId="77777777">
        <w:tblPrEx>
          <w:tblLook w:val="00A0" w:firstRow="1" w:lastRow="0" w:firstColumn="1" w:lastColumn="0" w:noHBand="0" w:noVBand="0"/>
        </w:tblPrEx>
        <w:tc>
          <w:tcPr>
            <w:tcW w:w="1129" w:type="dxa"/>
            <w:shd w:val="clear" w:color="auto" w:fill="auto"/>
            <w:vAlign w:val="center"/>
          </w:tcPr>
          <w:p w14:paraId="5C38FAB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w:t>
            </w:r>
          </w:p>
        </w:tc>
        <w:tc>
          <w:tcPr>
            <w:tcW w:w="7683" w:type="dxa"/>
            <w:shd w:val="clear" w:color="auto" w:fill="auto"/>
          </w:tcPr>
          <w:p w14:paraId="10F85040"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Kapitalbas</w:t>
            </w:r>
          </w:p>
          <w:p w14:paraId="212B591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17052617"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 xml:space="preserve">Ett värdepappersföretags kapitalbas ska bestå av summan av dess kärnprimärkapital, övrigt primärkapital för </w:t>
            </w:r>
            <w:r w:rsidRPr="00EA3026">
              <w:rPr>
                <w:rStyle w:val="FormatvorlageInstructionsTabelleText"/>
                <w:rFonts w:ascii="Times New Roman" w:hAnsi="Times New Roman"/>
                <w:sz w:val="22"/>
              </w:rPr>
              <w:t>kapitaltäckningsändamål och supplementärkapital.</w:t>
            </w:r>
          </w:p>
          <w:p w14:paraId="3B93015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Totalsumman av raderna 2 och 25 ska redovisas.</w:t>
            </w:r>
          </w:p>
        </w:tc>
      </w:tr>
      <w:tr w:rsidR="008618A0" w:rsidRPr="00EA3026" w14:paraId="578A03D9" w14:textId="77777777">
        <w:tblPrEx>
          <w:tblLook w:val="00A0" w:firstRow="1" w:lastRow="0" w:firstColumn="1" w:lastColumn="0" w:noHBand="0" w:noVBand="0"/>
        </w:tblPrEx>
        <w:tc>
          <w:tcPr>
            <w:tcW w:w="1129" w:type="dxa"/>
            <w:shd w:val="clear" w:color="auto" w:fill="auto"/>
            <w:vAlign w:val="center"/>
          </w:tcPr>
          <w:p w14:paraId="38A7B46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w:t>
            </w:r>
          </w:p>
        </w:tc>
        <w:tc>
          <w:tcPr>
            <w:tcW w:w="7683" w:type="dxa"/>
            <w:shd w:val="clear" w:color="auto" w:fill="auto"/>
          </w:tcPr>
          <w:p w14:paraId="14C1CB4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Primärkapital</w:t>
            </w:r>
          </w:p>
          <w:p w14:paraId="699F8102"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Primärkapital är summan av kärnprimärkapital och övrigt primärkapital för kapitaltäckningsändamål.</w:t>
            </w:r>
          </w:p>
          <w:p w14:paraId="2725285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 xml:space="preserve">Totalsumman av raderna 3 och 20 ska </w:t>
            </w:r>
            <w:r w:rsidRPr="00EA3026">
              <w:rPr>
                <w:rFonts w:ascii="Times New Roman" w:hAnsi="Times New Roman"/>
              </w:rPr>
              <w:t>redovisas.</w:t>
            </w:r>
          </w:p>
        </w:tc>
      </w:tr>
      <w:tr w:rsidR="008618A0" w:rsidRPr="00EA3026" w14:paraId="74A3F78B" w14:textId="77777777">
        <w:tblPrEx>
          <w:tblLook w:val="00A0" w:firstRow="1" w:lastRow="0" w:firstColumn="1" w:lastColumn="0" w:noHBand="0" w:noVBand="0"/>
        </w:tblPrEx>
        <w:tc>
          <w:tcPr>
            <w:tcW w:w="1129" w:type="dxa"/>
            <w:shd w:val="clear" w:color="auto" w:fill="auto"/>
            <w:vAlign w:val="center"/>
          </w:tcPr>
          <w:p w14:paraId="64C27F0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w:t>
            </w:r>
          </w:p>
        </w:tc>
        <w:tc>
          <w:tcPr>
            <w:tcW w:w="7683" w:type="dxa"/>
            <w:shd w:val="clear" w:color="auto" w:fill="auto"/>
          </w:tcPr>
          <w:p w14:paraId="149068F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InstructionsTabelleberschrift"/>
                <w:rFonts w:ascii="Times New Roman" w:hAnsi="Times New Roman"/>
                <w:sz w:val="22"/>
              </w:rPr>
              <w:t>Kärnprimärkapital</w:t>
            </w:r>
          </w:p>
          <w:p w14:paraId="0318A14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62EF114E"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Artikel 50 i förordning (EU) nr 575/2013.</w:t>
            </w:r>
          </w:p>
          <w:p w14:paraId="0877BD4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Totalsumman av raderna 4–11 och rad 19 ska redovisas.</w:t>
            </w:r>
          </w:p>
        </w:tc>
      </w:tr>
      <w:tr w:rsidR="008618A0" w:rsidRPr="00EA3026" w14:paraId="3958D473" w14:textId="77777777">
        <w:tblPrEx>
          <w:tblLook w:val="00A0" w:firstRow="1" w:lastRow="0" w:firstColumn="1" w:lastColumn="0" w:noHBand="0" w:noVBand="0"/>
        </w:tblPrEx>
        <w:tc>
          <w:tcPr>
            <w:tcW w:w="1129" w:type="dxa"/>
            <w:shd w:val="clear" w:color="auto" w:fill="auto"/>
            <w:vAlign w:val="center"/>
          </w:tcPr>
          <w:p w14:paraId="515C91A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4</w:t>
            </w:r>
          </w:p>
        </w:tc>
        <w:tc>
          <w:tcPr>
            <w:tcW w:w="7683" w:type="dxa"/>
            <w:shd w:val="clear" w:color="auto" w:fill="auto"/>
          </w:tcPr>
          <w:p w14:paraId="674C546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u w:val="single"/>
              </w:rPr>
              <w:t>Fullt betalda kapitalinstrument</w:t>
            </w:r>
          </w:p>
          <w:p w14:paraId="764F287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5CF7142"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2</w:t>
            </w:r>
            <w:r w:rsidRPr="00EA3026">
              <w:rPr>
                <w:rStyle w:val="FormatvorlageInstructionsTabelleText"/>
                <w:rFonts w:ascii="Times New Roman" w:hAnsi="Times New Roman"/>
                <w:sz w:val="22"/>
              </w:rPr>
              <w:t>6.1 a och artiklarna 27–31 i förordning (EU) nr 575/2013.</w:t>
            </w:r>
          </w:p>
          <w:p w14:paraId="1238D4B6"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Kapitalinstrument i ömsesidiga bolag, kooperativa sammanslutningar eller jämförbara institut (artiklarna 27 och 29 i förordning (EU) nr 575/2013) ska inkluderas.</w:t>
            </w:r>
          </w:p>
          <w:p w14:paraId="2944F487"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Den överkursfond som hör ihop med </w:t>
            </w:r>
            <w:r w:rsidRPr="00EA3026">
              <w:rPr>
                <w:rStyle w:val="FormatvorlageInstructionsTabelleText"/>
                <w:rFonts w:ascii="Times New Roman" w:hAnsi="Times New Roman"/>
                <w:sz w:val="22"/>
              </w:rPr>
              <w:t>instrumenten ska inte inkluderas.</w:t>
            </w:r>
          </w:p>
          <w:p w14:paraId="5565B18A" w14:textId="77777777" w:rsidR="008618A0" w:rsidRPr="00EA3026" w:rsidRDefault="00EA3026">
            <w:pPr>
              <w:pStyle w:val="InstructionsText"/>
            </w:pPr>
            <w:r w:rsidRPr="00EA3026">
              <w:rPr>
                <w:rStyle w:val="FormatvorlageInstructionsTabelleText"/>
                <w:rFonts w:ascii="Times New Roman" w:hAnsi="Times New Roman"/>
                <w:sz w:val="22"/>
              </w:rPr>
              <w:t>Kapitalinstrument som tecknats av offentliga myndigheter i nödsituationer ska inkluderas om samtliga villkor i artikel 31 i förordning nr 575/2013 är uppfyllda.</w:t>
            </w:r>
          </w:p>
        </w:tc>
      </w:tr>
      <w:tr w:rsidR="008618A0" w:rsidRPr="00EA3026" w14:paraId="4807A23E" w14:textId="77777777">
        <w:tblPrEx>
          <w:tblLook w:val="00A0" w:firstRow="1" w:lastRow="0" w:firstColumn="1" w:lastColumn="0" w:noHBand="0" w:noVBand="0"/>
        </w:tblPrEx>
        <w:tc>
          <w:tcPr>
            <w:tcW w:w="1129" w:type="dxa"/>
            <w:shd w:val="clear" w:color="auto" w:fill="auto"/>
            <w:vAlign w:val="center"/>
          </w:tcPr>
          <w:p w14:paraId="1FDB070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5</w:t>
            </w:r>
          </w:p>
        </w:tc>
        <w:tc>
          <w:tcPr>
            <w:tcW w:w="7683" w:type="dxa"/>
            <w:shd w:val="clear" w:color="auto" w:fill="auto"/>
          </w:tcPr>
          <w:p w14:paraId="30A9B42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7970BB0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74C47966"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w:t>
            </w:r>
            <w:r w:rsidRPr="00EA3026">
              <w:rPr>
                <w:rStyle w:val="FormatvorlageInstructionsTabelleText"/>
                <w:rFonts w:ascii="Times New Roman" w:hAnsi="Times New Roman"/>
                <w:sz w:val="22"/>
              </w:rPr>
              <w:t>tikel 26.1 b i förordning (EU) nr 575/2013.</w:t>
            </w:r>
          </w:p>
          <w:p w14:paraId="3072272E"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Överkursfond har den innebörd som anges i tillämplig redovisningsstandard.</w:t>
            </w:r>
          </w:p>
          <w:p w14:paraId="2655E38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68A8CF1F" w14:textId="77777777">
        <w:tblPrEx>
          <w:tblLook w:val="00A0" w:firstRow="1" w:lastRow="0" w:firstColumn="1" w:lastColumn="0" w:noHBand="0" w:noVBand="0"/>
        </w:tblPrEx>
        <w:tc>
          <w:tcPr>
            <w:tcW w:w="1129" w:type="dxa"/>
            <w:shd w:val="clear" w:color="auto" w:fill="auto"/>
            <w:vAlign w:val="center"/>
          </w:tcPr>
          <w:p w14:paraId="67E7EE5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6</w:t>
            </w:r>
          </w:p>
        </w:tc>
        <w:tc>
          <w:tcPr>
            <w:tcW w:w="7683" w:type="dxa"/>
            <w:shd w:val="clear" w:color="auto" w:fill="auto"/>
          </w:tcPr>
          <w:p w14:paraId="47AEE32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Balanserade vinstmedel</w:t>
            </w:r>
          </w:p>
          <w:p w14:paraId="1B4C684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w:t>
            </w:r>
            <w:r w:rsidRPr="00EA3026">
              <w:rPr>
                <w:rFonts w:ascii="Times New Roman" w:hAnsi="Times New Roman"/>
              </w:rPr>
              <w:t xml:space="preserve"> förordning (EU) 2019/2033.</w:t>
            </w:r>
          </w:p>
          <w:p w14:paraId="5D49D006" w14:textId="77777777" w:rsidR="008618A0" w:rsidRPr="00EA3026" w:rsidRDefault="00EA3026">
            <w:pPr>
              <w:spacing w:after="120"/>
              <w:jc w:val="both"/>
              <w:rPr>
                <w:rFonts w:ascii="Times New Roman" w:eastAsia="Times New Roman" w:hAnsi="Times New Roman" w:cs="Times New Roman"/>
                <w:bCs/>
                <w:szCs w:val="22"/>
              </w:rPr>
            </w:pPr>
            <w:r w:rsidRPr="00EA3026">
              <w:rPr>
                <w:rStyle w:val="FormatvorlageInstructionsTabelleText"/>
                <w:rFonts w:ascii="Times New Roman" w:hAnsi="Times New Roman"/>
                <w:sz w:val="22"/>
              </w:rPr>
              <w:t>Artikel 26.1 c i förordning (EU) nr 575/2013.</w:t>
            </w:r>
          </w:p>
          <w:p w14:paraId="73BE5AA8"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I balanserade vinstmedel ingår balanserade vinstmedel från det föregående året och godtagbara delårs- eller årsöverskott.</w:t>
            </w:r>
          </w:p>
        </w:tc>
      </w:tr>
      <w:tr w:rsidR="008618A0" w:rsidRPr="00EA3026" w14:paraId="6E887EAA" w14:textId="77777777">
        <w:tblPrEx>
          <w:tblLook w:val="00A0" w:firstRow="1" w:lastRow="0" w:firstColumn="1" w:lastColumn="0" w:noHBand="0" w:noVBand="0"/>
        </w:tblPrEx>
        <w:tc>
          <w:tcPr>
            <w:tcW w:w="1129" w:type="dxa"/>
            <w:shd w:val="clear" w:color="auto" w:fill="auto"/>
            <w:vAlign w:val="center"/>
          </w:tcPr>
          <w:p w14:paraId="2F1ECE4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7</w:t>
            </w:r>
          </w:p>
        </w:tc>
        <w:tc>
          <w:tcPr>
            <w:tcW w:w="7683" w:type="dxa"/>
            <w:shd w:val="clear" w:color="auto" w:fill="auto"/>
          </w:tcPr>
          <w:p w14:paraId="4BDC307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Ackumulerat övrigt totalresultat</w:t>
            </w:r>
          </w:p>
          <w:p w14:paraId="593D1C2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9.1 i i </w:t>
            </w:r>
            <w:r w:rsidRPr="00EA3026">
              <w:rPr>
                <w:rFonts w:ascii="Times New Roman" w:hAnsi="Times New Roman"/>
              </w:rPr>
              <w:t>förordning (EU) 2019/2033.</w:t>
            </w:r>
          </w:p>
          <w:p w14:paraId="186ED25A" w14:textId="77777777" w:rsidR="008618A0" w:rsidRPr="00EA3026" w:rsidRDefault="00EA3026">
            <w:pPr>
              <w:spacing w:after="120"/>
              <w:jc w:val="both"/>
              <w:rPr>
                <w:rFonts w:ascii="Times New Roman" w:hAnsi="Times New Roman" w:cs="Times New Roman"/>
                <w:bCs/>
                <w:szCs w:val="22"/>
              </w:rPr>
            </w:pPr>
            <w:r w:rsidRPr="00EA3026">
              <w:rPr>
                <w:rStyle w:val="FormatvorlageInstructionsTabelleText"/>
                <w:rFonts w:ascii="Times New Roman" w:hAnsi="Times New Roman"/>
                <w:sz w:val="22"/>
              </w:rPr>
              <w:t>Artikel 26.1 d i förordning (EU) nr 575/2013.</w:t>
            </w:r>
          </w:p>
        </w:tc>
      </w:tr>
      <w:tr w:rsidR="008618A0" w:rsidRPr="00EA3026" w14:paraId="49656E8C" w14:textId="77777777">
        <w:tblPrEx>
          <w:tblLook w:val="00A0" w:firstRow="1" w:lastRow="0" w:firstColumn="1" w:lastColumn="0" w:noHBand="0" w:noVBand="0"/>
        </w:tblPrEx>
        <w:tc>
          <w:tcPr>
            <w:tcW w:w="1129" w:type="dxa"/>
            <w:shd w:val="clear" w:color="auto" w:fill="auto"/>
            <w:vAlign w:val="center"/>
          </w:tcPr>
          <w:p w14:paraId="057033E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8</w:t>
            </w:r>
          </w:p>
        </w:tc>
        <w:tc>
          <w:tcPr>
            <w:tcW w:w="7683" w:type="dxa"/>
            <w:tcBorders>
              <w:bottom w:val="single" w:sz="4" w:space="0" w:color="auto"/>
            </w:tcBorders>
            <w:shd w:val="clear" w:color="auto" w:fill="auto"/>
          </w:tcPr>
          <w:p w14:paraId="3C83C70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Övriga reserver</w:t>
            </w:r>
          </w:p>
          <w:p w14:paraId="26768A5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2CA70E8B"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Artikel 4.1.117 och artikel 26.1 e i förordning (EU) nr 575/2013.</w:t>
            </w:r>
          </w:p>
          <w:p w14:paraId="1FE5AE8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Beloppet ska redovisas efter avdrag för de eventuella s</w:t>
            </w:r>
            <w:r w:rsidRPr="00EA3026">
              <w:rPr>
                <w:rStyle w:val="FormatvorlageInstructionsTabelleText"/>
                <w:rFonts w:ascii="Times New Roman" w:hAnsi="Times New Roman"/>
                <w:sz w:val="22"/>
              </w:rPr>
              <w:t>kattepålagor som kan förutses när beräkningen görs.</w:t>
            </w:r>
          </w:p>
        </w:tc>
      </w:tr>
      <w:tr w:rsidR="008618A0" w:rsidRPr="00EA3026" w14:paraId="18E0A7B3" w14:textId="77777777">
        <w:tblPrEx>
          <w:tblLook w:val="00A0" w:firstRow="1" w:lastRow="0" w:firstColumn="1" w:lastColumn="0" w:noHBand="0" w:noVBand="0"/>
        </w:tblPrEx>
        <w:tc>
          <w:tcPr>
            <w:tcW w:w="1129" w:type="dxa"/>
            <w:shd w:val="clear" w:color="auto" w:fill="auto"/>
            <w:vAlign w:val="center"/>
          </w:tcPr>
          <w:p w14:paraId="534ED437"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9</w:t>
            </w:r>
          </w:p>
        </w:tc>
        <w:tc>
          <w:tcPr>
            <w:tcW w:w="7683" w:type="dxa"/>
            <w:shd w:val="clear" w:color="auto" w:fill="auto"/>
          </w:tcPr>
          <w:p w14:paraId="1230164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Justeringar av kärnprimärkapital på grund av försiktighetsmarginaler</w:t>
            </w:r>
          </w:p>
          <w:p w14:paraId="59D36288"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Artikel 9.1 i i förordning (EU) 2019/2033.</w:t>
            </w:r>
          </w:p>
          <w:p w14:paraId="1D77D2D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Artiklarna 32–35 i förordning (EU) nr 575/2013.</w:t>
            </w:r>
          </w:p>
        </w:tc>
      </w:tr>
      <w:tr w:rsidR="008618A0" w:rsidRPr="00EA3026" w14:paraId="08F04754" w14:textId="77777777">
        <w:tblPrEx>
          <w:tblLook w:val="00A0" w:firstRow="1" w:lastRow="0" w:firstColumn="1" w:lastColumn="0" w:noHBand="0" w:noVBand="0"/>
        </w:tblPrEx>
        <w:tc>
          <w:tcPr>
            <w:tcW w:w="1129" w:type="dxa"/>
            <w:shd w:val="clear" w:color="auto" w:fill="auto"/>
            <w:vAlign w:val="center"/>
          </w:tcPr>
          <w:p w14:paraId="7D8E41D6"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10</w:t>
            </w:r>
          </w:p>
        </w:tc>
        <w:tc>
          <w:tcPr>
            <w:tcW w:w="7683" w:type="dxa"/>
            <w:shd w:val="clear" w:color="auto" w:fill="auto"/>
          </w:tcPr>
          <w:p w14:paraId="5580975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Övriga fonder</w:t>
            </w:r>
          </w:p>
          <w:p w14:paraId="413AD45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 xml:space="preserve">Artikel 9.4 i </w:t>
            </w:r>
            <w:r w:rsidRPr="00EA3026">
              <w:rPr>
                <w:rFonts w:ascii="Times New Roman" w:hAnsi="Times New Roman"/>
              </w:rPr>
              <w:t>förordning (EU) 2019/2033.</w:t>
            </w:r>
          </w:p>
        </w:tc>
      </w:tr>
      <w:tr w:rsidR="008618A0" w:rsidRPr="00EA3026" w14:paraId="5CBA4D39" w14:textId="77777777">
        <w:tblPrEx>
          <w:tblLook w:val="00A0" w:firstRow="1" w:lastRow="0" w:firstColumn="1" w:lastColumn="0" w:noHBand="0" w:noVBand="0"/>
        </w:tblPrEx>
        <w:tc>
          <w:tcPr>
            <w:tcW w:w="1129" w:type="dxa"/>
            <w:shd w:val="clear" w:color="auto" w:fill="auto"/>
            <w:vAlign w:val="center"/>
          </w:tcPr>
          <w:p w14:paraId="04ED0676"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11</w:t>
            </w:r>
          </w:p>
        </w:tc>
        <w:tc>
          <w:tcPr>
            <w:tcW w:w="7683" w:type="dxa"/>
            <w:shd w:val="clear" w:color="auto" w:fill="auto"/>
          </w:tcPr>
          <w:p w14:paraId="141D7F0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TOTALA AVDRAG FRÅN KÄRNPRIMÄRKAPITAL</w:t>
            </w:r>
          </w:p>
          <w:p w14:paraId="4A9F4F8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Totalsumman av raderna 12–18 ska redovisas.</w:t>
            </w:r>
          </w:p>
        </w:tc>
      </w:tr>
      <w:tr w:rsidR="008618A0" w:rsidRPr="00EA3026" w14:paraId="35FC3D3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2316E7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D68384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Förluster för innevarande räkenskapsår</w:t>
            </w:r>
          </w:p>
          <w:p w14:paraId="5244D71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a i förordning (EU) nr 575/2013.</w:t>
            </w:r>
          </w:p>
        </w:tc>
      </w:tr>
      <w:tr w:rsidR="008618A0" w:rsidRPr="00EA3026" w14:paraId="2A19DAB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8C6034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F77DA5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Goodwill</w:t>
            </w:r>
          </w:p>
          <w:p w14:paraId="4400DE0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9.1 i i </w:t>
            </w:r>
            <w:r w:rsidRPr="00EA3026">
              <w:rPr>
                <w:rFonts w:ascii="Times New Roman" w:hAnsi="Times New Roman"/>
              </w:rPr>
              <w:t>förordning (EU) 2019/2033.</w:t>
            </w:r>
          </w:p>
          <w:p w14:paraId="70528DE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Artikel 4.1.113, artikel 36.1 b och artikel 37 i förordning (EU) nr 575/2013.</w:t>
            </w:r>
          </w:p>
        </w:tc>
      </w:tr>
      <w:tr w:rsidR="008618A0" w:rsidRPr="00EA3026" w14:paraId="5B0DF7C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CE765C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4388D50"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Övriga immateriella tillgångar</w:t>
            </w:r>
          </w:p>
          <w:p w14:paraId="5891FFD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7411BE43"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 xml:space="preserve">Artikel 4.1.115, artikel 36.1 b och artikel 37 a i </w:t>
            </w:r>
            <w:r w:rsidRPr="00EA3026">
              <w:rPr>
                <w:rStyle w:val="FormatvorlageInstructionsTabelleText"/>
                <w:rFonts w:ascii="Times New Roman" w:hAnsi="Times New Roman"/>
                <w:sz w:val="22"/>
              </w:rPr>
              <w:t>förordning (EU) nr 575/2013.</w:t>
            </w:r>
          </w:p>
          <w:p w14:paraId="67BD0FA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Övriga immateriella tillgångar är immateriella tillgångar enligt tillämplig redovisningsstandard minus goodwill, även denna enligt tillämplig redovisningsstandard.</w:t>
            </w:r>
          </w:p>
        </w:tc>
      </w:tr>
      <w:tr w:rsidR="008618A0" w:rsidRPr="00EA3026" w14:paraId="4A5ED6F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1E8123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F0ECDC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Uppskjutna skattefordringar som är beroende av framtida</w:t>
            </w:r>
            <w:r w:rsidRPr="00EA3026">
              <w:rPr>
                <w:rFonts w:ascii="Times New Roman" w:hAnsi="Times New Roman"/>
                <w:b/>
                <w:u w:val="single"/>
              </w:rPr>
              <w:t xml:space="preserve"> lönsamhet och som inte uppstår till följd av temporära skillnader minus tillhörande skatteskulder</w:t>
            </w:r>
          </w:p>
          <w:p w14:paraId="75F8F4F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a i förordning (EU) 2019/2033.</w:t>
            </w:r>
          </w:p>
          <w:p w14:paraId="6ADA0E2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c i förordning (EU) nr 575/2013.</w:t>
            </w:r>
          </w:p>
        </w:tc>
      </w:tr>
      <w:tr w:rsidR="008618A0" w:rsidRPr="00EA3026" w14:paraId="66CBCCD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368F2D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C38A4F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Kvalificerat innehav utanför den finansiella sektorn som öve</w:t>
            </w:r>
            <w:r w:rsidRPr="00EA3026">
              <w:rPr>
                <w:rFonts w:ascii="Times New Roman" w:hAnsi="Times New Roman"/>
                <w:b/>
                <w:u w:val="single"/>
              </w:rPr>
              <w:t>rstiger 15 % av kapitalbasen</w:t>
            </w:r>
          </w:p>
          <w:p w14:paraId="041CFAB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lastRenderedPageBreak/>
              <w:t>Artikel 10.1 a i förordning (EU) 2019/2033.</w:t>
            </w:r>
          </w:p>
        </w:tc>
      </w:tr>
      <w:tr w:rsidR="008618A0" w:rsidRPr="00EA3026" w14:paraId="05B6CFA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37D7BE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007A1D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Totala kvalificerade innehav i andra företag än enheter i den finansiella sektorn som överstiger 60 % av deras kapitalbas</w:t>
            </w:r>
          </w:p>
          <w:p w14:paraId="6FD97DA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10.1 a i förordning (EU) 2019/2033.</w:t>
            </w:r>
          </w:p>
        </w:tc>
      </w:tr>
      <w:tr w:rsidR="008618A0" w:rsidRPr="00EA3026" w14:paraId="1EE7D68A" w14:textId="77777777">
        <w:tblPrEx>
          <w:tblLook w:val="00A0" w:firstRow="1" w:lastRow="0" w:firstColumn="1" w:lastColumn="0" w:noHBand="0" w:noVBand="0"/>
        </w:tblPrEx>
        <w:tc>
          <w:tcPr>
            <w:tcW w:w="1129" w:type="dxa"/>
            <w:vAlign w:val="center"/>
          </w:tcPr>
          <w:p w14:paraId="51482A7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5892861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Övriga avdrag</w:t>
            </w:r>
          </w:p>
          <w:p w14:paraId="082F6FF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Summan av alla andra avdrag som anges i artikel 36.1 i förordning (EU) nr 575/2013.</w:t>
            </w:r>
          </w:p>
        </w:tc>
      </w:tr>
      <w:tr w:rsidR="008618A0" w:rsidRPr="00EA3026" w14:paraId="4BE70AA6" w14:textId="77777777">
        <w:tblPrEx>
          <w:tblLook w:val="00A0" w:firstRow="1" w:lastRow="0" w:firstColumn="1" w:lastColumn="0" w:noHBand="0" w:noVBand="0"/>
        </w:tblPrEx>
        <w:tc>
          <w:tcPr>
            <w:tcW w:w="1129" w:type="dxa"/>
            <w:vAlign w:val="center"/>
          </w:tcPr>
          <w:p w14:paraId="3F1E2441"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261AD5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Kärnprimärkapital: Andra kapitalposter, avdrag och justeringar</w:t>
            </w:r>
          </w:p>
          <w:p w14:paraId="78432F9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ska i tillämpliga fall omfatta summan av följande poster:</w:t>
            </w:r>
          </w:p>
          <w:p w14:paraId="44852639"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kärnprimärkapitalinstrument för vilka äldre regler får fortsätta att tillämpas (artikel 483.1, 483.2 och 483.3 samt artiklarna 484–487 i förordning (EU) nr 575/2013).</w:t>
            </w:r>
          </w:p>
          <w:p w14:paraId="43182103"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ytterligare minoritet</w:t>
            </w:r>
            <w:r w:rsidRPr="00EA3026">
              <w:rPr>
                <w:rFonts w:ascii="Times New Roman" w:hAnsi="Times New Roman"/>
              </w:rPr>
              <w:t>sinnehav (artiklarna 479 och 480 i förordning (EU) nr 575/2013).</w:t>
            </w:r>
          </w:p>
          <w:p w14:paraId="0FB754CC"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kärnprimärkapital (artiklarna 469–478 och 481 i förordning (EU) nr 575/2013): Justeringar av avdragen från kärnprimärkapital på grund av övergångsbestämmelser.</w:t>
            </w:r>
          </w:p>
          <w:p w14:paraId="073CCE62" w14:textId="77777777" w:rsidR="008618A0" w:rsidRPr="00EA3026" w:rsidRDefault="00EA3026">
            <w:pPr>
              <w:spacing w:after="120"/>
              <w:ind w:left="360" w:hanging="360"/>
              <w:contextualSpacing/>
              <w:jc w:val="both"/>
              <w:rPr>
                <w:rFonts w:ascii="Times New Roman" w:eastAsia="Times New Roman" w:hAnsi="Times New Roman"/>
                <w:b/>
                <w:bCs/>
                <w:u w:val="single"/>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delar i eller avdrag från en kärnprimärkapitalpost som inte kan hänföras till någon av raderna 4–18.</w:t>
            </w:r>
          </w:p>
          <w:p w14:paraId="42C648E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Denna rad ska inte användas för att ta med kapitalposter eller avdrag som inte omfattas av förordning (EU) 2019/2033 eller förordning (EU) nr 575/</w:t>
            </w:r>
            <w:r w:rsidRPr="00EA3026">
              <w:rPr>
                <w:rFonts w:ascii="Times New Roman" w:hAnsi="Times New Roman"/>
              </w:rPr>
              <w:t>2013 vid beräkning av kapitaltäckningsgraden.</w:t>
            </w:r>
          </w:p>
        </w:tc>
      </w:tr>
      <w:tr w:rsidR="008618A0" w:rsidRPr="00EA3026" w14:paraId="1F07DF07" w14:textId="77777777">
        <w:tblPrEx>
          <w:tblLook w:val="00A0" w:firstRow="1" w:lastRow="0" w:firstColumn="1" w:lastColumn="0" w:noHBand="0" w:noVBand="0"/>
        </w:tblPrEx>
        <w:tc>
          <w:tcPr>
            <w:tcW w:w="1129" w:type="dxa"/>
            <w:vAlign w:val="center"/>
          </w:tcPr>
          <w:p w14:paraId="7990688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40613C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ÖVRIGT PRIMÄRKAPITAL FÖR KAPITALTÄCKNINGSÄNDAMÅL</w:t>
            </w:r>
          </w:p>
          <w:p w14:paraId="683176F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4CAD81A6" w14:textId="77777777" w:rsidR="008618A0" w:rsidRPr="00EA3026" w:rsidRDefault="00EA3026">
            <w:pPr>
              <w:spacing w:after="120"/>
              <w:jc w:val="both"/>
              <w:rPr>
                <w:rFonts w:ascii="Times New Roman" w:hAnsi="Times New Roman" w:cs="Times New Roman"/>
                <w:szCs w:val="22"/>
              </w:rPr>
            </w:pPr>
            <w:r w:rsidRPr="00EA3026">
              <w:rPr>
                <w:rFonts w:ascii="Times New Roman" w:hAnsi="Times New Roman"/>
              </w:rPr>
              <w:t>Artikel 61 i förordning (EU) nr 575/2013.</w:t>
            </w:r>
          </w:p>
          <w:p w14:paraId="3753A5A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Totalsumman av raderna 21–24 ska redovisas.</w:t>
            </w:r>
          </w:p>
        </w:tc>
      </w:tr>
      <w:tr w:rsidR="008618A0" w:rsidRPr="00EA3026" w14:paraId="10D1099A" w14:textId="77777777">
        <w:tblPrEx>
          <w:tblLook w:val="00A0" w:firstRow="1" w:lastRow="0" w:firstColumn="1" w:lastColumn="0" w:noHBand="0" w:noVBand="0"/>
        </w:tblPrEx>
        <w:tc>
          <w:tcPr>
            <w:tcW w:w="1129" w:type="dxa"/>
            <w:vAlign w:val="center"/>
          </w:tcPr>
          <w:p w14:paraId="0C03C8B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837DEA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u w:val="single"/>
              </w:rPr>
              <w:t xml:space="preserve">Fullt betalt direkt </w:t>
            </w:r>
            <w:r w:rsidRPr="00EA3026">
              <w:rPr>
                <w:rFonts w:ascii="Times New Roman" w:hAnsi="Times New Roman"/>
                <w:b/>
                <w:u w:val="single"/>
              </w:rPr>
              <w:t>emitterat kapital</w:t>
            </w:r>
          </w:p>
          <w:p w14:paraId="6265CC7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7662C21B"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51 a och artiklarna 52, 53 och 54 i förordning (EU) nr 575/2013.</w:t>
            </w:r>
          </w:p>
          <w:p w14:paraId="45BD78D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Den överkursfond som hör ihop med instrumentet ska inte ingå i det belopp som redovisas.</w:t>
            </w:r>
          </w:p>
        </w:tc>
      </w:tr>
      <w:tr w:rsidR="008618A0" w:rsidRPr="00EA3026" w14:paraId="328B44D1" w14:textId="77777777">
        <w:tblPrEx>
          <w:tblLook w:val="00A0" w:firstRow="1" w:lastRow="0" w:firstColumn="1" w:lastColumn="0" w:noHBand="0" w:noVBand="0"/>
        </w:tblPrEx>
        <w:tc>
          <w:tcPr>
            <w:tcW w:w="1129" w:type="dxa"/>
            <w:vAlign w:val="center"/>
          </w:tcPr>
          <w:p w14:paraId="3E6A0F5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05DB77D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4F922B6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w:t>
            </w:r>
            <w:r w:rsidRPr="00EA3026">
              <w:rPr>
                <w:rFonts w:ascii="Times New Roman" w:hAnsi="Times New Roman"/>
              </w:rPr>
              <w:t xml:space="preserve"> förordning (EU) 2019/2033.</w:t>
            </w:r>
          </w:p>
          <w:p w14:paraId="3598119E"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51 b i förordning (EU) nr 575/2013.</w:t>
            </w:r>
          </w:p>
          <w:p w14:paraId="25E8B643"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Överkursfond har den innebörd som anges i tillämplig redovisningsstandard.</w:t>
            </w:r>
          </w:p>
          <w:p w14:paraId="6BA4F65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2CDF7660" w14:textId="77777777">
        <w:tblPrEx>
          <w:tblLook w:val="00A0" w:firstRow="1" w:lastRow="0" w:firstColumn="1" w:lastColumn="0" w:noHBand="0" w:noVBand="0"/>
        </w:tblPrEx>
        <w:tc>
          <w:tcPr>
            <w:tcW w:w="1129" w:type="dxa"/>
            <w:tcBorders>
              <w:bottom w:val="single" w:sz="4" w:space="0" w:color="auto"/>
            </w:tcBorders>
            <w:vAlign w:val="center"/>
          </w:tcPr>
          <w:p w14:paraId="23DBDE4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4EAB67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w:t>
            </w:r>
            <w:r w:rsidRPr="00EA3026">
              <w:rPr>
                <w:rFonts w:ascii="Times New Roman" w:hAnsi="Times New Roman"/>
                <w:b/>
                <w:u w:val="single"/>
              </w:rPr>
              <w:t>TOTALA AVDRAG FRÅN ÖVRIGT PRIMÄRKAPITAL FÖR KAPITALTÄCKNINGSÄNDAMÅL (PRIMÄRKAPITALTILLSKOTT)</w:t>
            </w:r>
          </w:p>
          <w:p w14:paraId="7B66ABF3" w14:textId="77777777" w:rsidR="008618A0" w:rsidRPr="00EA3026" w:rsidRDefault="00EA3026">
            <w:pPr>
              <w:spacing w:before="60" w:after="60"/>
              <w:rPr>
                <w:rFonts w:ascii="Times New Roman" w:eastAsia="Times New Roman" w:hAnsi="Times New Roman" w:cs="Times New Roman"/>
                <w:b/>
                <w:bCs/>
                <w:szCs w:val="22"/>
                <w:u w:val="single"/>
              </w:rPr>
            </w:pPr>
            <w:r w:rsidRPr="00EA3026">
              <w:rPr>
                <w:rFonts w:ascii="Times New Roman" w:hAnsi="Times New Roman"/>
              </w:rPr>
              <w:t>Artikel 56 i förordning (EU) nr 575/2013.</w:t>
            </w:r>
          </w:p>
        </w:tc>
      </w:tr>
      <w:tr w:rsidR="008618A0" w:rsidRPr="00EA3026" w14:paraId="3338633A" w14:textId="77777777">
        <w:tblPrEx>
          <w:tblLook w:val="00A0" w:firstRow="1" w:lastRow="0" w:firstColumn="1" w:lastColumn="0" w:noHBand="0" w:noVBand="0"/>
        </w:tblPrEx>
        <w:tc>
          <w:tcPr>
            <w:tcW w:w="1129" w:type="dxa"/>
            <w:tcBorders>
              <w:bottom w:val="single" w:sz="4" w:space="0" w:color="auto"/>
            </w:tcBorders>
            <w:vAlign w:val="center"/>
          </w:tcPr>
          <w:p w14:paraId="13CD0656"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3B78D35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Primärkapitaltillskott Andra kapitalposter, avdrag och justeringar</w:t>
            </w:r>
          </w:p>
          <w:p w14:paraId="25501F4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Denna rad ska i tillämpliga fall omfatta </w:t>
            </w:r>
            <w:r w:rsidRPr="00EA3026">
              <w:rPr>
                <w:rFonts w:ascii="Times New Roman" w:hAnsi="Times New Roman"/>
              </w:rPr>
              <w:t>summan av följande poster:</w:t>
            </w:r>
          </w:p>
          <w:p w14:paraId="0DCD8206"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lastRenderedPageBreak/>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primärkapitaltillskottsinstrument för vilka äldre regler får fortsätta att tillämpas (artikel 483.4 och 483.5 samt artiklarna 484–487, artiklarna 489 och 491 i förordning (EU) nr 575/2013).</w:t>
            </w:r>
          </w:p>
          <w:p w14:paraId="2001EABC"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In</w:t>
            </w:r>
            <w:r w:rsidRPr="00EA3026">
              <w:rPr>
                <w:rFonts w:ascii="Times New Roman" w:hAnsi="Times New Roman"/>
              </w:rPr>
              <w:t>strument som emitterats av dotterföretag som redovisas i primärkapitaltillskott (artiklarna 83, 85 och 86 i förordning (EU) nr 575/2013): Summan av alla belopp för kvalificerande primärkapital i dotterföretag som ingår i konsoliderat primärkapitaltillskott</w:t>
            </w:r>
            <w:r w:rsidRPr="00EA3026">
              <w:rPr>
                <w:rFonts w:ascii="Times New Roman" w:hAnsi="Times New Roman"/>
              </w:rPr>
              <w:t>, inklusive kapital som emitterats av ett specialföretag (artikel 83 i förordning (EU) nr 575/2013).</w:t>
            </w:r>
          </w:p>
          <w:p w14:paraId="0496FDE0"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att primärkapitaltillskott tas upp i instrument som emitterats av dotterföretag (artikel 480 i förordning (EU) nr 575/20</w:t>
            </w:r>
            <w:r w:rsidRPr="00EA3026">
              <w:rPr>
                <w:rFonts w:ascii="Times New Roman" w:hAnsi="Times New Roman"/>
              </w:rPr>
              <w:t>13), justeringar av kvalificerande primärkapital som, på grund av övergångsbestämmelser, ingår i det konsoliderade primärkapitaltillskottet.</w:t>
            </w:r>
          </w:p>
          <w:p w14:paraId="2F962A1B"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primärkapitaltillskott (artiklarna 472, 473a, 474, 475, 478 och 481 i förordning (E</w:t>
            </w:r>
            <w:r w:rsidRPr="00EA3026">
              <w:rPr>
                <w:rFonts w:ascii="Times New Roman" w:hAnsi="Times New Roman"/>
              </w:rPr>
              <w:t>U) nr 575/2013): Justeringar av avdrag på grund av övergångsbestämmelser.</w:t>
            </w:r>
          </w:p>
          <w:p w14:paraId="2EDA1C56"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Avdrag från primärkapitaltillskottposter som överstiger primärkapitaltillskott, som dras av från kärnprimärkapitalet i enlighet med artikel 36.1 j i förordning (EU) nr 575/2013: Pr</w:t>
            </w:r>
            <w:r w:rsidRPr="00EA3026">
              <w:rPr>
                <w:rFonts w:ascii="Times New Roman" w:hAnsi="Times New Roman"/>
              </w:rPr>
              <w:t>imärkapitaltillskott får inte vara negativt, men det är möjligt att avdragen från primärkapitaltillskottsposter överstiger beloppet för tillgängliga primärkapitaltillskottsposter. Om så sker representerar denna post det belopp som behövs för att det belopp</w:t>
            </w:r>
            <w:r w:rsidRPr="00EA3026">
              <w:rPr>
                <w:rFonts w:ascii="Times New Roman" w:hAnsi="Times New Roman"/>
              </w:rPr>
              <w:t xml:space="preserve"> som rapporterats i rad 20 ska bli noll och motsvarar det inverterade belopp som dragits av från primärkapitaltillskottsposter som överstiger inkluderat primärkapitaltillskott, som redovisas bland övriga avdrag i rad 18.</w:t>
            </w:r>
          </w:p>
          <w:p w14:paraId="007DD082"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delar i eller avdrag från e</w:t>
            </w:r>
            <w:r w:rsidRPr="00EA3026">
              <w:rPr>
                <w:rFonts w:ascii="Times New Roman" w:hAnsi="Times New Roman"/>
              </w:rPr>
              <w:t>n post i primärkapitaltillskott som inte kan hänföras till någon av raderna 21–23.</w:t>
            </w:r>
          </w:p>
          <w:p w14:paraId="75B4C6B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Denna rad ska inte användas för att ta med kapitalposter eller avdrag som inte omfattas av förordning (EU) 2019/2033 eller förordning (EU) nr 575/2013 vid beräkning av kapit</w:t>
            </w:r>
            <w:r w:rsidRPr="00EA3026">
              <w:rPr>
                <w:rFonts w:ascii="Times New Roman" w:hAnsi="Times New Roman"/>
              </w:rPr>
              <w:t>altäckningsgraden.</w:t>
            </w:r>
          </w:p>
        </w:tc>
      </w:tr>
      <w:tr w:rsidR="008618A0" w:rsidRPr="00EA3026" w14:paraId="2C152772" w14:textId="77777777">
        <w:tblPrEx>
          <w:tblLook w:val="00A0" w:firstRow="1" w:lastRow="0" w:firstColumn="1" w:lastColumn="0" w:noHBand="0" w:noVBand="0"/>
        </w:tblPrEx>
        <w:tc>
          <w:tcPr>
            <w:tcW w:w="1129" w:type="dxa"/>
            <w:shd w:val="clear" w:color="auto" w:fill="auto"/>
            <w:vAlign w:val="center"/>
          </w:tcPr>
          <w:p w14:paraId="15437A1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8B0A6C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SUPPLEMENTÄRKAPITAL</w:t>
            </w:r>
          </w:p>
          <w:p w14:paraId="0BFA8D3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26073811"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Artikel 71 i förordning (EU) nr 575/2013.</w:t>
            </w:r>
          </w:p>
          <w:p w14:paraId="7DFE9E8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Totalsumman av raderna 26–29 ska redovisas.</w:t>
            </w:r>
          </w:p>
        </w:tc>
      </w:tr>
      <w:tr w:rsidR="008618A0" w:rsidRPr="00EA3026" w14:paraId="5D8DD1EB" w14:textId="77777777">
        <w:tblPrEx>
          <w:tblLook w:val="00A0" w:firstRow="1" w:lastRow="0" w:firstColumn="1" w:lastColumn="0" w:noHBand="0" w:noVBand="0"/>
        </w:tblPrEx>
        <w:tc>
          <w:tcPr>
            <w:tcW w:w="1129" w:type="dxa"/>
            <w:shd w:val="clear" w:color="auto" w:fill="auto"/>
            <w:vAlign w:val="center"/>
          </w:tcPr>
          <w:p w14:paraId="4296F81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34B83C4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b/>
                <w:u w:val="single"/>
              </w:rPr>
              <w:t>Fullt betalda direkt emitterade kapitalinstrument</w:t>
            </w:r>
          </w:p>
          <w:p w14:paraId="1AEC88C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9.1 i i </w:t>
            </w:r>
            <w:r w:rsidRPr="00EA3026">
              <w:rPr>
                <w:rFonts w:ascii="Times New Roman" w:hAnsi="Times New Roman"/>
              </w:rPr>
              <w:t>förordning (EU) 2019/2033.</w:t>
            </w:r>
          </w:p>
          <w:p w14:paraId="7F47AA68"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Artikel 62 a och artiklarna 63 och 65 i förordning (EU) nr 575/2013.</w:t>
            </w:r>
          </w:p>
          <w:p w14:paraId="7B614480"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Den överkursfond som hör ihop med instrumentet ska inte ingå i det belopp som redovisas.</w:t>
            </w:r>
          </w:p>
        </w:tc>
      </w:tr>
      <w:tr w:rsidR="008618A0" w:rsidRPr="00EA3026" w14:paraId="4AE6C38D" w14:textId="77777777">
        <w:tblPrEx>
          <w:tblLook w:val="00A0" w:firstRow="1" w:lastRow="0" w:firstColumn="1" w:lastColumn="0" w:noHBand="0" w:noVBand="0"/>
        </w:tblPrEx>
        <w:tc>
          <w:tcPr>
            <w:tcW w:w="1129" w:type="dxa"/>
            <w:shd w:val="clear" w:color="auto" w:fill="auto"/>
            <w:vAlign w:val="center"/>
          </w:tcPr>
          <w:p w14:paraId="24BB021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354CA89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58EB859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E70AD32"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62 b och artikel 65 i förordning (EU) nr 575/2013.</w:t>
            </w:r>
          </w:p>
          <w:p w14:paraId="23B151F9"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Överkursfond har den innebörd som anges i tillämplig redovisningsstandard.</w:t>
            </w:r>
          </w:p>
          <w:p w14:paraId="64A28C21" w14:textId="77777777" w:rsidR="008618A0" w:rsidRPr="00EA3026" w:rsidRDefault="00EA3026">
            <w:pPr>
              <w:pStyle w:val="InstructionsText"/>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6D20E54D" w14:textId="77777777">
        <w:tblPrEx>
          <w:tblLook w:val="00A0" w:firstRow="1" w:lastRow="0" w:firstColumn="1" w:lastColumn="0" w:noHBand="0" w:noVBand="0"/>
        </w:tblPrEx>
        <w:tc>
          <w:tcPr>
            <w:tcW w:w="1129" w:type="dxa"/>
            <w:shd w:val="clear" w:color="auto" w:fill="auto"/>
            <w:vAlign w:val="center"/>
          </w:tcPr>
          <w:p w14:paraId="11E8D1D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BC6E1E0"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TOTALA AVDRAG FRÅN </w:t>
            </w:r>
            <w:r w:rsidRPr="00EA3026">
              <w:rPr>
                <w:rFonts w:ascii="Times New Roman" w:hAnsi="Times New Roman"/>
                <w:b/>
                <w:u w:val="single"/>
              </w:rPr>
              <w:t>SUPPLEMENTÄRKAPITAL</w:t>
            </w:r>
          </w:p>
          <w:p w14:paraId="07D40DC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66 i förordning (EU) nr 575/2013.</w:t>
            </w:r>
          </w:p>
        </w:tc>
      </w:tr>
      <w:tr w:rsidR="008618A0" w:rsidRPr="00EA3026" w14:paraId="2A977002" w14:textId="77777777">
        <w:tblPrEx>
          <w:tblLook w:val="00A0" w:firstRow="1" w:lastRow="0" w:firstColumn="1" w:lastColumn="0" w:noHBand="0" w:noVBand="0"/>
        </w:tblPrEx>
        <w:tc>
          <w:tcPr>
            <w:tcW w:w="1129" w:type="dxa"/>
            <w:shd w:val="clear" w:color="auto" w:fill="auto"/>
            <w:vAlign w:val="center"/>
          </w:tcPr>
          <w:p w14:paraId="2209B7A8"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lastRenderedPageBreak/>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9D76518"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Supplementärkapital: Andra kapitalposter, avdrag och justeringar</w:t>
            </w:r>
          </w:p>
          <w:p w14:paraId="074E4B5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ska i tillämpliga fall omfatta summan av följande poster:</w:t>
            </w:r>
          </w:p>
          <w:p w14:paraId="61AD51F3"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Övergångsjusteringar på grund av </w:t>
            </w:r>
            <w:r w:rsidRPr="00EA3026">
              <w:rPr>
                <w:rFonts w:ascii="Times New Roman" w:hAnsi="Times New Roman"/>
              </w:rPr>
              <w:t>supplementärkapitalinstrument för vilka äldre regler får fortsätta att tillämpas (artikel 483.6 och 483.7, artiklarna 484, 486, 488, 490 och 491 i förordning (EU) nr 575/2013).</w:t>
            </w:r>
          </w:p>
          <w:p w14:paraId="512DAF18"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Instrument som utgivits av dotterföretag som tas upp i supplementärkapital (a</w:t>
            </w:r>
            <w:r w:rsidRPr="00EA3026">
              <w:rPr>
                <w:rFonts w:ascii="Times New Roman" w:hAnsi="Times New Roman"/>
              </w:rPr>
              <w:t>rtiklarna 83, 87 och 88 i förordning (EU) nr 575/2013): Summan av alla belopp för kvalificerande kapitalbas i dotterföretag som ingår i det konsoliderade supplementärkapitalet, inklusive kvalificerande supplementärkapital som emitterats av ett specialföret</w:t>
            </w:r>
            <w:r w:rsidRPr="00EA3026">
              <w:rPr>
                <w:rFonts w:ascii="Times New Roman" w:hAnsi="Times New Roman"/>
              </w:rPr>
              <w:t>ag (artikel 83 i förordning (EU) nr 575/2013).</w:t>
            </w:r>
          </w:p>
          <w:p w14:paraId="60A3010F"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Övergångsjusteringar på grund av att kapitalinstrument som emitterats av dotterföretag tas upp i supplementärkapital (artikel 480 i förordning (EU) nr 575/2013): Justeringar av den kvalificerande kapitalbas </w:t>
            </w:r>
            <w:r w:rsidRPr="00EA3026">
              <w:rPr>
                <w:rFonts w:ascii="Times New Roman" w:hAnsi="Times New Roman"/>
              </w:rPr>
              <w:t>som ingår i konsoliderat supplementärkapital på grund av övergångsbestämmelser.</w:t>
            </w:r>
          </w:p>
          <w:p w14:paraId="686C9861"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supplementärkapital (artiklarna 472, 473a, 476, 477, 478 och 481 i förordning (EU) nr 575/2013): Justeringar av avdragen från supplementärkapita</w:t>
            </w:r>
            <w:r w:rsidRPr="00EA3026">
              <w:rPr>
                <w:rFonts w:ascii="Times New Roman" w:hAnsi="Times New Roman"/>
              </w:rPr>
              <w:t>l på grund av övergångsbestämmelser.</w:t>
            </w:r>
          </w:p>
          <w:p w14:paraId="291EABB7"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Avdrag från supplementärkapitalposter som överstiger supplementärkapital, som dras av från primärkapitaltillskott i enlighet med artikel 56 e i förordning (EU) nr 575/2013: Supplementärkapital får inte vara negativt, </w:t>
            </w:r>
            <w:r w:rsidRPr="00EA3026">
              <w:rPr>
                <w:rFonts w:ascii="Times New Roman" w:hAnsi="Times New Roman"/>
              </w:rPr>
              <w:t>men det är möjligt att avdragen från supplementärkapitalposter överstiger beloppet för tillgängliga supplementärkapitalposter. Om så sker representerar denna post det belopp som behövs för att det belopp som rapporteras på rad 25 ska bli noll.</w:t>
            </w:r>
          </w:p>
          <w:p w14:paraId="18AE433B"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w:t>
            </w:r>
            <w:r w:rsidRPr="00EA3026">
              <w:rPr>
                <w:rFonts w:ascii="Times New Roman" w:hAnsi="Times New Roman"/>
              </w:rPr>
              <w:t>r i eller avdrag från en supplementärkapitalpost som inte kan hänföras till någon av raderna 26–28.</w:t>
            </w:r>
          </w:p>
          <w:p w14:paraId="7055E74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Denna rad ska inte användas för att ta med kapitalposter eller avdrag som inte omfattas av förordning (EU) 2019/2033 eller förordning (EU) nr 575/2013 vid b</w:t>
            </w:r>
            <w:r w:rsidRPr="00EA3026">
              <w:rPr>
                <w:rFonts w:ascii="Times New Roman" w:hAnsi="Times New Roman"/>
              </w:rPr>
              <w:t>eräkning av kapitaltäckningsgraden.</w:t>
            </w:r>
          </w:p>
        </w:tc>
      </w:tr>
    </w:tbl>
    <w:p w14:paraId="0EB0BA19" w14:textId="77777777" w:rsidR="008618A0" w:rsidRPr="00EA3026" w:rsidRDefault="008618A0">
      <w:pPr>
        <w:ind w:left="720"/>
        <w:rPr>
          <w:rFonts w:ascii="Times New Roman" w:hAnsi="Times New Roman" w:cs="Times New Roman"/>
          <w:b/>
          <w:bCs/>
          <w:sz w:val="24"/>
        </w:rPr>
      </w:pPr>
    </w:p>
    <w:p w14:paraId="2CDFFB7E" w14:textId="77777777" w:rsidR="008618A0" w:rsidRPr="00EA3026" w:rsidRDefault="00EA3026">
      <w:pPr>
        <w:ind w:left="720"/>
        <w:rPr>
          <w:rFonts w:ascii="Times New Roman" w:hAnsi="Times New Roman" w:cs="Times New Roman"/>
          <w:b/>
          <w:bCs/>
          <w:sz w:val="24"/>
        </w:rPr>
      </w:pPr>
      <w:r w:rsidRPr="00EA3026">
        <w:rPr>
          <w:rFonts w:ascii="Times New Roman" w:hAnsi="Times New Roman"/>
          <w:b/>
          <w:sz w:val="24"/>
        </w:rPr>
        <w:t>Mall EU I CC1.03 – Sammansättning av föreskriven kapitalbas (</w:t>
      </w:r>
      <w:r w:rsidRPr="00EA3026">
        <w:tab/>
      </w:r>
      <w:r w:rsidRPr="00EA3026">
        <w:rPr>
          <w:rFonts w:ascii="Times New Roman" w:hAnsi="Times New Roman"/>
          <w:b/>
          <w:sz w:val="24"/>
        </w:rPr>
        <w:t>Gruppkapitaltest)</w:t>
      </w:r>
    </w:p>
    <w:p w14:paraId="27BFE345" w14:textId="77777777" w:rsidR="008618A0" w:rsidRPr="00EA3026" w:rsidRDefault="00EA3026">
      <w:pPr>
        <w:tabs>
          <w:tab w:val="left" w:pos="360"/>
        </w:tabs>
        <w:spacing w:before="120" w:after="120"/>
        <w:ind w:left="360" w:hanging="360"/>
        <w:jc w:val="both"/>
        <w:rPr>
          <w:rFonts w:ascii="Times New Roman" w:hAnsi="Times New Roman" w:cs="Times New Roman"/>
          <w:bCs/>
          <w:sz w:val="24"/>
        </w:rPr>
      </w:pPr>
      <w:r w:rsidRPr="00EA3026">
        <w:rPr>
          <w:rFonts w:ascii="Times New Roman" w:hAnsi="Times New Roman" w:cs="Times New Roman"/>
          <w:bCs/>
          <w:sz w:val="24"/>
        </w:rPr>
        <w:t>6.</w:t>
      </w:r>
      <w:r w:rsidRPr="00EA3026">
        <w:rPr>
          <w:rFonts w:ascii="Times New Roman" w:hAnsi="Times New Roman" w:cs="Times New Roman"/>
          <w:bCs/>
          <w:sz w:val="24"/>
        </w:rPr>
        <w:tab/>
      </w:r>
      <w:r w:rsidRPr="00EA3026">
        <w:rPr>
          <w:rFonts w:ascii="Times New Roman" w:hAnsi="Times New Roman"/>
          <w:sz w:val="24"/>
        </w:rPr>
        <w:t>Enheter som avses i artikel 8.3 i förordning (EU) 2019/2033 som omfattas av tillämpningen av samma artikel ska offentliggöra informatio</w:t>
      </w:r>
      <w:r w:rsidRPr="00EA3026">
        <w:rPr>
          <w:rFonts w:ascii="Times New Roman" w:hAnsi="Times New Roman"/>
          <w:sz w:val="24"/>
        </w:rPr>
        <w:t>n om sammansättningen av kapitalbasen i enlighet med mall EU I CC1.03 och följande instruktioner.</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618A0" w:rsidRPr="00EA3026" w14:paraId="0467C4CD" w14:textId="77777777">
        <w:tc>
          <w:tcPr>
            <w:tcW w:w="1129" w:type="dxa"/>
            <w:shd w:val="clear" w:color="auto" w:fill="D9D9D9"/>
          </w:tcPr>
          <w:p w14:paraId="077EA76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Rad</w:t>
            </w:r>
          </w:p>
        </w:tc>
        <w:tc>
          <w:tcPr>
            <w:tcW w:w="7620" w:type="dxa"/>
            <w:shd w:val="clear" w:color="auto" w:fill="D9D9D9"/>
          </w:tcPr>
          <w:p w14:paraId="20E821D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Rättsliga hänvisningar och instruktioner</w:t>
            </w:r>
          </w:p>
        </w:tc>
      </w:tr>
      <w:tr w:rsidR="008618A0" w:rsidRPr="00EA3026" w14:paraId="1BB6D0FA" w14:textId="77777777">
        <w:tc>
          <w:tcPr>
            <w:tcW w:w="1129" w:type="dxa"/>
            <w:vAlign w:val="center"/>
          </w:tcPr>
          <w:p w14:paraId="1BF591B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w:t>
            </w:r>
          </w:p>
        </w:tc>
        <w:tc>
          <w:tcPr>
            <w:tcW w:w="7620" w:type="dxa"/>
          </w:tcPr>
          <w:p w14:paraId="36E3D78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KAPITALBAS</w:t>
            </w:r>
          </w:p>
          <w:p w14:paraId="5DCFF27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0D94ACD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Ett värdepappersföretags kapitalbas ska utgöras av </w:t>
            </w:r>
            <w:r w:rsidRPr="00EA3026">
              <w:rPr>
                <w:rStyle w:val="FormatvorlageInstructionsTabelleText"/>
                <w:rFonts w:ascii="Times New Roman" w:hAnsi="Times New Roman"/>
                <w:sz w:val="22"/>
              </w:rPr>
              <w:t>summan av dess primärkapital och supplementärkapital.</w:t>
            </w:r>
          </w:p>
        </w:tc>
      </w:tr>
      <w:tr w:rsidR="008618A0" w:rsidRPr="00EA3026" w14:paraId="3601D6A9" w14:textId="77777777">
        <w:tc>
          <w:tcPr>
            <w:tcW w:w="1129" w:type="dxa"/>
            <w:vAlign w:val="center"/>
          </w:tcPr>
          <w:p w14:paraId="4F7BD4B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w:t>
            </w:r>
          </w:p>
        </w:tc>
        <w:tc>
          <w:tcPr>
            <w:tcW w:w="7620" w:type="dxa"/>
          </w:tcPr>
          <w:p w14:paraId="5C9D79A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PRIMÄRKAPITAL</w:t>
            </w:r>
          </w:p>
          <w:p w14:paraId="204FF1F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Primärkapital är summan av kärnprimärkapital och övrigt primärkapital för kapitaltäckningsändamål.</w:t>
            </w:r>
          </w:p>
        </w:tc>
      </w:tr>
      <w:tr w:rsidR="008618A0" w:rsidRPr="00EA3026" w14:paraId="4ED656BF" w14:textId="77777777">
        <w:tc>
          <w:tcPr>
            <w:tcW w:w="1129" w:type="dxa"/>
            <w:vAlign w:val="center"/>
          </w:tcPr>
          <w:p w14:paraId="7F94F3F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3</w:t>
            </w:r>
          </w:p>
        </w:tc>
        <w:tc>
          <w:tcPr>
            <w:tcW w:w="7620" w:type="dxa"/>
          </w:tcPr>
          <w:p w14:paraId="10617F5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InstructionsTabelleberschrift"/>
                <w:rFonts w:ascii="Times New Roman" w:hAnsi="Times New Roman"/>
                <w:sz w:val="22"/>
              </w:rPr>
              <w:t>KÄRNPRIMÄRKAPITAL</w:t>
            </w:r>
          </w:p>
          <w:p w14:paraId="075EF04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60343B5D" w14:textId="77777777" w:rsidR="008618A0" w:rsidRPr="00EA3026" w:rsidRDefault="00EA3026">
            <w:pPr>
              <w:spacing w:after="120"/>
              <w:jc w:val="both"/>
              <w:rPr>
                <w:rFonts w:ascii="Times New Roman" w:eastAsia="Times New Roman" w:hAnsi="Times New Roman" w:cs="Times New Roman"/>
                <w:bCs/>
                <w:szCs w:val="22"/>
              </w:rPr>
            </w:pPr>
            <w:r w:rsidRPr="00EA3026">
              <w:rPr>
                <w:rStyle w:val="FormatvorlageInstructionsTabelleText"/>
                <w:rFonts w:ascii="Times New Roman" w:hAnsi="Times New Roman"/>
                <w:sz w:val="22"/>
              </w:rPr>
              <w:t xml:space="preserve">Artikel 50 i </w:t>
            </w:r>
            <w:r w:rsidRPr="00EA3026">
              <w:rPr>
                <w:rStyle w:val="FormatvorlageInstructionsTabelleText"/>
                <w:rFonts w:ascii="Times New Roman" w:hAnsi="Times New Roman"/>
                <w:sz w:val="22"/>
              </w:rPr>
              <w:t>förordning (EU) nr 575/2013.</w:t>
            </w:r>
          </w:p>
        </w:tc>
      </w:tr>
      <w:tr w:rsidR="008618A0" w:rsidRPr="00EA3026" w14:paraId="7DDD9E3D" w14:textId="77777777">
        <w:tc>
          <w:tcPr>
            <w:tcW w:w="1129" w:type="dxa"/>
            <w:vAlign w:val="center"/>
          </w:tcPr>
          <w:p w14:paraId="0FCAAFD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lastRenderedPageBreak/>
              <w:t>4</w:t>
            </w:r>
          </w:p>
        </w:tc>
        <w:tc>
          <w:tcPr>
            <w:tcW w:w="7620" w:type="dxa"/>
          </w:tcPr>
          <w:p w14:paraId="6DC76A8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Fullt betalda kapitalinstrument</w:t>
            </w:r>
          </w:p>
          <w:p w14:paraId="164F483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7A931BCE"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26.1 a och artiklarna 27–31 i förordning (EU) nr 575/2013.</w:t>
            </w:r>
          </w:p>
          <w:p w14:paraId="789EB142"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Kapitalinstrument i ömsesidiga bolag, kooperativa sammanslutningar eller jämförbar</w:t>
            </w:r>
            <w:r w:rsidRPr="00EA3026">
              <w:rPr>
                <w:rStyle w:val="FormatvorlageInstructionsTabelleText"/>
                <w:rFonts w:ascii="Times New Roman" w:hAnsi="Times New Roman"/>
                <w:sz w:val="22"/>
              </w:rPr>
              <w:t>a institut (artiklarna 27 och 29 i förordning (EU) nr 575/2013) ska inkluderas.</w:t>
            </w:r>
          </w:p>
          <w:p w14:paraId="7B0321E4"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Den överkursfond som hör ihop med instrumenten ska inte inkluderas.</w:t>
            </w:r>
          </w:p>
          <w:p w14:paraId="42381DD7" w14:textId="77777777" w:rsidR="008618A0" w:rsidRPr="00EA3026" w:rsidRDefault="00EA3026">
            <w:pPr>
              <w:pStyle w:val="InstructionsText"/>
            </w:pPr>
            <w:r w:rsidRPr="00EA3026">
              <w:rPr>
                <w:rStyle w:val="FormatvorlageInstructionsTabelleText"/>
                <w:rFonts w:ascii="Times New Roman" w:hAnsi="Times New Roman"/>
                <w:sz w:val="22"/>
              </w:rPr>
              <w:t>Kapitalinstrument som tecknats av offentliga myndigheter i nödsituationer ska inkluderas om samtliga villkor</w:t>
            </w:r>
            <w:r w:rsidRPr="00EA3026">
              <w:rPr>
                <w:rStyle w:val="FormatvorlageInstructionsTabelleText"/>
                <w:rFonts w:ascii="Times New Roman" w:hAnsi="Times New Roman"/>
                <w:sz w:val="22"/>
              </w:rPr>
              <w:t xml:space="preserve"> i artikel 31 i förordning nr 575/2013 är uppfyllda.</w:t>
            </w:r>
          </w:p>
        </w:tc>
      </w:tr>
      <w:tr w:rsidR="008618A0" w:rsidRPr="00EA3026" w14:paraId="426CCFB0" w14:textId="77777777">
        <w:tc>
          <w:tcPr>
            <w:tcW w:w="1129" w:type="dxa"/>
            <w:vAlign w:val="center"/>
          </w:tcPr>
          <w:p w14:paraId="3A0C81E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5</w:t>
            </w:r>
          </w:p>
        </w:tc>
        <w:tc>
          <w:tcPr>
            <w:tcW w:w="7620" w:type="dxa"/>
          </w:tcPr>
          <w:p w14:paraId="0CE0123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0B27DAF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1309044A"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Artikel 26.1 b i förordning (EU) nr 575/2013.</w:t>
            </w:r>
          </w:p>
          <w:p w14:paraId="5BF63F55"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Överkursfond har den innebörd som anges i tillämplig redovisningsstandard.</w:t>
            </w:r>
          </w:p>
          <w:p w14:paraId="10E87F6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173947A9" w14:textId="77777777">
        <w:tc>
          <w:tcPr>
            <w:tcW w:w="1129" w:type="dxa"/>
            <w:vAlign w:val="center"/>
          </w:tcPr>
          <w:p w14:paraId="6368660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6</w:t>
            </w:r>
          </w:p>
        </w:tc>
        <w:tc>
          <w:tcPr>
            <w:tcW w:w="7620" w:type="dxa"/>
          </w:tcPr>
          <w:p w14:paraId="371F2B9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Balanserade vinstmedel</w:t>
            </w:r>
          </w:p>
          <w:p w14:paraId="41D8A5F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2F63A13D" w14:textId="77777777" w:rsidR="008618A0" w:rsidRPr="00EA3026" w:rsidRDefault="00EA3026">
            <w:pPr>
              <w:spacing w:after="120"/>
              <w:jc w:val="both"/>
              <w:rPr>
                <w:rFonts w:ascii="Times New Roman" w:eastAsia="Times New Roman" w:hAnsi="Times New Roman" w:cs="Times New Roman"/>
                <w:bCs/>
                <w:szCs w:val="22"/>
              </w:rPr>
            </w:pPr>
            <w:r w:rsidRPr="00EA3026">
              <w:rPr>
                <w:rStyle w:val="FormatvorlageInstructionsTabelleText"/>
                <w:rFonts w:ascii="Times New Roman" w:hAnsi="Times New Roman"/>
                <w:sz w:val="22"/>
              </w:rPr>
              <w:t>Artikel 26.1 c i förordning (EU) nr 575/2013.</w:t>
            </w:r>
          </w:p>
          <w:p w14:paraId="1C2D76F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I balanserade vinstmedel ingår balanserade vin</w:t>
            </w:r>
            <w:r w:rsidRPr="00EA3026">
              <w:rPr>
                <w:rStyle w:val="FormatvorlageInstructionsTabelleText"/>
                <w:rFonts w:ascii="Times New Roman" w:hAnsi="Times New Roman"/>
                <w:sz w:val="22"/>
              </w:rPr>
              <w:t>stmedel från det föregående året och godtagbara delårs- eller årsöverskott.</w:t>
            </w:r>
          </w:p>
        </w:tc>
      </w:tr>
      <w:tr w:rsidR="008618A0" w:rsidRPr="00EA3026" w14:paraId="50D382E7" w14:textId="77777777">
        <w:tc>
          <w:tcPr>
            <w:tcW w:w="1129" w:type="dxa"/>
            <w:vAlign w:val="center"/>
          </w:tcPr>
          <w:p w14:paraId="0B7EC9C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7</w:t>
            </w:r>
          </w:p>
        </w:tc>
        <w:tc>
          <w:tcPr>
            <w:tcW w:w="7620" w:type="dxa"/>
          </w:tcPr>
          <w:p w14:paraId="1A0FB7A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Balanserade vinstmedel från föregående år</w:t>
            </w:r>
          </w:p>
          <w:p w14:paraId="68054BC5" w14:textId="77777777" w:rsidR="008618A0" w:rsidRPr="00EA3026" w:rsidRDefault="00EA3026">
            <w:pPr>
              <w:spacing w:after="120"/>
              <w:jc w:val="both"/>
              <w:rPr>
                <w:rFonts w:ascii="Times New Roman" w:hAnsi="Times New Roman" w:cs="Times New Roman"/>
                <w:szCs w:val="22"/>
              </w:rPr>
            </w:pPr>
            <w:r w:rsidRPr="00EA3026">
              <w:rPr>
                <w:rFonts w:ascii="Times New Roman" w:hAnsi="Times New Roman"/>
              </w:rPr>
              <w:t>Artikel 4.1.123 och artikel 26.1 c i förordning (EU) nr 575/2013.</w:t>
            </w:r>
          </w:p>
          <w:p w14:paraId="2E38B70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 xml:space="preserve">I artikel 4.1.123 i förordning (EU) nr 575/2013 definieras balanserade vinstmedel som </w:t>
            </w:r>
            <w:r w:rsidRPr="00EA3026">
              <w:rPr>
                <w:rFonts w:ascii="Times New Roman" w:hAnsi="Times New Roman"/>
              </w:rPr>
              <w:t>”</w:t>
            </w:r>
            <w:r w:rsidRPr="00EA3026">
              <w:rPr>
                <w:rFonts w:ascii="Times New Roman" w:hAnsi="Times New Roman"/>
              </w:rPr>
              <w:t>balanserad vinst och förlust från föregående räkenskapsår i enlighet med tillämpliga redovisningsrama</w:t>
            </w:r>
            <w:r w:rsidRPr="00EA3026">
              <w:rPr>
                <w:rFonts w:ascii="Times New Roman" w:hAnsi="Times New Roman"/>
              </w:rPr>
              <w:t>r”</w:t>
            </w:r>
            <w:r w:rsidRPr="00EA3026">
              <w:rPr>
                <w:rFonts w:ascii="Times New Roman" w:hAnsi="Times New Roman"/>
              </w:rPr>
              <w:t>.</w:t>
            </w:r>
          </w:p>
        </w:tc>
      </w:tr>
      <w:tr w:rsidR="008618A0" w:rsidRPr="00EA3026" w14:paraId="709C7FA3" w14:textId="77777777">
        <w:tc>
          <w:tcPr>
            <w:tcW w:w="1129" w:type="dxa"/>
            <w:vAlign w:val="center"/>
          </w:tcPr>
          <w:p w14:paraId="5D51CA8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8</w:t>
            </w:r>
          </w:p>
        </w:tc>
        <w:tc>
          <w:tcPr>
            <w:tcW w:w="7620" w:type="dxa"/>
          </w:tcPr>
          <w:p w14:paraId="25D4A658"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Vinst eller förlust som godtas</w:t>
            </w:r>
          </w:p>
          <w:p w14:paraId="69FE4200" w14:textId="77777777" w:rsidR="008618A0" w:rsidRPr="00EA3026" w:rsidRDefault="00EA3026">
            <w:pPr>
              <w:spacing w:after="120"/>
              <w:jc w:val="both"/>
              <w:rPr>
                <w:rFonts w:ascii="Times New Roman" w:eastAsia="Times New Roman" w:hAnsi="Times New Roman" w:cs="Times New Roman"/>
                <w:szCs w:val="22"/>
              </w:rPr>
            </w:pPr>
            <w:r w:rsidRPr="00EA3026">
              <w:rPr>
                <w:rFonts w:ascii="Times New Roman" w:hAnsi="Times New Roman"/>
              </w:rPr>
              <w:t xml:space="preserve">Artikel 4.1.121, artikel 26.2 </w:t>
            </w:r>
            <w:r w:rsidRPr="00EA3026">
              <w:rPr>
                <w:rFonts w:ascii="Times New Roman" w:hAnsi="Times New Roman"/>
              </w:rPr>
              <w:t>och artikel 36.1 a i förordning (EU) nr 575/2013.</w:t>
            </w:r>
          </w:p>
          <w:p w14:paraId="5A36F781" w14:textId="77777777" w:rsidR="008618A0" w:rsidRPr="00EA3026" w:rsidRDefault="00EA3026">
            <w:pPr>
              <w:spacing w:after="120"/>
              <w:jc w:val="both"/>
              <w:rPr>
                <w:rFonts w:ascii="Times New Roman" w:eastAsia="Times New Roman" w:hAnsi="Times New Roman" w:cs="Times New Roman"/>
                <w:szCs w:val="22"/>
              </w:rPr>
            </w:pPr>
            <w:r w:rsidRPr="00EA3026">
              <w:rPr>
                <w:rFonts w:ascii="Times New Roman" w:hAnsi="Times New Roman"/>
              </w:rPr>
              <w:t>Enligt artikel 26.2 i förordning (EU) nr 575/2013 får delårs- eller årsöverskott räknas in i balanserade vinstmedel, efter förhandstillstånd från behörig myndighet och om vissa villkor är uppfyllda.</w:t>
            </w:r>
          </w:p>
          <w:p w14:paraId="09C1F33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 xml:space="preserve">Å </w:t>
            </w:r>
            <w:r w:rsidRPr="00EA3026">
              <w:rPr>
                <w:rFonts w:ascii="Times New Roman" w:hAnsi="Times New Roman"/>
              </w:rPr>
              <w:t>andra sidan ska förluster dras av från kärnprimärkapitalet i enlighet med artikel 36.1 a i förordning (EU) nr 575/2013.</w:t>
            </w:r>
          </w:p>
        </w:tc>
      </w:tr>
      <w:tr w:rsidR="008618A0" w:rsidRPr="00EA3026" w14:paraId="17746E71" w14:textId="77777777">
        <w:tc>
          <w:tcPr>
            <w:tcW w:w="1129" w:type="dxa"/>
            <w:vAlign w:val="center"/>
          </w:tcPr>
          <w:p w14:paraId="3ED9775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9</w:t>
            </w:r>
          </w:p>
        </w:tc>
        <w:tc>
          <w:tcPr>
            <w:tcW w:w="7620" w:type="dxa"/>
          </w:tcPr>
          <w:p w14:paraId="37C335D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Ackumulerat övrigt totalresultat</w:t>
            </w:r>
          </w:p>
          <w:p w14:paraId="56F65E8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4494B1C3" w14:textId="77777777" w:rsidR="008618A0" w:rsidRPr="00EA3026" w:rsidRDefault="00EA3026">
            <w:pPr>
              <w:spacing w:after="120"/>
              <w:jc w:val="both"/>
              <w:rPr>
                <w:rFonts w:ascii="Times New Roman" w:hAnsi="Times New Roman" w:cs="Times New Roman"/>
                <w:bCs/>
                <w:szCs w:val="22"/>
              </w:rPr>
            </w:pPr>
            <w:r w:rsidRPr="00EA3026">
              <w:rPr>
                <w:rStyle w:val="FormatvorlageInstructionsTabelleText"/>
                <w:rFonts w:ascii="Times New Roman" w:hAnsi="Times New Roman"/>
                <w:sz w:val="22"/>
              </w:rPr>
              <w:t>Artikel 26.1 d i förordning (EU) nr 575/2013.</w:t>
            </w:r>
          </w:p>
        </w:tc>
      </w:tr>
      <w:tr w:rsidR="008618A0" w:rsidRPr="00EA3026" w14:paraId="184B9EAB" w14:textId="77777777">
        <w:tc>
          <w:tcPr>
            <w:tcW w:w="1129" w:type="dxa"/>
            <w:vAlign w:val="center"/>
          </w:tcPr>
          <w:p w14:paraId="68BDAE6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10</w:t>
            </w:r>
          </w:p>
        </w:tc>
        <w:tc>
          <w:tcPr>
            <w:tcW w:w="7620" w:type="dxa"/>
          </w:tcPr>
          <w:p w14:paraId="4FD89EF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Övriga </w:t>
            </w:r>
            <w:r w:rsidRPr="00EA3026">
              <w:rPr>
                <w:rFonts w:ascii="Times New Roman" w:hAnsi="Times New Roman"/>
                <w:b/>
                <w:u w:val="single"/>
              </w:rPr>
              <w:t>reserver</w:t>
            </w:r>
          </w:p>
          <w:p w14:paraId="4456C1F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4F5B2972"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Artikel 4.1.117 och artikel 26.1 e i förordning (EU) nr 575/2013.</w:t>
            </w:r>
          </w:p>
          <w:p w14:paraId="7751CDA8"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Beloppet ska redovisas efter avdrag för de eventuella skattepålagor som kan förutses när beräkningen görs.</w:t>
            </w:r>
          </w:p>
        </w:tc>
      </w:tr>
      <w:tr w:rsidR="008618A0" w:rsidRPr="00EA3026" w14:paraId="1F2D139D" w14:textId="77777777">
        <w:tc>
          <w:tcPr>
            <w:tcW w:w="1129" w:type="dxa"/>
            <w:vAlign w:val="center"/>
          </w:tcPr>
          <w:p w14:paraId="2812CAAF"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11</w:t>
            </w:r>
          </w:p>
        </w:tc>
        <w:tc>
          <w:tcPr>
            <w:tcW w:w="7620" w:type="dxa"/>
          </w:tcPr>
          <w:p w14:paraId="73F656C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Justeringar av </w:t>
            </w:r>
            <w:r w:rsidRPr="00EA3026">
              <w:rPr>
                <w:rFonts w:ascii="Times New Roman" w:hAnsi="Times New Roman"/>
                <w:b/>
                <w:u w:val="single"/>
              </w:rPr>
              <w:t>kärnprimärkapital på grund av försiktighetsmarginaler</w:t>
            </w:r>
          </w:p>
          <w:p w14:paraId="4C6B8A1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49CD1E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Artiklarna 32–35 i förordning (EU) nr 575/2013.</w:t>
            </w:r>
          </w:p>
        </w:tc>
      </w:tr>
      <w:tr w:rsidR="008618A0" w:rsidRPr="00EA3026" w14:paraId="76BE8275" w14:textId="77777777">
        <w:tc>
          <w:tcPr>
            <w:tcW w:w="1129" w:type="dxa"/>
            <w:vAlign w:val="center"/>
          </w:tcPr>
          <w:p w14:paraId="1F562436" w14:textId="77777777" w:rsidR="008618A0" w:rsidRPr="00EA3026" w:rsidRDefault="00EA3026">
            <w:pPr>
              <w:spacing w:after="120"/>
              <w:jc w:val="both"/>
              <w:rPr>
                <w:rFonts w:ascii="Times New Roman" w:hAnsi="Times New Roman" w:cs="Times New Roman"/>
                <w:color w:val="000000"/>
                <w:szCs w:val="22"/>
              </w:rPr>
            </w:pPr>
            <w:r w:rsidRPr="00EA3026">
              <w:rPr>
                <w:rFonts w:ascii="Times New Roman" w:hAnsi="Times New Roman"/>
                <w:color w:val="000000"/>
              </w:rPr>
              <w:t>12</w:t>
            </w:r>
          </w:p>
        </w:tc>
        <w:tc>
          <w:tcPr>
            <w:tcW w:w="7620" w:type="dxa"/>
          </w:tcPr>
          <w:p w14:paraId="46B7EB9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Övriga fonder</w:t>
            </w:r>
          </w:p>
          <w:p w14:paraId="18D677C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9.4 i förordning (EU) 2019/2033.</w:t>
            </w:r>
          </w:p>
        </w:tc>
      </w:tr>
      <w:tr w:rsidR="008618A0" w:rsidRPr="00EA3026" w14:paraId="39531546" w14:textId="77777777">
        <w:tc>
          <w:tcPr>
            <w:tcW w:w="1129" w:type="dxa"/>
            <w:vAlign w:val="center"/>
          </w:tcPr>
          <w:p w14:paraId="059FA8E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13</w:t>
            </w:r>
          </w:p>
        </w:tc>
        <w:tc>
          <w:tcPr>
            <w:tcW w:w="7620" w:type="dxa"/>
          </w:tcPr>
          <w:p w14:paraId="592097F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TOTALA AVDRAG FRÅN </w:t>
            </w:r>
            <w:r w:rsidRPr="00EA3026">
              <w:rPr>
                <w:rFonts w:ascii="Times New Roman" w:hAnsi="Times New Roman"/>
                <w:b/>
                <w:u w:val="single"/>
              </w:rPr>
              <w:t>KÄRNPRIMÄRKAPITAL</w:t>
            </w:r>
          </w:p>
          <w:p w14:paraId="5273A37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Totalsumman av raderna 14–23 ska redovisas.</w:t>
            </w:r>
          </w:p>
        </w:tc>
      </w:tr>
      <w:tr w:rsidR="008618A0" w:rsidRPr="00EA3026" w14:paraId="14757EAE" w14:textId="77777777">
        <w:tc>
          <w:tcPr>
            <w:tcW w:w="1129" w:type="dxa"/>
            <w:vAlign w:val="center"/>
          </w:tcPr>
          <w:p w14:paraId="436400B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14</w:t>
            </w:r>
          </w:p>
        </w:tc>
        <w:tc>
          <w:tcPr>
            <w:tcW w:w="7620" w:type="dxa"/>
            <w:shd w:val="clear" w:color="auto" w:fill="auto"/>
          </w:tcPr>
          <w:p w14:paraId="6E7D121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Egna kärnprimärkapitalinstrument</w:t>
            </w:r>
          </w:p>
          <w:p w14:paraId="4F2D29B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12A56403"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36.1 f och artikel 42 i förordning (EU) nr 575/2013.</w:t>
            </w:r>
          </w:p>
          <w:p w14:paraId="6DFA9277"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Det egna kärnprimärkapital som det rapporterande </w:t>
            </w:r>
            <w:r w:rsidRPr="00EA3026">
              <w:rPr>
                <w:rStyle w:val="FormatvorlageInstructionsTabelleText"/>
                <w:rFonts w:ascii="Times New Roman" w:hAnsi="Times New Roman"/>
                <w:sz w:val="22"/>
              </w:rPr>
              <w:t>institutet eller den rapporterande gruppen innehar på rapporteringsdatum. Omfattas av undantagen i artikel 42 i förordning (EU) nr 575/2013.</w:t>
            </w:r>
          </w:p>
          <w:p w14:paraId="40D1D518"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Aktieinnehav som ingår i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ej godtagbara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 xml:space="preserve"> ska inte rapporteras på denna rad.</w:t>
            </w:r>
          </w:p>
          <w:p w14:paraId="4CE8C8EB"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Den överkursfond som </w:t>
            </w:r>
            <w:r w:rsidRPr="00EA3026">
              <w:rPr>
                <w:rStyle w:val="FormatvorlageInstructionsTabelleText"/>
                <w:rFonts w:ascii="Times New Roman" w:hAnsi="Times New Roman"/>
                <w:sz w:val="22"/>
              </w:rPr>
              <w:t>hör ihop med aktieinnehavet ska ingå i det redovisade beloppet.</w:t>
            </w:r>
          </w:p>
          <w:p w14:paraId="1970B8FD" w14:textId="77777777" w:rsidR="008618A0" w:rsidRPr="00EA3026" w:rsidRDefault="008618A0">
            <w:pPr>
              <w:pStyle w:val="InstructionsText"/>
            </w:pPr>
          </w:p>
        </w:tc>
      </w:tr>
      <w:tr w:rsidR="008618A0" w:rsidRPr="00EA3026" w14:paraId="723F2B25" w14:textId="77777777">
        <w:tc>
          <w:tcPr>
            <w:tcW w:w="1129" w:type="dxa"/>
            <w:vAlign w:val="center"/>
          </w:tcPr>
          <w:p w14:paraId="7A899899"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B0190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Förluster för innevarande räkenskapsår</w:t>
            </w:r>
          </w:p>
          <w:p w14:paraId="7DBDB7C0"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a i förordning (EU) nr 575/2013.</w:t>
            </w:r>
          </w:p>
        </w:tc>
      </w:tr>
      <w:tr w:rsidR="008618A0" w:rsidRPr="00EA3026" w14:paraId="54CAF337" w14:textId="77777777">
        <w:tc>
          <w:tcPr>
            <w:tcW w:w="1129" w:type="dxa"/>
            <w:vAlign w:val="center"/>
          </w:tcPr>
          <w:p w14:paraId="7C6727F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74525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Goodwill</w:t>
            </w:r>
          </w:p>
          <w:p w14:paraId="3587D54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370EFB4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Artikel 4.1.113, artikel 36.1 b och </w:t>
            </w:r>
            <w:r w:rsidRPr="00EA3026">
              <w:rPr>
                <w:rStyle w:val="FormatvorlageInstructionsTabelleText"/>
                <w:rFonts w:ascii="Times New Roman" w:hAnsi="Times New Roman"/>
                <w:sz w:val="22"/>
              </w:rPr>
              <w:t>artikel 37 i förordning (EU) nr 575/2013.</w:t>
            </w:r>
          </w:p>
        </w:tc>
      </w:tr>
      <w:tr w:rsidR="008618A0" w:rsidRPr="00EA3026" w14:paraId="4E669590" w14:textId="77777777">
        <w:tc>
          <w:tcPr>
            <w:tcW w:w="1129" w:type="dxa"/>
            <w:vAlign w:val="center"/>
          </w:tcPr>
          <w:p w14:paraId="08E15AB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61571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Övriga immateriella tillgångar</w:t>
            </w:r>
          </w:p>
          <w:p w14:paraId="595649C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E58EA8C"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Artikel 4.1.115, artikel 36.1 b och artikel 37 a i förordning (EU) nr 575/2013.</w:t>
            </w:r>
          </w:p>
          <w:p w14:paraId="142AF0D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Övriga immateriella tillgångar är </w:t>
            </w:r>
            <w:r w:rsidRPr="00EA3026">
              <w:rPr>
                <w:rStyle w:val="FormatvorlageInstructionsTabelleText"/>
                <w:rFonts w:ascii="Times New Roman" w:hAnsi="Times New Roman"/>
                <w:sz w:val="22"/>
              </w:rPr>
              <w:t>immateriella tillgångar enligt tillämplig redovisningsstandard minus goodwill, även denna enligt tillämplig redovisningsstandard.</w:t>
            </w:r>
          </w:p>
        </w:tc>
      </w:tr>
      <w:tr w:rsidR="008618A0" w:rsidRPr="00EA3026" w14:paraId="6CBC65A1" w14:textId="77777777">
        <w:tc>
          <w:tcPr>
            <w:tcW w:w="1129" w:type="dxa"/>
            <w:vAlign w:val="center"/>
          </w:tcPr>
          <w:p w14:paraId="5084A242"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519BD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Uppskjutna skattefordringar som är beroende av framtida lönsamhet och som inte uppstår till följd av temporära skillna</w:t>
            </w:r>
            <w:r w:rsidRPr="00EA3026">
              <w:rPr>
                <w:rFonts w:ascii="Times New Roman" w:hAnsi="Times New Roman"/>
                <w:b/>
                <w:u w:val="single"/>
              </w:rPr>
              <w:t>der minus tillhörande skatteskulder</w:t>
            </w:r>
          </w:p>
          <w:p w14:paraId="54D5379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a i förordning (EU) 2019/2033.</w:t>
            </w:r>
          </w:p>
          <w:p w14:paraId="12C3631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c i förordning (EU) nr 575/2013.</w:t>
            </w:r>
          </w:p>
        </w:tc>
      </w:tr>
      <w:tr w:rsidR="008618A0" w:rsidRPr="00EA3026" w14:paraId="1A90044B" w14:textId="77777777">
        <w:tc>
          <w:tcPr>
            <w:tcW w:w="1129" w:type="dxa"/>
            <w:vAlign w:val="center"/>
          </w:tcPr>
          <w:p w14:paraId="1293C54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031A8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Kvalificerat innehav utanför den finansiella sektorn som överstiger 15 % av kapitalbasen</w:t>
            </w:r>
          </w:p>
          <w:p w14:paraId="741D13D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10.1 a i </w:t>
            </w:r>
            <w:r w:rsidRPr="00EA3026">
              <w:rPr>
                <w:rFonts w:ascii="Times New Roman" w:hAnsi="Times New Roman"/>
              </w:rPr>
              <w:t>förordning (EU) 2019/2033.</w:t>
            </w:r>
          </w:p>
        </w:tc>
      </w:tr>
      <w:tr w:rsidR="008618A0" w:rsidRPr="00EA3026" w14:paraId="017CEF0D" w14:textId="77777777">
        <w:tc>
          <w:tcPr>
            <w:tcW w:w="1129" w:type="dxa"/>
            <w:vAlign w:val="center"/>
          </w:tcPr>
          <w:p w14:paraId="2201603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D566A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Totala kvalificerade innehav i andra företag än enheter i den finansiella sektorn som överstiger 60 % av deras kapitalbas</w:t>
            </w:r>
          </w:p>
          <w:p w14:paraId="7ACF65A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10.1 b i förordning (EU) 2019/2033.</w:t>
            </w:r>
          </w:p>
        </w:tc>
      </w:tr>
      <w:tr w:rsidR="008618A0" w:rsidRPr="00EA3026" w14:paraId="52AC470E" w14:textId="77777777">
        <w:tc>
          <w:tcPr>
            <w:tcW w:w="1129" w:type="dxa"/>
            <w:vAlign w:val="center"/>
          </w:tcPr>
          <w:p w14:paraId="30EB7E98"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6461E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Kärnprimärkapitalinstrument i enheter i den fin</w:t>
            </w:r>
            <w:r w:rsidRPr="00EA3026">
              <w:rPr>
                <w:rFonts w:ascii="Times New Roman" w:hAnsi="Times New Roman"/>
                <w:b/>
                <w:u w:val="single"/>
              </w:rPr>
              <w:t>ansiella sektorn i vilka institutet inte har ett väsentligt innehav</w:t>
            </w:r>
          </w:p>
          <w:p w14:paraId="070C308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79AF3C6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h i förordning (EU) nr 575/2013.</w:t>
            </w:r>
          </w:p>
        </w:tc>
      </w:tr>
      <w:tr w:rsidR="008618A0" w:rsidRPr="00EA3026" w14:paraId="7362B3F3" w14:textId="77777777">
        <w:tc>
          <w:tcPr>
            <w:tcW w:w="1129" w:type="dxa"/>
            <w:vAlign w:val="center"/>
          </w:tcPr>
          <w:p w14:paraId="362EBAA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BA847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Tillgångar i förmånsbestämda pensionsplaner</w:t>
            </w:r>
          </w:p>
          <w:p w14:paraId="437871C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9.2 b i förordning (EU) </w:t>
            </w:r>
            <w:r w:rsidRPr="00EA3026">
              <w:rPr>
                <w:rFonts w:ascii="Times New Roman" w:hAnsi="Times New Roman"/>
              </w:rPr>
              <w:t>2019/2033.</w:t>
            </w:r>
          </w:p>
          <w:p w14:paraId="7EB1504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36.1 e i förordning (EU) nr 575/2013.</w:t>
            </w:r>
          </w:p>
        </w:tc>
      </w:tr>
      <w:tr w:rsidR="008618A0" w:rsidRPr="00EA3026" w14:paraId="6DB06976" w14:textId="77777777">
        <w:tc>
          <w:tcPr>
            <w:tcW w:w="1129" w:type="dxa"/>
            <w:vAlign w:val="center"/>
          </w:tcPr>
          <w:p w14:paraId="2C9E559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color w:val="000000"/>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46FD8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Andra avdrag</w:t>
            </w:r>
          </w:p>
          <w:p w14:paraId="2B7975F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Summan av alla andra avdrag som anges i artikel 36.1 i förordning (EU) nr 575/2013.</w:t>
            </w:r>
          </w:p>
        </w:tc>
      </w:tr>
      <w:tr w:rsidR="008618A0" w:rsidRPr="00EA3026" w14:paraId="6C77DA1C" w14:textId="77777777">
        <w:tc>
          <w:tcPr>
            <w:tcW w:w="1129" w:type="dxa"/>
          </w:tcPr>
          <w:p w14:paraId="23CACC0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602F60D"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Kärnprimärkapital: Andra kapitalposter, avdrag och justeringar</w:t>
            </w:r>
          </w:p>
          <w:p w14:paraId="2AA616B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ska i tillämpliga</w:t>
            </w:r>
            <w:r w:rsidRPr="00EA3026">
              <w:rPr>
                <w:rFonts w:ascii="Times New Roman" w:hAnsi="Times New Roman"/>
              </w:rPr>
              <w:t xml:space="preserve"> fall omfatta summan av följande poster:</w:t>
            </w:r>
          </w:p>
          <w:p w14:paraId="40C1EA42"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kärnprimärkapitalinstrument för vilka äldre regler får fortsätta att tillämpas (artikel 483.1, 483.2 och 483.3 samt artiklarna 484–487 i förordning (EU) nr 575/2013).</w:t>
            </w:r>
          </w:p>
          <w:p w14:paraId="6A44AAE9"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Andra </w:t>
            </w:r>
            <w:r w:rsidRPr="00EA3026">
              <w:rPr>
                <w:rFonts w:ascii="Times New Roman" w:hAnsi="Times New Roman"/>
              </w:rPr>
              <w:t>övergångsjusteringar av kärnprimärkapital (artiklarna 469–478 och 481 i förordning (EU) nr 575/2013): Justeringar av avdragen från kärnprimärkapital på grund av övergångsbestämmelser.</w:t>
            </w:r>
          </w:p>
          <w:p w14:paraId="675D8AAD" w14:textId="77777777" w:rsidR="008618A0" w:rsidRPr="00EA3026" w:rsidRDefault="00EA3026">
            <w:pPr>
              <w:spacing w:after="120"/>
              <w:ind w:left="360" w:hanging="360"/>
              <w:contextualSpacing/>
              <w:jc w:val="both"/>
              <w:rPr>
                <w:rFonts w:ascii="Times New Roman" w:eastAsia="Times New Roman" w:hAnsi="Times New Roman"/>
                <w:b/>
                <w:bCs/>
                <w:u w:val="single"/>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Andra delar i eller avdrag från en kärnprimärkapitalpost som inte kan </w:t>
            </w:r>
            <w:r w:rsidRPr="00EA3026">
              <w:rPr>
                <w:rFonts w:ascii="Times New Roman" w:hAnsi="Times New Roman"/>
              </w:rPr>
              <w:t>hänföras till någon av raderna 4–23.</w:t>
            </w:r>
          </w:p>
          <w:p w14:paraId="0A9E0D7B"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Denna rad ska inte användas för att ta med kapitalposter eller avdrag som inte omfattas av förordning (EU) 2019/2033 eller förordning (EU) nr 575/2013 vid beräkning av kapitaltäckningsgraden.</w:t>
            </w:r>
          </w:p>
        </w:tc>
      </w:tr>
      <w:tr w:rsidR="008618A0" w:rsidRPr="00EA3026" w14:paraId="72C61CF4" w14:textId="77777777">
        <w:tc>
          <w:tcPr>
            <w:tcW w:w="1129" w:type="dxa"/>
          </w:tcPr>
          <w:p w14:paraId="4CF7476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57A1A9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ÖVRIGT PRIMÄRKAPITAL FÖ</w:t>
            </w:r>
            <w:r w:rsidRPr="00EA3026">
              <w:rPr>
                <w:rFonts w:ascii="Times New Roman" w:hAnsi="Times New Roman"/>
                <w:b/>
                <w:u w:val="single"/>
              </w:rPr>
              <w:t>R KAPITALTÄCKNINGSÄNDAMÅL</w:t>
            </w:r>
          </w:p>
          <w:p w14:paraId="785B288F"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5C2FF301" w14:textId="77777777" w:rsidR="008618A0" w:rsidRPr="00EA3026" w:rsidRDefault="00EA3026">
            <w:pPr>
              <w:spacing w:after="120"/>
              <w:jc w:val="both"/>
              <w:rPr>
                <w:rFonts w:ascii="Times New Roman" w:hAnsi="Times New Roman" w:cs="Times New Roman"/>
                <w:szCs w:val="22"/>
              </w:rPr>
            </w:pPr>
            <w:r w:rsidRPr="00EA3026">
              <w:rPr>
                <w:rFonts w:ascii="Times New Roman" w:hAnsi="Times New Roman"/>
              </w:rPr>
              <w:t>Artikel 61 i förordning (EU) nr 575/2013.</w:t>
            </w:r>
          </w:p>
          <w:p w14:paraId="368A4D5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Totalsumman av raderna 26–28 och rad 32 ska offentliggöras.</w:t>
            </w:r>
          </w:p>
        </w:tc>
      </w:tr>
      <w:tr w:rsidR="008618A0" w:rsidRPr="00EA3026" w14:paraId="7EE74BBB" w14:textId="77777777">
        <w:tc>
          <w:tcPr>
            <w:tcW w:w="1129" w:type="dxa"/>
          </w:tcPr>
          <w:p w14:paraId="3551C3B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CEF05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Fullt betalda kapitalinstrument</w:t>
            </w:r>
          </w:p>
          <w:p w14:paraId="49E6384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9.1 i i förordning (EU) </w:t>
            </w:r>
            <w:r w:rsidRPr="00EA3026">
              <w:rPr>
                <w:rFonts w:ascii="Times New Roman" w:hAnsi="Times New Roman"/>
              </w:rPr>
              <w:t>2019/2033.</w:t>
            </w:r>
          </w:p>
          <w:p w14:paraId="2009E85E"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51 a och artiklarna 52, 53 och 54 i förordning (EU) nr 575/2013.</w:t>
            </w:r>
          </w:p>
          <w:p w14:paraId="3724193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Den överkursfond som hör ihop med instrumentet ska inte ingå i det belopp som redovisas.</w:t>
            </w:r>
          </w:p>
        </w:tc>
      </w:tr>
      <w:tr w:rsidR="008618A0" w:rsidRPr="00EA3026" w14:paraId="3F4A6997" w14:textId="77777777">
        <w:tc>
          <w:tcPr>
            <w:tcW w:w="1129" w:type="dxa"/>
          </w:tcPr>
          <w:p w14:paraId="0A514A7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A2385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4958CA5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6E56FF9C"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51 b i förordni</w:t>
            </w:r>
            <w:r w:rsidRPr="00EA3026">
              <w:rPr>
                <w:rStyle w:val="FormatvorlageInstructionsTabelleText"/>
                <w:rFonts w:ascii="Times New Roman" w:hAnsi="Times New Roman"/>
                <w:sz w:val="22"/>
              </w:rPr>
              <w:t>ng (EU) nr 575/2013.</w:t>
            </w:r>
          </w:p>
          <w:p w14:paraId="1A98F09F"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Överkursfond har den innebörd som anges i tillämplig redovisningsstandard.</w:t>
            </w:r>
          </w:p>
          <w:p w14:paraId="7853BB6E"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395E3497" w14:textId="77777777">
        <w:tc>
          <w:tcPr>
            <w:tcW w:w="1129" w:type="dxa"/>
          </w:tcPr>
          <w:p w14:paraId="24C19EC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F5C2E4"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TOTALA AVDRAG FRÅN ÖVRIGT PRIMÄRKAPITAL FÖR </w:t>
            </w:r>
            <w:r w:rsidRPr="00EA3026">
              <w:rPr>
                <w:rFonts w:ascii="Times New Roman" w:hAnsi="Times New Roman"/>
                <w:b/>
                <w:u w:val="single"/>
              </w:rPr>
              <w:t>KAPITALTÄCKNINGSÄNDAMÅL</w:t>
            </w:r>
          </w:p>
          <w:p w14:paraId="194262F2" w14:textId="77777777" w:rsidR="008618A0" w:rsidRPr="00EA3026" w:rsidRDefault="00EA3026">
            <w:pPr>
              <w:spacing w:before="60" w:after="60"/>
              <w:rPr>
                <w:rFonts w:ascii="Times New Roman" w:hAnsi="Times New Roman" w:cs="Times New Roman"/>
                <w:szCs w:val="22"/>
              </w:rPr>
            </w:pPr>
            <w:r w:rsidRPr="00EA3026">
              <w:rPr>
                <w:rFonts w:ascii="Times New Roman" w:hAnsi="Times New Roman"/>
              </w:rPr>
              <w:t>Artikel 56 i förordning (EU) nr 575/2013.</w:t>
            </w:r>
          </w:p>
          <w:p w14:paraId="22DAA7A5"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Totalsumman av raderna 29–31 ska offentliggöras.</w:t>
            </w:r>
          </w:p>
        </w:tc>
      </w:tr>
      <w:tr w:rsidR="008618A0" w:rsidRPr="00EA3026" w14:paraId="69DD2EAE" w14:textId="77777777">
        <w:tc>
          <w:tcPr>
            <w:tcW w:w="1129" w:type="dxa"/>
          </w:tcPr>
          <w:p w14:paraId="6E1461EA"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FD3EC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Egna primärkapitaltillskottinstrument</w:t>
            </w:r>
          </w:p>
          <w:p w14:paraId="745E1A0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59187DAA"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 xml:space="preserve">Artikel 52.1 b, artikel 56 a och artikel 57 i </w:t>
            </w:r>
            <w:r w:rsidRPr="00EA3026">
              <w:rPr>
                <w:rStyle w:val="FormatvorlageInstructionsTabelleText"/>
                <w:rFonts w:ascii="Times New Roman" w:hAnsi="Times New Roman"/>
                <w:sz w:val="22"/>
              </w:rPr>
              <w:t>förordning (EU) nr 575/2013.</w:t>
            </w:r>
          </w:p>
          <w:p w14:paraId="1B99D2C7"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Egna primärkapitaltillskottinstrument som värdepappersföretaget innehar på rapporteringsdatum. Omfattas av undantagen i artikel 57 i förordning (EU) nr 575/2013.</w:t>
            </w:r>
          </w:p>
          <w:p w14:paraId="7737E4F8"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Den överkursfond som hör ihop med aktieinnehavet ska ingå i det r</w:t>
            </w:r>
            <w:r w:rsidRPr="00EA3026">
              <w:rPr>
                <w:rStyle w:val="FormatvorlageInstructionsTabelleText"/>
                <w:rFonts w:ascii="Times New Roman" w:hAnsi="Times New Roman"/>
                <w:sz w:val="22"/>
              </w:rPr>
              <w:t>edovisade beloppet.</w:t>
            </w:r>
          </w:p>
          <w:p w14:paraId="365805A4" w14:textId="77777777" w:rsidR="008618A0" w:rsidRPr="00EA3026" w:rsidRDefault="008618A0">
            <w:pPr>
              <w:pStyle w:val="InstructionsText"/>
            </w:pPr>
          </w:p>
        </w:tc>
      </w:tr>
      <w:tr w:rsidR="008618A0" w:rsidRPr="00EA3026" w14:paraId="0CE22F75" w14:textId="77777777">
        <w:tc>
          <w:tcPr>
            <w:tcW w:w="1129" w:type="dxa"/>
          </w:tcPr>
          <w:p w14:paraId="6554BBB3"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B1B0D8"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Primärkapitaltillskottsinstrument i enheter i den finansiella sektorn i vilka institutet inte har ett väsentligt innehav</w:t>
            </w:r>
          </w:p>
          <w:p w14:paraId="01DA411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2D00A5B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56 c i förordning (EU) nr 575/2013.</w:t>
            </w:r>
          </w:p>
        </w:tc>
      </w:tr>
      <w:tr w:rsidR="008618A0" w:rsidRPr="00EA3026" w14:paraId="29114F26" w14:textId="77777777">
        <w:tc>
          <w:tcPr>
            <w:tcW w:w="1129" w:type="dxa"/>
          </w:tcPr>
          <w:p w14:paraId="5C435B0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F08900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 </w:t>
            </w:r>
            <w:r w:rsidRPr="00EA3026">
              <w:rPr>
                <w:rFonts w:ascii="Times New Roman" w:hAnsi="Times New Roman"/>
                <w:b/>
                <w:u w:val="single"/>
              </w:rPr>
              <w:t>Övriga avdrag</w:t>
            </w:r>
          </w:p>
          <w:p w14:paraId="268A775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Summan av alla andra avdrag i enlighet med artikel 56 i förordning (EU) nr 575/2013, med undantag för avdrag i enlighet med artikel 56 d i förordning (EU) nr 575/2013, som inte ingår i någon av raderna 0340 eller 0380 ovan.</w:t>
            </w:r>
          </w:p>
        </w:tc>
      </w:tr>
      <w:tr w:rsidR="008618A0" w:rsidRPr="00EA3026" w14:paraId="664F793F" w14:textId="77777777">
        <w:tc>
          <w:tcPr>
            <w:tcW w:w="1129" w:type="dxa"/>
          </w:tcPr>
          <w:p w14:paraId="1816390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7967B51"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Primärkapitaltillskott Andra kapitalposter, avdrag och justeringar</w:t>
            </w:r>
          </w:p>
          <w:p w14:paraId="530587A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ska i tillämpliga fall omfatta summan av följande poster:</w:t>
            </w:r>
          </w:p>
          <w:p w14:paraId="1630DD9E"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Övergångsjusteringar på grund av primärkapitaltillskottsinstrument för vilka äldre regler får fortsätta att tillämpas (</w:t>
            </w:r>
            <w:r w:rsidRPr="00EA3026">
              <w:rPr>
                <w:rFonts w:ascii="Times New Roman" w:hAnsi="Times New Roman"/>
              </w:rPr>
              <w:t>artikel 483.4 och 483.5 samt artiklarna 484–487, artiklarna 489 och 491 i förordning (EU) nr 575/2013).</w:t>
            </w:r>
          </w:p>
          <w:p w14:paraId="6BB2BDBA"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primärkapitaltillskott (artiklarna 472, 473a, 474, 475, 478 och 481 i förordning (EU) nr 575/2013): Justeringar av avdra</w:t>
            </w:r>
            <w:r w:rsidRPr="00EA3026">
              <w:rPr>
                <w:rFonts w:ascii="Times New Roman" w:hAnsi="Times New Roman"/>
              </w:rPr>
              <w:t>g på grund av övergångsbestämmelser.</w:t>
            </w:r>
          </w:p>
          <w:p w14:paraId="432585C7"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Avdrag från primärkapitaltillskottposter som överstiger primärkapitaltillskott, som dras av från kärnprimärkapitalet i enlighet med artikel 36.1 j i förordning (EU) nr 575/2013: </w:t>
            </w:r>
            <w:r w:rsidRPr="00EA3026">
              <w:rPr>
                <w:rFonts w:ascii="Times New Roman" w:hAnsi="Times New Roman"/>
              </w:rPr>
              <w:t>Primärkapitaltillskott får inte vara negativt, men det är möjligt att avdragen från primärkapitaltillskottsposter överstiger beloppet för tillgängliga primärkapitaltillskottsposter. Om så sker representerar denna post det belopp som behövs för att det belo</w:t>
            </w:r>
            <w:r w:rsidRPr="00EA3026">
              <w:rPr>
                <w:rFonts w:ascii="Times New Roman" w:hAnsi="Times New Roman"/>
              </w:rPr>
              <w:t>pp som rapporterats i rad 0300 ska bli noll och motsvarar det inverterade belopp som dragits av från primärkapitaltillskottsposter som överstiger inkluderat primärkapitaltillskott, som redovisas bland övriga avdrag i rad 23.</w:t>
            </w:r>
          </w:p>
          <w:p w14:paraId="1189EADA"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delar i primärkapitalti</w:t>
            </w:r>
            <w:r w:rsidRPr="00EA3026">
              <w:rPr>
                <w:rFonts w:ascii="Times New Roman" w:hAnsi="Times New Roman"/>
              </w:rPr>
              <w:t>llskott eller avdrag från delar i primärkapitaltillskott som inte kan hänföras till någon av raderna 26–31.</w:t>
            </w:r>
          </w:p>
          <w:p w14:paraId="73037293"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Denna rad ska inte användas för att ta med kapitalposter eller avdrag som inte omfattas av förordning (EU) 2019/2033 eller förordning (EU) nr 575/20</w:t>
            </w:r>
            <w:r w:rsidRPr="00EA3026">
              <w:rPr>
                <w:rFonts w:ascii="Times New Roman" w:hAnsi="Times New Roman"/>
              </w:rPr>
              <w:t>13 vid beräkning av kapitaltäckningsgraden.</w:t>
            </w:r>
          </w:p>
        </w:tc>
      </w:tr>
      <w:tr w:rsidR="008618A0" w:rsidRPr="00EA3026" w14:paraId="1214E30C" w14:textId="77777777">
        <w:tc>
          <w:tcPr>
            <w:tcW w:w="1129" w:type="dxa"/>
          </w:tcPr>
          <w:p w14:paraId="11EB4BD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ACA3F4C"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SUPPLEMENTÄRKAPITAL</w:t>
            </w:r>
          </w:p>
          <w:p w14:paraId="0BEAEA3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förordning (EU) 2019/2033.</w:t>
            </w:r>
          </w:p>
          <w:p w14:paraId="4E278B15" w14:textId="77777777" w:rsidR="008618A0" w:rsidRPr="00EA3026" w:rsidRDefault="00EA3026">
            <w:pPr>
              <w:spacing w:after="120"/>
              <w:jc w:val="both"/>
              <w:rPr>
                <w:rStyle w:val="FormatvorlageInstructionsTabelleText"/>
                <w:rFonts w:ascii="Times New Roman" w:hAnsi="Times New Roman"/>
                <w:sz w:val="22"/>
                <w:szCs w:val="22"/>
              </w:rPr>
            </w:pPr>
            <w:r w:rsidRPr="00EA3026">
              <w:rPr>
                <w:rStyle w:val="FormatvorlageInstructionsTabelleText"/>
                <w:rFonts w:ascii="Times New Roman" w:hAnsi="Times New Roman"/>
                <w:sz w:val="22"/>
              </w:rPr>
              <w:t>Artikel 71 i förordning (EU) nr 575/2013.</w:t>
            </w:r>
          </w:p>
          <w:p w14:paraId="5E0F7553" w14:textId="77777777" w:rsidR="008618A0" w:rsidRPr="00EA3026" w:rsidRDefault="00EA3026">
            <w:pPr>
              <w:pStyle w:val="CommentText"/>
              <w:rPr>
                <w:sz w:val="22"/>
                <w:szCs w:val="22"/>
              </w:rPr>
            </w:pPr>
            <w:r w:rsidRPr="00EA3026">
              <w:rPr>
                <w:rFonts w:ascii="Times New Roman" w:hAnsi="Times New Roman"/>
                <w:sz w:val="22"/>
              </w:rPr>
              <w:t xml:space="preserve">Totalsumman av raderna 34–36 och rad 39 ska </w:t>
            </w:r>
            <w:r w:rsidRPr="00EA3026">
              <w:rPr>
                <w:rStyle w:val="FormatvorlageInstructionsTabelleText"/>
                <w:rFonts w:ascii="Times New Roman" w:eastAsiaTheme="majorEastAsia" w:hAnsi="Times New Roman"/>
                <w:sz w:val="22"/>
              </w:rPr>
              <w:t>redovisas</w:t>
            </w:r>
            <w:r w:rsidRPr="00EA3026">
              <w:rPr>
                <w:rFonts w:ascii="Times New Roman" w:hAnsi="Times New Roman"/>
                <w:sz w:val="22"/>
              </w:rPr>
              <w:t>.</w:t>
            </w:r>
          </w:p>
        </w:tc>
      </w:tr>
      <w:tr w:rsidR="008618A0" w:rsidRPr="00EA3026" w14:paraId="07C42CA2" w14:textId="77777777">
        <w:tc>
          <w:tcPr>
            <w:tcW w:w="1129" w:type="dxa"/>
          </w:tcPr>
          <w:p w14:paraId="4656FA6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D23B3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xml:space="preserve">Fullt betalda direkt emitterade </w:t>
            </w:r>
            <w:r w:rsidRPr="00EA3026">
              <w:rPr>
                <w:rFonts w:ascii="Times New Roman" w:hAnsi="Times New Roman"/>
                <w:b/>
                <w:u w:val="single"/>
              </w:rPr>
              <w:t>kapitalinstrument</w:t>
            </w:r>
          </w:p>
          <w:p w14:paraId="493633A6"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(EU) 2019/2033.</w:t>
            </w:r>
          </w:p>
          <w:p w14:paraId="3F684783" w14:textId="77777777" w:rsidR="008618A0" w:rsidRPr="00EA3026" w:rsidRDefault="00EA3026">
            <w:pPr>
              <w:pStyle w:val="InstructionsText"/>
              <w:rPr>
                <w:rStyle w:val="FormatvorlageInstructionsTabelleText"/>
                <w:rFonts w:ascii="Times New Roman" w:eastAsiaTheme="minorHAnsi" w:hAnsi="Times New Roman"/>
                <w:bCs/>
                <w:sz w:val="22"/>
              </w:rPr>
            </w:pPr>
            <w:r w:rsidRPr="00EA3026">
              <w:rPr>
                <w:rStyle w:val="FormatvorlageInstructionsTabelleText"/>
                <w:rFonts w:ascii="Times New Roman" w:hAnsi="Times New Roman"/>
                <w:sz w:val="22"/>
              </w:rPr>
              <w:t>Artikel 62 a och artiklarna 63 och 65 i förordning (EU) nr 575/2013.</w:t>
            </w:r>
          </w:p>
          <w:p w14:paraId="1E8C4F1F"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Style w:val="FormatvorlageInstructionsTabelleText"/>
                <w:rFonts w:ascii="Times New Roman" w:hAnsi="Times New Roman"/>
                <w:sz w:val="22"/>
              </w:rPr>
              <w:t>Den överkursfond som hör ihop med instrumentet ska inte ingå i det belopp som redovisas.</w:t>
            </w:r>
          </w:p>
        </w:tc>
      </w:tr>
      <w:tr w:rsidR="008618A0" w:rsidRPr="00EA3026" w14:paraId="58060027" w14:textId="77777777">
        <w:tc>
          <w:tcPr>
            <w:tcW w:w="1129" w:type="dxa"/>
          </w:tcPr>
          <w:p w14:paraId="0BF10A90"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2EE34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Överkursfond</w:t>
            </w:r>
          </w:p>
          <w:p w14:paraId="56D1A74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 xml:space="preserve">Artikel 9.1 i i </w:t>
            </w:r>
            <w:r w:rsidRPr="00EA3026">
              <w:rPr>
                <w:rFonts w:ascii="Times New Roman" w:hAnsi="Times New Roman"/>
              </w:rPr>
              <w:t>förordning (EU) 2019/2033.</w:t>
            </w:r>
          </w:p>
          <w:p w14:paraId="440C41FD"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62 b och artikel 65 i förordning (EU) nr 575/2013.</w:t>
            </w:r>
          </w:p>
          <w:p w14:paraId="254C5AE8"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Överkursfond har den innebörd som anges i tillämplig redovisningsstandard.</w:t>
            </w:r>
          </w:p>
          <w:p w14:paraId="7D484181" w14:textId="77777777" w:rsidR="008618A0" w:rsidRPr="00EA3026" w:rsidRDefault="00EA3026">
            <w:pPr>
              <w:pStyle w:val="InstructionsText"/>
            </w:pPr>
            <w:r w:rsidRPr="00EA3026">
              <w:rPr>
                <w:rStyle w:val="FormatvorlageInstructionsTabelleText"/>
                <w:rFonts w:ascii="Times New Roman" w:hAnsi="Times New Roman"/>
                <w:sz w:val="22"/>
              </w:rPr>
              <w:t xml:space="preserve">I denna post ska den del av beloppet offentliggöras som rör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fullt betalda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w:t>
            </w:r>
          </w:p>
        </w:tc>
      </w:tr>
      <w:tr w:rsidR="008618A0" w:rsidRPr="00EA3026" w14:paraId="25A3FEE5" w14:textId="77777777">
        <w:tc>
          <w:tcPr>
            <w:tcW w:w="1129" w:type="dxa"/>
          </w:tcPr>
          <w:p w14:paraId="7940AF9B"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9DCC89"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TOTALA AVDRAG FRÅN SUPPLEMENTÄRKAPITAL</w:t>
            </w:r>
          </w:p>
          <w:p w14:paraId="5DBC8E17"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66 i förordning (EU) nr 575/2013.</w:t>
            </w:r>
          </w:p>
        </w:tc>
      </w:tr>
      <w:tr w:rsidR="008618A0" w:rsidRPr="00EA3026" w14:paraId="05540271" w14:textId="77777777">
        <w:tc>
          <w:tcPr>
            <w:tcW w:w="1129" w:type="dxa"/>
          </w:tcPr>
          <w:p w14:paraId="1F76584E"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267C42"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Egna supplementärkapitalinstrument</w:t>
            </w:r>
          </w:p>
          <w:p w14:paraId="5179B43C"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9.1 i i förordning (E</w:t>
            </w:r>
            <w:r w:rsidRPr="00EA3026">
              <w:rPr>
                <w:rFonts w:ascii="Times New Roman" w:hAnsi="Times New Roman"/>
              </w:rPr>
              <w:t>U) 2019/2033.</w:t>
            </w:r>
          </w:p>
          <w:p w14:paraId="45044DD8"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Artikel 63 bi, artikel 66 a och artikel 67 i förordning (EU) nr 575/2013.</w:t>
            </w:r>
          </w:p>
          <w:p w14:paraId="512B2E76"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Egna supplementärkapitalinstrument som det rapporterande institutet eller den rapporterande gruppen innehar på rapporteringsdatum. Omfattas av undantagen i </w:t>
            </w:r>
            <w:r w:rsidRPr="00EA3026">
              <w:rPr>
                <w:rStyle w:val="FormatvorlageInstructionsTabelleText"/>
                <w:rFonts w:ascii="Times New Roman" w:hAnsi="Times New Roman"/>
                <w:sz w:val="22"/>
              </w:rPr>
              <w:t>artikel 67 i förordning (EU) nr 575/2013.</w:t>
            </w:r>
          </w:p>
          <w:p w14:paraId="00A23A4A" w14:textId="77777777" w:rsidR="008618A0" w:rsidRPr="00EA3026" w:rsidRDefault="00EA3026">
            <w:pPr>
              <w:pStyle w:val="InstructionsText"/>
              <w:rPr>
                <w:rStyle w:val="FormatvorlageInstructionsTabelleText"/>
                <w:rFonts w:ascii="Times New Roman" w:hAnsi="Times New Roman"/>
                <w:sz w:val="22"/>
              </w:rPr>
            </w:pPr>
            <w:r w:rsidRPr="00EA3026">
              <w:rPr>
                <w:rStyle w:val="FormatvorlageInstructionsTabelleText"/>
                <w:rFonts w:ascii="Times New Roman" w:hAnsi="Times New Roman"/>
                <w:sz w:val="22"/>
              </w:rPr>
              <w:t xml:space="preserve">Aktieinnehav som ingår i </w:t>
            </w:r>
            <w:r w:rsidRPr="00EA3026">
              <w:rPr>
                <w:rStyle w:val="FormatvorlageInstructionsTabelleText"/>
                <w:rFonts w:ascii="Times New Roman" w:hAnsi="Times New Roman"/>
                <w:sz w:val="22"/>
              </w:rPr>
              <w:t>”</w:t>
            </w:r>
            <w:r w:rsidRPr="00EA3026">
              <w:rPr>
                <w:rStyle w:val="FormatvorlageInstructionsTabelleText"/>
                <w:rFonts w:ascii="Times New Roman" w:hAnsi="Times New Roman"/>
                <w:sz w:val="22"/>
              </w:rPr>
              <w:t>ej godtagbara kapitalinstrumen</w:t>
            </w:r>
            <w:r w:rsidRPr="00EA3026">
              <w:rPr>
                <w:rStyle w:val="FormatvorlageInstructionsTabelleText"/>
                <w:rFonts w:ascii="Times New Roman" w:hAnsi="Times New Roman"/>
                <w:sz w:val="22"/>
              </w:rPr>
              <w:t>t”</w:t>
            </w:r>
            <w:r w:rsidRPr="00EA3026">
              <w:rPr>
                <w:rStyle w:val="FormatvorlageInstructionsTabelleText"/>
                <w:rFonts w:ascii="Times New Roman" w:hAnsi="Times New Roman"/>
                <w:sz w:val="22"/>
              </w:rPr>
              <w:t xml:space="preserve"> ska inte redovisas på denna rad.</w:t>
            </w:r>
          </w:p>
          <w:p w14:paraId="6AA2DF0E" w14:textId="77777777" w:rsidR="008618A0" w:rsidRPr="00EA3026" w:rsidRDefault="00EA3026">
            <w:pPr>
              <w:pStyle w:val="InstructionsText"/>
            </w:pPr>
            <w:r w:rsidRPr="00EA3026">
              <w:rPr>
                <w:rStyle w:val="FormatvorlageInstructionsTabelleText"/>
                <w:rFonts w:ascii="Times New Roman" w:hAnsi="Times New Roman"/>
                <w:sz w:val="22"/>
              </w:rPr>
              <w:t>Den överkursfond som hör ihop med aktieinnehavet ska ingå i det redovisade beloppet.</w:t>
            </w:r>
          </w:p>
        </w:tc>
      </w:tr>
      <w:tr w:rsidR="008618A0" w:rsidRPr="00EA3026" w14:paraId="7D0F828A" w14:textId="77777777">
        <w:tc>
          <w:tcPr>
            <w:tcW w:w="1129" w:type="dxa"/>
          </w:tcPr>
          <w:p w14:paraId="02EE6CA4"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CA7CEA"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 Supplementärkapitalinstrument</w:t>
            </w:r>
            <w:r w:rsidRPr="00EA3026">
              <w:rPr>
                <w:rFonts w:ascii="Times New Roman" w:hAnsi="Times New Roman"/>
                <w:b/>
                <w:u w:val="single"/>
              </w:rPr>
              <w:t xml:space="preserve"> i enheter i den finansiella sektorn i vilka institutet inte har ett väsentligt innehav</w:t>
            </w:r>
          </w:p>
          <w:p w14:paraId="6626CC5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Artikel 9.2 c i förordning (EU) 2019/2033.</w:t>
            </w:r>
          </w:p>
          <w:p w14:paraId="797AF4D5"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Artikel 66 c i förordning (EU) nr 575/2013.</w:t>
            </w:r>
          </w:p>
        </w:tc>
      </w:tr>
      <w:tr w:rsidR="008618A0" w:rsidRPr="00EA3026" w14:paraId="0EC76ECE" w14:textId="77777777">
        <w:tc>
          <w:tcPr>
            <w:tcW w:w="1129" w:type="dxa"/>
            <w:tcBorders>
              <w:bottom w:val="single" w:sz="4" w:space="0" w:color="auto"/>
            </w:tcBorders>
          </w:tcPr>
          <w:p w14:paraId="570FEF61"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95F30D6"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b/>
                <w:u w:val="single"/>
              </w:rPr>
              <w:t>Supplementärkapital: Andra kapitalposter, avdrag och justeringar</w:t>
            </w:r>
          </w:p>
          <w:p w14:paraId="73E137FD" w14:textId="77777777" w:rsidR="008618A0" w:rsidRPr="00EA3026" w:rsidRDefault="00EA3026">
            <w:pPr>
              <w:spacing w:after="120"/>
              <w:jc w:val="both"/>
              <w:rPr>
                <w:rFonts w:ascii="Times New Roman" w:eastAsia="Times New Roman" w:hAnsi="Times New Roman" w:cs="Times New Roman"/>
                <w:bCs/>
                <w:szCs w:val="22"/>
              </w:rPr>
            </w:pPr>
            <w:r w:rsidRPr="00EA3026">
              <w:rPr>
                <w:rFonts w:ascii="Times New Roman" w:hAnsi="Times New Roman"/>
              </w:rPr>
              <w:t>Denna rad sk</w:t>
            </w:r>
            <w:r w:rsidRPr="00EA3026">
              <w:rPr>
                <w:rFonts w:ascii="Times New Roman" w:hAnsi="Times New Roman"/>
              </w:rPr>
              <w:t>a i tillämpliga fall omfatta summan av följande poster:</w:t>
            </w:r>
          </w:p>
          <w:p w14:paraId="222DD23C"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 xml:space="preserve">Övergångsjusteringar på grund av supplementärkapitalinstrument för vilka äldre regler får fortsätta att tillämpas (artikel 483.6 och 483.7, artiklarna 484, 486, 488, 490 och 491 i </w:t>
            </w:r>
            <w:r w:rsidRPr="00EA3026">
              <w:rPr>
                <w:rFonts w:ascii="Times New Roman" w:hAnsi="Times New Roman"/>
              </w:rPr>
              <w:t>förordning (EU) nr 575/2013).</w:t>
            </w:r>
          </w:p>
          <w:p w14:paraId="52E6FBDF"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övergångsjusteringar av supplementärkapital (artiklarna 472, 473a, 476, 477, 478 och 481 i förordning (EU) nr 575/2013): Justeringar av avdragen från supplementärkapital på grund av övergångsbestämmelser.</w:t>
            </w:r>
          </w:p>
          <w:p w14:paraId="02597D12"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Avdrag från</w:t>
            </w:r>
            <w:r w:rsidRPr="00EA3026">
              <w:rPr>
                <w:rFonts w:ascii="Times New Roman" w:hAnsi="Times New Roman"/>
              </w:rPr>
              <w:t xml:space="preserve"> supplementärkapitalposter som överstiger supplementärkapital, som dras av från primärkapitaltillskott i enlighet med artikel 56 e i förordning (EU) nr 575/2013: Supplementärkapital får inte vara negativt, men det är möjligt att avdragen från supplementärk</w:t>
            </w:r>
            <w:r w:rsidRPr="00EA3026">
              <w:rPr>
                <w:rFonts w:ascii="Times New Roman" w:hAnsi="Times New Roman"/>
              </w:rPr>
              <w:t>apitalposter överstiger beloppet för tillgängliga supplementärkapitalposter. Om så sker representerar denna post det belopp som behövs för att det belopp som rapporteras på rad 33 ska bli noll.</w:t>
            </w:r>
          </w:p>
          <w:p w14:paraId="3E1FD3F6" w14:textId="77777777" w:rsidR="008618A0" w:rsidRPr="00EA3026" w:rsidRDefault="00EA3026">
            <w:pPr>
              <w:spacing w:after="120"/>
              <w:ind w:left="360" w:hanging="360"/>
              <w:contextualSpacing/>
              <w:jc w:val="both"/>
              <w:rPr>
                <w:rFonts w:ascii="Times New Roman" w:eastAsia="Times New Roman" w:hAnsi="Times New Roman"/>
                <w:bCs/>
              </w:rPr>
            </w:pPr>
            <w:r w:rsidRPr="00EA3026">
              <w:rPr>
                <w:rFonts w:ascii="Times New Roman" w:eastAsia="Times New Roman" w:hAnsi="Times New Roman" w:cs="Times New Roman"/>
                <w:bCs/>
                <w:szCs w:val="22"/>
              </w:rPr>
              <w:t>—</w:t>
            </w:r>
            <w:r w:rsidRPr="00EA3026">
              <w:rPr>
                <w:rFonts w:ascii="Times New Roman" w:eastAsia="Times New Roman" w:hAnsi="Times New Roman" w:cs="Times New Roman"/>
                <w:bCs/>
                <w:szCs w:val="22"/>
              </w:rPr>
              <w:tab/>
            </w:r>
            <w:r w:rsidRPr="00EA3026">
              <w:rPr>
                <w:rFonts w:ascii="Times New Roman" w:hAnsi="Times New Roman"/>
              </w:rPr>
              <w:t>Andra delar i eller avdrag från en supplementärkapitalpost s</w:t>
            </w:r>
            <w:r w:rsidRPr="00EA3026">
              <w:rPr>
                <w:rFonts w:ascii="Times New Roman" w:hAnsi="Times New Roman"/>
              </w:rPr>
              <w:t>om inte kan hänföras till någon av raderna 34–38.</w:t>
            </w:r>
          </w:p>
          <w:p w14:paraId="66135597" w14:textId="77777777" w:rsidR="008618A0" w:rsidRPr="00EA3026" w:rsidRDefault="00EA3026">
            <w:pPr>
              <w:spacing w:after="120"/>
              <w:jc w:val="both"/>
              <w:rPr>
                <w:rFonts w:ascii="Times New Roman" w:eastAsia="Times New Roman" w:hAnsi="Times New Roman" w:cs="Times New Roman"/>
                <w:b/>
                <w:bCs/>
                <w:szCs w:val="22"/>
                <w:u w:val="single"/>
              </w:rPr>
            </w:pPr>
            <w:r w:rsidRPr="00EA3026">
              <w:rPr>
                <w:rFonts w:ascii="Times New Roman" w:hAnsi="Times New Roman"/>
              </w:rPr>
              <w:t xml:space="preserve">Denna rad ska inte användas för att ta med kapitalposter eller avdrag som inte omfattas av förordning (EU) 2019/2033 eller förordning (EU) nr 575/2013 vid beräkning av </w:t>
            </w:r>
            <w:r w:rsidRPr="00EA3026">
              <w:rPr>
                <w:rFonts w:ascii="Times New Roman" w:hAnsi="Times New Roman"/>
              </w:rPr>
              <w:t>kapitaltäckningsgraden.</w:t>
            </w:r>
          </w:p>
        </w:tc>
      </w:tr>
    </w:tbl>
    <w:p w14:paraId="13F28C5C" w14:textId="77777777" w:rsidR="008618A0" w:rsidRPr="00EA3026" w:rsidRDefault="008618A0">
      <w:pPr>
        <w:rPr>
          <w:rFonts w:ascii="Times New Roman" w:hAnsi="Times New Roman" w:cs="Times New Roman"/>
          <w:b/>
          <w:bCs/>
          <w:sz w:val="24"/>
        </w:rPr>
      </w:pPr>
    </w:p>
    <w:p w14:paraId="5AFF6FC0" w14:textId="77777777" w:rsidR="008618A0" w:rsidRPr="00EA3026" w:rsidRDefault="00EA3026">
      <w:pPr>
        <w:rPr>
          <w:rFonts w:ascii="Times New Roman" w:hAnsi="Times New Roman" w:cs="Times New Roman"/>
          <w:b/>
          <w:bCs/>
          <w:sz w:val="24"/>
        </w:rPr>
      </w:pPr>
      <w:r w:rsidRPr="00EA3026">
        <w:rPr>
          <w:rFonts w:ascii="Times New Roman" w:hAnsi="Times New Roman"/>
          <w:b/>
          <w:sz w:val="24"/>
        </w:rPr>
        <w:t>Mall EU I CC2 – Avstämning av föreskriven kapitalbas mot balansräkningen i den reviderade årsredovisningen</w:t>
      </w:r>
    </w:p>
    <w:p w14:paraId="146EF9C9"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7.</w:t>
      </w:r>
      <w:r w:rsidRPr="00EA3026">
        <w:rPr>
          <w:rFonts w:ascii="Times New Roman" w:hAnsi="Times New Roman" w:cs="Times New Roman"/>
          <w:bCs/>
          <w:sz w:val="24"/>
        </w:rPr>
        <w:tab/>
      </w:r>
      <w:r w:rsidRPr="00EA3026">
        <w:rPr>
          <w:rFonts w:ascii="Times New Roman" w:hAnsi="Times New Roman"/>
          <w:sz w:val="24"/>
        </w:rPr>
        <w:t xml:space="preserve">Värdepappersföretag ska tillämpa instruktionerna i denna bilaga för att fylla i mall EU I CC2 som återfinns i bilaga VI </w:t>
      </w:r>
      <w:r w:rsidRPr="00EA3026">
        <w:rPr>
          <w:rFonts w:ascii="Times New Roman" w:hAnsi="Times New Roman"/>
          <w:sz w:val="24"/>
        </w:rPr>
        <w:t>i enlighet med artikel 49.1 a i förordning (EU) 2019/2033.</w:t>
      </w:r>
    </w:p>
    <w:p w14:paraId="0071501E"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8.</w:t>
      </w:r>
      <w:r w:rsidRPr="00EA3026">
        <w:rPr>
          <w:rFonts w:ascii="Times New Roman" w:hAnsi="Times New Roman" w:cs="Times New Roman"/>
          <w:bCs/>
          <w:sz w:val="24"/>
        </w:rPr>
        <w:tab/>
      </w:r>
      <w:r w:rsidRPr="00EA3026">
        <w:rPr>
          <w:rFonts w:ascii="Times New Roman" w:hAnsi="Times New Roman"/>
          <w:sz w:val="24"/>
        </w:rPr>
        <w:t xml:space="preserve">Värdepappersföretagen ska redovisa den balansräkning som ingår i deras reviderade årsredovisning. De finansiella rapporterna ska vara den reviderade årsredovisning som används för överföring av </w:t>
      </w:r>
      <w:r w:rsidRPr="00EA3026">
        <w:rPr>
          <w:rFonts w:ascii="Times New Roman" w:hAnsi="Times New Roman"/>
          <w:sz w:val="24"/>
        </w:rPr>
        <w:t>information vid årets slut.</w:t>
      </w:r>
    </w:p>
    <w:p w14:paraId="161B35F0"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9.</w:t>
      </w:r>
      <w:r w:rsidRPr="00EA3026">
        <w:rPr>
          <w:rFonts w:ascii="Times New Roman" w:hAnsi="Times New Roman" w:cs="Times New Roman"/>
          <w:bCs/>
          <w:sz w:val="24"/>
        </w:rPr>
        <w:tab/>
      </w:r>
      <w:r w:rsidRPr="00EA3026">
        <w:rPr>
          <w:rFonts w:ascii="Times New Roman" w:hAnsi="Times New Roman"/>
          <w:sz w:val="24"/>
        </w:rPr>
        <w:t>Raderna i mallen är flexibla och ska redovisas av värdepappersföretagen i linje med deras årsredovisning. Posterna i kapitalbasen i den reviderade årsredovisningen ska innefatta samtliga poster som är komponenter i, eller dra</w:t>
      </w:r>
      <w:r w:rsidRPr="00EA3026">
        <w:rPr>
          <w:rFonts w:ascii="Times New Roman" w:hAnsi="Times New Roman"/>
          <w:sz w:val="24"/>
        </w:rPr>
        <w:t>s av från, föreskriven kapitalbas, däribland eget kapital, skulder eller andra poster i balansräkningen som påverkar den föreskrivna kapitalbasen, som immateriella tillgångar, goodwill eller uppskjutna skattefordringar. Värdepappersföretagen ska utöka post</w:t>
      </w:r>
      <w:r w:rsidRPr="00EA3026">
        <w:rPr>
          <w:rFonts w:ascii="Times New Roman" w:hAnsi="Times New Roman"/>
          <w:sz w:val="24"/>
        </w:rPr>
        <w:t>erna för kapitalbasen i balansräkningen efter behov för att säkerställa att alla komponenter som ingår i sammanställningen i mallen för offentliggörande av information om kapitalbasen (mall EU I CC1) visas separat. Värdepappersföretagen ska endast utöka de</w:t>
      </w:r>
      <w:r w:rsidRPr="00EA3026">
        <w:rPr>
          <w:rFonts w:ascii="Times New Roman" w:hAnsi="Times New Roman"/>
          <w:sz w:val="24"/>
        </w:rPr>
        <w:t>lar i balansräkningen till den detaljnivå som behövs för att härleda de komponenter som krävs enligt mall EU I CC1. Redovisningen ska vara proportionerlig mot komplexiteten i värdepappersföretagets balansräkning.</w:t>
      </w:r>
    </w:p>
    <w:p w14:paraId="2CF10405"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10.</w:t>
      </w:r>
      <w:r w:rsidRPr="00EA3026">
        <w:rPr>
          <w:rFonts w:ascii="Times New Roman" w:hAnsi="Times New Roman" w:cs="Times New Roman"/>
          <w:bCs/>
          <w:sz w:val="24"/>
        </w:rPr>
        <w:tab/>
      </w:r>
      <w:r w:rsidRPr="00EA3026">
        <w:rPr>
          <w:rFonts w:ascii="Times New Roman" w:hAnsi="Times New Roman"/>
          <w:sz w:val="24"/>
        </w:rPr>
        <w:t xml:space="preserve">Kolumnerna är fasta och ska </w:t>
      </w:r>
      <w:r w:rsidRPr="00EA3026">
        <w:rPr>
          <w:rFonts w:ascii="Times New Roman" w:hAnsi="Times New Roman"/>
          <w:sz w:val="24"/>
        </w:rPr>
        <w:t>fyllas i enligt följande:</w:t>
      </w:r>
    </w:p>
    <w:p w14:paraId="3533EBE7" w14:textId="77777777" w:rsidR="008618A0" w:rsidRPr="00EA3026" w:rsidRDefault="00EA3026">
      <w:pPr>
        <w:pStyle w:val="numberedparagraph"/>
        <w:numPr>
          <w:ilvl w:val="0"/>
          <w:numId w:val="0"/>
        </w:numPr>
        <w:ind w:left="709" w:hanging="360"/>
        <w:rPr>
          <w:rFonts w:ascii="Times New Roman" w:hAnsi="Times New Roman" w:cs="Times New Roman"/>
          <w:sz w:val="24"/>
        </w:rPr>
      </w:pPr>
      <w:r w:rsidRPr="00EA3026">
        <w:rPr>
          <w:rFonts w:ascii="Times New Roman" w:hAnsi="Times New Roman" w:cs="Times New Roman"/>
          <w:sz w:val="24"/>
        </w:rPr>
        <w:t>a.</w:t>
      </w:r>
      <w:r w:rsidRPr="00EA3026">
        <w:rPr>
          <w:rFonts w:ascii="Times New Roman" w:hAnsi="Times New Roman" w:cs="Times New Roman"/>
          <w:sz w:val="24"/>
        </w:rPr>
        <w:tab/>
      </w:r>
      <w:r w:rsidRPr="00EA3026">
        <w:rPr>
          <w:rFonts w:ascii="Times New Roman" w:hAnsi="Times New Roman"/>
          <w:sz w:val="24"/>
        </w:rPr>
        <w:t>Kolumn a: Värdepappersföretagen ska redovisa de belopp som rapporterats i den balansräkning som ingår i deras reviderade årsredovisning i enlighet med den konsoliderade redovisningen.</w:t>
      </w:r>
    </w:p>
    <w:p w14:paraId="23EDC1F7" w14:textId="77777777" w:rsidR="008618A0" w:rsidRPr="00EA3026" w:rsidRDefault="00EA3026">
      <w:pPr>
        <w:pStyle w:val="numberedparagraph"/>
        <w:numPr>
          <w:ilvl w:val="0"/>
          <w:numId w:val="0"/>
        </w:numPr>
        <w:ind w:left="709" w:hanging="360"/>
        <w:rPr>
          <w:rFonts w:ascii="Times New Roman" w:hAnsi="Times New Roman" w:cs="Times New Roman"/>
          <w:sz w:val="24"/>
        </w:rPr>
      </w:pPr>
      <w:r w:rsidRPr="00EA3026">
        <w:rPr>
          <w:rFonts w:ascii="Times New Roman" w:hAnsi="Times New Roman" w:cs="Times New Roman"/>
          <w:sz w:val="24"/>
        </w:rPr>
        <w:t>b.</w:t>
      </w:r>
      <w:r w:rsidRPr="00EA3026">
        <w:rPr>
          <w:rFonts w:ascii="Times New Roman" w:hAnsi="Times New Roman" w:cs="Times New Roman"/>
          <w:sz w:val="24"/>
        </w:rPr>
        <w:tab/>
      </w:r>
      <w:r w:rsidRPr="00EA3026">
        <w:rPr>
          <w:rFonts w:ascii="Times New Roman" w:hAnsi="Times New Roman"/>
          <w:sz w:val="24"/>
        </w:rPr>
        <w:t>Kolumn b: Värdepappersföretagen ska rapp</w:t>
      </w:r>
      <w:r w:rsidRPr="00EA3026">
        <w:rPr>
          <w:rFonts w:ascii="Times New Roman" w:hAnsi="Times New Roman"/>
          <w:sz w:val="24"/>
        </w:rPr>
        <w:t>ortera de belopp som motsvarar konsolideringen enligt tillsynskraven.</w:t>
      </w:r>
    </w:p>
    <w:p w14:paraId="7336F609" w14:textId="77777777" w:rsidR="008618A0" w:rsidRPr="00EA3026" w:rsidRDefault="00EA3026">
      <w:pPr>
        <w:pStyle w:val="numberedparagraph"/>
        <w:numPr>
          <w:ilvl w:val="0"/>
          <w:numId w:val="0"/>
        </w:numPr>
        <w:ind w:left="709" w:hanging="360"/>
        <w:rPr>
          <w:rFonts w:ascii="Times New Roman" w:hAnsi="Times New Roman" w:cs="Times New Roman"/>
          <w:sz w:val="24"/>
        </w:rPr>
      </w:pPr>
      <w:r w:rsidRPr="00EA3026">
        <w:rPr>
          <w:rFonts w:ascii="Times New Roman" w:hAnsi="Times New Roman" w:cs="Times New Roman"/>
          <w:sz w:val="24"/>
        </w:rPr>
        <w:t>c.</w:t>
      </w:r>
      <w:r w:rsidRPr="00EA3026">
        <w:rPr>
          <w:rFonts w:ascii="Times New Roman" w:hAnsi="Times New Roman" w:cs="Times New Roman"/>
          <w:sz w:val="24"/>
        </w:rPr>
        <w:tab/>
      </w:r>
      <w:r w:rsidRPr="00EA3026">
        <w:rPr>
          <w:rFonts w:ascii="Times New Roman" w:hAnsi="Times New Roman"/>
          <w:sz w:val="24"/>
        </w:rPr>
        <w:t xml:space="preserve">Kolumn c: Värdepappersföretagen ska ange korshänvisningen mellan posten för kapitalbasen i mall EU I CC2 och de relevanta posterna i mall EU I CC1 för offentliggörande av information </w:t>
      </w:r>
      <w:r w:rsidRPr="00EA3026">
        <w:rPr>
          <w:rFonts w:ascii="Times New Roman" w:hAnsi="Times New Roman"/>
          <w:sz w:val="24"/>
        </w:rPr>
        <w:t>om kapitalbasen. Hänvisningen i kolumn c i mall EU I CC2 kommer att kopplas till den hänvisning som angetts i kolumn b i mall EU I CC1.</w:t>
      </w:r>
    </w:p>
    <w:p w14:paraId="1E899C8A"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11.</w:t>
      </w:r>
      <w:r w:rsidRPr="00EA3026">
        <w:rPr>
          <w:rFonts w:ascii="Times New Roman" w:hAnsi="Times New Roman" w:cs="Times New Roman"/>
          <w:bCs/>
          <w:sz w:val="24"/>
        </w:rPr>
        <w:tab/>
      </w:r>
      <w:r w:rsidRPr="00EA3026">
        <w:rPr>
          <w:rFonts w:ascii="Times New Roman" w:hAnsi="Times New Roman"/>
          <w:sz w:val="24"/>
        </w:rPr>
        <w:t>I de följande fallen där värdepappersföretagens konsolideringar enligt redovisningsregler och enligt tillsynskrav är</w:t>
      </w:r>
      <w:r w:rsidRPr="00EA3026">
        <w:rPr>
          <w:rFonts w:ascii="Times New Roman" w:hAnsi="Times New Roman"/>
          <w:sz w:val="24"/>
        </w:rPr>
        <w:t xml:space="preserve"> exakt desamma ska bara kolumn a ifyllas och detta faktum ska anges tydligt i följande fall:</w:t>
      </w:r>
    </w:p>
    <w:p w14:paraId="20470D29" w14:textId="77777777" w:rsidR="008618A0" w:rsidRPr="00EA3026" w:rsidRDefault="00EA3026">
      <w:pPr>
        <w:pStyle w:val="numberedparagraph"/>
        <w:numPr>
          <w:ilvl w:val="0"/>
          <w:numId w:val="0"/>
        </w:numPr>
        <w:tabs>
          <w:tab w:val="left" w:pos="-180"/>
        </w:tabs>
        <w:ind w:left="709" w:hanging="360"/>
        <w:rPr>
          <w:rFonts w:ascii="Times New Roman" w:hAnsi="Times New Roman" w:cs="Times New Roman"/>
          <w:bCs/>
          <w:sz w:val="24"/>
        </w:rPr>
      </w:pPr>
      <w:r w:rsidRPr="00EA3026">
        <w:rPr>
          <w:rFonts w:ascii="Times New Roman" w:hAnsi="Times New Roman" w:cs="Times New Roman"/>
          <w:bCs/>
          <w:sz w:val="24"/>
        </w:rPr>
        <w:t>d.</w:t>
      </w:r>
      <w:r w:rsidRPr="00EA3026">
        <w:rPr>
          <w:rFonts w:ascii="Times New Roman" w:hAnsi="Times New Roman" w:cs="Times New Roman"/>
          <w:bCs/>
          <w:sz w:val="24"/>
        </w:rPr>
        <w:tab/>
      </w:r>
      <w:r w:rsidRPr="00EA3026">
        <w:rPr>
          <w:rFonts w:ascii="Times New Roman" w:hAnsi="Times New Roman"/>
          <w:sz w:val="24"/>
        </w:rPr>
        <w:t>Om värdepappersföretag uppfyller kraven i del sex i förordning (EU) 2019/2033 om tillsynskrav för värdepappersföretag på konsoliderad nivå, men konsolideringens</w:t>
      </w:r>
      <w:r w:rsidRPr="00EA3026">
        <w:rPr>
          <w:rFonts w:ascii="Times New Roman" w:hAnsi="Times New Roman"/>
          <w:sz w:val="24"/>
        </w:rPr>
        <w:t xml:space="preserve"> omfattning och den konsolideringsmetod som används för balansräkningen i de finansiella rapporterna är identisk med omfattningen av konsolideringen och den konsolideringsmetod som definieras i del ett avdelning II kapitel 2 i förordning (EU) 2019/2033, oc</w:t>
      </w:r>
      <w:r w:rsidRPr="00EA3026">
        <w:rPr>
          <w:rFonts w:ascii="Times New Roman" w:hAnsi="Times New Roman"/>
          <w:sz w:val="24"/>
        </w:rPr>
        <w:t>h värdepappersföretagen tydligt anger att det inte finns några skillnader mellan konsolideringens omfattning och konsolideringsmetoder i den beskrivning som medföljer mallen.</w:t>
      </w:r>
    </w:p>
    <w:p w14:paraId="60D0AC1E" w14:textId="77777777" w:rsidR="008618A0" w:rsidRPr="00EA3026" w:rsidRDefault="00EA3026">
      <w:pPr>
        <w:pStyle w:val="numberedparagraph"/>
        <w:numPr>
          <w:ilvl w:val="0"/>
          <w:numId w:val="0"/>
        </w:numPr>
        <w:tabs>
          <w:tab w:val="left" w:pos="-180"/>
        </w:tabs>
        <w:ind w:left="709" w:hanging="360"/>
        <w:rPr>
          <w:rFonts w:ascii="Times New Roman" w:hAnsi="Times New Roman" w:cs="Times New Roman"/>
          <w:bCs/>
          <w:sz w:val="24"/>
        </w:rPr>
      </w:pPr>
      <w:r w:rsidRPr="00EA3026">
        <w:rPr>
          <w:rFonts w:ascii="Times New Roman" w:hAnsi="Times New Roman" w:cs="Times New Roman"/>
          <w:bCs/>
          <w:sz w:val="24"/>
        </w:rPr>
        <w:t>e.</w:t>
      </w:r>
      <w:r w:rsidRPr="00EA3026">
        <w:rPr>
          <w:rFonts w:ascii="Times New Roman" w:hAnsi="Times New Roman" w:cs="Times New Roman"/>
          <w:bCs/>
          <w:sz w:val="24"/>
        </w:rPr>
        <w:tab/>
      </w:r>
      <w:r w:rsidRPr="00EA3026">
        <w:rPr>
          <w:rFonts w:ascii="Times New Roman" w:hAnsi="Times New Roman"/>
          <w:sz w:val="24"/>
        </w:rPr>
        <w:t xml:space="preserve">Om värdepappersföretag uppfyller kraven i del sex i förordning (EU) 2019/2033 </w:t>
      </w:r>
      <w:r w:rsidRPr="00EA3026">
        <w:rPr>
          <w:rFonts w:ascii="Times New Roman" w:hAnsi="Times New Roman"/>
          <w:sz w:val="24"/>
        </w:rPr>
        <w:t>på individuell nivå.</w:t>
      </w:r>
    </w:p>
    <w:p w14:paraId="4067ED04" w14:textId="77777777" w:rsidR="008618A0" w:rsidRPr="00EA3026" w:rsidRDefault="00EA3026">
      <w:pPr>
        <w:rPr>
          <w:rFonts w:ascii="Times New Roman" w:hAnsi="Times New Roman" w:cs="Times New Roman"/>
          <w:b/>
          <w:bCs/>
          <w:sz w:val="24"/>
        </w:rPr>
      </w:pPr>
      <w:r w:rsidRPr="00EA3026">
        <w:rPr>
          <w:rFonts w:ascii="Times New Roman" w:hAnsi="Times New Roman"/>
          <w:b/>
          <w:sz w:val="24"/>
        </w:rPr>
        <w:t>Tabell EU I CCA – De viktigaste egenskaperna i de egna instrument som företaget emitterat.</w:t>
      </w:r>
    </w:p>
    <w:p w14:paraId="6DFC7E6E"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12.</w:t>
      </w:r>
      <w:r w:rsidRPr="00EA3026">
        <w:rPr>
          <w:rFonts w:ascii="Times New Roman" w:hAnsi="Times New Roman" w:cs="Times New Roman"/>
          <w:bCs/>
          <w:sz w:val="24"/>
        </w:rPr>
        <w:tab/>
      </w:r>
      <w:r w:rsidRPr="00EA3026">
        <w:rPr>
          <w:rFonts w:ascii="Times New Roman" w:hAnsi="Times New Roman"/>
          <w:sz w:val="24"/>
        </w:rPr>
        <w:t>Värdepappersföretagen ska tillämpa instruktionerna i denna bilaga för att fylla i mall EU I CCA som återfinns i bilaga VI i enlighet med art</w:t>
      </w:r>
      <w:r w:rsidRPr="00EA3026">
        <w:rPr>
          <w:rFonts w:ascii="Times New Roman" w:hAnsi="Times New Roman"/>
          <w:sz w:val="24"/>
        </w:rPr>
        <w:t>ikel 49.1 b i förordning (EU) 2019/2033.</w:t>
      </w:r>
    </w:p>
    <w:p w14:paraId="0A8B22D9"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13.</w:t>
      </w:r>
      <w:r w:rsidRPr="00EA3026">
        <w:rPr>
          <w:rFonts w:ascii="Times New Roman" w:hAnsi="Times New Roman" w:cs="Times New Roman"/>
          <w:bCs/>
          <w:sz w:val="24"/>
        </w:rPr>
        <w:tab/>
      </w:r>
      <w:r w:rsidRPr="00EA3026">
        <w:rPr>
          <w:rFonts w:ascii="Times New Roman" w:hAnsi="Times New Roman"/>
          <w:sz w:val="24"/>
        </w:rPr>
        <w:t>Värdepappersföretagen ska fylla i tabell EU I CCA för följande kategorier: Kärnprimärkapitalinstrument, övrigt primärkapital för kapitaltäckningsändamål och supplementärkapitalinstrument.</w:t>
      </w:r>
    </w:p>
    <w:p w14:paraId="16C48D11" w14:textId="77777777" w:rsidR="008618A0" w:rsidRPr="00EA3026" w:rsidRDefault="00EA3026">
      <w:pPr>
        <w:tabs>
          <w:tab w:val="left" w:pos="360"/>
        </w:tabs>
        <w:spacing w:before="120" w:after="120"/>
        <w:ind w:left="357" w:hanging="357"/>
        <w:jc w:val="both"/>
        <w:rPr>
          <w:rFonts w:ascii="Times New Roman" w:hAnsi="Times New Roman" w:cs="Times New Roman"/>
          <w:bCs/>
          <w:sz w:val="24"/>
        </w:rPr>
      </w:pPr>
      <w:r w:rsidRPr="00EA3026">
        <w:rPr>
          <w:rFonts w:ascii="Times New Roman" w:hAnsi="Times New Roman" w:cs="Times New Roman"/>
          <w:bCs/>
          <w:sz w:val="24"/>
        </w:rPr>
        <w:t>14.</w:t>
      </w:r>
      <w:r w:rsidRPr="00EA3026">
        <w:rPr>
          <w:rFonts w:ascii="Times New Roman" w:hAnsi="Times New Roman" w:cs="Times New Roman"/>
          <w:bCs/>
          <w:sz w:val="24"/>
        </w:rPr>
        <w:tab/>
      </w:r>
      <w:r w:rsidRPr="00EA3026">
        <w:rPr>
          <w:rFonts w:ascii="Times New Roman" w:hAnsi="Times New Roman"/>
          <w:sz w:val="24"/>
        </w:rPr>
        <w:t>Tabellerna ska ha s</w:t>
      </w:r>
      <w:r w:rsidRPr="00EA3026">
        <w:rPr>
          <w:rFonts w:ascii="Times New Roman" w:hAnsi="Times New Roman"/>
          <w:sz w:val="24"/>
        </w:rPr>
        <w:t>eparata kolumner med egenskaperna hos vart och ett av de föreskrivna kapitalbasinstrumenten. Om olika instrument i samma kategori har identiska egenskaper får värdepappersföretagen fylla i endast en kolumn som anger dessa identiska egenskaper och ange de e</w:t>
      </w:r>
      <w:r w:rsidRPr="00EA3026">
        <w:rPr>
          <w:rFonts w:ascii="Times New Roman" w:hAnsi="Times New Roman"/>
          <w:sz w:val="24"/>
        </w:rPr>
        <w:t>missioner som dessa identiska egenskaper avser.</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8618A0" w:rsidRPr="00EA3026" w14:paraId="62DFCB8E" w14:textId="77777777">
        <w:trPr>
          <w:trHeight w:val="259"/>
        </w:trPr>
        <w:tc>
          <w:tcPr>
            <w:tcW w:w="8691" w:type="dxa"/>
            <w:gridSpan w:val="2"/>
            <w:shd w:val="clear" w:color="auto" w:fill="D9D9D9" w:themeFill="background1" w:themeFillShade="D9"/>
          </w:tcPr>
          <w:p w14:paraId="0D647B6D" w14:textId="77777777" w:rsidR="008618A0" w:rsidRPr="00EA3026" w:rsidRDefault="00EA3026">
            <w:pPr>
              <w:rPr>
                <w:rFonts w:ascii="Times New Roman" w:eastAsia="Times New Roman" w:hAnsi="Times New Roman" w:cs="Times New Roman"/>
                <w:b/>
                <w:bCs/>
                <w:color w:val="000000"/>
                <w:sz w:val="24"/>
              </w:rPr>
            </w:pPr>
            <w:r w:rsidRPr="00EA3026">
              <w:rPr>
                <w:rFonts w:ascii="Times New Roman" w:hAnsi="Times New Roman"/>
                <w:b/>
                <w:color w:val="000000"/>
                <w:sz w:val="24"/>
              </w:rPr>
              <w:t>Instruktioner för att i tabellen fylla i de viktigaste egenskaperna för de kapitalbasinstrument som företaget emitterat</w:t>
            </w:r>
          </w:p>
        </w:tc>
      </w:tr>
      <w:tr w:rsidR="008618A0" w:rsidRPr="00EA3026" w14:paraId="018520B2" w14:textId="77777777">
        <w:trPr>
          <w:trHeight w:val="259"/>
        </w:trPr>
        <w:tc>
          <w:tcPr>
            <w:tcW w:w="1030" w:type="dxa"/>
            <w:shd w:val="clear" w:color="auto" w:fill="D9D9D9" w:themeFill="background1" w:themeFillShade="D9"/>
            <w:vAlign w:val="center"/>
          </w:tcPr>
          <w:p w14:paraId="3E90E0F3" w14:textId="77777777" w:rsidR="008618A0" w:rsidRPr="00EA3026" w:rsidRDefault="00EA3026">
            <w:pPr>
              <w:rPr>
                <w:rFonts w:ascii="Times New Roman" w:eastAsia="Times New Roman" w:hAnsi="Times New Roman" w:cs="Times New Roman"/>
                <w:b/>
                <w:bCs/>
                <w:color w:val="000000"/>
                <w:sz w:val="24"/>
              </w:rPr>
            </w:pPr>
            <w:r w:rsidRPr="00EA3026">
              <w:rPr>
                <w:rFonts w:ascii="Times New Roman" w:hAnsi="Times New Roman"/>
                <w:b/>
                <w:color w:val="000000"/>
                <w:sz w:val="24"/>
              </w:rPr>
              <w:t>Rad nr</w:t>
            </w:r>
          </w:p>
        </w:tc>
        <w:tc>
          <w:tcPr>
            <w:tcW w:w="7661" w:type="dxa"/>
            <w:shd w:val="clear" w:color="auto" w:fill="D9D9D9" w:themeFill="background1" w:themeFillShade="D9"/>
            <w:noWrap/>
            <w:vAlign w:val="bottom"/>
          </w:tcPr>
          <w:p w14:paraId="5712A65D" w14:textId="77777777" w:rsidR="008618A0" w:rsidRPr="00EA3026" w:rsidRDefault="00EA3026">
            <w:pPr>
              <w:rPr>
                <w:rFonts w:ascii="Times New Roman" w:eastAsia="Times New Roman" w:hAnsi="Times New Roman" w:cs="Times New Roman"/>
                <w:b/>
                <w:bCs/>
                <w:color w:val="000000"/>
                <w:sz w:val="24"/>
              </w:rPr>
            </w:pPr>
            <w:r w:rsidRPr="00EA3026">
              <w:rPr>
                <w:rFonts w:ascii="Times New Roman" w:hAnsi="Times New Roman"/>
                <w:b/>
                <w:color w:val="000000"/>
                <w:sz w:val="24"/>
              </w:rPr>
              <w:t>Förklaring</w:t>
            </w:r>
          </w:p>
        </w:tc>
      </w:tr>
      <w:tr w:rsidR="008618A0" w:rsidRPr="00EA3026" w14:paraId="405DA6F9" w14:textId="77777777">
        <w:trPr>
          <w:trHeight w:val="259"/>
        </w:trPr>
        <w:tc>
          <w:tcPr>
            <w:tcW w:w="1030" w:type="dxa"/>
            <w:vAlign w:val="center"/>
          </w:tcPr>
          <w:p w14:paraId="6B43F725"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w:t>
            </w:r>
          </w:p>
        </w:tc>
        <w:tc>
          <w:tcPr>
            <w:tcW w:w="7661" w:type="dxa"/>
            <w:shd w:val="clear" w:color="auto" w:fill="auto"/>
            <w:noWrap/>
            <w:vAlign w:val="bottom"/>
          </w:tcPr>
          <w:p w14:paraId="296D4646"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Emittent</w:t>
            </w:r>
          </w:p>
          <w:p w14:paraId="602DA5C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Identifiera den emitterande juridiska enheten.</w:t>
            </w:r>
          </w:p>
          <w:p w14:paraId="523E700E"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675FB31A" w14:textId="77777777">
        <w:trPr>
          <w:trHeight w:val="259"/>
        </w:trPr>
        <w:tc>
          <w:tcPr>
            <w:tcW w:w="1030" w:type="dxa"/>
            <w:vAlign w:val="center"/>
          </w:tcPr>
          <w:p w14:paraId="63DB68C9"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w:t>
            </w:r>
          </w:p>
        </w:tc>
        <w:tc>
          <w:tcPr>
            <w:tcW w:w="7661" w:type="dxa"/>
            <w:shd w:val="clear" w:color="auto" w:fill="auto"/>
            <w:noWrap/>
            <w:vAlign w:val="bottom"/>
          </w:tcPr>
          <w:p w14:paraId="734FC80D"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Unik identifieringskod (t.ex. identifieringskod från Cusip, Isin eller Bloomberg för privata placeringar).</w:t>
            </w:r>
          </w:p>
          <w:p w14:paraId="56BA7D2D"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Unik identifieringskod (t.ex. identifieringskod från Cusip, Isin eller Bloomberg för privata placeringar).</w:t>
            </w:r>
          </w:p>
          <w:p w14:paraId="4B611B4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i/>
                <w:sz w:val="24"/>
              </w:rPr>
              <w:t>Fritext</w:t>
            </w:r>
          </w:p>
        </w:tc>
      </w:tr>
      <w:tr w:rsidR="008618A0" w:rsidRPr="00EA3026" w14:paraId="07685BD6" w14:textId="77777777">
        <w:trPr>
          <w:trHeight w:val="259"/>
        </w:trPr>
        <w:tc>
          <w:tcPr>
            <w:tcW w:w="1030" w:type="dxa"/>
            <w:vAlign w:val="center"/>
          </w:tcPr>
          <w:p w14:paraId="5D66DD83"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w:t>
            </w:r>
          </w:p>
        </w:tc>
        <w:tc>
          <w:tcPr>
            <w:tcW w:w="7661" w:type="dxa"/>
            <w:shd w:val="clear" w:color="auto" w:fill="auto"/>
            <w:noWrap/>
            <w:vAlign w:val="bottom"/>
          </w:tcPr>
          <w:p w14:paraId="4E4CC81A"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Offentliga </w:t>
            </w:r>
            <w:r w:rsidRPr="00EA3026">
              <w:rPr>
                <w:rFonts w:ascii="Times New Roman" w:hAnsi="Times New Roman"/>
                <w:sz w:val="24"/>
              </w:rPr>
              <w:t>eller privata placeringar</w:t>
            </w:r>
          </w:p>
          <w:p w14:paraId="72A55B4B"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instrumentet har placerats offentligt eller privat.</w:t>
            </w:r>
          </w:p>
          <w:p w14:paraId="4CAC41E2"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i/>
                <w:sz w:val="24"/>
              </w:rPr>
              <w:t>Välj från menyn: [Offentligt] [Privat]</w:t>
            </w:r>
          </w:p>
        </w:tc>
      </w:tr>
      <w:tr w:rsidR="008618A0" w:rsidRPr="00EA3026" w14:paraId="48E19F96" w14:textId="77777777">
        <w:trPr>
          <w:trHeight w:val="259"/>
        </w:trPr>
        <w:tc>
          <w:tcPr>
            <w:tcW w:w="1030" w:type="dxa"/>
            <w:vAlign w:val="center"/>
          </w:tcPr>
          <w:p w14:paraId="4997E753"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4</w:t>
            </w:r>
          </w:p>
        </w:tc>
        <w:tc>
          <w:tcPr>
            <w:tcW w:w="7661" w:type="dxa"/>
            <w:shd w:val="clear" w:color="auto" w:fill="auto"/>
            <w:noWrap/>
            <w:vAlign w:val="bottom"/>
          </w:tcPr>
          <w:p w14:paraId="63923909"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Reglerande lag(ar) för instrumentet</w:t>
            </w:r>
          </w:p>
          <w:p w14:paraId="7BA2FEF5"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Ange reglerande lag(ar) för instrumentet.</w:t>
            </w:r>
          </w:p>
          <w:p w14:paraId="371C0466"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 xml:space="preserve">Fritext </w:t>
            </w:r>
          </w:p>
        </w:tc>
      </w:tr>
      <w:tr w:rsidR="008618A0" w:rsidRPr="00EA3026" w14:paraId="3AD4E687" w14:textId="77777777">
        <w:trPr>
          <w:trHeight w:val="259"/>
        </w:trPr>
        <w:tc>
          <w:tcPr>
            <w:tcW w:w="1030" w:type="dxa"/>
            <w:vAlign w:val="center"/>
          </w:tcPr>
          <w:p w14:paraId="12B411DD"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5</w:t>
            </w:r>
          </w:p>
        </w:tc>
        <w:tc>
          <w:tcPr>
            <w:tcW w:w="7661" w:type="dxa"/>
            <w:shd w:val="clear" w:color="auto" w:fill="auto"/>
            <w:noWrap/>
            <w:vAlign w:val="bottom"/>
          </w:tcPr>
          <w:p w14:paraId="211E12FE"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Instrumenttyp (typer ska </w:t>
            </w:r>
            <w:r w:rsidRPr="00EA3026">
              <w:rPr>
                <w:rFonts w:ascii="Times New Roman" w:hAnsi="Times New Roman"/>
                <w:sz w:val="24"/>
              </w:rPr>
              <w:t>specificeras av varje jurisdiktion)</w:t>
            </w:r>
          </w:p>
          <w:p w14:paraId="19CB6D99"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instrumenttyp, varierande beroende på jurisdiktion.</w:t>
            </w:r>
          </w:p>
          <w:p w14:paraId="2C383976"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För kärnprimärkapitalinstrument, välj instrumentets beteckning i den förteckning över kärnprimärkapital som offentliggjorts av EBA.</w:t>
            </w:r>
          </w:p>
          <w:p w14:paraId="04012429"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För andra instrument, välj blan</w:t>
            </w:r>
            <w:r w:rsidRPr="00EA3026">
              <w:rPr>
                <w:rFonts w:ascii="Times New Roman" w:hAnsi="Times New Roman"/>
                <w:i/>
                <w:sz w:val="24"/>
              </w:rPr>
              <w:t>d: alternativen i menyn ska fastställas för värdepappersföretagen av varje jurisdiktion – rättsliga hänvisningar till artiklar i förordning (EU) 2019/2033 ska anges för varje typ av instrument.</w:t>
            </w:r>
          </w:p>
        </w:tc>
      </w:tr>
      <w:tr w:rsidR="008618A0" w:rsidRPr="00EA3026" w14:paraId="6A7A2A40" w14:textId="77777777">
        <w:trPr>
          <w:trHeight w:val="259"/>
        </w:trPr>
        <w:tc>
          <w:tcPr>
            <w:tcW w:w="1030" w:type="dxa"/>
            <w:vAlign w:val="center"/>
          </w:tcPr>
          <w:p w14:paraId="149C9446"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6</w:t>
            </w:r>
          </w:p>
        </w:tc>
        <w:tc>
          <w:tcPr>
            <w:tcW w:w="7661" w:type="dxa"/>
            <w:shd w:val="clear" w:color="auto" w:fill="auto"/>
            <w:noWrap/>
            <w:vAlign w:val="bottom"/>
          </w:tcPr>
          <w:p w14:paraId="55F102FE"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Belopp som redovisas i föreskrivet kapital (valutan i miljo</w:t>
            </w:r>
            <w:r w:rsidRPr="00EA3026">
              <w:rPr>
                <w:rFonts w:ascii="Times New Roman" w:hAnsi="Times New Roman"/>
                <w:sz w:val="24"/>
              </w:rPr>
              <w:t>ner, enligt senaste rapporteringsdatum).</w:t>
            </w:r>
          </w:p>
          <w:p w14:paraId="1A0CA1A4"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Ange det belopp som redovisas i föreskriven kapitalbas (totalt belopp för det instrument som redovisas före övergångsbestämmelser för den relevanta redovisningsnivån – valuta som används för </w:t>
            </w:r>
            <w:r w:rsidRPr="00EA3026">
              <w:rPr>
                <w:rFonts w:ascii="Times New Roman" w:hAnsi="Times New Roman"/>
                <w:sz w:val="24"/>
              </w:rPr>
              <w:t>rapporteringsskyldigheterna).</w:t>
            </w:r>
          </w:p>
          <w:p w14:paraId="71A1E279"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 text – ange framför allt om några delar av instrumenten ligger i olika nivåer av den föreskrivna kapitalbasen och om det belopp som redovisas i den föreskrivna kapitalbasen skiljer sig från det emitterade beloppet.</w:t>
            </w:r>
          </w:p>
        </w:tc>
      </w:tr>
      <w:tr w:rsidR="008618A0" w:rsidRPr="00EA3026" w14:paraId="46A6201B" w14:textId="77777777">
        <w:trPr>
          <w:trHeight w:val="259"/>
        </w:trPr>
        <w:tc>
          <w:tcPr>
            <w:tcW w:w="1030" w:type="dxa"/>
            <w:vAlign w:val="center"/>
          </w:tcPr>
          <w:p w14:paraId="6BB3C179"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7</w:t>
            </w:r>
          </w:p>
        </w:tc>
        <w:tc>
          <w:tcPr>
            <w:tcW w:w="7661" w:type="dxa"/>
            <w:shd w:val="clear" w:color="auto" w:fill="auto"/>
            <w:noWrap/>
            <w:vAlign w:val="bottom"/>
          </w:tcPr>
          <w:p w14:paraId="6A123232"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Instrumentets nominella belopp</w:t>
            </w:r>
          </w:p>
          <w:p w14:paraId="571C9017"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Nominellt belopp för instrumentet (i emissionsvaluta och i den valuta som används för rapporteringsskyldigheterna).</w:t>
            </w:r>
          </w:p>
          <w:p w14:paraId="7DD099B8"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1B0BDB46" w14:textId="77777777">
        <w:trPr>
          <w:trHeight w:val="259"/>
        </w:trPr>
        <w:tc>
          <w:tcPr>
            <w:tcW w:w="1030" w:type="dxa"/>
            <w:vAlign w:val="center"/>
          </w:tcPr>
          <w:p w14:paraId="6E2A73D0"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8</w:t>
            </w:r>
          </w:p>
        </w:tc>
        <w:tc>
          <w:tcPr>
            <w:tcW w:w="7661" w:type="dxa"/>
            <w:shd w:val="clear" w:color="auto" w:fill="auto"/>
            <w:noWrap/>
            <w:vAlign w:val="bottom"/>
          </w:tcPr>
          <w:p w14:paraId="6DA9E1C1"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Emissionspris</w:t>
            </w:r>
          </w:p>
          <w:p w14:paraId="2946983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Instrumentets emissionspris.</w:t>
            </w:r>
          </w:p>
          <w:p w14:paraId="144AF7A9"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4D9ACDBD" w14:textId="77777777">
        <w:trPr>
          <w:trHeight w:val="259"/>
        </w:trPr>
        <w:tc>
          <w:tcPr>
            <w:tcW w:w="1030" w:type="dxa"/>
            <w:vAlign w:val="center"/>
          </w:tcPr>
          <w:p w14:paraId="30E7CDD8"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9</w:t>
            </w:r>
          </w:p>
        </w:tc>
        <w:tc>
          <w:tcPr>
            <w:tcW w:w="7661" w:type="dxa"/>
            <w:shd w:val="clear" w:color="auto" w:fill="auto"/>
            <w:noWrap/>
            <w:vAlign w:val="bottom"/>
          </w:tcPr>
          <w:p w14:paraId="47D0A0E6"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Inlösenpris</w:t>
            </w:r>
          </w:p>
          <w:p w14:paraId="29B971B2"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Instrumentets </w:t>
            </w:r>
            <w:r w:rsidRPr="00EA3026">
              <w:rPr>
                <w:rFonts w:ascii="Times New Roman" w:hAnsi="Times New Roman"/>
                <w:sz w:val="24"/>
              </w:rPr>
              <w:t>inlösenpris.</w:t>
            </w:r>
          </w:p>
          <w:p w14:paraId="4A4B80D8"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0BE35963" w14:textId="77777777">
        <w:trPr>
          <w:trHeight w:val="259"/>
        </w:trPr>
        <w:tc>
          <w:tcPr>
            <w:tcW w:w="1030" w:type="dxa"/>
            <w:vAlign w:val="center"/>
          </w:tcPr>
          <w:p w14:paraId="46D39B62"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10</w:t>
            </w:r>
          </w:p>
        </w:tc>
        <w:tc>
          <w:tcPr>
            <w:tcW w:w="7661" w:type="dxa"/>
            <w:shd w:val="clear" w:color="auto" w:fill="auto"/>
            <w:noWrap/>
            <w:vAlign w:val="bottom"/>
          </w:tcPr>
          <w:p w14:paraId="3EFCE2A2"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Redovisningsklassificering</w:t>
            </w:r>
          </w:p>
          <w:p w14:paraId="068F272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klassificeringen i redovisningen.</w:t>
            </w:r>
          </w:p>
          <w:p w14:paraId="3CDD2BBA"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[Eget kapital] [Skuld – upplupet anskaffningsvärde] [Skuld – alternativet med verkligt värde] [Innehav utan bestämmande inflytande i dotterföretag s</w:t>
            </w:r>
            <w:r w:rsidRPr="00EA3026">
              <w:rPr>
                <w:rFonts w:ascii="Times New Roman" w:hAnsi="Times New Roman"/>
                <w:i/>
                <w:sz w:val="24"/>
              </w:rPr>
              <w:t>om ingår i konsolideringen]</w:t>
            </w:r>
          </w:p>
        </w:tc>
      </w:tr>
      <w:tr w:rsidR="008618A0" w:rsidRPr="00EA3026" w14:paraId="41514FFF" w14:textId="77777777">
        <w:trPr>
          <w:trHeight w:val="259"/>
        </w:trPr>
        <w:tc>
          <w:tcPr>
            <w:tcW w:w="1030" w:type="dxa"/>
            <w:vAlign w:val="center"/>
          </w:tcPr>
          <w:p w14:paraId="2BE8E423"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11</w:t>
            </w:r>
          </w:p>
        </w:tc>
        <w:tc>
          <w:tcPr>
            <w:tcW w:w="7661" w:type="dxa"/>
            <w:shd w:val="clear" w:color="auto" w:fill="auto"/>
            <w:noWrap/>
            <w:vAlign w:val="bottom"/>
          </w:tcPr>
          <w:p w14:paraId="2084DCE5"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Ursprungligt emissionsdatum</w:t>
            </w:r>
          </w:p>
          <w:p w14:paraId="241B104A"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emissionsdatum.</w:t>
            </w:r>
          </w:p>
          <w:p w14:paraId="3D4CAB38"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i/>
                <w:sz w:val="24"/>
              </w:rPr>
              <w:t>Fritext</w:t>
            </w:r>
          </w:p>
        </w:tc>
      </w:tr>
      <w:tr w:rsidR="008618A0" w:rsidRPr="00EA3026" w14:paraId="14C1BE10" w14:textId="77777777">
        <w:trPr>
          <w:trHeight w:val="259"/>
        </w:trPr>
        <w:tc>
          <w:tcPr>
            <w:tcW w:w="1030" w:type="dxa"/>
            <w:vAlign w:val="center"/>
          </w:tcPr>
          <w:p w14:paraId="6776BC81"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12</w:t>
            </w:r>
          </w:p>
        </w:tc>
        <w:tc>
          <w:tcPr>
            <w:tcW w:w="7661" w:type="dxa"/>
            <w:shd w:val="clear" w:color="auto" w:fill="auto"/>
            <w:noWrap/>
            <w:vAlign w:val="bottom"/>
          </w:tcPr>
          <w:p w14:paraId="512A9D05"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Eviga eller tidsbestämda</w:t>
            </w:r>
          </w:p>
          <w:p w14:paraId="6AD6A1D4"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instrumentet är tidsbestämt eller evigt.</w:t>
            </w:r>
          </w:p>
          <w:p w14:paraId="470B3A20"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[Evigt] [Tidsbestämt]</w:t>
            </w:r>
          </w:p>
        </w:tc>
      </w:tr>
      <w:tr w:rsidR="008618A0" w:rsidRPr="00EA3026" w14:paraId="247731F2" w14:textId="77777777">
        <w:trPr>
          <w:trHeight w:val="259"/>
        </w:trPr>
        <w:tc>
          <w:tcPr>
            <w:tcW w:w="1030" w:type="dxa"/>
            <w:vAlign w:val="center"/>
          </w:tcPr>
          <w:p w14:paraId="67A51685"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13</w:t>
            </w:r>
          </w:p>
        </w:tc>
        <w:tc>
          <w:tcPr>
            <w:tcW w:w="7661" w:type="dxa"/>
            <w:shd w:val="clear" w:color="auto" w:fill="auto"/>
            <w:noWrap/>
            <w:vAlign w:val="bottom"/>
          </w:tcPr>
          <w:p w14:paraId="435DDAB0"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Ursprunglig förfallodag</w:t>
            </w:r>
          </w:p>
          <w:p w14:paraId="029B5AC6"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För tidsbestämda instrument, ange den ursprungliga förfallodagen (dag, månad och år). För eviga instrument, ange </w:t>
            </w:r>
            <w:r w:rsidRPr="00EA3026">
              <w:rPr>
                <w:rFonts w:ascii="Times New Roman" w:hAnsi="Times New Roman"/>
                <w:sz w:val="24"/>
              </w:rPr>
              <w:t>”</w:t>
            </w:r>
            <w:r w:rsidRPr="00EA3026">
              <w:rPr>
                <w:rFonts w:ascii="Times New Roman" w:hAnsi="Times New Roman"/>
                <w:sz w:val="24"/>
              </w:rPr>
              <w:t>ingen förfalloda</w:t>
            </w:r>
            <w:r w:rsidRPr="00EA3026">
              <w:rPr>
                <w:rFonts w:ascii="Times New Roman" w:hAnsi="Times New Roman"/>
                <w:sz w:val="24"/>
              </w:rPr>
              <w:t>g”</w:t>
            </w:r>
            <w:r w:rsidRPr="00EA3026">
              <w:rPr>
                <w:rFonts w:ascii="Times New Roman" w:hAnsi="Times New Roman"/>
                <w:sz w:val="24"/>
              </w:rPr>
              <w:t>.</w:t>
            </w:r>
          </w:p>
          <w:p w14:paraId="1CF6005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i/>
                <w:sz w:val="24"/>
              </w:rPr>
              <w:t>Fritext</w:t>
            </w:r>
          </w:p>
        </w:tc>
      </w:tr>
      <w:tr w:rsidR="008618A0" w:rsidRPr="00EA3026" w14:paraId="2D741E36" w14:textId="77777777">
        <w:trPr>
          <w:trHeight w:val="259"/>
        </w:trPr>
        <w:tc>
          <w:tcPr>
            <w:tcW w:w="1030" w:type="dxa"/>
            <w:vAlign w:val="center"/>
          </w:tcPr>
          <w:p w14:paraId="0BC3C777"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14</w:t>
            </w:r>
          </w:p>
        </w:tc>
        <w:tc>
          <w:tcPr>
            <w:tcW w:w="7661" w:type="dxa"/>
            <w:shd w:val="clear" w:color="auto" w:fill="auto"/>
            <w:noWrap/>
            <w:vAlign w:val="bottom"/>
          </w:tcPr>
          <w:p w14:paraId="70C7DCB2"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Emittentens inlösenrätt omfattas av krav på förhandstillstånd från tillsynsmyndigheten</w:t>
            </w:r>
          </w:p>
          <w:p w14:paraId="3E6A88E8"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instrumentet ka</w:t>
            </w:r>
            <w:r w:rsidRPr="00EA3026">
              <w:rPr>
                <w:rFonts w:ascii="Times New Roman" w:hAnsi="Times New Roman"/>
                <w:sz w:val="24"/>
              </w:rPr>
              <w:t>n lösas in av emittenten (alla typer av inlösenrätter).</w:t>
            </w:r>
          </w:p>
          <w:p w14:paraId="18130A05"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[Ja] [Nej]</w:t>
            </w:r>
          </w:p>
        </w:tc>
      </w:tr>
      <w:tr w:rsidR="008618A0" w:rsidRPr="00EA3026" w14:paraId="5CF9D94E" w14:textId="77777777">
        <w:trPr>
          <w:trHeight w:val="259"/>
        </w:trPr>
        <w:tc>
          <w:tcPr>
            <w:tcW w:w="1030" w:type="dxa"/>
            <w:vAlign w:val="center"/>
          </w:tcPr>
          <w:p w14:paraId="5AB7C087"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15</w:t>
            </w:r>
          </w:p>
        </w:tc>
        <w:tc>
          <w:tcPr>
            <w:tcW w:w="7661" w:type="dxa"/>
            <w:shd w:val="clear" w:color="auto" w:fill="auto"/>
            <w:noWrap/>
            <w:vAlign w:val="bottom"/>
          </w:tcPr>
          <w:p w14:paraId="5661DCC0"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Valfritt inlösendatum, villkorade inlösendatum och inlösenbelopp</w:t>
            </w:r>
          </w:p>
          <w:p w14:paraId="035E863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För instrument som går att lösas in av emittenten, ange första inlösendatum om instrumentet </w:t>
            </w:r>
            <w:r w:rsidRPr="00EA3026">
              <w:rPr>
                <w:rFonts w:ascii="Times New Roman" w:hAnsi="Times New Roman"/>
                <w:sz w:val="24"/>
              </w:rPr>
              <w:t>omfattas av en inlösenrätt ett visst datum (dag, månad och år) och ange dessutom om inlösenrätten är beroende av en skatte- och/eller lagstiftningshändelse. Ange också inlösenpriset. Detta gör det lättare att bedöma beständigheten.</w:t>
            </w:r>
          </w:p>
          <w:p w14:paraId="5C4EFAD6"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1A25E118" w14:textId="77777777">
        <w:trPr>
          <w:trHeight w:val="259"/>
        </w:trPr>
        <w:tc>
          <w:tcPr>
            <w:tcW w:w="1030" w:type="dxa"/>
            <w:vAlign w:val="center"/>
          </w:tcPr>
          <w:p w14:paraId="78125EF2"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16</w:t>
            </w:r>
          </w:p>
        </w:tc>
        <w:tc>
          <w:tcPr>
            <w:tcW w:w="7661" w:type="dxa"/>
            <w:shd w:val="clear" w:color="auto" w:fill="auto"/>
            <w:noWrap/>
            <w:vAlign w:val="bottom"/>
          </w:tcPr>
          <w:p w14:paraId="73D17368"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Efterföljand</w:t>
            </w:r>
            <w:r w:rsidRPr="00EA3026">
              <w:rPr>
                <w:rFonts w:ascii="Times New Roman" w:hAnsi="Times New Roman"/>
                <w:sz w:val="24"/>
              </w:rPr>
              <w:t>e inlösendatum, i tillämpliga fall</w:t>
            </w:r>
          </w:p>
          <w:p w14:paraId="4545429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i förekommande fall förekomsten av och frekvensen för eventuella efterföljande inlösendatum. Detta gör det lättare att bedöma beständigheten.</w:t>
            </w:r>
          </w:p>
          <w:p w14:paraId="0D192ED2"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i/>
                <w:sz w:val="24"/>
              </w:rPr>
              <w:t>Fritext</w:t>
            </w:r>
          </w:p>
        </w:tc>
      </w:tr>
      <w:tr w:rsidR="008618A0" w:rsidRPr="00EA3026" w14:paraId="0FD98D4E" w14:textId="77777777">
        <w:trPr>
          <w:trHeight w:val="259"/>
        </w:trPr>
        <w:tc>
          <w:tcPr>
            <w:tcW w:w="1030" w:type="dxa"/>
            <w:vAlign w:val="center"/>
          </w:tcPr>
          <w:p w14:paraId="3A390F0A"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17</w:t>
            </w:r>
          </w:p>
        </w:tc>
        <w:tc>
          <w:tcPr>
            <w:tcW w:w="7661" w:type="dxa"/>
            <w:shd w:val="clear" w:color="auto" w:fill="auto"/>
            <w:noWrap/>
            <w:vAlign w:val="bottom"/>
          </w:tcPr>
          <w:p w14:paraId="3A02CAC0"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Fast eller rörlig utdelning/kupong</w:t>
            </w:r>
          </w:p>
          <w:p w14:paraId="1828F29B"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kupongen/utdelninge</w:t>
            </w:r>
            <w:r w:rsidRPr="00EA3026">
              <w:rPr>
                <w:rFonts w:ascii="Times New Roman" w:hAnsi="Times New Roman"/>
                <w:sz w:val="24"/>
              </w:rPr>
              <w:t>n är fast under instrumentets löptid, eller rörlig under instrumentets löptid, eller för närvarande fast, men kommer att övergå till rörlig ränta i framtiden, eller för närvarande rörlig, men kommer att övergå till fast ränta i framtiden.</w:t>
            </w:r>
          </w:p>
          <w:p w14:paraId="75EFE964"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 xml:space="preserve">Välj från menyn: </w:t>
            </w:r>
            <w:r w:rsidRPr="00EA3026">
              <w:rPr>
                <w:rFonts w:ascii="Times New Roman" w:hAnsi="Times New Roman"/>
                <w:i/>
                <w:sz w:val="24"/>
              </w:rPr>
              <w:t xml:space="preserve">[Fast], [Rörlig] [Fast till rörlig], [Rörlig till fast] </w:t>
            </w:r>
          </w:p>
        </w:tc>
      </w:tr>
      <w:tr w:rsidR="008618A0" w:rsidRPr="00EA3026" w14:paraId="59ACA68A" w14:textId="77777777">
        <w:trPr>
          <w:trHeight w:val="259"/>
        </w:trPr>
        <w:tc>
          <w:tcPr>
            <w:tcW w:w="1030" w:type="dxa"/>
            <w:vAlign w:val="center"/>
          </w:tcPr>
          <w:p w14:paraId="280E9313"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18</w:t>
            </w:r>
          </w:p>
        </w:tc>
        <w:tc>
          <w:tcPr>
            <w:tcW w:w="7661" w:type="dxa"/>
            <w:shd w:val="clear" w:color="auto" w:fill="auto"/>
            <w:noWrap/>
            <w:vAlign w:val="bottom"/>
          </w:tcPr>
          <w:p w14:paraId="522CFA0C"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Kupongränta och eventuellt tillhörande index</w:t>
            </w:r>
          </w:p>
          <w:p w14:paraId="22817667"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Ange kupongräntan för instrumentet och eventuellt tillhörande index som kupong-/utdelningsräntan hänvisas till.</w:t>
            </w:r>
          </w:p>
          <w:p w14:paraId="5BA8114D"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 xml:space="preserve">Fritext </w:t>
            </w:r>
          </w:p>
        </w:tc>
      </w:tr>
      <w:tr w:rsidR="008618A0" w:rsidRPr="00EA3026" w14:paraId="5DAE906F" w14:textId="77777777">
        <w:trPr>
          <w:trHeight w:val="2983"/>
        </w:trPr>
        <w:tc>
          <w:tcPr>
            <w:tcW w:w="1030" w:type="dxa"/>
            <w:vAlign w:val="center"/>
          </w:tcPr>
          <w:p w14:paraId="4F7DE7BB"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19</w:t>
            </w:r>
          </w:p>
        </w:tc>
        <w:tc>
          <w:tcPr>
            <w:tcW w:w="7661" w:type="dxa"/>
            <w:shd w:val="clear" w:color="auto" w:fill="auto"/>
            <w:noWrap/>
            <w:vAlign w:val="bottom"/>
          </w:tcPr>
          <w:p w14:paraId="2C2FC47B"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Förekomst av </w:t>
            </w:r>
            <w:r w:rsidRPr="00EA3026">
              <w:rPr>
                <w:rFonts w:ascii="Times New Roman" w:hAnsi="Times New Roman"/>
                <w:sz w:val="24"/>
              </w:rPr>
              <w:t>utdelningsstopp</w:t>
            </w:r>
          </w:p>
          <w:p w14:paraId="3F916A77"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utebliven betalning av en kupong eller utdelning på instrumentet innebär att det inte får betalas ut någon utdelning på stamaktier (dvs. om det finns ett utdelningsstopp).</w:t>
            </w:r>
          </w:p>
          <w:p w14:paraId="48AE3185"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 xml:space="preserve">Välj från menyn: [ja], [nej] </w:t>
            </w:r>
          </w:p>
        </w:tc>
      </w:tr>
      <w:tr w:rsidR="008618A0" w:rsidRPr="00EA3026" w14:paraId="3EBCCF6C" w14:textId="77777777">
        <w:trPr>
          <w:trHeight w:val="259"/>
        </w:trPr>
        <w:tc>
          <w:tcPr>
            <w:tcW w:w="1030" w:type="dxa"/>
            <w:vAlign w:val="center"/>
          </w:tcPr>
          <w:p w14:paraId="0CE7D95B"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20</w:t>
            </w:r>
          </w:p>
        </w:tc>
        <w:tc>
          <w:tcPr>
            <w:tcW w:w="7661" w:type="dxa"/>
            <w:shd w:val="clear" w:color="auto" w:fill="auto"/>
            <w:noWrap/>
            <w:vAlign w:val="bottom"/>
          </w:tcPr>
          <w:p w14:paraId="358A222B"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 Helt skönsmässigt, delvis skönsmässigt eller obligatoriskt (i fråga om tidpunkt).</w:t>
            </w:r>
          </w:p>
          <w:p w14:paraId="0F4DA89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emittenten har full bestämmanderätt, delvis bestämmanderätt eller ingen bestämmanderätt över huruvida en kupong/utdelning ska betalas ut. Om institutet har full best</w:t>
            </w:r>
            <w:r w:rsidRPr="00EA3026">
              <w:rPr>
                <w:rFonts w:ascii="Times New Roman" w:hAnsi="Times New Roman"/>
                <w:sz w:val="24"/>
              </w:rPr>
              <w:t xml:space="preserve">ämmanderätt när det gäller att ställa in utbetalningar av kuponger/utdelningar under alla omständigheter, ska det välja </w:t>
            </w:r>
            <w:r w:rsidRPr="00EA3026">
              <w:rPr>
                <w:rFonts w:ascii="Times New Roman" w:hAnsi="Times New Roman"/>
                <w:sz w:val="24"/>
              </w:rPr>
              <w:t>”</w:t>
            </w:r>
            <w:r w:rsidRPr="00EA3026">
              <w:rPr>
                <w:rFonts w:ascii="Times New Roman" w:hAnsi="Times New Roman"/>
                <w:sz w:val="24"/>
              </w:rPr>
              <w:t>helt skönsmässig</w:t>
            </w:r>
            <w:r w:rsidRPr="00EA3026">
              <w:rPr>
                <w:rFonts w:ascii="Times New Roman" w:hAnsi="Times New Roman"/>
                <w:sz w:val="24"/>
              </w:rPr>
              <w:t>t”</w:t>
            </w:r>
            <w:r w:rsidRPr="00EA3026">
              <w:rPr>
                <w:rFonts w:ascii="Times New Roman" w:hAnsi="Times New Roman"/>
                <w:sz w:val="24"/>
              </w:rPr>
              <w:t xml:space="preserve"> (även om det finns ett utdelningsstopp som inte innebär att institutet hindras att ställa in utbetalningar för instr</w:t>
            </w:r>
            <w:r w:rsidRPr="00EA3026">
              <w:rPr>
                <w:rFonts w:ascii="Times New Roman" w:hAnsi="Times New Roman"/>
                <w:sz w:val="24"/>
              </w:rPr>
              <w:t xml:space="preserve">umentet). Om det finns villkor som måste uppfyllas innan utbetalningen får ställas in (t.ex. kapitalbas under ett visst tröskelvärde), ska institutet välja </w:t>
            </w:r>
            <w:r w:rsidRPr="00EA3026">
              <w:rPr>
                <w:rFonts w:ascii="Times New Roman" w:hAnsi="Times New Roman"/>
                <w:sz w:val="24"/>
              </w:rPr>
              <w:t>”</w:t>
            </w:r>
            <w:r w:rsidRPr="00EA3026">
              <w:rPr>
                <w:rFonts w:ascii="Times New Roman" w:hAnsi="Times New Roman"/>
                <w:sz w:val="24"/>
              </w:rPr>
              <w:t>delvis skönsmässig</w:t>
            </w:r>
            <w:r w:rsidRPr="00EA3026">
              <w:rPr>
                <w:rFonts w:ascii="Times New Roman" w:hAnsi="Times New Roman"/>
                <w:sz w:val="24"/>
              </w:rPr>
              <w:t>t”</w:t>
            </w:r>
            <w:r w:rsidRPr="00EA3026">
              <w:rPr>
                <w:rFonts w:ascii="Times New Roman" w:hAnsi="Times New Roman"/>
                <w:sz w:val="24"/>
              </w:rPr>
              <w:t>. Om institutet endast kan ställa in betalningen om det är insolvent, ska det v</w:t>
            </w:r>
            <w:r w:rsidRPr="00EA3026">
              <w:rPr>
                <w:rFonts w:ascii="Times New Roman" w:hAnsi="Times New Roman"/>
                <w:sz w:val="24"/>
              </w:rPr>
              <w:t xml:space="preserve">älja </w:t>
            </w:r>
            <w:r w:rsidRPr="00EA3026">
              <w:rPr>
                <w:rFonts w:ascii="Times New Roman" w:hAnsi="Times New Roman"/>
                <w:sz w:val="24"/>
              </w:rPr>
              <w:t>”</w:t>
            </w:r>
            <w:r w:rsidRPr="00EA3026">
              <w:rPr>
                <w:rFonts w:ascii="Times New Roman" w:hAnsi="Times New Roman"/>
                <w:sz w:val="24"/>
              </w:rPr>
              <w:t>obligatorisk</w:t>
            </w:r>
            <w:r w:rsidRPr="00EA3026">
              <w:rPr>
                <w:rFonts w:ascii="Times New Roman" w:hAnsi="Times New Roman"/>
                <w:sz w:val="24"/>
              </w:rPr>
              <w:t>t”</w:t>
            </w:r>
            <w:r w:rsidRPr="00EA3026">
              <w:rPr>
                <w:rFonts w:ascii="Times New Roman" w:hAnsi="Times New Roman"/>
                <w:sz w:val="24"/>
              </w:rPr>
              <w:t>.</w:t>
            </w:r>
          </w:p>
          <w:p w14:paraId="314A2C1C"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[Helt skönsmässigt] [Delvis skönsmässigt] [Obligatoriskt]</w:t>
            </w:r>
          </w:p>
          <w:p w14:paraId="058AF3EF"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i/>
                <w:sz w:val="24"/>
              </w:rPr>
              <w:t>Fri text (ange skälen för skönsmässighet, förekomst av utdelningstvång, utdelningsstopp, ACSM - alternativ kupongbetalningsmekanism).</w:t>
            </w:r>
          </w:p>
        </w:tc>
      </w:tr>
      <w:tr w:rsidR="008618A0" w:rsidRPr="00EA3026" w14:paraId="60BF174B" w14:textId="77777777">
        <w:trPr>
          <w:trHeight w:val="259"/>
        </w:trPr>
        <w:tc>
          <w:tcPr>
            <w:tcW w:w="1030" w:type="dxa"/>
            <w:vAlign w:val="center"/>
          </w:tcPr>
          <w:p w14:paraId="6C6E3387"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21</w:t>
            </w:r>
          </w:p>
        </w:tc>
        <w:tc>
          <w:tcPr>
            <w:tcW w:w="7661" w:type="dxa"/>
            <w:shd w:val="clear" w:color="auto" w:fill="auto"/>
            <w:noWrap/>
            <w:vAlign w:val="bottom"/>
          </w:tcPr>
          <w:p w14:paraId="5ABBC551"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Helt </w:t>
            </w:r>
            <w:r w:rsidRPr="00EA3026">
              <w:rPr>
                <w:rFonts w:ascii="Times New Roman" w:hAnsi="Times New Roman"/>
                <w:sz w:val="24"/>
              </w:rPr>
              <w:t>skönsmässigt, delvis skönsmässigt eller obligatoriskt (i fråga om belopp).</w:t>
            </w:r>
          </w:p>
          <w:p w14:paraId="708D9741"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emittenten har full bestämmanderätt, delvis bestämmanderätt eller ingen bestämmanderätt över beloppet för kupongen/utdelningen.</w:t>
            </w:r>
          </w:p>
          <w:p w14:paraId="02F088DC"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 xml:space="preserve">Välj från menyn: [Helt </w:t>
            </w:r>
            <w:r w:rsidRPr="00EA3026">
              <w:rPr>
                <w:rFonts w:ascii="Times New Roman" w:hAnsi="Times New Roman"/>
                <w:i/>
                <w:sz w:val="24"/>
              </w:rPr>
              <w:t>skönsmässigt] [Delvis skönsmässigt] [Obligatoriskt]</w:t>
            </w:r>
          </w:p>
        </w:tc>
      </w:tr>
      <w:tr w:rsidR="008618A0" w:rsidRPr="00EA3026" w14:paraId="7F1D97F7" w14:textId="77777777">
        <w:trPr>
          <w:trHeight w:val="259"/>
        </w:trPr>
        <w:tc>
          <w:tcPr>
            <w:tcW w:w="1030" w:type="dxa"/>
            <w:vAlign w:val="center"/>
          </w:tcPr>
          <w:p w14:paraId="1DED7B02"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22</w:t>
            </w:r>
          </w:p>
        </w:tc>
        <w:tc>
          <w:tcPr>
            <w:tcW w:w="7661" w:type="dxa"/>
            <w:shd w:val="clear" w:color="auto" w:fill="auto"/>
            <w:noWrap/>
            <w:vAlign w:val="bottom"/>
          </w:tcPr>
          <w:p w14:paraId="3A94AF47"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 Förekomst av step-up eller annat incitament för återlösen</w:t>
            </w:r>
          </w:p>
          <w:p w14:paraId="75150F6E"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det finns en ökning av ersättningen (step-up) eller ett annat incitament för återlösen.</w:t>
            </w:r>
          </w:p>
          <w:p w14:paraId="43FDEA98"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[Ja] [Nej]</w:t>
            </w:r>
          </w:p>
        </w:tc>
      </w:tr>
      <w:tr w:rsidR="008618A0" w:rsidRPr="00EA3026" w14:paraId="1E36E025" w14:textId="77777777">
        <w:trPr>
          <w:trHeight w:val="259"/>
        </w:trPr>
        <w:tc>
          <w:tcPr>
            <w:tcW w:w="1030" w:type="dxa"/>
            <w:vAlign w:val="center"/>
          </w:tcPr>
          <w:p w14:paraId="2D5BDB43"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23</w:t>
            </w:r>
          </w:p>
        </w:tc>
        <w:tc>
          <w:tcPr>
            <w:tcW w:w="7661" w:type="dxa"/>
            <w:shd w:val="clear" w:color="auto" w:fill="auto"/>
            <w:noWrap/>
            <w:vAlign w:val="bottom"/>
          </w:tcPr>
          <w:p w14:paraId="37F76EF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Icke-kumulati</w:t>
            </w:r>
            <w:r w:rsidRPr="00EA3026">
              <w:rPr>
                <w:rFonts w:ascii="Times New Roman" w:hAnsi="Times New Roman"/>
                <w:sz w:val="24"/>
              </w:rPr>
              <w:t>v eller kumulativ</w:t>
            </w:r>
          </w:p>
          <w:p w14:paraId="2A6984A0"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utdelningar/kuponger är kumulativa eller icke-kumulativa.</w:t>
            </w:r>
          </w:p>
          <w:p w14:paraId="2D11C81E"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[Icke-kumulativa] [Kumulativa] [ACSM]</w:t>
            </w:r>
          </w:p>
        </w:tc>
      </w:tr>
      <w:tr w:rsidR="008618A0" w:rsidRPr="00EA3026" w14:paraId="3284BFAD" w14:textId="77777777">
        <w:trPr>
          <w:trHeight w:val="259"/>
        </w:trPr>
        <w:tc>
          <w:tcPr>
            <w:tcW w:w="1030" w:type="dxa"/>
            <w:vAlign w:val="center"/>
          </w:tcPr>
          <w:p w14:paraId="3A41BC97"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24</w:t>
            </w:r>
          </w:p>
        </w:tc>
        <w:tc>
          <w:tcPr>
            <w:tcW w:w="7661" w:type="dxa"/>
            <w:shd w:val="clear" w:color="auto" w:fill="auto"/>
            <w:noWrap/>
            <w:vAlign w:val="bottom"/>
          </w:tcPr>
          <w:p w14:paraId="06ECBBD5"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Konvertibla eller icke-konvertibla</w:t>
            </w:r>
          </w:p>
          <w:p w14:paraId="42EE9F17"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instrumentet är konvertibelt eller ej.</w:t>
            </w:r>
          </w:p>
          <w:p w14:paraId="5759FE7C"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 xml:space="preserve">Välj från menyn: </w:t>
            </w:r>
            <w:r w:rsidRPr="00EA3026">
              <w:rPr>
                <w:rFonts w:ascii="Times New Roman" w:hAnsi="Times New Roman"/>
                <w:i/>
                <w:sz w:val="24"/>
              </w:rPr>
              <w:t>[Konvertibla] [Icke-konvertibla]</w:t>
            </w:r>
          </w:p>
        </w:tc>
      </w:tr>
      <w:tr w:rsidR="008618A0" w:rsidRPr="00EA3026" w14:paraId="65DDC1AF" w14:textId="77777777">
        <w:trPr>
          <w:trHeight w:val="259"/>
        </w:trPr>
        <w:tc>
          <w:tcPr>
            <w:tcW w:w="1030" w:type="dxa"/>
            <w:vAlign w:val="center"/>
          </w:tcPr>
          <w:p w14:paraId="29BA2784"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25</w:t>
            </w:r>
          </w:p>
        </w:tc>
        <w:tc>
          <w:tcPr>
            <w:tcW w:w="7661" w:type="dxa"/>
            <w:shd w:val="clear" w:color="auto" w:fill="auto"/>
            <w:noWrap/>
            <w:vAlign w:val="bottom"/>
          </w:tcPr>
          <w:p w14:paraId="658ABA5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 Om konvertibla, konverteringstrigger</w:t>
            </w:r>
          </w:p>
          <w:p w14:paraId="161C393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villkoren för att instrumentet ska konverteras, inbegripet tidpunkten då institutet inte längre är livskraftigt. Om en eller flera myndigheter har möjlighet att utlösa en konve</w:t>
            </w:r>
            <w:r w:rsidRPr="00EA3026">
              <w:rPr>
                <w:rFonts w:ascii="Times New Roman" w:hAnsi="Times New Roman"/>
                <w:sz w:val="24"/>
              </w:rPr>
              <w:t>rtering ska dessa myndigheter anges. För var och en av myndigheterna ska institutet ange om det är villkoren i kontraktet för instrumentet som ger myndigheten den rättsliga grunden för att utlösa konverteringen (en kontraktsbaserad metod) eller om den rätt</w:t>
            </w:r>
            <w:r w:rsidRPr="00EA3026">
              <w:rPr>
                <w:rFonts w:ascii="Times New Roman" w:hAnsi="Times New Roman"/>
                <w:sz w:val="24"/>
              </w:rPr>
              <w:t>sliga grunden har fastställts i lag (en lagbaserad metod).</w:t>
            </w:r>
          </w:p>
          <w:p w14:paraId="53CC7628"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4571E5B2" w14:textId="77777777">
        <w:trPr>
          <w:trHeight w:val="259"/>
        </w:trPr>
        <w:tc>
          <w:tcPr>
            <w:tcW w:w="1030" w:type="dxa"/>
            <w:vAlign w:val="center"/>
          </w:tcPr>
          <w:p w14:paraId="075C38A9"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26</w:t>
            </w:r>
          </w:p>
        </w:tc>
        <w:tc>
          <w:tcPr>
            <w:tcW w:w="7661" w:type="dxa"/>
            <w:shd w:val="clear" w:color="auto" w:fill="auto"/>
            <w:noWrap/>
            <w:vAlign w:val="bottom"/>
          </w:tcPr>
          <w:p w14:paraId="77F655F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konvertibla, helt eller delvis</w:t>
            </w:r>
          </w:p>
          <w:p w14:paraId="404C521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instrumentet alltid konverteras i sin helhet, kan konverteras i sin helhet eller delvis, eller alltid konverteras delvis.</w:t>
            </w:r>
          </w:p>
          <w:p w14:paraId="4AF5740D"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[All</w:t>
            </w:r>
            <w:r w:rsidRPr="00EA3026">
              <w:rPr>
                <w:rFonts w:ascii="Times New Roman" w:hAnsi="Times New Roman"/>
                <w:i/>
                <w:sz w:val="24"/>
              </w:rPr>
              <w:t>tid helt] [Helt eller delvis] [Alltid delvis]</w:t>
            </w:r>
          </w:p>
        </w:tc>
      </w:tr>
      <w:tr w:rsidR="008618A0" w:rsidRPr="00EA3026" w14:paraId="647584E2" w14:textId="77777777">
        <w:trPr>
          <w:trHeight w:val="259"/>
        </w:trPr>
        <w:tc>
          <w:tcPr>
            <w:tcW w:w="1030" w:type="dxa"/>
            <w:vAlign w:val="center"/>
          </w:tcPr>
          <w:p w14:paraId="3D85C8BD"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27</w:t>
            </w:r>
          </w:p>
        </w:tc>
        <w:tc>
          <w:tcPr>
            <w:tcW w:w="7661" w:type="dxa"/>
            <w:shd w:val="clear" w:color="auto" w:fill="auto"/>
            <w:noWrap/>
            <w:vAlign w:val="bottom"/>
          </w:tcPr>
          <w:p w14:paraId="5072C3CA"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konvertibla, omräkningskurs</w:t>
            </w:r>
          </w:p>
          <w:p w14:paraId="5DCE010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omräkningskurs till det mer förlustabsorberande instrumentet.</w:t>
            </w:r>
          </w:p>
          <w:p w14:paraId="4309A7C2"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11223C04" w14:textId="77777777">
        <w:trPr>
          <w:trHeight w:val="259"/>
        </w:trPr>
        <w:tc>
          <w:tcPr>
            <w:tcW w:w="1030" w:type="dxa"/>
            <w:vAlign w:val="center"/>
          </w:tcPr>
          <w:p w14:paraId="0B77AFEA"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28</w:t>
            </w:r>
          </w:p>
        </w:tc>
        <w:tc>
          <w:tcPr>
            <w:tcW w:w="7661" w:type="dxa"/>
            <w:shd w:val="clear" w:color="auto" w:fill="auto"/>
            <w:noWrap/>
            <w:vAlign w:val="bottom"/>
          </w:tcPr>
          <w:p w14:paraId="09A4675F"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 Om konvertibla, obligatorisk eller frivillig konvertering</w:t>
            </w:r>
          </w:p>
          <w:p w14:paraId="031E664E"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För konvertibla instrument, ange om konverteringen är obligatorisk eller valfri.</w:t>
            </w:r>
          </w:p>
          <w:p w14:paraId="40477A0E"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[Obligatorisk] [Valfri] [Ej tillämpligt] och [valfritt för innehavarna] [valfritt för emittenten] [</w:t>
            </w:r>
            <w:r w:rsidRPr="00EA3026">
              <w:rPr>
                <w:rFonts w:ascii="Times New Roman" w:hAnsi="Times New Roman"/>
                <w:i/>
                <w:sz w:val="24"/>
              </w:rPr>
              <w:t>valfritt för både innehavare och emittent]</w:t>
            </w:r>
          </w:p>
        </w:tc>
      </w:tr>
      <w:tr w:rsidR="008618A0" w:rsidRPr="00EA3026" w14:paraId="3622FCD5" w14:textId="77777777">
        <w:trPr>
          <w:trHeight w:val="259"/>
        </w:trPr>
        <w:tc>
          <w:tcPr>
            <w:tcW w:w="1030" w:type="dxa"/>
            <w:vAlign w:val="center"/>
          </w:tcPr>
          <w:p w14:paraId="69651029"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29</w:t>
            </w:r>
          </w:p>
        </w:tc>
        <w:tc>
          <w:tcPr>
            <w:tcW w:w="7661" w:type="dxa"/>
            <w:shd w:val="clear" w:color="auto" w:fill="auto"/>
            <w:noWrap/>
            <w:vAlign w:val="bottom"/>
          </w:tcPr>
          <w:p w14:paraId="6529E343"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konvertibla, ange typ av instrument som konverteringen görs till</w:t>
            </w:r>
          </w:p>
          <w:p w14:paraId="13007089"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För konvertibla instrument, ange vilken typ av instrument som konverteringen görs till.</w:t>
            </w:r>
          </w:p>
          <w:p w14:paraId="12EA0087"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[Kärnprimärkapital] [Övrigt primärka</w:t>
            </w:r>
            <w:r w:rsidRPr="00EA3026">
              <w:rPr>
                <w:rFonts w:ascii="Times New Roman" w:hAnsi="Times New Roman"/>
                <w:i/>
                <w:sz w:val="24"/>
              </w:rPr>
              <w:t>pital för kapitaltäckningsändamål] [Supplementärkapital] [Övrigt]</w:t>
            </w:r>
          </w:p>
        </w:tc>
      </w:tr>
      <w:tr w:rsidR="008618A0" w:rsidRPr="00EA3026" w14:paraId="0A913D37" w14:textId="77777777">
        <w:trPr>
          <w:trHeight w:val="259"/>
        </w:trPr>
        <w:tc>
          <w:tcPr>
            <w:tcW w:w="1030" w:type="dxa"/>
            <w:vAlign w:val="center"/>
          </w:tcPr>
          <w:p w14:paraId="774A3D49"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30</w:t>
            </w:r>
          </w:p>
        </w:tc>
        <w:tc>
          <w:tcPr>
            <w:tcW w:w="7661" w:type="dxa"/>
            <w:shd w:val="clear" w:color="auto" w:fill="auto"/>
            <w:noWrap/>
            <w:vAlign w:val="bottom"/>
          </w:tcPr>
          <w:p w14:paraId="761E056A"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konvertibla, ange emittent för det instrument som konverteringen görs till</w:t>
            </w:r>
          </w:p>
          <w:p w14:paraId="78C2A2E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konvertibla, ange emittent för det instrument som konverteringen görs till.</w:t>
            </w:r>
          </w:p>
          <w:p w14:paraId="5DF13BD5"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6FDB05C4" w14:textId="77777777">
        <w:trPr>
          <w:trHeight w:val="259"/>
        </w:trPr>
        <w:tc>
          <w:tcPr>
            <w:tcW w:w="1030" w:type="dxa"/>
            <w:vAlign w:val="center"/>
          </w:tcPr>
          <w:p w14:paraId="00E60A80"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31</w:t>
            </w:r>
          </w:p>
        </w:tc>
        <w:tc>
          <w:tcPr>
            <w:tcW w:w="7661" w:type="dxa"/>
            <w:shd w:val="clear" w:color="auto" w:fill="auto"/>
            <w:noWrap/>
            <w:vAlign w:val="bottom"/>
          </w:tcPr>
          <w:p w14:paraId="142D87BA"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Nedskrivningsdelar</w:t>
            </w:r>
          </w:p>
          <w:p w14:paraId="31BC9907"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det finns en nedskrivningsdel.</w:t>
            </w:r>
          </w:p>
          <w:p w14:paraId="2B477833"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[Ja] [Nej]</w:t>
            </w:r>
          </w:p>
        </w:tc>
      </w:tr>
      <w:tr w:rsidR="008618A0" w:rsidRPr="00EA3026" w14:paraId="01F846A2" w14:textId="77777777">
        <w:trPr>
          <w:trHeight w:val="259"/>
        </w:trPr>
        <w:tc>
          <w:tcPr>
            <w:tcW w:w="1030" w:type="dxa"/>
            <w:vAlign w:val="center"/>
          </w:tcPr>
          <w:p w14:paraId="40793277"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32</w:t>
            </w:r>
          </w:p>
        </w:tc>
        <w:tc>
          <w:tcPr>
            <w:tcW w:w="7661" w:type="dxa"/>
            <w:shd w:val="clear" w:color="auto" w:fill="auto"/>
            <w:noWrap/>
            <w:vAlign w:val="bottom"/>
          </w:tcPr>
          <w:p w14:paraId="0491E403"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Om nedskrivning, utlösande händelse för nedskrivning(ar)</w:t>
            </w:r>
          </w:p>
          <w:p w14:paraId="6BE50654" w14:textId="77777777" w:rsidR="008618A0" w:rsidRPr="00EA3026" w:rsidRDefault="00EA3026">
            <w:pPr>
              <w:autoSpaceDE w:val="0"/>
              <w:autoSpaceDN w:val="0"/>
              <w:adjustRightInd w:val="0"/>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Ange vid vilka utlösande händelser som nedskrivningen görs, inklusive den tidpunkt då institutet inte </w:t>
            </w:r>
            <w:r w:rsidRPr="00EA3026">
              <w:rPr>
                <w:rFonts w:ascii="Times New Roman" w:hAnsi="Times New Roman"/>
                <w:sz w:val="24"/>
              </w:rPr>
              <w:t>längre är lönsamt. Om en eller flera myndigheter har möjlighet att utlösa en nedskrivning ska dessa myndigheter anges. För var och en av myndigheterna ska det anges om det är villkoren i kontraktet för instrumentet som ger myndigheten den rättsliga grunden</w:t>
            </w:r>
            <w:r w:rsidRPr="00EA3026">
              <w:rPr>
                <w:rFonts w:ascii="Times New Roman" w:hAnsi="Times New Roman"/>
                <w:sz w:val="24"/>
              </w:rPr>
              <w:t xml:space="preserve"> för att utlösa nedskrivningen (en kontraktsbaserad metod) eller om den rättsliga grunden har fastställts i lag (en lagbaserad metod).</w:t>
            </w:r>
          </w:p>
          <w:p w14:paraId="4C30AA0B"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6DFFC6B7" w14:textId="77777777">
        <w:trPr>
          <w:trHeight w:val="259"/>
        </w:trPr>
        <w:tc>
          <w:tcPr>
            <w:tcW w:w="1030" w:type="dxa"/>
            <w:vAlign w:val="center"/>
          </w:tcPr>
          <w:p w14:paraId="2CBA7824"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33</w:t>
            </w:r>
          </w:p>
        </w:tc>
        <w:tc>
          <w:tcPr>
            <w:tcW w:w="7661" w:type="dxa"/>
            <w:shd w:val="clear" w:color="auto" w:fill="auto"/>
            <w:noWrap/>
            <w:vAlign w:val="bottom"/>
          </w:tcPr>
          <w:p w14:paraId="089FB4E8"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nedskrivning, fullständig eller delvis</w:t>
            </w:r>
          </w:p>
          <w:p w14:paraId="71EBD8C2"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instrumentet alltid kommer att skrivas ned i sin helhet, ka</w:t>
            </w:r>
            <w:r w:rsidRPr="00EA3026">
              <w:rPr>
                <w:rFonts w:ascii="Times New Roman" w:hAnsi="Times New Roman"/>
                <w:sz w:val="24"/>
              </w:rPr>
              <w:t>n skrivas ned delvis, eller alltid kommer att skrivas ned delvis. Detta gör det lättare att bedöma förlustabsorberingsnivån vid nedskrivning.</w:t>
            </w:r>
          </w:p>
          <w:p w14:paraId="7FE77851"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 xml:space="preserve">Välj från menyn: [Alltid helt] [Helt eller delvis] [Alltid delvis] </w:t>
            </w:r>
          </w:p>
        </w:tc>
      </w:tr>
      <w:tr w:rsidR="008618A0" w:rsidRPr="00EA3026" w14:paraId="4E60BAC8" w14:textId="77777777">
        <w:trPr>
          <w:trHeight w:val="259"/>
        </w:trPr>
        <w:tc>
          <w:tcPr>
            <w:tcW w:w="1030" w:type="dxa"/>
            <w:vAlign w:val="center"/>
          </w:tcPr>
          <w:p w14:paraId="08774E19"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34</w:t>
            </w:r>
          </w:p>
        </w:tc>
        <w:tc>
          <w:tcPr>
            <w:tcW w:w="7661" w:type="dxa"/>
            <w:shd w:val="clear" w:color="auto" w:fill="auto"/>
            <w:noWrap/>
            <w:vAlign w:val="bottom"/>
          </w:tcPr>
          <w:p w14:paraId="63FBD30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nedskrivning, permanent eller tillfälli</w:t>
            </w:r>
            <w:r w:rsidRPr="00EA3026">
              <w:rPr>
                <w:rFonts w:ascii="Times New Roman" w:hAnsi="Times New Roman"/>
                <w:sz w:val="24"/>
              </w:rPr>
              <w:t>g</w:t>
            </w:r>
          </w:p>
          <w:p w14:paraId="4EDC5584"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För nedskrivningsinstrument, ange om nedskrivningen är permanent eller temporär.</w:t>
            </w:r>
          </w:p>
          <w:p w14:paraId="75C980D7"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Välj från menyn: [Permanent] [Temporär] [Ej tillämpligt]</w:t>
            </w:r>
          </w:p>
        </w:tc>
      </w:tr>
      <w:tr w:rsidR="008618A0" w:rsidRPr="00EA3026" w14:paraId="7AAE0DFB" w14:textId="77777777">
        <w:trPr>
          <w:trHeight w:val="259"/>
        </w:trPr>
        <w:tc>
          <w:tcPr>
            <w:tcW w:w="1030" w:type="dxa"/>
            <w:vAlign w:val="center"/>
          </w:tcPr>
          <w:p w14:paraId="6FEA5C1A"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35</w:t>
            </w:r>
          </w:p>
        </w:tc>
        <w:tc>
          <w:tcPr>
            <w:tcW w:w="7661" w:type="dxa"/>
            <w:shd w:val="clear" w:color="auto" w:fill="auto"/>
            <w:noWrap/>
            <w:vAlign w:val="bottom"/>
          </w:tcPr>
          <w:p w14:paraId="0CDC3C4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nedskrivningen är tillfällig, beskriv uppskrivningsmekanismen</w:t>
            </w:r>
          </w:p>
          <w:p w14:paraId="7801E3FB"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Beskriv </w:t>
            </w:r>
            <w:r w:rsidRPr="00EA3026">
              <w:rPr>
                <w:rFonts w:ascii="Times New Roman" w:hAnsi="Times New Roman"/>
                <w:sz w:val="24"/>
              </w:rPr>
              <w:t>uppskrivningsmekanismen.</w:t>
            </w:r>
          </w:p>
          <w:p w14:paraId="7B94131C"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rsidRPr="00EA3026" w14:paraId="7B137CFE" w14:textId="77777777">
        <w:trPr>
          <w:trHeight w:val="1448"/>
        </w:trPr>
        <w:tc>
          <w:tcPr>
            <w:tcW w:w="1030" w:type="dxa"/>
            <w:vAlign w:val="center"/>
          </w:tcPr>
          <w:p w14:paraId="025B5D49"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36</w:t>
            </w:r>
          </w:p>
        </w:tc>
        <w:tc>
          <w:tcPr>
            <w:tcW w:w="7661" w:type="dxa"/>
            <w:shd w:val="clear" w:color="auto" w:fill="auto"/>
            <w:noWrap/>
            <w:vAlign w:val="bottom"/>
          </w:tcPr>
          <w:p w14:paraId="061659D1"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Delar från övergångsperioden som inte uppfyller kraven</w:t>
            </w:r>
          </w:p>
          <w:p w14:paraId="2280656C"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Ange om det finns brister som inte uppfyller kraven.</w:t>
            </w:r>
          </w:p>
          <w:p w14:paraId="32BF9713"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sz w:val="24"/>
              </w:rPr>
              <w:t>Välj från [ja] eller [nej].</w:t>
            </w:r>
          </w:p>
        </w:tc>
      </w:tr>
      <w:tr w:rsidR="008618A0" w:rsidRPr="00EA3026" w14:paraId="4F5CC49E" w14:textId="77777777">
        <w:trPr>
          <w:trHeight w:val="259"/>
        </w:trPr>
        <w:tc>
          <w:tcPr>
            <w:tcW w:w="1030" w:type="dxa"/>
            <w:vAlign w:val="center"/>
          </w:tcPr>
          <w:p w14:paraId="35AF109A"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37</w:t>
            </w:r>
          </w:p>
        </w:tc>
        <w:tc>
          <w:tcPr>
            <w:tcW w:w="7661" w:type="dxa"/>
            <w:shd w:val="clear" w:color="auto" w:fill="auto"/>
            <w:noWrap/>
            <w:vAlign w:val="bottom"/>
          </w:tcPr>
          <w:p w14:paraId="181CAA9B"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Om ja, ange vilka delar som inte uppfyller kraven</w:t>
            </w:r>
          </w:p>
          <w:p w14:paraId="1EC9BACD"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Om det finns delar som </w:t>
            </w:r>
            <w:r w:rsidRPr="00EA3026">
              <w:rPr>
                <w:rFonts w:ascii="Times New Roman" w:hAnsi="Times New Roman"/>
                <w:sz w:val="24"/>
              </w:rPr>
              <w:t>inte uppfyller kraven ska institutet ange vilka.</w:t>
            </w:r>
          </w:p>
          <w:p w14:paraId="3C1010AE" w14:textId="77777777" w:rsidR="008618A0" w:rsidRPr="00EA3026" w:rsidRDefault="00EA3026">
            <w:pPr>
              <w:spacing w:after="200" w:line="276" w:lineRule="auto"/>
              <w:jc w:val="both"/>
              <w:rPr>
                <w:rFonts w:ascii="Times New Roman" w:eastAsia="Times New Roman" w:hAnsi="Times New Roman" w:cs="Times New Roman"/>
                <w:i/>
                <w:sz w:val="24"/>
              </w:rPr>
            </w:pPr>
            <w:r w:rsidRPr="00EA3026">
              <w:rPr>
                <w:rFonts w:ascii="Times New Roman" w:hAnsi="Times New Roman"/>
                <w:i/>
                <w:sz w:val="24"/>
              </w:rPr>
              <w:t>Fritext</w:t>
            </w:r>
          </w:p>
        </w:tc>
      </w:tr>
      <w:tr w:rsidR="008618A0" w14:paraId="38AFD9A8" w14:textId="77777777">
        <w:trPr>
          <w:trHeight w:val="259"/>
        </w:trPr>
        <w:tc>
          <w:tcPr>
            <w:tcW w:w="1030" w:type="dxa"/>
            <w:vAlign w:val="center"/>
          </w:tcPr>
          <w:p w14:paraId="34EFC055" w14:textId="77777777" w:rsidR="008618A0" w:rsidRPr="00EA3026" w:rsidRDefault="00EA3026">
            <w:pPr>
              <w:spacing w:after="200" w:line="276" w:lineRule="auto"/>
              <w:rPr>
                <w:rFonts w:ascii="Times New Roman" w:eastAsia="Times New Roman" w:hAnsi="Times New Roman" w:cs="Times New Roman"/>
                <w:sz w:val="24"/>
              </w:rPr>
            </w:pPr>
            <w:r w:rsidRPr="00EA3026">
              <w:rPr>
                <w:rFonts w:ascii="Times New Roman" w:hAnsi="Times New Roman"/>
                <w:color w:val="000000"/>
                <w:sz w:val="24"/>
              </w:rPr>
              <w:t>38</w:t>
            </w:r>
          </w:p>
        </w:tc>
        <w:tc>
          <w:tcPr>
            <w:tcW w:w="7661" w:type="dxa"/>
            <w:shd w:val="clear" w:color="auto" w:fill="auto"/>
            <w:noWrap/>
            <w:vAlign w:val="bottom"/>
          </w:tcPr>
          <w:p w14:paraId="6CB25C09" w14:textId="77777777" w:rsidR="008618A0" w:rsidRPr="00EA3026"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Länk till instrumentets fullständiga villkor (hänvisning).</w:t>
            </w:r>
          </w:p>
          <w:p w14:paraId="1181B956" w14:textId="77777777" w:rsidR="008618A0" w:rsidRDefault="00EA3026">
            <w:pPr>
              <w:spacing w:after="200" w:line="276" w:lineRule="auto"/>
              <w:jc w:val="both"/>
              <w:rPr>
                <w:rFonts w:ascii="Times New Roman" w:eastAsia="Times New Roman" w:hAnsi="Times New Roman" w:cs="Times New Roman"/>
                <w:sz w:val="24"/>
              </w:rPr>
            </w:pPr>
            <w:r w:rsidRPr="00EA3026">
              <w:rPr>
                <w:rFonts w:ascii="Times New Roman" w:hAnsi="Times New Roman"/>
                <w:sz w:val="24"/>
              </w:rPr>
              <w:t xml:space="preserve">Värdepappersföretagen ska lägga till en länk som ger åtkomst till emissionens prospekt, inklusive alla regler och villkor för </w:t>
            </w:r>
            <w:r w:rsidRPr="00EA3026">
              <w:rPr>
                <w:rFonts w:ascii="Times New Roman" w:hAnsi="Times New Roman"/>
                <w:sz w:val="24"/>
              </w:rPr>
              <w:t>instrumentet.</w:t>
            </w:r>
          </w:p>
        </w:tc>
      </w:tr>
      <w:bookmarkEnd w:id="0"/>
      <w:bookmarkEnd w:id="1"/>
      <w:bookmarkEnd w:id="2"/>
      <w:bookmarkEnd w:id="3"/>
      <w:bookmarkEnd w:id="4"/>
      <w:bookmarkEnd w:id="5"/>
      <w:bookmarkEnd w:id="6"/>
      <w:bookmarkEnd w:id="7"/>
      <w:bookmarkEnd w:id="8"/>
      <w:bookmarkEnd w:id="9"/>
    </w:tbl>
    <w:p w14:paraId="4D3DCB76" w14:textId="77777777" w:rsidR="008618A0" w:rsidRDefault="008618A0">
      <w:pPr>
        <w:rPr>
          <w:rFonts w:ascii="Times New Roman" w:hAnsi="Times New Roman" w:cs="Times New Roman"/>
          <w:bCs/>
          <w:sz w:val="24"/>
        </w:rPr>
      </w:pPr>
    </w:p>
    <w:sectPr w:rsidR="008618A0">
      <w:headerReference w:type="default" r:id="rId8"/>
      <w:footerReference w:type="default" r:id="rId9"/>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419B1" w14:textId="77777777" w:rsidR="008618A0" w:rsidRDefault="00EA3026">
      <w:r>
        <w:separator/>
      </w:r>
    </w:p>
  </w:endnote>
  <w:endnote w:type="continuationSeparator" w:id="0">
    <w:p w14:paraId="5039003A" w14:textId="77777777" w:rsidR="008618A0" w:rsidRDefault="00EA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5E674" w14:textId="77777777" w:rsidR="008618A0" w:rsidRDefault="00EA3026">
    <w:pPr>
      <w:pStyle w:val="Footer"/>
      <w:tabs>
        <w:tab w:val="clear" w:pos="4320"/>
        <w:tab w:val="clear" w:pos="8640"/>
        <w:tab w:val="right" w:pos="9071"/>
      </w:tabs>
    </w:pPr>
    <w:r>
      <w:t>SV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34801" w14:textId="77777777" w:rsidR="008618A0" w:rsidRDefault="00EA3026">
      <w:pPr>
        <w:rPr>
          <w:sz w:val="12"/>
          <w:szCs w:val="12"/>
        </w:rPr>
      </w:pPr>
      <w:r>
        <w:rPr>
          <w:sz w:val="12"/>
          <w:szCs w:val="12"/>
        </w:rPr>
        <w:separator/>
      </w:r>
    </w:p>
  </w:footnote>
  <w:footnote w:type="continuationSeparator" w:id="0">
    <w:p w14:paraId="06AD228E" w14:textId="77777777" w:rsidR="008618A0" w:rsidRDefault="00EA3026">
      <w:r>
        <w:continuationSeparator/>
      </w:r>
    </w:p>
  </w:footnote>
  <w:footnote w:type="continuationNotice" w:id="1">
    <w:p w14:paraId="6E2F09F1" w14:textId="77777777" w:rsidR="008618A0" w:rsidRDefault="008618A0">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1099F" w14:textId="3A212110" w:rsidR="008618A0" w:rsidRDefault="00440072">
    <w:pPr>
      <w:pStyle w:val="Header"/>
    </w:pPr>
    <w:r>
      <w:rPr>
        <w:noProof/>
      </w:rPr>
      <mc:AlternateContent>
        <mc:Choice Requires="wps">
          <w:drawing>
            <wp:anchor distT="0" distB="0" distL="114300" distR="114300" simplePos="0" relativeHeight="251659264" behindDoc="0" locked="0" layoutInCell="0" allowOverlap="1" wp14:anchorId="23FE4472" wp14:editId="293F0B59">
              <wp:simplePos x="0" y="0"/>
              <wp:positionH relativeFrom="page">
                <wp:posOffset>0</wp:posOffset>
              </wp:positionH>
              <wp:positionV relativeFrom="page">
                <wp:posOffset>190500</wp:posOffset>
              </wp:positionV>
              <wp:extent cx="7556500" cy="273050"/>
              <wp:effectExtent l="0" t="0" r="0" b="12700"/>
              <wp:wrapNone/>
              <wp:docPr id="1" name="MSIPCMf07d4d3aa9aa028416b7db8d"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05624A" w14:textId="366D7B48" w:rsidR="00440072" w:rsidRPr="00440072" w:rsidRDefault="00440072" w:rsidP="00440072">
                          <w:pPr>
                            <w:rPr>
                              <w:rFonts w:ascii="Calibri" w:hAnsi="Calibri" w:cs="Calibri"/>
                              <w:color w:val="000000"/>
                              <w:sz w:val="24"/>
                            </w:rPr>
                          </w:pPr>
                          <w:r w:rsidRPr="00440072">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23FE4472" id="_x0000_t202" coordsize="21600,21600" o:spt="202" path="m,l,21600r21600,l21600,xe">
              <v:stroke joinstyle="miter"/>
              <v:path gradientshapeok="t" o:connecttype="rect"/>
            </v:shapetype>
            <v:shape id="MSIPCMf07d4d3aa9aa028416b7db8d"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" o:allowincell="f" filled="f" stroked="f" strokeweight=".5pt">
              <v:fill o:detectmouseclick="t"/>
              <v:textbox inset="20pt,0,,0">
                <w:txbxContent>
                  <w:p w14:paraId="0F05624A" w14:textId="366D7B48" w:rsidR="00440072" w:rsidRPr="00440072" w:rsidRDefault="00440072" w:rsidP="00440072">
                    <w:pPr>
                      <w:rPr>
                        <w:rFonts w:ascii="Calibri" w:hAnsi="Calibri" w:cs="Calibri"/>
                        <w:color w:val="000000"/>
                        <w:sz w:val="24"/>
                      </w:rPr>
                    </w:pPr>
                    <w:r w:rsidRPr="00440072">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73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8618A0"/>
    <w:rsid w:val="00440072"/>
    <w:rsid w:val="008618A0"/>
    <w:rsid w:val="00EA30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7393"/>
    <o:shapelayout v:ext="edit">
      <o:idmap v:ext="edit" data="1"/>
    </o:shapelayout>
  </w:shapeDefaults>
  <w:decimalSymbol w:val="."/>
  <w:listSeparator w:val=","/>
  <w14:docId w14:val="0FED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sv-SE" w:eastAsia="sv-SE" w:bidi="sv-S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IE"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sv-SE"/>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sv-SE"/>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rPr>
  </w:style>
  <w:style w:type="character" w:customStyle="1" w:styleId="InstructionsTextChar">
    <w:name w:val="Instructions Text Char"/>
    <w:link w:val="InstructionsText"/>
    <w:locked/>
    <w:rPr>
      <w:rFonts w:ascii="Times New Roman" w:eastAsiaTheme="majorEastAsia" w:hAnsi="Times New Roman" w:cs="Arial"/>
      <w:bCs/>
      <w:sz w:val="22"/>
      <w:szCs w:val="22"/>
      <w:lang w:val="sv-SE" w:eastAsia="sv-SE"/>
    </w:rPr>
  </w:style>
  <w:style w:type="character" w:customStyle="1" w:styleId="ListParagraphChar">
    <w:name w:val="List Paragraph Char"/>
    <w:link w:val="ListParagraph"/>
    <w:uiPriority w:val="34"/>
    <w:rPr>
      <w:rFonts w:ascii="Calibri" w:eastAsia="Calibri" w:hAnsi="Calibri" w:cs="Times New Roman"/>
      <w:sz w:val="22"/>
      <w:szCs w:val="22"/>
      <w:lang w:val="sv-SE"/>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F9460-136C-4645-B685-3E7591C3E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6516</Words>
  <Characters>46467</Characters>
  <Application>Microsoft Office Word</Application>
  <DocSecurity>0</DocSecurity>
  <Lines>2212</Lines>
  <Paragraphs>1471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2022-01-14T15:16:20Z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e876593d-5909-4922-a155-af2bf32fd40f</vt:lpwstr>
  </property>
  <property fmtid="{D5CDD505-2E9C-101B-9397-08002B2CF9AE}" pid="8" name="MSIP_Label_5c7eb9de-735b-4a68-8fe4-c9c62709b012_ContentBits">
    <vt:lpwstr>1</vt:lpwstr>
  </property>
</Properties>
</file>